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A43F5" w14:textId="56F0972F" w:rsidR="00F4794D" w:rsidRPr="009A5185" w:rsidRDefault="00F4794D" w:rsidP="00C021E4">
      <w:pPr>
        <w:pStyle w:val="Heading9"/>
        <w:rPr>
          <w:rFonts w:cs="Arial"/>
        </w:rPr>
      </w:pPr>
      <w:bookmarkStart w:id="0" w:name="_top"/>
      <w:bookmarkEnd w:id="0"/>
      <w:r w:rsidRPr="009A5185">
        <w:rPr>
          <w:rFonts w:cs="Arial"/>
        </w:rPr>
        <w:t xml:space="preserve"> </w:t>
      </w:r>
    </w:p>
    <w:tbl>
      <w:tblPr>
        <w:tblW w:w="5000" w:type="pct"/>
        <w:jc w:val="center"/>
        <w:tblLook w:val="04A0" w:firstRow="1" w:lastRow="0" w:firstColumn="1" w:lastColumn="0" w:noHBand="0" w:noVBand="1"/>
      </w:tblPr>
      <w:tblGrid>
        <w:gridCol w:w="9360"/>
      </w:tblGrid>
      <w:tr w:rsidR="00D1257B" w:rsidRPr="009A5185" w14:paraId="2404DAAF" w14:textId="77777777" w:rsidTr="00BD429F">
        <w:trPr>
          <w:trHeight w:val="1440"/>
          <w:jc w:val="center"/>
        </w:trPr>
        <w:tc>
          <w:tcPr>
            <w:tcW w:w="5000" w:type="pct"/>
            <w:shd w:val="clear" w:color="auto" w:fill="213468"/>
            <w:vAlign w:val="center"/>
          </w:tcPr>
          <w:p w14:paraId="6ADE0A9B" w14:textId="77777777" w:rsidR="005C6B81" w:rsidRPr="009A5185" w:rsidRDefault="00D1257B" w:rsidP="00D3669B">
            <w:pPr>
              <w:pStyle w:val="NoSpacing"/>
              <w:jc w:val="center"/>
              <w:rPr>
                <w:rFonts w:ascii="Arial" w:eastAsia="MS Gothic" w:hAnsi="Arial" w:cs="Arial"/>
                <w:color w:val="FFFFFF" w:themeColor="background1"/>
                <w:sz w:val="48"/>
                <w:szCs w:val="48"/>
              </w:rPr>
            </w:pPr>
            <w:r w:rsidRPr="009A5185">
              <w:rPr>
                <w:rFonts w:ascii="Arial" w:eastAsia="MS Gothic" w:hAnsi="Arial" w:cs="Arial"/>
                <w:color w:val="FFFFFF" w:themeColor="background1"/>
                <w:sz w:val="48"/>
                <w:szCs w:val="48"/>
              </w:rPr>
              <w:t>Leapfrog Hospital Survey</w:t>
            </w:r>
            <w:r w:rsidR="005C6B81" w:rsidRPr="009A5185">
              <w:rPr>
                <w:rFonts w:ascii="Arial" w:eastAsia="MS Gothic" w:hAnsi="Arial" w:cs="Arial"/>
                <w:color w:val="FFFFFF" w:themeColor="background1"/>
                <w:sz w:val="48"/>
                <w:szCs w:val="48"/>
              </w:rPr>
              <w:t xml:space="preserve"> </w:t>
            </w:r>
          </w:p>
          <w:p w14:paraId="6349DF35" w14:textId="77777777" w:rsidR="00D1257B" w:rsidRPr="009A5185" w:rsidRDefault="006E2BE6" w:rsidP="006E2BE6">
            <w:pPr>
              <w:pStyle w:val="NoSpacing"/>
              <w:jc w:val="center"/>
              <w:rPr>
                <w:rFonts w:ascii="Arial" w:eastAsia="MS Gothic" w:hAnsi="Arial" w:cs="Arial"/>
                <w:sz w:val="48"/>
                <w:szCs w:val="48"/>
              </w:rPr>
            </w:pPr>
            <w:r w:rsidRPr="009A5185">
              <w:rPr>
                <w:rFonts w:ascii="Arial" w:eastAsia="MS Gothic" w:hAnsi="Arial" w:cs="Arial"/>
                <w:color w:val="FFFFFF" w:themeColor="background1"/>
                <w:sz w:val="48"/>
                <w:szCs w:val="48"/>
                <w:lang w:eastAsia="ja-JP"/>
              </w:rPr>
              <w:t>Hard Copy</w:t>
            </w:r>
          </w:p>
        </w:tc>
      </w:tr>
    </w:tbl>
    <w:p w14:paraId="69462AA9" w14:textId="77777777" w:rsidR="00FE49F2" w:rsidRPr="009A5185" w:rsidRDefault="00FE49F2" w:rsidP="006B5931">
      <w:pPr>
        <w:rPr>
          <w:rFonts w:cs="Arial"/>
          <w:b/>
          <w:i/>
          <w:sz w:val="24"/>
          <w:szCs w:val="24"/>
          <w:highlight w:val="yellow"/>
        </w:rPr>
      </w:pPr>
    </w:p>
    <w:p w14:paraId="43DF9359" w14:textId="77777777" w:rsidR="00505C3D" w:rsidRPr="00BD429F" w:rsidRDefault="009A399D" w:rsidP="00937518">
      <w:pPr>
        <w:jc w:val="center"/>
        <w:rPr>
          <w:rFonts w:cs="Arial"/>
          <w:b/>
          <w:color w:val="213468"/>
          <w:sz w:val="32"/>
          <w:szCs w:val="32"/>
        </w:rPr>
      </w:pPr>
      <w:r w:rsidRPr="00BD429F">
        <w:rPr>
          <w:rFonts w:cs="Arial"/>
          <w:b/>
          <w:color w:val="213468"/>
          <w:sz w:val="32"/>
          <w:szCs w:val="32"/>
        </w:rPr>
        <w:t>QUESTIONS</w:t>
      </w:r>
      <w:r w:rsidR="00937518" w:rsidRPr="00BD429F">
        <w:rPr>
          <w:rFonts w:cs="Arial"/>
          <w:b/>
          <w:color w:val="213468"/>
          <w:sz w:val="32"/>
          <w:szCs w:val="32"/>
        </w:rPr>
        <w:t xml:space="preserve"> &amp; </w:t>
      </w:r>
      <w:r w:rsidRPr="00BD429F">
        <w:rPr>
          <w:rFonts w:cs="Arial"/>
          <w:b/>
          <w:color w:val="213468"/>
          <w:sz w:val="32"/>
          <w:szCs w:val="32"/>
        </w:rPr>
        <w:t>REPORTING PERIODS</w:t>
      </w:r>
    </w:p>
    <w:p w14:paraId="7324A421" w14:textId="77777777" w:rsidR="00FE49F2" w:rsidRPr="00BD429F" w:rsidRDefault="009A399D" w:rsidP="00937518">
      <w:pPr>
        <w:jc w:val="center"/>
        <w:rPr>
          <w:rFonts w:cs="Arial"/>
          <w:b/>
          <w:color w:val="213468"/>
          <w:sz w:val="32"/>
          <w:szCs w:val="32"/>
        </w:rPr>
      </w:pPr>
      <w:r w:rsidRPr="00BD429F">
        <w:rPr>
          <w:rFonts w:cs="Arial"/>
          <w:b/>
          <w:color w:val="213468"/>
          <w:sz w:val="32"/>
          <w:szCs w:val="32"/>
        </w:rPr>
        <w:t>ENDNOTES</w:t>
      </w:r>
    </w:p>
    <w:p w14:paraId="5FB98E48" w14:textId="77777777" w:rsidR="00505C3D" w:rsidRPr="00BD429F" w:rsidRDefault="009A399D" w:rsidP="00937518">
      <w:pPr>
        <w:jc w:val="center"/>
        <w:rPr>
          <w:rFonts w:cs="Arial"/>
          <w:b/>
          <w:color w:val="213468"/>
          <w:sz w:val="32"/>
          <w:szCs w:val="32"/>
        </w:rPr>
      </w:pPr>
      <w:r w:rsidRPr="00BD429F">
        <w:rPr>
          <w:rFonts w:cs="Arial"/>
          <w:b/>
          <w:color w:val="213468"/>
          <w:sz w:val="32"/>
          <w:szCs w:val="32"/>
        </w:rPr>
        <w:t>MEASURE SPECIFICATIONS</w:t>
      </w:r>
    </w:p>
    <w:p w14:paraId="6C944994" w14:textId="0F7B6EBA" w:rsidR="00FE49F2" w:rsidRPr="00BD429F" w:rsidRDefault="009A399D" w:rsidP="00937518">
      <w:pPr>
        <w:jc w:val="center"/>
        <w:rPr>
          <w:rFonts w:cs="Arial"/>
          <w:b/>
          <w:color w:val="213468"/>
          <w:sz w:val="32"/>
          <w:szCs w:val="32"/>
        </w:rPr>
      </w:pPr>
      <w:r w:rsidRPr="00BD429F">
        <w:rPr>
          <w:rFonts w:cs="Arial"/>
          <w:b/>
          <w:color w:val="213468"/>
          <w:sz w:val="32"/>
          <w:szCs w:val="32"/>
        </w:rPr>
        <w:t>FAQS</w:t>
      </w:r>
    </w:p>
    <w:p w14:paraId="0FD7A269" w14:textId="77777777" w:rsidR="00FE49F2" w:rsidRPr="009A5185" w:rsidRDefault="00FE49F2" w:rsidP="00937518">
      <w:pPr>
        <w:jc w:val="center"/>
        <w:rPr>
          <w:rFonts w:cs="Arial"/>
          <w:b/>
          <w:color w:val="4F6228" w:themeColor="accent3" w:themeShade="80"/>
          <w:sz w:val="28"/>
          <w:szCs w:val="28"/>
          <w:highlight w:val="yellow"/>
        </w:rPr>
      </w:pPr>
    </w:p>
    <w:p w14:paraId="5E7E627F" w14:textId="77777777" w:rsidR="00590079" w:rsidRPr="009A5185" w:rsidRDefault="00590079" w:rsidP="00282DDD">
      <w:pPr>
        <w:jc w:val="right"/>
        <w:rPr>
          <w:rFonts w:cs="Arial"/>
          <w:b/>
          <w:sz w:val="28"/>
          <w:szCs w:val="28"/>
          <w:highlight w:val="yellow"/>
        </w:rPr>
      </w:pPr>
    </w:p>
    <w:p w14:paraId="31957F80" w14:textId="77777777" w:rsidR="00590079" w:rsidRPr="009A5185" w:rsidRDefault="00590079" w:rsidP="00590079">
      <w:pPr>
        <w:rPr>
          <w:rFonts w:cs="Arial"/>
          <w:sz w:val="28"/>
          <w:szCs w:val="28"/>
          <w:highlight w:val="yellow"/>
        </w:rPr>
      </w:pPr>
    </w:p>
    <w:p w14:paraId="4F49116A" w14:textId="77777777" w:rsidR="00590079" w:rsidRPr="009A5185" w:rsidRDefault="00590079" w:rsidP="00590079">
      <w:pPr>
        <w:rPr>
          <w:rFonts w:cs="Arial"/>
          <w:sz w:val="28"/>
          <w:szCs w:val="28"/>
          <w:highlight w:val="yellow"/>
        </w:rPr>
      </w:pPr>
    </w:p>
    <w:p w14:paraId="412DE706" w14:textId="77777777" w:rsidR="00590079" w:rsidRPr="009A5185" w:rsidRDefault="00590079" w:rsidP="00590079">
      <w:pPr>
        <w:rPr>
          <w:rFonts w:cs="Arial"/>
          <w:sz w:val="28"/>
          <w:szCs w:val="28"/>
          <w:highlight w:val="yellow"/>
        </w:rPr>
      </w:pPr>
    </w:p>
    <w:p w14:paraId="1904B104" w14:textId="77777777" w:rsidR="00590079" w:rsidRPr="009A5185" w:rsidRDefault="00590079" w:rsidP="00590079">
      <w:pPr>
        <w:rPr>
          <w:rFonts w:cs="Arial"/>
          <w:sz w:val="28"/>
          <w:szCs w:val="28"/>
          <w:highlight w:val="yellow"/>
        </w:rPr>
      </w:pPr>
    </w:p>
    <w:p w14:paraId="6407A624" w14:textId="77777777" w:rsidR="00590079" w:rsidRPr="009A5185" w:rsidRDefault="00590079" w:rsidP="00590079">
      <w:pPr>
        <w:rPr>
          <w:rFonts w:cs="Arial"/>
          <w:sz w:val="28"/>
          <w:szCs w:val="28"/>
          <w:highlight w:val="yellow"/>
        </w:rPr>
      </w:pPr>
    </w:p>
    <w:p w14:paraId="147D9C0E" w14:textId="77777777" w:rsidR="00590079" w:rsidRPr="009A5185" w:rsidRDefault="00590079" w:rsidP="0050320E">
      <w:pPr>
        <w:rPr>
          <w:rFonts w:cs="Arial"/>
          <w:sz w:val="28"/>
          <w:szCs w:val="28"/>
          <w:highlight w:val="yellow"/>
        </w:rPr>
      </w:pPr>
    </w:p>
    <w:p w14:paraId="31D88AEC" w14:textId="77777777" w:rsidR="00590079" w:rsidRPr="009A5185" w:rsidRDefault="00590079" w:rsidP="0050320E">
      <w:pPr>
        <w:rPr>
          <w:rFonts w:cs="Arial"/>
          <w:sz w:val="28"/>
          <w:szCs w:val="28"/>
          <w:highlight w:val="yellow"/>
        </w:rPr>
      </w:pPr>
    </w:p>
    <w:p w14:paraId="05A59F24" w14:textId="0B1A4093" w:rsidR="00C162DC" w:rsidRDefault="00C162DC" w:rsidP="00C162DC">
      <w:pPr>
        <w:pStyle w:val="NormalWeb"/>
      </w:pPr>
    </w:p>
    <w:p w14:paraId="5B563E4C" w14:textId="77777777" w:rsidR="00590079" w:rsidRPr="009A5185" w:rsidRDefault="00590079" w:rsidP="0050320E">
      <w:pPr>
        <w:rPr>
          <w:rFonts w:cs="Arial"/>
          <w:sz w:val="28"/>
          <w:szCs w:val="28"/>
          <w:highlight w:val="yellow"/>
        </w:rPr>
      </w:pPr>
    </w:p>
    <w:p w14:paraId="16A0DD27" w14:textId="77777777" w:rsidR="00590079" w:rsidRPr="009A5185" w:rsidRDefault="00590079" w:rsidP="0050320E">
      <w:pPr>
        <w:rPr>
          <w:rFonts w:cs="Arial"/>
          <w:sz w:val="28"/>
          <w:szCs w:val="28"/>
          <w:highlight w:val="yellow"/>
        </w:rPr>
      </w:pPr>
    </w:p>
    <w:p w14:paraId="3450D817" w14:textId="77777777" w:rsidR="00590079" w:rsidRPr="009A5185" w:rsidRDefault="00590079" w:rsidP="0050320E">
      <w:pPr>
        <w:rPr>
          <w:rFonts w:cs="Arial"/>
          <w:sz w:val="28"/>
          <w:szCs w:val="28"/>
          <w:highlight w:val="yellow"/>
        </w:rPr>
      </w:pPr>
    </w:p>
    <w:p w14:paraId="1C7EC9AB" w14:textId="05C4A46C" w:rsidR="00590079" w:rsidRPr="009A5185" w:rsidRDefault="00590079" w:rsidP="00CF0B79">
      <w:pPr>
        <w:rPr>
          <w:rFonts w:cs="Arial"/>
          <w:sz w:val="28"/>
          <w:szCs w:val="28"/>
          <w:highlight w:val="yellow"/>
        </w:rPr>
      </w:pPr>
    </w:p>
    <w:p w14:paraId="470B5A65" w14:textId="74A6A04D" w:rsidR="00590079" w:rsidRPr="009A5185" w:rsidRDefault="00590079" w:rsidP="00CF40BC">
      <w:pPr>
        <w:rPr>
          <w:rFonts w:cs="Arial"/>
          <w:sz w:val="28"/>
          <w:szCs w:val="28"/>
          <w:highlight w:val="yellow"/>
        </w:rPr>
      </w:pPr>
    </w:p>
    <w:p w14:paraId="1997B427" w14:textId="6B7848B8" w:rsidR="00590079" w:rsidRPr="009A5185" w:rsidRDefault="00590079" w:rsidP="007A1594">
      <w:pPr>
        <w:rPr>
          <w:rFonts w:cs="Arial"/>
          <w:sz w:val="28"/>
          <w:szCs w:val="28"/>
          <w:highlight w:val="yellow"/>
        </w:rPr>
      </w:pPr>
    </w:p>
    <w:p w14:paraId="6BE6FF60" w14:textId="32565F2D" w:rsidR="00590079" w:rsidRPr="009A5185" w:rsidRDefault="00590079" w:rsidP="00B55902">
      <w:pPr>
        <w:rPr>
          <w:rFonts w:cs="Arial"/>
          <w:sz w:val="28"/>
          <w:szCs w:val="28"/>
          <w:highlight w:val="yellow"/>
        </w:rPr>
      </w:pPr>
    </w:p>
    <w:p w14:paraId="17E00375" w14:textId="673EF79D" w:rsidR="00590079" w:rsidRPr="009A5185" w:rsidRDefault="00590079" w:rsidP="00B55902">
      <w:pPr>
        <w:rPr>
          <w:rFonts w:cs="Arial"/>
          <w:sz w:val="28"/>
          <w:szCs w:val="28"/>
          <w:highlight w:val="yellow"/>
        </w:rPr>
      </w:pPr>
    </w:p>
    <w:p w14:paraId="07F16378" w14:textId="3BAA32D0" w:rsidR="00590079" w:rsidRPr="009A5185" w:rsidRDefault="00590079" w:rsidP="00B55902">
      <w:pPr>
        <w:rPr>
          <w:rFonts w:cs="Arial"/>
          <w:sz w:val="28"/>
          <w:szCs w:val="28"/>
          <w:highlight w:val="yellow"/>
        </w:rPr>
      </w:pPr>
    </w:p>
    <w:p w14:paraId="52819C67" w14:textId="58CDBCEA" w:rsidR="00590079" w:rsidRPr="009A5185" w:rsidRDefault="00590079" w:rsidP="00B55902">
      <w:pPr>
        <w:rPr>
          <w:rFonts w:cs="Arial"/>
          <w:sz w:val="28"/>
          <w:szCs w:val="28"/>
          <w:highlight w:val="yellow"/>
        </w:rPr>
      </w:pPr>
    </w:p>
    <w:p w14:paraId="515A02E5" w14:textId="64D2F821" w:rsidR="00590079" w:rsidRPr="009A5185" w:rsidRDefault="00590079" w:rsidP="005E1FC5">
      <w:pPr>
        <w:jc w:val="center"/>
        <w:rPr>
          <w:rFonts w:cs="Arial"/>
          <w:sz w:val="28"/>
          <w:szCs w:val="28"/>
          <w:highlight w:val="yellow"/>
        </w:rPr>
      </w:pPr>
    </w:p>
    <w:p w14:paraId="052DDF1D" w14:textId="54ADFC7C" w:rsidR="00590079" w:rsidRPr="009A5185" w:rsidRDefault="00590079" w:rsidP="005B7128">
      <w:pPr>
        <w:rPr>
          <w:rFonts w:cs="Arial"/>
          <w:sz w:val="28"/>
          <w:szCs w:val="28"/>
          <w:highlight w:val="yellow"/>
        </w:rPr>
      </w:pPr>
    </w:p>
    <w:p w14:paraId="4BD51FCB" w14:textId="45F9812E" w:rsidR="00590079" w:rsidRPr="009A5185" w:rsidRDefault="00590079" w:rsidP="005B7128">
      <w:pPr>
        <w:rPr>
          <w:rFonts w:cs="Arial"/>
          <w:sz w:val="28"/>
          <w:szCs w:val="28"/>
          <w:highlight w:val="yellow"/>
        </w:rPr>
      </w:pPr>
    </w:p>
    <w:p w14:paraId="4A319ACB" w14:textId="67DC6AE5" w:rsidR="00590079" w:rsidRPr="009A5185" w:rsidRDefault="00590079" w:rsidP="00590079">
      <w:pPr>
        <w:rPr>
          <w:rFonts w:cs="Arial"/>
          <w:sz w:val="28"/>
          <w:szCs w:val="28"/>
          <w:highlight w:val="yellow"/>
        </w:rPr>
      </w:pPr>
    </w:p>
    <w:p w14:paraId="6C0C34BC" w14:textId="0DFDBF51" w:rsidR="009468FF" w:rsidRDefault="00120088" w:rsidP="009468FF">
      <w:pPr>
        <w:ind w:left="2880"/>
        <w:rPr>
          <w:noProof/>
        </w:rPr>
      </w:pPr>
      <w:r w:rsidRPr="009A5185">
        <w:rPr>
          <w:rFonts w:cs="Arial"/>
          <w:noProof/>
          <w:sz w:val="28"/>
          <w:szCs w:val="28"/>
        </w:rPr>
        <w:drawing>
          <wp:anchor distT="0" distB="0" distL="114300" distR="114300" simplePos="0" relativeHeight="251658245" behindDoc="0" locked="0" layoutInCell="1" allowOverlap="1" wp14:anchorId="518B3BE7" wp14:editId="4F6E58D1">
            <wp:simplePos x="0" y="0"/>
            <wp:positionH relativeFrom="margin">
              <wp:posOffset>1828800</wp:posOffset>
            </wp:positionH>
            <wp:positionV relativeFrom="margin">
              <wp:posOffset>7449820</wp:posOffset>
            </wp:positionV>
            <wp:extent cx="2506980" cy="1114425"/>
            <wp:effectExtent l="0" t="0" r="7620" b="9525"/>
            <wp:wrapSquare wrapText="bothSides"/>
            <wp:docPr id="4" name="Picture 4" descr="P3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34#y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980" cy="1114425"/>
                    </a:xfrm>
                    <a:prstGeom prst="rect">
                      <a:avLst/>
                    </a:prstGeom>
                    <a:noFill/>
                    <a:ln>
                      <a:noFill/>
                    </a:ln>
                  </pic:spPr>
                </pic:pic>
              </a:graphicData>
            </a:graphic>
          </wp:anchor>
        </w:drawing>
      </w:r>
    </w:p>
    <w:p w14:paraId="779423CE" w14:textId="58E3082B" w:rsidR="00120088" w:rsidRDefault="00120088" w:rsidP="009468FF">
      <w:pPr>
        <w:ind w:left="2880"/>
        <w:rPr>
          <w:noProof/>
        </w:rPr>
      </w:pPr>
    </w:p>
    <w:p w14:paraId="4388ED39" w14:textId="77777777" w:rsidR="00120088" w:rsidRDefault="00120088" w:rsidP="009468FF">
      <w:pPr>
        <w:ind w:left="2880"/>
        <w:rPr>
          <w:noProof/>
        </w:rPr>
      </w:pPr>
    </w:p>
    <w:p w14:paraId="3E89DE60" w14:textId="77777777" w:rsidR="00120088" w:rsidRDefault="00120088" w:rsidP="009468FF">
      <w:pPr>
        <w:ind w:left="2880"/>
        <w:rPr>
          <w:noProof/>
        </w:rPr>
      </w:pPr>
    </w:p>
    <w:p w14:paraId="03F2B0B9" w14:textId="77777777" w:rsidR="00120088" w:rsidRDefault="00120088" w:rsidP="009468FF">
      <w:pPr>
        <w:ind w:left="2880"/>
        <w:rPr>
          <w:rFonts w:cs="Arial"/>
          <w:sz w:val="28"/>
          <w:szCs w:val="28"/>
          <w:highlight w:val="yellow"/>
        </w:rPr>
      </w:pPr>
    </w:p>
    <w:p w14:paraId="1E3851E3" w14:textId="77777777" w:rsidR="00123854" w:rsidRDefault="00123854" w:rsidP="00D92CB0"/>
    <w:p w14:paraId="128B1224" w14:textId="1C6F896A" w:rsidR="001B07B8" w:rsidRPr="009A5185" w:rsidRDefault="001B07B8" w:rsidP="00CF5A6E">
      <w:pPr>
        <w:pStyle w:val="Heading2"/>
        <w:rPr>
          <w:color w:val="17365D" w:themeColor="text2" w:themeShade="BF"/>
        </w:rPr>
      </w:pPr>
      <w:bookmarkStart w:id="1" w:name="_Toc225877635"/>
      <w:bookmarkStart w:id="2" w:name="TOC"/>
      <w:r w:rsidRPr="00BD429F">
        <w:lastRenderedPageBreak/>
        <w:t>Table of Contents</w:t>
      </w:r>
      <w:bookmarkEnd w:id="1"/>
      <w:r w:rsidRPr="009A5185">
        <w:rPr>
          <w:color w:val="17365D" w:themeColor="text2" w:themeShade="BF"/>
        </w:rPr>
        <w:t xml:space="preserve"> </w:t>
      </w:r>
      <w:bookmarkEnd w:id="2"/>
    </w:p>
    <w:p w14:paraId="7C43A46C" w14:textId="77777777" w:rsidR="00AB61D4" w:rsidRPr="00A7030E" w:rsidRDefault="00AB61D4" w:rsidP="00644EC7">
      <w:pPr>
        <w:jc w:val="center"/>
        <w:rPr>
          <w:rFonts w:cs="Arial"/>
          <w:b/>
          <w:color w:val="4F6228" w:themeColor="accent3" w:themeShade="80"/>
          <w:highlight w:val="yellow"/>
        </w:rPr>
      </w:pPr>
    </w:p>
    <w:bookmarkStart w:id="3" w:name="_Hlk36567811"/>
    <w:p w14:paraId="2920CCED" w14:textId="0D7F5EAB" w:rsidR="003C1BA0" w:rsidRPr="000E4A30" w:rsidRDefault="004656A6">
      <w:pPr>
        <w:pStyle w:val="TOC4"/>
        <w:rPr>
          <w:rFonts w:eastAsiaTheme="minorEastAsia" w:cs="Arial"/>
          <w:noProof/>
          <w:kern w:val="2"/>
          <w14:ligatures w14:val="standardContextual"/>
        </w:rPr>
      </w:pPr>
      <w:r w:rsidRPr="000E4A30">
        <w:rPr>
          <w:rFonts w:cs="Arial"/>
        </w:rPr>
        <w:fldChar w:fldCharType="begin"/>
      </w:r>
      <w:r w:rsidRPr="000E4A30">
        <w:rPr>
          <w:rFonts w:cs="Arial"/>
        </w:rPr>
        <w:instrText xml:space="preserve"> TOC \h \z \t "Heading 1,3,Heading 2,4,Heading 3,5,Heading 4,6,Title,2,Section Header,1" </w:instrText>
      </w:r>
      <w:r w:rsidRPr="000E4A30">
        <w:rPr>
          <w:rFonts w:cs="Arial"/>
        </w:rPr>
        <w:fldChar w:fldCharType="separate"/>
      </w:r>
      <w:hyperlink w:anchor="_Toc225877635" w:history="1">
        <w:r w:rsidR="003C1BA0" w:rsidRPr="000E4A30">
          <w:rPr>
            <w:rStyle w:val="Hyperlink"/>
            <w:rFonts w:cs="Arial"/>
            <w:noProof/>
          </w:rPr>
          <w:t>Table of Contents</w:t>
        </w:r>
        <w:r w:rsidR="003C1BA0" w:rsidRPr="000E4A30">
          <w:rPr>
            <w:rFonts w:cs="Arial"/>
            <w:noProof/>
            <w:webHidden/>
          </w:rPr>
          <w:tab/>
        </w:r>
        <w:r w:rsidR="003C1BA0" w:rsidRPr="000E4A30">
          <w:rPr>
            <w:rFonts w:cs="Arial"/>
            <w:noProof/>
            <w:webHidden/>
          </w:rPr>
          <w:fldChar w:fldCharType="begin"/>
        </w:r>
        <w:r w:rsidR="003C1BA0" w:rsidRPr="000E4A30">
          <w:rPr>
            <w:rFonts w:cs="Arial"/>
            <w:noProof/>
            <w:webHidden/>
          </w:rPr>
          <w:instrText xml:space="preserve"> PAGEREF _Toc225877635 \h </w:instrText>
        </w:r>
        <w:r w:rsidR="003C1BA0" w:rsidRPr="000E4A30">
          <w:rPr>
            <w:rFonts w:cs="Arial"/>
            <w:noProof/>
            <w:webHidden/>
          </w:rPr>
        </w:r>
        <w:r w:rsidR="003C1BA0" w:rsidRPr="000E4A30">
          <w:rPr>
            <w:rFonts w:cs="Arial"/>
            <w:noProof/>
            <w:webHidden/>
          </w:rPr>
          <w:fldChar w:fldCharType="separate"/>
        </w:r>
        <w:r w:rsidR="002C0DFB">
          <w:rPr>
            <w:rFonts w:cs="Arial"/>
            <w:noProof/>
            <w:webHidden/>
          </w:rPr>
          <w:t>2</w:t>
        </w:r>
        <w:r w:rsidR="003C1BA0" w:rsidRPr="000E4A30">
          <w:rPr>
            <w:rFonts w:cs="Arial"/>
            <w:noProof/>
            <w:webHidden/>
          </w:rPr>
          <w:fldChar w:fldCharType="end"/>
        </w:r>
      </w:hyperlink>
    </w:p>
    <w:p w14:paraId="6A626B8C" w14:textId="31D51FBD" w:rsidR="003C1BA0" w:rsidRPr="000E4A30" w:rsidRDefault="003C1BA0">
      <w:pPr>
        <w:pStyle w:val="TOC1"/>
        <w:rPr>
          <w:rFonts w:eastAsiaTheme="minorEastAsia" w:cs="Arial"/>
          <w:noProof/>
          <w:kern w:val="2"/>
          <w14:ligatures w14:val="standardContextual"/>
        </w:rPr>
      </w:pPr>
      <w:hyperlink w:anchor="_Toc225877636" w:history="1">
        <w:r w:rsidRPr="000E4A30">
          <w:rPr>
            <w:rStyle w:val="Hyperlink"/>
            <w:rFonts w:cs="Arial"/>
            <w:noProof/>
          </w:rPr>
          <w:t>Welcome to the 2026 Leapfrog Hospital Survey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_Toc225877636 \h </w:instrText>
        </w:r>
        <w:r w:rsidRPr="000E4A30">
          <w:rPr>
            <w:rFonts w:cs="Arial"/>
            <w:noProof/>
            <w:webHidden/>
          </w:rPr>
        </w:r>
        <w:r w:rsidRPr="000E4A30">
          <w:rPr>
            <w:rFonts w:cs="Arial"/>
            <w:noProof/>
            <w:webHidden/>
          </w:rPr>
          <w:fldChar w:fldCharType="separate"/>
        </w:r>
        <w:r w:rsidR="002C0DFB">
          <w:rPr>
            <w:rFonts w:cs="Arial"/>
            <w:noProof/>
            <w:webHidden/>
          </w:rPr>
          <w:t>9</w:t>
        </w:r>
        <w:r w:rsidRPr="000E4A30">
          <w:rPr>
            <w:rFonts w:cs="Arial"/>
            <w:noProof/>
            <w:webHidden/>
          </w:rPr>
          <w:fldChar w:fldCharType="end"/>
        </w:r>
      </w:hyperlink>
    </w:p>
    <w:p w14:paraId="5CC4D6B0" w14:textId="0556A103" w:rsidR="003C1BA0" w:rsidRPr="000E4A30" w:rsidRDefault="003C1BA0">
      <w:pPr>
        <w:pStyle w:val="TOC4"/>
        <w:rPr>
          <w:rFonts w:eastAsiaTheme="minorEastAsia" w:cs="Arial"/>
          <w:noProof/>
          <w:kern w:val="2"/>
          <w14:ligatures w14:val="standardContextual"/>
        </w:rPr>
      </w:pPr>
      <w:hyperlink w:anchor="_Toc225877637" w:history="1">
        <w:r w:rsidRPr="000E4A30">
          <w:rPr>
            <w:rStyle w:val="Hyperlink"/>
            <w:rFonts w:cs="Arial"/>
            <w:noProof/>
          </w:rPr>
          <w:t>Important Notes About the 2026 Survey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_Toc225877637 \h </w:instrText>
        </w:r>
        <w:r w:rsidRPr="000E4A30">
          <w:rPr>
            <w:rFonts w:cs="Arial"/>
            <w:noProof/>
            <w:webHidden/>
          </w:rPr>
        </w:r>
        <w:r w:rsidRPr="000E4A30">
          <w:rPr>
            <w:rFonts w:cs="Arial"/>
            <w:noProof/>
            <w:webHidden/>
          </w:rPr>
          <w:fldChar w:fldCharType="separate"/>
        </w:r>
        <w:r w:rsidR="002C0DFB">
          <w:rPr>
            <w:rFonts w:cs="Arial"/>
            <w:noProof/>
            <w:webHidden/>
          </w:rPr>
          <w:t>9</w:t>
        </w:r>
        <w:r w:rsidRPr="000E4A30">
          <w:rPr>
            <w:rFonts w:cs="Arial"/>
            <w:noProof/>
            <w:webHidden/>
          </w:rPr>
          <w:fldChar w:fldCharType="end"/>
        </w:r>
      </w:hyperlink>
    </w:p>
    <w:p w14:paraId="066D0F4F" w14:textId="68A02AE8" w:rsidR="003C1BA0" w:rsidRPr="000E4A30" w:rsidRDefault="003C1BA0">
      <w:pPr>
        <w:pStyle w:val="TOC4"/>
        <w:rPr>
          <w:rFonts w:eastAsiaTheme="minorEastAsia" w:cs="Arial"/>
          <w:noProof/>
          <w:kern w:val="2"/>
          <w14:ligatures w14:val="standardContextual"/>
        </w:rPr>
      </w:pPr>
      <w:hyperlink w:anchor="_Toc225877638" w:history="1">
        <w:r w:rsidRPr="000E4A30">
          <w:rPr>
            <w:rStyle w:val="Hyperlink"/>
            <w:rFonts w:cs="Arial"/>
            <w:noProof/>
          </w:rPr>
          <w:t>Overview of the 2026 Leapfrog Hospital Survey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_Toc225877638 \h </w:instrText>
        </w:r>
        <w:r w:rsidRPr="000E4A30">
          <w:rPr>
            <w:rFonts w:cs="Arial"/>
            <w:noProof/>
            <w:webHidden/>
          </w:rPr>
        </w:r>
        <w:r w:rsidRPr="000E4A30">
          <w:rPr>
            <w:rFonts w:cs="Arial"/>
            <w:noProof/>
            <w:webHidden/>
          </w:rPr>
          <w:fldChar w:fldCharType="separate"/>
        </w:r>
        <w:r w:rsidR="002C0DFB">
          <w:rPr>
            <w:rFonts w:cs="Arial"/>
            <w:noProof/>
            <w:webHidden/>
          </w:rPr>
          <w:t>11</w:t>
        </w:r>
        <w:r w:rsidRPr="000E4A30">
          <w:rPr>
            <w:rFonts w:cs="Arial"/>
            <w:noProof/>
            <w:webHidden/>
          </w:rPr>
          <w:fldChar w:fldCharType="end"/>
        </w:r>
      </w:hyperlink>
    </w:p>
    <w:p w14:paraId="20F0F65C" w14:textId="617ADD7E" w:rsidR="003C1BA0" w:rsidRPr="000E4A30" w:rsidRDefault="003C1BA0">
      <w:pPr>
        <w:pStyle w:val="TOC4"/>
        <w:rPr>
          <w:rFonts w:eastAsiaTheme="minorEastAsia" w:cs="Arial"/>
          <w:noProof/>
          <w:kern w:val="2"/>
          <w14:ligatures w14:val="standardContextual"/>
        </w:rPr>
      </w:pPr>
      <w:hyperlink w:anchor="_Toc225877639" w:history="1">
        <w:r w:rsidRPr="000E4A30">
          <w:rPr>
            <w:rStyle w:val="Hyperlink"/>
            <w:rFonts w:cs="Arial"/>
            <w:noProof/>
          </w:rPr>
          <w:t>Pre-Submission Checklist</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_Toc225877639 \h </w:instrText>
        </w:r>
        <w:r w:rsidRPr="000E4A30">
          <w:rPr>
            <w:rFonts w:cs="Arial"/>
            <w:noProof/>
            <w:webHidden/>
          </w:rPr>
        </w:r>
        <w:r w:rsidRPr="000E4A30">
          <w:rPr>
            <w:rFonts w:cs="Arial"/>
            <w:noProof/>
            <w:webHidden/>
          </w:rPr>
          <w:fldChar w:fldCharType="separate"/>
        </w:r>
        <w:r w:rsidR="002C0DFB">
          <w:rPr>
            <w:rFonts w:cs="Arial"/>
            <w:noProof/>
            <w:webHidden/>
          </w:rPr>
          <w:t>14</w:t>
        </w:r>
        <w:r w:rsidRPr="000E4A30">
          <w:rPr>
            <w:rFonts w:cs="Arial"/>
            <w:noProof/>
            <w:webHidden/>
          </w:rPr>
          <w:fldChar w:fldCharType="end"/>
        </w:r>
      </w:hyperlink>
    </w:p>
    <w:p w14:paraId="5727E4C9" w14:textId="108B5582" w:rsidR="003C1BA0" w:rsidRPr="000E4A30" w:rsidRDefault="003C1BA0">
      <w:pPr>
        <w:pStyle w:val="TOC4"/>
        <w:rPr>
          <w:rFonts w:eastAsiaTheme="minorEastAsia" w:cs="Arial"/>
          <w:noProof/>
          <w:kern w:val="2"/>
          <w14:ligatures w14:val="standardContextual"/>
        </w:rPr>
      </w:pPr>
      <w:hyperlink w:anchor="_Toc225877640" w:history="1">
        <w:r w:rsidRPr="000E4A30">
          <w:rPr>
            <w:rStyle w:val="Hyperlink"/>
            <w:rFonts w:cs="Arial"/>
            <w:noProof/>
          </w:rPr>
          <w:t>Instructions for Submitting a Leapfrog Hospital Survey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_Toc225877640 \h </w:instrText>
        </w:r>
        <w:r w:rsidRPr="000E4A30">
          <w:rPr>
            <w:rFonts w:cs="Arial"/>
            <w:noProof/>
            <w:webHidden/>
          </w:rPr>
        </w:r>
        <w:r w:rsidRPr="000E4A30">
          <w:rPr>
            <w:rFonts w:cs="Arial"/>
            <w:noProof/>
            <w:webHidden/>
          </w:rPr>
          <w:fldChar w:fldCharType="separate"/>
        </w:r>
        <w:r w:rsidR="002C0DFB">
          <w:rPr>
            <w:rFonts w:cs="Arial"/>
            <w:noProof/>
            <w:webHidden/>
          </w:rPr>
          <w:t>15</w:t>
        </w:r>
        <w:r w:rsidRPr="000E4A30">
          <w:rPr>
            <w:rFonts w:cs="Arial"/>
            <w:noProof/>
            <w:webHidden/>
          </w:rPr>
          <w:fldChar w:fldCharType="end"/>
        </w:r>
      </w:hyperlink>
    </w:p>
    <w:p w14:paraId="3080EA28" w14:textId="7B1B9ED5" w:rsidR="003C1BA0" w:rsidRPr="000E4A30" w:rsidRDefault="003C1BA0">
      <w:pPr>
        <w:pStyle w:val="TOC5"/>
        <w:rPr>
          <w:rFonts w:ascii="Arial" w:hAnsi="Arial" w:cs="Arial"/>
          <w:noProof/>
          <w:kern w:val="2"/>
          <w:sz w:val="20"/>
          <w:szCs w:val="20"/>
          <w14:ligatures w14:val="standardContextual"/>
        </w:rPr>
      </w:pPr>
      <w:hyperlink w:anchor="_Toc225877641" w:history="1">
        <w:r w:rsidRPr="000E4A30">
          <w:rPr>
            <w:rStyle w:val="Hyperlink"/>
            <w:rFonts w:ascii="Arial" w:hAnsi="Arial" w:cs="Arial"/>
            <w:noProof/>
            <w:sz w:val="20"/>
            <w:szCs w:val="20"/>
          </w:rPr>
          <w:t>Reporting Policy Following Cybersecurity Events and Natural Disasters or CMS Extraordinary Circumstances Exception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_Toc225877641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16</w:t>
        </w:r>
        <w:r w:rsidRPr="000E4A30">
          <w:rPr>
            <w:rFonts w:ascii="Arial" w:hAnsi="Arial" w:cs="Arial"/>
            <w:noProof/>
            <w:webHidden/>
            <w:sz w:val="20"/>
            <w:szCs w:val="20"/>
          </w:rPr>
          <w:fldChar w:fldCharType="end"/>
        </w:r>
      </w:hyperlink>
    </w:p>
    <w:p w14:paraId="5CA3D307" w14:textId="5E8AECF0" w:rsidR="003C1BA0" w:rsidRPr="000E4A30" w:rsidRDefault="003C1BA0">
      <w:pPr>
        <w:pStyle w:val="TOC5"/>
        <w:rPr>
          <w:rFonts w:ascii="Arial" w:hAnsi="Arial" w:cs="Arial"/>
          <w:noProof/>
          <w:kern w:val="2"/>
          <w:sz w:val="20"/>
          <w:szCs w:val="20"/>
          <w14:ligatures w14:val="standardContextual"/>
        </w:rPr>
      </w:pPr>
      <w:hyperlink w:anchor="_Toc225877642" w:history="1">
        <w:r w:rsidRPr="000E4A30">
          <w:rPr>
            <w:rStyle w:val="Hyperlink"/>
            <w:rFonts w:ascii="Arial" w:hAnsi="Arial" w:cs="Arial"/>
            <w:noProof/>
            <w:sz w:val="20"/>
            <w:szCs w:val="20"/>
          </w:rPr>
          <w:t>Verifying Submission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_Toc225877642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16</w:t>
        </w:r>
        <w:r w:rsidRPr="000E4A30">
          <w:rPr>
            <w:rFonts w:ascii="Arial" w:hAnsi="Arial" w:cs="Arial"/>
            <w:noProof/>
            <w:webHidden/>
            <w:sz w:val="20"/>
            <w:szCs w:val="20"/>
          </w:rPr>
          <w:fldChar w:fldCharType="end"/>
        </w:r>
      </w:hyperlink>
    </w:p>
    <w:p w14:paraId="13E38CDC" w14:textId="54A2CDEB" w:rsidR="003C1BA0" w:rsidRPr="000E4A30" w:rsidRDefault="003C1BA0">
      <w:pPr>
        <w:pStyle w:val="TOC5"/>
        <w:rPr>
          <w:rFonts w:ascii="Arial" w:hAnsi="Arial" w:cs="Arial"/>
          <w:noProof/>
          <w:kern w:val="2"/>
          <w:sz w:val="20"/>
          <w:szCs w:val="20"/>
          <w14:ligatures w14:val="standardContextual"/>
        </w:rPr>
      </w:pPr>
      <w:hyperlink w:anchor="_Toc225877643" w:history="1">
        <w:r w:rsidRPr="000E4A30">
          <w:rPr>
            <w:rStyle w:val="Hyperlink"/>
            <w:rFonts w:ascii="Arial" w:hAnsi="Arial" w:cs="Arial"/>
            <w:noProof/>
            <w:sz w:val="20"/>
            <w:szCs w:val="20"/>
          </w:rPr>
          <w:t>Updating or Correcting a Previously Submitted Leapfrog Hospital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_Toc225877643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17</w:t>
        </w:r>
        <w:r w:rsidRPr="000E4A30">
          <w:rPr>
            <w:rFonts w:ascii="Arial" w:hAnsi="Arial" w:cs="Arial"/>
            <w:noProof/>
            <w:webHidden/>
            <w:sz w:val="20"/>
            <w:szCs w:val="20"/>
          </w:rPr>
          <w:fldChar w:fldCharType="end"/>
        </w:r>
      </w:hyperlink>
    </w:p>
    <w:p w14:paraId="1B9F9B2E" w14:textId="2FB5644C" w:rsidR="003C1BA0" w:rsidRPr="000E4A30" w:rsidRDefault="003C1BA0">
      <w:pPr>
        <w:pStyle w:val="TOC5"/>
        <w:rPr>
          <w:rFonts w:ascii="Arial" w:hAnsi="Arial" w:cs="Arial"/>
          <w:noProof/>
          <w:kern w:val="2"/>
          <w:sz w:val="20"/>
          <w:szCs w:val="20"/>
          <w14:ligatures w14:val="standardContextual"/>
        </w:rPr>
      </w:pPr>
      <w:hyperlink w:anchor="_Toc225877644" w:history="1">
        <w:r w:rsidRPr="000E4A30">
          <w:rPr>
            <w:rStyle w:val="Hyperlink"/>
            <w:rFonts w:ascii="Arial" w:hAnsi="Arial" w:cs="Arial"/>
            <w:noProof/>
            <w:sz w:val="20"/>
            <w:szCs w:val="20"/>
          </w:rPr>
          <w:t>Updating a Survey After Receiving a Help Desk Email</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_Toc225877644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17</w:t>
        </w:r>
        <w:r w:rsidRPr="000E4A30">
          <w:rPr>
            <w:rFonts w:ascii="Arial" w:hAnsi="Arial" w:cs="Arial"/>
            <w:noProof/>
            <w:webHidden/>
            <w:sz w:val="20"/>
            <w:szCs w:val="20"/>
          </w:rPr>
          <w:fldChar w:fldCharType="end"/>
        </w:r>
      </w:hyperlink>
    </w:p>
    <w:p w14:paraId="55110395" w14:textId="69965DD4" w:rsidR="003C1BA0" w:rsidRPr="000E4A30" w:rsidRDefault="003C1BA0">
      <w:pPr>
        <w:pStyle w:val="TOC5"/>
        <w:rPr>
          <w:rFonts w:ascii="Arial" w:hAnsi="Arial" w:cs="Arial"/>
          <w:noProof/>
          <w:kern w:val="2"/>
          <w:sz w:val="20"/>
          <w:szCs w:val="20"/>
          <w14:ligatures w14:val="standardContextual"/>
        </w:rPr>
      </w:pPr>
      <w:hyperlink w:anchor="_Toc225877645" w:history="1">
        <w:r w:rsidRPr="000E4A30">
          <w:rPr>
            <w:rStyle w:val="Hyperlink"/>
            <w:rFonts w:ascii="Arial" w:hAnsi="Arial" w:cs="Arial"/>
            <w:noProof/>
            <w:sz w:val="20"/>
            <w:szCs w:val="20"/>
          </w:rPr>
          <w:t>Updating a Survey Following On-Site Data Verification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_Toc225877645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17</w:t>
        </w:r>
        <w:r w:rsidRPr="000E4A30">
          <w:rPr>
            <w:rFonts w:ascii="Arial" w:hAnsi="Arial" w:cs="Arial"/>
            <w:noProof/>
            <w:webHidden/>
            <w:sz w:val="20"/>
            <w:szCs w:val="20"/>
          </w:rPr>
          <w:fldChar w:fldCharType="end"/>
        </w:r>
      </w:hyperlink>
    </w:p>
    <w:p w14:paraId="08C35D19" w14:textId="6C3FA3FC" w:rsidR="003C1BA0" w:rsidRPr="000E4A30" w:rsidRDefault="003C1BA0">
      <w:pPr>
        <w:pStyle w:val="TOC5"/>
        <w:rPr>
          <w:rFonts w:ascii="Arial" w:hAnsi="Arial" w:cs="Arial"/>
          <w:noProof/>
          <w:kern w:val="2"/>
          <w:sz w:val="20"/>
          <w:szCs w:val="20"/>
          <w14:ligatures w14:val="standardContextual"/>
        </w:rPr>
      </w:pPr>
      <w:hyperlink w:anchor="_Toc225877646" w:history="1">
        <w:r w:rsidRPr="000E4A30">
          <w:rPr>
            <w:rStyle w:val="Hyperlink"/>
            <w:rFonts w:ascii="Arial" w:hAnsi="Arial" w:cs="Arial"/>
            <w:noProof/>
            <w:sz w:val="20"/>
            <w:szCs w:val="20"/>
          </w:rPr>
          <w:t>Making General Updates (for hospitals that have not received a Help Desk email)</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_Toc225877646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18</w:t>
        </w:r>
        <w:r w:rsidRPr="000E4A30">
          <w:rPr>
            <w:rFonts w:ascii="Arial" w:hAnsi="Arial" w:cs="Arial"/>
            <w:noProof/>
            <w:webHidden/>
            <w:sz w:val="20"/>
            <w:szCs w:val="20"/>
          </w:rPr>
          <w:fldChar w:fldCharType="end"/>
        </w:r>
      </w:hyperlink>
    </w:p>
    <w:p w14:paraId="49D7461F" w14:textId="3A0CD8B0" w:rsidR="003C1BA0" w:rsidRPr="000E4A30" w:rsidRDefault="003C1BA0">
      <w:pPr>
        <w:pStyle w:val="TOC4"/>
        <w:rPr>
          <w:rFonts w:eastAsiaTheme="minorEastAsia" w:cs="Arial"/>
          <w:noProof/>
          <w:kern w:val="2"/>
          <w14:ligatures w14:val="standardContextual"/>
        </w:rPr>
      </w:pPr>
      <w:hyperlink w:anchor="_Toc225877647" w:history="1">
        <w:r w:rsidRPr="000E4A30">
          <w:rPr>
            <w:rStyle w:val="Hyperlink"/>
            <w:rFonts w:cs="Arial"/>
            <w:noProof/>
          </w:rPr>
          <w:t>Deadlines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_Toc225877647 \h </w:instrText>
        </w:r>
        <w:r w:rsidRPr="000E4A30">
          <w:rPr>
            <w:rFonts w:cs="Arial"/>
            <w:noProof/>
            <w:webHidden/>
          </w:rPr>
        </w:r>
        <w:r w:rsidRPr="000E4A30">
          <w:rPr>
            <w:rFonts w:cs="Arial"/>
            <w:noProof/>
            <w:webHidden/>
          </w:rPr>
          <w:fldChar w:fldCharType="separate"/>
        </w:r>
        <w:r w:rsidR="002C0DFB">
          <w:rPr>
            <w:rFonts w:cs="Arial"/>
            <w:noProof/>
            <w:webHidden/>
          </w:rPr>
          <w:t>19</w:t>
        </w:r>
        <w:r w:rsidRPr="000E4A30">
          <w:rPr>
            <w:rFonts w:cs="Arial"/>
            <w:noProof/>
            <w:webHidden/>
          </w:rPr>
          <w:fldChar w:fldCharType="end"/>
        </w:r>
      </w:hyperlink>
    </w:p>
    <w:p w14:paraId="62A9FC62" w14:textId="3C23D775" w:rsidR="003C1BA0" w:rsidRPr="000E4A30" w:rsidRDefault="003C1BA0">
      <w:pPr>
        <w:pStyle w:val="TOC5"/>
        <w:rPr>
          <w:rFonts w:ascii="Arial" w:hAnsi="Arial" w:cs="Arial"/>
          <w:noProof/>
          <w:kern w:val="2"/>
          <w:sz w:val="20"/>
          <w:szCs w:val="20"/>
          <w14:ligatures w14:val="standardContextual"/>
        </w:rPr>
      </w:pPr>
      <w:hyperlink w:anchor="_Toc225877648" w:history="1">
        <w:r w:rsidRPr="000E4A30">
          <w:rPr>
            <w:rStyle w:val="Hyperlink"/>
            <w:rFonts w:ascii="Arial" w:hAnsi="Arial" w:cs="Arial"/>
            <w:noProof/>
            <w:sz w:val="20"/>
            <w:szCs w:val="20"/>
          </w:rPr>
          <w:t>Deadlines for the 2026 Leapfrog Hospital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_Toc225877648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w:t>
        </w:r>
        <w:r w:rsidRPr="000E4A30">
          <w:rPr>
            <w:rFonts w:ascii="Arial" w:hAnsi="Arial" w:cs="Arial"/>
            <w:noProof/>
            <w:webHidden/>
            <w:sz w:val="20"/>
            <w:szCs w:val="20"/>
          </w:rPr>
          <w:fldChar w:fldCharType="end"/>
        </w:r>
      </w:hyperlink>
    </w:p>
    <w:p w14:paraId="2E4435BC" w14:textId="60F50280" w:rsidR="003C1BA0" w:rsidRPr="000E4A30" w:rsidRDefault="003C1BA0">
      <w:pPr>
        <w:pStyle w:val="TOC5"/>
        <w:rPr>
          <w:rFonts w:ascii="Arial" w:hAnsi="Arial" w:cs="Arial"/>
          <w:noProof/>
          <w:kern w:val="2"/>
          <w:sz w:val="20"/>
          <w:szCs w:val="20"/>
          <w14:ligatures w14:val="standardContextual"/>
        </w:rPr>
      </w:pPr>
      <w:hyperlink w:anchor="_Toc225877649" w:history="1">
        <w:r w:rsidRPr="000E4A30">
          <w:rPr>
            <w:rStyle w:val="Hyperlink"/>
            <w:rFonts w:ascii="Arial" w:hAnsi="Arial" w:cs="Arial"/>
            <w:noProof/>
            <w:sz w:val="20"/>
            <w:szCs w:val="20"/>
          </w:rPr>
          <w:t>Deadlines for Vermont Oxford Network Data</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_Toc225877649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w:t>
        </w:r>
        <w:r w:rsidRPr="000E4A30">
          <w:rPr>
            <w:rFonts w:ascii="Arial" w:hAnsi="Arial" w:cs="Arial"/>
            <w:noProof/>
            <w:webHidden/>
            <w:sz w:val="20"/>
            <w:szCs w:val="20"/>
          </w:rPr>
          <w:fldChar w:fldCharType="end"/>
        </w:r>
      </w:hyperlink>
    </w:p>
    <w:p w14:paraId="09CE49FD" w14:textId="0AF5A984" w:rsidR="003C1BA0" w:rsidRPr="000E4A30" w:rsidRDefault="003C1BA0">
      <w:pPr>
        <w:pStyle w:val="TOC5"/>
        <w:rPr>
          <w:rFonts w:ascii="Arial" w:hAnsi="Arial" w:cs="Arial"/>
          <w:noProof/>
          <w:kern w:val="2"/>
          <w:sz w:val="20"/>
          <w:szCs w:val="20"/>
          <w14:ligatures w14:val="standardContextual"/>
        </w:rPr>
      </w:pPr>
      <w:hyperlink w:anchor="_Toc225877650" w:history="1">
        <w:r w:rsidRPr="000E4A30">
          <w:rPr>
            <w:rStyle w:val="Hyperlink"/>
            <w:rFonts w:ascii="Arial" w:hAnsi="Arial" w:cs="Arial"/>
            <w:noProof/>
            <w:sz w:val="20"/>
            <w:szCs w:val="20"/>
          </w:rPr>
          <w:t>Deadlines to Join Leapfrog’s NHSN Group</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_Toc225877650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w:t>
        </w:r>
        <w:r w:rsidRPr="000E4A30">
          <w:rPr>
            <w:rFonts w:ascii="Arial" w:hAnsi="Arial" w:cs="Arial"/>
            <w:noProof/>
            <w:webHidden/>
            <w:sz w:val="20"/>
            <w:szCs w:val="20"/>
          </w:rPr>
          <w:fldChar w:fldCharType="end"/>
        </w:r>
      </w:hyperlink>
    </w:p>
    <w:p w14:paraId="49F91679" w14:textId="46D33166" w:rsidR="003C1BA0" w:rsidRPr="000E4A30" w:rsidRDefault="003C1BA0">
      <w:pPr>
        <w:pStyle w:val="TOC5"/>
        <w:rPr>
          <w:rFonts w:ascii="Arial" w:hAnsi="Arial" w:cs="Arial"/>
          <w:noProof/>
          <w:kern w:val="2"/>
          <w:sz w:val="20"/>
          <w:szCs w:val="20"/>
          <w14:ligatures w14:val="standardContextual"/>
        </w:rPr>
      </w:pPr>
      <w:hyperlink w:anchor="_Toc225877651" w:history="1">
        <w:r w:rsidRPr="000E4A30">
          <w:rPr>
            <w:rStyle w:val="Hyperlink"/>
            <w:rFonts w:ascii="Arial" w:hAnsi="Arial" w:cs="Arial"/>
            <w:noProof/>
            <w:sz w:val="20"/>
            <w:szCs w:val="20"/>
          </w:rPr>
          <w:t>Deadlines Related to the Hospital Safety Grade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_Toc225877651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w:t>
        </w:r>
        <w:r w:rsidRPr="000E4A30">
          <w:rPr>
            <w:rFonts w:ascii="Arial" w:hAnsi="Arial" w:cs="Arial"/>
            <w:noProof/>
            <w:webHidden/>
            <w:sz w:val="20"/>
            <w:szCs w:val="20"/>
          </w:rPr>
          <w:fldChar w:fldCharType="end"/>
        </w:r>
      </w:hyperlink>
    </w:p>
    <w:p w14:paraId="73DFF632" w14:textId="21E2B10C" w:rsidR="003C1BA0" w:rsidRPr="000E4A30" w:rsidRDefault="003C1BA0">
      <w:pPr>
        <w:pStyle w:val="TOC4"/>
        <w:rPr>
          <w:rFonts w:eastAsiaTheme="minorEastAsia" w:cs="Arial"/>
          <w:noProof/>
          <w:kern w:val="2"/>
          <w14:ligatures w14:val="standardContextual"/>
        </w:rPr>
      </w:pPr>
      <w:hyperlink w:anchor="_Toc225877652" w:history="1">
        <w:r w:rsidRPr="000E4A30">
          <w:rPr>
            <w:rStyle w:val="Hyperlink"/>
            <w:rFonts w:cs="Arial"/>
            <w:noProof/>
          </w:rPr>
          <w:t>Technical Assistance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_Toc225877652 \h </w:instrText>
        </w:r>
        <w:r w:rsidRPr="000E4A30">
          <w:rPr>
            <w:rFonts w:cs="Arial"/>
            <w:noProof/>
            <w:webHidden/>
          </w:rPr>
        </w:r>
        <w:r w:rsidRPr="000E4A30">
          <w:rPr>
            <w:rFonts w:cs="Arial"/>
            <w:noProof/>
            <w:webHidden/>
          </w:rPr>
          <w:fldChar w:fldCharType="separate"/>
        </w:r>
        <w:r w:rsidR="002C0DFB">
          <w:rPr>
            <w:rFonts w:cs="Arial"/>
            <w:noProof/>
            <w:webHidden/>
          </w:rPr>
          <w:t>20</w:t>
        </w:r>
        <w:r w:rsidRPr="000E4A30">
          <w:rPr>
            <w:rFonts w:cs="Arial"/>
            <w:noProof/>
            <w:webHidden/>
          </w:rPr>
          <w:fldChar w:fldCharType="end"/>
        </w:r>
      </w:hyperlink>
    </w:p>
    <w:p w14:paraId="71F4DEFC" w14:textId="3810C4F6" w:rsidR="003C1BA0" w:rsidRPr="000E4A30" w:rsidRDefault="003C1BA0">
      <w:pPr>
        <w:pStyle w:val="TOC5"/>
        <w:rPr>
          <w:rFonts w:ascii="Arial" w:hAnsi="Arial" w:cs="Arial"/>
          <w:noProof/>
          <w:kern w:val="2"/>
          <w:sz w:val="20"/>
          <w:szCs w:val="20"/>
          <w14:ligatures w14:val="standardContextual"/>
        </w:rPr>
      </w:pPr>
      <w:hyperlink w:anchor="_Toc225877653" w:history="1">
        <w:r w:rsidRPr="000E4A30">
          <w:rPr>
            <w:rStyle w:val="Hyperlink"/>
            <w:rFonts w:ascii="Arial" w:hAnsi="Arial" w:cs="Arial"/>
            <w:noProof/>
            <w:sz w:val="20"/>
            <w:szCs w:val="20"/>
          </w:rPr>
          <w:t>Leapfrog’s Help Desk</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_Toc225877653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20</w:t>
        </w:r>
        <w:r w:rsidRPr="000E4A30">
          <w:rPr>
            <w:rFonts w:ascii="Arial" w:hAnsi="Arial" w:cs="Arial"/>
            <w:noProof/>
            <w:webHidden/>
            <w:sz w:val="20"/>
            <w:szCs w:val="20"/>
          </w:rPr>
          <w:fldChar w:fldCharType="end"/>
        </w:r>
      </w:hyperlink>
    </w:p>
    <w:p w14:paraId="5A1B6F71" w14:textId="105FE180" w:rsidR="003C1BA0" w:rsidRPr="000E4A30" w:rsidRDefault="003C1BA0">
      <w:pPr>
        <w:pStyle w:val="TOC5"/>
        <w:rPr>
          <w:rFonts w:ascii="Arial" w:hAnsi="Arial" w:cs="Arial"/>
          <w:noProof/>
          <w:kern w:val="2"/>
          <w:sz w:val="20"/>
          <w:szCs w:val="20"/>
          <w14:ligatures w14:val="standardContextual"/>
        </w:rPr>
      </w:pPr>
      <w:hyperlink w:anchor="_Toc225877654" w:history="1">
        <w:r w:rsidRPr="000E4A30">
          <w:rPr>
            <w:rStyle w:val="Hyperlink"/>
            <w:rFonts w:ascii="Arial" w:hAnsi="Arial" w:cs="Arial"/>
            <w:noProof/>
            <w:sz w:val="20"/>
            <w:szCs w:val="20"/>
          </w:rPr>
          <w:t>Leapfrog Hospital Survey Webinar Series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_Toc225877654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20</w:t>
        </w:r>
        <w:r w:rsidRPr="000E4A30">
          <w:rPr>
            <w:rFonts w:ascii="Arial" w:hAnsi="Arial" w:cs="Arial"/>
            <w:noProof/>
            <w:webHidden/>
            <w:sz w:val="20"/>
            <w:szCs w:val="20"/>
          </w:rPr>
          <w:fldChar w:fldCharType="end"/>
        </w:r>
      </w:hyperlink>
    </w:p>
    <w:p w14:paraId="698F32AA" w14:textId="1F8FBAC8" w:rsidR="003C1BA0" w:rsidRPr="000E4A30" w:rsidRDefault="003C1BA0">
      <w:pPr>
        <w:pStyle w:val="TOC5"/>
        <w:rPr>
          <w:rFonts w:ascii="Arial" w:hAnsi="Arial" w:cs="Arial"/>
          <w:noProof/>
          <w:kern w:val="2"/>
          <w:sz w:val="20"/>
          <w:szCs w:val="20"/>
          <w14:ligatures w14:val="standardContextual"/>
        </w:rPr>
      </w:pPr>
      <w:hyperlink w:anchor="_Toc225877655" w:history="1">
        <w:r w:rsidRPr="000E4A30">
          <w:rPr>
            <w:rStyle w:val="Hyperlink"/>
            <w:rFonts w:ascii="Arial" w:hAnsi="Arial" w:cs="Arial"/>
            <w:noProof/>
            <w:sz w:val="20"/>
            <w:szCs w:val="20"/>
          </w:rPr>
          <w:t>Support for Health Systems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_Toc225877655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w:t>
        </w:r>
        <w:r w:rsidRPr="000E4A30">
          <w:rPr>
            <w:rFonts w:ascii="Arial" w:hAnsi="Arial" w:cs="Arial"/>
            <w:noProof/>
            <w:webHidden/>
            <w:sz w:val="20"/>
            <w:szCs w:val="20"/>
          </w:rPr>
          <w:fldChar w:fldCharType="end"/>
        </w:r>
      </w:hyperlink>
    </w:p>
    <w:p w14:paraId="3597A430" w14:textId="5BB0976D" w:rsidR="003C1BA0" w:rsidRPr="000E4A30" w:rsidRDefault="003C1BA0">
      <w:pPr>
        <w:pStyle w:val="TOC4"/>
        <w:rPr>
          <w:rFonts w:eastAsiaTheme="minorEastAsia" w:cs="Arial"/>
          <w:noProof/>
          <w:kern w:val="2"/>
          <w14:ligatures w14:val="standardContextual"/>
        </w:rPr>
      </w:pPr>
      <w:hyperlink w:anchor="_Toc225877656" w:history="1">
        <w:r w:rsidRPr="000E4A30">
          <w:rPr>
            <w:rStyle w:val="Hyperlink"/>
            <w:rFonts w:cs="Arial"/>
            <w:noProof/>
          </w:rPr>
          <w:t>Reporting Periods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_Toc225877656 \h </w:instrText>
        </w:r>
        <w:r w:rsidRPr="000E4A30">
          <w:rPr>
            <w:rFonts w:cs="Arial"/>
            <w:noProof/>
            <w:webHidden/>
          </w:rPr>
        </w:r>
        <w:r w:rsidRPr="000E4A30">
          <w:rPr>
            <w:rFonts w:cs="Arial"/>
            <w:noProof/>
            <w:webHidden/>
          </w:rPr>
          <w:fldChar w:fldCharType="separate"/>
        </w:r>
        <w:r w:rsidR="002C0DFB">
          <w:rPr>
            <w:rFonts w:cs="Arial"/>
            <w:noProof/>
            <w:webHidden/>
          </w:rPr>
          <w:t>22</w:t>
        </w:r>
        <w:r w:rsidRPr="000E4A30">
          <w:rPr>
            <w:rFonts w:cs="Arial"/>
            <w:noProof/>
            <w:webHidden/>
          </w:rPr>
          <w:fldChar w:fldCharType="end"/>
        </w:r>
      </w:hyperlink>
    </w:p>
    <w:p w14:paraId="158285A7" w14:textId="0FE1DB92" w:rsidR="003C1BA0" w:rsidRPr="000E4A30" w:rsidRDefault="003C1BA0">
      <w:pPr>
        <w:pStyle w:val="TOC4"/>
        <w:rPr>
          <w:rFonts w:eastAsiaTheme="minorEastAsia" w:cs="Arial"/>
          <w:noProof/>
          <w:kern w:val="2"/>
          <w14:ligatures w14:val="standardContextual"/>
        </w:rPr>
      </w:pPr>
      <w:hyperlink w:anchor="_Toc225877657" w:history="1">
        <w:r w:rsidRPr="000E4A30">
          <w:rPr>
            <w:rStyle w:val="Hyperlink"/>
            <w:rFonts w:cs="Arial"/>
            <w:noProof/>
          </w:rPr>
          <w:t>Included Units by Survey Section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_Toc225877657 \h </w:instrText>
        </w:r>
        <w:r w:rsidRPr="000E4A30">
          <w:rPr>
            <w:rFonts w:cs="Arial"/>
            <w:noProof/>
            <w:webHidden/>
          </w:rPr>
        </w:r>
        <w:r w:rsidRPr="000E4A30">
          <w:rPr>
            <w:rFonts w:cs="Arial"/>
            <w:noProof/>
            <w:webHidden/>
          </w:rPr>
          <w:fldChar w:fldCharType="separate"/>
        </w:r>
        <w:r w:rsidR="002C0DFB">
          <w:rPr>
            <w:rFonts w:cs="Arial"/>
            <w:noProof/>
            <w:webHidden/>
          </w:rPr>
          <w:t>25</w:t>
        </w:r>
        <w:r w:rsidRPr="000E4A30">
          <w:rPr>
            <w:rFonts w:cs="Arial"/>
            <w:noProof/>
            <w:webHidden/>
          </w:rPr>
          <w:fldChar w:fldCharType="end"/>
        </w:r>
      </w:hyperlink>
    </w:p>
    <w:p w14:paraId="4B4E24B2" w14:textId="141F7344" w:rsidR="003C1BA0" w:rsidRPr="000E4A30" w:rsidRDefault="003C1BA0">
      <w:pPr>
        <w:pStyle w:val="TOC1"/>
        <w:rPr>
          <w:rFonts w:eastAsiaTheme="minorEastAsia" w:cs="Arial"/>
          <w:noProof/>
          <w:kern w:val="2"/>
          <w14:ligatures w14:val="standardContextual"/>
        </w:rPr>
      </w:pPr>
      <w:hyperlink w:anchor="_Toc225877658"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_Toc225877658 \h </w:instrText>
        </w:r>
        <w:r w:rsidRPr="000E4A30">
          <w:rPr>
            <w:rFonts w:cs="Arial"/>
            <w:noProof/>
            <w:webHidden/>
          </w:rPr>
        </w:r>
        <w:r w:rsidRPr="000E4A30">
          <w:rPr>
            <w:rFonts w:cs="Arial"/>
            <w:noProof/>
            <w:webHidden/>
          </w:rPr>
          <w:fldChar w:fldCharType="separate"/>
        </w:r>
        <w:r w:rsidR="002C0DFB">
          <w:rPr>
            <w:rFonts w:cs="Arial"/>
            <w:noProof/>
            <w:webHidden/>
          </w:rPr>
          <w:t>28</w:t>
        </w:r>
        <w:r w:rsidRPr="000E4A30">
          <w:rPr>
            <w:rFonts w:cs="Arial"/>
            <w:noProof/>
            <w:webHidden/>
          </w:rPr>
          <w:fldChar w:fldCharType="end"/>
        </w:r>
      </w:hyperlink>
    </w:p>
    <w:p w14:paraId="0FE29004" w14:textId="224416EE" w:rsidR="003C1BA0" w:rsidRPr="000E4A30" w:rsidRDefault="003C1BA0">
      <w:pPr>
        <w:pStyle w:val="TOC1"/>
        <w:rPr>
          <w:rFonts w:eastAsiaTheme="minorEastAsia" w:cs="Arial"/>
          <w:noProof/>
          <w:kern w:val="2"/>
          <w14:ligatures w14:val="standardContextual"/>
        </w:rPr>
      </w:pPr>
      <w:hyperlink w:anchor="_Toc225877659" w:history="1">
        <w:r w:rsidRPr="000E4A30">
          <w:rPr>
            <w:rStyle w:val="Hyperlink"/>
            <w:rFonts w:cs="Arial"/>
            <w:noProof/>
          </w:rPr>
          <w:t>HOSPITAL PROFILE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_Toc225877659 \h </w:instrText>
        </w:r>
        <w:r w:rsidRPr="000E4A30">
          <w:rPr>
            <w:rFonts w:cs="Arial"/>
            <w:noProof/>
            <w:webHidden/>
          </w:rPr>
        </w:r>
        <w:r w:rsidRPr="000E4A30">
          <w:rPr>
            <w:rFonts w:cs="Arial"/>
            <w:noProof/>
            <w:webHidden/>
          </w:rPr>
          <w:fldChar w:fldCharType="separate"/>
        </w:r>
        <w:r w:rsidR="002C0DFB">
          <w:rPr>
            <w:rFonts w:cs="Arial"/>
            <w:noProof/>
            <w:webHidden/>
          </w:rPr>
          <w:t>29</w:t>
        </w:r>
        <w:r w:rsidRPr="000E4A30">
          <w:rPr>
            <w:rFonts w:cs="Arial"/>
            <w:noProof/>
            <w:webHidden/>
          </w:rPr>
          <w:fldChar w:fldCharType="end"/>
        </w:r>
      </w:hyperlink>
    </w:p>
    <w:p w14:paraId="01BBAAA5" w14:textId="163E88F3" w:rsidR="003C1BA0" w:rsidRPr="000E4A30" w:rsidRDefault="003C1BA0">
      <w:pPr>
        <w:pStyle w:val="TOC4"/>
        <w:rPr>
          <w:rFonts w:eastAsiaTheme="minorEastAsia" w:cs="Arial"/>
          <w:noProof/>
          <w:kern w:val="2"/>
          <w14:ligatures w14:val="standardContextual"/>
        </w:rPr>
      </w:pPr>
      <w:hyperlink w:anchor="_Toc225877660" w:history="1">
        <w:r w:rsidRPr="000E4A30">
          <w:rPr>
            <w:rStyle w:val="Hyperlink"/>
            <w:rFonts w:cs="Arial"/>
            <w:noProof/>
          </w:rPr>
          <w:t>Hospital Profile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_Toc225877660 \h </w:instrText>
        </w:r>
        <w:r w:rsidRPr="000E4A30">
          <w:rPr>
            <w:rFonts w:cs="Arial"/>
            <w:noProof/>
            <w:webHidden/>
          </w:rPr>
        </w:r>
        <w:r w:rsidRPr="000E4A30">
          <w:rPr>
            <w:rFonts w:cs="Arial"/>
            <w:noProof/>
            <w:webHidden/>
          </w:rPr>
          <w:fldChar w:fldCharType="separate"/>
        </w:r>
        <w:r w:rsidR="002C0DFB">
          <w:rPr>
            <w:rFonts w:cs="Arial"/>
            <w:noProof/>
            <w:webHidden/>
          </w:rPr>
          <w:t>30</w:t>
        </w:r>
        <w:r w:rsidRPr="000E4A30">
          <w:rPr>
            <w:rFonts w:cs="Arial"/>
            <w:noProof/>
            <w:webHidden/>
          </w:rPr>
          <w:fldChar w:fldCharType="end"/>
        </w:r>
      </w:hyperlink>
    </w:p>
    <w:p w14:paraId="178E3078" w14:textId="3B70E954" w:rsidR="003C1BA0" w:rsidRPr="000E4A30" w:rsidRDefault="003C1BA0">
      <w:pPr>
        <w:pStyle w:val="TOC4"/>
        <w:rPr>
          <w:rFonts w:eastAsiaTheme="minorEastAsia" w:cs="Arial"/>
          <w:noProof/>
          <w:kern w:val="2"/>
          <w14:ligatures w14:val="standardContextual"/>
        </w:rPr>
      </w:pPr>
      <w:hyperlink w:anchor="_Toc225877661" w:history="1">
        <w:r w:rsidRPr="000E4A30">
          <w:rPr>
            <w:rStyle w:val="Hyperlink"/>
            <w:rFonts w:cs="Arial"/>
            <w:noProof/>
          </w:rPr>
          <w:t>Hospital Profile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_Toc225877661 \h </w:instrText>
        </w:r>
        <w:r w:rsidRPr="000E4A30">
          <w:rPr>
            <w:rFonts w:cs="Arial"/>
            <w:noProof/>
            <w:webHidden/>
          </w:rPr>
        </w:r>
        <w:r w:rsidRPr="000E4A30">
          <w:rPr>
            <w:rFonts w:cs="Arial"/>
            <w:noProof/>
            <w:webHidden/>
          </w:rPr>
          <w:fldChar w:fldCharType="separate"/>
        </w:r>
        <w:r w:rsidR="002C0DFB">
          <w:rPr>
            <w:rFonts w:cs="Arial"/>
            <w:noProof/>
            <w:webHidden/>
          </w:rPr>
          <w:t>31</w:t>
        </w:r>
        <w:r w:rsidRPr="000E4A30">
          <w:rPr>
            <w:rFonts w:cs="Arial"/>
            <w:noProof/>
            <w:webHidden/>
          </w:rPr>
          <w:fldChar w:fldCharType="end"/>
        </w:r>
      </w:hyperlink>
    </w:p>
    <w:p w14:paraId="44E62BBC" w14:textId="491827B4" w:rsidR="003C1BA0" w:rsidRPr="000E4A30" w:rsidRDefault="003C1BA0">
      <w:pPr>
        <w:pStyle w:val="TOC5"/>
        <w:rPr>
          <w:rFonts w:ascii="Arial" w:hAnsi="Arial" w:cs="Arial"/>
          <w:noProof/>
          <w:kern w:val="2"/>
          <w:sz w:val="20"/>
          <w:szCs w:val="20"/>
          <w14:ligatures w14:val="standardContextual"/>
        </w:rPr>
      </w:pPr>
      <w:hyperlink w:anchor="_Toc225877662" w:history="1">
        <w:r w:rsidRPr="000E4A30">
          <w:rPr>
            <w:rStyle w:val="Hyperlink"/>
            <w:rFonts w:ascii="Arial" w:hAnsi="Arial" w:cs="Arial"/>
            <w:noProof/>
            <w:sz w:val="20"/>
            <w:szCs w:val="20"/>
          </w:rPr>
          <w:t>Hospital Information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_Toc225877662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31</w:t>
        </w:r>
        <w:r w:rsidRPr="000E4A30">
          <w:rPr>
            <w:rFonts w:ascii="Arial" w:hAnsi="Arial" w:cs="Arial"/>
            <w:noProof/>
            <w:webHidden/>
            <w:sz w:val="20"/>
            <w:szCs w:val="20"/>
          </w:rPr>
          <w:fldChar w:fldCharType="end"/>
        </w:r>
      </w:hyperlink>
    </w:p>
    <w:p w14:paraId="4D28A85B" w14:textId="519E1555" w:rsidR="003C1BA0" w:rsidRPr="000E4A30" w:rsidRDefault="003C1BA0">
      <w:pPr>
        <w:pStyle w:val="TOC5"/>
        <w:rPr>
          <w:rFonts w:ascii="Arial" w:hAnsi="Arial" w:cs="Arial"/>
          <w:noProof/>
          <w:kern w:val="2"/>
          <w:sz w:val="20"/>
          <w:szCs w:val="20"/>
          <w14:ligatures w14:val="standardContextual"/>
        </w:rPr>
      </w:pPr>
      <w:hyperlink w:anchor="_Toc225877663" w:history="1">
        <w:r w:rsidRPr="000E4A30">
          <w:rPr>
            <w:rStyle w:val="Hyperlink"/>
            <w:rFonts w:ascii="Arial" w:hAnsi="Arial" w:cs="Arial"/>
            <w:noProof/>
            <w:sz w:val="20"/>
            <w:szCs w:val="20"/>
          </w:rPr>
          <w:t>Demographic Information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_Toc225877663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31</w:t>
        </w:r>
        <w:r w:rsidRPr="000E4A30">
          <w:rPr>
            <w:rFonts w:ascii="Arial" w:hAnsi="Arial" w:cs="Arial"/>
            <w:noProof/>
            <w:webHidden/>
            <w:sz w:val="20"/>
            <w:szCs w:val="20"/>
          </w:rPr>
          <w:fldChar w:fldCharType="end"/>
        </w:r>
      </w:hyperlink>
    </w:p>
    <w:p w14:paraId="2BCF9BD4" w14:textId="69D81718" w:rsidR="003C1BA0" w:rsidRPr="000E4A30" w:rsidRDefault="003C1BA0">
      <w:pPr>
        <w:pStyle w:val="TOC5"/>
        <w:rPr>
          <w:rFonts w:ascii="Arial" w:hAnsi="Arial" w:cs="Arial"/>
          <w:noProof/>
          <w:kern w:val="2"/>
          <w:sz w:val="20"/>
          <w:szCs w:val="20"/>
          <w14:ligatures w14:val="standardContextual"/>
        </w:rPr>
      </w:pPr>
      <w:hyperlink w:anchor="_Toc225877664" w:history="1">
        <w:r w:rsidRPr="000E4A30">
          <w:rPr>
            <w:rStyle w:val="Hyperlink"/>
            <w:rFonts w:ascii="Arial" w:hAnsi="Arial" w:cs="Arial"/>
            <w:noProof/>
            <w:sz w:val="20"/>
            <w:szCs w:val="20"/>
          </w:rPr>
          <w:t>Contact Information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_Toc225877664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w:t>
        </w:r>
        <w:r w:rsidRPr="000E4A30">
          <w:rPr>
            <w:rFonts w:ascii="Arial" w:hAnsi="Arial" w:cs="Arial"/>
            <w:noProof/>
            <w:webHidden/>
            <w:sz w:val="20"/>
            <w:szCs w:val="20"/>
          </w:rPr>
          <w:fldChar w:fldCharType="end"/>
        </w:r>
      </w:hyperlink>
    </w:p>
    <w:p w14:paraId="5699D5A7" w14:textId="2CD47782" w:rsidR="003C1BA0" w:rsidRPr="000E4A30" w:rsidRDefault="003C1BA0">
      <w:pPr>
        <w:pStyle w:val="TOC1"/>
        <w:rPr>
          <w:rFonts w:eastAsiaTheme="minorEastAsia" w:cs="Arial"/>
          <w:noProof/>
          <w:kern w:val="2"/>
          <w14:ligatures w14:val="standardContextual"/>
        </w:rPr>
      </w:pPr>
      <w:hyperlink w:anchor="_Toc225877665"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_Toc225877665 \h </w:instrText>
        </w:r>
        <w:r w:rsidRPr="000E4A30">
          <w:rPr>
            <w:rFonts w:cs="Arial"/>
            <w:noProof/>
            <w:webHidden/>
          </w:rPr>
        </w:r>
        <w:r w:rsidRPr="000E4A30">
          <w:rPr>
            <w:rFonts w:cs="Arial"/>
            <w:noProof/>
            <w:webHidden/>
          </w:rPr>
          <w:fldChar w:fldCharType="separate"/>
        </w:r>
        <w:r w:rsidR="002C0DFB">
          <w:rPr>
            <w:rFonts w:cs="Arial"/>
            <w:noProof/>
            <w:webHidden/>
          </w:rPr>
          <w:t>34</w:t>
        </w:r>
        <w:r w:rsidRPr="000E4A30">
          <w:rPr>
            <w:rFonts w:cs="Arial"/>
            <w:noProof/>
            <w:webHidden/>
          </w:rPr>
          <w:fldChar w:fldCharType="end"/>
        </w:r>
      </w:hyperlink>
    </w:p>
    <w:p w14:paraId="66A64600" w14:textId="327858B0" w:rsidR="003C1BA0" w:rsidRPr="000E4A30" w:rsidRDefault="003C1BA0">
      <w:pPr>
        <w:pStyle w:val="TOC1"/>
        <w:rPr>
          <w:rFonts w:eastAsiaTheme="minorEastAsia" w:cs="Arial"/>
          <w:noProof/>
          <w:kern w:val="2"/>
          <w14:ligatures w14:val="standardContextual"/>
        </w:rPr>
      </w:pPr>
      <w:hyperlink w:anchor="_Toc225877666" w:history="1">
        <w:r w:rsidRPr="000E4A30">
          <w:rPr>
            <w:rStyle w:val="Hyperlink"/>
            <w:rFonts w:cs="Arial"/>
            <w:noProof/>
          </w:rPr>
          <w:t>SECTION 1: PATIENT RIGHTS AND ETHICS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_Toc225877666 \h </w:instrText>
        </w:r>
        <w:r w:rsidRPr="000E4A30">
          <w:rPr>
            <w:rFonts w:cs="Arial"/>
            <w:noProof/>
            <w:webHidden/>
          </w:rPr>
        </w:r>
        <w:r w:rsidRPr="000E4A30">
          <w:rPr>
            <w:rFonts w:cs="Arial"/>
            <w:noProof/>
            <w:webHidden/>
          </w:rPr>
          <w:fldChar w:fldCharType="separate"/>
        </w:r>
        <w:r w:rsidR="002C0DFB">
          <w:rPr>
            <w:rFonts w:cs="Arial"/>
            <w:noProof/>
            <w:webHidden/>
          </w:rPr>
          <w:t>35</w:t>
        </w:r>
        <w:r w:rsidRPr="000E4A30">
          <w:rPr>
            <w:rFonts w:cs="Arial"/>
            <w:noProof/>
            <w:webHidden/>
          </w:rPr>
          <w:fldChar w:fldCharType="end"/>
        </w:r>
      </w:hyperlink>
    </w:p>
    <w:p w14:paraId="13D86224" w14:textId="32D0467B" w:rsidR="003C1BA0" w:rsidRPr="000E4A30" w:rsidRDefault="003C1BA0">
      <w:pPr>
        <w:pStyle w:val="TOC4"/>
        <w:rPr>
          <w:rFonts w:eastAsiaTheme="minorEastAsia" w:cs="Arial"/>
          <w:noProof/>
          <w:kern w:val="2"/>
          <w14:ligatures w14:val="standardContextual"/>
        </w:rPr>
      </w:pPr>
      <w:hyperlink w:anchor="_Toc225877667" w:history="1">
        <w:r w:rsidRPr="000E4A30">
          <w:rPr>
            <w:rStyle w:val="Hyperlink"/>
            <w:rFonts w:cs="Arial"/>
            <w:noProof/>
          </w:rPr>
          <w:t>Section 1: Patient Rights and Ethics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_Toc225877667 \h </w:instrText>
        </w:r>
        <w:r w:rsidRPr="000E4A30">
          <w:rPr>
            <w:rFonts w:cs="Arial"/>
            <w:noProof/>
            <w:webHidden/>
          </w:rPr>
        </w:r>
        <w:r w:rsidRPr="000E4A30">
          <w:rPr>
            <w:rFonts w:cs="Arial"/>
            <w:noProof/>
            <w:webHidden/>
          </w:rPr>
          <w:fldChar w:fldCharType="separate"/>
        </w:r>
        <w:r w:rsidR="002C0DFB">
          <w:rPr>
            <w:rFonts w:cs="Arial"/>
            <w:noProof/>
            <w:webHidden/>
          </w:rPr>
          <w:t>36</w:t>
        </w:r>
        <w:r w:rsidRPr="000E4A30">
          <w:rPr>
            <w:rFonts w:cs="Arial"/>
            <w:noProof/>
            <w:webHidden/>
          </w:rPr>
          <w:fldChar w:fldCharType="end"/>
        </w:r>
      </w:hyperlink>
    </w:p>
    <w:p w14:paraId="6F39C762" w14:textId="0C391F5B" w:rsidR="003C1BA0" w:rsidRPr="000E4A30" w:rsidRDefault="003C1BA0">
      <w:pPr>
        <w:pStyle w:val="TOC4"/>
        <w:rPr>
          <w:rFonts w:eastAsiaTheme="minorEastAsia" w:cs="Arial"/>
          <w:noProof/>
          <w:kern w:val="2"/>
          <w14:ligatures w14:val="standardContextual"/>
        </w:rPr>
      </w:pPr>
      <w:hyperlink w:anchor="_Toc225877668" w:history="1">
        <w:r w:rsidRPr="000E4A30">
          <w:rPr>
            <w:rStyle w:val="Hyperlink"/>
            <w:rFonts w:cs="Arial"/>
            <w:noProof/>
          </w:rPr>
          <w:t>1A: Basic Hospital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_Toc225877668 \h </w:instrText>
        </w:r>
        <w:r w:rsidRPr="000E4A30">
          <w:rPr>
            <w:rFonts w:cs="Arial"/>
            <w:noProof/>
            <w:webHidden/>
          </w:rPr>
        </w:r>
        <w:r w:rsidRPr="000E4A30">
          <w:rPr>
            <w:rFonts w:cs="Arial"/>
            <w:noProof/>
            <w:webHidden/>
          </w:rPr>
          <w:fldChar w:fldCharType="separate"/>
        </w:r>
        <w:r w:rsidR="002C0DFB">
          <w:rPr>
            <w:rFonts w:cs="Arial"/>
            <w:noProof/>
            <w:webHidden/>
          </w:rPr>
          <w:t>37</w:t>
        </w:r>
        <w:r w:rsidRPr="000E4A30">
          <w:rPr>
            <w:rFonts w:cs="Arial"/>
            <w:noProof/>
            <w:webHidden/>
          </w:rPr>
          <w:fldChar w:fldCharType="end"/>
        </w:r>
      </w:hyperlink>
    </w:p>
    <w:p w14:paraId="16A2DF4F" w14:textId="7C6D52AA" w:rsidR="003C1BA0" w:rsidRPr="000E4A30" w:rsidRDefault="003C1BA0">
      <w:pPr>
        <w:pStyle w:val="TOC5"/>
        <w:rPr>
          <w:rFonts w:ascii="Arial" w:hAnsi="Arial" w:cs="Arial"/>
          <w:noProof/>
          <w:kern w:val="2"/>
          <w:sz w:val="20"/>
          <w:szCs w:val="20"/>
          <w14:ligatures w14:val="standardContextual"/>
        </w:rPr>
      </w:pPr>
      <w:hyperlink w:anchor="_Toc225877669" w:history="1">
        <w:r w:rsidRPr="000E4A30">
          <w:rPr>
            <w:rStyle w:val="Hyperlink"/>
            <w:rFonts w:ascii="Arial" w:hAnsi="Arial" w:cs="Arial"/>
            <w:noProof/>
            <w:sz w:val="20"/>
            <w:szCs w:val="20"/>
          </w:rPr>
          <w:t>General Information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_Toc225877669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37</w:t>
        </w:r>
        <w:r w:rsidRPr="000E4A30">
          <w:rPr>
            <w:rFonts w:ascii="Arial" w:hAnsi="Arial" w:cs="Arial"/>
            <w:noProof/>
            <w:webHidden/>
            <w:sz w:val="20"/>
            <w:szCs w:val="20"/>
          </w:rPr>
          <w:fldChar w:fldCharType="end"/>
        </w:r>
      </w:hyperlink>
    </w:p>
    <w:p w14:paraId="015D91F9" w14:textId="22C5BFF8" w:rsidR="003C1BA0" w:rsidRPr="000E4A30" w:rsidRDefault="003C1BA0">
      <w:pPr>
        <w:pStyle w:val="TOC5"/>
        <w:rPr>
          <w:rFonts w:ascii="Arial" w:hAnsi="Arial" w:cs="Arial"/>
          <w:noProof/>
          <w:kern w:val="2"/>
          <w:sz w:val="20"/>
          <w:szCs w:val="20"/>
          <w14:ligatures w14:val="standardContextual"/>
        </w:rPr>
      </w:pPr>
      <w:hyperlink w:anchor="_Toc225877670" w:history="1">
        <w:r w:rsidRPr="000E4A30">
          <w:rPr>
            <w:rStyle w:val="Hyperlink"/>
            <w:rFonts w:ascii="Arial" w:hAnsi="Arial" w:cs="Arial"/>
            <w:noProof/>
            <w:sz w:val="20"/>
            <w:szCs w:val="20"/>
          </w:rPr>
          <w:t>General Hospital Policies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_Toc225877670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38</w:t>
        </w:r>
        <w:r w:rsidRPr="000E4A30">
          <w:rPr>
            <w:rFonts w:ascii="Arial" w:hAnsi="Arial" w:cs="Arial"/>
            <w:noProof/>
            <w:webHidden/>
            <w:sz w:val="20"/>
            <w:szCs w:val="20"/>
          </w:rPr>
          <w:fldChar w:fldCharType="end"/>
        </w:r>
      </w:hyperlink>
    </w:p>
    <w:p w14:paraId="7DB5C0BD" w14:textId="563BA87B" w:rsidR="003C1BA0" w:rsidRPr="000E4A30" w:rsidRDefault="003C1BA0">
      <w:pPr>
        <w:pStyle w:val="TOC4"/>
        <w:rPr>
          <w:rFonts w:eastAsiaTheme="minorEastAsia" w:cs="Arial"/>
          <w:noProof/>
          <w:kern w:val="2"/>
          <w14:ligatures w14:val="standardContextual"/>
        </w:rPr>
      </w:pPr>
      <w:hyperlink w:anchor="_Toc225877671" w:history="1">
        <w:r w:rsidRPr="000E4A30">
          <w:rPr>
            <w:rStyle w:val="Hyperlink"/>
            <w:rFonts w:cs="Arial"/>
            <w:noProof/>
          </w:rPr>
          <w:t>1B: Billing Ethics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_Toc225877671 \h </w:instrText>
        </w:r>
        <w:r w:rsidRPr="000E4A30">
          <w:rPr>
            <w:rFonts w:cs="Arial"/>
            <w:noProof/>
            <w:webHidden/>
          </w:rPr>
        </w:r>
        <w:r w:rsidRPr="000E4A30">
          <w:rPr>
            <w:rFonts w:cs="Arial"/>
            <w:noProof/>
            <w:webHidden/>
          </w:rPr>
          <w:fldChar w:fldCharType="separate"/>
        </w:r>
        <w:r w:rsidR="002C0DFB">
          <w:rPr>
            <w:rFonts w:cs="Arial"/>
            <w:noProof/>
            <w:webHidden/>
          </w:rPr>
          <w:t>39</w:t>
        </w:r>
        <w:r w:rsidRPr="000E4A30">
          <w:rPr>
            <w:rFonts w:cs="Arial"/>
            <w:noProof/>
            <w:webHidden/>
          </w:rPr>
          <w:fldChar w:fldCharType="end"/>
        </w:r>
      </w:hyperlink>
    </w:p>
    <w:p w14:paraId="40B01736" w14:textId="711C713D" w:rsidR="003C1BA0" w:rsidRPr="000E4A30" w:rsidRDefault="003C1BA0">
      <w:pPr>
        <w:pStyle w:val="TOC4"/>
        <w:rPr>
          <w:rFonts w:eastAsiaTheme="minorEastAsia" w:cs="Arial"/>
          <w:noProof/>
          <w:kern w:val="2"/>
          <w14:ligatures w14:val="standardContextual"/>
        </w:rPr>
      </w:pPr>
      <w:hyperlink w:anchor="_Toc225877672" w:history="1">
        <w:r w:rsidRPr="000E4A30">
          <w:rPr>
            <w:rStyle w:val="Hyperlink"/>
            <w:rFonts w:cs="Arial"/>
            <w:noProof/>
          </w:rPr>
          <w:t>1C: Health Care Equity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_Toc225877672 \h </w:instrText>
        </w:r>
        <w:r w:rsidRPr="000E4A30">
          <w:rPr>
            <w:rFonts w:cs="Arial"/>
            <w:noProof/>
            <w:webHidden/>
          </w:rPr>
        </w:r>
        <w:r w:rsidRPr="000E4A30">
          <w:rPr>
            <w:rFonts w:cs="Arial"/>
            <w:noProof/>
            <w:webHidden/>
          </w:rPr>
          <w:fldChar w:fldCharType="separate"/>
        </w:r>
        <w:r w:rsidR="002C0DFB">
          <w:rPr>
            <w:rFonts w:cs="Arial"/>
            <w:noProof/>
            <w:webHidden/>
          </w:rPr>
          <w:t>41</w:t>
        </w:r>
        <w:r w:rsidRPr="000E4A30">
          <w:rPr>
            <w:rFonts w:cs="Arial"/>
            <w:noProof/>
            <w:webHidden/>
          </w:rPr>
          <w:fldChar w:fldCharType="end"/>
        </w:r>
      </w:hyperlink>
    </w:p>
    <w:p w14:paraId="3E773E12" w14:textId="17853115" w:rsidR="003C1BA0" w:rsidRPr="000E4A30" w:rsidRDefault="003C1BA0">
      <w:pPr>
        <w:pStyle w:val="TOC4"/>
        <w:rPr>
          <w:rFonts w:eastAsiaTheme="minorEastAsia" w:cs="Arial"/>
          <w:noProof/>
          <w:kern w:val="2"/>
          <w14:ligatures w14:val="standardContextual"/>
        </w:rPr>
      </w:pPr>
      <w:hyperlink w:anchor="_Toc225877673" w:history="1">
        <w:r w:rsidRPr="000E4A30">
          <w:rPr>
            <w:rStyle w:val="Hyperlink"/>
            <w:rFonts w:cs="Arial"/>
            <w:noProof/>
          </w:rPr>
          <w:t>1D: Informed Consent</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_Toc225877673 \h </w:instrText>
        </w:r>
        <w:r w:rsidRPr="000E4A30">
          <w:rPr>
            <w:rFonts w:cs="Arial"/>
            <w:noProof/>
            <w:webHidden/>
          </w:rPr>
        </w:r>
        <w:r w:rsidRPr="000E4A30">
          <w:rPr>
            <w:rFonts w:cs="Arial"/>
            <w:noProof/>
            <w:webHidden/>
          </w:rPr>
          <w:fldChar w:fldCharType="separate"/>
        </w:r>
        <w:r w:rsidR="002C0DFB">
          <w:rPr>
            <w:rFonts w:cs="Arial"/>
            <w:noProof/>
            <w:webHidden/>
          </w:rPr>
          <w:t>43</w:t>
        </w:r>
        <w:r w:rsidRPr="000E4A30">
          <w:rPr>
            <w:rFonts w:cs="Arial"/>
            <w:noProof/>
            <w:webHidden/>
          </w:rPr>
          <w:fldChar w:fldCharType="end"/>
        </w:r>
      </w:hyperlink>
    </w:p>
    <w:p w14:paraId="7F950F01" w14:textId="46C1B779" w:rsidR="003C1BA0" w:rsidRPr="000E4A30" w:rsidRDefault="003C1BA0">
      <w:pPr>
        <w:pStyle w:val="TOC5"/>
        <w:rPr>
          <w:rFonts w:ascii="Arial" w:hAnsi="Arial" w:cs="Arial"/>
          <w:noProof/>
          <w:kern w:val="2"/>
          <w:sz w:val="20"/>
          <w:szCs w:val="20"/>
          <w14:ligatures w14:val="standardContextual"/>
        </w:rPr>
      </w:pPr>
      <w:hyperlink w:anchor="_Toc225877674" w:history="1">
        <w:r w:rsidRPr="000E4A30">
          <w:rPr>
            <w:rStyle w:val="Hyperlink"/>
            <w:rFonts w:ascii="Arial" w:hAnsi="Arial" w:cs="Arial"/>
            <w:bCs/>
            <w:noProof/>
            <w:sz w:val="20"/>
            <w:szCs w:val="20"/>
          </w:rPr>
          <w:t>Training on Informed Consent</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_Toc225877674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43</w:t>
        </w:r>
        <w:r w:rsidRPr="000E4A30">
          <w:rPr>
            <w:rFonts w:ascii="Arial" w:hAnsi="Arial" w:cs="Arial"/>
            <w:noProof/>
            <w:webHidden/>
            <w:sz w:val="20"/>
            <w:szCs w:val="20"/>
          </w:rPr>
          <w:fldChar w:fldCharType="end"/>
        </w:r>
      </w:hyperlink>
    </w:p>
    <w:p w14:paraId="146D8ABC" w14:textId="52C92652" w:rsidR="003C1BA0" w:rsidRPr="000E4A30" w:rsidRDefault="003C1BA0">
      <w:pPr>
        <w:pStyle w:val="TOC5"/>
        <w:rPr>
          <w:rFonts w:ascii="Arial" w:hAnsi="Arial" w:cs="Arial"/>
          <w:noProof/>
          <w:kern w:val="2"/>
          <w:sz w:val="20"/>
          <w:szCs w:val="20"/>
          <w14:ligatures w14:val="standardContextual"/>
        </w:rPr>
      </w:pPr>
      <w:hyperlink w:anchor="_Toc225877675" w:history="1">
        <w:r w:rsidRPr="000E4A30">
          <w:rPr>
            <w:rStyle w:val="Hyperlink"/>
            <w:rFonts w:ascii="Arial" w:hAnsi="Arial" w:cs="Arial"/>
            <w:noProof/>
            <w:sz w:val="20"/>
            <w:szCs w:val="20"/>
          </w:rPr>
          <w:t>Content of Informed Consent Forms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_Toc225877675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43</w:t>
        </w:r>
        <w:r w:rsidRPr="000E4A30">
          <w:rPr>
            <w:rFonts w:ascii="Arial" w:hAnsi="Arial" w:cs="Arial"/>
            <w:noProof/>
            <w:webHidden/>
            <w:sz w:val="20"/>
            <w:szCs w:val="20"/>
          </w:rPr>
          <w:fldChar w:fldCharType="end"/>
        </w:r>
      </w:hyperlink>
    </w:p>
    <w:p w14:paraId="496FFB07" w14:textId="127BE92B" w:rsidR="003C1BA0" w:rsidRPr="000E4A30" w:rsidRDefault="003C1BA0">
      <w:pPr>
        <w:pStyle w:val="TOC5"/>
        <w:rPr>
          <w:rFonts w:ascii="Arial" w:hAnsi="Arial" w:cs="Arial"/>
          <w:noProof/>
          <w:kern w:val="2"/>
          <w:sz w:val="20"/>
          <w:szCs w:val="20"/>
          <w14:ligatures w14:val="standardContextual"/>
        </w:rPr>
      </w:pPr>
      <w:hyperlink w:anchor="_Toc225877676" w:history="1">
        <w:r w:rsidRPr="000E4A30">
          <w:rPr>
            <w:rStyle w:val="Hyperlink"/>
            <w:rFonts w:ascii="Arial" w:hAnsi="Arial" w:cs="Arial"/>
            <w:noProof/>
            <w:sz w:val="20"/>
            <w:szCs w:val="20"/>
          </w:rPr>
          <w:t>Process for Gaining Informed Consent</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_Toc225877676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44</w:t>
        </w:r>
        <w:r w:rsidRPr="000E4A30">
          <w:rPr>
            <w:rFonts w:ascii="Arial" w:hAnsi="Arial" w:cs="Arial"/>
            <w:noProof/>
            <w:webHidden/>
            <w:sz w:val="20"/>
            <w:szCs w:val="20"/>
          </w:rPr>
          <w:fldChar w:fldCharType="end"/>
        </w:r>
      </w:hyperlink>
    </w:p>
    <w:p w14:paraId="67FE263D" w14:textId="1AC6FD64" w:rsidR="003C1BA0" w:rsidRPr="000E4A30" w:rsidRDefault="003C1BA0">
      <w:pPr>
        <w:pStyle w:val="TOC4"/>
        <w:rPr>
          <w:rFonts w:eastAsiaTheme="minorEastAsia" w:cs="Arial"/>
          <w:noProof/>
          <w:kern w:val="2"/>
          <w14:ligatures w14:val="standardContextual"/>
        </w:rPr>
      </w:pPr>
      <w:hyperlink w:anchor="_Toc225877677" w:history="1">
        <w:r w:rsidRPr="000E4A30">
          <w:rPr>
            <w:rStyle w:val="Hyperlink"/>
            <w:rFonts w:cs="Arial"/>
            <w:noProof/>
          </w:rPr>
          <w:t>Section 1: Patient Rights and Ethics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_Toc225877677 \h </w:instrText>
        </w:r>
        <w:r w:rsidRPr="000E4A30">
          <w:rPr>
            <w:rFonts w:cs="Arial"/>
            <w:noProof/>
            <w:webHidden/>
          </w:rPr>
        </w:r>
        <w:r w:rsidRPr="000E4A30">
          <w:rPr>
            <w:rFonts w:cs="Arial"/>
            <w:noProof/>
            <w:webHidden/>
          </w:rPr>
          <w:fldChar w:fldCharType="separate"/>
        </w:r>
        <w:r w:rsidR="002C0DFB">
          <w:rPr>
            <w:rFonts w:cs="Arial"/>
            <w:noProof/>
            <w:webHidden/>
          </w:rPr>
          <w:t>46</w:t>
        </w:r>
        <w:r w:rsidRPr="000E4A30">
          <w:rPr>
            <w:rFonts w:cs="Arial"/>
            <w:noProof/>
            <w:webHidden/>
          </w:rPr>
          <w:fldChar w:fldCharType="end"/>
        </w:r>
      </w:hyperlink>
    </w:p>
    <w:p w14:paraId="1C0DE52D" w14:textId="442EC9B0" w:rsidR="003C1BA0" w:rsidRPr="000E4A30" w:rsidRDefault="003C1BA0">
      <w:pPr>
        <w:pStyle w:val="TOC5"/>
        <w:rPr>
          <w:rFonts w:ascii="Arial" w:hAnsi="Arial" w:cs="Arial"/>
          <w:noProof/>
          <w:kern w:val="2"/>
          <w:sz w:val="20"/>
          <w:szCs w:val="20"/>
          <w14:ligatures w14:val="standardContextual"/>
        </w:rPr>
      </w:pPr>
      <w:hyperlink w:anchor="_Toc225877678"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_Toc225877678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46</w:t>
        </w:r>
        <w:r w:rsidRPr="000E4A30">
          <w:rPr>
            <w:rFonts w:ascii="Arial" w:hAnsi="Arial" w:cs="Arial"/>
            <w:noProof/>
            <w:webHidden/>
            <w:sz w:val="20"/>
            <w:szCs w:val="20"/>
          </w:rPr>
          <w:fldChar w:fldCharType="end"/>
        </w:r>
      </w:hyperlink>
    </w:p>
    <w:p w14:paraId="5C1DC238" w14:textId="775CC362" w:rsidR="003C1BA0" w:rsidRPr="000E4A30" w:rsidRDefault="003C1BA0">
      <w:pPr>
        <w:pStyle w:val="TOC5"/>
        <w:rPr>
          <w:rFonts w:ascii="Arial" w:hAnsi="Arial" w:cs="Arial"/>
          <w:noProof/>
          <w:kern w:val="2"/>
          <w:sz w:val="20"/>
          <w:szCs w:val="20"/>
          <w14:ligatures w14:val="standardContextual"/>
        </w:rPr>
      </w:pPr>
      <w:hyperlink w:anchor="_Toc225877679" w:history="1">
        <w:r w:rsidRPr="000E4A30">
          <w:rPr>
            <w:rStyle w:val="Hyperlink"/>
            <w:rFonts w:ascii="Arial" w:hAnsi="Arial" w:cs="Arial"/>
            <w:noProof/>
            <w:sz w:val="20"/>
            <w:szCs w:val="20"/>
          </w:rPr>
          <w:t>Change Summary Since Release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_Toc225877679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47</w:t>
        </w:r>
        <w:r w:rsidRPr="000E4A30">
          <w:rPr>
            <w:rFonts w:ascii="Arial" w:hAnsi="Arial" w:cs="Arial"/>
            <w:noProof/>
            <w:webHidden/>
            <w:sz w:val="20"/>
            <w:szCs w:val="20"/>
          </w:rPr>
          <w:fldChar w:fldCharType="end"/>
        </w:r>
      </w:hyperlink>
    </w:p>
    <w:p w14:paraId="7CB0B422" w14:textId="46641A51" w:rsidR="003C1BA0" w:rsidRPr="000E4A30" w:rsidRDefault="003C1BA0">
      <w:pPr>
        <w:pStyle w:val="TOC4"/>
        <w:rPr>
          <w:rFonts w:eastAsiaTheme="minorEastAsia" w:cs="Arial"/>
          <w:noProof/>
          <w:kern w:val="2"/>
          <w14:ligatures w14:val="standardContextual"/>
        </w:rPr>
      </w:pPr>
      <w:hyperlink w:anchor="_Toc225877680" w:history="1">
        <w:r w:rsidRPr="000E4A30">
          <w:rPr>
            <w:rStyle w:val="Hyperlink"/>
            <w:rFonts w:cs="Arial"/>
            <w:noProof/>
          </w:rPr>
          <w:t>Section 1A: Basic Hospital Information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_Toc225877680 \h </w:instrText>
        </w:r>
        <w:r w:rsidRPr="000E4A30">
          <w:rPr>
            <w:rFonts w:cs="Arial"/>
            <w:noProof/>
            <w:webHidden/>
          </w:rPr>
        </w:r>
        <w:r w:rsidRPr="000E4A30">
          <w:rPr>
            <w:rFonts w:cs="Arial"/>
            <w:noProof/>
            <w:webHidden/>
          </w:rPr>
          <w:fldChar w:fldCharType="separate"/>
        </w:r>
        <w:r w:rsidR="002C0DFB">
          <w:rPr>
            <w:rFonts w:cs="Arial"/>
            <w:noProof/>
            <w:webHidden/>
          </w:rPr>
          <w:t>48</w:t>
        </w:r>
        <w:r w:rsidRPr="000E4A30">
          <w:rPr>
            <w:rFonts w:cs="Arial"/>
            <w:noProof/>
            <w:webHidden/>
          </w:rPr>
          <w:fldChar w:fldCharType="end"/>
        </w:r>
      </w:hyperlink>
    </w:p>
    <w:p w14:paraId="21FB7BBB" w14:textId="66984988" w:rsidR="003C1BA0" w:rsidRPr="000E4A30" w:rsidRDefault="003C1BA0">
      <w:pPr>
        <w:pStyle w:val="TOC4"/>
        <w:rPr>
          <w:rFonts w:eastAsiaTheme="minorEastAsia" w:cs="Arial"/>
          <w:noProof/>
          <w:kern w:val="2"/>
          <w14:ligatures w14:val="standardContextual"/>
        </w:rPr>
      </w:pPr>
      <w:hyperlink w:anchor="_Toc225877681" w:history="1">
        <w:r w:rsidRPr="000E4A30">
          <w:rPr>
            <w:rStyle w:val="Hyperlink"/>
            <w:rFonts w:cs="Arial"/>
            <w:noProof/>
          </w:rPr>
          <w:t>Section 1: Patient Rights and Ethics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_Toc225877681 \h </w:instrText>
        </w:r>
        <w:r w:rsidRPr="000E4A30">
          <w:rPr>
            <w:rFonts w:cs="Arial"/>
            <w:noProof/>
            <w:webHidden/>
          </w:rPr>
        </w:r>
        <w:r w:rsidRPr="000E4A30">
          <w:rPr>
            <w:rFonts w:cs="Arial"/>
            <w:noProof/>
            <w:webHidden/>
          </w:rPr>
          <w:fldChar w:fldCharType="separate"/>
        </w:r>
        <w:r w:rsidR="002C0DFB">
          <w:rPr>
            <w:rFonts w:cs="Arial"/>
            <w:noProof/>
            <w:webHidden/>
          </w:rPr>
          <w:t>49</w:t>
        </w:r>
        <w:r w:rsidRPr="000E4A30">
          <w:rPr>
            <w:rFonts w:cs="Arial"/>
            <w:noProof/>
            <w:webHidden/>
          </w:rPr>
          <w:fldChar w:fldCharType="end"/>
        </w:r>
      </w:hyperlink>
    </w:p>
    <w:p w14:paraId="47C686AE" w14:textId="42B33451" w:rsidR="003C1BA0" w:rsidRPr="000E4A30" w:rsidRDefault="003C1BA0">
      <w:pPr>
        <w:pStyle w:val="TOC5"/>
        <w:rPr>
          <w:rFonts w:ascii="Arial" w:hAnsi="Arial" w:cs="Arial"/>
          <w:noProof/>
          <w:kern w:val="2"/>
          <w:sz w:val="20"/>
          <w:szCs w:val="20"/>
          <w14:ligatures w14:val="standardContextual"/>
        </w:rPr>
      </w:pPr>
      <w:hyperlink w:anchor="_Toc225877682" w:history="1">
        <w:r w:rsidRPr="000E4A30">
          <w:rPr>
            <w:rStyle w:val="Hyperlink"/>
            <w:rFonts w:ascii="Arial" w:hAnsi="Arial" w:cs="Arial"/>
            <w:noProof/>
            <w:sz w:val="20"/>
            <w:szCs w:val="20"/>
          </w:rPr>
          <w:t>Basic Hospital Information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_Toc225877682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49</w:t>
        </w:r>
        <w:r w:rsidRPr="000E4A30">
          <w:rPr>
            <w:rFonts w:ascii="Arial" w:hAnsi="Arial" w:cs="Arial"/>
            <w:noProof/>
            <w:webHidden/>
            <w:sz w:val="20"/>
            <w:szCs w:val="20"/>
          </w:rPr>
          <w:fldChar w:fldCharType="end"/>
        </w:r>
      </w:hyperlink>
    </w:p>
    <w:p w14:paraId="2629A192" w14:textId="528C09B5" w:rsidR="003C1BA0" w:rsidRPr="000E4A30" w:rsidRDefault="003C1BA0">
      <w:pPr>
        <w:pStyle w:val="TOC5"/>
        <w:rPr>
          <w:rFonts w:ascii="Arial" w:hAnsi="Arial" w:cs="Arial"/>
          <w:noProof/>
          <w:kern w:val="2"/>
          <w:sz w:val="20"/>
          <w:szCs w:val="20"/>
          <w14:ligatures w14:val="standardContextual"/>
        </w:rPr>
      </w:pPr>
      <w:hyperlink w:anchor="_Toc225877683" w:history="1">
        <w:r w:rsidRPr="000E4A30">
          <w:rPr>
            <w:rStyle w:val="Hyperlink"/>
            <w:rFonts w:ascii="Arial" w:hAnsi="Arial" w:cs="Arial"/>
            <w:noProof/>
            <w:sz w:val="20"/>
            <w:szCs w:val="20"/>
          </w:rPr>
          <w:t>Billing Ethics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_Toc225877683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49</w:t>
        </w:r>
        <w:r w:rsidRPr="000E4A30">
          <w:rPr>
            <w:rFonts w:ascii="Arial" w:hAnsi="Arial" w:cs="Arial"/>
            <w:noProof/>
            <w:webHidden/>
            <w:sz w:val="20"/>
            <w:szCs w:val="20"/>
          </w:rPr>
          <w:fldChar w:fldCharType="end"/>
        </w:r>
      </w:hyperlink>
    </w:p>
    <w:p w14:paraId="26282825" w14:textId="2D9EBB06" w:rsidR="003C1BA0" w:rsidRPr="000E4A30" w:rsidRDefault="003C1BA0">
      <w:pPr>
        <w:pStyle w:val="TOC5"/>
        <w:rPr>
          <w:rFonts w:ascii="Arial" w:hAnsi="Arial" w:cs="Arial"/>
          <w:noProof/>
          <w:kern w:val="2"/>
          <w:sz w:val="20"/>
          <w:szCs w:val="20"/>
          <w14:ligatures w14:val="standardContextual"/>
        </w:rPr>
      </w:pPr>
      <w:hyperlink w:anchor="_Toc225877684" w:history="1">
        <w:r w:rsidRPr="000E4A30">
          <w:rPr>
            <w:rStyle w:val="Hyperlink"/>
            <w:rFonts w:ascii="Arial" w:hAnsi="Arial" w:cs="Arial"/>
            <w:noProof/>
            <w:sz w:val="20"/>
            <w:szCs w:val="20"/>
          </w:rPr>
          <w:t>Health Care Equity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_Toc225877684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51</w:t>
        </w:r>
        <w:r w:rsidRPr="000E4A30">
          <w:rPr>
            <w:rFonts w:ascii="Arial" w:hAnsi="Arial" w:cs="Arial"/>
            <w:noProof/>
            <w:webHidden/>
            <w:sz w:val="20"/>
            <w:szCs w:val="20"/>
          </w:rPr>
          <w:fldChar w:fldCharType="end"/>
        </w:r>
      </w:hyperlink>
    </w:p>
    <w:p w14:paraId="6D98DF91" w14:textId="4F301BA3" w:rsidR="003C1BA0" w:rsidRPr="000E4A30" w:rsidRDefault="003C1BA0">
      <w:pPr>
        <w:pStyle w:val="TOC5"/>
        <w:rPr>
          <w:rFonts w:ascii="Arial" w:hAnsi="Arial" w:cs="Arial"/>
          <w:noProof/>
          <w:kern w:val="2"/>
          <w:sz w:val="20"/>
          <w:szCs w:val="20"/>
          <w14:ligatures w14:val="standardContextual"/>
        </w:rPr>
      </w:pPr>
      <w:hyperlink w:anchor="_Toc225877685" w:history="1">
        <w:r w:rsidRPr="000E4A30">
          <w:rPr>
            <w:rStyle w:val="Hyperlink"/>
            <w:rFonts w:ascii="Arial" w:hAnsi="Arial" w:cs="Arial"/>
            <w:noProof/>
            <w:sz w:val="20"/>
            <w:szCs w:val="20"/>
          </w:rPr>
          <w:t>Informed Consent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_Toc225877685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52</w:t>
        </w:r>
        <w:r w:rsidRPr="000E4A30">
          <w:rPr>
            <w:rFonts w:ascii="Arial" w:hAnsi="Arial" w:cs="Arial"/>
            <w:noProof/>
            <w:webHidden/>
            <w:sz w:val="20"/>
            <w:szCs w:val="20"/>
          </w:rPr>
          <w:fldChar w:fldCharType="end"/>
        </w:r>
      </w:hyperlink>
    </w:p>
    <w:p w14:paraId="1CC5AC7F" w14:textId="790941FB" w:rsidR="003C1BA0" w:rsidRPr="000E4A30" w:rsidRDefault="003C1BA0">
      <w:pPr>
        <w:pStyle w:val="TOC1"/>
        <w:rPr>
          <w:rFonts w:eastAsiaTheme="minorEastAsia" w:cs="Arial"/>
          <w:noProof/>
          <w:kern w:val="2"/>
          <w14:ligatures w14:val="standardContextual"/>
        </w:rPr>
      </w:pPr>
      <w:hyperlink w:anchor="_Toc225877686"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_Toc225877686 \h </w:instrText>
        </w:r>
        <w:r w:rsidRPr="000E4A30">
          <w:rPr>
            <w:rFonts w:cs="Arial"/>
            <w:noProof/>
            <w:webHidden/>
          </w:rPr>
        </w:r>
        <w:r w:rsidRPr="000E4A30">
          <w:rPr>
            <w:rFonts w:cs="Arial"/>
            <w:noProof/>
            <w:webHidden/>
          </w:rPr>
          <w:fldChar w:fldCharType="separate"/>
        </w:r>
        <w:r w:rsidR="002C0DFB">
          <w:rPr>
            <w:rFonts w:cs="Arial"/>
            <w:noProof/>
            <w:webHidden/>
          </w:rPr>
          <w:t>56</w:t>
        </w:r>
        <w:r w:rsidRPr="000E4A30">
          <w:rPr>
            <w:rFonts w:cs="Arial"/>
            <w:noProof/>
            <w:webHidden/>
          </w:rPr>
          <w:fldChar w:fldCharType="end"/>
        </w:r>
      </w:hyperlink>
    </w:p>
    <w:p w14:paraId="6677507D" w14:textId="59CA792F" w:rsidR="003C1BA0" w:rsidRPr="000E4A30" w:rsidRDefault="003C1BA0">
      <w:pPr>
        <w:pStyle w:val="TOC1"/>
        <w:rPr>
          <w:rFonts w:eastAsiaTheme="minorEastAsia" w:cs="Arial"/>
          <w:noProof/>
          <w:kern w:val="2"/>
          <w14:ligatures w14:val="standardContextual"/>
        </w:rPr>
      </w:pPr>
      <w:hyperlink w:anchor="_Toc225877687" w:history="1">
        <w:r w:rsidRPr="000E4A30">
          <w:rPr>
            <w:rStyle w:val="Hyperlink"/>
            <w:rFonts w:cs="Arial"/>
            <w:noProof/>
          </w:rPr>
          <w:t>SECTION 2: MEDICATION SAFETY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_Toc225877687 \h </w:instrText>
        </w:r>
        <w:r w:rsidRPr="000E4A30">
          <w:rPr>
            <w:rFonts w:cs="Arial"/>
            <w:noProof/>
            <w:webHidden/>
          </w:rPr>
        </w:r>
        <w:r w:rsidRPr="000E4A30">
          <w:rPr>
            <w:rFonts w:cs="Arial"/>
            <w:noProof/>
            <w:webHidden/>
          </w:rPr>
          <w:fldChar w:fldCharType="separate"/>
        </w:r>
        <w:r w:rsidR="002C0DFB">
          <w:rPr>
            <w:rFonts w:cs="Arial"/>
            <w:noProof/>
            <w:webHidden/>
          </w:rPr>
          <w:t>57</w:t>
        </w:r>
        <w:r w:rsidRPr="000E4A30">
          <w:rPr>
            <w:rFonts w:cs="Arial"/>
            <w:noProof/>
            <w:webHidden/>
          </w:rPr>
          <w:fldChar w:fldCharType="end"/>
        </w:r>
      </w:hyperlink>
    </w:p>
    <w:p w14:paraId="0A57A8C6" w14:textId="4FDA82AA" w:rsidR="003C1BA0" w:rsidRPr="000E4A30" w:rsidRDefault="003C1BA0">
      <w:pPr>
        <w:pStyle w:val="TOC4"/>
        <w:rPr>
          <w:rFonts w:eastAsiaTheme="minorEastAsia" w:cs="Arial"/>
          <w:noProof/>
          <w:kern w:val="2"/>
          <w14:ligatures w14:val="standardContextual"/>
        </w:rPr>
      </w:pPr>
      <w:hyperlink w:anchor="_Toc225877688" w:history="1">
        <w:r w:rsidRPr="000E4A30">
          <w:rPr>
            <w:rStyle w:val="Hyperlink"/>
            <w:rFonts w:cs="Arial"/>
            <w:noProof/>
          </w:rPr>
          <w:t>Section 2: Medication Safety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_Toc225877688 \h </w:instrText>
        </w:r>
        <w:r w:rsidRPr="000E4A30">
          <w:rPr>
            <w:rFonts w:cs="Arial"/>
            <w:noProof/>
            <w:webHidden/>
          </w:rPr>
        </w:r>
        <w:r w:rsidRPr="000E4A30">
          <w:rPr>
            <w:rFonts w:cs="Arial"/>
            <w:noProof/>
            <w:webHidden/>
          </w:rPr>
          <w:fldChar w:fldCharType="separate"/>
        </w:r>
        <w:r w:rsidR="002C0DFB">
          <w:rPr>
            <w:rFonts w:cs="Arial"/>
            <w:noProof/>
            <w:webHidden/>
          </w:rPr>
          <w:t>58</w:t>
        </w:r>
        <w:r w:rsidRPr="000E4A30">
          <w:rPr>
            <w:rFonts w:cs="Arial"/>
            <w:noProof/>
            <w:webHidden/>
          </w:rPr>
          <w:fldChar w:fldCharType="end"/>
        </w:r>
      </w:hyperlink>
    </w:p>
    <w:p w14:paraId="5FF273D8" w14:textId="1FBA7DDC" w:rsidR="003C1BA0" w:rsidRPr="000E4A30" w:rsidRDefault="003C1BA0">
      <w:pPr>
        <w:pStyle w:val="TOC4"/>
        <w:rPr>
          <w:rFonts w:eastAsiaTheme="minorEastAsia" w:cs="Arial"/>
          <w:noProof/>
          <w:kern w:val="2"/>
          <w14:ligatures w14:val="standardContextual"/>
        </w:rPr>
      </w:pPr>
      <w:hyperlink w:anchor="_Toc225877689" w:history="1">
        <w:r w:rsidRPr="000E4A30">
          <w:rPr>
            <w:rStyle w:val="Hyperlink"/>
            <w:rFonts w:cs="Arial"/>
            <w:noProof/>
          </w:rPr>
          <w:t>2A: Computerized Physician Order Entry (CPOE)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_Toc225877689 \h </w:instrText>
        </w:r>
        <w:r w:rsidRPr="000E4A30">
          <w:rPr>
            <w:rFonts w:cs="Arial"/>
            <w:noProof/>
            <w:webHidden/>
          </w:rPr>
        </w:r>
        <w:r w:rsidRPr="000E4A30">
          <w:rPr>
            <w:rFonts w:cs="Arial"/>
            <w:noProof/>
            <w:webHidden/>
          </w:rPr>
          <w:fldChar w:fldCharType="separate"/>
        </w:r>
        <w:r w:rsidR="002C0DFB">
          <w:rPr>
            <w:rFonts w:cs="Arial"/>
            <w:noProof/>
            <w:webHidden/>
          </w:rPr>
          <w:t>60</w:t>
        </w:r>
        <w:r w:rsidRPr="000E4A30">
          <w:rPr>
            <w:rFonts w:cs="Arial"/>
            <w:noProof/>
            <w:webHidden/>
          </w:rPr>
          <w:fldChar w:fldCharType="end"/>
        </w:r>
      </w:hyperlink>
    </w:p>
    <w:p w14:paraId="7352FCFB" w14:textId="6A8C95A5" w:rsidR="003C1BA0" w:rsidRPr="000E4A30" w:rsidRDefault="003C1BA0">
      <w:pPr>
        <w:pStyle w:val="TOC4"/>
        <w:rPr>
          <w:rFonts w:eastAsiaTheme="minorEastAsia" w:cs="Arial"/>
          <w:noProof/>
          <w:kern w:val="2"/>
          <w14:ligatures w14:val="standardContextual"/>
        </w:rPr>
      </w:pPr>
      <w:hyperlink w:anchor="_Toc225877690" w:history="1">
        <w:r w:rsidRPr="000E4A30">
          <w:rPr>
            <w:rStyle w:val="Hyperlink"/>
            <w:rFonts w:cs="Arial"/>
            <w:noProof/>
          </w:rPr>
          <w:t>2B: EHR Application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_Toc225877690 \h </w:instrText>
        </w:r>
        <w:r w:rsidRPr="000E4A30">
          <w:rPr>
            <w:rFonts w:cs="Arial"/>
            <w:noProof/>
            <w:webHidden/>
          </w:rPr>
        </w:r>
        <w:r w:rsidRPr="000E4A30">
          <w:rPr>
            <w:rFonts w:cs="Arial"/>
            <w:noProof/>
            <w:webHidden/>
          </w:rPr>
          <w:fldChar w:fldCharType="separate"/>
        </w:r>
        <w:r w:rsidR="002C0DFB">
          <w:rPr>
            <w:rFonts w:cs="Arial"/>
            <w:noProof/>
            <w:webHidden/>
          </w:rPr>
          <w:t>62</w:t>
        </w:r>
        <w:r w:rsidRPr="000E4A30">
          <w:rPr>
            <w:rFonts w:cs="Arial"/>
            <w:noProof/>
            <w:webHidden/>
          </w:rPr>
          <w:fldChar w:fldCharType="end"/>
        </w:r>
      </w:hyperlink>
    </w:p>
    <w:p w14:paraId="51C02F61" w14:textId="558DD63C" w:rsidR="003C1BA0" w:rsidRPr="000E4A30" w:rsidRDefault="003C1BA0">
      <w:pPr>
        <w:pStyle w:val="TOC4"/>
        <w:rPr>
          <w:rFonts w:eastAsiaTheme="minorEastAsia" w:cs="Arial"/>
          <w:noProof/>
          <w:kern w:val="2"/>
          <w14:ligatures w14:val="standardContextual"/>
        </w:rPr>
      </w:pPr>
      <w:hyperlink w:anchor="_Toc225877691" w:history="1">
        <w:r w:rsidRPr="000E4A30">
          <w:rPr>
            <w:rStyle w:val="Hyperlink"/>
            <w:rFonts w:cs="Arial"/>
            <w:noProof/>
          </w:rPr>
          <w:t>2C: Bar Code Medication Administration (BCMA)</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_Toc225877691 \h </w:instrText>
        </w:r>
        <w:r w:rsidRPr="000E4A30">
          <w:rPr>
            <w:rFonts w:cs="Arial"/>
            <w:noProof/>
            <w:webHidden/>
          </w:rPr>
        </w:r>
        <w:r w:rsidRPr="000E4A30">
          <w:rPr>
            <w:rFonts w:cs="Arial"/>
            <w:noProof/>
            <w:webHidden/>
          </w:rPr>
          <w:fldChar w:fldCharType="separate"/>
        </w:r>
        <w:r w:rsidR="002C0DFB">
          <w:rPr>
            <w:rFonts w:cs="Arial"/>
            <w:noProof/>
            <w:webHidden/>
          </w:rPr>
          <w:t>64</w:t>
        </w:r>
        <w:r w:rsidRPr="000E4A30">
          <w:rPr>
            <w:rFonts w:cs="Arial"/>
            <w:noProof/>
            <w:webHidden/>
          </w:rPr>
          <w:fldChar w:fldCharType="end"/>
        </w:r>
      </w:hyperlink>
    </w:p>
    <w:p w14:paraId="54E6825D" w14:textId="26BD5271" w:rsidR="003C1BA0" w:rsidRPr="000E4A30" w:rsidRDefault="003C1BA0">
      <w:pPr>
        <w:pStyle w:val="TOC4"/>
        <w:rPr>
          <w:rFonts w:eastAsiaTheme="minorEastAsia" w:cs="Arial"/>
          <w:noProof/>
          <w:kern w:val="2"/>
          <w14:ligatures w14:val="standardContextual"/>
        </w:rPr>
      </w:pPr>
      <w:hyperlink w:anchor="_Toc225877692" w:history="1">
        <w:r w:rsidRPr="000E4A30">
          <w:rPr>
            <w:rStyle w:val="Hyperlink"/>
            <w:rFonts w:cs="Arial"/>
            <w:noProof/>
          </w:rPr>
          <w:t>2D: Medication Reconciliation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_Toc225877692 \h </w:instrText>
        </w:r>
        <w:r w:rsidRPr="000E4A30">
          <w:rPr>
            <w:rFonts w:cs="Arial"/>
            <w:noProof/>
            <w:webHidden/>
          </w:rPr>
        </w:r>
        <w:r w:rsidRPr="000E4A30">
          <w:rPr>
            <w:rFonts w:cs="Arial"/>
            <w:noProof/>
            <w:webHidden/>
          </w:rPr>
          <w:fldChar w:fldCharType="separate"/>
        </w:r>
        <w:r w:rsidR="002C0DFB">
          <w:rPr>
            <w:rFonts w:cs="Arial"/>
            <w:noProof/>
            <w:webHidden/>
          </w:rPr>
          <w:t>68</w:t>
        </w:r>
        <w:r w:rsidRPr="000E4A30">
          <w:rPr>
            <w:rFonts w:cs="Arial"/>
            <w:noProof/>
            <w:webHidden/>
          </w:rPr>
          <w:fldChar w:fldCharType="end"/>
        </w:r>
      </w:hyperlink>
    </w:p>
    <w:p w14:paraId="2A2419BB" w14:textId="172BE5B5" w:rsidR="003C1BA0" w:rsidRPr="000E4A30" w:rsidRDefault="003C1BA0">
      <w:pPr>
        <w:pStyle w:val="TOC4"/>
        <w:rPr>
          <w:rFonts w:eastAsiaTheme="minorEastAsia" w:cs="Arial"/>
          <w:noProof/>
          <w:kern w:val="2"/>
          <w14:ligatures w14:val="standardContextual"/>
        </w:rPr>
      </w:pPr>
      <w:hyperlink w:anchor="_Toc225877693" w:history="1">
        <w:r w:rsidRPr="000E4A30">
          <w:rPr>
            <w:rStyle w:val="Hyperlink"/>
            <w:rFonts w:cs="Arial"/>
            <w:noProof/>
          </w:rPr>
          <w:t>Section 2: Medication Safety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_Toc225877693 \h </w:instrText>
        </w:r>
        <w:r w:rsidRPr="000E4A30">
          <w:rPr>
            <w:rFonts w:cs="Arial"/>
            <w:noProof/>
            <w:webHidden/>
          </w:rPr>
        </w:r>
        <w:r w:rsidRPr="000E4A30">
          <w:rPr>
            <w:rFonts w:cs="Arial"/>
            <w:noProof/>
            <w:webHidden/>
          </w:rPr>
          <w:fldChar w:fldCharType="separate"/>
        </w:r>
        <w:r w:rsidR="002C0DFB">
          <w:rPr>
            <w:rFonts w:cs="Arial"/>
            <w:noProof/>
            <w:webHidden/>
          </w:rPr>
          <w:t>71</w:t>
        </w:r>
        <w:r w:rsidRPr="000E4A30">
          <w:rPr>
            <w:rFonts w:cs="Arial"/>
            <w:noProof/>
            <w:webHidden/>
          </w:rPr>
          <w:fldChar w:fldCharType="end"/>
        </w:r>
      </w:hyperlink>
    </w:p>
    <w:p w14:paraId="45FBDCA5" w14:textId="7C601459" w:rsidR="003C1BA0" w:rsidRPr="000E4A30" w:rsidRDefault="003C1BA0">
      <w:pPr>
        <w:pStyle w:val="TOC5"/>
        <w:rPr>
          <w:rFonts w:ascii="Arial" w:hAnsi="Arial" w:cs="Arial"/>
          <w:noProof/>
          <w:kern w:val="2"/>
          <w:sz w:val="20"/>
          <w:szCs w:val="20"/>
          <w14:ligatures w14:val="standardContextual"/>
        </w:rPr>
      </w:pPr>
      <w:hyperlink w:anchor="_Toc225877694"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_Toc225877694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71</w:t>
        </w:r>
        <w:r w:rsidRPr="000E4A30">
          <w:rPr>
            <w:rFonts w:ascii="Arial" w:hAnsi="Arial" w:cs="Arial"/>
            <w:noProof/>
            <w:webHidden/>
            <w:sz w:val="20"/>
            <w:szCs w:val="20"/>
          </w:rPr>
          <w:fldChar w:fldCharType="end"/>
        </w:r>
      </w:hyperlink>
    </w:p>
    <w:p w14:paraId="6A4C8B3E" w14:textId="6C9CA39A" w:rsidR="003C1BA0" w:rsidRPr="000E4A30" w:rsidRDefault="003C1BA0">
      <w:pPr>
        <w:pStyle w:val="TOC5"/>
        <w:rPr>
          <w:rFonts w:ascii="Arial" w:hAnsi="Arial" w:cs="Arial"/>
          <w:noProof/>
          <w:kern w:val="2"/>
          <w:sz w:val="20"/>
          <w:szCs w:val="20"/>
          <w14:ligatures w14:val="standardContextual"/>
        </w:rPr>
      </w:pPr>
      <w:hyperlink w:anchor="_Toc225877695" w:history="1">
        <w:r w:rsidRPr="000E4A30">
          <w:rPr>
            <w:rStyle w:val="Hyperlink"/>
            <w:rFonts w:ascii="Arial" w:hAnsi="Arial" w:cs="Arial"/>
            <w:noProof/>
            <w:sz w:val="20"/>
            <w:szCs w:val="20"/>
          </w:rPr>
          <w:t>Change Summary Since Release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_Toc225877695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72</w:t>
        </w:r>
        <w:r w:rsidRPr="000E4A30">
          <w:rPr>
            <w:rFonts w:ascii="Arial" w:hAnsi="Arial" w:cs="Arial"/>
            <w:noProof/>
            <w:webHidden/>
            <w:sz w:val="20"/>
            <w:szCs w:val="20"/>
          </w:rPr>
          <w:fldChar w:fldCharType="end"/>
        </w:r>
      </w:hyperlink>
    </w:p>
    <w:p w14:paraId="1586B98B" w14:textId="357FCCF8" w:rsidR="003C1BA0" w:rsidRPr="000E4A30" w:rsidRDefault="003C1BA0">
      <w:pPr>
        <w:pStyle w:val="TOC4"/>
        <w:rPr>
          <w:rFonts w:eastAsiaTheme="minorEastAsia" w:cs="Arial"/>
          <w:noProof/>
          <w:kern w:val="2"/>
          <w14:ligatures w14:val="standardContextual"/>
        </w:rPr>
      </w:pPr>
      <w:hyperlink w:anchor="_Toc225877696" w:history="1">
        <w:r w:rsidRPr="000E4A30">
          <w:rPr>
            <w:rStyle w:val="Hyperlink"/>
            <w:rFonts w:cs="Arial"/>
            <w:noProof/>
          </w:rPr>
          <w:t>Section 2: Medication Safety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_Toc225877696 \h </w:instrText>
        </w:r>
        <w:r w:rsidRPr="000E4A30">
          <w:rPr>
            <w:rFonts w:cs="Arial"/>
            <w:noProof/>
            <w:webHidden/>
          </w:rPr>
        </w:r>
        <w:r w:rsidRPr="000E4A30">
          <w:rPr>
            <w:rFonts w:cs="Arial"/>
            <w:noProof/>
            <w:webHidden/>
          </w:rPr>
          <w:fldChar w:fldCharType="separate"/>
        </w:r>
        <w:r w:rsidR="002C0DFB">
          <w:rPr>
            <w:rFonts w:cs="Arial"/>
            <w:noProof/>
            <w:webHidden/>
          </w:rPr>
          <w:t>73</w:t>
        </w:r>
        <w:r w:rsidRPr="000E4A30">
          <w:rPr>
            <w:rFonts w:cs="Arial"/>
            <w:noProof/>
            <w:webHidden/>
          </w:rPr>
          <w:fldChar w:fldCharType="end"/>
        </w:r>
      </w:hyperlink>
    </w:p>
    <w:p w14:paraId="6C88D22D" w14:textId="256B85D5" w:rsidR="003C1BA0" w:rsidRPr="000E4A30" w:rsidRDefault="003C1BA0">
      <w:pPr>
        <w:pStyle w:val="TOC5"/>
        <w:rPr>
          <w:rFonts w:ascii="Arial" w:hAnsi="Arial" w:cs="Arial"/>
          <w:noProof/>
          <w:kern w:val="2"/>
          <w:sz w:val="20"/>
          <w:szCs w:val="20"/>
          <w14:ligatures w14:val="standardContextual"/>
        </w:rPr>
      </w:pPr>
      <w:hyperlink w:anchor="_Toc225877697" w:history="1">
        <w:r w:rsidRPr="000E4A30">
          <w:rPr>
            <w:rStyle w:val="Hyperlink"/>
            <w:rFonts w:ascii="Arial" w:hAnsi="Arial" w:cs="Arial"/>
            <w:noProof/>
            <w:sz w:val="20"/>
            <w:szCs w:val="20"/>
          </w:rPr>
          <w:t>Computerized Physician Order Entry (CPOE)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_Toc225877697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73</w:t>
        </w:r>
        <w:r w:rsidRPr="000E4A30">
          <w:rPr>
            <w:rFonts w:ascii="Arial" w:hAnsi="Arial" w:cs="Arial"/>
            <w:noProof/>
            <w:webHidden/>
            <w:sz w:val="20"/>
            <w:szCs w:val="20"/>
          </w:rPr>
          <w:fldChar w:fldCharType="end"/>
        </w:r>
      </w:hyperlink>
    </w:p>
    <w:p w14:paraId="57F3E987" w14:textId="30E7B794" w:rsidR="003C1BA0" w:rsidRPr="000E4A30" w:rsidRDefault="003C1BA0">
      <w:pPr>
        <w:pStyle w:val="TOC5"/>
        <w:rPr>
          <w:rFonts w:ascii="Arial" w:hAnsi="Arial" w:cs="Arial"/>
          <w:noProof/>
          <w:kern w:val="2"/>
          <w:sz w:val="20"/>
          <w:szCs w:val="20"/>
          <w14:ligatures w14:val="standardContextual"/>
        </w:rPr>
      </w:pPr>
      <w:hyperlink w:anchor="_Toc225877698" w:history="1">
        <w:r w:rsidRPr="000E4A30">
          <w:rPr>
            <w:rStyle w:val="Hyperlink"/>
            <w:rFonts w:ascii="Arial" w:hAnsi="Arial" w:cs="Arial"/>
            <w:noProof/>
            <w:sz w:val="20"/>
            <w:szCs w:val="20"/>
          </w:rPr>
          <w:t>Bar Code Medication Administration (BCMA)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_Toc225877698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75</w:t>
        </w:r>
        <w:r w:rsidRPr="000E4A30">
          <w:rPr>
            <w:rFonts w:ascii="Arial" w:hAnsi="Arial" w:cs="Arial"/>
            <w:noProof/>
            <w:webHidden/>
            <w:sz w:val="20"/>
            <w:szCs w:val="20"/>
          </w:rPr>
          <w:fldChar w:fldCharType="end"/>
        </w:r>
      </w:hyperlink>
    </w:p>
    <w:p w14:paraId="4352D083" w14:textId="6A0AB273" w:rsidR="003C1BA0" w:rsidRPr="000E4A30" w:rsidRDefault="003C1BA0">
      <w:pPr>
        <w:pStyle w:val="TOC5"/>
        <w:rPr>
          <w:rFonts w:ascii="Arial" w:hAnsi="Arial" w:cs="Arial"/>
          <w:noProof/>
          <w:kern w:val="2"/>
          <w:sz w:val="20"/>
          <w:szCs w:val="20"/>
          <w14:ligatures w14:val="standardContextual"/>
        </w:rPr>
      </w:pPr>
      <w:hyperlink w:anchor="_Toc225877699" w:history="1">
        <w:r w:rsidRPr="000E4A30">
          <w:rPr>
            <w:rStyle w:val="Hyperlink"/>
            <w:rFonts w:ascii="Arial" w:hAnsi="Arial" w:cs="Arial"/>
            <w:noProof/>
            <w:sz w:val="20"/>
            <w:szCs w:val="20"/>
          </w:rPr>
          <w:t>Medication Reconciliation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_Toc225877699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77</w:t>
        </w:r>
        <w:r w:rsidRPr="000E4A30">
          <w:rPr>
            <w:rFonts w:ascii="Arial" w:hAnsi="Arial" w:cs="Arial"/>
            <w:noProof/>
            <w:webHidden/>
            <w:sz w:val="20"/>
            <w:szCs w:val="20"/>
          </w:rPr>
          <w:fldChar w:fldCharType="end"/>
        </w:r>
      </w:hyperlink>
    </w:p>
    <w:p w14:paraId="5B15FDB7" w14:textId="0A57CD6F" w:rsidR="003C1BA0" w:rsidRPr="000E4A30" w:rsidRDefault="003C1BA0">
      <w:pPr>
        <w:pStyle w:val="TOC4"/>
        <w:rPr>
          <w:rFonts w:eastAsiaTheme="minorEastAsia" w:cs="Arial"/>
          <w:noProof/>
          <w:kern w:val="2"/>
          <w14:ligatures w14:val="standardContextual"/>
        </w:rPr>
      </w:pPr>
      <w:hyperlink w:anchor="_Toc225877700" w:history="1">
        <w:r w:rsidRPr="000E4A30">
          <w:rPr>
            <w:rStyle w:val="Hyperlink"/>
            <w:rFonts w:cs="Arial"/>
            <w:noProof/>
          </w:rPr>
          <w:t>Section 2: Medication Safety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_Toc225877700 \h </w:instrText>
        </w:r>
        <w:r w:rsidRPr="000E4A30">
          <w:rPr>
            <w:rFonts w:cs="Arial"/>
            <w:noProof/>
            <w:webHidden/>
          </w:rPr>
        </w:r>
        <w:r w:rsidRPr="000E4A30">
          <w:rPr>
            <w:rFonts w:cs="Arial"/>
            <w:noProof/>
            <w:webHidden/>
          </w:rPr>
          <w:fldChar w:fldCharType="separate"/>
        </w:r>
        <w:r w:rsidR="002C0DFB">
          <w:rPr>
            <w:rFonts w:cs="Arial"/>
            <w:noProof/>
            <w:webHidden/>
          </w:rPr>
          <w:t>83</w:t>
        </w:r>
        <w:r w:rsidRPr="000E4A30">
          <w:rPr>
            <w:rFonts w:cs="Arial"/>
            <w:noProof/>
            <w:webHidden/>
          </w:rPr>
          <w:fldChar w:fldCharType="end"/>
        </w:r>
      </w:hyperlink>
    </w:p>
    <w:p w14:paraId="75B3444C" w14:textId="2A47A09C" w:rsidR="003C1BA0" w:rsidRPr="000E4A30" w:rsidRDefault="003C1BA0">
      <w:pPr>
        <w:pStyle w:val="TOC5"/>
        <w:rPr>
          <w:rFonts w:ascii="Arial" w:hAnsi="Arial" w:cs="Arial"/>
          <w:noProof/>
          <w:kern w:val="2"/>
          <w:sz w:val="20"/>
          <w:szCs w:val="20"/>
          <w14:ligatures w14:val="standardContextual"/>
        </w:rPr>
      </w:pPr>
      <w:hyperlink w:anchor="_Toc225877701" w:history="1">
        <w:r w:rsidRPr="000E4A30">
          <w:rPr>
            <w:rStyle w:val="Hyperlink"/>
            <w:rFonts w:ascii="Arial" w:hAnsi="Arial" w:cs="Arial"/>
            <w:noProof/>
            <w:sz w:val="20"/>
            <w:szCs w:val="20"/>
          </w:rPr>
          <w:t>Computerized Physician Order Entry (CPOE)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_Toc225877701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83</w:t>
        </w:r>
        <w:r w:rsidRPr="000E4A30">
          <w:rPr>
            <w:rFonts w:ascii="Arial" w:hAnsi="Arial" w:cs="Arial"/>
            <w:noProof/>
            <w:webHidden/>
            <w:sz w:val="20"/>
            <w:szCs w:val="20"/>
          </w:rPr>
          <w:fldChar w:fldCharType="end"/>
        </w:r>
      </w:hyperlink>
    </w:p>
    <w:p w14:paraId="79500A3F" w14:textId="4D0D1F6C" w:rsidR="003C1BA0" w:rsidRPr="000E4A30" w:rsidRDefault="003C1BA0">
      <w:pPr>
        <w:pStyle w:val="TOC5"/>
        <w:rPr>
          <w:rFonts w:ascii="Arial" w:hAnsi="Arial" w:cs="Arial"/>
          <w:noProof/>
          <w:kern w:val="2"/>
          <w:sz w:val="20"/>
          <w:szCs w:val="20"/>
          <w14:ligatures w14:val="standardContextual"/>
        </w:rPr>
      </w:pPr>
      <w:hyperlink w:anchor="_Toc225877702" w:history="1">
        <w:r w:rsidRPr="000E4A30">
          <w:rPr>
            <w:rStyle w:val="Hyperlink"/>
            <w:rFonts w:ascii="Arial" w:hAnsi="Arial" w:cs="Arial"/>
            <w:noProof/>
            <w:sz w:val="20"/>
            <w:szCs w:val="20"/>
          </w:rPr>
          <w:t>EHR Application Information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_Toc225877702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84</w:t>
        </w:r>
        <w:r w:rsidRPr="000E4A30">
          <w:rPr>
            <w:rFonts w:ascii="Arial" w:hAnsi="Arial" w:cs="Arial"/>
            <w:noProof/>
            <w:webHidden/>
            <w:sz w:val="20"/>
            <w:szCs w:val="20"/>
          </w:rPr>
          <w:fldChar w:fldCharType="end"/>
        </w:r>
      </w:hyperlink>
    </w:p>
    <w:p w14:paraId="0EA60FCC" w14:textId="5F0A9E88" w:rsidR="003C1BA0" w:rsidRPr="000E4A30" w:rsidRDefault="003C1BA0">
      <w:pPr>
        <w:pStyle w:val="TOC5"/>
        <w:rPr>
          <w:rFonts w:ascii="Arial" w:hAnsi="Arial" w:cs="Arial"/>
          <w:noProof/>
          <w:kern w:val="2"/>
          <w:sz w:val="20"/>
          <w:szCs w:val="20"/>
          <w14:ligatures w14:val="standardContextual"/>
        </w:rPr>
      </w:pPr>
      <w:hyperlink w:anchor="_Toc225877703" w:history="1">
        <w:r w:rsidRPr="000E4A30">
          <w:rPr>
            <w:rStyle w:val="Hyperlink"/>
            <w:rFonts w:ascii="Arial" w:hAnsi="Arial" w:cs="Arial"/>
            <w:noProof/>
            <w:sz w:val="20"/>
            <w:szCs w:val="20"/>
          </w:rPr>
          <w:t>Bar Code Medication Administration (BCMA)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_Toc225877703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85</w:t>
        </w:r>
        <w:r w:rsidRPr="000E4A30">
          <w:rPr>
            <w:rFonts w:ascii="Arial" w:hAnsi="Arial" w:cs="Arial"/>
            <w:noProof/>
            <w:webHidden/>
            <w:sz w:val="20"/>
            <w:szCs w:val="20"/>
          </w:rPr>
          <w:fldChar w:fldCharType="end"/>
        </w:r>
      </w:hyperlink>
    </w:p>
    <w:p w14:paraId="13B8B0CC" w14:textId="3B5BD0FC" w:rsidR="003C1BA0" w:rsidRPr="000E4A30" w:rsidRDefault="003C1BA0">
      <w:pPr>
        <w:pStyle w:val="TOC5"/>
        <w:rPr>
          <w:rFonts w:ascii="Arial" w:hAnsi="Arial" w:cs="Arial"/>
          <w:noProof/>
          <w:kern w:val="2"/>
          <w:sz w:val="20"/>
          <w:szCs w:val="20"/>
          <w14:ligatures w14:val="standardContextual"/>
        </w:rPr>
      </w:pPr>
      <w:hyperlink w:anchor="_Toc225877704" w:history="1">
        <w:r w:rsidRPr="000E4A30">
          <w:rPr>
            <w:rStyle w:val="Hyperlink"/>
            <w:rFonts w:ascii="Arial" w:hAnsi="Arial" w:cs="Arial"/>
            <w:noProof/>
            <w:sz w:val="20"/>
            <w:szCs w:val="20"/>
          </w:rPr>
          <w:t>Medication Reconciliation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_Toc225877704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88</w:t>
        </w:r>
        <w:r w:rsidRPr="000E4A30">
          <w:rPr>
            <w:rFonts w:ascii="Arial" w:hAnsi="Arial" w:cs="Arial"/>
            <w:noProof/>
            <w:webHidden/>
            <w:sz w:val="20"/>
            <w:szCs w:val="20"/>
          </w:rPr>
          <w:fldChar w:fldCharType="end"/>
        </w:r>
      </w:hyperlink>
    </w:p>
    <w:p w14:paraId="2F63319E" w14:textId="751793A8" w:rsidR="003C1BA0" w:rsidRPr="000E4A30" w:rsidRDefault="003C1BA0">
      <w:pPr>
        <w:pStyle w:val="TOC1"/>
        <w:rPr>
          <w:rFonts w:eastAsiaTheme="minorEastAsia" w:cs="Arial"/>
          <w:noProof/>
          <w:kern w:val="2"/>
          <w14:ligatures w14:val="standardContextual"/>
        </w:rPr>
      </w:pPr>
      <w:hyperlink w:anchor="_Toc225877705"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_Toc225877705 \h </w:instrText>
        </w:r>
        <w:r w:rsidRPr="000E4A30">
          <w:rPr>
            <w:rFonts w:cs="Arial"/>
            <w:noProof/>
            <w:webHidden/>
          </w:rPr>
        </w:r>
        <w:r w:rsidRPr="000E4A30">
          <w:rPr>
            <w:rFonts w:cs="Arial"/>
            <w:noProof/>
            <w:webHidden/>
          </w:rPr>
          <w:fldChar w:fldCharType="separate"/>
        </w:r>
        <w:r w:rsidR="002C0DFB">
          <w:rPr>
            <w:rFonts w:cs="Arial"/>
            <w:noProof/>
            <w:webHidden/>
          </w:rPr>
          <w:t>91</w:t>
        </w:r>
        <w:r w:rsidRPr="000E4A30">
          <w:rPr>
            <w:rFonts w:cs="Arial"/>
            <w:noProof/>
            <w:webHidden/>
          </w:rPr>
          <w:fldChar w:fldCharType="end"/>
        </w:r>
      </w:hyperlink>
    </w:p>
    <w:p w14:paraId="0B733406" w14:textId="5C24AEA4" w:rsidR="003C1BA0" w:rsidRPr="000E4A30" w:rsidRDefault="003C1BA0">
      <w:pPr>
        <w:pStyle w:val="TOC1"/>
        <w:rPr>
          <w:rFonts w:eastAsiaTheme="minorEastAsia" w:cs="Arial"/>
          <w:noProof/>
          <w:kern w:val="2"/>
          <w14:ligatures w14:val="standardContextual"/>
        </w:rPr>
      </w:pPr>
      <w:hyperlink w:anchor="_Toc225877706" w:history="1">
        <w:r w:rsidRPr="000E4A30">
          <w:rPr>
            <w:rStyle w:val="Hyperlink"/>
            <w:rFonts w:cs="Arial"/>
            <w:noProof/>
          </w:rPr>
          <w:t>SECTION 3: ADULT AND PEDIATRIC COMPLEX SURGERY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_Toc225877706 \h </w:instrText>
        </w:r>
        <w:r w:rsidRPr="000E4A30">
          <w:rPr>
            <w:rFonts w:cs="Arial"/>
            <w:noProof/>
            <w:webHidden/>
          </w:rPr>
        </w:r>
        <w:r w:rsidRPr="000E4A30">
          <w:rPr>
            <w:rFonts w:cs="Arial"/>
            <w:noProof/>
            <w:webHidden/>
          </w:rPr>
          <w:fldChar w:fldCharType="separate"/>
        </w:r>
        <w:r w:rsidR="002C0DFB">
          <w:rPr>
            <w:rFonts w:cs="Arial"/>
            <w:noProof/>
            <w:webHidden/>
          </w:rPr>
          <w:t>92</w:t>
        </w:r>
        <w:r w:rsidRPr="000E4A30">
          <w:rPr>
            <w:rFonts w:cs="Arial"/>
            <w:noProof/>
            <w:webHidden/>
          </w:rPr>
          <w:fldChar w:fldCharType="end"/>
        </w:r>
      </w:hyperlink>
    </w:p>
    <w:p w14:paraId="5D9F7171" w14:textId="69D7A93E" w:rsidR="003C1BA0" w:rsidRPr="000E4A30" w:rsidRDefault="003C1BA0">
      <w:pPr>
        <w:pStyle w:val="TOC4"/>
        <w:rPr>
          <w:rFonts w:eastAsiaTheme="minorEastAsia" w:cs="Arial"/>
          <w:noProof/>
          <w:kern w:val="2"/>
          <w14:ligatures w14:val="standardContextual"/>
        </w:rPr>
      </w:pPr>
      <w:hyperlink w:anchor="_Toc225877707" w:history="1">
        <w:r w:rsidRPr="000E4A30">
          <w:rPr>
            <w:rStyle w:val="Hyperlink"/>
            <w:rFonts w:cs="Arial"/>
            <w:noProof/>
          </w:rPr>
          <w:t>Section 3: Adult and Pediatric Complex Surgery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_Toc225877707 \h </w:instrText>
        </w:r>
        <w:r w:rsidRPr="000E4A30">
          <w:rPr>
            <w:rFonts w:cs="Arial"/>
            <w:noProof/>
            <w:webHidden/>
          </w:rPr>
        </w:r>
        <w:r w:rsidRPr="000E4A30">
          <w:rPr>
            <w:rFonts w:cs="Arial"/>
            <w:noProof/>
            <w:webHidden/>
          </w:rPr>
          <w:fldChar w:fldCharType="separate"/>
        </w:r>
        <w:r w:rsidR="002C0DFB">
          <w:rPr>
            <w:rFonts w:cs="Arial"/>
            <w:noProof/>
            <w:webHidden/>
          </w:rPr>
          <w:t>93</w:t>
        </w:r>
        <w:r w:rsidRPr="000E4A30">
          <w:rPr>
            <w:rFonts w:cs="Arial"/>
            <w:noProof/>
            <w:webHidden/>
          </w:rPr>
          <w:fldChar w:fldCharType="end"/>
        </w:r>
      </w:hyperlink>
    </w:p>
    <w:p w14:paraId="48CFDCC8" w14:textId="09C59064" w:rsidR="003C1BA0" w:rsidRPr="000E4A30" w:rsidRDefault="003C1BA0">
      <w:pPr>
        <w:pStyle w:val="TOC4"/>
        <w:rPr>
          <w:rFonts w:eastAsiaTheme="minorEastAsia" w:cs="Arial"/>
          <w:noProof/>
          <w:kern w:val="2"/>
          <w14:ligatures w14:val="standardContextual"/>
        </w:rPr>
      </w:pPr>
      <w:hyperlink w:anchor="_Toc225877708" w:history="1">
        <w:r w:rsidRPr="000E4A30">
          <w:rPr>
            <w:rStyle w:val="Hyperlink"/>
            <w:rFonts w:cs="Arial"/>
            <w:noProof/>
          </w:rPr>
          <w:t>3A: Hospital and Surgeon Volume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_Toc225877708 \h </w:instrText>
        </w:r>
        <w:r w:rsidRPr="000E4A30">
          <w:rPr>
            <w:rFonts w:cs="Arial"/>
            <w:noProof/>
            <w:webHidden/>
          </w:rPr>
        </w:r>
        <w:r w:rsidRPr="000E4A30">
          <w:rPr>
            <w:rFonts w:cs="Arial"/>
            <w:noProof/>
            <w:webHidden/>
          </w:rPr>
          <w:fldChar w:fldCharType="separate"/>
        </w:r>
        <w:r w:rsidR="002C0DFB">
          <w:rPr>
            <w:rFonts w:cs="Arial"/>
            <w:noProof/>
            <w:webHidden/>
          </w:rPr>
          <w:t>94</w:t>
        </w:r>
        <w:r w:rsidRPr="000E4A30">
          <w:rPr>
            <w:rFonts w:cs="Arial"/>
            <w:noProof/>
            <w:webHidden/>
          </w:rPr>
          <w:fldChar w:fldCharType="end"/>
        </w:r>
      </w:hyperlink>
    </w:p>
    <w:p w14:paraId="6955D19A" w14:textId="652F3FBF" w:rsidR="003C1BA0" w:rsidRPr="000E4A30" w:rsidRDefault="003C1BA0">
      <w:pPr>
        <w:pStyle w:val="TOC4"/>
        <w:rPr>
          <w:rFonts w:eastAsiaTheme="minorEastAsia" w:cs="Arial"/>
          <w:noProof/>
          <w:kern w:val="2"/>
          <w14:ligatures w14:val="standardContextual"/>
        </w:rPr>
      </w:pPr>
      <w:hyperlink w:anchor="_Toc225877709" w:history="1">
        <w:r w:rsidRPr="000E4A30">
          <w:rPr>
            <w:rStyle w:val="Hyperlink"/>
            <w:rFonts w:cs="Arial"/>
            <w:noProof/>
          </w:rPr>
          <w:t>3B: Safe Surgery Checklist for Adult and Pediatric Complex Surgery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_Toc225877709 \h </w:instrText>
        </w:r>
        <w:r w:rsidRPr="000E4A30">
          <w:rPr>
            <w:rFonts w:cs="Arial"/>
            <w:noProof/>
            <w:webHidden/>
          </w:rPr>
        </w:r>
        <w:r w:rsidRPr="000E4A30">
          <w:rPr>
            <w:rFonts w:cs="Arial"/>
            <w:noProof/>
            <w:webHidden/>
          </w:rPr>
          <w:fldChar w:fldCharType="separate"/>
        </w:r>
        <w:r w:rsidR="002C0DFB">
          <w:rPr>
            <w:rFonts w:cs="Arial"/>
            <w:noProof/>
            <w:webHidden/>
          </w:rPr>
          <w:t>98</w:t>
        </w:r>
        <w:r w:rsidRPr="000E4A30">
          <w:rPr>
            <w:rFonts w:cs="Arial"/>
            <w:noProof/>
            <w:webHidden/>
          </w:rPr>
          <w:fldChar w:fldCharType="end"/>
        </w:r>
      </w:hyperlink>
    </w:p>
    <w:p w14:paraId="1C56DED5" w14:textId="3C40B53C" w:rsidR="003C1BA0" w:rsidRPr="000E4A30" w:rsidRDefault="003C1BA0">
      <w:pPr>
        <w:pStyle w:val="TOC4"/>
        <w:rPr>
          <w:rFonts w:eastAsiaTheme="minorEastAsia" w:cs="Arial"/>
          <w:noProof/>
          <w:kern w:val="2"/>
          <w14:ligatures w14:val="standardContextual"/>
        </w:rPr>
      </w:pPr>
      <w:hyperlink w:anchor="_Toc225877710" w:history="1">
        <w:r w:rsidRPr="000E4A30">
          <w:rPr>
            <w:rStyle w:val="Hyperlink"/>
            <w:rFonts w:cs="Arial"/>
            <w:noProof/>
          </w:rPr>
          <w:t>Section 3: Adult and Pediatric Complex Surgery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_Toc225877710 \h </w:instrText>
        </w:r>
        <w:r w:rsidRPr="000E4A30">
          <w:rPr>
            <w:rFonts w:cs="Arial"/>
            <w:noProof/>
            <w:webHidden/>
          </w:rPr>
        </w:r>
        <w:r w:rsidRPr="000E4A30">
          <w:rPr>
            <w:rFonts w:cs="Arial"/>
            <w:noProof/>
            <w:webHidden/>
          </w:rPr>
          <w:fldChar w:fldCharType="separate"/>
        </w:r>
        <w:r w:rsidR="002C0DFB">
          <w:rPr>
            <w:rFonts w:cs="Arial"/>
            <w:noProof/>
            <w:webHidden/>
          </w:rPr>
          <w:t>102</w:t>
        </w:r>
        <w:r w:rsidRPr="000E4A30">
          <w:rPr>
            <w:rFonts w:cs="Arial"/>
            <w:noProof/>
            <w:webHidden/>
          </w:rPr>
          <w:fldChar w:fldCharType="end"/>
        </w:r>
      </w:hyperlink>
    </w:p>
    <w:p w14:paraId="4BAF5BB5" w14:textId="157EC69F" w:rsidR="003C1BA0" w:rsidRPr="000E4A30" w:rsidRDefault="003C1BA0">
      <w:pPr>
        <w:pStyle w:val="TOC5"/>
        <w:rPr>
          <w:rFonts w:ascii="Arial" w:hAnsi="Arial" w:cs="Arial"/>
          <w:noProof/>
          <w:kern w:val="2"/>
          <w:sz w:val="20"/>
          <w:szCs w:val="20"/>
          <w14:ligatures w14:val="standardContextual"/>
        </w:rPr>
      </w:pPr>
      <w:hyperlink w:anchor="_Toc225877711"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_Toc225877711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102</w:t>
        </w:r>
        <w:r w:rsidRPr="000E4A30">
          <w:rPr>
            <w:rFonts w:ascii="Arial" w:hAnsi="Arial" w:cs="Arial"/>
            <w:noProof/>
            <w:webHidden/>
            <w:sz w:val="20"/>
            <w:szCs w:val="20"/>
          </w:rPr>
          <w:fldChar w:fldCharType="end"/>
        </w:r>
      </w:hyperlink>
    </w:p>
    <w:p w14:paraId="215E0FCA" w14:textId="6F39E413" w:rsidR="003C1BA0" w:rsidRPr="000E4A30" w:rsidRDefault="003C1BA0">
      <w:pPr>
        <w:pStyle w:val="TOC5"/>
        <w:rPr>
          <w:rFonts w:ascii="Arial" w:hAnsi="Arial" w:cs="Arial"/>
          <w:noProof/>
          <w:kern w:val="2"/>
          <w:sz w:val="20"/>
          <w:szCs w:val="20"/>
          <w14:ligatures w14:val="standardContextual"/>
        </w:rPr>
      </w:pPr>
      <w:hyperlink w:anchor="_Toc225877712" w:history="1">
        <w:r w:rsidRPr="000E4A30">
          <w:rPr>
            <w:rStyle w:val="Hyperlink"/>
            <w:rFonts w:ascii="Arial" w:hAnsi="Arial" w:cs="Arial"/>
            <w:noProof/>
            <w:sz w:val="20"/>
            <w:szCs w:val="20"/>
          </w:rPr>
          <w:t>Change Summary Since Release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_Toc225877712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102</w:t>
        </w:r>
        <w:r w:rsidRPr="000E4A30">
          <w:rPr>
            <w:rFonts w:ascii="Arial" w:hAnsi="Arial" w:cs="Arial"/>
            <w:noProof/>
            <w:webHidden/>
            <w:sz w:val="20"/>
            <w:szCs w:val="20"/>
          </w:rPr>
          <w:fldChar w:fldCharType="end"/>
        </w:r>
      </w:hyperlink>
    </w:p>
    <w:p w14:paraId="3090747A" w14:textId="026862F6" w:rsidR="003C1BA0" w:rsidRPr="000E4A30" w:rsidRDefault="003C1BA0">
      <w:pPr>
        <w:pStyle w:val="TOC4"/>
        <w:rPr>
          <w:rFonts w:eastAsiaTheme="minorEastAsia" w:cs="Arial"/>
          <w:noProof/>
          <w:kern w:val="2"/>
          <w14:ligatures w14:val="standardContextual"/>
        </w:rPr>
      </w:pPr>
      <w:hyperlink w:anchor="_Toc225877713" w:history="1">
        <w:r w:rsidRPr="000E4A30">
          <w:rPr>
            <w:rStyle w:val="Hyperlink"/>
            <w:rFonts w:cs="Arial"/>
            <w:noProof/>
          </w:rPr>
          <w:t>Section 3: Adult and Pediatric Complex Surgery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_Toc225877713 \h </w:instrText>
        </w:r>
        <w:r w:rsidRPr="000E4A30">
          <w:rPr>
            <w:rFonts w:cs="Arial"/>
            <w:noProof/>
            <w:webHidden/>
          </w:rPr>
        </w:r>
        <w:r w:rsidRPr="000E4A30">
          <w:rPr>
            <w:rFonts w:cs="Arial"/>
            <w:noProof/>
            <w:webHidden/>
          </w:rPr>
          <w:fldChar w:fldCharType="separate"/>
        </w:r>
        <w:r w:rsidR="002C0DFB">
          <w:rPr>
            <w:rFonts w:cs="Arial"/>
            <w:noProof/>
            <w:webHidden/>
          </w:rPr>
          <w:t>103</w:t>
        </w:r>
        <w:r w:rsidRPr="000E4A30">
          <w:rPr>
            <w:rFonts w:cs="Arial"/>
            <w:noProof/>
            <w:webHidden/>
          </w:rPr>
          <w:fldChar w:fldCharType="end"/>
        </w:r>
      </w:hyperlink>
    </w:p>
    <w:p w14:paraId="30D139B9" w14:textId="77B5BC58" w:rsidR="003C1BA0" w:rsidRPr="000E4A30" w:rsidRDefault="003C1BA0">
      <w:pPr>
        <w:pStyle w:val="TOC5"/>
        <w:rPr>
          <w:rFonts w:ascii="Arial" w:hAnsi="Arial" w:cs="Arial"/>
          <w:noProof/>
          <w:kern w:val="2"/>
          <w:sz w:val="20"/>
          <w:szCs w:val="20"/>
          <w14:ligatures w14:val="standardContextual"/>
        </w:rPr>
      </w:pPr>
      <w:hyperlink w:anchor="_Toc225877714" w:history="1">
        <w:r w:rsidRPr="000E4A30">
          <w:rPr>
            <w:rStyle w:val="Hyperlink"/>
            <w:rFonts w:ascii="Arial" w:hAnsi="Arial" w:cs="Arial"/>
            <w:noProof/>
            <w:sz w:val="20"/>
            <w:szCs w:val="20"/>
          </w:rPr>
          <w:t>Hospital and Surgeon Volume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_Toc225877714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103</w:t>
        </w:r>
        <w:r w:rsidRPr="000E4A30">
          <w:rPr>
            <w:rFonts w:ascii="Arial" w:hAnsi="Arial" w:cs="Arial"/>
            <w:noProof/>
            <w:webHidden/>
            <w:sz w:val="20"/>
            <w:szCs w:val="20"/>
          </w:rPr>
          <w:fldChar w:fldCharType="end"/>
        </w:r>
      </w:hyperlink>
    </w:p>
    <w:p w14:paraId="65A03A08" w14:textId="079E6D73" w:rsidR="003C1BA0" w:rsidRPr="000E4A30" w:rsidRDefault="003C1BA0">
      <w:pPr>
        <w:pStyle w:val="TOC5"/>
        <w:rPr>
          <w:rFonts w:ascii="Arial" w:hAnsi="Arial" w:cs="Arial"/>
          <w:noProof/>
          <w:kern w:val="2"/>
          <w:sz w:val="20"/>
          <w:szCs w:val="20"/>
          <w14:ligatures w14:val="standardContextual"/>
        </w:rPr>
      </w:pPr>
      <w:hyperlink w:anchor="_Toc225877715" w:history="1">
        <w:r w:rsidRPr="000E4A30">
          <w:rPr>
            <w:rStyle w:val="Hyperlink"/>
            <w:rFonts w:ascii="Arial" w:hAnsi="Arial" w:cs="Arial"/>
            <w:noProof/>
            <w:sz w:val="20"/>
            <w:szCs w:val="20"/>
          </w:rPr>
          <w:t>Safe Surgery Checklist for Adult and Pediatric Complex Surgery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_Toc225877715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141</w:t>
        </w:r>
        <w:r w:rsidRPr="000E4A30">
          <w:rPr>
            <w:rFonts w:ascii="Arial" w:hAnsi="Arial" w:cs="Arial"/>
            <w:noProof/>
            <w:webHidden/>
            <w:sz w:val="20"/>
            <w:szCs w:val="20"/>
          </w:rPr>
          <w:fldChar w:fldCharType="end"/>
        </w:r>
      </w:hyperlink>
    </w:p>
    <w:p w14:paraId="4EDF3E37" w14:textId="63CEC12A" w:rsidR="003C1BA0" w:rsidRPr="000E4A30" w:rsidRDefault="003C1BA0">
      <w:pPr>
        <w:pStyle w:val="TOC4"/>
        <w:rPr>
          <w:rFonts w:eastAsiaTheme="minorEastAsia" w:cs="Arial"/>
          <w:noProof/>
          <w:kern w:val="2"/>
          <w14:ligatures w14:val="standardContextual"/>
        </w:rPr>
      </w:pPr>
      <w:hyperlink w:anchor="_Toc225877716" w:history="1">
        <w:r w:rsidRPr="000E4A30">
          <w:rPr>
            <w:rStyle w:val="Hyperlink"/>
            <w:rFonts w:cs="Arial"/>
            <w:noProof/>
          </w:rPr>
          <w:t>Section 3: Adult and Pediatric Complex Surgery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_Toc225877716 \h </w:instrText>
        </w:r>
        <w:r w:rsidRPr="000E4A30">
          <w:rPr>
            <w:rFonts w:cs="Arial"/>
            <w:noProof/>
            <w:webHidden/>
          </w:rPr>
        </w:r>
        <w:r w:rsidRPr="000E4A30">
          <w:rPr>
            <w:rFonts w:cs="Arial"/>
            <w:noProof/>
            <w:webHidden/>
          </w:rPr>
          <w:fldChar w:fldCharType="separate"/>
        </w:r>
        <w:r w:rsidR="002C0DFB">
          <w:rPr>
            <w:rFonts w:cs="Arial"/>
            <w:noProof/>
            <w:webHidden/>
          </w:rPr>
          <w:t>143</w:t>
        </w:r>
        <w:r w:rsidRPr="000E4A30">
          <w:rPr>
            <w:rFonts w:cs="Arial"/>
            <w:noProof/>
            <w:webHidden/>
          </w:rPr>
          <w:fldChar w:fldCharType="end"/>
        </w:r>
      </w:hyperlink>
    </w:p>
    <w:p w14:paraId="6562A0BD" w14:textId="314A52F9" w:rsidR="003C1BA0" w:rsidRPr="000E4A30" w:rsidRDefault="003C1BA0">
      <w:pPr>
        <w:pStyle w:val="TOC5"/>
        <w:rPr>
          <w:rFonts w:ascii="Arial" w:hAnsi="Arial" w:cs="Arial"/>
          <w:noProof/>
          <w:kern w:val="2"/>
          <w:sz w:val="20"/>
          <w:szCs w:val="20"/>
          <w14:ligatures w14:val="standardContextual"/>
        </w:rPr>
      </w:pPr>
      <w:hyperlink w:anchor="_Toc225877717" w:history="1">
        <w:r w:rsidRPr="000E4A30">
          <w:rPr>
            <w:rStyle w:val="Hyperlink"/>
            <w:rFonts w:ascii="Arial" w:hAnsi="Arial" w:cs="Arial"/>
            <w:noProof/>
            <w:sz w:val="20"/>
            <w:szCs w:val="20"/>
          </w:rPr>
          <w:t>General Questions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_Toc225877717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143</w:t>
        </w:r>
        <w:r w:rsidRPr="000E4A30">
          <w:rPr>
            <w:rFonts w:ascii="Arial" w:hAnsi="Arial" w:cs="Arial"/>
            <w:noProof/>
            <w:webHidden/>
            <w:sz w:val="20"/>
            <w:szCs w:val="20"/>
          </w:rPr>
          <w:fldChar w:fldCharType="end"/>
        </w:r>
      </w:hyperlink>
    </w:p>
    <w:p w14:paraId="13BD6DEC" w14:textId="0CA2E38A" w:rsidR="003C1BA0" w:rsidRPr="000E4A30" w:rsidRDefault="003C1BA0">
      <w:pPr>
        <w:pStyle w:val="TOC5"/>
        <w:rPr>
          <w:rFonts w:ascii="Arial" w:hAnsi="Arial" w:cs="Arial"/>
          <w:noProof/>
          <w:kern w:val="2"/>
          <w:sz w:val="20"/>
          <w:szCs w:val="20"/>
          <w14:ligatures w14:val="standardContextual"/>
        </w:rPr>
      </w:pPr>
      <w:hyperlink w:anchor="_Toc225877718" w:history="1">
        <w:r w:rsidRPr="000E4A30">
          <w:rPr>
            <w:rStyle w:val="Hyperlink"/>
            <w:rFonts w:ascii="Arial" w:hAnsi="Arial" w:cs="Arial"/>
            <w:noProof/>
            <w:sz w:val="20"/>
            <w:szCs w:val="20"/>
          </w:rPr>
          <w:t>Hospital Volume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_Toc225877718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143</w:t>
        </w:r>
        <w:r w:rsidRPr="000E4A30">
          <w:rPr>
            <w:rFonts w:ascii="Arial" w:hAnsi="Arial" w:cs="Arial"/>
            <w:noProof/>
            <w:webHidden/>
            <w:sz w:val="20"/>
            <w:szCs w:val="20"/>
          </w:rPr>
          <w:fldChar w:fldCharType="end"/>
        </w:r>
      </w:hyperlink>
    </w:p>
    <w:p w14:paraId="652EA27E" w14:textId="479B23A4" w:rsidR="003C1BA0" w:rsidRPr="000E4A30" w:rsidRDefault="003C1BA0">
      <w:pPr>
        <w:pStyle w:val="TOC5"/>
        <w:rPr>
          <w:rFonts w:ascii="Arial" w:hAnsi="Arial" w:cs="Arial"/>
          <w:noProof/>
          <w:kern w:val="2"/>
          <w:sz w:val="20"/>
          <w:szCs w:val="20"/>
          <w14:ligatures w14:val="standardContextual"/>
        </w:rPr>
      </w:pPr>
      <w:hyperlink w:anchor="_Toc225877719" w:history="1">
        <w:r w:rsidRPr="000E4A30">
          <w:rPr>
            <w:rStyle w:val="Hyperlink"/>
            <w:rFonts w:ascii="Arial" w:hAnsi="Arial" w:cs="Arial"/>
            <w:noProof/>
            <w:sz w:val="20"/>
            <w:szCs w:val="20"/>
          </w:rPr>
          <w:t>Surgeon Volume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_Toc225877719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144</w:t>
        </w:r>
        <w:r w:rsidRPr="000E4A30">
          <w:rPr>
            <w:rFonts w:ascii="Arial" w:hAnsi="Arial" w:cs="Arial"/>
            <w:noProof/>
            <w:webHidden/>
            <w:sz w:val="20"/>
            <w:szCs w:val="20"/>
          </w:rPr>
          <w:fldChar w:fldCharType="end"/>
        </w:r>
      </w:hyperlink>
    </w:p>
    <w:p w14:paraId="491C989C" w14:textId="6586AE34" w:rsidR="003C1BA0" w:rsidRPr="000E4A30" w:rsidRDefault="003C1BA0">
      <w:pPr>
        <w:pStyle w:val="TOC5"/>
        <w:rPr>
          <w:rFonts w:ascii="Arial" w:hAnsi="Arial" w:cs="Arial"/>
          <w:noProof/>
          <w:kern w:val="2"/>
          <w:sz w:val="20"/>
          <w:szCs w:val="20"/>
          <w14:ligatures w14:val="standardContextual"/>
        </w:rPr>
      </w:pPr>
      <w:hyperlink w:anchor="_Toc225877720" w:history="1">
        <w:r w:rsidRPr="000E4A30">
          <w:rPr>
            <w:rStyle w:val="Hyperlink"/>
            <w:rFonts w:ascii="Arial" w:hAnsi="Arial" w:cs="Arial"/>
            <w:noProof/>
            <w:sz w:val="20"/>
            <w:szCs w:val="20"/>
          </w:rPr>
          <w:t>Safe Surgery Checklist for Adult and Pediatric Complex Surgery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_Toc225877720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145</w:t>
        </w:r>
        <w:r w:rsidRPr="000E4A30">
          <w:rPr>
            <w:rFonts w:ascii="Arial" w:hAnsi="Arial" w:cs="Arial"/>
            <w:noProof/>
            <w:webHidden/>
            <w:sz w:val="20"/>
            <w:szCs w:val="20"/>
          </w:rPr>
          <w:fldChar w:fldCharType="end"/>
        </w:r>
      </w:hyperlink>
    </w:p>
    <w:p w14:paraId="69177488" w14:textId="033E0237" w:rsidR="003C1BA0" w:rsidRPr="000E4A30" w:rsidRDefault="003C1BA0">
      <w:pPr>
        <w:pStyle w:val="TOC1"/>
        <w:rPr>
          <w:rFonts w:eastAsiaTheme="minorEastAsia" w:cs="Arial"/>
          <w:noProof/>
          <w:kern w:val="2"/>
          <w14:ligatures w14:val="standardContextual"/>
        </w:rPr>
      </w:pPr>
      <w:hyperlink w:anchor="_Toc225877721"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_Toc225877721 \h </w:instrText>
        </w:r>
        <w:r w:rsidRPr="000E4A30">
          <w:rPr>
            <w:rFonts w:cs="Arial"/>
            <w:noProof/>
            <w:webHidden/>
          </w:rPr>
        </w:r>
        <w:r w:rsidRPr="000E4A30">
          <w:rPr>
            <w:rFonts w:cs="Arial"/>
            <w:noProof/>
            <w:webHidden/>
          </w:rPr>
          <w:fldChar w:fldCharType="separate"/>
        </w:r>
        <w:r w:rsidR="002C0DFB">
          <w:rPr>
            <w:rFonts w:cs="Arial"/>
            <w:noProof/>
            <w:webHidden/>
          </w:rPr>
          <w:t>147</w:t>
        </w:r>
        <w:r w:rsidRPr="000E4A30">
          <w:rPr>
            <w:rFonts w:cs="Arial"/>
            <w:noProof/>
            <w:webHidden/>
          </w:rPr>
          <w:fldChar w:fldCharType="end"/>
        </w:r>
      </w:hyperlink>
    </w:p>
    <w:p w14:paraId="43DE79C5" w14:textId="46D5EF8F" w:rsidR="003C1BA0" w:rsidRPr="000E4A30" w:rsidRDefault="003C1BA0">
      <w:pPr>
        <w:pStyle w:val="TOC1"/>
        <w:rPr>
          <w:rFonts w:eastAsiaTheme="minorEastAsia" w:cs="Arial"/>
          <w:noProof/>
          <w:kern w:val="2"/>
          <w14:ligatures w14:val="standardContextual"/>
        </w:rPr>
      </w:pPr>
      <w:hyperlink w:anchor="_Toc225877722" w:history="1">
        <w:r w:rsidRPr="000E4A30">
          <w:rPr>
            <w:rStyle w:val="Hyperlink"/>
            <w:rFonts w:cs="Arial"/>
            <w:noProof/>
          </w:rPr>
          <w:t>SECTION 4: MATERNITY CARE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_Toc225877722 \h </w:instrText>
        </w:r>
        <w:r w:rsidRPr="000E4A30">
          <w:rPr>
            <w:rFonts w:cs="Arial"/>
            <w:noProof/>
            <w:webHidden/>
          </w:rPr>
        </w:r>
        <w:r w:rsidRPr="000E4A30">
          <w:rPr>
            <w:rFonts w:cs="Arial"/>
            <w:noProof/>
            <w:webHidden/>
          </w:rPr>
          <w:fldChar w:fldCharType="separate"/>
        </w:r>
        <w:r w:rsidR="002C0DFB">
          <w:rPr>
            <w:rFonts w:cs="Arial"/>
            <w:noProof/>
            <w:webHidden/>
          </w:rPr>
          <w:t>148</w:t>
        </w:r>
        <w:r w:rsidRPr="000E4A30">
          <w:rPr>
            <w:rFonts w:cs="Arial"/>
            <w:noProof/>
            <w:webHidden/>
          </w:rPr>
          <w:fldChar w:fldCharType="end"/>
        </w:r>
      </w:hyperlink>
    </w:p>
    <w:p w14:paraId="48F257C7" w14:textId="28C8C249" w:rsidR="003C1BA0" w:rsidRPr="000E4A30" w:rsidRDefault="003C1BA0">
      <w:pPr>
        <w:pStyle w:val="TOC4"/>
        <w:rPr>
          <w:rFonts w:eastAsiaTheme="minorEastAsia" w:cs="Arial"/>
          <w:noProof/>
          <w:kern w:val="2"/>
          <w14:ligatures w14:val="standardContextual"/>
        </w:rPr>
      </w:pPr>
      <w:hyperlink w:anchor="_Toc225877723" w:history="1">
        <w:r w:rsidRPr="000E4A30">
          <w:rPr>
            <w:rStyle w:val="Hyperlink"/>
            <w:rFonts w:cs="Arial"/>
            <w:noProof/>
          </w:rPr>
          <w:t>Section 4: Maternity Care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_Toc225877723 \h </w:instrText>
        </w:r>
        <w:r w:rsidRPr="000E4A30">
          <w:rPr>
            <w:rFonts w:cs="Arial"/>
            <w:noProof/>
            <w:webHidden/>
          </w:rPr>
        </w:r>
        <w:r w:rsidRPr="000E4A30">
          <w:rPr>
            <w:rFonts w:cs="Arial"/>
            <w:noProof/>
            <w:webHidden/>
          </w:rPr>
          <w:fldChar w:fldCharType="separate"/>
        </w:r>
        <w:r w:rsidR="002C0DFB">
          <w:rPr>
            <w:rFonts w:cs="Arial"/>
            <w:noProof/>
            <w:webHidden/>
          </w:rPr>
          <w:t>149</w:t>
        </w:r>
        <w:r w:rsidRPr="000E4A30">
          <w:rPr>
            <w:rFonts w:cs="Arial"/>
            <w:noProof/>
            <w:webHidden/>
          </w:rPr>
          <w:fldChar w:fldCharType="end"/>
        </w:r>
      </w:hyperlink>
    </w:p>
    <w:p w14:paraId="141E45A3" w14:textId="716DAB09" w:rsidR="003C1BA0" w:rsidRPr="000E4A30" w:rsidRDefault="003C1BA0">
      <w:pPr>
        <w:pStyle w:val="TOC4"/>
        <w:rPr>
          <w:rFonts w:eastAsiaTheme="minorEastAsia" w:cs="Arial"/>
          <w:noProof/>
          <w:kern w:val="2"/>
          <w14:ligatures w14:val="standardContextual"/>
        </w:rPr>
      </w:pPr>
      <w:hyperlink w:anchor="_Toc225877724" w:history="1">
        <w:r w:rsidRPr="000E4A30">
          <w:rPr>
            <w:rStyle w:val="Hyperlink"/>
            <w:rFonts w:cs="Arial"/>
            <w:noProof/>
          </w:rPr>
          <w:t>4A: Maternity Care Volume and Services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_Toc225877724 \h </w:instrText>
        </w:r>
        <w:r w:rsidRPr="000E4A30">
          <w:rPr>
            <w:rFonts w:cs="Arial"/>
            <w:noProof/>
            <w:webHidden/>
          </w:rPr>
        </w:r>
        <w:r w:rsidRPr="000E4A30">
          <w:rPr>
            <w:rFonts w:cs="Arial"/>
            <w:noProof/>
            <w:webHidden/>
          </w:rPr>
          <w:fldChar w:fldCharType="separate"/>
        </w:r>
        <w:r w:rsidR="002C0DFB">
          <w:rPr>
            <w:rFonts w:cs="Arial"/>
            <w:noProof/>
            <w:webHidden/>
          </w:rPr>
          <w:t>150</w:t>
        </w:r>
        <w:r w:rsidRPr="000E4A30">
          <w:rPr>
            <w:rFonts w:cs="Arial"/>
            <w:noProof/>
            <w:webHidden/>
          </w:rPr>
          <w:fldChar w:fldCharType="end"/>
        </w:r>
      </w:hyperlink>
    </w:p>
    <w:p w14:paraId="6862379C" w14:textId="2E4AB502" w:rsidR="003C1BA0" w:rsidRPr="000E4A30" w:rsidRDefault="003C1BA0">
      <w:pPr>
        <w:pStyle w:val="TOC5"/>
        <w:rPr>
          <w:rFonts w:ascii="Arial" w:hAnsi="Arial" w:cs="Arial"/>
          <w:noProof/>
          <w:kern w:val="2"/>
          <w:sz w:val="20"/>
          <w:szCs w:val="20"/>
          <w14:ligatures w14:val="standardContextual"/>
        </w:rPr>
      </w:pPr>
      <w:hyperlink w:anchor="_Toc225877725" w:history="1">
        <w:r w:rsidRPr="000E4A30">
          <w:rPr>
            <w:rStyle w:val="Hyperlink"/>
            <w:rFonts w:ascii="Arial" w:hAnsi="Arial" w:cs="Arial"/>
            <w:noProof/>
            <w:sz w:val="20"/>
            <w:szCs w:val="20"/>
          </w:rPr>
          <w:t>Maternity Care Volume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_Toc225877725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150</w:t>
        </w:r>
        <w:r w:rsidRPr="000E4A30">
          <w:rPr>
            <w:rFonts w:ascii="Arial" w:hAnsi="Arial" w:cs="Arial"/>
            <w:noProof/>
            <w:webHidden/>
            <w:sz w:val="20"/>
            <w:szCs w:val="20"/>
          </w:rPr>
          <w:fldChar w:fldCharType="end"/>
        </w:r>
      </w:hyperlink>
    </w:p>
    <w:p w14:paraId="1AFC3AC2" w14:textId="3F75296A" w:rsidR="003C1BA0" w:rsidRPr="000E4A30" w:rsidRDefault="003C1BA0">
      <w:pPr>
        <w:pStyle w:val="TOC5"/>
        <w:rPr>
          <w:rFonts w:ascii="Arial" w:hAnsi="Arial" w:cs="Arial"/>
          <w:noProof/>
          <w:kern w:val="2"/>
          <w:sz w:val="20"/>
          <w:szCs w:val="20"/>
          <w14:ligatures w14:val="standardContextual"/>
        </w:rPr>
      </w:pPr>
      <w:hyperlink w:anchor="_Toc225877726" w:history="1">
        <w:r w:rsidRPr="000E4A30">
          <w:rPr>
            <w:rStyle w:val="Hyperlink"/>
            <w:rFonts w:ascii="Arial" w:hAnsi="Arial" w:cs="Arial"/>
            <w:noProof/>
            <w:sz w:val="20"/>
            <w:szCs w:val="20"/>
          </w:rPr>
          <w:t>Maternity Care Services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_Toc225877726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151</w:t>
        </w:r>
        <w:r w:rsidRPr="000E4A30">
          <w:rPr>
            <w:rFonts w:ascii="Arial" w:hAnsi="Arial" w:cs="Arial"/>
            <w:noProof/>
            <w:webHidden/>
            <w:sz w:val="20"/>
            <w:szCs w:val="20"/>
          </w:rPr>
          <w:fldChar w:fldCharType="end"/>
        </w:r>
      </w:hyperlink>
    </w:p>
    <w:p w14:paraId="5966EB35" w14:textId="6B7D64A4" w:rsidR="003C1BA0" w:rsidRPr="000E4A30" w:rsidRDefault="003C1BA0">
      <w:pPr>
        <w:pStyle w:val="TOC4"/>
        <w:rPr>
          <w:rFonts w:eastAsiaTheme="minorEastAsia" w:cs="Arial"/>
          <w:noProof/>
          <w:kern w:val="2"/>
          <w14:ligatures w14:val="standardContextual"/>
        </w:rPr>
      </w:pPr>
      <w:hyperlink w:anchor="_Toc225877727" w:history="1">
        <w:r w:rsidRPr="000E4A30">
          <w:rPr>
            <w:rStyle w:val="Hyperlink"/>
            <w:rFonts w:cs="Arial"/>
            <w:noProof/>
          </w:rPr>
          <w:t>4B: Cesarean Birth</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_Toc225877727 \h </w:instrText>
        </w:r>
        <w:r w:rsidRPr="000E4A30">
          <w:rPr>
            <w:rFonts w:cs="Arial"/>
            <w:noProof/>
            <w:webHidden/>
          </w:rPr>
        </w:r>
        <w:r w:rsidRPr="000E4A30">
          <w:rPr>
            <w:rFonts w:cs="Arial"/>
            <w:noProof/>
            <w:webHidden/>
          </w:rPr>
          <w:fldChar w:fldCharType="separate"/>
        </w:r>
        <w:r w:rsidR="002C0DFB">
          <w:rPr>
            <w:rFonts w:cs="Arial"/>
            <w:noProof/>
            <w:webHidden/>
          </w:rPr>
          <w:t>152</w:t>
        </w:r>
        <w:r w:rsidRPr="000E4A30">
          <w:rPr>
            <w:rFonts w:cs="Arial"/>
            <w:noProof/>
            <w:webHidden/>
          </w:rPr>
          <w:fldChar w:fldCharType="end"/>
        </w:r>
      </w:hyperlink>
    </w:p>
    <w:p w14:paraId="5C5A3C13" w14:textId="03A499F0" w:rsidR="003C1BA0" w:rsidRPr="000E4A30" w:rsidRDefault="003C1BA0">
      <w:pPr>
        <w:pStyle w:val="TOC5"/>
        <w:rPr>
          <w:rFonts w:ascii="Arial" w:hAnsi="Arial" w:cs="Arial"/>
          <w:noProof/>
          <w:kern w:val="2"/>
          <w:sz w:val="20"/>
          <w:szCs w:val="20"/>
          <w14:ligatures w14:val="standardContextual"/>
        </w:rPr>
      </w:pPr>
      <w:hyperlink w:anchor="_Toc225877728" w:history="1">
        <w:r w:rsidRPr="000E4A30">
          <w:rPr>
            <w:rStyle w:val="Hyperlink"/>
            <w:rFonts w:ascii="Arial" w:hAnsi="Arial" w:cs="Arial"/>
            <w:noProof/>
            <w:sz w:val="20"/>
            <w:szCs w:val="20"/>
          </w:rPr>
          <w:t>Cesarean Birth Stratified by Race/Ethnicity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_Toc225877728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153</w:t>
        </w:r>
        <w:r w:rsidRPr="000E4A30">
          <w:rPr>
            <w:rFonts w:ascii="Arial" w:hAnsi="Arial" w:cs="Arial"/>
            <w:noProof/>
            <w:webHidden/>
            <w:sz w:val="20"/>
            <w:szCs w:val="20"/>
          </w:rPr>
          <w:fldChar w:fldCharType="end"/>
        </w:r>
      </w:hyperlink>
    </w:p>
    <w:p w14:paraId="0CBF8D5B" w14:textId="74C67343" w:rsidR="003C1BA0" w:rsidRPr="000E4A30" w:rsidRDefault="003C1BA0">
      <w:pPr>
        <w:pStyle w:val="TOC4"/>
        <w:rPr>
          <w:rFonts w:eastAsiaTheme="minorEastAsia" w:cs="Arial"/>
          <w:noProof/>
          <w:kern w:val="2"/>
          <w14:ligatures w14:val="standardContextual"/>
        </w:rPr>
      </w:pPr>
      <w:hyperlink w:anchor="_Toc225877729" w:history="1">
        <w:r w:rsidRPr="000E4A30">
          <w:rPr>
            <w:rStyle w:val="Hyperlink"/>
            <w:rFonts w:cs="Arial"/>
            <w:noProof/>
          </w:rPr>
          <w:t>4C: Episiotomy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_Toc225877729 \h </w:instrText>
        </w:r>
        <w:r w:rsidRPr="000E4A30">
          <w:rPr>
            <w:rFonts w:cs="Arial"/>
            <w:noProof/>
            <w:webHidden/>
          </w:rPr>
        </w:r>
        <w:r w:rsidRPr="000E4A30">
          <w:rPr>
            <w:rFonts w:cs="Arial"/>
            <w:noProof/>
            <w:webHidden/>
          </w:rPr>
          <w:fldChar w:fldCharType="separate"/>
        </w:r>
        <w:r w:rsidR="002C0DFB">
          <w:rPr>
            <w:rFonts w:cs="Arial"/>
            <w:noProof/>
            <w:webHidden/>
          </w:rPr>
          <w:t>154</w:t>
        </w:r>
        <w:r w:rsidRPr="000E4A30">
          <w:rPr>
            <w:rFonts w:cs="Arial"/>
            <w:noProof/>
            <w:webHidden/>
          </w:rPr>
          <w:fldChar w:fldCharType="end"/>
        </w:r>
      </w:hyperlink>
    </w:p>
    <w:p w14:paraId="2B9E977A" w14:textId="2BDF2B9C" w:rsidR="003C1BA0" w:rsidRPr="000E4A30" w:rsidRDefault="003C1BA0">
      <w:pPr>
        <w:pStyle w:val="TOC4"/>
        <w:rPr>
          <w:rFonts w:eastAsiaTheme="minorEastAsia" w:cs="Arial"/>
          <w:noProof/>
          <w:kern w:val="2"/>
          <w14:ligatures w14:val="standardContextual"/>
        </w:rPr>
      </w:pPr>
      <w:hyperlink w:anchor="_Toc225877730" w:history="1">
        <w:r w:rsidRPr="000E4A30">
          <w:rPr>
            <w:rStyle w:val="Hyperlink"/>
            <w:rFonts w:cs="Arial"/>
            <w:noProof/>
          </w:rPr>
          <w:t>4D: Process Measures of Quality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_Toc225877730 \h </w:instrText>
        </w:r>
        <w:r w:rsidRPr="000E4A30">
          <w:rPr>
            <w:rFonts w:cs="Arial"/>
            <w:noProof/>
            <w:webHidden/>
          </w:rPr>
        </w:r>
        <w:r w:rsidRPr="000E4A30">
          <w:rPr>
            <w:rFonts w:cs="Arial"/>
            <w:noProof/>
            <w:webHidden/>
          </w:rPr>
          <w:fldChar w:fldCharType="separate"/>
        </w:r>
        <w:r w:rsidR="002C0DFB">
          <w:rPr>
            <w:rFonts w:cs="Arial"/>
            <w:noProof/>
            <w:webHidden/>
          </w:rPr>
          <w:t>155</w:t>
        </w:r>
        <w:r w:rsidRPr="000E4A30">
          <w:rPr>
            <w:rFonts w:cs="Arial"/>
            <w:noProof/>
            <w:webHidden/>
          </w:rPr>
          <w:fldChar w:fldCharType="end"/>
        </w:r>
      </w:hyperlink>
    </w:p>
    <w:p w14:paraId="7E25FEBB" w14:textId="1CC73C7D" w:rsidR="003C1BA0" w:rsidRPr="000E4A30" w:rsidRDefault="003C1BA0">
      <w:pPr>
        <w:pStyle w:val="TOC5"/>
        <w:rPr>
          <w:rFonts w:ascii="Arial" w:hAnsi="Arial" w:cs="Arial"/>
          <w:noProof/>
          <w:kern w:val="2"/>
          <w:sz w:val="20"/>
          <w:szCs w:val="20"/>
          <w14:ligatures w14:val="standardContextual"/>
        </w:rPr>
      </w:pPr>
      <w:hyperlink w:anchor="_Toc225877731" w:history="1">
        <w:r w:rsidRPr="000E4A30">
          <w:rPr>
            <w:rStyle w:val="Hyperlink"/>
            <w:rFonts w:ascii="Arial" w:hAnsi="Arial" w:cs="Arial"/>
            <w:noProof/>
            <w:sz w:val="20"/>
            <w:szCs w:val="20"/>
          </w:rPr>
          <w:t>Newborn Bilirubin Screening Prior to Discharge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_Toc225877731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155</w:t>
        </w:r>
        <w:r w:rsidRPr="000E4A30">
          <w:rPr>
            <w:rFonts w:ascii="Arial" w:hAnsi="Arial" w:cs="Arial"/>
            <w:noProof/>
            <w:webHidden/>
            <w:sz w:val="20"/>
            <w:szCs w:val="20"/>
          </w:rPr>
          <w:fldChar w:fldCharType="end"/>
        </w:r>
      </w:hyperlink>
    </w:p>
    <w:p w14:paraId="12AA3CDB" w14:textId="51EA849D" w:rsidR="003C1BA0" w:rsidRPr="000E4A30" w:rsidRDefault="003C1BA0">
      <w:pPr>
        <w:pStyle w:val="TOC5"/>
        <w:rPr>
          <w:rFonts w:ascii="Arial" w:hAnsi="Arial" w:cs="Arial"/>
          <w:noProof/>
          <w:kern w:val="2"/>
          <w:sz w:val="20"/>
          <w:szCs w:val="20"/>
          <w14:ligatures w14:val="standardContextual"/>
        </w:rPr>
      </w:pPr>
      <w:hyperlink w:anchor="_Toc225877732" w:history="1">
        <w:r w:rsidRPr="000E4A30">
          <w:rPr>
            <w:rStyle w:val="Hyperlink"/>
            <w:rFonts w:ascii="Arial" w:hAnsi="Arial" w:cs="Arial"/>
            <w:noProof/>
            <w:sz w:val="20"/>
            <w:szCs w:val="20"/>
          </w:rPr>
          <w:t>Appropriate DVT Prophylaxis in Women Undergoing Cesarean Delivery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_Toc225877732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156</w:t>
        </w:r>
        <w:r w:rsidRPr="000E4A30">
          <w:rPr>
            <w:rFonts w:ascii="Arial" w:hAnsi="Arial" w:cs="Arial"/>
            <w:noProof/>
            <w:webHidden/>
            <w:sz w:val="20"/>
            <w:szCs w:val="20"/>
          </w:rPr>
          <w:fldChar w:fldCharType="end"/>
        </w:r>
      </w:hyperlink>
    </w:p>
    <w:p w14:paraId="27ED46D9" w14:textId="3604E8E1" w:rsidR="003C1BA0" w:rsidRPr="000E4A30" w:rsidRDefault="003C1BA0">
      <w:pPr>
        <w:pStyle w:val="TOC4"/>
        <w:rPr>
          <w:rFonts w:eastAsiaTheme="minorEastAsia" w:cs="Arial"/>
          <w:noProof/>
          <w:kern w:val="2"/>
          <w14:ligatures w14:val="standardContextual"/>
        </w:rPr>
      </w:pPr>
      <w:hyperlink w:anchor="_Toc225877733" w:history="1">
        <w:r w:rsidRPr="000E4A30">
          <w:rPr>
            <w:rStyle w:val="Hyperlink"/>
            <w:rFonts w:cs="Arial"/>
            <w:noProof/>
          </w:rPr>
          <w:t>4E: High-Risk Deliveries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_Toc225877733 \h </w:instrText>
        </w:r>
        <w:r w:rsidRPr="000E4A30">
          <w:rPr>
            <w:rFonts w:cs="Arial"/>
            <w:noProof/>
            <w:webHidden/>
          </w:rPr>
        </w:r>
        <w:r w:rsidRPr="000E4A30">
          <w:rPr>
            <w:rFonts w:cs="Arial"/>
            <w:noProof/>
            <w:webHidden/>
          </w:rPr>
          <w:fldChar w:fldCharType="separate"/>
        </w:r>
        <w:r w:rsidR="002C0DFB">
          <w:rPr>
            <w:rFonts w:cs="Arial"/>
            <w:noProof/>
            <w:webHidden/>
          </w:rPr>
          <w:t>157</w:t>
        </w:r>
        <w:r w:rsidRPr="000E4A30">
          <w:rPr>
            <w:rFonts w:cs="Arial"/>
            <w:noProof/>
            <w:webHidden/>
          </w:rPr>
          <w:fldChar w:fldCharType="end"/>
        </w:r>
      </w:hyperlink>
    </w:p>
    <w:p w14:paraId="54C3A987" w14:textId="42D333C9" w:rsidR="003C1BA0" w:rsidRPr="000E4A30" w:rsidRDefault="003C1BA0">
      <w:pPr>
        <w:pStyle w:val="TOC5"/>
        <w:rPr>
          <w:rFonts w:ascii="Arial" w:hAnsi="Arial" w:cs="Arial"/>
          <w:noProof/>
          <w:kern w:val="2"/>
          <w:sz w:val="20"/>
          <w:szCs w:val="20"/>
          <w14:ligatures w14:val="standardContextual"/>
        </w:rPr>
      </w:pPr>
      <w:hyperlink w:anchor="_Toc225877734" w:history="1">
        <w:r w:rsidRPr="000E4A30">
          <w:rPr>
            <w:rStyle w:val="Hyperlink"/>
            <w:rFonts w:ascii="Arial" w:hAnsi="Arial" w:cs="Arial"/>
            <w:noProof/>
            <w:sz w:val="20"/>
            <w:szCs w:val="20"/>
          </w:rPr>
          <w:t>Neonatal Intensive Care Unit(s) – Volume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_Toc225877734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158</w:t>
        </w:r>
        <w:r w:rsidRPr="000E4A30">
          <w:rPr>
            <w:rFonts w:ascii="Arial" w:hAnsi="Arial" w:cs="Arial"/>
            <w:noProof/>
            <w:webHidden/>
            <w:sz w:val="20"/>
            <w:szCs w:val="20"/>
          </w:rPr>
          <w:fldChar w:fldCharType="end"/>
        </w:r>
      </w:hyperlink>
    </w:p>
    <w:p w14:paraId="714B90CF" w14:textId="12310779" w:rsidR="003C1BA0" w:rsidRPr="000E4A30" w:rsidRDefault="003C1BA0">
      <w:pPr>
        <w:pStyle w:val="TOC5"/>
        <w:rPr>
          <w:rFonts w:ascii="Arial" w:hAnsi="Arial" w:cs="Arial"/>
          <w:noProof/>
          <w:kern w:val="2"/>
          <w:sz w:val="20"/>
          <w:szCs w:val="20"/>
          <w14:ligatures w14:val="standardContextual"/>
        </w:rPr>
      </w:pPr>
      <w:hyperlink w:anchor="_Toc225877735" w:history="1">
        <w:r w:rsidRPr="000E4A30">
          <w:rPr>
            <w:rStyle w:val="Hyperlink"/>
            <w:rFonts w:ascii="Arial" w:hAnsi="Arial" w:cs="Arial"/>
            <w:noProof/>
            <w:sz w:val="20"/>
            <w:szCs w:val="20"/>
          </w:rPr>
          <w:t>Neonatal Intensive Care Unit(s) – National Performance Measurement</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_Toc225877735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158</w:t>
        </w:r>
        <w:r w:rsidRPr="000E4A30">
          <w:rPr>
            <w:rFonts w:ascii="Arial" w:hAnsi="Arial" w:cs="Arial"/>
            <w:noProof/>
            <w:webHidden/>
            <w:sz w:val="20"/>
            <w:szCs w:val="20"/>
          </w:rPr>
          <w:fldChar w:fldCharType="end"/>
        </w:r>
      </w:hyperlink>
    </w:p>
    <w:p w14:paraId="7AFF3D32" w14:textId="23E96FB0" w:rsidR="003C1BA0" w:rsidRPr="000E4A30" w:rsidRDefault="003C1BA0">
      <w:pPr>
        <w:pStyle w:val="TOC4"/>
        <w:rPr>
          <w:rFonts w:eastAsiaTheme="minorEastAsia" w:cs="Arial"/>
          <w:noProof/>
          <w:kern w:val="2"/>
          <w14:ligatures w14:val="standardContextual"/>
        </w:rPr>
      </w:pPr>
      <w:hyperlink w:anchor="_Toc225877736" w:history="1">
        <w:r w:rsidRPr="000E4A30">
          <w:rPr>
            <w:rStyle w:val="Hyperlink"/>
            <w:rFonts w:cs="Arial"/>
            <w:noProof/>
          </w:rPr>
          <w:t>Section 4: Maternity Care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_Toc225877736 \h </w:instrText>
        </w:r>
        <w:r w:rsidRPr="000E4A30">
          <w:rPr>
            <w:rFonts w:cs="Arial"/>
            <w:noProof/>
            <w:webHidden/>
          </w:rPr>
        </w:r>
        <w:r w:rsidRPr="000E4A30">
          <w:rPr>
            <w:rFonts w:cs="Arial"/>
            <w:noProof/>
            <w:webHidden/>
          </w:rPr>
          <w:fldChar w:fldCharType="separate"/>
        </w:r>
        <w:r w:rsidR="002C0DFB">
          <w:rPr>
            <w:rFonts w:cs="Arial"/>
            <w:noProof/>
            <w:webHidden/>
          </w:rPr>
          <w:t>161</w:t>
        </w:r>
        <w:r w:rsidRPr="000E4A30">
          <w:rPr>
            <w:rFonts w:cs="Arial"/>
            <w:noProof/>
            <w:webHidden/>
          </w:rPr>
          <w:fldChar w:fldCharType="end"/>
        </w:r>
      </w:hyperlink>
    </w:p>
    <w:p w14:paraId="2CDBABDD" w14:textId="07BC13D2" w:rsidR="003C1BA0" w:rsidRPr="000E4A30" w:rsidRDefault="003C1BA0">
      <w:pPr>
        <w:pStyle w:val="TOC5"/>
        <w:rPr>
          <w:rFonts w:ascii="Arial" w:hAnsi="Arial" w:cs="Arial"/>
          <w:noProof/>
          <w:kern w:val="2"/>
          <w:sz w:val="20"/>
          <w:szCs w:val="20"/>
          <w14:ligatures w14:val="standardContextual"/>
        </w:rPr>
      </w:pPr>
      <w:hyperlink w:anchor="_Toc225877737"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_Toc225877737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161</w:t>
        </w:r>
        <w:r w:rsidRPr="000E4A30">
          <w:rPr>
            <w:rFonts w:ascii="Arial" w:hAnsi="Arial" w:cs="Arial"/>
            <w:noProof/>
            <w:webHidden/>
            <w:sz w:val="20"/>
            <w:szCs w:val="20"/>
          </w:rPr>
          <w:fldChar w:fldCharType="end"/>
        </w:r>
      </w:hyperlink>
    </w:p>
    <w:p w14:paraId="025D0B24" w14:textId="02B908E1" w:rsidR="003C1BA0" w:rsidRPr="000E4A30" w:rsidRDefault="003C1BA0">
      <w:pPr>
        <w:pStyle w:val="TOC5"/>
        <w:rPr>
          <w:rFonts w:ascii="Arial" w:hAnsi="Arial" w:cs="Arial"/>
          <w:noProof/>
          <w:kern w:val="2"/>
          <w:sz w:val="20"/>
          <w:szCs w:val="20"/>
          <w14:ligatures w14:val="standardContextual"/>
        </w:rPr>
      </w:pPr>
      <w:hyperlink w:anchor="_Toc225877738" w:history="1">
        <w:r w:rsidRPr="000E4A30">
          <w:rPr>
            <w:rStyle w:val="Hyperlink"/>
            <w:rFonts w:ascii="Arial" w:hAnsi="Arial" w:cs="Arial"/>
            <w:noProof/>
            <w:sz w:val="20"/>
            <w:szCs w:val="20"/>
          </w:rPr>
          <w:t>Change Summary Since Release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_Toc225877738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163</w:t>
        </w:r>
        <w:r w:rsidRPr="000E4A30">
          <w:rPr>
            <w:rFonts w:ascii="Arial" w:hAnsi="Arial" w:cs="Arial"/>
            <w:noProof/>
            <w:webHidden/>
            <w:sz w:val="20"/>
            <w:szCs w:val="20"/>
          </w:rPr>
          <w:fldChar w:fldCharType="end"/>
        </w:r>
      </w:hyperlink>
    </w:p>
    <w:p w14:paraId="46810CFD" w14:textId="4427BBCA" w:rsidR="003C1BA0" w:rsidRPr="000E4A30" w:rsidRDefault="003C1BA0">
      <w:pPr>
        <w:pStyle w:val="TOC4"/>
        <w:rPr>
          <w:rFonts w:eastAsiaTheme="minorEastAsia" w:cs="Arial"/>
          <w:noProof/>
          <w:kern w:val="2"/>
          <w14:ligatures w14:val="standardContextual"/>
        </w:rPr>
      </w:pPr>
      <w:hyperlink w:anchor="_Toc225877739" w:history="1">
        <w:r w:rsidRPr="000E4A30">
          <w:rPr>
            <w:rStyle w:val="Hyperlink"/>
            <w:rFonts w:cs="Arial"/>
            <w:noProof/>
          </w:rPr>
          <w:t>Section 4: Maternity Care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_Toc225877739 \h </w:instrText>
        </w:r>
        <w:r w:rsidRPr="000E4A30">
          <w:rPr>
            <w:rFonts w:cs="Arial"/>
            <w:noProof/>
            <w:webHidden/>
          </w:rPr>
        </w:r>
        <w:r w:rsidRPr="000E4A30">
          <w:rPr>
            <w:rFonts w:cs="Arial"/>
            <w:noProof/>
            <w:webHidden/>
          </w:rPr>
          <w:fldChar w:fldCharType="separate"/>
        </w:r>
        <w:r w:rsidR="002C0DFB">
          <w:rPr>
            <w:rFonts w:cs="Arial"/>
            <w:noProof/>
            <w:webHidden/>
          </w:rPr>
          <w:t>164</w:t>
        </w:r>
        <w:r w:rsidRPr="000E4A30">
          <w:rPr>
            <w:rFonts w:cs="Arial"/>
            <w:noProof/>
            <w:webHidden/>
          </w:rPr>
          <w:fldChar w:fldCharType="end"/>
        </w:r>
      </w:hyperlink>
    </w:p>
    <w:p w14:paraId="5FDC267E" w14:textId="20DBE633" w:rsidR="003C1BA0" w:rsidRPr="000E4A30" w:rsidRDefault="003C1BA0">
      <w:pPr>
        <w:pStyle w:val="TOC5"/>
        <w:rPr>
          <w:rFonts w:ascii="Arial" w:hAnsi="Arial" w:cs="Arial"/>
          <w:noProof/>
          <w:kern w:val="2"/>
          <w:sz w:val="20"/>
          <w:szCs w:val="20"/>
          <w14:ligatures w14:val="standardContextual"/>
        </w:rPr>
      </w:pPr>
      <w:hyperlink w:anchor="_Toc225877740" w:history="1">
        <w:r w:rsidRPr="000E4A30">
          <w:rPr>
            <w:rStyle w:val="Hyperlink"/>
            <w:rFonts w:ascii="Arial" w:hAnsi="Arial" w:cs="Arial"/>
            <w:noProof/>
            <w:sz w:val="20"/>
            <w:szCs w:val="20"/>
          </w:rPr>
          <w:t>Maternity Care Volume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_Toc225877740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164</w:t>
        </w:r>
        <w:r w:rsidRPr="000E4A30">
          <w:rPr>
            <w:rFonts w:ascii="Arial" w:hAnsi="Arial" w:cs="Arial"/>
            <w:noProof/>
            <w:webHidden/>
            <w:sz w:val="20"/>
            <w:szCs w:val="20"/>
          </w:rPr>
          <w:fldChar w:fldCharType="end"/>
        </w:r>
      </w:hyperlink>
    </w:p>
    <w:p w14:paraId="1BBDA5CA" w14:textId="1584FC00" w:rsidR="003C1BA0" w:rsidRPr="000E4A30" w:rsidRDefault="003C1BA0">
      <w:pPr>
        <w:pStyle w:val="TOC5"/>
        <w:rPr>
          <w:rFonts w:ascii="Arial" w:hAnsi="Arial" w:cs="Arial"/>
          <w:noProof/>
          <w:kern w:val="2"/>
          <w:sz w:val="20"/>
          <w:szCs w:val="20"/>
          <w14:ligatures w14:val="standardContextual"/>
        </w:rPr>
      </w:pPr>
      <w:hyperlink w:anchor="_Toc225877741" w:history="1">
        <w:r w:rsidRPr="000E4A30">
          <w:rPr>
            <w:rStyle w:val="Hyperlink"/>
            <w:rFonts w:ascii="Arial" w:hAnsi="Arial" w:cs="Arial"/>
            <w:noProof/>
            <w:sz w:val="20"/>
            <w:szCs w:val="20"/>
          </w:rPr>
          <w:t>Cesarean Birth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_Toc225877741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165</w:t>
        </w:r>
        <w:r w:rsidRPr="000E4A30">
          <w:rPr>
            <w:rFonts w:ascii="Arial" w:hAnsi="Arial" w:cs="Arial"/>
            <w:noProof/>
            <w:webHidden/>
            <w:sz w:val="20"/>
            <w:szCs w:val="20"/>
          </w:rPr>
          <w:fldChar w:fldCharType="end"/>
        </w:r>
      </w:hyperlink>
    </w:p>
    <w:p w14:paraId="558DED14" w14:textId="756B8790" w:rsidR="003C1BA0" w:rsidRPr="000E4A30" w:rsidRDefault="003C1BA0">
      <w:pPr>
        <w:pStyle w:val="TOC5"/>
        <w:rPr>
          <w:rFonts w:ascii="Arial" w:hAnsi="Arial" w:cs="Arial"/>
          <w:noProof/>
          <w:kern w:val="2"/>
          <w:sz w:val="20"/>
          <w:szCs w:val="20"/>
          <w14:ligatures w14:val="standardContextual"/>
        </w:rPr>
      </w:pPr>
      <w:hyperlink w:anchor="_Toc225877742" w:history="1">
        <w:r w:rsidRPr="000E4A30">
          <w:rPr>
            <w:rStyle w:val="Hyperlink"/>
            <w:rFonts w:ascii="Arial" w:hAnsi="Arial" w:cs="Arial"/>
            <w:noProof/>
            <w:sz w:val="20"/>
            <w:szCs w:val="20"/>
          </w:rPr>
          <w:t>Episiotomy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_Toc225877742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169</w:t>
        </w:r>
        <w:r w:rsidRPr="000E4A30">
          <w:rPr>
            <w:rFonts w:ascii="Arial" w:hAnsi="Arial" w:cs="Arial"/>
            <w:noProof/>
            <w:webHidden/>
            <w:sz w:val="20"/>
            <w:szCs w:val="20"/>
          </w:rPr>
          <w:fldChar w:fldCharType="end"/>
        </w:r>
      </w:hyperlink>
    </w:p>
    <w:p w14:paraId="40CD0908" w14:textId="2C743A53" w:rsidR="003C1BA0" w:rsidRPr="000E4A30" w:rsidRDefault="003C1BA0">
      <w:pPr>
        <w:pStyle w:val="TOC5"/>
        <w:rPr>
          <w:rFonts w:ascii="Arial" w:hAnsi="Arial" w:cs="Arial"/>
          <w:noProof/>
          <w:kern w:val="2"/>
          <w:sz w:val="20"/>
          <w:szCs w:val="20"/>
          <w14:ligatures w14:val="standardContextual"/>
        </w:rPr>
      </w:pPr>
      <w:hyperlink w:anchor="_Toc225877743" w:history="1">
        <w:r w:rsidRPr="000E4A30">
          <w:rPr>
            <w:rStyle w:val="Hyperlink"/>
            <w:rFonts w:ascii="Arial" w:hAnsi="Arial" w:cs="Arial"/>
            <w:noProof/>
            <w:sz w:val="20"/>
            <w:szCs w:val="20"/>
          </w:rPr>
          <w:t>Process Measures of Quality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_Toc225877743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170</w:t>
        </w:r>
        <w:r w:rsidRPr="000E4A30">
          <w:rPr>
            <w:rFonts w:ascii="Arial" w:hAnsi="Arial" w:cs="Arial"/>
            <w:noProof/>
            <w:webHidden/>
            <w:sz w:val="20"/>
            <w:szCs w:val="20"/>
          </w:rPr>
          <w:fldChar w:fldCharType="end"/>
        </w:r>
      </w:hyperlink>
    </w:p>
    <w:p w14:paraId="14E05FE9" w14:textId="4D80CE8C" w:rsidR="003C1BA0" w:rsidRPr="000E4A30" w:rsidRDefault="003C1BA0">
      <w:pPr>
        <w:pStyle w:val="TOC5"/>
        <w:rPr>
          <w:rFonts w:ascii="Arial" w:hAnsi="Arial" w:cs="Arial"/>
          <w:noProof/>
          <w:kern w:val="2"/>
          <w:sz w:val="20"/>
          <w:szCs w:val="20"/>
          <w14:ligatures w14:val="standardContextual"/>
        </w:rPr>
      </w:pPr>
      <w:hyperlink w:anchor="_Toc225877744" w:history="1">
        <w:r w:rsidRPr="000E4A30">
          <w:rPr>
            <w:rStyle w:val="Hyperlink"/>
            <w:rFonts w:ascii="Arial" w:hAnsi="Arial" w:cs="Arial"/>
            <w:noProof/>
            <w:sz w:val="20"/>
            <w:szCs w:val="20"/>
          </w:rPr>
          <w:t>High-Risk Deliveries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_Toc225877744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172</w:t>
        </w:r>
        <w:r w:rsidRPr="000E4A30">
          <w:rPr>
            <w:rFonts w:ascii="Arial" w:hAnsi="Arial" w:cs="Arial"/>
            <w:noProof/>
            <w:webHidden/>
            <w:sz w:val="20"/>
            <w:szCs w:val="20"/>
          </w:rPr>
          <w:fldChar w:fldCharType="end"/>
        </w:r>
      </w:hyperlink>
    </w:p>
    <w:p w14:paraId="7ECC259D" w14:textId="06ED049A" w:rsidR="003C1BA0" w:rsidRPr="000E4A30" w:rsidRDefault="003C1BA0">
      <w:pPr>
        <w:pStyle w:val="TOC4"/>
        <w:rPr>
          <w:rFonts w:eastAsiaTheme="minorEastAsia" w:cs="Arial"/>
          <w:noProof/>
          <w:kern w:val="2"/>
          <w14:ligatures w14:val="standardContextual"/>
        </w:rPr>
      </w:pPr>
      <w:hyperlink w:anchor="_Toc225877745" w:history="1">
        <w:r w:rsidRPr="000E4A30">
          <w:rPr>
            <w:rStyle w:val="Hyperlink"/>
            <w:rFonts w:cs="Arial"/>
            <w:noProof/>
          </w:rPr>
          <w:t>Section 4: Maternity Care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_Toc225877745 \h </w:instrText>
        </w:r>
        <w:r w:rsidRPr="000E4A30">
          <w:rPr>
            <w:rFonts w:cs="Arial"/>
            <w:noProof/>
            <w:webHidden/>
          </w:rPr>
        </w:r>
        <w:r w:rsidRPr="000E4A30">
          <w:rPr>
            <w:rFonts w:cs="Arial"/>
            <w:noProof/>
            <w:webHidden/>
          </w:rPr>
          <w:fldChar w:fldCharType="separate"/>
        </w:r>
        <w:r w:rsidR="002C0DFB">
          <w:rPr>
            <w:rFonts w:cs="Arial"/>
            <w:noProof/>
            <w:webHidden/>
          </w:rPr>
          <w:t>175</w:t>
        </w:r>
        <w:r w:rsidRPr="000E4A30">
          <w:rPr>
            <w:rFonts w:cs="Arial"/>
            <w:noProof/>
            <w:webHidden/>
          </w:rPr>
          <w:fldChar w:fldCharType="end"/>
        </w:r>
      </w:hyperlink>
    </w:p>
    <w:p w14:paraId="78CBEC2C" w14:textId="4BA5D4EE" w:rsidR="003C1BA0" w:rsidRPr="000E4A30" w:rsidRDefault="003C1BA0">
      <w:pPr>
        <w:pStyle w:val="TOC1"/>
        <w:rPr>
          <w:rFonts w:eastAsiaTheme="minorEastAsia" w:cs="Arial"/>
          <w:noProof/>
          <w:kern w:val="2"/>
          <w14:ligatures w14:val="standardContextual"/>
        </w:rPr>
      </w:pPr>
      <w:hyperlink w:anchor="_Toc225877746"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_Toc225877746 \h </w:instrText>
        </w:r>
        <w:r w:rsidRPr="000E4A30">
          <w:rPr>
            <w:rFonts w:cs="Arial"/>
            <w:noProof/>
            <w:webHidden/>
          </w:rPr>
        </w:r>
        <w:r w:rsidRPr="000E4A30">
          <w:rPr>
            <w:rFonts w:cs="Arial"/>
            <w:noProof/>
            <w:webHidden/>
          </w:rPr>
          <w:fldChar w:fldCharType="separate"/>
        </w:r>
        <w:r w:rsidR="002C0DFB">
          <w:rPr>
            <w:rFonts w:cs="Arial"/>
            <w:noProof/>
            <w:webHidden/>
          </w:rPr>
          <w:t>177</w:t>
        </w:r>
        <w:r w:rsidRPr="000E4A30">
          <w:rPr>
            <w:rFonts w:cs="Arial"/>
            <w:noProof/>
            <w:webHidden/>
          </w:rPr>
          <w:fldChar w:fldCharType="end"/>
        </w:r>
      </w:hyperlink>
    </w:p>
    <w:p w14:paraId="423042CE" w14:textId="4FBF6B1D" w:rsidR="003C1BA0" w:rsidRPr="000E4A30" w:rsidRDefault="003C1BA0">
      <w:pPr>
        <w:pStyle w:val="TOC1"/>
        <w:rPr>
          <w:rFonts w:eastAsiaTheme="minorEastAsia" w:cs="Arial"/>
          <w:noProof/>
          <w:kern w:val="2"/>
          <w14:ligatures w14:val="standardContextual"/>
        </w:rPr>
      </w:pPr>
      <w:hyperlink w:anchor="_Toc225877747" w:history="1">
        <w:r w:rsidRPr="000E4A30">
          <w:rPr>
            <w:rStyle w:val="Hyperlink"/>
            <w:rFonts w:cs="Arial"/>
            <w:noProof/>
          </w:rPr>
          <w:t>SECTION 5: PHYSICIAN AND NURSE STAFFING</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_Toc225877747 \h </w:instrText>
        </w:r>
        <w:r w:rsidRPr="000E4A30">
          <w:rPr>
            <w:rFonts w:cs="Arial"/>
            <w:noProof/>
            <w:webHidden/>
          </w:rPr>
        </w:r>
        <w:r w:rsidRPr="000E4A30">
          <w:rPr>
            <w:rFonts w:cs="Arial"/>
            <w:noProof/>
            <w:webHidden/>
          </w:rPr>
          <w:fldChar w:fldCharType="separate"/>
        </w:r>
        <w:r w:rsidR="002C0DFB">
          <w:rPr>
            <w:rFonts w:cs="Arial"/>
            <w:noProof/>
            <w:webHidden/>
          </w:rPr>
          <w:t>178</w:t>
        </w:r>
        <w:r w:rsidRPr="000E4A30">
          <w:rPr>
            <w:rFonts w:cs="Arial"/>
            <w:noProof/>
            <w:webHidden/>
          </w:rPr>
          <w:fldChar w:fldCharType="end"/>
        </w:r>
      </w:hyperlink>
    </w:p>
    <w:p w14:paraId="507FA530" w14:textId="207ED716" w:rsidR="003C1BA0" w:rsidRPr="000E4A30" w:rsidRDefault="003C1BA0">
      <w:pPr>
        <w:pStyle w:val="TOC4"/>
        <w:rPr>
          <w:rFonts w:eastAsiaTheme="minorEastAsia" w:cs="Arial"/>
          <w:noProof/>
          <w:kern w:val="2"/>
          <w14:ligatures w14:val="standardContextual"/>
        </w:rPr>
      </w:pPr>
      <w:hyperlink w:anchor="_Toc225877748" w:history="1">
        <w:r w:rsidRPr="000E4A30">
          <w:rPr>
            <w:rStyle w:val="Hyperlink"/>
            <w:rFonts w:cs="Arial"/>
            <w:noProof/>
          </w:rPr>
          <w:t>Section 5: Physician and Nurse Staffing</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_Toc225877748 \h </w:instrText>
        </w:r>
        <w:r w:rsidRPr="000E4A30">
          <w:rPr>
            <w:rFonts w:cs="Arial"/>
            <w:noProof/>
            <w:webHidden/>
          </w:rPr>
        </w:r>
        <w:r w:rsidRPr="000E4A30">
          <w:rPr>
            <w:rFonts w:cs="Arial"/>
            <w:noProof/>
            <w:webHidden/>
          </w:rPr>
          <w:fldChar w:fldCharType="separate"/>
        </w:r>
        <w:r w:rsidR="002C0DFB">
          <w:rPr>
            <w:rFonts w:cs="Arial"/>
            <w:noProof/>
            <w:webHidden/>
          </w:rPr>
          <w:t>179</w:t>
        </w:r>
        <w:r w:rsidRPr="000E4A30">
          <w:rPr>
            <w:rFonts w:cs="Arial"/>
            <w:noProof/>
            <w:webHidden/>
          </w:rPr>
          <w:fldChar w:fldCharType="end"/>
        </w:r>
      </w:hyperlink>
    </w:p>
    <w:p w14:paraId="4BF0FFCC" w14:textId="67D3F63F" w:rsidR="003C1BA0" w:rsidRPr="000E4A30" w:rsidRDefault="003C1BA0">
      <w:pPr>
        <w:pStyle w:val="TOC4"/>
        <w:rPr>
          <w:rFonts w:eastAsiaTheme="minorEastAsia" w:cs="Arial"/>
          <w:noProof/>
          <w:kern w:val="2"/>
          <w14:ligatures w14:val="standardContextual"/>
        </w:rPr>
      </w:pPr>
      <w:hyperlink w:anchor="_Toc225877749" w:history="1">
        <w:r w:rsidRPr="000E4A30">
          <w:rPr>
            <w:rStyle w:val="Hyperlink"/>
            <w:rFonts w:cs="Arial"/>
            <w:noProof/>
          </w:rPr>
          <w:t>5A: Adult ICU Physician Staffing</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_Toc225877749 \h </w:instrText>
        </w:r>
        <w:r w:rsidRPr="000E4A30">
          <w:rPr>
            <w:rFonts w:cs="Arial"/>
            <w:noProof/>
            <w:webHidden/>
          </w:rPr>
        </w:r>
        <w:r w:rsidRPr="000E4A30">
          <w:rPr>
            <w:rFonts w:cs="Arial"/>
            <w:noProof/>
            <w:webHidden/>
          </w:rPr>
          <w:fldChar w:fldCharType="separate"/>
        </w:r>
        <w:r w:rsidR="002C0DFB">
          <w:rPr>
            <w:rFonts w:cs="Arial"/>
            <w:noProof/>
            <w:webHidden/>
          </w:rPr>
          <w:t>181</w:t>
        </w:r>
        <w:r w:rsidRPr="000E4A30">
          <w:rPr>
            <w:rFonts w:cs="Arial"/>
            <w:noProof/>
            <w:webHidden/>
          </w:rPr>
          <w:fldChar w:fldCharType="end"/>
        </w:r>
      </w:hyperlink>
    </w:p>
    <w:p w14:paraId="77921B62" w14:textId="6AFFAECA" w:rsidR="003C1BA0" w:rsidRPr="000E4A30" w:rsidRDefault="003C1BA0">
      <w:pPr>
        <w:pStyle w:val="TOC4"/>
        <w:rPr>
          <w:rFonts w:eastAsiaTheme="minorEastAsia" w:cs="Arial"/>
          <w:noProof/>
          <w:kern w:val="2"/>
          <w14:ligatures w14:val="standardContextual"/>
        </w:rPr>
      </w:pPr>
      <w:hyperlink w:anchor="_Toc225877750" w:history="1">
        <w:r w:rsidRPr="000E4A30">
          <w:rPr>
            <w:rStyle w:val="Hyperlink"/>
            <w:rFonts w:cs="Arial"/>
            <w:noProof/>
          </w:rPr>
          <w:t>5B: Pediatric ICU Physician Staffing</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_Toc225877750 \h </w:instrText>
        </w:r>
        <w:r w:rsidRPr="000E4A30">
          <w:rPr>
            <w:rFonts w:cs="Arial"/>
            <w:noProof/>
            <w:webHidden/>
          </w:rPr>
        </w:r>
        <w:r w:rsidRPr="000E4A30">
          <w:rPr>
            <w:rFonts w:cs="Arial"/>
            <w:noProof/>
            <w:webHidden/>
          </w:rPr>
          <w:fldChar w:fldCharType="separate"/>
        </w:r>
        <w:r w:rsidR="002C0DFB">
          <w:rPr>
            <w:rFonts w:cs="Arial"/>
            <w:noProof/>
            <w:webHidden/>
          </w:rPr>
          <w:t>185</w:t>
        </w:r>
        <w:r w:rsidRPr="000E4A30">
          <w:rPr>
            <w:rFonts w:cs="Arial"/>
            <w:noProof/>
            <w:webHidden/>
          </w:rPr>
          <w:fldChar w:fldCharType="end"/>
        </w:r>
      </w:hyperlink>
    </w:p>
    <w:p w14:paraId="3B317C7B" w14:textId="09C1C96F" w:rsidR="003C1BA0" w:rsidRPr="000E4A30" w:rsidRDefault="003C1BA0">
      <w:pPr>
        <w:pStyle w:val="TOC4"/>
        <w:rPr>
          <w:rFonts w:eastAsiaTheme="minorEastAsia" w:cs="Arial"/>
          <w:noProof/>
          <w:kern w:val="2"/>
          <w14:ligatures w14:val="standardContextual"/>
        </w:rPr>
      </w:pPr>
      <w:hyperlink w:anchor="_Toc225877751" w:history="1">
        <w:r w:rsidRPr="000E4A30">
          <w:rPr>
            <w:rStyle w:val="Hyperlink"/>
            <w:rFonts w:cs="Arial"/>
            <w:noProof/>
          </w:rPr>
          <w:t>5C: Nursing Workforce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_Toc225877751 \h </w:instrText>
        </w:r>
        <w:r w:rsidRPr="000E4A30">
          <w:rPr>
            <w:rFonts w:cs="Arial"/>
            <w:noProof/>
            <w:webHidden/>
          </w:rPr>
        </w:r>
        <w:r w:rsidRPr="000E4A30">
          <w:rPr>
            <w:rFonts w:cs="Arial"/>
            <w:noProof/>
            <w:webHidden/>
          </w:rPr>
          <w:fldChar w:fldCharType="separate"/>
        </w:r>
        <w:r w:rsidR="002C0DFB">
          <w:rPr>
            <w:rFonts w:cs="Arial"/>
            <w:noProof/>
            <w:webHidden/>
          </w:rPr>
          <w:t>189</w:t>
        </w:r>
        <w:r w:rsidRPr="000E4A30">
          <w:rPr>
            <w:rFonts w:cs="Arial"/>
            <w:noProof/>
            <w:webHidden/>
          </w:rPr>
          <w:fldChar w:fldCharType="end"/>
        </w:r>
      </w:hyperlink>
    </w:p>
    <w:p w14:paraId="74815A84" w14:textId="0F64C79A" w:rsidR="003C1BA0" w:rsidRPr="000E4A30" w:rsidRDefault="003C1BA0">
      <w:pPr>
        <w:pStyle w:val="TOC5"/>
        <w:rPr>
          <w:rFonts w:ascii="Arial" w:hAnsi="Arial" w:cs="Arial"/>
          <w:noProof/>
          <w:kern w:val="2"/>
          <w:sz w:val="20"/>
          <w:szCs w:val="20"/>
          <w14:ligatures w14:val="standardContextual"/>
        </w:rPr>
      </w:pPr>
      <w:hyperlink w:anchor="_Toc225877752" w:history="1">
        <w:r w:rsidRPr="000E4A30">
          <w:rPr>
            <w:rStyle w:val="Hyperlink"/>
            <w:rFonts w:ascii="Arial" w:hAnsi="Arial" w:cs="Arial"/>
            <w:noProof/>
            <w:sz w:val="20"/>
            <w:szCs w:val="20"/>
          </w:rPr>
          <w:t>Total Nursing Care Hours per Patient Day and RN Hours per Patient Day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_Toc225877752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189</w:t>
        </w:r>
        <w:r w:rsidRPr="000E4A30">
          <w:rPr>
            <w:rFonts w:ascii="Arial" w:hAnsi="Arial" w:cs="Arial"/>
            <w:noProof/>
            <w:webHidden/>
            <w:sz w:val="20"/>
            <w:szCs w:val="20"/>
          </w:rPr>
          <w:fldChar w:fldCharType="end"/>
        </w:r>
      </w:hyperlink>
    </w:p>
    <w:p w14:paraId="217A6002" w14:textId="1187AD2B" w:rsidR="003C1BA0" w:rsidRPr="000E4A30" w:rsidRDefault="003C1BA0">
      <w:pPr>
        <w:pStyle w:val="TOC5"/>
        <w:rPr>
          <w:rFonts w:ascii="Arial" w:hAnsi="Arial" w:cs="Arial"/>
          <w:noProof/>
          <w:kern w:val="2"/>
          <w:sz w:val="20"/>
          <w:szCs w:val="20"/>
          <w14:ligatures w14:val="standardContextual"/>
        </w:rPr>
      </w:pPr>
      <w:hyperlink w:anchor="_Toc225877753" w:history="1">
        <w:r w:rsidRPr="000E4A30">
          <w:rPr>
            <w:rStyle w:val="Hyperlink"/>
            <w:rFonts w:ascii="Arial" w:hAnsi="Arial" w:cs="Arial"/>
            <w:noProof/>
            <w:sz w:val="20"/>
            <w:szCs w:val="20"/>
          </w:rPr>
          <w:t>NQF Safe Practice #9 – Nursing Workforce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_Toc225877753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194</w:t>
        </w:r>
        <w:r w:rsidRPr="000E4A30">
          <w:rPr>
            <w:rFonts w:ascii="Arial" w:hAnsi="Arial" w:cs="Arial"/>
            <w:noProof/>
            <w:webHidden/>
            <w:sz w:val="20"/>
            <w:szCs w:val="20"/>
          </w:rPr>
          <w:fldChar w:fldCharType="end"/>
        </w:r>
      </w:hyperlink>
    </w:p>
    <w:p w14:paraId="6EC1EF7C" w14:textId="4683E444" w:rsidR="003C1BA0" w:rsidRPr="000E4A30" w:rsidRDefault="003C1BA0">
      <w:pPr>
        <w:pStyle w:val="TOC5"/>
        <w:rPr>
          <w:rFonts w:ascii="Arial" w:hAnsi="Arial" w:cs="Arial"/>
          <w:noProof/>
          <w:kern w:val="2"/>
          <w:sz w:val="20"/>
          <w:szCs w:val="20"/>
          <w14:ligatures w14:val="standardContextual"/>
        </w:rPr>
      </w:pPr>
      <w:hyperlink w:anchor="_Toc225877754" w:history="1">
        <w:r w:rsidRPr="000E4A30">
          <w:rPr>
            <w:rStyle w:val="Hyperlink"/>
            <w:rFonts w:ascii="Arial" w:hAnsi="Arial" w:cs="Arial"/>
            <w:noProof/>
            <w:sz w:val="20"/>
            <w:szCs w:val="20"/>
          </w:rPr>
          <w:t>Percentage of RNs who are BSN-Prepared</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_Toc225877754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195</w:t>
        </w:r>
        <w:r w:rsidRPr="000E4A30">
          <w:rPr>
            <w:rFonts w:ascii="Arial" w:hAnsi="Arial" w:cs="Arial"/>
            <w:noProof/>
            <w:webHidden/>
            <w:sz w:val="20"/>
            <w:szCs w:val="20"/>
          </w:rPr>
          <w:fldChar w:fldCharType="end"/>
        </w:r>
      </w:hyperlink>
    </w:p>
    <w:p w14:paraId="210D622F" w14:textId="2A7D3C77" w:rsidR="003C1BA0" w:rsidRPr="000E4A30" w:rsidRDefault="003C1BA0">
      <w:pPr>
        <w:pStyle w:val="TOC4"/>
        <w:rPr>
          <w:rFonts w:eastAsiaTheme="minorEastAsia" w:cs="Arial"/>
          <w:noProof/>
          <w:kern w:val="2"/>
          <w14:ligatures w14:val="standardContextual"/>
        </w:rPr>
      </w:pPr>
      <w:hyperlink w:anchor="_Toc225877755" w:history="1">
        <w:r w:rsidRPr="000E4A30">
          <w:rPr>
            <w:rStyle w:val="Hyperlink"/>
            <w:rFonts w:cs="Arial"/>
            <w:noProof/>
          </w:rPr>
          <w:t>Section 5: Physician and Nurse Staffing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_Toc225877755 \h </w:instrText>
        </w:r>
        <w:r w:rsidRPr="000E4A30">
          <w:rPr>
            <w:rFonts w:cs="Arial"/>
            <w:noProof/>
            <w:webHidden/>
          </w:rPr>
        </w:r>
        <w:r w:rsidRPr="000E4A30">
          <w:rPr>
            <w:rFonts w:cs="Arial"/>
            <w:noProof/>
            <w:webHidden/>
          </w:rPr>
          <w:fldChar w:fldCharType="separate"/>
        </w:r>
        <w:r w:rsidR="002C0DFB">
          <w:rPr>
            <w:rFonts w:cs="Arial"/>
            <w:noProof/>
            <w:webHidden/>
          </w:rPr>
          <w:t>197</w:t>
        </w:r>
        <w:r w:rsidRPr="000E4A30">
          <w:rPr>
            <w:rFonts w:cs="Arial"/>
            <w:noProof/>
            <w:webHidden/>
          </w:rPr>
          <w:fldChar w:fldCharType="end"/>
        </w:r>
      </w:hyperlink>
    </w:p>
    <w:p w14:paraId="197C5B8D" w14:textId="6A73E9F4" w:rsidR="003C1BA0" w:rsidRPr="000E4A30" w:rsidRDefault="003C1BA0">
      <w:pPr>
        <w:pStyle w:val="TOC5"/>
        <w:rPr>
          <w:rFonts w:ascii="Arial" w:hAnsi="Arial" w:cs="Arial"/>
          <w:noProof/>
          <w:kern w:val="2"/>
          <w:sz w:val="20"/>
          <w:szCs w:val="20"/>
          <w14:ligatures w14:val="standardContextual"/>
        </w:rPr>
      </w:pPr>
      <w:hyperlink w:anchor="_Toc225877756"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_Toc225877756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197</w:t>
        </w:r>
        <w:r w:rsidRPr="000E4A30">
          <w:rPr>
            <w:rFonts w:ascii="Arial" w:hAnsi="Arial" w:cs="Arial"/>
            <w:noProof/>
            <w:webHidden/>
            <w:sz w:val="20"/>
            <w:szCs w:val="20"/>
          </w:rPr>
          <w:fldChar w:fldCharType="end"/>
        </w:r>
      </w:hyperlink>
    </w:p>
    <w:p w14:paraId="52D0E5B8" w14:textId="27D8674F" w:rsidR="003C1BA0" w:rsidRPr="000E4A30" w:rsidRDefault="003C1BA0">
      <w:pPr>
        <w:pStyle w:val="TOC5"/>
        <w:rPr>
          <w:rFonts w:ascii="Arial" w:hAnsi="Arial" w:cs="Arial"/>
          <w:noProof/>
          <w:kern w:val="2"/>
          <w:sz w:val="20"/>
          <w:szCs w:val="20"/>
          <w14:ligatures w14:val="standardContextual"/>
        </w:rPr>
      </w:pPr>
      <w:hyperlink w:anchor="_Toc225877757" w:history="1">
        <w:r w:rsidRPr="000E4A30">
          <w:rPr>
            <w:rStyle w:val="Hyperlink"/>
            <w:rFonts w:ascii="Arial" w:hAnsi="Arial" w:cs="Arial"/>
            <w:noProof/>
            <w:sz w:val="20"/>
            <w:szCs w:val="20"/>
          </w:rPr>
          <w:t>Change Summary Since Release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_Toc225877757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197</w:t>
        </w:r>
        <w:r w:rsidRPr="000E4A30">
          <w:rPr>
            <w:rFonts w:ascii="Arial" w:hAnsi="Arial" w:cs="Arial"/>
            <w:noProof/>
            <w:webHidden/>
            <w:sz w:val="20"/>
            <w:szCs w:val="20"/>
          </w:rPr>
          <w:fldChar w:fldCharType="end"/>
        </w:r>
      </w:hyperlink>
    </w:p>
    <w:p w14:paraId="3309B835" w14:textId="1FF2FE8D" w:rsidR="003C1BA0" w:rsidRPr="000E4A30" w:rsidRDefault="003C1BA0">
      <w:pPr>
        <w:pStyle w:val="TOC5"/>
        <w:rPr>
          <w:rFonts w:ascii="Arial" w:hAnsi="Arial" w:cs="Arial"/>
          <w:noProof/>
          <w:kern w:val="2"/>
          <w:sz w:val="20"/>
          <w:szCs w:val="20"/>
          <w14:ligatures w14:val="standardContextual"/>
        </w:rPr>
      </w:pPr>
      <w:hyperlink w:anchor="_Toc225877758" w:history="1">
        <w:r w:rsidRPr="000E4A30">
          <w:rPr>
            <w:rStyle w:val="Hyperlink"/>
            <w:rFonts w:ascii="Arial" w:hAnsi="Arial" w:cs="Arial"/>
            <w:noProof/>
            <w:sz w:val="20"/>
            <w:szCs w:val="20"/>
          </w:rPr>
          <w:t>Nursing Workforce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_Toc225877758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198</w:t>
        </w:r>
        <w:r w:rsidRPr="000E4A30">
          <w:rPr>
            <w:rFonts w:ascii="Arial" w:hAnsi="Arial" w:cs="Arial"/>
            <w:noProof/>
            <w:webHidden/>
            <w:sz w:val="20"/>
            <w:szCs w:val="20"/>
          </w:rPr>
          <w:fldChar w:fldCharType="end"/>
        </w:r>
      </w:hyperlink>
    </w:p>
    <w:p w14:paraId="16ECA678" w14:textId="5425CB7E" w:rsidR="003C1BA0" w:rsidRPr="000E4A30" w:rsidRDefault="003C1BA0">
      <w:pPr>
        <w:pStyle w:val="TOC4"/>
        <w:rPr>
          <w:rFonts w:eastAsiaTheme="minorEastAsia" w:cs="Arial"/>
          <w:noProof/>
          <w:kern w:val="2"/>
          <w14:ligatures w14:val="standardContextual"/>
        </w:rPr>
      </w:pPr>
      <w:hyperlink w:anchor="_Toc225877759" w:history="1">
        <w:r w:rsidRPr="000E4A30">
          <w:rPr>
            <w:rStyle w:val="Hyperlink"/>
            <w:rFonts w:cs="Arial"/>
            <w:noProof/>
          </w:rPr>
          <w:t>Section 5: Physician and Nurse Staffing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_Toc225877759 \h </w:instrText>
        </w:r>
        <w:r w:rsidRPr="000E4A30">
          <w:rPr>
            <w:rFonts w:cs="Arial"/>
            <w:noProof/>
            <w:webHidden/>
          </w:rPr>
        </w:r>
        <w:r w:rsidRPr="000E4A30">
          <w:rPr>
            <w:rFonts w:cs="Arial"/>
            <w:noProof/>
            <w:webHidden/>
          </w:rPr>
          <w:fldChar w:fldCharType="separate"/>
        </w:r>
        <w:r w:rsidR="002C0DFB">
          <w:rPr>
            <w:rFonts w:cs="Arial"/>
            <w:noProof/>
            <w:webHidden/>
          </w:rPr>
          <w:t>209</w:t>
        </w:r>
        <w:r w:rsidRPr="000E4A30">
          <w:rPr>
            <w:rFonts w:cs="Arial"/>
            <w:noProof/>
            <w:webHidden/>
          </w:rPr>
          <w:fldChar w:fldCharType="end"/>
        </w:r>
      </w:hyperlink>
    </w:p>
    <w:p w14:paraId="0FBAFB93" w14:textId="44E9ADAC" w:rsidR="003C1BA0" w:rsidRPr="000E4A30" w:rsidRDefault="003C1BA0">
      <w:pPr>
        <w:pStyle w:val="TOC5"/>
        <w:rPr>
          <w:rFonts w:ascii="Arial" w:hAnsi="Arial" w:cs="Arial"/>
          <w:noProof/>
          <w:kern w:val="2"/>
          <w:sz w:val="20"/>
          <w:szCs w:val="20"/>
          <w14:ligatures w14:val="standardContextual"/>
        </w:rPr>
      </w:pPr>
      <w:hyperlink w:anchor="_Toc225877760" w:history="1">
        <w:r w:rsidRPr="000E4A30">
          <w:rPr>
            <w:rStyle w:val="Hyperlink"/>
            <w:rFonts w:ascii="Arial" w:hAnsi="Arial" w:cs="Arial"/>
            <w:noProof/>
            <w:sz w:val="20"/>
            <w:szCs w:val="20"/>
          </w:rPr>
          <w:t>ICU General Questions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_Toc225877760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209</w:t>
        </w:r>
        <w:r w:rsidRPr="000E4A30">
          <w:rPr>
            <w:rFonts w:ascii="Arial" w:hAnsi="Arial" w:cs="Arial"/>
            <w:noProof/>
            <w:webHidden/>
            <w:sz w:val="20"/>
            <w:szCs w:val="20"/>
          </w:rPr>
          <w:fldChar w:fldCharType="end"/>
        </w:r>
      </w:hyperlink>
    </w:p>
    <w:p w14:paraId="1351EFCD" w14:textId="1BF49440" w:rsidR="003C1BA0" w:rsidRPr="000E4A30" w:rsidRDefault="003C1BA0">
      <w:pPr>
        <w:pStyle w:val="TOC5"/>
        <w:rPr>
          <w:rFonts w:ascii="Arial" w:hAnsi="Arial" w:cs="Arial"/>
          <w:noProof/>
          <w:kern w:val="2"/>
          <w:sz w:val="20"/>
          <w:szCs w:val="20"/>
          <w14:ligatures w14:val="standardContextual"/>
        </w:rPr>
      </w:pPr>
      <w:hyperlink w:anchor="_Toc225877761" w:history="1">
        <w:r w:rsidRPr="000E4A30">
          <w:rPr>
            <w:rStyle w:val="Hyperlink"/>
            <w:rFonts w:ascii="Arial" w:hAnsi="Arial" w:cs="Arial"/>
            <w:noProof/>
            <w:sz w:val="20"/>
            <w:szCs w:val="20"/>
          </w:rPr>
          <w:t>ICU Certification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_Toc225877761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209</w:t>
        </w:r>
        <w:r w:rsidRPr="000E4A30">
          <w:rPr>
            <w:rFonts w:ascii="Arial" w:hAnsi="Arial" w:cs="Arial"/>
            <w:noProof/>
            <w:webHidden/>
            <w:sz w:val="20"/>
            <w:szCs w:val="20"/>
          </w:rPr>
          <w:fldChar w:fldCharType="end"/>
        </w:r>
      </w:hyperlink>
    </w:p>
    <w:p w14:paraId="49694431" w14:textId="089F7F73" w:rsidR="003C1BA0" w:rsidRPr="000E4A30" w:rsidRDefault="003C1BA0">
      <w:pPr>
        <w:pStyle w:val="TOC5"/>
        <w:rPr>
          <w:rFonts w:ascii="Arial" w:hAnsi="Arial" w:cs="Arial"/>
          <w:noProof/>
          <w:kern w:val="2"/>
          <w:sz w:val="20"/>
          <w:szCs w:val="20"/>
          <w14:ligatures w14:val="standardContextual"/>
        </w:rPr>
      </w:pPr>
      <w:hyperlink w:anchor="_Toc225877762" w:history="1">
        <w:r w:rsidRPr="000E4A30">
          <w:rPr>
            <w:rStyle w:val="Hyperlink"/>
            <w:rFonts w:ascii="Arial" w:hAnsi="Arial" w:cs="Arial"/>
            <w:noProof/>
            <w:sz w:val="20"/>
            <w:szCs w:val="20"/>
          </w:rPr>
          <w:t>ICU Telemedicine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_Toc225877762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210</w:t>
        </w:r>
        <w:r w:rsidRPr="000E4A30">
          <w:rPr>
            <w:rFonts w:ascii="Arial" w:hAnsi="Arial" w:cs="Arial"/>
            <w:noProof/>
            <w:webHidden/>
            <w:sz w:val="20"/>
            <w:szCs w:val="20"/>
          </w:rPr>
          <w:fldChar w:fldCharType="end"/>
        </w:r>
      </w:hyperlink>
    </w:p>
    <w:p w14:paraId="6669F8E5" w14:textId="50EE0285" w:rsidR="003C1BA0" w:rsidRPr="000E4A30" w:rsidRDefault="003C1BA0">
      <w:pPr>
        <w:pStyle w:val="TOC5"/>
        <w:rPr>
          <w:rFonts w:ascii="Arial" w:hAnsi="Arial" w:cs="Arial"/>
          <w:noProof/>
          <w:kern w:val="2"/>
          <w:sz w:val="20"/>
          <w:szCs w:val="20"/>
          <w14:ligatures w14:val="standardContextual"/>
        </w:rPr>
      </w:pPr>
      <w:hyperlink w:anchor="_Toc225877763" w:history="1">
        <w:r w:rsidRPr="000E4A30">
          <w:rPr>
            <w:rStyle w:val="Hyperlink"/>
            <w:rFonts w:ascii="Arial" w:hAnsi="Arial" w:cs="Arial"/>
            <w:noProof/>
            <w:sz w:val="20"/>
            <w:szCs w:val="20"/>
          </w:rPr>
          <w:t>ICU Response Time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_Toc225877763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210</w:t>
        </w:r>
        <w:r w:rsidRPr="000E4A30">
          <w:rPr>
            <w:rFonts w:ascii="Arial" w:hAnsi="Arial" w:cs="Arial"/>
            <w:noProof/>
            <w:webHidden/>
            <w:sz w:val="20"/>
            <w:szCs w:val="20"/>
          </w:rPr>
          <w:fldChar w:fldCharType="end"/>
        </w:r>
      </w:hyperlink>
    </w:p>
    <w:p w14:paraId="0A7E5504" w14:textId="474AE45B" w:rsidR="003C1BA0" w:rsidRPr="000E4A30" w:rsidRDefault="003C1BA0">
      <w:pPr>
        <w:pStyle w:val="TOC5"/>
        <w:rPr>
          <w:rFonts w:ascii="Arial" w:hAnsi="Arial" w:cs="Arial"/>
          <w:noProof/>
          <w:kern w:val="2"/>
          <w:sz w:val="20"/>
          <w:szCs w:val="20"/>
          <w14:ligatures w14:val="standardContextual"/>
        </w:rPr>
      </w:pPr>
      <w:hyperlink w:anchor="_Toc225877764" w:history="1">
        <w:r w:rsidRPr="000E4A30">
          <w:rPr>
            <w:rStyle w:val="Hyperlink"/>
            <w:rFonts w:ascii="Arial" w:hAnsi="Arial" w:cs="Arial"/>
            <w:noProof/>
            <w:sz w:val="20"/>
            <w:szCs w:val="20"/>
          </w:rPr>
          <w:t>ICU Rounding</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_Toc225877764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211</w:t>
        </w:r>
        <w:r w:rsidRPr="000E4A30">
          <w:rPr>
            <w:rFonts w:ascii="Arial" w:hAnsi="Arial" w:cs="Arial"/>
            <w:noProof/>
            <w:webHidden/>
            <w:sz w:val="20"/>
            <w:szCs w:val="20"/>
          </w:rPr>
          <w:fldChar w:fldCharType="end"/>
        </w:r>
      </w:hyperlink>
    </w:p>
    <w:p w14:paraId="2B903C8B" w14:textId="28277175" w:rsidR="003C1BA0" w:rsidRPr="000E4A30" w:rsidRDefault="003C1BA0">
      <w:pPr>
        <w:pStyle w:val="TOC5"/>
        <w:rPr>
          <w:rFonts w:ascii="Arial" w:hAnsi="Arial" w:cs="Arial"/>
          <w:noProof/>
          <w:kern w:val="2"/>
          <w:sz w:val="20"/>
          <w:szCs w:val="20"/>
          <w14:ligatures w14:val="standardContextual"/>
        </w:rPr>
      </w:pPr>
      <w:hyperlink w:anchor="_Toc225877765" w:history="1">
        <w:r w:rsidRPr="000E4A30">
          <w:rPr>
            <w:rStyle w:val="Hyperlink"/>
            <w:rFonts w:ascii="Arial" w:hAnsi="Arial" w:cs="Arial"/>
            <w:noProof/>
            <w:sz w:val="20"/>
            <w:szCs w:val="20"/>
          </w:rPr>
          <w:t>Total Nursing Care Hours per Patient Day and RN Hours per Patient Day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_Toc225877765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211</w:t>
        </w:r>
        <w:r w:rsidRPr="000E4A30">
          <w:rPr>
            <w:rFonts w:ascii="Arial" w:hAnsi="Arial" w:cs="Arial"/>
            <w:noProof/>
            <w:webHidden/>
            <w:sz w:val="20"/>
            <w:szCs w:val="20"/>
          </w:rPr>
          <w:fldChar w:fldCharType="end"/>
        </w:r>
      </w:hyperlink>
    </w:p>
    <w:p w14:paraId="576F5BEA" w14:textId="630B6DF5" w:rsidR="003C1BA0" w:rsidRPr="000E4A30" w:rsidRDefault="003C1BA0">
      <w:pPr>
        <w:pStyle w:val="TOC5"/>
        <w:rPr>
          <w:rFonts w:ascii="Arial" w:hAnsi="Arial" w:cs="Arial"/>
          <w:noProof/>
          <w:kern w:val="2"/>
          <w:sz w:val="20"/>
          <w:szCs w:val="20"/>
          <w14:ligatures w14:val="standardContextual"/>
        </w:rPr>
      </w:pPr>
      <w:hyperlink w:anchor="_Toc225877766" w:history="1">
        <w:r w:rsidRPr="000E4A30">
          <w:rPr>
            <w:rStyle w:val="Hyperlink"/>
            <w:rFonts w:ascii="Arial" w:hAnsi="Arial" w:cs="Arial"/>
            <w:noProof/>
            <w:sz w:val="20"/>
            <w:szCs w:val="20"/>
          </w:rPr>
          <w:t>NQF Safe Practice #9 – Nursing Workforce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_Toc225877766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212</w:t>
        </w:r>
        <w:r w:rsidRPr="000E4A30">
          <w:rPr>
            <w:rFonts w:ascii="Arial" w:hAnsi="Arial" w:cs="Arial"/>
            <w:noProof/>
            <w:webHidden/>
            <w:sz w:val="20"/>
            <w:szCs w:val="20"/>
          </w:rPr>
          <w:fldChar w:fldCharType="end"/>
        </w:r>
      </w:hyperlink>
    </w:p>
    <w:p w14:paraId="6625FB6B" w14:textId="6AF7A79E" w:rsidR="003C1BA0" w:rsidRPr="000E4A30" w:rsidRDefault="003C1BA0">
      <w:pPr>
        <w:pStyle w:val="TOC5"/>
        <w:rPr>
          <w:rFonts w:ascii="Arial" w:hAnsi="Arial" w:cs="Arial"/>
          <w:noProof/>
          <w:kern w:val="2"/>
          <w:sz w:val="20"/>
          <w:szCs w:val="20"/>
          <w14:ligatures w14:val="standardContextual"/>
        </w:rPr>
      </w:pPr>
      <w:hyperlink w:anchor="_Toc225877767" w:history="1">
        <w:r w:rsidRPr="000E4A30">
          <w:rPr>
            <w:rStyle w:val="Hyperlink"/>
            <w:rFonts w:ascii="Arial" w:hAnsi="Arial" w:cs="Arial"/>
            <w:noProof/>
            <w:sz w:val="20"/>
            <w:szCs w:val="20"/>
          </w:rPr>
          <w:t>Percentage of RNs who are BSN-Prepared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_Toc225877767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213</w:t>
        </w:r>
        <w:r w:rsidRPr="000E4A30">
          <w:rPr>
            <w:rFonts w:ascii="Arial" w:hAnsi="Arial" w:cs="Arial"/>
            <w:noProof/>
            <w:webHidden/>
            <w:sz w:val="20"/>
            <w:szCs w:val="20"/>
          </w:rPr>
          <w:fldChar w:fldCharType="end"/>
        </w:r>
      </w:hyperlink>
    </w:p>
    <w:p w14:paraId="5A2B28C9" w14:textId="2DE391B7" w:rsidR="003C1BA0" w:rsidRPr="000E4A30" w:rsidRDefault="003C1BA0">
      <w:pPr>
        <w:pStyle w:val="TOC1"/>
        <w:rPr>
          <w:rFonts w:eastAsiaTheme="minorEastAsia" w:cs="Arial"/>
          <w:noProof/>
          <w:kern w:val="2"/>
          <w14:ligatures w14:val="standardContextual"/>
        </w:rPr>
      </w:pPr>
      <w:hyperlink w:anchor="_Toc225877768"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_Toc225877768 \h </w:instrText>
        </w:r>
        <w:r w:rsidRPr="000E4A30">
          <w:rPr>
            <w:rFonts w:cs="Arial"/>
            <w:noProof/>
            <w:webHidden/>
          </w:rPr>
        </w:r>
        <w:r w:rsidRPr="000E4A30">
          <w:rPr>
            <w:rFonts w:cs="Arial"/>
            <w:noProof/>
            <w:webHidden/>
          </w:rPr>
          <w:fldChar w:fldCharType="separate"/>
        </w:r>
        <w:r w:rsidR="002C0DFB">
          <w:rPr>
            <w:rFonts w:cs="Arial"/>
            <w:noProof/>
            <w:webHidden/>
          </w:rPr>
          <w:t>214</w:t>
        </w:r>
        <w:r w:rsidRPr="000E4A30">
          <w:rPr>
            <w:rFonts w:cs="Arial"/>
            <w:noProof/>
            <w:webHidden/>
          </w:rPr>
          <w:fldChar w:fldCharType="end"/>
        </w:r>
      </w:hyperlink>
    </w:p>
    <w:p w14:paraId="44C89CF5" w14:textId="639FC5BB" w:rsidR="003C1BA0" w:rsidRPr="000E4A30" w:rsidRDefault="003C1BA0">
      <w:pPr>
        <w:pStyle w:val="TOC1"/>
        <w:rPr>
          <w:rFonts w:eastAsiaTheme="minorEastAsia" w:cs="Arial"/>
          <w:noProof/>
          <w:kern w:val="2"/>
          <w14:ligatures w14:val="standardContextual"/>
        </w:rPr>
      </w:pPr>
      <w:hyperlink w:anchor="_Toc225877769" w:history="1">
        <w:r w:rsidRPr="000E4A30">
          <w:rPr>
            <w:rStyle w:val="Hyperlink"/>
            <w:rFonts w:cs="Arial"/>
            <w:noProof/>
          </w:rPr>
          <w:t>SECTION 6: PATIENT SAFETY PRACTICES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_Toc225877769 \h </w:instrText>
        </w:r>
        <w:r w:rsidRPr="000E4A30">
          <w:rPr>
            <w:rFonts w:cs="Arial"/>
            <w:noProof/>
            <w:webHidden/>
          </w:rPr>
        </w:r>
        <w:r w:rsidRPr="000E4A30">
          <w:rPr>
            <w:rFonts w:cs="Arial"/>
            <w:noProof/>
            <w:webHidden/>
          </w:rPr>
          <w:fldChar w:fldCharType="separate"/>
        </w:r>
        <w:r w:rsidR="002C0DFB">
          <w:rPr>
            <w:rFonts w:cs="Arial"/>
            <w:noProof/>
            <w:webHidden/>
          </w:rPr>
          <w:t>215</w:t>
        </w:r>
        <w:r w:rsidRPr="000E4A30">
          <w:rPr>
            <w:rFonts w:cs="Arial"/>
            <w:noProof/>
            <w:webHidden/>
          </w:rPr>
          <w:fldChar w:fldCharType="end"/>
        </w:r>
      </w:hyperlink>
    </w:p>
    <w:p w14:paraId="5F3A3918" w14:textId="5C483084" w:rsidR="003C1BA0" w:rsidRPr="000E4A30" w:rsidRDefault="003C1BA0">
      <w:pPr>
        <w:pStyle w:val="TOC4"/>
        <w:rPr>
          <w:rFonts w:eastAsiaTheme="minorEastAsia" w:cs="Arial"/>
          <w:noProof/>
          <w:kern w:val="2"/>
          <w14:ligatures w14:val="standardContextual"/>
        </w:rPr>
      </w:pPr>
      <w:hyperlink w:anchor="_Toc225877770" w:history="1">
        <w:r w:rsidRPr="000E4A30">
          <w:rPr>
            <w:rStyle w:val="Hyperlink"/>
            <w:rFonts w:cs="Arial"/>
            <w:noProof/>
          </w:rPr>
          <w:t>Section 6: Patient Safety Practices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_Toc225877770 \h </w:instrText>
        </w:r>
        <w:r w:rsidRPr="000E4A30">
          <w:rPr>
            <w:rFonts w:cs="Arial"/>
            <w:noProof/>
            <w:webHidden/>
          </w:rPr>
        </w:r>
        <w:r w:rsidRPr="000E4A30">
          <w:rPr>
            <w:rFonts w:cs="Arial"/>
            <w:noProof/>
            <w:webHidden/>
          </w:rPr>
          <w:fldChar w:fldCharType="separate"/>
        </w:r>
        <w:r w:rsidR="002C0DFB">
          <w:rPr>
            <w:rFonts w:cs="Arial"/>
            <w:noProof/>
            <w:webHidden/>
          </w:rPr>
          <w:t>216</w:t>
        </w:r>
        <w:r w:rsidRPr="000E4A30">
          <w:rPr>
            <w:rFonts w:cs="Arial"/>
            <w:noProof/>
            <w:webHidden/>
          </w:rPr>
          <w:fldChar w:fldCharType="end"/>
        </w:r>
      </w:hyperlink>
    </w:p>
    <w:p w14:paraId="57AD429B" w14:textId="46779E8C" w:rsidR="003C1BA0" w:rsidRPr="000E4A30" w:rsidRDefault="003C1BA0">
      <w:pPr>
        <w:pStyle w:val="TOC4"/>
        <w:rPr>
          <w:rFonts w:eastAsiaTheme="minorEastAsia" w:cs="Arial"/>
          <w:noProof/>
          <w:kern w:val="2"/>
          <w14:ligatures w14:val="standardContextual"/>
        </w:rPr>
      </w:pPr>
      <w:hyperlink w:anchor="_Toc225877771" w:history="1">
        <w:r w:rsidRPr="000E4A30">
          <w:rPr>
            <w:rStyle w:val="Hyperlink"/>
            <w:rFonts w:cs="Arial"/>
            <w:noProof/>
          </w:rPr>
          <w:t>6A: NQF Safe Practice #1 – Culture of Safety Leadership Structures and Systems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_Toc225877771 \h </w:instrText>
        </w:r>
        <w:r w:rsidRPr="000E4A30">
          <w:rPr>
            <w:rFonts w:cs="Arial"/>
            <w:noProof/>
            <w:webHidden/>
          </w:rPr>
        </w:r>
        <w:r w:rsidRPr="000E4A30">
          <w:rPr>
            <w:rFonts w:cs="Arial"/>
            <w:noProof/>
            <w:webHidden/>
          </w:rPr>
          <w:fldChar w:fldCharType="separate"/>
        </w:r>
        <w:r w:rsidR="002C0DFB">
          <w:rPr>
            <w:rFonts w:cs="Arial"/>
            <w:noProof/>
            <w:webHidden/>
          </w:rPr>
          <w:t>217</w:t>
        </w:r>
        <w:r w:rsidRPr="000E4A30">
          <w:rPr>
            <w:rFonts w:cs="Arial"/>
            <w:noProof/>
            <w:webHidden/>
          </w:rPr>
          <w:fldChar w:fldCharType="end"/>
        </w:r>
      </w:hyperlink>
    </w:p>
    <w:p w14:paraId="2CE11BF0" w14:textId="6272C840" w:rsidR="003C1BA0" w:rsidRPr="000E4A30" w:rsidRDefault="003C1BA0">
      <w:pPr>
        <w:pStyle w:val="TOC5"/>
        <w:rPr>
          <w:rFonts w:ascii="Arial" w:hAnsi="Arial" w:cs="Arial"/>
          <w:noProof/>
          <w:kern w:val="2"/>
          <w:sz w:val="20"/>
          <w:szCs w:val="20"/>
          <w14:ligatures w14:val="standardContextual"/>
        </w:rPr>
      </w:pPr>
      <w:hyperlink w:anchor="_Toc225877772" w:history="1">
        <w:r w:rsidRPr="000E4A30">
          <w:rPr>
            <w:rStyle w:val="Hyperlink"/>
            <w:rFonts w:ascii="Arial" w:hAnsi="Arial" w:cs="Arial"/>
            <w:noProof/>
            <w:sz w:val="20"/>
            <w:szCs w:val="20"/>
          </w:rPr>
          <w:t>Awareness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_Toc225877772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217</w:t>
        </w:r>
        <w:r w:rsidRPr="000E4A30">
          <w:rPr>
            <w:rFonts w:ascii="Arial" w:hAnsi="Arial" w:cs="Arial"/>
            <w:noProof/>
            <w:webHidden/>
            <w:sz w:val="20"/>
            <w:szCs w:val="20"/>
          </w:rPr>
          <w:fldChar w:fldCharType="end"/>
        </w:r>
      </w:hyperlink>
    </w:p>
    <w:p w14:paraId="52F981AE" w14:textId="035C4550" w:rsidR="003C1BA0" w:rsidRPr="000E4A30" w:rsidRDefault="003C1BA0">
      <w:pPr>
        <w:pStyle w:val="TOC5"/>
        <w:rPr>
          <w:rFonts w:ascii="Arial" w:hAnsi="Arial" w:cs="Arial"/>
          <w:noProof/>
          <w:kern w:val="2"/>
          <w:sz w:val="20"/>
          <w:szCs w:val="20"/>
          <w14:ligatures w14:val="standardContextual"/>
        </w:rPr>
      </w:pPr>
      <w:hyperlink w:anchor="_Toc225877773" w:history="1">
        <w:r w:rsidRPr="000E4A30">
          <w:rPr>
            <w:rStyle w:val="Hyperlink"/>
            <w:rFonts w:ascii="Arial" w:hAnsi="Arial" w:cs="Arial"/>
            <w:noProof/>
            <w:sz w:val="20"/>
            <w:szCs w:val="20"/>
          </w:rPr>
          <w:t>Accountability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_Toc225877773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217</w:t>
        </w:r>
        <w:r w:rsidRPr="000E4A30">
          <w:rPr>
            <w:rFonts w:ascii="Arial" w:hAnsi="Arial" w:cs="Arial"/>
            <w:noProof/>
            <w:webHidden/>
            <w:sz w:val="20"/>
            <w:szCs w:val="20"/>
          </w:rPr>
          <w:fldChar w:fldCharType="end"/>
        </w:r>
      </w:hyperlink>
    </w:p>
    <w:p w14:paraId="48F0D297" w14:textId="30B2D4E2" w:rsidR="003C1BA0" w:rsidRPr="000E4A30" w:rsidRDefault="003C1BA0">
      <w:pPr>
        <w:pStyle w:val="TOC5"/>
        <w:rPr>
          <w:rFonts w:ascii="Arial" w:hAnsi="Arial" w:cs="Arial"/>
          <w:noProof/>
          <w:kern w:val="2"/>
          <w:sz w:val="20"/>
          <w:szCs w:val="20"/>
          <w14:ligatures w14:val="standardContextual"/>
        </w:rPr>
      </w:pPr>
      <w:hyperlink w:anchor="_Toc225877774" w:history="1">
        <w:r w:rsidRPr="000E4A30">
          <w:rPr>
            <w:rStyle w:val="Hyperlink"/>
            <w:rFonts w:ascii="Arial" w:hAnsi="Arial" w:cs="Arial"/>
            <w:noProof/>
            <w:sz w:val="20"/>
            <w:szCs w:val="20"/>
          </w:rPr>
          <w:t>Ability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_Toc225877774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218</w:t>
        </w:r>
        <w:r w:rsidRPr="000E4A30">
          <w:rPr>
            <w:rFonts w:ascii="Arial" w:hAnsi="Arial" w:cs="Arial"/>
            <w:noProof/>
            <w:webHidden/>
            <w:sz w:val="20"/>
            <w:szCs w:val="20"/>
          </w:rPr>
          <w:fldChar w:fldCharType="end"/>
        </w:r>
      </w:hyperlink>
    </w:p>
    <w:p w14:paraId="59CBD7A6" w14:textId="09815144" w:rsidR="003C1BA0" w:rsidRPr="000E4A30" w:rsidRDefault="003C1BA0">
      <w:pPr>
        <w:pStyle w:val="TOC5"/>
        <w:rPr>
          <w:rFonts w:ascii="Arial" w:hAnsi="Arial" w:cs="Arial"/>
          <w:noProof/>
          <w:kern w:val="2"/>
          <w:sz w:val="20"/>
          <w:szCs w:val="20"/>
          <w14:ligatures w14:val="standardContextual"/>
        </w:rPr>
      </w:pPr>
      <w:hyperlink w:anchor="_Toc225877775" w:history="1">
        <w:r w:rsidRPr="000E4A30">
          <w:rPr>
            <w:rStyle w:val="Hyperlink"/>
            <w:rFonts w:ascii="Arial" w:hAnsi="Arial" w:cs="Arial"/>
            <w:noProof/>
            <w:sz w:val="20"/>
            <w:szCs w:val="20"/>
          </w:rPr>
          <w:t>Action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_Toc225877775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218</w:t>
        </w:r>
        <w:r w:rsidRPr="000E4A30">
          <w:rPr>
            <w:rFonts w:ascii="Arial" w:hAnsi="Arial" w:cs="Arial"/>
            <w:noProof/>
            <w:webHidden/>
            <w:sz w:val="20"/>
            <w:szCs w:val="20"/>
          </w:rPr>
          <w:fldChar w:fldCharType="end"/>
        </w:r>
      </w:hyperlink>
    </w:p>
    <w:p w14:paraId="7C1CF19D" w14:textId="0FA344B6" w:rsidR="003C1BA0" w:rsidRPr="000E4A30" w:rsidRDefault="003C1BA0">
      <w:pPr>
        <w:pStyle w:val="TOC4"/>
        <w:rPr>
          <w:rFonts w:eastAsiaTheme="minorEastAsia" w:cs="Arial"/>
          <w:noProof/>
          <w:kern w:val="2"/>
          <w14:ligatures w14:val="standardContextual"/>
        </w:rPr>
      </w:pPr>
      <w:hyperlink w:anchor="_Toc225877776" w:history="1">
        <w:r w:rsidRPr="000E4A30">
          <w:rPr>
            <w:rStyle w:val="Hyperlink"/>
            <w:rFonts w:cs="Arial"/>
            <w:noProof/>
          </w:rPr>
          <w:t>6B: NQF Safe Practice #2 – Culture Measurement, Feedback, and Intervention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_Toc225877776 \h </w:instrText>
        </w:r>
        <w:r w:rsidRPr="000E4A30">
          <w:rPr>
            <w:rFonts w:cs="Arial"/>
            <w:noProof/>
            <w:webHidden/>
          </w:rPr>
        </w:r>
        <w:r w:rsidRPr="000E4A30">
          <w:rPr>
            <w:rFonts w:cs="Arial"/>
            <w:noProof/>
            <w:webHidden/>
          </w:rPr>
          <w:fldChar w:fldCharType="separate"/>
        </w:r>
        <w:r w:rsidR="002C0DFB">
          <w:rPr>
            <w:rFonts w:cs="Arial"/>
            <w:noProof/>
            <w:webHidden/>
          </w:rPr>
          <w:t>219</w:t>
        </w:r>
        <w:r w:rsidRPr="000E4A30">
          <w:rPr>
            <w:rFonts w:cs="Arial"/>
            <w:noProof/>
            <w:webHidden/>
          </w:rPr>
          <w:fldChar w:fldCharType="end"/>
        </w:r>
      </w:hyperlink>
    </w:p>
    <w:p w14:paraId="7D6E0CF7" w14:textId="3BCDBD94" w:rsidR="003C1BA0" w:rsidRPr="000E4A30" w:rsidRDefault="003C1BA0">
      <w:pPr>
        <w:pStyle w:val="TOC5"/>
        <w:rPr>
          <w:rFonts w:ascii="Arial" w:hAnsi="Arial" w:cs="Arial"/>
          <w:noProof/>
          <w:kern w:val="2"/>
          <w:sz w:val="20"/>
          <w:szCs w:val="20"/>
          <w14:ligatures w14:val="standardContextual"/>
        </w:rPr>
      </w:pPr>
      <w:hyperlink w:anchor="_Toc225877777" w:history="1">
        <w:r w:rsidRPr="000E4A30">
          <w:rPr>
            <w:rStyle w:val="Hyperlink"/>
            <w:rFonts w:ascii="Arial" w:hAnsi="Arial" w:cs="Arial"/>
            <w:noProof/>
            <w:sz w:val="20"/>
            <w:szCs w:val="20"/>
          </w:rPr>
          <w:t>Awareness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_Toc225877777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219</w:t>
        </w:r>
        <w:r w:rsidRPr="000E4A30">
          <w:rPr>
            <w:rFonts w:ascii="Arial" w:hAnsi="Arial" w:cs="Arial"/>
            <w:noProof/>
            <w:webHidden/>
            <w:sz w:val="20"/>
            <w:szCs w:val="20"/>
          </w:rPr>
          <w:fldChar w:fldCharType="end"/>
        </w:r>
      </w:hyperlink>
    </w:p>
    <w:p w14:paraId="01F46688" w14:textId="0DA2AF2A" w:rsidR="003C1BA0" w:rsidRPr="000E4A30" w:rsidRDefault="003C1BA0">
      <w:pPr>
        <w:pStyle w:val="TOC5"/>
        <w:rPr>
          <w:rFonts w:ascii="Arial" w:hAnsi="Arial" w:cs="Arial"/>
          <w:noProof/>
          <w:kern w:val="2"/>
          <w:sz w:val="20"/>
          <w:szCs w:val="20"/>
          <w14:ligatures w14:val="standardContextual"/>
        </w:rPr>
      </w:pPr>
      <w:hyperlink w:anchor="_Toc225877778" w:history="1">
        <w:r w:rsidRPr="000E4A30">
          <w:rPr>
            <w:rStyle w:val="Hyperlink"/>
            <w:rFonts w:ascii="Arial" w:hAnsi="Arial" w:cs="Arial"/>
            <w:noProof/>
            <w:sz w:val="20"/>
            <w:szCs w:val="20"/>
          </w:rPr>
          <w:t>Accountability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_Toc225877778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219</w:t>
        </w:r>
        <w:r w:rsidRPr="000E4A30">
          <w:rPr>
            <w:rFonts w:ascii="Arial" w:hAnsi="Arial" w:cs="Arial"/>
            <w:noProof/>
            <w:webHidden/>
            <w:sz w:val="20"/>
            <w:szCs w:val="20"/>
          </w:rPr>
          <w:fldChar w:fldCharType="end"/>
        </w:r>
      </w:hyperlink>
    </w:p>
    <w:p w14:paraId="180E1A31" w14:textId="0625B909" w:rsidR="003C1BA0" w:rsidRPr="000E4A30" w:rsidRDefault="003C1BA0">
      <w:pPr>
        <w:pStyle w:val="TOC5"/>
        <w:rPr>
          <w:rFonts w:ascii="Arial" w:hAnsi="Arial" w:cs="Arial"/>
          <w:noProof/>
          <w:kern w:val="2"/>
          <w:sz w:val="20"/>
          <w:szCs w:val="20"/>
          <w14:ligatures w14:val="standardContextual"/>
        </w:rPr>
      </w:pPr>
      <w:hyperlink w:anchor="_Toc225877779" w:history="1">
        <w:r w:rsidRPr="000E4A30">
          <w:rPr>
            <w:rStyle w:val="Hyperlink"/>
            <w:rFonts w:ascii="Arial" w:hAnsi="Arial" w:cs="Arial"/>
            <w:noProof/>
            <w:sz w:val="20"/>
            <w:szCs w:val="20"/>
          </w:rPr>
          <w:t>Ability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_Toc225877779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220</w:t>
        </w:r>
        <w:r w:rsidRPr="000E4A30">
          <w:rPr>
            <w:rFonts w:ascii="Arial" w:hAnsi="Arial" w:cs="Arial"/>
            <w:noProof/>
            <w:webHidden/>
            <w:sz w:val="20"/>
            <w:szCs w:val="20"/>
          </w:rPr>
          <w:fldChar w:fldCharType="end"/>
        </w:r>
      </w:hyperlink>
    </w:p>
    <w:p w14:paraId="700F98C6" w14:textId="052619D4" w:rsidR="003C1BA0" w:rsidRPr="000E4A30" w:rsidRDefault="003C1BA0">
      <w:pPr>
        <w:pStyle w:val="TOC5"/>
        <w:rPr>
          <w:rFonts w:ascii="Arial" w:hAnsi="Arial" w:cs="Arial"/>
          <w:noProof/>
          <w:kern w:val="2"/>
          <w:sz w:val="20"/>
          <w:szCs w:val="20"/>
          <w14:ligatures w14:val="standardContextual"/>
        </w:rPr>
      </w:pPr>
      <w:hyperlink w:anchor="_Toc225877780" w:history="1">
        <w:r w:rsidRPr="000E4A30">
          <w:rPr>
            <w:rStyle w:val="Hyperlink"/>
            <w:rFonts w:ascii="Arial" w:hAnsi="Arial" w:cs="Arial"/>
            <w:noProof/>
            <w:sz w:val="20"/>
            <w:szCs w:val="20"/>
          </w:rPr>
          <w:t>Action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_Toc225877780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220</w:t>
        </w:r>
        <w:r w:rsidRPr="000E4A30">
          <w:rPr>
            <w:rFonts w:ascii="Arial" w:hAnsi="Arial" w:cs="Arial"/>
            <w:noProof/>
            <w:webHidden/>
            <w:sz w:val="20"/>
            <w:szCs w:val="20"/>
          </w:rPr>
          <w:fldChar w:fldCharType="end"/>
        </w:r>
      </w:hyperlink>
    </w:p>
    <w:p w14:paraId="2164E602" w14:textId="2284C1AE" w:rsidR="003C1BA0" w:rsidRPr="000E4A30" w:rsidRDefault="003C1BA0">
      <w:pPr>
        <w:pStyle w:val="TOC4"/>
        <w:rPr>
          <w:rFonts w:eastAsiaTheme="minorEastAsia" w:cs="Arial"/>
          <w:noProof/>
          <w:kern w:val="2"/>
          <w14:ligatures w14:val="standardContextual"/>
        </w:rPr>
      </w:pPr>
      <w:hyperlink w:anchor="_Toc225877781" w:history="1">
        <w:r w:rsidRPr="000E4A30">
          <w:rPr>
            <w:rStyle w:val="Hyperlink"/>
            <w:rFonts w:cs="Arial"/>
            <w:noProof/>
          </w:rPr>
          <w:t>6C: Hand Hygiene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_Toc225877781 \h </w:instrText>
        </w:r>
        <w:r w:rsidRPr="000E4A30">
          <w:rPr>
            <w:rFonts w:cs="Arial"/>
            <w:noProof/>
            <w:webHidden/>
          </w:rPr>
        </w:r>
        <w:r w:rsidRPr="000E4A30">
          <w:rPr>
            <w:rFonts w:cs="Arial"/>
            <w:noProof/>
            <w:webHidden/>
          </w:rPr>
          <w:fldChar w:fldCharType="separate"/>
        </w:r>
        <w:r w:rsidR="002C0DFB">
          <w:rPr>
            <w:rFonts w:cs="Arial"/>
            <w:noProof/>
            <w:webHidden/>
          </w:rPr>
          <w:t>221</w:t>
        </w:r>
        <w:r w:rsidRPr="000E4A30">
          <w:rPr>
            <w:rFonts w:cs="Arial"/>
            <w:noProof/>
            <w:webHidden/>
          </w:rPr>
          <w:fldChar w:fldCharType="end"/>
        </w:r>
      </w:hyperlink>
    </w:p>
    <w:p w14:paraId="36D89ACB" w14:textId="73C815D0" w:rsidR="003C1BA0" w:rsidRPr="000E4A30" w:rsidRDefault="003C1BA0">
      <w:pPr>
        <w:pStyle w:val="TOC5"/>
        <w:rPr>
          <w:rFonts w:ascii="Arial" w:hAnsi="Arial" w:cs="Arial"/>
          <w:noProof/>
          <w:kern w:val="2"/>
          <w:sz w:val="20"/>
          <w:szCs w:val="20"/>
          <w14:ligatures w14:val="standardContextual"/>
        </w:rPr>
      </w:pPr>
      <w:hyperlink w:anchor="_Toc225877782" w:history="1">
        <w:r w:rsidRPr="000E4A30">
          <w:rPr>
            <w:rStyle w:val="Hyperlink"/>
            <w:rFonts w:ascii="Arial" w:hAnsi="Arial" w:cs="Arial"/>
            <w:noProof/>
            <w:sz w:val="20"/>
            <w:szCs w:val="20"/>
          </w:rPr>
          <w:t>Training and Education</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_Toc225877782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221</w:t>
        </w:r>
        <w:r w:rsidRPr="000E4A30">
          <w:rPr>
            <w:rFonts w:ascii="Arial" w:hAnsi="Arial" w:cs="Arial"/>
            <w:noProof/>
            <w:webHidden/>
            <w:sz w:val="20"/>
            <w:szCs w:val="20"/>
          </w:rPr>
          <w:fldChar w:fldCharType="end"/>
        </w:r>
      </w:hyperlink>
    </w:p>
    <w:p w14:paraId="2EB71CD6" w14:textId="1EB7B384" w:rsidR="003C1BA0" w:rsidRPr="000E4A30" w:rsidRDefault="003C1BA0">
      <w:pPr>
        <w:pStyle w:val="TOC5"/>
        <w:rPr>
          <w:rFonts w:ascii="Arial" w:hAnsi="Arial" w:cs="Arial"/>
          <w:noProof/>
          <w:kern w:val="2"/>
          <w:sz w:val="20"/>
          <w:szCs w:val="20"/>
          <w14:ligatures w14:val="standardContextual"/>
        </w:rPr>
      </w:pPr>
      <w:hyperlink w:anchor="_Toc225877783" w:history="1">
        <w:r w:rsidRPr="000E4A30">
          <w:rPr>
            <w:rStyle w:val="Hyperlink"/>
            <w:rFonts w:ascii="Arial" w:hAnsi="Arial" w:cs="Arial"/>
            <w:noProof/>
            <w:sz w:val="20"/>
            <w:szCs w:val="20"/>
          </w:rPr>
          <w:t>Infrastructure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_Toc225877783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222</w:t>
        </w:r>
        <w:r w:rsidRPr="000E4A30">
          <w:rPr>
            <w:rFonts w:ascii="Arial" w:hAnsi="Arial" w:cs="Arial"/>
            <w:noProof/>
            <w:webHidden/>
            <w:sz w:val="20"/>
            <w:szCs w:val="20"/>
          </w:rPr>
          <w:fldChar w:fldCharType="end"/>
        </w:r>
      </w:hyperlink>
    </w:p>
    <w:p w14:paraId="41DA1555" w14:textId="6CFC7E41" w:rsidR="003C1BA0" w:rsidRPr="000E4A30" w:rsidRDefault="003C1BA0">
      <w:pPr>
        <w:pStyle w:val="TOC5"/>
        <w:rPr>
          <w:rFonts w:ascii="Arial" w:hAnsi="Arial" w:cs="Arial"/>
          <w:noProof/>
          <w:kern w:val="2"/>
          <w:sz w:val="20"/>
          <w:szCs w:val="20"/>
          <w14:ligatures w14:val="standardContextual"/>
        </w:rPr>
      </w:pPr>
      <w:hyperlink w:anchor="_Toc225877784" w:history="1">
        <w:r w:rsidRPr="000E4A30">
          <w:rPr>
            <w:rStyle w:val="Hyperlink"/>
            <w:rFonts w:ascii="Arial" w:hAnsi="Arial" w:cs="Arial"/>
            <w:noProof/>
            <w:sz w:val="20"/>
            <w:szCs w:val="20"/>
          </w:rPr>
          <w:t>Monitoring</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_Toc225877784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223</w:t>
        </w:r>
        <w:r w:rsidRPr="000E4A30">
          <w:rPr>
            <w:rFonts w:ascii="Arial" w:hAnsi="Arial" w:cs="Arial"/>
            <w:noProof/>
            <w:webHidden/>
            <w:sz w:val="20"/>
            <w:szCs w:val="20"/>
          </w:rPr>
          <w:fldChar w:fldCharType="end"/>
        </w:r>
      </w:hyperlink>
    </w:p>
    <w:p w14:paraId="667144AE" w14:textId="6299A0AC" w:rsidR="003C1BA0" w:rsidRPr="000E4A30" w:rsidRDefault="003C1BA0">
      <w:pPr>
        <w:pStyle w:val="TOC5"/>
        <w:rPr>
          <w:rFonts w:ascii="Arial" w:hAnsi="Arial" w:cs="Arial"/>
          <w:noProof/>
          <w:kern w:val="2"/>
          <w:sz w:val="20"/>
          <w:szCs w:val="20"/>
          <w14:ligatures w14:val="standardContextual"/>
        </w:rPr>
      </w:pPr>
      <w:hyperlink w:anchor="_Toc225877785" w:history="1">
        <w:r w:rsidRPr="000E4A30">
          <w:rPr>
            <w:rStyle w:val="Hyperlink"/>
            <w:rFonts w:ascii="Arial" w:hAnsi="Arial" w:cs="Arial"/>
            <w:noProof/>
            <w:sz w:val="20"/>
            <w:szCs w:val="20"/>
          </w:rPr>
          <w:t>Feedback</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_Toc225877785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226</w:t>
        </w:r>
        <w:r w:rsidRPr="000E4A30">
          <w:rPr>
            <w:rFonts w:ascii="Arial" w:hAnsi="Arial" w:cs="Arial"/>
            <w:noProof/>
            <w:webHidden/>
            <w:sz w:val="20"/>
            <w:szCs w:val="20"/>
          </w:rPr>
          <w:fldChar w:fldCharType="end"/>
        </w:r>
      </w:hyperlink>
    </w:p>
    <w:p w14:paraId="2264A925" w14:textId="41B279ED" w:rsidR="003C1BA0" w:rsidRPr="000E4A30" w:rsidRDefault="003C1BA0">
      <w:pPr>
        <w:pStyle w:val="TOC5"/>
        <w:rPr>
          <w:rFonts w:ascii="Arial" w:hAnsi="Arial" w:cs="Arial"/>
          <w:noProof/>
          <w:kern w:val="2"/>
          <w:sz w:val="20"/>
          <w:szCs w:val="20"/>
          <w14:ligatures w14:val="standardContextual"/>
        </w:rPr>
      </w:pPr>
      <w:hyperlink w:anchor="_Toc225877786" w:history="1">
        <w:r w:rsidRPr="000E4A30">
          <w:rPr>
            <w:rStyle w:val="Hyperlink"/>
            <w:rFonts w:ascii="Arial" w:hAnsi="Arial" w:cs="Arial"/>
            <w:noProof/>
            <w:sz w:val="20"/>
            <w:szCs w:val="20"/>
          </w:rPr>
          <w:t>Culture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_Toc225877786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226</w:t>
        </w:r>
        <w:r w:rsidRPr="000E4A30">
          <w:rPr>
            <w:rFonts w:ascii="Arial" w:hAnsi="Arial" w:cs="Arial"/>
            <w:noProof/>
            <w:webHidden/>
            <w:sz w:val="20"/>
            <w:szCs w:val="20"/>
          </w:rPr>
          <w:fldChar w:fldCharType="end"/>
        </w:r>
      </w:hyperlink>
    </w:p>
    <w:p w14:paraId="0AB9B36E" w14:textId="077FCCC3" w:rsidR="003C1BA0" w:rsidRPr="000E4A30" w:rsidRDefault="003C1BA0">
      <w:pPr>
        <w:pStyle w:val="TOC4"/>
        <w:rPr>
          <w:rFonts w:eastAsiaTheme="minorEastAsia" w:cs="Arial"/>
          <w:noProof/>
          <w:kern w:val="2"/>
          <w14:ligatures w14:val="standardContextual"/>
        </w:rPr>
      </w:pPr>
      <w:hyperlink w:anchor="_Toc225877787" w:history="1">
        <w:r w:rsidRPr="000E4A30">
          <w:rPr>
            <w:rStyle w:val="Hyperlink"/>
            <w:rFonts w:cs="Arial"/>
            <w:noProof/>
          </w:rPr>
          <w:t>6D: Diagnostic Excellence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_Toc225877787 \h </w:instrText>
        </w:r>
        <w:r w:rsidRPr="000E4A30">
          <w:rPr>
            <w:rFonts w:cs="Arial"/>
            <w:noProof/>
            <w:webHidden/>
          </w:rPr>
        </w:r>
        <w:r w:rsidRPr="000E4A30">
          <w:rPr>
            <w:rFonts w:cs="Arial"/>
            <w:noProof/>
            <w:webHidden/>
          </w:rPr>
          <w:fldChar w:fldCharType="separate"/>
        </w:r>
        <w:r w:rsidR="002C0DFB">
          <w:rPr>
            <w:rFonts w:cs="Arial"/>
            <w:noProof/>
            <w:webHidden/>
          </w:rPr>
          <w:t>227</w:t>
        </w:r>
        <w:r w:rsidRPr="000E4A30">
          <w:rPr>
            <w:rFonts w:cs="Arial"/>
            <w:noProof/>
            <w:webHidden/>
          </w:rPr>
          <w:fldChar w:fldCharType="end"/>
        </w:r>
      </w:hyperlink>
    </w:p>
    <w:p w14:paraId="11254547" w14:textId="26C05C27" w:rsidR="003C1BA0" w:rsidRPr="000E4A30" w:rsidRDefault="003C1BA0">
      <w:pPr>
        <w:pStyle w:val="TOC5"/>
        <w:rPr>
          <w:rFonts w:ascii="Arial" w:hAnsi="Arial" w:cs="Arial"/>
          <w:noProof/>
          <w:kern w:val="2"/>
          <w:sz w:val="20"/>
          <w:szCs w:val="20"/>
          <w14:ligatures w14:val="standardContextual"/>
        </w:rPr>
      </w:pPr>
      <w:hyperlink w:anchor="_Toc225877788" w:history="1">
        <w:r w:rsidRPr="000E4A30">
          <w:rPr>
            <w:rStyle w:val="Hyperlink"/>
            <w:rFonts w:ascii="Arial" w:hAnsi="Arial" w:cs="Arial"/>
            <w:noProof/>
            <w:sz w:val="20"/>
            <w:szCs w:val="20"/>
          </w:rPr>
          <w:t>Convening a Multidisciplinary Team Focused on Diagnostic Excellence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_Toc225877788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227</w:t>
        </w:r>
        <w:r w:rsidRPr="000E4A30">
          <w:rPr>
            <w:rFonts w:ascii="Arial" w:hAnsi="Arial" w:cs="Arial"/>
            <w:noProof/>
            <w:webHidden/>
            <w:sz w:val="20"/>
            <w:szCs w:val="20"/>
          </w:rPr>
          <w:fldChar w:fldCharType="end"/>
        </w:r>
      </w:hyperlink>
    </w:p>
    <w:p w14:paraId="5DDF5EC0" w14:textId="7C281D82" w:rsidR="003C1BA0" w:rsidRPr="000E4A30" w:rsidRDefault="003C1BA0">
      <w:pPr>
        <w:pStyle w:val="TOC5"/>
        <w:rPr>
          <w:rFonts w:ascii="Arial" w:hAnsi="Arial" w:cs="Arial"/>
          <w:noProof/>
          <w:kern w:val="2"/>
          <w:sz w:val="20"/>
          <w:szCs w:val="20"/>
          <w14:ligatures w14:val="standardContextual"/>
        </w:rPr>
      </w:pPr>
      <w:hyperlink w:anchor="_Toc225877789" w:history="1">
        <w:r w:rsidRPr="000E4A30">
          <w:rPr>
            <w:rStyle w:val="Hyperlink"/>
            <w:rFonts w:ascii="Arial" w:hAnsi="Arial" w:cs="Arial"/>
            <w:noProof/>
            <w:sz w:val="20"/>
            <w:szCs w:val="20"/>
          </w:rPr>
          <w:t>Training on Communication to Reduce Errors in the Diagnostic Process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_Toc225877789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228</w:t>
        </w:r>
        <w:r w:rsidRPr="000E4A30">
          <w:rPr>
            <w:rFonts w:ascii="Arial" w:hAnsi="Arial" w:cs="Arial"/>
            <w:noProof/>
            <w:webHidden/>
            <w:sz w:val="20"/>
            <w:szCs w:val="20"/>
          </w:rPr>
          <w:fldChar w:fldCharType="end"/>
        </w:r>
      </w:hyperlink>
    </w:p>
    <w:p w14:paraId="5D42E129" w14:textId="3CB4B54D" w:rsidR="003C1BA0" w:rsidRPr="000E4A30" w:rsidRDefault="003C1BA0">
      <w:pPr>
        <w:pStyle w:val="TOC4"/>
        <w:rPr>
          <w:rFonts w:eastAsiaTheme="minorEastAsia" w:cs="Arial"/>
          <w:noProof/>
          <w:kern w:val="2"/>
          <w14:ligatures w14:val="standardContextual"/>
        </w:rPr>
      </w:pPr>
      <w:hyperlink w:anchor="_Toc225877790" w:history="1">
        <w:r w:rsidRPr="000E4A30">
          <w:rPr>
            <w:rStyle w:val="Hyperlink"/>
            <w:rFonts w:cs="Arial"/>
            <w:noProof/>
          </w:rPr>
          <w:t>6E: Hospital Boarding in the Emergency Department (ED) (Optional – Fact-Finding Only)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_Toc225877790 \h </w:instrText>
        </w:r>
        <w:r w:rsidRPr="000E4A30">
          <w:rPr>
            <w:rFonts w:cs="Arial"/>
            <w:noProof/>
            <w:webHidden/>
          </w:rPr>
        </w:r>
        <w:r w:rsidRPr="000E4A30">
          <w:rPr>
            <w:rFonts w:cs="Arial"/>
            <w:noProof/>
            <w:webHidden/>
          </w:rPr>
          <w:fldChar w:fldCharType="separate"/>
        </w:r>
        <w:r w:rsidR="002C0DFB">
          <w:rPr>
            <w:rFonts w:cs="Arial"/>
            <w:noProof/>
            <w:webHidden/>
          </w:rPr>
          <w:t>229</w:t>
        </w:r>
        <w:r w:rsidRPr="000E4A30">
          <w:rPr>
            <w:rFonts w:cs="Arial"/>
            <w:noProof/>
            <w:webHidden/>
          </w:rPr>
          <w:fldChar w:fldCharType="end"/>
        </w:r>
      </w:hyperlink>
    </w:p>
    <w:p w14:paraId="69C4D3EF" w14:textId="5B33D71D" w:rsidR="003C1BA0" w:rsidRPr="000E4A30" w:rsidRDefault="003C1BA0">
      <w:pPr>
        <w:pStyle w:val="TOC4"/>
        <w:rPr>
          <w:rFonts w:eastAsiaTheme="minorEastAsia" w:cs="Arial"/>
          <w:noProof/>
          <w:kern w:val="2"/>
          <w14:ligatures w14:val="standardContextual"/>
        </w:rPr>
      </w:pPr>
      <w:hyperlink w:anchor="_Toc225877791" w:history="1">
        <w:r w:rsidRPr="000E4A30">
          <w:rPr>
            <w:rStyle w:val="Hyperlink"/>
            <w:rFonts w:cs="Arial"/>
            <w:noProof/>
          </w:rPr>
          <w:t>Section 6: Patient Safety Practices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_Toc225877791 \h </w:instrText>
        </w:r>
        <w:r w:rsidRPr="000E4A30">
          <w:rPr>
            <w:rFonts w:cs="Arial"/>
            <w:noProof/>
            <w:webHidden/>
          </w:rPr>
        </w:r>
        <w:r w:rsidRPr="000E4A30">
          <w:rPr>
            <w:rFonts w:cs="Arial"/>
            <w:noProof/>
            <w:webHidden/>
          </w:rPr>
          <w:fldChar w:fldCharType="separate"/>
        </w:r>
        <w:r w:rsidR="002C0DFB">
          <w:rPr>
            <w:rFonts w:cs="Arial"/>
            <w:noProof/>
            <w:webHidden/>
          </w:rPr>
          <w:t>233</w:t>
        </w:r>
        <w:r w:rsidRPr="000E4A30">
          <w:rPr>
            <w:rFonts w:cs="Arial"/>
            <w:noProof/>
            <w:webHidden/>
          </w:rPr>
          <w:fldChar w:fldCharType="end"/>
        </w:r>
      </w:hyperlink>
    </w:p>
    <w:p w14:paraId="3F036332" w14:textId="01914EAA" w:rsidR="003C1BA0" w:rsidRPr="000E4A30" w:rsidRDefault="003C1BA0">
      <w:pPr>
        <w:pStyle w:val="TOC5"/>
        <w:rPr>
          <w:rFonts w:ascii="Arial" w:hAnsi="Arial" w:cs="Arial"/>
          <w:noProof/>
          <w:kern w:val="2"/>
          <w:sz w:val="20"/>
          <w:szCs w:val="20"/>
          <w14:ligatures w14:val="standardContextual"/>
        </w:rPr>
      </w:pPr>
      <w:hyperlink w:anchor="_Toc225877792"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_Toc225877792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233</w:t>
        </w:r>
        <w:r w:rsidRPr="000E4A30">
          <w:rPr>
            <w:rFonts w:ascii="Arial" w:hAnsi="Arial" w:cs="Arial"/>
            <w:noProof/>
            <w:webHidden/>
            <w:sz w:val="20"/>
            <w:szCs w:val="20"/>
          </w:rPr>
          <w:fldChar w:fldCharType="end"/>
        </w:r>
      </w:hyperlink>
    </w:p>
    <w:p w14:paraId="00015A2C" w14:textId="6BD8427D" w:rsidR="003C1BA0" w:rsidRPr="000E4A30" w:rsidRDefault="003C1BA0">
      <w:pPr>
        <w:pStyle w:val="TOC5"/>
        <w:rPr>
          <w:rFonts w:ascii="Arial" w:hAnsi="Arial" w:cs="Arial"/>
          <w:noProof/>
          <w:kern w:val="2"/>
          <w:sz w:val="20"/>
          <w:szCs w:val="20"/>
          <w14:ligatures w14:val="standardContextual"/>
        </w:rPr>
      </w:pPr>
      <w:hyperlink w:anchor="_Toc225877793" w:history="1">
        <w:r w:rsidRPr="002A777C">
          <w:rPr>
            <w:rStyle w:val="Hyperlink"/>
            <w:rFonts w:ascii="Arial" w:hAnsi="Arial" w:cs="Arial"/>
            <w:noProof/>
            <w:sz w:val="20"/>
            <w:szCs w:val="20"/>
            <w:highlight w:val="yellow"/>
          </w:rPr>
          <w:t>Change Summary Since Release</w:t>
        </w:r>
        <w:r w:rsidRPr="002A777C">
          <w:rPr>
            <w:rFonts w:ascii="Arial" w:hAnsi="Arial" w:cs="Arial"/>
            <w:noProof/>
            <w:webHidden/>
            <w:sz w:val="20"/>
            <w:szCs w:val="20"/>
            <w:highlight w:val="yellow"/>
          </w:rPr>
          <w:tab/>
        </w:r>
        <w:r w:rsidRPr="002A777C">
          <w:rPr>
            <w:rFonts w:ascii="Arial" w:hAnsi="Arial" w:cs="Arial"/>
            <w:noProof/>
            <w:webHidden/>
            <w:sz w:val="20"/>
            <w:szCs w:val="20"/>
            <w:highlight w:val="yellow"/>
          </w:rPr>
          <w:fldChar w:fldCharType="begin"/>
        </w:r>
        <w:r w:rsidRPr="002A777C">
          <w:rPr>
            <w:rFonts w:ascii="Arial" w:hAnsi="Arial" w:cs="Arial"/>
            <w:noProof/>
            <w:webHidden/>
            <w:sz w:val="20"/>
            <w:szCs w:val="20"/>
            <w:highlight w:val="yellow"/>
          </w:rPr>
          <w:instrText xml:space="preserve"> PAGEREF _Toc225877793 \h </w:instrText>
        </w:r>
        <w:r w:rsidRPr="002A777C">
          <w:rPr>
            <w:rFonts w:ascii="Arial" w:hAnsi="Arial" w:cs="Arial"/>
            <w:noProof/>
            <w:webHidden/>
            <w:sz w:val="20"/>
            <w:szCs w:val="20"/>
            <w:highlight w:val="yellow"/>
          </w:rPr>
        </w:r>
        <w:r w:rsidRPr="002A777C">
          <w:rPr>
            <w:rFonts w:ascii="Arial" w:hAnsi="Arial" w:cs="Arial"/>
            <w:noProof/>
            <w:webHidden/>
            <w:sz w:val="20"/>
            <w:szCs w:val="20"/>
            <w:highlight w:val="yellow"/>
          </w:rPr>
          <w:fldChar w:fldCharType="separate"/>
        </w:r>
        <w:r w:rsidR="002C0DFB" w:rsidRPr="002A777C">
          <w:rPr>
            <w:rFonts w:ascii="Arial" w:hAnsi="Arial" w:cs="Arial"/>
            <w:noProof/>
            <w:webHidden/>
            <w:sz w:val="20"/>
            <w:szCs w:val="20"/>
            <w:highlight w:val="yellow"/>
          </w:rPr>
          <w:t>236</w:t>
        </w:r>
        <w:r w:rsidRPr="002A777C">
          <w:rPr>
            <w:rFonts w:ascii="Arial" w:hAnsi="Arial" w:cs="Arial"/>
            <w:noProof/>
            <w:webHidden/>
            <w:sz w:val="20"/>
            <w:szCs w:val="20"/>
            <w:highlight w:val="yellow"/>
          </w:rPr>
          <w:fldChar w:fldCharType="end"/>
        </w:r>
      </w:hyperlink>
    </w:p>
    <w:p w14:paraId="4EECF7C4" w14:textId="6C6C9241" w:rsidR="003C1BA0" w:rsidRPr="000E4A30" w:rsidRDefault="003C1BA0">
      <w:pPr>
        <w:pStyle w:val="TOC4"/>
        <w:rPr>
          <w:rFonts w:eastAsiaTheme="minorEastAsia" w:cs="Arial"/>
          <w:noProof/>
          <w:kern w:val="2"/>
          <w14:ligatures w14:val="standardContextual"/>
        </w:rPr>
      </w:pPr>
      <w:hyperlink w:anchor="_Toc225877794" w:history="1">
        <w:r w:rsidRPr="000E4A30">
          <w:rPr>
            <w:rStyle w:val="Hyperlink"/>
            <w:rFonts w:cs="Arial"/>
            <w:noProof/>
          </w:rPr>
          <w:t>Section 6: Patient Safety Practices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_Toc225877794 \h </w:instrText>
        </w:r>
        <w:r w:rsidRPr="000E4A30">
          <w:rPr>
            <w:rFonts w:cs="Arial"/>
            <w:noProof/>
            <w:webHidden/>
          </w:rPr>
        </w:r>
        <w:r w:rsidRPr="000E4A30">
          <w:rPr>
            <w:rFonts w:cs="Arial"/>
            <w:noProof/>
            <w:webHidden/>
          </w:rPr>
          <w:fldChar w:fldCharType="separate"/>
        </w:r>
        <w:r w:rsidR="002C0DFB">
          <w:rPr>
            <w:rFonts w:cs="Arial"/>
            <w:noProof/>
            <w:webHidden/>
          </w:rPr>
          <w:t>237</w:t>
        </w:r>
        <w:r w:rsidRPr="000E4A30">
          <w:rPr>
            <w:rFonts w:cs="Arial"/>
            <w:noProof/>
            <w:webHidden/>
          </w:rPr>
          <w:fldChar w:fldCharType="end"/>
        </w:r>
      </w:hyperlink>
    </w:p>
    <w:p w14:paraId="73E9F35E" w14:textId="7B81F534" w:rsidR="003C1BA0" w:rsidRPr="000E4A30" w:rsidRDefault="003C1BA0">
      <w:pPr>
        <w:pStyle w:val="TOC5"/>
        <w:rPr>
          <w:rFonts w:ascii="Arial" w:hAnsi="Arial" w:cs="Arial"/>
          <w:noProof/>
          <w:kern w:val="2"/>
          <w:sz w:val="20"/>
          <w:szCs w:val="20"/>
          <w14:ligatures w14:val="standardContextual"/>
        </w:rPr>
      </w:pPr>
      <w:hyperlink w:anchor="_Toc225877795" w:history="1">
        <w:r w:rsidRPr="000E4A30">
          <w:rPr>
            <w:rStyle w:val="Hyperlink"/>
            <w:rFonts w:ascii="Arial" w:hAnsi="Arial" w:cs="Arial"/>
            <w:noProof/>
            <w:sz w:val="20"/>
            <w:szCs w:val="20"/>
          </w:rPr>
          <w:t>NQF Safe Practice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_Toc225877795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237</w:t>
        </w:r>
        <w:r w:rsidRPr="000E4A30">
          <w:rPr>
            <w:rFonts w:ascii="Arial" w:hAnsi="Arial" w:cs="Arial"/>
            <w:noProof/>
            <w:webHidden/>
            <w:sz w:val="20"/>
            <w:szCs w:val="20"/>
          </w:rPr>
          <w:fldChar w:fldCharType="end"/>
        </w:r>
      </w:hyperlink>
    </w:p>
    <w:p w14:paraId="712A4AB1" w14:textId="1BB1D3A1" w:rsidR="003C1BA0" w:rsidRPr="000E4A30" w:rsidRDefault="003C1BA0">
      <w:pPr>
        <w:pStyle w:val="TOC5"/>
        <w:rPr>
          <w:rFonts w:ascii="Arial" w:hAnsi="Arial" w:cs="Arial"/>
          <w:noProof/>
          <w:kern w:val="2"/>
          <w:sz w:val="20"/>
          <w:szCs w:val="20"/>
          <w14:ligatures w14:val="standardContextual"/>
        </w:rPr>
      </w:pPr>
      <w:hyperlink w:anchor="_Toc225877796" w:history="1">
        <w:r w:rsidRPr="000E4A30">
          <w:rPr>
            <w:rStyle w:val="Hyperlink"/>
            <w:rFonts w:ascii="Arial" w:hAnsi="Arial" w:cs="Arial"/>
            <w:noProof/>
            <w:sz w:val="20"/>
            <w:szCs w:val="20"/>
          </w:rPr>
          <w:t>Hand Hygiene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_Toc225877796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238</w:t>
        </w:r>
        <w:r w:rsidRPr="000E4A30">
          <w:rPr>
            <w:rFonts w:ascii="Arial" w:hAnsi="Arial" w:cs="Arial"/>
            <w:noProof/>
            <w:webHidden/>
            <w:sz w:val="20"/>
            <w:szCs w:val="20"/>
          </w:rPr>
          <w:fldChar w:fldCharType="end"/>
        </w:r>
      </w:hyperlink>
    </w:p>
    <w:p w14:paraId="7E8057B7" w14:textId="1841D3FF" w:rsidR="003C1BA0" w:rsidRPr="000E4A30" w:rsidRDefault="003C1BA0">
      <w:pPr>
        <w:pStyle w:val="TOC5"/>
        <w:rPr>
          <w:rFonts w:ascii="Arial" w:hAnsi="Arial" w:cs="Arial"/>
          <w:noProof/>
          <w:kern w:val="2"/>
          <w:sz w:val="20"/>
          <w:szCs w:val="20"/>
          <w14:ligatures w14:val="standardContextual"/>
        </w:rPr>
      </w:pPr>
      <w:hyperlink w:anchor="_Toc225877797" w:history="1">
        <w:r w:rsidRPr="000E4A30">
          <w:rPr>
            <w:rStyle w:val="Hyperlink"/>
            <w:rFonts w:ascii="Arial" w:hAnsi="Arial" w:cs="Arial"/>
            <w:noProof/>
            <w:sz w:val="20"/>
            <w:szCs w:val="20"/>
          </w:rPr>
          <w:t>Hospital Boarding in the Emergency Department (ED) Boarding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_Toc225877797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246</w:t>
        </w:r>
        <w:r w:rsidRPr="000E4A30">
          <w:rPr>
            <w:rFonts w:ascii="Arial" w:hAnsi="Arial" w:cs="Arial"/>
            <w:noProof/>
            <w:webHidden/>
            <w:sz w:val="20"/>
            <w:szCs w:val="20"/>
          </w:rPr>
          <w:fldChar w:fldCharType="end"/>
        </w:r>
      </w:hyperlink>
    </w:p>
    <w:p w14:paraId="1CB20B95" w14:textId="6A96461B" w:rsidR="003C1BA0" w:rsidRPr="000E4A30" w:rsidRDefault="003C1BA0">
      <w:pPr>
        <w:pStyle w:val="TOC4"/>
        <w:rPr>
          <w:rFonts w:eastAsiaTheme="minorEastAsia" w:cs="Arial"/>
          <w:noProof/>
          <w:kern w:val="2"/>
          <w14:ligatures w14:val="standardContextual"/>
        </w:rPr>
      </w:pPr>
      <w:hyperlink w:anchor="_Toc225877798" w:history="1">
        <w:r w:rsidRPr="000E4A30">
          <w:rPr>
            <w:rStyle w:val="Hyperlink"/>
            <w:rFonts w:cs="Arial"/>
            <w:noProof/>
          </w:rPr>
          <w:t>Section 6: Patient Safety Practices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_Toc225877798 \h </w:instrText>
        </w:r>
        <w:r w:rsidRPr="000E4A30">
          <w:rPr>
            <w:rFonts w:cs="Arial"/>
            <w:noProof/>
            <w:webHidden/>
          </w:rPr>
        </w:r>
        <w:r w:rsidRPr="000E4A30">
          <w:rPr>
            <w:rFonts w:cs="Arial"/>
            <w:noProof/>
            <w:webHidden/>
          </w:rPr>
          <w:fldChar w:fldCharType="separate"/>
        </w:r>
        <w:r w:rsidR="002C0DFB">
          <w:rPr>
            <w:rFonts w:cs="Arial"/>
            <w:noProof/>
            <w:webHidden/>
          </w:rPr>
          <w:t>250</w:t>
        </w:r>
        <w:r w:rsidRPr="000E4A30">
          <w:rPr>
            <w:rFonts w:cs="Arial"/>
            <w:noProof/>
            <w:webHidden/>
          </w:rPr>
          <w:fldChar w:fldCharType="end"/>
        </w:r>
      </w:hyperlink>
    </w:p>
    <w:p w14:paraId="75730F98" w14:textId="15888904" w:rsidR="003C1BA0" w:rsidRPr="000E4A30" w:rsidRDefault="003C1BA0">
      <w:pPr>
        <w:pStyle w:val="TOC5"/>
        <w:rPr>
          <w:rFonts w:ascii="Arial" w:hAnsi="Arial" w:cs="Arial"/>
          <w:noProof/>
          <w:kern w:val="2"/>
          <w:sz w:val="20"/>
          <w:szCs w:val="20"/>
          <w14:ligatures w14:val="standardContextual"/>
        </w:rPr>
      </w:pPr>
      <w:hyperlink w:anchor="_Toc225877799" w:history="1">
        <w:r w:rsidRPr="000E4A30">
          <w:rPr>
            <w:rStyle w:val="Hyperlink"/>
            <w:rFonts w:ascii="Arial" w:hAnsi="Arial" w:cs="Arial"/>
            <w:noProof/>
            <w:sz w:val="20"/>
            <w:szCs w:val="20"/>
          </w:rPr>
          <w:t>General Questions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_Toc225877799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250</w:t>
        </w:r>
        <w:r w:rsidRPr="000E4A30">
          <w:rPr>
            <w:rFonts w:ascii="Arial" w:hAnsi="Arial" w:cs="Arial"/>
            <w:noProof/>
            <w:webHidden/>
            <w:sz w:val="20"/>
            <w:szCs w:val="20"/>
          </w:rPr>
          <w:fldChar w:fldCharType="end"/>
        </w:r>
      </w:hyperlink>
    </w:p>
    <w:p w14:paraId="5A2A2A76" w14:textId="25F7C7B9" w:rsidR="003C1BA0" w:rsidRPr="000E4A30" w:rsidRDefault="003C1BA0">
      <w:pPr>
        <w:pStyle w:val="TOC5"/>
        <w:rPr>
          <w:rFonts w:ascii="Arial" w:hAnsi="Arial" w:cs="Arial"/>
          <w:noProof/>
          <w:kern w:val="2"/>
          <w:sz w:val="20"/>
          <w:szCs w:val="20"/>
          <w14:ligatures w14:val="standardContextual"/>
        </w:rPr>
      </w:pPr>
      <w:hyperlink w:anchor="_Toc225877800" w:history="1">
        <w:r w:rsidRPr="000E4A30">
          <w:rPr>
            <w:rStyle w:val="Hyperlink"/>
            <w:rFonts w:ascii="Arial" w:hAnsi="Arial" w:cs="Arial"/>
            <w:noProof/>
            <w:sz w:val="20"/>
            <w:szCs w:val="20"/>
          </w:rPr>
          <w:t>NQF Safe Practice #1 – Leadership Structures and Systems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_Toc225877800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252</w:t>
        </w:r>
        <w:r w:rsidRPr="000E4A30">
          <w:rPr>
            <w:rFonts w:ascii="Arial" w:hAnsi="Arial" w:cs="Arial"/>
            <w:noProof/>
            <w:webHidden/>
            <w:sz w:val="20"/>
            <w:szCs w:val="20"/>
          </w:rPr>
          <w:fldChar w:fldCharType="end"/>
        </w:r>
      </w:hyperlink>
    </w:p>
    <w:p w14:paraId="1EABCE9B" w14:textId="79A3ECDB" w:rsidR="003C1BA0" w:rsidRPr="000E4A30" w:rsidRDefault="003C1BA0">
      <w:pPr>
        <w:pStyle w:val="TOC5"/>
        <w:rPr>
          <w:rFonts w:ascii="Arial" w:hAnsi="Arial" w:cs="Arial"/>
          <w:noProof/>
          <w:kern w:val="2"/>
          <w:sz w:val="20"/>
          <w:szCs w:val="20"/>
          <w14:ligatures w14:val="standardContextual"/>
        </w:rPr>
      </w:pPr>
      <w:hyperlink w:anchor="_Toc225877801" w:history="1">
        <w:r w:rsidRPr="000E4A30">
          <w:rPr>
            <w:rStyle w:val="Hyperlink"/>
            <w:rFonts w:ascii="Arial" w:hAnsi="Arial" w:cs="Arial"/>
            <w:noProof/>
            <w:sz w:val="20"/>
            <w:szCs w:val="20"/>
          </w:rPr>
          <w:t>NQF Safe Practice #2 – Culture Measurement, Feedback, and Intervention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_Toc225877801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255</w:t>
        </w:r>
        <w:r w:rsidRPr="000E4A30">
          <w:rPr>
            <w:rFonts w:ascii="Arial" w:hAnsi="Arial" w:cs="Arial"/>
            <w:noProof/>
            <w:webHidden/>
            <w:sz w:val="20"/>
            <w:szCs w:val="20"/>
          </w:rPr>
          <w:fldChar w:fldCharType="end"/>
        </w:r>
      </w:hyperlink>
    </w:p>
    <w:p w14:paraId="4021CCB3" w14:textId="15291E94" w:rsidR="003C1BA0" w:rsidRPr="000E4A30" w:rsidRDefault="003C1BA0">
      <w:pPr>
        <w:pStyle w:val="TOC5"/>
        <w:rPr>
          <w:rFonts w:ascii="Arial" w:hAnsi="Arial" w:cs="Arial"/>
          <w:noProof/>
          <w:kern w:val="2"/>
          <w:sz w:val="20"/>
          <w:szCs w:val="20"/>
          <w14:ligatures w14:val="standardContextual"/>
        </w:rPr>
      </w:pPr>
      <w:hyperlink w:anchor="_Toc225877802" w:history="1">
        <w:r w:rsidRPr="000E4A30">
          <w:rPr>
            <w:rStyle w:val="Hyperlink"/>
            <w:rFonts w:ascii="Arial" w:hAnsi="Arial" w:cs="Arial"/>
            <w:noProof/>
            <w:sz w:val="20"/>
            <w:szCs w:val="20"/>
          </w:rPr>
          <w:t>Hand Hygiene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_Toc225877802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256</w:t>
        </w:r>
        <w:r w:rsidRPr="000E4A30">
          <w:rPr>
            <w:rFonts w:ascii="Arial" w:hAnsi="Arial" w:cs="Arial"/>
            <w:noProof/>
            <w:webHidden/>
            <w:sz w:val="20"/>
            <w:szCs w:val="20"/>
          </w:rPr>
          <w:fldChar w:fldCharType="end"/>
        </w:r>
      </w:hyperlink>
    </w:p>
    <w:p w14:paraId="6BB6D84D" w14:textId="3CC61F3E" w:rsidR="003C1BA0" w:rsidRPr="000E4A30" w:rsidRDefault="003C1BA0">
      <w:pPr>
        <w:pStyle w:val="TOC5"/>
        <w:rPr>
          <w:rFonts w:ascii="Arial" w:hAnsi="Arial" w:cs="Arial"/>
          <w:noProof/>
          <w:kern w:val="2"/>
          <w:sz w:val="20"/>
          <w:szCs w:val="20"/>
          <w14:ligatures w14:val="standardContextual"/>
        </w:rPr>
      </w:pPr>
      <w:hyperlink w:anchor="_Toc225877803" w:history="1">
        <w:r w:rsidRPr="000E4A30">
          <w:rPr>
            <w:rStyle w:val="Hyperlink"/>
            <w:rFonts w:ascii="Arial" w:hAnsi="Arial" w:cs="Arial"/>
            <w:noProof/>
            <w:sz w:val="20"/>
            <w:szCs w:val="20"/>
          </w:rPr>
          <w:t>Diagnostic Excellence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_Toc225877803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259</w:t>
        </w:r>
        <w:r w:rsidRPr="000E4A30">
          <w:rPr>
            <w:rFonts w:ascii="Arial" w:hAnsi="Arial" w:cs="Arial"/>
            <w:noProof/>
            <w:webHidden/>
            <w:sz w:val="20"/>
            <w:szCs w:val="20"/>
          </w:rPr>
          <w:fldChar w:fldCharType="end"/>
        </w:r>
      </w:hyperlink>
    </w:p>
    <w:p w14:paraId="6094E3AD" w14:textId="3E348181" w:rsidR="003C1BA0" w:rsidRPr="000E4A30" w:rsidRDefault="003C1BA0">
      <w:pPr>
        <w:pStyle w:val="TOC5"/>
        <w:rPr>
          <w:rFonts w:ascii="Arial" w:hAnsi="Arial" w:cs="Arial"/>
          <w:noProof/>
          <w:kern w:val="2"/>
          <w:sz w:val="20"/>
          <w:szCs w:val="20"/>
          <w14:ligatures w14:val="standardContextual"/>
        </w:rPr>
      </w:pPr>
      <w:hyperlink w:anchor="_Toc225877804" w:history="1">
        <w:r w:rsidRPr="000E4A30">
          <w:rPr>
            <w:rStyle w:val="Hyperlink"/>
            <w:rFonts w:ascii="Arial" w:hAnsi="Arial" w:cs="Arial"/>
            <w:noProof/>
            <w:sz w:val="20"/>
            <w:szCs w:val="20"/>
          </w:rPr>
          <w:t>Hospital Boarding in the Emergency Department (ED)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_Toc225877804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260</w:t>
        </w:r>
        <w:r w:rsidRPr="000E4A30">
          <w:rPr>
            <w:rFonts w:ascii="Arial" w:hAnsi="Arial" w:cs="Arial"/>
            <w:noProof/>
            <w:webHidden/>
            <w:sz w:val="20"/>
            <w:szCs w:val="20"/>
          </w:rPr>
          <w:fldChar w:fldCharType="end"/>
        </w:r>
      </w:hyperlink>
    </w:p>
    <w:p w14:paraId="4AEF5EA8" w14:textId="0352E699" w:rsidR="003C1BA0" w:rsidRPr="000E4A30" w:rsidRDefault="003C1BA0">
      <w:pPr>
        <w:pStyle w:val="TOC1"/>
        <w:rPr>
          <w:rFonts w:eastAsiaTheme="minorEastAsia" w:cs="Arial"/>
          <w:noProof/>
          <w:kern w:val="2"/>
          <w14:ligatures w14:val="standardContextual"/>
        </w:rPr>
      </w:pPr>
      <w:hyperlink w:anchor="_Toc225877805"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_Toc225877805 \h </w:instrText>
        </w:r>
        <w:r w:rsidRPr="000E4A30">
          <w:rPr>
            <w:rFonts w:cs="Arial"/>
            <w:noProof/>
            <w:webHidden/>
          </w:rPr>
        </w:r>
        <w:r w:rsidRPr="000E4A30">
          <w:rPr>
            <w:rFonts w:cs="Arial"/>
            <w:noProof/>
            <w:webHidden/>
          </w:rPr>
          <w:fldChar w:fldCharType="separate"/>
        </w:r>
        <w:r w:rsidR="002C0DFB">
          <w:rPr>
            <w:rFonts w:cs="Arial"/>
            <w:noProof/>
            <w:webHidden/>
          </w:rPr>
          <w:t>261</w:t>
        </w:r>
        <w:r w:rsidRPr="000E4A30">
          <w:rPr>
            <w:rFonts w:cs="Arial"/>
            <w:noProof/>
            <w:webHidden/>
          </w:rPr>
          <w:fldChar w:fldCharType="end"/>
        </w:r>
      </w:hyperlink>
    </w:p>
    <w:p w14:paraId="5C0F21B4" w14:textId="21E27125" w:rsidR="003C1BA0" w:rsidRPr="000E4A30" w:rsidRDefault="003C1BA0">
      <w:pPr>
        <w:pStyle w:val="TOC1"/>
        <w:rPr>
          <w:rFonts w:eastAsiaTheme="minorEastAsia" w:cs="Arial"/>
          <w:noProof/>
          <w:kern w:val="2"/>
          <w14:ligatures w14:val="standardContextual"/>
        </w:rPr>
      </w:pPr>
      <w:hyperlink w:anchor="_Toc225877806" w:history="1">
        <w:r w:rsidRPr="000E4A30">
          <w:rPr>
            <w:rStyle w:val="Hyperlink"/>
            <w:rFonts w:cs="Arial"/>
            <w:noProof/>
          </w:rPr>
          <w:t>SECTION 7: MANAGING SERIOUS ERRORS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_Toc225877806 \h </w:instrText>
        </w:r>
        <w:r w:rsidRPr="000E4A30">
          <w:rPr>
            <w:rFonts w:cs="Arial"/>
            <w:noProof/>
            <w:webHidden/>
          </w:rPr>
        </w:r>
        <w:r w:rsidRPr="000E4A30">
          <w:rPr>
            <w:rFonts w:cs="Arial"/>
            <w:noProof/>
            <w:webHidden/>
          </w:rPr>
          <w:fldChar w:fldCharType="separate"/>
        </w:r>
        <w:r w:rsidR="002C0DFB">
          <w:rPr>
            <w:rFonts w:cs="Arial"/>
            <w:noProof/>
            <w:webHidden/>
          </w:rPr>
          <w:t>262</w:t>
        </w:r>
        <w:r w:rsidRPr="000E4A30">
          <w:rPr>
            <w:rFonts w:cs="Arial"/>
            <w:noProof/>
            <w:webHidden/>
          </w:rPr>
          <w:fldChar w:fldCharType="end"/>
        </w:r>
      </w:hyperlink>
    </w:p>
    <w:p w14:paraId="4B8CEBF4" w14:textId="5E07AD46" w:rsidR="003C1BA0" w:rsidRPr="000E4A30" w:rsidRDefault="003C1BA0">
      <w:pPr>
        <w:pStyle w:val="TOC4"/>
        <w:rPr>
          <w:rFonts w:eastAsiaTheme="minorEastAsia" w:cs="Arial"/>
          <w:noProof/>
          <w:kern w:val="2"/>
          <w14:ligatures w14:val="standardContextual"/>
        </w:rPr>
      </w:pPr>
      <w:hyperlink w:anchor="_Toc225877807" w:history="1">
        <w:r w:rsidRPr="000E4A30">
          <w:rPr>
            <w:rStyle w:val="Hyperlink"/>
            <w:rFonts w:cs="Arial"/>
            <w:noProof/>
          </w:rPr>
          <w:t>Section 7: Managing Serious Errors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_Toc225877807 \h </w:instrText>
        </w:r>
        <w:r w:rsidRPr="000E4A30">
          <w:rPr>
            <w:rFonts w:cs="Arial"/>
            <w:noProof/>
            <w:webHidden/>
          </w:rPr>
        </w:r>
        <w:r w:rsidRPr="000E4A30">
          <w:rPr>
            <w:rFonts w:cs="Arial"/>
            <w:noProof/>
            <w:webHidden/>
          </w:rPr>
          <w:fldChar w:fldCharType="separate"/>
        </w:r>
        <w:r w:rsidR="002C0DFB">
          <w:rPr>
            <w:rFonts w:cs="Arial"/>
            <w:noProof/>
            <w:webHidden/>
          </w:rPr>
          <w:t>263</w:t>
        </w:r>
        <w:r w:rsidRPr="000E4A30">
          <w:rPr>
            <w:rFonts w:cs="Arial"/>
            <w:noProof/>
            <w:webHidden/>
          </w:rPr>
          <w:fldChar w:fldCharType="end"/>
        </w:r>
      </w:hyperlink>
    </w:p>
    <w:p w14:paraId="7844C940" w14:textId="00845915" w:rsidR="003C1BA0" w:rsidRPr="000E4A30" w:rsidRDefault="003C1BA0">
      <w:pPr>
        <w:pStyle w:val="TOC4"/>
        <w:rPr>
          <w:rFonts w:eastAsiaTheme="minorEastAsia" w:cs="Arial"/>
          <w:noProof/>
          <w:kern w:val="2"/>
          <w14:ligatures w14:val="standardContextual"/>
        </w:rPr>
      </w:pPr>
      <w:hyperlink w:anchor="_Toc225877808" w:history="1">
        <w:r w:rsidRPr="000E4A30">
          <w:rPr>
            <w:rStyle w:val="Hyperlink"/>
            <w:rFonts w:cs="Arial"/>
            <w:noProof/>
          </w:rPr>
          <w:t>7A: Never Events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_Toc225877808 \h </w:instrText>
        </w:r>
        <w:r w:rsidRPr="000E4A30">
          <w:rPr>
            <w:rFonts w:cs="Arial"/>
            <w:noProof/>
            <w:webHidden/>
          </w:rPr>
        </w:r>
        <w:r w:rsidRPr="000E4A30">
          <w:rPr>
            <w:rFonts w:cs="Arial"/>
            <w:noProof/>
            <w:webHidden/>
          </w:rPr>
          <w:fldChar w:fldCharType="separate"/>
        </w:r>
        <w:r w:rsidR="002C0DFB">
          <w:rPr>
            <w:rFonts w:cs="Arial"/>
            <w:noProof/>
            <w:webHidden/>
          </w:rPr>
          <w:t>264</w:t>
        </w:r>
        <w:r w:rsidRPr="000E4A30">
          <w:rPr>
            <w:rFonts w:cs="Arial"/>
            <w:noProof/>
            <w:webHidden/>
          </w:rPr>
          <w:fldChar w:fldCharType="end"/>
        </w:r>
      </w:hyperlink>
    </w:p>
    <w:p w14:paraId="01E9A5BF" w14:textId="1DAC53DB" w:rsidR="003C1BA0" w:rsidRPr="000E4A30" w:rsidRDefault="003C1BA0">
      <w:pPr>
        <w:pStyle w:val="TOC4"/>
        <w:rPr>
          <w:rFonts w:eastAsiaTheme="minorEastAsia" w:cs="Arial"/>
          <w:noProof/>
          <w:kern w:val="2"/>
          <w14:ligatures w14:val="standardContextual"/>
        </w:rPr>
      </w:pPr>
      <w:hyperlink w:anchor="_Toc225877809" w:history="1">
        <w:r w:rsidRPr="000E4A30">
          <w:rPr>
            <w:rStyle w:val="Hyperlink"/>
            <w:rFonts w:cs="Arial"/>
            <w:noProof/>
          </w:rPr>
          <w:t>7B: Healthcare-Associated Infections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_Toc225877809 \h </w:instrText>
        </w:r>
        <w:r w:rsidRPr="000E4A30">
          <w:rPr>
            <w:rFonts w:cs="Arial"/>
            <w:noProof/>
            <w:webHidden/>
          </w:rPr>
        </w:r>
        <w:r w:rsidRPr="000E4A30">
          <w:rPr>
            <w:rFonts w:cs="Arial"/>
            <w:noProof/>
            <w:webHidden/>
          </w:rPr>
          <w:fldChar w:fldCharType="separate"/>
        </w:r>
        <w:r w:rsidR="002C0DFB">
          <w:rPr>
            <w:rFonts w:cs="Arial"/>
            <w:noProof/>
            <w:webHidden/>
          </w:rPr>
          <w:t>265</w:t>
        </w:r>
        <w:r w:rsidRPr="000E4A30">
          <w:rPr>
            <w:rFonts w:cs="Arial"/>
            <w:noProof/>
            <w:webHidden/>
          </w:rPr>
          <w:fldChar w:fldCharType="end"/>
        </w:r>
      </w:hyperlink>
    </w:p>
    <w:p w14:paraId="7B884FD9" w14:textId="62541EB4" w:rsidR="003C1BA0" w:rsidRPr="000E4A30" w:rsidRDefault="003C1BA0">
      <w:pPr>
        <w:pStyle w:val="TOC4"/>
        <w:rPr>
          <w:rFonts w:eastAsiaTheme="minorEastAsia" w:cs="Arial"/>
          <w:noProof/>
          <w:kern w:val="2"/>
          <w14:ligatures w14:val="standardContextual"/>
        </w:rPr>
      </w:pPr>
      <w:hyperlink w:anchor="_Toc225877810" w:history="1">
        <w:r w:rsidRPr="000E4A30">
          <w:rPr>
            <w:rStyle w:val="Hyperlink"/>
            <w:rFonts w:cs="Arial"/>
            <w:noProof/>
          </w:rPr>
          <w:t>Section 7: Managing Serious Errors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_Toc225877810 \h </w:instrText>
        </w:r>
        <w:r w:rsidRPr="000E4A30">
          <w:rPr>
            <w:rFonts w:cs="Arial"/>
            <w:noProof/>
            <w:webHidden/>
          </w:rPr>
        </w:r>
        <w:r w:rsidRPr="000E4A30">
          <w:rPr>
            <w:rFonts w:cs="Arial"/>
            <w:noProof/>
            <w:webHidden/>
          </w:rPr>
          <w:fldChar w:fldCharType="separate"/>
        </w:r>
        <w:r w:rsidR="002C0DFB">
          <w:rPr>
            <w:rFonts w:cs="Arial"/>
            <w:noProof/>
            <w:webHidden/>
          </w:rPr>
          <w:t>267</w:t>
        </w:r>
        <w:r w:rsidRPr="000E4A30">
          <w:rPr>
            <w:rFonts w:cs="Arial"/>
            <w:noProof/>
            <w:webHidden/>
          </w:rPr>
          <w:fldChar w:fldCharType="end"/>
        </w:r>
      </w:hyperlink>
    </w:p>
    <w:p w14:paraId="376C3245" w14:textId="652FE343" w:rsidR="003C1BA0" w:rsidRPr="000E4A30" w:rsidRDefault="003C1BA0">
      <w:pPr>
        <w:pStyle w:val="TOC5"/>
        <w:rPr>
          <w:rFonts w:ascii="Arial" w:hAnsi="Arial" w:cs="Arial"/>
          <w:noProof/>
          <w:kern w:val="2"/>
          <w:sz w:val="20"/>
          <w:szCs w:val="20"/>
          <w14:ligatures w14:val="standardContextual"/>
        </w:rPr>
      </w:pPr>
      <w:hyperlink w:anchor="_Toc225877811"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_Toc225877811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267</w:t>
        </w:r>
        <w:r w:rsidRPr="000E4A30">
          <w:rPr>
            <w:rFonts w:ascii="Arial" w:hAnsi="Arial" w:cs="Arial"/>
            <w:noProof/>
            <w:webHidden/>
            <w:sz w:val="20"/>
            <w:szCs w:val="20"/>
          </w:rPr>
          <w:fldChar w:fldCharType="end"/>
        </w:r>
      </w:hyperlink>
    </w:p>
    <w:p w14:paraId="4CD143FA" w14:textId="0BB81F56" w:rsidR="003C1BA0" w:rsidRPr="000E4A30" w:rsidRDefault="003C1BA0">
      <w:pPr>
        <w:pStyle w:val="TOC5"/>
        <w:rPr>
          <w:rFonts w:ascii="Arial" w:hAnsi="Arial" w:cs="Arial"/>
          <w:noProof/>
          <w:kern w:val="2"/>
          <w:sz w:val="20"/>
          <w:szCs w:val="20"/>
          <w14:ligatures w14:val="standardContextual"/>
        </w:rPr>
      </w:pPr>
      <w:hyperlink w:anchor="_Toc225877812" w:history="1">
        <w:r w:rsidRPr="000E4A30">
          <w:rPr>
            <w:rStyle w:val="Hyperlink"/>
            <w:rFonts w:ascii="Arial" w:hAnsi="Arial" w:cs="Arial"/>
            <w:noProof/>
            <w:sz w:val="20"/>
            <w:szCs w:val="20"/>
          </w:rPr>
          <w:t>Change Summary Since Release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_Toc225877812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267</w:t>
        </w:r>
        <w:r w:rsidRPr="000E4A30">
          <w:rPr>
            <w:rFonts w:ascii="Arial" w:hAnsi="Arial" w:cs="Arial"/>
            <w:noProof/>
            <w:webHidden/>
            <w:sz w:val="20"/>
            <w:szCs w:val="20"/>
          </w:rPr>
          <w:fldChar w:fldCharType="end"/>
        </w:r>
      </w:hyperlink>
    </w:p>
    <w:p w14:paraId="1329AF88" w14:textId="36C77B6C" w:rsidR="003C1BA0" w:rsidRPr="000E4A30" w:rsidRDefault="003C1BA0">
      <w:pPr>
        <w:pStyle w:val="TOC4"/>
        <w:rPr>
          <w:rFonts w:eastAsiaTheme="minorEastAsia" w:cs="Arial"/>
          <w:noProof/>
          <w:kern w:val="2"/>
          <w14:ligatures w14:val="standardContextual"/>
        </w:rPr>
      </w:pPr>
      <w:hyperlink w:anchor="_Toc225877813" w:history="1">
        <w:r w:rsidRPr="000E4A30">
          <w:rPr>
            <w:rStyle w:val="Hyperlink"/>
            <w:rFonts w:cs="Arial"/>
            <w:noProof/>
          </w:rPr>
          <w:t>Section 7B: Healthcare-Associated Infections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_Toc225877813 \h </w:instrText>
        </w:r>
        <w:r w:rsidRPr="000E4A30">
          <w:rPr>
            <w:rFonts w:cs="Arial"/>
            <w:noProof/>
            <w:webHidden/>
          </w:rPr>
        </w:r>
        <w:r w:rsidRPr="000E4A30">
          <w:rPr>
            <w:rFonts w:cs="Arial"/>
            <w:noProof/>
            <w:webHidden/>
          </w:rPr>
          <w:fldChar w:fldCharType="separate"/>
        </w:r>
        <w:r w:rsidR="002C0DFB">
          <w:rPr>
            <w:rFonts w:cs="Arial"/>
            <w:noProof/>
            <w:webHidden/>
          </w:rPr>
          <w:t>268</w:t>
        </w:r>
        <w:r w:rsidRPr="000E4A30">
          <w:rPr>
            <w:rFonts w:cs="Arial"/>
            <w:noProof/>
            <w:webHidden/>
          </w:rPr>
          <w:fldChar w:fldCharType="end"/>
        </w:r>
      </w:hyperlink>
    </w:p>
    <w:p w14:paraId="413FA27D" w14:textId="325ED418" w:rsidR="003C1BA0" w:rsidRPr="000E4A30" w:rsidRDefault="003C1BA0">
      <w:pPr>
        <w:pStyle w:val="TOC5"/>
        <w:rPr>
          <w:rFonts w:ascii="Arial" w:hAnsi="Arial" w:cs="Arial"/>
          <w:noProof/>
          <w:kern w:val="2"/>
          <w:sz w:val="20"/>
          <w:szCs w:val="20"/>
          <w14:ligatures w14:val="standardContextual"/>
        </w:rPr>
      </w:pPr>
      <w:hyperlink w:anchor="_Toc225877814" w:history="1">
        <w:r w:rsidRPr="000E4A30">
          <w:rPr>
            <w:rStyle w:val="Hyperlink"/>
            <w:rFonts w:ascii="Arial" w:hAnsi="Arial" w:cs="Arial"/>
            <w:noProof/>
            <w:sz w:val="20"/>
            <w:szCs w:val="20"/>
          </w:rPr>
          <w:t>Checklist for Joining Leapfrog’s NHSN Group and Ensuring the Data are Accurate: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_Toc225877814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268</w:t>
        </w:r>
        <w:r w:rsidRPr="000E4A30">
          <w:rPr>
            <w:rFonts w:ascii="Arial" w:hAnsi="Arial" w:cs="Arial"/>
            <w:noProof/>
            <w:webHidden/>
            <w:sz w:val="20"/>
            <w:szCs w:val="20"/>
          </w:rPr>
          <w:fldChar w:fldCharType="end"/>
        </w:r>
      </w:hyperlink>
    </w:p>
    <w:p w14:paraId="41496416" w14:textId="17F42D18" w:rsidR="003C1BA0" w:rsidRPr="000E4A30" w:rsidRDefault="003C1BA0">
      <w:pPr>
        <w:pStyle w:val="TOC5"/>
        <w:rPr>
          <w:rFonts w:ascii="Arial" w:hAnsi="Arial" w:cs="Arial"/>
          <w:noProof/>
          <w:kern w:val="2"/>
          <w:sz w:val="20"/>
          <w:szCs w:val="20"/>
          <w14:ligatures w14:val="standardContextual"/>
        </w:rPr>
      </w:pPr>
      <w:hyperlink w:anchor="_Toc225877815" w:history="1">
        <w:r w:rsidRPr="000E4A30">
          <w:rPr>
            <w:rStyle w:val="Hyperlink"/>
            <w:rFonts w:ascii="Arial" w:hAnsi="Arial" w:cs="Arial"/>
            <w:noProof/>
            <w:sz w:val="20"/>
            <w:szCs w:val="20"/>
          </w:rPr>
          <w:t>Deadlines and Reporting Periods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_Toc225877815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269</w:t>
        </w:r>
        <w:r w:rsidRPr="000E4A30">
          <w:rPr>
            <w:rFonts w:ascii="Arial" w:hAnsi="Arial" w:cs="Arial"/>
            <w:noProof/>
            <w:webHidden/>
            <w:sz w:val="20"/>
            <w:szCs w:val="20"/>
          </w:rPr>
          <w:fldChar w:fldCharType="end"/>
        </w:r>
      </w:hyperlink>
    </w:p>
    <w:p w14:paraId="37916F31" w14:textId="168F3309" w:rsidR="003C1BA0" w:rsidRPr="000E4A30" w:rsidRDefault="003C1BA0">
      <w:pPr>
        <w:pStyle w:val="TOC4"/>
        <w:rPr>
          <w:rFonts w:eastAsiaTheme="minorEastAsia" w:cs="Arial"/>
          <w:noProof/>
          <w:kern w:val="2"/>
          <w14:ligatures w14:val="standardContextual"/>
        </w:rPr>
      </w:pPr>
      <w:hyperlink w:anchor="_Toc225877816" w:history="1">
        <w:r w:rsidRPr="000E4A30">
          <w:rPr>
            <w:rStyle w:val="Hyperlink"/>
            <w:rFonts w:cs="Arial"/>
            <w:noProof/>
          </w:rPr>
          <w:t>Section 7A: Never Events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_Toc225877816 \h </w:instrText>
        </w:r>
        <w:r w:rsidRPr="000E4A30">
          <w:rPr>
            <w:rFonts w:cs="Arial"/>
            <w:noProof/>
            <w:webHidden/>
          </w:rPr>
        </w:r>
        <w:r w:rsidRPr="000E4A30">
          <w:rPr>
            <w:rFonts w:cs="Arial"/>
            <w:noProof/>
            <w:webHidden/>
          </w:rPr>
          <w:fldChar w:fldCharType="separate"/>
        </w:r>
        <w:r w:rsidR="002C0DFB">
          <w:rPr>
            <w:rFonts w:cs="Arial"/>
            <w:noProof/>
            <w:webHidden/>
          </w:rPr>
          <w:t>270</w:t>
        </w:r>
        <w:r w:rsidRPr="000E4A30">
          <w:rPr>
            <w:rFonts w:cs="Arial"/>
            <w:noProof/>
            <w:webHidden/>
          </w:rPr>
          <w:fldChar w:fldCharType="end"/>
        </w:r>
      </w:hyperlink>
    </w:p>
    <w:p w14:paraId="6163846A" w14:textId="71B63121" w:rsidR="003C1BA0" w:rsidRPr="000E4A30" w:rsidRDefault="003C1BA0">
      <w:pPr>
        <w:pStyle w:val="TOC1"/>
        <w:rPr>
          <w:rFonts w:eastAsiaTheme="minorEastAsia" w:cs="Arial"/>
          <w:noProof/>
          <w:kern w:val="2"/>
          <w14:ligatures w14:val="standardContextual"/>
        </w:rPr>
      </w:pPr>
      <w:hyperlink w:anchor="_Toc225877817"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_Toc225877817 \h </w:instrText>
        </w:r>
        <w:r w:rsidRPr="000E4A30">
          <w:rPr>
            <w:rFonts w:cs="Arial"/>
            <w:noProof/>
            <w:webHidden/>
          </w:rPr>
        </w:r>
        <w:r w:rsidRPr="000E4A30">
          <w:rPr>
            <w:rFonts w:cs="Arial"/>
            <w:noProof/>
            <w:webHidden/>
          </w:rPr>
          <w:fldChar w:fldCharType="separate"/>
        </w:r>
        <w:r w:rsidR="002C0DFB">
          <w:rPr>
            <w:rFonts w:cs="Arial"/>
            <w:noProof/>
            <w:webHidden/>
          </w:rPr>
          <w:t>272</w:t>
        </w:r>
        <w:r w:rsidRPr="000E4A30">
          <w:rPr>
            <w:rFonts w:cs="Arial"/>
            <w:noProof/>
            <w:webHidden/>
          </w:rPr>
          <w:fldChar w:fldCharType="end"/>
        </w:r>
      </w:hyperlink>
    </w:p>
    <w:p w14:paraId="41DBB9A3" w14:textId="19410B05" w:rsidR="003C1BA0" w:rsidRPr="000E4A30" w:rsidRDefault="003C1BA0">
      <w:pPr>
        <w:pStyle w:val="TOC1"/>
        <w:rPr>
          <w:rFonts w:eastAsiaTheme="minorEastAsia" w:cs="Arial"/>
          <w:noProof/>
          <w:kern w:val="2"/>
          <w14:ligatures w14:val="standardContextual"/>
        </w:rPr>
      </w:pPr>
      <w:hyperlink w:anchor="_Toc225877818" w:history="1">
        <w:r w:rsidRPr="000E4A30">
          <w:rPr>
            <w:rStyle w:val="Hyperlink"/>
            <w:rFonts w:cs="Arial"/>
            <w:noProof/>
          </w:rPr>
          <w:t>SECTION 8: PEDIATRIC CARE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_Toc225877818 \h </w:instrText>
        </w:r>
        <w:r w:rsidRPr="000E4A30">
          <w:rPr>
            <w:rFonts w:cs="Arial"/>
            <w:noProof/>
            <w:webHidden/>
          </w:rPr>
        </w:r>
        <w:r w:rsidRPr="000E4A30">
          <w:rPr>
            <w:rFonts w:cs="Arial"/>
            <w:noProof/>
            <w:webHidden/>
          </w:rPr>
          <w:fldChar w:fldCharType="separate"/>
        </w:r>
        <w:r w:rsidR="002C0DFB">
          <w:rPr>
            <w:rFonts w:cs="Arial"/>
            <w:noProof/>
            <w:webHidden/>
          </w:rPr>
          <w:t>273</w:t>
        </w:r>
        <w:r w:rsidRPr="000E4A30">
          <w:rPr>
            <w:rFonts w:cs="Arial"/>
            <w:noProof/>
            <w:webHidden/>
          </w:rPr>
          <w:fldChar w:fldCharType="end"/>
        </w:r>
      </w:hyperlink>
    </w:p>
    <w:p w14:paraId="256D87F8" w14:textId="762F1D2F" w:rsidR="003C1BA0" w:rsidRPr="000E4A30" w:rsidRDefault="003C1BA0">
      <w:pPr>
        <w:pStyle w:val="TOC4"/>
        <w:rPr>
          <w:rFonts w:eastAsiaTheme="minorEastAsia" w:cs="Arial"/>
          <w:noProof/>
          <w:kern w:val="2"/>
          <w14:ligatures w14:val="standardContextual"/>
        </w:rPr>
      </w:pPr>
      <w:hyperlink w:anchor="_Toc225877819" w:history="1">
        <w:r w:rsidRPr="000E4A30">
          <w:rPr>
            <w:rStyle w:val="Hyperlink"/>
            <w:rFonts w:cs="Arial"/>
            <w:noProof/>
          </w:rPr>
          <w:t>Section 8: Pediatric Care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_Toc225877819 \h </w:instrText>
        </w:r>
        <w:r w:rsidRPr="000E4A30">
          <w:rPr>
            <w:rFonts w:cs="Arial"/>
            <w:noProof/>
            <w:webHidden/>
          </w:rPr>
        </w:r>
        <w:r w:rsidRPr="000E4A30">
          <w:rPr>
            <w:rFonts w:cs="Arial"/>
            <w:noProof/>
            <w:webHidden/>
          </w:rPr>
          <w:fldChar w:fldCharType="separate"/>
        </w:r>
        <w:r w:rsidR="002C0DFB">
          <w:rPr>
            <w:rFonts w:cs="Arial"/>
            <w:noProof/>
            <w:webHidden/>
          </w:rPr>
          <w:t>274</w:t>
        </w:r>
        <w:r w:rsidRPr="000E4A30">
          <w:rPr>
            <w:rFonts w:cs="Arial"/>
            <w:noProof/>
            <w:webHidden/>
          </w:rPr>
          <w:fldChar w:fldCharType="end"/>
        </w:r>
      </w:hyperlink>
    </w:p>
    <w:p w14:paraId="76060231" w14:textId="145B729F" w:rsidR="003C1BA0" w:rsidRPr="000E4A30" w:rsidRDefault="003C1BA0">
      <w:pPr>
        <w:pStyle w:val="TOC4"/>
        <w:rPr>
          <w:rFonts w:eastAsiaTheme="minorEastAsia" w:cs="Arial"/>
          <w:noProof/>
          <w:kern w:val="2"/>
          <w14:ligatures w14:val="standardContextual"/>
        </w:rPr>
      </w:pPr>
      <w:hyperlink w:anchor="_Toc225877820" w:history="1">
        <w:r w:rsidRPr="000E4A30">
          <w:rPr>
            <w:rStyle w:val="Hyperlink"/>
            <w:rFonts w:cs="Arial"/>
            <w:noProof/>
          </w:rPr>
          <w:t>8A: Patient Experience (CAHPS Child Hospital Survey)</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_Toc225877820 \h </w:instrText>
        </w:r>
        <w:r w:rsidRPr="000E4A30">
          <w:rPr>
            <w:rFonts w:cs="Arial"/>
            <w:noProof/>
            <w:webHidden/>
          </w:rPr>
        </w:r>
        <w:r w:rsidRPr="000E4A30">
          <w:rPr>
            <w:rFonts w:cs="Arial"/>
            <w:noProof/>
            <w:webHidden/>
          </w:rPr>
          <w:fldChar w:fldCharType="separate"/>
        </w:r>
        <w:r w:rsidR="002C0DFB">
          <w:rPr>
            <w:rFonts w:cs="Arial"/>
            <w:noProof/>
            <w:webHidden/>
          </w:rPr>
          <w:t>275</w:t>
        </w:r>
        <w:r w:rsidRPr="000E4A30">
          <w:rPr>
            <w:rFonts w:cs="Arial"/>
            <w:noProof/>
            <w:webHidden/>
          </w:rPr>
          <w:fldChar w:fldCharType="end"/>
        </w:r>
      </w:hyperlink>
    </w:p>
    <w:p w14:paraId="5F8F0E7B" w14:textId="202B3CB0" w:rsidR="003C1BA0" w:rsidRPr="000E4A30" w:rsidRDefault="003C1BA0">
      <w:pPr>
        <w:pStyle w:val="TOC4"/>
        <w:rPr>
          <w:rFonts w:eastAsiaTheme="minorEastAsia" w:cs="Arial"/>
          <w:noProof/>
          <w:kern w:val="2"/>
          <w14:ligatures w14:val="standardContextual"/>
        </w:rPr>
      </w:pPr>
      <w:hyperlink w:anchor="_Toc225877821" w:history="1">
        <w:r w:rsidRPr="000E4A30">
          <w:rPr>
            <w:rStyle w:val="Hyperlink"/>
            <w:rFonts w:cs="Arial"/>
            <w:noProof/>
          </w:rPr>
          <w:t>8B: Pediatric Computed Tomography (CT) Radiation Dose</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_Toc225877821 \h </w:instrText>
        </w:r>
        <w:r w:rsidRPr="000E4A30">
          <w:rPr>
            <w:rFonts w:cs="Arial"/>
            <w:noProof/>
            <w:webHidden/>
          </w:rPr>
        </w:r>
        <w:r w:rsidRPr="000E4A30">
          <w:rPr>
            <w:rFonts w:cs="Arial"/>
            <w:noProof/>
            <w:webHidden/>
          </w:rPr>
          <w:fldChar w:fldCharType="separate"/>
        </w:r>
        <w:r w:rsidR="002C0DFB">
          <w:rPr>
            <w:rFonts w:cs="Arial"/>
            <w:noProof/>
            <w:webHidden/>
          </w:rPr>
          <w:t>277</w:t>
        </w:r>
        <w:r w:rsidRPr="000E4A30">
          <w:rPr>
            <w:rFonts w:cs="Arial"/>
            <w:noProof/>
            <w:webHidden/>
          </w:rPr>
          <w:fldChar w:fldCharType="end"/>
        </w:r>
      </w:hyperlink>
    </w:p>
    <w:p w14:paraId="0E2B681E" w14:textId="6D3C561B" w:rsidR="003C1BA0" w:rsidRPr="000E4A30" w:rsidRDefault="003C1BA0">
      <w:pPr>
        <w:pStyle w:val="TOC4"/>
        <w:rPr>
          <w:rFonts w:eastAsiaTheme="minorEastAsia" w:cs="Arial"/>
          <w:noProof/>
          <w:kern w:val="2"/>
          <w14:ligatures w14:val="standardContextual"/>
        </w:rPr>
      </w:pPr>
      <w:hyperlink w:anchor="_Toc225877822" w:history="1">
        <w:r w:rsidRPr="000E4A30">
          <w:rPr>
            <w:rStyle w:val="Hyperlink"/>
            <w:rFonts w:cs="Arial"/>
            <w:noProof/>
          </w:rPr>
          <w:t>Section 8: Pediatric Care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_Toc225877822 \h </w:instrText>
        </w:r>
        <w:r w:rsidRPr="000E4A30">
          <w:rPr>
            <w:rFonts w:cs="Arial"/>
            <w:noProof/>
            <w:webHidden/>
          </w:rPr>
        </w:r>
        <w:r w:rsidRPr="000E4A30">
          <w:rPr>
            <w:rFonts w:cs="Arial"/>
            <w:noProof/>
            <w:webHidden/>
          </w:rPr>
          <w:fldChar w:fldCharType="separate"/>
        </w:r>
        <w:r w:rsidR="002C0DFB">
          <w:rPr>
            <w:rFonts w:cs="Arial"/>
            <w:noProof/>
            <w:webHidden/>
          </w:rPr>
          <w:t>280</w:t>
        </w:r>
        <w:r w:rsidRPr="000E4A30">
          <w:rPr>
            <w:rFonts w:cs="Arial"/>
            <w:noProof/>
            <w:webHidden/>
          </w:rPr>
          <w:fldChar w:fldCharType="end"/>
        </w:r>
      </w:hyperlink>
    </w:p>
    <w:p w14:paraId="3245FBCD" w14:textId="2D139D0C" w:rsidR="003C1BA0" w:rsidRPr="000E4A30" w:rsidRDefault="003C1BA0">
      <w:pPr>
        <w:pStyle w:val="TOC5"/>
        <w:rPr>
          <w:rFonts w:ascii="Arial" w:hAnsi="Arial" w:cs="Arial"/>
          <w:noProof/>
          <w:kern w:val="2"/>
          <w:sz w:val="20"/>
          <w:szCs w:val="20"/>
          <w14:ligatures w14:val="standardContextual"/>
        </w:rPr>
      </w:pPr>
      <w:hyperlink w:anchor="_Toc225877823"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_Toc225877823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280</w:t>
        </w:r>
        <w:r w:rsidRPr="000E4A30">
          <w:rPr>
            <w:rFonts w:ascii="Arial" w:hAnsi="Arial" w:cs="Arial"/>
            <w:noProof/>
            <w:webHidden/>
            <w:sz w:val="20"/>
            <w:szCs w:val="20"/>
          </w:rPr>
          <w:fldChar w:fldCharType="end"/>
        </w:r>
      </w:hyperlink>
    </w:p>
    <w:p w14:paraId="41D9A417" w14:textId="61C1769E" w:rsidR="003C1BA0" w:rsidRPr="000E4A30" w:rsidRDefault="003C1BA0">
      <w:pPr>
        <w:pStyle w:val="TOC5"/>
        <w:rPr>
          <w:rFonts w:ascii="Arial" w:hAnsi="Arial" w:cs="Arial"/>
          <w:noProof/>
          <w:kern w:val="2"/>
          <w:sz w:val="20"/>
          <w:szCs w:val="20"/>
          <w14:ligatures w14:val="standardContextual"/>
        </w:rPr>
      </w:pPr>
      <w:hyperlink w:anchor="_Toc225877824" w:history="1">
        <w:r w:rsidRPr="000E4A30">
          <w:rPr>
            <w:rStyle w:val="Hyperlink"/>
            <w:rFonts w:ascii="Arial" w:hAnsi="Arial" w:cs="Arial"/>
            <w:noProof/>
            <w:sz w:val="20"/>
            <w:szCs w:val="20"/>
          </w:rPr>
          <w:t>Change Summary Since Release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_Toc225877824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280</w:t>
        </w:r>
        <w:r w:rsidRPr="000E4A30">
          <w:rPr>
            <w:rFonts w:ascii="Arial" w:hAnsi="Arial" w:cs="Arial"/>
            <w:noProof/>
            <w:webHidden/>
            <w:sz w:val="20"/>
            <w:szCs w:val="20"/>
          </w:rPr>
          <w:fldChar w:fldCharType="end"/>
        </w:r>
      </w:hyperlink>
    </w:p>
    <w:p w14:paraId="5578DE2C" w14:textId="75D2CA66" w:rsidR="003C1BA0" w:rsidRPr="000E4A30" w:rsidRDefault="003C1BA0">
      <w:pPr>
        <w:pStyle w:val="TOC4"/>
        <w:rPr>
          <w:rFonts w:eastAsiaTheme="minorEastAsia" w:cs="Arial"/>
          <w:noProof/>
          <w:kern w:val="2"/>
          <w14:ligatures w14:val="standardContextual"/>
        </w:rPr>
      </w:pPr>
      <w:hyperlink w:anchor="_Toc225877825" w:history="1">
        <w:r w:rsidRPr="000E4A30">
          <w:rPr>
            <w:rStyle w:val="Hyperlink"/>
            <w:rFonts w:cs="Arial"/>
            <w:noProof/>
          </w:rPr>
          <w:t>Section 8: Pediatric Care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_Toc225877825 \h </w:instrText>
        </w:r>
        <w:r w:rsidRPr="000E4A30">
          <w:rPr>
            <w:rFonts w:cs="Arial"/>
            <w:noProof/>
            <w:webHidden/>
          </w:rPr>
        </w:r>
        <w:r w:rsidRPr="000E4A30">
          <w:rPr>
            <w:rFonts w:cs="Arial"/>
            <w:noProof/>
            <w:webHidden/>
          </w:rPr>
          <w:fldChar w:fldCharType="separate"/>
        </w:r>
        <w:r w:rsidR="002C0DFB">
          <w:rPr>
            <w:rFonts w:cs="Arial"/>
            <w:noProof/>
            <w:webHidden/>
          </w:rPr>
          <w:t>281</w:t>
        </w:r>
        <w:r w:rsidRPr="000E4A30">
          <w:rPr>
            <w:rFonts w:cs="Arial"/>
            <w:noProof/>
            <w:webHidden/>
          </w:rPr>
          <w:fldChar w:fldCharType="end"/>
        </w:r>
      </w:hyperlink>
    </w:p>
    <w:p w14:paraId="18F01355" w14:textId="69255388" w:rsidR="003C1BA0" w:rsidRPr="000E4A30" w:rsidRDefault="003C1BA0">
      <w:pPr>
        <w:pStyle w:val="TOC5"/>
        <w:rPr>
          <w:rFonts w:ascii="Arial" w:hAnsi="Arial" w:cs="Arial"/>
          <w:noProof/>
          <w:kern w:val="2"/>
          <w:sz w:val="20"/>
          <w:szCs w:val="20"/>
          <w14:ligatures w14:val="standardContextual"/>
        </w:rPr>
      </w:pPr>
      <w:hyperlink w:anchor="_Toc225877826" w:history="1">
        <w:r w:rsidRPr="000E4A30">
          <w:rPr>
            <w:rStyle w:val="Hyperlink"/>
            <w:rFonts w:ascii="Arial" w:hAnsi="Arial" w:cs="Arial"/>
            <w:noProof/>
            <w:sz w:val="20"/>
            <w:szCs w:val="20"/>
          </w:rPr>
          <w:t>Patient Experience (CAHPS Child Hospital Survey)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_Toc225877826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281</w:t>
        </w:r>
        <w:r w:rsidRPr="000E4A30">
          <w:rPr>
            <w:rFonts w:ascii="Arial" w:hAnsi="Arial" w:cs="Arial"/>
            <w:noProof/>
            <w:webHidden/>
            <w:sz w:val="20"/>
            <w:szCs w:val="20"/>
          </w:rPr>
          <w:fldChar w:fldCharType="end"/>
        </w:r>
      </w:hyperlink>
    </w:p>
    <w:p w14:paraId="4D225315" w14:textId="45927CDC" w:rsidR="003C1BA0" w:rsidRPr="000E4A30" w:rsidRDefault="003C1BA0">
      <w:pPr>
        <w:pStyle w:val="TOC5"/>
        <w:rPr>
          <w:rFonts w:ascii="Arial" w:hAnsi="Arial" w:cs="Arial"/>
          <w:noProof/>
          <w:kern w:val="2"/>
          <w:sz w:val="20"/>
          <w:szCs w:val="20"/>
          <w14:ligatures w14:val="standardContextual"/>
        </w:rPr>
      </w:pPr>
      <w:hyperlink w:anchor="_Toc225877827" w:history="1">
        <w:r w:rsidRPr="000E4A30">
          <w:rPr>
            <w:rStyle w:val="Hyperlink"/>
            <w:rFonts w:ascii="Arial" w:hAnsi="Arial" w:cs="Arial"/>
            <w:noProof/>
            <w:sz w:val="20"/>
            <w:szCs w:val="20"/>
          </w:rPr>
          <w:t>Pediatric Computed Tomography (CT) Radiation Dose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_Toc225877827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282</w:t>
        </w:r>
        <w:r w:rsidRPr="000E4A30">
          <w:rPr>
            <w:rFonts w:ascii="Arial" w:hAnsi="Arial" w:cs="Arial"/>
            <w:noProof/>
            <w:webHidden/>
            <w:sz w:val="20"/>
            <w:szCs w:val="20"/>
          </w:rPr>
          <w:fldChar w:fldCharType="end"/>
        </w:r>
      </w:hyperlink>
    </w:p>
    <w:p w14:paraId="38DA371A" w14:textId="524AFF8D" w:rsidR="003C1BA0" w:rsidRPr="000E4A30" w:rsidRDefault="003C1BA0">
      <w:pPr>
        <w:pStyle w:val="TOC4"/>
        <w:rPr>
          <w:rFonts w:eastAsiaTheme="minorEastAsia" w:cs="Arial"/>
          <w:noProof/>
          <w:kern w:val="2"/>
          <w14:ligatures w14:val="standardContextual"/>
        </w:rPr>
      </w:pPr>
      <w:hyperlink w:anchor="_Toc225877828" w:history="1">
        <w:r w:rsidRPr="000E4A30">
          <w:rPr>
            <w:rStyle w:val="Hyperlink"/>
            <w:rFonts w:cs="Arial"/>
            <w:noProof/>
          </w:rPr>
          <w:t>Section 8: Pediatric Care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_Toc225877828 \h </w:instrText>
        </w:r>
        <w:r w:rsidRPr="000E4A30">
          <w:rPr>
            <w:rFonts w:cs="Arial"/>
            <w:noProof/>
            <w:webHidden/>
          </w:rPr>
        </w:r>
        <w:r w:rsidRPr="000E4A30">
          <w:rPr>
            <w:rFonts w:cs="Arial"/>
            <w:noProof/>
            <w:webHidden/>
          </w:rPr>
          <w:fldChar w:fldCharType="separate"/>
        </w:r>
        <w:r w:rsidR="002C0DFB">
          <w:rPr>
            <w:rFonts w:cs="Arial"/>
            <w:noProof/>
            <w:webHidden/>
          </w:rPr>
          <w:t>287</w:t>
        </w:r>
        <w:r w:rsidRPr="000E4A30">
          <w:rPr>
            <w:rFonts w:cs="Arial"/>
            <w:noProof/>
            <w:webHidden/>
          </w:rPr>
          <w:fldChar w:fldCharType="end"/>
        </w:r>
      </w:hyperlink>
    </w:p>
    <w:p w14:paraId="2680BE8F" w14:textId="1B220DE6" w:rsidR="003C1BA0" w:rsidRPr="000E4A30" w:rsidRDefault="003C1BA0">
      <w:pPr>
        <w:pStyle w:val="TOC5"/>
        <w:rPr>
          <w:rFonts w:ascii="Arial" w:hAnsi="Arial" w:cs="Arial"/>
          <w:noProof/>
          <w:kern w:val="2"/>
          <w:sz w:val="20"/>
          <w:szCs w:val="20"/>
          <w14:ligatures w14:val="standardContextual"/>
        </w:rPr>
      </w:pPr>
      <w:hyperlink w:anchor="_Toc225877829" w:history="1">
        <w:r w:rsidRPr="000E4A30">
          <w:rPr>
            <w:rStyle w:val="Hyperlink"/>
            <w:rFonts w:ascii="Arial" w:hAnsi="Arial" w:cs="Arial"/>
            <w:noProof/>
            <w:sz w:val="20"/>
            <w:szCs w:val="20"/>
          </w:rPr>
          <w:t>Patient Experience (CAHPS Child Hospital Survey)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_Toc225877829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287</w:t>
        </w:r>
        <w:r w:rsidRPr="000E4A30">
          <w:rPr>
            <w:rFonts w:ascii="Arial" w:hAnsi="Arial" w:cs="Arial"/>
            <w:noProof/>
            <w:webHidden/>
            <w:sz w:val="20"/>
            <w:szCs w:val="20"/>
          </w:rPr>
          <w:fldChar w:fldCharType="end"/>
        </w:r>
      </w:hyperlink>
    </w:p>
    <w:p w14:paraId="341B2CD2" w14:textId="4DF94C1B" w:rsidR="003C1BA0" w:rsidRPr="000E4A30" w:rsidRDefault="003C1BA0">
      <w:pPr>
        <w:pStyle w:val="TOC5"/>
        <w:rPr>
          <w:rFonts w:ascii="Arial" w:hAnsi="Arial" w:cs="Arial"/>
          <w:noProof/>
          <w:kern w:val="2"/>
          <w:sz w:val="20"/>
          <w:szCs w:val="20"/>
          <w14:ligatures w14:val="standardContextual"/>
        </w:rPr>
      </w:pPr>
      <w:hyperlink w:anchor="_Toc225877830" w:history="1">
        <w:r w:rsidRPr="000E4A30">
          <w:rPr>
            <w:rStyle w:val="Hyperlink"/>
            <w:rFonts w:ascii="Arial" w:hAnsi="Arial" w:cs="Arial"/>
            <w:noProof/>
            <w:sz w:val="20"/>
            <w:szCs w:val="20"/>
          </w:rPr>
          <w:t>Pediatric Computed Tomography (CT) Radiation Dose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_Toc225877830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287</w:t>
        </w:r>
        <w:r w:rsidRPr="000E4A30">
          <w:rPr>
            <w:rFonts w:ascii="Arial" w:hAnsi="Arial" w:cs="Arial"/>
            <w:noProof/>
            <w:webHidden/>
            <w:sz w:val="20"/>
            <w:szCs w:val="20"/>
          </w:rPr>
          <w:fldChar w:fldCharType="end"/>
        </w:r>
      </w:hyperlink>
    </w:p>
    <w:p w14:paraId="119348F6" w14:textId="785E3185" w:rsidR="003C1BA0" w:rsidRPr="000E4A30" w:rsidRDefault="003C1BA0">
      <w:pPr>
        <w:pStyle w:val="TOC1"/>
        <w:rPr>
          <w:rFonts w:eastAsiaTheme="minorEastAsia" w:cs="Arial"/>
          <w:noProof/>
          <w:kern w:val="2"/>
          <w14:ligatures w14:val="standardContextual"/>
        </w:rPr>
      </w:pPr>
      <w:hyperlink w:anchor="_Toc225877831" w:history="1">
        <w:r w:rsidRPr="000E4A30">
          <w:rPr>
            <w:rStyle w:val="Hyperlink"/>
            <w:rFonts w:cs="Arial"/>
            <w:noProof/>
          </w:rPr>
          <w:t>Page Intentionally Left Blank</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_Toc225877831 \h </w:instrText>
        </w:r>
        <w:r w:rsidRPr="000E4A30">
          <w:rPr>
            <w:rFonts w:cs="Arial"/>
            <w:noProof/>
            <w:webHidden/>
          </w:rPr>
        </w:r>
        <w:r w:rsidRPr="000E4A30">
          <w:rPr>
            <w:rFonts w:cs="Arial"/>
            <w:noProof/>
            <w:webHidden/>
          </w:rPr>
          <w:fldChar w:fldCharType="separate"/>
        </w:r>
        <w:r w:rsidR="002C0DFB">
          <w:rPr>
            <w:rFonts w:cs="Arial"/>
            <w:noProof/>
            <w:webHidden/>
          </w:rPr>
          <w:t>289</w:t>
        </w:r>
        <w:r w:rsidRPr="000E4A30">
          <w:rPr>
            <w:rFonts w:cs="Arial"/>
            <w:noProof/>
            <w:webHidden/>
          </w:rPr>
          <w:fldChar w:fldCharType="end"/>
        </w:r>
      </w:hyperlink>
    </w:p>
    <w:p w14:paraId="5A62C295" w14:textId="473E3A69" w:rsidR="003C1BA0" w:rsidRPr="000E4A30" w:rsidRDefault="003C1BA0">
      <w:pPr>
        <w:pStyle w:val="TOC1"/>
        <w:rPr>
          <w:rFonts w:eastAsiaTheme="minorEastAsia" w:cs="Arial"/>
          <w:noProof/>
          <w:kern w:val="2"/>
          <w14:ligatures w14:val="standardContextual"/>
        </w:rPr>
      </w:pPr>
      <w:hyperlink w:anchor="_Toc225877832" w:history="1">
        <w:r w:rsidRPr="000E4A30">
          <w:rPr>
            <w:rStyle w:val="Hyperlink"/>
            <w:rFonts w:cs="Arial"/>
            <w:noProof/>
          </w:rPr>
          <w:t>SECTION 9: OUTPATIENT PROCEDURES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_Toc225877832 \h </w:instrText>
        </w:r>
        <w:r w:rsidRPr="000E4A30">
          <w:rPr>
            <w:rFonts w:cs="Arial"/>
            <w:noProof/>
            <w:webHidden/>
          </w:rPr>
        </w:r>
        <w:r w:rsidRPr="000E4A30">
          <w:rPr>
            <w:rFonts w:cs="Arial"/>
            <w:noProof/>
            <w:webHidden/>
          </w:rPr>
          <w:fldChar w:fldCharType="separate"/>
        </w:r>
        <w:r w:rsidR="002C0DFB">
          <w:rPr>
            <w:rFonts w:cs="Arial"/>
            <w:noProof/>
            <w:webHidden/>
          </w:rPr>
          <w:t>290</w:t>
        </w:r>
        <w:r w:rsidRPr="000E4A30">
          <w:rPr>
            <w:rFonts w:cs="Arial"/>
            <w:noProof/>
            <w:webHidden/>
          </w:rPr>
          <w:fldChar w:fldCharType="end"/>
        </w:r>
      </w:hyperlink>
    </w:p>
    <w:p w14:paraId="19CFB755" w14:textId="144B6448" w:rsidR="003C1BA0" w:rsidRPr="000E4A30" w:rsidRDefault="003C1BA0">
      <w:pPr>
        <w:pStyle w:val="TOC4"/>
        <w:rPr>
          <w:rFonts w:eastAsiaTheme="minorEastAsia" w:cs="Arial"/>
          <w:noProof/>
          <w:kern w:val="2"/>
          <w14:ligatures w14:val="standardContextual"/>
        </w:rPr>
      </w:pPr>
      <w:hyperlink w:anchor="_Toc225877833" w:history="1">
        <w:r w:rsidRPr="000E4A30">
          <w:rPr>
            <w:rStyle w:val="Hyperlink"/>
            <w:rFonts w:cs="Arial"/>
            <w:noProof/>
          </w:rPr>
          <w:t>Section 9: Outpatient Procedures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_Toc225877833 \h </w:instrText>
        </w:r>
        <w:r w:rsidRPr="000E4A30">
          <w:rPr>
            <w:rFonts w:cs="Arial"/>
            <w:noProof/>
            <w:webHidden/>
          </w:rPr>
        </w:r>
        <w:r w:rsidRPr="000E4A30">
          <w:rPr>
            <w:rFonts w:cs="Arial"/>
            <w:noProof/>
            <w:webHidden/>
          </w:rPr>
          <w:fldChar w:fldCharType="separate"/>
        </w:r>
        <w:r w:rsidR="002C0DFB">
          <w:rPr>
            <w:rFonts w:cs="Arial"/>
            <w:noProof/>
            <w:webHidden/>
          </w:rPr>
          <w:t>291</w:t>
        </w:r>
        <w:r w:rsidRPr="000E4A30">
          <w:rPr>
            <w:rFonts w:cs="Arial"/>
            <w:noProof/>
            <w:webHidden/>
          </w:rPr>
          <w:fldChar w:fldCharType="end"/>
        </w:r>
      </w:hyperlink>
    </w:p>
    <w:p w14:paraId="50B8EC41" w14:textId="6AABA632" w:rsidR="003C1BA0" w:rsidRPr="000E4A30" w:rsidRDefault="003C1BA0">
      <w:pPr>
        <w:pStyle w:val="TOC4"/>
        <w:rPr>
          <w:rFonts w:eastAsiaTheme="minorEastAsia" w:cs="Arial"/>
          <w:noProof/>
          <w:kern w:val="2"/>
          <w14:ligatures w14:val="standardContextual"/>
        </w:rPr>
      </w:pPr>
      <w:hyperlink w:anchor="_Toc225877834" w:history="1">
        <w:r w:rsidRPr="000E4A30">
          <w:rPr>
            <w:rStyle w:val="Hyperlink"/>
            <w:rFonts w:cs="Arial"/>
            <w:noProof/>
          </w:rPr>
          <w:t>9A: Basic Outpatient Department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_Toc225877834 \h </w:instrText>
        </w:r>
        <w:r w:rsidRPr="000E4A30">
          <w:rPr>
            <w:rFonts w:cs="Arial"/>
            <w:noProof/>
            <w:webHidden/>
          </w:rPr>
        </w:r>
        <w:r w:rsidRPr="000E4A30">
          <w:rPr>
            <w:rFonts w:cs="Arial"/>
            <w:noProof/>
            <w:webHidden/>
          </w:rPr>
          <w:fldChar w:fldCharType="separate"/>
        </w:r>
        <w:r w:rsidR="002C0DFB">
          <w:rPr>
            <w:rFonts w:cs="Arial"/>
            <w:noProof/>
            <w:webHidden/>
          </w:rPr>
          <w:t>292</w:t>
        </w:r>
        <w:r w:rsidRPr="000E4A30">
          <w:rPr>
            <w:rFonts w:cs="Arial"/>
            <w:noProof/>
            <w:webHidden/>
          </w:rPr>
          <w:fldChar w:fldCharType="end"/>
        </w:r>
      </w:hyperlink>
    </w:p>
    <w:p w14:paraId="614C522D" w14:textId="3E2878C6" w:rsidR="003C1BA0" w:rsidRPr="000E4A30" w:rsidRDefault="003C1BA0">
      <w:pPr>
        <w:pStyle w:val="TOC4"/>
        <w:rPr>
          <w:rFonts w:eastAsiaTheme="minorEastAsia" w:cs="Arial"/>
          <w:noProof/>
          <w:kern w:val="2"/>
          <w14:ligatures w14:val="standardContextual"/>
        </w:rPr>
      </w:pPr>
      <w:hyperlink w:anchor="_Toc225877835" w:history="1">
        <w:r w:rsidRPr="000E4A30">
          <w:rPr>
            <w:rStyle w:val="Hyperlink"/>
            <w:rFonts w:cs="Arial"/>
            <w:noProof/>
          </w:rPr>
          <w:t>9B: Medical, Surgical, and Clinical Staff</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_Toc225877835 \h </w:instrText>
        </w:r>
        <w:r w:rsidRPr="000E4A30">
          <w:rPr>
            <w:rFonts w:cs="Arial"/>
            <w:noProof/>
            <w:webHidden/>
          </w:rPr>
        </w:r>
        <w:r w:rsidRPr="000E4A30">
          <w:rPr>
            <w:rFonts w:cs="Arial"/>
            <w:noProof/>
            <w:webHidden/>
          </w:rPr>
          <w:fldChar w:fldCharType="separate"/>
        </w:r>
        <w:r w:rsidR="002C0DFB">
          <w:rPr>
            <w:rFonts w:cs="Arial"/>
            <w:noProof/>
            <w:webHidden/>
          </w:rPr>
          <w:t>294</w:t>
        </w:r>
        <w:r w:rsidRPr="000E4A30">
          <w:rPr>
            <w:rFonts w:cs="Arial"/>
            <w:noProof/>
            <w:webHidden/>
          </w:rPr>
          <w:fldChar w:fldCharType="end"/>
        </w:r>
      </w:hyperlink>
    </w:p>
    <w:p w14:paraId="47F97D03" w14:textId="63EED5A5" w:rsidR="003C1BA0" w:rsidRPr="000E4A30" w:rsidRDefault="003C1BA0">
      <w:pPr>
        <w:pStyle w:val="TOC4"/>
        <w:rPr>
          <w:rFonts w:eastAsiaTheme="minorEastAsia" w:cs="Arial"/>
          <w:noProof/>
          <w:kern w:val="2"/>
          <w14:ligatures w14:val="standardContextual"/>
        </w:rPr>
      </w:pPr>
      <w:hyperlink w:anchor="_Toc225877836" w:history="1">
        <w:r w:rsidRPr="000E4A30">
          <w:rPr>
            <w:rStyle w:val="Hyperlink"/>
            <w:rFonts w:cs="Arial"/>
            <w:noProof/>
          </w:rPr>
          <w:t>9C: Volume of Procedures (Optional)</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_Toc225877836 \h </w:instrText>
        </w:r>
        <w:r w:rsidRPr="000E4A30">
          <w:rPr>
            <w:rFonts w:cs="Arial"/>
            <w:noProof/>
            <w:webHidden/>
          </w:rPr>
        </w:r>
        <w:r w:rsidRPr="000E4A30">
          <w:rPr>
            <w:rFonts w:cs="Arial"/>
            <w:noProof/>
            <w:webHidden/>
          </w:rPr>
          <w:fldChar w:fldCharType="separate"/>
        </w:r>
        <w:r w:rsidR="002C0DFB">
          <w:rPr>
            <w:rFonts w:cs="Arial"/>
            <w:noProof/>
            <w:webHidden/>
          </w:rPr>
          <w:t>296</w:t>
        </w:r>
        <w:r w:rsidRPr="000E4A30">
          <w:rPr>
            <w:rFonts w:cs="Arial"/>
            <w:noProof/>
            <w:webHidden/>
          </w:rPr>
          <w:fldChar w:fldCharType="end"/>
        </w:r>
      </w:hyperlink>
    </w:p>
    <w:p w14:paraId="493DAECF" w14:textId="3001122A" w:rsidR="003C1BA0" w:rsidRPr="000E4A30" w:rsidRDefault="003C1BA0">
      <w:pPr>
        <w:pStyle w:val="TOC5"/>
        <w:rPr>
          <w:rFonts w:ascii="Arial" w:hAnsi="Arial" w:cs="Arial"/>
          <w:noProof/>
          <w:kern w:val="2"/>
          <w:sz w:val="20"/>
          <w:szCs w:val="20"/>
          <w14:ligatures w14:val="standardContextual"/>
        </w:rPr>
      </w:pPr>
      <w:hyperlink w:anchor="_Toc225877837" w:history="1">
        <w:r w:rsidRPr="000E4A30">
          <w:rPr>
            <w:rStyle w:val="Hyperlink"/>
            <w:rFonts w:ascii="Arial" w:hAnsi="Arial" w:cs="Arial"/>
            <w:noProof/>
            <w:sz w:val="20"/>
            <w:szCs w:val="20"/>
          </w:rPr>
          <w:t>Ophthalmology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_Toc225877837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299</w:t>
        </w:r>
        <w:r w:rsidRPr="000E4A30">
          <w:rPr>
            <w:rFonts w:ascii="Arial" w:hAnsi="Arial" w:cs="Arial"/>
            <w:noProof/>
            <w:webHidden/>
            <w:sz w:val="20"/>
            <w:szCs w:val="20"/>
          </w:rPr>
          <w:fldChar w:fldCharType="end"/>
        </w:r>
      </w:hyperlink>
    </w:p>
    <w:p w14:paraId="5E68296B" w14:textId="1C77B30E" w:rsidR="003C1BA0" w:rsidRPr="000E4A30" w:rsidRDefault="003C1BA0">
      <w:pPr>
        <w:pStyle w:val="TOC5"/>
        <w:rPr>
          <w:rFonts w:ascii="Arial" w:hAnsi="Arial" w:cs="Arial"/>
          <w:noProof/>
          <w:kern w:val="2"/>
          <w:sz w:val="20"/>
          <w:szCs w:val="20"/>
          <w14:ligatures w14:val="standardContextual"/>
        </w:rPr>
      </w:pPr>
      <w:hyperlink w:anchor="_Toc225877838" w:history="1">
        <w:r w:rsidRPr="000E4A30">
          <w:rPr>
            <w:rStyle w:val="Hyperlink"/>
            <w:rFonts w:ascii="Arial" w:hAnsi="Arial" w:cs="Arial"/>
            <w:noProof/>
            <w:sz w:val="20"/>
            <w:szCs w:val="20"/>
          </w:rPr>
          <w:t>Orthopedic</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_Toc225877838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300</w:t>
        </w:r>
        <w:r w:rsidRPr="000E4A30">
          <w:rPr>
            <w:rFonts w:ascii="Arial" w:hAnsi="Arial" w:cs="Arial"/>
            <w:noProof/>
            <w:webHidden/>
            <w:sz w:val="20"/>
            <w:szCs w:val="20"/>
          </w:rPr>
          <w:fldChar w:fldCharType="end"/>
        </w:r>
      </w:hyperlink>
    </w:p>
    <w:p w14:paraId="5D09CF20" w14:textId="71A7437E" w:rsidR="003C1BA0" w:rsidRPr="000E4A30" w:rsidRDefault="003C1BA0">
      <w:pPr>
        <w:pStyle w:val="TOC5"/>
        <w:rPr>
          <w:rFonts w:ascii="Arial" w:hAnsi="Arial" w:cs="Arial"/>
          <w:noProof/>
          <w:kern w:val="2"/>
          <w:sz w:val="20"/>
          <w:szCs w:val="20"/>
          <w14:ligatures w14:val="standardContextual"/>
        </w:rPr>
      </w:pPr>
      <w:hyperlink w:anchor="_Toc225877839" w:history="1">
        <w:r w:rsidRPr="000E4A30">
          <w:rPr>
            <w:rStyle w:val="Hyperlink"/>
            <w:rFonts w:ascii="Arial" w:hAnsi="Arial" w:cs="Arial"/>
            <w:noProof/>
            <w:sz w:val="20"/>
            <w:szCs w:val="20"/>
          </w:rPr>
          <w:t>Otolaryngology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_Toc225877839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301</w:t>
        </w:r>
        <w:r w:rsidRPr="000E4A30">
          <w:rPr>
            <w:rFonts w:ascii="Arial" w:hAnsi="Arial" w:cs="Arial"/>
            <w:noProof/>
            <w:webHidden/>
            <w:sz w:val="20"/>
            <w:szCs w:val="20"/>
          </w:rPr>
          <w:fldChar w:fldCharType="end"/>
        </w:r>
      </w:hyperlink>
    </w:p>
    <w:p w14:paraId="5C5BF5FC" w14:textId="5D4C4635" w:rsidR="003C1BA0" w:rsidRPr="000E4A30" w:rsidRDefault="003C1BA0">
      <w:pPr>
        <w:pStyle w:val="TOC5"/>
        <w:rPr>
          <w:rFonts w:ascii="Arial" w:hAnsi="Arial" w:cs="Arial"/>
          <w:noProof/>
          <w:kern w:val="2"/>
          <w:sz w:val="20"/>
          <w:szCs w:val="20"/>
          <w14:ligatures w14:val="standardContextual"/>
        </w:rPr>
      </w:pPr>
      <w:hyperlink w:anchor="_Toc225877840" w:history="1">
        <w:r w:rsidRPr="000E4A30">
          <w:rPr>
            <w:rStyle w:val="Hyperlink"/>
            <w:rFonts w:ascii="Arial" w:hAnsi="Arial" w:cs="Arial"/>
            <w:noProof/>
            <w:sz w:val="20"/>
            <w:szCs w:val="20"/>
          </w:rPr>
          <w:t>Gastroenterology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_Toc225877840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302</w:t>
        </w:r>
        <w:r w:rsidRPr="000E4A30">
          <w:rPr>
            <w:rFonts w:ascii="Arial" w:hAnsi="Arial" w:cs="Arial"/>
            <w:noProof/>
            <w:webHidden/>
            <w:sz w:val="20"/>
            <w:szCs w:val="20"/>
          </w:rPr>
          <w:fldChar w:fldCharType="end"/>
        </w:r>
      </w:hyperlink>
    </w:p>
    <w:p w14:paraId="4EF8ABF3" w14:textId="3DB788E3" w:rsidR="003C1BA0" w:rsidRPr="000E4A30" w:rsidRDefault="003C1BA0">
      <w:pPr>
        <w:pStyle w:val="TOC5"/>
        <w:rPr>
          <w:rFonts w:ascii="Arial" w:hAnsi="Arial" w:cs="Arial"/>
          <w:noProof/>
          <w:kern w:val="2"/>
          <w:sz w:val="20"/>
          <w:szCs w:val="20"/>
          <w14:ligatures w14:val="standardContextual"/>
        </w:rPr>
      </w:pPr>
      <w:hyperlink w:anchor="_Toc225877841" w:history="1">
        <w:r w:rsidRPr="000E4A30">
          <w:rPr>
            <w:rStyle w:val="Hyperlink"/>
            <w:rFonts w:ascii="Arial" w:hAnsi="Arial" w:cs="Arial"/>
            <w:noProof/>
            <w:sz w:val="20"/>
            <w:szCs w:val="20"/>
          </w:rPr>
          <w:t>General Surgery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_Toc225877841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303</w:t>
        </w:r>
        <w:r w:rsidRPr="000E4A30">
          <w:rPr>
            <w:rFonts w:ascii="Arial" w:hAnsi="Arial" w:cs="Arial"/>
            <w:noProof/>
            <w:webHidden/>
            <w:sz w:val="20"/>
            <w:szCs w:val="20"/>
          </w:rPr>
          <w:fldChar w:fldCharType="end"/>
        </w:r>
      </w:hyperlink>
    </w:p>
    <w:p w14:paraId="34E9563B" w14:textId="1E1FF461" w:rsidR="003C1BA0" w:rsidRPr="000E4A30" w:rsidRDefault="003C1BA0">
      <w:pPr>
        <w:pStyle w:val="TOC5"/>
        <w:rPr>
          <w:rFonts w:ascii="Arial" w:hAnsi="Arial" w:cs="Arial"/>
          <w:noProof/>
          <w:kern w:val="2"/>
          <w:sz w:val="20"/>
          <w:szCs w:val="20"/>
          <w14:ligatures w14:val="standardContextual"/>
        </w:rPr>
      </w:pPr>
      <w:hyperlink w:anchor="_Toc225877842" w:history="1">
        <w:r w:rsidRPr="000E4A30">
          <w:rPr>
            <w:rStyle w:val="Hyperlink"/>
            <w:rFonts w:ascii="Arial" w:hAnsi="Arial" w:cs="Arial"/>
            <w:noProof/>
            <w:sz w:val="20"/>
            <w:szCs w:val="20"/>
          </w:rPr>
          <w:t>Urology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_Toc225877842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304</w:t>
        </w:r>
        <w:r w:rsidRPr="000E4A30">
          <w:rPr>
            <w:rFonts w:ascii="Arial" w:hAnsi="Arial" w:cs="Arial"/>
            <w:noProof/>
            <w:webHidden/>
            <w:sz w:val="20"/>
            <w:szCs w:val="20"/>
          </w:rPr>
          <w:fldChar w:fldCharType="end"/>
        </w:r>
      </w:hyperlink>
    </w:p>
    <w:p w14:paraId="769DDDD0" w14:textId="7906A290" w:rsidR="003C1BA0" w:rsidRPr="000E4A30" w:rsidRDefault="003C1BA0">
      <w:pPr>
        <w:pStyle w:val="TOC5"/>
        <w:rPr>
          <w:rFonts w:ascii="Arial" w:hAnsi="Arial" w:cs="Arial"/>
          <w:noProof/>
          <w:kern w:val="2"/>
          <w:sz w:val="20"/>
          <w:szCs w:val="20"/>
          <w14:ligatures w14:val="standardContextual"/>
        </w:rPr>
      </w:pPr>
      <w:hyperlink w:anchor="_Toc225877843" w:history="1">
        <w:r w:rsidRPr="000E4A30">
          <w:rPr>
            <w:rStyle w:val="Hyperlink"/>
            <w:rFonts w:ascii="Arial" w:hAnsi="Arial" w:cs="Arial"/>
            <w:noProof/>
            <w:sz w:val="20"/>
            <w:szCs w:val="20"/>
          </w:rPr>
          <w:t>Neurological Surgery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_Toc225877843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305</w:t>
        </w:r>
        <w:r w:rsidRPr="000E4A30">
          <w:rPr>
            <w:rFonts w:ascii="Arial" w:hAnsi="Arial" w:cs="Arial"/>
            <w:noProof/>
            <w:webHidden/>
            <w:sz w:val="20"/>
            <w:szCs w:val="20"/>
          </w:rPr>
          <w:fldChar w:fldCharType="end"/>
        </w:r>
      </w:hyperlink>
    </w:p>
    <w:p w14:paraId="2153603D" w14:textId="155AAD43" w:rsidR="003C1BA0" w:rsidRPr="000E4A30" w:rsidRDefault="003C1BA0">
      <w:pPr>
        <w:pStyle w:val="TOC5"/>
        <w:rPr>
          <w:rFonts w:ascii="Arial" w:hAnsi="Arial" w:cs="Arial"/>
          <w:noProof/>
          <w:kern w:val="2"/>
          <w:sz w:val="20"/>
          <w:szCs w:val="20"/>
          <w14:ligatures w14:val="standardContextual"/>
        </w:rPr>
      </w:pPr>
      <w:hyperlink w:anchor="_Toc225877844" w:history="1">
        <w:r w:rsidRPr="000E4A30">
          <w:rPr>
            <w:rStyle w:val="Hyperlink"/>
            <w:rFonts w:ascii="Arial" w:hAnsi="Arial" w:cs="Arial"/>
            <w:noProof/>
            <w:sz w:val="20"/>
            <w:szCs w:val="20"/>
          </w:rPr>
          <w:t>Obstetrics and Gynecology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_Toc225877844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306</w:t>
        </w:r>
        <w:r w:rsidRPr="000E4A30">
          <w:rPr>
            <w:rFonts w:ascii="Arial" w:hAnsi="Arial" w:cs="Arial"/>
            <w:noProof/>
            <w:webHidden/>
            <w:sz w:val="20"/>
            <w:szCs w:val="20"/>
          </w:rPr>
          <w:fldChar w:fldCharType="end"/>
        </w:r>
      </w:hyperlink>
    </w:p>
    <w:p w14:paraId="169FB863" w14:textId="7C4D06B1" w:rsidR="003C1BA0" w:rsidRPr="000E4A30" w:rsidRDefault="003C1BA0">
      <w:pPr>
        <w:pStyle w:val="TOC5"/>
        <w:rPr>
          <w:rFonts w:ascii="Arial" w:hAnsi="Arial" w:cs="Arial"/>
          <w:noProof/>
          <w:kern w:val="2"/>
          <w:sz w:val="20"/>
          <w:szCs w:val="20"/>
          <w14:ligatures w14:val="standardContextual"/>
        </w:rPr>
      </w:pPr>
      <w:hyperlink w:anchor="_Toc225877845" w:history="1">
        <w:r w:rsidRPr="000E4A30">
          <w:rPr>
            <w:rStyle w:val="Hyperlink"/>
            <w:rFonts w:ascii="Arial" w:hAnsi="Arial" w:cs="Arial"/>
            <w:noProof/>
            <w:sz w:val="20"/>
            <w:szCs w:val="20"/>
          </w:rPr>
          <w:t>Plastic and Reconstructive Surgery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_Toc225877845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307</w:t>
        </w:r>
        <w:r w:rsidRPr="000E4A30">
          <w:rPr>
            <w:rFonts w:ascii="Arial" w:hAnsi="Arial" w:cs="Arial"/>
            <w:noProof/>
            <w:webHidden/>
            <w:sz w:val="20"/>
            <w:szCs w:val="20"/>
          </w:rPr>
          <w:fldChar w:fldCharType="end"/>
        </w:r>
      </w:hyperlink>
    </w:p>
    <w:p w14:paraId="08717899" w14:textId="052E6C2B" w:rsidR="003C1BA0" w:rsidRPr="000E4A30" w:rsidRDefault="003C1BA0">
      <w:pPr>
        <w:pStyle w:val="TOC4"/>
        <w:rPr>
          <w:rFonts w:eastAsiaTheme="minorEastAsia" w:cs="Arial"/>
          <w:noProof/>
          <w:kern w:val="2"/>
          <w14:ligatures w14:val="standardContextual"/>
        </w:rPr>
      </w:pPr>
      <w:hyperlink w:anchor="_Toc225877846" w:history="1">
        <w:r w:rsidRPr="000E4A30">
          <w:rPr>
            <w:rStyle w:val="Hyperlink"/>
            <w:rFonts w:cs="Arial"/>
            <w:noProof/>
          </w:rPr>
          <w:t>9D: Safety of Procedures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_Toc225877846 \h </w:instrText>
        </w:r>
        <w:r w:rsidRPr="000E4A30">
          <w:rPr>
            <w:rFonts w:cs="Arial"/>
            <w:noProof/>
            <w:webHidden/>
          </w:rPr>
        </w:r>
        <w:r w:rsidRPr="000E4A30">
          <w:rPr>
            <w:rFonts w:cs="Arial"/>
            <w:noProof/>
            <w:webHidden/>
          </w:rPr>
          <w:fldChar w:fldCharType="separate"/>
        </w:r>
        <w:r w:rsidR="002C0DFB">
          <w:rPr>
            <w:rFonts w:cs="Arial"/>
            <w:noProof/>
            <w:webHidden/>
          </w:rPr>
          <w:t>308</w:t>
        </w:r>
        <w:r w:rsidRPr="000E4A30">
          <w:rPr>
            <w:rFonts w:cs="Arial"/>
            <w:noProof/>
            <w:webHidden/>
          </w:rPr>
          <w:fldChar w:fldCharType="end"/>
        </w:r>
      </w:hyperlink>
    </w:p>
    <w:p w14:paraId="042C35C4" w14:textId="0823E926" w:rsidR="003C1BA0" w:rsidRPr="000E4A30" w:rsidRDefault="003C1BA0">
      <w:pPr>
        <w:pStyle w:val="TOC4"/>
        <w:rPr>
          <w:rFonts w:eastAsiaTheme="minorEastAsia" w:cs="Arial"/>
          <w:noProof/>
          <w:kern w:val="2"/>
          <w14:ligatures w14:val="standardContextual"/>
        </w:rPr>
      </w:pPr>
      <w:hyperlink w:anchor="_Toc225877847" w:history="1">
        <w:r w:rsidRPr="000E4A30">
          <w:rPr>
            <w:rStyle w:val="Hyperlink"/>
            <w:rFonts w:cs="Arial"/>
            <w:noProof/>
          </w:rPr>
          <w:t>9E: Medication Safety for Outpatient Procedures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_Toc225877847 \h </w:instrText>
        </w:r>
        <w:r w:rsidRPr="000E4A30">
          <w:rPr>
            <w:rFonts w:cs="Arial"/>
            <w:noProof/>
            <w:webHidden/>
          </w:rPr>
        </w:r>
        <w:r w:rsidRPr="000E4A30">
          <w:rPr>
            <w:rFonts w:cs="Arial"/>
            <w:noProof/>
            <w:webHidden/>
          </w:rPr>
          <w:fldChar w:fldCharType="separate"/>
        </w:r>
        <w:r w:rsidR="002C0DFB">
          <w:rPr>
            <w:rFonts w:cs="Arial"/>
            <w:noProof/>
            <w:webHidden/>
          </w:rPr>
          <w:t>311</w:t>
        </w:r>
        <w:r w:rsidRPr="000E4A30">
          <w:rPr>
            <w:rFonts w:cs="Arial"/>
            <w:noProof/>
            <w:webHidden/>
          </w:rPr>
          <w:fldChar w:fldCharType="end"/>
        </w:r>
      </w:hyperlink>
    </w:p>
    <w:p w14:paraId="2F174BD0" w14:textId="7F49F23B" w:rsidR="003C1BA0" w:rsidRPr="000E4A30" w:rsidRDefault="003C1BA0">
      <w:pPr>
        <w:pStyle w:val="TOC4"/>
        <w:rPr>
          <w:rFonts w:eastAsiaTheme="minorEastAsia" w:cs="Arial"/>
          <w:noProof/>
          <w:kern w:val="2"/>
          <w14:ligatures w14:val="standardContextual"/>
        </w:rPr>
      </w:pPr>
      <w:hyperlink w:anchor="_Toc225877848" w:history="1">
        <w:r w:rsidRPr="000E4A30">
          <w:rPr>
            <w:rStyle w:val="Hyperlink"/>
            <w:rFonts w:cs="Arial"/>
            <w:noProof/>
          </w:rPr>
          <w:t>9F: CMS Measures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_Toc225877848 \h </w:instrText>
        </w:r>
        <w:r w:rsidRPr="000E4A30">
          <w:rPr>
            <w:rFonts w:cs="Arial"/>
            <w:noProof/>
            <w:webHidden/>
          </w:rPr>
        </w:r>
        <w:r w:rsidRPr="000E4A30">
          <w:rPr>
            <w:rFonts w:cs="Arial"/>
            <w:noProof/>
            <w:webHidden/>
          </w:rPr>
          <w:fldChar w:fldCharType="separate"/>
        </w:r>
        <w:r w:rsidR="002C0DFB">
          <w:rPr>
            <w:rFonts w:cs="Arial"/>
            <w:noProof/>
            <w:webHidden/>
          </w:rPr>
          <w:t>313</w:t>
        </w:r>
        <w:r w:rsidRPr="000E4A30">
          <w:rPr>
            <w:rFonts w:cs="Arial"/>
            <w:noProof/>
            <w:webHidden/>
          </w:rPr>
          <w:fldChar w:fldCharType="end"/>
        </w:r>
      </w:hyperlink>
    </w:p>
    <w:p w14:paraId="2BC43977" w14:textId="5F05AF28" w:rsidR="003C1BA0" w:rsidRPr="000E4A30" w:rsidRDefault="003C1BA0">
      <w:pPr>
        <w:pStyle w:val="TOC4"/>
        <w:rPr>
          <w:rFonts w:eastAsiaTheme="minorEastAsia" w:cs="Arial"/>
          <w:noProof/>
          <w:kern w:val="2"/>
          <w14:ligatures w14:val="standardContextual"/>
        </w:rPr>
      </w:pPr>
      <w:hyperlink w:anchor="_Toc225877849" w:history="1">
        <w:r w:rsidRPr="000E4A30">
          <w:rPr>
            <w:rStyle w:val="Hyperlink"/>
            <w:rFonts w:cs="Arial"/>
            <w:noProof/>
          </w:rPr>
          <w:t>Section 9: Outpatient Procedures Reference Information</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_Toc225877849 \h </w:instrText>
        </w:r>
        <w:r w:rsidRPr="000E4A30">
          <w:rPr>
            <w:rFonts w:cs="Arial"/>
            <w:noProof/>
            <w:webHidden/>
          </w:rPr>
        </w:r>
        <w:r w:rsidRPr="000E4A30">
          <w:rPr>
            <w:rFonts w:cs="Arial"/>
            <w:noProof/>
            <w:webHidden/>
          </w:rPr>
          <w:fldChar w:fldCharType="separate"/>
        </w:r>
        <w:r w:rsidR="002C0DFB">
          <w:rPr>
            <w:rFonts w:cs="Arial"/>
            <w:noProof/>
            <w:webHidden/>
          </w:rPr>
          <w:t>315</w:t>
        </w:r>
        <w:r w:rsidRPr="000E4A30">
          <w:rPr>
            <w:rFonts w:cs="Arial"/>
            <w:noProof/>
            <w:webHidden/>
          </w:rPr>
          <w:fldChar w:fldCharType="end"/>
        </w:r>
      </w:hyperlink>
    </w:p>
    <w:p w14:paraId="21DD47F9" w14:textId="252B44A4" w:rsidR="003C1BA0" w:rsidRPr="000E4A30" w:rsidRDefault="003C1BA0">
      <w:pPr>
        <w:pStyle w:val="TOC5"/>
        <w:rPr>
          <w:rFonts w:ascii="Arial" w:hAnsi="Arial" w:cs="Arial"/>
          <w:noProof/>
          <w:kern w:val="2"/>
          <w:sz w:val="20"/>
          <w:szCs w:val="20"/>
          <w14:ligatures w14:val="standardContextual"/>
        </w:rPr>
      </w:pPr>
      <w:hyperlink w:anchor="_Toc225877850" w:history="1">
        <w:r w:rsidRPr="000E4A30">
          <w:rPr>
            <w:rStyle w:val="Hyperlink"/>
            <w:rFonts w:ascii="Arial" w:hAnsi="Arial" w:cs="Arial"/>
            <w:noProof/>
            <w:sz w:val="20"/>
            <w:szCs w:val="20"/>
          </w:rPr>
          <w:t>What’s New in the 2026 Survey</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_Toc225877850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315</w:t>
        </w:r>
        <w:r w:rsidRPr="000E4A30">
          <w:rPr>
            <w:rFonts w:ascii="Arial" w:hAnsi="Arial" w:cs="Arial"/>
            <w:noProof/>
            <w:webHidden/>
            <w:sz w:val="20"/>
            <w:szCs w:val="20"/>
          </w:rPr>
          <w:fldChar w:fldCharType="end"/>
        </w:r>
      </w:hyperlink>
    </w:p>
    <w:p w14:paraId="411EE8B5" w14:textId="037DE25D" w:rsidR="003C1BA0" w:rsidRPr="000E4A30" w:rsidRDefault="003C1BA0">
      <w:pPr>
        <w:pStyle w:val="TOC5"/>
        <w:rPr>
          <w:rFonts w:ascii="Arial" w:hAnsi="Arial" w:cs="Arial"/>
          <w:noProof/>
          <w:kern w:val="2"/>
          <w:sz w:val="20"/>
          <w:szCs w:val="20"/>
          <w14:ligatures w14:val="standardContextual"/>
        </w:rPr>
      </w:pPr>
      <w:hyperlink w:anchor="_Toc225877851" w:history="1">
        <w:r w:rsidRPr="000E4A30">
          <w:rPr>
            <w:rStyle w:val="Hyperlink"/>
            <w:rFonts w:ascii="Arial" w:hAnsi="Arial" w:cs="Arial"/>
            <w:noProof/>
            <w:sz w:val="20"/>
            <w:szCs w:val="20"/>
          </w:rPr>
          <w:t>Change Summary Since Release</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_Toc225877851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316</w:t>
        </w:r>
        <w:r w:rsidRPr="000E4A30">
          <w:rPr>
            <w:rFonts w:ascii="Arial" w:hAnsi="Arial" w:cs="Arial"/>
            <w:noProof/>
            <w:webHidden/>
            <w:sz w:val="20"/>
            <w:szCs w:val="20"/>
          </w:rPr>
          <w:fldChar w:fldCharType="end"/>
        </w:r>
      </w:hyperlink>
    </w:p>
    <w:p w14:paraId="59D24C02" w14:textId="4F82E169" w:rsidR="003C1BA0" w:rsidRPr="000E4A30" w:rsidRDefault="003C1BA0">
      <w:pPr>
        <w:pStyle w:val="TOC4"/>
        <w:rPr>
          <w:rFonts w:eastAsiaTheme="minorEastAsia" w:cs="Arial"/>
          <w:noProof/>
          <w:kern w:val="2"/>
          <w14:ligatures w14:val="standardContextual"/>
        </w:rPr>
      </w:pPr>
      <w:hyperlink w:anchor="_Toc225877852" w:history="1">
        <w:r w:rsidRPr="000E4A30">
          <w:rPr>
            <w:rStyle w:val="Hyperlink"/>
            <w:rFonts w:cs="Arial"/>
            <w:noProof/>
          </w:rPr>
          <w:t>Section 9A: Basic Outpatient Department Information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_Toc225877852 \h </w:instrText>
        </w:r>
        <w:r w:rsidRPr="000E4A30">
          <w:rPr>
            <w:rFonts w:cs="Arial"/>
            <w:noProof/>
            <w:webHidden/>
          </w:rPr>
        </w:r>
        <w:r w:rsidRPr="000E4A30">
          <w:rPr>
            <w:rFonts w:cs="Arial"/>
            <w:noProof/>
            <w:webHidden/>
          </w:rPr>
          <w:fldChar w:fldCharType="separate"/>
        </w:r>
        <w:r w:rsidR="002C0DFB">
          <w:rPr>
            <w:rFonts w:cs="Arial"/>
            <w:noProof/>
            <w:webHidden/>
          </w:rPr>
          <w:t>317</w:t>
        </w:r>
        <w:r w:rsidRPr="000E4A30">
          <w:rPr>
            <w:rFonts w:cs="Arial"/>
            <w:noProof/>
            <w:webHidden/>
          </w:rPr>
          <w:fldChar w:fldCharType="end"/>
        </w:r>
      </w:hyperlink>
    </w:p>
    <w:p w14:paraId="73BAC3E9" w14:textId="5BDC8A7C" w:rsidR="003C1BA0" w:rsidRPr="000E4A30" w:rsidRDefault="003C1BA0">
      <w:pPr>
        <w:pStyle w:val="TOC4"/>
        <w:rPr>
          <w:rFonts w:eastAsiaTheme="minorEastAsia" w:cs="Arial"/>
          <w:noProof/>
          <w:kern w:val="2"/>
          <w14:ligatures w14:val="standardContextual"/>
        </w:rPr>
      </w:pPr>
      <w:hyperlink w:anchor="_Toc225877853" w:history="1">
        <w:r w:rsidRPr="000E4A30">
          <w:rPr>
            <w:rStyle w:val="Hyperlink"/>
            <w:rFonts w:cs="Arial"/>
            <w:noProof/>
          </w:rPr>
          <w:t>Section 9B: Medical, Surgical, and Clinical Staff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_Toc225877853 \h </w:instrText>
        </w:r>
        <w:r w:rsidRPr="000E4A30">
          <w:rPr>
            <w:rFonts w:cs="Arial"/>
            <w:noProof/>
            <w:webHidden/>
          </w:rPr>
        </w:r>
        <w:r w:rsidRPr="000E4A30">
          <w:rPr>
            <w:rFonts w:cs="Arial"/>
            <w:noProof/>
            <w:webHidden/>
          </w:rPr>
          <w:fldChar w:fldCharType="separate"/>
        </w:r>
        <w:r w:rsidR="002C0DFB">
          <w:rPr>
            <w:rFonts w:cs="Arial"/>
            <w:noProof/>
            <w:webHidden/>
          </w:rPr>
          <w:t>318</w:t>
        </w:r>
        <w:r w:rsidRPr="000E4A30">
          <w:rPr>
            <w:rFonts w:cs="Arial"/>
            <w:noProof/>
            <w:webHidden/>
          </w:rPr>
          <w:fldChar w:fldCharType="end"/>
        </w:r>
      </w:hyperlink>
    </w:p>
    <w:p w14:paraId="5EFAC405" w14:textId="6D6B4FBD" w:rsidR="003C1BA0" w:rsidRPr="000E4A30" w:rsidRDefault="003C1BA0">
      <w:pPr>
        <w:pStyle w:val="TOC4"/>
        <w:rPr>
          <w:rFonts w:eastAsiaTheme="minorEastAsia" w:cs="Arial"/>
          <w:noProof/>
          <w:kern w:val="2"/>
          <w14:ligatures w14:val="standardContextual"/>
        </w:rPr>
      </w:pPr>
      <w:hyperlink w:anchor="_Toc225877854" w:history="1">
        <w:r w:rsidRPr="000E4A30">
          <w:rPr>
            <w:rStyle w:val="Hyperlink"/>
            <w:rFonts w:cs="Arial"/>
            <w:noProof/>
          </w:rPr>
          <w:t>Volume of Procedures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_Toc225877854 \h </w:instrText>
        </w:r>
        <w:r w:rsidRPr="000E4A30">
          <w:rPr>
            <w:rFonts w:cs="Arial"/>
            <w:noProof/>
            <w:webHidden/>
          </w:rPr>
        </w:r>
        <w:r w:rsidRPr="000E4A30">
          <w:rPr>
            <w:rFonts w:cs="Arial"/>
            <w:noProof/>
            <w:webHidden/>
          </w:rPr>
          <w:fldChar w:fldCharType="separate"/>
        </w:r>
        <w:r w:rsidR="002C0DFB">
          <w:rPr>
            <w:rFonts w:cs="Arial"/>
            <w:noProof/>
            <w:webHidden/>
          </w:rPr>
          <w:t>319</w:t>
        </w:r>
        <w:r w:rsidRPr="000E4A30">
          <w:rPr>
            <w:rFonts w:cs="Arial"/>
            <w:noProof/>
            <w:webHidden/>
          </w:rPr>
          <w:fldChar w:fldCharType="end"/>
        </w:r>
      </w:hyperlink>
    </w:p>
    <w:p w14:paraId="553ECFC1" w14:textId="79F931FE" w:rsidR="003C1BA0" w:rsidRPr="000E4A30" w:rsidRDefault="003C1BA0">
      <w:pPr>
        <w:pStyle w:val="TOC5"/>
        <w:rPr>
          <w:rFonts w:ascii="Arial" w:hAnsi="Arial" w:cs="Arial"/>
          <w:noProof/>
          <w:kern w:val="2"/>
          <w:sz w:val="20"/>
          <w:szCs w:val="20"/>
          <w14:ligatures w14:val="standardContextual"/>
        </w:rPr>
      </w:pPr>
      <w:hyperlink w:anchor="_Toc225877855" w:history="1">
        <w:r w:rsidRPr="000E4A30">
          <w:rPr>
            <w:rStyle w:val="Hyperlink"/>
            <w:rFonts w:ascii="Arial" w:hAnsi="Arial" w:cs="Arial"/>
            <w:noProof/>
            <w:sz w:val="20"/>
            <w:szCs w:val="20"/>
          </w:rPr>
          <w:t>Ophthalmology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_Toc225877855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321</w:t>
        </w:r>
        <w:r w:rsidRPr="000E4A30">
          <w:rPr>
            <w:rFonts w:ascii="Arial" w:hAnsi="Arial" w:cs="Arial"/>
            <w:noProof/>
            <w:webHidden/>
            <w:sz w:val="20"/>
            <w:szCs w:val="20"/>
          </w:rPr>
          <w:fldChar w:fldCharType="end"/>
        </w:r>
      </w:hyperlink>
    </w:p>
    <w:p w14:paraId="65B4F414" w14:textId="655A9326" w:rsidR="003C1BA0" w:rsidRPr="000E4A30" w:rsidRDefault="003C1BA0">
      <w:pPr>
        <w:pStyle w:val="TOC5"/>
        <w:rPr>
          <w:rFonts w:ascii="Arial" w:hAnsi="Arial" w:cs="Arial"/>
          <w:noProof/>
          <w:kern w:val="2"/>
          <w:sz w:val="20"/>
          <w:szCs w:val="20"/>
          <w14:ligatures w14:val="standardContextual"/>
        </w:rPr>
      </w:pPr>
      <w:hyperlink w:anchor="_Toc225877856" w:history="1">
        <w:r w:rsidRPr="000E4A30">
          <w:rPr>
            <w:rStyle w:val="Hyperlink"/>
            <w:rFonts w:ascii="Arial" w:hAnsi="Arial" w:cs="Arial"/>
            <w:noProof/>
            <w:sz w:val="20"/>
            <w:szCs w:val="20"/>
          </w:rPr>
          <w:t>Orthopedic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_Toc225877856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321</w:t>
        </w:r>
        <w:r w:rsidRPr="000E4A30">
          <w:rPr>
            <w:rFonts w:ascii="Arial" w:hAnsi="Arial" w:cs="Arial"/>
            <w:noProof/>
            <w:webHidden/>
            <w:sz w:val="20"/>
            <w:szCs w:val="20"/>
          </w:rPr>
          <w:fldChar w:fldCharType="end"/>
        </w:r>
      </w:hyperlink>
    </w:p>
    <w:p w14:paraId="6A04A2B7" w14:textId="00B87BA6" w:rsidR="003C1BA0" w:rsidRPr="000E4A30" w:rsidRDefault="003C1BA0">
      <w:pPr>
        <w:pStyle w:val="TOC5"/>
        <w:rPr>
          <w:rFonts w:ascii="Arial" w:hAnsi="Arial" w:cs="Arial"/>
          <w:noProof/>
          <w:kern w:val="2"/>
          <w:sz w:val="20"/>
          <w:szCs w:val="20"/>
          <w14:ligatures w14:val="standardContextual"/>
        </w:rPr>
      </w:pPr>
      <w:hyperlink w:anchor="_Toc225877857" w:history="1">
        <w:r w:rsidRPr="000E4A30">
          <w:rPr>
            <w:rStyle w:val="Hyperlink"/>
            <w:rFonts w:ascii="Arial" w:hAnsi="Arial" w:cs="Arial"/>
            <w:noProof/>
            <w:sz w:val="20"/>
            <w:szCs w:val="20"/>
          </w:rPr>
          <w:t>Otolaryngology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_Toc225877857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321</w:t>
        </w:r>
        <w:r w:rsidRPr="000E4A30">
          <w:rPr>
            <w:rFonts w:ascii="Arial" w:hAnsi="Arial" w:cs="Arial"/>
            <w:noProof/>
            <w:webHidden/>
            <w:sz w:val="20"/>
            <w:szCs w:val="20"/>
          </w:rPr>
          <w:fldChar w:fldCharType="end"/>
        </w:r>
      </w:hyperlink>
    </w:p>
    <w:p w14:paraId="4EE3458F" w14:textId="035C0CC9" w:rsidR="003C1BA0" w:rsidRPr="000E4A30" w:rsidRDefault="003C1BA0">
      <w:pPr>
        <w:pStyle w:val="TOC5"/>
        <w:rPr>
          <w:rFonts w:ascii="Arial" w:hAnsi="Arial" w:cs="Arial"/>
          <w:noProof/>
          <w:kern w:val="2"/>
          <w:sz w:val="20"/>
          <w:szCs w:val="20"/>
          <w14:ligatures w14:val="standardContextual"/>
        </w:rPr>
      </w:pPr>
      <w:hyperlink w:anchor="_Toc225877858" w:history="1">
        <w:r w:rsidRPr="000E4A30">
          <w:rPr>
            <w:rStyle w:val="Hyperlink"/>
            <w:rFonts w:ascii="Arial" w:hAnsi="Arial" w:cs="Arial"/>
            <w:noProof/>
            <w:sz w:val="20"/>
            <w:szCs w:val="20"/>
          </w:rPr>
          <w:t>Gastroenterology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_Toc225877858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322</w:t>
        </w:r>
        <w:r w:rsidRPr="000E4A30">
          <w:rPr>
            <w:rFonts w:ascii="Arial" w:hAnsi="Arial" w:cs="Arial"/>
            <w:noProof/>
            <w:webHidden/>
            <w:sz w:val="20"/>
            <w:szCs w:val="20"/>
          </w:rPr>
          <w:fldChar w:fldCharType="end"/>
        </w:r>
      </w:hyperlink>
    </w:p>
    <w:p w14:paraId="7FF05B2F" w14:textId="2C0346F5" w:rsidR="003C1BA0" w:rsidRPr="000E4A30" w:rsidRDefault="003C1BA0">
      <w:pPr>
        <w:pStyle w:val="TOC5"/>
        <w:rPr>
          <w:rFonts w:ascii="Arial" w:hAnsi="Arial" w:cs="Arial"/>
          <w:noProof/>
          <w:kern w:val="2"/>
          <w:sz w:val="20"/>
          <w:szCs w:val="20"/>
          <w14:ligatures w14:val="standardContextual"/>
        </w:rPr>
      </w:pPr>
      <w:hyperlink w:anchor="_Toc225877859" w:history="1">
        <w:r w:rsidRPr="000E4A30">
          <w:rPr>
            <w:rStyle w:val="Hyperlink"/>
            <w:rFonts w:ascii="Arial" w:hAnsi="Arial" w:cs="Arial"/>
            <w:noProof/>
            <w:sz w:val="20"/>
            <w:szCs w:val="20"/>
          </w:rPr>
          <w:t>General Surgery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_Toc225877859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322</w:t>
        </w:r>
        <w:r w:rsidRPr="000E4A30">
          <w:rPr>
            <w:rFonts w:ascii="Arial" w:hAnsi="Arial" w:cs="Arial"/>
            <w:noProof/>
            <w:webHidden/>
            <w:sz w:val="20"/>
            <w:szCs w:val="20"/>
          </w:rPr>
          <w:fldChar w:fldCharType="end"/>
        </w:r>
      </w:hyperlink>
    </w:p>
    <w:p w14:paraId="42E70AEB" w14:textId="02E134FA" w:rsidR="003C1BA0" w:rsidRPr="000E4A30" w:rsidRDefault="003C1BA0">
      <w:pPr>
        <w:pStyle w:val="TOC5"/>
        <w:rPr>
          <w:rFonts w:ascii="Arial" w:hAnsi="Arial" w:cs="Arial"/>
          <w:noProof/>
          <w:kern w:val="2"/>
          <w:sz w:val="20"/>
          <w:szCs w:val="20"/>
          <w14:ligatures w14:val="standardContextual"/>
        </w:rPr>
      </w:pPr>
      <w:hyperlink w:anchor="_Toc225877860" w:history="1">
        <w:r w:rsidRPr="000E4A30">
          <w:rPr>
            <w:rStyle w:val="Hyperlink"/>
            <w:rFonts w:ascii="Arial" w:hAnsi="Arial" w:cs="Arial"/>
            <w:noProof/>
            <w:sz w:val="20"/>
            <w:szCs w:val="20"/>
          </w:rPr>
          <w:t>Urology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_Toc225877860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322</w:t>
        </w:r>
        <w:r w:rsidRPr="000E4A30">
          <w:rPr>
            <w:rFonts w:ascii="Arial" w:hAnsi="Arial" w:cs="Arial"/>
            <w:noProof/>
            <w:webHidden/>
            <w:sz w:val="20"/>
            <w:szCs w:val="20"/>
          </w:rPr>
          <w:fldChar w:fldCharType="end"/>
        </w:r>
      </w:hyperlink>
    </w:p>
    <w:p w14:paraId="349AA221" w14:textId="2F59C7E1" w:rsidR="003C1BA0" w:rsidRPr="000E4A30" w:rsidRDefault="003C1BA0">
      <w:pPr>
        <w:pStyle w:val="TOC5"/>
        <w:rPr>
          <w:rFonts w:ascii="Arial" w:hAnsi="Arial" w:cs="Arial"/>
          <w:noProof/>
          <w:kern w:val="2"/>
          <w:sz w:val="20"/>
          <w:szCs w:val="20"/>
          <w14:ligatures w14:val="standardContextual"/>
        </w:rPr>
      </w:pPr>
      <w:hyperlink w:anchor="_Toc225877861" w:history="1">
        <w:r w:rsidRPr="000E4A30">
          <w:rPr>
            <w:rStyle w:val="Hyperlink"/>
            <w:rFonts w:ascii="Arial" w:hAnsi="Arial" w:cs="Arial"/>
            <w:noProof/>
            <w:sz w:val="20"/>
            <w:szCs w:val="20"/>
          </w:rPr>
          <w:t>Neurological Surgery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_Toc225877861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323</w:t>
        </w:r>
        <w:r w:rsidRPr="000E4A30">
          <w:rPr>
            <w:rFonts w:ascii="Arial" w:hAnsi="Arial" w:cs="Arial"/>
            <w:noProof/>
            <w:webHidden/>
            <w:sz w:val="20"/>
            <w:szCs w:val="20"/>
          </w:rPr>
          <w:fldChar w:fldCharType="end"/>
        </w:r>
      </w:hyperlink>
    </w:p>
    <w:p w14:paraId="2B4A8DC7" w14:textId="22B17774" w:rsidR="003C1BA0" w:rsidRPr="000E4A30" w:rsidRDefault="003C1BA0">
      <w:pPr>
        <w:pStyle w:val="TOC5"/>
        <w:rPr>
          <w:rFonts w:ascii="Arial" w:hAnsi="Arial" w:cs="Arial"/>
          <w:noProof/>
          <w:kern w:val="2"/>
          <w:sz w:val="20"/>
          <w:szCs w:val="20"/>
          <w14:ligatures w14:val="standardContextual"/>
        </w:rPr>
      </w:pPr>
      <w:hyperlink w:anchor="_Toc225877862" w:history="1">
        <w:r w:rsidRPr="000E4A30">
          <w:rPr>
            <w:rStyle w:val="Hyperlink"/>
            <w:rFonts w:ascii="Arial" w:hAnsi="Arial" w:cs="Arial"/>
            <w:noProof/>
            <w:sz w:val="20"/>
            <w:szCs w:val="20"/>
          </w:rPr>
          <w:t>Obstetrics and Gynecology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_Toc225877862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323</w:t>
        </w:r>
        <w:r w:rsidRPr="000E4A30">
          <w:rPr>
            <w:rFonts w:ascii="Arial" w:hAnsi="Arial" w:cs="Arial"/>
            <w:noProof/>
            <w:webHidden/>
            <w:sz w:val="20"/>
            <w:szCs w:val="20"/>
          </w:rPr>
          <w:fldChar w:fldCharType="end"/>
        </w:r>
      </w:hyperlink>
    </w:p>
    <w:p w14:paraId="662DD133" w14:textId="4221CFDA" w:rsidR="003C1BA0" w:rsidRPr="000E4A30" w:rsidRDefault="003C1BA0">
      <w:pPr>
        <w:pStyle w:val="TOC5"/>
        <w:rPr>
          <w:rFonts w:ascii="Arial" w:hAnsi="Arial" w:cs="Arial"/>
          <w:noProof/>
          <w:kern w:val="2"/>
          <w:sz w:val="20"/>
          <w:szCs w:val="20"/>
          <w14:ligatures w14:val="standardContextual"/>
        </w:rPr>
      </w:pPr>
      <w:hyperlink w:anchor="_Toc225877863" w:history="1">
        <w:r w:rsidRPr="000E4A30">
          <w:rPr>
            <w:rStyle w:val="Hyperlink"/>
            <w:rFonts w:ascii="Arial" w:hAnsi="Arial" w:cs="Arial"/>
            <w:noProof/>
            <w:sz w:val="20"/>
            <w:szCs w:val="20"/>
          </w:rPr>
          <w:t>Plastic and Reconstructive Surgery Measure Specifications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_Toc225877863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323</w:t>
        </w:r>
        <w:r w:rsidRPr="000E4A30">
          <w:rPr>
            <w:rFonts w:ascii="Arial" w:hAnsi="Arial" w:cs="Arial"/>
            <w:noProof/>
            <w:webHidden/>
            <w:sz w:val="20"/>
            <w:szCs w:val="20"/>
          </w:rPr>
          <w:fldChar w:fldCharType="end"/>
        </w:r>
      </w:hyperlink>
    </w:p>
    <w:p w14:paraId="06BF7D6E" w14:textId="6AA79BB8" w:rsidR="003C1BA0" w:rsidRPr="000E4A30" w:rsidRDefault="003C1BA0">
      <w:pPr>
        <w:pStyle w:val="TOC4"/>
        <w:rPr>
          <w:rFonts w:eastAsiaTheme="minorEastAsia" w:cs="Arial"/>
          <w:noProof/>
          <w:kern w:val="2"/>
          <w14:ligatures w14:val="standardContextual"/>
        </w:rPr>
      </w:pPr>
      <w:hyperlink w:anchor="_Toc225877864" w:history="1">
        <w:r w:rsidRPr="000E4A30">
          <w:rPr>
            <w:rStyle w:val="Hyperlink"/>
            <w:rFonts w:cs="Arial"/>
            <w:noProof/>
          </w:rPr>
          <w:t>Section 9C: Volume of Procedures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_Toc225877864 \h </w:instrText>
        </w:r>
        <w:r w:rsidRPr="000E4A30">
          <w:rPr>
            <w:rFonts w:cs="Arial"/>
            <w:noProof/>
            <w:webHidden/>
          </w:rPr>
        </w:r>
        <w:r w:rsidRPr="000E4A30">
          <w:rPr>
            <w:rFonts w:cs="Arial"/>
            <w:noProof/>
            <w:webHidden/>
          </w:rPr>
          <w:fldChar w:fldCharType="separate"/>
        </w:r>
        <w:r w:rsidR="002C0DFB">
          <w:rPr>
            <w:rFonts w:cs="Arial"/>
            <w:noProof/>
            <w:webHidden/>
          </w:rPr>
          <w:t>324</w:t>
        </w:r>
        <w:r w:rsidRPr="000E4A30">
          <w:rPr>
            <w:rFonts w:cs="Arial"/>
            <w:noProof/>
            <w:webHidden/>
          </w:rPr>
          <w:fldChar w:fldCharType="end"/>
        </w:r>
      </w:hyperlink>
    </w:p>
    <w:p w14:paraId="7B3B87A6" w14:textId="30EE4693" w:rsidR="003C1BA0" w:rsidRPr="000E4A30" w:rsidRDefault="003C1BA0">
      <w:pPr>
        <w:pStyle w:val="TOC4"/>
        <w:rPr>
          <w:rFonts w:eastAsiaTheme="minorEastAsia" w:cs="Arial"/>
          <w:noProof/>
          <w:kern w:val="2"/>
          <w14:ligatures w14:val="standardContextual"/>
        </w:rPr>
      </w:pPr>
      <w:hyperlink w:anchor="_Toc225877865" w:history="1">
        <w:r w:rsidRPr="000E4A30">
          <w:rPr>
            <w:rStyle w:val="Hyperlink"/>
            <w:rFonts w:cs="Arial"/>
            <w:noProof/>
          </w:rPr>
          <w:t>Safety of Procedures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_Toc225877865 \h </w:instrText>
        </w:r>
        <w:r w:rsidRPr="000E4A30">
          <w:rPr>
            <w:rFonts w:cs="Arial"/>
            <w:noProof/>
            <w:webHidden/>
          </w:rPr>
        </w:r>
        <w:r w:rsidRPr="000E4A30">
          <w:rPr>
            <w:rFonts w:cs="Arial"/>
            <w:noProof/>
            <w:webHidden/>
          </w:rPr>
          <w:fldChar w:fldCharType="separate"/>
        </w:r>
        <w:r w:rsidR="002C0DFB">
          <w:rPr>
            <w:rFonts w:cs="Arial"/>
            <w:noProof/>
            <w:webHidden/>
          </w:rPr>
          <w:t>325</w:t>
        </w:r>
        <w:r w:rsidRPr="000E4A30">
          <w:rPr>
            <w:rFonts w:cs="Arial"/>
            <w:noProof/>
            <w:webHidden/>
          </w:rPr>
          <w:fldChar w:fldCharType="end"/>
        </w:r>
      </w:hyperlink>
    </w:p>
    <w:p w14:paraId="35CFEF54" w14:textId="71BAAC61" w:rsidR="003C1BA0" w:rsidRPr="000E4A30" w:rsidRDefault="003C1BA0">
      <w:pPr>
        <w:pStyle w:val="TOC5"/>
        <w:rPr>
          <w:rFonts w:ascii="Arial" w:hAnsi="Arial" w:cs="Arial"/>
          <w:noProof/>
          <w:kern w:val="2"/>
          <w:sz w:val="20"/>
          <w:szCs w:val="20"/>
          <w14:ligatures w14:val="standardContextual"/>
        </w:rPr>
      </w:pPr>
      <w:hyperlink w:anchor="_Toc225877866" w:history="1">
        <w:r w:rsidRPr="000E4A30">
          <w:rPr>
            <w:rStyle w:val="Hyperlink"/>
            <w:rFonts w:ascii="Arial" w:hAnsi="Arial" w:cs="Arial"/>
            <w:noProof/>
            <w:sz w:val="20"/>
            <w:szCs w:val="20"/>
          </w:rPr>
          <w:t>Safe Surgery Checklist for Adult and Pediatric Outpatient Procedures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_Toc225877866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325</w:t>
        </w:r>
        <w:r w:rsidRPr="000E4A30">
          <w:rPr>
            <w:rFonts w:ascii="Arial" w:hAnsi="Arial" w:cs="Arial"/>
            <w:noProof/>
            <w:webHidden/>
            <w:sz w:val="20"/>
            <w:szCs w:val="20"/>
          </w:rPr>
          <w:fldChar w:fldCharType="end"/>
        </w:r>
      </w:hyperlink>
    </w:p>
    <w:p w14:paraId="051D4575" w14:textId="66B7F223" w:rsidR="003C1BA0" w:rsidRPr="000E4A30" w:rsidRDefault="003C1BA0">
      <w:pPr>
        <w:pStyle w:val="TOC4"/>
        <w:rPr>
          <w:rFonts w:eastAsiaTheme="minorEastAsia" w:cs="Arial"/>
          <w:noProof/>
          <w:kern w:val="2"/>
          <w14:ligatures w14:val="standardContextual"/>
        </w:rPr>
      </w:pPr>
      <w:hyperlink w:anchor="_Toc225877867" w:history="1">
        <w:r w:rsidRPr="000E4A30">
          <w:rPr>
            <w:rStyle w:val="Hyperlink"/>
            <w:rFonts w:cs="Arial"/>
            <w:noProof/>
          </w:rPr>
          <w:t>Section 9D: Safety of Procedures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_Toc225877867 \h </w:instrText>
        </w:r>
        <w:r w:rsidRPr="000E4A30">
          <w:rPr>
            <w:rFonts w:cs="Arial"/>
            <w:noProof/>
            <w:webHidden/>
          </w:rPr>
        </w:r>
        <w:r w:rsidRPr="000E4A30">
          <w:rPr>
            <w:rFonts w:cs="Arial"/>
            <w:noProof/>
            <w:webHidden/>
          </w:rPr>
          <w:fldChar w:fldCharType="separate"/>
        </w:r>
        <w:r w:rsidR="002C0DFB">
          <w:rPr>
            <w:rFonts w:cs="Arial"/>
            <w:noProof/>
            <w:webHidden/>
          </w:rPr>
          <w:t>328</w:t>
        </w:r>
        <w:r w:rsidRPr="000E4A30">
          <w:rPr>
            <w:rFonts w:cs="Arial"/>
            <w:noProof/>
            <w:webHidden/>
          </w:rPr>
          <w:fldChar w:fldCharType="end"/>
        </w:r>
      </w:hyperlink>
    </w:p>
    <w:p w14:paraId="4EFE481C" w14:textId="691D462E" w:rsidR="003C1BA0" w:rsidRPr="000E4A30" w:rsidRDefault="003C1BA0">
      <w:pPr>
        <w:pStyle w:val="TOC5"/>
        <w:rPr>
          <w:rFonts w:ascii="Arial" w:hAnsi="Arial" w:cs="Arial"/>
          <w:noProof/>
          <w:kern w:val="2"/>
          <w:sz w:val="20"/>
          <w:szCs w:val="20"/>
          <w14:ligatures w14:val="standardContextual"/>
        </w:rPr>
      </w:pPr>
      <w:hyperlink w:anchor="_Toc225877868" w:history="1">
        <w:r w:rsidRPr="000E4A30">
          <w:rPr>
            <w:rStyle w:val="Hyperlink"/>
            <w:rFonts w:ascii="Arial" w:hAnsi="Arial" w:cs="Arial"/>
            <w:noProof/>
            <w:sz w:val="20"/>
            <w:szCs w:val="20"/>
          </w:rPr>
          <w:t>General Questions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_Toc225877868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328</w:t>
        </w:r>
        <w:r w:rsidRPr="000E4A30">
          <w:rPr>
            <w:rFonts w:ascii="Arial" w:hAnsi="Arial" w:cs="Arial"/>
            <w:noProof/>
            <w:webHidden/>
            <w:sz w:val="20"/>
            <w:szCs w:val="20"/>
          </w:rPr>
          <w:fldChar w:fldCharType="end"/>
        </w:r>
      </w:hyperlink>
    </w:p>
    <w:p w14:paraId="0C213344" w14:textId="36DF80C0" w:rsidR="003C1BA0" w:rsidRPr="000E4A30" w:rsidRDefault="003C1BA0">
      <w:pPr>
        <w:pStyle w:val="TOC5"/>
        <w:rPr>
          <w:rFonts w:ascii="Arial" w:hAnsi="Arial" w:cs="Arial"/>
          <w:noProof/>
          <w:kern w:val="2"/>
          <w:sz w:val="20"/>
          <w:szCs w:val="20"/>
          <w14:ligatures w14:val="standardContextual"/>
        </w:rPr>
      </w:pPr>
      <w:hyperlink w:anchor="_Toc225877869" w:history="1">
        <w:r w:rsidRPr="000E4A30">
          <w:rPr>
            <w:rStyle w:val="Hyperlink"/>
            <w:rFonts w:ascii="Arial" w:hAnsi="Arial" w:cs="Arial"/>
            <w:noProof/>
            <w:sz w:val="20"/>
            <w:szCs w:val="20"/>
          </w:rPr>
          <w:t>Safe Surgery Checklist for Adult and Pediatric Outpatient Procedures FAQs</w:t>
        </w:r>
        <w:r w:rsidRPr="000E4A30">
          <w:rPr>
            <w:rFonts w:ascii="Arial" w:hAnsi="Arial" w:cs="Arial"/>
            <w:noProof/>
            <w:webHidden/>
            <w:sz w:val="20"/>
            <w:szCs w:val="20"/>
          </w:rPr>
          <w:tab/>
        </w:r>
        <w:r w:rsidRPr="000E4A30">
          <w:rPr>
            <w:rFonts w:ascii="Arial" w:hAnsi="Arial" w:cs="Arial"/>
            <w:noProof/>
            <w:webHidden/>
            <w:sz w:val="20"/>
            <w:szCs w:val="20"/>
          </w:rPr>
          <w:fldChar w:fldCharType="begin"/>
        </w:r>
        <w:r w:rsidRPr="000E4A30">
          <w:rPr>
            <w:rFonts w:ascii="Arial" w:hAnsi="Arial" w:cs="Arial"/>
            <w:noProof/>
            <w:webHidden/>
            <w:sz w:val="20"/>
            <w:szCs w:val="20"/>
          </w:rPr>
          <w:instrText xml:space="preserve"> PAGEREF _Toc225877869 \h </w:instrText>
        </w:r>
        <w:r w:rsidRPr="000E4A30">
          <w:rPr>
            <w:rFonts w:ascii="Arial" w:hAnsi="Arial" w:cs="Arial"/>
            <w:noProof/>
            <w:webHidden/>
            <w:sz w:val="20"/>
            <w:szCs w:val="20"/>
          </w:rPr>
        </w:r>
        <w:r w:rsidRPr="000E4A30">
          <w:rPr>
            <w:rFonts w:ascii="Arial" w:hAnsi="Arial" w:cs="Arial"/>
            <w:noProof/>
            <w:webHidden/>
            <w:sz w:val="20"/>
            <w:szCs w:val="20"/>
          </w:rPr>
          <w:fldChar w:fldCharType="separate"/>
        </w:r>
        <w:r w:rsidR="002C0DFB">
          <w:rPr>
            <w:rFonts w:ascii="Arial" w:hAnsi="Arial" w:cs="Arial"/>
            <w:noProof/>
            <w:webHidden/>
            <w:sz w:val="20"/>
            <w:szCs w:val="20"/>
          </w:rPr>
          <w:t>328</w:t>
        </w:r>
        <w:r w:rsidRPr="000E4A30">
          <w:rPr>
            <w:rFonts w:ascii="Arial" w:hAnsi="Arial" w:cs="Arial"/>
            <w:noProof/>
            <w:webHidden/>
            <w:sz w:val="20"/>
            <w:szCs w:val="20"/>
          </w:rPr>
          <w:fldChar w:fldCharType="end"/>
        </w:r>
      </w:hyperlink>
    </w:p>
    <w:p w14:paraId="70B86A0D" w14:textId="7BAE4D82" w:rsidR="003C1BA0" w:rsidRPr="000E4A30" w:rsidRDefault="003C1BA0">
      <w:pPr>
        <w:pStyle w:val="TOC4"/>
        <w:rPr>
          <w:rFonts w:eastAsiaTheme="minorEastAsia" w:cs="Arial"/>
          <w:noProof/>
          <w:kern w:val="2"/>
          <w14:ligatures w14:val="standardContextual"/>
        </w:rPr>
      </w:pPr>
      <w:hyperlink w:anchor="_Toc225877870" w:history="1">
        <w:r w:rsidRPr="000E4A30">
          <w:rPr>
            <w:rStyle w:val="Hyperlink"/>
            <w:rFonts w:cs="Arial"/>
            <w:noProof/>
          </w:rPr>
          <w:t>Medication Safety for Outpatient Procedures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_Toc225877870 \h </w:instrText>
        </w:r>
        <w:r w:rsidRPr="000E4A30">
          <w:rPr>
            <w:rFonts w:cs="Arial"/>
            <w:noProof/>
            <w:webHidden/>
          </w:rPr>
        </w:r>
        <w:r w:rsidRPr="000E4A30">
          <w:rPr>
            <w:rFonts w:cs="Arial"/>
            <w:noProof/>
            <w:webHidden/>
          </w:rPr>
          <w:fldChar w:fldCharType="separate"/>
        </w:r>
        <w:r w:rsidR="002C0DFB">
          <w:rPr>
            <w:rFonts w:cs="Arial"/>
            <w:noProof/>
            <w:webHidden/>
          </w:rPr>
          <w:t>329</w:t>
        </w:r>
        <w:r w:rsidRPr="000E4A30">
          <w:rPr>
            <w:rFonts w:cs="Arial"/>
            <w:noProof/>
            <w:webHidden/>
          </w:rPr>
          <w:fldChar w:fldCharType="end"/>
        </w:r>
      </w:hyperlink>
    </w:p>
    <w:p w14:paraId="6DC97752" w14:textId="20A1EB6C" w:rsidR="003C1BA0" w:rsidRPr="000E4A30" w:rsidRDefault="003C1BA0">
      <w:pPr>
        <w:pStyle w:val="TOC4"/>
        <w:rPr>
          <w:rFonts w:eastAsiaTheme="minorEastAsia" w:cs="Arial"/>
          <w:noProof/>
          <w:kern w:val="2"/>
          <w14:ligatures w14:val="standardContextual"/>
        </w:rPr>
      </w:pPr>
      <w:hyperlink w:anchor="_Toc225877871" w:history="1">
        <w:r w:rsidRPr="000E4A30">
          <w:rPr>
            <w:rStyle w:val="Hyperlink"/>
            <w:rFonts w:cs="Arial"/>
            <w:noProof/>
          </w:rPr>
          <w:t>Section 9E: Medication Safety for Outpatient Procedures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_Toc225877871 \h </w:instrText>
        </w:r>
        <w:r w:rsidRPr="000E4A30">
          <w:rPr>
            <w:rFonts w:cs="Arial"/>
            <w:noProof/>
            <w:webHidden/>
          </w:rPr>
        </w:r>
        <w:r w:rsidRPr="000E4A30">
          <w:rPr>
            <w:rFonts w:cs="Arial"/>
            <w:noProof/>
            <w:webHidden/>
          </w:rPr>
          <w:fldChar w:fldCharType="separate"/>
        </w:r>
        <w:r w:rsidR="002C0DFB">
          <w:rPr>
            <w:rFonts w:cs="Arial"/>
            <w:noProof/>
            <w:webHidden/>
          </w:rPr>
          <w:t>333</w:t>
        </w:r>
        <w:r w:rsidRPr="000E4A30">
          <w:rPr>
            <w:rFonts w:cs="Arial"/>
            <w:noProof/>
            <w:webHidden/>
          </w:rPr>
          <w:fldChar w:fldCharType="end"/>
        </w:r>
      </w:hyperlink>
    </w:p>
    <w:p w14:paraId="64F375B4" w14:textId="23921E8E" w:rsidR="003C1BA0" w:rsidRPr="000E4A30" w:rsidRDefault="003C1BA0">
      <w:pPr>
        <w:pStyle w:val="TOC4"/>
        <w:rPr>
          <w:rFonts w:eastAsiaTheme="minorEastAsia" w:cs="Arial"/>
          <w:noProof/>
          <w:kern w:val="2"/>
          <w14:ligatures w14:val="standardContextual"/>
        </w:rPr>
      </w:pPr>
      <w:hyperlink w:anchor="_Toc225877872" w:history="1">
        <w:r w:rsidRPr="000E4A30">
          <w:rPr>
            <w:rStyle w:val="Hyperlink"/>
            <w:rFonts w:cs="Arial"/>
            <w:noProof/>
          </w:rPr>
          <w:t>CMS Measures Measure Specifications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_Toc225877872 \h </w:instrText>
        </w:r>
        <w:r w:rsidRPr="000E4A30">
          <w:rPr>
            <w:rFonts w:cs="Arial"/>
            <w:noProof/>
            <w:webHidden/>
          </w:rPr>
        </w:r>
        <w:r w:rsidRPr="000E4A30">
          <w:rPr>
            <w:rFonts w:cs="Arial"/>
            <w:noProof/>
            <w:webHidden/>
          </w:rPr>
          <w:fldChar w:fldCharType="separate"/>
        </w:r>
        <w:r w:rsidR="002C0DFB">
          <w:rPr>
            <w:rFonts w:cs="Arial"/>
            <w:noProof/>
            <w:webHidden/>
          </w:rPr>
          <w:t>334</w:t>
        </w:r>
        <w:r w:rsidRPr="000E4A30">
          <w:rPr>
            <w:rFonts w:cs="Arial"/>
            <w:noProof/>
            <w:webHidden/>
          </w:rPr>
          <w:fldChar w:fldCharType="end"/>
        </w:r>
      </w:hyperlink>
    </w:p>
    <w:p w14:paraId="6AF77066" w14:textId="3320C152" w:rsidR="003C1BA0" w:rsidRPr="000E4A30" w:rsidRDefault="003C1BA0">
      <w:pPr>
        <w:pStyle w:val="TOC4"/>
        <w:rPr>
          <w:rFonts w:eastAsiaTheme="minorEastAsia" w:cs="Arial"/>
          <w:noProof/>
          <w:kern w:val="2"/>
          <w14:ligatures w14:val="standardContextual"/>
        </w:rPr>
      </w:pPr>
      <w:hyperlink w:anchor="_Toc225877873" w:history="1">
        <w:r w:rsidRPr="000E4A30">
          <w:rPr>
            <w:rStyle w:val="Hyperlink"/>
            <w:rFonts w:cs="Arial"/>
            <w:noProof/>
          </w:rPr>
          <w:t>Section 9F: CMS Measures Frequently Asked Questions (FAQs)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_Toc225877873 \h </w:instrText>
        </w:r>
        <w:r w:rsidRPr="000E4A30">
          <w:rPr>
            <w:rFonts w:cs="Arial"/>
            <w:noProof/>
            <w:webHidden/>
          </w:rPr>
        </w:r>
        <w:r w:rsidRPr="000E4A30">
          <w:rPr>
            <w:rFonts w:cs="Arial"/>
            <w:noProof/>
            <w:webHidden/>
          </w:rPr>
          <w:fldChar w:fldCharType="separate"/>
        </w:r>
        <w:r w:rsidR="002C0DFB">
          <w:rPr>
            <w:rFonts w:cs="Arial"/>
            <w:noProof/>
            <w:webHidden/>
          </w:rPr>
          <w:t>336</w:t>
        </w:r>
        <w:r w:rsidRPr="000E4A30">
          <w:rPr>
            <w:rFonts w:cs="Arial"/>
            <w:noProof/>
            <w:webHidden/>
          </w:rPr>
          <w:fldChar w:fldCharType="end"/>
        </w:r>
      </w:hyperlink>
    </w:p>
    <w:p w14:paraId="319FFC7B" w14:textId="5487EDA3" w:rsidR="003C1BA0" w:rsidRPr="000E4A30" w:rsidRDefault="003C1BA0">
      <w:pPr>
        <w:pStyle w:val="TOC1"/>
        <w:rPr>
          <w:rFonts w:eastAsiaTheme="minorEastAsia" w:cs="Arial"/>
          <w:noProof/>
          <w:kern w:val="2"/>
          <w14:ligatures w14:val="standardContextual"/>
        </w:rPr>
      </w:pPr>
      <w:hyperlink w:anchor="_Toc225877874" w:history="1">
        <w:r w:rsidRPr="000E4A30">
          <w:rPr>
            <w:rStyle w:val="Hyperlink"/>
            <w:rFonts w:cs="Arial"/>
            <w:noProof/>
          </w:rPr>
          <w:t>Endnotes</w:t>
        </w:r>
        <w:r w:rsidRPr="000E4A30">
          <w:rPr>
            <w:rFonts w:cs="Arial"/>
            <w:noProof/>
            <w:webHidden/>
          </w:rPr>
          <w:tab/>
        </w:r>
        <w:r w:rsidRPr="000E4A30">
          <w:rPr>
            <w:rFonts w:cs="Arial"/>
            <w:noProof/>
            <w:webHidden/>
          </w:rPr>
          <w:fldChar w:fldCharType="begin"/>
        </w:r>
        <w:r w:rsidRPr="000E4A30">
          <w:rPr>
            <w:rFonts w:cs="Arial"/>
            <w:noProof/>
            <w:webHidden/>
          </w:rPr>
          <w:instrText xml:space="preserve"> PAGEREF _Toc225877874 \h </w:instrText>
        </w:r>
        <w:r w:rsidRPr="000E4A30">
          <w:rPr>
            <w:rFonts w:cs="Arial"/>
            <w:noProof/>
            <w:webHidden/>
          </w:rPr>
        </w:r>
        <w:r w:rsidRPr="000E4A30">
          <w:rPr>
            <w:rFonts w:cs="Arial"/>
            <w:noProof/>
            <w:webHidden/>
          </w:rPr>
          <w:fldChar w:fldCharType="separate"/>
        </w:r>
        <w:r w:rsidR="002C0DFB">
          <w:rPr>
            <w:rFonts w:cs="Arial"/>
            <w:noProof/>
            <w:webHidden/>
          </w:rPr>
          <w:t>337</w:t>
        </w:r>
        <w:r w:rsidRPr="000E4A30">
          <w:rPr>
            <w:rFonts w:cs="Arial"/>
            <w:noProof/>
            <w:webHidden/>
          </w:rPr>
          <w:fldChar w:fldCharType="end"/>
        </w:r>
      </w:hyperlink>
    </w:p>
    <w:p w14:paraId="3FD72DDD" w14:textId="61A5C53C" w:rsidR="00B47DAD" w:rsidRPr="000E4A30" w:rsidRDefault="004656A6" w:rsidP="00CE2F4B">
      <w:pPr>
        <w:rPr>
          <w:rFonts w:cs="Arial"/>
          <w:b/>
          <w:i/>
        </w:rPr>
      </w:pPr>
      <w:r w:rsidRPr="000E4A30">
        <w:rPr>
          <w:rFonts w:cs="Arial"/>
          <w:b/>
          <w:i/>
        </w:rPr>
        <w:fldChar w:fldCharType="end"/>
      </w:r>
      <w:bookmarkEnd w:id="3"/>
    </w:p>
    <w:p w14:paraId="417C5D0C" w14:textId="77777777" w:rsidR="00414F9C" w:rsidRPr="00AF7F6F" w:rsidRDefault="00414F9C">
      <w:pPr>
        <w:rPr>
          <w:rFonts w:cs="Arial"/>
          <w:b/>
          <w:i/>
        </w:rPr>
      </w:pPr>
    </w:p>
    <w:p w14:paraId="6ABAB92E" w14:textId="77777777" w:rsidR="00417A43" w:rsidRDefault="00417A43" w:rsidP="00957D80">
      <w:pPr>
        <w:rPr>
          <w:rFonts w:cs="Arial"/>
          <w:b/>
          <w:i/>
        </w:rPr>
      </w:pPr>
    </w:p>
    <w:p w14:paraId="0E5EB223" w14:textId="77777777" w:rsidR="00417A43" w:rsidRDefault="00417A43" w:rsidP="00957D80">
      <w:pPr>
        <w:rPr>
          <w:rFonts w:cs="Arial"/>
          <w:b/>
          <w:i/>
        </w:rPr>
      </w:pPr>
    </w:p>
    <w:p w14:paraId="1D67F186" w14:textId="77777777" w:rsidR="00417A43" w:rsidRDefault="00417A43" w:rsidP="00957D80">
      <w:pPr>
        <w:rPr>
          <w:rFonts w:cs="Arial"/>
          <w:b/>
          <w:i/>
        </w:rPr>
      </w:pPr>
    </w:p>
    <w:p w14:paraId="76ECA8EC" w14:textId="77777777" w:rsidR="00417A43" w:rsidRDefault="00417A43" w:rsidP="00957D80">
      <w:pPr>
        <w:rPr>
          <w:rFonts w:cs="Arial"/>
          <w:b/>
          <w:i/>
        </w:rPr>
      </w:pPr>
    </w:p>
    <w:p w14:paraId="1A0F3270" w14:textId="77777777" w:rsidR="00417A43" w:rsidRDefault="00417A43" w:rsidP="00957D80">
      <w:pPr>
        <w:rPr>
          <w:rFonts w:cs="Arial"/>
          <w:b/>
          <w:i/>
        </w:rPr>
      </w:pPr>
    </w:p>
    <w:p w14:paraId="50B32ECF" w14:textId="6647A040" w:rsidR="00A16D8C" w:rsidRDefault="00A16D8C">
      <w:pPr>
        <w:rPr>
          <w:rFonts w:cs="Arial"/>
          <w:b/>
          <w:i/>
        </w:rPr>
      </w:pPr>
      <w:r>
        <w:rPr>
          <w:rFonts w:cs="Arial"/>
          <w:b/>
          <w:i/>
        </w:rPr>
        <w:br w:type="page"/>
      </w:r>
    </w:p>
    <w:p w14:paraId="2A78171C" w14:textId="358A45A7" w:rsidR="00417A43" w:rsidRPr="00E13CC6" w:rsidRDefault="00417A43" w:rsidP="00417A43">
      <w:pPr>
        <w:pStyle w:val="SectionHeader"/>
      </w:pPr>
      <w:bookmarkStart w:id="4" w:name="_Toc225877636"/>
      <w:r w:rsidRPr="00E13CC6">
        <w:lastRenderedPageBreak/>
        <w:t>Welcome to the 202</w:t>
      </w:r>
      <w:r w:rsidR="00FB3387">
        <w:t>6</w:t>
      </w:r>
      <w:r w:rsidRPr="00E13CC6">
        <w:t xml:space="preserve"> Leapfrog Hospital Survey</w:t>
      </w:r>
      <w:bookmarkEnd w:id="4"/>
    </w:p>
    <w:p w14:paraId="204B7C65" w14:textId="77777777" w:rsidR="002F4180" w:rsidRDefault="002F4180" w:rsidP="00417A43">
      <w:pPr>
        <w:jc w:val="center"/>
      </w:pPr>
    </w:p>
    <w:p w14:paraId="01207426" w14:textId="77777777" w:rsidR="009341CF" w:rsidRDefault="00417A43" w:rsidP="00637255">
      <w:pPr>
        <w:jc w:val="center"/>
      </w:pPr>
      <w:hyperlink r:id="rId13" w:history="1">
        <w:r w:rsidRPr="009F6C37">
          <w:rPr>
            <w:rStyle w:val="Hyperlink"/>
            <w:rFonts w:cs="Arial"/>
            <w:b/>
          </w:rPr>
          <w:t>https://leapfroggroup.org/hospital</w:t>
        </w:r>
      </w:hyperlink>
    </w:p>
    <w:p w14:paraId="4C6FA6BA" w14:textId="77777777" w:rsidR="004F1474" w:rsidRDefault="004F1474" w:rsidP="00637255">
      <w:pPr>
        <w:jc w:val="center"/>
      </w:pPr>
    </w:p>
    <w:p w14:paraId="5BB1D674" w14:textId="3A36E842" w:rsidR="004F1474" w:rsidRPr="00637255" w:rsidRDefault="004F1474" w:rsidP="00637255">
      <w:pPr>
        <w:jc w:val="center"/>
        <w:rPr>
          <w:sz w:val="24"/>
          <w:szCs w:val="24"/>
        </w:rPr>
        <w:sectPr w:rsidR="004F1474" w:rsidRPr="00637255" w:rsidSect="00062F69">
          <w:headerReference w:type="default" r:id="rId14"/>
          <w:footerReference w:type="default" r:id="rId15"/>
          <w:endnotePr>
            <w:numFmt w:val="decimal"/>
          </w:endnotePr>
          <w:pgSz w:w="12240" w:h="15840"/>
          <w:pgMar w:top="1080" w:right="1440" w:bottom="1080" w:left="1440" w:header="720" w:footer="720" w:gutter="0"/>
          <w:cols w:space="720"/>
          <w:titlePg/>
          <w:docGrid w:linePitch="272"/>
        </w:sectPr>
      </w:pPr>
    </w:p>
    <w:p w14:paraId="7E9C008F" w14:textId="028E5745" w:rsidR="00F21EFE" w:rsidRPr="00E7552E" w:rsidRDefault="00A728FC" w:rsidP="00CF5A6E">
      <w:pPr>
        <w:pStyle w:val="Heading2"/>
      </w:pPr>
      <w:bookmarkStart w:id="5" w:name="_Toc225877637"/>
      <w:r w:rsidRPr="00E13CC6">
        <w:t>Important Notes About the 202</w:t>
      </w:r>
      <w:r w:rsidR="00BA5400">
        <w:t>6</w:t>
      </w:r>
      <w:r w:rsidRPr="00E13CC6">
        <w:t xml:space="preserve"> Survey</w:t>
      </w:r>
      <w:bookmarkStart w:id="6" w:name="_Updates_to_the"/>
      <w:bookmarkEnd w:id="5"/>
      <w:bookmarkEnd w:id="6"/>
    </w:p>
    <w:p w14:paraId="77A4CAF9" w14:textId="77777777" w:rsidR="00131813" w:rsidRPr="00EA4E95" w:rsidRDefault="00131813" w:rsidP="00A728FC">
      <w:pPr>
        <w:rPr>
          <w:sz w:val="14"/>
          <w:szCs w:val="14"/>
        </w:rPr>
      </w:pPr>
      <w:bookmarkStart w:id="7" w:name="_Updated_Reporting_Periods"/>
      <w:bookmarkStart w:id="8" w:name="_Updated_Scoring_for"/>
      <w:bookmarkStart w:id="9" w:name="_Updated_Scoring_and"/>
      <w:bookmarkStart w:id="10" w:name="_Reduced_Sample_Size"/>
      <w:bookmarkEnd w:id="7"/>
      <w:bookmarkEnd w:id="8"/>
      <w:bookmarkEnd w:id="9"/>
      <w:bookmarkEnd w:id="10"/>
    </w:p>
    <w:p w14:paraId="0ACD4682" w14:textId="447284C1" w:rsidR="00257F86" w:rsidRPr="007871A2" w:rsidRDefault="00257F86" w:rsidP="00AD309C">
      <w:pPr>
        <w:pStyle w:val="ListParagraph"/>
        <w:numPr>
          <w:ilvl w:val="0"/>
          <w:numId w:val="13"/>
        </w:numPr>
        <w:rPr>
          <w:rFonts w:cs="Arial"/>
        </w:rPr>
      </w:pPr>
      <w:r w:rsidRPr="007871A2">
        <w:rPr>
          <w:rFonts w:cs="Arial"/>
        </w:rPr>
        <w:t xml:space="preserve">The Leapfrog Hospital Survey webpages </w:t>
      </w:r>
      <w:r w:rsidR="00460E9D" w:rsidRPr="007871A2">
        <w:rPr>
          <w:rFonts w:cs="Arial"/>
        </w:rPr>
        <w:t xml:space="preserve">are located at </w:t>
      </w:r>
      <w:hyperlink r:id="rId16" w:history="1">
        <w:r w:rsidR="00795E4E" w:rsidRPr="007871A2">
          <w:rPr>
            <w:rStyle w:val="Hyperlink"/>
            <w:rFonts w:cs="Arial"/>
          </w:rPr>
          <w:t>https://leapfroggroup.org/hospital</w:t>
        </w:r>
      </w:hyperlink>
      <w:r w:rsidRPr="007871A2">
        <w:rPr>
          <w:rFonts w:cs="Arial"/>
        </w:rPr>
        <w:t>. Please bookmark this URL.</w:t>
      </w:r>
    </w:p>
    <w:p w14:paraId="00169297" w14:textId="77777777" w:rsidR="00BF7B1A" w:rsidRPr="00EA4E95" w:rsidRDefault="00BF7B1A" w:rsidP="00BE58A8">
      <w:pPr>
        <w:ind w:left="360"/>
        <w:rPr>
          <w:rFonts w:cs="Arial"/>
          <w:sz w:val="14"/>
          <w:szCs w:val="14"/>
        </w:rPr>
      </w:pPr>
    </w:p>
    <w:p w14:paraId="7D026885" w14:textId="741BBEBD" w:rsidR="00390802" w:rsidRPr="007871A2" w:rsidRDefault="00BF7B1A" w:rsidP="00AD309C">
      <w:pPr>
        <w:pStyle w:val="ListParagraph"/>
        <w:numPr>
          <w:ilvl w:val="0"/>
          <w:numId w:val="13"/>
        </w:numPr>
        <w:rPr>
          <w:rFonts w:cs="Arial"/>
        </w:rPr>
      </w:pPr>
      <w:r w:rsidRPr="007871A2">
        <w:rPr>
          <w:rFonts w:cs="Arial"/>
        </w:rPr>
        <w:t>Note the word “</w:t>
      </w:r>
      <w:r w:rsidR="00C14AFF" w:rsidRPr="007871A2">
        <w:rPr>
          <w:rFonts w:cs="Arial"/>
        </w:rPr>
        <w:t>hospital” used throughout this S</w:t>
      </w:r>
      <w:r w:rsidRPr="007871A2">
        <w:rPr>
          <w:rFonts w:cs="Arial"/>
        </w:rPr>
        <w:t>urvey refers to an individual hospital. If your hospital is part of a multi-hospital health</w:t>
      </w:r>
      <w:r w:rsidR="00E13CC6">
        <w:rPr>
          <w:rFonts w:cs="Arial"/>
        </w:rPr>
        <w:t xml:space="preserve"> </w:t>
      </w:r>
      <w:r w:rsidRPr="007871A2">
        <w:rPr>
          <w:rFonts w:cs="Arial"/>
        </w:rPr>
        <w:t>care system</w:t>
      </w:r>
      <w:r w:rsidR="000113F8" w:rsidRPr="007871A2">
        <w:rPr>
          <w:rFonts w:cs="Arial"/>
        </w:rPr>
        <w:t xml:space="preserve"> or a multi-campus hospital</w:t>
      </w:r>
      <w:r w:rsidRPr="007871A2">
        <w:rPr>
          <w:rFonts w:cs="Arial"/>
        </w:rPr>
        <w:t>,</w:t>
      </w:r>
      <w:r w:rsidR="00C14AFF" w:rsidRPr="007871A2">
        <w:rPr>
          <w:rFonts w:cs="Arial"/>
        </w:rPr>
        <w:t xml:space="preserve"> you will need to complete the S</w:t>
      </w:r>
      <w:r w:rsidRPr="007871A2">
        <w:rPr>
          <w:rFonts w:cs="Arial"/>
        </w:rPr>
        <w:t xml:space="preserve">urvey for each individual hospital. Please refer to </w:t>
      </w:r>
      <w:hyperlink r:id="rId17" w:history="1">
        <w:r w:rsidRPr="007871A2">
          <w:rPr>
            <w:rStyle w:val="Hyperlink"/>
            <w:rFonts w:cs="Arial"/>
          </w:rPr>
          <w:t>Leapfrog’s Multi-Campus Hospital Reporting Polic</w:t>
        </w:r>
        <w:r w:rsidR="005F434D" w:rsidRPr="007871A2">
          <w:rPr>
            <w:rStyle w:val="Hyperlink"/>
            <w:rFonts w:cs="Arial"/>
          </w:rPr>
          <w:t>y</w:t>
        </w:r>
      </w:hyperlink>
      <w:r w:rsidR="008F75E0" w:rsidRPr="007871A2">
        <w:rPr>
          <w:rFonts w:cs="Arial"/>
        </w:rPr>
        <w:t xml:space="preserve">. </w:t>
      </w:r>
    </w:p>
    <w:p w14:paraId="6070A2F6" w14:textId="77777777" w:rsidR="00390802" w:rsidRPr="00BE58A8" w:rsidRDefault="00390802" w:rsidP="00BE58A8">
      <w:pPr>
        <w:ind w:left="360"/>
        <w:rPr>
          <w:rFonts w:cs="Arial"/>
          <w:sz w:val="16"/>
          <w:szCs w:val="16"/>
        </w:rPr>
      </w:pPr>
    </w:p>
    <w:p w14:paraId="5C28AD87" w14:textId="7AD64D7F" w:rsidR="007B27DC" w:rsidRPr="007871A2" w:rsidRDefault="0003234D" w:rsidP="00AD309C">
      <w:pPr>
        <w:pStyle w:val="ListParagraph"/>
        <w:numPr>
          <w:ilvl w:val="0"/>
          <w:numId w:val="13"/>
        </w:numPr>
        <w:rPr>
          <w:rFonts w:cs="Arial"/>
        </w:rPr>
      </w:pPr>
      <w:bookmarkStart w:id="11" w:name="_Hlk70950506"/>
      <w:r w:rsidRPr="007871A2">
        <w:rPr>
          <w:rFonts w:cs="Arial"/>
        </w:rPr>
        <w:t>To</w:t>
      </w:r>
      <w:r w:rsidR="007B27DC" w:rsidRPr="007871A2">
        <w:rPr>
          <w:rFonts w:cs="Arial"/>
        </w:rPr>
        <w:t xml:space="preserve"> submit a Survey via the Online Hospital Survey Tool, hospitals </w:t>
      </w:r>
      <w:r w:rsidR="005C1751">
        <w:rPr>
          <w:rFonts w:cs="Arial"/>
        </w:rPr>
        <w:t>are</w:t>
      </w:r>
      <w:r w:rsidR="007B27DC" w:rsidRPr="007871A2">
        <w:rPr>
          <w:rFonts w:cs="Arial"/>
        </w:rPr>
        <w:t xml:space="preserve"> required to complete and affirm the following sections: </w:t>
      </w:r>
      <w:r w:rsidR="007B27DC" w:rsidRPr="007871A2">
        <w:rPr>
          <w:rFonts w:cs="Arial"/>
          <w:snapToGrid w:val="0"/>
        </w:rPr>
        <w:t>Section 1</w:t>
      </w:r>
      <w:r w:rsidR="00E13CC6">
        <w:rPr>
          <w:rFonts w:cs="Arial"/>
          <w:snapToGrid w:val="0"/>
        </w:rPr>
        <w:t>:</w:t>
      </w:r>
      <w:r w:rsidR="007B27DC" w:rsidRPr="007871A2">
        <w:rPr>
          <w:rFonts w:cs="Arial"/>
          <w:snapToGrid w:val="0"/>
        </w:rPr>
        <w:t xml:space="preserve"> </w:t>
      </w:r>
      <w:r w:rsidR="003D7E9D">
        <w:rPr>
          <w:rFonts w:cs="Arial"/>
          <w:snapToGrid w:val="0"/>
        </w:rPr>
        <w:t>Patient Rights and Ethics</w:t>
      </w:r>
      <w:r w:rsidR="007B27DC" w:rsidRPr="007871A2">
        <w:rPr>
          <w:rFonts w:cs="Arial"/>
          <w:snapToGrid w:val="0"/>
        </w:rPr>
        <w:t>, Section 2</w:t>
      </w:r>
      <w:r w:rsidR="00E13CC6">
        <w:rPr>
          <w:rFonts w:cs="Arial"/>
          <w:snapToGrid w:val="0"/>
        </w:rPr>
        <w:t>:</w:t>
      </w:r>
      <w:r w:rsidR="007B27DC" w:rsidRPr="007871A2">
        <w:rPr>
          <w:rFonts w:cs="Arial"/>
          <w:snapToGrid w:val="0"/>
        </w:rPr>
        <w:t xml:space="preserve"> Medication Safety, Section 4</w:t>
      </w:r>
      <w:r w:rsidR="00E13CC6">
        <w:rPr>
          <w:rFonts w:cs="Arial"/>
          <w:snapToGrid w:val="0"/>
        </w:rPr>
        <w:t>:</w:t>
      </w:r>
      <w:r w:rsidR="007B27DC" w:rsidRPr="007871A2">
        <w:rPr>
          <w:rFonts w:cs="Arial"/>
          <w:snapToGrid w:val="0"/>
        </w:rPr>
        <w:t xml:space="preserve"> Maternity Care, Section 5</w:t>
      </w:r>
      <w:r w:rsidR="00E13CC6">
        <w:rPr>
          <w:rFonts w:cs="Arial"/>
          <w:snapToGrid w:val="0"/>
        </w:rPr>
        <w:t>:</w:t>
      </w:r>
      <w:r w:rsidR="007B27DC" w:rsidRPr="007871A2">
        <w:rPr>
          <w:rFonts w:cs="Arial"/>
          <w:snapToGrid w:val="0"/>
        </w:rPr>
        <w:t xml:space="preserve"> </w:t>
      </w:r>
      <w:r w:rsidR="00FA1CFC">
        <w:rPr>
          <w:rFonts w:cs="Arial"/>
          <w:snapToGrid w:val="0"/>
        </w:rPr>
        <w:t xml:space="preserve">Physician and Nurse </w:t>
      </w:r>
      <w:r w:rsidR="00BC7A87">
        <w:rPr>
          <w:rFonts w:cs="Arial"/>
          <w:snapToGrid w:val="0"/>
        </w:rPr>
        <w:t>Staffing</w:t>
      </w:r>
      <w:r w:rsidR="007B27DC" w:rsidRPr="007871A2">
        <w:rPr>
          <w:rFonts w:cs="Arial"/>
          <w:snapToGrid w:val="0"/>
        </w:rPr>
        <w:t>, Section 6</w:t>
      </w:r>
      <w:r w:rsidR="00E13CC6">
        <w:rPr>
          <w:rFonts w:cs="Arial"/>
          <w:snapToGrid w:val="0"/>
        </w:rPr>
        <w:t>:</w:t>
      </w:r>
      <w:r w:rsidR="007B27DC" w:rsidRPr="007871A2">
        <w:rPr>
          <w:rFonts w:cs="Arial"/>
          <w:snapToGrid w:val="0"/>
        </w:rPr>
        <w:t xml:space="preserve"> Patient Safety Practices</w:t>
      </w:r>
      <w:r w:rsidR="00E13CC6">
        <w:rPr>
          <w:rFonts w:cs="Arial"/>
          <w:snapToGrid w:val="0"/>
        </w:rPr>
        <w:t>, Section 7: Managing Serious Errors</w:t>
      </w:r>
      <w:r w:rsidR="00290318">
        <w:rPr>
          <w:rFonts w:cs="Arial"/>
          <w:snapToGrid w:val="0"/>
        </w:rPr>
        <w:t>, and Section 8: Pediatric Care (for pediatric hospitals only)</w:t>
      </w:r>
      <w:r w:rsidR="007B27DC" w:rsidRPr="007871A2">
        <w:rPr>
          <w:rFonts w:cs="Arial"/>
          <w:snapToGrid w:val="0"/>
        </w:rPr>
        <w:t>.</w:t>
      </w:r>
      <w:r w:rsidR="00755F0D">
        <w:rPr>
          <w:rFonts w:cs="Arial"/>
          <w:snapToGrid w:val="0"/>
        </w:rPr>
        <w:t xml:space="preserve"> However, </w:t>
      </w:r>
      <w:r w:rsidR="00F72C9F">
        <w:rPr>
          <w:rFonts w:cs="Arial"/>
          <w:snapToGrid w:val="0"/>
        </w:rPr>
        <w:t>h</w:t>
      </w:r>
      <w:r w:rsidR="00755F0D">
        <w:rPr>
          <w:rFonts w:cs="Arial"/>
          <w:snapToGrid w:val="0"/>
        </w:rPr>
        <w:t>ospitals are urged to submit all sections</w:t>
      </w:r>
      <w:r w:rsidR="005771EC" w:rsidRPr="005771EC">
        <w:t xml:space="preserve"> </w:t>
      </w:r>
      <w:r w:rsidR="005771EC">
        <w:t xml:space="preserve">of the Survey </w:t>
      </w:r>
      <w:r w:rsidR="005771EC" w:rsidRPr="005771EC">
        <w:rPr>
          <w:rFonts w:cs="Arial"/>
          <w:snapToGrid w:val="0"/>
        </w:rPr>
        <w:t xml:space="preserve">and </w:t>
      </w:r>
      <w:r w:rsidR="00245F8C">
        <w:rPr>
          <w:rFonts w:cs="Arial"/>
          <w:snapToGrid w:val="0"/>
        </w:rPr>
        <w:t>can</w:t>
      </w:r>
      <w:r w:rsidR="005771EC" w:rsidRPr="005771EC">
        <w:rPr>
          <w:rFonts w:cs="Arial"/>
          <w:snapToGrid w:val="0"/>
        </w:rPr>
        <w:t xml:space="preserve"> indicate within a section if a measure does not apply</w:t>
      </w:r>
      <w:r w:rsidR="00755F0D">
        <w:rPr>
          <w:rFonts w:cs="Arial"/>
          <w:snapToGrid w:val="0"/>
        </w:rPr>
        <w:t>.</w:t>
      </w:r>
      <w:r w:rsidR="00F72C9F" w:rsidRPr="00F72C9F">
        <w:rPr>
          <w:rFonts w:cs="Arial"/>
          <w:snapToGrid w:val="0"/>
        </w:rPr>
        <w:t xml:space="preserve"> </w:t>
      </w:r>
      <w:r w:rsidR="00F72C9F">
        <w:rPr>
          <w:rFonts w:cs="Arial"/>
          <w:snapToGrid w:val="0"/>
        </w:rPr>
        <w:t xml:space="preserve">Hospitals that would like to be eligible for </w:t>
      </w:r>
      <w:hyperlink r:id="rId18" w:history="1">
        <w:r w:rsidR="00F72C9F" w:rsidRPr="007D1059">
          <w:rPr>
            <w:rStyle w:val="Hyperlink"/>
            <w:rFonts w:cs="Arial"/>
            <w:snapToGrid w:val="0"/>
          </w:rPr>
          <w:t>Top Hospital</w:t>
        </w:r>
      </w:hyperlink>
      <w:r w:rsidR="00F72C9F">
        <w:rPr>
          <w:rFonts w:cs="Arial"/>
          <w:snapToGrid w:val="0"/>
        </w:rPr>
        <w:t xml:space="preserve"> must submit all sections of the Survey.</w:t>
      </w:r>
    </w:p>
    <w:bookmarkEnd w:id="11"/>
    <w:p w14:paraId="1F95FF0B" w14:textId="77777777" w:rsidR="007B27DC" w:rsidRPr="007871A2" w:rsidRDefault="007B27DC" w:rsidP="007B27DC">
      <w:pPr>
        <w:pStyle w:val="ListParagraph"/>
        <w:ind w:left="360"/>
        <w:rPr>
          <w:rFonts w:cs="Arial"/>
          <w:sz w:val="16"/>
          <w:szCs w:val="16"/>
        </w:rPr>
      </w:pPr>
    </w:p>
    <w:p w14:paraId="1C159318" w14:textId="45ABD179" w:rsidR="005C1751" w:rsidRPr="005C1751" w:rsidRDefault="004963D4" w:rsidP="00AD309C">
      <w:pPr>
        <w:pStyle w:val="ListParagraph"/>
        <w:numPr>
          <w:ilvl w:val="0"/>
          <w:numId w:val="13"/>
        </w:numPr>
        <w:rPr>
          <w:rFonts w:cs="Arial"/>
        </w:rPr>
      </w:pPr>
      <w:bookmarkStart w:id="12" w:name="Note5_CPOE"/>
      <w:bookmarkStart w:id="13" w:name="_Hlk35502904"/>
      <w:bookmarkEnd w:id="12"/>
      <w:r>
        <w:t xml:space="preserve">Adult </w:t>
      </w:r>
      <w:r w:rsidR="00D73360">
        <w:t xml:space="preserve">and general </w:t>
      </w:r>
      <w:r>
        <w:t xml:space="preserve">hospitals that indicate they have a </w:t>
      </w:r>
      <w:r w:rsidR="00E51BB6">
        <w:t xml:space="preserve">Computerized Physician Order Entry (CPOE) </w:t>
      </w:r>
      <w:r>
        <w:t>system in at least one inpatient unit are asked to demonstrate, via a test, that the inpatient CPOE system can alert p</w:t>
      </w:r>
      <w:r w:rsidR="007D1059">
        <w:t xml:space="preserve">rescribers </w:t>
      </w:r>
      <w:r>
        <w:t xml:space="preserve">to at least 60% of frequent serious medication errors known to cause harm to patients. </w:t>
      </w:r>
      <w:r w:rsidR="005C1751" w:rsidRPr="005C1751">
        <w:rPr>
          <w:rFonts w:cs="Arial"/>
        </w:rPr>
        <w:t>Hospitals</w:t>
      </w:r>
      <w:r w:rsidR="00A12D3D">
        <w:rPr>
          <w:rFonts w:cs="Arial"/>
        </w:rPr>
        <w:t xml:space="preserve"> </w:t>
      </w:r>
      <w:r w:rsidR="005C1751" w:rsidRPr="005C1751">
        <w:rPr>
          <w:rFonts w:cs="Arial"/>
        </w:rPr>
        <w:t xml:space="preserve">will have access to the CPOE Evaluation Tool </w:t>
      </w:r>
      <w:r w:rsidR="00523873">
        <w:rPr>
          <w:rFonts w:cs="Arial"/>
        </w:rPr>
        <w:t xml:space="preserve">immediately </w:t>
      </w:r>
      <w:r w:rsidR="005C1751" w:rsidRPr="005C1751">
        <w:rPr>
          <w:rFonts w:cs="Arial"/>
        </w:rPr>
        <w:t xml:space="preserve">after completing </w:t>
      </w:r>
      <w:r w:rsidR="00E345A6">
        <w:rPr>
          <w:rFonts w:cs="Arial"/>
        </w:rPr>
        <w:t>the Hospital Profile</w:t>
      </w:r>
      <w:r w:rsidR="005C1751" w:rsidRPr="005C1751">
        <w:rPr>
          <w:rFonts w:cs="Arial"/>
        </w:rPr>
        <w:t xml:space="preserve"> in the Online Hospital Survey Tool. </w:t>
      </w:r>
      <w:r w:rsidR="00733FD9">
        <w:rPr>
          <w:rFonts w:cs="Arial"/>
        </w:rPr>
        <w:t>Adult and general h</w:t>
      </w:r>
      <w:r w:rsidR="005C1751" w:rsidRPr="005C1751">
        <w:rPr>
          <w:rFonts w:cs="Arial"/>
        </w:rPr>
        <w:t>ospitals cannot submit the Survey, including results from the Adult Inpatient CPOE Test</w:t>
      </w:r>
      <w:r w:rsidR="00805C0C">
        <w:rPr>
          <w:rFonts w:cs="Arial"/>
        </w:rPr>
        <w:t>,</w:t>
      </w:r>
      <w:r w:rsidR="005C1751" w:rsidRPr="005C1751">
        <w:rPr>
          <w:rFonts w:cs="Arial"/>
        </w:rPr>
        <w:t xml:space="preserve"> until </w:t>
      </w:r>
      <w:r w:rsidR="00375275" w:rsidRPr="005C1751">
        <w:rPr>
          <w:rFonts w:cs="Arial"/>
        </w:rPr>
        <w:t>all</w:t>
      </w:r>
      <w:r w:rsidR="005C1751" w:rsidRPr="005C1751">
        <w:rPr>
          <w:rFonts w:cs="Arial"/>
        </w:rPr>
        <w:t xml:space="preserve"> the following Survey sections have been completed and affirmed: Section 1</w:t>
      </w:r>
      <w:r w:rsidR="00E345A6">
        <w:rPr>
          <w:rFonts w:cs="Arial"/>
        </w:rPr>
        <w:t>:</w:t>
      </w:r>
      <w:r w:rsidR="005C1751" w:rsidRPr="005C1751">
        <w:rPr>
          <w:rFonts w:cs="Arial"/>
        </w:rPr>
        <w:t xml:space="preserve"> </w:t>
      </w:r>
      <w:r w:rsidR="003D7E9D">
        <w:rPr>
          <w:rFonts w:cs="Arial"/>
          <w:snapToGrid w:val="0"/>
        </w:rPr>
        <w:t>Patient Rights and Ethics</w:t>
      </w:r>
      <w:r w:rsidR="005C1751" w:rsidRPr="005C1751">
        <w:rPr>
          <w:rFonts w:cs="Arial"/>
        </w:rPr>
        <w:t>, Section 2</w:t>
      </w:r>
      <w:r w:rsidR="00E345A6">
        <w:rPr>
          <w:rFonts w:cs="Arial"/>
        </w:rPr>
        <w:t>: Medication Safety</w:t>
      </w:r>
      <w:r w:rsidR="005C1751" w:rsidRPr="005C1751">
        <w:rPr>
          <w:rFonts w:cs="Arial"/>
        </w:rPr>
        <w:t>, Section 4</w:t>
      </w:r>
      <w:r w:rsidR="00E345A6">
        <w:rPr>
          <w:rFonts w:cs="Arial"/>
        </w:rPr>
        <w:t>:</w:t>
      </w:r>
      <w:r w:rsidR="005C1751" w:rsidRPr="005C1751">
        <w:rPr>
          <w:rFonts w:cs="Arial"/>
        </w:rPr>
        <w:t xml:space="preserve"> Maternity Care, Section 5</w:t>
      </w:r>
      <w:r w:rsidR="00FA1CFC">
        <w:rPr>
          <w:rFonts w:cs="Arial"/>
        </w:rPr>
        <w:t xml:space="preserve">: Physician and Nurse </w:t>
      </w:r>
      <w:r w:rsidR="00C10E38">
        <w:rPr>
          <w:rFonts w:cs="Arial"/>
        </w:rPr>
        <w:t>Staffin</w:t>
      </w:r>
      <w:r w:rsidR="00FA1CFC">
        <w:rPr>
          <w:rFonts w:cs="Arial"/>
        </w:rPr>
        <w:t>g</w:t>
      </w:r>
      <w:r w:rsidR="005C1751" w:rsidRPr="005C1751">
        <w:rPr>
          <w:rFonts w:cs="Arial"/>
        </w:rPr>
        <w:t>, Section 6</w:t>
      </w:r>
      <w:r w:rsidR="00E345A6">
        <w:rPr>
          <w:rFonts w:cs="Arial"/>
        </w:rPr>
        <w:t>:</w:t>
      </w:r>
      <w:r w:rsidR="005C1751" w:rsidRPr="005C1751">
        <w:rPr>
          <w:rFonts w:cs="Arial"/>
        </w:rPr>
        <w:t xml:space="preserve"> Patient Safety Practices</w:t>
      </w:r>
      <w:r w:rsidR="00E345A6">
        <w:rPr>
          <w:rFonts w:cs="Arial"/>
        </w:rPr>
        <w:t>, and Section 7: Managing Serious Errors</w:t>
      </w:r>
      <w:r w:rsidR="005C1751" w:rsidRPr="005C1751">
        <w:rPr>
          <w:rFonts w:cs="Arial"/>
        </w:rPr>
        <w:t xml:space="preserve">. </w:t>
      </w:r>
      <w:r w:rsidR="00A12D3D" w:rsidRPr="00A12D3D">
        <w:rPr>
          <w:rFonts w:cs="Arial"/>
        </w:rPr>
        <w:t xml:space="preserve">Hospitals </w:t>
      </w:r>
      <w:r>
        <w:rPr>
          <w:rFonts w:cs="Arial"/>
        </w:rPr>
        <w:t xml:space="preserve">are </w:t>
      </w:r>
      <w:r w:rsidR="00A12D3D" w:rsidRPr="00A12D3D">
        <w:rPr>
          <w:rFonts w:cs="Arial"/>
        </w:rPr>
        <w:t xml:space="preserve">urged to ensure that the Adult Inpatient CPOE Test is submitted along with the Survey (i.e., in the same month) </w:t>
      </w:r>
      <w:r w:rsidR="00375275" w:rsidRPr="00A12D3D">
        <w:rPr>
          <w:rFonts w:cs="Arial"/>
        </w:rPr>
        <w:t>to</w:t>
      </w:r>
      <w:r w:rsidR="00A12D3D" w:rsidRPr="00A12D3D">
        <w:rPr>
          <w:rFonts w:cs="Arial"/>
        </w:rPr>
        <w:t xml:space="preserve"> meet the deadlines for the Leapfrog Hospital Survey and Leapfrog’s other programs such as Top Hospital and the Leapfrog Hospital Safety Grade.</w:t>
      </w:r>
      <w:r>
        <w:rPr>
          <w:rFonts w:cs="Arial"/>
        </w:rPr>
        <w:t xml:space="preserve"> </w:t>
      </w:r>
    </w:p>
    <w:bookmarkEnd w:id="13"/>
    <w:p w14:paraId="5DC6E648" w14:textId="77777777" w:rsidR="009C0B4B" w:rsidRPr="00BE58A8" w:rsidRDefault="009C0B4B" w:rsidP="00BE58A8">
      <w:pPr>
        <w:ind w:left="360"/>
        <w:rPr>
          <w:rFonts w:cs="Arial"/>
          <w:sz w:val="16"/>
          <w:szCs w:val="16"/>
        </w:rPr>
      </w:pPr>
    </w:p>
    <w:p w14:paraId="327D2F73" w14:textId="5FEE3ADA" w:rsidR="009C0B4B" w:rsidRPr="007871A2" w:rsidRDefault="009C0B4B" w:rsidP="00AD309C">
      <w:pPr>
        <w:pStyle w:val="ListParagraph"/>
        <w:numPr>
          <w:ilvl w:val="0"/>
          <w:numId w:val="13"/>
        </w:numPr>
        <w:rPr>
          <w:rFonts w:cs="Arial"/>
        </w:rPr>
      </w:pPr>
      <w:r w:rsidRPr="007871A2">
        <w:rPr>
          <w:rFonts w:cs="Arial"/>
        </w:rPr>
        <w:t>Adult and pediatric hospitals reporting on Section 7B</w:t>
      </w:r>
      <w:r w:rsidR="00E345A6">
        <w:rPr>
          <w:rFonts w:cs="Arial"/>
        </w:rPr>
        <w:t>:</w:t>
      </w:r>
      <w:r w:rsidRPr="007871A2">
        <w:rPr>
          <w:rFonts w:cs="Arial"/>
        </w:rPr>
        <w:t xml:space="preserve"> Healthcare-Associated Infections are required to join Leapfrog’s NHSN Group. </w:t>
      </w:r>
      <w:r w:rsidR="00242467" w:rsidRPr="007871A2">
        <w:rPr>
          <w:rFonts w:cs="Arial"/>
        </w:rPr>
        <w:t xml:space="preserve">Information about teaching status will also be pulled directly from NHSN. </w:t>
      </w:r>
      <w:r w:rsidRPr="007871A2">
        <w:rPr>
          <w:rFonts w:cs="Arial"/>
        </w:rPr>
        <w:t>More information</w:t>
      </w:r>
      <w:r w:rsidR="00F72AD6" w:rsidRPr="007871A2">
        <w:rPr>
          <w:rFonts w:cs="Arial"/>
        </w:rPr>
        <w:t>, including important deadlines, is</w:t>
      </w:r>
      <w:r w:rsidR="005F434D" w:rsidRPr="007871A2">
        <w:rPr>
          <w:rFonts w:cs="Arial"/>
        </w:rPr>
        <w:t xml:space="preserve"> available on the </w:t>
      </w:r>
      <w:hyperlink r:id="rId19" w:history="1">
        <w:r w:rsidR="0064007F" w:rsidRPr="0030575D">
          <w:rPr>
            <w:rStyle w:val="Hyperlink"/>
            <w:rFonts w:cs="Arial"/>
          </w:rPr>
          <w:t>Review NHSN Instructions webpage</w:t>
        </w:r>
      </w:hyperlink>
      <w:r w:rsidR="0064007F" w:rsidRPr="0064007F">
        <w:rPr>
          <w:rFonts w:cs="Arial"/>
        </w:rPr>
        <w:t>.</w:t>
      </w:r>
    </w:p>
    <w:p w14:paraId="079219B6" w14:textId="77777777" w:rsidR="000E3CA7" w:rsidRPr="007871A2" w:rsidRDefault="000E3CA7" w:rsidP="00BE58A8">
      <w:pPr>
        <w:ind w:left="360"/>
        <w:rPr>
          <w:rFonts w:cs="Arial"/>
          <w:sz w:val="16"/>
          <w:szCs w:val="16"/>
        </w:rPr>
      </w:pPr>
    </w:p>
    <w:p w14:paraId="4DEA8777" w14:textId="1F9841F2" w:rsidR="005C1751" w:rsidRPr="005C1751" w:rsidRDefault="005C1751" w:rsidP="00AD309C">
      <w:pPr>
        <w:pStyle w:val="ListParagraph"/>
        <w:numPr>
          <w:ilvl w:val="0"/>
          <w:numId w:val="13"/>
        </w:numPr>
        <w:rPr>
          <w:rFonts w:cs="Arial"/>
        </w:rPr>
      </w:pPr>
      <w:bookmarkStart w:id="14" w:name="_Hlk35503181"/>
      <w:r w:rsidRPr="005C1751">
        <w:rPr>
          <w:rFonts w:cs="Arial"/>
        </w:rPr>
        <w:t xml:space="preserve">Leapfrog Hospital Survey Results will be available </w:t>
      </w:r>
      <w:r w:rsidR="00C06E0F">
        <w:rPr>
          <w:rFonts w:cs="Arial"/>
        </w:rPr>
        <w:t>on</w:t>
      </w:r>
      <w:r w:rsidRPr="005C1751">
        <w:rPr>
          <w:rFonts w:cs="Arial"/>
        </w:rPr>
        <w:t xml:space="preserve"> the Hospital Details Page</w:t>
      </w:r>
      <w:r w:rsidR="00C06E0F">
        <w:rPr>
          <w:rFonts w:cs="Arial"/>
        </w:rPr>
        <w:t xml:space="preserve"> </w:t>
      </w:r>
      <w:r w:rsidR="001610E3">
        <w:rPr>
          <w:rFonts w:cs="Arial"/>
        </w:rPr>
        <w:t xml:space="preserve">beginning July 12 </w:t>
      </w:r>
      <w:r w:rsidR="00C06E0F">
        <w:rPr>
          <w:rFonts w:cs="Arial"/>
        </w:rPr>
        <w:t xml:space="preserve">and publicly reported on </w:t>
      </w:r>
      <w:r w:rsidRPr="005C1751">
        <w:rPr>
          <w:rFonts w:cs="Arial"/>
        </w:rPr>
        <w:t>the</w:t>
      </w:r>
      <w:r>
        <w:rPr>
          <w:rFonts w:cs="Arial"/>
        </w:rPr>
        <w:t xml:space="preserve"> </w:t>
      </w:r>
      <w:hyperlink r:id="rId20" w:history="1">
        <w:r w:rsidRPr="007871A2">
          <w:rPr>
            <w:rStyle w:val="Hyperlink"/>
            <w:rFonts w:cs="Arial"/>
          </w:rPr>
          <w:t>public reporting website</w:t>
        </w:r>
      </w:hyperlink>
      <w:r w:rsidRPr="005C1751">
        <w:rPr>
          <w:rFonts w:cs="Arial"/>
        </w:rPr>
        <w:t xml:space="preserve"> </w:t>
      </w:r>
      <w:r w:rsidR="001610E3">
        <w:rPr>
          <w:rFonts w:cs="Arial"/>
        </w:rPr>
        <w:t>on July 25</w:t>
      </w:r>
      <w:r w:rsidR="00D73360">
        <w:rPr>
          <w:rFonts w:cs="Arial"/>
        </w:rPr>
        <w:t xml:space="preserve"> for hospitals that submit a Survey by the June 30 Submission Deadline</w:t>
      </w:r>
      <w:r w:rsidR="00C06E0F">
        <w:rPr>
          <w:rFonts w:cs="Arial"/>
        </w:rPr>
        <w:t xml:space="preserve">. After </w:t>
      </w:r>
      <w:r w:rsidR="00B25C4F">
        <w:rPr>
          <w:rFonts w:cs="Arial"/>
        </w:rPr>
        <w:t>July</w:t>
      </w:r>
      <w:r w:rsidR="00C06E0F">
        <w:rPr>
          <w:rFonts w:cs="Arial"/>
        </w:rPr>
        <w:t>, the Hospital Details Page and public reporting website will be refreshed monthly</w:t>
      </w:r>
      <w:r w:rsidRPr="005C1751">
        <w:rPr>
          <w:rFonts w:cs="Arial"/>
        </w:rPr>
        <w:t xml:space="preserve"> within the first </w:t>
      </w:r>
      <w:r w:rsidR="004841B8">
        <w:rPr>
          <w:rFonts w:cs="Arial"/>
        </w:rPr>
        <w:t>seven</w:t>
      </w:r>
      <w:r w:rsidR="00C06E0F">
        <w:rPr>
          <w:rFonts w:cs="Arial"/>
        </w:rPr>
        <w:t xml:space="preserve"> (</w:t>
      </w:r>
      <w:r w:rsidR="004841B8">
        <w:rPr>
          <w:rFonts w:cs="Arial"/>
        </w:rPr>
        <w:t>7</w:t>
      </w:r>
      <w:r w:rsidR="00C06E0F">
        <w:rPr>
          <w:rFonts w:cs="Arial"/>
        </w:rPr>
        <w:t>)</w:t>
      </w:r>
      <w:r w:rsidRPr="005C1751">
        <w:rPr>
          <w:rFonts w:cs="Arial"/>
        </w:rPr>
        <w:t xml:space="preserve"> business days of each month to reflect Surveys submitted or resubmitted between </w:t>
      </w:r>
      <w:r w:rsidR="00B25C4F">
        <w:rPr>
          <w:rFonts w:cs="Arial"/>
        </w:rPr>
        <w:t xml:space="preserve">July </w:t>
      </w:r>
      <w:r w:rsidR="00C06E0F">
        <w:rPr>
          <w:rFonts w:cs="Arial"/>
        </w:rPr>
        <w:t>1</w:t>
      </w:r>
      <w:r w:rsidRPr="005C1751">
        <w:rPr>
          <w:rFonts w:cs="Arial"/>
        </w:rPr>
        <w:t xml:space="preserve"> and November 30 and previously submitted Surveys that were corrected be</w:t>
      </w:r>
      <w:r w:rsidR="0047419A">
        <w:rPr>
          <w:rFonts w:cs="Arial"/>
        </w:rPr>
        <w:t>tween December 1 and</w:t>
      </w:r>
      <w:r w:rsidRPr="005C1751">
        <w:rPr>
          <w:rFonts w:cs="Arial"/>
        </w:rPr>
        <w:t xml:space="preserve"> January 31. Survey Results are frozen from February to July 25.</w:t>
      </w:r>
    </w:p>
    <w:bookmarkEnd w:id="14"/>
    <w:p w14:paraId="5AB8C6AF" w14:textId="77777777" w:rsidR="00937518" w:rsidRPr="00BE58A8" w:rsidRDefault="00937518" w:rsidP="00BE58A8">
      <w:pPr>
        <w:ind w:left="360"/>
        <w:rPr>
          <w:rFonts w:cs="Arial"/>
          <w:sz w:val="16"/>
          <w:szCs w:val="16"/>
        </w:rPr>
      </w:pPr>
    </w:p>
    <w:p w14:paraId="7DAB1E55" w14:textId="768AD000" w:rsidR="007632E1" w:rsidRPr="007871A2" w:rsidRDefault="007632E1" w:rsidP="00AD309C">
      <w:pPr>
        <w:pStyle w:val="ListParagraph"/>
        <w:numPr>
          <w:ilvl w:val="0"/>
          <w:numId w:val="13"/>
        </w:numPr>
        <w:rPr>
          <w:rFonts w:cs="Arial"/>
        </w:rPr>
      </w:pPr>
      <w:r w:rsidRPr="007871A2">
        <w:rPr>
          <w:rFonts w:cs="Arial"/>
        </w:rPr>
        <w:t xml:space="preserve">All questions regarding the Leapfrog Hospital </w:t>
      </w:r>
      <w:r w:rsidR="00C14AFF" w:rsidRPr="007871A2">
        <w:rPr>
          <w:rFonts w:cs="Arial"/>
        </w:rPr>
        <w:t>Survey</w:t>
      </w:r>
      <w:r w:rsidRPr="007871A2">
        <w:rPr>
          <w:rFonts w:cs="Arial"/>
        </w:rPr>
        <w:t xml:space="preserve"> should</w:t>
      </w:r>
      <w:r w:rsidR="00751044" w:rsidRPr="007871A2">
        <w:rPr>
          <w:rFonts w:cs="Arial"/>
        </w:rPr>
        <w:t xml:space="preserve"> be submitted to the Help Desk at </w:t>
      </w:r>
      <w:hyperlink r:id="rId21" w:history="1">
        <w:r w:rsidR="00102E3F" w:rsidRPr="007871A2">
          <w:rPr>
            <w:rStyle w:val="Hyperlink"/>
            <w:rFonts w:cs="Arial"/>
          </w:rPr>
          <w:t>https://leapfroghelpdesk.zendesk.com</w:t>
        </w:r>
      </w:hyperlink>
      <w:r w:rsidR="00751044" w:rsidRPr="007871A2">
        <w:rPr>
          <w:rFonts w:cs="Arial"/>
        </w:rPr>
        <w:t xml:space="preserve">. </w:t>
      </w:r>
      <w:r w:rsidR="00B82E87" w:rsidRPr="007871A2">
        <w:rPr>
          <w:rFonts w:cs="Arial"/>
          <w:snapToGrid w:val="0"/>
        </w:rPr>
        <w:t>Q</w:t>
      </w:r>
      <w:r w:rsidRPr="007871A2">
        <w:rPr>
          <w:rFonts w:cs="Arial"/>
          <w:snapToGrid w:val="0"/>
        </w:rPr>
        <w:t xml:space="preserve">uestions submitted to the Help Desk will receive a </w:t>
      </w:r>
      <w:r w:rsidR="00723517" w:rsidRPr="007871A2">
        <w:rPr>
          <w:rFonts w:cs="Arial"/>
          <w:snapToGrid w:val="0"/>
        </w:rPr>
        <w:t>response within</w:t>
      </w:r>
      <w:r w:rsidR="005839BE" w:rsidRPr="007871A2">
        <w:rPr>
          <w:rFonts w:cs="Arial"/>
          <w:snapToGrid w:val="0"/>
        </w:rPr>
        <w:t xml:space="preserve"> 1-2 business days (</w:t>
      </w:r>
      <w:r w:rsidR="00DC3E1B" w:rsidRPr="007871A2">
        <w:rPr>
          <w:rFonts w:cs="Arial"/>
          <w:snapToGrid w:val="0"/>
        </w:rPr>
        <w:t>s</w:t>
      </w:r>
      <w:r w:rsidR="005839BE" w:rsidRPr="007871A2">
        <w:rPr>
          <w:rFonts w:cs="Arial"/>
          <w:snapToGrid w:val="0"/>
        </w:rPr>
        <w:t xml:space="preserve">ee </w:t>
      </w:r>
      <w:hyperlink r:id="rId22" w:history="1">
        <w:r w:rsidR="005839BE" w:rsidRPr="007871A2">
          <w:rPr>
            <w:rStyle w:val="Hyperlink"/>
            <w:rFonts w:cs="Arial"/>
            <w:snapToGrid w:val="0"/>
          </w:rPr>
          <w:t>Help Desk</w:t>
        </w:r>
        <w:r w:rsidR="00561F9C" w:rsidRPr="007871A2">
          <w:rPr>
            <w:rStyle w:val="Hyperlink"/>
            <w:rFonts w:cs="Arial"/>
            <w:snapToGrid w:val="0"/>
          </w:rPr>
          <w:t xml:space="preserve"> Holiday</w:t>
        </w:r>
        <w:r w:rsidR="005839BE" w:rsidRPr="007871A2">
          <w:rPr>
            <w:rStyle w:val="Hyperlink"/>
            <w:rFonts w:cs="Arial"/>
            <w:snapToGrid w:val="0"/>
          </w:rPr>
          <w:t xml:space="preserve"> Schedule</w:t>
        </w:r>
      </w:hyperlink>
      <w:r w:rsidR="00FD021F" w:rsidRPr="00FD021F">
        <w:rPr>
          <w:rStyle w:val="Hyperlink"/>
          <w:rFonts w:cs="Arial"/>
          <w:snapToGrid w:val="0"/>
          <w:u w:val="none"/>
        </w:rPr>
        <w:t xml:space="preserve"> </w:t>
      </w:r>
      <w:r w:rsidR="006D46A0" w:rsidRPr="00FD021F">
        <w:rPr>
          <w:rStyle w:val="Hyperlink"/>
          <w:rFonts w:cs="Arial"/>
          <w:snapToGrid w:val="0"/>
          <w:color w:val="auto"/>
          <w:u w:val="none"/>
        </w:rPr>
        <w:t>for planned closures</w:t>
      </w:r>
      <w:r w:rsidR="005839BE" w:rsidRPr="007871A2">
        <w:rPr>
          <w:rFonts w:cs="Arial"/>
          <w:snapToGrid w:val="0"/>
        </w:rPr>
        <w:t>)</w:t>
      </w:r>
      <w:r w:rsidRPr="007871A2">
        <w:rPr>
          <w:rFonts w:cs="Arial"/>
          <w:snapToGrid w:val="0"/>
        </w:rPr>
        <w:t>.</w:t>
      </w:r>
    </w:p>
    <w:p w14:paraId="28B79F43" w14:textId="77777777" w:rsidR="001E2485" w:rsidRPr="00BE58A8" w:rsidRDefault="001E2485" w:rsidP="00BE58A8">
      <w:pPr>
        <w:ind w:left="360"/>
        <w:rPr>
          <w:rFonts w:cs="Arial"/>
          <w:sz w:val="16"/>
          <w:szCs w:val="16"/>
        </w:rPr>
      </w:pPr>
    </w:p>
    <w:p w14:paraId="276594E6" w14:textId="1B8BCA5E" w:rsidR="001E2485" w:rsidRPr="007871A2" w:rsidRDefault="001E2485" w:rsidP="00AD309C">
      <w:pPr>
        <w:pStyle w:val="ListParagraph"/>
        <w:numPr>
          <w:ilvl w:val="0"/>
          <w:numId w:val="13"/>
        </w:numPr>
        <w:rPr>
          <w:rFonts w:cs="Arial"/>
        </w:rPr>
      </w:pPr>
      <w:r w:rsidRPr="007871A2">
        <w:rPr>
          <w:rFonts w:cs="Arial"/>
        </w:rPr>
        <w:t>For hospitals that would li</w:t>
      </w:r>
      <w:r w:rsidR="00B82E87" w:rsidRPr="007871A2">
        <w:rPr>
          <w:rFonts w:cs="Arial"/>
        </w:rPr>
        <w:t xml:space="preserve">ke Leapfrog Hospital </w:t>
      </w:r>
      <w:r w:rsidR="00C14AFF" w:rsidRPr="007871A2">
        <w:rPr>
          <w:rFonts w:cs="Arial"/>
        </w:rPr>
        <w:t>Survey Results</w:t>
      </w:r>
      <w:r w:rsidRPr="007871A2">
        <w:rPr>
          <w:rFonts w:cs="Arial"/>
        </w:rPr>
        <w:t xml:space="preserve"> included in their </w:t>
      </w:r>
      <w:r w:rsidR="00E22E43" w:rsidRPr="007871A2">
        <w:rPr>
          <w:rFonts w:cs="Arial"/>
          <w:b/>
        </w:rPr>
        <w:t>Leapfrog Hospital Safety Grade</w:t>
      </w:r>
      <w:r w:rsidR="000517A3">
        <w:rPr>
          <w:rFonts w:cs="Arial"/>
          <w:b/>
        </w:rPr>
        <w:t>,</w:t>
      </w:r>
      <w:r w:rsidR="00E22E43" w:rsidRPr="007871A2">
        <w:rPr>
          <w:rFonts w:cs="Arial"/>
          <w:b/>
        </w:rPr>
        <w:t xml:space="preserve"> </w:t>
      </w:r>
      <w:r w:rsidRPr="007871A2">
        <w:rPr>
          <w:rFonts w:cs="Arial"/>
        </w:rPr>
        <w:t>please visit</w:t>
      </w:r>
      <w:r w:rsidR="00E22E43" w:rsidRPr="007871A2">
        <w:rPr>
          <w:rFonts w:cs="Arial"/>
        </w:rPr>
        <w:t xml:space="preserve"> </w:t>
      </w:r>
      <w:r w:rsidR="005F434D" w:rsidRPr="007871A2">
        <w:rPr>
          <w:rFonts w:cs="Arial"/>
        </w:rPr>
        <w:t xml:space="preserve">the “For Hospitals” section of the Hospital Safety Grade </w:t>
      </w:r>
      <w:hyperlink r:id="rId23" w:history="1">
        <w:r w:rsidR="005F434D" w:rsidRPr="007871A2">
          <w:rPr>
            <w:rStyle w:val="Hyperlink"/>
            <w:rFonts w:cs="Arial"/>
          </w:rPr>
          <w:t>website</w:t>
        </w:r>
      </w:hyperlink>
      <w:r w:rsidR="005F434D" w:rsidRPr="007871A2">
        <w:rPr>
          <w:rFonts w:cs="Arial"/>
        </w:rPr>
        <w:t xml:space="preserve"> </w:t>
      </w:r>
      <w:r w:rsidRPr="007871A2">
        <w:rPr>
          <w:rFonts w:cs="Arial"/>
        </w:rPr>
        <w:t>for important information o</w:t>
      </w:r>
      <w:r w:rsidR="00666DDA" w:rsidRPr="007871A2">
        <w:rPr>
          <w:rFonts w:cs="Arial"/>
        </w:rPr>
        <w:t>n Data Snapshot Dates. A Leapfrog Hospital Survey must be submitted by the Data Snapshot Date</w:t>
      </w:r>
      <w:r w:rsidR="002168A5" w:rsidRPr="007871A2">
        <w:rPr>
          <w:rFonts w:cs="Arial"/>
        </w:rPr>
        <w:t xml:space="preserve"> </w:t>
      </w:r>
      <w:r w:rsidR="00DC3E1B" w:rsidRPr="007871A2">
        <w:rPr>
          <w:rFonts w:cs="Arial"/>
        </w:rPr>
        <w:t>for</w:t>
      </w:r>
      <w:r w:rsidR="00666DDA" w:rsidRPr="007871A2">
        <w:rPr>
          <w:rFonts w:cs="Arial"/>
        </w:rPr>
        <w:t xml:space="preserve"> </w:t>
      </w:r>
      <w:r w:rsidR="00C14AFF" w:rsidRPr="007871A2">
        <w:rPr>
          <w:rFonts w:cs="Arial"/>
        </w:rPr>
        <w:t>Survey</w:t>
      </w:r>
      <w:r w:rsidR="00666DDA" w:rsidRPr="007871A2">
        <w:rPr>
          <w:rFonts w:cs="Arial"/>
        </w:rPr>
        <w:t xml:space="preserve"> data to be used in the Hospital Safety </w:t>
      </w:r>
      <w:r w:rsidR="009D788B" w:rsidRPr="007871A2">
        <w:rPr>
          <w:rFonts w:cs="Arial"/>
        </w:rPr>
        <w:t>Grade</w:t>
      </w:r>
      <w:r w:rsidR="00666DDA" w:rsidRPr="007871A2">
        <w:rPr>
          <w:rFonts w:cs="Arial"/>
        </w:rPr>
        <w:t>.</w:t>
      </w:r>
    </w:p>
    <w:p w14:paraId="7F0E00EF" w14:textId="77777777" w:rsidR="00077CD6" w:rsidRPr="007871A2" w:rsidRDefault="00077CD6" w:rsidP="00077CD6">
      <w:pPr>
        <w:pStyle w:val="ListParagraph"/>
        <w:ind w:left="360"/>
        <w:rPr>
          <w:rFonts w:cs="Arial"/>
          <w:sz w:val="16"/>
          <w:szCs w:val="16"/>
        </w:rPr>
      </w:pPr>
    </w:p>
    <w:p w14:paraId="5746D8AB" w14:textId="7988000F" w:rsidR="00077CD6" w:rsidRPr="007871A2" w:rsidRDefault="00077CD6" w:rsidP="00AD309C">
      <w:pPr>
        <w:pStyle w:val="ListParagraph"/>
        <w:numPr>
          <w:ilvl w:val="0"/>
          <w:numId w:val="13"/>
        </w:numPr>
        <w:rPr>
          <w:rFonts w:cs="Arial"/>
        </w:rPr>
      </w:pPr>
      <w:r w:rsidRPr="007871A2">
        <w:rPr>
          <w:rFonts w:cs="Arial"/>
        </w:rPr>
        <w:lastRenderedPageBreak/>
        <w:t xml:space="preserve">Leapfrog is committed to </w:t>
      </w:r>
      <w:r w:rsidR="00EE3E32">
        <w:rPr>
          <w:rFonts w:cs="Arial"/>
        </w:rPr>
        <w:t>verifying</w:t>
      </w:r>
      <w:r w:rsidRPr="007871A2">
        <w:rPr>
          <w:rFonts w:cs="Arial"/>
        </w:rPr>
        <w:t xml:space="preserve"> the accura</w:t>
      </w:r>
      <w:r w:rsidR="00C14AFF" w:rsidRPr="007871A2">
        <w:rPr>
          <w:rFonts w:cs="Arial"/>
        </w:rPr>
        <w:t>cy of Leapfrog Hospital Survey Results</w:t>
      </w:r>
      <w:r w:rsidRPr="007871A2">
        <w:rPr>
          <w:rFonts w:cs="Arial"/>
        </w:rPr>
        <w:t>. Please revie</w:t>
      </w:r>
      <w:r w:rsidR="005F434D" w:rsidRPr="007871A2">
        <w:rPr>
          <w:rFonts w:cs="Arial"/>
        </w:rPr>
        <w:t xml:space="preserve">w the information on the </w:t>
      </w:r>
      <w:hyperlink r:id="rId24" w:history="1">
        <w:r w:rsidR="005F434D" w:rsidRPr="007871A2">
          <w:rPr>
            <w:rStyle w:val="Hyperlink"/>
            <w:rFonts w:cs="Arial"/>
          </w:rPr>
          <w:t>Data Accuracy webpage</w:t>
        </w:r>
      </w:hyperlink>
      <w:r w:rsidRPr="007871A2">
        <w:rPr>
          <w:rFonts w:cs="Arial"/>
        </w:rPr>
        <w:t xml:space="preserve">. </w:t>
      </w:r>
    </w:p>
    <w:p w14:paraId="53F2FE19" w14:textId="77777777" w:rsidR="00BD10D7" w:rsidRPr="00553722" w:rsidRDefault="00BD10D7" w:rsidP="00BE58A8">
      <w:pPr>
        <w:ind w:left="360"/>
        <w:rPr>
          <w:rFonts w:cs="Arial"/>
          <w:sz w:val="16"/>
          <w:szCs w:val="16"/>
        </w:rPr>
      </w:pPr>
      <w:bookmarkStart w:id="15" w:name="_Hlk36384104"/>
    </w:p>
    <w:p w14:paraId="7A6E8217" w14:textId="1218CF27" w:rsidR="004F7F97" w:rsidRDefault="00931945" w:rsidP="00AD309C">
      <w:pPr>
        <w:pStyle w:val="ListParagraph"/>
        <w:numPr>
          <w:ilvl w:val="0"/>
          <w:numId w:val="13"/>
        </w:numPr>
      </w:pPr>
      <w:bookmarkStart w:id="16" w:name="_Hlk35505143"/>
      <w:r w:rsidRPr="004F7F97">
        <w:rPr>
          <w:rFonts w:cs="Arial"/>
        </w:rPr>
        <w:t xml:space="preserve">The </w:t>
      </w:r>
      <w:hyperlink r:id="rId25" w:history="1">
        <w:r w:rsidRPr="004F7F97">
          <w:rPr>
            <w:rStyle w:val="Hyperlink"/>
            <w:rFonts w:cs="Arial"/>
          </w:rPr>
          <w:t>Submission D</w:t>
        </w:r>
        <w:r w:rsidR="00CA1CB8" w:rsidRPr="004F7F97">
          <w:rPr>
            <w:rStyle w:val="Hyperlink"/>
            <w:rFonts w:cs="Arial"/>
          </w:rPr>
          <w:t>eadline</w:t>
        </w:r>
      </w:hyperlink>
      <w:r w:rsidR="00CA1CB8" w:rsidRPr="004F7F97">
        <w:rPr>
          <w:rFonts w:cs="Arial"/>
        </w:rPr>
        <w:t xml:space="preserve"> for the </w:t>
      </w:r>
      <w:r w:rsidR="00A236B1" w:rsidRPr="004F7F97">
        <w:rPr>
          <w:rFonts w:cs="Arial"/>
        </w:rPr>
        <w:t>202</w:t>
      </w:r>
      <w:r w:rsidR="00FD21ED">
        <w:rPr>
          <w:rFonts w:cs="Arial"/>
        </w:rPr>
        <w:t>6</w:t>
      </w:r>
      <w:r w:rsidR="00CA1CB8" w:rsidRPr="004F7F97">
        <w:rPr>
          <w:rFonts w:cs="Arial"/>
        </w:rPr>
        <w:t xml:space="preserve"> Leapfrog Hospital Survey is </w:t>
      </w:r>
      <w:r w:rsidR="00BD6930" w:rsidRPr="004F7F97">
        <w:rPr>
          <w:rFonts w:cs="Arial"/>
          <w:b/>
        </w:rPr>
        <w:t>June 30</w:t>
      </w:r>
      <w:r w:rsidR="00CA1CB8" w:rsidRPr="004F7F97">
        <w:rPr>
          <w:rFonts w:cs="Arial"/>
          <w:b/>
        </w:rPr>
        <w:t xml:space="preserve">, </w:t>
      </w:r>
      <w:r w:rsidR="003A5E39" w:rsidRPr="004F7F97">
        <w:rPr>
          <w:rFonts w:cs="Arial"/>
          <w:b/>
        </w:rPr>
        <w:t>202</w:t>
      </w:r>
      <w:r w:rsidR="00FD21ED">
        <w:rPr>
          <w:rFonts w:cs="Arial"/>
          <w:b/>
        </w:rPr>
        <w:t>6</w:t>
      </w:r>
      <w:r w:rsidR="003A5E39" w:rsidRPr="004F7F97">
        <w:rPr>
          <w:rFonts w:cs="Arial"/>
          <w:b/>
        </w:rPr>
        <w:t>,</w:t>
      </w:r>
      <w:r w:rsidR="00500B6E" w:rsidRPr="004F7F97">
        <w:rPr>
          <w:rFonts w:cs="Arial"/>
        </w:rPr>
        <w:t xml:space="preserve"> </w:t>
      </w:r>
      <w:r w:rsidR="00CA1CB8" w:rsidRPr="004F7F97">
        <w:rPr>
          <w:rFonts w:cs="Arial"/>
        </w:rPr>
        <w:t>and t</w:t>
      </w:r>
      <w:r w:rsidR="00BD10D7" w:rsidRPr="004F7F97">
        <w:rPr>
          <w:rFonts w:cs="Arial"/>
        </w:rPr>
        <w:t>he</w:t>
      </w:r>
      <w:r w:rsidR="00CA1CB8" w:rsidRPr="004F7F97">
        <w:rPr>
          <w:rFonts w:cs="Arial"/>
        </w:rPr>
        <w:t xml:space="preserve"> Late Submission </w:t>
      </w:r>
      <w:r w:rsidR="00123E52" w:rsidRPr="004F7F97">
        <w:rPr>
          <w:rFonts w:cs="Arial"/>
          <w:bCs/>
          <w:snapToGrid w:val="0"/>
        </w:rPr>
        <w:t>and Performance Update</w:t>
      </w:r>
      <w:r w:rsidR="00123E52" w:rsidRPr="004F7F97">
        <w:rPr>
          <w:rFonts w:cs="Arial"/>
          <w:bCs/>
          <w:snapToGrid w:val="0"/>
          <w:sz w:val="16"/>
          <w:szCs w:val="16"/>
        </w:rPr>
        <w:t xml:space="preserve"> </w:t>
      </w:r>
      <w:r w:rsidR="00CA1CB8" w:rsidRPr="004F7F97">
        <w:rPr>
          <w:rFonts w:cs="Arial"/>
        </w:rPr>
        <w:t>Deadline is</w:t>
      </w:r>
      <w:r w:rsidR="00BD10D7" w:rsidRPr="004F7F97">
        <w:rPr>
          <w:rFonts w:cs="Arial"/>
          <w:b/>
        </w:rPr>
        <w:t xml:space="preserve"> </w:t>
      </w:r>
      <w:r w:rsidR="005C1751" w:rsidRPr="004F7F97">
        <w:rPr>
          <w:rFonts w:cs="Arial"/>
          <w:b/>
        </w:rPr>
        <w:t>November 30</w:t>
      </w:r>
      <w:r w:rsidR="00BD10D7" w:rsidRPr="004F7F97">
        <w:rPr>
          <w:rFonts w:cs="Arial"/>
          <w:b/>
        </w:rPr>
        <w:t xml:space="preserve">, </w:t>
      </w:r>
      <w:r w:rsidR="00A236B1" w:rsidRPr="004F7F97">
        <w:rPr>
          <w:rFonts w:cs="Arial"/>
          <w:b/>
        </w:rPr>
        <w:t>202</w:t>
      </w:r>
      <w:r w:rsidR="00FD21ED">
        <w:rPr>
          <w:rFonts w:cs="Arial"/>
          <w:b/>
        </w:rPr>
        <w:t>6</w:t>
      </w:r>
      <w:r w:rsidR="00BD10D7" w:rsidRPr="004F7F97">
        <w:rPr>
          <w:rFonts w:cs="Arial"/>
        </w:rPr>
        <w:t xml:space="preserve">. Hospitals that do not submit a </w:t>
      </w:r>
      <w:r w:rsidR="00C14AFF" w:rsidRPr="004F7F97">
        <w:rPr>
          <w:rFonts w:cs="Arial"/>
        </w:rPr>
        <w:t>Survey</w:t>
      </w:r>
      <w:r w:rsidR="005C1751" w:rsidRPr="004F7F97">
        <w:rPr>
          <w:rFonts w:cs="Arial"/>
        </w:rPr>
        <w:t xml:space="preserve"> or CPOE Evaluation Tool (adult</w:t>
      </w:r>
      <w:r w:rsidR="00201533" w:rsidRPr="004F7F97">
        <w:rPr>
          <w:rFonts w:cs="Arial"/>
        </w:rPr>
        <w:t xml:space="preserve"> and general</w:t>
      </w:r>
      <w:r w:rsidR="005C1751" w:rsidRPr="004F7F97">
        <w:rPr>
          <w:rFonts w:cs="Arial"/>
        </w:rPr>
        <w:t xml:space="preserve"> hospitals only)</w:t>
      </w:r>
      <w:r w:rsidR="00BD10D7" w:rsidRPr="004F7F97">
        <w:rPr>
          <w:rFonts w:cs="Arial"/>
        </w:rPr>
        <w:t xml:space="preserve"> b</w:t>
      </w:r>
      <w:r w:rsidR="00E3170B" w:rsidRPr="004F7F97">
        <w:rPr>
          <w:rFonts w:cs="Arial"/>
        </w:rPr>
        <w:t xml:space="preserve">efore </w:t>
      </w:r>
      <w:r w:rsidR="005C1751" w:rsidRPr="004F7F97">
        <w:rPr>
          <w:rFonts w:cs="Arial"/>
        </w:rPr>
        <w:t>11:59 pm</w:t>
      </w:r>
      <w:r w:rsidR="00E3170B" w:rsidRPr="004F7F97">
        <w:rPr>
          <w:rFonts w:cs="Arial"/>
        </w:rPr>
        <w:t xml:space="preserve"> Eastern Tim</w:t>
      </w:r>
      <w:r w:rsidR="00393CCE" w:rsidRPr="004F7F97">
        <w:rPr>
          <w:rFonts w:cs="Arial"/>
        </w:rPr>
        <w:t>e</w:t>
      </w:r>
      <w:r w:rsidR="00E3170B" w:rsidRPr="004F7F97">
        <w:rPr>
          <w:rFonts w:cs="Arial"/>
        </w:rPr>
        <w:t xml:space="preserve"> on</w:t>
      </w:r>
      <w:r w:rsidR="00E44C8B" w:rsidRPr="004F7F97">
        <w:rPr>
          <w:rFonts w:cs="Arial"/>
          <w:b/>
        </w:rPr>
        <w:t xml:space="preserve"> </w:t>
      </w:r>
      <w:r w:rsidR="005C1751" w:rsidRPr="004F7F97">
        <w:rPr>
          <w:rFonts w:cs="Arial"/>
          <w:b/>
        </w:rPr>
        <w:t>November 30</w:t>
      </w:r>
      <w:r w:rsidR="00BD10D7" w:rsidRPr="004F7F97">
        <w:rPr>
          <w:rFonts w:cs="Arial"/>
          <w:b/>
        </w:rPr>
        <w:t xml:space="preserve">, </w:t>
      </w:r>
      <w:r w:rsidR="003A5E39" w:rsidRPr="004F7F97">
        <w:rPr>
          <w:rFonts w:cs="Arial"/>
          <w:b/>
        </w:rPr>
        <w:t>202</w:t>
      </w:r>
      <w:r w:rsidR="00FD21ED">
        <w:rPr>
          <w:rFonts w:cs="Arial"/>
          <w:b/>
        </w:rPr>
        <w:t>6</w:t>
      </w:r>
      <w:r w:rsidR="003A5E39" w:rsidRPr="004F7F97">
        <w:rPr>
          <w:rFonts w:cs="Arial"/>
          <w:b/>
        </w:rPr>
        <w:t>,</w:t>
      </w:r>
      <w:r w:rsidR="00460E9D" w:rsidRPr="004F7F97">
        <w:rPr>
          <w:rFonts w:cs="Arial"/>
          <w:b/>
        </w:rPr>
        <w:t xml:space="preserve"> </w:t>
      </w:r>
      <w:r w:rsidR="00BD10D7" w:rsidRPr="004F7F97">
        <w:rPr>
          <w:rFonts w:cs="Arial"/>
        </w:rPr>
        <w:t>will have to w</w:t>
      </w:r>
      <w:r w:rsidR="00277447" w:rsidRPr="004F7F97">
        <w:rPr>
          <w:rFonts w:cs="Arial"/>
        </w:rPr>
        <w:t xml:space="preserve">ait until the launch of the </w:t>
      </w:r>
      <w:r w:rsidR="00C06E0F" w:rsidRPr="004F7F97">
        <w:rPr>
          <w:rFonts w:cs="Arial"/>
        </w:rPr>
        <w:t>202</w:t>
      </w:r>
      <w:r w:rsidR="00FD21ED">
        <w:rPr>
          <w:rFonts w:cs="Arial"/>
        </w:rPr>
        <w:t>7</w:t>
      </w:r>
      <w:r w:rsidR="00460E9D" w:rsidRPr="004F7F97">
        <w:rPr>
          <w:rFonts w:cs="Arial"/>
        </w:rPr>
        <w:t xml:space="preserve"> </w:t>
      </w:r>
      <w:r w:rsidR="00D33913" w:rsidRPr="004F7F97">
        <w:rPr>
          <w:rFonts w:cs="Arial"/>
        </w:rPr>
        <w:t xml:space="preserve">Leapfrog Hospital </w:t>
      </w:r>
      <w:r w:rsidR="00C14AFF" w:rsidRPr="004F7F97">
        <w:rPr>
          <w:rFonts w:cs="Arial"/>
        </w:rPr>
        <w:t>Survey</w:t>
      </w:r>
      <w:r w:rsidR="00BD10D7" w:rsidRPr="004F7F97">
        <w:rPr>
          <w:rFonts w:cs="Arial"/>
        </w:rPr>
        <w:t xml:space="preserve"> on April 1, </w:t>
      </w:r>
      <w:r w:rsidR="00267EE2" w:rsidRPr="004F7F97">
        <w:rPr>
          <w:rFonts w:cs="Arial"/>
        </w:rPr>
        <w:t>202</w:t>
      </w:r>
      <w:r w:rsidR="00FD21ED">
        <w:rPr>
          <w:rFonts w:cs="Arial"/>
        </w:rPr>
        <w:t>7</w:t>
      </w:r>
      <w:r w:rsidR="0047419A" w:rsidRPr="004F7F97">
        <w:rPr>
          <w:rFonts w:cs="Arial"/>
        </w:rPr>
        <w:t xml:space="preserve"> to submit a Survey</w:t>
      </w:r>
      <w:r w:rsidR="00BD10D7" w:rsidRPr="004F7F97">
        <w:rPr>
          <w:rFonts w:cs="Arial"/>
        </w:rPr>
        <w:t>.</w:t>
      </w:r>
      <w:bookmarkEnd w:id="15"/>
      <w:bookmarkEnd w:id="16"/>
    </w:p>
    <w:p w14:paraId="19C043BE" w14:textId="77777777" w:rsidR="00871F30" w:rsidRDefault="00871F30">
      <w:pPr>
        <w:rPr>
          <w:b/>
          <w:snapToGrid w:val="0"/>
          <w:sz w:val="28"/>
          <w:szCs w:val="24"/>
          <w:u w:val="single"/>
          <w:lang w:eastAsia="ja-JP"/>
        </w:rPr>
      </w:pPr>
      <w:r>
        <w:br w:type="page"/>
      </w:r>
    </w:p>
    <w:p w14:paraId="648E1C4F" w14:textId="5B9958C5" w:rsidR="0010643F" w:rsidRPr="004F7F97" w:rsidRDefault="001000CF" w:rsidP="00CF5A6E">
      <w:pPr>
        <w:pStyle w:val="Heading2"/>
        <w:rPr>
          <w:rFonts w:cs="Arial"/>
        </w:rPr>
      </w:pPr>
      <w:bookmarkStart w:id="17" w:name="_Toc225877638"/>
      <w:r w:rsidRPr="009A5185">
        <w:lastRenderedPageBreak/>
        <w:t>Overview</w:t>
      </w:r>
      <w:r w:rsidR="00E26FA1" w:rsidRPr="009A5185">
        <w:t xml:space="preserve"> of the </w:t>
      </w:r>
      <w:r w:rsidR="00A236B1">
        <w:t>202</w:t>
      </w:r>
      <w:r w:rsidR="003C0774">
        <w:t>6</w:t>
      </w:r>
      <w:r w:rsidR="00460E9D" w:rsidRPr="009A5185">
        <w:t xml:space="preserve"> </w:t>
      </w:r>
      <w:r w:rsidR="0010643F" w:rsidRPr="009A5185">
        <w:t xml:space="preserve">Leapfrog Hospital </w:t>
      </w:r>
      <w:r w:rsidR="00C14AFF" w:rsidRPr="009A5185">
        <w:t>Survey</w:t>
      </w:r>
      <w:bookmarkEnd w:id="17"/>
    </w:p>
    <w:p w14:paraId="3AE0F497" w14:textId="77777777" w:rsidR="0010643F" w:rsidRPr="00F836E7" w:rsidRDefault="0010643F" w:rsidP="00EA4E95">
      <w:pPr>
        <w:rPr>
          <w:rFonts w:cs="Arial"/>
          <w:snapToGrid w:val="0"/>
        </w:rPr>
      </w:pPr>
    </w:p>
    <w:p w14:paraId="6314224A" w14:textId="24EF6CB0" w:rsidR="009A689A" w:rsidRDefault="0010643F" w:rsidP="00B93E94">
      <w:pPr>
        <w:pStyle w:val="FactSheetText"/>
        <w:rPr>
          <w:rFonts w:ascii="Arial" w:hAnsi="Arial" w:cs="Arial"/>
          <w:sz w:val="20"/>
          <w:szCs w:val="20"/>
        </w:rPr>
      </w:pPr>
      <w:r w:rsidRPr="009A5185">
        <w:rPr>
          <w:rFonts w:ascii="Arial" w:hAnsi="Arial" w:cs="Arial"/>
          <w:snapToGrid w:val="0"/>
          <w:sz w:val="20"/>
          <w:szCs w:val="20"/>
        </w:rPr>
        <w:t xml:space="preserve">The Leapfrog Hospital </w:t>
      </w:r>
      <w:r w:rsidR="00C14AFF" w:rsidRPr="009A5185">
        <w:rPr>
          <w:rFonts w:ascii="Arial" w:hAnsi="Arial" w:cs="Arial"/>
          <w:snapToGrid w:val="0"/>
          <w:sz w:val="20"/>
          <w:szCs w:val="20"/>
        </w:rPr>
        <w:t>Survey</w:t>
      </w:r>
      <w:r w:rsidR="00D55B86">
        <w:rPr>
          <w:rFonts w:ascii="Arial" w:hAnsi="Arial" w:cs="Arial"/>
          <w:snapToGrid w:val="0"/>
          <w:sz w:val="20"/>
          <w:szCs w:val="20"/>
        </w:rPr>
        <w:t xml:space="preserve"> is divided into </w:t>
      </w:r>
      <w:r w:rsidR="002127CF">
        <w:rPr>
          <w:rFonts w:ascii="Arial" w:hAnsi="Arial" w:cs="Arial"/>
          <w:snapToGrid w:val="0"/>
          <w:sz w:val="20"/>
          <w:szCs w:val="20"/>
        </w:rPr>
        <w:t>nine</w:t>
      </w:r>
      <w:r w:rsidR="00AE1817" w:rsidRPr="009A5185">
        <w:rPr>
          <w:rFonts w:ascii="Arial" w:hAnsi="Arial" w:cs="Arial"/>
          <w:snapToGrid w:val="0"/>
          <w:sz w:val="20"/>
          <w:szCs w:val="20"/>
        </w:rPr>
        <w:t xml:space="preserve"> sections</w:t>
      </w:r>
      <w:r w:rsidR="00F72C9F">
        <w:rPr>
          <w:rFonts w:ascii="Arial" w:hAnsi="Arial" w:cs="Arial"/>
          <w:snapToGrid w:val="0"/>
          <w:sz w:val="20"/>
          <w:szCs w:val="20"/>
        </w:rPr>
        <w:t xml:space="preserve"> and the Hospital Profile</w:t>
      </w:r>
      <w:r w:rsidR="00AE1817" w:rsidRPr="009A5185">
        <w:rPr>
          <w:rFonts w:ascii="Arial" w:hAnsi="Arial" w:cs="Arial"/>
          <w:snapToGrid w:val="0"/>
          <w:sz w:val="20"/>
          <w:szCs w:val="20"/>
        </w:rPr>
        <w:t>. A description of each section is listed below.</w:t>
      </w:r>
      <w:r w:rsidR="009A689A" w:rsidRPr="009A5185">
        <w:rPr>
          <w:rFonts w:ascii="Arial" w:hAnsi="Arial" w:cs="Arial"/>
          <w:snapToGrid w:val="0"/>
          <w:sz w:val="20"/>
          <w:szCs w:val="20"/>
        </w:rPr>
        <w:t xml:space="preserve"> </w:t>
      </w:r>
      <w:r w:rsidR="009A689A" w:rsidRPr="009A5185">
        <w:rPr>
          <w:rFonts w:ascii="Arial" w:hAnsi="Arial" w:cs="Arial"/>
          <w:sz w:val="20"/>
          <w:szCs w:val="20"/>
        </w:rPr>
        <w:t xml:space="preserve">For a more detailed overview of the </w:t>
      </w:r>
      <w:r w:rsidR="00A236B1">
        <w:rPr>
          <w:rFonts w:ascii="Arial" w:hAnsi="Arial" w:cs="Arial"/>
          <w:sz w:val="20"/>
          <w:szCs w:val="20"/>
        </w:rPr>
        <w:t>202</w:t>
      </w:r>
      <w:r w:rsidR="003C0774">
        <w:rPr>
          <w:rFonts w:ascii="Arial" w:hAnsi="Arial" w:cs="Arial"/>
          <w:sz w:val="20"/>
          <w:szCs w:val="20"/>
        </w:rPr>
        <w:t>6</w:t>
      </w:r>
      <w:r w:rsidR="009A689A" w:rsidRPr="009A5185">
        <w:rPr>
          <w:rFonts w:ascii="Arial" w:hAnsi="Arial" w:cs="Arial"/>
          <w:sz w:val="20"/>
          <w:szCs w:val="20"/>
        </w:rPr>
        <w:t xml:space="preserve"> Leapfrog Hospital </w:t>
      </w:r>
      <w:r w:rsidR="00C14AFF" w:rsidRPr="009A5185">
        <w:rPr>
          <w:rFonts w:ascii="Arial" w:hAnsi="Arial" w:cs="Arial"/>
          <w:sz w:val="20"/>
          <w:szCs w:val="20"/>
        </w:rPr>
        <w:t>Survey</w:t>
      </w:r>
      <w:r w:rsidR="009A689A" w:rsidRPr="009A5185">
        <w:rPr>
          <w:rFonts w:ascii="Arial" w:hAnsi="Arial" w:cs="Arial"/>
          <w:sz w:val="20"/>
          <w:szCs w:val="20"/>
        </w:rPr>
        <w:t xml:space="preserve">, including a crosswalk of nationally endorsed measures and a description of how measures are publicly reported, visit the </w:t>
      </w:r>
      <w:hyperlink r:id="rId26" w:history="1">
        <w:r w:rsidR="00911CED">
          <w:rPr>
            <w:rStyle w:val="Hyperlink"/>
            <w:rFonts w:ascii="Arial" w:hAnsi="Arial" w:cs="Arial"/>
            <w:sz w:val="20"/>
            <w:szCs w:val="20"/>
          </w:rPr>
          <w:t>Survey Overview webpage</w:t>
        </w:r>
      </w:hyperlink>
      <w:r w:rsidR="00F16DB6">
        <w:rPr>
          <w:rFonts w:ascii="Arial" w:hAnsi="Arial" w:cs="Arial"/>
          <w:sz w:val="20"/>
          <w:szCs w:val="20"/>
        </w:rPr>
        <w:t>.</w:t>
      </w:r>
    </w:p>
    <w:p w14:paraId="5386B736" w14:textId="77777777" w:rsidR="00B93E94" w:rsidRPr="00F836E7" w:rsidRDefault="00B93E94" w:rsidP="00B93E94">
      <w:pPr>
        <w:pStyle w:val="FactSheetText"/>
        <w:rPr>
          <w:rFonts w:ascii="Arial" w:hAnsi="Arial" w:cs="Arial"/>
          <w:sz w:val="20"/>
          <w:szCs w:val="20"/>
        </w:rPr>
      </w:pPr>
    </w:p>
    <w:tbl>
      <w:tblPr>
        <w:tblStyle w:val="TableGrid"/>
        <w:tblW w:w="9360" w:type="dxa"/>
        <w:jc w:val="center"/>
        <w:tblLook w:val="04A0" w:firstRow="1" w:lastRow="0" w:firstColumn="1" w:lastColumn="0" w:noHBand="0" w:noVBand="1"/>
      </w:tblPr>
      <w:tblGrid>
        <w:gridCol w:w="1076"/>
        <w:gridCol w:w="1317"/>
        <w:gridCol w:w="6967"/>
      </w:tblGrid>
      <w:tr w:rsidR="00872296" w:rsidRPr="009A5185" w14:paraId="7FAFA34D" w14:textId="77777777" w:rsidTr="00434350">
        <w:trPr>
          <w:tblHeader/>
          <w:jc w:val="center"/>
        </w:trPr>
        <w:tc>
          <w:tcPr>
            <w:tcW w:w="1083" w:type="dxa"/>
            <w:shd w:val="clear" w:color="auto" w:fill="213468"/>
            <w:vAlign w:val="center"/>
          </w:tcPr>
          <w:p w14:paraId="094BEB63" w14:textId="7A38F7CA" w:rsidR="00872296" w:rsidRPr="009A5185" w:rsidRDefault="00872296" w:rsidP="0047419A">
            <w:pPr>
              <w:jc w:val="center"/>
              <w:rPr>
                <w:rFonts w:cs="Arial"/>
                <w:b/>
                <w:snapToGrid w:val="0"/>
                <w:color w:val="FFFFFF" w:themeColor="background1"/>
              </w:rPr>
            </w:pPr>
            <w:r w:rsidRPr="009A5185">
              <w:rPr>
                <w:rFonts w:cs="Arial"/>
                <w:b/>
                <w:snapToGrid w:val="0"/>
                <w:color w:val="FFFFFF" w:themeColor="background1"/>
              </w:rPr>
              <w:t xml:space="preserve">Section </w:t>
            </w:r>
            <w:r w:rsidR="0047419A">
              <w:rPr>
                <w:rFonts w:cs="Arial"/>
                <w:b/>
                <w:snapToGrid w:val="0"/>
                <w:color w:val="FFFFFF" w:themeColor="background1"/>
              </w:rPr>
              <w:t>Number</w:t>
            </w:r>
          </w:p>
        </w:tc>
        <w:tc>
          <w:tcPr>
            <w:tcW w:w="982" w:type="dxa"/>
            <w:shd w:val="clear" w:color="auto" w:fill="213468"/>
            <w:vAlign w:val="center"/>
          </w:tcPr>
          <w:p w14:paraId="4091EECF" w14:textId="77777777" w:rsidR="00872296" w:rsidRPr="009A5185" w:rsidRDefault="00872296" w:rsidP="0047419A">
            <w:pPr>
              <w:jc w:val="center"/>
              <w:rPr>
                <w:rFonts w:cs="Arial"/>
                <w:b/>
                <w:snapToGrid w:val="0"/>
                <w:color w:val="FFFFFF" w:themeColor="background1"/>
              </w:rPr>
            </w:pPr>
            <w:r w:rsidRPr="009A5185">
              <w:rPr>
                <w:rFonts w:cs="Arial"/>
                <w:b/>
                <w:snapToGrid w:val="0"/>
                <w:color w:val="FFFFFF" w:themeColor="background1"/>
              </w:rPr>
              <w:t>Section Title</w:t>
            </w:r>
          </w:p>
        </w:tc>
        <w:tc>
          <w:tcPr>
            <w:tcW w:w="7295" w:type="dxa"/>
            <w:shd w:val="clear" w:color="auto" w:fill="213468"/>
            <w:vAlign w:val="center"/>
          </w:tcPr>
          <w:p w14:paraId="39835DBB" w14:textId="77777777" w:rsidR="00872296" w:rsidRPr="009A5185" w:rsidRDefault="00872296" w:rsidP="0047419A">
            <w:pPr>
              <w:jc w:val="center"/>
              <w:rPr>
                <w:rFonts w:cs="Arial"/>
                <w:b/>
                <w:snapToGrid w:val="0"/>
                <w:color w:val="FFFFFF" w:themeColor="background1"/>
              </w:rPr>
            </w:pPr>
            <w:r w:rsidRPr="009A5185">
              <w:rPr>
                <w:rFonts w:cs="Arial"/>
                <w:b/>
                <w:snapToGrid w:val="0"/>
                <w:color w:val="FFFFFF" w:themeColor="background1"/>
              </w:rPr>
              <w:t>Brief Description</w:t>
            </w:r>
          </w:p>
        </w:tc>
      </w:tr>
      <w:tr w:rsidR="00CF6F5B" w:rsidRPr="009A5185" w14:paraId="6DA3D857" w14:textId="77777777" w:rsidTr="004D1420">
        <w:trPr>
          <w:trHeight w:val="1296"/>
          <w:jc w:val="center"/>
        </w:trPr>
        <w:tc>
          <w:tcPr>
            <w:tcW w:w="1083" w:type="dxa"/>
          </w:tcPr>
          <w:p w14:paraId="1018AF0C" w14:textId="77777777" w:rsidR="00CF6F5B" w:rsidRPr="009A5185" w:rsidRDefault="00CF6F5B" w:rsidP="00872296">
            <w:pPr>
              <w:jc w:val="center"/>
              <w:rPr>
                <w:rFonts w:cs="Arial"/>
                <w:b/>
                <w:snapToGrid w:val="0"/>
                <w:color w:val="000000" w:themeColor="text1"/>
                <w:highlight w:val="yellow"/>
              </w:rPr>
            </w:pPr>
          </w:p>
        </w:tc>
        <w:tc>
          <w:tcPr>
            <w:tcW w:w="982" w:type="dxa"/>
            <w:vAlign w:val="center"/>
          </w:tcPr>
          <w:p w14:paraId="1E000C65" w14:textId="60CBDD5B" w:rsidR="00CF6F5B" w:rsidRPr="009A5185" w:rsidRDefault="002A1984" w:rsidP="00872296">
            <w:pPr>
              <w:jc w:val="center"/>
              <w:rPr>
                <w:rFonts w:cs="Arial"/>
                <w:b/>
                <w:snapToGrid w:val="0"/>
                <w:color w:val="000000" w:themeColor="text1"/>
              </w:rPr>
            </w:pPr>
            <w:hyperlink w:anchor="_Hospital_Profile" w:history="1">
              <w:r>
                <w:rPr>
                  <w:rStyle w:val="Hyperlink"/>
                  <w:rFonts w:cs="Arial"/>
                  <w:b/>
                  <w:snapToGrid w:val="0"/>
                </w:rPr>
                <w:t>Hospital Profile</w:t>
              </w:r>
            </w:hyperlink>
            <w:r w:rsidR="00CF6F5B" w:rsidRPr="009A5185">
              <w:rPr>
                <w:rFonts w:cs="Arial"/>
                <w:b/>
                <w:snapToGrid w:val="0"/>
                <w:color w:val="000000" w:themeColor="text1"/>
              </w:rPr>
              <w:t xml:space="preserve"> </w:t>
            </w:r>
          </w:p>
          <w:p w14:paraId="02E8388A" w14:textId="77777777" w:rsidR="00CF6F5B" w:rsidRPr="009A5185" w:rsidRDefault="00CF6F5B" w:rsidP="00872296">
            <w:pPr>
              <w:jc w:val="center"/>
              <w:rPr>
                <w:rFonts w:cs="Arial"/>
                <w:b/>
                <w:snapToGrid w:val="0"/>
                <w:color w:val="000000" w:themeColor="text1"/>
              </w:rPr>
            </w:pPr>
          </w:p>
        </w:tc>
        <w:tc>
          <w:tcPr>
            <w:tcW w:w="7295" w:type="dxa"/>
            <w:vAlign w:val="center"/>
          </w:tcPr>
          <w:p w14:paraId="21CDC24D" w14:textId="676EFCC9" w:rsidR="00CF6F5B" w:rsidRPr="004D1420" w:rsidRDefault="004D1420" w:rsidP="004D1420">
            <w:pPr>
              <w:rPr>
                <w:rFonts w:cs="Arial"/>
                <w:snapToGrid w:val="0"/>
                <w:color w:val="000000" w:themeColor="text1"/>
              </w:rPr>
            </w:pPr>
            <w:r w:rsidRPr="009A5185">
              <w:rPr>
                <w:rFonts w:cs="Arial"/>
                <w:snapToGrid w:val="0"/>
                <w:color w:val="000000" w:themeColor="text1"/>
              </w:rPr>
              <w:t xml:space="preserve">The </w:t>
            </w:r>
            <w:r>
              <w:rPr>
                <w:rFonts w:cs="Arial"/>
                <w:snapToGrid w:val="0"/>
                <w:color w:val="000000" w:themeColor="text1"/>
              </w:rPr>
              <w:t>Hospital P</w:t>
            </w:r>
            <w:r w:rsidRPr="009A5185">
              <w:rPr>
                <w:rFonts w:cs="Arial"/>
                <w:snapToGrid w:val="0"/>
                <w:color w:val="000000" w:themeColor="text1"/>
              </w:rPr>
              <w:t xml:space="preserve">rofile includes questions about demographic and contact information. The </w:t>
            </w:r>
            <w:r>
              <w:rPr>
                <w:rFonts w:cs="Arial"/>
                <w:snapToGrid w:val="0"/>
                <w:color w:val="000000" w:themeColor="text1"/>
              </w:rPr>
              <w:t>Profile</w:t>
            </w:r>
            <w:r w:rsidRPr="009A5185">
              <w:rPr>
                <w:rFonts w:cs="Arial"/>
                <w:snapToGrid w:val="0"/>
                <w:color w:val="000000" w:themeColor="text1"/>
              </w:rPr>
              <w:t xml:space="preserve"> can be accessed and updated anytime throughout the year </w:t>
            </w:r>
            <w:r>
              <w:rPr>
                <w:rFonts w:cs="Arial"/>
                <w:snapToGrid w:val="0"/>
                <w:color w:val="000000" w:themeColor="text1"/>
              </w:rPr>
              <w:t>after</w:t>
            </w:r>
            <w:r w:rsidRPr="009A5185">
              <w:rPr>
                <w:rFonts w:cs="Arial"/>
                <w:snapToGrid w:val="0"/>
                <w:color w:val="000000" w:themeColor="text1"/>
              </w:rPr>
              <w:t xml:space="preserve"> logging into the </w:t>
            </w:r>
            <w:hyperlink r:id="rId27" w:history="1">
              <w:r>
                <w:rPr>
                  <w:rStyle w:val="Hyperlink"/>
                  <w:rFonts w:cs="Arial"/>
                  <w:snapToGrid w:val="0"/>
                </w:rPr>
                <w:t>Online Hospital Survey Tool</w:t>
              </w:r>
            </w:hyperlink>
            <w:r>
              <w:rPr>
                <w:rFonts w:cs="Arial"/>
                <w:snapToGrid w:val="0"/>
                <w:color w:val="000000" w:themeColor="text1"/>
              </w:rPr>
              <w:t xml:space="preserve">. </w:t>
            </w:r>
            <w:r w:rsidRPr="009A5185">
              <w:rPr>
                <w:rFonts w:cs="Arial"/>
              </w:rPr>
              <w:t xml:space="preserve">The </w:t>
            </w:r>
            <w:r>
              <w:rPr>
                <w:rFonts w:cs="Arial"/>
              </w:rPr>
              <w:t xml:space="preserve">Hospital </w:t>
            </w:r>
            <w:r w:rsidRPr="009A5185">
              <w:rPr>
                <w:rFonts w:cs="Arial"/>
              </w:rPr>
              <w:t xml:space="preserve">Profile must be completed and submitted before you can access </w:t>
            </w:r>
            <w:r>
              <w:rPr>
                <w:rFonts w:cs="Arial"/>
              </w:rPr>
              <w:t xml:space="preserve">Sections 1-9 and the CPOE Evaluation Tool on the Survey Dashboard. </w:t>
            </w:r>
            <w:r w:rsidRPr="009A5185">
              <w:rPr>
                <w:rFonts w:cs="Arial"/>
              </w:rPr>
              <w:t xml:space="preserve"> </w:t>
            </w:r>
          </w:p>
        </w:tc>
      </w:tr>
      <w:tr w:rsidR="00872296" w:rsidRPr="009A5185" w14:paraId="4401D9D3" w14:textId="77777777" w:rsidTr="00637255">
        <w:trPr>
          <w:trHeight w:val="755"/>
          <w:jc w:val="center"/>
        </w:trPr>
        <w:tc>
          <w:tcPr>
            <w:tcW w:w="1083" w:type="dxa"/>
            <w:vAlign w:val="center"/>
          </w:tcPr>
          <w:p w14:paraId="41AF86AE" w14:textId="77777777" w:rsidR="00872296" w:rsidRPr="009A5185" w:rsidRDefault="00872296" w:rsidP="002168A5">
            <w:pPr>
              <w:jc w:val="center"/>
              <w:rPr>
                <w:rFonts w:cs="Arial"/>
                <w:b/>
                <w:snapToGrid w:val="0"/>
              </w:rPr>
            </w:pPr>
            <w:bookmarkStart w:id="18" w:name="_Hlk92270162"/>
            <w:r w:rsidRPr="009A5185">
              <w:rPr>
                <w:rFonts w:cs="Arial"/>
                <w:b/>
                <w:snapToGrid w:val="0"/>
              </w:rPr>
              <w:t>1</w:t>
            </w:r>
          </w:p>
        </w:tc>
        <w:tc>
          <w:tcPr>
            <w:tcW w:w="982" w:type="dxa"/>
            <w:vAlign w:val="center"/>
          </w:tcPr>
          <w:p w14:paraId="05CE8B78" w14:textId="7A8EBC40" w:rsidR="00872296" w:rsidRPr="009A5185" w:rsidRDefault="007C4EC9" w:rsidP="001E0C89">
            <w:pPr>
              <w:jc w:val="center"/>
              <w:rPr>
                <w:rFonts w:cs="Arial"/>
                <w:b/>
                <w:snapToGrid w:val="0"/>
              </w:rPr>
            </w:pPr>
            <w:hyperlink w:anchor="_Section_1:_Patient" w:history="1">
              <w:r>
                <w:rPr>
                  <w:rStyle w:val="Hyperlink"/>
                  <w:rFonts w:cs="Arial"/>
                  <w:b/>
                  <w:snapToGrid w:val="0"/>
                </w:rPr>
                <w:t>Patient Rights and Ethics</w:t>
              </w:r>
            </w:hyperlink>
          </w:p>
        </w:tc>
        <w:tc>
          <w:tcPr>
            <w:tcW w:w="7295" w:type="dxa"/>
            <w:vAlign w:val="center"/>
          </w:tcPr>
          <w:p w14:paraId="5FC92E4B" w14:textId="724CEDAF" w:rsidR="00872296" w:rsidRPr="009A5185" w:rsidRDefault="00E75E23" w:rsidP="000C1F1D">
            <w:pPr>
              <w:rPr>
                <w:rFonts w:cs="Arial"/>
                <w:snapToGrid w:val="0"/>
              </w:rPr>
            </w:pPr>
            <w:r w:rsidRPr="009A5185">
              <w:rPr>
                <w:rFonts w:cs="Arial"/>
                <w:snapToGrid w:val="0"/>
              </w:rPr>
              <w:t xml:space="preserve">Section 1 includes questions about your hospital’s </w:t>
            </w:r>
            <w:r>
              <w:rPr>
                <w:rFonts w:cs="Arial"/>
                <w:snapToGrid w:val="0"/>
              </w:rPr>
              <w:t>billing ethics, health care equity, and informed consent processes.</w:t>
            </w:r>
            <w:r w:rsidR="003D2E0D">
              <w:rPr>
                <w:rFonts w:cs="Arial"/>
                <w:snapToGrid w:val="0"/>
              </w:rPr>
              <w:t xml:space="preserve"> </w:t>
            </w:r>
            <w:r>
              <w:rPr>
                <w:rFonts w:cs="Arial"/>
                <w:snapToGrid w:val="0"/>
              </w:rPr>
              <w:t>This section also includes questions on your hospital bed size, admissions, ICUs, and teaching status.</w:t>
            </w:r>
          </w:p>
        </w:tc>
      </w:tr>
      <w:bookmarkEnd w:id="18"/>
      <w:tr w:rsidR="00872296" w:rsidRPr="009A5185" w14:paraId="03DF9C64" w14:textId="77777777" w:rsidTr="00637255">
        <w:trPr>
          <w:trHeight w:val="1700"/>
          <w:jc w:val="center"/>
        </w:trPr>
        <w:tc>
          <w:tcPr>
            <w:tcW w:w="1083" w:type="dxa"/>
            <w:vAlign w:val="center"/>
          </w:tcPr>
          <w:p w14:paraId="160E40AE" w14:textId="77777777" w:rsidR="00872296" w:rsidRPr="009A5185" w:rsidRDefault="00872296" w:rsidP="002168A5">
            <w:pPr>
              <w:jc w:val="center"/>
              <w:rPr>
                <w:rFonts w:cs="Arial"/>
                <w:b/>
                <w:snapToGrid w:val="0"/>
              </w:rPr>
            </w:pPr>
            <w:r w:rsidRPr="009A5185">
              <w:rPr>
                <w:rFonts w:cs="Arial"/>
                <w:b/>
                <w:snapToGrid w:val="0"/>
              </w:rPr>
              <w:t>2</w:t>
            </w:r>
          </w:p>
        </w:tc>
        <w:tc>
          <w:tcPr>
            <w:tcW w:w="982" w:type="dxa"/>
            <w:vAlign w:val="center"/>
          </w:tcPr>
          <w:p w14:paraId="3BD42290" w14:textId="4948E0D6" w:rsidR="00872296" w:rsidRPr="009A5185" w:rsidRDefault="00D70B77" w:rsidP="008F75E0">
            <w:pPr>
              <w:spacing w:before="120" w:after="120"/>
              <w:jc w:val="center"/>
              <w:rPr>
                <w:rFonts w:cs="Arial"/>
                <w:b/>
                <w:snapToGrid w:val="0"/>
              </w:rPr>
            </w:pPr>
            <w:hyperlink w:anchor="_Section_2:_Medication" w:history="1">
              <w:r w:rsidRPr="009A5185">
                <w:rPr>
                  <w:rStyle w:val="Hyperlink"/>
                  <w:rFonts w:cs="Arial"/>
                  <w:b/>
                  <w:snapToGrid w:val="0"/>
                </w:rPr>
                <w:t>Medication Safety</w:t>
              </w:r>
            </w:hyperlink>
          </w:p>
        </w:tc>
        <w:tc>
          <w:tcPr>
            <w:tcW w:w="7295" w:type="dxa"/>
            <w:vAlign w:val="center"/>
          </w:tcPr>
          <w:p w14:paraId="543EAF80" w14:textId="70C8EA70" w:rsidR="00872296" w:rsidRPr="009A5185" w:rsidRDefault="005056B3" w:rsidP="005056B3">
            <w:pPr>
              <w:rPr>
                <w:rFonts w:cs="Arial"/>
                <w:snapToGrid w:val="0"/>
              </w:rPr>
            </w:pPr>
            <w:r w:rsidRPr="009A5185">
              <w:rPr>
                <w:rFonts w:cs="Arial"/>
                <w:snapToGrid w:val="0"/>
              </w:rPr>
              <w:t>Section 2</w:t>
            </w:r>
            <w:r>
              <w:rPr>
                <w:rFonts w:cs="Arial"/>
                <w:snapToGrid w:val="0"/>
              </w:rPr>
              <w:t xml:space="preserve"> </w:t>
            </w:r>
            <w:r w:rsidRPr="009A5185">
              <w:rPr>
                <w:rFonts w:cs="Arial"/>
                <w:snapToGrid w:val="0"/>
              </w:rPr>
              <w:t>includes questions about your hospital’s</w:t>
            </w:r>
            <w:r>
              <w:rPr>
                <w:rFonts w:cs="Arial"/>
                <w:snapToGrid w:val="0"/>
              </w:rPr>
              <w:t xml:space="preserve"> use </w:t>
            </w:r>
            <w:r w:rsidRPr="009A5185">
              <w:rPr>
                <w:rFonts w:cs="Arial"/>
                <w:snapToGrid w:val="0"/>
              </w:rPr>
              <w:t>of CPOE</w:t>
            </w:r>
            <w:r>
              <w:rPr>
                <w:rFonts w:cs="Arial"/>
                <w:snapToGrid w:val="0"/>
              </w:rPr>
              <w:t xml:space="preserve"> and BCMA, and (for adult and general hospitals) questions about your hospital’s medication reconciliation process</w:t>
            </w:r>
            <w:r w:rsidRPr="009A5185">
              <w:rPr>
                <w:rFonts w:cs="Arial"/>
                <w:snapToGrid w:val="0"/>
              </w:rPr>
              <w:t>.</w:t>
            </w:r>
            <w:r w:rsidR="00CD1622">
              <w:rPr>
                <w:rFonts w:cs="Arial"/>
                <w:snapToGrid w:val="0"/>
              </w:rPr>
              <w:t xml:space="preserve"> </w:t>
            </w:r>
            <w:r>
              <w:rPr>
                <w:rFonts w:cs="Arial"/>
                <w:snapToGrid w:val="0"/>
              </w:rPr>
              <w:t xml:space="preserve">The EHR application </w:t>
            </w:r>
            <w:r w:rsidR="00CD1622">
              <w:rPr>
                <w:rFonts w:cs="Arial"/>
                <w:snapToGrid w:val="0"/>
              </w:rPr>
              <w:t xml:space="preserve">subsection </w:t>
            </w:r>
            <w:r>
              <w:rPr>
                <w:rFonts w:cs="Arial"/>
                <w:snapToGrid w:val="0"/>
              </w:rPr>
              <w:t>(2B) is only applicable to adult and general hospitals and will not be scored or publicly reported. In 202</w:t>
            </w:r>
            <w:r w:rsidR="00422C8E">
              <w:rPr>
                <w:rFonts w:cs="Arial"/>
                <w:snapToGrid w:val="0"/>
              </w:rPr>
              <w:t>6</w:t>
            </w:r>
            <w:r>
              <w:rPr>
                <w:rFonts w:cs="Arial"/>
                <w:snapToGrid w:val="0"/>
              </w:rPr>
              <w:t xml:space="preserve">, </w:t>
            </w:r>
            <w:r w:rsidR="00F479B9">
              <w:rPr>
                <w:rFonts w:cs="Arial"/>
                <w:snapToGrid w:val="0"/>
              </w:rPr>
              <w:t>four</w:t>
            </w:r>
            <w:r w:rsidR="00CD1622">
              <w:rPr>
                <w:rFonts w:cs="Arial"/>
                <w:snapToGrid w:val="0"/>
              </w:rPr>
              <w:t xml:space="preserve"> </w:t>
            </w:r>
            <w:r>
              <w:rPr>
                <w:rFonts w:cs="Arial"/>
                <w:snapToGrid w:val="0"/>
              </w:rPr>
              <w:t xml:space="preserve">questions about </w:t>
            </w:r>
            <w:r w:rsidRPr="00392052">
              <w:rPr>
                <w:rFonts w:cs="Arial"/>
              </w:rPr>
              <w:t xml:space="preserve">Artificial Intelligence (AI) </w:t>
            </w:r>
            <w:r>
              <w:rPr>
                <w:rFonts w:cs="Arial"/>
              </w:rPr>
              <w:t>applications were added to subsection 2B</w:t>
            </w:r>
            <w:r w:rsidRPr="00D14699">
              <w:rPr>
                <w:rFonts w:cs="Arial"/>
                <w:snapToGrid w:val="0"/>
              </w:rPr>
              <w:t xml:space="preserve"> – th</w:t>
            </w:r>
            <w:r>
              <w:rPr>
                <w:rFonts w:cs="Arial"/>
                <w:snapToGrid w:val="0"/>
              </w:rPr>
              <w:t>ese questions are</w:t>
            </w:r>
            <w:r w:rsidRPr="00D14699">
              <w:rPr>
                <w:rFonts w:cs="Arial"/>
                <w:snapToGrid w:val="0"/>
              </w:rPr>
              <w:t xml:space="preserve"> </w:t>
            </w:r>
            <w:r w:rsidR="00F479B9">
              <w:rPr>
                <w:rFonts w:cs="Arial"/>
                <w:snapToGrid w:val="0"/>
              </w:rPr>
              <w:t xml:space="preserve">required but </w:t>
            </w:r>
            <w:r w:rsidRPr="00D14699">
              <w:rPr>
                <w:rFonts w:cs="Arial"/>
                <w:snapToGrid w:val="0"/>
              </w:rPr>
              <w:t>will not be scored or publicly reported</w:t>
            </w:r>
            <w:r>
              <w:rPr>
                <w:rFonts w:cs="Arial"/>
                <w:snapToGrid w:val="0"/>
              </w:rPr>
              <w:t>.</w:t>
            </w:r>
          </w:p>
        </w:tc>
      </w:tr>
      <w:tr w:rsidR="00872296" w:rsidRPr="009A5185" w14:paraId="5C8DE8E4" w14:textId="77777777" w:rsidTr="000C1F1D">
        <w:trPr>
          <w:trHeight w:val="1440"/>
          <w:jc w:val="center"/>
        </w:trPr>
        <w:tc>
          <w:tcPr>
            <w:tcW w:w="1083" w:type="dxa"/>
            <w:vAlign w:val="center"/>
          </w:tcPr>
          <w:p w14:paraId="347F6878" w14:textId="77777777" w:rsidR="00872296" w:rsidRPr="009A5185" w:rsidRDefault="00872296" w:rsidP="002168A5">
            <w:pPr>
              <w:jc w:val="center"/>
              <w:rPr>
                <w:rFonts w:cs="Arial"/>
                <w:b/>
                <w:snapToGrid w:val="0"/>
              </w:rPr>
            </w:pPr>
            <w:r w:rsidRPr="009A5185">
              <w:rPr>
                <w:rFonts w:cs="Arial"/>
                <w:b/>
                <w:snapToGrid w:val="0"/>
              </w:rPr>
              <w:t>3</w:t>
            </w:r>
          </w:p>
        </w:tc>
        <w:bookmarkStart w:id="19" w:name="Sect3"/>
        <w:tc>
          <w:tcPr>
            <w:tcW w:w="982" w:type="dxa"/>
            <w:vAlign w:val="center"/>
          </w:tcPr>
          <w:p w14:paraId="16D789A8" w14:textId="068413F1" w:rsidR="00872296" w:rsidRPr="009A5185" w:rsidRDefault="003117B7" w:rsidP="001E0C89">
            <w:pPr>
              <w:jc w:val="center"/>
              <w:rPr>
                <w:rFonts w:cs="Arial"/>
                <w:b/>
                <w:snapToGrid w:val="0"/>
              </w:rPr>
            </w:pPr>
            <w:r w:rsidRPr="009A5185">
              <w:rPr>
                <w:rFonts w:cs="Arial"/>
                <w:b/>
                <w:snapToGrid w:val="0"/>
              </w:rPr>
              <w:fldChar w:fldCharType="begin"/>
            </w:r>
            <w:r w:rsidR="002229B7">
              <w:rPr>
                <w:rFonts w:cs="Arial"/>
                <w:b/>
                <w:snapToGrid w:val="0"/>
              </w:rPr>
              <w:instrText>HYPERLINK  \l "_Section_3:_Adult"</w:instrText>
            </w:r>
            <w:r w:rsidRPr="009A5185">
              <w:rPr>
                <w:rFonts w:cs="Arial"/>
                <w:b/>
                <w:snapToGrid w:val="0"/>
              </w:rPr>
            </w:r>
            <w:r w:rsidRPr="009A5185">
              <w:rPr>
                <w:rFonts w:cs="Arial"/>
                <w:b/>
                <w:snapToGrid w:val="0"/>
              </w:rPr>
              <w:fldChar w:fldCharType="separate"/>
            </w:r>
            <w:r w:rsidR="00973FBE">
              <w:rPr>
                <w:rStyle w:val="Hyperlink"/>
                <w:rFonts w:cs="Arial"/>
                <w:b/>
                <w:snapToGrid w:val="0"/>
              </w:rPr>
              <w:t>Adult and Pediatric Complex Surgery</w:t>
            </w:r>
            <w:r w:rsidRPr="009A5185">
              <w:rPr>
                <w:rFonts w:cs="Arial"/>
                <w:b/>
                <w:snapToGrid w:val="0"/>
              </w:rPr>
              <w:fldChar w:fldCharType="end"/>
            </w:r>
            <w:bookmarkEnd w:id="19"/>
          </w:p>
        </w:tc>
        <w:tc>
          <w:tcPr>
            <w:tcW w:w="7295" w:type="dxa"/>
            <w:vAlign w:val="center"/>
          </w:tcPr>
          <w:p w14:paraId="65C89F23" w14:textId="161665C6" w:rsidR="00872296" w:rsidRPr="00CF4879" w:rsidRDefault="00145FEA" w:rsidP="000C1F1D">
            <w:pPr>
              <w:pStyle w:val="BodyText3"/>
              <w:rPr>
                <w:rFonts w:cs="Arial"/>
              </w:rPr>
            </w:pPr>
            <w:r w:rsidRPr="009A5185">
              <w:rPr>
                <w:rFonts w:cs="Arial"/>
              </w:rPr>
              <w:t>Section 3 includes questions about your hospital</w:t>
            </w:r>
            <w:r w:rsidR="00102537">
              <w:rPr>
                <w:rFonts w:cs="Arial"/>
              </w:rPr>
              <w:t>’s</w:t>
            </w:r>
            <w:r w:rsidRPr="009A5185">
              <w:rPr>
                <w:rFonts w:cs="Arial"/>
              </w:rPr>
              <w:t xml:space="preserve"> </w:t>
            </w:r>
            <w:r>
              <w:rPr>
                <w:rFonts w:cs="Arial"/>
              </w:rPr>
              <w:t xml:space="preserve">volume and process for privileging surgeons </w:t>
            </w:r>
            <w:r w:rsidRPr="009A5185">
              <w:rPr>
                <w:rFonts w:cs="Arial"/>
              </w:rPr>
              <w:t xml:space="preserve">for </w:t>
            </w:r>
            <w:r>
              <w:rPr>
                <w:rFonts w:cs="Arial"/>
              </w:rPr>
              <w:t>eleven</w:t>
            </w:r>
            <w:r w:rsidRPr="009A5185">
              <w:rPr>
                <w:rFonts w:cs="Arial"/>
              </w:rPr>
              <w:t xml:space="preserve"> high-risk procedures</w:t>
            </w:r>
            <w:r>
              <w:rPr>
                <w:rFonts w:cs="Arial"/>
              </w:rPr>
              <w:t>, outcomes for mitral valve repair and replacement, and participation in The Society of Thoracic Surgeon’s Congenital Heart Surgery Database for hospitals that perform the Norwood procedure. This section also includes questions about the implementation of a safe surgery checklist.</w:t>
            </w:r>
          </w:p>
        </w:tc>
      </w:tr>
      <w:tr w:rsidR="00872296" w:rsidRPr="009A5185" w14:paraId="68106F75" w14:textId="77777777" w:rsidTr="000C1F1D">
        <w:trPr>
          <w:trHeight w:val="1584"/>
          <w:jc w:val="center"/>
        </w:trPr>
        <w:tc>
          <w:tcPr>
            <w:tcW w:w="1083" w:type="dxa"/>
            <w:vAlign w:val="center"/>
          </w:tcPr>
          <w:p w14:paraId="4B2C513D" w14:textId="77777777" w:rsidR="00872296" w:rsidRPr="009A5185" w:rsidRDefault="00872296" w:rsidP="002168A5">
            <w:pPr>
              <w:jc w:val="center"/>
              <w:rPr>
                <w:rFonts w:cs="Arial"/>
                <w:b/>
                <w:snapToGrid w:val="0"/>
              </w:rPr>
            </w:pPr>
            <w:r w:rsidRPr="009A5185">
              <w:rPr>
                <w:rFonts w:cs="Arial"/>
                <w:b/>
                <w:snapToGrid w:val="0"/>
              </w:rPr>
              <w:t>4</w:t>
            </w:r>
          </w:p>
        </w:tc>
        <w:tc>
          <w:tcPr>
            <w:tcW w:w="982" w:type="dxa"/>
            <w:vAlign w:val="center"/>
          </w:tcPr>
          <w:p w14:paraId="7E3565E7" w14:textId="58AA7D55" w:rsidR="00872296" w:rsidRPr="009A5185" w:rsidRDefault="00872296" w:rsidP="001E0C89">
            <w:pPr>
              <w:jc w:val="center"/>
              <w:rPr>
                <w:rFonts w:cs="Arial"/>
                <w:b/>
                <w:snapToGrid w:val="0"/>
              </w:rPr>
            </w:pPr>
            <w:hyperlink w:anchor="_Section_4:_Maternity" w:history="1">
              <w:r w:rsidRPr="009A5185">
                <w:rPr>
                  <w:rStyle w:val="Hyperlink"/>
                  <w:rFonts w:cs="Arial"/>
                  <w:b/>
                  <w:snapToGrid w:val="0"/>
                </w:rPr>
                <w:t>Maternity Care</w:t>
              </w:r>
            </w:hyperlink>
          </w:p>
        </w:tc>
        <w:tc>
          <w:tcPr>
            <w:tcW w:w="7295" w:type="dxa"/>
            <w:vAlign w:val="center"/>
          </w:tcPr>
          <w:p w14:paraId="61933977" w14:textId="502421A0" w:rsidR="00872296" w:rsidRPr="009A5185" w:rsidRDefault="00794F1E" w:rsidP="000C1F1D">
            <w:pPr>
              <w:spacing w:before="120" w:after="120"/>
              <w:rPr>
                <w:rFonts w:cs="Arial"/>
                <w:snapToGrid w:val="0"/>
              </w:rPr>
            </w:pPr>
            <w:r w:rsidRPr="009A5185">
              <w:rPr>
                <w:rFonts w:cs="Arial"/>
                <w:snapToGrid w:val="0"/>
              </w:rPr>
              <w:t xml:space="preserve">Section 4 includes questions about </w:t>
            </w:r>
            <w:r>
              <w:rPr>
                <w:rFonts w:cs="Arial"/>
                <w:snapToGrid w:val="0"/>
              </w:rPr>
              <w:t xml:space="preserve">maternity care volume and services, </w:t>
            </w:r>
            <w:r w:rsidRPr="009A5185">
              <w:rPr>
                <w:rFonts w:cs="Arial"/>
                <w:snapToGrid w:val="0"/>
              </w:rPr>
              <w:t xml:space="preserve">cesarean birth, episiotomy, newborn bilirubin screening, and DVT prophylaxis for women undergoing cesarean </w:t>
            </w:r>
            <w:r>
              <w:rPr>
                <w:rFonts w:cs="Arial"/>
                <w:snapToGrid w:val="0"/>
              </w:rPr>
              <w:t>delivery</w:t>
            </w:r>
            <w:r w:rsidRPr="009A5185">
              <w:rPr>
                <w:rFonts w:cs="Arial"/>
                <w:snapToGrid w:val="0"/>
              </w:rPr>
              <w:t>. The section also includes questions about high-risk deliveries</w:t>
            </w:r>
            <w:r>
              <w:rPr>
                <w:rFonts w:cs="Arial"/>
                <w:snapToGrid w:val="0"/>
              </w:rPr>
              <w:t>, including volume and outcomes. The subsection on cesarean birth (4</w:t>
            </w:r>
            <w:r w:rsidR="00F82FEE">
              <w:rPr>
                <w:rFonts w:cs="Arial"/>
                <w:snapToGrid w:val="0"/>
              </w:rPr>
              <w:t>B</w:t>
            </w:r>
            <w:r>
              <w:rPr>
                <w:rFonts w:cs="Arial"/>
                <w:snapToGrid w:val="0"/>
              </w:rPr>
              <w:t xml:space="preserve">) includes questions about cesarean births stratified by race/ethnicity that will not be scored or publicly reported, however, responses will be used for confidential reporting on </w:t>
            </w:r>
            <w:r w:rsidR="000F3D1F">
              <w:rPr>
                <w:rFonts w:cs="Arial"/>
                <w:snapToGrid w:val="0"/>
              </w:rPr>
              <w:t xml:space="preserve">the </w:t>
            </w:r>
            <w:hyperlink r:id="rId28" w:history="1">
              <w:r w:rsidR="000F3D1F" w:rsidRPr="0014766A">
                <w:rPr>
                  <w:rStyle w:val="Hyperlink"/>
                  <w:rFonts w:cs="Arial"/>
                  <w:snapToGrid w:val="0"/>
                </w:rPr>
                <w:t>Hospital Details Page</w:t>
              </w:r>
            </w:hyperlink>
            <w:r w:rsidR="000F3D1F">
              <w:rPr>
                <w:rFonts w:cs="Arial"/>
                <w:snapToGrid w:val="0"/>
              </w:rPr>
              <w:t xml:space="preserve"> in 202</w:t>
            </w:r>
            <w:r w:rsidR="00422C8E">
              <w:rPr>
                <w:rFonts w:cs="Arial"/>
                <w:snapToGrid w:val="0"/>
              </w:rPr>
              <w:t>6</w:t>
            </w:r>
            <w:r w:rsidR="000F3D1F">
              <w:rPr>
                <w:rFonts w:cs="Arial"/>
                <w:snapToGrid w:val="0"/>
              </w:rPr>
              <w:t>.</w:t>
            </w:r>
          </w:p>
        </w:tc>
      </w:tr>
      <w:tr w:rsidR="00872296" w:rsidRPr="009A5185" w14:paraId="58B91F7B" w14:textId="77777777" w:rsidTr="00637255">
        <w:trPr>
          <w:trHeight w:val="1223"/>
          <w:jc w:val="center"/>
        </w:trPr>
        <w:tc>
          <w:tcPr>
            <w:tcW w:w="1083" w:type="dxa"/>
            <w:vAlign w:val="center"/>
          </w:tcPr>
          <w:p w14:paraId="5990C48D" w14:textId="77777777" w:rsidR="00872296" w:rsidRPr="009A5185" w:rsidRDefault="00872296" w:rsidP="002168A5">
            <w:pPr>
              <w:jc w:val="center"/>
              <w:rPr>
                <w:rFonts w:cs="Arial"/>
                <w:b/>
                <w:snapToGrid w:val="0"/>
              </w:rPr>
            </w:pPr>
            <w:r w:rsidRPr="009A5185">
              <w:rPr>
                <w:rFonts w:cs="Arial"/>
                <w:b/>
                <w:snapToGrid w:val="0"/>
              </w:rPr>
              <w:t>5</w:t>
            </w:r>
          </w:p>
        </w:tc>
        <w:tc>
          <w:tcPr>
            <w:tcW w:w="982" w:type="dxa"/>
            <w:vAlign w:val="center"/>
          </w:tcPr>
          <w:p w14:paraId="21D14864" w14:textId="3AE2C74A" w:rsidR="00FB62EE" w:rsidRPr="003B29BF" w:rsidRDefault="009D6510" w:rsidP="003B29BF">
            <w:pPr>
              <w:jc w:val="center"/>
              <w:rPr>
                <w:rFonts w:cs="Arial"/>
                <w:b/>
                <w:snapToGrid w:val="0"/>
                <w:color w:val="0000FF"/>
                <w:u w:val="single"/>
              </w:rPr>
            </w:pPr>
            <w:hyperlink w:anchor="_Section_5:_ICU" w:history="1">
              <w:r>
                <w:rPr>
                  <w:rStyle w:val="Hyperlink"/>
                  <w:rFonts w:cs="Arial"/>
                  <w:b/>
                  <w:snapToGrid w:val="0"/>
                </w:rPr>
                <w:t>Physician and Nurse Staffing</w:t>
              </w:r>
            </w:hyperlink>
          </w:p>
        </w:tc>
        <w:tc>
          <w:tcPr>
            <w:tcW w:w="7295" w:type="dxa"/>
            <w:vAlign w:val="center"/>
          </w:tcPr>
          <w:p w14:paraId="74D2DEC5" w14:textId="1D72E231" w:rsidR="00872296" w:rsidRPr="00B32A5B" w:rsidRDefault="003C25F0" w:rsidP="00B32A5B">
            <w:pPr>
              <w:pStyle w:val="BodyText3"/>
              <w:rPr>
                <w:rFonts w:cs="Arial"/>
                <w:b/>
                <w:snapToGrid w:val="0"/>
                <w:color w:val="FF0000"/>
              </w:rPr>
            </w:pPr>
            <w:r w:rsidRPr="009A5185">
              <w:rPr>
                <w:rFonts w:cs="Arial"/>
                <w:snapToGrid w:val="0"/>
              </w:rPr>
              <w:t xml:space="preserve">Section 5 includes questions about the </w:t>
            </w:r>
            <w:r>
              <w:rPr>
                <w:rFonts w:cs="Arial"/>
                <w:snapToGrid w:val="0"/>
              </w:rPr>
              <w:t xml:space="preserve">management of critical care patients and the </w:t>
            </w:r>
            <w:r w:rsidRPr="009A5185">
              <w:rPr>
                <w:rFonts w:cs="Arial"/>
                <w:snapToGrid w:val="0"/>
              </w:rPr>
              <w:t xml:space="preserve">staffing structure of your hospital’s </w:t>
            </w:r>
            <w:r>
              <w:rPr>
                <w:rFonts w:cs="Arial"/>
                <w:snapToGrid w:val="0"/>
              </w:rPr>
              <w:t xml:space="preserve">adult and </w:t>
            </w:r>
            <w:r w:rsidRPr="009A5185">
              <w:rPr>
                <w:rFonts w:cs="Arial"/>
                <w:snapToGrid w:val="0"/>
              </w:rPr>
              <w:t>pediatric general medical</w:t>
            </w:r>
            <w:r>
              <w:rPr>
                <w:rFonts w:cs="Arial"/>
                <w:snapToGrid w:val="0"/>
              </w:rPr>
              <w:t>,</w:t>
            </w:r>
            <w:r>
              <w:rPr>
                <w:snapToGrid w:val="0"/>
              </w:rPr>
              <w:t xml:space="preserve"> surgical,</w:t>
            </w:r>
            <w:r w:rsidRPr="009A5185">
              <w:rPr>
                <w:rFonts w:cs="Arial"/>
                <w:snapToGrid w:val="0"/>
              </w:rPr>
              <w:t xml:space="preserve"> </w:t>
            </w:r>
            <w:r>
              <w:rPr>
                <w:rFonts w:cs="Arial"/>
                <w:snapToGrid w:val="0"/>
              </w:rPr>
              <w:t>m</w:t>
            </w:r>
            <w:r>
              <w:rPr>
                <w:snapToGrid w:val="0"/>
              </w:rPr>
              <w:t>edical/</w:t>
            </w:r>
            <w:r w:rsidRPr="009A5185">
              <w:rPr>
                <w:rFonts w:cs="Arial"/>
                <w:snapToGrid w:val="0"/>
              </w:rPr>
              <w:t>surgical</w:t>
            </w:r>
            <w:r>
              <w:rPr>
                <w:rFonts w:cs="Arial"/>
                <w:snapToGrid w:val="0"/>
              </w:rPr>
              <w:t>,</w:t>
            </w:r>
            <w:r w:rsidRPr="009A5185">
              <w:rPr>
                <w:rFonts w:cs="Arial"/>
                <w:snapToGrid w:val="0"/>
              </w:rPr>
              <w:t xml:space="preserve"> and neuro ICUs</w:t>
            </w:r>
            <w:r>
              <w:rPr>
                <w:rFonts w:cs="Arial"/>
                <w:snapToGrid w:val="0"/>
              </w:rPr>
              <w:t xml:space="preserve">, and </w:t>
            </w:r>
            <w:r w:rsidRPr="00BD0565">
              <w:rPr>
                <w:rFonts w:cs="Arial"/>
                <w:snapToGrid w:val="0"/>
              </w:rPr>
              <w:t>questions about your hospital’s nursing staffing</w:t>
            </w:r>
            <w:r w:rsidRPr="009A5185">
              <w:rPr>
                <w:rFonts w:cs="Arial"/>
                <w:snapToGrid w:val="0"/>
              </w:rPr>
              <w:t>.</w:t>
            </w:r>
          </w:p>
        </w:tc>
      </w:tr>
      <w:tr w:rsidR="00872296" w:rsidRPr="009A5185" w14:paraId="277FA538" w14:textId="77777777" w:rsidTr="000C1F1D">
        <w:trPr>
          <w:trHeight w:val="1728"/>
          <w:jc w:val="center"/>
        </w:trPr>
        <w:tc>
          <w:tcPr>
            <w:tcW w:w="1083" w:type="dxa"/>
            <w:vAlign w:val="center"/>
          </w:tcPr>
          <w:p w14:paraId="50F98B86" w14:textId="77777777" w:rsidR="00872296" w:rsidRPr="009A5185" w:rsidRDefault="00CC4B19" w:rsidP="002168A5">
            <w:pPr>
              <w:jc w:val="center"/>
              <w:rPr>
                <w:rFonts w:cs="Arial"/>
                <w:b/>
                <w:snapToGrid w:val="0"/>
              </w:rPr>
            </w:pPr>
            <w:r w:rsidRPr="009A5185">
              <w:rPr>
                <w:rFonts w:cs="Arial"/>
                <w:b/>
                <w:snapToGrid w:val="0"/>
              </w:rPr>
              <w:t>6</w:t>
            </w:r>
          </w:p>
        </w:tc>
        <w:tc>
          <w:tcPr>
            <w:tcW w:w="982" w:type="dxa"/>
            <w:vAlign w:val="center"/>
          </w:tcPr>
          <w:p w14:paraId="106A655B" w14:textId="7901AEA2" w:rsidR="00872296" w:rsidRPr="009A5185" w:rsidRDefault="001C65A3" w:rsidP="001E0C89">
            <w:pPr>
              <w:jc w:val="center"/>
              <w:rPr>
                <w:rFonts w:cs="Arial"/>
                <w:b/>
                <w:snapToGrid w:val="0"/>
              </w:rPr>
            </w:pPr>
            <w:hyperlink w:anchor="_Section_6:_Patient" w:history="1">
              <w:r>
                <w:rPr>
                  <w:rStyle w:val="Hyperlink"/>
                  <w:rFonts w:cs="Arial"/>
                  <w:b/>
                  <w:snapToGrid w:val="0"/>
                </w:rPr>
                <w:t>Patient Safety Practices</w:t>
              </w:r>
            </w:hyperlink>
          </w:p>
        </w:tc>
        <w:tc>
          <w:tcPr>
            <w:tcW w:w="7295" w:type="dxa"/>
            <w:vAlign w:val="center"/>
          </w:tcPr>
          <w:p w14:paraId="5CBF0715" w14:textId="44A7A62C" w:rsidR="00872296" w:rsidRPr="009A5185" w:rsidRDefault="000C6D92" w:rsidP="000C1F1D">
            <w:pPr>
              <w:rPr>
                <w:rFonts w:cs="Arial"/>
                <w:snapToGrid w:val="0"/>
              </w:rPr>
            </w:pPr>
            <w:r w:rsidRPr="00332D4F">
              <w:rPr>
                <w:rFonts w:cs="Arial"/>
                <w:snapToGrid w:val="0"/>
              </w:rPr>
              <w:t xml:space="preserve">Section 6 includes questions about your hospital’s adherence to two National Quality Forum-endorsed Safe Practices, </w:t>
            </w:r>
            <w:r>
              <w:rPr>
                <w:rFonts w:cs="Arial"/>
                <w:snapToGrid w:val="0"/>
              </w:rPr>
              <w:t xml:space="preserve">and </w:t>
            </w:r>
            <w:r w:rsidRPr="00332D4F">
              <w:rPr>
                <w:rFonts w:cs="Arial"/>
                <w:snapToGrid w:val="0"/>
              </w:rPr>
              <w:t xml:space="preserve">questions about your hospital’s hand hygiene practices. </w:t>
            </w:r>
            <w:r>
              <w:rPr>
                <w:rFonts w:cs="Arial"/>
                <w:snapToGrid w:val="0"/>
              </w:rPr>
              <w:t>It also includes a subsection on diagnostic excellence (6D) and a new subsection on</w:t>
            </w:r>
            <w:r w:rsidR="00C601E5">
              <w:rPr>
                <w:rFonts w:cs="Arial"/>
                <w:snapToGrid w:val="0"/>
              </w:rPr>
              <w:t xml:space="preserve"> Hospital Boarding in the</w:t>
            </w:r>
            <w:r>
              <w:rPr>
                <w:rFonts w:cs="Arial"/>
                <w:snapToGrid w:val="0"/>
              </w:rPr>
              <w:t xml:space="preserve"> Emergency Department (ED) (6E)</w:t>
            </w:r>
            <w:r w:rsidR="00F13DD1">
              <w:rPr>
                <w:rFonts w:cs="Arial"/>
                <w:snapToGrid w:val="0"/>
              </w:rPr>
              <w:t>. Section 6D is required while Section 6E is optional.</w:t>
            </w:r>
            <w:r w:rsidR="00E45A9C">
              <w:rPr>
                <w:rFonts w:cs="Arial"/>
                <w:snapToGrid w:val="0"/>
              </w:rPr>
              <w:t xml:space="preserve"> </w:t>
            </w:r>
            <w:r w:rsidR="007E4997">
              <w:rPr>
                <w:rFonts w:cs="Arial"/>
                <w:snapToGrid w:val="0"/>
              </w:rPr>
              <w:t>These</w:t>
            </w:r>
            <w:r w:rsidR="00E45A9C">
              <w:rPr>
                <w:rFonts w:cs="Arial"/>
                <w:snapToGrid w:val="0"/>
              </w:rPr>
              <w:t xml:space="preserve"> subsection</w:t>
            </w:r>
            <w:r w:rsidR="007E4997">
              <w:rPr>
                <w:rFonts w:cs="Arial"/>
                <w:snapToGrid w:val="0"/>
              </w:rPr>
              <w:t>s</w:t>
            </w:r>
            <w:r w:rsidR="008B6696">
              <w:rPr>
                <w:rFonts w:cs="Arial"/>
                <w:snapToGrid w:val="0"/>
              </w:rPr>
              <w:t xml:space="preserve"> </w:t>
            </w:r>
            <w:r>
              <w:rPr>
                <w:rFonts w:cs="Arial"/>
                <w:snapToGrid w:val="0"/>
              </w:rPr>
              <w:t>will not be scored or publicly reported.</w:t>
            </w:r>
          </w:p>
        </w:tc>
      </w:tr>
      <w:tr w:rsidR="00872296" w:rsidRPr="009A5185" w14:paraId="244D7392" w14:textId="77777777" w:rsidTr="00B700D9">
        <w:trPr>
          <w:trHeight w:val="1584"/>
          <w:jc w:val="center"/>
        </w:trPr>
        <w:tc>
          <w:tcPr>
            <w:tcW w:w="1083" w:type="dxa"/>
            <w:vAlign w:val="center"/>
          </w:tcPr>
          <w:p w14:paraId="66F22118" w14:textId="77777777" w:rsidR="00872296" w:rsidRPr="009A5185" w:rsidRDefault="00CC4B19" w:rsidP="002168A5">
            <w:pPr>
              <w:jc w:val="center"/>
              <w:rPr>
                <w:rFonts w:cs="Arial"/>
                <w:b/>
                <w:snapToGrid w:val="0"/>
              </w:rPr>
            </w:pPr>
            <w:r w:rsidRPr="009A5185">
              <w:rPr>
                <w:rFonts w:cs="Arial"/>
                <w:b/>
                <w:snapToGrid w:val="0"/>
              </w:rPr>
              <w:lastRenderedPageBreak/>
              <w:t>7</w:t>
            </w:r>
          </w:p>
        </w:tc>
        <w:tc>
          <w:tcPr>
            <w:tcW w:w="982" w:type="dxa"/>
            <w:vAlign w:val="center"/>
          </w:tcPr>
          <w:p w14:paraId="71EC880E" w14:textId="1206B52E" w:rsidR="00872296" w:rsidRPr="009A5185" w:rsidRDefault="00CC4B19" w:rsidP="001E0C89">
            <w:pPr>
              <w:jc w:val="center"/>
              <w:rPr>
                <w:rFonts w:cs="Arial"/>
                <w:b/>
                <w:snapToGrid w:val="0"/>
              </w:rPr>
            </w:pPr>
            <w:hyperlink w:anchor="_Section_7:_Managing" w:history="1">
              <w:r w:rsidRPr="009A5185">
                <w:rPr>
                  <w:rStyle w:val="Hyperlink"/>
                  <w:rFonts w:cs="Arial"/>
                  <w:b/>
                  <w:snapToGrid w:val="0"/>
                </w:rPr>
                <w:t>Managing Serious Errors</w:t>
              </w:r>
            </w:hyperlink>
          </w:p>
        </w:tc>
        <w:tc>
          <w:tcPr>
            <w:tcW w:w="7295" w:type="dxa"/>
            <w:vAlign w:val="center"/>
          </w:tcPr>
          <w:p w14:paraId="3976F979" w14:textId="7E7AD5F7" w:rsidR="008D3B2E" w:rsidRPr="0099637F" w:rsidRDefault="00B700D9" w:rsidP="00B700D9">
            <w:pPr>
              <w:pStyle w:val="BodyText3"/>
              <w:rPr>
                <w:rFonts w:cs="Arial"/>
              </w:rPr>
            </w:pPr>
            <w:r w:rsidRPr="009A5185">
              <w:rPr>
                <w:rFonts w:cs="Arial"/>
                <w:snapToGrid w:val="0"/>
              </w:rPr>
              <w:t xml:space="preserve">Section 7 includes questions about your hospital’s response to </w:t>
            </w:r>
            <w:r w:rsidRPr="009A5185">
              <w:rPr>
                <w:rFonts w:cs="Arial"/>
              </w:rPr>
              <w:t xml:space="preserve">Never Events. In addition, Leapfrog collects information via its NHSN Group about five healthcare-associated infections (CLABSI, CAUTI, MRSA, </w:t>
            </w:r>
            <w:r w:rsidRPr="00CA12B2">
              <w:rPr>
                <w:rFonts w:cs="Arial"/>
                <w:i/>
                <w:snapToGrid w:val="0"/>
              </w:rPr>
              <w:t xml:space="preserve">C. </w:t>
            </w:r>
            <w:r>
              <w:rPr>
                <w:rFonts w:cs="Arial"/>
                <w:i/>
                <w:snapToGrid w:val="0"/>
              </w:rPr>
              <w:t>d</w:t>
            </w:r>
            <w:r w:rsidRPr="00CA12B2">
              <w:rPr>
                <w:rFonts w:cs="Arial"/>
                <w:i/>
                <w:snapToGrid w:val="0"/>
              </w:rPr>
              <w:t>iff.</w:t>
            </w:r>
            <w:r w:rsidRPr="009A5185">
              <w:rPr>
                <w:rFonts w:cs="Arial"/>
              </w:rPr>
              <w:t>, and SSI</w:t>
            </w:r>
            <w:r>
              <w:rPr>
                <w:rFonts w:cs="Arial"/>
              </w:rPr>
              <w:t>:</w:t>
            </w:r>
            <w:r w:rsidRPr="009A5185">
              <w:rPr>
                <w:rFonts w:cs="Arial"/>
              </w:rPr>
              <w:t xml:space="preserve"> Colon)</w:t>
            </w:r>
            <w:r>
              <w:rPr>
                <w:rFonts w:cs="Arial"/>
              </w:rPr>
              <w:t xml:space="preserve">. </w:t>
            </w:r>
            <w:r w:rsidRPr="009A5185">
              <w:rPr>
                <w:rFonts w:cs="Arial"/>
              </w:rPr>
              <w:t>Hospitals reporting on Section 7B</w:t>
            </w:r>
            <w:r>
              <w:rPr>
                <w:rFonts w:cs="Arial"/>
              </w:rPr>
              <w:t>:</w:t>
            </w:r>
            <w:r w:rsidRPr="009A5185">
              <w:rPr>
                <w:rFonts w:cs="Arial"/>
              </w:rPr>
              <w:t xml:space="preserve"> Healthcare-Associated Infections are required to join Leapfrog’s NHSN Group. Important information and deadlines </w:t>
            </w:r>
            <w:r>
              <w:rPr>
                <w:rFonts w:cs="Arial"/>
              </w:rPr>
              <w:t xml:space="preserve">are </w:t>
            </w:r>
            <w:r w:rsidRPr="009A5185">
              <w:rPr>
                <w:rFonts w:cs="Arial"/>
              </w:rPr>
              <w:t xml:space="preserve">available on the </w:t>
            </w:r>
            <w:hyperlink r:id="rId29" w:history="1">
              <w:r w:rsidR="007377EF" w:rsidRPr="00B04D2D">
                <w:rPr>
                  <w:rStyle w:val="Hyperlink"/>
                  <w:rFonts w:cs="Arial"/>
                </w:rPr>
                <w:t xml:space="preserve">Review NHSN </w:t>
              </w:r>
              <w:r w:rsidR="00477A87" w:rsidRPr="00B04D2D">
                <w:rPr>
                  <w:rStyle w:val="Hyperlink"/>
                  <w:rFonts w:cs="Arial"/>
                </w:rPr>
                <w:t>Instructions</w:t>
              </w:r>
              <w:r w:rsidR="00B04D2D" w:rsidRPr="00B04D2D">
                <w:rPr>
                  <w:rStyle w:val="Hyperlink"/>
                  <w:rFonts w:cs="Arial"/>
                </w:rPr>
                <w:t xml:space="preserve"> webpage</w:t>
              </w:r>
            </w:hyperlink>
            <w:r w:rsidRPr="009A5185">
              <w:rPr>
                <w:rFonts w:cs="Arial"/>
              </w:rPr>
              <w:t>.</w:t>
            </w:r>
          </w:p>
        </w:tc>
      </w:tr>
      <w:tr w:rsidR="00CC4B19" w:rsidRPr="009A5185" w14:paraId="0BFBD775" w14:textId="77777777" w:rsidTr="00B700D9">
        <w:trPr>
          <w:trHeight w:val="864"/>
          <w:jc w:val="center"/>
        </w:trPr>
        <w:tc>
          <w:tcPr>
            <w:tcW w:w="1083" w:type="dxa"/>
            <w:vAlign w:val="center"/>
          </w:tcPr>
          <w:p w14:paraId="4552DD67" w14:textId="7A2737B9" w:rsidR="00CC4B19" w:rsidRPr="009A5185" w:rsidRDefault="002127CF" w:rsidP="002168A5">
            <w:pPr>
              <w:jc w:val="center"/>
              <w:rPr>
                <w:rFonts w:cs="Arial"/>
                <w:b/>
                <w:snapToGrid w:val="0"/>
                <w:highlight w:val="yellow"/>
              </w:rPr>
            </w:pPr>
            <w:r>
              <w:rPr>
                <w:rFonts w:cs="Arial"/>
                <w:b/>
                <w:snapToGrid w:val="0"/>
              </w:rPr>
              <w:t>8</w:t>
            </w:r>
          </w:p>
        </w:tc>
        <w:tc>
          <w:tcPr>
            <w:tcW w:w="982" w:type="dxa"/>
            <w:vAlign w:val="center"/>
          </w:tcPr>
          <w:p w14:paraId="170491E3" w14:textId="5D668D03" w:rsidR="00CC4B19" w:rsidRPr="009A5185" w:rsidRDefault="009D788B" w:rsidP="008118CF">
            <w:pPr>
              <w:jc w:val="center"/>
              <w:rPr>
                <w:rFonts w:cs="Arial"/>
                <w:b/>
                <w:snapToGrid w:val="0"/>
              </w:rPr>
            </w:pPr>
            <w:hyperlink w:anchor="_Section_8:_Pediatric" w:history="1">
              <w:r w:rsidRPr="009A5185">
                <w:rPr>
                  <w:rStyle w:val="Hyperlink"/>
                  <w:rFonts w:cs="Arial"/>
                  <w:b/>
                </w:rPr>
                <w:t>Pediatric Care</w:t>
              </w:r>
            </w:hyperlink>
          </w:p>
        </w:tc>
        <w:tc>
          <w:tcPr>
            <w:tcW w:w="7295" w:type="dxa"/>
            <w:vAlign w:val="center"/>
          </w:tcPr>
          <w:p w14:paraId="255D6BC3" w14:textId="0186A0F4" w:rsidR="00CC4B19" w:rsidRPr="009A5185" w:rsidRDefault="00B700D9" w:rsidP="00B700D9">
            <w:pPr>
              <w:pStyle w:val="BodyText3"/>
              <w:rPr>
                <w:rFonts w:cs="Arial"/>
                <w:snapToGrid w:val="0"/>
              </w:rPr>
            </w:pPr>
            <w:r w:rsidRPr="009A5185">
              <w:rPr>
                <w:rFonts w:cs="Arial"/>
                <w:snapToGrid w:val="0"/>
              </w:rPr>
              <w:t xml:space="preserve">Section </w:t>
            </w:r>
            <w:r>
              <w:rPr>
                <w:rFonts w:cs="Arial"/>
                <w:snapToGrid w:val="0"/>
              </w:rPr>
              <w:t>8</w:t>
            </w:r>
            <w:r w:rsidRPr="009A5185">
              <w:rPr>
                <w:rFonts w:cs="Arial"/>
                <w:snapToGrid w:val="0"/>
              </w:rPr>
              <w:t xml:space="preserve"> includes questions about patient experience (CAHPS Child Hospital Survey) and Computed Tomography (CT) radiation dose</w:t>
            </w:r>
            <w:r>
              <w:rPr>
                <w:rFonts w:cs="Arial"/>
                <w:snapToGrid w:val="0"/>
              </w:rPr>
              <w:t xml:space="preserve"> for pediatric patients</w:t>
            </w:r>
            <w:r w:rsidRPr="009A5185">
              <w:rPr>
                <w:rFonts w:cs="Arial"/>
                <w:snapToGrid w:val="0"/>
              </w:rPr>
              <w:t>.</w:t>
            </w:r>
            <w:r>
              <w:rPr>
                <w:rFonts w:cs="Arial"/>
                <w:snapToGrid w:val="0"/>
              </w:rPr>
              <w:t xml:space="preserve"> </w:t>
            </w:r>
            <w:r w:rsidR="009E086B">
              <w:rPr>
                <w:rFonts w:cs="Arial"/>
                <w:snapToGrid w:val="0"/>
              </w:rPr>
              <w:t xml:space="preserve">For 2026, </w:t>
            </w:r>
            <w:r w:rsidR="00381F41">
              <w:rPr>
                <w:rFonts w:cs="Arial"/>
                <w:snapToGrid w:val="0"/>
              </w:rPr>
              <w:t xml:space="preserve">pediatric hospital are required to complete </w:t>
            </w:r>
            <w:r w:rsidR="009E086B">
              <w:rPr>
                <w:rFonts w:cs="Arial"/>
                <w:snapToGrid w:val="0"/>
              </w:rPr>
              <w:t>t</w:t>
            </w:r>
            <w:r w:rsidR="00C145BE">
              <w:rPr>
                <w:rFonts w:cs="Arial"/>
                <w:snapToGrid w:val="0"/>
              </w:rPr>
              <w:t>his section.</w:t>
            </w:r>
          </w:p>
        </w:tc>
      </w:tr>
      <w:tr w:rsidR="00E0467E" w:rsidRPr="009A5185" w14:paraId="141B2C9B" w14:textId="77777777" w:rsidTr="00B700D9">
        <w:trPr>
          <w:trHeight w:val="864"/>
          <w:jc w:val="center"/>
        </w:trPr>
        <w:tc>
          <w:tcPr>
            <w:tcW w:w="1083" w:type="dxa"/>
            <w:vAlign w:val="center"/>
          </w:tcPr>
          <w:p w14:paraId="57855F25" w14:textId="6434009A" w:rsidR="002759AB" w:rsidRPr="009A5185" w:rsidRDefault="002127CF" w:rsidP="002168A5">
            <w:pPr>
              <w:jc w:val="center"/>
              <w:rPr>
                <w:rFonts w:cs="Arial"/>
                <w:b/>
                <w:snapToGrid w:val="0"/>
              </w:rPr>
            </w:pPr>
            <w:r>
              <w:rPr>
                <w:rFonts w:cs="Arial"/>
                <w:b/>
                <w:snapToGrid w:val="0"/>
              </w:rPr>
              <w:t>9</w:t>
            </w:r>
          </w:p>
        </w:tc>
        <w:tc>
          <w:tcPr>
            <w:tcW w:w="982" w:type="dxa"/>
            <w:vAlign w:val="center"/>
          </w:tcPr>
          <w:p w14:paraId="329FFEC3" w14:textId="680D1CF8" w:rsidR="002759AB" w:rsidRDefault="002759AB" w:rsidP="008118CF">
            <w:pPr>
              <w:jc w:val="center"/>
              <w:rPr>
                <w:rStyle w:val="Hyperlink"/>
                <w:rFonts w:cs="Arial"/>
                <w:b/>
              </w:rPr>
            </w:pPr>
            <w:hyperlink w:anchor="_Section_9:_Outpatient" w:history="1">
              <w:r w:rsidRPr="002A1984">
                <w:rPr>
                  <w:rStyle w:val="Hyperlink"/>
                  <w:rFonts w:cs="Arial"/>
                  <w:b/>
                </w:rPr>
                <w:t>Outpatient</w:t>
              </w:r>
              <w:r w:rsidR="000F608C" w:rsidRPr="002A1984">
                <w:rPr>
                  <w:rStyle w:val="Hyperlink"/>
                  <w:rFonts w:cs="Arial"/>
                  <w:b/>
                </w:rPr>
                <w:t xml:space="preserve"> Procedures</w:t>
              </w:r>
            </w:hyperlink>
          </w:p>
        </w:tc>
        <w:tc>
          <w:tcPr>
            <w:tcW w:w="7295" w:type="dxa"/>
            <w:vAlign w:val="center"/>
          </w:tcPr>
          <w:p w14:paraId="3EFD3D08" w14:textId="48C7E8BF" w:rsidR="002759AB" w:rsidRPr="009A5185" w:rsidRDefault="00B700D9" w:rsidP="00B700D9">
            <w:pPr>
              <w:pStyle w:val="BodyText3"/>
              <w:rPr>
                <w:rFonts w:cs="Arial"/>
                <w:snapToGrid w:val="0"/>
              </w:rPr>
            </w:pPr>
            <w:r>
              <w:rPr>
                <w:rFonts w:cs="Arial"/>
                <w:snapToGrid w:val="0"/>
              </w:rPr>
              <w:t>Section 9 includes questions about the volume and safety of same-day procedures performed in hospital outpatient departments</w:t>
            </w:r>
            <w:r w:rsidR="009A5C06">
              <w:rPr>
                <w:rFonts w:cs="Arial"/>
                <w:snapToGrid w:val="0"/>
              </w:rPr>
              <w:t>. Additionally, Leapfrog downloads CMS data on unplanned hospital visits after an outpatient colonoscopy (OP-32)</w:t>
            </w:r>
            <w:r w:rsidR="00226E03">
              <w:rPr>
                <w:rFonts w:cs="Arial"/>
                <w:snapToGrid w:val="0"/>
              </w:rPr>
              <w:t xml:space="preserve"> and</w:t>
            </w:r>
            <w:r>
              <w:rPr>
                <w:rFonts w:cs="Arial"/>
                <w:snapToGrid w:val="0"/>
              </w:rPr>
              <w:t xml:space="preserve"> the experience of patients who had a same-day surgery performed</w:t>
            </w:r>
            <w:r w:rsidR="009C1326">
              <w:rPr>
                <w:rFonts w:cs="Arial"/>
                <w:snapToGrid w:val="0"/>
              </w:rPr>
              <w:t xml:space="preserve"> (OAS CAHPS)</w:t>
            </w:r>
            <w:r>
              <w:rPr>
                <w:rFonts w:cs="Arial"/>
                <w:snapToGrid w:val="0"/>
              </w:rPr>
              <w:t>.</w:t>
            </w:r>
            <w:r w:rsidR="00406E6F">
              <w:rPr>
                <w:rFonts w:cs="Arial"/>
                <w:snapToGrid w:val="0"/>
              </w:rPr>
              <w:t xml:space="preserve"> </w:t>
            </w:r>
            <w:r w:rsidR="005F4F79">
              <w:rPr>
                <w:rFonts w:cs="Arial"/>
                <w:snapToGrid w:val="0"/>
              </w:rPr>
              <w:t>For</w:t>
            </w:r>
            <w:r w:rsidR="00406E6F">
              <w:rPr>
                <w:rFonts w:cs="Arial"/>
                <w:snapToGrid w:val="0"/>
              </w:rPr>
              <w:t xml:space="preserve"> 2026, </w:t>
            </w:r>
            <w:r w:rsidR="005F4F79">
              <w:rPr>
                <w:rFonts w:cs="Arial"/>
                <w:snapToGrid w:val="0"/>
              </w:rPr>
              <w:t xml:space="preserve">reporting on </w:t>
            </w:r>
            <w:r w:rsidR="00406E6F">
              <w:rPr>
                <w:rFonts w:cs="Arial"/>
                <w:snapToGrid w:val="0"/>
              </w:rPr>
              <w:t>Section 9C: Volume of Procedures</w:t>
            </w:r>
            <w:r w:rsidR="005F4F79">
              <w:rPr>
                <w:rFonts w:cs="Arial"/>
                <w:snapToGrid w:val="0"/>
              </w:rPr>
              <w:t xml:space="preserve"> is optional.</w:t>
            </w:r>
          </w:p>
        </w:tc>
      </w:tr>
    </w:tbl>
    <w:p w14:paraId="718B01D5" w14:textId="77777777" w:rsidR="00716787" w:rsidRPr="00F836E7" w:rsidRDefault="00716787" w:rsidP="00265528">
      <w:pPr>
        <w:rPr>
          <w:rFonts w:cs="Arial"/>
          <w:snapToGrid w:val="0"/>
        </w:rPr>
      </w:pPr>
    </w:p>
    <w:p w14:paraId="7CD24C2D" w14:textId="11458D10" w:rsidR="008557B9" w:rsidRPr="008557B9" w:rsidRDefault="008557B9" w:rsidP="008557B9">
      <w:pPr>
        <w:pStyle w:val="FactSheetText"/>
        <w:rPr>
          <w:rFonts w:ascii="Arial" w:hAnsi="Arial" w:cs="Arial"/>
        </w:rPr>
      </w:pPr>
      <w:r w:rsidRPr="008557B9">
        <w:rPr>
          <w:rFonts w:ascii="Arial" w:hAnsi="Arial" w:cs="Arial"/>
          <w:snapToGrid w:val="0"/>
          <w:sz w:val="20"/>
          <w:szCs w:val="20"/>
        </w:rPr>
        <w:t>Section 1</w:t>
      </w:r>
      <w:r w:rsidR="002127CF">
        <w:rPr>
          <w:rFonts w:ascii="Arial" w:hAnsi="Arial" w:cs="Arial"/>
          <w:snapToGrid w:val="0"/>
          <w:sz w:val="20"/>
          <w:szCs w:val="20"/>
        </w:rPr>
        <w:t>:</w:t>
      </w:r>
      <w:r w:rsidRPr="008557B9">
        <w:rPr>
          <w:rFonts w:ascii="Arial" w:hAnsi="Arial" w:cs="Arial"/>
          <w:snapToGrid w:val="0"/>
          <w:sz w:val="20"/>
          <w:szCs w:val="20"/>
        </w:rPr>
        <w:t xml:space="preserve"> </w:t>
      </w:r>
      <w:r w:rsidR="003D7E9D" w:rsidRPr="003D7E9D">
        <w:rPr>
          <w:rFonts w:ascii="Arial" w:hAnsi="Arial" w:cs="Arial"/>
          <w:snapToGrid w:val="0"/>
          <w:sz w:val="20"/>
          <w:szCs w:val="20"/>
        </w:rPr>
        <w:t>Patient Rights and Ethics</w:t>
      </w:r>
      <w:r w:rsidRPr="008557B9">
        <w:rPr>
          <w:rFonts w:ascii="Arial" w:hAnsi="Arial" w:cs="Arial"/>
          <w:snapToGrid w:val="0"/>
          <w:sz w:val="20"/>
          <w:szCs w:val="20"/>
        </w:rPr>
        <w:t>, Section 2</w:t>
      </w:r>
      <w:r w:rsidR="002127CF">
        <w:rPr>
          <w:rFonts w:ascii="Arial" w:hAnsi="Arial" w:cs="Arial"/>
          <w:snapToGrid w:val="0"/>
          <w:sz w:val="20"/>
          <w:szCs w:val="20"/>
        </w:rPr>
        <w:t>: Medication Safety</w:t>
      </w:r>
      <w:r w:rsidRPr="008557B9">
        <w:rPr>
          <w:rFonts w:ascii="Arial" w:hAnsi="Arial" w:cs="Arial"/>
          <w:snapToGrid w:val="0"/>
          <w:sz w:val="20"/>
          <w:szCs w:val="20"/>
        </w:rPr>
        <w:t>, Section 4</w:t>
      </w:r>
      <w:r w:rsidR="002127CF">
        <w:rPr>
          <w:rFonts w:ascii="Arial" w:hAnsi="Arial" w:cs="Arial"/>
          <w:snapToGrid w:val="0"/>
          <w:sz w:val="20"/>
          <w:szCs w:val="20"/>
        </w:rPr>
        <w:t>:</w:t>
      </w:r>
      <w:r w:rsidRPr="008557B9">
        <w:rPr>
          <w:rFonts w:ascii="Arial" w:hAnsi="Arial" w:cs="Arial"/>
          <w:snapToGrid w:val="0"/>
          <w:sz w:val="20"/>
          <w:szCs w:val="20"/>
        </w:rPr>
        <w:t xml:space="preserve"> Maternity Care, Section 5</w:t>
      </w:r>
      <w:r w:rsidR="002127CF">
        <w:rPr>
          <w:rFonts w:ascii="Arial" w:hAnsi="Arial" w:cs="Arial"/>
          <w:snapToGrid w:val="0"/>
          <w:sz w:val="20"/>
          <w:szCs w:val="20"/>
        </w:rPr>
        <w:t>:</w:t>
      </w:r>
      <w:r w:rsidRPr="008557B9">
        <w:rPr>
          <w:rFonts w:ascii="Arial" w:hAnsi="Arial" w:cs="Arial"/>
          <w:snapToGrid w:val="0"/>
          <w:sz w:val="20"/>
          <w:szCs w:val="20"/>
        </w:rPr>
        <w:t xml:space="preserve"> </w:t>
      </w:r>
      <w:r w:rsidR="009D6510">
        <w:rPr>
          <w:rFonts w:ascii="Arial" w:hAnsi="Arial" w:cs="Arial"/>
          <w:snapToGrid w:val="0"/>
          <w:sz w:val="20"/>
          <w:szCs w:val="20"/>
        </w:rPr>
        <w:t xml:space="preserve">Physician and Nurse </w:t>
      </w:r>
      <w:r w:rsidR="00C10E38">
        <w:rPr>
          <w:rFonts w:ascii="Arial" w:hAnsi="Arial" w:cs="Arial"/>
          <w:snapToGrid w:val="0"/>
          <w:sz w:val="20"/>
          <w:szCs w:val="20"/>
        </w:rPr>
        <w:t>Staffing</w:t>
      </w:r>
      <w:r w:rsidRPr="008557B9">
        <w:rPr>
          <w:rFonts w:ascii="Arial" w:hAnsi="Arial" w:cs="Arial"/>
          <w:snapToGrid w:val="0"/>
          <w:sz w:val="20"/>
          <w:szCs w:val="20"/>
        </w:rPr>
        <w:t>, Section 6</w:t>
      </w:r>
      <w:r w:rsidR="002127CF">
        <w:rPr>
          <w:rFonts w:ascii="Arial" w:hAnsi="Arial" w:cs="Arial"/>
          <w:snapToGrid w:val="0"/>
          <w:sz w:val="20"/>
          <w:szCs w:val="20"/>
        </w:rPr>
        <w:t>:</w:t>
      </w:r>
      <w:r w:rsidRPr="008557B9">
        <w:rPr>
          <w:rFonts w:ascii="Arial" w:hAnsi="Arial" w:cs="Arial"/>
          <w:snapToGrid w:val="0"/>
          <w:sz w:val="20"/>
          <w:szCs w:val="20"/>
        </w:rPr>
        <w:t xml:space="preserve"> </w:t>
      </w:r>
      <w:r w:rsidR="00B152BD">
        <w:rPr>
          <w:rFonts w:ascii="Arial" w:hAnsi="Arial" w:cs="Arial"/>
          <w:snapToGrid w:val="0"/>
          <w:sz w:val="20"/>
          <w:szCs w:val="20"/>
        </w:rPr>
        <w:t>Patient Safety Practice</w:t>
      </w:r>
      <w:r w:rsidRPr="008557B9">
        <w:rPr>
          <w:rFonts w:ascii="Arial" w:hAnsi="Arial" w:cs="Arial"/>
          <w:snapToGrid w:val="0"/>
          <w:sz w:val="20"/>
          <w:szCs w:val="20"/>
        </w:rPr>
        <w:t>s</w:t>
      </w:r>
      <w:r w:rsidR="002127CF">
        <w:rPr>
          <w:rFonts w:ascii="Arial" w:hAnsi="Arial" w:cs="Arial"/>
          <w:snapToGrid w:val="0"/>
          <w:sz w:val="20"/>
          <w:szCs w:val="20"/>
        </w:rPr>
        <w:t>, Section 7: Managing Serious Errors</w:t>
      </w:r>
      <w:r w:rsidR="00920614">
        <w:rPr>
          <w:rFonts w:ascii="Arial" w:hAnsi="Arial" w:cs="Arial"/>
          <w:snapToGrid w:val="0"/>
          <w:sz w:val="20"/>
          <w:szCs w:val="20"/>
        </w:rPr>
        <w:t xml:space="preserve">, and Section 8: Pediatric </w:t>
      </w:r>
      <w:r w:rsidR="00BD4D35">
        <w:rPr>
          <w:rFonts w:ascii="Arial" w:hAnsi="Arial" w:cs="Arial"/>
          <w:snapToGrid w:val="0"/>
          <w:sz w:val="20"/>
          <w:szCs w:val="20"/>
        </w:rPr>
        <w:t>Care (for pediatric hospitals only)</w:t>
      </w:r>
      <w:r w:rsidRPr="008557B9">
        <w:rPr>
          <w:rFonts w:ascii="Arial" w:hAnsi="Arial" w:cs="Arial"/>
          <w:snapToGrid w:val="0"/>
          <w:sz w:val="20"/>
          <w:szCs w:val="20"/>
        </w:rPr>
        <w:t xml:space="preserve"> are required </w:t>
      </w:r>
      <w:r w:rsidR="00A776EE" w:rsidRPr="008557B9">
        <w:rPr>
          <w:rFonts w:ascii="Arial" w:hAnsi="Arial" w:cs="Arial"/>
          <w:snapToGrid w:val="0"/>
          <w:sz w:val="20"/>
          <w:szCs w:val="20"/>
        </w:rPr>
        <w:t>to</w:t>
      </w:r>
      <w:r w:rsidRPr="008557B9">
        <w:rPr>
          <w:rFonts w:ascii="Arial" w:hAnsi="Arial" w:cs="Arial"/>
          <w:snapToGrid w:val="0"/>
          <w:sz w:val="20"/>
          <w:szCs w:val="20"/>
        </w:rPr>
        <w:t xml:space="preserve"> submit a </w:t>
      </w:r>
      <w:r>
        <w:rPr>
          <w:rFonts w:ascii="Arial" w:hAnsi="Arial" w:cs="Arial"/>
          <w:snapToGrid w:val="0"/>
          <w:sz w:val="20"/>
          <w:szCs w:val="20"/>
        </w:rPr>
        <w:t xml:space="preserve">Survey via the Online Hospital Survey Tool. </w:t>
      </w:r>
      <w:r w:rsidRPr="008557B9">
        <w:rPr>
          <w:rFonts w:ascii="Arial" w:hAnsi="Arial" w:cs="Arial"/>
          <w:snapToGrid w:val="0"/>
          <w:sz w:val="20"/>
          <w:szCs w:val="20"/>
        </w:rPr>
        <w:t>Hospitals are strongly urged to submit all sections of the Leapfrog Hospital Survey</w:t>
      </w:r>
      <w:r w:rsidR="00245F8C">
        <w:rPr>
          <w:rFonts w:ascii="Arial" w:hAnsi="Arial" w:cs="Arial"/>
          <w:snapToGrid w:val="0"/>
          <w:sz w:val="20"/>
          <w:szCs w:val="20"/>
        </w:rPr>
        <w:t xml:space="preserve"> </w:t>
      </w:r>
      <w:r w:rsidR="00245F8C" w:rsidRPr="00245F8C">
        <w:rPr>
          <w:rFonts w:ascii="Arial" w:hAnsi="Arial" w:cs="Arial"/>
          <w:snapToGrid w:val="0"/>
          <w:sz w:val="20"/>
          <w:szCs w:val="20"/>
        </w:rPr>
        <w:t>and can indicate within a section if a measure does not apply</w:t>
      </w:r>
      <w:r>
        <w:rPr>
          <w:rFonts w:ascii="Arial" w:hAnsi="Arial" w:cs="Arial"/>
          <w:snapToGrid w:val="0"/>
          <w:sz w:val="20"/>
          <w:szCs w:val="20"/>
        </w:rPr>
        <w:t xml:space="preserve">. </w:t>
      </w:r>
    </w:p>
    <w:p w14:paraId="2AC147AB" w14:textId="77777777" w:rsidR="00D40987" w:rsidRPr="00F836E7" w:rsidRDefault="00D40987">
      <w:pPr>
        <w:rPr>
          <w:rFonts w:cs="Arial"/>
          <w:snapToGrid w:val="0"/>
        </w:rPr>
      </w:pPr>
    </w:p>
    <w:p w14:paraId="53E7458F" w14:textId="33D1CB45" w:rsidR="0010643F" w:rsidRPr="009A5185" w:rsidRDefault="006459EC" w:rsidP="0010643F">
      <w:pPr>
        <w:rPr>
          <w:rFonts w:cs="Arial"/>
          <w:snapToGrid w:val="0"/>
        </w:rPr>
      </w:pPr>
      <w:r>
        <w:rPr>
          <w:rFonts w:cs="Arial"/>
          <w:snapToGrid w:val="0"/>
        </w:rPr>
        <w:t xml:space="preserve">The </w:t>
      </w:r>
      <w:r w:rsidRPr="009A5185">
        <w:rPr>
          <w:rFonts w:cs="Arial"/>
          <w:snapToGrid w:val="0"/>
        </w:rPr>
        <w:t xml:space="preserve">hard copy of the Survey and the </w:t>
      </w:r>
      <w:r w:rsidR="004B22C6">
        <w:rPr>
          <w:rFonts w:cs="Arial"/>
          <w:snapToGrid w:val="0"/>
        </w:rPr>
        <w:t>Online Hospital Survey Tool</w:t>
      </w:r>
      <w:r>
        <w:rPr>
          <w:rFonts w:cs="Arial"/>
          <w:snapToGrid w:val="0"/>
        </w:rPr>
        <w:t xml:space="preserve"> are organized in the same format for all </w:t>
      </w:r>
      <w:r w:rsidR="009D494A">
        <w:rPr>
          <w:rFonts w:cs="Arial"/>
          <w:snapToGrid w:val="0"/>
        </w:rPr>
        <w:t>nine</w:t>
      </w:r>
      <w:r>
        <w:rPr>
          <w:rFonts w:cs="Arial"/>
          <w:snapToGrid w:val="0"/>
        </w:rPr>
        <w:t xml:space="preserve"> s</w:t>
      </w:r>
      <w:r w:rsidR="00B0355B" w:rsidRPr="009A5185">
        <w:rPr>
          <w:rFonts w:cs="Arial"/>
          <w:snapToGrid w:val="0"/>
        </w:rPr>
        <w:t>ections</w:t>
      </w:r>
      <w:r>
        <w:rPr>
          <w:rFonts w:cs="Arial"/>
          <w:snapToGrid w:val="0"/>
        </w:rPr>
        <w:t>:</w:t>
      </w:r>
      <w:r w:rsidR="00D66EDA" w:rsidRPr="009A5185">
        <w:rPr>
          <w:rFonts w:cs="Arial"/>
          <w:snapToGrid w:val="0"/>
        </w:rPr>
        <w:t xml:space="preserve"> </w:t>
      </w:r>
    </w:p>
    <w:p w14:paraId="28109F26" w14:textId="3157D50D" w:rsidR="0010643F" w:rsidRPr="009A5185" w:rsidRDefault="0010643F" w:rsidP="00AD309C">
      <w:pPr>
        <w:pStyle w:val="ListParagraph"/>
        <w:numPr>
          <w:ilvl w:val="0"/>
          <w:numId w:val="32"/>
        </w:numPr>
        <w:rPr>
          <w:rFonts w:cs="Arial"/>
          <w:snapToGrid w:val="0"/>
        </w:rPr>
      </w:pPr>
      <w:r w:rsidRPr="009A5185">
        <w:rPr>
          <w:rFonts w:cs="Arial"/>
          <w:b/>
          <w:snapToGrid w:val="0"/>
          <w:u w:val="single"/>
        </w:rPr>
        <w:t>General information</w:t>
      </w:r>
      <w:r w:rsidRPr="009A5185">
        <w:rPr>
          <w:rFonts w:cs="Arial"/>
          <w:snapToGrid w:val="0"/>
        </w:rPr>
        <w:t xml:space="preserve"> about The </w:t>
      </w:r>
      <w:r w:rsidR="00D66EDA" w:rsidRPr="009A5185">
        <w:rPr>
          <w:rFonts w:cs="Arial"/>
          <w:snapToGrid w:val="0"/>
        </w:rPr>
        <w:t>Leapfrog Group</w:t>
      </w:r>
      <w:r w:rsidR="00FF72B9">
        <w:rPr>
          <w:rFonts w:cs="Arial"/>
          <w:snapToGrid w:val="0"/>
        </w:rPr>
        <w:t>’s</w:t>
      </w:r>
      <w:r w:rsidR="00D66EDA" w:rsidRPr="009A5185">
        <w:rPr>
          <w:rFonts w:cs="Arial"/>
          <w:snapToGrid w:val="0"/>
        </w:rPr>
        <w:t xml:space="preserve"> standard (included in the </w:t>
      </w:r>
      <w:r w:rsidRPr="009A5185">
        <w:rPr>
          <w:rFonts w:cs="Arial"/>
          <w:snapToGrid w:val="0"/>
        </w:rPr>
        <w:t>hard</w:t>
      </w:r>
      <w:r w:rsidR="00BF27F1" w:rsidRPr="009A5185">
        <w:rPr>
          <w:rFonts w:cs="Arial"/>
          <w:snapToGrid w:val="0"/>
        </w:rPr>
        <w:t xml:space="preserve"> </w:t>
      </w:r>
      <w:r w:rsidR="00D66EDA" w:rsidRPr="009A5185">
        <w:rPr>
          <w:rFonts w:cs="Arial"/>
          <w:snapToGrid w:val="0"/>
        </w:rPr>
        <w:t>copy only)</w:t>
      </w:r>
      <w:r w:rsidRPr="009A5185">
        <w:rPr>
          <w:rFonts w:cs="Arial"/>
          <w:snapToGrid w:val="0"/>
        </w:rPr>
        <w:t xml:space="preserve">. </w:t>
      </w:r>
    </w:p>
    <w:p w14:paraId="20B64607" w14:textId="77777777" w:rsidR="0010643F" w:rsidRPr="009A5185" w:rsidRDefault="0010643F" w:rsidP="00AD309C">
      <w:pPr>
        <w:pStyle w:val="ListParagraph"/>
        <w:numPr>
          <w:ilvl w:val="0"/>
          <w:numId w:val="32"/>
        </w:numPr>
        <w:rPr>
          <w:rFonts w:cs="Arial"/>
          <w:snapToGrid w:val="0"/>
        </w:rPr>
      </w:pPr>
      <w:r w:rsidRPr="009A5185">
        <w:rPr>
          <w:rFonts w:cs="Arial"/>
          <w:b/>
          <w:snapToGrid w:val="0"/>
          <w:u w:val="single"/>
        </w:rPr>
        <w:t>Reporting periods</w:t>
      </w:r>
      <w:r w:rsidRPr="009A5185">
        <w:rPr>
          <w:rFonts w:cs="Arial"/>
          <w:snapToGrid w:val="0"/>
        </w:rPr>
        <w:t xml:space="preserve"> to provide hospitals with specific periods of time for each set of questions</w:t>
      </w:r>
      <w:r w:rsidR="00283A08" w:rsidRPr="009A5185">
        <w:rPr>
          <w:rFonts w:cs="Arial"/>
          <w:snapToGrid w:val="0"/>
        </w:rPr>
        <w:t>.</w:t>
      </w:r>
      <w:r w:rsidRPr="009A5185">
        <w:rPr>
          <w:rFonts w:cs="Arial"/>
          <w:snapToGrid w:val="0"/>
        </w:rPr>
        <w:t xml:space="preserve"> </w:t>
      </w:r>
    </w:p>
    <w:p w14:paraId="0BA9507D" w14:textId="5444A73A" w:rsidR="0010643F" w:rsidRPr="009A5185" w:rsidRDefault="0010643F" w:rsidP="00AD309C">
      <w:pPr>
        <w:pStyle w:val="ListParagraph"/>
        <w:numPr>
          <w:ilvl w:val="0"/>
          <w:numId w:val="32"/>
        </w:numPr>
        <w:rPr>
          <w:rFonts w:cs="Arial"/>
          <w:snapToGrid w:val="0"/>
        </w:rPr>
      </w:pPr>
      <w:r w:rsidRPr="009A5185">
        <w:rPr>
          <w:rFonts w:cs="Arial"/>
          <w:b/>
          <w:snapToGrid w:val="0"/>
          <w:u w:val="single"/>
        </w:rPr>
        <w:t>Survey questions</w:t>
      </w:r>
      <w:r w:rsidRPr="009A5185">
        <w:rPr>
          <w:rFonts w:cs="Arial"/>
          <w:snapToGrid w:val="0"/>
        </w:rPr>
        <w:t xml:space="preserve"> </w:t>
      </w:r>
      <w:r w:rsidR="00270163" w:rsidRPr="009A5185">
        <w:rPr>
          <w:rFonts w:cs="Arial"/>
          <w:snapToGrid w:val="0"/>
        </w:rPr>
        <w:t>which may include references to end</w:t>
      </w:r>
      <w:r w:rsidRPr="009A5185">
        <w:rPr>
          <w:rFonts w:cs="Arial"/>
          <w:snapToGrid w:val="0"/>
        </w:rPr>
        <w:t>notes</w:t>
      </w:r>
      <w:r w:rsidR="000D6757">
        <w:rPr>
          <w:rFonts w:cs="Arial"/>
          <w:snapToGrid w:val="0"/>
        </w:rPr>
        <w:t xml:space="preserve"> or FAQs</w:t>
      </w:r>
      <w:r w:rsidRPr="009A5185">
        <w:rPr>
          <w:rFonts w:cs="Arial"/>
          <w:snapToGrid w:val="0"/>
        </w:rPr>
        <w:t xml:space="preserve">. </w:t>
      </w:r>
      <w:r w:rsidR="00270163" w:rsidRPr="009A5185">
        <w:rPr>
          <w:rFonts w:cs="Arial"/>
          <w:snapToGrid w:val="0"/>
        </w:rPr>
        <w:t xml:space="preserve">The </w:t>
      </w:r>
      <w:r w:rsidR="00C14AFF" w:rsidRPr="009A5185">
        <w:rPr>
          <w:rFonts w:cs="Arial"/>
          <w:snapToGrid w:val="0"/>
        </w:rPr>
        <w:t>Survey</w:t>
      </w:r>
      <w:r w:rsidR="00270163" w:rsidRPr="009A5185">
        <w:rPr>
          <w:rFonts w:cs="Arial"/>
          <w:snapToGrid w:val="0"/>
        </w:rPr>
        <w:t xml:space="preserve"> questions and end</w:t>
      </w:r>
      <w:r w:rsidRPr="009A5185">
        <w:rPr>
          <w:rFonts w:cs="Arial"/>
          <w:snapToGrid w:val="0"/>
        </w:rPr>
        <w:t xml:space="preserve">notes match the </w:t>
      </w:r>
      <w:r w:rsidR="004B22C6">
        <w:rPr>
          <w:rFonts w:cs="Arial"/>
          <w:snapToGrid w:val="0"/>
        </w:rPr>
        <w:t>Online Hospital Survey Tool</w:t>
      </w:r>
      <w:r w:rsidRPr="009A5185">
        <w:rPr>
          <w:rFonts w:cs="Arial"/>
          <w:snapToGrid w:val="0"/>
        </w:rPr>
        <w:t xml:space="preserve"> exactly. </w:t>
      </w:r>
    </w:p>
    <w:p w14:paraId="79818BFF" w14:textId="76BBFB6F" w:rsidR="0010643F" w:rsidRPr="009A5185" w:rsidRDefault="0010643F" w:rsidP="00AD309C">
      <w:pPr>
        <w:pStyle w:val="ListParagraph"/>
        <w:numPr>
          <w:ilvl w:val="0"/>
          <w:numId w:val="32"/>
        </w:numPr>
        <w:rPr>
          <w:rFonts w:cs="Arial"/>
          <w:snapToGrid w:val="0"/>
        </w:rPr>
      </w:pPr>
      <w:r w:rsidRPr="009A5185">
        <w:rPr>
          <w:rFonts w:cs="Arial"/>
          <w:b/>
          <w:snapToGrid w:val="0"/>
          <w:u w:val="single"/>
        </w:rPr>
        <w:t>Affirmation of accuracy</w:t>
      </w:r>
      <w:r w:rsidR="005E0CCA" w:rsidRPr="009A5185">
        <w:rPr>
          <w:rFonts w:cs="Arial"/>
          <w:snapToGrid w:val="0"/>
        </w:rPr>
        <w:t xml:space="preserve"> by your hospital’s CEO/</w:t>
      </w:r>
      <w:r w:rsidR="00283A08" w:rsidRPr="009A5185">
        <w:rPr>
          <w:rFonts w:cs="Arial"/>
          <w:snapToGrid w:val="0"/>
        </w:rPr>
        <w:t>Chief A</w:t>
      </w:r>
      <w:r w:rsidRPr="009A5185">
        <w:rPr>
          <w:rFonts w:cs="Arial"/>
          <w:snapToGrid w:val="0"/>
        </w:rPr>
        <w:t xml:space="preserve">dministrative </w:t>
      </w:r>
      <w:r w:rsidR="00283A08" w:rsidRPr="009A5185">
        <w:rPr>
          <w:rFonts w:cs="Arial"/>
          <w:snapToGrid w:val="0"/>
        </w:rPr>
        <w:t>O</w:t>
      </w:r>
      <w:r w:rsidRPr="009A5185">
        <w:rPr>
          <w:rFonts w:cs="Arial"/>
          <w:snapToGrid w:val="0"/>
        </w:rPr>
        <w:t xml:space="preserve">fficer or </w:t>
      </w:r>
      <w:r w:rsidRPr="009A5185">
        <w:rPr>
          <w:rFonts w:cs="Arial"/>
        </w:rPr>
        <w:t>by an individual that ha</w:t>
      </w:r>
      <w:r w:rsidR="005E0CCA" w:rsidRPr="009A5185">
        <w:rPr>
          <w:rFonts w:cs="Arial"/>
        </w:rPr>
        <w:t xml:space="preserve">s been designated </w:t>
      </w:r>
      <w:r w:rsidRPr="009A5185">
        <w:rPr>
          <w:rFonts w:cs="Arial"/>
        </w:rPr>
        <w:t>by the hospital CEO</w:t>
      </w:r>
      <w:r w:rsidRPr="009A5185">
        <w:rPr>
          <w:rFonts w:cs="Arial"/>
          <w:snapToGrid w:val="0"/>
        </w:rPr>
        <w:t>. These statements affirm the a</w:t>
      </w:r>
      <w:r w:rsidR="005E0CCA" w:rsidRPr="009A5185">
        <w:rPr>
          <w:rFonts w:cs="Arial"/>
          <w:snapToGrid w:val="0"/>
        </w:rPr>
        <w:t>ccuracy of your hospital’s responses</w:t>
      </w:r>
      <w:r w:rsidR="000D6757">
        <w:rPr>
          <w:rFonts w:cs="Arial"/>
          <w:snapToGrid w:val="0"/>
        </w:rPr>
        <w:t xml:space="preserve"> and must be completed in the Online Hospital Survey Tool </w:t>
      </w:r>
      <w:r w:rsidR="00E75639">
        <w:rPr>
          <w:rFonts w:cs="Arial"/>
          <w:snapToGrid w:val="0"/>
        </w:rPr>
        <w:t>to</w:t>
      </w:r>
      <w:r w:rsidR="000D6757">
        <w:rPr>
          <w:rFonts w:cs="Arial"/>
          <w:snapToGrid w:val="0"/>
        </w:rPr>
        <w:t xml:space="preserve"> submit a Survey. </w:t>
      </w:r>
    </w:p>
    <w:p w14:paraId="79E4A580" w14:textId="7E4E6278" w:rsidR="0010643F" w:rsidRPr="009A5185" w:rsidRDefault="0010643F" w:rsidP="00AD309C">
      <w:pPr>
        <w:pStyle w:val="ListParagraph"/>
        <w:numPr>
          <w:ilvl w:val="0"/>
          <w:numId w:val="32"/>
        </w:numPr>
        <w:rPr>
          <w:rFonts w:cs="Arial"/>
          <w:b/>
          <w:snapToGrid w:val="0"/>
          <w:u w:val="single"/>
        </w:rPr>
      </w:pPr>
      <w:r w:rsidRPr="009A5185">
        <w:rPr>
          <w:rFonts w:cs="Arial"/>
          <w:b/>
          <w:snapToGrid w:val="0"/>
          <w:u w:val="single"/>
        </w:rPr>
        <w:t xml:space="preserve">Reference </w:t>
      </w:r>
      <w:r w:rsidR="004802A3" w:rsidRPr="009A5185">
        <w:rPr>
          <w:rFonts w:cs="Arial"/>
          <w:b/>
          <w:snapToGrid w:val="0"/>
          <w:u w:val="single"/>
        </w:rPr>
        <w:t>i</w:t>
      </w:r>
      <w:r w:rsidRPr="009A5185">
        <w:rPr>
          <w:rFonts w:cs="Arial"/>
          <w:b/>
          <w:snapToGrid w:val="0"/>
          <w:u w:val="single"/>
        </w:rPr>
        <w:t>nformation</w:t>
      </w:r>
      <w:r w:rsidRPr="009A5185">
        <w:rPr>
          <w:rFonts w:cs="Arial"/>
          <w:snapToGrid w:val="0"/>
        </w:rPr>
        <w:t xml:space="preserve"> which includes </w:t>
      </w:r>
      <w:r w:rsidR="009D494A">
        <w:rPr>
          <w:rFonts w:cs="Arial"/>
          <w:snapToGrid w:val="0"/>
        </w:rPr>
        <w:t>“</w:t>
      </w:r>
      <w:r w:rsidRPr="009A5185">
        <w:rPr>
          <w:rFonts w:cs="Arial"/>
          <w:snapToGrid w:val="0"/>
        </w:rPr>
        <w:t>What’s New</w:t>
      </w:r>
      <w:r w:rsidR="009D494A">
        <w:rPr>
          <w:rFonts w:cs="Arial"/>
          <w:snapToGrid w:val="0"/>
        </w:rPr>
        <w:t>”</w:t>
      </w:r>
      <w:r w:rsidRPr="009A5185">
        <w:rPr>
          <w:rFonts w:cs="Arial"/>
          <w:snapToGrid w:val="0"/>
        </w:rPr>
        <w:t xml:space="preserve"> and </w:t>
      </w:r>
      <w:r w:rsidR="009D494A">
        <w:rPr>
          <w:rFonts w:cs="Arial"/>
          <w:snapToGrid w:val="0"/>
        </w:rPr>
        <w:t>“</w:t>
      </w:r>
      <w:r w:rsidRPr="009A5185">
        <w:rPr>
          <w:rFonts w:cs="Arial"/>
          <w:snapToGrid w:val="0"/>
        </w:rPr>
        <w:t>C</w:t>
      </w:r>
      <w:r w:rsidR="005E0CCA" w:rsidRPr="009A5185">
        <w:rPr>
          <w:rFonts w:cs="Arial"/>
          <w:snapToGrid w:val="0"/>
        </w:rPr>
        <w:t>hange Summaries</w:t>
      </w:r>
      <w:r w:rsidRPr="009A5185">
        <w:rPr>
          <w:rFonts w:cs="Arial"/>
          <w:snapToGrid w:val="0"/>
        </w:rPr>
        <w:t>,</w:t>
      </w:r>
      <w:r w:rsidR="009D494A">
        <w:rPr>
          <w:rFonts w:cs="Arial"/>
          <w:snapToGrid w:val="0"/>
        </w:rPr>
        <w:t>”</w:t>
      </w:r>
      <w:r w:rsidRPr="009A5185">
        <w:rPr>
          <w:rFonts w:cs="Arial"/>
          <w:snapToGrid w:val="0"/>
        </w:rPr>
        <w:t xml:space="preserve"> important measure specifications, answers to </w:t>
      </w:r>
      <w:r w:rsidR="00283A08" w:rsidRPr="009A5185">
        <w:rPr>
          <w:rFonts w:cs="Arial"/>
          <w:snapToGrid w:val="0"/>
        </w:rPr>
        <w:t xml:space="preserve">frequently </w:t>
      </w:r>
      <w:r w:rsidRPr="009A5185">
        <w:rPr>
          <w:rFonts w:cs="Arial"/>
          <w:snapToGrid w:val="0"/>
        </w:rPr>
        <w:t xml:space="preserve">asked questions, and other notes that must be carefully reviewed before </w:t>
      </w:r>
      <w:r w:rsidR="00107E6F">
        <w:rPr>
          <w:rFonts w:cs="Arial"/>
          <w:snapToGrid w:val="0"/>
        </w:rPr>
        <w:t>responding</w:t>
      </w:r>
      <w:r w:rsidRPr="009A5185">
        <w:rPr>
          <w:rFonts w:cs="Arial"/>
          <w:snapToGrid w:val="0"/>
        </w:rPr>
        <w:t xml:space="preserve"> to any of the </w:t>
      </w:r>
      <w:r w:rsidR="00C14AFF" w:rsidRPr="009A5185">
        <w:rPr>
          <w:rFonts w:cs="Arial"/>
          <w:snapToGrid w:val="0"/>
        </w:rPr>
        <w:t>Survey</w:t>
      </w:r>
      <w:r w:rsidRPr="009A5185">
        <w:rPr>
          <w:rFonts w:cs="Arial"/>
          <w:snapToGrid w:val="0"/>
        </w:rPr>
        <w:t xml:space="preserve"> questions</w:t>
      </w:r>
      <w:r w:rsidR="00D66EDA" w:rsidRPr="009A5185">
        <w:rPr>
          <w:rFonts w:cs="Arial"/>
          <w:snapToGrid w:val="0"/>
        </w:rPr>
        <w:t xml:space="preserve"> (included in the hard copy only)</w:t>
      </w:r>
      <w:r w:rsidRPr="009A5185">
        <w:rPr>
          <w:rFonts w:cs="Arial"/>
          <w:snapToGrid w:val="0"/>
        </w:rPr>
        <w:t xml:space="preserve">. </w:t>
      </w:r>
    </w:p>
    <w:p w14:paraId="53AE270B" w14:textId="77777777" w:rsidR="00627405" w:rsidRPr="00F836E7" w:rsidRDefault="00627405" w:rsidP="00D25999">
      <w:pPr>
        <w:rPr>
          <w:rFonts w:cs="Arial"/>
        </w:rPr>
      </w:pPr>
    </w:p>
    <w:p w14:paraId="2C009918" w14:textId="73E2AF0F" w:rsidR="00A635F4" w:rsidRPr="009A5185" w:rsidRDefault="00E25855" w:rsidP="00A635F4">
      <w:pPr>
        <w:rPr>
          <w:rFonts w:cs="Arial"/>
        </w:rPr>
      </w:pPr>
      <w:bookmarkStart w:id="20" w:name="_Hlk35509202"/>
      <w:r>
        <w:t xml:space="preserve">In addition to the Survey questions, adult </w:t>
      </w:r>
      <w:r w:rsidR="00B9403B">
        <w:t xml:space="preserve">and general </w:t>
      </w:r>
      <w:r>
        <w:t xml:space="preserve">hospitals that indicate they have a CPOE system in at least one inpatient unit are asked to demonstrate, via a test, that the inpatient CPOE system can alert physicians to at least 60% of frequent serious medication errors known to cause harm to patients. </w:t>
      </w:r>
      <w:r w:rsidR="00A635F4">
        <w:rPr>
          <w:rFonts w:cs="Arial"/>
        </w:rPr>
        <w:t>A</w:t>
      </w:r>
      <w:r w:rsidR="00A635F4" w:rsidRPr="009A5185">
        <w:rPr>
          <w:rFonts w:cs="Arial"/>
        </w:rPr>
        <w:t xml:space="preserve">dult </w:t>
      </w:r>
      <w:r w:rsidR="00201533">
        <w:rPr>
          <w:rFonts w:cs="Arial"/>
        </w:rPr>
        <w:t xml:space="preserve">and general </w:t>
      </w:r>
      <w:r w:rsidR="00A635F4" w:rsidRPr="009A5185">
        <w:rPr>
          <w:rFonts w:cs="Arial"/>
        </w:rPr>
        <w:t xml:space="preserve">hospitals can access the CPOE Evaluation Tool </w:t>
      </w:r>
      <w:r w:rsidR="00E75639">
        <w:rPr>
          <w:rFonts w:cs="Arial"/>
        </w:rPr>
        <w:t xml:space="preserve">immediately after completing </w:t>
      </w:r>
      <w:r w:rsidR="009D494A">
        <w:rPr>
          <w:rFonts w:cs="Arial"/>
        </w:rPr>
        <w:t xml:space="preserve">the Hospital Profile </w:t>
      </w:r>
      <w:r w:rsidR="00A635F4">
        <w:rPr>
          <w:rFonts w:cs="Arial"/>
        </w:rPr>
        <w:t>in</w:t>
      </w:r>
      <w:r w:rsidR="00A635F4" w:rsidRPr="009A5185">
        <w:rPr>
          <w:rFonts w:cs="Arial"/>
        </w:rPr>
        <w:t xml:space="preserve"> the </w:t>
      </w:r>
      <w:r w:rsidR="00A635F4">
        <w:rPr>
          <w:rFonts w:cs="Arial"/>
        </w:rPr>
        <w:t>Online Hospital Survey Tool</w:t>
      </w:r>
      <w:r w:rsidR="00A635F4" w:rsidRPr="009A5185">
        <w:rPr>
          <w:rFonts w:cs="Arial"/>
        </w:rPr>
        <w:t xml:space="preserve">. Carefully review the information on the </w:t>
      </w:r>
      <w:hyperlink r:id="rId30" w:history="1">
        <w:r w:rsidR="00A635F4" w:rsidRPr="009A5185">
          <w:rPr>
            <w:rStyle w:val="Hyperlink"/>
          </w:rPr>
          <w:t>Prepare for a CPOE Tool webpage</w:t>
        </w:r>
      </w:hyperlink>
      <w:r w:rsidR="00A635F4" w:rsidRPr="009A5185">
        <w:rPr>
          <w:rFonts w:cs="Arial"/>
        </w:rPr>
        <w:t>.</w:t>
      </w:r>
      <w:r w:rsidR="00A635F4" w:rsidRPr="009A5185">
        <w:rPr>
          <w:rFonts w:cs="Arial"/>
          <w:b/>
          <w:color w:val="FF0000"/>
        </w:rPr>
        <w:t xml:space="preserve"> </w:t>
      </w:r>
    </w:p>
    <w:bookmarkEnd w:id="20"/>
    <w:p w14:paraId="7936BE5B" w14:textId="77777777" w:rsidR="00D25999" w:rsidRPr="00F836E7" w:rsidRDefault="00D25999" w:rsidP="00221026">
      <w:pPr>
        <w:rPr>
          <w:rFonts w:cs="Arial"/>
        </w:rPr>
      </w:pPr>
    </w:p>
    <w:p w14:paraId="443197E1" w14:textId="2F242A6A" w:rsidR="00221026" w:rsidRPr="009A5185" w:rsidRDefault="00221026" w:rsidP="00221026">
      <w:pPr>
        <w:rPr>
          <w:rFonts w:cs="Arial"/>
        </w:rPr>
      </w:pPr>
      <w:r w:rsidRPr="009A5185">
        <w:rPr>
          <w:rFonts w:cs="Arial"/>
        </w:rPr>
        <w:t xml:space="preserve">Any changes made to the measure specifications </w:t>
      </w:r>
      <w:r w:rsidR="00494E6D" w:rsidRPr="009A5185">
        <w:rPr>
          <w:rFonts w:cs="Arial"/>
        </w:rPr>
        <w:t>after April 1</w:t>
      </w:r>
      <w:r w:rsidR="00D66EDA" w:rsidRPr="009A5185">
        <w:rPr>
          <w:rFonts w:cs="Arial"/>
          <w:vertAlign w:val="superscript"/>
        </w:rPr>
        <w:t xml:space="preserve"> </w:t>
      </w:r>
      <w:r w:rsidRPr="009A5185">
        <w:rPr>
          <w:rFonts w:cs="Arial"/>
        </w:rPr>
        <w:t xml:space="preserve">will be reflected in the hard copy of the </w:t>
      </w:r>
      <w:r w:rsidR="00C14AFF" w:rsidRPr="009A5185">
        <w:rPr>
          <w:rFonts w:cs="Arial"/>
        </w:rPr>
        <w:t>Survey</w:t>
      </w:r>
      <w:r w:rsidRPr="009A5185">
        <w:rPr>
          <w:rFonts w:cs="Arial"/>
        </w:rPr>
        <w:t xml:space="preserve"> in the Reference Information sect</w:t>
      </w:r>
      <w:r w:rsidR="00D66EDA" w:rsidRPr="009A5185">
        <w:rPr>
          <w:rFonts w:cs="Arial"/>
        </w:rPr>
        <w:t xml:space="preserve">ions under the “Change Summary” </w:t>
      </w:r>
      <w:r w:rsidRPr="009A5185">
        <w:rPr>
          <w:rFonts w:cs="Arial"/>
        </w:rPr>
        <w:t xml:space="preserve">header (see </w:t>
      </w:r>
      <w:hyperlink w:anchor="TOC" w:history="1">
        <w:r w:rsidRPr="009A5185">
          <w:rPr>
            <w:rStyle w:val="Hyperlink"/>
            <w:rFonts w:cs="Arial"/>
          </w:rPr>
          <w:t>Table of Contents</w:t>
        </w:r>
      </w:hyperlink>
      <w:r w:rsidRPr="009A5185">
        <w:rPr>
          <w:rFonts w:cs="Arial"/>
        </w:rPr>
        <w:t>).</w:t>
      </w:r>
      <w:r w:rsidR="007B1741" w:rsidRPr="009A5185">
        <w:rPr>
          <w:rFonts w:cs="Arial"/>
        </w:rPr>
        <w:t xml:space="preserve"> </w:t>
      </w:r>
      <w:r w:rsidRPr="009A5185">
        <w:rPr>
          <w:rFonts w:cs="Arial"/>
        </w:rPr>
        <w:t xml:space="preserve">In addition, the updates to the specifications will be highlighted in yellow. If the changes are substantial, we will email the </w:t>
      </w:r>
      <w:r w:rsidR="00C14AFF" w:rsidRPr="009A5185">
        <w:rPr>
          <w:rFonts w:cs="Arial"/>
        </w:rPr>
        <w:t>Primary Survey Contact</w:t>
      </w:r>
      <w:r w:rsidRPr="009A5185">
        <w:rPr>
          <w:rFonts w:cs="Arial"/>
        </w:rPr>
        <w:t xml:space="preserve"> your hospital </w:t>
      </w:r>
      <w:r w:rsidR="000D6757">
        <w:rPr>
          <w:rFonts w:cs="Arial"/>
        </w:rPr>
        <w:t>provided</w:t>
      </w:r>
      <w:r w:rsidR="000D6757" w:rsidRPr="009A5185">
        <w:rPr>
          <w:rFonts w:cs="Arial"/>
        </w:rPr>
        <w:t xml:space="preserve"> </w:t>
      </w:r>
      <w:r w:rsidRPr="009A5185">
        <w:rPr>
          <w:rFonts w:cs="Arial"/>
        </w:rPr>
        <w:t xml:space="preserve">in the </w:t>
      </w:r>
      <w:r w:rsidR="00425ED6">
        <w:rPr>
          <w:rFonts w:cs="Arial"/>
        </w:rPr>
        <w:t xml:space="preserve">Hospital </w:t>
      </w:r>
      <w:r w:rsidR="00506AC9">
        <w:rPr>
          <w:rFonts w:cs="Arial"/>
        </w:rPr>
        <w:t>P</w:t>
      </w:r>
      <w:r w:rsidRPr="009A5185">
        <w:rPr>
          <w:rFonts w:cs="Arial"/>
        </w:rPr>
        <w:t xml:space="preserve">rofile </w:t>
      </w:r>
      <w:r w:rsidR="009D494A">
        <w:rPr>
          <w:rFonts w:cs="Arial"/>
        </w:rPr>
        <w:t xml:space="preserve">of the Online </w:t>
      </w:r>
      <w:r w:rsidR="000D6757">
        <w:rPr>
          <w:rFonts w:cs="Arial"/>
        </w:rPr>
        <w:t xml:space="preserve">Hospital </w:t>
      </w:r>
      <w:r w:rsidR="009D494A">
        <w:rPr>
          <w:rFonts w:cs="Arial"/>
        </w:rPr>
        <w:t>Survey Tool</w:t>
      </w:r>
      <w:r w:rsidRPr="009A5185">
        <w:rPr>
          <w:rFonts w:cs="Arial"/>
        </w:rPr>
        <w:t xml:space="preserve">. If the notification is sent before your hospital submits a </w:t>
      </w:r>
      <w:r w:rsidR="00A236B1">
        <w:rPr>
          <w:rFonts w:cs="Arial"/>
        </w:rPr>
        <w:t>202</w:t>
      </w:r>
      <w:r w:rsidR="00865C3E">
        <w:rPr>
          <w:rFonts w:cs="Arial"/>
        </w:rPr>
        <w:t>6</w:t>
      </w:r>
      <w:r w:rsidR="00460E9D" w:rsidRPr="009A5185">
        <w:rPr>
          <w:rFonts w:cs="Arial"/>
        </w:rPr>
        <w:t xml:space="preserve"> </w:t>
      </w:r>
      <w:r w:rsidRPr="009A5185">
        <w:rPr>
          <w:rFonts w:cs="Arial"/>
        </w:rPr>
        <w:t xml:space="preserve">Leapfrog Hospital </w:t>
      </w:r>
      <w:r w:rsidR="00C14AFF" w:rsidRPr="009A5185">
        <w:rPr>
          <w:rFonts w:cs="Arial"/>
        </w:rPr>
        <w:t>Survey</w:t>
      </w:r>
      <w:r w:rsidRPr="009A5185">
        <w:rPr>
          <w:rFonts w:cs="Arial"/>
        </w:rPr>
        <w:t xml:space="preserve">, the email will go to the </w:t>
      </w:r>
      <w:r w:rsidR="00C14AFF" w:rsidRPr="009A5185">
        <w:rPr>
          <w:rFonts w:cs="Arial"/>
        </w:rPr>
        <w:t>Primary Survey Contact</w:t>
      </w:r>
      <w:r w:rsidRPr="009A5185">
        <w:rPr>
          <w:rFonts w:cs="Arial"/>
        </w:rPr>
        <w:t xml:space="preserve"> provided in the</w:t>
      </w:r>
      <w:r w:rsidR="005D057A">
        <w:rPr>
          <w:rFonts w:cs="Arial"/>
        </w:rPr>
        <w:t xml:space="preserve"> previous year’s</w:t>
      </w:r>
      <w:r w:rsidR="00460E9D" w:rsidRPr="009A5185">
        <w:rPr>
          <w:rFonts w:cs="Arial"/>
        </w:rPr>
        <w:t xml:space="preserve"> </w:t>
      </w:r>
      <w:r w:rsidR="003205A5">
        <w:rPr>
          <w:rFonts w:cs="Arial"/>
        </w:rPr>
        <w:t>S</w:t>
      </w:r>
      <w:r w:rsidR="00C14AFF" w:rsidRPr="009A5185">
        <w:rPr>
          <w:rFonts w:cs="Arial"/>
        </w:rPr>
        <w:t>urvey</w:t>
      </w:r>
      <w:r w:rsidR="00020513" w:rsidRPr="009A5185">
        <w:rPr>
          <w:rFonts w:cs="Arial"/>
        </w:rPr>
        <w:t>.</w:t>
      </w:r>
    </w:p>
    <w:p w14:paraId="3D9C5F17" w14:textId="77777777" w:rsidR="00AE1817" w:rsidRPr="00F836E7" w:rsidRDefault="00AE1817" w:rsidP="00221026">
      <w:pPr>
        <w:rPr>
          <w:rFonts w:cs="Arial"/>
        </w:rPr>
      </w:pPr>
    </w:p>
    <w:p w14:paraId="5D9F572C" w14:textId="05F94300" w:rsidR="00F91E77" w:rsidRDefault="00AE1817" w:rsidP="006F7B4B">
      <w:pPr>
        <w:rPr>
          <w:rFonts w:cs="Arial"/>
          <w:snapToGrid w:val="0"/>
        </w:rPr>
      </w:pPr>
      <w:bookmarkStart w:id="21" w:name="_Hlk35509374"/>
      <w:r w:rsidRPr="00105BB4">
        <w:rPr>
          <w:rFonts w:cs="Arial"/>
          <w:snapToGrid w:val="0"/>
        </w:rPr>
        <w:lastRenderedPageBreak/>
        <w:t>The Leapfrog Group and its participating members are committed to presenting information that is as current as possible</w:t>
      </w:r>
      <w:r w:rsidR="000D6757">
        <w:rPr>
          <w:rFonts w:cs="Arial"/>
          <w:snapToGrid w:val="0"/>
        </w:rPr>
        <w:t xml:space="preserve">, </w:t>
      </w:r>
      <w:r w:rsidRPr="00105BB4">
        <w:rPr>
          <w:rFonts w:cs="Arial"/>
          <w:snapToGrid w:val="0"/>
        </w:rPr>
        <w:t xml:space="preserve">therefore </w:t>
      </w:r>
      <w:r w:rsidR="00425ED6" w:rsidRPr="00105BB4">
        <w:rPr>
          <w:rFonts w:cs="Arial"/>
          <w:snapToGrid w:val="0"/>
        </w:rPr>
        <w:t xml:space="preserve">we </w:t>
      </w:r>
      <w:r w:rsidRPr="00105BB4">
        <w:rPr>
          <w:rFonts w:cs="Arial"/>
          <w:snapToGrid w:val="0"/>
        </w:rPr>
        <w:t>a</w:t>
      </w:r>
      <w:r w:rsidR="00C14AFF" w:rsidRPr="00105BB4">
        <w:rPr>
          <w:rFonts w:cs="Arial"/>
          <w:snapToGrid w:val="0"/>
        </w:rPr>
        <w:t>llow hospitals to update and re</w:t>
      </w:r>
      <w:r w:rsidRPr="00105BB4">
        <w:rPr>
          <w:rFonts w:cs="Arial"/>
          <w:snapToGrid w:val="0"/>
        </w:rPr>
        <w:t xml:space="preserve">submit their </w:t>
      </w:r>
      <w:r w:rsidR="00E434DD" w:rsidRPr="00105BB4">
        <w:rPr>
          <w:rFonts w:cs="Arial"/>
          <w:snapToGrid w:val="0"/>
        </w:rPr>
        <w:t xml:space="preserve">Survey </w:t>
      </w:r>
      <w:r w:rsidRPr="00105BB4">
        <w:rPr>
          <w:rFonts w:cs="Arial"/>
          <w:snapToGrid w:val="0"/>
        </w:rPr>
        <w:t>until</w:t>
      </w:r>
      <w:r w:rsidR="00BE5C1E" w:rsidRPr="00105BB4">
        <w:rPr>
          <w:rFonts w:cs="Arial"/>
          <w:snapToGrid w:val="0"/>
        </w:rPr>
        <w:t xml:space="preserve"> the</w:t>
      </w:r>
      <w:r w:rsidRPr="00105BB4">
        <w:rPr>
          <w:rFonts w:cs="Arial"/>
          <w:snapToGrid w:val="0"/>
        </w:rPr>
        <w:t xml:space="preserve"> </w:t>
      </w:r>
      <w:r w:rsidR="00A635F4">
        <w:rPr>
          <w:rFonts w:cs="Arial"/>
          <w:b/>
          <w:snapToGrid w:val="0"/>
          <w:color w:val="FF0000"/>
        </w:rPr>
        <w:t>November 30</w:t>
      </w:r>
      <w:r w:rsidRPr="00105BB4">
        <w:rPr>
          <w:rFonts w:cs="Arial"/>
          <w:snapToGrid w:val="0"/>
        </w:rPr>
        <w:t xml:space="preserve"> </w:t>
      </w:r>
      <w:r w:rsidR="00BE5C1E" w:rsidRPr="00105BB4">
        <w:rPr>
          <w:rFonts w:cs="Arial"/>
          <w:snapToGrid w:val="0"/>
        </w:rPr>
        <w:t xml:space="preserve">Late Submission </w:t>
      </w:r>
      <w:r w:rsidR="00123E52" w:rsidRPr="00123E52">
        <w:rPr>
          <w:rFonts w:cs="Arial"/>
          <w:bCs/>
          <w:snapToGrid w:val="0"/>
        </w:rPr>
        <w:t>and Performance Update</w:t>
      </w:r>
      <w:r w:rsidR="00123E52">
        <w:rPr>
          <w:rFonts w:cs="Arial"/>
          <w:bCs/>
          <w:snapToGrid w:val="0"/>
          <w:sz w:val="16"/>
          <w:szCs w:val="16"/>
        </w:rPr>
        <w:t xml:space="preserve"> </w:t>
      </w:r>
      <w:r w:rsidR="00BE5C1E" w:rsidRPr="00105BB4">
        <w:rPr>
          <w:rFonts w:cs="Arial"/>
          <w:snapToGrid w:val="0"/>
        </w:rPr>
        <w:t>Deadline</w:t>
      </w:r>
      <w:r w:rsidR="00BE5C1E" w:rsidRPr="00105BB4">
        <w:t xml:space="preserve">. </w:t>
      </w:r>
      <w:r w:rsidRPr="00105BB4">
        <w:rPr>
          <w:rFonts w:cs="Arial"/>
          <w:snapToGrid w:val="0"/>
        </w:rPr>
        <w:t>Please carefully review the reporting</w:t>
      </w:r>
      <w:r w:rsidR="00F91E77">
        <w:rPr>
          <w:rFonts w:cs="Arial"/>
          <w:snapToGrid w:val="0"/>
        </w:rPr>
        <w:t xml:space="preserve"> </w:t>
      </w:r>
    </w:p>
    <w:p w14:paraId="18C5664E" w14:textId="77777777" w:rsidR="00D62E76" w:rsidRDefault="00AE1817" w:rsidP="00D62E76">
      <w:pPr>
        <w:rPr>
          <w:rFonts w:cs="Arial"/>
        </w:rPr>
      </w:pPr>
      <w:r w:rsidRPr="00105BB4">
        <w:rPr>
          <w:rFonts w:cs="Arial"/>
          <w:snapToGrid w:val="0"/>
        </w:rPr>
        <w:t xml:space="preserve">periods in each section before updating your </w:t>
      </w:r>
      <w:r w:rsidR="00C14AFF" w:rsidRPr="00105BB4">
        <w:rPr>
          <w:rFonts w:cs="Arial"/>
          <w:snapToGrid w:val="0"/>
        </w:rPr>
        <w:t>Survey</w:t>
      </w:r>
      <w:r w:rsidRPr="00105BB4">
        <w:rPr>
          <w:rFonts w:cs="Arial"/>
          <w:snapToGrid w:val="0"/>
        </w:rPr>
        <w:t xml:space="preserve">. Leapfrog Hospital </w:t>
      </w:r>
      <w:r w:rsidR="00C14AFF" w:rsidRPr="00105BB4">
        <w:rPr>
          <w:rFonts w:cs="Arial"/>
          <w:snapToGrid w:val="0"/>
        </w:rPr>
        <w:t>Survey Results</w:t>
      </w:r>
      <w:r w:rsidRPr="00105BB4">
        <w:rPr>
          <w:rFonts w:cs="Arial"/>
          <w:snapToGrid w:val="0"/>
        </w:rPr>
        <w:t xml:space="preserve"> are updated monthly beginning</w:t>
      </w:r>
      <w:r w:rsidR="00372562" w:rsidRPr="00105BB4">
        <w:rPr>
          <w:rFonts w:cs="Arial"/>
          <w:snapToGrid w:val="0"/>
        </w:rPr>
        <w:t xml:space="preserve"> </w:t>
      </w:r>
      <w:r w:rsidR="00E94A8E">
        <w:rPr>
          <w:rFonts w:cs="Arial"/>
          <w:snapToGrid w:val="0"/>
        </w:rPr>
        <w:t xml:space="preserve">in </w:t>
      </w:r>
      <w:r w:rsidR="00977015">
        <w:rPr>
          <w:rFonts w:cs="Arial"/>
          <w:snapToGrid w:val="0"/>
        </w:rPr>
        <w:t xml:space="preserve">July </w:t>
      </w:r>
      <w:r w:rsidRPr="00105BB4">
        <w:rPr>
          <w:rFonts w:cs="Arial"/>
          <w:snapToGrid w:val="0"/>
        </w:rPr>
        <w:t xml:space="preserve">on Leapfrog’s </w:t>
      </w:r>
      <w:hyperlink r:id="rId31" w:history="1">
        <w:r w:rsidRPr="00105BB4">
          <w:rPr>
            <w:rStyle w:val="Hyperlink"/>
            <w:rFonts w:cs="Arial"/>
            <w:snapToGrid w:val="0"/>
          </w:rPr>
          <w:t xml:space="preserve">public </w:t>
        </w:r>
        <w:r w:rsidR="00F220B6">
          <w:rPr>
            <w:rStyle w:val="Hyperlink"/>
            <w:rFonts w:cs="Arial"/>
            <w:snapToGrid w:val="0"/>
          </w:rPr>
          <w:t xml:space="preserve">reporting </w:t>
        </w:r>
        <w:r w:rsidRPr="00105BB4">
          <w:rPr>
            <w:rStyle w:val="Hyperlink"/>
            <w:rFonts w:cs="Arial"/>
            <w:snapToGrid w:val="0"/>
          </w:rPr>
          <w:t>website</w:t>
        </w:r>
      </w:hyperlink>
      <w:r w:rsidRPr="00105BB4">
        <w:rPr>
          <w:rStyle w:val="Hyperlink"/>
          <w:rFonts w:cs="Arial"/>
          <w:snapToGrid w:val="0"/>
          <w:u w:val="none"/>
        </w:rPr>
        <w:t xml:space="preserve">. </w:t>
      </w:r>
      <w:r w:rsidRPr="00105BB4">
        <w:rPr>
          <w:rStyle w:val="Hyperlink"/>
          <w:rFonts w:cs="Arial"/>
          <w:snapToGrid w:val="0"/>
          <w:color w:val="auto"/>
          <w:u w:val="none"/>
        </w:rPr>
        <w:t>Hospitals are required</w:t>
      </w:r>
      <w:r w:rsidRPr="00105BB4">
        <w:rPr>
          <w:rFonts w:cs="Arial"/>
          <w:snapToGrid w:val="0"/>
        </w:rPr>
        <w:t xml:space="preserve"> to </w:t>
      </w:r>
      <w:hyperlink w:anchor="_Updating_or_Correcting" w:history="1">
        <w:r w:rsidRPr="003A2B3E">
          <w:rPr>
            <w:rStyle w:val="Hyperlink"/>
            <w:rFonts w:cs="Arial"/>
            <w:snapToGrid w:val="0"/>
          </w:rPr>
          <w:t>update</w:t>
        </w:r>
      </w:hyperlink>
      <w:r w:rsidRPr="00105BB4">
        <w:rPr>
          <w:rFonts w:cs="Arial"/>
          <w:snapToGrid w:val="0"/>
        </w:rPr>
        <w:t xml:space="preserve"> the information in their </w:t>
      </w:r>
      <w:r w:rsidR="00C14AFF" w:rsidRPr="00105BB4">
        <w:rPr>
          <w:rFonts w:cs="Arial"/>
          <w:snapToGrid w:val="0"/>
        </w:rPr>
        <w:t>Survey</w:t>
      </w:r>
      <w:r w:rsidRPr="00105BB4">
        <w:rPr>
          <w:rFonts w:cs="Arial"/>
          <w:snapToGrid w:val="0"/>
        </w:rPr>
        <w:t xml:space="preserve"> within 30 days of any change in status. We reserve the right to decertify information that is not current.</w:t>
      </w:r>
      <w:bookmarkEnd w:id="21"/>
      <w:r w:rsidR="000D6757">
        <w:rPr>
          <w:rFonts w:cs="Arial"/>
          <w:snapToGrid w:val="0"/>
        </w:rPr>
        <w:t xml:space="preserve"> More information on updating your Survey is available </w:t>
      </w:r>
      <w:r w:rsidR="00434350">
        <w:rPr>
          <w:rFonts w:cs="Arial"/>
          <w:snapToGrid w:val="0"/>
        </w:rPr>
        <w:t xml:space="preserve">on the </w:t>
      </w:r>
      <w:hyperlink r:id="rId32" w:history="1">
        <w:r w:rsidR="00434350" w:rsidRPr="00434350">
          <w:rPr>
            <w:rStyle w:val="Hyperlink"/>
            <w:rFonts w:cs="Arial"/>
            <w:snapToGrid w:val="0"/>
          </w:rPr>
          <w:t>Updating Your Hospital Survey webpage.</w:t>
        </w:r>
      </w:hyperlink>
      <w:r w:rsidR="00434350">
        <w:rPr>
          <w:rFonts w:cs="Arial"/>
          <w:snapToGrid w:val="0"/>
        </w:rPr>
        <w:t xml:space="preserve"> </w:t>
      </w:r>
    </w:p>
    <w:p w14:paraId="5A9AAF05" w14:textId="77777777" w:rsidR="00D62E76" w:rsidRDefault="00D62E76" w:rsidP="00D62E76">
      <w:pPr>
        <w:rPr>
          <w:rFonts w:cs="Arial"/>
        </w:rPr>
      </w:pPr>
    </w:p>
    <w:p w14:paraId="799EA99F" w14:textId="77777777" w:rsidR="00490319" w:rsidRDefault="00490319">
      <w:pPr>
        <w:rPr>
          <w:b/>
          <w:snapToGrid w:val="0"/>
          <w:sz w:val="28"/>
          <w:szCs w:val="24"/>
          <w:u w:val="single"/>
          <w:lang w:eastAsia="ja-JP"/>
        </w:rPr>
      </w:pPr>
      <w:r>
        <w:br w:type="page"/>
      </w:r>
    </w:p>
    <w:p w14:paraId="0EB89CC3" w14:textId="6B320AE9" w:rsidR="0010643F" w:rsidRPr="00D62E76" w:rsidRDefault="00B76006" w:rsidP="00CF5A6E">
      <w:pPr>
        <w:pStyle w:val="Heading2"/>
        <w:rPr>
          <w:rFonts w:cs="Arial"/>
        </w:rPr>
      </w:pPr>
      <w:bookmarkStart w:id="22" w:name="_Toc225877639"/>
      <w:r w:rsidRPr="009A5185">
        <w:lastRenderedPageBreak/>
        <w:t>Pre-Submission Checklis</w:t>
      </w:r>
      <w:r w:rsidR="00045A92" w:rsidRPr="009A5185">
        <w:t>t</w:t>
      </w:r>
      <w:bookmarkEnd w:id="22"/>
      <w:r w:rsidR="00834A44" w:rsidRPr="009A5185">
        <w:t xml:space="preserve"> </w:t>
      </w:r>
    </w:p>
    <w:p w14:paraId="7021111B" w14:textId="66164748" w:rsidR="0010643F" w:rsidRPr="009A5185" w:rsidRDefault="008048E4" w:rsidP="0010643F">
      <w:pPr>
        <w:rPr>
          <w:rFonts w:cs="Arial"/>
          <w:snapToGrid w:val="0"/>
        </w:rPr>
      </w:pPr>
      <w:r>
        <w:br/>
      </w:r>
      <w:r w:rsidR="00E02F8B" w:rsidRPr="009A5185">
        <w:rPr>
          <w:rFonts w:cs="Arial"/>
          <w:snapToGrid w:val="0"/>
        </w:rPr>
        <w:t xml:space="preserve">Before you </w:t>
      </w:r>
      <w:r w:rsidR="00834A44" w:rsidRPr="009A5185">
        <w:rPr>
          <w:rFonts w:cs="Arial"/>
          <w:snapToGrid w:val="0"/>
        </w:rPr>
        <w:t>complete and submit</w:t>
      </w:r>
      <w:r w:rsidR="003E7782" w:rsidRPr="009A5185">
        <w:rPr>
          <w:rFonts w:cs="Arial"/>
          <w:snapToGrid w:val="0"/>
        </w:rPr>
        <w:t xml:space="preserve"> the </w:t>
      </w:r>
      <w:r w:rsidR="00C14AFF" w:rsidRPr="009A5185">
        <w:rPr>
          <w:rFonts w:cs="Arial"/>
          <w:snapToGrid w:val="0"/>
        </w:rPr>
        <w:t>Survey</w:t>
      </w:r>
      <w:r w:rsidR="003E7782" w:rsidRPr="009A5185">
        <w:rPr>
          <w:rFonts w:cs="Arial"/>
          <w:snapToGrid w:val="0"/>
        </w:rPr>
        <w:t xml:space="preserve"> via the </w:t>
      </w:r>
      <w:r w:rsidR="004B22C6">
        <w:rPr>
          <w:rFonts w:cs="Arial"/>
          <w:snapToGrid w:val="0"/>
        </w:rPr>
        <w:t>Online Hospital Survey Tool</w:t>
      </w:r>
      <w:r w:rsidR="00E02F8B" w:rsidRPr="009A5185">
        <w:rPr>
          <w:rFonts w:cs="Arial"/>
          <w:snapToGrid w:val="0"/>
        </w:rPr>
        <w:t xml:space="preserve">, there are </w:t>
      </w:r>
      <w:r w:rsidR="005F38CB" w:rsidRPr="009A5185">
        <w:rPr>
          <w:rFonts w:cs="Arial"/>
          <w:snapToGrid w:val="0"/>
        </w:rPr>
        <w:t>several</w:t>
      </w:r>
      <w:r w:rsidR="00E02F8B" w:rsidRPr="009A5185">
        <w:rPr>
          <w:rFonts w:cs="Arial"/>
          <w:snapToGrid w:val="0"/>
        </w:rPr>
        <w:t xml:space="preserve"> steps </w:t>
      </w:r>
      <w:r w:rsidR="00E20A4C">
        <w:rPr>
          <w:rFonts w:cs="Arial"/>
          <w:snapToGrid w:val="0"/>
        </w:rPr>
        <w:t xml:space="preserve">you </w:t>
      </w:r>
      <w:r w:rsidR="00E02F8B" w:rsidRPr="009A5185">
        <w:rPr>
          <w:rFonts w:cs="Arial"/>
          <w:snapToGrid w:val="0"/>
        </w:rPr>
        <w:t>shoul</w:t>
      </w:r>
      <w:r w:rsidR="00B76006" w:rsidRPr="009A5185">
        <w:rPr>
          <w:rFonts w:cs="Arial"/>
          <w:snapToGrid w:val="0"/>
        </w:rPr>
        <w:t>d complete</w:t>
      </w:r>
      <w:r w:rsidR="00E02F8B" w:rsidRPr="009A5185">
        <w:rPr>
          <w:rFonts w:cs="Arial"/>
          <w:snapToGrid w:val="0"/>
        </w:rPr>
        <w:t>:</w:t>
      </w:r>
    </w:p>
    <w:p w14:paraId="3F9A1EDC" w14:textId="77777777" w:rsidR="00E02F8B" w:rsidRPr="00D62E76" w:rsidRDefault="00E02F8B" w:rsidP="0010643F">
      <w:pPr>
        <w:rPr>
          <w:rFonts w:cs="Arial"/>
          <w:snapToGrid w:val="0"/>
          <w:sz w:val="16"/>
          <w:szCs w:val="16"/>
        </w:rPr>
      </w:pPr>
    </w:p>
    <w:p w14:paraId="7EC00974" w14:textId="103C83CA" w:rsidR="009C4EE9" w:rsidRPr="00374530" w:rsidRDefault="00C14AFF" w:rsidP="00AD309C">
      <w:pPr>
        <w:numPr>
          <w:ilvl w:val="0"/>
          <w:numId w:val="22"/>
        </w:numPr>
        <w:tabs>
          <w:tab w:val="num" w:pos="360"/>
        </w:tabs>
        <w:spacing w:line="276" w:lineRule="auto"/>
        <w:ind w:left="360"/>
        <w:rPr>
          <w:rFonts w:cs="Arial"/>
          <w:snapToGrid w:val="0"/>
        </w:rPr>
      </w:pPr>
      <w:r w:rsidRPr="009A5185">
        <w:rPr>
          <w:rFonts w:cs="Arial"/>
          <w:b/>
          <w:snapToGrid w:val="0"/>
        </w:rPr>
        <w:t>Visit the</w:t>
      </w:r>
      <w:r w:rsidR="000D6757">
        <w:rPr>
          <w:rFonts w:cs="Arial"/>
          <w:b/>
          <w:snapToGrid w:val="0"/>
        </w:rPr>
        <w:t xml:space="preserve"> Hospital</w:t>
      </w:r>
      <w:r w:rsidRPr="009A5185">
        <w:rPr>
          <w:rFonts w:cs="Arial"/>
          <w:b/>
          <w:snapToGrid w:val="0"/>
        </w:rPr>
        <w:t xml:space="preserve"> S</w:t>
      </w:r>
      <w:r w:rsidR="00501FCC" w:rsidRPr="009A5185">
        <w:rPr>
          <w:rFonts w:cs="Arial"/>
          <w:b/>
          <w:snapToGrid w:val="0"/>
        </w:rPr>
        <w:t>urvey web</w:t>
      </w:r>
      <w:r w:rsidR="00CF01F4" w:rsidRPr="009A5185">
        <w:rPr>
          <w:rFonts w:cs="Arial"/>
          <w:b/>
          <w:snapToGrid w:val="0"/>
        </w:rPr>
        <w:t xml:space="preserve">pages </w:t>
      </w:r>
      <w:r w:rsidR="00501FCC" w:rsidRPr="009A5185">
        <w:rPr>
          <w:rFonts w:cs="Arial"/>
          <w:b/>
          <w:snapToGrid w:val="0"/>
        </w:rPr>
        <w:t>at</w:t>
      </w:r>
      <w:r w:rsidR="00CF01F4" w:rsidRPr="009A5185">
        <w:rPr>
          <w:rFonts w:cs="Arial"/>
          <w:b/>
          <w:snapToGrid w:val="0"/>
        </w:rPr>
        <w:t xml:space="preserve"> </w:t>
      </w:r>
      <w:hyperlink r:id="rId33" w:history="1">
        <w:r w:rsidR="000F1FCB">
          <w:rPr>
            <w:rStyle w:val="Hyperlink"/>
            <w:rFonts w:cs="Arial"/>
            <w:snapToGrid w:val="0"/>
          </w:rPr>
          <w:t>https://leapfroggroup.org/hospital</w:t>
        </w:r>
      </w:hyperlink>
      <w:r w:rsidR="00501FCC" w:rsidRPr="009A5185">
        <w:rPr>
          <w:rFonts w:cs="Arial"/>
          <w:b/>
          <w:snapToGrid w:val="0"/>
        </w:rPr>
        <w:t>.</w:t>
      </w:r>
      <w:r w:rsidR="00CF01F4" w:rsidRPr="009A5185">
        <w:rPr>
          <w:rFonts w:cs="Arial"/>
          <w:b/>
          <w:snapToGrid w:val="0"/>
        </w:rPr>
        <w:t xml:space="preserve"> </w:t>
      </w:r>
    </w:p>
    <w:p w14:paraId="219442B2" w14:textId="2B560743" w:rsidR="009C4EE9" w:rsidRPr="00374530" w:rsidRDefault="00D5582E" w:rsidP="00AD309C">
      <w:pPr>
        <w:numPr>
          <w:ilvl w:val="0"/>
          <w:numId w:val="22"/>
        </w:numPr>
        <w:spacing w:line="276" w:lineRule="auto"/>
        <w:ind w:left="360"/>
        <w:rPr>
          <w:rFonts w:cs="Arial"/>
          <w:snapToGrid w:val="0"/>
        </w:rPr>
      </w:pPr>
      <w:r w:rsidRPr="009A5185">
        <w:rPr>
          <w:rFonts w:cs="Arial"/>
          <w:b/>
          <w:snapToGrid w:val="0"/>
        </w:rPr>
        <w:t>Make sure you have a 16-digit security code</w:t>
      </w:r>
      <w:r w:rsidR="001E56BE" w:rsidRPr="009A5185">
        <w:rPr>
          <w:rFonts w:cs="Arial"/>
          <w:snapToGrid w:val="0"/>
        </w:rPr>
        <w:t>. If you don’t,</w:t>
      </w:r>
      <w:r w:rsidR="00EC5468" w:rsidRPr="009A5185">
        <w:rPr>
          <w:rFonts w:cs="Arial"/>
          <w:snapToGrid w:val="0"/>
        </w:rPr>
        <w:t xml:space="preserve"> download</w:t>
      </w:r>
      <w:r w:rsidRPr="009A5185">
        <w:rPr>
          <w:rFonts w:cs="Arial"/>
          <w:snapToGrid w:val="0"/>
        </w:rPr>
        <w:t xml:space="preserve"> a </w:t>
      </w:r>
      <w:hyperlink r:id="rId34" w:history="1">
        <w:r w:rsidR="008C7C9F" w:rsidRPr="008C7C9F">
          <w:rPr>
            <w:rStyle w:val="Hyperlink"/>
            <w:rFonts w:cs="Arial"/>
            <w:snapToGrid w:val="0"/>
          </w:rPr>
          <w:t>Security Code Request</w:t>
        </w:r>
      </w:hyperlink>
      <w:r w:rsidR="008C7C9F">
        <w:rPr>
          <w:rFonts w:cs="Arial"/>
          <w:snapToGrid w:val="0"/>
        </w:rPr>
        <w:t xml:space="preserve"> form</w:t>
      </w:r>
      <w:r w:rsidR="001338CC" w:rsidRPr="009A5185">
        <w:rPr>
          <w:rFonts w:cs="Arial"/>
          <w:snapToGrid w:val="0"/>
        </w:rPr>
        <w:t xml:space="preserve">. </w:t>
      </w:r>
      <w:r w:rsidR="005237CA" w:rsidRPr="009A5185">
        <w:rPr>
          <w:rFonts w:cs="Arial"/>
          <w:snapToGrid w:val="0"/>
        </w:rPr>
        <w:t xml:space="preserve">If your hospital is part of a multi-hospital healthcare system, </w:t>
      </w:r>
      <w:r w:rsidR="005237CA" w:rsidRPr="009A5185">
        <w:rPr>
          <w:rFonts w:cs="Arial"/>
        </w:rPr>
        <w:t xml:space="preserve">you will need a separate security code for each individual hospital within the system. Please refer to </w:t>
      </w:r>
      <w:hyperlink r:id="rId35" w:history="1">
        <w:r w:rsidR="005237CA" w:rsidRPr="009A5185">
          <w:rPr>
            <w:rStyle w:val="Hyperlink"/>
            <w:rFonts w:cs="Arial"/>
          </w:rPr>
          <w:t>Leapfrog’s Multi-Campus Hospital Reporting Polic</w:t>
        </w:r>
        <w:r w:rsidR="00C338C0" w:rsidRPr="009A5185">
          <w:rPr>
            <w:rStyle w:val="Hyperlink"/>
            <w:rFonts w:cs="Arial"/>
          </w:rPr>
          <w:t>y</w:t>
        </w:r>
      </w:hyperlink>
      <w:r w:rsidR="005237CA" w:rsidRPr="009A5185">
        <w:rPr>
          <w:rFonts w:cs="Arial"/>
        </w:rPr>
        <w:t xml:space="preserve">. </w:t>
      </w:r>
    </w:p>
    <w:p w14:paraId="4ED48D4A" w14:textId="31C44AE4" w:rsidR="009C4EE9" w:rsidRPr="00374530" w:rsidRDefault="0010643F" w:rsidP="00AD309C">
      <w:pPr>
        <w:numPr>
          <w:ilvl w:val="0"/>
          <w:numId w:val="22"/>
        </w:numPr>
        <w:tabs>
          <w:tab w:val="num" w:pos="360"/>
        </w:tabs>
        <w:spacing w:line="276" w:lineRule="auto"/>
        <w:ind w:left="360"/>
        <w:rPr>
          <w:rFonts w:cs="Arial"/>
          <w:snapToGrid w:val="0"/>
        </w:rPr>
      </w:pPr>
      <w:r w:rsidRPr="009A5185">
        <w:rPr>
          <w:rFonts w:cs="Arial"/>
          <w:b/>
          <w:snapToGrid w:val="0"/>
        </w:rPr>
        <w:t xml:space="preserve">Download a hard copy of the </w:t>
      </w:r>
      <w:r w:rsidR="00C14AFF" w:rsidRPr="009A5185">
        <w:rPr>
          <w:rFonts w:cs="Arial"/>
          <w:b/>
          <w:snapToGrid w:val="0"/>
        </w:rPr>
        <w:t>Survey</w:t>
      </w:r>
      <w:r w:rsidR="001338CC" w:rsidRPr="009A5185">
        <w:rPr>
          <w:rFonts w:cs="Arial"/>
          <w:snapToGrid w:val="0"/>
        </w:rPr>
        <w:t xml:space="preserve"> </w:t>
      </w:r>
      <w:r w:rsidR="000D6757">
        <w:rPr>
          <w:rFonts w:cs="Arial"/>
          <w:snapToGrid w:val="0"/>
        </w:rPr>
        <w:t xml:space="preserve">(PDF or Word document) </w:t>
      </w:r>
      <w:r w:rsidR="00C338C0" w:rsidRPr="009A5185">
        <w:rPr>
          <w:rFonts w:cs="Arial"/>
          <w:snapToGrid w:val="0"/>
        </w:rPr>
        <w:t xml:space="preserve">on the </w:t>
      </w:r>
      <w:hyperlink r:id="rId36" w:history="1">
        <w:r w:rsidR="00C338C0" w:rsidRPr="008C7C9F">
          <w:rPr>
            <w:rStyle w:val="Hyperlink"/>
            <w:rFonts w:cs="Arial"/>
            <w:snapToGrid w:val="0"/>
          </w:rPr>
          <w:t>Survey and CPOE Materials webpage</w:t>
        </w:r>
      </w:hyperlink>
      <w:r w:rsidR="00C338C0" w:rsidRPr="009A5185">
        <w:rPr>
          <w:rFonts w:cs="Arial"/>
          <w:snapToGrid w:val="0"/>
        </w:rPr>
        <w:t xml:space="preserve">. </w:t>
      </w:r>
      <w:r w:rsidR="00E02F8B" w:rsidRPr="009A5185">
        <w:rPr>
          <w:rFonts w:cs="Arial"/>
          <w:snapToGrid w:val="0"/>
        </w:rPr>
        <w:t xml:space="preserve">Read through the </w:t>
      </w:r>
      <w:r w:rsidR="00E02F8B" w:rsidRPr="009A5185">
        <w:rPr>
          <w:rFonts w:cs="Arial"/>
          <w:snapToGrid w:val="0"/>
          <w:u w:val="single"/>
        </w:rPr>
        <w:t xml:space="preserve">entire </w:t>
      </w:r>
      <w:r w:rsidR="00760EB2" w:rsidRPr="009A5185">
        <w:rPr>
          <w:rFonts w:cs="Arial"/>
          <w:snapToGrid w:val="0"/>
          <w:u w:val="single"/>
        </w:rPr>
        <w:t>document</w:t>
      </w:r>
      <w:r w:rsidR="00760EB2" w:rsidRPr="009A5185">
        <w:rPr>
          <w:rFonts w:cs="Arial"/>
          <w:snapToGrid w:val="0"/>
        </w:rPr>
        <w:t xml:space="preserve"> </w:t>
      </w:r>
      <w:r w:rsidRPr="009A5185">
        <w:rPr>
          <w:rFonts w:cs="Arial"/>
          <w:snapToGrid w:val="0"/>
        </w:rPr>
        <w:t>to ensure that you understan</w:t>
      </w:r>
      <w:r w:rsidR="001338CC" w:rsidRPr="009A5185">
        <w:rPr>
          <w:rFonts w:cs="Arial"/>
          <w:snapToGrid w:val="0"/>
        </w:rPr>
        <w:t>d what information is required.</w:t>
      </w:r>
    </w:p>
    <w:p w14:paraId="0F5814EA" w14:textId="7FC6A603" w:rsidR="00B67677" w:rsidRPr="00374530" w:rsidRDefault="0010643F" w:rsidP="00AD309C">
      <w:pPr>
        <w:numPr>
          <w:ilvl w:val="0"/>
          <w:numId w:val="22"/>
        </w:numPr>
        <w:tabs>
          <w:tab w:val="num" w:pos="360"/>
        </w:tabs>
        <w:spacing w:line="276" w:lineRule="auto"/>
        <w:ind w:left="360"/>
        <w:rPr>
          <w:rFonts w:cs="Arial"/>
          <w:snapToGrid w:val="0"/>
          <w:sz w:val="16"/>
          <w:szCs w:val="16"/>
        </w:rPr>
      </w:pPr>
      <w:r w:rsidRPr="00B67677">
        <w:rPr>
          <w:rFonts w:cs="Arial"/>
          <w:b/>
        </w:rPr>
        <w:t xml:space="preserve">Review the </w:t>
      </w:r>
      <w:r w:rsidR="00FB3132" w:rsidRPr="00B67677">
        <w:rPr>
          <w:rFonts w:cs="Arial"/>
          <w:b/>
        </w:rPr>
        <w:t>reference information</w:t>
      </w:r>
      <w:r w:rsidRPr="00B67677">
        <w:rPr>
          <w:rFonts w:cs="Arial"/>
        </w:rPr>
        <w:t xml:space="preserve"> </w:t>
      </w:r>
      <w:r w:rsidR="00E02F8B" w:rsidRPr="00B67677">
        <w:rPr>
          <w:rFonts w:cs="Arial"/>
        </w:rPr>
        <w:t xml:space="preserve">in each section of </w:t>
      </w:r>
      <w:r w:rsidRPr="00B67677">
        <w:rPr>
          <w:rFonts w:cs="Arial"/>
        </w:rPr>
        <w:t>th</w:t>
      </w:r>
      <w:r w:rsidR="00926CFF" w:rsidRPr="00B67677">
        <w:rPr>
          <w:rFonts w:cs="Arial"/>
        </w:rPr>
        <w:t xml:space="preserve">e </w:t>
      </w:r>
      <w:r w:rsidR="00C14AFF" w:rsidRPr="00B67677">
        <w:rPr>
          <w:rFonts w:cs="Arial"/>
        </w:rPr>
        <w:t>Survey</w:t>
      </w:r>
      <w:r w:rsidR="001D50B8" w:rsidRPr="00B67677">
        <w:rPr>
          <w:rFonts w:cs="Arial"/>
        </w:rPr>
        <w:t xml:space="preserve"> document and</w:t>
      </w:r>
      <w:r w:rsidRPr="00B67677">
        <w:rPr>
          <w:rFonts w:cs="Arial"/>
        </w:rPr>
        <w:t xml:space="preserve"> </w:t>
      </w:r>
      <w:r w:rsidRPr="00B67677">
        <w:rPr>
          <w:rFonts w:cs="Arial"/>
          <w:b/>
          <w:bCs/>
        </w:rPr>
        <w:t>downloa</w:t>
      </w:r>
      <w:r w:rsidR="00220448" w:rsidRPr="00B67677">
        <w:rPr>
          <w:rFonts w:cs="Arial"/>
          <w:b/>
          <w:bCs/>
        </w:rPr>
        <w:t xml:space="preserve">d </w:t>
      </w:r>
      <w:hyperlink r:id="rId37" w:history="1">
        <w:r w:rsidR="00220448" w:rsidRPr="00B67677">
          <w:rPr>
            <w:rStyle w:val="Hyperlink"/>
            <w:rFonts w:cs="Arial"/>
            <w:b/>
            <w:bCs/>
          </w:rPr>
          <w:t>other supporting materials</w:t>
        </w:r>
      </w:hyperlink>
      <w:r w:rsidR="001338CC" w:rsidRPr="00B67677">
        <w:rPr>
          <w:rFonts w:cs="Arial"/>
        </w:rPr>
        <w:t xml:space="preserve">. </w:t>
      </w:r>
      <w:r w:rsidRPr="00B67677">
        <w:rPr>
          <w:rFonts w:cs="Arial"/>
        </w:rPr>
        <w:t>Th</w:t>
      </w:r>
      <w:r w:rsidR="00220448" w:rsidRPr="00B67677">
        <w:rPr>
          <w:rFonts w:cs="Arial"/>
        </w:rPr>
        <w:t>ese documents</w:t>
      </w:r>
      <w:r w:rsidR="00ED4FAB" w:rsidRPr="00B67677">
        <w:rPr>
          <w:rFonts w:cs="Arial"/>
        </w:rPr>
        <w:t xml:space="preserve"> and tools</w:t>
      </w:r>
      <w:r w:rsidR="00220448" w:rsidRPr="00B67677">
        <w:rPr>
          <w:rFonts w:cs="Arial"/>
        </w:rPr>
        <w:t xml:space="preserve"> contain information that you</w:t>
      </w:r>
      <w:r w:rsidRPr="00B67677">
        <w:rPr>
          <w:rFonts w:cs="Arial"/>
        </w:rPr>
        <w:t xml:space="preserve"> will need to </w:t>
      </w:r>
      <w:r w:rsidR="00FB3132" w:rsidRPr="00B67677">
        <w:rPr>
          <w:rFonts w:cs="Arial"/>
        </w:rPr>
        <w:t xml:space="preserve">accurately </w:t>
      </w:r>
      <w:r w:rsidRPr="00B67677">
        <w:rPr>
          <w:rFonts w:cs="Arial"/>
        </w:rPr>
        <w:t xml:space="preserve">respond to the </w:t>
      </w:r>
      <w:r w:rsidR="00C14AFF" w:rsidRPr="00B67677">
        <w:rPr>
          <w:rFonts w:cs="Arial"/>
        </w:rPr>
        <w:t>Survey</w:t>
      </w:r>
      <w:r w:rsidRPr="00B67677">
        <w:rPr>
          <w:rFonts w:cs="Arial"/>
        </w:rPr>
        <w:t xml:space="preserve"> questions.</w:t>
      </w:r>
      <w:r w:rsidR="00D917D2" w:rsidRPr="00B67677">
        <w:rPr>
          <w:rFonts w:cs="Arial"/>
        </w:rPr>
        <w:t xml:space="preserve"> </w:t>
      </w:r>
    </w:p>
    <w:p w14:paraId="404FBBFA" w14:textId="5D5FB1C6" w:rsidR="0086777E" w:rsidRPr="00374530" w:rsidRDefault="007A2824" w:rsidP="00AD309C">
      <w:pPr>
        <w:numPr>
          <w:ilvl w:val="0"/>
          <w:numId w:val="22"/>
        </w:numPr>
        <w:tabs>
          <w:tab w:val="num" w:pos="360"/>
        </w:tabs>
        <w:spacing w:line="276" w:lineRule="auto"/>
        <w:ind w:left="360"/>
        <w:rPr>
          <w:rFonts w:cs="Arial"/>
          <w:snapToGrid w:val="0"/>
        </w:rPr>
      </w:pPr>
      <w:r w:rsidRPr="009A5185">
        <w:rPr>
          <w:rFonts w:cs="Arial"/>
          <w:b/>
        </w:rPr>
        <w:t>Join Leapfrog’s NHSN Group</w:t>
      </w:r>
      <w:r w:rsidRPr="009A5185">
        <w:rPr>
          <w:rFonts w:cs="Arial"/>
        </w:rPr>
        <w:t xml:space="preserve">. </w:t>
      </w:r>
      <w:r w:rsidR="002F08C7">
        <w:rPr>
          <w:rFonts w:cs="Arial"/>
        </w:rPr>
        <w:t>H</w:t>
      </w:r>
      <w:r w:rsidRPr="009A5185">
        <w:rPr>
          <w:rFonts w:cs="Arial"/>
        </w:rPr>
        <w:t>ospitals reporting on Section 7B</w:t>
      </w:r>
      <w:r w:rsidR="000D6757">
        <w:rPr>
          <w:rFonts w:cs="Arial"/>
        </w:rPr>
        <w:t>:</w:t>
      </w:r>
      <w:r w:rsidRPr="009A5185">
        <w:rPr>
          <w:rFonts w:cs="Arial"/>
        </w:rPr>
        <w:t xml:space="preserve"> Healthcare-Associated Infections are required to join Leapfrog’s NHSN Group. More information, including important deadlines, is available on the</w:t>
      </w:r>
      <w:r w:rsidR="0064007F">
        <w:rPr>
          <w:rFonts w:cs="Arial"/>
        </w:rPr>
        <w:t xml:space="preserve"> </w:t>
      </w:r>
      <w:hyperlink r:id="rId38" w:history="1">
        <w:r w:rsidR="0064007F" w:rsidRPr="0050345D">
          <w:rPr>
            <w:rStyle w:val="Hyperlink"/>
            <w:rFonts w:cs="Arial"/>
          </w:rPr>
          <w:t>Review NHSN Instructions webpage</w:t>
        </w:r>
      </w:hyperlink>
      <w:r w:rsidR="0064007F" w:rsidRPr="0064007F">
        <w:rPr>
          <w:rFonts w:cs="Arial"/>
        </w:rPr>
        <w:t>.</w:t>
      </w:r>
    </w:p>
    <w:p w14:paraId="5C1EB400" w14:textId="47D82E82" w:rsidR="009C4EE9" w:rsidRPr="00374530" w:rsidRDefault="00B67677" w:rsidP="00AD309C">
      <w:pPr>
        <w:numPr>
          <w:ilvl w:val="0"/>
          <w:numId w:val="22"/>
        </w:numPr>
        <w:tabs>
          <w:tab w:val="num" w:pos="360"/>
        </w:tabs>
        <w:spacing w:line="276" w:lineRule="auto"/>
        <w:ind w:left="360"/>
        <w:rPr>
          <w:rFonts w:cs="Arial"/>
          <w:snapToGrid w:val="0"/>
        </w:rPr>
      </w:pPr>
      <w:r w:rsidRPr="00B67677">
        <w:rPr>
          <w:rFonts w:cs="Arial"/>
          <w:b/>
          <w:bCs/>
          <w:snapToGrid w:val="0"/>
        </w:rPr>
        <w:t>Accept the American Medical Association’s Terms of Use and Download the CPT Code Workbook</w:t>
      </w:r>
      <w:r>
        <w:rPr>
          <w:rFonts w:cs="Arial"/>
          <w:snapToGrid w:val="0"/>
        </w:rPr>
        <w:t xml:space="preserve">. </w:t>
      </w:r>
      <w:r>
        <w:rPr>
          <w:rFonts w:cs="Arial"/>
        </w:rPr>
        <w:t xml:space="preserve">Hospitals reporting on </w:t>
      </w:r>
      <w:r w:rsidR="000130CD">
        <w:rPr>
          <w:rFonts w:cs="Arial"/>
        </w:rPr>
        <w:t xml:space="preserve">Section 3 Adult and Pediatric Complex Procedures (that perform bariatric surgery for weight loss, total hip replacement surgery, or total knee replacement surgery) </w:t>
      </w:r>
      <w:r w:rsidR="00CB302D">
        <w:rPr>
          <w:rFonts w:cs="Arial"/>
        </w:rPr>
        <w:t xml:space="preserve">and </w:t>
      </w:r>
      <w:r w:rsidR="00110AA0">
        <w:rPr>
          <w:rFonts w:cs="Arial"/>
        </w:rPr>
        <w:t>r</w:t>
      </w:r>
      <w:r w:rsidR="008C3A7B">
        <w:rPr>
          <w:rFonts w:cs="Arial"/>
        </w:rPr>
        <w:t xml:space="preserve">eporting on </w:t>
      </w:r>
      <w:r w:rsidR="000130CD">
        <w:rPr>
          <w:rFonts w:cs="Arial"/>
        </w:rPr>
        <w:t>S</w:t>
      </w:r>
      <w:r>
        <w:rPr>
          <w:rFonts w:cs="Arial"/>
        </w:rPr>
        <w:t xml:space="preserve">ection 9 Outpatient Procedures </w:t>
      </w:r>
      <w:r w:rsidR="0057687E">
        <w:rPr>
          <w:rFonts w:cs="Arial"/>
        </w:rPr>
        <w:t xml:space="preserve">(that perform outpatient procedures) </w:t>
      </w:r>
      <w:r w:rsidR="00B3022F">
        <w:rPr>
          <w:rFonts w:cs="Arial"/>
        </w:rPr>
        <w:t xml:space="preserve">and </w:t>
      </w:r>
      <w:r w:rsidR="009323B5">
        <w:rPr>
          <w:rFonts w:cs="Arial"/>
        </w:rPr>
        <w:t xml:space="preserve">are </w:t>
      </w:r>
      <w:r w:rsidR="00B3022F">
        <w:rPr>
          <w:rFonts w:cs="Arial"/>
        </w:rPr>
        <w:t xml:space="preserve">optionally reporting </w:t>
      </w:r>
      <w:r w:rsidR="00C07F0C">
        <w:rPr>
          <w:rFonts w:cs="Arial"/>
        </w:rPr>
        <w:t>on select</w:t>
      </w:r>
      <w:r w:rsidR="001478AB">
        <w:rPr>
          <w:rFonts w:cs="Arial"/>
        </w:rPr>
        <w:t xml:space="preserve"> outpatient procedures </w:t>
      </w:r>
      <w:r>
        <w:rPr>
          <w:rFonts w:cs="Arial"/>
        </w:rPr>
        <w:t xml:space="preserve">must accept the American Medical Association’s Terms of Use and download the CPT Code Workbook via the button on the </w:t>
      </w:r>
      <w:hyperlink r:id="rId39" w:history="1">
        <w:r w:rsidRPr="00F72C9F">
          <w:rPr>
            <w:rStyle w:val="Hyperlink"/>
            <w:rFonts w:cs="Arial"/>
          </w:rPr>
          <w:t>Survey Dashboard</w:t>
        </w:r>
      </w:hyperlink>
      <w:r w:rsidR="007545D7">
        <w:rPr>
          <w:rFonts w:cs="Arial"/>
        </w:rPr>
        <w:t xml:space="preserve"> in Section 9.</w:t>
      </w:r>
    </w:p>
    <w:p w14:paraId="178DEF47" w14:textId="6514408B" w:rsidR="009C4EE9" w:rsidRPr="00374530" w:rsidRDefault="00834A44" w:rsidP="00AD309C">
      <w:pPr>
        <w:numPr>
          <w:ilvl w:val="0"/>
          <w:numId w:val="22"/>
        </w:numPr>
        <w:tabs>
          <w:tab w:val="num" w:pos="360"/>
        </w:tabs>
        <w:spacing w:line="276" w:lineRule="auto"/>
        <w:ind w:left="360"/>
        <w:rPr>
          <w:rFonts w:cs="Arial"/>
          <w:snapToGrid w:val="0"/>
        </w:rPr>
      </w:pPr>
      <w:r w:rsidRPr="009A5185">
        <w:rPr>
          <w:rFonts w:cs="Arial"/>
          <w:b/>
          <w:snapToGrid w:val="0"/>
        </w:rPr>
        <w:t>Identify individuals from your hospital to help you</w:t>
      </w:r>
      <w:r w:rsidRPr="009A5185">
        <w:rPr>
          <w:rFonts w:cs="Arial"/>
          <w:snapToGrid w:val="0"/>
        </w:rPr>
        <w:t xml:space="preserve"> gather the data you </w:t>
      </w:r>
      <w:r w:rsidR="00840E07" w:rsidRPr="009A5185">
        <w:rPr>
          <w:rFonts w:cs="Arial"/>
          <w:snapToGrid w:val="0"/>
        </w:rPr>
        <w:t xml:space="preserve">will </w:t>
      </w:r>
      <w:r w:rsidRPr="009A5185">
        <w:rPr>
          <w:rFonts w:cs="Arial"/>
          <w:snapToGrid w:val="0"/>
        </w:rPr>
        <w:t>need to complete t</w:t>
      </w:r>
      <w:r w:rsidR="00926CFF" w:rsidRPr="009A5185">
        <w:rPr>
          <w:rFonts w:cs="Arial"/>
          <w:snapToGrid w:val="0"/>
        </w:rPr>
        <w:t>he</w:t>
      </w:r>
      <w:r w:rsidRPr="009A5185">
        <w:rPr>
          <w:rFonts w:cs="Arial"/>
          <w:snapToGrid w:val="0"/>
        </w:rPr>
        <w:t xml:space="preserve"> various sections of the </w:t>
      </w:r>
      <w:r w:rsidR="00C14AFF" w:rsidRPr="009A5185">
        <w:rPr>
          <w:rFonts w:cs="Arial"/>
          <w:snapToGrid w:val="0"/>
        </w:rPr>
        <w:t>Survey</w:t>
      </w:r>
      <w:r w:rsidRPr="009A5185">
        <w:rPr>
          <w:rFonts w:cs="Arial"/>
          <w:snapToGrid w:val="0"/>
        </w:rPr>
        <w:t xml:space="preserve">. </w:t>
      </w:r>
    </w:p>
    <w:p w14:paraId="483F43E9" w14:textId="4185FB52" w:rsidR="009C4EE9" w:rsidRPr="00374530" w:rsidRDefault="004045F6" w:rsidP="00AD309C">
      <w:pPr>
        <w:numPr>
          <w:ilvl w:val="0"/>
          <w:numId w:val="22"/>
        </w:numPr>
        <w:tabs>
          <w:tab w:val="num" w:pos="360"/>
        </w:tabs>
        <w:spacing w:line="276" w:lineRule="auto"/>
        <w:ind w:left="360"/>
        <w:rPr>
          <w:rFonts w:cs="Arial"/>
          <w:snapToGrid w:val="0"/>
        </w:rPr>
      </w:pPr>
      <w:r w:rsidRPr="009A5185">
        <w:rPr>
          <w:rFonts w:cs="Arial"/>
          <w:b/>
          <w:snapToGrid w:val="0"/>
        </w:rPr>
        <w:t xml:space="preserve">Complete a hard </w:t>
      </w:r>
      <w:r w:rsidR="005F3BD2" w:rsidRPr="009A5185">
        <w:rPr>
          <w:rFonts w:cs="Arial"/>
          <w:b/>
          <w:snapToGrid w:val="0"/>
        </w:rPr>
        <w:t xml:space="preserve">copy </w:t>
      </w:r>
      <w:r w:rsidR="00834A44" w:rsidRPr="009A5185">
        <w:rPr>
          <w:rFonts w:cs="Arial"/>
          <w:b/>
          <w:snapToGrid w:val="0"/>
        </w:rPr>
        <w:t xml:space="preserve">of the </w:t>
      </w:r>
      <w:r w:rsidR="00C14AFF" w:rsidRPr="009A5185">
        <w:rPr>
          <w:rFonts w:cs="Arial"/>
          <w:b/>
          <w:snapToGrid w:val="0"/>
        </w:rPr>
        <w:t>Survey</w:t>
      </w:r>
      <w:r w:rsidRPr="009A5185">
        <w:rPr>
          <w:rFonts w:cs="Arial"/>
          <w:b/>
          <w:snapToGrid w:val="0"/>
        </w:rPr>
        <w:t xml:space="preserve"> before you log in</w:t>
      </w:r>
      <w:r w:rsidR="00F6397C" w:rsidRPr="009A5185">
        <w:rPr>
          <w:rFonts w:cs="Arial"/>
          <w:b/>
          <w:snapToGrid w:val="0"/>
        </w:rPr>
        <w:t xml:space="preserve"> to</w:t>
      </w:r>
      <w:r w:rsidRPr="009A5185">
        <w:rPr>
          <w:rFonts w:cs="Arial"/>
          <w:b/>
          <w:snapToGrid w:val="0"/>
        </w:rPr>
        <w:t xml:space="preserve"> the </w:t>
      </w:r>
      <w:r w:rsidR="004B22C6">
        <w:rPr>
          <w:rFonts w:cs="Arial"/>
          <w:b/>
          <w:snapToGrid w:val="0"/>
        </w:rPr>
        <w:t>Online Survey Tool</w:t>
      </w:r>
      <w:r w:rsidR="00834A44" w:rsidRPr="009A5185">
        <w:rPr>
          <w:rFonts w:cs="Arial"/>
          <w:snapToGrid w:val="0"/>
        </w:rPr>
        <w:t xml:space="preserve">. </w:t>
      </w:r>
      <w:r w:rsidR="0010643F" w:rsidRPr="009A5185">
        <w:rPr>
          <w:rFonts w:cs="Arial"/>
          <w:snapToGrid w:val="0"/>
        </w:rPr>
        <w:t xml:space="preserve">This will expedite the </w:t>
      </w:r>
      <w:r w:rsidR="004B7172">
        <w:rPr>
          <w:rFonts w:cs="Arial"/>
          <w:snapToGrid w:val="0"/>
        </w:rPr>
        <w:t xml:space="preserve">data entry into the Online Survey Tool </w:t>
      </w:r>
      <w:r w:rsidR="00717501">
        <w:rPr>
          <w:rFonts w:cs="Arial"/>
          <w:snapToGrid w:val="0"/>
        </w:rPr>
        <w:t xml:space="preserve">and </w:t>
      </w:r>
      <w:r w:rsidR="00840E07" w:rsidRPr="009A5185">
        <w:rPr>
          <w:rFonts w:cs="Arial"/>
          <w:snapToGrid w:val="0"/>
        </w:rPr>
        <w:t xml:space="preserve">help to </w:t>
      </w:r>
      <w:r w:rsidR="00834A44" w:rsidRPr="009A5185">
        <w:rPr>
          <w:rFonts w:cs="Arial"/>
          <w:snapToGrid w:val="0"/>
        </w:rPr>
        <w:t xml:space="preserve">avoid the </w:t>
      </w:r>
      <w:r w:rsidR="002360A7">
        <w:rPr>
          <w:rFonts w:cs="Arial"/>
          <w:snapToGrid w:val="0"/>
        </w:rPr>
        <w:t xml:space="preserve">Tool </w:t>
      </w:r>
      <w:r w:rsidR="0034196E">
        <w:rPr>
          <w:rFonts w:cs="Arial"/>
          <w:snapToGrid w:val="0"/>
        </w:rPr>
        <w:t xml:space="preserve">"timing out" after </w:t>
      </w:r>
      <w:r w:rsidR="009C4EE9">
        <w:rPr>
          <w:rFonts w:cs="Arial"/>
          <w:snapToGrid w:val="0"/>
        </w:rPr>
        <w:t>20</w:t>
      </w:r>
      <w:r w:rsidR="0010643F" w:rsidRPr="009A5185">
        <w:rPr>
          <w:rFonts w:cs="Arial"/>
          <w:snapToGrid w:val="0"/>
        </w:rPr>
        <w:t xml:space="preserve"> minutes of idle time (a security precaution). Once </w:t>
      </w:r>
      <w:r w:rsidR="00FF72B9" w:rsidRPr="009A5185">
        <w:rPr>
          <w:rFonts w:cs="Arial"/>
          <w:snapToGrid w:val="0"/>
        </w:rPr>
        <w:t>all</w:t>
      </w:r>
      <w:r w:rsidRPr="009A5185">
        <w:rPr>
          <w:rFonts w:cs="Arial"/>
          <w:snapToGrid w:val="0"/>
        </w:rPr>
        <w:t xml:space="preserve"> the </w:t>
      </w:r>
      <w:r w:rsidR="0010643F" w:rsidRPr="009A5185">
        <w:rPr>
          <w:rFonts w:cs="Arial"/>
          <w:snapToGrid w:val="0"/>
        </w:rPr>
        <w:t>information has been collected</w:t>
      </w:r>
      <w:r w:rsidRPr="009A5185">
        <w:rPr>
          <w:rFonts w:cs="Arial"/>
          <w:snapToGrid w:val="0"/>
        </w:rPr>
        <w:t xml:space="preserve"> and recorded in the hard copy of the </w:t>
      </w:r>
      <w:r w:rsidR="00C14AFF" w:rsidRPr="009A5185">
        <w:rPr>
          <w:rFonts w:cs="Arial"/>
          <w:snapToGrid w:val="0"/>
        </w:rPr>
        <w:t>Survey</w:t>
      </w:r>
      <w:r w:rsidRPr="009A5185">
        <w:rPr>
          <w:rFonts w:cs="Arial"/>
          <w:snapToGrid w:val="0"/>
        </w:rPr>
        <w:t xml:space="preserve">, the CEO or </w:t>
      </w:r>
      <w:r w:rsidR="00E65A40">
        <w:rPr>
          <w:rFonts w:cs="Arial"/>
          <w:snapToGrid w:val="0"/>
        </w:rPr>
        <w:t xml:space="preserve">the CEO’s </w:t>
      </w:r>
      <w:r w:rsidRPr="009A5185">
        <w:rPr>
          <w:rFonts w:cs="Arial"/>
          <w:snapToGrid w:val="0"/>
        </w:rPr>
        <w:t>designee</w:t>
      </w:r>
      <w:r w:rsidR="0010643F" w:rsidRPr="009A5185">
        <w:rPr>
          <w:rFonts w:cs="Arial"/>
          <w:snapToGrid w:val="0"/>
        </w:rPr>
        <w:t xml:space="preserve"> can typically complete t</w:t>
      </w:r>
      <w:r w:rsidR="00ED4FAB" w:rsidRPr="009A5185">
        <w:rPr>
          <w:rFonts w:cs="Arial"/>
          <w:snapToGrid w:val="0"/>
        </w:rPr>
        <w:t>he</w:t>
      </w:r>
      <w:r w:rsidR="009F2794">
        <w:rPr>
          <w:rFonts w:cs="Arial"/>
          <w:snapToGrid w:val="0"/>
        </w:rPr>
        <w:t xml:space="preserve"> </w:t>
      </w:r>
      <w:r w:rsidR="00E17E44">
        <w:rPr>
          <w:rFonts w:cs="Arial"/>
          <w:snapToGrid w:val="0"/>
        </w:rPr>
        <w:t xml:space="preserve">online </w:t>
      </w:r>
      <w:r w:rsidR="009F2794">
        <w:rPr>
          <w:rFonts w:cs="Arial"/>
          <w:snapToGrid w:val="0"/>
        </w:rPr>
        <w:t>data entry</w:t>
      </w:r>
      <w:r w:rsidR="00ED4FAB" w:rsidRPr="009A5185">
        <w:rPr>
          <w:rFonts w:cs="Arial"/>
          <w:snapToGrid w:val="0"/>
        </w:rPr>
        <w:t xml:space="preserve"> in less than </w:t>
      </w:r>
      <w:r w:rsidR="009F2794">
        <w:rPr>
          <w:rFonts w:cs="Arial"/>
          <w:snapToGrid w:val="0"/>
        </w:rPr>
        <w:t>an hour</w:t>
      </w:r>
      <w:r w:rsidR="0010643F" w:rsidRPr="009A5185">
        <w:rPr>
          <w:rFonts w:cs="Arial"/>
          <w:snapToGrid w:val="0"/>
        </w:rPr>
        <w:t xml:space="preserve">. Please note, responses </w:t>
      </w:r>
      <w:r w:rsidR="00676669">
        <w:rPr>
          <w:rFonts w:cs="Arial"/>
          <w:snapToGrid w:val="0"/>
        </w:rPr>
        <w:t xml:space="preserve">must be entered into the </w:t>
      </w:r>
      <w:r w:rsidR="004B22C6">
        <w:rPr>
          <w:rFonts w:cs="Arial"/>
          <w:snapToGrid w:val="0"/>
        </w:rPr>
        <w:t>Online Survey Tool</w:t>
      </w:r>
      <w:r w:rsidR="00676669">
        <w:rPr>
          <w:rFonts w:cs="Arial"/>
          <w:snapToGrid w:val="0"/>
        </w:rPr>
        <w:t xml:space="preserve"> to be submitted</w:t>
      </w:r>
      <w:r w:rsidR="0010643F" w:rsidRPr="009A5185">
        <w:rPr>
          <w:rFonts w:cs="Arial"/>
          <w:snapToGrid w:val="0"/>
        </w:rPr>
        <w:t>.</w:t>
      </w:r>
    </w:p>
    <w:p w14:paraId="2DCCFC8C" w14:textId="199A1BCA" w:rsidR="009C4EE9" w:rsidRPr="00374530" w:rsidRDefault="00777CF3" w:rsidP="00AD309C">
      <w:pPr>
        <w:numPr>
          <w:ilvl w:val="0"/>
          <w:numId w:val="22"/>
        </w:numPr>
        <w:tabs>
          <w:tab w:val="num" w:pos="360"/>
        </w:tabs>
        <w:spacing w:line="276" w:lineRule="auto"/>
        <w:ind w:left="360"/>
        <w:rPr>
          <w:rFonts w:cs="Arial"/>
          <w:snapToGrid w:val="0"/>
        </w:rPr>
      </w:pPr>
      <w:r w:rsidRPr="009A5185">
        <w:rPr>
          <w:rFonts w:cs="Arial"/>
          <w:b/>
          <w:snapToGrid w:val="0"/>
        </w:rPr>
        <w:t xml:space="preserve">Download and review a copy of the </w:t>
      </w:r>
      <w:r w:rsidR="003B6E90">
        <w:rPr>
          <w:rFonts w:cs="Arial"/>
          <w:b/>
          <w:snapToGrid w:val="0"/>
        </w:rPr>
        <w:t xml:space="preserve">Online Survey Tool </w:t>
      </w:r>
      <w:r w:rsidRPr="009A5185">
        <w:rPr>
          <w:rFonts w:cs="Arial"/>
          <w:b/>
          <w:snapToGrid w:val="0"/>
        </w:rPr>
        <w:t>Guide</w:t>
      </w:r>
      <w:r w:rsidR="00E17E44">
        <w:rPr>
          <w:rFonts w:cs="Arial"/>
        </w:rPr>
        <w:t xml:space="preserve"> </w:t>
      </w:r>
      <w:r w:rsidR="007A4266">
        <w:rPr>
          <w:rFonts w:cs="Arial"/>
        </w:rPr>
        <w:t xml:space="preserve">on the </w:t>
      </w:r>
      <w:hyperlink r:id="rId40" w:history="1">
        <w:r w:rsidR="007A4266" w:rsidRPr="00252720">
          <w:rPr>
            <w:rStyle w:val="Hyperlink"/>
            <w:rFonts w:cs="Arial"/>
            <w:snapToGrid w:val="0"/>
          </w:rPr>
          <w:t>Get Started webpage</w:t>
        </w:r>
      </w:hyperlink>
      <w:r w:rsidR="000D26CA">
        <w:t>. It</w:t>
      </w:r>
      <w:r w:rsidR="007A4266">
        <w:rPr>
          <w:rStyle w:val="Hyperlink"/>
          <w:rFonts w:cs="Arial"/>
          <w:snapToGrid w:val="0"/>
          <w:u w:val="none"/>
        </w:rPr>
        <w:t xml:space="preserve"> </w:t>
      </w:r>
      <w:r w:rsidRPr="007A4266">
        <w:rPr>
          <w:rFonts w:cs="Arial"/>
        </w:rPr>
        <w:t>includes</w:t>
      </w:r>
      <w:r w:rsidRPr="009A5185">
        <w:rPr>
          <w:rFonts w:cs="Arial"/>
        </w:rPr>
        <w:t xml:space="preserve"> important instructions on how to navigate the </w:t>
      </w:r>
      <w:r w:rsidR="004B22C6">
        <w:rPr>
          <w:rFonts w:cs="Arial"/>
        </w:rPr>
        <w:t>Online Hospital Survey Tool</w:t>
      </w:r>
      <w:r w:rsidR="000D6757">
        <w:rPr>
          <w:rFonts w:cs="Arial"/>
        </w:rPr>
        <w:t xml:space="preserve">, including instructions on how to verify </w:t>
      </w:r>
      <w:r w:rsidR="00076962">
        <w:rPr>
          <w:rFonts w:cs="Arial"/>
        </w:rPr>
        <w:t xml:space="preserve">that </w:t>
      </w:r>
      <w:r w:rsidR="000D6757">
        <w:rPr>
          <w:rFonts w:cs="Arial"/>
        </w:rPr>
        <w:t xml:space="preserve">your hospital has successfully submitted the Survey. </w:t>
      </w:r>
    </w:p>
    <w:p w14:paraId="6A307153" w14:textId="2D4271CD" w:rsidR="009C4EE9" w:rsidRPr="00374530" w:rsidRDefault="0012573C" w:rsidP="00AD309C">
      <w:pPr>
        <w:numPr>
          <w:ilvl w:val="0"/>
          <w:numId w:val="22"/>
        </w:numPr>
        <w:tabs>
          <w:tab w:val="num" w:pos="360"/>
        </w:tabs>
        <w:spacing w:line="276" w:lineRule="auto"/>
        <w:ind w:left="360"/>
        <w:rPr>
          <w:rFonts w:cs="Arial"/>
          <w:b/>
          <w:snapToGrid w:val="0"/>
        </w:rPr>
      </w:pPr>
      <w:r w:rsidRPr="009A5185">
        <w:rPr>
          <w:rFonts w:cs="Arial"/>
          <w:b/>
        </w:rPr>
        <w:t xml:space="preserve">Check </w:t>
      </w:r>
      <w:r w:rsidR="00C14AFF" w:rsidRPr="009A5185">
        <w:rPr>
          <w:rFonts w:cs="Arial"/>
          <w:b/>
        </w:rPr>
        <w:t>Survey</w:t>
      </w:r>
      <w:r w:rsidRPr="009A5185">
        <w:rPr>
          <w:rFonts w:cs="Arial"/>
          <w:b/>
        </w:rPr>
        <w:t xml:space="preserve"> deadlines. </w:t>
      </w:r>
      <w:r w:rsidR="00C338C0" w:rsidRPr="009A5185">
        <w:rPr>
          <w:rFonts w:cs="Arial"/>
        </w:rPr>
        <w:t xml:space="preserve">Carefully review </w:t>
      </w:r>
      <w:r w:rsidR="00C14AFF" w:rsidRPr="009A5185">
        <w:rPr>
          <w:rFonts w:cs="Arial"/>
        </w:rPr>
        <w:t>Survey</w:t>
      </w:r>
      <w:r w:rsidRPr="009A5185">
        <w:rPr>
          <w:rFonts w:cs="Arial"/>
        </w:rPr>
        <w:t xml:space="preserve"> </w:t>
      </w:r>
      <w:hyperlink r:id="rId41" w:history="1">
        <w:r w:rsidRPr="009A5185">
          <w:rPr>
            <w:rStyle w:val="Hyperlink"/>
            <w:rFonts w:cs="Arial"/>
          </w:rPr>
          <w:t>deadlines</w:t>
        </w:r>
      </w:hyperlink>
      <w:r w:rsidRPr="009A5185">
        <w:rPr>
          <w:rFonts w:cs="Arial"/>
        </w:rPr>
        <w:t xml:space="preserve"> befo</w:t>
      </w:r>
      <w:r w:rsidRPr="00906293">
        <w:rPr>
          <w:rFonts w:cs="Arial"/>
        </w:rPr>
        <w:t>re you begin</w:t>
      </w:r>
      <w:r w:rsidR="00905C82" w:rsidRPr="00906293">
        <w:rPr>
          <w:rFonts w:cs="Arial"/>
        </w:rPr>
        <w:t>.</w:t>
      </w:r>
      <w:r w:rsidR="00905C82" w:rsidRPr="009A5185">
        <w:rPr>
          <w:rFonts w:cs="Arial"/>
        </w:rPr>
        <w:t xml:space="preserve"> </w:t>
      </w:r>
      <w:r w:rsidRPr="009A5185">
        <w:rPr>
          <w:rFonts w:cs="Arial"/>
        </w:rPr>
        <w:t xml:space="preserve">Ensure that you have enough time to collect the data, complete a hard copy of the </w:t>
      </w:r>
      <w:r w:rsidR="00C14AFF" w:rsidRPr="009A5185">
        <w:rPr>
          <w:rFonts w:cs="Arial"/>
        </w:rPr>
        <w:t>Survey</w:t>
      </w:r>
      <w:r w:rsidRPr="009A5185">
        <w:rPr>
          <w:rFonts w:cs="Arial"/>
        </w:rPr>
        <w:t>, and complete and submit</w:t>
      </w:r>
      <w:r w:rsidR="00C14AFF" w:rsidRPr="009A5185">
        <w:rPr>
          <w:rFonts w:cs="Arial"/>
        </w:rPr>
        <w:t xml:space="preserve"> </w:t>
      </w:r>
      <w:r w:rsidR="005559E9">
        <w:rPr>
          <w:rFonts w:cs="Arial"/>
        </w:rPr>
        <w:t xml:space="preserve">the Survey </w:t>
      </w:r>
      <w:r w:rsidR="00C14AFF" w:rsidRPr="009A5185">
        <w:rPr>
          <w:rFonts w:cs="Arial"/>
        </w:rPr>
        <w:t>via</w:t>
      </w:r>
      <w:r w:rsidRPr="009A5185">
        <w:rPr>
          <w:rFonts w:cs="Arial"/>
        </w:rPr>
        <w:t xml:space="preserve"> the </w:t>
      </w:r>
      <w:r w:rsidR="004B22C6">
        <w:rPr>
          <w:rFonts w:cs="Arial"/>
        </w:rPr>
        <w:t>Online Hospital Survey Tool</w:t>
      </w:r>
      <w:r w:rsidRPr="009A5185">
        <w:rPr>
          <w:rFonts w:cs="Arial"/>
        </w:rPr>
        <w:t>.</w:t>
      </w:r>
      <w:r w:rsidR="000D699C" w:rsidRPr="009A5185">
        <w:rPr>
          <w:rFonts w:cs="Arial"/>
        </w:rPr>
        <w:t xml:space="preserve"> </w:t>
      </w:r>
      <w:r w:rsidR="008514D9" w:rsidRPr="008514D9">
        <w:rPr>
          <w:rFonts w:cs="Arial"/>
        </w:rPr>
        <w:t>In addition, for</w:t>
      </w:r>
      <w:r w:rsidR="008514D9">
        <w:rPr>
          <w:rFonts w:cs="Arial"/>
        </w:rPr>
        <w:t xml:space="preserve"> adult</w:t>
      </w:r>
      <w:r w:rsidR="008514D9" w:rsidRPr="008514D9">
        <w:rPr>
          <w:rFonts w:cs="Arial"/>
        </w:rPr>
        <w:t xml:space="preserve"> </w:t>
      </w:r>
      <w:r w:rsidR="00201533">
        <w:rPr>
          <w:rFonts w:cs="Arial"/>
        </w:rPr>
        <w:t xml:space="preserve">and general </w:t>
      </w:r>
      <w:r w:rsidR="008514D9" w:rsidRPr="008514D9">
        <w:rPr>
          <w:rFonts w:cs="Arial"/>
        </w:rPr>
        <w:t>hospitals that have</w:t>
      </w:r>
      <w:r w:rsidR="0080136B">
        <w:rPr>
          <w:rFonts w:cs="Arial"/>
        </w:rPr>
        <w:t xml:space="preserve"> implemented</w:t>
      </w:r>
      <w:r w:rsidR="008514D9" w:rsidRPr="008514D9">
        <w:rPr>
          <w:rFonts w:cs="Arial"/>
        </w:rPr>
        <w:t xml:space="preserve"> CPOE in at least one inpatient unit, make sure you have enough time to take a </w:t>
      </w:r>
      <w:hyperlink r:id="rId42" w:history="1">
        <w:r w:rsidR="008514D9" w:rsidRPr="008514D9">
          <w:rPr>
            <w:rStyle w:val="Hyperlink"/>
          </w:rPr>
          <w:t>CPOE Evaluation Tool</w:t>
        </w:r>
      </w:hyperlink>
      <w:r w:rsidR="001B1322">
        <w:t xml:space="preserve"> test</w:t>
      </w:r>
      <w:r w:rsidR="000D699C" w:rsidRPr="009A5185">
        <w:rPr>
          <w:rFonts w:cs="Arial"/>
        </w:rPr>
        <w:t>.</w:t>
      </w:r>
    </w:p>
    <w:p w14:paraId="07FFD76C" w14:textId="5AF814C2" w:rsidR="00A73A06" w:rsidRPr="00374530" w:rsidRDefault="009C4EE9" w:rsidP="00AD309C">
      <w:pPr>
        <w:numPr>
          <w:ilvl w:val="0"/>
          <w:numId w:val="22"/>
        </w:numPr>
        <w:spacing w:line="276" w:lineRule="auto"/>
        <w:ind w:left="360"/>
        <w:rPr>
          <w:rFonts w:cs="Arial"/>
          <w:snapToGrid w:val="0"/>
        </w:rPr>
      </w:pPr>
      <w:r>
        <w:rPr>
          <w:rFonts w:cs="Arial"/>
          <w:b/>
          <w:bCs/>
          <w:snapToGrid w:val="0"/>
        </w:rPr>
        <w:t xml:space="preserve">Download and review the </w:t>
      </w:r>
      <w:r w:rsidR="00A236B1">
        <w:rPr>
          <w:rFonts w:cs="Arial"/>
          <w:b/>
          <w:bCs/>
          <w:snapToGrid w:val="0"/>
        </w:rPr>
        <w:t>202</w:t>
      </w:r>
      <w:r w:rsidR="00FC1119">
        <w:rPr>
          <w:rFonts w:cs="Arial"/>
          <w:b/>
          <w:bCs/>
          <w:snapToGrid w:val="0"/>
        </w:rPr>
        <w:t>6</w:t>
      </w:r>
      <w:r>
        <w:rPr>
          <w:rFonts w:cs="Arial"/>
          <w:b/>
          <w:bCs/>
          <w:snapToGrid w:val="0"/>
        </w:rPr>
        <w:t xml:space="preserve"> Leapfrog Hospital Survey </w:t>
      </w:r>
      <w:hyperlink r:id="rId43" w:history="1">
        <w:r w:rsidRPr="009C4EE9">
          <w:rPr>
            <w:rStyle w:val="Hyperlink"/>
            <w:rFonts w:cs="Arial"/>
            <w:b/>
            <w:bCs/>
            <w:snapToGrid w:val="0"/>
          </w:rPr>
          <w:t>Scoring Algorithms</w:t>
        </w:r>
      </w:hyperlink>
      <w:r>
        <w:rPr>
          <w:rFonts w:cs="Arial"/>
          <w:b/>
          <w:bCs/>
          <w:snapToGrid w:val="0"/>
        </w:rPr>
        <w:t>.</w:t>
      </w:r>
    </w:p>
    <w:p w14:paraId="4446D74C" w14:textId="2AB270B5" w:rsidR="00A73A06" w:rsidRDefault="006E26E4" w:rsidP="00AD309C">
      <w:pPr>
        <w:numPr>
          <w:ilvl w:val="0"/>
          <w:numId w:val="22"/>
        </w:numPr>
        <w:spacing w:line="276" w:lineRule="auto"/>
        <w:ind w:left="360"/>
      </w:pPr>
      <w:r w:rsidRPr="009A5185">
        <w:rPr>
          <w:rFonts w:cs="Arial"/>
          <w:noProof/>
        </w:rPr>
        <mc:AlternateContent>
          <mc:Choice Requires="wps">
            <w:drawing>
              <wp:anchor distT="0" distB="0" distL="114300" distR="114300" simplePos="0" relativeHeight="251658241" behindDoc="0" locked="0" layoutInCell="1" allowOverlap="1" wp14:anchorId="4AC979C3" wp14:editId="44AA3172">
                <wp:simplePos x="0" y="0"/>
                <wp:positionH relativeFrom="margin">
                  <wp:posOffset>428625</wp:posOffset>
                </wp:positionH>
                <wp:positionV relativeFrom="margin">
                  <wp:posOffset>7723505</wp:posOffset>
                </wp:positionV>
                <wp:extent cx="5059680" cy="571500"/>
                <wp:effectExtent l="0" t="0" r="26670" b="19050"/>
                <wp:wrapSquare wrapText="bothSides"/>
                <wp:docPr id="1" name="Text Box 1" descr="P398TB39#y1"/>
                <wp:cNvGraphicFramePr/>
                <a:graphic xmlns:a="http://schemas.openxmlformats.org/drawingml/2006/main">
                  <a:graphicData uri="http://schemas.microsoft.com/office/word/2010/wordprocessingShape">
                    <wps:wsp>
                      <wps:cNvSpPr txBox="1"/>
                      <wps:spPr>
                        <a:xfrm>
                          <a:off x="0" y="0"/>
                          <a:ext cx="5059680" cy="5715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2DCBFDC" w14:textId="727DA91D" w:rsidR="00322A3C" w:rsidRPr="00ED4FAB" w:rsidRDefault="00322A3C" w:rsidP="007D0C84">
                            <w:r>
                              <w:rPr>
                                <w:b/>
                              </w:rPr>
                              <w:t>Leapfrog Hospital Survey Binder</w:t>
                            </w:r>
                            <w:r w:rsidR="008048E4">
                              <w:rPr>
                                <w:b/>
                              </w:rPr>
                              <w:t xml:space="preserve">: </w:t>
                            </w:r>
                            <w:r w:rsidR="0027255A">
                              <w:t xml:space="preserve">Hospitals should </w:t>
                            </w:r>
                            <w:r>
                              <w:t xml:space="preserve">utilize the </w:t>
                            </w:r>
                            <w:r w:rsidR="0027255A">
                              <w:t xml:space="preserve">Leapfrog Hospital Survey Binder </w:t>
                            </w:r>
                            <w:r>
                              <w:t xml:space="preserve">to assist in organizing the documentation used to complete the </w:t>
                            </w:r>
                            <w:r w:rsidR="00BF01EE">
                              <w:t>S</w:t>
                            </w:r>
                            <w:r>
                              <w:t xml:space="preserve">urvey. Download a copy of the binder on the </w:t>
                            </w:r>
                            <w:hyperlink r:id="rId44" w:history="1">
                              <w:r w:rsidRPr="00C338C0">
                                <w:rPr>
                                  <w:rStyle w:val="Hyperlink"/>
                                </w:rPr>
                                <w:t>Survey and CPOE Materials webpage</w:t>
                              </w:r>
                            </w:hyperlink>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C979C3" id="_x0000_t202" coordsize="21600,21600" o:spt="202" path="m,l,21600r21600,l21600,xe">
                <v:stroke joinstyle="miter"/>
                <v:path gradientshapeok="t" o:connecttype="rect"/>
              </v:shapetype>
              <v:shape id="Text Box 1" o:spid="_x0000_s1026" type="#_x0000_t202" alt="P398TB39#y1" style="position:absolute;left:0;text-align:left;margin-left:33.75pt;margin-top:608.15pt;width:398.4pt;height:45pt;z-index:25165824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" fillcolor="white [3201]" strokecolor="#9bbb59 [3206]" strokeweight="2pt">
                <v:textbox>
                  <w:txbxContent>
                    <w:p w14:paraId="42DCBFDC" w14:textId="727DA91D" w:rsidR="00322A3C" w:rsidRPr="00ED4FAB" w:rsidRDefault="00322A3C" w:rsidP="007D0C84">
                      <w:r>
                        <w:rPr>
                          <w:b/>
                        </w:rPr>
                        <w:t>Leapfrog Hospital Survey Binder</w:t>
                      </w:r>
                      <w:r w:rsidR="008048E4">
                        <w:rPr>
                          <w:b/>
                        </w:rPr>
                        <w:t xml:space="preserve">: </w:t>
                      </w:r>
                      <w:r w:rsidR="0027255A">
                        <w:t xml:space="preserve">Hospitals should </w:t>
                      </w:r>
                      <w:r>
                        <w:t xml:space="preserve">utilize the </w:t>
                      </w:r>
                      <w:r w:rsidR="0027255A">
                        <w:t xml:space="preserve">Leapfrog Hospital Survey Binder </w:t>
                      </w:r>
                      <w:r>
                        <w:t xml:space="preserve">to assist in organizing the documentation used to complete the </w:t>
                      </w:r>
                      <w:r w:rsidR="00BF01EE">
                        <w:t>S</w:t>
                      </w:r>
                      <w:r>
                        <w:t xml:space="preserve">urvey. Download a copy of the binder on the </w:t>
                      </w:r>
                      <w:hyperlink r:id="rId45" w:history="1">
                        <w:r w:rsidRPr="00C338C0">
                          <w:rPr>
                            <w:rStyle w:val="Hyperlink"/>
                          </w:rPr>
                          <w:t>Survey and CPOE Materials webpage</w:t>
                        </w:r>
                      </w:hyperlink>
                      <w:r>
                        <w:t>.</w:t>
                      </w:r>
                    </w:p>
                  </w:txbxContent>
                </v:textbox>
                <w10:wrap type="square" anchorx="margin" anchory="margin"/>
              </v:shape>
            </w:pict>
          </mc:Fallback>
        </mc:AlternateContent>
      </w:r>
      <w:r w:rsidR="00ED474B" w:rsidRPr="00A73A06">
        <w:rPr>
          <w:rFonts w:cs="Arial"/>
          <w:b/>
          <w:snapToGrid w:val="0"/>
        </w:rPr>
        <w:t>Review Leapfrog’s policies and procedures regarding data accuracy</w:t>
      </w:r>
      <w:r w:rsidR="00C338C0" w:rsidRPr="00A73A06">
        <w:rPr>
          <w:rFonts w:cs="Arial"/>
          <w:snapToGrid w:val="0"/>
        </w:rPr>
        <w:t xml:space="preserve">. Detailed information can be found on the </w:t>
      </w:r>
      <w:hyperlink r:id="rId46" w:history="1">
        <w:r w:rsidR="00C338C0" w:rsidRPr="00A73A06">
          <w:rPr>
            <w:rStyle w:val="Hyperlink"/>
            <w:rFonts w:cs="Arial"/>
            <w:snapToGrid w:val="0"/>
          </w:rPr>
          <w:t>Data Accuracy webpage</w:t>
        </w:r>
      </w:hyperlink>
      <w:r w:rsidR="00C338C0" w:rsidRPr="00A73A06">
        <w:rPr>
          <w:rFonts w:cs="Arial"/>
          <w:snapToGrid w:val="0"/>
        </w:rPr>
        <w:t>.</w:t>
      </w:r>
      <w:r w:rsidR="000D6757" w:rsidRPr="00A73A06">
        <w:rPr>
          <w:rFonts w:cs="Arial"/>
          <w:snapToGrid w:val="0"/>
        </w:rPr>
        <w:t xml:space="preserve"> </w:t>
      </w:r>
    </w:p>
    <w:p w14:paraId="1072BA85" w14:textId="32947DA0" w:rsidR="0010643F" w:rsidRPr="00D62E76" w:rsidRDefault="00E748C5" w:rsidP="00CF5A6E">
      <w:pPr>
        <w:pStyle w:val="Heading2"/>
      </w:pPr>
      <w:bookmarkStart w:id="23" w:name="_Toc225877640"/>
      <w:r w:rsidRPr="009A5185">
        <w:lastRenderedPageBreak/>
        <w:t>Instructions for Submitting a Leapfrog Hospital Survey</w:t>
      </w:r>
      <w:bookmarkEnd w:id="23"/>
    </w:p>
    <w:p w14:paraId="1C6A2A47" w14:textId="3722A0CC" w:rsidR="00E748C5" w:rsidRPr="00AB037D" w:rsidRDefault="00E748C5" w:rsidP="0010643F">
      <w:pPr>
        <w:rPr>
          <w:rFonts w:cs="Arial"/>
          <w:b/>
          <w:iCs/>
        </w:rPr>
      </w:pPr>
    </w:p>
    <w:p w14:paraId="2FE4B4D8" w14:textId="77777777" w:rsidR="00A02948" w:rsidRPr="009A5185" w:rsidRDefault="00244C90" w:rsidP="00244C90">
      <w:pPr>
        <w:rPr>
          <w:rFonts w:cs="Arial"/>
          <w:snapToGrid w:val="0"/>
        </w:rPr>
      </w:pPr>
      <w:r w:rsidRPr="009A5185">
        <w:rPr>
          <w:rFonts w:cs="Arial"/>
          <w:b/>
          <w:snapToGrid w:val="0"/>
          <w:color w:val="FF0000"/>
        </w:rPr>
        <w:t>Important Note</w:t>
      </w:r>
      <w:r w:rsidR="00A02948" w:rsidRPr="009A5185">
        <w:rPr>
          <w:rFonts w:cs="Arial"/>
          <w:b/>
          <w:snapToGrid w:val="0"/>
          <w:color w:val="FF0000"/>
        </w:rPr>
        <w:t>s</w:t>
      </w:r>
      <w:r w:rsidRPr="009A5185">
        <w:rPr>
          <w:rFonts w:cs="Arial"/>
          <w:b/>
          <w:snapToGrid w:val="0"/>
          <w:color w:val="FF0000"/>
        </w:rPr>
        <w:t>:</w:t>
      </w:r>
      <w:r w:rsidRPr="009A5185">
        <w:rPr>
          <w:rFonts w:cs="Arial"/>
          <w:snapToGrid w:val="0"/>
        </w:rPr>
        <w:t xml:space="preserve"> </w:t>
      </w:r>
    </w:p>
    <w:p w14:paraId="73FA8E25" w14:textId="34D27830" w:rsidR="00A02948" w:rsidRPr="009A5185" w:rsidRDefault="00A02948" w:rsidP="00244C90">
      <w:pPr>
        <w:rPr>
          <w:rFonts w:cs="Arial"/>
          <w:snapToGrid w:val="0"/>
        </w:rPr>
      </w:pPr>
    </w:p>
    <w:p w14:paraId="6E2C0CD0" w14:textId="19B2E16A" w:rsidR="00244C90" w:rsidRPr="009A5185" w:rsidRDefault="00A02948" w:rsidP="00244C90">
      <w:pPr>
        <w:rPr>
          <w:rFonts w:cs="Arial"/>
        </w:rPr>
      </w:pPr>
      <w:r w:rsidRPr="009A5185">
        <w:rPr>
          <w:rFonts w:cs="Arial"/>
          <w:snapToGrid w:val="0"/>
        </w:rPr>
        <w:t xml:space="preserve">Note 1: </w:t>
      </w:r>
      <w:r w:rsidR="007955DF" w:rsidRPr="009A5185">
        <w:rPr>
          <w:rFonts w:cs="Arial"/>
          <w:snapToGrid w:val="0"/>
        </w:rPr>
        <w:t xml:space="preserve">Please carefully review these instructions </w:t>
      </w:r>
      <w:r w:rsidR="00244C90" w:rsidRPr="009A5185">
        <w:rPr>
          <w:rFonts w:cs="Arial"/>
          <w:snapToGrid w:val="0"/>
        </w:rPr>
        <w:t xml:space="preserve">and the </w:t>
      </w:r>
      <w:hyperlink r:id="rId47" w:history="1">
        <w:r w:rsidR="003B6E90">
          <w:rPr>
            <w:rStyle w:val="Hyperlink"/>
            <w:rFonts w:cs="Arial"/>
            <w:snapToGrid w:val="0"/>
          </w:rPr>
          <w:t>Online Survey Tool Guide</w:t>
        </w:r>
      </w:hyperlink>
      <w:r w:rsidR="00244C90" w:rsidRPr="009A5185">
        <w:rPr>
          <w:rFonts w:cs="Arial"/>
          <w:snapToGrid w:val="0"/>
        </w:rPr>
        <w:t xml:space="preserve"> </w:t>
      </w:r>
      <w:r w:rsidR="007955DF" w:rsidRPr="009A5185">
        <w:rPr>
          <w:rFonts w:cs="Arial"/>
          <w:snapToGrid w:val="0"/>
        </w:rPr>
        <w:t>before you begin</w:t>
      </w:r>
      <w:r w:rsidR="00F81183" w:rsidRPr="009A5185">
        <w:rPr>
          <w:rFonts w:cs="Arial"/>
          <w:snapToGrid w:val="0"/>
        </w:rPr>
        <w:t>.</w:t>
      </w:r>
    </w:p>
    <w:p w14:paraId="2AF46CA4" w14:textId="77777777" w:rsidR="00244C90" w:rsidRPr="009A5185" w:rsidRDefault="00244C90" w:rsidP="0010643F">
      <w:pPr>
        <w:rPr>
          <w:rFonts w:cs="Arial"/>
          <w:snapToGrid w:val="0"/>
        </w:rPr>
      </w:pPr>
    </w:p>
    <w:p w14:paraId="7DF8AAC3" w14:textId="6388F2EA" w:rsidR="0010643F" w:rsidRPr="009A5185" w:rsidRDefault="00A02948" w:rsidP="0010643F">
      <w:pPr>
        <w:rPr>
          <w:rFonts w:cs="Arial"/>
          <w:snapToGrid w:val="0"/>
        </w:rPr>
      </w:pPr>
      <w:r w:rsidRPr="009A5185">
        <w:rPr>
          <w:rFonts w:cs="Arial"/>
          <w:snapToGrid w:val="0"/>
        </w:rPr>
        <w:t>Note 2</w:t>
      </w:r>
      <w:r w:rsidR="00244C90" w:rsidRPr="009A5185">
        <w:rPr>
          <w:rFonts w:cs="Arial"/>
          <w:snapToGrid w:val="0"/>
        </w:rPr>
        <w:t xml:space="preserve">: </w:t>
      </w:r>
      <w:r w:rsidR="00E87ECC" w:rsidRPr="009A5185">
        <w:rPr>
          <w:rFonts w:cs="Arial"/>
          <w:snapToGrid w:val="0"/>
        </w:rPr>
        <w:t xml:space="preserve">Each section of the </w:t>
      </w:r>
      <w:r w:rsidR="00C14AFF" w:rsidRPr="009A5185">
        <w:rPr>
          <w:rFonts w:cs="Arial"/>
          <w:snapToGrid w:val="0"/>
        </w:rPr>
        <w:t>Survey</w:t>
      </w:r>
      <w:r w:rsidR="00E87ECC" w:rsidRPr="009A5185">
        <w:rPr>
          <w:rFonts w:cs="Arial"/>
          <w:snapToGrid w:val="0"/>
        </w:rPr>
        <w:t xml:space="preserve"> must be completed before it can be affirmed in the </w:t>
      </w:r>
      <w:r w:rsidR="004B22C6">
        <w:rPr>
          <w:rFonts w:cs="Arial"/>
          <w:snapToGrid w:val="0"/>
        </w:rPr>
        <w:t>Online Hospital Survey Tool</w:t>
      </w:r>
      <w:r w:rsidR="00E87ECC" w:rsidRPr="009A5185">
        <w:rPr>
          <w:rFonts w:cs="Arial"/>
          <w:snapToGrid w:val="0"/>
        </w:rPr>
        <w:t xml:space="preserve">. Only sections that are </w:t>
      </w:r>
      <w:r w:rsidR="00E748C5" w:rsidRPr="009A5185">
        <w:rPr>
          <w:rFonts w:cs="Arial"/>
          <w:snapToGrid w:val="0"/>
        </w:rPr>
        <w:t>affirmed ca</w:t>
      </w:r>
      <w:r w:rsidR="009A361A" w:rsidRPr="009A5185">
        <w:rPr>
          <w:rFonts w:cs="Arial"/>
          <w:snapToGrid w:val="0"/>
        </w:rPr>
        <w:t xml:space="preserve">n be submitted. </w:t>
      </w:r>
      <w:r w:rsidR="00E87ECC" w:rsidRPr="009A5185">
        <w:rPr>
          <w:rFonts w:cs="Arial"/>
          <w:snapToGrid w:val="0"/>
        </w:rPr>
        <w:t>Hospitals are responsible for ensuring that each</w:t>
      </w:r>
      <w:r w:rsidR="00020513" w:rsidRPr="009A5185">
        <w:rPr>
          <w:rFonts w:cs="Arial"/>
          <w:snapToGrid w:val="0"/>
        </w:rPr>
        <w:t xml:space="preserve"> submitted section is accurate.</w:t>
      </w:r>
    </w:p>
    <w:p w14:paraId="47BBFD37" w14:textId="77777777" w:rsidR="0010643F" w:rsidRPr="009A5185" w:rsidRDefault="0010643F" w:rsidP="0010643F">
      <w:pPr>
        <w:rPr>
          <w:rFonts w:cs="Arial"/>
        </w:rPr>
      </w:pPr>
    </w:p>
    <w:p w14:paraId="11EE02EC" w14:textId="52B4D784" w:rsidR="0010643F" w:rsidRPr="009A5185" w:rsidRDefault="0010643F" w:rsidP="00AD309C">
      <w:pPr>
        <w:pStyle w:val="ListParagraph"/>
        <w:numPr>
          <w:ilvl w:val="0"/>
          <w:numId w:val="23"/>
        </w:numPr>
        <w:spacing w:after="120"/>
        <w:contextualSpacing w:val="0"/>
        <w:rPr>
          <w:rFonts w:cs="Arial"/>
        </w:rPr>
      </w:pPr>
      <w:r w:rsidRPr="009A5185">
        <w:rPr>
          <w:rFonts w:cs="Arial"/>
        </w:rPr>
        <w:t>L</w:t>
      </w:r>
      <w:r w:rsidR="00837C3E" w:rsidRPr="009A5185">
        <w:rPr>
          <w:rFonts w:cs="Arial"/>
        </w:rPr>
        <w:t xml:space="preserve">og into the </w:t>
      </w:r>
      <w:hyperlink r:id="rId48" w:history="1">
        <w:r w:rsidR="00651640">
          <w:rPr>
            <w:rStyle w:val="Hyperlink"/>
            <w:rFonts w:cs="Arial"/>
          </w:rPr>
          <w:t>Online Hospital Survey Tool</w:t>
        </w:r>
      </w:hyperlink>
      <w:r w:rsidR="00837C3E" w:rsidRPr="009A5185">
        <w:rPr>
          <w:rFonts w:cs="Arial"/>
        </w:rPr>
        <w:t xml:space="preserve"> </w:t>
      </w:r>
      <w:r w:rsidRPr="009A5185">
        <w:rPr>
          <w:rFonts w:cs="Arial"/>
        </w:rPr>
        <w:t>using your 16-digit security code</w:t>
      </w:r>
      <w:r w:rsidR="00020513" w:rsidRPr="009A5185">
        <w:rPr>
          <w:rFonts w:cs="Arial"/>
        </w:rPr>
        <w:t>.</w:t>
      </w:r>
    </w:p>
    <w:p w14:paraId="72F2C656" w14:textId="373672BC" w:rsidR="0010643F" w:rsidRPr="009A5185" w:rsidRDefault="00CC5A68" w:rsidP="00AD309C">
      <w:pPr>
        <w:pStyle w:val="ListParagraph"/>
        <w:numPr>
          <w:ilvl w:val="0"/>
          <w:numId w:val="23"/>
        </w:numPr>
        <w:spacing w:after="120"/>
        <w:contextualSpacing w:val="0"/>
        <w:rPr>
          <w:rFonts w:cs="Arial"/>
          <w:b/>
        </w:rPr>
      </w:pPr>
      <w:r w:rsidRPr="009A5185">
        <w:rPr>
          <w:rFonts w:cs="Arial"/>
        </w:rPr>
        <w:t xml:space="preserve">The first time you log into the </w:t>
      </w:r>
      <w:r w:rsidR="00A236B1">
        <w:rPr>
          <w:rFonts w:cs="Arial"/>
        </w:rPr>
        <w:t>202</w:t>
      </w:r>
      <w:r w:rsidR="00072372">
        <w:rPr>
          <w:rFonts w:cs="Arial"/>
        </w:rPr>
        <w:t>6</w:t>
      </w:r>
      <w:r w:rsidR="00460E9D" w:rsidRPr="009A5185">
        <w:rPr>
          <w:rFonts w:cs="Arial"/>
        </w:rPr>
        <w:t xml:space="preserve"> </w:t>
      </w:r>
      <w:r w:rsidRPr="009A5185">
        <w:rPr>
          <w:rFonts w:cs="Arial"/>
        </w:rPr>
        <w:t>Leapfrog Hospital Survey, you will need to complete and s</w:t>
      </w:r>
      <w:r w:rsidR="008048E4">
        <w:rPr>
          <w:rFonts w:cs="Arial"/>
        </w:rPr>
        <w:t>ubmit</w:t>
      </w:r>
      <w:r w:rsidRPr="009A5185">
        <w:rPr>
          <w:rFonts w:cs="Arial"/>
        </w:rPr>
        <w:t xml:space="preserve"> </w:t>
      </w:r>
      <w:r w:rsidR="008048E4">
        <w:rPr>
          <w:rFonts w:cs="Arial"/>
        </w:rPr>
        <w:t>the Hospital</w:t>
      </w:r>
      <w:r w:rsidRPr="009A5185">
        <w:rPr>
          <w:rFonts w:cs="Arial"/>
        </w:rPr>
        <w:t xml:space="preserve"> Profile. The </w:t>
      </w:r>
      <w:r w:rsidR="00425ED6">
        <w:rPr>
          <w:rFonts w:cs="Arial"/>
        </w:rPr>
        <w:t xml:space="preserve">Hospital </w:t>
      </w:r>
      <w:r w:rsidRPr="009A5185">
        <w:rPr>
          <w:rFonts w:cs="Arial"/>
        </w:rPr>
        <w:t xml:space="preserve">Profile includes demographic and contact </w:t>
      </w:r>
      <w:r w:rsidR="0000024C" w:rsidRPr="009A5185">
        <w:rPr>
          <w:rFonts w:cs="Arial"/>
        </w:rPr>
        <w:t xml:space="preserve">information. The </w:t>
      </w:r>
      <w:r w:rsidR="00425ED6">
        <w:rPr>
          <w:rFonts w:cs="Arial"/>
        </w:rPr>
        <w:t xml:space="preserve">Hospital </w:t>
      </w:r>
      <w:r w:rsidR="0000024C" w:rsidRPr="009A5185">
        <w:rPr>
          <w:rFonts w:cs="Arial"/>
        </w:rPr>
        <w:t>Profile</w:t>
      </w:r>
      <w:r w:rsidRPr="009A5185">
        <w:rPr>
          <w:rFonts w:cs="Arial"/>
        </w:rPr>
        <w:t xml:space="preserve"> should be updated throughout the year if </w:t>
      </w:r>
      <w:r w:rsidR="00AC17D1" w:rsidRPr="009A5185">
        <w:rPr>
          <w:rFonts w:cs="Arial"/>
        </w:rPr>
        <w:t>any information changes</w:t>
      </w:r>
      <w:r w:rsidR="008048E4">
        <w:rPr>
          <w:rFonts w:cs="Arial"/>
        </w:rPr>
        <w:t xml:space="preserve"> and can be accessed at any time</w:t>
      </w:r>
      <w:r w:rsidR="00AC17D1" w:rsidRPr="009A5185">
        <w:rPr>
          <w:rFonts w:cs="Arial"/>
        </w:rPr>
        <w:t xml:space="preserve">. </w:t>
      </w:r>
      <w:r w:rsidR="00A232FD" w:rsidRPr="009A5185">
        <w:rPr>
          <w:rFonts w:cs="Arial"/>
          <w:b/>
        </w:rPr>
        <w:t xml:space="preserve">Failure to </w:t>
      </w:r>
      <w:r w:rsidR="00AC17D1" w:rsidRPr="009A5185">
        <w:rPr>
          <w:rFonts w:cs="Arial"/>
          <w:b/>
        </w:rPr>
        <w:t xml:space="preserve">maintain current </w:t>
      </w:r>
      <w:r w:rsidR="00A232FD" w:rsidRPr="009A5185">
        <w:rPr>
          <w:rFonts w:cs="Arial"/>
          <w:b/>
        </w:rPr>
        <w:t xml:space="preserve">contact information could result in important, time-sensitive information being </w:t>
      </w:r>
      <w:r w:rsidR="008048E4">
        <w:rPr>
          <w:rFonts w:cs="Arial"/>
          <w:b/>
        </w:rPr>
        <w:t xml:space="preserve">missed or </w:t>
      </w:r>
      <w:r w:rsidR="00A232FD" w:rsidRPr="009A5185">
        <w:rPr>
          <w:rFonts w:cs="Arial"/>
          <w:b/>
        </w:rPr>
        <w:t>sent to the wrong person.</w:t>
      </w:r>
      <w:r w:rsidR="004171C1" w:rsidRPr="009A5185">
        <w:rPr>
          <w:rFonts w:cs="Arial"/>
          <w:b/>
        </w:rPr>
        <w:t xml:space="preserve"> </w:t>
      </w:r>
    </w:p>
    <w:p w14:paraId="66AFD0B1" w14:textId="6F0FCAEB" w:rsidR="00F765FB" w:rsidRPr="009A5185" w:rsidRDefault="004171C1" w:rsidP="00AD309C">
      <w:pPr>
        <w:pStyle w:val="ListParagraph"/>
        <w:numPr>
          <w:ilvl w:val="0"/>
          <w:numId w:val="23"/>
        </w:numPr>
        <w:spacing w:after="120"/>
        <w:contextualSpacing w:val="0"/>
        <w:rPr>
          <w:rFonts w:cs="Arial"/>
        </w:rPr>
      </w:pPr>
      <w:r w:rsidRPr="009A5185">
        <w:rPr>
          <w:rFonts w:cs="Arial"/>
        </w:rPr>
        <w:t xml:space="preserve">Once the </w:t>
      </w:r>
      <w:r w:rsidR="00425ED6">
        <w:rPr>
          <w:rFonts w:cs="Arial"/>
        </w:rPr>
        <w:t xml:space="preserve">Hospital </w:t>
      </w:r>
      <w:r w:rsidRPr="009A5185">
        <w:rPr>
          <w:rFonts w:cs="Arial"/>
        </w:rPr>
        <w:t xml:space="preserve">Profile </w:t>
      </w:r>
      <w:r w:rsidR="001E63B1">
        <w:rPr>
          <w:rFonts w:cs="Arial"/>
        </w:rPr>
        <w:t>is</w:t>
      </w:r>
      <w:r w:rsidRPr="009A5185">
        <w:rPr>
          <w:rFonts w:cs="Arial"/>
        </w:rPr>
        <w:t xml:space="preserve"> </w:t>
      </w:r>
      <w:r w:rsidR="008048E4">
        <w:rPr>
          <w:rFonts w:cs="Arial"/>
        </w:rPr>
        <w:t>submitted</w:t>
      </w:r>
      <w:r w:rsidRPr="009A5185">
        <w:rPr>
          <w:rFonts w:cs="Arial"/>
        </w:rPr>
        <w:t xml:space="preserve">, </w:t>
      </w:r>
      <w:r w:rsidR="00F765FB" w:rsidRPr="009A5185">
        <w:rPr>
          <w:rFonts w:cs="Arial"/>
        </w:rPr>
        <w:t xml:space="preserve">you will be taken to the </w:t>
      </w:r>
      <w:r w:rsidR="00534C84">
        <w:rPr>
          <w:rFonts w:cs="Arial"/>
        </w:rPr>
        <w:t>Hospital Survey Dashboard</w:t>
      </w:r>
      <w:r w:rsidR="00F765FB" w:rsidRPr="009A5185">
        <w:rPr>
          <w:rFonts w:cs="Arial"/>
        </w:rPr>
        <w:t xml:space="preserve">. </w:t>
      </w:r>
    </w:p>
    <w:p w14:paraId="01E61575" w14:textId="29B4C8A5" w:rsidR="0010643F" w:rsidRPr="009A5185" w:rsidRDefault="00F765FB" w:rsidP="00AD309C">
      <w:pPr>
        <w:pStyle w:val="ListParagraph"/>
        <w:numPr>
          <w:ilvl w:val="0"/>
          <w:numId w:val="23"/>
        </w:numPr>
        <w:spacing w:after="120"/>
        <w:contextualSpacing w:val="0"/>
        <w:rPr>
          <w:rFonts w:cs="Arial"/>
        </w:rPr>
      </w:pPr>
      <w:r w:rsidRPr="009A5185">
        <w:rPr>
          <w:rFonts w:cs="Arial"/>
        </w:rPr>
        <w:t xml:space="preserve">You can navigate </w:t>
      </w:r>
      <w:r w:rsidR="008048E4">
        <w:rPr>
          <w:rFonts w:cs="Arial"/>
        </w:rPr>
        <w:t>in</w:t>
      </w:r>
      <w:r w:rsidRPr="009A5185">
        <w:rPr>
          <w:rFonts w:cs="Arial"/>
        </w:rPr>
        <w:t xml:space="preserve">to sections of the </w:t>
      </w:r>
      <w:r w:rsidR="004B22C6">
        <w:rPr>
          <w:rFonts w:cs="Arial"/>
        </w:rPr>
        <w:t>Online Hospital Survey Tool</w:t>
      </w:r>
      <w:r w:rsidR="0010643F" w:rsidRPr="009A5185">
        <w:rPr>
          <w:rFonts w:cs="Arial"/>
        </w:rPr>
        <w:t xml:space="preserve"> </w:t>
      </w:r>
      <w:r w:rsidRPr="009A5185">
        <w:rPr>
          <w:rFonts w:cs="Arial"/>
        </w:rPr>
        <w:t>using the link</w:t>
      </w:r>
      <w:r w:rsidR="008048E4">
        <w:rPr>
          <w:rFonts w:cs="Arial"/>
        </w:rPr>
        <w:t>ed section names</w:t>
      </w:r>
      <w:r w:rsidRPr="009A5185">
        <w:rPr>
          <w:rFonts w:cs="Arial"/>
        </w:rPr>
        <w:t xml:space="preserve"> on the </w:t>
      </w:r>
      <w:r w:rsidR="00534C84">
        <w:rPr>
          <w:rFonts w:cs="Arial"/>
        </w:rPr>
        <w:t>Hospital Survey Dashboard</w:t>
      </w:r>
      <w:r w:rsidRPr="009A5185">
        <w:rPr>
          <w:rFonts w:cs="Arial"/>
        </w:rPr>
        <w:t xml:space="preserve">. </w:t>
      </w:r>
      <w:r w:rsidR="007D0C84">
        <w:rPr>
          <w:rFonts w:cs="Arial"/>
        </w:rPr>
        <w:t xml:space="preserve">You can also </w:t>
      </w:r>
      <w:r w:rsidR="007D0C84" w:rsidRPr="009A5185">
        <w:rPr>
          <w:rFonts w:cs="Arial"/>
        </w:rPr>
        <w:t xml:space="preserve">access the CPOE Evaluation Tool </w:t>
      </w:r>
      <w:r w:rsidR="007D0C84">
        <w:rPr>
          <w:rFonts w:cs="Arial"/>
        </w:rPr>
        <w:t xml:space="preserve">immediately after completing the Hospital Profile using the Take CPOE Tool button on the Hospital Survey Dashboard. </w:t>
      </w:r>
      <w:r w:rsidR="00BB2A3B" w:rsidRPr="009A5185">
        <w:rPr>
          <w:rFonts w:cs="Arial"/>
        </w:rPr>
        <w:t xml:space="preserve">More information about navigating </w:t>
      </w:r>
      <w:r w:rsidR="00840E07" w:rsidRPr="009A5185">
        <w:rPr>
          <w:rFonts w:cs="Arial"/>
        </w:rPr>
        <w:t xml:space="preserve">within </w:t>
      </w:r>
      <w:r w:rsidR="00BB2A3B" w:rsidRPr="009A5185">
        <w:rPr>
          <w:rFonts w:cs="Arial"/>
        </w:rPr>
        <w:t xml:space="preserve">the </w:t>
      </w:r>
      <w:r w:rsidR="004B22C6">
        <w:rPr>
          <w:rFonts w:cs="Arial"/>
        </w:rPr>
        <w:t>Online Hospital Survey Tool</w:t>
      </w:r>
      <w:r w:rsidR="00BB2A3B" w:rsidRPr="009A5185">
        <w:rPr>
          <w:rFonts w:cs="Arial"/>
        </w:rPr>
        <w:t xml:space="preserve"> is available in the </w:t>
      </w:r>
      <w:hyperlink r:id="rId49" w:history="1">
        <w:r w:rsidR="003B6E90">
          <w:rPr>
            <w:rStyle w:val="Hyperlink"/>
            <w:rFonts w:cs="Arial"/>
          </w:rPr>
          <w:t>Online Survey Tool Guide</w:t>
        </w:r>
      </w:hyperlink>
      <w:r w:rsidR="00BB2A3B" w:rsidRPr="009A5185">
        <w:rPr>
          <w:rFonts w:cs="Arial"/>
        </w:rPr>
        <w:t>.</w:t>
      </w:r>
    </w:p>
    <w:p w14:paraId="72D1E658" w14:textId="63D9D9A0" w:rsidR="0010643F" w:rsidRPr="009A5185" w:rsidRDefault="008048E4" w:rsidP="00AD309C">
      <w:pPr>
        <w:pStyle w:val="ListParagraph"/>
        <w:numPr>
          <w:ilvl w:val="0"/>
          <w:numId w:val="23"/>
        </w:numPr>
        <w:spacing w:after="120"/>
        <w:contextualSpacing w:val="0"/>
        <w:rPr>
          <w:rFonts w:cs="Arial"/>
        </w:rPr>
      </w:pPr>
      <w:r>
        <w:rPr>
          <w:rFonts w:cs="Arial"/>
        </w:rPr>
        <w:t xml:space="preserve">Within sections, </w:t>
      </w:r>
      <w:r w:rsidR="007D0C84">
        <w:rPr>
          <w:rFonts w:cs="Arial"/>
        </w:rPr>
        <w:t>you</w:t>
      </w:r>
      <w:r>
        <w:rPr>
          <w:rFonts w:cs="Arial"/>
        </w:rPr>
        <w:t xml:space="preserve"> can </w:t>
      </w:r>
      <w:r w:rsidR="00A76714">
        <w:rPr>
          <w:rFonts w:cs="Arial"/>
        </w:rPr>
        <w:t>enter responses to</w:t>
      </w:r>
      <w:r>
        <w:rPr>
          <w:rFonts w:cs="Arial"/>
        </w:rPr>
        <w:t xml:space="preserve"> questions</w:t>
      </w:r>
      <w:r w:rsidR="0010643F" w:rsidRPr="009A5185">
        <w:rPr>
          <w:rFonts w:cs="Arial"/>
        </w:rPr>
        <w:t xml:space="preserve"> </w:t>
      </w:r>
      <w:r>
        <w:rPr>
          <w:rFonts w:cs="Arial"/>
        </w:rPr>
        <w:t>and/</w:t>
      </w:r>
      <w:r w:rsidR="0010643F" w:rsidRPr="009A5185">
        <w:rPr>
          <w:rFonts w:cs="Arial"/>
        </w:rPr>
        <w:t xml:space="preserve">or update responses to previously submitted </w:t>
      </w:r>
      <w:r w:rsidR="00840E07" w:rsidRPr="009A5185">
        <w:rPr>
          <w:rFonts w:cs="Arial"/>
        </w:rPr>
        <w:t>sections</w:t>
      </w:r>
      <w:r w:rsidR="0010643F" w:rsidRPr="009A5185">
        <w:rPr>
          <w:rFonts w:cs="Arial"/>
        </w:rPr>
        <w:t>.</w:t>
      </w:r>
      <w:r w:rsidR="004C2C8C" w:rsidRPr="009A5185">
        <w:rPr>
          <w:rFonts w:cs="Arial"/>
        </w:rPr>
        <w:t xml:space="preserve"> </w:t>
      </w:r>
      <w:r w:rsidR="00F86DF0" w:rsidRPr="009A5185">
        <w:rPr>
          <w:rFonts w:cs="Arial"/>
        </w:rPr>
        <w:t xml:space="preserve">The </w:t>
      </w:r>
      <w:r w:rsidR="004B22C6">
        <w:rPr>
          <w:rFonts w:cs="Arial"/>
        </w:rPr>
        <w:t>Online Hospital Survey Tool</w:t>
      </w:r>
      <w:r w:rsidR="00F86DF0" w:rsidRPr="009A5185">
        <w:rPr>
          <w:rFonts w:cs="Arial"/>
        </w:rPr>
        <w:t xml:space="preserve"> will automatically save your responses as you enter them. There is no </w:t>
      </w:r>
      <w:r w:rsidR="001243C9">
        <w:rPr>
          <w:rFonts w:cs="Arial"/>
        </w:rPr>
        <w:t>“</w:t>
      </w:r>
      <w:r w:rsidR="00F86DF0" w:rsidRPr="009A5185">
        <w:rPr>
          <w:rFonts w:cs="Arial"/>
        </w:rPr>
        <w:t>save</w:t>
      </w:r>
      <w:r w:rsidR="001243C9">
        <w:rPr>
          <w:rFonts w:cs="Arial"/>
        </w:rPr>
        <w:t>”</w:t>
      </w:r>
      <w:r w:rsidR="00F86DF0" w:rsidRPr="009A5185">
        <w:rPr>
          <w:rFonts w:cs="Arial"/>
        </w:rPr>
        <w:t xml:space="preserve"> button. </w:t>
      </w:r>
    </w:p>
    <w:p w14:paraId="797EAAB0" w14:textId="3FA8F28E" w:rsidR="0010643F" w:rsidRPr="009A5185" w:rsidRDefault="009C3715" w:rsidP="00AD309C">
      <w:pPr>
        <w:pStyle w:val="ListParagraph"/>
        <w:numPr>
          <w:ilvl w:val="0"/>
          <w:numId w:val="23"/>
        </w:numPr>
        <w:spacing w:after="120"/>
        <w:contextualSpacing w:val="0"/>
        <w:rPr>
          <w:rFonts w:cs="Arial"/>
        </w:rPr>
      </w:pPr>
      <w:r w:rsidRPr="009A5185">
        <w:rPr>
          <w:rFonts w:cs="Arial"/>
        </w:rPr>
        <w:t xml:space="preserve">Once you have completed each section, you will need to return to the </w:t>
      </w:r>
      <w:r w:rsidR="00534C84">
        <w:rPr>
          <w:rFonts w:cs="Arial"/>
        </w:rPr>
        <w:t>Hospital Survey Dashboard</w:t>
      </w:r>
      <w:r w:rsidRPr="009A5185">
        <w:rPr>
          <w:rFonts w:cs="Arial"/>
        </w:rPr>
        <w:t xml:space="preserve"> to a</w:t>
      </w:r>
      <w:r w:rsidR="0010643F" w:rsidRPr="009A5185">
        <w:rPr>
          <w:rFonts w:cs="Arial"/>
        </w:rPr>
        <w:t>f</w:t>
      </w:r>
      <w:r w:rsidR="00C14AFF" w:rsidRPr="009A5185">
        <w:rPr>
          <w:rFonts w:cs="Arial"/>
        </w:rPr>
        <w:t>firm each section of the S</w:t>
      </w:r>
      <w:r w:rsidR="00907E44" w:rsidRPr="009A5185">
        <w:rPr>
          <w:rFonts w:cs="Arial"/>
        </w:rPr>
        <w:t>urvey. Please remember</w:t>
      </w:r>
      <w:r w:rsidR="0010643F" w:rsidRPr="009A5185">
        <w:rPr>
          <w:rFonts w:cs="Arial"/>
        </w:rPr>
        <w:t xml:space="preserve"> that if </w:t>
      </w:r>
      <w:r w:rsidR="0074262D" w:rsidRPr="009A5185">
        <w:rPr>
          <w:rFonts w:cs="Arial"/>
        </w:rPr>
        <w:t xml:space="preserve">you are </w:t>
      </w:r>
      <w:r w:rsidR="0010643F" w:rsidRPr="009A5185">
        <w:rPr>
          <w:rFonts w:cs="Arial"/>
        </w:rPr>
        <w:t>making updates, all updated sections must be re-affirmed.</w:t>
      </w:r>
      <w:r w:rsidR="008048E4">
        <w:rPr>
          <w:rFonts w:cs="Arial"/>
        </w:rPr>
        <w:t xml:space="preserve"> Please note that affirmed sections are not yet submitted, please review Step 7 below to ensure successful submission. </w:t>
      </w:r>
    </w:p>
    <w:p w14:paraId="0B67284A" w14:textId="12AB6DD6" w:rsidR="0010643F" w:rsidRPr="009A5185" w:rsidRDefault="009C3715" w:rsidP="00AD309C">
      <w:pPr>
        <w:pStyle w:val="ListParagraph"/>
        <w:numPr>
          <w:ilvl w:val="0"/>
          <w:numId w:val="23"/>
        </w:numPr>
        <w:spacing w:after="120"/>
        <w:contextualSpacing w:val="0"/>
        <w:rPr>
          <w:rFonts w:cs="Arial"/>
        </w:rPr>
      </w:pPr>
      <w:r w:rsidRPr="009A5185">
        <w:rPr>
          <w:rFonts w:cs="Arial"/>
        </w:rPr>
        <w:t xml:space="preserve">Before you </w:t>
      </w:r>
      <w:r w:rsidR="0003234D" w:rsidRPr="009A5185">
        <w:rPr>
          <w:rFonts w:cs="Arial"/>
        </w:rPr>
        <w:t>can</w:t>
      </w:r>
      <w:r w:rsidRPr="009A5185">
        <w:rPr>
          <w:rFonts w:cs="Arial"/>
        </w:rPr>
        <w:t xml:space="preserve"> </w:t>
      </w:r>
      <w:r w:rsidR="008048E4">
        <w:rPr>
          <w:rFonts w:cs="Arial"/>
        </w:rPr>
        <w:t>submit the Survey (</w:t>
      </w:r>
      <w:r w:rsidRPr="009A5185">
        <w:rPr>
          <w:rFonts w:cs="Arial"/>
        </w:rPr>
        <w:t xml:space="preserve">select the </w:t>
      </w:r>
      <w:r w:rsidR="00AC17D1" w:rsidRPr="009A5185">
        <w:rPr>
          <w:rFonts w:cs="Arial"/>
        </w:rPr>
        <w:t>“</w:t>
      </w:r>
      <w:r w:rsidRPr="009A5185">
        <w:rPr>
          <w:rFonts w:cs="Arial"/>
          <w:i/>
        </w:rPr>
        <w:t>submit</w:t>
      </w:r>
      <w:r w:rsidR="00AC17D1" w:rsidRPr="009A5185">
        <w:rPr>
          <w:rFonts w:cs="Arial"/>
          <w:i/>
        </w:rPr>
        <w:t xml:space="preserve"> affirmed sections</w:t>
      </w:r>
      <w:r w:rsidR="00AC17D1" w:rsidRPr="009A5185">
        <w:rPr>
          <w:rFonts w:cs="Arial"/>
        </w:rPr>
        <w:t>”</w:t>
      </w:r>
      <w:r w:rsidRPr="009A5185">
        <w:rPr>
          <w:rFonts w:cs="Arial"/>
        </w:rPr>
        <w:t xml:space="preserve"> button on the </w:t>
      </w:r>
      <w:r w:rsidR="00534C84">
        <w:rPr>
          <w:rFonts w:cs="Arial"/>
        </w:rPr>
        <w:t>Hospital Survey Dashboard</w:t>
      </w:r>
      <w:r w:rsidR="008048E4">
        <w:rPr>
          <w:rFonts w:cs="Arial"/>
        </w:rPr>
        <w:t>)</w:t>
      </w:r>
      <w:r w:rsidRPr="009A5185">
        <w:rPr>
          <w:rFonts w:cs="Arial"/>
        </w:rPr>
        <w:t xml:space="preserve">, you will need to </w:t>
      </w:r>
      <w:r w:rsidR="00AC17D1" w:rsidRPr="009A5185">
        <w:rPr>
          <w:rFonts w:cs="Arial"/>
        </w:rPr>
        <w:t>“</w:t>
      </w:r>
      <w:r w:rsidRPr="009A5185">
        <w:rPr>
          <w:rFonts w:cs="Arial"/>
          <w:i/>
        </w:rPr>
        <w:t>check for data review warnings</w:t>
      </w:r>
      <w:r w:rsidRPr="009A5185">
        <w:rPr>
          <w:rFonts w:cs="Arial"/>
        </w:rPr>
        <w:t>.</w:t>
      </w:r>
      <w:r w:rsidR="00AC17D1" w:rsidRPr="009A5185">
        <w:rPr>
          <w:rFonts w:cs="Arial"/>
        </w:rPr>
        <w:t>”</w:t>
      </w:r>
      <w:r w:rsidRPr="009A5185">
        <w:rPr>
          <w:rFonts w:cs="Arial"/>
        </w:rPr>
        <w:t xml:space="preserve"> When you select the </w:t>
      </w:r>
      <w:r w:rsidR="00AC17D1" w:rsidRPr="009A5185">
        <w:rPr>
          <w:rFonts w:cs="Arial"/>
        </w:rPr>
        <w:t>“</w:t>
      </w:r>
      <w:r w:rsidRPr="009A5185">
        <w:rPr>
          <w:rFonts w:cs="Arial"/>
          <w:i/>
        </w:rPr>
        <w:t>check for data review warnings</w:t>
      </w:r>
      <w:r w:rsidR="00AC17D1" w:rsidRPr="009A5185">
        <w:rPr>
          <w:rFonts w:cs="Arial"/>
        </w:rPr>
        <w:t>”</w:t>
      </w:r>
      <w:r w:rsidRPr="009A5185">
        <w:rPr>
          <w:rFonts w:cs="Arial"/>
        </w:rPr>
        <w:t xml:space="preserve"> button,</w:t>
      </w:r>
      <w:r w:rsidR="007955DF" w:rsidRPr="009A5185">
        <w:rPr>
          <w:rFonts w:cs="Arial"/>
        </w:rPr>
        <w:t xml:space="preserve"> </w:t>
      </w:r>
      <w:r w:rsidR="00AC17D1" w:rsidRPr="009A5185">
        <w:rPr>
          <w:rFonts w:cs="Arial"/>
        </w:rPr>
        <w:t xml:space="preserve">the </w:t>
      </w:r>
      <w:r w:rsidR="007955DF" w:rsidRPr="009A5185">
        <w:rPr>
          <w:rFonts w:cs="Arial"/>
        </w:rPr>
        <w:t xml:space="preserve">sections of your </w:t>
      </w:r>
      <w:r w:rsidR="00C14AFF" w:rsidRPr="009A5185">
        <w:rPr>
          <w:rFonts w:cs="Arial"/>
        </w:rPr>
        <w:t>Survey</w:t>
      </w:r>
      <w:r w:rsidR="007955DF" w:rsidRPr="009A5185">
        <w:rPr>
          <w:rFonts w:cs="Arial"/>
        </w:rPr>
        <w:t xml:space="preserve"> that </w:t>
      </w:r>
      <w:r w:rsidR="001E63B1">
        <w:rPr>
          <w:rFonts w:cs="Arial"/>
        </w:rPr>
        <w:t>are</w:t>
      </w:r>
      <w:r w:rsidR="007955DF" w:rsidRPr="009A5185">
        <w:rPr>
          <w:rFonts w:cs="Arial"/>
        </w:rPr>
        <w:t xml:space="preserve"> affirmed will be scanned for potential reporting errors. If any errors are identified, a data review warning message will be generated and </w:t>
      </w:r>
      <w:r w:rsidR="00840E07" w:rsidRPr="009A5185">
        <w:rPr>
          <w:rFonts w:cs="Arial"/>
        </w:rPr>
        <w:t xml:space="preserve">will </w:t>
      </w:r>
      <w:r w:rsidR="007955DF" w:rsidRPr="009A5185">
        <w:rPr>
          <w:rFonts w:cs="Arial"/>
        </w:rPr>
        <w:t xml:space="preserve">appear on the </w:t>
      </w:r>
      <w:r w:rsidR="00534C84">
        <w:rPr>
          <w:rFonts w:cs="Arial"/>
        </w:rPr>
        <w:t>Hospital Survey Dashboard</w:t>
      </w:r>
      <w:r w:rsidR="007955DF" w:rsidRPr="009A5185">
        <w:rPr>
          <w:rFonts w:cs="Arial"/>
        </w:rPr>
        <w:t>.</w:t>
      </w:r>
      <w:r w:rsidR="00A117F0" w:rsidRPr="009A5185">
        <w:rPr>
          <w:rFonts w:cs="Arial"/>
        </w:rPr>
        <w:t xml:space="preserve"> </w:t>
      </w:r>
    </w:p>
    <w:p w14:paraId="0F814639" w14:textId="1BA9C05A" w:rsidR="009C3715" w:rsidRPr="009A5185" w:rsidRDefault="009A122F" w:rsidP="00AD309C">
      <w:pPr>
        <w:pStyle w:val="ListParagraph"/>
        <w:numPr>
          <w:ilvl w:val="0"/>
          <w:numId w:val="23"/>
        </w:numPr>
        <w:spacing w:after="120"/>
        <w:contextualSpacing w:val="0"/>
        <w:rPr>
          <w:rFonts w:cs="Arial"/>
        </w:rPr>
      </w:pPr>
      <w:r w:rsidRPr="009A5185">
        <w:rPr>
          <w:rFonts w:cs="Arial"/>
        </w:rPr>
        <w:t xml:space="preserve">If any </w:t>
      </w:r>
      <w:hyperlink r:id="rId50" w:history="1">
        <w:r w:rsidRPr="009A5185">
          <w:rPr>
            <w:rStyle w:val="Hyperlink"/>
            <w:rFonts w:cs="Arial"/>
          </w:rPr>
          <w:t>data review warnings</w:t>
        </w:r>
      </w:hyperlink>
      <w:r w:rsidRPr="009A5185">
        <w:rPr>
          <w:rFonts w:cs="Arial"/>
        </w:rPr>
        <w:t xml:space="preserve"> are generated, </w:t>
      </w:r>
      <w:r>
        <w:rPr>
          <w:rFonts w:cs="Arial"/>
        </w:rPr>
        <w:t>you will still be able to submit your Survey. However, you</w:t>
      </w:r>
      <w:r w:rsidRPr="009A5185">
        <w:rPr>
          <w:rFonts w:cs="Arial"/>
        </w:rPr>
        <w:t xml:space="preserve"> </w:t>
      </w:r>
      <w:r>
        <w:rPr>
          <w:rFonts w:cs="Arial"/>
        </w:rPr>
        <w:t>will need to</w:t>
      </w:r>
      <w:r w:rsidRPr="009A5185">
        <w:rPr>
          <w:rFonts w:cs="Arial"/>
        </w:rPr>
        <w:t xml:space="preserve"> address </w:t>
      </w:r>
      <w:r>
        <w:rPr>
          <w:rFonts w:cs="Arial"/>
        </w:rPr>
        <w:t>the potential reporting errors identified during the scan</w:t>
      </w:r>
      <w:r w:rsidRPr="009A5185">
        <w:rPr>
          <w:rFonts w:cs="Arial"/>
        </w:rPr>
        <w:t xml:space="preserve"> or risk having</w:t>
      </w:r>
      <w:r>
        <w:rPr>
          <w:rFonts w:cs="Arial"/>
        </w:rPr>
        <w:t xml:space="preserve"> the</w:t>
      </w:r>
      <w:r w:rsidRPr="009A5185">
        <w:rPr>
          <w:rFonts w:cs="Arial"/>
        </w:rPr>
        <w:t xml:space="preserve"> related sections of your Survey decertified</w:t>
      </w:r>
      <w:r>
        <w:rPr>
          <w:rFonts w:cs="Arial"/>
        </w:rPr>
        <w:t xml:space="preserve"> </w:t>
      </w:r>
      <w:bookmarkStart w:id="24" w:name="_Hlk130906823"/>
      <w:r>
        <w:rPr>
          <w:rFonts w:cs="Arial"/>
        </w:rPr>
        <w:t>(publicly reported as “Declined to Re</w:t>
      </w:r>
      <w:r w:rsidR="001E293E">
        <w:rPr>
          <w:rFonts w:cs="Arial"/>
        </w:rPr>
        <w:t>port</w:t>
      </w:r>
      <w:r>
        <w:rPr>
          <w:rFonts w:cs="Arial"/>
        </w:rPr>
        <w:t>”)</w:t>
      </w:r>
      <w:bookmarkEnd w:id="24"/>
      <w:r w:rsidR="00EB7561" w:rsidRPr="009A5185">
        <w:rPr>
          <w:rFonts w:cs="Arial"/>
        </w:rPr>
        <w:t xml:space="preserve">. </w:t>
      </w:r>
      <w:r w:rsidR="00BF01EE">
        <w:rPr>
          <w:rFonts w:cs="Arial"/>
        </w:rPr>
        <w:t xml:space="preserve">Please note </w:t>
      </w:r>
      <w:r w:rsidR="008048E4">
        <w:rPr>
          <w:rFonts w:cs="Arial"/>
        </w:rPr>
        <w:t>t</w:t>
      </w:r>
      <w:r w:rsidR="008048E4" w:rsidRPr="008048E4">
        <w:rPr>
          <w:rFonts w:cs="Arial"/>
        </w:rPr>
        <w:t xml:space="preserve">his </w:t>
      </w:r>
      <w:r w:rsidR="008048E4">
        <w:rPr>
          <w:rFonts w:cs="Arial"/>
        </w:rPr>
        <w:t>may not be</w:t>
      </w:r>
      <w:r w:rsidR="008048E4" w:rsidRPr="008048E4">
        <w:rPr>
          <w:rFonts w:cs="Arial"/>
        </w:rPr>
        <w:t xml:space="preserve"> a comprehensive list</w:t>
      </w:r>
      <w:r w:rsidR="008048E4">
        <w:rPr>
          <w:rFonts w:cs="Arial"/>
        </w:rPr>
        <w:t xml:space="preserve"> – </w:t>
      </w:r>
      <w:r w:rsidR="007D0C84">
        <w:rPr>
          <w:rFonts w:cs="Arial"/>
        </w:rPr>
        <w:t>you</w:t>
      </w:r>
      <w:r w:rsidR="008048E4" w:rsidRPr="008048E4">
        <w:rPr>
          <w:rFonts w:cs="Arial"/>
        </w:rPr>
        <w:t xml:space="preserve"> may still receive additional data verification messages via email.</w:t>
      </w:r>
    </w:p>
    <w:p w14:paraId="6D6FBA0B" w14:textId="4046C530" w:rsidR="0010643F" w:rsidRPr="009A5185" w:rsidRDefault="007C52BA" w:rsidP="00AD309C">
      <w:pPr>
        <w:pStyle w:val="ListParagraph"/>
        <w:numPr>
          <w:ilvl w:val="0"/>
          <w:numId w:val="23"/>
        </w:numPr>
        <w:spacing w:after="120"/>
        <w:contextualSpacing w:val="0"/>
        <w:rPr>
          <w:rFonts w:cs="Arial"/>
        </w:rPr>
      </w:pPr>
      <w:r w:rsidRPr="009A5185">
        <w:rPr>
          <w:rFonts w:cs="Arial"/>
        </w:rPr>
        <w:t>Once you have checked for data review warning</w:t>
      </w:r>
      <w:r w:rsidR="00840E07" w:rsidRPr="009A5185">
        <w:rPr>
          <w:rFonts w:cs="Arial"/>
        </w:rPr>
        <w:t>s</w:t>
      </w:r>
      <w:r w:rsidRPr="009A5185">
        <w:rPr>
          <w:rFonts w:cs="Arial"/>
        </w:rPr>
        <w:t xml:space="preserve">, you can </w:t>
      </w:r>
      <w:r w:rsidR="0010643F" w:rsidRPr="009A5185">
        <w:rPr>
          <w:rFonts w:cs="Arial"/>
        </w:rPr>
        <w:t xml:space="preserve">select the </w:t>
      </w:r>
      <w:r w:rsidR="00AC17D1" w:rsidRPr="009A5185">
        <w:rPr>
          <w:rFonts w:cs="Arial"/>
        </w:rPr>
        <w:t>“</w:t>
      </w:r>
      <w:r w:rsidR="00AC17D1" w:rsidRPr="009A5185">
        <w:rPr>
          <w:rFonts w:cs="Arial"/>
          <w:i/>
        </w:rPr>
        <w:t>submit affirmed sections</w:t>
      </w:r>
      <w:r w:rsidR="00AC17D1" w:rsidRPr="009A5185">
        <w:rPr>
          <w:rFonts w:cs="Arial"/>
        </w:rPr>
        <w:t>”</w:t>
      </w:r>
      <w:r w:rsidRPr="009A5185">
        <w:rPr>
          <w:rFonts w:cs="Arial"/>
        </w:rPr>
        <w:t xml:space="preserve"> button</w:t>
      </w:r>
      <w:r w:rsidR="008048E4">
        <w:rPr>
          <w:rFonts w:cs="Arial"/>
        </w:rPr>
        <w:t xml:space="preserve"> to submit the Survey</w:t>
      </w:r>
      <w:r w:rsidRPr="009A5185">
        <w:rPr>
          <w:rFonts w:cs="Arial"/>
        </w:rPr>
        <w:t>.</w:t>
      </w:r>
      <w:r w:rsidR="00A87095" w:rsidRPr="00A87095">
        <w:rPr>
          <w:rFonts w:cs="Arial"/>
        </w:rPr>
        <w:t xml:space="preserve"> </w:t>
      </w:r>
      <w:r w:rsidR="00A87095">
        <w:rPr>
          <w:rFonts w:cs="Arial"/>
        </w:rPr>
        <w:t>Please review the Section Status column on the Hospital Survey Dashboard to verify which sections have been submitted.</w:t>
      </w:r>
    </w:p>
    <w:p w14:paraId="724120D1" w14:textId="4F03187E" w:rsidR="0010643F" w:rsidRPr="009A5185" w:rsidRDefault="00015E7F" w:rsidP="00AD309C">
      <w:pPr>
        <w:pStyle w:val="ListParagraph"/>
        <w:numPr>
          <w:ilvl w:val="0"/>
          <w:numId w:val="23"/>
        </w:numPr>
        <w:spacing w:after="120"/>
        <w:contextualSpacing w:val="0"/>
        <w:rPr>
          <w:rFonts w:cs="Arial"/>
        </w:rPr>
      </w:pPr>
      <w:r w:rsidRPr="009A5185">
        <w:rPr>
          <w:rFonts w:cs="Arial"/>
        </w:rPr>
        <w:t>Use the “</w:t>
      </w:r>
      <w:r w:rsidRPr="009A5185">
        <w:rPr>
          <w:rFonts w:cs="Arial"/>
          <w:i/>
        </w:rPr>
        <w:t xml:space="preserve">Print Last Submitted </w:t>
      </w:r>
      <w:r w:rsidR="00C14AFF" w:rsidRPr="009A5185">
        <w:rPr>
          <w:rFonts w:cs="Arial"/>
          <w:i/>
        </w:rPr>
        <w:t>Survey</w:t>
      </w:r>
      <w:r w:rsidRPr="009A5185">
        <w:rPr>
          <w:rFonts w:cs="Arial"/>
          <w:i/>
        </w:rPr>
        <w:t xml:space="preserve">” </w:t>
      </w:r>
      <w:r w:rsidRPr="009A5185">
        <w:rPr>
          <w:rFonts w:cs="Arial"/>
        </w:rPr>
        <w:t xml:space="preserve">button on the </w:t>
      </w:r>
      <w:r w:rsidR="00534C84">
        <w:rPr>
          <w:rFonts w:cs="Arial"/>
        </w:rPr>
        <w:t>Hospital Survey Dashboard</w:t>
      </w:r>
      <w:r w:rsidRPr="009A5185">
        <w:rPr>
          <w:rFonts w:cs="Arial"/>
        </w:rPr>
        <w:t xml:space="preserve"> to print a copy of your </w:t>
      </w:r>
      <w:r w:rsidR="00A87095">
        <w:rPr>
          <w:rFonts w:cs="Arial"/>
        </w:rPr>
        <w:t>Last S</w:t>
      </w:r>
      <w:r w:rsidR="00840E07" w:rsidRPr="009A5185">
        <w:rPr>
          <w:rFonts w:cs="Arial"/>
        </w:rPr>
        <w:t xml:space="preserve">ubmitted </w:t>
      </w:r>
      <w:r w:rsidR="00C14AFF" w:rsidRPr="009A5185">
        <w:rPr>
          <w:rFonts w:cs="Arial"/>
        </w:rPr>
        <w:t>Survey</w:t>
      </w:r>
      <w:r w:rsidRPr="009A5185">
        <w:rPr>
          <w:rFonts w:cs="Arial"/>
        </w:rPr>
        <w:t xml:space="preserve"> and review it for </w:t>
      </w:r>
      <w:r w:rsidR="004C2C8C" w:rsidRPr="009A5185">
        <w:rPr>
          <w:rFonts w:cs="Arial"/>
        </w:rPr>
        <w:t>accuracy and completeness. Remember, s</w:t>
      </w:r>
      <w:r w:rsidR="0010643F" w:rsidRPr="009A5185">
        <w:rPr>
          <w:rFonts w:cs="Arial"/>
        </w:rPr>
        <w:t>ections that are not affirmed will not be submitted.</w:t>
      </w:r>
      <w:r w:rsidR="004C2C8C" w:rsidRPr="009A5185">
        <w:rPr>
          <w:rFonts w:cs="Arial"/>
        </w:rPr>
        <w:t xml:space="preserve"> </w:t>
      </w:r>
    </w:p>
    <w:p w14:paraId="3861EFDD" w14:textId="5A967654" w:rsidR="00F279E1" w:rsidRDefault="00F279E1" w:rsidP="00AD309C">
      <w:pPr>
        <w:pStyle w:val="ListParagraph"/>
        <w:numPr>
          <w:ilvl w:val="0"/>
          <w:numId w:val="23"/>
        </w:numPr>
        <w:spacing w:after="120"/>
        <w:contextualSpacing w:val="0"/>
        <w:rPr>
          <w:rFonts w:cs="Arial"/>
        </w:rPr>
      </w:pPr>
      <w:r>
        <w:rPr>
          <w:rFonts w:cs="Arial"/>
        </w:rPr>
        <w:t xml:space="preserve">Review the </w:t>
      </w:r>
      <w:r w:rsidR="00A236B1">
        <w:rPr>
          <w:rFonts w:cs="Arial"/>
        </w:rPr>
        <w:t>202</w:t>
      </w:r>
      <w:r w:rsidR="00C807B2">
        <w:rPr>
          <w:rFonts w:cs="Arial"/>
        </w:rPr>
        <w:t>6</w:t>
      </w:r>
      <w:r>
        <w:rPr>
          <w:rFonts w:cs="Arial"/>
        </w:rPr>
        <w:t xml:space="preserve"> Leapfrog Hospital Survey </w:t>
      </w:r>
      <w:hyperlink r:id="rId51" w:history="1">
        <w:r w:rsidRPr="00F279E1">
          <w:rPr>
            <w:rStyle w:val="Hyperlink"/>
            <w:rFonts w:cs="Arial"/>
          </w:rPr>
          <w:t>Scoring Algorithms</w:t>
        </w:r>
      </w:hyperlink>
      <w:r>
        <w:rPr>
          <w:rFonts w:cs="Arial"/>
        </w:rPr>
        <w:t xml:space="preserve"> to see how your Survey responses will be scored and publicly reported by Leapfrog.</w:t>
      </w:r>
    </w:p>
    <w:p w14:paraId="72D88BCD" w14:textId="26806647" w:rsidR="00203E74" w:rsidRPr="009A4C37" w:rsidRDefault="00203E74" w:rsidP="00AD309C">
      <w:pPr>
        <w:pStyle w:val="ListParagraph"/>
        <w:numPr>
          <w:ilvl w:val="0"/>
          <w:numId w:val="23"/>
        </w:numPr>
        <w:spacing w:after="120"/>
        <w:contextualSpacing w:val="0"/>
        <w:rPr>
          <w:rFonts w:cs="Arial"/>
        </w:rPr>
      </w:pPr>
      <w:bookmarkStart w:id="25" w:name="_Hlk35510335"/>
      <w:r w:rsidRPr="009A4C37">
        <w:rPr>
          <w:rFonts w:cs="Arial"/>
        </w:rPr>
        <w:t xml:space="preserve">Review your Survey Results on the </w:t>
      </w:r>
      <w:hyperlink r:id="rId52" w:history="1">
        <w:r w:rsidRPr="00C06E0F">
          <w:rPr>
            <w:rStyle w:val="Hyperlink"/>
            <w:rFonts w:cs="Arial"/>
          </w:rPr>
          <w:t>Hospital Details Page</w:t>
        </w:r>
      </w:hyperlink>
      <w:r w:rsidR="009F5FE7">
        <w:rPr>
          <w:rFonts w:cs="Arial"/>
        </w:rPr>
        <w:t xml:space="preserve"> </w:t>
      </w:r>
      <w:r w:rsidR="00C06E0F">
        <w:rPr>
          <w:rFonts w:cs="Arial"/>
        </w:rPr>
        <w:t xml:space="preserve">or </w:t>
      </w:r>
      <w:hyperlink r:id="rId53" w:history="1">
        <w:r w:rsidR="00C06E0F" w:rsidRPr="00A87095">
          <w:rPr>
            <w:rStyle w:val="Hyperlink"/>
            <w:rFonts w:cs="Arial"/>
          </w:rPr>
          <w:t>public reporting website</w:t>
        </w:r>
      </w:hyperlink>
      <w:r w:rsidR="00C06E0F">
        <w:rPr>
          <w:rFonts w:cs="Arial"/>
        </w:rPr>
        <w:t xml:space="preserve">. </w:t>
      </w:r>
      <w:r w:rsidR="008234C9">
        <w:rPr>
          <w:rFonts w:cs="Arial"/>
        </w:rPr>
        <w:t>H</w:t>
      </w:r>
      <w:r w:rsidR="00C06E0F">
        <w:rPr>
          <w:rFonts w:cs="Arial"/>
        </w:rPr>
        <w:t xml:space="preserve">ospitals that submit by June 30 </w:t>
      </w:r>
      <w:r w:rsidR="0003234D">
        <w:rPr>
          <w:rFonts w:cs="Arial"/>
        </w:rPr>
        <w:t>can</w:t>
      </w:r>
      <w:r w:rsidR="00C06E0F">
        <w:rPr>
          <w:rFonts w:cs="Arial"/>
        </w:rPr>
        <w:t xml:space="preserve"> preview their Survey Results on the Hospital Details Page </w:t>
      </w:r>
      <w:r w:rsidR="009F5FE7">
        <w:rPr>
          <w:rFonts w:cs="Arial"/>
        </w:rPr>
        <w:t>beginning on July 12</w:t>
      </w:r>
      <w:r w:rsidR="00C06E0F">
        <w:rPr>
          <w:rFonts w:cs="Arial"/>
        </w:rPr>
        <w:t>, before Leapfrog</w:t>
      </w:r>
      <w:bookmarkEnd w:id="25"/>
      <w:r w:rsidR="009F5FE7">
        <w:rPr>
          <w:rFonts w:cs="Arial"/>
        </w:rPr>
        <w:t xml:space="preserve"> </w:t>
      </w:r>
      <w:hyperlink r:id="rId54" w:history="1">
        <w:r w:rsidR="00C06E0F">
          <w:rPr>
            <w:rStyle w:val="Hyperlink"/>
            <w:rFonts w:cs="Arial"/>
          </w:rPr>
          <w:t>publicly reports</w:t>
        </w:r>
      </w:hyperlink>
      <w:r w:rsidR="00C06E0F" w:rsidRPr="00C06E0F">
        <w:rPr>
          <w:rStyle w:val="Hyperlink"/>
          <w:rFonts w:cs="Arial"/>
          <w:color w:val="auto"/>
          <w:u w:val="none"/>
        </w:rPr>
        <w:t xml:space="preserve"> Survey Results</w:t>
      </w:r>
      <w:r w:rsidRPr="009A4C37">
        <w:rPr>
          <w:rFonts w:cs="Arial"/>
        </w:rPr>
        <w:t xml:space="preserve"> beginning on July 25.</w:t>
      </w:r>
      <w:r w:rsidR="00C06E0F">
        <w:t xml:space="preserve"> </w:t>
      </w:r>
      <w:r w:rsidR="009F5FE7">
        <w:t xml:space="preserve">After </w:t>
      </w:r>
      <w:r w:rsidR="00977015">
        <w:t>July</w:t>
      </w:r>
      <w:r w:rsidR="009F5FE7">
        <w:t xml:space="preserve">, </w:t>
      </w:r>
      <w:bookmarkStart w:id="26" w:name="_Hlk35512661"/>
      <w:r w:rsidRPr="009A4C37">
        <w:rPr>
          <w:rFonts w:cs="Arial"/>
        </w:rPr>
        <w:t xml:space="preserve">the Hospital Details Page and public reporting website will be refreshed monthly within the first </w:t>
      </w:r>
      <w:r w:rsidR="00525670">
        <w:rPr>
          <w:rFonts w:cs="Arial"/>
        </w:rPr>
        <w:t xml:space="preserve">seven </w:t>
      </w:r>
      <w:r w:rsidRPr="009A4C37">
        <w:rPr>
          <w:rFonts w:cs="Arial"/>
        </w:rPr>
        <w:t>(</w:t>
      </w:r>
      <w:r w:rsidR="00525670">
        <w:rPr>
          <w:rFonts w:cs="Arial"/>
        </w:rPr>
        <w:t>7</w:t>
      </w:r>
      <w:r w:rsidRPr="009A4C37">
        <w:rPr>
          <w:rFonts w:cs="Arial"/>
        </w:rPr>
        <w:t>) business days of each month following your (re)submission.</w:t>
      </w:r>
      <w:bookmarkEnd w:id="26"/>
    </w:p>
    <w:p w14:paraId="32F712C6" w14:textId="629EFA73" w:rsidR="009F5FE7" w:rsidRPr="009A5185" w:rsidRDefault="00F72C9F" w:rsidP="00AD309C">
      <w:pPr>
        <w:pStyle w:val="ListParagraph"/>
        <w:numPr>
          <w:ilvl w:val="0"/>
          <w:numId w:val="23"/>
        </w:numPr>
        <w:spacing w:after="120"/>
        <w:contextualSpacing w:val="0"/>
        <w:rPr>
          <w:rFonts w:cs="Arial"/>
        </w:rPr>
      </w:pPr>
      <w:r>
        <w:rPr>
          <w:rFonts w:cs="Arial"/>
        </w:rPr>
        <w:lastRenderedPageBreak/>
        <w:t>Adult and general h</w:t>
      </w:r>
      <w:r w:rsidR="009F5FE7" w:rsidRPr="009A5185">
        <w:rPr>
          <w:rFonts w:cs="Arial"/>
        </w:rPr>
        <w:t xml:space="preserve">ospitals submitting a CPOE Evaluation Tool should carefully review the instructions, scoring information, and FAQs available on the </w:t>
      </w:r>
      <w:hyperlink r:id="rId55" w:history="1">
        <w:r w:rsidR="009F5FE7" w:rsidRPr="009A5185">
          <w:rPr>
            <w:rStyle w:val="Hyperlink"/>
          </w:rPr>
          <w:t>Survey and CPOE Materials webpage</w:t>
        </w:r>
      </w:hyperlink>
      <w:r>
        <w:rPr>
          <w:rStyle w:val="Hyperlink"/>
        </w:rPr>
        <w:t xml:space="preserve"> </w:t>
      </w:r>
      <w:r w:rsidRPr="00A40CBF">
        <w:t>(see CPOE Tool Instructions under Other Supporting Materials)</w:t>
      </w:r>
      <w:r w:rsidR="00F509C9" w:rsidRPr="00A40CBF">
        <w:t>.</w:t>
      </w:r>
      <w:r w:rsidR="009F5FE7" w:rsidRPr="00A40CBF">
        <w:t xml:space="preserve"> </w:t>
      </w:r>
    </w:p>
    <w:p w14:paraId="5325A68F" w14:textId="4BF65F68" w:rsidR="00F509C9" w:rsidRPr="00C807B2" w:rsidRDefault="00EC23A5" w:rsidP="00C807B2">
      <w:pPr>
        <w:pStyle w:val="ListParagraph"/>
        <w:numPr>
          <w:ilvl w:val="0"/>
          <w:numId w:val="23"/>
        </w:numPr>
        <w:spacing w:after="120"/>
        <w:contextualSpacing w:val="0"/>
      </w:pPr>
      <w:r w:rsidRPr="00F509C9">
        <w:rPr>
          <w:rFonts w:cs="Arial"/>
        </w:rPr>
        <w:t xml:space="preserve">Leapfrog is committed to </w:t>
      </w:r>
      <w:r w:rsidR="00A008D1" w:rsidRPr="00F509C9">
        <w:rPr>
          <w:rFonts w:cs="Arial"/>
        </w:rPr>
        <w:t>verifying</w:t>
      </w:r>
      <w:r w:rsidRPr="00F509C9">
        <w:rPr>
          <w:rFonts w:cs="Arial"/>
        </w:rPr>
        <w:t xml:space="preserve"> the accuracy of Leapfrog Hospital </w:t>
      </w:r>
      <w:r w:rsidR="00C14AFF" w:rsidRPr="00F509C9">
        <w:rPr>
          <w:rFonts w:cs="Arial"/>
        </w:rPr>
        <w:t>Survey Results</w:t>
      </w:r>
      <w:r w:rsidRPr="00F509C9">
        <w:rPr>
          <w:rFonts w:cs="Arial"/>
        </w:rPr>
        <w:t xml:space="preserve">. </w:t>
      </w:r>
      <w:r w:rsidR="00540F88" w:rsidRPr="00F509C9">
        <w:rPr>
          <w:rFonts w:cs="Arial"/>
        </w:rPr>
        <w:t xml:space="preserve">Please review our data accuracy protocols on the </w:t>
      </w:r>
      <w:hyperlink r:id="rId56" w:history="1">
        <w:r w:rsidR="00540F88" w:rsidRPr="00F509C9">
          <w:rPr>
            <w:rStyle w:val="Hyperlink"/>
            <w:rFonts w:cs="Arial"/>
          </w:rPr>
          <w:t>Data Accuracy webpage</w:t>
        </w:r>
      </w:hyperlink>
      <w:r w:rsidR="00540F88" w:rsidRPr="00F509C9">
        <w:rPr>
          <w:rFonts w:cs="Arial"/>
        </w:rPr>
        <w:t>.</w:t>
      </w:r>
      <w:r w:rsidR="00A87095" w:rsidRPr="00F509C9">
        <w:rPr>
          <w:rFonts w:cs="Arial"/>
        </w:rPr>
        <w:t xml:space="preserve"> </w:t>
      </w:r>
    </w:p>
    <w:p w14:paraId="6AC7A840" w14:textId="0403AB50" w:rsidR="00203E74" w:rsidRPr="00F509C9" w:rsidRDefault="00203E74" w:rsidP="00C807B2">
      <w:pPr>
        <w:pStyle w:val="ListParagraph"/>
        <w:numPr>
          <w:ilvl w:val="0"/>
          <w:numId w:val="23"/>
        </w:numPr>
        <w:spacing w:after="120"/>
        <w:contextualSpacing w:val="0"/>
      </w:pPr>
      <w:r w:rsidRPr="00F509C9">
        <w:t xml:space="preserve">Responses can be updated or corrected, and the Survey can be resubmitted at any point during the Survey Cycle (April 1 – </w:t>
      </w:r>
      <w:r w:rsidR="009F5FE7" w:rsidRPr="00F509C9">
        <w:t>November 30</w:t>
      </w:r>
      <w:r w:rsidRPr="00F509C9">
        <w:t>). Please remember that if you are making updates, all updated sections must be re-affirmed.</w:t>
      </w:r>
      <w:r w:rsidR="00A87095" w:rsidRPr="00F509C9">
        <w:t xml:space="preserve"> More information on updating your Survey is available </w:t>
      </w:r>
      <w:r w:rsidR="007D0C84">
        <w:t xml:space="preserve">on the </w:t>
      </w:r>
      <w:hyperlink r:id="rId57" w:history="1">
        <w:r w:rsidR="007D0C84" w:rsidRPr="007D0C84">
          <w:rPr>
            <w:rStyle w:val="Hyperlink"/>
          </w:rPr>
          <w:t>Updating Your Hospital Survey webpage</w:t>
        </w:r>
      </w:hyperlink>
      <w:r w:rsidR="007D0C84">
        <w:t xml:space="preserve">. </w:t>
      </w:r>
    </w:p>
    <w:p w14:paraId="6A9BF44D" w14:textId="6A23F324" w:rsidR="00540F88" w:rsidRPr="00AB037D" w:rsidRDefault="00540F88" w:rsidP="00AB037D">
      <w:pPr>
        <w:ind w:left="360"/>
        <w:rPr>
          <w:rFonts w:cs="Arial"/>
        </w:rPr>
      </w:pPr>
    </w:p>
    <w:p w14:paraId="6BEAF45C" w14:textId="13333CAC" w:rsidR="004B2F11" w:rsidRDefault="004B2F11" w:rsidP="00AB5B80">
      <w:pPr>
        <w:pStyle w:val="Heading3"/>
      </w:pPr>
      <w:bookmarkStart w:id="27" w:name="_Verifying_Submission"/>
      <w:bookmarkStart w:id="28" w:name="_Toc225877641"/>
      <w:bookmarkEnd w:id="27"/>
      <w:r>
        <w:t>Reporting Policy Following Cybersecurity Events</w:t>
      </w:r>
      <w:r w:rsidR="00AF5124">
        <w:t xml:space="preserve"> and</w:t>
      </w:r>
      <w:r>
        <w:t xml:space="preserve"> Natural Disasters</w:t>
      </w:r>
      <w:r w:rsidR="00253648">
        <w:t xml:space="preserve"> or CMS</w:t>
      </w:r>
      <w:r w:rsidR="005769C4">
        <w:t xml:space="preserve"> Extraordinary Circumstances Exception</w:t>
      </w:r>
      <w:bookmarkEnd w:id="28"/>
    </w:p>
    <w:p w14:paraId="2FAD6E13" w14:textId="77777777" w:rsidR="004B2F11" w:rsidRDefault="004B2F11" w:rsidP="004B2F11">
      <w:pPr>
        <w:rPr>
          <w:lang w:eastAsia="ja-JP"/>
        </w:rPr>
      </w:pPr>
    </w:p>
    <w:p w14:paraId="276CB433" w14:textId="77777777" w:rsidR="008E15FB" w:rsidRDefault="000C48AF" w:rsidP="008E15FB">
      <w:bookmarkStart w:id="29" w:name="_Hlk190085393"/>
      <w:r w:rsidRPr="000C48AF">
        <w:t>Hospitals that have experienced a cybersecurity event, natural disaster, EHR transition or have an Extraordinary Circumstances Exception approved by the Centers for Medicare and Medicaid Services (CMS) (i.e., CMS Footnote 28) that impacts data availability during one or more Survey reporting periods can complete</w:t>
      </w:r>
      <w:r>
        <w:t xml:space="preserve"> and</w:t>
      </w:r>
      <w:r w:rsidR="00790CCE">
        <w:t xml:space="preserve"> </w:t>
      </w:r>
      <w:hyperlink r:id="rId58" w:history="1">
        <w:r w:rsidR="00790CCE" w:rsidRPr="00970AD7">
          <w:rPr>
            <w:rStyle w:val="Hyperlink"/>
          </w:rPr>
          <w:t>submit a request form</w:t>
        </w:r>
      </w:hyperlink>
      <w:r w:rsidR="00790CCE">
        <w:t xml:space="preserve"> </w:t>
      </w:r>
      <w:r w:rsidR="008E15FB" w:rsidRPr="008E15FB">
        <w:t>in order to participate in the 2026 Leapfrog Hospital Survey. If approved, hospitals will report on the impacted measures using the data available and exclude data from the month(s) impacted by the cybersecurity event, natural disaster, EHR transition or CMS Extraordinary Circumstance. Results will still be calculated if minimum reporting requirements are met and will be displayed on the</w:t>
      </w:r>
      <w:r w:rsidR="008E15FB">
        <w:t xml:space="preserve"> </w:t>
      </w:r>
      <w:hyperlink r:id="rId59" w:history="1">
        <w:r w:rsidR="00790CCE" w:rsidRPr="00B7032E">
          <w:rPr>
            <w:rStyle w:val="Hyperlink"/>
          </w:rPr>
          <w:t>Survey Results website</w:t>
        </w:r>
      </w:hyperlink>
      <w:r w:rsidR="00790CCE">
        <w:t xml:space="preserve"> </w:t>
      </w:r>
      <w:r w:rsidR="008E15FB" w:rsidRPr="008E15FB">
        <w:t>with the following footnote: "Results are based on limited data due to a reported cybersecurity event, natural disaster, or a CMS Extraordinary Circumstance exception."</w:t>
      </w:r>
    </w:p>
    <w:p w14:paraId="2CE5A910" w14:textId="77777777" w:rsidR="008E15FB" w:rsidRPr="008E15FB" w:rsidRDefault="008E15FB" w:rsidP="008E15FB"/>
    <w:p w14:paraId="1049D183" w14:textId="77777777" w:rsidR="008E15FB" w:rsidRPr="008E15FB" w:rsidRDefault="008E15FB" w:rsidP="008E15FB">
      <w:r w:rsidRPr="008E15FB">
        <w:t>For the purposes of the Hospital Safety Grade, a letter grade will still be calculated based on the data available, but any underlying measures impacted by the event will have results reported along with the following footnote: "Results are based on limited data due to a reported cybersecurity event, natural disaster, or a CMS Extraordinary Circumstance exception." For the purposes of Leapfrog Top Hospital, hospitals will still be eligible for Top Hospital pending committee review and subject to meeting all criteria.</w:t>
      </w:r>
    </w:p>
    <w:p w14:paraId="4DC1FCE2" w14:textId="7AF73EEA" w:rsidR="00790CCE" w:rsidRPr="000A6EF6" w:rsidRDefault="00790CCE" w:rsidP="008E15FB">
      <w:pPr>
        <w:rPr>
          <w:lang w:eastAsia="ja-JP"/>
        </w:rPr>
      </w:pPr>
    </w:p>
    <w:p w14:paraId="6681C9B7" w14:textId="10ACECF8" w:rsidR="0010643F" w:rsidRPr="009A5185" w:rsidRDefault="0010643F" w:rsidP="00AB5B80">
      <w:pPr>
        <w:pStyle w:val="Heading3"/>
      </w:pPr>
      <w:bookmarkStart w:id="30" w:name="_Verifying_Submission_1"/>
      <w:bookmarkStart w:id="31" w:name="_Toc225877642"/>
      <w:bookmarkEnd w:id="29"/>
      <w:bookmarkEnd w:id="30"/>
      <w:r w:rsidRPr="009A5185">
        <w:t>Verifying Submission</w:t>
      </w:r>
      <w:bookmarkEnd w:id="31"/>
    </w:p>
    <w:p w14:paraId="1C24609A" w14:textId="77777777" w:rsidR="0010643F" w:rsidRPr="009A5185" w:rsidRDefault="0010643F" w:rsidP="0010643F">
      <w:pPr>
        <w:rPr>
          <w:rFonts w:cs="Arial"/>
        </w:rPr>
      </w:pPr>
    </w:p>
    <w:p w14:paraId="3A9AB5BC" w14:textId="2F714814" w:rsidR="0010643F" w:rsidRPr="009A5185" w:rsidRDefault="0010643F" w:rsidP="0010643F">
      <w:pPr>
        <w:rPr>
          <w:rFonts w:cs="Arial"/>
        </w:rPr>
      </w:pPr>
      <w:r w:rsidRPr="009A5185">
        <w:rPr>
          <w:rFonts w:cs="Arial"/>
        </w:rPr>
        <w:t xml:space="preserve">Use the following </w:t>
      </w:r>
      <w:r w:rsidR="00431482">
        <w:rPr>
          <w:rFonts w:cs="Arial"/>
        </w:rPr>
        <w:t>steps</w:t>
      </w:r>
      <w:r w:rsidR="008276A0" w:rsidRPr="009A5185">
        <w:rPr>
          <w:rFonts w:cs="Arial"/>
        </w:rPr>
        <w:t xml:space="preserve"> to</w:t>
      </w:r>
      <w:r w:rsidRPr="009A5185">
        <w:rPr>
          <w:rFonts w:cs="Arial"/>
        </w:rPr>
        <w:t xml:space="preserve"> verify that your submission was completed and that the appropriate sections were submitted:</w:t>
      </w:r>
    </w:p>
    <w:p w14:paraId="5C3AB334" w14:textId="77777777" w:rsidR="0010643F" w:rsidRPr="009A5185" w:rsidRDefault="0010643F" w:rsidP="0010643F">
      <w:pPr>
        <w:rPr>
          <w:rFonts w:cs="Arial"/>
        </w:rPr>
      </w:pPr>
    </w:p>
    <w:p w14:paraId="52F9BDC9" w14:textId="77777777" w:rsidR="0010643F" w:rsidRPr="009A5185" w:rsidRDefault="00BB22B5" w:rsidP="00AD309C">
      <w:pPr>
        <w:pStyle w:val="ListParagraph"/>
        <w:numPr>
          <w:ilvl w:val="0"/>
          <w:numId w:val="24"/>
        </w:numPr>
        <w:rPr>
          <w:rFonts w:cs="Arial"/>
        </w:rPr>
      </w:pPr>
      <w:r w:rsidRPr="009A5185">
        <w:rPr>
          <w:rFonts w:cs="Arial"/>
          <w:b/>
        </w:rPr>
        <w:t xml:space="preserve">Check the </w:t>
      </w:r>
      <w:r w:rsidR="00534C84">
        <w:rPr>
          <w:rFonts w:cs="Arial"/>
          <w:b/>
        </w:rPr>
        <w:t>Hospital Survey Dashboard</w:t>
      </w:r>
      <w:r w:rsidRPr="009A5185">
        <w:rPr>
          <w:rFonts w:cs="Arial"/>
          <w:b/>
        </w:rPr>
        <w:t xml:space="preserve">: </w:t>
      </w:r>
      <w:r w:rsidR="007D39F9" w:rsidRPr="009A5185">
        <w:rPr>
          <w:rFonts w:cs="Arial"/>
        </w:rPr>
        <w:t>Refer to the “Section Status” column on the</w:t>
      </w:r>
      <w:r w:rsidR="00454BBD" w:rsidRPr="009A5185">
        <w:rPr>
          <w:rFonts w:cs="Arial"/>
        </w:rPr>
        <w:t xml:space="preserve"> </w:t>
      </w:r>
      <w:r w:rsidR="00534C84">
        <w:rPr>
          <w:rFonts w:cs="Arial"/>
        </w:rPr>
        <w:t>Hospital Survey Dashboard</w:t>
      </w:r>
      <w:r w:rsidR="00454BBD" w:rsidRPr="009A5185">
        <w:rPr>
          <w:rFonts w:cs="Arial"/>
        </w:rPr>
        <w:t xml:space="preserve">. All </w:t>
      </w:r>
      <w:r w:rsidR="00541081" w:rsidRPr="009A5185">
        <w:rPr>
          <w:rFonts w:cs="Arial"/>
        </w:rPr>
        <w:t>submitted</w:t>
      </w:r>
      <w:r w:rsidR="007D39F9" w:rsidRPr="009A5185">
        <w:rPr>
          <w:rFonts w:cs="Arial"/>
        </w:rPr>
        <w:t xml:space="preserve"> sections will be marked as “Submitted.” </w:t>
      </w:r>
    </w:p>
    <w:p w14:paraId="51F2B770" w14:textId="603CBB23" w:rsidR="000C7B09" w:rsidRPr="009A5185" w:rsidRDefault="000C7B09" w:rsidP="00AD309C">
      <w:pPr>
        <w:pStyle w:val="ListParagraph"/>
        <w:numPr>
          <w:ilvl w:val="0"/>
          <w:numId w:val="24"/>
        </w:numPr>
        <w:rPr>
          <w:rFonts w:cs="Arial"/>
        </w:rPr>
      </w:pPr>
      <w:r w:rsidRPr="009A5185">
        <w:rPr>
          <w:rFonts w:cs="Arial"/>
          <w:b/>
        </w:rPr>
        <w:t>Check your email:</w:t>
      </w:r>
      <w:r w:rsidRPr="009A5185">
        <w:rPr>
          <w:rFonts w:cs="Arial"/>
        </w:rPr>
        <w:t xml:space="preserve"> You will receive a </w:t>
      </w:r>
      <w:r w:rsidR="007D0C84">
        <w:rPr>
          <w:rFonts w:cs="Arial"/>
        </w:rPr>
        <w:t>S</w:t>
      </w:r>
      <w:r w:rsidRPr="009A5185">
        <w:rPr>
          <w:rFonts w:cs="Arial"/>
        </w:rPr>
        <w:t xml:space="preserve">urvey submission confirmation email within five minutes of submitting a </w:t>
      </w:r>
      <w:r w:rsidR="00C14AFF" w:rsidRPr="009A5185">
        <w:rPr>
          <w:rFonts w:cs="Arial"/>
        </w:rPr>
        <w:t>Survey</w:t>
      </w:r>
      <w:r w:rsidRPr="009A5185">
        <w:rPr>
          <w:rFonts w:cs="Arial"/>
        </w:rPr>
        <w:t xml:space="preserve">. </w:t>
      </w:r>
      <w:r w:rsidR="00224374" w:rsidRPr="009A5185">
        <w:rPr>
          <w:rFonts w:cs="Arial"/>
        </w:rPr>
        <w:t>Please Note: This email will not specify wh</w:t>
      </w:r>
      <w:r w:rsidR="007D0C84">
        <w:rPr>
          <w:rFonts w:cs="Arial"/>
        </w:rPr>
        <w:t>ich</w:t>
      </w:r>
      <w:r w:rsidR="00224374" w:rsidRPr="009A5185">
        <w:rPr>
          <w:rFonts w:cs="Arial"/>
        </w:rPr>
        <w:t xml:space="preserve"> sections were submitted – you will need to use the other </w:t>
      </w:r>
      <w:r w:rsidR="007D0C84">
        <w:rPr>
          <w:rFonts w:cs="Arial"/>
        </w:rPr>
        <w:t>step</w:t>
      </w:r>
      <w:r w:rsidR="00224374" w:rsidRPr="009A5185">
        <w:rPr>
          <w:rFonts w:cs="Arial"/>
        </w:rPr>
        <w:t>s to determine which sections were submitted.</w:t>
      </w:r>
    </w:p>
    <w:p w14:paraId="67742159" w14:textId="14E40648" w:rsidR="0010643F" w:rsidRPr="009A5185" w:rsidRDefault="009570D1" w:rsidP="00AD309C">
      <w:pPr>
        <w:pStyle w:val="ListParagraph"/>
        <w:numPr>
          <w:ilvl w:val="0"/>
          <w:numId w:val="24"/>
        </w:numPr>
        <w:rPr>
          <w:rFonts w:cs="Arial"/>
        </w:rPr>
      </w:pPr>
      <w:r w:rsidRPr="009A5185">
        <w:rPr>
          <w:rFonts w:cs="Arial"/>
          <w:b/>
        </w:rPr>
        <w:t xml:space="preserve">Print </w:t>
      </w:r>
      <w:r w:rsidR="0010643F" w:rsidRPr="009A5185">
        <w:rPr>
          <w:rFonts w:cs="Arial"/>
          <w:b/>
        </w:rPr>
        <w:t xml:space="preserve">Last Submitted </w:t>
      </w:r>
      <w:r w:rsidR="00C14AFF" w:rsidRPr="009A5185">
        <w:rPr>
          <w:rFonts w:cs="Arial"/>
          <w:b/>
        </w:rPr>
        <w:t>Survey</w:t>
      </w:r>
      <w:r w:rsidR="0088771B" w:rsidRPr="009A5185">
        <w:rPr>
          <w:rFonts w:cs="Arial"/>
          <w:b/>
        </w:rPr>
        <w:t>:</w:t>
      </w:r>
      <w:r w:rsidR="0088771B" w:rsidRPr="009A5185">
        <w:rPr>
          <w:rFonts w:cs="Arial"/>
        </w:rPr>
        <w:t xml:space="preserve"> </w:t>
      </w:r>
      <w:r w:rsidRPr="009A5185">
        <w:rPr>
          <w:rFonts w:cs="Arial"/>
        </w:rPr>
        <w:t xml:space="preserve">The </w:t>
      </w:r>
      <w:r w:rsidR="00C14AFF" w:rsidRPr="009A5185">
        <w:rPr>
          <w:rFonts w:cs="Arial"/>
        </w:rPr>
        <w:t>Survey</w:t>
      </w:r>
      <w:r w:rsidRPr="009A5185">
        <w:rPr>
          <w:rFonts w:cs="Arial"/>
        </w:rPr>
        <w:t xml:space="preserve"> submission date will be listed at the top of the page under the hea</w:t>
      </w:r>
      <w:r w:rsidR="0088771B" w:rsidRPr="009A5185">
        <w:rPr>
          <w:rFonts w:cs="Arial"/>
        </w:rPr>
        <w:t xml:space="preserve">ding </w:t>
      </w:r>
      <w:r w:rsidR="0010643F" w:rsidRPr="009A5185">
        <w:rPr>
          <w:rFonts w:cs="Arial"/>
        </w:rPr>
        <w:t xml:space="preserve">“Submitted </w:t>
      </w:r>
      <w:r w:rsidR="00C14AFF" w:rsidRPr="009A5185">
        <w:rPr>
          <w:rFonts w:cs="Arial"/>
        </w:rPr>
        <w:t>Survey</w:t>
      </w:r>
      <w:r w:rsidR="0088771B" w:rsidRPr="009A5185">
        <w:rPr>
          <w:rFonts w:cs="Arial"/>
        </w:rPr>
        <w:t>.</w:t>
      </w:r>
      <w:r w:rsidR="0010643F" w:rsidRPr="009A5185">
        <w:rPr>
          <w:rFonts w:cs="Arial"/>
        </w:rPr>
        <w:t>”</w:t>
      </w:r>
      <w:r w:rsidR="0088771B" w:rsidRPr="009A5185">
        <w:rPr>
          <w:rFonts w:cs="Arial"/>
        </w:rPr>
        <w:t xml:space="preserve"> Be sure to check the submission date, review each section for accuracy and completeness, and check that each affirmation is complete (</w:t>
      </w:r>
      <w:r w:rsidR="009D788B" w:rsidRPr="009A5185">
        <w:rPr>
          <w:rFonts w:cs="Arial"/>
        </w:rPr>
        <w:t xml:space="preserve">Sections </w:t>
      </w:r>
      <w:r w:rsidR="00BD5C4B" w:rsidRPr="009A5185">
        <w:rPr>
          <w:rFonts w:cs="Arial"/>
        </w:rPr>
        <w:t>1</w:t>
      </w:r>
      <w:r w:rsidR="00D2752E">
        <w:rPr>
          <w:rFonts w:cs="Arial"/>
        </w:rPr>
        <w:t>-</w:t>
      </w:r>
      <w:r w:rsidR="001243C9">
        <w:rPr>
          <w:rFonts w:cs="Arial"/>
        </w:rPr>
        <w:t>9</w:t>
      </w:r>
      <w:r w:rsidR="0088771B" w:rsidRPr="009A5185">
        <w:rPr>
          <w:rFonts w:cs="Arial"/>
        </w:rPr>
        <w:t xml:space="preserve">). </w:t>
      </w:r>
    </w:p>
    <w:p w14:paraId="6D302F1E" w14:textId="2757E8AE" w:rsidR="00C9123E" w:rsidRPr="000515AC" w:rsidRDefault="00C9123E" w:rsidP="00AD309C">
      <w:pPr>
        <w:pStyle w:val="ListParagraph"/>
        <w:numPr>
          <w:ilvl w:val="0"/>
          <w:numId w:val="24"/>
        </w:numPr>
        <w:rPr>
          <w:rFonts w:cs="Arial"/>
        </w:rPr>
      </w:pPr>
      <w:bookmarkStart w:id="32" w:name="_Hlk35513145"/>
      <w:r w:rsidRPr="000515AC">
        <w:rPr>
          <w:rFonts w:cs="Arial"/>
          <w:b/>
        </w:rPr>
        <w:t xml:space="preserve">Review the Hospital Details Page: </w:t>
      </w:r>
      <w:r w:rsidRPr="000515AC">
        <w:rPr>
          <w:rFonts w:cs="Arial"/>
        </w:rPr>
        <w:t xml:space="preserve">Your </w:t>
      </w:r>
      <w:r w:rsidR="00C14AFF" w:rsidRPr="000515AC">
        <w:rPr>
          <w:rFonts w:cs="Arial"/>
        </w:rPr>
        <w:t>Survey Results</w:t>
      </w:r>
      <w:r w:rsidRPr="000515AC">
        <w:rPr>
          <w:rFonts w:cs="Arial"/>
        </w:rPr>
        <w:t xml:space="preserve"> will be available </w:t>
      </w:r>
      <w:r w:rsidR="007D0C84">
        <w:rPr>
          <w:rFonts w:cs="Arial"/>
        </w:rPr>
        <w:t>beginning</w:t>
      </w:r>
      <w:r w:rsidR="00977015">
        <w:rPr>
          <w:rFonts w:cs="Arial"/>
        </w:rPr>
        <w:t xml:space="preserve"> July 12 </w:t>
      </w:r>
      <w:r w:rsidRPr="000515AC">
        <w:rPr>
          <w:rFonts w:cs="Arial"/>
        </w:rPr>
        <w:t xml:space="preserve">via the Hospital Details Page link on the </w:t>
      </w:r>
      <w:r w:rsidR="00534C84" w:rsidRPr="000515AC">
        <w:rPr>
          <w:rFonts w:cs="Arial"/>
        </w:rPr>
        <w:t>Hospital Survey Dashboard</w:t>
      </w:r>
      <w:r w:rsidRPr="000515AC">
        <w:rPr>
          <w:rFonts w:cs="Arial"/>
        </w:rPr>
        <w:t xml:space="preserve">. Carefully review your results, </w:t>
      </w:r>
      <w:r w:rsidR="000515AC" w:rsidRPr="000515AC">
        <w:rPr>
          <w:rFonts w:cs="Arial"/>
        </w:rPr>
        <w:t>including</w:t>
      </w:r>
      <w:r w:rsidRPr="000515AC">
        <w:rPr>
          <w:rFonts w:cs="Arial"/>
        </w:rPr>
        <w:t xml:space="preserve"> </w:t>
      </w:r>
      <w:r w:rsidR="00B01024">
        <w:rPr>
          <w:rFonts w:cs="Arial"/>
        </w:rPr>
        <w:t xml:space="preserve">data from VON for high-risk deliveries, and </w:t>
      </w:r>
      <w:r w:rsidRPr="000515AC">
        <w:rPr>
          <w:rFonts w:cs="Arial"/>
        </w:rPr>
        <w:t xml:space="preserve">your NHSN information for applicable healthcare-associated infections. </w:t>
      </w:r>
    </w:p>
    <w:p w14:paraId="6C8C7F4B" w14:textId="6A8E27B5" w:rsidR="009570D1" w:rsidRPr="000515AC" w:rsidRDefault="008A7BEF" w:rsidP="00AD309C">
      <w:pPr>
        <w:pStyle w:val="ListParagraph"/>
        <w:numPr>
          <w:ilvl w:val="0"/>
          <w:numId w:val="24"/>
        </w:numPr>
        <w:rPr>
          <w:rFonts w:cs="Arial"/>
        </w:rPr>
      </w:pPr>
      <w:r w:rsidRPr="000515AC">
        <w:rPr>
          <w:rFonts w:cs="Arial"/>
          <w:b/>
        </w:rPr>
        <w:t>Check your publicly reported r</w:t>
      </w:r>
      <w:r w:rsidR="0010643F" w:rsidRPr="000515AC">
        <w:rPr>
          <w:rFonts w:cs="Arial"/>
          <w:b/>
        </w:rPr>
        <w:t>esults</w:t>
      </w:r>
      <w:r w:rsidR="0088771B" w:rsidRPr="000515AC">
        <w:rPr>
          <w:rFonts w:cs="Arial"/>
          <w:b/>
        </w:rPr>
        <w:t>:</w:t>
      </w:r>
      <w:r w:rsidR="0088771B" w:rsidRPr="000515AC">
        <w:rPr>
          <w:rFonts w:cs="Arial"/>
        </w:rPr>
        <w:t xml:space="preserve"> Always</w:t>
      </w:r>
      <w:r w:rsidR="0010643F" w:rsidRPr="000515AC">
        <w:rPr>
          <w:rFonts w:cs="Arial"/>
        </w:rPr>
        <w:t xml:space="preserve"> </w:t>
      </w:r>
      <w:r w:rsidR="0088771B" w:rsidRPr="000515AC">
        <w:rPr>
          <w:rFonts w:cs="Arial"/>
        </w:rPr>
        <w:t xml:space="preserve">check your Leapfrog Hospital </w:t>
      </w:r>
      <w:r w:rsidR="00C14AFF" w:rsidRPr="000515AC">
        <w:rPr>
          <w:rFonts w:cs="Arial"/>
        </w:rPr>
        <w:t>Survey Results</w:t>
      </w:r>
      <w:r w:rsidR="00E148CE" w:rsidRPr="000515AC">
        <w:rPr>
          <w:rFonts w:cs="Arial"/>
        </w:rPr>
        <w:t xml:space="preserve"> on the public </w:t>
      </w:r>
      <w:r w:rsidR="00F220B6">
        <w:rPr>
          <w:rFonts w:cs="Arial"/>
        </w:rPr>
        <w:t xml:space="preserve">reporting </w:t>
      </w:r>
      <w:hyperlink r:id="rId60" w:history="1">
        <w:r w:rsidR="00E148CE" w:rsidRPr="000515AC">
          <w:rPr>
            <w:rStyle w:val="Hyperlink"/>
            <w:rFonts w:cs="Arial"/>
          </w:rPr>
          <w:t>website</w:t>
        </w:r>
      </w:hyperlink>
      <w:r w:rsidR="007D39F9" w:rsidRPr="000515AC">
        <w:rPr>
          <w:rStyle w:val="Hyperlink"/>
          <w:rFonts w:cs="Arial"/>
          <w:u w:val="none"/>
        </w:rPr>
        <w:t xml:space="preserve">. </w:t>
      </w:r>
      <w:r w:rsidR="0088771B" w:rsidRPr="000515AC">
        <w:rPr>
          <w:rStyle w:val="Hyperlink"/>
          <w:rFonts w:cs="Arial"/>
          <w:color w:val="auto"/>
          <w:u w:val="none"/>
        </w:rPr>
        <w:t>Results are posted</w:t>
      </w:r>
      <w:r w:rsidR="0010643F" w:rsidRPr="000515AC">
        <w:rPr>
          <w:rFonts w:cs="Arial"/>
        </w:rPr>
        <w:t xml:space="preserve"> </w:t>
      </w:r>
      <w:r w:rsidR="00977015">
        <w:rPr>
          <w:rFonts w:cs="Arial"/>
        </w:rPr>
        <w:t xml:space="preserve">on July 25 and are updated </w:t>
      </w:r>
      <w:r w:rsidR="00BF4EA6" w:rsidRPr="000515AC">
        <w:rPr>
          <w:rFonts w:cs="Arial"/>
        </w:rPr>
        <w:t>within</w:t>
      </w:r>
      <w:r w:rsidR="0088771B" w:rsidRPr="000515AC">
        <w:rPr>
          <w:rFonts w:cs="Arial"/>
        </w:rPr>
        <w:t xml:space="preserve"> the </w:t>
      </w:r>
      <w:r w:rsidR="0010643F" w:rsidRPr="000515AC">
        <w:rPr>
          <w:rFonts w:cs="Arial"/>
        </w:rPr>
        <w:t xml:space="preserve">first </w:t>
      </w:r>
      <w:r w:rsidR="0045665E">
        <w:rPr>
          <w:rFonts w:cs="Arial"/>
        </w:rPr>
        <w:t>7 (seven)</w:t>
      </w:r>
      <w:r w:rsidR="0010643F" w:rsidRPr="000515AC">
        <w:rPr>
          <w:rFonts w:cs="Arial"/>
        </w:rPr>
        <w:t xml:space="preserve"> business days of the month following your submission</w:t>
      </w:r>
      <w:r w:rsidR="009D788B" w:rsidRPr="000515AC">
        <w:rPr>
          <w:rFonts w:cs="Arial"/>
        </w:rPr>
        <w:t xml:space="preserve"> starting</w:t>
      </w:r>
      <w:r w:rsidR="00977015">
        <w:rPr>
          <w:rFonts w:cs="Arial"/>
        </w:rPr>
        <w:t xml:space="preserve"> in August. </w:t>
      </w:r>
    </w:p>
    <w:bookmarkEnd w:id="32"/>
    <w:p w14:paraId="4B092E71" w14:textId="77777777" w:rsidR="00A73A06" w:rsidRPr="009A5185" w:rsidRDefault="00A73A06" w:rsidP="00D9453A">
      <w:pPr>
        <w:rPr>
          <w:rFonts w:cs="Arial"/>
          <w:lang w:eastAsia="ja-JP"/>
        </w:rPr>
      </w:pPr>
    </w:p>
    <w:p w14:paraId="0CF41894" w14:textId="77777777" w:rsidR="00AB037D" w:rsidRDefault="00AB037D">
      <w:pPr>
        <w:rPr>
          <w:rFonts w:cs="Arial"/>
          <w:b/>
          <w:i/>
          <w:snapToGrid w:val="0"/>
          <w:sz w:val="22"/>
          <w:szCs w:val="22"/>
          <w:lang w:eastAsia="ja-JP"/>
        </w:rPr>
      </w:pPr>
      <w:bookmarkStart w:id="33" w:name="_Updating_or_Correcting"/>
      <w:bookmarkEnd w:id="33"/>
      <w:r>
        <w:br w:type="page"/>
      </w:r>
    </w:p>
    <w:p w14:paraId="3C6CA2CF" w14:textId="2DF43723" w:rsidR="00AC579B" w:rsidRPr="009A5185" w:rsidRDefault="004546CF" w:rsidP="00AB5B80">
      <w:pPr>
        <w:pStyle w:val="Heading3"/>
      </w:pPr>
      <w:bookmarkStart w:id="34" w:name="_Toc225877643"/>
      <w:r>
        <w:lastRenderedPageBreak/>
        <w:t>U</w:t>
      </w:r>
      <w:r w:rsidR="00D9453A" w:rsidRPr="009A5185">
        <w:t xml:space="preserve">pdating or </w:t>
      </w:r>
      <w:r w:rsidR="00D86B8F">
        <w:t>C</w:t>
      </w:r>
      <w:r w:rsidR="00AC579B" w:rsidRPr="009A5185">
        <w:t>orrecting</w:t>
      </w:r>
      <w:r w:rsidR="00D9453A" w:rsidRPr="009A5185">
        <w:t xml:space="preserve"> a </w:t>
      </w:r>
      <w:r w:rsidR="00D86B8F">
        <w:t>P</w:t>
      </w:r>
      <w:r w:rsidR="00D9453A" w:rsidRPr="009A5185">
        <w:t xml:space="preserve">reviously </w:t>
      </w:r>
      <w:r w:rsidR="00D86B8F">
        <w:t>S</w:t>
      </w:r>
      <w:r w:rsidR="00D9453A" w:rsidRPr="009A5185">
        <w:t xml:space="preserve">ubmitted </w:t>
      </w:r>
      <w:r w:rsidR="00AC579B" w:rsidRPr="009A5185">
        <w:t xml:space="preserve">Leapfrog Hospital </w:t>
      </w:r>
      <w:r w:rsidR="00C14AFF" w:rsidRPr="009A5185">
        <w:t>Survey</w:t>
      </w:r>
      <w:bookmarkEnd w:id="34"/>
    </w:p>
    <w:p w14:paraId="2EAEA316" w14:textId="77777777" w:rsidR="00AC579B" w:rsidRPr="00AB037D" w:rsidRDefault="00AC579B" w:rsidP="00AC579B">
      <w:pPr>
        <w:rPr>
          <w:rFonts w:cs="Arial"/>
          <w:b/>
          <w:i/>
        </w:rPr>
      </w:pPr>
    </w:p>
    <w:p w14:paraId="057F05C4" w14:textId="1223D694" w:rsidR="00AC579B" w:rsidRDefault="00AF73AA" w:rsidP="00AC579B">
      <w:pPr>
        <w:rPr>
          <w:rFonts w:cs="Arial"/>
          <w:snapToGrid w:val="0"/>
        </w:rPr>
      </w:pPr>
      <w:r w:rsidRPr="00D3457C">
        <w:rPr>
          <w:rFonts w:cs="Arial"/>
          <w:snapToGrid w:val="0"/>
        </w:rPr>
        <w:t>H</w:t>
      </w:r>
      <w:r w:rsidR="00AC579B" w:rsidRPr="00D3457C">
        <w:rPr>
          <w:rFonts w:cs="Arial"/>
          <w:snapToGrid w:val="0"/>
        </w:rPr>
        <w:t xml:space="preserve">ospitals </w:t>
      </w:r>
      <w:r w:rsidR="00B9403B" w:rsidRPr="00D3457C">
        <w:rPr>
          <w:rFonts w:cs="Arial"/>
          <w:snapToGrid w:val="0"/>
        </w:rPr>
        <w:t>can</w:t>
      </w:r>
      <w:r w:rsidR="00AC579B" w:rsidRPr="00D3457C">
        <w:rPr>
          <w:rFonts w:cs="Arial"/>
          <w:snapToGrid w:val="0"/>
        </w:rPr>
        <w:t xml:space="preserve"> update</w:t>
      </w:r>
      <w:r w:rsidR="00FA4EEA" w:rsidRPr="00D3457C">
        <w:rPr>
          <w:rFonts w:cs="Arial"/>
          <w:snapToGrid w:val="0"/>
        </w:rPr>
        <w:t xml:space="preserve"> or correct p</w:t>
      </w:r>
      <w:r w:rsidRPr="00D3457C">
        <w:rPr>
          <w:rFonts w:cs="Arial"/>
          <w:snapToGrid w:val="0"/>
        </w:rPr>
        <w:t xml:space="preserve">reviously submitted </w:t>
      </w:r>
      <w:r w:rsidR="00C14AFF" w:rsidRPr="00D3457C">
        <w:rPr>
          <w:rFonts w:cs="Arial"/>
          <w:snapToGrid w:val="0"/>
        </w:rPr>
        <w:t>Survey</w:t>
      </w:r>
      <w:r w:rsidRPr="00D3457C">
        <w:rPr>
          <w:rFonts w:cs="Arial"/>
          <w:snapToGrid w:val="0"/>
        </w:rPr>
        <w:t xml:space="preserve"> responses </w:t>
      </w:r>
      <w:r w:rsidR="00AC579B" w:rsidRPr="00D3457C">
        <w:rPr>
          <w:rFonts w:cs="Arial"/>
          <w:snapToGrid w:val="0"/>
        </w:rPr>
        <w:t xml:space="preserve">at any </w:t>
      </w:r>
      <w:r w:rsidRPr="00D3457C">
        <w:rPr>
          <w:rFonts w:cs="Arial"/>
          <w:snapToGrid w:val="0"/>
        </w:rPr>
        <w:t xml:space="preserve">point during the </w:t>
      </w:r>
      <w:r w:rsidR="00C14AFF" w:rsidRPr="00D3457C">
        <w:rPr>
          <w:rFonts w:cs="Arial"/>
          <w:snapToGrid w:val="0"/>
        </w:rPr>
        <w:t>Survey</w:t>
      </w:r>
      <w:r w:rsidR="00CB3D16" w:rsidRPr="00D3457C">
        <w:rPr>
          <w:rFonts w:cs="Arial"/>
          <w:snapToGrid w:val="0"/>
        </w:rPr>
        <w:t xml:space="preserve"> C</w:t>
      </w:r>
      <w:r w:rsidRPr="00D3457C">
        <w:rPr>
          <w:rFonts w:cs="Arial"/>
          <w:snapToGrid w:val="0"/>
        </w:rPr>
        <w:t>ycle</w:t>
      </w:r>
      <w:r w:rsidR="009F0A02" w:rsidRPr="00D3457C">
        <w:rPr>
          <w:rFonts w:cs="Arial"/>
          <w:snapToGrid w:val="0"/>
        </w:rPr>
        <w:t xml:space="preserve"> (April 1 to </w:t>
      </w:r>
      <w:r w:rsidR="009F5FE7">
        <w:rPr>
          <w:rFonts w:cs="Arial"/>
          <w:snapToGrid w:val="0"/>
        </w:rPr>
        <w:t>November 30</w:t>
      </w:r>
      <w:r w:rsidR="009F0A02" w:rsidRPr="00D3457C">
        <w:rPr>
          <w:rFonts w:cs="Arial"/>
          <w:snapToGrid w:val="0"/>
        </w:rPr>
        <w:t>)</w:t>
      </w:r>
      <w:r w:rsidRPr="00D3457C">
        <w:rPr>
          <w:rFonts w:cs="Arial"/>
          <w:snapToGrid w:val="0"/>
        </w:rPr>
        <w:t>.</w:t>
      </w:r>
      <w:r w:rsidR="007D35CD" w:rsidRPr="00D3457C">
        <w:rPr>
          <w:rFonts w:cs="Arial"/>
          <w:snapToGrid w:val="0"/>
        </w:rPr>
        <w:t xml:space="preserve"> Please review </w:t>
      </w:r>
      <w:r w:rsidR="00BF4EA6" w:rsidRPr="00D3457C">
        <w:rPr>
          <w:rFonts w:cs="Arial"/>
          <w:snapToGrid w:val="0"/>
        </w:rPr>
        <w:t xml:space="preserve">the </w:t>
      </w:r>
      <w:hyperlink r:id="rId61" w:history="1">
        <w:r w:rsidR="007D35CD" w:rsidRPr="00D3457C">
          <w:rPr>
            <w:rStyle w:val="Hyperlink"/>
            <w:rFonts w:cs="Arial"/>
            <w:snapToGrid w:val="0"/>
          </w:rPr>
          <w:t>Survey Deadlines</w:t>
        </w:r>
        <w:r w:rsidR="00BF4EA6" w:rsidRPr="00D3457C">
          <w:rPr>
            <w:rStyle w:val="Hyperlink"/>
            <w:rFonts w:cs="Arial"/>
            <w:snapToGrid w:val="0"/>
          </w:rPr>
          <w:t xml:space="preserve"> webpage</w:t>
        </w:r>
      </w:hyperlink>
      <w:r w:rsidR="007D35CD" w:rsidRPr="00D3457C">
        <w:rPr>
          <w:rFonts w:cs="Arial"/>
          <w:snapToGrid w:val="0"/>
        </w:rPr>
        <w:t>.</w:t>
      </w:r>
      <w:r w:rsidRPr="00D3457C">
        <w:rPr>
          <w:rFonts w:cs="Arial"/>
          <w:snapToGrid w:val="0"/>
        </w:rPr>
        <w:t xml:space="preserve"> </w:t>
      </w:r>
      <w:r w:rsidR="00FA4EEA" w:rsidRPr="00D3457C">
        <w:rPr>
          <w:rFonts w:cs="Arial"/>
          <w:snapToGrid w:val="0"/>
        </w:rPr>
        <w:t xml:space="preserve">Most updates or corrections are made: </w:t>
      </w:r>
    </w:p>
    <w:p w14:paraId="7B5F252D" w14:textId="77777777" w:rsidR="00AB037D" w:rsidRPr="00D3457C" w:rsidRDefault="00AB037D" w:rsidP="00AC579B">
      <w:pPr>
        <w:rPr>
          <w:rFonts w:cs="Arial"/>
          <w:snapToGrid w:val="0"/>
        </w:rPr>
      </w:pPr>
    </w:p>
    <w:p w14:paraId="750CDD62" w14:textId="77777777" w:rsidR="00310565" w:rsidRPr="00D3457C" w:rsidRDefault="00AF73AA" w:rsidP="00AD309C">
      <w:pPr>
        <w:pStyle w:val="ListParagraph"/>
        <w:numPr>
          <w:ilvl w:val="0"/>
          <w:numId w:val="26"/>
        </w:numPr>
        <w:rPr>
          <w:rFonts w:cs="Arial"/>
          <w:snapToGrid w:val="0"/>
        </w:rPr>
      </w:pPr>
      <w:r w:rsidRPr="00D3457C">
        <w:rPr>
          <w:rFonts w:cs="Arial"/>
          <w:snapToGrid w:val="0"/>
        </w:rPr>
        <w:t>At the request of Leapfrog</w:t>
      </w:r>
      <w:r w:rsidR="00310565" w:rsidRPr="00D3457C">
        <w:rPr>
          <w:rFonts w:cs="Arial"/>
          <w:snapToGrid w:val="0"/>
        </w:rPr>
        <w:t>:</w:t>
      </w:r>
    </w:p>
    <w:p w14:paraId="0995E6C0" w14:textId="4EF046F5" w:rsidR="003827A4" w:rsidRPr="00D3457C" w:rsidRDefault="00310565" w:rsidP="00AD309C">
      <w:pPr>
        <w:pStyle w:val="ListParagraph"/>
        <w:numPr>
          <w:ilvl w:val="1"/>
          <w:numId w:val="26"/>
        </w:numPr>
        <w:rPr>
          <w:rFonts w:cs="Arial"/>
          <w:snapToGrid w:val="0"/>
        </w:rPr>
      </w:pPr>
      <w:r w:rsidRPr="00D3457C">
        <w:rPr>
          <w:rFonts w:cs="Arial"/>
          <w:snapToGrid w:val="0"/>
        </w:rPr>
        <w:t xml:space="preserve">Following </w:t>
      </w:r>
      <w:r w:rsidR="00BF4EA6" w:rsidRPr="00D3457C">
        <w:rPr>
          <w:rFonts w:cs="Arial"/>
          <w:snapToGrid w:val="0"/>
        </w:rPr>
        <w:t xml:space="preserve">Leapfrog’s </w:t>
      </w:r>
      <w:hyperlink r:id="rId62" w:history="1">
        <w:r w:rsidR="009B3CFF" w:rsidRPr="00954F68">
          <w:rPr>
            <w:rStyle w:val="Hyperlink"/>
            <w:rFonts w:cs="Arial"/>
            <w:snapToGrid w:val="0"/>
          </w:rPr>
          <w:t>Extensive Monthly Data Verification</w:t>
        </w:r>
      </w:hyperlink>
      <w:r w:rsidR="00831650" w:rsidRPr="00D3457C">
        <w:rPr>
          <w:rFonts w:cs="Arial"/>
          <w:snapToGrid w:val="0"/>
        </w:rPr>
        <w:t xml:space="preserve">, </w:t>
      </w:r>
      <w:r w:rsidR="00C14AFF" w:rsidRPr="00D3457C">
        <w:rPr>
          <w:rFonts w:cs="Arial"/>
          <w:snapToGrid w:val="0"/>
        </w:rPr>
        <w:t>the Primary Survey Contact</w:t>
      </w:r>
      <w:r w:rsidR="009F0A02" w:rsidRPr="00D3457C">
        <w:rPr>
          <w:rFonts w:cs="Arial"/>
          <w:snapToGrid w:val="0"/>
        </w:rPr>
        <w:t>, Secondary Survey Contact,</w:t>
      </w:r>
      <w:r w:rsidR="00C14AFF" w:rsidRPr="00D3457C">
        <w:rPr>
          <w:rFonts w:cs="Arial"/>
          <w:snapToGrid w:val="0"/>
        </w:rPr>
        <w:t xml:space="preserve"> and System Survey Contact </w:t>
      </w:r>
      <w:r w:rsidR="00A008D1" w:rsidRPr="00D3457C">
        <w:rPr>
          <w:rFonts w:cs="Arial"/>
          <w:snapToGrid w:val="0"/>
        </w:rPr>
        <w:t xml:space="preserve">will </w:t>
      </w:r>
      <w:r w:rsidR="00831650" w:rsidRPr="00D3457C">
        <w:rPr>
          <w:rFonts w:cs="Arial"/>
          <w:snapToGrid w:val="0"/>
        </w:rPr>
        <w:t xml:space="preserve">receive an email from the Help Desk </w:t>
      </w:r>
      <w:r w:rsidR="0097210B" w:rsidRPr="00D3457C">
        <w:rPr>
          <w:rFonts w:cs="Arial"/>
          <w:snapToGrid w:val="0"/>
        </w:rPr>
        <w:t>detailing potential reporting errors</w:t>
      </w:r>
      <w:r w:rsidR="00CB2CEC">
        <w:rPr>
          <w:rFonts w:cs="Arial"/>
          <w:snapToGrid w:val="0"/>
        </w:rPr>
        <w:t>.</w:t>
      </w:r>
    </w:p>
    <w:p w14:paraId="56C207D3" w14:textId="1BD79298" w:rsidR="00E03E77" w:rsidRPr="00D3457C" w:rsidRDefault="00454BBD" w:rsidP="00AD309C">
      <w:pPr>
        <w:pStyle w:val="ListParagraph"/>
        <w:numPr>
          <w:ilvl w:val="0"/>
          <w:numId w:val="26"/>
        </w:numPr>
        <w:rPr>
          <w:rFonts w:cs="Arial"/>
          <w:snapToGrid w:val="0"/>
        </w:rPr>
      </w:pPr>
      <w:r w:rsidRPr="00D3457C">
        <w:rPr>
          <w:rFonts w:cs="Arial"/>
          <w:snapToGrid w:val="0"/>
        </w:rPr>
        <w:t xml:space="preserve">Following </w:t>
      </w:r>
      <w:hyperlink r:id="rId63" w:history="1">
        <w:r w:rsidR="009B3CFF" w:rsidRPr="00954F68">
          <w:rPr>
            <w:rStyle w:val="Hyperlink"/>
            <w:rFonts w:cs="Arial"/>
            <w:snapToGrid w:val="0"/>
          </w:rPr>
          <w:t>On-Site Data Verification</w:t>
        </w:r>
      </w:hyperlink>
      <w:r w:rsidRPr="00D3457C">
        <w:rPr>
          <w:rFonts w:cs="Arial"/>
          <w:snapToGrid w:val="0"/>
        </w:rPr>
        <w:t xml:space="preserve">: </w:t>
      </w:r>
    </w:p>
    <w:p w14:paraId="6CB30CB5" w14:textId="5ADCC245" w:rsidR="00454BBD" w:rsidRPr="00D3457C" w:rsidRDefault="00454BBD" w:rsidP="00AD309C">
      <w:pPr>
        <w:pStyle w:val="ListParagraph"/>
        <w:numPr>
          <w:ilvl w:val="1"/>
          <w:numId w:val="26"/>
        </w:numPr>
        <w:rPr>
          <w:rFonts w:cs="Arial"/>
          <w:snapToGrid w:val="0"/>
        </w:rPr>
      </w:pPr>
      <w:r w:rsidRPr="00D3457C">
        <w:rPr>
          <w:rFonts w:cs="Arial"/>
          <w:snapToGrid w:val="0"/>
        </w:rPr>
        <w:t xml:space="preserve">Hospitals selected for </w:t>
      </w:r>
      <w:r w:rsidR="00D91854" w:rsidRPr="00D3457C">
        <w:rPr>
          <w:rFonts w:cs="Arial"/>
          <w:snapToGrid w:val="0"/>
        </w:rPr>
        <w:t>O</w:t>
      </w:r>
      <w:r w:rsidRPr="00D3457C">
        <w:rPr>
          <w:rFonts w:cs="Arial"/>
          <w:snapToGrid w:val="0"/>
        </w:rPr>
        <w:t>n-</w:t>
      </w:r>
      <w:r w:rsidR="00D91854" w:rsidRPr="00D3457C">
        <w:rPr>
          <w:rFonts w:cs="Arial"/>
          <w:snapToGrid w:val="0"/>
        </w:rPr>
        <w:t>S</w:t>
      </w:r>
      <w:r w:rsidRPr="00D3457C">
        <w:rPr>
          <w:rFonts w:cs="Arial"/>
          <w:snapToGrid w:val="0"/>
        </w:rPr>
        <w:t xml:space="preserve">ite </w:t>
      </w:r>
      <w:r w:rsidR="00D91854" w:rsidRPr="00D3457C">
        <w:rPr>
          <w:rFonts w:cs="Arial"/>
          <w:snapToGrid w:val="0"/>
        </w:rPr>
        <w:t>D</w:t>
      </w:r>
      <w:r w:rsidRPr="00D3457C">
        <w:rPr>
          <w:rFonts w:cs="Arial"/>
          <w:snapToGrid w:val="0"/>
        </w:rPr>
        <w:t xml:space="preserve">ata </w:t>
      </w:r>
      <w:r w:rsidR="00D91854" w:rsidRPr="00D3457C">
        <w:rPr>
          <w:rFonts w:cs="Arial"/>
          <w:snapToGrid w:val="0"/>
        </w:rPr>
        <w:t>V</w:t>
      </w:r>
      <w:r w:rsidRPr="00D3457C">
        <w:rPr>
          <w:rFonts w:cs="Arial"/>
          <w:snapToGrid w:val="0"/>
        </w:rPr>
        <w:t>erification will receive a report which will indicate any responses that need to be updated or corrected.</w:t>
      </w:r>
    </w:p>
    <w:p w14:paraId="2BFB5A8A" w14:textId="77777777" w:rsidR="00310565" w:rsidRPr="00D3457C" w:rsidRDefault="00AC579B" w:rsidP="00AD309C">
      <w:pPr>
        <w:pStyle w:val="ListParagraph"/>
        <w:numPr>
          <w:ilvl w:val="0"/>
          <w:numId w:val="26"/>
        </w:numPr>
        <w:rPr>
          <w:rFonts w:cs="Arial"/>
          <w:snapToGrid w:val="0"/>
        </w:rPr>
      </w:pPr>
      <w:r w:rsidRPr="00D3457C">
        <w:rPr>
          <w:rFonts w:cs="Arial"/>
          <w:snapToGrid w:val="0"/>
        </w:rPr>
        <w:t>At the discretion of the hospital</w:t>
      </w:r>
      <w:r w:rsidR="00310565" w:rsidRPr="00D3457C">
        <w:rPr>
          <w:rFonts w:cs="Arial"/>
          <w:snapToGrid w:val="0"/>
        </w:rPr>
        <w:t>:</w:t>
      </w:r>
    </w:p>
    <w:p w14:paraId="64CD316E" w14:textId="6AA8782D" w:rsidR="00310565" w:rsidRPr="00D3457C" w:rsidRDefault="00310565" w:rsidP="00AD309C">
      <w:pPr>
        <w:pStyle w:val="ListParagraph"/>
        <w:numPr>
          <w:ilvl w:val="1"/>
          <w:numId w:val="26"/>
        </w:numPr>
        <w:rPr>
          <w:rFonts w:cs="Arial"/>
          <w:snapToGrid w:val="0"/>
        </w:rPr>
      </w:pPr>
      <w:r w:rsidRPr="00D3457C">
        <w:rPr>
          <w:rFonts w:cs="Arial"/>
          <w:snapToGrid w:val="0"/>
        </w:rPr>
        <w:t>T</w:t>
      </w:r>
      <w:r w:rsidR="003827A4" w:rsidRPr="00D3457C">
        <w:rPr>
          <w:rFonts w:cs="Arial"/>
          <w:snapToGrid w:val="0"/>
        </w:rPr>
        <w:t xml:space="preserve">o correct a data entry </w:t>
      </w:r>
      <w:r w:rsidR="00D91854" w:rsidRPr="00D3457C">
        <w:rPr>
          <w:rFonts w:cs="Arial"/>
          <w:snapToGrid w:val="0"/>
        </w:rPr>
        <w:t>or reporting error</w:t>
      </w:r>
      <w:r w:rsidR="00CB2CEC">
        <w:rPr>
          <w:rFonts w:cs="Arial"/>
          <w:snapToGrid w:val="0"/>
        </w:rPr>
        <w:t>.</w:t>
      </w:r>
    </w:p>
    <w:p w14:paraId="2EEE25E0" w14:textId="6F847990" w:rsidR="00310565" w:rsidRPr="00D3457C" w:rsidRDefault="00310565" w:rsidP="00AD309C">
      <w:pPr>
        <w:pStyle w:val="ListParagraph"/>
        <w:numPr>
          <w:ilvl w:val="1"/>
          <w:numId w:val="26"/>
        </w:numPr>
        <w:rPr>
          <w:rFonts w:cs="Arial"/>
          <w:snapToGrid w:val="0"/>
        </w:rPr>
      </w:pPr>
      <w:r w:rsidRPr="00D3457C">
        <w:rPr>
          <w:rFonts w:cs="Arial"/>
          <w:snapToGrid w:val="0"/>
        </w:rPr>
        <w:t xml:space="preserve">To reflect </w:t>
      </w:r>
      <w:r w:rsidR="003827A4" w:rsidRPr="00D3457C">
        <w:rPr>
          <w:rFonts w:cs="Arial"/>
          <w:snapToGrid w:val="0"/>
        </w:rPr>
        <w:t>a change in status or performance</w:t>
      </w:r>
      <w:r w:rsidRPr="00D3457C">
        <w:rPr>
          <w:rFonts w:cs="Arial"/>
          <w:snapToGrid w:val="0"/>
        </w:rPr>
        <w:t xml:space="preserve"> on a measure</w:t>
      </w:r>
      <w:r w:rsidR="00A43085" w:rsidRPr="00D3457C">
        <w:rPr>
          <w:rFonts w:cs="Arial"/>
          <w:snapToGrid w:val="0"/>
        </w:rPr>
        <w:t xml:space="preserve"> (</w:t>
      </w:r>
      <w:r w:rsidR="008D00BF" w:rsidRPr="00D3457C">
        <w:rPr>
          <w:rFonts w:cs="Arial"/>
          <w:snapToGrid w:val="0"/>
        </w:rPr>
        <w:t>e.g.,</w:t>
      </w:r>
      <w:r w:rsidR="00A43085" w:rsidRPr="00D3457C">
        <w:rPr>
          <w:rFonts w:cs="Arial"/>
          <w:snapToGrid w:val="0"/>
        </w:rPr>
        <w:t xml:space="preserve"> closed a unit</w:t>
      </w:r>
      <w:r w:rsidR="00366BEF">
        <w:rPr>
          <w:rFonts w:cs="Arial"/>
          <w:snapToGrid w:val="0"/>
        </w:rPr>
        <w:t xml:space="preserve">, </w:t>
      </w:r>
      <w:r w:rsidR="00A43085" w:rsidRPr="00D3457C">
        <w:rPr>
          <w:rFonts w:cs="Arial"/>
          <w:snapToGrid w:val="0"/>
        </w:rPr>
        <w:t>stopped performing a procedure</w:t>
      </w:r>
      <w:r w:rsidR="00366BEF">
        <w:rPr>
          <w:rFonts w:cs="Arial"/>
          <w:snapToGrid w:val="0"/>
        </w:rPr>
        <w:t>,</w:t>
      </w:r>
      <w:r w:rsidR="00D91854" w:rsidRPr="00D3457C">
        <w:rPr>
          <w:rFonts w:cs="Arial"/>
          <w:snapToGrid w:val="0"/>
        </w:rPr>
        <w:t xml:space="preserve"> implemented a </w:t>
      </w:r>
      <w:r w:rsidR="002F1ABD" w:rsidRPr="00D3457C">
        <w:rPr>
          <w:rFonts w:cs="Arial"/>
          <w:snapToGrid w:val="0"/>
        </w:rPr>
        <w:t xml:space="preserve">new </w:t>
      </w:r>
      <w:r w:rsidR="00D91854" w:rsidRPr="00D3457C">
        <w:rPr>
          <w:rFonts w:cs="Arial"/>
          <w:snapToGrid w:val="0"/>
        </w:rPr>
        <w:t>policy</w:t>
      </w:r>
      <w:r w:rsidR="00366BEF">
        <w:rPr>
          <w:rFonts w:cs="Arial"/>
          <w:snapToGrid w:val="0"/>
        </w:rPr>
        <w:t>, etc.</w:t>
      </w:r>
      <w:r w:rsidR="00A43085" w:rsidRPr="00D3457C">
        <w:rPr>
          <w:rFonts w:cs="Arial"/>
          <w:snapToGrid w:val="0"/>
        </w:rPr>
        <w:t>)</w:t>
      </w:r>
      <w:r w:rsidR="00CB2CEC">
        <w:rPr>
          <w:rFonts w:cs="Arial"/>
          <w:snapToGrid w:val="0"/>
        </w:rPr>
        <w:t>.</w:t>
      </w:r>
    </w:p>
    <w:p w14:paraId="23DDA817" w14:textId="0BFBB0D0" w:rsidR="00F509C9" w:rsidRDefault="00A43085" w:rsidP="00AD309C">
      <w:pPr>
        <w:pStyle w:val="ListParagraph"/>
        <w:numPr>
          <w:ilvl w:val="1"/>
          <w:numId w:val="26"/>
        </w:numPr>
        <w:rPr>
          <w:rFonts w:cs="Arial"/>
          <w:snapToGrid w:val="0"/>
        </w:rPr>
      </w:pPr>
      <w:r w:rsidRPr="00D3457C">
        <w:rPr>
          <w:rFonts w:cs="Arial"/>
          <w:snapToGrid w:val="0"/>
        </w:rPr>
        <w:t>To p</w:t>
      </w:r>
      <w:r w:rsidR="007D39F9" w:rsidRPr="00D3457C">
        <w:rPr>
          <w:rFonts w:cs="Arial"/>
          <w:snapToGrid w:val="0"/>
        </w:rPr>
        <w:t>rovide more current</w:t>
      </w:r>
      <w:r w:rsidR="00310565" w:rsidRPr="00D3457C">
        <w:rPr>
          <w:rFonts w:cs="Arial"/>
          <w:snapToGrid w:val="0"/>
        </w:rPr>
        <w:t xml:space="preserve"> respo</w:t>
      </w:r>
      <w:r w:rsidR="00BF4EA6" w:rsidRPr="00D3457C">
        <w:rPr>
          <w:rFonts w:cs="Arial"/>
          <w:snapToGrid w:val="0"/>
        </w:rPr>
        <w:t xml:space="preserve">nses </w:t>
      </w:r>
      <w:r w:rsidR="00D91854" w:rsidRPr="00D3457C">
        <w:rPr>
          <w:rFonts w:cs="Arial"/>
          <w:snapToGrid w:val="0"/>
        </w:rPr>
        <w:t xml:space="preserve">based on </w:t>
      </w:r>
      <w:r w:rsidR="00F220B6">
        <w:rPr>
          <w:rFonts w:cs="Arial"/>
          <w:snapToGrid w:val="0"/>
        </w:rPr>
        <w:t xml:space="preserve">the </w:t>
      </w:r>
      <w:r w:rsidR="00D91854" w:rsidRPr="00D3457C">
        <w:rPr>
          <w:rFonts w:cs="Arial"/>
          <w:snapToGrid w:val="0"/>
        </w:rPr>
        <w:t>reporting periods outlined in the hard copy of the Survey</w:t>
      </w:r>
      <w:r w:rsidR="00CB2CEC">
        <w:rPr>
          <w:rFonts w:cs="Arial"/>
          <w:snapToGrid w:val="0"/>
        </w:rPr>
        <w:t>.</w:t>
      </w:r>
    </w:p>
    <w:p w14:paraId="2CCD2DCC" w14:textId="77777777" w:rsidR="005951F7" w:rsidRPr="00AB037D" w:rsidRDefault="005951F7" w:rsidP="008E7003">
      <w:pPr>
        <w:rPr>
          <w:rFonts w:cs="Arial"/>
          <w:snapToGrid w:val="0"/>
        </w:rPr>
      </w:pPr>
    </w:p>
    <w:p w14:paraId="04E9556D" w14:textId="0FE8E808" w:rsidR="008E7003" w:rsidRPr="006A5BE3" w:rsidRDefault="008E7003" w:rsidP="008E7003">
      <w:pPr>
        <w:rPr>
          <w:rFonts w:cs="Arial"/>
          <w:b/>
          <w:bCs/>
          <w:i/>
          <w:iCs/>
          <w:snapToGrid w:val="0"/>
          <w:sz w:val="18"/>
          <w:szCs w:val="18"/>
        </w:rPr>
      </w:pPr>
      <w:r w:rsidRPr="006A5BE3">
        <w:rPr>
          <w:rFonts w:cs="Arial"/>
          <w:b/>
          <w:bCs/>
          <w:i/>
          <w:iCs/>
          <w:snapToGrid w:val="0"/>
          <w:sz w:val="18"/>
          <w:szCs w:val="18"/>
        </w:rPr>
        <w:t xml:space="preserve">Following any updates, hospitals should always use the steps for verifying submission provided </w:t>
      </w:r>
      <w:hyperlink w:anchor="_Verifying_Submission_1" w:history="1">
        <w:r w:rsidR="005951F7" w:rsidRPr="006A5BE3">
          <w:rPr>
            <w:rStyle w:val="Hyperlink"/>
            <w:rFonts w:cs="Arial"/>
            <w:b/>
            <w:bCs/>
            <w:i/>
            <w:iCs/>
            <w:snapToGrid w:val="0"/>
            <w:sz w:val="18"/>
            <w:szCs w:val="18"/>
          </w:rPr>
          <w:t>above</w:t>
        </w:r>
      </w:hyperlink>
      <w:r w:rsidR="005951F7" w:rsidRPr="006A5BE3">
        <w:rPr>
          <w:rFonts w:cs="Arial"/>
          <w:b/>
          <w:bCs/>
          <w:i/>
          <w:iCs/>
          <w:snapToGrid w:val="0"/>
          <w:sz w:val="18"/>
          <w:szCs w:val="18"/>
        </w:rPr>
        <w:t xml:space="preserve">. </w:t>
      </w:r>
    </w:p>
    <w:p w14:paraId="0D07C477" w14:textId="77777777" w:rsidR="002B59FE" w:rsidRPr="00AB037D" w:rsidRDefault="002B59FE" w:rsidP="00AB037D">
      <w:pPr>
        <w:rPr>
          <w:rFonts w:cs="Arial"/>
          <w:snapToGrid w:val="0"/>
        </w:rPr>
      </w:pPr>
    </w:p>
    <w:p w14:paraId="1E33E9EC" w14:textId="73B4E295" w:rsidR="00AC579B" w:rsidRPr="007475A2" w:rsidRDefault="0094168C" w:rsidP="00AB5B80">
      <w:pPr>
        <w:pStyle w:val="Heading3"/>
      </w:pPr>
      <w:bookmarkStart w:id="35" w:name="_Toc225877644"/>
      <w:r w:rsidRPr="00D3457C">
        <w:t>Updat</w:t>
      </w:r>
      <w:r w:rsidR="001D5038" w:rsidRPr="00D3457C">
        <w:t>ing a Survey</w:t>
      </w:r>
      <w:r w:rsidRPr="00D3457C">
        <w:t xml:space="preserve"> </w:t>
      </w:r>
      <w:r w:rsidR="00755915">
        <w:t>A</w:t>
      </w:r>
      <w:r w:rsidR="00945F47" w:rsidRPr="00D3457C">
        <w:t xml:space="preserve">fter Receiving </w:t>
      </w:r>
      <w:r w:rsidR="00456A42" w:rsidRPr="00D3457C">
        <w:t xml:space="preserve">a </w:t>
      </w:r>
      <w:r w:rsidR="00945F47" w:rsidRPr="00D3457C">
        <w:t>Help Desk</w:t>
      </w:r>
      <w:r w:rsidR="00320C18" w:rsidRPr="00D3457C">
        <w:t xml:space="preserve"> E</w:t>
      </w:r>
      <w:r w:rsidR="00CF1881" w:rsidRPr="00D3457C">
        <w:t>mail</w:t>
      </w:r>
      <w:bookmarkEnd w:id="35"/>
      <w:r w:rsidR="00590E25" w:rsidRPr="00D3457C">
        <w:t xml:space="preserve"> </w:t>
      </w:r>
    </w:p>
    <w:p w14:paraId="1EEA42C7" w14:textId="77777777" w:rsidR="00DE6E30" w:rsidRPr="00D3457C" w:rsidRDefault="00DE6E30" w:rsidP="00AC579B">
      <w:pPr>
        <w:rPr>
          <w:rFonts w:cs="Arial"/>
          <w:snapToGrid w:val="0"/>
        </w:rPr>
      </w:pPr>
    </w:p>
    <w:p w14:paraId="48A1BCB1" w14:textId="6E45B9D7" w:rsidR="00190470" w:rsidRPr="00D3457C" w:rsidRDefault="00AC579B" w:rsidP="00AC579B">
      <w:pPr>
        <w:rPr>
          <w:rFonts w:cs="Arial"/>
          <w:snapToGrid w:val="0"/>
        </w:rPr>
      </w:pPr>
      <w:r w:rsidRPr="00D3457C">
        <w:rPr>
          <w:rFonts w:cs="Arial"/>
          <w:snapToGrid w:val="0"/>
        </w:rPr>
        <w:t xml:space="preserve">Leapfrog conducts </w:t>
      </w:r>
      <w:hyperlink r:id="rId64" w:history="1">
        <w:r w:rsidR="005140BE" w:rsidRPr="00D3457C">
          <w:rPr>
            <w:rStyle w:val="Hyperlink"/>
            <w:rFonts w:cs="Arial"/>
            <w:snapToGrid w:val="0"/>
          </w:rPr>
          <w:t>Extensive Monthly Data Verification</w:t>
        </w:r>
      </w:hyperlink>
      <w:r w:rsidRPr="00D3457C">
        <w:rPr>
          <w:rFonts w:cs="Arial"/>
          <w:snapToGrid w:val="0"/>
        </w:rPr>
        <w:t xml:space="preserve"> of </w:t>
      </w:r>
      <w:r w:rsidR="00190470" w:rsidRPr="00D3457C">
        <w:rPr>
          <w:rFonts w:cs="Arial"/>
          <w:snapToGrid w:val="0"/>
        </w:rPr>
        <w:t>response</w:t>
      </w:r>
      <w:r w:rsidR="00B243D6" w:rsidRPr="00D3457C">
        <w:rPr>
          <w:rFonts w:cs="Arial"/>
          <w:snapToGrid w:val="0"/>
        </w:rPr>
        <w:t>s</w:t>
      </w:r>
      <w:r w:rsidR="00190470" w:rsidRPr="00D3457C">
        <w:rPr>
          <w:rFonts w:cs="Arial"/>
          <w:snapToGrid w:val="0"/>
        </w:rPr>
        <w:t xml:space="preserve"> </w:t>
      </w:r>
      <w:r w:rsidRPr="00D3457C">
        <w:rPr>
          <w:rFonts w:cs="Arial"/>
          <w:snapToGrid w:val="0"/>
        </w:rPr>
        <w:t xml:space="preserve">submitted </w:t>
      </w:r>
      <w:r w:rsidR="00190470" w:rsidRPr="00D3457C">
        <w:rPr>
          <w:rFonts w:cs="Arial"/>
          <w:snapToGrid w:val="0"/>
        </w:rPr>
        <w:t xml:space="preserve">to the Leapfrog Hospital </w:t>
      </w:r>
      <w:r w:rsidR="00C14AFF" w:rsidRPr="00D3457C">
        <w:rPr>
          <w:rFonts w:cs="Arial"/>
          <w:snapToGrid w:val="0"/>
        </w:rPr>
        <w:t>Survey</w:t>
      </w:r>
      <w:r w:rsidRPr="00D3457C">
        <w:rPr>
          <w:rFonts w:cs="Arial"/>
          <w:snapToGrid w:val="0"/>
        </w:rPr>
        <w:t xml:space="preserve"> starting with </w:t>
      </w:r>
      <w:r w:rsidR="00C14AFF" w:rsidRPr="00D3457C">
        <w:rPr>
          <w:rFonts w:cs="Arial"/>
          <w:snapToGrid w:val="0"/>
        </w:rPr>
        <w:t>Survey</w:t>
      </w:r>
      <w:r w:rsidR="004546CF" w:rsidRPr="00D3457C">
        <w:rPr>
          <w:rFonts w:cs="Arial"/>
          <w:snapToGrid w:val="0"/>
        </w:rPr>
        <w:t xml:space="preserve">s submitted </w:t>
      </w:r>
      <w:r w:rsidR="009F0A02" w:rsidRPr="00D3457C">
        <w:rPr>
          <w:rFonts w:cs="Arial"/>
          <w:snapToGrid w:val="0"/>
        </w:rPr>
        <w:t>by the</w:t>
      </w:r>
      <w:r w:rsidR="000E30E1" w:rsidRPr="00D3457C">
        <w:rPr>
          <w:rFonts w:cs="Arial"/>
          <w:snapToGrid w:val="0"/>
        </w:rPr>
        <w:t xml:space="preserve"> </w:t>
      </w:r>
      <w:r w:rsidR="00C06E0F">
        <w:rPr>
          <w:rFonts w:cs="Arial"/>
          <w:snapToGrid w:val="0"/>
        </w:rPr>
        <w:t>Ju</w:t>
      </w:r>
      <w:r w:rsidR="00977015">
        <w:rPr>
          <w:rFonts w:cs="Arial"/>
          <w:snapToGrid w:val="0"/>
        </w:rPr>
        <w:t>ne</w:t>
      </w:r>
      <w:r w:rsidR="00C06E0F">
        <w:rPr>
          <w:rFonts w:cs="Arial"/>
          <w:snapToGrid w:val="0"/>
        </w:rPr>
        <w:t xml:space="preserve"> 3</w:t>
      </w:r>
      <w:r w:rsidR="00977015">
        <w:rPr>
          <w:rFonts w:cs="Arial"/>
          <w:snapToGrid w:val="0"/>
        </w:rPr>
        <w:t>0</w:t>
      </w:r>
      <w:r w:rsidR="009F0A02" w:rsidRPr="00D3457C">
        <w:rPr>
          <w:rFonts w:cs="Arial"/>
          <w:snapToGrid w:val="0"/>
        </w:rPr>
        <w:t xml:space="preserve"> Submission Deadline</w:t>
      </w:r>
      <w:r w:rsidR="000E30E1" w:rsidRPr="00D3457C">
        <w:t xml:space="preserve"> </w:t>
      </w:r>
      <w:r w:rsidRPr="00D3457C">
        <w:rPr>
          <w:rFonts w:cs="Arial"/>
          <w:snapToGrid w:val="0"/>
        </w:rPr>
        <w:t>and monthly therea</w:t>
      </w:r>
      <w:r w:rsidR="004546CF" w:rsidRPr="00D3457C">
        <w:rPr>
          <w:rFonts w:cs="Arial"/>
          <w:snapToGrid w:val="0"/>
        </w:rPr>
        <w:t xml:space="preserve">fter until the </w:t>
      </w:r>
      <w:r w:rsidR="009F0A02" w:rsidRPr="00D3457C">
        <w:rPr>
          <w:rFonts w:cs="Arial"/>
          <w:snapToGrid w:val="0"/>
        </w:rPr>
        <w:t xml:space="preserve">Online </w:t>
      </w:r>
      <w:r w:rsidR="004546CF" w:rsidRPr="00D3457C">
        <w:rPr>
          <w:rFonts w:cs="Arial"/>
          <w:snapToGrid w:val="0"/>
        </w:rPr>
        <w:t xml:space="preserve">Survey </w:t>
      </w:r>
      <w:r w:rsidR="009F0A02" w:rsidRPr="00D3457C">
        <w:rPr>
          <w:rFonts w:cs="Arial"/>
          <w:snapToGrid w:val="0"/>
        </w:rPr>
        <w:t xml:space="preserve">Tool </w:t>
      </w:r>
      <w:r w:rsidR="004546CF" w:rsidRPr="00D3457C">
        <w:rPr>
          <w:rFonts w:cs="Arial"/>
          <w:snapToGrid w:val="0"/>
        </w:rPr>
        <w:t>is taken offline on January 31</w:t>
      </w:r>
      <w:r w:rsidR="00190470" w:rsidRPr="00D3457C">
        <w:rPr>
          <w:rFonts w:cs="Arial"/>
          <w:snapToGrid w:val="0"/>
        </w:rPr>
        <w:t xml:space="preserve">. </w:t>
      </w:r>
      <w:r w:rsidR="0069132C" w:rsidRPr="00D3457C">
        <w:rPr>
          <w:rFonts w:cs="Arial"/>
          <w:snapToGrid w:val="0"/>
        </w:rPr>
        <w:t xml:space="preserve">Following the </w:t>
      </w:r>
      <w:r w:rsidR="005140BE" w:rsidRPr="00D3457C">
        <w:rPr>
          <w:rFonts w:cs="Arial"/>
          <w:snapToGrid w:val="0"/>
        </w:rPr>
        <w:t>Extensive Monthly Data Verification</w:t>
      </w:r>
      <w:r w:rsidR="00190470" w:rsidRPr="00D3457C">
        <w:rPr>
          <w:rFonts w:cs="Arial"/>
          <w:snapToGrid w:val="0"/>
        </w:rPr>
        <w:t xml:space="preserve">, </w:t>
      </w:r>
      <w:r w:rsidR="009737FA" w:rsidRPr="00D3457C">
        <w:rPr>
          <w:rFonts w:cs="Arial"/>
          <w:snapToGrid w:val="0"/>
        </w:rPr>
        <w:t xml:space="preserve">the </w:t>
      </w:r>
      <w:r w:rsidR="00C14AFF" w:rsidRPr="00D3457C">
        <w:rPr>
          <w:rFonts w:cs="Arial"/>
          <w:b/>
          <w:snapToGrid w:val="0"/>
        </w:rPr>
        <w:t>Primary Survey Contact</w:t>
      </w:r>
      <w:r w:rsidR="000E30E1" w:rsidRPr="00D3457C">
        <w:rPr>
          <w:rFonts w:cs="Arial"/>
          <w:b/>
          <w:snapToGrid w:val="0"/>
        </w:rPr>
        <w:t>, Secondary Survey Contact,</w:t>
      </w:r>
      <w:r w:rsidR="009737FA" w:rsidRPr="00D3457C">
        <w:rPr>
          <w:rFonts w:cs="Arial"/>
          <w:b/>
          <w:snapToGrid w:val="0"/>
        </w:rPr>
        <w:t xml:space="preserve"> and System Contact</w:t>
      </w:r>
      <w:r w:rsidRPr="00D3457C">
        <w:rPr>
          <w:rFonts w:cs="Arial"/>
          <w:snapToGrid w:val="0"/>
        </w:rPr>
        <w:t xml:space="preserve"> are notified </w:t>
      </w:r>
      <w:r w:rsidR="00190470" w:rsidRPr="00D3457C">
        <w:rPr>
          <w:rFonts w:cs="Arial"/>
          <w:snapToGrid w:val="0"/>
        </w:rPr>
        <w:t xml:space="preserve">by email </w:t>
      </w:r>
      <w:r w:rsidRPr="00D3457C">
        <w:rPr>
          <w:rFonts w:cs="Arial"/>
          <w:snapToGrid w:val="0"/>
        </w:rPr>
        <w:t xml:space="preserve">of any </w:t>
      </w:r>
      <w:r w:rsidR="00C14AFF" w:rsidRPr="00D3457C">
        <w:rPr>
          <w:rFonts w:cs="Arial"/>
          <w:snapToGrid w:val="0"/>
        </w:rPr>
        <w:t>Survey</w:t>
      </w:r>
      <w:r w:rsidR="00C5108B" w:rsidRPr="00D3457C">
        <w:rPr>
          <w:rFonts w:cs="Arial"/>
          <w:snapToGrid w:val="0"/>
        </w:rPr>
        <w:t xml:space="preserve"> responses that</w:t>
      </w:r>
      <w:r w:rsidRPr="00D3457C">
        <w:rPr>
          <w:rFonts w:cs="Arial"/>
          <w:snapToGrid w:val="0"/>
        </w:rPr>
        <w:t xml:space="preserve"> need to</w:t>
      </w:r>
      <w:r w:rsidR="00190470" w:rsidRPr="00D3457C">
        <w:rPr>
          <w:rFonts w:cs="Arial"/>
          <w:snapToGrid w:val="0"/>
        </w:rPr>
        <w:t xml:space="preserve"> be</w:t>
      </w:r>
      <w:r w:rsidRPr="00D3457C">
        <w:rPr>
          <w:rFonts w:cs="Arial"/>
          <w:snapToGrid w:val="0"/>
        </w:rPr>
        <w:t xml:space="preserve"> review</w:t>
      </w:r>
      <w:r w:rsidR="00190470" w:rsidRPr="00D3457C">
        <w:rPr>
          <w:rFonts w:cs="Arial"/>
          <w:snapToGrid w:val="0"/>
        </w:rPr>
        <w:t>ed</w:t>
      </w:r>
      <w:r w:rsidRPr="00D3457C">
        <w:rPr>
          <w:rFonts w:cs="Arial"/>
          <w:snapToGrid w:val="0"/>
        </w:rPr>
        <w:t xml:space="preserve"> and</w:t>
      </w:r>
      <w:r w:rsidR="00190470" w:rsidRPr="00D3457C">
        <w:rPr>
          <w:rFonts w:cs="Arial"/>
          <w:snapToGrid w:val="0"/>
        </w:rPr>
        <w:t>/or</w:t>
      </w:r>
      <w:r w:rsidRPr="00D3457C">
        <w:rPr>
          <w:rFonts w:cs="Arial"/>
          <w:snapToGrid w:val="0"/>
        </w:rPr>
        <w:t xml:space="preserve"> update</w:t>
      </w:r>
      <w:r w:rsidR="00190470" w:rsidRPr="00D3457C">
        <w:rPr>
          <w:rFonts w:cs="Arial"/>
          <w:snapToGrid w:val="0"/>
        </w:rPr>
        <w:t>d by the hospital</w:t>
      </w:r>
      <w:r w:rsidR="004546CF" w:rsidRPr="00D3457C">
        <w:rPr>
          <w:rFonts w:cs="Arial"/>
          <w:snapToGrid w:val="0"/>
        </w:rPr>
        <w:t xml:space="preserve">. </w:t>
      </w:r>
    </w:p>
    <w:p w14:paraId="7FD0AC19" w14:textId="77777777" w:rsidR="000C7B09" w:rsidRPr="00D3457C" w:rsidRDefault="000C7B09" w:rsidP="00AC579B">
      <w:pPr>
        <w:rPr>
          <w:rFonts w:cs="Arial"/>
          <w:snapToGrid w:val="0"/>
        </w:rPr>
      </w:pPr>
    </w:p>
    <w:p w14:paraId="036742DB" w14:textId="2B0CE000" w:rsidR="00AC579B" w:rsidRPr="00D3457C" w:rsidRDefault="00C22E49" w:rsidP="004546CF">
      <w:pPr>
        <w:rPr>
          <w:rFonts w:cs="Arial"/>
          <w:snapToGrid w:val="0"/>
        </w:rPr>
      </w:pPr>
      <w:r w:rsidRPr="00D3457C">
        <w:rPr>
          <w:rFonts w:cs="Arial"/>
          <w:snapToGrid w:val="0"/>
        </w:rPr>
        <w:t>If you</w:t>
      </w:r>
      <w:r w:rsidR="00AC579B" w:rsidRPr="00D3457C">
        <w:rPr>
          <w:rFonts w:cs="Arial"/>
          <w:snapToGrid w:val="0"/>
        </w:rPr>
        <w:t xml:space="preserve"> </w:t>
      </w:r>
      <w:r w:rsidR="00184370" w:rsidRPr="00D3457C">
        <w:rPr>
          <w:rFonts w:cs="Arial"/>
          <w:snapToGrid w:val="0"/>
        </w:rPr>
        <w:t xml:space="preserve">receive a </w:t>
      </w:r>
      <w:r w:rsidR="009F0A02" w:rsidRPr="00D3457C">
        <w:rPr>
          <w:rFonts w:cs="Arial"/>
          <w:snapToGrid w:val="0"/>
        </w:rPr>
        <w:t>Data Verification</w:t>
      </w:r>
      <w:r w:rsidR="00184370" w:rsidRPr="00D3457C">
        <w:rPr>
          <w:rFonts w:cs="Arial"/>
          <w:snapToGrid w:val="0"/>
        </w:rPr>
        <w:t xml:space="preserve"> email</w:t>
      </w:r>
      <w:r w:rsidRPr="00D3457C">
        <w:rPr>
          <w:rFonts w:cs="Arial"/>
          <w:snapToGrid w:val="0"/>
        </w:rPr>
        <w:t>, you</w:t>
      </w:r>
      <w:r w:rsidR="00184370" w:rsidRPr="00D3457C">
        <w:rPr>
          <w:rFonts w:cs="Arial"/>
          <w:snapToGrid w:val="0"/>
        </w:rPr>
        <w:t xml:space="preserve"> are required to </w:t>
      </w:r>
      <w:r w:rsidR="004546CF" w:rsidRPr="00D3457C">
        <w:rPr>
          <w:rFonts w:cs="Arial"/>
          <w:snapToGrid w:val="0"/>
        </w:rPr>
        <w:t xml:space="preserve">document that your original responses were correct or </w:t>
      </w:r>
      <w:r w:rsidR="00184370" w:rsidRPr="00D3457C">
        <w:rPr>
          <w:rFonts w:cs="Arial"/>
          <w:snapToGrid w:val="0"/>
        </w:rPr>
        <w:t>upda</w:t>
      </w:r>
      <w:r w:rsidR="00320C18" w:rsidRPr="00D3457C">
        <w:rPr>
          <w:rFonts w:cs="Arial"/>
          <w:snapToGrid w:val="0"/>
        </w:rPr>
        <w:t>te/correct your</w:t>
      </w:r>
      <w:r w:rsidR="00AC579B" w:rsidRPr="00D3457C">
        <w:rPr>
          <w:rFonts w:cs="Arial"/>
          <w:snapToGrid w:val="0"/>
        </w:rPr>
        <w:t xml:space="preserve"> previously submitted Leapfrog Hospital </w:t>
      </w:r>
      <w:r w:rsidR="00C14AFF" w:rsidRPr="00D3457C">
        <w:rPr>
          <w:rFonts w:cs="Arial"/>
          <w:snapToGrid w:val="0"/>
        </w:rPr>
        <w:t>Survey</w:t>
      </w:r>
      <w:r w:rsidR="00320C18" w:rsidRPr="00D3457C">
        <w:rPr>
          <w:rFonts w:cs="Arial"/>
          <w:snapToGrid w:val="0"/>
        </w:rPr>
        <w:t xml:space="preserve"> by the end of the </w:t>
      </w:r>
      <w:r w:rsidR="003058E0">
        <w:rPr>
          <w:rFonts w:cs="Arial"/>
          <w:snapToGrid w:val="0"/>
        </w:rPr>
        <w:t xml:space="preserve">same </w:t>
      </w:r>
      <w:r w:rsidR="00320C18" w:rsidRPr="00D3457C">
        <w:rPr>
          <w:rFonts w:cs="Arial"/>
          <w:snapToGrid w:val="0"/>
        </w:rPr>
        <w:t>month</w:t>
      </w:r>
      <w:r w:rsidR="00AC579B" w:rsidRPr="00D3457C">
        <w:rPr>
          <w:rFonts w:cs="Arial"/>
          <w:snapToGrid w:val="0"/>
        </w:rPr>
        <w:t xml:space="preserve"> </w:t>
      </w:r>
      <w:r w:rsidR="00184370" w:rsidRPr="00D3457C">
        <w:rPr>
          <w:rFonts w:cs="Arial"/>
          <w:snapToGrid w:val="0"/>
        </w:rPr>
        <w:t>using</w:t>
      </w:r>
      <w:r w:rsidR="004546CF" w:rsidRPr="00D3457C">
        <w:rPr>
          <w:rFonts w:cs="Arial"/>
          <w:snapToGrid w:val="0"/>
        </w:rPr>
        <w:t xml:space="preserve"> t</w:t>
      </w:r>
      <w:r w:rsidR="00AC579B" w:rsidRPr="00D3457C">
        <w:rPr>
          <w:rFonts w:cs="Arial"/>
          <w:snapToGrid w:val="0"/>
        </w:rPr>
        <w:t xml:space="preserve">he </w:t>
      </w:r>
      <w:r w:rsidR="004546CF" w:rsidRPr="00D3457C">
        <w:rPr>
          <w:rFonts w:cs="Arial"/>
          <w:b/>
          <w:snapToGrid w:val="0"/>
        </w:rPr>
        <w:t>original</w:t>
      </w:r>
      <w:r w:rsidR="00AC579B" w:rsidRPr="00D3457C">
        <w:rPr>
          <w:rFonts w:cs="Arial"/>
          <w:snapToGrid w:val="0"/>
        </w:rPr>
        <w:t xml:space="preserve"> reporting period </w:t>
      </w:r>
      <w:r w:rsidR="00184370" w:rsidRPr="00D3457C">
        <w:rPr>
          <w:rFonts w:cs="Arial"/>
          <w:snapToGrid w:val="0"/>
        </w:rPr>
        <w:t xml:space="preserve">that was </w:t>
      </w:r>
      <w:r w:rsidR="00AC579B" w:rsidRPr="00D3457C">
        <w:rPr>
          <w:rFonts w:cs="Arial"/>
          <w:snapToGrid w:val="0"/>
        </w:rPr>
        <w:t>u</w:t>
      </w:r>
      <w:r w:rsidR="00184370" w:rsidRPr="00D3457C">
        <w:rPr>
          <w:rFonts w:cs="Arial"/>
          <w:snapToGrid w:val="0"/>
        </w:rPr>
        <w:t>sed for that section</w:t>
      </w:r>
      <w:r w:rsidR="004B276B" w:rsidRPr="00D3457C">
        <w:rPr>
          <w:rFonts w:cs="Arial"/>
          <w:snapToGrid w:val="0"/>
        </w:rPr>
        <w:t xml:space="preserve"> of the </w:t>
      </w:r>
      <w:r w:rsidR="00C14AFF" w:rsidRPr="00D3457C">
        <w:rPr>
          <w:rFonts w:cs="Arial"/>
          <w:snapToGrid w:val="0"/>
        </w:rPr>
        <w:t>Survey</w:t>
      </w:r>
      <w:r w:rsidR="00211D8D" w:rsidRPr="00D3457C">
        <w:rPr>
          <w:rFonts w:cs="Arial"/>
          <w:snapToGrid w:val="0"/>
        </w:rPr>
        <w:t xml:space="preserve"> in</w:t>
      </w:r>
      <w:r w:rsidR="00184370" w:rsidRPr="00D3457C">
        <w:rPr>
          <w:rFonts w:cs="Arial"/>
          <w:snapToGrid w:val="0"/>
        </w:rPr>
        <w:t xml:space="preserve"> the original submission. For example, if a hospital submitted a </w:t>
      </w:r>
      <w:r w:rsidR="00C14AFF" w:rsidRPr="00D3457C">
        <w:rPr>
          <w:rFonts w:cs="Arial"/>
          <w:snapToGrid w:val="0"/>
        </w:rPr>
        <w:t>Survey</w:t>
      </w:r>
      <w:r w:rsidR="00184370" w:rsidRPr="00D3457C">
        <w:rPr>
          <w:rFonts w:cs="Arial"/>
          <w:snapToGrid w:val="0"/>
        </w:rPr>
        <w:t xml:space="preserve"> for the first time on August 2</w:t>
      </w:r>
      <w:r w:rsidR="00647BB9">
        <w:rPr>
          <w:rFonts w:cs="Arial"/>
          <w:snapToGrid w:val="0"/>
        </w:rPr>
        <w:t>0</w:t>
      </w:r>
      <w:r w:rsidR="0030732F">
        <w:rPr>
          <w:rFonts w:cs="Arial"/>
          <w:snapToGrid w:val="0"/>
        </w:rPr>
        <w:t>,</w:t>
      </w:r>
      <w:r w:rsidR="00184370" w:rsidRPr="00D3457C">
        <w:rPr>
          <w:rFonts w:cs="Arial"/>
          <w:snapToGrid w:val="0"/>
        </w:rPr>
        <w:t xml:space="preserve"> then received a </w:t>
      </w:r>
      <w:r w:rsidR="009F0A02" w:rsidRPr="00D3457C">
        <w:rPr>
          <w:rFonts w:cs="Arial"/>
          <w:snapToGrid w:val="0"/>
        </w:rPr>
        <w:t>Data Verification email</w:t>
      </w:r>
      <w:r w:rsidR="00184370" w:rsidRPr="00D3457C">
        <w:rPr>
          <w:rFonts w:cs="Arial"/>
          <w:snapToGrid w:val="0"/>
        </w:rPr>
        <w:t xml:space="preserve"> at the beginning of September, they would update their responses based on the reporting period used in the August 20</w:t>
      </w:r>
      <w:r w:rsidR="00460E9D" w:rsidRPr="00D3457C">
        <w:rPr>
          <w:rFonts w:cs="Arial"/>
          <w:snapToGrid w:val="0"/>
        </w:rPr>
        <w:t xml:space="preserve"> </w:t>
      </w:r>
      <w:r w:rsidR="00184370" w:rsidRPr="00D3457C">
        <w:rPr>
          <w:rFonts w:cs="Arial"/>
          <w:snapToGrid w:val="0"/>
        </w:rPr>
        <w:t xml:space="preserve">submission. </w:t>
      </w:r>
    </w:p>
    <w:p w14:paraId="2B7C8422" w14:textId="77777777" w:rsidR="004546CF" w:rsidRPr="00D3457C" w:rsidRDefault="004546CF" w:rsidP="004546CF">
      <w:pPr>
        <w:rPr>
          <w:rFonts w:cs="Arial"/>
          <w:snapToGrid w:val="0"/>
        </w:rPr>
      </w:pPr>
    </w:p>
    <w:p w14:paraId="62E5C525" w14:textId="6E93D459" w:rsidR="004546CF" w:rsidRPr="00D3457C" w:rsidRDefault="004546CF" w:rsidP="004546CF">
      <w:pPr>
        <w:rPr>
          <w:rFonts w:cs="Arial"/>
          <w:snapToGrid w:val="0"/>
        </w:rPr>
      </w:pPr>
      <w:r w:rsidRPr="00D3457C">
        <w:rPr>
          <w:rFonts w:cs="Arial"/>
          <w:snapToGrid w:val="0"/>
        </w:rPr>
        <w:t xml:space="preserve">Hospitals that receive a </w:t>
      </w:r>
      <w:hyperlink r:id="rId65" w:history="1">
        <w:r w:rsidRPr="00D3457C">
          <w:rPr>
            <w:rStyle w:val="Hyperlink"/>
            <w:rFonts w:cs="Arial"/>
            <w:snapToGrid w:val="0"/>
          </w:rPr>
          <w:t>Category A</w:t>
        </w:r>
      </w:hyperlink>
      <w:r w:rsidR="00211D8D" w:rsidRPr="00D3457C">
        <w:rPr>
          <w:rFonts w:cs="Arial"/>
          <w:snapToGrid w:val="0"/>
        </w:rPr>
        <w:t xml:space="preserve"> </w:t>
      </w:r>
      <w:r w:rsidR="009F0A02" w:rsidRPr="00D3457C">
        <w:rPr>
          <w:rFonts w:cs="Arial"/>
          <w:snapToGrid w:val="0"/>
        </w:rPr>
        <w:t xml:space="preserve">Data Verification </w:t>
      </w:r>
      <w:r w:rsidRPr="00D3457C">
        <w:rPr>
          <w:rFonts w:cs="Arial"/>
          <w:snapToGrid w:val="0"/>
        </w:rPr>
        <w:t xml:space="preserve">message at the beginning of the month for any measure will have until the end of that same month to </w:t>
      </w:r>
      <w:r w:rsidR="00B3560A" w:rsidRPr="00D3457C">
        <w:rPr>
          <w:rFonts w:cs="Arial"/>
          <w:snapToGrid w:val="0"/>
        </w:rPr>
        <w:t xml:space="preserve">contact the </w:t>
      </w:r>
      <w:hyperlink r:id="rId66" w:history="1">
        <w:r w:rsidR="00B3560A" w:rsidRPr="00D3457C">
          <w:rPr>
            <w:rStyle w:val="Hyperlink"/>
            <w:rFonts w:cs="Arial"/>
            <w:snapToGrid w:val="0"/>
          </w:rPr>
          <w:t>Help Desk</w:t>
        </w:r>
      </w:hyperlink>
      <w:r w:rsidR="00B3560A" w:rsidRPr="00D3457C">
        <w:rPr>
          <w:rFonts w:cs="Arial"/>
          <w:snapToGrid w:val="0"/>
        </w:rPr>
        <w:t xml:space="preserve"> to </w:t>
      </w:r>
      <w:r w:rsidRPr="00D3457C">
        <w:rPr>
          <w:rFonts w:cs="Arial"/>
          <w:snapToGrid w:val="0"/>
        </w:rPr>
        <w:t xml:space="preserve">either (1) document that the original response was correct or (2) correct the data entry or reporting error, or they will be publicly reported as “Pending Leapfrog Verification” for that measure. This term is used to indicate that the hospital has self-reported </w:t>
      </w:r>
      <w:r w:rsidR="002107B9">
        <w:rPr>
          <w:rFonts w:cs="Arial"/>
          <w:snapToGrid w:val="0"/>
        </w:rPr>
        <w:t>S</w:t>
      </w:r>
      <w:r w:rsidRPr="00D3457C">
        <w:rPr>
          <w:rFonts w:cs="Arial"/>
          <w:snapToGrid w:val="0"/>
        </w:rPr>
        <w:t>urvey responses that are under further review by Leapfrog.</w:t>
      </w:r>
    </w:p>
    <w:p w14:paraId="23C91082" w14:textId="77777777" w:rsidR="004546CF" w:rsidRPr="00D3457C" w:rsidRDefault="004546CF" w:rsidP="004546CF">
      <w:pPr>
        <w:rPr>
          <w:rFonts w:cs="Arial"/>
          <w:snapToGrid w:val="0"/>
        </w:rPr>
      </w:pPr>
    </w:p>
    <w:p w14:paraId="738B0C90" w14:textId="7288B80F" w:rsidR="004546CF" w:rsidRDefault="004546CF" w:rsidP="004546CF">
      <w:pPr>
        <w:rPr>
          <w:rFonts w:cs="Arial"/>
          <w:snapToGrid w:val="0"/>
        </w:rPr>
      </w:pPr>
      <w:r w:rsidRPr="00D3457C">
        <w:rPr>
          <w:rFonts w:cs="Arial"/>
          <w:snapToGrid w:val="0"/>
        </w:rPr>
        <w:t xml:space="preserve">If any Category A </w:t>
      </w:r>
      <w:r w:rsidR="009F0A02" w:rsidRPr="00D3457C">
        <w:rPr>
          <w:rFonts w:cs="Arial"/>
          <w:snapToGrid w:val="0"/>
        </w:rPr>
        <w:t>Data Verification</w:t>
      </w:r>
      <w:r w:rsidRPr="00D3457C">
        <w:rPr>
          <w:rFonts w:cs="Arial"/>
          <w:snapToGrid w:val="0"/>
        </w:rPr>
        <w:t xml:space="preserve"> messages are not resolved by January 31 (when the Online Hospital Survey Tool is taken offline), </w:t>
      </w:r>
      <w:r w:rsidR="00F220B6">
        <w:rPr>
          <w:rFonts w:cs="Arial"/>
          <w:snapToGrid w:val="0"/>
        </w:rPr>
        <w:t xml:space="preserve">the entire Survey will be </w:t>
      </w:r>
      <w:r w:rsidR="002107B9">
        <w:rPr>
          <w:rFonts w:cs="Arial"/>
          <w:snapToGrid w:val="0"/>
        </w:rPr>
        <w:t>decertified,</w:t>
      </w:r>
      <w:r w:rsidR="00F220B6">
        <w:rPr>
          <w:rFonts w:cs="Arial"/>
          <w:snapToGrid w:val="0"/>
        </w:rPr>
        <w:t xml:space="preserve"> and </w:t>
      </w:r>
      <w:r w:rsidRPr="00D3457C">
        <w:rPr>
          <w:rFonts w:cs="Arial"/>
          <w:snapToGrid w:val="0"/>
        </w:rPr>
        <w:t xml:space="preserve">the </w:t>
      </w:r>
      <w:r w:rsidR="00D43442">
        <w:rPr>
          <w:rFonts w:cs="Arial"/>
          <w:snapToGrid w:val="0"/>
        </w:rPr>
        <w:t>hospital will be publicly reported as “Declined to Re</w:t>
      </w:r>
      <w:r w:rsidR="00B6054B">
        <w:rPr>
          <w:rFonts w:cs="Arial"/>
          <w:snapToGrid w:val="0"/>
        </w:rPr>
        <w:t>port</w:t>
      </w:r>
      <w:r w:rsidR="00D43442">
        <w:rPr>
          <w:rFonts w:cs="Arial"/>
          <w:snapToGrid w:val="0"/>
        </w:rPr>
        <w:t>” for the entire Leapfrog Hospital Survey.</w:t>
      </w:r>
    </w:p>
    <w:p w14:paraId="6C620AFD" w14:textId="09C204F7" w:rsidR="006A6453" w:rsidRDefault="006A6453" w:rsidP="004546CF">
      <w:pPr>
        <w:rPr>
          <w:rFonts w:cs="Arial"/>
          <w:snapToGrid w:val="0"/>
        </w:rPr>
      </w:pPr>
    </w:p>
    <w:p w14:paraId="73453AA3" w14:textId="7E6BB644" w:rsidR="006A6453" w:rsidRPr="00D3457C" w:rsidRDefault="006A6453" w:rsidP="00AB5B80">
      <w:pPr>
        <w:pStyle w:val="Heading3"/>
      </w:pPr>
      <w:bookmarkStart w:id="36" w:name="_Toc225877645"/>
      <w:r>
        <w:t xml:space="preserve">Updating a Survey </w:t>
      </w:r>
      <w:r w:rsidR="00755915">
        <w:t>F</w:t>
      </w:r>
      <w:r>
        <w:t>ollowing On-Site Data Verification</w:t>
      </w:r>
      <w:bookmarkEnd w:id="36"/>
    </w:p>
    <w:p w14:paraId="386DD923" w14:textId="77777777" w:rsidR="00CF1881" w:rsidRPr="00D3457C" w:rsidRDefault="00CF1881" w:rsidP="00CF1881">
      <w:pPr>
        <w:rPr>
          <w:rFonts w:cs="Arial"/>
          <w:snapToGrid w:val="0"/>
        </w:rPr>
      </w:pPr>
    </w:p>
    <w:p w14:paraId="692FF20C" w14:textId="525A2513" w:rsidR="00CF1881" w:rsidRPr="00D3457C" w:rsidRDefault="00A008D1" w:rsidP="00CF1881">
      <w:pPr>
        <w:rPr>
          <w:rFonts w:cs="Arial"/>
          <w:snapToGrid w:val="0"/>
        </w:rPr>
      </w:pPr>
      <w:r w:rsidRPr="00D3457C">
        <w:rPr>
          <w:rFonts w:cs="Arial"/>
          <w:snapToGrid w:val="0"/>
        </w:rPr>
        <w:t xml:space="preserve">Hospitals that are selected for </w:t>
      </w:r>
      <w:r w:rsidR="009F0A02" w:rsidRPr="00D3457C">
        <w:rPr>
          <w:rFonts w:cs="Arial"/>
          <w:snapToGrid w:val="0"/>
        </w:rPr>
        <w:t>O</w:t>
      </w:r>
      <w:r w:rsidRPr="00D3457C">
        <w:rPr>
          <w:rFonts w:cs="Arial"/>
          <w:snapToGrid w:val="0"/>
        </w:rPr>
        <w:t>n-</w:t>
      </w:r>
      <w:r w:rsidR="009F0A02" w:rsidRPr="00D3457C">
        <w:rPr>
          <w:rFonts w:cs="Arial"/>
          <w:snapToGrid w:val="0"/>
        </w:rPr>
        <w:t>S</w:t>
      </w:r>
      <w:r w:rsidRPr="00D3457C">
        <w:rPr>
          <w:rFonts w:cs="Arial"/>
          <w:snapToGrid w:val="0"/>
        </w:rPr>
        <w:t xml:space="preserve">ite </w:t>
      </w:r>
      <w:r w:rsidR="009F0A02" w:rsidRPr="00D3457C">
        <w:rPr>
          <w:rFonts w:cs="Arial"/>
          <w:snapToGrid w:val="0"/>
        </w:rPr>
        <w:t>D</w:t>
      </w:r>
      <w:r w:rsidRPr="00D3457C">
        <w:rPr>
          <w:rFonts w:cs="Arial"/>
          <w:snapToGrid w:val="0"/>
        </w:rPr>
        <w:t xml:space="preserve">ata </w:t>
      </w:r>
      <w:r w:rsidR="009F0A02" w:rsidRPr="00D3457C">
        <w:rPr>
          <w:rFonts w:cs="Arial"/>
          <w:snapToGrid w:val="0"/>
        </w:rPr>
        <w:t>V</w:t>
      </w:r>
      <w:r w:rsidRPr="00D3457C">
        <w:rPr>
          <w:rFonts w:cs="Arial"/>
          <w:snapToGrid w:val="0"/>
        </w:rPr>
        <w:t>erification</w:t>
      </w:r>
      <w:r w:rsidR="00302F59" w:rsidRPr="00D3457C">
        <w:rPr>
          <w:rFonts w:cs="Arial"/>
          <w:snapToGrid w:val="0"/>
        </w:rPr>
        <w:t xml:space="preserve"> will receive a findings report</w:t>
      </w:r>
      <w:r w:rsidR="00965750">
        <w:rPr>
          <w:rFonts w:cs="Arial"/>
          <w:snapToGrid w:val="0"/>
        </w:rPr>
        <w:t xml:space="preserve">. </w:t>
      </w:r>
      <w:r w:rsidR="00302F59" w:rsidRPr="00D3457C">
        <w:rPr>
          <w:rFonts w:cs="Arial"/>
          <w:snapToGrid w:val="0"/>
        </w:rPr>
        <w:t>If the finding</w:t>
      </w:r>
      <w:r w:rsidRPr="00D3457C">
        <w:rPr>
          <w:rFonts w:cs="Arial"/>
          <w:snapToGrid w:val="0"/>
        </w:rPr>
        <w:t>s</w:t>
      </w:r>
      <w:r w:rsidR="00302F59" w:rsidRPr="00D3457C">
        <w:rPr>
          <w:rFonts w:cs="Arial"/>
          <w:snapToGrid w:val="0"/>
        </w:rPr>
        <w:t xml:space="preserve"> report details any responses that need to be updated or corrected, </w:t>
      </w:r>
      <w:r w:rsidR="00CF1881" w:rsidRPr="00D3457C">
        <w:rPr>
          <w:rFonts w:cs="Arial"/>
          <w:snapToGrid w:val="0"/>
        </w:rPr>
        <w:t xml:space="preserve">please contact the </w:t>
      </w:r>
      <w:hyperlink r:id="rId67" w:history="1">
        <w:r w:rsidR="00CF1881" w:rsidRPr="00D3457C">
          <w:rPr>
            <w:rStyle w:val="Hyperlink"/>
            <w:rFonts w:cs="Arial"/>
            <w:snapToGrid w:val="0"/>
          </w:rPr>
          <w:t>Help Desk</w:t>
        </w:r>
      </w:hyperlink>
      <w:r w:rsidR="00020513" w:rsidRPr="00D3457C">
        <w:rPr>
          <w:rFonts w:cs="Arial"/>
          <w:snapToGrid w:val="0"/>
        </w:rPr>
        <w:t>.</w:t>
      </w:r>
    </w:p>
    <w:p w14:paraId="6F65AA7F" w14:textId="77777777" w:rsidR="00456A42" w:rsidRPr="00AB037D" w:rsidRDefault="00456A42" w:rsidP="00161AD6">
      <w:pPr>
        <w:pStyle w:val="Heading44"/>
        <w:rPr>
          <w:rFonts w:cs="Arial"/>
          <w:snapToGrid w:val="0"/>
          <w:sz w:val="20"/>
        </w:rPr>
      </w:pPr>
    </w:p>
    <w:p w14:paraId="1DB15A0A" w14:textId="77777777" w:rsidR="00AB037D" w:rsidRDefault="00AB037D">
      <w:pPr>
        <w:rPr>
          <w:rFonts w:cs="Arial"/>
          <w:b/>
          <w:i/>
          <w:snapToGrid w:val="0"/>
          <w:sz w:val="22"/>
          <w:szCs w:val="22"/>
          <w:lang w:eastAsia="ja-JP"/>
        </w:rPr>
      </w:pPr>
      <w:r>
        <w:br w:type="page"/>
      </w:r>
    </w:p>
    <w:p w14:paraId="2A4AB8CF" w14:textId="648A0366" w:rsidR="00AC579B" w:rsidRPr="00D3457C" w:rsidRDefault="001D5038" w:rsidP="00AB5B80">
      <w:pPr>
        <w:pStyle w:val="Heading3"/>
      </w:pPr>
      <w:bookmarkStart w:id="37" w:name="_Toc225877646"/>
      <w:r w:rsidRPr="00D3457C">
        <w:lastRenderedPageBreak/>
        <w:t xml:space="preserve">Making </w:t>
      </w:r>
      <w:r w:rsidR="00AC579B" w:rsidRPr="00D3457C">
        <w:t>General Updates</w:t>
      </w:r>
      <w:r w:rsidR="002C7A5F" w:rsidRPr="00D3457C">
        <w:t xml:space="preserve"> (for hospitals that have not rec</w:t>
      </w:r>
      <w:r w:rsidR="00456A42" w:rsidRPr="00D3457C">
        <w:t xml:space="preserve">eived a Help Desk </w:t>
      </w:r>
      <w:r w:rsidR="0070426E">
        <w:t>e</w:t>
      </w:r>
      <w:r w:rsidR="00456A42" w:rsidRPr="00D3457C">
        <w:t>mail</w:t>
      </w:r>
      <w:r w:rsidR="002C7A5F" w:rsidRPr="00D3457C">
        <w:t>)</w:t>
      </w:r>
      <w:bookmarkEnd w:id="37"/>
    </w:p>
    <w:p w14:paraId="433E54FE" w14:textId="77777777" w:rsidR="00DE6E30" w:rsidRPr="00D3457C" w:rsidRDefault="00DE6E30" w:rsidP="00AC579B">
      <w:pPr>
        <w:rPr>
          <w:rFonts w:cs="Arial"/>
          <w:snapToGrid w:val="0"/>
        </w:rPr>
      </w:pPr>
    </w:p>
    <w:p w14:paraId="2DD8DD9A" w14:textId="603767F3" w:rsidR="008008B4" w:rsidRPr="00D3457C" w:rsidRDefault="004546CF" w:rsidP="00AC579B">
      <w:pPr>
        <w:rPr>
          <w:rFonts w:cs="Arial"/>
          <w:snapToGrid w:val="0"/>
        </w:rPr>
      </w:pPr>
      <w:r w:rsidRPr="00D3457C">
        <w:rPr>
          <w:rFonts w:cs="Arial"/>
          <w:snapToGrid w:val="0"/>
        </w:rPr>
        <w:t>Leapfrog offers</w:t>
      </w:r>
      <w:r w:rsidR="00AC579B" w:rsidRPr="00D3457C">
        <w:rPr>
          <w:rFonts w:cs="Arial"/>
          <w:snapToGrid w:val="0"/>
        </w:rPr>
        <w:t xml:space="preserve"> hospitals </w:t>
      </w:r>
      <w:r w:rsidR="0069132C" w:rsidRPr="00D3457C">
        <w:rPr>
          <w:rFonts w:cs="Arial"/>
          <w:snapToGrid w:val="0"/>
        </w:rPr>
        <w:t>multiple</w:t>
      </w:r>
      <w:r w:rsidR="00AC579B" w:rsidRPr="00D3457C">
        <w:rPr>
          <w:rFonts w:cs="Arial"/>
          <w:snapToGrid w:val="0"/>
        </w:rPr>
        <w:t xml:space="preserve"> reporting periods so that </w:t>
      </w:r>
      <w:r w:rsidRPr="00D3457C">
        <w:rPr>
          <w:rFonts w:cs="Arial"/>
          <w:snapToGrid w:val="0"/>
        </w:rPr>
        <w:t xml:space="preserve">they </w:t>
      </w:r>
      <w:r w:rsidR="0030732F" w:rsidRPr="00D3457C">
        <w:rPr>
          <w:rFonts w:cs="Arial"/>
          <w:snapToGrid w:val="0"/>
        </w:rPr>
        <w:t>can</w:t>
      </w:r>
      <w:r w:rsidR="00AC579B" w:rsidRPr="00D3457C">
        <w:rPr>
          <w:rFonts w:cs="Arial"/>
          <w:snapToGrid w:val="0"/>
        </w:rPr>
        <w:t xml:space="preserve"> report the most current data. </w:t>
      </w:r>
      <w:bookmarkStart w:id="38" w:name="_Hlk35513601"/>
      <w:r w:rsidR="0030732F" w:rsidRPr="00034A1F">
        <w:rPr>
          <w:rFonts w:cs="Arial"/>
          <w:snapToGrid w:val="0"/>
        </w:rPr>
        <w:t>Except for</w:t>
      </w:r>
      <w:r w:rsidR="00034A1F" w:rsidRPr="00034A1F">
        <w:rPr>
          <w:rFonts w:cs="Arial"/>
          <w:snapToGrid w:val="0"/>
        </w:rPr>
        <w:t xml:space="preserve"> </w:t>
      </w:r>
      <w:r w:rsidR="00B93E94">
        <w:rPr>
          <w:rFonts w:cs="Arial"/>
          <w:snapToGrid w:val="0"/>
        </w:rPr>
        <w:t>Section 4</w:t>
      </w:r>
      <w:r w:rsidR="0016658F">
        <w:rPr>
          <w:rFonts w:cs="Arial"/>
          <w:snapToGrid w:val="0"/>
        </w:rPr>
        <w:t>E</w:t>
      </w:r>
      <w:r w:rsidR="00F220B6">
        <w:rPr>
          <w:rFonts w:cs="Arial"/>
          <w:snapToGrid w:val="0"/>
        </w:rPr>
        <w:t>:</w:t>
      </w:r>
      <w:r w:rsidR="00B93E94">
        <w:rPr>
          <w:rFonts w:cs="Arial"/>
          <w:snapToGrid w:val="0"/>
        </w:rPr>
        <w:t xml:space="preserve"> High-Risk Deliveries (VON data only)</w:t>
      </w:r>
      <w:r w:rsidR="00485C62">
        <w:rPr>
          <w:rFonts w:cs="Arial"/>
          <w:snapToGrid w:val="0"/>
        </w:rPr>
        <w:t xml:space="preserve">, </w:t>
      </w:r>
      <w:r w:rsidR="00034A1F" w:rsidRPr="00034A1F">
        <w:rPr>
          <w:rFonts w:cs="Arial"/>
          <w:snapToGrid w:val="0"/>
        </w:rPr>
        <w:t>Section 7B</w:t>
      </w:r>
      <w:r w:rsidR="00F220B6">
        <w:rPr>
          <w:rFonts w:cs="Arial"/>
          <w:snapToGrid w:val="0"/>
        </w:rPr>
        <w:t>:</w:t>
      </w:r>
      <w:r w:rsidR="00034A1F" w:rsidRPr="00034A1F">
        <w:rPr>
          <w:rFonts w:cs="Arial"/>
          <w:snapToGrid w:val="0"/>
        </w:rPr>
        <w:t xml:space="preserve"> Healthcare-Associated Infections</w:t>
      </w:r>
      <w:r w:rsidR="00485C62">
        <w:rPr>
          <w:rFonts w:cs="Arial"/>
          <w:snapToGrid w:val="0"/>
        </w:rPr>
        <w:t xml:space="preserve">, and Section </w:t>
      </w:r>
      <w:r w:rsidR="001243C9">
        <w:rPr>
          <w:rFonts w:cs="Arial"/>
          <w:snapToGrid w:val="0"/>
        </w:rPr>
        <w:t>9</w:t>
      </w:r>
      <w:r w:rsidR="00910ACB">
        <w:rPr>
          <w:rFonts w:cs="Arial"/>
          <w:snapToGrid w:val="0"/>
        </w:rPr>
        <w:t>F</w:t>
      </w:r>
      <w:r w:rsidR="00F220B6">
        <w:rPr>
          <w:rFonts w:cs="Arial"/>
          <w:snapToGrid w:val="0"/>
        </w:rPr>
        <w:t>:</w:t>
      </w:r>
      <w:r w:rsidR="00485C62">
        <w:rPr>
          <w:rFonts w:cs="Arial"/>
          <w:snapToGrid w:val="0"/>
        </w:rPr>
        <w:t xml:space="preserve"> </w:t>
      </w:r>
      <w:r w:rsidR="00910ACB">
        <w:rPr>
          <w:rFonts w:cs="Arial"/>
          <w:snapToGrid w:val="0"/>
        </w:rPr>
        <w:t>CMS Measures</w:t>
      </w:r>
      <w:r w:rsidR="00034A1F">
        <w:rPr>
          <w:rFonts w:cs="Arial"/>
          <w:snapToGrid w:val="0"/>
        </w:rPr>
        <w:t>,</w:t>
      </w:r>
      <w:r w:rsidR="00034A1F" w:rsidRPr="00034A1F">
        <w:rPr>
          <w:rFonts w:cs="Arial"/>
          <w:snapToGrid w:val="0"/>
        </w:rPr>
        <w:t xml:space="preserve"> </w:t>
      </w:r>
      <w:r w:rsidR="00034A1F">
        <w:rPr>
          <w:rFonts w:cs="Arial"/>
          <w:snapToGrid w:val="0"/>
        </w:rPr>
        <w:t>u</w:t>
      </w:r>
      <w:r w:rsidR="00AC579B" w:rsidRPr="00D3457C">
        <w:rPr>
          <w:rFonts w:cs="Arial"/>
          <w:snapToGrid w:val="0"/>
        </w:rPr>
        <w:t xml:space="preserve">pdating a </w:t>
      </w:r>
      <w:r w:rsidR="00C14AFF" w:rsidRPr="00D3457C">
        <w:rPr>
          <w:rFonts w:cs="Arial"/>
          <w:snapToGrid w:val="0"/>
        </w:rPr>
        <w:t>Survey</w:t>
      </w:r>
      <w:r w:rsidR="00AC579B" w:rsidRPr="00D3457C">
        <w:rPr>
          <w:rFonts w:cs="Arial"/>
          <w:snapToGrid w:val="0"/>
        </w:rPr>
        <w:t xml:space="preserve"> is opt</w:t>
      </w:r>
      <w:r w:rsidR="002C7A5F" w:rsidRPr="00D3457C">
        <w:rPr>
          <w:rFonts w:cs="Arial"/>
          <w:snapToGrid w:val="0"/>
        </w:rPr>
        <w:t>ional</w:t>
      </w:r>
      <w:bookmarkEnd w:id="38"/>
      <w:r w:rsidR="009B0FE1">
        <w:rPr>
          <w:rFonts w:cs="Arial"/>
          <w:snapToGrid w:val="0"/>
        </w:rPr>
        <w:t>. H</w:t>
      </w:r>
      <w:r w:rsidR="0015686E" w:rsidRPr="00D3457C">
        <w:rPr>
          <w:rFonts w:cs="Arial"/>
          <w:snapToGrid w:val="0"/>
        </w:rPr>
        <w:t>owever,</w:t>
      </w:r>
      <w:r w:rsidR="00AC579B" w:rsidRPr="00D3457C">
        <w:rPr>
          <w:rFonts w:cs="Arial"/>
          <w:snapToGrid w:val="0"/>
        </w:rPr>
        <w:t xml:space="preserve"> we do recommend that if your performance</w:t>
      </w:r>
      <w:r w:rsidR="002C7A5F" w:rsidRPr="00D3457C">
        <w:rPr>
          <w:rFonts w:cs="Arial"/>
          <w:snapToGrid w:val="0"/>
        </w:rPr>
        <w:t xml:space="preserve"> or </w:t>
      </w:r>
      <w:r w:rsidR="00217A74" w:rsidRPr="00D3457C">
        <w:rPr>
          <w:rFonts w:cs="Arial"/>
          <w:snapToGrid w:val="0"/>
        </w:rPr>
        <w:t xml:space="preserve">if a </w:t>
      </w:r>
      <w:r w:rsidR="002C7A5F" w:rsidRPr="00D3457C">
        <w:rPr>
          <w:rFonts w:cs="Arial"/>
          <w:snapToGrid w:val="0"/>
        </w:rPr>
        <w:t>structure</w:t>
      </w:r>
      <w:r w:rsidR="00AC579B" w:rsidRPr="00D3457C">
        <w:rPr>
          <w:rFonts w:cs="Arial"/>
          <w:snapToGrid w:val="0"/>
        </w:rPr>
        <w:t xml:space="preserve"> has changed significantly, you update your </w:t>
      </w:r>
      <w:r w:rsidR="00C14AFF" w:rsidRPr="00D3457C">
        <w:rPr>
          <w:rFonts w:cs="Arial"/>
          <w:snapToGrid w:val="0"/>
        </w:rPr>
        <w:t>Survey</w:t>
      </w:r>
      <w:r w:rsidR="00AC579B" w:rsidRPr="00D3457C">
        <w:rPr>
          <w:rFonts w:cs="Arial"/>
          <w:snapToGrid w:val="0"/>
        </w:rPr>
        <w:t xml:space="preserve"> within 30 days. In addition, hospitals should update their </w:t>
      </w:r>
      <w:r w:rsidR="00C14AFF" w:rsidRPr="00D3457C">
        <w:rPr>
          <w:rFonts w:cs="Arial"/>
          <w:snapToGrid w:val="0"/>
        </w:rPr>
        <w:t>Survey</w:t>
      </w:r>
      <w:r w:rsidR="00AC579B" w:rsidRPr="00D3457C">
        <w:rPr>
          <w:rFonts w:cs="Arial"/>
          <w:snapToGrid w:val="0"/>
        </w:rPr>
        <w:t>s if they become aware of any reporting errors or data inaccuracies</w:t>
      </w:r>
      <w:r w:rsidR="002C7A5F" w:rsidRPr="00D3457C">
        <w:rPr>
          <w:rFonts w:cs="Arial"/>
          <w:snapToGrid w:val="0"/>
        </w:rPr>
        <w:t xml:space="preserve"> in their previous submission. </w:t>
      </w:r>
    </w:p>
    <w:p w14:paraId="473F6C70" w14:textId="77777777" w:rsidR="008008B4" w:rsidRPr="00D3457C" w:rsidRDefault="008008B4" w:rsidP="00AC579B">
      <w:pPr>
        <w:rPr>
          <w:rFonts w:cs="Arial"/>
          <w:snapToGrid w:val="0"/>
        </w:rPr>
      </w:pPr>
    </w:p>
    <w:p w14:paraId="0FA09B9E" w14:textId="55892591" w:rsidR="00AC579B" w:rsidRPr="00D3457C" w:rsidRDefault="00AC579B" w:rsidP="00AC579B">
      <w:pPr>
        <w:rPr>
          <w:rFonts w:cs="Arial"/>
          <w:snapToGrid w:val="0"/>
          <w:u w:val="single"/>
        </w:rPr>
      </w:pPr>
      <w:bookmarkStart w:id="39" w:name="_Hlk35513674"/>
      <w:r w:rsidRPr="00D3457C">
        <w:rPr>
          <w:rFonts w:cs="Arial"/>
          <w:snapToGrid w:val="0"/>
          <w:u w:val="single"/>
        </w:rPr>
        <w:t xml:space="preserve">Hospitals may </w:t>
      </w:r>
      <w:r w:rsidR="004C6FDD" w:rsidRPr="00D3457C">
        <w:rPr>
          <w:rFonts w:cs="Arial"/>
          <w:snapToGrid w:val="0"/>
          <w:u w:val="single"/>
        </w:rPr>
        <w:t>update one or more sections</w:t>
      </w:r>
      <w:r w:rsidRPr="00D3457C">
        <w:rPr>
          <w:rFonts w:cs="Arial"/>
          <w:snapToGrid w:val="0"/>
          <w:u w:val="single"/>
        </w:rPr>
        <w:t xml:space="preserve"> of the </w:t>
      </w:r>
      <w:r w:rsidR="00C14AFF" w:rsidRPr="00D3457C">
        <w:rPr>
          <w:rFonts w:cs="Arial"/>
          <w:snapToGrid w:val="0"/>
          <w:u w:val="single"/>
        </w:rPr>
        <w:t>Survey</w:t>
      </w:r>
      <w:r w:rsidRPr="00D3457C">
        <w:rPr>
          <w:rFonts w:cs="Arial"/>
          <w:snapToGrid w:val="0"/>
          <w:u w:val="single"/>
        </w:rPr>
        <w:t xml:space="preserve"> without updating the entire </w:t>
      </w:r>
      <w:r w:rsidR="00C14AFF" w:rsidRPr="00D3457C">
        <w:rPr>
          <w:rFonts w:cs="Arial"/>
          <w:snapToGrid w:val="0"/>
          <w:u w:val="single"/>
        </w:rPr>
        <w:t>Survey</w:t>
      </w:r>
      <w:bookmarkEnd w:id="39"/>
      <w:r w:rsidRPr="00D3457C">
        <w:rPr>
          <w:rFonts w:cs="Arial"/>
          <w:snapToGrid w:val="0"/>
          <w:u w:val="single"/>
        </w:rPr>
        <w:t>.</w:t>
      </w:r>
      <w:r w:rsidR="00034A1F">
        <w:rPr>
          <w:rFonts w:cs="Arial"/>
          <w:snapToGrid w:val="0"/>
          <w:u w:val="single"/>
        </w:rPr>
        <w:t xml:space="preserve"> </w:t>
      </w:r>
      <w:r w:rsidR="00034A1F" w:rsidRPr="00034A1F">
        <w:rPr>
          <w:rFonts w:cs="Arial"/>
          <w:snapToGrid w:val="0"/>
          <w:u w:val="single"/>
        </w:rPr>
        <w:t>In addition, hospitals are not required to retake the CPOE Evaluation Tool if making updates to Section 2</w:t>
      </w:r>
      <w:r w:rsidR="001243C9">
        <w:rPr>
          <w:rFonts w:cs="Arial"/>
          <w:snapToGrid w:val="0"/>
          <w:u w:val="single"/>
        </w:rPr>
        <w:t>A:</w:t>
      </w:r>
      <w:r w:rsidR="00034A1F" w:rsidRPr="00034A1F">
        <w:rPr>
          <w:rFonts w:cs="Arial"/>
          <w:snapToGrid w:val="0"/>
          <w:u w:val="single"/>
        </w:rPr>
        <w:t xml:space="preserve"> CPOE questions #3 and #4.</w:t>
      </w:r>
    </w:p>
    <w:p w14:paraId="1F7EBBA4" w14:textId="77777777" w:rsidR="0039232B" w:rsidRPr="00D3457C" w:rsidRDefault="0039232B" w:rsidP="00AC579B">
      <w:pPr>
        <w:rPr>
          <w:rFonts w:cs="Arial"/>
          <w:snapToGrid w:val="0"/>
        </w:rPr>
      </w:pPr>
    </w:p>
    <w:p w14:paraId="5BF141BE" w14:textId="326C309C" w:rsidR="0039232B" w:rsidRPr="00D3457C" w:rsidRDefault="0039232B" w:rsidP="00AC579B">
      <w:pPr>
        <w:rPr>
          <w:rFonts w:cs="Arial"/>
          <w:snapToGrid w:val="0"/>
        </w:rPr>
      </w:pPr>
      <w:r w:rsidRPr="00D3457C">
        <w:rPr>
          <w:rFonts w:cs="Arial"/>
          <w:snapToGrid w:val="0"/>
        </w:rPr>
        <w:t xml:space="preserve">General updates and corrections </w:t>
      </w:r>
      <w:r w:rsidR="00EB0044">
        <w:rPr>
          <w:rFonts w:cs="Arial"/>
          <w:snapToGrid w:val="0"/>
        </w:rPr>
        <w:t>are allowed</w:t>
      </w:r>
      <w:r w:rsidRPr="00D3457C">
        <w:rPr>
          <w:rFonts w:cs="Arial"/>
          <w:snapToGrid w:val="0"/>
        </w:rPr>
        <w:t xml:space="preserve"> at any point during the Survey Cycle (April 1 – </w:t>
      </w:r>
      <w:r w:rsidR="00034A1F">
        <w:rPr>
          <w:rFonts w:cs="Arial"/>
          <w:snapToGrid w:val="0"/>
        </w:rPr>
        <w:t>November 30</w:t>
      </w:r>
      <w:r w:rsidRPr="00D3457C">
        <w:rPr>
          <w:rFonts w:cs="Arial"/>
          <w:snapToGrid w:val="0"/>
        </w:rPr>
        <w:t>).</w:t>
      </w:r>
      <w:r w:rsidRPr="00D3457C">
        <w:rPr>
          <w:rFonts w:cs="Arial"/>
          <w:bCs/>
          <w:snapToGrid w:val="0"/>
        </w:rPr>
        <w:t xml:space="preserve"> The month</w:t>
      </w:r>
      <w:r w:rsidR="00E205FA">
        <w:rPr>
          <w:rFonts w:cs="Arial"/>
          <w:bCs/>
          <w:snapToGrid w:val="0"/>
        </w:rPr>
        <w:t>s</w:t>
      </w:r>
      <w:r w:rsidRPr="00D3457C">
        <w:rPr>
          <w:rFonts w:cs="Arial"/>
          <w:bCs/>
          <w:snapToGrid w:val="0"/>
        </w:rPr>
        <w:t xml:space="preserve"> of</w:t>
      </w:r>
      <w:r w:rsidR="00E205FA">
        <w:rPr>
          <w:rFonts w:cs="Arial"/>
          <w:bCs/>
          <w:snapToGrid w:val="0"/>
        </w:rPr>
        <w:t xml:space="preserve"> December and</w:t>
      </w:r>
      <w:r w:rsidR="006575A0" w:rsidRPr="00D3457C">
        <w:rPr>
          <w:rFonts w:cs="Arial"/>
          <w:bCs/>
          <w:snapToGrid w:val="0"/>
        </w:rPr>
        <w:t xml:space="preserve"> </w:t>
      </w:r>
      <w:r w:rsidRPr="00D3457C">
        <w:rPr>
          <w:rFonts w:cs="Arial"/>
          <w:bCs/>
          <w:snapToGrid w:val="0"/>
        </w:rPr>
        <w:t xml:space="preserve">January </w:t>
      </w:r>
      <w:r w:rsidR="00E205FA">
        <w:rPr>
          <w:rFonts w:cs="Arial"/>
          <w:bCs/>
          <w:snapToGrid w:val="0"/>
        </w:rPr>
        <w:t>are</w:t>
      </w:r>
      <w:r w:rsidRPr="00D3457C">
        <w:rPr>
          <w:rFonts w:cs="Arial"/>
          <w:bCs/>
          <w:snapToGrid w:val="0"/>
        </w:rPr>
        <w:t xml:space="preserve"> reserved for</w:t>
      </w:r>
      <w:r w:rsidR="00E56DF9">
        <w:rPr>
          <w:rFonts w:cs="Arial"/>
          <w:bCs/>
          <w:snapToGrid w:val="0"/>
        </w:rPr>
        <w:t xml:space="preserve"> correcting</w:t>
      </w:r>
      <w:r w:rsidRPr="00D3457C">
        <w:rPr>
          <w:rFonts w:cs="Arial"/>
          <w:bCs/>
          <w:snapToGrid w:val="0"/>
        </w:rPr>
        <w:t xml:space="preserve"> </w:t>
      </w:r>
      <w:r w:rsidR="00E9729C">
        <w:rPr>
          <w:rFonts w:cs="Arial"/>
          <w:bCs/>
          <w:snapToGrid w:val="0"/>
        </w:rPr>
        <w:t xml:space="preserve">data entry errors or reporting </w:t>
      </w:r>
      <w:r w:rsidR="00E56DF9">
        <w:rPr>
          <w:rFonts w:cs="Arial"/>
          <w:bCs/>
          <w:snapToGrid w:val="0"/>
        </w:rPr>
        <w:t>errors</w:t>
      </w:r>
      <w:r w:rsidR="00E9729C">
        <w:rPr>
          <w:rFonts w:cs="Arial"/>
          <w:bCs/>
          <w:snapToGrid w:val="0"/>
        </w:rPr>
        <w:t xml:space="preserve"> (i.e., in response to Leapfrog’s </w:t>
      </w:r>
      <w:hyperlink r:id="rId68" w:history="1">
        <w:r w:rsidR="00E9729C" w:rsidRPr="00D3457C">
          <w:rPr>
            <w:rStyle w:val="Hyperlink"/>
            <w:rFonts w:cs="Arial"/>
            <w:snapToGrid w:val="0"/>
          </w:rPr>
          <w:t>Extensive Monthly Data Verification</w:t>
        </w:r>
      </w:hyperlink>
      <w:r w:rsidR="00E9729C">
        <w:rPr>
          <w:rStyle w:val="Hyperlink"/>
          <w:rFonts w:cs="Arial"/>
          <w:snapToGrid w:val="0"/>
        </w:rPr>
        <w:t>)</w:t>
      </w:r>
      <w:r w:rsidR="008015A1" w:rsidRPr="008015A1">
        <w:rPr>
          <w:rStyle w:val="Hyperlink"/>
          <w:rFonts w:cs="Arial"/>
          <w:snapToGrid w:val="0"/>
          <w:u w:val="none"/>
        </w:rPr>
        <w:t xml:space="preserve"> </w:t>
      </w:r>
      <w:r w:rsidRPr="00D3457C">
        <w:rPr>
          <w:rFonts w:cs="Arial"/>
          <w:bCs/>
          <w:snapToGrid w:val="0"/>
        </w:rPr>
        <w:t xml:space="preserve">to previously submitted </w:t>
      </w:r>
      <w:r w:rsidR="00E9729C">
        <w:rPr>
          <w:rFonts w:cs="Arial"/>
          <w:bCs/>
          <w:snapToGrid w:val="0"/>
        </w:rPr>
        <w:t xml:space="preserve">sections of the </w:t>
      </w:r>
      <w:r w:rsidRPr="00D3457C">
        <w:rPr>
          <w:rFonts w:cs="Arial"/>
          <w:bCs/>
          <w:snapToGrid w:val="0"/>
        </w:rPr>
        <w:t xml:space="preserve">Survey. Any updates made to reflect a change in performance must be made </w:t>
      </w:r>
      <w:r w:rsidR="009526F4">
        <w:rPr>
          <w:rFonts w:cs="Arial"/>
          <w:bCs/>
          <w:snapToGrid w:val="0"/>
        </w:rPr>
        <w:t>prior to</w:t>
      </w:r>
      <w:r w:rsidR="009526F4" w:rsidRPr="00D3457C">
        <w:rPr>
          <w:rFonts w:cs="Arial"/>
          <w:bCs/>
          <w:snapToGrid w:val="0"/>
        </w:rPr>
        <w:t xml:space="preserve"> </w:t>
      </w:r>
      <w:r w:rsidRPr="00D3457C">
        <w:rPr>
          <w:rFonts w:cs="Arial"/>
          <w:bCs/>
          <w:snapToGrid w:val="0"/>
        </w:rPr>
        <w:t xml:space="preserve">the </w:t>
      </w:r>
      <w:r w:rsidR="00E205FA">
        <w:rPr>
          <w:rFonts w:cs="Arial"/>
          <w:bCs/>
          <w:snapToGrid w:val="0"/>
        </w:rPr>
        <w:t>November 30</w:t>
      </w:r>
      <w:r w:rsidRPr="00D3457C">
        <w:rPr>
          <w:rFonts w:cs="Arial"/>
          <w:bCs/>
          <w:snapToGrid w:val="0"/>
        </w:rPr>
        <w:t xml:space="preserve"> Late Submission </w:t>
      </w:r>
      <w:r w:rsidR="00123E52" w:rsidRPr="00123E52">
        <w:rPr>
          <w:rFonts w:cs="Arial"/>
          <w:bCs/>
          <w:snapToGrid w:val="0"/>
        </w:rPr>
        <w:t>and Performance Update</w:t>
      </w:r>
      <w:r w:rsidR="00123E52">
        <w:rPr>
          <w:rFonts w:cs="Arial"/>
          <w:bCs/>
          <w:snapToGrid w:val="0"/>
          <w:sz w:val="16"/>
          <w:szCs w:val="16"/>
        </w:rPr>
        <w:t xml:space="preserve"> </w:t>
      </w:r>
      <w:r w:rsidRPr="00D3457C">
        <w:rPr>
          <w:rFonts w:cs="Arial"/>
          <w:bCs/>
          <w:snapToGrid w:val="0"/>
        </w:rPr>
        <w:t>Deadline.</w:t>
      </w:r>
      <w:r w:rsidR="00C524F1" w:rsidRPr="00D3457C">
        <w:rPr>
          <w:rFonts w:cs="Arial"/>
          <w:b/>
          <w:snapToGrid w:val="0"/>
        </w:rPr>
        <w:t xml:space="preserve"> Updates made to reflect a change in performance after </w:t>
      </w:r>
      <w:r w:rsidR="00E205FA">
        <w:rPr>
          <w:rFonts w:cs="Arial"/>
          <w:b/>
          <w:snapToGrid w:val="0"/>
        </w:rPr>
        <w:t>November 30</w:t>
      </w:r>
      <w:r w:rsidR="00C524F1" w:rsidRPr="00D3457C">
        <w:rPr>
          <w:rFonts w:cs="Arial"/>
          <w:b/>
          <w:snapToGrid w:val="0"/>
        </w:rPr>
        <w:t xml:space="preserve"> will not be scored or publicly reported.</w:t>
      </w:r>
      <w:r w:rsidR="002107B9">
        <w:rPr>
          <w:rFonts w:cs="Arial"/>
          <w:b/>
          <w:snapToGrid w:val="0"/>
        </w:rPr>
        <w:t xml:space="preserve"> New sections of the Survey submitted after November 30 will not be scored or publicly reported. </w:t>
      </w:r>
    </w:p>
    <w:p w14:paraId="5173F495" w14:textId="77777777" w:rsidR="00AC579B" w:rsidRPr="00D3457C" w:rsidRDefault="00AC579B" w:rsidP="00AC579B">
      <w:pPr>
        <w:rPr>
          <w:rFonts w:cs="Arial"/>
          <w:b/>
          <w:snapToGrid w:val="0"/>
          <w:u w:val="single"/>
        </w:rPr>
      </w:pPr>
    </w:p>
    <w:p w14:paraId="4C291981" w14:textId="40D3DA61" w:rsidR="00AC579B" w:rsidRDefault="00AC579B" w:rsidP="00AC579B">
      <w:pPr>
        <w:rPr>
          <w:rFonts w:cs="Arial"/>
          <w:snapToGrid w:val="0"/>
        </w:rPr>
      </w:pPr>
      <w:r w:rsidRPr="00D3457C">
        <w:rPr>
          <w:rFonts w:cs="Arial"/>
          <w:snapToGrid w:val="0"/>
        </w:rPr>
        <w:t>Hospitals that are</w:t>
      </w:r>
      <w:r w:rsidR="002C7A5F" w:rsidRPr="00D3457C">
        <w:rPr>
          <w:rFonts w:cs="Arial"/>
          <w:snapToGrid w:val="0"/>
        </w:rPr>
        <w:t xml:space="preserve"> submi</w:t>
      </w:r>
      <w:r w:rsidR="0069132C" w:rsidRPr="00D3457C">
        <w:rPr>
          <w:rFonts w:cs="Arial"/>
          <w:snapToGrid w:val="0"/>
        </w:rPr>
        <w:t>tting general updates should</w:t>
      </w:r>
      <w:r w:rsidR="002C7A5F" w:rsidRPr="00D3457C">
        <w:rPr>
          <w:rFonts w:cs="Arial"/>
          <w:snapToGrid w:val="0"/>
        </w:rPr>
        <w:t>:</w:t>
      </w:r>
    </w:p>
    <w:p w14:paraId="264481F4" w14:textId="77777777" w:rsidR="00F12B6B" w:rsidRPr="00D3457C" w:rsidRDefault="00F12B6B" w:rsidP="00AC579B">
      <w:pPr>
        <w:rPr>
          <w:rFonts w:cs="Arial"/>
          <w:snapToGrid w:val="0"/>
        </w:rPr>
      </w:pPr>
    </w:p>
    <w:p w14:paraId="5FC44FB0" w14:textId="754B363B" w:rsidR="00AC579B" w:rsidRPr="00D3457C" w:rsidRDefault="0069132C" w:rsidP="00AD309C">
      <w:pPr>
        <w:pStyle w:val="ListParagraph"/>
        <w:numPr>
          <w:ilvl w:val="0"/>
          <w:numId w:val="25"/>
        </w:numPr>
        <w:rPr>
          <w:rFonts w:cs="Arial"/>
          <w:snapToGrid w:val="0"/>
        </w:rPr>
      </w:pPr>
      <w:r w:rsidRPr="00D3457C">
        <w:rPr>
          <w:rFonts w:cs="Arial"/>
          <w:snapToGrid w:val="0"/>
        </w:rPr>
        <w:t>Use t</w:t>
      </w:r>
      <w:r w:rsidR="00BD6C6C" w:rsidRPr="00D3457C">
        <w:rPr>
          <w:rFonts w:cs="Arial"/>
          <w:snapToGrid w:val="0"/>
        </w:rPr>
        <w:t>he stated</w:t>
      </w:r>
      <w:r w:rsidR="00AC579B" w:rsidRPr="00D3457C">
        <w:rPr>
          <w:rFonts w:cs="Arial"/>
          <w:b/>
          <w:snapToGrid w:val="0"/>
        </w:rPr>
        <w:t xml:space="preserve"> </w:t>
      </w:r>
      <w:hyperlink w:anchor="_Reporting_Periods_1" w:history="1">
        <w:r w:rsidR="00AC579B" w:rsidRPr="00D3457C">
          <w:rPr>
            <w:rStyle w:val="Hyperlink"/>
            <w:rFonts w:cs="Arial"/>
            <w:snapToGrid w:val="0"/>
          </w:rPr>
          <w:t>reporting period</w:t>
        </w:r>
      </w:hyperlink>
      <w:r w:rsidR="00AC579B" w:rsidRPr="00D3457C">
        <w:rPr>
          <w:rFonts w:cs="Arial"/>
          <w:snapToGrid w:val="0"/>
        </w:rPr>
        <w:t xml:space="preserve"> at the top of</w:t>
      </w:r>
      <w:r w:rsidR="004B276B" w:rsidRPr="00D3457C">
        <w:rPr>
          <w:rFonts w:cs="Arial"/>
          <w:snapToGrid w:val="0"/>
        </w:rPr>
        <w:t xml:space="preserve"> each section</w:t>
      </w:r>
      <w:r w:rsidR="00AC579B" w:rsidRPr="00D3457C">
        <w:rPr>
          <w:rFonts w:cs="Arial"/>
          <w:snapToGrid w:val="0"/>
        </w:rPr>
        <w:t xml:space="preserve"> selected based on the date of your </w:t>
      </w:r>
      <w:r w:rsidR="002C7A5F" w:rsidRPr="00D3457C">
        <w:rPr>
          <w:rFonts w:cs="Arial"/>
          <w:snapToGrid w:val="0"/>
        </w:rPr>
        <w:t>re</w:t>
      </w:r>
      <w:r w:rsidR="00AC579B" w:rsidRPr="00D3457C">
        <w:rPr>
          <w:rFonts w:cs="Arial"/>
          <w:snapToGrid w:val="0"/>
        </w:rPr>
        <w:t>submission</w:t>
      </w:r>
      <w:r w:rsidR="002C7A5F" w:rsidRPr="00D3457C">
        <w:rPr>
          <w:rFonts w:cs="Arial"/>
          <w:snapToGrid w:val="0"/>
        </w:rPr>
        <w:t xml:space="preserve">. </w:t>
      </w:r>
    </w:p>
    <w:p w14:paraId="09320D60" w14:textId="513E95C9" w:rsidR="00C23A99" w:rsidRPr="00D3457C" w:rsidRDefault="00AB7793" w:rsidP="00AD309C">
      <w:pPr>
        <w:pStyle w:val="ListParagraph"/>
        <w:numPr>
          <w:ilvl w:val="0"/>
          <w:numId w:val="25"/>
        </w:numPr>
        <w:rPr>
          <w:rFonts w:cs="Arial"/>
          <w:b/>
          <w:snapToGrid w:val="0"/>
          <w:u w:val="single"/>
        </w:rPr>
      </w:pPr>
      <w:r>
        <w:rPr>
          <w:rFonts w:cs="Arial"/>
          <w:snapToGrid w:val="0"/>
        </w:rPr>
        <w:t>For Section 4</w:t>
      </w:r>
      <w:r w:rsidR="00F220B6">
        <w:rPr>
          <w:rFonts w:cs="Arial"/>
          <w:snapToGrid w:val="0"/>
        </w:rPr>
        <w:t>:</w:t>
      </w:r>
      <w:r>
        <w:rPr>
          <w:rFonts w:cs="Arial"/>
          <w:snapToGrid w:val="0"/>
        </w:rPr>
        <w:t xml:space="preserve"> Maternity Care and </w:t>
      </w:r>
      <w:r w:rsidR="005F650A">
        <w:t>Section 6A-6B: NQF Safe Practice #1 and #2</w:t>
      </w:r>
      <w:r>
        <w:rPr>
          <w:rFonts w:cs="Arial"/>
          <w:snapToGrid w:val="0"/>
        </w:rPr>
        <w:t>, u</w:t>
      </w:r>
      <w:r w:rsidRPr="00D3457C">
        <w:rPr>
          <w:rFonts w:cs="Arial"/>
          <w:snapToGrid w:val="0"/>
        </w:rPr>
        <w:t xml:space="preserve">pdate </w:t>
      </w:r>
      <w:r w:rsidR="00AC579B" w:rsidRPr="00D3457C">
        <w:rPr>
          <w:rFonts w:cs="Arial"/>
          <w:snapToGrid w:val="0"/>
        </w:rPr>
        <w:t>responses to ALL questions</w:t>
      </w:r>
      <w:r w:rsidR="004B276B" w:rsidRPr="00D3457C">
        <w:rPr>
          <w:rFonts w:cs="Arial"/>
          <w:snapToGrid w:val="0"/>
        </w:rPr>
        <w:t xml:space="preserve"> within </w:t>
      </w:r>
      <w:r w:rsidR="0069132C" w:rsidRPr="00D3457C">
        <w:rPr>
          <w:rFonts w:cs="Arial"/>
          <w:snapToGrid w:val="0"/>
        </w:rPr>
        <w:t>the section they wish to update</w:t>
      </w:r>
      <w:r w:rsidR="00AC579B" w:rsidRPr="00D3457C">
        <w:rPr>
          <w:rFonts w:cs="Arial"/>
          <w:snapToGrid w:val="0"/>
        </w:rPr>
        <w:t xml:space="preserve"> </w:t>
      </w:r>
      <w:r w:rsidR="002C7A5F" w:rsidRPr="00D3457C">
        <w:rPr>
          <w:rFonts w:cs="Arial"/>
          <w:snapToGrid w:val="0"/>
        </w:rPr>
        <w:t>using the same reporting period. For example, if a hospital submitt</w:t>
      </w:r>
      <w:r w:rsidR="002A6336" w:rsidRPr="00D3457C">
        <w:rPr>
          <w:rFonts w:cs="Arial"/>
          <w:snapToGrid w:val="0"/>
        </w:rPr>
        <w:t xml:space="preserve">ed a </w:t>
      </w:r>
      <w:r w:rsidR="00C14AFF" w:rsidRPr="00D3457C">
        <w:rPr>
          <w:rFonts w:cs="Arial"/>
          <w:snapToGrid w:val="0"/>
        </w:rPr>
        <w:t>Survey</w:t>
      </w:r>
      <w:r w:rsidR="002A6336" w:rsidRPr="00D3457C">
        <w:rPr>
          <w:rFonts w:cs="Arial"/>
          <w:snapToGrid w:val="0"/>
        </w:rPr>
        <w:t xml:space="preserve"> for the first time in June</w:t>
      </w:r>
      <w:r w:rsidR="002C7A5F" w:rsidRPr="00D3457C">
        <w:rPr>
          <w:rFonts w:cs="Arial"/>
          <w:snapToGrid w:val="0"/>
        </w:rPr>
        <w:t xml:space="preserve"> and then wanted to update </w:t>
      </w:r>
      <w:r w:rsidR="004B276B" w:rsidRPr="00D3457C">
        <w:rPr>
          <w:rFonts w:cs="Arial"/>
          <w:snapToGrid w:val="0"/>
        </w:rPr>
        <w:t>the responses for the</w:t>
      </w:r>
      <w:r w:rsidR="002107B9">
        <w:rPr>
          <w:rFonts w:cs="Arial"/>
          <w:snapToGrid w:val="0"/>
        </w:rPr>
        <w:t xml:space="preserve"> </w:t>
      </w:r>
      <w:r w:rsidR="0016658F">
        <w:rPr>
          <w:rFonts w:cs="Arial"/>
          <w:snapToGrid w:val="0"/>
        </w:rPr>
        <w:t>Cesarean Birth</w:t>
      </w:r>
      <w:r w:rsidR="004B276B" w:rsidRPr="00D3457C">
        <w:rPr>
          <w:rFonts w:cs="Arial"/>
          <w:snapToGrid w:val="0"/>
        </w:rPr>
        <w:t xml:space="preserve"> questions in subsection 4B </w:t>
      </w:r>
      <w:r w:rsidR="002C7A5F" w:rsidRPr="00D3457C">
        <w:rPr>
          <w:rFonts w:cs="Arial"/>
          <w:snapToGrid w:val="0"/>
        </w:rPr>
        <w:t xml:space="preserve">in </w:t>
      </w:r>
      <w:r w:rsidR="0039232B" w:rsidRPr="00D3457C">
        <w:rPr>
          <w:rFonts w:cs="Arial"/>
          <w:snapToGrid w:val="0"/>
        </w:rPr>
        <w:t>November</w:t>
      </w:r>
      <w:r w:rsidR="002C7A5F" w:rsidRPr="00D3457C">
        <w:rPr>
          <w:rFonts w:cs="Arial"/>
          <w:snapToGrid w:val="0"/>
        </w:rPr>
        <w:t>, they would update the entire</w:t>
      </w:r>
      <w:r w:rsidR="00BD6C6C" w:rsidRPr="00D3457C">
        <w:rPr>
          <w:rFonts w:cs="Arial"/>
          <w:snapToGrid w:val="0"/>
        </w:rPr>
        <w:t xml:space="preserve"> Section 4</w:t>
      </w:r>
      <w:r w:rsidR="00F220B6">
        <w:rPr>
          <w:rFonts w:cs="Arial"/>
          <w:snapToGrid w:val="0"/>
        </w:rPr>
        <w:t>:</w:t>
      </w:r>
      <w:r w:rsidR="00BD6C6C" w:rsidRPr="00D3457C">
        <w:rPr>
          <w:rFonts w:cs="Arial"/>
          <w:snapToGrid w:val="0"/>
        </w:rPr>
        <w:t xml:space="preserve"> Maternity Care </w:t>
      </w:r>
      <w:r w:rsidR="004B276B" w:rsidRPr="00D3457C">
        <w:rPr>
          <w:rFonts w:cs="Arial"/>
          <w:snapToGrid w:val="0"/>
        </w:rPr>
        <w:t xml:space="preserve">based on </w:t>
      </w:r>
      <w:r w:rsidR="0069132C" w:rsidRPr="00D3457C">
        <w:rPr>
          <w:rFonts w:cs="Arial"/>
          <w:snapToGrid w:val="0"/>
        </w:rPr>
        <w:t xml:space="preserve">the </w:t>
      </w:r>
      <w:r w:rsidR="004B276B" w:rsidRPr="00D3457C">
        <w:rPr>
          <w:rFonts w:cs="Arial"/>
          <w:snapToGrid w:val="0"/>
        </w:rPr>
        <w:t>updated</w:t>
      </w:r>
      <w:r w:rsidR="002C7A5F" w:rsidRPr="00D3457C">
        <w:rPr>
          <w:rFonts w:cs="Arial"/>
          <w:snapToGrid w:val="0"/>
        </w:rPr>
        <w:t xml:space="preserve"> reporting period</w:t>
      </w:r>
      <w:r w:rsidR="004B276B" w:rsidRPr="00D3457C">
        <w:rPr>
          <w:rFonts w:cs="Arial"/>
          <w:snapToGrid w:val="0"/>
        </w:rPr>
        <w:t xml:space="preserve"> for </w:t>
      </w:r>
      <w:r w:rsidR="0039232B" w:rsidRPr="00D3457C">
        <w:rPr>
          <w:rFonts w:cs="Arial"/>
          <w:snapToGrid w:val="0"/>
        </w:rPr>
        <w:t>November</w:t>
      </w:r>
      <w:r w:rsidR="002C7A5F" w:rsidRPr="00D3457C">
        <w:rPr>
          <w:rFonts w:cs="Arial"/>
          <w:snapToGrid w:val="0"/>
        </w:rPr>
        <w:t xml:space="preserve">. </w:t>
      </w:r>
    </w:p>
    <w:p w14:paraId="6037C7B5" w14:textId="77777777" w:rsidR="00C836F8" w:rsidRPr="009A5185" w:rsidRDefault="00C836F8" w:rsidP="00AC579B">
      <w:pPr>
        <w:rPr>
          <w:rFonts w:cs="Arial"/>
          <w:b/>
          <w:snapToGrid w:val="0"/>
        </w:rPr>
      </w:pPr>
    </w:p>
    <w:p w14:paraId="56F54E8F" w14:textId="71072AED" w:rsidR="00FE6719" w:rsidRPr="009A5185" w:rsidRDefault="00FE6719" w:rsidP="00FE6719">
      <w:pPr>
        <w:rPr>
          <w:rFonts w:cs="Arial"/>
          <w:snapToGrid w:val="0"/>
        </w:rPr>
      </w:pPr>
      <w:r w:rsidRPr="009A5185">
        <w:rPr>
          <w:rFonts w:cs="Arial"/>
          <w:snapToGrid w:val="0"/>
        </w:rPr>
        <w:t>For information on Leapfrog’s automatic updates to</w:t>
      </w:r>
      <w:r w:rsidR="00B93E94">
        <w:rPr>
          <w:rFonts w:cs="Arial"/>
          <w:snapToGrid w:val="0"/>
        </w:rPr>
        <w:t xml:space="preserve"> the VON data in Section 4</w:t>
      </w:r>
      <w:r w:rsidR="0016658F">
        <w:rPr>
          <w:rFonts w:cs="Arial"/>
          <w:snapToGrid w:val="0"/>
        </w:rPr>
        <w:t>E</w:t>
      </w:r>
      <w:r w:rsidR="001243C9">
        <w:rPr>
          <w:rFonts w:cs="Arial"/>
          <w:snapToGrid w:val="0"/>
        </w:rPr>
        <w:t>:</w:t>
      </w:r>
      <w:r w:rsidR="00B93E94">
        <w:rPr>
          <w:rFonts w:cs="Arial"/>
          <w:snapToGrid w:val="0"/>
        </w:rPr>
        <w:t xml:space="preserve"> High-Risk Deliveries</w:t>
      </w:r>
      <w:r w:rsidR="00485C62">
        <w:rPr>
          <w:rFonts w:cs="Arial"/>
          <w:snapToGrid w:val="0"/>
        </w:rPr>
        <w:t>,</w:t>
      </w:r>
      <w:r w:rsidR="00B93E94">
        <w:rPr>
          <w:rFonts w:cs="Arial"/>
          <w:snapToGrid w:val="0"/>
        </w:rPr>
        <w:t xml:space="preserve"> the NHSN data in</w:t>
      </w:r>
      <w:r w:rsidRPr="009A5185">
        <w:rPr>
          <w:rFonts w:cs="Arial"/>
          <w:snapToGrid w:val="0"/>
        </w:rPr>
        <w:t xml:space="preserve"> Section 7B</w:t>
      </w:r>
      <w:r w:rsidR="001243C9">
        <w:rPr>
          <w:rFonts w:cs="Arial"/>
          <w:snapToGrid w:val="0"/>
        </w:rPr>
        <w:t>:</w:t>
      </w:r>
      <w:r w:rsidRPr="009A5185">
        <w:rPr>
          <w:rFonts w:cs="Arial"/>
          <w:snapToGrid w:val="0"/>
        </w:rPr>
        <w:t xml:space="preserve"> Healthcare-Asso</w:t>
      </w:r>
      <w:r w:rsidR="00E148CE" w:rsidRPr="009A5185">
        <w:rPr>
          <w:rFonts w:cs="Arial"/>
          <w:snapToGrid w:val="0"/>
        </w:rPr>
        <w:t>ciated Infection</w:t>
      </w:r>
      <w:r w:rsidR="0069132C">
        <w:rPr>
          <w:rFonts w:cs="Arial"/>
          <w:snapToGrid w:val="0"/>
        </w:rPr>
        <w:t>s</w:t>
      </w:r>
      <w:r w:rsidR="00485C62">
        <w:rPr>
          <w:rFonts w:cs="Arial"/>
          <w:snapToGrid w:val="0"/>
        </w:rPr>
        <w:t xml:space="preserve">, or the </w:t>
      </w:r>
      <w:r w:rsidR="001C1114">
        <w:rPr>
          <w:rFonts w:cs="Arial"/>
          <w:snapToGrid w:val="0"/>
        </w:rPr>
        <w:t>CMS</w:t>
      </w:r>
      <w:r w:rsidR="00485C62">
        <w:rPr>
          <w:rFonts w:cs="Arial"/>
          <w:snapToGrid w:val="0"/>
        </w:rPr>
        <w:t xml:space="preserve"> data in Section </w:t>
      </w:r>
      <w:r w:rsidR="001243C9">
        <w:rPr>
          <w:rFonts w:cs="Arial"/>
          <w:snapToGrid w:val="0"/>
        </w:rPr>
        <w:t>9</w:t>
      </w:r>
      <w:r w:rsidR="00910ACB">
        <w:rPr>
          <w:rFonts w:cs="Arial"/>
          <w:snapToGrid w:val="0"/>
        </w:rPr>
        <w:t>F</w:t>
      </w:r>
      <w:r w:rsidR="001243C9">
        <w:rPr>
          <w:rFonts w:cs="Arial"/>
          <w:snapToGrid w:val="0"/>
        </w:rPr>
        <w:t>:</w:t>
      </w:r>
      <w:r w:rsidR="00485C62">
        <w:rPr>
          <w:rFonts w:cs="Arial"/>
          <w:snapToGrid w:val="0"/>
        </w:rPr>
        <w:t xml:space="preserve"> </w:t>
      </w:r>
      <w:r w:rsidR="00910ACB">
        <w:rPr>
          <w:rFonts w:cs="Arial"/>
          <w:snapToGrid w:val="0"/>
        </w:rPr>
        <w:t>CMS Measures</w:t>
      </w:r>
      <w:r w:rsidR="00E148CE" w:rsidRPr="009A5185">
        <w:rPr>
          <w:rFonts w:cs="Arial"/>
          <w:snapToGrid w:val="0"/>
        </w:rPr>
        <w:t>, please review the</w:t>
      </w:r>
      <w:r w:rsidR="00B93E94">
        <w:rPr>
          <w:rFonts w:cs="Arial"/>
          <w:snapToGrid w:val="0"/>
        </w:rPr>
        <w:t xml:space="preserve"> </w:t>
      </w:r>
      <w:hyperlink w:anchor="_High-Risk_Deliveries_Measure_1" w:history="1">
        <w:r w:rsidR="0016658F">
          <w:rPr>
            <w:rStyle w:val="Hyperlink"/>
            <w:rFonts w:cs="Arial"/>
            <w:snapToGrid w:val="0"/>
          </w:rPr>
          <w:t>Section 4E: High-Risk Deliveries Measure Specifications</w:t>
        </w:r>
      </w:hyperlink>
      <w:r w:rsidR="00485C62">
        <w:rPr>
          <w:rFonts w:cs="Arial"/>
          <w:snapToGrid w:val="0"/>
        </w:rPr>
        <w:t xml:space="preserve">, </w:t>
      </w:r>
      <w:r w:rsidR="00B93E94">
        <w:rPr>
          <w:rFonts w:cs="Arial"/>
          <w:snapToGrid w:val="0"/>
        </w:rPr>
        <w:t>the</w:t>
      </w:r>
      <w:r w:rsidR="00E148CE" w:rsidRPr="009A5185">
        <w:rPr>
          <w:rFonts w:cs="Arial"/>
          <w:snapToGrid w:val="0"/>
        </w:rPr>
        <w:t xml:space="preserve"> </w:t>
      </w:r>
      <w:hyperlink r:id="rId69" w:history="1">
        <w:r w:rsidR="009E060C" w:rsidRPr="00823C7F">
          <w:rPr>
            <w:rStyle w:val="Hyperlink"/>
            <w:rFonts w:cs="Arial"/>
            <w:snapToGrid w:val="0"/>
          </w:rPr>
          <w:t xml:space="preserve">Review NHSN Instructions </w:t>
        </w:r>
        <w:r w:rsidR="00823C7F" w:rsidRPr="00823C7F">
          <w:rPr>
            <w:rStyle w:val="Hyperlink"/>
            <w:rFonts w:cs="Arial"/>
            <w:snapToGrid w:val="0"/>
          </w:rPr>
          <w:t>webpage</w:t>
        </w:r>
      </w:hyperlink>
      <w:r w:rsidR="00485C62" w:rsidRPr="009B3CFF">
        <w:rPr>
          <w:rStyle w:val="Hyperlink"/>
          <w:rFonts w:cs="Arial"/>
          <w:snapToGrid w:val="0"/>
          <w:color w:val="auto"/>
          <w:u w:val="none"/>
        </w:rPr>
        <w:t xml:space="preserve">, and the </w:t>
      </w:r>
      <w:hyperlink w:anchor="_CMS_Measures_Measure" w:history="1">
        <w:r w:rsidR="00485C62" w:rsidRPr="00485C62">
          <w:rPr>
            <w:rStyle w:val="Hyperlink"/>
            <w:rFonts w:cs="Arial"/>
            <w:snapToGrid w:val="0"/>
          </w:rPr>
          <w:t xml:space="preserve">Section </w:t>
        </w:r>
        <w:r w:rsidR="001243C9">
          <w:rPr>
            <w:rStyle w:val="Hyperlink"/>
            <w:rFonts w:cs="Arial"/>
            <w:snapToGrid w:val="0"/>
          </w:rPr>
          <w:t>9</w:t>
        </w:r>
        <w:r w:rsidR="00910ACB">
          <w:rPr>
            <w:rStyle w:val="Hyperlink"/>
            <w:rFonts w:cs="Arial"/>
            <w:snapToGrid w:val="0"/>
          </w:rPr>
          <w:t>F</w:t>
        </w:r>
        <w:r w:rsidR="001243C9">
          <w:rPr>
            <w:rStyle w:val="Hyperlink"/>
            <w:rFonts w:cs="Arial"/>
            <w:snapToGrid w:val="0"/>
          </w:rPr>
          <w:t>:</w:t>
        </w:r>
        <w:r w:rsidR="00485C62" w:rsidRPr="00485C62">
          <w:rPr>
            <w:rStyle w:val="Hyperlink"/>
            <w:rFonts w:cs="Arial"/>
            <w:snapToGrid w:val="0"/>
          </w:rPr>
          <w:t xml:space="preserve"> </w:t>
        </w:r>
        <w:r w:rsidR="00910ACB">
          <w:rPr>
            <w:rStyle w:val="Hyperlink"/>
            <w:rFonts w:cs="Arial"/>
            <w:snapToGrid w:val="0"/>
          </w:rPr>
          <w:t>CMS Measures</w:t>
        </w:r>
        <w:r w:rsidR="00485C62" w:rsidRPr="00485C62">
          <w:rPr>
            <w:rStyle w:val="Hyperlink"/>
            <w:rFonts w:cs="Arial"/>
            <w:snapToGrid w:val="0"/>
          </w:rPr>
          <w:t xml:space="preserve"> Measure Specifications</w:t>
        </w:r>
      </w:hyperlink>
      <w:r w:rsidR="00485C62">
        <w:rPr>
          <w:rStyle w:val="Hyperlink"/>
          <w:rFonts w:cs="Arial"/>
          <w:snapToGrid w:val="0"/>
        </w:rPr>
        <w:t xml:space="preserve">. </w:t>
      </w:r>
    </w:p>
    <w:p w14:paraId="1EB4392D" w14:textId="5DD4C9FC" w:rsidR="00A73A06" w:rsidRDefault="00651640" w:rsidP="00A73A06">
      <w:r w:rsidRPr="009A5185">
        <w:rPr>
          <w:rFonts w:cs="Arial"/>
          <w:noProof/>
          <w:snapToGrid w:val="0"/>
        </w:rPr>
        <mc:AlternateContent>
          <mc:Choice Requires="wps">
            <w:drawing>
              <wp:anchor distT="0" distB="0" distL="114300" distR="114300" simplePos="0" relativeHeight="251658242" behindDoc="0" locked="0" layoutInCell="1" allowOverlap="1" wp14:anchorId="74DCF8AD" wp14:editId="748704EE">
                <wp:simplePos x="0" y="0"/>
                <wp:positionH relativeFrom="margin">
                  <wp:align>center</wp:align>
                </wp:positionH>
                <wp:positionV relativeFrom="paragraph">
                  <wp:posOffset>207010</wp:posOffset>
                </wp:positionV>
                <wp:extent cx="5191125" cy="1038225"/>
                <wp:effectExtent l="0" t="0" r="28575" b="28575"/>
                <wp:wrapTopAndBottom/>
                <wp:docPr id="2" name="Text Box 2" descr="P484TB4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03822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254E110" w14:textId="7D202BCB" w:rsidR="00322A3C" w:rsidRDefault="00322A3C" w:rsidP="007475A2">
                            <w:pPr>
                              <w:jc w:val="center"/>
                            </w:pPr>
                            <w:r w:rsidRPr="004610C1">
                              <w:rPr>
                                <w:b/>
                                <w:snapToGrid w:val="0"/>
                              </w:rPr>
                              <w:t>Quick Tip</w:t>
                            </w:r>
                            <w:r w:rsidRPr="004610C1">
                              <w:rPr>
                                <w:snapToGrid w:val="0"/>
                              </w:rPr>
                              <w:t>:</w:t>
                            </w:r>
                            <w:r>
                              <w:rPr>
                                <w:snapToGrid w:val="0"/>
                              </w:rPr>
                              <w:t xml:space="preserve"> Remember to re-affirm any section of the Survey that </w:t>
                            </w:r>
                            <w:r w:rsidR="00881435">
                              <w:rPr>
                                <w:snapToGrid w:val="0"/>
                              </w:rPr>
                              <w:t>is</w:t>
                            </w:r>
                            <w:r>
                              <w:rPr>
                                <w:snapToGrid w:val="0"/>
                              </w:rPr>
                              <w:t xml:space="preserve"> updated, </w:t>
                            </w:r>
                            <w:r w:rsidR="002107B9">
                              <w:rPr>
                                <w:snapToGrid w:val="0"/>
                              </w:rPr>
                              <w:t xml:space="preserve">check for data review warnings, </w:t>
                            </w:r>
                            <w:r>
                              <w:rPr>
                                <w:snapToGrid w:val="0"/>
                              </w:rPr>
                              <w:t xml:space="preserve">and then resubmit the </w:t>
                            </w:r>
                            <w:r w:rsidR="002107B9">
                              <w:rPr>
                                <w:snapToGrid w:val="0"/>
                              </w:rPr>
                              <w:t xml:space="preserve">entire </w:t>
                            </w:r>
                            <w:r>
                              <w:rPr>
                                <w:snapToGrid w:val="0"/>
                              </w:rPr>
                              <w:t xml:space="preserve">Survey. </w:t>
                            </w:r>
                            <w:r w:rsidR="002107B9">
                              <w:rPr>
                                <w:snapToGrid w:val="0"/>
                              </w:rPr>
                              <w:t>Always p</w:t>
                            </w:r>
                            <w:r>
                              <w:rPr>
                                <w:snapToGrid w:val="0"/>
                              </w:rPr>
                              <w:t xml:space="preserve">rint a copy of your Last Submitted Survey and review it for accuracy and completeness. Check your updated Survey Results within the first </w:t>
                            </w:r>
                            <w:r w:rsidR="00714AF2">
                              <w:rPr>
                                <w:snapToGrid w:val="0"/>
                              </w:rPr>
                              <w:t>7 (seven)</w:t>
                            </w:r>
                            <w:r>
                              <w:rPr>
                                <w:snapToGrid w:val="0"/>
                              </w:rPr>
                              <w:t xml:space="preserve"> business days of the month following your resubmission on the </w:t>
                            </w:r>
                            <w:hyperlink r:id="rId70" w:history="1">
                              <w:r w:rsidRPr="00E148CE">
                                <w:rPr>
                                  <w:rStyle w:val="Hyperlink"/>
                                  <w:snapToGrid w:val="0"/>
                                </w:rPr>
                                <w:t xml:space="preserve">public </w:t>
                              </w:r>
                              <w:r w:rsidR="00F220B6">
                                <w:rPr>
                                  <w:rStyle w:val="Hyperlink"/>
                                  <w:snapToGrid w:val="0"/>
                                </w:rPr>
                                <w:t xml:space="preserve">reporting </w:t>
                              </w:r>
                              <w:r w:rsidRPr="00E148CE">
                                <w:rPr>
                                  <w:rStyle w:val="Hyperlink"/>
                                  <w:snapToGrid w:val="0"/>
                                </w:rPr>
                                <w:t>website</w:t>
                              </w:r>
                            </w:hyperlink>
                            <w:r w:rsidR="002107B9">
                              <w:rPr>
                                <w:snapToGrid w:val="0"/>
                              </w:rPr>
                              <w:t xml:space="preserve"> and the Hospital Details Page.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DCF8AD" id="Text Box 2" o:spid="_x0000_s1027" type="#_x0000_t202" alt="P484TB40#y1" style="position:absolute;margin-left:0;margin-top:16.3pt;width:408.75pt;height:81.7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" fillcolor="white [3201]" strokecolor="#9bbb59 [3206]" strokeweight="2pt">
                <v:textbox>
                  <w:txbxContent>
                    <w:p w14:paraId="4254E110" w14:textId="7D202BCB" w:rsidR="00322A3C" w:rsidRDefault="00322A3C" w:rsidP="007475A2">
                      <w:pPr>
                        <w:jc w:val="center"/>
                      </w:pPr>
                      <w:r w:rsidRPr="004610C1">
                        <w:rPr>
                          <w:b/>
                          <w:snapToGrid w:val="0"/>
                        </w:rPr>
                        <w:t>Quick Tip</w:t>
                      </w:r>
                      <w:r w:rsidRPr="004610C1">
                        <w:rPr>
                          <w:snapToGrid w:val="0"/>
                        </w:rPr>
                        <w:t>:</w:t>
                      </w:r>
                      <w:r>
                        <w:rPr>
                          <w:snapToGrid w:val="0"/>
                        </w:rPr>
                        <w:t xml:space="preserve"> Remember to re-affirm any section of the Survey that </w:t>
                      </w:r>
                      <w:r w:rsidR="00881435">
                        <w:rPr>
                          <w:snapToGrid w:val="0"/>
                        </w:rPr>
                        <w:t>is</w:t>
                      </w:r>
                      <w:r>
                        <w:rPr>
                          <w:snapToGrid w:val="0"/>
                        </w:rPr>
                        <w:t xml:space="preserve"> updated, </w:t>
                      </w:r>
                      <w:r w:rsidR="002107B9">
                        <w:rPr>
                          <w:snapToGrid w:val="0"/>
                        </w:rPr>
                        <w:t xml:space="preserve">check for data review warnings, </w:t>
                      </w:r>
                      <w:r>
                        <w:rPr>
                          <w:snapToGrid w:val="0"/>
                        </w:rPr>
                        <w:t xml:space="preserve">and then resubmit the </w:t>
                      </w:r>
                      <w:r w:rsidR="002107B9">
                        <w:rPr>
                          <w:snapToGrid w:val="0"/>
                        </w:rPr>
                        <w:t xml:space="preserve">entire </w:t>
                      </w:r>
                      <w:r>
                        <w:rPr>
                          <w:snapToGrid w:val="0"/>
                        </w:rPr>
                        <w:t xml:space="preserve">Survey. </w:t>
                      </w:r>
                      <w:r w:rsidR="002107B9">
                        <w:rPr>
                          <w:snapToGrid w:val="0"/>
                        </w:rPr>
                        <w:t>Always p</w:t>
                      </w:r>
                      <w:r>
                        <w:rPr>
                          <w:snapToGrid w:val="0"/>
                        </w:rPr>
                        <w:t xml:space="preserve">rint a copy of your Last Submitted Survey and review it for accuracy and completeness. Check your updated Survey Results within the first </w:t>
                      </w:r>
                      <w:r w:rsidR="00714AF2">
                        <w:rPr>
                          <w:snapToGrid w:val="0"/>
                        </w:rPr>
                        <w:t>7 (seven)</w:t>
                      </w:r>
                      <w:r>
                        <w:rPr>
                          <w:snapToGrid w:val="0"/>
                        </w:rPr>
                        <w:t xml:space="preserve"> business days of the month following your resubmission on the </w:t>
                      </w:r>
                      <w:hyperlink r:id="rId71" w:history="1">
                        <w:r w:rsidRPr="00E148CE">
                          <w:rPr>
                            <w:rStyle w:val="Hyperlink"/>
                            <w:snapToGrid w:val="0"/>
                          </w:rPr>
                          <w:t xml:space="preserve">public </w:t>
                        </w:r>
                        <w:r w:rsidR="00F220B6">
                          <w:rPr>
                            <w:rStyle w:val="Hyperlink"/>
                            <w:snapToGrid w:val="0"/>
                          </w:rPr>
                          <w:t xml:space="preserve">reporting </w:t>
                        </w:r>
                        <w:r w:rsidRPr="00E148CE">
                          <w:rPr>
                            <w:rStyle w:val="Hyperlink"/>
                            <w:snapToGrid w:val="0"/>
                          </w:rPr>
                          <w:t>website</w:t>
                        </w:r>
                      </w:hyperlink>
                      <w:r w:rsidR="002107B9">
                        <w:rPr>
                          <w:snapToGrid w:val="0"/>
                        </w:rPr>
                        <w:t xml:space="preserve"> and the Hospital Details Page.</w:t>
                      </w:r>
                    </w:p>
                  </w:txbxContent>
                </v:textbox>
                <w10:wrap type="topAndBottom" anchorx="margin"/>
              </v:shape>
            </w:pict>
          </mc:Fallback>
        </mc:AlternateContent>
      </w:r>
      <w:bookmarkStart w:id="40" w:name="_Ensuring_Data_Accuracy"/>
      <w:bookmarkEnd w:id="40"/>
    </w:p>
    <w:p w14:paraId="3F4C349D" w14:textId="77777777" w:rsidR="00A73A06" w:rsidRPr="00A73A06" w:rsidRDefault="00A73A06" w:rsidP="00A73A06"/>
    <w:p w14:paraId="4D2F9FF5" w14:textId="77777777" w:rsidR="00490319" w:rsidRDefault="00490319">
      <w:pPr>
        <w:rPr>
          <w:b/>
          <w:snapToGrid w:val="0"/>
          <w:sz w:val="28"/>
          <w:szCs w:val="24"/>
          <w:u w:val="single"/>
          <w:lang w:eastAsia="ja-JP"/>
        </w:rPr>
      </w:pPr>
      <w:r>
        <w:br w:type="page"/>
      </w:r>
    </w:p>
    <w:p w14:paraId="26420FA2" w14:textId="61747EC1" w:rsidR="00955832" w:rsidRPr="00D62E76" w:rsidRDefault="0010643F" w:rsidP="00CF5A6E">
      <w:pPr>
        <w:pStyle w:val="Heading2"/>
        <w:rPr>
          <w:rFonts w:cs="Arial"/>
        </w:rPr>
      </w:pPr>
      <w:bookmarkStart w:id="41" w:name="_Toc225877647"/>
      <w:r w:rsidRPr="009A5185">
        <w:lastRenderedPageBreak/>
        <w:t>Deadlines</w:t>
      </w:r>
      <w:bookmarkEnd w:id="41"/>
    </w:p>
    <w:p w14:paraId="4F5E8CA6" w14:textId="77777777" w:rsidR="000D3D0A" w:rsidRPr="009A5185" w:rsidRDefault="000D3D0A" w:rsidP="000D3D0A">
      <w:pPr>
        <w:rPr>
          <w:rFonts w:cs="Arial"/>
          <w:lang w:eastAsia="ja-JP"/>
        </w:rPr>
      </w:pPr>
    </w:p>
    <w:p w14:paraId="79468B20" w14:textId="6F350709" w:rsidR="000D3D0A" w:rsidRPr="009A5185" w:rsidRDefault="000D3D0A" w:rsidP="00AB5B80">
      <w:pPr>
        <w:pStyle w:val="Heading3"/>
      </w:pPr>
      <w:bookmarkStart w:id="42" w:name="_Toc225877648"/>
      <w:r w:rsidRPr="009A5185">
        <w:t xml:space="preserve">Deadlines for the </w:t>
      </w:r>
      <w:r w:rsidR="00A236B1">
        <w:t>202</w:t>
      </w:r>
      <w:r w:rsidR="00072372">
        <w:t>6</w:t>
      </w:r>
      <w:r w:rsidR="00460E9D" w:rsidRPr="009A5185">
        <w:t xml:space="preserve"> </w:t>
      </w:r>
      <w:r w:rsidRPr="009A5185">
        <w:t xml:space="preserve">Leapfrog Hospital </w:t>
      </w:r>
      <w:r w:rsidR="00C14AFF" w:rsidRPr="009A5185">
        <w:t>Survey</w:t>
      </w:r>
      <w:bookmarkEnd w:id="42"/>
    </w:p>
    <w:p w14:paraId="75472BCC" w14:textId="77777777" w:rsidR="00DE6E30" w:rsidRDefault="00DE6E30" w:rsidP="000D3D0A">
      <w:pPr>
        <w:rPr>
          <w:rFonts w:cs="Arial"/>
          <w:lang w:eastAsia="ja-JP"/>
        </w:rPr>
      </w:pPr>
    </w:p>
    <w:p w14:paraId="1C152B45" w14:textId="151CBEC3" w:rsidR="00EB5B32" w:rsidRPr="00A521C2" w:rsidRDefault="000D3D0A" w:rsidP="000D3D0A">
      <w:pPr>
        <w:rPr>
          <w:rFonts w:cs="Arial"/>
          <w:lang w:eastAsia="ja-JP"/>
        </w:rPr>
      </w:pPr>
      <w:r w:rsidRPr="00A521C2">
        <w:rPr>
          <w:rFonts w:cs="Arial"/>
          <w:lang w:eastAsia="ja-JP"/>
        </w:rPr>
        <w:t xml:space="preserve">The </w:t>
      </w:r>
      <w:r w:rsidR="00A236B1">
        <w:rPr>
          <w:rFonts w:cs="Arial"/>
          <w:lang w:eastAsia="ja-JP"/>
        </w:rPr>
        <w:t>202</w:t>
      </w:r>
      <w:r w:rsidR="00AF7FF7">
        <w:rPr>
          <w:rFonts w:cs="Arial"/>
          <w:lang w:eastAsia="ja-JP"/>
        </w:rPr>
        <w:t>6</w:t>
      </w:r>
      <w:r w:rsidR="00460E9D" w:rsidRPr="00A521C2">
        <w:rPr>
          <w:rFonts w:cs="Arial"/>
          <w:lang w:eastAsia="ja-JP"/>
        </w:rPr>
        <w:t xml:space="preserve"> </w:t>
      </w:r>
      <w:r w:rsidRPr="00A521C2">
        <w:rPr>
          <w:rFonts w:cs="Arial"/>
          <w:lang w:eastAsia="ja-JP"/>
        </w:rPr>
        <w:t>Leapfrog Ho</w:t>
      </w:r>
      <w:r w:rsidR="00D66EDA" w:rsidRPr="00A521C2">
        <w:rPr>
          <w:rFonts w:cs="Arial"/>
          <w:lang w:eastAsia="ja-JP"/>
        </w:rPr>
        <w:t xml:space="preserve">spital </w:t>
      </w:r>
      <w:r w:rsidR="00C14AFF" w:rsidRPr="00A521C2">
        <w:rPr>
          <w:rFonts w:cs="Arial"/>
          <w:lang w:eastAsia="ja-JP"/>
        </w:rPr>
        <w:t>Survey</w:t>
      </w:r>
      <w:r w:rsidR="00317BA1">
        <w:rPr>
          <w:rFonts w:cs="Arial"/>
          <w:lang w:eastAsia="ja-JP"/>
        </w:rPr>
        <w:t>, including the CPOE Evaluation Tool</w:t>
      </w:r>
      <w:r w:rsidR="00927D7A">
        <w:rPr>
          <w:rFonts w:cs="Arial"/>
          <w:lang w:eastAsia="ja-JP"/>
        </w:rPr>
        <w:t xml:space="preserve"> (if applicable)</w:t>
      </w:r>
      <w:r w:rsidR="00317BA1">
        <w:rPr>
          <w:rFonts w:cs="Arial"/>
          <w:lang w:eastAsia="ja-JP"/>
        </w:rPr>
        <w:t>,</w:t>
      </w:r>
      <w:r w:rsidR="00C64016" w:rsidRPr="00A521C2">
        <w:rPr>
          <w:rFonts w:cs="Arial"/>
          <w:lang w:eastAsia="ja-JP"/>
        </w:rPr>
        <w:t xml:space="preserve"> </w:t>
      </w:r>
      <w:r w:rsidR="00D66EDA" w:rsidRPr="00A521C2">
        <w:rPr>
          <w:rFonts w:cs="Arial"/>
          <w:lang w:eastAsia="ja-JP"/>
        </w:rPr>
        <w:t xml:space="preserve">opens on April 1 </w:t>
      </w:r>
      <w:r w:rsidRPr="00A521C2">
        <w:rPr>
          <w:rFonts w:cs="Arial"/>
          <w:lang w:eastAsia="ja-JP"/>
        </w:rPr>
        <w:t xml:space="preserve">and </w:t>
      </w:r>
      <w:r w:rsidR="0069132C" w:rsidRPr="00A521C2">
        <w:rPr>
          <w:rFonts w:cs="Arial"/>
          <w:lang w:eastAsia="ja-JP"/>
        </w:rPr>
        <w:t xml:space="preserve">has a Submission Deadline of </w:t>
      </w:r>
      <w:r w:rsidR="00C06E0F">
        <w:rPr>
          <w:rFonts w:cs="Arial"/>
          <w:b/>
          <w:bCs/>
          <w:lang w:eastAsia="ja-JP"/>
        </w:rPr>
        <w:t>Ju</w:t>
      </w:r>
      <w:r w:rsidR="00386C41">
        <w:rPr>
          <w:rFonts w:cs="Arial"/>
          <w:b/>
          <w:bCs/>
          <w:lang w:eastAsia="ja-JP"/>
        </w:rPr>
        <w:t>ne</w:t>
      </w:r>
      <w:r w:rsidR="00C06E0F">
        <w:rPr>
          <w:rFonts w:cs="Arial"/>
          <w:b/>
          <w:bCs/>
          <w:lang w:eastAsia="ja-JP"/>
        </w:rPr>
        <w:t xml:space="preserve"> 3</w:t>
      </w:r>
      <w:r w:rsidR="00386C41">
        <w:rPr>
          <w:rFonts w:cs="Arial"/>
          <w:b/>
          <w:bCs/>
          <w:lang w:eastAsia="ja-JP"/>
        </w:rPr>
        <w:t>0</w:t>
      </w:r>
      <w:r w:rsidR="00C64016" w:rsidRPr="00A521C2">
        <w:rPr>
          <w:rFonts w:cs="Arial"/>
          <w:b/>
          <w:bCs/>
          <w:lang w:eastAsia="ja-JP"/>
        </w:rPr>
        <w:t xml:space="preserve">, </w:t>
      </w:r>
      <w:r w:rsidR="00A236B1">
        <w:rPr>
          <w:rFonts w:cs="Arial"/>
          <w:b/>
          <w:bCs/>
          <w:lang w:eastAsia="ja-JP"/>
        </w:rPr>
        <w:t>202</w:t>
      </w:r>
      <w:r w:rsidR="00AF7FF7">
        <w:rPr>
          <w:rFonts w:cs="Arial"/>
          <w:b/>
          <w:bCs/>
          <w:lang w:eastAsia="ja-JP"/>
        </w:rPr>
        <w:t>6</w:t>
      </w:r>
      <w:r w:rsidR="00C64016" w:rsidRPr="00A521C2">
        <w:rPr>
          <w:rFonts w:cs="Arial"/>
          <w:lang w:eastAsia="ja-JP"/>
        </w:rPr>
        <w:t>.</w:t>
      </w:r>
      <w:r w:rsidR="0069132C" w:rsidRPr="00A521C2">
        <w:rPr>
          <w:rFonts w:cs="Arial"/>
          <w:lang w:eastAsia="ja-JP"/>
        </w:rPr>
        <w:t xml:space="preserve"> The Late Submission </w:t>
      </w:r>
      <w:r w:rsidR="00123E52" w:rsidRPr="00123E52">
        <w:rPr>
          <w:rFonts w:cs="Arial"/>
          <w:bCs/>
          <w:snapToGrid w:val="0"/>
        </w:rPr>
        <w:t>and Performance Update</w:t>
      </w:r>
      <w:r w:rsidR="00123E52">
        <w:rPr>
          <w:rFonts w:cs="Arial"/>
          <w:bCs/>
          <w:snapToGrid w:val="0"/>
          <w:sz w:val="16"/>
          <w:szCs w:val="16"/>
        </w:rPr>
        <w:t xml:space="preserve"> </w:t>
      </w:r>
      <w:r w:rsidR="0069132C" w:rsidRPr="00A521C2">
        <w:rPr>
          <w:rFonts w:cs="Arial"/>
          <w:lang w:eastAsia="ja-JP"/>
        </w:rPr>
        <w:t>Deadline is</w:t>
      </w:r>
      <w:r w:rsidR="00A53FE0" w:rsidRPr="00A521C2">
        <w:rPr>
          <w:rFonts w:cs="Arial"/>
          <w:lang w:eastAsia="ja-JP"/>
        </w:rPr>
        <w:t xml:space="preserve"> </w:t>
      </w:r>
      <w:r w:rsidR="00317BA1">
        <w:rPr>
          <w:rFonts w:cs="Arial"/>
          <w:b/>
          <w:lang w:eastAsia="ja-JP"/>
        </w:rPr>
        <w:t>November 30</w:t>
      </w:r>
      <w:r w:rsidR="0069132C" w:rsidRPr="00A521C2">
        <w:rPr>
          <w:rFonts w:cs="Arial"/>
          <w:b/>
          <w:lang w:eastAsia="ja-JP"/>
        </w:rPr>
        <w:t xml:space="preserve">, </w:t>
      </w:r>
      <w:r w:rsidR="00A236B1">
        <w:rPr>
          <w:rFonts w:cs="Arial"/>
          <w:b/>
          <w:lang w:eastAsia="ja-JP"/>
        </w:rPr>
        <w:t>202</w:t>
      </w:r>
      <w:r w:rsidR="00AF7FF7">
        <w:rPr>
          <w:rFonts w:cs="Arial"/>
          <w:b/>
          <w:lang w:eastAsia="ja-JP"/>
        </w:rPr>
        <w:t>6</w:t>
      </w:r>
      <w:r w:rsidR="00092C7E" w:rsidRPr="00A521C2">
        <w:rPr>
          <w:rFonts w:cs="Arial"/>
          <w:lang w:eastAsia="ja-JP"/>
        </w:rPr>
        <w:t xml:space="preserve">. </w:t>
      </w:r>
      <w:r w:rsidR="00C14AFF" w:rsidRPr="00A521C2">
        <w:rPr>
          <w:rFonts w:cs="Arial"/>
          <w:lang w:eastAsia="ja-JP"/>
        </w:rPr>
        <w:t>Survey</w:t>
      </w:r>
      <w:r w:rsidR="00092C7E" w:rsidRPr="00A521C2">
        <w:rPr>
          <w:rFonts w:cs="Arial"/>
          <w:lang w:eastAsia="ja-JP"/>
        </w:rPr>
        <w:t xml:space="preserve">s </w:t>
      </w:r>
      <w:r w:rsidR="00317BA1">
        <w:rPr>
          <w:rFonts w:cs="Arial"/>
          <w:lang w:eastAsia="ja-JP"/>
        </w:rPr>
        <w:t xml:space="preserve">and Adult Inpatient CPOE Tests </w:t>
      </w:r>
      <w:r w:rsidR="00092C7E" w:rsidRPr="00A521C2">
        <w:rPr>
          <w:rFonts w:cs="Arial"/>
          <w:lang w:eastAsia="ja-JP"/>
        </w:rPr>
        <w:t xml:space="preserve">must be submitted before </w:t>
      </w:r>
      <w:r w:rsidR="00317BA1">
        <w:rPr>
          <w:rFonts w:cs="Arial"/>
          <w:lang w:eastAsia="ja-JP"/>
        </w:rPr>
        <w:t>11:59 pm</w:t>
      </w:r>
      <w:r w:rsidR="00092C7E" w:rsidRPr="00A521C2">
        <w:rPr>
          <w:rFonts w:cs="Arial"/>
          <w:lang w:eastAsia="ja-JP"/>
        </w:rPr>
        <w:t xml:space="preserve"> Eastern Time on </w:t>
      </w:r>
      <w:r w:rsidR="00317BA1">
        <w:rPr>
          <w:rFonts w:cs="Arial"/>
          <w:b/>
          <w:lang w:eastAsia="ja-JP"/>
        </w:rPr>
        <w:t>November 30</w:t>
      </w:r>
      <w:r w:rsidR="00092C7E" w:rsidRPr="00A521C2">
        <w:rPr>
          <w:rFonts w:cs="Arial"/>
          <w:lang w:eastAsia="ja-JP"/>
        </w:rPr>
        <w:t>. The CPOE Evaluation Tool will not be available</w:t>
      </w:r>
      <w:r w:rsidR="00317BA1">
        <w:rPr>
          <w:rFonts w:cs="Arial"/>
          <w:lang w:eastAsia="ja-JP"/>
        </w:rPr>
        <w:t xml:space="preserve"> after </w:t>
      </w:r>
      <w:r w:rsidR="00317BA1">
        <w:rPr>
          <w:rFonts w:cs="Arial"/>
          <w:b/>
          <w:bCs/>
          <w:lang w:eastAsia="ja-JP"/>
        </w:rPr>
        <w:t>November 30</w:t>
      </w:r>
      <w:r w:rsidR="00092C7E" w:rsidRPr="00A521C2">
        <w:rPr>
          <w:rFonts w:cs="Arial"/>
          <w:lang w:eastAsia="ja-JP"/>
        </w:rPr>
        <w:t>.</w:t>
      </w:r>
      <w:r w:rsidR="00416A40">
        <w:rPr>
          <w:rFonts w:cs="Arial"/>
          <w:lang w:eastAsia="ja-JP"/>
        </w:rPr>
        <w:t xml:space="preserve"> </w:t>
      </w:r>
      <w:r w:rsidR="00416A40" w:rsidRPr="00416A40">
        <w:rPr>
          <w:rFonts w:cs="Arial"/>
          <w:lang w:eastAsia="ja-JP"/>
        </w:rPr>
        <w:t xml:space="preserve">The View CPOE </w:t>
      </w:r>
      <w:r w:rsidR="00421B8A">
        <w:rPr>
          <w:rFonts w:cs="Arial"/>
          <w:lang w:eastAsia="ja-JP"/>
        </w:rPr>
        <w:t xml:space="preserve">Evaluation Tool </w:t>
      </w:r>
      <w:r w:rsidR="00416A40" w:rsidRPr="00416A40">
        <w:rPr>
          <w:rFonts w:cs="Arial"/>
          <w:lang w:eastAsia="ja-JP"/>
        </w:rPr>
        <w:t>results</w:t>
      </w:r>
      <w:r w:rsidR="00421B8A">
        <w:rPr>
          <w:rFonts w:cs="Arial"/>
          <w:lang w:eastAsia="ja-JP"/>
        </w:rPr>
        <w:t xml:space="preserve"> </w:t>
      </w:r>
      <w:r w:rsidR="00416A40" w:rsidRPr="00416A40">
        <w:rPr>
          <w:rFonts w:cs="Arial"/>
          <w:lang w:eastAsia="ja-JP"/>
        </w:rPr>
        <w:t xml:space="preserve">link on the Survey Dashboard can </w:t>
      </w:r>
      <w:r w:rsidR="00416A40">
        <w:rPr>
          <w:rFonts w:cs="Arial"/>
          <w:lang w:eastAsia="ja-JP"/>
        </w:rPr>
        <w:t xml:space="preserve">only </w:t>
      </w:r>
      <w:r w:rsidR="00416A40" w:rsidRPr="00416A40">
        <w:rPr>
          <w:rFonts w:cs="Arial"/>
          <w:lang w:eastAsia="ja-JP"/>
        </w:rPr>
        <w:t>be accessed between April 1 and November 30</w:t>
      </w:r>
      <w:r w:rsidR="00690680">
        <w:rPr>
          <w:rFonts w:cs="Arial"/>
          <w:lang w:eastAsia="ja-JP"/>
        </w:rPr>
        <w:t>,</w:t>
      </w:r>
      <w:r w:rsidR="00416A40" w:rsidRPr="00416A40">
        <w:rPr>
          <w:rFonts w:cs="Arial"/>
          <w:lang w:eastAsia="ja-JP"/>
        </w:rPr>
        <w:t xml:space="preserve"> so </w:t>
      </w:r>
      <w:r w:rsidR="00690680">
        <w:rPr>
          <w:rFonts w:cs="Arial"/>
          <w:lang w:eastAsia="ja-JP"/>
        </w:rPr>
        <w:t xml:space="preserve">test </w:t>
      </w:r>
      <w:r w:rsidR="00416A40" w:rsidRPr="00416A40">
        <w:rPr>
          <w:rFonts w:cs="Arial"/>
          <w:lang w:eastAsia="ja-JP"/>
        </w:rPr>
        <w:t xml:space="preserve">results must be printed </w:t>
      </w:r>
      <w:r w:rsidR="00416A40">
        <w:rPr>
          <w:rFonts w:cs="Arial"/>
          <w:lang w:eastAsia="ja-JP"/>
        </w:rPr>
        <w:t>by November 30</w:t>
      </w:r>
      <w:r w:rsidR="00416A40" w:rsidRPr="00416A40">
        <w:rPr>
          <w:rFonts w:cs="Arial"/>
          <w:lang w:eastAsia="ja-JP"/>
        </w:rPr>
        <w:t>.</w:t>
      </w:r>
    </w:p>
    <w:p w14:paraId="1745F313" w14:textId="77777777" w:rsidR="00092C7E" w:rsidRPr="00A521C2" w:rsidRDefault="00092C7E" w:rsidP="000D3D0A">
      <w:pPr>
        <w:rPr>
          <w:rFonts w:cs="Arial"/>
          <w:lang w:eastAsia="ja-JP"/>
        </w:rPr>
      </w:pPr>
    </w:p>
    <w:p w14:paraId="718AE462" w14:textId="216A1B64" w:rsidR="000D3D0A" w:rsidRDefault="004F1742" w:rsidP="000D3D0A">
      <w:pPr>
        <w:rPr>
          <w:rFonts w:cs="Arial"/>
          <w:lang w:eastAsia="ja-JP"/>
        </w:rPr>
      </w:pPr>
      <w:r w:rsidRPr="00A521C2">
        <w:rPr>
          <w:rFonts w:cs="Arial"/>
          <w:lang w:eastAsia="ja-JP"/>
        </w:rPr>
        <w:t xml:space="preserve">Corrections to </w:t>
      </w:r>
      <w:r w:rsidR="00C14AFF" w:rsidRPr="00A521C2">
        <w:rPr>
          <w:rFonts w:cs="Arial"/>
        </w:rPr>
        <w:t>Survey</w:t>
      </w:r>
      <w:r w:rsidR="00D66EDA" w:rsidRPr="00A521C2">
        <w:rPr>
          <w:rFonts w:cs="Arial"/>
        </w:rPr>
        <w:t xml:space="preserve">s submitted by </w:t>
      </w:r>
      <w:r w:rsidR="005D79F9">
        <w:rPr>
          <w:rFonts w:cs="Arial"/>
          <w:b/>
          <w:lang w:eastAsia="ja-JP"/>
        </w:rPr>
        <w:t>November 30</w:t>
      </w:r>
      <w:r w:rsidR="00460E9D" w:rsidRPr="00A521C2">
        <w:rPr>
          <w:rFonts w:cs="Arial"/>
          <w:color w:val="FF0000"/>
        </w:rPr>
        <w:t xml:space="preserve"> </w:t>
      </w:r>
      <w:r w:rsidR="000D3D0A" w:rsidRPr="00A521C2">
        <w:rPr>
          <w:rFonts w:cs="Arial"/>
        </w:rPr>
        <w:t xml:space="preserve">must </w:t>
      </w:r>
      <w:r w:rsidR="00EE2038" w:rsidRPr="00A521C2">
        <w:rPr>
          <w:rFonts w:cs="Arial"/>
        </w:rPr>
        <w:t xml:space="preserve">be </w:t>
      </w:r>
      <w:r w:rsidRPr="00A521C2">
        <w:rPr>
          <w:rFonts w:cs="Arial"/>
        </w:rPr>
        <w:t xml:space="preserve">submitted </w:t>
      </w:r>
      <w:r w:rsidR="0069132C" w:rsidRPr="00A521C2">
        <w:rPr>
          <w:rFonts w:cs="Arial"/>
        </w:rPr>
        <w:t xml:space="preserve">by the </w:t>
      </w:r>
      <w:r w:rsidR="0069132C" w:rsidRPr="00A521C2">
        <w:rPr>
          <w:rFonts w:cs="Arial"/>
          <w:b/>
        </w:rPr>
        <w:t xml:space="preserve">January 31, </w:t>
      </w:r>
      <w:r w:rsidR="0003234D">
        <w:rPr>
          <w:rFonts w:cs="Arial"/>
          <w:b/>
        </w:rPr>
        <w:t>202</w:t>
      </w:r>
      <w:r w:rsidR="00AF7FF7">
        <w:rPr>
          <w:rFonts w:cs="Arial"/>
          <w:b/>
        </w:rPr>
        <w:t>7</w:t>
      </w:r>
      <w:r w:rsidR="0069132C" w:rsidRPr="00A521C2">
        <w:rPr>
          <w:rFonts w:cs="Arial"/>
        </w:rPr>
        <w:t xml:space="preserve"> Correction</w:t>
      </w:r>
      <w:r w:rsidR="00FD74ED">
        <w:rPr>
          <w:rFonts w:cs="Arial"/>
        </w:rPr>
        <w:t>s</w:t>
      </w:r>
      <w:r w:rsidR="0069132C" w:rsidRPr="00A521C2">
        <w:rPr>
          <w:rFonts w:cs="Arial"/>
        </w:rPr>
        <w:t xml:space="preserve"> Deadline</w:t>
      </w:r>
      <w:r w:rsidRPr="00A521C2">
        <w:rPr>
          <w:rFonts w:cs="Arial"/>
        </w:rPr>
        <w:t xml:space="preserve">. </w:t>
      </w:r>
      <w:r w:rsidR="00092C7E" w:rsidRPr="00A521C2">
        <w:rPr>
          <w:rFonts w:cs="Arial"/>
        </w:rPr>
        <w:t xml:space="preserve">The </w:t>
      </w:r>
      <w:r w:rsidR="004B22C6" w:rsidRPr="00A521C2">
        <w:rPr>
          <w:rFonts w:cs="Arial"/>
        </w:rPr>
        <w:t>Online Hospital Survey Tool</w:t>
      </w:r>
      <w:r w:rsidR="00092C7E" w:rsidRPr="00A521C2">
        <w:rPr>
          <w:rFonts w:cs="Arial"/>
        </w:rPr>
        <w:t xml:space="preserve"> will not be available after </w:t>
      </w:r>
      <w:r w:rsidR="00092C7E" w:rsidRPr="00A521C2">
        <w:rPr>
          <w:rFonts w:cs="Arial"/>
          <w:b/>
        </w:rPr>
        <w:t>January 31</w:t>
      </w:r>
      <w:r w:rsidR="00BA1385">
        <w:rPr>
          <w:rFonts w:cs="Arial"/>
          <w:b/>
        </w:rPr>
        <w:t>, 202</w:t>
      </w:r>
      <w:r w:rsidR="004A35FA">
        <w:rPr>
          <w:rFonts w:cs="Arial"/>
          <w:b/>
        </w:rPr>
        <w:t>7</w:t>
      </w:r>
      <w:r w:rsidR="00092C7E" w:rsidRPr="00A521C2">
        <w:rPr>
          <w:rFonts w:cs="Arial"/>
        </w:rPr>
        <w:t xml:space="preserve">. </w:t>
      </w:r>
      <w:r w:rsidR="000D3D0A" w:rsidRPr="00A521C2">
        <w:rPr>
          <w:rFonts w:cs="Arial"/>
          <w:lang w:eastAsia="ja-JP"/>
        </w:rPr>
        <w:t>F</w:t>
      </w:r>
      <w:r w:rsidR="00010CA6" w:rsidRPr="00A521C2">
        <w:rPr>
          <w:rFonts w:cs="Arial"/>
          <w:lang w:eastAsia="ja-JP"/>
        </w:rPr>
        <w:t>ind d</w:t>
      </w:r>
      <w:r w:rsidR="000D3D0A" w:rsidRPr="00A521C2">
        <w:rPr>
          <w:rFonts w:cs="Arial"/>
          <w:lang w:eastAsia="ja-JP"/>
        </w:rPr>
        <w:t xml:space="preserve">etailed </w:t>
      </w:r>
      <w:r w:rsidR="00EE2038" w:rsidRPr="00A521C2">
        <w:rPr>
          <w:rFonts w:cs="Arial"/>
          <w:lang w:eastAsia="ja-JP"/>
        </w:rPr>
        <w:t>i</w:t>
      </w:r>
      <w:r w:rsidR="000D3D0A" w:rsidRPr="00A521C2">
        <w:rPr>
          <w:rFonts w:cs="Arial"/>
          <w:lang w:eastAsia="ja-JP"/>
        </w:rPr>
        <w:t>nformation about</w:t>
      </w:r>
      <w:r w:rsidR="00010CA6" w:rsidRPr="00A521C2">
        <w:rPr>
          <w:rFonts w:cs="Arial"/>
          <w:lang w:eastAsia="ja-JP"/>
        </w:rPr>
        <w:t xml:space="preserve"> the</w:t>
      </w:r>
      <w:r w:rsidR="000D3D0A" w:rsidRPr="00A521C2">
        <w:rPr>
          <w:rFonts w:cs="Arial"/>
          <w:lang w:eastAsia="ja-JP"/>
        </w:rPr>
        <w:t xml:space="preserve"> </w:t>
      </w:r>
      <w:r w:rsidR="00A236B1">
        <w:rPr>
          <w:rFonts w:cs="Arial"/>
          <w:lang w:eastAsia="ja-JP"/>
        </w:rPr>
        <w:t>202</w:t>
      </w:r>
      <w:r w:rsidR="004A35FA">
        <w:rPr>
          <w:rFonts w:cs="Arial"/>
          <w:lang w:eastAsia="ja-JP"/>
        </w:rPr>
        <w:t>6</w:t>
      </w:r>
      <w:r w:rsidR="00460E9D" w:rsidRPr="00A521C2">
        <w:rPr>
          <w:rFonts w:cs="Arial"/>
          <w:lang w:eastAsia="ja-JP"/>
        </w:rPr>
        <w:t xml:space="preserve"> </w:t>
      </w:r>
      <w:r w:rsidR="000D3D0A" w:rsidRPr="00A521C2">
        <w:rPr>
          <w:rFonts w:cs="Arial"/>
          <w:lang w:eastAsia="ja-JP"/>
        </w:rPr>
        <w:t xml:space="preserve">Leapfrog Hospital </w:t>
      </w:r>
      <w:r w:rsidR="00C14AFF" w:rsidRPr="00A521C2">
        <w:rPr>
          <w:rFonts w:cs="Arial"/>
          <w:lang w:eastAsia="ja-JP"/>
        </w:rPr>
        <w:t>Survey</w:t>
      </w:r>
      <w:r w:rsidR="000D3D0A" w:rsidRPr="00A521C2">
        <w:rPr>
          <w:rFonts w:cs="Arial"/>
          <w:lang w:eastAsia="ja-JP"/>
        </w:rPr>
        <w:t xml:space="preserve"> Deadlines, including </w:t>
      </w:r>
      <w:r w:rsidR="00EE2038" w:rsidRPr="00A521C2">
        <w:rPr>
          <w:rFonts w:cs="Arial"/>
          <w:lang w:eastAsia="ja-JP"/>
        </w:rPr>
        <w:t>deadlines for receiving free Competitive Benchmarking Summary Reports</w:t>
      </w:r>
      <w:r w:rsidR="000D3D0A" w:rsidRPr="00A521C2">
        <w:rPr>
          <w:rFonts w:cs="Arial"/>
          <w:lang w:eastAsia="ja-JP"/>
        </w:rPr>
        <w:t xml:space="preserve"> and</w:t>
      </w:r>
      <w:r w:rsidR="008D2906" w:rsidRPr="00A521C2">
        <w:rPr>
          <w:rFonts w:cs="Arial"/>
          <w:lang w:eastAsia="ja-JP"/>
        </w:rPr>
        <w:t xml:space="preserve"> </w:t>
      </w:r>
      <w:r w:rsidR="00A008D1" w:rsidRPr="00A521C2">
        <w:rPr>
          <w:rFonts w:cs="Arial"/>
          <w:lang w:eastAsia="ja-JP"/>
        </w:rPr>
        <w:t xml:space="preserve">consideration for </w:t>
      </w:r>
      <w:r w:rsidR="008D2906" w:rsidRPr="00A521C2">
        <w:rPr>
          <w:rFonts w:cs="Arial"/>
          <w:lang w:eastAsia="ja-JP"/>
        </w:rPr>
        <w:t xml:space="preserve">Top Hospital </w:t>
      </w:r>
      <w:r w:rsidR="00EE2038" w:rsidRPr="00A521C2">
        <w:rPr>
          <w:rFonts w:cs="Arial"/>
          <w:lang w:eastAsia="ja-JP"/>
        </w:rPr>
        <w:t>Award</w:t>
      </w:r>
      <w:r w:rsidR="009B0E91" w:rsidRPr="00A521C2">
        <w:rPr>
          <w:rFonts w:cs="Arial"/>
          <w:lang w:eastAsia="ja-JP"/>
        </w:rPr>
        <w:t xml:space="preserve">s on the </w:t>
      </w:r>
      <w:hyperlink r:id="rId72" w:history="1">
        <w:r w:rsidR="009B0E91" w:rsidRPr="00A521C2">
          <w:rPr>
            <w:rStyle w:val="Hyperlink"/>
            <w:rFonts w:cs="Arial"/>
            <w:lang w:eastAsia="ja-JP"/>
          </w:rPr>
          <w:t>Deadlines webpage</w:t>
        </w:r>
      </w:hyperlink>
      <w:r w:rsidR="009B0E91" w:rsidRPr="00A521C2">
        <w:rPr>
          <w:rFonts w:cs="Arial"/>
          <w:lang w:eastAsia="ja-JP"/>
        </w:rPr>
        <w:t>.</w:t>
      </w:r>
      <w:r w:rsidR="009B0E91" w:rsidRPr="009A5185">
        <w:rPr>
          <w:rFonts w:cs="Arial"/>
          <w:lang w:eastAsia="ja-JP"/>
        </w:rPr>
        <w:t xml:space="preserve"> </w:t>
      </w:r>
    </w:p>
    <w:p w14:paraId="72008A0B" w14:textId="77777777" w:rsidR="00A73A06" w:rsidRDefault="00A73A06" w:rsidP="000D3D0A">
      <w:pPr>
        <w:rPr>
          <w:rFonts w:cs="Arial"/>
          <w:lang w:eastAsia="ja-JP"/>
        </w:rPr>
      </w:pPr>
    </w:p>
    <w:p w14:paraId="5A5FA637" w14:textId="77777777" w:rsidR="00AD475B" w:rsidRDefault="00AD475B" w:rsidP="00AB5B80">
      <w:pPr>
        <w:pStyle w:val="Heading3"/>
      </w:pPr>
      <w:bookmarkStart w:id="43" w:name="_Toc225877649"/>
      <w:r>
        <w:t>Deadlines for Vermont Oxford Network Data</w:t>
      </w:r>
      <w:bookmarkEnd w:id="43"/>
    </w:p>
    <w:p w14:paraId="22786B37" w14:textId="77777777" w:rsidR="00AD475B" w:rsidRDefault="00AD475B" w:rsidP="00AD475B">
      <w:pPr>
        <w:rPr>
          <w:rFonts w:cs="Arial"/>
          <w:lang w:eastAsia="ja-JP"/>
        </w:rPr>
      </w:pPr>
    </w:p>
    <w:p w14:paraId="31B3D0D7" w14:textId="6BEB977B" w:rsidR="00AD475B" w:rsidRPr="009A5185" w:rsidRDefault="00AD475B" w:rsidP="000D3D0A">
      <w:pPr>
        <w:rPr>
          <w:rFonts w:cs="Arial"/>
          <w:lang w:eastAsia="ja-JP"/>
        </w:rPr>
      </w:pPr>
      <w:r w:rsidRPr="008059CD">
        <w:rPr>
          <w:rFonts w:cs="Arial"/>
          <w:lang w:eastAsia="ja-JP"/>
        </w:rPr>
        <w:t>Hospitals participating in the Vermont Oxford Network (VON) may opt to report on the VON National Performance Measure</w:t>
      </w:r>
      <w:r>
        <w:rPr>
          <w:rFonts w:cs="Arial"/>
          <w:lang w:eastAsia="ja-JP"/>
        </w:rPr>
        <w:t xml:space="preserve"> in Section 4</w:t>
      </w:r>
      <w:r w:rsidR="0016658F">
        <w:rPr>
          <w:rFonts w:cs="Arial"/>
          <w:lang w:eastAsia="ja-JP"/>
        </w:rPr>
        <w:t>E</w:t>
      </w:r>
      <w:r w:rsidR="001243C9">
        <w:rPr>
          <w:rFonts w:cs="Arial"/>
          <w:lang w:eastAsia="ja-JP"/>
        </w:rPr>
        <w:t>:</w:t>
      </w:r>
      <w:r>
        <w:rPr>
          <w:rFonts w:cs="Arial"/>
          <w:lang w:eastAsia="ja-JP"/>
        </w:rPr>
        <w:t xml:space="preserve"> High-Risk Deliveries. Instructions, deadlines, and reporting periods can be reviewed in the </w:t>
      </w:r>
      <w:hyperlink w:anchor="_High-Risk_Deliveries_Measure_1" w:history="1">
        <w:r w:rsidRPr="008059CD">
          <w:rPr>
            <w:rStyle w:val="Hyperlink"/>
            <w:rFonts w:cs="Arial"/>
            <w:lang w:eastAsia="ja-JP"/>
          </w:rPr>
          <w:t>VON National Performance Measure Specifications</w:t>
        </w:r>
      </w:hyperlink>
      <w:r>
        <w:rPr>
          <w:rFonts w:cs="Arial"/>
          <w:lang w:eastAsia="ja-JP"/>
        </w:rPr>
        <w:t>.</w:t>
      </w:r>
    </w:p>
    <w:p w14:paraId="7868848D" w14:textId="77777777" w:rsidR="005A6629" w:rsidRPr="009A5185" w:rsidRDefault="005A6629" w:rsidP="000D3D0A">
      <w:pPr>
        <w:rPr>
          <w:rFonts w:cs="Arial"/>
          <w:lang w:eastAsia="ja-JP"/>
        </w:rPr>
      </w:pPr>
    </w:p>
    <w:p w14:paraId="5CB2064A" w14:textId="77777777" w:rsidR="005A6629" w:rsidRPr="009A5185" w:rsidRDefault="005A6629" w:rsidP="00AB5B80">
      <w:pPr>
        <w:pStyle w:val="Heading3"/>
      </w:pPr>
      <w:bookmarkStart w:id="44" w:name="_Toc225877650"/>
      <w:r w:rsidRPr="009A5185">
        <w:t>Deadlines to Join Leapfrog’s NHSN Group</w:t>
      </w:r>
      <w:bookmarkEnd w:id="44"/>
    </w:p>
    <w:p w14:paraId="25F0BF1F" w14:textId="77777777" w:rsidR="00DE6E30" w:rsidRDefault="00DE6E30" w:rsidP="000D3D0A">
      <w:pPr>
        <w:rPr>
          <w:rFonts w:cs="Arial"/>
          <w:lang w:eastAsia="ja-JP"/>
        </w:rPr>
      </w:pPr>
    </w:p>
    <w:p w14:paraId="34A82278" w14:textId="7C924F78" w:rsidR="005A6629" w:rsidRPr="009A5185" w:rsidRDefault="005A6629" w:rsidP="000D3D0A">
      <w:pPr>
        <w:rPr>
          <w:rFonts w:cs="Arial"/>
          <w:lang w:eastAsia="ja-JP"/>
        </w:rPr>
      </w:pPr>
      <w:r w:rsidRPr="009A5185">
        <w:rPr>
          <w:rFonts w:cs="Arial"/>
          <w:lang w:eastAsia="ja-JP"/>
        </w:rPr>
        <w:t>Hospitals reporting on Section 7B</w:t>
      </w:r>
      <w:r w:rsidR="001243C9">
        <w:rPr>
          <w:rFonts w:cs="Arial"/>
          <w:lang w:eastAsia="ja-JP"/>
        </w:rPr>
        <w:t>:</w:t>
      </w:r>
      <w:r w:rsidRPr="009A5185">
        <w:rPr>
          <w:rFonts w:cs="Arial"/>
          <w:lang w:eastAsia="ja-JP"/>
        </w:rPr>
        <w:t xml:space="preserve"> Healthcare-Associated Infections</w:t>
      </w:r>
      <w:r w:rsidR="00242467" w:rsidRPr="009A5185">
        <w:rPr>
          <w:rFonts w:cs="Arial"/>
          <w:lang w:eastAsia="ja-JP"/>
        </w:rPr>
        <w:t xml:space="preserve"> </w:t>
      </w:r>
      <w:r w:rsidRPr="009A5185">
        <w:rPr>
          <w:rFonts w:cs="Arial"/>
          <w:lang w:eastAsia="ja-JP"/>
        </w:rPr>
        <w:t>are required to join Leapfrog’s NHSN</w:t>
      </w:r>
      <w:r w:rsidR="009B0E91" w:rsidRPr="009A5185">
        <w:rPr>
          <w:rFonts w:cs="Arial"/>
          <w:lang w:eastAsia="ja-JP"/>
        </w:rPr>
        <w:t xml:space="preserve"> Group. Please visit our </w:t>
      </w:r>
      <w:hyperlink r:id="rId73" w:history="1">
        <w:r w:rsidR="008B3E89" w:rsidRPr="004A48E1">
          <w:rPr>
            <w:rStyle w:val="Hyperlink"/>
            <w:rFonts w:cs="Arial"/>
            <w:lang w:eastAsia="ja-JP"/>
          </w:rPr>
          <w:t>webpage</w:t>
        </w:r>
      </w:hyperlink>
      <w:r w:rsidRPr="009A5185">
        <w:rPr>
          <w:rFonts w:cs="Arial"/>
          <w:lang w:eastAsia="ja-JP"/>
        </w:rPr>
        <w:t xml:space="preserve"> for instructions on how to join the group a</w:t>
      </w:r>
      <w:r w:rsidR="009B0E91" w:rsidRPr="009A5185">
        <w:rPr>
          <w:rFonts w:cs="Arial"/>
          <w:lang w:eastAsia="ja-JP"/>
        </w:rPr>
        <w:t>s</w:t>
      </w:r>
      <w:r w:rsidRPr="009A5185">
        <w:rPr>
          <w:rFonts w:cs="Arial"/>
          <w:lang w:eastAsia="ja-JP"/>
        </w:rPr>
        <w:t xml:space="preserve"> well as inform</w:t>
      </w:r>
      <w:r w:rsidR="009B0E91" w:rsidRPr="009A5185">
        <w:rPr>
          <w:rFonts w:cs="Arial"/>
          <w:lang w:eastAsia="ja-JP"/>
        </w:rPr>
        <w:t xml:space="preserve">ation about important deadlines. </w:t>
      </w:r>
    </w:p>
    <w:p w14:paraId="313F2A6A" w14:textId="77777777" w:rsidR="000D3D0A" w:rsidRPr="009A5185" w:rsidRDefault="000D3D0A" w:rsidP="000D3D0A">
      <w:pPr>
        <w:rPr>
          <w:rFonts w:cs="Arial"/>
          <w:lang w:eastAsia="ja-JP"/>
        </w:rPr>
      </w:pPr>
    </w:p>
    <w:p w14:paraId="5F4AEFA9" w14:textId="77777777" w:rsidR="000D3D0A" w:rsidRPr="009A5185" w:rsidRDefault="000D3D0A" w:rsidP="00AB5B80">
      <w:pPr>
        <w:pStyle w:val="Heading3"/>
      </w:pPr>
      <w:bookmarkStart w:id="45" w:name="_Toc225877651"/>
      <w:r w:rsidRPr="009A5185">
        <w:t xml:space="preserve">Deadlines Related to the Hospital Safety </w:t>
      </w:r>
      <w:r w:rsidR="009D788B" w:rsidRPr="009A5185">
        <w:t>Grade</w:t>
      </w:r>
      <w:bookmarkEnd w:id="45"/>
    </w:p>
    <w:p w14:paraId="0BC5B0E1" w14:textId="77777777" w:rsidR="00DE6E30" w:rsidRDefault="00DE6E30" w:rsidP="000E54C1">
      <w:pPr>
        <w:rPr>
          <w:rFonts w:cs="Arial"/>
        </w:rPr>
      </w:pPr>
    </w:p>
    <w:p w14:paraId="22F6461C" w14:textId="77777777" w:rsidR="00D62E76" w:rsidRDefault="009B0E91" w:rsidP="00D62E76">
      <w:pPr>
        <w:rPr>
          <w:rFonts w:cs="Arial"/>
        </w:rPr>
      </w:pPr>
      <w:r w:rsidRPr="009A5185">
        <w:rPr>
          <w:rFonts w:cs="Arial"/>
        </w:rPr>
        <w:t xml:space="preserve">Hospitals that would like Leapfrog Hospital </w:t>
      </w:r>
      <w:r w:rsidR="00C14AFF" w:rsidRPr="009A5185">
        <w:rPr>
          <w:rFonts w:cs="Arial"/>
        </w:rPr>
        <w:t>Survey Results</w:t>
      </w:r>
      <w:r w:rsidRPr="009A5185">
        <w:rPr>
          <w:rFonts w:cs="Arial"/>
        </w:rPr>
        <w:t xml:space="preserve"> used in their </w:t>
      </w:r>
      <w:r w:rsidR="00E2077F">
        <w:rPr>
          <w:rFonts w:cs="Arial"/>
        </w:rPr>
        <w:t xml:space="preserve">Leapfrog </w:t>
      </w:r>
      <w:r w:rsidRPr="009A5185">
        <w:rPr>
          <w:rFonts w:cs="Arial"/>
        </w:rPr>
        <w:t xml:space="preserve">Hospital Safety Grade must submit a </w:t>
      </w:r>
      <w:r w:rsidR="00C14AFF" w:rsidRPr="009A5185">
        <w:rPr>
          <w:rFonts w:cs="Arial"/>
        </w:rPr>
        <w:t>Survey</w:t>
      </w:r>
      <w:r w:rsidR="005D79F9">
        <w:rPr>
          <w:rFonts w:cs="Arial"/>
        </w:rPr>
        <w:t xml:space="preserve"> and an Adult Inpatient CPOE Test</w:t>
      </w:r>
      <w:r w:rsidR="0008406E">
        <w:rPr>
          <w:rFonts w:cs="Arial"/>
        </w:rPr>
        <w:t xml:space="preserve"> </w:t>
      </w:r>
      <w:r w:rsidRPr="009A5185">
        <w:rPr>
          <w:rFonts w:cs="Arial"/>
        </w:rPr>
        <w:t xml:space="preserve">by the </w:t>
      </w:r>
      <w:hyperlink r:id="rId74" w:history="1">
        <w:r w:rsidRPr="009A5185">
          <w:rPr>
            <w:rStyle w:val="Hyperlink"/>
            <w:rFonts w:cs="Arial"/>
          </w:rPr>
          <w:t>Data Snapshot Dates</w:t>
        </w:r>
      </w:hyperlink>
      <w:r w:rsidRPr="009A5185">
        <w:rPr>
          <w:rFonts w:cs="Arial"/>
        </w:rPr>
        <w:t xml:space="preserve">. </w:t>
      </w:r>
      <w:r w:rsidR="000D3D0A" w:rsidRPr="009A5185">
        <w:rPr>
          <w:rFonts w:cs="Arial"/>
        </w:rPr>
        <w:t xml:space="preserve">The Leapfrog Hospital </w:t>
      </w:r>
      <w:r w:rsidR="00C14AFF" w:rsidRPr="009A5185">
        <w:rPr>
          <w:rFonts w:cs="Arial"/>
        </w:rPr>
        <w:t>Survey</w:t>
      </w:r>
      <w:r w:rsidR="000D3D0A" w:rsidRPr="009A5185">
        <w:rPr>
          <w:rFonts w:cs="Arial"/>
        </w:rPr>
        <w:t xml:space="preserve"> and the Hospital Safety </w:t>
      </w:r>
      <w:r w:rsidR="009D788B" w:rsidRPr="009A5185">
        <w:rPr>
          <w:rFonts w:cs="Arial"/>
        </w:rPr>
        <w:t xml:space="preserve">Grade </w:t>
      </w:r>
      <w:r w:rsidR="000D3D0A" w:rsidRPr="009A5185">
        <w:rPr>
          <w:rFonts w:cs="Arial"/>
        </w:rPr>
        <w:t xml:space="preserve">are distinct programs administered by The Leapfrog Group. Though some measures from the Leapfrog Hospital </w:t>
      </w:r>
      <w:r w:rsidR="00C14AFF" w:rsidRPr="009A5185">
        <w:rPr>
          <w:rFonts w:cs="Arial"/>
        </w:rPr>
        <w:t>Survey</w:t>
      </w:r>
      <w:r w:rsidR="000D3D0A" w:rsidRPr="009A5185">
        <w:rPr>
          <w:rFonts w:cs="Arial"/>
        </w:rPr>
        <w:t xml:space="preserve"> are used in the Hospital Safety</w:t>
      </w:r>
      <w:r w:rsidR="009D788B" w:rsidRPr="009A5185">
        <w:rPr>
          <w:rFonts w:cs="Arial"/>
        </w:rPr>
        <w:t xml:space="preserve"> Grade</w:t>
      </w:r>
      <w:r w:rsidR="000D3D0A" w:rsidRPr="009A5185">
        <w:rPr>
          <w:rFonts w:cs="Arial"/>
        </w:rPr>
        <w:t xml:space="preserve">, the </w:t>
      </w:r>
      <w:r w:rsidR="009D788B" w:rsidRPr="009A5185">
        <w:rPr>
          <w:rFonts w:cs="Arial"/>
        </w:rPr>
        <w:t xml:space="preserve">grade </w:t>
      </w:r>
      <w:r w:rsidR="000D3D0A" w:rsidRPr="009A5185">
        <w:rPr>
          <w:rFonts w:cs="Arial"/>
        </w:rPr>
        <w:t xml:space="preserve">also utilizes publicly available data from other data sources. </w:t>
      </w:r>
      <w:r w:rsidRPr="009A5185">
        <w:rPr>
          <w:rFonts w:cs="Arial"/>
        </w:rPr>
        <w:t>Find</w:t>
      </w:r>
      <w:r w:rsidR="003B1840">
        <w:rPr>
          <w:rFonts w:cs="Arial"/>
        </w:rPr>
        <w:t xml:space="preserve"> answers to</w:t>
      </w:r>
      <w:r w:rsidRPr="009A5185">
        <w:rPr>
          <w:rFonts w:cs="Arial"/>
        </w:rPr>
        <w:t xml:space="preserve"> F</w:t>
      </w:r>
      <w:r w:rsidR="003B1840">
        <w:rPr>
          <w:rFonts w:cs="Arial"/>
        </w:rPr>
        <w:t xml:space="preserve">requently </w:t>
      </w:r>
      <w:r w:rsidRPr="009A5185">
        <w:rPr>
          <w:rFonts w:cs="Arial"/>
        </w:rPr>
        <w:t>A</w:t>
      </w:r>
      <w:r w:rsidR="003B1840">
        <w:rPr>
          <w:rFonts w:cs="Arial"/>
        </w:rPr>
        <w:t xml:space="preserve">sked </w:t>
      </w:r>
      <w:r w:rsidRPr="009A5185">
        <w:rPr>
          <w:rFonts w:cs="Arial"/>
        </w:rPr>
        <w:t>Q</w:t>
      </w:r>
      <w:r w:rsidR="003B1840">
        <w:rPr>
          <w:rFonts w:cs="Arial"/>
        </w:rPr>
        <w:t>uestion</w:t>
      </w:r>
      <w:r w:rsidRPr="009A5185">
        <w:rPr>
          <w:rFonts w:cs="Arial"/>
        </w:rPr>
        <w:t xml:space="preserve">s in the “For Hospitals” section of the Hospital Safety Grade </w:t>
      </w:r>
      <w:hyperlink r:id="rId75" w:history="1">
        <w:r w:rsidRPr="009A5185">
          <w:rPr>
            <w:rStyle w:val="Hyperlink"/>
            <w:rFonts w:cs="Arial"/>
          </w:rPr>
          <w:t>website</w:t>
        </w:r>
      </w:hyperlink>
      <w:r w:rsidRPr="009A5185">
        <w:rPr>
          <w:rFonts w:cs="Arial"/>
        </w:rPr>
        <w:t>.</w:t>
      </w:r>
    </w:p>
    <w:p w14:paraId="724ECD98" w14:textId="77777777" w:rsidR="00D62E76" w:rsidRDefault="00D62E76" w:rsidP="00D62E76">
      <w:pPr>
        <w:rPr>
          <w:rFonts w:cs="Arial"/>
        </w:rPr>
      </w:pPr>
    </w:p>
    <w:p w14:paraId="7913EA17" w14:textId="77777777" w:rsidR="00490319" w:rsidRDefault="00490319">
      <w:pPr>
        <w:rPr>
          <w:b/>
          <w:snapToGrid w:val="0"/>
          <w:sz w:val="28"/>
          <w:szCs w:val="24"/>
          <w:u w:val="single"/>
          <w:lang w:eastAsia="ja-JP"/>
        </w:rPr>
      </w:pPr>
      <w:r>
        <w:br w:type="page"/>
      </w:r>
    </w:p>
    <w:p w14:paraId="18FBE32F" w14:textId="3181DF8A" w:rsidR="00446D22" w:rsidRPr="00D62E76" w:rsidRDefault="00446D22" w:rsidP="00CF5A6E">
      <w:pPr>
        <w:pStyle w:val="Heading2"/>
        <w:rPr>
          <w:rFonts w:cs="Arial"/>
        </w:rPr>
      </w:pPr>
      <w:bookmarkStart w:id="46" w:name="_Toc225877652"/>
      <w:r w:rsidRPr="009A5185">
        <w:lastRenderedPageBreak/>
        <w:t>Technical Assistance</w:t>
      </w:r>
      <w:bookmarkEnd w:id="46"/>
    </w:p>
    <w:p w14:paraId="12475399" w14:textId="77777777" w:rsidR="00446D22" w:rsidRPr="009A5185" w:rsidRDefault="00446D22" w:rsidP="00446D22">
      <w:pPr>
        <w:rPr>
          <w:rFonts w:cs="Arial"/>
          <w:highlight w:val="yellow"/>
          <w:lang w:eastAsia="ja-JP"/>
        </w:rPr>
      </w:pPr>
    </w:p>
    <w:p w14:paraId="555EE009" w14:textId="506304DC" w:rsidR="00061B46" w:rsidRDefault="00D10E89" w:rsidP="00AB5B80">
      <w:pPr>
        <w:pStyle w:val="Heading3"/>
      </w:pPr>
      <w:bookmarkStart w:id="47" w:name="_Toc225877653"/>
      <w:r>
        <w:t xml:space="preserve">Leapfrog’s </w:t>
      </w:r>
      <w:r w:rsidR="00061B46" w:rsidRPr="009A5185">
        <w:t>Help Desk</w:t>
      </w:r>
      <w:bookmarkEnd w:id="47"/>
    </w:p>
    <w:p w14:paraId="2C7CC9F6" w14:textId="77777777" w:rsidR="00490DAD" w:rsidRPr="00490DAD" w:rsidRDefault="00490DAD" w:rsidP="00490DAD">
      <w:pPr>
        <w:rPr>
          <w:lang w:eastAsia="ja-JP"/>
        </w:rPr>
      </w:pPr>
    </w:p>
    <w:p w14:paraId="4C811362" w14:textId="77777777" w:rsidR="00CC0544" w:rsidRDefault="00CC0544" w:rsidP="00CC0544">
      <w:pPr>
        <w:rPr>
          <w:rFonts w:cs="Arial"/>
        </w:rPr>
      </w:pPr>
      <w:bookmarkStart w:id="48" w:name="_Hlk160097479"/>
      <w:r>
        <w:rPr>
          <w:rFonts w:cs="Arial"/>
        </w:rPr>
        <w:t xml:space="preserve">Connect with Leapfrog’s in-house subject matter experts via our dedicated Help Desk to get timely support for: </w:t>
      </w:r>
    </w:p>
    <w:p w14:paraId="50982293" w14:textId="77777777" w:rsidR="004A35FA" w:rsidRDefault="004A35FA" w:rsidP="00CC0544">
      <w:pPr>
        <w:rPr>
          <w:rFonts w:cs="Arial"/>
        </w:rPr>
      </w:pPr>
    </w:p>
    <w:p w14:paraId="0ED16F3F" w14:textId="77777777" w:rsidR="00CC0544" w:rsidRDefault="00CC0544" w:rsidP="00AD309C">
      <w:pPr>
        <w:numPr>
          <w:ilvl w:val="0"/>
          <w:numId w:val="388"/>
        </w:numPr>
        <w:rPr>
          <w:rFonts w:cs="Arial"/>
        </w:rPr>
      </w:pPr>
      <w:r>
        <w:rPr>
          <w:rFonts w:cs="Arial"/>
        </w:rPr>
        <w:t xml:space="preserve">Survey content and scoring questions, </w:t>
      </w:r>
    </w:p>
    <w:p w14:paraId="13A572CB" w14:textId="77777777" w:rsidR="00CC0544" w:rsidRDefault="00CC0544" w:rsidP="00AD309C">
      <w:pPr>
        <w:numPr>
          <w:ilvl w:val="0"/>
          <w:numId w:val="388"/>
        </w:numPr>
        <w:rPr>
          <w:rFonts w:cs="Arial"/>
        </w:rPr>
      </w:pPr>
      <w:r>
        <w:rPr>
          <w:rFonts w:cs="Arial"/>
        </w:rPr>
        <w:t>Data verification messages and requests for documentation, and</w:t>
      </w:r>
    </w:p>
    <w:p w14:paraId="4D31A458" w14:textId="539217D3" w:rsidR="00CC0544" w:rsidRDefault="00CC0544" w:rsidP="00AD309C">
      <w:pPr>
        <w:numPr>
          <w:ilvl w:val="0"/>
          <w:numId w:val="388"/>
        </w:numPr>
        <w:rPr>
          <w:rFonts w:cs="Arial"/>
        </w:rPr>
      </w:pPr>
      <w:r>
        <w:rPr>
          <w:rFonts w:cs="Arial"/>
        </w:rPr>
        <w:t xml:space="preserve">Technical issues related to the Online Survey Tool, CPOE Evaluation Tool, or the Hospital and Surgery Center Ratings </w:t>
      </w:r>
      <w:hyperlink r:id="rId76" w:history="1">
        <w:r>
          <w:rPr>
            <w:rStyle w:val="Hyperlink"/>
            <w:rFonts w:cs="Arial"/>
          </w:rPr>
          <w:t>website</w:t>
        </w:r>
      </w:hyperlink>
      <w:r>
        <w:rPr>
          <w:rFonts w:cs="Arial"/>
        </w:rPr>
        <w:t xml:space="preserve">, </w:t>
      </w:r>
    </w:p>
    <w:p w14:paraId="047AB291" w14:textId="77777777" w:rsidR="00CC0544" w:rsidRDefault="00CC0544" w:rsidP="00CC0544">
      <w:pPr>
        <w:rPr>
          <w:rFonts w:eastAsiaTheme="minorHAnsi" w:cs="Arial"/>
        </w:rPr>
      </w:pPr>
    </w:p>
    <w:p w14:paraId="72211C0C" w14:textId="5E38855B" w:rsidR="00CC0544" w:rsidRDefault="00CC0544" w:rsidP="00CC0544">
      <w:pPr>
        <w:rPr>
          <w:rFonts w:cs="Arial"/>
        </w:rPr>
      </w:pPr>
      <w:r>
        <w:rPr>
          <w:rFonts w:cs="Arial"/>
        </w:rPr>
        <w:t xml:space="preserve">You can also schedule a 1:1 Hospital Survey Orientation and submit feedback on any of Leapfrog’s ratings programs, including </w:t>
      </w:r>
      <w:hyperlink r:id="rId77" w:history="1">
        <w:r>
          <w:rPr>
            <w:rStyle w:val="Hyperlink"/>
            <w:rFonts w:cs="Arial"/>
          </w:rPr>
          <w:t>Top Hospitals</w:t>
        </w:r>
      </w:hyperlink>
      <w:r>
        <w:rPr>
          <w:rFonts w:cs="Arial"/>
        </w:rPr>
        <w:t xml:space="preserve"> and </w:t>
      </w:r>
      <w:hyperlink r:id="rId78" w:history="1">
        <w:r>
          <w:rPr>
            <w:rStyle w:val="Hyperlink"/>
            <w:rFonts w:cs="Arial"/>
          </w:rPr>
          <w:t>Top ASCs</w:t>
        </w:r>
      </w:hyperlink>
      <w:r>
        <w:rPr>
          <w:rFonts w:cs="Arial"/>
        </w:rPr>
        <w:t xml:space="preserve">, the </w:t>
      </w:r>
      <w:hyperlink r:id="rId79" w:history="1">
        <w:r>
          <w:rPr>
            <w:rStyle w:val="Hyperlink"/>
            <w:rFonts w:cs="Arial"/>
          </w:rPr>
          <w:t>Hospital Safety Grade</w:t>
        </w:r>
      </w:hyperlink>
      <w:r>
        <w:rPr>
          <w:rFonts w:cs="Arial"/>
        </w:rPr>
        <w:t xml:space="preserve">, </w:t>
      </w:r>
      <w:r w:rsidR="00E06C48">
        <w:rPr>
          <w:rFonts w:cs="Arial"/>
        </w:rPr>
        <w:t xml:space="preserve">the </w:t>
      </w:r>
      <w:hyperlink r:id="rId80" w:history="1">
        <w:r w:rsidR="00321CC8">
          <w:rPr>
            <w:rStyle w:val="Hyperlink"/>
            <w:rFonts w:cs="Arial"/>
          </w:rPr>
          <w:t>Recognized Leader in Caring for People with Diabetes Program</w:t>
        </w:r>
      </w:hyperlink>
      <w:r w:rsidR="00FB6423">
        <w:rPr>
          <w:rFonts w:cs="Arial"/>
        </w:rPr>
        <w:t xml:space="preserve"> </w:t>
      </w:r>
      <w:r>
        <w:rPr>
          <w:rFonts w:cs="Arial"/>
        </w:rPr>
        <w:t xml:space="preserve">and </w:t>
      </w:r>
      <w:hyperlink r:id="rId81" w:history="1">
        <w:r>
          <w:rPr>
            <w:rStyle w:val="Hyperlink"/>
            <w:rFonts w:cs="Arial"/>
          </w:rPr>
          <w:t>Leapfrog’s Value-Based Purchasing Program</w:t>
        </w:r>
      </w:hyperlink>
      <w:r>
        <w:rPr>
          <w:rFonts w:cs="Arial"/>
        </w:rPr>
        <w:t>.  </w:t>
      </w:r>
    </w:p>
    <w:p w14:paraId="7B3DDB1D" w14:textId="77777777" w:rsidR="00CC0544" w:rsidRDefault="00CC0544" w:rsidP="00CC0544">
      <w:pPr>
        <w:rPr>
          <w:rFonts w:cs="Arial"/>
        </w:rPr>
      </w:pPr>
    </w:p>
    <w:p w14:paraId="0F0BD0F6" w14:textId="5EF29E35" w:rsidR="00CC0544" w:rsidRDefault="00CC0544" w:rsidP="00CC0544">
      <w:pPr>
        <w:rPr>
          <w:rFonts w:cs="Arial"/>
        </w:rPr>
      </w:pPr>
      <w:r>
        <w:rPr>
          <w:rFonts w:cs="Arial"/>
        </w:rPr>
        <w:t xml:space="preserve">To quickly get you to the right in-house expert for the right level of support, submit your inquiry in writing through the Zendesk ticketing portal at </w:t>
      </w:r>
      <w:hyperlink r:id="rId82" w:history="1">
        <w:r>
          <w:rPr>
            <w:rStyle w:val="Hyperlink"/>
            <w:rFonts w:cs="Arial"/>
          </w:rPr>
          <w:t>https://leapfroghelpdesk.zendesk.com</w:t>
        </w:r>
      </w:hyperlink>
      <w:r>
        <w:rPr>
          <w:rFonts w:cs="Arial"/>
        </w:rPr>
        <w:t xml:space="preserve">. You’ll receive a reply within 1-2 business days, if not sooner. Tickets submitted during a CPOE Test receive a reply within 10 minutes during normal business hours. More information on submitting and managing Help Desk tickets can be found in the </w:t>
      </w:r>
      <w:hyperlink r:id="rId83" w:history="1">
        <w:r>
          <w:rPr>
            <w:rStyle w:val="Hyperlink"/>
            <w:rFonts w:cs="Arial"/>
          </w:rPr>
          <w:t>Help Desk Guide</w:t>
        </w:r>
      </w:hyperlink>
      <w:r>
        <w:rPr>
          <w:rFonts w:cs="Arial"/>
        </w:rPr>
        <w:t>.</w:t>
      </w:r>
    </w:p>
    <w:p w14:paraId="535C36B9" w14:textId="77777777" w:rsidR="00CC0544" w:rsidRDefault="00CC0544" w:rsidP="00CC0544">
      <w:pPr>
        <w:rPr>
          <w:rFonts w:cs="Arial"/>
        </w:rPr>
      </w:pPr>
    </w:p>
    <w:p w14:paraId="13AC2A61" w14:textId="426DB48F" w:rsidR="00CC0544" w:rsidRDefault="00CC0544" w:rsidP="00CC0544">
      <w:pPr>
        <w:rPr>
          <w:rFonts w:cs="Arial"/>
        </w:rPr>
      </w:pPr>
      <w:r>
        <w:rPr>
          <w:rFonts w:cs="Arial"/>
        </w:rPr>
        <w:t xml:space="preserve">The Help Desk is staffed Monday through Friday from 9:00 a.m. to 5:00 p.m. ET, except on </w:t>
      </w:r>
      <w:r w:rsidR="005D646D">
        <w:rPr>
          <w:rFonts w:cs="Arial"/>
        </w:rPr>
        <w:t>select</w:t>
      </w:r>
      <w:r>
        <w:rPr>
          <w:rFonts w:cs="Arial"/>
        </w:rPr>
        <w:t xml:space="preserve"> holidays. Please review the </w:t>
      </w:r>
      <w:hyperlink r:id="rId84" w:history="1">
        <w:r w:rsidRPr="003D0427">
          <w:rPr>
            <w:rStyle w:val="Hyperlink"/>
            <w:rFonts w:cs="Arial"/>
          </w:rPr>
          <w:t>Help Desk Holiday Schedule</w:t>
        </w:r>
      </w:hyperlink>
      <w:r>
        <w:rPr>
          <w:rFonts w:cs="Arial"/>
        </w:rPr>
        <w:t xml:space="preserve"> for closures and allow ample time for staff to respond to time sensitive requests before any program deadlines.</w:t>
      </w:r>
    </w:p>
    <w:p w14:paraId="4EE2968A" w14:textId="77777777" w:rsidR="00CC0544" w:rsidRDefault="00CC0544" w:rsidP="00CC0544">
      <w:pPr>
        <w:rPr>
          <w:rFonts w:cs="Arial"/>
          <w:b/>
          <w:bCs/>
        </w:rPr>
      </w:pPr>
    </w:p>
    <w:p w14:paraId="65B61B06" w14:textId="77777777" w:rsidR="00CC0544" w:rsidRDefault="00CC0544" w:rsidP="00CC0544">
      <w:pPr>
        <w:rPr>
          <w:rFonts w:cs="Arial"/>
        </w:rPr>
      </w:pPr>
      <w:r>
        <w:rPr>
          <w:rFonts w:cs="Arial"/>
        </w:rPr>
        <w:t xml:space="preserve">You can manage your open tickets through email and/or create an account with Zendesk to manage open and archived tickets. </w:t>
      </w:r>
    </w:p>
    <w:p w14:paraId="1637AECB" w14:textId="77777777" w:rsidR="00CC0544" w:rsidRDefault="00CC0544" w:rsidP="00CC0544">
      <w:pPr>
        <w:rPr>
          <w:rFonts w:cs="Arial"/>
        </w:rPr>
      </w:pPr>
    </w:p>
    <w:p w14:paraId="71394DA7" w14:textId="77777777" w:rsidR="00CC0544" w:rsidRDefault="00CC0544" w:rsidP="00CC0544">
      <w:pPr>
        <w:rPr>
          <w:rFonts w:cs="Arial"/>
        </w:rPr>
      </w:pPr>
      <w:r>
        <w:rPr>
          <w:rFonts w:cs="Arial"/>
        </w:rPr>
        <w:t>To ensure that you receive our emails, please work with your IT department to add the following to your safe sender list:</w:t>
      </w:r>
    </w:p>
    <w:p w14:paraId="076B3651" w14:textId="77777777" w:rsidR="004A35FA" w:rsidRDefault="004A35FA" w:rsidP="00CC0544">
      <w:pPr>
        <w:rPr>
          <w:rFonts w:cs="Arial"/>
        </w:rPr>
      </w:pPr>
    </w:p>
    <w:p w14:paraId="3E64EA71" w14:textId="77777777" w:rsidR="00CC0544" w:rsidRDefault="00CC0544" w:rsidP="00AD309C">
      <w:pPr>
        <w:numPr>
          <w:ilvl w:val="0"/>
          <w:numId w:val="389"/>
        </w:numPr>
        <w:rPr>
          <w:rFonts w:cs="Arial"/>
        </w:rPr>
      </w:pPr>
      <w:r>
        <w:rPr>
          <w:rFonts w:cs="Arial"/>
        </w:rPr>
        <w:t>@leapfrog-group.org</w:t>
      </w:r>
    </w:p>
    <w:p w14:paraId="4082C4BF" w14:textId="77777777" w:rsidR="00CC0544" w:rsidRDefault="00CC0544" w:rsidP="00AD309C">
      <w:pPr>
        <w:numPr>
          <w:ilvl w:val="0"/>
          <w:numId w:val="389"/>
        </w:numPr>
        <w:rPr>
          <w:rFonts w:cs="Arial"/>
        </w:rPr>
      </w:pPr>
      <w:r>
        <w:rPr>
          <w:rFonts w:cs="Arial"/>
        </w:rPr>
        <w:t>@leapfroghelpdesk.zendesk.com</w:t>
      </w:r>
    </w:p>
    <w:p w14:paraId="73C2A91A" w14:textId="77777777" w:rsidR="00CC0544" w:rsidRDefault="00CC0544" w:rsidP="00AD309C">
      <w:pPr>
        <w:numPr>
          <w:ilvl w:val="0"/>
          <w:numId w:val="389"/>
        </w:numPr>
        <w:rPr>
          <w:rFonts w:cs="Arial"/>
        </w:rPr>
      </w:pPr>
      <w:r>
        <w:rPr>
          <w:rFonts w:cs="Arial"/>
        </w:rPr>
        <w:t xml:space="preserve">@em8434.leapfrog-group.org </w:t>
      </w:r>
    </w:p>
    <w:p w14:paraId="0DDE42DC" w14:textId="77777777" w:rsidR="00CC0544" w:rsidRDefault="00CC0544" w:rsidP="00AD309C">
      <w:pPr>
        <w:numPr>
          <w:ilvl w:val="0"/>
          <w:numId w:val="389"/>
        </w:numPr>
        <w:rPr>
          <w:rFonts w:cs="Arial"/>
        </w:rPr>
      </w:pPr>
      <w:r>
        <w:rPr>
          <w:rFonts w:cs="Arial"/>
        </w:rPr>
        <w:t>IP address: 159.183.167.150</w:t>
      </w:r>
    </w:p>
    <w:bookmarkEnd w:id="48"/>
    <w:p w14:paraId="1BE9901F" w14:textId="77777777" w:rsidR="00446D22" w:rsidRPr="009A5185" w:rsidRDefault="00446D22" w:rsidP="00446D22">
      <w:pPr>
        <w:rPr>
          <w:rFonts w:cs="Arial"/>
          <w:lang w:eastAsia="ja-JP"/>
        </w:rPr>
      </w:pPr>
    </w:p>
    <w:p w14:paraId="6A4ABEFD" w14:textId="51033C60" w:rsidR="00446D22" w:rsidRDefault="00446D22" w:rsidP="00AB5B80">
      <w:pPr>
        <w:pStyle w:val="Heading3"/>
      </w:pPr>
      <w:bookmarkStart w:id="49" w:name="_Toc225877654"/>
      <w:r w:rsidRPr="009A5185">
        <w:t xml:space="preserve">Leapfrog </w:t>
      </w:r>
      <w:r w:rsidR="00E2077F">
        <w:t xml:space="preserve">Hospital </w:t>
      </w:r>
      <w:r w:rsidRPr="009A5185">
        <w:t>Survey</w:t>
      </w:r>
      <w:r w:rsidR="009B28E0">
        <w:t xml:space="preserve"> Webinar Series</w:t>
      </w:r>
      <w:bookmarkEnd w:id="49"/>
    </w:p>
    <w:p w14:paraId="62231522" w14:textId="77777777" w:rsidR="00490DAD" w:rsidRPr="00490DAD" w:rsidRDefault="00490DAD" w:rsidP="00490DAD">
      <w:pPr>
        <w:rPr>
          <w:lang w:eastAsia="ja-JP"/>
        </w:rPr>
      </w:pPr>
    </w:p>
    <w:p w14:paraId="384A4424" w14:textId="77777777" w:rsidR="00A052F4" w:rsidRPr="00A052F4" w:rsidRDefault="00A052F4" w:rsidP="00A052F4">
      <w:pPr>
        <w:rPr>
          <w:rFonts w:cs="Arial"/>
          <w:lang w:eastAsia="ja-JP"/>
        </w:rPr>
      </w:pPr>
      <w:r w:rsidRPr="00A052F4">
        <w:rPr>
          <w:rFonts w:cs="Arial"/>
          <w:lang w:eastAsia="ja-JP"/>
        </w:rPr>
        <w:t>The Leapfrog Hospital Survey Webinar Series is designed for Survey coordinators, hospital leaders, and others who would benefit from a more interactive presentation of Survey materials and information.</w:t>
      </w:r>
    </w:p>
    <w:p w14:paraId="75040809" w14:textId="77777777" w:rsidR="00A052F4" w:rsidRDefault="00A052F4" w:rsidP="00A052F4">
      <w:pPr>
        <w:rPr>
          <w:rFonts w:cs="Arial"/>
          <w:lang w:eastAsia="ja-JP"/>
        </w:rPr>
      </w:pPr>
    </w:p>
    <w:p w14:paraId="1424DDA4" w14:textId="632D702A" w:rsidR="00A052F4" w:rsidRPr="00A052F4" w:rsidRDefault="00A052F4" w:rsidP="00A052F4">
      <w:pPr>
        <w:rPr>
          <w:rFonts w:cs="Arial"/>
          <w:lang w:eastAsia="ja-JP"/>
        </w:rPr>
      </w:pPr>
      <w:r w:rsidRPr="00A052F4">
        <w:rPr>
          <w:rFonts w:cs="Arial"/>
          <w:lang w:eastAsia="ja-JP"/>
        </w:rPr>
        <w:t>The Webinar Series is held monthly from March to December and includes monthly office hours in addition to monthly webinars. The one-hour webinars focus on specific topics related to the Survey, including new measure</w:t>
      </w:r>
      <w:r w:rsidR="00406D24">
        <w:rPr>
          <w:rFonts w:cs="Arial"/>
          <w:lang w:eastAsia="ja-JP"/>
        </w:rPr>
        <w:t>s</w:t>
      </w:r>
      <w:r w:rsidRPr="00A052F4">
        <w:rPr>
          <w:rFonts w:cs="Arial"/>
          <w:lang w:eastAsia="ja-JP"/>
        </w:rPr>
        <w:t xml:space="preserve">. Throughout each webinar, participants can ask questions </w:t>
      </w:r>
      <w:r w:rsidR="00D20722">
        <w:rPr>
          <w:rFonts w:cs="Arial"/>
          <w:lang w:eastAsia="ja-JP"/>
        </w:rPr>
        <w:t xml:space="preserve">live or </w:t>
      </w:r>
      <w:r w:rsidRPr="00A052F4">
        <w:rPr>
          <w:rFonts w:cs="Arial"/>
          <w:lang w:eastAsia="ja-JP"/>
        </w:rPr>
        <w:t>via the Zoom Q&amp;A function</w:t>
      </w:r>
      <w:r w:rsidR="00D20722">
        <w:rPr>
          <w:rFonts w:cs="Arial"/>
          <w:lang w:eastAsia="ja-JP"/>
        </w:rPr>
        <w:t>.</w:t>
      </w:r>
    </w:p>
    <w:p w14:paraId="60C625E9" w14:textId="77777777" w:rsidR="00A052F4" w:rsidRDefault="00A052F4" w:rsidP="00A052F4">
      <w:pPr>
        <w:rPr>
          <w:rFonts w:cs="Arial"/>
          <w:lang w:eastAsia="ja-JP"/>
        </w:rPr>
      </w:pPr>
    </w:p>
    <w:p w14:paraId="655797C5" w14:textId="36B5352F" w:rsidR="00A052F4" w:rsidRPr="00A052F4" w:rsidRDefault="00A052F4" w:rsidP="00A052F4">
      <w:pPr>
        <w:rPr>
          <w:rFonts w:cs="Arial"/>
          <w:lang w:eastAsia="ja-JP"/>
        </w:rPr>
      </w:pPr>
      <w:r w:rsidRPr="00A052F4">
        <w:rPr>
          <w:rFonts w:cs="Arial"/>
          <w:lang w:eastAsia="ja-JP"/>
        </w:rPr>
        <w:t>The monthly 30-minute office hours are designed to give participants another regular, interactive touch point with Leapfrog’s Help Desk, so Survey coordinators always have the information they need, when they need it.</w:t>
      </w:r>
    </w:p>
    <w:p w14:paraId="375C683C" w14:textId="1F908621" w:rsidR="0076515E" w:rsidRDefault="0076515E">
      <w:pPr>
        <w:rPr>
          <w:rFonts w:cs="Arial"/>
          <w:lang w:eastAsia="ja-JP"/>
        </w:rPr>
      </w:pPr>
      <w:r>
        <w:rPr>
          <w:rFonts w:cs="Arial"/>
          <w:lang w:eastAsia="ja-JP"/>
        </w:rPr>
        <w:br w:type="page"/>
      </w:r>
    </w:p>
    <w:p w14:paraId="6C664D6F" w14:textId="1F5C6A08" w:rsidR="00A052F4" w:rsidRDefault="00A052F4" w:rsidP="00A052F4">
      <w:pPr>
        <w:rPr>
          <w:rFonts w:cs="Arial"/>
          <w:lang w:eastAsia="ja-JP"/>
        </w:rPr>
      </w:pPr>
      <w:r w:rsidRPr="00A052F4">
        <w:rPr>
          <w:rFonts w:cs="Arial"/>
          <w:lang w:eastAsia="ja-JP"/>
        </w:rPr>
        <w:lastRenderedPageBreak/>
        <w:t>Join now and start benefiting from:</w:t>
      </w:r>
    </w:p>
    <w:p w14:paraId="7CE00C58" w14:textId="77777777" w:rsidR="004A35FA" w:rsidRPr="00A052F4" w:rsidRDefault="004A35FA" w:rsidP="00A052F4">
      <w:pPr>
        <w:rPr>
          <w:rFonts w:cs="Arial"/>
          <w:lang w:eastAsia="ja-JP"/>
        </w:rPr>
      </w:pPr>
    </w:p>
    <w:p w14:paraId="2BB5989B" w14:textId="6CBF34CA" w:rsidR="00A052F4" w:rsidRPr="00A052F4" w:rsidRDefault="00A052F4" w:rsidP="00AD309C">
      <w:pPr>
        <w:pStyle w:val="ListParagraph"/>
        <w:numPr>
          <w:ilvl w:val="0"/>
          <w:numId w:val="209"/>
        </w:numPr>
        <w:rPr>
          <w:rFonts w:cs="Arial"/>
          <w:lang w:eastAsia="ja-JP"/>
        </w:rPr>
      </w:pPr>
      <w:r w:rsidRPr="00FA4E81">
        <w:rPr>
          <w:rFonts w:cs="Arial"/>
          <w:b/>
          <w:bCs/>
          <w:lang w:eastAsia="ja-JP"/>
        </w:rPr>
        <w:t xml:space="preserve">Monthly </w:t>
      </w:r>
      <w:r w:rsidR="00ED00F5">
        <w:rPr>
          <w:rFonts w:cs="Arial"/>
          <w:b/>
          <w:bCs/>
          <w:lang w:eastAsia="ja-JP"/>
        </w:rPr>
        <w:t>O</w:t>
      </w:r>
      <w:r w:rsidRPr="00FA4E81">
        <w:rPr>
          <w:rFonts w:cs="Arial"/>
          <w:b/>
          <w:bCs/>
          <w:lang w:eastAsia="ja-JP"/>
        </w:rPr>
        <w:t xml:space="preserve">ffice </w:t>
      </w:r>
      <w:r w:rsidR="00ED00F5">
        <w:rPr>
          <w:rFonts w:cs="Arial"/>
          <w:b/>
          <w:bCs/>
          <w:lang w:eastAsia="ja-JP"/>
        </w:rPr>
        <w:t>H</w:t>
      </w:r>
      <w:r w:rsidRPr="00FA4E81">
        <w:rPr>
          <w:rFonts w:cs="Arial"/>
          <w:b/>
          <w:bCs/>
          <w:lang w:eastAsia="ja-JP"/>
        </w:rPr>
        <w:t xml:space="preserve">ours </w:t>
      </w:r>
      <w:r w:rsidR="00ED00F5">
        <w:rPr>
          <w:rFonts w:cs="Arial"/>
          <w:b/>
          <w:bCs/>
          <w:lang w:eastAsia="ja-JP"/>
        </w:rPr>
        <w:t>w</w:t>
      </w:r>
      <w:r w:rsidRPr="00FA4E81">
        <w:rPr>
          <w:rFonts w:cs="Arial"/>
          <w:b/>
          <w:bCs/>
          <w:lang w:eastAsia="ja-JP"/>
        </w:rPr>
        <w:t>ith the Leapfrog Help Desk</w:t>
      </w:r>
      <w:r w:rsidR="00FA4E81" w:rsidRPr="00FA4E81">
        <w:rPr>
          <w:rFonts w:cs="Arial"/>
          <w:b/>
          <w:bCs/>
          <w:lang w:eastAsia="ja-JP"/>
        </w:rPr>
        <w:t>:</w:t>
      </w:r>
      <w:r w:rsidRPr="00A052F4">
        <w:rPr>
          <w:rFonts w:cs="Arial"/>
          <w:lang w:eastAsia="ja-JP"/>
        </w:rPr>
        <w:t xml:space="preserve"> 30</w:t>
      </w:r>
      <w:r w:rsidR="00B006EE">
        <w:rPr>
          <w:rFonts w:cs="Arial"/>
          <w:lang w:eastAsia="ja-JP"/>
        </w:rPr>
        <w:t xml:space="preserve"> </w:t>
      </w:r>
      <w:r w:rsidRPr="00A052F4">
        <w:rPr>
          <w:rFonts w:cs="Arial"/>
          <w:lang w:eastAsia="ja-JP"/>
        </w:rPr>
        <w:t>minutes to get real-time technical assistance, answers to your questions, and help staying on top of upcoming deadlines. Staffed by Leapfrog’s expert Help Desk.</w:t>
      </w:r>
    </w:p>
    <w:p w14:paraId="70AC40C2" w14:textId="426E292D" w:rsidR="00A052F4" w:rsidRPr="00A052F4" w:rsidRDefault="00A052F4" w:rsidP="00AD309C">
      <w:pPr>
        <w:pStyle w:val="ListParagraph"/>
        <w:numPr>
          <w:ilvl w:val="0"/>
          <w:numId w:val="209"/>
        </w:numPr>
        <w:rPr>
          <w:rFonts w:cs="Arial"/>
          <w:lang w:eastAsia="ja-JP"/>
        </w:rPr>
      </w:pPr>
      <w:r w:rsidRPr="00FA4E81">
        <w:rPr>
          <w:rFonts w:cs="Arial"/>
          <w:b/>
          <w:bCs/>
          <w:lang w:eastAsia="ja-JP"/>
        </w:rPr>
        <w:t xml:space="preserve">Monthly </w:t>
      </w:r>
      <w:r w:rsidR="00ED00F5">
        <w:rPr>
          <w:rFonts w:cs="Arial"/>
          <w:b/>
          <w:bCs/>
          <w:lang w:eastAsia="ja-JP"/>
        </w:rPr>
        <w:t>W</w:t>
      </w:r>
      <w:r w:rsidRPr="00FA4E81">
        <w:rPr>
          <w:rFonts w:cs="Arial"/>
          <w:b/>
          <w:bCs/>
          <w:lang w:eastAsia="ja-JP"/>
        </w:rPr>
        <w:t>ebinars:</w:t>
      </w:r>
      <w:r w:rsidRPr="00A052F4">
        <w:rPr>
          <w:rFonts w:cs="Arial"/>
          <w:lang w:eastAsia="ja-JP"/>
        </w:rPr>
        <w:t xml:space="preserve"> Timely and focused presentations on Survey and CPOE Evaluation Tool measures and specifications, scoring information, frequently asked questions, technical assistance, and public reporting. Each webinar concludes with a 20-minute open Q &amp; A session.</w:t>
      </w:r>
    </w:p>
    <w:p w14:paraId="1B3D3323" w14:textId="77777777" w:rsidR="00A052F4" w:rsidRPr="00A052F4" w:rsidRDefault="00A052F4" w:rsidP="00AD309C">
      <w:pPr>
        <w:pStyle w:val="ListParagraph"/>
        <w:numPr>
          <w:ilvl w:val="0"/>
          <w:numId w:val="209"/>
        </w:numPr>
        <w:rPr>
          <w:rFonts w:cs="Arial"/>
          <w:lang w:eastAsia="ja-JP"/>
        </w:rPr>
      </w:pPr>
      <w:r w:rsidRPr="00FA4E81">
        <w:rPr>
          <w:rFonts w:cs="Arial"/>
          <w:b/>
          <w:bCs/>
          <w:lang w:eastAsia="ja-JP"/>
        </w:rPr>
        <w:t>Archive Library:</w:t>
      </w:r>
      <w:r w:rsidRPr="00A052F4">
        <w:rPr>
          <w:rFonts w:cs="Arial"/>
          <w:lang w:eastAsia="ja-JP"/>
        </w:rPr>
        <w:t xml:space="preserve"> Slides and recordings from each webinar are archived in an online portal that participants can access from March to January.</w:t>
      </w:r>
    </w:p>
    <w:p w14:paraId="15DF857B" w14:textId="77777777" w:rsidR="00A052F4" w:rsidRPr="00A052F4" w:rsidRDefault="00A052F4" w:rsidP="00A052F4">
      <w:pPr>
        <w:rPr>
          <w:rFonts w:cs="Arial"/>
          <w:lang w:eastAsia="ja-JP"/>
        </w:rPr>
      </w:pPr>
      <w:r w:rsidRPr="00A052F4">
        <w:rPr>
          <w:rFonts w:cs="Arial"/>
          <w:lang w:eastAsia="ja-JP"/>
        </w:rPr>
        <w:t xml:space="preserve"> </w:t>
      </w:r>
    </w:p>
    <w:p w14:paraId="3B108944" w14:textId="77777777" w:rsidR="00A052F4" w:rsidRPr="00A052F4" w:rsidRDefault="00A052F4" w:rsidP="00A052F4">
      <w:pPr>
        <w:rPr>
          <w:rFonts w:cs="Arial"/>
          <w:lang w:eastAsia="ja-JP"/>
        </w:rPr>
      </w:pPr>
      <w:r w:rsidRPr="00A052F4">
        <w:rPr>
          <w:rFonts w:cs="Arial"/>
          <w:lang w:eastAsia="ja-JP"/>
        </w:rPr>
        <w:t xml:space="preserve">The annual registration fee is $500 per individual. </w:t>
      </w:r>
    </w:p>
    <w:p w14:paraId="46DA3316" w14:textId="77777777" w:rsidR="0003234D" w:rsidRDefault="0003234D" w:rsidP="00446D22">
      <w:pPr>
        <w:rPr>
          <w:rFonts w:cs="Arial"/>
          <w:lang w:eastAsia="ja-JP"/>
        </w:rPr>
      </w:pPr>
    </w:p>
    <w:p w14:paraId="5A9F00D1" w14:textId="77777777" w:rsidR="00D62E76" w:rsidRDefault="00446D22" w:rsidP="00D62E76">
      <w:pPr>
        <w:rPr>
          <w:rFonts w:cs="Arial"/>
          <w:snapToGrid w:val="0"/>
        </w:rPr>
      </w:pPr>
      <w:r w:rsidRPr="009A5185">
        <w:rPr>
          <w:rFonts w:cs="Arial"/>
          <w:lang w:eastAsia="ja-JP"/>
        </w:rPr>
        <w:t xml:space="preserve">For </w:t>
      </w:r>
      <w:r w:rsidR="00FA4E81">
        <w:rPr>
          <w:rFonts w:cs="Arial"/>
          <w:lang w:eastAsia="ja-JP"/>
        </w:rPr>
        <w:t xml:space="preserve">a schedule of </w:t>
      </w:r>
      <w:r w:rsidR="00311B6F">
        <w:rPr>
          <w:rFonts w:cs="Arial"/>
          <w:lang w:eastAsia="ja-JP"/>
        </w:rPr>
        <w:t>event</w:t>
      </w:r>
      <w:r w:rsidR="00FA4E81">
        <w:rPr>
          <w:rFonts w:cs="Arial"/>
          <w:lang w:eastAsia="ja-JP"/>
        </w:rPr>
        <w:t>s</w:t>
      </w:r>
      <w:r w:rsidRPr="009A5185">
        <w:rPr>
          <w:rFonts w:cs="Arial"/>
          <w:lang w:eastAsia="ja-JP"/>
        </w:rPr>
        <w:t xml:space="preserve"> and to register, please visit</w:t>
      </w:r>
      <w:r w:rsidR="009B0E91" w:rsidRPr="009A5185">
        <w:rPr>
          <w:rFonts w:cs="Arial"/>
        </w:rPr>
        <w:t xml:space="preserve"> the </w:t>
      </w:r>
      <w:r w:rsidR="00311B6F">
        <w:rPr>
          <w:rFonts w:cs="Arial"/>
        </w:rPr>
        <w:t xml:space="preserve">Leapfrog </w:t>
      </w:r>
      <w:hyperlink r:id="rId85" w:history="1">
        <w:r w:rsidR="009B28E0">
          <w:rPr>
            <w:rStyle w:val="Hyperlink"/>
            <w:rFonts w:cs="Arial"/>
          </w:rPr>
          <w:t>Hospital Survey Webinar Series webpage</w:t>
        </w:r>
      </w:hyperlink>
      <w:r w:rsidR="00F12290" w:rsidRPr="009A5185">
        <w:rPr>
          <w:rFonts w:cs="Arial"/>
        </w:rPr>
        <w:t>.</w:t>
      </w:r>
      <w:bookmarkStart w:id="50" w:name="_Reporting_Periods"/>
      <w:bookmarkEnd w:id="50"/>
    </w:p>
    <w:p w14:paraId="1185FA5B" w14:textId="77777777" w:rsidR="00D62E76" w:rsidRDefault="00D62E76" w:rsidP="00D62E76">
      <w:pPr>
        <w:rPr>
          <w:rFonts w:cs="Arial"/>
          <w:snapToGrid w:val="0"/>
        </w:rPr>
      </w:pPr>
    </w:p>
    <w:p w14:paraId="05AA8DBC" w14:textId="5B179B32" w:rsidR="007A049F" w:rsidRDefault="007A049F" w:rsidP="00AB5B80">
      <w:pPr>
        <w:pStyle w:val="Heading3"/>
      </w:pPr>
      <w:bookmarkStart w:id="51" w:name="_Toc225877655"/>
      <w:r>
        <w:t>Support for Health Systems</w:t>
      </w:r>
      <w:bookmarkEnd w:id="51"/>
    </w:p>
    <w:p w14:paraId="1F887CA7" w14:textId="77777777" w:rsidR="007A049F" w:rsidRDefault="007A049F"/>
    <w:p w14:paraId="0C3169D2" w14:textId="14FC1D69" w:rsidR="007A049F" w:rsidRPr="007A049F" w:rsidRDefault="007A049F" w:rsidP="007A049F">
      <w:r w:rsidRPr="007A049F">
        <w:t>Are you responsible for coordinating Leapfrog Hospital Survey submissions for more than one hospital?</w:t>
      </w:r>
      <w:r>
        <w:t xml:space="preserve"> </w:t>
      </w:r>
      <w:r w:rsidRPr="007A049F">
        <w:t xml:space="preserve">Leapfrog’s Health System Support subscription for multi-hospital health systems is designed to help Survey coordinators and health system leaders become in-house experts on the Leapfrog Hospital Survey and the Hospital Safety Grade and make it easy to monitor, compare, and analyze your hospitals’ Leapfrog Hospital Survey Results, Hospital Safety Grades, and </w:t>
      </w:r>
      <w:r w:rsidR="004C6B65" w:rsidRPr="007A049F">
        <w:t>C</w:t>
      </w:r>
      <w:r w:rsidR="004C6B65">
        <w:t>ustom</w:t>
      </w:r>
      <w:r w:rsidR="004C6B65" w:rsidRPr="007A049F">
        <w:t xml:space="preserve"> </w:t>
      </w:r>
      <w:r w:rsidRPr="007A049F">
        <w:t>Benchmarking scores.</w:t>
      </w:r>
    </w:p>
    <w:p w14:paraId="5EB55BED" w14:textId="13FB7D51" w:rsidR="007A049F" w:rsidRDefault="007A049F" w:rsidP="007A049F">
      <w:r w:rsidRPr="007A049F">
        <w:t>The subscription gives you timely data for all your hospitals in a series of easy-to-use Excel workbooks, so you can quickly perform analysis, benchmark performance, build performance dashboards, and identify areas for improvement.</w:t>
      </w:r>
      <w:r w:rsidR="00C24231">
        <w:t xml:space="preserve"> </w:t>
      </w:r>
      <w:r w:rsidR="00C24231" w:rsidRPr="005D541A">
        <w:t>Subscribers have access to The Hopper, a custom landing page where each file is stored for easy access throughout the year. Also new API access so you don't have to retrieve files each month</w:t>
      </w:r>
      <w:r w:rsidR="002920A9">
        <w:t xml:space="preserve"> (New as of 2025!).</w:t>
      </w:r>
    </w:p>
    <w:p w14:paraId="1C31C0E3" w14:textId="77777777" w:rsidR="00685D4D" w:rsidRDefault="00685D4D" w:rsidP="007A049F"/>
    <w:p w14:paraId="4F318E1A" w14:textId="5EB3F538" w:rsidR="00685D4D" w:rsidRDefault="00685D4D" w:rsidP="007A049F">
      <w:r w:rsidRPr="00685D4D">
        <w:t>The subscription also includes a seat at Leapfrog’s monthly Hospital Webinar Series, so you can become an in-house expert on all aspects of the Leapfrog Hospital Survey and Hospital Safety Grade.</w:t>
      </w:r>
    </w:p>
    <w:p w14:paraId="73B29A03" w14:textId="77777777" w:rsidR="007A049F" w:rsidRDefault="007A049F" w:rsidP="007A049F"/>
    <w:p w14:paraId="526436F6" w14:textId="27A5CCA8" w:rsidR="007A049F" w:rsidRDefault="007A049F" w:rsidP="007A049F">
      <w:r w:rsidRPr="007A049F">
        <w:t>The support package includes the following:</w:t>
      </w:r>
    </w:p>
    <w:p w14:paraId="56BC4115" w14:textId="77777777" w:rsidR="004A35FA" w:rsidRDefault="004A35FA" w:rsidP="007A049F"/>
    <w:p w14:paraId="415A8392" w14:textId="1C2E7596" w:rsidR="007A049F" w:rsidRDefault="007A049F" w:rsidP="00AD309C">
      <w:pPr>
        <w:pStyle w:val="ListParagraph"/>
        <w:numPr>
          <w:ilvl w:val="0"/>
          <w:numId w:val="361"/>
        </w:numPr>
      </w:pPr>
      <w:r w:rsidRPr="007A049F">
        <w:t>Hospital Webinar Series (one registration per health system)</w:t>
      </w:r>
    </w:p>
    <w:p w14:paraId="55F208AA" w14:textId="66C37E15" w:rsidR="007A049F" w:rsidRDefault="007A049F" w:rsidP="00AD309C">
      <w:pPr>
        <w:pStyle w:val="ListParagraph"/>
        <w:numPr>
          <w:ilvl w:val="0"/>
          <w:numId w:val="361"/>
        </w:numPr>
      </w:pPr>
      <w:r w:rsidRPr="007A049F">
        <w:t>Leapfrog Hospital Survey Responses and Results</w:t>
      </w:r>
    </w:p>
    <w:p w14:paraId="077B7AAC" w14:textId="35FD6FB6" w:rsidR="007A049F" w:rsidRDefault="007A049F" w:rsidP="00AD309C">
      <w:pPr>
        <w:pStyle w:val="ListParagraph"/>
        <w:numPr>
          <w:ilvl w:val="0"/>
          <w:numId w:val="361"/>
        </w:numPr>
      </w:pPr>
      <w:r w:rsidRPr="007A049F">
        <w:t>Leapfrog Hospital Safety Grades</w:t>
      </w:r>
    </w:p>
    <w:p w14:paraId="7EF0C402" w14:textId="15FDCB9E" w:rsidR="007A049F" w:rsidRDefault="004C6B65" w:rsidP="00AD309C">
      <w:pPr>
        <w:pStyle w:val="ListParagraph"/>
        <w:numPr>
          <w:ilvl w:val="0"/>
          <w:numId w:val="361"/>
        </w:numPr>
      </w:pPr>
      <w:r w:rsidRPr="007A049F">
        <w:t>C</w:t>
      </w:r>
      <w:r>
        <w:t>ustom</w:t>
      </w:r>
      <w:r w:rsidRPr="007A049F">
        <w:t xml:space="preserve"> </w:t>
      </w:r>
      <w:r w:rsidR="007A049F" w:rsidRPr="007A049F">
        <w:t>Benchmarking Scores</w:t>
      </w:r>
    </w:p>
    <w:p w14:paraId="177E194F" w14:textId="60E9F719" w:rsidR="00551052" w:rsidRDefault="00551052" w:rsidP="00551052">
      <w:pPr>
        <w:pStyle w:val="ListParagraph"/>
        <w:numPr>
          <w:ilvl w:val="0"/>
          <w:numId w:val="361"/>
        </w:numPr>
      </w:pPr>
      <w:r>
        <w:t>Top Hospital Analysis (New as of 2025!)</w:t>
      </w:r>
    </w:p>
    <w:p w14:paraId="55619256" w14:textId="77777777" w:rsidR="007A049F" w:rsidRPr="007A049F" w:rsidRDefault="007A049F" w:rsidP="007A049F"/>
    <w:p w14:paraId="54094C79" w14:textId="7262E72E" w:rsidR="007A049F" w:rsidRPr="007A049F" w:rsidRDefault="007A049F" w:rsidP="007A049F">
      <w:r>
        <w:t xml:space="preserve">More information is available on the </w:t>
      </w:r>
      <w:hyperlink r:id="rId86" w:history="1">
        <w:r w:rsidRPr="007A049F">
          <w:rPr>
            <w:rStyle w:val="Hyperlink"/>
          </w:rPr>
          <w:t>Support for Health Systems webpage</w:t>
        </w:r>
      </w:hyperlink>
      <w:r>
        <w:t xml:space="preserve">. </w:t>
      </w:r>
      <w:r w:rsidRPr="007A049F">
        <w:t>Please contact the </w:t>
      </w:r>
      <w:hyperlink r:id="rId87" w:tgtFrame="_blank" w:history="1">
        <w:r w:rsidRPr="007A049F">
          <w:rPr>
            <w:rStyle w:val="Hyperlink"/>
          </w:rPr>
          <w:t>Help Desk</w:t>
        </w:r>
      </w:hyperlink>
      <w:r w:rsidRPr="007A049F">
        <w:t> for more information.</w:t>
      </w:r>
    </w:p>
    <w:p w14:paraId="6303C88E" w14:textId="2AAB38B0" w:rsidR="00490319" w:rsidRDefault="00490319">
      <w:pPr>
        <w:rPr>
          <w:b/>
          <w:snapToGrid w:val="0"/>
          <w:sz w:val="28"/>
          <w:szCs w:val="24"/>
          <w:u w:val="single"/>
          <w:lang w:eastAsia="ja-JP"/>
        </w:rPr>
      </w:pPr>
      <w:r>
        <w:br w:type="page"/>
      </w:r>
    </w:p>
    <w:p w14:paraId="114D37F4" w14:textId="0FFFDB69" w:rsidR="00BA3AAA" w:rsidRPr="00D62E76" w:rsidRDefault="00BA3AAA" w:rsidP="00CF5A6E">
      <w:pPr>
        <w:pStyle w:val="Heading2"/>
        <w:rPr>
          <w:rFonts w:cs="Arial"/>
        </w:rPr>
      </w:pPr>
      <w:bookmarkStart w:id="52" w:name="_Reporting_Periods_1"/>
      <w:bookmarkStart w:id="53" w:name="_Toc225877656"/>
      <w:bookmarkEnd w:id="52"/>
      <w:r w:rsidRPr="009A5185">
        <w:lastRenderedPageBreak/>
        <w:t>Reporting Periods</w:t>
      </w:r>
      <w:bookmarkEnd w:id="53"/>
    </w:p>
    <w:p w14:paraId="5A684230" w14:textId="77777777" w:rsidR="001B457B" w:rsidRPr="009A5185" w:rsidRDefault="001B457B" w:rsidP="001B457B">
      <w:pPr>
        <w:rPr>
          <w:rFonts w:cs="Arial"/>
          <w:lang w:eastAsia="ja-JP"/>
        </w:rPr>
      </w:pPr>
    </w:p>
    <w:p w14:paraId="6CC00E44" w14:textId="0FB291EA" w:rsidR="001B457B" w:rsidRPr="009A5185" w:rsidRDefault="00671BE9" w:rsidP="001B457B">
      <w:pPr>
        <w:rPr>
          <w:rFonts w:cs="Arial"/>
          <w:lang w:eastAsia="ja-JP"/>
        </w:rPr>
      </w:pPr>
      <w:r w:rsidRPr="009A5185">
        <w:rPr>
          <w:rFonts w:cs="Arial"/>
          <w:b/>
          <w:color w:val="FF0000"/>
          <w:lang w:eastAsia="ja-JP"/>
        </w:rPr>
        <w:t>Important Note:</w:t>
      </w:r>
      <w:r w:rsidRPr="009A5185">
        <w:rPr>
          <w:rFonts w:cs="Arial"/>
          <w:color w:val="FF0000"/>
          <w:lang w:eastAsia="ja-JP"/>
        </w:rPr>
        <w:t xml:space="preserve"> </w:t>
      </w:r>
      <w:r w:rsidR="00460E9D" w:rsidRPr="009A5185">
        <w:rPr>
          <w:rFonts w:cs="Arial"/>
          <w:lang w:eastAsia="ja-JP"/>
        </w:rPr>
        <w:t xml:space="preserve">Reporting periods should be </w:t>
      </w:r>
      <w:r w:rsidR="009E5395">
        <w:rPr>
          <w:rFonts w:cs="Arial"/>
          <w:lang w:eastAsia="ja-JP"/>
        </w:rPr>
        <w:t>selected</w:t>
      </w:r>
      <w:r w:rsidR="00460E9D" w:rsidRPr="009A5185">
        <w:rPr>
          <w:rFonts w:cs="Arial"/>
          <w:lang w:eastAsia="ja-JP"/>
        </w:rPr>
        <w:t xml:space="preserve"> based on the date of </w:t>
      </w:r>
      <w:r w:rsidR="00C14AFF" w:rsidRPr="009A5185">
        <w:rPr>
          <w:rFonts w:cs="Arial"/>
          <w:lang w:eastAsia="ja-JP"/>
        </w:rPr>
        <w:t>Survey or s</w:t>
      </w:r>
      <w:r w:rsidR="00460E9D" w:rsidRPr="009A5185">
        <w:rPr>
          <w:rFonts w:cs="Arial"/>
          <w:lang w:eastAsia="ja-JP"/>
        </w:rPr>
        <w:t>ection submission.</w:t>
      </w:r>
      <w:r w:rsidR="00B17078">
        <w:rPr>
          <w:rFonts w:cs="Arial"/>
          <w:lang w:eastAsia="ja-JP"/>
        </w:rPr>
        <w:t xml:space="preserve"> However, hospitals do not need to use the same reporting period throughout the Survey.</w:t>
      </w:r>
    </w:p>
    <w:p w14:paraId="1EF036F3" w14:textId="77777777" w:rsidR="00BA3AAA" w:rsidRPr="009A5185" w:rsidRDefault="00BA3AAA" w:rsidP="00BA3AAA">
      <w:pPr>
        <w:rPr>
          <w:rFonts w:cs="Arial"/>
          <w:lang w:eastAsia="ja-JP"/>
        </w:rPr>
      </w:pPr>
    </w:p>
    <w:tbl>
      <w:tblPr>
        <w:tblStyle w:val="TableGrid"/>
        <w:tblW w:w="0" w:type="auto"/>
        <w:jc w:val="center"/>
        <w:tblLayout w:type="fixed"/>
        <w:tblLook w:val="04A0" w:firstRow="1" w:lastRow="0" w:firstColumn="1" w:lastColumn="0" w:noHBand="0" w:noVBand="1"/>
      </w:tblPr>
      <w:tblGrid>
        <w:gridCol w:w="2766"/>
        <w:gridCol w:w="3308"/>
        <w:gridCol w:w="3281"/>
      </w:tblGrid>
      <w:tr w:rsidR="00460E9D" w:rsidRPr="009A5185" w14:paraId="22CB046B" w14:textId="77777777" w:rsidTr="004D1420">
        <w:trPr>
          <w:tblHeader/>
          <w:jc w:val="center"/>
        </w:trPr>
        <w:tc>
          <w:tcPr>
            <w:tcW w:w="2766" w:type="dxa"/>
            <w:tcBorders>
              <w:top w:val="nil"/>
              <w:left w:val="nil"/>
              <w:bottom w:val="nil"/>
              <w:right w:val="single" w:sz="4" w:space="0" w:color="auto"/>
            </w:tcBorders>
            <w:vAlign w:val="center"/>
          </w:tcPr>
          <w:p w14:paraId="0078BFA7" w14:textId="77777777" w:rsidR="00460E9D" w:rsidRPr="009A5185" w:rsidRDefault="00460E9D" w:rsidP="00407EF0">
            <w:pPr>
              <w:jc w:val="center"/>
              <w:rPr>
                <w:rFonts w:cs="Arial"/>
                <w:b/>
                <w:color w:val="FFFFFF" w:themeColor="background1"/>
              </w:rPr>
            </w:pPr>
          </w:p>
        </w:tc>
        <w:tc>
          <w:tcPr>
            <w:tcW w:w="3308" w:type="dxa"/>
            <w:tcBorders>
              <w:left w:val="single" w:sz="4" w:space="0" w:color="auto"/>
            </w:tcBorders>
            <w:vAlign w:val="center"/>
          </w:tcPr>
          <w:p w14:paraId="335D2610" w14:textId="77777777" w:rsidR="00460E9D" w:rsidRPr="009A5185" w:rsidRDefault="00603D9D">
            <w:pPr>
              <w:spacing w:before="120" w:after="120"/>
              <w:jc w:val="center"/>
              <w:rPr>
                <w:rFonts w:cs="Arial"/>
                <w:b/>
                <w:color w:val="FF0000"/>
              </w:rPr>
            </w:pPr>
            <w:r w:rsidRPr="009A5185">
              <w:rPr>
                <w:rFonts w:cs="Arial"/>
                <w:b/>
                <w:color w:val="FF0000"/>
              </w:rPr>
              <w:t xml:space="preserve">Survey </w:t>
            </w:r>
            <w:r w:rsidR="00460E9D" w:rsidRPr="009A5185">
              <w:rPr>
                <w:rFonts w:cs="Arial"/>
                <w:b/>
                <w:color w:val="FF0000"/>
              </w:rPr>
              <w:t xml:space="preserve">Submitted </w:t>
            </w:r>
            <w:r w:rsidR="00460E9D" w:rsidRPr="009A5185">
              <w:rPr>
                <w:rFonts w:cs="Arial"/>
                <w:b/>
                <w:color w:val="FF0000"/>
                <w:u w:val="single"/>
              </w:rPr>
              <w:t>Prior</w:t>
            </w:r>
            <w:r w:rsidR="00D66EDA" w:rsidRPr="009A5185">
              <w:rPr>
                <w:rFonts w:cs="Arial"/>
                <w:b/>
                <w:color w:val="FF0000"/>
              </w:rPr>
              <w:t xml:space="preserve"> to September 1</w:t>
            </w:r>
          </w:p>
        </w:tc>
        <w:tc>
          <w:tcPr>
            <w:tcW w:w="3281" w:type="dxa"/>
            <w:vAlign w:val="center"/>
          </w:tcPr>
          <w:p w14:paraId="1789F6BA" w14:textId="085D3CF9" w:rsidR="00460E9D" w:rsidRPr="009A5185" w:rsidRDefault="00460E9D">
            <w:pPr>
              <w:jc w:val="center"/>
              <w:rPr>
                <w:rFonts w:cs="Arial"/>
                <w:b/>
                <w:color w:val="FF0000"/>
              </w:rPr>
            </w:pPr>
            <w:r w:rsidRPr="009A5185">
              <w:rPr>
                <w:rFonts w:cs="Arial"/>
                <w:b/>
                <w:color w:val="FF0000"/>
              </w:rPr>
              <w:t xml:space="preserve">Survey (Re)Submitted </w:t>
            </w:r>
            <w:r w:rsidR="00D003AC">
              <w:rPr>
                <w:rFonts w:cs="Arial"/>
                <w:b/>
                <w:color w:val="FF0000"/>
                <w:u w:val="single"/>
              </w:rPr>
              <w:t>on</w:t>
            </w:r>
            <w:r w:rsidRPr="009A5185">
              <w:rPr>
                <w:rFonts w:cs="Arial"/>
                <w:b/>
                <w:color w:val="FF0000"/>
                <w:u w:val="single"/>
              </w:rPr>
              <w:t xml:space="preserve"> or After</w:t>
            </w:r>
            <w:r w:rsidR="00D66EDA" w:rsidRPr="009A5185">
              <w:rPr>
                <w:rFonts w:cs="Arial"/>
                <w:b/>
                <w:color w:val="FF0000"/>
              </w:rPr>
              <w:t xml:space="preserve"> September 1</w:t>
            </w:r>
          </w:p>
        </w:tc>
      </w:tr>
      <w:tr w:rsidR="00460E9D" w:rsidRPr="009A5185" w14:paraId="6289477B" w14:textId="77777777" w:rsidTr="004D1420">
        <w:trPr>
          <w:trHeight w:val="494"/>
          <w:tblHeader/>
          <w:jc w:val="center"/>
        </w:trPr>
        <w:tc>
          <w:tcPr>
            <w:tcW w:w="2766" w:type="dxa"/>
            <w:tcBorders>
              <w:top w:val="nil"/>
            </w:tcBorders>
            <w:shd w:val="clear" w:color="auto" w:fill="213468"/>
            <w:vAlign w:val="center"/>
          </w:tcPr>
          <w:p w14:paraId="61753999" w14:textId="77777777" w:rsidR="00460E9D" w:rsidRPr="009A5185" w:rsidRDefault="00460E9D" w:rsidP="00407EF0">
            <w:pPr>
              <w:jc w:val="center"/>
              <w:rPr>
                <w:rFonts w:cs="Arial"/>
                <w:b/>
                <w:color w:val="FFFFFF" w:themeColor="background1"/>
              </w:rPr>
            </w:pPr>
            <w:r w:rsidRPr="009A5185">
              <w:rPr>
                <w:rFonts w:cs="Arial"/>
                <w:b/>
                <w:color w:val="FFFFFF" w:themeColor="background1"/>
              </w:rPr>
              <w:t>Survey Section/</w:t>
            </w:r>
          </w:p>
          <w:p w14:paraId="692F9808" w14:textId="77777777" w:rsidR="00460E9D" w:rsidRPr="009A5185" w:rsidRDefault="00460E9D" w:rsidP="00407EF0">
            <w:pPr>
              <w:jc w:val="center"/>
              <w:rPr>
                <w:rFonts w:cs="Arial"/>
                <w:b/>
                <w:color w:val="FFFFFF" w:themeColor="background1"/>
              </w:rPr>
            </w:pPr>
            <w:r w:rsidRPr="009A5185">
              <w:rPr>
                <w:rFonts w:cs="Arial"/>
                <w:b/>
                <w:color w:val="FFFFFF" w:themeColor="background1"/>
              </w:rPr>
              <w:t>Measure</w:t>
            </w:r>
          </w:p>
        </w:tc>
        <w:tc>
          <w:tcPr>
            <w:tcW w:w="3308" w:type="dxa"/>
            <w:shd w:val="clear" w:color="auto" w:fill="213468"/>
            <w:vAlign w:val="center"/>
          </w:tcPr>
          <w:p w14:paraId="61E84D36" w14:textId="77777777" w:rsidR="00460E9D" w:rsidRPr="009A5185" w:rsidRDefault="00460E9D" w:rsidP="00407EF0">
            <w:pPr>
              <w:jc w:val="center"/>
              <w:rPr>
                <w:rFonts w:cs="Arial"/>
                <w:b/>
                <w:color w:val="FFFFFF" w:themeColor="background1"/>
              </w:rPr>
            </w:pPr>
            <w:r w:rsidRPr="009A5185">
              <w:rPr>
                <w:rFonts w:cs="Arial"/>
                <w:b/>
                <w:color w:val="FFFFFF" w:themeColor="background1"/>
              </w:rPr>
              <w:t>Reporting Period</w:t>
            </w:r>
          </w:p>
        </w:tc>
        <w:tc>
          <w:tcPr>
            <w:tcW w:w="3281" w:type="dxa"/>
            <w:shd w:val="clear" w:color="auto" w:fill="213468"/>
            <w:vAlign w:val="center"/>
          </w:tcPr>
          <w:p w14:paraId="27E6F672" w14:textId="77777777" w:rsidR="00460E9D" w:rsidRPr="009A5185" w:rsidRDefault="00460E9D" w:rsidP="00407EF0">
            <w:pPr>
              <w:jc w:val="center"/>
              <w:rPr>
                <w:rFonts w:cs="Arial"/>
                <w:b/>
                <w:color w:val="FFFFFF" w:themeColor="background1"/>
              </w:rPr>
            </w:pPr>
            <w:r w:rsidRPr="009A5185">
              <w:rPr>
                <w:rFonts w:cs="Arial"/>
                <w:b/>
                <w:color w:val="FFFFFF" w:themeColor="background1"/>
              </w:rPr>
              <w:t>Reporting Period</w:t>
            </w:r>
          </w:p>
        </w:tc>
      </w:tr>
      <w:tr w:rsidR="000B77C0" w:rsidRPr="009A5185" w14:paraId="32C0C05A" w14:textId="77777777" w:rsidTr="004D1420">
        <w:trPr>
          <w:trHeight w:val="20"/>
          <w:jc w:val="center"/>
        </w:trPr>
        <w:tc>
          <w:tcPr>
            <w:tcW w:w="2766" w:type="dxa"/>
            <w:shd w:val="clear" w:color="auto" w:fill="D9D9D9" w:themeFill="background1" w:themeFillShade="D9"/>
          </w:tcPr>
          <w:p w14:paraId="4788323E" w14:textId="6D2D4DBE" w:rsidR="000B77C0" w:rsidRPr="009A5185" w:rsidRDefault="000B77C0" w:rsidP="000B77C0">
            <w:pPr>
              <w:spacing w:before="120" w:after="120"/>
              <w:rPr>
                <w:rFonts w:cs="Arial"/>
                <w:b/>
              </w:rPr>
            </w:pPr>
            <w:r w:rsidRPr="009A5185">
              <w:rPr>
                <w:rFonts w:cs="Arial"/>
                <w:b/>
              </w:rPr>
              <w:t>1</w:t>
            </w:r>
            <w:r>
              <w:rPr>
                <w:rFonts w:cs="Arial"/>
                <w:b/>
              </w:rPr>
              <w:t>A</w:t>
            </w:r>
            <w:r w:rsidRPr="009A5185">
              <w:rPr>
                <w:rFonts w:cs="Arial"/>
                <w:b/>
              </w:rPr>
              <w:t xml:space="preserve"> </w:t>
            </w:r>
            <w:r w:rsidRPr="009A5185">
              <w:rPr>
                <w:rFonts w:cs="Arial"/>
              </w:rPr>
              <w:t>Basic Hospital Information</w:t>
            </w:r>
          </w:p>
        </w:tc>
        <w:tc>
          <w:tcPr>
            <w:tcW w:w="3308" w:type="dxa"/>
            <w:vAlign w:val="center"/>
          </w:tcPr>
          <w:p w14:paraId="4EFC5854" w14:textId="0DA1F553" w:rsidR="000B77C0" w:rsidRPr="009A5185" w:rsidRDefault="000B77C0" w:rsidP="006B02A9">
            <w:pPr>
              <w:jc w:val="center"/>
              <w:rPr>
                <w:rFonts w:cs="Arial"/>
              </w:rPr>
            </w:pPr>
            <w:r w:rsidRPr="000C6DE1">
              <w:rPr>
                <w:rFonts w:cstheme="minorHAnsi"/>
              </w:rPr>
              <w:t xml:space="preserve">12 months ending </w:t>
            </w:r>
            <w:r>
              <w:rPr>
                <w:rFonts w:cstheme="minorHAnsi"/>
              </w:rPr>
              <w:t>12/31/202</w:t>
            </w:r>
            <w:r w:rsidR="00097DD7">
              <w:rPr>
                <w:rFonts w:cstheme="minorHAnsi"/>
              </w:rPr>
              <w:t>5</w:t>
            </w:r>
          </w:p>
        </w:tc>
        <w:tc>
          <w:tcPr>
            <w:tcW w:w="3281" w:type="dxa"/>
            <w:vAlign w:val="center"/>
          </w:tcPr>
          <w:p w14:paraId="41D56642" w14:textId="194D229C" w:rsidR="000B77C0" w:rsidRPr="00C430FD" w:rsidRDefault="000B77C0" w:rsidP="006B02A9">
            <w:pPr>
              <w:jc w:val="center"/>
              <w:rPr>
                <w:rFonts w:cs="Arial"/>
              </w:rPr>
            </w:pPr>
            <w:r w:rsidRPr="000C6DE1">
              <w:rPr>
                <w:rFonts w:cstheme="minorHAnsi"/>
              </w:rPr>
              <w:t>12 months ending 06/30/202</w:t>
            </w:r>
            <w:r w:rsidR="00097DD7">
              <w:rPr>
                <w:rFonts w:cstheme="minorHAnsi"/>
              </w:rPr>
              <w:t>6</w:t>
            </w:r>
          </w:p>
        </w:tc>
      </w:tr>
      <w:tr w:rsidR="000B77C0" w:rsidRPr="009A5185" w14:paraId="5655A163" w14:textId="77777777" w:rsidTr="004D1420">
        <w:trPr>
          <w:trHeight w:val="20"/>
          <w:jc w:val="center"/>
        </w:trPr>
        <w:tc>
          <w:tcPr>
            <w:tcW w:w="2766" w:type="dxa"/>
            <w:shd w:val="clear" w:color="auto" w:fill="D9D9D9" w:themeFill="background1" w:themeFillShade="D9"/>
          </w:tcPr>
          <w:p w14:paraId="7ACE35C1" w14:textId="6E0A1AD7" w:rsidR="000B77C0" w:rsidRPr="00FB14DC" w:rsidRDefault="000B77C0" w:rsidP="000B77C0">
            <w:pPr>
              <w:spacing w:before="120" w:after="120"/>
              <w:rPr>
                <w:rFonts w:cs="Arial"/>
                <w:bCs/>
              </w:rPr>
            </w:pPr>
            <w:r>
              <w:rPr>
                <w:rFonts w:cs="Arial"/>
                <w:b/>
              </w:rPr>
              <w:t xml:space="preserve">1B </w:t>
            </w:r>
            <w:r w:rsidRPr="001A3ABA">
              <w:rPr>
                <w:rFonts w:cs="Arial"/>
                <w:bCs/>
              </w:rPr>
              <w:t>Billing Ethics</w:t>
            </w:r>
          </w:p>
        </w:tc>
        <w:tc>
          <w:tcPr>
            <w:tcW w:w="3308" w:type="dxa"/>
            <w:vAlign w:val="center"/>
          </w:tcPr>
          <w:p w14:paraId="53F134BC" w14:textId="3B6A8830" w:rsidR="000B77C0" w:rsidRDefault="00AA1BD8" w:rsidP="006B02A9">
            <w:pPr>
              <w:jc w:val="center"/>
              <w:rPr>
                <w:rFonts w:cstheme="minorHAnsi"/>
              </w:rPr>
            </w:pPr>
            <w:r w:rsidRPr="00AA1BD8">
              <w:rPr>
                <w:rFonts w:cstheme="minorHAnsi"/>
              </w:rPr>
              <w:t>Based on the practices currently in place at the time of Survey Submission</w:t>
            </w:r>
          </w:p>
        </w:tc>
        <w:tc>
          <w:tcPr>
            <w:tcW w:w="3281" w:type="dxa"/>
            <w:vAlign w:val="center"/>
          </w:tcPr>
          <w:p w14:paraId="6780E171" w14:textId="1DDDA31F" w:rsidR="000B77C0" w:rsidRDefault="00AA1BD8" w:rsidP="006B02A9">
            <w:pPr>
              <w:jc w:val="center"/>
              <w:rPr>
                <w:rFonts w:cstheme="minorHAnsi"/>
              </w:rPr>
            </w:pPr>
            <w:r w:rsidRPr="00AA1BD8">
              <w:rPr>
                <w:rFonts w:cstheme="minorHAnsi"/>
              </w:rPr>
              <w:t>Based on the practices currently in place at the time of Survey Submission</w:t>
            </w:r>
          </w:p>
        </w:tc>
      </w:tr>
      <w:tr w:rsidR="000B77C0" w:rsidRPr="009A5185" w14:paraId="4D44274E" w14:textId="77777777" w:rsidTr="004D1420">
        <w:trPr>
          <w:trHeight w:val="20"/>
          <w:jc w:val="center"/>
        </w:trPr>
        <w:tc>
          <w:tcPr>
            <w:tcW w:w="2766" w:type="dxa"/>
            <w:shd w:val="clear" w:color="auto" w:fill="D9D9D9" w:themeFill="background1" w:themeFillShade="D9"/>
          </w:tcPr>
          <w:p w14:paraId="21E872ED" w14:textId="14B49B66" w:rsidR="000B77C0" w:rsidRPr="009A5185" w:rsidRDefault="000B77C0" w:rsidP="000B77C0">
            <w:pPr>
              <w:spacing w:before="120" w:after="120"/>
              <w:rPr>
                <w:rFonts w:cs="Arial"/>
                <w:b/>
              </w:rPr>
            </w:pPr>
            <w:r>
              <w:rPr>
                <w:rFonts w:cs="Arial"/>
                <w:b/>
              </w:rPr>
              <w:t>1C</w:t>
            </w:r>
            <w:r w:rsidRPr="00C429CB">
              <w:rPr>
                <w:rFonts w:cs="Arial"/>
                <w:bCs/>
              </w:rPr>
              <w:t xml:space="preserve"> </w:t>
            </w:r>
            <w:r w:rsidR="00AB508D">
              <w:rPr>
                <w:rFonts w:cs="Arial"/>
                <w:bCs/>
              </w:rPr>
              <w:t xml:space="preserve">Health </w:t>
            </w:r>
            <w:r w:rsidR="004705EA">
              <w:rPr>
                <w:rFonts w:cs="Arial"/>
                <w:bCs/>
              </w:rPr>
              <w:t xml:space="preserve">Care </w:t>
            </w:r>
            <w:r w:rsidR="00AB508D">
              <w:rPr>
                <w:rFonts w:cs="Arial"/>
                <w:bCs/>
              </w:rPr>
              <w:t>Equity</w:t>
            </w:r>
          </w:p>
        </w:tc>
        <w:tc>
          <w:tcPr>
            <w:tcW w:w="3308" w:type="dxa"/>
            <w:vAlign w:val="center"/>
          </w:tcPr>
          <w:p w14:paraId="6D8DA35F" w14:textId="62F997EA" w:rsidR="000B77C0" w:rsidRDefault="00402F77" w:rsidP="006B02A9">
            <w:pPr>
              <w:jc w:val="center"/>
              <w:rPr>
                <w:rFonts w:cstheme="minorHAnsi"/>
              </w:rPr>
            </w:pPr>
            <w:r w:rsidRPr="00AA1BD8">
              <w:rPr>
                <w:rFonts w:cstheme="minorHAnsi"/>
              </w:rPr>
              <w:t>Based on the practices currently in place at the time of Survey Submission</w:t>
            </w:r>
          </w:p>
        </w:tc>
        <w:tc>
          <w:tcPr>
            <w:tcW w:w="3281" w:type="dxa"/>
            <w:vAlign w:val="center"/>
          </w:tcPr>
          <w:p w14:paraId="6DC152F8" w14:textId="012C77B9" w:rsidR="000B77C0" w:rsidRDefault="00402F77" w:rsidP="006B02A9">
            <w:pPr>
              <w:jc w:val="center"/>
              <w:rPr>
                <w:rFonts w:cstheme="minorHAnsi"/>
              </w:rPr>
            </w:pPr>
            <w:r w:rsidRPr="00AA1BD8">
              <w:rPr>
                <w:rFonts w:cstheme="minorHAnsi"/>
              </w:rPr>
              <w:t>Based on the practices currently in place at the time of Survey Submission</w:t>
            </w:r>
          </w:p>
        </w:tc>
      </w:tr>
      <w:tr w:rsidR="00AB508D" w:rsidRPr="009A5185" w14:paraId="503F952A" w14:textId="77777777" w:rsidTr="004D1420">
        <w:trPr>
          <w:trHeight w:val="20"/>
          <w:jc w:val="center"/>
        </w:trPr>
        <w:tc>
          <w:tcPr>
            <w:tcW w:w="2766" w:type="dxa"/>
            <w:shd w:val="clear" w:color="auto" w:fill="D9D9D9" w:themeFill="background1" w:themeFillShade="D9"/>
          </w:tcPr>
          <w:p w14:paraId="5485418D" w14:textId="1CBE1A63" w:rsidR="00AB508D" w:rsidRDefault="00AB508D" w:rsidP="00AB508D">
            <w:pPr>
              <w:spacing w:before="120" w:after="120"/>
              <w:rPr>
                <w:rFonts w:cs="Arial"/>
                <w:b/>
              </w:rPr>
            </w:pPr>
            <w:r>
              <w:rPr>
                <w:rFonts w:cs="Arial"/>
                <w:b/>
              </w:rPr>
              <w:t xml:space="preserve">1D </w:t>
            </w:r>
            <w:r w:rsidRPr="00C429CB">
              <w:rPr>
                <w:rFonts w:cs="Arial"/>
                <w:bCs/>
              </w:rPr>
              <w:t>Informed Consent</w:t>
            </w:r>
          </w:p>
        </w:tc>
        <w:tc>
          <w:tcPr>
            <w:tcW w:w="3308" w:type="dxa"/>
            <w:vAlign w:val="center"/>
          </w:tcPr>
          <w:p w14:paraId="1730A8B3" w14:textId="2923B6B8" w:rsidR="00AB508D" w:rsidRDefault="00402F77" w:rsidP="00AB508D">
            <w:pPr>
              <w:jc w:val="center"/>
              <w:rPr>
                <w:rFonts w:cstheme="minorHAnsi"/>
              </w:rPr>
            </w:pPr>
            <w:r w:rsidRPr="00AA1BD8">
              <w:rPr>
                <w:rFonts w:cstheme="minorHAnsi"/>
              </w:rPr>
              <w:t>Based on the practices currently in place at the time of Survey Submission</w:t>
            </w:r>
          </w:p>
        </w:tc>
        <w:tc>
          <w:tcPr>
            <w:tcW w:w="3281" w:type="dxa"/>
            <w:vAlign w:val="center"/>
          </w:tcPr>
          <w:p w14:paraId="40C492C6" w14:textId="3F3CB2CC" w:rsidR="00AB508D" w:rsidRDefault="00402F77" w:rsidP="00AB508D">
            <w:pPr>
              <w:jc w:val="center"/>
              <w:rPr>
                <w:rFonts w:cstheme="minorHAnsi"/>
              </w:rPr>
            </w:pPr>
            <w:r w:rsidRPr="00AA1BD8">
              <w:rPr>
                <w:rFonts w:cstheme="minorHAnsi"/>
              </w:rPr>
              <w:t>Based on the practices currently in place at the time of Survey Submission</w:t>
            </w:r>
          </w:p>
        </w:tc>
      </w:tr>
      <w:tr w:rsidR="00AB508D" w:rsidRPr="009A5185" w14:paraId="263B13DF" w14:textId="77777777" w:rsidTr="004D1420">
        <w:trPr>
          <w:trHeight w:val="20"/>
          <w:jc w:val="center"/>
        </w:trPr>
        <w:tc>
          <w:tcPr>
            <w:tcW w:w="2766" w:type="dxa"/>
            <w:shd w:val="clear" w:color="auto" w:fill="D9D9D9" w:themeFill="background1" w:themeFillShade="D9"/>
          </w:tcPr>
          <w:p w14:paraId="27A01663" w14:textId="443229EC" w:rsidR="00AB508D" w:rsidRPr="009A5185" w:rsidRDefault="00AB508D" w:rsidP="00AB508D">
            <w:pPr>
              <w:spacing w:before="120" w:after="120"/>
              <w:rPr>
                <w:rFonts w:cs="Arial"/>
                <w:b/>
              </w:rPr>
            </w:pPr>
            <w:r w:rsidRPr="009A5185">
              <w:rPr>
                <w:rFonts w:cs="Arial"/>
                <w:b/>
              </w:rPr>
              <w:t>2</w:t>
            </w:r>
            <w:r>
              <w:rPr>
                <w:rFonts w:cs="Arial"/>
                <w:b/>
              </w:rPr>
              <w:t>A</w:t>
            </w:r>
            <w:r w:rsidRPr="009A5185">
              <w:rPr>
                <w:rFonts w:cs="Arial"/>
                <w:b/>
              </w:rPr>
              <w:t xml:space="preserve"> </w:t>
            </w:r>
            <w:r w:rsidRPr="009A5185">
              <w:rPr>
                <w:rFonts w:cs="Arial"/>
              </w:rPr>
              <w:t>Computerized Physician Order Entry (CPOE)</w:t>
            </w:r>
          </w:p>
        </w:tc>
        <w:tc>
          <w:tcPr>
            <w:tcW w:w="3308" w:type="dxa"/>
            <w:vAlign w:val="center"/>
          </w:tcPr>
          <w:p w14:paraId="438797B3" w14:textId="537F215E" w:rsidR="00AB508D" w:rsidRPr="009A5185" w:rsidRDefault="00AB508D" w:rsidP="00AB508D">
            <w:pPr>
              <w:jc w:val="center"/>
              <w:rPr>
                <w:rFonts w:cs="Arial"/>
              </w:rPr>
            </w:pPr>
            <w:r w:rsidRPr="000C6DE1">
              <w:rPr>
                <w:rFonts w:cstheme="minorHAnsi"/>
              </w:rPr>
              <w:t>Latest 3 months prior to Survey submission</w:t>
            </w:r>
          </w:p>
        </w:tc>
        <w:tc>
          <w:tcPr>
            <w:tcW w:w="3281" w:type="dxa"/>
            <w:vAlign w:val="center"/>
          </w:tcPr>
          <w:p w14:paraId="43D38FA9" w14:textId="4F2FFCCC" w:rsidR="00AB508D" w:rsidRPr="00C430FD" w:rsidRDefault="00AB508D" w:rsidP="00AB508D">
            <w:pPr>
              <w:jc w:val="center"/>
              <w:rPr>
                <w:rFonts w:cs="Arial"/>
              </w:rPr>
            </w:pPr>
            <w:r w:rsidRPr="000C6DE1">
              <w:rPr>
                <w:rFonts w:cstheme="minorHAnsi"/>
              </w:rPr>
              <w:t>Latest 3 months prior to Survey submission</w:t>
            </w:r>
          </w:p>
        </w:tc>
      </w:tr>
      <w:tr w:rsidR="00AB508D" w:rsidRPr="009A5185" w14:paraId="5C083786" w14:textId="77777777" w:rsidTr="004D1420">
        <w:trPr>
          <w:trHeight w:val="20"/>
          <w:jc w:val="center"/>
        </w:trPr>
        <w:tc>
          <w:tcPr>
            <w:tcW w:w="2766" w:type="dxa"/>
            <w:shd w:val="clear" w:color="auto" w:fill="D9D9D9" w:themeFill="background1" w:themeFillShade="D9"/>
          </w:tcPr>
          <w:p w14:paraId="64E3E012" w14:textId="2FD1AFE9" w:rsidR="00AB508D" w:rsidRPr="009A5185" w:rsidRDefault="00AB508D" w:rsidP="00AB508D">
            <w:pPr>
              <w:spacing w:before="120" w:after="120"/>
              <w:rPr>
                <w:rFonts w:cs="Arial"/>
                <w:b/>
              </w:rPr>
            </w:pPr>
            <w:r>
              <w:rPr>
                <w:rFonts w:cs="Arial"/>
                <w:b/>
              </w:rPr>
              <w:t xml:space="preserve">2B </w:t>
            </w:r>
            <w:r w:rsidRPr="000E69AB">
              <w:rPr>
                <w:rFonts w:cs="Arial"/>
                <w:bCs/>
              </w:rPr>
              <w:t>EHR Application Information</w:t>
            </w:r>
          </w:p>
        </w:tc>
        <w:tc>
          <w:tcPr>
            <w:tcW w:w="3308" w:type="dxa"/>
            <w:vAlign w:val="center"/>
          </w:tcPr>
          <w:p w14:paraId="1517F7B2" w14:textId="309AAD5A" w:rsidR="00AB508D" w:rsidRDefault="00402F77" w:rsidP="00AB508D">
            <w:pPr>
              <w:contextualSpacing/>
              <w:jc w:val="center"/>
              <w:rPr>
                <w:rFonts w:cstheme="minorHAnsi"/>
              </w:rPr>
            </w:pPr>
            <w:r w:rsidRPr="00AA1BD8">
              <w:rPr>
                <w:rFonts w:cstheme="minorHAnsi"/>
              </w:rPr>
              <w:t xml:space="preserve">Based on the </w:t>
            </w:r>
            <w:r w:rsidR="00EE66AD">
              <w:rPr>
                <w:rFonts w:cstheme="minorHAnsi"/>
              </w:rPr>
              <w:t xml:space="preserve">EHR application </w:t>
            </w:r>
            <w:r w:rsidRPr="00AA1BD8">
              <w:rPr>
                <w:rFonts w:cstheme="minorHAnsi"/>
              </w:rPr>
              <w:t>currently in place at the time of Survey Submission</w:t>
            </w:r>
          </w:p>
        </w:tc>
        <w:tc>
          <w:tcPr>
            <w:tcW w:w="3281" w:type="dxa"/>
            <w:vAlign w:val="center"/>
          </w:tcPr>
          <w:p w14:paraId="53862362" w14:textId="24CD291F" w:rsidR="00AB508D" w:rsidRDefault="00402F77" w:rsidP="00AB508D">
            <w:pPr>
              <w:contextualSpacing/>
              <w:jc w:val="center"/>
              <w:rPr>
                <w:rFonts w:cstheme="minorHAnsi"/>
              </w:rPr>
            </w:pPr>
            <w:r w:rsidRPr="00AA1BD8">
              <w:rPr>
                <w:rFonts w:cstheme="minorHAnsi"/>
              </w:rPr>
              <w:t xml:space="preserve">Based on the </w:t>
            </w:r>
            <w:r w:rsidR="003E135A">
              <w:rPr>
                <w:rFonts w:cstheme="minorHAnsi"/>
              </w:rPr>
              <w:t xml:space="preserve">EHR application </w:t>
            </w:r>
            <w:r w:rsidRPr="00AA1BD8">
              <w:rPr>
                <w:rFonts w:cstheme="minorHAnsi"/>
              </w:rPr>
              <w:t>currently in place at the time of Survey Submission</w:t>
            </w:r>
          </w:p>
        </w:tc>
      </w:tr>
      <w:tr w:rsidR="00AB508D" w:rsidRPr="009A5185" w14:paraId="7F1845B0" w14:textId="77777777" w:rsidTr="004D1420">
        <w:trPr>
          <w:trHeight w:val="20"/>
          <w:jc w:val="center"/>
        </w:trPr>
        <w:tc>
          <w:tcPr>
            <w:tcW w:w="2766" w:type="dxa"/>
            <w:shd w:val="clear" w:color="auto" w:fill="D9D9D9" w:themeFill="background1" w:themeFillShade="D9"/>
          </w:tcPr>
          <w:p w14:paraId="7104C414" w14:textId="6D95A6EC" w:rsidR="00AB508D" w:rsidRPr="009A5185" w:rsidRDefault="00AB508D" w:rsidP="00AB508D">
            <w:pPr>
              <w:spacing w:before="120" w:after="120"/>
              <w:rPr>
                <w:rFonts w:cs="Arial"/>
                <w:b/>
              </w:rPr>
            </w:pPr>
            <w:r>
              <w:rPr>
                <w:rFonts w:cs="Arial"/>
                <w:b/>
              </w:rPr>
              <w:t xml:space="preserve">2C </w:t>
            </w:r>
            <w:r w:rsidRPr="000E69AB">
              <w:rPr>
                <w:rFonts w:cs="Arial"/>
                <w:bCs/>
              </w:rPr>
              <w:t>Bar Code Medication Administration (BCMA)</w:t>
            </w:r>
          </w:p>
        </w:tc>
        <w:tc>
          <w:tcPr>
            <w:tcW w:w="3308" w:type="dxa"/>
            <w:vAlign w:val="center"/>
          </w:tcPr>
          <w:p w14:paraId="5EE33231" w14:textId="6A5E6C8F" w:rsidR="00AB508D" w:rsidRDefault="00AB508D" w:rsidP="00AB508D">
            <w:pPr>
              <w:contextualSpacing/>
              <w:jc w:val="center"/>
              <w:rPr>
                <w:rFonts w:cstheme="minorHAnsi"/>
              </w:rPr>
            </w:pPr>
            <w:r w:rsidRPr="000C6DE1">
              <w:rPr>
                <w:rFonts w:cstheme="minorHAnsi"/>
              </w:rPr>
              <w:t>Latest 3 months prior to</w:t>
            </w:r>
            <w:r>
              <w:rPr>
                <w:rFonts w:cstheme="minorHAnsi"/>
              </w:rPr>
              <w:t xml:space="preserve"> </w:t>
            </w:r>
            <w:r w:rsidRPr="000C6DE1">
              <w:rPr>
                <w:rFonts w:cstheme="minorHAnsi"/>
              </w:rPr>
              <w:t>Survey submission</w:t>
            </w:r>
          </w:p>
        </w:tc>
        <w:tc>
          <w:tcPr>
            <w:tcW w:w="3281" w:type="dxa"/>
            <w:vAlign w:val="center"/>
          </w:tcPr>
          <w:p w14:paraId="4D09769D" w14:textId="6A040A97" w:rsidR="00AB508D" w:rsidRDefault="00AB508D" w:rsidP="00AB508D">
            <w:pPr>
              <w:contextualSpacing/>
              <w:jc w:val="center"/>
              <w:rPr>
                <w:rFonts w:cstheme="minorHAnsi"/>
              </w:rPr>
            </w:pPr>
            <w:r w:rsidRPr="000C6DE1">
              <w:rPr>
                <w:rFonts w:cstheme="minorHAnsi"/>
              </w:rPr>
              <w:t>Latest 3 months prior to Survey submission</w:t>
            </w:r>
          </w:p>
        </w:tc>
      </w:tr>
      <w:tr w:rsidR="00AB508D" w:rsidRPr="009A5185" w14:paraId="007518F0" w14:textId="77777777" w:rsidTr="004D1420">
        <w:trPr>
          <w:trHeight w:val="20"/>
          <w:jc w:val="center"/>
        </w:trPr>
        <w:tc>
          <w:tcPr>
            <w:tcW w:w="2766" w:type="dxa"/>
            <w:shd w:val="clear" w:color="auto" w:fill="D9D9D9" w:themeFill="background1" w:themeFillShade="D9"/>
          </w:tcPr>
          <w:p w14:paraId="0D498232" w14:textId="30E792B0" w:rsidR="00AB508D" w:rsidRPr="009A5185" w:rsidRDefault="00AB508D" w:rsidP="00AB508D">
            <w:pPr>
              <w:spacing w:before="120" w:after="120"/>
              <w:rPr>
                <w:rFonts w:cs="Arial"/>
                <w:b/>
              </w:rPr>
            </w:pPr>
            <w:r>
              <w:rPr>
                <w:rFonts w:cs="Arial"/>
                <w:b/>
              </w:rPr>
              <w:t xml:space="preserve">2D </w:t>
            </w:r>
            <w:r w:rsidRPr="000E69AB">
              <w:rPr>
                <w:rFonts w:cs="Arial"/>
                <w:bCs/>
              </w:rPr>
              <w:t>Medication Reconciliation</w:t>
            </w:r>
          </w:p>
        </w:tc>
        <w:tc>
          <w:tcPr>
            <w:tcW w:w="3308" w:type="dxa"/>
            <w:vAlign w:val="center"/>
          </w:tcPr>
          <w:p w14:paraId="5814815E" w14:textId="51E8D706" w:rsidR="00AB508D" w:rsidRDefault="00AB508D" w:rsidP="00AB508D">
            <w:pPr>
              <w:contextualSpacing/>
              <w:jc w:val="center"/>
              <w:rPr>
                <w:rFonts w:cstheme="minorHAnsi"/>
              </w:rPr>
            </w:pPr>
            <w:r w:rsidRPr="000C6DE1">
              <w:rPr>
                <w:rFonts w:cstheme="minorHAnsi"/>
              </w:rPr>
              <w:t xml:space="preserve">Latest 6 months prior to </w:t>
            </w:r>
            <w:r>
              <w:rPr>
                <w:rFonts w:cstheme="minorHAnsi"/>
              </w:rPr>
              <w:t>S</w:t>
            </w:r>
            <w:r w:rsidRPr="000C6DE1">
              <w:rPr>
                <w:rFonts w:cstheme="minorHAnsi"/>
              </w:rPr>
              <w:t xml:space="preserve">urvey </w:t>
            </w:r>
            <w:r w:rsidR="00037FC2">
              <w:rPr>
                <w:rFonts w:cstheme="minorHAnsi"/>
              </w:rPr>
              <w:t>s</w:t>
            </w:r>
            <w:r w:rsidRPr="000C6DE1">
              <w:rPr>
                <w:rFonts w:cstheme="minorHAnsi"/>
              </w:rPr>
              <w:t>ubmission</w:t>
            </w:r>
          </w:p>
        </w:tc>
        <w:tc>
          <w:tcPr>
            <w:tcW w:w="3281" w:type="dxa"/>
            <w:vAlign w:val="center"/>
          </w:tcPr>
          <w:p w14:paraId="25B3DEBF" w14:textId="0757B9BE" w:rsidR="00AB508D" w:rsidRDefault="00AB508D" w:rsidP="00AB508D">
            <w:pPr>
              <w:contextualSpacing/>
              <w:jc w:val="center"/>
              <w:rPr>
                <w:rFonts w:cstheme="minorHAnsi"/>
              </w:rPr>
            </w:pPr>
            <w:r w:rsidRPr="000C6DE1">
              <w:rPr>
                <w:rFonts w:cstheme="minorHAnsi"/>
              </w:rPr>
              <w:t xml:space="preserve">Latest 6 months prior to </w:t>
            </w:r>
            <w:r>
              <w:rPr>
                <w:rFonts w:cstheme="minorHAnsi"/>
              </w:rPr>
              <w:t>S</w:t>
            </w:r>
            <w:r w:rsidRPr="000C6DE1">
              <w:rPr>
                <w:rFonts w:cstheme="minorHAnsi"/>
              </w:rPr>
              <w:t>urvey submission</w:t>
            </w:r>
          </w:p>
        </w:tc>
      </w:tr>
      <w:tr w:rsidR="00AB508D" w:rsidRPr="009A5185" w14:paraId="2066F3CD" w14:textId="77777777" w:rsidTr="004D1420">
        <w:trPr>
          <w:trHeight w:val="720"/>
          <w:jc w:val="center"/>
        </w:trPr>
        <w:tc>
          <w:tcPr>
            <w:tcW w:w="2766" w:type="dxa"/>
            <w:vMerge w:val="restart"/>
            <w:shd w:val="clear" w:color="auto" w:fill="D9D9D9" w:themeFill="background1" w:themeFillShade="D9"/>
          </w:tcPr>
          <w:p w14:paraId="437624CF" w14:textId="77777777" w:rsidR="00AB508D" w:rsidRPr="009A5185" w:rsidRDefault="00AB508D" w:rsidP="00AB508D">
            <w:pPr>
              <w:spacing w:before="120" w:after="120"/>
              <w:rPr>
                <w:rFonts w:cs="Arial"/>
              </w:rPr>
            </w:pPr>
            <w:r w:rsidRPr="009A5185">
              <w:rPr>
                <w:rFonts w:cs="Arial"/>
                <w:b/>
              </w:rPr>
              <w:t xml:space="preserve">3A </w:t>
            </w:r>
            <w:r w:rsidRPr="009A5185">
              <w:rPr>
                <w:rFonts w:cs="Arial"/>
              </w:rPr>
              <w:t>Hospital and Surgeon Volume</w:t>
            </w:r>
          </w:p>
        </w:tc>
        <w:tc>
          <w:tcPr>
            <w:tcW w:w="3308" w:type="dxa"/>
            <w:vAlign w:val="center"/>
          </w:tcPr>
          <w:p w14:paraId="4E304987" w14:textId="77777777" w:rsidR="00AB508D" w:rsidRDefault="00AB508D" w:rsidP="00AB508D">
            <w:pPr>
              <w:contextualSpacing/>
              <w:jc w:val="center"/>
              <w:rPr>
                <w:rFonts w:cstheme="minorHAnsi"/>
              </w:rPr>
            </w:pPr>
            <w:r w:rsidRPr="0066410F">
              <w:rPr>
                <w:rFonts w:cstheme="minorHAnsi"/>
              </w:rPr>
              <w:t>Volume:</w:t>
            </w:r>
          </w:p>
          <w:p w14:paraId="266EE807" w14:textId="3F3569A7" w:rsidR="00AB508D" w:rsidRPr="009A5185" w:rsidRDefault="00AB508D" w:rsidP="00AB508D">
            <w:pPr>
              <w:jc w:val="center"/>
              <w:rPr>
                <w:rFonts w:cs="Arial"/>
              </w:rPr>
            </w:pPr>
            <w:r w:rsidRPr="0066410F">
              <w:rPr>
                <w:rFonts w:cstheme="minorHAnsi"/>
              </w:rPr>
              <w:t>12 months or 24-month</w:t>
            </w:r>
            <w:r>
              <w:rPr>
                <w:rFonts w:cstheme="minorHAnsi"/>
              </w:rPr>
              <w:t xml:space="preserve"> annual average</w:t>
            </w:r>
            <w:r w:rsidRPr="0066410F">
              <w:rPr>
                <w:rFonts w:cstheme="minorHAnsi"/>
              </w:rPr>
              <w:t xml:space="preserve"> ending 12/31/202</w:t>
            </w:r>
            <w:r w:rsidR="00097DD7">
              <w:rPr>
                <w:rFonts w:cstheme="minorHAnsi"/>
              </w:rPr>
              <w:t>5</w:t>
            </w:r>
          </w:p>
        </w:tc>
        <w:tc>
          <w:tcPr>
            <w:tcW w:w="3281" w:type="dxa"/>
            <w:vAlign w:val="center"/>
          </w:tcPr>
          <w:p w14:paraId="561DC18A" w14:textId="77777777" w:rsidR="00AB508D" w:rsidRPr="0066410F" w:rsidRDefault="00AB508D" w:rsidP="00AB508D">
            <w:pPr>
              <w:contextualSpacing/>
              <w:jc w:val="center"/>
              <w:rPr>
                <w:rFonts w:cstheme="minorHAnsi"/>
              </w:rPr>
            </w:pPr>
            <w:r w:rsidRPr="0066410F">
              <w:rPr>
                <w:rFonts w:cstheme="minorHAnsi"/>
              </w:rPr>
              <w:t>Volume:</w:t>
            </w:r>
          </w:p>
          <w:p w14:paraId="07C80B52" w14:textId="7F23013C" w:rsidR="00AB508D" w:rsidRPr="00C430FD" w:rsidRDefault="00AB508D" w:rsidP="00AB508D">
            <w:pPr>
              <w:jc w:val="center"/>
              <w:rPr>
                <w:rFonts w:cs="Arial"/>
              </w:rPr>
            </w:pPr>
            <w:r w:rsidRPr="0066410F">
              <w:rPr>
                <w:rFonts w:cstheme="minorHAnsi"/>
              </w:rPr>
              <w:t>12 months or 24-month</w:t>
            </w:r>
            <w:r>
              <w:rPr>
                <w:rFonts w:cstheme="minorHAnsi"/>
              </w:rPr>
              <w:t xml:space="preserve"> annual average</w:t>
            </w:r>
            <w:r w:rsidRPr="0066410F">
              <w:rPr>
                <w:rFonts w:cstheme="minorHAnsi"/>
              </w:rPr>
              <w:t xml:space="preserve"> ending 06/30/202</w:t>
            </w:r>
            <w:r w:rsidR="00097DD7">
              <w:rPr>
                <w:rFonts w:cstheme="minorHAnsi"/>
              </w:rPr>
              <w:t>6</w:t>
            </w:r>
          </w:p>
        </w:tc>
      </w:tr>
      <w:tr w:rsidR="00AB508D" w:rsidRPr="009A5185" w14:paraId="681CAE1A" w14:textId="77777777" w:rsidTr="004D1420">
        <w:trPr>
          <w:trHeight w:val="576"/>
          <w:jc w:val="center"/>
        </w:trPr>
        <w:tc>
          <w:tcPr>
            <w:tcW w:w="2766" w:type="dxa"/>
            <w:vMerge/>
            <w:shd w:val="clear" w:color="auto" w:fill="D9D9D9" w:themeFill="background1" w:themeFillShade="D9"/>
          </w:tcPr>
          <w:p w14:paraId="234E3389" w14:textId="77777777" w:rsidR="00AB508D" w:rsidRPr="009A5185" w:rsidRDefault="00AB508D" w:rsidP="00AB508D">
            <w:pPr>
              <w:spacing w:before="120" w:after="120"/>
              <w:rPr>
                <w:rFonts w:cs="Arial"/>
                <w:b/>
              </w:rPr>
            </w:pPr>
          </w:p>
        </w:tc>
        <w:tc>
          <w:tcPr>
            <w:tcW w:w="3308" w:type="dxa"/>
            <w:vAlign w:val="center"/>
          </w:tcPr>
          <w:p w14:paraId="59E5ED67" w14:textId="77777777" w:rsidR="00AB508D" w:rsidRPr="0066410F" w:rsidRDefault="00AB508D" w:rsidP="00AB508D">
            <w:pPr>
              <w:contextualSpacing/>
              <w:jc w:val="center"/>
              <w:rPr>
                <w:rFonts w:cstheme="minorHAnsi"/>
              </w:rPr>
            </w:pPr>
            <w:r w:rsidRPr="0066410F">
              <w:rPr>
                <w:rFonts w:cstheme="minorHAnsi"/>
              </w:rPr>
              <w:t>STS MVRR Composite</w:t>
            </w:r>
            <w:r>
              <w:rPr>
                <w:rFonts w:cstheme="minorHAnsi"/>
              </w:rPr>
              <w:t xml:space="preserve"> Score</w:t>
            </w:r>
            <w:r w:rsidRPr="0066410F">
              <w:rPr>
                <w:rFonts w:cstheme="minorHAnsi"/>
              </w:rPr>
              <w:t>:</w:t>
            </w:r>
          </w:p>
          <w:p w14:paraId="0A1BC1B9" w14:textId="1D03CC86" w:rsidR="00AB508D" w:rsidRPr="009A5185" w:rsidRDefault="00AB508D" w:rsidP="00AB508D">
            <w:pPr>
              <w:jc w:val="center"/>
              <w:rPr>
                <w:rFonts w:cs="Arial"/>
              </w:rPr>
            </w:pPr>
            <w:r w:rsidRPr="0066410F">
              <w:rPr>
                <w:rFonts w:cstheme="minorHAnsi"/>
              </w:rPr>
              <w:t>Latest 36-month report</w:t>
            </w:r>
          </w:p>
        </w:tc>
        <w:tc>
          <w:tcPr>
            <w:tcW w:w="3281" w:type="dxa"/>
            <w:vAlign w:val="center"/>
          </w:tcPr>
          <w:p w14:paraId="376F8B79" w14:textId="77777777" w:rsidR="00AB508D" w:rsidRPr="0066410F" w:rsidRDefault="00AB508D" w:rsidP="00AB508D">
            <w:pPr>
              <w:contextualSpacing/>
              <w:jc w:val="center"/>
              <w:rPr>
                <w:rFonts w:cstheme="minorHAnsi"/>
              </w:rPr>
            </w:pPr>
            <w:r w:rsidRPr="0066410F">
              <w:rPr>
                <w:rFonts w:cstheme="minorHAnsi"/>
              </w:rPr>
              <w:t>STS MVRR Composite</w:t>
            </w:r>
            <w:r>
              <w:rPr>
                <w:rFonts w:cstheme="minorHAnsi"/>
              </w:rPr>
              <w:t xml:space="preserve"> Score</w:t>
            </w:r>
            <w:r w:rsidRPr="0066410F">
              <w:rPr>
                <w:rFonts w:cstheme="minorHAnsi"/>
              </w:rPr>
              <w:t>:</w:t>
            </w:r>
          </w:p>
          <w:p w14:paraId="65E39D76" w14:textId="23D46EE0" w:rsidR="00AB508D" w:rsidRPr="00C430FD" w:rsidRDefault="00AB508D" w:rsidP="00AB508D">
            <w:pPr>
              <w:jc w:val="center"/>
              <w:rPr>
                <w:rFonts w:cs="Arial"/>
              </w:rPr>
            </w:pPr>
            <w:r w:rsidRPr="0066410F">
              <w:rPr>
                <w:rFonts w:cstheme="minorHAnsi"/>
              </w:rPr>
              <w:t>Latest 36-month report</w:t>
            </w:r>
          </w:p>
        </w:tc>
      </w:tr>
      <w:tr w:rsidR="00490319" w:rsidRPr="009A5185" w14:paraId="00310FD1" w14:textId="77777777" w:rsidTr="004D1420">
        <w:trPr>
          <w:trHeight w:val="20"/>
          <w:jc w:val="center"/>
        </w:trPr>
        <w:tc>
          <w:tcPr>
            <w:tcW w:w="2766" w:type="dxa"/>
            <w:shd w:val="clear" w:color="auto" w:fill="D9D9D9" w:themeFill="background1" w:themeFillShade="D9"/>
          </w:tcPr>
          <w:p w14:paraId="137ED5B3" w14:textId="0102333B" w:rsidR="00490319" w:rsidRPr="009A5185" w:rsidRDefault="00490319" w:rsidP="00490319">
            <w:pPr>
              <w:spacing w:before="120" w:after="120"/>
              <w:rPr>
                <w:rFonts w:cs="Arial"/>
                <w:b/>
              </w:rPr>
            </w:pPr>
            <w:r>
              <w:rPr>
                <w:rFonts w:cs="Arial"/>
                <w:b/>
              </w:rPr>
              <w:t xml:space="preserve">3B </w:t>
            </w:r>
            <w:r w:rsidRPr="007445B4">
              <w:rPr>
                <w:rFonts w:cs="Arial"/>
                <w:bCs/>
              </w:rPr>
              <w:t>Safe Surgery Checklist</w:t>
            </w:r>
            <w:r>
              <w:rPr>
                <w:rFonts w:cs="Arial"/>
                <w:bCs/>
              </w:rPr>
              <w:t xml:space="preserve"> for Adult and Pediatric Complex Surgery</w:t>
            </w:r>
          </w:p>
        </w:tc>
        <w:tc>
          <w:tcPr>
            <w:tcW w:w="3308" w:type="dxa"/>
            <w:vAlign w:val="center"/>
          </w:tcPr>
          <w:p w14:paraId="03D8FA9D" w14:textId="6C8DE761" w:rsidR="00490319" w:rsidRDefault="00490319" w:rsidP="00490319">
            <w:pPr>
              <w:jc w:val="center"/>
              <w:rPr>
                <w:rFonts w:cstheme="minorHAnsi"/>
              </w:rPr>
            </w:pPr>
            <w:r w:rsidRPr="000C6DE1">
              <w:rPr>
                <w:rFonts w:cstheme="minorHAnsi"/>
              </w:rPr>
              <w:t xml:space="preserve">Latest </w:t>
            </w:r>
            <w:r>
              <w:rPr>
                <w:rFonts w:cstheme="minorHAnsi"/>
              </w:rPr>
              <w:t>12</w:t>
            </w:r>
            <w:r w:rsidRPr="000C6DE1">
              <w:rPr>
                <w:rFonts w:cstheme="minorHAnsi"/>
              </w:rPr>
              <w:t xml:space="preserve"> months prior to </w:t>
            </w:r>
            <w:r>
              <w:rPr>
                <w:rFonts w:cstheme="minorHAnsi"/>
              </w:rPr>
              <w:t>S</w:t>
            </w:r>
            <w:r w:rsidRPr="000C6DE1">
              <w:rPr>
                <w:rFonts w:cstheme="minorHAnsi"/>
              </w:rPr>
              <w:t xml:space="preserve">urvey </w:t>
            </w:r>
            <w:r w:rsidR="00037FC2">
              <w:rPr>
                <w:rFonts w:cstheme="minorHAnsi"/>
              </w:rPr>
              <w:t>s</w:t>
            </w:r>
            <w:r w:rsidRPr="000C6DE1">
              <w:rPr>
                <w:rFonts w:cstheme="minorHAnsi"/>
              </w:rPr>
              <w:t>ubmission</w:t>
            </w:r>
          </w:p>
        </w:tc>
        <w:tc>
          <w:tcPr>
            <w:tcW w:w="3281" w:type="dxa"/>
            <w:vAlign w:val="center"/>
          </w:tcPr>
          <w:p w14:paraId="3613108F" w14:textId="2DD95170" w:rsidR="00490319" w:rsidRDefault="00490319" w:rsidP="00490319">
            <w:pPr>
              <w:jc w:val="center"/>
              <w:rPr>
                <w:rFonts w:cstheme="minorHAnsi"/>
              </w:rPr>
            </w:pPr>
            <w:r w:rsidRPr="000C6DE1">
              <w:rPr>
                <w:rFonts w:cstheme="minorHAnsi"/>
              </w:rPr>
              <w:t xml:space="preserve">Latest </w:t>
            </w:r>
            <w:r>
              <w:rPr>
                <w:rFonts w:cstheme="minorHAnsi"/>
              </w:rPr>
              <w:t>12</w:t>
            </w:r>
            <w:r w:rsidRPr="000C6DE1">
              <w:rPr>
                <w:rFonts w:cstheme="minorHAnsi"/>
              </w:rPr>
              <w:t xml:space="preserve"> months prior to </w:t>
            </w:r>
            <w:r>
              <w:rPr>
                <w:rFonts w:cstheme="minorHAnsi"/>
              </w:rPr>
              <w:t>S</w:t>
            </w:r>
            <w:r w:rsidRPr="000C6DE1">
              <w:rPr>
                <w:rFonts w:cstheme="minorHAnsi"/>
              </w:rPr>
              <w:t>urvey submission</w:t>
            </w:r>
          </w:p>
        </w:tc>
      </w:tr>
      <w:tr w:rsidR="00F24CA2" w:rsidRPr="009A5185" w14:paraId="624B5C1C" w14:textId="77777777" w:rsidTr="004D1420">
        <w:trPr>
          <w:trHeight w:val="20"/>
          <w:jc w:val="center"/>
        </w:trPr>
        <w:tc>
          <w:tcPr>
            <w:tcW w:w="2766" w:type="dxa"/>
            <w:vMerge w:val="restart"/>
            <w:shd w:val="clear" w:color="auto" w:fill="D9D9D9" w:themeFill="background1" w:themeFillShade="D9"/>
          </w:tcPr>
          <w:p w14:paraId="4309E788" w14:textId="2F94EC7C" w:rsidR="00F24CA2" w:rsidRPr="009A5185" w:rsidRDefault="00F24CA2" w:rsidP="00AB508D">
            <w:pPr>
              <w:spacing w:before="120" w:after="120"/>
              <w:rPr>
                <w:rFonts w:cs="Arial"/>
                <w:b/>
              </w:rPr>
            </w:pPr>
            <w:r w:rsidRPr="009A5185">
              <w:rPr>
                <w:rFonts w:cs="Arial"/>
                <w:b/>
              </w:rPr>
              <w:t xml:space="preserve">4A </w:t>
            </w:r>
            <w:r w:rsidRPr="009A5185">
              <w:rPr>
                <w:rFonts w:cs="Arial"/>
              </w:rPr>
              <w:t>Maternity Care</w:t>
            </w:r>
            <w:r>
              <w:rPr>
                <w:rFonts w:cs="Arial"/>
              </w:rPr>
              <w:t xml:space="preserve"> Volume and Services </w:t>
            </w:r>
          </w:p>
        </w:tc>
        <w:tc>
          <w:tcPr>
            <w:tcW w:w="3308" w:type="dxa"/>
            <w:vAlign w:val="center"/>
          </w:tcPr>
          <w:p w14:paraId="66E1FFA0" w14:textId="77777777" w:rsidR="00F24CA2" w:rsidRDefault="00F24CA2" w:rsidP="00AB508D">
            <w:pPr>
              <w:jc w:val="center"/>
              <w:rPr>
                <w:rFonts w:cstheme="minorHAnsi"/>
              </w:rPr>
            </w:pPr>
            <w:r>
              <w:rPr>
                <w:rFonts w:cstheme="minorHAnsi"/>
              </w:rPr>
              <w:t>Volume:</w:t>
            </w:r>
          </w:p>
          <w:p w14:paraId="6E04196E" w14:textId="7CF34544" w:rsidR="00F24CA2" w:rsidRPr="009A5185" w:rsidRDefault="00F24CA2" w:rsidP="00AB508D">
            <w:pPr>
              <w:jc w:val="center"/>
              <w:rPr>
                <w:rFonts w:cs="Arial"/>
              </w:rPr>
            </w:pPr>
            <w:r w:rsidRPr="000C6DE1">
              <w:rPr>
                <w:rFonts w:cstheme="minorHAnsi"/>
              </w:rPr>
              <w:t xml:space="preserve">12 months ending </w:t>
            </w:r>
            <w:r>
              <w:rPr>
                <w:rFonts w:cstheme="minorHAnsi"/>
              </w:rPr>
              <w:t>12/31/202</w:t>
            </w:r>
            <w:r w:rsidR="00097DD7">
              <w:rPr>
                <w:rFonts w:cstheme="minorHAnsi"/>
              </w:rPr>
              <w:t>5</w:t>
            </w:r>
          </w:p>
        </w:tc>
        <w:tc>
          <w:tcPr>
            <w:tcW w:w="3281" w:type="dxa"/>
            <w:vAlign w:val="center"/>
          </w:tcPr>
          <w:p w14:paraId="75F060DF" w14:textId="77777777" w:rsidR="00F24CA2" w:rsidRDefault="00F24CA2" w:rsidP="00AB508D">
            <w:pPr>
              <w:jc w:val="center"/>
              <w:rPr>
                <w:rFonts w:cstheme="minorHAnsi"/>
              </w:rPr>
            </w:pPr>
            <w:r>
              <w:rPr>
                <w:rFonts w:cstheme="minorHAnsi"/>
              </w:rPr>
              <w:t>Volume:</w:t>
            </w:r>
          </w:p>
          <w:p w14:paraId="2E5086AD" w14:textId="1BB54641" w:rsidR="00F24CA2" w:rsidRPr="00C430FD" w:rsidRDefault="00F24CA2" w:rsidP="00AB508D">
            <w:pPr>
              <w:jc w:val="center"/>
              <w:rPr>
                <w:rFonts w:cs="Arial"/>
              </w:rPr>
            </w:pPr>
            <w:r w:rsidRPr="000C6DE1">
              <w:rPr>
                <w:rFonts w:cstheme="minorHAnsi"/>
              </w:rPr>
              <w:t>12 months ending 06/30/202</w:t>
            </w:r>
            <w:r w:rsidR="00097DD7">
              <w:rPr>
                <w:rFonts w:cstheme="minorHAnsi"/>
              </w:rPr>
              <w:t>6</w:t>
            </w:r>
          </w:p>
        </w:tc>
      </w:tr>
      <w:tr w:rsidR="00F24CA2" w:rsidRPr="009A5185" w14:paraId="4288E4B0" w14:textId="77777777" w:rsidTr="004D1420">
        <w:trPr>
          <w:trHeight w:val="20"/>
          <w:jc w:val="center"/>
        </w:trPr>
        <w:tc>
          <w:tcPr>
            <w:tcW w:w="2766" w:type="dxa"/>
            <w:vMerge/>
            <w:shd w:val="clear" w:color="auto" w:fill="D9D9D9" w:themeFill="background1" w:themeFillShade="D9"/>
          </w:tcPr>
          <w:p w14:paraId="585C09B2" w14:textId="77777777" w:rsidR="00F24CA2" w:rsidRPr="009A5185" w:rsidRDefault="00F24CA2" w:rsidP="00AB508D">
            <w:pPr>
              <w:spacing w:before="120" w:after="120"/>
              <w:rPr>
                <w:rFonts w:cs="Arial"/>
                <w:b/>
              </w:rPr>
            </w:pPr>
          </w:p>
        </w:tc>
        <w:tc>
          <w:tcPr>
            <w:tcW w:w="3308" w:type="dxa"/>
            <w:vAlign w:val="center"/>
          </w:tcPr>
          <w:p w14:paraId="000F5908" w14:textId="77777777" w:rsidR="00F24CA2" w:rsidRDefault="00F24CA2" w:rsidP="00AB508D">
            <w:pPr>
              <w:jc w:val="center"/>
              <w:rPr>
                <w:rFonts w:cstheme="minorHAnsi"/>
              </w:rPr>
            </w:pPr>
            <w:r>
              <w:rPr>
                <w:rFonts w:cstheme="minorHAnsi"/>
              </w:rPr>
              <w:t>Services:</w:t>
            </w:r>
          </w:p>
          <w:p w14:paraId="5DECE68D" w14:textId="47F6A764" w:rsidR="00F24CA2" w:rsidRDefault="00402F77" w:rsidP="00AB508D">
            <w:pPr>
              <w:jc w:val="center"/>
              <w:rPr>
                <w:rFonts w:cstheme="minorHAnsi"/>
              </w:rPr>
            </w:pPr>
            <w:r w:rsidRPr="00AA1BD8">
              <w:rPr>
                <w:rFonts w:cstheme="minorHAnsi"/>
              </w:rPr>
              <w:t>Based on the practices currently in place at the time of Survey Submission</w:t>
            </w:r>
          </w:p>
        </w:tc>
        <w:tc>
          <w:tcPr>
            <w:tcW w:w="3281" w:type="dxa"/>
            <w:vAlign w:val="center"/>
          </w:tcPr>
          <w:p w14:paraId="5F9C8E29" w14:textId="77777777" w:rsidR="00F24CA2" w:rsidRDefault="00F24CA2" w:rsidP="00F24CA2">
            <w:pPr>
              <w:jc w:val="center"/>
              <w:rPr>
                <w:rFonts w:cstheme="minorHAnsi"/>
              </w:rPr>
            </w:pPr>
            <w:r>
              <w:rPr>
                <w:rFonts w:cstheme="minorHAnsi"/>
              </w:rPr>
              <w:t>Services:</w:t>
            </w:r>
          </w:p>
          <w:p w14:paraId="645596D9" w14:textId="2B67F35C" w:rsidR="00F24CA2" w:rsidRDefault="00402F77" w:rsidP="00F24CA2">
            <w:pPr>
              <w:jc w:val="center"/>
              <w:rPr>
                <w:rFonts w:cstheme="minorHAnsi"/>
              </w:rPr>
            </w:pPr>
            <w:r w:rsidRPr="00AA1BD8">
              <w:rPr>
                <w:rFonts w:cstheme="minorHAnsi"/>
              </w:rPr>
              <w:t>Based on the practices currently in place at the time of Survey Submission</w:t>
            </w:r>
          </w:p>
        </w:tc>
      </w:tr>
      <w:tr w:rsidR="00157FDB" w:rsidRPr="009A5185" w14:paraId="57B80551" w14:textId="77777777" w:rsidTr="004D1420">
        <w:trPr>
          <w:trHeight w:val="432"/>
          <w:jc w:val="center"/>
        </w:trPr>
        <w:tc>
          <w:tcPr>
            <w:tcW w:w="2766" w:type="dxa"/>
            <w:vMerge w:val="restart"/>
            <w:shd w:val="clear" w:color="auto" w:fill="D9D9D9" w:themeFill="background1" w:themeFillShade="D9"/>
          </w:tcPr>
          <w:p w14:paraId="05936AD6" w14:textId="45B39405" w:rsidR="00157FDB" w:rsidRPr="009A5185" w:rsidRDefault="00157FDB" w:rsidP="00AB508D">
            <w:pPr>
              <w:spacing w:before="120" w:after="120"/>
              <w:rPr>
                <w:rFonts w:cs="Arial"/>
              </w:rPr>
            </w:pPr>
            <w:r w:rsidRPr="009A5185">
              <w:rPr>
                <w:rFonts w:cs="Arial"/>
                <w:b/>
              </w:rPr>
              <w:t>4</w:t>
            </w:r>
            <w:r w:rsidR="0016658F">
              <w:rPr>
                <w:rFonts w:cs="Arial"/>
                <w:b/>
              </w:rPr>
              <w:t>B</w:t>
            </w:r>
            <w:r w:rsidRPr="009A5185">
              <w:rPr>
                <w:rFonts w:cs="Arial"/>
              </w:rPr>
              <w:t xml:space="preserve"> Cesarean Birth</w:t>
            </w:r>
          </w:p>
        </w:tc>
        <w:tc>
          <w:tcPr>
            <w:tcW w:w="3308" w:type="dxa"/>
            <w:vAlign w:val="center"/>
          </w:tcPr>
          <w:p w14:paraId="037656A8" w14:textId="1454EB88" w:rsidR="00157FDB" w:rsidRPr="009A5185" w:rsidRDefault="00157FDB" w:rsidP="00AB508D">
            <w:pPr>
              <w:jc w:val="center"/>
              <w:rPr>
                <w:rFonts w:cs="Arial"/>
              </w:rPr>
            </w:pPr>
            <w:r w:rsidRPr="000C6DE1">
              <w:rPr>
                <w:rFonts w:cstheme="minorHAnsi"/>
              </w:rPr>
              <w:t xml:space="preserve">12 months ending </w:t>
            </w:r>
            <w:r>
              <w:rPr>
                <w:rFonts w:cstheme="minorHAnsi"/>
              </w:rPr>
              <w:t>12/31/202</w:t>
            </w:r>
            <w:r w:rsidR="00BB28AA">
              <w:rPr>
                <w:rFonts w:cstheme="minorHAnsi"/>
              </w:rPr>
              <w:t>5</w:t>
            </w:r>
          </w:p>
        </w:tc>
        <w:tc>
          <w:tcPr>
            <w:tcW w:w="3281" w:type="dxa"/>
            <w:vAlign w:val="center"/>
          </w:tcPr>
          <w:p w14:paraId="6DE7265F" w14:textId="003D3BD4" w:rsidR="00157FDB" w:rsidRPr="00C430FD" w:rsidRDefault="00157FDB" w:rsidP="00AB508D">
            <w:pPr>
              <w:jc w:val="center"/>
              <w:rPr>
                <w:rFonts w:cs="Arial"/>
              </w:rPr>
            </w:pPr>
            <w:r w:rsidRPr="000C6DE1">
              <w:rPr>
                <w:rFonts w:cstheme="minorHAnsi"/>
              </w:rPr>
              <w:t>12 months ending 06/30/202</w:t>
            </w:r>
            <w:r w:rsidR="00BB28AA">
              <w:rPr>
                <w:rFonts w:cstheme="minorHAnsi"/>
              </w:rPr>
              <w:t>6</w:t>
            </w:r>
          </w:p>
        </w:tc>
      </w:tr>
      <w:tr w:rsidR="00157FDB" w:rsidRPr="009A5185" w14:paraId="28445F55" w14:textId="77777777" w:rsidTr="004D1420">
        <w:trPr>
          <w:trHeight w:val="864"/>
          <w:jc w:val="center"/>
        </w:trPr>
        <w:tc>
          <w:tcPr>
            <w:tcW w:w="2766" w:type="dxa"/>
            <w:vMerge/>
            <w:shd w:val="clear" w:color="auto" w:fill="D9D9D9" w:themeFill="background1" w:themeFillShade="D9"/>
          </w:tcPr>
          <w:p w14:paraId="6F3E164F" w14:textId="77777777" w:rsidR="00157FDB" w:rsidRPr="009A5185" w:rsidRDefault="00157FDB" w:rsidP="00AB508D">
            <w:pPr>
              <w:spacing w:before="120" w:after="120"/>
              <w:rPr>
                <w:rFonts w:cs="Arial"/>
                <w:b/>
              </w:rPr>
            </w:pPr>
          </w:p>
        </w:tc>
        <w:tc>
          <w:tcPr>
            <w:tcW w:w="3308" w:type="dxa"/>
            <w:vAlign w:val="center"/>
          </w:tcPr>
          <w:p w14:paraId="48472F27" w14:textId="77777777" w:rsidR="00157FDB" w:rsidRDefault="00157FDB" w:rsidP="00157FDB">
            <w:pPr>
              <w:jc w:val="center"/>
              <w:rPr>
                <w:rFonts w:cstheme="minorHAnsi"/>
              </w:rPr>
            </w:pPr>
            <w:r>
              <w:rPr>
                <w:rFonts w:cstheme="minorHAnsi"/>
              </w:rPr>
              <w:t>Cesarean Birth Stratified by Race/Ethnicity:</w:t>
            </w:r>
          </w:p>
          <w:p w14:paraId="3BEAB941" w14:textId="482CD1C3" w:rsidR="00157FDB" w:rsidRPr="000C6DE1" w:rsidRDefault="00157FDB" w:rsidP="00157FDB">
            <w:pPr>
              <w:jc w:val="center"/>
              <w:rPr>
                <w:rFonts w:cstheme="minorHAnsi"/>
              </w:rPr>
            </w:pPr>
            <w:r>
              <w:rPr>
                <w:rFonts w:cstheme="minorHAnsi"/>
              </w:rPr>
              <w:t>24 months ending 12/31/202</w:t>
            </w:r>
            <w:r w:rsidR="00BB28AA">
              <w:rPr>
                <w:rFonts w:cstheme="minorHAnsi"/>
              </w:rPr>
              <w:t>5</w:t>
            </w:r>
          </w:p>
        </w:tc>
        <w:tc>
          <w:tcPr>
            <w:tcW w:w="3281" w:type="dxa"/>
            <w:vAlign w:val="center"/>
          </w:tcPr>
          <w:p w14:paraId="661B65A2" w14:textId="77777777" w:rsidR="00157FDB" w:rsidRDefault="00157FDB" w:rsidP="00157FDB">
            <w:pPr>
              <w:jc w:val="center"/>
              <w:rPr>
                <w:rFonts w:cstheme="minorHAnsi"/>
              </w:rPr>
            </w:pPr>
            <w:r>
              <w:rPr>
                <w:rFonts w:cstheme="minorHAnsi"/>
              </w:rPr>
              <w:t>Cesarean Birth Stratified by Race/Ethnicity:</w:t>
            </w:r>
          </w:p>
          <w:p w14:paraId="36D1C376" w14:textId="7A7803F3" w:rsidR="00157FDB" w:rsidRPr="000C6DE1" w:rsidRDefault="00157FDB" w:rsidP="00157FDB">
            <w:pPr>
              <w:jc w:val="center"/>
              <w:rPr>
                <w:rFonts w:cstheme="minorHAnsi"/>
              </w:rPr>
            </w:pPr>
            <w:r>
              <w:rPr>
                <w:rFonts w:cstheme="minorHAnsi"/>
              </w:rPr>
              <w:t>24 months ending 06/30/202</w:t>
            </w:r>
            <w:r w:rsidR="00BB28AA">
              <w:rPr>
                <w:rFonts w:cstheme="minorHAnsi"/>
              </w:rPr>
              <w:t>6</w:t>
            </w:r>
          </w:p>
        </w:tc>
      </w:tr>
      <w:tr w:rsidR="00AB508D" w:rsidRPr="009A5185" w14:paraId="4A546CBC" w14:textId="77777777" w:rsidTr="004D1420">
        <w:trPr>
          <w:trHeight w:val="432"/>
          <w:jc w:val="center"/>
        </w:trPr>
        <w:tc>
          <w:tcPr>
            <w:tcW w:w="2766" w:type="dxa"/>
            <w:shd w:val="clear" w:color="auto" w:fill="D9D9D9" w:themeFill="background1" w:themeFillShade="D9"/>
          </w:tcPr>
          <w:p w14:paraId="49B0E98A" w14:textId="15425AD0" w:rsidR="00AB508D" w:rsidRPr="009A5185" w:rsidRDefault="00AB508D" w:rsidP="00AB508D">
            <w:pPr>
              <w:spacing w:before="120" w:after="120"/>
              <w:rPr>
                <w:rFonts w:cs="Arial"/>
              </w:rPr>
            </w:pPr>
            <w:r w:rsidRPr="009A5185">
              <w:rPr>
                <w:rFonts w:cs="Arial"/>
                <w:b/>
              </w:rPr>
              <w:lastRenderedPageBreak/>
              <w:t>4</w:t>
            </w:r>
            <w:r w:rsidR="0016658F">
              <w:rPr>
                <w:rFonts w:cs="Arial"/>
                <w:b/>
              </w:rPr>
              <w:t>C</w:t>
            </w:r>
            <w:r w:rsidRPr="009A5185">
              <w:rPr>
                <w:rFonts w:cs="Arial"/>
              </w:rPr>
              <w:t xml:space="preserve"> Episiotomy</w:t>
            </w:r>
          </w:p>
        </w:tc>
        <w:tc>
          <w:tcPr>
            <w:tcW w:w="3308" w:type="dxa"/>
            <w:vAlign w:val="center"/>
          </w:tcPr>
          <w:p w14:paraId="22FC294D" w14:textId="693C6EE5" w:rsidR="00AB508D" w:rsidRPr="009A5185" w:rsidRDefault="00AB508D" w:rsidP="00AB508D">
            <w:pPr>
              <w:jc w:val="center"/>
              <w:rPr>
                <w:rFonts w:cs="Arial"/>
              </w:rPr>
            </w:pPr>
            <w:r w:rsidRPr="000C6DE1">
              <w:rPr>
                <w:rFonts w:cstheme="minorHAnsi"/>
              </w:rPr>
              <w:t xml:space="preserve">12 months ending </w:t>
            </w:r>
            <w:r>
              <w:rPr>
                <w:rFonts w:cstheme="minorHAnsi"/>
              </w:rPr>
              <w:t>12/31/202</w:t>
            </w:r>
            <w:r w:rsidR="00BB28AA">
              <w:rPr>
                <w:rFonts w:cstheme="minorHAnsi"/>
              </w:rPr>
              <w:t>5</w:t>
            </w:r>
          </w:p>
        </w:tc>
        <w:tc>
          <w:tcPr>
            <w:tcW w:w="3281" w:type="dxa"/>
            <w:vAlign w:val="center"/>
          </w:tcPr>
          <w:p w14:paraId="3EC94477" w14:textId="53DDCDF2" w:rsidR="00AB508D" w:rsidRPr="00C430FD" w:rsidRDefault="00AB508D" w:rsidP="00AB508D">
            <w:pPr>
              <w:jc w:val="center"/>
              <w:rPr>
                <w:rFonts w:cs="Arial"/>
              </w:rPr>
            </w:pPr>
            <w:r w:rsidRPr="000C6DE1">
              <w:rPr>
                <w:rFonts w:cstheme="minorHAnsi"/>
              </w:rPr>
              <w:t>12 months ending 06/30/202</w:t>
            </w:r>
            <w:r w:rsidR="00BB28AA">
              <w:rPr>
                <w:rFonts w:cstheme="minorHAnsi"/>
              </w:rPr>
              <w:t>6</w:t>
            </w:r>
          </w:p>
        </w:tc>
      </w:tr>
      <w:tr w:rsidR="00AB508D" w:rsidRPr="009A5185" w14:paraId="3561F4FF" w14:textId="77777777" w:rsidTr="004D1420">
        <w:trPr>
          <w:trHeight w:val="20"/>
          <w:jc w:val="center"/>
        </w:trPr>
        <w:tc>
          <w:tcPr>
            <w:tcW w:w="2766" w:type="dxa"/>
            <w:shd w:val="clear" w:color="auto" w:fill="D9D9D9" w:themeFill="background1" w:themeFillShade="D9"/>
          </w:tcPr>
          <w:p w14:paraId="23DC4A88" w14:textId="2DA28C9E" w:rsidR="00AB508D" w:rsidRPr="009A5185" w:rsidRDefault="00AB508D" w:rsidP="00AB508D">
            <w:pPr>
              <w:spacing w:before="120" w:after="120"/>
              <w:rPr>
                <w:rFonts w:cs="Arial"/>
              </w:rPr>
            </w:pPr>
            <w:r w:rsidRPr="009A5185">
              <w:rPr>
                <w:rFonts w:cs="Arial"/>
                <w:b/>
              </w:rPr>
              <w:t>4</w:t>
            </w:r>
            <w:r w:rsidR="0016658F">
              <w:rPr>
                <w:rFonts w:cs="Arial"/>
                <w:b/>
              </w:rPr>
              <w:t>D</w:t>
            </w:r>
            <w:r w:rsidRPr="009A5185">
              <w:rPr>
                <w:rFonts w:cs="Arial"/>
              </w:rPr>
              <w:t xml:space="preserve"> </w:t>
            </w:r>
            <w:r>
              <w:rPr>
                <w:rFonts w:cs="Arial"/>
              </w:rPr>
              <w:t>Process Measures of Quality</w:t>
            </w:r>
          </w:p>
        </w:tc>
        <w:tc>
          <w:tcPr>
            <w:tcW w:w="3308" w:type="dxa"/>
            <w:vAlign w:val="center"/>
          </w:tcPr>
          <w:p w14:paraId="5523FBE7" w14:textId="29DE5160" w:rsidR="00AB508D" w:rsidRPr="009A5185" w:rsidRDefault="00AB508D" w:rsidP="00AB508D">
            <w:pPr>
              <w:jc w:val="center"/>
              <w:rPr>
                <w:rFonts w:cs="Arial"/>
              </w:rPr>
            </w:pPr>
            <w:r w:rsidRPr="000C6DE1">
              <w:rPr>
                <w:rFonts w:cstheme="minorHAnsi"/>
              </w:rPr>
              <w:t xml:space="preserve">12 months ending </w:t>
            </w:r>
            <w:r>
              <w:rPr>
                <w:rFonts w:cstheme="minorHAnsi"/>
              </w:rPr>
              <w:t>12/31/202</w:t>
            </w:r>
            <w:r w:rsidR="00BB28AA">
              <w:rPr>
                <w:rFonts w:cstheme="minorHAnsi"/>
              </w:rPr>
              <w:t>5</w:t>
            </w:r>
          </w:p>
        </w:tc>
        <w:tc>
          <w:tcPr>
            <w:tcW w:w="3281" w:type="dxa"/>
            <w:vAlign w:val="center"/>
          </w:tcPr>
          <w:p w14:paraId="6083A51B" w14:textId="36C76C5E" w:rsidR="00AB508D" w:rsidRPr="00C430FD" w:rsidRDefault="00AB508D" w:rsidP="00AB508D">
            <w:pPr>
              <w:jc w:val="center"/>
              <w:rPr>
                <w:rFonts w:cs="Arial"/>
              </w:rPr>
            </w:pPr>
            <w:r w:rsidRPr="000C6DE1">
              <w:rPr>
                <w:rFonts w:cstheme="minorHAnsi"/>
              </w:rPr>
              <w:t>12 months ending 06/30/202</w:t>
            </w:r>
            <w:r w:rsidR="00BB28AA">
              <w:rPr>
                <w:rFonts w:cstheme="minorHAnsi"/>
              </w:rPr>
              <w:t>6</w:t>
            </w:r>
          </w:p>
        </w:tc>
      </w:tr>
      <w:tr w:rsidR="00AB508D" w:rsidRPr="009A5185" w14:paraId="46C60EAA" w14:textId="77777777" w:rsidTr="004D1420">
        <w:trPr>
          <w:trHeight w:val="576"/>
          <w:jc w:val="center"/>
        </w:trPr>
        <w:tc>
          <w:tcPr>
            <w:tcW w:w="2766" w:type="dxa"/>
            <w:vMerge w:val="restart"/>
            <w:shd w:val="clear" w:color="auto" w:fill="D9D9D9" w:themeFill="background1" w:themeFillShade="D9"/>
          </w:tcPr>
          <w:p w14:paraId="0A009B9A" w14:textId="08296FA4" w:rsidR="00AB508D" w:rsidRPr="009A5185" w:rsidRDefault="00AB508D" w:rsidP="00AB508D">
            <w:pPr>
              <w:spacing w:before="120" w:after="120"/>
              <w:rPr>
                <w:rFonts w:cs="Arial"/>
                <w:color w:val="76923C" w:themeColor="accent3" w:themeShade="BF"/>
              </w:rPr>
            </w:pPr>
            <w:r w:rsidRPr="009A5185">
              <w:rPr>
                <w:rFonts w:cs="Arial"/>
                <w:b/>
              </w:rPr>
              <w:t>4</w:t>
            </w:r>
            <w:r w:rsidR="0016658F">
              <w:rPr>
                <w:rFonts w:cs="Arial"/>
                <w:b/>
              </w:rPr>
              <w:t>E</w:t>
            </w:r>
            <w:r w:rsidRPr="009A5185">
              <w:rPr>
                <w:rFonts w:cs="Arial"/>
              </w:rPr>
              <w:t xml:space="preserve"> High-Risk Deliveries</w:t>
            </w:r>
            <w:r>
              <w:rPr>
                <w:rFonts w:cs="Arial"/>
              </w:rPr>
              <w:t>*</w:t>
            </w:r>
            <w:r w:rsidRPr="009A5185">
              <w:rPr>
                <w:rFonts w:cs="Arial"/>
              </w:rPr>
              <w:t xml:space="preserve"> </w:t>
            </w:r>
          </w:p>
        </w:tc>
        <w:tc>
          <w:tcPr>
            <w:tcW w:w="3308" w:type="dxa"/>
            <w:vAlign w:val="center"/>
          </w:tcPr>
          <w:p w14:paraId="0A5755D8" w14:textId="77777777" w:rsidR="00AB508D" w:rsidRPr="0066410F" w:rsidRDefault="00AB508D" w:rsidP="00AB508D">
            <w:pPr>
              <w:contextualSpacing/>
              <w:jc w:val="center"/>
              <w:rPr>
                <w:rFonts w:cstheme="minorHAnsi"/>
              </w:rPr>
            </w:pPr>
            <w:r w:rsidRPr="0066410F">
              <w:rPr>
                <w:rFonts w:cstheme="minorHAnsi"/>
              </w:rPr>
              <w:t>Volume:</w:t>
            </w:r>
          </w:p>
          <w:p w14:paraId="545E28ED" w14:textId="284483E3" w:rsidR="00AB508D" w:rsidRPr="009A5185" w:rsidRDefault="00AB508D" w:rsidP="00AB508D">
            <w:pPr>
              <w:jc w:val="center"/>
              <w:rPr>
                <w:rFonts w:cs="Arial"/>
              </w:rPr>
            </w:pPr>
            <w:r w:rsidRPr="0066410F">
              <w:rPr>
                <w:rFonts w:cstheme="minorHAnsi"/>
              </w:rPr>
              <w:t>12 months ending 12/31/202</w:t>
            </w:r>
            <w:r w:rsidR="00BB28AA">
              <w:rPr>
                <w:rFonts w:cstheme="minorHAnsi"/>
              </w:rPr>
              <w:t>5</w:t>
            </w:r>
          </w:p>
        </w:tc>
        <w:tc>
          <w:tcPr>
            <w:tcW w:w="3281" w:type="dxa"/>
            <w:vAlign w:val="center"/>
          </w:tcPr>
          <w:p w14:paraId="2129AB86" w14:textId="77777777" w:rsidR="00AB508D" w:rsidRPr="0066410F" w:rsidRDefault="00AB508D" w:rsidP="00AB508D">
            <w:pPr>
              <w:contextualSpacing/>
              <w:jc w:val="center"/>
              <w:rPr>
                <w:rFonts w:cstheme="minorHAnsi"/>
              </w:rPr>
            </w:pPr>
            <w:r w:rsidRPr="0066410F">
              <w:rPr>
                <w:rFonts w:cstheme="minorHAnsi"/>
              </w:rPr>
              <w:t>Volume:</w:t>
            </w:r>
          </w:p>
          <w:p w14:paraId="3B54FEF7" w14:textId="67846F9B" w:rsidR="00AB508D" w:rsidRPr="00C430FD" w:rsidRDefault="00AB508D" w:rsidP="00AB508D">
            <w:pPr>
              <w:jc w:val="center"/>
              <w:rPr>
                <w:rFonts w:cs="Arial"/>
              </w:rPr>
            </w:pPr>
            <w:r w:rsidRPr="0066410F">
              <w:rPr>
                <w:rFonts w:cstheme="minorHAnsi"/>
              </w:rPr>
              <w:t>12 months ending 06/30/202</w:t>
            </w:r>
            <w:r w:rsidR="00BB28AA">
              <w:rPr>
                <w:rFonts w:cstheme="minorHAnsi"/>
              </w:rPr>
              <w:t>6</w:t>
            </w:r>
          </w:p>
        </w:tc>
      </w:tr>
      <w:tr w:rsidR="00AB508D" w:rsidRPr="009A5185" w14:paraId="525C5EF1" w14:textId="77777777" w:rsidTr="004D1420">
        <w:trPr>
          <w:trHeight w:val="576"/>
          <w:jc w:val="center"/>
        </w:trPr>
        <w:tc>
          <w:tcPr>
            <w:tcW w:w="2766" w:type="dxa"/>
            <w:vMerge/>
            <w:shd w:val="clear" w:color="auto" w:fill="D9D9D9" w:themeFill="background1" w:themeFillShade="D9"/>
          </w:tcPr>
          <w:p w14:paraId="372D6DCB" w14:textId="77777777" w:rsidR="00AB508D" w:rsidRPr="009A5185" w:rsidRDefault="00AB508D" w:rsidP="00AB508D">
            <w:pPr>
              <w:spacing w:before="120" w:after="120"/>
              <w:rPr>
                <w:rFonts w:cs="Arial"/>
                <w:b/>
              </w:rPr>
            </w:pPr>
          </w:p>
        </w:tc>
        <w:tc>
          <w:tcPr>
            <w:tcW w:w="3308" w:type="dxa"/>
            <w:vAlign w:val="center"/>
          </w:tcPr>
          <w:p w14:paraId="2EB53BC2" w14:textId="77777777" w:rsidR="00AB508D" w:rsidRPr="0066410F" w:rsidRDefault="00AB508D" w:rsidP="00AB508D">
            <w:pPr>
              <w:contextualSpacing/>
              <w:jc w:val="center"/>
              <w:rPr>
                <w:rFonts w:cstheme="minorHAnsi"/>
              </w:rPr>
            </w:pPr>
            <w:r w:rsidRPr="0066410F">
              <w:rPr>
                <w:rFonts w:cstheme="minorHAnsi"/>
              </w:rPr>
              <w:t>VON:</w:t>
            </w:r>
          </w:p>
          <w:p w14:paraId="64D9DD02" w14:textId="5EBA8CD6" w:rsidR="00AB508D" w:rsidRPr="009A5185" w:rsidRDefault="00AB508D" w:rsidP="00AB508D">
            <w:pPr>
              <w:jc w:val="center"/>
              <w:rPr>
                <w:rFonts w:cs="Arial"/>
              </w:rPr>
            </w:pPr>
            <w:r w:rsidRPr="0066410F">
              <w:rPr>
                <w:rFonts w:cstheme="minorHAnsi"/>
              </w:rPr>
              <w:t>20</w:t>
            </w:r>
            <w:r>
              <w:rPr>
                <w:rFonts w:cstheme="minorHAnsi"/>
              </w:rPr>
              <w:t>2</w:t>
            </w:r>
            <w:r w:rsidR="00BB28AA">
              <w:rPr>
                <w:rFonts w:cstheme="minorHAnsi"/>
              </w:rPr>
              <w:t>4</w:t>
            </w:r>
            <w:r w:rsidRPr="0066410F">
              <w:rPr>
                <w:rFonts w:cstheme="minorHAnsi"/>
              </w:rPr>
              <w:t xml:space="preserve"> report</w:t>
            </w:r>
          </w:p>
        </w:tc>
        <w:tc>
          <w:tcPr>
            <w:tcW w:w="3281" w:type="dxa"/>
            <w:vAlign w:val="center"/>
          </w:tcPr>
          <w:p w14:paraId="60FF779D" w14:textId="77777777" w:rsidR="00AB508D" w:rsidRPr="0066410F" w:rsidRDefault="00AB508D" w:rsidP="00AB508D">
            <w:pPr>
              <w:contextualSpacing/>
              <w:jc w:val="center"/>
              <w:rPr>
                <w:rFonts w:cstheme="minorHAnsi"/>
              </w:rPr>
            </w:pPr>
            <w:r w:rsidRPr="0066410F">
              <w:rPr>
                <w:rFonts w:cstheme="minorHAnsi"/>
              </w:rPr>
              <w:t>VON:</w:t>
            </w:r>
          </w:p>
          <w:p w14:paraId="150094E2" w14:textId="28DE8BD3" w:rsidR="00AB508D" w:rsidRPr="00C430FD" w:rsidRDefault="00AB508D" w:rsidP="00AB508D">
            <w:pPr>
              <w:jc w:val="center"/>
              <w:rPr>
                <w:rFonts w:cs="Arial"/>
              </w:rPr>
            </w:pPr>
            <w:r w:rsidRPr="0066410F">
              <w:rPr>
                <w:rFonts w:cstheme="minorHAnsi"/>
              </w:rPr>
              <w:t>202</w:t>
            </w:r>
            <w:r w:rsidR="00BB28AA">
              <w:rPr>
                <w:rFonts w:cstheme="minorHAnsi"/>
              </w:rPr>
              <w:t>5</w:t>
            </w:r>
            <w:r w:rsidRPr="0066410F">
              <w:rPr>
                <w:rFonts w:cstheme="minorHAnsi"/>
              </w:rPr>
              <w:t xml:space="preserve"> report</w:t>
            </w:r>
          </w:p>
        </w:tc>
      </w:tr>
      <w:tr w:rsidR="00AB508D" w:rsidRPr="009A5185" w14:paraId="09B05650" w14:textId="77777777" w:rsidTr="004D1420">
        <w:trPr>
          <w:trHeight w:val="432"/>
          <w:jc w:val="center"/>
        </w:trPr>
        <w:tc>
          <w:tcPr>
            <w:tcW w:w="2766" w:type="dxa"/>
            <w:tcBorders>
              <w:bottom w:val="single" w:sz="4" w:space="0" w:color="auto"/>
            </w:tcBorders>
            <w:shd w:val="clear" w:color="auto" w:fill="D9D9D9" w:themeFill="background1" w:themeFillShade="D9"/>
          </w:tcPr>
          <w:p w14:paraId="3E934DEF" w14:textId="7BD80DAC" w:rsidR="00AB508D" w:rsidRPr="009A5185" w:rsidRDefault="00AB508D" w:rsidP="00AB508D">
            <w:pPr>
              <w:spacing w:before="120" w:after="120"/>
              <w:rPr>
                <w:rFonts w:cs="Arial"/>
                <w:b/>
              </w:rPr>
            </w:pPr>
            <w:r w:rsidRPr="009A5185">
              <w:rPr>
                <w:rFonts w:cs="Arial"/>
                <w:b/>
              </w:rPr>
              <w:t>5</w:t>
            </w:r>
            <w:r w:rsidR="00AB4837">
              <w:rPr>
                <w:rFonts w:cs="Arial"/>
                <w:b/>
              </w:rPr>
              <w:t>A</w:t>
            </w:r>
            <w:r w:rsidR="003F57C1">
              <w:rPr>
                <w:rFonts w:cs="Arial"/>
                <w:b/>
              </w:rPr>
              <w:t xml:space="preserve"> </w:t>
            </w:r>
            <w:r w:rsidR="003F57C1" w:rsidRPr="003F57C1">
              <w:rPr>
                <w:rFonts w:cs="Arial"/>
              </w:rPr>
              <w:t>Adult ICU Physician Staffing</w:t>
            </w:r>
          </w:p>
        </w:tc>
        <w:tc>
          <w:tcPr>
            <w:tcW w:w="3308" w:type="dxa"/>
            <w:tcBorders>
              <w:bottom w:val="single" w:sz="4" w:space="0" w:color="auto"/>
            </w:tcBorders>
            <w:vAlign w:val="center"/>
          </w:tcPr>
          <w:p w14:paraId="3421AB3B" w14:textId="6258C380" w:rsidR="00AB508D" w:rsidRPr="009A5185" w:rsidRDefault="00AB508D" w:rsidP="00AB508D">
            <w:pPr>
              <w:jc w:val="center"/>
              <w:rPr>
                <w:rFonts w:cs="Arial"/>
              </w:rPr>
            </w:pPr>
            <w:r w:rsidRPr="000C6DE1">
              <w:rPr>
                <w:rFonts w:cstheme="minorHAnsi"/>
              </w:rPr>
              <w:t>Latest 3 months prior to Survey submission</w:t>
            </w:r>
          </w:p>
        </w:tc>
        <w:tc>
          <w:tcPr>
            <w:tcW w:w="3281" w:type="dxa"/>
            <w:tcBorders>
              <w:bottom w:val="single" w:sz="4" w:space="0" w:color="auto"/>
            </w:tcBorders>
            <w:vAlign w:val="center"/>
          </w:tcPr>
          <w:p w14:paraId="0AB2D55F" w14:textId="0250F5E6" w:rsidR="00AB508D" w:rsidRPr="00C430FD" w:rsidRDefault="00AB508D" w:rsidP="00AB508D">
            <w:pPr>
              <w:jc w:val="center"/>
              <w:rPr>
                <w:rFonts w:cs="Arial"/>
              </w:rPr>
            </w:pPr>
            <w:r w:rsidRPr="000C6DE1">
              <w:rPr>
                <w:rFonts w:cstheme="minorHAnsi"/>
              </w:rPr>
              <w:t>Latest 3 months prior to Survey submission</w:t>
            </w:r>
          </w:p>
        </w:tc>
      </w:tr>
      <w:tr w:rsidR="003F57C1" w:rsidRPr="009A5185" w14:paraId="6BA76EBE" w14:textId="77777777" w:rsidTr="004D1420">
        <w:trPr>
          <w:trHeight w:val="432"/>
          <w:jc w:val="center"/>
        </w:trPr>
        <w:tc>
          <w:tcPr>
            <w:tcW w:w="2766" w:type="dxa"/>
            <w:tcBorders>
              <w:bottom w:val="single" w:sz="4" w:space="0" w:color="auto"/>
            </w:tcBorders>
            <w:shd w:val="clear" w:color="auto" w:fill="D9D9D9" w:themeFill="background1" w:themeFillShade="D9"/>
          </w:tcPr>
          <w:p w14:paraId="3575413C" w14:textId="5CCFD697" w:rsidR="003F57C1" w:rsidRPr="009A5185" w:rsidRDefault="003F57C1" w:rsidP="003F57C1">
            <w:pPr>
              <w:spacing w:before="120" w:after="120"/>
              <w:rPr>
                <w:rFonts w:cs="Arial"/>
                <w:b/>
              </w:rPr>
            </w:pPr>
            <w:r>
              <w:rPr>
                <w:rFonts w:cs="Arial"/>
                <w:b/>
              </w:rPr>
              <w:t xml:space="preserve">5B </w:t>
            </w:r>
            <w:r w:rsidRPr="00701DF2">
              <w:rPr>
                <w:rFonts w:cs="Arial"/>
                <w:bCs/>
              </w:rPr>
              <w:t>Pediatric ICU Physician Staffing</w:t>
            </w:r>
          </w:p>
        </w:tc>
        <w:tc>
          <w:tcPr>
            <w:tcW w:w="3308" w:type="dxa"/>
            <w:tcBorders>
              <w:bottom w:val="single" w:sz="4" w:space="0" w:color="auto"/>
            </w:tcBorders>
            <w:vAlign w:val="center"/>
          </w:tcPr>
          <w:p w14:paraId="6E54650C" w14:textId="01700BF3" w:rsidR="003F57C1" w:rsidRPr="000C6DE1" w:rsidRDefault="003F57C1" w:rsidP="003F57C1">
            <w:pPr>
              <w:jc w:val="center"/>
              <w:rPr>
                <w:rFonts w:cstheme="minorHAnsi"/>
              </w:rPr>
            </w:pPr>
            <w:r w:rsidRPr="000C6DE1">
              <w:rPr>
                <w:rFonts w:cstheme="minorHAnsi"/>
              </w:rPr>
              <w:t>Latest 3 months prior to Survey submission</w:t>
            </w:r>
          </w:p>
        </w:tc>
        <w:tc>
          <w:tcPr>
            <w:tcW w:w="3281" w:type="dxa"/>
            <w:tcBorders>
              <w:bottom w:val="single" w:sz="4" w:space="0" w:color="auto"/>
            </w:tcBorders>
            <w:vAlign w:val="center"/>
          </w:tcPr>
          <w:p w14:paraId="36B57DCA" w14:textId="42872B24" w:rsidR="003F57C1" w:rsidRPr="000C6DE1" w:rsidRDefault="003F57C1" w:rsidP="003F57C1">
            <w:pPr>
              <w:jc w:val="center"/>
              <w:rPr>
                <w:rFonts w:cstheme="minorHAnsi"/>
              </w:rPr>
            </w:pPr>
            <w:r w:rsidRPr="000C6DE1">
              <w:rPr>
                <w:rFonts w:cstheme="minorHAnsi"/>
              </w:rPr>
              <w:t>Latest 3 months prior to Survey submission</w:t>
            </w:r>
          </w:p>
        </w:tc>
      </w:tr>
      <w:tr w:rsidR="00862201" w:rsidRPr="009A5185" w14:paraId="4435F00C" w14:textId="77777777" w:rsidTr="005C0698">
        <w:trPr>
          <w:trHeight w:val="665"/>
          <w:jc w:val="center"/>
        </w:trPr>
        <w:tc>
          <w:tcPr>
            <w:tcW w:w="2766" w:type="dxa"/>
            <w:vMerge w:val="restart"/>
            <w:shd w:val="clear" w:color="auto" w:fill="D9D9D9" w:themeFill="background1" w:themeFillShade="D9"/>
          </w:tcPr>
          <w:p w14:paraId="7E1EE19D" w14:textId="63355FBE" w:rsidR="00862201" w:rsidRPr="009A5185" w:rsidRDefault="00862201" w:rsidP="00862201">
            <w:pPr>
              <w:spacing w:before="120" w:after="120"/>
              <w:rPr>
                <w:rFonts w:cs="Arial"/>
                <w:b/>
              </w:rPr>
            </w:pPr>
            <w:r>
              <w:rPr>
                <w:rFonts w:cs="Arial"/>
                <w:b/>
              </w:rPr>
              <w:t xml:space="preserve">5C </w:t>
            </w:r>
            <w:r w:rsidRPr="00701DF2">
              <w:rPr>
                <w:rFonts w:cs="Arial"/>
                <w:bCs/>
              </w:rPr>
              <w:t>Nursing Workforce</w:t>
            </w:r>
          </w:p>
        </w:tc>
        <w:tc>
          <w:tcPr>
            <w:tcW w:w="3308" w:type="dxa"/>
            <w:tcBorders>
              <w:bottom w:val="single" w:sz="4" w:space="0" w:color="auto"/>
            </w:tcBorders>
            <w:vAlign w:val="center"/>
          </w:tcPr>
          <w:p w14:paraId="1550FA79" w14:textId="28DF5793" w:rsidR="00862201" w:rsidRDefault="00862201" w:rsidP="00862201">
            <w:pPr>
              <w:jc w:val="center"/>
              <w:rPr>
                <w:rFonts w:cstheme="minorHAnsi"/>
              </w:rPr>
            </w:pPr>
            <w:r>
              <w:rPr>
                <w:rFonts w:cs="Arial"/>
                <w:bCs/>
              </w:rPr>
              <w:t>Nurse Staffing:</w:t>
            </w:r>
            <w:r w:rsidRPr="000C6DE1">
              <w:rPr>
                <w:rFonts w:cstheme="minorHAnsi"/>
              </w:rPr>
              <w:t xml:space="preserve"> </w:t>
            </w:r>
          </w:p>
          <w:p w14:paraId="01C24298" w14:textId="1B2F5B93" w:rsidR="00862201" w:rsidRPr="000C6DE1" w:rsidRDefault="00862201" w:rsidP="00862201">
            <w:pPr>
              <w:jc w:val="center"/>
              <w:rPr>
                <w:rFonts w:cstheme="minorHAnsi"/>
              </w:rPr>
            </w:pPr>
            <w:r w:rsidRPr="000C6DE1">
              <w:rPr>
                <w:rFonts w:cstheme="minorHAnsi"/>
              </w:rPr>
              <w:t xml:space="preserve">12 months ending </w:t>
            </w:r>
            <w:r>
              <w:rPr>
                <w:rFonts w:cstheme="minorHAnsi"/>
              </w:rPr>
              <w:t>12/31/202</w:t>
            </w:r>
            <w:r w:rsidR="00910ACB">
              <w:rPr>
                <w:rFonts w:cstheme="minorHAnsi"/>
              </w:rPr>
              <w:t>5</w:t>
            </w:r>
          </w:p>
        </w:tc>
        <w:tc>
          <w:tcPr>
            <w:tcW w:w="3281" w:type="dxa"/>
            <w:tcBorders>
              <w:bottom w:val="single" w:sz="4" w:space="0" w:color="auto"/>
            </w:tcBorders>
            <w:vAlign w:val="center"/>
          </w:tcPr>
          <w:p w14:paraId="151AB33B" w14:textId="552C8739" w:rsidR="00862201" w:rsidRDefault="00862201" w:rsidP="00862201">
            <w:pPr>
              <w:jc w:val="center"/>
              <w:rPr>
                <w:rFonts w:cstheme="minorHAnsi"/>
              </w:rPr>
            </w:pPr>
            <w:r>
              <w:rPr>
                <w:rFonts w:cs="Arial"/>
                <w:bCs/>
              </w:rPr>
              <w:t>Nurse Staffing:</w:t>
            </w:r>
            <w:r w:rsidRPr="000C6DE1">
              <w:rPr>
                <w:rFonts w:cstheme="minorHAnsi"/>
              </w:rPr>
              <w:t xml:space="preserve"> </w:t>
            </w:r>
          </w:p>
          <w:p w14:paraId="14816CC1" w14:textId="284C8069" w:rsidR="00862201" w:rsidRPr="000C6DE1" w:rsidRDefault="00862201" w:rsidP="00862201">
            <w:pPr>
              <w:jc w:val="center"/>
              <w:rPr>
                <w:rFonts w:cstheme="minorHAnsi"/>
              </w:rPr>
            </w:pPr>
            <w:r w:rsidRPr="000C6DE1">
              <w:rPr>
                <w:rFonts w:cstheme="minorHAnsi"/>
              </w:rPr>
              <w:t>12 months ending 06/30/202</w:t>
            </w:r>
            <w:r w:rsidR="00910ACB">
              <w:rPr>
                <w:rFonts w:cstheme="minorHAnsi"/>
              </w:rPr>
              <w:t>6</w:t>
            </w:r>
          </w:p>
        </w:tc>
      </w:tr>
      <w:tr w:rsidR="00862201" w:rsidRPr="009A5185" w14:paraId="303A8F43" w14:textId="77777777" w:rsidTr="00D73F6A">
        <w:trPr>
          <w:trHeight w:val="432"/>
          <w:jc w:val="center"/>
        </w:trPr>
        <w:tc>
          <w:tcPr>
            <w:tcW w:w="2766" w:type="dxa"/>
            <w:vMerge/>
            <w:shd w:val="clear" w:color="auto" w:fill="D9D9D9" w:themeFill="background1" w:themeFillShade="D9"/>
          </w:tcPr>
          <w:p w14:paraId="664C7146" w14:textId="77777777" w:rsidR="00862201" w:rsidRDefault="00862201" w:rsidP="00862201">
            <w:pPr>
              <w:spacing w:before="120" w:after="120"/>
              <w:rPr>
                <w:rFonts w:cs="Arial"/>
                <w:b/>
              </w:rPr>
            </w:pPr>
          </w:p>
        </w:tc>
        <w:tc>
          <w:tcPr>
            <w:tcW w:w="3308" w:type="dxa"/>
            <w:tcBorders>
              <w:bottom w:val="single" w:sz="4" w:space="0" w:color="auto"/>
            </w:tcBorders>
            <w:vAlign w:val="center"/>
          </w:tcPr>
          <w:p w14:paraId="6F7A9B25" w14:textId="77777777" w:rsidR="00EC43C5" w:rsidRDefault="00EC43C5" w:rsidP="00EC43C5">
            <w:pPr>
              <w:jc w:val="center"/>
              <w:rPr>
                <w:rFonts w:cs="Arial"/>
              </w:rPr>
            </w:pPr>
            <w:r w:rsidRPr="003622FE">
              <w:rPr>
                <w:rFonts w:cs="Arial"/>
                <w:bCs/>
              </w:rPr>
              <w:t>NQF Safe</w:t>
            </w:r>
            <w:r>
              <w:rPr>
                <w:rFonts w:cs="Arial"/>
                <w:b/>
              </w:rPr>
              <w:t xml:space="preserve"> </w:t>
            </w:r>
            <w:r>
              <w:rPr>
                <w:rFonts w:cs="Arial"/>
              </w:rPr>
              <w:t>Practice #9:</w:t>
            </w:r>
          </w:p>
          <w:p w14:paraId="1DA276A1" w14:textId="63DDBEC1" w:rsidR="00862201" w:rsidRPr="000C6DE1" w:rsidRDefault="00AD08F2" w:rsidP="00AD08F2">
            <w:pPr>
              <w:jc w:val="center"/>
              <w:rPr>
                <w:rFonts w:cstheme="minorHAnsi"/>
              </w:rPr>
            </w:pPr>
            <w:r>
              <w:rPr>
                <w:rFonts w:cs="Arial"/>
                <w:bCs/>
              </w:rPr>
              <w:t>Latest 12 months prior to Survey submission</w:t>
            </w:r>
          </w:p>
        </w:tc>
        <w:tc>
          <w:tcPr>
            <w:tcW w:w="3281" w:type="dxa"/>
            <w:tcBorders>
              <w:bottom w:val="single" w:sz="4" w:space="0" w:color="auto"/>
            </w:tcBorders>
            <w:vAlign w:val="center"/>
          </w:tcPr>
          <w:p w14:paraId="744B5F20" w14:textId="77777777" w:rsidR="00EC43C5" w:rsidRDefault="00EC43C5" w:rsidP="00EC43C5">
            <w:pPr>
              <w:jc w:val="center"/>
              <w:rPr>
                <w:rFonts w:cs="Arial"/>
              </w:rPr>
            </w:pPr>
            <w:r w:rsidRPr="003622FE">
              <w:rPr>
                <w:rFonts w:cs="Arial"/>
                <w:bCs/>
              </w:rPr>
              <w:t>NQF Safe</w:t>
            </w:r>
            <w:r>
              <w:rPr>
                <w:rFonts w:cs="Arial"/>
                <w:b/>
              </w:rPr>
              <w:t xml:space="preserve"> </w:t>
            </w:r>
            <w:r>
              <w:rPr>
                <w:rFonts w:cs="Arial"/>
              </w:rPr>
              <w:t>Practice #9:</w:t>
            </w:r>
          </w:p>
          <w:p w14:paraId="7CADBD0D" w14:textId="685B6DDE" w:rsidR="00862201" w:rsidRPr="000C6DE1" w:rsidRDefault="00AD08F2" w:rsidP="00862201">
            <w:pPr>
              <w:jc w:val="center"/>
              <w:rPr>
                <w:rFonts w:cstheme="minorHAnsi"/>
              </w:rPr>
            </w:pPr>
            <w:r>
              <w:rPr>
                <w:rFonts w:cs="Arial"/>
                <w:bCs/>
              </w:rPr>
              <w:t>Latest 12 months prior to Survey submission</w:t>
            </w:r>
          </w:p>
        </w:tc>
      </w:tr>
      <w:tr w:rsidR="00862201" w:rsidRPr="009A5185" w14:paraId="1FAD323B" w14:textId="77777777" w:rsidTr="004D1420">
        <w:trPr>
          <w:trHeight w:val="432"/>
          <w:jc w:val="center"/>
        </w:trPr>
        <w:tc>
          <w:tcPr>
            <w:tcW w:w="2766" w:type="dxa"/>
            <w:vMerge/>
            <w:tcBorders>
              <w:bottom w:val="single" w:sz="4" w:space="0" w:color="auto"/>
            </w:tcBorders>
            <w:shd w:val="clear" w:color="auto" w:fill="D9D9D9" w:themeFill="background1" w:themeFillShade="D9"/>
          </w:tcPr>
          <w:p w14:paraId="77F5DEF6" w14:textId="77777777" w:rsidR="00862201" w:rsidRDefault="00862201" w:rsidP="00862201">
            <w:pPr>
              <w:spacing w:before="120" w:after="120"/>
              <w:rPr>
                <w:rFonts w:cs="Arial"/>
                <w:b/>
              </w:rPr>
            </w:pPr>
          </w:p>
        </w:tc>
        <w:tc>
          <w:tcPr>
            <w:tcW w:w="3308" w:type="dxa"/>
            <w:tcBorders>
              <w:bottom w:val="single" w:sz="4" w:space="0" w:color="auto"/>
            </w:tcBorders>
            <w:vAlign w:val="center"/>
          </w:tcPr>
          <w:p w14:paraId="71D4B587" w14:textId="77777777" w:rsidR="00EC43C5" w:rsidRDefault="00EC43C5" w:rsidP="00EC43C5">
            <w:pPr>
              <w:jc w:val="center"/>
              <w:rPr>
                <w:rFonts w:cstheme="minorHAnsi"/>
              </w:rPr>
            </w:pPr>
            <w:r>
              <w:t>Percentage</w:t>
            </w:r>
            <w:r w:rsidRPr="007D0C84">
              <w:rPr>
                <w:rFonts w:cstheme="minorHAnsi"/>
              </w:rPr>
              <w:t xml:space="preserve"> of RNs </w:t>
            </w:r>
            <w:r>
              <w:rPr>
                <w:rFonts w:cstheme="minorHAnsi"/>
              </w:rPr>
              <w:t>who</w:t>
            </w:r>
            <w:r w:rsidRPr="007D0C84">
              <w:rPr>
                <w:rFonts w:cstheme="minorHAnsi"/>
              </w:rPr>
              <w:t xml:space="preserve"> are BSN-</w:t>
            </w:r>
            <w:r>
              <w:rPr>
                <w:rFonts w:cstheme="minorHAnsi"/>
              </w:rPr>
              <w:t>P</w:t>
            </w:r>
            <w:r w:rsidRPr="007D0C84">
              <w:rPr>
                <w:rFonts w:cstheme="minorHAnsi"/>
              </w:rPr>
              <w:t>repared</w:t>
            </w:r>
            <w:r>
              <w:rPr>
                <w:rFonts w:cstheme="minorHAnsi"/>
              </w:rPr>
              <w:t>:</w:t>
            </w:r>
          </w:p>
          <w:p w14:paraId="2E777E1A" w14:textId="1EA0B6E6" w:rsidR="00862201" w:rsidRPr="000C6DE1" w:rsidRDefault="00FA14A9" w:rsidP="00EC43C5">
            <w:pPr>
              <w:jc w:val="center"/>
              <w:rPr>
                <w:rFonts w:cstheme="minorHAnsi"/>
              </w:rPr>
            </w:pPr>
            <w:r w:rsidRPr="00FA14A9">
              <w:rPr>
                <w:rFonts w:cstheme="minorHAnsi"/>
              </w:rPr>
              <w:t>Based on the most recent day within the last 12 months for which you have complete data</w:t>
            </w:r>
          </w:p>
        </w:tc>
        <w:tc>
          <w:tcPr>
            <w:tcW w:w="3281" w:type="dxa"/>
            <w:tcBorders>
              <w:bottom w:val="single" w:sz="4" w:space="0" w:color="auto"/>
            </w:tcBorders>
            <w:vAlign w:val="center"/>
          </w:tcPr>
          <w:p w14:paraId="7D498C6E" w14:textId="77777777" w:rsidR="00EC43C5" w:rsidRDefault="00EC43C5" w:rsidP="00EC43C5">
            <w:pPr>
              <w:jc w:val="center"/>
              <w:rPr>
                <w:rFonts w:cstheme="minorHAnsi"/>
              </w:rPr>
            </w:pPr>
            <w:r>
              <w:t>Percentage</w:t>
            </w:r>
            <w:r w:rsidRPr="007D0C84">
              <w:rPr>
                <w:rFonts w:cstheme="minorHAnsi"/>
              </w:rPr>
              <w:t xml:space="preserve"> of RNs </w:t>
            </w:r>
            <w:r>
              <w:rPr>
                <w:rFonts w:cstheme="minorHAnsi"/>
              </w:rPr>
              <w:t>who</w:t>
            </w:r>
            <w:r w:rsidRPr="007D0C84">
              <w:rPr>
                <w:rFonts w:cstheme="minorHAnsi"/>
              </w:rPr>
              <w:t xml:space="preserve"> are BSN-</w:t>
            </w:r>
            <w:r>
              <w:rPr>
                <w:rFonts w:cstheme="minorHAnsi"/>
              </w:rPr>
              <w:t>P</w:t>
            </w:r>
            <w:r w:rsidRPr="007D0C84">
              <w:rPr>
                <w:rFonts w:cstheme="minorHAnsi"/>
              </w:rPr>
              <w:t>repared</w:t>
            </w:r>
            <w:r>
              <w:rPr>
                <w:rFonts w:cstheme="minorHAnsi"/>
              </w:rPr>
              <w:t>:</w:t>
            </w:r>
          </w:p>
          <w:p w14:paraId="392D734D" w14:textId="3B9ACBB1" w:rsidR="00862201" w:rsidRPr="000C6DE1" w:rsidRDefault="00FA14A9" w:rsidP="00EC43C5">
            <w:pPr>
              <w:jc w:val="center"/>
              <w:rPr>
                <w:rFonts w:cstheme="minorHAnsi"/>
              </w:rPr>
            </w:pPr>
            <w:r w:rsidRPr="00FA14A9">
              <w:rPr>
                <w:rFonts w:cstheme="minorHAnsi"/>
              </w:rPr>
              <w:t>Based on the most recent day within the last 12 months for which you have complete data</w:t>
            </w:r>
          </w:p>
        </w:tc>
      </w:tr>
      <w:tr w:rsidR="00AB508D" w:rsidRPr="009A5185" w14:paraId="2697F373" w14:textId="77777777" w:rsidTr="005C0698">
        <w:trPr>
          <w:trHeight w:val="836"/>
          <w:jc w:val="center"/>
        </w:trPr>
        <w:tc>
          <w:tcPr>
            <w:tcW w:w="2766" w:type="dxa"/>
            <w:shd w:val="clear" w:color="auto" w:fill="D9D9D9" w:themeFill="background1" w:themeFillShade="D9"/>
          </w:tcPr>
          <w:p w14:paraId="4CEBE266" w14:textId="7E79C472" w:rsidR="00AB508D" w:rsidRPr="009A5185" w:rsidRDefault="00AB508D" w:rsidP="00AB508D">
            <w:pPr>
              <w:spacing w:before="120" w:after="120"/>
              <w:rPr>
                <w:rFonts w:cs="Arial"/>
                <w:b/>
              </w:rPr>
            </w:pPr>
            <w:r w:rsidRPr="009A5185">
              <w:rPr>
                <w:rFonts w:cs="Arial"/>
                <w:b/>
              </w:rPr>
              <w:t>6</w:t>
            </w:r>
            <w:r>
              <w:rPr>
                <w:rFonts w:cs="Arial"/>
                <w:b/>
              </w:rPr>
              <w:t>A</w:t>
            </w:r>
            <w:r w:rsidRPr="009A5185">
              <w:rPr>
                <w:rFonts w:cs="Arial"/>
                <w:b/>
              </w:rPr>
              <w:t xml:space="preserve"> </w:t>
            </w:r>
            <w:r w:rsidRPr="000E69AB">
              <w:rPr>
                <w:rFonts w:cs="Arial"/>
                <w:bCs/>
              </w:rPr>
              <w:t>NQF Safe</w:t>
            </w:r>
            <w:r>
              <w:rPr>
                <w:rFonts w:cs="Arial"/>
                <w:b/>
              </w:rPr>
              <w:t xml:space="preserve"> </w:t>
            </w:r>
            <w:r>
              <w:rPr>
                <w:rFonts w:cs="Arial"/>
              </w:rPr>
              <w:t>Practice #1 – Culture of Safety Leadership Structures and Systems</w:t>
            </w:r>
          </w:p>
        </w:tc>
        <w:tc>
          <w:tcPr>
            <w:tcW w:w="3308" w:type="dxa"/>
            <w:vAlign w:val="center"/>
          </w:tcPr>
          <w:p w14:paraId="10594AC2" w14:textId="19ACF46A" w:rsidR="00AB508D" w:rsidRPr="009A5185" w:rsidRDefault="00AB508D" w:rsidP="00AB508D">
            <w:pPr>
              <w:jc w:val="center"/>
              <w:rPr>
                <w:rFonts w:cs="Arial"/>
              </w:rPr>
            </w:pPr>
            <w:r w:rsidRPr="000C6DE1">
              <w:rPr>
                <w:rFonts w:cstheme="minorHAnsi"/>
              </w:rPr>
              <w:t>Latest 12 months prior to Survey submission</w:t>
            </w:r>
          </w:p>
        </w:tc>
        <w:tc>
          <w:tcPr>
            <w:tcW w:w="3281" w:type="dxa"/>
            <w:vAlign w:val="center"/>
          </w:tcPr>
          <w:p w14:paraId="4C95B6F0" w14:textId="2698F4B0" w:rsidR="00AB508D" w:rsidRPr="00C430FD" w:rsidRDefault="00AB508D" w:rsidP="00AB508D">
            <w:pPr>
              <w:jc w:val="center"/>
              <w:rPr>
                <w:rFonts w:cs="Arial"/>
              </w:rPr>
            </w:pPr>
            <w:r w:rsidRPr="000C6DE1">
              <w:rPr>
                <w:rFonts w:cstheme="minorHAnsi"/>
              </w:rPr>
              <w:t>Latest 12 months prior to Survey submission</w:t>
            </w:r>
          </w:p>
        </w:tc>
      </w:tr>
      <w:tr w:rsidR="00AB508D" w:rsidRPr="009A5185" w14:paraId="56FBE72F" w14:textId="77777777" w:rsidTr="004D1420">
        <w:trPr>
          <w:trHeight w:val="1152"/>
          <w:jc w:val="center"/>
        </w:trPr>
        <w:tc>
          <w:tcPr>
            <w:tcW w:w="2766" w:type="dxa"/>
            <w:shd w:val="clear" w:color="auto" w:fill="D9D9D9" w:themeFill="background1" w:themeFillShade="D9"/>
          </w:tcPr>
          <w:p w14:paraId="2E634996" w14:textId="61393379" w:rsidR="00AB508D" w:rsidRPr="003E70D3" w:rsidRDefault="00AB508D" w:rsidP="00AB508D">
            <w:pPr>
              <w:spacing w:before="120" w:after="120"/>
              <w:rPr>
                <w:rFonts w:cs="Arial"/>
              </w:rPr>
            </w:pPr>
            <w:r>
              <w:rPr>
                <w:rFonts w:cs="Arial"/>
                <w:b/>
              </w:rPr>
              <w:t xml:space="preserve">6B </w:t>
            </w:r>
            <w:r w:rsidRPr="003622FE">
              <w:rPr>
                <w:rFonts w:cs="Arial"/>
                <w:bCs/>
              </w:rPr>
              <w:t>NQF Safe</w:t>
            </w:r>
            <w:r>
              <w:rPr>
                <w:rFonts w:cs="Arial"/>
                <w:b/>
              </w:rPr>
              <w:t xml:space="preserve"> </w:t>
            </w:r>
            <w:r>
              <w:rPr>
                <w:rFonts w:cs="Arial"/>
              </w:rPr>
              <w:t>Practice #2 – Culture Measurement, Feedback, and Intervention</w:t>
            </w:r>
          </w:p>
        </w:tc>
        <w:tc>
          <w:tcPr>
            <w:tcW w:w="3308" w:type="dxa"/>
            <w:vAlign w:val="center"/>
          </w:tcPr>
          <w:p w14:paraId="320ACBEC" w14:textId="66B49F5E" w:rsidR="00AB508D" w:rsidRDefault="00AB508D" w:rsidP="00AB508D">
            <w:pPr>
              <w:jc w:val="center"/>
              <w:rPr>
                <w:rFonts w:cs="Arial"/>
              </w:rPr>
            </w:pPr>
            <w:r w:rsidRPr="00AA1E71">
              <w:rPr>
                <w:rFonts w:cstheme="minorHAnsi"/>
              </w:rPr>
              <w:t xml:space="preserve">Latest </w:t>
            </w:r>
            <w:r>
              <w:rPr>
                <w:rFonts w:cstheme="minorHAnsi"/>
              </w:rPr>
              <w:t>12</w:t>
            </w:r>
            <w:r w:rsidRPr="00AA1E71">
              <w:rPr>
                <w:rFonts w:cstheme="minorHAnsi"/>
              </w:rPr>
              <w:t xml:space="preserve"> or </w:t>
            </w:r>
            <w:r>
              <w:rPr>
                <w:rFonts w:cstheme="minorHAnsi"/>
              </w:rPr>
              <w:t>24</w:t>
            </w:r>
            <w:r w:rsidRPr="00AA1E71">
              <w:rPr>
                <w:rFonts w:cstheme="minorHAnsi"/>
              </w:rPr>
              <w:t xml:space="preserve"> months prior to Survey submission (see individual safe practice for specific reporting period)</w:t>
            </w:r>
          </w:p>
        </w:tc>
        <w:tc>
          <w:tcPr>
            <w:tcW w:w="3281" w:type="dxa"/>
            <w:vAlign w:val="center"/>
          </w:tcPr>
          <w:p w14:paraId="633DDAB3" w14:textId="2FE452BD" w:rsidR="00AB508D" w:rsidRPr="00C430FD" w:rsidRDefault="00AB508D" w:rsidP="00AB508D">
            <w:pPr>
              <w:jc w:val="center"/>
              <w:rPr>
                <w:rFonts w:cs="Arial"/>
              </w:rPr>
            </w:pPr>
            <w:r w:rsidRPr="00AA1E71">
              <w:rPr>
                <w:rFonts w:cstheme="minorHAnsi"/>
              </w:rPr>
              <w:t xml:space="preserve">Latest </w:t>
            </w:r>
            <w:r>
              <w:rPr>
                <w:rFonts w:cstheme="minorHAnsi"/>
              </w:rPr>
              <w:t>12</w:t>
            </w:r>
            <w:r w:rsidRPr="00AA1E71">
              <w:rPr>
                <w:rFonts w:cstheme="minorHAnsi"/>
              </w:rPr>
              <w:t xml:space="preserve"> or </w:t>
            </w:r>
            <w:r>
              <w:rPr>
                <w:rFonts w:cstheme="minorHAnsi"/>
              </w:rPr>
              <w:t>24</w:t>
            </w:r>
            <w:r w:rsidRPr="00AA1E71">
              <w:rPr>
                <w:rFonts w:cstheme="minorHAnsi"/>
              </w:rPr>
              <w:t xml:space="preserve"> months prior to Survey submission (see individual safe practice for specific reporting period)</w:t>
            </w:r>
          </w:p>
        </w:tc>
      </w:tr>
      <w:tr w:rsidR="00AB508D" w:rsidRPr="009A5185" w14:paraId="08770FDA" w14:textId="77777777" w:rsidTr="004D1420">
        <w:trPr>
          <w:trHeight w:val="288"/>
          <w:jc w:val="center"/>
        </w:trPr>
        <w:tc>
          <w:tcPr>
            <w:tcW w:w="2766" w:type="dxa"/>
            <w:shd w:val="clear" w:color="auto" w:fill="D9D9D9" w:themeFill="background1" w:themeFillShade="D9"/>
          </w:tcPr>
          <w:p w14:paraId="196F6A26" w14:textId="0D5A720A" w:rsidR="00AB508D" w:rsidRPr="003E70D3" w:rsidRDefault="00AB508D" w:rsidP="00AB508D">
            <w:pPr>
              <w:spacing w:before="120" w:after="120"/>
              <w:rPr>
                <w:rFonts w:cs="Arial"/>
              </w:rPr>
            </w:pPr>
            <w:r>
              <w:rPr>
                <w:rFonts w:cs="Arial"/>
                <w:b/>
              </w:rPr>
              <w:t>6</w:t>
            </w:r>
            <w:r w:rsidR="007209E4">
              <w:rPr>
                <w:rFonts w:cs="Arial"/>
                <w:b/>
              </w:rPr>
              <w:t>C</w:t>
            </w:r>
            <w:r>
              <w:rPr>
                <w:rFonts w:cs="Arial"/>
                <w:b/>
              </w:rPr>
              <w:t xml:space="preserve"> </w:t>
            </w:r>
            <w:r>
              <w:rPr>
                <w:rFonts w:cs="Arial"/>
              </w:rPr>
              <w:t>Hand Hygiene</w:t>
            </w:r>
          </w:p>
        </w:tc>
        <w:tc>
          <w:tcPr>
            <w:tcW w:w="3308" w:type="dxa"/>
            <w:vAlign w:val="center"/>
          </w:tcPr>
          <w:p w14:paraId="6247F55D" w14:textId="41C25853" w:rsidR="00AB508D" w:rsidRDefault="00402F77" w:rsidP="00AB508D">
            <w:pPr>
              <w:jc w:val="center"/>
              <w:rPr>
                <w:rFonts w:cs="Arial"/>
              </w:rPr>
            </w:pPr>
            <w:r w:rsidRPr="00AA1BD8">
              <w:rPr>
                <w:rFonts w:cstheme="minorHAnsi"/>
              </w:rPr>
              <w:t>Based on the practices currently in place at the time of Survey Submission</w:t>
            </w:r>
          </w:p>
        </w:tc>
        <w:tc>
          <w:tcPr>
            <w:tcW w:w="3281" w:type="dxa"/>
            <w:vAlign w:val="center"/>
          </w:tcPr>
          <w:p w14:paraId="7D9CEE83" w14:textId="3F3C9BAF" w:rsidR="00AB508D" w:rsidRPr="00C430FD" w:rsidRDefault="00402F77" w:rsidP="00AB508D">
            <w:pPr>
              <w:jc w:val="center"/>
              <w:rPr>
                <w:rFonts w:cs="Arial"/>
              </w:rPr>
            </w:pPr>
            <w:r w:rsidRPr="00AA1BD8">
              <w:rPr>
                <w:rFonts w:cstheme="minorHAnsi"/>
              </w:rPr>
              <w:t>Based on the practices currently in place at the time of Survey Submission</w:t>
            </w:r>
          </w:p>
        </w:tc>
      </w:tr>
      <w:tr w:rsidR="00041D8C" w:rsidRPr="009A5185" w14:paraId="71EB02CC" w14:textId="77777777" w:rsidTr="005D541A">
        <w:trPr>
          <w:trHeight w:val="278"/>
          <w:jc w:val="center"/>
        </w:trPr>
        <w:tc>
          <w:tcPr>
            <w:tcW w:w="2766" w:type="dxa"/>
            <w:shd w:val="clear" w:color="auto" w:fill="D9D9D9" w:themeFill="background1" w:themeFillShade="D9"/>
          </w:tcPr>
          <w:p w14:paraId="66C6D4AE" w14:textId="5C64C52B" w:rsidR="00041D8C" w:rsidRDefault="00041D8C" w:rsidP="00AB508D">
            <w:pPr>
              <w:spacing w:before="120" w:after="120"/>
              <w:rPr>
                <w:rFonts w:cs="Arial"/>
                <w:b/>
              </w:rPr>
            </w:pPr>
            <w:r>
              <w:rPr>
                <w:rFonts w:cs="Arial"/>
                <w:b/>
              </w:rPr>
              <w:t>6</w:t>
            </w:r>
            <w:r w:rsidR="007209E4">
              <w:rPr>
                <w:rFonts w:cs="Arial"/>
                <w:b/>
              </w:rPr>
              <w:t>D</w:t>
            </w:r>
            <w:r>
              <w:rPr>
                <w:rFonts w:cs="Arial"/>
                <w:b/>
              </w:rPr>
              <w:t xml:space="preserve"> </w:t>
            </w:r>
            <w:r w:rsidRPr="004D1420">
              <w:rPr>
                <w:rFonts w:cs="Arial"/>
                <w:bCs/>
              </w:rPr>
              <w:t>Diagnostic Excellence</w:t>
            </w:r>
            <w:r>
              <w:rPr>
                <w:rFonts w:cs="Arial"/>
                <w:b/>
              </w:rPr>
              <w:t xml:space="preserve"> </w:t>
            </w:r>
          </w:p>
        </w:tc>
        <w:tc>
          <w:tcPr>
            <w:tcW w:w="3308" w:type="dxa"/>
            <w:vAlign w:val="center"/>
          </w:tcPr>
          <w:p w14:paraId="74D9FAF0" w14:textId="208E5E9F" w:rsidR="00041D8C" w:rsidRPr="000C6DE1" w:rsidRDefault="00CD63E5" w:rsidP="00CD63E5">
            <w:pPr>
              <w:jc w:val="center"/>
              <w:rPr>
                <w:rFonts w:cstheme="minorHAnsi"/>
              </w:rPr>
            </w:pPr>
            <w:r w:rsidRPr="00AA1E71">
              <w:rPr>
                <w:rFonts w:cstheme="minorHAnsi"/>
              </w:rPr>
              <w:t xml:space="preserve">Latest </w:t>
            </w:r>
            <w:r>
              <w:rPr>
                <w:rFonts w:cstheme="minorHAnsi"/>
              </w:rPr>
              <w:t>24</w:t>
            </w:r>
            <w:r w:rsidRPr="00AA1E71">
              <w:rPr>
                <w:rFonts w:cstheme="minorHAnsi"/>
              </w:rPr>
              <w:t xml:space="preserve"> or </w:t>
            </w:r>
            <w:r>
              <w:rPr>
                <w:rFonts w:cstheme="minorHAnsi"/>
              </w:rPr>
              <w:t>36</w:t>
            </w:r>
            <w:r w:rsidRPr="00AA1E71">
              <w:rPr>
                <w:rFonts w:cstheme="minorHAnsi"/>
              </w:rPr>
              <w:t xml:space="preserve"> months prior to Survey submission (see individual </w:t>
            </w:r>
            <w:r>
              <w:rPr>
                <w:rFonts w:cstheme="minorHAnsi"/>
              </w:rPr>
              <w:t xml:space="preserve">question </w:t>
            </w:r>
            <w:r w:rsidRPr="00AA1E71">
              <w:rPr>
                <w:rFonts w:cstheme="minorHAnsi"/>
              </w:rPr>
              <w:t>for specific reporting period)</w:t>
            </w:r>
          </w:p>
        </w:tc>
        <w:tc>
          <w:tcPr>
            <w:tcW w:w="3281" w:type="dxa"/>
            <w:vAlign w:val="center"/>
          </w:tcPr>
          <w:p w14:paraId="697CC052" w14:textId="3FA7C7AF" w:rsidR="00041D8C" w:rsidRPr="000C6DE1" w:rsidRDefault="00CD63E5" w:rsidP="00041D8C">
            <w:pPr>
              <w:jc w:val="center"/>
              <w:rPr>
                <w:rFonts w:cstheme="minorHAnsi"/>
              </w:rPr>
            </w:pPr>
            <w:r w:rsidRPr="00AA1E71">
              <w:rPr>
                <w:rFonts w:cstheme="minorHAnsi"/>
              </w:rPr>
              <w:t xml:space="preserve">Latest </w:t>
            </w:r>
            <w:r>
              <w:rPr>
                <w:rFonts w:cstheme="minorHAnsi"/>
              </w:rPr>
              <w:t>24</w:t>
            </w:r>
            <w:r w:rsidRPr="00AA1E71">
              <w:rPr>
                <w:rFonts w:cstheme="minorHAnsi"/>
              </w:rPr>
              <w:t xml:space="preserve"> or </w:t>
            </w:r>
            <w:r>
              <w:rPr>
                <w:rFonts w:cstheme="minorHAnsi"/>
              </w:rPr>
              <w:t>36</w:t>
            </w:r>
            <w:r w:rsidRPr="00AA1E71">
              <w:rPr>
                <w:rFonts w:cstheme="minorHAnsi"/>
              </w:rPr>
              <w:t xml:space="preserve"> months prior to Survey submission (see individual </w:t>
            </w:r>
            <w:r>
              <w:rPr>
                <w:rFonts w:cstheme="minorHAnsi"/>
              </w:rPr>
              <w:t xml:space="preserve">question </w:t>
            </w:r>
            <w:r w:rsidRPr="00AA1E71">
              <w:rPr>
                <w:rFonts w:cstheme="minorHAnsi"/>
              </w:rPr>
              <w:t>for specific reporting period)</w:t>
            </w:r>
          </w:p>
        </w:tc>
      </w:tr>
      <w:tr w:rsidR="002D1C99" w:rsidRPr="009A5185" w14:paraId="2CE201BC" w14:textId="77777777" w:rsidTr="004D1420">
        <w:trPr>
          <w:trHeight w:val="20"/>
          <w:jc w:val="center"/>
        </w:trPr>
        <w:tc>
          <w:tcPr>
            <w:tcW w:w="2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DAAF2" w14:textId="68E2A561" w:rsidR="002D1C99" w:rsidRPr="009A5185" w:rsidRDefault="002D1C99" w:rsidP="00AB508D">
            <w:pPr>
              <w:tabs>
                <w:tab w:val="left" w:pos="1485"/>
              </w:tabs>
              <w:spacing w:before="120" w:after="120"/>
              <w:rPr>
                <w:rFonts w:cs="Arial"/>
                <w:b/>
              </w:rPr>
            </w:pPr>
            <w:r>
              <w:rPr>
                <w:rFonts w:cs="Arial"/>
                <w:b/>
              </w:rPr>
              <w:t xml:space="preserve">6E </w:t>
            </w:r>
            <w:r w:rsidR="00446607" w:rsidRPr="00730DD6">
              <w:rPr>
                <w:rFonts w:cs="Arial"/>
                <w:bCs/>
              </w:rPr>
              <w:t>Hospital Boarding in the</w:t>
            </w:r>
            <w:r w:rsidR="00446607">
              <w:rPr>
                <w:rFonts w:cs="Arial"/>
                <w:b/>
              </w:rPr>
              <w:t xml:space="preserve"> </w:t>
            </w:r>
            <w:r w:rsidR="00303A23" w:rsidRPr="00701DF2">
              <w:rPr>
                <w:rFonts w:cs="Arial"/>
                <w:bCs/>
              </w:rPr>
              <w:t>Emergency Department (ED)</w:t>
            </w:r>
          </w:p>
        </w:tc>
        <w:tc>
          <w:tcPr>
            <w:tcW w:w="3308" w:type="dxa"/>
            <w:tcBorders>
              <w:top w:val="single" w:sz="4" w:space="0" w:color="auto"/>
              <w:left w:val="single" w:sz="4" w:space="0" w:color="auto"/>
              <w:bottom w:val="single" w:sz="4" w:space="0" w:color="auto"/>
            </w:tcBorders>
            <w:vAlign w:val="center"/>
          </w:tcPr>
          <w:p w14:paraId="4C43DABC" w14:textId="05FEEA17" w:rsidR="002D1C99" w:rsidRPr="000C6DE1" w:rsidRDefault="00303A23" w:rsidP="00AB508D">
            <w:pPr>
              <w:jc w:val="center"/>
              <w:rPr>
                <w:rFonts w:cstheme="minorHAnsi"/>
              </w:rPr>
            </w:pPr>
            <w:r w:rsidRPr="00303A23">
              <w:rPr>
                <w:rFonts w:cstheme="minorHAnsi"/>
              </w:rPr>
              <w:t>12 months ending 12/31/202</w:t>
            </w:r>
            <w:r w:rsidR="000B2D7F">
              <w:rPr>
                <w:rFonts w:cstheme="minorHAnsi"/>
              </w:rPr>
              <w:t>5</w:t>
            </w:r>
          </w:p>
        </w:tc>
        <w:tc>
          <w:tcPr>
            <w:tcW w:w="3281" w:type="dxa"/>
            <w:tcBorders>
              <w:top w:val="single" w:sz="4" w:space="0" w:color="auto"/>
              <w:left w:val="single" w:sz="4" w:space="0" w:color="auto"/>
              <w:bottom w:val="single" w:sz="4" w:space="0" w:color="auto"/>
            </w:tcBorders>
            <w:vAlign w:val="center"/>
          </w:tcPr>
          <w:p w14:paraId="622B2973" w14:textId="1F671627" w:rsidR="002D1C99" w:rsidRPr="000C6DE1" w:rsidRDefault="00303A23" w:rsidP="00AB508D">
            <w:pPr>
              <w:jc w:val="center"/>
              <w:rPr>
                <w:rFonts w:cstheme="minorHAnsi"/>
              </w:rPr>
            </w:pPr>
            <w:r w:rsidRPr="00303A23">
              <w:rPr>
                <w:rFonts w:cstheme="minorHAnsi"/>
              </w:rPr>
              <w:t>12 months ending 06/30/202</w:t>
            </w:r>
            <w:r w:rsidR="000B2D7F">
              <w:rPr>
                <w:rFonts w:cstheme="minorHAnsi"/>
              </w:rPr>
              <w:t>6</w:t>
            </w:r>
          </w:p>
        </w:tc>
      </w:tr>
      <w:tr w:rsidR="00AB508D" w:rsidRPr="009A5185" w14:paraId="1FB48B98" w14:textId="77777777" w:rsidTr="004D1420">
        <w:trPr>
          <w:trHeight w:val="20"/>
          <w:jc w:val="center"/>
        </w:trPr>
        <w:tc>
          <w:tcPr>
            <w:tcW w:w="2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7E633" w14:textId="075B5354" w:rsidR="00AB508D" w:rsidRPr="009A5185" w:rsidRDefault="00AB508D" w:rsidP="00AB508D">
            <w:pPr>
              <w:tabs>
                <w:tab w:val="left" w:pos="1485"/>
              </w:tabs>
              <w:spacing w:before="120" w:after="120"/>
              <w:rPr>
                <w:rFonts w:cs="Arial"/>
              </w:rPr>
            </w:pPr>
            <w:r w:rsidRPr="009A5185">
              <w:rPr>
                <w:rFonts w:cs="Arial"/>
                <w:b/>
              </w:rPr>
              <w:t>7A</w:t>
            </w:r>
            <w:r w:rsidRPr="009A5185">
              <w:rPr>
                <w:rFonts w:cs="Arial"/>
              </w:rPr>
              <w:t xml:space="preserve"> Never Events</w:t>
            </w:r>
            <w:r>
              <w:rPr>
                <w:rFonts w:cs="Arial"/>
              </w:rPr>
              <w:t xml:space="preserve"> </w:t>
            </w:r>
          </w:p>
        </w:tc>
        <w:tc>
          <w:tcPr>
            <w:tcW w:w="3308" w:type="dxa"/>
            <w:tcBorders>
              <w:top w:val="single" w:sz="4" w:space="0" w:color="auto"/>
              <w:left w:val="single" w:sz="4" w:space="0" w:color="auto"/>
              <w:bottom w:val="single" w:sz="4" w:space="0" w:color="auto"/>
            </w:tcBorders>
            <w:vAlign w:val="center"/>
          </w:tcPr>
          <w:p w14:paraId="763721B8" w14:textId="7AF4EEAB" w:rsidR="00AB508D" w:rsidRPr="009A5185" w:rsidRDefault="00EF227B" w:rsidP="00AB508D">
            <w:pPr>
              <w:jc w:val="center"/>
              <w:rPr>
                <w:rFonts w:cs="Arial"/>
              </w:rPr>
            </w:pPr>
            <w:r w:rsidRPr="00EF227B">
              <w:rPr>
                <w:rFonts w:cstheme="minorHAnsi"/>
              </w:rPr>
              <w:t>Based on the principles currently included in your hospital’s never events policy at the time of Survey submission</w:t>
            </w:r>
          </w:p>
        </w:tc>
        <w:tc>
          <w:tcPr>
            <w:tcW w:w="3281" w:type="dxa"/>
            <w:tcBorders>
              <w:top w:val="single" w:sz="4" w:space="0" w:color="auto"/>
              <w:left w:val="single" w:sz="4" w:space="0" w:color="auto"/>
              <w:bottom w:val="single" w:sz="4" w:space="0" w:color="auto"/>
            </w:tcBorders>
            <w:vAlign w:val="center"/>
          </w:tcPr>
          <w:p w14:paraId="3C157EF7" w14:textId="01039DFD" w:rsidR="00AB508D" w:rsidRPr="00C430FD" w:rsidRDefault="00EF227B" w:rsidP="00AB508D">
            <w:pPr>
              <w:jc w:val="center"/>
              <w:rPr>
                <w:rFonts w:cs="Arial"/>
              </w:rPr>
            </w:pPr>
            <w:r w:rsidRPr="00EF227B">
              <w:rPr>
                <w:rFonts w:cstheme="minorHAnsi"/>
              </w:rPr>
              <w:t>Based on the principles currently included in your hospital’s never events policy at the time of Survey submission</w:t>
            </w:r>
          </w:p>
        </w:tc>
      </w:tr>
      <w:tr w:rsidR="00AB508D" w:rsidRPr="009A5185" w14:paraId="52D340AF" w14:textId="77777777" w:rsidTr="004D1420">
        <w:trPr>
          <w:trHeight w:val="432"/>
          <w:jc w:val="center"/>
        </w:trPr>
        <w:tc>
          <w:tcPr>
            <w:tcW w:w="2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C1318" w14:textId="5AF7CE21" w:rsidR="00AB508D" w:rsidRPr="009A5185" w:rsidRDefault="00AB508D" w:rsidP="00AB508D">
            <w:pPr>
              <w:spacing w:before="120" w:after="120"/>
              <w:rPr>
                <w:rFonts w:cs="Arial"/>
              </w:rPr>
            </w:pPr>
            <w:r w:rsidRPr="009A5185">
              <w:rPr>
                <w:rFonts w:cs="Arial"/>
                <w:b/>
              </w:rPr>
              <w:lastRenderedPageBreak/>
              <w:t>7B</w:t>
            </w:r>
            <w:r w:rsidRPr="009A5185">
              <w:rPr>
                <w:rFonts w:cs="Arial"/>
              </w:rPr>
              <w:t xml:space="preserve"> Healthcare-Associated Infections</w:t>
            </w:r>
            <w:r>
              <w:rPr>
                <w:rFonts w:cs="Arial"/>
              </w:rPr>
              <w:t>**</w:t>
            </w:r>
            <w:r w:rsidRPr="009A5185">
              <w:rPr>
                <w:rFonts w:cs="Arial"/>
              </w:rPr>
              <w:t xml:space="preserve"> </w:t>
            </w:r>
          </w:p>
        </w:tc>
        <w:tc>
          <w:tcPr>
            <w:tcW w:w="3308" w:type="dxa"/>
            <w:tcBorders>
              <w:top w:val="single" w:sz="4" w:space="0" w:color="auto"/>
              <w:left w:val="single" w:sz="4" w:space="0" w:color="auto"/>
              <w:bottom w:val="single" w:sz="4" w:space="0" w:color="auto"/>
            </w:tcBorders>
            <w:vAlign w:val="center"/>
          </w:tcPr>
          <w:p w14:paraId="23465032" w14:textId="77777777" w:rsidR="00AB508D" w:rsidRDefault="00AB508D" w:rsidP="00AB508D">
            <w:pPr>
              <w:contextualSpacing/>
              <w:jc w:val="center"/>
              <w:rPr>
                <w:rFonts w:cstheme="minorHAnsi"/>
              </w:rPr>
            </w:pPr>
            <w:r w:rsidRPr="005B2F66">
              <w:rPr>
                <w:rFonts w:cstheme="minorHAnsi"/>
              </w:rPr>
              <w:t xml:space="preserve">June and August Data Downloads: </w:t>
            </w:r>
          </w:p>
          <w:p w14:paraId="2355677F" w14:textId="5E3C75EA" w:rsidR="00AB508D" w:rsidRPr="009A5185" w:rsidRDefault="00AB508D" w:rsidP="00AB508D">
            <w:pPr>
              <w:jc w:val="center"/>
              <w:rPr>
                <w:rFonts w:cs="Arial"/>
              </w:rPr>
            </w:pPr>
            <w:r w:rsidRPr="005B2F66">
              <w:t>01/01/202</w:t>
            </w:r>
            <w:r w:rsidR="001C406F">
              <w:t>5</w:t>
            </w:r>
            <w:r w:rsidRPr="005B2F66">
              <w:t xml:space="preserve"> – 12/31/202</w:t>
            </w:r>
            <w:r w:rsidR="001C406F">
              <w:t>5</w:t>
            </w:r>
          </w:p>
        </w:tc>
        <w:tc>
          <w:tcPr>
            <w:tcW w:w="3281" w:type="dxa"/>
            <w:tcBorders>
              <w:top w:val="single" w:sz="4" w:space="0" w:color="auto"/>
              <w:left w:val="single" w:sz="4" w:space="0" w:color="auto"/>
              <w:bottom w:val="single" w:sz="4" w:space="0" w:color="auto"/>
            </w:tcBorders>
            <w:vAlign w:val="center"/>
          </w:tcPr>
          <w:p w14:paraId="5B92D235" w14:textId="77777777" w:rsidR="00AB508D" w:rsidRDefault="00AB508D" w:rsidP="00AB508D">
            <w:pPr>
              <w:contextualSpacing/>
              <w:jc w:val="center"/>
            </w:pPr>
            <w:r>
              <w:t xml:space="preserve">October and December Data Downloads: </w:t>
            </w:r>
          </w:p>
          <w:p w14:paraId="1E703CA5" w14:textId="056BFB83" w:rsidR="00AB508D" w:rsidRPr="009A5185" w:rsidRDefault="00AB508D" w:rsidP="00AB508D">
            <w:pPr>
              <w:jc w:val="center"/>
              <w:rPr>
                <w:rFonts w:cs="Arial"/>
              </w:rPr>
            </w:pPr>
            <w:r>
              <w:t>07/01/202</w:t>
            </w:r>
            <w:r w:rsidR="001C406F">
              <w:t>5</w:t>
            </w:r>
            <w:r>
              <w:t xml:space="preserve"> – 06/30/202</w:t>
            </w:r>
            <w:r w:rsidR="001C406F">
              <w:t>6</w:t>
            </w:r>
          </w:p>
        </w:tc>
      </w:tr>
      <w:tr w:rsidR="00AB508D" w:rsidRPr="009A5185" w14:paraId="31338B26" w14:textId="77777777" w:rsidTr="004D1420">
        <w:trPr>
          <w:trHeight w:val="288"/>
          <w:jc w:val="center"/>
        </w:trPr>
        <w:tc>
          <w:tcPr>
            <w:tcW w:w="2766" w:type="dxa"/>
            <w:shd w:val="clear" w:color="auto" w:fill="D9D9D9" w:themeFill="background1" w:themeFillShade="D9"/>
          </w:tcPr>
          <w:p w14:paraId="1A0EE818" w14:textId="422B13F8" w:rsidR="00AB508D" w:rsidRPr="009A5185" w:rsidRDefault="00AB508D" w:rsidP="00AB508D">
            <w:pPr>
              <w:spacing w:before="120" w:after="120"/>
              <w:rPr>
                <w:rFonts w:cs="Arial"/>
                <w:b/>
              </w:rPr>
            </w:pPr>
            <w:r>
              <w:rPr>
                <w:rFonts w:cs="Arial"/>
                <w:b/>
              </w:rPr>
              <w:t>8</w:t>
            </w:r>
            <w:r w:rsidRPr="009A5185">
              <w:rPr>
                <w:rFonts w:cs="Arial"/>
                <w:b/>
              </w:rPr>
              <w:t xml:space="preserve">A </w:t>
            </w:r>
            <w:r w:rsidRPr="00F72C9F">
              <w:rPr>
                <w:rFonts w:cs="Arial"/>
                <w:bCs/>
              </w:rPr>
              <w:t>Patient Experience (</w:t>
            </w:r>
            <w:r w:rsidRPr="009A5185">
              <w:rPr>
                <w:rFonts w:cs="Arial"/>
              </w:rPr>
              <w:t>CAHPS Child Hospital Survey</w:t>
            </w:r>
            <w:r>
              <w:rPr>
                <w:rFonts w:cs="Arial"/>
              </w:rPr>
              <w:t>)</w:t>
            </w:r>
          </w:p>
        </w:tc>
        <w:tc>
          <w:tcPr>
            <w:tcW w:w="3308" w:type="dxa"/>
            <w:vAlign w:val="center"/>
          </w:tcPr>
          <w:p w14:paraId="48EA94DE" w14:textId="4B5DF397" w:rsidR="00AB508D" w:rsidRPr="009A5185" w:rsidRDefault="00AB508D" w:rsidP="00AB508D">
            <w:pPr>
              <w:jc w:val="center"/>
              <w:rPr>
                <w:rFonts w:cs="Arial"/>
              </w:rPr>
            </w:pPr>
            <w:r w:rsidRPr="0066410F">
              <w:rPr>
                <w:rFonts w:cstheme="minorHAnsi"/>
              </w:rPr>
              <w:t>Latest 12 months prior to Survey submission</w:t>
            </w:r>
          </w:p>
        </w:tc>
        <w:tc>
          <w:tcPr>
            <w:tcW w:w="3281" w:type="dxa"/>
            <w:vAlign w:val="center"/>
          </w:tcPr>
          <w:p w14:paraId="6A5DF2AB" w14:textId="0FF2EB1E" w:rsidR="00AB508D" w:rsidRPr="009A5185" w:rsidRDefault="00AB508D" w:rsidP="00AB508D">
            <w:pPr>
              <w:jc w:val="center"/>
              <w:rPr>
                <w:rFonts w:cs="Arial"/>
              </w:rPr>
            </w:pPr>
            <w:r w:rsidRPr="0066410F">
              <w:rPr>
                <w:rFonts w:cstheme="minorHAnsi"/>
              </w:rPr>
              <w:t>Latest 12 months prior to Survey submission</w:t>
            </w:r>
          </w:p>
        </w:tc>
      </w:tr>
      <w:tr w:rsidR="00AB508D" w:rsidRPr="009A5185" w14:paraId="0CD8E286" w14:textId="77777777" w:rsidTr="004D1420">
        <w:trPr>
          <w:trHeight w:val="288"/>
          <w:jc w:val="center"/>
        </w:trPr>
        <w:tc>
          <w:tcPr>
            <w:tcW w:w="2766" w:type="dxa"/>
            <w:shd w:val="clear" w:color="auto" w:fill="D9D9D9" w:themeFill="background1" w:themeFillShade="D9"/>
          </w:tcPr>
          <w:p w14:paraId="216E0267" w14:textId="753294F8" w:rsidR="00AB508D" w:rsidRPr="009A5185" w:rsidRDefault="00AB508D" w:rsidP="00AB508D">
            <w:pPr>
              <w:spacing w:before="120" w:after="120"/>
              <w:rPr>
                <w:rFonts w:cs="Arial"/>
              </w:rPr>
            </w:pPr>
            <w:r>
              <w:rPr>
                <w:rFonts w:cs="Arial"/>
                <w:b/>
              </w:rPr>
              <w:t>8</w:t>
            </w:r>
            <w:r w:rsidRPr="009A5185">
              <w:rPr>
                <w:rFonts w:cs="Arial"/>
                <w:b/>
              </w:rPr>
              <w:t xml:space="preserve">B </w:t>
            </w:r>
            <w:r w:rsidRPr="009A5185">
              <w:rPr>
                <w:rFonts w:cs="Arial"/>
              </w:rPr>
              <w:t>Pediatric Computed Tomography (CT) Radiation Dose</w:t>
            </w:r>
          </w:p>
        </w:tc>
        <w:tc>
          <w:tcPr>
            <w:tcW w:w="3308" w:type="dxa"/>
            <w:vAlign w:val="center"/>
          </w:tcPr>
          <w:p w14:paraId="145EFBD8" w14:textId="1A9C9347" w:rsidR="00AB508D" w:rsidRPr="009A5185" w:rsidRDefault="00AB508D" w:rsidP="00AB508D">
            <w:pPr>
              <w:jc w:val="center"/>
              <w:rPr>
                <w:rFonts w:cs="Arial"/>
              </w:rPr>
            </w:pPr>
            <w:r w:rsidRPr="000C6DE1">
              <w:rPr>
                <w:rFonts w:cstheme="minorHAnsi"/>
              </w:rPr>
              <w:t xml:space="preserve">12 months ending </w:t>
            </w:r>
            <w:r>
              <w:rPr>
                <w:rFonts w:cstheme="minorHAnsi"/>
              </w:rPr>
              <w:t>12/31/202</w:t>
            </w:r>
            <w:r w:rsidR="00FC1865">
              <w:rPr>
                <w:rFonts w:cstheme="minorHAnsi"/>
              </w:rPr>
              <w:t>5</w:t>
            </w:r>
          </w:p>
        </w:tc>
        <w:tc>
          <w:tcPr>
            <w:tcW w:w="3281" w:type="dxa"/>
            <w:vAlign w:val="center"/>
          </w:tcPr>
          <w:p w14:paraId="1AF03974" w14:textId="03CAD799" w:rsidR="00AB508D" w:rsidRPr="007A7038" w:rsidRDefault="00AB508D" w:rsidP="00AB508D">
            <w:pPr>
              <w:jc w:val="center"/>
              <w:rPr>
                <w:rFonts w:cs="Arial"/>
              </w:rPr>
            </w:pPr>
            <w:r w:rsidRPr="000C6DE1">
              <w:rPr>
                <w:rFonts w:cstheme="minorHAnsi"/>
              </w:rPr>
              <w:t>12 months ending 06/30/202</w:t>
            </w:r>
            <w:r w:rsidR="00FC1865">
              <w:rPr>
                <w:rFonts w:cstheme="minorHAnsi"/>
              </w:rPr>
              <w:t>6</w:t>
            </w:r>
          </w:p>
        </w:tc>
      </w:tr>
      <w:tr w:rsidR="00AB508D" w:rsidRPr="009A5185" w14:paraId="0C03AA67" w14:textId="77777777" w:rsidTr="004D1420">
        <w:trPr>
          <w:trHeight w:val="20"/>
          <w:jc w:val="center"/>
        </w:trPr>
        <w:tc>
          <w:tcPr>
            <w:tcW w:w="2766" w:type="dxa"/>
            <w:shd w:val="clear" w:color="auto" w:fill="D9D9D9" w:themeFill="background1" w:themeFillShade="D9"/>
          </w:tcPr>
          <w:p w14:paraId="7776D7D0" w14:textId="1231DBF4" w:rsidR="00AB508D" w:rsidRPr="00853E29" w:rsidRDefault="00AB508D" w:rsidP="00AB508D">
            <w:pPr>
              <w:spacing w:before="120" w:after="120"/>
              <w:rPr>
                <w:rFonts w:cs="Arial"/>
              </w:rPr>
            </w:pPr>
            <w:r>
              <w:rPr>
                <w:rFonts w:cs="Arial"/>
                <w:b/>
              </w:rPr>
              <w:t xml:space="preserve">9A </w:t>
            </w:r>
            <w:r>
              <w:rPr>
                <w:rFonts w:cs="Arial"/>
              </w:rPr>
              <w:t>Basic Outpatient Department Information</w:t>
            </w:r>
          </w:p>
        </w:tc>
        <w:tc>
          <w:tcPr>
            <w:tcW w:w="3308" w:type="dxa"/>
            <w:vAlign w:val="center"/>
          </w:tcPr>
          <w:p w14:paraId="25423C0D" w14:textId="17BDC307" w:rsidR="00AB508D" w:rsidRPr="009A5185" w:rsidRDefault="00AB508D" w:rsidP="00AB508D">
            <w:pPr>
              <w:jc w:val="center"/>
              <w:rPr>
                <w:rFonts w:cs="Arial"/>
              </w:rPr>
            </w:pPr>
            <w:r w:rsidRPr="000C6DE1">
              <w:rPr>
                <w:rFonts w:cstheme="minorHAnsi"/>
              </w:rPr>
              <w:t xml:space="preserve">12 months ending </w:t>
            </w:r>
            <w:r>
              <w:rPr>
                <w:rFonts w:cstheme="minorHAnsi"/>
              </w:rPr>
              <w:t>12/31/202</w:t>
            </w:r>
            <w:r w:rsidR="008809B2">
              <w:rPr>
                <w:rFonts w:cstheme="minorHAnsi"/>
              </w:rPr>
              <w:t>5</w:t>
            </w:r>
          </w:p>
        </w:tc>
        <w:tc>
          <w:tcPr>
            <w:tcW w:w="3281" w:type="dxa"/>
            <w:vAlign w:val="center"/>
          </w:tcPr>
          <w:p w14:paraId="7906915E" w14:textId="65EFB117" w:rsidR="00AB508D" w:rsidRPr="007A7038" w:rsidRDefault="00AB508D" w:rsidP="00AB508D">
            <w:pPr>
              <w:jc w:val="center"/>
              <w:rPr>
                <w:rFonts w:cs="Arial"/>
              </w:rPr>
            </w:pPr>
            <w:r w:rsidRPr="000C6DE1">
              <w:rPr>
                <w:rFonts w:cstheme="minorHAnsi"/>
              </w:rPr>
              <w:t>12 months ending 06/30/202</w:t>
            </w:r>
            <w:r w:rsidR="008809B2">
              <w:rPr>
                <w:rFonts w:cstheme="minorHAnsi"/>
              </w:rPr>
              <w:t>6</w:t>
            </w:r>
          </w:p>
        </w:tc>
      </w:tr>
      <w:tr w:rsidR="00AB508D" w:rsidRPr="009A5185" w14:paraId="62A07BB4" w14:textId="77777777" w:rsidTr="004D1420">
        <w:trPr>
          <w:trHeight w:val="144"/>
          <w:jc w:val="center"/>
        </w:trPr>
        <w:tc>
          <w:tcPr>
            <w:tcW w:w="2766" w:type="dxa"/>
            <w:shd w:val="clear" w:color="auto" w:fill="D9D9D9" w:themeFill="background1" w:themeFillShade="D9"/>
          </w:tcPr>
          <w:p w14:paraId="03ACF096" w14:textId="5BE6F0C5" w:rsidR="00AB508D" w:rsidRPr="00853E29" w:rsidRDefault="00AB508D" w:rsidP="00AB508D">
            <w:pPr>
              <w:spacing w:before="120" w:after="120"/>
              <w:rPr>
                <w:rFonts w:cs="Arial"/>
              </w:rPr>
            </w:pPr>
            <w:r>
              <w:rPr>
                <w:rFonts w:cs="Arial"/>
                <w:b/>
              </w:rPr>
              <w:t xml:space="preserve">9B </w:t>
            </w:r>
            <w:r>
              <w:rPr>
                <w:rFonts w:cs="Arial"/>
              </w:rPr>
              <w:t>Medical, Surgical, and Clinical Staff</w:t>
            </w:r>
          </w:p>
        </w:tc>
        <w:tc>
          <w:tcPr>
            <w:tcW w:w="3308" w:type="dxa"/>
            <w:vAlign w:val="center"/>
          </w:tcPr>
          <w:p w14:paraId="1C9662B1" w14:textId="45AFAC67" w:rsidR="00AB508D" w:rsidRPr="009A5185" w:rsidRDefault="00AB508D" w:rsidP="00AB508D">
            <w:pPr>
              <w:jc w:val="center"/>
              <w:rPr>
                <w:rFonts w:cs="Arial"/>
              </w:rPr>
            </w:pPr>
            <w:r w:rsidRPr="000C6DE1">
              <w:rPr>
                <w:rFonts w:cstheme="minorHAnsi"/>
              </w:rPr>
              <w:t>Latest 3 months prior to Survey submission</w:t>
            </w:r>
          </w:p>
        </w:tc>
        <w:tc>
          <w:tcPr>
            <w:tcW w:w="3281" w:type="dxa"/>
            <w:vAlign w:val="center"/>
          </w:tcPr>
          <w:p w14:paraId="5054DC9E" w14:textId="7F75C867" w:rsidR="00AB508D" w:rsidRPr="007A7038" w:rsidRDefault="00AB508D" w:rsidP="00AB508D">
            <w:pPr>
              <w:jc w:val="center"/>
              <w:rPr>
                <w:rFonts w:cs="Arial"/>
              </w:rPr>
            </w:pPr>
            <w:r w:rsidRPr="000C6DE1">
              <w:rPr>
                <w:rFonts w:cstheme="minorHAnsi"/>
              </w:rPr>
              <w:t>Latest 3 months prior to Survey submission</w:t>
            </w:r>
          </w:p>
        </w:tc>
      </w:tr>
      <w:tr w:rsidR="00C66B1C" w:rsidRPr="009A5185" w14:paraId="5ECEFF32" w14:textId="77777777" w:rsidTr="004D1420">
        <w:trPr>
          <w:jc w:val="center"/>
        </w:trPr>
        <w:tc>
          <w:tcPr>
            <w:tcW w:w="2766" w:type="dxa"/>
            <w:shd w:val="clear" w:color="auto" w:fill="D9D9D9" w:themeFill="background1" w:themeFillShade="D9"/>
          </w:tcPr>
          <w:p w14:paraId="41B68E38" w14:textId="64960137" w:rsidR="00C66B1C" w:rsidRPr="009557B3" w:rsidRDefault="00C66B1C" w:rsidP="00490319">
            <w:pPr>
              <w:spacing w:before="120" w:after="120"/>
              <w:rPr>
                <w:rFonts w:cs="Arial"/>
              </w:rPr>
            </w:pPr>
            <w:r>
              <w:rPr>
                <w:rFonts w:cs="Arial"/>
                <w:b/>
              </w:rPr>
              <w:t xml:space="preserve">9C </w:t>
            </w:r>
            <w:r>
              <w:rPr>
                <w:rFonts w:cs="Arial"/>
              </w:rPr>
              <w:t>Volume of Procedures</w:t>
            </w:r>
          </w:p>
        </w:tc>
        <w:tc>
          <w:tcPr>
            <w:tcW w:w="6589" w:type="dxa"/>
            <w:gridSpan w:val="2"/>
            <w:vAlign w:val="center"/>
          </w:tcPr>
          <w:p w14:paraId="694D8AB4" w14:textId="3769BF7C" w:rsidR="00C66B1C" w:rsidRPr="007A7038" w:rsidRDefault="00C66B1C" w:rsidP="00490319">
            <w:pPr>
              <w:jc w:val="center"/>
              <w:rPr>
                <w:rFonts w:cs="Arial"/>
              </w:rPr>
            </w:pPr>
            <w:r w:rsidRPr="000C6DE1">
              <w:rPr>
                <w:rFonts w:cstheme="minorHAnsi"/>
              </w:rPr>
              <w:t xml:space="preserve">12 months ending </w:t>
            </w:r>
            <w:r>
              <w:rPr>
                <w:rFonts w:cstheme="minorHAnsi"/>
              </w:rPr>
              <w:t>12/31/202</w:t>
            </w:r>
            <w:r w:rsidR="008809B2">
              <w:rPr>
                <w:rFonts w:cstheme="minorHAnsi"/>
              </w:rPr>
              <w:t>5</w:t>
            </w:r>
          </w:p>
        </w:tc>
      </w:tr>
      <w:tr w:rsidR="004705EA" w:rsidRPr="009A5185" w14:paraId="33AB6BBD" w14:textId="77777777" w:rsidTr="004D1420">
        <w:trPr>
          <w:trHeight w:val="881"/>
          <w:jc w:val="center"/>
        </w:trPr>
        <w:tc>
          <w:tcPr>
            <w:tcW w:w="2766" w:type="dxa"/>
            <w:shd w:val="clear" w:color="auto" w:fill="D9D9D9" w:themeFill="background1" w:themeFillShade="D9"/>
          </w:tcPr>
          <w:p w14:paraId="63C87023" w14:textId="6E3DC720" w:rsidR="004705EA" w:rsidRDefault="00FA1DAC" w:rsidP="004705EA">
            <w:pPr>
              <w:spacing w:before="120" w:after="120"/>
              <w:rPr>
                <w:rFonts w:cs="Arial"/>
                <w:b/>
              </w:rPr>
            </w:pPr>
            <w:r>
              <w:rPr>
                <w:rFonts w:cs="Arial"/>
                <w:b/>
              </w:rPr>
              <w:t xml:space="preserve">9D </w:t>
            </w:r>
            <w:r>
              <w:rPr>
                <w:rFonts w:cs="Arial"/>
              </w:rPr>
              <w:t>Safety of Procedures</w:t>
            </w:r>
          </w:p>
        </w:tc>
        <w:tc>
          <w:tcPr>
            <w:tcW w:w="3308" w:type="dxa"/>
            <w:vAlign w:val="center"/>
          </w:tcPr>
          <w:p w14:paraId="1B82E1A8" w14:textId="1AF26B27" w:rsidR="004705EA" w:rsidRDefault="00C66B1C" w:rsidP="004705EA">
            <w:pPr>
              <w:jc w:val="center"/>
              <w:rPr>
                <w:rFonts w:cs="Arial"/>
              </w:rPr>
            </w:pPr>
            <w:r w:rsidRPr="000C6DE1">
              <w:rPr>
                <w:rFonts w:cstheme="minorHAnsi"/>
              </w:rPr>
              <w:t xml:space="preserve">Latest </w:t>
            </w:r>
            <w:r>
              <w:rPr>
                <w:rFonts w:cstheme="minorHAnsi"/>
              </w:rPr>
              <w:t>12</w:t>
            </w:r>
            <w:r w:rsidRPr="000C6DE1">
              <w:rPr>
                <w:rFonts w:cstheme="minorHAnsi"/>
              </w:rPr>
              <w:t xml:space="preserve"> months prior to </w:t>
            </w:r>
            <w:r>
              <w:rPr>
                <w:rFonts w:cstheme="minorHAnsi"/>
              </w:rPr>
              <w:t>S</w:t>
            </w:r>
            <w:r w:rsidRPr="000C6DE1">
              <w:rPr>
                <w:rFonts w:cstheme="minorHAnsi"/>
              </w:rPr>
              <w:t xml:space="preserve">urvey </w:t>
            </w:r>
            <w:r w:rsidR="00037FC2">
              <w:rPr>
                <w:rFonts w:cstheme="minorHAnsi"/>
              </w:rPr>
              <w:t>s</w:t>
            </w:r>
            <w:r w:rsidRPr="000C6DE1">
              <w:rPr>
                <w:rFonts w:cstheme="minorHAnsi"/>
              </w:rPr>
              <w:t>ubmission</w:t>
            </w:r>
            <w:r w:rsidRPr="000C6DE1" w:rsidDel="00574DEF">
              <w:rPr>
                <w:rFonts w:cstheme="minorHAnsi"/>
              </w:rPr>
              <w:t xml:space="preserve"> </w:t>
            </w:r>
          </w:p>
        </w:tc>
        <w:tc>
          <w:tcPr>
            <w:tcW w:w="3281" w:type="dxa"/>
            <w:vAlign w:val="center"/>
          </w:tcPr>
          <w:p w14:paraId="0717B5F0" w14:textId="610574D5" w:rsidR="004705EA" w:rsidRPr="007A7038" w:rsidRDefault="00C66B1C" w:rsidP="004705EA">
            <w:pPr>
              <w:jc w:val="center"/>
              <w:rPr>
                <w:rFonts w:cs="Arial"/>
              </w:rPr>
            </w:pPr>
            <w:r w:rsidRPr="000C6DE1">
              <w:rPr>
                <w:rFonts w:cstheme="minorHAnsi"/>
              </w:rPr>
              <w:t xml:space="preserve">Latest </w:t>
            </w:r>
            <w:r>
              <w:rPr>
                <w:rFonts w:cstheme="minorHAnsi"/>
              </w:rPr>
              <w:t>12</w:t>
            </w:r>
            <w:r w:rsidRPr="000C6DE1">
              <w:rPr>
                <w:rFonts w:cstheme="minorHAnsi"/>
              </w:rPr>
              <w:t xml:space="preserve"> months prior to </w:t>
            </w:r>
            <w:r>
              <w:rPr>
                <w:rFonts w:cstheme="minorHAnsi"/>
              </w:rPr>
              <w:t>S</w:t>
            </w:r>
            <w:r w:rsidRPr="000C6DE1">
              <w:rPr>
                <w:rFonts w:cstheme="minorHAnsi"/>
              </w:rPr>
              <w:t xml:space="preserve">urvey </w:t>
            </w:r>
            <w:r w:rsidR="00037FC2">
              <w:rPr>
                <w:rFonts w:cstheme="minorHAnsi"/>
              </w:rPr>
              <w:t>s</w:t>
            </w:r>
            <w:r w:rsidRPr="000C6DE1">
              <w:rPr>
                <w:rFonts w:cstheme="minorHAnsi"/>
              </w:rPr>
              <w:t>ubmission</w:t>
            </w:r>
            <w:r w:rsidRPr="000C6DE1" w:rsidDel="00574DEF">
              <w:rPr>
                <w:rFonts w:cstheme="minorHAnsi"/>
              </w:rPr>
              <w:t xml:space="preserve"> </w:t>
            </w:r>
          </w:p>
        </w:tc>
      </w:tr>
      <w:tr w:rsidR="00AB508D" w:rsidRPr="009A5185" w14:paraId="087971DC" w14:textId="77777777" w:rsidTr="004D1420">
        <w:trPr>
          <w:jc w:val="center"/>
        </w:trPr>
        <w:tc>
          <w:tcPr>
            <w:tcW w:w="2766" w:type="dxa"/>
            <w:shd w:val="clear" w:color="auto" w:fill="D9D9D9" w:themeFill="background1" w:themeFillShade="D9"/>
          </w:tcPr>
          <w:p w14:paraId="52510A4D" w14:textId="6F4DBA62" w:rsidR="00AB508D" w:rsidRPr="00853E29" w:rsidRDefault="00AB508D" w:rsidP="00AB508D">
            <w:pPr>
              <w:spacing w:before="120" w:after="120"/>
              <w:rPr>
                <w:rFonts w:cs="Arial"/>
              </w:rPr>
            </w:pPr>
            <w:r>
              <w:rPr>
                <w:rFonts w:cs="Arial"/>
                <w:b/>
              </w:rPr>
              <w:t xml:space="preserve">9E </w:t>
            </w:r>
            <w:r>
              <w:rPr>
                <w:rFonts w:cs="Arial"/>
              </w:rPr>
              <w:t>Medication Safety for Outpatient Procedures</w:t>
            </w:r>
          </w:p>
        </w:tc>
        <w:tc>
          <w:tcPr>
            <w:tcW w:w="3308" w:type="dxa"/>
            <w:vAlign w:val="center"/>
          </w:tcPr>
          <w:p w14:paraId="0A05013F" w14:textId="6EE3C2BF" w:rsidR="00AB508D" w:rsidRDefault="00AB508D" w:rsidP="00AB508D">
            <w:pPr>
              <w:jc w:val="center"/>
              <w:rPr>
                <w:rFonts w:cs="Arial"/>
              </w:rPr>
            </w:pPr>
            <w:r w:rsidRPr="000C6DE1">
              <w:rPr>
                <w:rFonts w:cstheme="minorHAnsi"/>
              </w:rPr>
              <w:t xml:space="preserve">12 months ending </w:t>
            </w:r>
            <w:r>
              <w:rPr>
                <w:rFonts w:cstheme="minorHAnsi"/>
              </w:rPr>
              <w:t>12/31/202</w:t>
            </w:r>
            <w:r w:rsidR="00124520">
              <w:rPr>
                <w:rFonts w:cstheme="minorHAnsi"/>
              </w:rPr>
              <w:t>5</w:t>
            </w:r>
          </w:p>
        </w:tc>
        <w:tc>
          <w:tcPr>
            <w:tcW w:w="3281" w:type="dxa"/>
            <w:vAlign w:val="center"/>
          </w:tcPr>
          <w:p w14:paraId="7D0D761F" w14:textId="32B31D43" w:rsidR="00AB508D" w:rsidRPr="007A7038" w:rsidRDefault="00AB508D" w:rsidP="00AB508D">
            <w:pPr>
              <w:jc w:val="center"/>
              <w:rPr>
                <w:rFonts w:cs="Arial"/>
              </w:rPr>
            </w:pPr>
            <w:r w:rsidRPr="000C6DE1">
              <w:rPr>
                <w:rFonts w:cstheme="minorHAnsi"/>
              </w:rPr>
              <w:t>12 months ending 06/30/202</w:t>
            </w:r>
            <w:r w:rsidR="00124520">
              <w:rPr>
                <w:rFonts w:cstheme="minorHAnsi"/>
              </w:rPr>
              <w:t>6</w:t>
            </w:r>
          </w:p>
        </w:tc>
      </w:tr>
      <w:tr w:rsidR="003937BF" w:rsidRPr="009A5185" w14:paraId="2C27D023" w14:textId="77777777" w:rsidTr="005D541A">
        <w:trPr>
          <w:trHeight w:val="539"/>
          <w:jc w:val="center"/>
        </w:trPr>
        <w:tc>
          <w:tcPr>
            <w:tcW w:w="2766" w:type="dxa"/>
            <w:shd w:val="clear" w:color="auto" w:fill="D9D9D9" w:themeFill="background1" w:themeFillShade="D9"/>
          </w:tcPr>
          <w:p w14:paraId="3611BC4B" w14:textId="1C766131" w:rsidR="003937BF" w:rsidRPr="00853E29" w:rsidRDefault="003937BF" w:rsidP="003937BF">
            <w:pPr>
              <w:spacing w:before="120" w:after="120"/>
              <w:rPr>
                <w:rFonts w:cs="Arial"/>
              </w:rPr>
            </w:pPr>
            <w:r>
              <w:rPr>
                <w:rFonts w:cs="Arial"/>
                <w:b/>
              </w:rPr>
              <w:t xml:space="preserve">9F </w:t>
            </w:r>
            <w:r>
              <w:rPr>
                <w:rFonts w:cs="Arial"/>
              </w:rPr>
              <w:t>CMS Measures***</w:t>
            </w:r>
          </w:p>
        </w:tc>
        <w:tc>
          <w:tcPr>
            <w:tcW w:w="3308" w:type="dxa"/>
            <w:vAlign w:val="center"/>
          </w:tcPr>
          <w:p w14:paraId="70947BD3" w14:textId="77777777" w:rsidR="003937BF" w:rsidRDefault="003937BF" w:rsidP="003937BF">
            <w:pPr>
              <w:contextualSpacing/>
              <w:jc w:val="center"/>
              <w:rPr>
                <w:rFonts w:cs="Arial"/>
              </w:rPr>
            </w:pPr>
            <w:r>
              <w:rPr>
                <w:rFonts w:cs="Arial"/>
              </w:rPr>
              <w:t>June CMS Data Download:</w:t>
            </w:r>
          </w:p>
          <w:p w14:paraId="0B5F4085" w14:textId="77777777" w:rsidR="003937BF" w:rsidRDefault="003937BF" w:rsidP="003937BF">
            <w:pPr>
              <w:contextualSpacing/>
              <w:jc w:val="center"/>
              <w:rPr>
                <w:rFonts w:cs="Arial"/>
              </w:rPr>
            </w:pPr>
          </w:p>
          <w:p w14:paraId="603AF353" w14:textId="77777777" w:rsidR="003937BF" w:rsidRDefault="003937BF" w:rsidP="003937BF">
            <w:pPr>
              <w:contextualSpacing/>
              <w:jc w:val="center"/>
              <w:rPr>
                <w:rFonts w:cs="Arial"/>
              </w:rPr>
            </w:pPr>
            <w:r w:rsidRPr="00BE3995">
              <w:rPr>
                <w:rFonts w:cs="Arial"/>
              </w:rPr>
              <w:t>OP-32</w:t>
            </w:r>
            <w:r>
              <w:rPr>
                <w:rFonts w:cs="Arial"/>
              </w:rPr>
              <w:t xml:space="preserve">: </w:t>
            </w:r>
            <w:r w:rsidRPr="00BE3995">
              <w:rPr>
                <w:rFonts w:cs="Arial"/>
              </w:rPr>
              <w:t>1/1/2022 - 12/31/2024</w:t>
            </w:r>
          </w:p>
          <w:p w14:paraId="418B31A3" w14:textId="047B6414" w:rsidR="003937BF" w:rsidRDefault="003937BF" w:rsidP="003937BF">
            <w:pPr>
              <w:jc w:val="center"/>
              <w:rPr>
                <w:rFonts w:cs="Arial"/>
              </w:rPr>
            </w:pPr>
            <w:r w:rsidRPr="00BE3995">
              <w:rPr>
                <w:rFonts w:cs="Arial"/>
              </w:rPr>
              <w:t>OAS CAHPS</w:t>
            </w:r>
            <w:r>
              <w:rPr>
                <w:rFonts w:cs="Arial"/>
              </w:rPr>
              <w:t xml:space="preserve">: </w:t>
            </w:r>
            <w:r w:rsidRPr="00BE3995">
              <w:rPr>
                <w:rFonts w:cs="Arial"/>
              </w:rPr>
              <w:t>7/1/2024 - 6/30/2025</w:t>
            </w:r>
          </w:p>
          <w:p w14:paraId="7BE401E5" w14:textId="77777777" w:rsidR="00C70A77" w:rsidRDefault="00C70A77" w:rsidP="003937BF">
            <w:pPr>
              <w:jc w:val="center"/>
              <w:rPr>
                <w:rFonts w:cs="Arial"/>
              </w:rPr>
            </w:pPr>
          </w:p>
          <w:p w14:paraId="2D52F1B2" w14:textId="77777777" w:rsidR="00C70A77" w:rsidRDefault="00C70A77" w:rsidP="00C70A77">
            <w:pPr>
              <w:jc w:val="center"/>
              <w:rPr>
                <w:rFonts w:cs="Arial"/>
              </w:rPr>
            </w:pPr>
            <w:r>
              <w:rPr>
                <w:rFonts w:cs="Arial"/>
              </w:rPr>
              <w:t>August CMS Download:</w:t>
            </w:r>
          </w:p>
          <w:p w14:paraId="7233542A" w14:textId="77777777" w:rsidR="00C70A77" w:rsidRDefault="00C70A77" w:rsidP="00C70A77">
            <w:pPr>
              <w:jc w:val="center"/>
              <w:rPr>
                <w:rFonts w:cs="Arial"/>
              </w:rPr>
            </w:pPr>
          </w:p>
          <w:p w14:paraId="161CCB46" w14:textId="77777777" w:rsidR="00C70A77" w:rsidRDefault="00C70A77" w:rsidP="00C70A77">
            <w:pPr>
              <w:contextualSpacing/>
              <w:jc w:val="center"/>
              <w:rPr>
                <w:rFonts w:cs="Arial"/>
              </w:rPr>
            </w:pPr>
            <w:r w:rsidRPr="00BE3995">
              <w:rPr>
                <w:rFonts w:cs="Arial"/>
              </w:rPr>
              <w:t>OP-32</w:t>
            </w:r>
            <w:r>
              <w:rPr>
                <w:rFonts w:cs="Arial"/>
              </w:rPr>
              <w:t xml:space="preserve">: </w:t>
            </w:r>
            <w:r w:rsidRPr="00BE3995">
              <w:rPr>
                <w:rFonts w:cs="Arial"/>
              </w:rPr>
              <w:t>1/1/2022 - 12/31/2024</w:t>
            </w:r>
          </w:p>
          <w:p w14:paraId="61716C00" w14:textId="4637880C" w:rsidR="00C70A77" w:rsidRPr="009A5185" w:rsidRDefault="00C70A77" w:rsidP="00C70A77">
            <w:pPr>
              <w:jc w:val="center"/>
              <w:rPr>
                <w:rFonts w:cs="Arial"/>
              </w:rPr>
            </w:pPr>
            <w:r w:rsidRPr="00BE3995">
              <w:rPr>
                <w:rFonts w:cs="Arial"/>
              </w:rPr>
              <w:t>OAS CAHPS</w:t>
            </w:r>
            <w:r>
              <w:rPr>
                <w:rFonts w:cs="Arial"/>
              </w:rPr>
              <w:t>: 10</w:t>
            </w:r>
            <w:r w:rsidRPr="00BE3995">
              <w:rPr>
                <w:rFonts w:cs="Arial"/>
              </w:rPr>
              <w:t xml:space="preserve">/1/2024 - </w:t>
            </w:r>
            <w:r>
              <w:rPr>
                <w:rFonts w:cs="Arial"/>
              </w:rPr>
              <w:t>9</w:t>
            </w:r>
            <w:r w:rsidRPr="00BE3995">
              <w:rPr>
                <w:rFonts w:cs="Arial"/>
              </w:rPr>
              <w:t>/30/2025</w:t>
            </w:r>
          </w:p>
        </w:tc>
        <w:tc>
          <w:tcPr>
            <w:tcW w:w="3281" w:type="dxa"/>
          </w:tcPr>
          <w:p w14:paraId="17242EC7" w14:textId="140C87AF" w:rsidR="003937BF" w:rsidRDefault="00C70A77" w:rsidP="003937BF">
            <w:pPr>
              <w:contextualSpacing/>
              <w:jc w:val="center"/>
              <w:rPr>
                <w:rFonts w:cs="Arial"/>
              </w:rPr>
            </w:pPr>
            <w:r>
              <w:rPr>
                <w:rFonts w:cs="Arial"/>
              </w:rPr>
              <w:t>November</w:t>
            </w:r>
            <w:r w:rsidR="003937BF">
              <w:rPr>
                <w:rFonts w:cs="Arial"/>
              </w:rPr>
              <w:t xml:space="preserve"> CMS Data Download:</w:t>
            </w:r>
          </w:p>
          <w:p w14:paraId="62233A0B" w14:textId="77777777" w:rsidR="003937BF" w:rsidRDefault="003937BF" w:rsidP="003937BF">
            <w:pPr>
              <w:contextualSpacing/>
              <w:jc w:val="center"/>
              <w:rPr>
                <w:rFonts w:cs="Arial"/>
              </w:rPr>
            </w:pPr>
          </w:p>
          <w:p w14:paraId="7C76A936" w14:textId="77777777" w:rsidR="003937BF" w:rsidRPr="00BE3995" w:rsidRDefault="003937BF" w:rsidP="003937BF">
            <w:pPr>
              <w:contextualSpacing/>
              <w:jc w:val="center"/>
              <w:rPr>
                <w:rFonts w:cs="Arial"/>
              </w:rPr>
            </w:pPr>
            <w:r w:rsidRPr="00BE3995">
              <w:rPr>
                <w:rFonts w:cs="Arial"/>
              </w:rPr>
              <w:t>OP-32</w:t>
            </w:r>
            <w:r>
              <w:rPr>
                <w:rFonts w:cs="Arial"/>
              </w:rPr>
              <w:t xml:space="preserve">: </w:t>
            </w:r>
            <w:r w:rsidRPr="00BE3995">
              <w:rPr>
                <w:rFonts w:cs="Arial"/>
              </w:rPr>
              <w:t>1/1/2022 - 12/31/2024</w:t>
            </w:r>
          </w:p>
          <w:p w14:paraId="57492546" w14:textId="0CBB0D7D" w:rsidR="003937BF" w:rsidRPr="009A5185" w:rsidRDefault="003937BF" w:rsidP="003937BF">
            <w:pPr>
              <w:jc w:val="center"/>
              <w:rPr>
                <w:rFonts w:cs="Arial"/>
              </w:rPr>
            </w:pPr>
            <w:r>
              <w:rPr>
                <w:rFonts w:cs="Arial"/>
              </w:rPr>
              <w:t xml:space="preserve">OAS </w:t>
            </w:r>
            <w:r w:rsidRPr="00BE3995">
              <w:rPr>
                <w:rFonts w:cs="Arial"/>
              </w:rPr>
              <w:t>CAHPS</w:t>
            </w:r>
            <w:r>
              <w:rPr>
                <w:rFonts w:cs="Arial"/>
              </w:rPr>
              <w:t xml:space="preserve">: </w:t>
            </w:r>
            <w:r w:rsidRPr="00BE3995">
              <w:rPr>
                <w:rFonts w:cs="Arial"/>
              </w:rPr>
              <w:t>1/1/2025 - 12/31/2025</w:t>
            </w:r>
          </w:p>
        </w:tc>
      </w:tr>
    </w:tbl>
    <w:p w14:paraId="49BB49B7" w14:textId="616A1891" w:rsidR="009E5395" w:rsidRPr="009A5185" w:rsidRDefault="000F20E9" w:rsidP="009E5395">
      <w:pPr>
        <w:rPr>
          <w:rFonts w:cs="Arial"/>
        </w:rPr>
      </w:pPr>
      <w:r>
        <w:rPr>
          <w:rFonts w:cs="Arial"/>
        </w:rPr>
        <w:br/>
      </w:r>
      <w:r w:rsidR="009E5395">
        <w:rPr>
          <w:rFonts w:cs="Arial"/>
        </w:rPr>
        <w:t xml:space="preserve">*Leapfrog will update VON data 3 times per Survey Cycle for all hospitals </w:t>
      </w:r>
      <w:r w:rsidR="00B626E3">
        <w:rPr>
          <w:rFonts w:cs="Arial"/>
        </w:rPr>
        <w:t xml:space="preserve">that </w:t>
      </w:r>
      <w:r w:rsidR="0055404F">
        <w:rPr>
          <w:rFonts w:cs="Arial"/>
        </w:rPr>
        <w:t>provide</w:t>
      </w:r>
      <w:r w:rsidR="00C43B4A">
        <w:rPr>
          <w:rFonts w:cs="Arial"/>
        </w:rPr>
        <w:t xml:space="preserve"> an accurate VON Transfer Code in the </w:t>
      </w:r>
      <w:r w:rsidR="00B75A0D">
        <w:rPr>
          <w:rFonts w:cs="Arial"/>
        </w:rPr>
        <w:t xml:space="preserve">Hospital </w:t>
      </w:r>
      <w:r w:rsidR="00C43B4A">
        <w:rPr>
          <w:rFonts w:cs="Arial"/>
        </w:rPr>
        <w:t xml:space="preserve">Profile, </w:t>
      </w:r>
      <w:r w:rsidR="009E5395">
        <w:rPr>
          <w:rFonts w:cs="Arial"/>
        </w:rPr>
        <w:t xml:space="preserve">submit a </w:t>
      </w:r>
      <w:hyperlink r:id="rId88" w:history="1">
        <w:r w:rsidR="00B93E94">
          <w:rPr>
            <w:rStyle w:val="Hyperlink"/>
            <w:rFonts w:cs="Arial"/>
          </w:rPr>
          <w:t>Data Sharing Authorization</w:t>
        </w:r>
      </w:hyperlink>
      <w:r w:rsidR="009E5395">
        <w:rPr>
          <w:rFonts w:cs="Arial"/>
        </w:rPr>
        <w:t xml:space="preserve"> </w:t>
      </w:r>
      <w:r w:rsidR="00B93E94">
        <w:rPr>
          <w:rFonts w:cs="Arial"/>
        </w:rPr>
        <w:t xml:space="preserve">letter </w:t>
      </w:r>
      <w:r w:rsidR="009E5395">
        <w:rPr>
          <w:rFonts w:cs="Arial"/>
        </w:rPr>
        <w:t>to VON, select “VON National Performance Measure” in Section 4</w:t>
      </w:r>
      <w:r w:rsidR="0016658F">
        <w:rPr>
          <w:rFonts w:cs="Arial"/>
        </w:rPr>
        <w:t>E</w:t>
      </w:r>
      <w:r w:rsidR="009E5395">
        <w:rPr>
          <w:rFonts w:cs="Arial"/>
        </w:rPr>
        <w:t xml:space="preserve">, and submit </w:t>
      </w:r>
      <w:r w:rsidR="00287EBB">
        <w:rPr>
          <w:rFonts w:cs="Arial"/>
        </w:rPr>
        <w:t>the 202</w:t>
      </w:r>
      <w:r w:rsidR="00422C8E">
        <w:rPr>
          <w:rFonts w:cs="Arial"/>
        </w:rPr>
        <w:t>6</w:t>
      </w:r>
      <w:r w:rsidR="00287EBB">
        <w:rPr>
          <w:rFonts w:cs="Arial"/>
        </w:rPr>
        <w:t xml:space="preserve"> Leapfrog Hospital Survey. </w:t>
      </w:r>
    </w:p>
    <w:p w14:paraId="57144361" w14:textId="776718E2" w:rsidR="0004301B" w:rsidRDefault="000F20E9" w:rsidP="00446D22">
      <w:pPr>
        <w:rPr>
          <w:rFonts w:cs="Arial"/>
        </w:rPr>
      </w:pPr>
      <w:r>
        <w:rPr>
          <w:rFonts w:cs="Arial"/>
          <w:snapToGrid w:val="0"/>
        </w:rPr>
        <w:br/>
      </w:r>
      <w:r w:rsidR="009E5395">
        <w:rPr>
          <w:rFonts w:cs="Arial"/>
          <w:snapToGrid w:val="0"/>
        </w:rPr>
        <w:t>**</w:t>
      </w:r>
      <w:r w:rsidR="007A2824" w:rsidRPr="009A5185">
        <w:rPr>
          <w:rFonts w:cs="Arial"/>
        </w:rPr>
        <w:t>Adult and pediatric hospitals reporting on Section 7B</w:t>
      </w:r>
      <w:r w:rsidR="000E69AB">
        <w:rPr>
          <w:rFonts w:cs="Arial"/>
        </w:rPr>
        <w:t>:</w:t>
      </w:r>
      <w:r w:rsidR="007A2824" w:rsidRPr="009A5185">
        <w:rPr>
          <w:rFonts w:cs="Arial"/>
        </w:rPr>
        <w:t xml:space="preserve"> Healthcare-Associated Infections are required to join Leapfrog’s NHSN Group. More information, including important deadlines, is available on the </w:t>
      </w:r>
      <w:r w:rsidR="00591F78">
        <w:rPr>
          <w:rFonts w:cs="Arial"/>
        </w:rPr>
        <w:t xml:space="preserve">Review NHSN Instructions </w:t>
      </w:r>
      <w:hyperlink r:id="rId89" w:history="1">
        <w:r w:rsidR="007A2824" w:rsidRPr="009A5185">
          <w:rPr>
            <w:rStyle w:val="Hyperlink"/>
            <w:rFonts w:cs="Arial"/>
          </w:rPr>
          <w:t>webpage</w:t>
        </w:r>
      </w:hyperlink>
      <w:r w:rsidR="007A2824" w:rsidRPr="009A5185">
        <w:rPr>
          <w:rFonts w:cs="Arial"/>
        </w:rPr>
        <w:t>.</w:t>
      </w:r>
      <w:r w:rsidR="009E5395">
        <w:rPr>
          <w:rFonts w:cs="Arial"/>
        </w:rPr>
        <w:t xml:space="preserve"> </w:t>
      </w:r>
      <w:r w:rsidR="00AE3471" w:rsidRPr="009A5185">
        <w:rPr>
          <w:rFonts w:cs="Arial"/>
        </w:rPr>
        <w:t>Leapfro</w:t>
      </w:r>
      <w:r w:rsidR="00C14AFF" w:rsidRPr="009A5185">
        <w:rPr>
          <w:rFonts w:cs="Arial"/>
        </w:rPr>
        <w:t>g will update data 4 times</w:t>
      </w:r>
      <w:r w:rsidR="00AE3471" w:rsidRPr="009A5185">
        <w:rPr>
          <w:rFonts w:cs="Arial"/>
        </w:rPr>
        <w:t xml:space="preserve"> for all members of our NHSN group that </w:t>
      </w:r>
      <w:r w:rsidR="001F522B">
        <w:rPr>
          <w:rFonts w:cs="Arial"/>
        </w:rPr>
        <w:t>provide</w:t>
      </w:r>
      <w:r w:rsidR="00AE3471" w:rsidRPr="009A5185">
        <w:rPr>
          <w:rFonts w:cs="Arial"/>
        </w:rPr>
        <w:t xml:space="preserve"> an accurate NHSN ID in the </w:t>
      </w:r>
      <w:r w:rsidR="00B75A0D">
        <w:rPr>
          <w:rFonts w:cs="Arial"/>
        </w:rPr>
        <w:t xml:space="preserve">Hospital </w:t>
      </w:r>
      <w:r w:rsidR="00AE3471" w:rsidRPr="009A5185">
        <w:rPr>
          <w:rFonts w:cs="Arial"/>
        </w:rPr>
        <w:t xml:space="preserve">Profile and submit </w:t>
      </w:r>
      <w:r w:rsidR="00287EBB">
        <w:rPr>
          <w:rFonts w:cs="Arial"/>
        </w:rPr>
        <w:t>the 202</w:t>
      </w:r>
      <w:r w:rsidR="00422C8E">
        <w:rPr>
          <w:rFonts w:cs="Arial"/>
        </w:rPr>
        <w:t>6</w:t>
      </w:r>
      <w:r w:rsidR="00287EBB">
        <w:rPr>
          <w:rFonts w:cs="Arial"/>
        </w:rPr>
        <w:t xml:space="preserve"> Leapfrog Hospital Survey. </w:t>
      </w:r>
    </w:p>
    <w:p w14:paraId="24B198A2" w14:textId="77777777" w:rsidR="0004301B" w:rsidRDefault="0004301B" w:rsidP="00446D22">
      <w:pPr>
        <w:rPr>
          <w:rFonts w:cs="Arial"/>
        </w:rPr>
      </w:pPr>
    </w:p>
    <w:p w14:paraId="391CE5F2" w14:textId="71CEAF4F" w:rsidR="00D67DD5" w:rsidRDefault="0004301B" w:rsidP="00446D22">
      <w:pPr>
        <w:rPr>
          <w:rFonts w:cs="Arial"/>
        </w:rPr>
      </w:pPr>
      <w:r>
        <w:rPr>
          <w:rFonts w:cs="Arial"/>
        </w:rPr>
        <w:t>***</w:t>
      </w:r>
      <w:r w:rsidR="000A5849">
        <w:rPr>
          <w:rFonts w:cs="Arial"/>
        </w:rPr>
        <w:t xml:space="preserve"> Leapfrog will update data 3 times per Survey Cycle for all </w:t>
      </w:r>
      <w:r w:rsidR="004B5307">
        <w:rPr>
          <w:rFonts w:cs="Arial"/>
        </w:rPr>
        <w:t xml:space="preserve">adult </w:t>
      </w:r>
      <w:r w:rsidR="000A5849">
        <w:rPr>
          <w:rFonts w:cs="Arial"/>
        </w:rPr>
        <w:t xml:space="preserve">hospitals that provide an accurate CCN in the </w:t>
      </w:r>
      <w:r w:rsidR="00B75A0D">
        <w:rPr>
          <w:rFonts w:cs="Arial"/>
        </w:rPr>
        <w:t xml:space="preserve">Hospital </w:t>
      </w:r>
      <w:r w:rsidR="000A5849">
        <w:rPr>
          <w:rFonts w:cs="Arial"/>
        </w:rPr>
        <w:t xml:space="preserve">Profile and </w:t>
      </w:r>
      <w:r w:rsidR="00F67311">
        <w:rPr>
          <w:rFonts w:cs="Arial"/>
        </w:rPr>
        <w:t xml:space="preserve">report </w:t>
      </w:r>
      <w:r w:rsidR="00E96F5D">
        <w:rPr>
          <w:rFonts w:cs="Arial"/>
        </w:rPr>
        <w:t xml:space="preserve">performing </w:t>
      </w:r>
      <w:r w:rsidR="00F67311">
        <w:rPr>
          <w:rFonts w:cs="Arial"/>
        </w:rPr>
        <w:t xml:space="preserve">outpatient procedures in </w:t>
      </w:r>
      <w:r w:rsidR="000A5849">
        <w:rPr>
          <w:rFonts w:cs="Arial"/>
        </w:rPr>
        <w:t xml:space="preserve">Section </w:t>
      </w:r>
      <w:r w:rsidR="000E69AB">
        <w:rPr>
          <w:rFonts w:cs="Arial"/>
        </w:rPr>
        <w:t>9</w:t>
      </w:r>
      <w:r w:rsidR="00CB379E">
        <w:rPr>
          <w:rFonts w:cs="Arial"/>
        </w:rPr>
        <w:t>A</w:t>
      </w:r>
      <w:r w:rsidR="000A5849">
        <w:rPr>
          <w:rFonts w:cs="Arial"/>
        </w:rPr>
        <w:t xml:space="preserve">: </w:t>
      </w:r>
      <w:r w:rsidR="000A7E45">
        <w:rPr>
          <w:rFonts w:cs="Arial"/>
        </w:rPr>
        <w:t xml:space="preserve">Basic </w:t>
      </w:r>
      <w:r w:rsidR="00CB379E">
        <w:rPr>
          <w:rFonts w:cs="Arial"/>
        </w:rPr>
        <w:t>Outpatient Department Information</w:t>
      </w:r>
      <w:r w:rsidR="000A5849">
        <w:rPr>
          <w:rFonts w:cs="Arial"/>
        </w:rPr>
        <w:t xml:space="preserve">. </w:t>
      </w:r>
    </w:p>
    <w:p w14:paraId="4BFC4BB6" w14:textId="77777777" w:rsidR="00D67DD5" w:rsidRDefault="00D67DD5">
      <w:pPr>
        <w:rPr>
          <w:rFonts w:cs="Arial"/>
        </w:rPr>
      </w:pPr>
      <w:r>
        <w:rPr>
          <w:rFonts w:cs="Arial"/>
        </w:rPr>
        <w:br w:type="page"/>
      </w:r>
    </w:p>
    <w:p w14:paraId="4F6B98D0" w14:textId="3E9EDA5B" w:rsidR="000D5C78" w:rsidRDefault="00183167" w:rsidP="000D5C78">
      <w:pPr>
        <w:pStyle w:val="Heading2"/>
      </w:pPr>
      <w:bookmarkStart w:id="54" w:name="_Toc225877657"/>
      <w:r>
        <w:lastRenderedPageBreak/>
        <w:t xml:space="preserve">Included </w:t>
      </w:r>
      <w:r w:rsidR="00C077EC">
        <w:t>Units by Survey Section</w:t>
      </w:r>
      <w:bookmarkEnd w:id="54"/>
    </w:p>
    <w:p w14:paraId="136CC106" w14:textId="77777777" w:rsidR="00290F1C" w:rsidRDefault="00290F1C" w:rsidP="00290F1C">
      <w:pPr>
        <w:rPr>
          <w:rFonts w:cs="Arial"/>
          <w:snapToGrid w:val="0"/>
        </w:rPr>
      </w:pPr>
    </w:p>
    <w:p w14:paraId="039D0A87" w14:textId="1EA74E1F" w:rsidR="00290F1C" w:rsidRPr="00324A05" w:rsidRDefault="00290F1C" w:rsidP="00290F1C">
      <w:r>
        <w:rPr>
          <w:rFonts w:cs="Arial"/>
          <w:snapToGrid w:val="0"/>
        </w:rPr>
        <w:t>Note: Only include units that were open for the entire reporting period and that remain currently open.</w:t>
      </w:r>
    </w:p>
    <w:p w14:paraId="3AA9952A" w14:textId="77777777" w:rsidR="00290F1C" w:rsidRDefault="00290F1C" w:rsidP="00290F1C">
      <w:pPr>
        <w:rPr>
          <w:rFonts w:cs="Arial"/>
          <w:snapToGrid w:val="0"/>
        </w:rPr>
      </w:pPr>
    </w:p>
    <w:tbl>
      <w:tblPr>
        <w:tblStyle w:val="TableGrid"/>
        <w:tblW w:w="0" w:type="auto"/>
        <w:jc w:val="center"/>
        <w:tblLayout w:type="fixed"/>
        <w:tblLook w:val="04A0" w:firstRow="1" w:lastRow="0" w:firstColumn="1" w:lastColumn="0" w:noHBand="0" w:noVBand="1"/>
      </w:tblPr>
      <w:tblGrid>
        <w:gridCol w:w="2766"/>
        <w:gridCol w:w="6319"/>
      </w:tblGrid>
      <w:tr w:rsidR="005361AB" w:rsidRPr="009A5185" w14:paraId="77C6961C" w14:textId="77777777" w:rsidTr="00D73F6A">
        <w:trPr>
          <w:trHeight w:val="494"/>
          <w:tblHeader/>
          <w:jc w:val="center"/>
        </w:trPr>
        <w:tc>
          <w:tcPr>
            <w:tcW w:w="2766" w:type="dxa"/>
            <w:tcBorders>
              <w:top w:val="single" w:sz="4" w:space="0" w:color="auto"/>
            </w:tcBorders>
            <w:shd w:val="clear" w:color="auto" w:fill="213468"/>
            <w:vAlign w:val="center"/>
          </w:tcPr>
          <w:p w14:paraId="1CD0BE88" w14:textId="77777777" w:rsidR="005361AB" w:rsidRPr="009A5185" w:rsidRDefault="005361AB" w:rsidP="00D73F6A">
            <w:pPr>
              <w:jc w:val="center"/>
              <w:rPr>
                <w:rFonts w:cs="Arial"/>
                <w:b/>
                <w:color w:val="FFFFFF" w:themeColor="background1"/>
              </w:rPr>
            </w:pPr>
            <w:r w:rsidRPr="009A5185">
              <w:rPr>
                <w:rFonts w:cs="Arial"/>
                <w:b/>
                <w:color w:val="FFFFFF" w:themeColor="background1"/>
              </w:rPr>
              <w:t>Survey Section/</w:t>
            </w:r>
          </w:p>
          <w:p w14:paraId="0F2A16EA" w14:textId="77777777" w:rsidR="005361AB" w:rsidRPr="009A5185" w:rsidRDefault="005361AB" w:rsidP="00D73F6A">
            <w:pPr>
              <w:jc w:val="center"/>
              <w:rPr>
                <w:rFonts w:cs="Arial"/>
                <w:b/>
                <w:color w:val="FFFFFF" w:themeColor="background1"/>
              </w:rPr>
            </w:pPr>
            <w:r w:rsidRPr="009A5185">
              <w:rPr>
                <w:rFonts w:cs="Arial"/>
                <w:b/>
                <w:color w:val="FFFFFF" w:themeColor="background1"/>
              </w:rPr>
              <w:t>Measure</w:t>
            </w:r>
          </w:p>
        </w:tc>
        <w:tc>
          <w:tcPr>
            <w:tcW w:w="6319" w:type="dxa"/>
            <w:shd w:val="clear" w:color="auto" w:fill="213468"/>
            <w:vAlign w:val="center"/>
          </w:tcPr>
          <w:p w14:paraId="5CBDC8A0" w14:textId="77777777" w:rsidR="005361AB" w:rsidRPr="009A5185" w:rsidRDefault="005361AB" w:rsidP="00D73F6A">
            <w:pPr>
              <w:jc w:val="center"/>
              <w:rPr>
                <w:rFonts w:cs="Arial"/>
                <w:b/>
                <w:color w:val="FFFFFF" w:themeColor="background1"/>
              </w:rPr>
            </w:pPr>
            <w:r>
              <w:rPr>
                <w:rFonts w:cs="Arial"/>
                <w:b/>
                <w:color w:val="FFFFFF" w:themeColor="background1"/>
              </w:rPr>
              <w:t>Units</w:t>
            </w:r>
          </w:p>
        </w:tc>
      </w:tr>
      <w:tr w:rsidR="005361AB" w:rsidRPr="00532D0A" w14:paraId="302E8083" w14:textId="77777777" w:rsidTr="00D73F6A">
        <w:trPr>
          <w:trHeight w:val="20"/>
          <w:jc w:val="center"/>
        </w:trPr>
        <w:tc>
          <w:tcPr>
            <w:tcW w:w="2766" w:type="dxa"/>
            <w:shd w:val="clear" w:color="auto" w:fill="D9D9D9" w:themeFill="background1" w:themeFillShade="D9"/>
          </w:tcPr>
          <w:p w14:paraId="1879B745" w14:textId="77777777" w:rsidR="005361AB" w:rsidRPr="009A5185" w:rsidRDefault="005361AB" w:rsidP="00D73F6A">
            <w:pPr>
              <w:spacing w:before="120" w:after="120"/>
              <w:rPr>
                <w:rFonts w:cs="Arial"/>
                <w:b/>
              </w:rPr>
            </w:pPr>
            <w:r w:rsidRPr="009A5185">
              <w:rPr>
                <w:rFonts w:cs="Arial"/>
                <w:b/>
              </w:rPr>
              <w:t>1</w:t>
            </w:r>
            <w:r>
              <w:rPr>
                <w:rFonts w:cs="Arial"/>
                <w:b/>
              </w:rPr>
              <w:t>A</w:t>
            </w:r>
            <w:r w:rsidRPr="009A5185">
              <w:rPr>
                <w:rFonts w:cs="Arial"/>
                <w:b/>
              </w:rPr>
              <w:t xml:space="preserve"> </w:t>
            </w:r>
            <w:r w:rsidRPr="009A5185">
              <w:rPr>
                <w:rFonts w:cs="Arial"/>
              </w:rPr>
              <w:t>Basic Hospital Information</w:t>
            </w:r>
          </w:p>
        </w:tc>
        <w:tc>
          <w:tcPr>
            <w:tcW w:w="6319" w:type="dxa"/>
            <w:vAlign w:val="center"/>
          </w:tcPr>
          <w:p w14:paraId="107898BA" w14:textId="570EEEBA" w:rsidR="005361AB" w:rsidRPr="00532D0A" w:rsidRDefault="005361AB" w:rsidP="00AD309C">
            <w:pPr>
              <w:pStyle w:val="ListParagraph"/>
              <w:numPr>
                <w:ilvl w:val="0"/>
                <w:numId w:val="400"/>
              </w:numPr>
              <w:rPr>
                <w:rStyle w:val="Hyperlink"/>
              </w:rPr>
            </w:pPr>
            <w:hyperlink w:anchor="acutecareunits_endnote1" w:history="1">
              <w:r w:rsidRPr="001F3241">
                <w:rPr>
                  <w:rStyle w:val="Hyperlink"/>
                </w:rPr>
                <w:t>Acute-Care Units</w:t>
              </w:r>
            </w:hyperlink>
            <w:r w:rsidR="00BF053F">
              <w:rPr>
                <w:rFonts w:ascii="ZWAdobeF" w:hAnsi="ZWAdobeF" w:cs="ZWAdobeF"/>
                <w:sz w:val="2"/>
                <w:szCs w:val="2"/>
              </w:rPr>
              <w:t>0F</w:t>
            </w:r>
            <w:r w:rsidR="004C7557">
              <w:rPr>
                <w:rFonts w:ascii="ZWAdobeF" w:hAnsi="ZWAdobeF" w:cs="ZWAdobeF"/>
                <w:sz w:val="2"/>
                <w:szCs w:val="2"/>
              </w:rPr>
              <w:t>0F</w:t>
            </w:r>
            <w:r w:rsidR="00C2087D">
              <w:rPr>
                <w:rFonts w:ascii="ZWAdobeF" w:hAnsi="ZWAdobeF" w:cs="ZWAdobeF"/>
                <w:sz w:val="2"/>
                <w:szCs w:val="2"/>
              </w:rPr>
              <w:t>0F</w:t>
            </w:r>
            <w:r w:rsidR="00B55C41">
              <w:rPr>
                <w:rFonts w:ascii="ZWAdobeF" w:hAnsi="ZWAdobeF" w:cs="ZWAdobeF"/>
                <w:sz w:val="2"/>
                <w:szCs w:val="2"/>
              </w:rPr>
              <w:t>0F</w:t>
            </w:r>
            <w:r w:rsidR="006255A6">
              <w:rPr>
                <w:rFonts w:ascii="ZWAdobeF" w:hAnsi="ZWAdobeF" w:cs="ZWAdobeF"/>
                <w:sz w:val="2"/>
                <w:szCs w:val="2"/>
              </w:rPr>
              <w:t>0F</w:t>
            </w:r>
            <w:r w:rsidR="00E453C7">
              <w:rPr>
                <w:rFonts w:ascii="ZWAdobeF" w:hAnsi="ZWAdobeF" w:cs="ZWAdobeF"/>
                <w:sz w:val="2"/>
                <w:szCs w:val="2"/>
              </w:rPr>
              <w:t>0F</w:t>
            </w:r>
            <w:r w:rsidR="00953060">
              <w:rPr>
                <w:rFonts w:ascii="ZWAdobeF" w:hAnsi="ZWAdobeF" w:cs="ZWAdobeF"/>
                <w:sz w:val="2"/>
                <w:szCs w:val="2"/>
              </w:rPr>
              <w:t>0F</w:t>
            </w:r>
            <w:r w:rsidR="00DD04D6">
              <w:rPr>
                <w:rFonts w:ascii="ZWAdobeF" w:hAnsi="ZWAdobeF" w:cs="ZWAdobeF"/>
                <w:sz w:val="2"/>
                <w:szCs w:val="2"/>
              </w:rPr>
              <w:t>0F</w:t>
            </w:r>
            <w:r>
              <w:rPr>
                <w:rStyle w:val="EndnoteReference"/>
                <w:snapToGrid w:val="0"/>
              </w:rPr>
              <w:endnoteReference w:id="2"/>
            </w:r>
            <w:r>
              <w:rPr>
                <w:rFonts w:cs="Arial"/>
                <w:snapToGrid w:val="0"/>
              </w:rPr>
              <w:t xml:space="preserve"> </w:t>
            </w:r>
            <w:r>
              <w:rPr>
                <w:rFonts w:cstheme="minorHAnsi"/>
              </w:rPr>
              <w:t>(adult and/or pediatric)</w:t>
            </w:r>
          </w:p>
          <w:p w14:paraId="7D87D60F" w14:textId="1CCB29BE" w:rsidR="005361AB" w:rsidRPr="00582C43" w:rsidRDefault="005361AB" w:rsidP="00AD309C">
            <w:pPr>
              <w:pStyle w:val="ListParagraph"/>
              <w:numPr>
                <w:ilvl w:val="0"/>
                <w:numId w:val="400"/>
              </w:numPr>
            </w:pPr>
            <w:hyperlink w:anchor="generalmedicalsurgicalandneuroicu" w:history="1">
              <w:r w:rsidRPr="001F3241">
                <w:rPr>
                  <w:rStyle w:val="Hyperlink"/>
                </w:rPr>
                <w:t>General Medical</w:t>
              </w:r>
              <w:r w:rsidR="00F03388">
                <w:rPr>
                  <w:rStyle w:val="Hyperlink"/>
                </w:rPr>
                <w:t>,</w:t>
              </w:r>
              <w:r w:rsidR="00F85A62">
                <w:rPr>
                  <w:rStyle w:val="Hyperlink"/>
                </w:rPr>
                <w:t xml:space="preserve"> </w:t>
              </w:r>
              <w:r w:rsidRPr="001F3241">
                <w:rPr>
                  <w:rStyle w:val="Hyperlink"/>
                </w:rPr>
                <w:t>Surgical</w:t>
              </w:r>
              <w:r w:rsidR="00F03388">
                <w:rPr>
                  <w:rStyle w:val="Hyperlink"/>
                </w:rPr>
                <w:t xml:space="preserve">, Medical/Surgical </w:t>
              </w:r>
              <w:r w:rsidRPr="001F3241">
                <w:rPr>
                  <w:rStyle w:val="Hyperlink"/>
                </w:rPr>
                <w:t>and Neuro ICUs</w:t>
              </w:r>
              <w:r w:rsidR="001F3241" w:rsidRPr="008F6DE2">
                <w:rPr>
                  <w:rStyle w:val="Hyperlink"/>
                  <w:color w:val="auto"/>
                  <w:u w:val="none"/>
                  <w:vertAlign w:val="superscript"/>
                </w:rPr>
                <w:t>14</w:t>
              </w:r>
            </w:hyperlink>
            <w:r>
              <w:rPr>
                <w:rFonts w:cs="Arial"/>
                <w:snapToGrid w:val="0"/>
              </w:rPr>
              <w:t xml:space="preserve"> </w:t>
            </w:r>
            <w:r>
              <w:rPr>
                <w:rFonts w:cstheme="minorHAnsi"/>
              </w:rPr>
              <w:t>(adult and/or pediatric)</w:t>
            </w:r>
          </w:p>
          <w:p w14:paraId="5F2BEA05" w14:textId="76D4F7C4" w:rsidR="005361AB" w:rsidRPr="00532D0A" w:rsidRDefault="005361AB" w:rsidP="00AD309C">
            <w:pPr>
              <w:pStyle w:val="ListParagraph"/>
              <w:numPr>
                <w:ilvl w:val="0"/>
                <w:numId w:val="400"/>
              </w:numPr>
              <w:rPr>
                <w:rStyle w:val="Hyperlink"/>
              </w:rPr>
            </w:pPr>
            <w:r>
              <w:rPr>
                <w:rFonts w:cstheme="minorHAnsi"/>
              </w:rPr>
              <w:t>Specialty ICUs</w:t>
            </w:r>
            <w:r w:rsidR="00725D7A">
              <w:rPr>
                <w:rFonts w:cstheme="minorHAnsi"/>
              </w:rPr>
              <w:t xml:space="preserve"> (adult and</w:t>
            </w:r>
            <w:r w:rsidR="003465CF">
              <w:rPr>
                <w:rFonts w:cstheme="minorHAnsi"/>
              </w:rPr>
              <w:t>/or</w:t>
            </w:r>
            <w:r w:rsidR="00725D7A">
              <w:rPr>
                <w:rFonts w:cstheme="minorHAnsi"/>
              </w:rPr>
              <w:t xml:space="preserve"> pediatric)</w:t>
            </w:r>
          </w:p>
          <w:p w14:paraId="32BDA34D" w14:textId="0D7D7FC4" w:rsidR="005361AB" w:rsidRPr="0028623C" w:rsidRDefault="00B018F3" w:rsidP="00AD309C">
            <w:pPr>
              <w:pStyle w:val="ListParagraph"/>
              <w:numPr>
                <w:ilvl w:val="0"/>
                <w:numId w:val="400"/>
              </w:numPr>
              <w:rPr>
                <w:rFonts w:cs="Arial"/>
              </w:rPr>
            </w:pPr>
            <w:hyperlink w:anchor="neonatalICU" w:history="1">
              <w:r w:rsidRPr="005A2FEB">
                <w:rPr>
                  <w:rStyle w:val="Hyperlink"/>
                </w:rPr>
                <w:t>Level II/III</w:t>
              </w:r>
              <w:r w:rsidR="00DA0EAE" w:rsidRPr="005A2FEB">
                <w:rPr>
                  <w:rStyle w:val="Hyperlink"/>
                </w:rPr>
                <w:t>, Level III, and Level IV</w:t>
              </w:r>
              <w:r w:rsidR="005A2FEB" w:rsidRPr="005A2FEB">
                <w:rPr>
                  <w:rStyle w:val="Hyperlink"/>
                </w:rPr>
                <w:t xml:space="preserve"> Neonatal ICUs</w:t>
              </w:r>
            </w:hyperlink>
            <w:r w:rsidR="005A2FEB" w:rsidRPr="005D541A">
              <w:rPr>
                <w:vertAlign w:val="superscript"/>
              </w:rPr>
              <w:t>17</w:t>
            </w:r>
            <w:r w:rsidR="00DA0EAE">
              <w:t xml:space="preserve"> </w:t>
            </w:r>
          </w:p>
        </w:tc>
      </w:tr>
      <w:tr w:rsidR="005361AB" w14:paraId="03D6CA7F" w14:textId="77777777" w:rsidTr="00D73F6A">
        <w:trPr>
          <w:trHeight w:val="20"/>
          <w:jc w:val="center"/>
        </w:trPr>
        <w:tc>
          <w:tcPr>
            <w:tcW w:w="2766" w:type="dxa"/>
            <w:shd w:val="clear" w:color="auto" w:fill="D9D9D9" w:themeFill="background1" w:themeFillShade="D9"/>
          </w:tcPr>
          <w:p w14:paraId="0304FCA2" w14:textId="77777777" w:rsidR="005361AB" w:rsidRPr="00FB14DC" w:rsidRDefault="005361AB" w:rsidP="00D73F6A">
            <w:pPr>
              <w:spacing w:before="120" w:after="120"/>
              <w:rPr>
                <w:rFonts w:cs="Arial"/>
                <w:bCs/>
              </w:rPr>
            </w:pPr>
            <w:r>
              <w:rPr>
                <w:rFonts w:cs="Arial"/>
                <w:b/>
              </w:rPr>
              <w:t xml:space="preserve">1B </w:t>
            </w:r>
            <w:r w:rsidRPr="001A3ABA">
              <w:rPr>
                <w:rFonts w:cs="Arial"/>
                <w:bCs/>
              </w:rPr>
              <w:t>Billing Ethics</w:t>
            </w:r>
          </w:p>
        </w:tc>
        <w:tc>
          <w:tcPr>
            <w:tcW w:w="6319" w:type="dxa"/>
            <w:vAlign w:val="center"/>
          </w:tcPr>
          <w:p w14:paraId="715C7A90" w14:textId="77777777" w:rsidR="005361AB" w:rsidRDefault="005361AB" w:rsidP="00D73F6A">
            <w:pPr>
              <w:jc w:val="center"/>
              <w:rPr>
                <w:rFonts w:cstheme="minorHAnsi"/>
              </w:rPr>
            </w:pPr>
            <w:r>
              <w:rPr>
                <w:rFonts w:cstheme="minorHAnsi"/>
              </w:rPr>
              <w:t>N/A</w:t>
            </w:r>
          </w:p>
        </w:tc>
      </w:tr>
      <w:tr w:rsidR="005361AB" w14:paraId="6936ACC6" w14:textId="77777777" w:rsidTr="00D73F6A">
        <w:trPr>
          <w:trHeight w:val="20"/>
          <w:jc w:val="center"/>
        </w:trPr>
        <w:tc>
          <w:tcPr>
            <w:tcW w:w="2766" w:type="dxa"/>
            <w:shd w:val="clear" w:color="auto" w:fill="D9D9D9" w:themeFill="background1" w:themeFillShade="D9"/>
          </w:tcPr>
          <w:p w14:paraId="62232EFE" w14:textId="77777777" w:rsidR="005361AB" w:rsidRPr="009A5185" w:rsidRDefault="005361AB" w:rsidP="00D73F6A">
            <w:pPr>
              <w:spacing w:before="120" w:after="120"/>
              <w:rPr>
                <w:rFonts w:cs="Arial"/>
                <w:b/>
              </w:rPr>
            </w:pPr>
            <w:r>
              <w:rPr>
                <w:rFonts w:cs="Arial"/>
                <w:b/>
              </w:rPr>
              <w:t>1C</w:t>
            </w:r>
            <w:r w:rsidRPr="00C429CB">
              <w:rPr>
                <w:rFonts w:cs="Arial"/>
                <w:bCs/>
              </w:rPr>
              <w:t xml:space="preserve"> </w:t>
            </w:r>
            <w:r>
              <w:rPr>
                <w:rFonts w:cs="Arial"/>
                <w:bCs/>
              </w:rPr>
              <w:t>Health Care Equity</w:t>
            </w:r>
          </w:p>
        </w:tc>
        <w:tc>
          <w:tcPr>
            <w:tcW w:w="6319" w:type="dxa"/>
            <w:vAlign w:val="center"/>
          </w:tcPr>
          <w:p w14:paraId="7ACEC3B3" w14:textId="77777777" w:rsidR="005361AB" w:rsidRDefault="005361AB" w:rsidP="00D73F6A">
            <w:pPr>
              <w:jc w:val="center"/>
              <w:rPr>
                <w:rFonts w:cstheme="minorHAnsi"/>
              </w:rPr>
            </w:pPr>
            <w:r>
              <w:rPr>
                <w:rFonts w:cstheme="minorHAnsi"/>
              </w:rPr>
              <w:t>N/A</w:t>
            </w:r>
          </w:p>
        </w:tc>
      </w:tr>
      <w:tr w:rsidR="005361AB" w14:paraId="0A46B78A" w14:textId="77777777" w:rsidTr="00D73F6A">
        <w:trPr>
          <w:trHeight w:val="20"/>
          <w:jc w:val="center"/>
        </w:trPr>
        <w:tc>
          <w:tcPr>
            <w:tcW w:w="2766" w:type="dxa"/>
            <w:shd w:val="clear" w:color="auto" w:fill="D9D9D9" w:themeFill="background1" w:themeFillShade="D9"/>
          </w:tcPr>
          <w:p w14:paraId="718F26C8" w14:textId="77777777" w:rsidR="005361AB" w:rsidRDefault="005361AB" w:rsidP="00D73F6A">
            <w:pPr>
              <w:spacing w:before="120" w:after="120"/>
              <w:rPr>
                <w:rFonts w:cs="Arial"/>
                <w:b/>
              </w:rPr>
            </w:pPr>
            <w:r>
              <w:rPr>
                <w:rFonts w:cs="Arial"/>
                <w:b/>
              </w:rPr>
              <w:t xml:space="preserve">1D </w:t>
            </w:r>
            <w:r w:rsidRPr="00C429CB">
              <w:rPr>
                <w:rFonts w:cs="Arial"/>
                <w:bCs/>
              </w:rPr>
              <w:t>Informed Consent</w:t>
            </w:r>
          </w:p>
        </w:tc>
        <w:tc>
          <w:tcPr>
            <w:tcW w:w="6319" w:type="dxa"/>
            <w:vAlign w:val="center"/>
          </w:tcPr>
          <w:p w14:paraId="1BCFB45B" w14:textId="77777777" w:rsidR="005361AB" w:rsidRDefault="005361AB" w:rsidP="00D73F6A">
            <w:pPr>
              <w:jc w:val="center"/>
              <w:rPr>
                <w:rFonts w:cstheme="minorHAnsi"/>
              </w:rPr>
            </w:pPr>
            <w:r>
              <w:rPr>
                <w:rFonts w:cstheme="minorHAnsi"/>
              </w:rPr>
              <w:t>N/A</w:t>
            </w:r>
          </w:p>
        </w:tc>
      </w:tr>
      <w:tr w:rsidR="005361AB" w:rsidRPr="00582C43" w14:paraId="7248602A" w14:textId="77777777" w:rsidTr="00D73F6A">
        <w:trPr>
          <w:trHeight w:val="20"/>
          <w:jc w:val="center"/>
        </w:trPr>
        <w:tc>
          <w:tcPr>
            <w:tcW w:w="2766" w:type="dxa"/>
            <w:shd w:val="clear" w:color="auto" w:fill="D9D9D9" w:themeFill="background1" w:themeFillShade="D9"/>
          </w:tcPr>
          <w:p w14:paraId="55FBF09D" w14:textId="77777777" w:rsidR="005361AB" w:rsidRPr="009A5185" w:rsidRDefault="005361AB" w:rsidP="00D73F6A">
            <w:pPr>
              <w:spacing w:before="120" w:after="120"/>
              <w:rPr>
                <w:rFonts w:cs="Arial"/>
                <w:b/>
              </w:rPr>
            </w:pPr>
            <w:r w:rsidRPr="009A5185">
              <w:rPr>
                <w:rFonts w:cs="Arial"/>
                <w:b/>
              </w:rPr>
              <w:t>2</w:t>
            </w:r>
            <w:r>
              <w:rPr>
                <w:rFonts w:cs="Arial"/>
                <w:b/>
              </w:rPr>
              <w:t>A</w:t>
            </w:r>
            <w:r w:rsidRPr="009A5185">
              <w:rPr>
                <w:rFonts w:cs="Arial"/>
                <w:b/>
              </w:rPr>
              <w:t xml:space="preserve"> </w:t>
            </w:r>
            <w:r w:rsidRPr="009A5185">
              <w:rPr>
                <w:rFonts w:cs="Arial"/>
              </w:rPr>
              <w:t>Computerized Physician Order Entry (CPOE)</w:t>
            </w:r>
          </w:p>
        </w:tc>
        <w:tc>
          <w:tcPr>
            <w:tcW w:w="6319" w:type="dxa"/>
            <w:vAlign w:val="center"/>
          </w:tcPr>
          <w:p w14:paraId="3D4A9BD0" w14:textId="77777777" w:rsidR="005361AB" w:rsidRPr="00582C43" w:rsidRDefault="005361AB" w:rsidP="00D73F6A">
            <w:pPr>
              <w:jc w:val="center"/>
              <w:rPr>
                <w:rFonts w:cs="Arial"/>
              </w:rPr>
            </w:pPr>
            <w:r>
              <w:t>N/A</w:t>
            </w:r>
          </w:p>
        </w:tc>
      </w:tr>
      <w:tr w:rsidR="005361AB" w14:paraId="7E3C6950" w14:textId="77777777" w:rsidTr="00D73F6A">
        <w:trPr>
          <w:trHeight w:val="20"/>
          <w:jc w:val="center"/>
        </w:trPr>
        <w:tc>
          <w:tcPr>
            <w:tcW w:w="2766" w:type="dxa"/>
            <w:shd w:val="clear" w:color="auto" w:fill="D9D9D9" w:themeFill="background1" w:themeFillShade="D9"/>
          </w:tcPr>
          <w:p w14:paraId="5D9E10C9" w14:textId="77777777" w:rsidR="005361AB" w:rsidRPr="009A5185" w:rsidRDefault="005361AB" w:rsidP="00D73F6A">
            <w:pPr>
              <w:spacing w:before="120" w:after="120"/>
              <w:rPr>
                <w:rFonts w:cs="Arial"/>
                <w:b/>
              </w:rPr>
            </w:pPr>
            <w:r>
              <w:rPr>
                <w:rFonts w:cs="Arial"/>
                <w:b/>
              </w:rPr>
              <w:t xml:space="preserve">2B </w:t>
            </w:r>
            <w:r w:rsidRPr="000E69AB">
              <w:rPr>
                <w:rFonts w:cs="Arial"/>
                <w:bCs/>
              </w:rPr>
              <w:t>EHR Application Information</w:t>
            </w:r>
          </w:p>
        </w:tc>
        <w:tc>
          <w:tcPr>
            <w:tcW w:w="6319" w:type="dxa"/>
            <w:vAlign w:val="center"/>
          </w:tcPr>
          <w:p w14:paraId="13F6CDA8" w14:textId="77777777" w:rsidR="005361AB" w:rsidRDefault="005361AB" w:rsidP="00D73F6A">
            <w:pPr>
              <w:contextualSpacing/>
              <w:jc w:val="center"/>
              <w:rPr>
                <w:rFonts w:cstheme="minorHAnsi"/>
              </w:rPr>
            </w:pPr>
            <w:r>
              <w:rPr>
                <w:rFonts w:cstheme="minorHAnsi"/>
              </w:rPr>
              <w:t>N/A</w:t>
            </w:r>
          </w:p>
        </w:tc>
      </w:tr>
      <w:tr w:rsidR="005361AB" w:rsidRPr="00532D0A" w14:paraId="6DDDF70A" w14:textId="77777777" w:rsidTr="00D73F6A">
        <w:trPr>
          <w:trHeight w:val="20"/>
          <w:jc w:val="center"/>
        </w:trPr>
        <w:tc>
          <w:tcPr>
            <w:tcW w:w="2766" w:type="dxa"/>
            <w:shd w:val="clear" w:color="auto" w:fill="D9D9D9" w:themeFill="background1" w:themeFillShade="D9"/>
          </w:tcPr>
          <w:p w14:paraId="6EA1269C" w14:textId="77777777" w:rsidR="005361AB" w:rsidRPr="009A5185" w:rsidRDefault="005361AB" w:rsidP="00D73F6A">
            <w:pPr>
              <w:spacing w:before="120" w:after="120"/>
              <w:rPr>
                <w:rFonts w:cs="Arial"/>
                <w:b/>
              </w:rPr>
            </w:pPr>
            <w:r>
              <w:rPr>
                <w:rFonts w:cs="Arial"/>
                <w:b/>
              </w:rPr>
              <w:t xml:space="preserve">2C </w:t>
            </w:r>
            <w:r w:rsidRPr="000E69AB">
              <w:rPr>
                <w:rFonts w:cs="Arial"/>
                <w:bCs/>
              </w:rPr>
              <w:t>Bar Code Medication Administration (BCMA)</w:t>
            </w:r>
          </w:p>
        </w:tc>
        <w:tc>
          <w:tcPr>
            <w:tcW w:w="6319" w:type="dxa"/>
            <w:vAlign w:val="center"/>
          </w:tcPr>
          <w:p w14:paraId="375314F3" w14:textId="3EE58E2F" w:rsidR="005361AB" w:rsidRPr="00BD487D" w:rsidRDefault="001F3241" w:rsidP="00AD309C">
            <w:pPr>
              <w:pStyle w:val="ListParagraph"/>
              <w:numPr>
                <w:ilvl w:val="0"/>
                <w:numId w:val="401"/>
              </w:numPr>
              <w:rPr>
                <w:rStyle w:val="Hyperlink"/>
              </w:rPr>
            </w:pPr>
            <w:hyperlink w:anchor="generalmedicalsurgicalandneuroicu" w:history="1">
              <w:r w:rsidRPr="001F3241">
                <w:rPr>
                  <w:rStyle w:val="Hyperlink"/>
                </w:rPr>
                <w:t>General Medical</w:t>
              </w:r>
              <w:r w:rsidR="00271544">
                <w:rPr>
                  <w:rStyle w:val="Hyperlink"/>
                </w:rPr>
                <w:t xml:space="preserve">, Surgical, Medical/Surgical, </w:t>
              </w:r>
              <w:r w:rsidRPr="001F3241">
                <w:rPr>
                  <w:rStyle w:val="Hyperlink"/>
                </w:rPr>
                <w:t>and Neuro ICUs</w:t>
              </w:r>
              <w:r w:rsidRPr="008F6DE2">
                <w:rPr>
                  <w:rStyle w:val="Hyperlink"/>
                  <w:color w:val="auto"/>
                  <w:u w:val="none"/>
                  <w:vertAlign w:val="superscript"/>
                </w:rPr>
                <w:t>14</w:t>
              </w:r>
            </w:hyperlink>
            <w:r>
              <w:t xml:space="preserve"> </w:t>
            </w:r>
            <w:r w:rsidR="005361AB" w:rsidRPr="00BD487D">
              <w:rPr>
                <w:rFonts w:cstheme="minorHAnsi"/>
              </w:rPr>
              <w:t>(adult and/or pediatric)</w:t>
            </w:r>
          </w:p>
          <w:p w14:paraId="2838A269" w14:textId="3A3B854B" w:rsidR="001F3241" w:rsidRPr="001F3241" w:rsidRDefault="00FD59EA" w:rsidP="00AD309C">
            <w:pPr>
              <w:pStyle w:val="ListParagraph"/>
              <w:numPr>
                <w:ilvl w:val="0"/>
                <w:numId w:val="401"/>
              </w:numPr>
              <w:rPr>
                <w:rStyle w:val="Hyperlink"/>
                <w:rFonts w:cs="Arial"/>
                <w:snapToGrid w:val="0"/>
                <w:color w:val="auto"/>
                <w:u w:val="none"/>
              </w:rPr>
            </w:pPr>
            <w:hyperlink w:anchor="neonatalICU" w:history="1">
              <w:r w:rsidRPr="005A2FEB">
                <w:rPr>
                  <w:rStyle w:val="Hyperlink"/>
                </w:rPr>
                <w:t>Level II/III, Level III, and Level IV Neonatal ICUs</w:t>
              </w:r>
            </w:hyperlink>
            <w:r w:rsidRPr="00864530">
              <w:rPr>
                <w:vertAlign w:val="superscript"/>
              </w:rPr>
              <w:t>17</w:t>
            </w:r>
            <w:r>
              <w:t xml:space="preserve"> </w:t>
            </w:r>
            <w:r w:rsidR="001E42A5" w:rsidRPr="001E42A5">
              <w:rPr>
                <w:rFonts w:cs="Arial"/>
                <w:snapToGrid w:val="0"/>
              </w:rPr>
              <w:t xml:space="preserve"> </w:t>
            </w:r>
          </w:p>
          <w:p w14:paraId="7DB77C72" w14:textId="09B60DB6" w:rsidR="005361AB" w:rsidRPr="00BD487D" w:rsidRDefault="005361AB" w:rsidP="00AD309C">
            <w:pPr>
              <w:pStyle w:val="ListParagraph"/>
              <w:numPr>
                <w:ilvl w:val="0"/>
                <w:numId w:val="401"/>
              </w:numPr>
              <w:rPr>
                <w:rStyle w:val="Hyperlink"/>
              </w:rPr>
            </w:pPr>
            <w:r w:rsidRPr="001F2388">
              <w:rPr>
                <w:rStyle w:val="Hyperlink"/>
                <w:rFonts w:cs="Arial"/>
                <w:snapToGrid w:val="0"/>
                <w:color w:val="auto"/>
                <w:u w:val="none"/>
              </w:rPr>
              <w:t>Specialty ICUs</w:t>
            </w:r>
            <w:r w:rsidRPr="00227879">
              <w:rPr>
                <w:rStyle w:val="Hyperlink"/>
                <w:rFonts w:cs="Arial"/>
                <w:snapToGrid w:val="0"/>
                <w:color w:val="auto"/>
                <w:u w:val="none"/>
              </w:rPr>
              <w:t xml:space="preserve"> </w:t>
            </w:r>
            <w:r w:rsidRPr="00BD487D">
              <w:rPr>
                <w:rFonts w:cstheme="minorHAnsi"/>
              </w:rPr>
              <w:t>(adult and/or pediatric)</w:t>
            </w:r>
          </w:p>
          <w:p w14:paraId="032E29B6" w14:textId="7842D886" w:rsidR="005361AB" w:rsidRPr="00BD487D" w:rsidRDefault="005361AB" w:rsidP="00AD309C">
            <w:pPr>
              <w:pStyle w:val="ListParagraph"/>
              <w:numPr>
                <w:ilvl w:val="0"/>
                <w:numId w:val="401"/>
              </w:numPr>
              <w:rPr>
                <w:rStyle w:val="Hyperlink"/>
              </w:rPr>
            </w:pPr>
            <w:hyperlink w:anchor="MedicalandorSurgicalUnits" w:history="1">
              <w:r w:rsidRPr="002670C6">
                <w:rPr>
                  <w:rStyle w:val="Hyperlink"/>
                </w:rPr>
                <w:t>Medical</w:t>
              </w:r>
              <w:r w:rsidR="00F75693">
                <w:rPr>
                  <w:rStyle w:val="Hyperlink"/>
                </w:rPr>
                <w:t>, Surgical, and Medical/</w:t>
              </w:r>
              <w:r w:rsidRPr="002670C6">
                <w:rPr>
                  <w:rStyle w:val="Hyperlink"/>
                </w:rPr>
                <w:t>Surgical Units (including telemetry</w:t>
              </w:r>
              <w:r w:rsidR="00F75693">
                <w:rPr>
                  <w:rStyle w:val="Hyperlink"/>
                </w:rPr>
                <w:t xml:space="preserve"> units</w:t>
              </w:r>
              <w:r w:rsidRPr="002670C6">
                <w:rPr>
                  <w:rStyle w:val="Hyperlink"/>
                </w:rPr>
                <w:t>)</w:t>
              </w:r>
            </w:hyperlink>
            <w:r w:rsidR="00227879" w:rsidRPr="00227879">
              <w:rPr>
                <w:vertAlign w:val="superscript"/>
              </w:rPr>
              <w:t>19</w:t>
            </w:r>
            <w:r w:rsidRPr="00F75693">
              <w:rPr>
                <w:rStyle w:val="Hyperlink"/>
                <w:rFonts w:ascii="ZWAdobeF" w:hAnsi="ZWAdobeF" w:cs="ZWAdobeF"/>
                <w:sz w:val="2"/>
                <w:szCs w:val="2"/>
                <w:u w:val="none"/>
              </w:rPr>
              <w:t xml:space="preserve"> </w:t>
            </w:r>
            <w:r w:rsidR="002670C6" w:rsidRPr="00F75693">
              <w:rPr>
                <w:rStyle w:val="Hyperlink"/>
                <w:rFonts w:ascii="ZWAdobeF" w:hAnsi="ZWAdobeF" w:cs="ZWAdobeF"/>
                <w:sz w:val="2"/>
                <w:szCs w:val="2"/>
                <w:u w:val="none"/>
              </w:rPr>
              <w:t xml:space="preserve"> </w:t>
            </w:r>
            <w:r w:rsidRPr="00BD487D">
              <w:rPr>
                <w:rFonts w:cstheme="minorHAnsi"/>
              </w:rPr>
              <w:t>(adult and/or pediatric)</w:t>
            </w:r>
          </w:p>
          <w:p w14:paraId="1D02EE2E" w14:textId="47A1089F" w:rsidR="005361AB" w:rsidRDefault="005361AB" w:rsidP="00AD309C">
            <w:pPr>
              <w:pStyle w:val="ListParagraph"/>
              <w:numPr>
                <w:ilvl w:val="0"/>
                <w:numId w:val="401"/>
              </w:numPr>
            </w:pPr>
            <w:hyperlink w:anchor="stepdown_progressiveunits_endnote20" w:history="1">
              <w:r w:rsidRPr="00AA1E6E">
                <w:rPr>
                  <w:rStyle w:val="Hyperlink"/>
                </w:rPr>
                <w:t>Step-down/Progressive Units</w:t>
              </w:r>
              <w:r w:rsidR="00AA1E6E" w:rsidRPr="00227879">
                <w:rPr>
                  <w:rStyle w:val="Hyperlink"/>
                  <w:color w:val="auto"/>
                  <w:u w:val="none"/>
                  <w:vertAlign w:val="superscript"/>
                </w:rPr>
                <w:t>20</w:t>
              </w:r>
            </w:hyperlink>
            <w:r w:rsidR="00260641">
              <w:t xml:space="preserve"> (adult and/or pediatric)</w:t>
            </w:r>
          </w:p>
          <w:p w14:paraId="147823FF" w14:textId="1E3FAEA1" w:rsidR="005361AB" w:rsidRPr="001F2388" w:rsidRDefault="005361AB" w:rsidP="00AD309C">
            <w:pPr>
              <w:pStyle w:val="ListParagraph"/>
              <w:numPr>
                <w:ilvl w:val="0"/>
                <w:numId w:val="401"/>
              </w:numPr>
            </w:pPr>
            <w:hyperlink w:anchor="LaborandDeliveryUnits" w:history="1">
              <w:r w:rsidRPr="00AA1E6E">
                <w:rPr>
                  <w:rStyle w:val="Hyperlink"/>
                </w:rPr>
                <w:t>Labor and Delivery Units</w:t>
              </w:r>
              <w:r w:rsidR="00AA1E6E" w:rsidRPr="00227879">
                <w:rPr>
                  <w:rStyle w:val="Hyperlink"/>
                  <w:color w:val="auto"/>
                  <w:u w:val="none"/>
                  <w:vertAlign w:val="superscript"/>
                </w:rPr>
                <w:t>21</w:t>
              </w:r>
            </w:hyperlink>
          </w:p>
          <w:p w14:paraId="6009AA7A" w14:textId="53978238" w:rsidR="005361AB" w:rsidRPr="00BD487D" w:rsidRDefault="005361AB" w:rsidP="00AD309C">
            <w:pPr>
              <w:pStyle w:val="ListParagraph"/>
              <w:numPr>
                <w:ilvl w:val="0"/>
                <w:numId w:val="401"/>
              </w:numPr>
            </w:pPr>
            <w:hyperlink w:anchor="pacusendnote" w:history="1">
              <w:r w:rsidRPr="00227879">
                <w:rPr>
                  <w:rStyle w:val="Hyperlink"/>
                </w:rPr>
                <w:t>Pre-operative and Post-anesthesia Care Units</w:t>
              </w:r>
            </w:hyperlink>
            <w:r w:rsidR="00227879" w:rsidRPr="00227879">
              <w:rPr>
                <w:vertAlign w:val="superscript"/>
              </w:rPr>
              <w:t>22</w:t>
            </w:r>
            <w:r w:rsidRPr="00BD487D">
              <w:rPr>
                <w:rFonts w:cstheme="minorHAnsi"/>
              </w:rPr>
              <w:t xml:space="preserve"> (adult and/or pediatric)</w:t>
            </w:r>
          </w:p>
        </w:tc>
      </w:tr>
      <w:tr w:rsidR="005361AB" w:rsidRPr="00532D0A" w14:paraId="6DCBC7E2" w14:textId="77777777" w:rsidTr="00D73F6A">
        <w:trPr>
          <w:trHeight w:val="20"/>
          <w:jc w:val="center"/>
        </w:trPr>
        <w:tc>
          <w:tcPr>
            <w:tcW w:w="2766" w:type="dxa"/>
            <w:shd w:val="clear" w:color="auto" w:fill="D9D9D9" w:themeFill="background1" w:themeFillShade="D9"/>
          </w:tcPr>
          <w:p w14:paraId="775B29F9" w14:textId="77777777" w:rsidR="005361AB" w:rsidRPr="009A5185" w:rsidRDefault="005361AB" w:rsidP="00D73F6A">
            <w:pPr>
              <w:spacing w:before="120" w:after="120"/>
              <w:rPr>
                <w:rFonts w:cs="Arial"/>
                <w:b/>
              </w:rPr>
            </w:pPr>
            <w:r>
              <w:rPr>
                <w:rFonts w:cs="Arial"/>
                <w:b/>
              </w:rPr>
              <w:t xml:space="preserve">2D </w:t>
            </w:r>
            <w:r w:rsidRPr="000E69AB">
              <w:rPr>
                <w:rFonts w:cs="Arial"/>
                <w:bCs/>
              </w:rPr>
              <w:t>Medication Reconciliation</w:t>
            </w:r>
          </w:p>
        </w:tc>
        <w:tc>
          <w:tcPr>
            <w:tcW w:w="6319" w:type="dxa"/>
            <w:vAlign w:val="center"/>
          </w:tcPr>
          <w:p w14:paraId="7F6632A9" w14:textId="524F8D36" w:rsidR="005361AB" w:rsidRPr="00B976F6" w:rsidRDefault="005361AB" w:rsidP="00AD309C">
            <w:pPr>
              <w:pStyle w:val="ListParagraph"/>
              <w:numPr>
                <w:ilvl w:val="0"/>
                <w:numId w:val="402"/>
              </w:numPr>
              <w:rPr>
                <w:rFonts w:cstheme="minorHAnsi"/>
              </w:rPr>
            </w:pPr>
            <w:r w:rsidRPr="001F2388">
              <w:t>Medical and</w:t>
            </w:r>
            <w:r>
              <w:t xml:space="preserve"> Medical/Surgical Units (including telemetry</w:t>
            </w:r>
            <w:r w:rsidR="00673282">
              <w:t xml:space="preserve"> units</w:t>
            </w:r>
            <w:r>
              <w:t>) (adult only)</w:t>
            </w:r>
          </w:p>
          <w:p w14:paraId="0EB26B51" w14:textId="6B89B5E5" w:rsidR="005361AB" w:rsidRPr="00532D0A" w:rsidRDefault="005361AB" w:rsidP="00AD309C">
            <w:pPr>
              <w:pStyle w:val="ListParagraph"/>
              <w:numPr>
                <w:ilvl w:val="0"/>
                <w:numId w:val="402"/>
              </w:numPr>
              <w:rPr>
                <w:rFonts w:cstheme="minorHAnsi"/>
              </w:rPr>
            </w:pPr>
            <w:hyperlink w:anchor="stepdown_progressiveunits_endnote20" w:history="1">
              <w:r w:rsidRPr="00227879">
                <w:rPr>
                  <w:rStyle w:val="Hyperlink"/>
                </w:rPr>
                <w:t>Step-down/Progressive Units</w:t>
              </w:r>
            </w:hyperlink>
            <w:r w:rsidR="00227879" w:rsidRPr="00227879">
              <w:rPr>
                <w:vertAlign w:val="superscript"/>
              </w:rPr>
              <w:t>20</w:t>
            </w:r>
            <w:r>
              <w:t xml:space="preserve"> (adult only)</w:t>
            </w:r>
          </w:p>
        </w:tc>
      </w:tr>
      <w:tr w:rsidR="005361AB" w:rsidRPr="009A5185" w14:paraId="7A3A3184" w14:textId="77777777" w:rsidTr="00D73F6A">
        <w:trPr>
          <w:trHeight w:val="720"/>
          <w:jc w:val="center"/>
        </w:trPr>
        <w:tc>
          <w:tcPr>
            <w:tcW w:w="2766" w:type="dxa"/>
            <w:shd w:val="clear" w:color="auto" w:fill="D9D9D9" w:themeFill="background1" w:themeFillShade="D9"/>
          </w:tcPr>
          <w:p w14:paraId="3DC0118D" w14:textId="77777777" w:rsidR="005361AB" w:rsidRPr="009A5185" w:rsidRDefault="005361AB" w:rsidP="00D73F6A">
            <w:pPr>
              <w:spacing w:before="120" w:after="120"/>
              <w:rPr>
                <w:rFonts w:cs="Arial"/>
              </w:rPr>
            </w:pPr>
            <w:r w:rsidRPr="009A5185">
              <w:rPr>
                <w:rFonts w:cs="Arial"/>
                <w:b/>
              </w:rPr>
              <w:t xml:space="preserve">3A </w:t>
            </w:r>
            <w:r w:rsidRPr="009A5185">
              <w:rPr>
                <w:rFonts w:cs="Arial"/>
              </w:rPr>
              <w:t>Hospital and Surgeon Volume</w:t>
            </w:r>
          </w:p>
        </w:tc>
        <w:tc>
          <w:tcPr>
            <w:tcW w:w="6319" w:type="dxa"/>
            <w:vAlign w:val="center"/>
          </w:tcPr>
          <w:p w14:paraId="0C6E3028" w14:textId="77777777" w:rsidR="005361AB" w:rsidRPr="009A5185" w:rsidRDefault="005361AB" w:rsidP="00D73F6A">
            <w:pPr>
              <w:jc w:val="center"/>
              <w:rPr>
                <w:rFonts w:cs="Arial"/>
              </w:rPr>
            </w:pPr>
            <w:r>
              <w:rPr>
                <w:rFonts w:cstheme="minorHAnsi"/>
              </w:rPr>
              <w:t>N/A</w:t>
            </w:r>
          </w:p>
        </w:tc>
      </w:tr>
      <w:tr w:rsidR="005361AB" w14:paraId="6E3F2F7B" w14:textId="77777777" w:rsidTr="00D73F6A">
        <w:trPr>
          <w:trHeight w:val="20"/>
          <w:jc w:val="center"/>
        </w:trPr>
        <w:tc>
          <w:tcPr>
            <w:tcW w:w="2766" w:type="dxa"/>
            <w:shd w:val="clear" w:color="auto" w:fill="D9D9D9" w:themeFill="background1" w:themeFillShade="D9"/>
          </w:tcPr>
          <w:p w14:paraId="258A7DA1" w14:textId="77777777" w:rsidR="005361AB" w:rsidRPr="009A5185" w:rsidRDefault="005361AB" w:rsidP="00D73F6A">
            <w:pPr>
              <w:spacing w:before="120" w:after="120"/>
              <w:rPr>
                <w:rFonts w:cs="Arial"/>
                <w:b/>
              </w:rPr>
            </w:pPr>
            <w:r>
              <w:rPr>
                <w:rFonts w:cs="Arial"/>
                <w:b/>
              </w:rPr>
              <w:t xml:space="preserve">3B </w:t>
            </w:r>
            <w:r w:rsidRPr="007445B4">
              <w:rPr>
                <w:rFonts w:cs="Arial"/>
                <w:bCs/>
              </w:rPr>
              <w:t>Safe Surgery Checklist</w:t>
            </w:r>
            <w:r>
              <w:rPr>
                <w:rFonts w:cs="Arial"/>
                <w:bCs/>
              </w:rPr>
              <w:t xml:space="preserve"> for Adult and Pediatric Complex Surgery</w:t>
            </w:r>
          </w:p>
        </w:tc>
        <w:tc>
          <w:tcPr>
            <w:tcW w:w="6319" w:type="dxa"/>
            <w:vAlign w:val="center"/>
          </w:tcPr>
          <w:p w14:paraId="4D0259E3" w14:textId="77777777" w:rsidR="005361AB" w:rsidRDefault="005361AB" w:rsidP="00D73F6A">
            <w:pPr>
              <w:jc w:val="center"/>
              <w:rPr>
                <w:rFonts w:cstheme="minorHAnsi"/>
              </w:rPr>
            </w:pPr>
            <w:r>
              <w:rPr>
                <w:rFonts w:cstheme="minorHAnsi"/>
              </w:rPr>
              <w:t>N/A</w:t>
            </w:r>
          </w:p>
        </w:tc>
      </w:tr>
      <w:tr w:rsidR="005361AB" w:rsidRPr="00AB7257" w14:paraId="269711A8" w14:textId="77777777" w:rsidTr="00D73F6A">
        <w:trPr>
          <w:trHeight w:val="20"/>
          <w:jc w:val="center"/>
        </w:trPr>
        <w:tc>
          <w:tcPr>
            <w:tcW w:w="2766" w:type="dxa"/>
            <w:shd w:val="clear" w:color="auto" w:fill="D9D9D9" w:themeFill="background1" w:themeFillShade="D9"/>
          </w:tcPr>
          <w:p w14:paraId="090D6F9B" w14:textId="77777777" w:rsidR="005361AB" w:rsidRPr="009A5185" w:rsidRDefault="005361AB" w:rsidP="00D73F6A">
            <w:pPr>
              <w:spacing w:before="120" w:after="120"/>
              <w:rPr>
                <w:rFonts w:cs="Arial"/>
                <w:b/>
              </w:rPr>
            </w:pPr>
            <w:r w:rsidRPr="009A5185">
              <w:rPr>
                <w:rFonts w:cs="Arial"/>
                <w:b/>
              </w:rPr>
              <w:t xml:space="preserve">4A </w:t>
            </w:r>
            <w:r w:rsidRPr="009A5185">
              <w:rPr>
                <w:rFonts w:cs="Arial"/>
              </w:rPr>
              <w:t>Maternity Care</w:t>
            </w:r>
            <w:r>
              <w:rPr>
                <w:rFonts w:cs="Arial"/>
              </w:rPr>
              <w:t xml:space="preserve"> Volume and Services </w:t>
            </w:r>
          </w:p>
        </w:tc>
        <w:tc>
          <w:tcPr>
            <w:tcW w:w="6319" w:type="dxa"/>
            <w:vAlign w:val="center"/>
          </w:tcPr>
          <w:p w14:paraId="637F52C4" w14:textId="77777777" w:rsidR="005361AB" w:rsidRPr="00AB7257" w:rsidRDefault="005361AB" w:rsidP="00D73F6A">
            <w:pPr>
              <w:jc w:val="center"/>
              <w:rPr>
                <w:rFonts w:cs="Arial"/>
              </w:rPr>
            </w:pPr>
            <w:r>
              <w:rPr>
                <w:rFonts w:cs="Arial"/>
              </w:rPr>
              <w:t>N/A</w:t>
            </w:r>
          </w:p>
        </w:tc>
      </w:tr>
      <w:tr w:rsidR="005361AB" w:rsidRPr="009A5185" w14:paraId="1AB2FA5B" w14:textId="77777777" w:rsidTr="00D73F6A">
        <w:trPr>
          <w:trHeight w:val="432"/>
          <w:jc w:val="center"/>
        </w:trPr>
        <w:tc>
          <w:tcPr>
            <w:tcW w:w="2766" w:type="dxa"/>
            <w:shd w:val="clear" w:color="auto" w:fill="D9D9D9" w:themeFill="background1" w:themeFillShade="D9"/>
          </w:tcPr>
          <w:p w14:paraId="0C8D1574" w14:textId="77777777" w:rsidR="005361AB" w:rsidRPr="009A5185" w:rsidRDefault="005361AB" w:rsidP="00D73F6A">
            <w:pPr>
              <w:spacing w:before="120" w:after="120"/>
              <w:rPr>
                <w:rFonts w:cs="Arial"/>
              </w:rPr>
            </w:pPr>
            <w:r w:rsidRPr="009A5185">
              <w:rPr>
                <w:rFonts w:cs="Arial"/>
                <w:b/>
              </w:rPr>
              <w:t>4</w:t>
            </w:r>
            <w:r>
              <w:rPr>
                <w:rFonts w:cs="Arial"/>
                <w:b/>
              </w:rPr>
              <w:t>B</w:t>
            </w:r>
            <w:r w:rsidRPr="009A5185">
              <w:rPr>
                <w:rFonts w:cs="Arial"/>
              </w:rPr>
              <w:t xml:space="preserve"> Cesarean Birth</w:t>
            </w:r>
          </w:p>
        </w:tc>
        <w:tc>
          <w:tcPr>
            <w:tcW w:w="6319" w:type="dxa"/>
            <w:vAlign w:val="center"/>
          </w:tcPr>
          <w:p w14:paraId="1B7CB831" w14:textId="77777777" w:rsidR="005361AB" w:rsidRPr="009A5185" w:rsidRDefault="005361AB" w:rsidP="00D73F6A">
            <w:pPr>
              <w:jc w:val="center"/>
              <w:rPr>
                <w:rFonts w:cs="Arial"/>
              </w:rPr>
            </w:pPr>
            <w:r>
              <w:rPr>
                <w:rFonts w:cstheme="minorHAnsi"/>
              </w:rPr>
              <w:t>N/A</w:t>
            </w:r>
          </w:p>
        </w:tc>
      </w:tr>
      <w:tr w:rsidR="005361AB" w:rsidRPr="009A5185" w14:paraId="3C90A270" w14:textId="77777777" w:rsidTr="00D73F6A">
        <w:trPr>
          <w:trHeight w:val="432"/>
          <w:jc w:val="center"/>
        </w:trPr>
        <w:tc>
          <w:tcPr>
            <w:tcW w:w="2766" w:type="dxa"/>
            <w:shd w:val="clear" w:color="auto" w:fill="D9D9D9" w:themeFill="background1" w:themeFillShade="D9"/>
          </w:tcPr>
          <w:p w14:paraId="5F3B44A2" w14:textId="77777777" w:rsidR="005361AB" w:rsidRPr="009A5185" w:rsidRDefault="005361AB" w:rsidP="00D73F6A">
            <w:pPr>
              <w:spacing w:before="120" w:after="120"/>
              <w:rPr>
                <w:rFonts w:cs="Arial"/>
              </w:rPr>
            </w:pPr>
            <w:r w:rsidRPr="009A5185">
              <w:rPr>
                <w:rFonts w:cs="Arial"/>
                <w:b/>
              </w:rPr>
              <w:t>4</w:t>
            </w:r>
            <w:r>
              <w:rPr>
                <w:rFonts w:cs="Arial"/>
                <w:b/>
              </w:rPr>
              <w:t>C</w:t>
            </w:r>
            <w:r w:rsidRPr="009A5185">
              <w:rPr>
                <w:rFonts w:cs="Arial"/>
              </w:rPr>
              <w:t xml:space="preserve"> Episiotomy</w:t>
            </w:r>
          </w:p>
        </w:tc>
        <w:tc>
          <w:tcPr>
            <w:tcW w:w="6319" w:type="dxa"/>
            <w:vAlign w:val="center"/>
          </w:tcPr>
          <w:p w14:paraId="7FC4D0F1" w14:textId="77777777" w:rsidR="005361AB" w:rsidRPr="009A5185" w:rsidRDefault="005361AB" w:rsidP="00D73F6A">
            <w:pPr>
              <w:jc w:val="center"/>
              <w:rPr>
                <w:rFonts w:cs="Arial"/>
              </w:rPr>
            </w:pPr>
            <w:r>
              <w:rPr>
                <w:rFonts w:cstheme="minorHAnsi"/>
              </w:rPr>
              <w:t>N/A</w:t>
            </w:r>
          </w:p>
        </w:tc>
      </w:tr>
      <w:tr w:rsidR="005361AB" w:rsidRPr="009A5185" w14:paraId="5CCF19C0" w14:textId="77777777" w:rsidTr="00D73F6A">
        <w:trPr>
          <w:trHeight w:val="20"/>
          <w:jc w:val="center"/>
        </w:trPr>
        <w:tc>
          <w:tcPr>
            <w:tcW w:w="2766" w:type="dxa"/>
            <w:shd w:val="clear" w:color="auto" w:fill="D9D9D9" w:themeFill="background1" w:themeFillShade="D9"/>
          </w:tcPr>
          <w:p w14:paraId="13B48A51" w14:textId="77777777" w:rsidR="005361AB" w:rsidRPr="009A5185" w:rsidRDefault="005361AB" w:rsidP="00D73F6A">
            <w:pPr>
              <w:spacing w:before="120" w:after="120"/>
              <w:rPr>
                <w:rFonts w:cs="Arial"/>
              </w:rPr>
            </w:pPr>
            <w:r w:rsidRPr="009A5185">
              <w:rPr>
                <w:rFonts w:cs="Arial"/>
                <w:b/>
              </w:rPr>
              <w:t>4</w:t>
            </w:r>
            <w:r>
              <w:rPr>
                <w:rFonts w:cs="Arial"/>
                <w:b/>
              </w:rPr>
              <w:t>D</w:t>
            </w:r>
            <w:r w:rsidRPr="009A5185">
              <w:rPr>
                <w:rFonts w:cs="Arial"/>
              </w:rPr>
              <w:t xml:space="preserve"> </w:t>
            </w:r>
            <w:r>
              <w:rPr>
                <w:rFonts w:cs="Arial"/>
              </w:rPr>
              <w:t>Process Measures of Quality</w:t>
            </w:r>
          </w:p>
        </w:tc>
        <w:tc>
          <w:tcPr>
            <w:tcW w:w="6319" w:type="dxa"/>
            <w:vAlign w:val="center"/>
          </w:tcPr>
          <w:p w14:paraId="102B00EC" w14:textId="77777777" w:rsidR="005361AB" w:rsidRPr="009A5185" w:rsidRDefault="005361AB" w:rsidP="00D73F6A">
            <w:pPr>
              <w:jc w:val="center"/>
              <w:rPr>
                <w:rFonts w:cs="Arial"/>
              </w:rPr>
            </w:pPr>
            <w:r>
              <w:rPr>
                <w:rFonts w:cstheme="minorHAnsi"/>
              </w:rPr>
              <w:t>N/A</w:t>
            </w:r>
          </w:p>
        </w:tc>
      </w:tr>
      <w:tr w:rsidR="005361AB" w:rsidRPr="00532D0A" w14:paraId="1B2878C6" w14:textId="77777777" w:rsidTr="00D73F6A">
        <w:trPr>
          <w:trHeight w:val="576"/>
          <w:jc w:val="center"/>
        </w:trPr>
        <w:tc>
          <w:tcPr>
            <w:tcW w:w="2766" w:type="dxa"/>
            <w:shd w:val="clear" w:color="auto" w:fill="D9D9D9" w:themeFill="background1" w:themeFillShade="D9"/>
          </w:tcPr>
          <w:p w14:paraId="101BC78D" w14:textId="77777777" w:rsidR="005361AB" w:rsidRPr="009A5185" w:rsidRDefault="005361AB" w:rsidP="00D73F6A">
            <w:pPr>
              <w:spacing w:before="120" w:after="120"/>
              <w:rPr>
                <w:rFonts w:cs="Arial"/>
                <w:color w:val="76923C" w:themeColor="accent3" w:themeShade="BF"/>
              </w:rPr>
            </w:pPr>
            <w:r w:rsidRPr="009A5185">
              <w:rPr>
                <w:rFonts w:cs="Arial"/>
                <w:b/>
              </w:rPr>
              <w:t>4</w:t>
            </w:r>
            <w:r>
              <w:rPr>
                <w:rFonts w:cs="Arial"/>
                <w:b/>
              </w:rPr>
              <w:t>E</w:t>
            </w:r>
            <w:r w:rsidRPr="009A5185">
              <w:rPr>
                <w:rFonts w:cs="Arial"/>
              </w:rPr>
              <w:t xml:space="preserve"> High-Risk Deliveries </w:t>
            </w:r>
          </w:p>
        </w:tc>
        <w:tc>
          <w:tcPr>
            <w:tcW w:w="6319" w:type="dxa"/>
            <w:vAlign w:val="center"/>
          </w:tcPr>
          <w:p w14:paraId="14C315D0" w14:textId="187564F1" w:rsidR="005361AB" w:rsidRPr="00532D0A" w:rsidRDefault="008D6BEF" w:rsidP="00AD309C">
            <w:pPr>
              <w:pStyle w:val="ListParagraph"/>
              <w:numPr>
                <w:ilvl w:val="0"/>
                <w:numId w:val="402"/>
              </w:numPr>
              <w:rPr>
                <w:rFonts w:cs="Arial"/>
              </w:rPr>
            </w:pPr>
            <w:hyperlink w:anchor="neonatalICU" w:history="1">
              <w:r w:rsidRPr="005A2FEB">
                <w:rPr>
                  <w:rStyle w:val="Hyperlink"/>
                </w:rPr>
                <w:t>Level II/III, Level III, and Level IV Neonatal ICUs</w:t>
              </w:r>
            </w:hyperlink>
            <w:r w:rsidRPr="00864530">
              <w:rPr>
                <w:vertAlign w:val="superscript"/>
              </w:rPr>
              <w:t>17</w:t>
            </w:r>
            <w:r>
              <w:t xml:space="preserve"> </w:t>
            </w:r>
          </w:p>
        </w:tc>
      </w:tr>
      <w:tr w:rsidR="005361AB" w:rsidRPr="00532D0A" w14:paraId="42532821" w14:textId="77777777" w:rsidTr="00D73F6A">
        <w:trPr>
          <w:trHeight w:val="432"/>
          <w:jc w:val="center"/>
        </w:trPr>
        <w:tc>
          <w:tcPr>
            <w:tcW w:w="2766" w:type="dxa"/>
            <w:tcBorders>
              <w:bottom w:val="single" w:sz="4" w:space="0" w:color="auto"/>
            </w:tcBorders>
            <w:shd w:val="clear" w:color="auto" w:fill="D9D9D9" w:themeFill="background1" w:themeFillShade="D9"/>
          </w:tcPr>
          <w:p w14:paraId="7AADFDD9" w14:textId="77777777" w:rsidR="005361AB" w:rsidRPr="009A5185" w:rsidRDefault="005361AB" w:rsidP="00D73F6A">
            <w:pPr>
              <w:spacing w:before="120" w:after="120"/>
              <w:rPr>
                <w:rFonts w:cs="Arial"/>
                <w:b/>
              </w:rPr>
            </w:pPr>
            <w:r w:rsidRPr="009A5185">
              <w:rPr>
                <w:rFonts w:cs="Arial"/>
                <w:b/>
              </w:rPr>
              <w:lastRenderedPageBreak/>
              <w:t>5</w:t>
            </w:r>
            <w:r>
              <w:rPr>
                <w:rFonts w:cs="Arial"/>
                <w:b/>
              </w:rPr>
              <w:t xml:space="preserve">A </w:t>
            </w:r>
            <w:r>
              <w:rPr>
                <w:rFonts w:cs="Arial"/>
                <w:bCs/>
              </w:rPr>
              <w:t>Adult</w:t>
            </w:r>
            <w:r w:rsidRPr="009A5185">
              <w:rPr>
                <w:rFonts w:cs="Arial"/>
                <w:b/>
              </w:rPr>
              <w:t xml:space="preserve"> </w:t>
            </w:r>
            <w:r w:rsidRPr="009A5185">
              <w:rPr>
                <w:rFonts w:cs="Arial"/>
              </w:rPr>
              <w:t>ICU Physician Staffing</w:t>
            </w:r>
          </w:p>
        </w:tc>
        <w:tc>
          <w:tcPr>
            <w:tcW w:w="6319" w:type="dxa"/>
            <w:tcBorders>
              <w:bottom w:val="single" w:sz="4" w:space="0" w:color="auto"/>
            </w:tcBorders>
            <w:vAlign w:val="center"/>
          </w:tcPr>
          <w:p w14:paraId="7FF05754" w14:textId="296E2035" w:rsidR="005361AB" w:rsidRPr="00532D0A" w:rsidRDefault="00227879" w:rsidP="00AD309C">
            <w:pPr>
              <w:pStyle w:val="ListParagraph"/>
              <w:numPr>
                <w:ilvl w:val="0"/>
                <w:numId w:val="402"/>
              </w:numPr>
              <w:rPr>
                <w:rFonts w:cs="Arial"/>
              </w:rPr>
            </w:pPr>
            <w:hyperlink w:anchor="generalmedicalsurgicalandneuroicu" w:history="1">
              <w:r w:rsidRPr="001F3241">
                <w:rPr>
                  <w:rStyle w:val="Hyperlink"/>
                </w:rPr>
                <w:t>General Medical</w:t>
              </w:r>
              <w:r w:rsidR="00D91E52">
                <w:rPr>
                  <w:rStyle w:val="Hyperlink"/>
                </w:rPr>
                <w:t xml:space="preserve">, </w:t>
              </w:r>
              <w:r w:rsidRPr="001F3241">
                <w:rPr>
                  <w:rStyle w:val="Hyperlink"/>
                </w:rPr>
                <w:t>Surgical</w:t>
              </w:r>
              <w:r w:rsidR="00D91E52">
                <w:rPr>
                  <w:rStyle w:val="Hyperlink"/>
                </w:rPr>
                <w:t xml:space="preserve">, Medical/Surgical, </w:t>
              </w:r>
              <w:r w:rsidRPr="001F3241">
                <w:rPr>
                  <w:rStyle w:val="Hyperlink"/>
                </w:rPr>
                <w:t>and Neuro ICUs</w:t>
              </w:r>
              <w:r w:rsidRPr="001F2388">
                <w:rPr>
                  <w:rStyle w:val="Hyperlink"/>
                  <w:color w:val="auto"/>
                  <w:u w:val="none"/>
                  <w:vertAlign w:val="superscript"/>
                </w:rPr>
                <w:t>14</w:t>
              </w:r>
            </w:hyperlink>
            <w:r>
              <w:rPr>
                <w:rFonts w:cstheme="minorHAnsi"/>
              </w:rPr>
              <w:t xml:space="preserve"> </w:t>
            </w:r>
            <w:r w:rsidR="005361AB">
              <w:rPr>
                <w:rFonts w:cstheme="minorHAnsi"/>
              </w:rPr>
              <w:t>(adult)</w:t>
            </w:r>
          </w:p>
        </w:tc>
      </w:tr>
      <w:tr w:rsidR="005361AB" w:rsidRPr="00532D0A" w14:paraId="036B4422" w14:textId="77777777" w:rsidTr="00D73F6A">
        <w:trPr>
          <w:trHeight w:val="432"/>
          <w:jc w:val="center"/>
        </w:trPr>
        <w:tc>
          <w:tcPr>
            <w:tcW w:w="2766" w:type="dxa"/>
            <w:tcBorders>
              <w:bottom w:val="single" w:sz="4" w:space="0" w:color="auto"/>
            </w:tcBorders>
            <w:shd w:val="clear" w:color="auto" w:fill="D9D9D9" w:themeFill="background1" w:themeFillShade="D9"/>
          </w:tcPr>
          <w:p w14:paraId="0B374226" w14:textId="77777777" w:rsidR="005361AB" w:rsidRPr="00257D1F" w:rsidRDefault="005361AB" w:rsidP="00D73F6A">
            <w:pPr>
              <w:spacing w:before="120" w:after="120"/>
              <w:rPr>
                <w:rFonts w:cs="Arial"/>
                <w:bCs/>
              </w:rPr>
            </w:pPr>
            <w:r>
              <w:rPr>
                <w:rFonts w:cs="Arial"/>
                <w:b/>
              </w:rPr>
              <w:t>5B</w:t>
            </w:r>
            <w:r>
              <w:rPr>
                <w:rFonts w:cs="Arial"/>
                <w:bCs/>
              </w:rPr>
              <w:t xml:space="preserve"> Pediatric ICU Physician Staffing</w:t>
            </w:r>
          </w:p>
        </w:tc>
        <w:tc>
          <w:tcPr>
            <w:tcW w:w="6319" w:type="dxa"/>
            <w:tcBorders>
              <w:bottom w:val="single" w:sz="4" w:space="0" w:color="auto"/>
            </w:tcBorders>
            <w:vAlign w:val="center"/>
          </w:tcPr>
          <w:p w14:paraId="61F15C35" w14:textId="5A421A70" w:rsidR="005361AB" w:rsidRDefault="00227879" w:rsidP="00AD309C">
            <w:pPr>
              <w:pStyle w:val="ListParagraph"/>
              <w:numPr>
                <w:ilvl w:val="0"/>
                <w:numId w:val="402"/>
              </w:numPr>
            </w:pPr>
            <w:hyperlink w:anchor="generalmedicalsurgicalandneuroicu" w:history="1">
              <w:r w:rsidRPr="001F3241">
                <w:rPr>
                  <w:rStyle w:val="Hyperlink"/>
                </w:rPr>
                <w:t>General Medical</w:t>
              </w:r>
              <w:r w:rsidR="007C5494">
                <w:rPr>
                  <w:rStyle w:val="Hyperlink"/>
                </w:rPr>
                <w:t xml:space="preserve">, </w:t>
              </w:r>
              <w:r w:rsidRPr="001F3241">
                <w:rPr>
                  <w:rStyle w:val="Hyperlink"/>
                </w:rPr>
                <w:t>Surgical</w:t>
              </w:r>
              <w:r w:rsidR="007C5494">
                <w:rPr>
                  <w:rStyle w:val="Hyperlink"/>
                </w:rPr>
                <w:t>, Medical/Surgical,</w:t>
              </w:r>
              <w:r w:rsidRPr="001F3241">
                <w:rPr>
                  <w:rStyle w:val="Hyperlink"/>
                </w:rPr>
                <w:t xml:space="preserve"> and Neuro ICUs</w:t>
              </w:r>
              <w:r w:rsidRPr="001F2388">
                <w:rPr>
                  <w:rStyle w:val="Hyperlink"/>
                  <w:color w:val="auto"/>
                  <w:u w:val="none"/>
                  <w:vertAlign w:val="superscript"/>
                </w:rPr>
                <w:t>14</w:t>
              </w:r>
            </w:hyperlink>
            <w:r>
              <w:rPr>
                <w:rFonts w:cstheme="minorHAnsi"/>
              </w:rPr>
              <w:t xml:space="preserve"> </w:t>
            </w:r>
            <w:r w:rsidR="005361AB">
              <w:rPr>
                <w:rFonts w:cstheme="minorHAnsi"/>
              </w:rPr>
              <w:t>(pediatric)</w:t>
            </w:r>
          </w:p>
        </w:tc>
      </w:tr>
      <w:tr w:rsidR="005361AB" w:rsidRPr="00532D0A" w14:paraId="70408EAF" w14:textId="77777777" w:rsidTr="00D73F6A">
        <w:trPr>
          <w:trHeight w:val="432"/>
          <w:jc w:val="center"/>
        </w:trPr>
        <w:tc>
          <w:tcPr>
            <w:tcW w:w="2766" w:type="dxa"/>
            <w:tcBorders>
              <w:bottom w:val="single" w:sz="4" w:space="0" w:color="auto"/>
            </w:tcBorders>
            <w:shd w:val="clear" w:color="auto" w:fill="D9D9D9" w:themeFill="background1" w:themeFillShade="D9"/>
          </w:tcPr>
          <w:p w14:paraId="45218EE3" w14:textId="77777777" w:rsidR="005361AB" w:rsidRPr="00257D1F" w:rsidRDefault="005361AB" w:rsidP="00D73F6A">
            <w:pPr>
              <w:spacing w:before="120" w:after="120"/>
              <w:rPr>
                <w:rFonts w:cs="Arial"/>
                <w:bCs/>
              </w:rPr>
            </w:pPr>
            <w:r>
              <w:rPr>
                <w:rFonts w:cs="Arial"/>
                <w:b/>
              </w:rPr>
              <w:t xml:space="preserve">5C </w:t>
            </w:r>
            <w:r>
              <w:rPr>
                <w:rFonts w:cs="Arial"/>
                <w:bCs/>
              </w:rPr>
              <w:t>Nursing Workforce</w:t>
            </w:r>
          </w:p>
        </w:tc>
        <w:tc>
          <w:tcPr>
            <w:tcW w:w="6319" w:type="dxa"/>
            <w:tcBorders>
              <w:bottom w:val="single" w:sz="4" w:space="0" w:color="auto"/>
            </w:tcBorders>
            <w:vAlign w:val="center"/>
          </w:tcPr>
          <w:p w14:paraId="33737FB2" w14:textId="6AAE2B18" w:rsidR="005361AB" w:rsidRPr="00023215" w:rsidRDefault="005361AB" w:rsidP="00D73F6A">
            <w:pPr>
              <w:rPr>
                <w:rFonts w:cs="Arial"/>
              </w:rPr>
            </w:pPr>
            <w:r>
              <w:rPr>
                <w:rFonts w:cs="Arial"/>
              </w:rPr>
              <w:t>Nurse Staffing:</w:t>
            </w:r>
          </w:p>
          <w:p w14:paraId="70F69259" w14:textId="77777777" w:rsidR="005361AB" w:rsidRPr="00532D0A" w:rsidRDefault="005361AB" w:rsidP="00AD309C">
            <w:pPr>
              <w:pStyle w:val="ListParagraph"/>
              <w:numPr>
                <w:ilvl w:val="0"/>
                <w:numId w:val="402"/>
              </w:numPr>
              <w:rPr>
                <w:rFonts w:cs="Arial"/>
              </w:rPr>
            </w:pPr>
            <w:r w:rsidRPr="00532D0A">
              <w:rPr>
                <w:rFonts w:cs="Arial"/>
              </w:rPr>
              <w:t>Single Acuity Medical Units</w:t>
            </w:r>
            <w:r>
              <w:rPr>
                <w:rFonts w:cs="Arial"/>
              </w:rPr>
              <w:t xml:space="preserve"> </w:t>
            </w:r>
            <w:r>
              <w:rPr>
                <w:rFonts w:cstheme="minorHAnsi"/>
              </w:rPr>
              <w:t>(adult and/or pediatric)</w:t>
            </w:r>
          </w:p>
          <w:p w14:paraId="3E59537F" w14:textId="77777777" w:rsidR="005361AB" w:rsidRPr="00532D0A" w:rsidRDefault="005361AB" w:rsidP="00AD309C">
            <w:pPr>
              <w:pStyle w:val="ListParagraph"/>
              <w:numPr>
                <w:ilvl w:val="0"/>
                <w:numId w:val="402"/>
              </w:numPr>
              <w:rPr>
                <w:rFonts w:cs="Arial"/>
              </w:rPr>
            </w:pPr>
            <w:r w:rsidRPr="00532D0A">
              <w:rPr>
                <w:rFonts w:cs="Arial"/>
              </w:rPr>
              <w:t>Single Acuity Surgical Units</w:t>
            </w:r>
            <w:r>
              <w:rPr>
                <w:rFonts w:cs="Arial"/>
              </w:rPr>
              <w:t xml:space="preserve"> </w:t>
            </w:r>
            <w:r>
              <w:rPr>
                <w:rFonts w:cstheme="minorHAnsi"/>
              </w:rPr>
              <w:t>(adult and/or pediatric)</w:t>
            </w:r>
          </w:p>
          <w:p w14:paraId="03E51006" w14:textId="77777777" w:rsidR="005361AB" w:rsidRPr="00532D0A" w:rsidRDefault="005361AB" w:rsidP="00AD309C">
            <w:pPr>
              <w:pStyle w:val="ListParagraph"/>
              <w:numPr>
                <w:ilvl w:val="0"/>
                <w:numId w:val="402"/>
              </w:numPr>
              <w:rPr>
                <w:rFonts w:cs="Arial"/>
              </w:rPr>
            </w:pPr>
            <w:r w:rsidRPr="00532D0A">
              <w:rPr>
                <w:rFonts w:cs="Arial"/>
              </w:rPr>
              <w:t>Single Acuity Med-Surg Combined Units</w:t>
            </w:r>
            <w:r>
              <w:rPr>
                <w:rFonts w:cs="Arial"/>
              </w:rPr>
              <w:t xml:space="preserve"> </w:t>
            </w:r>
            <w:r>
              <w:rPr>
                <w:rFonts w:cstheme="minorHAnsi"/>
              </w:rPr>
              <w:t>(adult and/or pediatric)</w:t>
            </w:r>
          </w:p>
          <w:p w14:paraId="05A46457" w14:textId="77777777" w:rsidR="005361AB" w:rsidRPr="00023215" w:rsidRDefault="005361AB" w:rsidP="00AD309C">
            <w:pPr>
              <w:pStyle w:val="ListParagraph"/>
              <w:numPr>
                <w:ilvl w:val="0"/>
                <w:numId w:val="402"/>
              </w:numPr>
              <w:rPr>
                <w:rFonts w:cs="Arial"/>
              </w:rPr>
            </w:pPr>
            <w:r w:rsidRPr="00532D0A">
              <w:rPr>
                <w:rFonts w:cs="Arial"/>
              </w:rPr>
              <w:t>Mixed Acuity Medical, Surgical and Med-Surg Units</w:t>
            </w:r>
            <w:r>
              <w:rPr>
                <w:rFonts w:cs="Arial"/>
              </w:rPr>
              <w:t xml:space="preserve"> </w:t>
            </w:r>
            <w:r>
              <w:rPr>
                <w:rFonts w:cstheme="minorHAnsi"/>
              </w:rPr>
              <w:t>(adult and/or pediatric)</w:t>
            </w:r>
          </w:p>
          <w:p w14:paraId="0EAA0CE3" w14:textId="77777777" w:rsidR="005361AB" w:rsidRDefault="005361AB" w:rsidP="00D73F6A">
            <w:pPr>
              <w:rPr>
                <w:rFonts w:cs="Arial"/>
              </w:rPr>
            </w:pPr>
          </w:p>
          <w:p w14:paraId="2CBD2B8B" w14:textId="77777777" w:rsidR="005361AB" w:rsidRDefault="005361AB" w:rsidP="00D73F6A">
            <w:pPr>
              <w:contextualSpacing/>
              <w:rPr>
                <w:rFonts w:cs="Arial"/>
                <w:bCs/>
              </w:rPr>
            </w:pPr>
            <w:r>
              <w:rPr>
                <w:rFonts w:cs="Arial"/>
                <w:bCs/>
              </w:rPr>
              <w:t>Percentage of RNs who are BSN-Prepared:</w:t>
            </w:r>
          </w:p>
          <w:p w14:paraId="703C4D7B" w14:textId="77777777" w:rsidR="005361AB" w:rsidRPr="009129AD" w:rsidRDefault="005361AB" w:rsidP="00AD309C">
            <w:pPr>
              <w:pStyle w:val="ListParagraph"/>
              <w:numPr>
                <w:ilvl w:val="0"/>
                <w:numId w:val="404"/>
              </w:numPr>
              <w:spacing w:line="276" w:lineRule="auto"/>
              <w:rPr>
                <w:rFonts w:cs="Arial"/>
                <w:bCs/>
              </w:rPr>
            </w:pPr>
            <w:r>
              <w:rPr>
                <w:rFonts w:cs="Arial"/>
                <w:bCs/>
              </w:rPr>
              <w:t>N/A</w:t>
            </w:r>
          </w:p>
          <w:p w14:paraId="54756DA8" w14:textId="77777777" w:rsidR="005361AB" w:rsidRPr="00023215" w:rsidRDefault="005361AB" w:rsidP="00D73F6A">
            <w:pPr>
              <w:rPr>
                <w:rFonts w:cs="Arial"/>
              </w:rPr>
            </w:pPr>
          </w:p>
          <w:p w14:paraId="37FC972E" w14:textId="77777777" w:rsidR="005361AB" w:rsidRDefault="005361AB" w:rsidP="00D73F6A">
            <w:r w:rsidRPr="00257D1F">
              <w:rPr>
                <w:rFonts w:cs="Arial"/>
              </w:rPr>
              <w:t xml:space="preserve">For more information, refer to the Section </w:t>
            </w:r>
            <w:r>
              <w:rPr>
                <w:rFonts w:cs="Arial"/>
              </w:rPr>
              <w:t>5</w:t>
            </w:r>
            <w:r w:rsidRPr="00257D1F">
              <w:rPr>
                <w:rFonts w:cs="Arial"/>
              </w:rPr>
              <w:t>C: Nursing Workforce Measure Specifications.</w:t>
            </w:r>
          </w:p>
        </w:tc>
      </w:tr>
      <w:tr w:rsidR="005361AB" w:rsidRPr="009A5185" w14:paraId="4C66D5E6" w14:textId="77777777" w:rsidTr="00D73F6A">
        <w:trPr>
          <w:trHeight w:val="576"/>
          <w:jc w:val="center"/>
        </w:trPr>
        <w:tc>
          <w:tcPr>
            <w:tcW w:w="2766" w:type="dxa"/>
            <w:shd w:val="clear" w:color="auto" w:fill="D9D9D9" w:themeFill="background1" w:themeFillShade="D9"/>
          </w:tcPr>
          <w:p w14:paraId="77AEBAA5" w14:textId="77777777" w:rsidR="005361AB" w:rsidRPr="009A5185" w:rsidRDefault="005361AB" w:rsidP="00D73F6A">
            <w:pPr>
              <w:spacing w:before="120" w:after="120"/>
              <w:rPr>
                <w:rFonts w:cs="Arial"/>
                <w:b/>
              </w:rPr>
            </w:pPr>
            <w:r w:rsidRPr="009A5185">
              <w:rPr>
                <w:rFonts w:cs="Arial"/>
                <w:b/>
              </w:rPr>
              <w:t>6</w:t>
            </w:r>
            <w:r>
              <w:rPr>
                <w:rFonts w:cs="Arial"/>
                <w:b/>
              </w:rPr>
              <w:t>A</w:t>
            </w:r>
            <w:r w:rsidRPr="009A5185">
              <w:rPr>
                <w:rFonts w:cs="Arial"/>
                <w:b/>
              </w:rPr>
              <w:t xml:space="preserve"> </w:t>
            </w:r>
            <w:r w:rsidRPr="000E69AB">
              <w:rPr>
                <w:rFonts w:cs="Arial"/>
                <w:bCs/>
              </w:rPr>
              <w:t>NQF Safe</w:t>
            </w:r>
            <w:r>
              <w:rPr>
                <w:rFonts w:cs="Arial"/>
                <w:b/>
              </w:rPr>
              <w:t xml:space="preserve"> </w:t>
            </w:r>
            <w:r>
              <w:rPr>
                <w:rFonts w:cs="Arial"/>
              </w:rPr>
              <w:t>Practice #1 – Culture of Safety Leadership Structures and Systems</w:t>
            </w:r>
          </w:p>
        </w:tc>
        <w:tc>
          <w:tcPr>
            <w:tcW w:w="6319" w:type="dxa"/>
            <w:vAlign w:val="center"/>
          </w:tcPr>
          <w:p w14:paraId="053B3B83" w14:textId="77777777" w:rsidR="005361AB" w:rsidRPr="009A5185" w:rsidRDefault="005361AB" w:rsidP="00D73F6A">
            <w:pPr>
              <w:jc w:val="center"/>
              <w:rPr>
                <w:rFonts w:cs="Arial"/>
              </w:rPr>
            </w:pPr>
            <w:r>
              <w:rPr>
                <w:rFonts w:cstheme="minorHAnsi"/>
              </w:rPr>
              <w:t>N/A</w:t>
            </w:r>
          </w:p>
        </w:tc>
      </w:tr>
      <w:tr w:rsidR="005361AB" w14:paraId="1451E832" w14:textId="77777777" w:rsidTr="00D73F6A">
        <w:trPr>
          <w:trHeight w:val="1152"/>
          <w:jc w:val="center"/>
        </w:trPr>
        <w:tc>
          <w:tcPr>
            <w:tcW w:w="2766" w:type="dxa"/>
            <w:shd w:val="clear" w:color="auto" w:fill="D9D9D9" w:themeFill="background1" w:themeFillShade="D9"/>
          </w:tcPr>
          <w:p w14:paraId="2028B312" w14:textId="77777777" w:rsidR="005361AB" w:rsidRPr="003E70D3" w:rsidRDefault="005361AB" w:rsidP="00D73F6A">
            <w:pPr>
              <w:spacing w:before="120" w:after="120"/>
              <w:rPr>
                <w:rFonts w:cs="Arial"/>
              </w:rPr>
            </w:pPr>
            <w:r>
              <w:rPr>
                <w:rFonts w:cs="Arial"/>
                <w:b/>
              </w:rPr>
              <w:t xml:space="preserve">6B </w:t>
            </w:r>
            <w:r w:rsidRPr="003622FE">
              <w:rPr>
                <w:rFonts w:cs="Arial"/>
                <w:bCs/>
              </w:rPr>
              <w:t>NQF Safe</w:t>
            </w:r>
            <w:r>
              <w:rPr>
                <w:rFonts w:cs="Arial"/>
                <w:b/>
              </w:rPr>
              <w:t xml:space="preserve"> </w:t>
            </w:r>
            <w:r>
              <w:rPr>
                <w:rFonts w:cs="Arial"/>
              </w:rPr>
              <w:t>Practice #2 – Culture Measurement, Feedback, and Intervention</w:t>
            </w:r>
          </w:p>
        </w:tc>
        <w:tc>
          <w:tcPr>
            <w:tcW w:w="6319" w:type="dxa"/>
            <w:vAlign w:val="center"/>
          </w:tcPr>
          <w:p w14:paraId="546A7D33" w14:textId="77777777" w:rsidR="005361AB" w:rsidRDefault="005361AB" w:rsidP="00D73F6A">
            <w:pPr>
              <w:jc w:val="center"/>
              <w:rPr>
                <w:rFonts w:cs="Arial"/>
              </w:rPr>
            </w:pPr>
            <w:r>
              <w:rPr>
                <w:rFonts w:cstheme="minorHAnsi"/>
              </w:rPr>
              <w:t>N/A</w:t>
            </w:r>
          </w:p>
        </w:tc>
      </w:tr>
      <w:tr w:rsidR="005361AB" w:rsidRPr="00532D0A" w14:paraId="7C0D09A7" w14:textId="77777777" w:rsidTr="00D73F6A">
        <w:trPr>
          <w:trHeight w:val="2078"/>
          <w:jc w:val="center"/>
        </w:trPr>
        <w:tc>
          <w:tcPr>
            <w:tcW w:w="2766" w:type="dxa"/>
            <w:shd w:val="clear" w:color="auto" w:fill="D9D9D9" w:themeFill="background1" w:themeFillShade="D9"/>
          </w:tcPr>
          <w:p w14:paraId="25457166" w14:textId="77777777" w:rsidR="005361AB" w:rsidRPr="003E70D3" w:rsidRDefault="005361AB" w:rsidP="00D73F6A">
            <w:pPr>
              <w:spacing w:before="120" w:after="120"/>
              <w:rPr>
                <w:rFonts w:cs="Arial"/>
              </w:rPr>
            </w:pPr>
            <w:r>
              <w:rPr>
                <w:rFonts w:cs="Arial"/>
                <w:b/>
              </w:rPr>
              <w:t xml:space="preserve">6C </w:t>
            </w:r>
            <w:r>
              <w:rPr>
                <w:rFonts w:cs="Arial"/>
              </w:rPr>
              <w:t>Hand Hygiene</w:t>
            </w:r>
          </w:p>
        </w:tc>
        <w:tc>
          <w:tcPr>
            <w:tcW w:w="6319" w:type="dxa"/>
            <w:vAlign w:val="center"/>
          </w:tcPr>
          <w:p w14:paraId="741C2879" w14:textId="777D5B24" w:rsidR="005361AB" w:rsidRDefault="005361AB" w:rsidP="00AD309C">
            <w:pPr>
              <w:pStyle w:val="ListParagraph"/>
              <w:numPr>
                <w:ilvl w:val="0"/>
                <w:numId w:val="403"/>
              </w:numPr>
            </w:pPr>
            <w:hyperlink w:anchor="MedicalandorSurgicalUnits" w:history="1">
              <w:r w:rsidRPr="00227879">
                <w:rPr>
                  <w:rStyle w:val="Hyperlink"/>
                </w:rPr>
                <w:t>Medical</w:t>
              </w:r>
              <w:r w:rsidR="008D42A1">
                <w:rPr>
                  <w:rStyle w:val="Hyperlink"/>
                </w:rPr>
                <w:t xml:space="preserve">, Surgical, </w:t>
              </w:r>
              <w:r w:rsidRPr="00227879">
                <w:rPr>
                  <w:rStyle w:val="Hyperlink"/>
                </w:rPr>
                <w:t>and</w:t>
              </w:r>
              <w:r w:rsidR="0057580E">
                <w:rPr>
                  <w:rStyle w:val="Hyperlink"/>
                </w:rPr>
                <w:t xml:space="preserve"> Medical/</w:t>
              </w:r>
              <w:r w:rsidRPr="00227879">
                <w:rPr>
                  <w:rStyle w:val="Hyperlink"/>
                </w:rPr>
                <w:t>Surgical Units (including telemetry</w:t>
              </w:r>
              <w:r w:rsidR="00432721">
                <w:rPr>
                  <w:rStyle w:val="Hyperlink"/>
                </w:rPr>
                <w:t xml:space="preserve"> units</w:t>
              </w:r>
              <w:r w:rsidRPr="00227879">
                <w:rPr>
                  <w:rStyle w:val="Hyperlink"/>
                </w:rPr>
                <w:t>)</w:t>
              </w:r>
            </w:hyperlink>
            <w:r w:rsidR="00227879" w:rsidRPr="00227879">
              <w:rPr>
                <w:vertAlign w:val="superscript"/>
              </w:rPr>
              <w:t>19</w:t>
            </w:r>
            <w:r w:rsidR="00B728CC">
              <w:rPr>
                <w:vertAlign w:val="superscript"/>
              </w:rPr>
              <w:t xml:space="preserve"> </w:t>
            </w:r>
            <w:r w:rsidRPr="00ED0D69">
              <w:rPr>
                <w:rFonts w:cstheme="minorHAnsi"/>
              </w:rPr>
              <w:t>(</w:t>
            </w:r>
            <w:r>
              <w:rPr>
                <w:rFonts w:cstheme="minorHAnsi"/>
              </w:rPr>
              <w:t>adult and/or pediatric)</w:t>
            </w:r>
          </w:p>
          <w:p w14:paraId="7749A2AA" w14:textId="02C6951E" w:rsidR="005361AB" w:rsidRDefault="00227879" w:rsidP="00AD309C">
            <w:pPr>
              <w:pStyle w:val="ListParagraph"/>
              <w:numPr>
                <w:ilvl w:val="0"/>
                <w:numId w:val="403"/>
              </w:numPr>
            </w:pPr>
            <w:hyperlink w:anchor="stepdown_progressiveunits_endnote20" w:history="1">
              <w:r w:rsidRPr="00227879">
                <w:rPr>
                  <w:rStyle w:val="Hyperlink"/>
                </w:rPr>
                <w:t>Step-down/Progressive Units</w:t>
              </w:r>
            </w:hyperlink>
            <w:r w:rsidRPr="00227879">
              <w:rPr>
                <w:vertAlign w:val="superscript"/>
              </w:rPr>
              <w:t>20</w:t>
            </w:r>
            <w:r>
              <w:t xml:space="preserve"> </w:t>
            </w:r>
            <w:r w:rsidR="005361AB">
              <w:rPr>
                <w:rFonts w:cstheme="minorHAnsi"/>
              </w:rPr>
              <w:t>(adult and/or pediatric)</w:t>
            </w:r>
          </w:p>
          <w:p w14:paraId="5EF24593" w14:textId="7184E355" w:rsidR="005361AB" w:rsidRPr="0028623C" w:rsidRDefault="005361AB" w:rsidP="00AD309C">
            <w:pPr>
              <w:pStyle w:val="ListParagraph"/>
              <w:numPr>
                <w:ilvl w:val="0"/>
                <w:numId w:val="401"/>
              </w:numPr>
            </w:pPr>
            <w:r>
              <w:t>Obstetrical Units (</w:t>
            </w:r>
            <w:hyperlink w:anchor="LaborandDeliveryUnits" w:history="1">
              <w:r w:rsidR="00DD077B" w:rsidRPr="00AA1E6E">
                <w:rPr>
                  <w:rStyle w:val="Hyperlink"/>
                </w:rPr>
                <w:t>Labor and Delivery Units</w:t>
              </w:r>
              <w:r w:rsidR="00DD077B" w:rsidRPr="00227879">
                <w:rPr>
                  <w:rStyle w:val="Hyperlink"/>
                  <w:color w:val="auto"/>
                  <w:u w:val="none"/>
                  <w:vertAlign w:val="superscript"/>
                </w:rPr>
                <w:t>21</w:t>
              </w:r>
            </w:hyperlink>
            <w:r w:rsidRPr="001F2388">
              <w:t>, nursery, etc., excluding procedural areas)</w:t>
            </w:r>
          </w:p>
          <w:p w14:paraId="0F63EEF3" w14:textId="533909DD" w:rsidR="005361AB" w:rsidRPr="00532D0A" w:rsidRDefault="00C51FBE" w:rsidP="00AD309C">
            <w:pPr>
              <w:pStyle w:val="ListParagraph"/>
              <w:numPr>
                <w:ilvl w:val="0"/>
                <w:numId w:val="403"/>
              </w:numPr>
              <w:rPr>
                <w:rStyle w:val="Hyperlink"/>
                <w:rFonts w:cs="Arial"/>
              </w:rPr>
            </w:pPr>
            <w:hyperlink w:anchor="generalmedicalsurgicalandneuroicu" w:history="1">
              <w:r w:rsidRPr="001F3241">
                <w:rPr>
                  <w:rStyle w:val="Hyperlink"/>
                </w:rPr>
                <w:t>General Medical</w:t>
              </w:r>
              <w:r w:rsidR="008E0AE0">
                <w:rPr>
                  <w:rStyle w:val="Hyperlink"/>
                </w:rPr>
                <w:t xml:space="preserve">, </w:t>
              </w:r>
              <w:r w:rsidRPr="001F3241">
                <w:rPr>
                  <w:rStyle w:val="Hyperlink"/>
                </w:rPr>
                <w:t>Surgical</w:t>
              </w:r>
              <w:r w:rsidR="008E0AE0">
                <w:rPr>
                  <w:rStyle w:val="Hyperlink"/>
                </w:rPr>
                <w:t xml:space="preserve">, Medical/Surgical, </w:t>
              </w:r>
              <w:r w:rsidRPr="001F3241">
                <w:rPr>
                  <w:rStyle w:val="Hyperlink"/>
                </w:rPr>
                <w:t>and Neuro ICUs</w:t>
              </w:r>
              <w:r w:rsidRPr="001F2388">
                <w:rPr>
                  <w:rStyle w:val="Hyperlink"/>
                  <w:color w:val="auto"/>
                  <w:u w:val="none"/>
                  <w:vertAlign w:val="superscript"/>
                </w:rPr>
                <w:t>14</w:t>
              </w:r>
            </w:hyperlink>
            <w:r>
              <w:rPr>
                <w:rFonts w:cstheme="minorHAnsi"/>
              </w:rPr>
              <w:t xml:space="preserve"> </w:t>
            </w:r>
            <w:r w:rsidR="005361AB">
              <w:rPr>
                <w:rFonts w:cstheme="minorHAnsi"/>
              </w:rPr>
              <w:t>(adult and/or pediatric)</w:t>
            </w:r>
          </w:p>
          <w:p w14:paraId="22BF8CC0" w14:textId="33EB6E5A" w:rsidR="00C51FBE" w:rsidRPr="00280FB6" w:rsidRDefault="000809F3" w:rsidP="00AD309C">
            <w:pPr>
              <w:pStyle w:val="ListParagraph"/>
              <w:numPr>
                <w:ilvl w:val="0"/>
                <w:numId w:val="403"/>
              </w:numPr>
              <w:rPr>
                <w:rStyle w:val="Hyperlink"/>
                <w:rFonts w:cs="Arial"/>
              </w:rPr>
            </w:pPr>
            <w:hyperlink w:anchor="neonatalICU" w:history="1">
              <w:r w:rsidRPr="005A2FEB">
                <w:rPr>
                  <w:rStyle w:val="Hyperlink"/>
                </w:rPr>
                <w:t>Level II/III, Level III, and Level IV Neonatal ICUs</w:t>
              </w:r>
            </w:hyperlink>
            <w:r w:rsidRPr="00864530">
              <w:rPr>
                <w:vertAlign w:val="superscript"/>
              </w:rPr>
              <w:t>17</w:t>
            </w:r>
            <w:r>
              <w:t xml:space="preserve"> </w:t>
            </w:r>
          </w:p>
          <w:p w14:paraId="334D525E" w14:textId="64009D86" w:rsidR="005361AB" w:rsidRPr="003A39FC" w:rsidRDefault="005361AB" w:rsidP="00AD309C">
            <w:pPr>
              <w:pStyle w:val="ListParagraph"/>
              <w:numPr>
                <w:ilvl w:val="0"/>
                <w:numId w:val="403"/>
              </w:numPr>
              <w:rPr>
                <w:rStyle w:val="Hyperlink"/>
                <w:rFonts w:cs="Arial"/>
              </w:rPr>
            </w:pPr>
            <w:r w:rsidRPr="001F2388">
              <w:rPr>
                <w:rStyle w:val="Hyperlink"/>
                <w:rFonts w:cs="Arial"/>
                <w:snapToGrid w:val="0"/>
                <w:color w:val="auto"/>
                <w:u w:val="none"/>
              </w:rPr>
              <w:t>Specialty ICUs</w:t>
            </w:r>
            <w:r w:rsidR="00A8377D">
              <w:rPr>
                <w:rStyle w:val="Hyperlink"/>
                <w:rFonts w:cs="Arial"/>
                <w:snapToGrid w:val="0"/>
                <w:color w:val="auto"/>
                <w:u w:val="none"/>
              </w:rPr>
              <w:t xml:space="preserve"> </w:t>
            </w:r>
            <w:r>
              <w:rPr>
                <w:rFonts w:cstheme="minorHAnsi"/>
              </w:rPr>
              <w:t>(adult and/or pediatric)</w:t>
            </w:r>
          </w:p>
          <w:p w14:paraId="385D9DE4" w14:textId="0F21EE20" w:rsidR="005361AB" w:rsidRPr="00532D0A" w:rsidRDefault="001724B6" w:rsidP="00AD309C">
            <w:pPr>
              <w:pStyle w:val="ListParagraph"/>
              <w:numPr>
                <w:ilvl w:val="0"/>
                <w:numId w:val="403"/>
              </w:numPr>
              <w:rPr>
                <w:rFonts w:cs="Arial"/>
              </w:rPr>
            </w:pPr>
            <w:hyperlink w:anchor="pacusendnote" w:history="1">
              <w:r w:rsidRPr="00227879">
                <w:rPr>
                  <w:rStyle w:val="Hyperlink"/>
                </w:rPr>
                <w:t>Pre-operative and Post-anesthesia Care Units</w:t>
              </w:r>
            </w:hyperlink>
            <w:r w:rsidRPr="00227879">
              <w:rPr>
                <w:vertAlign w:val="superscript"/>
              </w:rPr>
              <w:t>22</w:t>
            </w:r>
            <w:r w:rsidRPr="00BD487D">
              <w:rPr>
                <w:rFonts w:cstheme="minorHAnsi"/>
              </w:rPr>
              <w:t xml:space="preserve"> </w:t>
            </w:r>
            <w:r w:rsidR="005361AB">
              <w:rPr>
                <w:rFonts w:cstheme="minorHAnsi"/>
              </w:rPr>
              <w:t>(adult and/or pediatric)</w:t>
            </w:r>
          </w:p>
          <w:p w14:paraId="7A7F0113" w14:textId="7CF8A3E2" w:rsidR="005361AB" w:rsidRPr="00532D0A" w:rsidRDefault="005361AB" w:rsidP="00AD309C">
            <w:pPr>
              <w:pStyle w:val="ListParagraph"/>
              <w:numPr>
                <w:ilvl w:val="0"/>
                <w:numId w:val="403"/>
              </w:numPr>
              <w:rPr>
                <w:rFonts w:cs="Arial"/>
              </w:rPr>
            </w:pPr>
            <w:r w:rsidRPr="00532D0A">
              <w:rPr>
                <w:rFonts w:cs="Arial"/>
              </w:rPr>
              <w:t>Observation units</w:t>
            </w:r>
            <w:r w:rsidR="0001219A">
              <w:rPr>
                <w:rFonts w:cs="Arial"/>
              </w:rPr>
              <w:t xml:space="preserve"> </w:t>
            </w:r>
            <w:r w:rsidR="0001219A">
              <w:rPr>
                <w:rFonts w:cstheme="minorHAnsi"/>
              </w:rPr>
              <w:t>(adult and/or pediatric)</w:t>
            </w:r>
          </w:p>
          <w:p w14:paraId="75594084" w14:textId="10DB4E36" w:rsidR="005361AB" w:rsidRPr="00532D0A" w:rsidRDefault="005361AB" w:rsidP="00AD309C">
            <w:pPr>
              <w:pStyle w:val="ListParagraph"/>
              <w:numPr>
                <w:ilvl w:val="0"/>
                <w:numId w:val="403"/>
              </w:numPr>
              <w:rPr>
                <w:rFonts w:cs="Arial"/>
              </w:rPr>
            </w:pPr>
            <w:hyperlink w:anchor="emergencydepartment_endnote" w:history="1">
              <w:r w:rsidRPr="00B11370">
                <w:rPr>
                  <w:rStyle w:val="Hyperlink"/>
                </w:rPr>
                <w:t>Dedicated Emergency Department</w:t>
              </w:r>
            </w:hyperlink>
            <w:r w:rsidR="004D525C">
              <w:t>s</w:t>
            </w:r>
            <w:r w:rsidR="00F319C6" w:rsidRPr="00F319C6">
              <w:rPr>
                <w:vertAlign w:val="superscript"/>
              </w:rPr>
              <w:t>47</w:t>
            </w:r>
            <w:r w:rsidR="004D525C">
              <w:rPr>
                <w:vertAlign w:val="superscript"/>
              </w:rPr>
              <w:t xml:space="preserve"> </w:t>
            </w:r>
            <w:r w:rsidR="004D525C">
              <w:rPr>
                <w:rFonts w:cstheme="minorHAnsi"/>
              </w:rPr>
              <w:t>(adult and/or pediatric)</w:t>
            </w:r>
          </w:p>
        </w:tc>
      </w:tr>
      <w:tr w:rsidR="005361AB" w:rsidRPr="000C6DE1" w14:paraId="3A053233" w14:textId="77777777" w:rsidTr="00D73F6A">
        <w:trPr>
          <w:trHeight w:val="432"/>
          <w:jc w:val="center"/>
        </w:trPr>
        <w:tc>
          <w:tcPr>
            <w:tcW w:w="2766" w:type="dxa"/>
            <w:shd w:val="clear" w:color="auto" w:fill="D9D9D9" w:themeFill="background1" w:themeFillShade="D9"/>
          </w:tcPr>
          <w:p w14:paraId="1B3835B2" w14:textId="77777777" w:rsidR="005361AB" w:rsidRDefault="005361AB" w:rsidP="00D73F6A">
            <w:pPr>
              <w:spacing w:before="120" w:after="120"/>
              <w:rPr>
                <w:rFonts w:cs="Arial"/>
                <w:b/>
              </w:rPr>
            </w:pPr>
            <w:r>
              <w:rPr>
                <w:rFonts w:cs="Arial"/>
                <w:b/>
              </w:rPr>
              <w:t xml:space="preserve">6D </w:t>
            </w:r>
            <w:r w:rsidRPr="004D1420">
              <w:rPr>
                <w:rFonts w:cs="Arial"/>
                <w:bCs/>
              </w:rPr>
              <w:t>Diagnostic Excellence</w:t>
            </w:r>
            <w:r>
              <w:rPr>
                <w:rFonts w:cs="Arial"/>
                <w:b/>
              </w:rPr>
              <w:t xml:space="preserve"> </w:t>
            </w:r>
          </w:p>
        </w:tc>
        <w:tc>
          <w:tcPr>
            <w:tcW w:w="6319" w:type="dxa"/>
            <w:vAlign w:val="center"/>
          </w:tcPr>
          <w:p w14:paraId="5670A20A" w14:textId="77777777" w:rsidR="005361AB" w:rsidRPr="000C6DE1" w:rsidRDefault="005361AB" w:rsidP="00D73F6A">
            <w:pPr>
              <w:jc w:val="center"/>
              <w:rPr>
                <w:rFonts w:cstheme="minorHAnsi"/>
              </w:rPr>
            </w:pPr>
            <w:r>
              <w:rPr>
                <w:rFonts w:cstheme="minorHAnsi"/>
              </w:rPr>
              <w:t>N/A</w:t>
            </w:r>
          </w:p>
        </w:tc>
      </w:tr>
      <w:tr w:rsidR="005361AB" w:rsidRPr="000C6DE1" w14:paraId="69277184" w14:textId="77777777" w:rsidTr="00D73F6A">
        <w:trPr>
          <w:trHeight w:val="432"/>
          <w:jc w:val="center"/>
        </w:trPr>
        <w:tc>
          <w:tcPr>
            <w:tcW w:w="2766" w:type="dxa"/>
            <w:shd w:val="clear" w:color="auto" w:fill="D9D9D9" w:themeFill="background1" w:themeFillShade="D9"/>
          </w:tcPr>
          <w:p w14:paraId="74639CD3" w14:textId="6172EC0A" w:rsidR="005361AB" w:rsidRPr="00257D1F" w:rsidRDefault="005361AB" w:rsidP="00D73F6A">
            <w:pPr>
              <w:spacing w:before="120" w:after="120"/>
              <w:rPr>
                <w:rFonts w:cs="Arial"/>
                <w:bCs/>
              </w:rPr>
            </w:pPr>
            <w:r>
              <w:rPr>
                <w:rFonts w:cs="Arial"/>
                <w:b/>
              </w:rPr>
              <w:t xml:space="preserve">6E </w:t>
            </w:r>
            <w:r w:rsidR="00737CFB" w:rsidRPr="00730DD6">
              <w:rPr>
                <w:rFonts w:cs="Arial"/>
                <w:bCs/>
              </w:rPr>
              <w:t>Hospital Boarding in the</w:t>
            </w:r>
            <w:r w:rsidR="00737CFB">
              <w:rPr>
                <w:rFonts w:cs="Arial"/>
                <w:b/>
              </w:rPr>
              <w:t xml:space="preserve"> </w:t>
            </w:r>
            <w:r>
              <w:rPr>
                <w:rFonts w:cs="Arial"/>
                <w:bCs/>
              </w:rPr>
              <w:t>E</w:t>
            </w:r>
            <w:r w:rsidR="00B72E85">
              <w:rPr>
                <w:rFonts w:cs="Arial"/>
                <w:bCs/>
              </w:rPr>
              <w:t xml:space="preserve">mergency </w:t>
            </w:r>
            <w:r>
              <w:rPr>
                <w:rFonts w:cs="Arial"/>
                <w:bCs/>
              </w:rPr>
              <w:t>D</w:t>
            </w:r>
            <w:r w:rsidR="00B72E85">
              <w:rPr>
                <w:rFonts w:cs="Arial"/>
                <w:bCs/>
              </w:rPr>
              <w:t>epartment (ED)</w:t>
            </w:r>
          </w:p>
        </w:tc>
        <w:tc>
          <w:tcPr>
            <w:tcW w:w="6319" w:type="dxa"/>
            <w:vAlign w:val="center"/>
          </w:tcPr>
          <w:p w14:paraId="2C8443BD" w14:textId="40F7BE30" w:rsidR="005361AB" w:rsidRPr="00257D1F" w:rsidRDefault="005361AB" w:rsidP="00AD309C">
            <w:pPr>
              <w:pStyle w:val="ListParagraph"/>
              <w:numPr>
                <w:ilvl w:val="0"/>
                <w:numId w:val="403"/>
              </w:numPr>
              <w:rPr>
                <w:rFonts w:cstheme="minorHAnsi"/>
              </w:rPr>
            </w:pPr>
            <w:hyperlink w:anchor="emergencydepartment_endnote" w:history="1">
              <w:r w:rsidRPr="005D497B">
                <w:rPr>
                  <w:rStyle w:val="Hyperlink"/>
                </w:rPr>
                <w:t>Dedicated Emergency Department</w:t>
              </w:r>
              <w:r w:rsidR="004D525C">
                <w:rPr>
                  <w:rStyle w:val="Hyperlink"/>
                </w:rPr>
                <w:t>s</w:t>
              </w:r>
            </w:hyperlink>
            <w:r w:rsidR="00F319C6" w:rsidRPr="00F319C6">
              <w:rPr>
                <w:vertAlign w:val="superscript"/>
              </w:rPr>
              <w:t>47</w:t>
            </w:r>
            <w:r w:rsidR="004D525C">
              <w:rPr>
                <w:vertAlign w:val="superscript"/>
              </w:rPr>
              <w:t xml:space="preserve"> </w:t>
            </w:r>
            <w:r w:rsidR="004D525C">
              <w:rPr>
                <w:rFonts w:cstheme="minorHAnsi"/>
              </w:rPr>
              <w:t>(adult and/or pediatric)</w:t>
            </w:r>
          </w:p>
        </w:tc>
      </w:tr>
      <w:tr w:rsidR="005361AB" w:rsidRPr="009A5185" w14:paraId="0DA39C71" w14:textId="77777777" w:rsidTr="00D73F6A">
        <w:trPr>
          <w:trHeight w:val="20"/>
          <w:jc w:val="center"/>
        </w:trPr>
        <w:tc>
          <w:tcPr>
            <w:tcW w:w="2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AB636" w14:textId="77777777" w:rsidR="005361AB" w:rsidRPr="009A5185" w:rsidRDefault="005361AB" w:rsidP="00D73F6A">
            <w:pPr>
              <w:tabs>
                <w:tab w:val="left" w:pos="1485"/>
              </w:tabs>
              <w:spacing w:before="120" w:after="120"/>
              <w:rPr>
                <w:rFonts w:cs="Arial"/>
              </w:rPr>
            </w:pPr>
            <w:r w:rsidRPr="009A5185">
              <w:rPr>
                <w:rFonts w:cs="Arial"/>
                <w:b/>
              </w:rPr>
              <w:t>7A</w:t>
            </w:r>
            <w:r w:rsidRPr="009A5185">
              <w:rPr>
                <w:rFonts w:cs="Arial"/>
              </w:rPr>
              <w:t xml:space="preserve"> Never Events</w:t>
            </w:r>
            <w:r>
              <w:rPr>
                <w:rFonts w:cs="Arial"/>
              </w:rPr>
              <w:t xml:space="preserve"> </w:t>
            </w:r>
          </w:p>
        </w:tc>
        <w:tc>
          <w:tcPr>
            <w:tcW w:w="6319" w:type="dxa"/>
            <w:tcBorders>
              <w:top w:val="single" w:sz="4" w:space="0" w:color="auto"/>
              <w:left w:val="single" w:sz="4" w:space="0" w:color="auto"/>
              <w:bottom w:val="single" w:sz="4" w:space="0" w:color="auto"/>
            </w:tcBorders>
            <w:vAlign w:val="center"/>
          </w:tcPr>
          <w:p w14:paraId="4C6D069D" w14:textId="77777777" w:rsidR="005361AB" w:rsidRPr="009A5185" w:rsidRDefault="005361AB" w:rsidP="00D73F6A">
            <w:pPr>
              <w:jc w:val="center"/>
              <w:rPr>
                <w:rFonts w:cs="Arial"/>
              </w:rPr>
            </w:pPr>
            <w:r w:rsidRPr="000C6DE1">
              <w:rPr>
                <w:rFonts w:cstheme="minorHAnsi"/>
              </w:rPr>
              <w:t>N/A</w:t>
            </w:r>
          </w:p>
        </w:tc>
      </w:tr>
      <w:tr w:rsidR="005361AB" w:rsidRPr="009A5185" w14:paraId="7992BAAC" w14:textId="77777777" w:rsidTr="00D73F6A">
        <w:trPr>
          <w:trHeight w:val="432"/>
          <w:jc w:val="center"/>
        </w:trPr>
        <w:tc>
          <w:tcPr>
            <w:tcW w:w="2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541A3" w14:textId="77777777" w:rsidR="005361AB" w:rsidRPr="009A5185" w:rsidRDefault="005361AB" w:rsidP="00D73F6A">
            <w:pPr>
              <w:spacing w:before="120" w:after="120"/>
              <w:rPr>
                <w:rFonts w:cs="Arial"/>
              </w:rPr>
            </w:pPr>
            <w:r w:rsidRPr="009A5185">
              <w:rPr>
                <w:rFonts w:cs="Arial"/>
                <w:b/>
              </w:rPr>
              <w:t>7B</w:t>
            </w:r>
            <w:r w:rsidRPr="009A5185">
              <w:rPr>
                <w:rFonts w:cs="Arial"/>
              </w:rPr>
              <w:t xml:space="preserve"> Healthcare-Associated Infections</w:t>
            </w:r>
          </w:p>
        </w:tc>
        <w:tc>
          <w:tcPr>
            <w:tcW w:w="6319" w:type="dxa"/>
            <w:tcBorders>
              <w:top w:val="single" w:sz="4" w:space="0" w:color="auto"/>
              <w:left w:val="single" w:sz="4" w:space="0" w:color="auto"/>
              <w:bottom w:val="single" w:sz="4" w:space="0" w:color="auto"/>
            </w:tcBorders>
            <w:vAlign w:val="center"/>
          </w:tcPr>
          <w:p w14:paraId="3CA3F8F6" w14:textId="77777777" w:rsidR="005361AB" w:rsidRPr="009A5185" w:rsidRDefault="005361AB" w:rsidP="00D73F6A">
            <w:pPr>
              <w:jc w:val="center"/>
              <w:rPr>
                <w:rFonts w:cs="Arial"/>
              </w:rPr>
            </w:pPr>
            <w:r>
              <w:rPr>
                <w:rFonts w:cstheme="minorHAnsi"/>
              </w:rPr>
              <w:t>N/A</w:t>
            </w:r>
          </w:p>
        </w:tc>
      </w:tr>
      <w:tr w:rsidR="005361AB" w:rsidRPr="009A5185" w14:paraId="24EDD814" w14:textId="77777777" w:rsidTr="00D73F6A">
        <w:trPr>
          <w:trHeight w:val="288"/>
          <w:jc w:val="center"/>
        </w:trPr>
        <w:tc>
          <w:tcPr>
            <w:tcW w:w="2766" w:type="dxa"/>
            <w:shd w:val="clear" w:color="auto" w:fill="D9D9D9" w:themeFill="background1" w:themeFillShade="D9"/>
          </w:tcPr>
          <w:p w14:paraId="0D10595D" w14:textId="77777777" w:rsidR="005361AB" w:rsidRPr="009A5185" w:rsidRDefault="005361AB" w:rsidP="00D73F6A">
            <w:pPr>
              <w:spacing w:before="120" w:after="120"/>
              <w:rPr>
                <w:rFonts w:cs="Arial"/>
                <w:b/>
              </w:rPr>
            </w:pPr>
            <w:r>
              <w:rPr>
                <w:rFonts w:cs="Arial"/>
                <w:b/>
              </w:rPr>
              <w:lastRenderedPageBreak/>
              <w:t>8</w:t>
            </w:r>
            <w:r w:rsidRPr="009A5185">
              <w:rPr>
                <w:rFonts w:cs="Arial"/>
                <w:b/>
              </w:rPr>
              <w:t xml:space="preserve">A </w:t>
            </w:r>
            <w:r w:rsidRPr="00F72C9F">
              <w:rPr>
                <w:rFonts w:cs="Arial"/>
                <w:bCs/>
              </w:rPr>
              <w:t>Patient Experience (</w:t>
            </w:r>
            <w:r w:rsidRPr="009A5185">
              <w:rPr>
                <w:rFonts w:cs="Arial"/>
              </w:rPr>
              <w:t>CAHPS Child Hospital Survey</w:t>
            </w:r>
            <w:r>
              <w:rPr>
                <w:rFonts w:cs="Arial"/>
              </w:rPr>
              <w:t>)</w:t>
            </w:r>
          </w:p>
        </w:tc>
        <w:tc>
          <w:tcPr>
            <w:tcW w:w="6319" w:type="dxa"/>
            <w:vAlign w:val="center"/>
          </w:tcPr>
          <w:p w14:paraId="47410872" w14:textId="77777777" w:rsidR="005361AB" w:rsidRPr="009A5185" w:rsidRDefault="005361AB" w:rsidP="00D73F6A">
            <w:pPr>
              <w:jc w:val="center"/>
              <w:rPr>
                <w:rFonts w:cs="Arial"/>
              </w:rPr>
            </w:pPr>
            <w:r>
              <w:rPr>
                <w:rFonts w:cstheme="minorHAnsi"/>
              </w:rPr>
              <w:t>N/A</w:t>
            </w:r>
          </w:p>
        </w:tc>
      </w:tr>
      <w:tr w:rsidR="005361AB" w:rsidRPr="009A5185" w14:paraId="79D7AA19" w14:textId="77777777" w:rsidTr="00D73F6A">
        <w:trPr>
          <w:trHeight w:val="288"/>
          <w:jc w:val="center"/>
        </w:trPr>
        <w:tc>
          <w:tcPr>
            <w:tcW w:w="2766" w:type="dxa"/>
            <w:shd w:val="clear" w:color="auto" w:fill="D9D9D9" w:themeFill="background1" w:themeFillShade="D9"/>
          </w:tcPr>
          <w:p w14:paraId="538748DD" w14:textId="77777777" w:rsidR="005361AB" w:rsidRPr="009A5185" w:rsidRDefault="005361AB" w:rsidP="00D73F6A">
            <w:pPr>
              <w:spacing w:before="120" w:after="120"/>
              <w:rPr>
                <w:rFonts w:cs="Arial"/>
              </w:rPr>
            </w:pPr>
            <w:r>
              <w:rPr>
                <w:rFonts w:cs="Arial"/>
                <w:b/>
              </w:rPr>
              <w:t>8</w:t>
            </w:r>
            <w:r w:rsidRPr="009A5185">
              <w:rPr>
                <w:rFonts w:cs="Arial"/>
                <w:b/>
              </w:rPr>
              <w:t xml:space="preserve">B </w:t>
            </w:r>
            <w:r w:rsidRPr="009A5185">
              <w:rPr>
                <w:rFonts w:cs="Arial"/>
              </w:rPr>
              <w:t>Pediatric Computed Tomography (CT) Radiation Dose</w:t>
            </w:r>
          </w:p>
        </w:tc>
        <w:tc>
          <w:tcPr>
            <w:tcW w:w="6319" w:type="dxa"/>
            <w:vAlign w:val="center"/>
          </w:tcPr>
          <w:p w14:paraId="080318B6" w14:textId="77777777" w:rsidR="005361AB" w:rsidRPr="009A5185" w:rsidRDefault="005361AB" w:rsidP="00D73F6A">
            <w:pPr>
              <w:jc w:val="center"/>
              <w:rPr>
                <w:rFonts w:cs="Arial"/>
              </w:rPr>
            </w:pPr>
            <w:r>
              <w:rPr>
                <w:rFonts w:cstheme="minorHAnsi"/>
              </w:rPr>
              <w:t>N/A</w:t>
            </w:r>
          </w:p>
        </w:tc>
      </w:tr>
      <w:tr w:rsidR="005361AB" w:rsidRPr="00141B21" w14:paraId="70A0DF08" w14:textId="77777777" w:rsidTr="00D73F6A">
        <w:trPr>
          <w:trHeight w:val="20"/>
          <w:jc w:val="center"/>
        </w:trPr>
        <w:tc>
          <w:tcPr>
            <w:tcW w:w="2766" w:type="dxa"/>
            <w:shd w:val="clear" w:color="auto" w:fill="D9D9D9" w:themeFill="background1" w:themeFillShade="D9"/>
          </w:tcPr>
          <w:p w14:paraId="61A572D2" w14:textId="77777777" w:rsidR="005361AB" w:rsidRPr="00853E29" w:rsidRDefault="005361AB" w:rsidP="00D73F6A">
            <w:pPr>
              <w:spacing w:before="120" w:after="120"/>
              <w:rPr>
                <w:rFonts w:cs="Arial"/>
              </w:rPr>
            </w:pPr>
            <w:r>
              <w:rPr>
                <w:rFonts w:cs="Arial"/>
                <w:b/>
              </w:rPr>
              <w:t xml:space="preserve">9A </w:t>
            </w:r>
            <w:r>
              <w:rPr>
                <w:rFonts w:cs="Arial"/>
              </w:rPr>
              <w:t>Basic Outpatient Department Information</w:t>
            </w:r>
          </w:p>
        </w:tc>
        <w:tc>
          <w:tcPr>
            <w:tcW w:w="6319" w:type="dxa"/>
            <w:vAlign w:val="center"/>
          </w:tcPr>
          <w:p w14:paraId="2332D84E" w14:textId="77777777" w:rsidR="005361AB" w:rsidRPr="00141B21" w:rsidRDefault="005361AB" w:rsidP="00D73F6A">
            <w:pPr>
              <w:jc w:val="center"/>
              <w:rPr>
                <w:rFonts w:cs="Arial"/>
              </w:rPr>
            </w:pPr>
            <w:r>
              <w:rPr>
                <w:rFonts w:cstheme="minorHAnsi"/>
              </w:rPr>
              <w:t>N/A</w:t>
            </w:r>
          </w:p>
        </w:tc>
      </w:tr>
      <w:tr w:rsidR="005361AB" w:rsidRPr="00141B21" w14:paraId="2F505F41" w14:textId="77777777" w:rsidTr="00D73F6A">
        <w:trPr>
          <w:trHeight w:val="144"/>
          <w:jc w:val="center"/>
        </w:trPr>
        <w:tc>
          <w:tcPr>
            <w:tcW w:w="2766" w:type="dxa"/>
            <w:shd w:val="clear" w:color="auto" w:fill="D9D9D9" w:themeFill="background1" w:themeFillShade="D9"/>
          </w:tcPr>
          <w:p w14:paraId="669926AC" w14:textId="77777777" w:rsidR="005361AB" w:rsidRPr="00853E29" w:rsidRDefault="005361AB" w:rsidP="00D73F6A">
            <w:pPr>
              <w:spacing w:before="120" w:after="120"/>
              <w:rPr>
                <w:rFonts w:cs="Arial"/>
              </w:rPr>
            </w:pPr>
            <w:r>
              <w:rPr>
                <w:rFonts w:cs="Arial"/>
                <w:b/>
              </w:rPr>
              <w:t xml:space="preserve">9B </w:t>
            </w:r>
            <w:r>
              <w:rPr>
                <w:rFonts w:cs="Arial"/>
              </w:rPr>
              <w:t>Medical, Surgical, and Clinical Staff</w:t>
            </w:r>
          </w:p>
        </w:tc>
        <w:tc>
          <w:tcPr>
            <w:tcW w:w="6319" w:type="dxa"/>
            <w:vAlign w:val="center"/>
          </w:tcPr>
          <w:p w14:paraId="1C6D7C90" w14:textId="77777777" w:rsidR="005361AB" w:rsidRPr="00141B21" w:rsidRDefault="005361AB" w:rsidP="00D73F6A">
            <w:pPr>
              <w:jc w:val="center"/>
              <w:rPr>
                <w:rFonts w:cs="Arial"/>
              </w:rPr>
            </w:pPr>
            <w:r>
              <w:rPr>
                <w:rFonts w:cstheme="minorHAnsi"/>
              </w:rPr>
              <w:t>N/A</w:t>
            </w:r>
          </w:p>
        </w:tc>
      </w:tr>
      <w:tr w:rsidR="005361AB" w:rsidRPr="00141B21" w14:paraId="044E9D93" w14:textId="77777777" w:rsidTr="00D73F6A">
        <w:trPr>
          <w:trHeight w:val="144"/>
          <w:jc w:val="center"/>
        </w:trPr>
        <w:tc>
          <w:tcPr>
            <w:tcW w:w="2766" w:type="dxa"/>
            <w:shd w:val="clear" w:color="auto" w:fill="D9D9D9" w:themeFill="background1" w:themeFillShade="D9"/>
          </w:tcPr>
          <w:p w14:paraId="39630A45" w14:textId="77777777" w:rsidR="005361AB" w:rsidRDefault="005361AB" w:rsidP="00D73F6A">
            <w:pPr>
              <w:spacing w:before="120" w:after="120"/>
              <w:rPr>
                <w:rFonts w:cs="Arial"/>
                <w:b/>
              </w:rPr>
            </w:pPr>
            <w:r>
              <w:rPr>
                <w:rFonts w:cs="Arial"/>
                <w:b/>
              </w:rPr>
              <w:t xml:space="preserve">9C </w:t>
            </w:r>
            <w:r>
              <w:rPr>
                <w:rFonts w:cs="Arial"/>
              </w:rPr>
              <w:t>Volume of Procedures</w:t>
            </w:r>
          </w:p>
        </w:tc>
        <w:tc>
          <w:tcPr>
            <w:tcW w:w="6319" w:type="dxa"/>
            <w:vAlign w:val="center"/>
          </w:tcPr>
          <w:p w14:paraId="278DC1C0" w14:textId="77777777" w:rsidR="005361AB" w:rsidRPr="00141B21" w:rsidRDefault="005361AB" w:rsidP="00D73F6A">
            <w:pPr>
              <w:jc w:val="center"/>
              <w:rPr>
                <w:rFonts w:cstheme="minorHAnsi"/>
              </w:rPr>
            </w:pPr>
            <w:r>
              <w:rPr>
                <w:rFonts w:cstheme="minorHAnsi"/>
              </w:rPr>
              <w:t>N/A</w:t>
            </w:r>
          </w:p>
        </w:tc>
      </w:tr>
      <w:tr w:rsidR="005361AB" w14:paraId="1E182E9B" w14:textId="77777777" w:rsidTr="005D541A">
        <w:trPr>
          <w:trHeight w:val="467"/>
          <w:jc w:val="center"/>
        </w:trPr>
        <w:tc>
          <w:tcPr>
            <w:tcW w:w="2766" w:type="dxa"/>
            <w:shd w:val="clear" w:color="auto" w:fill="D9D9D9" w:themeFill="background1" w:themeFillShade="D9"/>
          </w:tcPr>
          <w:p w14:paraId="56FFB411" w14:textId="67161C38" w:rsidR="005361AB" w:rsidRDefault="005361AB" w:rsidP="00D73F6A">
            <w:pPr>
              <w:spacing w:before="120" w:after="120"/>
              <w:rPr>
                <w:rFonts w:cs="Arial"/>
                <w:b/>
              </w:rPr>
            </w:pPr>
            <w:r>
              <w:rPr>
                <w:rFonts w:cs="Arial"/>
                <w:b/>
              </w:rPr>
              <w:t xml:space="preserve">9D </w:t>
            </w:r>
            <w:r>
              <w:rPr>
                <w:rFonts w:cs="Arial"/>
              </w:rPr>
              <w:t>Safety of Procedures</w:t>
            </w:r>
          </w:p>
        </w:tc>
        <w:tc>
          <w:tcPr>
            <w:tcW w:w="6319" w:type="dxa"/>
            <w:vAlign w:val="center"/>
          </w:tcPr>
          <w:p w14:paraId="2AABDBB3" w14:textId="77777777" w:rsidR="005361AB" w:rsidRDefault="005361AB" w:rsidP="00D73F6A">
            <w:pPr>
              <w:jc w:val="center"/>
              <w:rPr>
                <w:rFonts w:cs="Arial"/>
              </w:rPr>
            </w:pPr>
            <w:r>
              <w:rPr>
                <w:rFonts w:cs="Arial"/>
              </w:rPr>
              <w:t>N/A</w:t>
            </w:r>
          </w:p>
        </w:tc>
      </w:tr>
      <w:tr w:rsidR="005361AB" w:rsidRPr="00141B21" w14:paraId="53A2630C" w14:textId="77777777" w:rsidTr="00D73F6A">
        <w:trPr>
          <w:jc w:val="center"/>
        </w:trPr>
        <w:tc>
          <w:tcPr>
            <w:tcW w:w="2766" w:type="dxa"/>
            <w:shd w:val="clear" w:color="auto" w:fill="D9D9D9" w:themeFill="background1" w:themeFillShade="D9"/>
          </w:tcPr>
          <w:p w14:paraId="20C0BC37" w14:textId="77777777" w:rsidR="005361AB" w:rsidRPr="00853E29" w:rsidRDefault="005361AB" w:rsidP="00D73F6A">
            <w:pPr>
              <w:spacing w:before="120" w:after="120"/>
              <w:rPr>
                <w:rFonts w:cs="Arial"/>
              </w:rPr>
            </w:pPr>
            <w:r>
              <w:rPr>
                <w:rFonts w:cs="Arial"/>
                <w:b/>
              </w:rPr>
              <w:t xml:space="preserve">9E </w:t>
            </w:r>
            <w:r>
              <w:rPr>
                <w:rFonts w:cs="Arial"/>
              </w:rPr>
              <w:t>Medication Safety for Outpatient Procedures</w:t>
            </w:r>
          </w:p>
        </w:tc>
        <w:tc>
          <w:tcPr>
            <w:tcW w:w="6319" w:type="dxa"/>
            <w:vAlign w:val="center"/>
          </w:tcPr>
          <w:p w14:paraId="1D013D89" w14:textId="77777777" w:rsidR="005361AB" w:rsidRPr="00141B21" w:rsidRDefault="005361AB" w:rsidP="00D73F6A">
            <w:pPr>
              <w:jc w:val="center"/>
              <w:rPr>
                <w:rFonts w:cs="Arial"/>
              </w:rPr>
            </w:pPr>
            <w:r>
              <w:rPr>
                <w:rFonts w:cstheme="minorHAnsi"/>
              </w:rPr>
              <w:t>N/A</w:t>
            </w:r>
          </w:p>
        </w:tc>
      </w:tr>
      <w:tr w:rsidR="005361AB" w:rsidRPr="00141B21" w14:paraId="35D26596" w14:textId="77777777" w:rsidTr="00D73F6A">
        <w:trPr>
          <w:trHeight w:val="539"/>
          <w:jc w:val="center"/>
        </w:trPr>
        <w:tc>
          <w:tcPr>
            <w:tcW w:w="2766" w:type="dxa"/>
            <w:shd w:val="clear" w:color="auto" w:fill="D9D9D9" w:themeFill="background1" w:themeFillShade="D9"/>
          </w:tcPr>
          <w:p w14:paraId="17BE98A1" w14:textId="56458AB3" w:rsidR="005361AB" w:rsidRPr="00853E29" w:rsidRDefault="005361AB" w:rsidP="00D73F6A">
            <w:pPr>
              <w:spacing w:before="120" w:after="120"/>
              <w:rPr>
                <w:rFonts w:cs="Arial"/>
              </w:rPr>
            </w:pPr>
            <w:r>
              <w:rPr>
                <w:rFonts w:cs="Arial"/>
                <w:b/>
              </w:rPr>
              <w:t xml:space="preserve">9F </w:t>
            </w:r>
            <w:r w:rsidR="00FA1DAC">
              <w:rPr>
                <w:rFonts w:cs="Arial"/>
              </w:rPr>
              <w:t>CMS Measures</w:t>
            </w:r>
          </w:p>
        </w:tc>
        <w:tc>
          <w:tcPr>
            <w:tcW w:w="6319" w:type="dxa"/>
            <w:vAlign w:val="center"/>
          </w:tcPr>
          <w:p w14:paraId="05F22718" w14:textId="77777777" w:rsidR="005361AB" w:rsidRPr="00141B21" w:rsidRDefault="005361AB" w:rsidP="00D73F6A">
            <w:pPr>
              <w:jc w:val="center"/>
              <w:rPr>
                <w:rFonts w:cs="Arial"/>
              </w:rPr>
            </w:pPr>
            <w:r>
              <w:rPr>
                <w:rFonts w:cstheme="minorHAnsi"/>
              </w:rPr>
              <w:t>N/A</w:t>
            </w:r>
          </w:p>
        </w:tc>
      </w:tr>
    </w:tbl>
    <w:p w14:paraId="5BEFA6A3" w14:textId="1E2A99EF" w:rsidR="00F61ED5" w:rsidRDefault="00134EBF" w:rsidP="00446D22">
      <w:pPr>
        <w:rPr>
          <w:rFonts w:cs="Arial"/>
          <w:snapToGrid w:val="0"/>
        </w:rPr>
      </w:pPr>
      <w:r w:rsidRPr="009A5185">
        <w:rPr>
          <w:rFonts w:cs="Arial"/>
          <w:snapToGrid w:val="0"/>
        </w:rPr>
        <w:br w:type="page"/>
      </w:r>
    </w:p>
    <w:p w14:paraId="7917FADA" w14:textId="77777777" w:rsidR="005361AB" w:rsidRDefault="005361AB" w:rsidP="00446D22">
      <w:pPr>
        <w:rPr>
          <w:rFonts w:cs="Arial"/>
          <w:snapToGrid w:val="0"/>
        </w:rPr>
      </w:pPr>
    </w:p>
    <w:p w14:paraId="15E5868E" w14:textId="77777777" w:rsidR="0004301B" w:rsidRDefault="0004301B" w:rsidP="00446D22">
      <w:pPr>
        <w:rPr>
          <w:rFonts w:cs="Arial"/>
          <w:snapToGrid w:val="0"/>
        </w:rPr>
      </w:pPr>
    </w:p>
    <w:p w14:paraId="4B1A7A0F" w14:textId="67CF470C" w:rsidR="0004301B" w:rsidRPr="009A5185" w:rsidRDefault="0004301B" w:rsidP="00446D22">
      <w:pPr>
        <w:rPr>
          <w:rFonts w:cs="Arial"/>
          <w:snapToGrid w:val="0"/>
        </w:rPr>
        <w:sectPr w:rsidR="0004301B" w:rsidRPr="009A5185" w:rsidSect="00062F69">
          <w:headerReference w:type="default" r:id="rId90"/>
          <w:endnotePr>
            <w:numFmt w:val="decimal"/>
          </w:endnotePr>
          <w:type w:val="continuous"/>
          <w:pgSz w:w="12240" w:h="15840"/>
          <w:pgMar w:top="1080" w:right="1440" w:bottom="1080" w:left="1440" w:header="720" w:footer="720" w:gutter="0"/>
          <w:cols w:space="720"/>
          <w:docGrid w:linePitch="272"/>
        </w:sectPr>
      </w:pPr>
    </w:p>
    <w:p w14:paraId="51C97733" w14:textId="77777777" w:rsidR="008733FC" w:rsidRPr="009A5185" w:rsidRDefault="008733FC" w:rsidP="00446D22">
      <w:pPr>
        <w:rPr>
          <w:rFonts w:cs="Arial"/>
          <w:b/>
          <w:snapToGrid w:val="0"/>
          <w:color w:val="A6A6A6" w:themeColor="background1" w:themeShade="A6"/>
          <w:sz w:val="40"/>
          <w:szCs w:val="40"/>
        </w:rPr>
        <w:sectPr w:rsidR="008733FC" w:rsidRPr="009A5185" w:rsidSect="00062F69">
          <w:headerReference w:type="default" r:id="rId91"/>
          <w:endnotePr>
            <w:numFmt w:val="decimal"/>
          </w:endnotePr>
          <w:type w:val="continuous"/>
          <w:pgSz w:w="12240" w:h="15840"/>
          <w:pgMar w:top="1080" w:right="1440" w:bottom="1080" w:left="1440" w:header="720" w:footer="720" w:gutter="0"/>
          <w:cols w:space="720"/>
          <w:docGrid w:linePitch="272"/>
        </w:sectPr>
      </w:pPr>
    </w:p>
    <w:p w14:paraId="38EED2FE" w14:textId="77777777" w:rsidR="008A32DF" w:rsidRPr="009A5185" w:rsidRDefault="007A7396" w:rsidP="00D32C75">
      <w:pPr>
        <w:pStyle w:val="SectionHeader"/>
      </w:pPr>
      <w:bookmarkStart w:id="56" w:name="_Toc225877658"/>
      <w:r w:rsidRPr="009A5185">
        <w:t>Page Intentionally Left Blank</w:t>
      </w:r>
      <w:bookmarkEnd w:id="56"/>
    </w:p>
    <w:p w14:paraId="3D213097" w14:textId="77777777" w:rsidR="007A7396" w:rsidRPr="009A5185" w:rsidRDefault="007A7396">
      <w:pPr>
        <w:rPr>
          <w:rFonts w:cs="Arial"/>
          <w:b/>
          <w:snapToGrid w:val="0"/>
          <w:color w:val="A6A6A6" w:themeColor="background1" w:themeShade="A6"/>
          <w:sz w:val="40"/>
          <w:szCs w:val="40"/>
        </w:rPr>
      </w:pPr>
      <w:r w:rsidRPr="009A5185">
        <w:rPr>
          <w:rFonts w:cs="Arial"/>
          <w:b/>
          <w:snapToGrid w:val="0"/>
          <w:color w:val="A6A6A6" w:themeColor="background1" w:themeShade="A6"/>
          <w:sz w:val="40"/>
          <w:szCs w:val="40"/>
        </w:rPr>
        <w:br w:type="page"/>
      </w:r>
    </w:p>
    <w:p w14:paraId="3D51F449" w14:textId="77777777" w:rsidR="00D640EB" w:rsidRPr="009A5185" w:rsidRDefault="00D640EB" w:rsidP="007A7396">
      <w:pPr>
        <w:jc w:val="center"/>
        <w:rPr>
          <w:rFonts w:cs="Arial"/>
          <w:b/>
          <w:snapToGrid w:val="0"/>
          <w:color w:val="A6A6A6" w:themeColor="background1" w:themeShade="A6"/>
          <w:sz w:val="40"/>
          <w:szCs w:val="40"/>
        </w:rPr>
        <w:sectPr w:rsidR="00D640EB" w:rsidRPr="009A5185" w:rsidSect="00062F69">
          <w:headerReference w:type="default" r:id="rId92"/>
          <w:endnotePr>
            <w:numFmt w:val="decimal"/>
          </w:endnotePr>
          <w:type w:val="continuous"/>
          <w:pgSz w:w="12240" w:h="15840"/>
          <w:pgMar w:top="1080" w:right="1440" w:bottom="1080" w:left="1440" w:header="720" w:footer="720" w:gutter="0"/>
          <w:cols w:space="720"/>
          <w:docGrid w:linePitch="272"/>
        </w:sectPr>
      </w:pPr>
    </w:p>
    <w:p w14:paraId="0C156FC9" w14:textId="77777777" w:rsidR="007A7396" w:rsidRPr="009A5185" w:rsidRDefault="007A7396" w:rsidP="007D0C84">
      <w:pPr>
        <w:rPr>
          <w:snapToGrid w:val="0"/>
        </w:rPr>
      </w:pPr>
    </w:p>
    <w:p w14:paraId="7436C4B1" w14:textId="77777777" w:rsidR="008A32DF" w:rsidRDefault="008A32DF" w:rsidP="007D0C84"/>
    <w:p w14:paraId="78860600" w14:textId="77777777" w:rsidR="00B43F10" w:rsidRDefault="00B43F10" w:rsidP="007D0C84"/>
    <w:p w14:paraId="68C1664B" w14:textId="77777777" w:rsidR="00B43F10" w:rsidRDefault="00B43F10" w:rsidP="007D0C84"/>
    <w:p w14:paraId="19CE6345" w14:textId="77777777" w:rsidR="00B43F10" w:rsidRDefault="00B43F10" w:rsidP="007D0C84"/>
    <w:p w14:paraId="5E32F6C0" w14:textId="77777777" w:rsidR="00B43F10" w:rsidRDefault="00B43F10" w:rsidP="007D0C84"/>
    <w:p w14:paraId="4A5FEEC8" w14:textId="77777777" w:rsidR="00B43F10" w:rsidRDefault="00B43F10" w:rsidP="007D0C84"/>
    <w:p w14:paraId="1DD98DB5" w14:textId="77777777" w:rsidR="00B43F10" w:rsidRDefault="00B43F10" w:rsidP="007D0C84"/>
    <w:p w14:paraId="26CA0B6E" w14:textId="77777777" w:rsidR="00B43F10" w:rsidRDefault="00B43F10" w:rsidP="007D0C84"/>
    <w:p w14:paraId="1DE64B30" w14:textId="77777777" w:rsidR="00B43F10" w:rsidRDefault="00B43F10" w:rsidP="007D0C84"/>
    <w:p w14:paraId="5D6B2BE6" w14:textId="77777777" w:rsidR="00B43F10" w:rsidRPr="009A5185" w:rsidRDefault="00B43F10" w:rsidP="007D0C84"/>
    <w:p w14:paraId="7424B1CF" w14:textId="77777777" w:rsidR="008A32DF" w:rsidRPr="009A5185" w:rsidRDefault="008A32DF" w:rsidP="007D0C84"/>
    <w:p w14:paraId="3EC6479D" w14:textId="77777777" w:rsidR="008A32DF" w:rsidRPr="009A5185" w:rsidRDefault="008A32DF" w:rsidP="007D0C84"/>
    <w:p w14:paraId="0DCE38AE" w14:textId="0C870A71" w:rsidR="00F750C5" w:rsidRDefault="00F750C5" w:rsidP="00F750C5"/>
    <w:p w14:paraId="33A85829" w14:textId="26B4D93A" w:rsidR="00F750C5" w:rsidRDefault="00F750C5" w:rsidP="00F750C5"/>
    <w:p w14:paraId="02FE4491" w14:textId="5210833C" w:rsidR="00F750C5" w:rsidRDefault="00F750C5" w:rsidP="00F750C5"/>
    <w:p w14:paraId="5E8788EF" w14:textId="407AF5FD" w:rsidR="00F750C5" w:rsidRDefault="00F750C5" w:rsidP="00F750C5"/>
    <w:p w14:paraId="483BCB58" w14:textId="77777777" w:rsidR="00F750C5" w:rsidRPr="009A5185" w:rsidRDefault="00F750C5" w:rsidP="007D0C84"/>
    <w:p w14:paraId="00A19A5D" w14:textId="77777777" w:rsidR="00B441E9" w:rsidRPr="009A5185" w:rsidRDefault="00662780" w:rsidP="00D32C75">
      <w:pPr>
        <w:pStyle w:val="SectionHeader"/>
      </w:pPr>
      <w:bookmarkStart w:id="57" w:name="_Toc225877659"/>
      <w:bookmarkStart w:id="58" w:name="Profile"/>
      <w:r>
        <w:t xml:space="preserve">HOSPITAL </w:t>
      </w:r>
      <w:r w:rsidR="00B441E9" w:rsidRPr="009A5185">
        <w:t>PROFILE</w:t>
      </w:r>
      <w:bookmarkEnd w:id="57"/>
    </w:p>
    <w:bookmarkEnd w:id="58"/>
    <w:p w14:paraId="52AB9C4E" w14:textId="77777777" w:rsidR="006A6287" w:rsidRPr="009A5185" w:rsidRDefault="006A6287" w:rsidP="007D0C84"/>
    <w:p w14:paraId="1C9830DC" w14:textId="77777777" w:rsidR="006A6287" w:rsidRPr="009A5185" w:rsidRDefault="006A6287" w:rsidP="006A6287">
      <w:pPr>
        <w:rPr>
          <w:rFonts w:cs="Arial"/>
        </w:rPr>
      </w:pPr>
    </w:p>
    <w:p w14:paraId="159722AB" w14:textId="6AD08FB2" w:rsidR="006A6287" w:rsidRPr="009A5185" w:rsidRDefault="00E26FA1" w:rsidP="00FA0352">
      <w:pPr>
        <w:rPr>
          <w:rFonts w:cs="Arial"/>
        </w:rPr>
      </w:pPr>
      <w:r w:rsidRPr="009A5185">
        <w:rPr>
          <w:rFonts w:cs="Arial"/>
        </w:rPr>
        <w:t xml:space="preserve">Hospitals must complete </w:t>
      </w:r>
      <w:r w:rsidR="00783C51" w:rsidRPr="009A5185">
        <w:rPr>
          <w:rFonts w:cs="Arial"/>
        </w:rPr>
        <w:t xml:space="preserve">and </w:t>
      </w:r>
      <w:r w:rsidR="00CC078E" w:rsidRPr="009A5185">
        <w:rPr>
          <w:rFonts w:cs="Arial"/>
        </w:rPr>
        <w:t xml:space="preserve">submit </w:t>
      </w:r>
      <w:r w:rsidR="00D66EDA" w:rsidRPr="009A5185">
        <w:rPr>
          <w:rFonts w:cs="Arial"/>
        </w:rPr>
        <w:t xml:space="preserve">a </w:t>
      </w:r>
      <w:r w:rsidR="00E2077F">
        <w:rPr>
          <w:rFonts w:cs="Arial"/>
        </w:rPr>
        <w:t xml:space="preserve">Hospital </w:t>
      </w:r>
      <w:r w:rsidR="00D66EDA" w:rsidRPr="009A5185">
        <w:rPr>
          <w:rFonts w:cs="Arial"/>
        </w:rPr>
        <w:t xml:space="preserve">Profile </w:t>
      </w:r>
      <w:r w:rsidR="00836A2B">
        <w:rPr>
          <w:rFonts w:cs="Arial"/>
        </w:rPr>
        <w:t>via the Online Hospital Survey Tool</w:t>
      </w:r>
      <w:r w:rsidR="00D66EDA" w:rsidRPr="009A5185">
        <w:rPr>
          <w:rFonts w:cs="Arial"/>
        </w:rPr>
        <w:t xml:space="preserve"> </w:t>
      </w:r>
      <w:r w:rsidR="00836A2B">
        <w:rPr>
          <w:rFonts w:cs="Arial"/>
        </w:rPr>
        <w:t xml:space="preserve">before accessing </w:t>
      </w:r>
      <w:r w:rsidR="00D66EDA" w:rsidRPr="009A5185">
        <w:rPr>
          <w:rFonts w:cs="Arial"/>
        </w:rPr>
        <w:t xml:space="preserve">the </w:t>
      </w:r>
      <w:r w:rsidR="00534C84">
        <w:rPr>
          <w:rFonts w:cs="Arial"/>
        </w:rPr>
        <w:t>Hospital Survey Dashboard</w:t>
      </w:r>
      <w:r w:rsidR="00A0306D">
        <w:rPr>
          <w:rFonts w:cs="Arial"/>
        </w:rPr>
        <w:t xml:space="preserve"> for</w:t>
      </w:r>
      <w:r w:rsidRPr="009A5185">
        <w:rPr>
          <w:rFonts w:cs="Arial"/>
        </w:rPr>
        <w:t xml:space="preserve"> the first time</w:t>
      </w:r>
      <w:r w:rsidR="00E56C09" w:rsidRPr="009A5185">
        <w:rPr>
          <w:rFonts w:cs="Arial"/>
        </w:rPr>
        <w:t xml:space="preserve">. The Profile is available </w:t>
      </w:r>
      <w:r w:rsidR="006730FE" w:rsidRPr="009A5185">
        <w:rPr>
          <w:rFonts w:cs="Arial"/>
        </w:rPr>
        <w:t>year-round</w:t>
      </w:r>
      <w:r w:rsidRPr="009A5185">
        <w:rPr>
          <w:rFonts w:cs="Arial"/>
        </w:rPr>
        <w:t xml:space="preserve"> and should be </w:t>
      </w:r>
      <w:r w:rsidR="00B93E94" w:rsidRPr="009A5185">
        <w:rPr>
          <w:rFonts w:cs="Arial"/>
        </w:rPr>
        <w:t>updated</w:t>
      </w:r>
      <w:r w:rsidR="00836A2B">
        <w:rPr>
          <w:rFonts w:cs="Arial"/>
        </w:rPr>
        <w:t xml:space="preserve"> </w:t>
      </w:r>
      <w:r w:rsidRPr="009A5185">
        <w:rPr>
          <w:rFonts w:cs="Arial"/>
        </w:rPr>
        <w:t>as ne</w:t>
      </w:r>
      <w:r w:rsidR="00836A2B">
        <w:rPr>
          <w:rFonts w:cs="Arial"/>
        </w:rPr>
        <w:t>eded</w:t>
      </w:r>
      <w:r w:rsidRPr="009A5185">
        <w:rPr>
          <w:rFonts w:cs="Arial"/>
        </w:rPr>
        <w:t>.</w:t>
      </w:r>
    </w:p>
    <w:p w14:paraId="6219BD2E" w14:textId="6E010566" w:rsidR="007C3262" w:rsidRPr="009A5185" w:rsidRDefault="002D5331" w:rsidP="00B441E9">
      <w:pPr>
        <w:rPr>
          <w:rFonts w:cs="Arial"/>
          <w:b/>
          <w:sz w:val="40"/>
          <w:szCs w:val="40"/>
        </w:rPr>
      </w:pPr>
      <w:r w:rsidRPr="009A5185">
        <w:rPr>
          <w:rFonts w:cs="Arial"/>
          <w:b/>
          <w:sz w:val="40"/>
          <w:szCs w:val="40"/>
        </w:rPr>
        <w:br w:type="page"/>
      </w:r>
    </w:p>
    <w:p w14:paraId="107B7D5B" w14:textId="21EB0A97" w:rsidR="008910AA" w:rsidRPr="009A5185" w:rsidRDefault="009B58A0" w:rsidP="00CF5A6E">
      <w:pPr>
        <w:pStyle w:val="Heading2"/>
      </w:pPr>
      <w:bookmarkStart w:id="59" w:name="_Toc225877660"/>
      <w:r>
        <w:lastRenderedPageBreak/>
        <w:t xml:space="preserve">Hospital </w:t>
      </w:r>
      <w:r w:rsidR="00950575" w:rsidRPr="009A5185">
        <w:t>P</w:t>
      </w:r>
      <w:r w:rsidR="007A2824" w:rsidRPr="009A5185">
        <w:t>rofile</w:t>
      </w:r>
      <w:bookmarkEnd w:id="59"/>
    </w:p>
    <w:p w14:paraId="6C84D842" w14:textId="77777777" w:rsidR="008910AA" w:rsidRPr="009A5185" w:rsidRDefault="008910AA" w:rsidP="007D0C84">
      <w:bookmarkStart w:id="60" w:name="_Organization_Information"/>
      <w:bookmarkEnd w:id="60"/>
    </w:p>
    <w:p w14:paraId="22C8795E" w14:textId="03C68DE3" w:rsidR="00EA1769" w:rsidRDefault="00DD2598">
      <w:pPr>
        <w:rPr>
          <w:rFonts w:cs="Arial"/>
          <w:snapToGrid w:val="0"/>
          <w:color w:val="000000" w:themeColor="text1"/>
        </w:rPr>
      </w:pPr>
      <w:r w:rsidRPr="009A5185">
        <w:rPr>
          <w:rFonts w:cs="Arial"/>
          <w:snapToGrid w:val="0"/>
          <w:color w:val="000000" w:themeColor="text1"/>
        </w:rPr>
        <w:t xml:space="preserve">The </w:t>
      </w:r>
      <w:r>
        <w:rPr>
          <w:rFonts w:cs="Arial"/>
          <w:snapToGrid w:val="0"/>
          <w:color w:val="000000" w:themeColor="text1"/>
        </w:rPr>
        <w:t>Hospital P</w:t>
      </w:r>
      <w:r w:rsidRPr="009A5185">
        <w:rPr>
          <w:rFonts w:cs="Arial"/>
          <w:snapToGrid w:val="0"/>
          <w:color w:val="000000" w:themeColor="text1"/>
        </w:rPr>
        <w:t xml:space="preserve">rofile includes questions about demographic and contact information. The </w:t>
      </w:r>
      <w:r w:rsidR="005F7855">
        <w:rPr>
          <w:rFonts w:cs="Arial"/>
          <w:snapToGrid w:val="0"/>
          <w:color w:val="000000" w:themeColor="text1"/>
        </w:rPr>
        <w:t>Profile</w:t>
      </w:r>
      <w:r w:rsidRPr="009A5185">
        <w:rPr>
          <w:rFonts w:cs="Arial"/>
          <w:snapToGrid w:val="0"/>
          <w:color w:val="000000" w:themeColor="text1"/>
        </w:rPr>
        <w:t xml:space="preserve"> can be accessed and updated anytime throughout the year </w:t>
      </w:r>
      <w:r w:rsidR="001B3564">
        <w:rPr>
          <w:rFonts w:cs="Arial"/>
          <w:snapToGrid w:val="0"/>
          <w:color w:val="000000" w:themeColor="text1"/>
        </w:rPr>
        <w:t>after</w:t>
      </w:r>
      <w:r w:rsidRPr="009A5185">
        <w:rPr>
          <w:rFonts w:cs="Arial"/>
          <w:snapToGrid w:val="0"/>
          <w:color w:val="000000" w:themeColor="text1"/>
        </w:rPr>
        <w:t xml:space="preserve"> logging into the </w:t>
      </w:r>
      <w:hyperlink r:id="rId93" w:history="1">
        <w:r w:rsidR="001B3564">
          <w:rPr>
            <w:rStyle w:val="Hyperlink"/>
            <w:rFonts w:cs="Arial"/>
            <w:snapToGrid w:val="0"/>
          </w:rPr>
          <w:t>Online Hospital Survey Tool</w:t>
        </w:r>
      </w:hyperlink>
      <w:r w:rsidR="001B3564">
        <w:rPr>
          <w:rFonts w:cs="Arial"/>
          <w:snapToGrid w:val="0"/>
          <w:color w:val="000000" w:themeColor="text1"/>
        </w:rPr>
        <w:t>.</w:t>
      </w:r>
    </w:p>
    <w:p w14:paraId="5F2A097E" w14:textId="77777777" w:rsidR="00DD2598" w:rsidRPr="009A5185" w:rsidRDefault="00DD2598">
      <w:pPr>
        <w:rPr>
          <w:rFonts w:cs="Arial"/>
        </w:rPr>
      </w:pPr>
    </w:p>
    <w:p w14:paraId="34B26431" w14:textId="50D99BF8" w:rsidR="00FB04B0" w:rsidRPr="009A5185" w:rsidRDefault="00950575">
      <w:pPr>
        <w:rPr>
          <w:rFonts w:cs="Arial"/>
        </w:rPr>
      </w:pPr>
      <w:r w:rsidRPr="009A5185">
        <w:rPr>
          <w:rFonts w:cs="Arial"/>
        </w:rPr>
        <w:t xml:space="preserve">The </w:t>
      </w:r>
      <w:r w:rsidR="00E2077F">
        <w:rPr>
          <w:rFonts w:cs="Arial"/>
        </w:rPr>
        <w:t xml:space="preserve">Hospital </w:t>
      </w:r>
      <w:r w:rsidRPr="009A5185">
        <w:rPr>
          <w:rFonts w:cs="Arial"/>
        </w:rPr>
        <w:t xml:space="preserve">Profile must be completed and </w:t>
      </w:r>
      <w:r w:rsidR="009F731C" w:rsidRPr="009A5185">
        <w:rPr>
          <w:rFonts w:cs="Arial"/>
        </w:rPr>
        <w:t xml:space="preserve">submitted </w:t>
      </w:r>
      <w:r w:rsidRPr="009A5185">
        <w:rPr>
          <w:rFonts w:cs="Arial"/>
        </w:rPr>
        <w:t xml:space="preserve">before you can access </w:t>
      </w:r>
      <w:r w:rsidR="004B22C6">
        <w:rPr>
          <w:rFonts w:cs="Arial"/>
        </w:rPr>
        <w:t>Sections 1-</w:t>
      </w:r>
      <w:r w:rsidR="005F7855">
        <w:rPr>
          <w:rFonts w:cs="Arial"/>
        </w:rPr>
        <w:t>9</w:t>
      </w:r>
      <w:r w:rsidR="004B22C6">
        <w:rPr>
          <w:rFonts w:cs="Arial"/>
        </w:rPr>
        <w:t xml:space="preserve"> </w:t>
      </w:r>
      <w:r w:rsidR="00193375">
        <w:rPr>
          <w:rFonts w:cs="Arial"/>
        </w:rPr>
        <w:t xml:space="preserve">and the CPOE Evaluation Tool </w:t>
      </w:r>
      <w:r w:rsidR="004E4096">
        <w:rPr>
          <w:rFonts w:cs="Arial"/>
        </w:rPr>
        <w:t>on the Survey Dashboard.</w:t>
      </w:r>
    </w:p>
    <w:p w14:paraId="77040ACC" w14:textId="1ACADC7A" w:rsidR="00DD2598" w:rsidRPr="009A5185" w:rsidRDefault="00FB04B0">
      <w:pPr>
        <w:rPr>
          <w:rFonts w:cs="Arial"/>
        </w:rPr>
      </w:pPr>
      <w:r w:rsidRPr="009A5185">
        <w:rPr>
          <w:rFonts w:cs="Arial"/>
        </w:rPr>
        <w:br w:type="page"/>
      </w:r>
    </w:p>
    <w:p w14:paraId="44840B05" w14:textId="416F23F7" w:rsidR="00DA56A9" w:rsidRDefault="000C2C54" w:rsidP="00CF5A6E">
      <w:pPr>
        <w:pStyle w:val="Heading2"/>
      </w:pPr>
      <w:bookmarkStart w:id="61" w:name="_Hospital_Profile"/>
      <w:bookmarkStart w:id="62" w:name="_Toc225877661"/>
      <w:bookmarkEnd w:id="61"/>
      <w:r>
        <w:lastRenderedPageBreak/>
        <w:t xml:space="preserve">Hospital </w:t>
      </w:r>
      <w:r w:rsidRPr="009A5185">
        <w:t>Profile</w:t>
      </w:r>
      <w:bookmarkEnd w:id="62"/>
    </w:p>
    <w:p w14:paraId="5FC39671" w14:textId="77777777" w:rsidR="000C2C54" w:rsidRPr="004D1420" w:rsidRDefault="000C2C54" w:rsidP="002A23C7"/>
    <w:p w14:paraId="18A78733" w14:textId="2A625E73" w:rsidR="008910AA" w:rsidRPr="009A5185" w:rsidRDefault="001B3383">
      <w:pPr>
        <w:rPr>
          <w:rFonts w:cs="Arial"/>
        </w:rPr>
      </w:pPr>
      <w:r w:rsidRPr="009A5185">
        <w:rPr>
          <w:rFonts w:cs="Arial"/>
          <w:snapToGrid w:val="0"/>
        </w:rPr>
        <w:t xml:space="preserve">Hospitals that share a </w:t>
      </w:r>
      <w:r w:rsidR="00522419">
        <w:rPr>
          <w:rFonts w:cs="Arial"/>
          <w:snapToGrid w:val="0"/>
        </w:rPr>
        <w:t>CMS Certification Number</w:t>
      </w:r>
      <w:r w:rsidRPr="009A5185">
        <w:rPr>
          <w:rFonts w:cs="Arial"/>
          <w:snapToGrid w:val="0"/>
        </w:rPr>
        <w:t xml:space="preserve"> are required to report by facility. Please carefully review </w:t>
      </w:r>
      <w:hyperlink r:id="rId94" w:history="1">
        <w:r w:rsidRPr="009A5185">
          <w:rPr>
            <w:rStyle w:val="Hyperlink"/>
            <w:rFonts w:cs="Arial"/>
            <w:snapToGrid w:val="0"/>
          </w:rPr>
          <w:t>Leapfrog’s Multi-Campus Reporting Policy</w:t>
        </w:r>
      </w:hyperlink>
      <w:r w:rsidRPr="009A5185">
        <w:rPr>
          <w:rFonts w:cs="Arial"/>
          <w:snapToGrid w:val="0"/>
        </w:rPr>
        <w:t>.</w:t>
      </w:r>
    </w:p>
    <w:p w14:paraId="6DFA74D5" w14:textId="77777777" w:rsidR="00432BEF" w:rsidRPr="004D1420" w:rsidRDefault="00432BEF" w:rsidP="002A23C7"/>
    <w:p w14:paraId="3C611042" w14:textId="77777777" w:rsidR="00033FB4" w:rsidRPr="009A5185" w:rsidRDefault="00671BE9">
      <w:pPr>
        <w:rPr>
          <w:rFonts w:cs="Arial"/>
          <w:color w:val="FF0000"/>
        </w:rPr>
      </w:pPr>
      <w:r w:rsidRPr="009A5185">
        <w:rPr>
          <w:rFonts w:cs="Arial"/>
          <w:b/>
          <w:color w:val="FF0000"/>
        </w:rPr>
        <w:t xml:space="preserve">Important </w:t>
      </w:r>
      <w:r w:rsidR="0046544E" w:rsidRPr="009A5185">
        <w:rPr>
          <w:rFonts w:cs="Arial"/>
          <w:b/>
          <w:color w:val="FF0000"/>
        </w:rPr>
        <w:t>Note</w:t>
      </w:r>
      <w:r w:rsidR="00033FB4" w:rsidRPr="009A5185">
        <w:rPr>
          <w:rFonts w:cs="Arial"/>
          <w:b/>
          <w:color w:val="FF0000"/>
        </w:rPr>
        <w:t>s</w:t>
      </w:r>
      <w:r w:rsidR="0046544E" w:rsidRPr="009A5185">
        <w:rPr>
          <w:rFonts w:cs="Arial"/>
          <w:b/>
          <w:color w:val="FF0000"/>
        </w:rPr>
        <w:t>:</w:t>
      </w:r>
      <w:r w:rsidR="0046544E" w:rsidRPr="009A5185">
        <w:rPr>
          <w:rFonts w:cs="Arial"/>
          <w:color w:val="FF0000"/>
        </w:rPr>
        <w:t xml:space="preserve"> </w:t>
      </w:r>
    </w:p>
    <w:p w14:paraId="72B977A2" w14:textId="77777777" w:rsidR="00033FB4" w:rsidRPr="004D1420" w:rsidRDefault="00033FB4" w:rsidP="002A23C7"/>
    <w:p w14:paraId="502F82E1" w14:textId="52A96407" w:rsidR="0046544E" w:rsidRPr="009A5185" w:rsidRDefault="00033FB4">
      <w:pPr>
        <w:rPr>
          <w:rFonts w:cs="Arial"/>
        </w:rPr>
      </w:pPr>
      <w:r w:rsidRPr="009A5185">
        <w:rPr>
          <w:rFonts w:cs="Arial"/>
        </w:rPr>
        <w:t xml:space="preserve">Note 1: </w:t>
      </w:r>
      <w:r w:rsidR="00DF647F" w:rsidRPr="009A5185">
        <w:rPr>
          <w:rFonts w:cs="Arial"/>
        </w:rPr>
        <w:t xml:space="preserve">Leapfrog </w:t>
      </w:r>
      <w:r w:rsidR="005E0B5C" w:rsidRPr="009A5185">
        <w:rPr>
          <w:rFonts w:cs="Arial"/>
        </w:rPr>
        <w:t>uses an</w:t>
      </w:r>
      <w:r w:rsidR="00DF647F" w:rsidRPr="009A5185">
        <w:rPr>
          <w:rFonts w:cs="Arial"/>
        </w:rPr>
        <w:t xml:space="preserve"> administration system that links contacts shared by hospitals</w:t>
      </w:r>
      <w:r w:rsidR="00C14AFF" w:rsidRPr="009A5185">
        <w:rPr>
          <w:rFonts w:cs="Arial"/>
        </w:rPr>
        <w:t xml:space="preserve"> (</w:t>
      </w:r>
      <w:r w:rsidR="000A554A" w:rsidRPr="009A5185">
        <w:rPr>
          <w:rFonts w:cs="Arial"/>
        </w:rPr>
        <w:t>i.e.,</w:t>
      </w:r>
      <w:r w:rsidR="00C14AFF" w:rsidRPr="009A5185">
        <w:rPr>
          <w:rFonts w:cs="Arial"/>
        </w:rPr>
        <w:t xml:space="preserve"> CEOs, Survey Contacts, System C</w:t>
      </w:r>
      <w:r w:rsidR="00DF794C" w:rsidRPr="009A5185">
        <w:rPr>
          <w:rFonts w:cs="Arial"/>
        </w:rPr>
        <w:t>ontacts, and P</w:t>
      </w:r>
      <w:r w:rsidR="00C14AFF" w:rsidRPr="009A5185">
        <w:rPr>
          <w:rFonts w:cs="Arial"/>
        </w:rPr>
        <w:t xml:space="preserve">ublic </w:t>
      </w:r>
      <w:r w:rsidR="00DF794C" w:rsidRPr="009A5185">
        <w:rPr>
          <w:rFonts w:cs="Arial"/>
        </w:rPr>
        <w:t>R</w:t>
      </w:r>
      <w:r w:rsidR="00C14AFF" w:rsidRPr="009A5185">
        <w:rPr>
          <w:rFonts w:cs="Arial"/>
        </w:rPr>
        <w:t>elations C</w:t>
      </w:r>
      <w:r w:rsidR="00DF794C" w:rsidRPr="009A5185">
        <w:rPr>
          <w:rFonts w:cs="Arial"/>
        </w:rPr>
        <w:t xml:space="preserve">ontacts). </w:t>
      </w:r>
      <w:r w:rsidR="00DF647F" w:rsidRPr="009A5185">
        <w:rPr>
          <w:rFonts w:cs="Arial"/>
        </w:rPr>
        <w:t>Only one phone numbe</w:t>
      </w:r>
      <w:r w:rsidR="00DF794C" w:rsidRPr="009A5185">
        <w:rPr>
          <w:rFonts w:cs="Arial"/>
        </w:rPr>
        <w:t>r and email address will be maintained</w:t>
      </w:r>
      <w:r w:rsidR="00DF647F" w:rsidRPr="009A5185">
        <w:rPr>
          <w:rFonts w:cs="Arial"/>
        </w:rPr>
        <w:t xml:space="preserve"> for each contact, meaning that if this </w:t>
      </w:r>
      <w:r w:rsidR="00DF794C" w:rsidRPr="009A5185">
        <w:rPr>
          <w:rFonts w:cs="Arial"/>
        </w:rPr>
        <w:t xml:space="preserve">shared </w:t>
      </w:r>
      <w:r w:rsidR="00DF647F" w:rsidRPr="009A5185">
        <w:rPr>
          <w:rFonts w:cs="Arial"/>
        </w:rPr>
        <w:t>contact</w:t>
      </w:r>
      <w:r w:rsidR="00DF794C" w:rsidRPr="009A5185">
        <w:rPr>
          <w:rFonts w:cs="Arial"/>
        </w:rPr>
        <w:t>’s</w:t>
      </w:r>
      <w:r w:rsidR="00DF647F" w:rsidRPr="009A5185">
        <w:rPr>
          <w:rFonts w:cs="Arial"/>
        </w:rPr>
        <w:t xml:space="preserve"> information is updated in one hospital’s Profile, it will be updated for all hospitals associated with the contact.</w:t>
      </w:r>
    </w:p>
    <w:p w14:paraId="49BCC37C" w14:textId="77777777" w:rsidR="00033FB4" w:rsidRPr="004D1420" w:rsidRDefault="00033FB4">
      <w:pPr>
        <w:rPr>
          <w:rFonts w:cs="Arial"/>
        </w:rPr>
      </w:pPr>
    </w:p>
    <w:p w14:paraId="69A44C67" w14:textId="23F591AB" w:rsidR="00033FB4" w:rsidRPr="009A5185" w:rsidRDefault="00B74EEF">
      <w:pPr>
        <w:rPr>
          <w:rFonts w:cs="Arial"/>
        </w:rPr>
      </w:pPr>
      <w:r>
        <w:rPr>
          <w:rFonts w:cs="Arial"/>
        </w:rPr>
        <w:t xml:space="preserve">Note 2: </w:t>
      </w:r>
      <w:r w:rsidR="00106D80" w:rsidRPr="00106D80">
        <w:rPr>
          <w:rFonts w:cs="Arial"/>
        </w:rPr>
        <w:t xml:space="preserve">Following </w:t>
      </w:r>
      <w:hyperlink r:id="rId95" w:history="1">
        <w:r w:rsidR="00106D80" w:rsidRPr="00106D80">
          <w:rPr>
            <w:rStyle w:val="Hyperlink"/>
            <w:rFonts w:cs="Arial"/>
          </w:rPr>
          <w:t>Leapfrog’s Extensive Monthly Data Verification</w:t>
        </w:r>
      </w:hyperlink>
      <w:r w:rsidR="00106D80" w:rsidRPr="00106D80">
        <w:rPr>
          <w:rFonts w:cs="Arial"/>
        </w:rPr>
        <w:t>, the Primary Survey Contact, Secondary Survey Contact, and System Survey Contact will receive an email from the Help Desk detailing potential reporting errors.</w:t>
      </w:r>
    </w:p>
    <w:p w14:paraId="5F13FBE2" w14:textId="77777777" w:rsidR="0046544E" w:rsidRPr="004D1420" w:rsidRDefault="0046544E">
      <w:pPr>
        <w:rPr>
          <w:rFonts w:cs="Arial"/>
        </w:rPr>
      </w:pPr>
    </w:p>
    <w:p w14:paraId="1CB2FF98" w14:textId="46FFA5EE" w:rsidR="00950575" w:rsidRDefault="00C84CCE" w:rsidP="00AB5B80">
      <w:pPr>
        <w:pStyle w:val="Heading3"/>
      </w:pPr>
      <w:bookmarkStart w:id="63" w:name="_Toc225877662"/>
      <w:r>
        <w:t>Hospital</w:t>
      </w:r>
      <w:r w:rsidRPr="00BB1339">
        <w:t xml:space="preserve"> </w:t>
      </w:r>
      <w:r w:rsidR="00BB1F3E" w:rsidRPr="00BB1339">
        <w:t>Information</w:t>
      </w:r>
      <w:bookmarkEnd w:id="63"/>
    </w:p>
    <w:p w14:paraId="0534BE6E" w14:textId="77777777" w:rsidR="00F9246C" w:rsidRPr="004D1420" w:rsidRDefault="00F9246C" w:rsidP="00F9246C">
      <w:pPr>
        <w:rPr>
          <w:lang w:eastAsia="ja-JP"/>
        </w:rPr>
      </w:pPr>
    </w:p>
    <w:tbl>
      <w:tblPr>
        <w:tblStyle w:val="TableGrid"/>
        <w:tblW w:w="0" w:type="auto"/>
        <w:jc w:val="center"/>
        <w:tblLook w:val="04A0" w:firstRow="1" w:lastRow="0" w:firstColumn="1" w:lastColumn="0" w:noHBand="0" w:noVBand="1"/>
      </w:tblPr>
      <w:tblGrid>
        <w:gridCol w:w="4674"/>
        <w:gridCol w:w="4676"/>
      </w:tblGrid>
      <w:tr w:rsidR="00BB1F3E" w:rsidRPr="006E26E4" w14:paraId="04CEBA57" w14:textId="77777777" w:rsidTr="00403A54">
        <w:trPr>
          <w:jc w:val="center"/>
        </w:trPr>
        <w:tc>
          <w:tcPr>
            <w:tcW w:w="4674" w:type="dxa"/>
            <w:shd w:val="clear" w:color="auto" w:fill="D9D9D9" w:themeFill="background1" w:themeFillShade="D9"/>
          </w:tcPr>
          <w:p w14:paraId="2D993C36" w14:textId="77777777" w:rsidR="00BB1F3E" w:rsidRPr="00FA46D8" w:rsidRDefault="00BB1F3E" w:rsidP="00E50A07">
            <w:pPr>
              <w:spacing w:before="40"/>
              <w:rPr>
                <w:rFonts w:cs="Arial"/>
                <w:b/>
                <w:lang w:eastAsia="ja-JP"/>
              </w:rPr>
            </w:pPr>
            <w:r w:rsidRPr="00FA46D8">
              <w:rPr>
                <w:rFonts w:cs="Arial"/>
                <w:b/>
                <w:lang w:eastAsia="ja-JP"/>
              </w:rPr>
              <w:t>Organization Name</w:t>
            </w:r>
          </w:p>
          <w:p w14:paraId="2E18E320" w14:textId="7F03D3C1" w:rsidR="009752AC" w:rsidRPr="00FA46D8" w:rsidRDefault="009752AC" w:rsidP="00E50A07">
            <w:pPr>
              <w:spacing w:before="40"/>
              <w:rPr>
                <w:rFonts w:cs="Arial"/>
                <w:bCs/>
                <w:lang w:eastAsia="ja-JP"/>
              </w:rPr>
            </w:pPr>
            <w:r w:rsidRPr="00FA46D8">
              <w:rPr>
                <w:rFonts w:cs="Arial"/>
                <w:bCs/>
                <w:lang w:eastAsia="ja-JP"/>
              </w:rPr>
              <w:t xml:space="preserve">This is the name that will appear on Leapfrog’s public reporting website. </w:t>
            </w:r>
          </w:p>
        </w:tc>
        <w:tc>
          <w:tcPr>
            <w:tcW w:w="4676" w:type="dxa"/>
            <w:shd w:val="clear" w:color="auto" w:fill="D9D9D9" w:themeFill="background1" w:themeFillShade="D9"/>
          </w:tcPr>
          <w:p w14:paraId="0BCE1905" w14:textId="72E93972" w:rsidR="00BB1F3E" w:rsidRPr="00FA46D8" w:rsidRDefault="008321FE" w:rsidP="00E50A07">
            <w:pPr>
              <w:spacing w:before="40"/>
              <w:rPr>
                <w:rFonts w:cs="Arial"/>
                <w:b/>
                <w:lang w:eastAsia="ja-JP"/>
              </w:rPr>
            </w:pPr>
            <w:hyperlink w:anchor="Endnote1_CCN" w:history="1">
              <w:r w:rsidRPr="00FA46D8">
                <w:rPr>
                  <w:rStyle w:val="Hyperlink"/>
                  <w:rFonts w:cs="Arial"/>
                  <w:b/>
                  <w:lang w:eastAsia="ja-JP"/>
                </w:rPr>
                <w:t>CMS Certification Number (CCN)</w:t>
              </w:r>
            </w:hyperlink>
            <w:r w:rsidR="00BF053F">
              <w:rPr>
                <w:rFonts w:ascii="ZWAdobeF" w:hAnsi="ZWAdobeF" w:cs="ZWAdobeF"/>
                <w:sz w:val="2"/>
                <w:szCs w:val="2"/>
              </w:rPr>
              <w:t>1F</w:t>
            </w:r>
            <w:r w:rsidR="004C7557">
              <w:rPr>
                <w:rFonts w:ascii="ZWAdobeF" w:hAnsi="ZWAdobeF" w:cs="ZWAdobeF"/>
                <w:sz w:val="2"/>
                <w:szCs w:val="2"/>
              </w:rPr>
              <w:t>1F</w:t>
            </w:r>
            <w:r w:rsidR="00C2087D">
              <w:rPr>
                <w:rFonts w:ascii="ZWAdobeF" w:hAnsi="ZWAdobeF" w:cs="ZWAdobeF"/>
                <w:sz w:val="2"/>
                <w:szCs w:val="2"/>
              </w:rPr>
              <w:t>1F</w:t>
            </w:r>
            <w:r w:rsidR="00B55C41">
              <w:rPr>
                <w:rFonts w:ascii="ZWAdobeF" w:hAnsi="ZWAdobeF" w:cs="ZWAdobeF"/>
                <w:sz w:val="2"/>
                <w:szCs w:val="2"/>
              </w:rPr>
              <w:t>1F</w:t>
            </w:r>
            <w:r w:rsidR="006255A6">
              <w:rPr>
                <w:rFonts w:ascii="ZWAdobeF" w:hAnsi="ZWAdobeF" w:cs="ZWAdobeF"/>
                <w:sz w:val="2"/>
                <w:szCs w:val="2"/>
              </w:rPr>
              <w:t>1F</w:t>
            </w:r>
            <w:r w:rsidR="00E453C7">
              <w:rPr>
                <w:rFonts w:ascii="ZWAdobeF" w:hAnsi="ZWAdobeF" w:cs="ZWAdobeF"/>
                <w:sz w:val="2"/>
                <w:szCs w:val="2"/>
              </w:rPr>
              <w:t>1F</w:t>
            </w:r>
            <w:r w:rsidR="00953060">
              <w:rPr>
                <w:rFonts w:ascii="ZWAdobeF" w:hAnsi="ZWAdobeF" w:cs="ZWAdobeF"/>
                <w:sz w:val="2"/>
                <w:szCs w:val="2"/>
              </w:rPr>
              <w:t>1F</w:t>
            </w:r>
            <w:r w:rsidR="00DD04D6">
              <w:rPr>
                <w:rFonts w:ascii="ZWAdobeF" w:hAnsi="ZWAdobeF" w:cs="ZWAdobeF"/>
                <w:sz w:val="2"/>
                <w:szCs w:val="2"/>
              </w:rPr>
              <w:t>1F</w:t>
            </w:r>
            <w:r w:rsidR="000469EC" w:rsidRPr="00FA46D8">
              <w:rPr>
                <w:rStyle w:val="EndnoteReference"/>
                <w:rFonts w:cs="Arial"/>
                <w:b/>
                <w:lang w:eastAsia="ja-JP"/>
              </w:rPr>
              <w:endnoteReference w:id="3"/>
            </w:r>
          </w:p>
          <w:p w14:paraId="7CA298D9" w14:textId="31D891A2" w:rsidR="0018702E" w:rsidRPr="00FA46D8" w:rsidRDefault="0018702E" w:rsidP="00E50A07">
            <w:pPr>
              <w:spacing w:before="40"/>
              <w:rPr>
                <w:rFonts w:cs="Arial"/>
                <w:lang w:eastAsia="ja-JP"/>
              </w:rPr>
            </w:pPr>
            <w:r w:rsidRPr="00FA46D8">
              <w:rPr>
                <w:rFonts w:cs="Arial"/>
                <w:lang w:eastAsia="ja-JP"/>
              </w:rPr>
              <w:t xml:space="preserve">If the </w:t>
            </w:r>
            <w:r w:rsidR="008321FE" w:rsidRPr="00FA46D8">
              <w:rPr>
                <w:rFonts w:cs="Arial"/>
                <w:lang w:eastAsia="ja-JP"/>
              </w:rPr>
              <w:t>CCN</w:t>
            </w:r>
            <w:r w:rsidRPr="00FA46D8">
              <w:rPr>
                <w:rFonts w:cs="Arial"/>
                <w:lang w:eastAsia="ja-JP"/>
              </w:rPr>
              <w:t xml:space="preserve"> displayed in the </w:t>
            </w:r>
            <w:r w:rsidR="00C14AFF" w:rsidRPr="00FA46D8">
              <w:rPr>
                <w:rFonts w:cs="Arial"/>
                <w:lang w:eastAsia="ja-JP"/>
              </w:rPr>
              <w:t>Online</w:t>
            </w:r>
            <w:r w:rsidR="0030307C" w:rsidRPr="00FA46D8">
              <w:rPr>
                <w:rFonts w:cs="Arial"/>
                <w:lang w:eastAsia="ja-JP"/>
              </w:rPr>
              <w:t xml:space="preserve"> Hospital</w:t>
            </w:r>
            <w:r w:rsidR="00C14AFF" w:rsidRPr="00FA46D8">
              <w:rPr>
                <w:rFonts w:cs="Arial"/>
                <w:lang w:eastAsia="ja-JP"/>
              </w:rPr>
              <w:t xml:space="preserve"> Survey Tool</w:t>
            </w:r>
            <w:r w:rsidRPr="00FA46D8">
              <w:rPr>
                <w:rFonts w:cs="Arial"/>
                <w:lang w:eastAsia="ja-JP"/>
              </w:rPr>
              <w:t xml:space="preserve"> is not correct, contact the</w:t>
            </w:r>
            <w:r w:rsidR="00E20A75" w:rsidRPr="00FA46D8">
              <w:rPr>
                <w:rFonts w:cs="Arial"/>
                <w:lang w:eastAsia="ja-JP"/>
              </w:rPr>
              <w:t xml:space="preserve"> Leapfrog</w:t>
            </w:r>
            <w:r w:rsidRPr="00FA46D8">
              <w:rPr>
                <w:rFonts w:cs="Arial"/>
                <w:lang w:eastAsia="ja-JP"/>
              </w:rPr>
              <w:t xml:space="preserve"> </w:t>
            </w:r>
            <w:hyperlink r:id="rId96" w:history="1">
              <w:r w:rsidRPr="00FA46D8">
                <w:rPr>
                  <w:rStyle w:val="Hyperlink"/>
                  <w:rFonts w:cs="Arial"/>
                  <w:lang w:eastAsia="ja-JP"/>
                </w:rPr>
                <w:t>Help Desk</w:t>
              </w:r>
            </w:hyperlink>
            <w:r w:rsidRPr="00FA46D8">
              <w:rPr>
                <w:rFonts w:cs="Arial"/>
                <w:lang w:eastAsia="ja-JP"/>
              </w:rPr>
              <w:t xml:space="preserve"> immediately. </w:t>
            </w:r>
          </w:p>
        </w:tc>
      </w:tr>
      <w:tr w:rsidR="00BB1F3E" w:rsidRPr="006E26E4" w14:paraId="23DC175E" w14:textId="77777777" w:rsidTr="00403A54">
        <w:trPr>
          <w:jc w:val="center"/>
        </w:trPr>
        <w:tc>
          <w:tcPr>
            <w:tcW w:w="4674" w:type="dxa"/>
            <w:tcBorders>
              <w:bottom w:val="single" w:sz="4" w:space="0" w:color="auto"/>
            </w:tcBorders>
          </w:tcPr>
          <w:p w14:paraId="09CF58AD" w14:textId="77777777" w:rsidR="00BB1F3E" w:rsidRPr="00FA46D8" w:rsidRDefault="00BB1F3E" w:rsidP="00BB1F3E">
            <w:pPr>
              <w:rPr>
                <w:rFonts w:cs="Arial"/>
                <w:lang w:eastAsia="ja-JP"/>
              </w:rPr>
            </w:pPr>
          </w:p>
        </w:tc>
        <w:tc>
          <w:tcPr>
            <w:tcW w:w="4676" w:type="dxa"/>
            <w:tcBorders>
              <w:bottom w:val="single" w:sz="4" w:space="0" w:color="auto"/>
            </w:tcBorders>
          </w:tcPr>
          <w:p w14:paraId="728999BF" w14:textId="77777777" w:rsidR="00BB1F3E" w:rsidRPr="00FA46D8" w:rsidRDefault="00BB1F3E" w:rsidP="00BB1F3E">
            <w:pPr>
              <w:rPr>
                <w:rFonts w:cs="Arial"/>
                <w:lang w:eastAsia="ja-JP"/>
              </w:rPr>
            </w:pPr>
          </w:p>
        </w:tc>
      </w:tr>
      <w:tr w:rsidR="00470A05" w:rsidRPr="006E26E4" w14:paraId="6709755C" w14:textId="77777777" w:rsidTr="00403A54">
        <w:trPr>
          <w:jc w:val="center"/>
        </w:trPr>
        <w:tc>
          <w:tcPr>
            <w:tcW w:w="4674" w:type="dxa"/>
            <w:tcBorders>
              <w:left w:val="nil"/>
              <w:bottom w:val="nil"/>
            </w:tcBorders>
          </w:tcPr>
          <w:p w14:paraId="4D79490A" w14:textId="77777777" w:rsidR="00470A05" w:rsidRPr="00FA46D8" w:rsidRDefault="00470A05" w:rsidP="00BB1F3E">
            <w:pPr>
              <w:rPr>
                <w:rFonts w:cs="Arial"/>
                <w:lang w:eastAsia="ja-JP"/>
              </w:rPr>
            </w:pPr>
          </w:p>
        </w:tc>
        <w:tc>
          <w:tcPr>
            <w:tcW w:w="4676" w:type="dxa"/>
            <w:tcBorders>
              <w:bottom w:val="single" w:sz="4" w:space="0" w:color="auto"/>
            </w:tcBorders>
            <w:shd w:val="clear" w:color="auto" w:fill="D9D9D9" w:themeFill="background1" w:themeFillShade="D9"/>
          </w:tcPr>
          <w:p w14:paraId="40F3E0F2" w14:textId="60D03754" w:rsidR="00470A05" w:rsidRPr="00FA46D8" w:rsidRDefault="00470A05" w:rsidP="00E50A07">
            <w:pPr>
              <w:spacing w:before="40"/>
              <w:rPr>
                <w:rFonts w:cs="Arial"/>
                <w:b/>
                <w:lang w:eastAsia="ja-JP"/>
              </w:rPr>
            </w:pPr>
            <w:r w:rsidRPr="00FA46D8">
              <w:rPr>
                <w:rFonts w:cs="Arial"/>
                <w:b/>
                <w:lang w:eastAsia="ja-JP"/>
              </w:rPr>
              <w:t xml:space="preserve">Does your </w:t>
            </w:r>
            <w:r w:rsidR="00CA2A93" w:rsidRPr="00FA46D8">
              <w:rPr>
                <w:rFonts w:cs="Arial"/>
                <w:b/>
                <w:lang w:eastAsia="ja-JP"/>
              </w:rPr>
              <w:t>hospital</w:t>
            </w:r>
            <w:r w:rsidRPr="00FA46D8">
              <w:rPr>
                <w:rFonts w:cs="Arial"/>
                <w:b/>
                <w:lang w:eastAsia="ja-JP"/>
              </w:rPr>
              <w:t xml:space="preserve"> share this </w:t>
            </w:r>
            <w:r w:rsidR="003A4F8E" w:rsidRPr="00FA46D8">
              <w:rPr>
                <w:rFonts w:cs="Arial"/>
                <w:b/>
                <w:lang w:eastAsia="ja-JP"/>
              </w:rPr>
              <w:t>CCN</w:t>
            </w:r>
            <w:r w:rsidRPr="00FA46D8">
              <w:rPr>
                <w:rFonts w:cs="Arial"/>
                <w:b/>
                <w:lang w:eastAsia="ja-JP"/>
              </w:rPr>
              <w:t xml:space="preserve"> with another facility?</w:t>
            </w:r>
          </w:p>
        </w:tc>
      </w:tr>
      <w:tr w:rsidR="00470A05" w:rsidRPr="006E26E4" w14:paraId="5AF146CE" w14:textId="77777777" w:rsidTr="00403A54">
        <w:trPr>
          <w:jc w:val="center"/>
        </w:trPr>
        <w:tc>
          <w:tcPr>
            <w:tcW w:w="4674" w:type="dxa"/>
            <w:tcBorders>
              <w:top w:val="nil"/>
              <w:left w:val="nil"/>
              <w:bottom w:val="nil"/>
            </w:tcBorders>
          </w:tcPr>
          <w:p w14:paraId="70E83544" w14:textId="77777777" w:rsidR="00470A05" w:rsidRPr="00FA46D8" w:rsidRDefault="00470A05" w:rsidP="00BB1F3E">
            <w:pPr>
              <w:rPr>
                <w:rFonts w:cs="Arial"/>
                <w:lang w:eastAsia="ja-JP"/>
              </w:rPr>
            </w:pPr>
          </w:p>
        </w:tc>
        <w:tc>
          <w:tcPr>
            <w:tcW w:w="4676" w:type="dxa"/>
            <w:tcBorders>
              <w:bottom w:val="single" w:sz="4" w:space="0" w:color="auto"/>
            </w:tcBorders>
          </w:tcPr>
          <w:p w14:paraId="175072A8" w14:textId="2D36E51A" w:rsidR="00470A05" w:rsidRPr="004D1420" w:rsidRDefault="00470A05" w:rsidP="00AD309C">
            <w:pPr>
              <w:pStyle w:val="ListParagraph"/>
              <w:numPr>
                <w:ilvl w:val="0"/>
                <w:numId w:val="280"/>
              </w:numPr>
              <w:rPr>
                <w:rFonts w:cs="Arial"/>
                <w:lang w:eastAsia="ja-JP"/>
              </w:rPr>
            </w:pPr>
            <w:r w:rsidRPr="004D1420">
              <w:rPr>
                <w:rFonts w:cs="Arial"/>
                <w:lang w:eastAsia="ja-JP"/>
              </w:rPr>
              <w:t>Yes</w:t>
            </w:r>
          </w:p>
          <w:p w14:paraId="044B61BD" w14:textId="2EED79F0" w:rsidR="00470A05" w:rsidRPr="006E26E4" w:rsidRDefault="00470A05" w:rsidP="00AD309C">
            <w:pPr>
              <w:pStyle w:val="ListParagraph"/>
              <w:numPr>
                <w:ilvl w:val="0"/>
                <w:numId w:val="280"/>
              </w:numPr>
              <w:rPr>
                <w:rFonts w:cs="Arial"/>
                <w:lang w:eastAsia="ja-JP"/>
              </w:rPr>
            </w:pPr>
            <w:r w:rsidRPr="004D1420">
              <w:rPr>
                <w:rFonts w:cs="Arial"/>
                <w:lang w:eastAsia="ja-JP"/>
              </w:rPr>
              <w:t>No</w:t>
            </w:r>
          </w:p>
        </w:tc>
      </w:tr>
      <w:tr w:rsidR="00FC2A2F" w:rsidRPr="006E26E4" w14:paraId="34CB3D5F" w14:textId="77777777" w:rsidTr="00403A54">
        <w:trPr>
          <w:jc w:val="center"/>
        </w:trPr>
        <w:tc>
          <w:tcPr>
            <w:tcW w:w="4674" w:type="dxa"/>
            <w:tcBorders>
              <w:top w:val="nil"/>
              <w:left w:val="nil"/>
              <w:bottom w:val="nil"/>
              <w:right w:val="single" w:sz="4" w:space="0" w:color="auto"/>
            </w:tcBorders>
          </w:tcPr>
          <w:p w14:paraId="7536410C" w14:textId="77777777" w:rsidR="00FC2A2F" w:rsidRPr="00FA46D8" w:rsidRDefault="00FC2A2F" w:rsidP="00BB1F3E">
            <w:pPr>
              <w:rPr>
                <w:rFonts w:cs="Arial"/>
                <w:lang w:eastAsia="ja-JP"/>
              </w:rPr>
            </w:pPr>
          </w:p>
        </w:tc>
        <w:tc>
          <w:tcPr>
            <w:tcW w:w="4676" w:type="dxa"/>
            <w:tcBorders>
              <w:top w:val="single" w:sz="4" w:space="0" w:color="auto"/>
              <w:left w:val="single" w:sz="4" w:space="0" w:color="auto"/>
            </w:tcBorders>
            <w:shd w:val="clear" w:color="auto" w:fill="D9D9D9" w:themeFill="background1" w:themeFillShade="D9"/>
          </w:tcPr>
          <w:p w14:paraId="3D6A5EFF" w14:textId="784DCF7C" w:rsidR="00FC2A2F" w:rsidRPr="00FA46D8" w:rsidRDefault="00FC2A2F" w:rsidP="00E50A07">
            <w:pPr>
              <w:spacing w:before="40"/>
              <w:rPr>
                <w:rFonts w:cs="Arial"/>
                <w:b/>
                <w:lang w:eastAsia="ja-JP"/>
              </w:rPr>
            </w:pPr>
            <w:hyperlink w:anchor="Endnote2_NHSNID" w:history="1">
              <w:r w:rsidRPr="00FA46D8">
                <w:rPr>
                  <w:rStyle w:val="Hyperlink"/>
                  <w:rFonts w:cs="Arial"/>
                  <w:b/>
                  <w:lang w:eastAsia="ja-JP"/>
                </w:rPr>
                <w:t>NHSN ID</w:t>
              </w:r>
            </w:hyperlink>
            <w:r w:rsidR="00BF053F">
              <w:rPr>
                <w:rFonts w:ascii="ZWAdobeF" w:hAnsi="ZWAdobeF" w:cs="ZWAdobeF"/>
                <w:sz w:val="2"/>
                <w:szCs w:val="2"/>
              </w:rPr>
              <w:t>2F</w:t>
            </w:r>
            <w:r w:rsidR="004C7557">
              <w:rPr>
                <w:rFonts w:ascii="ZWAdobeF" w:hAnsi="ZWAdobeF" w:cs="ZWAdobeF"/>
                <w:sz w:val="2"/>
                <w:szCs w:val="2"/>
              </w:rPr>
              <w:t>2F</w:t>
            </w:r>
            <w:r w:rsidR="00C2087D">
              <w:rPr>
                <w:rFonts w:ascii="ZWAdobeF" w:hAnsi="ZWAdobeF" w:cs="ZWAdobeF"/>
                <w:sz w:val="2"/>
                <w:szCs w:val="2"/>
              </w:rPr>
              <w:t>2F</w:t>
            </w:r>
            <w:r w:rsidR="00B55C41">
              <w:rPr>
                <w:rFonts w:ascii="ZWAdobeF" w:hAnsi="ZWAdobeF" w:cs="ZWAdobeF"/>
                <w:sz w:val="2"/>
                <w:szCs w:val="2"/>
              </w:rPr>
              <w:t>2F</w:t>
            </w:r>
            <w:r w:rsidR="006255A6">
              <w:rPr>
                <w:rFonts w:ascii="ZWAdobeF" w:hAnsi="ZWAdobeF" w:cs="ZWAdobeF"/>
                <w:sz w:val="2"/>
                <w:szCs w:val="2"/>
              </w:rPr>
              <w:t>2F</w:t>
            </w:r>
            <w:r w:rsidR="00E453C7">
              <w:rPr>
                <w:rFonts w:ascii="ZWAdobeF" w:hAnsi="ZWAdobeF" w:cs="ZWAdobeF"/>
                <w:sz w:val="2"/>
                <w:szCs w:val="2"/>
              </w:rPr>
              <w:t>2F</w:t>
            </w:r>
            <w:r w:rsidR="00953060">
              <w:rPr>
                <w:rFonts w:ascii="ZWAdobeF" w:hAnsi="ZWAdobeF" w:cs="ZWAdobeF"/>
                <w:sz w:val="2"/>
                <w:szCs w:val="2"/>
              </w:rPr>
              <w:t>2F</w:t>
            </w:r>
            <w:r w:rsidR="00DD04D6">
              <w:rPr>
                <w:rFonts w:ascii="ZWAdobeF" w:hAnsi="ZWAdobeF" w:cs="ZWAdobeF"/>
                <w:sz w:val="2"/>
                <w:szCs w:val="2"/>
              </w:rPr>
              <w:t>2F</w:t>
            </w:r>
            <w:r w:rsidR="00812E5E" w:rsidRPr="00FA46D8">
              <w:rPr>
                <w:rStyle w:val="EndnoteReference"/>
                <w:rFonts w:cs="Arial"/>
                <w:b/>
                <w:lang w:eastAsia="ja-JP"/>
              </w:rPr>
              <w:endnoteReference w:id="4"/>
            </w:r>
          </w:p>
        </w:tc>
      </w:tr>
      <w:tr w:rsidR="00FC2A2F" w:rsidRPr="006E26E4" w14:paraId="6EAF6EB6" w14:textId="77777777" w:rsidTr="00403A54">
        <w:trPr>
          <w:jc w:val="center"/>
        </w:trPr>
        <w:tc>
          <w:tcPr>
            <w:tcW w:w="4674" w:type="dxa"/>
            <w:tcBorders>
              <w:top w:val="nil"/>
              <w:left w:val="nil"/>
              <w:bottom w:val="nil"/>
              <w:right w:val="single" w:sz="4" w:space="0" w:color="auto"/>
            </w:tcBorders>
          </w:tcPr>
          <w:p w14:paraId="73FE2C17" w14:textId="77777777" w:rsidR="00FC2A2F" w:rsidRPr="00FA46D8" w:rsidRDefault="00FC2A2F" w:rsidP="00BB1F3E">
            <w:pPr>
              <w:rPr>
                <w:rFonts w:cs="Arial"/>
                <w:lang w:eastAsia="ja-JP"/>
              </w:rPr>
            </w:pPr>
          </w:p>
        </w:tc>
        <w:tc>
          <w:tcPr>
            <w:tcW w:w="4676" w:type="dxa"/>
            <w:tcBorders>
              <w:top w:val="single" w:sz="4" w:space="0" w:color="auto"/>
              <w:left w:val="single" w:sz="4" w:space="0" w:color="auto"/>
            </w:tcBorders>
          </w:tcPr>
          <w:p w14:paraId="78EE729A" w14:textId="77777777" w:rsidR="00FC2A2F" w:rsidRPr="00FA46D8" w:rsidRDefault="00FC2A2F" w:rsidP="00BB1F3E">
            <w:pPr>
              <w:rPr>
                <w:rFonts w:cs="Arial"/>
                <w:b/>
                <w:lang w:eastAsia="ja-JP"/>
              </w:rPr>
            </w:pPr>
          </w:p>
        </w:tc>
      </w:tr>
      <w:tr w:rsidR="000B46D5" w:rsidRPr="006E26E4" w14:paraId="1F85B02E" w14:textId="77777777" w:rsidTr="00403A54">
        <w:trPr>
          <w:jc w:val="center"/>
        </w:trPr>
        <w:tc>
          <w:tcPr>
            <w:tcW w:w="4674" w:type="dxa"/>
            <w:tcBorders>
              <w:top w:val="nil"/>
              <w:left w:val="nil"/>
              <w:bottom w:val="nil"/>
              <w:right w:val="single" w:sz="4" w:space="0" w:color="auto"/>
            </w:tcBorders>
          </w:tcPr>
          <w:p w14:paraId="2815478C" w14:textId="77777777" w:rsidR="000B46D5" w:rsidRPr="00FA46D8" w:rsidRDefault="000B46D5" w:rsidP="000B46D5">
            <w:pPr>
              <w:rPr>
                <w:rFonts w:cs="Arial"/>
                <w:lang w:eastAsia="ja-JP"/>
              </w:rPr>
            </w:pPr>
          </w:p>
        </w:tc>
        <w:tc>
          <w:tcPr>
            <w:tcW w:w="4676" w:type="dxa"/>
            <w:tcBorders>
              <w:top w:val="single" w:sz="4" w:space="0" w:color="auto"/>
              <w:left w:val="single" w:sz="4" w:space="0" w:color="auto"/>
            </w:tcBorders>
          </w:tcPr>
          <w:p w14:paraId="5366883F" w14:textId="5C1DB8AA" w:rsidR="000B46D5" w:rsidRPr="00FA46D8" w:rsidRDefault="000B46D5" w:rsidP="000B46D5">
            <w:pPr>
              <w:rPr>
                <w:rFonts w:cs="Arial"/>
                <w:b/>
                <w:lang w:eastAsia="ja-JP"/>
              </w:rPr>
            </w:pPr>
            <w:hyperlink w:anchor="Endnote3_VonID" w:history="1">
              <w:r w:rsidRPr="00FA46D8">
                <w:rPr>
                  <w:rStyle w:val="Hyperlink"/>
                  <w:rFonts w:cs="Arial"/>
                  <w:b/>
                </w:rPr>
                <w:t>Vermont Oxford Network (VON) Transfer Code</w:t>
              </w:r>
            </w:hyperlink>
            <w:r w:rsidR="00BF053F">
              <w:rPr>
                <w:rFonts w:ascii="ZWAdobeF" w:hAnsi="ZWAdobeF" w:cs="ZWAdobeF"/>
                <w:sz w:val="2"/>
                <w:szCs w:val="2"/>
              </w:rPr>
              <w:t>3F</w:t>
            </w:r>
            <w:r w:rsidR="004C7557">
              <w:rPr>
                <w:rFonts w:ascii="ZWAdobeF" w:hAnsi="ZWAdobeF" w:cs="ZWAdobeF"/>
                <w:sz w:val="2"/>
                <w:szCs w:val="2"/>
              </w:rPr>
              <w:t>3F</w:t>
            </w:r>
            <w:r w:rsidR="00C2087D">
              <w:rPr>
                <w:rFonts w:ascii="ZWAdobeF" w:hAnsi="ZWAdobeF" w:cs="ZWAdobeF"/>
                <w:sz w:val="2"/>
                <w:szCs w:val="2"/>
              </w:rPr>
              <w:t>3F</w:t>
            </w:r>
            <w:r w:rsidR="00B55C41">
              <w:rPr>
                <w:rFonts w:ascii="ZWAdobeF" w:hAnsi="ZWAdobeF" w:cs="ZWAdobeF"/>
                <w:sz w:val="2"/>
                <w:szCs w:val="2"/>
              </w:rPr>
              <w:t>3F</w:t>
            </w:r>
            <w:r w:rsidR="006255A6">
              <w:rPr>
                <w:rFonts w:ascii="ZWAdobeF" w:hAnsi="ZWAdobeF" w:cs="ZWAdobeF"/>
                <w:sz w:val="2"/>
                <w:szCs w:val="2"/>
              </w:rPr>
              <w:t>3F</w:t>
            </w:r>
            <w:r w:rsidR="00E453C7">
              <w:rPr>
                <w:rFonts w:ascii="ZWAdobeF" w:hAnsi="ZWAdobeF" w:cs="ZWAdobeF"/>
                <w:sz w:val="2"/>
                <w:szCs w:val="2"/>
              </w:rPr>
              <w:t>3F</w:t>
            </w:r>
            <w:r w:rsidR="00953060">
              <w:rPr>
                <w:rFonts w:ascii="ZWAdobeF" w:hAnsi="ZWAdobeF" w:cs="ZWAdobeF"/>
                <w:sz w:val="2"/>
                <w:szCs w:val="2"/>
              </w:rPr>
              <w:t>3F</w:t>
            </w:r>
            <w:r w:rsidR="00DD04D6">
              <w:rPr>
                <w:rFonts w:ascii="ZWAdobeF" w:hAnsi="ZWAdobeF" w:cs="ZWAdobeF"/>
                <w:sz w:val="2"/>
                <w:szCs w:val="2"/>
              </w:rPr>
              <w:t>3F</w:t>
            </w:r>
            <w:r w:rsidR="006601D7" w:rsidRPr="00FA46D8">
              <w:rPr>
                <w:rStyle w:val="EndnoteReference"/>
                <w:rFonts w:cs="Arial"/>
                <w:b/>
                <w:lang w:eastAsia="ja-JP"/>
              </w:rPr>
              <w:endnoteReference w:id="5"/>
            </w:r>
          </w:p>
        </w:tc>
      </w:tr>
      <w:tr w:rsidR="000B46D5" w:rsidRPr="006E26E4" w14:paraId="523A2075" w14:textId="77777777" w:rsidTr="00403A54">
        <w:trPr>
          <w:jc w:val="center"/>
        </w:trPr>
        <w:tc>
          <w:tcPr>
            <w:tcW w:w="4674" w:type="dxa"/>
            <w:tcBorders>
              <w:top w:val="nil"/>
              <w:left w:val="nil"/>
              <w:bottom w:val="nil"/>
              <w:right w:val="single" w:sz="4" w:space="0" w:color="auto"/>
            </w:tcBorders>
          </w:tcPr>
          <w:p w14:paraId="7E966256" w14:textId="77777777" w:rsidR="000B46D5" w:rsidRPr="00FA46D8" w:rsidRDefault="000B46D5" w:rsidP="000B46D5">
            <w:pPr>
              <w:rPr>
                <w:rFonts w:cs="Arial"/>
                <w:lang w:eastAsia="ja-JP"/>
              </w:rPr>
            </w:pPr>
          </w:p>
        </w:tc>
        <w:tc>
          <w:tcPr>
            <w:tcW w:w="4676" w:type="dxa"/>
            <w:tcBorders>
              <w:top w:val="single" w:sz="4" w:space="0" w:color="auto"/>
              <w:left w:val="single" w:sz="4" w:space="0" w:color="auto"/>
            </w:tcBorders>
          </w:tcPr>
          <w:p w14:paraId="6A477400" w14:textId="77777777" w:rsidR="000B46D5" w:rsidRPr="00FA46D8" w:rsidRDefault="000B46D5" w:rsidP="000B46D5">
            <w:pPr>
              <w:rPr>
                <w:rFonts w:cs="Arial"/>
                <w:b/>
                <w:lang w:eastAsia="ja-JP"/>
              </w:rPr>
            </w:pPr>
          </w:p>
        </w:tc>
      </w:tr>
      <w:tr w:rsidR="000B46D5" w:rsidRPr="006E26E4" w14:paraId="225B2256" w14:textId="77777777" w:rsidTr="00403A54">
        <w:trPr>
          <w:jc w:val="center"/>
        </w:trPr>
        <w:tc>
          <w:tcPr>
            <w:tcW w:w="4674" w:type="dxa"/>
            <w:tcBorders>
              <w:top w:val="nil"/>
              <w:left w:val="nil"/>
              <w:bottom w:val="nil"/>
              <w:right w:val="single" w:sz="4" w:space="0" w:color="auto"/>
            </w:tcBorders>
          </w:tcPr>
          <w:p w14:paraId="5B372431" w14:textId="77777777" w:rsidR="000B46D5" w:rsidRPr="00FA46D8" w:rsidRDefault="000B46D5" w:rsidP="000B46D5">
            <w:pPr>
              <w:rPr>
                <w:rFonts w:cs="Arial"/>
                <w:lang w:eastAsia="ja-JP"/>
              </w:rPr>
            </w:pPr>
          </w:p>
        </w:tc>
        <w:tc>
          <w:tcPr>
            <w:tcW w:w="4676" w:type="dxa"/>
            <w:tcBorders>
              <w:top w:val="single" w:sz="4" w:space="0" w:color="auto"/>
              <w:left w:val="single" w:sz="4" w:space="0" w:color="auto"/>
            </w:tcBorders>
            <w:shd w:val="clear" w:color="auto" w:fill="D9D9D9" w:themeFill="background1" w:themeFillShade="D9"/>
          </w:tcPr>
          <w:p w14:paraId="6D74512D" w14:textId="7B422BE5" w:rsidR="000B46D5" w:rsidRPr="00FA46D8" w:rsidRDefault="000B46D5" w:rsidP="000B46D5">
            <w:pPr>
              <w:spacing w:before="40"/>
              <w:rPr>
                <w:rFonts w:cs="Arial"/>
                <w:b/>
                <w:lang w:eastAsia="ja-JP"/>
              </w:rPr>
            </w:pPr>
            <w:hyperlink w:anchor="Endnote3_TIN" w:history="1">
              <w:r w:rsidRPr="00FA46D8">
                <w:rPr>
                  <w:rStyle w:val="Hyperlink"/>
                  <w:rFonts w:cs="Arial"/>
                  <w:b/>
                  <w:lang w:eastAsia="ja-JP"/>
                </w:rPr>
                <w:t>Federal Tax Identification Number (TIN)</w:t>
              </w:r>
            </w:hyperlink>
            <w:r w:rsidR="00BF053F">
              <w:rPr>
                <w:rFonts w:ascii="ZWAdobeF" w:hAnsi="ZWAdobeF" w:cs="ZWAdobeF"/>
                <w:sz w:val="2"/>
                <w:szCs w:val="2"/>
              </w:rPr>
              <w:t>4F</w:t>
            </w:r>
            <w:r w:rsidR="004C7557">
              <w:rPr>
                <w:rFonts w:ascii="ZWAdobeF" w:hAnsi="ZWAdobeF" w:cs="ZWAdobeF"/>
                <w:sz w:val="2"/>
                <w:szCs w:val="2"/>
              </w:rPr>
              <w:t>4F</w:t>
            </w:r>
            <w:r w:rsidR="00C2087D">
              <w:rPr>
                <w:rFonts w:ascii="ZWAdobeF" w:hAnsi="ZWAdobeF" w:cs="ZWAdobeF"/>
                <w:sz w:val="2"/>
                <w:szCs w:val="2"/>
              </w:rPr>
              <w:t>4F</w:t>
            </w:r>
            <w:r w:rsidR="00B55C41">
              <w:rPr>
                <w:rFonts w:ascii="ZWAdobeF" w:hAnsi="ZWAdobeF" w:cs="ZWAdobeF"/>
                <w:sz w:val="2"/>
                <w:szCs w:val="2"/>
              </w:rPr>
              <w:t>4F</w:t>
            </w:r>
            <w:r w:rsidR="006255A6">
              <w:rPr>
                <w:rFonts w:ascii="ZWAdobeF" w:hAnsi="ZWAdobeF" w:cs="ZWAdobeF"/>
                <w:sz w:val="2"/>
                <w:szCs w:val="2"/>
              </w:rPr>
              <w:t>4F</w:t>
            </w:r>
            <w:r w:rsidR="00E453C7">
              <w:rPr>
                <w:rFonts w:ascii="ZWAdobeF" w:hAnsi="ZWAdobeF" w:cs="ZWAdobeF"/>
                <w:sz w:val="2"/>
                <w:szCs w:val="2"/>
              </w:rPr>
              <w:t>4F</w:t>
            </w:r>
            <w:r w:rsidR="00953060">
              <w:rPr>
                <w:rFonts w:ascii="ZWAdobeF" w:hAnsi="ZWAdobeF" w:cs="ZWAdobeF"/>
                <w:sz w:val="2"/>
                <w:szCs w:val="2"/>
              </w:rPr>
              <w:t>4F</w:t>
            </w:r>
            <w:r w:rsidR="00DD04D6">
              <w:rPr>
                <w:rFonts w:ascii="ZWAdobeF" w:hAnsi="ZWAdobeF" w:cs="ZWAdobeF"/>
                <w:sz w:val="2"/>
                <w:szCs w:val="2"/>
              </w:rPr>
              <w:t>4F</w:t>
            </w:r>
            <w:r w:rsidRPr="00FA46D8">
              <w:rPr>
                <w:rStyle w:val="EndnoteReference"/>
                <w:rFonts w:cs="Arial"/>
                <w:b/>
                <w:lang w:eastAsia="ja-JP"/>
              </w:rPr>
              <w:endnoteReference w:id="6"/>
            </w:r>
          </w:p>
        </w:tc>
      </w:tr>
      <w:tr w:rsidR="000B46D5" w:rsidRPr="006E26E4" w14:paraId="2787B46A" w14:textId="77777777" w:rsidTr="00403A54">
        <w:trPr>
          <w:jc w:val="center"/>
        </w:trPr>
        <w:tc>
          <w:tcPr>
            <w:tcW w:w="4674" w:type="dxa"/>
            <w:tcBorders>
              <w:top w:val="nil"/>
              <w:left w:val="nil"/>
              <w:bottom w:val="nil"/>
              <w:right w:val="single" w:sz="4" w:space="0" w:color="auto"/>
            </w:tcBorders>
          </w:tcPr>
          <w:p w14:paraId="1D4101CE" w14:textId="77777777" w:rsidR="000B46D5" w:rsidRPr="00FA46D8" w:rsidRDefault="000B46D5" w:rsidP="000B46D5">
            <w:pPr>
              <w:rPr>
                <w:rFonts w:cs="Arial"/>
                <w:lang w:eastAsia="ja-JP"/>
              </w:rPr>
            </w:pPr>
          </w:p>
        </w:tc>
        <w:tc>
          <w:tcPr>
            <w:tcW w:w="4676" w:type="dxa"/>
            <w:tcBorders>
              <w:left w:val="single" w:sz="4" w:space="0" w:color="auto"/>
            </w:tcBorders>
          </w:tcPr>
          <w:p w14:paraId="61EEF707" w14:textId="77777777" w:rsidR="000B46D5" w:rsidRPr="00FA46D8" w:rsidRDefault="000B46D5" w:rsidP="000B46D5">
            <w:pPr>
              <w:rPr>
                <w:rFonts w:cs="Arial"/>
                <w:lang w:eastAsia="ja-JP"/>
              </w:rPr>
            </w:pPr>
          </w:p>
        </w:tc>
      </w:tr>
      <w:tr w:rsidR="000B46D5" w:rsidRPr="006E26E4" w14:paraId="73658604" w14:textId="77777777" w:rsidTr="00403A54">
        <w:trPr>
          <w:jc w:val="center"/>
        </w:trPr>
        <w:tc>
          <w:tcPr>
            <w:tcW w:w="4674" w:type="dxa"/>
            <w:tcBorders>
              <w:top w:val="nil"/>
              <w:left w:val="nil"/>
              <w:bottom w:val="nil"/>
              <w:right w:val="single" w:sz="4" w:space="0" w:color="auto"/>
            </w:tcBorders>
          </w:tcPr>
          <w:p w14:paraId="1C211D6D" w14:textId="77777777" w:rsidR="000B46D5" w:rsidRPr="00FA46D8" w:rsidRDefault="000B46D5" w:rsidP="000B46D5">
            <w:pPr>
              <w:rPr>
                <w:rFonts w:cs="Arial"/>
                <w:lang w:eastAsia="ja-JP"/>
              </w:rPr>
            </w:pPr>
          </w:p>
        </w:tc>
        <w:tc>
          <w:tcPr>
            <w:tcW w:w="4676" w:type="dxa"/>
            <w:tcBorders>
              <w:left w:val="single" w:sz="4" w:space="0" w:color="auto"/>
            </w:tcBorders>
            <w:shd w:val="clear" w:color="auto" w:fill="D9D9D9" w:themeFill="background1" w:themeFillShade="D9"/>
          </w:tcPr>
          <w:p w14:paraId="6FE08EB1" w14:textId="349ADDBD" w:rsidR="000B46D5" w:rsidRPr="00FA46D8" w:rsidRDefault="000B46D5" w:rsidP="000B46D5">
            <w:pPr>
              <w:spacing w:before="40"/>
              <w:rPr>
                <w:rStyle w:val="Hyperlink"/>
                <w:rFonts w:cs="Arial"/>
                <w:b/>
                <w:lang w:eastAsia="ja-JP"/>
              </w:rPr>
            </w:pPr>
            <w:hyperlink w:anchor="Endnote4_NPI" w:history="1">
              <w:r w:rsidRPr="00FA46D8">
                <w:rPr>
                  <w:rStyle w:val="Hyperlink"/>
                  <w:rFonts w:cs="Arial"/>
                  <w:b/>
                  <w:lang w:eastAsia="ja-JP"/>
                </w:rPr>
                <w:t>National Provider Identifier (NPI)</w:t>
              </w:r>
            </w:hyperlink>
            <w:r w:rsidR="00BF053F">
              <w:rPr>
                <w:rFonts w:ascii="ZWAdobeF" w:hAnsi="ZWAdobeF" w:cs="ZWAdobeF"/>
                <w:sz w:val="2"/>
                <w:szCs w:val="2"/>
              </w:rPr>
              <w:t>5F</w:t>
            </w:r>
            <w:r w:rsidR="004C7557">
              <w:rPr>
                <w:rFonts w:ascii="ZWAdobeF" w:hAnsi="ZWAdobeF" w:cs="ZWAdobeF"/>
                <w:sz w:val="2"/>
                <w:szCs w:val="2"/>
              </w:rPr>
              <w:t>5F</w:t>
            </w:r>
            <w:r w:rsidR="00C2087D">
              <w:rPr>
                <w:rFonts w:ascii="ZWAdobeF" w:hAnsi="ZWAdobeF" w:cs="ZWAdobeF"/>
                <w:sz w:val="2"/>
                <w:szCs w:val="2"/>
              </w:rPr>
              <w:t>5F</w:t>
            </w:r>
            <w:r w:rsidR="00B55C41">
              <w:rPr>
                <w:rFonts w:ascii="ZWAdobeF" w:hAnsi="ZWAdobeF" w:cs="ZWAdobeF"/>
                <w:sz w:val="2"/>
                <w:szCs w:val="2"/>
              </w:rPr>
              <w:t>5F</w:t>
            </w:r>
            <w:r w:rsidR="006255A6">
              <w:rPr>
                <w:rFonts w:ascii="ZWAdobeF" w:hAnsi="ZWAdobeF" w:cs="ZWAdobeF"/>
                <w:sz w:val="2"/>
                <w:szCs w:val="2"/>
              </w:rPr>
              <w:t>5F</w:t>
            </w:r>
            <w:r w:rsidR="00E453C7">
              <w:rPr>
                <w:rFonts w:ascii="ZWAdobeF" w:hAnsi="ZWAdobeF" w:cs="ZWAdobeF"/>
                <w:sz w:val="2"/>
                <w:szCs w:val="2"/>
              </w:rPr>
              <w:t>5F</w:t>
            </w:r>
            <w:r w:rsidR="00953060">
              <w:rPr>
                <w:rFonts w:ascii="ZWAdobeF" w:hAnsi="ZWAdobeF" w:cs="ZWAdobeF"/>
                <w:sz w:val="2"/>
                <w:szCs w:val="2"/>
              </w:rPr>
              <w:t>5F</w:t>
            </w:r>
            <w:r w:rsidR="00DD04D6">
              <w:rPr>
                <w:rFonts w:ascii="ZWAdobeF" w:hAnsi="ZWAdobeF" w:cs="ZWAdobeF"/>
                <w:sz w:val="2"/>
                <w:szCs w:val="2"/>
              </w:rPr>
              <w:t>5F</w:t>
            </w:r>
            <w:r w:rsidRPr="00FA46D8">
              <w:rPr>
                <w:rStyle w:val="EndnoteReference"/>
                <w:rFonts w:cs="Arial"/>
                <w:b/>
                <w:lang w:eastAsia="ja-JP"/>
              </w:rPr>
              <w:endnoteReference w:id="7"/>
            </w:r>
          </w:p>
          <w:p w14:paraId="3D72AD0C" w14:textId="0C14E162" w:rsidR="000B46D5" w:rsidRPr="00FA46D8" w:rsidRDefault="000B46D5" w:rsidP="000B46D5">
            <w:pPr>
              <w:spacing w:before="40"/>
              <w:rPr>
                <w:rFonts w:cs="Arial"/>
                <w:b/>
                <w:lang w:eastAsia="ja-JP"/>
              </w:rPr>
            </w:pPr>
            <w:r w:rsidRPr="00FA46D8">
              <w:rPr>
                <w:rFonts w:cs="Arial"/>
                <w:lang w:eastAsia="ja-JP"/>
              </w:rPr>
              <w:t xml:space="preserve">If the NPI displayed in the Online Hospital Survey Tool is not correct, contact the Leapfrog </w:t>
            </w:r>
            <w:hyperlink r:id="rId97" w:history="1">
              <w:r w:rsidRPr="00FA46D8">
                <w:rPr>
                  <w:rStyle w:val="Hyperlink"/>
                  <w:rFonts w:cs="Arial"/>
                  <w:lang w:eastAsia="ja-JP"/>
                </w:rPr>
                <w:t>Help Desk</w:t>
              </w:r>
            </w:hyperlink>
            <w:r w:rsidRPr="00FA46D8">
              <w:rPr>
                <w:rFonts w:cs="Arial"/>
                <w:lang w:eastAsia="ja-JP"/>
              </w:rPr>
              <w:t xml:space="preserve"> immediately.</w:t>
            </w:r>
          </w:p>
        </w:tc>
      </w:tr>
      <w:tr w:rsidR="000B46D5" w:rsidRPr="006E26E4" w14:paraId="49B4F1EB" w14:textId="77777777" w:rsidTr="00403A54">
        <w:trPr>
          <w:jc w:val="center"/>
        </w:trPr>
        <w:tc>
          <w:tcPr>
            <w:tcW w:w="4674" w:type="dxa"/>
            <w:tcBorders>
              <w:top w:val="nil"/>
              <w:left w:val="nil"/>
              <w:bottom w:val="nil"/>
              <w:right w:val="single" w:sz="4" w:space="0" w:color="auto"/>
            </w:tcBorders>
          </w:tcPr>
          <w:p w14:paraId="18D32D6F" w14:textId="77777777" w:rsidR="000B46D5" w:rsidRPr="00FA46D8" w:rsidRDefault="000B46D5" w:rsidP="000B46D5">
            <w:pPr>
              <w:rPr>
                <w:rFonts w:cs="Arial"/>
                <w:lang w:eastAsia="ja-JP"/>
              </w:rPr>
            </w:pPr>
          </w:p>
        </w:tc>
        <w:tc>
          <w:tcPr>
            <w:tcW w:w="4676" w:type="dxa"/>
            <w:tcBorders>
              <w:left w:val="single" w:sz="4" w:space="0" w:color="auto"/>
            </w:tcBorders>
          </w:tcPr>
          <w:p w14:paraId="7882B70A" w14:textId="77777777" w:rsidR="000B46D5" w:rsidRPr="00FA46D8" w:rsidRDefault="000B46D5" w:rsidP="000B46D5">
            <w:pPr>
              <w:rPr>
                <w:rFonts w:cs="Arial"/>
                <w:lang w:eastAsia="ja-JP"/>
              </w:rPr>
            </w:pPr>
          </w:p>
        </w:tc>
      </w:tr>
      <w:tr w:rsidR="000B46D5" w:rsidRPr="006E26E4" w14:paraId="459AE22F" w14:textId="77777777" w:rsidTr="00403A54">
        <w:trPr>
          <w:jc w:val="center"/>
        </w:trPr>
        <w:tc>
          <w:tcPr>
            <w:tcW w:w="4674" w:type="dxa"/>
            <w:tcBorders>
              <w:top w:val="nil"/>
              <w:left w:val="nil"/>
              <w:bottom w:val="nil"/>
              <w:right w:val="single" w:sz="4" w:space="0" w:color="auto"/>
            </w:tcBorders>
          </w:tcPr>
          <w:p w14:paraId="406866BA" w14:textId="77777777" w:rsidR="000B46D5" w:rsidRPr="00FA46D8" w:rsidRDefault="000B46D5" w:rsidP="000B46D5">
            <w:pPr>
              <w:rPr>
                <w:rFonts w:cs="Arial"/>
                <w:lang w:eastAsia="ja-JP"/>
              </w:rPr>
            </w:pPr>
          </w:p>
        </w:tc>
        <w:tc>
          <w:tcPr>
            <w:tcW w:w="4676" w:type="dxa"/>
            <w:tcBorders>
              <w:left w:val="single" w:sz="4" w:space="0" w:color="auto"/>
            </w:tcBorders>
            <w:shd w:val="clear" w:color="auto" w:fill="D9D9D9" w:themeFill="background1" w:themeFillShade="D9"/>
          </w:tcPr>
          <w:p w14:paraId="0039D487" w14:textId="1015DE77" w:rsidR="000B46D5" w:rsidRPr="00FA46D8" w:rsidRDefault="000B46D5" w:rsidP="000B46D5">
            <w:pPr>
              <w:rPr>
                <w:rFonts w:cs="Arial"/>
                <w:lang w:eastAsia="ja-JP"/>
              </w:rPr>
            </w:pPr>
            <w:r w:rsidRPr="00FA46D8">
              <w:rPr>
                <w:rFonts w:cs="Arial"/>
                <w:b/>
                <w:lang w:eastAsia="ja-JP"/>
              </w:rPr>
              <w:t>Does your hospital share this NPI with another facility?</w:t>
            </w:r>
          </w:p>
        </w:tc>
      </w:tr>
      <w:tr w:rsidR="000B46D5" w:rsidRPr="006E26E4" w14:paraId="3D06A10B" w14:textId="77777777" w:rsidTr="00403A54">
        <w:trPr>
          <w:jc w:val="center"/>
        </w:trPr>
        <w:tc>
          <w:tcPr>
            <w:tcW w:w="4674" w:type="dxa"/>
            <w:tcBorders>
              <w:top w:val="nil"/>
              <w:left w:val="nil"/>
              <w:bottom w:val="nil"/>
              <w:right w:val="single" w:sz="4" w:space="0" w:color="auto"/>
            </w:tcBorders>
          </w:tcPr>
          <w:p w14:paraId="2FBCD869" w14:textId="77777777" w:rsidR="000B46D5" w:rsidRPr="00FA46D8" w:rsidRDefault="000B46D5" w:rsidP="000B46D5">
            <w:pPr>
              <w:rPr>
                <w:rFonts w:cs="Arial"/>
                <w:lang w:eastAsia="ja-JP"/>
              </w:rPr>
            </w:pPr>
          </w:p>
        </w:tc>
        <w:tc>
          <w:tcPr>
            <w:tcW w:w="4676" w:type="dxa"/>
            <w:tcBorders>
              <w:left w:val="single" w:sz="4" w:space="0" w:color="auto"/>
            </w:tcBorders>
          </w:tcPr>
          <w:p w14:paraId="43148ECF" w14:textId="2F49CD57" w:rsidR="000B46D5" w:rsidRPr="004D1420" w:rsidRDefault="000B46D5" w:rsidP="00AD309C">
            <w:pPr>
              <w:pStyle w:val="ListParagraph"/>
              <w:numPr>
                <w:ilvl w:val="0"/>
                <w:numId w:val="281"/>
              </w:numPr>
              <w:rPr>
                <w:rFonts w:cs="Arial"/>
                <w:lang w:eastAsia="ja-JP"/>
              </w:rPr>
            </w:pPr>
            <w:r w:rsidRPr="004D1420">
              <w:rPr>
                <w:rFonts w:cs="Arial"/>
                <w:lang w:eastAsia="ja-JP"/>
              </w:rPr>
              <w:t>Yes</w:t>
            </w:r>
          </w:p>
          <w:p w14:paraId="7AC6F089" w14:textId="4F27CCE3" w:rsidR="000B46D5" w:rsidRPr="006E26E4" w:rsidRDefault="000B46D5" w:rsidP="00AD309C">
            <w:pPr>
              <w:pStyle w:val="ListParagraph"/>
              <w:numPr>
                <w:ilvl w:val="0"/>
                <w:numId w:val="281"/>
              </w:numPr>
              <w:rPr>
                <w:rFonts w:cs="Arial"/>
                <w:b/>
                <w:lang w:eastAsia="ja-JP"/>
              </w:rPr>
            </w:pPr>
            <w:r w:rsidRPr="004D1420">
              <w:rPr>
                <w:rFonts w:cs="Arial"/>
                <w:lang w:eastAsia="ja-JP"/>
              </w:rPr>
              <w:t>No</w:t>
            </w:r>
          </w:p>
        </w:tc>
      </w:tr>
    </w:tbl>
    <w:p w14:paraId="3DB1A4CE" w14:textId="537A3DD4" w:rsidR="00BB1F3E" w:rsidRDefault="00BB1F3E" w:rsidP="00AB5B80">
      <w:pPr>
        <w:pStyle w:val="Heading3"/>
      </w:pPr>
      <w:bookmarkStart w:id="69" w:name="_Toc225877663"/>
      <w:r w:rsidRPr="009A5185">
        <w:t>Demographic Information</w:t>
      </w:r>
      <w:bookmarkEnd w:id="69"/>
    </w:p>
    <w:p w14:paraId="13A2CCE1" w14:textId="77777777" w:rsidR="00F9246C" w:rsidRPr="004D1420" w:rsidRDefault="00F9246C" w:rsidP="00F9246C">
      <w:pPr>
        <w:rPr>
          <w:lang w:eastAsia="ja-JP"/>
        </w:rPr>
      </w:pPr>
    </w:p>
    <w:tbl>
      <w:tblPr>
        <w:tblStyle w:val="TableGrid"/>
        <w:tblW w:w="0" w:type="auto"/>
        <w:jc w:val="center"/>
        <w:tblLook w:val="04A0" w:firstRow="1" w:lastRow="0" w:firstColumn="1" w:lastColumn="0" w:noHBand="0" w:noVBand="1"/>
      </w:tblPr>
      <w:tblGrid>
        <w:gridCol w:w="4671"/>
        <w:gridCol w:w="4679"/>
      </w:tblGrid>
      <w:tr w:rsidR="00BB1F3E" w:rsidRPr="006E26E4" w14:paraId="0BE7691D" w14:textId="77777777" w:rsidTr="00403A54">
        <w:trPr>
          <w:jc w:val="center"/>
        </w:trPr>
        <w:tc>
          <w:tcPr>
            <w:tcW w:w="4671" w:type="dxa"/>
            <w:shd w:val="clear" w:color="auto" w:fill="D9D9D9" w:themeFill="background1" w:themeFillShade="D9"/>
          </w:tcPr>
          <w:p w14:paraId="689609A6" w14:textId="77777777" w:rsidR="00BB1F3E" w:rsidRPr="00FA46D8" w:rsidRDefault="00BB1F3E" w:rsidP="00E50A07">
            <w:pPr>
              <w:spacing w:before="40"/>
              <w:rPr>
                <w:rFonts w:cs="Arial"/>
                <w:b/>
                <w:lang w:eastAsia="ja-JP"/>
              </w:rPr>
            </w:pPr>
            <w:r w:rsidRPr="00FA46D8">
              <w:rPr>
                <w:rFonts w:cs="Arial"/>
                <w:b/>
                <w:lang w:eastAsia="ja-JP"/>
              </w:rPr>
              <w:t>Physical Address</w:t>
            </w:r>
          </w:p>
          <w:p w14:paraId="5EFD147F" w14:textId="77777777" w:rsidR="00BB1F3E" w:rsidRPr="00FA46D8" w:rsidRDefault="00BB1F3E" w:rsidP="00E50A07">
            <w:pPr>
              <w:spacing w:before="40"/>
              <w:rPr>
                <w:rFonts w:cs="Arial"/>
                <w:lang w:eastAsia="ja-JP"/>
              </w:rPr>
            </w:pPr>
            <w:r w:rsidRPr="00FA46D8">
              <w:rPr>
                <w:rFonts w:cs="Arial"/>
                <w:lang w:eastAsia="ja-JP"/>
              </w:rPr>
              <w:t>(used for public reporting)</w:t>
            </w:r>
          </w:p>
        </w:tc>
        <w:tc>
          <w:tcPr>
            <w:tcW w:w="4679" w:type="dxa"/>
            <w:shd w:val="clear" w:color="auto" w:fill="D9D9D9" w:themeFill="background1" w:themeFillShade="D9"/>
          </w:tcPr>
          <w:p w14:paraId="2E083B42" w14:textId="77777777" w:rsidR="00BB1F3E" w:rsidRPr="00FA46D8" w:rsidRDefault="00BB1F3E" w:rsidP="00E50A07">
            <w:pPr>
              <w:spacing w:before="40"/>
              <w:rPr>
                <w:rFonts w:cs="Arial"/>
                <w:b/>
                <w:lang w:eastAsia="ja-JP"/>
              </w:rPr>
            </w:pPr>
            <w:r w:rsidRPr="00FA46D8">
              <w:rPr>
                <w:rFonts w:cs="Arial"/>
                <w:b/>
                <w:lang w:eastAsia="ja-JP"/>
              </w:rPr>
              <w:t>Mailing Address</w:t>
            </w:r>
          </w:p>
          <w:p w14:paraId="0CD614C4" w14:textId="77777777" w:rsidR="00BB1F3E" w:rsidRPr="00FA46D8" w:rsidRDefault="00BB1F3E" w:rsidP="00E50A07">
            <w:pPr>
              <w:spacing w:before="40"/>
              <w:rPr>
                <w:rFonts w:cs="Arial"/>
                <w:lang w:eastAsia="ja-JP"/>
              </w:rPr>
            </w:pPr>
            <w:r w:rsidRPr="00FA46D8">
              <w:rPr>
                <w:rFonts w:cs="Arial"/>
                <w:lang w:eastAsia="ja-JP"/>
              </w:rPr>
              <w:t>(used to send important communications)</w:t>
            </w:r>
          </w:p>
        </w:tc>
      </w:tr>
      <w:tr w:rsidR="00BB1F3E" w:rsidRPr="006E26E4" w14:paraId="1228EEE2" w14:textId="77777777" w:rsidTr="00403A54">
        <w:trPr>
          <w:jc w:val="center"/>
        </w:trPr>
        <w:tc>
          <w:tcPr>
            <w:tcW w:w="4671" w:type="dxa"/>
            <w:tcBorders>
              <w:bottom w:val="single" w:sz="4" w:space="0" w:color="auto"/>
            </w:tcBorders>
            <w:shd w:val="clear" w:color="auto" w:fill="D9D9D9" w:themeFill="background1" w:themeFillShade="D9"/>
          </w:tcPr>
          <w:p w14:paraId="47B84312" w14:textId="77777777" w:rsidR="00BB1F3E" w:rsidRPr="00FA46D8" w:rsidRDefault="00BB1F3E" w:rsidP="00E50A07">
            <w:pPr>
              <w:spacing w:before="40"/>
              <w:rPr>
                <w:rFonts w:cs="Arial"/>
                <w:b/>
                <w:lang w:eastAsia="ja-JP"/>
              </w:rPr>
            </w:pPr>
            <w:r w:rsidRPr="00FA46D8">
              <w:rPr>
                <w:rFonts w:cs="Arial"/>
                <w:b/>
                <w:lang w:eastAsia="ja-JP"/>
              </w:rPr>
              <w:t>Street Address</w:t>
            </w:r>
          </w:p>
        </w:tc>
        <w:tc>
          <w:tcPr>
            <w:tcW w:w="4679" w:type="dxa"/>
            <w:tcBorders>
              <w:bottom w:val="single" w:sz="4" w:space="0" w:color="auto"/>
            </w:tcBorders>
            <w:shd w:val="clear" w:color="auto" w:fill="D9D9D9" w:themeFill="background1" w:themeFillShade="D9"/>
          </w:tcPr>
          <w:p w14:paraId="02F1D299" w14:textId="77777777" w:rsidR="00BB1F3E" w:rsidRPr="00FA46D8" w:rsidRDefault="00615551" w:rsidP="00E50A07">
            <w:pPr>
              <w:spacing w:before="40"/>
              <w:rPr>
                <w:rFonts w:cs="Arial"/>
                <w:b/>
                <w:lang w:eastAsia="ja-JP"/>
              </w:rPr>
            </w:pPr>
            <w:r w:rsidRPr="00FA46D8">
              <w:rPr>
                <w:rFonts w:cs="Arial"/>
                <w:b/>
                <w:lang w:eastAsia="ja-JP"/>
              </w:rPr>
              <w:t>Street Address or P.O</w:t>
            </w:r>
            <w:r w:rsidR="00BB1F3E" w:rsidRPr="00FA46D8">
              <w:rPr>
                <w:rFonts w:cs="Arial"/>
                <w:b/>
                <w:lang w:eastAsia="ja-JP"/>
              </w:rPr>
              <w:t>. Box</w:t>
            </w:r>
          </w:p>
        </w:tc>
      </w:tr>
      <w:tr w:rsidR="00BB1F3E" w:rsidRPr="006E26E4" w14:paraId="45A0FD88" w14:textId="77777777" w:rsidTr="00403A54">
        <w:trPr>
          <w:jc w:val="center"/>
        </w:trPr>
        <w:tc>
          <w:tcPr>
            <w:tcW w:w="4671" w:type="dxa"/>
          </w:tcPr>
          <w:p w14:paraId="47610987" w14:textId="77777777" w:rsidR="0087020F" w:rsidRPr="00FA46D8" w:rsidRDefault="0087020F" w:rsidP="00BB1F3E">
            <w:pPr>
              <w:rPr>
                <w:rFonts w:cs="Arial"/>
                <w:b/>
                <w:lang w:eastAsia="ja-JP"/>
              </w:rPr>
            </w:pPr>
          </w:p>
        </w:tc>
        <w:tc>
          <w:tcPr>
            <w:tcW w:w="4679" w:type="dxa"/>
          </w:tcPr>
          <w:p w14:paraId="70B75E13" w14:textId="77777777" w:rsidR="00BB1F3E" w:rsidRPr="00FA46D8" w:rsidRDefault="00BB1F3E" w:rsidP="00BB1F3E">
            <w:pPr>
              <w:rPr>
                <w:rFonts w:cs="Arial"/>
                <w:b/>
                <w:lang w:eastAsia="ja-JP"/>
              </w:rPr>
            </w:pPr>
          </w:p>
        </w:tc>
      </w:tr>
      <w:tr w:rsidR="00BB1F3E" w:rsidRPr="006E26E4" w14:paraId="182A8EA7" w14:textId="77777777" w:rsidTr="00403A54">
        <w:trPr>
          <w:jc w:val="center"/>
        </w:trPr>
        <w:tc>
          <w:tcPr>
            <w:tcW w:w="4671" w:type="dxa"/>
            <w:shd w:val="clear" w:color="auto" w:fill="D9D9D9" w:themeFill="background1" w:themeFillShade="D9"/>
          </w:tcPr>
          <w:p w14:paraId="4C2B2359" w14:textId="77777777" w:rsidR="00BB1F3E" w:rsidRPr="00FA46D8" w:rsidRDefault="00BB1F3E" w:rsidP="00E50A07">
            <w:pPr>
              <w:spacing w:before="40"/>
              <w:rPr>
                <w:rFonts w:cs="Arial"/>
                <w:b/>
                <w:lang w:eastAsia="ja-JP"/>
              </w:rPr>
            </w:pPr>
            <w:r w:rsidRPr="00FA46D8">
              <w:rPr>
                <w:rFonts w:cs="Arial"/>
                <w:b/>
                <w:lang w:eastAsia="ja-JP"/>
              </w:rPr>
              <w:t>City</w:t>
            </w:r>
          </w:p>
        </w:tc>
        <w:tc>
          <w:tcPr>
            <w:tcW w:w="4679" w:type="dxa"/>
            <w:shd w:val="clear" w:color="auto" w:fill="D9D9D9" w:themeFill="background1" w:themeFillShade="D9"/>
          </w:tcPr>
          <w:p w14:paraId="2DF7D81D" w14:textId="77777777" w:rsidR="00BB1F3E" w:rsidRPr="00FA46D8" w:rsidRDefault="00BB1F3E" w:rsidP="00E50A07">
            <w:pPr>
              <w:spacing w:before="40"/>
              <w:rPr>
                <w:rFonts w:cs="Arial"/>
                <w:b/>
                <w:lang w:eastAsia="ja-JP"/>
              </w:rPr>
            </w:pPr>
            <w:r w:rsidRPr="00FA46D8">
              <w:rPr>
                <w:rFonts w:cs="Arial"/>
                <w:b/>
                <w:lang w:eastAsia="ja-JP"/>
              </w:rPr>
              <w:t>City</w:t>
            </w:r>
          </w:p>
        </w:tc>
      </w:tr>
      <w:tr w:rsidR="00BB1F3E" w:rsidRPr="006E26E4" w14:paraId="4CF1A473" w14:textId="77777777" w:rsidTr="00403A54">
        <w:trPr>
          <w:jc w:val="center"/>
        </w:trPr>
        <w:tc>
          <w:tcPr>
            <w:tcW w:w="4671" w:type="dxa"/>
          </w:tcPr>
          <w:p w14:paraId="33AF6666" w14:textId="77777777" w:rsidR="0087020F" w:rsidRPr="00FA46D8" w:rsidRDefault="0087020F" w:rsidP="00BB1F3E">
            <w:pPr>
              <w:rPr>
                <w:rFonts w:cs="Arial"/>
                <w:b/>
                <w:lang w:eastAsia="ja-JP"/>
              </w:rPr>
            </w:pPr>
          </w:p>
        </w:tc>
        <w:tc>
          <w:tcPr>
            <w:tcW w:w="4679" w:type="dxa"/>
          </w:tcPr>
          <w:p w14:paraId="6AF826B3" w14:textId="77777777" w:rsidR="00BB1F3E" w:rsidRPr="00FA46D8" w:rsidRDefault="00BB1F3E" w:rsidP="00BB1F3E">
            <w:pPr>
              <w:rPr>
                <w:rFonts w:cs="Arial"/>
                <w:b/>
                <w:lang w:eastAsia="ja-JP"/>
              </w:rPr>
            </w:pPr>
          </w:p>
        </w:tc>
      </w:tr>
      <w:tr w:rsidR="00BB1F3E" w:rsidRPr="006E26E4" w14:paraId="2EDAC667" w14:textId="77777777" w:rsidTr="00403A54">
        <w:trPr>
          <w:jc w:val="center"/>
        </w:trPr>
        <w:tc>
          <w:tcPr>
            <w:tcW w:w="4671" w:type="dxa"/>
            <w:shd w:val="clear" w:color="auto" w:fill="D9D9D9" w:themeFill="background1" w:themeFillShade="D9"/>
          </w:tcPr>
          <w:p w14:paraId="6D3EC0B1" w14:textId="343964B7" w:rsidR="00BB1F3E" w:rsidRPr="00FA46D8" w:rsidRDefault="00BB1F3E" w:rsidP="00E50A07">
            <w:pPr>
              <w:spacing w:before="40"/>
              <w:rPr>
                <w:rFonts w:cs="Arial"/>
                <w:b/>
                <w:lang w:eastAsia="ja-JP"/>
              </w:rPr>
            </w:pPr>
            <w:hyperlink w:anchor="Endnote5_State" w:history="1">
              <w:r w:rsidRPr="00FA46D8">
                <w:rPr>
                  <w:rStyle w:val="Hyperlink"/>
                  <w:rFonts w:cs="Arial"/>
                  <w:b/>
                  <w:lang w:eastAsia="ja-JP"/>
                </w:rPr>
                <w:t>State</w:t>
              </w:r>
            </w:hyperlink>
            <w:r w:rsidR="00BF053F">
              <w:rPr>
                <w:rFonts w:ascii="ZWAdobeF" w:hAnsi="ZWAdobeF" w:cs="ZWAdobeF"/>
                <w:sz w:val="2"/>
                <w:szCs w:val="2"/>
              </w:rPr>
              <w:t>6F</w:t>
            </w:r>
            <w:r w:rsidR="004C7557">
              <w:rPr>
                <w:rFonts w:ascii="ZWAdobeF" w:hAnsi="ZWAdobeF" w:cs="ZWAdobeF"/>
                <w:sz w:val="2"/>
                <w:szCs w:val="2"/>
              </w:rPr>
              <w:t>6F</w:t>
            </w:r>
            <w:r w:rsidR="00C2087D">
              <w:rPr>
                <w:rFonts w:ascii="ZWAdobeF" w:hAnsi="ZWAdobeF" w:cs="ZWAdobeF"/>
                <w:sz w:val="2"/>
                <w:szCs w:val="2"/>
              </w:rPr>
              <w:t>6F</w:t>
            </w:r>
            <w:r w:rsidR="00B55C41">
              <w:rPr>
                <w:rFonts w:ascii="ZWAdobeF" w:hAnsi="ZWAdobeF" w:cs="ZWAdobeF"/>
                <w:sz w:val="2"/>
                <w:szCs w:val="2"/>
              </w:rPr>
              <w:t>6F</w:t>
            </w:r>
            <w:r w:rsidR="006255A6">
              <w:rPr>
                <w:rFonts w:ascii="ZWAdobeF" w:hAnsi="ZWAdobeF" w:cs="ZWAdobeF"/>
                <w:sz w:val="2"/>
                <w:szCs w:val="2"/>
              </w:rPr>
              <w:t>6F</w:t>
            </w:r>
            <w:r w:rsidR="00E453C7">
              <w:rPr>
                <w:rFonts w:ascii="ZWAdobeF" w:hAnsi="ZWAdobeF" w:cs="ZWAdobeF"/>
                <w:sz w:val="2"/>
                <w:szCs w:val="2"/>
              </w:rPr>
              <w:t>6F</w:t>
            </w:r>
            <w:r w:rsidR="00953060">
              <w:rPr>
                <w:rFonts w:ascii="ZWAdobeF" w:hAnsi="ZWAdobeF" w:cs="ZWAdobeF"/>
                <w:sz w:val="2"/>
                <w:szCs w:val="2"/>
              </w:rPr>
              <w:t>6F</w:t>
            </w:r>
            <w:r w:rsidR="00DD04D6">
              <w:rPr>
                <w:rFonts w:ascii="ZWAdobeF" w:hAnsi="ZWAdobeF" w:cs="ZWAdobeF"/>
                <w:sz w:val="2"/>
                <w:szCs w:val="2"/>
              </w:rPr>
              <w:t>6F</w:t>
            </w:r>
            <w:r w:rsidR="008A6A1B" w:rsidRPr="00FA46D8">
              <w:rPr>
                <w:rStyle w:val="EndnoteReference"/>
                <w:rFonts w:cs="Arial"/>
                <w:b/>
                <w:lang w:eastAsia="ja-JP"/>
              </w:rPr>
              <w:endnoteReference w:id="8"/>
            </w:r>
          </w:p>
        </w:tc>
        <w:tc>
          <w:tcPr>
            <w:tcW w:w="4679" w:type="dxa"/>
            <w:shd w:val="clear" w:color="auto" w:fill="D9D9D9" w:themeFill="background1" w:themeFillShade="D9"/>
          </w:tcPr>
          <w:p w14:paraId="1B733C3E" w14:textId="39DD04C6" w:rsidR="00BB1F3E" w:rsidRPr="00FA46D8" w:rsidRDefault="00B23DBC" w:rsidP="00E50A07">
            <w:pPr>
              <w:spacing w:before="40"/>
              <w:rPr>
                <w:rFonts w:cs="Arial"/>
                <w:b/>
                <w:lang w:eastAsia="ja-JP"/>
              </w:rPr>
            </w:pPr>
            <w:r>
              <w:rPr>
                <w:rFonts w:cs="Arial"/>
                <w:b/>
                <w:lang w:eastAsia="ja-JP"/>
              </w:rPr>
              <w:t>Country</w:t>
            </w:r>
          </w:p>
        </w:tc>
      </w:tr>
      <w:tr w:rsidR="00FB7AA3" w:rsidRPr="006E26E4" w14:paraId="1501F293" w14:textId="77777777" w:rsidTr="00FB7AA3">
        <w:trPr>
          <w:jc w:val="center"/>
        </w:trPr>
        <w:tc>
          <w:tcPr>
            <w:tcW w:w="4671" w:type="dxa"/>
          </w:tcPr>
          <w:p w14:paraId="73D7D786" w14:textId="77777777" w:rsidR="00FB7AA3" w:rsidRDefault="00FB7AA3" w:rsidP="00E50A07">
            <w:pPr>
              <w:spacing w:before="40"/>
            </w:pPr>
          </w:p>
        </w:tc>
        <w:tc>
          <w:tcPr>
            <w:tcW w:w="4679" w:type="dxa"/>
          </w:tcPr>
          <w:p w14:paraId="3A7426D1" w14:textId="77777777" w:rsidR="00FB7AA3" w:rsidRPr="00FA46D8" w:rsidRDefault="00FB7AA3" w:rsidP="00E50A07">
            <w:pPr>
              <w:spacing w:before="40"/>
              <w:rPr>
                <w:rFonts w:cs="Arial"/>
                <w:b/>
                <w:lang w:eastAsia="ja-JP"/>
              </w:rPr>
            </w:pPr>
          </w:p>
        </w:tc>
      </w:tr>
      <w:tr w:rsidR="00BB1F3E" w:rsidRPr="006E26E4" w14:paraId="0DF423DF" w14:textId="77777777" w:rsidTr="007C56CD">
        <w:trPr>
          <w:jc w:val="center"/>
        </w:trPr>
        <w:tc>
          <w:tcPr>
            <w:tcW w:w="4671" w:type="dxa"/>
            <w:shd w:val="clear" w:color="auto" w:fill="D9D9D9" w:themeFill="background1" w:themeFillShade="D9"/>
          </w:tcPr>
          <w:p w14:paraId="19FA39E2" w14:textId="36DAE234" w:rsidR="0087020F" w:rsidRPr="00FA46D8" w:rsidRDefault="00B23DBC" w:rsidP="00BB1F3E">
            <w:pPr>
              <w:rPr>
                <w:rFonts w:cs="Arial"/>
                <w:b/>
                <w:lang w:eastAsia="ja-JP"/>
              </w:rPr>
            </w:pPr>
            <w:r w:rsidRPr="00FA46D8">
              <w:rPr>
                <w:rFonts w:cs="Arial"/>
                <w:b/>
                <w:lang w:eastAsia="ja-JP"/>
              </w:rPr>
              <w:t>Zip Code</w:t>
            </w:r>
          </w:p>
        </w:tc>
        <w:tc>
          <w:tcPr>
            <w:tcW w:w="4679" w:type="dxa"/>
            <w:shd w:val="clear" w:color="auto" w:fill="D9D9D9" w:themeFill="background1" w:themeFillShade="D9"/>
          </w:tcPr>
          <w:p w14:paraId="2F8B4C20" w14:textId="24BF4BDB" w:rsidR="00BB1F3E" w:rsidRPr="00FA46D8" w:rsidRDefault="00B23DBC" w:rsidP="00BB1F3E">
            <w:pPr>
              <w:rPr>
                <w:rFonts w:cs="Arial"/>
                <w:b/>
                <w:lang w:eastAsia="ja-JP"/>
              </w:rPr>
            </w:pPr>
            <w:r w:rsidRPr="00FA46D8">
              <w:rPr>
                <w:rFonts w:cs="Arial"/>
                <w:b/>
                <w:lang w:eastAsia="ja-JP"/>
              </w:rPr>
              <w:t>State</w:t>
            </w:r>
          </w:p>
        </w:tc>
      </w:tr>
      <w:tr w:rsidR="00B23DBC" w:rsidRPr="006E26E4" w14:paraId="12F7ADF1" w14:textId="77777777" w:rsidTr="00403A54">
        <w:trPr>
          <w:jc w:val="center"/>
        </w:trPr>
        <w:tc>
          <w:tcPr>
            <w:tcW w:w="4671" w:type="dxa"/>
          </w:tcPr>
          <w:p w14:paraId="64188088" w14:textId="77777777" w:rsidR="00B23DBC" w:rsidRPr="00FA46D8" w:rsidRDefault="00B23DBC" w:rsidP="00BB1F3E">
            <w:pPr>
              <w:rPr>
                <w:rFonts w:cs="Arial"/>
                <w:b/>
                <w:lang w:eastAsia="ja-JP"/>
              </w:rPr>
            </w:pPr>
          </w:p>
        </w:tc>
        <w:tc>
          <w:tcPr>
            <w:tcW w:w="4679" w:type="dxa"/>
          </w:tcPr>
          <w:p w14:paraId="1B07BD59" w14:textId="77777777" w:rsidR="00B23DBC" w:rsidRPr="00FA46D8" w:rsidRDefault="00B23DBC" w:rsidP="00BB1F3E">
            <w:pPr>
              <w:rPr>
                <w:rFonts w:cs="Arial"/>
                <w:b/>
                <w:lang w:eastAsia="ja-JP"/>
              </w:rPr>
            </w:pPr>
          </w:p>
        </w:tc>
      </w:tr>
      <w:tr w:rsidR="00BB1F3E" w:rsidRPr="006E26E4" w14:paraId="616CBAD4" w14:textId="77777777" w:rsidTr="00403A54">
        <w:trPr>
          <w:jc w:val="center"/>
        </w:trPr>
        <w:tc>
          <w:tcPr>
            <w:tcW w:w="4671" w:type="dxa"/>
            <w:shd w:val="clear" w:color="auto" w:fill="D9D9D9" w:themeFill="background1" w:themeFillShade="D9"/>
          </w:tcPr>
          <w:p w14:paraId="6A10D6FC" w14:textId="7BC7E740" w:rsidR="00BB1F3E" w:rsidRPr="00FA46D8" w:rsidRDefault="00B23DBC" w:rsidP="00E50A07">
            <w:pPr>
              <w:spacing w:before="40"/>
              <w:rPr>
                <w:rFonts w:cs="Arial"/>
                <w:b/>
                <w:lang w:eastAsia="ja-JP"/>
              </w:rPr>
            </w:pPr>
            <w:r w:rsidRPr="00FA46D8">
              <w:rPr>
                <w:rFonts w:cs="Arial"/>
                <w:b/>
                <w:lang w:eastAsia="ja-JP"/>
              </w:rPr>
              <w:t>Zip Code Suffix</w:t>
            </w:r>
          </w:p>
        </w:tc>
        <w:tc>
          <w:tcPr>
            <w:tcW w:w="4679" w:type="dxa"/>
            <w:shd w:val="clear" w:color="auto" w:fill="D9D9D9" w:themeFill="background1" w:themeFillShade="D9"/>
          </w:tcPr>
          <w:p w14:paraId="23146B7F" w14:textId="77777777" w:rsidR="00BB1F3E" w:rsidRPr="00FA46D8" w:rsidRDefault="00BB1F3E" w:rsidP="00E50A07">
            <w:pPr>
              <w:spacing w:before="40"/>
              <w:rPr>
                <w:rFonts w:cs="Arial"/>
                <w:b/>
                <w:lang w:eastAsia="ja-JP"/>
              </w:rPr>
            </w:pPr>
            <w:r w:rsidRPr="00FA46D8">
              <w:rPr>
                <w:rFonts w:cs="Arial"/>
                <w:b/>
                <w:lang w:eastAsia="ja-JP"/>
              </w:rPr>
              <w:t>Zip Code</w:t>
            </w:r>
          </w:p>
        </w:tc>
      </w:tr>
      <w:tr w:rsidR="00BB1F3E" w:rsidRPr="006E26E4" w14:paraId="6BAC9FDB" w14:textId="77777777" w:rsidTr="00403A54">
        <w:trPr>
          <w:jc w:val="center"/>
        </w:trPr>
        <w:tc>
          <w:tcPr>
            <w:tcW w:w="4671" w:type="dxa"/>
          </w:tcPr>
          <w:p w14:paraId="23485319" w14:textId="77777777" w:rsidR="0087020F" w:rsidRPr="00FA46D8" w:rsidRDefault="0087020F" w:rsidP="00BB1F3E">
            <w:pPr>
              <w:rPr>
                <w:rFonts w:cs="Arial"/>
                <w:b/>
                <w:lang w:eastAsia="ja-JP"/>
              </w:rPr>
            </w:pPr>
          </w:p>
        </w:tc>
        <w:tc>
          <w:tcPr>
            <w:tcW w:w="4679" w:type="dxa"/>
          </w:tcPr>
          <w:p w14:paraId="28A8B821" w14:textId="77777777" w:rsidR="00BB1F3E" w:rsidRPr="00FA46D8" w:rsidRDefault="00BB1F3E" w:rsidP="00BB1F3E">
            <w:pPr>
              <w:rPr>
                <w:rFonts w:cs="Arial"/>
                <w:b/>
                <w:lang w:eastAsia="ja-JP"/>
              </w:rPr>
            </w:pPr>
          </w:p>
        </w:tc>
      </w:tr>
      <w:tr w:rsidR="00BB1F3E" w:rsidRPr="006E26E4" w14:paraId="197C53DE" w14:textId="77777777" w:rsidTr="00403A54">
        <w:trPr>
          <w:jc w:val="center"/>
        </w:trPr>
        <w:tc>
          <w:tcPr>
            <w:tcW w:w="4671" w:type="dxa"/>
            <w:tcBorders>
              <w:bottom w:val="single" w:sz="4" w:space="0" w:color="auto"/>
            </w:tcBorders>
            <w:shd w:val="clear" w:color="auto" w:fill="D9D9D9" w:themeFill="background1" w:themeFillShade="D9"/>
          </w:tcPr>
          <w:p w14:paraId="587D748A" w14:textId="10C3C843" w:rsidR="00BB1F3E" w:rsidRPr="00FA46D8" w:rsidRDefault="00B23DBC" w:rsidP="00E50A07">
            <w:pPr>
              <w:spacing w:before="40"/>
              <w:rPr>
                <w:rFonts w:cs="Arial"/>
                <w:b/>
                <w:lang w:eastAsia="ja-JP"/>
              </w:rPr>
            </w:pPr>
            <w:r w:rsidRPr="00FA46D8">
              <w:rPr>
                <w:rFonts w:cs="Arial"/>
                <w:b/>
                <w:lang w:eastAsia="ja-JP"/>
              </w:rPr>
              <w:t>Main Phone Number</w:t>
            </w:r>
          </w:p>
        </w:tc>
        <w:tc>
          <w:tcPr>
            <w:tcW w:w="4679" w:type="dxa"/>
            <w:tcBorders>
              <w:bottom w:val="single" w:sz="4" w:space="0" w:color="auto"/>
            </w:tcBorders>
            <w:shd w:val="clear" w:color="auto" w:fill="D9D9D9" w:themeFill="background1" w:themeFillShade="D9"/>
          </w:tcPr>
          <w:p w14:paraId="5FECC632" w14:textId="77777777" w:rsidR="00BB1F3E" w:rsidRPr="00FA46D8" w:rsidRDefault="00BB1F3E" w:rsidP="00E50A07">
            <w:pPr>
              <w:spacing w:before="40"/>
              <w:rPr>
                <w:rFonts w:cs="Arial"/>
                <w:b/>
                <w:lang w:eastAsia="ja-JP"/>
              </w:rPr>
            </w:pPr>
            <w:r w:rsidRPr="00FA46D8">
              <w:rPr>
                <w:rFonts w:cs="Arial"/>
                <w:b/>
                <w:lang w:eastAsia="ja-JP"/>
              </w:rPr>
              <w:t>Zip Code Suffix</w:t>
            </w:r>
          </w:p>
        </w:tc>
      </w:tr>
      <w:tr w:rsidR="00BB1F3E" w:rsidRPr="006E26E4" w14:paraId="0D445723" w14:textId="77777777" w:rsidTr="00403A54">
        <w:trPr>
          <w:jc w:val="center"/>
        </w:trPr>
        <w:tc>
          <w:tcPr>
            <w:tcW w:w="4671" w:type="dxa"/>
            <w:tcBorders>
              <w:top w:val="single" w:sz="4" w:space="0" w:color="auto"/>
              <w:right w:val="single" w:sz="4" w:space="0" w:color="auto"/>
            </w:tcBorders>
          </w:tcPr>
          <w:p w14:paraId="51AA2E1C" w14:textId="77777777" w:rsidR="0087020F" w:rsidRPr="00FA46D8" w:rsidRDefault="0087020F" w:rsidP="00BB1F3E">
            <w:pPr>
              <w:rPr>
                <w:rFonts w:cs="Arial"/>
                <w:b/>
                <w:lang w:eastAsia="ja-JP"/>
              </w:rPr>
            </w:pPr>
          </w:p>
        </w:tc>
        <w:tc>
          <w:tcPr>
            <w:tcW w:w="4679" w:type="dxa"/>
            <w:tcBorders>
              <w:top w:val="single" w:sz="4" w:space="0" w:color="auto"/>
              <w:left w:val="single" w:sz="4" w:space="0" w:color="auto"/>
              <w:bottom w:val="single" w:sz="4" w:space="0" w:color="auto"/>
              <w:right w:val="single" w:sz="4" w:space="0" w:color="auto"/>
            </w:tcBorders>
          </w:tcPr>
          <w:p w14:paraId="08B7C66F" w14:textId="77777777" w:rsidR="00BB1F3E" w:rsidRPr="00FA46D8" w:rsidRDefault="00BB1F3E" w:rsidP="00BB1F3E">
            <w:pPr>
              <w:rPr>
                <w:rFonts w:cs="Arial"/>
                <w:b/>
                <w:lang w:eastAsia="ja-JP"/>
              </w:rPr>
            </w:pPr>
          </w:p>
        </w:tc>
      </w:tr>
      <w:tr w:rsidR="00BB1F3E" w:rsidRPr="006E26E4" w14:paraId="68766480" w14:textId="77777777" w:rsidTr="00403A54">
        <w:trPr>
          <w:jc w:val="center"/>
        </w:trPr>
        <w:tc>
          <w:tcPr>
            <w:tcW w:w="4671" w:type="dxa"/>
            <w:tcBorders>
              <w:right w:val="single" w:sz="4" w:space="0" w:color="auto"/>
            </w:tcBorders>
            <w:shd w:val="clear" w:color="auto" w:fill="D9D9D9" w:themeFill="background1" w:themeFillShade="D9"/>
          </w:tcPr>
          <w:p w14:paraId="62C24662" w14:textId="18D99E25" w:rsidR="00BB1F3E" w:rsidRPr="00FA46D8" w:rsidRDefault="00BB1F3E" w:rsidP="00E50A07">
            <w:pPr>
              <w:spacing w:before="40"/>
              <w:rPr>
                <w:rFonts w:cs="Arial"/>
                <w:b/>
                <w:lang w:eastAsia="ja-JP"/>
              </w:rPr>
            </w:pPr>
            <w:hyperlink w:anchor="Endnote6_Web" w:history="1">
              <w:r w:rsidRPr="00FA46D8">
                <w:rPr>
                  <w:rStyle w:val="Hyperlink"/>
                  <w:rFonts w:cs="Arial"/>
                  <w:b/>
                  <w:lang w:eastAsia="ja-JP"/>
                </w:rPr>
                <w:t>Hospital Website Address</w:t>
              </w:r>
            </w:hyperlink>
            <w:r w:rsidR="00BF053F">
              <w:rPr>
                <w:rFonts w:ascii="ZWAdobeF" w:hAnsi="ZWAdobeF" w:cs="ZWAdobeF"/>
                <w:sz w:val="2"/>
                <w:szCs w:val="2"/>
              </w:rPr>
              <w:t>7F</w:t>
            </w:r>
            <w:r w:rsidR="004C7557">
              <w:rPr>
                <w:rFonts w:ascii="ZWAdobeF" w:hAnsi="ZWAdobeF" w:cs="ZWAdobeF"/>
                <w:sz w:val="2"/>
                <w:szCs w:val="2"/>
              </w:rPr>
              <w:t>7F</w:t>
            </w:r>
            <w:r w:rsidR="00C2087D">
              <w:rPr>
                <w:rFonts w:ascii="ZWAdobeF" w:hAnsi="ZWAdobeF" w:cs="ZWAdobeF"/>
                <w:sz w:val="2"/>
                <w:szCs w:val="2"/>
              </w:rPr>
              <w:t>7F</w:t>
            </w:r>
            <w:r w:rsidR="00B55C41">
              <w:rPr>
                <w:rFonts w:ascii="ZWAdobeF" w:hAnsi="ZWAdobeF" w:cs="ZWAdobeF"/>
                <w:sz w:val="2"/>
                <w:szCs w:val="2"/>
              </w:rPr>
              <w:t>7F</w:t>
            </w:r>
            <w:r w:rsidR="006255A6">
              <w:rPr>
                <w:rFonts w:ascii="ZWAdobeF" w:hAnsi="ZWAdobeF" w:cs="ZWAdobeF"/>
                <w:sz w:val="2"/>
                <w:szCs w:val="2"/>
              </w:rPr>
              <w:t>7F</w:t>
            </w:r>
            <w:r w:rsidR="00E453C7">
              <w:rPr>
                <w:rFonts w:ascii="ZWAdobeF" w:hAnsi="ZWAdobeF" w:cs="ZWAdobeF"/>
                <w:sz w:val="2"/>
                <w:szCs w:val="2"/>
              </w:rPr>
              <w:t>7F</w:t>
            </w:r>
            <w:r w:rsidR="00953060">
              <w:rPr>
                <w:rFonts w:ascii="ZWAdobeF" w:hAnsi="ZWAdobeF" w:cs="ZWAdobeF"/>
                <w:sz w:val="2"/>
                <w:szCs w:val="2"/>
              </w:rPr>
              <w:t>7F</w:t>
            </w:r>
            <w:r w:rsidR="00DD04D6">
              <w:rPr>
                <w:rFonts w:ascii="ZWAdobeF" w:hAnsi="ZWAdobeF" w:cs="ZWAdobeF"/>
                <w:sz w:val="2"/>
                <w:szCs w:val="2"/>
              </w:rPr>
              <w:t>7F</w:t>
            </w:r>
            <w:r w:rsidR="000469EC" w:rsidRPr="00FA46D8">
              <w:rPr>
                <w:rStyle w:val="EndnoteReference"/>
                <w:rFonts w:cs="Arial"/>
                <w:b/>
                <w:lang w:eastAsia="ja-JP"/>
              </w:rPr>
              <w:endnoteReference w:id="9"/>
            </w:r>
          </w:p>
          <w:p w14:paraId="5212F830" w14:textId="588D7E37" w:rsidR="00881088" w:rsidRPr="00FA46D8" w:rsidRDefault="00881088" w:rsidP="00BB1F3E">
            <w:pPr>
              <w:rPr>
                <w:rFonts w:cs="Arial"/>
                <w:lang w:eastAsia="ja-JP"/>
              </w:rPr>
            </w:pPr>
            <w:r w:rsidRPr="00FA46D8">
              <w:rPr>
                <w:rFonts w:cs="Arial"/>
                <w:lang w:eastAsia="ja-JP"/>
              </w:rPr>
              <w:t>(</w:t>
            </w:r>
            <w:r w:rsidR="006938FB">
              <w:rPr>
                <w:rFonts w:cs="Arial"/>
                <w:lang w:eastAsia="ja-JP"/>
              </w:rPr>
              <w:t>s</w:t>
            </w:r>
            <w:r w:rsidRPr="00FA46D8">
              <w:rPr>
                <w:rFonts w:cs="Arial"/>
                <w:lang w:eastAsia="ja-JP"/>
              </w:rPr>
              <w:t xml:space="preserve">o consumers can learn more about your hospital’s efforts in the area of patient safety and quality improvement) </w:t>
            </w:r>
          </w:p>
        </w:tc>
        <w:tc>
          <w:tcPr>
            <w:tcW w:w="4679" w:type="dxa"/>
            <w:tcBorders>
              <w:top w:val="nil"/>
              <w:left w:val="single" w:sz="4" w:space="0" w:color="auto"/>
              <w:bottom w:val="nil"/>
              <w:right w:val="nil"/>
            </w:tcBorders>
          </w:tcPr>
          <w:p w14:paraId="3CC83A6E" w14:textId="77777777" w:rsidR="00BB1F3E" w:rsidRPr="00FA46D8" w:rsidRDefault="00BB1F3E" w:rsidP="00BB1F3E">
            <w:pPr>
              <w:rPr>
                <w:rFonts w:cs="Arial"/>
                <w:b/>
                <w:lang w:eastAsia="ja-JP"/>
              </w:rPr>
            </w:pPr>
          </w:p>
        </w:tc>
      </w:tr>
      <w:tr w:rsidR="0087020F" w:rsidRPr="006E26E4" w14:paraId="7A6EA1AE" w14:textId="77777777" w:rsidTr="00403A54">
        <w:trPr>
          <w:jc w:val="center"/>
        </w:trPr>
        <w:tc>
          <w:tcPr>
            <w:tcW w:w="4671" w:type="dxa"/>
            <w:tcBorders>
              <w:right w:val="single" w:sz="4" w:space="0" w:color="auto"/>
            </w:tcBorders>
          </w:tcPr>
          <w:p w14:paraId="20FA7AD6" w14:textId="77777777" w:rsidR="0087020F" w:rsidRPr="00FA46D8" w:rsidRDefault="0087020F" w:rsidP="00BB1F3E">
            <w:pPr>
              <w:rPr>
                <w:rFonts w:cs="Arial"/>
                <w:b/>
                <w:lang w:eastAsia="ja-JP"/>
              </w:rPr>
            </w:pPr>
          </w:p>
        </w:tc>
        <w:tc>
          <w:tcPr>
            <w:tcW w:w="4679" w:type="dxa"/>
            <w:tcBorders>
              <w:top w:val="nil"/>
              <w:left w:val="single" w:sz="4" w:space="0" w:color="auto"/>
              <w:bottom w:val="nil"/>
              <w:right w:val="nil"/>
            </w:tcBorders>
          </w:tcPr>
          <w:p w14:paraId="444732A4" w14:textId="77777777" w:rsidR="0087020F" w:rsidRPr="00FA46D8" w:rsidRDefault="0087020F" w:rsidP="00BB1F3E">
            <w:pPr>
              <w:rPr>
                <w:rFonts w:cs="Arial"/>
                <w:b/>
                <w:lang w:eastAsia="ja-JP"/>
              </w:rPr>
            </w:pPr>
          </w:p>
        </w:tc>
      </w:tr>
    </w:tbl>
    <w:p w14:paraId="109DC6FE" w14:textId="77777777" w:rsidR="00BB1339" w:rsidRPr="004D1420" w:rsidRDefault="00BB1339" w:rsidP="007D0C84"/>
    <w:p w14:paraId="38C3B100" w14:textId="679A8590" w:rsidR="00881088" w:rsidRDefault="008910AA" w:rsidP="00AB5B80">
      <w:pPr>
        <w:pStyle w:val="Heading3"/>
      </w:pPr>
      <w:bookmarkStart w:id="72" w:name="_Toc225877664"/>
      <w:r w:rsidRPr="009A5185">
        <w:t>Contact Information</w:t>
      </w:r>
      <w:bookmarkEnd w:id="72"/>
      <w:r w:rsidRPr="009A5185">
        <w:t xml:space="preserve"> </w:t>
      </w:r>
    </w:p>
    <w:p w14:paraId="2E02DD80" w14:textId="77777777" w:rsidR="00F9246C" w:rsidRPr="004D1420" w:rsidRDefault="00F9246C" w:rsidP="00F9246C">
      <w:pPr>
        <w:rPr>
          <w:lang w:eastAsia="ja-JP"/>
        </w:rPr>
      </w:pPr>
    </w:p>
    <w:tbl>
      <w:tblPr>
        <w:tblStyle w:val="TableGrid"/>
        <w:tblW w:w="0" w:type="auto"/>
        <w:jc w:val="center"/>
        <w:tblLook w:val="04A0" w:firstRow="1" w:lastRow="0" w:firstColumn="1" w:lastColumn="0" w:noHBand="0" w:noVBand="1"/>
      </w:tblPr>
      <w:tblGrid>
        <w:gridCol w:w="4672"/>
        <w:gridCol w:w="4678"/>
      </w:tblGrid>
      <w:tr w:rsidR="00881088" w:rsidRPr="006E26E4" w14:paraId="436BB7A0" w14:textId="77777777" w:rsidTr="00B563E2">
        <w:trPr>
          <w:jc w:val="center"/>
        </w:trPr>
        <w:tc>
          <w:tcPr>
            <w:tcW w:w="4788" w:type="dxa"/>
            <w:shd w:val="clear" w:color="auto" w:fill="D9D9D9" w:themeFill="background1" w:themeFillShade="D9"/>
          </w:tcPr>
          <w:p w14:paraId="466A11A2" w14:textId="77777777" w:rsidR="00881088" w:rsidRPr="00FA46D8" w:rsidRDefault="00881088" w:rsidP="00E50A07">
            <w:pPr>
              <w:spacing w:before="40"/>
              <w:rPr>
                <w:rFonts w:cs="Arial"/>
                <w:b/>
                <w:lang w:eastAsia="ja-JP"/>
              </w:rPr>
            </w:pPr>
            <w:r w:rsidRPr="00FA46D8">
              <w:rPr>
                <w:rFonts w:cs="Arial"/>
                <w:b/>
                <w:lang w:eastAsia="ja-JP"/>
              </w:rPr>
              <w:t>Chief Executive Officer (CEO</w:t>
            </w:r>
            <w:r w:rsidR="00090572" w:rsidRPr="00FA46D8">
              <w:rPr>
                <w:rFonts w:cs="Arial"/>
                <w:b/>
                <w:lang w:eastAsia="ja-JP"/>
              </w:rPr>
              <w:t>)</w:t>
            </w:r>
          </w:p>
        </w:tc>
        <w:tc>
          <w:tcPr>
            <w:tcW w:w="4788" w:type="dxa"/>
            <w:shd w:val="clear" w:color="auto" w:fill="D9D9D9" w:themeFill="background1" w:themeFillShade="D9"/>
          </w:tcPr>
          <w:p w14:paraId="6E335C60" w14:textId="77777777" w:rsidR="00881088" w:rsidRPr="00FA46D8" w:rsidRDefault="00BE5587" w:rsidP="00BE5587">
            <w:pPr>
              <w:spacing w:before="40"/>
              <w:rPr>
                <w:rFonts w:cs="Arial"/>
                <w:b/>
                <w:lang w:eastAsia="ja-JP"/>
              </w:rPr>
            </w:pPr>
            <w:r w:rsidRPr="00FA46D8">
              <w:rPr>
                <w:rFonts w:cs="Arial"/>
                <w:b/>
                <w:lang w:eastAsia="ja-JP"/>
              </w:rPr>
              <w:t>Chair</w:t>
            </w:r>
            <w:r w:rsidR="002A52F6" w:rsidRPr="00FA46D8">
              <w:rPr>
                <w:rFonts w:cs="Arial"/>
                <w:b/>
                <w:lang w:eastAsia="ja-JP"/>
              </w:rPr>
              <w:t>person</w:t>
            </w:r>
            <w:r w:rsidRPr="00FA46D8">
              <w:rPr>
                <w:rFonts w:cs="Arial"/>
                <w:b/>
                <w:lang w:eastAsia="ja-JP"/>
              </w:rPr>
              <w:t xml:space="preserve"> </w:t>
            </w:r>
            <w:r w:rsidR="00881088" w:rsidRPr="00FA46D8">
              <w:rPr>
                <w:rFonts w:cs="Arial"/>
                <w:b/>
                <w:lang w:eastAsia="ja-JP"/>
              </w:rPr>
              <w:t>of the Board</w:t>
            </w:r>
          </w:p>
        </w:tc>
      </w:tr>
      <w:tr w:rsidR="00242F59" w:rsidRPr="006E26E4" w14:paraId="3983B6AE" w14:textId="77777777" w:rsidTr="00B563E2">
        <w:trPr>
          <w:jc w:val="center"/>
        </w:trPr>
        <w:tc>
          <w:tcPr>
            <w:tcW w:w="4788" w:type="dxa"/>
            <w:shd w:val="clear" w:color="auto" w:fill="D9D9D9" w:themeFill="background1" w:themeFillShade="D9"/>
          </w:tcPr>
          <w:p w14:paraId="2501530A" w14:textId="77777777" w:rsidR="00242F59" w:rsidRDefault="00242F59" w:rsidP="00E50A07">
            <w:pPr>
              <w:spacing w:before="40"/>
              <w:rPr>
                <w:rFonts w:cs="Arial"/>
                <w:b/>
                <w:lang w:eastAsia="ja-JP"/>
              </w:rPr>
            </w:pPr>
            <w:r>
              <w:rPr>
                <w:rFonts w:cs="Arial"/>
                <w:b/>
                <w:lang w:eastAsia="ja-JP"/>
              </w:rPr>
              <w:t>Prefix</w:t>
            </w:r>
          </w:p>
          <w:p w14:paraId="4FB20707" w14:textId="472FED41" w:rsidR="001A587E" w:rsidRPr="00C22EB6" w:rsidRDefault="00C22EB6" w:rsidP="00E50A07">
            <w:pPr>
              <w:spacing w:before="40"/>
              <w:rPr>
                <w:rFonts w:cs="Arial"/>
                <w:bCs/>
                <w:lang w:eastAsia="ja-JP"/>
              </w:rPr>
            </w:pPr>
            <w:r>
              <w:rPr>
                <w:rFonts w:cs="Arial"/>
                <w:bCs/>
                <w:lang w:eastAsia="ja-JP"/>
              </w:rPr>
              <w:t>(</w:t>
            </w:r>
            <w:r w:rsidR="00C110D9">
              <w:rPr>
                <w:rFonts w:cs="Arial"/>
                <w:bCs/>
                <w:lang w:eastAsia="ja-JP"/>
              </w:rPr>
              <w:t>e.g.</w:t>
            </w:r>
            <w:r w:rsidR="001A587E" w:rsidRPr="00C22EB6">
              <w:rPr>
                <w:rFonts w:cs="Arial"/>
                <w:bCs/>
                <w:lang w:eastAsia="ja-JP"/>
              </w:rPr>
              <w:t>, Mr., Ms., Mrs., Dr., etc.</w:t>
            </w:r>
            <w:r>
              <w:rPr>
                <w:rFonts w:cs="Arial"/>
                <w:bCs/>
                <w:lang w:eastAsia="ja-JP"/>
              </w:rPr>
              <w:t>)</w:t>
            </w:r>
          </w:p>
        </w:tc>
        <w:tc>
          <w:tcPr>
            <w:tcW w:w="4788" w:type="dxa"/>
            <w:shd w:val="clear" w:color="auto" w:fill="D9D9D9" w:themeFill="background1" w:themeFillShade="D9"/>
          </w:tcPr>
          <w:p w14:paraId="7BC46C82" w14:textId="54644667" w:rsidR="00242F59" w:rsidRPr="00FA46D8" w:rsidRDefault="009D0DA1" w:rsidP="00E50A07">
            <w:pPr>
              <w:spacing w:before="40"/>
              <w:rPr>
                <w:rFonts w:cs="Arial"/>
                <w:b/>
                <w:lang w:eastAsia="ja-JP"/>
              </w:rPr>
            </w:pPr>
            <w:r w:rsidRPr="00FA46D8">
              <w:rPr>
                <w:rFonts w:cs="Arial"/>
                <w:b/>
                <w:lang w:eastAsia="ja-JP"/>
              </w:rPr>
              <w:t>First Name</w:t>
            </w:r>
          </w:p>
        </w:tc>
      </w:tr>
      <w:tr w:rsidR="00242F59" w:rsidRPr="006E26E4" w14:paraId="64F292CA" w14:textId="77777777" w:rsidTr="00544547">
        <w:trPr>
          <w:jc w:val="center"/>
        </w:trPr>
        <w:tc>
          <w:tcPr>
            <w:tcW w:w="4788" w:type="dxa"/>
          </w:tcPr>
          <w:p w14:paraId="264A5441" w14:textId="77777777" w:rsidR="00242F59" w:rsidRPr="00FA46D8" w:rsidRDefault="00242F59" w:rsidP="00E50A07">
            <w:pPr>
              <w:spacing w:before="40"/>
              <w:rPr>
                <w:rFonts w:cs="Arial"/>
                <w:b/>
                <w:lang w:eastAsia="ja-JP"/>
              </w:rPr>
            </w:pPr>
          </w:p>
        </w:tc>
        <w:tc>
          <w:tcPr>
            <w:tcW w:w="4788" w:type="dxa"/>
          </w:tcPr>
          <w:p w14:paraId="0C8EFFA8" w14:textId="77777777" w:rsidR="00242F59" w:rsidRPr="00FA46D8" w:rsidRDefault="00242F59" w:rsidP="00E50A07">
            <w:pPr>
              <w:spacing w:before="40"/>
              <w:rPr>
                <w:rFonts w:cs="Arial"/>
                <w:b/>
                <w:lang w:eastAsia="ja-JP"/>
              </w:rPr>
            </w:pPr>
          </w:p>
        </w:tc>
      </w:tr>
      <w:tr w:rsidR="00881088" w:rsidRPr="006E26E4" w14:paraId="52CAAB4E" w14:textId="77777777" w:rsidTr="00544547">
        <w:trPr>
          <w:jc w:val="center"/>
        </w:trPr>
        <w:tc>
          <w:tcPr>
            <w:tcW w:w="4788" w:type="dxa"/>
            <w:shd w:val="clear" w:color="auto" w:fill="D9D9D9" w:themeFill="background1" w:themeFillShade="D9"/>
          </w:tcPr>
          <w:p w14:paraId="16704C92" w14:textId="77777777" w:rsidR="00881088" w:rsidRPr="00FA46D8" w:rsidRDefault="00881088" w:rsidP="00E50A07">
            <w:pPr>
              <w:spacing w:before="40"/>
              <w:rPr>
                <w:rFonts w:cs="Arial"/>
                <w:b/>
                <w:lang w:eastAsia="ja-JP"/>
              </w:rPr>
            </w:pPr>
            <w:r w:rsidRPr="00FA46D8">
              <w:rPr>
                <w:rFonts w:cs="Arial"/>
                <w:b/>
                <w:lang w:eastAsia="ja-JP"/>
              </w:rPr>
              <w:t>First Name</w:t>
            </w:r>
          </w:p>
        </w:tc>
        <w:tc>
          <w:tcPr>
            <w:tcW w:w="4788" w:type="dxa"/>
            <w:tcBorders>
              <w:bottom w:val="single" w:sz="4" w:space="0" w:color="auto"/>
            </w:tcBorders>
            <w:shd w:val="clear" w:color="auto" w:fill="D9D9D9" w:themeFill="background1" w:themeFillShade="D9"/>
          </w:tcPr>
          <w:p w14:paraId="6D362F8A" w14:textId="14ADB853" w:rsidR="00881088" w:rsidRPr="00FA46D8" w:rsidRDefault="009D0DA1" w:rsidP="00E50A07">
            <w:pPr>
              <w:spacing w:before="40"/>
              <w:rPr>
                <w:rFonts w:cs="Arial"/>
                <w:b/>
                <w:lang w:eastAsia="ja-JP"/>
              </w:rPr>
            </w:pPr>
            <w:r w:rsidRPr="00FA46D8">
              <w:rPr>
                <w:rFonts w:cs="Arial"/>
                <w:b/>
                <w:lang w:eastAsia="ja-JP"/>
              </w:rPr>
              <w:t>Last Name</w:t>
            </w:r>
            <w:r w:rsidRPr="00FA46D8" w:rsidDel="009D0DA1">
              <w:rPr>
                <w:rFonts w:cs="Arial"/>
                <w:b/>
                <w:lang w:eastAsia="ja-JP"/>
              </w:rPr>
              <w:t xml:space="preserve"> </w:t>
            </w:r>
          </w:p>
        </w:tc>
      </w:tr>
      <w:tr w:rsidR="004C0B73" w:rsidRPr="006E26E4" w14:paraId="61B2808E" w14:textId="77777777" w:rsidTr="00544547">
        <w:trPr>
          <w:jc w:val="center"/>
        </w:trPr>
        <w:tc>
          <w:tcPr>
            <w:tcW w:w="4788" w:type="dxa"/>
            <w:tcBorders>
              <w:bottom w:val="single" w:sz="4" w:space="0" w:color="auto"/>
            </w:tcBorders>
          </w:tcPr>
          <w:p w14:paraId="441AB803" w14:textId="77777777" w:rsidR="00DA0BB1" w:rsidRPr="00FA46D8" w:rsidRDefault="00DA0BB1" w:rsidP="00881088">
            <w:pPr>
              <w:rPr>
                <w:rFonts w:cs="Arial"/>
                <w:b/>
                <w:lang w:eastAsia="ja-JP"/>
              </w:rPr>
            </w:pPr>
          </w:p>
        </w:tc>
        <w:tc>
          <w:tcPr>
            <w:tcW w:w="4788" w:type="dxa"/>
            <w:tcBorders>
              <w:bottom w:val="nil"/>
            </w:tcBorders>
          </w:tcPr>
          <w:p w14:paraId="50121B6A" w14:textId="77777777" w:rsidR="00881088" w:rsidRPr="00FA46D8" w:rsidRDefault="00881088" w:rsidP="00881088">
            <w:pPr>
              <w:rPr>
                <w:rFonts w:cs="Arial"/>
                <w:b/>
                <w:lang w:eastAsia="ja-JP"/>
              </w:rPr>
            </w:pPr>
          </w:p>
        </w:tc>
      </w:tr>
      <w:tr w:rsidR="00CF4083" w:rsidRPr="006E26E4" w14:paraId="66F55F23" w14:textId="77777777" w:rsidTr="00544547">
        <w:trPr>
          <w:jc w:val="center"/>
        </w:trPr>
        <w:tc>
          <w:tcPr>
            <w:tcW w:w="4788" w:type="dxa"/>
            <w:tcBorders>
              <w:bottom w:val="single" w:sz="4" w:space="0" w:color="auto"/>
              <w:right w:val="single" w:sz="4" w:space="0" w:color="auto"/>
            </w:tcBorders>
            <w:shd w:val="clear" w:color="auto" w:fill="D9D9D9" w:themeFill="background1" w:themeFillShade="D9"/>
          </w:tcPr>
          <w:p w14:paraId="17FAB9A1" w14:textId="77777777" w:rsidR="00881088" w:rsidRPr="00FA46D8" w:rsidRDefault="00881088" w:rsidP="00E50A07">
            <w:pPr>
              <w:spacing w:before="40"/>
              <w:rPr>
                <w:rFonts w:cs="Arial"/>
                <w:b/>
                <w:lang w:eastAsia="ja-JP"/>
              </w:rPr>
            </w:pPr>
            <w:r w:rsidRPr="00FA46D8">
              <w:rPr>
                <w:rFonts w:cs="Arial"/>
                <w:b/>
                <w:lang w:eastAsia="ja-JP"/>
              </w:rPr>
              <w:t>Last Name</w:t>
            </w:r>
          </w:p>
        </w:tc>
        <w:tc>
          <w:tcPr>
            <w:tcW w:w="4788" w:type="dxa"/>
            <w:tcBorders>
              <w:top w:val="nil"/>
              <w:left w:val="single" w:sz="4" w:space="0" w:color="auto"/>
              <w:bottom w:val="nil"/>
              <w:right w:val="nil"/>
            </w:tcBorders>
          </w:tcPr>
          <w:p w14:paraId="08B01A80" w14:textId="6784F63B" w:rsidR="00881088" w:rsidRPr="00FA46D8" w:rsidRDefault="00881088" w:rsidP="00E50A07">
            <w:pPr>
              <w:spacing w:before="40"/>
              <w:rPr>
                <w:rFonts w:cs="Arial"/>
                <w:b/>
                <w:lang w:eastAsia="ja-JP"/>
              </w:rPr>
            </w:pPr>
          </w:p>
        </w:tc>
      </w:tr>
      <w:tr w:rsidR="004C0B73" w:rsidRPr="006E26E4" w14:paraId="5D0BDDD8" w14:textId="77777777" w:rsidTr="004C0B73">
        <w:trPr>
          <w:jc w:val="center"/>
        </w:trPr>
        <w:tc>
          <w:tcPr>
            <w:tcW w:w="4788" w:type="dxa"/>
            <w:tcBorders>
              <w:right w:val="single" w:sz="4" w:space="0" w:color="auto"/>
            </w:tcBorders>
          </w:tcPr>
          <w:p w14:paraId="6E4FBC38" w14:textId="77777777" w:rsidR="00DA0BB1" w:rsidRPr="00FA46D8" w:rsidRDefault="00DA0BB1" w:rsidP="00881088">
            <w:pPr>
              <w:rPr>
                <w:rFonts w:cs="Arial"/>
                <w:b/>
                <w:lang w:eastAsia="ja-JP"/>
              </w:rPr>
            </w:pPr>
          </w:p>
        </w:tc>
        <w:tc>
          <w:tcPr>
            <w:tcW w:w="4788" w:type="dxa"/>
            <w:tcBorders>
              <w:top w:val="nil"/>
              <w:left w:val="single" w:sz="4" w:space="0" w:color="auto"/>
              <w:bottom w:val="nil"/>
              <w:right w:val="nil"/>
            </w:tcBorders>
          </w:tcPr>
          <w:p w14:paraId="03F4AFE0" w14:textId="77777777" w:rsidR="00881088" w:rsidRPr="00FA46D8" w:rsidRDefault="00881088" w:rsidP="00881088">
            <w:pPr>
              <w:rPr>
                <w:rFonts w:cs="Arial"/>
                <w:b/>
                <w:lang w:eastAsia="ja-JP"/>
              </w:rPr>
            </w:pPr>
          </w:p>
        </w:tc>
      </w:tr>
      <w:tr w:rsidR="004C0B73" w:rsidRPr="006E26E4" w14:paraId="0A35BB61" w14:textId="77777777" w:rsidTr="00544547">
        <w:trPr>
          <w:jc w:val="center"/>
        </w:trPr>
        <w:tc>
          <w:tcPr>
            <w:tcW w:w="4788" w:type="dxa"/>
            <w:tcBorders>
              <w:right w:val="single" w:sz="4" w:space="0" w:color="auto"/>
            </w:tcBorders>
            <w:shd w:val="clear" w:color="auto" w:fill="D9D9D9" w:themeFill="background1" w:themeFillShade="D9"/>
          </w:tcPr>
          <w:p w14:paraId="7730B50D" w14:textId="77777777" w:rsidR="001501AB" w:rsidRDefault="001501AB" w:rsidP="00881088">
            <w:pPr>
              <w:rPr>
                <w:rFonts w:cs="Arial"/>
                <w:b/>
                <w:lang w:eastAsia="ja-JP"/>
              </w:rPr>
            </w:pPr>
            <w:r>
              <w:rPr>
                <w:rFonts w:cs="Arial"/>
                <w:b/>
                <w:lang w:eastAsia="ja-JP"/>
              </w:rPr>
              <w:t>Title</w:t>
            </w:r>
          </w:p>
          <w:p w14:paraId="0F12D3CB" w14:textId="4573C9F1" w:rsidR="001501AB" w:rsidRPr="00544547" w:rsidRDefault="001501AB" w:rsidP="00881088">
            <w:pPr>
              <w:rPr>
                <w:rFonts w:cs="Arial"/>
                <w:bCs/>
                <w:lang w:eastAsia="ja-JP"/>
              </w:rPr>
            </w:pPr>
            <w:r>
              <w:rPr>
                <w:rFonts w:cs="Arial"/>
                <w:bCs/>
                <w:lang w:eastAsia="ja-JP"/>
              </w:rPr>
              <w:t>(</w:t>
            </w:r>
            <w:r w:rsidR="00622CB8">
              <w:rPr>
                <w:rFonts w:cs="Arial"/>
                <w:bCs/>
                <w:lang w:eastAsia="ja-JP"/>
              </w:rPr>
              <w:t xml:space="preserve">e.g. </w:t>
            </w:r>
            <w:r w:rsidR="006938FB">
              <w:rPr>
                <w:rFonts w:cs="Arial"/>
                <w:bCs/>
                <w:lang w:eastAsia="ja-JP"/>
              </w:rPr>
              <w:t>CEO</w:t>
            </w:r>
            <w:r w:rsidR="00622CB8">
              <w:rPr>
                <w:rFonts w:cs="Arial"/>
                <w:bCs/>
                <w:lang w:eastAsia="ja-JP"/>
              </w:rPr>
              <w:t>, President, etc.</w:t>
            </w:r>
            <w:r w:rsidR="00F21B7F">
              <w:rPr>
                <w:rFonts w:cs="Arial"/>
                <w:bCs/>
                <w:lang w:eastAsia="ja-JP"/>
              </w:rPr>
              <w:t>)</w:t>
            </w:r>
          </w:p>
        </w:tc>
        <w:tc>
          <w:tcPr>
            <w:tcW w:w="4788" w:type="dxa"/>
            <w:tcBorders>
              <w:top w:val="nil"/>
              <w:left w:val="single" w:sz="4" w:space="0" w:color="auto"/>
              <w:bottom w:val="nil"/>
              <w:right w:val="nil"/>
            </w:tcBorders>
          </w:tcPr>
          <w:p w14:paraId="6053CEE9" w14:textId="77777777" w:rsidR="001501AB" w:rsidRPr="00FA46D8" w:rsidRDefault="001501AB" w:rsidP="00881088">
            <w:pPr>
              <w:rPr>
                <w:rFonts w:cs="Arial"/>
                <w:b/>
                <w:lang w:eastAsia="ja-JP"/>
              </w:rPr>
            </w:pPr>
          </w:p>
        </w:tc>
      </w:tr>
      <w:tr w:rsidR="004C0B73" w:rsidRPr="006E26E4" w14:paraId="03B2557E" w14:textId="77777777" w:rsidTr="004C0B73">
        <w:trPr>
          <w:jc w:val="center"/>
        </w:trPr>
        <w:tc>
          <w:tcPr>
            <w:tcW w:w="4788" w:type="dxa"/>
            <w:tcBorders>
              <w:right w:val="single" w:sz="4" w:space="0" w:color="auto"/>
            </w:tcBorders>
          </w:tcPr>
          <w:p w14:paraId="7FB7743E" w14:textId="77777777" w:rsidR="001501AB" w:rsidRDefault="001501AB" w:rsidP="00881088">
            <w:pPr>
              <w:rPr>
                <w:rFonts w:cs="Arial"/>
                <w:b/>
                <w:lang w:eastAsia="ja-JP"/>
              </w:rPr>
            </w:pPr>
          </w:p>
        </w:tc>
        <w:tc>
          <w:tcPr>
            <w:tcW w:w="4788" w:type="dxa"/>
            <w:tcBorders>
              <w:top w:val="nil"/>
              <w:left w:val="single" w:sz="4" w:space="0" w:color="auto"/>
              <w:bottom w:val="nil"/>
              <w:right w:val="nil"/>
            </w:tcBorders>
          </w:tcPr>
          <w:p w14:paraId="3BF3668F" w14:textId="77777777" w:rsidR="001501AB" w:rsidRPr="00FA46D8" w:rsidRDefault="001501AB" w:rsidP="00881088">
            <w:pPr>
              <w:rPr>
                <w:rFonts w:cs="Arial"/>
                <w:b/>
                <w:lang w:eastAsia="ja-JP"/>
              </w:rPr>
            </w:pPr>
          </w:p>
        </w:tc>
      </w:tr>
      <w:tr w:rsidR="00881088" w:rsidRPr="006E26E4" w14:paraId="455B8B32" w14:textId="77777777" w:rsidTr="00544547">
        <w:trPr>
          <w:jc w:val="center"/>
        </w:trPr>
        <w:tc>
          <w:tcPr>
            <w:tcW w:w="4788" w:type="dxa"/>
            <w:tcBorders>
              <w:right w:val="single" w:sz="4" w:space="0" w:color="auto"/>
            </w:tcBorders>
            <w:shd w:val="clear" w:color="auto" w:fill="D9D9D9" w:themeFill="background1" w:themeFillShade="D9"/>
          </w:tcPr>
          <w:p w14:paraId="2B4A8D86" w14:textId="0B2561CD" w:rsidR="00881088" w:rsidRPr="00FA46D8" w:rsidRDefault="00881088" w:rsidP="00E50A07">
            <w:pPr>
              <w:spacing w:before="40"/>
              <w:rPr>
                <w:rFonts w:cs="Arial"/>
                <w:b/>
                <w:lang w:eastAsia="ja-JP"/>
              </w:rPr>
            </w:pPr>
            <w:r w:rsidRPr="00FA46D8">
              <w:rPr>
                <w:rFonts w:cs="Arial"/>
                <w:b/>
                <w:lang w:eastAsia="ja-JP"/>
              </w:rPr>
              <w:t>E</w:t>
            </w:r>
            <w:r w:rsidR="002650C4">
              <w:rPr>
                <w:rFonts w:cs="Arial"/>
                <w:b/>
                <w:lang w:eastAsia="ja-JP"/>
              </w:rPr>
              <w:t>-</w:t>
            </w:r>
            <w:r w:rsidRPr="00FA46D8">
              <w:rPr>
                <w:rFonts w:cs="Arial"/>
                <w:b/>
                <w:lang w:eastAsia="ja-JP"/>
              </w:rPr>
              <w:t>mail Address</w:t>
            </w:r>
          </w:p>
          <w:p w14:paraId="6624104A" w14:textId="77777777" w:rsidR="00090572" w:rsidRPr="00FA46D8" w:rsidRDefault="00090572" w:rsidP="00881088">
            <w:pPr>
              <w:rPr>
                <w:rFonts w:cs="Arial"/>
                <w:lang w:eastAsia="ja-JP"/>
              </w:rPr>
            </w:pPr>
            <w:r w:rsidRPr="00FA46D8">
              <w:rPr>
                <w:rFonts w:cs="Arial"/>
                <w:lang w:eastAsia="ja-JP"/>
              </w:rPr>
              <w:t>(required for emailing of security codes and Top Hospital notification)</w:t>
            </w:r>
          </w:p>
        </w:tc>
        <w:tc>
          <w:tcPr>
            <w:tcW w:w="4788" w:type="dxa"/>
            <w:tcBorders>
              <w:top w:val="nil"/>
              <w:left w:val="single" w:sz="4" w:space="0" w:color="auto"/>
              <w:bottom w:val="nil"/>
              <w:right w:val="nil"/>
            </w:tcBorders>
          </w:tcPr>
          <w:p w14:paraId="1091D315" w14:textId="77777777" w:rsidR="00881088" w:rsidRPr="00FA46D8" w:rsidRDefault="00881088" w:rsidP="00881088">
            <w:pPr>
              <w:rPr>
                <w:rFonts w:cs="Arial"/>
                <w:b/>
                <w:lang w:eastAsia="ja-JP"/>
              </w:rPr>
            </w:pPr>
          </w:p>
        </w:tc>
      </w:tr>
      <w:tr w:rsidR="00881088" w:rsidRPr="006E26E4" w14:paraId="6F6B3222" w14:textId="77777777" w:rsidTr="00DA0BB1">
        <w:trPr>
          <w:jc w:val="center"/>
        </w:trPr>
        <w:tc>
          <w:tcPr>
            <w:tcW w:w="4788" w:type="dxa"/>
            <w:tcBorders>
              <w:right w:val="single" w:sz="4" w:space="0" w:color="auto"/>
            </w:tcBorders>
          </w:tcPr>
          <w:p w14:paraId="63F7CA57" w14:textId="77777777" w:rsidR="00DA0BB1" w:rsidRPr="00FA46D8" w:rsidRDefault="00DA0BB1" w:rsidP="00881088">
            <w:pPr>
              <w:rPr>
                <w:rFonts w:cs="Arial"/>
                <w:b/>
                <w:lang w:eastAsia="ja-JP"/>
              </w:rPr>
            </w:pPr>
          </w:p>
        </w:tc>
        <w:tc>
          <w:tcPr>
            <w:tcW w:w="4788" w:type="dxa"/>
            <w:tcBorders>
              <w:top w:val="nil"/>
              <w:left w:val="single" w:sz="4" w:space="0" w:color="auto"/>
              <w:bottom w:val="nil"/>
              <w:right w:val="nil"/>
            </w:tcBorders>
          </w:tcPr>
          <w:p w14:paraId="341A48E4" w14:textId="77777777" w:rsidR="00881088" w:rsidRPr="00FA46D8" w:rsidRDefault="00881088" w:rsidP="00881088">
            <w:pPr>
              <w:rPr>
                <w:rFonts w:cs="Arial"/>
                <w:b/>
                <w:lang w:eastAsia="ja-JP"/>
              </w:rPr>
            </w:pPr>
          </w:p>
        </w:tc>
      </w:tr>
    </w:tbl>
    <w:p w14:paraId="7E6F4459" w14:textId="77777777" w:rsidR="00950575" w:rsidRPr="004D1420" w:rsidRDefault="00950575" w:rsidP="00EB41AD">
      <w:pPr>
        <w:rPr>
          <w:rFonts w:cs="Arial"/>
          <w:lang w:eastAsia="ja-JP"/>
        </w:rPr>
      </w:pPr>
      <w:bookmarkStart w:id="73" w:name="_Toc383774978"/>
    </w:p>
    <w:tbl>
      <w:tblPr>
        <w:tblStyle w:val="TableGrid"/>
        <w:tblW w:w="0" w:type="auto"/>
        <w:jc w:val="center"/>
        <w:tblLook w:val="04A0" w:firstRow="1" w:lastRow="0" w:firstColumn="1" w:lastColumn="0" w:noHBand="0" w:noVBand="1"/>
      </w:tblPr>
      <w:tblGrid>
        <w:gridCol w:w="4674"/>
        <w:gridCol w:w="4676"/>
      </w:tblGrid>
      <w:tr w:rsidR="00DA0BB1" w:rsidRPr="006E26E4" w14:paraId="7AD346FF" w14:textId="77777777" w:rsidTr="000469EC">
        <w:trPr>
          <w:jc w:val="center"/>
        </w:trPr>
        <w:tc>
          <w:tcPr>
            <w:tcW w:w="4788" w:type="dxa"/>
            <w:shd w:val="clear" w:color="auto" w:fill="D9D9D9" w:themeFill="background1" w:themeFillShade="D9"/>
          </w:tcPr>
          <w:p w14:paraId="0D9E103B" w14:textId="77777777" w:rsidR="00DA0BB1" w:rsidRPr="00FA46D8" w:rsidRDefault="00D9090F" w:rsidP="00E50A07">
            <w:pPr>
              <w:spacing w:before="40"/>
              <w:rPr>
                <w:rFonts w:cs="Arial"/>
                <w:b/>
                <w:lang w:eastAsia="ja-JP"/>
              </w:rPr>
            </w:pPr>
            <w:r w:rsidRPr="00FA46D8">
              <w:rPr>
                <w:rFonts w:cs="Arial"/>
                <w:b/>
                <w:lang w:eastAsia="ja-JP"/>
              </w:rPr>
              <w:t xml:space="preserve">Primary </w:t>
            </w:r>
            <w:r w:rsidR="00F521DA" w:rsidRPr="00FA46D8">
              <w:rPr>
                <w:rFonts w:cs="Arial"/>
                <w:b/>
                <w:lang w:eastAsia="ja-JP"/>
              </w:rPr>
              <w:t xml:space="preserve">Survey </w:t>
            </w:r>
            <w:r w:rsidRPr="00FA46D8">
              <w:rPr>
                <w:rFonts w:cs="Arial"/>
                <w:b/>
                <w:lang w:eastAsia="ja-JP"/>
              </w:rPr>
              <w:t>Contact</w:t>
            </w:r>
          </w:p>
        </w:tc>
        <w:tc>
          <w:tcPr>
            <w:tcW w:w="4788" w:type="dxa"/>
            <w:shd w:val="clear" w:color="auto" w:fill="D9D9D9" w:themeFill="background1" w:themeFillShade="D9"/>
          </w:tcPr>
          <w:p w14:paraId="03E171B1" w14:textId="77777777" w:rsidR="00DA0BB1" w:rsidRPr="00FA46D8" w:rsidRDefault="00D9090F" w:rsidP="00E50A07">
            <w:pPr>
              <w:spacing w:before="40"/>
              <w:rPr>
                <w:rFonts w:cs="Arial"/>
                <w:b/>
                <w:lang w:eastAsia="ja-JP"/>
              </w:rPr>
            </w:pPr>
            <w:r w:rsidRPr="00FA46D8">
              <w:rPr>
                <w:rFonts w:cs="Arial"/>
                <w:b/>
                <w:lang w:eastAsia="ja-JP"/>
              </w:rPr>
              <w:t>Secondary</w:t>
            </w:r>
            <w:r w:rsidR="00F521DA" w:rsidRPr="00FA46D8">
              <w:rPr>
                <w:rFonts w:cs="Arial"/>
                <w:b/>
                <w:lang w:eastAsia="ja-JP"/>
              </w:rPr>
              <w:t xml:space="preserve"> Survey</w:t>
            </w:r>
            <w:r w:rsidRPr="00FA46D8">
              <w:rPr>
                <w:rFonts w:cs="Arial"/>
                <w:b/>
                <w:lang w:eastAsia="ja-JP"/>
              </w:rPr>
              <w:t xml:space="preserve"> Contact</w:t>
            </w:r>
          </w:p>
        </w:tc>
      </w:tr>
      <w:tr w:rsidR="00DA0BB1" w:rsidRPr="006E26E4" w14:paraId="7F85E5F6" w14:textId="77777777" w:rsidTr="000469EC">
        <w:trPr>
          <w:jc w:val="center"/>
        </w:trPr>
        <w:tc>
          <w:tcPr>
            <w:tcW w:w="4788" w:type="dxa"/>
            <w:shd w:val="clear" w:color="auto" w:fill="D9D9D9" w:themeFill="background1" w:themeFillShade="D9"/>
          </w:tcPr>
          <w:p w14:paraId="1657B194" w14:textId="77777777" w:rsidR="00DA0BB1" w:rsidRPr="00FA46D8" w:rsidRDefault="00DA0BB1" w:rsidP="00E50A07">
            <w:pPr>
              <w:spacing w:before="40"/>
              <w:rPr>
                <w:rFonts w:cs="Arial"/>
                <w:b/>
                <w:lang w:eastAsia="ja-JP"/>
              </w:rPr>
            </w:pPr>
            <w:r w:rsidRPr="00FA46D8">
              <w:rPr>
                <w:rFonts w:cs="Arial"/>
                <w:b/>
                <w:lang w:eastAsia="ja-JP"/>
              </w:rPr>
              <w:t>First Name</w:t>
            </w:r>
          </w:p>
        </w:tc>
        <w:tc>
          <w:tcPr>
            <w:tcW w:w="4788" w:type="dxa"/>
            <w:shd w:val="clear" w:color="auto" w:fill="D9D9D9" w:themeFill="background1" w:themeFillShade="D9"/>
          </w:tcPr>
          <w:p w14:paraId="3D4447DE" w14:textId="77777777" w:rsidR="00DA0BB1" w:rsidRPr="00FA46D8" w:rsidRDefault="00DA0BB1" w:rsidP="00E50A07">
            <w:pPr>
              <w:spacing w:before="40"/>
              <w:rPr>
                <w:rFonts w:cs="Arial"/>
                <w:b/>
                <w:lang w:eastAsia="ja-JP"/>
              </w:rPr>
            </w:pPr>
            <w:r w:rsidRPr="00FA46D8">
              <w:rPr>
                <w:rFonts w:cs="Arial"/>
                <w:b/>
                <w:lang w:eastAsia="ja-JP"/>
              </w:rPr>
              <w:t>First Name</w:t>
            </w:r>
          </w:p>
        </w:tc>
      </w:tr>
      <w:tr w:rsidR="00DA0BB1" w:rsidRPr="006E26E4" w14:paraId="253B9962" w14:textId="77777777" w:rsidTr="000469EC">
        <w:trPr>
          <w:jc w:val="center"/>
        </w:trPr>
        <w:tc>
          <w:tcPr>
            <w:tcW w:w="4788" w:type="dxa"/>
          </w:tcPr>
          <w:p w14:paraId="4ED41829" w14:textId="77777777" w:rsidR="00DA0BB1" w:rsidRPr="00FA46D8" w:rsidRDefault="00DA0BB1" w:rsidP="000469EC">
            <w:pPr>
              <w:rPr>
                <w:rFonts w:cs="Arial"/>
                <w:b/>
                <w:lang w:eastAsia="ja-JP"/>
              </w:rPr>
            </w:pPr>
          </w:p>
        </w:tc>
        <w:tc>
          <w:tcPr>
            <w:tcW w:w="4788" w:type="dxa"/>
          </w:tcPr>
          <w:p w14:paraId="39AFB83C" w14:textId="77777777" w:rsidR="00DA0BB1" w:rsidRPr="00FA46D8" w:rsidRDefault="00DA0BB1" w:rsidP="000469EC">
            <w:pPr>
              <w:rPr>
                <w:rFonts w:cs="Arial"/>
                <w:b/>
                <w:lang w:eastAsia="ja-JP"/>
              </w:rPr>
            </w:pPr>
          </w:p>
        </w:tc>
      </w:tr>
      <w:tr w:rsidR="00DA0BB1" w:rsidRPr="006E26E4" w14:paraId="455EF590" w14:textId="77777777" w:rsidTr="000469EC">
        <w:trPr>
          <w:jc w:val="center"/>
        </w:trPr>
        <w:tc>
          <w:tcPr>
            <w:tcW w:w="4788" w:type="dxa"/>
            <w:shd w:val="clear" w:color="auto" w:fill="D9D9D9" w:themeFill="background1" w:themeFillShade="D9"/>
          </w:tcPr>
          <w:p w14:paraId="7A78184B" w14:textId="77777777" w:rsidR="00DA0BB1" w:rsidRPr="00FA46D8" w:rsidRDefault="00DA0BB1" w:rsidP="00E50A07">
            <w:pPr>
              <w:spacing w:before="40"/>
              <w:rPr>
                <w:rFonts w:cs="Arial"/>
                <w:b/>
                <w:lang w:eastAsia="ja-JP"/>
              </w:rPr>
            </w:pPr>
            <w:r w:rsidRPr="00FA46D8">
              <w:rPr>
                <w:rFonts w:cs="Arial"/>
                <w:b/>
                <w:lang w:eastAsia="ja-JP"/>
              </w:rPr>
              <w:t>Last Name</w:t>
            </w:r>
          </w:p>
        </w:tc>
        <w:tc>
          <w:tcPr>
            <w:tcW w:w="4788" w:type="dxa"/>
            <w:shd w:val="clear" w:color="auto" w:fill="D9D9D9" w:themeFill="background1" w:themeFillShade="D9"/>
          </w:tcPr>
          <w:p w14:paraId="6C48F153" w14:textId="77777777" w:rsidR="00DA0BB1" w:rsidRPr="00FA46D8" w:rsidRDefault="00DA0BB1" w:rsidP="00E50A07">
            <w:pPr>
              <w:spacing w:before="40"/>
              <w:rPr>
                <w:rFonts w:cs="Arial"/>
                <w:b/>
                <w:lang w:eastAsia="ja-JP"/>
              </w:rPr>
            </w:pPr>
            <w:r w:rsidRPr="00FA46D8">
              <w:rPr>
                <w:rFonts w:cs="Arial"/>
                <w:b/>
                <w:lang w:eastAsia="ja-JP"/>
              </w:rPr>
              <w:t xml:space="preserve">Last Name </w:t>
            </w:r>
          </w:p>
        </w:tc>
      </w:tr>
      <w:tr w:rsidR="00DA0BB1" w:rsidRPr="006E26E4" w14:paraId="143E1B2F" w14:textId="77777777" w:rsidTr="000469EC">
        <w:trPr>
          <w:jc w:val="center"/>
        </w:trPr>
        <w:tc>
          <w:tcPr>
            <w:tcW w:w="4788" w:type="dxa"/>
          </w:tcPr>
          <w:p w14:paraId="66FF6B41" w14:textId="77777777" w:rsidR="00DA0BB1" w:rsidRPr="00FA46D8" w:rsidRDefault="00DA0BB1" w:rsidP="000469EC">
            <w:pPr>
              <w:rPr>
                <w:rFonts w:cs="Arial"/>
                <w:b/>
                <w:lang w:eastAsia="ja-JP"/>
              </w:rPr>
            </w:pPr>
          </w:p>
        </w:tc>
        <w:tc>
          <w:tcPr>
            <w:tcW w:w="4788" w:type="dxa"/>
          </w:tcPr>
          <w:p w14:paraId="6FC28390" w14:textId="77777777" w:rsidR="00DA0BB1" w:rsidRPr="00FA46D8" w:rsidRDefault="00DA0BB1" w:rsidP="000469EC">
            <w:pPr>
              <w:rPr>
                <w:rFonts w:cs="Arial"/>
                <w:b/>
                <w:lang w:eastAsia="ja-JP"/>
              </w:rPr>
            </w:pPr>
          </w:p>
        </w:tc>
      </w:tr>
      <w:tr w:rsidR="00DA0BB1" w:rsidRPr="006E26E4" w14:paraId="7A7952DD" w14:textId="77777777" w:rsidTr="000469EC">
        <w:trPr>
          <w:jc w:val="center"/>
        </w:trPr>
        <w:tc>
          <w:tcPr>
            <w:tcW w:w="4788" w:type="dxa"/>
            <w:shd w:val="clear" w:color="auto" w:fill="D9D9D9" w:themeFill="background1" w:themeFillShade="D9"/>
          </w:tcPr>
          <w:p w14:paraId="2DA594E5" w14:textId="77777777" w:rsidR="00DA0BB1" w:rsidRPr="00FA46D8" w:rsidRDefault="00DA0BB1" w:rsidP="00E50A07">
            <w:pPr>
              <w:spacing w:before="40"/>
              <w:rPr>
                <w:rFonts w:cs="Arial"/>
                <w:b/>
                <w:lang w:eastAsia="ja-JP"/>
              </w:rPr>
            </w:pPr>
            <w:r w:rsidRPr="00FA46D8">
              <w:rPr>
                <w:rFonts w:cs="Arial"/>
                <w:b/>
                <w:lang w:eastAsia="ja-JP"/>
              </w:rPr>
              <w:t>Title</w:t>
            </w:r>
          </w:p>
        </w:tc>
        <w:tc>
          <w:tcPr>
            <w:tcW w:w="4788" w:type="dxa"/>
            <w:shd w:val="clear" w:color="auto" w:fill="D9D9D9" w:themeFill="background1" w:themeFillShade="D9"/>
          </w:tcPr>
          <w:p w14:paraId="444DDF38" w14:textId="77777777" w:rsidR="00DA0BB1" w:rsidRPr="00FA46D8" w:rsidRDefault="00DA0BB1" w:rsidP="00E50A07">
            <w:pPr>
              <w:spacing w:before="40"/>
              <w:rPr>
                <w:rFonts w:cs="Arial"/>
                <w:b/>
                <w:lang w:eastAsia="ja-JP"/>
              </w:rPr>
            </w:pPr>
            <w:r w:rsidRPr="00FA46D8">
              <w:rPr>
                <w:rFonts w:cs="Arial"/>
                <w:b/>
                <w:lang w:eastAsia="ja-JP"/>
              </w:rPr>
              <w:t>Title</w:t>
            </w:r>
          </w:p>
        </w:tc>
      </w:tr>
      <w:tr w:rsidR="00DA0BB1" w:rsidRPr="006E26E4" w14:paraId="6D94E91C" w14:textId="77777777" w:rsidTr="000469EC">
        <w:trPr>
          <w:jc w:val="center"/>
        </w:trPr>
        <w:tc>
          <w:tcPr>
            <w:tcW w:w="4788" w:type="dxa"/>
          </w:tcPr>
          <w:p w14:paraId="1B6CDB3A" w14:textId="77777777" w:rsidR="00DA0BB1" w:rsidRPr="00FA46D8" w:rsidRDefault="00DA0BB1" w:rsidP="000469EC">
            <w:pPr>
              <w:rPr>
                <w:rFonts w:cs="Arial"/>
                <w:b/>
                <w:highlight w:val="red"/>
                <w:lang w:eastAsia="ja-JP"/>
              </w:rPr>
            </w:pPr>
          </w:p>
        </w:tc>
        <w:tc>
          <w:tcPr>
            <w:tcW w:w="4788" w:type="dxa"/>
          </w:tcPr>
          <w:p w14:paraId="3A230C20" w14:textId="77777777" w:rsidR="00DA0BB1" w:rsidRPr="00FA46D8" w:rsidRDefault="00DA0BB1" w:rsidP="000469EC">
            <w:pPr>
              <w:rPr>
                <w:rFonts w:cs="Arial"/>
                <w:b/>
                <w:highlight w:val="red"/>
                <w:lang w:eastAsia="ja-JP"/>
              </w:rPr>
            </w:pPr>
          </w:p>
        </w:tc>
      </w:tr>
      <w:tr w:rsidR="00DA0BB1" w:rsidRPr="006E26E4" w14:paraId="7C7148E5" w14:textId="77777777" w:rsidTr="000469EC">
        <w:trPr>
          <w:jc w:val="center"/>
        </w:trPr>
        <w:tc>
          <w:tcPr>
            <w:tcW w:w="4788" w:type="dxa"/>
            <w:shd w:val="clear" w:color="auto" w:fill="D9D9D9" w:themeFill="background1" w:themeFillShade="D9"/>
          </w:tcPr>
          <w:p w14:paraId="04BFCDF0" w14:textId="77777777" w:rsidR="00DA0BB1" w:rsidRPr="00FA46D8" w:rsidRDefault="00DA0BB1" w:rsidP="00E50A07">
            <w:pPr>
              <w:spacing w:before="40"/>
              <w:rPr>
                <w:rFonts w:cs="Arial"/>
                <w:b/>
                <w:lang w:eastAsia="ja-JP"/>
              </w:rPr>
            </w:pPr>
            <w:r w:rsidRPr="00FA46D8">
              <w:rPr>
                <w:rFonts w:cs="Arial"/>
                <w:b/>
                <w:lang w:eastAsia="ja-JP"/>
              </w:rPr>
              <w:t>Phone Number</w:t>
            </w:r>
          </w:p>
        </w:tc>
        <w:tc>
          <w:tcPr>
            <w:tcW w:w="4788" w:type="dxa"/>
            <w:shd w:val="clear" w:color="auto" w:fill="D9D9D9" w:themeFill="background1" w:themeFillShade="D9"/>
          </w:tcPr>
          <w:p w14:paraId="4D4C1FEB" w14:textId="77777777" w:rsidR="00DA0BB1" w:rsidRPr="00FA46D8" w:rsidRDefault="00DA0BB1" w:rsidP="00E50A07">
            <w:pPr>
              <w:spacing w:before="40"/>
              <w:rPr>
                <w:rFonts w:cs="Arial"/>
                <w:b/>
                <w:lang w:eastAsia="ja-JP"/>
              </w:rPr>
            </w:pPr>
            <w:r w:rsidRPr="00FA46D8">
              <w:rPr>
                <w:rFonts w:cs="Arial"/>
                <w:b/>
                <w:lang w:eastAsia="ja-JP"/>
              </w:rPr>
              <w:t>Phone Number</w:t>
            </w:r>
          </w:p>
        </w:tc>
      </w:tr>
      <w:tr w:rsidR="00DA0BB1" w:rsidRPr="006E26E4" w14:paraId="4CAFA1E8" w14:textId="77777777" w:rsidTr="000469EC">
        <w:trPr>
          <w:jc w:val="center"/>
        </w:trPr>
        <w:tc>
          <w:tcPr>
            <w:tcW w:w="4788" w:type="dxa"/>
          </w:tcPr>
          <w:p w14:paraId="210660D2" w14:textId="77777777" w:rsidR="00DA0BB1" w:rsidRPr="00FA46D8" w:rsidRDefault="00DA0BB1" w:rsidP="000469EC">
            <w:pPr>
              <w:rPr>
                <w:rFonts w:cs="Arial"/>
                <w:b/>
                <w:lang w:eastAsia="ja-JP"/>
              </w:rPr>
            </w:pPr>
          </w:p>
        </w:tc>
        <w:tc>
          <w:tcPr>
            <w:tcW w:w="4788" w:type="dxa"/>
          </w:tcPr>
          <w:p w14:paraId="0CBD13DC" w14:textId="77777777" w:rsidR="00DA0BB1" w:rsidRPr="00FA46D8" w:rsidRDefault="00DA0BB1" w:rsidP="000469EC">
            <w:pPr>
              <w:rPr>
                <w:rFonts w:cs="Arial"/>
                <w:b/>
                <w:lang w:eastAsia="ja-JP"/>
              </w:rPr>
            </w:pPr>
          </w:p>
        </w:tc>
      </w:tr>
      <w:tr w:rsidR="00DA0BB1" w:rsidRPr="006E26E4" w14:paraId="1CC1A191" w14:textId="77777777" w:rsidTr="000469EC">
        <w:trPr>
          <w:jc w:val="center"/>
        </w:trPr>
        <w:tc>
          <w:tcPr>
            <w:tcW w:w="4788" w:type="dxa"/>
            <w:shd w:val="clear" w:color="auto" w:fill="D9D9D9" w:themeFill="background1" w:themeFillShade="D9"/>
          </w:tcPr>
          <w:p w14:paraId="08E329F6" w14:textId="77777777" w:rsidR="00DA0BB1" w:rsidRPr="00FA46D8" w:rsidRDefault="00DA0BB1" w:rsidP="00E50A07">
            <w:pPr>
              <w:spacing w:before="40"/>
              <w:rPr>
                <w:rFonts w:cs="Arial"/>
                <w:b/>
                <w:lang w:eastAsia="ja-JP"/>
              </w:rPr>
            </w:pPr>
            <w:r w:rsidRPr="00FA46D8">
              <w:rPr>
                <w:rFonts w:cs="Arial"/>
                <w:b/>
                <w:lang w:eastAsia="ja-JP"/>
              </w:rPr>
              <w:t>Phone Number Extension</w:t>
            </w:r>
          </w:p>
        </w:tc>
        <w:tc>
          <w:tcPr>
            <w:tcW w:w="4788" w:type="dxa"/>
            <w:shd w:val="clear" w:color="auto" w:fill="D9D9D9" w:themeFill="background1" w:themeFillShade="D9"/>
          </w:tcPr>
          <w:p w14:paraId="0DCD6C55" w14:textId="77777777" w:rsidR="00DA0BB1" w:rsidRPr="00FA46D8" w:rsidRDefault="00DA0BB1" w:rsidP="00E50A07">
            <w:pPr>
              <w:spacing w:before="40"/>
              <w:rPr>
                <w:rFonts w:cs="Arial"/>
                <w:b/>
                <w:lang w:eastAsia="ja-JP"/>
              </w:rPr>
            </w:pPr>
            <w:r w:rsidRPr="00FA46D8">
              <w:rPr>
                <w:rFonts w:cs="Arial"/>
                <w:b/>
                <w:lang w:eastAsia="ja-JP"/>
              </w:rPr>
              <w:t>Phone Number Extension</w:t>
            </w:r>
          </w:p>
        </w:tc>
      </w:tr>
      <w:tr w:rsidR="00DA0BB1" w:rsidRPr="006E26E4" w14:paraId="2CB0942E" w14:textId="77777777" w:rsidTr="000469EC">
        <w:trPr>
          <w:jc w:val="center"/>
        </w:trPr>
        <w:tc>
          <w:tcPr>
            <w:tcW w:w="4788" w:type="dxa"/>
          </w:tcPr>
          <w:p w14:paraId="4B60035A" w14:textId="77777777" w:rsidR="00DA0BB1" w:rsidRPr="00FA46D8" w:rsidRDefault="00DA0BB1" w:rsidP="000469EC">
            <w:pPr>
              <w:rPr>
                <w:rFonts w:cs="Arial"/>
                <w:b/>
                <w:lang w:eastAsia="ja-JP"/>
              </w:rPr>
            </w:pPr>
          </w:p>
        </w:tc>
        <w:tc>
          <w:tcPr>
            <w:tcW w:w="4788" w:type="dxa"/>
          </w:tcPr>
          <w:p w14:paraId="3D6D7F11" w14:textId="77777777" w:rsidR="00DA0BB1" w:rsidRPr="00FA46D8" w:rsidRDefault="00DA0BB1" w:rsidP="000469EC">
            <w:pPr>
              <w:rPr>
                <w:rFonts w:cs="Arial"/>
                <w:b/>
                <w:lang w:eastAsia="ja-JP"/>
              </w:rPr>
            </w:pPr>
          </w:p>
        </w:tc>
      </w:tr>
      <w:tr w:rsidR="00DA0BB1" w:rsidRPr="006E26E4" w14:paraId="2A61B6E4" w14:textId="77777777" w:rsidTr="000469EC">
        <w:trPr>
          <w:jc w:val="center"/>
        </w:trPr>
        <w:tc>
          <w:tcPr>
            <w:tcW w:w="4788" w:type="dxa"/>
            <w:shd w:val="clear" w:color="auto" w:fill="D9D9D9" w:themeFill="background1" w:themeFillShade="D9"/>
          </w:tcPr>
          <w:p w14:paraId="0D317CDC" w14:textId="5AF6E8FE" w:rsidR="00DA0BB1" w:rsidRPr="00FA46D8" w:rsidRDefault="00DA0BB1" w:rsidP="00E50A07">
            <w:pPr>
              <w:spacing w:before="40"/>
              <w:rPr>
                <w:rFonts w:cs="Arial"/>
                <w:b/>
                <w:lang w:eastAsia="ja-JP"/>
              </w:rPr>
            </w:pPr>
            <w:r w:rsidRPr="00FA46D8">
              <w:rPr>
                <w:rFonts w:cs="Arial"/>
                <w:b/>
                <w:lang w:eastAsia="ja-JP"/>
              </w:rPr>
              <w:t>E</w:t>
            </w:r>
            <w:r w:rsidR="006B5A1D">
              <w:rPr>
                <w:rFonts w:cs="Arial"/>
                <w:b/>
                <w:lang w:eastAsia="ja-JP"/>
              </w:rPr>
              <w:t>-</w:t>
            </w:r>
            <w:r w:rsidRPr="00FA46D8">
              <w:rPr>
                <w:rFonts w:cs="Arial"/>
                <w:b/>
                <w:lang w:eastAsia="ja-JP"/>
              </w:rPr>
              <w:t>mail Address</w:t>
            </w:r>
          </w:p>
        </w:tc>
        <w:tc>
          <w:tcPr>
            <w:tcW w:w="4788" w:type="dxa"/>
            <w:shd w:val="clear" w:color="auto" w:fill="D9D9D9" w:themeFill="background1" w:themeFillShade="D9"/>
          </w:tcPr>
          <w:p w14:paraId="3E8FB6B9" w14:textId="5C2209A8" w:rsidR="00DA0BB1" w:rsidRPr="00FA46D8" w:rsidRDefault="00DA0BB1" w:rsidP="00E50A07">
            <w:pPr>
              <w:spacing w:before="40"/>
              <w:rPr>
                <w:rFonts w:cs="Arial"/>
                <w:b/>
                <w:lang w:eastAsia="ja-JP"/>
              </w:rPr>
            </w:pPr>
            <w:r w:rsidRPr="00FA46D8">
              <w:rPr>
                <w:rFonts w:cs="Arial"/>
                <w:b/>
                <w:lang w:eastAsia="ja-JP"/>
              </w:rPr>
              <w:t>E</w:t>
            </w:r>
            <w:r w:rsidR="006B5A1D">
              <w:rPr>
                <w:rFonts w:cs="Arial"/>
                <w:b/>
                <w:lang w:eastAsia="ja-JP"/>
              </w:rPr>
              <w:t>-</w:t>
            </w:r>
            <w:r w:rsidRPr="00FA46D8">
              <w:rPr>
                <w:rFonts w:cs="Arial"/>
                <w:b/>
                <w:lang w:eastAsia="ja-JP"/>
              </w:rPr>
              <w:t>mail Address</w:t>
            </w:r>
          </w:p>
        </w:tc>
      </w:tr>
      <w:tr w:rsidR="00DA0BB1" w:rsidRPr="006E26E4" w14:paraId="7A8B80A6" w14:textId="77777777" w:rsidTr="00E50A07">
        <w:trPr>
          <w:jc w:val="center"/>
        </w:trPr>
        <w:tc>
          <w:tcPr>
            <w:tcW w:w="4788" w:type="dxa"/>
          </w:tcPr>
          <w:p w14:paraId="01B220F3" w14:textId="77777777" w:rsidR="00DA0BB1" w:rsidRPr="00FA46D8" w:rsidRDefault="00DA0BB1" w:rsidP="000469EC">
            <w:pPr>
              <w:rPr>
                <w:rFonts w:cs="Arial"/>
                <w:b/>
                <w:lang w:eastAsia="ja-JP"/>
              </w:rPr>
            </w:pPr>
          </w:p>
        </w:tc>
        <w:tc>
          <w:tcPr>
            <w:tcW w:w="4788" w:type="dxa"/>
          </w:tcPr>
          <w:p w14:paraId="29A6AEC5" w14:textId="77777777" w:rsidR="00DA0BB1" w:rsidRPr="00FA46D8" w:rsidRDefault="00DA0BB1" w:rsidP="000469EC">
            <w:pPr>
              <w:rPr>
                <w:rFonts w:cs="Arial"/>
                <w:b/>
                <w:lang w:eastAsia="ja-JP"/>
              </w:rPr>
            </w:pPr>
          </w:p>
        </w:tc>
      </w:tr>
    </w:tbl>
    <w:p w14:paraId="54D36347" w14:textId="77777777" w:rsidR="00DA0BB1" w:rsidRPr="00FA46D8" w:rsidRDefault="00DA0BB1" w:rsidP="00EB41AD">
      <w:pPr>
        <w:rPr>
          <w:rFonts w:cs="Arial"/>
          <w:lang w:eastAsia="ja-JP"/>
        </w:rPr>
      </w:pPr>
    </w:p>
    <w:tbl>
      <w:tblPr>
        <w:tblStyle w:val="TableGrid"/>
        <w:tblW w:w="0" w:type="auto"/>
        <w:jc w:val="center"/>
        <w:tblLook w:val="04A0" w:firstRow="1" w:lastRow="0" w:firstColumn="1" w:lastColumn="0" w:noHBand="0" w:noVBand="1"/>
      </w:tblPr>
      <w:tblGrid>
        <w:gridCol w:w="4699"/>
        <w:gridCol w:w="4656"/>
      </w:tblGrid>
      <w:tr w:rsidR="00447B26" w:rsidRPr="006E26E4" w14:paraId="6339878E" w14:textId="77777777" w:rsidTr="008C25D9">
        <w:trPr>
          <w:jc w:val="center"/>
        </w:trPr>
        <w:tc>
          <w:tcPr>
            <w:tcW w:w="4788" w:type="dxa"/>
            <w:shd w:val="clear" w:color="auto" w:fill="D9D9D9" w:themeFill="background1" w:themeFillShade="D9"/>
          </w:tcPr>
          <w:p w14:paraId="4C94881D" w14:textId="77777777" w:rsidR="00447B26" w:rsidRPr="00FA46D8" w:rsidRDefault="00264CB6" w:rsidP="00E50A07">
            <w:pPr>
              <w:spacing w:before="40"/>
              <w:rPr>
                <w:rFonts w:cs="Arial"/>
                <w:b/>
                <w:lang w:eastAsia="ja-JP"/>
              </w:rPr>
            </w:pPr>
            <w:r w:rsidRPr="00FA46D8">
              <w:rPr>
                <w:rFonts w:cs="Arial"/>
                <w:b/>
                <w:lang w:eastAsia="ja-JP"/>
              </w:rPr>
              <w:t xml:space="preserve">Hospital Public </w:t>
            </w:r>
            <w:r w:rsidR="00447B26" w:rsidRPr="00FA46D8">
              <w:rPr>
                <w:rFonts w:cs="Arial"/>
                <w:b/>
                <w:lang w:eastAsia="ja-JP"/>
              </w:rPr>
              <w:t>R</w:t>
            </w:r>
            <w:r w:rsidRPr="00FA46D8">
              <w:rPr>
                <w:rFonts w:cs="Arial"/>
                <w:b/>
                <w:lang w:eastAsia="ja-JP"/>
              </w:rPr>
              <w:t>elations</w:t>
            </w:r>
            <w:r w:rsidR="00447B26" w:rsidRPr="00FA46D8">
              <w:rPr>
                <w:rFonts w:cs="Arial"/>
                <w:b/>
                <w:lang w:eastAsia="ja-JP"/>
              </w:rPr>
              <w:t xml:space="preserve"> Contact</w:t>
            </w:r>
          </w:p>
          <w:p w14:paraId="79369AE5" w14:textId="77777777" w:rsidR="003D227F" w:rsidRPr="00FA46D8" w:rsidRDefault="003D227F" w:rsidP="00E50A07">
            <w:pPr>
              <w:spacing w:before="40"/>
              <w:rPr>
                <w:rFonts w:cs="Arial"/>
                <w:lang w:eastAsia="ja-JP"/>
              </w:rPr>
            </w:pPr>
            <w:r w:rsidRPr="00FA46D8">
              <w:rPr>
                <w:rFonts w:cs="Arial"/>
                <w:lang w:eastAsia="ja-JP"/>
              </w:rPr>
              <w:t xml:space="preserve">(required </w:t>
            </w:r>
            <w:r w:rsidR="00861645" w:rsidRPr="00FA46D8">
              <w:rPr>
                <w:rFonts w:cs="Arial"/>
                <w:lang w:eastAsia="ja-JP"/>
              </w:rPr>
              <w:t xml:space="preserve">so that Leapfrog may provide information on Leapfrog accolades, such as </w:t>
            </w:r>
            <w:r w:rsidRPr="00FA46D8">
              <w:rPr>
                <w:rFonts w:cs="Arial"/>
                <w:lang w:eastAsia="ja-JP"/>
              </w:rPr>
              <w:t>Top Hospital notification</w:t>
            </w:r>
            <w:r w:rsidR="00861645" w:rsidRPr="00FA46D8">
              <w:rPr>
                <w:rFonts w:cs="Arial"/>
                <w:lang w:eastAsia="ja-JP"/>
              </w:rPr>
              <w:t>, and announcements</w:t>
            </w:r>
            <w:r w:rsidR="008B2780" w:rsidRPr="00FA46D8">
              <w:rPr>
                <w:rFonts w:cs="Arial"/>
                <w:lang w:eastAsia="ja-JP"/>
              </w:rPr>
              <w:t>)</w:t>
            </w:r>
          </w:p>
        </w:tc>
        <w:tc>
          <w:tcPr>
            <w:tcW w:w="4788" w:type="dxa"/>
            <w:tcBorders>
              <w:top w:val="nil"/>
              <w:bottom w:val="nil"/>
              <w:right w:val="nil"/>
            </w:tcBorders>
          </w:tcPr>
          <w:p w14:paraId="3EE145A4" w14:textId="77777777" w:rsidR="00447B26" w:rsidRPr="00FA46D8" w:rsidRDefault="00447B26" w:rsidP="00237A9D">
            <w:pPr>
              <w:rPr>
                <w:rFonts w:cs="Arial"/>
                <w:b/>
                <w:lang w:eastAsia="ja-JP"/>
              </w:rPr>
            </w:pPr>
          </w:p>
        </w:tc>
      </w:tr>
      <w:tr w:rsidR="00447B26" w:rsidRPr="006E26E4" w14:paraId="799F846D" w14:textId="77777777" w:rsidTr="008C25D9">
        <w:trPr>
          <w:jc w:val="center"/>
        </w:trPr>
        <w:tc>
          <w:tcPr>
            <w:tcW w:w="4788" w:type="dxa"/>
            <w:shd w:val="clear" w:color="auto" w:fill="D9D9D9" w:themeFill="background1" w:themeFillShade="D9"/>
          </w:tcPr>
          <w:p w14:paraId="311250C4" w14:textId="77777777" w:rsidR="00447B26" w:rsidRPr="00FA46D8" w:rsidRDefault="00447B26" w:rsidP="00E50A07">
            <w:pPr>
              <w:spacing w:before="40"/>
              <w:rPr>
                <w:rFonts w:cs="Arial"/>
                <w:b/>
                <w:lang w:eastAsia="ja-JP"/>
              </w:rPr>
            </w:pPr>
            <w:r w:rsidRPr="00FA46D8">
              <w:rPr>
                <w:rFonts w:cs="Arial"/>
                <w:b/>
                <w:lang w:eastAsia="ja-JP"/>
              </w:rPr>
              <w:t>First Name</w:t>
            </w:r>
          </w:p>
        </w:tc>
        <w:tc>
          <w:tcPr>
            <w:tcW w:w="4788" w:type="dxa"/>
            <w:tcBorders>
              <w:top w:val="nil"/>
              <w:bottom w:val="nil"/>
              <w:right w:val="nil"/>
            </w:tcBorders>
          </w:tcPr>
          <w:p w14:paraId="26B1448C" w14:textId="77777777" w:rsidR="00447B26" w:rsidRPr="00FA46D8" w:rsidRDefault="00447B26" w:rsidP="00237A9D">
            <w:pPr>
              <w:rPr>
                <w:rFonts w:cs="Arial"/>
                <w:b/>
                <w:lang w:eastAsia="ja-JP"/>
              </w:rPr>
            </w:pPr>
          </w:p>
        </w:tc>
      </w:tr>
      <w:tr w:rsidR="00447B26" w:rsidRPr="006E26E4" w14:paraId="2CA4C37C" w14:textId="77777777" w:rsidTr="008C25D9">
        <w:trPr>
          <w:jc w:val="center"/>
        </w:trPr>
        <w:tc>
          <w:tcPr>
            <w:tcW w:w="4788" w:type="dxa"/>
          </w:tcPr>
          <w:p w14:paraId="77A83411" w14:textId="77777777" w:rsidR="00447B26" w:rsidRPr="00FA46D8" w:rsidRDefault="00447B26" w:rsidP="00237A9D">
            <w:pPr>
              <w:rPr>
                <w:rFonts w:cs="Arial"/>
                <w:b/>
                <w:lang w:eastAsia="ja-JP"/>
              </w:rPr>
            </w:pPr>
          </w:p>
        </w:tc>
        <w:tc>
          <w:tcPr>
            <w:tcW w:w="4788" w:type="dxa"/>
            <w:tcBorders>
              <w:top w:val="nil"/>
              <w:bottom w:val="nil"/>
              <w:right w:val="nil"/>
            </w:tcBorders>
          </w:tcPr>
          <w:p w14:paraId="0AE274BA" w14:textId="77777777" w:rsidR="00447B26" w:rsidRPr="00FA46D8" w:rsidRDefault="00447B26" w:rsidP="00237A9D">
            <w:pPr>
              <w:rPr>
                <w:rFonts w:cs="Arial"/>
                <w:b/>
                <w:lang w:eastAsia="ja-JP"/>
              </w:rPr>
            </w:pPr>
          </w:p>
        </w:tc>
      </w:tr>
      <w:tr w:rsidR="00447B26" w:rsidRPr="006E26E4" w14:paraId="76C6307E" w14:textId="77777777" w:rsidTr="008C25D9">
        <w:trPr>
          <w:jc w:val="center"/>
        </w:trPr>
        <w:tc>
          <w:tcPr>
            <w:tcW w:w="4788" w:type="dxa"/>
            <w:shd w:val="clear" w:color="auto" w:fill="D9D9D9" w:themeFill="background1" w:themeFillShade="D9"/>
          </w:tcPr>
          <w:p w14:paraId="47EC4390" w14:textId="77777777" w:rsidR="00447B26" w:rsidRPr="00FA46D8" w:rsidRDefault="00447B26" w:rsidP="00E50A07">
            <w:pPr>
              <w:spacing w:before="40"/>
              <w:rPr>
                <w:rFonts w:cs="Arial"/>
                <w:b/>
                <w:lang w:eastAsia="ja-JP"/>
              </w:rPr>
            </w:pPr>
            <w:r w:rsidRPr="00FA46D8">
              <w:rPr>
                <w:rFonts w:cs="Arial"/>
                <w:b/>
                <w:lang w:eastAsia="ja-JP"/>
              </w:rPr>
              <w:t>Last Name</w:t>
            </w:r>
          </w:p>
        </w:tc>
        <w:tc>
          <w:tcPr>
            <w:tcW w:w="4788" w:type="dxa"/>
            <w:tcBorders>
              <w:top w:val="nil"/>
              <w:bottom w:val="nil"/>
              <w:right w:val="nil"/>
            </w:tcBorders>
          </w:tcPr>
          <w:p w14:paraId="4DE8CB25" w14:textId="77777777" w:rsidR="00447B26" w:rsidRPr="00FA46D8" w:rsidRDefault="00447B26" w:rsidP="00237A9D">
            <w:pPr>
              <w:rPr>
                <w:rFonts w:cs="Arial"/>
                <w:b/>
                <w:lang w:eastAsia="ja-JP"/>
              </w:rPr>
            </w:pPr>
          </w:p>
        </w:tc>
      </w:tr>
      <w:tr w:rsidR="00447B26" w:rsidRPr="006E26E4" w14:paraId="555621ED" w14:textId="77777777" w:rsidTr="00E50A07">
        <w:trPr>
          <w:trHeight w:val="143"/>
          <w:jc w:val="center"/>
        </w:trPr>
        <w:tc>
          <w:tcPr>
            <w:tcW w:w="4788" w:type="dxa"/>
          </w:tcPr>
          <w:p w14:paraId="2C3F3AC0" w14:textId="77777777" w:rsidR="00E50A07" w:rsidRPr="00FA46D8" w:rsidRDefault="00E50A07" w:rsidP="00237A9D">
            <w:pPr>
              <w:rPr>
                <w:rFonts w:cs="Arial"/>
                <w:b/>
                <w:lang w:eastAsia="ja-JP"/>
              </w:rPr>
            </w:pPr>
          </w:p>
        </w:tc>
        <w:tc>
          <w:tcPr>
            <w:tcW w:w="4788" w:type="dxa"/>
            <w:tcBorders>
              <w:top w:val="nil"/>
              <w:bottom w:val="nil"/>
              <w:right w:val="nil"/>
            </w:tcBorders>
          </w:tcPr>
          <w:p w14:paraId="10BD9DA9" w14:textId="77777777" w:rsidR="00447B26" w:rsidRPr="00FA46D8" w:rsidRDefault="00447B26" w:rsidP="00237A9D">
            <w:pPr>
              <w:rPr>
                <w:rFonts w:cs="Arial"/>
                <w:b/>
                <w:lang w:eastAsia="ja-JP"/>
              </w:rPr>
            </w:pPr>
          </w:p>
        </w:tc>
      </w:tr>
      <w:tr w:rsidR="0044426C" w:rsidRPr="006E26E4" w14:paraId="60E643D2" w14:textId="77777777" w:rsidTr="008C25D9">
        <w:trPr>
          <w:jc w:val="center"/>
        </w:trPr>
        <w:tc>
          <w:tcPr>
            <w:tcW w:w="4788" w:type="dxa"/>
            <w:shd w:val="clear" w:color="auto" w:fill="D9D9D9" w:themeFill="background1" w:themeFillShade="D9"/>
          </w:tcPr>
          <w:p w14:paraId="64607084" w14:textId="77777777" w:rsidR="0044426C" w:rsidRPr="00FA46D8" w:rsidRDefault="0044426C" w:rsidP="00E50A07">
            <w:pPr>
              <w:spacing w:before="40"/>
              <w:rPr>
                <w:rFonts w:cs="Arial"/>
                <w:b/>
                <w:lang w:eastAsia="ja-JP"/>
              </w:rPr>
            </w:pPr>
            <w:r w:rsidRPr="00FA46D8">
              <w:rPr>
                <w:rFonts w:cs="Arial"/>
                <w:b/>
                <w:lang w:eastAsia="ja-JP"/>
              </w:rPr>
              <w:t>Phone Number</w:t>
            </w:r>
          </w:p>
        </w:tc>
        <w:tc>
          <w:tcPr>
            <w:tcW w:w="4788" w:type="dxa"/>
            <w:tcBorders>
              <w:top w:val="nil"/>
              <w:bottom w:val="nil"/>
              <w:right w:val="nil"/>
            </w:tcBorders>
          </w:tcPr>
          <w:p w14:paraId="62C9559D" w14:textId="77777777" w:rsidR="0044426C" w:rsidRPr="00FA46D8" w:rsidRDefault="0044426C" w:rsidP="00237A9D">
            <w:pPr>
              <w:rPr>
                <w:rFonts w:cs="Arial"/>
                <w:b/>
                <w:lang w:eastAsia="ja-JP"/>
              </w:rPr>
            </w:pPr>
          </w:p>
        </w:tc>
      </w:tr>
      <w:tr w:rsidR="0044426C" w:rsidRPr="006E26E4" w14:paraId="3F83AA53" w14:textId="77777777" w:rsidTr="008C25D9">
        <w:trPr>
          <w:jc w:val="center"/>
        </w:trPr>
        <w:tc>
          <w:tcPr>
            <w:tcW w:w="4788" w:type="dxa"/>
          </w:tcPr>
          <w:p w14:paraId="7CC4BCAE" w14:textId="77777777" w:rsidR="0044426C" w:rsidRPr="00FA46D8" w:rsidRDefault="0044426C" w:rsidP="00237A9D">
            <w:pPr>
              <w:rPr>
                <w:rFonts w:cs="Arial"/>
                <w:b/>
                <w:lang w:eastAsia="ja-JP"/>
              </w:rPr>
            </w:pPr>
          </w:p>
        </w:tc>
        <w:tc>
          <w:tcPr>
            <w:tcW w:w="4788" w:type="dxa"/>
            <w:tcBorders>
              <w:top w:val="nil"/>
              <w:bottom w:val="nil"/>
              <w:right w:val="nil"/>
            </w:tcBorders>
          </w:tcPr>
          <w:p w14:paraId="228766E8" w14:textId="77777777" w:rsidR="0044426C" w:rsidRPr="00FA46D8" w:rsidRDefault="0044426C" w:rsidP="00237A9D">
            <w:pPr>
              <w:rPr>
                <w:rFonts w:cs="Arial"/>
                <w:b/>
                <w:lang w:eastAsia="ja-JP"/>
              </w:rPr>
            </w:pPr>
          </w:p>
        </w:tc>
      </w:tr>
      <w:tr w:rsidR="0044426C" w:rsidRPr="006E26E4" w14:paraId="749D4B56" w14:textId="77777777" w:rsidTr="008C25D9">
        <w:trPr>
          <w:jc w:val="center"/>
        </w:trPr>
        <w:tc>
          <w:tcPr>
            <w:tcW w:w="4788" w:type="dxa"/>
            <w:shd w:val="clear" w:color="auto" w:fill="D9D9D9" w:themeFill="background1" w:themeFillShade="D9"/>
          </w:tcPr>
          <w:p w14:paraId="3929F60A" w14:textId="77777777" w:rsidR="0044426C" w:rsidRPr="00FA46D8" w:rsidRDefault="0044426C" w:rsidP="00E50A07">
            <w:pPr>
              <w:spacing w:before="40"/>
              <w:rPr>
                <w:rFonts w:cs="Arial"/>
                <w:b/>
                <w:lang w:eastAsia="ja-JP"/>
              </w:rPr>
            </w:pPr>
            <w:r w:rsidRPr="00FA46D8">
              <w:rPr>
                <w:rFonts w:cs="Arial"/>
                <w:b/>
                <w:lang w:eastAsia="ja-JP"/>
              </w:rPr>
              <w:t>Phone Number Extension</w:t>
            </w:r>
          </w:p>
        </w:tc>
        <w:tc>
          <w:tcPr>
            <w:tcW w:w="4788" w:type="dxa"/>
            <w:tcBorders>
              <w:top w:val="nil"/>
              <w:bottom w:val="nil"/>
              <w:right w:val="nil"/>
            </w:tcBorders>
          </w:tcPr>
          <w:p w14:paraId="19D0A6D7" w14:textId="77777777" w:rsidR="0044426C" w:rsidRPr="00FA46D8" w:rsidRDefault="0044426C" w:rsidP="00237A9D">
            <w:pPr>
              <w:rPr>
                <w:rFonts w:cs="Arial"/>
                <w:b/>
                <w:lang w:eastAsia="ja-JP"/>
              </w:rPr>
            </w:pPr>
          </w:p>
        </w:tc>
      </w:tr>
      <w:tr w:rsidR="0044426C" w:rsidRPr="006E26E4" w14:paraId="71B3E36F" w14:textId="77777777" w:rsidTr="008C25D9">
        <w:trPr>
          <w:jc w:val="center"/>
        </w:trPr>
        <w:tc>
          <w:tcPr>
            <w:tcW w:w="4788" w:type="dxa"/>
          </w:tcPr>
          <w:p w14:paraId="51601C26" w14:textId="77777777" w:rsidR="0044426C" w:rsidRPr="00FA46D8" w:rsidRDefault="0044426C" w:rsidP="00237A9D">
            <w:pPr>
              <w:rPr>
                <w:rFonts w:cs="Arial"/>
                <w:b/>
                <w:lang w:eastAsia="ja-JP"/>
              </w:rPr>
            </w:pPr>
          </w:p>
        </w:tc>
        <w:tc>
          <w:tcPr>
            <w:tcW w:w="4788" w:type="dxa"/>
            <w:tcBorders>
              <w:top w:val="nil"/>
              <w:bottom w:val="nil"/>
              <w:right w:val="nil"/>
            </w:tcBorders>
          </w:tcPr>
          <w:p w14:paraId="6F24CC06" w14:textId="77777777" w:rsidR="0044426C" w:rsidRPr="00FA46D8" w:rsidRDefault="0044426C" w:rsidP="00237A9D">
            <w:pPr>
              <w:rPr>
                <w:rFonts w:cs="Arial"/>
                <w:b/>
                <w:lang w:eastAsia="ja-JP"/>
              </w:rPr>
            </w:pPr>
          </w:p>
        </w:tc>
      </w:tr>
      <w:tr w:rsidR="0044426C" w:rsidRPr="006E26E4" w14:paraId="49C6276C" w14:textId="77777777" w:rsidTr="008C25D9">
        <w:trPr>
          <w:jc w:val="center"/>
        </w:trPr>
        <w:tc>
          <w:tcPr>
            <w:tcW w:w="4788" w:type="dxa"/>
            <w:shd w:val="clear" w:color="auto" w:fill="D9D9D9" w:themeFill="background1" w:themeFillShade="D9"/>
          </w:tcPr>
          <w:p w14:paraId="1D2910D6" w14:textId="20D964AC" w:rsidR="0044426C" w:rsidRPr="00FA46D8" w:rsidRDefault="0044426C" w:rsidP="00E50A07">
            <w:pPr>
              <w:spacing w:before="40"/>
              <w:rPr>
                <w:rFonts w:cs="Arial"/>
                <w:b/>
                <w:lang w:eastAsia="ja-JP"/>
              </w:rPr>
            </w:pPr>
            <w:r w:rsidRPr="00FA46D8">
              <w:rPr>
                <w:rFonts w:cs="Arial"/>
                <w:b/>
                <w:lang w:eastAsia="ja-JP"/>
              </w:rPr>
              <w:t>E</w:t>
            </w:r>
            <w:r w:rsidR="006B5A1D">
              <w:rPr>
                <w:rFonts w:cs="Arial"/>
                <w:b/>
                <w:lang w:eastAsia="ja-JP"/>
              </w:rPr>
              <w:t>-</w:t>
            </w:r>
            <w:r w:rsidRPr="00FA46D8">
              <w:rPr>
                <w:rFonts w:cs="Arial"/>
                <w:b/>
                <w:lang w:eastAsia="ja-JP"/>
              </w:rPr>
              <w:t>mail Address</w:t>
            </w:r>
          </w:p>
        </w:tc>
        <w:tc>
          <w:tcPr>
            <w:tcW w:w="4788" w:type="dxa"/>
            <w:tcBorders>
              <w:top w:val="nil"/>
              <w:bottom w:val="nil"/>
              <w:right w:val="nil"/>
            </w:tcBorders>
          </w:tcPr>
          <w:p w14:paraId="4B77B0CB" w14:textId="77777777" w:rsidR="0044426C" w:rsidRPr="00FA46D8" w:rsidRDefault="0044426C" w:rsidP="00237A9D">
            <w:pPr>
              <w:rPr>
                <w:rFonts w:cs="Arial"/>
                <w:b/>
                <w:lang w:eastAsia="ja-JP"/>
              </w:rPr>
            </w:pPr>
          </w:p>
        </w:tc>
      </w:tr>
      <w:tr w:rsidR="0044426C" w:rsidRPr="006E26E4" w14:paraId="64344135" w14:textId="77777777" w:rsidTr="008C25D9">
        <w:trPr>
          <w:jc w:val="center"/>
        </w:trPr>
        <w:tc>
          <w:tcPr>
            <w:tcW w:w="4788" w:type="dxa"/>
          </w:tcPr>
          <w:p w14:paraId="51E3459B" w14:textId="77777777" w:rsidR="0044426C" w:rsidRPr="00FA46D8" w:rsidRDefault="0044426C" w:rsidP="00237A9D">
            <w:pPr>
              <w:rPr>
                <w:rFonts w:cs="Arial"/>
                <w:b/>
                <w:lang w:eastAsia="ja-JP"/>
              </w:rPr>
            </w:pPr>
          </w:p>
        </w:tc>
        <w:tc>
          <w:tcPr>
            <w:tcW w:w="4788" w:type="dxa"/>
            <w:tcBorders>
              <w:top w:val="nil"/>
              <w:bottom w:val="nil"/>
              <w:right w:val="nil"/>
            </w:tcBorders>
          </w:tcPr>
          <w:p w14:paraId="16F23051" w14:textId="77777777" w:rsidR="0044426C" w:rsidRPr="00FA46D8" w:rsidRDefault="0044426C" w:rsidP="00237A9D">
            <w:pPr>
              <w:rPr>
                <w:rFonts w:cs="Arial"/>
                <w:b/>
                <w:lang w:eastAsia="ja-JP"/>
              </w:rPr>
            </w:pPr>
          </w:p>
        </w:tc>
      </w:tr>
    </w:tbl>
    <w:p w14:paraId="43B6676B" w14:textId="77777777" w:rsidR="00447B26" w:rsidRDefault="00447B26" w:rsidP="00EB41AD">
      <w:pPr>
        <w:rPr>
          <w:rFonts w:cs="Arial"/>
          <w:lang w:eastAsia="ja-JP"/>
        </w:rPr>
      </w:pPr>
    </w:p>
    <w:p w14:paraId="25A9A793" w14:textId="77777777" w:rsidR="004D1420" w:rsidRPr="00FA46D8" w:rsidRDefault="004D1420" w:rsidP="00EB41AD">
      <w:pPr>
        <w:rPr>
          <w:rFonts w:cs="Arial"/>
          <w:lang w:eastAsia="ja-JP"/>
        </w:rPr>
      </w:pPr>
    </w:p>
    <w:tbl>
      <w:tblPr>
        <w:tblStyle w:val="TableGrid"/>
        <w:tblW w:w="0" w:type="auto"/>
        <w:jc w:val="center"/>
        <w:tblLook w:val="04A0" w:firstRow="1" w:lastRow="0" w:firstColumn="1" w:lastColumn="0" w:noHBand="0" w:noVBand="1"/>
      </w:tblPr>
      <w:tblGrid>
        <w:gridCol w:w="4683"/>
        <w:gridCol w:w="4667"/>
      </w:tblGrid>
      <w:tr w:rsidR="00992169" w:rsidRPr="00BB1339" w14:paraId="5F79600B" w14:textId="77777777" w:rsidTr="00791132">
        <w:trPr>
          <w:jc w:val="center"/>
        </w:trPr>
        <w:tc>
          <w:tcPr>
            <w:tcW w:w="4685" w:type="dxa"/>
            <w:shd w:val="clear" w:color="auto" w:fill="D9D9D9" w:themeFill="background1" w:themeFillShade="D9"/>
          </w:tcPr>
          <w:p w14:paraId="47AA538E" w14:textId="77777777" w:rsidR="00992169" w:rsidRPr="00BB1339" w:rsidRDefault="00992169" w:rsidP="00992169">
            <w:pPr>
              <w:spacing w:before="40"/>
              <w:rPr>
                <w:rFonts w:cs="Arial"/>
                <w:b/>
                <w:sz w:val="18"/>
                <w:szCs w:val="18"/>
                <w:lang w:eastAsia="ja-JP"/>
              </w:rPr>
            </w:pPr>
            <w:r w:rsidRPr="00BB1339">
              <w:rPr>
                <w:rFonts w:cs="Arial"/>
                <w:b/>
                <w:sz w:val="18"/>
                <w:szCs w:val="18"/>
                <w:lang w:eastAsia="ja-JP"/>
              </w:rPr>
              <w:t>Opt-Out</w:t>
            </w:r>
          </w:p>
          <w:p w14:paraId="6C5446B3" w14:textId="2A42CD29" w:rsidR="005D3D9E" w:rsidRPr="00BB1339" w:rsidRDefault="00992169" w:rsidP="00992169">
            <w:pPr>
              <w:spacing w:before="40"/>
              <w:rPr>
                <w:rFonts w:cs="Arial"/>
                <w:i/>
                <w:iCs/>
                <w:sz w:val="18"/>
                <w:szCs w:val="18"/>
                <w:lang w:eastAsia="ja-JP"/>
              </w:rPr>
            </w:pPr>
            <w:r w:rsidRPr="00BB1339">
              <w:rPr>
                <w:rFonts w:cs="Arial"/>
                <w:sz w:val="18"/>
                <w:szCs w:val="18"/>
                <w:lang w:eastAsia="ja-JP"/>
              </w:rPr>
              <w:t xml:space="preserve">Opt-out of having information in the “Contact Information” subsection shared with </w:t>
            </w:r>
            <w:r w:rsidR="00906641" w:rsidRPr="00BB1339">
              <w:rPr>
                <w:rFonts w:cs="Arial"/>
                <w:sz w:val="18"/>
                <w:szCs w:val="18"/>
                <w:lang w:eastAsia="ja-JP"/>
              </w:rPr>
              <w:t>third parties</w:t>
            </w:r>
            <w:r w:rsidRPr="00BB1339">
              <w:rPr>
                <w:rFonts w:cs="Arial"/>
                <w:sz w:val="18"/>
                <w:szCs w:val="18"/>
                <w:lang w:eastAsia="ja-JP"/>
              </w:rPr>
              <w:t>.</w:t>
            </w:r>
          </w:p>
        </w:tc>
        <w:tc>
          <w:tcPr>
            <w:tcW w:w="4670" w:type="dxa"/>
            <w:tcBorders>
              <w:top w:val="single" w:sz="4" w:space="0" w:color="auto"/>
              <w:bottom w:val="single" w:sz="4" w:space="0" w:color="auto"/>
              <w:right w:val="single" w:sz="4" w:space="0" w:color="auto"/>
            </w:tcBorders>
            <w:vAlign w:val="center"/>
          </w:tcPr>
          <w:p w14:paraId="7829323E" w14:textId="77777777" w:rsidR="00992169" w:rsidRPr="00BB1339" w:rsidRDefault="00992169" w:rsidP="00791132">
            <w:pPr>
              <w:rPr>
                <w:rFonts w:cs="Arial"/>
                <w:sz w:val="18"/>
                <w:szCs w:val="18"/>
                <w:lang w:eastAsia="ja-JP"/>
              </w:rPr>
            </w:pPr>
            <w:r w:rsidRPr="00BB1339">
              <w:rPr>
                <w:rFonts w:cs="Arial"/>
                <w:sz w:val="18"/>
                <w:szCs w:val="18"/>
                <w:lang w:eastAsia="ja-JP"/>
              </w:rPr>
              <w:sym w:font="Wingdings" w:char="F06F"/>
            </w:r>
            <w:r w:rsidRPr="00BB1339">
              <w:rPr>
                <w:rFonts w:cs="Arial"/>
                <w:sz w:val="18"/>
                <w:szCs w:val="18"/>
                <w:lang w:eastAsia="ja-JP"/>
              </w:rPr>
              <w:t xml:space="preserve"> Opt-out</w:t>
            </w:r>
          </w:p>
        </w:tc>
      </w:tr>
    </w:tbl>
    <w:p w14:paraId="45544954" w14:textId="77777777" w:rsidR="008764A8" w:rsidRPr="00BB1339" w:rsidRDefault="008764A8" w:rsidP="00EB41AD">
      <w:pPr>
        <w:rPr>
          <w:rFonts w:cs="Arial"/>
          <w:sz w:val="18"/>
          <w:szCs w:val="18"/>
          <w:lang w:eastAsia="ja-JP"/>
        </w:rPr>
      </w:pPr>
    </w:p>
    <w:tbl>
      <w:tblPr>
        <w:tblStyle w:val="TableGrid"/>
        <w:tblW w:w="0" w:type="auto"/>
        <w:tblLook w:val="04A0" w:firstRow="1" w:lastRow="0" w:firstColumn="1" w:lastColumn="0" w:noHBand="0" w:noVBand="1"/>
      </w:tblPr>
      <w:tblGrid>
        <w:gridCol w:w="4688"/>
      </w:tblGrid>
      <w:tr w:rsidR="004D7A60" w:rsidRPr="006E26E4" w14:paraId="0E4EFD1F" w14:textId="04F9B2ED" w:rsidTr="004D7A60">
        <w:tc>
          <w:tcPr>
            <w:tcW w:w="4688" w:type="dxa"/>
            <w:shd w:val="clear" w:color="auto" w:fill="D9D9D9" w:themeFill="background1" w:themeFillShade="D9"/>
          </w:tcPr>
          <w:p w14:paraId="73F91895" w14:textId="7363B5EF" w:rsidR="004D7A60" w:rsidRPr="00D36222" w:rsidDel="008D6243" w:rsidRDefault="004D7A60" w:rsidP="00D36222">
            <w:pPr>
              <w:rPr>
                <w:rFonts w:cs="Arial"/>
                <w:b/>
                <w:bCs/>
                <w:lang w:eastAsia="ja-JP"/>
              </w:rPr>
            </w:pPr>
            <w:r w:rsidRPr="00D36222">
              <w:rPr>
                <w:b/>
                <w:bCs/>
              </w:rPr>
              <w:t>Healthcare System Information</w:t>
            </w:r>
          </w:p>
        </w:tc>
      </w:tr>
      <w:tr w:rsidR="004D7A60" w:rsidRPr="006E26E4" w14:paraId="5F1A7831" w14:textId="1DCD6CE9" w:rsidTr="004D7A60">
        <w:tc>
          <w:tcPr>
            <w:tcW w:w="4688" w:type="dxa"/>
            <w:shd w:val="clear" w:color="auto" w:fill="D9D9D9" w:themeFill="background1" w:themeFillShade="D9"/>
          </w:tcPr>
          <w:p w14:paraId="644D51E4" w14:textId="6F94A6DD" w:rsidR="004D7A60" w:rsidRDefault="004D7A60" w:rsidP="004D7A60">
            <w:pPr>
              <w:spacing w:before="40"/>
            </w:pPr>
            <w:r>
              <w:rPr>
                <w:rFonts w:cs="Arial"/>
                <w:b/>
                <w:lang w:eastAsia="ja-JP"/>
              </w:rPr>
              <w:t>Name of</w:t>
            </w:r>
            <w:r w:rsidRPr="00FA46D8">
              <w:rPr>
                <w:rFonts w:cs="Arial"/>
                <w:b/>
                <w:lang w:eastAsia="ja-JP"/>
              </w:rPr>
              <w:t xml:space="preserve"> </w:t>
            </w:r>
            <w:hyperlink w:anchor="Endnote7_System" w:history="1">
              <w:r>
                <w:rPr>
                  <w:rStyle w:val="Hyperlink"/>
                  <w:rFonts w:cs="Arial"/>
                  <w:b/>
                  <w:lang w:eastAsia="ja-JP"/>
                </w:rPr>
                <w:t>Healthcare System or Integrated Delivery Network</w:t>
              </w:r>
            </w:hyperlink>
            <w:r w:rsidR="00BF053F">
              <w:rPr>
                <w:rFonts w:ascii="ZWAdobeF" w:hAnsi="ZWAdobeF" w:cs="ZWAdobeF"/>
                <w:sz w:val="2"/>
                <w:szCs w:val="2"/>
              </w:rPr>
              <w:t>8F</w:t>
            </w:r>
            <w:r w:rsidR="004C7557">
              <w:rPr>
                <w:rFonts w:ascii="ZWAdobeF" w:hAnsi="ZWAdobeF" w:cs="ZWAdobeF"/>
                <w:sz w:val="2"/>
                <w:szCs w:val="2"/>
              </w:rPr>
              <w:t>8F</w:t>
            </w:r>
            <w:r w:rsidR="00C2087D">
              <w:rPr>
                <w:rFonts w:ascii="ZWAdobeF" w:hAnsi="ZWAdobeF" w:cs="ZWAdobeF"/>
                <w:sz w:val="2"/>
                <w:szCs w:val="2"/>
              </w:rPr>
              <w:t>8F</w:t>
            </w:r>
            <w:r w:rsidR="00B55C41">
              <w:rPr>
                <w:rFonts w:ascii="ZWAdobeF" w:hAnsi="ZWAdobeF" w:cs="ZWAdobeF"/>
                <w:sz w:val="2"/>
                <w:szCs w:val="2"/>
              </w:rPr>
              <w:t>8F</w:t>
            </w:r>
            <w:r w:rsidR="006255A6">
              <w:rPr>
                <w:rFonts w:ascii="ZWAdobeF" w:hAnsi="ZWAdobeF" w:cs="ZWAdobeF"/>
                <w:sz w:val="2"/>
                <w:szCs w:val="2"/>
              </w:rPr>
              <w:t>8F</w:t>
            </w:r>
            <w:r w:rsidR="00E453C7">
              <w:rPr>
                <w:rFonts w:ascii="ZWAdobeF" w:hAnsi="ZWAdobeF" w:cs="ZWAdobeF"/>
                <w:sz w:val="2"/>
                <w:szCs w:val="2"/>
              </w:rPr>
              <w:t>8F</w:t>
            </w:r>
            <w:r w:rsidR="00953060">
              <w:rPr>
                <w:rFonts w:ascii="ZWAdobeF" w:hAnsi="ZWAdobeF" w:cs="ZWAdobeF"/>
                <w:sz w:val="2"/>
                <w:szCs w:val="2"/>
              </w:rPr>
              <w:t>8F</w:t>
            </w:r>
            <w:r w:rsidR="00DD04D6">
              <w:rPr>
                <w:rFonts w:ascii="ZWAdobeF" w:hAnsi="ZWAdobeF" w:cs="ZWAdobeF"/>
                <w:sz w:val="2"/>
                <w:szCs w:val="2"/>
              </w:rPr>
              <w:t>8F</w:t>
            </w:r>
            <w:r w:rsidRPr="00FA46D8">
              <w:rPr>
                <w:rStyle w:val="EndnoteReference"/>
                <w:rFonts w:cs="Arial"/>
                <w:b/>
                <w:lang w:eastAsia="ja-JP"/>
              </w:rPr>
              <w:endnoteReference w:id="10"/>
            </w:r>
          </w:p>
          <w:p w14:paraId="7B525263" w14:textId="7C1AF7CA" w:rsidR="004D7A60" w:rsidRPr="00FA46D8" w:rsidRDefault="004D7A60" w:rsidP="004D7A60">
            <w:pPr>
              <w:spacing w:before="40"/>
              <w:rPr>
                <w:rFonts w:cs="Arial"/>
                <w:b/>
                <w:lang w:eastAsia="ja-JP"/>
              </w:rPr>
            </w:pPr>
            <w:r w:rsidRPr="00FA46D8">
              <w:rPr>
                <w:rFonts w:cs="Arial"/>
                <w:lang w:eastAsia="ja-JP"/>
              </w:rPr>
              <w:t xml:space="preserve">If the </w:t>
            </w:r>
            <w:r>
              <w:rPr>
                <w:rFonts w:cs="Arial"/>
                <w:lang w:eastAsia="ja-JP"/>
              </w:rPr>
              <w:t>name</w:t>
            </w:r>
            <w:r w:rsidRPr="00FA46D8">
              <w:rPr>
                <w:rFonts w:cs="Arial"/>
                <w:lang w:eastAsia="ja-JP"/>
              </w:rPr>
              <w:t xml:space="preserve"> displayed in the Online Hospital Survey Tool is not correct, contact the Leapfrog </w:t>
            </w:r>
            <w:hyperlink r:id="rId98" w:history="1">
              <w:r w:rsidRPr="00FA46D8">
                <w:rPr>
                  <w:rStyle w:val="Hyperlink"/>
                  <w:rFonts w:cs="Arial"/>
                  <w:lang w:eastAsia="ja-JP"/>
                </w:rPr>
                <w:t>Help Desk</w:t>
              </w:r>
            </w:hyperlink>
            <w:r w:rsidRPr="00FA46D8">
              <w:rPr>
                <w:rFonts w:cs="Arial"/>
                <w:lang w:eastAsia="ja-JP"/>
              </w:rPr>
              <w:t xml:space="preserve"> immediately.</w:t>
            </w:r>
          </w:p>
        </w:tc>
      </w:tr>
      <w:tr w:rsidR="004D7A60" w:rsidRPr="006E26E4" w14:paraId="61CD6FC5" w14:textId="330822DA" w:rsidTr="004D7A60">
        <w:tc>
          <w:tcPr>
            <w:tcW w:w="4688" w:type="dxa"/>
          </w:tcPr>
          <w:p w14:paraId="7AC9304F" w14:textId="456E4E93" w:rsidR="004D7A60" w:rsidRPr="00FA46D8" w:rsidRDefault="004D7A60" w:rsidP="004D7A60">
            <w:pPr>
              <w:rPr>
                <w:rFonts w:cs="Arial"/>
                <w:b/>
                <w:i/>
                <w:iCs/>
                <w:lang w:eastAsia="ja-JP"/>
              </w:rPr>
            </w:pPr>
          </w:p>
        </w:tc>
      </w:tr>
      <w:tr w:rsidR="004D7A60" w:rsidRPr="006E26E4" w14:paraId="206D756E" w14:textId="3F99F7E2" w:rsidTr="004D7A60">
        <w:tc>
          <w:tcPr>
            <w:tcW w:w="4688" w:type="dxa"/>
          </w:tcPr>
          <w:p w14:paraId="2DB8D08C" w14:textId="77777777" w:rsidR="004D7A60" w:rsidRDefault="004D7A60" w:rsidP="004D7A60">
            <w:pPr>
              <w:rPr>
                <w:rFonts w:cs="Arial"/>
                <w:b/>
                <w:lang w:eastAsia="ja-JP"/>
              </w:rPr>
            </w:pPr>
            <w:r w:rsidRPr="00FA46D8">
              <w:rPr>
                <w:rFonts w:cs="Arial"/>
                <w:b/>
                <w:lang w:eastAsia="ja-JP"/>
              </w:rPr>
              <w:t>System Contact First Name</w:t>
            </w:r>
          </w:p>
          <w:p w14:paraId="74D4BD42" w14:textId="3F4B23A2" w:rsidR="004D7A60" w:rsidRPr="004D1420" w:rsidDel="008D6243" w:rsidRDefault="00074063" w:rsidP="004D7A60">
            <w:pPr>
              <w:rPr>
                <w:rFonts w:cs="Arial"/>
                <w:lang w:eastAsia="ja-JP"/>
              </w:rPr>
            </w:pPr>
            <w:r>
              <w:rPr>
                <w:rFonts w:cs="Arial"/>
                <w:bCs/>
                <w:lang w:eastAsia="ja-JP"/>
              </w:rPr>
              <w:t>P</w:t>
            </w:r>
            <w:r w:rsidR="004C7067" w:rsidRPr="004C7067">
              <w:rPr>
                <w:rFonts w:cs="Arial"/>
                <w:bCs/>
                <w:lang w:eastAsia="ja-JP"/>
              </w:rPr>
              <w:t>rovide a System Contact for the IDN displayed.</w:t>
            </w:r>
            <w:r w:rsidR="00ED2533">
              <w:rPr>
                <w:rFonts w:cs="Arial"/>
                <w:bCs/>
                <w:lang w:eastAsia="ja-JP"/>
              </w:rPr>
              <w:t xml:space="preserve"> </w:t>
            </w:r>
            <w:r w:rsidR="004C7067" w:rsidRPr="004C7067">
              <w:rPr>
                <w:rFonts w:cs="Arial"/>
                <w:bCs/>
                <w:lang w:eastAsia="ja-JP"/>
              </w:rPr>
              <w:t xml:space="preserve">If </w:t>
            </w:r>
            <w:r w:rsidR="00581A1B">
              <w:rPr>
                <w:rFonts w:cs="Arial"/>
                <w:bCs/>
                <w:lang w:eastAsia="ja-JP"/>
              </w:rPr>
              <w:t xml:space="preserve">no </w:t>
            </w:r>
            <w:r w:rsidR="00471A96">
              <w:rPr>
                <w:rFonts w:cs="Arial"/>
                <w:bCs/>
                <w:lang w:eastAsia="ja-JP"/>
              </w:rPr>
              <w:t xml:space="preserve">System </w:t>
            </w:r>
            <w:r w:rsidR="004C7067" w:rsidRPr="004C7067">
              <w:rPr>
                <w:rFonts w:cs="Arial"/>
                <w:bCs/>
                <w:lang w:eastAsia="ja-JP"/>
              </w:rPr>
              <w:t xml:space="preserve">Contact for the IDN displayed, </w:t>
            </w:r>
            <w:r w:rsidR="00DC2A68">
              <w:rPr>
                <w:rFonts w:cs="Arial"/>
                <w:bCs/>
                <w:lang w:eastAsia="ja-JP"/>
              </w:rPr>
              <w:t xml:space="preserve">enter </w:t>
            </w:r>
            <w:r w:rsidR="004C7067" w:rsidRPr="004C7067">
              <w:rPr>
                <w:rFonts w:cs="Arial"/>
                <w:bCs/>
                <w:lang w:eastAsia="ja-JP"/>
              </w:rPr>
              <w:t>a Contact for a larger parent system</w:t>
            </w:r>
            <w:r w:rsidR="00DC2A68">
              <w:rPr>
                <w:rFonts w:cs="Arial"/>
                <w:bCs/>
                <w:lang w:eastAsia="ja-JP"/>
              </w:rPr>
              <w:t xml:space="preserve"> or </w:t>
            </w:r>
            <w:r w:rsidR="00471A96">
              <w:rPr>
                <w:rFonts w:cs="Arial"/>
                <w:bCs/>
                <w:lang w:eastAsia="ja-JP"/>
              </w:rPr>
              <w:t>re-</w:t>
            </w:r>
            <w:r w:rsidR="007F42A0">
              <w:rPr>
                <w:rFonts w:cs="Arial"/>
                <w:bCs/>
                <w:lang w:eastAsia="ja-JP"/>
              </w:rPr>
              <w:t xml:space="preserve">enter </w:t>
            </w:r>
            <w:r w:rsidR="004D7A60" w:rsidRPr="00172E1C">
              <w:rPr>
                <w:rFonts w:cs="Arial"/>
                <w:bCs/>
                <w:lang w:eastAsia="ja-JP"/>
              </w:rPr>
              <w:t xml:space="preserve">your Primary </w:t>
            </w:r>
            <w:r w:rsidR="002D6F36">
              <w:rPr>
                <w:rFonts w:cs="Arial"/>
                <w:bCs/>
                <w:lang w:eastAsia="ja-JP"/>
              </w:rPr>
              <w:t xml:space="preserve">or Secondary </w:t>
            </w:r>
            <w:r w:rsidR="004D7A60" w:rsidRPr="00172E1C">
              <w:rPr>
                <w:rFonts w:cs="Arial"/>
                <w:bCs/>
                <w:lang w:eastAsia="ja-JP"/>
              </w:rPr>
              <w:t>Survey Contact</w:t>
            </w:r>
            <w:r w:rsidR="00763401">
              <w:rPr>
                <w:rFonts w:cs="Arial"/>
                <w:bCs/>
                <w:lang w:eastAsia="ja-JP"/>
              </w:rPr>
              <w:t xml:space="preserve"> information</w:t>
            </w:r>
            <w:r w:rsidR="004D7A60">
              <w:rPr>
                <w:rFonts w:cs="Arial"/>
                <w:bCs/>
                <w:lang w:eastAsia="ja-JP"/>
              </w:rPr>
              <w:t xml:space="preserve">. </w:t>
            </w:r>
          </w:p>
        </w:tc>
      </w:tr>
      <w:tr w:rsidR="004D7A60" w:rsidRPr="006E26E4" w14:paraId="1F08B097" w14:textId="6B8AE929" w:rsidTr="004D7A60">
        <w:tc>
          <w:tcPr>
            <w:tcW w:w="4688" w:type="dxa"/>
          </w:tcPr>
          <w:p w14:paraId="3BAE0BD5" w14:textId="77777777" w:rsidR="004D7A60" w:rsidRPr="004D1420" w:rsidDel="008D6243" w:rsidRDefault="004D7A60" w:rsidP="004D7A60">
            <w:pPr>
              <w:rPr>
                <w:rFonts w:cs="Arial"/>
                <w:lang w:eastAsia="ja-JP"/>
              </w:rPr>
            </w:pPr>
          </w:p>
        </w:tc>
      </w:tr>
      <w:tr w:rsidR="004D7A60" w:rsidRPr="006E26E4" w14:paraId="7763EE35" w14:textId="6AF3A199" w:rsidTr="004D7A60">
        <w:tc>
          <w:tcPr>
            <w:tcW w:w="4688" w:type="dxa"/>
          </w:tcPr>
          <w:p w14:paraId="027FAEDC" w14:textId="0044FEDB" w:rsidR="004D7A60" w:rsidRPr="004D1420" w:rsidDel="008D6243" w:rsidRDefault="004D7A60" w:rsidP="004D7A60">
            <w:pPr>
              <w:rPr>
                <w:rFonts w:cs="Arial"/>
                <w:lang w:eastAsia="ja-JP"/>
              </w:rPr>
            </w:pPr>
            <w:r w:rsidRPr="00FA46D8">
              <w:rPr>
                <w:rFonts w:cs="Arial"/>
                <w:b/>
                <w:lang w:eastAsia="ja-JP"/>
              </w:rPr>
              <w:t>System Contact Last Name</w:t>
            </w:r>
            <w:r w:rsidRPr="00FA46D8" w:rsidDel="00211444">
              <w:rPr>
                <w:rFonts w:cs="Arial"/>
                <w:b/>
                <w:lang w:eastAsia="ja-JP"/>
              </w:rPr>
              <w:t xml:space="preserve"> </w:t>
            </w:r>
          </w:p>
        </w:tc>
      </w:tr>
      <w:tr w:rsidR="004D7A60" w:rsidRPr="006E26E4" w14:paraId="2D633727" w14:textId="60B30652" w:rsidTr="004D7A60">
        <w:tc>
          <w:tcPr>
            <w:tcW w:w="4688" w:type="dxa"/>
          </w:tcPr>
          <w:p w14:paraId="5691AB3D" w14:textId="77777777" w:rsidR="004D7A60" w:rsidRPr="004D1420" w:rsidDel="008D6243" w:rsidRDefault="004D7A60" w:rsidP="004D7A60">
            <w:pPr>
              <w:rPr>
                <w:rFonts w:cs="Arial"/>
                <w:lang w:eastAsia="ja-JP"/>
              </w:rPr>
            </w:pPr>
          </w:p>
        </w:tc>
      </w:tr>
      <w:tr w:rsidR="004D7A60" w:rsidRPr="006E26E4" w14:paraId="55149EB6" w14:textId="58EA6714" w:rsidTr="004D7A60">
        <w:tc>
          <w:tcPr>
            <w:tcW w:w="4688" w:type="dxa"/>
          </w:tcPr>
          <w:p w14:paraId="06751789" w14:textId="18E0ABC7" w:rsidR="004D7A60" w:rsidRPr="004D1420" w:rsidDel="008D6243" w:rsidRDefault="004D7A60" w:rsidP="004D7A60">
            <w:pPr>
              <w:rPr>
                <w:rFonts w:cs="Arial"/>
                <w:lang w:eastAsia="ja-JP"/>
              </w:rPr>
            </w:pPr>
            <w:r w:rsidRPr="00FA46D8">
              <w:rPr>
                <w:rFonts w:cs="Arial"/>
                <w:b/>
                <w:lang w:eastAsia="ja-JP"/>
              </w:rPr>
              <w:t>System Contact E</w:t>
            </w:r>
            <w:r w:rsidR="006B5A1D">
              <w:rPr>
                <w:rFonts w:cs="Arial"/>
                <w:b/>
                <w:lang w:eastAsia="ja-JP"/>
              </w:rPr>
              <w:t>-</w:t>
            </w:r>
            <w:r w:rsidRPr="00FA46D8">
              <w:rPr>
                <w:rFonts w:cs="Arial"/>
                <w:b/>
                <w:lang w:eastAsia="ja-JP"/>
              </w:rPr>
              <w:t>mail Address</w:t>
            </w:r>
          </w:p>
        </w:tc>
      </w:tr>
      <w:tr w:rsidR="004D7A60" w:rsidRPr="006E26E4" w14:paraId="65D94682" w14:textId="77777777" w:rsidTr="004D7A60">
        <w:trPr>
          <w:trHeight w:val="230"/>
        </w:trPr>
        <w:tc>
          <w:tcPr>
            <w:tcW w:w="4688" w:type="dxa"/>
            <w:shd w:val="clear" w:color="auto" w:fill="FFFFFF" w:themeFill="background1"/>
          </w:tcPr>
          <w:p w14:paraId="4BFA4C6B" w14:textId="77777777" w:rsidR="004D7A60" w:rsidRPr="004D1420" w:rsidDel="008D6243" w:rsidRDefault="004D7A60" w:rsidP="004D7A60">
            <w:pPr>
              <w:rPr>
                <w:rFonts w:cs="Arial"/>
                <w:lang w:eastAsia="ja-JP"/>
              </w:rPr>
            </w:pPr>
          </w:p>
        </w:tc>
      </w:tr>
    </w:tbl>
    <w:p w14:paraId="4F062CB5" w14:textId="77777777" w:rsidR="00BD2934" w:rsidRDefault="00BD2934">
      <w:pPr>
        <w:rPr>
          <w:rFonts w:cs="Arial"/>
          <w:bCs/>
          <w:lang w:eastAsia="ja-JP"/>
        </w:rPr>
      </w:pPr>
    </w:p>
    <w:tbl>
      <w:tblPr>
        <w:tblStyle w:val="TableGrid"/>
        <w:tblW w:w="0" w:type="auto"/>
        <w:tblLook w:val="04A0" w:firstRow="1" w:lastRow="0" w:firstColumn="1" w:lastColumn="0" w:noHBand="0" w:noVBand="1"/>
      </w:tblPr>
      <w:tblGrid>
        <w:gridCol w:w="4675"/>
      </w:tblGrid>
      <w:tr w:rsidR="004D7A60" w14:paraId="44A48A96" w14:textId="77777777" w:rsidTr="00BD2934">
        <w:tc>
          <w:tcPr>
            <w:tcW w:w="4675" w:type="dxa"/>
            <w:shd w:val="clear" w:color="auto" w:fill="D9D9D9" w:themeFill="background1" w:themeFillShade="D9"/>
          </w:tcPr>
          <w:p w14:paraId="408D01C1" w14:textId="77777777" w:rsidR="004D7A60" w:rsidRDefault="004D7A60" w:rsidP="004D7A60">
            <w:pPr>
              <w:rPr>
                <w:rFonts w:cs="Arial"/>
                <w:b/>
                <w:lang w:eastAsia="ja-JP"/>
              </w:rPr>
            </w:pPr>
            <w:r w:rsidRPr="00FA46D8">
              <w:rPr>
                <w:rFonts w:cs="Arial"/>
                <w:b/>
                <w:lang w:eastAsia="ja-JP"/>
              </w:rPr>
              <w:t>System Public Relations Contact First Name</w:t>
            </w:r>
          </w:p>
          <w:p w14:paraId="27AE011A" w14:textId="1B0D7E8D" w:rsidR="005A4605" w:rsidRDefault="005A4605" w:rsidP="004D7A60">
            <w:pPr>
              <w:rPr>
                <w:rFonts w:cs="Arial"/>
                <w:bCs/>
                <w:lang w:eastAsia="ja-JP"/>
              </w:rPr>
            </w:pPr>
            <w:r w:rsidRPr="00FA46D8">
              <w:rPr>
                <w:rFonts w:cs="Arial"/>
                <w:lang w:eastAsia="ja-JP"/>
              </w:rPr>
              <w:t>(required so that Leapfrog may provide information on Leapfrog accolades, such as Top Hospital notification, and announcements)</w:t>
            </w:r>
          </w:p>
        </w:tc>
      </w:tr>
      <w:tr w:rsidR="004D7A60" w14:paraId="7700E40C" w14:textId="77777777" w:rsidTr="00BD2934">
        <w:tc>
          <w:tcPr>
            <w:tcW w:w="4675" w:type="dxa"/>
          </w:tcPr>
          <w:p w14:paraId="77657C3F" w14:textId="77777777" w:rsidR="004D7A60" w:rsidRDefault="004D7A60" w:rsidP="004D7A60">
            <w:pPr>
              <w:rPr>
                <w:rFonts w:cs="Arial"/>
                <w:bCs/>
                <w:lang w:eastAsia="ja-JP"/>
              </w:rPr>
            </w:pPr>
          </w:p>
        </w:tc>
      </w:tr>
      <w:tr w:rsidR="004D7A60" w14:paraId="46D1E395" w14:textId="77777777" w:rsidTr="00BD2934">
        <w:tc>
          <w:tcPr>
            <w:tcW w:w="4675" w:type="dxa"/>
            <w:shd w:val="clear" w:color="auto" w:fill="D9D9D9" w:themeFill="background1" w:themeFillShade="D9"/>
          </w:tcPr>
          <w:p w14:paraId="78399325" w14:textId="078F8798" w:rsidR="004D7A60" w:rsidRDefault="004D7A60" w:rsidP="004D7A60">
            <w:pPr>
              <w:rPr>
                <w:rFonts w:cs="Arial"/>
                <w:bCs/>
                <w:lang w:eastAsia="ja-JP"/>
              </w:rPr>
            </w:pPr>
            <w:r w:rsidRPr="00FA46D8">
              <w:rPr>
                <w:rFonts w:cs="Arial"/>
                <w:b/>
                <w:lang w:eastAsia="ja-JP"/>
              </w:rPr>
              <w:t>System Public Relations Contact Last Name</w:t>
            </w:r>
            <w:r w:rsidRPr="00FA46D8" w:rsidDel="00211444">
              <w:rPr>
                <w:rFonts w:cs="Arial"/>
                <w:b/>
                <w:lang w:eastAsia="ja-JP"/>
              </w:rPr>
              <w:t xml:space="preserve"> </w:t>
            </w:r>
          </w:p>
        </w:tc>
      </w:tr>
      <w:tr w:rsidR="004D7A60" w14:paraId="124AE258" w14:textId="77777777" w:rsidTr="00BD2934">
        <w:tc>
          <w:tcPr>
            <w:tcW w:w="4675" w:type="dxa"/>
          </w:tcPr>
          <w:p w14:paraId="7D14A9FC" w14:textId="77777777" w:rsidR="004D7A60" w:rsidRDefault="004D7A60" w:rsidP="004D7A60">
            <w:pPr>
              <w:rPr>
                <w:rFonts w:cs="Arial"/>
                <w:bCs/>
                <w:lang w:eastAsia="ja-JP"/>
              </w:rPr>
            </w:pPr>
          </w:p>
        </w:tc>
      </w:tr>
      <w:tr w:rsidR="004D7A60" w14:paraId="613EA188" w14:textId="77777777" w:rsidTr="00BD2934">
        <w:tc>
          <w:tcPr>
            <w:tcW w:w="4675" w:type="dxa"/>
            <w:shd w:val="clear" w:color="auto" w:fill="D9D9D9" w:themeFill="background1" w:themeFillShade="D9"/>
          </w:tcPr>
          <w:p w14:paraId="5DDA11E6" w14:textId="28517EA7" w:rsidR="004D7A60" w:rsidRDefault="004D7A60" w:rsidP="004D7A60">
            <w:pPr>
              <w:rPr>
                <w:rFonts w:cs="Arial"/>
                <w:bCs/>
                <w:lang w:eastAsia="ja-JP"/>
              </w:rPr>
            </w:pPr>
            <w:r w:rsidRPr="00FA46D8">
              <w:rPr>
                <w:rFonts w:cs="Arial"/>
                <w:b/>
                <w:lang w:eastAsia="ja-JP"/>
              </w:rPr>
              <w:t>System Public Relations Contact Phone Number</w:t>
            </w:r>
          </w:p>
        </w:tc>
      </w:tr>
      <w:tr w:rsidR="004D7A60" w14:paraId="40D4A901" w14:textId="77777777" w:rsidTr="00BD2934">
        <w:tc>
          <w:tcPr>
            <w:tcW w:w="4675" w:type="dxa"/>
          </w:tcPr>
          <w:p w14:paraId="3AC7C62F" w14:textId="77777777" w:rsidR="004D7A60" w:rsidRDefault="004D7A60" w:rsidP="004D7A60">
            <w:pPr>
              <w:rPr>
                <w:rFonts w:cs="Arial"/>
                <w:bCs/>
                <w:lang w:eastAsia="ja-JP"/>
              </w:rPr>
            </w:pPr>
          </w:p>
        </w:tc>
      </w:tr>
      <w:tr w:rsidR="004D7A60" w14:paraId="3F8D3BBC" w14:textId="77777777" w:rsidTr="00BD2934">
        <w:trPr>
          <w:trHeight w:val="230"/>
        </w:trPr>
        <w:tc>
          <w:tcPr>
            <w:tcW w:w="4675" w:type="dxa"/>
            <w:shd w:val="clear" w:color="auto" w:fill="D9D9D9" w:themeFill="background1" w:themeFillShade="D9"/>
          </w:tcPr>
          <w:p w14:paraId="078DBDAB" w14:textId="1A3DA4F1" w:rsidR="004D7A60" w:rsidRDefault="004D7A60" w:rsidP="004D7A60">
            <w:pPr>
              <w:rPr>
                <w:rFonts w:cs="Arial"/>
                <w:bCs/>
                <w:lang w:eastAsia="ja-JP"/>
              </w:rPr>
            </w:pPr>
            <w:r w:rsidRPr="00FA46D8">
              <w:rPr>
                <w:rFonts w:cs="Arial"/>
                <w:b/>
                <w:lang w:eastAsia="ja-JP"/>
              </w:rPr>
              <w:t>System Public Relations Contact Phone Number</w:t>
            </w:r>
            <w:r>
              <w:rPr>
                <w:rFonts w:cs="Arial"/>
                <w:b/>
                <w:lang w:eastAsia="ja-JP"/>
              </w:rPr>
              <w:t xml:space="preserve"> Extension </w:t>
            </w:r>
          </w:p>
        </w:tc>
      </w:tr>
      <w:tr w:rsidR="004D7A60" w14:paraId="6CBA3379" w14:textId="77777777" w:rsidTr="001D3B12">
        <w:trPr>
          <w:trHeight w:val="230"/>
        </w:trPr>
        <w:tc>
          <w:tcPr>
            <w:tcW w:w="4675" w:type="dxa"/>
          </w:tcPr>
          <w:p w14:paraId="4B50903C" w14:textId="77777777" w:rsidR="004D7A60" w:rsidRDefault="004D7A60" w:rsidP="004D7A60">
            <w:pPr>
              <w:rPr>
                <w:rFonts w:cs="Arial"/>
                <w:bCs/>
                <w:lang w:eastAsia="ja-JP"/>
              </w:rPr>
            </w:pPr>
          </w:p>
        </w:tc>
      </w:tr>
      <w:tr w:rsidR="004D7A60" w14:paraId="7C9393F4" w14:textId="77777777" w:rsidTr="00D70C64">
        <w:trPr>
          <w:trHeight w:val="230"/>
        </w:trPr>
        <w:tc>
          <w:tcPr>
            <w:tcW w:w="4675" w:type="dxa"/>
            <w:tcBorders>
              <w:bottom w:val="single" w:sz="4" w:space="0" w:color="auto"/>
            </w:tcBorders>
            <w:shd w:val="clear" w:color="auto" w:fill="D9D9D9" w:themeFill="background1" w:themeFillShade="D9"/>
          </w:tcPr>
          <w:p w14:paraId="61E3D5F2" w14:textId="4EF7F0E0" w:rsidR="004D7A60" w:rsidRDefault="004D7A60" w:rsidP="004D7A60">
            <w:pPr>
              <w:rPr>
                <w:rFonts w:cs="Arial"/>
                <w:bCs/>
                <w:lang w:eastAsia="ja-JP"/>
              </w:rPr>
            </w:pPr>
            <w:r w:rsidRPr="00FA46D8">
              <w:rPr>
                <w:rFonts w:cs="Arial"/>
                <w:b/>
                <w:lang w:eastAsia="ja-JP"/>
              </w:rPr>
              <w:t xml:space="preserve">System Public Relations Contact </w:t>
            </w:r>
            <w:r>
              <w:rPr>
                <w:rFonts w:cs="Arial"/>
                <w:b/>
                <w:lang w:eastAsia="ja-JP"/>
              </w:rPr>
              <w:t>E</w:t>
            </w:r>
            <w:r w:rsidR="006B5A1D">
              <w:rPr>
                <w:rFonts w:cs="Arial"/>
                <w:b/>
                <w:lang w:eastAsia="ja-JP"/>
              </w:rPr>
              <w:t>-</w:t>
            </w:r>
            <w:r>
              <w:rPr>
                <w:rFonts w:cs="Arial"/>
                <w:b/>
                <w:lang w:eastAsia="ja-JP"/>
              </w:rPr>
              <w:t>mail Address</w:t>
            </w:r>
          </w:p>
        </w:tc>
      </w:tr>
      <w:tr w:rsidR="004D7A60" w14:paraId="2A87E7CF" w14:textId="77777777" w:rsidTr="00D70C64">
        <w:trPr>
          <w:trHeight w:val="230"/>
        </w:trPr>
        <w:tc>
          <w:tcPr>
            <w:tcW w:w="4675" w:type="dxa"/>
            <w:tcBorders>
              <w:bottom w:val="single" w:sz="4" w:space="0" w:color="auto"/>
            </w:tcBorders>
          </w:tcPr>
          <w:p w14:paraId="48CE39B0" w14:textId="77777777" w:rsidR="004D7A60" w:rsidRDefault="004D7A60" w:rsidP="004D7A60">
            <w:pPr>
              <w:rPr>
                <w:rFonts w:cs="Arial"/>
                <w:bCs/>
                <w:lang w:eastAsia="ja-JP"/>
              </w:rPr>
            </w:pPr>
          </w:p>
        </w:tc>
      </w:tr>
    </w:tbl>
    <w:p w14:paraId="50DCB71E" w14:textId="77777777" w:rsidR="00BD2934" w:rsidRDefault="00BD2934">
      <w:pPr>
        <w:rPr>
          <w:rFonts w:cs="Arial"/>
          <w:bCs/>
          <w:lang w:eastAsia="ja-JP"/>
        </w:rPr>
      </w:pPr>
    </w:p>
    <w:p w14:paraId="24A55140" w14:textId="24A50EE8" w:rsidR="00BD2934" w:rsidRPr="009A5185" w:rsidRDefault="00BD2934">
      <w:pPr>
        <w:rPr>
          <w:rFonts w:cs="Arial"/>
        </w:rPr>
        <w:sectPr w:rsidR="00BD2934" w:rsidRPr="009A5185" w:rsidSect="00062F69">
          <w:headerReference w:type="default" r:id="rId99"/>
          <w:endnotePr>
            <w:numFmt w:val="decimal"/>
          </w:endnotePr>
          <w:type w:val="continuous"/>
          <w:pgSz w:w="12240" w:h="15840"/>
          <w:pgMar w:top="1080" w:right="1440" w:bottom="1080" w:left="1440" w:header="720" w:footer="720" w:gutter="0"/>
          <w:cols w:space="720"/>
          <w:docGrid w:linePitch="272"/>
        </w:sectPr>
      </w:pPr>
    </w:p>
    <w:p w14:paraId="752AC044" w14:textId="77777777" w:rsidR="00A437A9" w:rsidRPr="009A5185" w:rsidRDefault="00A437A9">
      <w:pPr>
        <w:rPr>
          <w:rFonts w:cs="Arial"/>
        </w:rPr>
      </w:pPr>
    </w:p>
    <w:p w14:paraId="041EDD81" w14:textId="77777777" w:rsidR="00A437A9" w:rsidRPr="009A5185" w:rsidRDefault="00A437A9" w:rsidP="00A437A9">
      <w:pPr>
        <w:rPr>
          <w:rFonts w:cs="Arial"/>
        </w:rPr>
      </w:pPr>
    </w:p>
    <w:p w14:paraId="2F244773" w14:textId="77777777" w:rsidR="00A437A9" w:rsidRPr="009A5185" w:rsidRDefault="00A437A9" w:rsidP="00D32C75">
      <w:pPr>
        <w:pStyle w:val="SectionHeader"/>
      </w:pPr>
      <w:bookmarkStart w:id="75" w:name="_Toc225877665"/>
      <w:r w:rsidRPr="009A5185">
        <w:t>Page Intentionally Left Blank</w:t>
      </w:r>
      <w:bookmarkEnd w:id="75"/>
    </w:p>
    <w:p w14:paraId="1DD5D95A" w14:textId="77777777" w:rsidR="00A437A9" w:rsidRPr="009A5185" w:rsidRDefault="00A437A9" w:rsidP="00A437A9">
      <w:pPr>
        <w:rPr>
          <w:rFonts w:cs="Arial"/>
        </w:rPr>
      </w:pPr>
    </w:p>
    <w:p w14:paraId="30000B9E" w14:textId="77777777" w:rsidR="00A437A9" w:rsidRPr="009A5185" w:rsidRDefault="00A437A9" w:rsidP="00A437A9">
      <w:pPr>
        <w:rPr>
          <w:rFonts w:cs="Arial"/>
        </w:rPr>
      </w:pPr>
    </w:p>
    <w:p w14:paraId="0CCA6F8A" w14:textId="77777777" w:rsidR="00A437A9" w:rsidRPr="009A5185" w:rsidRDefault="00A437A9" w:rsidP="00A437A9">
      <w:pPr>
        <w:rPr>
          <w:rFonts w:cs="Arial"/>
        </w:rPr>
      </w:pPr>
    </w:p>
    <w:p w14:paraId="4D25AB04" w14:textId="77777777" w:rsidR="00A437A9" w:rsidRPr="009A5185" w:rsidRDefault="00A437A9" w:rsidP="00A437A9">
      <w:pPr>
        <w:tabs>
          <w:tab w:val="center" w:pos="4680"/>
        </w:tabs>
        <w:rPr>
          <w:rFonts w:cs="Arial"/>
        </w:rPr>
        <w:sectPr w:rsidR="00A437A9" w:rsidRPr="009A5185" w:rsidSect="00062F69">
          <w:headerReference w:type="default" r:id="rId100"/>
          <w:endnotePr>
            <w:numFmt w:val="decimal"/>
          </w:endnotePr>
          <w:pgSz w:w="12240" w:h="15840"/>
          <w:pgMar w:top="1080" w:right="1440" w:bottom="1080" w:left="1440" w:header="720" w:footer="720" w:gutter="0"/>
          <w:cols w:space="720"/>
          <w:docGrid w:linePitch="272"/>
        </w:sectPr>
      </w:pPr>
      <w:r w:rsidRPr="009A5185">
        <w:rPr>
          <w:rFonts w:cs="Arial"/>
        </w:rPr>
        <w:tab/>
      </w:r>
    </w:p>
    <w:p w14:paraId="391EA6E6" w14:textId="77777777" w:rsidR="00A437A9" w:rsidRPr="009A5185" w:rsidRDefault="00A437A9" w:rsidP="00F750C5">
      <w:pPr>
        <w:rPr>
          <w:snapToGrid w:val="0"/>
          <w:lang w:eastAsia="ja-JP"/>
        </w:rPr>
      </w:pPr>
    </w:p>
    <w:p w14:paraId="67F5955A" w14:textId="77777777" w:rsidR="00950575" w:rsidRPr="009A5185" w:rsidRDefault="00950575" w:rsidP="007D0C84"/>
    <w:p w14:paraId="536F88B1" w14:textId="77777777" w:rsidR="00950575" w:rsidRPr="009A5185" w:rsidRDefault="00950575" w:rsidP="007D0C84"/>
    <w:p w14:paraId="78DBD6D3" w14:textId="77777777" w:rsidR="00950575" w:rsidRPr="009A5185" w:rsidRDefault="00950575" w:rsidP="007D0C84"/>
    <w:p w14:paraId="24CD4567" w14:textId="77777777" w:rsidR="00950575" w:rsidRPr="009A5185" w:rsidRDefault="00950575" w:rsidP="007D0C84"/>
    <w:p w14:paraId="71EC57DB" w14:textId="77777777" w:rsidR="00950575" w:rsidRPr="009A5185" w:rsidRDefault="00950575" w:rsidP="007D0C84"/>
    <w:p w14:paraId="12F36BCA" w14:textId="77777777" w:rsidR="00950575" w:rsidRPr="009A5185" w:rsidRDefault="00950575" w:rsidP="007D0C84"/>
    <w:p w14:paraId="1F7AE858" w14:textId="77777777" w:rsidR="00D9090F" w:rsidRPr="009A5185" w:rsidRDefault="00D9090F" w:rsidP="007D0C84"/>
    <w:p w14:paraId="49304824" w14:textId="77777777" w:rsidR="00D9090F" w:rsidRPr="009A5185" w:rsidRDefault="00D9090F" w:rsidP="007D0C84"/>
    <w:p w14:paraId="5C4C748D" w14:textId="77777777" w:rsidR="00D9090F" w:rsidRPr="009A5185" w:rsidRDefault="00D9090F" w:rsidP="007D0C84"/>
    <w:p w14:paraId="7C203F81" w14:textId="77777777" w:rsidR="00D9090F" w:rsidRPr="009A5185" w:rsidRDefault="00D9090F" w:rsidP="007D0C84"/>
    <w:p w14:paraId="7C31227C" w14:textId="13949409" w:rsidR="00D9090F" w:rsidRDefault="00D9090F" w:rsidP="00F750C5"/>
    <w:p w14:paraId="45FFCCC6" w14:textId="6E34603F" w:rsidR="00F750C5" w:rsidRDefault="00F750C5" w:rsidP="00F750C5"/>
    <w:p w14:paraId="7A2B8BA0" w14:textId="77777777" w:rsidR="00A040BA" w:rsidRDefault="00A040BA" w:rsidP="00F750C5"/>
    <w:p w14:paraId="3D0B8AE6" w14:textId="77777777" w:rsidR="00A040BA" w:rsidRDefault="00A040BA" w:rsidP="00F750C5"/>
    <w:p w14:paraId="6A5D38A9" w14:textId="5BCC2C2A" w:rsidR="00F750C5" w:rsidRDefault="00F750C5" w:rsidP="00F750C5"/>
    <w:p w14:paraId="42C74104" w14:textId="46FF8445" w:rsidR="00F750C5" w:rsidRDefault="00F750C5" w:rsidP="00F750C5"/>
    <w:p w14:paraId="53822D4C" w14:textId="4FDC73D3" w:rsidR="00F750C5" w:rsidRDefault="00F750C5" w:rsidP="00F750C5"/>
    <w:p w14:paraId="575443B0" w14:textId="77777777" w:rsidR="00F750C5" w:rsidRPr="009A5185" w:rsidRDefault="00F750C5" w:rsidP="007D0C84"/>
    <w:p w14:paraId="0404DB2C" w14:textId="02EEEA3F" w:rsidR="00950575" w:rsidRPr="009A5185" w:rsidRDefault="00950575" w:rsidP="00D32C75">
      <w:pPr>
        <w:pStyle w:val="SectionHeader"/>
      </w:pPr>
      <w:bookmarkStart w:id="76" w:name="Sect1"/>
      <w:bookmarkStart w:id="77" w:name="_Toc225877666"/>
      <w:r w:rsidRPr="009A5185">
        <w:t xml:space="preserve">SECTION 1: </w:t>
      </w:r>
      <w:bookmarkEnd w:id="76"/>
      <w:r w:rsidR="00AB508D">
        <w:t>PATIENT RIGHTS AND ETHICS</w:t>
      </w:r>
      <w:bookmarkEnd w:id="77"/>
    </w:p>
    <w:p w14:paraId="4958DEA8" w14:textId="77777777" w:rsidR="00950575" w:rsidRPr="009A5185" w:rsidRDefault="00950575" w:rsidP="007D0C84"/>
    <w:p w14:paraId="7162AB4B" w14:textId="77777777" w:rsidR="00950575" w:rsidRPr="009A5185" w:rsidRDefault="00950575" w:rsidP="00950575">
      <w:pPr>
        <w:rPr>
          <w:rFonts w:cs="Arial"/>
        </w:rPr>
      </w:pPr>
    </w:p>
    <w:p w14:paraId="71525B66" w14:textId="488AF8AB" w:rsidR="00950575" w:rsidRPr="009A5185" w:rsidRDefault="00950575" w:rsidP="00950575">
      <w:pPr>
        <w:rPr>
          <w:rFonts w:cs="Arial"/>
        </w:rPr>
      </w:pPr>
      <w:r w:rsidRPr="009A5185">
        <w:rPr>
          <w:rFonts w:cs="Arial"/>
        </w:rPr>
        <w:t>This section includes questions and reference information for Section</w:t>
      </w:r>
      <w:r w:rsidR="008E04E0" w:rsidRPr="009A5185">
        <w:rPr>
          <w:rFonts w:cs="Arial"/>
        </w:rPr>
        <w:t xml:space="preserve"> 1:</w:t>
      </w:r>
      <w:r w:rsidRPr="009A5185">
        <w:rPr>
          <w:rFonts w:cs="Arial"/>
        </w:rPr>
        <w:t xml:space="preserve"> </w:t>
      </w:r>
      <w:r w:rsidR="00AB508D">
        <w:rPr>
          <w:rFonts w:cs="Arial"/>
          <w:snapToGrid w:val="0"/>
        </w:rPr>
        <w:t>Patient Rights and Ethics</w:t>
      </w:r>
      <w:r w:rsidRPr="009A5185">
        <w:rPr>
          <w:rFonts w:cs="Arial"/>
        </w:rPr>
        <w:t xml:space="preserve">. Please carefully review the questions, endnotes, and reference information (e.g., measure specifications, notes, and frequently asked questions) before you begin. Failure to review the reference information could result in inaccurate responses. </w:t>
      </w:r>
    </w:p>
    <w:p w14:paraId="7F893B55" w14:textId="77777777" w:rsidR="00950575" w:rsidRPr="009A5185" w:rsidRDefault="00950575" w:rsidP="00950575">
      <w:pPr>
        <w:rPr>
          <w:rFonts w:cs="Arial"/>
          <w:b/>
          <w:sz w:val="40"/>
          <w:szCs w:val="40"/>
        </w:rPr>
      </w:pPr>
      <w:r w:rsidRPr="009A5185">
        <w:rPr>
          <w:rFonts w:cs="Arial"/>
          <w:b/>
          <w:sz w:val="40"/>
          <w:szCs w:val="40"/>
        </w:rPr>
        <w:br w:type="page"/>
      </w:r>
    </w:p>
    <w:p w14:paraId="4EB61FA4" w14:textId="13F8FD7B" w:rsidR="00950575" w:rsidRPr="009A5185" w:rsidRDefault="003C7B12" w:rsidP="00CF5A6E">
      <w:pPr>
        <w:pStyle w:val="Heading2"/>
      </w:pPr>
      <w:bookmarkStart w:id="78" w:name="_Basic_Hospital_Information"/>
      <w:bookmarkStart w:id="79" w:name="_Section_1:_Patient"/>
      <w:bookmarkStart w:id="80" w:name="_Toc225877667"/>
      <w:bookmarkEnd w:id="78"/>
      <w:bookmarkEnd w:id="79"/>
      <w:r w:rsidRPr="009A5185">
        <w:lastRenderedPageBreak/>
        <w:t xml:space="preserve">Section 1: </w:t>
      </w:r>
      <w:r w:rsidR="00AB508D">
        <w:t>Patient Rights and Ethics</w:t>
      </w:r>
      <w:bookmarkEnd w:id="80"/>
    </w:p>
    <w:p w14:paraId="3BE8C8D8" w14:textId="77777777" w:rsidR="006E7AFA" w:rsidRPr="009A5185" w:rsidRDefault="006E7AFA" w:rsidP="006E7AFA">
      <w:pPr>
        <w:rPr>
          <w:rFonts w:cs="Arial"/>
        </w:rPr>
      </w:pPr>
    </w:p>
    <w:p w14:paraId="294A4D9B" w14:textId="4198893B" w:rsidR="00C45BCF" w:rsidRDefault="00AA4A4D" w:rsidP="006E7AFA">
      <w:pPr>
        <w:rPr>
          <w:rFonts w:cs="Arial"/>
        </w:rPr>
      </w:pPr>
      <w:bookmarkStart w:id="81" w:name="_Hlk67587194"/>
      <w:r>
        <w:rPr>
          <w:rFonts w:cs="Arial"/>
          <w:b/>
          <w:bCs/>
        </w:rPr>
        <w:t>Billing Ethics Bibliograph</w:t>
      </w:r>
      <w:r w:rsidR="00C45BCF">
        <w:rPr>
          <w:rFonts w:cs="Arial"/>
          <w:b/>
          <w:bCs/>
        </w:rPr>
        <w:t>y and Fact Sheet</w:t>
      </w:r>
      <w:r>
        <w:rPr>
          <w:rFonts w:cs="Arial"/>
          <w:b/>
          <w:bCs/>
        </w:rPr>
        <w:t xml:space="preserve">: </w:t>
      </w:r>
      <w:bookmarkEnd w:id="81"/>
      <w:r w:rsidR="00822D14">
        <w:fldChar w:fldCharType="begin"/>
      </w:r>
      <w:r w:rsidR="00822D14">
        <w:instrText>HYPERLINK "</w:instrText>
      </w:r>
      <w:r w:rsidR="00822D14" w:rsidRPr="00822D14">
        <w:instrText>https://ratings.leapfroggroup.org/measure/hospital/2026/billing-ethics</w:instrText>
      </w:r>
      <w:r w:rsidR="00822D14">
        <w:instrText>"</w:instrText>
      </w:r>
      <w:r w:rsidR="00822D14">
        <w:fldChar w:fldCharType="separate"/>
      </w:r>
      <w:r w:rsidR="00822D14" w:rsidRPr="00A2752F">
        <w:rPr>
          <w:rStyle w:val="Hyperlink"/>
        </w:rPr>
        <w:t>https://ratings.leapfroggroup.org/measure/hospital/2026/billing-ethics</w:t>
      </w:r>
      <w:r w:rsidR="00822D14">
        <w:fldChar w:fldCharType="end"/>
      </w:r>
      <w:r w:rsidR="00822D14">
        <w:t xml:space="preserve"> </w:t>
      </w:r>
    </w:p>
    <w:p w14:paraId="61473E72" w14:textId="77777777" w:rsidR="00FF4C61" w:rsidRDefault="00FF4C61" w:rsidP="006E7AFA"/>
    <w:p w14:paraId="2E6456CC" w14:textId="7E68C03F" w:rsidR="00C45BCF" w:rsidRDefault="00C45BCF" w:rsidP="00C45BCF">
      <w:pPr>
        <w:rPr>
          <w:rFonts w:cs="Arial"/>
          <w:b/>
          <w:bCs/>
        </w:rPr>
      </w:pPr>
      <w:r>
        <w:rPr>
          <w:rFonts w:cs="Arial"/>
          <w:b/>
          <w:bCs/>
        </w:rPr>
        <w:t xml:space="preserve">Health </w:t>
      </w:r>
      <w:r w:rsidR="004705EA">
        <w:rPr>
          <w:rFonts w:cs="Arial"/>
          <w:b/>
          <w:bCs/>
        </w:rPr>
        <w:t xml:space="preserve">Care </w:t>
      </w:r>
      <w:r>
        <w:rPr>
          <w:rFonts w:cs="Arial"/>
          <w:b/>
          <w:bCs/>
        </w:rPr>
        <w:t>Equity Bibliography</w:t>
      </w:r>
      <w:r w:rsidR="006E26E4">
        <w:rPr>
          <w:rFonts w:cs="Arial"/>
          <w:b/>
          <w:bCs/>
        </w:rPr>
        <w:t xml:space="preserve"> and Fact Sheet</w:t>
      </w:r>
      <w:r>
        <w:rPr>
          <w:rFonts w:cs="Arial"/>
          <w:b/>
          <w:bCs/>
        </w:rPr>
        <w:t>:</w:t>
      </w:r>
    </w:p>
    <w:p w14:paraId="64A88BFD" w14:textId="109359FC" w:rsidR="00746388" w:rsidRDefault="00D414C3" w:rsidP="00C45BCF">
      <w:hyperlink r:id="rId101" w:history="1">
        <w:r w:rsidRPr="00A2752F">
          <w:rPr>
            <w:rStyle w:val="Hyperlink"/>
          </w:rPr>
          <w:t>https://ratings.leapfroggroup.org/measure/hospital/2026/health-care-equity</w:t>
        </w:r>
      </w:hyperlink>
    </w:p>
    <w:p w14:paraId="07B81A59" w14:textId="77777777" w:rsidR="00D414C3" w:rsidRDefault="00D414C3" w:rsidP="00C45BCF"/>
    <w:p w14:paraId="0669DFB7" w14:textId="1BD84028" w:rsidR="00C45BCF" w:rsidRDefault="006B676B" w:rsidP="006E7AFA">
      <w:r w:rsidRPr="007D0C84">
        <w:rPr>
          <w:b/>
          <w:bCs/>
        </w:rPr>
        <w:t xml:space="preserve">Informed Consent Bibliography and Fact Sheet: </w:t>
      </w:r>
      <w:hyperlink r:id="rId102" w:history="1">
        <w:r w:rsidR="00D414C3" w:rsidRPr="00A2752F">
          <w:rPr>
            <w:rStyle w:val="Hyperlink"/>
          </w:rPr>
          <w:t>https://ratings.leapfroggroup.org/measure/hospital/2026/informed-consent</w:t>
        </w:r>
      </w:hyperlink>
    </w:p>
    <w:p w14:paraId="6DA12FB0" w14:textId="77777777" w:rsidR="00D414C3" w:rsidRPr="00AA4A4D" w:rsidRDefault="00D414C3" w:rsidP="006E7AFA">
      <w:pPr>
        <w:rPr>
          <w:rFonts w:cs="Arial"/>
        </w:rPr>
      </w:pPr>
    </w:p>
    <w:p w14:paraId="0C06804C" w14:textId="4E037BF8" w:rsidR="00A73A06" w:rsidRDefault="00A73A06" w:rsidP="00A604CC">
      <w:pPr>
        <w:rPr>
          <w:rFonts w:cs="Arial"/>
          <w:snapToGrid w:val="0"/>
        </w:rPr>
      </w:pPr>
      <w:r w:rsidRPr="009A5185">
        <w:rPr>
          <w:rFonts w:cs="Arial"/>
          <w:snapToGrid w:val="0"/>
        </w:rPr>
        <w:t xml:space="preserve">Section 1 includes questions about your hospital’s </w:t>
      </w:r>
      <w:r>
        <w:rPr>
          <w:rFonts w:cs="Arial"/>
          <w:snapToGrid w:val="0"/>
        </w:rPr>
        <w:t xml:space="preserve">billing ethics, health care equity, and informed consent processes. This section also includes questions on your </w:t>
      </w:r>
      <w:r w:rsidR="004D1420">
        <w:rPr>
          <w:rFonts w:cs="Arial"/>
          <w:snapToGrid w:val="0"/>
        </w:rPr>
        <w:t>hospital</w:t>
      </w:r>
      <w:r>
        <w:rPr>
          <w:rFonts w:cs="Arial"/>
          <w:snapToGrid w:val="0"/>
        </w:rPr>
        <w:t xml:space="preserve"> bed size, admissions, ICUs, and teaching status.</w:t>
      </w:r>
    </w:p>
    <w:p w14:paraId="71427646" w14:textId="77777777" w:rsidR="00652583" w:rsidRDefault="00652583" w:rsidP="00A604CC">
      <w:pPr>
        <w:rPr>
          <w:rFonts w:cs="Arial"/>
          <w:snapToGrid w:val="0"/>
        </w:rPr>
      </w:pPr>
    </w:p>
    <w:p w14:paraId="3C72584C" w14:textId="77777777" w:rsidR="00A604CC" w:rsidRDefault="00A604CC" w:rsidP="00A604CC">
      <w:pPr>
        <w:rPr>
          <w:rFonts w:cs="Arial"/>
          <w:b/>
          <w:bCs/>
          <w:snapToGrid w:val="0"/>
        </w:rPr>
      </w:pPr>
      <w:r>
        <w:rPr>
          <w:rFonts w:cs="Arial"/>
          <w:b/>
          <w:bCs/>
          <w:snapToGrid w:val="0"/>
        </w:rPr>
        <w:t>Each hospital achieving the standard for Billing Ethics:</w:t>
      </w:r>
    </w:p>
    <w:p w14:paraId="151B0A0E" w14:textId="3CA84CE1" w:rsidR="00A604CC" w:rsidRDefault="00A604CC" w:rsidP="00AD309C">
      <w:pPr>
        <w:pStyle w:val="ListParagraph"/>
        <w:numPr>
          <w:ilvl w:val="0"/>
          <w:numId w:val="157"/>
        </w:numPr>
        <w:rPr>
          <w:rFonts w:cstheme="minorHAnsi"/>
          <w:b/>
          <w:bCs/>
        </w:rPr>
      </w:pPr>
      <w:r>
        <w:rPr>
          <w:rFonts w:cstheme="minorHAnsi"/>
        </w:rPr>
        <w:t xml:space="preserve">Provides every patient with a billing statement within </w:t>
      </w:r>
      <w:r w:rsidR="00B271D0">
        <w:rPr>
          <w:rFonts w:cstheme="minorHAnsi"/>
        </w:rPr>
        <w:t>3</w:t>
      </w:r>
      <w:r>
        <w:rPr>
          <w:rFonts w:cstheme="minorHAnsi"/>
        </w:rPr>
        <w:t xml:space="preserve">0 days </w:t>
      </w:r>
      <w:r w:rsidR="00B271D0">
        <w:rPr>
          <w:rFonts w:cstheme="minorHAnsi"/>
        </w:rPr>
        <w:t xml:space="preserve">after final claims adjudication </w:t>
      </w:r>
      <w:r>
        <w:rPr>
          <w:rFonts w:cstheme="minorHAnsi"/>
        </w:rPr>
        <w:t xml:space="preserve">that includes </w:t>
      </w:r>
      <w:r w:rsidR="00B271D0">
        <w:rPr>
          <w:rFonts w:cstheme="minorHAnsi"/>
        </w:rPr>
        <w:t>all 10 required elements listed in question #1</w:t>
      </w:r>
      <w:r w:rsidR="00107E6F">
        <w:rPr>
          <w:rFonts w:cstheme="minorHAnsi"/>
        </w:rPr>
        <w:t>,</w:t>
      </w:r>
      <w:r>
        <w:rPr>
          <w:rFonts w:cstheme="minorHAnsi"/>
        </w:rPr>
        <w:t xml:space="preserve"> </w:t>
      </w:r>
      <w:r>
        <w:rPr>
          <w:rFonts w:cstheme="minorHAnsi"/>
          <w:b/>
          <w:bCs/>
        </w:rPr>
        <w:t>and</w:t>
      </w:r>
    </w:p>
    <w:p w14:paraId="495D7B73" w14:textId="4B71C0E3" w:rsidR="00A604CC" w:rsidRPr="002B7CF9" w:rsidRDefault="00A604CC" w:rsidP="00AD309C">
      <w:pPr>
        <w:pStyle w:val="ListParagraph"/>
        <w:numPr>
          <w:ilvl w:val="0"/>
          <w:numId w:val="157"/>
        </w:numPr>
        <w:rPr>
          <w:rFonts w:cstheme="minorHAnsi"/>
        </w:rPr>
      </w:pPr>
      <w:r>
        <w:rPr>
          <w:rFonts w:cstheme="minorHAnsi"/>
        </w:rPr>
        <w:t xml:space="preserve">Gives patients instructions for contacting a billing representative </w:t>
      </w:r>
      <w:r w:rsidR="00665559">
        <w:rPr>
          <w:rFonts w:cstheme="minorHAnsi"/>
        </w:rPr>
        <w:t>with</w:t>
      </w:r>
      <w:r w:rsidR="00136CE3">
        <w:rPr>
          <w:rFonts w:cstheme="minorHAnsi"/>
        </w:rPr>
        <w:t xml:space="preserve"> access </w:t>
      </w:r>
      <w:r w:rsidR="00665559">
        <w:rPr>
          <w:rFonts w:cstheme="minorHAnsi"/>
        </w:rPr>
        <w:t xml:space="preserve">to </w:t>
      </w:r>
      <w:r w:rsidR="00136CE3">
        <w:rPr>
          <w:rFonts w:cstheme="minorHAnsi"/>
        </w:rPr>
        <w:t>an interpretation service to communicate in the patient’s preferred language and</w:t>
      </w:r>
      <w:r>
        <w:rPr>
          <w:rFonts w:cstheme="minorHAnsi"/>
        </w:rPr>
        <w:t xml:space="preserve"> has the authority to </w:t>
      </w:r>
      <w:r w:rsidR="00A67D60">
        <w:rPr>
          <w:rFonts w:cstheme="minorHAnsi"/>
        </w:rPr>
        <w:t>do all three required elements in question #2</w:t>
      </w:r>
      <w:r w:rsidR="00D57961">
        <w:rPr>
          <w:rFonts w:cstheme="minorHAnsi"/>
        </w:rPr>
        <w:t xml:space="preserve"> within ten business days</w:t>
      </w:r>
      <w:r w:rsidR="00C90EB9">
        <w:rPr>
          <w:rFonts w:cstheme="minorHAnsi"/>
        </w:rPr>
        <w:t>,</w:t>
      </w:r>
      <w:r w:rsidR="00C90EB9" w:rsidRPr="002B7CF9" w:rsidDel="00C90EB9">
        <w:rPr>
          <w:rFonts w:cstheme="minorHAnsi"/>
        </w:rPr>
        <w:t xml:space="preserve"> </w:t>
      </w:r>
      <w:r w:rsidRPr="002B7CF9">
        <w:rPr>
          <w:rFonts w:cstheme="minorHAnsi"/>
          <w:b/>
          <w:bCs/>
        </w:rPr>
        <w:t>and</w:t>
      </w:r>
    </w:p>
    <w:p w14:paraId="6414FB67" w14:textId="56C56055" w:rsidR="001A403A" w:rsidRPr="00E317D4" w:rsidRDefault="00A604CC" w:rsidP="00AD309C">
      <w:pPr>
        <w:pStyle w:val="ListParagraph"/>
        <w:numPr>
          <w:ilvl w:val="0"/>
          <w:numId w:val="157"/>
        </w:numPr>
        <w:spacing w:after="120" w:line="264" w:lineRule="auto"/>
        <w:rPr>
          <w:rFonts w:cs="Arial"/>
          <w:snapToGrid w:val="0"/>
        </w:rPr>
      </w:pPr>
      <w:r>
        <w:rPr>
          <w:rFonts w:cstheme="minorHAnsi"/>
        </w:rPr>
        <w:t>Does NOT take legal action against patients for late or insufficient payment</w:t>
      </w:r>
      <w:r w:rsidR="00123F43">
        <w:rPr>
          <w:rFonts w:cstheme="minorHAnsi"/>
        </w:rPr>
        <w:t>.</w:t>
      </w:r>
    </w:p>
    <w:p w14:paraId="1DC93C4B" w14:textId="6E893D19" w:rsidR="00A35DD6" w:rsidRDefault="00A35DD6" w:rsidP="00A35DD6">
      <w:pPr>
        <w:spacing w:after="120" w:line="264" w:lineRule="auto"/>
        <w:rPr>
          <w:rFonts w:cs="Arial"/>
          <w:b/>
          <w:bCs/>
        </w:rPr>
      </w:pPr>
      <w:r w:rsidRPr="004D1420">
        <w:rPr>
          <w:rFonts w:cs="Arial"/>
          <w:b/>
          <w:bCs/>
        </w:rPr>
        <w:t xml:space="preserve">Each hospital achieving the standard for </w:t>
      </w:r>
      <w:r>
        <w:rPr>
          <w:rFonts w:cs="Arial"/>
          <w:b/>
          <w:bCs/>
        </w:rPr>
        <w:t xml:space="preserve">Health </w:t>
      </w:r>
      <w:r w:rsidR="004705EA">
        <w:rPr>
          <w:rFonts w:cs="Arial"/>
          <w:b/>
          <w:bCs/>
        </w:rPr>
        <w:t xml:space="preserve">Care </w:t>
      </w:r>
      <w:r>
        <w:rPr>
          <w:rFonts w:cs="Arial"/>
          <w:b/>
          <w:bCs/>
        </w:rPr>
        <w:t>Equity:</w:t>
      </w:r>
    </w:p>
    <w:p w14:paraId="1736296C" w14:textId="091C4997" w:rsidR="004705EA" w:rsidRPr="0029141C" w:rsidRDefault="004705EA" w:rsidP="00AD309C">
      <w:pPr>
        <w:pStyle w:val="ListParagraph"/>
        <w:numPr>
          <w:ilvl w:val="0"/>
          <w:numId w:val="305"/>
        </w:numPr>
        <w:spacing w:after="120" w:line="264" w:lineRule="auto"/>
        <w:rPr>
          <w:rFonts w:cs="Arial"/>
          <w:snapToGrid w:val="0"/>
        </w:rPr>
      </w:pPr>
      <w:r>
        <w:rPr>
          <w:rFonts w:cs="Arial"/>
          <w:snapToGrid w:val="0"/>
        </w:rPr>
        <w:t xml:space="preserve">Collects </w:t>
      </w:r>
      <w:r>
        <w:t>patient self-</w:t>
      </w:r>
      <w:r w:rsidR="00132671">
        <w:t>identified</w:t>
      </w:r>
      <w:r>
        <w:t xml:space="preserve"> </w:t>
      </w:r>
      <w:r w:rsidRPr="004D1420">
        <w:t>race</w:t>
      </w:r>
      <w:r w:rsidRPr="00A73A06">
        <w:t xml:space="preserve">, </w:t>
      </w:r>
      <w:r w:rsidRPr="004D1420">
        <w:t>ethnicity</w:t>
      </w:r>
      <w:r w:rsidRPr="00A73A06">
        <w:t xml:space="preserve">, </w:t>
      </w:r>
      <w:r w:rsidRPr="004D1420">
        <w:rPr>
          <w:u w:val="single"/>
        </w:rPr>
        <w:t>and</w:t>
      </w:r>
      <w:r w:rsidRPr="00A73A06">
        <w:t xml:space="preserve"> </w:t>
      </w:r>
      <w:r w:rsidRPr="004D1420">
        <w:t>preferred written and/or spoken language</w:t>
      </w:r>
      <w:r>
        <w:t xml:space="preserve"> </w:t>
      </w:r>
      <w:r w:rsidRPr="009F6BEA">
        <w:t>data</w:t>
      </w:r>
      <w:r>
        <w:t xml:space="preserve">, </w:t>
      </w:r>
      <w:r w:rsidRPr="0029141C">
        <w:rPr>
          <w:b/>
          <w:bCs/>
        </w:rPr>
        <w:t>and</w:t>
      </w:r>
    </w:p>
    <w:p w14:paraId="13DFD161" w14:textId="57123386" w:rsidR="004705EA" w:rsidRPr="0029141C" w:rsidRDefault="004705EA" w:rsidP="00AD309C">
      <w:pPr>
        <w:pStyle w:val="ListParagraph"/>
        <w:numPr>
          <w:ilvl w:val="0"/>
          <w:numId w:val="305"/>
        </w:numPr>
        <w:spacing w:after="120" w:line="264" w:lineRule="auto"/>
        <w:rPr>
          <w:rFonts w:cs="Arial"/>
          <w:snapToGrid w:val="0"/>
        </w:rPr>
      </w:pPr>
      <w:r>
        <w:t xml:space="preserve">Trains staff responsible for </w:t>
      </w:r>
      <w:r w:rsidR="00BC7F6E">
        <w:t xml:space="preserve">collecting </w:t>
      </w:r>
      <w:r w:rsidR="0088543D">
        <w:t xml:space="preserve">self-identified demographic </w:t>
      </w:r>
      <w:r w:rsidR="00BC7F6E">
        <w:t>data from patients</w:t>
      </w:r>
      <w:r>
        <w:t xml:space="preserve">, </w:t>
      </w:r>
      <w:r w:rsidRPr="0029141C">
        <w:rPr>
          <w:b/>
          <w:bCs/>
        </w:rPr>
        <w:t>and</w:t>
      </w:r>
    </w:p>
    <w:p w14:paraId="0C70321C" w14:textId="1D3FCCF8" w:rsidR="004705EA" w:rsidRPr="0029141C" w:rsidRDefault="004705EA" w:rsidP="00AD309C">
      <w:pPr>
        <w:pStyle w:val="ListParagraph"/>
        <w:numPr>
          <w:ilvl w:val="0"/>
          <w:numId w:val="305"/>
        </w:numPr>
        <w:spacing w:after="120" w:line="264" w:lineRule="auto"/>
        <w:rPr>
          <w:rFonts w:cs="Arial"/>
          <w:snapToGrid w:val="0"/>
        </w:rPr>
      </w:pPr>
      <w:r w:rsidRPr="00CE475C">
        <w:rPr>
          <w:rFonts w:cs="Arial"/>
          <w:snapToGrid w:val="0"/>
        </w:rPr>
        <w:t>Uses the patient self-</w:t>
      </w:r>
      <w:r w:rsidR="0088543D">
        <w:rPr>
          <w:rFonts w:cs="Arial"/>
          <w:snapToGrid w:val="0"/>
        </w:rPr>
        <w:t>identified</w:t>
      </w:r>
      <w:r w:rsidR="0088543D" w:rsidRPr="00CE475C">
        <w:rPr>
          <w:rFonts w:cs="Arial"/>
          <w:snapToGrid w:val="0"/>
        </w:rPr>
        <w:t xml:space="preserve"> </w:t>
      </w:r>
      <w:r w:rsidRPr="00CE475C">
        <w:rPr>
          <w:rFonts w:cs="Arial"/>
          <w:snapToGrid w:val="0"/>
        </w:rPr>
        <w:t>demographic data to stratify at least one quality measure</w:t>
      </w:r>
      <w:r>
        <w:rPr>
          <w:rFonts w:cs="Arial"/>
          <w:snapToGrid w:val="0"/>
        </w:rPr>
        <w:t xml:space="preserve">, </w:t>
      </w:r>
      <w:r w:rsidRPr="0029141C">
        <w:rPr>
          <w:rFonts w:cs="Arial"/>
          <w:b/>
          <w:bCs/>
          <w:snapToGrid w:val="0"/>
        </w:rPr>
        <w:t>and</w:t>
      </w:r>
    </w:p>
    <w:p w14:paraId="473F14AB" w14:textId="33A718E4" w:rsidR="004705EA" w:rsidRPr="0029141C" w:rsidRDefault="004705EA" w:rsidP="00AD309C">
      <w:pPr>
        <w:pStyle w:val="ListParagraph"/>
        <w:numPr>
          <w:ilvl w:val="0"/>
          <w:numId w:val="305"/>
        </w:numPr>
        <w:spacing w:after="120" w:line="264" w:lineRule="auto"/>
        <w:rPr>
          <w:rFonts w:cs="Arial"/>
          <w:snapToGrid w:val="0"/>
        </w:rPr>
      </w:pPr>
      <w:r w:rsidRPr="00B47C04">
        <w:t>If disparities were identified</w:t>
      </w:r>
      <w:r>
        <w:t xml:space="preserve">, has </w:t>
      </w:r>
      <w:r w:rsidR="0088543D">
        <w:t xml:space="preserve">an </w:t>
      </w:r>
      <w:r>
        <w:t xml:space="preserve">updated </w:t>
      </w:r>
      <w:r w:rsidR="0088543D">
        <w:t xml:space="preserve">or revised </w:t>
      </w:r>
      <w:r>
        <w:t xml:space="preserve">policy or procedure to address the disparity or </w:t>
      </w:r>
      <w:r w:rsidR="008B1AFC">
        <w:t xml:space="preserve">has </w:t>
      </w:r>
      <w:r>
        <w:t xml:space="preserve">developed a written action plan, </w:t>
      </w:r>
      <w:r w:rsidRPr="0029141C">
        <w:rPr>
          <w:b/>
          <w:bCs/>
        </w:rPr>
        <w:t>and</w:t>
      </w:r>
    </w:p>
    <w:p w14:paraId="5A08BC4F" w14:textId="2540B0AB" w:rsidR="004705EA" w:rsidRPr="0029141C" w:rsidRDefault="004705EA" w:rsidP="00AD309C">
      <w:pPr>
        <w:pStyle w:val="ListParagraph"/>
        <w:numPr>
          <w:ilvl w:val="0"/>
          <w:numId w:val="305"/>
        </w:numPr>
        <w:spacing w:after="120" w:line="264" w:lineRule="auto"/>
        <w:rPr>
          <w:rFonts w:cs="Arial"/>
          <w:snapToGrid w:val="0"/>
        </w:rPr>
      </w:pPr>
      <w:r>
        <w:t xml:space="preserve">Shares information about efforts to identify and reduce health care disparities on its </w:t>
      </w:r>
      <w:r w:rsidR="0088543D">
        <w:t xml:space="preserve">public </w:t>
      </w:r>
      <w:r>
        <w:t xml:space="preserve">website, </w:t>
      </w:r>
      <w:r w:rsidRPr="0029141C">
        <w:rPr>
          <w:b/>
          <w:bCs/>
        </w:rPr>
        <w:t>and</w:t>
      </w:r>
    </w:p>
    <w:p w14:paraId="1C2D1AE3" w14:textId="2C72B1A7" w:rsidR="004705EA" w:rsidRPr="00CE475C" w:rsidRDefault="004705EA" w:rsidP="00AD309C">
      <w:pPr>
        <w:pStyle w:val="ListParagraph"/>
        <w:numPr>
          <w:ilvl w:val="0"/>
          <w:numId w:val="305"/>
        </w:numPr>
        <w:spacing w:after="120" w:line="264" w:lineRule="auto"/>
        <w:rPr>
          <w:rFonts w:cs="Arial"/>
          <w:snapToGrid w:val="0"/>
        </w:rPr>
      </w:pPr>
      <w:r w:rsidRPr="00B85091">
        <w:rPr>
          <w:rFonts w:cs="Arial"/>
          <w:snapToGrid w:val="0"/>
        </w:rPr>
        <w:t xml:space="preserve">Reports out and discusses efforts to </w:t>
      </w:r>
      <w:r w:rsidR="00396695">
        <w:rPr>
          <w:rFonts w:cs="Arial"/>
          <w:snapToGrid w:val="0"/>
        </w:rPr>
        <w:t xml:space="preserve">identify and address </w:t>
      </w:r>
      <w:r w:rsidRPr="00B85091">
        <w:rPr>
          <w:rFonts w:cs="Arial"/>
          <w:snapToGrid w:val="0"/>
        </w:rPr>
        <w:t>health care disparities with the board</w:t>
      </w:r>
      <w:r>
        <w:rPr>
          <w:rFonts w:cs="Arial"/>
          <w:snapToGrid w:val="0"/>
        </w:rPr>
        <w:t>.</w:t>
      </w:r>
    </w:p>
    <w:p w14:paraId="349B098F" w14:textId="099AFE1F" w:rsidR="001A403A" w:rsidRPr="007D0C84" w:rsidRDefault="001A403A" w:rsidP="001A403A">
      <w:pPr>
        <w:spacing w:after="120" w:line="264" w:lineRule="auto"/>
        <w:rPr>
          <w:rFonts w:cs="Arial"/>
          <w:b/>
          <w:bCs/>
        </w:rPr>
      </w:pPr>
      <w:r w:rsidRPr="007D0C84">
        <w:rPr>
          <w:rFonts w:cs="Arial"/>
          <w:b/>
          <w:bCs/>
        </w:rPr>
        <w:t xml:space="preserve">Each hospital achieving the standard for Informed Consent: </w:t>
      </w:r>
    </w:p>
    <w:p w14:paraId="6E7A9DC8" w14:textId="2E9828EF" w:rsidR="00C90EB9" w:rsidRPr="004D1420" w:rsidRDefault="00C90EB9" w:rsidP="00AD309C">
      <w:pPr>
        <w:pStyle w:val="ListParagraph"/>
        <w:numPr>
          <w:ilvl w:val="0"/>
          <w:numId w:val="183"/>
        </w:numPr>
        <w:spacing w:after="120" w:line="264" w:lineRule="auto"/>
        <w:rPr>
          <w:rFonts w:cs="Arial"/>
        </w:rPr>
      </w:pPr>
      <w:r>
        <w:rPr>
          <w:rFonts w:cs="Arial"/>
        </w:rPr>
        <w:t>Has</w:t>
      </w:r>
      <w:r w:rsidRPr="00867D7C">
        <w:rPr>
          <w:rFonts w:cs="Arial"/>
        </w:rPr>
        <w:t xml:space="preserve"> a training program on informed consent that tailors different training topics to different staff </w:t>
      </w:r>
      <w:r w:rsidR="00875FBD" w:rsidRPr="00867D7C">
        <w:rPr>
          <w:rFonts w:cs="Arial"/>
        </w:rPr>
        <w:t>role</w:t>
      </w:r>
      <w:r w:rsidR="00875FBD">
        <w:rPr>
          <w:rFonts w:cs="Arial"/>
        </w:rPr>
        <w:t>s</w:t>
      </w:r>
      <w:r w:rsidR="00875FBD" w:rsidRPr="00867D7C">
        <w:rPr>
          <w:rFonts w:cs="Arial"/>
        </w:rPr>
        <w:t xml:space="preserve"> and</w:t>
      </w:r>
      <w:r>
        <w:rPr>
          <w:rFonts w:cs="Arial"/>
        </w:rPr>
        <w:t xml:space="preserve"> has made the training required for newly hired staff and existing staff who were not trained</w:t>
      </w:r>
      <w:r w:rsidR="00123F43">
        <w:rPr>
          <w:rFonts w:cs="Arial"/>
        </w:rPr>
        <w:t>,</w:t>
      </w:r>
      <w:r w:rsidR="00E51B54">
        <w:rPr>
          <w:rFonts w:cs="Arial"/>
        </w:rPr>
        <w:t xml:space="preserve"> </w:t>
      </w:r>
      <w:r w:rsidR="00E51B54" w:rsidRPr="00E51B54">
        <w:rPr>
          <w:rFonts w:cs="Arial"/>
          <w:b/>
          <w:bCs/>
        </w:rPr>
        <w:t>and</w:t>
      </w:r>
    </w:p>
    <w:p w14:paraId="7103E2C3" w14:textId="588B0D81" w:rsidR="00C90EB9" w:rsidRPr="0028615C" w:rsidRDefault="00C90EB9" w:rsidP="00AD309C">
      <w:pPr>
        <w:pStyle w:val="ListParagraph"/>
        <w:numPr>
          <w:ilvl w:val="0"/>
          <w:numId w:val="183"/>
        </w:numPr>
        <w:spacing w:after="120" w:line="264" w:lineRule="auto"/>
        <w:rPr>
          <w:rFonts w:cs="Arial"/>
          <w:snapToGrid w:val="0"/>
        </w:rPr>
      </w:pPr>
      <w:r>
        <w:rPr>
          <w:rFonts w:cs="Arial"/>
        </w:rPr>
        <w:t xml:space="preserve">Ensures that as part of the process for obtaining informed consent, clinicians explain </w:t>
      </w:r>
      <w:r w:rsidRPr="00424ABC">
        <w:rPr>
          <w:rFonts w:cs="Arial"/>
        </w:rPr>
        <w:t>expected difficulties, recovery time, pain management, and restrictions after a procedure</w:t>
      </w:r>
      <w:r>
        <w:rPr>
          <w:rFonts w:cs="Arial"/>
        </w:rPr>
        <w:t>, and give the patient an opportunity to ask questions</w:t>
      </w:r>
      <w:r w:rsidR="00E51B54">
        <w:rPr>
          <w:rFonts w:cs="Arial"/>
        </w:rPr>
        <w:t xml:space="preserve">, </w:t>
      </w:r>
      <w:r w:rsidR="00E51B54" w:rsidRPr="00E51B54">
        <w:rPr>
          <w:rFonts w:cs="Arial"/>
          <w:b/>
          <w:bCs/>
        </w:rPr>
        <w:t>and</w:t>
      </w:r>
    </w:p>
    <w:p w14:paraId="03D5189F" w14:textId="1DFCAFDB" w:rsidR="00E557EF" w:rsidRDefault="00C90EB9" w:rsidP="00AD309C">
      <w:pPr>
        <w:pStyle w:val="ListParagraph"/>
        <w:numPr>
          <w:ilvl w:val="0"/>
          <w:numId w:val="183"/>
        </w:numPr>
        <w:spacing w:after="120" w:line="264" w:lineRule="auto"/>
        <w:rPr>
          <w:rFonts w:cs="Arial"/>
          <w:snapToGrid w:val="0"/>
        </w:rPr>
      </w:pPr>
      <w:r>
        <w:rPr>
          <w:rFonts w:cs="Arial"/>
          <w:snapToGrid w:val="0"/>
        </w:rPr>
        <w:t>Ensures</w:t>
      </w:r>
      <w:r w:rsidR="0009408D">
        <w:rPr>
          <w:rFonts w:cs="Arial"/>
          <w:snapToGrid w:val="0"/>
        </w:rPr>
        <w:t xml:space="preserve"> </w:t>
      </w:r>
      <w:r w:rsidR="00E65788">
        <w:rPr>
          <w:rFonts w:cs="Arial"/>
          <w:snapToGrid w:val="0"/>
        </w:rPr>
        <w:t xml:space="preserve">every </w:t>
      </w:r>
      <w:r w:rsidR="0009408D">
        <w:rPr>
          <w:rFonts w:cs="Arial"/>
          <w:snapToGrid w:val="0"/>
        </w:rPr>
        <w:t>applicable</w:t>
      </w:r>
      <w:r>
        <w:rPr>
          <w:rFonts w:cs="Arial"/>
          <w:snapToGrid w:val="0"/>
        </w:rPr>
        <w:t xml:space="preserve"> consent form used by the hospital includ</w:t>
      </w:r>
      <w:r w:rsidR="00875FBD">
        <w:rPr>
          <w:rFonts w:cs="Arial"/>
          <w:snapToGrid w:val="0"/>
        </w:rPr>
        <w:t>es</w:t>
      </w:r>
      <w:r>
        <w:rPr>
          <w:rFonts w:cs="Arial"/>
          <w:snapToGrid w:val="0"/>
        </w:rPr>
        <w:t xml:space="preserve"> the name of the clinician performing the procedure, whether the clinician is expected to be absent, and whether any assistants or traine</w:t>
      </w:r>
      <w:r w:rsidR="00B95AAC">
        <w:rPr>
          <w:rFonts w:cs="Arial"/>
          <w:snapToGrid w:val="0"/>
        </w:rPr>
        <w:t>e</w:t>
      </w:r>
      <w:r>
        <w:rPr>
          <w:rFonts w:cs="Arial"/>
          <w:snapToGrid w:val="0"/>
        </w:rPr>
        <w:t>s will be involved</w:t>
      </w:r>
      <w:r w:rsidR="00E51B54">
        <w:rPr>
          <w:rFonts w:cs="Arial"/>
          <w:snapToGrid w:val="0"/>
        </w:rPr>
        <w:t xml:space="preserve">, </w:t>
      </w:r>
      <w:r w:rsidR="00E51B54" w:rsidRPr="00E51B54">
        <w:rPr>
          <w:rFonts w:cs="Arial"/>
          <w:b/>
          <w:bCs/>
          <w:snapToGrid w:val="0"/>
        </w:rPr>
        <w:t>and</w:t>
      </w:r>
    </w:p>
    <w:p w14:paraId="3D1F3C44" w14:textId="318964C0" w:rsidR="00C90EB9" w:rsidRPr="00302621" w:rsidRDefault="00E557EF" w:rsidP="00AD309C">
      <w:pPr>
        <w:pStyle w:val="ListParagraph"/>
        <w:numPr>
          <w:ilvl w:val="0"/>
          <w:numId w:val="183"/>
        </w:numPr>
        <w:spacing w:after="120" w:line="264" w:lineRule="auto"/>
        <w:rPr>
          <w:rFonts w:cs="Arial"/>
          <w:snapToGrid w:val="0"/>
        </w:rPr>
      </w:pPr>
      <w:r>
        <w:rPr>
          <w:rFonts w:cs="Arial"/>
          <w:snapToGrid w:val="0"/>
        </w:rPr>
        <w:t xml:space="preserve">Ensures every </w:t>
      </w:r>
      <w:r w:rsidR="00D57961">
        <w:rPr>
          <w:rFonts w:cs="Arial"/>
          <w:snapToGrid w:val="0"/>
        </w:rPr>
        <w:t xml:space="preserve">applicable </w:t>
      </w:r>
      <w:r>
        <w:rPr>
          <w:rFonts w:cs="Arial"/>
          <w:snapToGrid w:val="0"/>
        </w:rPr>
        <w:t>consent form</w:t>
      </w:r>
      <w:r w:rsidR="004E4096">
        <w:rPr>
          <w:rFonts w:cs="Arial"/>
          <w:snapToGrid w:val="0"/>
        </w:rPr>
        <w:t xml:space="preserve"> </w:t>
      </w:r>
      <w:r w:rsidR="00C90EB9">
        <w:rPr>
          <w:rFonts w:cs="Arial"/>
          <w:snapToGrid w:val="0"/>
        </w:rPr>
        <w:t>is written at a 6</w:t>
      </w:r>
      <w:r w:rsidR="00C90EB9" w:rsidRPr="0028615C">
        <w:rPr>
          <w:rFonts w:cs="Arial"/>
          <w:snapToGrid w:val="0"/>
          <w:vertAlign w:val="superscript"/>
        </w:rPr>
        <w:t>th</w:t>
      </w:r>
      <w:r w:rsidR="007D2419">
        <w:rPr>
          <w:rFonts w:cs="Arial"/>
          <w:snapToGrid w:val="0"/>
        </w:rPr>
        <w:t>-</w:t>
      </w:r>
      <w:r w:rsidR="00C90EB9">
        <w:rPr>
          <w:rFonts w:cs="Arial"/>
          <w:snapToGrid w:val="0"/>
        </w:rPr>
        <w:t>grade reading level or lower</w:t>
      </w:r>
      <w:r w:rsidR="00E51B54">
        <w:rPr>
          <w:rFonts w:cs="Arial"/>
          <w:snapToGrid w:val="0"/>
        </w:rPr>
        <w:t xml:space="preserve">, </w:t>
      </w:r>
      <w:r w:rsidR="00E51B54" w:rsidRPr="00E51B54">
        <w:rPr>
          <w:rFonts w:cs="Arial"/>
          <w:b/>
          <w:bCs/>
          <w:snapToGrid w:val="0"/>
        </w:rPr>
        <w:t>and</w:t>
      </w:r>
    </w:p>
    <w:p w14:paraId="7257C60E" w14:textId="759F7584" w:rsidR="00C90EB9" w:rsidRPr="0028615C" w:rsidRDefault="00C90EB9" w:rsidP="00AD309C">
      <w:pPr>
        <w:pStyle w:val="ListParagraph"/>
        <w:numPr>
          <w:ilvl w:val="0"/>
          <w:numId w:val="183"/>
        </w:numPr>
        <w:spacing w:after="120" w:line="264" w:lineRule="auto"/>
        <w:rPr>
          <w:rFonts w:cs="Arial"/>
          <w:snapToGrid w:val="0"/>
        </w:rPr>
      </w:pPr>
      <w:r>
        <w:rPr>
          <w:rFonts w:cs="Arial"/>
        </w:rPr>
        <w:t>Prior to conducting the informed consent discussion, identifies the patient/legal guardian’s preferred language and provides a medical interpreter, and has a place in the consent form that indicates whether an interpreter was used</w:t>
      </w:r>
      <w:r w:rsidR="00E51B54">
        <w:rPr>
          <w:rFonts w:cs="Arial"/>
        </w:rPr>
        <w:t xml:space="preserve">, </w:t>
      </w:r>
      <w:r w:rsidR="00E51B54" w:rsidRPr="00E51B54">
        <w:rPr>
          <w:rFonts w:cs="Arial"/>
          <w:b/>
          <w:bCs/>
        </w:rPr>
        <w:t>and</w:t>
      </w:r>
    </w:p>
    <w:p w14:paraId="3EB6EF74" w14:textId="27D92E72" w:rsidR="003A1CBA" w:rsidRPr="003A1CBA" w:rsidRDefault="00C90EB9" w:rsidP="00AD309C">
      <w:pPr>
        <w:pStyle w:val="ListParagraph"/>
        <w:numPr>
          <w:ilvl w:val="0"/>
          <w:numId w:val="183"/>
        </w:numPr>
        <w:spacing w:after="120" w:line="264" w:lineRule="auto"/>
        <w:rPr>
          <w:rFonts w:cs="Arial"/>
          <w:snapToGrid w:val="0"/>
        </w:rPr>
      </w:pPr>
      <w:r>
        <w:rPr>
          <w:rFonts w:cs="Arial"/>
        </w:rPr>
        <w:t>Requires clinicians at the hospital to use the “teach back method” with patients/legal guardians</w:t>
      </w:r>
      <w:r w:rsidR="00E51B54">
        <w:rPr>
          <w:rFonts w:cs="Arial"/>
        </w:rPr>
        <w:t>.</w:t>
      </w:r>
      <w:r w:rsidR="003A1CBA">
        <w:rPr>
          <w:rFonts w:cs="Arial"/>
        </w:rPr>
        <w:br/>
      </w:r>
    </w:p>
    <w:p w14:paraId="0B0D0E62" w14:textId="5B85652E" w:rsidR="003A1CBA" w:rsidRDefault="003A1CBA" w:rsidP="003A1CBA">
      <w:r w:rsidRPr="009A5185">
        <w:rPr>
          <w:rFonts w:cs="Arial"/>
          <w:b/>
        </w:rPr>
        <w:t xml:space="preserve">Download the </w:t>
      </w:r>
      <w:r>
        <w:rPr>
          <w:rFonts w:cs="Arial"/>
          <w:b/>
        </w:rPr>
        <w:t>202</w:t>
      </w:r>
      <w:r w:rsidR="00422C8E">
        <w:rPr>
          <w:rFonts w:cs="Arial"/>
          <w:b/>
        </w:rPr>
        <w:t>6</w:t>
      </w:r>
      <w:r w:rsidRPr="009A5185">
        <w:rPr>
          <w:rFonts w:cs="Arial"/>
          <w:b/>
        </w:rPr>
        <w:t xml:space="preserve"> Leapfrog Hospital Survey Scoring Algorithm on the </w:t>
      </w:r>
      <w:hyperlink r:id="rId103" w:history="1">
        <w:r w:rsidRPr="009A5185">
          <w:rPr>
            <w:rStyle w:val="Hyperlink"/>
            <w:rFonts w:cs="Arial"/>
            <w:b/>
          </w:rPr>
          <w:t>Scoring and Results webpage</w:t>
        </w:r>
      </w:hyperlink>
      <w:r w:rsidRPr="009A5185">
        <w:rPr>
          <w:rFonts w:cs="Arial"/>
          <w:b/>
        </w:rPr>
        <w:t>.</w:t>
      </w:r>
    </w:p>
    <w:p w14:paraId="4E45E83E" w14:textId="75A464AB" w:rsidR="008979F8" w:rsidRPr="003A1CBA" w:rsidRDefault="008979F8" w:rsidP="003A1CBA">
      <w:pPr>
        <w:spacing w:after="120" w:line="264" w:lineRule="auto"/>
        <w:rPr>
          <w:rFonts w:cs="Arial"/>
          <w:snapToGrid w:val="0"/>
        </w:rPr>
      </w:pPr>
      <w:r w:rsidRPr="003A1CBA">
        <w:rPr>
          <w:rFonts w:cs="Arial"/>
        </w:rPr>
        <w:br w:type="page"/>
      </w:r>
    </w:p>
    <w:p w14:paraId="641B8B43" w14:textId="5182FD33" w:rsidR="008979F8" w:rsidRDefault="000C2C54" w:rsidP="00CF5A6E">
      <w:pPr>
        <w:pStyle w:val="Heading2"/>
      </w:pPr>
      <w:bookmarkStart w:id="82" w:name="_1A:_Basic_Hospital"/>
      <w:bookmarkStart w:id="83" w:name="_Toc225877668"/>
      <w:bookmarkEnd w:id="82"/>
      <w:r w:rsidRPr="009A5185">
        <w:lastRenderedPageBreak/>
        <w:t>1</w:t>
      </w:r>
      <w:r>
        <w:t>A</w:t>
      </w:r>
      <w:r w:rsidRPr="009A5185">
        <w:t>: Basic Hospital Information</w:t>
      </w:r>
      <w:bookmarkEnd w:id="83"/>
    </w:p>
    <w:p w14:paraId="6CE17257" w14:textId="77777777" w:rsidR="000C2C54" w:rsidRPr="009A5185" w:rsidRDefault="000C2C54" w:rsidP="00950575">
      <w:pPr>
        <w:rPr>
          <w:rFonts w:cs="Arial"/>
          <w:b/>
        </w:rPr>
      </w:pPr>
    </w:p>
    <w:p w14:paraId="07366422" w14:textId="00B15FD0" w:rsidR="00A92A35" w:rsidRDefault="00A92A35" w:rsidP="00A92A35">
      <w:pPr>
        <w:rPr>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04" w:history="1">
        <w:r w:rsidRPr="009A5185">
          <w:rPr>
            <w:rStyle w:val="Hyperlink"/>
            <w:rFonts w:cs="Arial"/>
            <w:snapToGrid w:val="0"/>
          </w:rPr>
          <w:t>Leapfrog’s Multi-Campus Reporting Policy</w:t>
        </w:r>
      </w:hyperlink>
      <w:r w:rsidRPr="009A5185">
        <w:rPr>
          <w:rFonts w:cs="Arial"/>
          <w:snapToGrid w:val="0"/>
        </w:rPr>
        <w:t>.</w:t>
      </w:r>
    </w:p>
    <w:p w14:paraId="35D53AF8" w14:textId="77777777" w:rsidR="00F90768" w:rsidRDefault="00F90768" w:rsidP="00F90768">
      <w:pPr>
        <w:rPr>
          <w:rFonts w:cs="Arial"/>
          <w:snapToGrid w:val="0"/>
        </w:rPr>
      </w:pPr>
    </w:p>
    <w:p w14:paraId="504407FF" w14:textId="13CE64C6" w:rsidR="00F90768" w:rsidRPr="00D424F6" w:rsidRDefault="00AB64D7" w:rsidP="00F90768">
      <w:pPr>
        <w:rPr>
          <w:rFonts w:cs="Arial"/>
        </w:rPr>
      </w:pPr>
      <w:r w:rsidRPr="00873014">
        <w:rPr>
          <w:rFonts w:cs="Arial"/>
          <w:b/>
          <w:snapToGrid w:val="0"/>
          <w:color w:val="FF0000"/>
        </w:rPr>
        <w:t>Important Note:</w:t>
      </w:r>
      <w:r w:rsidR="00AB5E4D">
        <w:rPr>
          <w:rFonts w:cs="Arial"/>
          <w:b/>
          <w:bCs/>
          <w:snapToGrid w:val="0"/>
        </w:rPr>
        <w:t xml:space="preserve"> </w:t>
      </w:r>
      <w:r w:rsidR="00F90768">
        <w:rPr>
          <w:rFonts w:cs="Arial"/>
          <w:snapToGrid w:val="0"/>
        </w:rPr>
        <w:t>Only include units that were open for the entire reporting period and that remain currently open.</w:t>
      </w:r>
    </w:p>
    <w:p w14:paraId="7C7BC085" w14:textId="77777777" w:rsidR="00A92A35" w:rsidRDefault="00A92A35" w:rsidP="00950575">
      <w:pPr>
        <w:rPr>
          <w:rFonts w:cs="Arial"/>
          <w:b/>
        </w:rPr>
      </w:pPr>
    </w:p>
    <w:p w14:paraId="27F82307" w14:textId="27C48221" w:rsidR="00B07246" w:rsidRDefault="001B3383" w:rsidP="00B804CC">
      <w:pPr>
        <w:rPr>
          <w:rFonts w:cs="Arial"/>
          <w:snapToGrid w:val="0"/>
        </w:rPr>
      </w:pPr>
      <w:r w:rsidRPr="009A5185">
        <w:rPr>
          <w:rFonts w:cs="Arial"/>
          <w:b/>
        </w:rPr>
        <w:t xml:space="preserve">Specifications: </w:t>
      </w:r>
      <w:r w:rsidR="00D42B96" w:rsidRPr="009A5185">
        <w:rPr>
          <w:rFonts w:cs="Arial"/>
          <w:snapToGrid w:val="0"/>
        </w:rPr>
        <w:t xml:space="preserve">See </w:t>
      </w:r>
      <w:hyperlink w:anchor="_Basic_Hospital_Information_1" w:history="1">
        <w:r w:rsidR="00FA46D8" w:rsidRPr="00C8246A">
          <w:rPr>
            <w:rStyle w:val="Hyperlink"/>
            <w:b/>
            <w:bCs/>
            <w:i/>
            <w:iCs/>
          </w:rPr>
          <w:t>Basic Hospital Information Measure Specifications</w:t>
        </w:r>
      </w:hyperlink>
      <w:r w:rsidR="00D42B96" w:rsidRPr="009A5185">
        <w:rPr>
          <w:rFonts w:cs="Arial"/>
          <w:snapToGrid w:val="0"/>
        </w:rPr>
        <w:t xml:space="preserve"> in the Reference Information </w:t>
      </w:r>
      <w:r w:rsidR="00C86298">
        <w:rPr>
          <w:rFonts w:cs="Arial"/>
          <w:snapToGrid w:val="0"/>
        </w:rPr>
        <w:t xml:space="preserve">beginning </w:t>
      </w:r>
      <w:r w:rsidR="00D42B96" w:rsidRPr="00EE018B">
        <w:rPr>
          <w:rFonts w:cs="Arial"/>
          <w:snapToGrid w:val="0"/>
        </w:rPr>
        <w:t>on</w:t>
      </w:r>
      <w:r w:rsidR="001D310D">
        <w:rPr>
          <w:rFonts w:cs="Arial"/>
          <w:snapToGrid w:val="0"/>
        </w:rPr>
        <w:t xml:space="preserve"> page</w:t>
      </w:r>
      <w:r w:rsidR="00844805">
        <w:rPr>
          <w:rFonts w:cs="Arial"/>
          <w:snapToGrid w:val="0"/>
        </w:rPr>
        <w:t xml:space="preserve"> </w:t>
      </w:r>
      <w:r w:rsidR="009143AE">
        <w:rPr>
          <w:rFonts w:cs="Arial"/>
          <w:snapToGrid w:val="0"/>
        </w:rPr>
        <w:t>48</w:t>
      </w:r>
      <w:r w:rsidR="009A6DA1">
        <w:rPr>
          <w:rFonts w:cs="Arial"/>
          <w:snapToGrid w:val="0"/>
        </w:rPr>
        <w:t>.</w:t>
      </w:r>
    </w:p>
    <w:p w14:paraId="085E9EE2" w14:textId="77777777" w:rsidR="00872B0F" w:rsidRDefault="00872B0F" w:rsidP="00B804CC">
      <w:pPr>
        <w:rPr>
          <w:rFonts w:cs="Arial"/>
          <w:snapToGrid w:val="0"/>
        </w:rPr>
      </w:pPr>
    </w:p>
    <w:p w14:paraId="7CA88B41" w14:textId="2A491B8E" w:rsidR="00B07246" w:rsidRDefault="00872B0F" w:rsidP="00B804CC">
      <w:pPr>
        <w:rPr>
          <w:rFonts w:cs="Arial"/>
          <w:snapToGrid w:val="0"/>
        </w:rPr>
      </w:pPr>
      <w:r w:rsidRPr="00B07246">
        <w:rPr>
          <w:rFonts w:cs="Arial"/>
          <w:i/>
          <w:noProof/>
          <w:snapToGrid w:val="0"/>
        </w:rPr>
        <mc:AlternateContent>
          <mc:Choice Requires="wps">
            <w:drawing>
              <wp:inline distT="0" distB="0" distL="0" distR="0" wp14:anchorId="51B2DA78" wp14:editId="7DCB46F9">
                <wp:extent cx="6042991" cy="1462319"/>
                <wp:effectExtent l="0" t="0" r="15240" b="18415"/>
                <wp:docPr id="17" name="Text Box 17" descr="P1289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991" cy="1462319"/>
                        </a:xfrm>
                        <a:prstGeom prst="rect">
                          <a:avLst/>
                        </a:prstGeom>
                        <a:solidFill>
                          <a:srgbClr val="FFFFFF"/>
                        </a:solidFill>
                        <a:ln w="9525">
                          <a:solidFill>
                            <a:srgbClr val="FF0000"/>
                          </a:solidFill>
                          <a:miter lim="800000"/>
                          <a:headEnd/>
                          <a:tailEnd/>
                        </a:ln>
                      </wps:spPr>
                      <wps:txbx>
                        <w:txbxContent>
                          <w:p w14:paraId="71B31587" w14:textId="77777777" w:rsidR="00872B0F" w:rsidRPr="009A5185" w:rsidRDefault="00872B0F" w:rsidP="00872B0F">
                            <w:pPr>
                              <w:spacing w:before="40"/>
                              <w:rPr>
                                <w:rFonts w:cs="Arial"/>
                                <w:snapToGrid w:val="0"/>
                              </w:rPr>
                            </w:pPr>
                            <w:r w:rsidRPr="009A5185">
                              <w:rPr>
                                <w:rFonts w:cs="Arial"/>
                                <w:b/>
                                <w:snapToGrid w:val="0"/>
                              </w:rPr>
                              <w:t>Reporting Period: 12 months</w:t>
                            </w:r>
                          </w:p>
                          <w:p w14:paraId="7E4DC1F1" w14:textId="77777777" w:rsidR="00872B0F" w:rsidRPr="002E6DC2" w:rsidRDefault="00872B0F" w:rsidP="00AD309C">
                            <w:pPr>
                              <w:pStyle w:val="ListParagraph"/>
                              <w:numPr>
                                <w:ilvl w:val="0"/>
                                <w:numId w:val="39"/>
                              </w:numPr>
                              <w:rPr>
                                <w:rFonts w:cs="Arial"/>
                                <w:i/>
                                <w:snapToGrid w:val="0"/>
                              </w:rPr>
                            </w:pPr>
                            <w:r>
                              <w:rPr>
                                <w:rFonts w:cs="Arial"/>
                                <w:snapToGrid w:val="0"/>
                              </w:rPr>
                              <w:t>Surveys submitted prior to September 1:</w:t>
                            </w:r>
                          </w:p>
                          <w:p w14:paraId="08163BF5" w14:textId="718DD3A2" w:rsidR="00872B0F" w:rsidRPr="009A5185" w:rsidRDefault="00872B0F" w:rsidP="00AD309C">
                            <w:pPr>
                              <w:pStyle w:val="ListParagraph"/>
                              <w:numPr>
                                <w:ilvl w:val="1"/>
                                <w:numId w:val="39"/>
                              </w:numPr>
                              <w:rPr>
                                <w:rFonts w:cs="Arial"/>
                                <w:i/>
                                <w:snapToGrid w:val="0"/>
                              </w:rPr>
                            </w:pPr>
                            <w:r>
                              <w:rPr>
                                <w:rFonts w:cs="Arial"/>
                                <w:snapToGrid w:val="0"/>
                              </w:rPr>
                              <w:t>01/01/202</w:t>
                            </w:r>
                            <w:r w:rsidR="00C43F76">
                              <w:rPr>
                                <w:rFonts w:cs="Arial"/>
                                <w:snapToGrid w:val="0"/>
                              </w:rPr>
                              <w:t>5</w:t>
                            </w:r>
                            <w:r>
                              <w:rPr>
                                <w:rFonts w:cs="Arial"/>
                                <w:snapToGrid w:val="0"/>
                              </w:rPr>
                              <w:t xml:space="preserve"> – 12/31/202</w:t>
                            </w:r>
                            <w:r w:rsidR="00C43F76">
                              <w:rPr>
                                <w:rFonts w:cs="Arial"/>
                                <w:snapToGrid w:val="0"/>
                              </w:rPr>
                              <w:t>5</w:t>
                            </w:r>
                          </w:p>
                          <w:p w14:paraId="5806CDCA" w14:textId="77777777" w:rsidR="00872B0F" w:rsidRPr="002E6DC2" w:rsidRDefault="00872B0F" w:rsidP="00AD309C">
                            <w:pPr>
                              <w:pStyle w:val="ListParagraph"/>
                              <w:numPr>
                                <w:ilvl w:val="0"/>
                                <w:numId w:val="39"/>
                              </w:numPr>
                              <w:rPr>
                                <w:rFonts w:cs="Arial"/>
                                <w:i/>
                                <w:snapToGrid w:val="0"/>
                              </w:rPr>
                            </w:pPr>
                            <w:r w:rsidRPr="009A5185">
                              <w:rPr>
                                <w:rFonts w:cs="Arial"/>
                                <w:snapToGrid w:val="0"/>
                              </w:rPr>
                              <w:t xml:space="preserve">Surveys (re)submitted on or after September 1: </w:t>
                            </w:r>
                          </w:p>
                          <w:p w14:paraId="1811A988" w14:textId="26E3610A" w:rsidR="00872B0F" w:rsidRPr="00F31044" w:rsidRDefault="00872B0F" w:rsidP="00AD309C">
                            <w:pPr>
                              <w:pStyle w:val="ListParagraph"/>
                              <w:numPr>
                                <w:ilvl w:val="1"/>
                                <w:numId w:val="39"/>
                              </w:numPr>
                              <w:rPr>
                                <w:rFonts w:cs="Arial"/>
                                <w:i/>
                                <w:snapToGrid w:val="0"/>
                              </w:rPr>
                            </w:pPr>
                            <w:r w:rsidRPr="009A5185">
                              <w:rPr>
                                <w:rFonts w:cs="Arial"/>
                                <w:snapToGrid w:val="0"/>
                              </w:rPr>
                              <w:t>07/01/</w:t>
                            </w:r>
                            <w:r>
                              <w:rPr>
                                <w:rFonts w:cs="Arial"/>
                                <w:snapToGrid w:val="0"/>
                              </w:rPr>
                              <w:t>202</w:t>
                            </w:r>
                            <w:r w:rsidR="00C43F76">
                              <w:rPr>
                                <w:rFonts w:cs="Arial"/>
                                <w:snapToGrid w:val="0"/>
                              </w:rPr>
                              <w:t>5</w:t>
                            </w:r>
                            <w:r w:rsidRPr="009A5185">
                              <w:rPr>
                                <w:rFonts w:cs="Arial"/>
                                <w:snapToGrid w:val="0"/>
                              </w:rPr>
                              <w:t xml:space="preserve"> – 06/30/</w:t>
                            </w:r>
                            <w:r>
                              <w:rPr>
                                <w:rFonts w:cs="Arial"/>
                                <w:snapToGrid w:val="0"/>
                              </w:rPr>
                              <w:t>202</w:t>
                            </w:r>
                            <w:r w:rsidR="00C43F76">
                              <w:rPr>
                                <w:rFonts w:cs="Arial"/>
                                <w:snapToGrid w:val="0"/>
                              </w:rPr>
                              <w:t>6</w:t>
                            </w:r>
                          </w:p>
                          <w:p w14:paraId="78A19680" w14:textId="77777777" w:rsidR="00872B0F" w:rsidRDefault="00872B0F" w:rsidP="00872B0F">
                            <w:pPr>
                              <w:rPr>
                                <w:rFonts w:cs="Arial"/>
                                <w:i/>
                                <w:snapToGrid w:val="0"/>
                              </w:rPr>
                            </w:pPr>
                          </w:p>
                          <w:p w14:paraId="6A17B35E" w14:textId="0AD5414A" w:rsidR="00872B0F" w:rsidRDefault="00872B0F" w:rsidP="00872B0F">
                            <w:r w:rsidRPr="001B3D66">
                              <w:rPr>
                                <w:rFonts w:cs="Arial"/>
                                <w:sz w:val="16"/>
                                <w:szCs w:val="16"/>
                              </w:rPr>
                              <w:t xml:space="preserve">Note: As a reminder, the </w:t>
                            </w:r>
                            <w:hyperlink r:id="rId105"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w:t>
                            </w:r>
                            <w:r w:rsidR="00E20788">
                              <w:rPr>
                                <w:rFonts w:cs="Arial"/>
                                <w:bCs/>
                                <w:snapToGrid w:val="0"/>
                                <w:sz w:val="16"/>
                                <w:szCs w:val="16"/>
                              </w:rPr>
                              <w:t xml:space="preserve"> </w:t>
                            </w:r>
                            <w:r w:rsidRPr="00AE38C7">
                              <w:rPr>
                                <w:rFonts w:cs="Arial"/>
                                <w:bCs/>
                                <w:snapToGrid w:val="0"/>
                                <w:sz w:val="16"/>
                                <w:szCs w:val="16"/>
                              </w:rPr>
                              <w:t>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51B2DA78" id="Text Box 17" o:spid="_x0000_s1028" type="#_x0000_t202" alt="P1289TB1#y1" style="width:475.85pt;height:1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" strokecolor="red">
                <v:textbox style="mso-fit-shape-to-text:t">
                  <w:txbxContent>
                    <w:p w14:paraId="71B31587" w14:textId="77777777" w:rsidR="00872B0F" w:rsidRPr="009A5185" w:rsidRDefault="00872B0F" w:rsidP="00872B0F">
                      <w:pPr>
                        <w:spacing w:before="40"/>
                        <w:rPr>
                          <w:rFonts w:cs="Arial"/>
                          <w:snapToGrid w:val="0"/>
                        </w:rPr>
                      </w:pPr>
                      <w:r w:rsidRPr="009A5185">
                        <w:rPr>
                          <w:rFonts w:cs="Arial"/>
                          <w:b/>
                          <w:snapToGrid w:val="0"/>
                        </w:rPr>
                        <w:t>Reporting Period: 12 months</w:t>
                      </w:r>
                    </w:p>
                    <w:p w14:paraId="7E4DC1F1" w14:textId="77777777" w:rsidR="00872B0F" w:rsidRPr="002E6DC2" w:rsidRDefault="00872B0F" w:rsidP="00AD309C">
                      <w:pPr>
                        <w:pStyle w:val="ListParagraph"/>
                        <w:numPr>
                          <w:ilvl w:val="0"/>
                          <w:numId w:val="39"/>
                        </w:numPr>
                        <w:rPr>
                          <w:rFonts w:cs="Arial"/>
                          <w:i/>
                          <w:snapToGrid w:val="0"/>
                        </w:rPr>
                      </w:pPr>
                      <w:r>
                        <w:rPr>
                          <w:rFonts w:cs="Arial"/>
                          <w:snapToGrid w:val="0"/>
                        </w:rPr>
                        <w:t>Surveys submitted prior to September 1:</w:t>
                      </w:r>
                    </w:p>
                    <w:p w14:paraId="08163BF5" w14:textId="718DD3A2" w:rsidR="00872B0F" w:rsidRPr="009A5185" w:rsidRDefault="00872B0F" w:rsidP="00AD309C">
                      <w:pPr>
                        <w:pStyle w:val="ListParagraph"/>
                        <w:numPr>
                          <w:ilvl w:val="1"/>
                          <w:numId w:val="39"/>
                        </w:numPr>
                        <w:rPr>
                          <w:rFonts w:cs="Arial"/>
                          <w:i/>
                          <w:snapToGrid w:val="0"/>
                        </w:rPr>
                      </w:pPr>
                      <w:r>
                        <w:rPr>
                          <w:rFonts w:cs="Arial"/>
                          <w:snapToGrid w:val="0"/>
                        </w:rPr>
                        <w:t>01/01/202</w:t>
                      </w:r>
                      <w:r w:rsidR="00C43F76">
                        <w:rPr>
                          <w:rFonts w:cs="Arial"/>
                          <w:snapToGrid w:val="0"/>
                        </w:rPr>
                        <w:t>5</w:t>
                      </w:r>
                      <w:r>
                        <w:rPr>
                          <w:rFonts w:cs="Arial"/>
                          <w:snapToGrid w:val="0"/>
                        </w:rPr>
                        <w:t xml:space="preserve"> – 12/31/202</w:t>
                      </w:r>
                      <w:r w:rsidR="00C43F76">
                        <w:rPr>
                          <w:rFonts w:cs="Arial"/>
                          <w:snapToGrid w:val="0"/>
                        </w:rPr>
                        <w:t>5</w:t>
                      </w:r>
                    </w:p>
                    <w:p w14:paraId="5806CDCA" w14:textId="77777777" w:rsidR="00872B0F" w:rsidRPr="002E6DC2" w:rsidRDefault="00872B0F" w:rsidP="00AD309C">
                      <w:pPr>
                        <w:pStyle w:val="ListParagraph"/>
                        <w:numPr>
                          <w:ilvl w:val="0"/>
                          <w:numId w:val="39"/>
                        </w:numPr>
                        <w:rPr>
                          <w:rFonts w:cs="Arial"/>
                          <w:i/>
                          <w:snapToGrid w:val="0"/>
                        </w:rPr>
                      </w:pPr>
                      <w:r w:rsidRPr="009A5185">
                        <w:rPr>
                          <w:rFonts w:cs="Arial"/>
                          <w:snapToGrid w:val="0"/>
                        </w:rPr>
                        <w:t xml:space="preserve">Surveys (re)submitted on or after September 1: </w:t>
                      </w:r>
                    </w:p>
                    <w:p w14:paraId="1811A988" w14:textId="26E3610A" w:rsidR="00872B0F" w:rsidRPr="00F31044" w:rsidRDefault="00872B0F" w:rsidP="00AD309C">
                      <w:pPr>
                        <w:pStyle w:val="ListParagraph"/>
                        <w:numPr>
                          <w:ilvl w:val="1"/>
                          <w:numId w:val="39"/>
                        </w:numPr>
                        <w:rPr>
                          <w:rFonts w:cs="Arial"/>
                          <w:i/>
                          <w:snapToGrid w:val="0"/>
                        </w:rPr>
                      </w:pPr>
                      <w:r w:rsidRPr="009A5185">
                        <w:rPr>
                          <w:rFonts w:cs="Arial"/>
                          <w:snapToGrid w:val="0"/>
                        </w:rPr>
                        <w:t>07/01/</w:t>
                      </w:r>
                      <w:r>
                        <w:rPr>
                          <w:rFonts w:cs="Arial"/>
                          <w:snapToGrid w:val="0"/>
                        </w:rPr>
                        <w:t>202</w:t>
                      </w:r>
                      <w:r w:rsidR="00C43F76">
                        <w:rPr>
                          <w:rFonts w:cs="Arial"/>
                          <w:snapToGrid w:val="0"/>
                        </w:rPr>
                        <w:t>5</w:t>
                      </w:r>
                      <w:r w:rsidRPr="009A5185">
                        <w:rPr>
                          <w:rFonts w:cs="Arial"/>
                          <w:snapToGrid w:val="0"/>
                        </w:rPr>
                        <w:t xml:space="preserve"> – 06/30/</w:t>
                      </w:r>
                      <w:r>
                        <w:rPr>
                          <w:rFonts w:cs="Arial"/>
                          <w:snapToGrid w:val="0"/>
                        </w:rPr>
                        <w:t>202</w:t>
                      </w:r>
                      <w:r w:rsidR="00C43F76">
                        <w:rPr>
                          <w:rFonts w:cs="Arial"/>
                          <w:snapToGrid w:val="0"/>
                        </w:rPr>
                        <w:t>6</w:t>
                      </w:r>
                    </w:p>
                    <w:p w14:paraId="78A19680" w14:textId="77777777" w:rsidR="00872B0F" w:rsidRDefault="00872B0F" w:rsidP="00872B0F">
                      <w:pPr>
                        <w:rPr>
                          <w:rFonts w:cs="Arial"/>
                          <w:i/>
                          <w:snapToGrid w:val="0"/>
                        </w:rPr>
                      </w:pPr>
                    </w:p>
                    <w:p w14:paraId="6A17B35E" w14:textId="0AD5414A" w:rsidR="00872B0F" w:rsidRDefault="00872B0F" w:rsidP="00872B0F">
                      <w:r w:rsidRPr="001B3D66">
                        <w:rPr>
                          <w:rFonts w:cs="Arial"/>
                          <w:sz w:val="16"/>
                          <w:szCs w:val="16"/>
                        </w:rPr>
                        <w:t xml:space="preserve">Note: As a reminder, the </w:t>
                      </w:r>
                      <w:hyperlink r:id="rId106"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w:t>
                      </w:r>
                      <w:r w:rsidR="00E20788">
                        <w:rPr>
                          <w:rFonts w:cs="Arial"/>
                          <w:bCs/>
                          <w:snapToGrid w:val="0"/>
                          <w:sz w:val="16"/>
                          <w:szCs w:val="16"/>
                        </w:rPr>
                        <w:t xml:space="preserve"> </w:t>
                      </w:r>
                      <w:r w:rsidRPr="00AE38C7">
                        <w:rPr>
                          <w:rFonts w:cs="Arial"/>
                          <w:bCs/>
                          <w:snapToGrid w:val="0"/>
                          <w:sz w:val="16"/>
                          <w:szCs w:val="16"/>
                        </w:rPr>
                        <w:t>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v:textbox>
                <w10:anchorlock/>
              </v:shape>
            </w:pict>
          </mc:Fallback>
        </mc:AlternateContent>
      </w:r>
    </w:p>
    <w:p w14:paraId="281B481F" w14:textId="77777777" w:rsidR="00DC0EB9" w:rsidRDefault="00DC0EB9" w:rsidP="00B804CC">
      <w:pPr>
        <w:rPr>
          <w:rFonts w:cs="Arial"/>
          <w:snapToGrid w:val="0"/>
        </w:rPr>
      </w:pPr>
    </w:p>
    <w:p w14:paraId="6C70F3A9" w14:textId="77777777" w:rsidR="00DC0EB9" w:rsidRPr="003E5FC0" w:rsidRDefault="00DC0EB9" w:rsidP="00AB5B80">
      <w:pPr>
        <w:pStyle w:val="Heading3"/>
      </w:pPr>
      <w:bookmarkStart w:id="84" w:name="_Toc225877669"/>
      <w:r w:rsidRPr="003E5FC0">
        <w:t>General Information</w:t>
      </w:r>
      <w:bookmarkEnd w:id="84"/>
    </w:p>
    <w:p w14:paraId="321F4A7A" w14:textId="77777777" w:rsidR="00872B0F" w:rsidRPr="00B07246" w:rsidRDefault="00872B0F" w:rsidP="00B804CC">
      <w:pPr>
        <w:rPr>
          <w:rFonts w:cs="Arial"/>
          <w:snapToGrid w:val="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8"/>
        <w:gridCol w:w="2947"/>
      </w:tblGrid>
      <w:tr w:rsidR="009F6C33" w:rsidRPr="009A5185" w14:paraId="61E468AC" w14:textId="77777777" w:rsidTr="00BE6BA0">
        <w:tc>
          <w:tcPr>
            <w:tcW w:w="6588" w:type="dxa"/>
            <w:vAlign w:val="center"/>
          </w:tcPr>
          <w:p w14:paraId="2D7A09C2" w14:textId="640E8651" w:rsidR="009F6C33" w:rsidRPr="00532CF2" w:rsidRDefault="007A4221" w:rsidP="00BE6BA0">
            <w:pPr>
              <w:numPr>
                <w:ilvl w:val="0"/>
                <w:numId w:val="1"/>
              </w:numPr>
              <w:tabs>
                <w:tab w:val="num" w:pos="450"/>
              </w:tabs>
              <w:ind w:left="450" w:hanging="450"/>
              <w:rPr>
                <w:rFonts w:cs="Arial"/>
                <w:snapToGrid w:val="0"/>
              </w:rPr>
            </w:pPr>
            <w:r w:rsidRPr="00532CF2">
              <w:rPr>
                <w:rFonts w:cs="Arial"/>
                <w:snapToGrid w:val="0"/>
              </w:rPr>
              <w:t>Reporting period used:</w:t>
            </w:r>
          </w:p>
        </w:tc>
        <w:tc>
          <w:tcPr>
            <w:tcW w:w="2947" w:type="dxa"/>
            <w:vAlign w:val="center"/>
          </w:tcPr>
          <w:p w14:paraId="2C841FFE" w14:textId="46F2CB1E" w:rsidR="00407B81" w:rsidRPr="00A35DD6" w:rsidRDefault="00407B81" w:rsidP="00AD309C">
            <w:pPr>
              <w:pStyle w:val="ListParagraph"/>
              <w:numPr>
                <w:ilvl w:val="0"/>
                <w:numId w:val="228"/>
              </w:numPr>
              <w:rPr>
                <w:rFonts w:cs="Arial"/>
                <w:snapToGrid w:val="0"/>
              </w:rPr>
            </w:pPr>
            <w:r w:rsidRPr="00A35DD6">
              <w:rPr>
                <w:rFonts w:cs="Arial"/>
                <w:snapToGrid w:val="0"/>
              </w:rPr>
              <w:t>01/01/202</w:t>
            </w:r>
            <w:r w:rsidR="00C43F76">
              <w:rPr>
                <w:rFonts w:cs="Arial"/>
                <w:snapToGrid w:val="0"/>
              </w:rPr>
              <w:t>5</w:t>
            </w:r>
            <w:r w:rsidRPr="00A35DD6">
              <w:rPr>
                <w:rFonts w:cs="Arial"/>
                <w:snapToGrid w:val="0"/>
              </w:rPr>
              <w:t xml:space="preserve"> – 12/31/202</w:t>
            </w:r>
            <w:r w:rsidR="00C43F76">
              <w:rPr>
                <w:rFonts w:cs="Arial"/>
                <w:snapToGrid w:val="0"/>
              </w:rPr>
              <w:t>5</w:t>
            </w:r>
          </w:p>
          <w:p w14:paraId="327C3405" w14:textId="6DF234BA" w:rsidR="009F6C33" w:rsidRPr="00A35DD6" w:rsidRDefault="009F6C33" w:rsidP="00AD309C">
            <w:pPr>
              <w:pStyle w:val="ListParagraph"/>
              <w:numPr>
                <w:ilvl w:val="0"/>
                <w:numId w:val="228"/>
              </w:numPr>
              <w:rPr>
                <w:rFonts w:cs="Arial"/>
                <w:snapToGrid w:val="0"/>
              </w:rPr>
            </w:pPr>
            <w:r w:rsidRPr="00A35DD6">
              <w:rPr>
                <w:rFonts w:cs="Arial"/>
                <w:snapToGrid w:val="0"/>
              </w:rPr>
              <w:t>07/01/</w:t>
            </w:r>
            <w:r w:rsidR="00407B81" w:rsidRPr="00A35DD6">
              <w:rPr>
                <w:rFonts w:cs="Arial"/>
                <w:snapToGrid w:val="0"/>
              </w:rPr>
              <w:t>202</w:t>
            </w:r>
            <w:r w:rsidR="00C43F76">
              <w:rPr>
                <w:rFonts w:cs="Arial"/>
                <w:snapToGrid w:val="0"/>
              </w:rPr>
              <w:t>5</w:t>
            </w:r>
            <w:r w:rsidR="00407B81" w:rsidRPr="00A35DD6">
              <w:rPr>
                <w:rFonts w:cs="Arial"/>
                <w:snapToGrid w:val="0"/>
              </w:rPr>
              <w:t xml:space="preserve"> </w:t>
            </w:r>
            <w:r w:rsidRPr="00A35DD6">
              <w:rPr>
                <w:rFonts w:cs="Arial"/>
                <w:snapToGrid w:val="0"/>
              </w:rPr>
              <w:t>– 06/30/</w:t>
            </w:r>
            <w:r w:rsidR="00407B81" w:rsidRPr="00A35DD6">
              <w:rPr>
                <w:rFonts w:cs="Arial"/>
                <w:snapToGrid w:val="0"/>
              </w:rPr>
              <w:t>202</w:t>
            </w:r>
            <w:r w:rsidR="00C43F76">
              <w:rPr>
                <w:rFonts w:cs="Arial"/>
                <w:snapToGrid w:val="0"/>
              </w:rPr>
              <w:t>6</w:t>
            </w:r>
          </w:p>
        </w:tc>
      </w:tr>
      <w:tr w:rsidR="008D6E32" w:rsidRPr="009A5185" w14:paraId="0D75E6A5" w14:textId="77777777" w:rsidTr="00BE6BA0">
        <w:tc>
          <w:tcPr>
            <w:tcW w:w="6588" w:type="dxa"/>
            <w:vAlign w:val="center"/>
          </w:tcPr>
          <w:p w14:paraId="76976E79" w14:textId="34D259AE" w:rsidR="008D6E32" w:rsidRPr="00532CF2" w:rsidRDefault="008D6E32" w:rsidP="00BE6BA0">
            <w:pPr>
              <w:numPr>
                <w:ilvl w:val="0"/>
                <w:numId w:val="1"/>
              </w:numPr>
              <w:tabs>
                <w:tab w:val="num" w:pos="450"/>
              </w:tabs>
              <w:spacing w:line="360" w:lineRule="auto"/>
              <w:ind w:left="450" w:hanging="450"/>
              <w:rPr>
                <w:rFonts w:cs="Arial"/>
                <w:snapToGrid w:val="0"/>
              </w:rPr>
            </w:pPr>
            <w:r w:rsidRPr="00532CF2">
              <w:rPr>
                <w:rFonts w:cs="Arial"/>
                <w:snapToGrid w:val="0"/>
              </w:rPr>
              <w:t xml:space="preserve">Total number of </w:t>
            </w:r>
            <w:hyperlink w:anchor="LicensedAcuteCareBeds" w:history="1">
              <w:r w:rsidRPr="00784DA1">
                <w:rPr>
                  <w:rStyle w:val="Hyperlink"/>
                  <w:rFonts w:cs="Arial"/>
                  <w:snapToGrid w:val="0"/>
                </w:rPr>
                <w:t>licensed acute-care</w:t>
              </w:r>
            </w:hyperlink>
            <w:r w:rsidR="000F0582">
              <w:rPr>
                <w:rStyle w:val="Hyperlink"/>
                <w:rFonts w:ascii="ZWAdobeF" w:hAnsi="ZWAdobeF" w:cs="ZWAdobeF"/>
                <w:snapToGrid w:val="0"/>
                <w:color w:val="auto"/>
                <w:sz w:val="2"/>
                <w:szCs w:val="2"/>
                <w:u w:val="none"/>
              </w:rPr>
              <w:t>8F</w:t>
            </w:r>
            <w:r w:rsidR="00BF053F">
              <w:rPr>
                <w:rStyle w:val="Hyperlink"/>
                <w:rFonts w:ascii="ZWAdobeF" w:hAnsi="ZWAdobeF" w:cs="ZWAdobeF"/>
                <w:snapToGrid w:val="0"/>
                <w:color w:val="auto"/>
                <w:sz w:val="2"/>
                <w:szCs w:val="2"/>
                <w:u w:val="none"/>
              </w:rPr>
              <w:t>9F</w:t>
            </w:r>
            <w:r w:rsidR="004C7557">
              <w:rPr>
                <w:rStyle w:val="Hyperlink"/>
                <w:rFonts w:ascii="ZWAdobeF" w:hAnsi="ZWAdobeF" w:cs="ZWAdobeF"/>
                <w:snapToGrid w:val="0"/>
                <w:color w:val="auto"/>
                <w:sz w:val="2"/>
                <w:szCs w:val="2"/>
                <w:u w:val="none"/>
              </w:rPr>
              <w:t>9F</w:t>
            </w:r>
            <w:r w:rsidR="00C2087D">
              <w:rPr>
                <w:rStyle w:val="Hyperlink"/>
                <w:rFonts w:ascii="ZWAdobeF" w:hAnsi="ZWAdobeF" w:cs="ZWAdobeF"/>
                <w:snapToGrid w:val="0"/>
                <w:color w:val="auto"/>
                <w:sz w:val="2"/>
                <w:szCs w:val="2"/>
                <w:u w:val="none"/>
              </w:rPr>
              <w:t>9F</w:t>
            </w:r>
            <w:r w:rsidR="00B55C41">
              <w:rPr>
                <w:rStyle w:val="Hyperlink"/>
                <w:rFonts w:ascii="ZWAdobeF" w:hAnsi="ZWAdobeF" w:cs="ZWAdobeF"/>
                <w:snapToGrid w:val="0"/>
                <w:color w:val="auto"/>
                <w:sz w:val="2"/>
                <w:szCs w:val="2"/>
                <w:u w:val="none"/>
              </w:rPr>
              <w:t>9F</w:t>
            </w:r>
            <w:r w:rsidR="006255A6">
              <w:rPr>
                <w:rStyle w:val="Hyperlink"/>
                <w:rFonts w:ascii="ZWAdobeF" w:hAnsi="ZWAdobeF" w:cs="ZWAdobeF"/>
                <w:snapToGrid w:val="0"/>
                <w:color w:val="auto"/>
                <w:sz w:val="2"/>
                <w:szCs w:val="2"/>
                <w:u w:val="none"/>
              </w:rPr>
              <w:t>9F</w:t>
            </w:r>
            <w:r w:rsidR="00E453C7">
              <w:rPr>
                <w:rStyle w:val="Hyperlink"/>
                <w:rFonts w:ascii="ZWAdobeF" w:hAnsi="ZWAdobeF" w:cs="ZWAdobeF"/>
                <w:snapToGrid w:val="0"/>
                <w:color w:val="auto"/>
                <w:sz w:val="2"/>
                <w:szCs w:val="2"/>
                <w:u w:val="none"/>
              </w:rPr>
              <w:t>9F</w:t>
            </w:r>
            <w:r w:rsidR="00953060">
              <w:rPr>
                <w:rStyle w:val="Hyperlink"/>
                <w:rFonts w:ascii="ZWAdobeF" w:hAnsi="ZWAdobeF" w:cs="ZWAdobeF"/>
                <w:snapToGrid w:val="0"/>
                <w:color w:val="auto"/>
                <w:sz w:val="2"/>
                <w:szCs w:val="2"/>
                <w:u w:val="none"/>
              </w:rPr>
              <w:t>9F</w:t>
            </w:r>
            <w:r w:rsidR="00DD04D6">
              <w:rPr>
                <w:rStyle w:val="Hyperlink"/>
                <w:rFonts w:ascii="ZWAdobeF" w:hAnsi="ZWAdobeF" w:cs="ZWAdobeF"/>
                <w:snapToGrid w:val="0"/>
                <w:color w:val="auto"/>
                <w:sz w:val="2"/>
                <w:szCs w:val="2"/>
                <w:u w:val="none"/>
              </w:rPr>
              <w:t>9F</w:t>
            </w:r>
            <w:r w:rsidRPr="00532CF2">
              <w:rPr>
                <w:rStyle w:val="EndnoteReference"/>
                <w:rFonts w:cs="Arial"/>
                <w:snapToGrid w:val="0"/>
              </w:rPr>
              <w:endnoteReference w:id="11"/>
            </w:r>
            <w:r w:rsidRPr="00532CF2">
              <w:rPr>
                <w:rFonts w:cs="Arial"/>
                <w:snapToGrid w:val="0"/>
              </w:rPr>
              <w:t xml:space="preserve"> beds.</w:t>
            </w:r>
          </w:p>
        </w:tc>
        <w:tc>
          <w:tcPr>
            <w:tcW w:w="2947" w:type="dxa"/>
            <w:vAlign w:val="center"/>
          </w:tcPr>
          <w:p w14:paraId="2A760A4D" w14:textId="419AE1F3" w:rsidR="008D6E32" w:rsidRDefault="008D6E32" w:rsidP="00887DBF">
            <w:pPr>
              <w:spacing w:line="360" w:lineRule="auto"/>
              <w:jc w:val="center"/>
              <w:rPr>
                <w:rFonts w:cs="Arial"/>
                <w:snapToGrid w:val="0"/>
              </w:rPr>
            </w:pPr>
            <w:r w:rsidRPr="0026670B">
              <w:rPr>
                <w:rFonts w:cs="Arial"/>
                <w:i/>
                <w:snapToGrid w:val="0"/>
              </w:rPr>
              <w:t>_____</w:t>
            </w:r>
          </w:p>
        </w:tc>
      </w:tr>
      <w:tr w:rsidR="008D6E32" w:rsidRPr="009A5185" w14:paraId="2A9033B1" w14:textId="77777777" w:rsidTr="00BE6BA0">
        <w:tc>
          <w:tcPr>
            <w:tcW w:w="6588" w:type="dxa"/>
            <w:vAlign w:val="center"/>
          </w:tcPr>
          <w:p w14:paraId="2A827BBC" w14:textId="04C7498C" w:rsidR="008D6E32" w:rsidRPr="00532CF2" w:rsidRDefault="008D6E32" w:rsidP="00BE6BA0">
            <w:pPr>
              <w:numPr>
                <w:ilvl w:val="0"/>
                <w:numId w:val="1"/>
              </w:numPr>
              <w:tabs>
                <w:tab w:val="num" w:pos="450"/>
              </w:tabs>
              <w:spacing w:line="360" w:lineRule="auto"/>
              <w:ind w:left="450" w:hanging="450"/>
              <w:rPr>
                <w:rFonts w:cs="Arial"/>
                <w:snapToGrid w:val="0"/>
              </w:rPr>
            </w:pPr>
            <w:r w:rsidRPr="00532CF2">
              <w:rPr>
                <w:rFonts w:cs="Arial"/>
                <w:snapToGrid w:val="0"/>
              </w:rPr>
              <w:t xml:space="preserve">Total number of </w:t>
            </w:r>
            <w:hyperlink w:anchor="Endnote9_Sbeds" w:history="1">
              <w:r w:rsidRPr="00784DA1">
                <w:rPr>
                  <w:rStyle w:val="Hyperlink"/>
                  <w:rFonts w:cs="Arial"/>
                  <w:snapToGrid w:val="0"/>
                </w:rPr>
                <w:t>staffed acute-care</w:t>
              </w:r>
            </w:hyperlink>
            <w:r w:rsidR="000F0582">
              <w:rPr>
                <w:rStyle w:val="Hyperlink"/>
                <w:rFonts w:ascii="ZWAdobeF" w:hAnsi="ZWAdobeF" w:cs="ZWAdobeF"/>
                <w:snapToGrid w:val="0"/>
                <w:color w:val="auto"/>
                <w:sz w:val="2"/>
                <w:szCs w:val="2"/>
                <w:u w:val="none"/>
              </w:rPr>
              <w:t>9F</w:t>
            </w:r>
            <w:r w:rsidR="00BF053F">
              <w:rPr>
                <w:rStyle w:val="Hyperlink"/>
                <w:rFonts w:ascii="ZWAdobeF" w:hAnsi="ZWAdobeF" w:cs="ZWAdobeF"/>
                <w:snapToGrid w:val="0"/>
                <w:color w:val="auto"/>
                <w:sz w:val="2"/>
                <w:szCs w:val="2"/>
                <w:u w:val="none"/>
              </w:rPr>
              <w:t>10F</w:t>
            </w:r>
            <w:r w:rsidR="004C7557">
              <w:rPr>
                <w:rStyle w:val="Hyperlink"/>
                <w:rFonts w:ascii="ZWAdobeF" w:hAnsi="ZWAdobeF" w:cs="ZWAdobeF"/>
                <w:snapToGrid w:val="0"/>
                <w:color w:val="auto"/>
                <w:sz w:val="2"/>
                <w:szCs w:val="2"/>
                <w:u w:val="none"/>
              </w:rPr>
              <w:t>10F</w:t>
            </w:r>
            <w:r w:rsidR="00C2087D">
              <w:rPr>
                <w:rStyle w:val="Hyperlink"/>
                <w:rFonts w:ascii="ZWAdobeF" w:hAnsi="ZWAdobeF" w:cs="ZWAdobeF"/>
                <w:snapToGrid w:val="0"/>
                <w:color w:val="auto"/>
                <w:sz w:val="2"/>
                <w:szCs w:val="2"/>
                <w:u w:val="none"/>
              </w:rPr>
              <w:t>10F</w:t>
            </w:r>
            <w:r w:rsidR="00B55C41">
              <w:rPr>
                <w:rStyle w:val="Hyperlink"/>
                <w:rFonts w:ascii="ZWAdobeF" w:hAnsi="ZWAdobeF" w:cs="ZWAdobeF"/>
                <w:snapToGrid w:val="0"/>
                <w:color w:val="auto"/>
                <w:sz w:val="2"/>
                <w:szCs w:val="2"/>
                <w:u w:val="none"/>
              </w:rPr>
              <w:t>10F</w:t>
            </w:r>
            <w:r w:rsidR="006255A6">
              <w:rPr>
                <w:rStyle w:val="Hyperlink"/>
                <w:rFonts w:ascii="ZWAdobeF" w:hAnsi="ZWAdobeF" w:cs="ZWAdobeF"/>
                <w:snapToGrid w:val="0"/>
                <w:color w:val="auto"/>
                <w:sz w:val="2"/>
                <w:szCs w:val="2"/>
                <w:u w:val="none"/>
              </w:rPr>
              <w:t>10F</w:t>
            </w:r>
            <w:r w:rsidR="00E453C7">
              <w:rPr>
                <w:rStyle w:val="Hyperlink"/>
                <w:rFonts w:ascii="ZWAdobeF" w:hAnsi="ZWAdobeF" w:cs="ZWAdobeF"/>
                <w:snapToGrid w:val="0"/>
                <w:color w:val="auto"/>
                <w:sz w:val="2"/>
                <w:szCs w:val="2"/>
                <w:u w:val="none"/>
              </w:rPr>
              <w:t>10F</w:t>
            </w:r>
            <w:r w:rsidR="00953060">
              <w:rPr>
                <w:rStyle w:val="Hyperlink"/>
                <w:rFonts w:ascii="ZWAdobeF" w:hAnsi="ZWAdobeF" w:cs="ZWAdobeF"/>
                <w:snapToGrid w:val="0"/>
                <w:color w:val="auto"/>
                <w:sz w:val="2"/>
                <w:szCs w:val="2"/>
                <w:u w:val="none"/>
              </w:rPr>
              <w:t>10F</w:t>
            </w:r>
            <w:r w:rsidR="00DD04D6">
              <w:rPr>
                <w:rStyle w:val="Hyperlink"/>
                <w:rFonts w:ascii="ZWAdobeF" w:hAnsi="ZWAdobeF" w:cs="ZWAdobeF"/>
                <w:snapToGrid w:val="0"/>
                <w:color w:val="auto"/>
                <w:sz w:val="2"/>
                <w:szCs w:val="2"/>
                <w:u w:val="none"/>
              </w:rPr>
              <w:t>10F</w:t>
            </w:r>
            <w:r w:rsidRPr="00532CF2">
              <w:rPr>
                <w:rStyle w:val="EndnoteReference"/>
                <w:rFonts w:cs="Arial"/>
                <w:snapToGrid w:val="0"/>
              </w:rPr>
              <w:endnoteReference w:id="12"/>
            </w:r>
            <w:r w:rsidRPr="00532CF2">
              <w:rPr>
                <w:rFonts w:cs="Arial"/>
                <w:snapToGrid w:val="0"/>
              </w:rPr>
              <w:t xml:space="preserve"> beds.</w:t>
            </w:r>
          </w:p>
        </w:tc>
        <w:tc>
          <w:tcPr>
            <w:tcW w:w="2947" w:type="dxa"/>
            <w:vAlign w:val="center"/>
          </w:tcPr>
          <w:p w14:paraId="075031B9" w14:textId="6DDB0D1A" w:rsidR="008D6E32" w:rsidRPr="009A5185" w:rsidRDefault="008D6E32" w:rsidP="00887DBF">
            <w:pPr>
              <w:spacing w:line="360" w:lineRule="auto"/>
              <w:jc w:val="center"/>
              <w:rPr>
                <w:rFonts w:cs="Arial"/>
                <w:snapToGrid w:val="0"/>
              </w:rPr>
            </w:pPr>
            <w:r w:rsidRPr="0026670B">
              <w:rPr>
                <w:rFonts w:cs="Arial"/>
                <w:i/>
                <w:snapToGrid w:val="0"/>
              </w:rPr>
              <w:t>_____</w:t>
            </w:r>
          </w:p>
        </w:tc>
      </w:tr>
      <w:tr w:rsidR="008D6E32" w:rsidRPr="009A5185" w14:paraId="4A6861EB" w14:textId="77777777" w:rsidTr="00BE6BA0">
        <w:tc>
          <w:tcPr>
            <w:tcW w:w="6588" w:type="dxa"/>
            <w:vAlign w:val="center"/>
          </w:tcPr>
          <w:p w14:paraId="791BCA97" w14:textId="6C5D3176" w:rsidR="008D6E32" w:rsidRPr="00532CF2" w:rsidRDefault="008D6E32" w:rsidP="00BE6BA0">
            <w:pPr>
              <w:numPr>
                <w:ilvl w:val="0"/>
                <w:numId w:val="1"/>
              </w:numPr>
              <w:tabs>
                <w:tab w:val="num" w:pos="450"/>
              </w:tabs>
              <w:ind w:left="450" w:hanging="450"/>
              <w:rPr>
                <w:rFonts w:cs="Arial"/>
                <w:snapToGrid w:val="0"/>
              </w:rPr>
            </w:pPr>
            <w:r w:rsidRPr="00532CF2">
              <w:rPr>
                <w:rFonts w:cs="Arial"/>
                <w:snapToGrid w:val="0"/>
              </w:rPr>
              <w:t xml:space="preserve">Total number of </w:t>
            </w:r>
            <w:hyperlink w:anchor="Endnote10_AdultAdmits" w:history="1">
              <w:r w:rsidRPr="00532CF2">
                <w:rPr>
                  <w:rStyle w:val="Hyperlink"/>
                  <w:rFonts w:cs="Arial"/>
                  <w:snapToGrid w:val="0"/>
                </w:rPr>
                <w:t>adult acute-care admissions</w:t>
              </w:r>
            </w:hyperlink>
            <w:r w:rsidR="000F0582">
              <w:rPr>
                <w:rStyle w:val="Hyperlink"/>
                <w:rFonts w:ascii="ZWAdobeF" w:hAnsi="ZWAdobeF" w:cs="ZWAdobeF"/>
                <w:snapToGrid w:val="0"/>
                <w:color w:val="auto"/>
                <w:sz w:val="2"/>
                <w:szCs w:val="2"/>
                <w:u w:val="none"/>
              </w:rPr>
              <w:t>10F</w:t>
            </w:r>
            <w:r w:rsidR="00BF053F">
              <w:rPr>
                <w:rStyle w:val="Hyperlink"/>
                <w:rFonts w:ascii="ZWAdobeF" w:hAnsi="ZWAdobeF" w:cs="ZWAdobeF"/>
                <w:snapToGrid w:val="0"/>
                <w:color w:val="auto"/>
                <w:sz w:val="2"/>
                <w:szCs w:val="2"/>
                <w:u w:val="none"/>
              </w:rPr>
              <w:t>11F</w:t>
            </w:r>
            <w:r w:rsidR="004C7557">
              <w:rPr>
                <w:rStyle w:val="Hyperlink"/>
                <w:rFonts w:ascii="ZWAdobeF" w:hAnsi="ZWAdobeF" w:cs="ZWAdobeF"/>
                <w:snapToGrid w:val="0"/>
                <w:color w:val="auto"/>
                <w:sz w:val="2"/>
                <w:szCs w:val="2"/>
                <w:u w:val="none"/>
              </w:rPr>
              <w:t>11F</w:t>
            </w:r>
            <w:r w:rsidR="00C2087D">
              <w:rPr>
                <w:rStyle w:val="Hyperlink"/>
                <w:rFonts w:ascii="ZWAdobeF" w:hAnsi="ZWAdobeF" w:cs="ZWAdobeF"/>
                <w:snapToGrid w:val="0"/>
                <w:color w:val="auto"/>
                <w:sz w:val="2"/>
                <w:szCs w:val="2"/>
                <w:u w:val="none"/>
              </w:rPr>
              <w:t>11F</w:t>
            </w:r>
            <w:r w:rsidR="00B55C41">
              <w:rPr>
                <w:rStyle w:val="Hyperlink"/>
                <w:rFonts w:ascii="ZWAdobeF" w:hAnsi="ZWAdobeF" w:cs="ZWAdobeF"/>
                <w:snapToGrid w:val="0"/>
                <w:color w:val="auto"/>
                <w:sz w:val="2"/>
                <w:szCs w:val="2"/>
                <w:u w:val="none"/>
              </w:rPr>
              <w:t>11F</w:t>
            </w:r>
            <w:r w:rsidR="006255A6">
              <w:rPr>
                <w:rStyle w:val="Hyperlink"/>
                <w:rFonts w:ascii="ZWAdobeF" w:hAnsi="ZWAdobeF" w:cs="ZWAdobeF"/>
                <w:snapToGrid w:val="0"/>
                <w:color w:val="auto"/>
                <w:sz w:val="2"/>
                <w:szCs w:val="2"/>
                <w:u w:val="none"/>
              </w:rPr>
              <w:t>11F</w:t>
            </w:r>
            <w:r w:rsidR="00E453C7">
              <w:rPr>
                <w:rStyle w:val="Hyperlink"/>
                <w:rFonts w:ascii="ZWAdobeF" w:hAnsi="ZWAdobeF" w:cs="ZWAdobeF"/>
                <w:snapToGrid w:val="0"/>
                <w:color w:val="auto"/>
                <w:sz w:val="2"/>
                <w:szCs w:val="2"/>
                <w:u w:val="none"/>
              </w:rPr>
              <w:t>11F</w:t>
            </w:r>
            <w:r w:rsidR="00953060">
              <w:rPr>
                <w:rStyle w:val="Hyperlink"/>
                <w:rFonts w:ascii="ZWAdobeF" w:hAnsi="ZWAdobeF" w:cs="ZWAdobeF"/>
                <w:snapToGrid w:val="0"/>
                <w:color w:val="auto"/>
                <w:sz w:val="2"/>
                <w:szCs w:val="2"/>
                <w:u w:val="none"/>
              </w:rPr>
              <w:t>11F</w:t>
            </w:r>
            <w:r w:rsidR="00DD04D6">
              <w:rPr>
                <w:rStyle w:val="Hyperlink"/>
                <w:rFonts w:ascii="ZWAdobeF" w:hAnsi="ZWAdobeF" w:cs="ZWAdobeF"/>
                <w:snapToGrid w:val="0"/>
                <w:color w:val="auto"/>
                <w:sz w:val="2"/>
                <w:szCs w:val="2"/>
                <w:u w:val="none"/>
              </w:rPr>
              <w:t>11F</w:t>
            </w:r>
            <w:r w:rsidRPr="00532CF2">
              <w:rPr>
                <w:rStyle w:val="EndnoteReference"/>
                <w:rFonts w:cs="Arial"/>
                <w:snapToGrid w:val="0"/>
              </w:rPr>
              <w:endnoteReference w:id="13"/>
            </w:r>
            <w:r w:rsidRPr="00532CF2">
              <w:rPr>
                <w:rFonts w:cs="Arial"/>
                <w:snapToGrid w:val="0"/>
              </w:rPr>
              <w:t xml:space="preserve"> to your hospital during the reporting period.</w:t>
            </w:r>
          </w:p>
        </w:tc>
        <w:tc>
          <w:tcPr>
            <w:tcW w:w="2947" w:type="dxa"/>
            <w:vAlign w:val="center"/>
          </w:tcPr>
          <w:p w14:paraId="0F7303E0" w14:textId="1DFFC216" w:rsidR="008D6E32" w:rsidRPr="009A5185" w:rsidRDefault="008D6E32" w:rsidP="00887DBF">
            <w:pPr>
              <w:jc w:val="center"/>
              <w:rPr>
                <w:rFonts w:cs="Arial"/>
                <w:snapToGrid w:val="0"/>
              </w:rPr>
            </w:pPr>
            <w:r w:rsidRPr="0026670B">
              <w:rPr>
                <w:rFonts w:cs="Arial"/>
                <w:i/>
                <w:snapToGrid w:val="0"/>
              </w:rPr>
              <w:t>_____</w:t>
            </w:r>
          </w:p>
        </w:tc>
      </w:tr>
      <w:tr w:rsidR="008D6E32" w:rsidRPr="009A5185" w14:paraId="4DA026A3" w14:textId="77777777" w:rsidTr="00BE6BA0">
        <w:tc>
          <w:tcPr>
            <w:tcW w:w="6588" w:type="dxa"/>
            <w:vAlign w:val="center"/>
          </w:tcPr>
          <w:p w14:paraId="21816165" w14:textId="4E3F5F26" w:rsidR="008D6E32" w:rsidRPr="00532CF2" w:rsidRDefault="008D6E32" w:rsidP="00BE6BA0">
            <w:pPr>
              <w:numPr>
                <w:ilvl w:val="0"/>
                <w:numId w:val="1"/>
              </w:numPr>
              <w:tabs>
                <w:tab w:val="num" w:pos="450"/>
              </w:tabs>
              <w:ind w:left="450" w:hanging="450"/>
              <w:rPr>
                <w:rFonts w:cs="Arial"/>
                <w:snapToGrid w:val="0"/>
              </w:rPr>
            </w:pPr>
            <w:r w:rsidRPr="00532CF2">
              <w:rPr>
                <w:rFonts w:cs="Arial"/>
                <w:snapToGrid w:val="0"/>
              </w:rPr>
              <w:t xml:space="preserve">Total number of </w:t>
            </w:r>
            <w:hyperlink w:anchor="Endnote11_PedAdmits" w:history="1">
              <w:r w:rsidRPr="00532CF2">
                <w:rPr>
                  <w:rStyle w:val="Hyperlink"/>
                  <w:rFonts w:cs="Arial"/>
                  <w:snapToGrid w:val="0"/>
                </w:rPr>
                <w:t>pediatric acute-care admissions</w:t>
              </w:r>
            </w:hyperlink>
            <w:bookmarkStart w:id="88" w:name="_Ref4511292"/>
            <w:r w:rsidR="000F0582">
              <w:rPr>
                <w:rStyle w:val="Hyperlink"/>
                <w:rFonts w:ascii="ZWAdobeF" w:hAnsi="ZWAdobeF" w:cs="ZWAdobeF"/>
                <w:snapToGrid w:val="0"/>
                <w:color w:val="auto"/>
                <w:sz w:val="2"/>
                <w:szCs w:val="2"/>
                <w:u w:val="none"/>
              </w:rPr>
              <w:t>11F</w:t>
            </w:r>
            <w:r w:rsidR="00BF053F">
              <w:rPr>
                <w:rStyle w:val="Hyperlink"/>
                <w:rFonts w:ascii="ZWAdobeF" w:hAnsi="ZWAdobeF" w:cs="ZWAdobeF"/>
                <w:snapToGrid w:val="0"/>
                <w:color w:val="auto"/>
                <w:sz w:val="2"/>
                <w:szCs w:val="2"/>
                <w:u w:val="none"/>
              </w:rPr>
              <w:t>12F</w:t>
            </w:r>
            <w:r w:rsidR="004C7557">
              <w:rPr>
                <w:rStyle w:val="Hyperlink"/>
                <w:rFonts w:ascii="ZWAdobeF" w:hAnsi="ZWAdobeF" w:cs="ZWAdobeF"/>
                <w:snapToGrid w:val="0"/>
                <w:color w:val="auto"/>
                <w:sz w:val="2"/>
                <w:szCs w:val="2"/>
                <w:u w:val="none"/>
              </w:rPr>
              <w:t>12F</w:t>
            </w:r>
            <w:r w:rsidR="00C2087D">
              <w:rPr>
                <w:rStyle w:val="Hyperlink"/>
                <w:rFonts w:ascii="ZWAdobeF" w:hAnsi="ZWAdobeF" w:cs="ZWAdobeF"/>
                <w:snapToGrid w:val="0"/>
                <w:color w:val="auto"/>
                <w:sz w:val="2"/>
                <w:szCs w:val="2"/>
                <w:u w:val="none"/>
              </w:rPr>
              <w:t>12F</w:t>
            </w:r>
            <w:r w:rsidR="00B55C41">
              <w:rPr>
                <w:rStyle w:val="Hyperlink"/>
                <w:rFonts w:ascii="ZWAdobeF" w:hAnsi="ZWAdobeF" w:cs="ZWAdobeF"/>
                <w:snapToGrid w:val="0"/>
                <w:color w:val="auto"/>
                <w:sz w:val="2"/>
                <w:szCs w:val="2"/>
                <w:u w:val="none"/>
              </w:rPr>
              <w:t>12F</w:t>
            </w:r>
            <w:r w:rsidR="006255A6">
              <w:rPr>
                <w:rStyle w:val="Hyperlink"/>
                <w:rFonts w:ascii="ZWAdobeF" w:hAnsi="ZWAdobeF" w:cs="ZWAdobeF"/>
                <w:snapToGrid w:val="0"/>
                <w:color w:val="auto"/>
                <w:sz w:val="2"/>
                <w:szCs w:val="2"/>
                <w:u w:val="none"/>
              </w:rPr>
              <w:t>12F</w:t>
            </w:r>
            <w:r w:rsidR="00E453C7">
              <w:rPr>
                <w:rStyle w:val="Hyperlink"/>
                <w:rFonts w:ascii="ZWAdobeF" w:hAnsi="ZWAdobeF" w:cs="ZWAdobeF"/>
                <w:snapToGrid w:val="0"/>
                <w:color w:val="auto"/>
                <w:sz w:val="2"/>
                <w:szCs w:val="2"/>
                <w:u w:val="none"/>
              </w:rPr>
              <w:t>12F</w:t>
            </w:r>
            <w:r w:rsidR="00953060">
              <w:rPr>
                <w:rStyle w:val="Hyperlink"/>
                <w:rFonts w:ascii="ZWAdobeF" w:hAnsi="ZWAdobeF" w:cs="ZWAdobeF"/>
                <w:snapToGrid w:val="0"/>
                <w:color w:val="auto"/>
                <w:sz w:val="2"/>
                <w:szCs w:val="2"/>
                <w:u w:val="none"/>
              </w:rPr>
              <w:t>12F</w:t>
            </w:r>
            <w:r w:rsidR="00DD04D6">
              <w:rPr>
                <w:rStyle w:val="Hyperlink"/>
                <w:rFonts w:ascii="ZWAdobeF" w:hAnsi="ZWAdobeF" w:cs="ZWAdobeF"/>
                <w:snapToGrid w:val="0"/>
                <w:color w:val="auto"/>
                <w:sz w:val="2"/>
                <w:szCs w:val="2"/>
                <w:u w:val="none"/>
              </w:rPr>
              <w:t>12F</w:t>
            </w:r>
            <w:r w:rsidRPr="00532CF2">
              <w:rPr>
                <w:rStyle w:val="EndnoteReference"/>
                <w:rFonts w:cs="Arial"/>
                <w:snapToGrid w:val="0"/>
              </w:rPr>
              <w:endnoteReference w:id="14"/>
            </w:r>
            <w:bookmarkEnd w:id="88"/>
            <w:r w:rsidRPr="00532CF2">
              <w:rPr>
                <w:rFonts w:cs="Arial"/>
                <w:snapToGrid w:val="0"/>
              </w:rPr>
              <w:t xml:space="preserve"> to your hospital during the reporting period.</w:t>
            </w:r>
          </w:p>
        </w:tc>
        <w:tc>
          <w:tcPr>
            <w:tcW w:w="2947" w:type="dxa"/>
            <w:vAlign w:val="center"/>
          </w:tcPr>
          <w:p w14:paraId="49CCB748" w14:textId="7166B902" w:rsidR="008D6E32" w:rsidRPr="009A5185" w:rsidRDefault="008D6E32" w:rsidP="00887DBF">
            <w:pPr>
              <w:jc w:val="center"/>
              <w:rPr>
                <w:rFonts w:cs="Arial"/>
                <w:snapToGrid w:val="0"/>
              </w:rPr>
            </w:pPr>
            <w:r w:rsidRPr="0026670B">
              <w:rPr>
                <w:rFonts w:cs="Arial"/>
                <w:i/>
                <w:snapToGrid w:val="0"/>
              </w:rPr>
              <w:t>_____</w:t>
            </w:r>
          </w:p>
        </w:tc>
      </w:tr>
      <w:tr w:rsidR="004D19E1" w:rsidRPr="009A5185" w14:paraId="3264CEE7" w14:textId="77777777" w:rsidTr="00BE6BA0">
        <w:tc>
          <w:tcPr>
            <w:tcW w:w="6588" w:type="dxa"/>
            <w:tcBorders>
              <w:bottom w:val="single" w:sz="4" w:space="0" w:color="auto"/>
            </w:tcBorders>
            <w:vAlign w:val="center"/>
          </w:tcPr>
          <w:p w14:paraId="13F7211F" w14:textId="70320234" w:rsidR="004D19E1" w:rsidRPr="00532CF2" w:rsidRDefault="004D19E1" w:rsidP="00BE6BA0">
            <w:pPr>
              <w:numPr>
                <w:ilvl w:val="0"/>
                <w:numId w:val="1"/>
              </w:numPr>
              <w:tabs>
                <w:tab w:val="num" w:pos="450"/>
              </w:tabs>
              <w:ind w:left="450" w:hanging="450"/>
              <w:rPr>
                <w:rFonts w:cs="Arial"/>
                <w:snapToGrid w:val="0"/>
              </w:rPr>
            </w:pPr>
            <w:r w:rsidRPr="00532CF2">
              <w:rPr>
                <w:rFonts w:cs="Arial"/>
                <w:snapToGrid w:val="0"/>
              </w:rPr>
              <w:t>Does your</w:t>
            </w:r>
            <w:r w:rsidR="008A3962" w:rsidRPr="00532CF2">
              <w:rPr>
                <w:rFonts w:cs="Arial"/>
                <w:snapToGrid w:val="0"/>
              </w:rPr>
              <w:t xml:space="preserve"> hospital operate any</w:t>
            </w:r>
            <w:r w:rsidR="009E5B27">
              <w:rPr>
                <w:rFonts w:cs="Arial"/>
                <w:snapToGrid w:val="0"/>
              </w:rPr>
              <w:t xml:space="preserve"> </w:t>
            </w:r>
            <w:r w:rsidR="009E5B27">
              <w:rPr>
                <w:rFonts w:cstheme="minorHAnsi"/>
              </w:rPr>
              <w:t>adult and/or pediatric</w:t>
            </w:r>
            <w:r w:rsidR="008A3962" w:rsidRPr="00532CF2">
              <w:rPr>
                <w:rFonts w:cs="Arial"/>
                <w:snapToGrid w:val="0"/>
              </w:rPr>
              <w:t xml:space="preserve"> </w:t>
            </w:r>
            <w:hyperlink w:anchor="generalmedicalsurgicalandneuroicu" w:history="1">
              <w:r w:rsidR="00474CAF" w:rsidRPr="008D0E55">
                <w:rPr>
                  <w:rStyle w:val="Hyperlink"/>
                  <w:rFonts w:cs="Arial"/>
                  <w:snapToGrid w:val="0"/>
                </w:rPr>
                <w:t>general medical</w:t>
              </w:r>
              <w:r w:rsidR="00727147">
                <w:rPr>
                  <w:rStyle w:val="Hyperlink"/>
                  <w:rFonts w:cs="Arial"/>
                  <w:snapToGrid w:val="0"/>
                </w:rPr>
                <w:t>, surgical, medical/</w:t>
              </w:r>
              <w:r w:rsidRPr="008D0E55">
                <w:rPr>
                  <w:rStyle w:val="Hyperlink"/>
                  <w:rFonts w:cs="Arial"/>
                  <w:snapToGrid w:val="0"/>
                </w:rPr>
                <w:t>surgical</w:t>
              </w:r>
              <w:r w:rsidR="00A55E70">
                <w:rPr>
                  <w:rStyle w:val="Hyperlink"/>
                  <w:rFonts w:cs="Arial"/>
                  <w:snapToGrid w:val="0"/>
                </w:rPr>
                <w:t xml:space="preserve">, </w:t>
              </w:r>
              <w:r w:rsidR="00474CAF" w:rsidRPr="008D0E55">
                <w:rPr>
                  <w:rStyle w:val="Hyperlink"/>
                  <w:rFonts w:cs="Arial"/>
                  <w:snapToGrid w:val="0"/>
                </w:rPr>
                <w:t>or neuro</w:t>
              </w:r>
              <w:r w:rsidR="00F23F1C" w:rsidRPr="008D0E55">
                <w:rPr>
                  <w:rStyle w:val="Hyperlink"/>
                  <w:rFonts w:cs="Arial"/>
                  <w:snapToGrid w:val="0"/>
                </w:rPr>
                <w:t xml:space="preserve"> </w:t>
              </w:r>
              <w:r w:rsidRPr="008D0E55">
                <w:rPr>
                  <w:rStyle w:val="Hyperlink"/>
                  <w:rFonts w:cs="Arial"/>
                  <w:snapToGrid w:val="0"/>
                </w:rPr>
                <w:t>ICUs</w:t>
              </w:r>
            </w:hyperlink>
            <w:r w:rsidR="00BF053F">
              <w:rPr>
                <w:rFonts w:ascii="ZWAdobeF" w:hAnsi="ZWAdobeF" w:cs="ZWAdobeF"/>
                <w:sz w:val="2"/>
                <w:szCs w:val="2"/>
              </w:rPr>
              <w:t>13F</w:t>
            </w:r>
            <w:r w:rsidR="004C7557">
              <w:rPr>
                <w:rFonts w:ascii="ZWAdobeF" w:hAnsi="ZWAdobeF" w:cs="ZWAdobeF"/>
                <w:sz w:val="2"/>
                <w:szCs w:val="2"/>
              </w:rPr>
              <w:t>13F</w:t>
            </w:r>
            <w:r w:rsidR="00C2087D">
              <w:rPr>
                <w:rFonts w:ascii="ZWAdobeF" w:hAnsi="ZWAdobeF" w:cs="ZWAdobeF"/>
                <w:sz w:val="2"/>
                <w:szCs w:val="2"/>
              </w:rPr>
              <w:t>13F</w:t>
            </w:r>
            <w:r w:rsidR="00B55C41">
              <w:rPr>
                <w:rFonts w:ascii="ZWAdobeF" w:hAnsi="ZWAdobeF" w:cs="ZWAdobeF"/>
                <w:sz w:val="2"/>
                <w:szCs w:val="2"/>
              </w:rPr>
              <w:t>13F</w:t>
            </w:r>
            <w:r w:rsidR="006255A6">
              <w:rPr>
                <w:rFonts w:ascii="ZWAdobeF" w:hAnsi="ZWAdobeF" w:cs="ZWAdobeF"/>
                <w:sz w:val="2"/>
                <w:szCs w:val="2"/>
              </w:rPr>
              <w:t>13F</w:t>
            </w:r>
            <w:r w:rsidR="00E453C7">
              <w:rPr>
                <w:rFonts w:ascii="ZWAdobeF" w:hAnsi="ZWAdobeF" w:cs="ZWAdobeF"/>
                <w:sz w:val="2"/>
                <w:szCs w:val="2"/>
              </w:rPr>
              <w:t>13F</w:t>
            </w:r>
            <w:r w:rsidR="00953060">
              <w:rPr>
                <w:rFonts w:ascii="ZWAdobeF" w:hAnsi="ZWAdobeF" w:cs="ZWAdobeF"/>
                <w:sz w:val="2"/>
                <w:szCs w:val="2"/>
              </w:rPr>
              <w:t>13F</w:t>
            </w:r>
            <w:r w:rsidR="00DD04D6">
              <w:rPr>
                <w:rFonts w:ascii="ZWAdobeF" w:hAnsi="ZWAdobeF" w:cs="ZWAdobeF"/>
                <w:sz w:val="2"/>
                <w:szCs w:val="2"/>
              </w:rPr>
              <w:t>13F</w:t>
            </w:r>
            <w:r w:rsidR="003B5C29">
              <w:rPr>
                <w:rStyle w:val="EndnoteReference"/>
                <w:snapToGrid w:val="0"/>
              </w:rPr>
              <w:endnoteReference w:id="15"/>
            </w:r>
            <w:r w:rsidRPr="00532CF2">
              <w:rPr>
                <w:rFonts w:cs="Arial"/>
                <w:snapToGrid w:val="0"/>
              </w:rPr>
              <w:t>?</w:t>
            </w:r>
          </w:p>
          <w:p w14:paraId="0ABE56F1" w14:textId="77777777" w:rsidR="00DF70B3" w:rsidRPr="00532CF2" w:rsidRDefault="00DF70B3" w:rsidP="00BE6BA0">
            <w:pPr>
              <w:ind w:left="450"/>
              <w:rPr>
                <w:rFonts w:cs="Arial"/>
                <w:snapToGrid w:val="0"/>
              </w:rPr>
            </w:pPr>
          </w:p>
          <w:p w14:paraId="40170DB1" w14:textId="1F446300" w:rsidR="00611C76" w:rsidRDefault="00611C76" w:rsidP="00BE6BA0">
            <w:pPr>
              <w:ind w:left="450"/>
              <w:rPr>
                <w:rFonts w:cs="Arial"/>
                <w:i/>
                <w:snapToGrid w:val="0"/>
              </w:rPr>
            </w:pPr>
            <w:r>
              <w:rPr>
                <w:rFonts w:cs="Arial"/>
                <w:i/>
                <w:snapToGrid w:val="0"/>
              </w:rPr>
              <w:t>If “yes</w:t>
            </w:r>
            <w:r w:rsidR="001B4D03">
              <w:rPr>
                <w:rFonts w:cs="Arial"/>
                <w:i/>
                <w:snapToGrid w:val="0"/>
              </w:rPr>
              <w:t>, adult only</w:t>
            </w:r>
            <w:r>
              <w:rPr>
                <w:rFonts w:cs="Arial"/>
                <w:i/>
                <w:snapToGrid w:val="0"/>
              </w:rPr>
              <w:t>” to question #6, skip question</w:t>
            </w:r>
            <w:r w:rsidR="001B4D03">
              <w:rPr>
                <w:rFonts w:cs="Arial"/>
                <w:i/>
                <w:snapToGrid w:val="0"/>
              </w:rPr>
              <w:t>s</w:t>
            </w:r>
            <w:r>
              <w:rPr>
                <w:rFonts w:cs="Arial"/>
                <w:i/>
                <w:snapToGrid w:val="0"/>
              </w:rPr>
              <w:t xml:space="preserve"> #1</w:t>
            </w:r>
            <w:r w:rsidR="001B4D03">
              <w:rPr>
                <w:rFonts w:cs="Arial"/>
                <w:i/>
                <w:snapToGrid w:val="0"/>
              </w:rPr>
              <w:t>0-13</w:t>
            </w:r>
            <w:r>
              <w:rPr>
                <w:rFonts w:cs="Arial"/>
                <w:i/>
                <w:snapToGrid w:val="0"/>
              </w:rPr>
              <w:t xml:space="preserve"> below.</w:t>
            </w:r>
          </w:p>
          <w:p w14:paraId="118FC3E4" w14:textId="77777777" w:rsidR="00E8141D" w:rsidRDefault="00E8141D" w:rsidP="00BE6BA0">
            <w:pPr>
              <w:ind w:left="450"/>
              <w:rPr>
                <w:rFonts w:cs="Arial"/>
                <w:i/>
                <w:snapToGrid w:val="0"/>
              </w:rPr>
            </w:pPr>
          </w:p>
          <w:p w14:paraId="59FB823B" w14:textId="7FAB9756" w:rsidR="00E8141D" w:rsidRDefault="00E8141D" w:rsidP="00BE6BA0">
            <w:pPr>
              <w:ind w:left="450"/>
              <w:rPr>
                <w:rFonts w:cs="Arial"/>
                <w:i/>
                <w:snapToGrid w:val="0"/>
              </w:rPr>
            </w:pPr>
            <w:r w:rsidRPr="00090EBD">
              <w:rPr>
                <w:rFonts w:cs="Arial"/>
                <w:i/>
                <w:snapToGrid w:val="0"/>
              </w:rPr>
              <w:t>If “yes, pediatric only” to question #6, skip questions #7-9 and #13 below.</w:t>
            </w:r>
          </w:p>
          <w:p w14:paraId="341FDA90" w14:textId="77777777" w:rsidR="00E8141D" w:rsidRDefault="00E8141D" w:rsidP="00BE6BA0">
            <w:pPr>
              <w:ind w:left="450"/>
              <w:rPr>
                <w:rFonts w:cs="Arial"/>
                <w:i/>
                <w:snapToGrid w:val="0"/>
              </w:rPr>
            </w:pPr>
          </w:p>
          <w:p w14:paraId="638B332F" w14:textId="075DFB76" w:rsidR="00E8141D" w:rsidRDefault="00E8141D" w:rsidP="00BE6BA0">
            <w:pPr>
              <w:ind w:left="450"/>
              <w:rPr>
                <w:rFonts w:cs="Arial"/>
                <w:i/>
                <w:snapToGrid w:val="0"/>
              </w:rPr>
            </w:pPr>
            <w:r w:rsidRPr="00090EBD">
              <w:rPr>
                <w:rFonts w:cs="Arial"/>
                <w:i/>
                <w:snapToGrid w:val="0"/>
              </w:rPr>
              <w:t>If “yes,</w:t>
            </w:r>
            <w:r>
              <w:rPr>
                <w:rFonts w:cs="Arial"/>
                <w:i/>
                <w:snapToGrid w:val="0"/>
              </w:rPr>
              <w:t xml:space="preserve"> adult and</w:t>
            </w:r>
            <w:r w:rsidRPr="00090EBD">
              <w:rPr>
                <w:rFonts w:cs="Arial"/>
                <w:i/>
                <w:snapToGrid w:val="0"/>
              </w:rPr>
              <w:t xml:space="preserve"> pediatric” to question #6, skip question</w:t>
            </w:r>
            <w:r>
              <w:rPr>
                <w:rFonts w:cs="Arial"/>
                <w:i/>
                <w:snapToGrid w:val="0"/>
              </w:rPr>
              <w:t xml:space="preserve"> </w:t>
            </w:r>
            <w:r w:rsidRPr="00090EBD">
              <w:rPr>
                <w:rFonts w:cs="Arial"/>
                <w:i/>
                <w:snapToGrid w:val="0"/>
              </w:rPr>
              <w:t>#13 below.</w:t>
            </w:r>
          </w:p>
          <w:p w14:paraId="6FC95A42" w14:textId="77777777" w:rsidR="00611C76" w:rsidRDefault="00611C76" w:rsidP="00BE6BA0">
            <w:pPr>
              <w:ind w:left="450"/>
              <w:rPr>
                <w:rFonts w:cs="Arial"/>
                <w:i/>
                <w:snapToGrid w:val="0"/>
              </w:rPr>
            </w:pPr>
          </w:p>
          <w:p w14:paraId="431A0343" w14:textId="39C8E877" w:rsidR="00DF70B3" w:rsidRPr="00532CF2" w:rsidRDefault="00DF70B3" w:rsidP="00BE6BA0">
            <w:pPr>
              <w:ind w:left="450"/>
              <w:rPr>
                <w:rFonts w:cs="Arial"/>
                <w:i/>
                <w:snapToGrid w:val="0"/>
              </w:rPr>
            </w:pPr>
            <w:r w:rsidRPr="00532CF2">
              <w:rPr>
                <w:rFonts w:cs="Arial"/>
                <w:i/>
                <w:snapToGrid w:val="0"/>
              </w:rPr>
              <w:t>If “no” to question #6, skip questions #7-</w:t>
            </w:r>
            <w:r w:rsidR="006C6143">
              <w:rPr>
                <w:rFonts w:cs="Arial"/>
                <w:i/>
                <w:snapToGrid w:val="0"/>
              </w:rPr>
              <w:t>1</w:t>
            </w:r>
            <w:r w:rsidR="00123085">
              <w:rPr>
                <w:rFonts w:cs="Arial"/>
                <w:i/>
                <w:snapToGrid w:val="0"/>
              </w:rPr>
              <w:t>2</w:t>
            </w:r>
            <w:r w:rsidRPr="00532CF2">
              <w:rPr>
                <w:rFonts w:cs="Arial"/>
                <w:i/>
                <w:snapToGrid w:val="0"/>
              </w:rPr>
              <w:t xml:space="preserve"> and continue to question #1</w:t>
            </w:r>
            <w:r w:rsidR="00123085">
              <w:rPr>
                <w:rFonts w:cs="Arial"/>
                <w:i/>
                <w:snapToGrid w:val="0"/>
              </w:rPr>
              <w:t>3</w:t>
            </w:r>
            <w:r w:rsidRPr="00532CF2">
              <w:rPr>
                <w:rFonts w:cs="Arial"/>
                <w:i/>
                <w:snapToGrid w:val="0"/>
              </w:rPr>
              <w:t>.</w:t>
            </w:r>
          </w:p>
        </w:tc>
        <w:tc>
          <w:tcPr>
            <w:tcW w:w="2947" w:type="dxa"/>
            <w:tcBorders>
              <w:bottom w:val="single" w:sz="4" w:space="0" w:color="auto"/>
            </w:tcBorders>
            <w:vAlign w:val="center"/>
          </w:tcPr>
          <w:p w14:paraId="57FC0585" w14:textId="74046AFE" w:rsidR="004D19E1" w:rsidRDefault="004D19E1" w:rsidP="00AD309C">
            <w:pPr>
              <w:pStyle w:val="ListParagraph"/>
              <w:numPr>
                <w:ilvl w:val="0"/>
                <w:numId w:val="229"/>
              </w:numPr>
              <w:rPr>
                <w:rFonts w:cs="Arial"/>
                <w:iCs/>
                <w:snapToGrid w:val="0"/>
              </w:rPr>
            </w:pPr>
            <w:r w:rsidRPr="00A35DD6">
              <w:rPr>
                <w:rFonts w:cs="Arial"/>
                <w:iCs/>
                <w:snapToGrid w:val="0"/>
              </w:rPr>
              <w:t>Yes</w:t>
            </w:r>
            <w:r w:rsidR="001B4D03">
              <w:rPr>
                <w:rFonts w:cs="Arial"/>
                <w:iCs/>
                <w:snapToGrid w:val="0"/>
              </w:rPr>
              <w:t>, adult only</w:t>
            </w:r>
          </w:p>
          <w:p w14:paraId="367AB8BB" w14:textId="479065B3" w:rsidR="001B4D03" w:rsidRDefault="001B4D03" w:rsidP="00AD309C">
            <w:pPr>
              <w:pStyle w:val="ListParagraph"/>
              <w:numPr>
                <w:ilvl w:val="0"/>
                <w:numId w:val="229"/>
              </w:numPr>
              <w:rPr>
                <w:rFonts w:cs="Arial"/>
                <w:iCs/>
                <w:snapToGrid w:val="0"/>
              </w:rPr>
            </w:pPr>
            <w:r>
              <w:rPr>
                <w:rFonts w:cs="Arial"/>
                <w:iCs/>
                <w:snapToGrid w:val="0"/>
              </w:rPr>
              <w:t>Yes, pediatric only</w:t>
            </w:r>
          </w:p>
          <w:p w14:paraId="3780FF0D" w14:textId="5C9E5C68" w:rsidR="001B4D03" w:rsidRPr="00A35DD6" w:rsidRDefault="001B4D03" w:rsidP="00AD309C">
            <w:pPr>
              <w:pStyle w:val="ListParagraph"/>
              <w:numPr>
                <w:ilvl w:val="0"/>
                <w:numId w:val="229"/>
              </w:numPr>
              <w:rPr>
                <w:rFonts w:cs="Arial"/>
                <w:iCs/>
                <w:snapToGrid w:val="0"/>
              </w:rPr>
            </w:pPr>
            <w:r>
              <w:rPr>
                <w:rFonts w:cs="Arial"/>
                <w:iCs/>
                <w:snapToGrid w:val="0"/>
              </w:rPr>
              <w:t>Yes, adult and pediatric</w:t>
            </w:r>
          </w:p>
          <w:p w14:paraId="7A6C9388" w14:textId="77777777" w:rsidR="004D19E1" w:rsidRPr="00FA46D8" w:rsidRDefault="004D19E1" w:rsidP="00AD309C">
            <w:pPr>
              <w:pStyle w:val="ListParagraph"/>
              <w:numPr>
                <w:ilvl w:val="0"/>
                <w:numId w:val="229"/>
              </w:numPr>
              <w:rPr>
                <w:rFonts w:cs="Arial"/>
                <w:i/>
                <w:snapToGrid w:val="0"/>
              </w:rPr>
            </w:pPr>
            <w:r w:rsidRPr="00A35DD6">
              <w:rPr>
                <w:rFonts w:cs="Arial"/>
                <w:iCs/>
                <w:snapToGrid w:val="0"/>
              </w:rPr>
              <w:t>No</w:t>
            </w:r>
          </w:p>
        </w:tc>
      </w:tr>
      <w:tr w:rsidR="008D6E32" w:rsidRPr="009A5185" w14:paraId="02E5D542" w14:textId="77777777" w:rsidTr="00BE6BA0">
        <w:tc>
          <w:tcPr>
            <w:tcW w:w="6588" w:type="dxa"/>
            <w:vAlign w:val="center"/>
          </w:tcPr>
          <w:p w14:paraId="60624F8E" w14:textId="498B7715" w:rsidR="008D6E32" w:rsidRPr="00532CF2" w:rsidRDefault="008D6E32" w:rsidP="00BE6BA0">
            <w:pPr>
              <w:numPr>
                <w:ilvl w:val="0"/>
                <w:numId w:val="1"/>
              </w:numPr>
              <w:tabs>
                <w:tab w:val="num" w:pos="450"/>
              </w:tabs>
              <w:ind w:left="450" w:hanging="450"/>
              <w:rPr>
                <w:rFonts w:cs="Arial"/>
                <w:snapToGrid w:val="0"/>
              </w:rPr>
            </w:pPr>
            <w:r w:rsidRPr="00532CF2">
              <w:rPr>
                <w:rFonts w:cs="Arial"/>
                <w:snapToGrid w:val="0"/>
              </w:rPr>
              <w:t>Total number of</w:t>
            </w:r>
            <w:r w:rsidR="000568FE">
              <w:rPr>
                <w:rFonts w:cstheme="minorHAnsi"/>
              </w:rPr>
              <w:t xml:space="preserve"> </w:t>
            </w:r>
            <w:hyperlink w:anchor="Endnote12_LICU" w:history="1">
              <w:hyperlink w:anchor="licensedICUBed" w:history="1">
                <w:r w:rsidR="00ED05B4">
                  <w:rPr>
                    <w:rStyle w:val="Hyperlink"/>
                    <w:rFonts w:cs="Arial"/>
                    <w:snapToGrid w:val="0"/>
                  </w:rPr>
                  <w:t>licensed</w:t>
                </w:r>
              </w:hyperlink>
              <w:r w:rsidR="007541D0">
                <w:rPr>
                  <w:rStyle w:val="Hyperlink"/>
                  <w:rFonts w:ascii="ZWAdobeF" w:hAnsi="ZWAdobeF" w:cs="ZWAdobeF"/>
                  <w:snapToGrid w:val="0"/>
                  <w:color w:val="auto"/>
                  <w:sz w:val="2"/>
                  <w:szCs w:val="2"/>
                  <w:u w:val="none"/>
                </w:rPr>
                <w:t>12F</w:t>
              </w:r>
              <w:r w:rsidR="00BF053F">
                <w:rPr>
                  <w:rStyle w:val="Hyperlink"/>
                  <w:rFonts w:ascii="ZWAdobeF" w:hAnsi="ZWAdobeF" w:cs="ZWAdobeF"/>
                  <w:snapToGrid w:val="0"/>
                  <w:color w:val="auto"/>
                  <w:sz w:val="2"/>
                  <w:szCs w:val="2"/>
                  <w:u w:val="none"/>
                </w:rPr>
                <w:t>14F</w:t>
              </w:r>
              <w:r w:rsidR="004C7557">
                <w:rPr>
                  <w:rStyle w:val="Hyperlink"/>
                  <w:rFonts w:ascii="ZWAdobeF" w:hAnsi="ZWAdobeF" w:cs="ZWAdobeF"/>
                  <w:snapToGrid w:val="0"/>
                  <w:color w:val="auto"/>
                  <w:sz w:val="2"/>
                  <w:szCs w:val="2"/>
                  <w:u w:val="none"/>
                </w:rPr>
                <w:t>14F</w:t>
              </w:r>
              <w:r w:rsidR="00C2087D">
                <w:rPr>
                  <w:rStyle w:val="Hyperlink"/>
                  <w:rFonts w:ascii="ZWAdobeF" w:hAnsi="ZWAdobeF" w:cs="ZWAdobeF"/>
                  <w:snapToGrid w:val="0"/>
                  <w:color w:val="auto"/>
                  <w:sz w:val="2"/>
                  <w:szCs w:val="2"/>
                  <w:u w:val="none"/>
                </w:rPr>
                <w:t>14F</w:t>
              </w:r>
              <w:r w:rsidR="00B55C41">
                <w:rPr>
                  <w:rStyle w:val="Hyperlink"/>
                  <w:rFonts w:ascii="ZWAdobeF" w:hAnsi="ZWAdobeF" w:cs="ZWAdobeF"/>
                  <w:snapToGrid w:val="0"/>
                  <w:color w:val="auto"/>
                  <w:sz w:val="2"/>
                  <w:szCs w:val="2"/>
                  <w:u w:val="none"/>
                </w:rPr>
                <w:t>14F</w:t>
              </w:r>
              <w:r w:rsidR="006255A6">
                <w:rPr>
                  <w:rStyle w:val="Hyperlink"/>
                  <w:rFonts w:ascii="ZWAdobeF" w:hAnsi="ZWAdobeF" w:cs="ZWAdobeF"/>
                  <w:snapToGrid w:val="0"/>
                  <w:color w:val="auto"/>
                  <w:sz w:val="2"/>
                  <w:szCs w:val="2"/>
                  <w:u w:val="none"/>
                </w:rPr>
                <w:t>14F</w:t>
              </w:r>
              <w:r w:rsidR="00E453C7">
                <w:rPr>
                  <w:rStyle w:val="Hyperlink"/>
                  <w:rFonts w:ascii="ZWAdobeF" w:hAnsi="ZWAdobeF" w:cs="ZWAdobeF"/>
                  <w:snapToGrid w:val="0"/>
                  <w:color w:val="auto"/>
                  <w:sz w:val="2"/>
                  <w:szCs w:val="2"/>
                  <w:u w:val="none"/>
                </w:rPr>
                <w:t>14F</w:t>
              </w:r>
              <w:r w:rsidR="00953060">
                <w:rPr>
                  <w:rStyle w:val="Hyperlink"/>
                  <w:rFonts w:ascii="ZWAdobeF" w:hAnsi="ZWAdobeF" w:cs="ZWAdobeF"/>
                  <w:snapToGrid w:val="0"/>
                  <w:color w:val="auto"/>
                  <w:sz w:val="2"/>
                  <w:szCs w:val="2"/>
                  <w:u w:val="none"/>
                </w:rPr>
                <w:t>14F</w:t>
              </w:r>
              <w:r w:rsidR="00DD04D6">
                <w:rPr>
                  <w:rStyle w:val="Hyperlink"/>
                  <w:rFonts w:ascii="ZWAdobeF" w:hAnsi="ZWAdobeF" w:cs="ZWAdobeF"/>
                  <w:snapToGrid w:val="0"/>
                  <w:color w:val="auto"/>
                  <w:sz w:val="2"/>
                  <w:szCs w:val="2"/>
                  <w:u w:val="none"/>
                </w:rPr>
                <w:t>14F</w:t>
              </w:r>
              <w:r w:rsidR="007541D0" w:rsidRPr="00532CF2">
                <w:rPr>
                  <w:rStyle w:val="EndnoteReference"/>
                  <w:rFonts w:cs="Arial"/>
                  <w:snapToGrid w:val="0"/>
                </w:rPr>
                <w:endnoteReference w:id="16"/>
              </w:r>
            </w:hyperlink>
            <w:r w:rsidR="00ED05B4">
              <w:rPr>
                <w:rFonts w:cstheme="minorHAnsi"/>
              </w:rPr>
              <w:t xml:space="preserve"> </w:t>
            </w:r>
            <w:r w:rsidR="000568FE">
              <w:rPr>
                <w:rFonts w:cstheme="minorHAnsi"/>
              </w:rPr>
              <w:t xml:space="preserve">adult </w:t>
            </w:r>
            <w:r w:rsidR="00C1112A">
              <w:rPr>
                <w:rFonts w:cs="Arial"/>
                <w:snapToGrid w:val="0"/>
              </w:rPr>
              <w:t>general medical, surgical, medical/surgical, and neuro</w:t>
            </w:r>
            <w:r w:rsidR="00F51CA9">
              <w:t xml:space="preserve"> ICU</w:t>
            </w:r>
            <w:r w:rsidR="000F0582">
              <w:rPr>
                <w:rStyle w:val="Hyperlink"/>
                <w:rFonts w:ascii="ZWAdobeF" w:hAnsi="ZWAdobeF" w:cs="ZWAdobeF"/>
                <w:snapToGrid w:val="0"/>
                <w:color w:val="auto"/>
                <w:sz w:val="2"/>
                <w:szCs w:val="2"/>
                <w:u w:val="none"/>
              </w:rPr>
              <w:t>2F</w:t>
            </w:r>
            <w:r w:rsidRPr="00532CF2">
              <w:rPr>
                <w:rFonts w:cs="Arial"/>
                <w:snapToGrid w:val="0"/>
              </w:rPr>
              <w:t xml:space="preserve"> </w:t>
            </w:r>
            <w:r w:rsidR="008323BA">
              <w:rPr>
                <w:rFonts w:cs="Arial"/>
                <w:snapToGrid w:val="0"/>
              </w:rPr>
              <w:t>beds.</w:t>
            </w:r>
          </w:p>
        </w:tc>
        <w:tc>
          <w:tcPr>
            <w:tcW w:w="2947" w:type="dxa"/>
            <w:vAlign w:val="center"/>
          </w:tcPr>
          <w:p w14:paraId="3AC3C192" w14:textId="37A1D12F" w:rsidR="008D6E32" w:rsidRPr="009A5185" w:rsidRDefault="008D6E32" w:rsidP="00887DBF">
            <w:pPr>
              <w:jc w:val="center"/>
              <w:rPr>
                <w:rFonts w:cs="Arial"/>
                <w:snapToGrid w:val="0"/>
              </w:rPr>
            </w:pPr>
            <w:r w:rsidRPr="00361DD5">
              <w:rPr>
                <w:rFonts w:cs="Arial"/>
                <w:i/>
                <w:snapToGrid w:val="0"/>
              </w:rPr>
              <w:t>_____</w:t>
            </w:r>
          </w:p>
        </w:tc>
      </w:tr>
      <w:tr w:rsidR="008D6E32" w:rsidRPr="009A5185" w14:paraId="17EA1AC6" w14:textId="77777777" w:rsidTr="00BE6BA0">
        <w:tc>
          <w:tcPr>
            <w:tcW w:w="6588" w:type="dxa"/>
            <w:vAlign w:val="center"/>
          </w:tcPr>
          <w:p w14:paraId="463308F0" w14:textId="06643394" w:rsidR="008D6E32" w:rsidRPr="00532CF2" w:rsidRDefault="008D6E32" w:rsidP="00BE6BA0">
            <w:pPr>
              <w:numPr>
                <w:ilvl w:val="0"/>
                <w:numId w:val="1"/>
              </w:numPr>
              <w:tabs>
                <w:tab w:val="num" w:pos="450"/>
              </w:tabs>
              <w:ind w:left="450" w:hanging="450"/>
              <w:rPr>
                <w:rFonts w:cs="Arial"/>
                <w:snapToGrid w:val="0"/>
              </w:rPr>
            </w:pPr>
            <w:r w:rsidRPr="00532CF2">
              <w:rPr>
                <w:rFonts w:cs="Arial"/>
                <w:snapToGrid w:val="0"/>
              </w:rPr>
              <w:t xml:space="preserve">Total number of </w:t>
            </w:r>
            <w:hyperlink w:anchor="staffedicubed" w:history="1">
              <w:r w:rsidR="008B7D82" w:rsidRPr="0030504F">
                <w:rPr>
                  <w:rStyle w:val="Hyperlink"/>
                  <w:rFonts w:cs="Arial"/>
                  <w:snapToGrid w:val="0"/>
                </w:rPr>
                <w:t>staffed</w:t>
              </w:r>
            </w:hyperlink>
            <w:r w:rsidR="00BF053F">
              <w:rPr>
                <w:rFonts w:ascii="ZWAdobeF" w:hAnsi="ZWAdobeF" w:cs="ZWAdobeF"/>
                <w:sz w:val="2"/>
                <w:szCs w:val="2"/>
              </w:rPr>
              <w:t>15F</w:t>
            </w:r>
            <w:r w:rsidR="004C7557">
              <w:rPr>
                <w:rFonts w:ascii="ZWAdobeF" w:hAnsi="ZWAdobeF" w:cs="ZWAdobeF"/>
                <w:sz w:val="2"/>
                <w:szCs w:val="2"/>
              </w:rPr>
              <w:t>15F</w:t>
            </w:r>
            <w:r w:rsidR="00C2087D">
              <w:rPr>
                <w:rFonts w:ascii="ZWAdobeF" w:hAnsi="ZWAdobeF" w:cs="ZWAdobeF"/>
                <w:sz w:val="2"/>
                <w:szCs w:val="2"/>
              </w:rPr>
              <w:t>15F</w:t>
            </w:r>
            <w:r w:rsidR="00B55C41">
              <w:rPr>
                <w:rFonts w:ascii="ZWAdobeF" w:hAnsi="ZWAdobeF" w:cs="ZWAdobeF"/>
                <w:sz w:val="2"/>
                <w:szCs w:val="2"/>
              </w:rPr>
              <w:t>15F</w:t>
            </w:r>
            <w:r w:rsidR="006255A6">
              <w:rPr>
                <w:rFonts w:ascii="ZWAdobeF" w:hAnsi="ZWAdobeF" w:cs="ZWAdobeF"/>
                <w:sz w:val="2"/>
                <w:szCs w:val="2"/>
              </w:rPr>
              <w:t>15F</w:t>
            </w:r>
            <w:r w:rsidR="00E453C7">
              <w:rPr>
                <w:rFonts w:ascii="ZWAdobeF" w:hAnsi="ZWAdobeF" w:cs="ZWAdobeF"/>
                <w:sz w:val="2"/>
                <w:szCs w:val="2"/>
              </w:rPr>
              <w:t>15F</w:t>
            </w:r>
            <w:r w:rsidR="00953060">
              <w:rPr>
                <w:rFonts w:ascii="ZWAdobeF" w:hAnsi="ZWAdobeF" w:cs="ZWAdobeF"/>
                <w:sz w:val="2"/>
                <w:szCs w:val="2"/>
              </w:rPr>
              <w:t>15F</w:t>
            </w:r>
            <w:r w:rsidR="00DD04D6">
              <w:rPr>
                <w:rFonts w:ascii="ZWAdobeF" w:hAnsi="ZWAdobeF" w:cs="ZWAdobeF"/>
                <w:sz w:val="2"/>
                <w:szCs w:val="2"/>
              </w:rPr>
              <w:t>15F</w:t>
            </w:r>
            <w:r w:rsidR="008B7D82">
              <w:rPr>
                <w:rStyle w:val="EndnoteReference"/>
                <w:snapToGrid w:val="0"/>
              </w:rPr>
              <w:endnoteReference w:id="17"/>
            </w:r>
            <w:r w:rsidR="008B7D82">
              <w:rPr>
                <w:rFonts w:cs="Arial"/>
                <w:snapToGrid w:val="0"/>
              </w:rPr>
              <w:t xml:space="preserve"> </w:t>
            </w:r>
            <w:r w:rsidR="00DF2595">
              <w:rPr>
                <w:rFonts w:cs="Arial"/>
                <w:snapToGrid w:val="0"/>
              </w:rPr>
              <w:t>adult general medical, surgical, medical/surgical, and neuro</w:t>
            </w:r>
            <w:r w:rsidR="000B5B27">
              <w:rPr>
                <w:rFonts w:cs="Arial"/>
                <w:snapToGrid w:val="0"/>
              </w:rPr>
              <w:t xml:space="preserve"> ICU</w:t>
            </w:r>
            <w:r w:rsidR="000F0582">
              <w:rPr>
                <w:rStyle w:val="Hyperlink"/>
                <w:rFonts w:ascii="ZWAdobeF" w:hAnsi="ZWAdobeF" w:cs="ZWAdobeF"/>
                <w:snapToGrid w:val="0"/>
                <w:color w:val="auto"/>
                <w:sz w:val="2"/>
                <w:szCs w:val="2"/>
                <w:u w:val="none"/>
              </w:rPr>
              <w:t>13F</w:t>
            </w:r>
            <w:r w:rsidRPr="00532CF2">
              <w:rPr>
                <w:rFonts w:cs="Arial"/>
                <w:snapToGrid w:val="0"/>
              </w:rPr>
              <w:t xml:space="preserve"> beds.</w:t>
            </w:r>
          </w:p>
        </w:tc>
        <w:tc>
          <w:tcPr>
            <w:tcW w:w="2947" w:type="dxa"/>
            <w:vAlign w:val="center"/>
          </w:tcPr>
          <w:p w14:paraId="7C565AE6" w14:textId="77A1E670" w:rsidR="008D6E32" w:rsidRPr="009A5185" w:rsidRDefault="008D6E32" w:rsidP="00887DBF">
            <w:pPr>
              <w:jc w:val="center"/>
              <w:rPr>
                <w:rFonts w:cs="Arial"/>
                <w:snapToGrid w:val="0"/>
              </w:rPr>
            </w:pPr>
            <w:r w:rsidRPr="00361DD5">
              <w:rPr>
                <w:rFonts w:cs="Arial"/>
                <w:i/>
                <w:snapToGrid w:val="0"/>
              </w:rPr>
              <w:t>_____</w:t>
            </w:r>
          </w:p>
        </w:tc>
      </w:tr>
      <w:tr w:rsidR="008D6E32" w:rsidRPr="009A5185" w14:paraId="7C31827B" w14:textId="77777777" w:rsidTr="00BE6BA0">
        <w:tc>
          <w:tcPr>
            <w:tcW w:w="6588" w:type="dxa"/>
            <w:vAlign w:val="center"/>
          </w:tcPr>
          <w:p w14:paraId="0B11E318" w14:textId="5446850D" w:rsidR="008D6E32" w:rsidRPr="00532CF2" w:rsidRDefault="008D6E32" w:rsidP="00BE6BA0">
            <w:pPr>
              <w:numPr>
                <w:ilvl w:val="0"/>
                <w:numId w:val="1"/>
              </w:numPr>
              <w:tabs>
                <w:tab w:val="num" w:pos="450"/>
              </w:tabs>
              <w:ind w:left="450" w:hanging="450"/>
              <w:rPr>
                <w:rFonts w:cs="Arial"/>
                <w:snapToGrid w:val="0"/>
              </w:rPr>
            </w:pPr>
            <w:r w:rsidRPr="00532CF2">
              <w:rPr>
                <w:rFonts w:cs="Arial"/>
                <w:snapToGrid w:val="0"/>
              </w:rPr>
              <w:t>Total number of</w:t>
            </w:r>
            <w:r w:rsidR="00AC0136">
              <w:rPr>
                <w:rFonts w:cs="Arial"/>
                <w:snapToGrid w:val="0"/>
              </w:rPr>
              <w:t xml:space="preserve"> adult </w:t>
            </w:r>
            <w:hyperlink w:anchor="generalmedicalsurgicalandneuroicu" w:history="1">
              <w:r w:rsidR="000A5A55" w:rsidRPr="008D0E55">
                <w:rPr>
                  <w:rStyle w:val="Hyperlink"/>
                  <w:rFonts w:cs="Arial"/>
                  <w:snapToGrid w:val="0"/>
                </w:rPr>
                <w:t>general medical</w:t>
              </w:r>
              <w:r w:rsidR="000A5A55">
                <w:rPr>
                  <w:rStyle w:val="Hyperlink"/>
                  <w:rFonts w:cs="Arial"/>
                  <w:snapToGrid w:val="0"/>
                </w:rPr>
                <w:t>, surgical, medical/</w:t>
              </w:r>
              <w:r w:rsidR="000A5A55" w:rsidRPr="008D0E55">
                <w:rPr>
                  <w:rStyle w:val="Hyperlink"/>
                  <w:rFonts w:cs="Arial"/>
                  <w:snapToGrid w:val="0"/>
                </w:rPr>
                <w:t>surgical</w:t>
              </w:r>
              <w:r w:rsidR="000A5A55">
                <w:rPr>
                  <w:rStyle w:val="Hyperlink"/>
                  <w:rFonts w:cs="Arial"/>
                  <w:snapToGrid w:val="0"/>
                </w:rPr>
                <w:t>,</w:t>
              </w:r>
              <w:r w:rsidR="000A5A55" w:rsidRPr="008D0E55">
                <w:rPr>
                  <w:rStyle w:val="Hyperlink"/>
                  <w:rFonts w:cs="Arial"/>
                  <w:snapToGrid w:val="0"/>
                </w:rPr>
                <w:t xml:space="preserve"> </w:t>
              </w:r>
              <w:r w:rsidR="00F25E8F">
                <w:rPr>
                  <w:rStyle w:val="Hyperlink"/>
                  <w:rFonts w:cs="Arial"/>
                  <w:snapToGrid w:val="0"/>
                </w:rPr>
                <w:t xml:space="preserve">and </w:t>
              </w:r>
              <w:r w:rsidR="000A5A55" w:rsidRPr="008D0E55">
                <w:rPr>
                  <w:rStyle w:val="Hyperlink"/>
                  <w:rFonts w:cs="Arial"/>
                  <w:snapToGrid w:val="0"/>
                </w:rPr>
                <w:t>neuro ICU</w:t>
              </w:r>
            </w:hyperlink>
            <w:r w:rsidR="000A5A55" w:rsidRPr="000A5A55">
              <w:rPr>
                <w:snapToGrid w:val="0"/>
                <w:vertAlign w:val="superscript"/>
              </w:rPr>
              <w:t>14</w:t>
            </w:r>
            <w:r w:rsidR="005567C9">
              <w:rPr>
                <w:rFonts w:cs="Arial"/>
                <w:snapToGrid w:val="0"/>
              </w:rPr>
              <w:t xml:space="preserve"> </w:t>
            </w:r>
            <w:r w:rsidR="002563D2">
              <w:rPr>
                <w:rFonts w:cs="Arial"/>
                <w:snapToGrid w:val="0"/>
              </w:rPr>
              <w:t>admissions</w:t>
            </w:r>
            <w:r w:rsidR="00FA5BC0">
              <w:rPr>
                <w:rFonts w:cs="Arial"/>
                <w:snapToGrid w:val="0"/>
              </w:rPr>
              <w:t xml:space="preserve"> during the reporting period. </w:t>
            </w:r>
            <w:r w:rsidR="008A7792">
              <w:rPr>
                <w:rFonts w:cs="Arial"/>
                <w:snapToGrid w:val="0"/>
              </w:rPr>
              <w:t xml:space="preserve"> </w:t>
            </w:r>
          </w:p>
        </w:tc>
        <w:tc>
          <w:tcPr>
            <w:tcW w:w="2947" w:type="dxa"/>
            <w:vAlign w:val="center"/>
          </w:tcPr>
          <w:p w14:paraId="1BED5DBB" w14:textId="6F01018E" w:rsidR="008D6E32" w:rsidRPr="009A5185" w:rsidRDefault="008D6E32" w:rsidP="00887DBF">
            <w:pPr>
              <w:jc w:val="center"/>
              <w:rPr>
                <w:rFonts w:cs="Arial"/>
                <w:snapToGrid w:val="0"/>
              </w:rPr>
            </w:pPr>
            <w:r w:rsidRPr="00361DD5">
              <w:rPr>
                <w:rFonts w:cs="Arial"/>
                <w:i/>
                <w:snapToGrid w:val="0"/>
              </w:rPr>
              <w:t>_____</w:t>
            </w:r>
          </w:p>
        </w:tc>
      </w:tr>
      <w:tr w:rsidR="004019EB" w:rsidRPr="009A5185" w14:paraId="0E8DA64C" w14:textId="77777777" w:rsidTr="00BE6BA0">
        <w:tc>
          <w:tcPr>
            <w:tcW w:w="6588" w:type="dxa"/>
            <w:vAlign w:val="center"/>
          </w:tcPr>
          <w:p w14:paraId="6181C632" w14:textId="296CAB31" w:rsidR="004019EB" w:rsidRPr="00532CF2" w:rsidRDefault="00404EE6" w:rsidP="00BE6BA0">
            <w:pPr>
              <w:numPr>
                <w:ilvl w:val="0"/>
                <w:numId w:val="1"/>
              </w:numPr>
              <w:tabs>
                <w:tab w:val="num" w:pos="450"/>
              </w:tabs>
              <w:ind w:left="450" w:hanging="450"/>
              <w:rPr>
                <w:rFonts w:cs="Arial"/>
                <w:snapToGrid w:val="0"/>
              </w:rPr>
            </w:pPr>
            <w:r w:rsidRPr="003B4181">
              <w:rPr>
                <w:rFonts w:cs="Arial"/>
                <w:snapToGrid w:val="0"/>
              </w:rPr>
              <w:t xml:space="preserve">Total number of </w:t>
            </w:r>
            <w:hyperlink w:anchor="licensedICUBed" w:history="1">
              <w:r w:rsidRPr="009338D6">
                <w:rPr>
                  <w:rStyle w:val="Hyperlink"/>
                  <w:rFonts w:cs="Arial"/>
                  <w:snapToGrid w:val="0"/>
                </w:rPr>
                <w:t>licensed</w:t>
              </w:r>
            </w:hyperlink>
            <w:r w:rsidRPr="00FB5CD9">
              <w:rPr>
                <w:rFonts w:cs="Arial"/>
                <w:snapToGrid w:val="0"/>
                <w:vertAlign w:val="superscript"/>
              </w:rPr>
              <w:t>15</w:t>
            </w:r>
            <w:r>
              <w:rPr>
                <w:rFonts w:cs="Arial"/>
                <w:snapToGrid w:val="0"/>
              </w:rPr>
              <w:t xml:space="preserve"> pediatric</w:t>
            </w:r>
            <w:r w:rsidRPr="003B4181">
              <w:rPr>
                <w:rFonts w:cs="Arial"/>
                <w:snapToGrid w:val="0"/>
              </w:rPr>
              <w:t xml:space="preserve"> general medical, surgical, medical/surgical, and neuro ICU beds.</w:t>
            </w:r>
          </w:p>
        </w:tc>
        <w:tc>
          <w:tcPr>
            <w:tcW w:w="2947" w:type="dxa"/>
            <w:vAlign w:val="center"/>
          </w:tcPr>
          <w:p w14:paraId="4A9D45DA" w14:textId="77777777" w:rsidR="004019EB" w:rsidRPr="00361DD5" w:rsidRDefault="004019EB" w:rsidP="00887DBF">
            <w:pPr>
              <w:jc w:val="center"/>
              <w:rPr>
                <w:rFonts w:cs="Arial"/>
                <w:i/>
                <w:snapToGrid w:val="0"/>
              </w:rPr>
            </w:pPr>
          </w:p>
        </w:tc>
      </w:tr>
      <w:tr w:rsidR="004019EB" w:rsidRPr="009A5185" w14:paraId="1557259A" w14:textId="77777777" w:rsidTr="00BE6BA0">
        <w:tc>
          <w:tcPr>
            <w:tcW w:w="6588" w:type="dxa"/>
            <w:vAlign w:val="center"/>
          </w:tcPr>
          <w:p w14:paraId="1AF7D014" w14:textId="06F1FB01" w:rsidR="004019EB" w:rsidRPr="00532CF2" w:rsidRDefault="004E2CAC" w:rsidP="00BE6BA0">
            <w:pPr>
              <w:numPr>
                <w:ilvl w:val="0"/>
                <w:numId w:val="1"/>
              </w:numPr>
              <w:tabs>
                <w:tab w:val="num" w:pos="450"/>
              </w:tabs>
              <w:ind w:left="450" w:hanging="450"/>
              <w:rPr>
                <w:rFonts w:cs="Arial"/>
                <w:snapToGrid w:val="0"/>
              </w:rPr>
            </w:pPr>
            <w:r w:rsidRPr="002F0244">
              <w:rPr>
                <w:rFonts w:cs="Arial"/>
                <w:snapToGrid w:val="0"/>
              </w:rPr>
              <w:t xml:space="preserve">Total number of </w:t>
            </w:r>
            <w:hyperlink w:anchor="staffedicubed" w:history="1">
              <w:r w:rsidRPr="00FB5CD9">
                <w:rPr>
                  <w:rStyle w:val="Hyperlink"/>
                  <w:rFonts w:cs="Arial"/>
                  <w:snapToGrid w:val="0"/>
                </w:rPr>
                <w:t>staffed</w:t>
              </w:r>
            </w:hyperlink>
            <w:r w:rsidR="00FB5CD9" w:rsidRPr="00FB5CD9">
              <w:rPr>
                <w:rFonts w:cs="Arial"/>
                <w:snapToGrid w:val="0"/>
                <w:vertAlign w:val="superscript"/>
              </w:rPr>
              <w:t>16</w:t>
            </w:r>
            <w:r w:rsidRPr="00FB5CD9">
              <w:rPr>
                <w:rFonts w:cs="Arial"/>
                <w:snapToGrid w:val="0"/>
                <w:vertAlign w:val="superscript"/>
              </w:rPr>
              <w:t xml:space="preserve"> </w:t>
            </w:r>
            <w:r w:rsidRPr="002F0244">
              <w:rPr>
                <w:rFonts w:cs="Arial"/>
                <w:snapToGrid w:val="0"/>
              </w:rPr>
              <w:t>pediatric general medical, surgical, medical/surgical, and neuro ICU beds.</w:t>
            </w:r>
          </w:p>
        </w:tc>
        <w:tc>
          <w:tcPr>
            <w:tcW w:w="2947" w:type="dxa"/>
            <w:vAlign w:val="center"/>
          </w:tcPr>
          <w:p w14:paraId="2FF64238" w14:textId="77777777" w:rsidR="004019EB" w:rsidRPr="00361DD5" w:rsidRDefault="004019EB" w:rsidP="00887DBF">
            <w:pPr>
              <w:jc w:val="center"/>
              <w:rPr>
                <w:rFonts w:cs="Arial"/>
                <w:i/>
                <w:snapToGrid w:val="0"/>
              </w:rPr>
            </w:pPr>
          </w:p>
        </w:tc>
      </w:tr>
      <w:tr w:rsidR="00C46BFD" w:rsidRPr="009A5185" w14:paraId="09D8BC92" w14:textId="77777777" w:rsidTr="00BE6BA0">
        <w:tc>
          <w:tcPr>
            <w:tcW w:w="6588" w:type="dxa"/>
            <w:vAlign w:val="center"/>
          </w:tcPr>
          <w:p w14:paraId="7C4F6505" w14:textId="69F62EE7" w:rsidR="00C46BFD" w:rsidRPr="00532CF2" w:rsidRDefault="00B81CB1" w:rsidP="00BE6BA0">
            <w:pPr>
              <w:numPr>
                <w:ilvl w:val="0"/>
                <w:numId w:val="1"/>
              </w:numPr>
              <w:tabs>
                <w:tab w:val="num" w:pos="450"/>
              </w:tabs>
              <w:ind w:left="450" w:hanging="450"/>
              <w:rPr>
                <w:rFonts w:cs="Arial"/>
                <w:snapToGrid w:val="0"/>
              </w:rPr>
            </w:pPr>
            <w:r>
              <w:rPr>
                <w:rFonts w:cs="Arial"/>
                <w:snapToGrid w:val="0"/>
              </w:rPr>
              <w:lastRenderedPageBreak/>
              <w:t>Total number of</w:t>
            </w:r>
            <w:r w:rsidR="00D211D5">
              <w:rPr>
                <w:rFonts w:cs="Arial"/>
                <w:snapToGrid w:val="0"/>
              </w:rPr>
              <w:t xml:space="preserve"> pediatric</w:t>
            </w:r>
            <w:r>
              <w:rPr>
                <w:rFonts w:cs="Arial"/>
                <w:snapToGrid w:val="0"/>
              </w:rPr>
              <w:t xml:space="preserve"> </w:t>
            </w:r>
            <w:hyperlink w:anchor="generalmedicalsurgicalandneuroicu" w:history="1">
              <w:r w:rsidR="00692118" w:rsidRPr="008D0E55">
                <w:rPr>
                  <w:rStyle w:val="Hyperlink"/>
                  <w:rFonts w:cs="Arial"/>
                  <w:snapToGrid w:val="0"/>
                </w:rPr>
                <w:t>general medical</w:t>
              </w:r>
              <w:r w:rsidR="00692118">
                <w:rPr>
                  <w:rStyle w:val="Hyperlink"/>
                  <w:rFonts w:cs="Arial"/>
                  <w:snapToGrid w:val="0"/>
                </w:rPr>
                <w:t>, surgical, medical/</w:t>
              </w:r>
              <w:r w:rsidR="00692118" w:rsidRPr="008D0E55">
                <w:rPr>
                  <w:rStyle w:val="Hyperlink"/>
                  <w:rFonts w:cs="Arial"/>
                  <w:snapToGrid w:val="0"/>
                </w:rPr>
                <w:t>surgical</w:t>
              </w:r>
              <w:r w:rsidR="00692118">
                <w:rPr>
                  <w:rStyle w:val="Hyperlink"/>
                  <w:rFonts w:cs="Arial"/>
                  <w:snapToGrid w:val="0"/>
                </w:rPr>
                <w:t>,</w:t>
              </w:r>
              <w:r w:rsidR="00692118" w:rsidRPr="008D0E55">
                <w:rPr>
                  <w:rStyle w:val="Hyperlink"/>
                  <w:rFonts w:cs="Arial"/>
                  <w:snapToGrid w:val="0"/>
                </w:rPr>
                <w:t xml:space="preserve"> </w:t>
              </w:r>
              <w:r w:rsidR="00692118">
                <w:rPr>
                  <w:rStyle w:val="Hyperlink"/>
                  <w:rFonts w:cs="Arial"/>
                  <w:snapToGrid w:val="0"/>
                </w:rPr>
                <w:t xml:space="preserve">and </w:t>
              </w:r>
              <w:r w:rsidR="00692118" w:rsidRPr="008D0E55">
                <w:rPr>
                  <w:rStyle w:val="Hyperlink"/>
                  <w:rFonts w:cs="Arial"/>
                  <w:snapToGrid w:val="0"/>
                </w:rPr>
                <w:t>neuro ICU</w:t>
              </w:r>
            </w:hyperlink>
            <w:r w:rsidR="00692118" w:rsidRPr="000A5A55">
              <w:rPr>
                <w:snapToGrid w:val="0"/>
                <w:vertAlign w:val="superscript"/>
              </w:rPr>
              <w:t>14</w:t>
            </w:r>
            <w:r w:rsidR="00692118">
              <w:rPr>
                <w:rFonts w:cs="Arial"/>
                <w:snapToGrid w:val="0"/>
              </w:rPr>
              <w:t xml:space="preserve"> </w:t>
            </w:r>
            <w:r w:rsidR="00D440DF">
              <w:rPr>
                <w:rFonts w:cs="Arial"/>
                <w:snapToGrid w:val="0"/>
              </w:rPr>
              <w:t>admissions</w:t>
            </w:r>
            <w:r w:rsidR="00E01FD0">
              <w:rPr>
                <w:rFonts w:cs="Arial"/>
                <w:snapToGrid w:val="0"/>
                <w:vertAlign w:val="superscript"/>
              </w:rPr>
              <w:t xml:space="preserve"> </w:t>
            </w:r>
            <w:r>
              <w:rPr>
                <w:rFonts w:cs="Arial"/>
                <w:snapToGrid w:val="0"/>
              </w:rPr>
              <w:t xml:space="preserve">during the reporting period. </w:t>
            </w:r>
          </w:p>
        </w:tc>
        <w:tc>
          <w:tcPr>
            <w:tcW w:w="2947" w:type="dxa"/>
            <w:vAlign w:val="center"/>
          </w:tcPr>
          <w:p w14:paraId="0CE35FA4" w14:textId="77777777" w:rsidR="00C46BFD" w:rsidRPr="00361DD5" w:rsidRDefault="00C46BFD" w:rsidP="00887DBF">
            <w:pPr>
              <w:jc w:val="center"/>
              <w:rPr>
                <w:rFonts w:cs="Arial"/>
                <w:i/>
                <w:snapToGrid w:val="0"/>
              </w:rPr>
            </w:pPr>
          </w:p>
        </w:tc>
      </w:tr>
      <w:tr w:rsidR="006A2A3B" w:rsidRPr="009A5185" w14:paraId="29C4CCDC" w14:textId="77777777" w:rsidTr="00BE6BA0">
        <w:tc>
          <w:tcPr>
            <w:tcW w:w="6588" w:type="dxa"/>
            <w:vAlign w:val="center"/>
          </w:tcPr>
          <w:p w14:paraId="0EB1BA51" w14:textId="293929A1" w:rsidR="006A2A3B" w:rsidRDefault="006A2A3B" w:rsidP="006A2A3B">
            <w:pPr>
              <w:numPr>
                <w:ilvl w:val="0"/>
                <w:numId w:val="1"/>
              </w:numPr>
              <w:tabs>
                <w:tab w:val="num" w:pos="450"/>
              </w:tabs>
              <w:ind w:left="450" w:hanging="450"/>
              <w:rPr>
                <w:rFonts w:cs="Arial"/>
                <w:snapToGrid w:val="0"/>
              </w:rPr>
            </w:pPr>
            <w:r>
              <w:rPr>
                <w:rFonts w:cs="Arial"/>
                <w:snapToGrid w:val="0"/>
              </w:rPr>
              <w:t xml:space="preserve">If your hospital does not </w:t>
            </w:r>
            <w:r w:rsidR="00826804">
              <w:rPr>
                <w:rFonts w:cs="Arial"/>
                <w:snapToGrid w:val="0"/>
              </w:rPr>
              <w:t xml:space="preserve">operate </w:t>
            </w:r>
            <w:r>
              <w:rPr>
                <w:rFonts w:cs="Arial"/>
                <w:snapToGrid w:val="0"/>
              </w:rPr>
              <w:t xml:space="preserve">dedicated </w:t>
            </w:r>
            <w:r w:rsidR="00CD0F19">
              <w:rPr>
                <w:rFonts w:cs="Arial"/>
                <w:snapToGrid w:val="0"/>
              </w:rPr>
              <w:t xml:space="preserve">adult </w:t>
            </w:r>
            <w:r w:rsidR="006D1DEE">
              <w:rPr>
                <w:rFonts w:cs="Arial"/>
                <w:snapToGrid w:val="0"/>
              </w:rPr>
              <w:t xml:space="preserve">or pediatric </w:t>
            </w:r>
            <w:r>
              <w:rPr>
                <w:rFonts w:cs="Arial"/>
                <w:snapToGrid w:val="0"/>
              </w:rPr>
              <w:t>general medical</w:t>
            </w:r>
            <w:r w:rsidR="007275A8">
              <w:rPr>
                <w:rFonts w:cs="Arial"/>
                <w:snapToGrid w:val="0"/>
              </w:rPr>
              <w:t xml:space="preserve">, </w:t>
            </w:r>
            <w:r>
              <w:rPr>
                <w:rFonts w:cs="Arial"/>
                <w:snapToGrid w:val="0"/>
              </w:rPr>
              <w:t>surgical</w:t>
            </w:r>
            <w:r w:rsidR="007275A8">
              <w:rPr>
                <w:rFonts w:cs="Arial"/>
                <w:snapToGrid w:val="0"/>
              </w:rPr>
              <w:t>, medical/surgical</w:t>
            </w:r>
            <w:r w:rsidR="00EB2893">
              <w:rPr>
                <w:rFonts w:cs="Arial"/>
                <w:snapToGrid w:val="0"/>
              </w:rPr>
              <w:t xml:space="preserve">, </w:t>
            </w:r>
            <w:r>
              <w:rPr>
                <w:rFonts w:cs="Arial"/>
                <w:snapToGrid w:val="0"/>
              </w:rPr>
              <w:t>or neuro ICUs, does your hospital admit adult and/or pediatric general medical</w:t>
            </w:r>
            <w:r w:rsidR="00BE4F6A">
              <w:rPr>
                <w:rFonts w:cs="Arial"/>
                <w:snapToGrid w:val="0"/>
              </w:rPr>
              <w:t xml:space="preserve">, </w:t>
            </w:r>
            <w:r>
              <w:rPr>
                <w:rFonts w:cs="Arial"/>
                <w:snapToGrid w:val="0"/>
              </w:rPr>
              <w:t>surgical</w:t>
            </w:r>
            <w:r w:rsidR="0094685A">
              <w:rPr>
                <w:rFonts w:cs="Arial"/>
                <w:snapToGrid w:val="0"/>
              </w:rPr>
              <w:t>, medical/surgical</w:t>
            </w:r>
            <w:r w:rsidR="00E6558E">
              <w:rPr>
                <w:rFonts w:cs="Arial"/>
                <w:snapToGrid w:val="0"/>
              </w:rPr>
              <w:t xml:space="preserve"> or </w:t>
            </w:r>
            <w:r>
              <w:rPr>
                <w:rFonts w:cs="Arial"/>
                <w:snapToGrid w:val="0"/>
              </w:rPr>
              <w:t>neuro ICU patients to mixed</w:t>
            </w:r>
            <w:r w:rsidR="00C91FC6">
              <w:rPr>
                <w:rFonts w:cs="Arial"/>
                <w:snapToGrid w:val="0"/>
              </w:rPr>
              <w:t xml:space="preserve"> </w:t>
            </w:r>
            <w:r>
              <w:rPr>
                <w:rFonts w:cs="Arial"/>
                <w:snapToGrid w:val="0"/>
              </w:rPr>
              <w:t>acuity units?</w:t>
            </w:r>
          </w:p>
        </w:tc>
        <w:tc>
          <w:tcPr>
            <w:tcW w:w="2947" w:type="dxa"/>
            <w:vAlign w:val="center"/>
          </w:tcPr>
          <w:p w14:paraId="2B6DBC48" w14:textId="77777777" w:rsidR="006A2A3B" w:rsidRDefault="006A2A3B" w:rsidP="00AD309C">
            <w:pPr>
              <w:pStyle w:val="ListParagraph"/>
              <w:numPr>
                <w:ilvl w:val="0"/>
                <w:numId w:val="229"/>
              </w:numPr>
              <w:rPr>
                <w:rFonts w:cs="Arial"/>
                <w:iCs/>
                <w:snapToGrid w:val="0"/>
              </w:rPr>
            </w:pPr>
            <w:r w:rsidRPr="00A35DD6">
              <w:rPr>
                <w:rFonts w:cs="Arial"/>
                <w:iCs/>
                <w:snapToGrid w:val="0"/>
              </w:rPr>
              <w:t>Yes</w:t>
            </w:r>
          </w:p>
          <w:p w14:paraId="53456F1F" w14:textId="3955CB87" w:rsidR="006A2A3B" w:rsidRPr="00DA2C57" w:rsidRDefault="006A2A3B" w:rsidP="00AD309C">
            <w:pPr>
              <w:pStyle w:val="ListParagraph"/>
              <w:numPr>
                <w:ilvl w:val="0"/>
                <w:numId w:val="229"/>
              </w:numPr>
              <w:rPr>
                <w:rFonts w:cs="Arial"/>
                <w:iCs/>
                <w:snapToGrid w:val="0"/>
              </w:rPr>
            </w:pPr>
            <w:r w:rsidRPr="006A2A3B">
              <w:rPr>
                <w:rFonts w:cs="Arial"/>
                <w:iCs/>
                <w:snapToGrid w:val="0"/>
              </w:rPr>
              <w:t>No</w:t>
            </w:r>
          </w:p>
        </w:tc>
      </w:tr>
      <w:tr w:rsidR="006A2A3B" w:rsidRPr="009A5185" w14:paraId="74E0AC05" w14:textId="77777777" w:rsidTr="00BE6BA0">
        <w:tc>
          <w:tcPr>
            <w:tcW w:w="6588" w:type="dxa"/>
            <w:vAlign w:val="center"/>
          </w:tcPr>
          <w:p w14:paraId="1267A7B1" w14:textId="71FE6AA6" w:rsidR="006A2A3B" w:rsidRPr="00532CF2" w:rsidRDefault="006A2A3B" w:rsidP="006A2A3B">
            <w:pPr>
              <w:numPr>
                <w:ilvl w:val="0"/>
                <w:numId w:val="1"/>
              </w:numPr>
              <w:tabs>
                <w:tab w:val="num" w:pos="450"/>
              </w:tabs>
              <w:ind w:left="450" w:hanging="450"/>
              <w:rPr>
                <w:rFonts w:cs="Arial"/>
                <w:snapToGrid w:val="0"/>
              </w:rPr>
            </w:pPr>
            <w:r w:rsidRPr="00532CF2">
              <w:rPr>
                <w:rFonts w:cs="Arial"/>
                <w:snapToGrid w:val="0"/>
              </w:rPr>
              <w:t xml:space="preserve">Does your hospital operate any of the following specialty ICUs: medical cardiac, respiratory, surgical cardiothoracic, burn, trauma, pediatric cardiothoracic, oncology, </w:t>
            </w:r>
            <w:r w:rsidR="00A049C2" w:rsidRPr="009D1AB6">
              <w:t xml:space="preserve">Level II/III neonatal ICU, Level III neonatal ICU, or Level IV </w:t>
            </w:r>
            <w:hyperlink w:anchor="neonatalICU" w:history="1">
              <w:r w:rsidR="00A049C2" w:rsidRPr="00C367DB">
                <w:rPr>
                  <w:rStyle w:val="Hyperlink"/>
                  <w:rFonts w:cs="Arial"/>
                  <w:snapToGrid w:val="0"/>
                </w:rPr>
                <w:t>neonatal ICU</w:t>
              </w:r>
            </w:hyperlink>
            <w:r w:rsidR="009964A5" w:rsidRPr="009964A5">
              <w:rPr>
                <w:rFonts w:cs="Arial"/>
                <w:snapToGrid w:val="0"/>
                <w:vertAlign w:val="superscript"/>
              </w:rPr>
              <w:t>17</w:t>
            </w:r>
            <w:r w:rsidRPr="00532CF2">
              <w:rPr>
                <w:rFonts w:cs="Arial"/>
                <w:snapToGrid w:val="0"/>
              </w:rPr>
              <w:t>?</w:t>
            </w:r>
          </w:p>
          <w:p w14:paraId="2D98E048" w14:textId="77777777" w:rsidR="006A2A3B" w:rsidRPr="00532CF2" w:rsidRDefault="006A2A3B" w:rsidP="006A2A3B">
            <w:pPr>
              <w:rPr>
                <w:rFonts w:cs="Arial"/>
                <w:snapToGrid w:val="0"/>
              </w:rPr>
            </w:pPr>
          </w:p>
          <w:p w14:paraId="5CE0FFB9" w14:textId="4B364EC4" w:rsidR="006A2A3B" w:rsidRPr="00532CF2" w:rsidRDefault="006A2A3B" w:rsidP="006A2A3B">
            <w:pPr>
              <w:ind w:left="450"/>
              <w:rPr>
                <w:rFonts w:cs="Arial"/>
                <w:i/>
                <w:snapToGrid w:val="0"/>
              </w:rPr>
            </w:pPr>
            <w:r w:rsidRPr="00532CF2">
              <w:rPr>
                <w:rFonts w:cs="Arial"/>
                <w:i/>
                <w:snapToGrid w:val="0"/>
              </w:rPr>
              <w:t>If “no” to question #1</w:t>
            </w:r>
            <w:r w:rsidR="009964A5">
              <w:rPr>
                <w:rFonts w:cs="Arial"/>
                <w:i/>
                <w:snapToGrid w:val="0"/>
              </w:rPr>
              <w:t>4</w:t>
            </w:r>
            <w:r w:rsidRPr="00532CF2">
              <w:rPr>
                <w:rFonts w:cs="Arial"/>
                <w:i/>
                <w:snapToGrid w:val="0"/>
              </w:rPr>
              <w:t>, skip question #1</w:t>
            </w:r>
            <w:r w:rsidR="009964A5">
              <w:rPr>
                <w:rFonts w:cs="Arial"/>
                <w:i/>
                <w:snapToGrid w:val="0"/>
              </w:rPr>
              <w:t>5</w:t>
            </w:r>
            <w:r w:rsidRPr="00532CF2">
              <w:rPr>
                <w:rFonts w:cs="Arial"/>
                <w:i/>
                <w:snapToGrid w:val="0"/>
              </w:rPr>
              <w:t xml:space="preserve"> and continue to question #1</w:t>
            </w:r>
            <w:r w:rsidR="009964A5">
              <w:rPr>
                <w:rFonts w:cs="Arial"/>
                <w:i/>
                <w:snapToGrid w:val="0"/>
              </w:rPr>
              <w:t>6</w:t>
            </w:r>
            <w:r w:rsidRPr="00532CF2">
              <w:rPr>
                <w:rFonts w:cs="Arial"/>
                <w:i/>
                <w:snapToGrid w:val="0"/>
              </w:rPr>
              <w:t>.</w:t>
            </w:r>
          </w:p>
        </w:tc>
        <w:tc>
          <w:tcPr>
            <w:tcW w:w="2947" w:type="dxa"/>
            <w:vAlign w:val="center"/>
          </w:tcPr>
          <w:p w14:paraId="3EBF46AE" w14:textId="77777777" w:rsidR="006A2A3B" w:rsidRPr="00A35DD6" w:rsidRDefault="006A2A3B" w:rsidP="00AD309C">
            <w:pPr>
              <w:pStyle w:val="ListParagraph"/>
              <w:numPr>
                <w:ilvl w:val="0"/>
                <w:numId w:val="230"/>
              </w:numPr>
              <w:rPr>
                <w:rFonts w:cs="Arial"/>
                <w:iCs/>
                <w:snapToGrid w:val="0"/>
              </w:rPr>
            </w:pPr>
            <w:r w:rsidRPr="00A35DD6">
              <w:rPr>
                <w:rFonts w:cs="Arial"/>
                <w:iCs/>
                <w:snapToGrid w:val="0"/>
              </w:rPr>
              <w:t>Yes</w:t>
            </w:r>
          </w:p>
          <w:p w14:paraId="4B075F52" w14:textId="77777777" w:rsidR="006A2A3B" w:rsidRPr="00A35DD6" w:rsidRDefault="006A2A3B" w:rsidP="00AD309C">
            <w:pPr>
              <w:pStyle w:val="ListParagraph"/>
              <w:numPr>
                <w:ilvl w:val="0"/>
                <w:numId w:val="230"/>
              </w:numPr>
              <w:rPr>
                <w:rFonts w:cs="Arial"/>
                <w:snapToGrid w:val="0"/>
              </w:rPr>
            </w:pPr>
            <w:r w:rsidRPr="00A35DD6">
              <w:rPr>
                <w:rFonts w:cs="Arial"/>
                <w:iCs/>
                <w:snapToGrid w:val="0"/>
              </w:rPr>
              <w:t>No</w:t>
            </w:r>
          </w:p>
        </w:tc>
      </w:tr>
      <w:tr w:rsidR="006A2A3B" w:rsidRPr="009A5185" w14:paraId="39DFC40B" w14:textId="77777777" w:rsidTr="00BE6BA0">
        <w:trPr>
          <w:trHeight w:val="458"/>
        </w:trPr>
        <w:tc>
          <w:tcPr>
            <w:tcW w:w="6588" w:type="dxa"/>
            <w:vAlign w:val="center"/>
          </w:tcPr>
          <w:p w14:paraId="21CDB008" w14:textId="4D1B6B2A" w:rsidR="006A2A3B" w:rsidRPr="009A5185" w:rsidRDefault="006A2A3B" w:rsidP="006A2A3B">
            <w:pPr>
              <w:numPr>
                <w:ilvl w:val="0"/>
                <w:numId w:val="1"/>
              </w:numPr>
              <w:tabs>
                <w:tab w:val="num" w:pos="450"/>
              </w:tabs>
              <w:ind w:left="450" w:hanging="450"/>
              <w:rPr>
                <w:rFonts w:cs="Arial"/>
                <w:snapToGrid w:val="0"/>
              </w:rPr>
            </w:pPr>
            <w:r w:rsidRPr="00584FB1">
              <w:rPr>
                <w:rFonts w:cs="Arial"/>
                <w:snapToGrid w:val="0"/>
              </w:rPr>
              <w:t xml:space="preserve">Total number of </w:t>
            </w:r>
            <w:bookmarkStart w:id="97" w:name="_Ref4511251"/>
            <w:r w:rsidR="00833ED8" w:rsidRPr="005D1B2A">
              <w:rPr>
                <w:rStyle w:val="Hyperlink"/>
                <w:rFonts w:cs="Arial"/>
                <w:snapToGrid w:val="0"/>
                <w:color w:val="auto"/>
                <w:u w:val="none"/>
              </w:rPr>
              <w:t>admissions to</w:t>
            </w:r>
            <w:r w:rsidR="00814F45">
              <w:rPr>
                <w:rStyle w:val="Hyperlink"/>
                <w:rFonts w:cs="Arial"/>
                <w:snapToGrid w:val="0"/>
                <w:color w:val="auto"/>
                <w:u w:val="none"/>
              </w:rPr>
              <w:t xml:space="preserve"> a</w:t>
            </w:r>
            <w:r w:rsidR="00833ED8" w:rsidRPr="005D1B2A">
              <w:rPr>
                <w:rStyle w:val="Hyperlink"/>
                <w:rFonts w:cs="Arial"/>
                <w:snapToGrid w:val="0"/>
                <w:color w:val="auto"/>
                <w:u w:val="none"/>
              </w:rPr>
              <w:t xml:space="preserve"> Level II/III, Level III, or Level IV</w:t>
            </w:r>
            <w:r w:rsidR="00833ED8" w:rsidRPr="00833ED8">
              <w:rPr>
                <w:rStyle w:val="Hyperlink"/>
                <w:rFonts w:cs="Arial"/>
                <w:snapToGrid w:val="0"/>
              </w:rPr>
              <w:t xml:space="preserve"> </w:t>
            </w:r>
            <w:hyperlink w:anchor="neonatalICU" w:history="1">
              <w:r w:rsidR="00833ED8" w:rsidRPr="00833ED8">
                <w:rPr>
                  <w:rStyle w:val="Hyperlink"/>
                  <w:rFonts w:cs="Arial"/>
                  <w:snapToGrid w:val="0"/>
                </w:rPr>
                <w:t>neonatal ICU</w:t>
              </w:r>
              <w:r w:rsidRPr="00833ED8">
                <w:rPr>
                  <w:rStyle w:val="Hyperlink"/>
                  <w:rFonts w:ascii="ZWAdobeF" w:hAnsi="ZWAdobeF" w:cs="ZWAdobeF"/>
                  <w:snapToGrid w:val="0"/>
                  <w:sz w:val="2"/>
                  <w:szCs w:val="2"/>
                </w:rPr>
                <w:t>15F</w:t>
              </w:r>
              <w:r w:rsidR="00BF053F" w:rsidRPr="00833ED8">
                <w:rPr>
                  <w:rStyle w:val="Hyperlink"/>
                  <w:rFonts w:ascii="ZWAdobeF" w:hAnsi="ZWAdobeF" w:cs="ZWAdobeF"/>
                  <w:snapToGrid w:val="0"/>
                  <w:sz w:val="2"/>
                  <w:szCs w:val="2"/>
                </w:rPr>
                <w:t>16F</w:t>
              </w:r>
              <w:r w:rsidR="004C7557" w:rsidRPr="00833ED8">
                <w:rPr>
                  <w:rStyle w:val="Hyperlink"/>
                  <w:rFonts w:ascii="ZWAdobeF" w:hAnsi="ZWAdobeF" w:cs="ZWAdobeF"/>
                  <w:snapToGrid w:val="0"/>
                  <w:sz w:val="2"/>
                  <w:szCs w:val="2"/>
                </w:rPr>
                <w:t>16F</w:t>
              </w:r>
            </w:hyperlink>
            <w:r w:rsidR="00C2087D">
              <w:rPr>
                <w:rFonts w:ascii="ZWAdobeF" w:hAnsi="ZWAdobeF" w:cs="ZWAdobeF"/>
                <w:sz w:val="2"/>
                <w:szCs w:val="2"/>
              </w:rPr>
              <w:t>16F</w:t>
            </w:r>
            <w:r w:rsidR="00B55C41">
              <w:rPr>
                <w:rFonts w:ascii="ZWAdobeF" w:hAnsi="ZWAdobeF" w:cs="ZWAdobeF"/>
                <w:sz w:val="2"/>
                <w:szCs w:val="2"/>
              </w:rPr>
              <w:t>16F</w:t>
            </w:r>
            <w:r w:rsidR="006255A6">
              <w:rPr>
                <w:rFonts w:ascii="ZWAdobeF" w:hAnsi="ZWAdobeF" w:cs="ZWAdobeF"/>
                <w:sz w:val="2"/>
                <w:szCs w:val="2"/>
              </w:rPr>
              <w:t>16F</w:t>
            </w:r>
            <w:r w:rsidR="00E453C7">
              <w:rPr>
                <w:rFonts w:ascii="ZWAdobeF" w:hAnsi="ZWAdobeF" w:cs="ZWAdobeF"/>
                <w:sz w:val="2"/>
                <w:szCs w:val="2"/>
              </w:rPr>
              <w:t>16F</w:t>
            </w:r>
            <w:r w:rsidR="00953060">
              <w:rPr>
                <w:rFonts w:ascii="ZWAdobeF" w:hAnsi="ZWAdobeF" w:cs="ZWAdobeF"/>
                <w:sz w:val="2"/>
                <w:szCs w:val="2"/>
              </w:rPr>
              <w:t>16F</w:t>
            </w:r>
            <w:r w:rsidR="00DD04D6">
              <w:rPr>
                <w:rFonts w:ascii="ZWAdobeF" w:hAnsi="ZWAdobeF" w:cs="ZWAdobeF"/>
                <w:sz w:val="2"/>
                <w:szCs w:val="2"/>
              </w:rPr>
              <w:t>16F</w:t>
            </w:r>
            <w:r w:rsidRPr="00532CF2">
              <w:rPr>
                <w:rStyle w:val="EndnoteReference"/>
                <w:rFonts w:cs="Arial"/>
                <w:snapToGrid w:val="0"/>
              </w:rPr>
              <w:endnoteReference w:id="18"/>
            </w:r>
            <w:bookmarkEnd w:id="97"/>
            <w:r w:rsidRPr="00584FB1">
              <w:rPr>
                <w:rFonts w:cs="Arial"/>
                <w:snapToGrid w:val="0"/>
              </w:rPr>
              <w:t xml:space="preserve"> during the reporting period.</w:t>
            </w:r>
          </w:p>
        </w:tc>
        <w:tc>
          <w:tcPr>
            <w:tcW w:w="2947" w:type="dxa"/>
            <w:shd w:val="clear" w:color="auto" w:fill="FFFFFF" w:themeFill="background1"/>
            <w:vAlign w:val="center"/>
          </w:tcPr>
          <w:p w14:paraId="6AE6F8B2" w14:textId="2D95AE97" w:rsidR="006A2A3B" w:rsidRPr="009A5185" w:rsidRDefault="006A2A3B" w:rsidP="006A2A3B">
            <w:pPr>
              <w:jc w:val="center"/>
              <w:rPr>
                <w:rFonts w:cs="Arial"/>
                <w:i/>
                <w:snapToGrid w:val="0"/>
              </w:rPr>
            </w:pPr>
            <w:r w:rsidRPr="009A5185">
              <w:rPr>
                <w:rFonts w:cs="Arial"/>
                <w:i/>
                <w:snapToGrid w:val="0"/>
              </w:rPr>
              <w:t>_____</w:t>
            </w:r>
          </w:p>
        </w:tc>
      </w:tr>
      <w:tr w:rsidR="006A2A3B" w:rsidRPr="009A5185" w14:paraId="3C3FFBDD" w14:textId="77777777" w:rsidTr="00584FB1">
        <w:trPr>
          <w:trHeight w:val="458"/>
        </w:trPr>
        <w:tc>
          <w:tcPr>
            <w:tcW w:w="6588" w:type="dxa"/>
            <w:vAlign w:val="center"/>
          </w:tcPr>
          <w:p w14:paraId="3A11738B" w14:textId="79268131" w:rsidR="006A2A3B" w:rsidRPr="00584FB1" w:rsidRDefault="006A2A3B" w:rsidP="006A2A3B">
            <w:pPr>
              <w:numPr>
                <w:ilvl w:val="0"/>
                <w:numId w:val="1"/>
              </w:numPr>
              <w:tabs>
                <w:tab w:val="num" w:pos="450"/>
              </w:tabs>
              <w:ind w:left="450" w:hanging="450"/>
              <w:rPr>
                <w:rFonts w:cs="Arial"/>
                <w:snapToGrid w:val="0"/>
              </w:rPr>
            </w:pPr>
            <w:r w:rsidRPr="009A5185">
              <w:rPr>
                <w:rFonts w:cs="Arial"/>
                <w:snapToGrid w:val="0"/>
              </w:rPr>
              <w:t xml:space="preserve">Is your hospital a Major or Graduate teaching hospital </w:t>
            </w:r>
            <w:r>
              <w:rPr>
                <w:rFonts w:cs="Arial"/>
                <w:snapToGrid w:val="0"/>
              </w:rPr>
              <w:t>(based on NHSN</w:t>
            </w:r>
            <w:r w:rsidR="00EB7C2F">
              <w:rPr>
                <w:rFonts w:cs="Arial"/>
                <w:snapToGrid w:val="0"/>
              </w:rPr>
              <w:t>’s</w:t>
            </w:r>
            <w:r>
              <w:rPr>
                <w:rFonts w:cs="Arial"/>
                <w:snapToGrid w:val="0"/>
              </w:rPr>
              <w:t xml:space="preserve"> definitions) </w:t>
            </w:r>
            <w:r w:rsidRPr="009A5185">
              <w:rPr>
                <w:rFonts w:cs="Arial"/>
                <w:snapToGrid w:val="0"/>
              </w:rPr>
              <w:t>for physicians and/or physicians-in-training</w:t>
            </w:r>
            <w:r>
              <w:rPr>
                <w:rFonts w:cs="Arial"/>
                <w:snapToGrid w:val="0"/>
              </w:rPr>
              <w:t xml:space="preserve"> or nursing students</w:t>
            </w:r>
            <w:r w:rsidRPr="009A5185">
              <w:rPr>
                <w:rFonts w:cs="Arial"/>
                <w:snapToGrid w:val="0"/>
              </w:rPr>
              <w:t>?</w:t>
            </w:r>
          </w:p>
        </w:tc>
        <w:tc>
          <w:tcPr>
            <w:tcW w:w="2947" w:type="dxa"/>
            <w:shd w:val="clear" w:color="auto" w:fill="BFBFBF" w:themeFill="background1" w:themeFillShade="BF"/>
            <w:vAlign w:val="center"/>
          </w:tcPr>
          <w:p w14:paraId="4A8A71E3" w14:textId="5DD30D31" w:rsidR="006A2A3B" w:rsidRPr="009A5185" w:rsidRDefault="006A2A3B" w:rsidP="006A2A3B">
            <w:pPr>
              <w:jc w:val="center"/>
              <w:rPr>
                <w:rFonts w:cs="Arial"/>
                <w:i/>
                <w:snapToGrid w:val="0"/>
              </w:rPr>
            </w:pPr>
            <w:r w:rsidRPr="009A5185">
              <w:rPr>
                <w:rFonts w:cs="Arial"/>
                <w:i/>
                <w:snapToGrid w:val="0"/>
              </w:rPr>
              <w:t xml:space="preserve">No response required here. Determined automatically based on NHSN </w:t>
            </w:r>
            <w:r>
              <w:rPr>
                <w:rFonts w:cs="Arial"/>
                <w:i/>
                <w:snapToGrid w:val="0"/>
              </w:rPr>
              <w:t>202</w:t>
            </w:r>
            <w:r w:rsidR="009964A5">
              <w:rPr>
                <w:rFonts w:cs="Arial"/>
                <w:i/>
                <w:snapToGrid w:val="0"/>
              </w:rPr>
              <w:t>5</w:t>
            </w:r>
            <w:r w:rsidRPr="009A5185">
              <w:rPr>
                <w:rFonts w:cs="Arial"/>
                <w:i/>
                <w:snapToGrid w:val="0"/>
              </w:rPr>
              <w:t xml:space="preserve"> Patient Safety Component – Annual Hospital Survey</w:t>
            </w:r>
            <w:r w:rsidRPr="009A5185">
              <w:rPr>
                <w:rFonts w:cs="Arial"/>
                <w:b/>
                <w:i/>
                <w:snapToGrid w:val="0"/>
              </w:rPr>
              <w:t>.</w:t>
            </w:r>
          </w:p>
        </w:tc>
      </w:tr>
    </w:tbl>
    <w:p w14:paraId="5F208B18" w14:textId="77777777" w:rsidR="003600BE" w:rsidRDefault="003600BE"/>
    <w:p w14:paraId="09E93277" w14:textId="5D811D3E" w:rsidR="00BD017D" w:rsidRDefault="00B5779F">
      <w:r w:rsidRPr="00B07246">
        <w:rPr>
          <w:rFonts w:cs="Arial"/>
          <w:i/>
          <w:noProof/>
          <w:snapToGrid w:val="0"/>
        </w:rPr>
        <mc:AlternateContent>
          <mc:Choice Requires="wps">
            <w:drawing>
              <wp:inline distT="0" distB="0" distL="0" distR="0" wp14:anchorId="3D4BC1AB" wp14:editId="0778156B">
                <wp:extent cx="5943600" cy="1462166"/>
                <wp:effectExtent l="0" t="0" r="19050" b="10160"/>
                <wp:docPr id="714893213" name="Text Box 714893213" descr="P1358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62166"/>
                        </a:xfrm>
                        <a:prstGeom prst="rect">
                          <a:avLst/>
                        </a:prstGeom>
                        <a:solidFill>
                          <a:srgbClr val="FFFFFF"/>
                        </a:solidFill>
                        <a:ln w="9525">
                          <a:solidFill>
                            <a:srgbClr val="FF0000"/>
                          </a:solidFill>
                          <a:miter lim="800000"/>
                          <a:headEnd/>
                          <a:tailEnd/>
                        </a:ln>
                      </wps:spPr>
                      <wps:txbx>
                        <w:txbxContent>
                          <w:p w14:paraId="0D597F63" w14:textId="223A02C8" w:rsidR="00B5779F" w:rsidRDefault="00B5779F" w:rsidP="00B5779F">
                            <w:pPr>
                              <w:spacing w:before="40"/>
                              <w:rPr>
                                <w:rFonts w:cs="Arial"/>
                                <w:snapToGrid w:val="0"/>
                              </w:rPr>
                            </w:pPr>
                            <w:r w:rsidRPr="009A5185">
                              <w:rPr>
                                <w:rFonts w:cs="Arial"/>
                                <w:b/>
                                <w:snapToGrid w:val="0"/>
                              </w:rPr>
                              <w:t xml:space="preserve">Reporting Period: </w:t>
                            </w:r>
                            <w:r>
                              <w:rPr>
                                <w:rFonts w:cs="Arial"/>
                                <w:snapToGrid w:val="0"/>
                              </w:rPr>
                              <w:t>Answer questions #1</w:t>
                            </w:r>
                            <w:r w:rsidR="009964A5">
                              <w:rPr>
                                <w:rFonts w:cs="Arial"/>
                                <w:snapToGrid w:val="0"/>
                              </w:rPr>
                              <w:t>7</w:t>
                            </w:r>
                            <w:r>
                              <w:rPr>
                                <w:rFonts w:cs="Arial"/>
                                <w:snapToGrid w:val="0"/>
                              </w:rPr>
                              <w:t>-1</w:t>
                            </w:r>
                            <w:r w:rsidR="009964A5">
                              <w:rPr>
                                <w:rFonts w:cs="Arial"/>
                                <w:snapToGrid w:val="0"/>
                              </w:rPr>
                              <w:t>9</w:t>
                            </w:r>
                            <w:r>
                              <w:rPr>
                                <w:rFonts w:cs="Arial"/>
                                <w:snapToGrid w:val="0"/>
                              </w:rPr>
                              <w:t xml:space="preserve"> based on the practices currently in place at the time you submit this section of the Survey.</w:t>
                            </w:r>
                          </w:p>
                          <w:p w14:paraId="5B3382C3" w14:textId="77777777" w:rsidR="001848C5" w:rsidRDefault="001848C5" w:rsidP="00B5779F">
                            <w:pPr>
                              <w:spacing w:before="40"/>
                              <w:rPr>
                                <w:rFonts w:cs="Arial"/>
                                <w:snapToGrid w:val="0"/>
                              </w:rPr>
                            </w:pPr>
                          </w:p>
                          <w:p w14:paraId="06DC4B2F" w14:textId="2EE490AA" w:rsidR="00B5779F" w:rsidRDefault="001848C5" w:rsidP="00B5779F">
                            <w:r w:rsidRPr="001B3D66">
                              <w:rPr>
                                <w:rFonts w:cs="Arial"/>
                                <w:sz w:val="16"/>
                                <w:szCs w:val="16"/>
                              </w:rPr>
                              <w:t xml:space="preserve">Note: As a reminder, the </w:t>
                            </w:r>
                            <w:hyperlink r:id="rId107"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w:t>
                            </w:r>
                            <w:r>
                              <w:rPr>
                                <w:rFonts w:cs="Arial"/>
                                <w:bCs/>
                                <w:snapToGrid w:val="0"/>
                                <w:sz w:val="16"/>
                                <w:szCs w:val="16"/>
                              </w:rPr>
                              <w:t xml:space="preserve"> </w:t>
                            </w:r>
                            <w:r w:rsidRPr="00AE38C7">
                              <w:rPr>
                                <w:rFonts w:cs="Arial"/>
                                <w:bCs/>
                                <w:snapToGrid w:val="0"/>
                                <w:sz w:val="16"/>
                                <w:szCs w:val="16"/>
                              </w:rPr>
                              <w:t>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3D4BC1AB" id="Text Box 714893213" o:spid="_x0000_s1029" type="#_x0000_t202" alt="P1358TB2#y1" style="width:468pt;height:1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" strokecolor="red">
                <v:textbox style="mso-fit-shape-to-text:t">
                  <w:txbxContent>
                    <w:p w14:paraId="0D597F63" w14:textId="223A02C8" w:rsidR="00B5779F" w:rsidRDefault="00B5779F" w:rsidP="00B5779F">
                      <w:pPr>
                        <w:spacing w:before="40"/>
                        <w:rPr>
                          <w:rFonts w:cs="Arial"/>
                          <w:snapToGrid w:val="0"/>
                        </w:rPr>
                      </w:pPr>
                      <w:r w:rsidRPr="009A5185">
                        <w:rPr>
                          <w:rFonts w:cs="Arial"/>
                          <w:b/>
                          <w:snapToGrid w:val="0"/>
                        </w:rPr>
                        <w:t xml:space="preserve">Reporting Period: </w:t>
                      </w:r>
                      <w:r>
                        <w:rPr>
                          <w:rFonts w:cs="Arial"/>
                          <w:snapToGrid w:val="0"/>
                        </w:rPr>
                        <w:t>Answer questions #1</w:t>
                      </w:r>
                      <w:r w:rsidR="009964A5">
                        <w:rPr>
                          <w:rFonts w:cs="Arial"/>
                          <w:snapToGrid w:val="0"/>
                        </w:rPr>
                        <w:t>7</w:t>
                      </w:r>
                      <w:r>
                        <w:rPr>
                          <w:rFonts w:cs="Arial"/>
                          <w:snapToGrid w:val="0"/>
                        </w:rPr>
                        <w:t>-1</w:t>
                      </w:r>
                      <w:r w:rsidR="009964A5">
                        <w:rPr>
                          <w:rFonts w:cs="Arial"/>
                          <w:snapToGrid w:val="0"/>
                        </w:rPr>
                        <w:t>9</w:t>
                      </w:r>
                      <w:r>
                        <w:rPr>
                          <w:rFonts w:cs="Arial"/>
                          <w:snapToGrid w:val="0"/>
                        </w:rPr>
                        <w:t xml:space="preserve"> based on the practices currently in place at the time you submit this section of the Survey.</w:t>
                      </w:r>
                    </w:p>
                    <w:p w14:paraId="5B3382C3" w14:textId="77777777" w:rsidR="001848C5" w:rsidRDefault="001848C5" w:rsidP="00B5779F">
                      <w:pPr>
                        <w:spacing w:before="40"/>
                        <w:rPr>
                          <w:rFonts w:cs="Arial"/>
                          <w:snapToGrid w:val="0"/>
                        </w:rPr>
                      </w:pPr>
                    </w:p>
                    <w:p w14:paraId="06DC4B2F" w14:textId="2EE490AA" w:rsidR="00B5779F" w:rsidRDefault="001848C5" w:rsidP="00B5779F">
                      <w:r w:rsidRPr="001B3D66">
                        <w:rPr>
                          <w:rFonts w:cs="Arial"/>
                          <w:sz w:val="16"/>
                          <w:szCs w:val="16"/>
                        </w:rPr>
                        <w:t xml:space="preserve">Note: As a reminder, the </w:t>
                      </w:r>
                      <w:hyperlink r:id="rId108"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w:t>
                      </w:r>
                      <w:r>
                        <w:rPr>
                          <w:rFonts w:cs="Arial"/>
                          <w:bCs/>
                          <w:snapToGrid w:val="0"/>
                          <w:sz w:val="16"/>
                          <w:szCs w:val="16"/>
                        </w:rPr>
                        <w:t xml:space="preserve"> </w:t>
                      </w:r>
                      <w:r w:rsidRPr="00AE38C7">
                        <w:rPr>
                          <w:rFonts w:cs="Arial"/>
                          <w:bCs/>
                          <w:snapToGrid w:val="0"/>
                          <w:sz w:val="16"/>
                          <w:szCs w:val="16"/>
                        </w:rPr>
                        <w:t>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v:textbox>
                <w10:anchorlock/>
              </v:shape>
            </w:pict>
          </mc:Fallback>
        </mc:AlternateContent>
      </w:r>
    </w:p>
    <w:p w14:paraId="1BDE184D" w14:textId="77777777" w:rsidR="00263435" w:rsidRDefault="00263435" w:rsidP="00263435"/>
    <w:p w14:paraId="7C4B3574" w14:textId="7C32356F" w:rsidR="00716CAD" w:rsidRDefault="003A27E3" w:rsidP="00716CAD">
      <w:pPr>
        <w:pStyle w:val="Heading3"/>
        <w:rPr>
          <w:rStyle w:val="Strong"/>
          <w:rFonts w:cs="Arial"/>
          <w:b/>
        </w:rPr>
      </w:pPr>
      <w:bookmarkStart w:id="100" w:name="_Toc225877670"/>
      <w:r w:rsidRPr="00AB5B80">
        <w:rPr>
          <w:rStyle w:val="Strong"/>
          <w:rFonts w:cs="Arial"/>
          <w:b/>
        </w:rPr>
        <w:t>General Hospital Policies</w:t>
      </w:r>
      <w:bookmarkEnd w:id="100"/>
    </w:p>
    <w:p w14:paraId="4A56BB96" w14:textId="77777777" w:rsidR="00716CAD" w:rsidRPr="00716CAD" w:rsidRDefault="00716CAD" w:rsidP="00716CAD">
      <w:pPr>
        <w:rPr>
          <w:lang w:eastAsia="ja-JP"/>
        </w:rPr>
      </w:pPr>
    </w:p>
    <w:tbl>
      <w:tblPr>
        <w:tblStyle w:val="TableGrid"/>
        <w:tblW w:w="0" w:type="auto"/>
        <w:tblLook w:val="04A0" w:firstRow="1" w:lastRow="0" w:firstColumn="1" w:lastColumn="0" w:noHBand="0" w:noVBand="1"/>
      </w:tblPr>
      <w:tblGrid>
        <w:gridCol w:w="6565"/>
        <w:gridCol w:w="2785"/>
      </w:tblGrid>
      <w:tr w:rsidR="00336FA3" w14:paraId="18BA752F" w14:textId="77777777" w:rsidTr="004F7386">
        <w:tc>
          <w:tcPr>
            <w:tcW w:w="6565" w:type="dxa"/>
          </w:tcPr>
          <w:p w14:paraId="34053265" w14:textId="5743B621" w:rsidR="00336FA3" w:rsidRDefault="00336FA3" w:rsidP="001D4AE9">
            <w:pPr>
              <w:pStyle w:val="ListParagraph"/>
              <w:numPr>
                <w:ilvl w:val="0"/>
                <w:numId w:val="1"/>
              </w:numPr>
            </w:pPr>
            <w:r w:rsidRPr="008953C4">
              <w:t>To help ensure that patients are cared for by well-trained physicians and other providers (e.g., certified registered nurse anesthetists, certified midwives, or certified nurse-midwives, etc.), do your medical staff by-laws or hospital-wide policies require all physicians and providers who have privileges to provide care at your hospital to be board certified or board eligible?</w:t>
            </w:r>
          </w:p>
        </w:tc>
        <w:tc>
          <w:tcPr>
            <w:tcW w:w="2785" w:type="dxa"/>
            <w:vAlign w:val="center"/>
          </w:tcPr>
          <w:p w14:paraId="499A0683" w14:textId="77777777" w:rsidR="00336FA3" w:rsidRPr="008953C4" w:rsidRDefault="00336FA3" w:rsidP="00AD309C">
            <w:pPr>
              <w:numPr>
                <w:ilvl w:val="0"/>
                <w:numId w:val="231"/>
              </w:numPr>
              <w:contextualSpacing/>
              <w:rPr>
                <w:iCs/>
              </w:rPr>
            </w:pPr>
            <w:r w:rsidRPr="008953C4">
              <w:rPr>
                <w:iCs/>
              </w:rPr>
              <w:t>Yes</w:t>
            </w:r>
          </w:p>
          <w:p w14:paraId="466B2D6C" w14:textId="34F89E6A" w:rsidR="00336FA3" w:rsidRDefault="00336FA3" w:rsidP="00AD309C">
            <w:pPr>
              <w:pStyle w:val="ListParagraph"/>
              <w:numPr>
                <w:ilvl w:val="0"/>
                <w:numId w:val="231"/>
              </w:numPr>
            </w:pPr>
            <w:r w:rsidRPr="00336FA3">
              <w:rPr>
                <w:iCs/>
              </w:rPr>
              <w:t>No</w:t>
            </w:r>
          </w:p>
        </w:tc>
      </w:tr>
      <w:tr w:rsidR="00336FA3" w14:paraId="711CE1AD" w14:textId="77777777" w:rsidTr="004F7386">
        <w:tc>
          <w:tcPr>
            <w:tcW w:w="6565" w:type="dxa"/>
          </w:tcPr>
          <w:p w14:paraId="442E4399" w14:textId="00363E52" w:rsidR="00336FA3" w:rsidRDefault="00336FA3" w:rsidP="001D4AE9">
            <w:pPr>
              <w:pStyle w:val="ListParagraph"/>
              <w:numPr>
                <w:ilvl w:val="0"/>
                <w:numId w:val="1"/>
              </w:numPr>
            </w:pPr>
            <w:r w:rsidRPr="008953C4">
              <w:t xml:space="preserve">Does your hospital include performance on the Leapfrog Hospital Survey, Leapfrog Hospital Safety Grade, or Leapfrog Top Hospital in performance reviews and/or compensation incentives for senior administrative leadership? </w:t>
            </w:r>
          </w:p>
        </w:tc>
        <w:tc>
          <w:tcPr>
            <w:tcW w:w="2785" w:type="dxa"/>
            <w:vAlign w:val="center"/>
          </w:tcPr>
          <w:p w14:paraId="3ECAFC50" w14:textId="77777777" w:rsidR="00336FA3" w:rsidRPr="008953C4" w:rsidRDefault="00336FA3" w:rsidP="00AD309C">
            <w:pPr>
              <w:numPr>
                <w:ilvl w:val="0"/>
                <w:numId w:val="231"/>
              </w:numPr>
              <w:contextualSpacing/>
              <w:rPr>
                <w:iCs/>
              </w:rPr>
            </w:pPr>
            <w:r w:rsidRPr="008953C4">
              <w:rPr>
                <w:iCs/>
              </w:rPr>
              <w:t>Yes</w:t>
            </w:r>
          </w:p>
          <w:p w14:paraId="3DE40EE9" w14:textId="0C3E6CF2" w:rsidR="00336FA3" w:rsidRDefault="00336FA3" w:rsidP="00AD309C">
            <w:pPr>
              <w:numPr>
                <w:ilvl w:val="0"/>
                <w:numId w:val="231"/>
              </w:numPr>
              <w:contextualSpacing/>
            </w:pPr>
            <w:r w:rsidRPr="008953C4">
              <w:rPr>
                <w:iCs/>
              </w:rPr>
              <w:t>No</w:t>
            </w:r>
          </w:p>
        </w:tc>
      </w:tr>
      <w:tr w:rsidR="00336FA3" w14:paraId="3746334E" w14:textId="77777777" w:rsidTr="004F7386">
        <w:tc>
          <w:tcPr>
            <w:tcW w:w="6565" w:type="dxa"/>
          </w:tcPr>
          <w:p w14:paraId="51E63842" w14:textId="08E54692" w:rsidR="00336FA3" w:rsidRPr="008953C4" w:rsidRDefault="00336FA3" w:rsidP="004F7386">
            <w:pPr>
              <w:pStyle w:val="ListParagraph"/>
              <w:numPr>
                <w:ilvl w:val="0"/>
                <w:numId w:val="1"/>
              </w:numPr>
            </w:pPr>
            <w:r w:rsidRPr="008953C4">
              <w:t xml:space="preserve">Does your hospital have a policy and protocol that empowers patients, or their family caregivers, to activate a rapid response team (RRT) to evaluate the patient for possible escalation of care, that includes </w:t>
            </w:r>
            <w:r w:rsidRPr="00D119C8">
              <w:rPr>
                <w:b/>
                <w:bCs/>
              </w:rPr>
              <w:t>all</w:t>
            </w:r>
            <w:r w:rsidRPr="008953C4">
              <w:t xml:space="preserve"> the following elements:</w:t>
            </w:r>
          </w:p>
          <w:p w14:paraId="08092C99" w14:textId="77777777" w:rsidR="00336FA3" w:rsidRPr="008953C4" w:rsidRDefault="00336FA3" w:rsidP="00AD309C">
            <w:pPr>
              <w:numPr>
                <w:ilvl w:val="0"/>
                <w:numId w:val="381"/>
              </w:numPr>
              <w:contextualSpacing/>
            </w:pPr>
            <w:r w:rsidRPr="008953C4">
              <w:t>A process to notify patients and family caregivers, verbally or in writing, about how to activate the rapid response team;</w:t>
            </w:r>
          </w:p>
          <w:p w14:paraId="2DBE04A0" w14:textId="0162DCB4" w:rsidR="002B6F66" w:rsidRPr="008953C4" w:rsidRDefault="00336FA3" w:rsidP="00AD309C">
            <w:pPr>
              <w:numPr>
                <w:ilvl w:val="0"/>
                <w:numId w:val="381"/>
              </w:numPr>
              <w:contextualSpacing/>
            </w:pPr>
            <w:r w:rsidRPr="008953C4">
              <w:t>A process to ensure clinicians are trained to recognize when a patient or family caregiver is asking for an evaluation by a rapid response team; and</w:t>
            </w:r>
          </w:p>
          <w:p w14:paraId="7C0A8C4D" w14:textId="299EB9BC" w:rsidR="00336FA3" w:rsidRDefault="00336FA3" w:rsidP="00AD309C">
            <w:pPr>
              <w:numPr>
                <w:ilvl w:val="0"/>
                <w:numId w:val="381"/>
              </w:numPr>
              <w:contextualSpacing/>
            </w:pPr>
            <w:r w:rsidRPr="008953C4">
              <w:t>A process to ensure clinicians are trained on how to conduct the evaluation if they are part of the rapid response team?</w:t>
            </w:r>
          </w:p>
        </w:tc>
        <w:tc>
          <w:tcPr>
            <w:tcW w:w="2785" w:type="dxa"/>
            <w:vAlign w:val="center"/>
          </w:tcPr>
          <w:p w14:paraId="49482E53" w14:textId="77777777" w:rsidR="00336FA3" w:rsidRPr="008953C4" w:rsidRDefault="00336FA3" w:rsidP="00AD309C">
            <w:pPr>
              <w:numPr>
                <w:ilvl w:val="0"/>
                <w:numId w:val="231"/>
              </w:numPr>
              <w:contextualSpacing/>
              <w:rPr>
                <w:iCs/>
              </w:rPr>
            </w:pPr>
            <w:r w:rsidRPr="008953C4">
              <w:rPr>
                <w:iCs/>
              </w:rPr>
              <w:t>Yes</w:t>
            </w:r>
          </w:p>
          <w:p w14:paraId="3BB559E3" w14:textId="7125F580" w:rsidR="00336FA3" w:rsidRDefault="00336FA3" w:rsidP="00AD309C">
            <w:pPr>
              <w:numPr>
                <w:ilvl w:val="0"/>
                <w:numId w:val="231"/>
              </w:numPr>
              <w:contextualSpacing/>
            </w:pPr>
            <w:r w:rsidRPr="008953C4">
              <w:rPr>
                <w:iCs/>
              </w:rPr>
              <w:t>No</w:t>
            </w:r>
          </w:p>
        </w:tc>
      </w:tr>
    </w:tbl>
    <w:p w14:paraId="0C0081B5" w14:textId="10C6C914" w:rsidR="00716CAD" w:rsidRDefault="00716CAD">
      <w:pPr>
        <w:rPr>
          <w:rFonts w:cs="Arial"/>
          <w:b/>
          <w:i/>
          <w:snapToGrid w:val="0"/>
          <w:sz w:val="22"/>
          <w:szCs w:val="22"/>
          <w:lang w:eastAsia="ja-JP"/>
        </w:rPr>
      </w:pPr>
    </w:p>
    <w:p w14:paraId="557CDF98" w14:textId="4040AB82" w:rsidR="00AA7E68" w:rsidRDefault="000C2C54" w:rsidP="00CF5A6E">
      <w:pPr>
        <w:pStyle w:val="Heading2"/>
      </w:pPr>
      <w:bookmarkStart w:id="101" w:name="_Toc225877671"/>
      <w:r w:rsidRPr="009A5185">
        <w:lastRenderedPageBreak/>
        <w:t>1</w:t>
      </w:r>
      <w:r>
        <w:t>B</w:t>
      </w:r>
      <w:r w:rsidRPr="009A5185">
        <w:t xml:space="preserve">: </w:t>
      </w:r>
      <w:r w:rsidRPr="00047DFE">
        <w:t xml:space="preserve">Billing </w:t>
      </w:r>
      <w:r>
        <w:t>Ethics</w:t>
      </w:r>
      <w:bookmarkEnd w:id="101"/>
    </w:p>
    <w:p w14:paraId="6C1C3D1A" w14:textId="77777777" w:rsidR="000C2C54" w:rsidRDefault="000C2C54">
      <w:pPr>
        <w:rPr>
          <w:rFonts w:cs="Arial"/>
          <w:b/>
          <w:snapToGrid w:val="0"/>
          <w:color w:val="000000"/>
        </w:rPr>
      </w:pPr>
    </w:p>
    <w:p w14:paraId="23812A65" w14:textId="0177C43A" w:rsidR="00A92A35" w:rsidRDefault="00A92A35" w:rsidP="00047DFE">
      <w:pPr>
        <w:rPr>
          <w:rStyle w:val="Hyperlink"/>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09" w:history="1">
        <w:r w:rsidRPr="009A5185">
          <w:rPr>
            <w:rStyle w:val="Hyperlink"/>
            <w:rFonts w:cs="Arial"/>
            <w:snapToGrid w:val="0"/>
          </w:rPr>
          <w:t>Leapfrog’s Multi-Campus Reporting Policy</w:t>
        </w:r>
      </w:hyperlink>
      <w:r>
        <w:rPr>
          <w:rStyle w:val="Hyperlink"/>
          <w:rFonts w:cs="Arial"/>
          <w:snapToGrid w:val="0"/>
        </w:rPr>
        <w:t>.</w:t>
      </w:r>
      <w:r w:rsidRPr="00D7308D">
        <w:rPr>
          <w:rStyle w:val="Hyperlink"/>
          <w:rFonts w:cs="Arial"/>
          <w:snapToGrid w:val="0"/>
        </w:rPr>
        <w:t xml:space="preserve"> </w:t>
      </w:r>
    </w:p>
    <w:p w14:paraId="04B9E23A" w14:textId="77777777" w:rsidR="00A92A35" w:rsidRDefault="00A92A35" w:rsidP="00047DFE">
      <w:pPr>
        <w:rPr>
          <w:rStyle w:val="Hyperlink"/>
          <w:rFonts w:cs="Arial"/>
          <w:snapToGrid w:val="0"/>
        </w:rPr>
      </w:pPr>
    </w:p>
    <w:p w14:paraId="1B6ADA25" w14:textId="77777777" w:rsidR="00266F1D" w:rsidRDefault="00047DFE" w:rsidP="00047DFE">
      <w:pPr>
        <w:rPr>
          <w:rFonts w:cs="Arial"/>
          <w:b/>
          <w:snapToGrid w:val="0"/>
          <w:color w:val="FF0000"/>
        </w:rPr>
      </w:pPr>
      <w:r w:rsidRPr="00873014">
        <w:rPr>
          <w:rFonts w:cs="Arial"/>
          <w:b/>
          <w:snapToGrid w:val="0"/>
          <w:color w:val="FF0000"/>
        </w:rPr>
        <w:t>Important Note</w:t>
      </w:r>
      <w:r w:rsidR="00985D11">
        <w:rPr>
          <w:rFonts w:cs="Arial"/>
          <w:b/>
          <w:snapToGrid w:val="0"/>
          <w:color w:val="FF0000"/>
        </w:rPr>
        <w:t>s</w:t>
      </w:r>
      <w:r w:rsidRPr="00873014">
        <w:rPr>
          <w:rFonts w:cs="Arial"/>
          <w:b/>
          <w:snapToGrid w:val="0"/>
          <w:color w:val="FF0000"/>
        </w:rPr>
        <w:t xml:space="preserve">: </w:t>
      </w:r>
    </w:p>
    <w:p w14:paraId="5AADA90C" w14:textId="77777777" w:rsidR="00266F1D" w:rsidRDefault="00266F1D" w:rsidP="00047DFE">
      <w:pPr>
        <w:rPr>
          <w:rFonts w:cs="Arial"/>
          <w:b/>
          <w:snapToGrid w:val="0"/>
          <w:color w:val="FF0000"/>
        </w:rPr>
      </w:pPr>
    </w:p>
    <w:p w14:paraId="40AF2F69" w14:textId="75C06003" w:rsidR="00266F1D" w:rsidRPr="00BD19D9" w:rsidRDefault="00266F1D" w:rsidP="00047DFE">
      <w:pPr>
        <w:rPr>
          <w:rFonts w:cs="Arial"/>
          <w:b/>
          <w:snapToGrid w:val="0"/>
        </w:rPr>
      </w:pPr>
      <w:r w:rsidRPr="00BD19D9">
        <w:rPr>
          <w:rFonts w:cs="Arial"/>
          <w:bCs/>
          <w:snapToGrid w:val="0"/>
        </w:rPr>
        <w:t>Note 1:</w:t>
      </w:r>
      <w:r w:rsidR="008B5CAF" w:rsidRPr="00BD19D9">
        <w:rPr>
          <w:rFonts w:cs="Arial"/>
          <w:b/>
          <w:snapToGrid w:val="0"/>
        </w:rPr>
        <w:t xml:space="preserve"> </w:t>
      </w:r>
      <w:r w:rsidR="008B5CAF" w:rsidRPr="00BD19D9">
        <w:rPr>
          <w:rFonts w:cs="Arial"/>
          <w:bCs/>
          <w:snapToGrid w:val="0"/>
        </w:rPr>
        <w:t>Questions #4-7</w:t>
      </w:r>
      <w:r w:rsidR="00944E84">
        <w:rPr>
          <w:rFonts w:cs="Arial"/>
          <w:bCs/>
          <w:snapToGrid w:val="0"/>
        </w:rPr>
        <w:t xml:space="preserve"> </w:t>
      </w:r>
      <w:r w:rsidR="008B5CAF" w:rsidRPr="00BD19D9">
        <w:rPr>
          <w:rFonts w:cs="Arial"/>
          <w:bCs/>
          <w:snapToGrid w:val="0"/>
        </w:rPr>
        <w:t>will not be scored or publicly reported.</w:t>
      </w:r>
    </w:p>
    <w:p w14:paraId="2C004D09" w14:textId="77777777" w:rsidR="008B5CAF" w:rsidRPr="00BD19D9" w:rsidRDefault="008B5CAF" w:rsidP="00047DFE">
      <w:pPr>
        <w:rPr>
          <w:rFonts w:cs="Arial"/>
          <w:b/>
          <w:snapToGrid w:val="0"/>
        </w:rPr>
      </w:pPr>
    </w:p>
    <w:p w14:paraId="3B5E3F31" w14:textId="2D355C52" w:rsidR="003157E6" w:rsidRDefault="00266F1D" w:rsidP="00047DFE">
      <w:pPr>
        <w:rPr>
          <w:bCs/>
        </w:rPr>
      </w:pPr>
      <w:r w:rsidRPr="00BD19D9">
        <w:rPr>
          <w:rFonts w:cs="Arial"/>
          <w:bCs/>
          <w:snapToGrid w:val="0"/>
        </w:rPr>
        <w:t>Note 2:</w:t>
      </w:r>
      <w:r w:rsidRPr="00BD19D9">
        <w:rPr>
          <w:rFonts w:cs="Arial"/>
          <w:b/>
          <w:snapToGrid w:val="0"/>
        </w:rPr>
        <w:t xml:space="preserve"> </w:t>
      </w:r>
      <w:r w:rsidR="00047DFE" w:rsidRPr="00722F1B">
        <w:rPr>
          <w:bCs/>
        </w:rPr>
        <w:t xml:space="preserve">Hyperlinks throughout this subsection refer to </w:t>
      </w:r>
      <w:r w:rsidR="00047DFE">
        <w:rPr>
          <w:bCs/>
        </w:rPr>
        <w:t xml:space="preserve">the </w:t>
      </w:r>
      <w:hyperlink w:anchor="_Section_1B:_Person-Centered" w:history="1">
        <w:r w:rsidR="004705EA">
          <w:rPr>
            <w:rStyle w:val="Hyperlink"/>
            <w:bCs/>
          </w:rPr>
          <w:t>Billing Ethics FAQs</w:t>
        </w:r>
      </w:hyperlink>
      <w:r w:rsidR="00047DFE">
        <w:rPr>
          <w:bCs/>
        </w:rPr>
        <w:t xml:space="preserve"> </w:t>
      </w:r>
      <w:r w:rsidR="00DA3C01">
        <w:rPr>
          <w:bCs/>
        </w:rPr>
        <w:t xml:space="preserve">beginning </w:t>
      </w:r>
      <w:r w:rsidR="00047DFE">
        <w:rPr>
          <w:bCs/>
        </w:rPr>
        <w:t xml:space="preserve">on </w:t>
      </w:r>
      <w:r w:rsidR="00073278">
        <w:rPr>
          <w:bCs/>
        </w:rPr>
        <w:t xml:space="preserve">page </w:t>
      </w:r>
      <w:r w:rsidR="00670D5A">
        <w:rPr>
          <w:bCs/>
        </w:rPr>
        <w:fldChar w:fldCharType="begin"/>
      </w:r>
      <w:r w:rsidR="00670D5A">
        <w:rPr>
          <w:bCs/>
        </w:rPr>
        <w:instrText xml:space="preserve"> PAGEREF _Ref123646360 \h </w:instrText>
      </w:r>
      <w:r w:rsidR="00670D5A">
        <w:rPr>
          <w:bCs/>
        </w:rPr>
      </w:r>
      <w:r w:rsidR="00670D5A">
        <w:rPr>
          <w:bCs/>
        </w:rPr>
        <w:fldChar w:fldCharType="separate"/>
      </w:r>
      <w:r w:rsidR="007D53A2">
        <w:rPr>
          <w:bCs/>
          <w:noProof/>
        </w:rPr>
        <w:t>4</w:t>
      </w:r>
      <w:r w:rsidR="00670D5A">
        <w:rPr>
          <w:bCs/>
        </w:rPr>
        <w:fldChar w:fldCharType="end"/>
      </w:r>
      <w:r w:rsidR="009143AE">
        <w:rPr>
          <w:bCs/>
        </w:rPr>
        <w:t>9</w:t>
      </w:r>
      <w:r w:rsidR="008F143B">
        <w:rPr>
          <w:bCs/>
        </w:rPr>
        <w:t>,</w:t>
      </w:r>
      <w:r w:rsidR="00047DFE" w:rsidRPr="004A60F9">
        <w:rPr>
          <w:bCs/>
        </w:rPr>
        <w:t xml:space="preserve"> not to endnotes. These hyperlinks are not include</w:t>
      </w:r>
      <w:r w:rsidR="00047DFE">
        <w:rPr>
          <w:bCs/>
        </w:rPr>
        <w:t xml:space="preserve">d in the </w:t>
      </w:r>
      <w:r w:rsidR="00986F9F">
        <w:rPr>
          <w:bCs/>
        </w:rPr>
        <w:t>O</w:t>
      </w:r>
      <w:r w:rsidR="00047DFE">
        <w:rPr>
          <w:bCs/>
        </w:rPr>
        <w:t xml:space="preserve">nline </w:t>
      </w:r>
      <w:r w:rsidR="00986F9F">
        <w:rPr>
          <w:bCs/>
        </w:rPr>
        <w:t xml:space="preserve">Survey Tool. </w:t>
      </w:r>
    </w:p>
    <w:p w14:paraId="1F240BD9" w14:textId="77777777" w:rsidR="00872B0F" w:rsidRDefault="00872B0F" w:rsidP="00047DFE">
      <w:pPr>
        <w:rPr>
          <w:bCs/>
        </w:rPr>
      </w:pPr>
    </w:p>
    <w:p w14:paraId="73EE77DF" w14:textId="3BFA78AA" w:rsidR="00257E88" w:rsidRDefault="00872B0F" w:rsidP="00257E88">
      <w:pPr>
        <w:rPr>
          <w:rFonts w:cs="Arial"/>
        </w:rPr>
      </w:pPr>
      <w:r w:rsidRPr="000C7BC9">
        <w:rPr>
          <w:b/>
          <w:noProof/>
          <w:snapToGrid w:val="0"/>
          <w:color w:val="000000"/>
        </w:rPr>
        <mc:AlternateContent>
          <mc:Choice Requires="wps">
            <w:drawing>
              <wp:inline distT="0" distB="0" distL="0" distR="0" wp14:anchorId="12F3EDB3" wp14:editId="68F3E8BA">
                <wp:extent cx="6027089" cy="1039318"/>
                <wp:effectExtent l="0" t="0" r="12065" b="10160"/>
                <wp:docPr id="14" name="Text Box 14" descr="P1388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089" cy="1039318"/>
                        </a:xfrm>
                        <a:prstGeom prst="rect">
                          <a:avLst/>
                        </a:prstGeom>
                        <a:solidFill>
                          <a:srgbClr val="FFFFFF"/>
                        </a:solidFill>
                        <a:ln w="9525">
                          <a:solidFill>
                            <a:srgbClr val="FF0000"/>
                          </a:solidFill>
                          <a:miter lim="800000"/>
                          <a:headEnd/>
                          <a:tailEnd/>
                        </a:ln>
                      </wps:spPr>
                      <wps:txbx>
                        <w:txbxContent>
                          <w:p w14:paraId="2A15E4D7" w14:textId="0C1EC4F2" w:rsidR="00872B0F" w:rsidRPr="000C7BC9" w:rsidRDefault="00872B0F" w:rsidP="00872B0F">
                            <w:pPr>
                              <w:spacing w:before="40"/>
                              <w:rPr>
                                <w:rFonts w:cs="Arial"/>
                                <w:bCs/>
                                <w:snapToGrid w:val="0"/>
                                <w:u w:val="single"/>
                              </w:rPr>
                            </w:pPr>
                            <w:r w:rsidRPr="009A5185">
                              <w:rPr>
                                <w:rFonts w:cs="Arial"/>
                                <w:b/>
                                <w:snapToGrid w:val="0"/>
                              </w:rPr>
                              <w:t xml:space="preserve">Reporting Period: </w:t>
                            </w:r>
                            <w:r>
                              <w:t>Answer questions #1-</w:t>
                            </w:r>
                            <w:r w:rsidR="00691EFF">
                              <w:t>3</w:t>
                            </w:r>
                            <w:r>
                              <w:t xml:space="preserve"> based on the practices currently in place at the time you submit this section of the Survey.</w:t>
                            </w:r>
                          </w:p>
                          <w:p w14:paraId="24F8CA00" w14:textId="77777777" w:rsidR="00872B0F" w:rsidRPr="00AA7E68" w:rsidRDefault="00872B0F" w:rsidP="00872B0F">
                            <w:pPr>
                              <w:spacing w:before="40"/>
                              <w:rPr>
                                <w:rFonts w:cs="Arial"/>
                                <w:bCs/>
                                <w:snapToGrid w:val="0"/>
                                <w:u w:val="single"/>
                              </w:rPr>
                            </w:pPr>
                          </w:p>
                          <w:p w14:paraId="776A16D2" w14:textId="77777777" w:rsidR="00872B0F" w:rsidRDefault="00872B0F" w:rsidP="00872B0F">
                            <w:r w:rsidRPr="001B3D66">
                              <w:rPr>
                                <w:rFonts w:cs="Arial"/>
                                <w:sz w:val="16"/>
                                <w:szCs w:val="16"/>
                              </w:rPr>
                              <w:t xml:space="preserve">Note: As a reminder, the </w:t>
                            </w:r>
                            <w:hyperlink r:id="rId110"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12F3EDB3" id="Text Box 14" o:spid="_x0000_s1030" type="#_x0000_t202" alt="P1388TB3#y1" style="width:474.55pt;height:8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" strokecolor="red">
                <v:textbox style="mso-fit-shape-to-text:t">
                  <w:txbxContent>
                    <w:p w14:paraId="2A15E4D7" w14:textId="0C1EC4F2" w:rsidR="00872B0F" w:rsidRPr="000C7BC9" w:rsidRDefault="00872B0F" w:rsidP="00872B0F">
                      <w:pPr>
                        <w:spacing w:before="40"/>
                        <w:rPr>
                          <w:rFonts w:cs="Arial"/>
                          <w:bCs/>
                          <w:snapToGrid w:val="0"/>
                          <w:u w:val="single"/>
                        </w:rPr>
                      </w:pPr>
                      <w:r w:rsidRPr="009A5185">
                        <w:rPr>
                          <w:rFonts w:cs="Arial"/>
                          <w:b/>
                          <w:snapToGrid w:val="0"/>
                        </w:rPr>
                        <w:t xml:space="preserve">Reporting Period: </w:t>
                      </w:r>
                      <w:r>
                        <w:t>Answer questions #1-</w:t>
                      </w:r>
                      <w:r w:rsidR="00691EFF">
                        <w:t>3</w:t>
                      </w:r>
                      <w:r>
                        <w:t xml:space="preserve"> based on the practices currently in place at the time you submit this section of the Survey.</w:t>
                      </w:r>
                    </w:p>
                    <w:p w14:paraId="24F8CA00" w14:textId="77777777" w:rsidR="00872B0F" w:rsidRPr="00AA7E68" w:rsidRDefault="00872B0F" w:rsidP="00872B0F">
                      <w:pPr>
                        <w:spacing w:before="40"/>
                        <w:rPr>
                          <w:rFonts w:cs="Arial"/>
                          <w:bCs/>
                          <w:snapToGrid w:val="0"/>
                          <w:u w:val="single"/>
                        </w:rPr>
                      </w:pPr>
                    </w:p>
                    <w:p w14:paraId="776A16D2" w14:textId="77777777" w:rsidR="00872B0F" w:rsidRDefault="00872B0F" w:rsidP="00872B0F">
                      <w:r w:rsidRPr="001B3D66">
                        <w:rPr>
                          <w:rFonts w:cs="Arial"/>
                          <w:sz w:val="16"/>
                          <w:szCs w:val="16"/>
                        </w:rPr>
                        <w:t xml:space="preserve">Note: As a reminder, the </w:t>
                      </w:r>
                      <w:hyperlink r:id="rId111"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v:textbox>
                <w10:anchorlock/>
              </v:shape>
            </w:pict>
          </mc:Fallback>
        </mc:AlternateContent>
      </w:r>
    </w:p>
    <w:p w14:paraId="6B869FCF" w14:textId="77777777" w:rsidR="0003005A" w:rsidRPr="000F159A" w:rsidRDefault="0003005A" w:rsidP="00B93E94">
      <w:pPr>
        <w:rPr>
          <w:b/>
          <w:bCs/>
          <w:i/>
          <w:iC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8"/>
        <w:gridCol w:w="2947"/>
      </w:tblGrid>
      <w:tr w:rsidR="00AA7E68" w:rsidRPr="00E64378" w14:paraId="1AE1A7A5" w14:textId="77777777" w:rsidTr="00D05B1D">
        <w:trPr>
          <w:trHeight w:val="6768"/>
        </w:trPr>
        <w:tc>
          <w:tcPr>
            <w:tcW w:w="6588" w:type="dxa"/>
            <w:vAlign w:val="center"/>
          </w:tcPr>
          <w:p w14:paraId="662488E9" w14:textId="08D6FFC5" w:rsidR="00AA7E68" w:rsidRPr="00BC308F" w:rsidRDefault="005867EC" w:rsidP="00AD309C">
            <w:pPr>
              <w:pStyle w:val="ListParagraph"/>
              <w:numPr>
                <w:ilvl w:val="0"/>
                <w:numId w:val="192"/>
              </w:numPr>
              <w:spacing w:line="276" w:lineRule="auto"/>
              <w:rPr>
                <w:rFonts w:eastAsia="Avenir" w:cstheme="minorHAnsi"/>
                <w:bCs/>
              </w:rPr>
            </w:pPr>
            <w:r w:rsidRPr="00BC308F">
              <w:rPr>
                <w:rFonts w:eastAsia="Avenir" w:cstheme="minorHAnsi"/>
                <w:bCs/>
              </w:rPr>
              <w:t>Within 30 days of the final claims adjudication</w:t>
            </w:r>
            <w:r w:rsidR="009C3DBD">
              <w:rPr>
                <w:rFonts w:eastAsia="Avenir" w:cstheme="minorHAnsi"/>
                <w:bCs/>
              </w:rPr>
              <w:t xml:space="preserve"> (or within 30 days from date of service for patients without insurance)</w:t>
            </w:r>
            <w:r w:rsidRPr="00BC308F">
              <w:rPr>
                <w:rFonts w:eastAsia="Avenir" w:cstheme="minorHAnsi"/>
                <w:bCs/>
              </w:rPr>
              <w:t>, does</w:t>
            </w:r>
            <w:r w:rsidR="00AA7E68" w:rsidRPr="00BC308F">
              <w:rPr>
                <w:rFonts w:eastAsia="Avenir" w:cstheme="minorHAnsi"/>
                <w:bCs/>
              </w:rPr>
              <w:t xml:space="preserve"> your hospital provide every patient</w:t>
            </w:r>
            <w:r w:rsidR="00B20633" w:rsidRPr="00BC308F">
              <w:rPr>
                <w:rFonts w:eastAsia="Avenir" w:cstheme="minorHAnsi"/>
                <w:bCs/>
              </w:rPr>
              <w:t xml:space="preserve"> </w:t>
            </w:r>
            <w:r w:rsidR="00AA7E68" w:rsidRPr="00BC308F">
              <w:rPr>
                <w:rFonts w:eastAsia="Avenir" w:cstheme="minorHAnsi"/>
                <w:bCs/>
              </w:rPr>
              <w:t>with a</w:t>
            </w:r>
            <w:r w:rsidR="00242FCE" w:rsidRPr="00BC308F">
              <w:rPr>
                <w:rFonts w:eastAsia="Avenir" w:cstheme="minorHAnsi"/>
                <w:bCs/>
              </w:rPr>
              <w:t xml:space="preserve"> billing statement and/or</w:t>
            </w:r>
            <w:r w:rsidR="00AA7E68" w:rsidRPr="00BC308F">
              <w:rPr>
                <w:rFonts w:eastAsia="Avenir" w:cstheme="minorHAnsi"/>
                <w:bCs/>
              </w:rPr>
              <w:t xml:space="preserve"> master itemized bill for facility services</w:t>
            </w:r>
            <w:r w:rsidR="00F0775D" w:rsidRPr="00BC308F">
              <w:rPr>
                <w:rFonts w:eastAsia="Avenir" w:cstheme="minorHAnsi"/>
                <w:bCs/>
              </w:rPr>
              <w:t>,</w:t>
            </w:r>
            <w:r w:rsidR="00F0775D">
              <w:rPr>
                <w:rFonts w:eastAsia="Avenir" w:cstheme="minorHAnsi"/>
                <w:bCs/>
              </w:rPr>
              <w:t xml:space="preserve"> </w:t>
            </w:r>
            <w:r w:rsidR="00F0775D" w:rsidRPr="00BC308F">
              <w:rPr>
                <w:rFonts w:eastAsia="Avenir" w:cstheme="minorHAnsi"/>
                <w:bCs/>
              </w:rPr>
              <w:t>either by</w:t>
            </w:r>
            <w:r w:rsidR="00F0775D">
              <w:rPr>
                <w:rFonts w:eastAsia="Avenir" w:cstheme="minorHAnsi"/>
                <w:bCs/>
              </w:rPr>
              <w:t xml:space="preserve"> </w:t>
            </w:r>
            <w:r w:rsidR="00F0775D" w:rsidRPr="00BC308F">
              <w:rPr>
                <w:rFonts w:eastAsia="Avenir" w:cstheme="minorHAnsi"/>
                <w:bCs/>
              </w:rPr>
              <w:t>mail or electronically</w:t>
            </w:r>
            <w:r w:rsidR="00F0775D">
              <w:rPr>
                <w:rFonts w:eastAsia="Avenir" w:cstheme="minorHAnsi"/>
                <w:bCs/>
              </w:rPr>
              <w:t xml:space="preserve"> (via email or the patient portal)</w:t>
            </w:r>
            <w:r w:rsidR="00F0775D" w:rsidRPr="00BC308F">
              <w:rPr>
                <w:rFonts w:eastAsia="Avenir" w:cstheme="minorHAnsi"/>
                <w:bCs/>
              </w:rPr>
              <w:t>,</w:t>
            </w:r>
            <w:r w:rsidR="00AA7E68" w:rsidRPr="00BC308F">
              <w:rPr>
                <w:rFonts w:eastAsia="Avenir" w:cstheme="minorHAnsi"/>
                <w:bCs/>
              </w:rPr>
              <w:t xml:space="preserve"> that includes ALL the following</w:t>
            </w:r>
            <w:r w:rsidR="00691EFF">
              <w:rPr>
                <w:rFonts w:eastAsia="Avenir" w:cstheme="minorHAnsi"/>
                <w:bCs/>
              </w:rPr>
              <w:t>:</w:t>
            </w:r>
          </w:p>
          <w:p w14:paraId="22A5533A" w14:textId="7CB55974" w:rsidR="00AA7E68" w:rsidRPr="00E64378" w:rsidRDefault="00AA7E68" w:rsidP="00AD309C">
            <w:pPr>
              <w:numPr>
                <w:ilvl w:val="1"/>
                <w:numId w:val="142"/>
              </w:numPr>
              <w:contextualSpacing/>
              <w:rPr>
                <w:rFonts w:eastAsia="Avenir" w:cstheme="minorHAnsi"/>
              </w:rPr>
            </w:pPr>
            <w:r w:rsidRPr="00E64378">
              <w:rPr>
                <w:rFonts w:eastAsia="Avenir" w:cstheme="minorHAnsi"/>
              </w:rPr>
              <w:t>Name and address of the facility where billed services occurred</w:t>
            </w:r>
            <w:r w:rsidR="005E3827">
              <w:rPr>
                <w:rFonts w:eastAsia="Avenir" w:cstheme="minorHAnsi"/>
              </w:rPr>
              <w:t>;</w:t>
            </w:r>
          </w:p>
          <w:p w14:paraId="4DCBABEB" w14:textId="30594AF0" w:rsidR="00AA7E68" w:rsidRDefault="00AA7E68" w:rsidP="00AD309C">
            <w:pPr>
              <w:numPr>
                <w:ilvl w:val="1"/>
                <w:numId w:val="142"/>
              </w:numPr>
              <w:contextualSpacing/>
              <w:rPr>
                <w:rFonts w:eastAsia="Avenir" w:cstheme="minorHAnsi"/>
              </w:rPr>
            </w:pPr>
            <w:r w:rsidRPr="00E64378">
              <w:rPr>
                <w:rFonts w:eastAsia="Avenir" w:cstheme="minorHAnsi"/>
              </w:rPr>
              <w:t>Date(s) of service</w:t>
            </w:r>
            <w:r w:rsidR="005E3827">
              <w:rPr>
                <w:rFonts w:eastAsia="Avenir" w:cstheme="minorHAnsi"/>
              </w:rPr>
              <w:t>;</w:t>
            </w:r>
          </w:p>
          <w:p w14:paraId="37EDE1EF" w14:textId="1A52D818" w:rsidR="00242FCE" w:rsidRPr="00E64378" w:rsidRDefault="00242FCE" w:rsidP="00AD309C">
            <w:pPr>
              <w:numPr>
                <w:ilvl w:val="1"/>
                <w:numId w:val="142"/>
              </w:numPr>
              <w:contextualSpacing/>
              <w:rPr>
                <w:rFonts w:eastAsia="Avenir" w:cstheme="minorHAnsi"/>
              </w:rPr>
            </w:pPr>
            <w:r>
              <w:rPr>
                <w:rFonts w:eastAsia="Avenir" w:cstheme="minorHAnsi"/>
              </w:rPr>
              <w:t>An individual line item for each service or bundle of services performed</w:t>
            </w:r>
            <w:r w:rsidR="005E3827">
              <w:rPr>
                <w:rFonts w:eastAsia="Avenir" w:cstheme="minorHAnsi"/>
              </w:rPr>
              <w:t>;</w:t>
            </w:r>
          </w:p>
          <w:p w14:paraId="198F3C20" w14:textId="511DE491" w:rsidR="00AA7E68" w:rsidRPr="00E64378" w:rsidRDefault="00AA7E68" w:rsidP="00AD309C">
            <w:pPr>
              <w:numPr>
                <w:ilvl w:val="1"/>
                <w:numId w:val="142"/>
              </w:numPr>
              <w:contextualSpacing/>
              <w:rPr>
                <w:rFonts w:eastAsia="Avenir" w:cstheme="minorHAnsi"/>
              </w:rPr>
            </w:pPr>
            <w:r w:rsidRPr="00E64378">
              <w:rPr>
                <w:rFonts w:eastAsia="Avenir" w:cstheme="minorHAnsi"/>
              </w:rPr>
              <w:t>Description of services billed that accompanies each line item or bundle of services</w:t>
            </w:r>
            <w:r w:rsidR="009C3DBD">
              <w:rPr>
                <w:rFonts w:eastAsia="Avenir" w:cstheme="minorHAnsi"/>
              </w:rPr>
              <w:t xml:space="preserve"> performed</w:t>
            </w:r>
            <w:r w:rsidR="005E3827">
              <w:rPr>
                <w:rFonts w:eastAsia="Avenir" w:cstheme="minorHAnsi"/>
              </w:rPr>
              <w:t>;</w:t>
            </w:r>
          </w:p>
          <w:p w14:paraId="270264BA" w14:textId="0F65BDCD" w:rsidR="00AA7E68" w:rsidRPr="00E64378" w:rsidRDefault="00AA7E68" w:rsidP="00AD309C">
            <w:pPr>
              <w:numPr>
                <w:ilvl w:val="1"/>
                <w:numId w:val="142"/>
              </w:numPr>
              <w:contextualSpacing/>
              <w:rPr>
                <w:rFonts w:eastAsia="Avenir" w:cstheme="minorHAnsi"/>
              </w:rPr>
            </w:pPr>
            <w:r w:rsidRPr="00E64378">
              <w:rPr>
                <w:rFonts w:eastAsia="Avenir" w:cstheme="minorHAnsi"/>
              </w:rPr>
              <w:t>Amount of any principal, interest</w:t>
            </w:r>
            <w:r w:rsidR="00A44686">
              <w:rPr>
                <w:rFonts w:eastAsia="Avenir" w:cstheme="minorHAnsi"/>
              </w:rPr>
              <w:t>,</w:t>
            </w:r>
            <w:r w:rsidRPr="00E64378">
              <w:rPr>
                <w:rFonts w:eastAsia="Avenir" w:cstheme="minorHAnsi"/>
              </w:rPr>
              <w:t xml:space="preserve"> or fees (e.g., late or processing fees)</w:t>
            </w:r>
            <w:r w:rsidR="001D6200">
              <w:rPr>
                <w:rFonts w:eastAsia="Avenir" w:cstheme="minorHAnsi"/>
              </w:rPr>
              <w:t>, if applicable</w:t>
            </w:r>
            <w:r w:rsidR="005E3827">
              <w:rPr>
                <w:rFonts w:eastAsia="Avenir" w:cstheme="minorHAnsi"/>
              </w:rPr>
              <w:t>;</w:t>
            </w:r>
          </w:p>
          <w:p w14:paraId="21DF09E4" w14:textId="24D905B6" w:rsidR="00AA7E68" w:rsidRPr="00E64378" w:rsidRDefault="00AA7E68" w:rsidP="00AD309C">
            <w:pPr>
              <w:numPr>
                <w:ilvl w:val="1"/>
                <w:numId w:val="142"/>
              </w:numPr>
              <w:contextualSpacing/>
              <w:rPr>
                <w:rFonts w:eastAsia="Avenir" w:cstheme="minorHAnsi"/>
              </w:rPr>
            </w:pPr>
            <w:r w:rsidRPr="00E64378">
              <w:rPr>
                <w:rFonts w:eastAsia="Avenir" w:cstheme="minorHAnsi"/>
              </w:rPr>
              <w:t>Amount of any adjustment</w:t>
            </w:r>
            <w:r w:rsidR="005867EC">
              <w:rPr>
                <w:rFonts w:eastAsia="Avenir" w:cstheme="minorHAnsi"/>
              </w:rPr>
              <w:t>s</w:t>
            </w:r>
            <w:r w:rsidRPr="00E64378">
              <w:rPr>
                <w:rFonts w:eastAsia="Avenir" w:cstheme="minorHAnsi"/>
              </w:rPr>
              <w:t xml:space="preserve"> to the bill (e.g., health plan payment or discounts)</w:t>
            </w:r>
            <w:r w:rsidR="001D6200">
              <w:rPr>
                <w:rFonts w:eastAsia="Avenir" w:cstheme="minorHAnsi"/>
              </w:rPr>
              <w:t>, if applicable</w:t>
            </w:r>
            <w:r w:rsidR="005E3827">
              <w:rPr>
                <w:rFonts w:eastAsia="Avenir" w:cstheme="minorHAnsi"/>
              </w:rPr>
              <w:t>;</w:t>
            </w:r>
          </w:p>
          <w:p w14:paraId="048B2CE6" w14:textId="07C9B725" w:rsidR="00AA7E68" w:rsidRPr="00E64378" w:rsidRDefault="00AA7E68" w:rsidP="00AD309C">
            <w:pPr>
              <w:numPr>
                <w:ilvl w:val="1"/>
                <w:numId w:val="142"/>
              </w:numPr>
              <w:contextualSpacing/>
              <w:rPr>
                <w:rFonts w:eastAsia="Avenir" w:cstheme="minorHAnsi"/>
              </w:rPr>
            </w:pPr>
            <w:r w:rsidRPr="00E64378">
              <w:rPr>
                <w:rFonts w:eastAsia="Avenir" w:cstheme="minorHAnsi"/>
              </w:rPr>
              <w:t>Amount of any payments already received (from the patient or any other party)</w:t>
            </w:r>
            <w:r w:rsidR="001D6200">
              <w:rPr>
                <w:rFonts w:eastAsia="Avenir" w:cstheme="minorHAnsi"/>
              </w:rPr>
              <w:t>, if applicable</w:t>
            </w:r>
            <w:r w:rsidR="005E3827">
              <w:rPr>
                <w:rFonts w:eastAsia="Avenir" w:cstheme="minorHAnsi"/>
              </w:rPr>
              <w:t>;</w:t>
            </w:r>
          </w:p>
          <w:p w14:paraId="50AC471C" w14:textId="7BB07643" w:rsidR="00AA7E68" w:rsidRPr="00E64378" w:rsidRDefault="00AA7E68" w:rsidP="00AD309C">
            <w:pPr>
              <w:numPr>
                <w:ilvl w:val="1"/>
                <w:numId w:val="142"/>
              </w:numPr>
              <w:contextualSpacing/>
              <w:rPr>
                <w:rFonts w:eastAsia="Avenir" w:cstheme="minorHAnsi"/>
              </w:rPr>
            </w:pPr>
            <w:r w:rsidRPr="00E64378">
              <w:rPr>
                <w:rFonts w:eastAsia="Avenir" w:cstheme="minorHAnsi"/>
              </w:rPr>
              <w:t>Instructions on how to apply for financial assistance</w:t>
            </w:r>
            <w:r w:rsidR="009C388F">
              <w:rPr>
                <w:rFonts w:eastAsia="Avenir" w:cstheme="minorHAnsi"/>
              </w:rPr>
              <w:t>, if applicable</w:t>
            </w:r>
            <w:r w:rsidR="005E3827">
              <w:rPr>
                <w:rFonts w:eastAsia="Avenir" w:cstheme="minorHAnsi"/>
              </w:rPr>
              <w:t>;</w:t>
            </w:r>
          </w:p>
          <w:p w14:paraId="65B2BC49" w14:textId="669FDB78" w:rsidR="00AA7E68" w:rsidRPr="00043B48" w:rsidRDefault="00043B48" w:rsidP="00AD309C">
            <w:pPr>
              <w:numPr>
                <w:ilvl w:val="1"/>
                <w:numId w:val="142"/>
              </w:numPr>
              <w:contextualSpacing/>
              <w:rPr>
                <w:rStyle w:val="Hyperlink"/>
                <w:rFonts w:eastAsia="Avenir" w:cstheme="minorHAnsi"/>
              </w:rPr>
            </w:pPr>
            <w:r>
              <w:rPr>
                <w:rFonts w:eastAsia="Avenir" w:cstheme="minorHAnsi"/>
              </w:rPr>
              <w:fldChar w:fldCharType="begin"/>
            </w:r>
            <w:r w:rsidR="00D46A83">
              <w:rPr>
                <w:rFonts w:eastAsia="Avenir" w:cstheme="minorHAnsi"/>
              </w:rPr>
              <w:instrText>HYPERLINK  \l "_Person-Centered_Care:_Billing"</w:instrText>
            </w:r>
            <w:r>
              <w:rPr>
                <w:rFonts w:eastAsia="Avenir" w:cstheme="minorHAnsi"/>
              </w:rPr>
            </w:r>
            <w:r>
              <w:rPr>
                <w:rFonts w:eastAsia="Avenir" w:cstheme="minorHAnsi"/>
              </w:rPr>
              <w:fldChar w:fldCharType="separate"/>
            </w:r>
            <w:r w:rsidR="00AA7E68" w:rsidRPr="00043B48">
              <w:rPr>
                <w:rStyle w:val="Hyperlink"/>
                <w:rFonts w:eastAsia="Avenir" w:cstheme="minorHAnsi"/>
              </w:rPr>
              <w:t xml:space="preserve">Instructions </w:t>
            </w:r>
            <w:r w:rsidR="00F44DEB">
              <w:rPr>
                <w:rStyle w:val="Hyperlink"/>
                <w:rFonts w:eastAsia="Avenir" w:cstheme="minorHAnsi"/>
              </w:rPr>
              <w:t xml:space="preserve">in the patient’s preferred language </w:t>
            </w:r>
            <w:r w:rsidR="00AA7E68" w:rsidRPr="00043B48">
              <w:rPr>
                <w:rStyle w:val="Hyperlink"/>
                <w:rFonts w:eastAsia="Avenir" w:cstheme="minorHAnsi"/>
              </w:rPr>
              <w:t xml:space="preserve">on how to obtain </w:t>
            </w:r>
            <w:r w:rsidR="00B20633" w:rsidRPr="00B20633">
              <w:rPr>
                <w:rStyle w:val="Hyperlink"/>
                <w:rFonts w:eastAsia="Avenir" w:cstheme="minorHAnsi"/>
              </w:rPr>
              <w:t>a written translation or oral interpretation</w:t>
            </w:r>
            <w:r w:rsidR="00AA7E68" w:rsidRPr="00043B48">
              <w:rPr>
                <w:rStyle w:val="Hyperlink"/>
                <w:rFonts w:eastAsia="Avenir" w:cstheme="minorHAnsi"/>
              </w:rPr>
              <w:t xml:space="preserve"> </w:t>
            </w:r>
            <w:r w:rsidR="00F44DEB">
              <w:rPr>
                <w:rStyle w:val="Hyperlink"/>
                <w:rFonts w:eastAsia="Avenir" w:cstheme="minorHAnsi"/>
              </w:rPr>
              <w:t>of the bill</w:t>
            </w:r>
            <w:r w:rsidR="005E3827">
              <w:rPr>
                <w:rStyle w:val="Hyperlink"/>
                <w:rFonts w:eastAsia="Avenir" w:cstheme="minorHAnsi"/>
              </w:rPr>
              <w:t>; and</w:t>
            </w:r>
          </w:p>
          <w:p w14:paraId="049674AD" w14:textId="569D9E67" w:rsidR="005867EC" w:rsidRPr="007475A2" w:rsidRDefault="00043B48" w:rsidP="00AD309C">
            <w:pPr>
              <w:numPr>
                <w:ilvl w:val="1"/>
                <w:numId w:val="142"/>
              </w:numPr>
              <w:contextualSpacing/>
              <w:rPr>
                <w:rStyle w:val="Hyperlink"/>
                <w:rFonts w:eastAsia="Avenir" w:cstheme="minorHAnsi"/>
                <w:color w:val="auto"/>
                <w:u w:val="none"/>
              </w:rPr>
            </w:pPr>
            <w:r>
              <w:rPr>
                <w:rFonts w:eastAsia="Avenir" w:cstheme="minorHAnsi"/>
              </w:rPr>
              <w:fldChar w:fldCharType="end"/>
            </w:r>
            <w:r w:rsidR="001A2630" w:rsidRPr="001A2630">
              <w:rPr>
                <w:rFonts w:eastAsia="Avenir" w:cstheme="minorHAnsi"/>
              </w:rPr>
              <w:t>Notification that physician services will be billed separately, if applicable</w:t>
            </w:r>
            <w:r w:rsidR="00691EFF">
              <w:rPr>
                <w:rFonts w:eastAsia="Avenir" w:cstheme="minorHAnsi"/>
              </w:rPr>
              <w:t>?</w:t>
            </w:r>
          </w:p>
          <w:p w14:paraId="6B593055" w14:textId="77777777" w:rsidR="007475A2" w:rsidRDefault="007475A2" w:rsidP="007B21A9">
            <w:pPr>
              <w:contextualSpacing/>
              <w:rPr>
                <w:rStyle w:val="Hyperlink"/>
                <w:rFonts w:eastAsia="Avenir"/>
              </w:rPr>
            </w:pPr>
          </w:p>
          <w:p w14:paraId="4054480E" w14:textId="694B7FEA" w:rsidR="007D0C84" w:rsidRPr="00BC308F" w:rsidRDefault="007D0C84" w:rsidP="007B21A9">
            <w:pPr>
              <w:ind w:left="720"/>
              <w:contextualSpacing/>
              <w:rPr>
                <w:rFonts w:eastAsia="Avenir"/>
                <w:i/>
                <w:iCs/>
              </w:rPr>
            </w:pPr>
            <w:r w:rsidRPr="005E17BA">
              <w:rPr>
                <w:rFonts w:eastAsia="Avenir"/>
                <w:i/>
                <w:iCs/>
              </w:rPr>
              <w:t xml:space="preserve">If any one of the elements above </w:t>
            </w:r>
            <w:r w:rsidR="00B26B18">
              <w:rPr>
                <w:rFonts w:eastAsia="Avenir"/>
                <w:i/>
                <w:iCs/>
              </w:rPr>
              <w:t xml:space="preserve">is </w:t>
            </w:r>
            <w:r w:rsidRPr="005E17BA">
              <w:rPr>
                <w:rFonts w:eastAsia="Avenir"/>
                <w:i/>
                <w:iCs/>
              </w:rPr>
              <w:t>only provided upon request, select “</w:t>
            </w:r>
            <w:r w:rsidR="0086669E">
              <w:rPr>
                <w:rFonts w:eastAsia="Avenir"/>
                <w:i/>
                <w:iCs/>
              </w:rPr>
              <w:t>o</w:t>
            </w:r>
            <w:r w:rsidRPr="005E17BA">
              <w:rPr>
                <w:rFonts w:eastAsia="Avenir"/>
                <w:i/>
                <w:iCs/>
              </w:rPr>
              <w:t xml:space="preserve">nly upon request.” If any one of the elements above </w:t>
            </w:r>
            <w:r w:rsidR="00B26B18">
              <w:rPr>
                <w:rFonts w:eastAsia="Avenir"/>
                <w:i/>
                <w:iCs/>
              </w:rPr>
              <w:t>is</w:t>
            </w:r>
            <w:r w:rsidRPr="005E17BA">
              <w:rPr>
                <w:rFonts w:eastAsia="Avenir"/>
                <w:i/>
                <w:iCs/>
              </w:rPr>
              <w:t xml:space="preserve"> not ever provided, select “</w:t>
            </w:r>
            <w:r w:rsidR="0086669E">
              <w:rPr>
                <w:rFonts w:eastAsia="Avenir"/>
                <w:i/>
                <w:iCs/>
              </w:rPr>
              <w:t>n</w:t>
            </w:r>
            <w:r w:rsidRPr="005E17BA">
              <w:rPr>
                <w:rFonts w:eastAsia="Avenir"/>
                <w:i/>
                <w:iCs/>
              </w:rPr>
              <w:t>o.”</w:t>
            </w:r>
          </w:p>
        </w:tc>
        <w:tc>
          <w:tcPr>
            <w:tcW w:w="2947" w:type="dxa"/>
            <w:vAlign w:val="center"/>
          </w:tcPr>
          <w:p w14:paraId="7C2A0EDB" w14:textId="3FD9B4DD" w:rsidR="00AA7E68" w:rsidRPr="004D1420" w:rsidRDefault="00AA7E68" w:rsidP="00AD309C">
            <w:pPr>
              <w:pStyle w:val="ListParagraph"/>
              <w:numPr>
                <w:ilvl w:val="0"/>
                <w:numId w:val="232"/>
              </w:numPr>
              <w:rPr>
                <w:rFonts w:eastAsia="Avenir" w:cstheme="minorHAnsi"/>
                <w:bCs/>
              </w:rPr>
            </w:pPr>
            <w:r w:rsidRPr="004D1420">
              <w:rPr>
                <w:rFonts w:eastAsia="Avenir" w:cstheme="minorHAnsi"/>
                <w:bCs/>
              </w:rPr>
              <w:t>Yes</w:t>
            </w:r>
          </w:p>
          <w:p w14:paraId="1DFC5024" w14:textId="244CCBCB" w:rsidR="00080808" w:rsidRPr="004D1420" w:rsidRDefault="00080808" w:rsidP="00AD309C">
            <w:pPr>
              <w:pStyle w:val="ListParagraph"/>
              <w:numPr>
                <w:ilvl w:val="0"/>
                <w:numId w:val="232"/>
              </w:numPr>
              <w:rPr>
                <w:rFonts w:eastAsia="Avenir" w:cstheme="minorHAnsi"/>
                <w:bCs/>
              </w:rPr>
            </w:pPr>
            <w:r w:rsidRPr="004D1420">
              <w:rPr>
                <w:rFonts w:eastAsia="Avenir" w:cstheme="minorHAnsi"/>
                <w:bCs/>
              </w:rPr>
              <w:t>No</w:t>
            </w:r>
          </w:p>
          <w:p w14:paraId="7C5D1AFF" w14:textId="25EE900C" w:rsidR="00AA7E68" w:rsidRPr="00A35DD6" w:rsidRDefault="00242FCE" w:rsidP="00AD309C">
            <w:pPr>
              <w:pStyle w:val="ListParagraph"/>
              <w:numPr>
                <w:ilvl w:val="0"/>
                <w:numId w:val="232"/>
              </w:numPr>
              <w:rPr>
                <w:rFonts w:eastAsia="Avenir" w:cstheme="minorHAnsi"/>
                <w:bCs/>
                <w:i/>
                <w:iCs/>
              </w:rPr>
            </w:pPr>
            <w:r w:rsidRPr="004D1420">
              <w:rPr>
                <w:rFonts w:eastAsia="Avenir" w:cstheme="minorHAnsi"/>
                <w:bCs/>
              </w:rPr>
              <w:t>Only upon request</w:t>
            </w:r>
          </w:p>
        </w:tc>
      </w:tr>
      <w:tr w:rsidR="005150B2" w:rsidRPr="00E64378" w14:paraId="74124A24" w14:textId="77777777" w:rsidTr="00B44C7B">
        <w:trPr>
          <w:trHeight w:val="720"/>
        </w:trPr>
        <w:tc>
          <w:tcPr>
            <w:tcW w:w="6588" w:type="dxa"/>
            <w:tcBorders>
              <w:bottom w:val="single" w:sz="4" w:space="0" w:color="auto"/>
            </w:tcBorders>
            <w:vAlign w:val="center"/>
          </w:tcPr>
          <w:p w14:paraId="161AC576" w14:textId="65B99AA1" w:rsidR="005150B2" w:rsidRPr="005150B2" w:rsidRDefault="005150B2" w:rsidP="00AD309C">
            <w:pPr>
              <w:pStyle w:val="ListParagraph"/>
              <w:numPr>
                <w:ilvl w:val="0"/>
                <w:numId w:val="192"/>
              </w:numPr>
              <w:rPr>
                <w:rFonts w:eastAsia="Avenir" w:cstheme="minorHAnsi"/>
                <w:bCs/>
              </w:rPr>
            </w:pPr>
            <w:r w:rsidRPr="005150B2">
              <w:rPr>
                <w:rFonts w:eastAsia="Avenir" w:cstheme="minorHAnsi"/>
                <w:bCs/>
              </w:rPr>
              <w:t>Does your hospital give patients instructions for contacting a billing representative</w:t>
            </w:r>
            <w:r w:rsidR="009F05BA">
              <w:rPr>
                <w:rFonts w:eastAsia="Avenir" w:cstheme="minorHAnsi"/>
                <w:bCs/>
              </w:rPr>
              <w:t>:</w:t>
            </w:r>
          </w:p>
          <w:p w14:paraId="1C1602A1" w14:textId="623DF8B3" w:rsidR="005150B2" w:rsidRPr="001F1F54" w:rsidRDefault="009F05BA" w:rsidP="00AD309C">
            <w:pPr>
              <w:pStyle w:val="ListParagraph"/>
              <w:numPr>
                <w:ilvl w:val="1"/>
                <w:numId w:val="212"/>
              </w:numPr>
              <w:rPr>
                <w:rFonts w:eastAsia="Avenir" w:cstheme="minorHAnsi"/>
                <w:bCs/>
              </w:rPr>
            </w:pPr>
            <w:r>
              <w:rPr>
                <w:rFonts w:eastAsia="Avenir" w:cstheme="minorHAnsi"/>
                <w:bCs/>
              </w:rPr>
              <w:t xml:space="preserve">Who has </w:t>
            </w:r>
            <w:r w:rsidR="005150B2" w:rsidRPr="001F1F54">
              <w:rPr>
                <w:rFonts w:eastAsia="Avenir" w:cstheme="minorHAnsi"/>
                <w:bCs/>
              </w:rPr>
              <w:t xml:space="preserve">access to an interpretation service to communicate in the patient’s preferred language, </w:t>
            </w:r>
            <w:r w:rsidR="005150B2" w:rsidRPr="001F1F54">
              <w:rPr>
                <w:rFonts w:eastAsia="Avenir" w:cstheme="minorHAnsi"/>
                <w:b/>
              </w:rPr>
              <w:t>and</w:t>
            </w:r>
            <w:r w:rsidR="005150B2" w:rsidRPr="001F1F54">
              <w:rPr>
                <w:rFonts w:eastAsia="Avenir" w:cstheme="minorHAnsi"/>
                <w:bCs/>
              </w:rPr>
              <w:t xml:space="preserve"> </w:t>
            </w:r>
          </w:p>
          <w:p w14:paraId="2DB7E061" w14:textId="77777777" w:rsidR="009F05BA" w:rsidRDefault="009F05BA" w:rsidP="00AD309C">
            <w:pPr>
              <w:pStyle w:val="ListParagraph"/>
              <w:numPr>
                <w:ilvl w:val="1"/>
                <w:numId w:val="212"/>
              </w:numPr>
              <w:rPr>
                <w:rFonts w:eastAsia="Avenir" w:cstheme="minorHAnsi"/>
                <w:bCs/>
              </w:rPr>
            </w:pPr>
            <w:r>
              <w:rPr>
                <w:rFonts w:eastAsia="Avenir" w:cstheme="minorHAnsi"/>
                <w:bCs/>
              </w:rPr>
              <w:t xml:space="preserve">Who has </w:t>
            </w:r>
            <w:r w:rsidR="005150B2" w:rsidRPr="005150B2">
              <w:rPr>
                <w:rFonts w:eastAsia="Avenir" w:cstheme="minorHAnsi"/>
                <w:bCs/>
              </w:rPr>
              <w:t xml:space="preserve">the authority to </w:t>
            </w:r>
            <w:r w:rsidRPr="005150B2">
              <w:rPr>
                <w:rFonts w:eastAsia="Avenir" w:cstheme="minorHAnsi"/>
                <w:bCs/>
              </w:rPr>
              <w:t>do all the following within 10 business days of being contacted by the patient or patient representative</w:t>
            </w:r>
            <w:r>
              <w:rPr>
                <w:rFonts w:eastAsia="Avenir" w:cstheme="minorHAnsi"/>
                <w:bCs/>
              </w:rPr>
              <w:t xml:space="preserve">: </w:t>
            </w:r>
          </w:p>
          <w:p w14:paraId="39B5290A" w14:textId="1C6E056E" w:rsidR="009F05BA" w:rsidRDefault="005150B2" w:rsidP="00AD309C">
            <w:pPr>
              <w:pStyle w:val="ListParagraph"/>
              <w:numPr>
                <w:ilvl w:val="2"/>
                <w:numId w:val="212"/>
              </w:numPr>
              <w:rPr>
                <w:rFonts w:eastAsia="Avenir" w:cstheme="minorHAnsi"/>
                <w:bCs/>
              </w:rPr>
            </w:pPr>
            <w:r w:rsidRPr="005150B2">
              <w:rPr>
                <w:rFonts w:eastAsia="Avenir" w:cstheme="minorHAnsi"/>
                <w:bCs/>
              </w:rPr>
              <w:t xml:space="preserve">initiate an investigation into errors on the bill, </w:t>
            </w:r>
          </w:p>
          <w:p w14:paraId="457E17A2" w14:textId="43D318DD" w:rsidR="009F05BA" w:rsidRDefault="005150B2" w:rsidP="00AD309C">
            <w:pPr>
              <w:pStyle w:val="ListParagraph"/>
              <w:numPr>
                <w:ilvl w:val="2"/>
                <w:numId w:val="212"/>
              </w:numPr>
              <w:rPr>
                <w:rFonts w:eastAsia="Avenir" w:cstheme="minorHAnsi"/>
                <w:bCs/>
              </w:rPr>
            </w:pPr>
            <w:r w:rsidRPr="005150B2">
              <w:rPr>
                <w:rFonts w:eastAsia="Avenir" w:cstheme="minorHAnsi"/>
                <w:bCs/>
              </w:rPr>
              <w:lastRenderedPageBreak/>
              <w:t xml:space="preserve">offer a price adjustment or debt forgiveness based on hospital policy, and </w:t>
            </w:r>
          </w:p>
          <w:p w14:paraId="176518E8" w14:textId="4F0D6D2B" w:rsidR="005150B2" w:rsidRPr="00B44C7B" w:rsidRDefault="005150B2" w:rsidP="00AD309C">
            <w:pPr>
              <w:pStyle w:val="ListParagraph"/>
              <w:numPr>
                <w:ilvl w:val="2"/>
                <w:numId w:val="212"/>
              </w:numPr>
              <w:rPr>
                <w:rFonts w:eastAsia="Avenir" w:cstheme="minorHAnsi"/>
                <w:bCs/>
              </w:rPr>
            </w:pPr>
            <w:r w:rsidRPr="001F1F54">
              <w:rPr>
                <w:rFonts w:eastAsia="Avenir" w:cstheme="minorHAnsi"/>
                <w:bCs/>
              </w:rPr>
              <w:t>offer a payment plan?</w:t>
            </w:r>
          </w:p>
        </w:tc>
        <w:tc>
          <w:tcPr>
            <w:tcW w:w="2947" w:type="dxa"/>
            <w:tcBorders>
              <w:bottom w:val="single" w:sz="4" w:space="0" w:color="auto"/>
            </w:tcBorders>
            <w:vAlign w:val="center"/>
          </w:tcPr>
          <w:p w14:paraId="1347ADB2" w14:textId="77777777" w:rsidR="005150B2" w:rsidRPr="004D1420" w:rsidRDefault="005150B2" w:rsidP="00AD309C">
            <w:pPr>
              <w:pStyle w:val="ListParagraph"/>
              <w:numPr>
                <w:ilvl w:val="0"/>
                <w:numId w:val="233"/>
              </w:numPr>
              <w:rPr>
                <w:rFonts w:eastAsia="Avenir" w:cstheme="minorHAnsi"/>
                <w:bCs/>
              </w:rPr>
            </w:pPr>
            <w:r w:rsidRPr="004D1420">
              <w:rPr>
                <w:rFonts w:eastAsia="Avenir" w:cstheme="minorHAnsi"/>
                <w:bCs/>
              </w:rPr>
              <w:lastRenderedPageBreak/>
              <w:t>Yes</w:t>
            </w:r>
          </w:p>
          <w:p w14:paraId="1C7949D6" w14:textId="3FDF45A7" w:rsidR="005150B2" w:rsidRPr="004D1420" w:rsidRDefault="005150B2" w:rsidP="00AD309C">
            <w:pPr>
              <w:pStyle w:val="ListParagraph"/>
              <w:numPr>
                <w:ilvl w:val="0"/>
                <w:numId w:val="233"/>
              </w:numPr>
              <w:rPr>
                <w:rFonts w:eastAsia="Avenir" w:cstheme="minorHAnsi"/>
                <w:bCs/>
              </w:rPr>
            </w:pPr>
            <w:r w:rsidRPr="004D1420">
              <w:rPr>
                <w:rFonts w:eastAsia="Avenir" w:cstheme="minorHAnsi"/>
                <w:bCs/>
              </w:rPr>
              <w:t>No</w:t>
            </w:r>
          </w:p>
        </w:tc>
      </w:tr>
      <w:tr w:rsidR="00B20633" w:rsidRPr="00E64378" w14:paraId="6DD3191E" w14:textId="77777777" w:rsidTr="00B41389">
        <w:trPr>
          <w:trHeight w:val="1440"/>
        </w:trPr>
        <w:tc>
          <w:tcPr>
            <w:tcW w:w="6588" w:type="dxa"/>
            <w:vAlign w:val="center"/>
          </w:tcPr>
          <w:p w14:paraId="4BA4B53A" w14:textId="63909F6E" w:rsidR="00B20633" w:rsidRDefault="00B20633" w:rsidP="00AD309C">
            <w:pPr>
              <w:pStyle w:val="ListParagraph"/>
              <w:numPr>
                <w:ilvl w:val="0"/>
                <w:numId w:val="192"/>
              </w:numPr>
              <w:rPr>
                <w:rFonts w:eastAsia="Avenir" w:cstheme="minorHAnsi"/>
                <w:bCs/>
              </w:rPr>
            </w:pPr>
            <w:r w:rsidRPr="00E64378">
              <w:rPr>
                <w:rFonts w:eastAsia="Avenir" w:cstheme="minorHAnsi"/>
                <w:bCs/>
              </w:rPr>
              <w:t xml:space="preserve">Does your hospital take </w:t>
            </w:r>
            <w:hyperlink w:anchor="_Person-Centered_Care:_Billing" w:history="1">
              <w:r w:rsidRPr="000735CC">
                <w:rPr>
                  <w:rStyle w:val="Hyperlink"/>
                  <w:rFonts w:eastAsia="Avenir" w:cstheme="minorHAnsi"/>
                  <w:bCs/>
                </w:rPr>
                <w:t>legal action</w:t>
              </w:r>
            </w:hyperlink>
            <w:r w:rsidRPr="00E64378">
              <w:rPr>
                <w:rFonts w:eastAsia="Avenir" w:cstheme="minorHAnsi"/>
                <w:bCs/>
              </w:rPr>
              <w:t xml:space="preserve"> against patients for late payment or insufficient payment of a medical bill?</w:t>
            </w:r>
          </w:p>
          <w:p w14:paraId="59D9F11A" w14:textId="77777777" w:rsidR="00B20633" w:rsidRDefault="00B20633" w:rsidP="006146A1">
            <w:pPr>
              <w:rPr>
                <w:rFonts w:eastAsia="Avenir" w:cstheme="minorHAnsi"/>
                <w:bCs/>
              </w:rPr>
            </w:pPr>
          </w:p>
          <w:p w14:paraId="6F208738" w14:textId="7F19A6BD" w:rsidR="0034398D" w:rsidRDefault="001133F5" w:rsidP="006146A1">
            <w:pPr>
              <w:ind w:left="360"/>
              <w:rPr>
                <w:rFonts w:eastAsia="Avenir" w:cstheme="minorHAnsi"/>
                <w:bCs/>
                <w:i/>
                <w:iCs/>
              </w:rPr>
            </w:pPr>
            <w:r>
              <w:rPr>
                <w:rFonts w:eastAsia="Avenir" w:cstheme="minorHAnsi"/>
                <w:bCs/>
                <w:i/>
                <w:iCs/>
              </w:rPr>
              <w:t>This question does not include p</w:t>
            </w:r>
            <w:r w:rsidR="00B20633" w:rsidRPr="00093B90">
              <w:rPr>
                <w:rFonts w:eastAsia="Avenir" w:cstheme="minorHAnsi"/>
                <w:bCs/>
                <w:i/>
                <w:iCs/>
              </w:rPr>
              <w:t xml:space="preserve">atients with whom your </w:t>
            </w:r>
            <w:r w:rsidR="00F72C9F">
              <w:rPr>
                <w:rFonts w:eastAsia="Avenir" w:cstheme="minorHAnsi"/>
                <w:bCs/>
                <w:i/>
                <w:iCs/>
              </w:rPr>
              <w:t>hospital</w:t>
            </w:r>
            <w:r w:rsidR="00F72C9F" w:rsidRPr="00093B90">
              <w:rPr>
                <w:rFonts w:eastAsia="Avenir" w:cstheme="minorHAnsi"/>
                <w:bCs/>
                <w:i/>
                <w:iCs/>
              </w:rPr>
              <w:t xml:space="preserve"> </w:t>
            </w:r>
            <w:r w:rsidR="00B20633" w:rsidRPr="00093B90">
              <w:rPr>
                <w:rFonts w:eastAsia="Avenir" w:cstheme="minorHAnsi"/>
                <w:bCs/>
                <w:i/>
                <w:iCs/>
              </w:rPr>
              <w:t xml:space="preserve">has entered into a written agreement specifying </w:t>
            </w:r>
            <w:hyperlink w:anchor="goodfaithestimate" w:history="1">
              <w:r w:rsidR="006C0C3B" w:rsidRPr="007F1BAC">
                <w:rPr>
                  <w:rStyle w:val="Hyperlink"/>
                  <w:rFonts w:eastAsia="Avenir" w:cstheme="minorHAnsi"/>
                  <w:bCs/>
                  <w:i/>
                  <w:iCs/>
                </w:rPr>
                <w:t>a good faith estimate</w:t>
              </w:r>
            </w:hyperlink>
            <w:r w:rsidR="006C0C3B" w:rsidRPr="00093B90">
              <w:rPr>
                <w:rFonts w:eastAsia="Avenir" w:cstheme="minorHAnsi"/>
                <w:bCs/>
                <w:i/>
                <w:iCs/>
              </w:rPr>
              <w:t xml:space="preserve"> </w:t>
            </w:r>
            <w:r w:rsidR="00B20633" w:rsidRPr="00093B90">
              <w:rPr>
                <w:rFonts w:eastAsia="Avenir" w:cstheme="minorHAnsi"/>
                <w:bCs/>
                <w:i/>
                <w:iCs/>
              </w:rPr>
              <w:t>for a medical service</w:t>
            </w:r>
            <w:r w:rsidR="00EE3E04">
              <w:rPr>
                <w:rFonts w:eastAsia="Avenir" w:cstheme="minorHAnsi"/>
                <w:bCs/>
                <w:i/>
                <w:iCs/>
              </w:rPr>
              <w:t xml:space="preserve">. </w:t>
            </w:r>
          </w:p>
          <w:p w14:paraId="1DC82AA1" w14:textId="323175DD" w:rsidR="0034398D" w:rsidRPr="00093B90" w:rsidRDefault="0034398D" w:rsidP="00036E07">
            <w:pPr>
              <w:rPr>
                <w:rFonts w:eastAsia="Avenir" w:cstheme="minorHAnsi"/>
                <w:bCs/>
                <w:i/>
                <w:iCs/>
              </w:rPr>
            </w:pPr>
          </w:p>
        </w:tc>
        <w:tc>
          <w:tcPr>
            <w:tcW w:w="2947" w:type="dxa"/>
            <w:vAlign w:val="center"/>
          </w:tcPr>
          <w:p w14:paraId="7B372EFD" w14:textId="77777777" w:rsidR="00B20633" w:rsidRPr="004D1420" w:rsidRDefault="00B20633" w:rsidP="00AD309C">
            <w:pPr>
              <w:pStyle w:val="ListParagraph"/>
              <w:numPr>
                <w:ilvl w:val="0"/>
                <w:numId w:val="233"/>
              </w:numPr>
              <w:rPr>
                <w:rFonts w:eastAsia="Avenir" w:cstheme="minorHAnsi"/>
                <w:bCs/>
              </w:rPr>
            </w:pPr>
            <w:r w:rsidRPr="004D1420">
              <w:rPr>
                <w:rFonts w:eastAsia="Avenir" w:cstheme="minorHAnsi"/>
                <w:bCs/>
              </w:rPr>
              <w:t>Yes</w:t>
            </w:r>
          </w:p>
          <w:p w14:paraId="6C9ACD11" w14:textId="77777777" w:rsidR="00B20633" w:rsidRDefault="00B20633" w:rsidP="00AD309C">
            <w:pPr>
              <w:pStyle w:val="ListParagraph"/>
              <w:numPr>
                <w:ilvl w:val="0"/>
                <w:numId w:val="233"/>
              </w:numPr>
              <w:rPr>
                <w:rFonts w:eastAsia="Avenir" w:cstheme="minorHAnsi"/>
                <w:bCs/>
              </w:rPr>
            </w:pPr>
            <w:r w:rsidRPr="004D1420">
              <w:rPr>
                <w:rFonts w:eastAsia="Avenir" w:cstheme="minorHAnsi"/>
                <w:bCs/>
              </w:rPr>
              <w:t>No</w:t>
            </w:r>
          </w:p>
          <w:p w14:paraId="23181465" w14:textId="732153DA" w:rsidR="0034398D" w:rsidRPr="004D1420" w:rsidRDefault="0034398D" w:rsidP="00AD309C">
            <w:pPr>
              <w:pStyle w:val="ListParagraph"/>
              <w:numPr>
                <w:ilvl w:val="0"/>
                <w:numId w:val="233"/>
              </w:numPr>
              <w:rPr>
                <w:rFonts w:eastAsia="Avenir" w:cstheme="minorHAnsi"/>
                <w:bCs/>
              </w:rPr>
            </w:pPr>
            <w:r w:rsidRPr="00796A2E">
              <w:rPr>
                <w:rFonts w:eastAsia="Avenir" w:cstheme="minorHAnsi"/>
                <w:bCs/>
              </w:rPr>
              <w:t xml:space="preserve">No, but required by </w:t>
            </w:r>
            <w:r w:rsidR="002562B6">
              <w:rPr>
                <w:rFonts w:eastAsia="Avenir" w:cstheme="minorHAnsi"/>
                <w:bCs/>
              </w:rPr>
              <w:t xml:space="preserve">state or </w:t>
            </w:r>
            <w:r w:rsidRPr="00796A2E">
              <w:rPr>
                <w:rFonts w:eastAsia="Avenir" w:cstheme="minorHAnsi"/>
                <w:bCs/>
              </w:rPr>
              <w:t>federal law to transfer delinquent payments to</w:t>
            </w:r>
            <w:r w:rsidR="000D66C7">
              <w:rPr>
                <w:rFonts w:eastAsia="Avenir" w:cstheme="minorHAnsi"/>
                <w:bCs/>
              </w:rPr>
              <w:t xml:space="preserve"> a state or federal agency (e.g.,</w:t>
            </w:r>
            <w:r w:rsidR="004643E1">
              <w:rPr>
                <w:rFonts w:eastAsia="Avenir" w:cstheme="minorHAnsi"/>
                <w:bCs/>
              </w:rPr>
              <w:t xml:space="preserve"> </w:t>
            </w:r>
            <w:r w:rsidRPr="00796A2E">
              <w:rPr>
                <w:rFonts w:eastAsia="Avenir" w:cstheme="minorHAnsi"/>
                <w:bCs/>
              </w:rPr>
              <w:t>Department of Treasury</w:t>
            </w:r>
            <w:r w:rsidR="001B2A5E">
              <w:rPr>
                <w:rFonts w:eastAsia="Avenir" w:cstheme="minorHAnsi"/>
                <w:bCs/>
              </w:rPr>
              <w:t xml:space="preserve">, </w:t>
            </w:r>
            <w:r w:rsidR="004643E1">
              <w:rPr>
                <w:rFonts w:eastAsia="Avenir" w:cstheme="minorHAnsi"/>
                <w:bCs/>
              </w:rPr>
              <w:t>Attorney General, etc.)</w:t>
            </w:r>
            <w:r w:rsidRPr="00796A2E">
              <w:rPr>
                <w:rFonts w:eastAsia="Avenir" w:cstheme="minorHAnsi"/>
                <w:bCs/>
              </w:rPr>
              <w:t xml:space="preserve"> for action</w:t>
            </w:r>
          </w:p>
        </w:tc>
      </w:tr>
      <w:tr w:rsidR="00B41389" w:rsidRPr="00E64378" w14:paraId="3EB3CFF0" w14:textId="77777777" w:rsidTr="00B41389">
        <w:trPr>
          <w:trHeight w:val="1440"/>
        </w:trPr>
        <w:tc>
          <w:tcPr>
            <w:tcW w:w="6588" w:type="dxa"/>
            <w:vAlign w:val="center"/>
          </w:tcPr>
          <w:p w14:paraId="24D3C3B3" w14:textId="77777777" w:rsidR="00B41389" w:rsidRPr="00A9192A" w:rsidRDefault="00B41389" w:rsidP="00B41389">
            <w:pPr>
              <w:pStyle w:val="ListParagraph"/>
              <w:numPr>
                <w:ilvl w:val="0"/>
                <w:numId w:val="192"/>
              </w:numPr>
              <w:rPr>
                <w:rFonts w:eastAsia="Avenir"/>
              </w:rPr>
            </w:pPr>
            <w:r>
              <w:t>Does your hospital screen ALL patients to determine if they are eligible for your hospital’s financial assistance program, regardless of whether they apply for financial assistance?</w:t>
            </w:r>
            <w:r>
              <w:br/>
            </w:r>
          </w:p>
          <w:p w14:paraId="6B076764" w14:textId="77777777" w:rsidR="00B41389" w:rsidRPr="00A9192A" w:rsidRDefault="00B41389" w:rsidP="00B41389">
            <w:pPr>
              <w:pStyle w:val="ListParagraph"/>
              <w:ind w:left="360"/>
              <w:rPr>
                <w:rFonts w:eastAsia="Avenir"/>
              </w:rPr>
            </w:pPr>
            <w:r w:rsidRPr="00086E3F">
              <w:rPr>
                <w:rFonts w:eastAsia="Avenir" w:cstheme="minorHAnsi"/>
                <w:i/>
                <w:iCs/>
              </w:rPr>
              <w:t>If “</w:t>
            </w:r>
            <w:r>
              <w:rPr>
                <w:rFonts w:eastAsia="Avenir" w:cstheme="minorHAnsi"/>
                <w:i/>
                <w:iCs/>
              </w:rPr>
              <w:t>n</w:t>
            </w:r>
            <w:r w:rsidRPr="00086E3F">
              <w:rPr>
                <w:rFonts w:eastAsia="Avenir" w:cstheme="minorHAnsi"/>
                <w:i/>
                <w:iCs/>
              </w:rPr>
              <w:t>o, we only screen uninsured patients for financial assistance</w:t>
            </w:r>
            <w:r>
              <w:rPr>
                <w:rFonts w:eastAsia="Avenir" w:cstheme="minorHAnsi"/>
                <w:i/>
                <w:iCs/>
              </w:rPr>
              <w:t xml:space="preserve"> eligibility” or </w:t>
            </w:r>
            <w:r w:rsidRPr="00D1097F">
              <w:rPr>
                <w:rFonts w:eastAsia="Avenir" w:cstheme="minorHAnsi"/>
                <w:i/>
                <w:iCs/>
              </w:rPr>
              <w:t>“</w:t>
            </w:r>
            <w:r>
              <w:rPr>
                <w:rFonts w:eastAsia="Avenir" w:cstheme="minorHAnsi"/>
                <w:i/>
                <w:iCs/>
              </w:rPr>
              <w:t>n</w:t>
            </w:r>
            <w:r w:rsidRPr="00D1097F">
              <w:rPr>
                <w:rFonts w:eastAsia="Avenir" w:cstheme="minorHAnsi"/>
                <w:i/>
                <w:iCs/>
              </w:rPr>
              <w:t xml:space="preserve">o, we </w:t>
            </w:r>
            <w:r>
              <w:rPr>
                <w:rFonts w:eastAsia="Avenir" w:cstheme="minorHAnsi"/>
                <w:i/>
                <w:iCs/>
              </w:rPr>
              <w:t>only</w:t>
            </w:r>
            <w:r w:rsidRPr="00D1097F">
              <w:rPr>
                <w:rFonts w:eastAsia="Avenir" w:cstheme="minorHAnsi"/>
                <w:i/>
                <w:iCs/>
              </w:rPr>
              <w:t xml:space="preserve"> screen patients </w:t>
            </w:r>
            <w:r>
              <w:rPr>
                <w:rFonts w:eastAsia="Avenir" w:cstheme="minorHAnsi"/>
                <w:i/>
                <w:iCs/>
              </w:rPr>
              <w:t xml:space="preserve">who have applied </w:t>
            </w:r>
            <w:r w:rsidRPr="00D1097F">
              <w:rPr>
                <w:rFonts w:eastAsia="Avenir" w:cstheme="minorHAnsi"/>
                <w:i/>
                <w:iCs/>
              </w:rPr>
              <w:t>for financial assistance,” skip question #5 and continue to question #6.</w:t>
            </w:r>
            <w:r>
              <w:br/>
            </w:r>
          </w:p>
          <w:p w14:paraId="2907AF41" w14:textId="16165E78" w:rsidR="00B41389" w:rsidRPr="00E64378" w:rsidRDefault="00B41389" w:rsidP="00B41389">
            <w:pPr>
              <w:pStyle w:val="ListParagraph"/>
              <w:ind w:left="360"/>
              <w:rPr>
                <w:rFonts w:eastAsia="Avenir" w:cstheme="minorHAnsi"/>
                <w:bCs/>
              </w:rPr>
            </w:pPr>
            <w:r w:rsidRPr="00ED1409">
              <w:rPr>
                <w:rFonts w:eastAsia="Avenir" w:cstheme="minorHAnsi"/>
                <w:i/>
                <w:iCs/>
              </w:rPr>
              <w:t>If “</w:t>
            </w:r>
            <w:r>
              <w:rPr>
                <w:rFonts w:eastAsia="Avenir" w:cstheme="minorHAnsi"/>
                <w:i/>
                <w:iCs/>
              </w:rPr>
              <w:t>n</w:t>
            </w:r>
            <w:r w:rsidRPr="00ED1409">
              <w:rPr>
                <w:rFonts w:eastAsia="Avenir" w:cstheme="minorHAnsi"/>
                <w:i/>
                <w:iCs/>
              </w:rPr>
              <w:t>o, our hospital does not have a financial assistance program,” skip question</w:t>
            </w:r>
            <w:r>
              <w:rPr>
                <w:rFonts w:eastAsia="Avenir" w:cstheme="minorHAnsi"/>
                <w:i/>
                <w:iCs/>
              </w:rPr>
              <w:t>s</w:t>
            </w:r>
            <w:r w:rsidRPr="00ED1409">
              <w:rPr>
                <w:rFonts w:eastAsia="Avenir" w:cstheme="minorHAnsi"/>
                <w:i/>
                <w:iCs/>
              </w:rPr>
              <w:t xml:space="preserve"> #5</w:t>
            </w:r>
            <w:r>
              <w:rPr>
                <w:rFonts w:eastAsia="Avenir" w:cstheme="minorHAnsi"/>
                <w:i/>
                <w:iCs/>
              </w:rPr>
              <w:t>-7</w:t>
            </w:r>
            <w:r w:rsidRPr="00ED1409">
              <w:rPr>
                <w:rFonts w:eastAsia="Avenir" w:cstheme="minorHAnsi"/>
                <w:i/>
                <w:iCs/>
              </w:rPr>
              <w:t xml:space="preserve"> and continue to the next subsection.</w:t>
            </w:r>
          </w:p>
        </w:tc>
        <w:tc>
          <w:tcPr>
            <w:tcW w:w="2947" w:type="dxa"/>
            <w:vAlign w:val="center"/>
          </w:tcPr>
          <w:p w14:paraId="7332CDE0" w14:textId="77777777" w:rsidR="00B41389" w:rsidRPr="009C388F" w:rsidRDefault="00B41389" w:rsidP="00B41389">
            <w:pPr>
              <w:pStyle w:val="ListParagraph"/>
              <w:numPr>
                <w:ilvl w:val="0"/>
                <w:numId w:val="255"/>
              </w:numPr>
            </w:pPr>
            <w:r w:rsidRPr="009C388F">
              <w:rPr>
                <w:rFonts w:eastAsia="Avenir" w:cstheme="minorHAnsi"/>
                <w:bCs/>
              </w:rPr>
              <w:t xml:space="preserve">Yes, </w:t>
            </w:r>
            <w:r w:rsidRPr="009C388F">
              <w:t>using a presumptive eligibility tool licensed from a third-party</w:t>
            </w:r>
          </w:p>
          <w:p w14:paraId="7F10F19F" w14:textId="77777777" w:rsidR="00B41389" w:rsidRDefault="00B41389" w:rsidP="00B41389">
            <w:pPr>
              <w:pStyle w:val="ListParagraph"/>
              <w:numPr>
                <w:ilvl w:val="0"/>
                <w:numId w:val="255"/>
              </w:numPr>
            </w:pPr>
            <w:r w:rsidRPr="009C388F">
              <w:t>Yes, using our hospital’s own approach to assessing financial assistance</w:t>
            </w:r>
            <w:r>
              <w:t xml:space="preserve"> eligibility</w:t>
            </w:r>
          </w:p>
          <w:p w14:paraId="48126CA7" w14:textId="77777777" w:rsidR="00B41389" w:rsidRPr="009C388F" w:rsidRDefault="00B41389" w:rsidP="00B41389">
            <w:pPr>
              <w:pStyle w:val="ListParagraph"/>
              <w:numPr>
                <w:ilvl w:val="0"/>
                <w:numId w:val="255"/>
              </w:numPr>
            </w:pPr>
            <w:r w:rsidRPr="00DA37BA">
              <w:t>No, we only screen uninsured patients for financial assistance</w:t>
            </w:r>
            <w:r>
              <w:t xml:space="preserve"> eligibility </w:t>
            </w:r>
          </w:p>
          <w:p w14:paraId="05DF214E" w14:textId="77777777" w:rsidR="00B41389" w:rsidRPr="009C388F" w:rsidRDefault="00B41389" w:rsidP="00B41389">
            <w:pPr>
              <w:pStyle w:val="ListParagraph"/>
              <w:numPr>
                <w:ilvl w:val="0"/>
                <w:numId w:val="255"/>
              </w:numPr>
            </w:pPr>
            <w:r w:rsidRPr="009C388F">
              <w:t xml:space="preserve">No, we </w:t>
            </w:r>
            <w:r>
              <w:t xml:space="preserve">only screen patients who have applied for </w:t>
            </w:r>
            <w:r w:rsidRPr="009C388F">
              <w:t>financial assistance</w:t>
            </w:r>
          </w:p>
          <w:p w14:paraId="26DB1B52" w14:textId="5C0D709F" w:rsidR="00B41389" w:rsidRPr="004D1420" w:rsidRDefault="00B41389" w:rsidP="00B41389">
            <w:pPr>
              <w:pStyle w:val="ListParagraph"/>
              <w:numPr>
                <w:ilvl w:val="0"/>
                <w:numId w:val="233"/>
              </w:numPr>
              <w:rPr>
                <w:rFonts w:eastAsia="Avenir" w:cstheme="minorHAnsi"/>
                <w:bCs/>
              </w:rPr>
            </w:pPr>
            <w:r w:rsidRPr="00FA46D8">
              <w:t>No, our hospital does not have a financial assistance program</w:t>
            </w:r>
          </w:p>
        </w:tc>
      </w:tr>
      <w:tr w:rsidR="00B41389" w:rsidRPr="00E64378" w14:paraId="0EF2E281" w14:textId="77777777" w:rsidTr="00B41389">
        <w:trPr>
          <w:trHeight w:val="1440"/>
        </w:trPr>
        <w:tc>
          <w:tcPr>
            <w:tcW w:w="6588" w:type="dxa"/>
            <w:vAlign w:val="center"/>
          </w:tcPr>
          <w:p w14:paraId="305A1573" w14:textId="3FE4B1B3" w:rsidR="00B41389" w:rsidRPr="00E64378" w:rsidRDefault="00B41389" w:rsidP="00B41389">
            <w:pPr>
              <w:pStyle w:val="ListParagraph"/>
              <w:numPr>
                <w:ilvl w:val="0"/>
                <w:numId w:val="192"/>
              </w:numPr>
              <w:rPr>
                <w:rFonts w:eastAsia="Avenir" w:cstheme="minorHAnsi"/>
                <w:bCs/>
              </w:rPr>
            </w:pPr>
            <w:r>
              <w:t>D</w:t>
            </w:r>
            <w:r w:rsidRPr="008A002F">
              <w:t xml:space="preserve">oes your hospital notify </w:t>
            </w:r>
            <w:r>
              <w:t>ALL</w:t>
            </w:r>
            <w:r w:rsidRPr="008A002F">
              <w:t xml:space="preserve"> patients </w:t>
            </w:r>
            <w:r>
              <w:t>who</w:t>
            </w:r>
            <w:r w:rsidRPr="008A002F">
              <w:t xml:space="preserve"> </w:t>
            </w:r>
            <w:r>
              <w:t xml:space="preserve">were determined to be eligible for your hospital’s financial assistance program that they </w:t>
            </w:r>
            <w:r w:rsidRPr="008A002F">
              <w:t>have qualified for</w:t>
            </w:r>
            <w:r>
              <w:t xml:space="preserve"> the program within 30 days of the determination</w:t>
            </w:r>
            <w:r w:rsidRPr="008A002F">
              <w:t>?</w:t>
            </w:r>
            <w:r>
              <w:t xml:space="preserve"> </w:t>
            </w:r>
          </w:p>
        </w:tc>
        <w:tc>
          <w:tcPr>
            <w:tcW w:w="2947" w:type="dxa"/>
            <w:vAlign w:val="center"/>
          </w:tcPr>
          <w:p w14:paraId="4381E4D0" w14:textId="77777777" w:rsidR="00B41389" w:rsidRPr="009C388F" w:rsidRDefault="00B41389" w:rsidP="00B41389">
            <w:pPr>
              <w:pStyle w:val="ListParagraph"/>
              <w:numPr>
                <w:ilvl w:val="0"/>
                <w:numId w:val="255"/>
              </w:numPr>
              <w:rPr>
                <w:rFonts w:eastAsia="Avenir" w:cstheme="minorHAnsi"/>
                <w:bCs/>
              </w:rPr>
            </w:pPr>
            <w:r w:rsidRPr="009C388F">
              <w:rPr>
                <w:rFonts w:eastAsia="Avenir" w:cstheme="minorHAnsi"/>
                <w:bCs/>
              </w:rPr>
              <w:t>Yes</w:t>
            </w:r>
          </w:p>
          <w:p w14:paraId="0AF5B379" w14:textId="6933CFA9" w:rsidR="00B41389" w:rsidRPr="004D1420" w:rsidRDefault="00B41389" w:rsidP="00B41389">
            <w:pPr>
              <w:pStyle w:val="ListParagraph"/>
              <w:numPr>
                <w:ilvl w:val="0"/>
                <w:numId w:val="233"/>
              </w:numPr>
              <w:rPr>
                <w:rFonts w:eastAsia="Avenir" w:cstheme="minorHAnsi"/>
                <w:bCs/>
              </w:rPr>
            </w:pPr>
            <w:r w:rsidRPr="00FA46D8">
              <w:rPr>
                <w:rFonts w:eastAsia="Avenir" w:cstheme="minorHAnsi"/>
                <w:bCs/>
              </w:rPr>
              <w:t>No</w:t>
            </w:r>
          </w:p>
        </w:tc>
      </w:tr>
      <w:tr w:rsidR="00B41389" w:rsidRPr="00E64378" w14:paraId="2E1D2429" w14:textId="77777777" w:rsidTr="00B41389">
        <w:trPr>
          <w:trHeight w:val="1440"/>
        </w:trPr>
        <w:tc>
          <w:tcPr>
            <w:tcW w:w="6588" w:type="dxa"/>
            <w:vAlign w:val="center"/>
          </w:tcPr>
          <w:p w14:paraId="5505EE5F" w14:textId="29C210DF" w:rsidR="00B41389" w:rsidRDefault="00B41389" w:rsidP="00B41389">
            <w:pPr>
              <w:pStyle w:val="ListParagraph"/>
              <w:numPr>
                <w:ilvl w:val="0"/>
                <w:numId w:val="192"/>
              </w:numPr>
            </w:pPr>
            <w:r w:rsidRPr="003A5CB3">
              <w:t>Does your hospital’s financial assistance program apply to ALL clinician fees, in addition to facility fees, for clinicians with privileges at your hospital</w:t>
            </w:r>
            <w:r>
              <w:t>?</w:t>
            </w:r>
          </w:p>
        </w:tc>
        <w:tc>
          <w:tcPr>
            <w:tcW w:w="2947" w:type="dxa"/>
            <w:vAlign w:val="center"/>
          </w:tcPr>
          <w:p w14:paraId="150DFB27" w14:textId="77777777" w:rsidR="00B41389" w:rsidRDefault="00B41389" w:rsidP="00B41389">
            <w:pPr>
              <w:pStyle w:val="ListParagraph"/>
              <w:numPr>
                <w:ilvl w:val="0"/>
                <w:numId w:val="255"/>
              </w:numPr>
              <w:rPr>
                <w:rFonts w:eastAsia="Avenir" w:cstheme="minorHAnsi"/>
                <w:bCs/>
              </w:rPr>
            </w:pPr>
            <w:r>
              <w:rPr>
                <w:rFonts w:eastAsia="Avenir" w:cstheme="minorHAnsi"/>
                <w:bCs/>
              </w:rPr>
              <w:t>Yes</w:t>
            </w:r>
          </w:p>
          <w:p w14:paraId="5468CD3A" w14:textId="77777777" w:rsidR="00B41389" w:rsidRDefault="00B41389" w:rsidP="00B41389">
            <w:pPr>
              <w:pStyle w:val="ListParagraph"/>
              <w:numPr>
                <w:ilvl w:val="0"/>
                <w:numId w:val="255"/>
              </w:numPr>
              <w:rPr>
                <w:rFonts w:eastAsia="Avenir" w:cstheme="minorHAnsi"/>
                <w:bCs/>
              </w:rPr>
            </w:pPr>
            <w:r>
              <w:rPr>
                <w:rFonts w:eastAsia="Avenir" w:cstheme="minorHAnsi"/>
                <w:bCs/>
              </w:rPr>
              <w:t>No</w:t>
            </w:r>
          </w:p>
          <w:p w14:paraId="5F968FF2" w14:textId="19B9C2AB" w:rsidR="00B41389" w:rsidRPr="009C388F" w:rsidRDefault="00B41389" w:rsidP="00B41389">
            <w:pPr>
              <w:pStyle w:val="ListParagraph"/>
              <w:numPr>
                <w:ilvl w:val="0"/>
                <w:numId w:val="255"/>
              </w:numPr>
              <w:rPr>
                <w:rFonts w:eastAsia="Avenir" w:cstheme="minorHAnsi"/>
                <w:bCs/>
              </w:rPr>
            </w:pPr>
            <w:r>
              <w:rPr>
                <w:rFonts w:eastAsia="Avenir" w:cstheme="minorHAnsi"/>
                <w:bCs/>
              </w:rPr>
              <w:t>No, but we include a list of covered</w:t>
            </w:r>
            <w:r w:rsidR="00AF41A3">
              <w:rPr>
                <w:rFonts w:eastAsia="Avenir" w:cstheme="minorHAnsi"/>
                <w:bCs/>
              </w:rPr>
              <w:t xml:space="preserve"> clinicians</w:t>
            </w:r>
            <w:r>
              <w:rPr>
                <w:rFonts w:eastAsia="Avenir" w:cstheme="minorHAnsi"/>
                <w:bCs/>
              </w:rPr>
              <w:t xml:space="preserve"> and services in our financial assistance application</w:t>
            </w:r>
          </w:p>
        </w:tc>
      </w:tr>
      <w:tr w:rsidR="00B41389" w:rsidRPr="00E64378" w14:paraId="60A27DFB" w14:textId="77777777" w:rsidTr="006146A1">
        <w:trPr>
          <w:trHeight w:val="1440"/>
        </w:trPr>
        <w:tc>
          <w:tcPr>
            <w:tcW w:w="6588" w:type="dxa"/>
            <w:tcBorders>
              <w:bottom w:val="single" w:sz="4" w:space="0" w:color="auto"/>
            </w:tcBorders>
            <w:vAlign w:val="center"/>
          </w:tcPr>
          <w:p w14:paraId="1BE75DB0" w14:textId="650DF580" w:rsidR="00B41389" w:rsidRPr="003A5CB3" w:rsidRDefault="00B41389" w:rsidP="00B41389">
            <w:pPr>
              <w:pStyle w:val="ListParagraph"/>
              <w:numPr>
                <w:ilvl w:val="0"/>
                <w:numId w:val="192"/>
              </w:numPr>
            </w:pPr>
            <w:r>
              <w:t xml:space="preserve">Does your hospital’s financial assistance application include </w:t>
            </w:r>
            <w:r>
              <w:rPr>
                <w:rFonts w:eastAsia="Avenir" w:cstheme="minorHAnsi"/>
              </w:rPr>
              <w:t>n</w:t>
            </w:r>
            <w:r w:rsidRPr="001A2630">
              <w:rPr>
                <w:rFonts w:eastAsia="Avenir" w:cstheme="minorHAnsi"/>
              </w:rPr>
              <w:t xml:space="preserve">otification that </w:t>
            </w:r>
            <w:r>
              <w:rPr>
                <w:rFonts w:eastAsia="Avenir" w:cstheme="minorHAnsi"/>
              </w:rPr>
              <w:t>some services, including physician services,</w:t>
            </w:r>
            <w:r w:rsidRPr="001A2630">
              <w:rPr>
                <w:rFonts w:eastAsia="Avenir" w:cstheme="minorHAnsi"/>
              </w:rPr>
              <w:t xml:space="preserve"> </w:t>
            </w:r>
            <w:r>
              <w:rPr>
                <w:rFonts w:eastAsia="Avenir" w:cstheme="minorHAnsi"/>
              </w:rPr>
              <w:t>may</w:t>
            </w:r>
            <w:r w:rsidRPr="001A2630">
              <w:rPr>
                <w:rFonts w:eastAsia="Avenir" w:cstheme="minorHAnsi"/>
              </w:rPr>
              <w:t xml:space="preserve"> be billed separately</w:t>
            </w:r>
            <w:r>
              <w:rPr>
                <w:rFonts w:eastAsia="Avenir" w:cstheme="minorHAnsi"/>
              </w:rPr>
              <w:t>?</w:t>
            </w:r>
          </w:p>
        </w:tc>
        <w:tc>
          <w:tcPr>
            <w:tcW w:w="2947" w:type="dxa"/>
            <w:tcBorders>
              <w:bottom w:val="single" w:sz="4" w:space="0" w:color="auto"/>
            </w:tcBorders>
            <w:vAlign w:val="center"/>
          </w:tcPr>
          <w:p w14:paraId="639011CE" w14:textId="77777777" w:rsidR="00B41389" w:rsidRDefault="00B41389" w:rsidP="00B41389">
            <w:pPr>
              <w:pStyle w:val="ListParagraph"/>
              <w:numPr>
                <w:ilvl w:val="0"/>
                <w:numId w:val="255"/>
              </w:numPr>
              <w:rPr>
                <w:rFonts w:eastAsia="Avenir" w:cstheme="minorHAnsi"/>
                <w:bCs/>
              </w:rPr>
            </w:pPr>
            <w:r>
              <w:rPr>
                <w:rFonts w:eastAsia="Avenir" w:cstheme="minorHAnsi"/>
                <w:bCs/>
              </w:rPr>
              <w:t>Yes</w:t>
            </w:r>
          </w:p>
          <w:p w14:paraId="1601DDB1" w14:textId="2907F1AA" w:rsidR="00B41389" w:rsidRDefault="00B41389" w:rsidP="00B41389">
            <w:pPr>
              <w:pStyle w:val="ListParagraph"/>
              <w:numPr>
                <w:ilvl w:val="0"/>
                <w:numId w:val="255"/>
              </w:numPr>
              <w:rPr>
                <w:rFonts w:eastAsia="Avenir" w:cstheme="minorHAnsi"/>
                <w:bCs/>
              </w:rPr>
            </w:pPr>
            <w:r>
              <w:rPr>
                <w:rFonts w:eastAsia="Avenir" w:cstheme="minorHAnsi"/>
                <w:bCs/>
              </w:rPr>
              <w:t>No</w:t>
            </w:r>
          </w:p>
        </w:tc>
      </w:tr>
    </w:tbl>
    <w:p w14:paraId="0AE33F60" w14:textId="2FA5DCA3" w:rsidR="00B0302E" w:rsidRDefault="00B0302E" w:rsidP="00D71DF6">
      <w:pPr>
        <w:rPr>
          <w:rFonts w:cs="Arial"/>
          <w:b/>
          <w:snapToGrid w:val="0"/>
          <w:color w:val="000000"/>
        </w:rPr>
      </w:pPr>
    </w:p>
    <w:p w14:paraId="7D8E0D54" w14:textId="77777777" w:rsidR="00B20633" w:rsidRDefault="00B20633" w:rsidP="00D71DF6">
      <w:pPr>
        <w:rPr>
          <w:rFonts w:cs="Arial"/>
          <w:b/>
          <w:i/>
          <w:iCs/>
          <w:snapToGrid w:val="0"/>
          <w:color w:val="000000"/>
        </w:rPr>
      </w:pPr>
    </w:p>
    <w:p w14:paraId="5D923D9E" w14:textId="77777777" w:rsidR="00B20633" w:rsidRDefault="00B20633">
      <w:pPr>
        <w:rPr>
          <w:rFonts w:cs="Arial"/>
          <w:b/>
          <w:snapToGrid w:val="0"/>
          <w:color w:val="000000"/>
        </w:rPr>
      </w:pPr>
    </w:p>
    <w:p w14:paraId="1C51F0A4" w14:textId="2EBCB1A9" w:rsidR="004705EA" w:rsidRDefault="004705EA" w:rsidP="00FA46D8"/>
    <w:p w14:paraId="17F87CC9" w14:textId="77777777" w:rsidR="004705EA" w:rsidRDefault="004705EA">
      <w:pPr>
        <w:rPr>
          <w:b/>
          <w:snapToGrid w:val="0"/>
          <w:sz w:val="28"/>
          <w:szCs w:val="24"/>
          <w:u w:val="single"/>
          <w:lang w:eastAsia="ja-JP"/>
        </w:rPr>
      </w:pPr>
      <w:r>
        <w:br w:type="page"/>
      </w:r>
    </w:p>
    <w:p w14:paraId="514F25DD" w14:textId="628013A6" w:rsidR="00A35DD6" w:rsidRDefault="00A35DD6" w:rsidP="00CF5A6E">
      <w:pPr>
        <w:pStyle w:val="Heading2"/>
      </w:pPr>
      <w:bookmarkStart w:id="102" w:name="_Toc225877672"/>
      <w:bookmarkStart w:id="103" w:name="_Toc88133693"/>
      <w:r>
        <w:lastRenderedPageBreak/>
        <w:t xml:space="preserve">1C: Health </w:t>
      </w:r>
      <w:r w:rsidR="00080EC2">
        <w:t xml:space="preserve">Care </w:t>
      </w:r>
      <w:r>
        <w:t>Equity</w:t>
      </w:r>
      <w:bookmarkEnd w:id="102"/>
    </w:p>
    <w:p w14:paraId="21E4C488" w14:textId="77777777" w:rsidR="004705EA" w:rsidRDefault="004705EA" w:rsidP="004705EA">
      <w:pPr>
        <w:rPr>
          <w:lang w:eastAsia="ja-JP"/>
        </w:rPr>
      </w:pPr>
    </w:p>
    <w:p w14:paraId="255B0BA1" w14:textId="77777777" w:rsidR="00D43D0F" w:rsidRDefault="00D43D0F" w:rsidP="00D43D0F">
      <w:pPr>
        <w:rPr>
          <w:rStyle w:val="Hyperlink"/>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12" w:history="1">
        <w:r w:rsidRPr="009A5185">
          <w:rPr>
            <w:rStyle w:val="Hyperlink"/>
            <w:rFonts w:cs="Arial"/>
            <w:snapToGrid w:val="0"/>
          </w:rPr>
          <w:t>Leapfrog’s Multi-Campus Reporting Policy</w:t>
        </w:r>
      </w:hyperlink>
      <w:r>
        <w:rPr>
          <w:rStyle w:val="Hyperlink"/>
          <w:rFonts w:cs="Arial"/>
          <w:snapToGrid w:val="0"/>
        </w:rPr>
        <w:t>.</w:t>
      </w:r>
      <w:r w:rsidRPr="00D7308D">
        <w:rPr>
          <w:rStyle w:val="Hyperlink"/>
          <w:rFonts w:cs="Arial"/>
          <w:snapToGrid w:val="0"/>
        </w:rPr>
        <w:t xml:space="preserve"> </w:t>
      </w:r>
    </w:p>
    <w:p w14:paraId="30D9F236" w14:textId="77777777" w:rsidR="00D43D0F" w:rsidRDefault="00D43D0F" w:rsidP="00D43D0F">
      <w:pPr>
        <w:rPr>
          <w:rStyle w:val="Hyperlink"/>
          <w:rFonts w:cs="Arial"/>
          <w:snapToGrid w:val="0"/>
        </w:rPr>
      </w:pPr>
    </w:p>
    <w:p w14:paraId="342DC979" w14:textId="77777777" w:rsidR="00D43D0F" w:rsidRDefault="00D43D0F" w:rsidP="00D43D0F">
      <w:pPr>
        <w:rPr>
          <w:bCs/>
        </w:rPr>
      </w:pPr>
      <w:r w:rsidRPr="00873014">
        <w:rPr>
          <w:rFonts w:cs="Arial"/>
          <w:b/>
          <w:snapToGrid w:val="0"/>
          <w:color w:val="FF0000"/>
        </w:rPr>
        <w:t xml:space="preserve">Important Notes: </w:t>
      </w:r>
      <w:r>
        <w:rPr>
          <w:bCs/>
        </w:rPr>
        <w:br/>
      </w:r>
    </w:p>
    <w:p w14:paraId="5B970836" w14:textId="36C2FD35" w:rsidR="00D43D0F" w:rsidRDefault="00D43D0F" w:rsidP="00D43D0F">
      <w:pPr>
        <w:rPr>
          <w:bCs/>
        </w:rPr>
      </w:pPr>
      <w:r>
        <w:rPr>
          <w:bCs/>
        </w:rPr>
        <w:t>Note 1:</w:t>
      </w:r>
      <w:r w:rsidR="003D1390">
        <w:rPr>
          <w:bCs/>
        </w:rPr>
        <w:t xml:space="preserve"> Q</w:t>
      </w:r>
      <w:r>
        <w:rPr>
          <w:bCs/>
        </w:rPr>
        <w:t>uestion #5 will not be used in scoring for hospitals that do not identify disparities or if there is i</w:t>
      </w:r>
      <w:r w:rsidRPr="00520B8F">
        <w:rPr>
          <w:bCs/>
        </w:rPr>
        <w:t xml:space="preserve">nadequate data to determine if disparities exist </w:t>
      </w:r>
      <w:r>
        <w:rPr>
          <w:bCs/>
        </w:rPr>
        <w:t xml:space="preserve">in </w:t>
      </w:r>
      <w:r w:rsidRPr="00520B8F">
        <w:rPr>
          <w:bCs/>
        </w:rPr>
        <w:t>question #4</w:t>
      </w:r>
      <w:r>
        <w:rPr>
          <w:bCs/>
        </w:rPr>
        <w:t xml:space="preserve">. </w:t>
      </w:r>
      <w:bookmarkStart w:id="104" w:name="_Hlk159403943"/>
      <w:r w:rsidR="005D782F">
        <w:rPr>
          <w:bCs/>
        </w:rPr>
        <w:t>All other questions will be used in scoring</w:t>
      </w:r>
      <w:r w:rsidR="00675A55">
        <w:rPr>
          <w:bCs/>
        </w:rPr>
        <w:t xml:space="preserve"> and public reporting</w:t>
      </w:r>
      <w:bookmarkEnd w:id="104"/>
      <w:r w:rsidR="005D782F">
        <w:rPr>
          <w:bCs/>
        </w:rPr>
        <w:t>.</w:t>
      </w:r>
    </w:p>
    <w:p w14:paraId="4C22F6FA" w14:textId="77777777" w:rsidR="00D43D0F" w:rsidRDefault="00D43D0F" w:rsidP="00D43D0F">
      <w:pPr>
        <w:rPr>
          <w:bCs/>
        </w:rPr>
      </w:pPr>
    </w:p>
    <w:p w14:paraId="081308AB" w14:textId="3644256B" w:rsidR="004705EA" w:rsidRPr="004D1420" w:rsidRDefault="00D43D0F" w:rsidP="004705EA">
      <w:pPr>
        <w:rPr>
          <w:bCs/>
        </w:rPr>
      </w:pPr>
      <w:r>
        <w:rPr>
          <w:bCs/>
        </w:rPr>
        <w:t xml:space="preserve">Note 2: </w:t>
      </w:r>
      <w:r w:rsidRPr="00722F1B">
        <w:rPr>
          <w:bCs/>
        </w:rPr>
        <w:t xml:space="preserve">Hyperlinks throughout this subsection refer to </w:t>
      </w:r>
      <w:r>
        <w:rPr>
          <w:bCs/>
        </w:rPr>
        <w:t xml:space="preserve">the </w:t>
      </w:r>
      <w:hyperlink w:anchor="_Health_Care_Equity" w:history="1">
        <w:r w:rsidRPr="007213E1">
          <w:rPr>
            <w:rStyle w:val="Hyperlink"/>
            <w:bCs/>
          </w:rPr>
          <w:t xml:space="preserve">Health </w:t>
        </w:r>
        <w:r>
          <w:rPr>
            <w:rStyle w:val="Hyperlink"/>
            <w:bCs/>
          </w:rPr>
          <w:t xml:space="preserve">Care </w:t>
        </w:r>
        <w:r w:rsidRPr="007213E1">
          <w:rPr>
            <w:rStyle w:val="Hyperlink"/>
            <w:bCs/>
          </w:rPr>
          <w:t>Equity FAQs</w:t>
        </w:r>
      </w:hyperlink>
      <w:r>
        <w:rPr>
          <w:bCs/>
        </w:rPr>
        <w:t xml:space="preserve"> beginning on page </w:t>
      </w:r>
      <w:r w:rsidR="00A42B84">
        <w:rPr>
          <w:bCs/>
        </w:rPr>
        <w:t>5</w:t>
      </w:r>
      <w:r w:rsidR="009143AE">
        <w:rPr>
          <w:bCs/>
        </w:rPr>
        <w:t>1</w:t>
      </w:r>
      <w:r>
        <w:rPr>
          <w:bCs/>
        </w:rPr>
        <w:t>,</w:t>
      </w:r>
      <w:r w:rsidRPr="004A60F9">
        <w:rPr>
          <w:bCs/>
        </w:rPr>
        <w:t xml:space="preserve"> not to endnotes. These hyperlinks are not include</w:t>
      </w:r>
      <w:r>
        <w:rPr>
          <w:bCs/>
        </w:rPr>
        <w:t>d in the Online Survey Tool.</w:t>
      </w:r>
    </w:p>
    <w:p w14:paraId="060159D3" w14:textId="77777777" w:rsidR="004705EA" w:rsidRDefault="004705EA" w:rsidP="004705EA">
      <w:pPr>
        <w:rPr>
          <w:lang w:eastAsia="ja-JP"/>
        </w:rPr>
      </w:pPr>
    </w:p>
    <w:p w14:paraId="2B326DA1" w14:textId="4F741599" w:rsidR="004705EA" w:rsidRDefault="00D43D0F" w:rsidP="004705EA">
      <w:pPr>
        <w:rPr>
          <w:lang w:eastAsia="ja-JP"/>
        </w:rPr>
      </w:pPr>
      <w:r w:rsidRPr="000C7BC9">
        <w:rPr>
          <w:b/>
          <w:noProof/>
          <w:snapToGrid w:val="0"/>
          <w:color w:val="000000"/>
        </w:rPr>
        <mc:AlternateContent>
          <mc:Choice Requires="wps">
            <w:drawing>
              <wp:inline distT="0" distB="0" distL="0" distR="0" wp14:anchorId="336D765C" wp14:editId="16CDA351">
                <wp:extent cx="6035040" cy="1042056"/>
                <wp:effectExtent l="0" t="0" r="22860" b="10160"/>
                <wp:docPr id="768385361" name="Text Box 768385361" descr="P1460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042056"/>
                        </a:xfrm>
                        <a:prstGeom prst="rect">
                          <a:avLst/>
                        </a:prstGeom>
                        <a:solidFill>
                          <a:srgbClr val="FFFFFF"/>
                        </a:solidFill>
                        <a:ln w="9525">
                          <a:solidFill>
                            <a:srgbClr val="FF0000"/>
                          </a:solidFill>
                          <a:miter lim="800000"/>
                          <a:headEnd/>
                          <a:tailEnd/>
                        </a:ln>
                      </wps:spPr>
                      <wps:txbx>
                        <w:txbxContent>
                          <w:p w14:paraId="0BF1BF5C" w14:textId="23F74809" w:rsidR="00D43D0F" w:rsidRPr="000C7BC9" w:rsidRDefault="00D43D0F" w:rsidP="00D43D0F">
                            <w:pPr>
                              <w:spacing w:before="40"/>
                              <w:rPr>
                                <w:rFonts w:cs="Arial"/>
                                <w:bCs/>
                                <w:snapToGrid w:val="0"/>
                                <w:u w:val="single"/>
                              </w:rPr>
                            </w:pPr>
                            <w:r w:rsidRPr="009A5185">
                              <w:rPr>
                                <w:rFonts w:cs="Arial"/>
                                <w:b/>
                                <w:snapToGrid w:val="0"/>
                              </w:rPr>
                              <w:t xml:space="preserve">Reporting Period: </w:t>
                            </w:r>
                            <w:r>
                              <w:t>Answer questions #1-</w:t>
                            </w:r>
                            <w:r w:rsidR="00985B50">
                              <w:t>7</w:t>
                            </w:r>
                            <w:r>
                              <w:t xml:space="preserve"> based on the practices currently in place at the time you submit this section of the Survey.</w:t>
                            </w:r>
                          </w:p>
                          <w:p w14:paraId="5446D7F4" w14:textId="77777777" w:rsidR="00D43D0F" w:rsidRPr="00AA7E68" w:rsidRDefault="00D43D0F" w:rsidP="00D43D0F">
                            <w:pPr>
                              <w:spacing w:before="40"/>
                              <w:rPr>
                                <w:rFonts w:cs="Arial"/>
                                <w:bCs/>
                                <w:snapToGrid w:val="0"/>
                                <w:u w:val="single"/>
                              </w:rPr>
                            </w:pPr>
                          </w:p>
                          <w:p w14:paraId="3CD799F0" w14:textId="77777777" w:rsidR="00D43D0F" w:rsidRDefault="00D43D0F" w:rsidP="00D43D0F">
                            <w:r w:rsidRPr="001B3D66">
                              <w:rPr>
                                <w:rFonts w:cs="Arial"/>
                                <w:sz w:val="16"/>
                                <w:szCs w:val="16"/>
                              </w:rPr>
                              <w:t xml:space="preserve">Note: As a reminder, the </w:t>
                            </w:r>
                            <w:hyperlink r:id="rId113"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336D765C" id="Text Box 768385361" o:spid="_x0000_s1031" type="#_x0000_t202" alt="P1460TB4#y1" style="width:475.2pt;height:8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" strokecolor="red">
                <v:textbox style="mso-fit-shape-to-text:t">
                  <w:txbxContent>
                    <w:p w14:paraId="0BF1BF5C" w14:textId="23F74809" w:rsidR="00D43D0F" w:rsidRPr="000C7BC9" w:rsidRDefault="00D43D0F" w:rsidP="00D43D0F">
                      <w:pPr>
                        <w:spacing w:before="40"/>
                        <w:rPr>
                          <w:rFonts w:cs="Arial"/>
                          <w:bCs/>
                          <w:snapToGrid w:val="0"/>
                          <w:u w:val="single"/>
                        </w:rPr>
                      </w:pPr>
                      <w:r w:rsidRPr="009A5185">
                        <w:rPr>
                          <w:rFonts w:cs="Arial"/>
                          <w:b/>
                          <w:snapToGrid w:val="0"/>
                        </w:rPr>
                        <w:t xml:space="preserve">Reporting Period: </w:t>
                      </w:r>
                      <w:r>
                        <w:t>Answer questions #1-</w:t>
                      </w:r>
                      <w:r w:rsidR="00985B50">
                        <w:t>7</w:t>
                      </w:r>
                      <w:r>
                        <w:t xml:space="preserve"> based on the practices currently in place at the time you submit this section of the Survey.</w:t>
                      </w:r>
                    </w:p>
                    <w:p w14:paraId="5446D7F4" w14:textId="77777777" w:rsidR="00D43D0F" w:rsidRPr="00AA7E68" w:rsidRDefault="00D43D0F" w:rsidP="00D43D0F">
                      <w:pPr>
                        <w:spacing w:before="40"/>
                        <w:rPr>
                          <w:rFonts w:cs="Arial"/>
                          <w:bCs/>
                          <w:snapToGrid w:val="0"/>
                          <w:u w:val="single"/>
                        </w:rPr>
                      </w:pPr>
                    </w:p>
                    <w:p w14:paraId="3CD799F0" w14:textId="77777777" w:rsidR="00D43D0F" w:rsidRDefault="00D43D0F" w:rsidP="00D43D0F">
                      <w:r w:rsidRPr="001B3D66">
                        <w:rPr>
                          <w:rFonts w:cs="Arial"/>
                          <w:sz w:val="16"/>
                          <w:szCs w:val="16"/>
                        </w:rPr>
                        <w:t xml:space="preserve">Note: As a reminder, the </w:t>
                      </w:r>
                      <w:hyperlink r:id="rId114"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v:textbox>
                <w10:anchorlock/>
              </v:shape>
            </w:pict>
          </mc:Fallback>
        </mc:AlternateContent>
      </w:r>
    </w:p>
    <w:p w14:paraId="7C762272" w14:textId="77777777" w:rsidR="00D43D0F" w:rsidRPr="0003005A" w:rsidRDefault="00D43D0F" w:rsidP="004705EA">
      <w:pPr>
        <w:rPr>
          <w:lang w:eastAsia="ja-JP"/>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8"/>
        <w:gridCol w:w="2947"/>
      </w:tblGrid>
      <w:tr w:rsidR="004705EA" w:rsidRPr="00B0302E" w14:paraId="1892C955" w14:textId="77777777" w:rsidTr="00EC4DCE">
        <w:trPr>
          <w:trHeight w:val="2483"/>
        </w:trPr>
        <w:tc>
          <w:tcPr>
            <w:tcW w:w="6588" w:type="dxa"/>
            <w:vAlign w:val="center"/>
          </w:tcPr>
          <w:p w14:paraId="6054601C" w14:textId="77777777" w:rsidR="004705EA" w:rsidRPr="00C53C7B" w:rsidRDefault="004705EA" w:rsidP="00AD309C">
            <w:pPr>
              <w:numPr>
                <w:ilvl w:val="0"/>
                <w:numId w:val="306"/>
              </w:numPr>
              <w:contextualSpacing/>
              <w:rPr>
                <w:rFonts w:cs="Arial"/>
              </w:rPr>
            </w:pPr>
            <w:r w:rsidRPr="00C53C7B">
              <w:rPr>
                <w:rFonts w:cs="Arial"/>
              </w:rPr>
              <w:t xml:space="preserve">Which of the following </w:t>
            </w:r>
            <w:r w:rsidRPr="00AF498B">
              <w:rPr>
                <w:rFonts w:cs="Arial"/>
                <w:b/>
                <w:bCs/>
              </w:rPr>
              <w:t>patient self-identified</w:t>
            </w:r>
            <w:r>
              <w:rPr>
                <w:rFonts w:cs="Arial"/>
              </w:rPr>
              <w:t xml:space="preserve"> </w:t>
            </w:r>
            <w:r w:rsidRPr="00C53C7B">
              <w:rPr>
                <w:rFonts w:cs="Arial"/>
              </w:rPr>
              <w:t xml:space="preserve">demographic data does your hospital collect </w:t>
            </w:r>
            <w:hyperlink w:anchor="directlyfrompatientsfaq" w:history="1">
              <w:r w:rsidRPr="001D16B1">
                <w:rPr>
                  <w:rStyle w:val="Hyperlink"/>
                  <w:rFonts w:cs="Arial"/>
                  <w:b/>
                  <w:bCs/>
                </w:rPr>
                <w:t>directly from its patients</w:t>
              </w:r>
            </w:hyperlink>
            <w:r>
              <w:rPr>
                <w:rFonts w:cs="Arial"/>
                <w:b/>
                <w:bCs/>
              </w:rPr>
              <w:t xml:space="preserve"> (or patient’s legal guardian) </w:t>
            </w:r>
            <w:r w:rsidRPr="00923EE1">
              <w:rPr>
                <w:rFonts w:cs="Arial"/>
              </w:rPr>
              <w:t>prior to or while registering a patient for a hospital visit?</w:t>
            </w:r>
          </w:p>
          <w:p w14:paraId="1FF7EFAF" w14:textId="77777777" w:rsidR="004705EA" w:rsidRPr="00C53C7B" w:rsidRDefault="004705EA" w:rsidP="00EC4DCE">
            <w:pPr>
              <w:ind w:left="360"/>
              <w:contextualSpacing/>
              <w:rPr>
                <w:rFonts w:cs="Arial"/>
                <w:i/>
                <w:iCs/>
              </w:rPr>
            </w:pPr>
          </w:p>
          <w:p w14:paraId="05B2DA6E" w14:textId="77777777" w:rsidR="004705EA" w:rsidRPr="00C53C7B" w:rsidRDefault="004705EA" w:rsidP="00EC4DCE">
            <w:pPr>
              <w:ind w:left="360"/>
              <w:contextualSpacing/>
              <w:rPr>
                <w:rFonts w:cs="Arial"/>
                <w:i/>
                <w:iCs/>
              </w:rPr>
            </w:pPr>
            <w:r w:rsidRPr="00C53C7B">
              <w:rPr>
                <w:rFonts w:cs="Arial"/>
                <w:i/>
                <w:iCs/>
              </w:rPr>
              <w:t xml:space="preserve">Select all that apply. </w:t>
            </w:r>
          </w:p>
          <w:p w14:paraId="397256DF" w14:textId="77777777" w:rsidR="004705EA" w:rsidRPr="00C53C7B" w:rsidRDefault="004705EA" w:rsidP="00EC4DCE">
            <w:pPr>
              <w:ind w:left="360"/>
              <w:contextualSpacing/>
              <w:rPr>
                <w:rFonts w:cs="Arial"/>
                <w:i/>
                <w:iCs/>
              </w:rPr>
            </w:pPr>
          </w:p>
          <w:p w14:paraId="727B8997" w14:textId="4F4639D9" w:rsidR="004705EA" w:rsidRPr="004D7D1D" w:rsidRDefault="004705EA" w:rsidP="00EC4DCE">
            <w:pPr>
              <w:ind w:left="360"/>
              <w:contextualSpacing/>
              <w:rPr>
                <w:rFonts w:cs="Arial"/>
                <w:i/>
                <w:iCs/>
              </w:rPr>
            </w:pPr>
            <w:r w:rsidRPr="00C53C7B">
              <w:rPr>
                <w:rFonts w:cs="Arial"/>
                <w:i/>
                <w:iCs/>
              </w:rPr>
              <w:t>If “</w:t>
            </w:r>
            <w:r>
              <w:rPr>
                <w:rFonts w:cs="Arial"/>
                <w:i/>
                <w:iCs/>
              </w:rPr>
              <w:t>n</w:t>
            </w:r>
            <w:r w:rsidRPr="00C53C7B">
              <w:rPr>
                <w:rFonts w:cs="Arial"/>
                <w:i/>
                <w:iCs/>
              </w:rPr>
              <w:t>one of the above</w:t>
            </w:r>
            <w:r>
              <w:rPr>
                <w:rFonts w:cs="Arial"/>
                <w:i/>
                <w:iCs/>
              </w:rPr>
              <w:t>,</w:t>
            </w:r>
            <w:r w:rsidRPr="00C53C7B">
              <w:rPr>
                <w:rFonts w:cs="Arial"/>
                <w:i/>
                <w:iCs/>
              </w:rPr>
              <w:t>” skip the remaining questions</w:t>
            </w:r>
            <w:r>
              <w:rPr>
                <w:rFonts w:cs="Arial"/>
                <w:i/>
                <w:iCs/>
              </w:rPr>
              <w:t xml:space="preserve"> in Section 1</w:t>
            </w:r>
            <w:r w:rsidR="00D43D0F">
              <w:rPr>
                <w:rFonts w:cs="Arial"/>
                <w:i/>
                <w:iCs/>
              </w:rPr>
              <w:t>C</w:t>
            </w:r>
            <w:r w:rsidRPr="00C53C7B">
              <w:rPr>
                <w:rFonts w:cs="Arial"/>
                <w:i/>
                <w:iCs/>
              </w:rPr>
              <w:t xml:space="preserve"> and </w:t>
            </w:r>
            <w:r>
              <w:rPr>
                <w:rFonts w:cs="Arial"/>
                <w:i/>
                <w:iCs/>
              </w:rPr>
              <w:t>continue to the next subsection.</w:t>
            </w:r>
            <w:r w:rsidR="00691EFF">
              <w:rPr>
                <w:rFonts w:cs="Arial"/>
                <w:i/>
                <w:iCs/>
              </w:rPr>
              <w:t xml:space="preserve"> The hospital will be scored as “Limited Achievement.” </w:t>
            </w:r>
          </w:p>
        </w:tc>
        <w:tc>
          <w:tcPr>
            <w:tcW w:w="2947" w:type="dxa"/>
            <w:vAlign w:val="center"/>
          </w:tcPr>
          <w:p w14:paraId="085A6B3B" w14:textId="77777777" w:rsidR="004705EA" w:rsidRPr="007D0C84" w:rsidRDefault="004705EA" w:rsidP="00AD309C">
            <w:pPr>
              <w:numPr>
                <w:ilvl w:val="0"/>
                <w:numId w:val="143"/>
              </w:numPr>
              <w:contextualSpacing/>
              <w:rPr>
                <w:rFonts w:cs="Arial"/>
                <w:iCs/>
              </w:rPr>
            </w:pPr>
            <w:r w:rsidRPr="007D0C84">
              <w:rPr>
                <w:rFonts w:cs="Arial"/>
                <w:iCs/>
              </w:rPr>
              <w:t>Race</w:t>
            </w:r>
          </w:p>
          <w:p w14:paraId="0FD07633" w14:textId="77777777" w:rsidR="004705EA" w:rsidRPr="007D0C84" w:rsidRDefault="004705EA" w:rsidP="00AD309C">
            <w:pPr>
              <w:numPr>
                <w:ilvl w:val="0"/>
                <w:numId w:val="143"/>
              </w:numPr>
              <w:contextualSpacing/>
              <w:rPr>
                <w:rFonts w:cs="Arial"/>
                <w:iCs/>
              </w:rPr>
            </w:pPr>
            <w:r w:rsidRPr="007D0C84">
              <w:rPr>
                <w:rFonts w:cs="Arial"/>
                <w:iCs/>
              </w:rPr>
              <w:t>Ethnicity</w:t>
            </w:r>
          </w:p>
          <w:p w14:paraId="4B534C1B" w14:textId="229854EB" w:rsidR="004705EA" w:rsidRPr="007D0C84" w:rsidRDefault="004705EA" w:rsidP="00AD309C">
            <w:pPr>
              <w:numPr>
                <w:ilvl w:val="0"/>
                <w:numId w:val="143"/>
              </w:numPr>
              <w:contextualSpacing/>
              <w:rPr>
                <w:rFonts w:cs="Arial"/>
                <w:iCs/>
              </w:rPr>
            </w:pPr>
            <w:r w:rsidRPr="007D0C84">
              <w:rPr>
                <w:rFonts w:cs="Arial"/>
                <w:iCs/>
              </w:rPr>
              <w:t>Spoken language preferred for health</w:t>
            </w:r>
            <w:r w:rsidR="007D2419">
              <w:rPr>
                <w:rFonts w:cs="Arial"/>
                <w:iCs/>
              </w:rPr>
              <w:t xml:space="preserve"> </w:t>
            </w:r>
            <w:r w:rsidRPr="007D0C84">
              <w:rPr>
                <w:rFonts w:cs="Arial"/>
                <w:iCs/>
              </w:rPr>
              <w:t>care (patient or legal guardian)</w:t>
            </w:r>
          </w:p>
          <w:p w14:paraId="559B8FE2" w14:textId="047DDB95" w:rsidR="004705EA" w:rsidRPr="007D0C84" w:rsidRDefault="004705EA" w:rsidP="00AD309C">
            <w:pPr>
              <w:numPr>
                <w:ilvl w:val="0"/>
                <w:numId w:val="143"/>
              </w:numPr>
              <w:contextualSpacing/>
              <w:rPr>
                <w:rFonts w:cs="Arial"/>
                <w:iCs/>
              </w:rPr>
            </w:pPr>
            <w:r w:rsidRPr="007D0C84">
              <w:rPr>
                <w:rFonts w:cs="Arial"/>
                <w:iCs/>
              </w:rPr>
              <w:t>Written language preferred for health</w:t>
            </w:r>
            <w:r w:rsidR="007D2419">
              <w:rPr>
                <w:rFonts w:cs="Arial"/>
                <w:iCs/>
              </w:rPr>
              <w:t xml:space="preserve"> </w:t>
            </w:r>
            <w:r w:rsidRPr="007D0C84">
              <w:rPr>
                <w:rFonts w:cs="Arial"/>
                <w:iCs/>
              </w:rPr>
              <w:t>care (patient or legal guardian)</w:t>
            </w:r>
          </w:p>
          <w:p w14:paraId="4BEBB667" w14:textId="77777777" w:rsidR="004705EA" w:rsidRPr="007D0C84" w:rsidRDefault="004705EA" w:rsidP="00AD309C">
            <w:pPr>
              <w:numPr>
                <w:ilvl w:val="0"/>
                <w:numId w:val="143"/>
              </w:numPr>
              <w:contextualSpacing/>
              <w:rPr>
                <w:rFonts w:cs="Arial"/>
                <w:iCs/>
              </w:rPr>
            </w:pPr>
            <w:r w:rsidRPr="007D0C84">
              <w:rPr>
                <w:rFonts w:cs="Arial"/>
                <w:iCs/>
              </w:rPr>
              <w:t>Sexual orientation</w:t>
            </w:r>
          </w:p>
          <w:p w14:paraId="2CC17D70" w14:textId="77777777" w:rsidR="004705EA" w:rsidRDefault="004705EA" w:rsidP="00AD309C">
            <w:pPr>
              <w:numPr>
                <w:ilvl w:val="0"/>
                <w:numId w:val="143"/>
              </w:numPr>
              <w:contextualSpacing/>
              <w:rPr>
                <w:rFonts w:cs="Arial"/>
                <w:iCs/>
              </w:rPr>
            </w:pPr>
            <w:r w:rsidRPr="007D0C84">
              <w:rPr>
                <w:rFonts w:cs="Arial"/>
                <w:iCs/>
              </w:rPr>
              <w:t>Gender identity</w:t>
            </w:r>
          </w:p>
          <w:p w14:paraId="667338BA" w14:textId="20353B04" w:rsidR="00296355" w:rsidRPr="007D0C84" w:rsidRDefault="00296355" w:rsidP="00AD309C">
            <w:pPr>
              <w:numPr>
                <w:ilvl w:val="0"/>
                <w:numId w:val="143"/>
              </w:numPr>
              <w:contextualSpacing/>
              <w:rPr>
                <w:rFonts w:cs="Arial"/>
                <w:iCs/>
              </w:rPr>
            </w:pPr>
            <w:hyperlink w:anchor="abilitystatus_1c" w:history="1">
              <w:r w:rsidRPr="00A50E7E">
                <w:rPr>
                  <w:rStyle w:val="Hyperlink"/>
                  <w:rFonts w:cs="Arial"/>
                  <w:iCs/>
                </w:rPr>
                <w:t>Ability status</w:t>
              </w:r>
            </w:hyperlink>
          </w:p>
          <w:p w14:paraId="15F5FA5F" w14:textId="77777777" w:rsidR="004705EA" w:rsidRPr="00B0302E" w:rsidRDefault="004705EA" w:rsidP="00AD309C">
            <w:pPr>
              <w:numPr>
                <w:ilvl w:val="0"/>
                <w:numId w:val="143"/>
              </w:numPr>
              <w:contextualSpacing/>
              <w:rPr>
                <w:rFonts w:cs="Arial"/>
                <w:i/>
              </w:rPr>
            </w:pPr>
            <w:r w:rsidRPr="007D0C84">
              <w:rPr>
                <w:rFonts w:cs="Arial"/>
                <w:iCs/>
              </w:rPr>
              <w:t>None of the above</w:t>
            </w:r>
          </w:p>
        </w:tc>
      </w:tr>
      <w:tr w:rsidR="004705EA" w:rsidRPr="00B0302E" w14:paraId="273EEC6B" w14:textId="77777777" w:rsidTr="00350A2F">
        <w:trPr>
          <w:trHeight w:val="1152"/>
        </w:trPr>
        <w:tc>
          <w:tcPr>
            <w:tcW w:w="6588" w:type="dxa"/>
          </w:tcPr>
          <w:p w14:paraId="3A59632C" w14:textId="3D1968B0" w:rsidR="004705EA" w:rsidRDefault="004705EA" w:rsidP="00AD309C">
            <w:pPr>
              <w:numPr>
                <w:ilvl w:val="0"/>
                <w:numId w:val="306"/>
              </w:numPr>
              <w:contextualSpacing/>
              <w:rPr>
                <w:rFonts w:cs="Arial"/>
              </w:rPr>
            </w:pPr>
            <w:r>
              <w:rPr>
                <w:rFonts w:cs="Arial"/>
              </w:rPr>
              <w:t xml:space="preserve">Does your hospital train staff responsible for </w:t>
            </w:r>
            <w:r w:rsidR="005E5270" w:rsidRPr="00813E10">
              <w:t xml:space="preserve">collecting the self-identified demographic data either in-person or over the phone from patients (or patient’s legal guardian) in question #1 </w:t>
            </w:r>
            <w:r>
              <w:rPr>
                <w:rFonts w:cs="Arial"/>
              </w:rPr>
              <w:t>at both:</w:t>
            </w:r>
          </w:p>
          <w:p w14:paraId="123E581E" w14:textId="77777777" w:rsidR="004705EA" w:rsidRDefault="004705EA" w:rsidP="00AD309C">
            <w:pPr>
              <w:pStyle w:val="ListParagraph"/>
              <w:numPr>
                <w:ilvl w:val="0"/>
                <w:numId w:val="162"/>
              </w:numPr>
              <w:rPr>
                <w:rFonts w:cs="Arial"/>
              </w:rPr>
            </w:pPr>
            <w:r>
              <w:rPr>
                <w:rFonts w:cs="Arial"/>
              </w:rPr>
              <w:t>the time of onboarding, and</w:t>
            </w:r>
          </w:p>
          <w:p w14:paraId="7CC73529" w14:textId="77777777" w:rsidR="004705EA" w:rsidRPr="002064AB" w:rsidRDefault="004705EA" w:rsidP="00AD309C">
            <w:pPr>
              <w:pStyle w:val="ListParagraph"/>
              <w:numPr>
                <w:ilvl w:val="0"/>
                <w:numId w:val="162"/>
              </w:numPr>
              <w:rPr>
                <w:rFonts w:cs="Arial"/>
              </w:rPr>
            </w:pPr>
            <w:r w:rsidRPr="002064AB">
              <w:rPr>
                <w:rFonts w:cs="Arial"/>
              </w:rPr>
              <w:t xml:space="preserve">annually thereafter? </w:t>
            </w:r>
          </w:p>
        </w:tc>
        <w:tc>
          <w:tcPr>
            <w:tcW w:w="2947" w:type="dxa"/>
            <w:vAlign w:val="center"/>
          </w:tcPr>
          <w:p w14:paraId="014F63EE" w14:textId="77777777" w:rsidR="004705EA" w:rsidRPr="004D1420" w:rsidRDefault="004705EA" w:rsidP="00AD309C">
            <w:pPr>
              <w:pStyle w:val="ListParagraph"/>
              <w:numPr>
                <w:ilvl w:val="0"/>
                <w:numId w:val="307"/>
              </w:numPr>
              <w:rPr>
                <w:rFonts w:cs="Arial"/>
                <w:iCs/>
              </w:rPr>
            </w:pPr>
            <w:r w:rsidRPr="004D1420">
              <w:rPr>
                <w:rFonts w:cs="Arial"/>
                <w:iCs/>
              </w:rPr>
              <w:t>Yes</w:t>
            </w:r>
          </w:p>
          <w:p w14:paraId="5DB942A7" w14:textId="77777777" w:rsidR="004705EA" w:rsidRPr="004D1420" w:rsidRDefault="004705EA" w:rsidP="00AD309C">
            <w:pPr>
              <w:pStyle w:val="ListParagraph"/>
              <w:numPr>
                <w:ilvl w:val="0"/>
                <w:numId w:val="307"/>
              </w:numPr>
              <w:rPr>
                <w:rFonts w:cs="Arial"/>
                <w:iCs/>
              </w:rPr>
            </w:pPr>
            <w:r w:rsidRPr="004D1420">
              <w:rPr>
                <w:rFonts w:cs="Arial"/>
                <w:iCs/>
              </w:rPr>
              <w:t>No</w:t>
            </w:r>
          </w:p>
        </w:tc>
      </w:tr>
      <w:tr w:rsidR="004705EA" w:rsidRPr="00B0302E" w14:paraId="2C3F6B3E" w14:textId="77777777" w:rsidTr="00EC4DCE">
        <w:trPr>
          <w:trHeight w:val="1484"/>
        </w:trPr>
        <w:tc>
          <w:tcPr>
            <w:tcW w:w="6588" w:type="dxa"/>
          </w:tcPr>
          <w:p w14:paraId="51E09822" w14:textId="530AD3FA" w:rsidR="004705EA" w:rsidRPr="00B0302E" w:rsidRDefault="004705EA" w:rsidP="00AD309C">
            <w:pPr>
              <w:numPr>
                <w:ilvl w:val="0"/>
                <w:numId w:val="306"/>
              </w:numPr>
              <w:contextualSpacing/>
              <w:rPr>
                <w:rFonts w:cs="Arial"/>
              </w:rPr>
            </w:pPr>
            <w:r w:rsidRPr="00B0302E">
              <w:rPr>
                <w:rFonts w:cs="Arial"/>
              </w:rPr>
              <w:t xml:space="preserve">Does your hospital </w:t>
            </w:r>
            <w:r>
              <w:rPr>
                <w:rFonts w:cs="Arial"/>
              </w:rPr>
              <w:t>use the patient self-identified demographic data it collects directly from patients (or patient’s legal guardian) in question #</w:t>
            </w:r>
            <w:r w:rsidR="00D43D0F">
              <w:rPr>
                <w:rFonts w:cs="Arial"/>
              </w:rPr>
              <w:t>1</w:t>
            </w:r>
            <w:r>
              <w:rPr>
                <w:rFonts w:cs="Arial"/>
              </w:rPr>
              <w:t xml:space="preserve"> to </w:t>
            </w:r>
            <w:r w:rsidRPr="00B0302E">
              <w:rPr>
                <w:rFonts w:cs="Arial"/>
              </w:rPr>
              <w:t xml:space="preserve">stratify </w:t>
            </w:r>
            <w:r w:rsidRPr="00C53C7B">
              <w:rPr>
                <w:rFonts w:cs="Arial"/>
                <w:u w:val="single"/>
              </w:rPr>
              <w:t>any</w:t>
            </w:r>
            <w:r w:rsidRPr="00B0302E">
              <w:rPr>
                <w:rFonts w:cs="Arial"/>
              </w:rPr>
              <w:t xml:space="preserve"> quality measure</w:t>
            </w:r>
            <w:r>
              <w:rPr>
                <w:rFonts w:cs="Arial"/>
              </w:rPr>
              <w:t>(</w:t>
            </w:r>
            <w:r w:rsidRPr="00B0302E">
              <w:rPr>
                <w:rFonts w:cs="Arial"/>
              </w:rPr>
              <w:t>s</w:t>
            </w:r>
            <w:r>
              <w:rPr>
                <w:rFonts w:cs="Arial"/>
              </w:rPr>
              <w:t xml:space="preserve">) with the aim of identifying </w:t>
            </w:r>
            <w:hyperlink w:anchor="inadequatedatafaq" w:history="1">
              <w:r w:rsidRPr="006736CA">
                <w:rPr>
                  <w:rStyle w:val="Hyperlink"/>
                  <w:rFonts w:cs="Arial"/>
                </w:rPr>
                <w:t>health care disparities</w:t>
              </w:r>
            </w:hyperlink>
            <w:r w:rsidRPr="00B0302E">
              <w:rPr>
                <w:rFonts w:cs="Arial"/>
              </w:rPr>
              <w:t xml:space="preserve">? </w:t>
            </w:r>
          </w:p>
          <w:p w14:paraId="30392506" w14:textId="77777777" w:rsidR="004705EA" w:rsidRPr="00B0302E" w:rsidRDefault="004705EA" w:rsidP="00EC4DCE">
            <w:pPr>
              <w:rPr>
                <w:rFonts w:cs="Arial"/>
              </w:rPr>
            </w:pPr>
          </w:p>
          <w:p w14:paraId="1B4E1466" w14:textId="6D30B53A" w:rsidR="004705EA" w:rsidRPr="00B0302E" w:rsidRDefault="004705EA" w:rsidP="00EC4DCE">
            <w:pPr>
              <w:ind w:left="360"/>
              <w:rPr>
                <w:rFonts w:cs="Arial"/>
                <w:snapToGrid w:val="0"/>
              </w:rPr>
            </w:pPr>
            <w:r w:rsidRPr="00B0302E">
              <w:rPr>
                <w:rFonts w:cs="Arial"/>
                <w:i/>
              </w:rPr>
              <w:t>If “no”</w:t>
            </w:r>
            <w:r>
              <w:rPr>
                <w:rFonts w:cs="Arial"/>
                <w:i/>
              </w:rPr>
              <w:t xml:space="preserve"> to question #</w:t>
            </w:r>
            <w:r w:rsidR="00D43D0F">
              <w:rPr>
                <w:rFonts w:cs="Arial"/>
                <w:i/>
              </w:rPr>
              <w:t>3</w:t>
            </w:r>
            <w:r>
              <w:rPr>
                <w:rFonts w:cs="Arial"/>
                <w:i/>
              </w:rPr>
              <w:t xml:space="preserve">, </w:t>
            </w:r>
            <w:r w:rsidRPr="00B0302E">
              <w:rPr>
                <w:rFonts w:cs="Arial"/>
                <w:i/>
              </w:rPr>
              <w:t xml:space="preserve">skip </w:t>
            </w:r>
            <w:r>
              <w:rPr>
                <w:rFonts w:cs="Arial"/>
                <w:i/>
              </w:rPr>
              <w:t>questions #</w:t>
            </w:r>
            <w:r w:rsidR="00D43D0F">
              <w:rPr>
                <w:rFonts w:cs="Arial"/>
                <w:i/>
              </w:rPr>
              <w:t>4-</w:t>
            </w:r>
            <w:r>
              <w:rPr>
                <w:rFonts w:cs="Arial"/>
                <w:i/>
              </w:rPr>
              <w:t>5 and continue to question #6</w:t>
            </w:r>
            <w:r w:rsidRPr="00B0302E">
              <w:rPr>
                <w:rFonts w:cs="Arial"/>
                <w:i/>
              </w:rPr>
              <w:t>.</w:t>
            </w:r>
          </w:p>
        </w:tc>
        <w:tc>
          <w:tcPr>
            <w:tcW w:w="2947" w:type="dxa"/>
            <w:vAlign w:val="center"/>
          </w:tcPr>
          <w:p w14:paraId="1D714FE5" w14:textId="77777777" w:rsidR="004705EA" w:rsidRPr="004D1420" w:rsidRDefault="004705EA" w:rsidP="00AD309C">
            <w:pPr>
              <w:pStyle w:val="ListParagraph"/>
              <w:numPr>
                <w:ilvl w:val="0"/>
                <w:numId w:val="307"/>
              </w:numPr>
              <w:rPr>
                <w:rFonts w:cs="Arial"/>
                <w:iCs/>
              </w:rPr>
            </w:pPr>
            <w:r w:rsidRPr="004D1420">
              <w:rPr>
                <w:rFonts w:cs="Arial"/>
                <w:iCs/>
              </w:rPr>
              <w:t>Yes</w:t>
            </w:r>
          </w:p>
          <w:p w14:paraId="1F12B892" w14:textId="77777777" w:rsidR="004705EA" w:rsidRPr="004D1420" w:rsidRDefault="004705EA" w:rsidP="00AD309C">
            <w:pPr>
              <w:pStyle w:val="ListParagraph"/>
              <w:numPr>
                <w:ilvl w:val="0"/>
                <w:numId w:val="307"/>
              </w:numPr>
              <w:rPr>
                <w:rFonts w:cs="Arial"/>
                <w:iCs/>
              </w:rPr>
            </w:pPr>
            <w:r w:rsidRPr="004D1420">
              <w:rPr>
                <w:rFonts w:cs="Arial"/>
                <w:iCs/>
              </w:rPr>
              <w:t>No</w:t>
            </w:r>
          </w:p>
        </w:tc>
      </w:tr>
      <w:tr w:rsidR="004705EA" w:rsidRPr="00B0302E" w14:paraId="6D9C8DEF" w14:textId="77777777" w:rsidTr="00350A2F">
        <w:trPr>
          <w:trHeight w:val="1440"/>
        </w:trPr>
        <w:tc>
          <w:tcPr>
            <w:tcW w:w="6588" w:type="dxa"/>
            <w:tcBorders>
              <w:top w:val="single" w:sz="4" w:space="0" w:color="auto"/>
              <w:left w:val="single" w:sz="4" w:space="0" w:color="auto"/>
              <w:bottom w:val="single" w:sz="4" w:space="0" w:color="auto"/>
              <w:right w:val="single" w:sz="4" w:space="0" w:color="auto"/>
            </w:tcBorders>
            <w:vAlign w:val="center"/>
          </w:tcPr>
          <w:p w14:paraId="5951C795" w14:textId="6CBD7D22" w:rsidR="004705EA" w:rsidRPr="00E82BFE" w:rsidRDefault="004705EA" w:rsidP="00AD309C">
            <w:pPr>
              <w:numPr>
                <w:ilvl w:val="0"/>
                <w:numId w:val="306"/>
              </w:numPr>
              <w:contextualSpacing/>
              <w:rPr>
                <w:rFonts w:cs="Arial"/>
              </w:rPr>
            </w:pPr>
            <w:r w:rsidRPr="00C53C7B">
              <w:rPr>
                <w:rFonts w:cs="Arial"/>
              </w:rPr>
              <w:t xml:space="preserve">By stratifying the </w:t>
            </w:r>
            <w:r w:rsidR="00D43D0F">
              <w:rPr>
                <w:rFonts w:cs="Arial"/>
              </w:rPr>
              <w:t xml:space="preserve">quality </w:t>
            </w:r>
            <w:r w:rsidRPr="00C53C7B">
              <w:rPr>
                <w:rFonts w:cs="Arial"/>
              </w:rPr>
              <w:t xml:space="preserve">measure(s) </w:t>
            </w:r>
            <w:r w:rsidR="00D43D0F">
              <w:rPr>
                <w:rFonts w:cs="Arial"/>
              </w:rPr>
              <w:t xml:space="preserve">from </w:t>
            </w:r>
            <w:r w:rsidRPr="00C53C7B">
              <w:rPr>
                <w:rFonts w:cs="Arial"/>
              </w:rPr>
              <w:t>question #</w:t>
            </w:r>
            <w:r w:rsidR="00D43D0F">
              <w:rPr>
                <w:rFonts w:cs="Arial"/>
              </w:rPr>
              <w:t>3</w:t>
            </w:r>
            <w:r w:rsidRPr="00C53C7B">
              <w:rPr>
                <w:rFonts w:cs="Arial"/>
              </w:rPr>
              <w:t xml:space="preserve">, has your hospital identified any </w:t>
            </w:r>
            <w:r w:rsidR="00D43D0F">
              <w:rPr>
                <w:rFonts w:cs="Arial"/>
              </w:rPr>
              <w:t xml:space="preserve">health care </w:t>
            </w:r>
            <w:r w:rsidRPr="00C53C7B">
              <w:rPr>
                <w:rFonts w:cs="Arial"/>
              </w:rPr>
              <w:t>disparities among its patients</w:t>
            </w:r>
            <w:r w:rsidR="00A36605">
              <w:rPr>
                <w:rFonts w:cs="Arial"/>
              </w:rPr>
              <w:t>?</w:t>
            </w:r>
            <w:r>
              <w:rPr>
                <w:rFonts w:cs="Arial"/>
              </w:rPr>
              <w:br/>
            </w:r>
            <w:r>
              <w:rPr>
                <w:rFonts w:cs="Arial"/>
              </w:rPr>
              <w:br/>
            </w:r>
            <w:r w:rsidRPr="00E82BFE">
              <w:rPr>
                <w:rFonts w:cs="Arial"/>
                <w:i/>
                <w:iCs/>
              </w:rPr>
              <w:t>If “no, disparities were not identified” or “inadequate data available to determine if disparities exist”</w:t>
            </w:r>
            <w:r w:rsidR="00A36605">
              <w:rPr>
                <w:rFonts w:cs="Arial"/>
                <w:i/>
                <w:iCs/>
              </w:rPr>
              <w:t xml:space="preserve"> to question #4,</w:t>
            </w:r>
            <w:r w:rsidRPr="00E82BFE">
              <w:rPr>
                <w:rFonts w:cs="Arial"/>
                <w:i/>
                <w:iCs/>
              </w:rPr>
              <w:t xml:space="preserve"> skip question #</w:t>
            </w:r>
            <w:r>
              <w:rPr>
                <w:rFonts w:cs="Arial"/>
                <w:i/>
                <w:iCs/>
              </w:rPr>
              <w:t xml:space="preserve">5 </w:t>
            </w:r>
            <w:r w:rsidRPr="00E82BFE">
              <w:rPr>
                <w:rFonts w:cs="Arial"/>
                <w:i/>
                <w:iCs/>
              </w:rPr>
              <w:t>and continue to question #</w:t>
            </w:r>
            <w:r>
              <w:rPr>
                <w:rFonts w:cs="Arial"/>
                <w:i/>
                <w:iCs/>
              </w:rPr>
              <w:t>6</w:t>
            </w:r>
            <w:r w:rsidRPr="00E82BFE">
              <w:rPr>
                <w:rFonts w:cs="Arial"/>
                <w:i/>
                <w:iCs/>
              </w:rPr>
              <w:t>.</w:t>
            </w:r>
          </w:p>
        </w:tc>
        <w:tc>
          <w:tcPr>
            <w:tcW w:w="2947" w:type="dxa"/>
            <w:tcBorders>
              <w:top w:val="single" w:sz="4" w:space="0" w:color="auto"/>
              <w:left w:val="single" w:sz="4" w:space="0" w:color="auto"/>
              <w:bottom w:val="single" w:sz="4" w:space="0" w:color="auto"/>
              <w:right w:val="single" w:sz="4" w:space="0" w:color="auto"/>
            </w:tcBorders>
            <w:vAlign w:val="center"/>
          </w:tcPr>
          <w:p w14:paraId="316280E9" w14:textId="77777777" w:rsidR="004705EA" w:rsidRPr="004D1420" w:rsidRDefault="004705EA" w:rsidP="00AD309C">
            <w:pPr>
              <w:pStyle w:val="ListParagraph"/>
              <w:numPr>
                <w:ilvl w:val="0"/>
                <w:numId w:val="308"/>
              </w:numPr>
              <w:rPr>
                <w:rFonts w:cs="Arial"/>
                <w:iCs/>
              </w:rPr>
            </w:pPr>
            <w:r w:rsidRPr="004D1420">
              <w:rPr>
                <w:rFonts w:cs="Arial"/>
                <w:iCs/>
              </w:rPr>
              <w:t>Yes, disparities were identified</w:t>
            </w:r>
          </w:p>
          <w:p w14:paraId="2AF8460F" w14:textId="77777777" w:rsidR="004705EA" w:rsidRPr="004D1420" w:rsidRDefault="004705EA" w:rsidP="00AD309C">
            <w:pPr>
              <w:pStyle w:val="ListParagraph"/>
              <w:numPr>
                <w:ilvl w:val="0"/>
                <w:numId w:val="308"/>
              </w:numPr>
              <w:rPr>
                <w:rFonts w:cs="Arial"/>
                <w:iCs/>
              </w:rPr>
            </w:pPr>
            <w:r w:rsidRPr="004D1420">
              <w:rPr>
                <w:rFonts w:cs="Arial"/>
                <w:iCs/>
              </w:rPr>
              <w:t>No, disparities were not identified</w:t>
            </w:r>
          </w:p>
          <w:p w14:paraId="11A47802" w14:textId="77777777" w:rsidR="004705EA" w:rsidRPr="00D43D0F" w:rsidRDefault="004705EA" w:rsidP="00AD309C">
            <w:pPr>
              <w:pStyle w:val="ListParagraph"/>
              <w:numPr>
                <w:ilvl w:val="0"/>
                <w:numId w:val="308"/>
              </w:numPr>
              <w:rPr>
                <w:rFonts w:cs="Arial"/>
                <w:i/>
              </w:rPr>
            </w:pPr>
            <w:r w:rsidRPr="004D1420">
              <w:rPr>
                <w:rFonts w:cs="Arial"/>
                <w:iCs/>
              </w:rPr>
              <w:t>Inadequate data available to determine if disparities exist</w:t>
            </w:r>
          </w:p>
        </w:tc>
      </w:tr>
      <w:tr w:rsidR="004705EA" w:rsidRPr="00B0302E" w14:paraId="011CA57E" w14:textId="77777777" w:rsidTr="00EC4DCE">
        <w:trPr>
          <w:trHeight w:val="2123"/>
        </w:trPr>
        <w:tc>
          <w:tcPr>
            <w:tcW w:w="6588" w:type="dxa"/>
            <w:tcBorders>
              <w:top w:val="single" w:sz="4" w:space="0" w:color="auto"/>
              <w:left w:val="single" w:sz="4" w:space="0" w:color="auto"/>
              <w:bottom w:val="single" w:sz="4" w:space="0" w:color="auto"/>
              <w:right w:val="single" w:sz="4" w:space="0" w:color="auto"/>
            </w:tcBorders>
          </w:tcPr>
          <w:p w14:paraId="29FE0648" w14:textId="7FE23E7F" w:rsidR="004705EA" w:rsidRPr="00B0302E" w:rsidRDefault="004705EA" w:rsidP="00AD309C">
            <w:pPr>
              <w:pStyle w:val="ListParagraph"/>
              <w:numPr>
                <w:ilvl w:val="0"/>
                <w:numId w:val="306"/>
              </w:numPr>
            </w:pPr>
            <w:r w:rsidRPr="00E82BFE">
              <w:rPr>
                <w:rFonts w:cs="Arial"/>
              </w:rPr>
              <w:lastRenderedPageBreak/>
              <w:t>In the past 12 months, has your hospital used the data and information obtained through question #</w:t>
            </w:r>
            <w:r>
              <w:rPr>
                <w:rFonts w:cs="Arial"/>
              </w:rPr>
              <w:t>4</w:t>
            </w:r>
            <w:r w:rsidRPr="00E82BFE">
              <w:rPr>
                <w:rFonts w:cs="Arial"/>
              </w:rPr>
              <w:t xml:space="preserve"> to update or revise its policies or procedures</w:t>
            </w:r>
            <w:r w:rsidRPr="00E82BFE">
              <w:rPr>
                <w:rFonts w:cs="Arial"/>
              </w:rPr>
              <w:br/>
            </w:r>
            <w:r w:rsidRPr="00E82BFE">
              <w:rPr>
                <w:rFonts w:cs="Arial"/>
              </w:rPr>
              <w:br/>
              <w:t>OR</w:t>
            </w:r>
            <w:r w:rsidRPr="00E82BFE">
              <w:rPr>
                <w:rFonts w:cs="Arial"/>
              </w:rPr>
              <w:br/>
            </w:r>
            <w:r w:rsidRPr="00E82BFE">
              <w:rPr>
                <w:rFonts w:cs="Arial"/>
              </w:rPr>
              <w:br/>
              <w:t xml:space="preserve">In the past 12 months, has your hospital </w:t>
            </w:r>
            <w:r w:rsidRPr="00D2139A">
              <w:rPr>
                <w:rFonts w:cs="Arial"/>
              </w:rPr>
              <w:t>develop</w:t>
            </w:r>
            <w:r>
              <w:rPr>
                <w:rFonts w:cs="Arial"/>
              </w:rPr>
              <w:t>ed</w:t>
            </w:r>
            <w:r w:rsidRPr="00D2139A">
              <w:rPr>
                <w:rFonts w:cs="Arial"/>
              </w:rPr>
              <w:t xml:space="preserve"> a </w:t>
            </w:r>
            <w:r w:rsidRPr="00846653">
              <w:rPr>
                <w:rStyle w:val="cf01"/>
                <w:rFonts w:ascii="Arial" w:hAnsi="Arial" w:cs="Arial"/>
                <w:sz w:val="20"/>
                <w:szCs w:val="20"/>
              </w:rPr>
              <w:t>written action plan that describes how it will address at least one of the health care disparities identified</w:t>
            </w:r>
            <w:r>
              <w:rPr>
                <w:rStyle w:val="cf01"/>
                <w:rFonts w:ascii="Arial" w:hAnsi="Arial" w:cs="Arial"/>
                <w:sz w:val="20"/>
                <w:szCs w:val="20"/>
              </w:rPr>
              <w:t xml:space="preserve"> through question #4</w:t>
            </w:r>
            <w:r w:rsidRPr="00D2139A">
              <w:rPr>
                <w:rFonts w:cs="Arial"/>
              </w:rPr>
              <w:t>?</w:t>
            </w:r>
          </w:p>
        </w:tc>
        <w:tc>
          <w:tcPr>
            <w:tcW w:w="2947" w:type="dxa"/>
            <w:tcBorders>
              <w:top w:val="single" w:sz="4" w:space="0" w:color="auto"/>
              <w:left w:val="single" w:sz="4" w:space="0" w:color="auto"/>
              <w:bottom w:val="single" w:sz="4" w:space="0" w:color="auto"/>
              <w:right w:val="single" w:sz="4" w:space="0" w:color="auto"/>
            </w:tcBorders>
            <w:vAlign w:val="center"/>
          </w:tcPr>
          <w:p w14:paraId="1143C6C2" w14:textId="77777777" w:rsidR="004705EA" w:rsidRPr="004D1420" w:rsidRDefault="004705EA" w:rsidP="00AD309C">
            <w:pPr>
              <w:pStyle w:val="ListParagraph"/>
              <w:numPr>
                <w:ilvl w:val="0"/>
                <w:numId w:val="309"/>
              </w:numPr>
              <w:rPr>
                <w:rFonts w:cs="Arial"/>
                <w:iCs/>
              </w:rPr>
            </w:pPr>
            <w:r w:rsidRPr="004D1420">
              <w:rPr>
                <w:rFonts w:cs="Arial"/>
                <w:iCs/>
              </w:rPr>
              <w:t>Yes</w:t>
            </w:r>
          </w:p>
          <w:p w14:paraId="702CC8B4" w14:textId="77777777" w:rsidR="004705EA" w:rsidRPr="004D1420" w:rsidRDefault="004705EA" w:rsidP="00AD309C">
            <w:pPr>
              <w:pStyle w:val="ListParagraph"/>
              <w:numPr>
                <w:ilvl w:val="0"/>
                <w:numId w:val="309"/>
              </w:numPr>
              <w:rPr>
                <w:rFonts w:cs="Arial"/>
                <w:iCs/>
              </w:rPr>
            </w:pPr>
            <w:r w:rsidRPr="004D1420">
              <w:rPr>
                <w:rFonts w:cs="Arial"/>
                <w:iCs/>
              </w:rPr>
              <w:t>No</w:t>
            </w:r>
          </w:p>
        </w:tc>
      </w:tr>
      <w:tr w:rsidR="004705EA" w:rsidRPr="00B0302E" w14:paraId="2A683F66" w14:textId="77777777" w:rsidTr="00EE6F01">
        <w:trPr>
          <w:trHeight w:val="1637"/>
        </w:trPr>
        <w:tc>
          <w:tcPr>
            <w:tcW w:w="6588" w:type="dxa"/>
            <w:tcBorders>
              <w:top w:val="single" w:sz="4" w:space="0" w:color="auto"/>
              <w:left w:val="single" w:sz="4" w:space="0" w:color="auto"/>
              <w:bottom w:val="single" w:sz="4" w:space="0" w:color="auto"/>
              <w:right w:val="single" w:sz="4" w:space="0" w:color="auto"/>
            </w:tcBorders>
          </w:tcPr>
          <w:p w14:paraId="43058F3E" w14:textId="5B6BFB32" w:rsidR="00261148" w:rsidRPr="00C86892" w:rsidRDefault="004705EA" w:rsidP="00EE6F01">
            <w:pPr>
              <w:pStyle w:val="ListParagraph"/>
              <w:numPr>
                <w:ilvl w:val="0"/>
                <w:numId w:val="306"/>
              </w:numPr>
              <w:spacing w:before="200"/>
              <w:rPr>
                <w:rFonts w:cs="Arial"/>
              </w:rPr>
            </w:pPr>
            <w:r w:rsidRPr="00B0302E">
              <w:rPr>
                <w:rFonts w:cs="Arial"/>
              </w:rPr>
              <w:t xml:space="preserve">Does your hospital </w:t>
            </w:r>
            <w:r>
              <w:rPr>
                <w:rFonts w:cs="Arial"/>
              </w:rPr>
              <w:t>share</w:t>
            </w:r>
            <w:r w:rsidRPr="00B0302E">
              <w:rPr>
                <w:rFonts w:cs="Arial"/>
              </w:rPr>
              <w:t xml:space="preserve"> </w:t>
            </w:r>
            <w:r>
              <w:rPr>
                <w:rFonts w:cs="Arial"/>
              </w:rPr>
              <w:t>information on its efforts to identify and reduce health care disparities</w:t>
            </w:r>
            <w:r w:rsidR="001A2D99">
              <w:rPr>
                <w:rFonts w:cs="Arial"/>
              </w:rPr>
              <w:t xml:space="preserve"> and the impact of those efforts on i</w:t>
            </w:r>
            <w:r w:rsidR="005473DB">
              <w:rPr>
                <w:rFonts w:cs="Arial"/>
              </w:rPr>
              <w:t>t</w:t>
            </w:r>
            <w:r w:rsidR="001A2D99">
              <w:rPr>
                <w:rFonts w:cs="Arial"/>
              </w:rPr>
              <w:t>s public website</w:t>
            </w:r>
            <w:r>
              <w:rPr>
                <w:rFonts w:cs="Arial"/>
              </w:rPr>
              <w:t xml:space="preserve"> </w:t>
            </w:r>
            <w:r w:rsidRPr="00982A09">
              <w:rPr>
                <w:rFonts w:cs="Arial"/>
              </w:rPr>
              <w:t xml:space="preserve">based on </w:t>
            </w:r>
            <w:r w:rsidRPr="003F0DD9">
              <w:rPr>
                <w:rFonts w:cs="Arial"/>
                <w:i/>
                <w:iCs/>
              </w:rPr>
              <w:t>race, ethnicity, spoken language preferred for health</w:t>
            </w:r>
            <w:r w:rsidR="007D2419">
              <w:rPr>
                <w:rFonts w:cs="Arial"/>
                <w:i/>
                <w:iCs/>
              </w:rPr>
              <w:t xml:space="preserve"> </w:t>
            </w:r>
            <w:r w:rsidRPr="003F0DD9">
              <w:rPr>
                <w:rFonts w:cs="Arial"/>
                <w:i/>
                <w:iCs/>
              </w:rPr>
              <w:t>care (patient or legal guardian), written language preferred for health</w:t>
            </w:r>
            <w:r w:rsidR="007D2419">
              <w:rPr>
                <w:rFonts w:cs="Arial"/>
                <w:i/>
                <w:iCs/>
              </w:rPr>
              <w:t xml:space="preserve"> </w:t>
            </w:r>
            <w:r w:rsidRPr="003F0DD9">
              <w:rPr>
                <w:rFonts w:cs="Arial"/>
                <w:i/>
                <w:iCs/>
              </w:rPr>
              <w:t>care (patient or legal guardian), sexual orientation,</w:t>
            </w:r>
            <w:r>
              <w:rPr>
                <w:rFonts w:cs="Arial"/>
                <w:i/>
                <w:iCs/>
              </w:rPr>
              <w:t xml:space="preserve"> </w:t>
            </w:r>
            <w:r w:rsidRPr="003F0DD9">
              <w:rPr>
                <w:rFonts w:cs="Arial"/>
                <w:i/>
                <w:iCs/>
              </w:rPr>
              <w:t>gender identity</w:t>
            </w:r>
            <w:r w:rsidR="00296355">
              <w:rPr>
                <w:rFonts w:cs="Arial"/>
                <w:i/>
                <w:iCs/>
              </w:rPr>
              <w:t>, or ability</w:t>
            </w:r>
            <w:r w:rsidR="001A240F">
              <w:rPr>
                <w:rFonts w:cs="Arial"/>
                <w:i/>
                <w:iCs/>
              </w:rPr>
              <w:t xml:space="preserve"> status</w:t>
            </w:r>
            <w:r w:rsidRPr="00B0302E">
              <w:rPr>
                <w:rFonts w:cs="Arial"/>
              </w:rPr>
              <w:t>?</w:t>
            </w:r>
          </w:p>
        </w:tc>
        <w:tc>
          <w:tcPr>
            <w:tcW w:w="2947" w:type="dxa"/>
            <w:tcBorders>
              <w:top w:val="single" w:sz="4" w:space="0" w:color="auto"/>
              <w:left w:val="single" w:sz="4" w:space="0" w:color="auto"/>
              <w:bottom w:val="single" w:sz="4" w:space="0" w:color="auto"/>
              <w:right w:val="single" w:sz="4" w:space="0" w:color="auto"/>
            </w:tcBorders>
            <w:vAlign w:val="center"/>
          </w:tcPr>
          <w:p w14:paraId="47550767" w14:textId="77777777" w:rsidR="004705EA" w:rsidRPr="004D1420" w:rsidRDefault="004705EA" w:rsidP="00AD309C">
            <w:pPr>
              <w:pStyle w:val="ListParagraph"/>
              <w:numPr>
                <w:ilvl w:val="0"/>
                <w:numId w:val="309"/>
              </w:numPr>
              <w:rPr>
                <w:rFonts w:cs="Arial"/>
                <w:iCs/>
              </w:rPr>
            </w:pPr>
            <w:r w:rsidRPr="004D1420">
              <w:rPr>
                <w:rFonts w:cs="Arial"/>
                <w:iCs/>
              </w:rPr>
              <w:t>Yes</w:t>
            </w:r>
          </w:p>
          <w:p w14:paraId="2409E378" w14:textId="77777777" w:rsidR="004705EA" w:rsidRPr="004D1420" w:rsidRDefault="004705EA" w:rsidP="00AD309C">
            <w:pPr>
              <w:pStyle w:val="ListParagraph"/>
              <w:numPr>
                <w:ilvl w:val="0"/>
                <w:numId w:val="309"/>
              </w:numPr>
              <w:rPr>
                <w:rFonts w:cs="Arial"/>
                <w:iCs/>
              </w:rPr>
            </w:pPr>
            <w:r w:rsidRPr="004D1420">
              <w:rPr>
                <w:rFonts w:cs="Arial"/>
                <w:iCs/>
              </w:rPr>
              <w:t>No</w:t>
            </w:r>
          </w:p>
        </w:tc>
      </w:tr>
      <w:tr w:rsidR="004705EA" w:rsidRPr="00B0302E" w14:paraId="624BDBFC" w14:textId="77777777" w:rsidTr="00EC4DCE">
        <w:trPr>
          <w:trHeight w:val="980"/>
        </w:trPr>
        <w:tc>
          <w:tcPr>
            <w:tcW w:w="6588" w:type="dxa"/>
            <w:tcBorders>
              <w:top w:val="single" w:sz="4" w:space="0" w:color="auto"/>
              <w:left w:val="single" w:sz="4" w:space="0" w:color="auto"/>
              <w:bottom w:val="single" w:sz="4" w:space="0" w:color="auto"/>
              <w:right w:val="single" w:sz="4" w:space="0" w:color="auto"/>
            </w:tcBorders>
          </w:tcPr>
          <w:p w14:paraId="7C54E67F" w14:textId="77777777" w:rsidR="004705EA" w:rsidRPr="00E82BFE" w:rsidRDefault="004705EA" w:rsidP="00AD309C">
            <w:pPr>
              <w:pStyle w:val="ListParagraph"/>
              <w:numPr>
                <w:ilvl w:val="0"/>
                <w:numId w:val="306"/>
              </w:numPr>
              <w:spacing w:before="200"/>
              <w:rPr>
                <w:rFonts w:cs="Arial"/>
              </w:rPr>
            </w:pPr>
            <w:r w:rsidRPr="00B0302E">
              <w:rPr>
                <w:rFonts w:cs="Arial"/>
              </w:rPr>
              <w:t xml:space="preserve">Does your hospital report </w:t>
            </w:r>
            <w:r>
              <w:rPr>
                <w:rFonts w:cs="Arial"/>
              </w:rPr>
              <w:t xml:space="preserve">out </w:t>
            </w:r>
            <w:r w:rsidRPr="00B0302E">
              <w:rPr>
                <w:rFonts w:cs="Arial"/>
              </w:rPr>
              <w:t xml:space="preserve">and discuss </w:t>
            </w:r>
            <w:r>
              <w:rPr>
                <w:rFonts w:cs="Arial"/>
              </w:rPr>
              <w:t xml:space="preserve">efforts related to identifying and addressing disparities with the </w:t>
            </w:r>
            <w:r w:rsidRPr="00B0302E">
              <w:rPr>
                <w:rFonts w:cs="Arial"/>
              </w:rPr>
              <w:t xml:space="preserve">Board at least annually? </w:t>
            </w:r>
          </w:p>
        </w:tc>
        <w:tc>
          <w:tcPr>
            <w:tcW w:w="2947" w:type="dxa"/>
            <w:tcBorders>
              <w:top w:val="single" w:sz="4" w:space="0" w:color="auto"/>
              <w:left w:val="single" w:sz="4" w:space="0" w:color="auto"/>
              <w:bottom w:val="single" w:sz="4" w:space="0" w:color="auto"/>
              <w:right w:val="single" w:sz="4" w:space="0" w:color="auto"/>
            </w:tcBorders>
            <w:vAlign w:val="center"/>
          </w:tcPr>
          <w:p w14:paraId="601B8A0D" w14:textId="77777777" w:rsidR="004705EA" w:rsidRPr="004D1420" w:rsidRDefault="004705EA" w:rsidP="00AD309C">
            <w:pPr>
              <w:pStyle w:val="ListParagraph"/>
              <w:numPr>
                <w:ilvl w:val="0"/>
                <w:numId w:val="309"/>
              </w:numPr>
              <w:rPr>
                <w:rFonts w:cs="Arial"/>
                <w:iCs/>
              </w:rPr>
            </w:pPr>
            <w:r w:rsidRPr="004D1420">
              <w:rPr>
                <w:rFonts w:cs="Arial"/>
                <w:iCs/>
              </w:rPr>
              <w:t>Yes</w:t>
            </w:r>
          </w:p>
          <w:p w14:paraId="1B8BEE90" w14:textId="77777777" w:rsidR="004705EA" w:rsidRPr="004D1420" w:rsidRDefault="004705EA" w:rsidP="00AD309C">
            <w:pPr>
              <w:pStyle w:val="ListParagraph"/>
              <w:numPr>
                <w:ilvl w:val="0"/>
                <w:numId w:val="309"/>
              </w:numPr>
              <w:rPr>
                <w:rFonts w:cs="Arial"/>
                <w:iCs/>
              </w:rPr>
            </w:pPr>
            <w:r w:rsidRPr="004D1420">
              <w:rPr>
                <w:rFonts w:cs="Arial"/>
                <w:iCs/>
              </w:rPr>
              <w:t>No</w:t>
            </w:r>
          </w:p>
        </w:tc>
      </w:tr>
    </w:tbl>
    <w:p w14:paraId="09D8B3AB" w14:textId="628C9B45" w:rsidR="00A35DD6" w:rsidRDefault="00A35DD6">
      <w:pPr>
        <w:rPr>
          <w:b/>
          <w:snapToGrid w:val="0"/>
          <w:sz w:val="28"/>
          <w:szCs w:val="24"/>
          <w:u w:val="single"/>
          <w:lang w:eastAsia="ja-JP"/>
        </w:rPr>
      </w:pPr>
    </w:p>
    <w:p w14:paraId="5214C5BA" w14:textId="77777777" w:rsidR="00F1796F" w:rsidRDefault="00F1796F">
      <w:pPr>
        <w:rPr>
          <w:b/>
          <w:snapToGrid w:val="0"/>
          <w:sz w:val="28"/>
          <w:szCs w:val="24"/>
          <w:u w:val="single"/>
          <w:lang w:eastAsia="ja-JP"/>
        </w:rPr>
      </w:pPr>
      <w:r>
        <w:br w:type="page"/>
      </w:r>
    </w:p>
    <w:p w14:paraId="34D509FF" w14:textId="4E464C0E" w:rsidR="00F337F8" w:rsidRDefault="000C2C54" w:rsidP="00CF5A6E">
      <w:pPr>
        <w:pStyle w:val="Heading2"/>
      </w:pPr>
      <w:bookmarkStart w:id="105" w:name="_Toc225877673"/>
      <w:r w:rsidRPr="00B20633">
        <w:lastRenderedPageBreak/>
        <w:t>1</w:t>
      </w:r>
      <w:r w:rsidR="00A35DD6">
        <w:t>D</w:t>
      </w:r>
      <w:r w:rsidRPr="00B20633">
        <w:t>: Informed Consent</w:t>
      </w:r>
      <w:bookmarkEnd w:id="103"/>
      <w:bookmarkEnd w:id="105"/>
    </w:p>
    <w:p w14:paraId="41D95BD0" w14:textId="77777777" w:rsidR="000C2C54" w:rsidRDefault="000C2C54" w:rsidP="00F337F8">
      <w:pPr>
        <w:rPr>
          <w:rFonts w:cs="Arial"/>
          <w:b/>
          <w:snapToGrid w:val="0"/>
          <w:color w:val="000000"/>
        </w:rPr>
      </w:pPr>
    </w:p>
    <w:p w14:paraId="2F2F4A41" w14:textId="73678DE3" w:rsidR="00B20633" w:rsidRDefault="00B20633" w:rsidP="00F337F8">
      <w:pPr>
        <w:rPr>
          <w:rStyle w:val="Hyperlink"/>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15" w:history="1">
        <w:r w:rsidRPr="009A5185">
          <w:rPr>
            <w:rStyle w:val="Hyperlink"/>
            <w:rFonts w:cs="Arial"/>
            <w:snapToGrid w:val="0"/>
          </w:rPr>
          <w:t>Leapfrog’s Multi-Campus Reporting Policy</w:t>
        </w:r>
      </w:hyperlink>
      <w:r>
        <w:rPr>
          <w:rStyle w:val="Hyperlink"/>
          <w:rFonts w:cs="Arial"/>
          <w:snapToGrid w:val="0"/>
        </w:rPr>
        <w:t>.</w:t>
      </w:r>
    </w:p>
    <w:p w14:paraId="04411894" w14:textId="77777777" w:rsidR="00B20633" w:rsidRDefault="00B20633" w:rsidP="00F337F8">
      <w:pPr>
        <w:rPr>
          <w:rFonts w:cs="Arial"/>
          <w:b/>
          <w:snapToGrid w:val="0"/>
          <w:color w:val="000000"/>
        </w:rPr>
      </w:pPr>
    </w:p>
    <w:p w14:paraId="431ED4D7" w14:textId="77777777" w:rsidR="00654DC0" w:rsidRDefault="00F337F8" w:rsidP="00F337F8">
      <w:pPr>
        <w:rPr>
          <w:rFonts w:cs="Arial"/>
          <w:b/>
          <w:snapToGrid w:val="0"/>
          <w:color w:val="FF0000"/>
        </w:rPr>
      </w:pPr>
      <w:r w:rsidRPr="00873014">
        <w:rPr>
          <w:rFonts w:cs="Arial"/>
          <w:b/>
          <w:snapToGrid w:val="0"/>
          <w:color w:val="FF0000"/>
        </w:rPr>
        <w:t>Important Note</w:t>
      </w:r>
      <w:r w:rsidR="00654DC0">
        <w:rPr>
          <w:rFonts w:cs="Arial"/>
          <w:b/>
          <w:snapToGrid w:val="0"/>
          <w:color w:val="FF0000"/>
        </w:rPr>
        <w:t>s</w:t>
      </w:r>
      <w:r w:rsidRPr="00873014">
        <w:rPr>
          <w:rFonts w:cs="Arial"/>
          <w:b/>
          <w:snapToGrid w:val="0"/>
          <w:color w:val="FF0000"/>
        </w:rPr>
        <w:t xml:space="preserve">: </w:t>
      </w:r>
    </w:p>
    <w:p w14:paraId="6DFB7433" w14:textId="77777777" w:rsidR="00654DC0" w:rsidRDefault="00654DC0" w:rsidP="00F337F8">
      <w:pPr>
        <w:rPr>
          <w:rFonts w:cs="Arial"/>
          <w:b/>
          <w:snapToGrid w:val="0"/>
          <w:color w:val="FF0000"/>
        </w:rPr>
      </w:pPr>
    </w:p>
    <w:p w14:paraId="52FBEEF9" w14:textId="5DAC7A74" w:rsidR="004E45B0" w:rsidRDefault="001D1EFE" w:rsidP="004E45B0">
      <w:pPr>
        <w:rPr>
          <w:bCs/>
        </w:rPr>
      </w:pPr>
      <w:r w:rsidRPr="005B74FD">
        <w:rPr>
          <w:rFonts w:cs="Arial"/>
          <w:bCs/>
          <w:snapToGrid w:val="0"/>
        </w:rPr>
        <w:t xml:space="preserve">Note </w:t>
      </w:r>
      <w:r w:rsidR="004A2777">
        <w:rPr>
          <w:rFonts w:cs="Arial"/>
          <w:bCs/>
          <w:snapToGrid w:val="0"/>
        </w:rPr>
        <w:t>1</w:t>
      </w:r>
      <w:r w:rsidRPr="005B74FD">
        <w:rPr>
          <w:rFonts w:cs="Arial"/>
          <w:bCs/>
          <w:snapToGrid w:val="0"/>
        </w:rPr>
        <w:t>:</w:t>
      </w:r>
      <w:r>
        <w:rPr>
          <w:rFonts w:cs="Arial"/>
          <w:b/>
          <w:snapToGrid w:val="0"/>
        </w:rPr>
        <w:t xml:space="preserve"> </w:t>
      </w:r>
      <w:r w:rsidR="004E45B0">
        <w:rPr>
          <w:bCs/>
        </w:rPr>
        <w:t>In this subsection, questions regarding the informed consent process and consent forms</w:t>
      </w:r>
      <w:r w:rsidR="00C62199">
        <w:rPr>
          <w:bCs/>
        </w:rPr>
        <w:t xml:space="preserve"> </w:t>
      </w:r>
      <w:r w:rsidR="00C62199">
        <w:rPr>
          <w:rFonts w:cs="Arial"/>
        </w:rPr>
        <w:t xml:space="preserve">ONLY </w:t>
      </w:r>
      <w:r w:rsidR="00A57BE6">
        <w:rPr>
          <w:rFonts w:cs="Arial"/>
        </w:rPr>
        <w:t xml:space="preserve">apply to </w:t>
      </w:r>
      <w:r w:rsidR="00C62199">
        <w:rPr>
          <w:rFonts w:cs="Arial"/>
        </w:rPr>
        <w:t xml:space="preserve">those procedures where general </w:t>
      </w:r>
      <w:r w:rsidR="006C4E89">
        <w:rPr>
          <w:rFonts w:cs="Arial"/>
        </w:rPr>
        <w:t xml:space="preserve">anesthesia, </w:t>
      </w:r>
      <w:r w:rsidR="00C62199">
        <w:rPr>
          <w:rFonts w:cs="Arial"/>
        </w:rPr>
        <w:t>regional anesthesia</w:t>
      </w:r>
      <w:r w:rsidR="006C4E89">
        <w:rPr>
          <w:rFonts w:cs="Arial"/>
        </w:rPr>
        <w:t xml:space="preserve">, </w:t>
      </w:r>
      <w:r w:rsidR="00C62199">
        <w:rPr>
          <w:rFonts w:cs="Arial"/>
        </w:rPr>
        <w:t>or monitored anesthesia care</w:t>
      </w:r>
      <w:r w:rsidR="006C4E89">
        <w:rPr>
          <w:rFonts w:cs="Arial"/>
        </w:rPr>
        <w:t xml:space="preserve"> </w:t>
      </w:r>
      <w:r w:rsidR="00165B0C">
        <w:rPr>
          <w:rFonts w:cs="Arial"/>
        </w:rPr>
        <w:t>is</w:t>
      </w:r>
      <w:r w:rsidR="006C4E89">
        <w:rPr>
          <w:rFonts w:cs="Arial"/>
        </w:rPr>
        <w:t xml:space="preserve"> used.</w:t>
      </w:r>
      <w:r w:rsidR="00C62199">
        <w:rPr>
          <w:rFonts w:cs="Arial"/>
        </w:rPr>
        <w:t xml:space="preserve"> </w:t>
      </w:r>
      <w:r w:rsidR="001F5FEC">
        <w:rPr>
          <w:rFonts w:cs="Arial"/>
        </w:rPr>
        <w:t xml:space="preserve">The questions do </w:t>
      </w:r>
      <w:r w:rsidR="00C62199" w:rsidRPr="001A7FD5">
        <w:rPr>
          <w:rFonts w:cs="Arial"/>
        </w:rPr>
        <w:t>NOT</w:t>
      </w:r>
      <w:r w:rsidR="001F5FEC">
        <w:rPr>
          <w:rFonts w:cs="Arial"/>
        </w:rPr>
        <w:t xml:space="preserve"> apply to </w:t>
      </w:r>
      <w:r w:rsidR="00C62199" w:rsidRPr="001A7FD5">
        <w:rPr>
          <w:rFonts w:cs="Arial"/>
        </w:rPr>
        <w:t xml:space="preserve">anesthesia care; </w:t>
      </w:r>
      <w:r w:rsidR="001F5FEC">
        <w:rPr>
          <w:rFonts w:cs="Arial"/>
        </w:rPr>
        <w:t xml:space="preserve">they only apply to the </w:t>
      </w:r>
      <w:r w:rsidR="00C62199" w:rsidRPr="001A7FD5">
        <w:rPr>
          <w:rFonts w:cs="Arial"/>
        </w:rPr>
        <w:t xml:space="preserve">consent process and consent forms for </w:t>
      </w:r>
      <w:r w:rsidR="00C62199">
        <w:rPr>
          <w:rFonts w:cs="Arial"/>
        </w:rPr>
        <w:t>applicable procedures.</w:t>
      </w:r>
    </w:p>
    <w:p w14:paraId="34E26A38" w14:textId="77777777" w:rsidR="004E45B0" w:rsidRDefault="004E45B0" w:rsidP="00F337F8">
      <w:pPr>
        <w:rPr>
          <w:bCs/>
        </w:rPr>
      </w:pPr>
    </w:p>
    <w:p w14:paraId="7B815A0B" w14:textId="026962FD" w:rsidR="00F337F8" w:rsidRDefault="004E45B0" w:rsidP="00F337F8">
      <w:pPr>
        <w:rPr>
          <w:bCs/>
        </w:rPr>
      </w:pPr>
      <w:r>
        <w:rPr>
          <w:bCs/>
        </w:rPr>
        <w:t xml:space="preserve">Note </w:t>
      </w:r>
      <w:r w:rsidR="004A2777">
        <w:rPr>
          <w:bCs/>
        </w:rPr>
        <w:t>2</w:t>
      </w:r>
      <w:r>
        <w:rPr>
          <w:bCs/>
        </w:rPr>
        <w:t xml:space="preserve">: </w:t>
      </w:r>
      <w:r w:rsidR="00F337F8" w:rsidRPr="00722F1B">
        <w:rPr>
          <w:bCs/>
        </w:rPr>
        <w:t xml:space="preserve">Hyperlinks throughout this subsection refer to </w:t>
      </w:r>
      <w:r w:rsidR="00F337F8">
        <w:rPr>
          <w:bCs/>
        </w:rPr>
        <w:t xml:space="preserve">the </w:t>
      </w:r>
      <w:hyperlink w:anchor="_Informed_Consent" w:history="1">
        <w:r w:rsidR="00F337F8" w:rsidRPr="000D5D7A">
          <w:rPr>
            <w:rStyle w:val="Hyperlink"/>
            <w:bCs/>
          </w:rPr>
          <w:t>Informed Consent FAQs</w:t>
        </w:r>
      </w:hyperlink>
      <w:r w:rsidR="00F337F8">
        <w:rPr>
          <w:bCs/>
        </w:rPr>
        <w:t xml:space="preserve"> </w:t>
      </w:r>
      <w:r w:rsidR="00DA3C01">
        <w:rPr>
          <w:bCs/>
        </w:rPr>
        <w:t xml:space="preserve">beginning </w:t>
      </w:r>
      <w:r w:rsidR="00F337F8">
        <w:rPr>
          <w:bCs/>
        </w:rPr>
        <w:t xml:space="preserve">on </w:t>
      </w:r>
      <w:r w:rsidR="000813AE">
        <w:rPr>
          <w:bCs/>
        </w:rPr>
        <w:t>page</w:t>
      </w:r>
      <w:r w:rsidR="00447DDF">
        <w:rPr>
          <w:bCs/>
        </w:rPr>
        <w:t xml:space="preserve"> </w:t>
      </w:r>
      <w:r w:rsidR="009143AE">
        <w:rPr>
          <w:bCs/>
        </w:rPr>
        <w:t>52</w:t>
      </w:r>
      <w:r w:rsidR="008F143B">
        <w:rPr>
          <w:bCs/>
        </w:rPr>
        <w:t>,</w:t>
      </w:r>
      <w:r w:rsidR="00F337F8" w:rsidRPr="004A60F9">
        <w:rPr>
          <w:bCs/>
        </w:rPr>
        <w:t xml:space="preserve"> not to endnotes. These hyperlinks are not include</w:t>
      </w:r>
      <w:r w:rsidR="00F337F8">
        <w:rPr>
          <w:bCs/>
        </w:rPr>
        <w:t xml:space="preserve">d in the </w:t>
      </w:r>
      <w:r w:rsidR="0096695F">
        <w:rPr>
          <w:bCs/>
        </w:rPr>
        <w:t>Online Survey Tool</w:t>
      </w:r>
      <w:r w:rsidR="00F337F8" w:rsidRPr="004A60F9">
        <w:rPr>
          <w:bCs/>
        </w:rPr>
        <w:t>.</w:t>
      </w:r>
      <w:r w:rsidR="00F337F8" w:rsidRPr="00722F1B">
        <w:rPr>
          <w:bCs/>
        </w:rPr>
        <w:t xml:space="preserve"> </w:t>
      </w:r>
    </w:p>
    <w:p w14:paraId="19E7B884" w14:textId="77777777" w:rsidR="006267E4" w:rsidRDefault="006267E4" w:rsidP="00F337F8">
      <w:pPr>
        <w:rPr>
          <w:bCs/>
        </w:rPr>
      </w:pPr>
    </w:p>
    <w:p w14:paraId="2C68514E" w14:textId="45AE37F5" w:rsidR="00F337F8" w:rsidRPr="009A5185" w:rsidRDefault="003326A1" w:rsidP="00F337F8">
      <w:pPr>
        <w:rPr>
          <w:rFonts w:cs="Arial"/>
        </w:rPr>
      </w:pPr>
      <w:r w:rsidRPr="003326A1">
        <w:rPr>
          <w:rFonts w:cs="Arial"/>
          <w:b/>
          <w:noProof/>
          <w:snapToGrid w:val="0"/>
          <w:color w:val="000000"/>
        </w:rPr>
        <mc:AlternateContent>
          <mc:Choice Requires="wps">
            <w:drawing>
              <wp:inline distT="0" distB="0" distL="0" distR="0" wp14:anchorId="47A59270" wp14:editId="7D207668">
                <wp:extent cx="5939624" cy="1404620"/>
                <wp:effectExtent l="0" t="0" r="23495" b="10160"/>
                <wp:docPr id="21" name="Text Box 21" descr="P1517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624" cy="1404620"/>
                        </a:xfrm>
                        <a:prstGeom prst="rect">
                          <a:avLst/>
                        </a:prstGeom>
                        <a:solidFill>
                          <a:srgbClr val="FFFFFF"/>
                        </a:solidFill>
                        <a:ln w="9525">
                          <a:solidFill>
                            <a:srgbClr val="FF0000"/>
                          </a:solidFill>
                          <a:miter lim="800000"/>
                          <a:headEnd/>
                          <a:tailEnd/>
                        </a:ln>
                      </wps:spPr>
                      <wps:txbx>
                        <w:txbxContent>
                          <w:p w14:paraId="174DF3AB" w14:textId="7F97FAFD" w:rsidR="003326A1" w:rsidRPr="00D667FF" w:rsidRDefault="003326A1" w:rsidP="003326A1">
                            <w:pPr>
                              <w:spacing w:before="40"/>
                              <w:rPr>
                                <w:rFonts w:cs="Arial"/>
                                <w:bCs/>
                                <w:snapToGrid w:val="0"/>
                                <w:u w:val="single"/>
                              </w:rPr>
                            </w:pPr>
                            <w:r w:rsidRPr="009A5185">
                              <w:rPr>
                                <w:rFonts w:cs="Arial"/>
                                <w:b/>
                                <w:snapToGrid w:val="0"/>
                              </w:rPr>
                              <w:t xml:space="preserve">Reporting Period: </w:t>
                            </w:r>
                            <w:r>
                              <w:t>Answer questions #1-</w:t>
                            </w:r>
                            <w:r w:rsidR="006D4D4A">
                              <w:t>6</w:t>
                            </w:r>
                            <w:r>
                              <w:t xml:space="preserve"> based on the practices currently in place at the time you submit this section of the Survey.</w:t>
                            </w:r>
                          </w:p>
                          <w:p w14:paraId="24899DE5" w14:textId="77777777" w:rsidR="003326A1" w:rsidRPr="00AA7E68" w:rsidRDefault="003326A1" w:rsidP="003326A1">
                            <w:pPr>
                              <w:spacing w:before="40"/>
                              <w:rPr>
                                <w:rFonts w:cs="Arial"/>
                                <w:bCs/>
                                <w:snapToGrid w:val="0"/>
                                <w:u w:val="single"/>
                              </w:rPr>
                            </w:pPr>
                          </w:p>
                          <w:p w14:paraId="48C74A0A" w14:textId="63BF3B62" w:rsidR="00D667FF" w:rsidRPr="00D667FF" w:rsidRDefault="003326A1" w:rsidP="003326A1">
                            <w:pPr>
                              <w:rPr>
                                <w:rFonts w:cs="Arial"/>
                                <w:bCs/>
                                <w:snapToGrid w:val="0"/>
                                <w:sz w:val="16"/>
                                <w:szCs w:val="16"/>
                              </w:rPr>
                            </w:pPr>
                            <w:r w:rsidRPr="001B3D66">
                              <w:rPr>
                                <w:rFonts w:cs="Arial"/>
                                <w:sz w:val="16"/>
                                <w:szCs w:val="16"/>
                              </w:rPr>
                              <w:t xml:space="preserve">Note: As a reminder, the </w:t>
                            </w:r>
                            <w:hyperlink r:id="rId116"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w:t>
                            </w:r>
                            <w:r w:rsidRPr="00AE38C7">
                              <w:rPr>
                                <w:rFonts w:cs="Arial"/>
                                <w:bCs/>
                                <w:snapToGrid w:val="0"/>
                                <w:sz w:val="16"/>
                                <w:szCs w:val="16"/>
                              </w:rPr>
                              <w:t>Submission and 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47A59270" id="Text Box 21" o:spid="_x0000_s1032" type="#_x0000_t202" alt="P1517TB5#y1" style="width:467.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" strokecolor="red">
                <v:textbox style="mso-fit-shape-to-text:t">
                  <w:txbxContent>
                    <w:p w14:paraId="174DF3AB" w14:textId="7F97FAFD" w:rsidR="003326A1" w:rsidRPr="00D667FF" w:rsidRDefault="003326A1" w:rsidP="003326A1">
                      <w:pPr>
                        <w:spacing w:before="40"/>
                        <w:rPr>
                          <w:rFonts w:cs="Arial"/>
                          <w:bCs/>
                          <w:snapToGrid w:val="0"/>
                          <w:u w:val="single"/>
                        </w:rPr>
                      </w:pPr>
                      <w:r w:rsidRPr="009A5185">
                        <w:rPr>
                          <w:rFonts w:cs="Arial"/>
                          <w:b/>
                          <w:snapToGrid w:val="0"/>
                        </w:rPr>
                        <w:t xml:space="preserve">Reporting Period: </w:t>
                      </w:r>
                      <w:r>
                        <w:t>Answer questions #1-</w:t>
                      </w:r>
                      <w:r w:rsidR="006D4D4A">
                        <w:t>6</w:t>
                      </w:r>
                      <w:r>
                        <w:t xml:space="preserve"> based on the practices currently in place at the time you submit this section of the Survey.</w:t>
                      </w:r>
                    </w:p>
                    <w:p w14:paraId="24899DE5" w14:textId="77777777" w:rsidR="003326A1" w:rsidRPr="00AA7E68" w:rsidRDefault="003326A1" w:rsidP="003326A1">
                      <w:pPr>
                        <w:spacing w:before="40"/>
                        <w:rPr>
                          <w:rFonts w:cs="Arial"/>
                          <w:bCs/>
                          <w:snapToGrid w:val="0"/>
                          <w:u w:val="single"/>
                        </w:rPr>
                      </w:pPr>
                    </w:p>
                    <w:p w14:paraId="48C74A0A" w14:textId="63BF3B62" w:rsidR="00D667FF" w:rsidRPr="00D667FF" w:rsidRDefault="003326A1" w:rsidP="003326A1">
                      <w:pPr>
                        <w:rPr>
                          <w:rFonts w:cs="Arial"/>
                          <w:bCs/>
                          <w:snapToGrid w:val="0"/>
                          <w:sz w:val="16"/>
                          <w:szCs w:val="16"/>
                        </w:rPr>
                      </w:pPr>
                      <w:r w:rsidRPr="001B3D66">
                        <w:rPr>
                          <w:rFonts w:cs="Arial"/>
                          <w:sz w:val="16"/>
                          <w:szCs w:val="16"/>
                        </w:rPr>
                        <w:t xml:space="preserve">Note: As a reminder, the </w:t>
                      </w:r>
                      <w:hyperlink r:id="rId117"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w:t>
                      </w:r>
                      <w:r w:rsidRPr="00AE38C7">
                        <w:rPr>
                          <w:rFonts w:cs="Arial"/>
                          <w:bCs/>
                          <w:snapToGrid w:val="0"/>
                          <w:sz w:val="16"/>
                          <w:szCs w:val="16"/>
                        </w:rPr>
                        <w:t>Submission and 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txbxContent>
                </v:textbox>
                <w10:anchorlock/>
              </v:shape>
            </w:pict>
          </mc:Fallback>
        </mc:AlternateContent>
      </w:r>
    </w:p>
    <w:p w14:paraId="1E6250E2" w14:textId="2DBC1C49" w:rsidR="00E85725" w:rsidRDefault="00E85725" w:rsidP="00E85725">
      <w:pPr>
        <w:rPr>
          <w:rFonts w:cs="Arial"/>
          <w:b/>
          <w:snapToGrid w:val="0"/>
          <w:color w:val="000000"/>
        </w:rPr>
      </w:pPr>
    </w:p>
    <w:p w14:paraId="57190C20" w14:textId="664767A0" w:rsidR="00F337F8" w:rsidRPr="007D0C84" w:rsidRDefault="00F44DEB" w:rsidP="00AB5B80">
      <w:pPr>
        <w:pStyle w:val="Heading3"/>
        <w:rPr>
          <w:rStyle w:val="Strong"/>
          <w:bCs/>
          <w:i w:val="0"/>
        </w:rPr>
      </w:pPr>
      <w:bookmarkStart w:id="106" w:name="_Toc131159760"/>
      <w:bookmarkStart w:id="107" w:name="_Toc225877674"/>
      <w:r>
        <w:rPr>
          <w:rStyle w:val="Strong"/>
          <w:b/>
          <w:bCs/>
        </w:rPr>
        <w:t>Training</w:t>
      </w:r>
      <w:bookmarkEnd w:id="106"/>
      <w:r>
        <w:rPr>
          <w:rStyle w:val="Strong"/>
          <w:b/>
          <w:bCs/>
        </w:rPr>
        <w:t xml:space="preserve"> </w:t>
      </w:r>
      <w:r w:rsidR="00464A5A">
        <w:rPr>
          <w:rStyle w:val="Strong"/>
          <w:b/>
          <w:bCs/>
        </w:rPr>
        <w:t>on Informed Consent</w:t>
      </w:r>
      <w:bookmarkEnd w:id="107"/>
    </w:p>
    <w:p w14:paraId="76F30BBA" w14:textId="77777777" w:rsidR="00F337F8" w:rsidRDefault="00F337F8" w:rsidP="00F337F8">
      <w:pPr>
        <w:rPr>
          <w:rFonts w:cs="Arial"/>
          <w:b/>
          <w:snapToGrid w:val="0"/>
          <w:color w:val="000000"/>
        </w:rPr>
      </w:pPr>
    </w:p>
    <w:tbl>
      <w:tblPr>
        <w:tblStyle w:val="TableGrid12"/>
        <w:tblW w:w="5000" w:type="pct"/>
        <w:tblLook w:val="0000" w:firstRow="0" w:lastRow="0" w:firstColumn="0" w:lastColumn="0" w:noHBand="0" w:noVBand="0"/>
      </w:tblPr>
      <w:tblGrid>
        <w:gridCol w:w="6474"/>
        <w:gridCol w:w="2873"/>
      </w:tblGrid>
      <w:tr w:rsidR="00F337F8" w14:paraId="2FB1CDD6" w14:textId="77777777" w:rsidTr="00202D75">
        <w:trPr>
          <w:trHeight w:val="2160"/>
        </w:trPr>
        <w:tc>
          <w:tcPr>
            <w:tcW w:w="3463" w:type="pct"/>
            <w:tcBorders>
              <w:top w:val="single" w:sz="4" w:space="0" w:color="auto"/>
              <w:left w:val="single" w:sz="4" w:space="0" w:color="auto"/>
              <w:bottom w:val="single" w:sz="4" w:space="0" w:color="auto"/>
              <w:right w:val="single" w:sz="4" w:space="0" w:color="auto"/>
            </w:tcBorders>
            <w:vAlign w:val="center"/>
          </w:tcPr>
          <w:p w14:paraId="606A6717" w14:textId="2A44777C" w:rsidR="00B01BB9" w:rsidRDefault="00B01BB9" w:rsidP="00AD309C">
            <w:pPr>
              <w:pStyle w:val="ListParagraph"/>
              <w:numPr>
                <w:ilvl w:val="0"/>
                <w:numId w:val="164"/>
              </w:numPr>
            </w:pPr>
            <w:r>
              <w:t xml:space="preserve">Does your hospital </w:t>
            </w:r>
            <w:r w:rsidR="00852768">
              <w:t>train employed staff</w:t>
            </w:r>
            <w:r w:rsidRPr="0045753A">
              <w:t xml:space="preserve"> on informed consent </w:t>
            </w:r>
            <w:r w:rsidR="008E1B00">
              <w:t xml:space="preserve">and </w:t>
            </w:r>
            <w:r w:rsidRPr="0045753A">
              <w:t xml:space="preserve">tailor different training topics to </w:t>
            </w:r>
            <w:hyperlink w:anchor="_Informed_Consent" w:history="1">
              <w:r w:rsidRPr="0045753A">
                <w:rPr>
                  <w:rStyle w:val="Hyperlink"/>
                </w:rPr>
                <w:t>different staff roles</w:t>
              </w:r>
            </w:hyperlink>
            <w:r w:rsidRPr="0045753A">
              <w:t>,</w:t>
            </w:r>
            <w:r w:rsidR="00B20633">
              <w:t xml:space="preserve"> including hospital leaders, MD/NP/PA, nurses and other clinical staff, administrative staff, and interpreters,</w:t>
            </w:r>
            <w:r w:rsidR="00B20633" w:rsidRPr="0045753A">
              <w:t xml:space="preserve"> </w:t>
            </w:r>
            <w:r w:rsidRPr="0045753A">
              <w:t xml:space="preserve">and </w:t>
            </w:r>
            <w:r>
              <w:t xml:space="preserve">has your hospital </w:t>
            </w:r>
            <w:r w:rsidRPr="0045753A">
              <w:t>made the training</w:t>
            </w:r>
            <w:r>
              <w:t>:</w:t>
            </w:r>
            <w:r w:rsidRPr="0045753A">
              <w:t xml:space="preserve"> </w:t>
            </w:r>
          </w:p>
          <w:p w14:paraId="6D01CDF8" w14:textId="3E0F2B58" w:rsidR="00B01BB9" w:rsidRDefault="00B01BB9" w:rsidP="00AD309C">
            <w:pPr>
              <w:pStyle w:val="ListParagraph"/>
              <w:numPr>
                <w:ilvl w:val="0"/>
                <w:numId w:val="170"/>
              </w:numPr>
            </w:pPr>
            <w:r w:rsidRPr="0045753A">
              <w:t xml:space="preserve">a required component of onboarding for </w:t>
            </w:r>
            <w:r>
              <w:t>the appropriate newly hired staff,</w:t>
            </w:r>
            <w:r w:rsidR="001F00A6">
              <w:t xml:space="preserve"> </w:t>
            </w:r>
            <w:r w:rsidR="00A95AB5">
              <w:t>and</w:t>
            </w:r>
          </w:p>
          <w:p w14:paraId="364D8966" w14:textId="550897A3" w:rsidR="00B20633" w:rsidRPr="001F00A6" w:rsidRDefault="00B01BB9" w:rsidP="00AD309C">
            <w:pPr>
              <w:pStyle w:val="ListParagraph"/>
              <w:numPr>
                <w:ilvl w:val="0"/>
                <w:numId w:val="170"/>
              </w:numPr>
            </w:pPr>
            <w:r>
              <w:t>required for the appropriate existing staff who were not previously trained</w:t>
            </w:r>
            <w:r w:rsidR="001F00A6">
              <w:t>?</w:t>
            </w:r>
          </w:p>
        </w:tc>
        <w:tc>
          <w:tcPr>
            <w:tcW w:w="1537" w:type="pct"/>
            <w:tcBorders>
              <w:left w:val="single" w:sz="4" w:space="0" w:color="auto"/>
            </w:tcBorders>
            <w:vAlign w:val="center"/>
          </w:tcPr>
          <w:p w14:paraId="579CD28A" w14:textId="77777777" w:rsidR="00F337F8" w:rsidRPr="00FA46D8" w:rsidRDefault="00F337F8" w:rsidP="00AD309C">
            <w:pPr>
              <w:pStyle w:val="ListParagraph"/>
              <w:numPr>
                <w:ilvl w:val="0"/>
                <w:numId w:val="256"/>
              </w:numPr>
              <w:rPr>
                <w:bCs/>
              </w:rPr>
            </w:pPr>
            <w:r w:rsidRPr="00FA46D8">
              <w:rPr>
                <w:bCs/>
              </w:rPr>
              <w:t>Yes</w:t>
            </w:r>
          </w:p>
          <w:p w14:paraId="3645D2B9" w14:textId="77777777" w:rsidR="00F337F8" w:rsidRPr="00C62199" w:rsidRDefault="00F337F8" w:rsidP="00AD309C">
            <w:pPr>
              <w:pStyle w:val="ListParagraph"/>
              <w:numPr>
                <w:ilvl w:val="0"/>
                <w:numId w:val="256"/>
              </w:numPr>
            </w:pPr>
            <w:r w:rsidRPr="00FA46D8">
              <w:rPr>
                <w:bCs/>
              </w:rPr>
              <w:t>No</w:t>
            </w:r>
          </w:p>
        </w:tc>
      </w:tr>
    </w:tbl>
    <w:p w14:paraId="2592FF11" w14:textId="77777777" w:rsidR="00F337F8" w:rsidRDefault="00F337F8" w:rsidP="00F337F8">
      <w:pPr>
        <w:rPr>
          <w:rFonts w:cs="Arial"/>
          <w:b/>
          <w:snapToGrid w:val="0"/>
          <w:color w:val="000000"/>
        </w:rPr>
      </w:pPr>
    </w:p>
    <w:p w14:paraId="134FE401" w14:textId="631F2224" w:rsidR="00F337F8" w:rsidRPr="006267E4" w:rsidRDefault="00F337F8" w:rsidP="00AB5B80">
      <w:pPr>
        <w:pStyle w:val="Heading3"/>
        <w:rPr>
          <w:sz w:val="20"/>
          <w:szCs w:val="20"/>
        </w:rPr>
      </w:pPr>
      <w:bookmarkStart w:id="108" w:name="_Toc131159761"/>
      <w:bookmarkStart w:id="109" w:name="_Toc225877675"/>
      <w:r>
        <w:t>Content of Informed Consent Forms</w:t>
      </w:r>
      <w:bookmarkEnd w:id="108"/>
      <w:bookmarkEnd w:id="109"/>
      <w:r w:rsidR="00146B82">
        <w:br/>
      </w:r>
    </w:p>
    <w:tbl>
      <w:tblPr>
        <w:tblStyle w:val="TableGrid12"/>
        <w:tblW w:w="9344" w:type="dxa"/>
        <w:tblLayout w:type="fixed"/>
        <w:tblLook w:val="0000" w:firstRow="0" w:lastRow="0" w:firstColumn="0" w:lastColumn="0" w:noHBand="0" w:noVBand="0"/>
      </w:tblPr>
      <w:tblGrid>
        <w:gridCol w:w="6472"/>
        <w:gridCol w:w="2872"/>
      </w:tblGrid>
      <w:tr w:rsidR="00F337F8" w:rsidRPr="001E7251" w:rsidDel="00476434" w14:paraId="506F8E8D" w14:textId="77777777" w:rsidTr="00A73F6A">
        <w:trPr>
          <w:trHeight w:val="2160"/>
        </w:trPr>
        <w:tc>
          <w:tcPr>
            <w:tcW w:w="6472" w:type="dxa"/>
            <w:tcBorders>
              <w:bottom w:val="single" w:sz="4" w:space="0" w:color="auto"/>
            </w:tcBorders>
            <w:vAlign w:val="center"/>
          </w:tcPr>
          <w:p w14:paraId="10AFC678" w14:textId="77777777" w:rsidR="00B01BB9" w:rsidRPr="0075480B" w:rsidRDefault="00B01BB9" w:rsidP="00AD309C">
            <w:pPr>
              <w:pStyle w:val="ListParagraph"/>
              <w:numPr>
                <w:ilvl w:val="0"/>
                <w:numId w:val="164"/>
              </w:numPr>
            </w:pPr>
            <w:r>
              <w:rPr>
                <w:bCs/>
              </w:rPr>
              <w:t>As part of your hospital’s process for obtaining informed consent, does:</w:t>
            </w:r>
          </w:p>
          <w:p w14:paraId="425D9919" w14:textId="390A36D9" w:rsidR="00B01BB9" w:rsidRDefault="00B01BB9" w:rsidP="00AD309C">
            <w:pPr>
              <w:pStyle w:val="ListParagraph"/>
              <w:numPr>
                <w:ilvl w:val="0"/>
                <w:numId w:val="171"/>
              </w:numPr>
            </w:pPr>
            <w:r>
              <w:rPr>
                <w:bCs/>
              </w:rPr>
              <w:t xml:space="preserve">the clinician explain </w:t>
            </w:r>
            <w:r w:rsidR="00BE3335">
              <w:t>expected difficulties, recovery time, pain management, and restrictions after a procedure</w:t>
            </w:r>
            <w:r w:rsidR="001D1EFE">
              <w:t xml:space="preserve"> that may be experienced by the patient either</w:t>
            </w:r>
            <w:r w:rsidR="00BE3335">
              <w:t xml:space="preserve"> in the </w:t>
            </w:r>
            <w:r w:rsidR="00EC2156">
              <w:t>hospital</w:t>
            </w:r>
            <w:r w:rsidR="00BE3335">
              <w:t xml:space="preserve"> </w:t>
            </w:r>
            <w:r w:rsidR="001D1EFE">
              <w:t>or</w:t>
            </w:r>
            <w:r w:rsidR="00BE3335">
              <w:t xml:space="preserve"> post-discharge, if applicabl</w:t>
            </w:r>
            <w:r w:rsidR="00691EFF">
              <w:t>e;</w:t>
            </w:r>
          </w:p>
          <w:p w14:paraId="086ACA84" w14:textId="45B691EA" w:rsidR="00B01BB9" w:rsidRDefault="00B01BB9" w:rsidP="00AD309C">
            <w:pPr>
              <w:pStyle w:val="ListParagraph"/>
              <w:numPr>
                <w:ilvl w:val="0"/>
                <w:numId w:val="171"/>
              </w:numPr>
            </w:pPr>
            <w:r>
              <w:t>the patient have the opportunity to ask questions</w:t>
            </w:r>
            <w:r w:rsidR="00691EFF">
              <w:t>;</w:t>
            </w:r>
            <w:r>
              <w:t xml:space="preserve"> </w:t>
            </w:r>
            <w:r w:rsidR="00A95AB5">
              <w:t>and</w:t>
            </w:r>
          </w:p>
          <w:p w14:paraId="7AEAB002" w14:textId="361D25C9" w:rsidR="007475A2" w:rsidRPr="00B20633" w:rsidRDefault="00B01BB9" w:rsidP="00AD309C">
            <w:pPr>
              <w:pStyle w:val="ListParagraph"/>
              <w:numPr>
                <w:ilvl w:val="0"/>
                <w:numId w:val="171"/>
              </w:numPr>
            </w:pPr>
            <w:r w:rsidRPr="00B01BB9">
              <w:t>the consent form document that th</w:t>
            </w:r>
            <w:r w:rsidR="00136666">
              <w:t>ese</w:t>
            </w:r>
            <w:r w:rsidRPr="00B01BB9">
              <w:t xml:space="preserve"> </w:t>
            </w:r>
            <w:r w:rsidR="00B92204">
              <w:t xml:space="preserve">two </w:t>
            </w:r>
            <w:r w:rsidRPr="00B01BB9">
              <w:t>element</w:t>
            </w:r>
            <w:r w:rsidR="00136666">
              <w:t>s</w:t>
            </w:r>
            <w:r w:rsidRPr="00B01BB9">
              <w:t xml:space="preserve"> of the process ha</w:t>
            </w:r>
            <w:r w:rsidR="003C588F">
              <w:t>ve</w:t>
            </w:r>
            <w:r w:rsidRPr="00B01BB9">
              <w:t xml:space="preserve"> taken place?</w:t>
            </w:r>
          </w:p>
        </w:tc>
        <w:tc>
          <w:tcPr>
            <w:tcW w:w="2872" w:type="dxa"/>
            <w:vAlign w:val="center"/>
          </w:tcPr>
          <w:p w14:paraId="186F3F08" w14:textId="77777777" w:rsidR="00F337F8" w:rsidRPr="00C62199" w:rsidRDefault="00F337F8" w:rsidP="00AD309C">
            <w:pPr>
              <w:pStyle w:val="ListParagraph"/>
              <w:numPr>
                <w:ilvl w:val="0"/>
                <w:numId w:val="257"/>
              </w:numPr>
              <w:rPr>
                <w:bCs/>
              </w:rPr>
            </w:pPr>
            <w:r w:rsidRPr="00C62199">
              <w:rPr>
                <w:bCs/>
              </w:rPr>
              <w:t>Yes</w:t>
            </w:r>
          </w:p>
          <w:p w14:paraId="7ED1C495" w14:textId="77777777" w:rsidR="00F337F8" w:rsidRPr="00C62199" w:rsidDel="00476434" w:rsidRDefault="00F337F8" w:rsidP="00AD309C">
            <w:pPr>
              <w:pStyle w:val="ListParagraph"/>
              <w:numPr>
                <w:ilvl w:val="0"/>
                <w:numId w:val="257"/>
              </w:numPr>
              <w:rPr>
                <w:bCs/>
              </w:rPr>
            </w:pPr>
            <w:r w:rsidRPr="00C62199">
              <w:rPr>
                <w:bCs/>
              </w:rPr>
              <w:t>No</w:t>
            </w:r>
          </w:p>
        </w:tc>
      </w:tr>
      <w:tr w:rsidR="00F337F8" w14:paraId="1F41ECC8" w14:textId="77777777" w:rsidTr="00E36E14">
        <w:trPr>
          <w:trHeight w:val="2016"/>
        </w:trPr>
        <w:tc>
          <w:tcPr>
            <w:tcW w:w="0" w:type="dxa"/>
            <w:tcBorders>
              <w:top w:val="single" w:sz="4" w:space="0" w:color="auto"/>
              <w:left w:val="single" w:sz="4" w:space="0" w:color="auto"/>
              <w:bottom w:val="single" w:sz="4" w:space="0" w:color="auto"/>
              <w:right w:val="single" w:sz="4" w:space="0" w:color="auto"/>
            </w:tcBorders>
            <w:vAlign w:val="center"/>
          </w:tcPr>
          <w:p w14:paraId="3B71CDBE" w14:textId="2E0DFB3F" w:rsidR="00B01BB9" w:rsidRPr="004D2CF3" w:rsidRDefault="00B01BB9" w:rsidP="00AD309C">
            <w:pPr>
              <w:pStyle w:val="ListParagraph"/>
              <w:numPr>
                <w:ilvl w:val="0"/>
                <w:numId w:val="164"/>
              </w:numPr>
            </w:pPr>
            <w:r>
              <w:rPr>
                <w:bCs/>
              </w:rPr>
              <w:t>Do</w:t>
            </w:r>
            <w:r w:rsidR="00B20633">
              <w:rPr>
                <w:bCs/>
              </w:rPr>
              <w:t xml:space="preserve"> ALL</w:t>
            </w:r>
            <w:r>
              <w:rPr>
                <w:bCs/>
              </w:rPr>
              <w:t xml:space="preserve"> </w:t>
            </w:r>
            <w:r w:rsidR="001D1EFE">
              <w:rPr>
                <w:bCs/>
              </w:rPr>
              <w:t xml:space="preserve">applicable consent forms used by </w:t>
            </w:r>
            <w:r>
              <w:rPr>
                <w:bCs/>
              </w:rPr>
              <w:t>your hospital</w:t>
            </w:r>
            <w:r w:rsidRPr="00146B82">
              <w:rPr>
                <w:bCs/>
              </w:rPr>
              <w:t xml:space="preserve"> include</w:t>
            </w:r>
            <w:r>
              <w:rPr>
                <w:bCs/>
              </w:rPr>
              <w:t>:</w:t>
            </w:r>
            <w:r w:rsidRPr="00146B82">
              <w:rPr>
                <w:bCs/>
              </w:rPr>
              <w:t xml:space="preserve"> </w:t>
            </w:r>
          </w:p>
          <w:p w14:paraId="17EECA97" w14:textId="6FEA31F8" w:rsidR="00B01BB9" w:rsidRDefault="00B01BB9" w:rsidP="00AD309C">
            <w:pPr>
              <w:pStyle w:val="ListParagraph"/>
              <w:numPr>
                <w:ilvl w:val="0"/>
                <w:numId w:val="172"/>
              </w:numPr>
            </w:pPr>
            <w:r w:rsidRPr="00146B82">
              <w:t>the name(s) of the clinician(s) performing the procedure</w:t>
            </w:r>
            <w:r w:rsidR="00691EFF">
              <w:t>;</w:t>
            </w:r>
          </w:p>
          <w:p w14:paraId="3C37051F" w14:textId="068BD9EE" w:rsidR="00B01BB9" w:rsidRDefault="00B01BB9" w:rsidP="00AD309C">
            <w:pPr>
              <w:pStyle w:val="ListParagraph"/>
              <w:numPr>
                <w:ilvl w:val="0"/>
                <w:numId w:val="172"/>
              </w:numPr>
            </w:pPr>
            <w:r>
              <w:t>whether the clinician is expected to be absent from portions of the procedure (</w:t>
            </w:r>
            <w:r w:rsidR="00595C34">
              <w:t>e.g.,</w:t>
            </w:r>
            <w:r>
              <w:t xml:space="preserve"> opening, closing)</w:t>
            </w:r>
            <w:r w:rsidR="00F00B55">
              <w:t>,</w:t>
            </w:r>
            <w:r>
              <w:t xml:space="preserve"> </w:t>
            </w:r>
            <w:r w:rsidR="00C62199">
              <w:t>if applicable</w:t>
            </w:r>
            <w:r w:rsidR="00691EFF">
              <w:t>;</w:t>
            </w:r>
            <w:r w:rsidR="00C62199">
              <w:t xml:space="preserve"> </w:t>
            </w:r>
            <w:r w:rsidR="00A6723C">
              <w:t>and</w:t>
            </w:r>
          </w:p>
          <w:p w14:paraId="411D3127" w14:textId="3E34230D" w:rsidR="00F337F8" w:rsidRPr="006C09FD" w:rsidRDefault="00650119" w:rsidP="00AD309C">
            <w:pPr>
              <w:pStyle w:val="ListParagraph"/>
              <w:numPr>
                <w:ilvl w:val="0"/>
                <w:numId w:val="172"/>
              </w:numPr>
            </w:pPr>
            <w:r>
              <w:t xml:space="preserve">whether </w:t>
            </w:r>
            <w:r w:rsidR="00B01BB9" w:rsidRPr="00B01BB9">
              <w:t>any assistants or trainees will be involved in the procedure</w:t>
            </w:r>
            <w:r w:rsidR="00C62199">
              <w:t>, if applicable</w:t>
            </w:r>
            <w:r w:rsidR="00B01BB9" w:rsidRPr="00B01BB9">
              <w:t>?</w:t>
            </w:r>
          </w:p>
        </w:tc>
        <w:tc>
          <w:tcPr>
            <w:tcW w:w="0" w:type="dxa"/>
            <w:tcBorders>
              <w:left w:val="single" w:sz="4" w:space="0" w:color="auto"/>
            </w:tcBorders>
            <w:vAlign w:val="center"/>
          </w:tcPr>
          <w:p w14:paraId="17F38D2C" w14:textId="77777777" w:rsidR="00F337F8" w:rsidRPr="00C62199" w:rsidRDefault="00F337F8" w:rsidP="00AD309C">
            <w:pPr>
              <w:pStyle w:val="ListParagraph"/>
              <w:numPr>
                <w:ilvl w:val="0"/>
                <w:numId w:val="257"/>
              </w:numPr>
              <w:rPr>
                <w:bCs/>
              </w:rPr>
            </w:pPr>
            <w:r w:rsidRPr="00C62199">
              <w:rPr>
                <w:bCs/>
              </w:rPr>
              <w:t>Yes</w:t>
            </w:r>
          </w:p>
          <w:p w14:paraId="757B88F4" w14:textId="77777777" w:rsidR="00F337F8" w:rsidRPr="00C62199" w:rsidRDefault="00F337F8" w:rsidP="00AD309C">
            <w:pPr>
              <w:pStyle w:val="ListParagraph"/>
              <w:numPr>
                <w:ilvl w:val="0"/>
                <w:numId w:val="257"/>
              </w:numPr>
              <w:rPr>
                <w:bCs/>
              </w:rPr>
            </w:pPr>
            <w:r w:rsidRPr="00C62199">
              <w:rPr>
                <w:bCs/>
              </w:rPr>
              <w:t>No</w:t>
            </w:r>
          </w:p>
        </w:tc>
      </w:tr>
      <w:tr w:rsidR="00F337F8" w14:paraId="646B8DBF" w14:textId="77777777" w:rsidTr="00E36E14">
        <w:trPr>
          <w:trHeight w:val="1872"/>
        </w:trPr>
        <w:tc>
          <w:tcPr>
            <w:tcW w:w="0" w:type="dxa"/>
            <w:tcBorders>
              <w:top w:val="single" w:sz="4" w:space="0" w:color="auto"/>
              <w:left w:val="single" w:sz="4" w:space="0" w:color="auto"/>
              <w:bottom w:val="single" w:sz="4" w:space="0" w:color="auto"/>
              <w:right w:val="single" w:sz="4" w:space="0" w:color="auto"/>
            </w:tcBorders>
            <w:vAlign w:val="center"/>
          </w:tcPr>
          <w:p w14:paraId="177ED5C4" w14:textId="28431E86" w:rsidR="00E849B6" w:rsidRPr="005F4F55" w:rsidRDefault="00B20633" w:rsidP="00AD309C">
            <w:pPr>
              <w:pStyle w:val="ListParagraph"/>
              <w:numPr>
                <w:ilvl w:val="0"/>
                <w:numId w:val="164"/>
              </w:numPr>
              <w:rPr>
                <w:sz w:val="16"/>
              </w:rPr>
            </w:pPr>
            <w:r>
              <w:rPr>
                <w:bCs/>
              </w:rPr>
              <w:lastRenderedPageBreak/>
              <w:t>Are ALL</w:t>
            </w:r>
            <w:r w:rsidR="00B01BB9">
              <w:rPr>
                <w:bCs/>
              </w:rPr>
              <w:t xml:space="preserve"> </w:t>
            </w:r>
            <w:r w:rsidR="001D1EFE">
              <w:rPr>
                <w:bCs/>
              </w:rPr>
              <w:t>applicable</w:t>
            </w:r>
            <w:r w:rsidR="001D1EFE" w:rsidRPr="005E3310">
              <w:rPr>
                <w:bCs/>
              </w:rPr>
              <w:t xml:space="preserve"> consent form</w:t>
            </w:r>
            <w:r w:rsidR="001D1EFE">
              <w:rPr>
                <w:bCs/>
              </w:rPr>
              <w:t xml:space="preserve">s used by your hospital </w:t>
            </w:r>
            <w:r w:rsidR="00B01BB9">
              <w:t>w</w:t>
            </w:r>
            <w:r w:rsidR="00B01BB9" w:rsidRPr="00B92DC7">
              <w:t xml:space="preserve">ritten </w:t>
            </w:r>
            <w:r w:rsidR="00B01BB9">
              <w:t>at a 6</w:t>
            </w:r>
            <w:r w:rsidR="00B01BB9" w:rsidRPr="007B1C20">
              <w:rPr>
                <w:vertAlign w:val="superscript"/>
              </w:rPr>
              <w:t>th</w:t>
            </w:r>
            <w:r w:rsidR="007D2419">
              <w:t>-</w:t>
            </w:r>
            <w:r w:rsidR="00B01BB9">
              <w:t>grade reading level or lower?</w:t>
            </w:r>
          </w:p>
          <w:p w14:paraId="1C3D8DD1" w14:textId="300B96AD" w:rsidR="00E849B6" w:rsidRPr="005F4F55" w:rsidRDefault="00E849B6" w:rsidP="00A73F6A">
            <w:pPr>
              <w:pStyle w:val="ListParagraph"/>
              <w:ind w:left="360"/>
              <w:rPr>
                <w:i/>
                <w:iCs/>
              </w:rPr>
            </w:pPr>
            <w:r>
              <w:rPr>
                <w:sz w:val="16"/>
              </w:rPr>
              <w:br/>
            </w:r>
            <w:r w:rsidR="00206F90">
              <w:rPr>
                <w:i/>
                <w:iCs/>
              </w:rPr>
              <w:t>The procedure name and description</w:t>
            </w:r>
            <w:r w:rsidR="001D1EFE">
              <w:rPr>
                <w:i/>
                <w:iCs/>
              </w:rPr>
              <w:t>,</w:t>
            </w:r>
            <w:r w:rsidR="00206F90">
              <w:rPr>
                <w:i/>
                <w:iCs/>
              </w:rPr>
              <w:t xml:space="preserve"> </w:t>
            </w:r>
            <w:r w:rsidR="001D1EFE">
              <w:rPr>
                <w:i/>
                <w:iCs/>
              </w:rPr>
              <w:t xml:space="preserve">and any words accompanied by a plain language definition </w:t>
            </w:r>
            <w:r w:rsidR="00206F90">
              <w:rPr>
                <w:i/>
                <w:iCs/>
              </w:rPr>
              <w:t xml:space="preserve">can be excluded </w:t>
            </w:r>
            <w:r w:rsidR="00206F90" w:rsidRPr="005F4F55">
              <w:rPr>
                <w:i/>
                <w:iCs/>
              </w:rPr>
              <w:t xml:space="preserve">from </w:t>
            </w:r>
            <w:r w:rsidR="00206F90">
              <w:rPr>
                <w:i/>
                <w:iCs/>
              </w:rPr>
              <w:t xml:space="preserve">the </w:t>
            </w:r>
            <w:hyperlink w:anchor="readinglevel" w:history="1">
              <w:r w:rsidR="00206F90" w:rsidRPr="000E2B09">
                <w:rPr>
                  <w:rStyle w:val="Hyperlink"/>
                  <w:rFonts w:eastAsia="Times New Roman"/>
                  <w:i/>
                  <w:iCs/>
                </w:rPr>
                <w:t>reading level assessment</w:t>
              </w:r>
            </w:hyperlink>
            <w:r w:rsidR="00206F90">
              <w:rPr>
                <w:i/>
                <w:iCs/>
              </w:rPr>
              <w:t>.</w:t>
            </w:r>
          </w:p>
        </w:tc>
        <w:tc>
          <w:tcPr>
            <w:tcW w:w="0" w:type="dxa"/>
            <w:tcBorders>
              <w:left w:val="single" w:sz="4" w:space="0" w:color="auto"/>
            </w:tcBorders>
            <w:vAlign w:val="center"/>
          </w:tcPr>
          <w:p w14:paraId="0EA2A3A0" w14:textId="31F6B773" w:rsidR="004C46E0" w:rsidRPr="00C62199" w:rsidRDefault="004C46E0" w:rsidP="00AD309C">
            <w:pPr>
              <w:pStyle w:val="ListParagraph"/>
              <w:numPr>
                <w:ilvl w:val="0"/>
                <w:numId w:val="257"/>
              </w:numPr>
              <w:rPr>
                <w:bCs/>
              </w:rPr>
            </w:pPr>
            <w:r w:rsidRPr="00C62199">
              <w:rPr>
                <w:bCs/>
              </w:rPr>
              <w:t>Yes, all</w:t>
            </w:r>
            <w:r w:rsidR="001D1EFE">
              <w:rPr>
                <w:bCs/>
              </w:rPr>
              <w:t xml:space="preserve"> applicable</w:t>
            </w:r>
            <w:r w:rsidRPr="00C62199">
              <w:rPr>
                <w:bCs/>
              </w:rPr>
              <w:t xml:space="preserve"> forms are written at a 6</w:t>
            </w:r>
            <w:r w:rsidRPr="00C62199">
              <w:rPr>
                <w:bCs/>
                <w:vertAlign w:val="superscript"/>
              </w:rPr>
              <w:t>th</w:t>
            </w:r>
            <w:r w:rsidR="007D2419">
              <w:rPr>
                <w:bCs/>
              </w:rPr>
              <w:t>-</w:t>
            </w:r>
            <w:r w:rsidRPr="00C62199">
              <w:rPr>
                <w:bCs/>
              </w:rPr>
              <w:t>grade reading level or lower</w:t>
            </w:r>
          </w:p>
          <w:p w14:paraId="106BEDE5" w14:textId="60E8762A" w:rsidR="004C46E0" w:rsidRDefault="0056214D" w:rsidP="00AD309C">
            <w:pPr>
              <w:pStyle w:val="ListParagraph"/>
              <w:numPr>
                <w:ilvl w:val="0"/>
                <w:numId w:val="257"/>
              </w:numPr>
              <w:rPr>
                <w:bCs/>
              </w:rPr>
            </w:pPr>
            <w:r>
              <w:rPr>
                <w:bCs/>
              </w:rPr>
              <w:t>No, but a</w:t>
            </w:r>
            <w:r w:rsidR="004C46E0" w:rsidRPr="00C62199">
              <w:rPr>
                <w:bCs/>
              </w:rPr>
              <w:t>t least one form is written at a 6</w:t>
            </w:r>
            <w:r w:rsidR="004C46E0" w:rsidRPr="00C62199">
              <w:rPr>
                <w:bCs/>
                <w:vertAlign w:val="superscript"/>
              </w:rPr>
              <w:t>th</w:t>
            </w:r>
            <w:r w:rsidR="007D2419">
              <w:rPr>
                <w:bCs/>
              </w:rPr>
              <w:t>-</w:t>
            </w:r>
            <w:r w:rsidR="004C46E0" w:rsidRPr="00C62199">
              <w:rPr>
                <w:bCs/>
              </w:rPr>
              <w:t>grade reading level or lower</w:t>
            </w:r>
          </w:p>
          <w:p w14:paraId="62B565C3" w14:textId="510A1CB9" w:rsidR="00F337F8" w:rsidRDefault="004C46E0" w:rsidP="00AD309C">
            <w:pPr>
              <w:pStyle w:val="ListParagraph"/>
              <w:numPr>
                <w:ilvl w:val="0"/>
                <w:numId w:val="257"/>
              </w:numPr>
              <w:rPr>
                <w:bCs/>
              </w:rPr>
            </w:pPr>
            <w:r w:rsidRPr="00C62199">
              <w:rPr>
                <w:bCs/>
              </w:rPr>
              <w:t>No forms are written at a 6</w:t>
            </w:r>
            <w:r w:rsidRPr="00C62199">
              <w:rPr>
                <w:bCs/>
                <w:vertAlign w:val="superscript"/>
              </w:rPr>
              <w:t>th</w:t>
            </w:r>
            <w:r w:rsidR="007D2419">
              <w:rPr>
                <w:bCs/>
              </w:rPr>
              <w:t>-</w:t>
            </w:r>
            <w:r w:rsidRPr="00C62199">
              <w:rPr>
                <w:bCs/>
              </w:rPr>
              <w:t>grade reading level or lower</w:t>
            </w:r>
          </w:p>
          <w:p w14:paraId="3FEF8FC7" w14:textId="0BFCBB87" w:rsidR="008F592E" w:rsidRPr="008F592E" w:rsidRDefault="008F592E" w:rsidP="00AD309C">
            <w:pPr>
              <w:pStyle w:val="ListParagraph"/>
              <w:numPr>
                <w:ilvl w:val="0"/>
                <w:numId w:val="257"/>
              </w:numPr>
              <w:rPr>
                <w:bCs/>
              </w:rPr>
            </w:pPr>
            <w:r>
              <w:rPr>
                <w:bCs/>
              </w:rPr>
              <w:t>No, all applicable forms are written at a 9</w:t>
            </w:r>
            <w:r w:rsidRPr="00D36222">
              <w:rPr>
                <w:bCs/>
                <w:vertAlign w:val="superscript"/>
              </w:rPr>
              <w:t>th</w:t>
            </w:r>
            <w:r w:rsidR="007D2419">
              <w:rPr>
                <w:bCs/>
              </w:rPr>
              <w:t>-</w:t>
            </w:r>
            <w:r>
              <w:rPr>
                <w:bCs/>
              </w:rPr>
              <w:t>grade reading level or lower</w:t>
            </w:r>
          </w:p>
        </w:tc>
      </w:tr>
    </w:tbl>
    <w:p w14:paraId="0D29CB08" w14:textId="77777777" w:rsidR="00F337F8" w:rsidRDefault="00F337F8" w:rsidP="00F337F8">
      <w:pPr>
        <w:rPr>
          <w:rFonts w:cs="Arial"/>
          <w:b/>
          <w:snapToGrid w:val="0"/>
          <w:color w:val="000000"/>
        </w:rPr>
      </w:pPr>
    </w:p>
    <w:p w14:paraId="175EA1F0" w14:textId="5F5482F3" w:rsidR="00F337F8" w:rsidRPr="006267E4" w:rsidRDefault="00F337F8" w:rsidP="00AB5B80">
      <w:pPr>
        <w:pStyle w:val="Heading3"/>
        <w:rPr>
          <w:sz w:val="20"/>
          <w:szCs w:val="20"/>
        </w:rPr>
      </w:pPr>
      <w:bookmarkStart w:id="110" w:name="_Toc131159762"/>
      <w:bookmarkStart w:id="111" w:name="_Toc225877676"/>
      <w:r>
        <w:t>Process for Gaining Informed Consent</w:t>
      </w:r>
      <w:bookmarkEnd w:id="110"/>
      <w:bookmarkEnd w:id="111"/>
      <w:r w:rsidR="00146B82">
        <w:br/>
      </w:r>
    </w:p>
    <w:tbl>
      <w:tblPr>
        <w:tblStyle w:val="TableGrid12"/>
        <w:tblW w:w="9344" w:type="dxa"/>
        <w:tblLayout w:type="fixed"/>
        <w:tblLook w:val="0000" w:firstRow="0" w:lastRow="0" w:firstColumn="0" w:lastColumn="0" w:noHBand="0" w:noVBand="0"/>
      </w:tblPr>
      <w:tblGrid>
        <w:gridCol w:w="6472"/>
        <w:gridCol w:w="2872"/>
      </w:tblGrid>
      <w:tr w:rsidR="00F337F8" w:rsidRPr="001E7251" w:rsidDel="00476434" w14:paraId="257D0EBC" w14:textId="77777777" w:rsidTr="00C8246A">
        <w:trPr>
          <w:trHeight w:val="2880"/>
        </w:trPr>
        <w:tc>
          <w:tcPr>
            <w:tcW w:w="0" w:type="dxa"/>
            <w:tcBorders>
              <w:bottom w:val="single" w:sz="4" w:space="0" w:color="auto"/>
            </w:tcBorders>
            <w:vAlign w:val="center"/>
          </w:tcPr>
          <w:p w14:paraId="40CB03F9" w14:textId="493A3E9B" w:rsidR="00B20633" w:rsidRPr="00D9521B" w:rsidRDefault="00F337F8" w:rsidP="00AD309C">
            <w:pPr>
              <w:pStyle w:val="ListParagraph"/>
              <w:numPr>
                <w:ilvl w:val="0"/>
                <w:numId w:val="164"/>
              </w:numPr>
            </w:pPr>
            <w:r>
              <w:t>P</w:t>
            </w:r>
            <w:r w:rsidRPr="00BA4D7B">
              <w:t xml:space="preserve">rior </w:t>
            </w:r>
            <w:r w:rsidR="00B20633">
              <w:t>to the informed consent discussion, does your hospital:</w:t>
            </w:r>
          </w:p>
          <w:p w14:paraId="47644411" w14:textId="4C65B520" w:rsidR="00B20633" w:rsidRDefault="002138EB" w:rsidP="00AD309C">
            <w:pPr>
              <w:pStyle w:val="ListParagraph"/>
              <w:numPr>
                <w:ilvl w:val="0"/>
                <w:numId w:val="179"/>
              </w:numPr>
            </w:pPr>
            <w:r>
              <w:t>a</w:t>
            </w:r>
            <w:r w:rsidR="00B20633">
              <w:t>sk what the patient/legal guardian’s preferred language for medical decision-making is</w:t>
            </w:r>
            <w:r w:rsidR="00691EFF">
              <w:t>;</w:t>
            </w:r>
          </w:p>
          <w:p w14:paraId="6C942D7E" w14:textId="7C9AE15F" w:rsidR="00B20633" w:rsidRDefault="002138EB" w:rsidP="00AD309C">
            <w:pPr>
              <w:pStyle w:val="ListParagraph"/>
              <w:numPr>
                <w:ilvl w:val="0"/>
                <w:numId w:val="179"/>
              </w:numPr>
            </w:pPr>
            <w:r>
              <w:t>w</w:t>
            </w:r>
            <w:r w:rsidR="00B20633">
              <w:t xml:space="preserve">here needed, provide the patient/legal guardian access to a </w:t>
            </w:r>
            <w:hyperlink w:anchor="ICInterpreter" w:history="1">
              <w:r w:rsidR="00B20633" w:rsidRPr="00B8601F">
                <w:rPr>
                  <w:rStyle w:val="Hyperlink"/>
                </w:rPr>
                <w:t>qualified medical interpreter</w:t>
              </w:r>
            </w:hyperlink>
            <w:r w:rsidR="00B20633">
              <w:t>,</w:t>
            </w:r>
            <w:r w:rsidR="00C62199">
              <w:t xml:space="preserve"> </w:t>
            </w:r>
            <w:r w:rsidR="00C62199" w:rsidRPr="00D36222">
              <w:rPr>
                <w:b/>
                <w:bCs/>
              </w:rPr>
              <w:t>NOT a family</w:t>
            </w:r>
            <w:r w:rsidR="002E7D6B">
              <w:rPr>
                <w:b/>
                <w:bCs/>
              </w:rPr>
              <w:t xml:space="preserve"> </w:t>
            </w:r>
            <w:r w:rsidR="00C62199" w:rsidRPr="00D36222">
              <w:rPr>
                <w:b/>
                <w:bCs/>
              </w:rPr>
              <w:t>caregiver</w:t>
            </w:r>
            <w:r w:rsidR="00691EFF" w:rsidRPr="00D36222">
              <w:rPr>
                <w:b/>
                <w:bCs/>
              </w:rPr>
              <w:t>;</w:t>
            </w:r>
          </w:p>
          <w:p w14:paraId="0BA23B81" w14:textId="74E26650" w:rsidR="00B20633" w:rsidRDefault="002138EB" w:rsidP="00AD309C">
            <w:pPr>
              <w:pStyle w:val="ListParagraph"/>
              <w:numPr>
                <w:ilvl w:val="0"/>
                <w:numId w:val="179"/>
              </w:numPr>
            </w:pPr>
            <w:r>
              <w:t>u</w:t>
            </w:r>
            <w:r w:rsidR="00B20633">
              <w:t xml:space="preserve">se a consent form </w:t>
            </w:r>
            <w:r w:rsidR="00BB35EC">
              <w:t xml:space="preserve">or notation in the medical record </w:t>
            </w:r>
            <w:r w:rsidR="00E20927">
              <w:t xml:space="preserve">to </w:t>
            </w:r>
            <w:r w:rsidR="00530C34">
              <w:t>document</w:t>
            </w:r>
            <w:r w:rsidR="00E20927">
              <w:t xml:space="preserve"> </w:t>
            </w:r>
            <w:r w:rsidR="00B20633">
              <w:t>whether a qualified medical interpreter was used to conduct the informed consent process</w:t>
            </w:r>
            <w:r w:rsidR="00691EFF">
              <w:t>;</w:t>
            </w:r>
            <w:r w:rsidR="00B20633">
              <w:t xml:space="preserve"> </w:t>
            </w:r>
            <w:r w:rsidR="00E20927">
              <w:t>and</w:t>
            </w:r>
          </w:p>
          <w:p w14:paraId="24773839" w14:textId="4C73B7C1" w:rsidR="00F337F8" w:rsidRPr="007121EC" w:rsidRDefault="00915720" w:rsidP="00AD309C">
            <w:pPr>
              <w:pStyle w:val="ListParagraph"/>
              <w:numPr>
                <w:ilvl w:val="0"/>
                <w:numId w:val="179"/>
              </w:numPr>
            </w:pPr>
            <w:r>
              <w:t>h</w:t>
            </w:r>
            <w:r w:rsidR="00B20633">
              <w:t>ave the medical interpreter sign the consent form</w:t>
            </w:r>
            <w:r w:rsidR="00462638">
              <w:t xml:space="preserve"> (either in-person, electronically, or </w:t>
            </w:r>
            <w:r>
              <w:t xml:space="preserve">by </w:t>
            </w:r>
            <w:r w:rsidR="001E1ADF">
              <w:t>documenting the use of an interpreter</w:t>
            </w:r>
            <w:r w:rsidR="00462638">
              <w:t xml:space="preserve"> in the medical record)?</w:t>
            </w:r>
          </w:p>
        </w:tc>
        <w:tc>
          <w:tcPr>
            <w:tcW w:w="0" w:type="dxa"/>
            <w:vAlign w:val="center"/>
          </w:tcPr>
          <w:p w14:paraId="0CB4B9DA" w14:textId="77777777" w:rsidR="00F337F8" w:rsidRPr="00C8246A" w:rsidRDefault="00F337F8" w:rsidP="00AD309C">
            <w:pPr>
              <w:pStyle w:val="ListParagraph"/>
              <w:numPr>
                <w:ilvl w:val="0"/>
                <w:numId w:val="362"/>
              </w:numPr>
              <w:rPr>
                <w:bCs/>
              </w:rPr>
            </w:pPr>
            <w:r w:rsidRPr="00C8246A">
              <w:rPr>
                <w:bCs/>
              </w:rPr>
              <w:t>Yes</w:t>
            </w:r>
          </w:p>
          <w:p w14:paraId="0C4A9D31" w14:textId="77777777" w:rsidR="00F337F8" w:rsidRPr="00C8246A" w:rsidDel="00476434" w:rsidRDefault="00F337F8" w:rsidP="00AD309C">
            <w:pPr>
              <w:pStyle w:val="ListParagraph"/>
              <w:numPr>
                <w:ilvl w:val="0"/>
                <w:numId w:val="362"/>
              </w:numPr>
              <w:rPr>
                <w:bCs/>
              </w:rPr>
            </w:pPr>
            <w:r w:rsidRPr="00C8246A">
              <w:rPr>
                <w:bCs/>
              </w:rPr>
              <w:t>No</w:t>
            </w:r>
          </w:p>
        </w:tc>
      </w:tr>
      <w:tr w:rsidR="00F337F8" w14:paraId="73B6358A" w14:textId="77777777" w:rsidTr="00A73F6A">
        <w:trPr>
          <w:trHeight w:val="1296"/>
        </w:trPr>
        <w:tc>
          <w:tcPr>
            <w:tcW w:w="6472" w:type="dxa"/>
            <w:tcBorders>
              <w:top w:val="single" w:sz="4" w:space="0" w:color="auto"/>
              <w:left w:val="single" w:sz="4" w:space="0" w:color="auto"/>
              <w:bottom w:val="single" w:sz="4" w:space="0" w:color="auto"/>
              <w:right w:val="single" w:sz="4" w:space="0" w:color="auto"/>
            </w:tcBorders>
            <w:vAlign w:val="center"/>
          </w:tcPr>
          <w:p w14:paraId="25A50030" w14:textId="090651C0" w:rsidR="00F337F8" w:rsidRPr="00146B82" w:rsidRDefault="00DB1D06" w:rsidP="00AD309C">
            <w:pPr>
              <w:pStyle w:val="ListParagraph"/>
              <w:numPr>
                <w:ilvl w:val="0"/>
                <w:numId w:val="164"/>
              </w:numPr>
              <w:rPr>
                <w:sz w:val="16"/>
              </w:rPr>
            </w:pPr>
            <w:r>
              <w:t>As part of the informed consent discussion</w:t>
            </w:r>
            <w:r w:rsidRPr="00E871E3">
              <w:t xml:space="preserve">, </w:t>
            </w:r>
            <w:r w:rsidR="0071374B">
              <w:t>do clinicians at your hospital</w:t>
            </w:r>
            <w:r w:rsidR="0071374B" w:rsidRPr="00E871E3">
              <w:t xml:space="preserve"> use the “teach back method” with patients</w:t>
            </w:r>
            <w:r w:rsidR="0071374B">
              <w:t>/legal guardians</w:t>
            </w:r>
            <w:r w:rsidR="00E64EDB">
              <w:t xml:space="preserve"> </w:t>
            </w:r>
            <w:r w:rsidR="0071374B" w:rsidRPr="00E871E3">
              <w:t xml:space="preserve">where </w:t>
            </w:r>
            <w:r w:rsidR="0071374B">
              <w:t>patients/legal guardians are asked to</w:t>
            </w:r>
            <w:r w:rsidR="0071374B" w:rsidRPr="00E871E3">
              <w:t xml:space="preserve"> </w:t>
            </w:r>
            <w:r>
              <w:t>describe</w:t>
            </w:r>
            <w:r w:rsidR="00E64EDB">
              <w:t xml:space="preserve"> </w:t>
            </w:r>
            <w:r w:rsidR="0071374B" w:rsidRPr="00E871E3">
              <w:t>in their own words</w:t>
            </w:r>
            <w:r w:rsidR="00355191">
              <w:t xml:space="preserve"> </w:t>
            </w:r>
            <w:r w:rsidR="0071374B" w:rsidRPr="00E871E3">
              <w:t>what they understand</w:t>
            </w:r>
            <w:r w:rsidR="0071374B">
              <w:t xml:space="preserve"> </w:t>
            </w:r>
            <w:r w:rsidR="0071374B" w:rsidRPr="00E871E3">
              <w:t xml:space="preserve">will be </w:t>
            </w:r>
            <w:r w:rsidR="00462638">
              <w:t>performed</w:t>
            </w:r>
            <w:r w:rsidR="0071374B" w:rsidRPr="00E871E3">
              <w:t xml:space="preserve">, why it will be </w:t>
            </w:r>
            <w:r w:rsidR="00462638">
              <w:t>performed</w:t>
            </w:r>
            <w:r w:rsidR="0071374B" w:rsidRPr="00E871E3">
              <w:t>, and what are the primary risks</w:t>
            </w:r>
            <w:r w:rsidR="0071374B">
              <w:t>?</w:t>
            </w:r>
          </w:p>
        </w:tc>
        <w:tc>
          <w:tcPr>
            <w:tcW w:w="2872" w:type="dxa"/>
            <w:tcBorders>
              <w:left w:val="single" w:sz="4" w:space="0" w:color="auto"/>
            </w:tcBorders>
            <w:vAlign w:val="center"/>
          </w:tcPr>
          <w:p w14:paraId="460507E8" w14:textId="77777777" w:rsidR="00F337F8" w:rsidRPr="00C8246A" w:rsidRDefault="00F337F8" w:rsidP="00AD309C">
            <w:pPr>
              <w:pStyle w:val="ListParagraph"/>
              <w:numPr>
                <w:ilvl w:val="0"/>
                <w:numId w:val="362"/>
              </w:numPr>
              <w:rPr>
                <w:bCs/>
              </w:rPr>
            </w:pPr>
            <w:r w:rsidRPr="00C8246A">
              <w:rPr>
                <w:bCs/>
              </w:rPr>
              <w:t>Yes</w:t>
            </w:r>
          </w:p>
          <w:p w14:paraId="4A0D1A49" w14:textId="77777777" w:rsidR="00F337F8" w:rsidRPr="00C8246A" w:rsidRDefault="00F337F8" w:rsidP="00AD309C">
            <w:pPr>
              <w:pStyle w:val="ListParagraph"/>
              <w:numPr>
                <w:ilvl w:val="0"/>
                <w:numId w:val="362"/>
              </w:numPr>
              <w:rPr>
                <w:bCs/>
              </w:rPr>
            </w:pPr>
            <w:r w:rsidRPr="00C8246A">
              <w:rPr>
                <w:bCs/>
              </w:rPr>
              <w:t>No</w:t>
            </w:r>
          </w:p>
        </w:tc>
      </w:tr>
    </w:tbl>
    <w:p w14:paraId="2C59CC6A" w14:textId="54AAF910" w:rsidR="00E85725" w:rsidRPr="009A5185" w:rsidRDefault="00E85725">
      <w:pPr>
        <w:rPr>
          <w:rFonts w:cs="Arial"/>
          <w:b/>
          <w:snapToGrid w:val="0"/>
          <w:color w:val="000000"/>
        </w:rPr>
      </w:pPr>
    </w:p>
    <w:p w14:paraId="3451A00B" w14:textId="77777777" w:rsidR="00C62199" w:rsidRDefault="00C62199">
      <w:pPr>
        <w:rPr>
          <w:rFonts w:cs="Arial"/>
          <w:b/>
          <w:snapToGrid w:val="0"/>
          <w:color w:val="000000"/>
        </w:rPr>
      </w:pPr>
      <w:r>
        <w:rPr>
          <w:rFonts w:cs="Arial"/>
          <w:b/>
          <w:snapToGrid w:val="0"/>
          <w:color w:val="000000"/>
        </w:rPr>
        <w:br w:type="page"/>
      </w:r>
    </w:p>
    <w:p w14:paraId="0ABA654C" w14:textId="09EBC0D7" w:rsidR="00B17795" w:rsidRPr="009A5185" w:rsidRDefault="00B17795" w:rsidP="00B17795">
      <w:pPr>
        <w:rPr>
          <w:rFonts w:cs="Arial"/>
          <w:b/>
          <w:snapToGrid w:val="0"/>
          <w:color w:val="000000"/>
        </w:rPr>
      </w:pPr>
      <w:r w:rsidRPr="009A5185">
        <w:rPr>
          <w:rFonts w:cs="Arial"/>
          <w:b/>
          <w:snapToGrid w:val="0"/>
          <w:color w:val="000000"/>
        </w:rPr>
        <w:lastRenderedPageBreak/>
        <w:t>Affirmation of Accuracy</w:t>
      </w:r>
    </w:p>
    <w:p w14:paraId="2BCCC3BE" w14:textId="77777777" w:rsidR="00B17795" w:rsidRPr="009A5185" w:rsidRDefault="00B17795" w:rsidP="00B17795">
      <w:pPr>
        <w:rPr>
          <w:rFonts w:cs="Arial"/>
          <w:snapToGrid w:val="0"/>
          <w:color w:val="000000"/>
        </w:rPr>
      </w:pPr>
    </w:p>
    <w:p w14:paraId="697E0D2A" w14:textId="5DE1F2BE" w:rsidR="00B17795" w:rsidRPr="009A5185" w:rsidRDefault="00B17795" w:rsidP="00B17795">
      <w:pPr>
        <w:rPr>
          <w:rFonts w:cs="Arial"/>
          <w:color w:val="000000"/>
        </w:rPr>
      </w:pPr>
      <w:r w:rsidRPr="009A5185">
        <w:rPr>
          <w:rFonts w:cs="Arial"/>
          <w:color w:val="000000"/>
        </w:rPr>
        <w:t xml:space="preserve">As the hospital CEO or as an employee of the hospital to whom the hospital CEO has delegated responsibility, </w:t>
      </w:r>
      <w:r w:rsidR="00327E8E" w:rsidRPr="009A5185">
        <w:rPr>
          <w:rFonts w:cs="Arial"/>
          <w:color w:val="000000"/>
        </w:rPr>
        <w:t>I have reviewed this information</w:t>
      </w:r>
      <w:r w:rsidRPr="009A5185">
        <w:rPr>
          <w:rFonts w:cs="Arial"/>
          <w:color w:val="000000"/>
        </w:rPr>
        <w:t xml:space="preserve"> </w:t>
      </w:r>
      <w:r w:rsidR="004423A7" w:rsidRPr="009A5185">
        <w:rPr>
          <w:rFonts w:cs="Arial"/>
          <w:color w:val="000000"/>
        </w:rPr>
        <w:t xml:space="preserve">pertaining to the </w:t>
      </w:r>
      <w:r w:rsidR="00AB508D">
        <w:rPr>
          <w:rFonts w:cs="Arial"/>
          <w:snapToGrid w:val="0"/>
        </w:rPr>
        <w:t xml:space="preserve">Patient Rights and Ethics </w:t>
      </w:r>
      <w:r w:rsidR="004423A7" w:rsidRPr="009A5185">
        <w:rPr>
          <w:rFonts w:cs="Arial"/>
          <w:color w:val="000000"/>
        </w:rPr>
        <w:t>Section</w:t>
      </w:r>
      <w:r w:rsidRPr="009A5185">
        <w:rPr>
          <w:rFonts w:cs="Arial"/>
          <w:color w:val="000000"/>
        </w:rPr>
        <w:t xml:space="preserve"> at our hospital, and I here</w:t>
      </w:r>
      <w:r w:rsidR="00327E8E" w:rsidRPr="009A5185">
        <w:rPr>
          <w:rFonts w:cs="Arial"/>
          <w:color w:val="000000"/>
        </w:rPr>
        <w:t xml:space="preserve">by </w:t>
      </w:r>
      <w:r w:rsidR="00A612ED">
        <w:rPr>
          <w:rFonts w:cs="Arial"/>
          <w:color w:val="000000"/>
        </w:rPr>
        <w:t>affirm</w:t>
      </w:r>
      <w:r w:rsidR="00327E8E" w:rsidRPr="009A5185">
        <w:rPr>
          <w:rFonts w:cs="Arial"/>
          <w:color w:val="000000"/>
        </w:rPr>
        <w:t xml:space="preserve"> that this information is</w:t>
      </w:r>
      <w:r w:rsidRPr="009A5185">
        <w:rPr>
          <w:rFonts w:cs="Arial"/>
          <w:color w:val="000000"/>
        </w:rPr>
        <w:t xml:space="preserve"> true, accurate, and reflect</w:t>
      </w:r>
      <w:r w:rsidR="00AE16B9" w:rsidRPr="009A5185">
        <w:rPr>
          <w:rFonts w:cs="Arial"/>
          <w:color w:val="000000"/>
        </w:rPr>
        <w:t>s</w:t>
      </w:r>
      <w:r w:rsidRPr="009A5185">
        <w:rPr>
          <w:rFonts w:cs="Arial"/>
          <w:color w:val="000000"/>
        </w:rPr>
        <w:t xml:space="preserve"> the current, normal operating circumstances at our hospital. I am authorized to make this </w:t>
      </w:r>
      <w:r w:rsidR="00A612ED">
        <w:rPr>
          <w:rFonts w:cs="Arial"/>
          <w:color w:val="000000"/>
        </w:rPr>
        <w:t>affirmation</w:t>
      </w:r>
      <w:r w:rsidRPr="009A5185">
        <w:rPr>
          <w:rFonts w:cs="Arial"/>
          <w:color w:val="000000"/>
        </w:rPr>
        <w:t xml:space="preserve"> on behalf of our hospital. </w:t>
      </w:r>
    </w:p>
    <w:p w14:paraId="23CBE67E" w14:textId="77777777" w:rsidR="00B17795" w:rsidRPr="009A5185" w:rsidRDefault="00B17795" w:rsidP="00B17795">
      <w:pPr>
        <w:rPr>
          <w:rFonts w:cs="Arial"/>
          <w:color w:val="000000"/>
        </w:rPr>
      </w:pPr>
    </w:p>
    <w:p w14:paraId="2809EF6E" w14:textId="77777777" w:rsidR="00607094" w:rsidRPr="009A5185" w:rsidRDefault="00607094" w:rsidP="00607094">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6453B741" w14:textId="77777777" w:rsidR="00B17795" w:rsidRPr="009A5185" w:rsidRDefault="00B17795" w:rsidP="00B17795">
      <w:pPr>
        <w:rPr>
          <w:rFonts w:cs="Arial"/>
          <w:snapToGrid w:val="0"/>
          <w:color w:val="000000"/>
        </w:rPr>
      </w:pPr>
    </w:p>
    <w:p w14:paraId="7AAA30CC" w14:textId="77777777" w:rsidR="00B17795" w:rsidRPr="009A5185" w:rsidRDefault="00B17795" w:rsidP="00B17795">
      <w:pPr>
        <w:rPr>
          <w:rFonts w:cs="Arial"/>
          <w:snapToGrid w:val="0"/>
          <w:color w:val="000000"/>
        </w:rPr>
      </w:pPr>
    </w:p>
    <w:p w14:paraId="6E1EE96F" w14:textId="77777777" w:rsidR="00B17795" w:rsidRPr="009A5185" w:rsidRDefault="00B17795" w:rsidP="00B17795">
      <w:pPr>
        <w:spacing w:line="240" w:lineRule="exact"/>
        <w:rPr>
          <w:rFonts w:cs="Arial"/>
          <w:snapToGrid w:val="0"/>
          <w:color w:val="000000"/>
        </w:rPr>
      </w:pPr>
      <w:r w:rsidRPr="009A5185">
        <w:rPr>
          <w:rFonts w:cs="Arial"/>
          <w:snapToGrid w:val="0"/>
          <w:color w:val="000000"/>
        </w:rPr>
        <w:t>Affirmed by _____________________, the hospital’s ___________________________,</w:t>
      </w:r>
    </w:p>
    <w:p w14:paraId="32EE33BF" w14:textId="77777777" w:rsidR="00B17795" w:rsidRPr="009A5185" w:rsidRDefault="00B17795" w:rsidP="00B17795">
      <w:pPr>
        <w:pStyle w:val="BodyText2"/>
        <w:spacing w:line="240" w:lineRule="exact"/>
        <w:rPr>
          <w:rFonts w:cs="Arial"/>
        </w:rPr>
      </w:pPr>
      <w:r w:rsidRPr="009A5185">
        <w:rPr>
          <w:rFonts w:cs="Arial"/>
        </w:rPr>
        <w:tab/>
        <w:t xml:space="preserve"> </w:t>
      </w:r>
      <w:r w:rsidR="00572320">
        <w:rPr>
          <w:rFonts w:cs="Arial"/>
        </w:rPr>
        <w:t xml:space="preserve">    </w:t>
      </w:r>
      <w:r w:rsidRPr="009A5185">
        <w:rPr>
          <w:rFonts w:cs="Arial"/>
        </w:rPr>
        <w:t>(</w:t>
      </w:r>
      <w:r w:rsidR="00572320">
        <w:rPr>
          <w:rFonts w:cs="Arial"/>
        </w:rPr>
        <w:t xml:space="preserve">first </w:t>
      </w:r>
      <w:r w:rsidRPr="009A5185">
        <w:rPr>
          <w:rFonts w:cs="Arial"/>
        </w:rPr>
        <w:t>name</w:t>
      </w:r>
      <w:r w:rsidR="00572320">
        <w:rPr>
          <w:rFonts w:cs="Arial"/>
        </w:rPr>
        <w:t xml:space="preserve"> and last name)</w:t>
      </w:r>
      <w:r w:rsidR="00572320">
        <w:rPr>
          <w:rFonts w:cs="Arial"/>
        </w:rPr>
        <w:tab/>
      </w:r>
      <w:r w:rsidR="00572320">
        <w:rPr>
          <w:rFonts w:cs="Arial"/>
        </w:rPr>
        <w:tab/>
      </w:r>
      <w:r w:rsidR="00572320">
        <w:rPr>
          <w:rFonts w:cs="Arial"/>
        </w:rPr>
        <w:tab/>
      </w:r>
      <w:r w:rsidR="00572320">
        <w:rPr>
          <w:rFonts w:cs="Arial"/>
        </w:rPr>
        <w:tab/>
      </w:r>
      <w:r w:rsidRPr="009A5185">
        <w:rPr>
          <w:rFonts w:cs="Arial"/>
        </w:rPr>
        <w:t>(title)</w:t>
      </w:r>
    </w:p>
    <w:p w14:paraId="7743F9EE" w14:textId="77777777" w:rsidR="00B17795" w:rsidRPr="009A5185" w:rsidRDefault="00B17795" w:rsidP="00B17795">
      <w:pPr>
        <w:spacing w:line="240" w:lineRule="exact"/>
        <w:rPr>
          <w:rFonts w:cs="Arial"/>
          <w:snapToGrid w:val="0"/>
        </w:rPr>
      </w:pPr>
      <w:r w:rsidRPr="009A5185">
        <w:rPr>
          <w:rFonts w:cs="Arial"/>
          <w:snapToGrid w:val="0"/>
        </w:rPr>
        <w:t>on _______________________.</w:t>
      </w:r>
    </w:p>
    <w:p w14:paraId="05D80D9C" w14:textId="77777777" w:rsidR="00B17795" w:rsidRPr="009A5185" w:rsidRDefault="00B17795" w:rsidP="00B17795">
      <w:pPr>
        <w:spacing w:line="240" w:lineRule="exact"/>
        <w:rPr>
          <w:rFonts w:cs="Arial"/>
          <w:i/>
        </w:rPr>
      </w:pPr>
      <w:r w:rsidRPr="009A5185">
        <w:rPr>
          <w:rFonts w:cs="Arial"/>
          <w:i/>
        </w:rPr>
        <w:t xml:space="preserve">                    (date)</w:t>
      </w:r>
    </w:p>
    <w:p w14:paraId="4C8ECDBF" w14:textId="77777777" w:rsidR="00950575" w:rsidRPr="009A5185" w:rsidRDefault="00950575" w:rsidP="00EB41AD">
      <w:pPr>
        <w:rPr>
          <w:rFonts w:cs="Arial"/>
          <w:lang w:eastAsia="ja-JP"/>
        </w:rPr>
      </w:pPr>
    </w:p>
    <w:p w14:paraId="1D77FB72" w14:textId="77777777" w:rsidR="00A437A9" w:rsidRPr="009A5185" w:rsidRDefault="00A437A9" w:rsidP="00EB41AD">
      <w:pPr>
        <w:rPr>
          <w:rFonts w:cs="Arial"/>
          <w:lang w:eastAsia="ja-JP"/>
        </w:rPr>
      </w:pPr>
    </w:p>
    <w:p w14:paraId="1EF5FCD6" w14:textId="77777777" w:rsidR="005D7A3B" w:rsidRPr="009A5185" w:rsidRDefault="005D7A3B" w:rsidP="00EB41AD">
      <w:pPr>
        <w:rPr>
          <w:rFonts w:cs="Arial"/>
          <w:lang w:eastAsia="ja-JP"/>
        </w:rPr>
      </w:pPr>
    </w:p>
    <w:p w14:paraId="5DF16EF7" w14:textId="77777777" w:rsidR="00853157" w:rsidRPr="009A5185" w:rsidRDefault="00853157">
      <w:pPr>
        <w:rPr>
          <w:rFonts w:cs="Arial"/>
          <w:b/>
          <w:sz w:val="24"/>
          <w:lang w:eastAsia="ja-JP"/>
        </w:rPr>
      </w:pPr>
      <w:r w:rsidRPr="009A5185">
        <w:rPr>
          <w:rFonts w:cs="Arial"/>
          <w:lang w:eastAsia="ja-JP"/>
        </w:rPr>
        <w:br w:type="page"/>
      </w:r>
    </w:p>
    <w:p w14:paraId="123ACFAD" w14:textId="063090B2" w:rsidR="0060690C" w:rsidRPr="009A5185" w:rsidRDefault="0060690C" w:rsidP="00CF5A6E">
      <w:pPr>
        <w:pStyle w:val="Heading2"/>
      </w:pPr>
      <w:bookmarkStart w:id="112" w:name="_Toc225877677"/>
      <w:r w:rsidRPr="009A5185">
        <w:lastRenderedPageBreak/>
        <w:t xml:space="preserve">Section 1: </w:t>
      </w:r>
      <w:r w:rsidR="00AB508D">
        <w:rPr>
          <w:rFonts w:cs="Arial"/>
        </w:rPr>
        <w:t xml:space="preserve">Patient Rights and Ethics </w:t>
      </w:r>
      <w:r w:rsidRPr="009A5185">
        <w:t>Reference Information</w:t>
      </w:r>
      <w:bookmarkEnd w:id="112"/>
    </w:p>
    <w:p w14:paraId="753DE06F" w14:textId="77777777" w:rsidR="0060690C" w:rsidRPr="009A5185" w:rsidRDefault="0060690C" w:rsidP="00EB41AD">
      <w:pPr>
        <w:rPr>
          <w:rFonts w:cs="Arial"/>
          <w:lang w:eastAsia="ja-JP"/>
        </w:rPr>
      </w:pPr>
    </w:p>
    <w:p w14:paraId="61D7F231" w14:textId="133B49C9" w:rsidR="00B441E9" w:rsidRPr="009A5185" w:rsidRDefault="00B441E9" w:rsidP="00AB5B80">
      <w:pPr>
        <w:pStyle w:val="Heading3"/>
      </w:pPr>
      <w:bookmarkStart w:id="113" w:name="_Toc225877678"/>
      <w:r w:rsidRPr="009A5185">
        <w:t xml:space="preserve">What’s New in the </w:t>
      </w:r>
      <w:r w:rsidR="00A236B1">
        <w:t>202</w:t>
      </w:r>
      <w:r w:rsidR="002B59CE">
        <w:t>6</w:t>
      </w:r>
      <w:r w:rsidR="00CE3643" w:rsidRPr="009A5185">
        <w:t xml:space="preserve"> </w:t>
      </w:r>
      <w:r w:rsidRPr="009A5185">
        <w:t>Survey</w:t>
      </w:r>
      <w:bookmarkEnd w:id="73"/>
      <w:bookmarkEnd w:id="113"/>
    </w:p>
    <w:p w14:paraId="6EAAE3B7" w14:textId="3F626C3D" w:rsidR="00F00B55" w:rsidRDefault="00F00B55" w:rsidP="00180B6A">
      <w:pPr>
        <w:pStyle w:val="Style1"/>
      </w:pPr>
    </w:p>
    <w:p w14:paraId="53B6370F" w14:textId="77777777" w:rsidR="009C0BC4" w:rsidRDefault="001B5B40" w:rsidP="004D1420">
      <w:pPr>
        <w:pStyle w:val="Heading44"/>
      </w:pPr>
      <w:bookmarkStart w:id="114" w:name="_Hlk147491723"/>
      <w:r>
        <w:t xml:space="preserve">Section 1A: Basic Hospital Information </w:t>
      </w:r>
    </w:p>
    <w:p w14:paraId="788DCE0B" w14:textId="2D201477" w:rsidR="009C0BC4" w:rsidRPr="00C238DA" w:rsidRDefault="009C0BC4" w:rsidP="009C0BC4">
      <w:r w:rsidRPr="00C238DA">
        <w:t xml:space="preserve">Leapfrog </w:t>
      </w:r>
      <w:r w:rsidR="009B283B">
        <w:t>is updating and adding</w:t>
      </w:r>
      <w:r w:rsidRPr="00C238DA">
        <w:t xml:space="preserve"> two new questions in Section 1A: Basic Hospital Information asking hospitals to report on adult and pediatric licensed and staffed ICU beds separately. The purpose of these adjusted questions is to identify hospitals that are eligible to report on adult and/or pediatric ICU Physician Staffing in Section 5A: Adult ICU Physician Staffing and Section 5B: Pediatric ICU Physician Staffing.</w:t>
      </w:r>
    </w:p>
    <w:p w14:paraId="73266C3C" w14:textId="77777777" w:rsidR="009C0BC4" w:rsidRPr="00C238DA" w:rsidRDefault="009C0BC4" w:rsidP="009C0BC4"/>
    <w:p w14:paraId="113A5D06" w14:textId="62A727DA" w:rsidR="009C0BC4" w:rsidRDefault="00A40F9E" w:rsidP="009C0BC4">
      <w:r w:rsidRPr="00A40F9E">
        <w:t>Leapfrog is also updating the questions regarding the operations of and admissions to neonatal ICUs to clarify that only level II/III, level III, and level IV neonatal ICUs should be included in responses. This was previously clarified in the associated endnotes and does not reflect a change in how hospitals should report on these questions.</w:t>
      </w:r>
    </w:p>
    <w:p w14:paraId="5204337B" w14:textId="77777777" w:rsidR="00A40F9E" w:rsidRPr="00C238DA" w:rsidRDefault="00A40F9E" w:rsidP="009C0BC4"/>
    <w:p w14:paraId="7C5E078F" w14:textId="0907113A" w:rsidR="00A40F9E" w:rsidRPr="00C238DA" w:rsidRDefault="00A40F9E" w:rsidP="009C0BC4">
      <w:r w:rsidRPr="00A40F9E">
        <w:t>In addition, Leapfrog is removing question #18 which asks if hospitals have a protocol to follow up on patient</w:t>
      </w:r>
      <w:r>
        <w:t xml:space="preserve"> </w:t>
      </w:r>
      <w:r w:rsidRPr="00A40F9E">
        <w:t>reported concerns, as performance has improved over time, with more than 99% of hospitals responding “yes” in 2025</w:t>
      </w:r>
      <w:r>
        <w:t>.</w:t>
      </w:r>
    </w:p>
    <w:p w14:paraId="012ABB09" w14:textId="77777777" w:rsidR="00536011" w:rsidRDefault="00536011" w:rsidP="009C0BC4">
      <w:pPr>
        <w:pStyle w:val="Heading44"/>
        <w:rPr>
          <w:b w:val="0"/>
          <w:bCs/>
          <w:sz w:val="20"/>
        </w:rPr>
      </w:pPr>
    </w:p>
    <w:p w14:paraId="1A3547AA" w14:textId="77777777" w:rsidR="00536011" w:rsidRDefault="00536011" w:rsidP="009C0BC4">
      <w:pPr>
        <w:pStyle w:val="Heading44"/>
        <w:rPr>
          <w:b w:val="0"/>
          <w:bCs/>
          <w:sz w:val="20"/>
        </w:rPr>
      </w:pPr>
      <w:r w:rsidRPr="00536011">
        <w:rPr>
          <w:b w:val="0"/>
          <w:bCs/>
          <w:sz w:val="20"/>
        </w:rPr>
        <w:t xml:space="preserve">Finally, Leapfrog is persuaded by evidence that attainment of certifications related to improving quality and patient safety can lead to improved patient outcomes. Given the compelling public comments, it is clear that a number of such certifications are available to professionals, and more work is needed to study the evidence on impact to patient care. As a result, Leapfrog will form an advisory committee to explore the evidence on quality and patient safety certifications and delay for one year planned fact-finding questions about the </w:t>
      </w:r>
      <w:hyperlink r:id="rId118" w:history="1">
        <w:r w:rsidR="009C0BC4" w:rsidRPr="00C238DA">
          <w:rPr>
            <w:rStyle w:val="Hyperlink"/>
            <w:b w:val="0"/>
            <w:bCs/>
            <w:sz w:val="20"/>
          </w:rPr>
          <w:t>National Association for Healthcare Quality’s (NAHQ) Certified Professional in Healthcare Quality (CPHQ)</w:t>
        </w:r>
      </w:hyperlink>
      <w:r w:rsidR="009C0BC4" w:rsidRPr="00C238DA">
        <w:rPr>
          <w:b w:val="0"/>
          <w:bCs/>
          <w:sz w:val="20"/>
        </w:rPr>
        <w:t xml:space="preserve"> certification</w:t>
      </w:r>
      <w:r>
        <w:rPr>
          <w:b w:val="0"/>
          <w:bCs/>
          <w:sz w:val="20"/>
        </w:rPr>
        <w:t>.</w:t>
      </w:r>
    </w:p>
    <w:p w14:paraId="6DD518D4" w14:textId="3D37CEDB" w:rsidR="001B5B40" w:rsidRPr="005F16BC" w:rsidRDefault="001B5B40" w:rsidP="009C0BC4">
      <w:pPr>
        <w:pStyle w:val="Heading44"/>
        <w:rPr>
          <w:b w:val="0"/>
          <w:bCs/>
          <w:sz w:val="20"/>
        </w:rPr>
      </w:pPr>
    </w:p>
    <w:bookmarkEnd w:id="114"/>
    <w:p w14:paraId="78F8FA62" w14:textId="0677995C" w:rsidR="004F2BE4" w:rsidRDefault="004F2BE4" w:rsidP="00BA2038">
      <w:pPr>
        <w:pStyle w:val="Heading44"/>
      </w:pPr>
      <w:r w:rsidRPr="00BA2038">
        <w:t>Section 1B: Billing Ethics</w:t>
      </w:r>
    </w:p>
    <w:p w14:paraId="3070D3FE" w14:textId="77777777" w:rsidR="00536011" w:rsidRDefault="00536011" w:rsidP="00200ED1">
      <w:pPr>
        <w:pStyle w:val="Heading44"/>
        <w:rPr>
          <w:b w:val="0"/>
          <w:bCs/>
          <w:sz w:val="20"/>
        </w:rPr>
      </w:pPr>
      <w:r w:rsidRPr="00536011">
        <w:rPr>
          <w:b w:val="0"/>
          <w:bCs/>
          <w:sz w:val="20"/>
        </w:rPr>
        <w:t xml:space="preserve">In response to feedback and responses from hospitals participating in the 2025 Leapfrog Hospital Survey, Leapfrog will make several updates to Section 1B: Billing Ethics. </w:t>
      </w:r>
    </w:p>
    <w:p w14:paraId="49393EC8" w14:textId="77777777" w:rsidR="00536011" w:rsidRDefault="00536011" w:rsidP="00200ED1">
      <w:pPr>
        <w:pStyle w:val="Heading44"/>
        <w:rPr>
          <w:b w:val="0"/>
          <w:bCs/>
          <w:sz w:val="20"/>
        </w:rPr>
      </w:pPr>
    </w:p>
    <w:p w14:paraId="6AD59166" w14:textId="73817A2E" w:rsidR="00200ED1" w:rsidRDefault="00536011" w:rsidP="00200ED1">
      <w:pPr>
        <w:pStyle w:val="Heading44"/>
        <w:rPr>
          <w:b w:val="0"/>
          <w:bCs/>
          <w:sz w:val="20"/>
        </w:rPr>
      </w:pPr>
      <w:r w:rsidRPr="00536011">
        <w:rPr>
          <w:b w:val="0"/>
          <w:bCs/>
          <w:sz w:val="20"/>
        </w:rPr>
        <w:t>First, Leapfrog is updating the response options in question #3, which asks if hospitals take legal action against patients for late or insufficient payments, to include an option for public hospitals that are required by state law to transfer unpaid medical bills to a state agency, similar to federal law requirements for Military Treatment Facilities. We anticipate that this updated response option will only apply to public hospitals in limited states (e.g., Illinois or New York). Leapfrog is also adding a FAQ with further information.</w:t>
      </w:r>
    </w:p>
    <w:p w14:paraId="0278D10D" w14:textId="77777777" w:rsidR="00274F9E" w:rsidRDefault="00274F9E" w:rsidP="00200ED1">
      <w:pPr>
        <w:pStyle w:val="Heading44"/>
        <w:rPr>
          <w:b w:val="0"/>
          <w:bCs/>
          <w:sz w:val="20"/>
        </w:rPr>
      </w:pPr>
    </w:p>
    <w:p w14:paraId="2F6D2F1B" w14:textId="0768D705" w:rsidR="00274F9E" w:rsidRDefault="00274F9E" w:rsidP="00200ED1">
      <w:pPr>
        <w:pStyle w:val="Heading44"/>
        <w:rPr>
          <w:b w:val="0"/>
          <w:bCs/>
          <w:sz w:val="20"/>
        </w:rPr>
      </w:pPr>
      <w:r w:rsidRPr="00274F9E">
        <w:rPr>
          <w:b w:val="0"/>
          <w:bCs/>
          <w:sz w:val="20"/>
        </w:rPr>
        <w:t xml:space="preserve">Hospitals eligible for this exception should maintain a copy of the state or federal legislation requiring the transfer of medical bills. As part of Leapfrog’s </w:t>
      </w:r>
      <w:hyperlink r:id="rId119" w:history="1">
        <w:r w:rsidRPr="00274F9E">
          <w:rPr>
            <w:rStyle w:val="Hyperlink"/>
            <w:b w:val="0"/>
            <w:bCs/>
            <w:sz w:val="20"/>
          </w:rPr>
          <w:t>Data Accuracy</w:t>
        </w:r>
      </w:hyperlink>
      <w:r w:rsidRPr="00274F9E">
        <w:rPr>
          <w:b w:val="0"/>
          <w:bCs/>
          <w:sz w:val="20"/>
        </w:rPr>
        <w:t xml:space="preserve"> protocol, hospitals may be randomly selected for Leapfrog’s monthly documentation requirement and will need to provide documentation supporting their Survey responses.</w:t>
      </w:r>
    </w:p>
    <w:p w14:paraId="0DC0D471" w14:textId="77777777" w:rsidR="00536011" w:rsidRDefault="00536011" w:rsidP="00200ED1">
      <w:pPr>
        <w:pStyle w:val="Heading44"/>
        <w:rPr>
          <w:b w:val="0"/>
          <w:bCs/>
          <w:sz w:val="20"/>
        </w:rPr>
      </w:pPr>
    </w:p>
    <w:p w14:paraId="1D4F9CE7" w14:textId="7835FD98" w:rsidR="00200ED1" w:rsidRDefault="00200ED1" w:rsidP="00200ED1">
      <w:pPr>
        <w:pStyle w:val="Heading44"/>
        <w:rPr>
          <w:b w:val="0"/>
          <w:bCs/>
          <w:sz w:val="20"/>
        </w:rPr>
      </w:pPr>
      <w:r w:rsidRPr="00200ED1">
        <w:rPr>
          <w:b w:val="0"/>
          <w:bCs/>
          <w:sz w:val="20"/>
        </w:rPr>
        <w:t xml:space="preserve">Second, we </w:t>
      </w:r>
      <w:r w:rsidR="00274F9E">
        <w:rPr>
          <w:b w:val="0"/>
          <w:bCs/>
          <w:sz w:val="20"/>
        </w:rPr>
        <w:t>are retaining</w:t>
      </w:r>
      <w:r w:rsidRPr="00200ED1">
        <w:rPr>
          <w:b w:val="0"/>
          <w:bCs/>
          <w:sz w:val="20"/>
        </w:rPr>
        <w:t xml:space="preserve"> the four fact-finding questions regarding presumptive eligibility and financial assistance programs for patients for another year with plans to incorporate them into the Billing Ethics Standard in 2027. These fact-finding questions will now be required but will not be used in scoring or public reporting in 2026. </w:t>
      </w:r>
    </w:p>
    <w:p w14:paraId="3488F3D5" w14:textId="77777777" w:rsidR="00401782" w:rsidRDefault="00401782" w:rsidP="00200ED1">
      <w:pPr>
        <w:pStyle w:val="Heading44"/>
        <w:rPr>
          <w:b w:val="0"/>
          <w:bCs/>
          <w:sz w:val="20"/>
        </w:rPr>
      </w:pPr>
    </w:p>
    <w:p w14:paraId="390C3573" w14:textId="699097D6" w:rsidR="00401782" w:rsidRDefault="00401782" w:rsidP="00200ED1">
      <w:pPr>
        <w:pStyle w:val="Heading44"/>
        <w:rPr>
          <w:b w:val="0"/>
          <w:bCs/>
          <w:sz w:val="20"/>
        </w:rPr>
      </w:pPr>
      <w:r w:rsidRPr="00401782">
        <w:rPr>
          <w:b w:val="0"/>
          <w:bCs/>
          <w:sz w:val="20"/>
        </w:rPr>
        <w:t>Finally, Leapfrog is adding two new FAQs to provide hospitals with additional clarification regarding screening methods and financial assistance application disclosures</w:t>
      </w:r>
      <w:r>
        <w:rPr>
          <w:b w:val="0"/>
          <w:bCs/>
          <w:sz w:val="20"/>
        </w:rPr>
        <w:t>.</w:t>
      </w:r>
    </w:p>
    <w:p w14:paraId="5857D40F" w14:textId="77777777" w:rsidR="00200ED1" w:rsidRDefault="00200ED1" w:rsidP="00200ED1">
      <w:pPr>
        <w:pStyle w:val="Heading44"/>
        <w:rPr>
          <w:b w:val="0"/>
          <w:bCs/>
          <w:sz w:val="20"/>
        </w:rPr>
      </w:pPr>
    </w:p>
    <w:p w14:paraId="7F0594A9" w14:textId="7A8D4B0E" w:rsidR="00200ED1" w:rsidRPr="00200ED1" w:rsidRDefault="00200ED1" w:rsidP="00200ED1">
      <w:pPr>
        <w:pStyle w:val="Heading44"/>
        <w:rPr>
          <w:b w:val="0"/>
          <w:bCs/>
          <w:sz w:val="20"/>
        </w:rPr>
      </w:pPr>
      <w:r w:rsidRPr="00200ED1">
        <w:rPr>
          <w:b w:val="0"/>
          <w:bCs/>
          <w:sz w:val="20"/>
        </w:rPr>
        <w:t>There are no changes to the scoring algorithm for Section 1B: Billing Ethics.</w:t>
      </w:r>
      <w:r>
        <w:rPr>
          <w:b w:val="0"/>
          <w:bCs/>
          <w:sz w:val="20"/>
        </w:rPr>
        <w:t xml:space="preserve"> </w:t>
      </w:r>
    </w:p>
    <w:p w14:paraId="33B5972F" w14:textId="77777777" w:rsidR="00200ED1" w:rsidRPr="000C6570" w:rsidRDefault="00200ED1" w:rsidP="00200ED1">
      <w:pPr>
        <w:pStyle w:val="Heading44"/>
        <w:rPr>
          <w:sz w:val="20"/>
        </w:rPr>
      </w:pPr>
    </w:p>
    <w:p w14:paraId="3FB5766A" w14:textId="447BEA51" w:rsidR="00B90CB9" w:rsidRPr="00764EEA" w:rsidRDefault="00B90CB9" w:rsidP="004D1420">
      <w:pPr>
        <w:pStyle w:val="Heading44"/>
      </w:pPr>
      <w:r w:rsidRPr="00764EEA">
        <w:t>Section 1</w:t>
      </w:r>
      <w:r>
        <w:t>C</w:t>
      </w:r>
      <w:r w:rsidRPr="00764EEA">
        <w:t xml:space="preserve">: </w:t>
      </w:r>
      <w:r>
        <w:t>Health Care Equity</w:t>
      </w:r>
    </w:p>
    <w:p w14:paraId="7B6C31D9" w14:textId="7D9AFBA8" w:rsidR="00B90CB9" w:rsidRDefault="0094278E" w:rsidP="00B90CB9">
      <w:pPr>
        <w:pStyle w:val="Style1"/>
        <w:rPr>
          <w:b w:val="0"/>
          <w:bCs/>
        </w:rPr>
      </w:pPr>
      <w:r w:rsidRPr="0094278E">
        <w:rPr>
          <w:b w:val="0"/>
          <w:bCs/>
        </w:rPr>
        <w:t>There are no changes to this subsection.</w:t>
      </w:r>
    </w:p>
    <w:p w14:paraId="5A0A20D0" w14:textId="1851F970" w:rsidR="000B6D76" w:rsidRDefault="000B6D76">
      <w:pPr>
        <w:rPr>
          <w:bCs/>
          <w:color w:val="000000"/>
        </w:rPr>
      </w:pPr>
      <w:r>
        <w:rPr>
          <w:b/>
          <w:bCs/>
        </w:rPr>
        <w:br w:type="page"/>
      </w:r>
    </w:p>
    <w:p w14:paraId="11DA8860" w14:textId="77777777" w:rsidR="004F2BE4" w:rsidRDefault="004F2BE4" w:rsidP="00BA2038">
      <w:pPr>
        <w:pStyle w:val="Heading44"/>
      </w:pPr>
      <w:r w:rsidRPr="00BA2038">
        <w:lastRenderedPageBreak/>
        <w:t>Section 1D: Informed Consent</w:t>
      </w:r>
    </w:p>
    <w:p w14:paraId="279EC29A" w14:textId="77777777" w:rsidR="000516C0" w:rsidRDefault="000516C0" w:rsidP="0012101E">
      <w:r w:rsidRPr="000516C0">
        <w:t xml:space="preserve">Leapfrog is removing question #2, which asks if hospitals solicit feedback from patients/legal guardians about their hospital’s informed consent process. As this question was neither scored nor publicly reported, there are no changes to the scoring algorithm for Section 1D: Informed Consent. </w:t>
      </w:r>
    </w:p>
    <w:p w14:paraId="5918B4C8" w14:textId="77777777" w:rsidR="000516C0" w:rsidRDefault="000516C0" w:rsidP="0012101E"/>
    <w:p w14:paraId="51268330" w14:textId="19231202" w:rsidR="000516C0" w:rsidRDefault="000516C0" w:rsidP="0012101E">
      <w:r w:rsidRPr="000516C0">
        <w:t xml:space="preserve">After additional research and consideration of public comments, Leapfrog is adding a new FAQ with guidance on how hospitals can assess the reading level of their Spanish-language consent forms. The reading level of consent forms in languages other than English is an important consideration for improving the accessibility of the informed consent process to all patients, so Leapfrog created an online calculator (available at: </w:t>
      </w:r>
      <w:hyperlink r:id="rId120" w:history="1">
        <w:r w:rsidR="00147DF3" w:rsidRPr="00A2752F">
          <w:rPr>
            <w:rStyle w:val="Hyperlink"/>
          </w:rPr>
          <w:t>https://readability.leapfroggroup.org/</w:t>
        </w:r>
      </w:hyperlink>
      <w:r w:rsidR="00147DF3">
        <w:t xml:space="preserve">) </w:t>
      </w:r>
      <w:r w:rsidRPr="000516C0">
        <w:t xml:space="preserve">to assist hospitals in evaluating the reading level of their Spanish-language consent forms. In 2026, Leapfrog’s standard will continue to focus on consent forms written in the English language, but we expect to extend the standard to Spanish as early as 2027. </w:t>
      </w:r>
    </w:p>
    <w:p w14:paraId="507EF23D" w14:textId="77777777" w:rsidR="000516C0" w:rsidRDefault="000516C0" w:rsidP="0012101E"/>
    <w:p w14:paraId="737D6A17" w14:textId="4D83B336" w:rsidR="000516C0" w:rsidRPr="00BA2038" w:rsidRDefault="000516C0" w:rsidP="0012101E">
      <w:r w:rsidRPr="000516C0">
        <w:t>In addition, Leapfrog is updating FAQ #28 in Section 1D to add additional information regarding strategies for optimizing the readability of consent forms using Large Language Models.</w:t>
      </w:r>
    </w:p>
    <w:p w14:paraId="4C0F6123" w14:textId="45D750AD" w:rsidR="00D05A7F" w:rsidRPr="0012101E" w:rsidRDefault="00D05A7F" w:rsidP="00BA2038">
      <w:pPr>
        <w:rPr>
          <w:rFonts w:cstheme="minorHAnsi"/>
          <w:sz w:val="22"/>
          <w:szCs w:val="22"/>
        </w:rPr>
      </w:pPr>
    </w:p>
    <w:p w14:paraId="727F4DBF" w14:textId="2A9EE98A" w:rsidR="001D3396" w:rsidRPr="009A5185" w:rsidRDefault="001D3396" w:rsidP="00AB5B80">
      <w:pPr>
        <w:pStyle w:val="Heading3"/>
      </w:pPr>
      <w:bookmarkStart w:id="115" w:name="_Toc225877679"/>
      <w:r w:rsidRPr="009A5185">
        <w:t xml:space="preserve">Change Summary </w:t>
      </w:r>
      <w:r w:rsidR="00F72C9F">
        <w:t>S</w:t>
      </w:r>
      <w:r w:rsidRPr="009A5185">
        <w:t>ince Release</w:t>
      </w:r>
      <w:bookmarkEnd w:id="115"/>
    </w:p>
    <w:p w14:paraId="5DACFEBA" w14:textId="77777777" w:rsidR="0094278E" w:rsidRDefault="0094278E">
      <w:pPr>
        <w:rPr>
          <w:rFonts w:cs="Arial"/>
          <w:lang w:eastAsia="ja-JP"/>
        </w:rPr>
      </w:pPr>
    </w:p>
    <w:p w14:paraId="7BAB8A65" w14:textId="0A258D5E" w:rsidR="00322E5F" w:rsidRPr="00ED376F" w:rsidRDefault="00723BF7">
      <w:pPr>
        <w:rPr>
          <w:rFonts w:cs="Arial"/>
          <w:lang w:eastAsia="ja-JP"/>
        </w:rPr>
      </w:pPr>
      <w:r w:rsidRPr="009A5185">
        <w:rPr>
          <w:rFonts w:cs="Arial"/>
          <w:lang w:eastAsia="ja-JP"/>
        </w:rPr>
        <w:t xml:space="preserve">None. If substantive changes are made to this section of the Survey after release on April 1, </w:t>
      </w:r>
      <w:r w:rsidR="00A236B1">
        <w:rPr>
          <w:rFonts w:cs="Arial"/>
          <w:lang w:eastAsia="ja-JP"/>
        </w:rPr>
        <w:t>202</w:t>
      </w:r>
      <w:r w:rsidR="002B59CE">
        <w:rPr>
          <w:rFonts w:cs="Arial"/>
          <w:lang w:eastAsia="ja-JP"/>
        </w:rPr>
        <w:t>6</w:t>
      </w:r>
      <w:r w:rsidR="0025210D">
        <w:rPr>
          <w:rFonts w:cs="Arial"/>
          <w:lang w:eastAsia="ja-JP"/>
        </w:rPr>
        <w:t>,</w:t>
      </w:r>
      <w:r w:rsidRPr="009A5185">
        <w:rPr>
          <w:rFonts w:cs="Arial"/>
          <w:lang w:eastAsia="ja-JP"/>
        </w:rPr>
        <w:t xml:space="preserve"> they will be documented in this Change Summary section.</w:t>
      </w:r>
      <w:r w:rsidR="00322E5F" w:rsidRPr="009A5185">
        <w:rPr>
          <w:rFonts w:cs="Arial"/>
          <w:lang w:eastAsia="ja-JP"/>
        </w:rPr>
        <w:br w:type="page"/>
      </w:r>
    </w:p>
    <w:p w14:paraId="7EE94052" w14:textId="46C7DB28" w:rsidR="008507C7" w:rsidRPr="009A5185" w:rsidRDefault="00A35DD6" w:rsidP="00CF5A6E">
      <w:pPr>
        <w:pStyle w:val="Heading2"/>
      </w:pPr>
      <w:bookmarkStart w:id="116" w:name="_Basic_Hospital_Information_1"/>
      <w:bookmarkStart w:id="117" w:name="_Section_1A:_Basic"/>
      <w:bookmarkStart w:id="118" w:name="_Ref123646003"/>
      <w:bookmarkStart w:id="119" w:name="_Ref123646075"/>
      <w:bookmarkStart w:id="120" w:name="_Ref123646082"/>
      <w:bookmarkStart w:id="121" w:name="_Toc225877680"/>
      <w:bookmarkEnd w:id="116"/>
      <w:bookmarkEnd w:id="117"/>
      <w:r>
        <w:rPr>
          <w:rFonts w:cs="Arial"/>
        </w:rPr>
        <w:lastRenderedPageBreak/>
        <w:t>Section 1</w:t>
      </w:r>
      <w:r w:rsidR="00B078B4">
        <w:rPr>
          <w:rFonts w:cs="Arial"/>
        </w:rPr>
        <w:t>A</w:t>
      </w:r>
      <w:r>
        <w:rPr>
          <w:rFonts w:cs="Arial"/>
        </w:rPr>
        <w:t xml:space="preserve">: </w:t>
      </w:r>
      <w:r w:rsidR="00076354" w:rsidRPr="009A5185">
        <w:t>Basic Hospital Information</w:t>
      </w:r>
      <w:r w:rsidR="008507C7" w:rsidRPr="009A5185">
        <w:t xml:space="preserve"> </w:t>
      </w:r>
      <w:r w:rsidR="00DA1B4F">
        <w:t xml:space="preserve">Measure </w:t>
      </w:r>
      <w:r w:rsidR="008507C7" w:rsidRPr="009A5185">
        <w:t>Specifications</w:t>
      </w:r>
      <w:bookmarkEnd w:id="118"/>
      <w:bookmarkEnd w:id="119"/>
      <w:bookmarkEnd w:id="120"/>
      <w:bookmarkEnd w:id="121"/>
      <w:r w:rsidR="008B12D8">
        <w:t xml:space="preserve"> </w:t>
      </w:r>
    </w:p>
    <w:p w14:paraId="55557EE7" w14:textId="77777777" w:rsidR="008507C7" w:rsidRPr="009A5185" w:rsidRDefault="008507C7" w:rsidP="008507C7">
      <w:pPr>
        <w:rPr>
          <w:rFonts w:cs="Arial"/>
          <w:lang w:eastAsia="ja-JP"/>
        </w:rPr>
      </w:pPr>
    </w:p>
    <w:p w14:paraId="7F296970" w14:textId="0CDB1780" w:rsidR="00041FEF" w:rsidRPr="00DE5FD4" w:rsidRDefault="008507C7" w:rsidP="00041FEF">
      <w:pPr>
        <w:rPr>
          <w:rFonts w:cs="Arial"/>
          <w:snapToGrid w:val="0"/>
        </w:rPr>
        <w:sectPr w:rsidR="00041FEF" w:rsidRPr="00DE5FD4" w:rsidSect="00062F69">
          <w:headerReference w:type="default" r:id="rId121"/>
          <w:endnotePr>
            <w:numFmt w:val="decimal"/>
          </w:endnotePr>
          <w:pgSz w:w="12240" w:h="15840"/>
          <w:pgMar w:top="1080" w:right="1440" w:bottom="1080" w:left="1440" w:header="720" w:footer="720" w:gutter="0"/>
          <w:cols w:space="720"/>
          <w:docGrid w:linePitch="272"/>
        </w:sectPr>
      </w:pPr>
      <w:r w:rsidRPr="009A5185">
        <w:rPr>
          <w:rFonts w:cs="Arial"/>
          <w:b/>
          <w:color w:val="FF0000"/>
          <w:lang w:eastAsia="ja-JP"/>
        </w:rPr>
        <w:t>Important Note:</w:t>
      </w:r>
      <w:r w:rsidRPr="009A5185">
        <w:rPr>
          <w:rFonts w:cs="Arial"/>
          <w:color w:val="FF0000"/>
          <w:lang w:eastAsia="ja-JP"/>
        </w:rPr>
        <w:t xml:space="preserve"> </w:t>
      </w:r>
      <w:r w:rsidRPr="009A5185">
        <w:rPr>
          <w:rFonts w:cs="Arial"/>
          <w:snapToGrid w:val="0"/>
        </w:rPr>
        <w:t xml:space="preserve">Hospitals that share a </w:t>
      </w:r>
      <w:r w:rsidR="00522419">
        <w:rPr>
          <w:rFonts w:cs="Arial"/>
          <w:snapToGrid w:val="0"/>
        </w:rPr>
        <w:t>CMS Certification Number</w:t>
      </w:r>
      <w:r w:rsidRPr="009A5185">
        <w:rPr>
          <w:rFonts w:cs="Arial"/>
          <w:snapToGrid w:val="0"/>
        </w:rPr>
        <w:t xml:space="preserve"> are required to report by facility. Please carefully review </w:t>
      </w:r>
      <w:hyperlink r:id="rId122" w:history="1">
        <w:r w:rsidRPr="009A5185">
          <w:rPr>
            <w:rStyle w:val="Hyperlink"/>
            <w:rFonts w:cs="Arial"/>
            <w:snapToGrid w:val="0"/>
          </w:rPr>
          <w:t>Leapfrog’s Multi-Campus Reporting Policy</w:t>
        </w:r>
      </w:hyperlink>
      <w:r w:rsidRPr="009A5185">
        <w:rPr>
          <w:rFonts w:cs="Arial"/>
          <w:snapToGrid w:val="0"/>
        </w:rPr>
        <w:t xml:space="preserve">. </w:t>
      </w:r>
      <w:r w:rsidR="00041FEF" w:rsidRPr="009A5185">
        <w:rPr>
          <w:rFonts w:cs="Arial"/>
          <w:snapToGrid w:val="0"/>
        </w:rPr>
        <w:br/>
      </w:r>
    </w:p>
    <w:p w14:paraId="72BEF6A7" w14:textId="38C18E63" w:rsidR="00041FEF" w:rsidRPr="009A5185" w:rsidRDefault="008507C7" w:rsidP="008507C7">
      <w:pPr>
        <w:rPr>
          <w:rFonts w:cs="Arial"/>
        </w:rPr>
      </w:pPr>
      <w:r w:rsidRPr="009A5185">
        <w:rPr>
          <w:rFonts w:cs="Arial"/>
        </w:rPr>
        <w:t xml:space="preserve">Teaching Status is obtained directly from CDC’s National Healthcare Safety Network (NHSN) using a hospital’s response to the following questions within the “Hospital Facility” section of the </w:t>
      </w:r>
      <w:r w:rsidR="00613BF2">
        <w:rPr>
          <w:rFonts w:cs="Arial"/>
        </w:rPr>
        <w:t>2</w:t>
      </w:r>
      <w:r w:rsidR="00A10EEC">
        <w:rPr>
          <w:rFonts w:cs="Arial"/>
        </w:rPr>
        <w:t>02</w:t>
      </w:r>
      <w:r w:rsidR="00EB0CA2">
        <w:rPr>
          <w:rFonts w:cs="Arial"/>
        </w:rPr>
        <w:t>5</w:t>
      </w:r>
      <w:r w:rsidR="00041FEF" w:rsidRPr="009A5185">
        <w:rPr>
          <w:rFonts w:cs="Arial"/>
        </w:rPr>
        <w:t xml:space="preserve"> Patient Safety Component – Annual Hospital </w:t>
      </w:r>
      <w:r w:rsidR="00C14AFF" w:rsidRPr="009A5185">
        <w:rPr>
          <w:rFonts w:cs="Arial"/>
        </w:rPr>
        <w:t>Survey</w:t>
      </w:r>
      <w:r w:rsidR="00041FEF" w:rsidRPr="009A5185">
        <w:rPr>
          <w:rFonts w:cs="Arial"/>
        </w:rPr>
        <w:t xml:space="preserve">: </w:t>
      </w:r>
    </w:p>
    <w:p w14:paraId="2309665F" w14:textId="77777777" w:rsidR="00041FEF" w:rsidRPr="009A5185" w:rsidRDefault="00041FEF" w:rsidP="008507C7">
      <w:pPr>
        <w:rPr>
          <w:rFonts w:cs="Arial"/>
        </w:rPr>
      </w:pPr>
    </w:p>
    <w:p w14:paraId="3AA90E2C" w14:textId="083DC60B" w:rsidR="008507C7" w:rsidRPr="009A5185" w:rsidRDefault="008507C7" w:rsidP="008507C7">
      <w:pPr>
        <w:rPr>
          <w:rFonts w:cs="Arial"/>
        </w:rPr>
      </w:pPr>
      <w:r w:rsidRPr="009A5185">
        <w:rPr>
          <w:rFonts w:cs="Arial"/>
        </w:rPr>
        <w:t>Is your hospital a teaching hospital for physicians and/or physicians-in-training</w:t>
      </w:r>
      <w:r w:rsidR="00915C63">
        <w:rPr>
          <w:rFonts w:cs="Arial"/>
        </w:rPr>
        <w:t xml:space="preserve"> or nursing students</w:t>
      </w:r>
      <w:r w:rsidRPr="009A5185">
        <w:rPr>
          <w:rFonts w:cs="Arial"/>
        </w:rPr>
        <w:t>? [</w:t>
      </w:r>
      <w:r w:rsidRPr="009A5185">
        <w:rPr>
          <w:rFonts w:cs="Arial"/>
          <w:i/>
        </w:rPr>
        <w:t>Yes, No</w:t>
      </w:r>
      <w:r w:rsidRPr="009A5185">
        <w:rPr>
          <w:rFonts w:cs="Arial"/>
        </w:rPr>
        <w:t>]</w:t>
      </w:r>
    </w:p>
    <w:p w14:paraId="029188A7" w14:textId="618F0BD9" w:rsidR="008507C7" w:rsidRPr="009A5185" w:rsidRDefault="008507C7" w:rsidP="008507C7">
      <w:pPr>
        <w:rPr>
          <w:rFonts w:cs="Arial"/>
        </w:rPr>
      </w:pPr>
      <w:r w:rsidRPr="009A5185">
        <w:rPr>
          <w:rFonts w:cs="Arial"/>
        </w:rPr>
        <w:t>If Yes, what type: [</w:t>
      </w:r>
      <w:r w:rsidRPr="009A5185">
        <w:rPr>
          <w:rFonts w:cs="Arial"/>
          <w:i/>
        </w:rPr>
        <w:t>Major, Graduate, Undergraduate</w:t>
      </w:r>
      <w:r w:rsidRPr="009A5185">
        <w:rPr>
          <w:rFonts w:cs="Arial"/>
        </w:rPr>
        <w:t>]</w:t>
      </w:r>
    </w:p>
    <w:p w14:paraId="7064F061" w14:textId="6F8E18F9" w:rsidR="008860F4" w:rsidRDefault="00DB5F35" w:rsidP="008860F4">
      <w:r w:rsidRPr="00DB5F35">
        <w:t xml:space="preserve"> </w:t>
      </w:r>
    </w:p>
    <w:p w14:paraId="6B66BCCF" w14:textId="24F02EA8" w:rsidR="008860F4" w:rsidRPr="009A5185" w:rsidRDefault="00F97DDE" w:rsidP="008860F4">
      <w:pPr>
        <w:rPr>
          <w:rFonts w:cs="Arial"/>
        </w:rPr>
      </w:pPr>
      <w:r w:rsidRPr="00F97DDE">
        <w:rPr>
          <w:rFonts w:cs="Arial"/>
          <w:noProof/>
        </w:rPr>
        <w:drawing>
          <wp:anchor distT="0" distB="0" distL="114300" distR="114300" simplePos="0" relativeHeight="251658247" behindDoc="0" locked="0" layoutInCell="1" allowOverlap="1" wp14:anchorId="2FB8FF7F" wp14:editId="52D35DCD">
            <wp:simplePos x="0" y="0"/>
            <wp:positionH relativeFrom="column">
              <wp:posOffset>2400935</wp:posOffset>
            </wp:positionH>
            <wp:positionV relativeFrom="paragraph">
              <wp:posOffset>977596</wp:posOffset>
            </wp:positionV>
            <wp:extent cx="256032" cy="137160"/>
            <wp:effectExtent l="0" t="0" r="0" b="0"/>
            <wp:wrapNone/>
            <wp:docPr id="1198236980" name="Picture 1" descr="P162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36980" name="Picture 1" descr="P1628#y1"/>
                    <pic:cNvPicPr/>
                  </pic:nvPicPr>
                  <pic:blipFill>
                    <a:blip r:embed="rId123"/>
                    <a:stretch>
                      <a:fillRect/>
                    </a:stretch>
                  </pic:blipFill>
                  <pic:spPr>
                    <a:xfrm>
                      <a:off x="0" y="0"/>
                      <a:ext cx="256032" cy="137160"/>
                    </a:xfrm>
                    <a:prstGeom prst="rect">
                      <a:avLst/>
                    </a:prstGeom>
                  </pic:spPr>
                </pic:pic>
              </a:graphicData>
            </a:graphic>
            <wp14:sizeRelH relativeFrom="margin">
              <wp14:pctWidth>0</wp14:pctWidth>
            </wp14:sizeRelH>
            <wp14:sizeRelV relativeFrom="margin">
              <wp14:pctHeight>0</wp14:pctHeight>
            </wp14:sizeRelV>
          </wp:anchor>
        </w:drawing>
      </w:r>
      <w:r w:rsidR="008860F4" w:rsidRPr="00093A5A">
        <w:rPr>
          <w:rFonts w:cs="Arial"/>
          <w:noProof/>
        </w:rPr>
        <w:drawing>
          <wp:inline distT="0" distB="0" distL="0" distR="0" wp14:anchorId="689F1BCD" wp14:editId="69219321">
            <wp:extent cx="5943600" cy="3050540"/>
            <wp:effectExtent l="0" t="0" r="0" b="0"/>
            <wp:docPr id="2025767060" name="Picture 2025767060" descr="P16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67060" name="Picture 2025767060" descr="P1628#yIS1"/>
                    <pic:cNvPicPr/>
                  </pic:nvPicPr>
                  <pic:blipFill>
                    <a:blip r:embed="rId124"/>
                    <a:stretch>
                      <a:fillRect/>
                    </a:stretch>
                  </pic:blipFill>
                  <pic:spPr>
                    <a:xfrm>
                      <a:off x="0" y="0"/>
                      <a:ext cx="5943600" cy="3050540"/>
                    </a:xfrm>
                    <a:prstGeom prst="rect">
                      <a:avLst/>
                    </a:prstGeom>
                  </pic:spPr>
                </pic:pic>
              </a:graphicData>
            </a:graphic>
          </wp:inline>
        </w:drawing>
      </w:r>
    </w:p>
    <w:p w14:paraId="488CBA31" w14:textId="5ED1B8B6" w:rsidR="008D6EDD" w:rsidRPr="009A5185" w:rsidRDefault="008D6EDD" w:rsidP="008507C7">
      <w:pPr>
        <w:rPr>
          <w:rFonts w:cs="Arial"/>
        </w:rPr>
      </w:pPr>
    </w:p>
    <w:p w14:paraId="3F05D077" w14:textId="54531BF4" w:rsidR="008507C7" w:rsidRPr="009A5185" w:rsidRDefault="008507C7" w:rsidP="008507C7">
      <w:pPr>
        <w:rPr>
          <w:rFonts w:cs="Arial"/>
        </w:rPr>
      </w:pPr>
      <w:r w:rsidRPr="009A5185">
        <w:rPr>
          <w:rFonts w:cs="Arial"/>
        </w:rPr>
        <w:t xml:space="preserve">For the purposes of the </w:t>
      </w:r>
      <w:r w:rsidR="00A236B1">
        <w:rPr>
          <w:rFonts w:cs="Arial"/>
        </w:rPr>
        <w:t>202</w:t>
      </w:r>
      <w:r w:rsidR="00422C8E">
        <w:rPr>
          <w:rFonts w:cs="Arial"/>
        </w:rPr>
        <w:t>6</w:t>
      </w:r>
      <w:r w:rsidRPr="009A5185">
        <w:rPr>
          <w:rFonts w:cs="Arial"/>
        </w:rPr>
        <w:t xml:space="preserve"> Leapfrog Hospital </w:t>
      </w:r>
      <w:r w:rsidR="00C14AFF" w:rsidRPr="009A5185">
        <w:rPr>
          <w:rFonts w:cs="Arial"/>
        </w:rPr>
        <w:t>Survey</w:t>
      </w:r>
      <w:r w:rsidRPr="009A5185">
        <w:rPr>
          <w:rFonts w:cs="Arial"/>
        </w:rPr>
        <w:t xml:space="preserve"> and Leapfrog’s </w:t>
      </w:r>
      <w:r w:rsidR="00041FEF" w:rsidRPr="009A5185">
        <w:rPr>
          <w:rFonts w:cs="Arial"/>
        </w:rPr>
        <w:t xml:space="preserve">Top Hospital program, </w:t>
      </w:r>
      <w:r w:rsidRPr="009A5185">
        <w:rPr>
          <w:rFonts w:cs="Arial"/>
        </w:rPr>
        <w:t>Leapfrog will consider the following types</w:t>
      </w:r>
      <w:r w:rsidR="006E46D7">
        <w:rPr>
          <w:rFonts w:cs="Arial"/>
        </w:rPr>
        <w:t xml:space="preserve"> </w:t>
      </w:r>
      <w:r w:rsidRPr="009A5185">
        <w:rPr>
          <w:rFonts w:cs="Arial"/>
        </w:rPr>
        <w:t>a “teaching hospital</w:t>
      </w:r>
      <w:r w:rsidR="00F0093D">
        <w:rPr>
          <w:rFonts w:cs="Arial"/>
        </w:rPr>
        <w:t>:</w:t>
      </w:r>
      <w:r w:rsidRPr="009A5185">
        <w:rPr>
          <w:rFonts w:cs="Arial"/>
        </w:rPr>
        <w:t>” Major and Graduate.</w:t>
      </w:r>
      <w:r w:rsidR="000D18F4">
        <w:rPr>
          <w:rFonts w:cs="Arial"/>
        </w:rPr>
        <w:t xml:space="preserve"> NHSN’s definitions for types of teaching hospitals may be reviewed </w:t>
      </w:r>
      <w:hyperlink r:id="rId125" w:history="1">
        <w:r w:rsidR="000D18F4" w:rsidRPr="00385C41">
          <w:rPr>
            <w:rStyle w:val="Hyperlink"/>
            <w:rFonts w:cs="Arial"/>
          </w:rPr>
          <w:t>here</w:t>
        </w:r>
      </w:hyperlink>
      <w:r w:rsidR="000D18F4">
        <w:rPr>
          <w:rFonts w:cs="Arial"/>
        </w:rPr>
        <w:t>.</w:t>
      </w:r>
      <w:r w:rsidR="00D32024">
        <w:rPr>
          <w:rFonts w:cs="Arial"/>
        </w:rPr>
        <w:t xml:space="preserve"> </w:t>
      </w:r>
      <w:r w:rsidR="008E75BF">
        <w:rPr>
          <w:rFonts w:cs="Arial"/>
        </w:rPr>
        <w:t>This designation will also be used for the purposes of</w:t>
      </w:r>
      <w:r w:rsidR="0012210D">
        <w:rPr>
          <w:rFonts w:cs="Arial"/>
        </w:rPr>
        <w:t xml:space="preserve"> assigning hospitals to</w:t>
      </w:r>
      <w:r w:rsidR="008E1E03">
        <w:rPr>
          <w:rFonts w:cs="Arial"/>
        </w:rPr>
        <w:t xml:space="preserve"> a teaching or non-teaching hospital cohort for the purposes of scoring the </w:t>
      </w:r>
      <w:r w:rsidR="00A3252F" w:rsidRPr="00AA3C5B">
        <w:t>Total Nursing Care Hours per Patient Day</w:t>
      </w:r>
      <w:r w:rsidR="0038604D">
        <w:rPr>
          <w:rFonts w:cs="Arial"/>
        </w:rPr>
        <w:t xml:space="preserve"> and</w:t>
      </w:r>
      <w:r w:rsidR="00A3252F">
        <w:rPr>
          <w:rFonts w:cs="Arial"/>
        </w:rPr>
        <w:t xml:space="preserve"> RN Hours per Patient Day measure</w:t>
      </w:r>
      <w:r w:rsidR="008B5988">
        <w:rPr>
          <w:rFonts w:cs="Arial"/>
        </w:rPr>
        <w:t>s</w:t>
      </w:r>
      <w:r w:rsidR="00A3252F">
        <w:rPr>
          <w:rFonts w:cs="Arial"/>
        </w:rPr>
        <w:t xml:space="preserve"> </w:t>
      </w:r>
      <w:r w:rsidR="008E1E03">
        <w:rPr>
          <w:rFonts w:cs="Arial"/>
        </w:rPr>
        <w:t>in</w:t>
      </w:r>
      <w:r w:rsidR="008E75BF">
        <w:rPr>
          <w:rFonts w:cs="Arial"/>
        </w:rPr>
        <w:t xml:space="preserve"> </w:t>
      </w:r>
      <w:hyperlink w:anchor="_5C:_Nursing_Workforce" w:history="1">
        <w:r w:rsidR="00790DD7">
          <w:rPr>
            <w:rStyle w:val="Hyperlink"/>
            <w:rFonts w:cs="Arial"/>
          </w:rPr>
          <w:t>Section 5C: Nursing Workforce</w:t>
        </w:r>
      </w:hyperlink>
      <w:r w:rsidR="008E75BF">
        <w:rPr>
          <w:rFonts w:cs="Arial"/>
        </w:rPr>
        <w:t>.</w:t>
      </w:r>
    </w:p>
    <w:p w14:paraId="5D1B437D" w14:textId="77777777" w:rsidR="008507C7" w:rsidRPr="009A5185" w:rsidRDefault="008507C7" w:rsidP="008507C7">
      <w:pPr>
        <w:rPr>
          <w:rFonts w:cs="Arial"/>
        </w:rPr>
      </w:pPr>
    </w:p>
    <w:p w14:paraId="79F8FF94" w14:textId="77777777" w:rsidR="00BF40C6" w:rsidRPr="005F772A" w:rsidRDefault="00BF40C6" w:rsidP="00BF40C6">
      <w:pPr>
        <w:rPr>
          <w:rFonts w:cs="Arial"/>
          <w:snapToGrid w:val="0"/>
        </w:rPr>
      </w:pPr>
      <w:r>
        <w:rPr>
          <w:rFonts w:cs="Arial"/>
          <w:snapToGrid w:val="0"/>
        </w:rPr>
        <w:t>I</w:t>
      </w:r>
      <w:r w:rsidRPr="005F772A">
        <w:rPr>
          <w:rFonts w:cs="Arial"/>
          <w:snapToGrid w:val="0"/>
        </w:rPr>
        <w:t xml:space="preserve">n order for Leapfrog to obtain </w:t>
      </w:r>
      <w:r>
        <w:rPr>
          <w:rFonts w:cs="Arial"/>
          <w:snapToGrid w:val="0"/>
        </w:rPr>
        <w:t xml:space="preserve">teaching status </w:t>
      </w:r>
      <w:r w:rsidRPr="005F772A">
        <w:rPr>
          <w:rFonts w:cs="Arial"/>
          <w:snapToGrid w:val="0"/>
        </w:rPr>
        <w:t xml:space="preserve">from NHSN, hospitals must complete the following steps: </w:t>
      </w:r>
    </w:p>
    <w:p w14:paraId="6071C38E" w14:textId="5AC90AA3" w:rsidR="00BF40C6" w:rsidRPr="005F772A" w:rsidRDefault="00BF40C6" w:rsidP="00AD309C">
      <w:pPr>
        <w:pStyle w:val="ListParagraph"/>
        <w:numPr>
          <w:ilvl w:val="0"/>
          <w:numId w:val="122"/>
        </w:numPr>
        <w:rPr>
          <w:rFonts w:cs="Arial"/>
          <w:snapToGrid w:val="0"/>
        </w:rPr>
      </w:pPr>
      <w:r w:rsidRPr="005F772A">
        <w:rPr>
          <w:rFonts w:cs="Arial"/>
          <w:snapToGrid w:val="0"/>
        </w:rPr>
        <w:t>Join Leapfrog’s NHSN Group</w:t>
      </w:r>
      <w:r w:rsidR="003A2B3E">
        <w:rPr>
          <w:rFonts w:cs="Arial"/>
          <w:snapToGrid w:val="0"/>
        </w:rPr>
        <w:t xml:space="preserve"> and review/accept Leapfrog’s Data Rights Template</w:t>
      </w:r>
      <w:r w:rsidRPr="005F772A">
        <w:rPr>
          <w:rFonts w:cs="Arial"/>
          <w:snapToGrid w:val="0"/>
        </w:rPr>
        <w:t xml:space="preserve"> by the published </w:t>
      </w:r>
      <w:hyperlink r:id="rId126" w:history="1">
        <w:r w:rsidRPr="00BF40C6">
          <w:rPr>
            <w:rStyle w:val="Hyperlink"/>
            <w:rFonts w:cs="Arial"/>
            <w:snapToGrid w:val="0"/>
          </w:rPr>
          <w:t>deadlines</w:t>
        </w:r>
      </w:hyperlink>
      <w:r w:rsidR="003A2B3E">
        <w:rPr>
          <w:rFonts w:cs="Arial"/>
          <w:snapToGrid w:val="0"/>
        </w:rPr>
        <w:t>*,</w:t>
      </w:r>
    </w:p>
    <w:p w14:paraId="076802EB" w14:textId="4831C0F8" w:rsidR="00BF40C6" w:rsidRPr="005F772A" w:rsidRDefault="003A2B3E" w:rsidP="00AD309C">
      <w:pPr>
        <w:pStyle w:val="ListParagraph"/>
        <w:numPr>
          <w:ilvl w:val="0"/>
          <w:numId w:val="122"/>
        </w:numPr>
        <w:rPr>
          <w:rFonts w:cs="Arial"/>
          <w:snapToGrid w:val="0"/>
        </w:rPr>
      </w:pPr>
      <w:r>
        <w:rPr>
          <w:rFonts w:cs="Arial"/>
          <w:snapToGrid w:val="0"/>
        </w:rPr>
        <w:t>Enter a valid</w:t>
      </w:r>
      <w:r w:rsidR="00BF40C6" w:rsidRPr="005F772A">
        <w:rPr>
          <w:rFonts w:cs="Arial"/>
          <w:snapToGrid w:val="0"/>
        </w:rPr>
        <w:t xml:space="preserve"> NHSN ID in the Profile</w:t>
      </w:r>
      <w:r w:rsidR="00BF40C6">
        <w:rPr>
          <w:rFonts w:cs="Arial"/>
          <w:snapToGrid w:val="0"/>
        </w:rPr>
        <w:t xml:space="preserve"> of the</w:t>
      </w:r>
      <w:r>
        <w:rPr>
          <w:rFonts w:cs="Arial"/>
          <w:snapToGrid w:val="0"/>
        </w:rPr>
        <w:t>ir 202</w:t>
      </w:r>
      <w:r w:rsidR="00422C8E">
        <w:rPr>
          <w:rFonts w:cs="Arial"/>
          <w:snapToGrid w:val="0"/>
        </w:rPr>
        <w:t>6</w:t>
      </w:r>
      <w:r>
        <w:rPr>
          <w:rFonts w:cs="Arial"/>
          <w:snapToGrid w:val="0"/>
        </w:rPr>
        <w:t xml:space="preserve"> Leapfrog Hospital Survey</w:t>
      </w:r>
      <w:r w:rsidR="00BF40C6" w:rsidRPr="005F772A">
        <w:rPr>
          <w:rFonts w:cs="Arial"/>
          <w:snapToGrid w:val="0"/>
        </w:rPr>
        <w:t>,</w:t>
      </w:r>
    </w:p>
    <w:p w14:paraId="4054AD79" w14:textId="6EB34158" w:rsidR="003E0089" w:rsidRDefault="003E0089" w:rsidP="00AD309C">
      <w:pPr>
        <w:pStyle w:val="ListParagraph"/>
        <w:numPr>
          <w:ilvl w:val="0"/>
          <w:numId w:val="122"/>
        </w:numPr>
        <w:rPr>
          <w:rFonts w:cs="Arial"/>
          <w:snapToGrid w:val="0"/>
        </w:rPr>
      </w:pPr>
      <w:r>
        <w:rPr>
          <w:rFonts w:cs="Arial"/>
          <w:snapToGrid w:val="0"/>
        </w:rPr>
        <w:t>Answer “yes” to question #1 in Section 7B, and</w:t>
      </w:r>
    </w:p>
    <w:p w14:paraId="31B3FC26" w14:textId="3741FBD1" w:rsidR="00BF40C6" w:rsidRDefault="003B7586" w:rsidP="00AD309C">
      <w:pPr>
        <w:pStyle w:val="ListParagraph"/>
        <w:numPr>
          <w:ilvl w:val="0"/>
          <w:numId w:val="122"/>
        </w:numPr>
        <w:rPr>
          <w:rFonts w:cs="Arial"/>
          <w:snapToGrid w:val="0"/>
        </w:rPr>
      </w:pPr>
      <w:r>
        <w:rPr>
          <w:rFonts w:cs="Arial"/>
          <w:snapToGrid w:val="0"/>
        </w:rPr>
        <w:t>Submit a 202</w:t>
      </w:r>
      <w:r w:rsidR="00422C8E">
        <w:rPr>
          <w:rFonts w:cs="Arial"/>
          <w:snapToGrid w:val="0"/>
        </w:rPr>
        <w:t>6</w:t>
      </w:r>
      <w:r>
        <w:rPr>
          <w:rFonts w:cs="Arial"/>
          <w:snapToGrid w:val="0"/>
        </w:rPr>
        <w:t xml:space="preserve"> Leapfrog Hospital Survey </w:t>
      </w:r>
      <w:r w:rsidR="003A2B3E">
        <w:rPr>
          <w:rFonts w:cs="Arial"/>
          <w:snapToGrid w:val="0"/>
        </w:rPr>
        <w:t xml:space="preserve">by the published </w:t>
      </w:r>
      <w:hyperlink r:id="rId127" w:history="1">
        <w:r w:rsidR="003A2B3E" w:rsidRPr="00BF40C6">
          <w:rPr>
            <w:rStyle w:val="Hyperlink"/>
            <w:rFonts w:cs="Arial"/>
            <w:snapToGrid w:val="0"/>
          </w:rPr>
          <w:t>deadlines</w:t>
        </w:r>
      </w:hyperlink>
      <w:r w:rsidR="003A2B3E">
        <w:rPr>
          <w:rFonts w:cs="Arial"/>
          <w:snapToGrid w:val="0"/>
        </w:rPr>
        <w:t>.</w:t>
      </w:r>
    </w:p>
    <w:p w14:paraId="46A19915" w14:textId="77777777" w:rsidR="003A2B3E" w:rsidRPr="003A2B3E" w:rsidRDefault="003A2B3E" w:rsidP="00334778">
      <w:pPr>
        <w:pStyle w:val="ListParagraph"/>
        <w:rPr>
          <w:rFonts w:cs="Arial"/>
          <w:snapToGrid w:val="0"/>
        </w:rPr>
      </w:pPr>
    </w:p>
    <w:p w14:paraId="60DD1A1D" w14:textId="0FD0646F" w:rsidR="00BF40C6" w:rsidRDefault="00BF40C6" w:rsidP="00BF40C6">
      <w:r w:rsidRPr="009A5185">
        <w:rPr>
          <w:rFonts w:cs="Arial"/>
        </w:rPr>
        <w:t xml:space="preserve">*Hospitals are not required to “re-join” </w:t>
      </w:r>
      <w:r w:rsidRPr="005F772A">
        <w:rPr>
          <w:rFonts w:cs="Arial"/>
        </w:rPr>
        <w:t xml:space="preserve">Leapfrog’s NHSN Group if they joined and conferred rights </w:t>
      </w:r>
      <w:r w:rsidR="009E60E9">
        <w:rPr>
          <w:rFonts w:cs="Arial"/>
        </w:rPr>
        <w:t>in previous</w:t>
      </w:r>
      <w:r w:rsidRPr="005F772A">
        <w:rPr>
          <w:rFonts w:cs="Arial"/>
        </w:rPr>
        <w:t xml:space="preserve"> Leapfrog Hospital Survey</w:t>
      </w:r>
      <w:r w:rsidR="009E60E9">
        <w:rPr>
          <w:rFonts w:cs="Arial"/>
        </w:rPr>
        <w:t xml:space="preserve"> Cycles</w:t>
      </w:r>
      <w:r w:rsidRPr="005F772A">
        <w:rPr>
          <w:rFonts w:cs="Arial"/>
        </w:rPr>
        <w:t xml:space="preserve">. However, </w:t>
      </w:r>
      <w:r w:rsidRPr="005F772A">
        <w:t xml:space="preserve">all hospitals in Leapfrog’s NHSN Group must review their </w:t>
      </w:r>
      <w:r w:rsidR="0087504A">
        <w:t xml:space="preserve">Data </w:t>
      </w:r>
      <w:r w:rsidRPr="005F772A">
        <w:t xml:space="preserve">Rights </w:t>
      </w:r>
      <w:r w:rsidR="0087504A">
        <w:t>Template</w:t>
      </w:r>
      <w:r w:rsidRPr="005F772A">
        <w:t xml:space="preserve"> </w:t>
      </w:r>
      <w:r w:rsidR="00D968A4">
        <w:t xml:space="preserve">at least </w:t>
      </w:r>
      <w:r w:rsidRPr="005F772A">
        <w:t>annually</w:t>
      </w:r>
      <w:r w:rsidR="000606EB">
        <w:t xml:space="preserve"> by the published </w:t>
      </w:r>
      <w:hyperlink r:id="rId128" w:history="1">
        <w:r w:rsidR="000606EB" w:rsidRPr="000606EB">
          <w:rPr>
            <w:rStyle w:val="Hyperlink"/>
          </w:rPr>
          <w:t>join-by d</w:t>
        </w:r>
        <w:r w:rsidR="00590C84">
          <w:rPr>
            <w:rStyle w:val="Hyperlink"/>
          </w:rPr>
          <w:t>eadline</w:t>
        </w:r>
        <w:r w:rsidR="000606EB" w:rsidRPr="000606EB">
          <w:rPr>
            <w:rStyle w:val="Hyperlink"/>
          </w:rPr>
          <w:t>s</w:t>
        </w:r>
      </w:hyperlink>
      <w:r w:rsidR="00E74FE3">
        <w:rPr>
          <w:b/>
          <w:bCs/>
        </w:rPr>
        <w:t>.</w:t>
      </w:r>
    </w:p>
    <w:p w14:paraId="1D3FC259" w14:textId="77777777" w:rsidR="008507C7" w:rsidRPr="009A5185" w:rsidRDefault="008507C7" w:rsidP="008507C7">
      <w:pPr>
        <w:rPr>
          <w:rFonts w:cs="Arial"/>
        </w:rPr>
      </w:pPr>
    </w:p>
    <w:p w14:paraId="5F5037C3" w14:textId="44B8DCAD" w:rsidR="00591C4B" w:rsidRPr="003A2B3E" w:rsidRDefault="00DE5FD4">
      <w:pPr>
        <w:rPr>
          <w:lang w:eastAsia="ja-JP"/>
        </w:rPr>
      </w:pPr>
      <w:r w:rsidRPr="0083001C">
        <w:rPr>
          <w:lang w:eastAsia="ja-JP"/>
        </w:rPr>
        <w:t xml:space="preserve">Instructions </w:t>
      </w:r>
      <w:r>
        <w:rPr>
          <w:lang w:eastAsia="ja-JP"/>
        </w:rPr>
        <w:t xml:space="preserve">for joining or verifying that you are in Leapfrog’s NHSN Group are available </w:t>
      </w:r>
      <w:hyperlink r:id="rId129" w:history="1">
        <w:r w:rsidRPr="002C6747">
          <w:rPr>
            <w:rStyle w:val="Hyperlink"/>
            <w:lang w:eastAsia="ja-JP"/>
          </w:rPr>
          <w:t>here</w:t>
        </w:r>
      </w:hyperlink>
      <w:r w:rsidRPr="0083001C">
        <w:rPr>
          <w:lang w:eastAsia="ja-JP"/>
        </w:rPr>
        <w:t xml:space="preserve"> </w:t>
      </w:r>
      <w:r w:rsidRPr="0083001C">
        <w:t>(</w:t>
      </w:r>
      <w:r>
        <w:t xml:space="preserve">See </w:t>
      </w:r>
      <w:r w:rsidRPr="0083001C">
        <w:t>“</w:t>
      </w:r>
      <w:r w:rsidR="003A2B3E" w:rsidRPr="003A2B3E">
        <w:t>NHSN Guidance: Join the Group, Data Rights Template, and Downloading Reports</w:t>
      </w:r>
      <w:r w:rsidRPr="0083001C">
        <w:t>”)</w:t>
      </w:r>
      <w:r>
        <w:t>.</w:t>
      </w:r>
      <w:r w:rsidR="003A2B3E">
        <w:t xml:space="preserve"> These instructions also include information for verifying the </w:t>
      </w:r>
      <w:r w:rsidR="003A2B3E" w:rsidRPr="009A5185">
        <w:rPr>
          <w:rFonts w:cs="Arial"/>
        </w:rPr>
        <w:t xml:space="preserve">teaching status response to the </w:t>
      </w:r>
      <w:r w:rsidR="003A2B3E">
        <w:rPr>
          <w:rFonts w:cs="Arial"/>
        </w:rPr>
        <w:t>202</w:t>
      </w:r>
      <w:r w:rsidR="0038604D">
        <w:rPr>
          <w:rFonts w:cs="Arial"/>
        </w:rPr>
        <w:t>5</w:t>
      </w:r>
      <w:r w:rsidR="003A2B3E" w:rsidRPr="009A5185">
        <w:rPr>
          <w:rFonts w:cs="Arial"/>
        </w:rPr>
        <w:t xml:space="preserve"> Patient Safety Component – Annual Hospital Survey</w:t>
      </w:r>
      <w:r w:rsidR="003A2B3E">
        <w:rPr>
          <w:lang w:eastAsia="ja-JP"/>
        </w:rPr>
        <w:t>.</w:t>
      </w:r>
      <w:r w:rsidR="00591C4B">
        <w:rPr>
          <w:rFonts w:cs="Arial"/>
        </w:rPr>
        <w:br w:type="page"/>
      </w:r>
    </w:p>
    <w:p w14:paraId="23782DFA" w14:textId="779B44A1" w:rsidR="00591C4B" w:rsidRPr="009A5185" w:rsidRDefault="00E46668" w:rsidP="00CF5A6E">
      <w:pPr>
        <w:pStyle w:val="Heading2"/>
      </w:pPr>
      <w:bookmarkStart w:id="122" w:name="_Section_1B:_Person-Centered"/>
      <w:bookmarkStart w:id="123" w:name="_Toc225877681"/>
      <w:bookmarkEnd w:id="122"/>
      <w:r>
        <w:lastRenderedPageBreak/>
        <w:t xml:space="preserve">Section 1: </w:t>
      </w:r>
      <w:r w:rsidR="00AB508D">
        <w:t xml:space="preserve">Patient Rights and Ethics </w:t>
      </w:r>
      <w:r w:rsidR="00D43442">
        <w:t>Frequently Asked Questions</w:t>
      </w:r>
      <w:r w:rsidR="0003005A">
        <w:t xml:space="preserve"> (FAQs)</w:t>
      </w:r>
      <w:bookmarkEnd w:id="123"/>
    </w:p>
    <w:p w14:paraId="148F075F" w14:textId="77777777" w:rsidR="00591C4B" w:rsidRPr="00A26035" w:rsidRDefault="00591C4B">
      <w:pPr>
        <w:rPr>
          <w:rFonts w:cs="Arial"/>
        </w:rPr>
      </w:pPr>
    </w:p>
    <w:p w14:paraId="112F7BB0" w14:textId="6F5B5212" w:rsidR="00C42E0E" w:rsidRPr="00A26035" w:rsidRDefault="0038726A" w:rsidP="00AB5B80">
      <w:pPr>
        <w:pStyle w:val="Heading3"/>
        <w:rPr>
          <w:sz w:val="20"/>
          <w:szCs w:val="20"/>
        </w:rPr>
      </w:pPr>
      <w:bookmarkStart w:id="124" w:name="negotiatedcharge"/>
      <w:bookmarkStart w:id="125" w:name="_Toc225877682"/>
      <w:bookmarkEnd w:id="124"/>
      <w:r>
        <w:t>Basic Hospital Information</w:t>
      </w:r>
      <w:r w:rsidR="00B078B4">
        <w:t xml:space="preserve"> FAQs</w:t>
      </w:r>
      <w:bookmarkEnd w:id="125"/>
      <w:r w:rsidR="00C8002F">
        <w:br/>
      </w:r>
    </w:p>
    <w:p w14:paraId="6EC54CB2" w14:textId="3F103CED" w:rsidR="0038726A" w:rsidRPr="008A39A1" w:rsidRDefault="0038726A" w:rsidP="00AD309C">
      <w:pPr>
        <w:pStyle w:val="ListParagraph"/>
        <w:numPr>
          <w:ilvl w:val="0"/>
          <w:numId w:val="114"/>
        </w:numPr>
        <w:spacing w:line="264" w:lineRule="auto"/>
        <w:rPr>
          <w:b/>
        </w:rPr>
      </w:pPr>
      <w:r w:rsidRPr="008A39A1">
        <w:rPr>
          <w:b/>
        </w:rPr>
        <w:t xml:space="preserve">How does Leapfrog define board certified and board eligible? </w:t>
      </w:r>
    </w:p>
    <w:p w14:paraId="221C42B9" w14:textId="77777777" w:rsidR="0038726A" w:rsidRPr="00A53818" w:rsidRDefault="0038726A" w:rsidP="0038726A">
      <w:pPr>
        <w:ind w:left="360"/>
        <w:contextualSpacing/>
        <w:rPr>
          <w:rFonts w:cs="Arial"/>
        </w:rPr>
      </w:pPr>
      <w:r w:rsidRPr="00A53818">
        <w:rPr>
          <w:rFonts w:cs="Arial"/>
        </w:rPr>
        <w:t>For physicians:</w:t>
      </w:r>
    </w:p>
    <w:p w14:paraId="31388900" w14:textId="77777777" w:rsidR="0038726A" w:rsidRPr="00A53818" w:rsidRDefault="0038726A" w:rsidP="00AD309C">
      <w:pPr>
        <w:pStyle w:val="ListParagraph"/>
        <w:numPr>
          <w:ilvl w:val="0"/>
          <w:numId w:val="115"/>
        </w:numPr>
        <w:spacing w:after="120"/>
        <w:ind w:left="576"/>
        <w:rPr>
          <w:rFonts w:cs="Arial"/>
        </w:rPr>
      </w:pPr>
      <w:r w:rsidRPr="00A53818">
        <w:rPr>
          <w:rFonts w:cs="Arial"/>
          <w:u w:val="single"/>
        </w:rPr>
        <w:t>Board certified</w:t>
      </w:r>
      <w:r w:rsidRPr="00A53818">
        <w:rPr>
          <w:rFonts w:cs="Arial"/>
        </w:rPr>
        <w:t xml:space="preserve"> means that the physician has been awarded certification from the American Board of Medical Specialties (ABMS)</w:t>
      </w:r>
      <w:r>
        <w:rPr>
          <w:rFonts w:cs="Arial"/>
        </w:rPr>
        <w:t xml:space="preserve"> or</w:t>
      </w:r>
      <w:r w:rsidRPr="000E0348">
        <w:rPr>
          <w:rFonts w:cs="Arial"/>
        </w:rPr>
        <w:t xml:space="preserve"> the American </w:t>
      </w:r>
      <w:r>
        <w:rPr>
          <w:rFonts w:cs="Arial"/>
        </w:rPr>
        <w:t>Osteopathic Association (AOA).</w:t>
      </w:r>
    </w:p>
    <w:p w14:paraId="60EC9E03" w14:textId="3E459257" w:rsidR="0038726A" w:rsidRPr="00A53818" w:rsidRDefault="0038726A" w:rsidP="00AD309C">
      <w:pPr>
        <w:pStyle w:val="ListParagraph"/>
        <w:numPr>
          <w:ilvl w:val="0"/>
          <w:numId w:val="115"/>
        </w:numPr>
        <w:ind w:left="576"/>
        <w:rPr>
          <w:rFonts w:cs="Arial"/>
        </w:rPr>
      </w:pPr>
      <w:r w:rsidRPr="00A53818">
        <w:rPr>
          <w:rFonts w:cs="Arial"/>
          <w:u w:val="single"/>
        </w:rPr>
        <w:t>Board eligible</w:t>
      </w:r>
      <w:r w:rsidRPr="00A53818">
        <w:rPr>
          <w:rFonts w:cs="Arial"/>
        </w:rPr>
        <w:t xml:space="preserve"> indicates that the physician has completed their initial training</w:t>
      </w:r>
      <w:r>
        <w:rPr>
          <w:rFonts w:cs="Arial"/>
        </w:rPr>
        <w:t>/</w:t>
      </w:r>
      <w:r w:rsidRPr="00A53818">
        <w:rPr>
          <w:rFonts w:cs="Arial"/>
        </w:rPr>
        <w:t>fellowship but has not yet passed an existing board-certifying exam in a specialty. Leapfrog adheres to the ABMS</w:t>
      </w:r>
      <w:r>
        <w:rPr>
          <w:rFonts w:cs="Arial"/>
        </w:rPr>
        <w:t xml:space="preserve"> and AOA</w:t>
      </w:r>
      <w:r w:rsidRPr="00A53818">
        <w:rPr>
          <w:rFonts w:cs="Arial"/>
        </w:rPr>
        <w:t xml:space="preserve"> Board Eligibility Policy for all specialties, which may be reviewed here: </w:t>
      </w:r>
      <w:hyperlink r:id="rId130" w:history="1">
        <w:r w:rsidR="00F73162" w:rsidRPr="006A4570">
          <w:rPr>
            <w:rStyle w:val="Hyperlink"/>
          </w:rPr>
          <w:t>https://www.abms.org/board-certification/board-certification-requirements/board-eligibility/</w:t>
        </w:r>
      </w:hyperlink>
      <w:r w:rsidR="00F73162">
        <w:t xml:space="preserve"> </w:t>
      </w:r>
      <w:r w:rsidRPr="000E0348">
        <w:rPr>
          <w:rFonts w:cs="Arial"/>
        </w:rPr>
        <w:t xml:space="preserve">and </w:t>
      </w:r>
      <w:hyperlink r:id="rId131" w:history="1">
        <w:r w:rsidRPr="00E045BD">
          <w:rPr>
            <w:rStyle w:val="Hyperlink"/>
            <w:rFonts w:cs="Arial"/>
          </w:rPr>
          <w:t>https://certification.osteopathic.org/about/</w:t>
        </w:r>
      </w:hyperlink>
      <w:r w:rsidRPr="000E0348">
        <w:rPr>
          <w:rFonts w:cs="Arial"/>
        </w:rPr>
        <w:t>, respectively</w:t>
      </w:r>
      <w:r>
        <w:rPr>
          <w:rFonts w:cs="Arial"/>
        </w:rPr>
        <w:t>.</w:t>
      </w:r>
      <w:r w:rsidRPr="00A53818">
        <w:rPr>
          <w:rFonts w:cs="Arial"/>
        </w:rPr>
        <w:t xml:space="preserve"> These eligibility periods provide the physician with an adequate window to take </w:t>
      </w:r>
      <w:r w:rsidR="00D016B4">
        <w:rPr>
          <w:rFonts w:cs="Arial"/>
        </w:rPr>
        <w:t>their</w:t>
      </w:r>
      <w:r w:rsidRPr="00A53818">
        <w:rPr>
          <w:rFonts w:cs="Arial"/>
        </w:rPr>
        <w:t xml:space="preserve"> boards and re-take if necessary. </w:t>
      </w:r>
    </w:p>
    <w:p w14:paraId="7076D132" w14:textId="77777777" w:rsidR="0038726A" w:rsidRPr="00A26035" w:rsidRDefault="0038726A" w:rsidP="0038726A">
      <w:pPr>
        <w:ind w:left="144"/>
      </w:pPr>
    </w:p>
    <w:p w14:paraId="03AC4470" w14:textId="77777777" w:rsidR="00355191" w:rsidRDefault="0038726A" w:rsidP="004D1420">
      <w:pPr>
        <w:ind w:left="360"/>
      </w:pPr>
      <w:r>
        <w:t>For CRNAs</w:t>
      </w:r>
      <w:r w:rsidR="004D1420">
        <w:t xml:space="preserve">, </w:t>
      </w:r>
      <w:r w:rsidR="004D1420">
        <w:rPr>
          <w:u w:val="single"/>
        </w:rPr>
        <w:t>b</w:t>
      </w:r>
      <w:r w:rsidRPr="004D1420">
        <w:rPr>
          <w:u w:val="single"/>
        </w:rPr>
        <w:t>oard certified</w:t>
      </w:r>
      <w:r>
        <w:t xml:space="preserve"> means that the RN has been awarded certification from The National Board of Certification and Recertification for Nurse Anesthetists (NBCRNA). </w:t>
      </w:r>
    </w:p>
    <w:p w14:paraId="68D0EDD4" w14:textId="77777777" w:rsidR="00355191" w:rsidRDefault="00355191" w:rsidP="004D1420">
      <w:pPr>
        <w:ind w:left="360"/>
      </w:pPr>
    </w:p>
    <w:p w14:paraId="3FF55592" w14:textId="3516B9A5" w:rsidR="000978BF" w:rsidRPr="001F2388" w:rsidRDefault="000978BF" w:rsidP="00AD309C">
      <w:pPr>
        <w:pStyle w:val="ListParagraph"/>
        <w:numPr>
          <w:ilvl w:val="0"/>
          <w:numId w:val="114"/>
        </w:numPr>
        <w:rPr>
          <w:rFonts w:ascii="Aptos" w:hAnsi="Aptos"/>
          <w:b/>
          <w:bCs/>
        </w:rPr>
      </w:pPr>
      <w:bookmarkStart w:id="126" w:name="ReportConcerns"/>
      <w:r w:rsidRPr="001F2388">
        <w:rPr>
          <w:b/>
          <w:bCs/>
        </w:rPr>
        <w:t xml:space="preserve">Regarding clinicians’ role in the rapid response team, can we require that activation of the rapid response team be mediated by a clinical professional, such as a nurse? What </w:t>
      </w:r>
      <w:r w:rsidR="00803BF0" w:rsidRPr="001F2388">
        <w:rPr>
          <w:b/>
          <w:bCs/>
        </w:rPr>
        <w:t>training</w:t>
      </w:r>
      <w:r w:rsidRPr="001F2388">
        <w:rPr>
          <w:b/>
          <w:bCs/>
        </w:rPr>
        <w:t xml:space="preserve"> do clinicians need to have to respond to a request for a rapid response team?</w:t>
      </w:r>
    </w:p>
    <w:p w14:paraId="71D1DBB7" w14:textId="5FB04494" w:rsidR="0038726A" w:rsidRDefault="000978BF" w:rsidP="00170001">
      <w:pPr>
        <w:ind w:left="360"/>
      </w:pPr>
      <w:r>
        <w:t xml:space="preserve">The rapid response team should be able to be directly activated by the patient themselves, as opposed to through a clinical staff intermediary. Regarding the training program, Leapfrog only requires that clinicians be trained to recognize when a patient or family caregiver is asking for an evaluation by a rapid response team and be trained on how to conduct the evaluation if they are part of the rapid response team. </w:t>
      </w:r>
      <w:r w:rsidR="008A67B5" w:rsidRPr="000945D9">
        <w:t xml:space="preserve">Program examples include </w:t>
      </w:r>
      <w:hyperlink r:id="rId132" w:history="1">
        <w:r w:rsidR="008A67B5" w:rsidRPr="000945D9">
          <w:rPr>
            <w:rStyle w:val="Hyperlink"/>
          </w:rPr>
          <w:t>Condition Help</w:t>
        </w:r>
      </w:hyperlink>
      <w:r w:rsidR="008A67B5" w:rsidRPr="000945D9">
        <w:t xml:space="preserve"> at the University of Pittsburgh Medical Center and a program at </w:t>
      </w:r>
      <w:hyperlink r:id="rId133" w:history="1">
        <w:r w:rsidR="008A67B5" w:rsidRPr="000945D9">
          <w:rPr>
            <w:rStyle w:val="Hyperlink"/>
          </w:rPr>
          <w:t>MonHealth Medical Center</w:t>
        </w:r>
      </w:hyperlink>
      <w:r w:rsidR="008A67B5" w:rsidRPr="000945D9">
        <w:t>.</w:t>
      </w:r>
      <w:bookmarkEnd w:id="126"/>
      <w:r w:rsidR="00C8002F">
        <w:br/>
      </w:r>
    </w:p>
    <w:p w14:paraId="3046412A" w14:textId="3BF26ABF" w:rsidR="00147C67" w:rsidRPr="008C44B3" w:rsidRDefault="006D304F" w:rsidP="00AB5B80">
      <w:pPr>
        <w:pStyle w:val="Heading3"/>
      </w:pPr>
      <w:bookmarkStart w:id="127" w:name="_Person-Centered_Care:_Billing"/>
      <w:bookmarkStart w:id="128" w:name="_Ref123646360"/>
      <w:bookmarkStart w:id="129" w:name="_Toc225877683"/>
      <w:bookmarkEnd w:id="127"/>
      <w:r>
        <w:t>Billing Ethics</w:t>
      </w:r>
      <w:bookmarkStart w:id="130" w:name="real_cash_prices"/>
      <w:bookmarkStart w:id="131" w:name="common_shoppable_services"/>
      <w:bookmarkStart w:id="132" w:name="hc_professionals"/>
      <w:bookmarkStart w:id="133" w:name="outofnetwork"/>
      <w:bookmarkStart w:id="134" w:name="balance_bill"/>
      <w:bookmarkStart w:id="135" w:name="legalaction"/>
      <w:bookmarkEnd w:id="128"/>
      <w:bookmarkEnd w:id="130"/>
      <w:bookmarkEnd w:id="131"/>
      <w:bookmarkEnd w:id="132"/>
      <w:bookmarkEnd w:id="133"/>
      <w:bookmarkEnd w:id="134"/>
      <w:bookmarkEnd w:id="135"/>
      <w:r w:rsidR="00B078B4">
        <w:t xml:space="preserve"> FAQs</w:t>
      </w:r>
      <w:bookmarkEnd w:id="129"/>
    </w:p>
    <w:p w14:paraId="51ED31C9" w14:textId="77777777" w:rsidR="00C62199" w:rsidRPr="009617F5" w:rsidRDefault="00C62199" w:rsidP="00AD309C">
      <w:pPr>
        <w:pStyle w:val="ListParagraph"/>
        <w:numPr>
          <w:ilvl w:val="0"/>
          <w:numId w:val="114"/>
        </w:numPr>
        <w:spacing w:before="200" w:after="200"/>
        <w:rPr>
          <w:rFonts w:eastAsia="Avenir" w:cstheme="minorHAnsi"/>
          <w:b/>
          <w:bCs/>
        </w:rPr>
      </w:pPr>
      <w:r w:rsidRPr="009617F5">
        <w:rPr>
          <w:rFonts w:eastAsia="Avenir" w:cstheme="minorHAnsi"/>
          <w:b/>
          <w:bCs/>
        </w:rPr>
        <w:t>Can we consider information provided to patients at admission, or as part of the “conditions of admission” packet of material, as information that meets one or more of the elements of the billing statement in question #1?</w:t>
      </w:r>
    </w:p>
    <w:p w14:paraId="139BD30D" w14:textId="73F40797" w:rsidR="00C62199" w:rsidRPr="00C55770" w:rsidRDefault="00C62199" w:rsidP="00C55770">
      <w:pPr>
        <w:pStyle w:val="ListParagraph"/>
        <w:spacing w:before="200" w:after="200"/>
        <w:ind w:left="360"/>
        <w:rPr>
          <w:rFonts w:eastAsia="Avenir" w:cstheme="minorHAnsi"/>
        </w:rPr>
      </w:pPr>
      <w:r w:rsidRPr="00C55770">
        <w:rPr>
          <w:rFonts w:eastAsia="Avenir" w:cstheme="minorHAnsi"/>
        </w:rPr>
        <w:t xml:space="preserve">No. Only information provided </w:t>
      </w:r>
      <w:r w:rsidR="00C943F1" w:rsidRPr="00C55770">
        <w:rPr>
          <w:rFonts w:eastAsia="Avenir" w:cstheme="minorHAnsi"/>
        </w:rPr>
        <w:t xml:space="preserve">directly to the patient </w:t>
      </w:r>
      <w:r w:rsidRPr="00C55770">
        <w:rPr>
          <w:rFonts w:eastAsia="Avenir" w:cstheme="minorHAnsi"/>
        </w:rPr>
        <w:t xml:space="preserve">by mail or electronically (via </w:t>
      </w:r>
      <w:r w:rsidR="00355191" w:rsidRPr="00C55770">
        <w:rPr>
          <w:rFonts w:eastAsia="Avenir" w:cstheme="minorHAnsi"/>
        </w:rPr>
        <w:t xml:space="preserve">email </w:t>
      </w:r>
      <w:r w:rsidRPr="00C55770">
        <w:rPr>
          <w:rFonts w:eastAsia="Avenir" w:cstheme="minorHAnsi"/>
        </w:rPr>
        <w:t>or</w:t>
      </w:r>
      <w:r w:rsidR="00552735" w:rsidRPr="00C55770">
        <w:rPr>
          <w:rFonts w:eastAsia="Avenir" w:cstheme="minorHAnsi"/>
        </w:rPr>
        <w:t xml:space="preserve"> </w:t>
      </w:r>
      <w:r w:rsidRPr="00C55770">
        <w:rPr>
          <w:rFonts w:eastAsia="Avenir" w:cstheme="minorHAnsi"/>
        </w:rPr>
        <w:t>the patient portal) can be considered.</w:t>
      </w:r>
      <w:r w:rsidR="00552735" w:rsidRPr="00C55770">
        <w:rPr>
          <w:rFonts w:eastAsia="Avenir" w:cstheme="minorHAnsi"/>
        </w:rPr>
        <w:t xml:space="preserve"> </w:t>
      </w:r>
    </w:p>
    <w:p w14:paraId="297B4C18" w14:textId="77777777" w:rsidR="001338DC" w:rsidRPr="004D1420" w:rsidRDefault="001338DC" w:rsidP="004D1420">
      <w:pPr>
        <w:pStyle w:val="ListParagraph"/>
        <w:spacing w:before="200" w:after="200"/>
        <w:ind w:left="360"/>
        <w:rPr>
          <w:bCs/>
        </w:rPr>
      </w:pPr>
    </w:p>
    <w:p w14:paraId="7364B2AA" w14:textId="3AC00BE7" w:rsidR="00831BE5" w:rsidRPr="0003224D" w:rsidRDefault="003D4E88" w:rsidP="00AD309C">
      <w:pPr>
        <w:pStyle w:val="ListParagraph"/>
        <w:numPr>
          <w:ilvl w:val="0"/>
          <w:numId w:val="114"/>
        </w:numPr>
        <w:spacing w:before="200" w:after="200"/>
        <w:rPr>
          <w:bCs/>
        </w:rPr>
      </w:pPr>
      <w:r w:rsidRPr="003D4E88">
        <w:rPr>
          <w:rFonts w:eastAsia="Avenir" w:cstheme="minorHAnsi"/>
          <w:b/>
          <w:bCs/>
        </w:rPr>
        <w:t xml:space="preserve">To meet the criteria for item “i” in question #1, does our hospital have to translate the billing statement and/or master itemized bill to every language spoken by our patients? </w:t>
      </w:r>
      <w:r w:rsidR="00F76803">
        <w:rPr>
          <w:rFonts w:eastAsia="Avenir" w:cstheme="minorHAnsi"/>
          <w:b/>
          <w:bCs/>
        </w:rPr>
        <w:br/>
      </w:r>
      <w:r w:rsidR="00B7495D" w:rsidRPr="00C67A5E">
        <w:t>Hospitals must provide instructions, in the patient’s pr</w:t>
      </w:r>
      <w:r w:rsidR="00B7495D">
        <w:t>eferred</w:t>
      </w:r>
      <w:r w:rsidR="00B7495D" w:rsidRPr="00C67A5E">
        <w:t xml:space="preserve"> language, on how to obtain a written translation or oral interpretation of the bill if the language constitutes 5% (and at least 50 patients) or 1,000 patients (whichever is less) of the population eligible to be served or likely to </w:t>
      </w:r>
      <w:r w:rsidR="00F44DEB">
        <w:t>receive care at the hospital.</w:t>
      </w:r>
      <w:r w:rsidR="000B1A47" w:rsidRPr="0003224D">
        <w:rPr>
          <w:rFonts w:cs="Arial"/>
        </w:rPr>
        <w:br/>
      </w:r>
    </w:p>
    <w:p w14:paraId="5ABB6261" w14:textId="16255D7F" w:rsidR="00FF6DE3" w:rsidRDefault="00576ABB" w:rsidP="00AD309C">
      <w:pPr>
        <w:pStyle w:val="ListParagraph"/>
        <w:numPr>
          <w:ilvl w:val="0"/>
          <w:numId w:val="114"/>
        </w:numPr>
        <w:rPr>
          <w:rFonts w:cs="Arial"/>
          <w:b/>
          <w:bCs/>
        </w:rPr>
      </w:pPr>
      <w:r w:rsidRPr="0049241F">
        <w:rPr>
          <w:rFonts w:eastAsia="Avenir" w:cstheme="minorHAnsi"/>
          <w:b/>
          <w:bCs/>
        </w:rPr>
        <w:t>As a SafetyNet hospital, our funding comes from taxpayers, grants, and government funding.</w:t>
      </w:r>
      <w:r w:rsidR="008452BB">
        <w:rPr>
          <w:rFonts w:eastAsia="Avenir" w:cstheme="minorHAnsi"/>
          <w:b/>
          <w:bCs/>
        </w:rPr>
        <w:t xml:space="preserve"> </w:t>
      </w:r>
      <w:r w:rsidRPr="0049241F">
        <w:rPr>
          <w:rFonts w:eastAsia="Avenir" w:cstheme="minorHAnsi"/>
          <w:b/>
          <w:bCs/>
        </w:rPr>
        <w:t>A large portion of our patients are deemed indigent and do not receive a bill for any services.</w:t>
      </w:r>
      <w:r w:rsidR="00F56EE4">
        <w:rPr>
          <w:rFonts w:eastAsia="Avenir" w:cstheme="minorHAnsi"/>
          <w:b/>
          <w:bCs/>
        </w:rPr>
        <w:t xml:space="preserve"> </w:t>
      </w:r>
      <w:r w:rsidRPr="0049241F">
        <w:rPr>
          <w:rFonts w:eastAsia="Avenir" w:cstheme="minorHAnsi"/>
          <w:b/>
          <w:bCs/>
        </w:rPr>
        <w:t>Only a small portion with insurance will receive a bill. Therefore, we do not send a bill to every patient.</w:t>
      </w:r>
      <w:r>
        <w:rPr>
          <w:rFonts w:eastAsia="Avenir" w:cstheme="minorHAnsi"/>
          <w:b/>
          <w:bCs/>
        </w:rPr>
        <w:t xml:space="preserve"> Can we respond “yes” to question #1?</w:t>
      </w:r>
      <w:r w:rsidRPr="00F92E46">
        <w:rPr>
          <w:rFonts w:cs="Arial"/>
          <w:b/>
          <w:bCs/>
        </w:rPr>
        <w:br/>
      </w:r>
      <w:r w:rsidR="00F17FBD">
        <w:rPr>
          <w:rFonts w:eastAsia="Avenir" w:cstheme="minorHAnsi"/>
        </w:rPr>
        <w:t xml:space="preserve">Yes. </w:t>
      </w:r>
      <w:r w:rsidRPr="00583E7F">
        <w:rPr>
          <w:rFonts w:eastAsia="Avenir" w:cstheme="minorHAnsi"/>
        </w:rPr>
        <w:t>Hospitals</w:t>
      </w:r>
      <w:r w:rsidR="005050CD">
        <w:rPr>
          <w:rFonts w:eastAsia="Avenir" w:cstheme="minorHAnsi"/>
        </w:rPr>
        <w:t xml:space="preserve"> do not need</w:t>
      </w:r>
      <w:r w:rsidRPr="00583E7F">
        <w:rPr>
          <w:rFonts w:eastAsia="Avenir" w:cstheme="minorHAnsi"/>
        </w:rPr>
        <w:t xml:space="preserve"> to provide billing statements to patients with no balance due</w:t>
      </w:r>
      <w:r w:rsidR="00CE2910">
        <w:rPr>
          <w:rFonts w:eastAsia="Avenir" w:cstheme="minorHAnsi"/>
        </w:rPr>
        <w:t xml:space="preserve"> in order</w:t>
      </w:r>
      <w:r w:rsidRPr="00583E7F">
        <w:rPr>
          <w:rFonts w:eastAsia="Avenir" w:cstheme="minorHAnsi"/>
        </w:rPr>
        <w:t xml:space="preserve"> to respond “yes” to question #1. </w:t>
      </w:r>
      <w:r w:rsidRPr="00326AFD">
        <w:rPr>
          <w:rFonts w:eastAsia="Avenir" w:cstheme="minorHAnsi"/>
        </w:rPr>
        <w:t>However, for those patients who are receiving a bill, all the criteria</w:t>
      </w:r>
      <w:r w:rsidR="00173133">
        <w:rPr>
          <w:rFonts w:eastAsia="Avenir" w:cstheme="minorHAnsi"/>
        </w:rPr>
        <w:t xml:space="preserve"> listed in the question</w:t>
      </w:r>
      <w:r w:rsidRPr="00326AFD">
        <w:rPr>
          <w:rFonts w:eastAsia="Avenir" w:cstheme="minorHAnsi"/>
        </w:rPr>
        <w:t xml:space="preserve"> </w:t>
      </w:r>
      <w:r w:rsidR="005050CD">
        <w:rPr>
          <w:rFonts w:eastAsia="Avenir" w:cstheme="minorHAnsi"/>
        </w:rPr>
        <w:t>must be</w:t>
      </w:r>
      <w:r w:rsidR="00173133">
        <w:rPr>
          <w:rFonts w:eastAsia="Avenir" w:cstheme="minorHAnsi"/>
        </w:rPr>
        <w:t xml:space="preserve"> included</w:t>
      </w:r>
      <w:r w:rsidR="005050CD">
        <w:rPr>
          <w:rFonts w:eastAsia="Avenir" w:cstheme="minorHAnsi"/>
        </w:rPr>
        <w:t xml:space="preserve"> </w:t>
      </w:r>
      <w:r w:rsidRPr="00326AFD">
        <w:rPr>
          <w:rFonts w:eastAsia="Avenir" w:cstheme="minorHAnsi"/>
        </w:rPr>
        <w:t xml:space="preserve">to respond </w:t>
      </w:r>
      <w:r>
        <w:rPr>
          <w:rFonts w:eastAsia="Avenir" w:cstheme="minorHAnsi"/>
        </w:rPr>
        <w:t>“yes.”</w:t>
      </w:r>
      <w:r>
        <w:rPr>
          <w:rFonts w:eastAsia="Avenir" w:cstheme="minorHAnsi"/>
        </w:rPr>
        <w:br/>
      </w:r>
    </w:p>
    <w:p w14:paraId="2BE410F0" w14:textId="77777777" w:rsidR="00FF6DE3" w:rsidRDefault="00FF6DE3">
      <w:pPr>
        <w:rPr>
          <w:rFonts w:cs="Arial"/>
          <w:b/>
          <w:bCs/>
        </w:rPr>
      </w:pPr>
      <w:r>
        <w:rPr>
          <w:rFonts w:cs="Arial"/>
          <w:b/>
          <w:bCs/>
        </w:rPr>
        <w:br w:type="page"/>
      </w:r>
    </w:p>
    <w:p w14:paraId="060275DF" w14:textId="77777777" w:rsidR="00F846C8" w:rsidRPr="00A90AE6" w:rsidRDefault="00F9246C" w:rsidP="00AD309C">
      <w:pPr>
        <w:pStyle w:val="ListParagraph"/>
        <w:numPr>
          <w:ilvl w:val="0"/>
          <w:numId w:val="114"/>
        </w:numPr>
        <w:rPr>
          <w:rFonts w:cs="Arial"/>
          <w:b/>
          <w:bCs/>
        </w:rPr>
      </w:pPr>
      <w:r w:rsidRPr="00F92E46">
        <w:rPr>
          <w:rFonts w:cs="Arial"/>
          <w:b/>
        </w:rPr>
        <w:lastRenderedPageBreak/>
        <w:t>What does Leapfrog mean by “legal action” in question #</w:t>
      </w:r>
      <w:r w:rsidR="00B37158">
        <w:rPr>
          <w:rFonts w:cs="Arial"/>
          <w:b/>
        </w:rPr>
        <w:t>3</w:t>
      </w:r>
      <w:r w:rsidRPr="00F92E46">
        <w:rPr>
          <w:rFonts w:cs="Arial"/>
          <w:b/>
        </w:rPr>
        <w:t>?</w:t>
      </w:r>
      <w:r w:rsidRPr="00F92E46">
        <w:rPr>
          <w:rFonts w:cs="Arial"/>
          <w:b/>
        </w:rPr>
        <w:br/>
      </w:r>
      <w:r w:rsidR="00B43A2D" w:rsidRPr="00F92E46">
        <w:rPr>
          <w:rFonts w:eastAsia="Avenir" w:cs="Arial"/>
        </w:rPr>
        <w:t>Legal action can include, but is not limited to, a lawsuit, wage garnishment, filing to take a patient’s money out of their tax return, seizing or placing a lien on a patient’s personal property</w:t>
      </w:r>
      <w:r w:rsidR="009A43CA" w:rsidRPr="00F92E46">
        <w:rPr>
          <w:rFonts w:eastAsia="Avenir" w:cs="Arial"/>
        </w:rPr>
        <w:t>, and selling or transferring a patient’s debt to a debt collection agency</w:t>
      </w:r>
      <w:r w:rsidR="0085295C" w:rsidRPr="00F92E46">
        <w:rPr>
          <w:rFonts w:eastAsia="Avenir" w:cs="Arial"/>
        </w:rPr>
        <w:t xml:space="preserve"> that will take legal action against the patient</w:t>
      </w:r>
      <w:r w:rsidR="009A43CA" w:rsidRPr="00F92E46">
        <w:rPr>
          <w:rFonts w:eastAsia="Avenir" w:cs="Arial"/>
        </w:rPr>
        <w:t>.</w:t>
      </w:r>
      <w:r w:rsidR="00B7495D" w:rsidRPr="00F92E46">
        <w:rPr>
          <w:rFonts w:eastAsia="Avenir" w:cs="Arial"/>
        </w:rPr>
        <w:t xml:space="preserve"> </w:t>
      </w:r>
    </w:p>
    <w:p w14:paraId="2D02438D" w14:textId="507EE0A4" w:rsidR="005830F6" w:rsidRPr="00F92E46" w:rsidRDefault="00B7495D" w:rsidP="00A90AE6">
      <w:pPr>
        <w:pStyle w:val="ListParagraph"/>
        <w:ind w:left="360"/>
        <w:rPr>
          <w:rFonts w:cs="Arial"/>
          <w:b/>
          <w:bCs/>
        </w:rPr>
      </w:pPr>
      <w:r w:rsidRPr="00F92E46">
        <w:rPr>
          <w:rFonts w:eastAsia="Avenir" w:cs="Arial"/>
        </w:rPr>
        <w:t>If</w:t>
      </w:r>
      <w:r w:rsidR="00F846C8">
        <w:rPr>
          <w:rFonts w:eastAsia="Avenir" w:cs="Arial"/>
        </w:rPr>
        <w:t>, through their contract with the hospital,</w:t>
      </w:r>
      <w:r w:rsidRPr="00F92E46">
        <w:rPr>
          <w:rFonts w:eastAsia="Avenir" w:cs="Arial"/>
        </w:rPr>
        <w:t xml:space="preserve"> the debt collection agency is prevented from taking legal action against patients, selling or transferring a patient’s debt to that debt collection agency would not be considered legal action.</w:t>
      </w:r>
    </w:p>
    <w:p w14:paraId="3F946C4A" w14:textId="77777777" w:rsidR="005830F6" w:rsidRPr="0022585F" w:rsidRDefault="005830F6" w:rsidP="005830F6">
      <w:pPr>
        <w:pStyle w:val="ListParagraph"/>
        <w:spacing w:before="200" w:after="200" w:line="276" w:lineRule="auto"/>
        <w:ind w:left="360"/>
        <w:rPr>
          <w:rFonts w:eastAsia="Avenir" w:cs="Arial"/>
        </w:rPr>
      </w:pPr>
    </w:p>
    <w:p w14:paraId="38482EFE" w14:textId="2E7CC327" w:rsidR="00B7495D" w:rsidRPr="00F92E46" w:rsidRDefault="00B43A2D" w:rsidP="00BA2EAD">
      <w:pPr>
        <w:pStyle w:val="ListParagraph"/>
        <w:spacing w:before="200" w:after="200"/>
        <w:ind w:left="360"/>
        <w:rPr>
          <w:rFonts w:eastAsia="Avenir" w:cs="Arial"/>
        </w:rPr>
      </w:pPr>
      <w:bookmarkStart w:id="136" w:name="_Hlk66266736"/>
      <w:r w:rsidRPr="00F92E46">
        <w:rPr>
          <w:rFonts w:eastAsia="Avenir" w:cs="Arial"/>
        </w:rPr>
        <w:t xml:space="preserve">Patients with whom your hospital has entered into a written agreement specifying a </w:t>
      </w:r>
      <w:r w:rsidR="00EE2FA5">
        <w:rPr>
          <w:rFonts w:eastAsia="Avenir" w:cs="Arial"/>
        </w:rPr>
        <w:t xml:space="preserve">good faith estimate </w:t>
      </w:r>
      <w:r w:rsidRPr="00F92E46">
        <w:rPr>
          <w:rFonts w:eastAsia="Avenir" w:cs="Arial"/>
        </w:rPr>
        <w:t>for a medical service</w:t>
      </w:r>
      <w:r w:rsidR="00AB52E0">
        <w:rPr>
          <w:rFonts w:eastAsia="Avenir" w:cs="Arial"/>
        </w:rPr>
        <w:t xml:space="preserve"> are not included</w:t>
      </w:r>
      <w:r w:rsidRPr="00F92E46">
        <w:rPr>
          <w:rFonts w:eastAsia="Avenir" w:cs="Arial"/>
        </w:rPr>
        <w:t xml:space="preserve"> in this question.</w:t>
      </w:r>
      <w:bookmarkEnd w:id="136"/>
      <w:r w:rsidR="00B7495D" w:rsidRPr="00F92E46">
        <w:rPr>
          <w:rFonts w:eastAsia="Avenir" w:cs="Arial"/>
        </w:rPr>
        <w:t xml:space="preserve"> A patient's insurance being accepted by the hospital, or publicly available prices for a procedure, do NOT constitute a written agreement specifying a set price for a procedure. </w:t>
      </w:r>
    </w:p>
    <w:p w14:paraId="443F971F" w14:textId="77777777" w:rsidR="00B7495D" w:rsidRPr="0022585F" w:rsidRDefault="00B7495D" w:rsidP="00BA2EAD">
      <w:pPr>
        <w:pStyle w:val="ListParagraph"/>
        <w:spacing w:before="200" w:after="200"/>
        <w:ind w:left="360"/>
        <w:rPr>
          <w:rFonts w:eastAsia="Avenir" w:cs="Arial"/>
        </w:rPr>
      </w:pPr>
    </w:p>
    <w:p w14:paraId="34222B4B" w14:textId="53D18D45" w:rsidR="005830F6" w:rsidRDefault="00B7495D" w:rsidP="00BA2EAD">
      <w:pPr>
        <w:pStyle w:val="ListParagraph"/>
        <w:spacing w:before="200" w:after="200"/>
        <w:ind w:left="360"/>
        <w:rPr>
          <w:rFonts w:eastAsia="Avenir" w:cs="Arial"/>
        </w:rPr>
      </w:pPr>
      <w:r w:rsidRPr="00F92E46">
        <w:rPr>
          <w:rFonts w:eastAsia="Avenir" w:cs="Arial"/>
        </w:rPr>
        <w:t>In addition, other legal proceedings where patients may be named as defendants for causes other than late or non-payment of a medical bill are not included in this standard (e.g., filing a lien after an auto accident, or misappropriation of an insurance reimbursement).</w:t>
      </w:r>
    </w:p>
    <w:p w14:paraId="0A2A2E43" w14:textId="77777777" w:rsidR="007959CA" w:rsidRPr="0022585F" w:rsidRDefault="007959CA" w:rsidP="00B7495D">
      <w:pPr>
        <w:pStyle w:val="ListParagraph"/>
        <w:spacing w:before="200" w:after="200" w:line="276" w:lineRule="auto"/>
        <w:ind w:left="360"/>
        <w:rPr>
          <w:rFonts w:eastAsia="Avenir" w:cs="Arial"/>
        </w:rPr>
      </w:pPr>
    </w:p>
    <w:p w14:paraId="58E33EDD" w14:textId="77777777" w:rsidR="007959CA" w:rsidRPr="00BA106B" w:rsidRDefault="007959CA" w:rsidP="00AD309C">
      <w:pPr>
        <w:pStyle w:val="ListParagraph"/>
        <w:numPr>
          <w:ilvl w:val="0"/>
          <w:numId w:val="114"/>
        </w:numPr>
        <w:rPr>
          <w:rFonts w:eastAsia="Avenir" w:cstheme="minorHAnsi"/>
          <w:b/>
          <w:bCs/>
        </w:rPr>
      </w:pPr>
      <w:r w:rsidRPr="00BA106B">
        <w:rPr>
          <w:rFonts w:eastAsia="Avenir" w:cstheme="minorHAnsi"/>
          <w:b/>
          <w:bCs/>
        </w:rPr>
        <w:t>What are alternatives to legal action against patients?</w:t>
      </w:r>
    </w:p>
    <w:p w14:paraId="29257705" w14:textId="587997A9" w:rsidR="00B7495D" w:rsidRPr="0022585F" w:rsidRDefault="007959CA" w:rsidP="00BA2EAD">
      <w:pPr>
        <w:pStyle w:val="ListParagraph"/>
        <w:ind w:left="360"/>
        <w:rPr>
          <w:rFonts w:eastAsia="Avenir" w:cstheme="minorHAnsi"/>
        </w:rPr>
      </w:pPr>
      <w:r w:rsidRPr="00180CE0">
        <w:rPr>
          <w:rFonts w:eastAsia="Avenir" w:cstheme="minorHAnsi"/>
        </w:rPr>
        <w:t xml:space="preserve">To ensure that patients are not being pursued when they no longer have the means to pay, some healthcare providers partner with </w:t>
      </w:r>
      <w:r w:rsidR="008810A9">
        <w:rPr>
          <w:rFonts w:eastAsia="Avenir" w:cstheme="minorHAnsi"/>
        </w:rPr>
        <w:t>organizations</w:t>
      </w:r>
      <w:r w:rsidRPr="00180CE0">
        <w:rPr>
          <w:rFonts w:eastAsia="Avenir" w:cstheme="minorHAnsi"/>
        </w:rPr>
        <w:t xml:space="preserve"> such as </w:t>
      </w:r>
      <w:r w:rsidR="00DC79CC">
        <w:rPr>
          <w:rFonts w:eastAsia="Avenir" w:cstheme="minorHAnsi"/>
        </w:rPr>
        <w:t>Undue</w:t>
      </w:r>
      <w:r w:rsidR="00DC79CC" w:rsidRPr="00180CE0">
        <w:rPr>
          <w:rFonts w:eastAsia="Avenir" w:cstheme="minorHAnsi"/>
        </w:rPr>
        <w:t xml:space="preserve"> </w:t>
      </w:r>
      <w:r w:rsidRPr="00180CE0">
        <w:rPr>
          <w:rFonts w:eastAsia="Avenir" w:cstheme="minorHAnsi"/>
        </w:rPr>
        <w:t xml:space="preserve">Medical Debt, a nonprofit that uses philanthropically raised funds to acquire bad debt from health systems solely for the purpose of debt relief. They use credit analytics to locate patients with financial hardship and help notify the patient that the debt is abolished. Hospitals can contact </w:t>
      </w:r>
      <w:r w:rsidR="00DC79CC">
        <w:rPr>
          <w:rFonts w:eastAsia="Avenir" w:cstheme="minorHAnsi"/>
        </w:rPr>
        <w:t>Undue</w:t>
      </w:r>
      <w:r w:rsidR="00DC79CC" w:rsidRPr="00180CE0">
        <w:rPr>
          <w:rFonts w:eastAsia="Avenir" w:cstheme="minorHAnsi"/>
        </w:rPr>
        <w:t xml:space="preserve"> </w:t>
      </w:r>
      <w:r w:rsidRPr="00180CE0">
        <w:rPr>
          <w:rFonts w:eastAsia="Avenir" w:cstheme="minorHAnsi"/>
        </w:rPr>
        <w:t>Medical</w:t>
      </w:r>
      <w:r w:rsidRPr="00305390">
        <w:rPr>
          <w:rFonts w:eastAsia="Avenir"/>
        </w:rPr>
        <w:t xml:space="preserve"> Debt here: </w:t>
      </w:r>
      <w:hyperlink r:id="rId134" w:history="1">
        <w:r w:rsidR="002F3277" w:rsidRPr="00F66556">
          <w:rPr>
            <w:rStyle w:val="Hyperlink"/>
            <w:rFonts w:eastAsia="Avenir"/>
          </w:rPr>
          <w:t>https://unduemedicaldebt.org/contact/</w:t>
        </w:r>
      </w:hyperlink>
      <w:r w:rsidR="002F3277">
        <w:rPr>
          <w:rFonts w:eastAsia="Avenir"/>
        </w:rPr>
        <w:t>.</w:t>
      </w:r>
      <w:r w:rsidR="00BA2EAD">
        <w:rPr>
          <w:rFonts w:eastAsia="Avenir" w:cstheme="minorHAnsi"/>
        </w:rPr>
        <w:br/>
      </w:r>
    </w:p>
    <w:p w14:paraId="0D162F36" w14:textId="70394F49" w:rsidR="00E75C68" w:rsidRPr="00B44C7B" w:rsidRDefault="0003224D" w:rsidP="00AD309C">
      <w:pPr>
        <w:pStyle w:val="ListParagraph"/>
        <w:numPr>
          <w:ilvl w:val="0"/>
          <w:numId w:val="114"/>
        </w:numPr>
        <w:spacing w:before="200" w:after="200"/>
        <w:rPr>
          <w:rFonts w:eastAsia="Avenir" w:cstheme="minorHAnsi"/>
        </w:rPr>
      </w:pPr>
      <w:bookmarkStart w:id="137" w:name="goodfaithestimate"/>
      <w:r w:rsidRPr="00F92E46">
        <w:rPr>
          <w:rFonts w:cs="Arial"/>
          <w:b/>
          <w:bCs/>
        </w:rPr>
        <w:t>What is a “good faith estimate” as referred to in question #</w:t>
      </w:r>
      <w:r>
        <w:rPr>
          <w:rFonts w:cs="Arial"/>
          <w:b/>
          <w:bCs/>
        </w:rPr>
        <w:t>3</w:t>
      </w:r>
      <w:r w:rsidRPr="00F92E46">
        <w:rPr>
          <w:rFonts w:cs="Arial"/>
          <w:b/>
          <w:bCs/>
        </w:rPr>
        <w:t>?</w:t>
      </w:r>
      <w:bookmarkEnd w:id="137"/>
      <w:r w:rsidRPr="00F92E46">
        <w:rPr>
          <w:rFonts w:cs="Arial"/>
          <w:b/>
          <w:bCs/>
        </w:rPr>
        <w:br/>
      </w:r>
      <w:r w:rsidRPr="00F92E46">
        <w:rPr>
          <w:rFonts w:cs="Arial"/>
        </w:rPr>
        <w:t xml:space="preserve">A good faith estimate includes an itemized list of expected charges for the primary item or service the patient will receive and any other items or services provided as part of the same scheduled episode of care. The final bill must be no more than $400 over the amount of the good faith estimate. The Centers for Medicare and Medicaid Services have published an example template for providing good faith estimates: </w:t>
      </w:r>
      <w:hyperlink r:id="rId135" w:history="1">
        <w:r w:rsidR="00F90EB2" w:rsidRPr="00B90D27">
          <w:rPr>
            <w:rStyle w:val="Hyperlink"/>
          </w:rPr>
          <w:t>https://www.cms.gov/files/document/nsa-sample-good-faith-estimate.pdf</w:t>
        </w:r>
      </w:hyperlink>
      <w:r w:rsidR="00F90EB2">
        <w:t xml:space="preserve">. </w:t>
      </w:r>
      <w:r w:rsidR="00A624EC">
        <w:rPr>
          <w:rFonts w:cs="Arial"/>
        </w:rPr>
        <w:br/>
      </w:r>
    </w:p>
    <w:p w14:paraId="0D6DB0F4" w14:textId="77286BF9" w:rsidR="00744923" w:rsidRPr="000B3776" w:rsidRDefault="00744923" w:rsidP="00744923">
      <w:pPr>
        <w:pStyle w:val="ListParagraph"/>
        <w:numPr>
          <w:ilvl w:val="0"/>
          <w:numId w:val="114"/>
        </w:numPr>
        <w:spacing w:before="200" w:after="200"/>
        <w:rPr>
          <w:rFonts w:eastAsia="Avenir" w:cstheme="minorHAnsi"/>
          <w:b/>
          <w:bCs/>
        </w:rPr>
      </w:pPr>
      <w:r w:rsidRPr="000B3776">
        <w:rPr>
          <w:b/>
          <w:bCs/>
        </w:rPr>
        <w:t xml:space="preserve">How do I know if </w:t>
      </w:r>
      <w:r>
        <w:rPr>
          <w:b/>
          <w:bCs/>
        </w:rPr>
        <w:t>a</w:t>
      </w:r>
      <w:r w:rsidRPr="000B3776">
        <w:rPr>
          <w:b/>
          <w:bCs/>
        </w:rPr>
        <w:t xml:space="preserve"> state </w:t>
      </w:r>
      <w:r w:rsidR="00D157E4">
        <w:rPr>
          <w:b/>
          <w:bCs/>
        </w:rPr>
        <w:t xml:space="preserve">or federal </w:t>
      </w:r>
      <w:r w:rsidRPr="000B3776">
        <w:rPr>
          <w:b/>
          <w:bCs/>
        </w:rPr>
        <w:t>law requir</w:t>
      </w:r>
      <w:r>
        <w:rPr>
          <w:b/>
          <w:bCs/>
        </w:rPr>
        <w:t>es my</w:t>
      </w:r>
      <w:r w:rsidRPr="000B3776">
        <w:rPr>
          <w:b/>
          <w:bCs/>
        </w:rPr>
        <w:t xml:space="preserve"> hospital to transfer delinquent payments</w:t>
      </w:r>
      <w:r>
        <w:rPr>
          <w:b/>
          <w:bCs/>
        </w:rPr>
        <w:t xml:space="preserve"> to </w:t>
      </w:r>
      <w:r w:rsidR="00B3777C">
        <w:rPr>
          <w:b/>
          <w:bCs/>
        </w:rPr>
        <w:t>a state or federal agency (e.g., Department of Treasury, Attorney General, etc.)</w:t>
      </w:r>
      <w:r w:rsidRPr="000B3776">
        <w:rPr>
          <w:b/>
          <w:bCs/>
        </w:rPr>
        <w:t>?</w:t>
      </w:r>
    </w:p>
    <w:p w14:paraId="56F63EBF" w14:textId="56C3B49F" w:rsidR="0051452E" w:rsidRDefault="0051452E" w:rsidP="0051452E">
      <w:pPr>
        <w:pStyle w:val="ListParagraph"/>
        <w:ind w:left="360"/>
      </w:pPr>
      <w:r w:rsidRPr="008C3002">
        <w:t xml:space="preserve">These requirements generally apply to </w:t>
      </w:r>
      <w:r w:rsidRPr="00FC1EBD">
        <w:t>public or state-owned hospitals</w:t>
      </w:r>
      <w:r w:rsidRPr="008C3002">
        <w:t>, including hospitals operated by public universit</w:t>
      </w:r>
      <w:r w:rsidR="00D912DB">
        <w:t>ies</w:t>
      </w:r>
      <w:r w:rsidRPr="008C3002">
        <w:t xml:space="preserve"> or state health systems, in certain states (e.g., Illinois or New York). The obligation is tied to the hospital’s </w:t>
      </w:r>
      <w:r w:rsidRPr="00FC1EBD">
        <w:t>public ownership or operation</w:t>
      </w:r>
      <w:r w:rsidRPr="008C3002">
        <w:t>, rather than hospital status alone.</w:t>
      </w:r>
    </w:p>
    <w:p w14:paraId="3FD21841" w14:textId="77777777" w:rsidR="0051452E" w:rsidRDefault="0051452E" w:rsidP="0051452E">
      <w:pPr>
        <w:pStyle w:val="ListParagraph"/>
        <w:ind w:left="360"/>
      </w:pPr>
    </w:p>
    <w:p w14:paraId="3DAE371F" w14:textId="6C0B66F4" w:rsidR="009B01DB" w:rsidRDefault="0051452E" w:rsidP="00D912DB">
      <w:pPr>
        <w:pStyle w:val="ListParagraph"/>
        <w:spacing w:before="200" w:after="200"/>
        <w:ind w:left="360"/>
      </w:pPr>
      <w:r w:rsidRPr="00FC1EBD">
        <w:t>Private hospitals are generally not required</w:t>
      </w:r>
      <w:r w:rsidRPr="008C3002">
        <w:t xml:space="preserve"> to transfer delinquent patient accounts to a state or federal agency for collection</w:t>
      </w:r>
      <w:r w:rsidR="009B01DB" w:rsidRPr="000F0CC7">
        <w:t>.</w:t>
      </w:r>
    </w:p>
    <w:p w14:paraId="5D4F250B" w14:textId="77777777" w:rsidR="00744923" w:rsidRPr="00D722F9" w:rsidRDefault="00744923" w:rsidP="00D722F9">
      <w:pPr>
        <w:pStyle w:val="ListParagraph"/>
        <w:spacing w:before="200" w:after="200"/>
        <w:ind w:left="360"/>
        <w:rPr>
          <w:rFonts w:eastAsia="Avenir" w:cstheme="minorHAnsi"/>
        </w:rPr>
      </w:pPr>
    </w:p>
    <w:p w14:paraId="6E0543E5" w14:textId="187195DD" w:rsidR="00443EB2" w:rsidRDefault="00A624EC" w:rsidP="00443EB2">
      <w:pPr>
        <w:pStyle w:val="ListParagraph"/>
        <w:numPr>
          <w:ilvl w:val="0"/>
          <w:numId w:val="114"/>
        </w:numPr>
        <w:spacing w:before="200" w:after="200"/>
        <w:rPr>
          <w:rFonts w:eastAsia="Avenir" w:cstheme="minorHAnsi"/>
        </w:rPr>
      </w:pPr>
      <w:r>
        <w:rPr>
          <w:rFonts w:eastAsia="Avenir" w:cstheme="minorHAnsi"/>
          <w:b/>
          <w:bCs/>
        </w:rPr>
        <w:t xml:space="preserve">How and when should hospitals initiate the screening process for </w:t>
      </w:r>
      <w:r w:rsidR="0034398D">
        <w:rPr>
          <w:rFonts w:eastAsia="Avenir" w:cstheme="minorHAnsi"/>
          <w:b/>
          <w:bCs/>
        </w:rPr>
        <w:t>their financial assistance program</w:t>
      </w:r>
      <w:r>
        <w:rPr>
          <w:rFonts w:eastAsia="Avenir" w:cstheme="minorHAnsi"/>
          <w:b/>
          <w:bCs/>
        </w:rPr>
        <w:t>?</w:t>
      </w:r>
      <w:r w:rsidRPr="00F92E46">
        <w:rPr>
          <w:rFonts w:cs="Arial"/>
          <w:b/>
          <w:bCs/>
        </w:rPr>
        <w:br/>
      </w:r>
      <w:r w:rsidR="0034398D" w:rsidRPr="00FD5912">
        <w:rPr>
          <w:rFonts w:eastAsia="Avenir" w:cstheme="minorHAnsi"/>
        </w:rPr>
        <w:t>Hospitals should initiate the eligibility screening process on all patients at the time of registration.</w:t>
      </w:r>
      <w:r w:rsidR="0034398D">
        <w:rPr>
          <w:rFonts w:eastAsia="Avenir" w:cstheme="minorHAnsi"/>
        </w:rPr>
        <w:t xml:space="preserve"> Hospitals can do so by using presumptive eligibility software </w:t>
      </w:r>
      <w:r w:rsidR="00CB035E">
        <w:rPr>
          <w:rFonts w:eastAsia="Avenir" w:cstheme="minorHAnsi"/>
        </w:rPr>
        <w:t xml:space="preserve">used to determine Medicaid eligibility to help determine if patients are eligible for the hospital’s own financial assistance programs (e.g., Waystar, FinThrive, RevCo, etc.). Hospitals can use tools such as Experian or paper applications to assess a patient’s </w:t>
      </w:r>
      <w:r w:rsidR="0034398D">
        <w:rPr>
          <w:rFonts w:eastAsia="Avenir" w:cstheme="minorHAnsi"/>
        </w:rPr>
        <w:t>ability to pay</w:t>
      </w:r>
      <w:r w:rsidR="00CB035E">
        <w:rPr>
          <w:rFonts w:eastAsia="Avenir" w:cstheme="minorHAnsi"/>
        </w:rPr>
        <w:t>.</w:t>
      </w:r>
    </w:p>
    <w:p w14:paraId="2A8C824F" w14:textId="77777777" w:rsidR="002C2D41" w:rsidRDefault="002C2D41" w:rsidP="007F2F8A">
      <w:pPr>
        <w:pStyle w:val="ListParagraph"/>
        <w:spacing w:before="200" w:after="200"/>
        <w:ind w:left="360"/>
        <w:rPr>
          <w:rFonts w:eastAsia="Avenir" w:cstheme="minorHAnsi"/>
        </w:rPr>
      </w:pPr>
    </w:p>
    <w:p w14:paraId="37849638" w14:textId="43C044B6" w:rsidR="00C54EF1" w:rsidRDefault="00443EB2" w:rsidP="00C54EF1">
      <w:pPr>
        <w:pStyle w:val="ListParagraph"/>
        <w:spacing w:after="160" w:line="259" w:lineRule="auto"/>
        <w:ind w:left="360"/>
      </w:pPr>
      <w:r w:rsidRPr="00443EB2">
        <w:rPr>
          <w:rFonts w:eastAsia="Avenir" w:cstheme="minorHAnsi"/>
        </w:rPr>
        <w:t>A recent report from</w:t>
      </w:r>
      <w:r>
        <w:t xml:space="preserve"> Healthcare Financial Management Association</w:t>
      </w:r>
      <w:r w:rsidR="00D912DB">
        <w:t xml:space="preserve"> (HFMA)</w:t>
      </w:r>
      <w:r>
        <w:t xml:space="preserve"> highlights the importance of</w:t>
      </w:r>
      <w:r w:rsidRPr="00F63587">
        <w:t xml:space="preserve"> promot</w:t>
      </w:r>
      <w:r>
        <w:t>ing</w:t>
      </w:r>
      <w:r w:rsidRPr="00F63587">
        <w:t xml:space="preserve"> responsible financial assistance, billing, and collection practices.</w:t>
      </w:r>
      <w:r>
        <w:t xml:space="preserve"> </w:t>
      </w:r>
      <w:r w:rsidRPr="00D46502">
        <w:t xml:space="preserve">HFMA’s report, </w:t>
      </w:r>
      <w:hyperlink r:id="rId136" w:history="1">
        <w:r w:rsidRPr="00443EB2">
          <w:rPr>
            <w:rStyle w:val="Hyperlink"/>
            <w:i/>
            <w:iCs/>
          </w:rPr>
          <w:t>Advancing Healthcare Access</w:t>
        </w:r>
      </w:hyperlink>
      <w:r w:rsidRPr="00443EB2">
        <w:rPr>
          <w:i/>
          <w:iCs/>
        </w:rPr>
        <w:t xml:space="preserve">, </w:t>
      </w:r>
      <w:r w:rsidRPr="00D12299">
        <w:t xml:space="preserve">is available at: </w:t>
      </w:r>
      <w:r w:rsidRPr="00C207C8">
        <w:t>https://www.hfma.org/finance-and-business-strategy/advancing-healthcare-access/</w:t>
      </w:r>
      <w:r>
        <w:t>.</w:t>
      </w:r>
    </w:p>
    <w:p w14:paraId="4218C139" w14:textId="77777777" w:rsidR="00C54EF1" w:rsidRDefault="00C54EF1">
      <w:r>
        <w:br w:type="page"/>
      </w:r>
    </w:p>
    <w:p w14:paraId="699C54EB" w14:textId="5FE711CB" w:rsidR="00254E86" w:rsidRPr="000B3776" w:rsidRDefault="00254E86" w:rsidP="00254E86">
      <w:pPr>
        <w:pStyle w:val="ListParagraph"/>
        <w:numPr>
          <w:ilvl w:val="0"/>
          <w:numId w:val="114"/>
        </w:numPr>
        <w:spacing w:before="200" w:after="200"/>
        <w:rPr>
          <w:rFonts w:eastAsia="Avenir" w:cstheme="minorHAnsi"/>
          <w:b/>
          <w:bCs/>
        </w:rPr>
      </w:pPr>
      <w:r>
        <w:rPr>
          <w:rFonts w:eastAsia="Avenir" w:cstheme="minorHAnsi"/>
          <w:b/>
          <w:bCs/>
        </w:rPr>
        <w:lastRenderedPageBreak/>
        <w:t>Our organization uses more than one method for screening patients for financial assistance eligibility, how should we respond to question #4?</w:t>
      </w:r>
    </w:p>
    <w:p w14:paraId="2D72A35F" w14:textId="77777777" w:rsidR="00254E86" w:rsidRPr="000B3776" w:rsidRDefault="00254E86" w:rsidP="00254E86">
      <w:pPr>
        <w:pStyle w:val="ListParagraph"/>
        <w:spacing w:before="200" w:after="200"/>
        <w:ind w:left="360"/>
        <w:rPr>
          <w:rFonts w:eastAsia="Avenir" w:cstheme="minorHAnsi"/>
          <w:b/>
          <w:bCs/>
        </w:rPr>
      </w:pPr>
      <w:r>
        <w:t>When more than one option is applicable, hospitals should select the option that is primarily used for screening patients.</w:t>
      </w:r>
    </w:p>
    <w:p w14:paraId="2D830B9C" w14:textId="77777777" w:rsidR="00BD2B67" w:rsidRDefault="00BD2B67" w:rsidP="002005C4">
      <w:pPr>
        <w:pStyle w:val="ListParagraph"/>
        <w:spacing w:before="200" w:after="200"/>
        <w:ind w:left="360"/>
        <w:rPr>
          <w:rFonts w:eastAsia="Avenir" w:cstheme="minorHAnsi"/>
          <w:b/>
          <w:bCs/>
        </w:rPr>
      </w:pPr>
    </w:p>
    <w:p w14:paraId="093B940C" w14:textId="77777777" w:rsidR="002005C4" w:rsidRDefault="002005C4" w:rsidP="00AD309C">
      <w:pPr>
        <w:pStyle w:val="ListParagraph"/>
        <w:numPr>
          <w:ilvl w:val="0"/>
          <w:numId w:val="114"/>
        </w:numPr>
        <w:rPr>
          <w:rFonts w:cs="Arial"/>
          <w:b/>
        </w:rPr>
      </w:pPr>
      <w:r>
        <w:rPr>
          <w:rFonts w:cs="Arial"/>
          <w:b/>
        </w:rPr>
        <w:t>What does Leapfrog mean when asking if the</w:t>
      </w:r>
      <w:r>
        <w:rPr>
          <w:b/>
        </w:rPr>
        <w:t xml:space="preserve"> hospital’s financial assistance program includes ALL clinicians with privileges at the hospital</w:t>
      </w:r>
      <w:r>
        <w:rPr>
          <w:rFonts w:cs="Arial"/>
          <w:b/>
        </w:rPr>
        <w:t>?</w:t>
      </w:r>
    </w:p>
    <w:p w14:paraId="4DAB4928" w14:textId="5717ED47" w:rsidR="002005C4" w:rsidRDefault="002005C4" w:rsidP="002005C4">
      <w:pPr>
        <w:pStyle w:val="ListParagraph"/>
        <w:ind w:left="360"/>
        <w:rPr>
          <w:rStyle w:val="Hyperlink"/>
          <w:rFonts w:eastAsia="Avenir" w:cs="Arial"/>
        </w:rPr>
      </w:pPr>
      <w:r>
        <w:rPr>
          <w:rFonts w:eastAsia="Avenir" w:cs="Arial"/>
        </w:rPr>
        <w:t>Hospitals that offer a financial assistance program (FAP) or “charity care” should provide a list of any clinicians delivering emergency or other medically necessary care in the hospital, that specifies which clinicians</w:t>
      </w:r>
      <w:r w:rsidR="00B93C0D">
        <w:rPr>
          <w:rFonts w:eastAsia="Avenir" w:cs="Arial"/>
        </w:rPr>
        <w:t xml:space="preserve"> and services</w:t>
      </w:r>
      <w:r>
        <w:rPr>
          <w:rFonts w:eastAsia="Avenir" w:cs="Arial"/>
        </w:rPr>
        <w:t xml:space="preserve"> are covered by the FAP and which are not to ensure that the patient is aware that they may receive a separate bill that they will be responsible for from any clinician who is not covered. More information about what should be included in your financial assistance policy is available here: </w:t>
      </w:r>
      <w:hyperlink r:id="rId137" w:history="1">
        <w:r>
          <w:rPr>
            <w:rStyle w:val="Hyperlink"/>
            <w:rFonts w:eastAsia="Avenir" w:cs="Arial"/>
          </w:rPr>
          <w:t>https://www.irs.gov/charities-non-profits/financial-assistance-policy-and-emergency-medical-care-policy-section-501r4</w:t>
        </w:r>
      </w:hyperlink>
      <w:r>
        <w:rPr>
          <w:rStyle w:val="Hyperlink"/>
          <w:rFonts w:eastAsia="Avenir" w:cs="Arial"/>
        </w:rPr>
        <w:t>.</w:t>
      </w:r>
    </w:p>
    <w:p w14:paraId="57D83AD1" w14:textId="7B7DE03C" w:rsidR="002005C4" w:rsidRDefault="002005C4" w:rsidP="009617F5">
      <w:pPr>
        <w:pStyle w:val="ListParagraph"/>
        <w:spacing w:before="200" w:after="200"/>
        <w:ind w:left="360"/>
        <w:rPr>
          <w:rFonts w:eastAsia="Avenir" w:cstheme="minorHAnsi"/>
        </w:rPr>
      </w:pPr>
    </w:p>
    <w:p w14:paraId="29724B86" w14:textId="77777777" w:rsidR="00672EF2" w:rsidRPr="00D12299" w:rsidRDefault="00672EF2" w:rsidP="00672EF2">
      <w:pPr>
        <w:pStyle w:val="ListParagraph"/>
        <w:numPr>
          <w:ilvl w:val="0"/>
          <w:numId w:val="114"/>
        </w:numPr>
        <w:rPr>
          <w:b/>
          <w:bCs/>
        </w:rPr>
      </w:pPr>
      <w:r w:rsidRPr="00D12299">
        <w:rPr>
          <w:b/>
          <w:bCs/>
        </w:rPr>
        <w:t>Our organization currently lists the notification regarding some services being billed separately in the Frequently Asked Questions on our medical bills. Does this still need to be added to the financial assistance application?</w:t>
      </w:r>
    </w:p>
    <w:p w14:paraId="7E0D9A2B" w14:textId="1228BBD4" w:rsidR="000731FA" w:rsidRDefault="00672EF2" w:rsidP="00672EF2">
      <w:pPr>
        <w:pStyle w:val="ListParagraph"/>
        <w:ind w:left="360"/>
      </w:pPr>
      <w:r w:rsidRPr="00DF786A">
        <w:t>Yes, the disclosure should still be included in the financial assistance application itself. The intent of this question is to ensure patients are notified at the point of applying for financial assistance, not just somewhere else in the billing materials.</w:t>
      </w:r>
    </w:p>
    <w:p w14:paraId="14358E0D" w14:textId="77777777" w:rsidR="00672EF2" w:rsidRPr="00A624EC" w:rsidRDefault="00672EF2" w:rsidP="00672EF2">
      <w:pPr>
        <w:pStyle w:val="ListParagraph"/>
        <w:ind w:left="360"/>
        <w:rPr>
          <w:rFonts w:eastAsia="Avenir" w:cstheme="minorHAnsi"/>
        </w:rPr>
      </w:pPr>
    </w:p>
    <w:p w14:paraId="21937FDC" w14:textId="18CE1ADA" w:rsidR="005830F6" w:rsidRPr="005830F6" w:rsidRDefault="005830F6" w:rsidP="00AB5B80">
      <w:pPr>
        <w:pStyle w:val="Heading3"/>
      </w:pPr>
      <w:bookmarkStart w:id="138" w:name="_Health_Care_Equity"/>
      <w:bookmarkStart w:id="139" w:name="_Toc225877684"/>
      <w:bookmarkEnd w:id="138"/>
      <w:r>
        <w:t xml:space="preserve">Health </w:t>
      </w:r>
      <w:r w:rsidR="00F1796F">
        <w:t xml:space="preserve">Care </w:t>
      </w:r>
      <w:r w:rsidR="00BD6930">
        <w:t>Equity</w:t>
      </w:r>
      <w:r w:rsidR="00B078B4">
        <w:t xml:space="preserve"> FAQs</w:t>
      </w:r>
      <w:bookmarkEnd w:id="139"/>
    </w:p>
    <w:p w14:paraId="170EBE97" w14:textId="536973C4" w:rsidR="00E75C68" w:rsidRPr="00E75C68" w:rsidRDefault="00E75C68" w:rsidP="00AD309C">
      <w:pPr>
        <w:pStyle w:val="ListParagraph"/>
        <w:numPr>
          <w:ilvl w:val="0"/>
          <w:numId w:val="114"/>
        </w:numPr>
        <w:spacing w:before="200" w:after="200"/>
        <w:rPr>
          <w:b/>
        </w:rPr>
      </w:pPr>
      <w:r w:rsidRPr="00E75C68">
        <w:rPr>
          <w:b/>
        </w:rPr>
        <w:t>Our hospital is just starting to explore the collection and use of demographic data. What are some resources or tools we can use to collect demographic data?</w:t>
      </w:r>
    </w:p>
    <w:p w14:paraId="2BB26F03" w14:textId="4CD25972" w:rsidR="00E75C68" w:rsidRPr="00E75C68" w:rsidRDefault="00E75C68" w:rsidP="00F51F31">
      <w:pPr>
        <w:pStyle w:val="ListParagraph"/>
        <w:spacing w:before="200" w:after="200"/>
        <w:ind w:left="360"/>
        <w:rPr>
          <w:bCs/>
        </w:rPr>
      </w:pPr>
      <w:r w:rsidRPr="00E75C68">
        <w:rPr>
          <w:bCs/>
        </w:rPr>
        <w:t xml:space="preserve">Hospitals can refer to </w:t>
      </w:r>
      <w:hyperlink r:id="rId138" w:history="1">
        <w:r w:rsidRPr="00F1796F">
          <w:rPr>
            <w:rStyle w:val="Hyperlink"/>
            <w:bCs/>
          </w:rPr>
          <w:t>the Toronto Measuring Health Equity website</w:t>
        </w:r>
      </w:hyperlink>
      <w:r w:rsidRPr="00E75C68">
        <w:rPr>
          <w:bCs/>
        </w:rPr>
        <w:t xml:space="preserve"> which includes training videos, manuals</w:t>
      </w:r>
      <w:r w:rsidR="00350E55">
        <w:rPr>
          <w:bCs/>
        </w:rPr>
        <w:t>,</w:t>
      </w:r>
      <w:r w:rsidRPr="00E75C68">
        <w:rPr>
          <w:bCs/>
        </w:rPr>
        <w:t xml:space="preserve"> and presentations on how to collect demographic data from patients, including the modeling of interactions between health</w:t>
      </w:r>
      <w:r w:rsidR="006C03EE">
        <w:rPr>
          <w:bCs/>
        </w:rPr>
        <w:t xml:space="preserve"> </w:t>
      </w:r>
      <w:r w:rsidRPr="00E75C68">
        <w:rPr>
          <w:bCs/>
        </w:rPr>
        <w:t xml:space="preserve">care staff and patients. </w:t>
      </w:r>
      <w:r w:rsidR="00074549">
        <w:rPr>
          <w:bCs/>
        </w:rPr>
        <w:t>Additionally,</w:t>
      </w:r>
      <w:r w:rsidR="00C7037A">
        <w:rPr>
          <w:bCs/>
        </w:rPr>
        <w:t xml:space="preserve"> CMS also has </w:t>
      </w:r>
      <w:r w:rsidR="00124D85">
        <w:rPr>
          <w:bCs/>
        </w:rPr>
        <w:t>some free tools available on their website at:</w:t>
      </w:r>
      <w:r w:rsidR="00C7037A">
        <w:rPr>
          <w:bCs/>
        </w:rPr>
        <w:t xml:space="preserve"> </w:t>
      </w:r>
      <w:hyperlink r:id="rId139" w:history="1">
        <w:r w:rsidR="00C7037A" w:rsidRPr="007F3FD2">
          <w:rPr>
            <w:rStyle w:val="Hyperlink"/>
            <w:bCs/>
          </w:rPr>
          <w:t>https://www.cms.gov/priorities/health-equity/minority-health/research-data/research-data/tools</w:t>
        </w:r>
      </w:hyperlink>
      <w:r w:rsidR="00C7037A">
        <w:rPr>
          <w:bCs/>
        </w:rPr>
        <w:t xml:space="preserve">. </w:t>
      </w:r>
    </w:p>
    <w:p w14:paraId="28C52D71" w14:textId="77777777" w:rsidR="00E75C68" w:rsidRPr="0022585F" w:rsidRDefault="00E75C68" w:rsidP="00F51F31">
      <w:pPr>
        <w:pStyle w:val="ListParagraph"/>
        <w:spacing w:before="200" w:after="200"/>
        <w:ind w:left="360"/>
        <w:rPr>
          <w:bCs/>
        </w:rPr>
      </w:pPr>
    </w:p>
    <w:p w14:paraId="6EE177C4" w14:textId="64F5121F" w:rsidR="005830F6" w:rsidRPr="005830F6" w:rsidRDefault="006D304F" w:rsidP="00AD309C">
      <w:pPr>
        <w:pStyle w:val="ListParagraph"/>
        <w:numPr>
          <w:ilvl w:val="0"/>
          <w:numId w:val="114"/>
        </w:numPr>
        <w:spacing w:before="200" w:after="200"/>
        <w:rPr>
          <w:bCs/>
        </w:rPr>
      </w:pPr>
      <w:r w:rsidRPr="005830F6">
        <w:rPr>
          <w:b/>
        </w:rPr>
        <w:t xml:space="preserve">What types of demographic data should </w:t>
      </w:r>
      <w:r w:rsidR="006A7D26">
        <w:rPr>
          <w:b/>
        </w:rPr>
        <w:t>hospitals</w:t>
      </w:r>
      <w:r w:rsidRPr="005830F6">
        <w:rPr>
          <w:b/>
        </w:rPr>
        <w:t xml:space="preserve"> be collecting?</w:t>
      </w:r>
    </w:p>
    <w:p w14:paraId="6EB824AF" w14:textId="7DEA1FC1" w:rsidR="005830F6" w:rsidRPr="00A26035" w:rsidRDefault="0089521F" w:rsidP="00743591">
      <w:pPr>
        <w:pStyle w:val="ListParagraph"/>
        <w:spacing w:before="200" w:after="200"/>
        <w:ind w:left="360"/>
      </w:pPr>
      <w:r>
        <w:rPr>
          <w:bCs/>
        </w:rPr>
        <w:t>At</w:t>
      </w:r>
      <w:r w:rsidR="006D304F" w:rsidRPr="005830F6">
        <w:rPr>
          <w:bCs/>
        </w:rPr>
        <w:t xml:space="preserve"> minimum, </w:t>
      </w:r>
      <w:r w:rsidR="006A7D26">
        <w:rPr>
          <w:bCs/>
        </w:rPr>
        <w:t>hospitals</w:t>
      </w:r>
      <w:r w:rsidR="006D304F" w:rsidRPr="005830F6">
        <w:rPr>
          <w:bCs/>
        </w:rPr>
        <w:t xml:space="preserve"> should collect ethnic</w:t>
      </w:r>
      <w:r>
        <w:rPr>
          <w:bCs/>
        </w:rPr>
        <w:t>ity</w:t>
      </w:r>
      <w:r w:rsidR="006D304F" w:rsidRPr="005830F6">
        <w:rPr>
          <w:bCs/>
        </w:rPr>
        <w:t xml:space="preserve"> and rac</w:t>
      </w:r>
      <w:r>
        <w:rPr>
          <w:bCs/>
        </w:rPr>
        <w:t xml:space="preserve">e data from patients. While </w:t>
      </w:r>
      <w:r w:rsidR="006D304F" w:rsidRPr="005830F6">
        <w:rPr>
          <w:bCs/>
        </w:rPr>
        <w:t xml:space="preserve">the Office of Management and Budget (OMB) </w:t>
      </w:r>
      <w:r w:rsidR="00944067">
        <w:rPr>
          <w:bCs/>
        </w:rPr>
        <w:t xml:space="preserve">has revised </w:t>
      </w:r>
      <w:r w:rsidR="006D304F" w:rsidRPr="005830F6">
        <w:rPr>
          <w:bCs/>
        </w:rPr>
        <w:t>their Standards for</w:t>
      </w:r>
      <w:r w:rsidR="000B6D57" w:rsidRPr="000B6D57">
        <w:t xml:space="preserve"> </w:t>
      </w:r>
      <w:r w:rsidR="000B6D57">
        <w:t>m</w:t>
      </w:r>
      <w:r w:rsidR="000B6D57" w:rsidRPr="00753842">
        <w:t xml:space="preserve">aintaining, </w:t>
      </w:r>
      <w:r w:rsidR="000B6D57">
        <w:t>c</w:t>
      </w:r>
      <w:r w:rsidR="000B6D57" w:rsidRPr="00753842">
        <w:t xml:space="preserve">ollecting, and </w:t>
      </w:r>
      <w:r w:rsidR="000B6D57">
        <w:t>p</w:t>
      </w:r>
      <w:r w:rsidR="000B6D57" w:rsidRPr="00753842">
        <w:t>resenting</w:t>
      </w:r>
      <w:r w:rsidR="000B6D57">
        <w:rPr>
          <w:bCs/>
        </w:rPr>
        <w:t xml:space="preserve"> f</w:t>
      </w:r>
      <w:r w:rsidR="006D304F" w:rsidRPr="005830F6">
        <w:rPr>
          <w:bCs/>
        </w:rPr>
        <w:t xml:space="preserve">ederal </w:t>
      </w:r>
      <w:r w:rsidR="000B6D57">
        <w:rPr>
          <w:bCs/>
        </w:rPr>
        <w:t>d</w:t>
      </w:r>
      <w:r w:rsidR="006D304F" w:rsidRPr="005830F6">
        <w:rPr>
          <w:bCs/>
        </w:rPr>
        <w:t xml:space="preserve">ata on </w:t>
      </w:r>
      <w:r w:rsidR="000B6D57">
        <w:rPr>
          <w:bCs/>
        </w:rPr>
        <w:t>r</w:t>
      </w:r>
      <w:r w:rsidR="006D304F" w:rsidRPr="005830F6">
        <w:rPr>
          <w:bCs/>
        </w:rPr>
        <w:t xml:space="preserve">ace and </w:t>
      </w:r>
      <w:r w:rsidR="000B6D57">
        <w:rPr>
          <w:bCs/>
        </w:rPr>
        <w:t>e</w:t>
      </w:r>
      <w:r w:rsidR="006D304F" w:rsidRPr="005830F6">
        <w:rPr>
          <w:bCs/>
        </w:rPr>
        <w:t>thnicity</w:t>
      </w:r>
      <w:r w:rsidR="00464571">
        <w:rPr>
          <w:bCs/>
        </w:rPr>
        <w:t xml:space="preserve">, hospitals </w:t>
      </w:r>
      <w:r w:rsidR="00464571">
        <w:t>may not have implemented those updates</w:t>
      </w:r>
      <w:r w:rsidR="00464571" w:rsidRPr="002930BF">
        <w:t xml:space="preserve">. </w:t>
      </w:r>
      <w:r w:rsidR="00464571">
        <w:t>However, the following minimum categories should be used:</w:t>
      </w:r>
      <w:r w:rsidR="00012EC4" w:rsidRPr="00012EC4">
        <w:rPr>
          <w:bCs/>
        </w:rPr>
        <w:t xml:space="preserve"> </w:t>
      </w:r>
      <w:r w:rsidR="00012EC4" w:rsidRPr="005830F6">
        <w:rPr>
          <w:bCs/>
        </w:rPr>
        <w:t>American Indian or Alaska Native</w:t>
      </w:r>
      <w:r w:rsidR="00012EC4">
        <w:rPr>
          <w:bCs/>
        </w:rPr>
        <w:t>,</w:t>
      </w:r>
      <w:r w:rsidR="00464571">
        <w:rPr>
          <w:bCs/>
        </w:rPr>
        <w:t xml:space="preserve"> </w:t>
      </w:r>
      <w:r w:rsidR="006D304F" w:rsidRPr="005830F6">
        <w:rPr>
          <w:bCs/>
        </w:rPr>
        <w:t>Asian, Black or African American,</w:t>
      </w:r>
      <w:r w:rsidR="00012EC4">
        <w:rPr>
          <w:bCs/>
        </w:rPr>
        <w:t xml:space="preserve"> </w:t>
      </w:r>
      <w:r w:rsidR="00012EC4" w:rsidRPr="005830F6">
        <w:rPr>
          <w:bCs/>
        </w:rPr>
        <w:t>Hispanic or Latino</w:t>
      </w:r>
      <w:r w:rsidR="00012EC4">
        <w:rPr>
          <w:bCs/>
        </w:rPr>
        <w:t xml:space="preserve">, </w:t>
      </w:r>
      <w:r w:rsidR="006D304F" w:rsidRPr="005830F6">
        <w:rPr>
          <w:bCs/>
        </w:rPr>
        <w:t>Native Hawaiian or Pacific Islander, and White.</w:t>
      </w:r>
    </w:p>
    <w:p w14:paraId="2D5DEB44" w14:textId="5AE2C640" w:rsidR="00F1796F" w:rsidRPr="0022585F" w:rsidRDefault="00F1796F" w:rsidP="004F2BE4">
      <w:pPr>
        <w:pStyle w:val="ListParagraph"/>
        <w:spacing w:before="200" w:after="200"/>
        <w:ind w:left="360"/>
      </w:pPr>
    </w:p>
    <w:p w14:paraId="2EE068D8" w14:textId="6E7C1B10" w:rsidR="000C2612" w:rsidRPr="009D5663" w:rsidRDefault="00B71E51" w:rsidP="00AD309C">
      <w:pPr>
        <w:pStyle w:val="ListParagraph"/>
        <w:numPr>
          <w:ilvl w:val="0"/>
          <w:numId w:val="114"/>
        </w:numPr>
        <w:spacing w:before="200" w:after="200"/>
        <w:rPr>
          <w:bCs/>
        </w:rPr>
      </w:pPr>
      <w:bookmarkStart w:id="140" w:name="directlyfrompatientsfaq"/>
      <w:r>
        <w:rPr>
          <w:b/>
        </w:rPr>
        <w:t>To select any of the patient self-identified demographic data in question #</w:t>
      </w:r>
      <w:r w:rsidR="00F1796F">
        <w:rPr>
          <w:b/>
        </w:rPr>
        <w:t>1</w:t>
      </w:r>
      <w:r>
        <w:rPr>
          <w:b/>
        </w:rPr>
        <w:t>, d</w:t>
      </w:r>
      <w:r w:rsidR="000C2612">
        <w:rPr>
          <w:b/>
        </w:rPr>
        <w:t xml:space="preserve">oes a hospital need to collect </w:t>
      </w:r>
      <w:r>
        <w:rPr>
          <w:b/>
        </w:rPr>
        <w:t xml:space="preserve">the </w:t>
      </w:r>
      <w:r w:rsidR="00F306D2">
        <w:rPr>
          <w:b/>
        </w:rPr>
        <w:t xml:space="preserve">data </w:t>
      </w:r>
      <w:r w:rsidR="000C2612">
        <w:rPr>
          <w:b/>
        </w:rPr>
        <w:t xml:space="preserve">in a particular way? </w:t>
      </w:r>
    </w:p>
    <w:bookmarkEnd w:id="140"/>
    <w:p w14:paraId="543ED648" w14:textId="081E3E5F" w:rsidR="004F2BE4" w:rsidRPr="003430CC" w:rsidRDefault="00233425" w:rsidP="003430CC">
      <w:pPr>
        <w:pStyle w:val="ListParagraph"/>
        <w:spacing w:before="200" w:after="200"/>
        <w:ind w:left="360"/>
        <w:rPr>
          <w:bCs/>
        </w:rPr>
      </w:pPr>
      <w:r>
        <w:rPr>
          <w:bCs/>
        </w:rPr>
        <w:t>H</w:t>
      </w:r>
      <w:r w:rsidR="00B90B78">
        <w:rPr>
          <w:bCs/>
        </w:rPr>
        <w:t xml:space="preserve">ospitals should be </w:t>
      </w:r>
      <w:r w:rsidR="003430CC">
        <w:rPr>
          <w:bCs/>
        </w:rPr>
        <w:t xml:space="preserve">regularly </w:t>
      </w:r>
      <w:r w:rsidR="00B909F1" w:rsidRPr="00B909F1">
        <w:rPr>
          <w:bCs/>
        </w:rPr>
        <w:t>collect</w:t>
      </w:r>
      <w:r w:rsidR="00B90B78">
        <w:rPr>
          <w:bCs/>
        </w:rPr>
        <w:t>ing the information</w:t>
      </w:r>
      <w:r w:rsidR="00B909F1" w:rsidRPr="00B909F1">
        <w:rPr>
          <w:bCs/>
        </w:rPr>
        <w:t xml:space="preserve"> </w:t>
      </w:r>
      <w:r w:rsidR="003430CC">
        <w:rPr>
          <w:bCs/>
        </w:rPr>
        <w:t xml:space="preserve">via registration or a nurse admission assessment </w:t>
      </w:r>
      <w:r w:rsidR="00B909F1" w:rsidRPr="00B909F1">
        <w:rPr>
          <w:bCs/>
        </w:rPr>
        <w:t xml:space="preserve">directly from the patient or, for pediatric and other patients who cannot communicate the information themselves, the </w:t>
      </w:r>
      <w:r w:rsidR="003A5B06">
        <w:rPr>
          <w:bCs/>
        </w:rPr>
        <w:t xml:space="preserve">patient’s </w:t>
      </w:r>
      <w:r w:rsidR="00B909F1" w:rsidRPr="00B909F1">
        <w:rPr>
          <w:bCs/>
        </w:rPr>
        <w:t>legal guardia</w:t>
      </w:r>
      <w:r w:rsidR="003A5B06">
        <w:rPr>
          <w:bCs/>
        </w:rPr>
        <w:t>n</w:t>
      </w:r>
      <w:r w:rsidR="00B909F1" w:rsidRPr="00B909F1">
        <w:rPr>
          <w:bCs/>
        </w:rPr>
        <w:t xml:space="preserve">. Patients or their legal guardians should have the opportunity to provide the information either verbally (in-person or over the phone) or via a paper form or online </w:t>
      </w:r>
      <w:r w:rsidR="003430CC">
        <w:rPr>
          <w:bCs/>
        </w:rPr>
        <w:t xml:space="preserve">patient </w:t>
      </w:r>
      <w:r w:rsidR="00B909F1" w:rsidRPr="00B909F1">
        <w:rPr>
          <w:bCs/>
        </w:rPr>
        <w:t>portal. Information should NOT be collected through observation or other documents (</w:t>
      </w:r>
      <w:r w:rsidR="004530F5">
        <w:rPr>
          <w:bCs/>
        </w:rPr>
        <w:t>e.g</w:t>
      </w:r>
      <w:r w:rsidR="00B909F1" w:rsidRPr="00B909F1">
        <w:rPr>
          <w:bCs/>
        </w:rPr>
        <w:t>., state</w:t>
      </w:r>
      <w:r w:rsidR="006C03EE">
        <w:rPr>
          <w:bCs/>
        </w:rPr>
        <w:t>-</w:t>
      </w:r>
      <w:r w:rsidR="00B909F1" w:rsidRPr="00B909F1">
        <w:rPr>
          <w:bCs/>
        </w:rPr>
        <w:t>issue</w:t>
      </w:r>
      <w:r w:rsidR="006C03EE">
        <w:rPr>
          <w:bCs/>
        </w:rPr>
        <w:t>d</w:t>
      </w:r>
      <w:r w:rsidR="00B909F1" w:rsidRPr="00B909F1">
        <w:rPr>
          <w:bCs/>
        </w:rPr>
        <w:t xml:space="preserve"> ID). </w:t>
      </w:r>
      <w:r w:rsidR="003430CC">
        <w:rPr>
          <w:bCs/>
        </w:rPr>
        <w:t xml:space="preserve">This information should be collected from inpatients and outpatients. </w:t>
      </w:r>
      <w:r w:rsidR="004D1420" w:rsidRPr="003430CC">
        <w:rPr>
          <w:bCs/>
        </w:rPr>
        <w:br/>
      </w:r>
    </w:p>
    <w:p w14:paraId="44891A51" w14:textId="15249C55" w:rsidR="006A7D26" w:rsidRDefault="006A7D26" w:rsidP="00AD309C">
      <w:pPr>
        <w:pStyle w:val="ListParagraph"/>
        <w:numPr>
          <w:ilvl w:val="0"/>
          <w:numId w:val="114"/>
        </w:numPr>
        <w:spacing w:before="200" w:after="200"/>
        <w:rPr>
          <w:b/>
        </w:rPr>
      </w:pPr>
      <w:r>
        <w:rPr>
          <w:b/>
        </w:rPr>
        <w:t>Does Leapfrog have a</w:t>
      </w:r>
      <w:r w:rsidR="00B9561D">
        <w:rPr>
          <w:b/>
        </w:rPr>
        <w:t>n example of how to collect patient self-</w:t>
      </w:r>
      <w:r w:rsidR="00FE369B">
        <w:rPr>
          <w:b/>
        </w:rPr>
        <w:t xml:space="preserve">identified </w:t>
      </w:r>
      <w:r>
        <w:rPr>
          <w:b/>
        </w:rPr>
        <w:t>“sexual orientation”</w:t>
      </w:r>
      <w:r w:rsidR="00FE369B">
        <w:rPr>
          <w:b/>
        </w:rPr>
        <w:t xml:space="preserve"> or “gender identity”</w:t>
      </w:r>
      <w:r>
        <w:rPr>
          <w:b/>
        </w:rPr>
        <w:t xml:space="preserve"> in question #</w:t>
      </w:r>
      <w:r w:rsidR="00F1796F">
        <w:rPr>
          <w:b/>
        </w:rPr>
        <w:t>1</w:t>
      </w:r>
      <w:r>
        <w:rPr>
          <w:b/>
        </w:rPr>
        <w:t>?</w:t>
      </w:r>
    </w:p>
    <w:p w14:paraId="4B522B40" w14:textId="6198851D" w:rsidR="00065E1B" w:rsidRDefault="003F6162" w:rsidP="00F1796F">
      <w:pPr>
        <w:pStyle w:val="ListParagraph"/>
        <w:spacing w:before="200" w:after="200"/>
        <w:ind w:left="360"/>
        <w:rPr>
          <w:bCs/>
        </w:rPr>
      </w:pPr>
      <w:r>
        <w:rPr>
          <w:bCs/>
        </w:rPr>
        <w:t xml:space="preserve">The </w:t>
      </w:r>
      <w:r w:rsidR="00AA3362" w:rsidRPr="005830F6">
        <w:rPr>
          <w:bCs/>
        </w:rPr>
        <w:t>Centers for Disease Control and Prevention</w:t>
      </w:r>
      <w:r w:rsidR="00AA3362">
        <w:rPr>
          <w:bCs/>
        </w:rPr>
        <w:t xml:space="preserve"> (CDC)</w:t>
      </w:r>
      <w:r w:rsidR="00AA3362" w:rsidRPr="005830F6">
        <w:rPr>
          <w:bCs/>
        </w:rPr>
        <w:t xml:space="preserve"> has issued helpful guidance for providers and facilities</w:t>
      </w:r>
      <w:r>
        <w:rPr>
          <w:bCs/>
        </w:rPr>
        <w:t xml:space="preserve"> on their website</w:t>
      </w:r>
      <w:r w:rsidR="001E78A0">
        <w:rPr>
          <w:bCs/>
        </w:rPr>
        <w:t xml:space="preserve"> at</w:t>
      </w:r>
      <w:r w:rsidR="00C74441" w:rsidRPr="00C74441">
        <w:t xml:space="preserve"> </w:t>
      </w:r>
      <w:hyperlink r:id="rId140" w:history="1">
        <w:r w:rsidR="004E078C" w:rsidRPr="00B90D27">
          <w:rPr>
            <w:rStyle w:val="Hyperlink"/>
            <w:bCs/>
          </w:rPr>
          <w:t>https://www.cdc.gov/sti/hcp/clinical-guidance/taking-a-sexual-history.html</w:t>
        </w:r>
      </w:hyperlink>
      <w:r w:rsidR="001E78A0">
        <w:rPr>
          <w:rFonts w:eastAsia="Calibri" w:cs="Arial"/>
        </w:rPr>
        <w:t>.</w:t>
      </w:r>
      <w:r w:rsidR="004E078C">
        <w:rPr>
          <w:rFonts w:eastAsia="Calibri" w:cs="Arial"/>
        </w:rPr>
        <w:t xml:space="preserve"> </w:t>
      </w:r>
      <w:r w:rsidR="006A7D26" w:rsidRPr="00C22614">
        <w:rPr>
          <w:bCs/>
        </w:rPr>
        <w:t xml:space="preserve">This webpage </w:t>
      </w:r>
      <w:r w:rsidR="00A64013">
        <w:rPr>
          <w:bCs/>
        </w:rPr>
        <w:t xml:space="preserve">includes </w:t>
      </w:r>
      <w:r w:rsidR="00DE59F4">
        <w:t xml:space="preserve">guidance </w:t>
      </w:r>
      <w:r w:rsidR="00A64013">
        <w:t>for</w:t>
      </w:r>
      <w:r w:rsidR="00DE59F4">
        <w:t xml:space="preserve"> discussing sexual health, sexual orientation</w:t>
      </w:r>
      <w:r w:rsidR="007C26E7">
        <w:t>,</w:t>
      </w:r>
      <w:r w:rsidR="00DE59F4">
        <w:t xml:space="preserve"> and gender identity. Additionally, they provide</w:t>
      </w:r>
      <w:r w:rsidR="00DE59F4" w:rsidRPr="00C22614" w:rsidDel="00DE59F4">
        <w:rPr>
          <w:bCs/>
        </w:rPr>
        <w:t xml:space="preserve"> </w:t>
      </w:r>
      <w:r w:rsidR="006A7D26" w:rsidRPr="00C22614">
        <w:rPr>
          <w:bCs/>
        </w:rPr>
        <w:t xml:space="preserve">some helpful tips on </w:t>
      </w:r>
      <w:r w:rsidR="00DE59F4">
        <w:rPr>
          <w:bCs/>
        </w:rPr>
        <w:t xml:space="preserve">what questions to ask to collect </w:t>
      </w:r>
      <w:r w:rsidR="006A7D26" w:rsidRPr="00C22614">
        <w:rPr>
          <w:bCs/>
        </w:rPr>
        <w:t>the data</w:t>
      </w:r>
      <w:r w:rsidR="008D57B9">
        <w:rPr>
          <w:bCs/>
        </w:rPr>
        <w:t>.</w:t>
      </w:r>
    </w:p>
    <w:p w14:paraId="19E04A8C" w14:textId="77777777" w:rsidR="008C0634" w:rsidRDefault="008C0634" w:rsidP="00F1796F">
      <w:pPr>
        <w:pStyle w:val="ListParagraph"/>
        <w:spacing w:before="200" w:after="200"/>
        <w:ind w:left="360"/>
        <w:rPr>
          <w:bCs/>
        </w:rPr>
      </w:pPr>
    </w:p>
    <w:p w14:paraId="17F975F9" w14:textId="05A425C7" w:rsidR="008C0634" w:rsidRDefault="0098797D" w:rsidP="00F1796F">
      <w:pPr>
        <w:pStyle w:val="ListParagraph"/>
        <w:spacing w:before="200" w:after="200"/>
        <w:ind w:left="360"/>
        <w:rPr>
          <w:bCs/>
        </w:rPr>
      </w:pPr>
      <w:r>
        <w:rPr>
          <w:rFonts w:eastAsia="Calibri" w:cs="Arial"/>
        </w:rPr>
        <w:t xml:space="preserve">Another great resource is </w:t>
      </w:r>
      <w:r w:rsidRPr="001369A8">
        <w:rPr>
          <w:rFonts w:eastAsia="Calibri" w:cs="Arial"/>
        </w:rPr>
        <w:t>The Nuts and Bolts of SOGI</w:t>
      </w:r>
      <w:r>
        <w:rPr>
          <w:rFonts w:eastAsia="Calibri" w:cs="Arial"/>
        </w:rPr>
        <w:t xml:space="preserve"> </w:t>
      </w:r>
      <w:r w:rsidRPr="001369A8">
        <w:rPr>
          <w:rFonts w:eastAsia="Calibri" w:cs="Arial"/>
        </w:rPr>
        <w:t>Data Implementation:</w:t>
      </w:r>
      <w:r>
        <w:rPr>
          <w:rFonts w:eastAsia="Calibri" w:cs="Arial"/>
        </w:rPr>
        <w:t xml:space="preserve"> </w:t>
      </w:r>
      <w:r w:rsidRPr="003041BC">
        <w:rPr>
          <w:rFonts w:eastAsia="Calibri" w:cs="Arial"/>
          <w:i/>
          <w:iCs/>
        </w:rPr>
        <w:t>A Troubleshooting Toolkit</w:t>
      </w:r>
      <w:r>
        <w:rPr>
          <w:rFonts w:eastAsia="Calibri" w:cs="Arial"/>
          <w:i/>
          <w:iCs/>
        </w:rPr>
        <w:t xml:space="preserve"> </w:t>
      </w:r>
      <w:r>
        <w:rPr>
          <w:rFonts w:eastAsia="Calibri" w:cs="Arial"/>
        </w:rPr>
        <w:t xml:space="preserve">created by The Fenway Institute: </w:t>
      </w:r>
      <w:hyperlink r:id="rId141" w:history="1">
        <w:r w:rsidRPr="00B90D27">
          <w:rPr>
            <w:rStyle w:val="Hyperlink"/>
            <w:rFonts w:eastAsia="Calibri" w:cs="Arial"/>
          </w:rPr>
          <w:t>https://fenwayhealth.org/wp-content/uploads/TFI-54_SOGI-Data-Collection-Series-of-3-Tip-Sheets-for-pride-month_NutsAndBolts.pdf</w:t>
        </w:r>
      </w:hyperlink>
      <w:r>
        <w:rPr>
          <w:rFonts w:eastAsia="Calibri" w:cs="Arial"/>
        </w:rPr>
        <w:t>.</w:t>
      </w:r>
    </w:p>
    <w:p w14:paraId="13395552" w14:textId="77777777" w:rsidR="00065E1B" w:rsidRDefault="00065E1B" w:rsidP="00F1796F">
      <w:pPr>
        <w:pStyle w:val="ListParagraph"/>
        <w:spacing w:before="200" w:after="200"/>
        <w:ind w:left="360"/>
        <w:rPr>
          <w:bCs/>
        </w:rPr>
      </w:pPr>
    </w:p>
    <w:p w14:paraId="7AC27F97" w14:textId="77777777" w:rsidR="004D2C51" w:rsidRPr="009617F5" w:rsidRDefault="004D2C51" w:rsidP="00AD309C">
      <w:pPr>
        <w:pStyle w:val="ListParagraph"/>
        <w:numPr>
          <w:ilvl w:val="0"/>
          <w:numId w:val="114"/>
        </w:numPr>
        <w:spacing w:before="200" w:after="200"/>
        <w:rPr>
          <w:b/>
        </w:rPr>
      </w:pPr>
      <w:bookmarkStart w:id="141" w:name="abilitystatus_1c"/>
      <w:bookmarkEnd w:id="141"/>
      <w:r w:rsidRPr="009617F5">
        <w:rPr>
          <w:b/>
        </w:rPr>
        <w:t>What does Leapfrog mean by “ability status”?</w:t>
      </w:r>
    </w:p>
    <w:p w14:paraId="55A02CDF" w14:textId="00DF30C7" w:rsidR="004D2C51" w:rsidRPr="004D2C51" w:rsidRDefault="004D2C51" w:rsidP="004D2C51">
      <w:pPr>
        <w:pStyle w:val="ListParagraph"/>
        <w:spacing w:before="200" w:after="200"/>
        <w:ind w:left="360"/>
        <w:rPr>
          <w:bCs/>
        </w:rPr>
      </w:pPr>
      <w:r w:rsidRPr="004D2C51">
        <w:rPr>
          <w:bCs/>
        </w:rPr>
        <w:t xml:space="preserve">As described by the </w:t>
      </w:r>
      <w:hyperlink r:id="rId142" w:history="1">
        <w:r w:rsidRPr="006C70BB">
          <w:rPr>
            <w:rStyle w:val="Hyperlink"/>
            <w:bCs/>
          </w:rPr>
          <w:t>CDC</w:t>
        </w:r>
      </w:hyperlink>
      <w:r w:rsidRPr="004D2C51">
        <w:rPr>
          <w:bCs/>
        </w:rPr>
        <w:t xml:space="preserve">, a disability is any condition of the body or mind (impairment) that makes it more difficult for the person with the condition to do certain activities (activity limitation) and interact with the world around them (participation restrictions). More information is available on the CDC website at </w:t>
      </w:r>
      <w:hyperlink r:id="rId143" w:history="1">
        <w:r w:rsidR="00391729" w:rsidRPr="00650CF9">
          <w:rPr>
            <w:rStyle w:val="Hyperlink"/>
            <w:rFonts w:cstheme="minorHAnsi"/>
          </w:rPr>
          <w:t>https://www.cdc.gov/disability-and-health/about/?CDC_AAref_Val=https://www.cdc.gov/ncbddd/disabilityandhealth/disability.html</w:t>
        </w:r>
      </w:hyperlink>
      <w:r w:rsidRPr="004D2C51">
        <w:rPr>
          <w:bCs/>
        </w:rPr>
        <w:t>.</w:t>
      </w:r>
      <w:r>
        <w:rPr>
          <w:bCs/>
        </w:rPr>
        <w:t xml:space="preserve"> </w:t>
      </w:r>
      <w:r w:rsidRPr="004D2C51">
        <w:rPr>
          <w:bCs/>
        </w:rPr>
        <w:t xml:space="preserve">Examples of questions </w:t>
      </w:r>
      <w:r w:rsidR="00CD1E8D">
        <w:rPr>
          <w:bCs/>
        </w:rPr>
        <w:t xml:space="preserve">and ways to </w:t>
      </w:r>
      <w:r w:rsidRPr="004D2C51">
        <w:rPr>
          <w:bCs/>
        </w:rPr>
        <w:t>determine one’s ability status can be found here:</w:t>
      </w:r>
    </w:p>
    <w:p w14:paraId="243BC019" w14:textId="5A4D2831" w:rsidR="0080294B" w:rsidRDefault="0080294B" w:rsidP="00AD309C">
      <w:pPr>
        <w:pStyle w:val="ListParagraph"/>
        <w:numPr>
          <w:ilvl w:val="0"/>
          <w:numId w:val="399"/>
        </w:numPr>
        <w:spacing w:before="200" w:after="200" w:line="276" w:lineRule="auto"/>
      </w:pPr>
      <w:hyperlink r:id="rId144" w:history="1">
        <w:r w:rsidRPr="00650CF9">
          <w:rPr>
            <w:rStyle w:val="Hyperlink"/>
          </w:rPr>
          <w:t>https://www.cdc.gov/dhds/datasets/?CDC_AAref_Val=https://www.cdc.gov/ncbddd/disabilityandhealth/datasets.html</w:t>
        </w:r>
      </w:hyperlink>
      <w:r>
        <w:t xml:space="preserve"> </w:t>
      </w:r>
    </w:p>
    <w:p w14:paraId="2BD0C01D" w14:textId="7E168614" w:rsidR="004D2C51" w:rsidRPr="004D2C51" w:rsidRDefault="004D2C51" w:rsidP="00AD309C">
      <w:pPr>
        <w:pStyle w:val="ListParagraph"/>
        <w:numPr>
          <w:ilvl w:val="0"/>
          <w:numId w:val="399"/>
        </w:numPr>
        <w:spacing w:before="200" w:after="200"/>
        <w:rPr>
          <w:bCs/>
        </w:rPr>
      </w:pPr>
      <w:hyperlink r:id="rId145" w:history="1">
        <w:r w:rsidRPr="00B718A3">
          <w:rPr>
            <w:rStyle w:val="Hyperlink"/>
            <w:bCs/>
          </w:rPr>
          <w:t>https://torontohealthequity.ca/wp-content/uploads/2018/03/Measuring-Health-Equity-Participant-Manual-2018.pdf</w:t>
        </w:r>
      </w:hyperlink>
      <w:r>
        <w:rPr>
          <w:bCs/>
        </w:rPr>
        <w:t xml:space="preserve"> </w:t>
      </w:r>
    </w:p>
    <w:p w14:paraId="1D4DF930" w14:textId="43855D0D" w:rsidR="0060587B" w:rsidRPr="0015241C" w:rsidRDefault="0060587B" w:rsidP="00AD309C">
      <w:pPr>
        <w:pStyle w:val="ListParagraph"/>
        <w:numPr>
          <w:ilvl w:val="0"/>
          <w:numId w:val="399"/>
        </w:numPr>
        <w:spacing w:before="200" w:after="200"/>
      </w:pPr>
      <w:hyperlink r:id="rId146" w:history="1">
        <w:r w:rsidRPr="0060587B">
          <w:rPr>
            <w:rStyle w:val="Hyperlink"/>
          </w:rPr>
          <w:t>Short Set of question</w:t>
        </w:r>
        <w:r w:rsidR="001D1DCB">
          <w:rPr>
            <w:rStyle w:val="Hyperlink"/>
          </w:rPr>
          <w:t>s</w:t>
        </w:r>
        <w:r w:rsidRPr="0060587B">
          <w:rPr>
            <w:rStyle w:val="Hyperlink"/>
          </w:rPr>
          <w:t xml:space="preserve"> on Disability: Data Collection - Washington Group</w:t>
        </w:r>
      </w:hyperlink>
    </w:p>
    <w:p w14:paraId="16406F92" w14:textId="7FC134C3" w:rsidR="005830F6" w:rsidRPr="00A26035" w:rsidRDefault="00351ECD" w:rsidP="00AD309C">
      <w:pPr>
        <w:pStyle w:val="ListParagraph"/>
        <w:numPr>
          <w:ilvl w:val="0"/>
          <w:numId w:val="399"/>
        </w:numPr>
        <w:spacing w:before="200" w:after="200"/>
      </w:pPr>
      <w:hyperlink r:id="rId147" w:history="1">
        <w:r w:rsidRPr="00002F67">
          <w:rPr>
            <w:rStyle w:val="Hyperlink"/>
            <w:bCs/>
          </w:rPr>
          <w:t>Video 2 - Collecting Disability Data</w:t>
        </w:r>
      </w:hyperlink>
      <w:r w:rsidR="000C2612" w:rsidRPr="006A1014">
        <w:rPr>
          <w:bCs/>
        </w:rPr>
        <w:br/>
      </w:r>
    </w:p>
    <w:p w14:paraId="2191D06B" w14:textId="77777777" w:rsidR="005830F6" w:rsidRPr="005830F6" w:rsidRDefault="006D304F" w:rsidP="00AD309C">
      <w:pPr>
        <w:pStyle w:val="ListParagraph"/>
        <w:numPr>
          <w:ilvl w:val="0"/>
          <w:numId w:val="114"/>
        </w:numPr>
        <w:spacing w:before="200" w:after="200"/>
        <w:rPr>
          <w:bCs/>
        </w:rPr>
      </w:pPr>
      <w:r w:rsidRPr="005830F6">
        <w:rPr>
          <w:b/>
        </w:rPr>
        <w:t>How does Leapfrog define “health care disparities?”</w:t>
      </w:r>
    </w:p>
    <w:p w14:paraId="12E9F10D" w14:textId="515AC6FF" w:rsidR="00AD34F0" w:rsidRPr="00A26035" w:rsidRDefault="006D304F" w:rsidP="00D36222">
      <w:pPr>
        <w:pStyle w:val="ListParagraph"/>
        <w:spacing w:before="200" w:after="200"/>
        <w:ind w:left="360"/>
      </w:pPr>
      <w:bookmarkStart w:id="142" w:name="_Hlk67590777"/>
      <w:r>
        <w:t>Leapfrog defines health care disparit</w:t>
      </w:r>
      <w:r w:rsidR="00833D12">
        <w:t>ies</w:t>
      </w:r>
      <w:r>
        <w:t xml:space="preserve"> as </w:t>
      </w:r>
      <w:r w:rsidR="00FD167C" w:rsidRPr="00FD167C">
        <w:t>differences in the quality of health care that are not due to access-related factors or clinical needs, preferences, and appropriateness of intervention</w:t>
      </w:r>
      <w:r>
        <w:t xml:space="preserve">. </w:t>
      </w:r>
      <w:bookmarkEnd w:id="142"/>
      <w:r>
        <w:t>More information is availab</w:t>
      </w:r>
      <w:r w:rsidR="00FD167C">
        <w:t xml:space="preserve">le at </w:t>
      </w:r>
      <w:hyperlink r:id="rId148" w:history="1">
        <w:r w:rsidR="006C03EE" w:rsidRPr="00E61BB2">
          <w:rPr>
            <w:rStyle w:val="Hyperlink"/>
          </w:rPr>
          <w:t>https://www.ihi.org/insights/words-matter-making-sense-health-equity-terminology</w:t>
        </w:r>
      </w:hyperlink>
      <w:r w:rsidR="006C03EE">
        <w:t xml:space="preserve">. </w:t>
      </w:r>
      <w:r w:rsidR="00206F98">
        <w:br/>
      </w:r>
    </w:p>
    <w:p w14:paraId="1505BEEE" w14:textId="67B4C306" w:rsidR="005830F6" w:rsidRPr="005830F6" w:rsidRDefault="006D304F" w:rsidP="00AD309C">
      <w:pPr>
        <w:pStyle w:val="ListParagraph"/>
        <w:numPr>
          <w:ilvl w:val="0"/>
          <w:numId w:val="114"/>
        </w:numPr>
        <w:spacing w:before="200" w:after="200"/>
        <w:rPr>
          <w:bCs/>
        </w:rPr>
      </w:pPr>
      <w:bookmarkStart w:id="143" w:name="inadequatedatafaq"/>
      <w:r w:rsidRPr="005830F6">
        <w:rPr>
          <w:b/>
          <w:bCs/>
        </w:rPr>
        <w:t>In question #</w:t>
      </w:r>
      <w:r w:rsidR="006C4211">
        <w:rPr>
          <w:b/>
          <w:bCs/>
        </w:rPr>
        <w:t>4</w:t>
      </w:r>
      <w:r w:rsidRPr="005830F6">
        <w:rPr>
          <w:b/>
          <w:bCs/>
        </w:rPr>
        <w:t>, what does Leapfrog mean by “inadequate data available to determine if disparities exist</w:t>
      </w:r>
      <w:r w:rsidR="005830F6">
        <w:rPr>
          <w:b/>
          <w:bCs/>
        </w:rPr>
        <w:t>?</w:t>
      </w:r>
      <w:r w:rsidR="001D1DCB">
        <w:rPr>
          <w:b/>
          <w:bCs/>
        </w:rPr>
        <w:t>”</w:t>
      </w:r>
    </w:p>
    <w:p w14:paraId="23CFBB15" w14:textId="505F396F" w:rsidR="005830F6" w:rsidRDefault="006A7D26" w:rsidP="00A26035">
      <w:pPr>
        <w:pStyle w:val="ListParagraph"/>
        <w:spacing w:before="200" w:after="200"/>
        <w:ind w:left="360"/>
      </w:pPr>
      <w:bookmarkStart w:id="144" w:name="_Hlk66267157"/>
      <w:bookmarkEnd w:id="143"/>
      <w:r>
        <w:t>Hospitals</w:t>
      </w:r>
      <w:r w:rsidR="006D304F">
        <w:t xml:space="preserve"> may find that they cannot determine if a health care disparity exists due to small sample size</w:t>
      </w:r>
      <w:r w:rsidR="00833D12">
        <w:t>s</w:t>
      </w:r>
      <w:r w:rsidR="006D304F">
        <w:t xml:space="preserve"> (</w:t>
      </w:r>
      <w:r w:rsidR="00FB77B1">
        <w:t>e.g</w:t>
      </w:r>
      <w:r w:rsidR="006D304F">
        <w:t>., fewer than 25 patients able to be measure</w:t>
      </w:r>
      <w:r w:rsidR="00964E75">
        <w:t>d</w:t>
      </w:r>
      <w:r w:rsidR="006D304F">
        <w:t>)</w:t>
      </w:r>
      <w:r w:rsidR="00B90CB9">
        <w:t>.</w:t>
      </w:r>
    </w:p>
    <w:bookmarkEnd w:id="144"/>
    <w:p w14:paraId="2B5817C4" w14:textId="77777777" w:rsidR="005830F6" w:rsidRPr="00A26035" w:rsidRDefault="005830F6" w:rsidP="005830F6">
      <w:pPr>
        <w:pStyle w:val="ListParagraph"/>
        <w:spacing w:before="200" w:after="200" w:line="276" w:lineRule="auto"/>
        <w:ind w:left="360"/>
        <w:rPr>
          <w:bCs/>
        </w:rPr>
      </w:pPr>
    </w:p>
    <w:p w14:paraId="315C8484" w14:textId="487EA0B4" w:rsidR="00E5096C" w:rsidRPr="002B370C" w:rsidRDefault="00E5096C" w:rsidP="00AD309C">
      <w:pPr>
        <w:pStyle w:val="ListParagraph"/>
        <w:numPr>
          <w:ilvl w:val="0"/>
          <w:numId w:val="114"/>
        </w:numPr>
        <w:spacing w:before="200" w:after="200"/>
        <w:rPr>
          <w:iCs/>
        </w:rPr>
      </w:pPr>
      <w:bookmarkStart w:id="145" w:name="_Hlk66267191"/>
      <w:r w:rsidRPr="002B370C">
        <w:rPr>
          <w:b/>
          <w:bCs/>
        </w:rPr>
        <w:t>Can we report on health system level data in question #</w:t>
      </w:r>
      <w:r w:rsidR="006C4211">
        <w:rPr>
          <w:b/>
          <w:bCs/>
        </w:rPr>
        <w:t>4</w:t>
      </w:r>
      <w:r w:rsidRPr="002B370C">
        <w:rPr>
          <w:b/>
          <w:bCs/>
        </w:rPr>
        <w:t xml:space="preserve"> if </w:t>
      </w:r>
      <w:r>
        <w:rPr>
          <w:b/>
          <w:bCs/>
        </w:rPr>
        <w:t xml:space="preserve">we do not have adequate data to </w:t>
      </w:r>
      <w:r w:rsidRPr="002B370C">
        <w:rPr>
          <w:rFonts w:cs="Arial"/>
          <w:b/>
          <w:bCs/>
          <w:iCs/>
        </w:rPr>
        <w:t>determine if disparities exist?</w:t>
      </w:r>
      <w:r w:rsidRPr="002B370C">
        <w:rPr>
          <w:b/>
          <w:bCs/>
        </w:rPr>
        <w:t xml:space="preserve"> </w:t>
      </w:r>
    </w:p>
    <w:p w14:paraId="45549352" w14:textId="22910752" w:rsidR="00E5096C" w:rsidRDefault="00E5096C" w:rsidP="00A26035">
      <w:pPr>
        <w:pStyle w:val="ListParagraph"/>
        <w:spacing w:before="200" w:after="200"/>
        <w:ind w:left="360"/>
        <w:rPr>
          <w:rFonts w:cs="Arial"/>
        </w:rPr>
      </w:pPr>
      <w:r w:rsidRPr="002B370C">
        <w:rPr>
          <w:iCs/>
        </w:rPr>
        <w:t xml:space="preserve">Yes, </w:t>
      </w:r>
      <w:r w:rsidR="00291690">
        <w:rPr>
          <w:iCs/>
        </w:rPr>
        <w:t xml:space="preserve">individual </w:t>
      </w:r>
      <w:r w:rsidRPr="002B370C">
        <w:rPr>
          <w:iCs/>
        </w:rPr>
        <w:t xml:space="preserve">hospitals that do not have enough data to identify </w:t>
      </w:r>
      <w:r>
        <w:t xml:space="preserve">disparities </w:t>
      </w:r>
      <w:r w:rsidRPr="002B370C">
        <w:rPr>
          <w:rFonts w:cs="Arial"/>
        </w:rPr>
        <w:t xml:space="preserve">among </w:t>
      </w:r>
      <w:r>
        <w:rPr>
          <w:rFonts w:cs="Arial"/>
        </w:rPr>
        <w:t>their</w:t>
      </w:r>
      <w:r w:rsidRPr="002B370C">
        <w:rPr>
          <w:rFonts w:cs="Arial"/>
        </w:rPr>
        <w:t xml:space="preserve"> patients based on the demographic data selected in question #1 can </w:t>
      </w:r>
      <w:r w:rsidR="00B123D6">
        <w:rPr>
          <w:rFonts w:cs="Arial"/>
        </w:rPr>
        <w:t>respond</w:t>
      </w:r>
      <w:r w:rsidRPr="002B370C">
        <w:rPr>
          <w:rFonts w:cs="Arial"/>
        </w:rPr>
        <w:t xml:space="preserve"> “yes” to question #</w:t>
      </w:r>
      <w:r w:rsidR="009A01C9">
        <w:rPr>
          <w:rFonts w:cs="Arial"/>
        </w:rPr>
        <w:t>4</w:t>
      </w:r>
      <w:r>
        <w:rPr>
          <w:rFonts w:cs="Arial"/>
        </w:rPr>
        <w:t xml:space="preserve"> if they</w:t>
      </w:r>
      <w:r w:rsidR="00291690">
        <w:rPr>
          <w:rFonts w:cs="Arial"/>
        </w:rPr>
        <w:t xml:space="preserve"> are aggregating their data for the purposes of analysis with other facilities that are part of their system.</w:t>
      </w:r>
    </w:p>
    <w:p w14:paraId="4EDCC498" w14:textId="77777777" w:rsidR="00E5096C" w:rsidRPr="00A26035" w:rsidRDefault="00E5096C" w:rsidP="00E5096C">
      <w:pPr>
        <w:pStyle w:val="ListParagraph"/>
        <w:spacing w:before="200" w:after="200" w:line="276" w:lineRule="auto"/>
        <w:ind w:left="360"/>
        <w:rPr>
          <w:bCs/>
        </w:rPr>
      </w:pPr>
    </w:p>
    <w:p w14:paraId="05F63EBB" w14:textId="30D290BC" w:rsidR="001B4F0D" w:rsidRDefault="006D304F" w:rsidP="00AD309C">
      <w:pPr>
        <w:pStyle w:val="ListParagraph"/>
        <w:numPr>
          <w:ilvl w:val="0"/>
          <w:numId w:val="114"/>
        </w:numPr>
        <w:spacing w:before="200" w:after="200"/>
      </w:pPr>
      <w:r w:rsidRPr="005830F6">
        <w:rPr>
          <w:b/>
          <w:bCs/>
        </w:rPr>
        <w:t>In question #</w:t>
      </w:r>
      <w:r w:rsidR="007F7FBE">
        <w:rPr>
          <w:b/>
          <w:bCs/>
        </w:rPr>
        <w:t>6</w:t>
      </w:r>
      <w:r w:rsidRPr="005830F6">
        <w:rPr>
          <w:b/>
          <w:bCs/>
        </w:rPr>
        <w:t xml:space="preserve">, is Leapfrog asking whether our hospital is publicly reporting the measures we stratify </w:t>
      </w:r>
      <w:r w:rsidR="003D1390">
        <w:rPr>
          <w:b/>
          <w:bCs/>
        </w:rPr>
        <w:t>from question #3</w:t>
      </w:r>
      <w:r w:rsidRPr="005830F6">
        <w:rPr>
          <w:b/>
          <w:bCs/>
        </w:rPr>
        <w:t xml:space="preserve"> on our website? </w:t>
      </w:r>
      <w:r w:rsidR="00C85BED">
        <w:rPr>
          <w:b/>
          <w:bCs/>
        </w:rPr>
        <w:br/>
      </w:r>
      <w:bookmarkEnd w:id="145"/>
      <w:r w:rsidRPr="006D304F">
        <w:t xml:space="preserve">No. We are trying to assess the extent to which </w:t>
      </w:r>
      <w:r w:rsidR="00964E75">
        <w:t>hospitals</w:t>
      </w:r>
      <w:r w:rsidRPr="006D304F">
        <w:t xml:space="preserve"> are sharing any </w:t>
      </w:r>
      <w:r w:rsidR="00291690">
        <w:t>information</w:t>
      </w:r>
      <w:r w:rsidRPr="006D304F">
        <w:t xml:space="preserve"> on their efforts to </w:t>
      </w:r>
      <w:r w:rsidR="00291690">
        <w:t>identify and reduce</w:t>
      </w:r>
      <w:r w:rsidRPr="006D304F">
        <w:t xml:space="preserve"> health care disparities </w:t>
      </w:r>
      <w:r w:rsidR="005D782F">
        <w:t>based on</w:t>
      </w:r>
      <w:r w:rsidR="005D782F" w:rsidRPr="006D304F">
        <w:t xml:space="preserve"> </w:t>
      </w:r>
      <w:r w:rsidR="005D782F" w:rsidRPr="00DF3F28">
        <w:rPr>
          <w:bCs/>
        </w:rPr>
        <w:t xml:space="preserve">the self-identified demographic data </w:t>
      </w:r>
      <w:r w:rsidR="005D782F">
        <w:rPr>
          <w:bCs/>
        </w:rPr>
        <w:t xml:space="preserve">collected </w:t>
      </w:r>
      <w:r w:rsidR="005D782F" w:rsidRPr="00DF3F28">
        <w:rPr>
          <w:bCs/>
        </w:rPr>
        <w:t>directly from the patient or legal guardian present</w:t>
      </w:r>
      <w:r w:rsidR="005D782F">
        <w:t xml:space="preserve"> </w:t>
      </w:r>
      <w:r w:rsidRPr="006D304F">
        <w:t xml:space="preserve">and the impact of those efforts. This may take the form of sharing quantitative or qualitative data. It may also include a description of </w:t>
      </w:r>
      <w:r w:rsidR="0008279B">
        <w:t xml:space="preserve">the </w:t>
      </w:r>
      <w:r w:rsidRPr="006D304F">
        <w:t>types of demographic data collected and the analys</w:t>
      </w:r>
      <w:r w:rsidR="00494DB2">
        <w:t>e</w:t>
      </w:r>
      <w:r w:rsidRPr="006D304F">
        <w:t xml:space="preserve">s performed, which in some cases demonstrated no apparent health care disparities. </w:t>
      </w:r>
      <w:bookmarkStart w:id="146" w:name="_Hlk66267317"/>
      <w:r w:rsidR="001B4F0D">
        <w:t>Please note that the information on your webpage should be easily accessible. If your hospital is part of a health system, you must provide a link to the system webpage from your hospital’s individual website. Below are examples that meet the criteria for question #6.</w:t>
      </w:r>
    </w:p>
    <w:p w14:paraId="6195DF62" w14:textId="752E2736" w:rsidR="00A40AFF" w:rsidRDefault="001B4F0D" w:rsidP="003962CE">
      <w:pPr>
        <w:pStyle w:val="ListParagraph"/>
        <w:numPr>
          <w:ilvl w:val="0"/>
          <w:numId w:val="387"/>
        </w:numPr>
        <w:spacing w:before="200" w:after="200"/>
      </w:pPr>
      <w:r>
        <w:t xml:space="preserve">Henry Ford Health: </w:t>
      </w:r>
      <w:hyperlink r:id="rId149" w:history="1">
        <w:r w:rsidR="00602970" w:rsidRPr="00A2752F">
          <w:rPr>
            <w:rStyle w:val="Hyperlink"/>
          </w:rPr>
          <w:t>https://www.henryford.com/hcp/research/public-population-research/hdrc/resources/demo-data</w:t>
        </w:r>
      </w:hyperlink>
      <w:r w:rsidR="00602970">
        <w:t xml:space="preserve"> </w:t>
      </w:r>
      <w:r w:rsidR="00A40AFF" w:rsidRPr="00A40AFF">
        <w:t xml:space="preserve"> </w:t>
      </w:r>
    </w:p>
    <w:p w14:paraId="5AC5EFA3" w14:textId="2227BA7C" w:rsidR="00FA374A" w:rsidRDefault="001B4F0D" w:rsidP="003962CE">
      <w:pPr>
        <w:pStyle w:val="ListParagraph"/>
        <w:numPr>
          <w:ilvl w:val="0"/>
          <w:numId w:val="387"/>
        </w:numPr>
        <w:spacing w:before="200" w:after="200"/>
      </w:pPr>
      <w:r>
        <w:t xml:space="preserve">NewYork-Presbyterian: </w:t>
      </w:r>
      <w:hyperlink r:id="rId150" w:history="1">
        <w:r w:rsidRPr="008B3A78">
          <w:rPr>
            <w:rStyle w:val="Hyperlink"/>
          </w:rPr>
          <w:t>https://www.nyp.org/daliocenter/data-and-infrastructure</w:t>
        </w:r>
      </w:hyperlink>
      <w:r>
        <w:t xml:space="preserve"> </w:t>
      </w:r>
      <w:bookmarkStart w:id="147" w:name="_Informed_Consent"/>
      <w:bookmarkStart w:id="148" w:name="_Ref123646568"/>
      <w:bookmarkEnd w:id="146"/>
      <w:bookmarkEnd w:id="147"/>
    </w:p>
    <w:p w14:paraId="1645640A" w14:textId="14E0A9BE" w:rsidR="009A43CA" w:rsidRDefault="009A43CA" w:rsidP="00AB5B80">
      <w:pPr>
        <w:pStyle w:val="Heading3"/>
      </w:pPr>
      <w:bookmarkStart w:id="149" w:name="_Ref162608984"/>
      <w:bookmarkStart w:id="150" w:name="_Toc225877685"/>
      <w:r>
        <w:t>Informed Consent</w:t>
      </w:r>
      <w:bookmarkEnd w:id="148"/>
      <w:r w:rsidR="00B078B4">
        <w:t xml:space="preserve"> FAQs</w:t>
      </w:r>
      <w:bookmarkEnd w:id="149"/>
      <w:bookmarkEnd w:id="150"/>
    </w:p>
    <w:p w14:paraId="10B22DCB" w14:textId="77777777" w:rsidR="00940046" w:rsidRPr="00A26035" w:rsidRDefault="00940046" w:rsidP="00940046">
      <w:pPr>
        <w:rPr>
          <w:lang w:eastAsia="ja-JP"/>
        </w:rPr>
      </w:pPr>
    </w:p>
    <w:p w14:paraId="743D6949" w14:textId="6FBCFDE7" w:rsidR="00940046" w:rsidRDefault="00940046" w:rsidP="00AD309C">
      <w:pPr>
        <w:pStyle w:val="ListParagraph"/>
        <w:numPr>
          <w:ilvl w:val="0"/>
          <w:numId w:val="114"/>
        </w:numPr>
      </w:pPr>
      <w:r>
        <w:rPr>
          <w:b/>
          <w:bCs/>
        </w:rPr>
        <w:t>In cases where hospitals do not have inform</w:t>
      </w:r>
      <w:r w:rsidR="00DA12D7">
        <w:rPr>
          <w:b/>
          <w:bCs/>
        </w:rPr>
        <w:t>ation</w:t>
      </w:r>
      <w:r>
        <w:rPr>
          <w:b/>
          <w:bCs/>
        </w:rPr>
        <w:t xml:space="preserve"> about informed consent processes that</w:t>
      </w:r>
      <w:r w:rsidRPr="00DD1010">
        <w:rPr>
          <w:b/>
          <w:bCs/>
        </w:rPr>
        <w:t xml:space="preserve"> take place at a clinician</w:t>
      </w:r>
      <w:r>
        <w:rPr>
          <w:b/>
          <w:bCs/>
        </w:rPr>
        <w:t>’s</w:t>
      </w:r>
      <w:r w:rsidRPr="00DD1010">
        <w:rPr>
          <w:b/>
          <w:bCs/>
        </w:rPr>
        <w:t xml:space="preserve"> (e.g., surgeon</w:t>
      </w:r>
      <w:r w:rsidR="00DA12D7">
        <w:rPr>
          <w:b/>
          <w:bCs/>
        </w:rPr>
        <w:t>’s</w:t>
      </w:r>
      <w:r w:rsidRPr="00DD1010">
        <w:rPr>
          <w:b/>
          <w:bCs/>
        </w:rPr>
        <w:t>) office</w:t>
      </w:r>
      <w:r>
        <w:rPr>
          <w:b/>
          <w:bCs/>
        </w:rPr>
        <w:t xml:space="preserve">, or </w:t>
      </w:r>
      <w:r w:rsidR="004C4FE8">
        <w:rPr>
          <w:b/>
          <w:bCs/>
        </w:rPr>
        <w:t xml:space="preserve">if </w:t>
      </w:r>
      <w:r>
        <w:rPr>
          <w:b/>
          <w:bCs/>
        </w:rPr>
        <w:t xml:space="preserve">informed consent processes </w:t>
      </w:r>
      <w:r w:rsidR="00DA12D7">
        <w:rPr>
          <w:b/>
          <w:bCs/>
        </w:rPr>
        <w:t xml:space="preserve">are </w:t>
      </w:r>
      <w:r>
        <w:rPr>
          <w:b/>
          <w:bCs/>
        </w:rPr>
        <w:t xml:space="preserve">conducted by clinicians that are not employed by the hospital, or in other cases where the hospital does not have visibility into the informed consent process, how should hospitals respond to questions in this </w:t>
      </w:r>
      <w:r w:rsidR="00BD453D">
        <w:rPr>
          <w:b/>
          <w:bCs/>
        </w:rPr>
        <w:t>s</w:t>
      </w:r>
      <w:r>
        <w:rPr>
          <w:b/>
          <w:bCs/>
        </w:rPr>
        <w:t>ection?</w:t>
      </w:r>
    </w:p>
    <w:p w14:paraId="1264D932" w14:textId="7B4BB06E" w:rsidR="000068B4" w:rsidRDefault="00985B1F" w:rsidP="00940046">
      <w:pPr>
        <w:pStyle w:val="ListParagraph"/>
        <w:ind w:left="360"/>
      </w:pPr>
      <w:r>
        <w:t xml:space="preserve">Hospitals that do </w:t>
      </w:r>
      <w:r w:rsidR="00940046">
        <w:t>not have input</w:t>
      </w:r>
      <w:r w:rsidR="001710FD">
        <w:t xml:space="preserve"> </w:t>
      </w:r>
      <w:r w:rsidR="00940046">
        <w:t xml:space="preserve">over the consent form or </w:t>
      </w:r>
      <w:r w:rsidR="000068B4">
        <w:t xml:space="preserve">visibility into the informed consent </w:t>
      </w:r>
      <w:r w:rsidR="00940046">
        <w:t>process for procedure</w:t>
      </w:r>
      <w:r w:rsidR="000068B4">
        <w:t>s</w:t>
      </w:r>
      <w:r w:rsidR="00940046">
        <w:t xml:space="preserve"> performed at </w:t>
      </w:r>
      <w:r w:rsidR="00DA12D7">
        <w:t>a</w:t>
      </w:r>
      <w:r w:rsidR="00940046">
        <w:t xml:space="preserve"> hospital, </w:t>
      </w:r>
      <w:r w:rsidR="00C814D9">
        <w:t xml:space="preserve">should select </w:t>
      </w:r>
      <w:r w:rsidR="00DA12D7">
        <w:t>“</w:t>
      </w:r>
      <w:r w:rsidR="00940046">
        <w:t>No</w:t>
      </w:r>
      <w:r w:rsidR="00DA12D7">
        <w:t>”</w:t>
      </w:r>
      <w:r w:rsidR="00940046">
        <w:t xml:space="preserve"> </w:t>
      </w:r>
      <w:r w:rsidR="00C814D9">
        <w:t xml:space="preserve">for the </w:t>
      </w:r>
      <w:r w:rsidR="00940046">
        <w:t xml:space="preserve">questions in this </w:t>
      </w:r>
      <w:r w:rsidR="00C814D9">
        <w:t>s</w:t>
      </w:r>
      <w:r w:rsidR="00940046">
        <w:t xml:space="preserve">ection. </w:t>
      </w:r>
    </w:p>
    <w:p w14:paraId="1895ECB0" w14:textId="77777777" w:rsidR="000068B4" w:rsidRPr="00A26035" w:rsidRDefault="000068B4" w:rsidP="00940046">
      <w:pPr>
        <w:pStyle w:val="ListParagraph"/>
        <w:ind w:left="360"/>
      </w:pPr>
    </w:p>
    <w:p w14:paraId="5BE80EB3" w14:textId="6E08C249" w:rsidR="00804778" w:rsidRPr="00202D75" w:rsidRDefault="00940046" w:rsidP="00A34054">
      <w:pPr>
        <w:pStyle w:val="ListParagraph"/>
        <w:ind w:left="360"/>
        <w:rPr>
          <w:sz w:val="16"/>
          <w:szCs w:val="16"/>
        </w:rPr>
      </w:pPr>
      <w:r>
        <w:lastRenderedPageBreak/>
        <w:t xml:space="preserve">If the hospital does have input over the consent form and </w:t>
      </w:r>
      <w:r w:rsidR="000068B4">
        <w:t xml:space="preserve">visibility into the informed consent </w:t>
      </w:r>
      <w:r>
        <w:t>process for procedures performed at the hospital,</w:t>
      </w:r>
      <w:r w:rsidR="007D2614" w:rsidRPr="007D2614">
        <w:t xml:space="preserve"> </w:t>
      </w:r>
      <w:r w:rsidR="007D2614">
        <w:t>such as through the privileging process to allow clinicians to practice at their facility,</w:t>
      </w:r>
      <w:r>
        <w:t xml:space="preserve"> but the consent </w:t>
      </w:r>
      <w:r w:rsidR="000837F9">
        <w:t xml:space="preserve">forms and the consent process are being completed </w:t>
      </w:r>
      <w:r>
        <w:t xml:space="preserve">at the clinician(s)'s office, the hospital can work with those offices to implement the </w:t>
      </w:r>
      <w:r w:rsidR="006B18C5">
        <w:t xml:space="preserve">requirements </w:t>
      </w:r>
      <w:r>
        <w:t xml:space="preserve">outlined in the questions and, via </w:t>
      </w:r>
      <w:r w:rsidR="006B18C5">
        <w:t xml:space="preserve">an </w:t>
      </w:r>
      <w:r>
        <w:t xml:space="preserve">annual audit, verify that </w:t>
      </w:r>
      <w:r w:rsidR="00114CE4">
        <w:t xml:space="preserve">the forms and process meet the criteria to respond “Yes” to the questions in this section. All documentation should be maintained throughout the Survey Cycle. </w:t>
      </w:r>
      <w:r>
        <w:br/>
      </w:r>
    </w:p>
    <w:p w14:paraId="29F069DC" w14:textId="2F29AB02" w:rsidR="00895382" w:rsidRDefault="00895382" w:rsidP="00AD309C">
      <w:pPr>
        <w:pStyle w:val="ListParagraph"/>
        <w:numPr>
          <w:ilvl w:val="0"/>
          <w:numId w:val="114"/>
        </w:numPr>
        <w:spacing w:before="200" w:after="200"/>
        <w:rPr>
          <w:b/>
        </w:rPr>
      </w:pPr>
      <w:r>
        <w:rPr>
          <w:b/>
        </w:rPr>
        <w:t xml:space="preserve">Are there any examples of patients for whom the informed consent </w:t>
      </w:r>
      <w:r w:rsidR="00AF1A53">
        <w:rPr>
          <w:b/>
        </w:rPr>
        <w:t xml:space="preserve">questions </w:t>
      </w:r>
      <w:r>
        <w:rPr>
          <w:b/>
        </w:rPr>
        <w:t>would not apply?</w:t>
      </w:r>
    </w:p>
    <w:p w14:paraId="7C5320F4" w14:textId="7D9DCD04" w:rsidR="00444BF9" w:rsidRDefault="00AF1A53" w:rsidP="00A26035">
      <w:pPr>
        <w:pStyle w:val="ListParagraph"/>
        <w:ind w:left="360"/>
      </w:pPr>
      <w:r>
        <w:t>When responding to the questions in this subsection, you can exclude p</w:t>
      </w:r>
      <w:r w:rsidR="00895382">
        <w:t xml:space="preserve">atients who are unable to communicate and for whom no </w:t>
      </w:r>
      <w:r w:rsidR="00D42B5B">
        <w:t xml:space="preserve">legal guardian </w:t>
      </w:r>
      <w:r w:rsidR="00895382">
        <w:t>or medical proxy has been identified</w:t>
      </w:r>
      <w:r w:rsidR="00940046">
        <w:t xml:space="preserve"> at least one week prior to the procedure being performed.</w:t>
      </w:r>
    </w:p>
    <w:p w14:paraId="4311D907" w14:textId="77777777" w:rsidR="000418AE" w:rsidRDefault="000418AE" w:rsidP="00A26035">
      <w:pPr>
        <w:pStyle w:val="ListParagraph"/>
        <w:ind w:left="360"/>
      </w:pPr>
    </w:p>
    <w:p w14:paraId="5FE7FA8A" w14:textId="4462587C" w:rsidR="000418AE" w:rsidRDefault="000418AE" w:rsidP="00AD309C">
      <w:pPr>
        <w:pStyle w:val="ListParagraph"/>
        <w:numPr>
          <w:ilvl w:val="0"/>
          <w:numId w:val="114"/>
        </w:numPr>
        <w:rPr>
          <w:b/>
          <w:bCs/>
        </w:rPr>
      </w:pPr>
      <w:r>
        <w:rPr>
          <w:b/>
          <w:bCs/>
        </w:rPr>
        <w:t>Should we consider the term “legal guardian” to be equivalent to the term “legal surrogate decision-maker”?</w:t>
      </w:r>
    </w:p>
    <w:p w14:paraId="73C49621" w14:textId="13441F8A" w:rsidR="00960220" w:rsidRDefault="000418AE" w:rsidP="000418AE">
      <w:pPr>
        <w:pStyle w:val="ListParagraph"/>
        <w:ind w:left="360"/>
      </w:pPr>
      <w:r w:rsidRPr="00381792">
        <w:t xml:space="preserve">Yes, </w:t>
      </w:r>
      <w:r>
        <w:t>for the purposes of the Leapfrog Hospital Survey, these terms are equivalent.</w:t>
      </w:r>
    </w:p>
    <w:p w14:paraId="63321250" w14:textId="77777777" w:rsidR="00D40B38" w:rsidRPr="00A26035" w:rsidRDefault="00D40B38" w:rsidP="004D1420"/>
    <w:p w14:paraId="0599D9F2" w14:textId="346073BC" w:rsidR="00444BF9" w:rsidRPr="00444BF9" w:rsidRDefault="00444BF9" w:rsidP="00AD309C">
      <w:pPr>
        <w:pStyle w:val="ListParagraph"/>
        <w:numPr>
          <w:ilvl w:val="0"/>
          <w:numId w:val="114"/>
        </w:numPr>
      </w:pPr>
      <w:r w:rsidRPr="00444BF9">
        <w:rPr>
          <w:b/>
          <w:bCs/>
        </w:rPr>
        <w:t>What roles and staff levels need to be included in the training program on informed consent included in question #1? What types of training can we use?</w:t>
      </w:r>
    </w:p>
    <w:p w14:paraId="075330A8" w14:textId="1F3C9232" w:rsidR="00444BF9" w:rsidRDefault="00444BF9" w:rsidP="00444BF9">
      <w:pPr>
        <w:pStyle w:val="ListParagraph"/>
        <w:ind w:left="360"/>
      </w:pPr>
      <w:r>
        <w:t xml:space="preserve">As described on page 98 of the </w:t>
      </w:r>
      <w:hyperlink r:id="rId151" w:history="1">
        <w:r w:rsidRPr="0093622E">
          <w:rPr>
            <w:rStyle w:val="Hyperlink"/>
          </w:rPr>
          <w:t>AHRQ’s Making Informed Consent an Informed Choice – Training for Health Care Leaders</w:t>
        </w:r>
      </w:hyperlink>
      <w:r>
        <w:t>, the appropriate roles for training include all the following: hospital leaders, physicians/independent nurse practitioners/independent physician assistants, nurses or other clinical staff, administrative staff</w:t>
      </w:r>
      <w:r w:rsidR="00B721BA">
        <w:t xml:space="preserve"> in a patient-facing role</w:t>
      </w:r>
      <w:r>
        <w:t>, and interpreters. The training may be tailored to only include relevant materials based on the staff role. The goal is for each responsible staff person to be trained in their applicable domains.</w:t>
      </w:r>
      <w:r w:rsidR="00580477">
        <w:t xml:space="preserve"> </w:t>
      </w:r>
      <w:r>
        <w:t>For example:</w:t>
      </w:r>
    </w:p>
    <w:p w14:paraId="1D7E58F1" w14:textId="77777777" w:rsidR="00444BF9" w:rsidRDefault="00444BF9" w:rsidP="00AD309C">
      <w:pPr>
        <w:pStyle w:val="ListParagraph"/>
        <w:numPr>
          <w:ilvl w:val="0"/>
          <w:numId w:val="194"/>
        </w:numPr>
        <w:contextualSpacing w:val="0"/>
      </w:pPr>
      <w:r>
        <w:t>For hospital leaders, training on the definition and principles of informed consent and specifics on the hospital’s informed consent policy is appropriate.</w:t>
      </w:r>
    </w:p>
    <w:p w14:paraId="1326D559" w14:textId="03D65F4E" w:rsidR="00444BF9" w:rsidRDefault="00444BF9" w:rsidP="00AD309C">
      <w:pPr>
        <w:pStyle w:val="ListParagraph"/>
        <w:numPr>
          <w:ilvl w:val="0"/>
          <w:numId w:val="194"/>
        </w:numPr>
        <w:contextualSpacing w:val="0"/>
      </w:pPr>
      <w:r>
        <w:t>Clinical staff such as physicians and nurses should also be trained in strategies for clear communication, for presenting choices, and for documentation</w:t>
      </w:r>
      <w:r w:rsidR="009D09A6">
        <w:t>, if they are responsible for directly conducting the informed consent process</w:t>
      </w:r>
      <w:r>
        <w:t xml:space="preserve">. </w:t>
      </w:r>
    </w:p>
    <w:p w14:paraId="53D361F7" w14:textId="1F11540C" w:rsidR="00444BF9" w:rsidRDefault="00FA6657" w:rsidP="00AD309C">
      <w:pPr>
        <w:pStyle w:val="ListParagraph"/>
        <w:numPr>
          <w:ilvl w:val="0"/>
          <w:numId w:val="194"/>
        </w:numPr>
        <w:contextualSpacing w:val="0"/>
      </w:pPr>
      <w:r>
        <w:t>A</w:t>
      </w:r>
      <w:r w:rsidR="00444BF9">
        <w:t>dministrative staff</w:t>
      </w:r>
      <w:r w:rsidR="00E657CE" w:rsidRPr="00E657CE">
        <w:t xml:space="preserve"> </w:t>
      </w:r>
      <w:r w:rsidR="00E657CE">
        <w:t>in a patient-facing role</w:t>
      </w:r>
      <w:r w:rsidR="00444BF9">
        <w:t xml:space="preserve"> and interpreters</w:t>
      </w:r>
      <w:r>
        <w:t xml:space="preserve"> should also be trained in reviewing and completing documentation</w:t>
      </w:r>
      <w:r w:rsidR="00444BF9">
        <w:t xml:space="preserve"> </w:t>
      </w:r>
      <w:r w:rsidR="00911040">
        <w:t xml:space="preserve">if </w:t>
      </w:r>
      <w:r w:rsidR="00444BF9">
        <w:t xml:space="preserve">participating in the informed consent process. </w:t>
      </w:r>
    </w:p>
    <w:p w14:paraId="6F622821" w14:textId="77777777" w:rsidR="00444BF9" w:rsidRPr="00A26035" w:rsidRDefault="00444BF9" w:rsidP="00444BF9">
      <w:pPr>
        <w:rPr>
          <w:rFonts w:eastAsiaTheme="minorHAnsi"/>
        </w:rPr>
      </w:pPr>
    </w:p>
    <w:p w14:paraId="23AA6D4E" w14:textId="77777777" w:rsidR="00444BF9" w:rsidRDefault="00444BF9" w:rsidP="00444BF9">
      <w:pPr>
        <w:ind w:left="360"/>
      </w:pPr>
      <w:r>
        <w:t>Staff that are not directly employed by the hospital (e.g., medical interpreters who are employed by a contractor) do not need to be trained by the hospital.</w:t>
      </w:r>
    </w:p>
    <w:p w14:paraId="5C3011CA" w14:textId="77777777" w:rsidR="00444BF9" w:rsidRPr="00A26035" w:rsidRDefault="00444BF9" w:rsidP="00444BF9">
      <w:pPr>
        <w:pStyle w:val="ListParagraph"/>
      </w:pPr>
    </w:p>
    <w:p w14:paraId="1DDF2260" w14:textId="6DC1C151" w:rsidR="00355191" w:rsidRPr="00355191" w:rsidRDefault="00261904" w:rsidP="00A90AE6">
      <w:pPr>
        <w:ind w:left="360"/>
      </w:pPr>
      <w:r>
        <w:t>Training does</w:t>
      </w:r>
      <w:r w:rsidR="00444BF9">
        <w:t xml:space="preserve"> not need to be exclusive to informed consent and can be included as </w:t>
      </w:r>
      <w:r w:rsidR="001C7475">
        <w:t xml:space="preserve">a </w:t>
      </w:r>
      <w:r w:rsidR="00444BF9">
        <w:t>component or module in other trainings. Examples of trainings include computer-based training, one-on-one precepting, webinars, and staff meeting presentations, as well as other modalities where learning can be assessed after the content is delivered to the trainee.</w:t>
      </w:r>
    </w:p>
    <w:p w14:paraId="5C91EFE1" w14:textId="25974C6E" w:rsidR="00B65144" w:rsidRDefault="00B65144" w:rsidP="00D57961">
      <w:pPr>
        <w:ind w:left="360"/>
      </w:pPr>
    </w:p>
    <w:p w14:paraId="31B188CD" w14:textId="1E22D529" w:rsidR="00940046" w:rsidRDefault="00940046" w:rsidP="00AD309C">
      <w:pPr>
        <w:pStyle w:val="ListParagraph"/>
        <w:numPr>
          <w:ilvl w:val="0"/>
          <w:numId w:val="114"/>
        </w:numPr>
        <w:rPr>
          <w:b/>
          <w:bCs/>
        </w:rPr>
      </w:pPr>
      <w:r>
        <w:rPr>
          <w:b/>
          <w:bCs/>
        </w:rPr>
        <w:t xml:space="preserve">Should each consent form be customized to include patient- and procedure-specific details to explain </w:t>
      </w:r>
      <w:r w:rsidR="00DA12D7">
        <w:rPr>
          <w:b/>
          <w:bCs/>
        </w:rPr>
        <w:t>expected difficulties and recovery time (question #</w:t>
      </w:r>
      <w:bookmarkStart w:id="151" w:name="_Hlk119680846"/>
      <w:r w:rsidR="00B43989">
        <w:rPr>
          <w:b/>
          <w:bCs/>
        </w:rPr>
        <w:t>2</w:t>
      </w:r>
      <w:r w:rsidR="00DA12D7">
        <w:rPr>
          <w:b/>
          <w:bCs/>
        </w:rPr>
        <w:t>)</w:t>
      </w:r>
      <w:r w:rsidR="00C62199">
        <w:rPr>
          <w:b/>
          <w:bCs/>
        </w:rPr>
        <w:t>?</w:t>
      </w:r>
      <w:bookmarkEnd w:id="151"/>
    </w:p>
    <w:p w14:paraId="561D0091" w14:textId="34730FB0" w:rsidR="00C03993" w:rsidRDefault="00940046" w:rsidP="00F30C3F">
      <w:pPr>
        <w:pStyle w:val="ListParagraph"/>
        <w:ind w:left="360"/>
      </w:pPr>
      <w:r>
        <w:t>No. Instead, the consent form must document that the conversation between the patient and the clinician took place, and that the patient had the opportunity to ask questions. For example, such language might read: “</w:t>
      </w:r>
      <w:r w:rsidR="00835CBF" w:rsidRPr="00E41F2C">
        <w:t>I confirm that the choices for my treatment were explained to me. I understand the risks I may face and the benefits that may happen. I also know about the issues I might face from having the procedure. I understand how long I will take to recover, how I can manage my pain, and any rules to follow while I am in the hospital and after I leave. I also understand why the procedure is being done.</w:t>
      </w:r>
      <w:r w:rsidR="00C128E7">
        <w:t>”</w:t>
      </w:r>
    </w:p>
    <w:p w14:paraId="205607A4" w14:textId="77777777" w:rsidR="00C03993" w:rsidRDefault="00C03993" w:rsidP="00F30C3F">
      <w:pPr>
        <w:pStyle w:val="ListParagraph"/>
        <w:ind w:left="360"/>
      </w:pPr>
    </w:p>
    <w:p w14:paraId="7C44B46B" w14:textId="77777777" w:rsidR="00C62199" w:rsidRPr="00D66BB6" w:rsidRDefault="00C62199" w:rsidP="00AD309C">
      <w:pPr>
        <w:pStyle w:val="ListParagraph"/>
        <w:numPr>
          <w:ilvl w:val="0"/>
          <w:numId w:val="114"/>
        </w:numPr>
        <w:rPr>
          <w:rFonts w:cs="Arial"/>
          <w:b/>
          <w:bCs/>
        </w:rPr>
      </w:pPr>
      <w:r w:rsidRPr="00D66BB6">
        <w:rPr>
          <w:rFonts w:cs="Arial"/>
          <w:b/>
          <w:bCs/>
        </w:rPr>
        <w:t>Does the consent form need to specifically name the assistants and trainees who will be involved in the procedure, the same way the consent form needs to name the clinician performing the procedure?</w:t>
      </w:r>
    </w:p>
    <w:p w14:paraId="72CA5C83" w14:textId="77777777" w:rsidR="00C62199" w:rsidRPr="00D66BB6" w:rsidRDefault="00C62199" w:rsidP="00C62199">
      <w:pPr>
        <w:pStyle w:val="ListParagraph"/>
        <w:ind w:left="360"/>
        <w:rPr>
          <w:rFonts w:cs="Arial"/>
          <w:b/>
          <w:bCs/>
        </w:rPr>
      </w:pPr>
      <w:r w:rsidRPr="002825FE">
        <w:rPr>
          <w:rFonts w:cs="Arial"/>
        </w:rPr>
        <w:t>No. The consent form only needs to indicate that assistants or trainees may be involved, if this applies to the specific procedure the patient is signing the consent form for.</w:t>
      </w:r>
    </w:p>
    <w:p w14:paraId="76B48DC5" w14:textId="77777777" w:rsidR="00C62199" w:rsidRPr="00C8246A" w:rsidRDefault="00C62199" w:rsidP="00C8246A">
      <w:pPr>
        <w:rPr>
          <w:rFonts w:cs="Arial"/>
          <w:b/>
          <w:bCs/>
          <w:color w:val="000000"/>
        </w:rPr>
      </w:pPr>
    </w:p>
    <w:p w14:paraId="07AFABD1" w14:textId="77777777" w:rsidR="00C62199" w:rsidRPr="00D40B38" w:rsidRDefault="00C62199" w:rsidP="00AD309C">
      <w:pPr>
        <w:pStyle w:val="ListParagraph"/>
        <w:numPr>
          <w:ilvl w:val="0"/>
          <w:numId w:val="114"/>
        </w:numPr>
        <w:rPr>
          <w:rFonts w:cs="Arial"/>
          <w:b/>
          <w:bCs/>
          <w:color w:val="000000"/>
        </w:rPr>
      </w:pPr>
      <w:r w:rsidRPr="00D40B38">
        <w:rPr>
          <w:rFonts w:cs="Arial"/>
          <w:b/>
          <w:bCs/>
          <w:color w:val="000000"/>
        </w:rPr>
        <w:lastRenderedPageBreak/>
        <w:t>Why has Leapfrog selected a 6th-grade reading level target for consent forms, and what are some strategies we can use to meet this?</w:t>
      </w:r>
    </w:p>
    <w:p w14:paraId="457A1570" w14:textId="77777777" w:rsidR="00901921" w:rsidRDefault="00C62199" w:rsidP="00C62199">
      <w:pPr>
        <w:ind w:left="360"/>
        <w:rPr>
          <w:rFonts w:cs="Arial"/>
        </w:rPr>
      </w:pPr>
      <w:r w:rsidRPr="00D40B38">
        <w:rPr>
          <w:rFonts w:cs="Arial"/>
        </w:rPr>
        <w:t xml:space="preserve">Just over half of U.S. adults have a reading level that permits them to understand and synthesize information from a complex text. According to </w:t>
      </w:r>
      <w:hyperlink r:id="rId152" w:history="1">
        <w:r w:rsidRPr="00D40B38">
          <w:rPr>
            <w:rStyle w:val="Hyperlink"/>
            <w:rFonts w:cs="Arial"/>
          </w:rPr>
          <w:t>a Gallup analysis</w:t>
        </w:r>
      </w:hyperlink>
      <w:r w:rsidRPr="00D40B38">
        <w:rPr>
          <w:rFonts w:cs="Arial"/>
        </w:rPr>
        <w:t xml:space="preserve">, 54% of Americans between the ages of 16 and 74 read below the equivalent of a sixth-grade level. </w:t>
      </w:r>
      <w:r w:rsidR="00355191">
        <w:rPr>
          <w:rFonts w:cs="Arial"/>
        </w:rPr>
        <w:t xml:space="preserve">A </w:t>
      </w:r>
      <w:hyperlink r:id="rId153" w:history="1">
        <w:r w:rsidR="00355191" w:rsidRPr="00671D9D">
          <w:rPr>
            <w:rStyle w:val="Hyperlink"/>
            <w:rFonts w:cs="Arial"/>
          </w:rPr>
          <w:t>more recent survey by the Organization for Economic Development and Cooperation (OECD)</w:t>
        </w:r>
      </w:hyperlink>
      <w:r w:rsidR="00355191">
        <w:rPr>
          <w:rFonts w:cs="Arial"/>
        </w:rPr>
        <w:t xml:space="preserve"> indicates that literacy in the U.S. has gradually declined since that Gallup analysis, suggesting a still-greater proportion of the population reads below a sixth-grade level today. </w:t>
      </w:r>
    </w:p>
    <w:p w14:paraId="5112DFF4" w14:textId="77777777" w:rsidR="00C62199" w:rsidRPr="00D40B38" w:rsidRDefault="00C62199" w:rsidP="00A90AE6">
      <w:pPr>
        <w:rPr>
          <w:rFonts w:cs="Arial"/>
        </w:rPr>
      </w:pPr>
    </w:p>
    <w:p w14:paraId="5C266E14" w14:textId="4D64508D" w:rsidR="00C62199" w:rsidRPr="00D40B38" w:rsidRDefault="00C62199" w:rsidP="00C62199">
      <w:pPr>
        <w:ind w:left="360"/>
        <w:rPr>
          <w:rFonts w:cs="Arial"/>
        </w:rPr>
      </w:pPr>
      <w:r w:rsidRPr="00D40B38">
        <w:rPr>
          <w:rFonts w:cs="Arial"/>
        </w:rPr>
        <w:t xml:space="preserve">Leapfrog hosted two Town Hall Calls led by AHRQ describing techniques for reducing the written complexity of consent forms. The slides are available on Leapfrog’s </w:t>
      </w:r>
      <w:hyperlink r:id="rId154" w:history="1">
        <w:r w:rsidRPr="00D40B38">
          <w:rPr>
            <w:rStyle w:val="Hyperlink"/>
            <w:rFonts w:cs="Arial"/>
          </w:rPr>
          <w:t>Town Hall Calls webpage</w:t>
        </w:r>
      </w:hyperlink>
      <w:r w:rsidRPr="00D40B38">
        <w:rPr>
          <w:rFonts w:cs="Arial"/>
        </w:rPr>
        <w:t>; please refer to slide</w:t>
      </w:r>
      <w:r w:rsidR="00C274F7">
        <w:rPr>
          <w:rFonts w:cs="Arial"/>
        </w:rPr>
        <w:t>s</w:t>
      </w:r>
      <w:r w:rsidRPr="00D40B38">
        <w:rPr>
          <w:rFonts w:cs="Arial"/>
        </w:rPr>
        <w:t xml:space="preserve"> 40-47 for more information in the “Informed Consent” slide deck and slides 40-45 in the “Health Literacy” deck. Additional resources include:</w:t>
      </w:r>
    </w:p>
    <w:p w14:paraId="4959D852" w14:textId="77777777" w:rsidR="00C62199" w:rsidRPr="00D40B38" w:rsidRDefault="00C62199" w:rsidP="00AD309C">
      <w:pPr>
        <w:pStyle w:val="ListParagraph"/>
        <w:numPr>
          <w:ilvl w:val="0"/>
          <w:numId w:val="223"/>
        </w:numPr>
        <w:ind w:left="1080"/>
        <w:contextualSpacing w:val="0"/>
        <w:rPr>
          <w:rFonts w:cs="Arial"/>
        </w:rPr>
      </w:pPr>
      <w:hyperlink r:id="rId155" w:history="1">
        <w:r w:rsidRPr="00D40B38">
          <w:rPr>
            <w:rStyle w:val="Hyperlink"/>
            <w:rFonts w:cs="Arial"/>
          </w:rPr>
          <w:t>AHRQ Training Module</w:t>
        </w:r>
      </w:hyperlink>
    </w:p>
    <w:p w14:paraId="16CCA094" w14:textId="77777777" w:rsidR="00C62199" w:rsidRPr="00D40B38" w:rsidRDefault="00C62199" w:rsidP="00AD309C">
      <w:pPr>
        <w:pStyle w:val="ListParagraph"/>
        <w:numPr>
          <w:ilvl w:val="0"/>
          <w:numId w:val="223"/>
        </w:numPr>
        <w:ind w:left="1080"/>
        <w:contextualSpacing w:val="0"/>
        <w:rPr>
          <w:rFonts w:cs="Arial"/>
        </w:rPr>
      </w:pPr>
      <w:r w:rsidRPr="00D40B38">
        <w:rPr>
          <w:rFonts w:cs="Arial"/>
        </w:rPr>
        <w:t>The Patient Education Materials Assessment Tool (</w:t>
      </w:r>
      <w:hyperlink r:id="rId156" w:history="1">
        <w:r w:rsidRPr="00D40B38">
          <w:rPr>
            <w:rStyle w:val="Hyperlink"/>
            <w:rFonts w:cs="Arial"/>
          </w:rPr>
          <w:t>PEMAT</w:t>
        </w:r>
      </w:hyperlink>
      <w:r w:rsidRPr="00D40B38">
        <w:rPr>
          <w:rFonts w:cs="Arial"/>
        </w:rPr>
        <w:t>)</w:t>
      </w:r>
    </w:p>
    <w:p w14:paraId="4338F8A0" w14:textId="77777777" w:rsidR="00C62199" w:rsidRPr="00D40B38" w:rsidRDefault="00C62199" w:rsidP="00AD309C">
      <w:pPr>
        <w:pStyle w:val="ListParagraph"/>
        <w:numPr>
          <w:ilvl w:val="0"/>
          <w:numId w:val="223"/>
        </w:numPr>
        <w:ind w:left="1080"/>
        <w:contextualSpacing w:val="0"/>
        <w:rPr>
          <w:rFonts w:cs="Arial"/>
        </w:rPr>
      </w:pPr>
      <w:r w:rsidRPr="00D40B38">
        <w:rPr>
          <w:rFonts w:cs="Arial"/>
        </w:rPr>
        <w:t>Clear Communication Index (</w:t>
      </w:r>
      <w:hyperlink r:id="rId157" w:history="1">
        <w:r w:rsidRPr="00D40B38">
          <w:rPr>
            <w:rStyle w:val="Hyperlink"/>
            <w:rFonts w:cs="Arial"/>
          </w:rPr>
          <w:t>CCI</w:t>
        </w:r>
      </w:hyperlink>
      <w:r w:rsidRPr="00D40B38">
        <w:rPr>
          <w:rFonts w:cs="Arial"/>
        </w:rPr>
        <w:t>)</w:t>
      </w:r>
    </w:p>
    <w:p w14:paraId="40AFF15D" w14:textId="1B9747B9" w:rsidR="00C54C9B" w:rsidRDefault="00C62199" w:rsidP="00C54C9B">
      <w:pPr>
        <w:pStyle w:val="ListParagraph"/>
        <w:numPr>
          <w:ilvl w:val="0"/>
          <w:numId w:val="223"/>
        </w:numPr>
        <w:ind w:left="1080"/>
        <w:contextualSpacing w:val="0"/>
        <w:rPr>
          <w:rFonts w:cs="Arial"/>
        </w:rPr>
      </w:pPr>
      <w:hyperlink r:id="rId158" w:history="1">
        <w:r w:rsidRPr="00D40B38">
          <w:rPr>
            <w:rStyle w:val="Hyperlink"/>
            <w:rFonts w:cs="Arial"/>
          </w:rPr>
          <w:t>CMS Toolkit for Making Written Material Clear and Effective</w:t>
        </w:r>
      </w:hyperlink>
      <w:r w:rsidR="00FB2D5F">
        <w:rPr>
          <w:rStyle w:val="Hyperlink"/>
          <w:rFonts w:cs="Arial"/>
        </w:rPr>
        <w:br/>
      </w:r>
    </w:p>
    <w:p w14:paraId="15A4078D" w14:textId="6E181565" w:rsidR="00C54C9B" w:rsidRPr="006F0F70" w:rsidRDefault="00C54C9B" w:rsidP="006F0F70">
      <w:pPr>
        <w:ind w:left="360"/>
      </w:pPr>
      <w:r w:rsidRPr="006F0F70">
        <w:t xml:space="preserve">In addition, recent research suggests that Large Language Models (e.g. ChatGPT) can be leveraged to </w:t>
      </w:r>
      <w:r w:rsidR="005B0439">
        <w:t>optimize</w:t>
      </w:r>
      <w:r w:rsidRPr="006F0F70">
        <w:t xml:space="preserve"> the reading level of consent forms, while retaining the accuracy and completeness of the medical terminology and descriptions used.</w:t>
      </w:r>
    </w:p>
    <w:p w14:paraId="089DF99A" w14:textId="3D87F9ED" w:rsidR="00C54C9B" w:rsidRPr="00C6237E" w:rsidRDefault="00C54C9B" w:rsidP="00C54C9B">
      <w:pPr>
        <w:pStyle w:val="ListParagraph"/>
        <w:numPr>
          <w:ilvl w:val="0"/>
          <w:numId w:val="452"/>
        </w:numPr>
        <w:rPr>
          <w:rStyle w:val="Hyperlink"/>
          <w:rFonts w:cs="Arial"/>
          <w:color w:val="auto"/>
          <w:u w:val="none"/>
        </w:rPr>
      </w:pPr>
      <w:r w:rsidRPr="00C6237E">
        <w:rPr>
          <w:rStyle w:val="Hyperlink"/>
          <w:rFonts w:cs="Arial"/>
          <w:color w:val="auto"/>
          <w:u w:val="none"/>
        </w:rPr>
        <w:t>Ramanathan, Rahul &amp; Kelly, Ryan &amp; Shaw, Jeremy &amp; Gopakumar, Adway &amp; Shannon, Michael &amp; Gonzalez, Christopher &amp; Weinberg, Jacob &amp; Bonamer, John &amp; Wawrose, Richard &amp; Spitnale, Michael &amp; Lee, Joon &amp; Weddle, John. (2026). Reducing Complexity in Surgical Consents: The Role of AI in Patient Communication. Medical Research Archives. 13. 10.18103/mra.v13i12.7178.</w:t>
      </w:r>
    </w:p>
    <w:p w14:paraId="66692E9E" w14:textId="77777777" w:rsidR="00C54C9B" w:rsidRPr="00C54C9B" w:rsidRDefault="00C54C9B" w:rsidP="00C54C9B">
      <w:pPr>
        <w:pStyle w:val="ListParagraph"/>
        <w:rPr>
          <w:rFonts w:cs="Arial"/>
        </w:rPr>
      </w:pPr>
    </w:p>
    <w:p w14:paraId="5CD039E1" w14:textId="0D4B3809" w:rsidR="00C03993" w:rsidRPr="00C03993" w:rsidRDefault="00C03993" w:rsidP="00AD309C">
      <w:pPr>
        <w:pStyle w:val="ListParagraph"/>
        <w:numPr>
          <w:ilvl w:val="0"/>
          <w:numId w:val="114"/>
        </w:numPr>
        <w:rPr>
          <w:b/>
          <w:bCs/>
        </w:rPr>
      </w:pPr>
      <w:bookmarkStart w:id="152" w:name="readinglevel"/>
      <w:r w:rsidRPr="00C03993">
        <w:rPr>
          <w:b/>
          <w:bCs/>
        </w:rPr>
        <w:t>How should the reading level of the consent form be assessed?</w:t>
      </w:r>
    </w:p>
    <w:bookmarkEnd w:id="152"/>
    <w:p w14:paraId="731E0F5C" w14:textId="353F05CD" w:rsidR="00355191" w:rsidRDefault="00355191" w:rsidP="00D36222">
      <w:pPr>
        <w:pStyle w:val="ListParagraph"/>
        <w:ind w:left="360"/>
        <w:rPr>
          <w:rFonts w:cs="Arial"/>
        </w:rPr>
      </w:pPr>
      <w:r>
        <w:t>There are software tools available to assess reading level. For example, consent forms can be edited in Microsoft Word 365, where a readability tool can be used to make this assessment by: (1) on the “File” tab, click the “Options” button; (2) on the “Proofing” tab, under “When correcting spelling and grammar in Word</w:t>
      </w:r>
      <w:r w:rsidR="00C274F7">
        <w:t>,</w:t>
      </w:r>
      <w:r>
        <w:t xml:space="preserve">” select the “Show readability statistics” check box. Exit the window. Then, under the Review tab in your Word document, click the “Editor” button in the far left corner of the ribbon, then click “Insights – Document Stats” on the “Editor” sidebar: Word displays a message box showing you the Flesch-Kincaid readability grade-level: any value less than or equal to 6.9 is considered a “sixth-grade” reading level. </w:t>
      </w:r>
      <w:r w:rsidRPr="001A7FD5">
        <w:rPr>
          <w:rFonts w:cs="Arial"/>
        </w:rPr>
        <w:t>Reading level can also be assessed using online tools, such as those provided at Readable.com, provided those tools use either the Flesch-Kincaid or SMOG readability standard to evaluate the readability of written language.</w:t>
      </w:r>
    </w:p>
    <w:p w14:paraId="79B84DB5" w14:textId="77777777" w:rsidR="00C62199" w:rsidRDefault="00C62199" w:rsidP="00C03993">
      <w:pPr>
        <w:pStyle w:val="ListParagraph"/>
        <w:ind w:left="360"/>
      </w:pPr>
    </w:p>
    <w:p w14:paraId="3C940249" w14:textId="69F2F267" w:rsidR="006C7AB8" w:rsidRDefault="006C7AB8" w:rsidP="006C7AB8">
      <w:pPr>
        <w:pStyle w:val="ListParagraph"/>
        <w:numPr>
          <w:ilvl w:val="0"/>
          <w:numId w:val="114"/>
        </w:numPr>
        <w:rPr>
          <w:rFonts w:cs="Arial"/>
          <w:b/>
          <w:bCs/>
        </w:rPr>
      </w:pPr>
      <w:r>
        <w:rPr>
          <w:rFonts w:cs="Arial"/>
          <w:b/>
          <w:bCs/>
        </w:rPr>
        <w:t>How should the reading level of consent forms be assessed in languages other than English?</w:t>
      </w:r>
    </w:p>
    <w:p w14:paraId="34FBC89A" w14:textId="39C1E5FD" w:rsidR="0089487B" w:rsidRDefault="00052473" w:rsidP="0089487B">
      <w:pPr>
        <w:pStyle w:val="ListParagraph"/>
        <w:ind w:left="360"/>
      </w:pPr>
      <w:r>
        <w:t>To date,</w:t>
      </w:r>
      <w:r w:rsidR="006D43E4">
        <w:t xml:space="preserve"> Leapfrog has </w:t>
      </w:r>
      <w:r>
        <w:t xml:space="preserve">only </w:t>
      </w:r>
      <w:r w:rsidR="006D43E4">
        <w:t>developed readability guidance for Spanish-language consent forms</w:t>
      </w:r>
      <w:r w:rsidR="00DF19A6">
        <w:t xml:space="preserve">. </w:t>
      </w:r>
      <w:r w:rsidR="0089487B">
        <w:t xml:space="preserve">For the Spanish language, Leapfrog considers a score of 55 or above on the INFLESZ Scale to be written at a sixth-grade reading level or </w:t>
      </w:r>
      <w:r w:rsidR="009C78E1">
        <w:t>below</w:t>
      </w:r>
      <w:r w:rsidR="0089487B">
        <w:t>. The INFLESZ Scale, developed and validated in 2008 by Barrio-Cantalejo et al, is the most widely used in academic research on readability of Spanish-language consent forms (Aponte 2025). The INFLESZ scale is calculated as 206.835 − 62.35 × (total syllables/total words) − (total words/total sentences). A minimum threshold of 55 and above on the INFLESZ scale is considered to be readable by most patients.</w:t>
      </w:r>
    </w:p>
    <w:p w14:paraId="3A4B891F" w14:textId="77777777" w:rsidR="0089487B" w:rsidRDefault="0089487B" w:rsidP="0089487B">
      <w:pPr>
        <w:pStyle w:val="ListParagraph"/>
        <w:ind w:left="360"/>
      </w:pPr>
    </w:p>
    <w:p w14:paraId="7ED8478B" w14:textId="77777777" w:rsidR="0089487B" w:rsidRDefault="0089487B" w:rsidP="0089487B">
      <w:pPr>
        <w:pStyle w:val="ListParagraph"/>
        <w:ind w:left="360"/>
      </w:pPr>
      <w:r>
        <w:t xml:space="preserve">To calculate an INFLESZ score, Leapfrog has provided an online calculator (available at: </w:t>
      </w:r>
      <w:hyperlink r:id="rId159" w:history="1">
        <w:r w:rsidRPr="00545DBA">
          <w:rPr>
            <w:rStyle w:val="Hyperlink"/>
          </w:rPr>
          <w:t>https://readability.leapfroggroup.org/</w:t>
        </w:r>
      </w:hyperlink>
      <w:r>
        <w:t>). You may paste in the text of your consent form or upload a Microsoft Word 365 file: the calculator will provide a score, an indication of pass/fail, and details on the calculation.</w:t>
      </w:r>
    </w:p>
    <w:p w14:paraId="4A3DA52B" w14:textId="77777777" w:rsidR="0089487B" w:rsidRDefault="0089487B" w:rsidP="0089487B">
      <w:pPr>
        <w:pStyle w:val="ListParagraph"/>
        <w:ind w:left="360"/>
      </w:pPr>
    </w:p>
    <w:p w14:paraId="39F63E42" w14:textId="2DF75AB5" w:rsidR="0089487B" w:rsidRDefault="0089487B" w:rsidP="0089487B">
      <w:pPr>
        <w:pStyle w:val="ListParagraph"/>
        <w:ind w:left="360"/>
      </w:pPr>
      <w:r>
        <w:t xml:space="preserve">For languages other than </w:t>
      </w:r>
      <w:r w:rsidR="007F4BD1">
        <w:t xml:space="preserve">English and </w:t>
      </w:r>
      <w:r>
        <w:t>Spanish, Leapfrog has not yet established a scoring methodology.</w:t>
      </w:r>
    </w:p>
    <w:p w14:paraId="36BF4970" w14:textId="77777777" w:rsidR="0089487B" w:rsidRDefault="0089487B" w:rsidP="0089487B">
      <w:pPr>
        <w:pStyle w:val="ListParagraph"/>
        <w:ind w:left="360"/>
      </w:pPr>
    </w:p>
    <w:p w14:paraId="637110E5" w14:textId="77777777" w:rsidR="0089487B" w:rsidRDefault="0089487B" w:rsidP="0089487B">
      <w:pPr>
        <w:pStyle w:val="ListParagraph"/>
        <w:ind w:left="360"/>
      </w:pPr>
      <w:r>
        <w:lastRenderedPageBreak/>
        <w:t>Barrio-Cantalejo IM, Simón-Lorda P, Melguizo M, Escalona I, Marijuán MI, Hernando P. Validación de la Escala INFLESZ para evaluar la legibilidad de los textos dirigidos a pacientes [Validation of the INFLESZ scale to evaluate readability of texts aimed at the patient]. An Sist Sanit Navar. 2008;31(2):135-152. doi:10.4321/s1137-66272008000300004</w:t>
      </w:r>
    </w:p>
    <w:p w14:paraId="03A21EC6" w14:textId="77777777" w:rsidR="0089487B" w:rsidRDefault="0089487B" w:rsidP="0089487B">
      <w:pPr>
        <w:pStyle w:val="ListParagraph"/>
        <w:ind w:left="360"/>
      </w:pPr>
    </w:p>
    <w:p w14:paraId="6EB75BAE" w14:textId="27B6FC6A" w:rsidR="006C7AB8" w:rsidRDefault="0089487B" w:rsidP="0089487B">
      <w:pPr>
        <w:pStyle w:val="ListParagraph"/>
        <w:ind w:left="360"/>
      </w:pPr>
      <w:r>
        <w:t>Aponte J, Tejada K, Figueroa K. Readability Level of Spanish Language Online Health Information: A Systematic Review. Hisp Health Care Int. 2025;23(2):107-122. doi:10.1177/15404153241286720</w:t>
      </w:r>
      <w:r w:rsidR="003A5607">
        <w:t>.</w:t>
      </w:r>
    </w:p>
    <w:p w14:paraId="1871E793" w14:textId="77777777" w:rsidR="0089487B" w:rsidRDefault="0089487B" w:rsidP="0089487B">
      <w:pPr>
        <w:pStyle w:val="ListParagraph"/>
        <w:ind w:left="360"/>
      </w:pPr>
    </w:p>
    <w:p w14:paraId="7605C609" w14:textId="77777777" w:rsidR="00C62199" w:rsidRPr="005E2D35" w:rsidRDefault="00C62199" w:rsidP="00AD309C">
      <w:pPr>
        <w:pStyle w:val="ListParagraph"/>
        <w:numPr>
          <w:ilvl w:val="0"/>
          <w:numId w:val="114"/>
        </w:numPr>
        <w:rPr>
          <w:rFonts w:cs="Arial"/>
          <w:b/>
          <w:bCs/>
        </w:rPr>
      </w:pPr>
      <w:r w:rsidRPr="005E2D35">
        <w:rPr>
          <w:rFonts w:cs="Arial"/>
          <w:b/>
          <w:bCs/>
        </w:rPr>
        <w:t>What information on the consent form can be excluded from the reading level assessment?</w:t>
      </w:r>
    </w:p>
    <w:p w14:paraId="568B4D04" w14:textId="1CD9F15A" w:rsidR="00C62199" w:rsidRDefault="00C62199" w:rsidP="00C62199">
      <w:pPr>
        <w:pStyle w:val="ListParagraph"/>
        <w:ind w:left="360"/>
        <w:rPr>
          <w:rFonts w:cs="Arial"/>
        </w:rPr>
      </w:pPr>
      <w:r w:rsidRPr="005E2D35">
        <w:rPr>
          <w:rFonts w:cs="Arial"/>
        </w:rPr>
        <w:t>The procedure name and description can be excluded from the reading level assessment. In addition, information intended to be read by the provider or administrative staff ONLY, such as instructions for signing and returning the consent form, and information that is written in by an individual provider to give that patient information specific to their condition, can also be excluded.</w:t>
      </w:r>
      <w:r w:rsidR="00355191">
        <w:rPr>
          <w:rFonts w:cs="Arial"/>
        </w:rPr>
        <w:t xml:space="preserve"> Finally, any words where a sixth-grade reading level definition is included with the term can be excluded from the reading level assessment. For example, in the sentence “anesthesia (putting you to sleep)</w:t>
      </w:r>
      <w:r w:rsidR="001272AB">
        <w:rPr>
          <w:rFonts w:cs="Arial"/>
        </w:rPr>
        <w:t>,</w:t>
      </w:r>
      <w:r w:rsidR="00355191">
        <w:rPr>
          <w:rFonts w:cs="Arial"/>
        </w:rPr>
        <w:t>” only “putting you to sleep” needs to be considered in the reading level assessment.</w:t>
      </w:r>
    </w:p>
    <w:p w14:paraId="7AE8878C" w14:textId="77777777" w:rsidR="00F62669" w:rsidRDefault="00F62669" w:rsidP="00C62199">
      <w:pPr>
        <w:pStyle w:val="ListParagraph"/>
        <w:ind w:left="360"/>
        <w:rPr>
          <w:rFonts w:cs="Arial"/>
        </w:rPr>
      </w:pPr>
    </w:p>
    <w:p w14:paraId="43E810F0" w14:textId="3F2C7C30" w:rsidR="00355191" w:rsidRPr="00381792" w:rsidRDefault="00355191" w:rsidP="00AD309C">
      <w:pPr>
        <w:pStyle w:val="ListParagraph"/>
        <w:numPr>
          <w:ilvl w:val="0"/>
          <w:numId w:val="114"/>
        </w:numPr>
        <w:rPr>
          <w:rFonts w:cs="Arial"/>
          <w:b/>
          <w:bCs/>
        </w:rPr>
      </w:pPr>
      <w:bookmarkStart w:id="153" w:name="ICInterpreter"/>
      <w:r w:rsidRPr="00381792">
        <w:rPr>
          <w:rFonts w:cs="Arial"/>
          <w:b/>
          <w:bCs/>
        </w:rPr>
        <w:t>What is a qualified medical interpreter?</w:t>
      </w:r>
    </w:p>
    <w:bookmarkEnd w:id="153"/>
    <w:p w14:paraId="02835DD4" w14:textId="274E134C" w:rsidR="00355191" w:rsidRPr="00D36222" w:rsidRDefault="00355191" w:rsidP="00355191">
      <w:pPr>
        <w:pStyle w:val="ListParagraph"/>
        <w:ind w:left="360"/>
        <w:rPr>
          <w:rFonts w:cs="Arial"/>
          <w:b/>
          <w:bCs/>
        </w:rPr>
      </w:pPr>
      <w:r>
        <w:t xml:space="preserve">In the </w:t>
      </w:r>
      <w:hyperlink r:id="rId160" w:history="1">
        <w:r w:rsidRPr="00F23F41">
          <w:rPr>
            <w:rStyle w:val="Hyperlink"/>
          </w:rPr>
          <w:t>U.S. Department of Health and Human Services 2023 Language Access Plan</w:t>
        </w:r>
      </w:hyperlink>
      <w:r>
        <w:t xml:space="preserve">, a qualified medical interpreter is defined as “A bilingual/multilingual person who has the appropriate training and experience or demonstrated ability to fully understand, analyze, and process and then faithfully render a spoken, written, or signed message in one language into a second language and who abides by a code of professional practice and ethics.” Leapfrog adheres to </w:t>
      </w:r>
      <w:r w:rsidR="007938AE">
        <w:t xml:space="preserve">this </w:t>
      </w:r>
      <w:r>
        <w:t>definition for the purposes of reporting on the Hospital Survey.</w:t>
      </w:r>
    </w:p>
    <w:p w14:paraId="55B6BB90" w14:textId="53CD5D42" w:rsidR="00314E71" w:rsidRPr="00A26035" w:rsidRDefault="00235FDD" w:rsidP="00C62199">
      <w:pPr>
        <w:pStyle w:val="ListParagraph"/>
        <w:ind w:left="360"/>
      </w:pPr>
      <w:r>
        <w:br/>
      </w:r>
    </w:p>
    <w:p w14:paraId="33BCA4AC" w14:textId="7CFD7601" w:rsidR="008507C7" w:rsidRPr="009A5185" w:rsidRDefault="008507C7">
      <w:pPr>
        <w:rPr>
          <w:rFonts w:cs="Arial"/>
        </w:rPr>
        <w:sectPr w:rsidR="008507C7" w:rsidRPr="009A5185" w:rsidSect="00062F69">
          <w:endnotePr>
            <w:numFmt w:val="decimal"/>
          </w:endnotePr>
          <w:type w:val="continuous"/>
          <w:pgSz w:w="12240" w:h="15840"/>
          <w:pgMar w:top="1080" w:right="1440" w:bottom="1080" w:left="1440" w:header="720" w:footer="720" w:gutter="0"/>
          <w:cols w:space="720"/>
          <w:docGrid w:linePitch="272"/>
        </w:sectPr>
      </w:pPr>
    </w:p>
    <w:p w14:paraId="67062C74" w14:textId="77777777" w:rsidR="008507C7" w:rsidRPr="009A5185" w:rsidRDefault="008507C7">
      <w:pPr>
        <w:rPr>
          <w:rFonts w:cs="Arial"/>
          <w:b/>
          <w:snapToGrid w:val="0"/>
          <w:sz w:val="40"/>
          <w:szCs w:val="40"/>
          <w:lang w:eastAsia="ja-JP"/>
        </w:rPr>
      </w:pPr>
    </w:p>
    <w:p w14:paraId="72E45367" w14:textId="77777777" w:rsidR="0060690C" w:rsidRPr="009A5185" w:rsidRDefault="00D34636" w:rsidP="00D32C75">
      <w:pPr>
        <w:pStyle w:val="SectionHeader"/>
      </w:pPr>
      <w:bookmarkStart w:id="154" w:name="_Toc414267200"/>
      <w:bookmarkStart w:id="155" w:name="_Toc225877686"/>
      <w:r w:rsidRPr="009A5185">
        <w:t>Page Intentionally Left Blank</w:t>
      </w:r>
      <w:bookmarkEnd w:id="154"/>
      <w:bookmarkEnd w:id="155"/>
    </w:p>
    <w:p w14:paraId="3C607A86" w14:textId="77777777" w:rsidR="00D34636" w:rsidRPr="009A5185" w:rsidRDefault="00D34636">
      <w:pPr>
        <w:rPr>
          <w:rFonts w:cs="Arial"/>
          <w:b/>
          <w:snapToGrid w:val="0"/>
          <w:color w:val="A6A6A6" w:themeColor="background1" w:themeShade="A6"/>
          <w:sz w:val="40"/>
          <w:szCs w:val="40"/>
          <w:lang w:eastAsia="ja-JP"/>
        </w:rPr>
      </w:pPr>
      <w:r w:rsidRPr="009A5185">
        <w:rPr>
          <w:rFonts w:cs="Arial"/>
          <w:color w:val="A6A6A6" w:themeColor="background1" w:themeShade="A6"/>
        </w:rPr>
        <w:br w:type="page"/>
      </w:r>
    </w:p>
    <w:p w14:paraId="5C4933EE" w14:textId="77777777" w:rsidR="00920EF6" w:rsidRPr="009A5185" w:rsidRDefault="00920EF6" w:rsidP="00D32C75">
      <w:pPr>
        <w:pStyle w:val="SectionHeader"/>
        <w:sectPr w:rsidR="00920EF6" w:rsidRPr="009A5185" w:rsidSect="00062F69">
          <w:headerReference w:type="default" r:id="rId161"/>
          <w:endnotePr>
            <w:numFmt w:val="decimal"/>
          </w:endnotePr>
          <w:pgSz w:w="12240" w:h="15840"/>
          <w:pgMar w:top="1080" w:right="1440" w:bottom="1080" w:left="1440" w:header="720" w:footer="720" w:gutter="0"/>
          <w:cols w:space="720"/>
          <w:docGrid w:linePitch="272"/>
        </w:sectPr>
      </w:pPr>
    </w:p>
    <w:p w14:paraId="7F5A15B6" w14:textId="77777777" w:rsidR="00D34636" w:rsidRPr="009A5185" w:rsidRDefault="00D34636" w:rsidP="006F2E4A"/>
    <w:p w14:paraId="40375068" w14:textId="77777777" w:rsidR="00C83A8C" w:rsidRDefault="00C83A8C">
      <w:bookmarkStart w:id="156" w:name="Sect2"/>
      <w:bookmarkEnd w:id="156"/>
    </w:p>
    <w:p w14:paraId="239B8804" w14:textId="77777777" w:rsidR="00B43F10" w:rsidRDefault="00B43F10"/>
    <w:p w14:paraId="1F2DB7B9" w14:textId="77777777" w:rsidR="00C83A8C" w:rsidRDefault="00C83A8C"/>
    <w:p w14:paraId="59698DD2" w14:textId="77777777" w:rsidR="00C83A8C" w:rsidRDefault="00C83A8C"/>
    <w:p w14:paraId="49F02761" w14:textId="77777777" w:rsidR="00C83A8C" w:rsidRDefault="00C83A8C"/>
    <w:p w14:paraId="49252006" w14:textId="77777777" w:rsidR="00C83A8C" w:rsidRDefault="00C83A8C"/>
    <w:p w14:paraId="7B62FD0C" w14:textId="77777777" w:rsidR="00C83A8C" w:rsidRDefault="00C83A8C"/>
    <w:p w14:paraId="1E1078A1" w14:textId="77777777" w:rsidR="00C83A8C" w:rsidRDefault="00C83A8C"/>
    <w:p w14:paraId="46F64420" w14:textId="77777777" w:rsidR="00C83A8C" w:rsidRDefault="00C83A8C"/>
    <w:p w14:paraId="0FE888A3" w14:textId="77777777" w:rsidR="00C83A8C" w:rsidRDefault="00C83A8C"/>
    <w:p w14:paraId="7AA28775" w14:textId="77777777" w:rsidR="00C83A8C" w:rsidRDefault="00C83A8C"/>
    <w:p w14:paraId="358ABDF9" w14:textId="77777777" w:rsidR="00C83A8C" w:rsidRDefault="00C83A8C"/>
    <w:p w14:paraId="1490B712" w14:textId="77777777" w:rsidR="00C83A8C" w:rsidRDefault="00C83A8C"/>
    <w:p w14:paraId="04D8FC9B" w14:textId="77777777" w:rsidR="00C83A8C" w:rsidRDefault="00C83A8C"/>
    <w:p w14:paraId="5E70E1DA" w14:textId="77777777" w:rsidR="00C83A8C" w:rsidRDefault="00C83A8C"/>
    <w:p w14:paraId="5676CA82" w14:textId="77777777" w:rsidR="00C83A8C" w:rsidRDefault="00C83A8C">
      <w:pPr>
        <w:rPr>
          <w:b/>
          <w:bCs/>
          <w:i/>
          <w:iCs/>
          <w:snapToGrid w:val="0"/>
          <w:sz w:val="40"/>
          <w:szCs w:val="40"/>
          <w:lang w:eastAsia="ja-JP"/>
        </w:rPr>
      </w:pPr>
    </w:p>
    <w:p w14:paraId="2088AE2C" w14:textId="314664FB" w:rsidR="00655B2A" w:rsidRPr="009A5185" w:rsidRDefault="00154F6C" w:rsidP="00D32C75">
      <w:pPr>
        <w:pStyle w:val="SectionHeader"/>
      </w:pPr>
      <w:bookmarkStart w:id="157" w:name="_Toc225877687"/>
      <w:r w:rsidRPr="009A5185">
        <w:t xml:space="preserve">SECTION 2: </w:t>
      </w:r>
      <w:r w:rsidR="00935D6C" w:rsidRPr="009A5185">
        <w:t>MEDICATION SAFETY</w:t>
      </w:r>
      <w:bookmarkEnd w:id="157"/>
    </w:p>
    <w:p w14:paraId="368E8E59" w14:textId="77777777" w:rsidR="0068304F" w:rsidRPr="009A5185" w:rsidRDefault="0068304F" w:rsidP="006F2E4A"/>
    <w:p w14:paraId="15F7C74C" w14:textId="1512061D" w:rsidR="0068304F" w:rsidRPr="009A5185" w:rsidRDefault="0068304F" w:rsidP="0068304F">
      <w:pPr>
        <w:rPr>
          <w:rFonts w:cs="Arial"/>
        </w:rPr>
      </w:pPr>
      <w:r w:rsidRPr="009A5185">
        <w:rPr>
          <w:rFonts w:cs="Arial"/>
        </w:rPr>
        <w:t>This section includes questions and reference information for Section 2</w:t>
      </w:r>
      <w:r w:rsidR="004A4FD0" w:rsidRPr="009A5185">
        <w:rPr>
          <w:rFonts w:cs="Arial"/>
        </w:rPr>
        <w:t>:</w:t>
      </w:r>
      <w:r w:rsidRPr="009A5185">
        <w:rPr>
          <w:rFonts w:cs="Arial"/>
        </w:rPr>
        <w:t xml:space="preserve"> </w:t>
      </w:r>
      <w:r w:rsidR="00E30A9C" w:rsidRPr="009A5185">
        <w:rPr>
          <w:rFonts w:cs="Arial"/>
        </w:rPr>
        <w:t>Medication Safety</w:t>
      </w:r>
      <w:r w:rsidRPr="009A5185">
        <w:rPr>
          <w:rFonts w:cs="Arial"/>
        </w:rPr>
        <w:t xml:space="preserve">. Please carefully review the questions, </w:t>
      </w:r>
      <w:r w:rsidR="00B94757" w:rsidRPr="009A5185">
        <w:rPr>
          <w:rFonts w:cs="Arial"/>
        </w:rPr>
        <w:t>endnotes</w:t>
      </w:r>
      <w:r w:rsidRPr="009A5185">
        <w:rPr>
          <w:rFonts w:cs="Arial"/>
        </w:rPr>
        <w:t>, and reference information (e.g.</w:t>
      </w:r>
      <w:r w:rsidR="00E30A9C" w:rsidRPr="009A5185">
        <w:rPr>
          <w:rFonts w:cs="Arial"/>
        </w:rPr>
        <w:t>,</w:t>
      </w:r>
      <w:r w:rsidRPr="009A5185">
        <w:rPr>
          <w:rFonts w:cs="Arial"/>
        </w:rPr>
        <w:t xml:space="preserve"> measure specifications, notes, and frequen</w:t>
      </w:r>
      <w:r w:rsidR="00217D8D" w:rsidRPr="009A5185">
        <w:rPr>
          <w:rFonts w:cs="Arial"/>
        </w:rPr>
        <w:t>tl</w:t>
      </w:r>
      <w:r w:rsidRPr="009A5185">
        <w:rPr>
          <w:rFonts w:cs="Arial"/>
        </w:rPr>
        <w:t xml:space="preserve">y asked questions) before you begin. Failure to review the reference information could result in inaccurate responses. </w:t>
      </w:r>
    </w:p>
    <w:p w14:paraId="5DA575B7" w14:textId="77777777" w:rsidR="0068304F" w:rsidRPr="009A5185" w:rsidRDefault="0068304F" w:rsidP="006F2E4A"/>
    <w:p w14:paraId="2FA1D5C8" w14:textId="77777777" w:rsidR="00B441E9" w:rsidRPr="009A5185" w:rsidRDefault="0060690C" w:rsidP="00B441E9">
      <w:pPr>
        <w:rPr>
          <w:rFonts w:cs="Arial"/>
        </w:rPr>
      </w:pPr>
      <w:r w:rsidRPr="009A5185">
        <w:rPr>
          <w:rFonts w:cs="Arial"/>
        </w:rPr>
        <w:br w:type="page"/>
      </w:r>
    </w:p>
    <w:p w14:paraId="6E932D80" w14:textId="2F53028E" w:rsidR="00AB2927" w:rsidRPr="009A5185" w:rsidRDefault="00164DB1" w:rsidP="00CF5A6E">
      <w:pPr>
        <w:pStyle w:val="Heading2"/>
      </w:pPr>
      <w:bookmarkStart w:id="158" w:name="_Section_2:_Medication"/>
      <w:bookmarkStart w:id="159" w:name="_Toc225877688"/>
      <w:bookmarkEnd w:id="158"/>
      <w:r w:rsidRPr="009A5185">
        <w:lastRenderedPageBreak/>
        <w:t xml:space="preserve">Section 2: </w:t>
      </w:r>
      <w:r w:rsidR="00935D6C" w:rsidRPr="009A5185">
        <w:t>Medication Safety</w:t>
      </w:r>
      <w:bookmarkEnd w:id="159"/>
    </w:p>
    <w:p w14:paraId="1F456B28" w14:textId="77777777" w:rsidR="000C3BE1" w:rsidRPr="00CB69E1" w:rsidRDefault="000C3BE1">
      <w:pPr>
        <w:rPr>
          <w:rFonts w:cs="Arial"/>
          <w:snapToGrid w:val="0"/>
        </w:rPr>
      </w:pPr>
    </w:p>
    <w:p w14:paraId="5B76138D" w14:textId="1E70CA6A" w:rsidR="00746388" w:rsidRDefault="00AE1385" w:rsidP="00F87A51">
      <w:r>
        <w:rPr>
          <w:rFonts w:cs="Arial"/>
          <w:b/>
          <w:snapToGrid w:val="0"/>
        </w:rPr>
        <w:t>Computerized Physician Order Entry (</w:t>
      </w:r>
      <w:r w:rsidR="000C3BE1" w:rsidRPr="009A5185">
        <w:rPr>
          <w:rFonts w:cs="Arial"/>
          <w:b/>
          <w:snapToGrid w:val="0"/>
        </w:rPr>
        <w:t>CPOE</w:t>
      </w:r>
      <w:r>
        <w:rPr>
          <w:rFonts w:cs="Arial"/>
          <w:b/>
          <w:snapToGrid w:val="0"/>
        </w:rPr>
        <w:t>)</w:t>
      </w:r>
      <w:r w:rsidR="000C3BE1" w:rsidRPr="009A5185">
        <w:rPr>
          <w:rFonts w:cs="Arial"/>
          <w:b/>
          <w:snapToGrid w:val="0"/>
        </w:rPr>
        <w:t xml:space="preserve"> Fact Sheet</w:t>
      </w:r>
      <w:r w:rsidR="009778A5">
        <w:rPr>
          <w:rFonts w:cs="Arial"/>
          <w:b/>
          <w:snapToGrid w:val="0"/>
        </w:rPr>
        <w:t xml:space="preserve"> and Bibliography</w:t>
      </w:r>
      <w:r w:rsidR="000C3BE1" w:rsidRPr="009A5185">
        <w:rPr>
          <w:rFonts w:cs="Arial"/>
          <w:b/>
          <w:snapToGrid w:val="0"/>
        </w:rPr>
        <w:t xml:space="preserve">: </w:t>
      </w:r>
      <w:hyperlink r:id="rId162" w:history="1">
        <w:r w:rsidR="00253947" w:rsidRPr="00A2752F">
          <w:rPr>
            <w:rStyle w:val="Hyperlink"/>
          </w:rPr>
          <w:t>https://ratings.leapfroggroup.org/measure/hospital/2026/safe-medication-ordering</w:t>
        </w:r>
      </w:hyperlink>
    </w:p>
    <w:p w14:paraId="5CF45B48" w14:textId="77777777" w:rsidR="00253947" w:rsidRPr="00CB69E1" w:rsidRDefault="00253947" w:rsidP="00F87A51">
      <w:pPr>
        <w:rPr>
          <w:rStyle w:val="Hyperlink"/>
          <w:rFonts w:cs="Arial"/>
          <w:bCs/>
          <w:snapToGrid w:val="0"/>
        </w:rPr>
      </w:pPr>
    </w:p>
    <w:p w14:paraId="69352AB8" w14:textId="020DAA14" w:rsidR="00253947" w:rsidRDefault="005B4611" w:rsidP="005B4611">
      <w:r w:rsidRPr="009A5185">
        <w:rPr>
          <w:rFonts w:cs="Arial"/>
          <w:b/>
        </w:rPr>
        <w:t>Bar Code Medication Administration</w:t>
      </w:r>
      <w:r>
        <w:rPr>
          <w:rFonts w:cs="Arial"/>
          <w:b/>
        </w:rPr>
        <w:t xml:space="preserve"> </w:t>
      </w:r>
      <w:r w:rsidR="00887F43">
        <w:rPr>
          <w:rFonts w:cs="Arial"/>
          <w:b/>
        </w:rPr>
        <w:t xml:space="preserve">(BCMA) </w:t>
      </w:r>
      <w:r>
        <w:rPr>
          <w:rFonts w:cs="Arial"/>
          <w:b/>
        </w:rPr>
        <w:t xml:space="preserve">Fact Sheet and Bibliography: </w:t>
      </w:r>
      <w:hyperlink r:id="rId163" w:history="1">
        <w:r w:rsidR="00253947" w:rsidRPr="00A2752F">
          <w:rPr>
            <w:rStyle w:val="Hyperlink"/>
          </w:rPr>
          <w:t>https://ratings.leapfroggroup.org/measure/hospital/2026/safe-medication-administration</w:t>
        </w:r>
      </w:hyperlink>
      <w:r w:rsidR="00253947">
        <w:t xml:space="preserve"> </w:t>
      </w:r>
    </w:p>
    <w:p w14:paraId="5D222499" w14:textId="52861438" w:rsidR="00F87A51" w:rsidRDefault="005B4611" w:rsidP="00CB6A32">
      <w:r>
        <w:rPr>
          <w:b/>
          <w:bCs/>
        </w:rPr>
        <w:br/>
        <w:t xml:space="preserve">Medication Reconciliation Fact Sheet: </w:t>
      </w:r>
      <w:hyperlink r:id="rId164" w:history="1">
        <w:r w:rsidR="00253947" w:rsidRPr="00A2752F">
          <w:rPr>
            <w:rStyle w:val="Hyperlink"/>
          </w:rPr>
          <w:t>https://ratings.leapfroggroup.org/measure/hospital/2026/medication-reconciliation</w:t>
        </w:r>
      </w:hyperlink>
      <w:r w:rsidR="00253947">
        <w:t xml:space="preserve"> </w:t>
      </w:r>
    </w:p>
    <w:p w14:paraId="77E83109" w14:textId="77777777" w:rsidR="00CB6A32" w:rsidRPr="00CB69E1" w:rsidRDefault="00CB6A32" w:rsidP="00CB6A32">
      <w:pPr>
        <w:rPr>
          <w:rFonts w:cs="Arial"/>
          <w:b/>
          <w:color w:val="FF0000"/>
        </w:rPr>
      </w:pPr>
    </w:p>
    <w:p w14:paraId="718D4CF2" w14:textId="3D227292" w:rsidR="00B80A71" w:rsidRDefault="001A27A7" w:rsidP="005F595A">
      <w:pPr>
        <w:rPr>
          <w:b/>
          <w:bCs/>
          <w:snapToGrid w:val="0"/>
          <w:color w:val="FF0000"/>
        </w:rPr>
      </w:pPr>
      <w:r>
        <w:rPr>
          <w:b/>
          <w:bCs/>
          <w:snapToGrid w:val="0"/>
          <w:color w:val="FF0000"/>
        </w:rPr>
        <w:t>In Section 2</w:t>
      </w:r>
      <w:r w:rsidR="00301C36">
        <w:rPr>
          <w:b/>
          <w:bCs/>
          <w:snapToGrid w:val="0"/>
          <w:color w:val="FF0000"/>
        </w:rPr>
        <w:t>,</w:t>
      </w:r>
      <w:r w:rsidR="00FB0DBF">
        <w:rPr>
          <w:b/>
          <w:bCs/>
          <w:snapToGrid w:val="0"/>
          <w:color w:val="FF0000"/>
        </w:rPr>
        <w:t xml:space="preserve"> </w:t>
      </w:r>
      <w:r w:rsidR="00A116B1">
        <w:rPr>
          <w:b/>
          <w:bCs/>
          <w:snapToGrid w:val="0"/>
          <w:color w:val="FF0000"/>
        </w:rPr>
        <w:t>p</w:t>
      </w:r>
      <w:r w:rsidR="00FB0DBF">
        <w:rPr>
          <w:b/>
          <w:bCs/>
          <w:snapToGrid w:val="0"/>
          <w:color w:val="FF0000"/>
        </w:rPr>
        <w:t xml:space="preserve">ediatric hospitals should only respond to questions in Sections 2A and 2C. Sections 2B and 2D do not apply to pediatric hospitals. Additionally, </w:t>
      </w:r>
      <w:r w:rsidR="00A116B1">
        <w:rPr>
          <w:b/>
          <w:bCs/>
          <w:snapToGrid w:val="0"/>
          <w:color w:val="FF0000"/>
        </w:rPr>
        <w:t>p</w:t>
      </w:r>
      <w:r w:rsidR="00B80A71" w:rsidRPr="00B80A71">
        <w:rPr>
          <w:b/>
          <w:bCs/>
          <w:snapToGrid w:val="0"/>
          <w:color w:val="FF0000"/>
        </w:rPr>
        <w:t xml:space="preserve">ediatric </w:t>
      </w:r>
      <w:r w:rsidR="00786640">
        <w:rPr>
          <w:b/>
          <w:bCs/>
          <w:snapToGrid w:val="0"/>
          <w:color w:val="FF0000"/>
        </w:rPr>
        <w:t xml:space="preserve">hospitals are not required to complete the </w:t>
      </w:r>
      <w:r w:rsidR="00B80A71" w:rsidRPr="00B80A71">
        <w:rPr>
          <w:b/>
          <w:bCs/>
          <w:snapToGrid w:val="0"/>
          <w:color w:val="FF0000"/>
        </w:rPr>
        <w:t>CPOE Evaluation Tool</w:t>
      </w:r>
      <w:r w:rsidR="00786640">
        <w:rPr>
          <w:b/>
          <w:bCs/>
          <w:snapToGrid w:val="0"/>
          <w:color w:val="FF0000"/>
        </w:rPr>
        <w:t>.</w:t>
      </w:r>
    </w:p>
    <w:p w14:paraId="4396BE17" w14:textId="77777777" w:rsidR="00B80A71" w:rsidRPr="00CB69E1" w:rsidRDefault="00B80A71" w:rsidP="00AF6083">
      <w:pPr>
        <w:pStyle w:val="BodyText3"/>
        <w:rPr>
          <w:rFonts w:cs="Arial"/>
          <w:snapToGrid w:val="0"/>
        </w:rPr>
      </w:pPr>
      <w:bookmarkStart w:id="160" w:name="_Hlk35522617"/>
    </w:p>
    <w:p w14:paraId="66A3C441" w14:textId="33ACDBF0" w:rsidR="003A7DE7" w:rsidRDefault="003A7DE7" w:rsidP="0060690C">
      <w:pPr>
        <w:rPr>
          <w:rFonts w:cs="Arial"/>
          <w:snapToGrid w:val="0"/>
        </w:rPr>
      </w:pPr>
      <w:r w:rsidRPr="009A5185">
        <w:rPr>
          <w:rFonts w:cs="Arial"/>
          <w:snapToGrid w:val="0"/>
        </w:rPr>
        <w:t>Section 2</w:t>
      </w:r>
      <w:r>
        <w:rPr>
          <w:rFonts w:cs="Arial"/>
          <w:snapToGrid w:val="0"/>
        </w:rPr>
        <w:t xml:space="preserve"> </w:t>
      </w:r>
      <w:r w:rsidRPr="009A5185">
        <w:rPr>
          <w:rFonts w:cs="Arial"/>
          <w:snapToGrid w:val="0"/>
        </w:rPr>
        <w:t>includes questions about your hospital’s</w:t>
      </w:r>
      <w:r>
        <w:rPr>
          <w:rFonts w:cs="Arial"/>
          <w:snapToGrid w:val="0"/>
        </w:rPr>
        <w:t xml:space="preserve"> use </w:t>
      </w:r>
      <w:r w:rsidRPr="009A5185">
        <w:rPr>
          <w:rFonts w:cs="Arial"/>
          <w:snapToGrid w:val="0"/>
        </w:rPr>
        <w:t>of CPOE</w:t>
      </w:r>
      <w:r>
        <w:rPr>
          <w:rFonts w:cs="Arial"/>
          <w:snapToGrid w:val="0"/>
        </w:rPr>
        <w:t xml:space="preserve"> and BCMA, and (for adult and general hospitals) questions about your hospital’s medication reconciliation process</w:t>
      </w:r>
      <w:r w:rsidRPr="009A5185">
        <w:rPr>
          <w:rFonts w:cs="Arial"/>
          <w:snapToGrid w:val="0"/>
        </w:rPr>
        <w:t>.</w:t>
      </w:r>
      <w:r>
        <w:rPr>
          <w:rFonts w:cs="Arial"/>
          <w:snapToGrid w:val="0"/>
        </w:rPr>
        <w:t xml:space="preserve"> The EHR application subsection (2B) is only applicable to adult and general hospitals and will not be scored or publicly reported. In 2026, four questions about </w:t>
      </w:r>
      <w:r w:rsidRPr="00392052">
        <w:rPr>
          <w:rFonts w:cs="Arial"/>
        </w:rPr>
        <w:t xml:space="preserve">Artificial Intelligence (AI) </w:t>
      </w:r>
      <w:r>
        <w:rPr>
          <w:rFonts w:cs="Arial"/>
        </w:rPr>
        <w:t>applications were added to subsection 2B</w:t>
      </w:r>
      <w:r w:rsidRPr="00D14699">
        <w:rPr>
          <w:rFonts w:cs="Arial"/>
          <w:snapToGrid w:val="0"/>
        </w:rPr>
        <w:t xml:space="preserve"> – th</w:t>
      </w:r>
      <w:r>
        <w:rPr>
          <w:rFonts w:cs="Arial"/>
          <w:snapToGrid w:val="0"/>
        </w:rPr>
        <w:t>ese questions are</w:t>
      </w:r>
      <w:r w:rsidRPr="00D14699">
        <w:rPr>
          <w:rFonts w:cs="Arial"/>
          <w:snapToGrid w:val="0"/>
        </w:rPr>
        <w:t xml:space="preserve"> </w:t>
      </w:r>
      <w:r>
        <w:rPr>
          <w:rFonts w:cs="Arial"/>
          <w:snapToGrid w:val="0"/>
        </w:rPr>
        <w:t xml:space="preserve">required but </w:t>
      </w:r>
      <w:r w:rsidRPr="00D14699">
        <w:rPr>
          <w:rFonts w:cs="Arial"/>
          <w:snapToGrid w:val="0"/>
        </w:rPr>
        <w:t>will not be scored or publicly reported</w:t>
      </w:r>
      <w:r>
        <w:rPr>
          <w:rFonts w:cs="Arial"/>
          <w:snapToGrid w:val="0"/>
        </w:rPr>
        <w:t>.</w:t>
      </w:r>
    </w:p>
    <w:p w14:paraId="64C16F0A" w14:textId="77777777" w:rsidR="00CF4879" w:rsidRPr="00CB69E1" w:rsidRDefault="00CF4879" w:rsidP="0060690C">
      <w:pPr>
        <w:rPr>
          <w:rFonts w:cs="Arial"/>
          <w:snapToGrid w:val="0"/>
        </w:rPr>
      </w:pPr>
    </w:p>
    <w:p w14:paraId="5EBE74FA" w14:textId="6500E677" w:rsidR="00833D12" w:rsidRPr="00164E4B" w:rsidRDefault="00833D12" w:rsidP="00833D12">
      <w:pPr>
        <w:pStyle w:val="BodyText3"/>
        <w:rPr>
          <w:b/>
          <w:bCs/>
        </w:rPr>
      </w:pPr>
      <w:r w:rsidRPr="00164E4B">
        <w:rPr>
          <w:b/>
          <w:bCs/>
        </w:rPr>
        <w:t xml:space="preserve">Each hospital </w:t>
      </w:r>
      <w:r w:rsidR="009C7BC9" w:rsidRPr="00164E4B">
        <w:rPr>
          <w:b/>
          <w:bCs/>
        </w:rPr>
        <w:t xml:space="preserve">achieving </w:t>
      </w:r>
      <w:r w:rsidR="00B7223B">
        <w:rPr>
          <w:b/>
          <w:bCs/>
        </w:rPr>
        <w:t xml:space="preserve">the standard for Computerized </w:t>
      </w:r>
      <w:r w:rsidR="005B4611">
        <w:rPr>
          <w:b/>
          <w:bCs/>
        </w:rPr>
        <w:t>Physician</w:t>
      </w:r>
      <w:r w:rsidR="00B7223B">
        <w:rPr>
          <w:b/>
          <w:bCs/>
        </w:rPr>
        <w:t xml:space="preserve"> Order Entry (CPOE)</w:t>
      </w:r>
      <w:r w:rsidRPr="00164E4B">
        <w:rPr>
          <w:b/>
          <w:bCs/>
        </w:rPr>
        <w:t xml:space="preserve">: </w:t>
      </w:r>
    </w:p>
    <w:p w14:paraId="4B9A77A8" w14:textId="12B7B2AA" w:rsidR="00833D12" w:rsidRDefault="00833D12" w:rsidP="00AD309C">
      <w:pPr>
        <w:pStyle w:val="BodyText3"/>
        <w:numPr>
          <w:ilvl w:val="0"/>
          <w:numId w:val="158"/>
        </w:numPr>
      </w:pPr>
      <w:bookmarkStart w:id="161" w:name="_Hlk97911925"/>
      <w:r>
        <w:t>Assures that prescribers enter at least 85% of inpatient medication orders via a computer system that includes decision support software to reduce prescribing errors</w:t>
      </w:r>
      <w:r w:rsidR="00C12AD1">
        <w:t>,</w:t>
      </w:r>
      <w:r>
        <w:t xml:space="preserve"> </w:t>
      </w:r>
      <w:r w:rsidRPr="00C12AD1">
        <w:rPr>
          <w:b/>
          <w:bCs/>
        </w:rPr>
        <w:t>and</w:t>
      </w:r>
    </w:p>
    <w:p w14:paraId="050619F1" w14:textId="2F2216C7" w:rsidR="00833D12" w:rsidRPr="00833D12" w:rsidRDefault="00833D12" w:rsidP="00AD309C">
      <w:pPr>
        <w:pStyle w:val="BodyText3"/>
        <w:numPr>
          <w:ilvl w:val="0"/>
          <w:numId w:val="158"/>
        </w:numPr>
        <w:rPr>
          <w:rFonts w:cs="Arial"/>
          <w:snapToGrid w:val="0"/>
        </w:rPr>
      </w:pPr>
      <w:r>
        <w:t>For adult and general hospitals, demonstrates, via a test, that its inpatient CPOE system can alert physicians to at least 60% of frequent serious medication errors known to cause harm to patients.</w:t>
      </w:r>
      <w:bookmarkEnd w:id="161"/>
    </w:p>
    <w:p w14:paraId="22A67225" w14:textId="1FF470F6" w:rsidR="00833D12" w:rsidRPr="00CB69E1" w:rsidRDefault="00833D12" w:rsidP="0060690C">
      <w:pPr>
        <w:rPr>
          <w:rFonts w:cs="Arial"/>
          <w:snapToGrid w:val="0"/>
        </w:rPr>
      </w:pPr>
    </w:p>
    <w:p w14:paraId="190437B9" w14:textId="77777777" w:rsidR="005B4611" w:rsidRPr="009A5185" w:rsidRDefault="005B4611" w:rsidP="005B4611">
      <w:pPr>
        <w:rPr>
          <w:rFonts w:cs="Arial"/>
          <w:b/>
        </w:rPr>
      </w:pPr>
      <w:r w:rsidRPr="009A5185">
        <w:rPr>
          <w:rFonts w:cs="Arial"/>
          <w:b/>
        </w:rPr>
        <w:t xml:space="preserve">Each hospital </w:t>
      </w:r>
      <w:r>
        <w:rPr>
          <w:rFonts w:cs="Arial"/>
          <w:b/>
        </w:rPr>
        <w:t>achieving</w:t>
      </w:r>
      <w:r w:rsidRPr="009A5185">
        <w:rPr>
          <w:rFonts w:cs="Arial"/>
          <w:b/>
        </w:rPr>
        <w:t xml:space="preserve"> th</w:t>
      </w:r>
      <w:r>
        <w:rPr>
          <w:rFonts w:cs="Arial"/>
          <w:b/>
        </w:rPr>
        <w:t>e</w:t>
      </w:r>
      <w:r w:rsidRPr="009A5185">
        <w:rPr>
          <w:rFonts w:cs="Arial"/>
          <w:b/>
        </w:rPr>
        <w:t xml:space="preserve"> standard </w:t>
      </w:r>
      <w:r>
        <w:rPr>
          <w:rFonts w:cs="Arial"/>
          <w:b/>
        </w:rPr>
        <w:t>for Bar Code Medication Administration</w:t>
      </w:r>
      <w:r w:rsidRPr="009A5185">
        <w:rPr>
          <w:rFonts w:cs="Arial"/>
          <w:b/>
        </w:rPr>
        <w:t xml:space="preserve">: </w:t>
      </w:r>
    </w:p>
    <w:p w14:paraId="51DA6788" w14:textId="3798749C" w:rsidR="005B4611" w:rsidRPr="009A5185" w:rsidRDefault="005B4611" w:rsidP="00AD309C">
      <w:pPr>
        <w:pStyle w:val="ListParagraph"/>
        <w:numPr>
          <w:ilvl w:val="0"/>
          <w:numId w:val="45"/>
        </w:numPr>
        <w:rPr>
          <w:rFonts w:cs="Arial"/>
        </w:rPr>
      </w:pPr>
      <w:r w:rsidRPr="009A5185">
        <w:rPr>
          <w:rFonts w:cs="Arial"/>
        </w:rPr>
        <w:t>Has implemented the use of BCMA at the bedside in 100% of applicable units</w:t>
      </w:r>
      <w:r w:rsidR="00BE0C7B">
        <w:rPr>
          <w:rFonts w:cs="Arial"/>
        </w:rPr>
        <w:t>;</w:t>
      </w:r>
      <w:r w:rsidR="00C12AD1">
        <w:rPr>
          <w:rFonts w:cs="Arial"/>
        </w:rPr>
        <w:t xml:space="preserve"> </w:t>
      </w:r>
      <w:r w:rsidR="00C12AD1" w:rsidRPr="00C12AD1">
        <w:rPr>
          <w:rFonts w:cs="Arial"/>
          <w:b/>
          <w:bCs/>
        </w:rPr>
        <w:t>and</w:t>
      </w:r>
    </w:p>
    <w:p w14:paraId="42C2B681" w14:textId="6EBE4D46" w:rsidR="005B4611" w:rsidRPr="009A5185" w:rsidRDefault="005B4611" w:rsidP="00AD309C">
      <w:pPr>
        <w:pStyle w:val="ListParagraph"/>
        <w:numPr>
          <w:ilvl w:val="0"/>
          <w:numId w:val="45"/>
        </w:numPr>
        <w:rPr>
          <w:rFonts w:cs="Arial"/>
        </w:rPr>
      </w:pPr>
      <w:r w:rsidRPr="009A5185">
        <w:rPr>
          <w:rFonts w:cs="Arial"/>
        </w:rPr>
        <w:t>Has achieved at least 95% compliance with scanning patients and medications during administration</w:t>
      </w:r>
      <w:r>
        <w:rPr>
          <w:rFonts w:cs="Arial"/>
        </w:rPr>
        <w:t xml:space="preserve"> </w:t>
      </w:r>
      <w:r w:rsidRPr="00177BDC">
        <w:rPr>
          <w:rFonts w:cs="Arial"/>
        </w:rPr>
        <w:t>in applicable units where BCMA is implemented</w:t>
      </w:r>
      <w:r w:rsidR="00BE0C7B">
        <w:rPr>
          <w:rFonts w:cs="Arial"/>
        </w:rPr>
        <w:t>;</w:t>
      </w:r>
      <w:r w:rsidR="00C12AD1">
        <w:rPr>
          <w:rFonts w:cs="Arial"/>
        </w:rPr>
        <w:t xml:space="preserve"> </w:t>
      </w:r>
      <w:r w:rsidR="00C12AD1" w:rsidRPr="00C12AD1">
        <w:rPr>
          <w:rFonts w:cs="Arial"/>
          <w:b/>
          <w:bCs/>
        </w:rPr>
        <w:t>and</w:t>
      </w:r>
    </w:p>
    <w:p w14:paraId="79C9DA5B" w14:textId="548D55E0" w:rsidR="00363BD0" w:rsidRPr="00363BD0" w:rsidRDefault="005B4611" w:rsidP="00AD309C">
      <w:pPr>
        <w:pStyle w:val="ListParagraph"/>
        <w:numPr>
          <w:ilvl w:val="0"/>
          <w:numId w:val="45"/>
        </w:numPr>
        <w:rPr>
          <w:rFonts w:cs="Arial"/>
        </w:rPr>
      </w:pPr>
      <w:r>
        <w:rPr>
          <w:rFonts w:cs="Arial"/>
        </w:rPr>
        <w:t>Has a BCM</w:t>
      </w:r>
      <w:r w:rsidRPr="009A5185">
        <w:rPr>
          <w:rFonts w:cs="Arial"/>
        </w:rPr>
        <w:t xml:space="preserve">A system that includes </w:t>
      </w:r>
      <w:r w:rsidR="00E46668" w:rsidRPr="009A5185">
        <w:rPr>
          <w:rFonts w:cs="Arial"/>
        </w:rPr>
        <w:t>all</w:t>
      </w:r>
      <w:r w:rsidRPr="009A5185">
        <w:rPr>
          <w:rFonts w:cs="Arial"/>
        </w:rPr>
        <w:t xml:space="preserve"> the following types of decision support: wrong patient, wrong medication, wrong dose, wrong time, and second nurse check needed</w:t>
      </w:r>
      <w:r w:rsidR="00BE0C7B">
        <w:rPr>
          <w:rFonts w:cs="Arial"/>
        </w:rPr>
        <w:t>;</w:t>
      </w:r>
      <w:r w:rsidR="00C12AD1">
        <w:rPr>
          <w:rFonts w:cs="Arial"/>
        </w:rPr>
        <w:t xml:space="preserve"> </w:t>
      </w:r>
      <w:r w:rsidR="00C12AD1" w:rsidRPr="00C12AD1">
        <w:rPr>
          <w:rFonts w:cs="Arial"/>
          <w:b/>
          <w:bCs/>
        </w:rPr>
        <w:t>and</w:t>
      </w:r>
    </w:p>
    <w:p w14:paraId="189B5CAB" w14:textId="7B1C4261" w:rsidR="00887F43" w:rsidRDefault="005B4611" w:rsidP="00AD309C">
      <w:pPr>
        <w:pStyle w:val="ListParagraph"/>
        <w:numPr>
          <w:ilvl w:val="0"/>
          <w:numId w:val="45"/>
        </w:numPr>
        <w:rPr>
          <w:rFonts w:cs="Arial"/>
        </w:rPr>
      </w:pPr>
      <w:r w:rsidRPr="00363BD0">
        <w:rPr>
          <w:rFonts w:cs="Arial"/>
        </w:rPr>
        <w:t xml:space="preserve">Has </w:t>
      </w:r>
      <w:r w:rsidR="00BD7FBF">
        <w:rPr>
          <w:rFonts w:cs="Arial"/>
        </w:rPr>
        <w:t>at least six</w:t>
      </w:r>
      <w:r w:rsidR="00845934">
        <w:rPr>
          <w:rFonts w:cs="Arial"/>
        </w:rPr>
        <w:t>*</w:t>
      </w:r>
      <w:r w:rsidR="00BD7FBF">
        <w:rPr>
          <w:rFonts w:cs="Arial"/>
        </w:rPr>
        <w:t xml:space="preserve"> of the following </w:t>
      </w:r>
      <w:r w:rsidRPr="00363BD0">
        <w:rPr>
          <w:rFonts w:cs="Arial"/>
        </w:rPr>
        <w:t>structures in place to monitor and reduce workarounds</w:t>
      </w:r>
      <w:r w:rsidR="00BD7FBF">
        <w:rPr>
          <w:rFonts w:cs="Arial"/>
        </w:rPr>
        <w:t>:</w:t>
      </w:r>
      <w:r w:rsidRPr="00363BD0">
        <w:rPr>
          <w:rFonts w:cs="Arial"/>
        </w:rPr>
        <w:t xml:space="preserve"> ha</w:t>
      </w:r>
      <w:r w:rsidR="00BD7FBF">
        <w:rPr>
          <w:rFonts w:cs="Arial"/>
        </w:rPr>
        <w:t>s</w:t>
      </w:r>
      <w:r w:rsidRPr="00363BD0">
        <w:rPr>
          <w:rFonts w:cs="Arial"/>
        </w:rPr>
        <w:t xml:space="preserve"> a formal committee that meets routinely to review data reports on BCMA system use, ha</w:t>
      </w:r>
      <w:r w:rsidR="00BD7FBF">
        <w:rPr>
          <w:rFonts w:cs="Arial"/>
        </w:rPr>
        <w:t>s</w:t>
      </w:r>
      <w:r w:rsidRPr="00363BD0">
        <w:rPr>
          <w:rFonts w:cs="Arial"/>
        </w:rPr>
        <w:t xml:space="preserve"> back-up</w:t>
      </w:r>
      <w:r w:rsidR="00EB2622">
        <w:rPr>
          <w:rFonts w:cs="Arial"/>
        </w:rPr>
        <w:t xml:space="preserve"> equipment</w:t>
      </w:r>
      <w:r w:rsidRPr="00363BD0">
        <w:rPr>
          <w:rFonts w:cs="Arial"/>
        </w:rPr>
        <w:t xml:space="preserve"> for hardware failures, ha</w:t>
      </w:r>
      <w:r w:rsidR="00BD7FBF">
        <w:rPr>
          <w:rFonts w:cs="Arial"/>
        </w:rPr>
        <w:t>s</w:t>
      </w:r>
      <w:r w:rsidRPr="00363BD0">
        <w:rPr>
          <w:rFonts w:cs="Arial"/>
        </w:rPr>
        <w:t xml:space="preserve"> a help desk that provides timely responses to urgent BCMA issues in real-time, conducting real-time observations of users using the BCMA system, and engag</w:t>
      </w:r>
      <w:r w:rsidR="00BD7FBF">
        <w:rPr>
          <w:rFonts w:cs="Arial"/>
        </w:rPr>
        <w:t>es</w:t>
      </w:r>
      <w:r w:rsidRPr="00363BD0">
        <w:rPr>
          <w:rFonts w:cs="Arial"/>
        </w:rPr>
        <w:t xml:space="preserve"> nursing leadership at the unit level on BCMA use. Additionally, information from these structures is used to implement quality improvement projects or monitor previous quality improvement projects focusing on the hospital’s BCMA system. Results from the quality improvement projects are evaluated and demonstrate that these projects have resulted in higher adherence to standard medication administration processes. Finally, resolution of system deficiencies and/or problems that may have contributed to the workaround are communicated back to the end user.</w:t>
      </w:r>
    </w:p>
    <w:p w14:paraId="09053893" w14:textId="0B2ACE64" w:rsidR="003D1D21" w:rsidRPr="003D1D21" w:rsidRDefault="003D1D21" w:rsidP="003D1D21">
      <w:pPr>
        <w:ind w:left="360"/>
        <w:rPr>
          <w:rFonts w:cs="Arial"/>
        </w:rPr>
      </w:pPr>
      <w:r w:rsidRPr="003D1D21">
        <w:rPr>
          <w:rFonts w:cs="Arial"/>
        </w:rPr>
        <w:t>*</w:t>
      </w:r>
      <w:r w:rsidRPr="00424D83">
        <w:t xml:space="preserve"> </w:t>
      </w:r>
      <w:r w:rsidRPr="003D1D21">
        <w:rPr>
          <w:rFonts w:cs="Arial"/>
        </w:rPr>
        <w:t>Hospitals responding “Does not apply, hospital has achieved 95% BCMA scanning compliance in all applicable units</w:t>
      </w:r>
      <w:r w:rsidR="00944980">
        <w:rPr>
          <w:rFonts w:cs="Arial"/>
        </w:rPr>
        <w:t xml:space="preserve"> based on quarterly monitoring</w:t>
      </w:r>
      <w:r w:rsidRPr="003D1D21">
        <w:rPr>
          <w:rFonts w:cs="Arial"/>
        </w:rPr>
        <w:t>” to question #21f (implementation/monitoring of quality improvement projects) earn credit for both question #21f and question #21g (evaluation of results from quality improvement projects).</w:t>
      </w:r>
    </w:p>
    <w:p w14:paraId="2BC4571B" w14:textId="766D9000" w:rsidR="00CB69E1" w:rsidRDefault="00CB69E1">
      <w:pPr>
        <w:rPr>
          <w:rFonts w:cs="Arial"/>
        </w:rPr>
      </w:pPr>
      <w:r>
        <w:rPr>
          <w:rFonts w:cs="Arial"/>
        </w:rPr>
        <w:br w:type="page"/>
      </w:r>
    </w:p>
    <w:p w14:paraId="20B75368" w14:textId="77777777" w:rsidR="00887F43" w:rsidRPr="008E75BF" w:rsidRDefault="00887F43" w:rsidP="00887F43">
      <w:pPr>
        <w:pStyle w:val="ListParagraph"/>
        <w:ind w:left="0"/>
        <w:rPr>
          <w:rFonts w:cs="Arial"/>
          <w:b/>
          <w:bCs/>
        </w:rPr>
      </w:pPr>
      <w:r w:rsidRPr="008E75BF">
        <w:rPr>
          <w:rFonts w:cs="Arial"/>
          <w:b/>
          <w:bCs/>
        </w:rPr>
        <w:lastRenderedPageBreak/>
        <w:t>Each hospital achieving the standard for Medication Reconciliation:</w:t>
      </w:r>
    </w:p>
    <w:p w14:paraId="3C11F389" w14:textId="019DEF45" w:rsidR="00887F43" w:rsidRDefault="00887F43" w:rsidP="00AD309C">
      <w:pPr>
        <w:pStyle w:val="ListParagraph"/>
        <w:numPr>
          <w:ilvl w:val="0"/>
          <w:numId w:val="180"/>
        </w:numPr>
        <w:rPr>
          <w:rFonts w:cs="Arial"/>
        </w:rPr>
      </w:pPr>
      <w:r w:rsidRPr="00887F43">
        <w:rPr>
          <w:rFonts w:cs="Arial"/>
        </w:rPr>
        <w:t>Uses a nationally endorsed protocol to collect data on the accuracy of its medication reconciliation process for at least 30 sampled patients and reported the data collected to Leapfrog</w:t>
      </w:r>
      <w:r w:rsidR="00C12AD1">
        <w:rPr>
          <w:rFonts w:cs="Arial"/>
        </w:rPr>
        <w:t xml:space="preserve">, </w:t>
      </w:r>
      <w:r w:rsidR="00C12AD1" w:rsidRPr="00C12AD1">
        <w:rPr>
          <w:rFonts w:cs="Arial"/>
          <w:b/>
          <w:bCs/>
        </w:rPr>
        <w:t>and</w:t>
      </w:r>
    </w:p>
    <w:p w14:paraId="2613BBE5" w14:textId="4E9E3F7F" w:rsidR="00CB69E1" w:rsidRPr="00CB69E1" w:rsidRDefault="00887F43" w:rsidP="00CB69E1">
      <w:pPr>
        <w:pStyle w:val="ListParagraph"/>
        <w:numPr>
          <w:ilvl w:val="0"/>
          <w:numId w:val="180"/>
        </w:numPr>
        <w:rPr>
          <w:snapToGrid w:val="0"/>
        </w:rPr>
      </w:pPr>
      <w:r w:rsidRPr="00887F43">
        <w:rPr>
          <w:rFonts w:cs="Arial"/>
        </w:rPr>
        <w:t>Has a rate of unintentional medication discrepancies that</w:t>
      </w:r>
      <w:r w:rsidRPr="008E75BF">
        <w:rPr>
          <w:rFonts w:cs="Arial"/>
          <w:vertAlign w:val="superscript"/>
        </w:rPr>
        <w:t xml:space="preserve"> </w:t>
      </w:r>
      <w:r w:rsidR="00003FC6">
        <w:rPr>
          <w:rFonts w:cs="Arial"/>
        </w:rPr>
        <w:t>is</w:t>
      </w:r>
      <w:r w:rsidRPr="00887F43">
        <w:rPr>
          <w:rFonts w:cs="Arial"/>
        </w:rPr>
        <w:t xml:space="preserve"> lower than the 50th percentile (where lower performance is better).</w:t>
      </w:r>
    </w:p>
    <w:p w14:paraId="4337023D" w14:textId="77777777" w:rsidR="00CB69E1" w:rsidRPr="00CB69E1" w:rsidRDefault="00CB69E1">
      <w:pPr>
        <w:rPr>
          <w:rFonts w:cs="Arial"/>
          <w:b/>
          <w:sz w:val="16"/>
          <w:szCs w:val="16"/>
        </w:rPr>
      </w:pPr>
    </w:p>
    <w:p w14:paraId="16C9ADFC" w14:textId="27F6D430" w:rsidR="007A627A" w:rsidRDefault="0082085D">
      <w:r w:rsidRPr="009A5185">
        <w:rPr>
          <w:rFonts w:cs="Arial"/>
          <w:b/>
        </w:rPr>
        <w:t xml:space="preserve">Download the </w:t>
      </w:r>
      <w:r w:rsidR="00A236B1">
        <w:rPr>
          <w:rFonts w:cs="Arial"/>
          <w:b/>
        </w:rPr>
        <w:t>202</w:t>
      </w:r>
      <w:r w:rsidR="000A7852">
        <w:rPr>
          <w:rFonts w:cs="Arial"/>
          <w:b/>
        </w:rPr>
        <w:t>6</w:t>
      </w:r>
      <w:r w:rsidR="0043631C" w:rsidRPr="009A5185">
        <w:rPr>
          <w:rFonts w:cs="Arial"/>
          <w:b/>
        </w:rPr>
        <w:t xml:space="preserve"> Leapfrog Hospital Survey</w:t>
      </w:r>
      <w:r w:rsidRPr="009A5185">
        <w:rPr>
          <w:rFonts w:cs="Arial"/>
          <w:b/>
        </w:rPr>
        <w:t xml:space="preserve"> Scoring Algorithm</w:t>
      </w:r>
      <w:r w:rsidR="0043631C" w:rsidRPr="009A5185">
        <w:rPr>
          <w:rFonts w:cs="Arial"/>
          <w:b/>
        </w:rPr>
        <w:t xml:space="preserve"> </w:t>
      </w:r>
      <w:r w:rsidRPr="009A5185">
        <w:rPr>
          <w:rFonts w:cs="Arial"/>
          <w:b/>
        </w:rPr>
        <w:t xml:space="preserve">on the </w:t>
      </w:r>
      <w:hyperlink r:id="rId165" w:history="1">
        <w:r w:rsidRPr="009A5185">
          <w:rPr>
            <w:rStyle w:val="Hyperlink"/>
            <w:rFonts w:cs="Arial"/>
            <w:b/>
          </w:rPr>
          <w:t>Scoring and Results webpage</w:t>
        </w:r>
      </w:hyperlink>
      <w:r w:rsidRPr="009A5185">
        <w:rPr>
          <w:rFonts w:cs="Arial"/>
          <w:b/>
        </w:rPr>
        <w:t>.</w:t>
      </w:r>
      <w:bookmarkEnd w:id="160"/>
    </w:p>
    <w:p w14:paraId="34470790" w14:textId="77777777" w:rsidR="00CF4879" w:rsidRDefault="00CF4879">
      <w:pPr>
        <w:rPr>
          <w:b/>
          <w:snapToGrid w:val="0"/>
          <w:sz w:val="28"/>
          <w:szCs w:val="24"/>
          <w:u w:val="single"/>
          <w:lang w:eastAsia="ja-JP"/>
        </w:rPr>
      </w:pPr>
      <w:r>
        <w:br w:type="page"/>
      </w:r>
    </w:p>
    <w:p w14:paraId="51613BDD" w14:textId="6C8B3A43" w:rsidR="008979F8" w:rsidRDefault="000C2C54" w:rsidP="00CF5A6E">
      <w:pPr>
        <w:pStyle w:val="Heading2"/>
      </w:pPr>
      <w:bookmarkStart w:id="162" w:name="_Toc225877689"/>
      <w:r w:rsidRPr="009A5185">
        <w:lastRenderedPageBreak/>
        <w:t>2</w:t>
      </w:r>
      <w:r>
        <w:t>A</w:t>
      </w:r>
      <w:r w:rsidRPr="009A5185">
        <w:t>: Computerized Physician Order Entry (CPOE)</w:t>
      </w:r>
      <w:bookmarkEnd w:id="162"/>
    </w:p>
    <w:p w14:paraId="768171D8" w14:textId="77777777" w:rsidR="000C2C54" w:rsidRPr="009C4F85" w:rsidRDefault="000C2C54" w:rsidP="00B31B8C">
      <w:pPr>
        <w:rPr>
          <w:rFonts w:cs="Arial"/>
          <w:b/>
          <w:snapToGrid w:val="0"/>
        </w:rPr>
      </w:pPr>
    </w:p>
    <w:p w14:paraId="651B8FA7" w14:textId="1F6944CF" w:rsidR="0003005A" w:rsidRDefault="0003005A" w:rsidP="0003005A">
      <w:pPr>
        <w:rPr>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66" w:history="1">
        <w:r w:rsidRPr="009A5185">
          <w:rPr>
            <w:rStyle w:val="Hyperlink"/>
            <w:rFonts w:cs="Arial"/>
            <w:snapToGrid w:val="0"/>
          </w:rPr>
          <w:t>Leapfrog’s Multi-Campus Reporting Policy</w:t>
        </w:r>
      </w:hyperlink>
      <w:r w:rsidRPr="009A5185">
        <w:rPr>
          <w:rFonts w:cs="Arial"/>
          <w:snapToGrid w:val="0"/>
        </w:rPr>
        <w:t>.</w:t>
      </w:r>
    </w:p>
    <w:p w14:paraId="4E437BE1" w14:textId="5D694310" w:rsidR="00515C53" w:rsidRPr="009C4F85" w:rsidRDefault="00515C53" w:rsidP="0003005A">
      <w:pPr>
        <w:rPr>
          <w:rFonts w:cs="Arial"/>
          <w:snapToGrid w:val="0"/>
        </w:rPr>
      </w:pPr>
    </w:p>
    <w:p w14:paraId="79EE239A" w14:textId="77777777" w:rsidR="00515C53" w:rsidRDefault="00515C53" w:rsidP="0003005A">
      <w:pPr>
        <w:rPr>
          <w:rFonts w:cs="Arial"/>
          <w:snapToGrid w:val="0"/>
          <w:color w:val="FF0000"/>
        </w:rPr>
      </w:pPr>
      <w:r w:rsidRPr="008E75BF">
        <w:rPr>
          <w:rFonts w:cs="Arial"/>
          <w:b/>
          <w:bCs/>
          <w:snapToGrid w:val="0"/>
          <w:color w:val="FF0000"/>
        </w:rPr>
        <w:t>Important Note</w:t>
      </w:r>
      <w:r>
        <w:rPr>
          <w:rFonts w:cs="Arial"/>
          <w:b/>
          <w:bCs/>
          <w:snapToGrid w:val="0"/>
          <w:color w:val="FF0000"/>
        </w:rPr>
        <w:t>s</w:t>
      </w:r>
      <w:r w:rsidRPr="008E75BF">
        <w:rPr>
          <w:rFonts w:cs="Arial"/>
          <w:b/>
          <w:bCs/>
          <w:snapToGrid w:val="0"/>
          <w:color w:val="FF0000"/>
        </w:rPr>
        <w:t>:</w:t>
      </w:r>
      <w:r w:rsidRPr="008E75BF">
        <w:rPr>
          <w:rFonts w:cs="Arial"/>
          <w:snapToGrid w:val="0"/>
          <w:color w:val="FF0000"/>
        </w:rPr>
        <w:t xml:space="preserve"> </w:t>
      </w:r>
    </w:p>
    <w:p w14:paraId="5D810A54" w14:textId="79A29F77" w:rsidR="00515C53" w:rsidRPr="009C4F85" w:rsidRDefault="00515C53" w:rsidP="0003005A">
      <w:pPr>
        <w:rPr>
          <w:rFonts w:cs="Arial"/>
          <w:snapToGrid w:val="0"/>
          <w:color w:val="FF0000"/>
        </w:rPr>
      </w:pPr>
    </w:p>
    <w:p w14:paraId="2DD62F39" w14:textId="5277BEDC" w:rsidR="00515C53" w:rsidRPr="00F0772B" w:rsidRDefault="00515C53" w:rsidP="00515C53">
      <w:pPr>
        <w:rPr>
          <w:rFonts w:cs="Arial"/>
          <w:snapToGrid w:val="0"/>
        </w:rPr>
      </w:pPr>
      <w:r w:rsidRPr="00F0772B">
        <w:rPr>
          <w:rFonts w:cs="Arial"/>
          <w:snapToGrid w:val="0"/>
        </w:rPr>
        <w:t xml:space="preserve">Note 1: </w:t>
      </w:r>
      <w:r w:rsidRPr="00F0772B">
        <w:rPr>
          <w:rFonts w:cs="Arial"/>
        </w:rPr>
        <w:t xml:space="preserve">“Prescribers” used throughout this </w:t>
      </w:r>
      <w:r w:rsidR="00D623F2" w:rsidRPr="00F0772B">
        <w:rPr>
          <w:rFonts w:cs="Arial"/>
        </w:rPr>
        <w:t>sub</w:t>
      </w:r>
      <w:r w:rsidRPr="00F0772B">
        <w:rPr>
          <w:rFonts w:cs="Arial"/>
        </w:rPr>
        <w:t xml:space="preserve">section refers to all licensed clinicians who are authorized by the state in which the hospital is located to order medications for patients. </w:t>
      </w:r>
      <w:r w:rsidRPr="00F0772B">
        <w:rPr>
          <w:rFonts w:cs="Arial"/>
          <w:snapToGrid w:val="0"/>
        </w:rPr>
        <w:t>This includes residents and interns who are authorized to order medications under their own authority.</w:t>
      </w:r>
    </w:p>
    <w:p w14:paraId="1570D0CA" w14:textId="77777777" w:rsidR="00515C53" w:rsidRPr="009C4F85" w:rsidRDefault="00515C53" w:rsidP="0003005A">
      <w:pPr>
        <w:rPr>
          <w:rFonts w:cs="Arial"/>
          <w:snapToGrid w:val="0"/>
          <w:color w:val="FF0000"/>
        </w:rPr>
      </w:pPr>
    </w:p>
    <w:p w14:paraId="2A3EA796" w14:textId="2F4B4F6B" w:rsidR="00515C53" w:rsidRDefault="00515C53" w:rsidP="0003005A">
      <w:r w:rsidRPr="00F0772B">
        <w:rPr>
          <w:rFonts w:cs="Arial"/>
          <w:snapToGrid w:val="0"/>
        </w:rPr>
        <w:t xml:space="preserve">Note </w:t>
      </w:r>
      <w:r w:rsidR="006B676B" w:rsidRPr="00F0772B">
        <w:rPr>
          <w:rFonts w:cs="Arial"/>
          <w:snapToGrid w:val="0"/>
        </w:rPr>
        <w:t>2</w:t>
      </w:r>
      <w:r w:rsidRPr="00F0772B">
        <w:rPr>
          <w:rFonts w:cs="Arial"/>
          <w:snapToGrid w:val="0"/>
        </w:rPr>
        <w:t>:</w:t>
      </w:r>
      <w:r w:rsidRPr="008E75BF">
        <w:rPr>
          <w:rFonts w:cs="Arial"/>
          <w:snapToGrid w:val="0"/>
        </w:rPr>
        <w:t xml:space="preserve"> </w:t>
      </w:r>
      <w:r>
        <w:t xml:space="preserve">Adult and general hospitals must complete an Adult Inpatient Test at least once per Survey Cycle (April to November). Hospitals are encouraged to ensure that the Adult Inpatient CPOE Test is submitted along with the Survey to meet the deadlines for Leapfrog’s Programs such as Top Hospital, Leapfrog Hospital Safety Grade, etc. </w:t>
      </w:r>
    </w:p>
    <w:p w14:paraId="1E28581C" w14:textId="77777777" w:rsidR="008F70F2" w:rsidRDefault="008F70F2" w:rsidP="0003005A"/>
    <w:p w14:paraId="35CB110D" w14:textId="314D2484" w:rsidR="0003005A" w:rsidRDefault="008F70F2" w:rsidP="003A1D91">
      <w:pPr>
        <w:rPr>
          <w:rFonts w:cs="Arial"/>
        </w:rPr>
      </w:pPr>
      <w:r>
        <w:t xml:space="preserve">Note 3: </w:t>
      </w:r>
      <w:r w:rsidR="00177359" w:rsidRPr="005C1751">
        <w:rPr>
          <w:rFonts w:cs="Arial"/>
        </w:rPr>
        <w:t>Hospitals</w:t>
      </w:r>
      <w:r w:rsidR="00177359">
        <w:rPr>
          <w:rFonts w:cs="Arial"/>
        </w:rPr>
        <w:t xml:space="preserve"> </w:t>
      </w:r>
      <w:r w:rsidR="00177359" w:rsidRPr="005C1751">
        <w:rPr>
          <w:rFonts w:cs="Arial"/>
        </w:rPr>
        <w:t xml:space="preserve">will have access to the CPOE Evaluation Tool </w:t>
      </w:r>
      <w:r w:rsidR="00177359">
        <w:rPr>
          <w:rFonts w:cs="Arial"/>
        </w:rPr>
        <w:t xml:space="preserve">immediately </w:t>
      </w:r>
      <w:r w:rsidR="00177359" w:rsidRPr="005C1751">
        <w:rPr>
          <w:rFonts w:cs="Arial"/>
        </w:rPr>
        <w:t xml:space="preserve">after completing </w:t>
      </w:r>
      <w:r w:rsidR="00177359">
        <w:rPr>
          <w:rFonts w:cs="Arial"/>
        </w:rPr>
        <w:t>the Hospital Profile</w:t>
      </w:r>
      <w:r w:rsidR="00177359" w:rsidRPr="005C1751">
        <w:rPr>
          <w:rFonts w:cs="Arial"/>
        </w:rPr>
        <w:t xml:space="preserve"> in the Online Hospital Survey Tool.</w:t>
      </w:r>
    </w:p>
    <w:p w14:paraId="15E3AD85" w14:textId="77777777" w:rsidR="00177359" w:rsidRPr="009C4F85" w:rsidRDefault="00177359" w:rsidP="003A1D91">
      <w:pPr>
        <w:rPr>
          <w:rFonts w:cs="Arial"/>
          <w:b/>
        </w:rPr>
      </w:pPr>
    </w:p>
    <w:p w14:paraId="1A425CF0" w14:textId="4A329E33" w:rsidR="003A1D91" w:rsidRDefault="003A1D91" w:rsidP="003A1D91">
      <w:pPr>
        <w:rPr>
          <w:rFonts w:cs="Arial"/>
          <w:snapToGrid w:val="0"/>
        </w:rPr>
      </w:pPr>
      <w:r w:rsidRPr="009A5185">
        <w:rPr>
          <w:rFonts w:cs="Arial"/>
          <w:b/>
        </w:rPr>
        <w:t xml:space="preserve">Specifications: </w:t>
      </w:r>
      <w:r w:rsidRPr="009A5185">
        <w:rPr>
          <w:rFonts w:cs="Arial"/>
          <w:snapToGrid w:val="0"/>
        </w:rPr>
        <w:t xml:space="preserve">See </w:t>
      </w:r>
      <w:hyperlink w:anchor="_Medication_Safety_-" w:history="1">
        <w:r w:rsidR="009141C7">
          <w:rPr>
            <w:rStyle w:val="Hyperlink"/>
            <w:rFonts w:cs="Arial"/>
            <w:b/>
            <w:i/>
            <w:snapToGrid w:val="0"/>
          </w:rPr>
          <w:t>Computerized Physician Order Entry (CPOE) Measure Specifications</w:t>
        </w:r>
      </w:hyperlink>
      <w:r w:rsidRPr="009A5185">
        <w:rPr>
          <w:rFonts w:cs="Arial"/>
          <w:snapToGrid w:val="0"/>
        </w:rPr>
        <w:t xml:space="preserve"> in the Reference Information </w:t>
      </w:r>
      <w:r w:rsidR="00C86298">
        <w:rPr>
          <w:rFonts w:cs="Arial"/>
          <w:snapToGrid w:val="0"/>
        </w:rPr>
        <w:t xml:space="preserve">beginning </w:t>
      </w:r>
      <w:r w:rsidRPr="009A5185">
        <w:rPr>
          <w:rFonts w:cs="Arial"/>
          <w:snapToGrid w:val="0"/>
        </w:rPr>
        <w:t xml:space="preserve">on </w:t>
      </w:r>
      <w:r w:rsidR="00C86298">
        <w:rPr>
          <w:rFonts w:cs="Arial"/>
          <w:snapToGrid w:val="0"/>
        </w:rPr>
        <w:t>page</w:t>
      </w:r>
      <w:r w:rsidR="006C5566">
        <w:rPr>
          <w:rFonts w:cs="Arial"/>
          <w:snapToGrid w:val="0"/>
        </w:rPr>
        <w:t xml:space="preserve"> 7</w:t>
      </w:r>
      <w:r w:rsidR="009230CE">
        <w:rPr>
          <w:rFonts w:cs="Arial"/>
          <w:snapToGrid w:val="0"/>
        </w:rPr>
        <w:t>3</w:t>
      </w:r>
      <w:r w:rsidR="00FA29BA">
        <w:rPr>
          <w:rFonts w:cs="Arial"/>
          <w:snapToGrid w:val="0"/>
        </w:rPr>
        <w:t>.</w:t>
      </w:r>
      <w:r w:rsidR="008C7C9F">
        <w:rPr>
          <w:rFonts w:cs="Arial"/>
          <w:snapToGrid w:val="0"/>
        </w:rPr>
        <w:t xml:space="preserve"> </w:t>
      </w:r>
    </w:p>
    <w:p w14:paraId="3ACF96C7" w14:textId="77777777" w:rsidR="0087181B" w:rsidRPr="008C7C9F" w:rsidRDefault="0087181B" w:rsidP="003A1D91">
      <w:pPr>
        <w:rPr>
          <w:rFonts w:cs="Arial"/>
          <w:snapToGrid w:val="0"/>
        </w:rPr>
      </w:pPr>
    </w:p>
    <w:p w14:paraId="78DFA3B8" w14:textId="38A23006" w:rsidR="006C3A34" w:rsidRPr="00D32024" w:rsidRDefault="0087181B">
      <w:pPr>
        <w:rPr>
          <w:rFonts w:cs="Arial"/>
          <w:b/>
          <w:snapToGrid w:val="0"/>
          <w:sz w:val="16"/>
          <w:szCs w:val="16"/>
        </w:rPr>
      </w:pPr>
      <w:r w:rsidRPr="0087181B">
        <w:rPr>
          <w:rFonts w:cs="Arial"/>
          <w:noProof/>
          <w:snapToGrid w:val="0"/>
          <w:color w:val="000000"/>
          <w:sz w:val="16"/>
          <w:szCs w:val="16"/>
        </w:rPr>
        <mc:AlternateContent>
          <mc:Choice Requires="wps">
            <w:drawing>
              <wp:inline distT="0" distB="0" distL="0" distR="0" wp14:anchorId="4119309E" wp14:editId="741387DB">
                <wp:extent cx="6058894" cy="1404620"/>
                <wp:effectExtent l="0" t="0" r="18415" b="16510"/>
                <wp:docPr id="22" name="Text Box 22" descr="P1847TB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894" cy="1404620"/>
                        </a:xfrm>
                        <a:prstGeom prst="rect">
                          <a:avLst/>
                        </a:prstGeom>
                        <a:solidFill>
                          <a:srgbClr val="FFFFFF"/>
                        </a:solidFill>
                        <a:ln w="9525">
                          <a:solidFill>
                            <a:srgbClr val="FF0000"/>
                          </a:solidFill>
                          <a:miter lim="800000"/>
                          <a:headEnd/>
                          <a:tailEnd/>
                        </a:ln>
                      </wps:spPr>
                      <wps:txbx>
                        <w:txbxContent>
                          <w:p w14:paraId="0E144760" w14:textId="1E6DED25" w:rsidR="0087181B" w:rsidRPr="009A5185" w:rsidRDefault="0087181B" w:rsidP="0087181B">
                            <w:pPr>
                              <w:spacing w:before="40"/>
                              <w:rPr>
                                <w:rFonts w:cs="Arial"/>
                                <w:b/>
                                <w:snapToGrid w:val="0"/>
                              </w:rPr>
                            </w:pPr>
                            <w:r w:rsidRPr="009A5185">
                              <w:rPr>
                                <w:rFonts w:cs="Arial"/>
                                <w:b/>
                                <w:snapToGrid w:val="0"/>
                              </w:rPr>
                              <w:t>Reporting Period: 3 months</w:t>
                            </w:r>
                          </w:p>
                          <w:p w14:paraId="3B02F1C3" w14:textId="77777777" w:rsidR="0087181B" w:rsidRDefault="0087181B" w:rsidP="0087181B">
                            <w:pPr>
                              <w:rPr>
                                <w:rFonts w:cs="Arial"/>
                                <w:snapToGrid w:val="0"/>
                              </w:rPr>
                            </w:pPr>
                            <w:r w:rsidRPr="009A5185">
                              <w:rPr>
                                <w:rFonts w:cs="Arial"/>
                                <w:snapToGrid w:val="0"/>
                              </w:rPr>
                              <w:t>Answer questions #1-</w:t>
                            </w:r>
                            <w:r>
                              <w:rPr>
                                <w:rFonts w:cs="Arial"/>
                                <w:snapToGrid w:val="0"/>
                              </w:rPr>
                              <w:t>5</w:t>
                            </w:r>
                            <w:r w:rsidRPr="009A5185">
                              <w:rPr>
                                <w:rFonts w:cs="Arial"/>
                                <w:snapToGrid w:val="0"/>
                              </w:rPr>
                              <w:t xml:space="preserve"> for the latest 3-month period prior to the submission of this section of the Survey.</w:t>
                            </w:r>
                          </w:p>
                          <w:p w14:paraId="7B018F0B" w14:textId="77777777" w:rsidR="0087181B" w:rsidRDefault="0087181B" w:rsidP="0087181B">
                            <w:pPr>
                              <w:rPr>
                                <w:rFonts w:cs="Arial"/>
                                <w:snapToGrid w:val="0"/>
                              </w:rPr>
                            </w:pPr>
                          </w:p>
                          <w:p w14:paraId="49CC2B33" w14:textId="0DA8C3D8" w:rsidR="0087181B" w:rsidRDefault="0087181B" w:rsidP="0087181B">
                            <w:r w:rsidRPr="006547C0">
                              <w:rPr>
                                <w:rFonts w:cs="Arial"/>
                                <w:sz w:val="16"/>
                                <w:szCs w:val="16"/>
                              </w:rPr>
                              <w:t xml:space="preserve">Note: As a reminder, the </w:t>
                            </w:r>
                            <w:hyperlink r:id="rId167"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4119309E" id="Text Box 22" o:spid="_x0000_s1033" type="#_x0000_t202" alt="P1847TB6#y1" style="width:477.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" strokecolor="red">
                <v:textbox style="mso-fit-shape-to-text:t">
                  <w:txbxContent>
                    <w:p w14:paraId="0E144760" w14:textId="1E6DED25" w:rsidR="0087181B" w:rsidRPr="009A5185" w:rsidRDefault="0087181B" w:rsidP="0087181B">
                      <w:pPr>
                        <w:spacing w:before="40"/>
                        <w:rPr>
                          <w:rFonts w:cs="Arial"/>
                          <w:b/>
                          <w:snapToGrid w:val="0"/>
                        </w:rPr>
                      </w:pPr>
                      <w:r w:rsidRPr="009A5185">
                        <w:rPr>
                          <w:rFonts w:cs="Arial"/>
                          <w:b/>
                          <w:snapToGrid w:val="0"/>
                        </w:rPr>
                        <w:t>Reporting Period: 3 months</w:t>
                      </w:r>
                    </w:p>
                    <w:p w14:paraId="3B02F1C3" w14:textId="77777777" w:rsidR="0087181B" w:rsidRDefault="0087181B" w:rsidP="0087181B">
                      <w:pPr>
                        <w:rPr>
                          <w:rFonts w:cs="Arial"/>
                          <w:snapToGrid w:val="0"/>
                        </w:rPr>
                      </w:pPr>
                      <w:r w:rsidRPr="009A5185">
                        <w:rPr>
                          <w:rFonts w:cs="Arial"/>
                          <w:snapToGrid w:val="0"/>
                        </w:rPr>
                        <w:t>Answer questions #1-</w:t>
                      </w:r>
                      <w:r>
                        <w:rPr>
                          <w:rFonts w:cs="Arial"/>
                          <w:snapToGrid w:val="0"/>
                        </w:rPr>
                        <w:t>5</w:t>
                      </w:r>
                      <w:r w:rsidRPr="009A5185">
                        <w:rPr>
                          <w:rFonts w:cs="Arial"/>
                          <w:snapToGrid w:val="0"/>
                        </w:rPr>
                        <w:t xml:space="preserve"> for the latest 3-month period prior to the submission of this section of the Survey.</w:t>
                      </w:r>
                    </w:p>
                    <w:p w14:paraId="7B018F0B" w14:textId="77777777" w:rsidR="0087181B" w:rsidRDefault="0087181B" w:rsidP="0087181B">
                      <w:pPr>
                        <w:rPr>
                          <w:rFonts w:cs="Arial"/>
                          <w:snapToGrid w:val="0"/>
                        </w:rPr>
                      </w:pPr>
                    </w:p>
                    <w:p w14:paraId="49CC2B33" w14:textId="0DA8C3D8" w:rsidR="0087181B" w:rsidRDefault="0087181B" w:rsidP="0087181B">
                      <w:r w:rsidRPr="006547C0">
                        <w:rPr>
                          <w:rFonts w:cs="Arial"/>
                          <w:sz w:val="16"/>
                          <w:szCs w:val="16"/>
                        </w:rPr>
                        <w:t xml:space="preserve">Note: As a reminder, the </w:t>
                      </w:r>
                      <w:hyperlink r:id="rId168"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471536F3" w14:textId="50BE2DE1" w:rsidR="006C3A34" w:rsidRPr="0087181B" w:rsidRDefault="006C3A34">
      <w:pPr>
        <w:rPr>
          <w:rFonts w:cs="Arial"/>
          <w:snapToGrid w:val="0"/>
          <w:color w:val="00000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5"/>
        <w:gridCol w:w="2520"/>
      </w:tblGrid>
      <w:tr w:rsidR="001C1FD6" w:rsidRPr="009A5185" w14:paraId="3D831002" w14:textId="77777777" w:rsidTr="008F1145">
        <w:trPr>
          <w:trHeight w:val="720"/>
        </w:trPr>
        <w:tc>
          <w:tcPr>
            <w:tcW w:w="7015" w:type="dxa"/>
            <w:vAlign w:val="center"/>
          </w:tcPr>
          <w:p w14:paraId="5F0C1CC5" w14:textId="00F0A9E1" w:rsidR="001C1FD6" w:rsidRPr="009A5185" w:rsidRDefault="001C1FD6" w:rsidP="00481565">
            <w:pPr>
              <w:numPr>
                <w:ilvl w:val="0"/>
                <w:numId w:val="3"/>
              </w:numPr>
              <w:ind w:left="360"/>
              <w:rPr>
                <w:rFonts w:cs="Arial"/>
                <w:snapToGrid w:val="0"/>
                <w:color w:val="000000"/>
              </w:rPr>
            </w:pPr>
            <w:r w:rsidRPr="009A5185">
              <w:rPr>
                <w:rFonts w:cs="Arial"/>
                <w:snapToGrid w:val="0"/>
                <w:color w:val="000000"/>
              </w:rPr>
              <w:t>What is the latest 3-month reporting period for which your hospital is submitting responses to this section? 3-month reporting</w:t>
            </w:r>
            <w:r>
              <w:rPr>
                <w:rFonts w:cs="Arial"/>
                <w:snapToGrid w:val="0"/>
                <w:color w:val="000000"/>
              </w:rPr>
              <w:t xml:space="preserve"> </w:t>
            </w:r>
            <w:r w:rsidRPr="009A5185">
              <w:rPr>
                <w:rFonts w:cs="Arial"/>
                <w:snapToGrid w:val="0"/>
                <w:color w:val="000000"/>
              </w:rPr>
              <w:t>period ending:</w:t>
            </w:r>
          </w:p>
        </w:tc>
        <w:tc>
          <w:tcPr>
            <w:tcW w:w="2520" w:type="dxa"/>
            <w:vAlign w:val="center"/>
          </w:tcPr>
          <w:p w14:paraId="18AE1FDF" w14:textId="77777777" w:rsidR="001C1FD6" w:rsidRPr="009A5185" w:rsidRDefault="001C1FD6" w:rsidP="001C1FD6">
            <w:pPr>
              <w:jc w:val="center"/>
              <w:rPr>
                <w:rFonts w:cs="Arial"/>
                <w:i/>
                <w:snapToGrid w:val="0"/>
              </w:rPr>
            </w:pPr>
            <w:r w:rsidRPr="009A5185">
              <w:rPr>
                <w:rFonts w:cs="Arial"/>
                <w:i/>
                <w:snapToGrid w:val="0"/>
              </w:rPr>
              <w:t>______</w:t>
            </w:r>
          </w:p>
          <w:p w14:paraId="6EB8AAF3" w14:textId="6B097005" w:rsidR="001C1FD6" w:rsidRPr="009A5185" w:rsidRDefault="001C1FD6" w:rsidP="001C1FD6">
            <w:pPr>
              <w:jc w:val="center"/>
              <w:rPr>
                <w:rFonts w:cs="Arial"/>
                <w:i/>
                <w:snapToGrid w:val="0"/>
              </w:rPr>
            </w:pPr>
            <w:r w:rsidRPr="009A5185">
              <w:rPr>
                <w:rFonts w:cs="Arial"/>
                <w:i/>
                <w:snapToGrid w:val="0"/>
                <w:sz w:val="16"/>
                <w:szCs w:val="16"/>
              </w:rPr>
              <w:t xml:space="preserve">Format: </w:t>
            </w:r>
            <w:r>
              <w:rPr>
                <w:rFonts w:cs="Arial"/>
                <w:i/>
                <w:snapToGrid w:val="0"/>
                <w:sz w:val="16"/>
                <w:szCs w:val="16"/>
              </w:rPr>
              <w:t>Month</w:t>
            </w:r>
            <w:r w:rsidRPr="009A5185">
              <w:rPr>
                <w:rFonts w:cs="Arial"/>
                <w:i/>
                <w:snapToGrid w:val="0"/>
                <w:sz w:val="16"/>
                <w:szCs w:val="16"/>
              </w:rPr>
              <w:t>/Y</w:t>
            </w:r>
            <w:r>
              <w:rPr>
                <w:rFonts w:cs="Arial"/>
                <w:i/>
                <w:snapToGrid w:val="0"/>
                <w:sz w:val="16"/>
                <w:szCs w:val="16"/>
              </w:rPr>
              <w:t>ear</w:t>
            </w:r>
          </w:p>
        </w:tc>
      </w:tr>
      <w:tr w:rsidR="00725220" w:rsidRPr="009A5185" w14:paraId="1AAF9474" w14:textId="77777777" w:rsidTr="008F1145">
        <w:trPr>
          <w:trHeight w:val="2160"/>
        </w:trPr>
        <w:tc>
          <w:tcPr>
            <w:tcW w:w="7015" w:type="dxa"/>
            <w:vAlign w:val="center"/>
          </w:tcPr>
          <w:p w14:paraId="1CCA1134" w14:textId="77777777" w:rsidR="00217D8D" w:rsidRPr="009A5185" w:rsidRDefault="00725220" w:rsidP="00481565">
            <w:pPr>
              <w:numPr>
                <w:ilvl w:val="0"/>
                <w:numId w:val="3"/>
              </w:numPr>
              <w:ind w:left="360"/>
              <w:rPr>
                <w:rFonts w:cs="Arial"/>
                <w:snapToGrid w:val="0"/>
                <w:color w:val="000000"/>
              </w:rPr>
            </w:pPr>
            <w:r w:rsidRPr="009A5185">
              <w:rPr>
                <w:rFonts w:cs="Arial"/>
                <w:snapToGrid w:val="0"/>
                <w:color w:val="000000"/>
              </w:rPr>
              <w:t xml:space="preserve">Does your hospital have a functioning CPOE system in one or more </w:t>
            </w:r>
            <w:r w:rsidRPr="009A5185">
              <w:rPr>
                <w:rFonts w:cs="Arial"/>
                <w:snapToGrid w:val="0"/>
                <w:color w:val="000000"/>
                <w:u w:val="single"/>
              </w:rPr>
              <w:t>inpatient</w:t>
            </w:r>
            <w:r w:rsidRPr="009A5185">
              <w:rPr>
                <w:rFonts w:cs="Arial"/>
                <w:snapToGrid w:val="0"/>
                <w:color w:val="000000"/>
              </w:rPr>
              <w:t xml:space="preserve"> units of the hospital</w:t>
            </w:r>
            <w:r w:rsidR="00217D8D" w:rsidRPr="009A5185">
              <w:rPr>
                <w:rFonts w:cs="Arial"/>
                <w:snapToGrid w:val="0"/>
                <w:color w:val="000000"/>
              </w:rPr>
              <w:t xml:space="preserve"> that:</w:t>
            </w:r>
          </w:p>
          <w:p w14:paraId="0F02C598" w14:textId="3DCA4CC3" w:rsidR="00735853" w:rsidRPr="009A5185" w:rsidRDefault="00735853" w:rsidP="00AD309C">
            <w:pPr>
              <w:pStyle w:val="ListParagraph"/>
              <w:numPr>
                <w:ilvl w:val="0"/>
                <w:numId w:val="30"/>
              </w:numPr>
              <w:rPr>
                <w:rFonts w:cs="Arial"/>
                <w:snapToGrid w:val="0"/>
              </w:rPr>
            </w:pPr>
            <w:r w:rsidRPr="009A5185">
              <w:rPr>
                <w:rFonts w:cs="Arial"/>
                <w:snapToGrid w:val="0"/>
              </w:rPr>
              <w:t xml:space="preserve">includes decision support </w:t>
            </w:r>
            <w:r w:rsidRPr="009A5185">
              <w:rPr>
                <w:rFonts w:cs="Arial"/>
              </w:rPr>
              <w:t>software to reduce prescribing errors</w:t>
            </w:r>
            <w:r w:rsidRPr="009A5185">
              <w:rPr>
                <w:rFonts w:cs="Arial"/>
                <w:snapToGrid w:val="0"/>
              </w:rPr>
              <w:t>; and</w:t>
            </w:r>
          </w:p>
          <w:p w14:paraId="7863198E" w14:textId="2FEAFF27" w:rsidR="00725220" w:rsidRDefault="00735853" w:rsidP="00AD309C">
            <w:pPr>
              <w:pStyle w:val="ListParagraph"/>
              <w:numPr>
                <w:ilvl w:val="0"/>
                <w:numId w:val="30"/>
              </w:numPr>
              <w:rPr>
                <w:rFonts w:cs="Arial"/>
                <w:snapToGrid w:val="0"/>
              </w:rPr>
            </w:pPr>
            <w:r w:rsidRPr="009A5185">
              <w:rPr>
                <w:rFonts w:cs="Arial"/>
                <w:snapToGrid w:val="0"/>
              </w:rPr>
              <w:t xml:space="preserve">is </w:t>
            </w:r>
            <w:hyperlink w:anchor="Endnote16_CPOE" w:history="1">
              <w:r w:rsidRPr="009A5185">
                <w:rPr>
                  <w:rStyle w:val="Hyperlink"/>
                  <w:rFonts w:cs="Arial"/>
                  <w:snapToGrid w:val="0"/>
                </w:rPr>
                <w:t>linked</w:t>
              </w:r>
            </w:hyperlink>
            <w:bookmarkStart w:id="163" w:name="_Ref4512529"/>
            <w:r w:rsidR="000F0582">
              <w:rPr>
                <w:rStyle w:val="Hyperlink"/>
                <w:rFonts w:ascii="ZWAdobeF" w:hAnsi="ZWAdobeF" w:cs="ZWAdobeF"/>
                <w:snapToGrid w:val="0"/>
                <w:color w:val="auto"/>
                <w:sz w:val="2"/>
                <w:szCs w:val="2"/>
                <w:u w:val="none"/>
              </w:rPr>
              <w:t>16F</w:t>
            </w:r>
            <w:r w:rsidR="00BF053F">
              <w:rPr>
                <w:rStyle w:val="Hyperlink"/>
                <w:rFonts w:ascii="ZWAdobeF" w:hAnsi="ZWAdobeF" w:cs="ZWAdobeF"/>
                <w:snapToGrid w:val="0"/>
                <w:color w:val="auto"/>
                <w:sz w:val="2"/>
                <w:szCs w:val="2"/>
                <w:u w:val="none"/>
              </w:rPr>
              <w:t>17F</w:t>
            </w:r>
            <w:r w:rsidR="004C7557">
              <w:rPr>
                <w:rStyle w:val="Hyperlink"/>
                <w:rFonts w:ascii="ZWAdobeF" w:hAnsi="ZWAdobeF" w:cs="ZWAdobeF"/>
                <w:snapToGrid w:val="0"/>
                <w:color w:val="auto"/>
                <w:sz w:val="2"/>
                <w:szCs w:val="2"/>
                <w:u w:val="none"/>
              </w:rPr>
              <w:t>17F</w:t>
            </w:r>
            <w:r w:rsidR="00C2087D">
              <w:rPr>
                <w:rStyle w:val="Hyperlink"/>
                <w:rFonts w:ascii="ZWAdobeF" w:hAnsi="ZWAdobeF" w:cs="ZWAdobeF"/>
                <w:snapToGrid w:val="0"/>
                <w:color w:val="auto"/>
                <w:sz w:val="2"/>
                <w:szCs w:val="2"/>
                <w:u w:val="none"/>
              </w:rPr>
              <w:t>17F</w:t>
            </w:r>
            <w:r w:rsidR="00B55C41">
              <w:rPr>
                <w:rStyle w:val="Hyperlink"/>
                <w:rFonts w:ascii="ZWAdobeF" w:hAnsi="ZWAdobeF" w:cs="ZWAdobeF"/>
                <w:snapToGrid w:val="0"/>
                <w:color w:val="auto"/>
                <w:sz w:val="2"/>
                <w:szCs w:val="2"/>
                <w:u w:val="none"/>
              </w:rPr>
              <w:t>17F</w:t>
            </w:r>
            <w:r w:rsidR="006255A6">
              <w:rPr>
                <w:rStyle w:val="Hyperlink"/>
                <w:rFonts w:ascii="ZWAdobeF" w:hAnsi="ZWAdobeF" w:cs="ZWAdobeF"/>
                <w:snapToGrid w:val="0"/>
                <w:color w:val="auto"/>
                <w:sz w:val="2"/>
                <w:szCs w:val="2"/>
                <w:u w:val="none"/>
              </w:rPr>
              <w:t>17F</w:t>
            </w:r>
            <w:r w:rsidR="00E453C7">
              <w:rPr>
                <w:rStyle w:val="Hyperlink"/>
                <w:rFonts w:ascii="ZWAdobeF" w:hAnsi="ZWAdobeF" w:cs="ZWAdobeF"/>
                <w:snapToGrid w:val="0"/>
                <w:color w:val="auto"/>
                <w:sz w:val="2"/>
                <w:szCs w:val="2"/>
                <w:u w:val="none"/>
              </w:rPr>
              <w:t>17F</w:t>
            </w:r>
            <w:r w:rsidR="00953060">
              <w:rPr>
                <w:rStyle w:val="Hyperlink"/>
                <w:rFonts w:ascii="ZWAdobeF" w:hAnsi="ZWAdobeF" w:cs="ZWAdobeF"/>
                <w:snapToGrid w:val="0"/>
                <w:color w:val="auto"/>
                <w:sz w:val="2"/>
                <w:szCs w:val="2"/>
                <w:u w:val="none"/>
              </w:rPr>
              <w:t>17F</w:t>
            </w:r>
            <w:r w:rsidR="00DD04D6">
              <w:rPr>
                <w:rStyle w:val="Hyperlink"/>
                <w:rFonts w:ascii="ZWAdobeF" w:hAnsi="ZWAdobeF" w:cs="ZWAdobeF"/>
                <w:snapToGrid w:val="0"/>
                <w:color w:val="auto"/>
                <w:sz w:val="2"/>
                <w:szCs w:val="2"/>
                <w:u w:val="none"/>
              </w:rPr>
              <w:t>17F</w:t>
            </w:r>
            <w:r w:rsidRPr="009A5185">
              <w:rPr>
                <w:rStyle w:val="EndnoteReference"/>
                <w:rFonts w:cs="Arial"/>
                <w:snapToGrid w:val="0"/>
              </w:rPr>
              <w:endnoteReference w:id="19"/>
            </w:r>
            <w:bookmarkEnd w:id="163"/>
            <w:r w:rsidRPr="009A5185">
              <w:rPr>
                <w:rFonts w:cs="Arial"/>
                <w:snapToGrid w:val="0"/>
              </w:rPr>
              <w:t xml:space="preserve"> to pharmacy, laboratory, and admitting-discharge-transfer (ADT) information in your hospital</w:t>
            </w:r>
            <w:r w:rsidR="004F4E33">
              <w:rPr>
                <w:rFonts w:cs="Arial"/>
                <w:snapToGrid w:val="0"/>
              </w:rPr>
              <w:t>?</w:t>
            </w:r>
          </w:p>
          <w:p w14:paraId="0CD8456A" w14:textId="77777777" w:rsidR="002641B4" w:rsidRDefault="002641B4" w:rsidP="002641B4">
            <w:pPr>
              <w:ind w:left="360"/>
              <w:rPr>
                <w:rFonts w:cs="Arial"/>
                <w:snapToGrid w:val="0"/>
              </w:rPr>
            </w:pPr>
          </w:p>
          <w:p w14:paraId="5FEBAB7A" w14:textId="728DD617" w:rsidR="002641B4" w:rsidRPr="002641B4" w:rsidRDefault="002641B4" w:rsidP="001C5E4D">
            <w:pPr>
              <w:ind w:left="360"/>
              <w:rPr>
                <w:rFonts w:cs="Arial"/>
                <w:i/>
                <w:snapToGrid w:val="0"/>
              </w:rPr>
            </w:pPr>
            <w:r w:rsidRPr="007C0D8D">
              <w:rPr>
                <w:rFonts w:cs="Arial"/>
                <w:i/>
                <w:snapToGrid w:val="0"/>
              </w:rPr>
              <w:t xml:space="preserve">If “no” to question #2, skip </w:t>
            </w:r>
            <w:r w:rsidR="00D145C4">
              <w:rPr>
                <w:rFonts w:cs="Arial"/>
                <w:i/>
                <w:snapToGrid w:val="0"/>
              </w:rPr>
              <w:t xml:space="preserve">the remaining questions in </w:t>
            </w:r>
            <w:r w:rsidR="00F72C9F">
              <w:rPr>
                <w:rFonts w:cs="Arial"/>
                <w:i/>
                <w:snapToGrid w:val="0"/>
              </w:rPr>
              <w:t>Section 2A</w:t>
            </w:r>
            <w:r w:rsidR="00D145C4">
              <w:rPr>
                <w:rFonts w:cs="Arial"/>
                <w:i/>
                <w:snapToGrid w:val="0"/>
              </w:rPr>
              <w:t xml:space="preserve"> and Section 2B</w:t>
            </w:r>
            <w:r w:rsidRPr="007C0D8D">
              <w:rPr>
                <w:rFonts w:cs="Arial"/>
                <w:i/>
                <w:snapToGrid w:val="0"/>
              </w:rPr>
              <w:t xml:space="preserve">, and </w:t>
            </w:r>
            <w:r w:rsidR="00D145C4">
              <w:rPr>
                <w:rFonts w:cs="Arial"/>
                <w:i/>
                <w:snapToGrid w:val="0"/>
              </w:rPr>
              <w:t>continue to</w:t>
            </w:r>
            <w:r w:rsidRPr="007C0D8D">
              <w:rPr>
                <w:rFonts w:cs="Arial"/>
                <w:i/>
                <w:snapToGrid w:val="0"/>
              </w:rPr>
              <w:t xml:space="preserve"> </w:t>
            </w:r>
            <w:r w:rsidR="00D145C4">
              <w:rPr>
                <w:rFonts w:cs="Arial"/>
                <w:i/>
                <w:snapToGrid w:val="0"/>
              </w:rPr>
              <w:t>Section 2C</w:t>
            </w:r>
            <w:r w:rsidRPr="007C0D8D">
              <w:rPr>
                <w:rFonts w:cs="Arial"/>
                <w:i/>
                <w:snapToGrid w:val="0"/>
              </w:rPr>
              <w:t>.</w:t>
            </w:r>
            <w:r w:rsidR="00CE02A6">
              <w:rPr>
                <w:rFonts w:cs="Arial"/>
                <w:i/>
                <w:snapToGrid w:val="0"/>
              </w:rPr>
              <w:t xml:space="preserve"> </w:t>
            </w:r>
            <w:r w:rsidR="00833B3F" w:rsidRPr="00F61E74">
              <w:rPr>
                <w:rFonts w:cs="Arial"/>
                <w:i/>
              </w:rPr>
              <w:t>The hospital will be scored as “Limited Achievement.”</w:t>
            </w:r>
          </w:p>
        </w:tc>
        <w:tc>
          <w:tcPr>
            <w:tcW w:w="2520" w:type="dxa"/>
            <w:vAlign w:val="center"/>
          </w:tcPr>
          <w:p w14:paraId="7AA7862B" w14:textId="6F7F483E" w:rsidR="00414DB9" w:rsidRPr="00CF4879" w:rsidRDefault="00725220" w:rsidP="00AD309C">
            <w:pPr>
              <w:pStyle w:val="ListParagraph"/>
              <w:numPr>
                <w:ilvl w:val="0"/>
                <w:numId w:val="360"/>
              </w:numPr>
              <w:rPr>
                <w:rFonts w:cs="Arial"/>
                <w:iCs/>
                <w:snapToGrid w:val="0"/>
              </w:rPr>
            </w:pPr>
            <w:r w:rsidRPr="00CF4879">
              <w:rPr>
                <w:rFonts w:cs="Arial"/>
                <w:iCs/>
                <w:snapToGrid w:val="0"/>
              </w:rPr>
              <w:t>Yes</w:t>
            </w:r>
          </w:p>
          <w:p w14:paraId="07D32AC4" w14:textId="53256619" w:rsidR="00725220" w:rsidRPr="00CF4879" w:rsidRDefault="00725220" w:rsidP="00AD309C">
            <w:pPr>
              <w:pStyle w:val="ListParagraph"/>
              <w:numPr>
                <w:ilvl w:val="0"/>
                <w:numId w:val="360"/>
              </w:numPr>
              <w:rPr>
                <w:rFonts w:cs="Arial"/>
                <w:iCs/>
                <w:snapToGrid w:val="0"/>
              </w:rPr>
            </w:pPr>
            <w:r w:rsidRPr="00CF4879">
              <w:rPr>
                <w:rFonts w:cs="Arial"/>
                <w:iCs/>
                <w:snapToGrid w:val="0"/>
              </w:rPr>
              <w:t>No</w:t>
            </w:r>
          </w:p>
          <w:p w14:paraId="4B1C6084" w14:textId="77777777" w:rsidR="00414DB9" w:rsidRPr="009A5185" w:rsidRDefault="00414DB9" w:rsidP="004D6EB3">
            <w:pPr>
              <w:rPr>
                <w:rFonts w:cs="Arial"/>
                <w:i/>
                <w:snapToGrid w:val="0"/>
              </w:rPr>
            </w:pPr>
          </w:p>
        </w:tc>
      </w:tr>
      <w:tr w:rsidR="001C1FD6" w:rsidRPr="009A5185" w14:paraId="3ABE435B" w14:textId="77777777" w:rsidTr="008F1145">
        <w:trPr>
          <w:trHeight w:val="720"/>
        </w:trPr>
        <w:tc>
          <w:tcPr>
            <w:tcW w:w="7015" w:type="dxa"/>
            <w:vAlign w:val="center"/>
          </w:tcPr>
          <w:p w14:paraId="26D997CD" w14:textId="5CE2CF2F" w:rsidR="001C1FD6" w:rsidRPr="009A5185" w:rsidRDefault="001C1FD6" w:rsidP="00481565">
            <w:pPr>
              <w:numPr>
                <w:ilvl w:val="0"/>
                <w:numId w:val="3"/>
              </w:numPr>
              <w:ind w:left="360"/>
              <w:rPr>
                <w:rFonts w:cs="Arial"/>
                <w:snapToGrid w:val="0"/>
                <w:color w:val="000000"/>
              </w:rPr>
            </w:pPr>
            <w:r w:rsidRPr="009A5185">
              <w:rPr>
                <w:rFonts w:cs="Arial"/>
                <w:snapToGrid w:val="0"/>
              </w:rPr>
              <w:t xml:space="preserve">Total number of </w:t>
            </w:r>
            <w:r w:rsidRPr="009A5185">
              <w:rPr>
                <w:rFonts w:cs="Arial"/>
                <w:b/>
                <w:snapToGrid w:val="0"/>
              </w:rPr>
              <w:t>inpatient medication orders</w:t>
            </w:r>
            <w:r w:rsidRPr="007D3F13">
              <w:rPr>
                <w:rFonts w:cs="Arial"/>
                <w:snapToGrid w:val="0"/>
              </w:rPr>
              <w:t>, including</w:t>
            </w:r>
            <w:r w:rsidRPr="009A5185">
              <w:rPr>
                <w:rFonts w:cs="Arial"/>
                <w:snapToGrid w:val="0"/>
              </w:rPr>
              <w:t xml:space="preserve"> orders made in units </w:t>
            </w:r>
            <w:r>
              <w:rPr>
                <w:rFonts w:cs="Arial"/>
                <w:snapToGrid w:val="0"/>
              </w:rPr>
              <w:t>that</w:t>
            </w:r>
            <w:r w:rsidRPr="009A5185">
              <w:rPr>
                <w:rFonts w:cs="Arial"/>
                <w:snapToGrid w:val="0"/>
              </w:rPr>
              <w:t xml:space="preserve"> do NOT have a functioning CPOE system.</w:t>
            </w:r>
          </w:p>
        </w:tc>
        <w:tc>
          <w:tcPr>
            <w:tcW w:w="2520" w:type="dxa"/>
            <w:vAlign w:val="center"/>
          </w:tcPr>
          <w:p w14:paraId="04A14AC6" w14:textId="59ADDA2A" w:rsidR="001C1FD6" w:rsidRPr="009A5185" w:rsidRDefault="001C1FD6" w:rsidP="0034532A">
            <w:pPr>
              <w:jc w:val="center"/>
              <w:rPr>
                <w:rFonts w:cs="Arial"/>
                <w:i/>
                <w:snapToGrid w:val="0"/>
              </w:rPr>
            </w:pPr>
            <w:r w:rsidRPr="009A5185">
              <w:rPr>
                <w:rFonts w:cs="Arial"/>
                <w:i/>
                <w:snapToGrid w:val="0"/>
              </w:rPr>
              <w:t>_____</w:t>
            </w:r>
          </w:p>
        </w:tc>
      </w:tr>
      <w:tr w:rsidR="001C1FD6" w:rsidRPr="009A5185" w14:paraId="5310A7F2" w14:textId="77777777" w:rsidTr="00481565">
        <w:trPr>
          <w:trHeight w:val="800"/>
        </w:trPr>
        <w:tc>
          <w:tcPr>
            <w:tcW w:w="7015" w:type="dxa"/>
            <w:vAlign w:val="center"/>
          </w:tcPr>
          <w:p w14:paraId="37300D58" w14:textId="0E3FFC33" w:rsidR="001C1FD6" w:rsidRPr="009A5185" w:rsidRDefault="001C1FD6" w:rsidP="00481565">
            <w:pPr>
              <w:numPr>
                <w:ilvl w:val="0"/>
                <w:numId w:val="3"/>
              </w:numPr>
              <w:ind w:left="360"/>
              <w:rPr>
                <w:rFonts w:cs="Arial"/>
                <w:snapToGrid w:val="0"/>
                <w:color w:val="000000"/>
              </w:rPr>
            </w:pPr>
            <w:r>
              <w:rPr>
                <w:rFonts w:cs="Arial"/>
                <w:snapToGrid w:val="0"/>
              </w:rPr>
              <w:t>Total</w:t>
            </w:r>
            <w:r w:rsidRPr="009A5185">
              <w:rPr>
                <w:rFonts w:cs="Arial"/>
                <w:snapToGrid w:val="0"/>
              </w:rPr>
              <w:t xml:space="preserve"> number </w:t>
            </w:r>
            <w:r w:rsidRPr="006547C0">
              <w:rPr>
                <w:rFonts w:cs="Arial"/>
                <w:snapToGrid w:val="0"/>
              </w:rPr>
              <w:t>of</w:t>
            </w:r>
            <w:r w:rsidRPr="006547C0">
              <w:rPr>
                <w:rFonts w:cs="Arial"/>
                <w:b/>
                <w:snapToGrid w:val="0"/>
              </w:rPr>
              <w:t xml:space="preserve"> inpatient medication</w:t>
            </w:r>
            <w:r>
              <w:rPr>
                <w:rFonts w:cs="Arial"/>
                <w:b/>
                <w:snapToGrid w:val="0"/>
              </w:rPr>
              <w:t xml:space="preserve"> </w:t>
            </w:r>
            <w:r w:rsidRPr="009A5185">
              <w:rPr>
                <w:rFonts w:cs="Arial"/>
                <w:b/>
                <w:snapToGrid w:val="0"/>
              </w:rPr>
              <w:t>orders</w:t>
            </w:r>
            <w:r w:rsidRPr="009A5185">
              <w:rPr>
                <w:rFonts w:cs="Arial"/>
                <w:snapToGrid w:val="0"/>
              </w:rPr>
              <w:t xml:space="preserve"> in question #3 that licensed prescribers entered via a CPOE system that meets the criteria outlined in question #2.</w:t>
            </w:r>
          </w:p>
        </w:tc>
        <w:tc>
          <w:tcPr>
            <w:tcW w:w="2520" w:type="dxa"/>
            <w:vAlign w:val="center"/>
          </w:tcPr>
          <w:p w14:paraId="497CC7FA" w14:textId="5BB3F317" w:rsidR="001C1FD6" w:rsidRPr="009A5185" w:rsidRDefault="001C1FD6" w:rsidP="0034532A">
            <w:pPr>
              <w:jc w:val="center"/>
              <w:rPr>
                <w:rFonts w:cs="Arial"/>
                <w:i/>
                <w:snapToGrid w:val="0"/>
              </w:rPr>
            </w:pPr>
            <w:r w:rsidRPr="009A5185">
              <w:rPr>
                <w:rFonts w:cs="Arial"/>
                <w:i/>
                <w:snapToGrid w:val="0"/>
              </w:rPr>
              <w:t>_____</w:t>
            </w:r>
          </w:p>
        </w:tc>
      </w:tr>
    </w:tbl>
    <w:p w14:paraId="7F9038E3" w14:textId="62ECB79B" w:rsidR="009610FB" w:rsidRPr="009C4F85" w:rsidRDefault="009610FB">
      <w:bookmarkStart w:id="165" w:name="_Hlk35429278"/>
    </w:p>
    <w:p w14:paraId="278F431F" w14:textId="347F42F8" w:rsidR="00D32024" w:rsidRPr="00394CEB" w:rsidRDefault="009610FB">
      <w:pPr>
        <w:rPr>
          <w:i/>
          <w:iCs/>
        </w:rPr>
      </w:pPr>
      <w:r>
        <w:rPr>
          <w:i/>
          <w:iCs/>
        </w:rPr>
        <w:t xml:space="preserve">If “yes” to question #2 and you are an </w:t>
      </w:r>
      <w:r>
        <w:rPr>
          <w:b/>
          <w:bCs/>
          <w:i/>
          <w:iCs/>
        </w:rPr>
        <w:t>adult or general hospital</w:t>
      </w:r>
      <w:r>
        <w:rPr>
          <w:i/>
          <w:iCs/>
        </w:rPr>
        <w:t xml:space="preserve">, </w:t>
      </w:r>
      <w:r w:rsidR="006146FC">
        <w:rPr>
          <w:i/>
          <w:iCs/>
        </w:rPr>
        <w:t xml:space="preserve">use the Take CPOE Tool button on the Survey Dashboard to </w:t>
      </w:r>
      <w:r>
        <w:rPr>
          <w:i/>
          <w:iCs/>
        </w:rPr>
        <w:t xml:space="preserve">access the </w:t>
      </w:r>
      <w:r>
        <w:rPr>
          <w:b/>
          <w:bCs/>
          <w:i/>
          <w:iCs/>
        </w:rPr>
        <w:t>CPOE Evaluation Tool</w:t>
      </w:r>
      <w:r w:rsidR="006146FC">
        <w:rPr>
          <w:b/>
          <w:bCs/>
          <w:i/>
          <w:iCs/>
        </w:rPr>
        <w:t>.</w:t>
      </w:r>
      <w:r>
        <w:rPr>
          <w:i/>
          <w:iCs/>
        </w:rPr>
        <w:t xml:space="preserve"> Question #5 does not apply to pediatric hospitals.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3"/>
        <w:gridCol w:w="4112"/>
      </w:tblGrid>
      <w:tr w:rsidR="00725220" w:rsidRPr="009A5185" w14:paraId="41D4E8DC" w14:textId="00F49EDC" w:rsidTr="00887DBF">
        <w:trPr>
          <w:trHeight w:val="1296"/>
        </w:trPr>
        <w:tc>
          <w:tcPr>
            <w:tcW w:w="5423" w:type="dxa"/>
            <w:vAlign w:val="center"/>
          </w:tcPr>
          <w:p w14:paraId="3D5D9792" w14:textId="76E00CC3" w:rsidR="00DE5DD5" w:rsidRPr="009A5185" w:rsidRDefault="00BF4F7D" w:rsidP="00481565">
            <w:pPr>
              <w:numPr>
                <w:ilvl w:val="0"/>
                <w:numId w:val="3"/>
              </w:numPr>
              <w:ind w:left="360"/>
              <w:rPr>
                <w:rFonts w:cs="Arial"/>
                <w:snapToGrid w:val="0"/>
                <w:color w:val="000000"/>
              </w:rPr>
            </w:pPr>
            <w:bookmarkStart w:id="166" w:name="_Hlk35429296"/>
            <w:bookmarkEnd w:id="165"/>
            <w:r>
              <w:rPr>
                <w:rFonts w:cs="Arial"/>
                <w:snapToGrid w:val="0"/>
                <w:color w:val="000000"/>
              </w:rPr>
              <w:lastRenderedPageBreak/>
              <w:t>H</w:t>
            </w:r>
            <w:r w:rsidR="00725220" w:rsidRPr="009A5185">
              <w:rPr>
                <w:rFonts w:cs="Arial"/>
                <w:snapToGrid w:val="0"/>
                <w:color w:val="000000"/>
              </w:rPr>
              <w:t>ospital’s score when it tested its CPOE system using the Leapfrog CPOE Evaluation Tool</w:t>
            </w:r>
            <w:r>
              <w:rPr>
                <w:rFonts w:cs="Arial"/>
                <w:snapToGrid w:val="0"/>
                <w:color w:val="000000"/>
              </w:rPr>
              <w:t>:</w:t>
            </w:r>
          </w:p>
          <w:p w14:paraId="0D421738" w14:textId="567CAEE4" w:rsidR="00D6576A" w:rsidRPr="00D24CA5" w:rsidRDefault="00725220" w:rsidP="00D6576A">
            <w:pPr>
              <w:ind w:left="360"/>
              <w:rPr>
                <w:rFonts w:cs="Arial"/>
                <w:b/>
                <w:i/>
                <w:iCs/>
                <w:snapToGrid w:val="0"/>
                <w:color w:val="FF0000"/>
              </w:rPr>
            </w:pPr>
            <w:r w:rsidRPr="009A5185">
              <w:rPr>
                <w:rFonts w:cs="Arial"/>
                <w:snapToGrid w:val="0"/>
                <w:color w:val="000000"/>
              </w:rPr>
              <w:br/>
            </w:r>
            <w:r w:rsidR="009610FB" w:rsidRPr="009610FB">
              <w:rPr>
                <w:b/>
                <w:bCs/>
                <w:i/>
                <w:iCs/>
                <w:snapToGrid w:val="0"/>
                <w:color w:val="FF0000"/>
              </w:rPr>
              <w:t>Adult Inpatient Test must be completed between April 1 and November 30, 202</w:t>
            </w:r>
            <w:r w:rsidR="000A7852">
              <w:rPr>
                <w:b/>
                <w:bCs/>
                <w:i/>
                <w:iCs/>
                <w:snapToGrid w:val="0"/>
                <w:color w:val="FF0000"/>
              </w:rPr>
              <w:t>6</w:t>
            </w:r>
            <w:r w:rsidR="009610FB" w:rsidRPr="009610FB">
              <w:rPr>
                <w:b/>
                <w:bCs/>
                <w:i/>
                <w:iCs/>
                <w:snapToGrid w:val="0"/>
                <w:color w:val="FF0000"/>
              </w:rPr>
              <w:t>.</w:t>
            </w:r>
          </w:p>
        </w:tc>
        <w:tc>
          <w:tcPr>
            <w:tcW w:w="4112" w:type="dxa"/>
            <w:shd w:val="clear" w:color="auto" w:fill="BFBFBF" w:themeFill="background1" w:themeFillShade="BF"/>
            <w:vAlign w:val="center"/>
          </w:tcPr>
          <w:p w14:paraId="6DF3ECEB" w14:textId="37B4FEE4" w:rsidR="00F55291" w:rsidRPr="009A5185" w:rsidRDefault="00120B33" w:rsidP="00913769">
            <w:pPr>
              <w:shd w:val="clear" w:color="auto" w:fill="C0C0C0"/>
              <w:jc w:val="center"/>
              <w:rPr>
                <w:rFonts w:cs="Arial"/>
                <w:i/>
                <w:snapToGrid w:val="0"/>
              </w:rPr>
            </w:pPr>
            <w:r w:rsidRPr="009A5185">
              <w:rPr>
                <w:rFonts w:cs="Arial"/>
                <w:i/>
                <w:snapToGrid w:val="0"/>
              </w:rPr>
              <w:t>No response</w:t>
            </w:r>
            <w:r w:rsidR="00725220" w:rsidRPr="009A5185">
              <w:rPr>
                <w:rFonts w:cs="Arial"/>
                <w:i/>
                <w:snapToGrid w:val="0"/>
              </w:rPr>
              <w:t xml:space="preserve"> required</w:t>
            </w:r>
            <w:r w:rsidRPr="009A5185">
              <w:rPr>
                <w:rFonts w:cs="Arial"/>
                <w:i/>
                <w:snapToGrid w:val="0"/>
              </w:rPr>
              <w:t xml:space="preserve"> here.</w:t>
            </w:r>
            <w:r w:rsidR="009610FB">
              <w:rPr>
                <w:rFonts w:cs="Arial"/>
                <w:i/>
                <w:snapToGrid w:val="0"/>
              </w:rPr>
              <w:t xml:space="preserve"> Determined automatically based on</w:t>
            </w:r>
            <w:r w:rsidR="009610FB" w:rsidRPr="009610FB">
              <w:rPr>
                <w:rFonts w:cs="Arial"/>
                <w:b/>
                <w:bCs/>
                <w:i/>
                <w:snapToGrid w:val="0"/>
              </w:rPr>
              <w:t xml:space="preserve"> separately completin</w:t>
            </w:r>
            <w:r w:rsidR="009610FB" w:rsidRPr="00CD47B7">
              <w:rPr>
                <w:rFonts w:cs="Arial"/>
                <w:b/>
                <w:bCs/>
                <w:i/>
                <w:snapToGrid w:val="0"/>
              </w:rPr>
              <w:t>g</w:t>
            </w:r>
            <w:r w:rsidR="009610FB">
              <w:rPr>
                <w:rFonts w:cs="Arial"/>
                <w:i/>
                <w:snapToGrid w:val="0"/>
              </w:rPr>
              <w:t xml:space="preserve"> a test using the Leapfrog CPOE Evaluation Tool.</w:t>
            </w:r>
          </w:p>
        </w:tc>
      </w:tr>
      <w:bookmarkEnd w:id="166"/>
    </w:tbl>
    <w:p w14:paraId="6BEAA026" w14:textId="77777777" w:rsidR="00D32024" w:rsidRDefault="00D32024">
      <w:pPr>
        <w:rPr>
          <w:b/>
          <w:snapToGrid w:val="0"/>
          <w:sz w:val="28"/>
          <w:szCs w:val="24"/>
          <w:u w:val="single"/>
          <w:lang w:eastAsia="ja-JP"/>
        </w:rPr>
      </w:pPr>
      <w:r>
        <w:br w:type="page"/>
      </w:r>
    </w:p>
    <w:p w14:paraId="783AB9B1" w14:textId="3F2790CB" w:rsidR="00B51D80" w:rsidRDefault="00C7333E" w:rsidP="00CF5A6E">
      <w:pPr>
        <w:pStyle w:val="Heading2"/>
      </w:pPr>
      <w:bookmarkStart w:id="167" w:name="_Toc225877690"/>
      <w:r w:rsidRPr="00BA293B">
        <w:lastRenderedPageBreak/>
        <w:t>2B: EHR Application Information</w:t>
      </w:r>
      <w:bookmarkEnd w:id="167"/>
    </w:p>
    <w:p w14:paraId="04937FBB" w14:textId="77777777" w:rsidR="00C7333E" w:rsidRPr="00C8246A" w:rsidRDefault="00C7333E" w:rsidP="00B51D80">
      <w:pPr>
        <w:rPr>
          <w:rFonts w:cs="Arial"/>
          <w:b/>
          <w:snapToGrid w:val="0"/>
          <w:color w:val="FF0000"/>
          <w:sz w:val="16"/>
          <w:szCs w:val="16"/>
        </w:rPr>
      </w:pPr>
    </w:p>
    <w:p w14:paraId="5928FA68" w14:textId="43B4902E" w:rsidR="00B51D80" w:rsidRDefault="00B05B4B" w:rsidP="00B51D80">
      <w:pPr>
        <w:rPr>
          <w:rFonts w:cs="Arial"/>
          <w:b/>
          <w:bCs/>
          <w:snapToGrid w:val="0"/>
          <w:color w:val="FF0000"/>
        </w:rPr>
      </w:pPr>
      <w:r w:rsidRPr="00B05B4B">
        <w:rPr>
          <w:rFonts w:cs="Arial"/>
          <w:b/>
          <w:bCs/>
          <w:snapToGrid w:val="0"/>
          <w:color w:val="FF0000"/>
        </w:rPr>
        <w:t xml:space="preserve">This section is not applicable to </w:t>
      </w:r>
      <w:r w:rsidR="003B5EC9">
        <w:rPr>
          <w:rFonts w:cs="Arial"/>
          <w:b/>
          <w:bCs/>
          <w:snapToGrid w:val="0"/>
          <w:color w:val="FF0000"/>
        </w:rPr>
        <w:t>p</w:t>
      </w:r>
      <w:r w:rsidRPr="00B05B4B">
        <w:rPr>
          <w:rFonts w:cs="Arial"/>
          <w:b/>
          <w:bCs/>
          <w:snapToGrid w:val="0"/>
          <w:color w:val="FF0000"/>
        </w:rPr>
        <w:t xml:space="preserve">ediatric hospitals. </w:t>
      </w:r>
    </w:p>
    <w:p w14:paraId="010C14C6" w14:textId="3F7410EB" w:rsidR="00EC2FB5" w:rsidRPr="00C8246A" w:rsidRDefault="00EC2FB5" w:rsidP="00B51D80">
      <w:pPr>
        <w:rPr>
          <w:rFonts w:cs="Arial"/>
          <w:b/>
          <w:bCs/>
          <w:snapToGrid w:val="0"/>
          <w:color w:val="FF0000"/>
          <w:sz w:val="16"/>
          <w:szCs w:val="16"/>
        </w:rPr>
      </w:pPr>
    </w:p>
    <w:p w14:paraId="62B9DDE9" w14:textId="02852390" w:rsidR="00EC2FB5" w:rsidRPr="008E75BF" w:rsidRDefault="00EC2FB5" w:rsidP="00B51D80">
      <w:pPr>
        <w:rPr>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69" w:history="1">
        <w:r w:rsidRPr="009A5185">
          <w:rPr>
            <w:rStyle w:val="Hyperlink"/>
            <w:rFonts w:cs="Arial"/>
            <w:snapToGrid w:val="0"/>
          </w:rPr>
          <w:t>Leapfrog’s Multi-Campus Reporting Policy</w:t>
        </w:r>
      </w:hyperlink>
      <w:r w:rsidRPr="009A5185">
        <w:rPr>
          <w:rFonts w:cs="Arial"/>
          <w:snapToGrid w:val="0"/>
        </w:rPr>
        <w:t>.</w:t>
      </w:r>
    </w:p>
    <w:p w14:paraId="51C66724" w14:textId="3E483B11" w:rsidR="00B51D80" w:rsidRPr="00C8246A" w:rsidRDefault="00B51D80" w:rsidP="00B51D80">
      <w:pPr>
        <w:rPr>
          <w:rFonts w:cs="Arial"/>
          <w:snapToGrid w:val="0"/>
          <w:sz w:val="16"/>
          <w:szCs w:val="16"/>
        </w:rPr>
      </w:pPr>
    </w:p>
    <w:p w14:paraId="740ED4B6" w14:textId="2C366225" w:rsidR="00B51D80" w:rsidRPr="00755AC2" w:rsidRDefault="00E7532A" w:rsidP="00B51D80">
      <w:pPr>
        <w:rPr>
          <w:b/>
          <w:i/>
        </w:rPr>
      </w:pPr>
      <w:r w:rsidRPr="00D145C4">
        <w:rPr>
          <w:rFonts w:cs="Arial"/>
          <w:b/>
          <w:bCs/>
          <w:snapToGrid w:val="0"/>
          <w:color w:val="FF0000"/>
        </w:rPr>
        <w:t>Important Note:</w:t>
      </w:r>
      <w:r w:rsidRPr="00D145C4">
        <w:rPr>
          <w:rFonts w:cs="Arial"/>
          <w:snapToGrid w:val="0"/>
          <w:color w:val="FF0000"/>
        </w:rPr>
        <w:t xml:space="preserve"> </w:t>
      </w:r>
      <w:r w:rsidR="00F0772B">
        <w:rPr>
          <w:rFonts w:cs="Arial"/>
          <w:snapToGrid w:val="0"/>
        </w:rPr>
        <w:t>This subsection</w:t>
      </w:r>
      <w:r w:rsidR="00B51D80">
        <w:rPr>
          <w:rFonts w:cs="Arial"/>
          <w:snapToGrid w:val="0"/>
        </w:rPr>
        <w:t xml:space="preserve"> will not be scored or publicly reported.</w:t>
      </w:r>
      <w:r w:rsidR="00870E09">
        <w:rPr>
          <w:rFonts w:cs="Arial"/>
          <w:snapToGrid w:val="0"/>
        </w:rPr>
        <w:t xml:space="preserve"> The information collected in this subsection is used by the CPOE Evaluation Tool developers </w:t>
      </w:r>
      <w:r w:rsidR="00D75C0F">
        <w:rPr>
          <w:rFonts w:cs="Arial"/>
          <w:snapToGrid w:val="0"/>
        </w:rPr>
        <w:t>for</w:t>
      </w:r>
      <w:r w:rsidR="00870E09">
        <w:rPr>
          <w:rFonts w:cs="Arial"/>
          <w:snapToGrid w:val="0"/>
        </w:rPr>
        <w:t xml:space="preserve"> research and CPOE Evaluation Tool </w:t>
      </w:r>
      <w:r w:rsidR="00D75C0F">
        <w:rPr>
          <w:rFonts w:cs="Arial"/>
          <w:snapToGrid w:val="0"/>
        </w:rPr>
        <w:t>improvements</w:t>
      </w:r>
      <w:r w:rsidR="00870E09">
        <w:rPr>
          <w:rFonts w:cs="Arial"/>
          <w:snapToGrid w:val="0"/>
        </w:rPr>
        <w:t>.</w:t>
      </w:r>
    </w:p>
    <w:p w14:paraId="6274B6EE" w14:textId="77777777" w:rsidR="000B244F" w:rsidRPr="00C8246A" w:rsidRDefault="000B244F" w:rsidP="000B244F">
      <w:pPr>
        <w:rPr>
          <w:rFonts w:cs="Arial"/>
          <w:b/>
          <w:snapToGrid w:val="0"/>
          <w:color w:val="000000"/>
          <w:sz w:val="16"/>
          <w:szCs w:val="16"/>
        </w:rPr>
      </w:pPr>
    </w:p>
    <w:p w14:paraId="329AA6CC" w14:textId="77777777" w:rsidR="000B244F" w:rsidRDefault="000B244F" w:rsidP="000B244F">
      <w:pPr>
        <w:rPr>
          <w:rFonts w:cs="Arial"/>
          <w:b/>
          <w:snapToGrid w:val="0"/>
          <w:color w:val="000000"/>
        </w:rPr>
      </w:pPr>
      <w:r>
        <w:rPr>
          <w:noProof/>
        </w:rPr>
        <mc:AlternateContent>
          <mc:Choice Requires="wps">
            <w:drawing>
              <wp:inline distT="0" distB="0" distL="0" distR="0" wp14:anchorId="5941667C" wp14:editId="0FF74974">
                <wp:extent cx="5924550" cy="971550"/>
                <wp:effectExtent l="0" t="0" r="19050" b="19050"/>
                <wp:docPr id="12" name="Text Box 12" descr="P1883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71550"/>
                        </a:xfrm>
                        <a:prstGeom prst="rect">
                          <a:avLst/>
                        </a:prstGeom>
                        <a:solidFill>
                          <a:srgbClr val="FFFFFF"/>
                        </a:solidFill>
                        <a:ln w="9525">
                          <a:solidFill>
                            <a:srgbClr val="FF0000"/>
                          </a:solidFill>
                          <a:miter lim="800000"/>
                          <a:headEnd/>
                          <a:tailEnd/>
                        </a:ln>
                      </wps:spPr>
                      <wps:txbx>
                        <w:txbxContent>
                          <w:p w14:paraId="7FBDEA8A" w14:textId="19EBFD02" w:rsidR="000B244F" w:rsidRPr="009C4F85" w:rsidRDefault="000B244F" w:rsidP="000B244F">
                            <w:pPr>
                              <w:rPr>
                                <w:b/>
                              </w:rPr>
                            </w:pPr>
                            <w:r w:rsidRPr="00DF6A41">
                              <w:rPr>
                                <w:b/>
                              </w:rPr>
                              <w:t>Reporting Period</w:t>
                            </w:r>
                            <w:r>
                              <w:rPr>
                                <w:b/>
                              </w:rPr>
                              <w:t xml:space="preserve">: </w:t>
                            </w:r>
                            <w:r>
                              <w:t>Answer questions #1-</w:t>
                            </w:r>
                            <w:r w:rsidR="00EC2FB5">
                              <w:t>6</w:t>
                            </w:r>
                            <w:r>
                              <w:t xml:space="preserve"> based on the</w:t>
                            </w:r>
                            <w:r w:rsidR="00153301">
                              <w:t xml:space="preserve"> EHR application </w:t>
                            </w:r>
                            <w:r>
                              <w:t>currently in place at the time you submit this section of the Survey.</w:t>
                            </w:r>
                          </w:p>
                          <w:p w14:paraId="33DBB4A5" w14:textId="77777777" w:rsidR="000B244F" w:rsidRPr="00C8246A" w:rsidRDefault="000B244F" w:rsidP="000B244F">
                            <w:pPr>
                              <w:rPr>
                                <w:sz w:val="16"/>
                                <w:szCs w:val="16"/>
                              </w:rPr>
                            </w:pPr>
                          </w:p>
                          <w:p w14:paraId="0EADED98" w14:textId="53BE9637" w:rsidR="000B244F" w:rsidRPr="00D20A90" w:rsidRDefault="000B244F" w:rsidP="000B244F">
                            <w:pPr>
                              <w:rPr>
                                <w:b/>
                              </w:rPr>
                            </w:pPr>
                            <w:r w:rsidRPr="006547C0">
                              <w:rPr>
                                <w:rFonts w:cs="Arial"/>
                                <w:sz w:val="16"/>
                                <w:szCs w:val="16"/>
                              </w:rPr>
                              <w:t xml:space="preserve">Note: As a reminder, the </w:t>
                            </w:r>
                            <w:hyperlink r:id="rId170"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00AE38C7">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5941667C" id="Text Box 12" o:spid="_x0000_s1034" type="#_x0000_t202" alt="P1883TB7#y1" style="width:466.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" strokecolor="red">
                <v:textbox>
                  <w:txbxContent>
                    <w:p w14:paraId="7FBDEA8A" w14:textId="19EBFD02" w:rsidR="000B244F" w:rsidRPr="009C4F85" w:rsidRDefault="000B244F" w:rsidP="000B244F">
                      <w:pPr>
                        <w:rPr>
                          <w:b/>
                        </w:rPr>
                      </w:pPr>
                      <w:r w:rsidRPr="00DF6A41">
                        <w:rPr>
                          <w:b/>
                        </w:rPr>
                        <w:t>Reporting Period</w:t>
                      </w:r>
                      <w:r>
                        <w:rPr>
                          <w:b/>
                        </w:rPr>
                        <w:t xml:space="preserve">: </w:t>
                      </w:r>
                      <w:r>
                        <w:t>Answer questions #1-</w:t>
                      </w:r>
                      <w:r w:rsidR="00EC2FB5">
                        <w:t>6</w:t>
                      </w:r>
                      <w:r>
                        <w:t xml:space="preserve"> based on the</w:t>
                      </w:r>
                      <w:r w:rsidR="00153301">
                        <w:t xml:space="preserve"> EHR application </w:t>
                      </w:r>
                      <w:r>
                        <w:t>currently in place at the time you submit this section of the Survey.</w:t>
                      </w:r>
                    </w:p>
                    <w:p w14:paraId="33DBB4A5" w14:textId="77777777" w:rsidR="000B244F" w:rsidRPr="00C8246A" w:rsidRDefault="000B244F" w:rsidP="000B244F">
                      <w:pPr>
                        <w:rPr>
                          <w:sz w:val="16"/>
                          <w:szCs w:val="16"/>
                        </w:rPr>
                      </w:pPr>
                    </w:p>
                    <w:p w14:paraId="0EADED98" w14:textId="53BE9637" w:rsidR="000B244F" w:rsidRPr="00D20A90" w:rsidRDefault="000B244F" w:rsidP="000B244F">
                      <w:pPr>
                        <w:rPr>
                          <w:b/>
                        </w:rPr>
                      </w:pPr>
                      <w:r w:rsidRPr="006547C0">
                        <w:rPr>
                          <w:rFonts w:cs="Arial"/>
                          <w:sz w:val="16"/>
                          <w:szCs w:val="16"/>
                        </w:rPr>
                        <w:t xml:space="preserve">Note: As a reminder, the </w:t>
                      </w:r>
                      <w:hyperlink r:id="rId171"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00AE38C7">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49585B58" w14:textId="77777777" w:rsidR="000B244F" w:rsidRPr="00C8246A" w:rsidRDefault="000B244F" w:rsidP="000B244F">
      <w:pPr>
        <w:rPr>
          <w:rFonts w:cs="Arial"/>
          <w:b/>
          <w:snapToGrid w:val="0"/>
          <w:color w:val="000000"/>
          <w:sz w:val="16"/>
          <w:szCs w:val="16"/>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5"/>
        <w:gridCol w:w="4230"/>
      </w:tblGrid>
      <w:tr w:rsidR="000B244F" w:rsidRPr="0072326C" w14:paraId="782CEDA0" w14:textId="77777777" w:rsidTr="00CF4879">
        <w:trPr>
          <w:trHeight w:val="1440"/>
        </w:trPr>
        <w:tc>
          <w:tcPr>
            <w:tcW w:w="5305" w:type="dxa"/>
            <w:vAlign w:val="center"/>
          </w:tcPr>
          <w:p w14:paraId="5DB52492" w14:textId="385B277F" w:rsidR="000B244F" w:rsidRPr="00AF440B" w:rsidRDefault="000B244F" w:rsidP="00AD309C">
            <w:pPr>
              <w:pStyle w:val="ListParagraph"/>
              <w:numPr>
                <w:ilvl w:val="0"/>
                <w:numId w:val="161"/>
              </w:numPr>
              <w:rPr>
                <w:rFonts w:cs="Arial"/>
                <w:snapToGrid w:val="0"/>
              </w:rPr>
            </w:pPr>
            <w:r w:rsidRPr="00AF440B">
              <w:rPr>
                <w:rFonts w:ascii="Helvetica" w:hAnsi="Helvetica" w:cs="Helvetica"/>
                <w:shd w:val="clear" w:color="auto" w:fill="FFFFFF"/>
              </w:rPr>
              <w:t>Which EHR source is your hospital currently using?</w:t>
            </w:r>
          </w:p>
          <w:p w14:paraId="0948DA92" w14:textId="77777777" w:rsidR="000B244F" w:rsidRPr="00AF440B" w:rsidRDefault="000B244F" w:rsidP="00392474">
            <w:pPr>
              <w:pStyle w:val="ListParagraph"/>
              <w:rPr>
                <w:rFonts w:ascii="Helvetica" w:hAnsi="Helvetica" w:cs="Helvetica"/>
                <w:shd w:val="clear" w:color="auto" w:fill="FFFFFF"/>
              </w:rPr>
            </w:pPr>
          </w:p>
          <w:p w14:paraId="4AF5CB3C" w14:textId="2998386A" w:rsidR="000B244F" w:rsidRPr="0072326C" w:rsidRDefault="000B244F" w:rsidP="009C1160">
            <w:pPr>
              <w:pStyle w:val="ListParagraph"/>
              <w:ind w:left="360"/>
              <w:rPr>
                <w:rFonts w:cs="Arial"/>
                <w:b/>
                <w:i/>
                <w:iCs/>
                <w:snapToGrid w:val="0"/>
              </w:rPr>
            </w:pPr>
            <w:r w:rsidRPr="00AF440B">
              <w:rPr>
                <w:i/>
                <w:iCs/>
              </w:rPr>
              <w:t>If your hospital purchased a third-party vendor system and substantially altered it on implementation, select “Homegrown App</w:t>
            </w:r>
            <w:r w:rsidR="00346F4C">
              <w:rPr>
                <w:i/>
                <w:iCs/>
              </w:rPr>
              <w:t>,</w:t>
            </w:r>
            <w:r w:rsidRPr="00AF440B">
              <w:rPr>
                <w:i/>
                <w:iCs/>
              </w:rPr>
              <w:t xml:space="preserve">” </w:t>
            </w:r>
            <w:r w:rsidRPr="00AF440B">
              <w:rPr>
                <w:rFonts w:ascii="Helvetica" w:hAnsi="Helvetica" w:cs="Helvetica"/>
                <w:i/>
                <w:iCs/>
                <w:shd w:val="clear" w:color="auto" w:fill="FFFFFF"/>
              </w:rPr>
              <w:t>skip questions #</w:t>
            </w:r>
            <w:r w:rsidR="002208A5">
              <w:rPr>
                <w:rFonts w:ascii="Helvetica" w:hAnsi="Helvetica" w:cs="Helvetica"/>
                <w:i/>
                <w:iCs/>
                <w:shd w:val="clear" w:color="auto" w:fill="FFFFFF"/>
              </w:rPr>
              <w:t>2</w:t>
            </w:r>
            <w:r w:rsidR="00CD47B7">
              <w:rPr>
                <w:rFonts w:ascii="Helvetica" w:hAnsi="Helvetica" w:cs="Helvetica"/>
                <w:i/>
                <w:iCs/>
                <w:shd w:val="clear" w:color="auto" w:fill="FFFFFF"/>
              </w:rPr>
              <w:t>-</w:t>
            </w:r>
            <w:r w:rsidR="002208A5">
              <w:rPr>
                <w:rFonts w:ascii="Helvetica" w:hAnsi="Helvetica" w:cs="Helvetica"/>
                <w:i/>
                <w:iCs/>
                <w:shd w:val="clear" w:color="auto" w:fill="FFFFFF"/>
              </w:rPr>
              <w:t>4</w:t>
            </w:r>
            <w:r w:rsidRPr="00AF440B">
              <w:rPr>
                <w:rFonts w:ascii="Helvetica" w:hAnsi="Helvetica" w:cs="Helvetica"/>
                <w:i/>
                <w:iCs/>
                <w:shd w:val="clear" w:color="auto" w:fill="FFFFFF"/>
              </w:rPr>
              <w:t>, and continue to question #</w:t>
            </w:r>
            <w:r w:rsidR="002208A5">
              <w:rPr>
                <w:rFonts w:ascii="Helvetica" w:hAnsi="Helvetica" w:cs="Helvetica"/>
                <w:i/>
                <w:iCs/>
                <w:shd w:val="clear" w:color="auto" w:fill="FFFFFF"/>
              </w:rPr>
              <w:t>5</w:t>
            </w:r>
            <w:r w:rsidRPr="00AF440B">
              <w:rPr>
                <w:rFonts w:ascii="Helvetica" w:hAnsi="Helvetica" w:cs="Helvetica"/>
                <w:i/>
                <w:iCs/>
                <w:shd w:val="clear" w:color="auto" w:fill="FFFFFF"/>
              </w:rPr>
              <w:t>.</w:t>
            </w:r>
          </w:p>
        </w:tc>
        <w:tc>
          <w:tcPr>
            <w:tcW w:w="4230" w:type="dxa"/>
            <w:vAlign w:val="center"/>
          </w:tcPr>
          <w:p w14:paraId="3D034026" w14:textId="77777777" w:rsidR="00916EC1" w:rsidRPr="00CF4879" w:rsidRDefault="000B244F" w:rsidP="00AD309C">
            <w:pPr>
              <w:pStyle w:val="ListParagraph"/>
              <w:numPr>
                <w:ilvl w:val="0"/>
                <w:numId w:val="338"/>
              </w:numPr>
              <w:rPr>
                <w:rFonts w:cs="Arial"/>
                <w:iCs/>
                <w:snapToGrid w:val="0"/>
                <w:sz w:val="16"/>
                <w:szCs w:val="16"/>
              </w:rPr>
            </w:pPr>
            <w:r w:rsidRPr="00CF4879">
              <w:rPr>
                <w:rFonts w:cs="Arial"/>
                <w:iCs/>
                <w:snapToGrid w:val="0"/>
              </w:rPr>
              <w:t xml:space="preserve">Vendor Application </w:t>
            </w:r>
          </w:p>
          <w:p w14:paraId="52829F7A" w14:textId="41BEDB37" w:rsidR="000B244F" w:rsidRPr="00C8246A" w:rsidRDefault="000B244F" w:rsidP="00AD309C">
            <w:pPr>
              <w:pStyle w:val="ListParagraph"/>
              <w:numPr>
                <w:ilvl w:val="0"/>
                <w:numId w:val="338"/>
              </w:numPr>
              <w:rPr>
                <w:rFonts w:cs="Arial"/>
                <w:iCs/>
                <w:snapToGrid w:val="0"/>
                <w:sz w:val="16"/>
                <w:szCs w:val="16"/>
              </w:rPr>
            </w:pPr>
            <w:r w:rsidRPr="00CF4879">
              <w:rPr>
                <w:rFonts w:cs="Arial"/>
                <w:iCs/>
                <w:snapToGrid w:val="0"/>
              </w:rPr>
              <w:t>Homegrown Application</w:t>
            </w:r>
          </w:p>
        </w:tc>
      </w:tr>
      <w:tr w:rsidR="000B244F" w:rsidRPr="0072326C" w14:paraId="053F01D3" w14:textId="77777777" w:rsidTr="00CF4879">
        <w:trPr>
          <w:trHeight w:val="2880"/>
        </w:trPr>
        <w:tc>
          <w:tcPr>
            <w:tcW w:w="5305" w:type="dxa"/>
            <w:vAlign w:val="center"/>
          </w:tcPr>
          <w:p w14:paraId="6EA4F8F3" w14:textId="77777777" w:rsidR="000B244F" w:rsidRPr="00F24D8B" w:rsidRDefault="000B244F" w:rsidP="00AD309C">
            <w:pPr>
              <w:pStyle w:val="ListParagraph"/>
              <w:numPr>
                <w:ilvl w:val="0"/>
                <w:numId w:val="161"/>
              </w:numPr>
              <w:rPr>
                <w:rFonts w:ascii="Helvetica" w:hAnsi="Helvetica" w:cs="Helvetica"/>
                <w:shd w:val="clear" w:color="auto" w:fill="FFFFFF"/>
              </w:rPr>
            </w:pPr>
            <w:r>
              <w:rPr>
                <w:rFonts w:ascii="Helvetica" w:hAnsi="Helvetica" w:cs="Helvetica"/>
                <w:shd w:val="clear" w:color="auto" w:fill="FFFFFF"/>
              </w:rPr>
              <w:t>Which EHR vendor is your hospital currently using?</w:t>
            </w:r>
          </w:p>
        </w:tc>
        <w:tc>
          <w:tcPr>
            <w:tcW w:w="4230" w:type="dxa"/>
            <w:vAlign w:val="center"/>
          </w:tcPr>
          <w:p w14:paraId="3C3D8C4C" w14:textId="77777777" w:rsidR="008263FB" w:rsidRDefault="008263FB" w:rsidP="00AD309C">
            <w:pPr>
              <w:pStyle w:val="ListParagraph"/>
              <w:numPr>
                <w:ilvl w:val="0"/>
                <w:numId w:val="338"/>
              </w:numPr>
              <w:rPr>
                <w:rFonts w:cs="Arial"/>
                <w:iCs/>
                <w:snapToGrid w:val="0"/>
              </w:rPr>
            </w:pPr>
            <w:r>
              <w:rPr>
                <w:rFonts w:cs="Arial"/>
                <w:iCs/>
                <w:snapToGrid w:val="0"/>
              </w:rPr>
              <w:t>Altera/Allscripts</w:t>
            </w:r>
          </w:p>
          <w:p w14:paraId="203C0FC9" w14:textId="77777777" w:rsidR="008263FB" w:rsidRPr="00AD46BD" w:rsidRDefault="008263FB" w:rsidP="00AD309C">
            <w:pPr>
              <w:pStyle w:val="ListParagraph"/>
              <w:numPr>
                <w:ilvl w:val="0"/>
                <w:numId w:val="338"/>
              </w:numPr>
              <w:rPr>
                <w:rFonts w:cs="Arial"/>
                <w:iCs/>
                <w:snapToGrid w:val="0"/>
              </w:rPr>
            </w:pPr>
            <w:r>
              <w:t>Altera/Digital Health</w:t>
            </w:r>
          </w:p>
          <w:p w14:paraId="49EF7CC9" w14:textId="5DE6E2EC" w:rsidR="000B244F" w:rsidRDefault="003304A1" w:rsidP="00AD309C">
            <w:pPr>
              <w:pStyle w:val="ListParagraph"/>
              <w:numPr>
                <w:ilvl w:val="0"/>
                <w:numId w:val="338"/>
              </w:numPr>
              <w:rPr>
                <w:rFonts w:cs="Arial"/>
                <w:iCs/>
                <w:snapToGrid w:val="0"/>
              </w:rPr>
            </w:pPr>
            <w:r w:rsidRPr="00C8246A">
              <w:rPr>
                <w:rFonts w:cs="Arial"/>
                <w:iCs/>
                <w:snapToGrid w:val="0"/>
              </w:rPr>
              <w:t>Allscripts</w:t>
            </w:r>
            <w:r w:rsidR="000B244F" w:rsidRPr="00C8246A">
              <w:rPr>
                <w:rFonts w:cs="Arial"/>
                <w:iCs/>
                <w:snapToGrid w:val="0"/>
              </w:rPr>
              <w:t>/Eclipsys</w:t>
            </w:r>
          </w:p>
          <w:p w14:paraId="40CCF48F" w14:textId="0A000130" w:rsidR="008263FB" w:rsidRPr="00C8246A" w:rsidRDefault="008263FB" w:rsidP="00AD309C">
            <w:pPr>
              <w:pStyle w:val="ListParagraph"/>
              <w:numPr>
                <w:ilvl w:val="0"/>
                <w:numId w:val="338"/>
              </w:numPr>
              <w:rPr>
                <w:rFonts w:cs="Arial"/>
                <w:iCs/>
                <w:snapToGrid w:val="0"/>
              </w:rPr>
            </w:pPr>
            <w:r>
              <w:t>Altera/Paragon</w:t>
            </w:r>
          </w:p>
          <w:p w14:paraId="03930443" w14:textId="77777777" w:rsidR="000B244F" w:rsidRPr="00C8246A" w:rsidRDefault="000B244F" w:rsidP="00AD309C">
            <w:pPr>
              <w:pStyle w:val="ListParagraph"/>
              <w:numPr>
                <w:ilvl w:val="0"/>
                <w:numId w:val="338"/>
              </w:numPr>
              <w:rPr>
                <w:rFonts w:cs="Arial"/>
                <w:iCs/>
                <w:snapToGrid w:val="0"/>
              </w:rPr>
            </w:pPr>
            <w:r w:rsidRPr="00C8246A">
              <w:rPr>
                <w:rFonts w:cs="Arial"/>
                <w:iCs/>
                <w:snapToGrid w:val="0"/>
              </w:rPr>
              <w:t>CareCast</w:t>
            </w:r>
          </w:p>
          <w:p w14:paraId="3A173EA1" w14:textId="77777777" w:rsidR="000B244F" w:rsidRPr="00C8246A" w:rsidRDefault="000B244F" w:rsidP="00AD309C">
            <w:pPr>
              <w:pStyle w:val="ListParagraph"/>
              <w:numPr>
                <w:ilvl w:val="0"/>
                <w:numId w:val="338"/>
              </w:numPr>
              <w:rPr>
                <w:rFonts w:cs="Arial"/>
                <w:iCs/>
                <w:snapToGrid w:val="0"/>
              </w:rPr>
            </w:pPr>
            <w:r w:rsidRPr="00C8246A">
              <w:rPr>
                <w:rFonts w:cs="Arial"/>
                <w:iCs/>
                <w:snapToGrid w:val="0"/>
              </w:rPr>
              <w:t>Cerner</w:t>
            </w:r>
          </w:p>
          <w:p w14:paraId="28CA7A7C" w14:textId="77777777" w:rsidR="000B244F" w:rsidRPr="00C8246A" w:rsidRDefault="000B244F" w:rsidP="00AD309C">
            <w:pPr>
              <w:pStyle w:val="ListParagraph"/>
              <w:numPr>
                <w:ilvl w:val="0"/>
                <w:numId w:val="338"/>
              </w:numPr>
              <w:rPr>
                <w:rFonts w:cs="Arial"/>
                <w:iCs/>
                <w:snapToGrid w:val="0"/>
              </w:rPr>
            </w:pPr>
            <w:r w:rsidRPr="00C8246A">
              <w:rPr>
                <w:rFonts w:cs="Arial"/>
                <w:iCs/>
                <w:snapToGrid w:val="0"/>
              </w:rPr>
              <w:t>CPSI</w:t>
            </w:r>
          </w:p>
          <w:p w14:paraId="7AC9B246" w14:textId="77777777" w:rsidR="000B244F" w:rsidRPr="00C8246A" w:rsidRDefault="000B244F" w:rsidP="00AD309C">
            <w:pPr>
              <w:pStyle w:val="ListParagraph"/>
              <w:numPr>
                <w:ilvl w:val="0"/>
                <w:numId w:val="338"/>
              </w:numPr>
              <w:rPr>
                <w:rFonts w:cs="Arial"/>
                <w:iCs/>
                <w:snapToGrid w:val="0"/>
              </w:rPr>
            </w:pPr>
            <w:r w:rsidRPr="00C8246A">
              <w:rPr>
                <w:rFonts w:cs="Arial"/>
                <w:iCs/>
                <w:snapToGrid w:val="0"/>
              </w:rPr>
              <w:t>Epic</w:t>
            </w:r>
          </w:p>
          <w:p w14:paraId="0A5EED81" w14:textId="77777777" w:rsidR="000B244F" w:rsidRPr="00C8246A" w:rsidRDefault="000B244F" w:rsidP="00AD309C">
            <w:pPr>
              <w:pStyle w:val="ListParagraph"/>
              <w:numPr>
                <w:ilvl w:val="0"/>
                <w:numId w:val="338"/>
              </w:numPr>
              <w:rPr>
                <w:rFonts w:cs="Arial"/>
                <w:iCs/>
                <w:snapToGrid w:val="0"/>
              </w:rPr>
            </w:pPr>
            <w:r w:rsidRPr="00C8246A">
              <w:rPr>
                <w:rFonts w:cs="Arial"/>
                <w:iCs/>
                <w:snapToGrid w:val="0"/>
              </w:rPr>
              <w:t>MEDHOST</w:t>
            </w:r>
          </w:p>
          <w:p w14:paraId="76CA205D" w14:textId="77777777" w:rsidR="000B244F" w:rsidRPr="00C8246A" w:rsidRDefault="000B244F" w:rsidP="00AD309C">
            <w:pPr>
              <w:pStyle w:val="ListParagraph"/>
              <w:numPr>
                <w:ilvl w:val="0"/>
                <w:numId w:val="338"/>
              </w:numPr>
              <w:rPr>
                <w:rFonts w:cs="Arial"/>
                <w:iCs/>
                <w:snapToGrid w:val="0"/>
              </w:rPr>
            </w:pPr>
            <w:r w:rsidRPr="00C8246A">
              <w:rPr>
                <w:rFonts w:cs="Arial"/>
                <w:iCs/>
                <w:snapToGrid w:val="0"/>
              </w:rPr>
              <w:t>MEDITECH</w:t>
            </w:r>
          </w:p>
          <w:p w14:paraId="434879F5" w14:textId="77777777" w:rsidR="000B244F" w:rsidRPr="00C8246A" w:rsidRDefault="000B244F" w:rsidP="00AD309C">
            <w:pPr>
              <w:pStyle w:val="ListParagraph"/>
              <w:numPr>
                <w:ilvl w:val="0"/>
                <w:numId w:val="338"/>
              </w:numPr>
              <w:rPr>
                <w:rFonts w:cs="Arial"/>
                <w:iCs/>
                <w:snapToGrid w:val="0"/>
              </w:rPr>
            </w:pPr>
            <w:r w:rsidRPr="00C8246A">
              <w:rPr>
                <w:rFonts w:cs="Arial"/>
                <w:iCs/>
                <w:snapToGrid w:val="0"/>
              </w:rPr>
              <w:t>Quadramed</w:t>
            </w:r>
          </w:p>
          <w:p w14:paraId="7603A788" w14:textId="27068A13" w:rsidR="000B244F" w:rsidRPr="00C8246A" w:rsidRDefault="000B244F" w:rsidP="00AD309C">
            <w:pPr>
              <w:pStyle w:val="ListParagraph"/>
              <w:numPr>
                <w:ilvl w:val="0"/>
                <w:numId w:val="338"/>
              </w:numPr>
              <w:rPr>
                <w:rFonts w:cs="Arial"/>
                <w:iCs/>
                <w:snapToGrid w:val="0"/>
              </w:rPr>
            </w:pPr>
            <w:r w:rsidRPr="00C8246A">
              <w:rPr>
                <w:rFonts w:cs="Arial"/>
                <w:iCs/>
                <w:snapToGrid w:val="0"/>
              </w:rPr>
              <w:t>Other (please specify):</w:t>
            </w:r>
            <w:r w:rsidR="0073561A" w:rsidRPr="00C8246A">
              <w:rPr>
                <w:rFonts w:cs="Arial"/>
                <w:iCs/>
                <w:snapToGrid w:val="0"/>
              </w:rPr>
              <w:t xml:space="preserve"> _____</w:t>
            </w:r>
          </w:p>
        </w:tc>
      </w:tr>
      <w:tr w:rsidR="000A7D76" w:rsidRPr="0072326C" w14:paraId="414979E8" w14:textId="77777777" w:rsidTr="00CF4879">
        <w:trPr>
          <w:trHeight w:val="432"/>
        </w:trPr>
        <w:tc>
          <w:tcPr>
            <w:tcW w:w="5305" w:type="dxa"/>
            <w:vAlign w:val="center"/>
          </w:tcPr>
          <w:p w14:paraId="5D35A10A" w14:textId="77777777" w:rsidR="000A7D76" w:rsidRPr="00F24D8B" w:rsidRDefault="000A7D76" w:rsidP="00AD309C">
            <w:pPr>
              <w:pStyle w:val="ListParagraph"/>
              <w:numPr>
                <w:ilvl w:val="0"/>
                <w:numId w:val="161"/>
              </w:numPr>
              <w:rPr>
                <w:rFonts w:ascii="Helvetica" w:hAnsi="Helvetica" w:cs="Helvetica"/>
                <w:shd w:val="clear" w:color="auto" w:fill="FFFFFF"/>
              </w:rPr>
            </w:pPr>
            <w:r>
              <w:rPr>
                <w:rFonts w:ascii="Helvetica" w:hAnsi="Helvetica" w:cs="Helvetica"/>
                <w:shd w:val="clear" w:color="auto" w:fill="FFFFFF"/>
              </w:rPr>
              <w:t>What EHR version is your hospital currently using?</w:t>
            </w:r>
          </w:p>
        </w:tc>
        <w:tc>
          <w:tcPr>
            <w:tcW w:w="4230" w:type="dxa"/>
            <w:vAlign w:val="center"/>
          </w:tcPr>
          <w:p w14:paraId="01234638" w14:textId="56599B48" w:rsidR="000A7D76" w:rsidRPr="0072326C" w:rsidRDefault="000A7D76" w:rsidP="006E26E4">
            <w:pPr>
              <w:jc w:val="center"/>
              <w:rPr>
                <w:rFonts w:cs="Arial"/>
                <w:i/>
                <w:snapToGrid w:val="0"/>
              </w:rPr>
            </w:pPr>
            <w:r w:rsidRPr="00E64378">
              <w:rPr>
                <w:rFonts w:cs="Arial"/>
                <w:i/>
                <w:snapToGrid w:val="0"/>
              </w:rPr>
              <w:t>_____</w:t>
            </w:r>
          </w:p>
        </w:tc>
      </w:tr>
      <w:tr w:rsidR="000A7D76" w:rsidRPr="0072326C" w14:paraId="2B1318A7" w14:textId="77777777" w:rsidTr="00CF4879">
        <w:trPr>
          <w:trHeight w:val="576"/>
        </w:trPr>
        <w:tc>
          <w:tcPr>
            <w:tcW w:w="5305" w:type="dxa"/>
            <w:vAlign w:val="center"/>
          </w:tcPr>
          <w:p w14:paraId="3AD68F87" w14:textId="062FF9C2" w:rsidR="000A7D76" w:rsidRPr="00F24D8B" w:rsidRDefault="000A7D76" w:rsidP="00AD309C">
            <w:pPr>
              <w:pStyle w:val="ListParagraph"/>
              <w:numPr>
                <w:ilvl w:val="0"/>
                <w:numId w:val="161"/>
              </w:numPr>
              <w:rPr>
                <w:rFonts w:ascii="Helvetica" w:hAnsi="Helvetica" w:cs="Helvetica"/>
                <w:shd w:val="clear" w:color="auto" w:fill="FFFFFF"/>
              </w:rPr>
            </w:pPr>
            <w:r>
              <w:rPr>
                <w:rFonts w:ascii="Helvetica" w:hAnsi="Helvetica" w:cs="Helvetica"/>
                <w:shd w:val="clear" w:color="auto" w:fill="FFFFFF"/>
              </w:rPr>
              <w:t>What is the name of the EHR product that your hospital is currently using?</w:t>
            </w:r>
          </w:p>
        </w:tc>
        <w:tc>
          <w:tcPr>
            <w:tcW w:w="4230" w:type="dxa"/>
            <w:vAlign w:val="center"/>
          </w:tcPr>
          <w:p w14:paraId="14877152" w14:textId="5C803F1E" w:rsidR="000A7D76" w:rsidRPr="0072326C" w:rsidRDefault="000A7D76" w:rsidP="006E26E4">
            <w:pPr>
              <w:jc w:val="center"/>
              <w:rPr>
                <w:rFonts w:cs="Arial"/>
                <w:i/>
                <w:snapToGrid w:val="0"/>
              </w:rPr>
            </w:pPr>
            <w:r w:rsidRPr="00E64378">
              <w:rPr>
                <w:rFonts w:cs="Arial"/>
                <w:i/>
                <w:snapToGrid w:val="0"/>
              </w:rPr>
              <w:t>_____</w:t>
            </w:r>
          </w:p>
        </w:tc>
      </w:tr>
      <w:tr w:rsidR="008D6E32" w:rsidRPr="0072326C" w14:paraId="284E3970" w14:textId="77777777" w:rsidTr="00CF4879">
        <w:trPr>
          <w:trHeight w:val="1008"/>
        </w:trPr>
        <w:tc>
          <w:tcPr>
            <w:tcW w:w="5305" w:type="dxa"/>
            <w:vAlign w:val="center"/>
          </w:tcPr>
          <w:p w14:paraId="08DB490C" w14:textId="77777777" w:rsidR="008D6E32" w:rsidRPr="00F24D8B" w:rsidRDefault="008D6E32" w:rsidP="00AD309C">
            <w:pPr>
              <w:pStyle w:val="ListParagraph"/>
              <w:numPr>
                <w:ilvl w:val="0"/>
                <w:numId w:val="161"/>
              </w:numPr>
              <w:rPr>
                <w:rFonts w:ascii="Helvetica" w:hAnsi="Helvetica" w:cs="Helvetica"/>
                <w:shd w:val="clear" w:color="auto" w:fill="FFFFFF"/>
              </w:rPr>
            </w:pPr>
            <w:r>
              <w:rPr>
                <w:rFonts w:ascii="Helvetica" w:hAnsi="Helvetica" w:cs="Helvetica"/>
                <w:shd w:val="clear" w:color="auto" w:fill="FFFFFF"/>
              </w:rPr>
              <w:t>When was the EHR initially installed at the hospital?</w:t>
            </w:r>
          </w:p>
          <w:p w14:paraId="5F8E0DFA" w14:textId="77777777" w:rsidR="008D6E32" w:rsidRPr="0072326C" w:rsidRDefault="008D6E32" w:rsidP="008D6E32">
            <w:pPr>
              <w:pStyle w:val="ListParagraph"/>
              <w:rPr>
                <w:rFonts w:ascii="Helvetica" w:hAnsi="Helvetica" w:cs="Helvetica"/>
                <w:shd w:val="clear" w:color="auto" w:fill="FFFFFF"/>
              </w:rPr>
            </w:pPr>
          </w:p>
          <w:p w14:paraId="579BD3E1" w14:textId="67BB07A2" w:rsidR="008D6E32" w:rsidRDefault="008D6E32" w:rsidP="008D6E32">
            <w:pPr>
              <w:pStyle w:val="ListParagraph"/>
              <w:ind w:left="360"/>
              <w:rPr>
                <w:rFonts w:ascii="Helvetica" w:hAnsi="Helvetica" w:cs="Helvetica"/>
                <w:shd w:val="clear" w:color="auto" w:fill="FFFFFF"/>
              </w:rPr>
            </w:pPr>
            <w:r w:rsidRPr="0072326C">
              <w:rPr>
                <w:rFonts w:ascii="Helvetica" w:hAnsi="Helvetica" w:cs="Helvetica"/>
                <w:i/>
                <w:iCs/>
                <w:shd w:val="clear" w:color="auto" w:fill="FFFFFF"/>
              </w:rPr>
              <w:t>Enter the month and year the EHR was installed at the hospital.</w:t>
            </w:r>
          </w:p>
        </w:tc>
        <w:tc>
          <w:tcPr>
            <w:tcW w:w="4230" w:type="dxa"/>
            <w:vAlign w:val="center"/>
          </w:tcPr>
          <w:p w14:paraId="19BA7E1A" w14:textId="77777777" w:rsidR="008D6E32" w:rsidRPr="0072326C" w:rsidRDefault="008D6E32" w:rsidP="008D6E32">
            <w:pPr>
              <w:jc w:val="center"/>
              <w:rPr>
                <w:rFonts w:cs="Arial"/>
                <w:i/>
                <w:snapToGrid w:val="0"/>
              </w:rPr>
            </w:pPr>
            <w:r w:rsidRPr="0072326C">
              <w:rPr>
                <w:rFonts w:cs="Arial"/>
                <w:i/>
                <w:snapToGrid w:val="0"/>
              </w:rPr>
              <w:t>______</w:t>
            </w:r>
          </w:p>
          <w:p w14:paraId="101C49F7" w14:textId="228477A6" w:rsidR="008D6E32" w:rsidRDefault="008D6E32" w:rsidP="008D6E32">
            <w:pPr>
              <w:jc w:val="center"/>
              <w:rPr>
                <w:rFonts w:cs="Arial"/>
                <w:i/>
                <w:snapToGrid w:val="0"/>
              </w:rPr>
            </w:pPr>
            <w:r w:rsidRPr="0072326C">
              <w:rPr>
                <w:rFonts w:cs="Arial"/>
                <w:i/>
                <w:snapToGrid w:val="0"/>
                <w:sz w:val="16"/>
                <w:szCs w:val="16"/>
              </w:rPr>
              <w:t>Format:</w:t>
            </w:r>
            <w:r>
              <w:rPr>
                <w:rFonts w:cs="Arial"/>
                <w:i/>
                <w:snapToGrid w:val="0"/>
                <w:sz w:val="16"/>
                <w:szCs w:val="16"/>
              </w:rPr>
              <w:t xml:space="preserve"> Month/</w:t>
            </w:r>
            <w:r w:rsidRPr="0072326C">
              <w:rPr>
                <w:rFonts w:cs="Arial"/>
                <w:i/>
                <w:snapToGrid w:val="0"/>
                <w:sz w:val="16"/>
                <w:szCs w:val="16"/>
              </w:rPr>
              <w:t>Y</w:t>
            </w:r>
            <w:r>
              <w:rPr>
                <w:rFonts w:cs="Arial"/>
                <w:i/>
                <w:snapToGrid w:val="0"/>
                <w:sz w:val="16"/>
                <w:szCs w:val="16"/>
              </w:rPr>
              <w:t>ear</w:t>
            </w:r>
          </w:p>
        </w:tc>
      </w:tr>
      <w:tr w:rsidR="000B244F" w:rsidRPr="0072326C" w14:paraId="103E97E2" w14:textId="77777777" w:rsidTr="00CF4879">
        <w:trPr>
          <w:trHeight w:val="2016"/>
        </w:trPr>
        <w:tc>
          <w:tcPr>
            <w:tcW w:w="5305" w:type="dxa"/>
            <w:vAlign w:val="center"/>
          </w:tcPr>
          <w:p w14:paraId="146CB239" w14:textId="77777777" w:rsidR="000B244F" w:rsidRPr="00F24D8B" w:rsidRDefault="000B244F" w:rsidP="00AD309C">
            <w:pPr>
              <w:pStyle w:val="ListParagraph"/>
              <w:numPr>
                <w:ilvl w:val="0"/>
                <w:numId w:val="161"/>
              </w:numPr>
              <w:rPr>
                <w:rFonts w:ascii="Helvetica" w:hAnsi="Helvetica" w:cs="Helvetica"/>
                <w:shd w:val="clear" w:color="auto" w:fill="FFFFFF"/>
              </w:rPr>
            </w:pPr>
            <w:r>
              <w:rPr>
                <w:rFonts w:ascii="Helvetica" w:hAnsi="Helvetica" w:cs="Helvetica"/>
                <w:shd w:val="clear" w:color="auto" w:fill="FFFFFF"/>
              </w:rPr>
              <w:t xml:space="preserve">Which EHR </w:t>
            </w:r>
            <w:r w:rsidRPr="00F24D8B">
              <w:rPr>
                <w:rFonts w:ascii="Helvetica" w:hAnsi="Helvetica" w:cs="Helvetica"/>
                <w:shd w:val="clear" w:color="auto" w:fill="FFFFFF"/>
              </w:rPr>
              <w:t>Medication Reference Database</w:t>
            </w:r>
            <w:r>
              <w:rPr>
                <w:rFonts w:ascii="Helvetica" w:hAnsi="Helvetica" w:cs="Helvetica"/>
                <w:shd w:val="clear" w:color="auto" w:fill="FFFFFF"/>
              </w:rPr>
              <w:t xml:space="preserve"> is your hospital currently using?</w:t>
            </w:r>
          </w:p>
        </w:tc>
        <w:tc>
          <w:tcPr>
            <w:tcW w:w="4230" w:type="dxa"/>
            <w:vAlign w:val="center"/>
          </w:tcPr>
          <w:p w14:paraId="28FDF260" w14:textId="77777777" w:rsidR="000B244F" w:rsidRPr="00C8246A" w:rsidRDefault="000B244F" w:rsidP="00AD309C">
            <w:pPr>
              <w:pStyle w:val="ListParagraph"/>
              <w:numPr>
                <w:ilvl w:val="0"/>
                <w:numId w:val="339"/>
              </w:numPr>
              <w:rPr>
                <w:rFonts w:cs="Arial"/>
                <w:iCs/>
                <w:snapToGrid w:val="0"/>
              </w:rPr>
            </w:pPr>
            <w:r w:rsidRPr="00C8246A">
              <w:rPr>
                <w:rFonts w:cs="Arial"/>
                <w:iCs/>
                <w:snapToGrid w:val="0"/>
              </w:rPr>
              <w:t>Homegrown</w:t>
            </w:r>
          </w:p>
          <w:p w14:paraId="31481329" w14:textId="77777777" w:rsidR="000B244F" w:rsidRPr="00C8246A" w:rsidRDefault="000B244F" w:rsidP="00AD309C">
            <w:pPr>
              <w:pStyle w:val="ListParagraph"/>
              <w:numPr>
                <w:ilvl w:val="0"/>
                <w:numId w:val="339"/>
              </w:numPr>
              <w:rPr>
                <w:rFonts w:cs="Arial"/>
                <w:iCs/>
                <w:snapToGrid w:val="0"/>
              </w:rPr>
            </w:pPr>
            <w:r w:rsidRPr="00C8246A">
              <w:rPr>
                <w:rFonts w:cs="Arial"/>
                <w:iCs/>
                <w:snapToGrid w:val="0"/>
              </w:rPr>
              <w:t>First DataBank (FDB)</w:t>
            </w:r>
          </w:p>
          <w:p w14:paraId="3513CDE8" w14:textId="77777777" w:rsidR="000B244F" w:rsidRPr="00C8246A" w:rsidRDefault="000B244F" w:rsidP="00AD309C">
            <w:pPr>
              <w:pStyle w:val="ListParagraph"/>
              <w:numPr>
                <w:ilvl w:val="0"/>
                <w:numId w:val="339"/>
              </w:numPr>
              <w:rPr>
                <w:rFonts w:cs="Arial"/>
                <w:iCs/>
                <w:snapToGrid w:val="0"/>
              </w:rPr>
            </w:pPr>
            <w:r w:rsidRPr="00C8246A">
              <w:rPr>
                <w:rFonts w:cs="Arial"/>
                <w:iCs/>
                <w:snapToGrid w:val="0"/>
              </w:rPr>
              <w:t>Gold Standard / Elsevier</w:t>
            </w:r>
          </w:p>
          <w:p w14:paraId="53CF1818" w14:textId="77777777" w:rsidR="000B244F" w:rsidRPr="00C8246A" w:rsidRDefault="000B244F" w:rsidP="00AD309C">
            <w:pPr>
              <w:pStyle w:val="ListParagraph"/>
              <w:numPr>
                <w:ilvl w:val="0"/>
                <w:numId w:val="339"/>
              </w:numPr>
              <w:rPr>
                <w:rFonts w:cs="Arial"/>
                <w:iCs/>
                <w:snapToGrid w:val="0"/>
              </w:rPr>
            </w:pPr>
            <w:r w:rsidRPr="00C8246A">
              <w:rPr>
                <w:rFonts w:cs="Arial"/>
                <w:iCs/>
                <w:snapToGrid w:val="0"/>
              </w:rPr>
              <w:t>Lexicomp</w:t>
            </w:r>
          </w:p>
          <w:p w14:paraId="4ADC3041" w14:textId="77777777" w:rsidR="000B244F" w:rsidRDefault="000B244F" w:rsidP="00AD309C">
            <w:pPr>
              <w:pStyle w:val="ListParagraph"/>
              <w:numPr>
                <w:ilvl w:val="0"/>
                <w:numId w:val="339"/>
              </w:numPr>
              <w:rPr>
                <w:rFonts w:cs="Arial"/>
                <w:iCs/>
                <w:snapToGrid w:val="0"/>
              </w:rPr>
            </w:pPr>
            <w:r w:rsidRPr="00C8246A">
              <w:rPr>
                <w:rFonts w:cs="Arial"/>
                <w:iCs/>
                <w:snapToGrid w:val="0"/>
              </w:rPr>
              <w:t>Medi – Span</w:t>
            </w:r>
          </w:p>
          <w:p w14:paraId="384D6670" w14:textId="14EFB0DB" w:rsidR="008263FB" w:rsidRPr="00C8246A" w:rsidRDefault="008263FB" w:rsidP="00AD309C">
            <w:pPr>
              <w:pStyle w:val="ListParagraph"/>
              <w:numPr>
                <w:ilvl w:val="0"/>
                <w:numId w:val="339"/>
              </w:numPr>
              <w:rPr>
                <w:rFonts w:cs="Arial"/>
                <w:iCs/>
                <w:snapToGrid w:val="0"/>
              </w:rPr>
            </w:pPr>
            <w:r>
              <w:rPr>
                <w:rFonts w:cs="Arial"/>
                <w:iCs/>
                <w:snapToGrid w:val="0"/>
              </w:rPr>
              <w:t>Micromed</w:t>
            </w:r>
            <w:r w:rsidR="00E51BB6">
              <w:rPr>
                <w:rFonts w:cs="Arial"/>
                <w:iCs/>
                <w:snapToGrid w:val="0"/>
              </w:rPr>
              <w:t>e</w:t>
            </w:r>
            <w:r>
              <w:rPr>
                <w:rFonts w:cs="Arial"/>
                <w:iCs/>
                <w:snapToGrid w:val="0"/>
              </w:rPr>
              <w:t>x</w:t>
            </w:r>
          </w:p>
          <w:p w14:paraId="7C33F7CA" w14:textId="77777777" w:rsidR="000B244F" w:rsidRPr="00C8246A" w:rsidRDefault="000B244F" w:rsidP="00AD309C">
            <w:pPr>
              <w:pStyle w:val="ListParagraph"/>
              <w:numPr>
                <w:ilvl w:val="0"/>
                <w:numId w:val="339"/>
              </w:numPr>
              <w:rPr>
                <w:rFonts w:cs="Arial"/>
                <w:iCs/>
                <w:snapToGrid w:val="0"/>
              </w:rPr>
            </w:pPr>
            <w:r w:rsidRPr="00C8246A">
              <w:rPr>
                <w:rFonts w:cs="Arial"/>
                <w:iCs/>
                <w:snapToGrid w:val="0"/>
              </w:rPr>
              <w:t>Multum</w:t>
            </w:r>
          </w:p>
          <w:p w14:paraId="70B5F9D7" w14:textId="3F80293D" w:rsidR="000B244F" w:rsidRPr="00916EC1" w:rsidRDefault="000B244F" w:rsidP="00AD309C">
            <w:pPr>
              <w:pStyle w:val="ListParagraph"/>
              <w:numPr>
                <w:ilvl w:val="0"/>
                <w:numId w:val="339"/>
              </w:numPr>
              <w:rPr>
                <w:rFonts w:cs="Arial"/>
                <w:i/>
                <w:snapToGrid w:val="0"/>
              </w:rPr>
            </w:pPr>
            <w:r w:rsidRPr="00C8246A">
              <w:rPr>
                <w:rFonts w:cs="Arial"/>
                <w:iCs/>
                <w:snapToGrid w:val="0"/>
              </w:rPr>
              <w:t>Other (please specify):</w:t>
            </w:r>
            <w:r w:rsidR="0073561A" w:rsidRPr="00C8246A">
              <w:rPr>
                <w:rFonts w:cs="Arial"/>
                <w:iCs/>
                <w:snapToGrid w:val="0"/>
              </w:rPr>
              <w:t xml:space="preserve"> _____</w:t>
            </w:r>
          </w:p>
        </w:tc>
      </w:tr>
      <w:tr w:rsidR="003B47DF" w:rsidRPr="0072326C" w14:paraId="6A6EF626" w14:textId="77777777" w:rsidTr="001631F0">
        <w:trPr>
          <w:trHeight w:val="2016"/>
        </w:trPr>
        <w:tc>
          <w:tcPr>
            <w:tcW w:w="5305" w:type="dxa"/>
          </w:tcPr>
          <w:p w14:paraId="4342497A" w14:textId="1DEA9E57" w:rsidR="003B47DF" w:rsidRPr="00C01758" w:rsidRDefault="003B47DF" w:rsidP="003B47DF">
            <w:pPr>
              <w:pStyle w:val="ListParagraph"/>
              <w:numPr>
                <w:ilvl w:val="0"/>
                <w:numId w:val="442"/>
              </w:numPr>
              <w:rPr>
                <w:rFonts w:cs="Arial"/>
              </w:rPr>
            </w:pPr>
            <w:r w:rsidRPr="00C01758">
              <w:rPr>
                <w:rFonts w:cs="Arial"/>
              </w:rPr>
              <w:lastRenderedPageBreak/>
              <w:t xml:space="preserve">Does your hospital </w:t>
            </w:r>
            <w:r w:rsidRPr="000B3776">
              <w:rPr>
                <w:rFonts w:cs="Arial"/>
              </w:rPr>
              <w:t xml:space="preserve">currently </w:t>
            </w:r>
            <w:r w:rsidRPr="00C01758">
              <w:rPr>
                <w:rFonts w:cs="Arial"/>
              </w:rPr>
              <w:t>use Artificial Intelligence (AI) applications in its medication management</w:t>
            </w:r>
            <w:r w:rsidRPr="000B3776">
              <w:rPr>
                <w:rFonts w:cs="Arial"/>
              </w:rPr>
              <w:t xml:space="preserve"> </w:t>
            </w:r>
            <w:r w:rsidR="00C34C42">
              <w:rPr>
                <w:rFonts w:cs="Arial"/>
              </w:rPr>
              <w:t xml:space="preserve">process </w:t>
            </w:r>
            <w:r w:rsidRPr="000B3776">
              <w:rPr>
                <w:rFonts w:cs="Arial"/>
              </w:rPr>
              <w:t>(including medication-related clinical decision support, medication ordering, BCMA, and medication reconciliation)</w:t>
            </w:r>
            <w:r w:rsidRPr="00C01758">
              <w:rPr>
                <w:rFonts w:cs="Arial"/>
              </w:rPr>
              <w:t xml:space="preserve">? </w:t>
            </w:r>
          </w:p>
          <w:p w14:paraId="61099BC5" w14:textId="77777777" w:rsidR="003B47DF" w:rsidRPr="000B3776" w:rsidRDefault="003B47DF" w:rsidP="003B47DF">
            <w:pPr>
              <w:pStyle w:val="ListParagraph"/>
              <w:ind w:left="360"/>
              <w:rPr>
                <w:rFonts w:cs="Arial"/>
              </w:rPr>
            </w:pPr>
          </w:p>
          <w:p w14:paraId="2079044F" w14:textId="48A9B539" w:rsidR="003B47DF" w:rsidRDefault="003B47DF" w:rsidP="00012D7A">
            <w:pPr>
              <w:pStyle w:val="ListParagraph"/>
              <w:ind w:left="360"/>
              <w:rPr>
                <w:rFonts w:ascii="Helvetica" w:hAnsi="Helvetica" w:cs="Helvetica"/>
                <w:shd w:val="clear" w:color="auto" w:fill="FFFFFF"/>
              </w:rPr>
            </w:pPr>
            <w:r w:rsidRPr="000B3776">
              <w:rPr>
                <w:rFonts w:cs="Arial"/>
                <w:i/>
                <w:iCs/>
              </w:rPr>
              <w:t>If “no” to question #7, skip the remaining questions in Section 2B, and continue to Section 2C.</w:t>
            </w:r>
          </w:p>
        </w:tc>
        <w:tc>
          <w:tcPr>
            <w:tcW w:w="4230" w:type="dxa"/>
            <w:vAlign w:val="center"/>
          </w:tcPr>
          <w:p w14:paraId="0370E896" w14:textId="77777777" w:rsidR="003B47DF" w:rsidRPr="00C01758" w:rsidRDefault="003B47DF" w:rsidP="001631F0">
            <w:pPr>
              <w:pStyle w:val="ListParagraph"/>
              <w:numPr>
                <w:ilvl w:val="0"/>
                <w:numId w:val="396"/>
              </w:numPr>
              <w:rPr>
                <w:rFonts w:cs="Arial"/>
              </w:rPr>
            </w:pPr>
            <w:r w:rsidRPr="00C01758">
              <w:rPr>
                <w:rFonts w:cs="Arial"/>
              </w:rPr>
              <w:t>Yes</w:t>
            </w:r>
          </w:p>
          <w:p w14:paraId="5DA6FE19" w14:textId="1D976616" w:rsidR="003B47DF" w:rsidRPr="00C8246A" w:rsidRDefault="003B47DF" w:rsidP="001631F0">
            <w:pPr>
              <w:pStyle w:val="ListParagraph"/>
              <w:numPr>
                <w:ilvl w:val="0"/>
                <w:numId w:val="339"/>
              </w:numPr>
              <w:rPr>
                <w:rFonts w:cs="Arial"/>
                <w:iCs/>
                <w:snapToGrid w:val="0"/>
              </w:rPr>
            </w:pPr>
            <w:r w:rsidRPr="00C01758">
              <w:rPr>
                <w:rFonts w:cs="Arial"/>
              </w:rPr>
              <w:t>No</w:t>
            </w:r>
          </w:p>
        </w:tc>
      </w:tr>
      <w:tr w:rsidR="003B47DF" w:rsidRPr="0072326C" w14:paraId="3E8D6888" w14:textId="77777777" w:rsidTr="001631F0">
        <w:trPr>
          <w:trHeight w:val="2016"/>
        </w:trPr>
        <w:tc>
          <w:tcPr>
            <w:tcW w:w="5305" w:type="dxa"/>
          </w:tcPr>
          <w:p w14:paraId="5434182F" w14:textId="77777777" w:rsidR="003B47DF" w:rsidRPr="000B3776" w:rsidRDefault="003B47DF" w:rsidP="003B47DF">
            <w:pPr>
              <w:pStyle w:val="ListParagraph"/>
              <w:numPr>
                <w:ilvl w:val="0"/>
                <w:numId w:val="443"/>
              </w:numPr>
              <w:rPr>
                <w:rFonts w:cs="Arial"/>
              </w:rPr>
            </w:pPr>
            <w:r w:rsidRPr="00C01758">
              <w:rPr>
                <w:rFonts w:cs="Arial"/>
              </w:rPr>
              <w:t>In wh</w:t>
            </w:r>
            <w:r w:rsidRPr="000B3776">
              <w:rPr>
                <w:rFonts w:cs="Arial"/>
              </w:rPr>
              <w:t>ich areas</w:t>
            </w:r>
            <w:r w:rsidRPr="00C01758">
              <w:rPr>
                <w:rFonts w:cs="Arial"/>
              </w:rPr>
              <w:t xml:space="preserve"> of the medication management process are Artificial Intelligence (AI) applications used?</w:t>
            </w:r>
          </w:p>
          <w:p w14:paraId="6D9093C5" w14:textId="77777777" w:rsidR="003B47DF" w:rsidRPr="000B3776" w:rsidRDefault="003B47DF" w:rsidP="003B47DF">
            <w:pPr>
              <w:pStyle w:val="ListParagraph"/>
              <w:ind w:left="360"/>
              <w:rPr>
                <w:rFonts w:cs="Arial"/>
              </w:rPr>
            </w:pPr>
          </w:p>
          <w:p w14:paraId="5E81DE75" w14:textId="77777777" w:rsidR="003B47DF" w:rsidRPr="000B3776" w:rsidRDefault="003B47DF" w:rsidP="003B47DF">
            <w:pPr>
              <w:pStyle w:val="ListParagraph"/>
              <w:ind w:left="360"/>
              <w:rPr>
                <w:rFonts w:cs="Arial"/>
                <w:i/>
                <w:iCs/>
              </w:rPr>
            </w:pPr>
            <w:r w:rsidRPr="000B3776">
              <w:rPr>
                <w:rFonts w:cs="Arial"/>
                <w:i/>
                <w:iCs/>
              </w:rPr>
              <w:t>Select all that apply.</w:t>
            </w:r>
          </w:p>
          <w:p w14:paraId="26E03EF8" w14:textId="77777777" w:rsidR="003B47DF" w:rsidRDefault="003B47DF" w:rsidP="008D363B">
            <w:pPr>
              <w:pStyle w:val="ListParagraph"/>
              <w:ind w:left="360"/>
              <w:rPr>
                <w:rFonts w:ascii="Helvetica" w:hAnsi="Helvetica" w:cs="Helvetica"/>
                <w:shd w:val="clear" w:color="auto" w:fill="FFFFFF"/>
              </w:rPr>
            </w:pPr>
          </w:p>
        </w:tc>
        <w:tc>
          <w:tcPr>
            <w:tcW w:w="4230" w:type="dxa"/>
            <w:vAlign w:val="center"/>
          </w:tcPr>
          <w:p w14:paraId="7BEA7438" w14:textId="77777777" w:rsidR="005B0DB7" w:rsidRPr="005B0DB7" w:rsidRDefault="005B0DB7" w:rsidP="001631F0">
            <w:pPr>
              <w:pStyle w:val="ListParagraph"/>
              <w:numPr>
                <w:ilvl w:val="0"/>
                <w:numId w:val="444"/>
              </w:numPr>
              <w:rPr>
                <w:rFonts w:cs="Arial"/>
              </w:rPr>
            </w:pPr>
            <w:r w:rsidRPr="005B0DB7">
              <w:rPr>
                <w:rFonts w:cs="Arial"/>
              </w:rPr>
              <w:t>Medication-related Clinical Decision Support</w:t>
            </w:r>
          </w:p>
          <w:p w14:paraId="0BA71BF1" w14:textId="307639CA" w:rsidR="009F240A" w:rsidRPr="00C01758" w:rsidRDefault="009F240A" w:rsidP="001631F0">
            <w:pPr>
              <w:pStyle w:val="ListParagraph"/>
              <w:numPr>
                <w:ilvl w:val="0"/>
                <w:numId w:val="444"/>
              </w:numPr>
              <w:ind w:left="339"/>
              <w:rPr>
                <w:rFonts w:cs="Arial"/>
              </w:rPr>
            </w:pPr>
            <w:r>
              <w:rPr>
                <w:rFonts w:cs="Arial"/>
              </w:rPr>
              <w:t>Medication Ordering</w:t>
            </w:r>
          </w:p>
          <w:p w14:paraId="28C00B49" w14:textId="77777777" w:rsidR="005B0DB7" w:rsidRDefault="003B47DF" w:rsidP="001631F0">
            <w:pPr>
              <w:pStyle w:val="ListParagraph"/>
              <w:numPr>
                <w:ilvl w:val="0"/>
                <w:numId w:val="444"/>
              </w:numPr>
              <w:ind w:left="339"/>
              <w:rPr>
                <w:rFonts w:cs="Arial"/>
              </w:rPr>
            </w:pPr>
            <w:r w:rsidRPr="00C01758">
              <w:rPr>
                <w:rFonts w:cs="Arial"/>
              </w:rPr>
              <w:t>B</w:t>
            </w:r>
            <w:r w:rsidR="009F240A">
              <w:rPr>
                <w:rFonts w:cs="Arial"/>
              </w:rPr>
              <w:t xml:space="preserve">ar </w:t>
            </w:r>
            <w:r w:rsidRPr="00C01758">
              <w:rPr>
                <w:rFonts w:cs="Arial"/>
              </w:rPr>
              <w:t>C</w:t>
            </w:r>
            <w:r w:rsidR="009F240A">
              <w:rPr>
                <w:rFonts w:cs="Arial"/>
              </w:rPr>
              <w:t xml:space="preserve">ode </w:t>
            </w:r>
            <w:r w:rsidRPr="00C01758">
              <w:rPr>
                <w:rFonts w:cs="Arial"/>
              </w:rPr>
              <w:t>M</w:t>
            </w:r>
            <w:r w:rsidR="009F240A">
              <w:rPr>
                <w:rFonts w:cs="Arial"/>
              </w:rPr>
              <w:t xml:space="preserve">edication </w:t>
            </w:r>
            <w:r w:rsidRPr="00C01758">
              <w:rPr>
                <w:rFonts w:cs="Arial"/>
              </w:rPr>
              <w:t>A</w:t>
            </w:r>
            <w:r w:rsidR="009F240A">
              <w:rPr>
                <w:rFonts w:cs="Arial"/>
              </w:rPr>
              <w:t>dministration (BCMA)</w:t>
            </w:r>
          </w:p>
          <w:p w14:paraId="03DC8956" w14:textId="11F6163E" w:rsidR="003B47DF" w:rsidRPr="005B0DB7" w:rsidRDefault="003B47DF" w:rsidP="001631F0">
            <w:pPr>
              <w:pStyle w:val="ListParagraph"/>
              <w:numPr>
                <w:ilvl w:val="0"/>
                <w:numId w:val="444"/>
              </w:numPr>
              <w:ind w:left="339"/>
              <w:rPr>
                <w:rFonts w:cs="Arial"/>
              </w:rPr>
            </w:pPr>
            <w:r w:rsidRPr="005B0DB7">
              <w:rPr>
                <w:rFonts w:cs="Arial"/>
              </w:rPr>
              <w:t>Medication Reconciliation</w:t>
            </w:r>
          </w:p>
        </w:tc>
      </w:tr>
      <w:tr w:rsidR="003B47DF" w:rsidRPr="0072326C" w14:paraId="7562078E" w14:textId="77777777" w:rsidTr="001631F0">
        <w:trPr>
          <w:trHeight w:val="2016"/>
        </w:trPr>
        <w:tc>
          <w:tcPr>
            <w:tcW w:w="5305" w:type="dxa"/>
          </w:tcPr>
          <w:p w14:paraId="0FC92F0E" w14:textId="77777777" w:rsidR="003B47DF" w:rsidRPr="000B3776" w:rsidRDefault="003B47DF" w:rsidP="003B47DF">
            <w:pPr>
              <w:pStyle w:val="ListParagraph"/>
              <w:numPr>
                <w:ilvl w:val="0"/>
                <w:numId w:val="443"/>
              </w:numPr>
              <w:rPr>
                <w:rFonts w:cs="Arial"/>
              </w:rPr>
            </w:pPr>
            <w:r w:rsidRPr="000B3776">
              <w:rPr>
                <w:rFonts w:cs="Arial"/>
              </w:rPr>
              <w:t>Are the</w:t>
            </w:r>
            <w:r>
              <w:rPr>
                <w:rFonts w:cs="Arial"/>
              </w:rPr>
              <w:t xml:space="preserve"> vendors</w:t>
            </w:r>
            <w:r w:rsidRPr="000B3776">
              <w:rPr>
                <w:rFonts w:cs="Arial"/>
              </w:rPr>
              <w:t xml:space="preserve"> of these AI applications the same as your EHR and medication reference database systems?</w:t>
            </w:r>
          </w:p>
          <w:p w14:paraId="341EE841" w14:textId="77777777" w:rsidR="003B47DF" w:rsidRPr="000B3776" w:rsidRDefault="003B47DF" w:rsidP="003B47DF">
            <w:pPr>
              <w:pStyle w:val="ListParagraph"/>
              <w:ind w:left="360"/>
              <w:rPr>
                <w:rFonts w:cs="Arial"/>
              </w:rPr>
            </w:pPr>
          </w:p>
          <w:p w14:paraId="20C0D9FC" w14:textId="77777777" w:rsidR="003B47DF" w:rsidRPr="00C01758" w:rsidRDefault="003B47DF" w:rsidP="003B47DF">
            <w:pPr>
              <w:ind w:left="360"/>
              <w:rPr>
                <w:rFonts w:cs="Arial"/>
                <w:i/>
                <w:iCs/>
              </w:rPr>
            </w:pPr>
            <w:r w:rsidRPr="00C01758">
              <w:rPr>
                <w:rFonts w:cs="Arial"/>
                <w:i/>
                <w:iCs/>
              </w:rPr>
              <w:t>Select all that apply.</w:t>
            </w:r>
          </w:p>
          <w:p w14:paraId="21776041" w14:textId="77777777" w:rsidR="003B47DF" w:rsidRPr="00C01758" w:rsidRDefault="003B47DF" w:rsidP="003B47DF">
            <w:pPr>
              <w:ind w:left="360"/>
              <w:rPr>
                <w:rFonts w:cs="Arial"/>
                <w:i/>
                <w:iCs/>
              </w:rPr>
            </w:pPr>
          </w:p>
          <w:p w14:paraId="7BB470EE" w14:textId="77777777" w:rsidR="003B47DF" w:rsidRPr="00C01758" w:rsidRDefault="003B47DF" w:rsidP="003B47DF">
            <w:pPr>
              <w:ind w:left="360"/>
              <w:rPr>
                <w:rFonts w:cs="Arial"/>
                <w:i/>
                <w:iCs/>
              </w:rPr>
            </w:pPr>
            <w:r w:rsidRPr="00C01758">
              <w:rPr>
                <w:rFonts w:cs="Arial"/>
                <w:i/>
                <w:iCs/>
              </w:rPr>
              <w:t xml:space="preserve">If “Other </w:t>
            </w:r>
            <w:r>
              <w:rPr>
                <w:rFonts w:cs="Arial"/>
                <w:i/>
                <w:iCs/>
              </w:rPr>
              <w:t>Vendors</w:t>
            </w:r>
            <w:r w:rsidRPr="00C01758">
              <w:rPr>
                <w:rFonts w:cs="Arial"/>
                <w:i/>
                <w:iCs/>
              </w:rPr>
              <w:t xml:space="preserve">” is selected, continue to question #10. Otherwise, skip question #10 and continue to </w:t>
            </w:r>
            <w:r w:rsidRPr="000B3776">
              <w:rPr>
                <w:rFonts w:cs="Arial"/>
                <w:i/>
                <w:iCs/>
              </w:rPr>
              <w:t>Section 2C.</w:t>
            </w:r>
          </w:p>
          <w:p w14:paraId="545D5A10" w14:textId="77777777" w:rsidR="003B47DF" w:rsidRPr="000B3776" w:rsidRDefault="003B47DF" w:rsidP="003B47DF">
            <w:pPr>
              <w:pStyle w:val="ListParagraph"/>
              <w:ind w:left="360"/>
              <w:rPr>
                <w:rFonts w:cs="Arial"/>
              </w:rPr>
            </w:pPr>
          </w:p>
          <w:p w14:paraId="1C54FE8B" w14:textId="77777777" w:rsidR="003B47DF" w:rsidRPr="000B3776" w:rsidRDefault="003B47DF" w:rsidP="003B47DF">
            <w:pPr>
              <w:pStyle w:val="ListParagraph"/>
              <w:ind w:left="360"/>
              <w:rPr>
                <w:rFonts w:cs="Arial"/>
              </w:rPr>
            </w:pPr>
          </w:p>
          <w:p w14:paraId="6E231E7E" w14:textId="77777777" w:rsidR="003B47DF" w:rsidRDefault="003B47DF" w:rsidP="008D363B">
            <w:pPr>
              <w:pStyle w:val="ListParagraph"/>
              <w:ind w:left="360"/>
              <w:rPr>
                <w:rFonts w:ascii="Helvetica" w:hAnsi="Helvetica" w:cs="Helvetica"/>
                <w:shd w:val="clear" w:color="auto" w:fill="FFFFFF"/>
              </w:rPr>
            </w:pPr>
          </w:p>
        </w:tc>
        <w:tc>
          <w:tcPr>
            <w:tcW w:w="4230" w:type="dxa"/>
            <w:vAlign w:val="center"/>
          </w:tcPr>
          <w:p w14:paraId="03B5CF1A" w14:textId="77777777" w:rsidR="003B47DF" w:rsidRPr="00C01758" w:rsidRDefault="003B47DF" w:rsidP="001631F0">
            <w:pPr>
              <w:pStyle w:val="ListParagraph"/>
              <w:numPr>
                <w:ilvl w:val="0"/>
                <w:numId w:val="444"/>
              </w:numPr>
              <w:ind w:left="339"/>
              <w:rPr>
                <w:rFonts w:cs="Arial"/>
              </w:rPr>
            </w:pPr>
            <w:r w:rsidRPr="00C01758">
              <w:rPr>
                <w:rFonts w:cs="Arial"/>
              </w:rPr>
              <w:t>Same as EHR</w:t>
            </w:r>
          </w:p>
          <w:p w14:paraId="70D6B930" w14:textId="6F674EDB" w:rsidR="003B47DF" w:rsidRDefault="003B47DF" w:rsidP="001631F0">
            <w:pPr>
              <w:pStyle w:val="ListParagraph"/>
              <w:numPr>
                <w:ilvl w:val="0"/>
                <w:numId w:val="444"/>
              </w:numPr>
              <w:ind w:left="339"/>
              <w:rPr>
                <w:rFonts w:cs="Arial"/>
              </w:rPr>
            </w:pPr>
            <w:r w:rsidRPr="00C01758">
              <w:rPr>
                <w:rFonts w:cs="Arial"/>
              </w:rPr>
              <w:t>Same as Medication</w:t>
            </w:r>
            <w:r w:rsidR="00623FAB">
              <w:rPr>
                <w:rFonts w:cs="Arial"/>
              </w:rPr>
              <w:t xml:space="preserve"> Safety</w:t>
            </w:r>
            <w:r w:rsidRPr="00C01758">
              <w:rPr>
                <w:rFonts w:cs="Arial"/>
              </w:rPr>
              <w:t xml:space="preserve"> </w:t>
            </w:r>
            <w:r w:rsidR="00623FAB">
              <w:rPr>
                <w:rFonts w:cs="Arial"/>
              </w:rPr>
              <w:t>Reference</w:t>
            </w:r>
            <w:r w:rsidRPr="00C01758">
              <w:rPr>
                <w:rFonts w:cs="Arial"/>
              </w:rPr>
              <w:t xml:space="preserve"> Database</w:t>
            </w:r>
          </w:p>
          <w:p w14:paraId="71D064E7" w14:textId="77777777" w:rsidR="005B0DB7" w:rsidRDefault="003B47DF" w:rsidP="001631F0">
            <w:pPr>
              <w:pStyle w:val="ListParagraph"/>
              <w:numPr>
                <w:ilvl w:val="0"/>
                <w:numId w:val="444"/>
              </w:numPr>
              <w:ind w:left="339"/>
              <w:rPr>
                <w:rFonts w:cs="Arial"/>
              </w:rPr>
            </w:pPr>
            <w:r>
              <w:rPr>
                <w:rFonts w:cs="Arial"/>
              </w:rPr>
              <w:t>Homegrown</w:t>
            </w:r>
          </w:p>
          <w:p w14:paraId="5455A9DB" w14:textId="17C16871" w:rsidR="003B47DF" w:rsidRPr="000B4E35" w:rsidRDefault="003B47DF" w:rsidP="001631F0">
            <w:pPr>
              <w:pStyle w:val="ListParagraph"/>
              <w:numPr>
                <w:ilvl w:val="0"/>
                <w:numId w:val="444"/>
              </w:numPr>
              <w:ind w:left="339"/>
              <w:rPr>
                <w:rFonts w:cs="Arial"/>
              </w:rPr>
            </w:pPr>
            <w:r w:rsidRPr="005B0DB7">
              <w:rPr>
                <w:rFonts w:cs="Arial"/>
              </w:rPr>
              <w:t>Other Vendors</w:t>
            </w:r>
          </w:p>
        </w:tc>
      </w:tr>
      <w:tr w:rsidR="003B47DF" w:rsidRPr="0072326C" w14:paraId="5E84962B" w14:textId="77777777" w:rsidTr="00012D7A">
        <w:trPr>
          <w:trHeight w:val="2016"/>
        </w:trPr>
        <w:tc>
          <w:tcPr>
            <w:tcW w:w="5305" w:type="dxa"/>
          </w:tcPr>
          <w:p w14:paraId="44AD4498" w14:textId="77777777" w:rsidR="003B47DF" w:rsidRPr="00C01758" w:rsidRDefault="003B47DF" w:rsidP="003B47DF">
            <w:pPr>
              <w:pStyle w:val="ListParagraph"/>
              <w:numPr>
                <w:ilvl w:val="0"/>
                <w:numId w:val="443"/>
              </w:numPr>
              <w:rPr>
                <w:rFonts w:cs="Arial"/>
              </w:rPr>
            </w:pPr>
            <w:r w:rsidRPr="00C01758">
              <w:rPr>
                <w:rFonts w:cs="Arial"/>
              </w:rPr>
              <w:t xml:space="preserve">What are the names of the Other </w:t>
            </w:r>
            <w:r>
              <w:rPr>
                <w:rFonts w:cs="Arial"/>
              </w:rPr>
              <w:t>Vendors</w:t>
            </w:r>
            <w:r w:rsidRPr="000B3776">
              <w:rPr>
                <w:rFonts w:cs="Arial"/>
              </w:rPr>
              <w:t xml:space="preserve"> </w:t>
            </w:r>
            <w:r w:rsidRPr="00C01758">
              <w:rPr>
                <w:rFonts w:cs="Arial"/>
              </w:rPr>
              <w:t xml:space="preserve">that your hospital is currently using in </w:t>
            </w:r>
            <w:r w:rsidRPr="000B3776">
              <w:rPr>
                <w:rFonts w:cs="Arial"/>
              </w:rPr>
              <w:t>its</w:t>
            </w:r>
            <w:r w:rsidRPr="00C01758">
              <w:rPr>
                <w:rFonts w:cs="Arial"/>
              </w:rPr>
              <w:t xml:space="preserve"> medication management process from question #</w:t>
            </w:r>
            <w:r w:rsidRPr="000B3776">
              <w:rPr>
                <w:rFonts w:cs="Arial"/>
              </w:rPr>
              <w:t>8</w:t>
            </w:r>
            <w:r w:rsidRPr="00C01758">
              <w:rPr>
                <w:rFonts w:cs="Arial"/>
              </w:rPr>
              <w:t>?</w:t>
            </w:r>
          </w:p>
          <w:p w14:paraId="462D4BFE" w14:textId="77777777" w:rsidR="003B47DF" w:rsidRPr="000B3776" w:rsidRDefault="003B47DF" w:rsidP="003B47DF">
            <w:pPr>
              <w:pStyle w:val="ListParagraph"/>
              <w:ind w:left="360"/>
              <w:rPr>
                <w:rFonts w:cs="Arial"/>
              </w:rPr>
            </w:pPr>
          </w:p>
          <w:p w14:paraId="258D03BC" w14:textId="52C921C5" w:rsidR="003B47DF" w:rsidRDefault="003B47DF" w:rsidP="008D363B">
            <w:pPr>
              <w:pStyle w:val="ListParagraph"/>
              <w:ind w:left="360"/>
              <w:rPr>
                <w:rFonts w:ascii="Helvetica" w:hAnsi="Helvetica" w:cs="Helvetica"/>
                <w:shd w:val="clear" w:color="auto" w:fill="FFFFFF"/>
              </w:rPr>
            </w:pPr>
            <w:r w:rsidRPr="000B3776">
              <w:rPr>
                <w:rFonts w:cs="Arial"/>
                <w:i/>
                <w:iCs/>
              </w:rPr>
              <w:t xml:space="preserve">If entering multiple Other </w:t>
            </w:r>
            <w:r>
              <w:rPr>
                <w:rFonts w:cs="Arial"/>
                <w:i/>
                <w:iCs/>
              </w:rPr>
              <w:t>Vendors</w:t>
            </w:r>
            <w:r w:rsidRPr="000B3776">
              <w:rPr>
                <w:rFonts w:cs="Arial"/>
                <w:i/>
                <w:iCs/>
              </w:rPr>
              <w:t>, separate each by a comma.</w:t>
            </w:r>
          </w:p>
        </w:tc>
        <w:tc>
          <w:tcPr>
            <w:tcW w:w="4230" w:type="dxa"/>
          </w:tcPr>
          <w:p w14:paraId="09215BE2" w14:textId="77777777" w:rsidR="003B47DF" w:rsidRPr="00C01758" w:rsidRDefault="003B47DF" w:rsidP="003B47DF">
            <w:pPr>
              <w:jc w:val="center"/>
              <w:rPr>
                <w:rFonts w:cs="Arial"/>
                <w:b/>
                <w:bCs/>
              </w:rPr>
            </w:pPr>
          </w:p>
          <w:p w14:paraId="5FCEB45B" w14:textId="77777777" w:rsidR="003B47DF" w:rsidRPr="00C01758" w:rsidRDefault="003B47DF" w:rsidP="003B47DF">
            <w:pPr>
              <w:jc w:val="center"/>
              <w:rPr>
                <w:rFonts w:cs="Arial"/>
                <w:b/>
                <w:bCs/>
              </w:rPr>
            </w:pPr>
          </w:p>
          <w:p w14:paraId="2DD4F9EC" w14:textId="17E9FD4C" w:rsidR="003B47DF" w:rsidRPr="00C8246A" w:rsidRDefault="003B47DF" w:rsidP="00563C4B">
            <w:pPr>
              <w:jc w:val="center"/>
              <w:rPr>
                <w:rFonts w:cs="Arial"/>
                <w:iCs/>
                <w:snapToGrid w:val="0"/>
              </w:rPr>
            </w:pPr>
            <w:r w:rsidRPr="00563C4B">
              <w:rPr>
                <w:rFonts w:cs="Arial"/>
                <w:i/>
                <w:snapToGrid w:val="0"/>
              </w:rPr>
              <w:t>_______</w:t>
            </w:r>
          </w:p>
        </w:tc>
      </w:tr>
    </w:tbl>
    <w:p w14:paraId="7F405B6C" w14:textId="77777777" w:rsidR="00FF27F8" w:rsidRDefault="00FF27F8" w:rsidP="00FF27F8">
      <w:pPr>
        <w:rPr>
          <w:rFonts w:cs="Arial"/>
          <w:b/>
          <w:bCs/>
        </w:rPr>
      </w:pPr>
    </w:p>
    <w:p w14:paraId="285E65E3" w14:textId="77777777" w:rsidR="00C30AD9" w:rsidRDefault="00C30AD9">
      <w:r>
        <w:br w:type="page"/>
      </w:r>
    </w:p>
    <w:p w14:paraId="5E4811F6" w14:textId="3D7433A1" w:rsidR="00C3345F" w:rsidRPr="00C7333E" w:rsidRDefault="00C7333E" w:rsidP="00CF5A6E">
      <w:pPr>
        <w:pStyle w:val="Heading2"/>
      </w:pPr>
      <w:bookmarkStart w:id="168" w:name="_Toc225877691"/>
      <w:r>
        <w:lastRenderedPageBreak/>
        <w:t>2C:</w:t>
      </w:r>
      <w:r w:rsidRPr="009A5185">
        <w:t xml:space="preserve"> Bar Code Medication Administration</w:t>
      </w:r>
      <w:r w:rsidR="00F72C9F">
        <w:t xml:space="preserve"> (BCMA)</w:t>
      </w:r>
      <w:bookmarkEnd w:id="168"/>
    </w:p>
    <w:p w14:paraId="4EA56B32" w14:textId="77777777" w:rsidR="00C7333E" w:rsidRDefault="00C7333E" w:rsidP="00C3345F">
      <w:pPr>
        <w:rPr>
          <w:rFonts w:cs="Arial"/>
          <w:snapToGrid w:val="0"/>
        </w:rPr>
      </w:pPr>
    </w:p>
    <w:p w14:paraId="0DE600FB" w14:textId="71CD02EE" w:rsidR="00C3345F" w:rsidRPr="009A5185" w:rsidRDefault="00C3345F" w:rsidP="00C3345F">
      <w:pPr>
        <w:rPr>
          <w:rFonts w:cs="Arial"/>
        </w:rPr>
      </w:pPr>
      <w:r w:rsidRPr="009A5185">
        <w:rPr>
          <w:rFonts w:cs="Arial"/>
          <w:snapToGrid w:val="0"/>
        </w:rPr>
        <w:t xml:space="preserve">Hospitals that share a </w:t>
      </w:r>
      <w:r>
        <w:rPr>
          <w:rFonts w:cs="Arial"/>
          <w:snapToGrid w:val="0"/>
        </w:rPr>
        <w:t xml:space="preserve">CMS Certification Number </w:t>
      </w:r>
      <w:r w:rsidRPr="009A5185">
        <w:rPr>
          <w:rFonts w:cs="Arial"/>
          <w:snapToGrid w:val="0"/>
        </w:rPr>
        <w:t xml:space="preserve">are required to report by facility. Please carefully review </w:t>
      </w:r>
      <w:hyperlink r:id="rId172" w:history="1">
        <w:r w:rsidRPr="009A5185">
          <w:rPr>
            <w:rStyle w:val="Hyperlink"/>
            <w:rFonts w:cs="Arial"/>
            <w:snapToGrid w:val="0"/>
          </w:rPr>
          <w:t>Leapfrog’s Multi-Campus Reporting Policy</w:t>
        </w:r>
      </w:hyperlink>
      <w:r w:rsidRPr="009A5185">
        <w:rPr>
          <w:rFonts w:cs="Arial"/>
          <w:snapToGrid w:val="0"/>
        </w:rPr>
        <w:t>.</w:t>
      </w:r>
    </w:p>
    <w:p w14:paraId="4BC06544" w14:textId="5B2B2760" w:rsidR="00C3345F" w:rsidRDefault="00C3345F" w:rsidP="00C3345F">
      <w:pPr>
        <w:rPr>
          <w:rFonts w:cs="Arial"/>
          <w:b/>
        </w:rPr>
      </w:pPr>
    </w:p>
    <w:p w14:paraId="2DDBF206" w14:textId="769496A9" w:rsidR="001437B5" w:rsidRPr="00D424F6" w:rsidRDefault="00DA1839" w:rsidP="001437B5">
      <w:pPr>
        <w:rPr>
          <w:rFonts w:cs="Arial"/>
        </w:rPr>
      </w:pPr>
      <w:r w:rsidRPr="00873014">
        <w:rPr>
          <w:rFonts w:cs="Arial"/>
          <w:b/>
          <w:snapToGrid w:val="0"/>
          <w:color w:val="FF0000"/>
        </w:rPr>
        <w:t>Important Note:</w:t>
      </w:r>
      <w:r w:rsidR="001437B5">
        <w:rPr>
          <w:rFonts w:cs="Arial"/>
          <w:b/>
          <w:snapToGrid w:val="0"/>
          <w:color w:val="FF0000"/>
        </w:rPr>
        <w:t xml:space="preserve"> </w:t>
      </w:r>
      <w:r w:rsidR="001437B5">
        <w:rPr>
          <w:rFonts w:cs="Arial"/>
          <w:snapToGrid w:val="0"/>
        </w:rPr>
        <w:t>Only include units that were open for the entire reporting period and that remain currently open.</w:t>
      </w:r>
    </w:p>
    <w:p w14:paraId="3331D163" w14:textId="77777777" w:rsidR="00DA1839" w:rsidRDefault="00DA1839" w:rsidP="00F72C9F">
      <w:pPr>
        <w:rPr>
          <w:rFonts w:cs="Arial"/>
          <w:b/>
        </w:rPr>
      </w:pPr>
    </w:p>
    <w:p w14:paraId="2B4CCEF0" w14:textId="14A06857" w:rsidR="00F72C9F" w:rsidRPr="008C7C9F" w:rsidRDefault="00F72C9F" w:rsidP="00F72C9F">
      <w:pPr>
        <w:rPr>
          <w:rFonts w:cs="Arial"/>
          <w:snapToGrid w:val="0"/>
        </w:rPr>
      </w:pPr>
      <w:r w:rsidRPr="009A5185">
        <w:rPr>
          <w:rFonts w:cs="Arial"/>
          <w:b/>
        </w:rPr>
        <w:t xml:space="preserve">Specifications: </w:t>
      </w:r>
      <w:r w:rsidRPr="009A5185">
        <w:rPr>
          <w:rFonts w:cs="Arial"/>
          <w:snapToGrid w:val="0"/>
        </w:rPr>
        <w:t xml:space="preserve">See </w:t>
      </w:r>
      <w:hyperlink w:anchor="_Bar_Code_Medication_1" w:history="1">
        <w:r w:rsidR="00FC0511">
          <w:rPr>
            <w:rStyle w:val="Hyperlink"/>
            <w:rFonts w:cs="Arial"/>
            <w:b/>
            <w:i/>
            <w:snapToGrid w:val="0"/>
          </w:rPr>
          <w:t>Bar Code Medication Administration (BCMA) Measure Specifications</w:t>
        </w:r>
      </w:hyperlink>
      <w:r w:rsidRPr="009A5185">
        <w:rPr>
          <w:rFonts w:cs="Arial"/>
          <w:snapToGrid w:val="0"/>
        </w:rPr>
        <w:t xml:space="preserve"> in the Reference Information </w:t>
      </w:r>
      <w:r w:rsidR="00FA29BA">
        <w:rPr>
          <w:rFonts w:cs="Arial"/>
          <w:snapToGrid w:val="0"/>
        </w:rPr>
        <w:t xml:space="preserve">beginning on page </w:t>
      </w:r>
      <w:r w:rsidR="00FA29BA">
        <w:rPr>
          <w:rFonts w:cs="Arial"/>
          <w:snapToGrid w:val="0"/>
        </w:rPr>
        <w:fldChar w:fldCharType="begin"/>
      </w:r>
      <w:r w:rsidR="00FA29BA">
        <w:rPr>
          <w:rFonts w:cs="Arial"/>
          <w:snapToGrid w:val="0"/>
        </w:rPr>
        <w:instrText xml:space="preserve"> PAGEREF _Ref123646692 \h </w:instrText>
      </w:r>
      <w:r w:rsidR="00FA29BA">
        <w:rPr>
          <w:rFonts w:cs="Arial"/>
          <w:snapToGrid w:val="0"/>
        </w:rPr>
      </w:r>
      <w:r w:rsidR="00FA29BA">
        <w:rPr>
          <w:rFonts w:cs="Arial"/>
          <w:snapToGrid w:val="0"/>
        </w:rPr>
        <w:fldChar w:fldCharType="separate"/>
      </w:r>
      <w:r w:rsidR="007D53A2">
        <w:rPr>
          <w:rFonts w:cs="Arial"/>
          <w:noProof/>
          <w:snapToGrid w:val="0"/>
        </w:rPr>
        <w:t>7</w:t>
      </w:r>
      <w:r w:rsidR="00FA29BA">
        <w:rPr>
          <w:rFonts w:cs="Arial"/>
          <w:snapToGrid w:val="0"/>
        </w:rPr>
        <w:fldChar w:fldCharType="end"/>
      </w:r>
      <w:r w:rsidR="00CF1457">
        <w:rPr>
          <w:rFonts w:cs="Arial"/>
          <w:snapToGrid w:val="0"/>
        </w:rPr>
        <w:t>5</w:t>
      </w:r>
      <w:r w:rsidR="00FA29BA">
        <w:rPr>
          <w:rFonts w:cs="Arial"/>
          <w:snapToGrid w:val="0"/>
        </w:rPr>
        <w:t>.</w:t>
      </w:r>
      <w:r>
        <w:rPr>
          <w:rFonts w:cs="Arial"/>
          <w:snapToGrid w:val="0"/>
        </w:rPr>
        <w:t xml:space="preserve"> </w:t>
      </w:r>
    </w:p>
    <w:p w14:paraId="284D9360" w14:textId="77777777" w:rsidR="006B20FF" w:rsidRPr="009A5185" w:rsidRDefault="006B20FF" w:rsidP="00C3345F">
      <w:pPr>
        <w:rPr>
          <w:rFonts w:cs="Arial"/>
          <w:b/>
        </w:rPr>
      </w:pPr>
    </w:p>
    <w:p w14:paraId="1E3BBA3B" w14:textId="55BFC6F4" w:rsidR="00C3345F" w:rsidRDefault="006B20FF" w:rsidP="00C3345F">
      <w:pPr>
        <w:rPr>
          <w:rFonts w:cs="Arial"/>
        </w:rPr>
      </w:pPr>
      <w:r w:rsidRPr="006B20FF">
        <w:rPr>
          <w:rFonts w:cs="Arial"/>
          <w:noProof/>
        </w:rPr>
        <mc:AlternateContent>
          <mc:Choice Requires="wps">
            <w:drawing>
              <wp:inline distT="0" distB="0" distL="0" distR="0" wp14:anchorId="394066CB" wp14:editId="7E0987E2">
                <wp:extent cx="5915770" cy="1404620"/>
                <wp:effectExtent l="0" t="0" r="27940" b="10160"/>
                <wp:docPr id="23" name="Text Box 23" descr="P1972TB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770" cy="1404620"/>
                        </a:xfrm>
                        <a:prstGeom prst="rect">
                          <a:avLst/>
                        </a:prstGeom>
                        <a:solidFill>
                          <a:srgbClr val="FFFFFF"/>
                        </a:solidFill>
                        <a:ln w="9525">
                          <a:solidFill>
                            <a:srgbClr val="FF0000"/>
                          </a:solidFill>
                          <a:miter lim="800000"/>
                          <a:headEnd/>
                          <a:tailEnd/>
                        </a:ln>
                      </wps:spPr>
                      <wps:txbx>
                        <w:txbxContent>
                          <w:p w14:paraId="41C1F8C9" w14:textId="77777777" w:rsidR="006B20FF" w:rsidRPr="009A5185" w:rsidRDefault="006B20FF" w:rsidP="006B20FF">
                            <w:pPr>
                              <w:spacing w:before="120"/>
                              <w:rPr>
                                <w:rFonts w:cs="Arial"/>
                                <w:b/>
                                <w:snapToGrid w:val="0"/>
                              </w:rPr>
                            </w:pPr>
                            <w:r w:rsidRPr="009A5185">
                              <w:rPr>
                                <w:rFonts w:cs="Arial"/>
                                <w:b/>
                                <w:snapToGrid w:val="0"/>
                              </w:rPr>
                              <w:t>Reporting Period: 3 months</w:t>
                            </w:r>
                          </w:p>
                          <w:p w14:paraId="49720DA3" w14:textId="0AA14F8A" w:rsidR="006B20FF" w:rsidRDefault="006B20FF" w:rsidP="006B20FF">
                            <w:pPr>
                              <w:rPr>
                                <w:rFonts w:cs="Arial"/>
                              </w:rPr>
                            </w:pPr>
                            <w:r w:rsidRPr="009A5185">
                              <w:rPr>
                                <w:rFonts w:cs="Arial"/>
                              </w:rPr>
                              <w:t>Answer questions #1-</w:t>
                            </w:r>
                            <w:r w:rsidR="00183671">
                              <w:rPr>
                                <w:rFonts w:cs="Arial"/>
                              </w:rPr>
                              <w:t>21</w:t>
                            </w:r>
                            <w:r w:rsidRPr="009A5185">
                              <w:rPr>
                                <w:rFonts w:cs="Arial"/>
                              </w:rPr>
                              <w:t xml:space="preserve"> for the latest 3-month period prior to the submission of this section of the Survey. </w:t>
                            </w:r>
                          </w:p>
                          <w:p w14:paraId="3781FF28" w14:textId="77777777" w:rsidR="006B20FF" w:rsidRDefault="006B20FF" w:rsidP="006B20FF">
                            <w:pPr>
                              <w:rPr>
                                <w:rFonts w:cs="Arial"/>
                              </w:rPr>
                            </w:pPr>
                          </w:p>
                          <w:p w14:paraId="384E1542" w14:textId="11266C50" w:rsidR="006B20FF" w:rsidRDefault="006B20FF" w:rsidP="006B20FF">
                            <w:r w:rsidRPr="006547C0">
                              <w:rPr>
                                <w:rFonts w:cs="Arial"/>
                                <w:sz w:val="16"/>
                                <w:szCs w:val="16"/>
                              </w:rPr>
                              <w:t xml:space="preserve">Note: As a reminder, the </w:t>
                            </w:r>
                            <w:hyperlink r:id="rId173"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394066CB" id="Text Box 23" o:spid="_x0000_s1035" type="#_x0000_t202" alt="P1972TB8#y1" style="width:465.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" strokecolor="red">
                <v:textbox style="mso-fit-shape-to-text:t">
                  <w:txbxContent>
                    <w:p w14:paraId="41C1F8C9" w14:textId="77777777" w:rsidR="006B20FF" w:rsidRPr="009A5185" w:rsidRDefault="006B20FF" w:rsidP="006B20FF">
                      <w:pPr>
                        <w:spacing w:before="120"/>
                        <w:rPr>
                          <w:rFonts w:cs="Arial"/>
                          <w:b/>
                          <w:snapToGrid w:val="0"/>
                        </w:rPr>
                      </w:pPr>
                      <w:r w:rsidRPr="009A5185">
                        <w:rPr>
                          <w:rFonts w:cs="Arial"/>
                          <w:b/>
                          <w:snapToGrid w:val="0"/>
                        </w:rPr>
                        <w:t>Reporting Period: 3 months</w:t>
                      </w:r>
                    </w:p>
                    <w:p w14:paraId="49720DA3" w14:textId="0AA14F8A" w:rsidR="006B20FF" w:rsidRDefault="006B20FF" w:rsidP="006B20FF">
                      <w:pPr>
                        <w:rPr>
                          <w:rFonts w:cs="Arial"/>
                        </w:rPr>
                      </w:pPr>
                      <w:r w:rsidRPr="009A5185">
                        <w:rPr>
                          <w:rFonts w:cs="Arial"/>
                        </w:rPr>
                        <w:t>Answer questions #1-</w:t>
                      </w:r>
                      <w:r w:rsidR="00183671">
                        <w:rPr>
                          <w:rFonts w:cs="Arial"/>
                        </w:rPr>
                        <w:t>21</w:t>
                      </w:r>
                      <w:r w:rsidRPr="009A5185">
                        <w:rPr>
                          <w:rFonts w:cs="Arial"/>
                        </w:rPr>
                        <w:t xml:space="preserve"> for the latest 3-month period prior to the submission of this section of the Survey. </w:t>
                      </w:r>
                    </w:p>
                    <w:p w14:paraId="3781FF28" w14:textId="77777777" w:rsidR="006B20FF" w:rsidRDefault="006B20FF" w:rsidP="006B20FF">
                      <w:pPr>
                        <w:rPr>
                          <w:rFonts w:cs="Arial"/>
                        </w:rPr>
                      </w:pPr>
                    </w:p>
                    <w:p w14:paraId="384E1542" w14:textId="11266C50" w:rsidR="006B20FF" w:rsidRDefault="006B20FF" w:rsidP="006B20FF">
                      <w:r w:rsidRPr="006547C0">
                        <w:rPr>
                          <w:rFonts w:cs="Arial"/>
                          <w:sz w:val="16"/>
                          <w:szCs w:val="16"/>
                        </w:rPr>
                        <w:t xml:space="preserve">Note: As a reminder, the </w:t>
                      </w:r>
                      <w:hyperlink r:id="rId174"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2029E212" w14:textId="77777777" w:rsidR="006B20FF" w:rsidRPr="009A5185" w:rsidRDefault="006B20FF" w:rsidP="00C3345F">
      <w:pPr>
        <w:rPr>
          <w:rFonts w:cs="Arial"/>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4"/>
        <w:gridCol w:w="1651"/>
      </w:tblGrid>
      <w:tr w:rsidR="008D6E32" w:rsidRPr="009A5185" w14:paraId="1DD03FE7" w14:textId="77777777" w:rsidTr="00FF651B">
        <w:trPr>
          <w:trHeight w:val="720"/>
        </w:trPr>
        <w:tc>
          <w:tcPr>
            <w:tcW w:w="7704" w:type="dxa"/>
            <w:vAlign w:val="center"/>
          </w:tcPr>
          <w:p w14:paraId="518E0E29" w14:textId="493D5205" w:rsidR="008D6E32" w:rsidRPr="001C2F78" w:rsidRDefault="008D6E32" w:rsidP="00AD309C">
            <w:pPr>
              <w:pStyle w:val="ListParagraph"/>
              <w:numPr>
                <w:ilvl w:val="0"/>
                <w:numId w:val="41"/>
              </w:numPr>
              <w:spacing w:before="120"/>
              <w:rPr>
                <w:rFonts w:cs="Arial"/>
              </w:rPr>
            </w:pPr>
            <w:r w:rsidRPr="009A5185">
              <w:rPr>
                <w:rFonts w:cs="Arial"/>
                <w:snapToGrid w:val="0"/>
                <w:color w:val="000000"/>
              </w:rPr>
              <w:t xml:space="preserve">What is the latest 3-month reporting period for which your hospital is submitting responses to </w:t>
            </w:r>
            <w:r>
              <w:rPr>
                <w:rFonts w:cs="Arial"/>
                <w:snapToGrid w:val="0"/>
                <w:color w:val="000000"/>
              </w:rPr>
              <w:t>questions #2-</w:t>
            </w:r>
            <w:r w:rsidR="00EE2497">
              <w:rPr>
                <w:rFonts w:cs="Arial"/>
                <w:snapToGrid w:val="0"/>
                <w:color w:val="000000"/>
              </w:rPr>
              <w:t>21</w:t>
            </w:r>
            <w:r w:rsidRPr="009A5185">
              <w:rPr>
                <w:rFonts w:cs="Arial"/>
                <w:snapToGrid w:val="0"/>
                <w:color w:val="000000"/>
              </w:rPr>
              <w:t>? 3-month reporting period ending:</w:t>
            </w:r>
          </w:p>
        </w:tc>
        <w:tc>
          <w:tcPr>
            <w:tcW w:w="1651" w:type="dxa"/>
            <w:vAlign w:val="center"/>
          </w:tcPr>
          <w:p w14:paraId="70F2C5CD" w14:textId="77777777" w:rsidR="008D6E32" w:rsidRPr="009A5185" w:rsidRDefault="008D6E32" w:rsidP="008D6E32">
            <w:pPr>
              <w:jc w:val="center"/>
              <w:rPr>
                <w:rFonts w:cs="Arial"/>
                <w:i/>
                <w:snapToGrid w:val="0"/>
              </w:rPr>
            </w:pPr>
            <w:r w:rsidRPr="009A5185">
              <w:rPr>
                <w:rFonts w:cs="Arial"/>
                <w:i/>
                <w:snapToGrid w:val="0"/>
              </w:rPr>
              <w:t>______</w:t>
            </w:r>
          </w:p>
          <w:p w14:paraId="51C215EF" w14:textId="2C9B3140" w:rsidR="008D6E32" w:rsidRPr="009A5185" w:rsidRDefault="008D6E32" w:rsidP="008D6E32">
            <w:pPr>
              <w:jc w:val="center"/>
              <w:rPr>
                <w:rFonts w:cs="Arial"/>
                <w:i/>
                <w:snapToGrid w:val="0"/>
              </w:rPr>
            </w:pPr>
            <w:r w:rsidRPr="009A5185">
              <w:rPr>
                <w:rFonts w:cs="Arial"/>
                <w:i/>
                <w:snapToGrid w:val="0"/>
                <w:sz w:val="16"/>
                <w:szCs w:val="16"/>
              </w:rPr>
              <w:t>Format: M</w:t>
            </w:r>
            <w:r>
              <w:rPr>
                <w:rFonts w:cs="Arial"/>
                <w:i/>
                <w:snapToGrid w:val="0"/>
                <w:sz w:val="16"/>
                <w:szCs w:val="16"/>
              </w:rPr>
              <w:t>onth</w:t>
            </w:r>
            <w:r w:rsidRPr="009A5185">
              <w:rPr>
                <w:rFonts w:cs="Arial"/>
                <w:i/>
                <w:snapToGrid w:val="0"/>
                <w:sz w:val="16"/>
                <w:szCs w:val="16"/>
              </w:rPr>
              <w:t>/Y</w:t>
            </w:r>
            <w:r>
              <w:rPr>
                <w:rFonts w:cs="Arial"/>
                <w:i/>
                <w:snapToGrid w:val="0"/>
                <w:sz w:val="16"/>
                <w:szCs w:val="16"/>
              </w:rPr>
              <w:t>ear</w:t>
            </w:r>
          </w:p>
        </w:tc>
      </w:tr>
      <w:tr w:rsidR="00C3345F" w:rsidRPr="009A5185" w14:paraId="0D7109EE" w14:textId="77777777" w:rsidTr="00FF651B">
        <w:trPr>
          <w:trHeight w:val="1584"/>
        </w:trPr>
        <w:tc>
          <w:tcPr>
            <w:tcW w:w="7704" w:type="dxa"/>
            <w:vAlign w:val="center"/>
          </w:tcPr>
          <w:p w14:paraId="6A8E8D0D" w14:textId="34BADDDF" w:rsidR="00BD7FBF" w:rsidRPr="00741100" w:rsidRDefault="00C3345F" w:rsidP="00AD309C">
            <w:pPr>
              <w:pStyle w:val="ListParagraph"/>
              <w:numPr>
                <w:ilvl w:val="0"/>
                <w:numId w:val="41"/>
              </w:numPr>
              <w:spacing w:before="120"/>
              <w:rPr>
                <w:rFonts w:cs="Arial"/>
                <w:snapToGrid w:val="0"/>
                <w:color w:val="000000"/>
              </w:rPr>
            </w:pPr>
            <w:r w:rsidRPr="00741100">
              <w:rPr>
                <w:rFonts w:cs="Arial"/>
              </w:rPr>
              <w:t xml:space="preserve">Does your hospital use a Bar Code Medication Administration (BCMA) system that is linked to the electronic medication administration record (eMAR) when administering medications at the bedside in </w:t>
            </w:r>
            <w:r w:rsidR="00BD7FBF" w:rsidRPr="00741100">
              <w:rPr>
                <w:rFonts w:cs="Arial"/>
              </w:rPr>
              <w:t xml:space="preserve">at least one of the following </w:t>
            </w:r>
            <w:r w:rsidR="00F4721E" w:rsidRPr="00741100">
              <w:rPr>
                <w:rFonts w:cs="Arial"/>
              </w:rPr>
              <w:t xml:space="preserve">adult and/or pediatric </w:t>
            </w:r>
            <w:r w:rsidR="00BD7FBF" w:rsidRPr="00741100">
              <w:rPr>
                <w:rFonts w:cs="Arial"/>
              </w:rPr>
              <w:t>units:</w:t>
            </w:r>
          </w:p>
          <w:p w14:paraId="043F2523" w14:textId="33F6C8FE" w:rsidR="00CB5390" w:rsidRPr="00741100" w:rsidRDefault="00D432E6" w:rsidP="00AD309C">
            <w:pPr>
              <w:pStyle w:val="ListParagraph"/>
              <w:numPr>
                <w:ilvl w:val="0"/>
                <w:numId w:val="384"/>
              </w:numPr>
              <w:spacing w:before="120"/>
              <w:rPr>
                <w:rStyle w:val="Hyperlink"/>
                <w:rFonts w:cs="Arial"/>
                <w:snapToGrid w:val="0"/>
                <w:color w:val="000000"/>
                <w:u w:val="none"/>
              </w:rPr>
            </w:pPr>
            <w:hyperlink w:anchor="generalmedicalsurgicalandneuroicu" w:history="1">
              <w:r w:rsidRPr="00741100">
                <w:rPr>
                  <w:rStyle w:val="Hyperlink"/>
                  <w:rFonts w:cs="Arial"/>
                </w:rPr>
                <w:t>General Medical</w:t>
              </w:r>
              <w:r w:rsidR="00310612" w:rsidRPr="00741100">
                <w:rPr>
                  <w:rStyle w:val="Hyperlink"/>
                  <w:rFonts w:cs="Arial"/>
                </w:rPr>
                <w:t>,</w:t>
              </w:r>
              <w:r w:rsidR="008505A8" w:rsidRPr="00741100">
                <w:rPr>
                  <w:rStyle w:val="Hyperlink"/>
                  <w:rFonts w:cs="Arial"/>
                </w:rPr>
                <w:t xml:space="preserve"> </w:t>
              </w:r>
              <w:r w:rsidR="009C1157" w:rsidRPr="00741100">
                <w:rPr>
                  <w:rStyle w:val="Hyperlink"/>
                  <w:rFonts w:cs="Arial"/>
                </w:rPr>
                <w:t>Surgical</w:t>
              </w:r>
              <w:r w:rsidR="00310612" w:rsidRPr="00741100">
                <w:rPr>
                  <w:rStyle w:val="Hyperlink"/>
                  <w:rFonts w:cs="Arial"/>
                </w:rPr>
                <w:t>, Medical/Surgical</w:t>
              </w:r>
              <w:r w:rsidR="00E84B52" w:rsidRPr="00741100">
                <w:rPr>
                  <w:rStyle w:val="Hyperlink"/>
                  <w:rFonts w:cs="Arial"/>
                </w:rPr>
                <w:t xml:space="preserve">, </w:t>
              </w:r>
              <w:r w:rsidR="00346373" w:rsidRPr="00741100">
                <w:rPr>
                  <w:rStyle w:val="Hyperlink"/>
                  <w:rFonts w:cs="Arial"/>
                </w:rPr>
                <w:t>Neuro</w:t>
              </w:r>
            </w:hyperlink>
            <w:r w:rsidR="00391C07">
              <w:t>,</w:t>
            </w:r>
            <w:r w:rsidR="009A5372" w:rsidRPr="00741100">
              <w:rPr>
                <w:rFonts w:cs="Arial"/>
                <w:vertAlign w:val="superscript"/>
              </w:rPr>
              <w:t>14</w:t>
            </w:r>
            <w:r w:rsidR="00541566" w:rsidRPr="00741100">
              <w:rPr>
                <w:rFonts w:cs="Arial"/>
              </w:rPr>
              <w:t xml:space="preserve"> </w:t>
            </w:r>
            <w:hyperlink w:anchor="neonatalICU" w:history="1">
              <w:r w:rsidR="00CB5390" w:rsidRPr="00741100">
                <w:rPr>
                  <w:rStyle w:val="Hyperlink"/>
                  <w:rFonts w:cs="Arial"/>
                </w:rPr>
                <w:t>Neonatal</w:t>
              </w:r>
              <w:r w:rsidR="00391C07" w:rsidRPr="00741100">
                <w:rPr>
                  <w:rFonts w:cs="Arial"/>
                </w:rPr>
                <w:t>,</w:t>
              </w:r>
              <w:r w:rsidR="00CB5390" w:rsidRPr="00741100">
                <w:rPr>
                  <w:rStyle w:val="Hyperlink"/>
                  <w:rFonts w:cs="Arial"/>
                  <w:color w:val="auto"/>
                  <w:u w:val="none"/>
                  <w:vertAlign w:val="superscript"/>
                </w:rPr>
                <w:t>17</w:t>
              </w:r>
            </w:hyperlink>
            <w:r w:rsidR="00CB5390" w:rsidRPr="00741100">
              <w:rPr>
                <w:rFonts w:cs="Arial"/>
              </w:rPr>
              <w:t xml:space="preserve"> </w:t>
            </w:r>
            <w:r w:rsidR="006D4A13" w:rsidRPr="00741100">
              <w:rPr>
                <w:rFonts w:cs="Arial"/>
              </w:rPr>
              <w:t xml:space="preserve">or </w:t>
            </w:r>
            <w:r w:rsidR="00CB5390" w:rsidRPr="00741100">
              <w:rPr>
                <w:rFonts w:cs="Arial"/>
              </w:rPr>
              <w:t>Specialty ICUs;</w:t>
            </w:r>
          </w:p>
          <w:p w14:paraId="4153C2FF" w14:textId="59F9417D" w:rsidR="00BD7FBF" w:rsidRPr="00741100" w:rsidRDefault="00BD7FBF" w:rsidP="00AD309C">
            <w:pPr>
              <w:pStyle w:val="ListParagraph"/>
              <w:numPr>
                <w:ilvl w:val="0"/>
                <w:numId w:val="384"/>
              </w:numPr>
              <w:spacing w:before="120"/>
              <w:rPr>
                <w:rFonts w:cs="Arial"/>
                <w:snapToGrid w:val="0"/>
                <w:color w:val="000000"/>
              </w:rPr>
            </w:pPr>
            <w:hyperlink w:anchor="MedicalandorSurgicalUnits" w:history="1">
              <w:r w:rsidRPr="00741100">
                <w:rPr>
                  <w:rStyle w:val="Hyperlink"/>
                  <w:rFonts w:cs="Arial"/>
                </w:rPr>
                <w:t>Medical</w:t>
              </w:r>
              <w:r w:rsidR="005C09A3" w:rsidRPr="00741100">
                <w:rPr>
                  <w:rStyle w:val="Hyperlink"/>
                  <w:rFonts w:cs="Arial"/>
                </w:rPr>
                <w:t xml:space="preserve">, </w:t>
              </w:r>
              <w:r w:rsidRPr="00741100">
                <w:rPr>
                  <w:rStyle w:val="Hyperlink"/>
                  <w:rFonts w:cs="Arial"/>
                </w:rPr>
                <w:t>Surgical</w:t>
              </w:r>
              <w:r w:rsidR="00101011" w:rsidRPr="00741100">
                <w:rPr>
                  <w:rStyle w:val="Hyperlink"/>
                  <w:rFonts w:cs="Arial"/>
                </w:rPr>
                <w:t>, or Medical/Surgical</w:t>
              </w:r>
              <w:r w:rsidRPr="00741100">
                <w:rPr>
                  <w:rStyle w:val="Hyperlink"/>
                  <w:rFonts w:cs="Arial"/>
                </w:rPr>
                <w:t xml:space="preserve"> Units (including telemetry units</w:t>
              </w:r>
              <w:r w:rsidR="00D77C22">
                <w:rPr>
                  <w:rStyle w:val="Hyperlink"/>
                  <w:rFonts w:cs="Arial"/>
                </w:rPr>
                <w:t>)</w:t>
              </w:r>
              <w:r w:rsidR="00D77C22" w:rsidRPr="00D77C22">
                <w:rPr>
                  <w:rStyle w:val="Hyperlink"/>
                  <w:rFonts w:cs="Arial"/>
                  <w:color w:val="auto"/>
                  <w:u w:val="none"/>
                </w:rPr>
                <w:t>;</w:t>
              </w:r>
            </w:hyperlink>
            <w:r w:rsidR="00B04A67" w:rsidRPr="00741100">
              <w:rPr>
                <w:rStyle w:val="Hyperlink"/>
                <w:rFonts w:cs="Arial"/>
              </w:rPr>
              <w:fldChar w:fldCharType="begin"/>
            </w:r>
            <w:r w:rsidR="00B04A67" w:rsidRPr="00741100">
              <w:rPr>
                <w:rStyle w:val="Hyperlink"/>
                <w:rFonts w:cs="Arial"/>
              </w:rPr>
              <w:instrText xml:space="preserve"> NOTEREF _Ref158623355 \f \h </w:instrText>
            </w:r>
            <w:r w:rsidR="00033452" w:rsidRPr="00741100">
              <w:rPr>
                <w:rStyle w:val="Hyperlink"/>
                <w:rFonts w:cs="Arial"/>
              </w:rPr>
              <w:instrText xml:space="preserve"> \* MERGEFORMAT </w:instrText>
            </w:r>
            <w:r w:rsidR="00B04A67" w:rsidRPr="00741100">
              <w:rPr>
                <w:rStyle w:val="Hyperlink"/>
                <w:rFonts w:cs="Arial"/>
              </w:rPr>
            </w:r>
            <w:r w:rsidR="00B04A67" w:rsidRPr="00741100">
              <w:rPr>
                <w:rStyle w:val="Hyperlink"/>
                <w:rFonts w:cs="Arial"/>
              </w:rPr>
              <w:fldChar w:fldCharType="separate"/>
            </w:r>
            <w:r w:rsidR="007D53A2" w:rsidRPr="00F06B87">
              <w:rPr>
                <w:rStyle w:val="EndnoteReference"/>
                <w:rFonts w:cs="Arial"/>
              </w:rPr>
              <w:t>19</w:t>
            </w:r>
            <w:r w:rsidR="00B04A67" w:rsidRPr="00741100">
              <w:rPr>
                <w:rStyle w:val="Hyperlink"/>
                <w:rFonts w:cs="Arial"/>
              </w:rPr>
              <w:fldChar w:fldCharType="end"/>
            </w:r>
          </w:p>
          <w:p w14:paraId="7C10BDB0" w14:textId="2C9D79FE" w:rsidR="00DA6F2F" w:rsidRPr="00741100" w:rsidRDefault="00DA6F2F" w:rsidP="00AD309C">
            <w:pPr>
              <w:pStyle w:val="ListParagraph"/>
              <w:numPr>
                <w:ilvl w:val="0"/>
                <w:numId w:val="384"/>
              </w:numPr>
              <w:spacing w:before="120"/>
              <w:rPr>
                <w:rFonts w:cs="Arial"/>
                <w:snapToGrid w:val="0"/>
                <w:color w:val="000000"/>
              </w:rPr>
            </w:pPr>
            <w:hyperlink w:anchor="stepdown_progressiveunits_endnote20" w:history="1">
              <w:r w:rsidRPr="00741100">
                <w:rPr>
                  <w:rStyle w:val="Hyperlink"/>
                  <w:rFonts w:cs="Arial"/>
                </w:rPr>
                <w:t>Step-down/Progressive Units</w:t>
              </w:r>
            </w:hyperlink>
            <w:r w:rsidR="00F31346">
              <w:t>;</w:t>
            </w:r>
            <w:r w:rsidR="00203D33" w:rsidRPr="00741100">
              <w:rPr>
                <w:rStyle w:val="Hyperlink"/>
                <w:rFonts w:cs="Arial"/>
                <w:color w:val="auto"/>
                <w:u w:val="none"/>
                <w:vertAlign w:val="superscript"/>
              </w:rPr>
              <w:t>20</w:t>
            </w:r>
          </w:p>
          <w:p w14:paraId="456C82FC" w14:textId="6C2DCCB4" w:rsidR="00BD7FBF" w:rsidRPr="00741100" w:rsidRDefault="00BD7FBF" w:rsidP="00AD309C">
            <w:pPr>
              <w:pStyle w:val="ListParagraph"/>
              <w:numPr>
                <w:ilvl w:val="0"/>
                <w:numId w:val="384"/>
              </w:numPr>
              <w:spacing w:before="120"/>
              <w:rPr>
                <w:rStyle w:val="Hyperlink"/>
                <w:rFonts w:cs="Arial"/>
                <w:snapToGrid w:val="0"/>
                <w:color w:val="000000"/>
                <w:u w:val="none"/>
              </w:rPr>
            </w:pPr>
            <w:hyperlink w:anchor="LaborandDeliveryUnits" w:history="1">
              <w:r w:rsidRPr="00741100">
                <w:rPr>
                  <w:rStyle w:val="Hyperlink"/>
                  <w:rFonts w:cs="Arial"/>
                </w:rPr>
                <w:t>Labor and Delivery Uni</w:t>
              </w:r>
              <w:r w:rsidR="00F31346">
                <w:rPr>
                  <w:rStyle w:val="Hyperlink"/>
                  <w:rFonts w:cs="Arial"/>
                </w:rPr>
                <w:t>t</w:t>
              </w:r>
              <w:r w:rsidR="00F31346" w:rsidRPr="00741100">
                <w:rPr>
                  <w:rFonts w:cs="Arial"/>
                </w:rPr>
                <w:t>;</w:t>
              </w:r>
            </w:hyperlink>
            <w:r w:rsidR="00B04A67" w:rsidRPr="00741100">
              <w:rPr>
                <w:rFonts w:cs="Arial"/>
              </w:rPr>
              <w:fldChar w:fldCharType="begin"/>
            </w:r>
            <w:r w:rsidR="00B04A67" w:rsidRPr="00741100">
              <w:rPr>
                <w:rFonts w:cs="Arial"/>
              </w:rPr>
              <w:instrText xml:space="preserve"> NOTEREF _Ref158623400 \f \h </w:instrText>
            </w:r>
            <w:r w:rsidR="00F450F8" w:rsidRPr="00741100">
              <w:rPr>
                <w:rFonts w:cs="Arial"/>
              </w:rPr>
              <w:instrText xml:space="preserve"> \* MERGEFORMAT </w:instrText>
            </w:r>
            <w:r w:rsidR="00B04A67" w:rsidRPr="00741100">
              <w:rPr>
                <w:rFonts w:cs="Arial"/>
              </w:rPr>
            </w:r>
            <w:r w:rsidR="00B04A67" w:rsidRPr="00741100">
              <w:rPr>
                <w:rFonts w:cs="Arial"/>
              </w:rPr>
              <w:fldChar w:fldCharType="separate"/>
            </w:r>
            <w:r w:rsidR="007D53A2" w:rsidRPr="00F06B87">
              <w:rPr>
                <w:rStyle w:val="EndnoteReference"/>
                <w:rFonts w:cs="Arial"/>
              </w:rPr>
              <w:t>21</w:t>
            </w:r>
            <w:r w:rsidR="00B04A67" w:rsidRPr="00741100">
              <w:rPr>
                <w:rFonts w:cs="Arial"/>
              </w:rPr>
              <w:fldChar w:fldCharType="end"/>
            </w:r>
            <w:r w:rsidR="00E64EDB" w:rsidRPr="00741100">
              <w:rPr>
                <w:rFonts w:cs="Arial"/>
              </w:rPr>
              <w:t xml:space="preserve"> or</w:t>
            </w:r>
          </w:p>
          <w:p w14:paraId="21A63732" w14:textId="5727BEE8" w:rsidR="00C3345F" w:rsidRPr="00741100" w:rsidRDefault="00B04A67" w:rsidP="00AD309C">
            <w:pPr>
              <w:pStyle w:val="ListParagraph"/>
              <w:numPr>
                <w:ilvl w:val="0"/>
                <w:numId w:val="384"/>
              </w:numPr>
              <w:spacing w:before="120"/>
              <w:rPr>
                <w:rFonts w:cs="Arial"/>
                <w:snapToGrid w:val="0"/>
                <w:color w:val="000000"/>
              </w:rPr>
            </w:pPr>
            <w:hyperlink w:anchor="pacusendnote" w:history="1">
              <w:r w:rsidRPr="00741100">
                <w:rPr>
                  <w:rStyle w:val="Hyperlink"/>
                  <w:rFonts w:cs="Arial"/>
                </w:rPr>
                <w:t>P</w:t>
              </w:r>
              <w:r w:rsidR="00BD7FBF" w:rsidRPr="00741100">
                <w:rPr>
                  <w:rStyle w:val="Hyperlink"/>
                  <w:rFonts w:cs="Arial"/>
                </w:rPr>
                <w:t xml:space="preserve">re-operative and </w:t>
              </w:r>
              <w:r w:rsidRPr="00741100">
                <w:rPr>
                  <w:rStyle w:val="Hyperlink"/>
                  <w:rFonts w:cs="Arial"/>
                </w:rPr>
                <w:t>P</w:t>
              </w:r>
              <w:r w:rsidR="00BD7FBF" w:rsidRPr="00741100">
                <w:rPr>
                  <w:rStyle w:val="Hyperlink"/>
                  <w:rFonts w:cs="Arial"/>
                </w:rPr>
                <w:t xml:space="preserve">ost-anesthesia </w:t>
              </w:r>
              <w:r w:rsidRPr="00741100">
                <w:rPr>
                  <w:rStyle w:val="Hyperlink"/>
                  <w:rFonts w:cs="Arial"/>
                </w:rPr>
                <w:t>C</w:t>
              </w:r>
              <w:r w:rsidR="00BD7FBF" w:rsidRPr="00741100">
                <w:rPr>
                  <w:rStyle w:val="Hyperlink"/>
                  <w:rFonts w:cs="Arial"/>
                </w:rPr>
                <w:t xml:space="preserve">are </w:t>
              </w:r>
              <w:r w:rsidRPr="00741100">
                <w:rPr>
                  <w:rStyle w:val="Hyperlink"/>
                  <w:rFonts w:cs="Arial"/>
                </w:rPr>
                <w:t>U</w:t>
              </w:r>
              <w:r w:rsidR="00BD7FBF" w:rsidRPr="00741100">
                <w:rPr>
                  <w:rStyle w:val="Hyperlink"/>
                  <w:rFonts w:cs="Arial"/>
                </w:rPr>
                <w:t>nits</w:t>
              </w:r>
            </w:hyperlink>
            <w:r w:rsidR="00213E13" w:rsidRPr="00741100">
              <w:rPr>
                <w:rStyle w:val="Hyperlink"/>
                <w:rFonts w:cs="Arial"/>
                <w:color w:val="auto"/>
                <w:u w:val="none"/>
                <w:vertAlign w:val="superscript"/>
              </w:rPr>
              <w:t>22</w:t>
            </w:r>
            <w:r w:rsidR="00BD7FBF" w:rsidRPr="00741100">
              <w:rPr>
                <w:rFonts w:cs="Arial"/>
              </w:rPr>
              <w:t>?</w:t>
            </w:r>
          </w:p>
          <w:p w14:paraId="00A03E8D" w14:textId="77777777" w:rsidR="00C3345F" w:rsidRPr="00741100" w:rsidRDefault="00C3345F">
            <w:pPr>
              <w:pStyle w:val="ListParagraph"/>
              <w:ind w:left="360"/>
              <w:rPr>
                <w:rFonts w:cs="Arial"/>
              </w:rPr>
            </w:pPr>
          </w:p>
          <w:p w14:paraId="1E8C6258" w14:textId="4C4CAAA0" w:rsidR="00C3345F" w:rsidRPr="001C2F78" w:rsidRDefault="00C3345F">
            <w:pPr>
              <w:pStyle w:val="ListParagraph"/>
              <w:ind w:left="360"/>
              <w:rPr>
                <w:rFonts w:cs="Arial"/>
                <w:snapToGrid w:val="0"/>
                <w:color w:val="000000"/>
              </w:rPr>
            </w:pPr>
            <w:r w:rsidRPr="00741100">
              <w:rPr>
                <w:rFonts w:cs="Arial"/>
                <w:i/>
              </w:rPr>
              <w:t>If “no” to question #2, skip questions #3-</w:t>
            </w:r>
            <w:r w:rsidR="00F014DD" w:rsidRPr="00741100">
              <w:rPr>
                <w:rFonts w:cs="Arial"/>
                <w:i/>
              </w:rPr>
              <w:t>21</w:t>
            </w:r>
            <w:r w:rsidRPr="00741100">
              <w:rPr>
                <w:rFonts w:cs="Arial"/>
                <w:i/>
              </w:rPr>
              <w:t xml:space="preserve"> and continue to the next subsection. The hospital will be scored as “Limited Achievement.”</w:t>
            </w:r>
          </w:p>
        </w:tc>
        <w:tc>
          <w:tcPr>
            <w:tcW w:w="1651" w:type="dxa"/>
            <w:vAlign w:val="center"/>
          </w:tcPr>
          <w:p w14:paraId="0AA58983" w14:textId="77777777" w:rsidR="00C3345F" w:rsidRPr="00CF4879" w:rsidRDefault="00C3345F" w:rsidP="00AD309C">
            <w:pPr>
              <w:pStyle w:val="ListParagraph"/>
              <w:numPr>
                <w:ilvl w:val="0"/>
                <w:numId w:val="331"/>
              </w:numPr>
              <w:rPr>
                <w:rFonts w:cs="Arial"/>
                <w:iCs/>
                <w:snapToGrid w:val="0"/>
              </w:rPr>
            </w:pPr>
            <w:r w:rsidRPr="00CF4879">
              <w:rPr>
                <w:rFonts w:cs="Arial"/>
                <w:iCs/>
                <w:snapToGrid w:val="0"/>
              </w:rPr>
              <w:t>Yes</w:t>
            </w:r>
          </w:p>
          <w:p w14:paraId="0B9926C5" w14:textId="77777777" w:rsidR="00C3345F" w:rsidRPr="00CF4879" w:rsidRDefault="00C3345F" w:rsidP="00AD309C">
            <w:pPr>
              <w:pStyle w:val="ListParagraph"/>
              <w:numPr>
                <w:ilvl w:val="0"/>
                <w:numId w:val="331"/>
              </w:numPr>
              <w:rPr>
                <w:rFonts w:cs="Arial"/>
                <w:iCs/>
                <w:snapToGrid w:val="0"/>
              </w:rPr>
            </w:pPr>
            <w:r w:rsidRPr="00CF4879">
              <w:rPr>
                <w:rFonts w:cs="Arial"/>
                <w:iCs/>
                <w:snapToGrid w:val="0"/>
              </w:rPr>
              <w:t>No</w:t>
            </w:r>
          </w:p>
        </w:tc>
      </w:tr>
      <w:tr w:rsidR="00C3345F" w:rsidRPr="009A5185" w14:paraId="7F484609" w14:textId="77777777" w:rsidTr="00FF651B">
        <w:trPr>
          <w:trHeight w:val="1025"/>
        </w:trPr>
        <w:tc>
          <w:tcPr>
            <w:tcW w:w="7704" w:type="dxa"/>
            <w:vAlign w:val="center"/>
          </w:tcPr>
          <w:p w14:paraId="4496ADB0" w14:textId="739CF970" w:rsidR="00C3345F" w:rsidRPr="001C2F78" w:rsidRDefault="00C3345F" w:rsidP="00AD309C">
            <w:pPr>
              <w:pStyle w:val="ListParagraph"/>
              <w:numPr>
                <w:ilvl w:val="0"/>
                <w:numId w:val="41"/>
              </w:numPr>
              <w:rPr>
                <w:rFonts w:cs="Arial"/>
              </w:rPr>
            </w:pPr>
            <w:r w:rsidRPr="001C2F78">
              <w:rPr>
                <w:rFonts w:cs="Arial"/>
              </w:rPr>
              <w:t xml:space="preserve">Does your hospital operate </w:t>
            </w:r>
            <w:r w:rsidR="00420CCF">
              <w:rPr>
                <w:rFonts w:cs="Arial"/>
              </w:rPr>
              <w:t xml:space="preserve">adult and/or pediatric </w:t>
            </w:r>
            <w:hyperlink w:anchor="generalmedicalsurgicalandneuroicu" w:history="1">
              <w:r w:rsidR="008E586A" w:rsidRPr="009A5372">
                <w:rPr>
                  <w:rStyle w:val="Hyperlink"/>
                </w:rPr>
                <w:t>General Medical</w:t>
              </w:r>
              <w:r w:rsidR="007E120A">
                <w:rPr>
                  <w:rStyle w:val="Hyperlink"/>
                </w:rPr>
                <w:t xml:space="preserve">, </w:t>
              </w:r>
              <w:r w:rsidR="008E586A" w:rsidRPr="009A5372">
                <w:rPr>
                  <w:rStyle w:val="Hyperlink"/>
                </w:rPr>
                <w:t>Surgical</w:t>
              </w:r>
              <w:r w:rsidR="007E120A">
                <w:rPr>
                  <w:rStyle w:val="Hyperlink"/>
                </w:rPr>
                <w:t>, Medical/Surgical</w:t>
              </w:r>
              <w:r w:rsidR="003C3D58">
                <w:rPr>
                  <w:rStyle w:val="Hyperlink"/>
                </w:rPr>
                <w:t xml:space="preserve">, </w:t>
              </w:r>
              <w:r w:rsidR="008E586A" w:rsidRPr="009A5372">
                <w:rPr>
                  <w:rStyle w:val="Hyperlink"/>
                </w:rPr>
                <w:t>Neuro</w:t>
              </w:r>
            </w:hyperlink>
            <w:r w:rsidR="004A7E61">
              <w:t>,</w:t>
            </w:r>
            <w:r w:rsidR="008E586A" w:rsidRPr="001F2388">
              <w:rPr>
                <w:vertAlign w:val="superscript"/>
              </w:rPr>
              <w:t>14</w:t>
            </w:r>
            <w:r w:rsidR="000F0582">
              <w:rPr>
                <w:rStyle w:val="Hyperlink"/>
                <w:rFonts w:ascii="ZWAdobeF" w:hAnsi="ZWAdobeF" w:cs="ZWAdobeF"/>
                <w:color w:val="auto"/>
                <w:sz w:val="2"/>
                <w:szCs w:val="2"/>
                <w:u w:val="none"/>
              </w:rPr>
              <w:t>1</w:t>
            </w:r>
            <w:r w:rsidR="002A2764">
              <w:rPr>
                <w:rFonts w:cs="Arial"/>
              </w:rPr>
              <w:t xml:space="preserve"> </w:t>
            </w:r>
            <w:hyperlink w:anchor="neonatalICU" w:history="1">
              <w:r w:rsidR="002A2764" w:rsidRPr="001F2388">
                <w:rPr>
                  <w:rStyle w:val="Hyperlink"/>
                  <w:rFonts w:cs="Arial"/>
                </w:rPr>
                <w:t>Neonatal</w:t>
              </w:r>
              <w:r w:rsidR="004A7E61" w:rsidRPr="004A7E61">
                <w:rPr>
                  <w:rStyle w:val="Hyperlink"/>
                  <w:rFonts w:cs="Arial"/>
                  <w:color w:val="auto"/>
                  <w:u w:val="none"/>
                </w:rPr>
                <w:t>,</w:t>
              </w:r>
              <w:r w:rsidR="002A2764" w:rsidRPr="001F2388">
                <w:rPr>
                  <w:rStyle w:val="Hyperlink"/>
                  <w:rFonts w:cs="Arial"/>
                  <w:color w:val="auto"/>
                  <w:u w:val="none"/>
                  <w:vertAlign w:val="superscript"/>
                </w:rPr>
                <w:t>17</w:t>
              </w:r>
            </w:hyperlink>
            <w:r w:rsidR="009D6217">
              <w:rPr>
                <w:rFonts w:cs="Arial"/>
              </w:rPr>
              <w:t xml:space="preserve"> </w:t>
            </w:r>
            <w:r w:rsidR="002A2764">
              <w:rPr>
                <w:rFonts w:cs="Arial"/>
              </w:rPr>
              <w:t>or Specialty ICUs</w:t>
            </w:r>
            <w:r w:rsidRPr="001C2F78">
              <w:rPr>
                <w:rFonts w:cs="Arial"/>
              </w:rPr>
              <w:t>?</w:t>
            </w:r>
          </w:p>
          <w:p w14:paraId="6392204D" w14:textId="77777777" w:rsidR="00C3345F" w:rsidRPr="001C2F78" w:rsidRDefault="00C3345F">
            <w:pPr>
              <w:pStyle w:val="ListParagraph"/>
              <w:ind w:left="360"/>
              <w:rPr>
                <w:rFonts w:cs="Arial"/>
              </w:rPr>
            </w:pPr>
          </w:p>
          <w:p w14:paraId="77EE0695" w14:textId="05EB3BAF" w:rsidR="00C3345F" w:rsidRPr="001C2F78" w:rsidRDefault="00C3345F">
            <w:pPr>
              <w:pStyle w:val="ListParagraph"/>
              <w:ind w:left="360"/>
              <w:rPr>
                <w:rFonts w:cs="Arial"/>
                <w:i/>
              </w:rPr>
            </w:pPr>
            <w:r w:rsidRPr="001C2F78">
              <w:rPr>
                <w:rFonts w:cs="Arial"/>
                <w:i/>
              </w:rPr>
              <w:t>If “no” to question #3, skip questions #4-5 and continue to question #6.</w:t>
            </w:r>
          </w:p>
        </w:tc>
        <w:tc>
          <w:tcPr>
            <w:tcW w:w="1651" w:type="dxa"/>
            <w:vAlign w:val="center"/>
          </w:tcPr>
          <w:p w14:paraId="017F6F74" w14:textId="77777777" w:rsidR="00C3345F" w:rsidRPr="00CF4879" w:rsidRDefault="00C3345F" w:rsidP="00AD309C">
            <w:pPr>
              <w:pStyle w:val="ListParagraph"/>
              <w:numPr>
                <w:ilvl w:val="0"/>
                <w:numId w:val="331"/>
              </w:numPr>
              <w:rPr>
                <w:rFonts w:cs="Arial"/>
                <w:iCs/>
                <w:snapToGrid w:val="0"/>
              </w:rPr>
            </w:pPr>
            <w:r w:rsidRPr="00CF4879">
              <w:rPr>
                <w:rFonts w:cs="Arial"/>
                <w:iCs/>
                <w:snapToGrid w:val="0"/>
              </w:rPr>
              <w:t>Yes</w:t>
            </w:r>
          </w:p>
          <w:p w14:paraId="10E36938" w14:textId="77777777" w:rsidR="00C3345F" w:rsidRPr="00CF4879" w:rsidRDefault="00C3345F" w:rsidP="00AD309C">
            <w:pPr>
              <w:pStyle w:val="ListParagraph"/>
              <w:numPr>
                <w:ilvl w:val="0"/>
                <w:numId w:val="331"/>
              </w:numPr>
              <w:rPr>
                <w:rFonts w:cs="Arial"/>
                <w:iCs/>
                <w:snapToGrid w:val="0"/>
              </w:rPr>
            </w:pPr>
            <w:r w:rsidRPr="00CF4879">
              <w:rPr>
                <w:rFonts w:cs="Arial"/>
                <w:iCs/>
                <w:snapToGrid w:val="0"/>
              </w:rPr>
              <w:t>No</w:t>
            </w:r>
          </w:p>
        </w:tc>
      </w:tr>
      <w:tr w:rsidR="00C3345F" w:rsidRPr="009A5185" w14:paraId="7017D2AA" w14:textId="77777777" w:rsidTr="00FF651B">
        <w:trPr>
          <w:trHeight w:val="576"/>
        </w:trPr>
        <w:tc>
          <w:tcPr>
            <w:tcW w:w="7704" w:type="dxa"/>
            <w:vAlign w:val="center"/>
          </w:tcPr>
          <w:p w14:paraId="12B3B18F" w14:textId="77777777" w:rsidR="00C3345F" w:rsidRPr="009A5185" w:rsidRDefault="00C3345F" w:rsidP="00AD309C">
            <w:pPr>
              <w:pStyle w:val="ListParagraph"/>
              <w:numPr>
                <w:ilvl w:val="0"/>
                <w:numId w:val="41"/>
              </w:numPr>
              <w:rPr>
                <w:rFonts w:cs="Arial"/>
              </w:rPr>
            </w:pPr>
            <w:r w:rsidRPr="009A5185">
              <w:rPr>
                <w:rFonts w:cs="Arial"/>
              </w:rPr>
              <w:t>If “yes,” how many of this type of unit are open and staffed in the hospital?</w:t>
            </w:r>
          </w:p>
        </w:tc>
        <w:tc>
          <w:tcPr>
            <w:tcW w:w="1651" w:type="dxa"/>
            <w:vAlign w:val="center"/>
          </w:tcPr>
          <w:p w14:paraId="12AF7492" w14:textId="77777777" w:rsidR="00C3345F" w:rsidRPr="009A5185" w:rsidRDefault="00C3345F">
            <w:pPr>
              <w:jc w:val="center"/>
              <w:rPr>
                <w:rFonts w:cs="Arial"/>
                <w:i/>
                <w:snapToGrid w:val="0"/>
              </w:rPr>
            </w:pPr>
            <w:r w:rsidRPr="009A5185">
              <w:rPr>
                <w:rFonts w:cs="Arial"/>
                <w:i/>
                <w:snapToGrid w:val="0"/>
              </w:rPr>
              <w:t>_____</w:t>
            </w:r>
          </w:p>
        </w:tc>
      </w:tr>
      <w:tr w:rsidR="00C3345F" w:rsidRPr="009A5185" w14:paraId="52A32CD0" w14:textId="77777777" w:rsidTr="00FF651B">
        <w:trPr>
          <w:trHeight w:val="720"/>
        </w:trPr>
        <w:tc>
          <w:tcPr>
            <w:tcW w:w="7704" w:type="dxa"/>
            <w:vAlign w:val="center"/>
          </w:tcPr>
          <w:p w14:paraId="5CF9A47D" w14:textId="77777777" w:rsidR="00C3345F" w:rsidRPr="009A5185" w:rsidRDefault="00C3345F" w:rsidP="00AD309C">
            <w:pPr>
              <w:pStyle w:val="ListParagraph"/>
              <w:numPr>
                <w:ilvl w:val="0"/>
                <w:numId w:val="41"/>
              </w:numPr>
              <w:rPr>
                <w:rFonts w:cs="Arial"/>
              </w:rPr>
            </w:pPr>
            <w:r w:rsidRPr="009A5185">
              <w:rPr>
                <w:rFonts w:cs="Arial"/>
              </w:rPr>
              <w:t>How many of the units in question #4 utilized the BCMA/eMAR system when administering medications at the bedside?</w:t>
            </w:r>
          </w:p>
        </w:tc>
        <w:tc>
          <w:tcPr>
            <w:tcW w:w="1651" w:type="dxa"/>
            <w:vAlign w:val="center"/>
          </w:tcPr>
          <w:p w14:paraId="70283C6E" w14:textId="77777777" w:rsidR="00C3345F" w:rsidRPr="009A5185" w:rsidRDefault="00C3345F">
            <w:pPr>
              <w:jc w:val="center"/>
              <w:rPr>
                <w:rFonts w:cs="Arial"/>
                <w:i/>
                <w:snapToGrid w:val="0"/>
              </w:rPr>
            </w:pPr>
            <w:r w:rsidRPr="009A5185">
              <w:rPr>
                <w:rFonts w:cs="Arial"/>
                <w:i/>
                <w:snapToGrid w:val="0"/>
              </w:rPr>
              <w:t>_____</w:t>
            </w:r>
          </w:p>
        </w:tc>
      </w:tr>
      <w:tr w:rsidR="00C3345F" w:rsidRPr="009A5185" w14:paraId="726FC1C8" w14:textId="77777777" w:rsidTr="00FF651B">
        <w:trPr>
          <w:trHeight w:val="1008"/>
        </w:trPr>
        <w:tc>
          <w:tcPr>
            <w:tcW w:w="7704" w:type="dxa"/>
            <w:vAlign w:val="center"/>
          </w:tcPr>
          <w:p w14:paraId="58FB1448" w14:textId="654B4D4A" w:rsidR="00C3345F" w:rsidRPr="009A5185" w:rsidRDefault="00C3345F" w:rsidP="00AD309C">
            <w:pPr>
              <w:pStyle w:val="ListParagraph"/>
              <w:numPr>
                <w:ilvl w:val="0"/>
                <w:numId w:val="41"/>
              </w:numPr>
              <w:rPr>
                <w:rFonts w:cs="Arial"/>
              </w:rPr>
            </w:pPr>
            <w:r w:rsidRPr="009A5185">
              <w:rPr>
                <w:rFonts w:cs="Arial"/>
              </w:rPr>
              <w:t xml:space="preserve">Does your hospital operate </w:t>
            </w:r>
            <w:r w:rsidR="0046325A">
              <w:rPr>
                <w:rFonts w:cs="Arial"/>
              </w:rPr>
              <w:t xml:space="preserve">adult and/or pediatric </w:t>
            </w:r>
            <w:hyperlink w:anchor="MedicalandorSurgicalUnits" w:history="1">
              <w:r w:rsidRPr="009A5185">
                <w:rPr>
                  <w:rStyle w:val="Hyperlink"/>
                  <w:rFonts w:cs="Arial"/>
                </w:rPr>
                <w:t>Medical</w:t>
              </w:r>
              <w:r w:rsidR="00484891">
                <w:rPr>
                  <w:rStyle w:val="Hyperlink"/>
                  <w:rFonts w:cs="Arial"/>
                </w:rPr>
                <w:t xml:space="preserve">, </w:t>
              </w:r>
              <w:r w:rsidRPr="009A5185">
                <w:rPr>
                  <w:rStyle w:val="Hyperlink"/>
                  <w:rFonts w:cs="Arial"/>
                </w:rPr>
                <w:t>Surgical</w:t>
              </w:r>
              <w:r w:rsidR="00BC5D89">
                <w:rPr>
                  <w:rStyle w:val="Hyperlink"/>
                  <w:rFonts w:cs="Arial"/>
                </w:rPr>
                <w:t xml:space="preserve">, or Medical/Surgical </w:t>
              </w:r>
              <w:r w:rsidRPr="009A5185">
                <w:rPr>
                  <w:rStyle w:val="Hyperlink"/>
                  <w:rFonts w:cs="Arial"/>
                </w:rPr>
                <w:t>Units (including telemetry units)</w:t>
              </w:r>
            </w:hyperlink>
            <w:bookmarkStart w:id="169" w:name="_Ref57907818"/>
            <w:r w:rsidR="000012E4">
              <w:t>?</w:t>
            </w:r>
            <w:bookmarkStart w:id="170" w:name="_Ref158623355"/>
            <w:r w:rsidR="00C2087D">
              <w:rPr>
                <w:rFonts w:ascii="ZWAdobeF" w:hAnsi="ZWAdobeF" w:cs="ZWAdobeF"/>
                <w:sz w:val="2"/>
                <w:szCs w:val="2"/>
              </w:rPr>
              <w:t>18F</w:t>
            </w:r>
            <w:r w:rsidR="00B55C41">
              <w:rPr>
                <w:rFonts w:ascii="ZWAdobeF" w:hAnsi="ZWAdobeF" w:cs="ZWAdobeF"/>
                <w:sz w:val="2"/>
                <w:szCs w:val="2"/>
              </w:rPr>
              <w:t>18F</w:t>
            </w:r>
            <w:r w:rsidR="006255A6">
              <w:rPr>
                <w:rFonts w:ascii="ZWAdobeF" w:hAnsi="ZWAdobeF" w:cs="ZWAdobeF"/>
                <w:sz w:val="2"/>
                <w:szCs w:val="2"/>
              </w:rPr>
              <w:t>18F</w:t>
            </w:r>
            <w:r w:rsidR="00E453C7">
              <w:rPr>
                <w:rFonts w:ascii="ZWAdobeF" w:hAnsi="ZWAdobeF" w:cs="ZWAdobeF"/>
                <w:sz w:val="2"/>
                <w:szCs w:val="2"/>
              </w:rPr>
              <w:t>18F</w:t>
            </w:r>
            <w:r w:rsidR="00953060">
              <w:rPr>
                <w:rFonts w:ascii="ZWAdobeF" w:hAnsi="ZWAdobeF" w:cs="ZWAdobeF"/>
                <w:sz w:val="2"/>
                <w:szCs w:val="2"/>
              </w:rPr>
              <w:t>18F</w:t>
            </w:r>
            <w:r w:rsidR="00DD04D6">
              <w:rPr>
                <w:rFonts w:ascii="ZWAdobeF" w:hAnsi="ZWAdobeF" w:cs="ZWAdobeF"/>
                <w:sz w:val="2"/>
                <w:szCs w:val="2"/>
              </w:rPr>
              <w:t>18F</w:t>
            </w:r>
            <w:r w:rsidRPr="000012E4">
              <w:rPr>
                <w:rStyle w:val="EndnoteReference"/>
                <w:rFonts w:cs="Arial"/>
              </w:rPr>
              <w:endnoteReference w:id="20"/>
            </w:r>
            <w:bookmarkEnd w:id="169"/>
            <w:bookmarkEnd w:id="170"/>
          </w:p>
          <w:p w14:paraId="3345FD80" w14:textId="77777777" w:rsidR="00C3345F" w:rsidRPr="009A5185" w:rsidRDefault="00C3345F">
            <w:pPr>
              <w:rPr>
                <w:rFonts w:cs="Arial"/>
                <w:i/>
              </w:rPr>
            </w:pPr>
          </w:p>
          <w:p w14:paraId="1F1AEE32" w14:textId="2C5D67E4" w:rsidR="00C3345F" w:rsidRPr="009A5185" w:rsidRDefault="00C3345F">
            <w:pPr>
              <w:pStyle w:val="ListParagraph"/>
              <w:ind w:left="360"/>
              <w:rPr>
                <w:rFonts w:cs="Arial"/>
                <w:i/>
              </w:rPr>
            </w:pPr>
            <w:r w:rsidRPr="005B1DEA">
              <w:rPr>
                <w:rFonts w:cs="Arial"/>
                <w:i/>
              </w:rPr>
              <w:t>If “no” to question #6, skip questions #7-8 and continue to question #9.</w:t>
            </w:r>
          </w:p>
        </w:tc>
        <w:tc>
          <w:tcPr>
            <w:tcW w:w="1651" w:type="dxa"/>
            <w:vAlign w:val="center"/>
          </w:tcPr>
          <w:p w14:paraId="6730ADB5" w14:textId="77777777" w:rsidR="00C3345F" w:rsidRPr="00CF4879" w:rsidRDefault="00C3345F" w:rsidP="00AD309C">
            <w:pPr>
              <w:pStyle w:val="ListParagraph"/>
              <w:numPr>
                <w:ilvl w:val="0"/>
                <w:numId w:val="332"/>
              </w:numPr>
              <w:rPr>
                <w:rFonts w:cs="Arial"/>
                <w:iCs/>
                <w:snapToGrid w:val="0"/>
              </w:rPr>
            </w:pPr>
            <w:r w:rsidRPr="00CF4879">
              <w:rPr>
                <w:rFonts w:cs="Arial"/>
                <w:iCs/>
                <w:snapToGrid w:val="0"/>
              </w:rPr>
              <w:t>Yes</w:t>
            </w:r>
          </w:p>
          <w:p w14:paraId="5184E5C6" w14:textId="77777777" w:rsidR="00C3345F" w:rsidRPr="005778E2" w:rsidRDefault="00C3345F" w:rsidP="00AD309C">
            <w:pPr>
              <w:pStyle w:val="ListParagraph"/>
              <w:numPr>
                <w:ilvl w:val="0"/>
                <w:numId w:val="332"/>
              </w:numPr>
              <w:rPr>
                <w:rFonts w:cs="Arial"/>
                <w:i/>
                <w:snapToGrid w:val="0"/>
              </w:rPr>
            </w:pPr>
            <w:r w:rsidRPr="00CF4879">
              <w:rPr>
                <w:rFonts w:cs="Arial"/>
                <w:iCs/>
                <w:snapToGrid w:val="0"/>
              </w:rPr>
              <w:t>No</w:t>
            </w:r>
          </w:p>
        </w:tc>
      </w:tr>
      <w:tr w:rsidR="00C3345F" w:rsidRPr="009A5185" w14:paraId="1E59A321" w14:textId="77777777" w:rsidTr="00FF651B">
        <w:trPr>
          <w:trHeight w:val="576"/>
        </w:trPr>
        <w:tc>
          <w:tcPr>
            <w:tcW w:w="7704" w:type="dxa"/>
            <w:vAlign w:val="center"/>
          </w:tcPr>
          <w:p w14:paraId="446A023A" w14:textId="77777777" w:rsidR="00C3345F" w:rsidRPr="009A5185" w:rsidRDefault="00C3345F" w:rsidP="00AD309C">
            <w:pPr>
              <w:pStyle w:val="ListParagraph"/>
              <w:numPr>
                <w:ilvl w:val="0"/>
                <w:numId w:val="41"/>
              </w:numPr>
              <w:rPr>
                <w:rFonts w:cs="Arial"/>
              </w:rPr>
            </w:pPr>
            <w:r w:rsidRPr="009A5185">
              <w:rPr>
                <w:rFonts w:cs="Arial"/>
              </w:rPr>
              <w:t>If “yes,” how many of this type of unit were open and staffed in the hospital?</w:t>
            </w:r>
          </w:p>
        </w:tc>
        <w:tc>
          <w:tcPr>
            <w:tcW w:w="1651" w:type="dxa"/>
            <w:vAlign w:val="center"/>
          </w:tcPr>
          <w:p w14:paraId="31E44C8E" w14:textId="77777777" w:rsidR="00C3345F" w:rsidRPr="009A5185" w:rsidRDefault="00C3345F">
            <w:pPr>
              <w:jc w:val="center"/>
              <w:rPr>
                <w:rFonts w:cs="Arial"/>
                <w:i/>
                <w:snapToGrid w:val="0"/>
              </w:rPr>
            </w:pPr>
            <w:r w:rsidRPr="009A5185">
              <w:rPr>
                <w:rFonts w:cs="Arial"/>
                <w:i/>
                <w:snapToGrid w:val="0"/>
              </w:rPr>
              <w:t>_____</w:t>
            </w:r>
          </w:p>
        </w:tc>
      </w:tr>
      <w:tr w:rsidR="00C3345F" w:rsidRPr="009A5185" w14:paraId="41201FB5" w14:textId="77777777" w:rsidTr="00FF651B">
        <w:trPr>
          <w:trHeight w:val="720"/>
        </w:trPr>
        <w:tc>
          <w:tcPr>
            <w:tcW w:w="7704" w:type="dxa"/>
            <w:vAlign w:val="center"/>
          </w:tcPr>
          <w:p w14:paraId="6FD3DDA9" w14:textId="77777777" w:rsidR="00C3345F" w:rsidRPr="009A5185" w:rsidRDefault="00C3345F" w:rsidP="00AD309C">
            <w:pPr>
              <w:pStyle w:val="ListParagraph"/>
              <w:numPr>
                <w:ilvl w:val="0"/>
                <w:numId w:val="41"/>
              </w:numPr>
              <w:rPr>
                <w:rFonts w:cs="Arial"/>
              </w:rPr>
            </w:pPr>
            <w:r w:rsidRPr="009A5185">
              <w:rPr>
                <w:rFonts w:cs="Arial"/>
              </w:rPr>
              <w:lastRenderedPageBreak/>
              <w:t>How many of the units in question #7 utilized the BCMA/eMAR system when administering medications at the bedside?</w:t>
            </w:r>
          </w:p>
        </w:tc>
        <w:tc>
          <w:tcPr>
            <w:tcW w:w="1651" w:type="dxa"/>
            <w:vAlign w:val="center"/>
          </w:tcPr>
          <w:p w14:paraId="2DEB90D6" w14:textId="77777777" w:rsidR="00C3345F" w:rsidRPr="009A5185" w:rsidRDefault="00C3345F">
            <w:pPr>
              <w:jc w:val="center"/>
              <w:rPr>
                <w:rFonts w:cs="Arial"/>
                <w:i/>
                <w:snapToGrid w:val="0"/>
              </w:rPr>
            </w:pPr>
            <w:r w:rsidRPr="009A5185">
              <w:rPr>
                <w:rFonts w:cs="Arial"/>
                <w:i/>
                <w:snapToGrid w:val="0"/>
              </w:rPr>
              <w:t>_____</w:t>
            </w:r>
          </w:p>
        </w:tc>
      </w:tr>
      <w:tr w:rsidR="00FB2D71" w:rsidRPr="009A5185" w14:paraId="5C27B62B" w14:textId="77777777" w:rsidTr="00FF651B">
        <w:trPr>
          <w:trHeight w:val="720"/>
        </w:trPr>
        <w:tc>
          <w:tcPr>
            <w:tcW w:w="7704" w:type="dxa"/>
            <w:vAlign w:val="center"/>
          </w:tcPr>
          <w:p w14:paraId="1BF1FCB9" w14:textId="14E0ECB9" w:rsidR="00FB2D71" w:rsidRDefault="00FB2D71" w:rsidP="00AD309C">
            <w:pPr>
              <w:pStyle w:val="ListParagraph"/>
              <w:numPr>
                <w:ilvl w:val="0"/>
                <w:numId w:val="41"/>
              </w:numPr>
              <w:rPr>
                <w:rFonts w:cs="Arial"/>
              </w:rPr>
            </w:pPr>
            <w:r>
              <w:rPr>
                <w:rFonts w:cs="Arial"/>
              </w:rPr>
              <w:t xml:space="preserve">Does your hospital operate </w:t>
            </w:r>
            <w:r w:rsidR="009F3F80">
              <w:rPr>
                <w:rFonts w:cs="Arial"/>
              </w:rPr>
              <w:t xml:space="preserve">adult and/or pediatric </w:t>
            </w:r>
            <w:hyperlink w:anchor="stepdown_progressiveunits_endnote20" w:history="1">
              <w:r w:rsidRPr="00553390">
                <w:rPr>
                  <w:rStyle w:val="Hyperlink"/>
                  <w:rFonts w:cs="Arial"/>
                </w:rPr>
                <w:t>Step-down/Progressive Units</w:t>
              </w:r>
            </w:hyperlink>
            <w:r w:rsidR="00BF053F">
              <w:rPr>
                <w:rFonts w:ascii="ZWAdobeF" w:hAnsi="ZWAdobeF" w:cs="ZWAdobeF"/>
                <w:sz w:val="2"/>
                <w:szCs w:val="2"/>
              </w:rPr>
              <w:t>19F</w:t>
            </w:r>
            <w:r w:rsidR="004C7557">
              <w:rPr>
                <w:rFonts w:ascii="ZWAdobeF" w:hAnsi="ZWAdobeF" w:cs="ZWAdobeF"/>
                <w:sz w:val="2"/>
                <w:szCs w:val="2"/>
              </w:rPr>
              <w:t>19F</w:t>
            </w:r>
            <w:r w:rsidR="00C2087D">
              <w:rPr>
                <w:rFonts w:ascii="ZWAdobeF" w:hAnsi="ZWAdobeF" w:cs="ZWAdobeF"/>
                <w:sz w:val="2"/>
                <w:szCs w:val="2"/>
              </w:rPr>
              <w:t>19F</w:t>
            </w:r>
            <w:r w:rsidR="00B55C41">
              <w:rPr>
                <w:rFonts w:ascii="ZWAdobeF" w:hAnsi="ZWAdobeF" w:cs="ZWAdobeF"/>
                <w:sz w:val="2"/>
                <w:szCs w:val="2"/>
              </w:rPr>
              <w:t>19F</w:t>
            </w:r>
            <w:r w:rsidR="006255A6">
              <w:rPr>
                <w:rFonts w:ascii="ZWAdobeF" w:hAnsi="ZWAdobeF" w:cs="ZWAdobeF"/>
                <w:sz w:val="2"/>
                <w:szCs w:val="2"/>
              </w:rPr>
              <w:t>19F</w:t>
            </w:r>
            <w:r w:rsidR="00E453C7">
              <w:rPr>
                <w:rFonts w:ascii="ZWAdobeF" w:hAnsi="ZWAdobeF" w:cs="ZWAdobeF"/>
                <w:sz w:val="2"/>
                <w:szCs w:val="2"/>
              </w:rPr>
              <w:t>19F</w:t>
            </w:r>
            <w:r w:rsidR="00953060">
              <w:rPr>
                <w:rFonts w:ascii="ZWAdobeF" w:hAnsi="ZWAdobeF" w:cs="ZWAdobeF"/>
                <w:sz w:val="2"/>
                <w:szCs w:val="2"/>
              </w:rPr>
              <w:t>19F</w:t>
            </w:r>
            <w:r w:rsidR="00DD04D6">
              <w:rPr>
                <w:rFonts w:ascii="ZWAdobeF" w:hAnsi="ZWAdobeF" w:cs="ZWAdobeF"/>
                <w:sz w:val="2"/>
                <w:szCs w:val="2"/>
              </w:rPr>
              <w:t>19F</w:t>
            </w:r>
            <w:r>
              <w:rPr>
                <w:rStyle w:val="EndnoteReference"/>
              </w:rPr>
              <w:endnoteReference w:id="21"/>
            </w:r>
            <w:r w:rsidR="00BF63EF">
              <w:rPr>
                <w:rFonts w:cs="Arial"/>
              </w:rPr>
              <w:t>?</w:t>
            </w:r>
          </w:p>
          <w:p w14:paraId="2D7905DF" w14:textId="77777777" w:rsidR="00FB2D71" w:rsidRDefault="00FB2D71" w:rsidP="00FB2D71">
            <w:pPr>
              <w:rPr>
                <w:rFonts w:cs="Arial"/>
              </w:rPr>
            </w:pPr>
          </w:p>
          <w:p w14:paraId="16E30C7D" w14:textId="77777777" w:rsidR="00FB2D71" w:rsidRDefault="00FB2D71" w:rsidP="00FB2D71">
            <w:pPr>
              <w:ind w:left="360"/>
              <w:rPr>
                <w:rFonts w:cs="Arial"/>
                <w:i/>
                <w:iCs/>
              </w:rPr>
            </w:pPr>
            <w:r>
              <w:rPr>
                <w:rFonts w:cs="Arial"/>
                <w:i/>
                <w:iCs/>
              </w:rPr>
              <w:t>If “no” to question #9, skip questions #10-11 and continue to question #12.</w:t>
            </w:r>
          </w:p>
          <w:p w14:paraId="46197D97" w14:textId="77777777" w:rsidR="00FB2D71" w:rsidRPr="009A5185" w:rsidRDefault="00FB2D71" w:rsidP="006C0E05">
            <w:pPr>
              <w:pStyle w:val="ListParagraph"/>
              <w:ind w:left="360"/>
              <w:rPr>
                <w:rFonts w:cs="Arial"/>
              </w:rPr>
            </w:pPr>
          </w:p>
        </w:tc>
        <w:tc>
          <w:tcPr>
            <w:tcW w:w="1651" w:type="dxa"/>
            <w:vAlign w:val="center"/>
          </w:tcPr>
          <w:p w14:paraId="4E11C4C3" w14:textId="7EE1AF7F" w:rsidR="00FB2D71" w:rsidRDefault="00FB2D71" w:rsidP="00AD309C">
            <w:pPr>
              <w:pStyle w:val="ListParagraph"/>
              <w:numPr>
                <w:ilvl w:val="0"/>
                <w:numId w:val="333"/>
              </w:numPr>
              <w:rPr>
                <w:rFonts w:cs="Arial"/>
                <w:iCs/>
                <w:snapToGrid w:val="0"/>
              </w:rPr>
            </w:pPr>
            <w:r w:rsidRPr="00CF4879">
              <w:rPr>
                <w:rFonts w:cs="Arial"/>
                <w:iCs/>
                <w:snapToGrid w:val="0"/>
              </w:rPr>
              <w:t>Ye</w:t>
            </w:r>
            <w:r>
              <w:rPr>
                <w:rFonts w:cs="Arial"/>
                <w:iCs/>
                <w:snapToGrid w:val="0"/>
              </w:rPr>
              <w:t>s</w:t>
            </w:r>
          </w:p>
          <w:p w14:paraId="5AF3F5C0" w14:textId="47CAE721" w:rsidR="00FB2D71" w:rsidRPr="006C0E05" w:rsidRDefault="00FB2D71" w:rsidP="00AD309C">
            <w:pPr>
              <w:pStyle w:val="ListParagraph"/>
              <w:numPr>
                <w:ilvl w:val="0"/>
                <w:numId w:val="333"/>
              </w:numPr>
              <w:rPr>
                <w:rFonts w:cs="Arial"/>
                <w:iCs/>
                <w:snapToGrid w:val="0"/>
              </w:rPr>
            </w:pPr>
            <w:r w:rsidRPr="00FB2D71">
              <w:rPr>
                <w:rFonts w:cs="Arial"/>
                <w:iCs/>
                <w:snapToGrid w:val="0"/>
              </w:rPr>
              <w:t>No</w:t>
            </w:r>
          </w:p>
        </w:tc>
      </w:tr>
      <w:tr w:rsidR="00FB2D71" w:rsidRPr="009A5185" w14:paraId="23D4FF12" w14:textId="77777777" w:rsidTr="00FF651B">
        <w:trPr>
          <w:trHeight w:val="720"/>
        </w:trPr>
        <w:tc>
          <w:tcPr>
            <w:tcW w:w="7704" w:type="dxa"/>
            <w:vAlign w:val="center"/>
          </w:tcPr>
          <w:p w14:paraId="3682948E" w14:textId="7EA7CEE6" w:rsidR="00FB2D71" w:rsidRPr="009A5185" w:rsidRDefault="00FB2D71" w:rsidP="00AD309C">
            <w:pPr>
              <w:pStyle w:val="ListParagraph"/>
              <w:numPr>
                <w:ilvl w:val="0"/>
                <w:numId w:val="41"/>
              </w:numPr>
              <w:rPr>
                <w:rFonts w:cs="Arial"/>
              </w:rPr>
            </w:pPr>
            <w:r w:rsidRPr="009A5185">
              <w:rPr>
                <w:rFonts w:cs="Arial"/>
              </w:rPr>
              <w:t>If “yes,” how many of this type of unit were open and staffed in the hospital?</w:t>
            </w:r>
          </w:p>
        </w:tc>
        <w:tc>
          <w:tcPr>
            <w:tcW w:w="1651" w:type="dxa"/>
            <w:vAlign w:val="center"/>
          </w:tcPr>
          <w:p w14:paraId="4A89CEF2" w14:textId="06B93DCD" w:rsidR="00FB2D71" w:rsidRPr="009A5185" w:rsidRDefault="00FB2D71" w:rsidP="00FB2D71">
            <w:pPr>
              <w:jc w:val="center"/>
              <w:rPr>
                <w:rFonts w:cs="Arial"/>
                <w:i/>
                <w:snapToGrid w:val="0"/>
              </w:rPr>
            </w:pPr>
            <w:r w:rsidRPr="009A5185">
              <w:rPr>
                <w:rFonts w:cs="Arial"/>
                <w:i/>
                <w:snapToGrid w:val="0"/>
              </w:rPr>
              <w:t>_____</w:t>
            </w:r>
          </w:p>
        </w:tc>
      </w:tr>
      <w:tr w:rsidR="00FB2D71" w:rsidRPr="009A5185" w14:paraId="4F02D18D" w14:textId="77777777" w:rsidTr="00FF651B">
        <w:trPr>
          <w:trHeight w:val="720"/>
        </w:trPr>
        <w:tc>
          <w:tcPr>
            <w:tcW w:w="7704" w:type="dxa"/>
            <w:vAlign w:val="center"/>
          </w:tcPr>
          <w:p w14:paraId="4DDB14FD" w14:textId="0B8498D9" w:rsidR="00FB2D71" w:rsidRPr="009A5185" w:rsidRDefault="00FB2D71" w:rsidP="00AD309C">
            <w:pPr>
              <w:pStyle w:val="ListParagraph"/>
              <w:numPr>
                <w:ilvl w:val="0"/>
                <w:numId w:val="41"/>
              </w:numPr>
              <w:rPr>
                <w:rFonts w:cs="Arial"/>
              </w:rPr>
            </w:pPr>
            <w:r w:rsidRPr="009A5185">
              <w:rPr>
                <w:rFonts w:cs="Arial"/>
              </w:rPr>
              <w:t>How many of the units in question #10 utilized the BCMA/eMAR system when administering medications at the bedside?</w:t>
            </w:r>
          </w:p>
        </w:tc>
        <w:tc>
          <w:tcPr>
            <w:tcW w:w="1651" w:type="dxa"/>
            <w:vAlign w:val="center"/>
          </w:tcPr>
          <w:p w14:paraId="68C0FEFB" w14:textId="78E87939" w:rsidR="00FB2D71" w:rsidRPr="009A5185" w:rsidRDefault="00FB2D71" w:rsidP="00FB2D71">
            <w:pPr>
              <w:jc w:val="center"/>
              <w:rPr>
                <w:rFonts w:cs="Arial"/>
                <w:i/>
                <w:snapToGrid w:val="0"/>
              </w:rPr>
            </w:pPr>
            <w:r w:rsidRPr="009A5185">
              <w:rPr>
                <w:rFonts w:cs="Arial"/>
                <w:i/>
                <w:snapToGrid w:val="0"/>
              </w:rPr>
              <w:t>_____</w:t>
            </w:r>
          </w:p>
        </w:tc>
      </w:tr>
      <w:tr w:rsidR="00C3345F" w:rsidRPr="009A5185" w14:paraId="0EA3B057" w14:textId="77777777" w:rsidTr="00FF651B">
        <w:trPr>
          <w:trHeight w:val="864"/>
        </w:trPr>
        <w:tc>
          <w:tcPr>
            <w:tcW w:w="7704" w:type="dxa"/>
            <w:vAlign w:val="center"/>
          </w:tcPr>
          <w:p w14:paraId="086D44EA" w14:textId="13E62AB5" w:rsidR="00C3345F" w:rsidRPr="009A5185" w:rsidRDefault="00C3345F" w:rsidP="00AD309C">
            <w:pPr>
              <w:pStyle w:val="ListParagraph"/>
              <w:numPr>
                <w:ilvl w:val="0"/>
                <w:numId w:val="41"/>
              </w:numPr>
              <w:rPr>
                <w:rFonts w:cs="Arial"/>
              </w:rPr>
            </w:pPr>
            <w:r w:rsidRPr="009A5185">
              <w:rPr>
                <w:rFonts w:cs="Arial"/>
              </w:rPr>
              <w:t xml:space="preserve">Does your hospital operate a </w:t>
            </w:r>
            <w:hyperlink w:anchor="LaborandDeliveryUnits" w:history="1">
              <w:r w:rsidRPr="0044327C">
                <w:rPr>
                  <w:rStyle w:val="Hyperlink"/>
                  <w:rFonts w:cs="Arial"/>
                </w:rPr>
                <w:t>Labor and Delivery Unit</w:t>
              </w:r>
            </w:hyperlink>
            <w:r w:rsidR="000F0582">
              <w:rPr>
                <w:rStyle w:val="Hyperlink"/>
                <w:rFonts w:ascii="ZWAdobeF" w:hAnsi="ZWAdobeF" w:cs="ZWAdobeF"/>
                <w:color w:val="auto"/>
                <w:sz w:val="2"/>
                <w:szCs w:val="2"/>
                <w:u w:val="none"/>
              </w:rPr>
              <w:t>19F</w:t>
            </w:r>
            <w:bookmarkStart w:id="173" w:name="_Ref158623400"/>
            <w:r w:rsidR="00BF053F">
              <w:rPr>
                <w:rStyle w:val="Hyperlink"/>
                <w:rFonts w:ascii="ZWAdobeF" w:hAnsi="ZWAdobeF" w:cs="ZWAdobeF"/>
                <w:color w:val="auto"/>
                <w:sz w:val="2"/>
                <w:szCs w:val="2"/>
                <w:u w:val="none"/>
              </w:rPr>
              <w:t>20F</w:t>
            </w:r>
            <w:r w:rsidR="004C7557">
              <w:rPr>
                <w:rStyle w:val="Hyperlink"/>
                <w:rFonts w:ascii="ZWAdobeF" w:hAnsi="ZWAdobeF" w:cs="ZWAdobeF"/>
                <w:color w:val="auto"/>
                <w:sz w:val="2"/>
                <w:szCs w:val="2"/>
                <w:u w:val="none"/>
              </w:rPr>
              <w:t>20F</w:t>
            </w:r>
            <w:r w:rsidR="00C2087D">
              <w:rPr>
                <w:rStyle w:val="Hyperlink"/>
                <w:rFonts w:ascii="ZWAdobeF" w:hAnsi="ZWAdobeF" w:cs="ZWAdobeF"/>
                <w:color w:val="auto"/>
                <w:sz w:val="2"/>
                <w:szCs w:val="2"/>
                <w:u w:val="none"/>
              </w:rPr>
              <w:t>20F</w:t>
            </w:r>
            <w:r w:rsidR="00B55C41">
              <w:rPr>
                <w:rStyle w:val="Hyperlink"/>
                <w:rFonts w:ascii="ZWAdobeF" w:hAnsi="ZWAdobeF" w:cs="ZWAdobeF"/>
                <w:color w:val="auto"/>
                <w:sz w:val="2"/>
                <w:szCs w:val="2"/>
                <w:u w:val="none"/>
              </w:rPr>
              <w:t>20F</w:t>
            </w:r>
            <w:r w:rsidR="006255A6">
              <w:rPr>
                <w:rStyle w:val="Hyperlink"/>
                <w:rFonts w:ascii="ZWAdobeF" w:hAnsi="ZWAdobeF" w:cs="ZWAdobeF"/>
                <w:color w:val="auto"/>
                <w:sz w:val="2"/>
                <w:szCs w:val="2"/>
                <w:u w:val="none"/>
              </w:rPr>
              <w:t>20F</w:t>
            </w:r>
            <w:r w:rsidR="00E453C7">
              <w:rPr>
                <w:rStyle w:val="Hyperlink"/>
                <w:rFonts w:ascii="ZWAdobeF" w:hAnsi="ZWAdobeF" w:cs="ZWAdobeF"/>
                <w:color w:val="auto"/>
                <w:sz w:val="2"/>
                <w:szCs w:val="2"/>
                <w:u w:val="none"/>
              </w:rPr>
              <w:t>20F</w:t>
            </w:r>
            <w:r w:rsidR="00953060">
              <w:rPr>
                <w:rStyle w:val="Hyperlink"/>
                <w:rFonts w:ascii="ZWAdobeF" w:hAnsi="ZWAdobeF" w:cs="ZWAdobeF"/>
                <w:color w:val="auto"/>
                <w:sz w:val="2"/>
                <w:szCs w:val="2"/>
                <w:u w:val="none"/>
              </w:rPr>
              <w:t>20F</w:t>
            </w:r>
            <w:r w:rsidR="00DD04D6">
              <w:rPr>
                <w:rStyle w:val="Hyperlink"/>
                <w:rFonts w:ascii="ZWAdobeF" w:hAnsi="ZWAdobeF" w:cs="ZWAdobeF"/>
                <w:color w:val="auto"/>
                <w:sz w:val="2"/>
                <w:szCs w:val="2"/>
                <w:u w:val="none"/>
              </w:rPr>
              <w:t>20F</w:t>
            </w:r>
            <w:r>
              <w:rPr>
                <w:rStyle w:val="EndnoteReference"/>
              </w:rPr>
              <w:endnoteReference w:id="22"/>
            </w:r>
            <w:bookmarkEnd w:id="173"/>
            <w:r w:rsidRPr="009A5185">
              <w:rPr>
                <w:rFonts w:cs="Arial"/>
              </w:rPr>
              <w:t>?</w:t>
            </w:r>
          </w:p>
          <w:p w14:paraId="62F97689" w14:textId="77777777" w:rsidR="00C3345F" w:rsidRPr="009A5185" w:rsidRDefault="00C3345F">
            <w:pPr>
              <w:pStyle w:val="ListParagraph"/>
              <w:ind w:left="360"/>
              <w:rPr>
                <w:rFonts w:cs="Arial"/>
              </w:rPr>
            </w:pPr>
          </w:p>
          <w:p w14:paraId="17454216" w14:textId="4F16CA4A" w:rsidR="00C3345F" w:rsidRPr="009A5185" w:rsidRDefault="00C3345F">
            <w:pPr>
              <w:pStyle w:val="ListParagraph"/>
              <w:ind w:left="360"/>
              <w:rPr>
                <w:rFonts w:cs="Arial"/>
                <w:i/>
              </w:rPr>
            </w:pPr>
            <w:r w:rsidRPr="008B15F7">
              <w:rPr>
                <w:rFonts w:cs="Arial"/>
                <w:i/>
              </w:rPr>
              <w:t>If “no” to question #</w:t>
            </w:r>
            <w:r w:rsidR="00D220EB">
              <w:rPr>
                <w:rFonts w:cs="Arial"/>
                <w:i/>
              </w:rPr>
              <w:t>12</w:t>
            </w:r>
            <w:r w:rsidRPr="008B15F7">
              <w:rPr>
                <w:rFonts w:cs="Arial"/>
                <w:i/>
              </w:rPr>
              <w:t>, skip questions #1</w:t>
            </w:r>
            <w:r w:rsidR="001A1DD8">
              <w:rPr>
                <w:rFonts w:cs="Arial"/>
                <w:i/>
              </w:rPr>
              <w:t>3</w:t>
            </w:r>
            <w:r w:rsidRPr="008B15F7">
              <w:rPr>
                <w:rFonts w:cs="Arial"/>
                <w:i/>
              </w:rPr>
              <w:t>-1</w:t>
            </w:r>
            <w:r w:rsidR="001A1DD8">
              <w:rPr>
                <w:rFonts w:cs="Arial"/>
                <w:i/>
              </w:rPr>
              <w:t>4</w:t>
            </w:r>
            <w:r w:rsidRPr="008B15F7">
              <w:rPr>
                <w:rFonts w:cs="Arial"/>
                <w:i/>
              </w:rPr>
              <w:t xml:space="preserve"> and continue to question #1</w:t>
            </w:r>
            <w:r w:rsidR="001A1DD8">
              <w:rPr>
                <w:rFonts w:cs="Arial"/>
                <w:i/>
              </w:rPr>
              <w:t>5</w:t>
            </w:r>
            <w:r w:rsidRPr="008B15F7">
              <w:rPr>
                <w:rFonts w:cs="Arial"/>
                <w:i/>
              </w:rPr>
              <w:t>.</w:t>
            </w:r>
          </w:p>
        </w:tc>
        <w:tc>
          <w:tcPr>
            <w:tcW w:w="1651" w:type="dxa"/>
            <w:vAlign w:val="center"/>
          </w:tcPr>
          <w:p w14:paraId="5704F113" w14:textId="77777777" w:rsidR="00C3345F" w:rsidRPr="00CF4879" w:rsidRDefault="00C3345F" w:rsidP="00AD309C">
            <w:pPr>
              <w:pStyle w:val="ListParagraph"/>
              <w:numPr>
                <w:ilvl w:val="0"/>
                <w:numId w:val="333"/>
              </w:numPr>
              <w:rPr>
                <w:rFonts w:cs="Arial"/>
                <w:iCs/>
                <w:snapToGrid w:val="0"/>
              </w:rPr>
            </w:pPr>
            <w:r w:rsidRPr="00CF4879">
              <w:rPr>
                <w:rFonts w:cs="Arial"/>
                <w:iCs/>
                <w:snapToGrid w:val="0"/>
              </w:rPr>
              <w:t>Yes</w:t>
            </w:r>
          </w:p>
          <w:p w14:paraId="73A150BF" w14:textId="77777777" w:rsidR="00C3345F" w:rsidRPr="00CF4879" w:rsidRDefault="00C3345F" w:rsidP="00AD309C">
            <w:pPr>
              <w:pStyle w:val="ListParagraph"/>
              <w:numPr>
                <w:ilvl w:val="0"/>
                <w:numId w:val="333"/>
              </w:numPr>
              <w:rPr>
                <w:rFonts w:cs="Arial"/>
                <w:i/>
                <w:snapToGrid w:val="0"/>
              </w:rPr>
            </w:pPr>
            <w:r w:rsidRPr="00CF4879">
              <w:rPr>
                <w:rFonts w:cs="Arial"/>
                <w:iCs/>
                <w:snapToGrid w:val="0"/>
              </w:rPr>
              <w:t>No</w:t>
            </w:r>
            <w:r w:rsidRPr="00CF4879">
              <w:rPr>
                <w:rFonts w:cs="Arial"/>
                <w:i/>
                <w:snapToGrid w:val="0"/>
              </w:rPr>
              <w:t xml:space="preserve"> </w:t>
            </w:r>
          </w:p>
        </w:tc>
      </w:tr>
      <w:tr w:rsidR="008D6E32" w:rsidRPr="009A5185" w14:paraId="65B59C25" w14:textId="77777777" w:rsidTr="00FF651B">
        <w:trPr>
          <w:trHeight w:val="576"/>
        </w:trPr>
        <w:tc>
          <w:tcPr>
            <w:tcW w:w="7704" w:type="dxa"/>
            <w:vAlign w:val="center"/>
          </w:tcPr>
          <w:p w14:paraId="733DAB83" w14:textId="5E803A2F" w:rsidR="008D6E32" w:rsidRPr="009A5185" w:rsidRDefault="008D6E32" w:rsidP="00AD309C">
            <w:pPr>
              <w:pStyle w:val="ListParagraph"/>
              <w:numPr>
                <w:ilvl w:val="0"/>
                <w:numId w:val="41"/>
              </w:numPr>
              <w:rPr>
                <w:rFonts w:cs="Arial"/>
              </w:rPr>
            </w:pPr>
            <w:r w:rsidRPr="009A5185">
              <w:rPr>
                <w:rFonts w:cs="Arial"/>
              </w:rPr>
              <w:t>If “yes,” how many of this type of unit were open and staffed in the hospital?</w:t>
            </w:r>
          </w:p>
        </w:tc>
        <w:tc>
          <w:tcPr>
            <w:tcW w:w="1651" w:type="dxa"/>
            <w:vAlign w:val="center"/>
          </w:tcPr>
          <w:p w14:paraId="1FE9C19E" w14:textId="631B8451" w:rsidR="008D6E32" w:rsidRPr="009A5185" w:rsidRDefault="008D6E32">
            <w:pPr>
              <w:jc w:val="center"/>
              <w:rPr>
                <w:rFonts w:cs="Arial"/>
                <w:i/>
                <w:snapToGrid w:val="0"/>
              </w:rPr>
            </w:pPr>
            <w:r w:rsidRPr="009A5185">
              <w:rPr>
                <w:rFonts w:cs="Arial"/>
                <w:i/>
                <w:snapToGrid w:val="0"/>
              </w:rPr>
              <w:t>_____</w:t>
            </w:r>
          </w:p>
        </w:tc>
      </w:tr>
      <w:tr w:rsidR="00C3345F" w:rsidRPr="009A5185" w14:paraId="780AFF61" w14:textId="77777777" w:rsidTr="00FF651B">
        <w:trPr>
          <w:trHeight w:val="720"/>
        </w:trPr>
        <w:tc>
          <w:tcPr>
            <w:tcW w:w="7704" w:type="dxa"/>
            <w:vAlign w:val="center"/>
          </w:tcPr>
          <w:p w14:paraId="2A1CBC1A" w14:textId="385B6142" w:rsidR="00C3345F" w:rsidRPr="009A5185" w:rsidRDefault="00C3345F" w:rsidP="00AD309C">
            <w:pPr>
              <w:pStyle w:val="ListParagraph"/>
              <w:numPr>
                <w:ilvl w:val="0"/>
                <w:numId w:val="41"/>
              </w:numPr>
              <w:rPr>
                <w:rFonts w:cs="Arial"/>
              </w:rPr>
            </w:pPr>
            <w:r w:rsidRPr="009A5185">
              <w:rPr>
                <w:rFonts w:cs="Arial"/>
              </w:rPr>
              <w:t>How many of the units in question #1</w:t>
            </w:r>
            <w:r w:rsidR="00253455">
              <w:rPr>
                <w:rFonts w:cs="Arial"/>
              </w:rPr>
              <w:t>3</w:t>
            </w:r>
            <w:r w:rsidRPr="009A5185">
              <w:rPr>
                <w:rFonts w:cs="Arial"/>
              </w:rPr>
              <w:t xml:space="preserve"> utilized the BCMA/eMAR system when administering medications at the bedside?</w:t>
            </w:r>
          </w:p>
        </w:tc>
        <w:tc>
          <w:tcPr>
            <w:tcW w:w="1651" w:type="dxa"/>
            <w:vAlign w:val="center"/>
          </w:tcPr>
          <w:p w14:paraId="2B690C56" w14:textId="77777777" w:rsidR="00C3345F" w:rsidRPr="009A5185" w:rsidRDefault="00C3345F">
            <w:pPr>
              <w:jc w:val="center"/>
              <w:rPr>
                <w:rFonts w:cs="Arial"/>
                <w:i/>
                <w:snapToGrid w:val="0"/>
              </w:rPr>
            </w:pPr>
            <w:r w:rsidRPr="009A5185">
              <w:rPr>
                <w:rFonts w:cs="Arial"/>
                <w:i/>
                <w:snapToGrid w:val="0"/>
              </w:rPr>
              <w:t>_____</w:t>
            </w:r>
          </w:p>
        </w:tc>
      </w:tr>
      <w:tr w:rsidR="005778E2" w:rsidRPr="009A5185" w14:paraId="2CD40080" w14:textId="77777777" w:rsidTr="00FF651B">
        <w:trPr>
          <w:trHeight w:val="720"/>
        </w:trPr>
        <w:tc>
          <w:tcPr>
            <w:tcW w:w="7704" w:type="dxa"/>
            <w:vAlign w:val="center"/>
          </w:tcPr>
          <w:p w14:paraId="04FC267A" w14:textId="00012FC2" w:rsidR="005778E2" w:rsidRPr="0059120C" w:rsidRDefault="005778E2" w:rsidP="00AD309C">
            <w:pPr>
              <w:pStyle w:val="ListParagraph"/>
              <w:numPr>
                <w:ilvl w:val="0"/>
                <w:numId w:val="41"/>
              </w:numPr>
              <w:rPr>
                <w:rFonts w:cs="Arial"/>
              </w:rPr>
            </w:pPr>
            <w:r w:rsidRPr="0059120C">
              <w:rPr>
                <w:rFonts w:cs="Arial"/>
              </w:rPr>
              <w:t xml:space="preserve">Does your hospital operate </w:t>
            </w:r>
            <w:r w:rsidR="001748D3">
              <w:rPr>
                <w:rFonts w:cs="Arial"/>
              </w:rPr>
              <w:t>adult and</w:t>
            </w:r>
            <w:r w:rsidR="00931665">
              <w:rPr>
                <w:rFonts w:cs="Arial"/>
              </w:rPr>
              <w:t>/or</w:t>
            </w:r>
            <w:r w:rsidR="001748D3">
              <w:rPr>
                <w:rFonts w:cs="Arial"/>
              </w:rPr>
              <w:t xml:space="preserve"> pediatric </w:t>
            </w:r>
            <w:hyperlink w:anchor="pacusendnote" w:history="1">
              <w:r w:rsidR="00B04A67">
                <w:rPr>
                  <w:rStyle w:val="Hyperlink"/>
                  <w:rFonts w:cs="Arial"/>
                </w:rPr>
                <w:t>P</w:t>
              </w:r>
              <w:r w:rsidR="00BD7FBF">
                <w:rPr>
                  <w:rStyle w:val="Hyperlink"/>
                  <w:rFonts w:cs="Arial"/>
                </w:rPr>
                <w:t xml:space="preserve">re-operative and </w:t>
              </w:r>
              <w:r w:rsidR="00B04A67">
                <w:rPr>
                  <w:rStyle w:val="Hyperlink"/>
                  <w:rFonts w:cs="Arial"/>
                </w:rPr>
                <w:t>P</w:t>
              </w:r>
              <w:r w:rsidR="00BD7FBF">
                <w:rPr>
                  <w:rStyle w:val="Hyperlink"/>
                  <w:rFonts w:cs="Arial"/>
                </w:rPr>
                <w:t xml:space="preserve">ost-anesthesia </w:t>
              </w:r>
              <w:r w:rsidR="00B04A67">
                <w:rPr>
                  <w:rStyle w:val="Hyperlink"/>
                  <w:rFonts w:cs="Arial"/>
                </w:rPr>
                <w:t>C</w:t>
              </w:r>
              <w:r w:rsidR="00BD7FBF">
                <w:rPr>
                  <w:rStyle w:val="Hyperlink"/>
                  <w:rFonts w:cs="Arial"/>
                </w:rPr>
                <w:t xml:space="preserve">are </w:t>
              </w:r>
              <w:r w:rsidR="00B04A67">
                <w:rPr>
                  <w:rStyle w:val="Hyperlink"/>
                  <w:rFonts w:cs="Arial"/>
                </w:rPr>
                <w:t>U</w:t>
              </w:r>
              <w:r w:rsidR="00BD7FBF">
                <w:rPr>
                  <w:rStyle w:val="Hyperlink"/>
                  <w:rFonts w:cs="Arial"/>
                </w:rPr>
                <w:t>nits</w:t>
              </w:r>
            </w:hyperlink>
            <w:bookmarkStart w:id="175" w:name="_Ref158623544"/>
            <w:r w:rsidR="00BF053F">
              <w:rPr>
                <w:rFonts w:ascii="ZWAdobeF" w:hAnsi="ZWAdobeF" w:cs="ZWAdobeF"/>
                <w:sz w:val="2"/>
                <w:szCs w:val="2"/>
              </w:rPr>
              <w:t>21F</w:t>
            </w:r>
            <w:r w:rsidR="004C7557">
              <w:rPr>
                <w:rFonts w:ascii="ZWAdobeF" w:hAnsi="ZWAdobeF" w:cs="ZWAdobeF"/>
                <w:sz w:val="2"/>
                <w:szCs w:val="2"/>
              </w:rPr>
              <w:t>21F</w:t>
            </w:r>
            <w:r w:rsidR="00C2087D">
              <w:rPr>
                <w:rFonts w:ascii="ZWAdobeF" w:hAnsi="ZWAdobeF" w:cs="ZWAdobeF"/>
                <w:sz w:val="2"/>
                <w:szCs w:val="2"/>
              </w:rPr>
              <w:t>21F</w:t>
            </w:r>
            <w:r w:rsidR="00B55C41">
              <w:rPr>
                <w:rFonts w:ascii="ZWAdobeF" w:hAnsi="ZWAdobeF" w:cs="ZWAdobeF"/>
                <w:sz w:val="2"/>
                <w:szCs w:val="2"/>
              </w:rPr>
              <w:t>21F</w:t>
            </w:r>
            <w:r w:rsidR="006255A6">
              <w:rPr>
                <w:rFonts w:ascii="ZWAdobeF" w:hAnsi="ZWAdobeF" w:cs="ZWAdobeF"/>
                <w:sz w:val="2"/>
                <w:szCs w:val="2"/>
              </w:rPr>
              <w:t>21F</w:t>
            </w:r>
            <w:r w:rsidR="00E453C7">
              <w:rPr>
                <w:rFonts w:ascii="ZWAdobeF" w:hAnsi="ZWAdobeF" w:cs="ZWAdobeF"/>
                <w:sz w:val="2"/>
                <w:szCs w:val="2"/>
              </w:rPr>
              <w:t>21F</w:t>
            </w:r>
            <w:r w:rsidR="00953060">
              <w:rPr>
                <w:rFonts w:ascii="ZWAdobeF" w:hAnsi="ZWAdobeF" w:cs="ZWAdobeF"/>
                <w:sz w:val="2"/>
                <w:szCs w:val="2"/>
              </w:rPr>
              <w:t>21F</w:t>
            </w:r>
            <w:r w:rsidR="00DD04D6">
              <w:rPr>
                <w:rFonts w:ascii="ZWAdobeF" w:hAnsi="ZWAdobeF" w:cs="ZWAdobeF"/>
                <w:sz w:val="2"/>
                <w:szCs w:val="2"/>
              </w:rPr>
              <w:t>21F</w:t>
            </w:r>
            <w:r w:rsidR="00DB5E96">
              <w:rPr>
                <w:rStyle w:val="EndnoteReference"/>
              </w:rPr>
              <w:endnoteReference w:id="23"/>
            </w:r>
            <w:bookmarkEnd w:id="175"/>
            <w:r w:rsidR="00251E1C" w:rsidRPr="006238F7">
              <w:rPr>
                <w:rStyle w:val="Hyperlink"/>
                <w:rFonts w:cs="Arial"/>
                <w:color w:val="auto"/>
                <w:u w:val="none"/>
              </w:rPr>
              <w:t>?</w:t>
            </w:r>
          </w:p>
          <w:p w14:paraId="585CBEC8" w14:textId="77777777" w:rsidR="005778E2" w:rsidRPr="0059120C" w:rsidRDefault="005778E2" w:rsidP="005778E2">
            <w:pPr>
              <w:rPr>
                <w:rFonts w:cs="Arial"/>
              </w:rPr>
            </w:pPr>
          </w:p>
          <w:p w14:paraId="6523C9F6" w14:textId="075618AB" w:rsidR="005778E2" w:rsidRPr="009A5185" w:rsidRDefault="005778E2" w:rsidP="00C8246A">
            <w:pPr>
              <w:pStyle w:val="ListParagraph"/>
              <w:ind w:left="360"/>
              <w:rPr>
                <w:rFonts w:cs="Arial"/>
              </w:rPr>
            </w:pPr>
            <w:r w:rsidRPr="00786EDD">
              <w:rPr>
                <w:rFonts w:cs="Arial"/>
                <w:i/>
                <w:iCs/>
              </w:rPr>
              <w:t>If “no” to question #1</w:t>
            </w:r>
            <w:r w:rsidR="00DE1C2E">
              <w:rPr>
                <w:rFonts w:cs="Arial"/>
                <w:i/>
                <w:iCs/>
              </w:rPr>
              <w:t>5</w:t>
            </w:r>
            <w:r w:rsidRPr="00786EDD">
              <w:rPr>
                <w:rFonts w:cs="Arial"/>
                <w:i/>
                <w:iCs/>
              </w:rPr>
              <w:t>, skip questions #1</w:t>
            </w:r>
            <w:r w:rsidR="00DE1C2E">
              <w:rPr>
                <w:rFonts w:cs="Arial"/>
                <w:i/>
                <w:iCs/>
              </w:rPr>
              <w:t>6</w:t>
            </w:r>
            <w:r w:rsidRPr="00786EDD">
              <w:rPr>
                <w:rFonts w:cs="Arial"/>
                <w:i/>
                <w:iCs/>
              </w:rPr>
              <w:t>-1</w:t>
            </w:r>
            <w:r w:rsidR="00DE1C2E">
              <w:rPr>
                <w:rFonts w:cs="Arial"/>
                <w:i/>
                <w:iCs/>
              </w:rPr>
              <w:t>7</w:t>
            </w:r>
            <w:r w:rsidRPr="00786EDD">
              <w:rPr>
                <w:rFonts w:cs="Arial"/>
                <w:i/>
                <w:iCs/>
              </w:rPr>
              <w:t xml:space="preserve"> and continue to question #1</w:t>
            </w:r>
            <w:r w:rsidR="00DE1C2E">
              <w:rPr>
                <w:rFonts w:cs="Arial"/>
                <w:i/>
                <w:iCs/>
              </w:rPr>
              <w:t>8</w:t>
            </w:r>
            <w:r w:rsidRPr="00786EDD">
              <w:rPr>
                <w:rFonts w:cs="Arial"/>
                <w:i/>
                <w:iCs/>
              </w:rPr>
              <w:t>.</w:t>
            </w:r>
          </w:p>
        </w:tc>
        <w:tc>
          <w:tcPr>
            <w:tcW w:w="1651" w:type="dxa"/>
            <w:vAlign w:val="center"/>
          </w:tcPr>
          <w:p w14:paraId="600840A4" w14:textId="77777777" w:rsidR="005778E2" w:rsidRDefault="005778E2" w:rsidP="00AD309C">
            <w:pPr>
              <w:pStyle w:val="ListParagraph"/>
              <w:numPr>
                <w:ilvl w:val="0"/>
                <w:numId w:val="334"/>
              </w:numPr>
              <w:rPr>
                <w:rFonts w:cs="Arial"/>
                <w:iCs/>
                <w:snapToGrid w:val="0"/>
              </w:rPr>
            </w:pPr>
            <w:r w:rsidRPr="00C8246A">
              <w:rPr>
                <w:rFonts w:cs="Arial"/>
                <w:iCs/>
                <w:snapToGrid w:val="0"/>
              </w:rPr>
              <w:t>Yes</w:t>
            </w:r>
          </w:p>
          <w:p w14:paraId="2907D71B" w14:textId="1F6AD208" w:rsidR="005778E2" w:rsidRPr="00C8246A" w:rsidRDefault="005778E2" w:rsidP="00AD309C">
            <w:pPr>
              <w:pStyle w:val="ListParagraph"/>
              <w:numPr>
                <w:ilvl w:val="0"/>
                <w:numId w:val="334"/>
              </w:numPr>
              <w:rPr>
                <w:rFonts w:cs="Arial"/>
                <w:iCs/>
                <w:snapToGrid w:val="0"/>
              </w:rPr>
            </w:pPr>
            <w:r w:rsidRPr="00C8246A">
              <w:rPr>
                <w:rFonts w:cs="Arial"/>
                <w:iCs/>
                <w:snapToGrid w:val="0"/>
              </w:rPr>
              <w:t>No</w:t>
            </w:r>
          </w:p>
        </w:tc>
      </w:tr>
      <w:tr w:rsidR="005778E2" w:rsidRPr="009A5185" w14:paraId="7CA0B874" w14:textId="77777777" w:rsidTr="00FF651B">
        <w:trPr>
          <w:trHeight w:val="720"/>
        </w:trPr>
        <w:tc>
          <w:tcPr>
            <w:tcW w:w="7704" w:type="dxa"/>
            <w:vAlign w:val="center"/>
          </w:tcPr>
          <w:p w14:paraId="67DDEDAE" w14:textId="0BF67EEE" w:rsidR="005778E2" w:rsidRPr="009A5185" w:rsidRDefault="005778E2" w:rsidP="00AD309C">
            <w:pPr>
              <w:pStyle w:val="ListParagraph"/>
              <w:numPr>
                <w:ilvl w:val="0"/>
                <w:numId w:val="41"/>
              </w:numPr>
              <w:rPr>
                <w:rFonts w:cs="Arial"/>
              </w:rPr>
            </w:pPr>
            <w:r w:rsidRPr="0059120C">
              <w:rPr>
                <w:rFonts w:cs="Arial"/>
              </w:rPr>
              <w:t>If “yes,” how many of this type of unit are open and staffed in the hospital?</w:t>
            </w:r>
          </w:p>
        </w:tc>
        <w:tc>
          <w:tcPr>
            <w:tcW w:w="1651" w:type="dxa"/>
            <w:vAlign w:val="center"/>
          </w:tcPr>
          <w:p w14:paraId="47F4279E" w14:textId="0A7036D2" w:rsidR="005778E2" w:rsidRPr="009A5185" w:rsidRDefault="005778E2" w:rsidP="005778E2">
            <w:pPr>
              <w:jc w:val="center"/>
              <w:rPr>
                <w:rFonts w:cs="Arial"/>
                <w:i/>
                <w:snapToGrid w:val="0"/>
              </w:rPr>
            </w:pPr>
            <w:r w:rsidRPr="009A5185">
              <w:rPr>
                <w:rFonts w:cs="Arial"/>
                <w:i/>
                <w:snapToGrid w:val="0"/>
              </w:rPr>
              <w:t>_____</w:t>
            </w:r>
          </w:p>
        </w:tc>
      </w:tr>
      <w:tr w:rsidR="005778E2" w:rsidRPr="009A5185" w14:paraId="4A3EE8FC" w14:textId="77777777" w:rsidTr="00FF651B">
        <w:trPr>
          <w:trHeight w:val="720"/>
        </w:trPr>
        <w:tc>
          <w:tcPr>
            <w:tcW w:w="7704" w:type="dxa"/>
            <w:vAlign w:val="center"/>
          </w:tcPr>
          <w:p w14:paraId="774EE055" w14:textId="51A87C8D" w:rsidR="005778E2" w:rsidRPr="009A5185" w:rsidRDefault="005778E2" w:rsidP="00AD309C">
            <w:pPr>
              <w:pStyle w:val="ListParagraph"/>
              <w:numPr>
                <w:ilvl w:val="0"/>
                <w:numId w:val="41"/>
              </w:numPr>
              <w:rPr>
                <w:rFonts w:cs="Arial"/>
              </w:rPr>
            </w:pPr>
            <w:r w:rsidRPr="0059120C">
              <w:rPr>
                <w:rFonts w:cs="Arial"/>
              </w:rPr>
              <w:t>How many of the units in question #1</w:t>
            </w:r>
            <w:r w:rsidR="00221801">
              <w:rPr>
                <w:rFonts w:cs="Arial"/>
              </w:rPr>
              <w:t>6</w:t>
            </w:r>
            <w:r w:rsidRPr="0059120C">
              <w:rPr>
                <w:rFonts w:cs="Arial"/>
              </w:rPr>
              <w:t xml:space="preserve"> utilized the BCMA/eMAR system when administering medications at the bedside?</w:t>
            </w:r>
          </w:p>
        </w:tc>
        <w:tc>
          <w:tcPr>
            <w:tcW w:w="1651" w:type="dxa"/>
            <w:vAlign w:val="center"/>
          </w:tcPr>
          <w:p w14:paraId="2801058E" w14:textId="5FC930C2" w:rsidR="005778E2" w:rsidRPr="009A5185" w:rsidRDefault="005778E2" w:rsidP="005778E2">
            <w:pPr>
              <w:jc w:val="center"/>
              <w:rPr>
                <w:rFonts w:cs="Arial"/>
                <w:i/>
                <w:snapToGrid w:val="0"/>
              </w:rPr>
            </w:pPr>
            <w:r w:rsidRPr="009A5185">
              <w:rPr>
                <w:rFonts w:cs="Arial"/>
                <w:i/>
                <w:snapToGrid w:val="0"/>
              </w:rPr>
              <w:t>_____</w:t>
            </w:r>
          </w:p>
        </w:tc>
      </w:tr>
    </w:tbl>
    <w:p w14:paraId="58F418A9" w14:textId="77777777" w:rsidR="00C3345F" w:rsidRPr="009A5185" w:rsidRDefault="00C3345F" w:rsidP="00C3345F">
      <w:pPr>
        <w:spacing w:line="276" w:lineRule="auto"/>
        <w:rPr>
          <w:rFonts w:cs="Arial"/>
        </w:rPr>
      </w:pPr>
    </w:p>
    <w:p w14:paraId="2762DEF1" w14:textId="24EEA1BA" w:rsidR="00C3345F" w:rsidRDefault="00C3345F" w:rsidP="00C3345F">
      <w:pPr>
        <w:spacing w:line="276" w:lineRule="auto"/>
        <w:rPr>
          <w:rFonts w:cs="Arial"/>
          <w:i/>
        </w:rPr>
      </w:pPr>
      <w:r w:rsidRPr="008B15F7">
        <w:rPr>
          <w:rFonts w:cs="Arial"/>
          <w:i/>
        </w:rPr>
        <w:t>If “no” to questions #3, #6, #9</w:t>
      </w:r>
      <w:r w:rsidR="00653074">
        <w:rPr>
          <w:rFonts w:cs="Arial"/>
          <w:i/>
        </w:rPr>
        <w:t>, #12</w:t>
      </w:r>
      <w:r w:rsidR="009A094C">
        <w:rPr>
          <w:rFonts w:cs="Arial"/>
          <w:i/>
        </w:rPr>
        <w:t>, and #1</w:t>
      </w:r>
      <w:r w:rsidR="000879D6">
        <w:rPr>
          <w:rFonts w:cs="Arial"/>
          <w:i/>
        </w:rPr>
        <w:t>5</w:t>
      </w:r>
      <w:r w:rsidRPr="008B15F7">
        <w:rPr>
          <w:rFonts w:cs="Arial"/>
          <w:i/>
        </w:rPr>
        <w:t xml:space="preserve"> above, </w:t>
      </w:r>
      <w:r w:rsidR="000454A4">
        <w:rPr>
          <w:rFonts w:cs="Arial"/>
          <w:i/>
        </w:rPr>
        <w:t>update your response to question #2.</w:t>
      </w:r>
      <w:r w:rsidRPr="009A5185">
        <w:rPr>
          <w:rFonts w:cs="Arial"/>
          <w:i/>
        </w:rPr>
        <w:t xml:space="preserve"> </w:t>
      </w:r>
    </w:p>
    <w:p w14:paraId="4035E272" w14:textId="132C91DA" w:rsidR="008D6E32" w:rsidRDefault="008D6E32" w:rsidP="00C3345F">
      <w:pPr>
        <w:spacing w:line="276" w:lineRule="auto"/>
        <w:rPr>
          <w:rFonts w:cs="Arial"/>
          <w:i/>
        </w:rPr>
      </w:pPr>
    </w:p>
    <w:tbl>
      <w:tblPr>
        <w:tblStyle w:val="TableGrid"/>
        <w:tblW w:w="0" w:type="auto"/>
        <w:tblLook w:val="04A0" w:firstRow="1" w:lastRow="0" w:firstColumn="1" w:lastColumn="0" w:noHBand="0" w:noVBand="1"/>
      </w:tblPr>
      <w:tblGrid>
        <w:gridCol w:w="7735"/>
        <w:gridCol w:w="1615"/>
      </w:tblGrid>
      <w:tr w:rsidR="008D6E32" w14:paraId="5136ECE8" w14:textId="77777777" w:rsidTr="00680456">
        <w:trPr>
          <w:trHeight w:val="935"/>
        </w:trPr>
        <w:tc>
          <w:tcPr>
            <w:tcW w:w="7735" w:type="dxa"/>
            <w:vAlign w:val="center"/>
          </w:tcPr>
          <w:p w14:paraId="77F48301" w14:textId="71BF14B0" w:rsidR="008D6E32" w:rsidRPr="008D6E32" w:rsidRDefault="008D6E32" w:rsidP="00AD309C">
            <w:pPr>
              <w:pStyle w:val="ListParagraph"/>
              <w:numPr>
                <w:ilvl w:val="0"/>
                <w:numId w:val="41"/>
              </w:numPr>
              <w:spacing w:line="276" w:lineRule="auto"/>
              <w:rPr>
                <w:rFonts w:cs="Arial"/>
                <w:i/>
              </w:rPr>
            </w:pPr>
            <w:r w:rsidRPr="008D6E32">
              <w:rPr>
                <w:rFonts w:cs="Arial"/>
              </w:rPr>
              <w:t>The number of scannable medication administrations during the reporting period in those units that utilize BCMA as indicated in questions #5, #8,</w:t>
            </w:r>
            <w:r w:rsidR="00653074">
              <w:rPr>
                <w:rFonts w:cs="Arial"/>
              </w:rPr>
              <w:t xml:space="preserve"> </w:t>
            </w:r>
            <w:r w:rsidRPr="008D6E32">
              <w:rPr>
                <w:rFonts w:cs="Arial"/>
              </w:rPr>
              <w:t>#11</w:t>
            </w:r>
            <w:r w:rsidR="00653074">
              <w:rPr>
                <w:rFonts w:cs="Arial"/>
              </w:rPr>
              <w:t>, #14</w:t>
            </w:r>
            <w:r w:rsidR="001E7EF8">
              <w:rPr>
                <w:rFonts w:cs="Arial"/>
              </w:rPr>
              <w:t>,</w:t>
            </w:r>
            <w:r w:rsidRPr="008D6E32">
              <w:rPr>
                <w:rFonts w:cs="Arial"/>
              </w:rPr>
              <w:t xml:space="preserve"> </w:t>
            </w:r>
            <w:r w:rsidR="00FE7733">
              <w:rPr>
                <w:rFonts w:cs="Arial"/>
              </w:rPr>
              <w:t>and #1</w:t>
            </w:r>
            <w:r w:rsidR="00520909">
              <w:rPr>
                <w:rFonts w:cs="Arial"/>
              </w:rPr>
              <w:t xml:space="preserve">7 </w:t>
            </w:r>
            <w:r w:rsidRPr="008D6E32">
              <w:rPr>
                <w:rFonts w:cs="Arial"/>
              </w:rPr>
              <w:t>above</w:t>
            </w:r>
            <w:r w:rsidR="00521651">
              <w:rPr>
                <w:rFonts w:cs="Arial"/>
              </w:rPr>
              <w:t>:</w:t>
            </w:r>
          </w:p>
        </w:tc>
        <w:tc>
          <w:tcPr>
            <w:tcW w:w="1615" w:type="dxa"/>
            <w:vAlign w:val="center"/>
          </w:tcPr>
          <w:p w14:paraId="7A52B000" w14:textId="38B34BCF" w:rsidR="008D6E32" w:rsidRDefault="008D6E32" w:rsidP="00680456">
            <w:pPr>
              <w:spacing w:line="276" w:lineRule="auto"/>
              <w:jc w:val="center"/>
              <w:rPr>
                <w:rFonts w:cs="Arial"/>
                <w:i/>
              </w:rPr>
            </w:pPr>
            <w:r w:rsidRPr="009A5185">
              <w:rPr>
                <w:rFonts w:cs="Arial"/>
                <w:i/>
                <w:snapToGrid w:val="0"/>
              </w:rPr>
              <w:t>_____</w:t>
            </w:r>
          </w:p>
        </w:tc>
      </w:tr>
      <w:tr w:rsidR="008D6E32" w14:paraId="1FED2D96" w14:textId="77777777" w:rsidTr="00680456">
        <w:trPr>
          <w:trHeight w:val="890"/>
        </w:trPr>
        <w:tc>
          <w:tcPr>
            <w:tcW w:w="7735" w:type="dxa"/>
            <w:vAlign w:val="center"/>
          </w:tcPr>
          <w:p w14:paraId="432B5254" w14:textId="6C7BF60C" w:rsidR="008D6E32" w:rsidRPr="008D6E32" w:rsidRDefault="008D6E32" w:rsidP="00AD309C">
            <w:pPr>
              <w:pStyle w:val="ListParagraph"/>
              <w:numPr>
                <w:ilvl w:val="0"/>
                <w:numId w:val="41"/>
              </w:numPr>
              <w:spacing w:line="276" w:lineRule="auto"/>
              <w:rPr>
                <w:rFonts w:cs="Arial"/>
                <w:i/>
              </w:rPr>
            </w:pPr>
            <w:r w:rsidRPr="008D6E32">
              <w:rPr>
                <w:rFonts w:cs="Arial"/>
              </w:rPr>
              <w:t>The number of medication administrations from question #1</w:t>
            </w:r>
            <w:r w:rsidR="00873F7A">
              <w:rPr>
                <w:rFonts w:cs="Arial"/>
              </w:rPr>
              <w:t>8</w:t>
            </w:r>
            <w:r w:rsidRPr="008D6E32">
              <w:rPr>
                <w:rFonts w:cs="Arial"/>
              </w:rPr>
              <w:t xml:space="preserve"> that had both the patient and the medication scanned during administration with a BCMA system that is linked to the electronic medication administration record (eMAR)</w:t>
            </w:r>
            <w:r w:rsidR="00521651">
              <w:rPr>
                <w:rFonts w:cs="Arial"/>
              </w:rPr>
              <w:t>:</w:t>
            </w:r>
          </w:p>
        </w:tc>
        <w:tc>
          <w:tcPr>
            <w:tcW w:w="1615" w:type="dxa"/>
            <w:vAlign w:val="center"/>
          </w:tcPr>
          <w:p w14:paraId="70023661" w14:textId="6F005BDC" w:rsidR="008D6E32" w:rsidRDefault="008D6E32" w:rsidP="00680456">
            <w:pPr>
              <w:spacing w:line="276" w:lineRule="auto"/>
              <w:jc w:val="center"/>
              <w:rPr>
                <w:rFonts w:cs="Arial"/>
                <w:i/>
              </w:rPr>
            </w:pPr>
            <w:r w:rsidRPr="009A5185">
              <w:rPr>
                <w:rFonts w:cs="Arial"/>
                <w:i/>
                <w:snapToGrid w:val="0"/>
              </w:rPr>
              <w:t>_____</w:t>
            </w:r>
          </w:p>
        </w:tc>
      </w:tr>
    </w:tbl>
    <w:p w14:paraId="06920FEF" w14:textId="77777777" w:rsidR="00C3345F" w:rsidRPr="009A5185" w:rsidRDefault="00C3345F" w:rsidP="00C3345F">
      <w:pPr>
        <w:spacing w:line="276" w:lineRule="auto"/>
        <w:rPr>
          <w:rFonts w:cs="Arial"/>
        </w:rPr>
      </w:pPr>
    </w:p>
    <w:tbl>
      <w:tblPr>
        <w:tblStyle w:val="TableGrid"/>
        <w:tblW w:w="0" w:type="auto"/>
        <w:tblLook w:val="04A0" w:firstRow="1" w:lastRow="0" w:firstColumn="1" w:lastColumn="0" w:noHBand="0" w:noVBand="1"/>
      </w:tblPr>
      <w:tblGrid>
        <w:gridCol w:w="394"/>
        <w:gridCol w:w="7251"/>
        <w:gridCol w:w="1705"/>
      </w:tblGrid>
      <w:tr w:rsidR="00C3345F" w:rsidRPr="009A5185" w14:paraId="78BF609E" w14:textId="77777777" w:rsidTr="007C4D5D">
        <w:trPr>
          <w:trHeight w:val="20"/>
        </w:trPr>
        <w:tc>
          <w:tcPr>
            <w:tcW w:w="0" w:type="auto"/>
            <w:gridSpan w:val="3"/>
          </w:tcPr>
          <w:p w14:paraId="682BF0BD" w14:textId="5D79A78E" w:rsidR="00C3345F" w:rsidRPr="00F0772B" w:rsidRDefault="00C3345F" w:rsidP="00AD309C">
            <w:pPr>
              <w:pStyle w:val="ListParagraph"/>
              <w:numPr>
                <w:ilvl w:val="0"/>
                <w:numId w:val="41"/>
              </w:numPr>
              <w:spacing w:before="120" w:line="276" w:lineRule="auto"/>
              <w:jc w:val="both"/>
            </w:pPr>
            <w:r w:rsidRPr="009A5185">
              <w:rPr>
                <w:rFonts w:cs="Arial"/>
              </w:rPr>
              <w:t>What types of decision support does your hospital’s BCMA system provide to users of the system?</w:t>
            </w:r>
          </w:p>
        </w:tc>
      </w:tr>
      <w:tr w:rsidR="00C3345F" w:rsidRPr="009A5185" w14:paraId="1EB74790" w14:textId="77777777" w:rsidTr="00680456">
        <w:tc>
          <w:tcPr>
            <w:tcW w:w="0" w:type="auto"/>
            <w:vAlign w:val="center"/>
          </w:tcPr>
          <w:p w14:paraId="60EA850F" w14:textId="77777777" w:rsidR="00C3345F" w:rsidRPr="009A5185" w:rsidRDefault="00C3345F" w:rsidP="00481565">
            <w:pPr>
              <w:spacing w:line="276" w:lineRule="auto"/>
              <w:rPr>
                <w:rFonts w:cs="Arial"/>
              </w:rPr>
            </w:pPr>
            <w:r w:rsidRPr="009A5185">
              <w:rPr>
                <w:rFonts w:cs="Arial"/>
              </w:rPr>
              <w:t>a)</w:t>
            </w:r>
          </w:p>
        </w:tc>
        <w:tc>
          <w:tcPr>
            <w:tcW w:w="7251" w:type="dxa"/>
            <w:vAlign w:val="center"/>
          </w:tcPr>
          <w:p w14:paraId="1FFF6D70" w14:textId="77777777" w:rsidR="00C3345F" w:rsidRPr="009A5185" w:rsidRDefault="00C3345F" w:rsidP="00481565">
            <w:pPr>
              <w:spacing w:line="276" w:lineRule="auto"/>
              <w:rPr>
                <w:rFonts w:cs="Arial"/>
              </w:rPr>
            </w:pPr>
            <w:r w:rsidRPr="009A5185">
              <w:rPr>
                <w:rFonts w:cs="Arial"/>
              </w:rPr>
              <w:t>Wrong patient</w:t>
            </w:r>
          </w:p>
        </w:tc>
        <w:tc>
          <w:tcPr>
            <w:tcW w:w="1705" w:type="dxa"/>
          </w:tcPr>
          <w:p w14:paraId="25162520" w14:textId="77777777" w:rsidR="00C3345F" w:rsidRPr="00CF4879" w:rsidRDefault="00C3345F" w:rsidP="00AD309C">
            <w:pPr>
              <w:pStyle w:val="ListParagraph"/>
              <w:numPr>
                <w:ilvl w:val="0"/>
                <w:numId w:val="335"/>
              </w:numPr>
              <w:spacing w:line="276" w:lineRule="auto"/>
              <w:rPr>
                <w:rFonts w:cs="Arial"/>
                <w:iCs/>
              </w:rPr>
            </w:pPr>
            <w:r w:rsidRPr="00CF4879">
              <w:rPr>
                <w:rFonts w:cs="Arial"/>
                <w:iCs/>
              </w:rPr>
              <w:t>Yes</w:t>
            </w:r>
          </w:p>
          <w:p w14:paraId="5D9B0262" w14:textId="77777777" w:rsidR="00C3345F" w:rsidRPr="00CF4879" w:rsidRDefault="00C3345F" w:rsidP="00AD309C">
            <w:pPr>
              <w:pStyle w:val="ListParagraph"/>
              <w:numPr>
                <w:ilvl w:val="0"/>
                <w:numId w:val="335"/>
              </w:numPr>
              <w:spacing w:line="276" w:lineRule="auto"/>
              <w:rPr>
                <w:rFonts w:cs="Arial"/>
                <w:iCs/>
              </w:rPr>
            </w:pPr>
            <w:r w:rsidRPr="00CF4879">
              <w:rPr>
                <w:rFonts w:cs="Arial"/>
                <w:iCs/>
              </w:rPr>
              <w:t>No</w:t>
            </w:r>
          </w:p>
        </w:tc>
      </w:tr>
      <w:tr w:rsidR="00C3345F" w:rsidRPr="009A5185" w14:paraId="7855A057" w14:textId="77777777" w:rsidTr="00680456">
        <w:tc>
          <w:tcPr>
            <w:tcW w:w="0" w:type="auto"/>
            <w:vAlign w:val="center"/>
          </w:tcPr>
          <w:p w14:paraId="7841309B" w14:textId="77777777" w:rsidR="00C3345F" w:rsidRPr="009A5185" w:rsidRDefault="00C3345F" w:rsidP="00481565">
            <w:pPr>
              <w:spacing w:line="276" w:lineRule="auto"/>
              <w:rPr>
                <w:rFonts w:cs="Arial"/>
              </w:rPr>
            </w:pPr>
            <w:r w:rsidRPr="009A5185">
              <w:rPr>
                <w:rFonts w:cs="Arial"/>
              </w:rPr>
              <w:t>b)</w:t>
            </w:r>
          </w:p>
        </w:tc>
        <w:tc>
          <w:tcPr>
            <w:tcW w:w="7251" w:type="dxa"/>
            <w:vAlign w:val="center"/>
          </w:tcPr>
          <w:p w14:paraId="77F2AD94" w14:textId="77777777" w:rsidR="00C3345F" w:rsidRPr="009A5185" w:rsidRDefault="00C3345F" w:rsidP="00481565">
            <w:pPr>
              <w:spacing w:line="276" w:lineRule="auto"/>
              <w:rPr>
                <w:rFonts w:cs="Arial"/>
              </w:rPr>
            </w:pPr>
            <w:r w:rsidRPr="009A5185">
              <w:rPr>
                <w:rFonts w:cs="Arial"/>
              </w:rPr>
              <w:t>Wrong medication</w:t>
            </w:r>
          </w:p>
        </w:tc>
        <w:tc>
          <w:tcPr>
            <w:tcW w:w="1705" w:type="dxa"/>
          </w:tcPr>
          <w:p w14:paraId="33FA0FF6" w14:textId="77777777" w:rsidR="00C3345F" w:rsidRPr="00CF4879" w:rsidRDefault="00C3345F" w:rsidP="00AD309C">
            <w:pPr>
              <w:pStyle w:val="ListParagraph"/>
              <w:numPr>
                <w:ilvl w:val="0"/>
                <w:numId w:val="335"/>
              </w:numPr>
              <w:rPr>
                <w:rFonts w:cs="Arial"/>
                <w:iCs/>
              </w:rPr>
            </w:pPr>
            <w:r w:rsidRPr="00CF4879">
              <w:rPr>
                <w:rFonts w:cs="Arial"/>
                <w:iCs/>
              </w:rPr>
              <w:t>Yes</w:t>
            </w:r>
          </w:p>
          <w:p w14:paraId="1B431A53" w14:textId="77777777" w:rsidR="00C3345F" w:rsidRPr="00CF4879" w:rsidRDefault="00C3345F" w:rsidP="00AD309C">
            <w:pPr>
              <w:pStyle w:val="ListParagraph"/>
              <w:numPr>
                <w:ilvl w:val="0"/>
                <w:numId w:val="335"/>
              </w:numPr>
              <w:rPr>
                <w:rFonts w:cs="Arial"/>
                <w:iCs/>
              </w:rPr>
            </w:pPr>
            <w:r w:rsidRPr="00CF4879">
              <w:rPr>
                <w:rFonts w:cs="Arial"/>
                <w:iCs/>
              </w:rPr>
              <w:t>No</w:t>
            </w:r>
          </w:p>
        </w:tc>
      </w:tr>
      <w:tr w:rsidR="00C3345F" w:rsidRPr="009A5185" w14:paraId="275366E2" w14:textId="77777777" w:rsidTr="00680456">
        <w:tc>
          <w:tcPr>
            <w:tcW w:w="0" w:type="auto"/>
            <w:vAlign w:val="center"/>
          </w:tcPr>
          <w:p w14:paraId="07F520AC" w14:textId="77777777" w:rsidR="00C3345F" w:rsidRPr="009A5185" w:rsidRDefault="00C3345F" w:rsidP="00481565">
            <w:pPr>
              <w:spacing w:line="276" w:lineRule="auto"/>
              <w:rPr>
                <w:rFonts w:cs="Arial"/>
              </w:rPr>
            </w:pPr>
            <w:r w:rsidRPr="009A5185">
              <w:rPr>
                <w:rFonts w:cs="Arial"/>
              </w:rPr>
              <w:t>c)</w:t>
            </w:r>
          </w:p>
        </w:tc>
        <w:tc>
          <w:tcPr>
            <w:tcW w:w="7251" w:type="dxa"/>
            <w:vAlign w:val="center"/>
          </w:tcPr>
          <w:p w14:paraId="61F30BB9" w14:textId="77777777" w:rsidR="00C3345F" w:rsidRPr="009A5185" w:rsidRDefault="00C3345F" w:rsidP="00481565">
            <w:pPr>
              <w:spacing w:line="276" w:lineRule="auto"/>
              <w:rPr>
                <w:rFonts w:cs="Arial"/>
              </w:rPr>
            </w:pPr>
            <w:r w:rsidRPr="009A5185">
              <w:rPr>
                <w:rFonts w:cs="Arial"/>
              </w:rPr>
              <w:t>Wrong dose</w:t>
            </w:r>
          </w:p>
        </w:tc>
        <w:tc>
          <w:tcPr>
            <w:tcW w:w="1705" w:type="dxa"/>
          </w:tcPr>
          <w:p w14:paraId="44159C9C" w14:textId="77777777" w:rsidR="00C3345F" w:rsidRPr="00CF4879" w:rsidRDefault="00C3345F" w:rsidP="00AD309C">
            <w:pPr>
              <w:pStyle w:val="ListParagraph"/>
              <w:numPr>
                <w:ilvl w:val="0"/>
                <w:numId w:val="335"/>
              </w:numPr>
              <w:rPr>
                <w:rFonts w:cs="Arial"/>
                <w:iCs/>
              </w:rPr>
            </w:pPr>
            <w:r w:rsidRPr="00CF4879">
              <w:rPr>
                <w:rFonts w:cs="Arial"/>
                <w:iCs/>
              </w:rPr>
              <w:t>Yes</w:t>
            </w:r>
          </w:p>
          <w:p w14:paraId="0C25F5CD" w14:textId="77777777" w:rsidR="00C3345F" w:rsidRPr="008059FF" w:rsidRDefault="00C3345F" w:rsidP="00AD309C">
            <w:pPr>
              <w:pStyle w:val="ListParagraph"/>
              <w:numPr>
                <w:ilvl w:val="0"/>
                <w:numId w:val="335"/>
              </w:numPr>
              <w:rPr>
                <w:rFonts w:cs="Arial"/>
                <w:iCs/>
              </w:rPr>
            </w:pPr>
            <w:r w:rsidRPr="00CF4879">
              <w:rPr>
                <w:rFonts w:cs="Arial"/>
                <w:iCs/>
              </w:rPr>
              <w:t>No</w:t>
            </w:r>
          </w:p>
        </w:tc>
      </w:tr>
      <w:tr w:rsidR="00C3345F" w:rsidRPr="009A5185" w14:paraId="616BFA7E" w14:textId="77777777" w:rsidTr="00680456">
        <w:tc>
          <w:tcPr>
            <w:tcW w:w="0" w:type="auto"/>
            <w:vAlign w:val="center"/>
          </w:tcPr>
          <w:p w14:paraId="459EA26D" w14:textId="77777777" w:rsidR="00C3345F" w:rsidRPr="009A5185" w:rsidRDefault="00C3345F" w:rsidP="00481565">
            <w:pPr>
              <w:spacing w:line="276" w:lineRule="auto"/>
              <w:rPr>
                <w:rFonts w:cs="Arial"/>
              </w:rPr>
            </w:pPr>
            <w:r w:rsidRPr="009A5185">
              <w:rPr>
                <w:rFonts w:cs="Arial"/>
              </w:rPr>
              <w:lastRenderedPageBreak/>
              <w:t xml:space="preserve">d) </w:t>
            </w:r>
          </w:p>
        </w:tc>
        <w:tc>
          <w:tcPr>
            <w:tcW w:w="7251" w:type="dxa"/>
            <w:vAlign w:val="center"/>
          </w:tcPr>
          <w:p w14:paraId="71C9FD85" w14:textId="77777777" w:rsidR="00C3345F" w:rsidRPr="009A5185" w:rsidRDefault="00C3345F" w:rsidP="00481565">
            <w:pPr>
              <w:spacing w:line="276" w:lineRule="auto"/>
              <w:rPr>
                <w:rFonts w:cs="Arial"/>
              </w:rPr>
            </w:pPr>
            <w:r w:rsidRPr="009A5185">
              <w:rPr>
                <w:rFonts w:cs="Arial"/>
              </w:rPr>
              <w:t xml:space="preserve">Wrong time (e.g., early/late warning; warning that medication cannot be administered twice within a given window of time) </w:t>
            </w:r>
          </w:p>
        </w:tc>
        <w:tc>
          <w:tcPr>
            <w:tcW w:w="1705" w:type="dxa"/>
          </w:tcPr>
          <w:p w14:paraId="6D0FD3EB" w14:textId="77777777" w:rsidR="00C3345F" w:rsidRPr="00CF4879" w:rsidRDefault="00C3345F" w:rsidP="00AD309C">
            <w:pPr>
              <w:pStyle w:val="ListParagraph"/>
              <w:numPr>
                <w:ilvl w:val="0"/>
                <w:numId w:val="335"/>
              </w:numPr>
              <w:rPr>
                <w:rFonts w:cs="Arial"/>
                <w:iCs/>
              </w:rPr>
            </w:pPr>
            <w:r w:rsidRPr="00CF4879">
              <w:rPr>
                <w:rFonts w:cs="Arial"/>
                <w:iCs/>
              </w:rPr>
              <w:t>Yes</w:t>
            </w:r>
          </w:p>
          <w:p w14:paraId="1341E146" w14:textId="77777777" w:rsidR="00C3345F" w:rsidRPr="008059FF" w:rsidRDefault="00C3345F" w:rsidP="00AD309C">
            <w:pPr>
              <w:pStyle w:val="ListParagraph"/>
              <w:numPr>
                <w:ilvl w:val="0"/>
                <w:numId w:val="335"/>
              </w:numPr>
              <w:rPr>
                <w:rFonts w:cs="Arial"/>
                <w:iCs/>
              </w:rPr>
            </w:pPr>
            <w:r w:rsidRPr="00CF4879">
              <w:rPr>
                <w:rFonts w:cs="Arial"/>
                <w:iCs/>
              </w:rPr>
              <w:t>No</w:t>
            </w:r>
          </w:p>
        </w:tc>
      </w:tr>
      <w:tr w:rsidR="00C3345F" w:rsidRPr="009A5185" w14:paraId="6FC97D11" w14:textId="77777777" w:rsidTr="00680456">
        <w:tc>
          <w:tcPr>
            <w:tcW w:w="0" w:type="auto"/>
            <w:vAlign w:val="center"/>
          </w:tcPr>
          <w:p w14:paraId="0675993B" w14:textId="77777777" w:rsidR="00C3345F" w:rsidRPr="009A5185" w:rsidRDefault="00C3345F" w:rsidP="00481565">
            <w:pPr>
              <w:spacing w:line="276" w:lineRule="auto"/>
              <w:rPr>
                <w:rFonts w:cs="Arial"/>
              </w:rPr>
            </w:pPr>
            <w:r>
              <w:rPr>
                <w:rFonts w:cs="Arial"/>
              </w:rPr>
              <w:t>e)</w:t>
            </w:r>
          </w:p>
        </w:tc>
        <w:tc>
          <w:tcPr>
            <w:tcW w:w="7251" w:type="dxa"/>
            <w:vAlign w:val="center"/>
          </w:tcPr>
          <w:p w14:paraId="68841DA9" w14:textId="77777777" w:rsidR="00C3345F" w:rsidRPr="009A5185" w:rsidRDefault="00C3345F" w:rsidP="00481565">
            <w:pPr>
              <w:spacing w:line="276" w:lineRule="auto"/>
              <w:rPr>
                <w:rFonts w:cs="Arial"/>
              </w:rPr>
            </w:pPr>
            <w:r w:rsidRPr="009A5185">
              <w:rPr>
                <w:rFonts w:cs="Arial"/>
              </w:rPr>
              <w:t>Second nurse check needed</w:t>
            </w:r>
          </w:p>
        </w:tc>
        <w:tc>
          <w:tcPr>
            <w:tcW w:w="1705" w:type="dxa"/>
          </w:tcPr>
          <w:p w14:paraId="2F72C333" w14:textId="77777777" w:rsidR="00C3345F" w:rsidRPr="00CF4879" w:rsidRDefault="00C3345F" w:rsidP="00AD309C">
            <w:pPr>
              <w:pStyle w:val="ListParagraph"/>
              <w:numPr>
                <w:ilvl w:val="0"/>
                <w:numId w:val="335"/>
              </w:numPr>
              <w:rPr>
                <w:rFonts w:cs="Arial"/>
                <w:iCs/>
              </w:rPr>
            </w:pPr>
            <w:r w:rsidRPr="00CF4879">
              <w:rPr>
                <w:rFonts w:cs="Arial"/>
                <w:iCs/>
              </w:rPr>
              <w:t>Yes</w:t>
            </w:r>
          </w:p>
          <w:p w14:paraId="60B73718" w14:textId="77777777" w:rsidR="00C3345F" w:rsidRPr="00CF4879" w:rsidRDefault="00C3345F" w:rsidP="00AD309C">
            <w:pPr>
              <w:pStyle w:val="ListParagraph"/>
              <w:numPr>
                <w:ilvl w:val="0"/>
                <w:numId w:val="335"/>
              </w:numPr>
              <w:rPr>
                <w:rFonts w:cs="Arial"/>
                <w:iCs/>
              </w:rPr>
            </w:pPr>
            <w:r w:rsidRPr="00CF4879">
              <w:rPr>
                <w:rFonts w:cs="Arial"/>
                <w:iCs/>
              </w:rPr>
              <w:t>No</w:t>
            </w:r>
          </w:p>
        </w:tc>
      </w:tr>
    </w:tbl>
    <w:p w14:paraId="1FCFDDDA" w14:textId="77777777" w:rsidR="00C3345F" w:rsidRPr="009A5185" w:rsidRDefault="00C3345F" w:rsidP="00C3345F">
      <w:pPr>
        <w:rPr>
          <w:rFonts w:cs="Arial"/>
        </w:rPr>
      </w:pPr>
      <w:r w:rsidRPr="009A5185">
        <w:rPr>
          <w:rFonts w:cs="Arial"/>
        </w:rPr>
        <w:t xml:space="preserve"> </w:t>
      </w:r>
    </w:p>
    <w:tbl>
      <w:tblPr>
        <w:tblStyle w:val="TableGrid"/>
        <w:tblW w:w="0" w:type="auto"/>
        <w:tblLook w:val="04A0" w:firstRow="1" w:lastRow="0" w:firstColumn="1" w:lastColumn="0" w:noHBand="0" w:noVBand="1"/>
      </w:tblPr>
      <w:tblGrid>
        <w:gridCol w:w="394"/>
        <w:gridCol w:w="6978"/>
        <w:gridCol w:w="1978"/>
      </w:tblGrid>
      <w:tr w:rsidR="00C3345F" w:rsidRPr="009A5185" w14:paraId="1B79D03B" w14:textId="77777777" w:rsidTr="00C8246A">
        <w:trPr>
          <w:trHeight w:val="20"/>
        </w:trPr>
        <w:tc>
          <w:tcPr>
            <w:tcW w:w="0" w:type="auto"/>
            <w:gridSpan w:val="3"/>
            <w:vAlign w:val="center"/>
          </w:tcPr>
          <w:p w14:paraId="1A8FD8B8" w14:textId="42EE6244" w:rsidR="00C3345F" w:rsidRPr="00F0772B" w:rsidRDefault="00C3345F" w:rsidP="00AD309C">
            <w:pPr>
              <w:pStyle w:val="ListParagraph"/>
              <w:numPr>
                <w:ilvl w:val="0"/>
                <w:numId w:val="41"/>
              </w:numPr>
              <w:spacing w:before="120" w:after="120" w:line="276" w:lineRule="auto"/>
              <w:rPr>
                <w:i/>
              </w:rPr>
            </w:pPr>
            <w:r w:rsidRPr="009A5185">
              <w:rPr>
                <w:rFonts w:cs="Arial"/>
              </w:rPr>
              <w:t>Which of the following mechanisms does your hospital use to reduce and understand potential BCMA system “workarounds</w:t>
            </w:r>
            <w:r w:rsidR="00982A02">
              <w:rPr>
                <w:rFonts w:cs="Arial"/>
              </w:rPr>
              <w:t>?</w:t>
            </w:r>
            <w:r w:rsidRPr="009A5185">
              <w:rPr>
                <w:rFonts w:cs="Arial"/>
              </w:rPr>
              <w:t>”</w:t>
            </w:r>
          </w:p>
        </w:tc>
      </w:tr>
      <w:tr w:rsidR="00C3345F" w:rsidRPr="009A5185" w14:paraId="7A09D58E" w14:textId="77777777" w:rsidTr="00680456">
        <w:tc>
          <w:tcPr>
            <w:tcW w:w="0" w:type="auto"/>
            <w:vAlign w:val="center"/>
          </w:tcPr>
          <w:p w14:paraId="2B36228E" w14:textId="77777777" w:rsidR="00C3345F" w:rsidRPr="009A5185" w:rsidRDefault="00C3345F">
            <w:pPr>
              <w:spacing w:line="276" w:lineRule="auto"/>
              <w:rPr>
                <w:rFonts w:cs="Arial"/>
              </w:rPr>
            </w:pPr>
            <w:r w:rsidRPr="009A5185">
              <w:rPr>
                <w:rFonts w:cs="Arial"/>
              </w:rPr>
              <w:t>a)</w:t>
            </w:r>
          </w:p>
        </w:tc>
        <w:tc>
          <w:tcPr>
            <w:tcW w:w="7251" w:type="dxa"/>
            <w:vAlign w:val="center"/>
          </w:tcPr>
          <w:p w14:paraId="56D86120" w14:textId="77777777" w:rsidR="00C3345F" w:rsidRPr="009A5185" w:rsidRDefault="00C3345F">
            <w:pPr>
              <w:spacing w:line="276" w:lineRule="auto"/>
              <w:rPr>
                <w:rFonts w:cs="Arial"/>
              </w:rPr>
            </w:pPr>
            <w:r w:rsidRPr="009A5185">
              <w:rPr>
                <w:rFonts w:cs="Arial"/>
              </w:rPr>
              <w:t>Has a formal committee that meets routinely to review data reports on BCMA system use</w:t>
            </w:r>
          </w:p>
        </w:tc>
        <w:tc>
          <w:tcPr>
            <w:tcW w:w="1705" w:type="dxa"/>
          </w:tcPr>
          <w:p w14:paraId="4612E3AA"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Yes</w:t>
            </w:r>
          </w:p>
          <w:p w14:paraId="5DB4BED5"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No</w:t>
            </w:r>
          </w:p>
        </w:tc>
      </w:tr>
      <w:tr w:rsidR="00C3345F" w:rsidRPr="009A5185" w14:paraId="68DA48EF" w14:textId="77777777" w:rsidTr="00680456">
        <w:tc>
          <w:tcPr>
            <w:tcW w:w="0" w:type="auto"/>
            <w:vAlign w:val="center"/>
          </w:tcPr>
          <w:p w14:paraId="6652A32B" w14:textId="77777777" w:rsidR="00C3345F" w:rsidRPr="009A5185" w:rsidRDefault="00C3345F">
            <w:pPr>
              <w:spacing w:line="276" w:lineRule="auto"/>
              <w:rPr>
                <w:rFonts w:cs="Arial"/>
              </w:rPr>
            </w:pPr>
            <w:r w:rsidRPr="009A5185">
              <w:rPr>
                <w:rFonts w:cs="Arial"/>
              </w:rPr>
              <w:t>b)</w:t>
            </w:r>
          </w:p>
        </w:tc>
        <w:tc>
          <w:tcPr>
            <w:tcW w:w="7251" w:type="dxa"/>
            <w:vAlign w:val="center"/>
          </w:tcPr>
          <w:p w14:paraId="0B4A88C2" w14:textId="1B5709DC" w:rsidR="00C3345F" w:rsidRPr="009A5185" w:rsidRDefault="00C3345F">
            <w:pPr>
              <w:spacing w:line="276" w:lineRule="auto"/>
              <w:rPr>
                <w:rFonts w:cs="Arial"/>
              </w:rPr>
            </w:pPr>
            <w:r w:rsidRPr="009A5185">
              <w:rPr>
                <w:rFonts w:cs="Arial"/>
              </w:rPr>
              <w:t xml:space="preserve">Has back-up </w:t>
            </w:r>
            <w:r w:rsidR="008D6D1D">
              <w:rPr>
                <w:rFonts w:cs="Arial"/>
              </w:rPr>
              <w:t>equipment</w:t>
            </w:r>
            <w:r w:rsidR="008D6D1D" w:rsidRPr="009A5185">
              <w:rPr>
                <w:rFonts w:cs="Arial"/>
              </w:rPr>
              <w:t xml:space="preserve"> </w:t>
            </w:r>
            <w:r w:rsidR="00B4055D">
              <w:rPr>
                <w:rFonts w:cs="Arial"/>
              </w:rPr>
              <w:t xml:space="preserve">(e.g., extra scanners, portable computers, batteries, and mice) </w:t>
            </w:r>
            <w:r w:rsidRPr="009A5185">
              <w:rPr>
                <w:rFonts w:cs="Arial"/>
              </w:rPr>
              <w:t>for BCMA hardware failures</w:t>
            </w:r>
          </w:p>
        </w:tc>
        <w:tc>
          <w:tcPr>
            <w:tcW w:w="1705" w:type="dxa"/>
          </w:tcPr>
          <w:p w14:paraId="456D2FAD"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Yes</w:t>
            </w:r>
          </w:p>
          <w:p w14:paraId="08CAD857"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No</w:t>
            </w:r>
          </w:p>
        </w:tc>
      </w:tr>
      <w:tr w:rsidR="00C3345F" w:rsidRPr="009A5185" w14:paraId="097EA788" w14:textId="77777777" w:rsidTr="00680456">
        <w:tc>
          <w:tcPr>
            <w:tcW w:w="0" w:type="auto"/>
            <w:vAlign w:val="center"/>
          </w:tcPr>
          <w:p w14:paraId="192CF608" w14:textId="77777777" w:rsidR="00C3345F" w:rsidRPr="009A5185" w:rsidRDefault="00C3345F">
            <w:pPr>
              <w:spacing w:line="276" w:lineRule="auto"/>
              <w:rPr>
                <w:rFonts w:cs="Arial"/>
              </w:rPr>
            </w:pPr>
            <w:r w:rsidRPr="009A5185">
              <w:rPr>
                <w:rFonts w:cs="Arial"/>
              </w:rPr>
              <w:t>c)</w:t>
            </w:r>
          </w:p>
        </w:tc>
        <w:tc>
          <w:tcPr>
            <w:tcW w:w="7251" w:type="dxa"/>
            <w:vAlign w:val="center"/>
          </w:tcPr>
          <w:p w14:paraId="6CE75863" w14:textId="77777777" w:rsidR="00C3345F" w:rsidRPr="009A5185" w:rsidRDefault="00C3345F">
            <w:pPr>
              <w:spacing w:line="276" w:lineRule="auto"/>
              <w:rPr>
                <w:rFonts w:cs="Arial"/>
              </w:rPr>
            </w:pPr>
            <w:r w:rsidRPr="009A5185">
              <w:rPr>
                <w:rFonts w:cs="Arial"/>
              </w:rPr>
              <w:t>Has a Help Desk that provides timely responses to urgent BCMA issues in real-time</w:t>
            </w:r>
          </w:p>
        </w:tc>
        <w:tc>
          <w:tcPr>
            <w:tcW w:w="1705" w:type="dxa"/>
          </w:tcPr>
          <w:p w14:paraId="0236B2BF"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Yes</w:t>
            </w:r>
          </w:p>
          <w:p w14:paraId="077408B4"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No</w:t>
            </w:r>
          </w:p>
        </w:tc>
      </w:tr>
      <w:tr w:rsidR="00C3345F" w:rsidRPr="009A5185" w14:paraId="3513BAC6" w14:textId="77777777" w:rsidTr="00680456">
        <w:tc>
          <w:tcPr>
            <w:tcW w:w="0" w:type="auto"/>
            <w:vAlign w:val="center"/>
          </w:tcPr>
          <w:p w14:paraId="5AEDB11C" w14:textId="77777777" w:rsidR="00C3345F" w:rsidRPr="009A5185" w:rsidRDefault="00C3345F">
            <w:pPr>
              <w:spacing w:line="276" w:lineRule="auto"/>
              <w:rPr>
                <w:rFonts w:cs="Arial"/>
              </w:rPr>
            </w:pPr>
            <w:r w:rsidRPr="009A5185">
              <w:rPr>
                <w:rFonts w:cs="Arial"/>
              </w:rPr>
              <w:t>d)</w:t>
            </w:r>
          </w:p>
        </w:tc>
        <w:tc>
          <w:tcPr>
            <w:tcW w:w="7251" w:type="dxa"/>
            <w:vAlign w:val="center"/>
          </w:tcPr>
          <w:p w14:paraId="6BB07044" w14:textId="77777777" w:rsidR="00C3345F" w:rsidRPr="009A5185" w:rsidRDefault="00C3345F">
            <w:pPr>
              <w:spacing w:line="276" w:lineRule="auto"/>
              <w:rPr>
                <w:rFonts w:cs="Arial"/>
              </w:rPr>
            </w:pPr>
            <w:r w:rsidRPr="009A5185">
              <w:rPr>
                <w:rFonts w:cs="Arial"/>
              </w:rPr>
              <w:t>Conducts real-time observations of users at the unit level using the BCMA system</w:t>
            </w:r>
          </w:p>
        </w:tc>
        <w:tc>
          <w:tcPr>
            <w:tcW w:w="1705" w:type="dxa"/>
          </w:tcPr>
          <w:p w14:paraId="6ACFC5A1"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Yes</w:t>
            </w:r>
          </w:p>
          <w:p w14:paraId="3FDDA51A"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No</w:t>
            </w:r>
          </w:p>
        </w:tc>
      </w:tr>
      <w:tr w:rsidR="00C3345F" w:rsidRPr="009A5185" w14:paraId="68965B7C" w14:textId="77777777" w:rsidTr="00C8246A">
        <w:trPr>
          <w:trHeight w:val="432"/>
        </w:trPr>
        <w:tc>
          <w:tcPr>
            <w:tcW w:w="0" w:type="auto"/>
            <w:vAlign w:val="center"/>
          </w:tcPr>
          <w:p w14:paraId="50F12016" w14:textId="77777777" w:rsidR="00C3345F" w:rsidRPr="009A5185" w:rsidRDefault="00C3345F">
            <w:pPr>
              <w:spacing w:line="276" w:lineRule="auto"/>
              <w:rPr>
                <w:rFonts w:cs="Arial"/>
              </w:rPr>
            </w:pPr>
            <w:r w:rsidRPr="009A5185">
              <w:rPr>
                <w:rFonts w:cs="Arial"/>
              </w:rPr>
              <w:t>e)</w:t>
            </w:r>
          </w:p>
        </w:tc>
        <w:tc>
          <w:tcPr>
            <w:tcW w:w="7251" w:type="dxa"/>
            <w:vAlign w:val="center"/>
          </w:tcPr>
          <w:p w14:paraId="4D68C3E2" w14:textId="77777777" w:rsidR="00C3345F" w:rsidRPr="009A5185" w:rsidRDefault="00C3345F">
            <w:pPr>
              <w:spacing w:line="276" w:lineRule="auto"/>
              <w:rPr>
                <w:rFonts w:cs="Arial"/>
              </w:rPr>
            </w:pPr>
            <w:r w:rsidRPr="009A5185">
              <w:rPr>
                <w:rFonts w:cs="Arial"/>
              </w:rPr>
              <w:t>Engages nursing leadership at the unit level on BCMA use</w:t>
            </w:r>
          </w:p>
        </w:tc>
        <w:tc>
          <w:tcPr>
            <w:tcW w:w="1705" w:type="dxa"/>
          </w:tcPr>
          <w:p w14:paraId="472F916A" w14:textId="77777777" w:rsidR="00C3345F" w:rsidRPr="00CF4879" w:rsidRDefault="00C3345F" w:rsidP="00AD309C">
            <w:pPr>
              <w:pStyle w:val="ListParagraph"/>
              <w:numPr>
                <w:ilvl w:val="0"/>
                <w:numId w:val="336"/>
              </w:numPr>
              <w:spacing w:after="200" w:line="276" w:lineRule="auto"/>
              <w:rPr>
                <w:rFonts w:cs="Arial"/>
                <w:iCs/>
              </w:rPr>
            </w:pPr>
            <w:r w:rsidRPr="00CF4879">
              <w:rPr>
                <w:rFonts w:cs="Arial"/>
                <w:iCs/>
              </w:rPr>
              <w:t>Yes</w:t>
            </w:r>
          </w:p>
          <w:p w14:paraId="06EA60F5"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No</w:t>
            </w:r>
          </w:p>
        </w:tc>
      </w:tr>
      <w:tr w:rsidR="00C3345F" w:rsidRPr="009A5185" w14:paraId="3D755ADB" w14:textId="77777777" w:rsidTr="007C4D5D">
        <w:trPr>
          <w:trHeight w:val="1440"/>
        </w:trPr>
        <w:tc>
          <w:tcPr>
            <w:tcW w:w="0" w:type="auto"/>
            <w:vAlign w:val="center"/>
          </w:tcPr>
          <w:p w14:paraId="6B40A4FF" w14:textId="77777777" w:rsidR="00C3345F" w:rsidRPr="009A5185" w:rsidRDefault="00C3345F">
            <w:pPr>
              <w:spacing w:line="276" w:lineRule="auto"/>
              <w:rPr>
                <w:rFonts w:cs="Arial"/>
              </w:rPr>
            </w:pPr>
            <w:r w:rsidRPr="009A5185">
              <w:rPr>
                <w:rFonts w:cs="Arial"/>
              </w:rPr>
              <w:t>f)</w:t>
            </w:r>
          </w:p>
        </w:tc>
        <w:tc>
          <w:tcPr>
            <w:tcW w:w="7251" w:type="dxa"/>
            <w:vAlign w:val="center"/>
          </w:tcPr>
          <w:p w14:paraId="2A06BBA1" w14:textId="77777777" w:rsidR="00C3345F" w:rsidRDefault="00C3345F">
            <w:pPr>
              <w:spacing w:line="276" w:lineRule="auto"/>
              <w:rPr>
                <w:rFonts w:cs="Arial"/>
              </w:rPr>
            </w:pPr>
            <w:r w:rsidRPr="009A5185">
              <w:rPr>
                <w:rFonts w:cs="Arial"/>
              </w:rPr>
              <w:t xml:space="preserve">In the past 12 months used the data and information obtained through items a-e to implement quality improvement projects that have focused on improving the hospital’s BCMA performance </w:t>
            </w:r>
          </w:p>
          <w:p w14:paraId="2A0B1298" w14:textId="77777777" w:rsidR="00B1257F" w:rsidRPr="009A5185" w:rsidRDefault="00B1257F">
            <w:pPr>
              <w:spacing w:line="276" w:lineRule="auto"/>
              <w:rPr>
                <w:rFonts w:cs="Arial"/>
              </w:rPr>
            </w:pPr>
          </w:p>
          <w:p w14:paraId="5F58E607" w14:textId="77777777" w:rsidR="00C3345F" w:rsidRDefault="00C3345F">
            <w:pPr>
              <w:spacing w:line="276" w:lineRule="auto"/>
              <w:rPr>
                <w:rFonts w:cs="Arial"/>
                <w:b/>
              </w:rPr>
            </w:pPr>
            <w:r w:rsidRPr="009A5185">
              <w:rPr>
                <w:rFonts w:cs="Arial"/>
                <w:b/>
              </w:rPr>
              <w:t>OR</w:t>
            </w:r>
          </w:p>
          <w:p w14:paraId="32567CA6" w14:textId="77777777" w:rsidR="00B1257F" w:rsidRPr="009A5185" w:rsidRDefault="00B1257F">
            <w:pPr>
              <w:spacing w:line="276" w:lineRule="auto"/>
              <w:rPr>
                <w:rFonts w:cs="Arial"/>
              </w:rPr>
            </w:pPr>
          </w:p>
          <w:p w14:paraId="707D92E0" w14:textId="77777777" w:rsidR="00C3345F" w:rsidRPr="009A5185" w:rsidRDefault="00C3345F">
            <w:pPr>
              <w:spacing w:line="276" w:lineRule="auto"/>
              <w:rPr>
                <w:rFonts w:cs="Arial"/>
              </w:rPr>
            </w:pPr>
            <w:r w:rsidRPr="009A5185">
              <w:rPr>
                <w:rFonts w:cs="Arial"/>
              </w:rPr>
              <w:t>In the past 12 months used the data and information obtained through items a-e to monitor a previously implemented quality improvement project focused on improving the hospital’s BCMA performance</w:t>
            </w:r>
          </w:p>
          <w:p w14:paraId="1C7890A4" w14:textId="77777777" w:rsidR="00C3345F" w:rsidRPr="009A5185" w:rsidRDefault="00C3345F">
            <w:pPr>
              <w:spacing w:line="276" w:lineRule="auto"/>
              <w:rPr>
                <w:rFonts w:cs="Arial"/>
              </w:rPr>
            </w:pPr>
          </w:p>
          <w:p w14:paraId="5F8AEDE4" w14:textId="77777777" w:rsidR="00C3345F" w:rsidRDefault="00C3345F">
            <w:pPr>
              <w:spacing w:line="276" w:lineRule="auto"/>
              <w:rPr>
                <w:rFonts w:cs="Arial"/>
                <w:i/>
              </w:rPr>
            </w:pPr>
            <w:r w:rsidRPr="009A5185">
              <w:rPr>
                <w:rFonts w:cs="Arial"/>
                <w:i/>
              </w:rPr>
              <w:t xml:space="preserve">Cannot respond “yes” to this question, unless “yes” to either </w:t>
            </w:r>
            <w:r w:rsidR="00A56754">
              <w:rPr>
                <w:rFonts w:cs="Arial"/>
                <w:i/>
              </w:rPr>
              <w:t>21a, 21</w:t>
            </w:r>
            <w:r w:rsidR="009C15D6">
              <w:rPr>
                <w:rFonts w:cs="Arial"/>
                <w:i/>
              </w:rPr>
              <w:t>d</w:t>
            </w:r>
            <w:r w:rsidRPr="009A5185">
              <w:rPr>
                <w:rFonts w:cs="Arial"/>
                <w:i/>
              </w:rPr>
              <w:t xml:space="preserve"> or </w:t>
            </w:r>
            <w:r w:rsidR="009C15D6">
              <w:rPr>
                <w:rFonts w:cs="Arial"/>
                <w:i/>
              </w:rPr>
              <w:t>21</w:t>
            </w:r>
            <w:r w:rsidRPr="009A5185">
              <w:rPr>
                <w:rFonts w:cs="Arial"/>
                <w:i/>
              </w:rPr>
              <w:t>e.</w:t>
            </w:r>
          </w:p>
          <w:p w14:paraId="6107B673" w14:textId="77777777" w:rsidR="00943898" w:rsidRDefault="00943898">
            <w:pPr>
              <w:spacing w:line="276" w:lineRule="auto"/>
              <w:rPr>
                <w:rFonts w:cs="Arial"/>
                <w:i/>
              </w:rPr>
            </w:pPr>
          </w:p>
          <w:p w14:paraId="5851A165" w14:textId="5F5A3F29" w:rsidR="00943898" w:rsidRPr="00943898" w:rsidRDefault="00943898">
            <w:pPr>
              <w:spacing w:line="276" w:lineRule="auto"/>
              <w:rPr>
                <w:rFonts w:cs="Arial"/>
                <w:i/>
              </w:rPr>
            </w:pPr>
            <w:r w:rsidRPr="00943898">
              <w:rPr>
                <w:rFonts w:cs="Arial"/>
                <w:i/>
              </w:rPr>
              <w:t xml:space="preserve">If “no” or “does </w:t>
            </w:r>
            <w:r w:rsidRPr="0047586B">
              <w:rPr>
                <w:rFonts w:cs="Arial"/>
                <w:i/>
              </w:rPr>
              <w:t>not apply, hospital has achieved 95% BCMA scanning compliance in all applicable units</w:t>
            </w:r>
            <w:r w:rsidR="00774E6D">
              <w:rPr>
                <w:rFonts w:cs="Arial"/>
                <w:i/>
              </w:rPr>
              <w:t xml:space="preserve"> </w:t>
            </w:r>
            <w:r w:rsidR="00774E6D">
              <w:rPr>
                <w:rFonts w:cs="Arial"/>
              </w:rPr>
              <w:t>based on quarterly monitoring</w:t>
            </w:r>
            <w:r w:rsidR="00A63243">
              <w:rPr>
                <w:rFonts w:cs="Arial"/>
                <w:i/>
              </w:rPr>
              <w:t>,</w:t>
            </w:r>
            <w:r w:rsidRPr="0047586B">
              <w:rPr>
                <w:rFonts w:cs="Arial"/>
                <w:i/>
              </w:rPr>
              <w:t>” skip question #21g and continue to question #21h</w:t>
            </w:r>
            <w:r>
              <w:rPr>
                <w:rFonts w:cs="Arial"/>
                <w:i/>
              </w:rPr>
              <w:t>.</w:t>
            </w:r>
          </w:p>
        </w:tc>
        <w:tc>
          <w:tcPr>
            <w:tcW w:w="1705" w:type="dxa"/>
            <w:vAlign w:val="center"/>
          </w:tcPr>
          <w:p w14:paraId="4EA973E9"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Yes</w:t>
            </w:r>
          </w:p>
          <w:p w14:paraId="21BD043C" w14:textId="77777777" w:rsidR="00C3345F" w:rsidRDefault="00C3345F" w:rsidP="00AD309C">
            <w:pPr>
              <w:pStyle w:val="ListParagraph"/>
              <w:numPr>
                <w:ilvl w:val="0"/>
                <w:numId w:val="336"/>
              </w:numPr>
              <w:spacing w:line="276" w:lineRule="auto"/>
              <w:rPr>
                <w:rFonts w:cs="Arial"/>
                <w:iCs/>
              </w:rPr>
            </w:pPr>
            <w:r w:rsidRPr="00CF4879">
              <w:rPr>
                <w:rFonts w:cs="Arial"/>
                <w:iCs/>
              </w:rPr>
              <w:t>No</w:t>
            </w:r>
          </w:p>
          <w:p w14:paraId="55D091C7" w14:textId="77C8D533" w:rsidR="00355C07" w:rsidRPr="00600C4C" w:rsidRDefault="00355C07" w:rsidP="00AD309C">
            <w:pPr>
              <w:pStyle w:val="ListParagraph"/>
              <w:numPr>
                <w:ilvl w:val="0"/>
                <w:numId w:val="336"/>
              </w:numPr>
              <w:spacing w:line="276" w:lineRule="auto"/>
              <w:rPr>
                <w:rFonts w:cs="Arial"/>
                <w:iCs/>
              </w:rPr>
            </w:pPr>
            <w:r w:rsidRPr="00600C4C">
              <w:rPr>
                <w:rFonts w:cs="Arial"/>
                <w:iCs/>
              </w:rPr>
              <w:t xml:space="preserve">Does not apply, hospital has achieved 95% BCMA scanning compliance in </w:t>
            </w:r>
            <w:r w:rsidRPr="00951428">
              <w:rPr>
                <w:rFonts w:cs="Arial"/>
                <w:b/>
                <w:bCs/>
                <w:iCs/>
              </w:rPr>
              <w:t>all</w:t>
            </w:r>
            <w:r w:rsidRPr="00600C4C">
              <w:rPr>
                <w:rFonts w:cs="Arial"/>
                <w:iCs/>
              </w:rPr>
              <w:t xml:space="preserve"> applicable units</w:t>
            </w:r>
            <w:r w:rsidR="00774E6D" w:rsidRPr="00600C4C">
              <w:rPr>
                <w:rFonts w:cs="Arial"/>
                <w:iCs/>
              </w:rPr>
              <w:t xml:space="preserve"> </w:t>
            </w:r>
            <w:r w:rsidR="00774E6D" w:rsidRPr="00600C4C">
              <w:rPr>
                <w:rFonts w:cs="Arial"/>
              </w:rPr>
              <w:t>based on quarterly monitoring</w:t>
            </w:r>
          </w:p>
        </w:tc>
      </w:tr>
      <w:tr w:rsidR="00C3345F" w:rsidRPr="009A5185" w14:paraId="14832564" w14:textId="77777777" w:rsidTr="00E54E24">
        <w:trPr>
          <w:trHeight w:val="3024"/>
        </w:trPr>
        <w:tc>
          <w:tcPr>
            <w:tcW w:w="0" w:type="auto"/>
            <w:vAlign w:val="center"/>
          </w:tcPr>
          <w:p w14:paraId="5A2B5C0C" w14:textId="77777777" w:rsidR="00C3345F" w:rsidRPr="009A5185" w:rsidRDefault="00C3345F">
            <w:pPr>
              <w:spacing w:line="276" w:lineRule="auto"/>
              <w:rPr>
                <w:rFonts w:cs="Arial"/>
              </w:rPr>
            </w:pPr>
            <w:r w:rsidRPr="009A5185">
              <w:rPr>
                <w:rFonts w:cs="Arial"/>
              </w:rPr>
              <w:t>g)</w:t>
            </w:r>
          </w:p>
        </w:tc>
        <w:tc>
          <w:tcPr>
            <w:tcW w:w="7251" w:type="dxa"/>
            <w:vAlign w:val="center"/>
          </w:tcPr>
          <w:p w14:paraId="4C77260E" w14:textId="77777777" w:rsidR="00C3345F" w:rsidRDefault="00C3345F">
            <w:pPr>
              <w:spacing w:line="276" w:lineRule="auto"/>
              <w:rPr>
                <w:rFonts w:cs="Arial"/>
              </w:rPr>
            </w:pPr>
            <w:r w:rsidRPr="009A5185">
              <w:rPr>
                <w:rFonts w:cs="Arial"/>
              </w:rPr>
              <w:t>In the past 12 months evaluated the results of the quality improvement projects (from f) and demonstrated that these projects have resulted in higher adherence to your hospital’s standard medication administration process</w:t>
            </w:r>
          </w:p>
          <w:p w14:paraId="1D7124F3" w14:textId="77777777" w:rsidR="00B1257F" w:rsidRPr="009A5185" w:rsidRDefault="00B1257F">
            <w:pPr>
              <w:spacing w:line="276" w:lineRule="auto"/>
              <w:rPr>
                <w:rFonts w:cs="Arial"/>
              </w:rPr>
            </w:pPr>
          </w:p>
          <w:p w14:paraId="11FBBDEE" w14:textId="77777777" w:rsidR="00C3345F" w:rsidRDefault="00C3345F">
            <w:pPr>
              <w:spacing w:line="276" w:lineRule="auto"/>
              <w:rPr>
                <w:rFonts w:cs="Arial"/>
                <w:b/>
              </w:rPr>
            </w:pPr>
            <w:r w:rsidRPr="009A5185">
              <w:rPr>
                <w:rFonts w:cs="Arial"/>
                <w:b/>
              </w:rPr>
              <w:t>OR</w:t>
            </w:r>
          </w:p>
          <w:p w14:paraId="3F3A398F" w14:textId="77777777" w:rsidR="00B1257F" w:rsidRPr="009A5185" w:rsidRDefault="00B1257F">
            <w:pPr>
              <w:spacing w:line="276" w:lineRule="auto"/>
              <w:rPr>
                <w:rFonts w:cs="Arial"/>
              </w:rPr>
            </w:pPr>
          </w:p>
          <w:p w14:paraId="28C07455" w14:textId="7D6B3B83" w:rsidR="00C3345F" w:rsidRPr="009A5185" w:rsidRDefault="00C3345F">
            <w:pPr>
              <w:spacing w:line="276" w:lineRule="auto"/>
              <w:rPr>
                <w:rFonts w:cs="Arial"/>
              </w:rPr>
            </w:pPr>
            <w:r w:rsidRPr="009A5185">
              <w:rPr>
                <w:rFonts w:cs="Arial"/>
              </w:rPr>
              <w:t>In the past 12 months evaluated the results of the quality improvement projects (from f) and demonstrated continued adherence to your hospital’s standard medication administration process</w:t>
            </w:r>
          </w:p>
          <w:p w14:paraId="7A3BA01E" w14:textId="5E965244" w:rsidR="00C3345F" w:rsidRPr="009A5185" w:rsidRDefault="00C3345F">
            <w:pPr>
              <w:spacing w:line="276" w:lineRule="auto"/>
              <w:rPr>
                <w:rFonts w:cs="Arial"/>
              </w:rPr>
            </w:pPr>
          </w:p>
        </w:tc>
        <w:tc>
          <w:tcPr>
            <w:tcW w:w="1705" w:type="dxa"/>
            <w:vAlign w:val="center"/>
          </w:tcPr>
          <w:p w14:paraId="5C7A9B6E"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Yes</w:t>
            </w:r>
          </w:p>
          <w:p w14:paraId="66A9A09A"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No</w:t>
            </w:r>
          </w:p>
        </w:tc>
      </w:tr>
      <w:tr w:rsidR="00C3345F" w:rsidRPr="009A5185" w14:paraId="4847F074" w14:textId="77777777" w:rsidTr="00E54E24">
        <w:trPr>
          <w:trHeight w:val="1152"/>
        </w:trPr>
        <w:tc>
          <w:tcPr>
            <w:tcW w:w="0" w:type="auto"/>
            <w:vAlign w:val="center"/>
          </w:tcPr>
          <w:p w14:paraId="063E20F5" w14:textId="77777777" w:rsidR="00C3345F" w:rsidRPr="009A5185" w:rsidRDefault="00C3345F">
            <w:pPr>
              <w:spacing w:line="276" w:lineRule="auto"/>
              <w:rPr>
                <w:rFonts w:cs="Arial"/>
              </w:rPr>
            </w:pPr>
            <w:r w:rsidRPr="009A5185">
              <w:rPr>
                <w:rFonts w:cs="Arial"/>
              </w:rPr>
              <w:lastRenderedPageBreak/>
              <w:t>h)</w:t>
            </w:r>
          </w:p>
        </w:tc>
        <w:tc>
          <w:tcPr>
            <w:tcW w:w="7251" w:type="dxa"/>
            <w:vAlign w:val="center"/>
          </w:tcPr>
          <w:p w14:paraId="18831040" w14:textId="77777777" w:rsidR="00C3345F" w:rsidRPr="009A5185" w:rsidRDefault="00C3345F">
            <w:pPr>
              <w:spacing w:line="276" w:lineRule="auto"/>
              <w:rPr>
                <w:rFonts w:cs="Arial"/>
              </w:rPr>
            </w:pPr>
            <w:r w:rsidRPr="009A5185">
              <w:rPr>
                <w:rFonts w:cs="Arial"/>
              </w:rPr>
              <w:t>Communicated back to end users the resolution of any system deficiencies and/or problems that may have contributed to workarounds</w:t>
            </w:r>
          </w:p>
          <w:p w14:paraId="77133865" w14:textId="77777777" w:rsidR="00C3345F" w:rsidRPr="009A5185" w:rsidRDefault="00C3345F">
            <w:pPr>
              <w:spacing w:line="276" w:lineRule="auto"/>
              <w:rPr>
                <w:rFonts w:cs="Arial"/>
              </w:rPr>
            </w:pPr>
          </w:p>
          <w:p w14:paraId="37677008" w14:textId="799ED56F" w:rsidR="00C3345F" w:rsidRPr="009A5185" w:rsidRDefault="00C3345F">
            <w:pPr>
              <w:spacing w:line="276" w:lineRule="auto"/>
              <w:rPr>
                <w:rFonts w:cs="Arial"/>
              </w:rPr>
            </w:pPr>
            <w:r w:rsidRPr="009A5185">
              <w:rPr>
                <w:rFonts w:cs="Arial"/>
                <w:i/>
              </w:rPr>
              <w:t xml:space="preserve">Cannot respond “yes” to this question, unless “yes” to either </w:t>
            </w:r>
            <w:r w:rsidR="00FF1AF1">
              <w:rPr>
                <w:rFonts w:cs="Arial"/>
                <w:i/>
              </w:rPr>
              <w:t>21a, 21</w:t>
            </w:r>
            <w:r w:rsidRPr="009A5185">
              <w:rPr>
                <w:rFonts w:cs="Arial"/>
                <w:i/>
              </w:rPr>
              <w:t>d</w:t>
            </w:r>
            <w:r>
              <w:rPr>
                <w:rFonts w:cs="Arial"/>
                <w:i/>
              </w:rPr>
              <w:t xml:space="preserve"> </w:t>
            </w:r>
            <w:r w:rsidRPr="009A5185">
              <w:rPr>
                <w:rFonts w:cs="Arial"/>
                <w:i/>
              </w:rPr>
              <w:t xml:space="preserve">or </w:t>
            </w:r>
            <w:r w:rsidR="00116D6F">
              <w:rPr>
                <w:rFonts w:cs="Arial"/>
                <w:i/>
              </w:rPr>
              <w:t>21</w:t>
            </w:r>
            <w:r w:rsidRPr="009A5185">
              <w:rPr>
                <w:rFonts w:cs="Arial"/>
                <w:i/>
              </w:rPr>
              <w:t>e.</w:t>
            </w:r>
          </w:p>
        </w:tc>
        <w:tc>
          <w:tcPr>
            <w:tcW w:w="1705" w:type="dxa"/>
            <w:vAlign w:val="center"/>
          </w:tcPr>
          <w:p w14:paraId="1641A7C5"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Yes</w:t>
            </w:r>
          </w:p>
          <w:p w14:paraId="6FCDE144" w14:textId="77777777" w:rsidR="00C3345F" w:rsidRPr="00CF4879" w:rsidRDefault="00C3345F" w:rsidP="00AD309C">
            <w:pPr>
              <w:pStyle w:val="ListParagraph"/>
              <w:numPr>
                <w:ilvl w:val="0"/>
                <w:numId w:val="336"/>
              </w:numPr>
              <w:spacing w:line="276" w:lineRule="auto"/>
              <w:rPr>
                <w:rFonts w:cs="Arial"/>
                <w:iCs/>
              </w:rPr>
            </w:pPr>
            <w:r w:rsidRPr="00CF4879">
              <w:rPr>
                <w:rFonts w:cs="Arial"/>
                <w:iCs/>
              </w:rPr>
              <w:t>No</w:t>
            </w:r>
          </w:p>
        </w:tc>
      </w:tr>
    </w:tbl>
    <w:p w14:paraId="0AE06AA2" w14:textId="77777777" w:rsidR="00C3345F" w:rsidRDefault="00C3345F" w:rsidP="00F750C5"/>
    <w:p w14:paraId="5E67902F" w14:textId="5BB50AED" w:rsidR="00653074" w:rsidRDefault="00653074" w:rsidP="00BD11D8"/>
    <w:p w14:paraId="203EDF9A" w14:textId="162EF0B2" w:rsidR="00653074" w:rsidRDefault="00653074">
      <w:pPr>
        <w:rPr>
          <w:b/>
          <w:snapToGrid w:val="0"/>
          <w:sz w:val="28"/>
          <w:szCs w:val="24"/>
          <w:u w:val="single"/>
          <w:lang w:eastAsia="ja-JP"/>
        </w:rPr>
      </w:pPr>
      <w:r>
        <w:br w:type="page"/>
      </w:r>
    </w:p>
    <w:p w14:paraId="54583FCE" w14:textId="60B1CE29" w:rsidR="00C3345F" w:rsidRDefault="00C7333E" w:rsidP="00CF5A6E">
      <w:pPr>
        <w:pStyle w:val="Heading2"/>
      </w:pPr>
      <w:bookmarkStart w:id="177" w:name="_Toc225877692"/>
      <w:r>
        <w:lastRenderedPageBreak/>
        <w:t>2D</w:t>
      </w:r>
      <w:r w:rsidRPr="009A5185">
        <w:t>: Medication Reconciliation</w:t>
      </w:r>
      <w:bookmarkEnd w:id="177"/>
    </w:p>
    <w:p w14:paraId="42F2AA45" w14:textId="77777777" w:rsidR="00C7333E" w:rsidRDefault="00C7333E" w:rsidP="00C3345F">
      <w:pPr>
        <w:pStyle w:val="BodyText3"/>
        <w:rPr>
          <w:rFonts w:cs="Arial"/>
        </w:rPr>
      </w:pPr>
    </w:p>
    <w:p w14:paraId="58949262" w14:textId="44566670" w:rsidR="00C3345F" w:rsidRDefault="00C3345F" w:rsidP="00C3345F">
      <w:pPr>
        <w:pStyle w:val="BodyText3"/>
        <w:rPr>
          <w:rFonts w:cs="Arial"/>
          <w:b/>
          <w:color w:val="FF0000"/>
        </w:rPr>
      </w:pPr>
      <w:r w:rsidRPr="009A5185">
        <w:rPr>
          <w:rFonts w:cs="Arial"/>
          <w:b/>
          <w:color w:val="FF0000"/>
        </w:rPr>
        <w:t xml:space="preserve">This section is not applicable to </w:t>
      </w:r>
      <w:r>
        <w:rPr>
          <w:rFonts w:cs="Arial"/>
          <w:b/>
          <w:color w:val="FF0000"/>
        </w:rPr>
        <w:t>p</w:t>
      </w:r>
      <w:r w:rsidRPr="009A5185">
        <w:rPr>
          <w:rFonts w:cs="Arial"/>
          <w:b/>
          <w:color w:val="FF0000"/>
        </w:rPr>
        <w:t xml:space="preserve">ediatric hospitals. </w:t>
      </w:r>
    </w:p>
    <w:p w14:paraId="41A4C1D6" w14:textId="03FADD11" w:rsidR="001413FC" w:rsidRDefault="001413FC" w:rsidP="00C3345F">
      <w:pPr>
        <w:pStyle w:val="BodyText3"/>
        <w:rPr>
          <w:rFonts w:cs="Arial"/>
          <w:b/>
          <w:color w:val="FF0000"/>
        </w:rPr>
      </w:pPr>
    </w:p>
    <w:p w14:paraId="49FF7A1D" w14:textId="61525BC8" w:rsidR="001413FC" w:rsidRPr="00620C87" w:rsidRDefault="001413FC" w:rsidP="00620C87">
      <w:pPr>
        <w:rPr>
          <w:rFonts w:cs="Arial"/>
          <w:snapToGrid w:val="0"/>
          <w:color w:val="0000FF"/>
          <w:u w:val="single"/>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75" w:history="1">
        <w:r w:rsidRPr="009A5185">
          <w:rPr>
            <w:rStyle w:val="Hyperlink"/>
            <w:rFonts w:cs="Arial"/>
            <w:snapToGrid w:val="0"/>
          </w:rPr>
          <w:t>Leapfrog’s Multi-Campus Reporting Policy</w:t>
        </w:r>
      </w:hyperlink>
      <w:r>
        <w:rPr>
          <w:rStyle w:val="Hyperlink"/>
          <w:rFonts w:cs="Arial"/>
          <w:snapToGrid w:val="0"/>
        </w:rPr>
        <w:t>.</w:t>
      </w:r>
    </w:p>
    <w:p w14:paraId="56C09D8E" w14:textId="77777777" w:rsidR="00C3345F" w:rsidRPr="009A5185" w:rsidRDefault="00C3345F" w:rsidP="00C3345F">
      <w:pPr>
        <w:pStyle w:val="BodyText3"/>
        <w:rPr>
          <w:rFonts w:cs="Arial"/>
          <w:color w:val="FF0000"/>
        </w:rPr>
      </w:pPr>
    </w:p>
    <w:p w14:paraId="36693644" w14:textId="489B3CD4" w:rsidR="00C3345F" w:rsidRDefault="00C3345F" w:rsidP="00C3345F">
      <w:pPr>
        <w:rPr>
          <w:rFonts w:cs="Arial"/>
          <w:snapToGrid w:val="0"/>
        </w:rPr>
      </w:pPr>
      <w:r w:rsidRPr="009A5185">
        <w:rPr>
          <w:rFonts w:cs="Arial"/>
          <w:b/>
          <w:snapToGrid w:val="0"/>
        </w:rPr>
        <w:t>Specifications:</w:t>
      </w:r>
      <w:r w:rsidRPr="009A5185">
        <w:rPr>
          <w:rFonts w:cs="Arial"/>
          <w:snapToGrid w:val="0"/>
        </w:rPr>
        <w:t xml:space="preserve"> See </w:t>
      </w:r>
      <w:hyperlink w:anchor="MedRecSpecs" w:history="1">
        <w:r w:rsidRPr="009A5185">
          <w:rPr>
            <w:rStyle w:val="Hyperlink"/>
            <w:rFonts w:cs="Arial"/>
            <w:b/>
            <w:i/>
          </w:rPr>
          <w:t>Medication Reconciliation Measure Specifications</w:t>
        </w:r>
      </w:hyperlink>
      <w:r w:rsidRPr="009A5185">
        <w:rPr>
          <w:rFonts w:cs="Arial"/>
        </w:rPr>
        <w:t xml:space="preserve"> </w:t>
      </w:r>
      <w:r w:rsidRPr="009A5185">
        <w:rPr>
          <w:rFonts w:cs="Arial"/>
          <w:snapToGrid w:val="0"/>
        </w:rPr>
        <w:t xml:space="preserve">in the Reference Information </w:t>
      </w:r>
      <w:r w:rsidR="00FA29BA">
        <w:rPr>
          <w:rFonts w:cs="Arial"/>
          <w:snapToGrid w:val="0"/>
        </w:rPr>
        <w:t>beginning on page</w:t>
      </w:r>
      <w:r w:rsidR="00C92FF9">
        <w:rPr>
          <w:rFonts w:cs="Arial"/>
          <w:snapToGrid w:val="0"/>
        </w:rPr>
        <w:t xml:space="preserve"> </w:t>
      </w:r>
      <w:r w:rsidR="00A274B6">
        <w:rPr>
          <w:rFonts w:cs="Arial"/>
          <w:snapToGrid w:val="0"/>
        </w:rPr>
        <w:t>7</w:t>
      </w:r>
      <w:r w:rsidR="00D07281">
        <w:rPr>
          <w:rFonts w:cs="Arial"/>
          <w:snapToGrid w:val="0"/>
        </w:rPr>
        <w:t>7</w:t>
      </w:r>
      <w:r w:rsidR="00FA29BA">
        <w:rPr>
          <w:rFonts w:cs="Arial"/>
          <w:snapToGrid w:val="0"/>
        </w:rPr>
        <w:t>.</w:t>
      </w:r>
    </w:p>
    <w:p w14:paraId="7701058A" w14:textId="77777777" w:rsidR="006B20FF" w:rsidRPr="009A5185" w:rsidRDefault="006B20FF" w:rsidP="00C3345F">
      <w:pPr>
        <w:rPr>
          <w:rFonts w:cs="Arial"/>
          <w:snapToGrid w:val="0"/>
        </w:rPr>
      </w:pPr>
    </w:p>
    <w:p w14:paraId="2C50B7D8" w14:textId="1E3D009B" w:rsidR="00C3345F" w:rsidRDefault="006B20FF" w:rsidP="00C3345F">
      <w:pPr>
        <w:rPr>
          <w:rStyle w:val="Hyperlink"/>
        </w:rPr>
      </w:pPr>
      <w:r w:rsidRPr="006B20FF">
        <w:rPr>
          <w:rFonts w:cs="Arial"/>
          <w:noProof/>
          <w:snapToGrid w:val="0"/>
        </w:rPr>
        <mc:AlternateContent>
          <mc:Choice Requires="wps">
            <w:drawing>
              <wp:inline distT="0" distB="0" distL="0" distR="0" wp14:anchorId="254CEFE2" wp14:editId="294CEF16">
                <wp:extent cx="6058894" cy="1404620"/>
                <wp:effectExtent l="0" t="0" r="18415" b="16510"/>
                <wp:docPr id="25" name="Text Box 25" descr="P2157TB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894" cy="1404620"/>
                        </a:xfrm>
                        <a:prstGeom prst="rect">
                          <a:avLst/>
                        </a:prstGeom>
                        <a:solidFill>
                          <a:srgbClr val="FFFFFF"/>
                        </a:solidFill>
                        <a:ln w="9525">
                          <a:solidFill>
                            <a:srgbClr val="FF0000"/>
                          </a:solidFill>
                          <a:miter lim="800000"/>
                          <a:headEnd/>
                          <a:tailEnd/>
                        </a:ln>
                      </wps:spPr>
                      <wps:txbx>
                        <w:txbxContent>
                          <w:p w14:paraId="73F0B372" w14:textId="42FBA280" w:rsidR="006B20FF" w:rsidRPr="009A5185" w:rsidRDefault="006B20FF" w:rsidP="006B20FF">
                            <w:pPr>
                              <w:spacing w:before="40"/>
                              <w:rPr>
                                <w:rFonts w:cs="Arial"/>
                                <w:b/>
                                <w:snapToGrid w:val="0"/>
                              </w:rPr>
                            </w:pPr>
                            <w:r w:rsidRPr="009A5185">
                              <w:rPr>
                                <w:rFonts w:cs="Arial"/>
                                <w:b/>
                                <w:snapToGrid w:val="0"/>
                              </w:rPr>
                              <w:t>Reporting Period: 6 months</w:t>
                            </w:r>
                          </w:p>
                          <w:p w14:paraId="7421029D" w14:textId="77777777" w:rsidR="006B20FF" w:rsidRDefault="006B20FF" w:rsidP="006B20FF">
                            <w:pPr>
                              <w:rPr>
                                <w:rFonts w:cs="Arial"/>
                              </w:rPr>
                            </w:pPr>
                            <w:r w:rsidRPr="009A5185">
                              <w:rPr>
                                <w:rFonts w:cs="Arial"/>
                              </w:rPr>
                              <w:t>Answer questions #1-</w:t>
                            </w:r>
                            <w:r>
                              <w:rPr>
                                <w:rFonts w:cs="Arial"/>
                              </w:rPr>
                              <w:t>8</w:t>
                            </w:r>
                            <w:r w:rsidRPr="009A5185">
                              <w:rPr>
                                <w:rFonts w:cs="Arial"/>
                              </w:rPr>
                              <w:t xml:space="preserve"> for the latest 6-month period prior to the submission of this section of the Survey. </w:t>
                            </w:r>
                          </w:p>
                          <w:p w14:paraId="316E37F3" w14:textId="77777777" w:rsidR="006B20FF" w:rsidRDefault="006B20FF" w:rsidP="006B20FF">
                            <w:pPr>
                              <w:rPr>
                                <w:rFonts w:cs="Arial"/>
                              </w:rPr>
                            </w:pPr>
                          </w:p>
                          <w:p w14:paraId="740C7DA4" w14:textId="5A31C912" w:rsidR="006B20FF" w:rsidRDefault="006B20FF" w:rsidP="006B20FF">
                            <w:r w:rsidRPr="006547C0">
                              <w:rPr>
                                <w:rFonts w:cs="Arial"/>
                                <w:sz w:val="16"/>
                                <w:szCs w:val="16"/>
                              </w:rPr>
                              <w:t xml:space="preserve">Note: As a reminder, the </w:t>
                            </w:r>
                            <w:hyperlink r:id="rId176"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254CEFE2" id="Text Box 25" o:spid="_x0000_s1036" type="#_x0000_t202" alt="P2157TB9#y1" style="width:477.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" strokecolor="red">
                <v:textbox style="mso-fit-shape-to-text:t">
                  <w:txbxContent>
                    <w:p w14:paraId="73F0B372" w14:textId="42FBA280" w:rsidR="006B20FF" w:rsidRPr="009A5185" w:rsidRDefault="006B20FF" w:rsidP="006B20FF">
                      <w:pPr>
                        <w:spacing w:before="40"/>
                        <w:rPr>
                          <w:rFonts w:cs="Arial"/>
                          <w:b/>
                          <w:snapToGrid w:val="0"/>
                        </w:rPr>
                      </w:pPr>
                      <w:r w:rsidRPr="009A5185">
                        <w:rPr>
                          <w:rFonts w:cs="Arial"/>
                          <w:b/>
                          <w:snapToGrid w:val="0"/>
                        </w:rPr>
                        <w:t>Reporting Period: 6 months</w:t>
                      </w:r>
                    </w:p>
                    <w:p w14:paraId="7421029D" w14:textId="77777777" w:rsidR="006B20FF" w:rsidRDefault="006B20FF" w:rsidP="006B20FF">
                      <w:pPr>
                        <w:rPr>
                          <w:rFonts w:cs="Arial"/>
                        </w:rPr>
                      </w:pPr>
                      <w:r w:rsidRPr="009A5185">
                        <w:rPr>
                          <w:rFonts w:cs="Arial"/>
                        </w:rPr>
                        <w:t>Answer questions #1-</w:t>
                      </w:r>
                      <w:r>
                        <w:rPr>
                          <w:rFonts w:cs="Arial"/>
                        </w:rPr>
                        <w:t>8</w:t>
                      </w:r>
                      <w:r w:rsidRPr="009A5185">
                        <w:rPr>
                          <w:rFonts w:cs="Arial"/>
                        </w:rPr>
                        <w:t xml:space="preserve"> for the latest 6-month period prior to the submission of this section of the Survey. </w:t>
                      </w:r>
                    </w:p>
                    <w:p w14:paraId="316E37F3" w14:textId="77777777" w:rsidR="006B20FF" w:rsidRDefault="006B20FF" w:rsidP="006B20FF">
                      <w:pPr>
                        <w:rPr>
                          <w:rFonts w:cs="Arial"/>
                        </w:rPr>
                      </w:pPr>
                    </w:p>
                    <w:p w14:paraId="740C7DA4" w14:textId="5A31C912" w:rsidR="006B20FF" w:rsidRDefault="006B20FF" w:rsidP="006B20FF">
                      <w:r w:rsidRPr="006547C0">
                        <w:rPr>
                          <w:rFonts w:cs="Arial"/>
                          <w:sz w:val="16"/>
                          <w:szCs w:val="16"/>
                        </w:rPr>
                        <w:t xml:space="preserve">Note: As a reminder, the </w:t>
                      </w:r>
                      <w:hyperlink r:id="rId177"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36D4B72B" w14:textId="65D403BA" w:rsidR="00C3345F" w:rsidRDefault="00C3345F" w:rsidP="00C3345F">
      <w:pPr>
        <w:rPr>
          <w:rFonts w:cs="Arial"/>
          <w:snapToGrid w:val="0"/>
        </w:rPr>
      </w:pPr>
    </w:p>
    <w:p w14:paraId="4C90F97B" w14:textId="77BE6DCF" w:rsidR="00C50965" w:rsidRDefault="00C50965" w:rsidP="00C50965">
      <w:pPr>
        <w:rPr>
          <w:rFonts w:cs="Arial"/>
          <w:b/>
        </w:rPr>
      </w:pPr>
      <w:r w:rsidRPr="00BC2785">
        <w:rPr>
          <w:b/>
          <w:bCs/>
        </w:rPr>
        <w:t>Sufficient Sample:</w:t>
      </w:r>
      <w:r>
        <w:t xml:space="preserve"> See </w:t>
      </w:r>
      <w:hyperlink w:anchor="_Medication_Reconciliation_1" w:history="1">
        <w:r w:rsidR="00B9657D">
          <w:rPr>
            <w:rStyle w:val="Hyperlink"/>
            <w:b/>
            <w:bCs/>
            <w:i/>
            <w:iCs/>
          </w:rPr>
          <w:t>Medication Reconciliation Measure Specifications</w:t>
        </w:r>
      </w:hyperlink>
      <w:r w:rsidRPr="001E2A00">
        <w:rPr>
          <w:rStyle w:val="Hyperlink"/>
          <w:b/>
          <w:i/>
          <w:iCs/>
          <w:u w:val="none"/>
        </w:rPr>
        <w:t xml:space="preserve"> </w:t>
      </w:r>
      <w:r>
        <w:t>for instructions on identifying a sufficient sample for question #</w:t>
      </w:r>
      <w:r w:rsidR="00B9657D">
        <w:t>3</w:t>
      </w:r>
      <w:r>
        <w:t>.</w:t>
      </w:r>
    </w:p>
    <w:p w14:paraId="6DBC079A" w14:textId="77777777" w:rsidR="00C50965" w:rsidRDefault="00C50965" w:rsidP="00C3345F">
      <w:pPr>
        <w:rPr>
          <w:rFonts w:cs="Arial"/>
          <w:snapToGrid w:val="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7"/>
        <w:gridCol w:w="1823"/>
      </w:tblGrid>
      <w:tr w:rsidR="008D6E32" w:rsidRPr="009A5185" w14:paraId="091924A5" w14:textId="77777777" w:rsidTr="0055100A">
        <w:trPr>
          <w:trHeight w:val="864"/>
        </w:trPr>
        <w:tc>
          <w:tcPr>
            <w:tcW w:w="7717" w:type="dxa"/>
            <w:vAlign w:val="center"/>
          </w:tcPr>
          <w:p w14:paraId="5D5840C8" w14:textId="680A8D37" w:rsidR="008D6E32" w:rsidRPr="002C516E" w:rsidRDefault="008D6E32" w:rsidP="00AD309C">
            <w:pPr>
              <w:pStyle w:val="ListParagraph"/>
              <w:numPr>
                <w:ilvl w:val="0"/>
                <w:numId w:val="51"/>
              </w:numPr>
              <w:spacing w:before="120"/>
              <w:rPr>
                <w:rFonts w:cs="Arial"/>
              </w:rPr>
            </w:pPr>
            <w:r w:rsidRPr="009A5185">
              <w:rPr>
                <w:rFonts w:cs="Arial"/>
              </w:rPr>
              <w:t>What is the latest 6-month reporting period for which your hospital is submitting responses to this section? 6-month reporting period ending:</w:t>
            </w:r>
          </w:p>
        </w:tc>
        <w:tc>
          <w:tcPr>
            <w:tcW w:w="1823" w:type="dxa"/>
            <w:vAlign w:val="center"/>
          </w:tcPr>
          <w:p w14:paraId="0AEC3CBF" w14:textId="77777777" w:rsidR="008D6E32" w:rsidRPr="009A5185" w:rsidRDefault="008D6E32" w:rsidP="008D6E32">
            <w:pPr>
              <w:jc w:val="center"/>
              <w:rPr>
                <w:rFonts w:cs="Arial"/>
                <w:i/>
                <w:snapToGrid w:val="0"/>
              </w:rPr>
            </w:pPr>
            <w:r w:rsidRPr="009A5185">
              <w:rPr>
                <w:rFonts w:cs="Arial"/>
                <w:i/>
                <w:snapToGrid w:val="0"/>
              </w:rPr>
              <w:t>______</w:t>
            </w:r>
          </w:p>
          <w:p w14:paraId="1DBA248E" w14:textId="23E31918" w:rsidR="008D6E32" w:rsidRDefault="008D6E32" w:rsidP="008D6E32">
            <w:pPr>
              <w:jc w:val="center"/>
              <w:rPr>
                <w:rFonts w:cs="Arial"/>
                <w:i/>
                <w:snapToGrid w:val="0"/>
              </w:rPr>
            </w:pPr>
            <w:r w:rsidRPr="009A5185">
              <w:rPr>
                <w:rFonts w:cs="Arial"/>
                <w:i/>
                <w:snapToGrid w:val="0"/>
                <w:sz w:val="16"/>
                <w:szCs w:val="16"/>
              </w:rPr>
              <w:t>Format: M</w:t>
            </w:r>
            <w:r>
              <w:rPr>
                <w:rFonts w:cs="Arial"/>
                <w:i/>
                <w:snapToGrid w:val="0"/>
                <w:sz w:val="16"/>
                <w:szCs w:val="16"/>
              </w:rPr>
              <w:t>onth</w:t>
            </w:r>
            <w:r w:rsidRPr="009A5185">
              <w:rPr>
                <w:rFonts w:cs="Arial"/>
                <w:i/>
                <w:snapToGrid w:val="0"/>
                <w:sz w:val="16"/>
                <w:szCs w:val="16"/>
              </w:rPr>
              <w:t>/Y</w:t>
            </w:r>
            <w:r>
              <w:rPr>
                <w:rFonts w:cs="Arial"/>
                <w:i/>
                <w:snapToGrid w:val="0"/>
                <w:sz w:val="16"/>
                <w:szCs w:val="16"/>
              </w:rPr>
              <w:t>ear</w:t>
            </w:r>
          </w:p>
        </w:tc>
      </w:tr>
      <w:tr w:rsidR="00C3345F" w:rsidRPr="009A5185" w14:paraId="6724E555" w14:textId="77777777" w:rsidTr="0055100A">
        <w:trPr>
          <w:trHeight w:val="4670"/>
        </w:trPr>
        <w:tc>
          <w:tcPr>
            <w:tcW w:w="7717" w:type="dxa"/>
            <w:vAlign w:val="center"/>
          </w:tcPr>
          <w:p w14:paraId="6091D7D0" w14:textId="4891DC53" w:rsidR="00C3345F" w:rsidRPr="002C516E" w:rsidRDefault="00C3345F" w:rsidP="00AD309C">
            <w:pPr>
              <w:pStyle w:val="ListParagraph"/>
              <w:numPr>
                <w:ilvl w:val="0"/>
                <w:numId w:val="51"/>
              </w:numPr>
              <w:spacing w:before="120"/>
              <w:rPr>
                <w:rFonts w:cs="Arial"/>
              </w:rPr>
            </w:pPr>
            <w:r w:rsidRPr="002C516E">
              <w:rPr>
                <w:rFonts w:cs="Arial"/>
              </w:rPr>
              <w:t>During the 6-month reporting period, did your hospital conduct a random sample of adult patients and have a pharmacist</w:t>
            </w:r>
            <w:r>
              <w:rPr>
                <w:rFonts w:cs="Arial"/>
              </w:rPr>
              <w:t xml:space="preserve"> or </w:t>
            </w:r>
            <w:hyperlink w:anchor="CertifiedPharmacyTechnician" w:history="1">
              <w:r w:rsidRPr="00EA3D2A">
                <w:rPr>
                  <w:rStyle w:val="Hyperlink"/>
                  <w:rFonts w:cs="Arial"/>
                </w:rPr>
                <w:t>certified pharmacy technician</w:t>
              </w:r>
            </w:hyperlink>
            <w:bookmarkStart w:id="178" w:name="_Ref59097322"/>
            <w:r w:rsidR="00C2087D">
              <w:rPr>
                <w:rFonts w:ascii="ZWAdobeF" w:hAnsi="ZWAdobeF" w:cs="ZWAdobeF"/>
                <w:sz w:val="2"/>
                <w:szCs w:val="2"/>
              </w:rPr>
              <w:t>22F</w:t>
            </w:r>
            <w:r w:rsidR="00B55C41">
              <w:rPr>
                <w:rFonts w:ascii="ZWAdobeF" w:hAnsi="ZWAdobeF" w:cs="ZWAdobeF"/>
                <w:sz w:val="2"/>
                <w:szCs w:val="2"/>
              </w:rPr>
              <w:t>22F</w:t>
            </w:r>
            <w:r w:rsidR="006255A6">
              <w:rPr>
                <w:rFonts w:ascii="ZWAdobeF" w:hAnsi="ZWAdobeF" w:cs="ZWAdobeF"/>
                <w:sz w:val="2"/>
                <w:szCs w:val="2"/>
              </w:rPr>
              <w:t>22F</w:t>
            </w:r>
            <w:r w:rsidR="00E453C7">
              <w:rPr>
                <w:rFonts w:ascii="ZWAdobeF" w:hAnsi="ZWAdobeF" w:cs="ZWAdobeF"/>
                <w:sz w:val="2"/>
                <w:szCs w:val="2"/>
              </w:rPr>
              <w:t>22F</w:t>
            </w:r>
            <w:r w:rsidR="00953060">
              <w:rPr>
                <w:rFonts w:ascii="ZWAdobeF" w:hAnsi="ZWAdobeF" w:cs="ZWAdobeF"/>
                <w:sz w:val="2"/>
                <w:szCs w:val="2"/>
              </w:rPr>
              <w:t>22F</w:t>
            </w:r>
            <w:r w:rsidR="00DD04D6">
              <w:rPr>
                <w:rFonts w:ascii="ZWAdobeF" w:hAnsi="ZWAdobeF" w:cs="ZWAdobeF"/>
                <w:sz w:val="2"/>
                <w:szCs w:val="2"/>
              </w:rPr>
              <w:t>22F</w:t>
            </w:r>
            <w:r w:rsidRPr="003A1377">
              <w:rPr>
                <w:rStyle w:val="EndnoteReference"/>
                <w:rFonts w:cs="Arial"/>
              </w:rPr>
              <w:endnoteReference w:id="24"/>
            </w:r>
            <w:bookmarkEnd w:id="178"/>
            <w:r w:rsidRPr="002C516E">
              <w:rPr>
                <w:rFonts w:cs="Arial"/>
              </w:rPr>
              <w:t xml:space="preserve"> complete the following steps for each patient included in the sample:</w:t>
            </w:r>
          </w:p>
          <w:p w14:paraId="56111D8E" w14:textId="4784124D" w:rsidR="00C3345F" w:rsidRPr="002C516E" w:rsidRDefault="00C3345F" w:rsidP="00AD309C">
            <w:pPr>
              <w:pStyle w:val="EndnoteText"/>
              <w:numPr>
                <w:ilvl w:val="1"/>
                <w:numId w:val="51"/>
              </w:numPr>
              <w:rPr>
                <w:rFonts w:cs="Arial"/>
              </w:rPr>
            </w:pPr>
            <w:hyperlink w:anchor="Step2_Interview" w:history="1">
              <w:r w:rsidRPr="00811AC5">
                <w:rPr>
                  <w:rStyle w:val="Hyperlink"/>
                  <w:rFonts w:cs="Arial"/>
                </w:rPr>
                <w:t>Interview Patient and Obtain the Gold Standard Medication History</w:t>
              </w:r>
            </w:hyperlink>
            <w:r>
              <w:rPr>
                <w:rStyle w:val="Hyperlink"/>
                <w:rFonts w:cs="Arial"/>
              </w:rPr>
              <w:t xml:space="preserve"> </w:t>
            </w:r>
            <w:r w:rsidRPr="00E442DC">
              <w:rPr>
                <w:rStyle w:val="Hyperlink"/>
                <w:rFonts w:cs="Arial"/>
                <w:color w:val="auto"/>
                <w:u w:val="none"/>
              </w:rPr>
              <w:t>(pharmacist o</w:t>
            </w:r>
            <w:r>
              <w:rPr>
                <w:rStyle w:val="Hyperlink"/>
                <w:rFonts w:cs="Arial"/>
                <w:color w:val="auto"/>
                <w:u w:val="none"/>
              </w:rPr>
              <w:t>r</w:t>
            </w:r>
            <w:r w:rsidRPr="00E442DC">
              <w:rPr>
                <w:rStyle w:val="Hyperlink"/>
                <w:rFonts w:cs="Arial"/>
                <w:color w:val="auto"/>
                <w:u w:val="none"/>
              </w:rPr>
              <w:t xml:space="preserve"> </w:t>
            </w:r>
            <w:hyperlink w:anchor="CertifiedPharmacyTechnician" w:history="1">
              <w:r w:rsidRPr="0057191C">
                <w:rPr>
                  <w:rStyle w:val="Hyperlink"/>
                  <w:rFonts w:cs="Arial"/>
                </w:rPr>
                <w:t>certified pharmacy technician</w:t>
              </w:r>
            </w:hyperlink>
            <w:r>
              <w:rPr>
                <w:rFonts w:cs="Arial"/>
              </w:rPr>
              <w:fldChar w:fldCharType="begin"/>
            </w:r>
            <w:r>
              <w:rPr>
                <w:rFonts w:cs="Arial"/>
              </w:rPr>
              <w:instrText xml:space="preserve"> NOTEREF _Ref59097322 \f \h </w:instrText>
            </w:r>
            <w:r w:rsidR="0055100A">
              <w:rPr>
                <w:rFonts w:cs="Arial"/>
              </w:rPr>
              <w:instrText xml:space="preserve"> \* MERGEFORMAT </w:instrText>
            </w:r>
            <w:r>
              <w:rPr>
                <w:rFonts w:cs="Arial"/>
              </w:rPr>
            </w:r>
            <w:r>
              <w:rPr>
                <w:rFonts w:cs="Arial"/>
              </w:rPr>
              <w:fldChar w:fldCharType="separate"/>
            </w:r>
            <w:r w:rsidR="007D53A2" w:rsidRPr="00F06B87">
              <w:rPr>
                <w:rStyle w:val="EndnoteReference"/>
              </w:rPr>
              <w:t>23</w:t>
            </w:r>
            <w:r>
              <w:rPr>
                <w:rFonts w:cs="Arial"/>
              </w:rPr>
              <w:fldChar w:fldCharType="end"/>
            </w:r>
            <w:r w:rsidRPr="00E442DC">
              <w:rPr>
                <w:rStyle w:val="Hyperlink"/>
                <w:rFonts w:cs="Arial"/>
                <w:color w:val="auto"/>
                <w:u w:val="none"/>
              </w:rPr>
              <w:t>)</w:t>
            </w:r>
            <w:r w:rsidR="00515B0B">
              <w:rPr>
                <w:rStyle w:val="Hyperlink"/>
                <w:rFonts w:cs="Arial"/>
                <w:color w:val="auto"/>
                <w:u w:val="none"/>
              </w:rPr>
              <w:t>;</w:t>
            </w:r>
          </w:p>
          <w:p w14:paraId="69A7A601" w14:textId="0690E7AC" w:rsidR="00C3345F" w:rsidRPr="00E442DC" w:rsidRDefault="00C3345F" w:rsidP="00AD309C">
            <w:pPr>
              <w:pStyle w:val="ListParagraph"/>
              <w:numPr>
                <w:ilvl w:val="1"/>
                <w:numId w:val="51"/>
              </w:numPr>
              <w:rPr>
                <w:rFonts w:cs="Arial"/>
              </w:rPr>
            </w:pPr>
            <w:hyperlink w:anchor="Step3_CompleteWkst" w:history="1">
              <w:r w:rsidRPr="00E442DC">
                <w:rPr>
                  <w:rStyle w:val="Hyperlink"/>
                  <w:rFonts w:cs="Arial"/>
                </w:rPr>
                <w:t xml:space="preserve">Complete a Medication Reconciliation Worksheet for each sampled patient </w:t>
              </w:r>
            </w:hyperlink>
            <w:r w:rsidRPr="00E442DC">
              <w:rPr>
                <w:rStyle w:val="Hyperlink"/>
                <w:rFonts w:cs="Arial"/>
                <w:color w:val="auto"/>
                <w:u w:val="none"/>
              </w:rPr>
              <w:t xml:space="preserve">(pharmacist or </w:t>
            </w:r>
            <w:hyperlink w:anchor="CertifiedPharmacyTechnician" w:history="1">
              <w:r w:rsidRPr="0057191C">
                <w:rPr>
                  <w:rStyle w:val="Hyperlink"/>
                  <w:rFonts w:cs="Arial"/>
                </w:rPr>
                <w:t>certified pharmacy technician</w:t>
              </w:r>
            </w:hyperlink>
            <w:r w:rsidR="00763813" w:rsidRPr="00E77139">
              <w:rPr>
                <w:rFonts w:cs="Arial"/>
                <w:vertAlign w:val="superscript"/>
              </w:rPr>
              <w:t>23</w:t>
            </w:r>
            <w:r w:rsidRPr="00E442DC">
              <w:rPr>
                <w:rStyle w:val="Hyperlink"/>
                <w:rFonts w:cs="Arial"/>
                <w:color w:val="auto"/>
                <w:u w:val="none"/>
              </w:rPr>
              <w:t>)</w:t>
            </w:r>
            <w:r w:rsidR="00515B0B">
              <w:rPr>
                <w:rStyle w:val="Hyperlink"/>
                <w:rFonts w:cs="Arial"/>
                <w:color w:val="auto"/>
                <w:u w:val="none"/>
              </w:rPr>
              <w:t>;</w:t>
            </w:r>
          </w:p>
          <w:p w14:paraId="5F9850E6" w14:textId="00147406" w:rsidR="00C3345F" w:rsidRPr="00E442DC" w:rsidRDefault="00C3345F" w:rsidP="00AD309C">
            <w:pPr>
              <w:pStyle w:val="EndnoteText"/>
              <w:numPr>
                <w:ilvl w:val="1"/>
                <w:numId w:val="51"/>
              </w:numPr>
              <w:rPr>
                <w:rFonts w:cs="Arial"/>
              </w:rPr>
            </w:pPr>
            <w:hyperlink w:anchor="Step4_ComparewAdmissionOrders" w:history="1">
              <w:r w:rsidRPr="00811AC5">
                <w:rPr>
                  <w:rStyle w:val="Hyperlink"/>
                  <w:rFonts w:cs="Arial"/>
                </w:rPr>
                <w:t>Compare Gold Standard Medication History to Admission Orders</w:t>
              </w:r>
            </w:hyperlink>
            <w:r>
              <w:rPr>
                <w:rStyle w:val="Hyperlink"/>
                <w:rFonts w:cs="Arial"/>
              </w:rPr>
              <w:t xml:space="preserve"> </w:t>
            </w:r>
            <w:r w:rsidRPr="00E442DC">
              <w:rPr>
                <w:rStyle w:val="Hyperlink"/>
                <w:rFonts w:cs="Arial"/>
                <w:color w:val="auto"/>
                <w:u w:val="none"/>
              </w:rPr>
              <w:t>(pharmacist only)</w:t>
            </w:r>
            <w:r w:rsidR="003F497E">
              <w:rPr>
                <w:rStyle w:val="Hyperlink"/>
                <w:rFonts w:cs="Arial"/>
                <w:color w:val="auto"/>
                <w:u w:val="none"/>
              </w:rPr>
              <w:t>;</w:t>
            </w:r>
            <w:r w:rsidR="00FA374A">
              <w:rPr>
                <w:rStyle w:val="Hyperlink"/>
                <w:rFonts w:cs="Arial"/>
                <w:color w:val="auto"/>
                <w:u w:val="none"/>
              </w:rPr>
              <w:t xml:space="preserve"> and</w:t>
            </w:r>
          </w:p>
          <w:p w14:paraId="71646DE7" w14:textId="46429446" w:rsidR="00C3345F" w:rsidRPr="002C516E" w:rsidRDefault="00C3345F" w:rsidP="00AD309C">
            <w:pPr>
              <w:pStyle w:val="EndnoteText"/>
              <w:numPr>
                <w:ilvl w:val="1"/>
                <w:numId w:val="51"/>
              </w:numPr>
              <w:rPr>
                <w:rFonts w:cs="Arial"/>
              </w:rPr>
            </w:pPr>
            <w:hyperlink w:anchor="Step5_ComparewDischargeOrders" w:history="1">
              <w:r w:rsidRPr="00811AC5">
                <w:rPr>
                  <w:rStyle w:val="Hyperlink"/>
                </w:rPr>
                <w:t>Compare Gold Standard Medication History to Discharge Orders</w:t>
              </w:r>
            </w:hyperlink>
            <w:r>
              <w:rPr>
                <w:rStyle w:val="Hyperlink"/>
              </w:rPr>
              <w:t xml:space="preserve"> </w:t>
            </w:r>
            <w:r w:rsidRPr="00E442DC">
              <w:rPr>
                <w:rStyle w:val="Hyperlink"/>
                <w:color w:val="auto"/>
                <w:u w:val="none"/>
              </w:rPr>
              <w:t>(pharmacist only)</w:t>
            </w:r>
            <w:r w:rsidR="00FA374A">
              <w:rPr>
                <w:rStyle w:val="Hyperlink"/>
                <w:color w:val="auto"/>
                <w:u w:val="none"/>
              </w:rPr>
              <w:t>?</w:t>
            </w:r>
          </w:p>
          <w:p w14:paraId="34D93BC4" w14:textId="77777777" w:rsidR="00C3345F" w:rsidRPr="002C516E" w:rsidRDefault="00C3345F" w:rsidP="0055100A">
            <w:pPr>
              <w:pStyle w:val="EndnoteText"/>
              <w:ind w:left="540"/>
              <w:rPr>
                <w:rFonts w:cs="Arial"/>
              </w:rPr>
            </w:pPr>
          </w:p>
          <w:p w14:paraId="0CD6A9FE" w14:textId="030B3870" w:rsidR="00C3345F" w:rsidRDefault="00C3345F" w:rsidP="0055100A">
            <w:pPr>
              <w:pStyle w:val="EndnoteText"/>
              <w:ind w:left="540"/>
              <w:rPr>
                <w:rFonts w:cs="Arial"/>
                <w:i/>
              </w:rPr>
            </w:pPr>
            <w:r w:rsidRPr="002C516E">
              <w:rPr>
                <w:rFonts w:cs="Arial"/>
                <w:i/>
              </w:rPr>
              <w:t>If “no” to question #</w:t>
            </w:r>
            <w:r>
              <w:rPr>
                <w:rFonts w:cs="Arial"/>
                <w:i/>
              </w:rPr>
              <w:t>2</w:t>
            </w:r>
            <w:r w:rsidRPr="002C516E">
              <w:rPr>
                <w:rFonts w:cs="Arial"/>
                <w:i/>
              </w:rPr>
              <w:t xml:space="preserve">, skip </w:t>
            </w:r>
            <w:r w:rsidR="00D145C4">
              <w:rPr>
                <w:rFonts w:cs="Arial"/>
                <w:i/>
              </w:rPr>
              <w:t xml:space="preserve">the remaining questions in </w:t>
            </w:r>
            <w:r w:rsidR="00CF7851">
              <w:rPr>
                <w:rFonts w:cs="Arial"/>
                <w:i/>
              </w:rPr>
              <w:t>Section 2</w:t>
            </w:r>
            <w:r w:rsidR="00F72C9F">
              <w:rPr>
                <w:rFonts w:cs="Arial"/>
                <w:i/>
              </w:rPr>
              <w:t>D</w:t>
            </w:r>
            <w:r w:rsidR="00CF7851">
              <w:rPr>
                <w:rFonts w:cs="Arial"/>
                <w:i/>
              </w:rPr>
              <w:t xml:space="preserve"> </w:t>
            </w:r>
            <w:r w:rsidR="00D145C4">
              <w:rPr>
                <w:rFonts w:cs="Arial"/>
                <w:i/>
              </w:rPr>
              <w:t>and go to the Affirmation of Accuracy</w:t>
            </w:r>
            <w:r w:rsidRPr="002C516E">
              <w:rPr>
                <w:rFonts w:cs="Arial"/>
                <w:i/>
              </w:rPr>
              <w:t>.</w:t>
            </w:r>
            <w:r>
              <w:rPr>
                <w:rFonts w:cs="Arial"/>
                <w:i/>
              </w:rPr>
              <w:t xml:space="preserve"> </w:t>
            </w:r>
            <w:r w:rsidRPr="00F61E74">
              <w:rPr>
                <w:rFonts w:cs="Arial"/>
                <w:i/>
              </w:rPr>
              <w:t>The hospital will be scored as “</w:t>
            </w:r>
            <w:r w:rsidR="004D39CE">
              <w:rPr>
                <w:rFonts w:cs="Arial"/>
                <w:i/>
              </w:rPr>
              <w:t>Did Not Measure</w:t>
            </w:r>
            <w:r w:rsidRPr="00F61E74">
              <w:rPr>
                <w:rFonts w:cs="Arial"/>
                <w:i/>
              </w:rPr>
              <w:t>.”</w:t>
            </w:r>
          </w:p>
          <w:p w14:paraId="22443C4F" w14:textId="77777777" w:rsidR="00C3345F" w:rsidRDefault="00C3345F" w:rsidP="0055100A">
            <w:pPr>
              <w:pStyle w:val="EndnoteText"/>
              <w:ind w:left="540"/>
              <w:rPr>
                <w:rFonts w:cs="Arial"/>
                <w:i/>
              </w:rPr>
            </w:pPr>
          </w:p>
          <w:p w14:paraId="2ECA5DAB" w14:textId="45753CAC" w:rsidR="00B9657D" w:rsidRPr="0011459E" w:rsidRDefault="00C3345F" w:rsidP="0055100A">
            <w:pPr>
              <w:pStyle w:val="EndnoteText"/>
              <w:ind w:left="540"/>
              <w:rPr>
                <w:rFonts w:cs="Arial"/>
                <w:i/>
              </w:rPr>
            </w:pPr>
            <w:r>
              <w:rPr>
                <w:rFonts w:cs="Arial"/>
                <w:i/>
              </w:rPr>
              <w:t xml:space="preserve">If “no, had fewer than 30 admissions to medical or med/surg units” to question #2, skip </w:t>
            </w:r>
            <w:r w:rsidR="00D145C4">
              <w:rPr>
                <w:rFonts w:cs="Arial"/>
                <w:i/>
              </w:rPr>
              <w:t xml:space="preserve">the remaining questions in </w:t>
            </w:r>
            <w:r w:rsidR="00CF7851">
              <w:rPr>
                <w:rFonts w:cs="Arial"/>
                <w:i/>
              </w:rPr>
              <w:t>Section 2</w:t>
            </w:r>
            <w:r w:rsidR="00F72C9F">
              <w:rPr>
                <w:rFonts w:cs="Arial"/>
                <w:i/>
              </w:rPr>
              <w:t>D</w:t>
            </w:r>
            <w:r w:rsidR="00CF7851">
              <w:rPr>
                <w:rFonts w:cs="Arial"/>
                <w:i/>
              </w:rPr>
              <w:t xml:space="preserve"> </w:t>
            </w:r>
            <w:r w:rsidR="00D145C4">
              <w:rPr>
                <w:rFonts w:cs="Arial"/>
                <w:i/>
              </w:rPr>
              <w:t>and go to the Affirmation of Accuracy</w:t>
            </w:r>
            <w:r>
              <w:rPr>
                <w:rFonts w:cs="Arial"/>
                <w:i/>
              </w:rPr>
              <w:t>. The hospital will be scored as “Does Not Apply.”</w:t>
            </w:r>
          </w:p>
        </w:tc>
        <w:tc>
          <w:tcPr>
            <w:tcW w:w="1823" w:type="dxa"/>
            <w:vAlign w:val="center"/>
          </w:tcPr>
          <w:p w14:paraId="24784117" w14:textId="77777777" w:rsidR="00C3345F" w:rsidRPr="00CF4879" w:rsidRDefault="00C3345F" w:rsidP="00AD309C">
            <w:pPr>
              <w:pStyle w:val="ListParagraph"/>
              <w:numPr>
                <w:ilvl w:val="0"/>
                <w:numId w:val="234"/>
              </w:numPr>
              <w:rPr>
                <w:rFonts w:cs="Arial"/>
                <w:iCs/>
                <w:snapToGrid w:val="0"/>
              </w:rPr>
            </w:pPr>
            <w:r w:rsidRPr="00CF4879">
              <w:rPr>
                <w:rFonts w:cs="Arial"/>
                <w:iCs/>
                <w:snapToGrid w:val="0"/>
              </w:rPr>
              <w:t>Yes</w:t>
            </w:r>
          </w:p>
          <w:p w14:paraId="3465CC46" w14:textId="77777777" w:rsidR="00C3345F" w:rsidRPr="00CF4879" w:rsidRDefault="00C3345F" w:rsidP="00AD309C">
            <w:pPr>
              <w:pStyle w:val="ListParagraph"/>
              <w:numPr>
                <w:ilvl w:val="0"/>
                <w:numId w:val="234"/>
              </w:numPr>
              <w:rPr>
                <w:rFonts w:cs="Arial"/>
                <w:iCs/>
                <w:snapToGrid w:val="0"/>
              </w:rPr>
            </w:pPr>
            <w:r w:rsidRPr="00CF4879">
              <w:rPr>
                <w:rFonts w:cs="Arial"/>
                <w:iCs/>
                <w:snapToGrid w:val="0"/>
              </w:rPr>
              <w:t>No</w:t>
            </w:r>
          </w:p>
          <w:p w14:paraId="405A66C2" w14:textId="77777777" w:rsidR="00C3345F" w:rsidRPr="00E46668" w:rsidRDefault="00C3345F" w:rsidP="00AD309C">
            <w:pPr>
              <w:pStyle w:val="ListParagraph"/>
              <w:numPr>
                <w:ilvl w:val="0"/>
                <w:numId w:val="234"/>
              </w:numPr>
              <w:rPr>
                <w:rFonts w:cs="Arial"/>
                <w:i/>
                <w:iCs/>
                <w:snapToGrid w:val="0"/>
              </w:rPr>
            </w:pPr>
            <w:r w:rsidRPr="00CF4879">
              <w:rPr>
                <w:iCs/>
              </w:rPr>
              <w:t>No, had fewer than 30 admissions to medical or med/surg units</w:t>
            </w:r>
          </w:p>
        </w:tc>
      </w:tr>
    </w:tbl>
    <w:p w14:paraId="0D7EEB50" w14:textId="77777777" w:rsidR="00C3345F" w:rsidRPr="00B9657D" w:rsidRDefault="00C3345F" w:rsidP="00C3345F">
      <w:pPr>
        <w:rPr>
          <w:rFonts w:cs="Arial"/>
          <w:snapToGrid w:val="0"/>
        </w:rPr>
      </w:pPr>
    </w:p>
    <w:p w14:paraId="59161216" w14:textId="54901933" w:rsidR="00C3345F" w:rsidRPr="00483217" w:rsidRDefault="00C3345F" w:rsidP="00C3345F">
      <w:pPr>
        <w:spacing w:line="276" w:lineRule="auto"/>
        <w:rPr>
          <w:rFonts w:cs="Arial"/>
          <w:i/>
        </w:rPr>
      </w:pPr>
      <w:r w:rsidRPr="00483217">
        <w:rPr>
          <w:rFonts w:cs="Arial"/>
          <w:i/>
        </w:rPr>
        <w:t>For questions #3-8, if the sample is less than 30 patients from the 6-month period, the hospital will be scored as “</w:t>
      </w:r>
      <w:r w:rsidR="0012282F">
        <w:rPr>
          <w:rFonts w:cs="Arial"/>
          <w:i/>
        </w:rPr>
        <w:t>Limited</w:t>
      </w:r>
      <w:r w:rsidRPr="00483217">
        <w:rPr>
          <w:rFonts w:cs="Arial"/>
          <w:i/>
        </w:rPr>
        <w:t xml:space="preserve"> Achievement” and the rate of unintentional discrepancies will not be publicly reported.</w:t>
      </w:r>
    </w:p>
    <w:p w14:paraId="3EC0AE68" w14:textId="77777777" w:rsidR="00C3345F" w:rsidRPr="00B9657D" w:rsidRDefault="00C3345F" w:rsidP="00C3345F">
      <w:pPr>
        <w:rPr>
          <w:rFonts w:cs="Arial"/>
          <w:snapToGrid w:val="0"/>
        </w:rPr>
      </w:pPr>
    </w:p>
    <w:tbl>
      <w:tblPr>
        <w:tblStyle w:val="TableGrid"/>
        <w:tblW w:w="9540" w:type="dxa"/>
        <w:tblLayout w:type="fixed"/>
        <w:tblLook w:val="04A0" w:firstRow="1" w:lastRow="0" w:firstColumn="1" w:lastColumn="0" w:noHBand="0" w:noVBand="1"/>
      </w:tblPr>
      <w:tblGrid>
        <w:gridCol w:w="7783"/>
        <w:gridCol w:w="1757"/>
      </w:tblGrid>
      <w:tr w:rsidR="00C3345F" w:rsidRPr="009A5185" w14:paraId="43341EE9" w14:textId="77777777" w:rsidTr="009E1D23">
        <w:trPr>
          <w:trHeight w:val="864"/>
        </w:trPr>
        <w:tc>
          <w:tcPr>
            <w:tcW w:w="7783" w:type="dxa"/>
            <w:vAlign w:val="center"/>
          </w:tcPr>
          <w:p w14:paraId="00EFB283" w14:textId="1EBE347F" w:rsidR="00C3345F" w:rsidRPr="009A5185" w:rsidRDefault="00C3345F" w:rsidP="00AD309C">
            <w:pPr>
              <w:pStyle w:val="ListParagraph"/>
              <w:numPr>
                <w:ilvl w:val="0"/>
                <w:numId w:val="51"/>
              </w:numPr>
              <w:spacing w:before="120" w:after="120" w:line="276" w:lineRule="auto"/>
              <w:rPr>
                <w:rFonts w:cs="Arial"/>
              </w:rPr>
            </w:pPr>
            <w:r w:rsidRPr="009A5185">
              <w:rPr>
                <w:rFonts w:cs="Arial"/>
              </w:rPr>
              <w:t xml:space="preserve">Number of </w:t>
            </w:r>
            <w:r>
              <w:rPr>
                <w:rFonts w:cs="Arial"/>
              </w:rPr>
              <w:t xml:space="preserve">adult </w:t>
            </w:r>
            <w:r w:rsidRPr="009A5185">
              <w:rPr>
                <w:rFonts w:cs="Arial"/>
              </w:rPr>
              <w:t xml:space="preserve">patients that your hospital </w:t>
            </w:r>
            <w:hyperlink w:anchor="SamplingforMedicationReconciliation" w:history="1">
              <w:r w:rsidRPr="009A5185">
                <w:rPr>
                  <w:rStyle w:val="Hyperlink"/>
                  <w:rFonts w:cs="Arial"/>
                </w:rPr>
                <w:t>sampled</w:t>
              </w:r>
            </w:hyperlink>
            <w:bookmarkStart w:id="180" w:name="_Ref4411174"/>
            <w:r w:rsidR="000F0582">
              <w:rPr>
                <w:rStyle w:val="Hyperlink"/>
                <w:rFonts w:ascii="ZWAdobeF" w:hAnsi="ZWAdobeF" w:cs="ZWAdobeF"/>
                <w:color w:val="auto"/>
                <w:sz w:val="2"/>
                <w:szCs w:val="2"/>
                <w:u w:val="none"/>
              </w:rPr>
              <w:t>21</w:t>
            </w:r>
            <w:r w:rsidR="00C2087D">
              <w:rPr>
                <w:rStyle w:val="Hyperlink"/>
                <w:rFonts w:ascii="ZWAdobeF" w:hAnsi="ZWAdobeF" w:cs="ZWAdobeF"/>
                <w:color w:val="auto"/>
                <w:sz w:val="2"/>
                <w:szCs w:val="2"/>
                <w:u w:val="none"/>
              </w:rPr>
              <w:t>23F</w:t>
            </w:r>
            <w:r w:rsidR="00B55C41">
              <w:rPr>
                <w:rStyle w:val="Hyperlink"/>
                <w:rFonts w:ascii="ZWAdobeF" w:hAnsi="ZWAdobeF" w:cs="ZWAdobeF"/>
                <w:color w:val="auto"/>
                <w:sz w:val="2"/>
                <w:szCs w:val="2"/>
                <w:u w:val="none"/>
              </w:rPr>
              <w:t>23F</w:t>
            </w:r>
            <w:r w:rsidR="006255A6">
              <w:rPr>
                <w:rStyle w:val="Hyperlink"/>
                <w:rFonts w:ascii="ZWAdobeF" w:hAnsi="ZWAdobeF" w:cs="ZWAdobeF"/>
                <w:color w:val="auto"/>
                <w:sz w:val="2"/>
                <w:szCs w:val="2"/>
                <w:u w:val="none"/>
              </w:rPr>
              <w:t>23F</w:t>
            </w:r>
            <w:r w:rsidR="00E453C7">
              <w:rPr>
                <w:rStyle w:val="Hyperlink"/>
                <w:rFonts w:ascii="ZWAdobeF" w:hAnsi="ZWAdobeF" w:cs="ZWAdobeF"/>
                <w:color w:val="auto"/>
                <w:sz w:val="2"/>
                <w:szCs w:val="2"/>
                <w:u w:val="none"/>
              </w:rPr>
              <w:t>23F</w:t>
            </w:r>
            <w:r w:rsidR="00953060">
              <w:rPr>
                <w:rStyle w:val="Hyperlink"/>
                <w:rFonts w:ascii="ZWAdobeF" w:hAnsi="ZWAdobeF" w:cs="ZWAdobeF"/>
                <w:color w:val="auto"/>
                <w:sz w:val="2"/>
                <w:szCs w:val="2"/>
                <w:u w:val="none"/>
              </w:rPr>
              <w:t>23F</w:t>
            </w:r>
            <w:r w:rsidR="00DD04D6">
              <w:rPr>
                <w:rStyle w:val="Hyperlink"/>
                <w:rFonts w:ascii="ZWAdobeF" w:hAnsi="ZWAdobeF" w:cs="ZWAdobeF"/>
                <w:color w:val="auto"/>
                <w:sz w:val="2"/>
                <w:szCs w:val="2"/>
                <w:u w:val="none"/>
              </w:rPr>
              <w:t>23F</w:t>
            </w:r>
            <w:r w:rsidRPr="00386209">
              <w:rPr>
                <w:rStyle w:val="EndnoteReference"/>
                <w:rFonts w:cs="Arial"/>
              </w:rPr>
              <w:endnoteReference w:id="25"/>
            </w:r>
            <w:bookmarkEnd w:id="180"/>
            <w:r w:rsidRPr="00386209">
              <w:rPr>
                <w:rFonts w:cs="Arial"/>
              </w:rPr>
              <w:t>.</w:t>
            </w:r>
          </w:p>
        </w:tc>
        <w:tc>
          <w:tcPr>
            <w:tcW w:w="1757" w:type="dxa"/>
            <w:vAlign w:val="center"/>
          </w:tcPr>
          <w:p w14:paraId="3FC87A0F" w14:textId="77777777" w:rsidR="00C3345F" w:rsidRDefault="00C3345F">
            <w:pPr>
              <w:spacing w:line="276" w:lineRule="auto"/>
              <w:jc w:val="center"/>
              <w:rPr>
                <w:rFonts w:cs="Arial"/>
                <w:i/>
                <w:snapToGrid w:val="0"/>
              </w:rPr>
            </w:pPr>
            <w:r w:rsidRPr="009A5185">
              <w:rPr>
                <w:rFonts w:cs="Arial"/>
                <w:i/>
                <w:snapToGrid w:val="0"/>
              </w:rPr>
              <w:t>_____</w:t>
            </w:r>
          </w:p>
          <w:p w14:paraId="06A00031" w14:textId="7DAC34CD" w:rsidR="008255FE" w:rsidRPr="005149DB" w:rsidRDefault="00E22F88">
            <w:pPr>
              <w:spacing w:line="276" w:lineRule="auto"/>
              <w:jc w:val="center"/>
              <w:rPr>
                <w:rFonts w:cs="Arial"/>
                <w:i/>
                <w:iCs/>
                <w:sz w:val="16"/>
                <w:szCs w:val="16"/>
              </w:rPr>
            </w:pPr>
            <w:r w:rsidRPr="005149DB">
              <w:rPr>
                <w:rFonts w:cs="Arial"/>
                <w:i/>
                <w:iCs/>
                <w:sz w:val="16"/>
                <w:szCs w:val="16"/>
              </w:rPr>
              <w:t>Max value 500</w:t>
            </w:r>
          </w:p>
        </w:tc>
      </w:tr>
      <w:tr w:rsidR="00C3345F" w:rsidRPr="009A5185" w14:paraId="5FDAD28A" w14:textId="77777777">
        <w:tc>
          <w:tcPr>
            <w:tcW w:w="7783" w:type="dxa"/>
            <w:vAlign w:val="center"/>
          </w:tcPr>
          <w:p w14:paraId="41929E14" w14:textId="3DA55F49" w:rsidR="00C3345F" w:rsidRDefault="00C3345F" w:rsidP="00AD309C">
            <w:pPr>
              <w:pStyle w:val="ListParagraph"/>
              <w:numPr>
                <w:ilvl w:val="0"/>
                <w:numId w:val="51"/>
              </w:numPr>
              <w:spacing w:before="120" w:after="120" w:line="276" w:lineRule="auto"/>
              <w:rPr>
                <w:rFonts w:cs="Arial"/>
              </w:rPr>
            </w:pPr>
            <w:r>
              <w:rPr>
                <w:rFonts w:cs="Arial"/>
              </w:rPr>
              <w:lastRenderedPageBreak/>
              <w:t xml:space="preserve">Number of </w:t>
            </w:r>
            <w:r w:rsidR="00481565">
              <w:rPr>
                <w:rFonts w:cs="Arial"/>
              </w:rPr>
              <w:t>patients from question #3 who</w:t>
            </w:r>
            <w:r>
              <w:rPr>
                <w:rFonts w:cs="Arial"/>
              </w:rPr>
              <w:t xml:space="preserve"> had zero (0) Gold Standard Medications. </w:t>
            </w:r>
          </w:p>
          <w:p w14:paraId="30C74028" w14:textId="77777777" w:rsidR="00C3345F" w:rsidRPr="00465976" w:rsidRDefault="00C3345F">
            <w:pPr>
              <w:pStyle w:val="ListParagraph"/>
              <w:spacing w:before="120" w:after="120" w:line="276" w:lineRule="auto"/>
              <w:ind w:left="360"/>
              <w:rPr>
                <w:rFonts w:cs="Arial"/>
                <w:i/>
                <w:iCs/>
              </w:rPr>
            </w:pPr>
            <w:r>
              <w:rPr>
                <w:rFonts w:cs="Arial"/>
              </w:rPr>
              <w:br/>
            </w:r>
            <w:r>
              <w:rPr>
                <w:rFonts w:cs="Arial"/>
                <w:i/>
                <w:iCs/>
              </w:rPr>
              <w:t>If more than 10 out of 30 patients (or one-third) included in the sample had zero (0) Gold Standard Medications, the hospital will be scored as “Unable to Calculate Score.”</w:t>
            </w:r>
          </w:p>
        </w:tc>
        <w:tc>
          <w:tcPr>
            <w:tcW w:w="1757" w:type="dxa"/>
            <w:vAlign w:val="center"/>
          </w:tcPr>
          <w:p w14:paraId="5293FA57" w14:textId="77777777" w:rsidR="00C3345F" w:rsidRDefault="00C3345F">
            <w:pPr>
              <w:spacing w:line="276" w:lineRule="auto"/>
              <w:jc w:val="center"/>
              <w:rPr>
                <w:rFonts w:cs="Arial"/>
                <w:i/>
                <w:snapToGrid w:val="0"/>
              </w:rPr>
            </w:pPr>
            <w:r w:rsidRPr="009A5185">
              <w:rPr>
                <w:rFonts w:cs="Arial"/>
                <w:i/>
                <w:snapToGrid w:val="0"/>
              </w:rPr>
              <w:t>_____</w:t>
            </w:r>
          </w:p>
          <w:p w14:paraId="66F4FEAB" w14:textId="19AD8041" w:rsidR="00E22F88" w:rsidRPr="00E22F88" w:rsidRDefault="00E22F88">
            <w:pPr>
              <w:spacing w:line="276" w:lineRule="auto"/>
              <w:jc w:val="center"/>
              <w:rPr>
                <w:rFonts w:cs="Arial"/>
                <w:i/>
                <w:iCs/>
                <w:snapToGrid w:val="0"/>
              </w:rPr>
            </w:pPr>
          </w:p>
        </w:tc>
      </w:tr>
      <w:tr w:rsidR="00C3345F" w:rsidRPr="009A5185" w14:paraId="0D1ADDB2" w14:textId="77777777">
        <w:tc>
          <w:tcPr>
            <w:tcW w:w="7783" w:type="dxa"/>
            <w:vAlign w:val="center"/>
          </w:tcPr>
          <w:p w14:paraId="68CBF1F7" w14:textId="01F0B366" w:rsidR="00C3345F" w:rsidRPr="009A5185" w:rsidRDefault="00C3345F" w:rsidP="00AD309C">
            <w:pPr>
              <w:pStyle w:val="ListParagraph"/>
              <w:numPr>
                <w:ilvl w:val="0"/>
                <w:numId w:val="51"/>
              </w:numPr>
              <w:spacing w:before="120" w:after="120" w:line="276" w:lineRule="auto"/>
              <w:rPr>
                <w:rFonts w:cs="Arial"/>
              </w:rPr>
            </w:pPr>
            <w:r w:rsidRPr="009A5185">
              <w:rPr>
                <w:rFonts w:cs="Arial"/>
              </w:rPr>
              <w:t>Total number of medications obtained by the pharmacist</w:t>
            </w:r>
            <w:r>
              <w:rPr>
                <w:rFonts w:cs="Arial"/>
              </w:rPr>
              <w:t xml:space="preserve"> or </w:t>
            </w:r>
            <w:hyperlink w:anchor="CertifiedPharmacyTechnician" w:history="1">
              <w:r w:rsidRPr="0057191C">
                <w:rPr>
                  <w:rStyle w:val="Hyperlink"/>
                  <w:rFonts w:cs="Arial"/>
                </w:rPr>
                <w:t>certified pharmacy technician</w:t>
              </w:r>
            </w:hyperlink>
            <w:r w:rsidR="00AA2A3E" w:rsidRPr="00AA2A3E">
              <w:rPr>
                <w:rStyle w:val="Hyperlink"/>
                <w:rFonts w:cs="Arial"/>
                <w:color w:val="auto"/>
                <w:u w:val="none"/>
                <w:vertAlign w:val="superscript"/>
              </w:rPr>
              <w:t>23</w:t>
            </w:r>
            <w:r w:rsidRPr="009A5185">
              <w:rPr>
                <w:rFonts w:cs="Arial"/>
              </w:rPr>
              <w:t xml:space="preserve"> from the </w:t>
            </w:r>
            <w:hyperlink w:anchor="GoldStandardMedicationHistory" w:history="1">
              <w:r w:rsidRPr="002F4839">
                <w:rPr>
                  <w:rStyle w:val="Hyperlink"/>
                  <w:rFonts w:cs="Arial"/>
                </w:rPr>
                <w:t>Gold Standard Medication History</w:t>
              </w:r>
            </w:hyperlink>
            <w:r w:rsidR="000F0582">
              <w:rPr>
                <w:rStyle w:val="Hyperlink"/>
                <w:rFonts w:ascii="ZWAdobeF" w:hAnsi="ZWAdobeF" w:cs="ZWAdobeF"/>
                <w:color w:val="auto"/>
                <w:sz w:val="2"/>
                <w:szCs w:val="2"/>
                <w:u w:val="none"/>
              </w:rPr>
              <w:t>22F</w:t>
            </w:r>
            <w:r w:rsidR="00BF053F">
              <w:rPr>
                <w:rStyle w:val="Hyperlink"/>
                <w:rFonts w:ascii="ZWAdobeF" w:hAnsi="ZWAdobeF" w:cs="ZWAdobeF"/>
                <w:color w:val="auto"/>
                <w:sz w:val="2"/>
                <w:szCs w:val="2"/>
                <w:u w:val="none"/>
              </w:rPr>
              <w:t>24F</w:t>
            </w:r>
            <w:r w:rsidR="004C7557">
              <w:rPr>
                <w:rStyle w:val="Hyperlink"/>
                <w:rFonts w:ascii="ZWAdobeF" w:hAnsi="ZWAdobeF" w:cs="ZWAdobeF"/>
                <w:color w:val="auto"/>
                <w:sz w:val="2"/>
                <w:szCs w:val="2"/>
                <w:u w:val="none"/>
              </w:rPr>
              <w:t>24F</w:t>
            </w:r>
            <w:r w:rsidR="00C2087D">
              <w:rPr>
                <w:rStyle w:val="Hyperlink"/>
                <w:rFonts w:ascii="ZWAdobeF" w:hAnsi="ZWAdobeF" w:cs="ZWAdobeF"/>
                <w:color w:val="auto"/>
                <w:sz w:val="2"/>
                <w:szCs w:val="2"/>
                <w:u w:val="none"/>
              </w:rPr>
              <w:t>24F</w:t>
            </w:r>
            <w:r w:rsidR="00B55C41">
              <w:rPr>
                <w:rStyle w:val="Hyperlink"/>
                <w:rFonts w:ascii="ZWAdobeF" w:hAnsi="ZWAdobeF" w:cs="ZWAdobeF"/>
                <w:color w:val="auto"/>
                <w:sz w:val="2"/>
                <w:szCs w:val="2"/>
                <w:u w:val="none"/>
              </w:rPr>
              <w:t>24F</w:t>
            </w:r>
            <w:r w:rsidR="006255A6">
              <w:rPr>
                <w:rStyle w:val="Hyperlink"/>
                <w:rFonts w:ascii="ZWAdobeF" w:hAnsi="ZWAdobeF" w:cs="ZWAdobeF"/>
                <w:color w:val="auto"/>
                <w:sz w:val="2"/>
                <w:szCs w:val="2"/>
                <w:u w:val="none"/>
              </w:rPr>
              <w:t>24F</w:t>
            </w:r>
            <w:r w:rsidR="00E453C7">
              <w:rPr>
                <w:rStyle w:val="Hyperlink"/>
                <w:rFonts w:ascii="ZWAdobeF" w:hAnsi="ZWAdobeF" w:cs="ZWAdobeF"/>
                <w:color w:val="auto"/>
                <w:sz w:val="2"/>
                <w:szCs w:val="2"/>
                <w:u w:val="none"/>
              </w:rPr>
              <w:t>24F</w:t>
            </w:r>
            <w:r w:rsidR="00953060">
              <w:rPr>
                <w:rStyle w:val="Hyperlink"/>
                <w:rFonts w:ascii="ZWAdobeF" w:hAnsi="ZWAdobeF" w:cs="ZWAdobeF"/>
                <w:color w:val="auto"/>
                <w:sz w:val="2"/>
                <w:szCs w:val="2"/>
                <w:u w:val="none"/>
              </w:rPr>
              <w:t>24F</w:t>
            </w:r>
            <w:r w:rsidR="00DD04D6">
              <w:rPr>
                <w:rStyle w:val="Hyperlink"/>
                <w:rFonts w:ascii="ZWAdobeF" w:hAnsi="ZWAdobeF" w:cs="ZWAdobeF"/>
                <w:color w:val="auto"/>
                <w:sz w:val="2"/>
                <w:szCs w:val="2"/>
                <w:u w:val="none"/>
              </w:rPr>
              <w:t>24F</w:t>
            </w:r>
            <w:r w:rsidRPr="002F4839">
              <w:rPr>
                <w:rStyle w:val="EndnoteReference"/>
              </w:rPr>
              <w:endnoteReference w:id="26"/>
            </w:r>
            <w:r w:rsidRPr="009A5185">
              <w:rPr>
                <w:rFonts w:cs="Arial"/>
              </w:rPr>
              <w:t xml:space="preserve"> fo</w:t>
            </w:r>
            <w:r w:rsidRPr="00140AD4">
              <w:rPr>
                <w:rFonts w:cs="Arial"/>
              </w:rPr>
              <w:t xml:space="preserve">r </w:t>
            </w:r>
            <w:r>
              <w:rPr>
                <w:rFonts w:cs="Arial"/>
              </w:rPr>
              <w:t xml:space="preserve">the </w:t>
            </w:r>
            <w:r w:rsidRPr="00A453B2">
              <w:rPr>
                <w:rFonts w:cs="Arial"/>
              </w:rPr>
              <w:t>adult patients included in the sample.</w:t>
            </w:r>
          </w:p>
        </w:tc>
        <w:tc>
          <w:tcPr>
            <w:tcW w:w="1757" w:type="dxa"/>
            <w:vAlign w:val="center"/>
          </w:tcPr>
          <w:p w14:paraId="730E77E7" w14:textId="77777777" w:rsidR="00C3345F" w:rsidRPr="009A5185" w:rsidRDefault="00C3345F">
            <w:pPr>
              <w:spacing w:line="276" w:lineRule="auto"/>
              <w:jc w:val="center"/>
              <w:rPr>
                <w:rFonts w:cs="Arial"/>
              </w:rPr>
            </w:pPr>
            <w:r w:rsidRPr="009A5185">
              <w:rPr>
                <w:rFonts w:cs="Arial"/>
                <w:i/>
                <w:snapToGrid w:val="0"/>
              </w:rPr>
              <w:t>_____</w:t>
            </w:r>
          </w:p>
        </w:tc>
      </w:tr>
      <w:tr w:rsidR="00C3345F" w:rsidRPr="009A5185" w14:paraId="430FCD93" w14:textId="77777777">
        <w:tc>
          <w:tcPr>
            <w:tcW w:w="7783" w:type="dxa"/>
            <w:vAlign w:val="center"/>
          </w:tcPr>
          <w:p w14:paraId="5AB7A40B" w14:textId="0A1EF992" w:rsidR="00C3345F" w:rsidRPr="009A5185" w:rsidRDefault="00C3345F" w:rsidP="00AD309C">
            <w:pPr>
              <w:pStyle w:val="ListParagraph"/>
              <w:numPr>
                <w:ilvl w:val="0"/>
                <w:numId w:val="51"/>
              </w:numPr>
              <w:spacing w:before="120" w:after="120" w:line="276" w:lineRule="auto"/>
              <w:rPr>
                <w:rFonts w:cs="Arial"/>
              </w:rPr>
            </w:pPr>
            <w:r w:rsidRPr="009A5185">
              <w:rPr>
                <w:rFonts w:cs="Arial"/>
              </w:rPr>
              <w:t xml:space="preserve">Total number of </w:t>
            </w:r>
            <w:hyperlink w:anchor="DiscrepanciesinGoldStandardMedicatio" w:history="1">
              <w:r w:rsidRPr="009A5185">
                <w:rPr>
                  <w:rStyle w:val="Hyperlink"/>
                  <w:rFonts w:cs="Arial"/>
                </w:rPr>
                <w:t>unintentional discrepancies in admission and discharge among the gold standard medications</w:t>
              </w:r>
            </w:hyperlink>
            <w:bookmarkStart w:id="183" w:name="_Ref534639951"/>
            <w:r w:rsidR="000F0582">
              <w:rPr>
                <w:rStyle w:val="Hyperlink"/>
                <w:rFonts w:ascii="ZWAdobeF" w:hAnsi="ZWAdobeF" w:cs="ZWAdobeF"/>
                <w:color w:val="auto"/>
                <w:sz w:val="2"/>
                <w:szCs w:val="2"/>
                <w:u w:val="none"/>
              </w:rPr>
              <w:t>23F</w:t>
            </w:r>
            <w:r w:rsidR="00BF053F">
              <w:rPr>
                <w:rStyle w:val="Hyperlink"/>
                <w:rFonts w:ascii="ZWAdobeF" w:hAnsi="ZWAdobeF" w:cs="ZWAdobeF"/>
                <w:color w:val="auto"/>
                <w:sz w:val="2"/>
                <w:szCs w:val="2"/>
                <w:u w:val="none"/>
              </w:rPr>
              <w:t>25F</w:t>
            </w:r>
            <w:r w:rsidR="004C7557">
              <w:rPr>
                <w:rStyle w:val="Hyperlink"/>
                <w:rFonts w:ascii="ZWAdobeF" w:hAnsi="ZWAdobeF" w:cs="ZWAdobeF"/>
                <w:color w:val="auto"/>
                <w:sz w:val="2"/>
                <w:szCs w:val="2"/>
                <w:u w:val="none"/>
              </w:rPr>
              <w:t>25F</w:t>
            </w:r>
            <w:r w:rsidR="00C2087D">
              <w:rPr>
                <w:rStyle w:val="Hyperlink"/>
                <w:rFonts w:ascii="ZWAdobeF" w:hAnsi="ZWAdobeF" w:cs="ZWAdobeF"/>
                <w:color w:val="auto"/>
                <w:sz w:val="2"/>
                <w:szCs w:val="2"/>
                <w:u w:val="none"/>
              </w:rPr>
              <w:t>25F</w:t>
            </w:r>
            <w:r w:rsidR="00B55C41">
              <w:rPr>
                <w:rStyle w:val="Hyperlink"/>
                <w:rFonts w:ascii="ZWAdobeF" w:hAnsi="ZWAdobeF" w:cs="ZWAdobeF"/>
                <w:color w:val="auto"/>
                <w:sz w:val="2"/>
                <w:szCs w:val="2"/>
                <w:u w:val="none"/>
              </w:rPr>
              <w:t>25F</w:t>
            </w:r>
            <w:r w:rsidR="006255A6">
              <w:rPr>
                <w:rStyle w:val="Hyperlink"/>
                <w:rFonts w:ascii="ZWAdobeF" w:hAnsi="ZWAdobeF" w:cs="ZWAdobeF"/>
                <w:color w:val="auto"/>
                <w:sz w:val="2"/>
                <w:szCs w:val="2"/>
                <w:u w:val="none"/>
              </w:rPr>
              <w:t>25F</w:t>
            </w:r>
            <w:r w:rsidR="00E453C7">
              <w:rPr>
                <w:rStyle w:val="Hyperlink"/>
                <w:rFonts w:ascii="ZWAdobeF" w:hAnsi="ZWAdobeF" w:cs="ZWAdobeF"/>
                <w:color w:val="auto"/>
                <w:sz w:val="2"/>
                <w:szCs w:val="2"/>
                <w:u w:val="none"/>
              </w:rPr>
              <w:t>25F</w:t>
            </w:r>
            <w:r w:rsidR="00953060">
              <w:rPr>
                <w:rStyle w:val="Hyperlink"/>
                <w:rFonts w:ascii="ZWAdobeF" w:hAnsi="ZWAdobeF" w:cs="ZWAdobeF"/>
                <w:color w:val="auto"/>
                <w:sz w:val="2"/>
                <w:szCs w:val="2"/>
                <w:u w:val="none"/>
              </w:rPr>
              <w:t>25F</w:t>
            </w:r>
            <w:r w:rsidR="00DD04D6">
              <w:rPr>
                <w:rStyle w:val="Hyperlink"/>
                <w:rFonts w:ascii="ZWAdobeF" w:hAnsi="ZWAdobeF" w:cs="ZWAdobeF"/>
                <w:color w:val="auto"/>
                <w:sz w:val="2"/>
                <w:szCs w:val="2"/>
                <w:u w:val="none"/>
              </w:rPr>
              <w:t>25F</w:t>
            </w:r>
            <w:r w:rsidRPr="009A5185">
              <w:rPr>
                <w:rStyle w:val="EndnoteReference"/>
                <w:rFonts w:cs="Arial"/>
              </w:rPr>
              <w:endnoteReference w:id="27"/>
            </w:r>
            <w:bookmarkEnd w:id="183"/>
            <w:r w:rsidRPr="009A5185">
              <w:rPr>
                <w:rFonts w:cs="Arial"/>
              </w:rPr>
              <w:t xml:space="preserve"> in question </w:t>
            </w:r>
            <w:r w:rsidRPr="00366BF9">
              <w:rPr>
                <w:rFonts w:cs="Arial"/>
              </w:rPr>
              <w:t>#</w:t>
            </w:r>
            <w:r>
              <w:rPr>
                <w:rFonts w:cs="Arial"/>
              </w:rPr>
              <w:t>5 identified by the pharmacist</w:t>
            </w:r>
            <w:r w:rsidRPr="00366BF9">
              <w:rPr>
                <w:rFonts w:cs="Arial"/>
              </w:rPr>
              <w:t>.</w:t>
            </w:r>
          </w:p>
        </w:tc>
        <w:tc>
          <w:tcPr>
            <w:tcW w:w="1757" w:type="dxa"/>
            <w:vAlign w:val="center"/>
          </w:tcPr>
          <w:p w14:paraId="521D248B" w14:textId="77777777" w:rsidR="00C3345F" w:rsidRPr="009A5185" w:rsidRDefault="00C3345F">
            <w:pPr>
              <w:spacing w:line="276" w:lineRule="auto"/>
              <w:jc w:val="center"/>
              <w:rPr>
                <w:rFonts w:cs="Arial"/>
                <w:i/>
                <w:snapToGrid w:val="0"/>
              </w:rPr>
            </w:pPr>
            <w:r w:rsidRPr="009A5185">
              <w:rPr>
                <w:rFonts w:cs="Arial"/>
                <w:i/>
                <w:snapToGrid w:val="0"/>
              </w:rPr>
              <w:t>_____</w:t>
            </w:r>
          </w:p>
        </w:tc>
      </w:tr>
      <w:tr w:rsidR="00C3345F" w:rsidRPr="009A5185" w14:paraId="18E835B3" w14:textId="77777777">
        <w:tc>
          <w:tcPr>
            <w:tcW w:w="7783" w:type="dxa"/>
            <w:vAlign w:val="center"/>
          </w:tcPr>
          <w:p w14:paraId="504E5B84" w14:textId="6158FB47" w:rsidR="00C3345F" w:rsidRPr="009A5185" w:rsidRDefault="00C3345F" w:rsidP="00AD309C">
            <w:pPr>
              <w:pStyle w:val="ListParagraph"/>
              <w:numPr>
                <w:ilvl w:val="0"/>
                <w:numId w:val="51"/>
              </w:numPr>
              <w:spacing w:before="120" w:after="120" w:line="276" w:lineRule="auto"/>
              <w:rPr>
                <w:rFonts w:cs="Arial"/>
              </w:rPr>
            </w:pPr>
            <w:r w:rsidRPr="009A5185">
              <w:rPr>
                <w:rFonts w:cs="Arial"/>
              </w:rPr>
              <w:t xml:space="preserve">Total number of </w:t>
            </w:r>
            <w:hyperlink w:anchor="unintentaddmeds" w:history="1">
              <w:r w:rsidRPr="009A5185">
                <w:rPr>
                  <w:rStyle w:val="Hyperlink"/>
                  <w:rFonts w:cs="Arial"/>
                </w:rPr>
                <w:t>unintentionally ordered additional medications</w:t>
              </w:r>
            </w:hyperlink>
            <w:r w:rsidR="000F0582">
              <w:rPr>
                <w:rStyle w:val="Hyperlink"/>
                <w:rFonts w:ascii="ZWAdobeF" w:hAnsi="ZWAdobeF" w:cs="ZWAdobeF"/>
                <w:color w:val="auto"/>
                <w:sz w:val="2"/>
                <w:szCs w:val="2"/>
                <w:u w:val="none"/>
              </w:rPr>
              <w:t>24F</w:t>
            </w:r>
            <w:r w:rsidR="00BF053F">
              <w:rPr>
                <w:rStyle w:val="Hyperlink"/>
                <w:rFonts w:ascii="ZWAdobeF" w:hAnsi="ZWAdobeF" w:cs="ZWAdobeF"/>
                <w:color w:val="auto"/>
                <w:sz w:val="2"/>
                <w:szCs w:val="2"/>
                <w:u w:val="none"/>
              </w:rPr>
              <w:t>26F</w:t>
            </w:r>
            <w:r w:rsidR="004C7557">
              <w:rPr>
                <w:rStyle w:val="Hyperlink"/>
                <w:rFonts w:ascii="ZWAdobeF" w:hAnsi="ZWAdobeF" w:cs="ZWAdobeF"/>
                <w:color w:val="auto"/>
                <w:sz w:val="2"/>
                <w:szCs w:val="2"/>
                <w:u w:val="none"/>
              </w:rPr>
              <w:t>26F</w:t>
            </w:r>
            <w:r w:rsidR="00C2087D">
              <w:rPr>
                <w:rStyle w:val="Hyperlink"/>
                <w:rFonts w:ascii="ZWAdobeF" w:hAnsi="ZWAdobeF" w:cs="ZWAdobeF"/>
                <w:color w:val="auto"/>
                <w:sz w:val="2"/>
                <w:szCs w:val="2"/>
                <w:u w:val="none"/>
              </w:rPr>
              <w:t>26F</w:t>
            </w:r>
            <w:r w:rsidR="00B55C41">
              <w:rPr>
                <w:rStyle w:val="Hyperlink"/>
                <w:rFonts w:ascii="ZWAdobeF" w:hAnsi="ZWAdobeF" w:cs="ZWAdobeF"/>
                <w:color w:val="auto"/>
                <w:sz w:val="2"/>
                <w:szCs w:val="2"/>
                <w:u w:val="none"/>
              </w:rPr>
              <w:t>26F</w:t>
            </w:r>
            <w:r w:rsidR="006255A6">
              <w:rPr>
                <w:rStyle w:val="Hyperlink"/>
                <w:rFonts w:ascii="ZWAdobeF" w:hAnsi="ZWAdobeF" w:cs="ZWAdobeF"/>
                <w:color w:val="auto"/>
                <w:sz w:val="2"/>
                <w:szCs w:val="2"/>
                <w:u w:val="none"/>
              </w:rPr>
              <w:t>26F</w:t>
            </w:r>
            <w:r w:rsidR="00E453C7">
              <w:rPr>
                <w:rStyle w:val="Hyperlink"/>
                <w:rFonts w:ascii="ZWAdobeF" w:hAnsi="ZWAdobeF" w:cs="ZWAdobeF"/>
                <w:color w:val="auto"/>
                <w:sz w:val="2"/>
                <w:szCs w:val="2"/>
                <w:u w:val="none"/>
              </w:rPr>
              <w:t>26F</w:t>
            </w:r>
            <w:r w:rsidR="00953060">
              <w:rPr>
                <w:rStyle w:val="Hyperlink"/>
                <w:rFonts w:ascii="ZWAdobeF" w:hAnsi="ZWAdobeF" w:cs="ZWAdobeF"/>
                <w:color w:val="auto"/>
                <w:sz w:val="2"/>
                <w:szCs w:val="2"/>
                <w:u w:val="none"/>
              </w:rPr>
              <w:t>26F</w:t>
            </w:r>
            <w:r w:rsidR="00DD04D6">
              <w:rPr>
                <w:rStyle w:val="Hyperlink"/>
                <w:rFonts w:ascii="ZWAdobeF" w:hAnsi="ZWAdobeF" w:cs="ZWAdobeF"/>
                <w:color w:val="auto"/>
                <w:sz w:val="2"/>
                <w:szCs w:val="2"/>
                <w:u w:val="none"/>
              </w:rPr>
              <w:t>26F</w:t>
            </w:r>
            <w:r w:rsidRPr="009A5185">
              <w:rPr>
                <w:rStyle w:val="EndnoteReference"/>
                <w:rFonts w:cs="Arial"/>
              </w:rPr>
              <w:endnoteReference w:id="28"/>
            </w:r>
            <w:r w:rsidRPr="009A5185">
              <w:rPr>
                <w:rFonts w:cs="Arial"/>
                <w:vertAlign w:val="superscript"/>
              </w:rPr>
              <w:t xml:space="preserve"> </w:t>
            </w:r>
            <w:r w:rsidRPr="009A5185">
              <w:rPr>
                <w:rFonts w:cs="Arial"/>
              </w:rPr>
              <w:t xml:space="preserve">for the </w:t>
            </w:r>
            <w:r>
              <w:rPr>
                <w:rFonts w:cs="Arial"/>
              </w:rPr>
              <w:t xml:space="preserve">adult </w:t>
            </w:r>
            <w:r w:rsidRPr="009A5185">
              <w:rPr>
                <w:rFonts w:cs="Arial"/>
              </w:rPr>
              <w:t>patients</w:t>
            </w:r>
            <w:r>
              <w:rPr>
                <w:rFonts w:cs="Arial"/>
              </w:rPr>
              <w:t xml:space="preserve"> included in the sample </w:t>
            </w:r>
            <w:r w:rsidRPr="009A5185">
              <w:rPr>
                <w:rFonts w:cs="Arial"/>
              </w:rPr>
              <w:t>on admission and/or discharge</w:t>
            </w:r>
            <w:r>
              <w:rPr>
                <w:rFonts w:cs="Arial"/>
              </w:rPr>
              <w:t xml:space="preserve"> identified by the pharmacist</w:t>
            </w:r>
            <w:r w:rsidRPr="009A5185">
              <w:rPr>
                <w:rFonts w:cs="Arial"/>
              </w:rPr>
              <w:t xml:space="preserve">. </w:t>
            </w:r>
          </w:p>
        </w:tc>
        <w:tc>
          <w:tcPr>
            <w:tcW w:w="1757" w:type="dxa"/>
            <w:vAlign w:val="center"/>
          </w:tcPr>
          <w:p w14:paraId="6919ABFF" w14:textId="77777777" w:rsidR="00C3345F" w:rsidRPr="009A5185" w:rsidRDefault="00C3345F">
            <w:pPr>
              <w:spacing w:line="276" w:lineRule="auto"/>
              <w:jc w:val="center"/>
              <w:rPr>
                <w:rFonts w:cs="Arial"/>
                <w:i/>
                <w:snapToGrid w:val="0"/>
                <w:highlight w:val="magenta"/>
              </w:rPr>
            </w:pPr>
            <w:r w:rsidRPr="009A5185">
              <w:rPr>
                <w:rFonts w:cs="Arial"/>
                <w:i/>
                <w:snapToGrid w:val="0"/>
                <w:highlight w:val="magenta"/>
              </w:rPr>
              <w:softHyphen/>
            </w:r>
            <w:r w:rsidRPr="009A5185">
              <w:rPr>
                <w:rFonts w:cs="Arial"/>
                <w:i/>
                <w:snapToGrid w:val="0"/>
                <w:highlight w:val="magenta"/>
              </w:rPr>
              <w:softHyphen/>
            </w:r>
            <w:r w:rsidRPr="009A5185">
              <w:rPr>
                <w:rFonts w:cs="Arial"/>
                <w:i/>
                <w:snapToGrid w:val="0"/>
              </w:rPr>
              <w:t>_____</w:t>
            </w:r>
          </w:p>
        </w:tc>
      </w:tr>
      <w:tr w:rsidR="00C3345F" w:rsidRPr="009A5185" w14:paraId="231979D1" w14:textId="77777777">
        <w:tc>
          <w:tcPr>
            <w:tcW w:w="7783" w:type="dxa"/>
            <w:vAlign w:val="center"/>
          </w:tcPr>
          <w:p w14:paraId="1F60C243" w14:textId="2DACCE31" w:rsidR="00C3345F" w:rsidRPr="009A5185" w:rsidRDefault="00C3345F" w:rsidP="00AD309C">
            <w:pPr>
              <w:pStyle w:val="ListParagraph"/>
              <w:numPr>
                <w:ilvl w:val="0"/>
                <w:numId w:val="51"/>
              </w:numPr>
              <w:spacing w:before="120" w:after="120" w:line="276" w:lineRule="auto"/>
              <w:rPr>
                <w:rFonts w:cs="Arial"/>
              </w:rPr>
            </w:pPr>
            <w:r w:rsidRPr="009A5185">
              <w:rPr>
                <w:rFonts w:cs="Arial"/>
              </w:rPr>
              <w:t xml:space="preserve">Total number of </w:t>
            </w:r>
            <w:hyperlink w:anchor="discrepdueunintentaddmeds" w:history="1">
              <w:r w:rsidRPr="001314B0">
                <w:rPr>
                  <w:rStyle w:val="Hyperlink"/>
                  <w:rFonts w:cs="Arial"/>
                </w:rPr>
                <w:t>discrepancies</w:t>
              </w:r>
              <w:r w:rsidRPr="009A5185">
                <w:rPr>
                  <w:rStyle w:val="Hyperlink"/>
                  <w:rFonts w:cs="Arial"/>
                </w:rPr>
                <w:t xml:space="preserve"> due to unintentionally ordered additional medications</w:t>
              </w:r>
            </w:hyperlink>
            <w:r w:rsidR="000F0582">
              <w:rPr>
                <w:rStyle w:val="Hyperlink"/>
                <w:rFonts w:ascii="ZWAdobeF" w:hAnsi="ZWAdobeF" w:cs="ZWAdobeF"/>
                <w:color w:val="auto"/>
                <w:sz w:val="2"/>
                <w:szCs w:val="2"/>
                <w:u w:val="none"/>
              </w:rPr>
              <w:t>25F</w:t>
            </w:r>
            <w:r w:rsidR="00BF053F">
              <w:rPr>
                <w:rStyle w:val="Hyperlink"/>
                <w:rFonts w:ascii="ZWAdobeF" w:hAnsi="ZWAdobeF" w:cs="ZWAdobeF"/>
                <w:color w:val="auto"/>
                <w:sz w:val="2"/>
                <w:szCs w:val="2"/>
                <w:u w:val="none"/>
              </w:rPr>
              <w:t>27F</w:t>
            </w:r>
            <w:r w:rsidR="004C7557">
              <w:rPr>
                <w:rStyle w:val="Hyperlink"/>
                <w:rFonts w:ascii="ZWAdobeF" w:hAnsi="ZWAdobeF" w:cs="ZWAdobeF"/>
                <w:color w:val="auto"/>
                <w:sz w:val="2"/>
                <w:szCs w:val="2"/>
                <w:u w:val="none"/>
              </w:rPr>
              <w:t>27F</w:t>
            </w:r>
            <w:r w:rsidR="00C2087D">
              <w:rPr>
                <w:rStyle w:val="Hyperlink"/>
                <w:rFonts w:ascii="ZWAdobeF" w:hAnsi="ZWAdobeF" w:cs="ZWAdobeF"/>
                <w:color w:val="auto"/>
                <w:sz w:val="2"/>
                <w:szCs w:val="2"/>
                <w:u w:val="none"/>
              </w:rPr>
              <w:t>27F</w:t>
            </w:r>
            <w:r w:rsidR="00B55C41">
              <w:rPr>
                <w:rStyle w:val="Hyperlink"/>
                <w:rFonts w:ascii="ZWAdobeF" w:hAnsi="ZWAdobeF" w:cs="ZWAdobeF"/>
                <w:color w:val="auto"/>
                <w:sz w:val="2"/>
                <w:szCs w:val="2"/>
                <w:u w:val="none"/>
              </w:rPr>
              <w:t>27F</w:t>
            </w:r>
            <w:r w:rsidR="006255A6">
              <w:rPr>
                <w:rStyle w:val="Hyperlink"/>
                <w:rFonts w:ascii="ZWAdobeF" w:hAnsi="ZWAdobeF" w:cs="ZWAdobeF"/>
                <w:color w:val="auto"/>
                <w:sz w:val="2"/>
                <w:szCs w:val="2"/>
                <w:u w:val="none"/>
              </w:rPr>
              <w:t>27F</w:t>
            </w:r>
            <w:r w:rsidR="00E453C7">
              <w:rPr>
                <w:rStyle w:val="Hyperlink"/>
                <w:rFonts w:ascii="ZWAdobeF" w:hAnsi="ZWAdobeF" w:cs="ZWAdobeF"/>
                <w:color w:val="auto"/>
                <w:sz w:val="2"/>
                <w:szCs w:val="2"/>
                <w:u w:val="none"/>
              </w:rPr>
              <w:t>27F</w:t>
            </w:r>
            <w:r w:rsidR="00953060">
              <w:rPr>
                <w:rStyle w:val="Hyperlink"/>
                <w:rFonts w:ascii="ZWAdobeF" w:hAnsi="ZWAdobeF" w:cs="ZWAdobeF"/>
                <w:color w:val="auto"/>
                <w:sz w:val="2"/>
                <w:szCs w:val="2"/>
                <w:u w:val="none"/>
              </w:rPr>
              <w:t>27F</w:t>
            </w:r>
            <w:r w:rsidR="00DD04D6">
              <w:rPr>
                <w:rStyle w:val="Hyperlink"/>
                <w:rFonts w:ascii="ZWAdobeF" w:hAnsi="ZWAdobeF" w:cs="ZWAdobeF"/>
                <w:color w:val="auto"/>
                <w:sz w:val="2"/>
                <w:szCs w:val="2"/>
                <w:u w:val="none"/>
              </w:rPr>
              <w:t>27F</w:t>
            </w:r>
            <w:r w:rsidRPr="009A5185">
              <w:rPr>
                <w:rStyle w:val="EndnoteReference"/>
                <w:rFonts w:cs="Arial"/>
              </w:rPr>
              <w:endnoteReference w:id="29"/>
            </w:r>
            <w:r w:rsidRPr="009A5185">
              <w:rPr>
                <w:rFonts w:cs="Arial"/>
              </w:rPr>
              <w:t xml:space="preserve"> in questi</w:t>
            </w:r>
            <w:r w:rsidRPr="00366BF9">
              <w:rPr>
                <w:rFonts w:cs="Arial"/>
              </w:rPr>
              <w:t>on #</w:t>
            </w:r>
            <w:r>
              <w:rPr>
                <w:rFonts w:cs="Arial"/>
              </w:rPr>
              <w:t>7 identified by the pharmacist</w:t>
            </w:r>
            <w:r w:rsidRPr="00366BF9">
              <w:rPr>
                <w:rFonts w:cs="Arial"/>
              </w:rPr>
              <w:t>.</w:t>
            </w:r>
            <w:r w:rsidRPr="009A5185">
              <w:rPr>
                <w:rFonts w:cs="Arial"/>
              </w:rPr>
              <w:t xml:space="preserve"> </w:t>
            </w:r>
          </w:p>
        </w:tc>
        <w:tc>
          <w:tcPr>
            <w:tcW w:w="1757" w:type="dxa"/>
            <w:vAlign w:val="center"/>
          </w:tcPr>
          <w:p w14:paraId="5E093A96" w14:textId="77777777" w:rsidR="00C3345F" w:rsidRPr="009A5185" w:rsidRDefault="00C3345F">
            <w:pPr>
              <w:spacing w:line="276" w:lineRule="auto"/>
              <w:jc w:val="center"/>
              <w:rPr>
                <w:rFonts w:cs="Arial"/>
              </w:rPr>
            </w:pPr>
            <w:r w:rsidRPr="009A5185">
              <w:rPr>
                <w:rFonts w:cs="Arial"/>
                <w:i/>
                <w:snapToGrid w:val="0"/>
              </w:rPr>
              <w:t>_____</w:t>
            </w:r>
          </w:p>
        </w:tc>
      </w:tr>
    </w:tbl>
    <w:p w14:paraId="198640EC" w14:textId="77777777" w:rsidR="00C3345F" w:rsidRDefault="00C3345F">
      <w:pPr>
        <w:rPr>
          <w:rFonts w:cs="Arial"/>
          <w:b/>
          <w:snapToGrid w:val="0"/>
          <w:color w:val="000000"/>
        </w:rPr>
      </w:pPr>
    </w:p>
    <w:p w14:paraId="49A3C21A" w14:textId="47950663" w:rsidR="00C3345F" w:rsidRDefault="00C3345F">
      <w:pPr>
        <w:rPr>
          <w:rFonts w:cs="Arial"/>
          <w:b/>
          <w:snapToGrid w:val="0"/>
          <w:color w:val="000000"/>
        </w:rPr>
      </w:pPr>
      <w:r>
        <w:rPr>
          <w:rFonts w:cs="Arial"/>
          <w:b/>
          <w:snapToGrid w:val="0"/>
          <w:color w:val="000000"/>
        </w:rPr>
        <w:br w:type="page"/>
      </w:r>
    </w:p>
    <w:p w14:paraId="5D3700F1" w14:textId="59165ABC" w:rsidR="008910AA" w:rsidRPr="009A5185" w:rsidRDefault="008910AA">
      <w:pPr>
        <w:rPr>
          <w:rFonts w:cs="Arial"/>
          <w:b/>
          <w:snapToGrid w:val="0"/>
          <w:color w:val="000000"/>
        </w:rPr>
      </w:pPr>
      <w:r w:rsidRPr="009A5185">
        <w:rPr>
          <w:rFonts w:cs="Arial"/>
          <w:b/>
          <w:snapToGrid w:val="0"/>
          <w:color w:val="000000"/>
        </w:rPr>
        <w:lastRenderedPageBreak/>
        <w:t>Affirmation of Accuracy</w:t>
      </w:r>
    </w:p>
    <w:p w14:paraId="222C087A" w14:textId="77777777" w:rsidR="008910AA" w:rsidRPr="009A5185" w:rsidRDefault="008910AA">
      <w:pPr>
        <w:rPr>
          <w:rFonts w:cs="Arial"/>
          <w:snapToGrid w:val="0"/>
          <w:color w:val="000000"/>
        </w:rPr>
      </w:pPr>
    </w:p>
    <w:p w14:paraId="0E4DEB84" w14:textId="59B89993" w:rsidR="00456023" w:rsidRPr="00525890" w:rsidRDefault="00456023" w:rsidP="00456023">
      <w:pPr>
        <w:rPr>
          <w:rFonts w:cs="Arial"/>
          <w:color w:val="000000"/>
        </w:rPr>
      </w:pPr>
      <w:r w:rsidRPr="00525890">
        <w:rPr>
          <w:rFonts w:cs="Arial"/>
          <w:color w:val="000000"/>
        </w:rPr>
        <w:t xml:space="preserve">As the hospital CEO or as an employee of the hospital to whom the hospital CEO has delegated responsibility, I have reviewed this information pertaining to the </w:t>
      </w:r>
      <w:r w:rsidR="00F61ED5" w:rsidRPr="00525890">
        <w:rPr>
          <w:rFonts w:cs="Arial"/>
          <w:color w:val="000000"/>
        </w:rPr>
        <w:t>Medication Safety</w:t>
      </w:r>
      <w:r w:rsidRPr="00525890">
        <w:rPr>
          <w:rFonts w:cs="Arial"/>
          <w:color w:val="000000"/>
        </w:rPr>
        <w:t xml:space="preserve"> Section at our hospital, and I hereby </w:t>
      </w:r>
      <w:r w:rsidR="00607094">
        <w:rPr>
          <w:rFonts w:cs="Arial"/>
          <w:color w:val="000000"/>
        </w:rPr>
        <w:t>affirm t</w:t>
      </w:r>
      <w:r w:rsidRPr="00525890">
        <w:rPr>
          <w:rFonts w:cs="Arial"/>
          <w:color w:val="000000"/>
        </w:rPr>
        <w:t>hat this information is true, accurate, and reflect</w:t>
      </w:r>
      <w:r w:rsidR="00B7608D" w:rsidRPr="00525890">
        <w:rPr>
          <w:rFonts w:cs="Arial"/>
          <w:color w:val="000000"/>
        </w:rPr>
        <w:t>s</w:t>
      </w:r>
      <w:r w:rsidRPr="00525890">
        <w:rPr>
          <w:rFonts w:cs="Arial"/>
          <w:color w:val="000000"/>
        </w:rPr>
        <w:t xml:space="preserve"> the current, normal operating circumstances at our hospital. I am authorized to make this </w:t>
      </w:r>
      <w:r w:rsidR="00607094">
        <w:rPr>
          <w:rFonts w:cs="Arial"/>
          <w:color w:val="000000"/>
        </w:rPr>
        <w:t>affirmation</w:t>
      </w:r>
      <w:r w:rsidRPr="00525890">
        <w:rPr>
          <w:rFonts w:cs="Arial"/>
          <w:color w:val="000000"/>
        </w:rPr>
        <w:t xml:space="preserve"> on behalf of our hospital. </w:t>
      </w:r>
    </w:p>
    <w:p w14:paraId="5E50ED76" w14:textId="77777777" w:rsidR="00456023" w:rsidRPr="00525890" w:rsidRDefault="00456023" w:rsidP="00456023">
      <w:pPr>
        <w:rPr>
          <w:rFonts w:cs="Arial"/>
          <w:color w:val="000000"/>
        </w:rPr>
      </w:pPr>
    </w:p>
    <w:p w14:paraId="61B29EC8" w14:textId="61B69EFA" w:rsidR="00456023" w:rsidRPr="009A5185" w:rsidRDefault="003B7E2E" w:rsidP="00456023">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1C825379" w14:textId="77777777" w:rsidR="008910AA" w:rsidRPr="009A5185" w:rsidRDefault="008910AA" w:rsidP="000B33B2">
      <w:pPr>
        <w:rPr>
          <w:rFonts w:cs="Arial"/>
          <w:snapToGrid w:val="0"/>
          <w:color w:val="000000"/>
        </w:rPr>
      </w:pPr>
    </w:p>
    <w:p w14:paraId="4EC90340" w14:textId="77777777" w:rsidR="00BA1620" w:rsidRPr="009A5185" w:rsidRDefault="00BA1620" w:rsidP="000B33B2">
      <w:pPr>
        <w:rPr>
          <w:rFonts w:cs="Arial"/>
          <w:snapToGrid w:val="0"/>
          <w:color w:val="000000"/>
        </w:rPr>
      </w:pPr>
    </w:p>
    <w:p w14:paraId="108E943B" w14:textId="77777777" w:rsidR="008910AA" w:rsidRPr="009A5185" w:rsidRDefault="008910AA">
      <w:pPr>
        <w:spacing w:line="240" w:lineRule="exact"/>
        <w:rPr>
          <w:rFonts w:cs="Arial"/>
          <w:snapToGrid w:val="0"/>
          <w:color w:val="000000"/>
        </w:rPr>
      </w:pPr>
      <w:r w:rsidRPr="009A5185">
        <w:rPr>
          <w:rFonts w:cs="Arial"/>
          <w:snapToGrid w:val="0"/>
          <w:color w:val="000000"/>
        </w:rPr>
        <w:t>Affirmed by _____________________, the hospital’s ___________________________,</w:t>
      </w:r>
    </w:p>
    <w:p w14:paraId="48D95714" w14:textId="77777777" w:rsidR="008A631A" w:rsidRPr="009A5185" w:rsidRDefault="008A631A" w:rsidP="008A631A">
      <w:pPr>
        <w:pStyle w:val="BodyText2"/>
        <w:spacing w:line="240" w:lineRule="exact"/>
        <w:rPr>
          <w:rFonts w:cs="Arial"/>
        </w:rPr>
      </w:pPr>
      <w:r w:rsidRPr="009A5185">
        <w:rPr>
          <w:rFonts w:cs="Arial"/>
        </w:rPr>
        <w:tab/>
        <w:t xml:space="preserve"> </w:t>
      </w:r>
      <w:r>
        <w:rPr>
          <w:rFonts w:cs="Arial"/>
        </w:rPr>
        <w:t xml:space="preserve">    </w:t>
      </w:r>
      <w:r w:rsidRPr="009A5185">
        <w:rPr>
          <w:rFonts w:cs="Arial"/>
        </w:rPr>
        <w:t>(</w:t>
      </w:r>
      <w:r>
        <w:rPr>
          <w:rFonts w:cs="Arial"/>
        </w:rPr>
        <w:t xml:space="preserve">first </w:t>
      </w:r>
      <w:r w:rsidRPr="009A5185">
        <w:rPr>
          <w:rFonts w:cs="Arial"/>
        </w:rPr>
        <w:t>name</w:t>
      </w:r>
      <w:r>
        <w:rPr>
          <w:rFonts w:cs="Arial"/>
        </w:rPr>
        <w:t xml:space="preserve"> and last name)</w:t>
      </w:r>
      <w:r>
        <w:rPr>
          <w:rFonts w:cs="Arial"/>
        </w:rPr>
        <w:tab/>
      </w:r>
      <w:r>
        <w:rPr>
          <w:rFonts w:cs="Arial"/>
        </w:rPr>
        <w:tab/>
      </w:r>
      <w:r>
        <w:rPr>
          <w:rFonts w:cs="Arial"/>
        </w:rPr>
        <w:tab/>
      </w:r>
      <w:r>
        <w:rPr>
          <w:rFonts w:cs="Arial"/>
        </w:rPr>
        <w:tab/>
      </w:r>
      <w:r w:rsidRPr="009A5185">
        <w:rPr>
          <w:rFonts w:cs="Arial"/>
        </w:rPr>
        <w:t>(title)</w:t>
      </w:r>
    </w:p>
    <w:p w14:paraId="54EE6438" w14:textId="77777777" w:rsidR="008910AA" w:rsidRPr="009A5185" w:rsidRDefault="008910AA">
      <w:pPr>
        <w:spacing w:line="240" w:lineRule="exact"/>
        <w:rPr>
          <w:rFonts w:cs="Arial"/>
          <w:snapToGrid w:val="0"/>
        </w:rPr>
      </w:pPr>
      <w:r w:rsidRPr="009A5185">
        <w:rPr>
          <w:rFonts w:cs="Arial"/>
          <w:snapToGrid w:val="0"/>
        </w:rPr>
        <w:t>on _______________________.</w:t>
      </w:r>
    </w:p>
    <w:p w14:paraId="58879CE5" w14:textId="77777777" w:rsidR="008910AA" w:rsidRPr="009A5185" w:rsidRDefault="008910AA">
      <w:pPr>
        <w:spacing w:line="240" w:lineRule="exact"/>
        <w:rPr>
          <w:rFonts w:cs="Arial"/>
          <w:i/>
        </w:rPr>
      </w:pPr>
      <w:r w:rsidRPr="009A5185">
        <w:rPr>
          <w:rFonts w:cs="Arial"/>
          <w:i/>
        </w:rPr>
        <w:t xml:space="preserve">                    (date)</w:t>
      </w:r>
    </w:p>
    <w:p w14:paraId="659AF440" w14:textId="77777777" w:rsidR="00F87A51" w:rsidRPr="009A5185" w:rsidRDefault="00F87A51">
      <w:pPr>
        <w:spacing w:line="240" w:lineRule="exact"/>
        <w:rPr>
          <w:rFonts w:cs="Arial"/>
          <w:i/>
        </w:rPr>
      </w:pPr>
    </w:p>
    <w:p w14:paraId="04992D25" w14:textId="109C922F" w:rsidR="00D24F27" w:rsidRDefault="00D24F27">
      <w:pPr>
        <w:rPr>
          <w:rFonts w:cs="Arial"/>
          <w:i/>
        </w:rPr>
      </w:pPr>
      <w:r>
        <w:rPr>
          <w:rFonts w:cs="Arial"/>
          <w:i/>
        </w:rPr>
        <w:br w:type="page"/>
      </w:r>
    </w:p>
    <w:p w14:paraId="03659B85" w14:textId="109C922F" w:rsidR="00C35C80" w:rsidRPr="009A5185" w:rsidRDefault="00C35C80" w:rsidP="00CF5A6E">
      <w:pPr>
        <w:pStyle w:val="Heading2"/>
      </w:pPr>
      <w:bookmarkStart w:id="187" w:name="_Toc383774986"/>
      <w:bookmarkStart w:id="188" w:name="_Toc225877693"/>
      <w:r w:rsidRPr="009A5185">
        <w:lastRenderedPageBreak/>
        <w:t>Section 2</w:t>
      </w:r>
      <w:bookmarkEnd w:id="187"/>
      <w:r w:rsidRPr="009A5185">
        <w:t xml:space="preserve">: </w:t>
      </w:r>
      <w:r w:rsidR="00C34E7F" w:rsidRPr="009A5185">
        <w:t>Medication Safety</w:t>
      </w:r>
      <w:r w:rsidR="000479D5" w:rsidRPr="009A5185">
        <w:t xml:space="preserve"> </w:t>
      </w:r>
      <w:r w:rsidRPr="009A5185">
        <w:t>Reference Information</w:t>
      </w:r>
      <w:bookmarkEnd w:id="188"/>
    </w:p>
    <w:p w14:paraId="1ED8D500" w14:textId="77777777" w:rsidR="00C35C80" w:rsidRPr="009A5185" w:rsidRDefault="00C35C80" w:rsidP="00D24F27">
      <w:pPr>
        <w:rPr>
          <w:rFonts w:cs="Arial"/>
          <w:lang w:eastAsia="ja-JP"/>
        </w:rPr>
      </w:pPr>
    </w:p>
    <w:p w14:paraId="7F702422" w14:textId="2E0D01BD" w:rsidR="00C35C80" w:rsidRDefault="00C35C80" w:rsidP="00AB5B80">
      <w:pPr>
        <w:pStyle w:val="Heading3"/>
      </w:pPr>
      <w:bookmarkStart w:id="189" w:name="_Toc236459172"/>
      <w:bookmarkStart w:id="190" w:name="_Toc383774987"/>
      <w:bookmarkStart w:id="191" w:name="_Toc225877694"/>
      <w:r w:rsidRPr="009A5185">
        <w:t>What’s New</w:t>
      </w:r>
      <w:bookmarkEnd w:id="189"/>
      <w:r w:rsidRPr="009A5185">
        <w:t xml:space="preserve"> in the </w:t>
      </w:r>
      <w:bookmarkEnd w:id="190"/>
      <w:r w:rsidR="00A236B1">
        <w:t>202</w:t>
      </w:r>
      <w:r w:rsidR="003A7091">
        <w:t>6</w:t>
      </w:r>
      <w:r w:rsidR="001A6D91" w:rsidRPr="009A5185">
        <w:t xml:space="preserve"> </w:t>
      </w:r>
      <w:r w:rsidR="004F68CC" w:rsidRPr="009A5185">
        <w:t>Survey</w:t>
      </w:r>
      <w:bookmarkEnd w:id="191"/>
    </w:p>
    <w:p w14:paraId="0EF034FD" w14:textId="77777777" w:rsidR="00D20722" w:rsidRDefault="00D20722" w:rsidP="00D20722">
      <w:pPr>
        <w:rPr>
          <w:lang w:eastAsia="ja-JP"/>
        </w:rPr>
      </w:pPr>
    </w:p>
    <w:p w14:paraId="44B903DD" w14:textId="77777777" w:rsidR="00EC3E45" w:rsidRDefault="00EC3E45" w:rsidP="008248A2">
      <w:pPr>
        <w:pStyle w:val="Heading44"/>
      </w:pPr>
      <w:r w:rsidRPr="00746BAF">
        <w:t xml:space="preserve">CPOE Evaluation Tool </w:t>
      </w:r>
    </w:p>
    <w:p w14:paraId="5E6010F1" w14:textId="5583697A" w:rsidR="00225AB6" w:rsidRDefault="00C238DA" w:rsidP="00C238DA">
      <w:pPr>
        <w:pStyle w:val="Heading44"/>
        <w:rPr>
          <w:b w:val="0"/>
          <w:bCs/>
          <w:sz w:val="20"/>
        </w:rPr>
      </w:pPr>
      <w:r w:rsidRPr="00C238DA">
        <w:rPr>
          <w:b w:val="0"/>
          <w:bCs/>
          <w:sz w:val="20"/>
        </w:rPr>
        <w:t>The developers of the CPOE Evaluation Tool are revising the test medication scenarios to align with updated clinical guidelines and are removing medications that hospitals frequently report as not included in their formularies.</w:t>
      </w:r>
    </w:p>
    <w:p w14:paraId="25A30734" w14:textId="77777777" w:rsidR="00C238DA" w:rsidRDefault="00C238DA" w:rsidP="00C238DA">
      <w:pPr>
        <w:pStyle w:val="Heading44"/>
        <w:rPr>
          <w:b w:val="0"/>
          <w:bCs/>
          <w:sz w:val="20"/>
        </w:rPr>
      </w:pPr>
    </w:p>
    <w:p w14:paraId="63C311FF" w14:textId="4696BC20" w:rsidR="00C238DA" w:rsidRPr="00C238DA" w:rsidRDefault="00750173" w:rsidP="00C238DA">
      <w:pPr>
        <w:pStyle w:val="Heading44"/>
        <w:rPr>
          <w:b w:val="0"/>
          <w:bCs/>
          <w:sz w:val="20"/>
        </w:rPr>
      </w:pPr>
      <w:r>
        <w:rPr>
          <w:b w:val="0"/>
          <w:bCs/>
          <w:sz w:val="20"/>
        </w:rPr>
        <w:t xml:space="preserve">In addition, </w:t>
      </w:r>
      <w:r w:rsidR="00C238DA" w:rsidRPr="00C238DA">
        <w:rPr>
          <w:b w:val="0"/>
          <w:bCs/>
          <w:sz w:val="20"/>
        </w:rPr>
        <w:t xml:space="preserve">after reviewing non-interruptive alerts, Leapfrog’s </w:t>
      </w:r>
      <w:hyperlink r:id="rId178" w:history="1">
        <w:r w:rsidR="00C238DA" w:rsidRPr="00C238DA">
          <w:rPr>
            <w:rStyle w:val="Hyperlink"/>
            <w:b w:val="0"/>
            <w:bCs/>
            <w:sz w:val="20"/>
          </w:rPr>
          <w:t>CPOE Expert Panel</w:t>
        </w:r>
      </w:hyperlink>
      <w:r w:rsidR="00C238DA" w:rsidRPr="00C238DA">
        <w:rPr>
          <w:b w:val="0"/>
          <w:bCs/>
          <w:sz w:val="20"/>
        </w:rPr>
        <w:t xml:space="preserve"> found that these alerts have</w:t>
      </w:r>
      <w:r>
        <w:rPr>
          <w:b w:val="0"/>
          <w:bCs/>
          <w:sz w:val="20"/>
        </w:rPr>
        <w:t xml:space="preserve"> </w:t>
      </w:r>
      <w:r w:rsidR="00C238DA" w:rsidRPr="00C238DA">
        <w:rPr>
          <w:b w:val="0"/>
          <w:bCs/>
          <w:sz w:val="20"/>
        </w:rPr>
        <w:t>become less effective in alerting prescribers to important information about dangerous medication orders. To</w:t>
      </w:r>
      <w:r w:rsidR="00C238DA">
        <w:rPr>
          <w:b w:val="0"/>
          <w:bCs/>
          <w:sz w:val="20"/>
        </w:rPr>
        <w:t xml:space="preserve"> </w:t>
      </w:r>
      <w:r w:rsidR="00C238DA" w:rsidRPr="00C238DA">
        <w:rPr>
          <w:b w:val="0"/>
          <w:bCs/>
          <w:sz w:val="20"/>
        </w:rPr>
        <w:t>address this issue, Leapfrog will launch a multi-phase project to:</w:t>
      </w:r>
    </w:p>
    <w:p w14:paraId="4D964C3C" w14:textId="77777777" w:rsidR="00C238DA" w:rsidRPr="00C238DA" w:rsidRDefault="00C238DA" w:rsidP="00C238DA">
      <w:pPr>
        <w:pStyle w:val="Heading44"/>
        <w:ind w:left="720"/>
        <w:rPr>
          <w:b w:val="0"/>
          <w:bCs/>
          <w:sz w:val="20"/>
        </w:rPr>
      </w:pPr>
      <w:r w:rsidRPr="00C238DA">
        <w:rPr>
          <w:b w:val="0"/>
          <w:bCs/>
          <w:sz w:val="20"/>
        </w:rPr>
        <w:t>• Gather examples and references to strengthen guidance on non-interruptive alerts,</w:t>
      </w:r>
    </w:p>
    <w:p w14:paraId="19F78985" w14:textId="77777777" w:rsidR="00C238DA" w:rsidRPr="00C238DA" w:rsidRDefault="00C238DA" w:rsidP="00C238DA">
      <w:pPr>
        <w:pStyle w:val="Heading44"/>
        <w:ind w:left="720"/>
        <w:rPr>
          <w:b w:val="0"/>
          <w:bCs/>
          <w:sz w:val="20"/>
        </w:rPr>
      </w:pPr>
      <w:r w:rsidRPr="00C238DA">
        <w:rPr>
          <w:b w:val="0"/>
          <w:bCs/>
          <w:sz w:val="20"/>
        </w:rPr>
        <w:t>• Develop educational webinars for hospitals throughout 2026, and</w:t>
      </w:r>
    </w:p>
    <w:p w14:paraId="48636020" w14:textId="77777777" w:rsidR="00C238DA" w:rsidRPr="00C238DA" w:rsidRDefault="00C238DA" w:rsidP="00C238DA">
      <w:pPr>
        <w:pStyle w:val="Heading44"/>
        <w:ind w:left="720"/>
        <w:rPr>
          <w:b w:val="0"/>
          <w:bCs/>
          <w:sz w:val="20"/>
        </w:rPr>
      </w:pPr>
      <w:r w:rsidRPr="00C238DA">
        <w:rPr>
          <w:b w:val="0"/>
          <w:bCs/>
          <w:sz w:val="20"/>
        </w:rPr>
        <w:t>• Prepare hospitals for updated expectations in the 2027 CPOE Tool.</w:t>
      </w:r>
    </w:p>
    <w:p w14:paraId="3535D5FA" w14:textId="77777777" w:rsidR="00C238DA" w:rsidRDefault="00C238DA" w:rsidP="00C238DA">
      <w:pPr>
        <w:pStyle w:val="Heading44"/>
        <w:rPr>
          <w:b w:val="0"/>
          <w:bCs/>
          <w:sz w:val="20"/>
        </w:rPr>
      </w:pPr>
    </w:p>
    <w:p w14:paraId="2CD2C67F" w14:textId="14306B2F" w:rsidR="00C238DA" w:rsidRPr="00C238DA" w:rsidRDefault="00C238DA" w:rsidP="00C238DA">
      <w:pPr>
        <w:pStyle w:val="Heading44"/>
        <w:rPr>
          <w:b w:val="0"/>
          <w:bCs/>
          <w:sz w:val="20"/>
        </w:rPr>
      </w:pPr>
      <w:r w:rsidRPr="00C238DA">
        <w:rPr>
          <w:b w:val="0"/>
          <w:bCs/>
          <w:sz w:val="20"/>
        </w:rPr>
        <w:t>There are no changes to the scoring algorithm for the CPOE Evaluation Tool.</w:t>
      </w:r>
    </w:p>
    <w:p w14:paraId="53CDA9FE" w14:textId="77777777" w:rsidR="00645DD7" w:rsidRPr="008248A2" w:rsidRDefault="00645DD7" w:rsidP="00AF582E">
      <w:pPr>
        <w:pStyle w:val="Heading44"/>
        <w:rPr>
          <w:sz w:val="20"/>
        </w:rPr>
      </w:pPr>
    </w:p>
    <w:p w14:paraId="694BFF3D" w14:textId="23E22160" w:rsidR="00AF582E" w:rsidRDefault="000F0BEB" w:rsidP="008248A2">
      <w:pPr>
        <w:pStyle w:val="Heading44"/>
      </w:pPr>
      <w:r w:rsidRPr="00EC3E45">
        <w:t xml:space="preserve">Section </w:t>
      </w:r>
      <w:r w:rsidR="00FF5A88" w:rsidRPr="00EC3E45">
        <w:t xml:space="preserve">2A: </w:t>
      </w:r>
      <w:r w:rsidR="00AF582E" w:rsidRPr="00EC3E45">
        <w:t>Computerized Physician Order Entry (CPOE)</w:t>
      </w:r>
    </w:p>
    <w:p w14:paraId="6534D917" w14:textId="6D47D3CA" w:rsidR="00225AB6" w:rsidRPr="00225AB6" w:rsidRDefault="00225AB6" w:rsidP="008248A2">
      <w:pPr>
        <w:pStyle w:val="Heading44"/>
        <w:rPr>
          <w:b w:val="0"/>
          <w:bCs/>
          <w:sz w:val="20"/>
        </w:rPr>
      </w:pPr>
      <w:r w:rsidRPr="00225AB6">
        <w:rPr>
          <w:b w:val="0"/>
          <w:bCs/>
          <w:sz w:val="20"/>
        </w:rPr>
        <w:t>There are no changes to this subsection.</w:t>
      </w:r>
    </w:p>
    <w:p w14:paraId="50980F46" w14:textId="77777777" w:rsidR="00AC2F2E" w:rsidRDefault="00AC2F2E" w:rsidP="00AF582E">
      <w:pPr>
        <w:rPr>
          <w:bCs/>
          <w:color w:val="000000"/>
        </w:rPr>
      </w:pPr>
    </w:p>
    <w:p w14:paraId="7C3C1567" w14:textId="5E5654C0" w:rsidR="006D666F" w:rsidRDefault="007D1AB3" w:rsidP="008248A2">
      <w:pPr>
        <w:pStyle w:val="Heading44"/>
      </w:pPr>
      <w:r w:rsidRPr="004E370B">
        <w:t xml:space="preserve">Section 2B: </w:t>
      </w:r>
      <w:r w:rsidRPr="004355D9">
        <w:t>EHR Application Information</w:t>
      </w:r>
    </w:p>
    <w:p w14:paraId="66C83526" w14:textId="418A883E" w:rsidR="006D666F" w:rsidRDefault="00053BB3" w:rsidP="006D666F">
      <w:pPr>
        <w:rPr>
          <w:rFonts w:cstheme="minorHAnsi"/>
        </w:rPr>
      </w:pPr>
      <w:r w:rsidRPr="00053BB3">
        <w:rPr>
          <w:rFonts w:cstheme="minorHAnsi"/>
        </w:rPr>
        <w:t>Leapfrog is continuing to ask questions about Artificial Intelligence (AI) applications used as part of a hospital’s medication management and these questions will be required beginning in 2026. The responses will be used to research AI vendor influence on a hospital’s CPOE Test score. Leapfrog is also updating the definition of AI included in the FAQs to provide more clarity.</w:t>
      </w:r>
    </w:p>
    <w:p w14:paraId="78210020" w14:textId="77777777" w:rsidR="008C53FA" w:rsidRDefault="008C53FA" w:rsidP="006D666F">
      <w:pPr>
        <w:rPr>
          <w:rFonts w:cstheme="minorHAnsi"/>
        </w:rPr>
      </w:pPr>
    </w:p>
    <w:p w14:paraId="3F791117" w14:textId="3CD80C9E" w:rsidR="006D666F" w:rsidRPr="00ED0746" w:rsidRDefault="00782AC6" w:rsidP="006D666F">
      <w:pPr>
        <w:rPr>
          <w:rFonts w:cstheme="minorHAnsi"/>
        </w:rPr>
      </w:pPr>
      <w:r>
        <w:rPr>
          <w:rFonts w:cstheme="minorHAnsi"/>
        </w:rPr>
        <w:t xml:space="preserve">As a reminder, </w:t>
      </w:r>
      <w:r w:rsidR="006D666F" w:rsidRPr="00ED0746">
        <w:rPr>
          <w:rFonts w:cstheme="minorHAnsi"/>
        </w:rPr>
        <w:t>Section 2B: EHR Application Information is not scored or publicly reported.</w:t>
      </w:r>
    </w:p>
    <w:p w14:paraId="42021885" w14:textId="77777777" w:rsidR="001B5B40" w:rsidRDefault="001B5B40" w:rsidP="00D20722">
      <w:pPr>
        <w:rPr>
          <w:lang w:eastAsia="ja-JP"/>
        </w:rPr>
      </w:pPr>
    </w:p>
    <w:p w14:paraId="5F798C35" w14:textId="3B70FDC1" w:rsidR="007843F0" w:rsidRPr="00EA629D" w:rsidRDefault="00D20722" w:rsidP="00EA629D">
      <w:pPr>
        <w:pStyle w:val="Heading44"/>
      </w:pPr>
      <w:r>
        <w:t>Section 2C: Bar Code Medi</w:t>
      </w:r>
      <w:r w:rsidR="005D2C2C">
        <w:t>c</w:t>
      </w:r>
      <w:r>
        <w:t>ation Administration (BCMA)</w:t>
      </w:r>
      <w:r w:rsidR="007843F0" w:rsidRPr="003E4FFD">
        <w:rPr>
          <w:rFonts w:cstheme="minorHAnsi"/>
        </w:rPr>
        <w:t xml:space="preserve"> </w:t>
      </w:r>
    </w:p>
    <w:p w14:paraId="1BFCA2B1" w14:textId="6CF5A91C" w:rsidR="00782AC6" w:rsidRDefault="000A73EE" w:rsidP="0016386D">
      <w:pPr>
        <w:rPr>
          <w:rFonts w:cstheme="minorHAnsi"/>
        </w:rPr>
      </w:pPr>
      <w:r w:rsidRPr="000A73EE">
        <w:rPr>
          <w:rFonts w:cstheme="minorHAnsi"/>
        </w:rPr>
        <w:t>In response to feedback from hospitals participating in the Survey, Leapfrog is updating two of the elements included for Section 2C: BCMA question #21, which asks about mechanisms used to reduce and understand potential BCMA system “workarounds.” The implementation, monitoring, and evaluation of quality improvement projects focused on improving BCMA performance is no longer required for hospitals that have met Leapfrog’s standard of 95% compliance with scanning the patient and medication prior to medication administration if this standard is met in ALL applicable units based on quarterly monitoring. To reflect this change, the response options for question #21f have been updated as outlined below and hospitals will not report on question #21g if they indicate “no” or “does not apply” to question #21f. The requirement of having 6 out of 8 processes/structures to reduce and understand potential BCMA system “workarounds” will be maintained and hospitals responding “does not apply” to question #21f will earn credit for both #21f and #21g for the purposes of scoring and public reporting.</w:t>
      </w:r>
    </w:p>
    <w:p w14:paraId="7CAF874E" w14:textId="77777777" w:rsidR="000A73EE" w:rsidRDefault="000A73EE" w:rsidP="0016386D">
      <w:pPr>
        <w:rPr>
          <w:rFonts w:cstheme="minorHAnsi"/>
        </w:rPr>
      </w:pPr>
    </w:p>
    <w:p w14:paraId="3DC04E8B" w14:textId="3CE842EA" w:rsidR="009C2AB7" w:rsidRDefault="009C2AB7" w:rsidP="0016386D">
      <w:pPr>
        <w:rPr>
          <w:rFonts w:cstheme="minorHAnsi"/>
        </w:rPr>
      </w:pPr>
      <w:r w:rsidRPr="003E4FFD">
        <w:rPr>
          <w:rFonts w:cstheme="minorHAnsi"/>
        </w:rPr>
        <w:t xml:space="preserve">There are no </w:t>
      </w:r>
      <w:r w:rsidR="00782AC6">
        <w:rPr>
          <w:rFonts w:cstheme="minorHAnsi"/>
        </w:rPr>
        <w:t>other</w:t>
      </w:r>
      <w:r w:rsidR="000A73EE">
        <w:rPr>
          <w:rFonts w:cstheme="minorHAnsi"/>
        </w:rPr>
        <w:t xml:space="preserve"> </w:t>
      </w:r>
      <w:r w:rsidRPr="003E4FFD">
        <w:rPr>
          <w:rFonts w:cstheme="minorHAnsi"/>
        </w:rPr>
        <w:t xml:space="preserve">changes to the Scoring Algorithm for Section 2C: BCMA. </w:t>
      </w:r>
    </w:p>
    <w:p w14:paraId="714F7C34" w14:textId="77777777" w:rsidR="0016386D" w:rsidRDefault="0016386D" w:rsidP="007843F0">
      <w:pPr>
        <w:rPr>
          <w:rFonts w:cstheme="minorHAnsi"/>
        </w:rPr>
      </w:pPr>
    </w:p>
    <w:p w14:paraId="2F90A9A0" w14:textId="77777777" w:rsidR="007843F0" w:rsidRDefault="007843F0" w:rsidP="007843F0">
      <w:pPr>
        <w:pStyle w:val="Heading44"/>
      </w:pPr>
      <w:r>
        <w:t>Section 2D: Medication Reconciliation</w:t>
      </w:r>
    </w:p>
    <w:p w14:paraId="4449FFA2" w14:textId="77777777" w:rsidR="00022E65" w:rsidRDefault="000A73EE" w:rsidP="007843F0">
      <w:pPr>
        <w:rPr>
          <w:lang w:eastAsia="ja-JP"/>
        </w:rPr>
      </w:pPr>
      <w:r w:rsidRPr="000A73EE">
        <w:rPr>
          <w:lang w:eastAsia="ja-JP"/>
        </w:rPr>
        <w:t>Leapfrog is updating the measure specifications to clarify that if a pharmacist, pharmacy resident, or certified pharmacy technician creates the pre-admission medication list (PAML) then a different (second) pharmacist, pharmacy resident, or certified pharmacy technician must collect the Gold Standard Medication History.</w:t>
      </w:r>
      <w:r>
        <w:rPr>
          <w:lang w:eastAsia="ja-JP"/>
        </w:rPr>
        <w:t xml:space="preserve"> </w:t>
      </w:r>
      <w:r w:rsidRPr="000A73EE">
        <w:rPr>
          <w:lang w:eastAsia="ja-JP"/>
        </w:rPr>
        <w:t xml:space="preserve">This information was previously clarified in a FAQ. </w:t>
      </w:r>
    </w:p>
    <w:p w14:paraId="79A0BBE7" w14:textId="77777777" w:rsidR="00022E65" w:rsidRDefault="00022E65" w:rsidP="007843F0">
      <w:pPr>
        <w:rPr>
          <w:lang w:eastAsia="ja-JP"/>
        </w:rPr>
      </w:pPr>
    </w:p>
    <w:p w14:paraId="7575DBE0" w14:textId="620B78BF" w:rsidR="000A73EE" w:rsidRDefault="000A73EE" w:rsidP="007843F0">
      <w:pPr>
        <w:rPr>
          <w:lang w:eastAsia="ja-JP"/>
        </w:rPr>
      </w:pPr>
      <w:r w:rsidRPr="000A73EE">
        <w:rPr>
          <w:lang w:eastAsia="ja-JP"/>
        </w:rPr>
        <w:t xml:space="preserve">For ease of reporting, we are providing a flow chart outlining the steps required for data collection which will be available on our Survey materials </w:t>
      </w:r>
      <w:hyperlink r:id="rId179" w:history="1">
        <w:r w:rsidRPr="000A312E">
          <w:rPr>
            <w:rStyle w:val="Hyperlink"/>
            <w:lang w:eastAsia="ja-JP"/>
          </w:rPr>
          <w:t>webpage</w:t>
        </w:r>
      </w:hyperlink>
      <w:r w:rsidRPr="000A73EE">
        <w:rPr>
          <w:lang w:eastAsia="ja-JP"/>
        </w:rPr>
        <w:t xml:space="preserve">. </w:t>
      </w:r>
    </w:p>
    <w:p w14:paraId="055454D9" w14:textId="77777777" w:rsidR="000A73EE" w:rsidRDefault="000A73EE" w:rsidP="007843F0">
      <w:pPr>
        <w:rPr>
          <w:lang w:eastAsia="ja-JP"/>
        </w:rPr>
      </w:pPr>
    </w:p>
    <w:p w14:paraId="4B66B305" w14:textId="6D2171BD" w:rsidR="000A73EE" w:rsidRDefault="000A73EE" w:rsidP="007843F0">
      <w:pPr>
        <w:rPr>
          <w:lang w:eastAsia="ja-JP"/>
        </w:rPr>
      </w:pPr>
      <w:r w:rsidRPr="000A73EE">
        <w:rPr>
          <w:lang w:eastAsia="ja-JP"/>
        </w:rPr>
        <w:lastRenderedPageBreak/>
        <w:t>As a reminder, hospitals can continue to use the 2025 Leapfrog Hospital Survey Measure Specifications for Section 2D: Medication Reconciliation to perform data collection in preparation for the 2026 Leapfrog Hospital Survey.</w:t>
      </w:r>
    </w:p>
    <w:p w14:paraId="1EFD09FB" w14:textId="77777777" w:rsidR="000A312E" w:rsidRDefault="000A312E" w:rsidP="007843F0">
      <w:pPr>
        <w:rPr>
          <w:lang w:eastAsia="ja-JP"/>
        </w:rPr>
      </w:pPr>
    </w:p>
    <w:p w14:paraId="5036A1D3" w14:textId="37155D51" w:rsidR="00D24F27" w:rsidRDefault="00D24F27" w:rsidP="007843F0">
      <w:pPr>
        <w:rPr>
          <w:lang w:eastAsia="ja-JP"/>
        </w:rPr>
      </w:pPr>
      <w:r w:rsidRPr="00D24F27">
        <w:rPr>
          <w:lang w:eastAsia="ja-JP"/>
        </w:rPr>
        <w:t>There are no changes to the scoring algorithm for Section 2D: Medication Reconciliation</w:t>
      </w:r>
    </w:p>
    <w:p w14:paraId="0FE52CD8" w14:textId="77777777" w:rsidR="00D24F27" w:rsidRPr="008248A2" w:rsidRDefault="00D24F27" w:rsidP="007843F0">
      <w:pPr>
        <w:rPr>
          <w:lang w:eastAsia="ja-JP"/>
        </w:rPr>
      </w:pPr>
    </w:p>
    <w:p w14:paraId="3BA5F140" w14:textId="67D9872C" w:rsidR="00C35C80" w:rsidRPr="009A5185" w:rsidRDefault="00C35C80" w:rsidP="00AB5B80">
      <w:pPr>
        <w:pStyle w:val="Heading3"/>
      </w:pPr>
      <w:bookmarkStart w:id="192" w:name="_Toc236459173"/>
      <w:bookmarkStart w:id="193" w:name="_Toc383774988"/>
      <w:bookmarkStart w:id="194" w:name="_Toc225877695"/>
      <w:r w:rsidRPr="009A5185">
        <w:t>Change Summary</w:t>
      </w:r>
      <w:bookmarkEnd w:id="192"/>
      <w:r w:rsidR="001F4B3E">
        <w:t xml:space="preserve"> </w:t>
      </w:r>
      <w:r w:rsidR="00764EEA">
        <w:t>S</w:t>
      </w:r>
      <w:r w:rsidR="001F4B3E">
        <w:t>ince</w:t>
      </w:r>
      <w:r w:rsidRPr="009A5185">
        <w:t xml:space="preserve"> Release</w:t>
      </w:r>
      <w:bookmarkEnd w:id="193"/>
      <w:bookmarkEnd w:id="194"/>
    </w:p>
    <w:p w14:paraId="6824F10D" w14:textId="77777777" w:rsidR="00C35C80" w:rsidRPr="009A5185" w:rsidRDefault="00C35C80" w:rsidP="00C35C80">
      <w:pPr>
        <w:rPr>
          <w:rFonts w:cs="Arial"/>
          <w:lang w:eastAsia="ja-JP"/>
        </w:rPr>
      </w:pPr>
    </w:p>
    <w:p w14:paraId="6C406087" w14:textId="2F416D9B" w:rsidR="00C35C80" w:rsidRPr="009A5185" w:rsidRDefault="00C35C80" w:rsidP="0033316A">
      <w:pPr>
        <w:rPr>
          <w:rFonts w:cs="Arial"/>
          <w:b/>
          <w:sz w:val="28"/>
          <w:szCs w:val="28"/>
          <w:u w:val="single"/>
          <w:lang w:eastAsia="ja-JP"/>
        </w:rPr>
      </w:pPr>
      <w:r w:rsidRPr="009A5185">
        <w:rPr>
          <w:rFonts w:cs="Arial"/>
          <w:lang w:eastAsia="ja-JP"/>
        </w:rPr>
        <w:t xml:space="preserve">None. If substantive changes are made to this section of the </w:t>
      </w:r>
      <w:r w:rsidR="00C14AFF" w:rsidRPr="009A5185">
        <w:rPr>
          <w:rFonts w:cs="Arial"/>
          <w:lang w:eastAsia="ja-JP"/>
        </w:rPr>
        <w:t>Survey</w:t>
      </w:r>
      <w:r w:rsidRPr="009A5185">
        <w:rPr>
          <w:rFonts w:cs="Arial"/>
          <w:lang w:eastAsia="ja-JP"/>
        </w:rPr>
        <w:t xml:space="preserve"> after release on April 1, </w:t>
      </w:r>
      <w:r w:rsidR="00A236B1">
        <w:rPr>
          <w:rFonts w:cs="Arial"/>
          <w:lang w:eastAsia="ja-JP"/>
        </w:rPr>
        <w:t>202</w:t>
      </w:r>
      <w:r w:rsidR="003A7091">
        <w:rPr>
          <w:rFonts w:cs="Arial"/>
          <w:lang w:eastAsia="ja-JP"/>
        </w:rPr>
        <w:t>6</w:t>
      </w:r>
      <w:r w:rsidR="0025210D">
        <w:rPr>
          <w:rFonts w:cs="Arial"/>
          <w:lang w:eastAsia="ja-JP"/>
        </w:rPr>
        <w:t>,</w:t>
      </w:r>
      <w:r w:rsidR="00CE3643" w:rsidRPr="009A5185">
        <w:rPr>
          <w:rFonts w:cs="Arial"/>
          <w:lang w:eastAsia="ja-JP"/>
        </w:rPr>
        <w:t xml:space="preserve"> </w:t>
      </w:r>
      <w:r w:rsidRPr="009A5185">
        <w:rPr>
          <w:rFonts w:cs="Arial"/>
          <w:lang w:eastAsia="ja-JP"/>
        </w:rPr>
        <w:t>they will be documented in this Change Summary section.</w:t>
      </w:r>
      <w:r w:rsidR="0033316A" w:rsidRPr="009A5185">
        <w:rPr>
          <w:rFonts w:cs="Arial"/>
        </w:rPr>
        <w:br w:type="page"/>
      </w:r>
    </w:p>
    <w:p w14:paraId="7CC40EF4" w14:textId="118265B6" w:rsidR="00BE5587" w:rsidRDefault="00E46668" w:rsidP="00CF5A6E">
      <w:pPr>
        <w:pStyle w:val="Heading2"/>
      </w:pPr>
      <w:bookmarkStart w:id="195" w:name="_Medication_Safety_-"/>
      <w:bookmarkStart w:id="196" w:name="_Toc225877696"/>
      <w:bookmarkEnd w:id="195"/>
      <w:r>
        <w:lastRenderedPageBreak/>
        <w:t xml:space="preserve">Section 2: </w:t>
      </w:r>
      <w:r w:rsidR="000C2C54">
        <w:t>Medication Safety</w:t>
      </w:r>
      <w:r w:rsidR="00BE5587" w:rsidRPr="009A5185">
        <w:t xml:space="preserve"> Measure Specifications</w:t>
      </w:r>
      <w:bookmarkEnd w:id="196"/>
    </w:p>
    <w:p w14:paraId="3D3D109B" w14:textId="6AB2D5D6" w:rsidR="000C2C54" w:rsidRPr="00371FEA" w:rsidRDefault="000C2C54" w:rsidP="000C2C54">
      <w:pPr>
        <w:rPr>
          <w:lang w:eastAsia="ja-JP"/>
        </w:rPr>
      </w:pPr>
    </w:p>
    <w:p w14:paraId="69C2502D" w14:textId="55F1966E" w:rsidR="000C2C54" w:rsidRPr="000C2C54" w:rsidRDefault="000C2C54" w:rsidP="00AB5B80">
      <w:pPr>
        <w:pStyle w:val="Heading3"/>
      </w:pPr>
      <w:bookmarkStart w:id="197" w:name="_Ref123646659"/>
      <w:bookmarkStart w:id="198" w:name="_Toc225877697"/>
      <w:r>
        <w:t>Computerized Physician Order Entry (CPOE)</w:t>
      </w:r>
      <w:bookmarkEnd w:id="197"/>
      <w:r w:rsidR="00B078B4">
        <w:t xml:space="preserve"> Measure Specifications</w:t>
      </w:r>
      <w:bookmarkEnd w:id="198"/>
    </w:p>
    <w:p w14:paraId="087EA6D9" w14:textId="77777777" w:rsidR="00BE5587" w:rsidRPr="00371FEA" w:rsidRDefault="00BE5587" w:rsidP="00BE5587">
      <w:pPr>
        <w:rPr>
          <w:rFonts w:cs="Arial"/>
          <w:b/>
          <w:color w:val="FF0000"/>
          <w:lang w:eastAsia="ja-JP"/>
        </w:rPr>
      </w:pPr>
    </w:p>
    <w:p w14:paraId="7DD37E36" w14:textId="77777777" w:rsidR="00BE5587" w:rsidRPr="009A5185" w:rsidRDefault="00BE5587" w:rsidP="00211D8D">
      <w:pPr>
        <w:spacing w:after="120"/>
        <w:rPr>
          <w:rFonts w:cs="Arial"/>
          <w:b/>
          <w:color w:val="FF0000"/>
          <w:lang w:eastAsia="ja-JP"/>
        </w:rPr>
      </w:pPr>
      <w:r w:rsidRPr="009A5185">
        <w:rPr>
          <w:rFonts w:cs="Arial"/>
          <w:b/>
          <w:color w:val="FF0000"/>
          <w:lang w:eastAsia="ja-JP"/>
        </w:rPr>
        <w:t xml:space="preserve">Important Notes: </w:t>
      </w:r>
    </w:p>
    <w:p w14:paraId="359DE457" w14:textId="1ADEAB65" w:rsidR="001D7E24" w:rsidRDefault="00BE5587" w:rsidP="001D7E24">
      <w:pPr>
        <w:rPr>
          <w:rFonts w:cs="Arial"/>
          <w:snapToGrid w:val="0"/>
        </w:rPr>
      </w:pPr>
      <w:r w:rsidRPr="009A5185">
        <w:rPr>
          <w:rFonts w:cs="Arial"/>
          <w:lang w:eastAsia="ja-JP"/>
        </w:rPr>
        <w:t xml:space="preserve">Note 1: </w:t>
      </w:r>
      <w:r w:rsidR="001D7E24" w:rsidRPr="009A5185">
        <w:rPr>
          <w:rFonts w:cs="Arial"/>
          <w:snapToGrid w:val="0"/>
        </w:rPr>
        <w:t xml:space="preserve">Hospitals that share a </w:t>
      </w:r>
      <w:r w:rsidR="00522419">
        <w:rPr>
          <w:rFonts w:cs="Arial"/>
          <w:snapToGrid w:val="0"/>
        </w:rPr>
        <w:t>CMS Certification Number</w:t>
      </w:r>
      <w:r w:rsidR="001D7E24" w:rsidRPr="009A5185">
        <w:rPr>
          <w:rFonts w:cs="Arial"/>
          <w:snapToGrid w:val="0"/>
        </w:rPr>
        <w:t xml:space="preserve"> are required to report by facility. Please carefully review </w:t>
      </w:r>
      <w:hyperlink r:id="rId180" w:history="1">
        <w:r w:rsidR="001D7E24" w:rsidRPr="009A5185">
          <w:rPr>
            <w:rStyle w:val="Hyperlink"/>
            <w:rFonts w:cs="Arial"/>
            <w:snapToGrid w:val="0"/>
          </w:rPr>
          <w:t>Leapfrog’s Multi-Campus Reporting Policy</w:t>
        </w:r>
      </w:hyperlink>
      <w:r w:rsidR="001D7E24" w:rsidRPr="009A5185">
        <w:rPr>
          <w:rFonts w:cs="Arial"/>
          <w:snapToGrid w:val="0"/>
        </w:rPr>
        <w:t>.</w:t>
      </w:r>
    </w:p>
    <w:p w14:paraId="054DA7DD" w14:textId="77777777" w:rsidR="00D217B6" w:rsidRPr="007A60D4" w:rsidRDefault="00D217B6" w:rsidP="001D7E24">
      <w:pPr>
        <w:rPr>
          <w:rFonts w:cs="Arial"/>
          <w:snapToGrid w:val="0"/>
          <w:sz w:val="16"/>
          <w:szCs w:val="16"/>
        </w:rPr>
      </w:pPr>
    </w:p>
    <w:p w14:paraId="0F2D7CFD" w14:textId="77777777" w:rsidR="00914E39" w:rsidRPr="009A5185" w:rsidRDefault="00D217B6" w:rsidP="001D7E24">
      <w:pPr>
        <w:rPr>
          <w:rFonts w:cs="Arial"/>
        </w:rPr>
      </w:pPr>
      <w:r>
        <w:rPr>
          <w:rFonts w:cs="Arial"/>
          <w:snapToGrid w:val="0"/>
        </w:rPr>
        <w:t xml:space="preserve">Note 2: </w:t>
      </w:r>
      <w:r w:rsidR="00914E39" w:rsidRPr="00914E39">
        <w:rPr>
          <w:rFonts w:cs="Arial"/>
          <w:snapToGrid w:val="0"/>
        </w:rPr>
        <w:t>“</w:t>
      </w:r>
      <w:bookmarkStart w:id="199" w:name="Prescriber"/>
      <w:r w:rsidR="006555B4">
        <w:rPr>
          <w:rFonts w:cs="Arial"/>
          <w:snapToGrid w:val="0"/>
        </w:rPr>
        <w:t>Licensed p</w:t>
      </w:r>
      <w:r w:rsidR="0013687D">
        <w:rPr>
          <w:rFonts w:cs="Arial"/>
          <w:snapToGrid w:val="0"/>
        </w:rPr>
        <w:t>rescriber</w:t>
      </w:r>
      <w:bookmarkEnd w:id="199"/>
      <w:r w:rsidR="00914E39" w:rsidRPr="00914E39">
        <w:rPr>
          <w:rFonts w:cs="Arial"/>
          <w:snapToGrid w:val="0"/>
        </w:rPr>
        <w:t xml:space="preserve">” </w:t>
      </w:r>
      <w:r w:rsidRPr="009A5185">
        <w:rPr>
          <w:rFonts w:cs="Arial"/>
        </w:rPr>
        <w:t xml:space="preserve">refers to all licensed clinicians </w:t>
      </w:r>
      <w:r>
        <w:rPr>
          <w:rFonts w:cs="Arial"/>
        </w:rPr>
        <w:t xml:space="preserve">who </w:t>
      </w:r>
      <w:r w:rsidRPr="0013687D">
        <w:rPr>
          <w:rFonts w:cs="Arial"/>
        </w:rPr>
        <w:t>are</w:t>
      </w:r>
      <w:r>
        <w:rPr>
          <w:rFonts w:cs="Arial"/>
        </w:rPr>
        <w:t xml:space="preserve"> </w:t>
      </w:r>
      <w:r w:rsidRPr="009A5185">
        <w:rPr>
          <w:rFonts w:cs="Arial"/>
        </w:rPr>
        <w:t>authorized by the state in which the hospital is located to ord</w:t>
      </w:r>
      <w:r>
        <w:rPr>
          <w:rFonts w:cs="Arial"/>
        </w:rPr>
        <w:t xml:space="preserve">er medications for patients. </w:t>
      </w:r>
      <w:r w:rsidR="00914E39" w:rsidRPr="00914E39">
        <w:rPr>
          <w:rFonts w:cs="Arial"/>
          <w:snapToGrid w:val="0"/>
        </w:rPr>
        <w:t xml:space="preserve">This includes residents and interns who </w:t>
      </w:r>
      <w:r>
        <w:rPr>
          <w:rFonts w:cs="Arial"/>
          <w:snapToGrid w:val="0"/>
        </w:rPr>
        <w:t>are authorized to</w:t>
      </w:r>
      <w:r w:rsidR="00914E39" w:rsidRPr="00914E39">
        <w:rPr>
          <w:rFonts w:cs="Arial"/>
          <w:snapToGrid w:val="0"/>
        </w:rPr>
        <w:t xml:space="preserve"> </w:t>
      </w:r>
      <w:r>
        <w:rPr>
          <w:rFonts w:cs="Arial"/>
          <w:snapToGrid w:val="0"/>
        </w:rPr>
        <w:t>order</w:t>
      </w:r>
      <w:r w:rsidR="00914E39" w:rsidRPr="00914E39">
        <w:rPr>
          <w:rFonts w:cs="Arial"/>
          <w:snapToGrid w:val="0"/>
        </w:rPr>
        <w:t xml:space="preserve"> medications under their own authority.</w:t>
      </w:r>
    </w:p>
    <w:p w14:paraId="5F20B61F" w14:textId="77777777" w:rsidR="00BE5587" w:rsidRPr="00371FEA" w:rsidRDefault="00BE5587" w:rsidP="00BE5587">
      <w:pPr>
        <w:rPr>
          <w:rFonts w:cs="Arial"/>
          <w:b/>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2"/>
      </w:tblGrid>
      <w:tr w:rsidR="002F0E9F" w:rsidRPr="009A5185" w14:paraId="037B9A62" w14:textId="77777777" w:rsidTr="00371FEA">
        <w:trPr>
          <w:trHeight w:val="360"/>
          <w:jc w:val="center"/>
        </w:trPr>
        <w:tc>
          <w:tcPr>
            <w:tcW w:w="9562" w:type="dxa"/>
            <w:vAlign w:val="center"/>
          </w:tcPr>
          <w:p w14:paraId="5567A040" w14:textId="5B73E8C0" w:rsidR="002F0E9F" w:rsidRPr="009A5185" w:rsidRDefault="002F0E9F" w:rsidP="00172407">
            <w:pPr>
              <w:rPr>
                <w:rFonts w:cs="Arial"/>
                <w:b/>
                <w:snapToGrid w:val="0"/>
              </w:rPr>
            </w:pPr>
            <w:r>
              <w:rPr>
                <w:rFonts w:cs="Arial"/>
                <w:b/>
                <w:snapToGrid w:val="0"/>
              </w:rPr>
              <w:t xml:space="preserve">Source: </w:t>
            </w:r>
            <w:r w:rsidRPr="002F0E9F">
              <w:rPr>
                <w:rFonts w:cs="Arial"/>
                <w:bCs/>
                <w:snapToGrid w:val="0"/>
              </w:rPr>
              <w:t>The Leapfrog Group</w:t>
            </w:r>
          </w:p>
        </w:tc>
      </w:tr>
      <w:tr w:rsidR="00BE5587" w:rsidRPr="009A5185" w14:paraId="276C2501" w14:textId="77777777" w:rsidTr="00371FEA">
        <w:trPr>
          <w:trHeight w:val="360"/>
          <w:jc w:val="center"/>
        </w:trPr>
        <w:tc>
          <w:tcPr>
            <w:tcW w:w="9562" w:type="dxa"/>
            <w:vAlign w:val="center"/>
          </w:tcPr>
          <w:p w14:paraId="2E26F405" w14:textId="7398BBC0" w:rsidR="00BE5587" w:rsidRPr="00211D8D" w:rsidRDefault="00BE5587" w:rsidP="00172407">
            <w:pPr>
              <w:rPr>
                <w:rFonts w:cs="Arial"/>
                <w:snapToGrid w:val="0"/>
              </w:rPr>
            </w:pPr>
            <w:r w:rsidRPr="009A5185">
              <w:rPr>
                <w:rFonts w:cs="Arial"/>
                <w:b/>
                <w:snapToGrid w:val="0"/>
              </w:rPr>
              <w:t>Reporting Period:</w:t>
            </w:r>
            <w:r w:rsidRPr="009A5185">
              <w:rPr>
                <w:rFonts w:cs="Arial"/>
                <w:snapToGrid w:val="0"/>
              </w:rPr>
              <w:t xml:space="preserve"> </w:t>
            </w:r>
            <w:r w:rsidR="007B7692">
              <w:rPr>
                <w:rFonts w:cs="Arial"/>
                <w:snapToGrid w:val="0"/>
              </w:rPr>
              <w:t>The</w:t>
            </w:r>
            <w:r w:rsidRPr="009A5185">
              <w:rPr>
                <w:rFonts w:cs="Arial"/>
                <w:snapToGrid w:val="0"/>
              </w:rPr>
              <w:t xml:space="preserve"> latest 3-month period prior to the submission of this section of the </w:t>
            </w:r>
            <w:r w:rsidR="00C14AFF" w:rsidRPr="009A5185">
              <w:rPr>
                <w:rFonts w:cs="Arial"/>
                <w:snapToGrid w:val="0"/>
              </w:rPr>
              <w:t>Survey</w:t>
            </w:r>
            <w:r w:rsidRPr="009A5185">
              <w:rPr>
                <w:rFonts w:cs="Arial"/>
                <w:snapToGrid w:val="0"/>
              </w:rPr>
              <w:t>.</w:t>
            </w:r>
          </w:p>
        </w:tc>
      </w:tr>
      <w:tr w:rsidR="007D4EB4" w:rsidRPr="009A5185" w14:paraId="594DBDA6" w14:textId="77777777" w:rsidTr="00371FEA">
        <w:trPr>
          <w:trHeight w:val="5400"/>
          <w:jc w:val="center"/>
        </w:trPr>
        <w:tc>
          <w:tcPr>
            <w:tcW w:w="9562" w:type="dxa"/>
            <w:vAlign w:val="center"/>
          </w:tcPr>
          <w:p w14:paraId="6E141DE1" w14:textId="7833B448" w:rsidR="007D4EB4" w:rsidRPr="00B56FD2" w:rsidRDefault="007D4EB4" w:rsidP="00172407">
            <w:pPr>
              <w:rPr>
                <w:rFonts w:cs="Arial"/>
                <w:bCs/>
              </w:rPr>
            </w:pPr>
            <w:r w:rsidRPr="00B56FD2">
              <w:rPr>
                <w:rFonts w:cs="Arial"/>
                <w:b/>
              </w:rPr>
              <w:t xml:space="preserve">Medications: </w:t>
            </w:r>
            <w:r w:rsidRPr="00B56FD2">
              <w:rPr>
                <w:rFonts w:cs="Arial"/>
                <w:bCs/>
              </w:rPr>
              <w:t xml:space="preserve">For the purposes of this measure, a </w:t>
            </w:r>
            <w:r w:rsidRPr="00B56FD2">
              <w:rPr>
                <w:rFonts w:cs="Arial"/>
                <w:b/>
              </w:rPr>
              <w:t>medication</w:t>
            </w:r>
            <w:r w:rsidRPr="00B56FD2">
              <w:rPr>
                <w:rFonts w:cs="Arial"/>
                <w:bCs/>
              </w:rPr>
              <w:t xml:space="preserve"> is a substance that is taken into, or placed onto, the body of a person for one or more of the following reasons: </w:t>
            </w:r>
          </w:p>
          <w:p w14:paraId="14CB41EB" w14:textId="77777777" w:rsidR="007D4EB4" w:rsidRPr="00B56FD2" w:rsidRDefault="007D4EB4" w:rsidP="00AD309C">
            <w:pPr>
              <w:pStyle w:val="ListParagraph"/>
              <w:numPr>
                <w:ilvl w:val="0"/>
                <w:numId w:val="153"/>
              </w:numPr>
              <w:rPr>
                <w:rFonts w:cs="Arial"/>
                <w:bCs/>
              </w:rPr>
            </w:pPr>
            <w:r w:rsidRPr="00B56FD2">
              <w:rPr>
                <w:rFonts w:cs="Arial"/>
                <w:bCs/>
              </w:rPr>
              <w:t>as a placebo</w:t>
            </w:r>
          </w:p>
          <w:p w14:paraId="54AC8D8A" w14:textId="77777777" w:rsidR="007D4EB4" w:rsidRPr="00B56FD2" w:rsidRDefault="007D4EB4" w:rsidP="00AD309C">
            <w:pPr>
              <w:pStyle w:val="ListParagraph"/>
              <w:numPr>
                <w:ilvl w:val="0"/>
                <w:numId w:val="153"/>
              </w:numPr>
              <w:rPr>
                <w:rFonts w:cs="Arial"/>
                <w:bCs/>
              </w:rPr>
            </w:pPr>
            <w:r w:rsidRPr="00B56FD2">
              <w:rPr>
                <w:rFonts w:cs="Arial"/>
                <w:bCs/>
              </w:rPr>
              <w:t>to prevent a disease (e.g., flu vaccine)</w:t>
            </w:r>
          </w:p>
          <w:p w14:paraId="7ABED7AC" w14:textId="77777777" w:rsidR="007D4EB4" w:rsidRPr="00B56FD2" w:rsidRDefault="007D4EB4" w:rsidP="00AD309C">
            <w:pPr>
              <w:pStyle w:val="ListParagraph"/>
              <w:numPr>
                <w:ilvl w:val="0"/>
                <w:numId w:val="153"/>
              </w:numPr>
              <w:rPr>
                <w:rFonts w:cs="Arial"/>
                <w:bCs/>
              </w:rPr>
            </w:pPr>
            <w:r w:rsidRPr="00B56FD2">
              <w:rPr>
                <w:rFonts w:cs="Arial"/>
                <w:bCs/>
              </w:rPr>
              <w:t>to make a diagnosis (e.g., contrast dye)</w:t>
            </w:r>
          </w:p>
          <w:p w14:paraId="0664DAF2" w14:textId="77777777" w:rsidR="007D4EB4" w:rsidRPr="00B56FD2" w:rsidRDefault="007D4EB4" w:rsidP="00AD309C">
            <w:pPr>
              <w:pStyle w:val="ListParagraph"/>
              <w:numPr>
                <w:ilvl w:val="0"/>
                <w:numId w:val="153"/>
              </w:numPr>
              <w:rPr>
                <w:rFonts w:cs="Arial"/>
                <w:bCs/>
              </w:rPr>
            </w:pPr>
            <w:r w:rsidRPr="00B56FD2">
              <w:rPr>
                <w:rFonts w:cs="Arial"/>
                <w:bCs/>
              </w:rPr>
              <w:t>to test for the possibility of an adverse effect</w:t>
            </w:r>
          </w:p>
          <w:p w14:paraId="66303A52" w14:textId="5BF15224" w:rsidR="007D4EB4" w:rsidRPr="00B56FD2" w:rsidRDefault="007D4EB4" w:rsidP="00AD309C">
            <w:pPr>
              <w:pStyle w:val="ListParagraph"/>
              <w:numPr>
                <w:ilvl w:val="0"/>
                <w:numId w:val="153"/>
              </w:numPr>
              <w:rPr>
                <w:rFonts w:cs="Arial"/>
                <w:bCs/>
              </w:rPr>
            </w:pPr>
            <w:r w:rsidRPr="00B56FD2">
              <w:rPr>
                <w:rFonts w:cs="Arial"/>
                <w:bCs/>
              </w:rPr>
              <w:t>to modify a physiological, biochemical</w:t>
            </w:r>
            <w:r w:rsidR="00A44686">
              <w:rPr>
                <w:rFonts w:cs="Arial"/>
                <w:bCs/>
              </w:rPr>
              <w:t>,</w:t>
            </w:r>
            <w:r w:rsidRPr="00B56FD2">
              <w:rPr>
                <w:rFonts w:cs="Arial"/>
                <w:bCs/>
              </w:rPr>
              <w:t xml:space="preserve"> or anatomical function or abnormality (e.g., heparin/heparin flushes, statins, antihypertensives, etc.)</w:t>
            </w:r>
          </w:p>
          <w:p w14:paraId="633A55C5" w14:textId="77777777" w:rsidR="007D4EB4" w:rsidRPr="00B56FD2" w:rsidRDefault="007D4EB4" w:rsidP="00AD309C">
            <w:pPr>
              <w:pStyle w:val="ListParagraph"/>
              <w:numPr>
                <w:ilvl w:val="0"/>
                <w:numId w:val="153"/>
              </w:numPr>
              <w:rPr>
                <w:rFonts w:cs="Arial"/>
                <w:bCs/>
              </w:rPr>
            </w:pPr>
            <w:r w:rsidRPr="00B56FD2">
              <w:rPr>
                <w:rFonts w:cs="Arial"/>
                <w:bCs/>
              </w:rPr>
              <w:t>to replace a missing factor (e.g., blood product)</w:t>
            </w:r>
          </w:p>
          <w:p w14:paraId="4FF95BAE" w14:textId="77777777" w:rsidR="007D4EB4" w:rsidRPr="00B56FD2" w:rsidRDefault="007D4EB4" w:rsidP="00AD309C">
            <w:pPr>
              <w:pStyle w:val="ListParagraph"/>
              <w:numPr>
                <w:ilvl w:val="0"/>
                <w:numId w:val="153"/>
              </w:numPr>
              <w:rPr>
                <w:rFonts w:cs="Arial"/>
                <w:bCs/>
              </w:rPr>
            </w:pPr>
            <w:r w:rsidRPr="00B56FD2">
              <w:rPr>
                <w:rFonts w:cs="Arial"/>
                <w:bCs/>
              </w:rPr>
              <w:t>to ameliorate a symptom (e.g., aspirin)</w:t>
            </w:r>
          </w:p>
          <w:p w14:paraId="2C3EF861" w14:textId="77777777" w:rsidR="007D4EB4" w:rsidRPr="00B56FD2" w:rsidRDefault="007D4EB4" w:rsidP="00AD309C">
            <w:pPr>
              <w:pStyle w:val="ListParagraph"/>
              <w:numPr>
                <w:ilvl w:val="0"/>
                <w:numId w:val="153"/>
              </w:numPr>
              <w:rPr>
                <w:rFonts w:cs="Arial"/>
                <w:bCs/>
              </w:rPr>
            </w:pPr>
            <w:r w:rsidRPr="00B56FD2">
              <w:rPr>
                <w:rFonts w:cs="Arial"/>
                <w:bCs/>
              </w:rPr>
              <w:t xml:space="preserve">to treat a disease or condition (including topicals, nasal sprays, eye drops, compounds, inhalants, injectables, patches, etc.) </w:t>
            </w:r>
          </w:p>
          <w:p w14:paraId="06CB76BC" w14:textId="77777777" w:rsidR="007D4EB4" w:rsidRPr="00B56FD2" w:rsidRDefault="007D4EB4" w:rsidP="00AD309C">
            <w:pPr>
              <w:pStyle w:val="ListParagraph"/>
              <w:numPr>
                <w:ilvl w:val="0"/>
                <w:numId w:val="153"/>
              </w:numPr>
              <w:rPr>
                <w:rFonts w:cs="Arial"/>
                <w:bCs/>
              </w:rPr>
            </w:pPr>
            <w:r w:rsidRPr="00B56FD2">
              <w:rPr>
                <w:rFonts w:cs="Arial"/>
                <w:bCs/>
              </w:rPr>
              <w:t>to induce anesthesia</w:t>
            </w:r>
          </w:p>
          <w:p w14:paraId="4696C770" w14:textId="6688FCCF" w:rsidR="007D4EB4" w:rsidRPr="00B56FD2" w:rsidRDefault="007D4EB4" w:rsidP="00AD309C">
            <w:pPr>
              <w:pStyle w:val="ListParagraph"/>
              <w:numPr>
                <w:ilvl w:val="0"/>
                <w:numId w:val="153"/>
              </w:numPr>
              <w:rPr>
                <w:rFonts w:cs="Arial"/>
                <w:bCs/>
              </w:rPr>
            </w:pPr>
            <w:r w:rsidRPr="00B56FD2">
              <w:rPr>
                <w:rFonts w:cs="Arial"/>
                <w:bCs/>
              </w:rPr>
              <w:t xml:space="preserve">to stabilize or hydrate </w:t>
            </w:r>
            <w:r w:rsidR="00BA5976" w:rsidRPr="00B56FD2">
              <w:rPr>
                <w:rFonts w:cs="Arial"/>
                <w:bCs/>
              </w:rPr>
              <w:t>during</w:t>
            </w:r>
            <w:r w:rsidRPr="00B56FD2">
              <w:rPr>
                <w:rFonts w:cs="Arial"/>
                <w:bCs/>
              </w:rPr>
              <w:t xml:space="preserve"> medical treatment or procedures (e.g., IV fluids, normal saline, lactated ringers, etc.) </w:t>
            </w:r>
          </w:p>
          <w:p w14:paraId="216DF5EC" w14:textId="66737084" w:rsidR="007D4EB4" w:rsidRPr="00B56FD2" w:rsidRDefault="007D4EB4" w:rsidP="00AD309C">
            <w:pPr>
              <w:pStyle w:val="ListParagraph"/>
              <w:numPr>
                <w:ilvl w:val="0"/>
                <w:numId w:val="153"/>
              </w:numPr>
              <w:rPr>
                <w:rFonts w:cs="Arial"/>
                <w:bCs/>
              </w:rPr>
            </w:pPr>
            <w:r w:rsidRPr="00B56FD2">
              <w:rPr>
                <w:rFonts w:cs="Arial"/>
                <w:bCs/>
              </w:rPr>
              <w:t>to provide nutrition (e.g., enteral nutrition products, parenteral nutrition products, breast milk [breast milk applies to BCMA measure only])</w:t>
            </w:r>
          </w:p>
          <w:p w14:paraId="7E62A467" w14:textId="77777777" w:rsidR="007D4EB4" w:rsidRDefault="007D4EB4" w:rsidP="00AD309C">
            <w:pPr>
              <w:pStyle w:val="ListParagraph"/>
              <w:numPr>
                <w:ilvl w:val="0"/>
                <w:numId w:val="153"/>
              </w:numPr>
              <w:rPr>
                <w:rFonts w:cs="Arial"/>
                <w:bCs/>
              </w:rPr>
            </w:pPr>
            <w:r w:rsidRPr="00B56FD2">
              <w:rPr>
                <w:rFonts w:cs="Arial"/>
                <w:bCs/>
              </w:rPr>
              <w:t>as a supplement (e.g., iron for a patient with iron deficiency anemia or calcium/vitamin D for a patient with osteoporosis)</w:t>
            </w:r>
          </w:p>
          <w:p w14:paraId="25CB1077" w14:textId="77777777" w:rsidR="00A147FC" w:rsidRPr="009B2D5C" w:rsidRDefault="000C5EC3" w:rsidP="00172407">
            <w:pPr>
              <w:rPr>
                <w:rFonts w:cs="Arial"/>
                <w:bCs/>
              </w:rPr>
            </w:pPr>
            <w:r>
              <w:rPr>
                <w:rFonts w:cs="Arial"/>
                <w:bCs/>
              </w:rPr>
              <w:br/>
            </w:r>
            <w:r w:rsidR="00A147FC" w:rsidRPr="009B2D5C">
              <w:rPr>
                <w:rFonts w:cs="Arial"/>
                <w:bCs/>
              </w:rPr>
              <w:t xml:space="preserve">For the purposes of this measure, the following are </w:t>
            </w:r>
            <w:r w:rsidR="00A147FC" w:rsidRPr="009B2D5C">
              <w:rPr>
                <w:rFonts w:cs="Arial"/>
                <w:b/>
                <w:u w:val="single"/>
              </w:rPr>
              <w:t>not</w:t>
            </w:r>
            <w:r w:rsidR="00A147FC" w:rsidRPr="009B2D5C">
              <w:rPr>
                <w:rFonts w:cs="Arial"/>
                <w:bCs/>
              </w:rPr>
              <w:t xml:space="preserve"> considered medications: </w:t>
            </w:r>
          </w:p>
          <w:p w14:paraId="0D16DBC8" w14:textId="5BC83A10" w:rsidR="00B04A67" w:rsidRDefault="00A147FC" w:rsidP="00AD309C">
            <w:pPr>
              <w:pStyle w:val="ListParagraph"/>
              <w:numPr>
                <w:ilvl w:val="0"/>
                <w:numId w:val="175"/>
              </w:numPr>
              <w:rPr>
                <w:rFonts w:cs="Arial"/>
                <w:bCs/>
              </w:rPr>
            </w:pPr>
            <w:r w:rsidRPr="009B2D5C">
              <w:rPr>
                <w:rFonts w:cs="Arial"/>
                <w:bCs/>
              </w:rPr>
              <w:t>Pre-filled saline flushes and pre-filled heparin flushes</w:t>
            </w:r>
            <w:r w:rsidR="00B04A67">
              <w:rPr>
                <w:rFonts w:cs="Arial"/>
                <w:bCs/>
              </w:rPr>
              <w:t xml:space="preserve"> </w:t>
            </w:r>
            <w:r w:rsidR="00B04A67" w:rsidRPr="002E0EA8">
              <w:rPr>
                <w:rFonts w:cs="Arial"/>
                <w:bCs/>
              </w:rPr>
              <w:t>(i.e., saline and heparin flushes that come from the manufacturer already filled and are not filled by the hospital’s pharmacy)</w:t>
            </w:r>
          </w:p>
          <w:p w14:paraId="40FA4F8D" w14:textId="77777777" w:rsidR="00B04A67" w:rsidRPr="009B2D5C" w:rsidRDefault="00B04A67" w:rsidP="00AD309C">
            <w:pPr>
              <w:pStyle w:val="ListParagraph"/>
              <w:numPr>
                <w:ilvl w:val="0"/>
                <w:numId w:val="175"/>
              </w:numPr>
              <w:rPr>
                <w:rFonts w:cs="Arial"/>
                <w:bCs/>
              </w:rPr>
            </w:pPr>
            <w:r w:rsidRPr="009B2D5C">
              <w:rPr>
                <w:rFonts w:cs="Arial"/>
              </w:rPr>
              <w:t>Chlorhexidine and alcohol preparation pads</w:t>
            </w:r>
          </w:p>
          <w:p w14:paraId="7B2BC5BC" w14:textId="5DCAA5C8" w:rsidR="000C5EC3" w:rsidRPr="00172407" w:rsidRDefault="00B04A67" w:rsidP="00AD309C">
            <w:pPr>
              <w:pStyle w:val="ListParagraph"/>
              <w:numPr>
                <w:ilvl w:val="0"/>
                <w:numId w:val="175"/>
              </w:numPr>
              <w:rPr>
                <w:rFonts w:cs="Arial"/>
                <w:bCs/>
              </w:rPr>
            </w:pPr>
            <w:r>
              <w:rPr>
                <w:rFonts w:cs="Arial"/>
                <w:bCs/>
              </w:rPr>
              <w:t>Intra-op irrigation solutions</w:t>
            </w:r>
          </w:p>
        </w:tc>
      </w:tr>
      <w:tr w:rsidR="00BE5587" w:rsidRPr="009A5185" w14:paraId="3FC8BE4F" w14:textId="77777777" w:rsidTr="00B8601F">
        <w:trPr>
          <w:trHeight w:val="20"/>
          <w:jc w:val="center"/>
        </w:trPr>
        <w:tc>
          <w:tcPr>
            <w:tcW w:w="9562" w:type="dxa"/>
            <w:vAlign w:val="center"/>
          </w:tcPr>
          <w:p w14:paraId="7AD4723F" w14:textId="3AC90550" w:rsidR="0014574C" w:rsidRPr="009A5185" w:rsidRDefault="00BE5587" w:rsidP="00172407">
            <w:pPr>
              <w:rPr>
                <w:rFonts w:cs="Arial"/>
                <w:snapToGrid w:val="0"/>
              </w:rPr>
            </w:pPr>
            <w:r w:rsidRPr="009A5185">
              <w:rPr>
                <w:rFonts w:cs="Arial"/>
                <w:b/>
                <w:bCs/>
              </w:rPr>
              <w:t xml:space="preserve">Question </w:t>
            </w:r>
            <w:r w:rsidR="009E1D23">
              <w:rPr>
                <w:rFonts w:cs="Arial"/>
                <w:b/>
                <w:bCs/>
              </w:rPr>
              <w:t>#</w:t>
            </w:r>
            <w:r w:rsidRPr="009A5185">
              <w:rPr>
                <w:rFonts w:cs="Arial"/>
                <w:b/>
                <w:bCs/>
              </w:rPr>
              <w:t xml:space="preserve">3 (denominator): </w:t>
            </w:r>
            <w:r w:rsidR="00B053C5" w:rsidRPr="009A5185">
              <w:rPr>
                <w:rFonts w:cs="Arial"/>
                <w:bCs/>
              </w:rPr>
              <w:t xml:space="preserve">Total number of </w:t>
            </w:r>
            <w:r w:rsidR="0014574C" w:rsidRPr="009A5185">
              <w:rPr>
                <w:rFonts w:cs="Arial"/>
                <w:lang w:eastAsia="ja-JP"/>
              </w:rPr>
              <w:t xml:space="preserve">inpatient medication orders, </w:t>
            </w:r>
            <w:r w:rsidR="0014574C" w:rsidRPr="009A5185">
              <w:rPr>
                <w:rFonts w:cs="Arial"/>
                <w:snapToGrid w:val="0"/>
              </w:rPr>
              <w:t xml:space="preserve">including </w:t>
            </w:r>
            <w:r w:rsidR="0016004E">
              <w:rPr>
                <w:rFonts w:cs="Arial"/>
                <w:snapToGrid w:val="0"/>
              </w:rPr>
              <w:t xml:space="preserve">medication </w:t>
            </w:r>
            <w:r w:rsidR="0014574C" w:rsidRPr="009A5185">
              <w:rPr>
                <w:rFonts w:cs="Arial"/>
                <w:snapToGrid w:val="0"/>
              </w:rPr>
              <w:t xml:space="preserve">orders made in </w:t>
            </w:r>
            <w:r w:rsidR="009D481F">
              <w:rPr>
                <w:rFonts w:cs="Arial"/>
                <w:snapToGrid w:val="0"/>
              </w:rPr>
              <w:t xml:space="preserve">inpatient </w:t>
            </w:r>
            <w:r w:rsidR="0014574C" w:rsidRPr="009A5185">
              <w:rPr>
                <w:rFonts w:cs="Arial"/>
                <w:snapToGrid w:val="0"/>
              </w:rPr>
              <w:t xml:space="preserve">units </w:t>
            </w:r>
            <w:r w:rsidR="00E015F3">
              <w:rPr>
                <w:rFonts w:cs="Arial"/>
                <w:snapToGrid w:val="0"/>
              </w:rPr>
              <w:t>that</w:t>
            </w:r>
            <w:r w:rsidR="0014574C" w:rsidRPr="009A5185">
              <w:rPr>
                <w:rFonts w:cs="Arial"/>
                <w:snapToGrid w:val="0"/>
              </w:rPr>
              <w:t xml:space="preserve"> do NOT have a functioning CPOE system</w:t>
            </w:r>
            <w:r w:rsidR="0081144B" w:rsidRPr="009A5185">
              <w:rPr>
                <w:rFonts w:cs="Arial"/>
                <w:snapToGrid w:val="0"/>
              </w:rPr>
              <w:t xml:space="preserve">. </w:t>
            </w:r>
          </w:p>
          <w:p w14:paraId="432FE7C1" w14:textId="77777777" w:rsidR="0014574C" w:rsidRPr="007A60D4" w:rsidRDefault="0014574C" w:rsidP="00172407">
            <w:pPr>
              <w:rPr>
                <w:rFonts w:cs="Arial"/>
                <w:snapToGrid w:val="0"/>
                <w:sz w:val="16"/>
                <w:szCs w:val="16"/>
              </w:rPr>
            </w:pPr>
          </w:p>
          <w:p w14:paraId="1FDA9D2C" w14:textId="77777777" w:rsidR="0014574C" w:rsidRPr="009A5185" w:rsidRDefault="0013687D" w:rsidP="00172407">
            <w:pPr>
              <w:rPr>
                <w:rFonts w:cs="Arial"/>
                <w:snapToGrid w:val="0"/>
              </w:rPr>
            </w:pPr>
            <w:r>
              <w:rPr>
                <w:rFonts w:cs="Arial"/>
                <w:b/>
                <w:snapToGrid w:val="0"/>
              </w:rPr>
              <w:t>Include:</w:t>
            </w:r>
          </w:p>
          <w:p w14:paraId="20CC7475" w14:textId="48ED29FD" w:rsidR="0014574C" w:rsidRPr="00FA5679" w:rsidRDefault="0016004E" w:rsidP="00AD309C">
            <w:pPr>
              <w:pStyle w:val="ListParagraph"/>
              <w:numPr>
                <w:ilvl w:val="0"/>
                <w:numId w:val="85"/>
              </w:numPr>
              <w:rPr>
                <w:rFonts w:cs="Arial"/>
                <w:snapToGrid w:val="0"/>
              </w:rPr>
            </w:pPr>
            <w:r>
              <w:rPr>
                <w:rFonts w:cs="Arial"/>
                <w:snapToGrid w:val="0"/>
              </w:rPr>
              <w:t>Medications ordered</w:t>
            </w:r>
            <w:r w:rsidR="0014574C" w:rsidRPr="00155B0B">
              <w:rPr>
                <w:rFonts w:cs="Arial"/>
                <w:snapToGrid w:val="0"/>
              </w:rPr>
              <w:t xml:space="preserve"> for</w:t>
            </w:r>
            <w:r w:rsidR="00155B0B">
              <w:rPr>
                <w:rFonts w:cs="Arial"/>
                <w:snapToGrid w:val="0"/>
              </w:rPr>
              <w:t xml:space="preserve"> </w:t>
            </w:r>
            <w:r w:rsidRPr="00C540B0">
              <w:rPr>
                <w:rFonts w:cs="Arial"/>
                <w:b/>
                <w:bCs/>
                <w:snapToGrid w:val="0"/>
              </w:rPr>
              <w:t>any patient</w:t>
            </w:r>
            <w:r w:rsidR="00155B0B" w:rsidRPr="00C540B0">
              <w:rPr>
                <w:rFonts w:cs="Arial"/>
                <w:b/>
                <w:bCs/>
                <w:snapToGrid w:val="0"/>
              </w:rPr>
              <w:t xml:space="preserve"> with an</w:t>
            </w:r>
            <w:r w:rsidR="0014574C" w:rsidRPr="00C540B0">
              <w:rPr>
                <w:rFonts w:cs="Arial"/>
                <w:b/>
                <w:bCs/>
                <w:snapToGrid w:val="0"/>
              </w:rPr>
              <w:t xml:space="preserve"> inpatient</w:t>
            </w:r>
            <w:r w:rsidR="00155B0B" w:rsidRPr="00C540B0">
              <w:rPr>
                <w:rFonts w:cs="Arial"/>
                <w:b/>
                <w:bCs/>
                <w:snapToGrid w:val="0"/>
              </w:rPr>
              <w:t xml:space="preserve"> status</w:t>
            </w:r>
            <w:r w:rsidR="00155B0B">
              <w:rPr>
                <w:rFonts w:cs="Arial"/>
                <w:snapToGrid w:val="0"/>
              </w:rPr>
              <w:t>, including those with an inpatient status</w:t>
            </w:r>
            <w:r w:rsidR="0014574C" w:rsidRPr="00155B0B">
              <w:rPr>
                <w:rFonts w:cs="Arial"/>
                <w:snapToGrid w:val="0"/>
              </w:rPr>
              <w:t xml:space="preserve"> who may be in an outpatient unit durin</w:t>
            </w:r>
            <w:r w:rsidR="0081144B" w:rsidRPr="00155B0B">
              <w:rPr>
                <w:rFonts w:cs="Arial"/>
                <w:snapToGrid w:val="0"/>
              </w:rPr>
              <w:t xml:space="preserve">g an </w:t>
            </w:r>
            <w:r>
              <w:rPr>
                <w:rFonts w:cs="Arial"/>
                <w:snapToGrid w:val="0"/>
              </w:rPr>
              <w:t>overflow situation</w:t>
            </w:r>
            <w:r w:rsidR="000B24F8" w:rsidRPr="009C2421">
              <w:rPr>
                <w:rFonts w:cs="Arial"/>
                <w:snapToGrid w:val="0"/>
              </w:rPr>
              <w:t>.</w:t>
            </w:r>
          </w:p>
          <w:p w14:paraId="5E9C6D51" w14:textId="77777777" w:rsidR="0016004E" w:rsidRPr="000B24F8" w:rsidRDefault="0016004E" w:rsidP="00AD309C">
            <w:pPr>
              <w:pStyle w:val="ListParagraph"/>
              <w:numPr>
                <w:ilvl w:val="0"/>
                <w:numId w:val="85"/>
              </w:numPr>
              <w:rPr>
                <w:rFonts w:cs="Arial"/>
                <w:snapToGrid w:val="0"/>
              </w:rPr>
            </w:pPr>
            <w:r w:rsidRPr="000B24F8">
              <w:rPr>
                <w:rFonts w:cs="Arial"/>
                <w:snapToGrid w:val="0"/>
              </w:rPr>
              <w:t xml:space="preserve">Medications ordered for any </w:t>
            </w:r>
            <w:r w:rsidR="00C47665" w:rsidRPr="000B24F8">
              <w:rPr>
                <w:rFonts w:cs="Arial"/>
                <w:snapToGrid w:val="0"/>
              </w:rPr>
              <w:t>n</w:t>
            </w:r>
            <w:r w:rsidR="00D217B6" w:rsidRPr="000B24F8">
              <w:rPr>
                <w:rFonts w:cs="Arial"/>
                <w:snapToGrid w:val="0"/>
              </w:rPr>
              <w:t xml:space="preserve">eonatal </w:t>
            </w:r>
            <w:r w:rsidRPr="000B24F8">
              <w:rPr>
                <w:rFonts w:cs="Arial"/>
                <w:snapToGrid w:val="0"/>
              </w:rPr>
              <w:t>ICU patient.</w:t>
            </w:r>
          </w:p>
          <w:p w14:paraId="321A9AD6" w14:textId="77777777" w:rsidR="002E7564" w:rsidRPr="00D217B6" w:rsidRDefault="0016004E" w:rsidP="00AD309C">
            <w:pPr>
              <w:pStyle w:val="ListParagraph"/>
              <w:numPr>
                <w:ilvl w:val="0"/>
                <w:numId w:val="85"/>
              </w:numPr>
              <w:rPr>
                <w:rFonts w:cs="Arial"/>
                <w:snapToGrid w:val="0"/>
              </w:rPr>
            </w:pPr>
            <w:r w:rsidRPr="00D217B6">
              <w:rPr>
                <w:rFonts w:cs="Arial"/>
                <w:snapToGrid w:val="0"/>
              </w:rPr>
              <w:t>Medications</w:t>
            </w:r>
            <w:r w:rsidR="00A01039" w:rsidRPr="00D217B6">
              <w:rPr>
                <w:rFonts w:cs="Arial"/>
                <w:snapToGrid w:val="0"/>
              </w:rPr>
              <w:t xml:space="preserve"> or</w:t>
            </w:r>
            <w:r w:rsidRPr="00D217B6">
              <w:rPr>
                <w:rFonts w:cs="Arial"/>
                <w:snapToGrid w:val="0"/>
              </w:rPr>
              <w:t>dered</w:t>
            </w:r>
            <w:r w:rsidR="002E7564" w:rsidRPr="00D217B6">
              <w:rPr>
                <w:rFonts w:cs="Arial"/>
                <w:snapToGrid w:val="0"/>
              </w:rPr>
              <w:t xml:space="preserve"> by</w:t>
            </w:r>
            <w:r w:rsidR="00155B0B" w:rsidRPr="00D217B6">
              <w:rPr>
                <w:rFonts w:cs="Arial"/>
                <w:snapToGrid w:val="0"/>
              </w:rPr>
              <w:t xml:space="preserve"> </w:t>
            </w:r>
            <w:r w:rsidR="00D217B6" w:rsidRPr="00D217B6">
              <w:rPr>
                <w:rFonts w:cs="Arial"/>
                <w:b/>
                <w:snapToGrid w:val="0"/>
              </w:rPr>
              <w:t>any individual</w:t>
            </w:r>
            <w:r w:rsidR="00D217B6" w:rsidRPr="00B97B9B">
              <w:rPr>
                <w:rFonts w:cs="Arial"/>
                <w:snapToGrid w:val="0"/>
              </w:rPr>
              <w:t>,</w:t>
            </w:r>
            <w:r w:rsidR="00D217B6" w:rsidRPr="00D217B6">
              <w:rPr>
                <w:rFonts w:cs="Arial"/>
                <w:b/>
                <w:snapToGrid w:val="0"/>
              </w:rPr>
              <w:t xml:space="preserve"> </w:t>
            </w:r>
            <w:r w:rsidR="00D217B6" w:rsidRPr="00D217B6">
              <w:rPr>
                <w:rFonts w:cs="Arial"/>
                <w:snapToGrid w:val="0"/>
              </w:rPr>
              <w:t xml:space="preserve">including </w:t>
            </w:r>
            <w:r w:rsidR="00D217B6">
              <w:rPr>
                <w:rFonts w:cs="Arial"/>
                <w:snapToGrid w:val="0"/>
              </w:rPr>
              <w:t>nurses and pharmacists.</w:t>
            </w:r>
            <w:r w:rsidR="00D217B6" w:rsidRPr="00D217B6">
              <w:rPr>
                <w:rFonts w:cs="Arial"/>
                <w:snapToGrid w:val="0"/>
              </w:rPr>
              <w:t xml:space="preserve"> </w:t>
            </w:r>
          </w:p>
          <w:p w14:paraId="41B2D87C" w14:textId="09201B8E" w:rsidR="0014574C" w:rsidRDefault="0016004E" w:rsidP="00AD309C">
            <w:pPr>
              <w:pStyle w:val="ListParagraph"/>
              <w:numPr>
                <w:ilvl w:val="0"/>
                <w:numId w:val="85"/>
              </w:numPr>
              <w:rPr>
                <w:rFonts w:cs="Arial"/>
                <w:snapToGrid w:val="0"/>
              </w:rPr>
            </w:pPr>
            <w:r>
              <w:rPr>
                <w:rFonts w:cs="Arial"/>
                <w:snapToGrid w:val="0"/>
              </w:rPr>
              <w:t>Medications ordered</w:t>
            </w:r>
            <w:r w:rsidR="00D217B6">
              <w:rPr>
                <w:rFonts w:cs="Arial"/>
                <w:snapToGrid w:val="0"/>
              </w:rPr>
              <w:t xml:space="preserve"> </w:t>
            </w:r>
            <w:r w:rsidR="00155B0B">
              <w:rPr>
                <w:rFonts w:cs="Arial"/>
                <w:snapToGrid w:val="0"/>
              </w:rPr>
              <w:t xml:space="preserve">electronically, </w:t>
            </w:r>
            <w:r w:rsidR="008E3337" w:rsidRPr="002F266A">
              <w:rPr>
                <w:rFonts w:cs="Arial"/>
                <w:snapToGrid w:val="0"/>
              </w:rPr>
              <w:t xml:space="preserve">via </w:t>
            </w:r>
            <w:r w:rsidR="0021491F" w:rsidRPr="002F266A">
              <w:rPr>
                <w:rFonts w:eastAsia="Arial" w:cs="Arial"/>
              </w:rPr>
              <w:t>a secure texting platform</w:t>
            </w:r>
            <w:r w:rsidR="008E3337" w:rsidRPr="002F266A">
              <w:rPr>
                <w:rFonts w:cs="Arial"/>
                <w:snapToGrid w:val="0"/>
              </w:rPr>
              <w:t xml:space="preserve">, </w:t>
            </w:r>
            <w:r w:rsidR="00155B0B" w:rsidRPr="002F266A">
              <w:rPr>
                <w:rFonts w:cs="Arial"/>
                <w:snapToGrid w:val="0"/>
              </w:rPr>
              <w:t xml:space="preserve">verbally or </w:t>
            </w:r>
            <w:r w:rsidR="00155B0B">
              <w:rPr>
                <w:rFonts w:cs="Arial"/>
                <w:snapToGrid w:val="0"/>
              </w:rPr>
              <w:t>via paper.</w:t>
            </w:r>
          </w:p>
          <w:p w14:paraId="2C83834A" w14:textId="47944A34" w:rsidR="00E26493" w:rsidRPr="00E26493" w:rsidRDefault="00E26493" w:rsidP="00AD309C">
            <w:pPr>
              <w:pStyle w:val="ListParagraph"/>
              <w:numPr>
                <w:ilvl w:val="0"/>
                <w:numId w:val="85"/>
              </w:numPr>
              <w:rPr>
                <w:rFonts w:cs="Arial"/>
                <w:snapToGrid w:val="0"/>
              </w:rPr>
            </w:pPr>
            <w:r>
              <w:rPr>
                <w:rFonts w:cs="Arial"/>
                <w:snapToGrid w:val="0"/>
              </w:rPr>
              <w:t>Medications ordered verbally during a rapid response (prevention of serious injury, cardiac arrest, and respiratory arrest).</w:t>
            </w:r>
          </w:p>
          <w:p w14:paraId="0527F799" w14:textId="77777777" w:rsidR="0014574C" w:rsidRPr="009A5185" w:rsidRDefault="0013687D" w:rsidP="00172407">
            <w:pPr>
              <w:spacing w:before="120"/>
              <w:rPr>
                <w:rFonts w:cs="Arial"/>
                <w:lang w:eastAsia="ja-JP"/>
              </w:rPr>
            </w:pPr>
            <w:r>
              <w:rPr>
                <w:rFonts w:cs="Arial"/>
                <w:b/>
                <w:lang w:eastAsia="ja-JP"/>
              </w:rPr>
              <w:t>Exclude</w:t>
            </w:r>
            <w:r w:rsidR="0014574C" w:rsidRPr="009A5185">
              <w:rPr>
                <w:rFonts w:cs="Arial"/>
                <w:lang w:eastAsia="ja-JP"/>
              </w:rPr>
              <w:t xml:space="preserve">: </w:t>
            </w:r>
          </w:p>
          <w:p w14:paraId="6952674B" w14:textId="1E37D7A3" w:rsidR="0016004E" w:rsidRPr="00155B0B" w:rsidRDefault="0016004E" w:rsidP="00AD309C">
            <w:pPr>
              <w:pStyle w:val="ListParagraph"/>
              <w:numPr>
                <w:ilvl w:val="0"/>
                <w:numId w:val="86"/>
              </w:numPr>
              <w:rPr>
                <w:rFonts w:cs="Arial"/>
              </w:rPr>
            </w:pPr>
            <w:r w:rsidRPr="00155B0B">
              <w:rPr>
                <w:rFonts w:cs="Arial"/>
                <w:lang w:eastAsia="ja-JP"/>
              </w:rPr>
              <w:t>Medication</w:t>
            </w:r>
            <w:r>
              <w:rPr>
                <w:rFonts w:cs="Arial"/>
                <w:lang w:eastAsia="ja-JP"/>
              </w:rPr>
              <w:t>s ordered</w:t>
            </w:r>
            <w:r w:rsidRPr="00155B0B">
              <w:rPr>
                <w:rFonts w:cs="Arial"/>
                <w:lang w:eastAsia="ja-JP"/>
              </w:rPr>
              <w:t xml:space="preserve"> for </w:t>
            </w:r>
            <w:r>
              <w:rPr>
                <w:rFonts w:cs="Arial"/>
                <w:lang w:eastAsia="ja-JP"/>
              </w:rPr>
              <w:t>any newborn</w:t>
            </w:r>
            <w:r w:rsidRPr="00155B0B">
              <w:rPr>
                <w:rFonts w:cs="Arial"/>
                <w:lang w:eastAsia="ja-JP"/>
              </w:rPr>
              <w:t xml:space="preserve"> </w:t>
            </w:r>
            <w:r>
              <w:rPr>
                <w:rFonts w:cs="Arial"/>
                <w:lang w:eastAsia="ja-JP"/>
              </w:rPr>
              <w:t>in a nursery</w:t>
            </w:r>
            <w:r w:rsidR="00237325">
              <w:rPr>
                <w:rFonts w:cs="Arial"/>
                <w:lang w:eastAsia="ja-JP"/>
              </w:rPr>
              <w:t xml:space="preserve"> or mother’s room</w:t>
            </w:r>
            <w:r w:rsidR="00D54C9A">
              <w:rPr>
                <w:rFonts w:cs="Arial"/>
                <w:lang w:eastAsia="ja-JP"/>
              </w:rPr>
              <w:t>.</w:t>
            </w:r>
          </w:p>
          <w:p w14:paraId="1951A9BA" w14:textId="75B075FB" w:rsidR="0014574C" w:rsidRDefault="0075563C" w:rsidP="00AD309C">
            <w:pPr>
              <w:pStyle w:val="ListParagraph"/>
              <w:numPr>
                <w:ilvl w:val="0"/>
                <w:numId w:val="86"/>
              </w:numPr>
              <w:rPr>
                <w:rFonts w:cs="Arial"/>
                <w:lang w:eastAsia="ja-JP"/>
              </w:rPr>
            </w:pPr>
            <w:r>
              <w:rPr>
                <w:rFonts w:cs="Arial"/>
                <w:lang w:eastAsia="ja-JP"/>
              </w:rPr>
              <w:lastRenderedPageBreak/>
              <w:t>New m</w:t>
            </w:r>
            <w:r w:rsidR="0014574C" w:rsidRPr="00155B0B">
              <w:rPr>
                <w:rFonts w:cs="Arial"/>
                <w:lang w:eastAsia="ja-JP"/>
              </w:rPr>
              <w:t>edication</w:t>
            </w:r>
            <w:r w:rsidR="0016004E">
              <w:rPr>
                <w:rFonts w:cs="Arial"/>
                <w:lang w:eastAsia="ja-JP"/>
              </w:rPr>
              <w:t xml:space="preserve"> orders</w:t>
            </w:r>
            <w:r w:rsidR="0014574C" w:rsidRPr="00155B0B">
              <w:rPr>
                <w:rFonts w:cs="Arial"/>
                <w:lang w:eastAsia="ja-JP"/>
              </w:rPr>
              <w:t xml:space="preserve"> that have been modified from the original order but maintain the in</w:t>
            </w:r>
            <w:r w:rsidR="009D481F">
              <w:rPr>
                <w:rFonts w:cs="Arial"/>
                <w:lang w:eastAsia="ja-JP"/>
              </w:rPr>
              <w:t>tent of the original order (e.g.,</w:t>
            </w:r>
            <w:r w:rsidR="0014574C" w:rsidRPr="00155B0B">
              <w:rPr>
                <w:rFonts w:cs="Arial"/>
                <w:lang w:eastAsia="ja-JP"/>
              </w:rPr>
              <w:t xml:space="preserve"> </w:t>
            </w:r>
            <w:r w:rsidR="0013687D">
              <w:rPr>
                <w:rFonts w:cs="Arial"/>
                <w:lang w:eastAsia="ja-JP"/>
              </w:rPr>
              <w:t xml:space="preserve">“new” medication orders generated when a </w:t>
            </w:r>
            <w:r w:rsidR="0014574C" w:rsidRPr="00155B0B">
              <w:rPr>
                <w:rFonts w:cs="Arial"/>
                <w:lang w:eastAsia="ja-JP"/>
              </w:rPr>
              <w:t>dose, route, frequency</w:t>
            </w:r>
            <w:r w:rsidR="00A44686">
              <w:rPr>
                <w:rFonts w:cs="Arial"/>
                <w:lang w:eastAsia="ja-JP"/>
              </w:rPr>
              <w:t>,</w:t>
            </w:r>
            <w:r w:rsidR="0014574C" w:rsidRPr="00155B0B">
              <w:rPr>
                <w:rFonts w:cs="Arial"/>
                <w:lang w:eastAsia="ja-JP"/>
              </w:rPr>
              <w:t xml:space="preserve"> </w:t>
            </w:r>
            <w:r w:rsidR="0081144B" w:rsidRPr="00155B0B">
              <w:rPr>
                <w:rFonts w:cs="Arial"/>
                <w:lang w:eastAsia="ja-JP"/>
              </w:rPr>
              <w:t>or brand</w:t>
            </w:r>
            <w:r w:rsidR="0013687D">
              <w:rPr>
                <w:rFonts w:cs="Arial"/>
                <w:lang w:eastAsia="ja-JP"/>
              </w:rPr>
              <w:t xml:space="preserve"> are changed).</w:t>
            </w:r>
          </w:p>
          <w:p w14:paraId="185D3E45" w14:textId="75F66D86" w:rsidR="0013687D" w:rsidRDefault="0013687D" w:rsidP="00AD309C">
            <w:pPr>
              <w:pStyle w:val="ListParagraph"/>
              <w:numPr>
                <w:ilvl w:val="0"/>
                <w:numId w:val="86"/>
              </w:numPr>
              <w:spacing w:after="120"/>
              <w:rPr>
                <w:rFonts w:cs="Arial"/>
              </w:rPr>
            </w:pPr>
            <w:r>
              <w:rPr>
                <w:rFonts w:cs="Arial"/>
                <w:lang w:eastAsia="ja-JP"/>
              </w:rPr>
              <w:t>M</w:t>
            </w:r>
            <w:r w:rsidR="009D481F">
              <w:rPr>
                <w:rFonts w:cs="Arial"/>
                <w:lang w:eastAsia="ja-JP"/>
              </w:rPr>
              <w:t>edication</w:t>
            </w:r>
            <w:r>
              <w:rPr>
                <w:rFonts w:cs="Arial"/>
                <w:lang w:eastAsia="ja-JP"/>
              </w:rPr>
              <w:t>s ordered verbally during a “code</w:t>
            </w:r>
            <w:r w:rsidR="00682010">
              <w:rPr>
                <w:rFonts w:cs="Arial"/>
                <w:lang w:eastAsia="ja-JP"/>
              </w:rPr>
              <w:t xml:space="preserve"> blue” (i.e., medication</w:t>
            </w:r>
            <w:r w:rsidR="00A34FE8">
              <w:rPr>
                <w:rFonts w:cs="Arial"/>
                <w:lang w:eastAsia="ja-JP"/>
              </w:rPr>
              <w:t xml:space="preserve">s ordered verbally </w:t>
            </w:r>
            <w:r w:rsidR="00682010">
              <w:rPr>
                <w:rFonts w:cs="Arial"/>
                <w:lang w:eastAsia="ja-JP"/>
              </w:rPr>
              <w:t>when a patient requires</w:t>
            </w:r>
            <w:r w:rsidR="00682010" w:rsidRPr="00682010">
              <w:rPr>
                <w:rFonts w:cs="Arial"/>
                <w:lang w:eastAsia="ja-JP"/>
              </w:rPr>
              <w:t xml:space="preserve"> resuscitation or </w:t>
            </w:r>
            <w:r w:rsidR="00E725B5">
              <w:rPr>
                <w:rFonts w:cs="Arial"/>
                <w:lang w:eastAsia="ja-JP"/>
              </w:rPr>
              <w:t>needs</w:t>
            </w:r>
            <w:r w:rsidR="00682010" w:rsidRPr="00682010">
              <w:rPr>
                <w:rFonts w:cs="Arial"/>
                <w:lang w:eastAsia="ja-JP"/>
              </w:rPr>
              <w:t xml:space="preserve"> immediate medical attention, most often as the result of a respi</w:t>
            </w:r>
            <w:r w:rsidR="000A4FD9">
              <w:rPr>
                <w:rFonts w:cs="Arial"/>
                <w:lang w:eastAsia="ja-JP"/>
              </w:rPr>
              <w:t>ratory arrest or cardiac arrest</w:t>
            </w:r>
            <w:r>
              <w:rPr>
                <w:rFonts w:cs="Arial"/>
                <w:lang w:eastAsia="ja-JP"/>
              </w:rPr>
              <w:t xml:space="preserve">). </w:t>
            </w:r>
          </w:p>
          <w:p w14:paraId="6CE8F340" w14:textId="49EC48DA" w:rsidR="00237325" w:rsidRPr="00211D8D" w:rsidRDefault="007E45FA" w:rsidP="00AD309C">
            <w:pPr>
              <w:pStyle w:val="ListParagraph"/>
              <w:numPr>
                <w:ilvl w:val="0"/>
                <w:numId w:val="86"/>
              </w:numPr>
              <w:spacing w:after="120"/>
              <w:rPr>
                <w:rFonts w:cs="Arial"/>
              </w:rPr>
            </w:pPr>
            <w:r>
              <w:rPr>
                <w:rFonts w:cs="Arial"/>
                <w:lang w:eastAsia="ja-JP"/>
              </w:rPr>
              <w:t>Medications ordered in an operating room or procedur</w:t>
            </w:r>
            <w:r w:rsidR="00504A9D">
              <w:rPr>
                <w:rFonts w:cs="Arial"/>
                <w:lang w:eastAsia="ja-JP"/>
              </w:rPr>
              <w:t>al</w:t>
            </w:r>
            <w:r>
              <w:rPr>
                <w:rFonts w:cs="Arial"/>
                <w:lang w:eastAsia="ja-JP"/>
              </w:rPr>
              <w:t xml:space="preserve"> area.</w:t>
            </w:r>
          </w:p>
        </w:tc>
      </w:tr>
      <w:tr w:rsidR="00BE5587" w:rsidRPr="009A5185" w14:paraId="416295B4" w14:textId="77777777" w:rsidTr="00371FEA">
        <w:trPr>
          <w:trHeight w:val="6048"/>
          <w:jc w:val="center"/>
        </w:trPr>
        <w:tc>
          <w:tcPr>
            <w:tcW w:w="9562" w:type="dxa"/>
            <w:vAlign w:val="center"/>
          </w:tcPr>
          <w:p w14:paraId="1339B172" w14:textId="36341695" w:rsidR="0095599A" w:rsidRPr="00A25B79" w:rsidRDefault="00BE5587" w:rsidP="00172407">
            <w:pPr>
              <w:rPr>
                <w:rFonts w:cs="Arial"/>
                <w:snapToGrid w:val="0"/>
              </w:rPr>
            </w:pPr>
            <w:r w:rsidRPr="00A25B79">
              <w:rPr>
                <w:rFonts w:cs="Arial"/>
                <w:b/>
                <w:bCs/>
              </w:rPr>
              <w:lastRenderedPageBreak/>
              <w:t xml:space="preserve">Question </w:t>
            </w:r>
            <w:r w:rsidR="009E1D23">
              <w:rPr>
                <w:rFonts w:cs="Arial"/>
                <w:b/>
                <w:bCs/>
              </w:rPr>
              <w:t>#</w:t>
            </w:r>
            <w:r w:rsidRPr="00A25B79">
              <w:rPr>
                <w:rFonts w:cs="Arial"/>
                <w:b/>
                <w:bCs/>
              </w:rPr>
              <w:t xml:space="preserve">4 (numerator): </w:t>
            </w:r>
            <w:r w:rsidR="00371FEA">
              <w:rPr>
                <w:rFonts w:cs="Arial"/>
                <w:b/>
                <w:bCs/>
              </w:rPr>
              <w:t xml:space="preserve">Total number of inpatient medication orders in question #3 that </w:t>
            </w:r>
            <w:hyperlink w:anchor="Prescriber" w:history="1">
              <w:r w:rsidR="00371FEA" w:rsidRPr="00207527">
                <w:rPr>
                  <w:rStyle w:val="Hyperlink"/>
                  <w:rFonts w:cs="Arial"/>
                  <w:b/>
                  <w:bCs/>
                </w:rPr>
                <w:t>licensed prescribers</w:t>
              </w:r>
            </w:hyperlink>
            <w:r w:rsidR="00371FEA">
              <w:rPr>
                <w:rFonts w:cs="Arial"/>
                <w:b/>
                <w:bCs/>
              </w:rPr>
              <w:t xml:space="preserve"> entered via a CPOE system that meets the criteria outlined in question #2</w:t>
            </w:r>
            <w:r w:rsidR="000509CE">
              <w:rPr>
                <w:rFonts w:cs="Arial"/>
                <w:b/>
                <w:bCs/>
              </w:rPr>
              <w:t>.</w:t>
            </w:r>
          </w:p>
          <w:p w14:paraId="2759269A" w14:textId="77777777" w:rsidR="0095599A" w:rsidRPr="00A25B79" w:rsidRDefault="0095599A" w:rsidP="00172407">
            <w:pPr>
              <w:rPr>
                <w:rFonts w:cs="Arial"/>
                <w:snapToGrid w:val="0"/>
              </w:rPr>
            </w:pPr>
          </w:p>
          <w:p w14:paraId="222AA0AA" w14:textId="77777777" w:rsidR="0095599A" w:rsidRPr="00A25B79" w:rsidRDefault="0013687D" w:rsidP="00172407">
            <w:pPr>
              <w:rPr>
                <w:rFonts w:cs="Arial"/>
                <w:b/>
                <w:snapToGrid w:val="0"/>
              </w:rPr>
            </w:pPr>
            <w:r w:rsidRPr="00A25B79">
              <w:rPr>
                <w:rFonts w:cs="Arial"/>
                <w:b/>
                <w:snapToGrid w:val="0"/>
              </w:rPr>
              <w:t>Include</w:t>
            </w:r>
            <w:r w:rsidR="0095599A" w:rsidRPr="00A25B79">
              <w:rPr>
                <w:rFonts w:cs="Arial"/>
                <w:b/>
                <w:snapToGrid w:val="0"/>
              </w:rPr>
              <w:t>:</w:t>
            </w:r>
          </w:p>
          <w:p w14:paraId="58624E82" w14:textId="6D1A1A0D" w:rsidR="00A01039" w:rsidRPr="00A25B79" w:rsidRDefault="00A01039" w:rsidP="00AD309C">
            <w:pPr>
              <w:pStyle w:val="ListParagraph"/>
              <w:numPr>
                <w:ilvl w:val="0"/>
                <w:numId w:val="87"/>
              </w:numPr>
              <w:rPr>
                <w:rFonts w:cs="Arial"/>
                <w:lang w:eastAsia="ja-JP"/>
              </w:rPr>
            </w:pPr>
            <w:r w:rsidRPr="00A25B79">
              <w:rPr>
                <w:rFonts w:cs="Arial"/>
                <w:lang w:eastAsia="ja-JP"/>
              </w:rPr>
              <w:t xml:space="preserve">Medication orders entered into the CPOE system by </w:t>
            </w:r>
            <w:r w:rsidR="005874FE" w:rsidRPr="00A25B79">
              <w:rPr>
                <w:rFonts w:cs="Arial"/>
                <w:lang w:eastAsia="ja-JP"/>
              </w:rPr>
              <w:t xml:space="preserve">a </w:t>
            </w:r>
            <w:hyperlink w:anchor="Prescriber" w:history="1">
              <w:r w:rsidR="005874FE" w:rsidRPr="00A25B79">
                <w:rPr>
                  <w:rStyle w:val="Hyperlink"/>
                  <w:rFonts w:cs="Arial"/>
                  <w:b/>
                  <w:lang w:eastAsia="ja-JP"/>
                </w:rPr>
                <w:t>licensed prescriber</w:t>
              </w:r>
            </w:hyperlink>
          </w:p>
          <w:p w14:paraId="4E6AA645" w14:textId="5911F331" w:rsidR="0013687D" w:rsidRPr="00A25B79" w:rsidRDefault="0013687D" w:rsidP="00AD309C">
            <w:pPr>
              <w:pStyle w:val="ListParagraph"/>
              <w:numPr>
                <w:ilvl w:val="0"/>
                <w:numId w:val="87"/>
              </w:numPr>
              <w:rPr>
                <w:rFonts w:cs="Arial"/>
                <w:lang w:eastAsia="ja-JP"/>
              </w:rPr>
            </w:pPr>
            <w:r w:rsidRPr="00A25B79">
              <w:rPr>
                <w:rFonts w:cs="Arial"/>
                <w:lang w:eastAsia="ja-JP"/>
              </w:rPr>
              <w:t>In addition, the following types of medication orders entered in</w:t>
            </w:r>
            <w:r w:rsidR="000509CE">
              <w:rPr>
                <w:rFonts w:cs="Arial"/>
                <w:lang w:eastAsia="ja-JP"/>
              </w:rPr>
              <w:t xml:space="preserve"> </w:t>
            </w:r>
            <w:r w:rsidRPr="00A25B79">
              <w:rPr>
                <w:rFonts w:cs="Arial"/>
                <w:lang w:eastAsia="ja-JP"/>
              </w:rPr>
              <w:t xml:space="preserve">to a CPOE system by a </w:t>
            </w:r>
            <w:r w:rsidRPr="00A25B79">
              <w:rPr>
                <w:rFonts w:cs="Arial"/>
                <w:u w:val="single"/>
                <w:lang w:eastAsia="ja-JP"/>
              </w:rPr>
              <w:t xml:space="preserve">non-licensed </w:t>
            </w:r>
            <w:r w:rsidR="001E3026" w:rsidRPr="00A25B79">
              <w:rPr>
                <w:rFonts w:cs="Arial"/>
                <w:u w:val="single"/>
                <w:lang w:eastAsia="ja-JP"/>
              </w:rPr>
              <w:t>prescriber</w:t>
            </w:r>
            <w:r w:rsidRPr="00A25B79">
              <w:rPr>
                <w:rFonts w:cs="Arial"/>
                <w:lang w:eastAsia="ja-JP"/>
              </w:rPr>
              <w:t>, such as a nurse or pharmacist, can also be included:</w:t>
            </w:r>
          </w:p>
          <w:p w14:paraId="6C79851F" w14:textId="0A0226F4" w:rsidR="001C7A32" w:rsidRPr="00A25B79" w:rsidRDefault="003E6DBC" w:rsidP="00AD309C">
            <w:pPr>
              <w:pStyle w:val="ListParagraph"/>
              <w:numPr>
                <w:ilvl w:val="1"/>
                <w:numId w:val="87"/>
              </w:numPr>
              <w:rPr>
                <w:rFonts w:cs="Arial"/>
                <w:lang w:eastAsia="ja-JP"/>
              </w:rPr>
            </w:pPr>
            <w:hyperlink w:anchor="PerProtocol" w:history="1">
              <w:r w:rsidRPr="00A25B79">
                <w:rPr>
                  <w:rStyle w:val="Hyperlink"/>
                  <w:rFonts w:cs="Arial"/>
                  <w:lang w:eastAsia="ja-JP"/>
                </w:rPr>
                <w:t xml:space="preserve">Per protocol </w:t>
              </w:r>
              <w:r w:rsidR="0013687D" w:rsidRPr="00A25B79">
                <w:rPr>
                  <w:rStyle w:val="Hyperlink"/>
                  <w:rFonts w:cs="Arial"/>
                  <w:lang w:eastAsia="ja-JP"/>
                </w:rPr>
                <w:t xml:space="preserve">medication </w:t>
              </w:r>
              <w:r w:rsidRPr="00A25B79">
                <w:rPr>
                  <w:rStyle w:val="Hyperlink"/>
                  <w:rFonts w:cs="Arial"/>
                  <w:lang w:eastAsia="ja-JP"/>
                </w:rPr>
                <w:t>orders</w:t>
              </w:r>
            </w:hyperlink>
            <w:r w:rsidR="00977C2A" w:rsidRPr="00A25B79">
              <w:rPr>
                <w:rFonts w:cs="Arial"/>
                <w:lang w:eastAsia="ja-JP"/>
              </w:rPr>
              <w:t xml:space="preserve"> (i.e., medication orders with detailed guidance on how to administer, dose or adjust a medication)</w:t>
            </w:r>
            <w:r w:rsidR="001C7A32" w:rsidRPr="00A25B79">
              <w:rPr>
                <w:rFonts w:cs="Arial"/>
                <w:lang w:eastAsia="ja-JP"/>
              </w:rPr>
              <w:t xml:space="preserve"> approved by a medical committee</w:t>
            </w:r>
            <w:r w:rsidR="00977C2A" w:rsidRPr="00A25B79">
              <w:rPr>
                <w:rFonts w:cs="Arial"/>
                <w:lang w:eastAsia="ja-JP"/>
              </w:rPr>
              <w:t xml:space="preserve"> where the implementation of the protocol was authorized by a </w:t>
            </w:r>
            <w:hyperlink w:anchor="Prescriber" w:history="1">
              <w:r w:rsidR="00E62076" w:rsidRPr="00A25B79">
                <w:rPr>
                  <w:rStyle w:val="Hyperlink"/>
                  <w:rFonts w:cs="Arial"/>
                  <w:b/>
                  <w:lang w:eastAsia="ja-JP"/>
                </w:rPr>
                <w:t>licensed prescriber</w:t>
              </w:r>
            </w:hyperlink>
            <w:r w:rsidR="00337791" w:rsidRPr="00A25B79">
              <w:rPr>
                <w:rFonts w:cs="Arial"/>
                <w:lang w:eastAsia="ja-JP"/>
              </w:rPr>
              <w:t xml:space="preserve"> and orders</w:t>
            </w:r>
            <w:r w:rsidR="001C7A32" w:rsidRPr="00A25B79">
              <w:rPr>
                <w:rFonts w:cs="Arial"/>
                <w:lang w:eastAsia="ja-JP"/>
              </w:rPr>
              <w:t xml:space="preserve"> were initiated in the CPOE system.</w:t>
            </w:r>
          </w:p>
          <w:p w14:paraId="2BD6CE08" w14:textId="19B86475" w:rsidR="001C7A32" w:rsidRPr="00A25B79" w:rsidRDefault="001C7A32" w:rsidP="00AD309C">
            <w:pPr>
              <w:pStyle w:val="ListParagraph"/>
              <w:numPr>
                <w:ilvl w:val="1"/>
                <w:numId w:val="87"/>
              </w:numPr>
              <w:rPr>
                <w:rFonts w:cs="Arial"/>
                <w:lang w:eastAsia="ja-JP"/>
              </w:rPr>
            </w:pPr>
            <w:hyperlink w:anchor="StandingOrder" w:history="1">
              <w:r w:rsidRPr="00A25B79">
                <w:rPr>
                  <w:rStyle w:val="Hyperlink"/>
                  <w:rFonts w:cs="Arial"/>
                  <w:lang w:eastAsia="ja-JP"/>
                </w:rPr>
                <w:t>Standing medication orders</w:t>
              </w:r>
            </w:hyperlink>
            <w:r w:rsidRPr="00A25B79">
              <w:rPr>
                <w:rFonts w:cs="Arial"/>
                <w:lang w:eastAsia="ja-JP"/>
              </w:rPr>
              <w:t xml:space="preserve"> </w:t>
            </w:r>
            <w:r w:rsidR="002305D2" w:rsidRPr="00A25B79">
              <w:rPr>
                <w:rFonts w:cs="Arial"/>
                <w:lang w:eastAsia="ja-JP"/>
              </w:rPr>
              <w:t xml:space="preserve">(i.e., orders which can be initiated based on medical staff approval of a screening criteria and indication for all patients that meet the screening criteria) </w:t>
            </w:r>
            <w:r w:rsidRPr="00A25B79">
              <w:rPr>
                <w:rFonts w:cs="Arial"/>
                <w:lang w:eastAsia="ja-JP"/>
              </w:rPr>
              <w:t xml:space="preserve">approved by a medical committee that were initiated in the CPOE system. </w:t>
            </w:r>
          </w:p>
          <w:p w14:paraId="6AAAD6D4" w14:textId="016C3EF7" w:rsidR="008608C4" w:rsidRPr="00A25B79" w:rsidRDefault="002F1A9E" w:rsidP="00AD309C">
            <w:pPr>
              <w:pStyle w:val="ListParagraph"/>
              <w:numPr>
                <w:ilvl w:val="1"/>
                <w:numId w:val="87"/>
              </w:numPr>
              <w:rPr>
                <w:rFonts w:cs="Arial"/>
                <w:snapToGrid w:val="0"/>
              </w:rPr>
            </w:pPr>
            <w:r w:rsidRPr="00A25B79">
              <w:rPr>
                <w:rFonts w:cs="Arial"/>
                <w:lang w:eastAsia="ja-JP"/>
              </w:rPr>
              <w:t xml:space="preserve">Medication orders entered into the CPOE system </w:t>
            </w:r>
            <w:r w:rsidR="008608C4" w:rsidRPr="00A25B79">
              <w:rPr>
                <w:rFonts w:cs="Arial"/>
                <w:lang w:eastAsia="ja-JP"/>
              </w:rPr>
              <w:t xml:space="preserve">that </w:t>
            </w:r>
            <w:r w:rsidR="0013687D" w:rsidRPr="00A25B79">
              <w:rPr>
                <w:rFonts w:cs="Arial"/>
                <w:lang w:eastAsia="ja-JP"/>
              </w:rPr>
              <w:t xml:space="preserve">required </w:t>
            </w:r>
            <w:r w:rsidR="008608C4" w:rsidRPr="00A25B79">
              <w:rPr>
                <w:rFonts w:cs="Arial"/>
                <w:lang w:eastAsia="ja-JP"/>
              </w:rPr>
              <w:t xml:space="preserve">either verbal read back of alerts </w:t>
            </w:r>
            <w:r w:rsidR="00C540B0">
              <w:rPr>
                <w:rFonts w:cs="Arial"/>
                <w:lang w:eastAsia="ja-JP"/>
              </w:rPr>
              <w:t xml:space="preserve">to the licensed prescriber </w:t>
            </w:r>
            <w:r w:rsidR="008608C4" w:rsidRPr="00A25B79">
              <w:rPr>
                <w:rFonts w:cs="Arial"/>
                <w:lang w:eastAsia="ja-JP"/>
              </w:rPr>
              <w:t>or a co-signature by</w:t>
            </w:r>
            <w:r w:rsidR="00B64DF9" w:rsidRPr="00A25B79">
              <w:rPr>
                <w:rFonts w:cs="Arial"/>
                <w:lang w:eastAsia="ja-JP"/>
              </w:rPr>
              <w:t xml:space="preserve"> a</w:t>
            </w:r>
            <w:r w:rsidRPr="00A25B79">
              <w:rPr>
                <w:rFonts w:cs="Arial"/>
                <w:lang w:eastAsia="ja-JP"/>
              </w:rPr>
              <w:t xml:space="preserve"> licensed prescriber </w:t>
            </w:r>
            <w:r w:rsidR="008608C4" w:rsidRPr="00A25B79">
              <w:rPr>
                <w:rFonts w:cs="Arial"/>
                <w:u w:val="single"/>
                <w:lang w:eastAsia="ja-JP"/>
              </w:rPr>
              <w:t>prior to administration</w:t>
            </w:r>
            <w:r w:rsidR="008608C4" w:rsidRPr="00A25B79">
              <w:rPr>
                <w:rFonts w:cs="Arial"/>
                <w:lang w:eastAsia="ja-JP"/>
              </w:rPr>
              <w:t xml:space="preserve"> to ensure that the licensed prescriber </w:t>
            </w:r>
            <w:r w:rsidR="00F13C3D" w:rsidRPr="00A25B79">
              <w:rPr>
                <w:rFonts w:cs="Arial"/>
                <w:lang w:eastAsia="ja-JP"/>
              </w:rPr>
              <w:t>wa</w:t>
            </w:r>
            <w:r w:rsidR="008608C4" w:rsidRPr="00A25B79">
              <w:rPr>
                <w:rFonts w:cs="Arial"/>
                <w:lang w:eastAsia="ja-JP"/>
              </w:rPr>
              <w:t xml:space="preserve">s made aware of all advice/information generated by the CPOE system. </w:t>
            </w:r>
          </w:p>
          <w:p w14:paraId="37007F9F" w14:textId="335ED61C" w:rsidR="0095599A" w:rsidRPr="000D01DA" w:rsidRDefault="0013687D" w:rsidP="00172407">
            <w:pPr>
              <w:spacing w:before="120"/>
              <w:rPr>
                <w:rFonts w:cs="Arial"/>
                <w:bCs/>
                <w:i/>
                <w:iCs/>
                <w:snapToGrid w:val="0"/>
              </w:rPr>
            </w:pPr>
            <w:r w:rsidRPr="00A25B79">
              <w:rPr>
                <w:rFonts w:cs="Arial"/>
                <w:b/>
                <w:snapToGrid w:val="0"/>
              </w:rPr>
              <w:t>Exclude</w:t>
            </w:r>
            <w:r w:rsidR="0095599A" w:rsidRPr="00A25B79">
              <w:rPr>
                <w:rFonts w:cs="Arial"/>
                <w:b/>
                <w:snapToGrid w:val="0"/>
              </w:rPr>
              <w:t xml:space="preserve">: </w:t>
            </w:r>
            <w:r w:rsidR="000D01DA">
              <w:rPr>
                <w:rFonts w:cs="Arial"/>
                <w:b/>
                <w:snapToGrid w:val="0"/>
              </w:rPr>
              <w:t xml:space="preserve">                                                                                                                 </w:t>
            </w:r>
          </w:p>
          <w:p w14:paraId="1DE5AEC0" w14:textId="516F1558" w:rsidR="001C732D" w:rsidRDefault="001C732D" w:rsidP="00AD309C">
            <w:pPr>
              <w:pStyle w:val="ListParagraph"/>
              <w:numPr>
                <w:ilvl w:val="0"/>
                <w:numId w:val="88"/>
              </w:numPr>
              <w:rPr>
                <w:rFonts w:cs="Arial"/>
              </w:rPr>
            </w:pPr>
            <w:r w:rsidRPr="001C732D">
              <w:rPr>
                <w:rFonts w:cs="Arial"/>
              </w:rPr>
              <w:t xml:space="preserve">Medications </w:t>
            </w:r>
            <w:r w:rsidRPr="002F266A">
              <w:rPr>
                <w:rFonts w:cs="Arial"/>
              </w:rPr>
              <w:t>ordered verbally</w:t>
            </w:r>
            <w:r w:rsidR="007670D5" w:rsidRPr="002F266A">
              <w:rPr>
                <w:rFonts w:cs="Arial"/>
              </w:rPr>
              <w:t>,</w:t>
            </w:r>
            <w:r w:rsidRPr="002F266A">
              <w:rPr>
                <w:rFonts w:cs="Arial"/>
              </w:rPr>
              <w:t xml:space="preserve"> </w:t>
            </w:r>
            <w:r w:rsidR="00C72EB9" w:rsidRPr="002F266A">
              <w:rPr>
                <w:rFonts w:cs="Arial"/>
                <w:snapToGrid w:val="0"/>
              </w:rPr>
              <w:t xml:space="preserve">via </w:t>
            </w:r>
            <w:r w:rsidR="00DB110A" w:rsidRPr="002F266A">
              <w:rPr>
                <w:rFonts w:eastAsia="Arial" w:cs="Arial"/>
              </w:rPr>
              <w:t>a secure texting platform</w:t>
            </w:r>
            <w:r w:rsidR="00041CB9" w:rsidRPr="002F266A">
              <w:rPr>
                <w:rFonts w:eastAsia="Arial" w:cs="Arial"/>
              </w:rPr>
              <w:t>,</w:t>
            </w:r>
            <w:r w:rsidR="00041CB9" w:rsidRPr="002F266A">
              <w:rPr>
                <w:rFonts w:cs="Arial"/>
              </w:rPr>
              <w:t xml:space="preserve"> or</w:t>
            </w:r>
            <w:r w:rsidRPr="002F266A">
              <w:rPr>
                <w:rFonts w:cs="Arial"/>
              </w:rPr>
              <w:t xml:space="preserve"> via paper. </w:t>
            </w:r>
          </w:p>
          <w:p w14:paraId="37B01117" w14:textId="74773196" w:rsidR="0013687D" w:rsidRPr="00A25B79" w:rsidRDefault="00B64DF9" w:rsidP="00AD309C">
            <w:pPr>
              <w:pStyle w:val="ListParagraph"/>
              <w:numPr>
                <w:ilvl w:val="0"/>
                <w:numId w:val="88"/>
              </w:numPr>
              <w:rPr>
                <w:rFonts w:cs="Arial"/>
              </w:rPr>
            </w:pPr>
            <w:r w:rsidRPr="00A25B79">
              <w:rPr>
                <w:rFonts w:cs="Arial"/>
              </w:rPr>
              <w:t xml:space="preserve">Medication orders entered </w:t>
            </w:r>
            <w:r w:rsidR="001C732D" w:rsidRPr="00A25B79">
              <w:rPr>
                <w:rFonts w:cs="Arial"/>
              </w:rPr>
              <w:t>in</w:t>
            </w:r>
            <w:r w:rsidR="001C732D">
              <w:rPr>
                <w:rFonts w:cs="Arial"/>
              </w:rPr>
              <w:t>to</w:t>
            </w:r>
            <w:r w:rsidRPr="00A25B79">
              <w:rPr>
                <w:rFonts w:cs="Arial"/>
              </w:rPr>
              <w:t xml:space="preserve"> the CPOE system by a non-licensed prescriber</w:t>
            </w:r>
            <w:r w:rsidR="0013687D" w:rsidRPr="00A25B79">
              <w:rPr>
                <w:rFonts w:cs="Arial"/>
              </w:rPr>
              <w:t>, such as a nurse or pharmacist,</w:t>
            </w:r>
            <w:r w:rsidRPr="00A25B79">
              <w:rPr>
                <w:rFonts w:cs="Arial"/>
              </w:rPr>
              <w:t xml:space="preserve"> that </w:t>
            </w:r>
            <w:r w:rsidR="00DD2422" w:rsidRPr="00A25B79">
              <w:rPr>
                <w:rFonts w:cs="Arial"/>
                <w:lang w:eastAsia="ja-JP"/>
              </w:rPr>
              <w:t xml:space="preserve">were NOT per protocol </w:t>
            </w:r>
            <w:r w:rsidR="00A24380">
              <w:rPr>
                <w:rFonts w:cs="Arial"/>
                <w:lang w:eastAsia="ja-JP"/>
              </w:rPr>
              <w:t xml:space="preserve">medication orders </w:t>
            </w:r>
            <w:r w:rsidR="00DD2422" w:rsidRPr="00A25B79">
              <w:rPr>
                <w:rFonts w:cs="Arial"/>
                <w:lang w:eastAsia="ja-JP"/>
              </w:rPr>
              <w:t>or stand</w:t>
            </w:r>
            <w:r w:rsidR="00A24380">
              <w:rPr>
                <w:rFonts w:cs="Arial"/>
                <w:lang w:eastAsia="ja-JP"/>
              </w:rPr>
              <w:t>ing medication</w:t>
            </w:r>
            <w:r w:rsidR="00DD2422" w:rsidRPr="00A25B79">
              <w:rPr>
                <w:rFonts w:cs="Arial"/>
                <w:lang w:eastAsia="ja-JP"/>
              </w:rPr>
              <w:t xml:space="preserve"> order</w:t>
            </w:r>
            <w:r w:rsidR="00A24380">
              <w:rPr>
                <w:rFonts w:cs="Arial"/>
                <w:lang w:eastAsia="ja-JP"/>
              </w:rPr>
              <w:t>s</w:t>
            </w:r>
            <w:r w:rsidR="0093747F" w:rsidRPr="00A25B79">
              <w:rPr>
                <w:rFonts w:cs="Arial"/>
                <w:lang w:eastAsia="ja-JP"/>
              </w:rPr>
              <w:t>.</w:t>
            </w:r>
          </w:p>
          <w:p w14:paraId="788C81F5" w14:textId="2C627A75" w:rsidR="00BE5587" w:rsidRPr="00A25B79" w:rsidRDefault="0013687D" w:rsidP="00AD309C">
            <w:pPr>
              <w:pStyle w:val="ListParagraph"/>
              <w:numPr>
                <w:ilvl w:val="0"/>
                <w:numId w:val="88"/>
              </w:numPr>
              <w:rPr>
                <w:rFonts w:cs="Arial"/>
              </w:rPr>
            </w:pPr>
            <w:r w:rsidRPr="00A25B79">
              <w:rPr>
                <w:rFonts w:cs="Arial"/>
              </w:rPr>
              <w:t xml:space="preserve">Medication orders entered into the CPOE system by a non-licensed prescriber, such as a nurse or pharmacist, that </w:t>
            </w:r>
            <w:r w:rsidR="00F13C3D" w:rsidRPr="00A25B79">
              <w:rPr>
                <w:rFonts w:cs="Arial"/>
              </w:rPr>
              <w:t>DID</w:t>
            </w:r>
            <w:r w:rsidR="00B64DF9" w:rsidRPr="00A25B79">
              <w:rPr>
                <w:rFonts w:cs="Arial"/>
              </w:rPr>
              <w:t xml:space="preserve"> NOT require </w:t>
            </w:r>
            <w:r w:rsidR="00B64DF9" w:rsidRPr="00A25B79">
              <w:rPr>
                <w:rFonts w:cs="Arial"/>
                <w:lang w:eastAsia="ja-JP"/>
              </w:rPr>
              <w:t>either verbal read back of alerts or a co-signature of a</w:t>
            </w:r>
            <w:r w:rsidR="009D481F" w:rsidRPr="00A25B79">
              <w:rPr>
                <w:rFonts w:cs="Arial"/>
                <w:lang w:eastAsia="ja-JP"/>
              </w:rPr>
              <w:t xml:space="preserve"> licensed prescriber</w:t>
            </w:r>
            <w:r w:rsidR="00B64DF9" w:rsidRPr="00A25B79">
              <w:rPr>
                <w:rFonts w:cs="Arial"/>
                <w:lang w:eastAsia="ja-JP"/>
              </w:rPr>
              <w:t xml:space="preserve"> prior to administration. </w:t>
            </w:r>
          </w:p>
        </w:tc>
      </w:tr>
    </w:tbl>
    <w:p w14:paraId="136F2958" w14:textId="77777777" w:rsidR="0084408C" w:rsidRDefault="0084408C"/>
    <w:p w14:paraId="2DB4312C" w14:textId="651998DB" w:rsidR="00BB7C6E" w:rsidRDefault="0084408C">
      <w:r w:rsidRPr="009A5185">
        <w:rPr>
          <w:rFonts w:cs="Arial"/>
          <w:color w:val="000000"/>
        </w:rPr>
        <w:t>See</w:t>
      </w:r>
      <w:r>
        <w:rPr>
          <w:rFonts w:cs="Arial"/>
          <w:color w:val="000000"/>
        </w:rPr>
        <w:t xml:space="preserve"> </w:t>
      </w:r>
      <w:hyperlink w:anchor="_Computerized_Physician_Order" w:history="1">
        <w:r>
          <w:rPr>
            <w:rStyle w:val="Hyperlink"/>
            <w:rFonts w:cs="Arial"/>
          </w:rPr>
          <w:t>FAQs</w:t>
        </w:r>
      </w:hyperlink>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r w:rsidR="00BB7C6E">
        <w:br w:type="page"/>
      </w:r>
    </w:p>
    <w:p w14:paraId="5F207F38" w14:textId="1882CD22" w:rsidR="00CF7851" w:rsidRDefault="00CF7851" w:rsidP="00AB5B80">
      <w:pPr>
        <w:pStyle w:val="Heading3"/>
      </w:pPr>
      <w:bookmarkStart w:id="200" w:name="_Bar_Code_Medication_1"/>
      <w:bookmarkStart w:id="201" w:name="_Ref123646692"/>
      <w:bookmarkStart w:id="202" w:name="_Toc225877698"/>
      <w:bookmarkEnd w:id="200"/>
      <w:r>
        <w:lastRenderedPageBreak/>
        <w:t xml:space="preserve">Bar Code Medication Administration (BCMA) </w:t>
      </w:r>
      <w:bookmarkEnd w:id="201"/>
      <w:r w:rsidR="00B078B4">
        <w:t>Measure Specifications</w:t>
      </w:r>
      <w:bookmarkEnd w:id="202"/>
    </w:p>
    <w:p w14:paraId="192A4795" w14:textId="00DB687F" w:rsidR="00CF7851" w:rsidRPr="00D36222" w:rsidRDefault="00CF7851" w:rsidP="0093058B"/>
    <w:p w14:paraId="2071CE23" w14:textId="3E38E768" w:rsidR="00FA374A" w:rsidRPr="00EF61CD" w:rsidRDefault="00CF7851" w:rsidP="00EF61CD">
      <w:pPr>
        <w:spacing w:after="120"/>
        <w:rPr>
          <w:rFonts w:cs="Arial"/>
          <w:snapToGrid w:val="0"/>
        </w:rPr>
      </w:pPr>
      <w:r w:rsidRPr="009A5185">
        <w:rPr>
          <w:rFonts w:cs="Arial"/>
          <w:b/>
          <w:color w:val="FF0000"/>
          <w:lang w:eastAsia="ja-JP"/>
        </w:rPr>
        <w:t xml:space="preserve">Important Note: </w:t>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81" w:history="1">
        <w:r w:rsidRPr="009A5185">
          <w:rPr>
            <w:rStyle w:val="Hyperlink"/>
            <w:rFonts w:cs="Arial"/>
            <w:snapToGrid w:val="0"/>
          </w:rPr>
          <w:t>Leapfrog’s Multi-Campus Reporting Policy</w:t>
        </w:r>
      </w:hyperlink>
      <w:r w:rsidRPr="009A5185">
        <w:rPr>
          <w:rFonts w:cs="Arial"/>
          <w:snapToGrid w:val="0"/>
        </w:rPr>
        <w:t>.</w:t>
      </w:r>
    </w:p>
    <w:tbl>
      <w:tblPr>
        <w:tblStyle w:val="TableGrid"/>
        <w:tblW w:w="9445" w:type="dxa"/>
        <w:tblLook w:val="04A0" w:firstRow="1" w:lastRow="0" w:firstColumn="1" w:lastColumn="0" w:noHBand="0" w:noVBand="1"/>
      </w:tblPr>
      <w:tblGrid>
        <w:gridCol w:w="9445"/>
      </w:tblGrid>
      <w:tr w:rsidR="003C1039" w14:paraId="16804F6A" w14:textId="77777777" w:rsidTr="00D36222">
        <w:trPr>
          <w:trHeight w:val="288"/>
        </w:trPr>
        <w:tc>
          <w:tcPr>
            <w:tcW w:w="9445" w:type="dxa"/>
            <w:vAlign w:val="center"/>
          </w:tcPr>
          <w:p w14:paraId="7EAB8E55" w14:textId="59F4D3B7" w:rsidR="003C1039" w:rsidRPr="00943EE6" w:rsidRDefault="003C1039" w:rsidP="00245AE3">
            <w:pPr>
              <w:rPr>
                <w:rFonts w:cs="Arial"/>
                <w:bCs/>
                <w:snapToGrid w:val="0"/>
              </w:rPr>
            </w:pPr>
            <w:r>
              <w:rPr>
                <w:rFonts w:cs="Arial"/>
                <w:b/>
                <w:snapToGrid w:val="0"/>
              </w:rPr>
              <w:t xml:space="preserve">Source: </w:t>
            </w:r>
            <w:r>
              <w:rPr>
                <w:rFonts w:cs="Arial"/>
                <w:bCs/>
                <w:snapToGrid w:val="0"/>
              </w:rPr>
              <w:t>The Leapfrog Group</w:t>
            </w:r>
          </w:p>
        </w:tc>
      </w:tr>
      <w:tr w:rsidR="00CF7851" w14:paraId="76BD7D42" w14:textId="77777777" w:rsidTr="00D36222">
        <w:trPr>
          <w:trHeight w:val="288"/>
        </w:trPr>
        <w:tc>
          <w:tcPr>
            <w:tcW w:w="9445" w:type="dxa"/>
            <w:vAlign w:val="center"/>
          </w:tcPr>
          <w:p w14:paraId="3ADB1838" w14:textId="7C2B6DDD" w:rsidR="00CF7851" w:rsidRPr="008206E1" w:rsidRDefault="00CF7851" w:rsidP="00245AE3">
            <w:pPr>
              <w:rPr>
                <w:rFonts w:cs="Arial"/>
                <w:snapToGrid w:val="0"/>
              </w:rPr>
            </w:pPr>
            <w:r w:rsidRPr="009A5185">
              <w:rPr>
                <w:rFonts w:cs="Arial"/>
                <w:b/>
                <w:snapToGrid w:val="0"/>
              </w:rPr>
              <w:t>Reporting Period:</w:t>
            </w:r>
            <w:r w:rsidRPr="009A5185">
              <w:rPr>
                <w:rFonts w:cs="Arial"/>
                <w:snapToGrid w:val="0"/>
              </w:rPr>
              <w:t xml:space="preserve"> </w:t>
            </w:r>
            <w:r w:rsidR="008206E1">
              <w:rPr>
                <w:rFonts w:cs="Arial"/>
                <w:snapToGrid w:val="0"/>
              </w:rPr>
              <w:t>T</w:t>
            </w:r>
            <w:r w:rsidRPr="009A5185">
              <w:rPr>
                <w:rFonts w:cs="Arial"/>
                <w:snapToGrid w:val="0"/>
              </w:rPr>
              <w:t>he latest 3-month period prior to the submission of this section of the Survey.</w:t>
            </w:r>
          </w:p>
        </w:tc>
      </w:tr>
      <w:tr w:rsidR="000461DF" w14:paraId="51328327" w14:textId="77777777" w:rsidTr="00D36222">
        <w:trPr>
          <w:trHeight w:val="288"/>
        </w:trPr>
        <w:tc>
          <w:tcPr>
            <w:tcW w:w="9445" w:type="dxa"/>
            <w:vAlign w:val="center"/>
          </w:tcPr>
          <w:p w14:paraId="12DC286D" w14:textId="2E547901" w:rsidR="00B64B5B" w:rsidRDefault="00B64B5B" w:rsidP="000461DF">
            <w:pPr>
              <w:rPr>
                <w:rFonts w:cs="Arial"/>
                <w:bCs/>
              </w:rPr>
            </w:pPr>
            <w:r>
              <w:rPr>
                <w:rFonts w:cs="Arial"/>
                <w:b/>
              </w:rPr>
              <w:t xml:space="preserve">Included </w:t>
            </w:r>
            <w:r w:rsidR="0093370F">
              <w:rPr>
                <w:rFonts w:cs="Arial"/>
                <w:b/>
              </w:rPr>
              <w:t xml:space="preserve">Adult and/or Pediatric </w:t>
            </w:r>
            <w:r w:rsidR="000461DF">
              <w:rPr>
                <w:rFonts w:cs="Arial"/>
                <w:b/>
              </w:rPr>
              <w:t>Units</w:t>
            </w:r>
            <w:r>
              <w:rPr>
                <w:rFonts w:cs="Arial"/>
                <w:b/>
              </w:rPr>
              <w:t>:</w:t>
            </w:r>
          </w:p>
          <w:p w14:paraId="11EB4161" w14:textId="1CA1A773" w:rsidR="00DA734E" w:rsidRPr="00581C2A" w:rsidRDefault="00DA734E" w:rsidP="00AD309C">
            <w:pPr>
              <w:pStyle w:val="ListParagraph"/>
              <w:numPr>
                <w:ilvl w:val="0"/>
                <w:numId w:val="384"/>
              </w:numPr>
              <w:spacing w:before="120"/>
              <w:rPr>
                <w:rStyle w:val="Hyperlink"/>
                <w:rFonts w:cs="Arial"/>
                <w:snapToGrid w:val="0"/>
                <w:color w:val="000000"/>
                <w:u w:val="none"/>
              </w:rPr>
            </w:pPr>
            <w:hyperlink w:anchor="generalmedicalsurgicalandneuroicu" w:history="1">
              <w:r w:rsidRPr="00A577A6">
                <w:rPr>
                  <w:rStyle w:val="Hyperlink"/>
                </w:rPr>
                <w:t>General Medica</w:t>
              </w:r>
              <w:r w:rsidR="00FC31BF">
                <w:rPr>
                  <w:rStyle w:val="Hyperlink"/>
                </w:rPr>
                <w:t>l</w:t>
              </w:r>
              <w:r w:rsidR="00BD44A2">
                <w:rPr>
                  <w:rStyle w:val="Hyperlink"/>
                </w:rPr>
                <w:t>,</w:t>
              </w:r>
              <w:r w:rsidR="00FC31BF">
                <w:rPr>
                  <w:rStyle w:val="Hyperlink"/>
                </w:rPr>
                <w:t xml:space="preserve"> </w:t>
              </w:r>
              <w:r w:rsidRPr="00A577A6">
                <w:rPr>
                  <w:rStyle w:val="Hyperlink"/>
                </w:rPr>
                <w:t>Surgical</w:t>
              </w:r>
              <w:r w:rsidR="00BD44A2">
                <w:rPr>
                  <w:rStyle w:val="Hyperlink"/>
                </w:rPr>
                <w:t>, Medical/Surgical</w:t>
              </w:r>
              <w:r w:rsidR="00F1310A">
                <w:rPr>
                  <w:rStyle w:val="Hyperlink"/>
                </w:rPr>
                <w:t>,</w:t>
              </w:r>
              <w:r w:rsidRPr="00A577A6">
                <w:rPr>
                  <w:rStyle w:val="Hyperlink"/>
                </w:rPr>
                <w:t xml:space="preserve"> Neuro</w:t>
              </w:r>
            </w:hyperlink>
            <w:r w:rsidR="00A577A6" w:rsidRPr="003301F3">
              <w:rPr>
                <w:vertAlign w:val="superscript"/>
              </w:rPr>
              <w:t>14</w:t>
            </w:r>
            <w:r>
              <w:rPr>
                <w:rFonts w:cs="Arial"/>
              </w:rPr>
              <w:t xml:space="preserve">, </w:t>
            </w:r>
            <w:hyperlink w:anchor="neonatalICU" w:history="1">
              <w:r w:rsidRPr="00A577A6">
                <w:rPr>
                  <w:rStyle w:val="Hyperlink"/>
                  <w:rFonts w:cs="Arial"/>
                </w:rPr>
                <w:t>Neonatal</w:t>
              </w:r>
            </w:hyperlink>
            <w:r w:rsidR="00A577A6" w:rsidRPr="003301F3">
              <w:rPr>
                <w:rFonts w:cs="Arial"/>
                <w:vertAlign w:val="superscript"/>
              </w:rPr>
              <w:t>1</w:t>
            </w:r>
            <w:r w:rsidR="00A577A6" w:rsidRPr="003301F3">
              <w:rPr>
                <w:vertAlign w:val="superscript"/>
              </w:rPr>
              <w:t>7</w:t>
            </w:r>
            <w:r>
              <w:rPr>
                <w:rFonts w:cs="Arial"/>
              </w:rPr>
              <w:t xml:space="preserve">, </w:t>
            </w:r>
            <w:r w:rsidR="000F1D89">
              <w:rPr>
                <w:rFonts w:cs="Arial"/>
              </w:rPr>
              <w:t xml:space="preserve">or </w:t>
            </w:r>
            <w:r>
              <w:rPr>
                <w:rFonts w:cs="Arial"/>
              </w:rPr>
              <w:t>Specialty ICUs</w:t>
            </w:r>
          </w:p>
          <w:p w14:paraId="0937DA78" w14:textId="2CCCD278" w:rsidR="00DA734E" w:rsidRPr="00E75BD3" w:rsidRDefault="00DA734E" w:rsidP="00AD309C">
            <w:pPr>
              <w:pStyle w:val="ListParagraph"/>
              <w:numPr>
                <w:ilvl w:val="0"/>
                <w:numId w:val="384"/>
              </w:numPr>
              <w:spacing w:before="120"/>
              <w:rPr>
                <w:rStyle w:val="Hyperlink"/>
                <w:rFonts w:cs="Arial"/>
                <w:snapToGrid w:val="0"/>
                <w:color w:val="000000"/>
                <w:u w:val="none"/>
              </w:rPr>
            </w:pPr>
            <w:hyperlink w:anchor="MedicalandorSurgicalUnits" w:history="1">
              <w:r w:rsidRPr="009A5185">
                <w:rPr>
                  <w:rStyle w:val="Hyperlink"/>
                  <w:rFonts w:cs="Arial"/>
                </w:rPr>
                <w:t>Medical</w:t>
              </w:r>
              <w:r w:rsidR="00832CEB">
                <w:rPr>
                  <w:rStyle w:val="Hyperlink"/>
                  <w:rFonts w:cs="Arial"/>
                </w:rPr>
                <w:t>,</w:t>
              </w:r>
              <w:r w:rsidRPr="009A5185">
                <w:rPr>
                  <w:rStyle w:val="Hyperlink"/>
                  <w:rFonts w:cs="Arial"/>
                </w:rPr>
                <w:t xml:space="preserve"> Surgical</w:t>
              </w:r>
              <w:r w:rsidR="00832CEB">
                <w:rPr>
                  <w:rStyle w:val="Hyperlink"/>
                  <w:rFonts w:cs="Arial"/>
                </w:rPr>
                <w:t xml:space="preserve">, </w:t>
              </w:r>
              <w:r w:rsidR="003763E7">
                <w:rPr>
                  <w:rStyle w:val="Hyperlink"/>
                  <w:rFonts w:cs="Arial"/>
                </w:rPr>
                <w:t xml:space="preserve">or </w:t>
              </w:r>
              <w:r w:rsidR="00832CEB">
                <w:rPr>
                  <w:rStyle w:val="Hyperlink"/>
                  <w:rFonts w:cs="Arial"/>
                </w:rPr>
                <w:t>Medical/Surgical</w:t>
              </w:r>
              <w:r w:rsidR="003763E7">
                <w:rPr>
                  <w:rStyle w:val="Hyperlink"/>
                  <w:rFonts w:cs="Arial"/>
                </w:rPr>
                <w:t xml:space="preserve"> </w:t>
              </w:r>
              <w:r w:rsidRPr="009A5185">
                <w:rPr>
                  <w:rStyle w:val="Hyperlink"/>
                  <w:rFonts w:cs="Arial"/>
                </w:rPr>
                <w:t>Units (including telemetry units)</w:t>
              </w:r>
            </w:hyperlink>
            <w:r>
              <w:rPr>
                <w:rStyle w:val="Hyperlink"/>
                <w:rFonts w:cs="Arial"/>
              </w:rPr>
              <w:fldChar w:fldCharType="begin"/>
            </w:r>
            <w:r>
              <w:rPr>
                <w:rStyle w:val="Hyperlink"/>
                <w:rFonts w:cs="Arial"/>
              </w:rPr>
              <w:instrText xml:space="preserve"> NOTEREF _Ref158623355 \f \h </w:instrText>
            </w:r>
            <w:r>
              <w:rPr>
                <w:rStyle w:val="Hyperlink"/>
                <w:rFonts w:cs="Arial"/>
              </w:rPr>
            </w:r>
            <w:r>
              <w:rPr>
                <w:rStyle w:val="Hyperlink"/>
                <w:rFonts w:cs="Arial"/>
              </w:rPr>
              <w:fldChar w:fldCharType="separate"/>
            </w:r>
            <w:r w:rsidR="007D53A2" w:rsidRPr="00F06B87">
              <w:rPr>
                <w:rStyle w:val="EndnoteReference"/>
              </w:rPr>
              <w:t>19</w:t>
            </w:r>
            <w:r>
              <w:rPr>
                <w:rStyle w:val="Hyperlink"/>
                <w:rFonts w:cs="Arial"/>
              </w:rPr>
              <w:fldChar w:fldCharType="end"/>
            </w:r>
            <w:r>
              <w:rPr>
                <w:rStyle w:val="Hyperlink"/>
                <w:rFonts w:ascii="ZWAdobeF" w:hAnsi="ZWAdobeF" w:cs="ZWAdobeF"/>
                <w:color w:val="auto"/>
                <w:sz w:val="2"/>
                <w:szCs w:val="2"/>
                <w:u w:val="none"/>
              </w:rPr>
              <w:t xml:space="preserve">18F </w:t>
            </w:r>
            <w:r>
              <w:rPr>
                <w:rStyle w:val="Hyperlink"/>
                <w:rFonts w:cs="Arial"/>
                <w:color w:val="auto"/>
                <w:u w:val="none"/>
              </w:rPr>
              <w:t>,</w:t>
            </w:r>
          </w:p>
          <w:p w14:paraId="6950073C" w14:textId="035827F3" w:rsidR="0060702B" w:rsidRPr="004F4A10" w:rsidRDefault="0060702B" w:rsidP="00AD309C">
            <w:pPr>
              <w:pStyle w:val="ListParagraph"/>
              <w:numPr>
                <w:ilvl w:val="0"/>
                <w:numId w:val="384"/>
              </w:numPr>
              <w:spacing w:before="120"/>
              <w:rPr>
                <w:rFonts w:cs="Arial"/>
                <w:snapToGrid w:val="0"/>
                <w:color w:val="000000"/>
              </w:rPr>
            </w:pPr>
            <w:hyperlink w:anchor="stepdown_progressiveunits_endnote20" w:history="1">
              <w:r w:rsidRPr="0060702B">
                <w:rPr>
                  <w:rStyle w:val="Hyperlink"/>
                </w:rPr>
                <w:t>Step-down/Progressive Units</w:t>
              </w:r>
            </w:hyperlink>
            <w:r w:rsidRPr="003301F3">
              <w:rPr>
                <w:rStyle w:val="Hyperlink"/>
                <w:color w:val="auto"/>
                <w:u w:val="none"/>
                <w:vertAlign w:val="superscript"/>
              </w:rPr>
              <w:t>20</w:t>
            </w:r>
          </w:p>
          <w:p w14:paraId="0479FE43" w14:textId="4E2082E8" w:rsidR="000461DF" w:rsidRPr="00493567" w:rsidRDefault="000461DF" w:rsidP="00AD309C">
            <w:pPr>
              <w:pStyle w:val="ListParagraph"/>
              <w:numPr>
                <w:ilvl w:val="0"/>
                <w:numId w:val="384"/>
              </w:numPr>
              <w:spacing w:before="120"/>
              <w:rPr>
                <w:rFonts w:cs="Arial"/>
                <w:snapToGrid w:val="0"/>
                <w:color w:val="000000"/>
              </w:rPr>
            </w:pPr>
            <w:hyperlink w:anchor="LaborandDeliveryUnits" w:history="1">
              <w:r w:rsidRPr="00B04A67">
                <w:rPr>
                  <w:rStyle w:val="Hyperlink"/>
                  <w:rFonts w:cs="Arial"/>
                </w:rPr>
                <w:t>Labor and Delivery Unit</w:t>
              </w:r>
            </w:hyperlink>
            <w:r w:rsidR="0096213A" w:rsidRPr="003301F3">
              <w:rPr>
                <w:rFonts w:cs="Arial"/>
                <w:vertAlign w:val="superscript"/>
              </w:rPr>
              <w:t>2</w:t>
            </w:r>
            <w:r w:rsidR="0096213A" w:rsidRPr="003301F3">
              <w:rPr>
                <w:vertAlign w:val="superscript"/>
              </w:rPr>
              <w:t>1</w:t>
            </w:r>
          </w:p>
          <w:p w14:paraId="67D9C575" w14:textId="04A3F8DC" w:rsidR="000461DF" w:rsidRPr="008863FC" w:rsidRDefault="000461DF" w:rsidP="00AD309C">
            <w:pPr>
              <w:pStyle w:val="ListParagraph"/>
              <w:numPr>
                <w:ilvl w:val="0"/>
                <w:numId w:val="384"/>
              </w:numPr>
              <w:spacing w:before="120"/>
              <w:rPr>
                <w:rFonts w:cs="Arial"/>
                <w:snapToGrid w:val="0"/>
                <w:color w:val="000000"/>
              </w:rPr>
            </w:pPr>
            <w:hyperlink w:anchor="pacusendnote" w:history="1">
              <w:r w:rsidRPr="00CF76B1">
                <w:rPr>
                  <w:rStyle w:val="Hyperlink"/>
                  <w:rFonts w:cs="Arial"/>
                </w:rPr>
                <w:t>Pre-operative and Post-anesthesia Care Units</w:t>
              </w:r>
            </w:hyperlink>
            <w:r w:rsidRPr="003301F3">
              <w:rPr>
                <w:rStyle w:val="Hyperlink"/>
                <w:rFonts w:cs="Arial"/>
                <w:u w:val="none"/>
              </w:rPr>
              <w:fldChar w:fldCharType="begin"/>
            </w:r>
            <w:r w:rsidRPr="003301F3">
              <w:rPr>
                <w:rStyle w:val="Hyperlink"/>
                <w:rFonts w:cs="Arial"/>
                <w:u w:val="none"/>
              </w:rPr>
              <w:instrText xml:space="preserve"> NOTEREF _Ref158623544 \f \h  \* MERGEFORMAT </w:instrText>
            </w:r>
            <w:r w:rsidRPr="003301F3">
              <w:rPr>
                <w:rStyle w:val="Hyperlink"/>
                <w:rFonts w:cs="Arial"/>
                <w:u w:val="none"/>
              </w:rPr>
            </w:r>
            <w:r w:rsidRPr="003301F3">
              <w:rPr>
                <w:rStyle w:val="Hyperlink"/>
                <w:rFonts w:cs="Arial"/>
                <w:u w:val="none"/>
              </w:rPr>
              <w:fldChar w:fldCharType="separate"/>
            </w:r>
            <w:r w:rsidR="007D53A2" w:rsidRPr="00F06B87">
              <w:rPr>
                <w:rStyle w:val="EndnoteReference"/>
              </w:rPr>
              <w:t>22</w:t>
            </w:r>
            <w:r w:rsidRPr="003301F3">
              <w:rPr>
                <w:rStyle w:val="Hyperlink"/>
                <w:rFonts w:cs="Arial"/>
                <w:u w:val="none"/>
              </w:rPr>
              <w:fldChar w:fldCharType="end"/>
            </w:r>
            <w:r w:rsidR="00202883" w:rsidRPr="003301F3">
              <w:rPr>
                <w:rStyle w:val="Hyperlink"/>
                <w:rFonts w:cs="Arial"/>
                <w:u w:val="none"/>
              </w:rPr>
              <w:t xml:space="preserve"> </w:t>
            </w:r>
            <w:r w:rsidRPr="003301F3">
              <w:rPr>
                <w:rStyle w:val="Hyperlink"/>
                <w:rFonts w:ascii="ZWAdobeF" w:hAnsi="ZWAdobeF" w:cs="ZWAdobeF"/>
                <w:color w:val="auto"/>
                <w:sz w:val="2"/>
                <w:szCs w:val="2"/>
                <w:u w:val="none"/>
              </w:rPr>
              <w:t xml:space="preserve">F </w:t>
            </w:r>
          </w:p>
          <w:p w14:paraId="28791A28" w14:textId="4B4E5B13" w:rsidR="000461DF" w:rsidRPr="00A90AE6" w:rsidRDefault="00B64B5B" w:rsidP="000461DF">
            <w:pPr>
              <w:spacing w:before="120"/>
              <w:rPr>
                <w:rFonts w:cs="Arial"/>
                <w:b/>
                <w:bCs/>
                <w:snapToGrid w:val="0"/>
                <w:color w:val="000000"/>
              </w:rPr>
            </w:pPr>
            <w:r w:rsidRPr="00A90AE6">
              <w:rPr>
                <w:rFonts w:cs="Arial"/>
                <w:b/>
                <w:bCs/>
                <w:snapToGrid w:val="0"/>
                <w:color w:val="000000"/>
              </w:rPr>
              <w:t>Excluded Units</w:t>
            </w:r>
            <w:r w:rsidR="000461DF" w:rsidRPr="00A90AE6">
              <w:rPr>
                <w:rFonts w:cs="Arial"/>
                <w:b/>
                <w:bCs/>
                <w:snapToGrid w:val="0"/>
                <w:color w:val="000000"/>
              </w:rPr>
              <w:t>:</w:t>
            </w:r>
          </w:p>
          <w:p w14:paraId="48ED45A6" w14:textId="77777777" w:rsidR="000461DF" w:rsidRDefault="000461DF" w:rsidP="00AD309C">
            <w:pPr>
              <w:pStyle w:val="ListParagraph"/>
              <w:numPr>
                <w:ilvl w:val="0"/>
                <w:numId w:val="390"/>
              </w:numPr>
              <w:spacing w:before="120"/>
              <w:rPr>
                <w:rFonts w:cs="Arial"/>
                <w:snapToGrid w:val="0"/>
                <w:color w:val="000000"/>
              </w:rPr>
            </w:pPr>
            <w:r>
              <w:rPr>
                <w:rFonts w:cs="Arial"/>
                <w:snapToGrid w:val="0"/>
                <w:color w:val="000000"/>
              </w:rPr>
              <w:t>Emergency departments</w:t>
            </w:r>
          </w:p>
          <w:p w14:paraId="5195D855" w14:textId="77777777" w:rsidR="000461DF" w:rsidRDefault="000461DF" w:rsidP="00AD309C">
            <w:pPr>
              <w:pStyle w:val="ListParagraph"/>
              <w:numPr>
                <w:ilvl w:val="0"/>
                <w:numId w:val="390"/>
              </w:numPr>
              <w:spacing w:before="120"/>
              <w:rPr>
                <w:rFonts w:cs="Arial"/>
                <w:snapToGrid w:val="0"/>
                <w:color w:val="000000"/>
              </w:rPr>
            </w:pPr>
            <w:r>
              <w:rPr>
                <w:rFonts w:cs="Arial"/>
                <w:snapToGrid w:val="0"/>
                <w:color w:val="000000"/>
              </w:rPr>
              <w:t>Operating rooms</w:t>
            </w:r>
          </w:p>
          <w:p w14:paraId="7C990559" w14:textId="77777777" w:rsidR="000461DF" w:rsidRDefault="000461DF" w:rsidP="00AD309C">
            <w:pPr>
              <w:pStyle w:val="ListParagraph"/>
              <w:numPr>
                <w:ilvl w:val="0"/>
                <w:numId w:val="390"/>
              </w:numPr>
              <w:spacing w:before="120"/>
              <w:rPr>
                <w:rFonts w:cs="Arial"/>
                <w:snapToGrid w:val="0"/>
                <w:color w:val="000000"/>
              </w:rPr>
            </w:pPr>
            <w:r>
              <w:rPr>
                <w:rFonts w:cs="Arial"/>
                <w:snapToGrid w:val="0"/>
                <w:color w:val="000000"/>
              </w:rPr>
              <w:t>Procedural and diagnostic areas, such as radiology units, endoscopy units, etc.</w:t>
            </w:r>
          </w:p>
          <w:p w14:paraId="23DC6DC6" w14:textId="77777777" w:rsidR="000461DF" w:rsidRDefault="000461DF" w:rsidP="00AD309C">
            <w:pPr>
              <w:pStyle w:val="ListParagraph"/>
              <w:numPr>
                <w:ilvl w:val="1"/>
                <w:numId w:val="390"/>
              </w:numPr>
              <w:spacing w:before="120"/>
              <w:rPr>
                <w:rFonts w:cs="Arial"/>
                <w:snapToGrid w:val="0"/>
                <w:color w:val="000000"/>
              </w:rPr>
            </w:pPr>
            <w:r>
              <w:rPr>
                <w:rFonts w:cs="Arial"/>
                <w:snapToGrid w:val="0"/>
                <w:color w:val="000000"/>
              </w:rPr>
              <w:t>Note: Pre-operative and post-anesthesia care areas in these units must be included</w:t>
            </w:r>
          </w:p>
          <w:p w14:paraId="54F2E634" w14:textId="388F767D" w:rsidR="008B787F" w:rsidRPr="003301F3" w:rsidRDefault="008B787F" w:rsidP="00AD309C">
            <w:pPr>
              <w:pStyle w:val="ListParagraph"/>
              <w:numPr>
                <w:ilvl w:val="0"/>
                <w:numId w:val="390"/>
              </w:numPr>
              <w:spacing w:before="120"/>
              <w:rPr>
                <w:rFonts w:cs="Arial"/>
                <w:snapToGrid w:val="0"/>
                <w:color w:val="000000"/>
              </w:rPr>
            </w:pPr>
            <w:r>
              <w:rPr>
                <w:rFonts w:cs="Arial"/>
                <w:snapToGrid w:val="0"/>
                <w:color w:val="000000"/>
              </w:rPr>
              <w:t>Units that were not open for the entire reporting period or that are not currently open</w:t>
            </w:r>
          </w:p>
          <w:p w14:paraId="4867CD0F" w14:textId="38671A7C" w:rsidR="008B787F" w:rsidRPr="003301F3" w:rsidRDefault="008B787F" w:rsidP="003301F3">
            <w:pPr>
              <w:spacing w:before="120"/>
              <w:rPr>
                <w:rFonts w:cs="Arial"/>
                <w:snapToGrid w:val="0"/>
                <w:color w:val="000000"/>
              </w:rPr>
            </w:pPr>
            <w:r w:rsidRPr="003301F3">
              <w:rPr>
                <w:rFonts w:cs="Arial"/>
                <w:b/>
                <w:bCs/>
                <w:snapToGrid w:val="0"/>
                <w:color w:val="000000"/>
              </w:rPr>
              <w:t>Important Note:</w:t>
            </w:r>
            <w:r w:rsidRPr="003301F3">
              <w:rPr>
                <w:rFonts w:cs="Arial"/>
                <w:snapToGrid w:val="0"/>
                <w:color w:val="000000"/>
              </w:rPr>
              <w:t xml:space="preserve"> Hospitals should count units as they do internally (i.e., if units are considered separate units despite sharing a space, report the units as two; if they are considered a single combined unit, report the unit as one</w:t>
            </w:r>
            <w:r w:rsidR="00E70234">
              <w:rPr>
                <w:rFonts w:cs="Arial"/>
                <w:snapToGrid w:val="0"/>
                <w:color w:val="000000"/>
              </w:rPr>
              <w:t>)</w:t>
            </w:r>
            <w:r w:rsidRPr="003301F3">
              <w:rPr>
                <w:rFonts w:cs="Arial"/>
                <w:snapToGrid w:val="0"/>
                <w:color w:val="000000"/>
              </w:rPr>
              <w:t>.</w:t>
            </w:r>
          </w:p>
        </w:tc>
      </w:tr>
      <w:tr w:rsidR="00CF7851" w14:paraId="6A91FAC6" w14:textId="77777777" w:rsidTr="00FB2D5F">
        <w:trPr>
          <w:trHeight w:val="5472"/>
        </w:trPr>
        <w:tc>
          <w:tcPr>
            <w:tcW w:w="9445" w:type="dxa"/>
            <w:vAlign w:val="center"/>
          </w:tcPr>
          <w:p w14:paraId="7DAA9147" w14:textId="77777777" w:rsidR="00CF7851" w:rsidRPr="00B56FD2" w:rsidRDefault="00CF7851" w:rsidP="00245AE3">
            <w:pPr>
              <w:rPr>
                <w:rFonts w:cs="Arial"/>
                <w:bCs/>
              </w:rPr>
            </w:pPr>
            <w:r w:rsidRPr="00CF7851">
              <w:rPr>
                <w:rFonts w:cs="Arial"/>
                <w:b/>
              </w:rPr>
              <w:t>Medications:</w:t>
            </w:r>
            <w:r>
              <w:rPr>
                <w:rFonts w:cs="Arial"/>
                <w:bCs/>
              </w:rPr>
              <w:t xml:space="preserve"> </w:t>
            </w:r>
            <w:r w:rsidRPr="00B56FD2">
              <w:rPr>
                <w:rFonts w:cs="Arial"/>
                <w:bCs/>
              </w:rPr>
              <w:t xml:space="preserve">For the purposes of this measure, a </w:t>
            </w:r>
            <w:r w:rsidRPr="00B56FD2">
              <w:rPr>
                <w:rFonts w:cs="Arial"/>
                <w:b/>
              </w:rPr>
              <w:t>medication</w:t>
            </w:r>
            <w:r w:rsidRPr="00B56FD2">
              <w:rPr>
                <w:rFonts w:cs="Arial"/>
                <w:bCs/>
              </w:rPr>
              <w:t xml:space="preserve"> is a substance that is taken into, or placed onto, the body of a person for one or more of the following reasons: </w:t>
            </w:r>
          </w:p>
          <w:p w14:paraId="13945EC9" w14:textId="77777777" w:rsidR="00CF7851" w:rsidRPr="00CF7851" w:rsidRDefault="00CF7851" w:rsidP="00AD309C">
            <w:pPr>
              <w:pStyle w:val="ListParagraph"/>
              <w:numPr>
                <w:ilvl w:val="0"/>
                <w:numId w:val="185"/>
              </w:numPr>
              <w:rPr>
                <w:rFonts w:cs="Arial"/>
                <w:bCs/>
              </w:rPr>
            </w:pPr>
            <w:r w:rsidRPr="00CF7851">
              <w:rPr>
                <w:rFonts w:cs="Arial"/>
                <w:bCs/>
              </w:rPr>
              <w:t>as a placebo</w:t>
            </w:r>
          </w:p>
          <w:p w14:paraId="3E050097" w14:textId="77777777" w:rsidR="00CF7851" w:rsidRPr="00CF7851" w:rsidRDefault="00CF7851" w:rsidP="00AD309C">
            <w:pPr>
              <w:pStyle w:val="ListParagraph"/>
              <w:numPr>
                <w:ilvl w:val="0"/>
                <w:numId w:val="185"/>
              </w:numPr>
              <w:rPr>
                <w:rFonts w:cs="Arial"/>
                <w:bCs/>
              </w:rPr>
            </w:pPr>
            <w:r w:rsidRPr="00CF7851">
              <w:rPr>
                <w:rFonts w:cs="Arial"/>
                <w:bCs/>
              </w:rPr>
              <w:t>to prevent a disease (e.g., flu vaccine)</w:t>
            </w:r>
          </w:p>
          <w:p w14:paraId="60F463D7" w14:textId="77777777" w:rsidR="00CF7851" w:rsidRPr="00CF7851" w:rsidRDefault="00CF7851" w:rsidP="00AD309C">
            <w:pPr>
              <w:pStyle w:val="ListParagraph"/>
              <w:numPr>
                <w:ilvl w:val="0"/>
                <w:numId w:val="185"/>
              </w:numPr>
              <w:rPr>
                <w:rFonts w:cs="Arial"/>
                <w:bCs/>
              </w:rPr>
            </w:pPr>
            <w:r w:rsidRPr="00CF7851">
              <w:rPr>
                <w:rFonts w:cs="Arial"/>
                <w:bCs/>
              </w:rPr>
              <w:t>to make a diagnosis (e.g., contrast dye)</w:t>
            </w:r>
          </w:p>
          <w:p w14:paraId="1AA717C8" w14:textId="77777777" w:rsidR="00CF7851" w:rsidRPr="00CF7851" w:rsidRDefault="00CF7851" w:rsidP="00AD309C">
            <w:pPr>
              <w:pStyle w:val="ListParagraph"/>
              <w:numPr>
                <w:ilvl w:val="0"/>
                <w:numId w:val="185"/>
              </w:numPr>
              <w:rPr>
                <w:rFonts w:cs="Arial"/>
                <w:bCs/>
              </w:rPr>
            </w:pPr>
            <w:r w:rsidRPr="00CF7851">
              <w:rPr>
                <w:rFonts w:cs="Arial"/>
                <w:bCs/>
              </w:rPr>
              <w:t>to test for the possibility of an adverse effect</w:t>
            </w:r>
          </w:p>
          <w:p w14:paraId="174823FB" w14:textId="77777777" w:rsidR="00CF7851" w:rsidRPr="00CF7851" w:rsidRDefault="00CF7851" w:rsidP="00AD309C">
            <w:pPr>
              <w:pStyle w:val="ListParagraph"/>
              <w:numPr>
                <w:ilvl w:val="0"/>
                <w:numId w:val="185"/>
              </w:numPr>
              <w:rPr>
                <w:rFonts w:cs="Arial"/>
                <w:bCs/>
              </w:rPr>
            </w:pPr>
            <w:r w:rsidRPr="00CF7851">
              <w:rPr>
                <w:rFonts w:cs="Arial"/>
                <w:bCs/>
              </w:rPr>
              <w:t>to modify a physiological, biochemical or anatomical function or abnormality (e.g., heparin/heparin flushes, statins, antihypertensives, etc.)</w:t>
            </w:r>
          </w:p>
          <w:p w14:paraId="4599233C" w14:textId="77777777" w:rsidR="00CF7851" w:rsidRPr="00CF7851" w:rsidRDefault="00CF7851" w:rsidP="00AD309C">
            <w:pPr>
              <w:pStyle w:val="ListParagraph"/>
              <w:numPr>
                <w:ilvl w:val="0"/>
                <w:numId w:val="185"/>
              </w:numPr>
              <w:rPr>
                <w:rFonts w:cs="Arial"/>
                <w:bCs/>
              </w:rPr>
            </w:pPr>
            <w:r w:rsidRPr="00CF7851">
              <w:rPr>
                <w:rFonts w:cs="Arial"/>
                <w:bCs/>
              </w:rPr>
              <w:t>to replace a missing factor (e.g., blood product)</w:t>
            </w:r>
          </w:p>
          <w:p w14:paraId="1EE9807A" w14:textId="77777777" w:rsidR="00CF7851" w:rsidRPr="00CF7851" w:rsidRDefault="00CF7851" w:rsidP="00AD309C">
            <w:pPr>
              <w:pStyle w:val="ListParagraph"/>
              <w:numPr>
                <w:ilvl w:val="0"/>
                <w:numId w:val="185"/>
              </w:numPr>
              <w:rPr>
                <w:rFonts w:cs="Arial"/>
                <w:bCs/>
              </w:rPr>
            </w:pPr>
            <w:r w:rsidRPr="00CF7851">
              <w:rPr>
                <w:rFonts w:cs="Arial"/>
                <w:bCs/>
              </w:rPr>
              <w:t>to ameliorate a symptom (e.g., aspirin)</w:t>
            </w:r>
          </w:p>
          <w:p w14:paraId="7EF28D53" w14:textId="77777777" w:rsidR="00CF7851" w:rsidRPr="00CF7851" w:rsidRDefault="00CF7851" w:rsidP="00AD309C">
            <w:pPr>
              <w:pStyle w:val="ListParagraph"/>
              <w:numPr>
                <w:ilvl w:val="0"/>
                <w:numId w:val="185"/>
              </w:numPr>
              <w:rPr>
                <w:rFonts w:cs="Arial"/>
                <w:bCs/>
              </w:rPr>
            </w:pPr>
            <w:r w:rsidRPr="00CF7851">
              <w:rPr>
                <w:rFonts w:cs="Arial"/>
                <w:bCs/>
              </w:rPr>
              <w:t xml:space="preserve">to treat a disease or condition (including topicals, nasal sprays, eye drops, compounds, inhalants, injectables, patches, etc.) </w:t>
            </w:r>
          </w:p>
          <w:p w14:paraId="3A24B485" w14:textId="77777777" w:rsidR="00CF7851" w:rsidRPr="00CF7851" w:rsidRDefault="00CF7851" w:rsidP="00AD309C">
            <w:pPr>
              <w:pStyle w:val="ListParagraph"/>
              <w:numPr>
                <w:ilvl w:val="0"/>
                <w:numId w:val="185"/>
              </w:numPr>
              <w:rPr>
                <w:rFonts w:cs="Arial"/>
                <w:bCs/>
              </w:rPr>
            </w:pPr>
            <w:r w:rsidRPr="00CF7851">
              <w:rPr>
                <w:rFonts w:cs="Arial"/>
                <w:bCs/>
              </w:rPr>
              <w:t>to induce anesthesia</w:t>
            </w:r>
          </w:p>
          <w:p w14:paraId="2D2E2676" w14:textId="77777777" w:rsidR="00CF7851" w:rsidRPr="00CF7851" w:rsidRDefault="00CF7851" w:rsidP="00AD309C">
            <w:pPr>
              <w:pStyle w:val="ListParagraph"/>
              <w:numPr>
                <w:ilvl w:val="0"/>
                <w:numId w:val="185"/>
              </w:numPr>
              <w:rPr>
                <w:rFonts w:cs="Arial"/>
                <w:bCs/>
              </w:rPr>
            </w:pPr>
            <w:r w:rsidRPr="00CF7851">
              <w:rPr>
                <w:rFonts w:cs="Arial"/>
                <w:bCs/>
              </w:rPr>
              <w:t xml:space="preserve">to stabilize or hydrate during medical treatment or procedures (e.g., IV fluids, normal saline, lactated ringers, etc.) </w:t>
            </w:r>
          </w:p>
          <w:p w14:paraId="5E865608" w14:textId="77777777" w:rsidR="00CF7851" w:rsidRPr="00CF7851" w:rsidRDefault="00CF7851" w:rsidP="00AD309C">
            <w:pPr>
              <w:pStyle w:val="ListParagraph"/>
              <w:numPr>
                <w:ilvl w:val="0"/>
                <w:numId w:val="185"/>
              </w:numPr>
              <w:rPr>
                <w:rFonts w:cs="Arial"/>
                <w:bCs/>
              </w:rPr>
            </w:pPr>
            <w:r w:rsidRPr="00CF7851">
              <w:rPr>
                <w:rFonts w:cs="Arial"/>
                <w:bCs/>
              </w:rPr>
              <w:t>to provide nutrition (e.g., enteral nutrition products, parenteral nutrition products, breast milk [breast milk applies to BCMA measure only])</w:t>
            </w:r>
          </w:p>
          <w:p w14:paraId="14E388F9" w14:textId="601871E4" w:rsidR="00CF7851" w:rsidRDefault="00CF7851" w:rsidP="00AD309C">
            <w:pPr>
              <w:pStyle w:val="ListParagraph"/>
              <w:numPr>
                <w:ilvl w:val="0"/>
                <w:numId w:val="185"/>
              </w:numPr>
              <w:rPr>
                <w:rFonts w:cs="Arial"/>
                <w:bCs/>
              </w:rPr>
            </w:pPr>
            <w:r w:rsidRPr="00CF7851">
              <w:rPr>
                <w:rFonts w:cs="Arial"/>
                <w:bCs/>
              </w:rPr>
              <w:t>as a supplement (e.g., iron for a patient with iron deficiency anemia or calcium/vitamin D for a patient with osteoporosis)</w:t>
            </w:r>
          </w:p>
          <w:p w14:paraId="47B7CD85" w14:textId="77777777" w:rsidR="0093058B" w:rsidRPr="00CF4879" w:rsidRDefault="0093058B" w:rsidP="00245AE3">
            <w:pPr>
              <w:rPr>
                <w:rFonts w:cs="Arial"/>
                <w:bCs/>
                <w:sz w:val="10"/>
                <w:szCs w:val="10"/>
              </w:rPr>
            </w:pPr>
          </w:p>
          <w:p w14:paraId="1474AEE2" w14:textId="77777777" w:rsidR="00B04A67" w:rsidRDefault="00CF7851" w:rsidP="00CF4879">
            <w:pPr>
              <w:rPr>
                <w:rFonts w:cs="Arial"/>
                <w:bCs/>
              </w:rPr>
            </w:pPr>
            <w:r w:rsidRPr="005245FF">
              <w:rPr>
                <w:rFonts w:cs="Arial"/>
                <w:bCs/>
              </w:rPr>
              <w:t xml:space="preserve">For the purposes of this measure, the following are </w:t>
            </w:r>
            <w:r w:rsidRPr="005245FF">
              <w:rPr>
                <w:rFonts w:cs="Arial"/>
                <w:b/>
                <w:u w:val="single"/>
              </w:rPr>
              <w:t>not</w:t>
            </w:r>
            <w:r w:rsidRPr="005245FF">
              <w:rPr>
                <w:rFonts w:cs="Arial"/>
                <w:bCs/>
              </w:rPr>
              <w:t xml:space="preserve"> considered medications: </w:t>
            </w:r>
          </w:p>
          <w:p w14:paraId="522FB71F" w14:textId="77777777" w:rsidR="00B04A67" w:rsidRDefault="00CF7851" w:rsidP="00AD309C">
            <w:pPr>
              <w:pStyle w:val="ListParagraph"/>
              <w:numPr>
                <w:ilvl w:val="0"/>
                <w:numId w:val="175"/>
              </w:numPr>
              <w:rPr>
                <w:rFonts w:cs="Arial"/>
                <w:bCs/>
              </w:rPr>
            </w:pPr>
            <w:r w:rsidRPr="00B04A67">
              <w:rPr>
                <w:rFonts w:cs="Arial"/>
                <w:bCs/>
              </w:rPr>
              <w:t>Pre-filled saline flushes and pre-filled heparin flushes</w:t>
            </w:r>
            <w:r w:rsidR="00157FDB" w:rsidRPr="00B04A67">
              <w:rPr>
                <w:rFonts w:cs="Arial"/>
                <w:bCs/>
              </w:rPr>
              <w:t xml:space="preserve"> </w:t>
            </w:r>
            <w:r w:rsidR="00B04A67" w:rsidRPr="002E0EA8">
              <w:rPr>
                <w:rFonts w:cs="Arial"/>
                <w:bCs/>
              </w:rPr>
              <w:t>(i.e., saline and heparin flushes that come from the manufacturer already filled and are not filled by the hospital’s pharmacy)</w:t>
            </w:r>
          </w:p>
          <w:p w14:paraId="0B91032C" w14:textId="77777777" w:rsidR="00B04A67" w:rsidRPr="009B2D5C" w:rsidRDefault="00B04A67" w:rsidP="00AD309C">
            <w:pPr>
              <w:pStyle w:val="ListParagraph"/>
              <w:numPr>
                <w:ilvl w:val="0"/>
                <w:numId w:val="175"/>
              </w:numPr>
              <w:rPr>
                <w:rFonts w:cs="Arial"/>
                <w:bCs/>
              </w:rPr>
            </w:pPr>
            <w:r w:rsidRPr="009B2D5C">
              <w:rPr>
                <w:rFonts w:cs="Arial"/>
              </w:rPr>
              <w:t>Chlorhexidine and alcohol preparation pads</w:t>
            </w:r>
          </w:p>
          <w:p w14:paraId="5E7B32CE" w14:textId="5271861A" w:rsidR="00CF7851" w:rsidRPr="00B04A67" w:rsidRDefault="00B04A67" w:rsidP="00AD309C">
            <w:pPr>
              <w:pStyle w:val="ListParagraph"/>
              <w:numPr>
                <w:ilvl w:val="0"/>
                <w:numId w:val="385"/>
              </w:numPr>
              <w:rPr>
                <w:rFonts w:cs="Arial"/>
                <w:bCs/>
              </w:rPr>
            </w:pPr>
            <w:r>
              <w:rPr>
                <w:rFonts w:cs="Arial"/>
                <w:bCs/>
              </w:rPr>
              <w:t>Intra-op irrigation solutions</w:t>
            </w:r>
          </w:p>
        </w:tc>
      </w:tr>
      <w:tr w:rsidR="00521BFD" w14:paraId="075062DE" w14:textId="77777777" w:rsidTr="00FB2D5F">
        <w:trPr>
          <w:trHeight w:val="1152"/>
        </w:trPr>
        <w:tc>
          <w:tcPr>
            <w:tcW w:w="9445" w:type="dxa"/>
            <w:vAlign w:val="center"/>
          </w:tcPr>
          <w:p w14:paraId="1D938173" w14:textId="39EA0C5B" w:rsidR="004E474D" w:rsidRPr="004E474D" w:rsidRDefault="004E474D" w:rsidP="00245AE3">
            <w:pPr>
              <w:rPr>
                <w:rFonts w:cs="Arial"/>
              </w:rPr>
            </w:pPr>
            <w:r w:rsidRPr="004E474D">
              <w:rPr>
                <w:rFonts w:cs="Arial"/>
                <w:b/>
                <w:bCs/>
              </w:rPr>
              <w:t xml:space="preserve">Question </w:t>
            </w:r>
            <w:r w:rsidR="007C7552" w:rsidRPr="0093058B">
              <w:rPr>
                <w:rFonts w:cs="Arial"/>
                <w:b/>
                <w:bCs/>
              </w:rPr>
              <w:t>#</w:t>
            </w:r>
            <w:r w:rsidRPr="004E474D">
              <w:rPr>
                <w:rFonts w:cs="Arial"/>
                <w:b/>
                <w:bCs/>
              </w:rPr>
              <w:t>1</w:t>
            </w:r>
            <w:r w:rsidR="008846BB">
              <w:rPr>
                <w:rFonts w:cs="Arial"/>
                <w:b/>
                <w:bCs/>
              </w:rPr>
              <w:t>8</w:t>
            </w:r>
            <w:r w:rsidRPr="004E474D">
              <w:rPr>
                <w:rFonts w:cs="Arial"/>
                <w:b/>
                <w:bCs/>
              </w:rPr>
              <w:t xml:space="preserve"> (denominator):</w:t>
            </w:r>
            <w:r w:rsidRPr="004E474D">
              <w:rPr>
                <w:rFonts w:cs="Arial"/>
              </w:rPr>
              <w:t xml:space="preserve"> Total number of scannable medication administrations during the reporting period in those units that utilize BCMA as indicated in questions #5, #8, #11</w:t>
            </w:r>
            <w:r w:rsidR="008059FF">
              <w:rPr>
                <w:rFonts w:cs="Arial"/>
              </w:rPr>
              <w:t xml:space="preserve">, </w:t>
            </w:r>
            <w:r w:rsidR="002332CE">
              <w:rPr>
                <w:rFonts w:cs="Arial"/>
              </w:rPr>
              <w:t xml:space="preserve">#14 </w:t>
            </w:r>
            <w:r w:rsidR="008059FF">
              <w:rPr>
                <w:rFonts w:cs="Arial"/>
              </w:rPr>
              <w:t>and #1</w:t>
            </w:r>
            <w:r w:rsidR="002332CE">
              <w:rPr>
                <w:rFonts w:cs="Arial"/>
              </w:rPr>
              <w:t>7</w:t>
            </w:r>
            <w:r w:rsidRPr="004E474D">
              <w:rPr>
                <w:rFonts w:cs="Arial"/>
              </w:rPr>
              <w:t>. </w:t>
            </w:r>
          </w:p>
          <w:p w14:paraId="3ED9E248" w14:textId="61141156" w:rsidR="004E474D" w:rsidRPr="00CF4879" w:rsidRDefault="004E474D" w:rsidP="00245AE3">
            <w:pPr>
              <w:rPr>
                <w:rFonts w:cs="Arial"/>
                <w:sz w:val="10"/>
                <w:szCs w:val="10"/>
              </w:rPr>
            </w:pPr>
          </w:p>
          <w:p w14:paraId="67381C7B" w14:textId="45E2482B" w:rsidR="004E474D" w:rsidRDefault="004E474D" w:rsidP="00245AE3">
            <w:pPr>
              <w:rPr>
                <w:rFonts w:cs="Arial"/>
              </w:rPr>
            </w:pPr>
            <w:r w:rsidRPr="004E474D">
              <w:rPr>
                <w:rFonts w:cs="Arial"/>
                <w:b/>
                <w:bCs/>
              </w:rPr>
              <w:t>Include</w:t>
            </w:r>
            <w:r w:rsidR="008059FF">
              <w:rPr>
                <w:rFonts w:cs="Arial"/>
              </w:rPr>
              <w:t xml:space="preserve"> a</w:t>
            </w:r>
            <w:r w:rsidRPr="004E474D">
              <w:rPr>
                <w:rFonts w:cs="Arial"/>
              </w:rPr>
              <w:t>ll scannable medication administrations</w:t>
            </w:r>
            <w:r w:rsidR="006C7DF5" w:rsidRPr="004E474D">
              <w:rPr>
                <w:rFonts w:cs="Arial"/>
              </w:rPr>
              <w:t xml:space="preserve"> </w:t>
            </w:r>
            <w:r w:rsidR="006C7DF5">
              <w:rPr>
                <w:rFonts w:cs="Arial"/>
              </w:rPr>
              <w:t xml:space="preserve">(regardless of </w:t>
            </w:r>
            <w:r w:rsidR="00211E25">
              <w:rPr>
                <w:rFonts w:cs="Arial"/>
              </w:rPr>
              <w:t xml:space="preserve">patient’s </w:t>
            </w:r>
            <w:r w:rsidR="006C7DF5">
              <w:rPr>
                <w:rFonts w:cs="Arial"/>
              </w:rPr>
              <w:t>admission status</w:t>
            </w:r>
            <w:r w:rsidR="008035D1">
              <w:rPr>
                <w:rFonts w:cs="Arial"/>
              </w:rPr>
              <w:t xml:space="preserve"> and administering provider</w:t>
            </w:r>
            <w:r w:rsidR="006C7DF5">
              <w:rPr>
                <w:rFonts w:cs="Arial"/>
              </w:rPr>
              <w:t xml:space="preserve">) </w:t>
            </w:r>
            <w:r w:rsidRPr="004E474D">
              <w:rPr>
                <w:rFonts w:cs="Arial"/>
              </w:rPr>
              <w:t xml:space="preserve">in </w:t>
            </w:r>
            <w:r w:rsidR="00DC563C">
              <w:rPr>
                <w:rFonts w:cs="Arial"/>
              </w:rPr>
              <w:t>a</w:t>
            </w:r>
            <w:r w:rsidR="00DC563C">
              <w:t xml:space="preserve">dult and/or pediatric </w:t>
            </w:r>
            <w:r w:rsidR="00B44711">
              <w:rPr>
                <w:rFonts w:cs="Arial"/>
              </w:rPr>
              <w:t>general medical</w:t>
            </w:r>
            <w:r w:rsidR="00BA5781">
              <w:rPr>
                <w:rFonts w:cs="Arial"/>
              </w:rPr>
              <w:t>,</w:t>
            </w:r>
            <w:r w:rsidR="00BA5781">
              <w:t xml:space="preserve"> surgical, medical/</w:t>
            </w:r>
            <w:r w:rsidR="00B44711">
              <w:rPr>
                <w:rFonts w:cs="Arial"/>
              </w:rPr>
              <w:t>surgical</w:t>
            </w:r>
            <w:r w:rsidR="00FF3C88">
              <w:rPr>
                <w:rFonts w:cs="Arial"/>
              </w:rPr>
              <w:t>,</w:t>
            </w:r>
            <w:r w:rsidR="00906D6C">
              <w:rPr>
                <w:rFonts w:cs="Arial"/>
              </w:rPr>
              <w:t xml:space="preserve"> </w:t>
            </w:r>
            <w:r w:rsidR="00B44711">
              <w:rPr>
                <w:rFonts w:cs="Arial"/>
              </w:rPr>
              <w:t>neuro, neonatal</w:t>
            </w:r>
            <w:r w:rsidR="00205371">
              <w:rPr>
                <w:rFonts w:cs="Arial"/>
              </w:rPr>
              <w:t>,</w:t>
            </w:r>
            <w:r w:rsidR="00205371">
              <w:t xml:space="preserve"> and</w:t>
            </w:r>
            <w:r w:rsidR="00205371">
              <w:rPr>
                <w:rFonts w:cs="Arial"/>
              </w:rPr>
              <w:t xml:space="preserve"> </w:t>
            </w:r>
            <w:r w:rsidR="00B44711">
              <w:rPr>
                <w:rFonts w:cs="Arial"/>
              </w:rPr>
              <w:t>specialty ICUs</w:t>
            </w:r>
            <w:r w:rsidR="00A716AE">
              <w:rPr>
                <w:rFonts w:cs="Arial"/>
              </w:rPr>
              <w:t>;</w:t>
            </w:r>
            <w:r w:rsidR="00B44711">
              <w:rPr>
                <w:rFonts w:cs="Arial"/>
              </w:rPr>
              <w:t xml:space="preserve"> </w:t>
            </w:r>
            <w:r w:rsidRPr="004E474D">
              <w:rPr>
                <w:rFonts w:cs="Arial"/>
              </w:rPr>
              <w:t>medical</w:t>
            </w:r>
            <w:r w:rsidR="00A716AE">
              <w:rPr>
                <w:rFonts w:cs="Arial"/>
              </w:rPr>
              <w:t xml:space="preserve">, </w:t>
            </w:r>
            <w:r w:rsidRPr="004E474D">
              <w:rPr>
                <w:rFonts w:cs="Arial"/>
              </w:rPr>
              <w:t>surgical</w:t>
            </w:r>
            <w:r w:rsidR="00A716AE">
              <w:rPr>
                <w:rFonts w:cs="Arial"/>
              </w:rPr>
              <w:t>,</w:t>
            </w:r>
            <w:r w:rsidR="00250BC2">
              <w:rPr>
                <w:rFonts w:cs="Arial"/>
              </w:rPr>
              <w:t xml:space="preserve"> and</w:t>
            </w:r>
            <w:r w:rsidR="00A716AE">
              <w:rPr>
                <w:rFonts w:cs="Arial"/>
              </w:rPr>
              <w:t xml:space="preserve"> medical/surgical</w:t>
            </w:r>
            <w:r w:rsidRPr="004E474D">
              <w:rPr>
                <w:rFonts w:cs="Arial"/>
              </w:rPr>
              <w:t xml:space="preserve"> units (including telemetry units)</w:t>
            </w:r>
            <w:r w:rsidR="00413DBC">
              <w:rPr>
                <w:rFonts w:cs="Arial"/>
              </w:rPr>
              <w:t>;</w:t>
            </w:r>
            <w:r w:rsidRPr="004E474D">
              <w:rPr>
                <w:rFonts w:cs="Arial"/>
              </w:rPr>
              <w:t xml:space="preserve"> </w:t>
            </w:r>
            <w:r w:rsidR="005E3C85">
              <w:rPr>
                <w:rFonts w:cs="Arial"/>
              </w:rPr>
              <w:lastRenderedPageBreak/>
              <w:t>step-down/progressive units</w:t>
            </w:r>
            <w:r w:rsidR="00520CCE">
              <w:rPr>
                <w:rFonts w:cs="Arial"/>
              </w:rPr>
              <w:t>;</w:t>
            </w:r>
            <w:r w:rsidR="005E3C85">
              <w:rPr>
                <w:rFonts w:cs="Arial"/>
              </w:rPr>
              <w:t xml:space="preserve"> </w:t>
            </w:r>
            <w:r w:rsidRPr="004E474D">
              <w:rPr>
                <w:rFonts w:cs="Arial"/>
              </w:rPr>
              <w:t>labor and delivery units</w:t>
            </w:r>
            <w:r w:rsidR="00520CCE">
              <w:rPr>
                <w:rFonts w:cs="Arial"/>
              </w:rPr>
              <w:t>;</w:t>
            </w:r>
            <w:r w:rsidR="008059FF">
              <w:rPr>
                <w:rFonts w:cs="Arial"/>
              </w:rPr>
              <w:t xml:space="preserve"> and </w:t>
            </w:r>
            <w:r w:rsidR="00157FDB">
              <w:rPr>
                <w:rFonts w:cs="Arial"/>
              </w:rPr>
              <w:t>p</w:t>
            </w:r>
            <w:r w:rsidR="008059FF" w:rsidRPr="0059120C">
              <w:rPr>
                <w:rFonts w:cs="Arial"/>
              </w:rPr>
              <w:t>re-</w:t>
            </w:r>
            <w:r w:rsidR="00157FDB">
              <w:rPr>
                <w:rFonts w:cs="Arial"/>
              </w:rPr>
              <w:t>o</w:t>
            </w:r>
            <w:r w:rsidR="008059FF" w:rsidRPr="0059120C">
              <w:rPr>
                <w:rFonts w:cs="Arial"/>
              </w:rPr>
              <w:t xml:space="preserve">perative </w:t>
            </w:r>
            <w:r w:rsidR="00743EE8">
              <w:rPr>
                <w:rFonts w:cs="Arial"/>
              </w:rPr>
              <w:t>and</w:t>
            </w:r>
            <w:r w:rsidR="008059FF" w:rsidRPr="0059120C">
              <w:rPr>
                <w:rFonts w:cs="Arial"/>
              </w:rPr>
              <w:t xml:space="preserve"> </w:t>
            </w:r>
            <w:r w:rsidR="00157FDB">
              <w:rPr>
                <w:rFonts w:cs="Arial"/>
              </w:rPr>
              <w:t>p</w:t>
            </w:r>
            <w:r w:rsidR="008059FF" w:rsidRPr="0059120C">
              <w:rPr>
                <w:rFonts w:cs="Arial"/>
              </w:rPr>
              <w:t>ost-</w:t>
            </w:r>
            <w:r w:rsidR="00157FDB">
              <w:rPr>
                <w:rFonts w:cs="Arial"/>
              </w:rPr>
              <w:t>a</w:t>
            </w:r>
            <w:r w:rsidR="008059FF" w:rsidRPr="0059120C">
              <w:rPr>
                <w:rFonts w:cs="Arial"/>
              </w:rPr>
              <w:t xml:space="preserve">nesthesia </w:t>
            </w:r>
            <w:r w:rsidR="00157FDB">
              <w:rPr>
                <w:rFonts w:cs="Arial"/>
              </w:rPr>
              <w:t>c</w:t>
            </w:r>
            <w:r w:rsidR="008059FF" w:rsidRPr="0059120C">
              <w:rPr>
                <w:rFonts w:cs="Arial"/>
              </w:rPr>
              <w:t xml:space="preserve">are </w:t>
            </w:r>
            <w:r w:rsidR="00157FDB">
              <w:rPr>
                <w:rFonts w:cs="Arial"/>
              </w:rPr>
              <w:t>u</w:t>
            </w:r>
            <w:r w:rsidR="008059FF" w:rsidRPr="0059120C">
              <w:rPr>
                <w:rFonts w:cs="Arial"/>
              </w:rPr>
              <w:t>nits</w:t>
            </w:r>
            <w:r w:rsidR="00FD4276">
              <w:rPr>
                <w:rFonts w:cs="Arial"/>
              </w:rPr>
              <w:t xml:space="preserve"> </w:t>
            </w:r>
            <w:r w:rsidRPr="004E474D">
              <w:rPr>
                <w:rFonts w:cs="Arial"/>
              </w:rPr>
              <w:t>that utilize a BCMA system that is linked to the electronic medication administration record (eMAR)</w:t>
            </w:r>
            <w:r w:rsidR="008059FF">
              <w:rPr>
                <w:rFonts w:cs="Arial"/>
              </w:rPr>
              <w:t>.</w:t>
            </w:r>
          </w:p>
          <w:p w14:paraId="40BFBFE5" w14:textId="77777777" w:rsidR="0093058B" w:rsidRPr="00CF4879" w:rsidRDefault="0093058B" w:rsidP="00245AE3">
            <w:pPr>
              <w:rPr>
                <w:rFonts w:cs="Arial"/>
                <w:b/>
                <w:bCs/>
                <w:sz w:val="10"/>
                <w:szCs w:val="10"/>
              </w:rPr>
            </w:pPr>
          </w:p>
          <w:p w14:paraId="58C83174" w14:textId="0F894491" w:rsidR="000B1C87" w:rsidRDefault="00AD5C39" w:rsidP="000B1C87">
            <w:pPr>
              <w:rPr>
                <w:rFonts w:cs="Arial"/>
              </w:rPr>
            </w:pPr>
            <w:r>
              <w:rPr>
                <w:rFonts w:cs="Arial"/>
              </w:rPr>
              <w:t>Include m</w:t>
            </w:r>
            <w:r w:rsidR="000B1C87">
              <w:rPr>
                <w:rFonts w:cs="Arial"/>
              </w:rPr>
              <w:t>edication administrations during a procedure if the hospital combines their procedural areas with their pre-operative or post-anesthesia care units and is</w:t>
            </w:r>
            <w:r w:rsidR="000B1C87" w:rsidRPr="005B299B">
              <w:rPr>
                <w:rFonts w:cs="Arial"/>
                <w:b/>
                <w:bCs/>
              </w:rPr>
              <w:t xml:space="preserve"> unable</w:t>
            </w:r>
            <w:r w:rsidR="000B1C87">
              <w:rPr>
                <w:rFonts w:cs="Arial"/>
              </w:rPr>
              <w:t xml:space="preserve"> to distinguish between these medication administrations. </w:t>
            </w:r>
          </w:p>
          <w:p w14:paraId="4D48BB3F" w14:textId="224BAA5F" w:rsidR="000B1C87" w:rsidRDefault="000B1C87" w:rsidP="00245AE3">
            <w:pPr>
              <w:rPr>
                <w:rFonts w:cs="Arial"/>
                <w:b/>
                <w:bCs/>
              </w:rPr>
            </w:pPr>
          </w:p>
          <w:p w14:paraId="6EA98D3F" w14:textId="38090670" w:rsidR="004E474D" w:rsidRPr="004E474D" w:rsidRDefault="004E474D" w:rsidP="00245AE3">
            <w:pPr>
              <w:rPr>
                <w:rFonts w:cs="Arial"/>
                <w:b/>
                <w:bCs/>
              </w:rPr>
            </w:pPr>
            <w:r w:rsidRPr="004E474D">
              <w:rPr>
                <w:rFonts w:cs="Arial"/>
                <w:b/>
                <w:bCs/>
              </w:rPr>
              <w:t>Exclude: </w:t>
            </w:r>
          </w:p>
          <w:p w14:paraId="799C9FAC" w14:textId="53D784A8" w:rsidR="004E474D" w:rsidRPr="004E474D" w:rsidRDefault="004E474D" w:rsidP="00AD309C">
            <w:pPr>
              <w:numPr>
                <w:ilvl w:val="0"/>
                <w:numId w:val="188"/>
              </w:numPr>
              <w:rPr>
                <w:rFonts w:cs="Arial"/>
              </w:rPr>
            </w:pPr>
            <w:r w:rsidRPr="004E474D">
              <w:rPr>
                <w:rFonts w:cs="Arial"/>
              </w:rPr>
              <w:t>Medication administrations in units that are not specified in question #5, #8, #11</w:t>
            </w:r>
            <w:r w:rsidR="008059FF">
              <w:rPr>
                <w:rFonts w:cs="Arial"/>
              </w:rPr>
              <w:t xml:space="preserve">, </w:t>
            </w:r>
            <w:r w:rsidR="005F140C">
              <w:rPr>
                <w:rFonts w:cs="Arial"/>
              </w:rPr>
              <w:t xml:space="preserve">#14 </w:t>
            </w:r>
            <w:r w:rsidR="008059FF">
              <w:rPr>
                <w:rFonts w:cs="Arial"/>
              </w:rPr>
              <w:t>or #1</w:t>
            </w:r>
            <w:r w:rsidR="005F140C">
              <w:rPr>
                <w:rFonts w:cs="Arial"/>
              </w:rPr>
              <w:t>7</w:t>
            </w:r>
          </w:p>
          <w:p w14:paraId="08A67802" w14:textId="77777777" w:rsidR="004E474D" w:rsidRPr="004E474D" w:rsidRDefault="004E474D" w:rsidP="00AD309C">
            <w:pPr>
              <w:numPr>
                <w:ilvl w:val="0"/>
                <w:numId w:val="188"/>
              </w:numPr>
              <w:rPr>
                <w:rFonts w:cs="Arial"/>
              </w:rPr>
            </w:pPr>
            <w:r w:rsidRPr="004E474D">
              <w:rPr>
                <w:rFonts w:cs="Arial"/>
              </w:rPr>
              <w:t>Medication administrations in units that do not utilize a BCMA system that is linked to the eMAR </w:t>
            </w:r>
          </w:p>
          <w:p w14:paraId="274BD77C" w14:textId="77777777" w:rsidR="00B45B78" w:rsidRDefault="004E474D" w:rsidP="00AD309C">
            <w:pPr>
              <w:numPr>
                <w:ilvl w:val="0"/>
                <w:numId w:val="188"/>
              </w:numPr>
              <w:rPr>
                <w:rFonts w:cs="Arial"/>
              </w:rPr>
            </w:pPr>
            <w:r w:rsidRPr="004E474D">
              <w:rPr>
                <w:rFonts w:cs="Arial"/>
              </w:rPr>
              <w:t>Medication administrations in units that have not been open or staffed for the entire 3-month reporting period </w:t>
            </w:r>
            <w:r w:rsidR="00B45B78">
              <w:rPr>
                <w:rFonts w:cs="Arial"/>
              </w:rPr>
              <w:t>or in units that are not open currently</w:t>
            </w:r>
          </w:p>
          <w:p w14:paraId="239681CC" w14:textId="2F066870" w:rsidR="00B45B78" w:rsidRPr="004E474D" w:rsidRDefault="00B45B78" w:rsidP="00AD309C">
            <w:pPr>
              <w:numPr>
                <w:ilvl w:val="0"/>
                <w:numId w:val="188"/>
              </w:numPr>
              <w:rPr>
                <w:rFonts w:cs="Arial"/>
              </w:rPr>
            </w:pPr>
            <w:r>
              <w:rPr>
                <w:rFonts w:cs="Arial"/>
              </w:rPr>
              <w:t>Medication administrations during a procedure if the hospital combines their procedural areas with their pre-operative or post-anesthesia care units and is able to distinguish between these medication administrations</w:t>
            </w:r>
          </w:p>
          <w:p w14:paraId="4E149978" w14:textId="31A8145B" w:rsidR="00521BFD" w:rsidRPr="007C7552" w:rsidRDefault="004E474D" w:rsidP="00AD309C">
            <w:pPr>
              <w:numPr>
                <w:ilvl w:val="0"/>
                <w:numId w:val="188"/>
              </w:numPr>
              <w:rPr>
                <w:rFonts w:cs="Arial"/>
              </w:rPr>
            </w:pPr>
            <w:r w:rsidRPr="004E474D">
              <w:rPr>
                <w:rFonts w:cs="Arial"/>
              </w:rPr>
              <w:t>Administrations of medications that are not “scannable,” i.e., medications that do not have a bar code and could not be scanned if BCMA were in use </w:t>
            </w:r>
          </w:p>
        </w:tc>
      </w:tr>
      <w:tr w:rsidR="00521BFD" w14:paraId="6E476349" w14:textId="77777777" w:rsidTr="00D36222">
        <w:trPr>
          <w:trHeight w:val="720"/>
        </w:trPr>
        <w:tc>
          <w:tcPr>
            <w:tcW w:w="9445" w:type="dxa"/>
            <w:vAlign w:val="center"/>
          </w:tcPr>
          <w:p w14:paraId="17981AA8" w14:textId="4CF41925" w:rsidR="0093058B" w:rsidRDefault="0093058B" w:rsidP="00245AE3">
            <w:pPr>
              <w:rPr>
                <w:rFonts w:cs="Arial"/>
              </w:rPr>
            </w:pPr>
            <w:r w:rsidRPr="0093058B">
              <w:rPr>
                <w:rFonts w:cs="Arial"/>
                <w:b/>
                <w:bCs/>
              </w:rPr>
              <w:lastRenderedPageBreak/>
              <w:t xml:space="preserve">Question </w:t>
            </w:r>
            <w:r w:rsidR="0089785B">
              <w:rPr>
                <w:rFonts w:cs="Arial"/>
                <w:b/>
                <w:bCs/>
              </w:rPr>
              <w:t>#</w:t>
            </w:r>
            <w:r w:rsidRPr="0093058B">
              <w:rPr>
                <w:rFonts w:cs="Arial"/>
                <w:b/>
                <w:bCs/>
              </w:rPr>
              <w:t>1</w:t>
            </w:r>
            <w:r w:rsidR="009E520D">
              <w:rPr>
                <w:rFonts w:cs="Arial"/>
                <w:b/>
                <w:bCs/>
              </w:rPr>
              <w:t>9</w:t>
            </w:r>
            <w:r w:rsidRPr="0093058B">
              <w:rPr>
                <w:rFonts w:cs="Arial"/>
                <w:b/>
                <w:bCs/>
              </w:rPr>
              <w:t xml:space="preserve"> (numerator): </w:t>
            </w:r>
            <w:r w:rsidRPr="008D7A29">
              <w:rPr>
                <w:rFonts w:cs="Arial"/>
              </w:rPr>
              <w:t xml:space="preserve">Total </w:t>
            </w:r>
            <w:r w:rsidRPr="0093058B">
              <w:rPr>
                <w:rFonts w:cs="Arial"/>
              </w:rPr>
              <w:t>number of medication administrations from question #1</w:t>
            </w:r>
            <w:r w:rsidR="00BE0CF5">
              <w:rPr>
                <w:rFonts w:cs="Arial"/>
              </w:rPr>
              <w:t>8</w:t>
            </w:r>
            <w:r w:rsidRPr="0093058B">
              <w:rPr>
                <w:rFonts w:cs="Arial"/>
              </w:rPr>
              <w:t xml:space="preserve"> that had both the patient and the medication scanned during administration with a BCMA system that is linked to the </w:t>
            </w:r>
            <w:r w:rsidR="00D20722">
              <w:rPr>
                <w:rFonts w:cs="Arial"/>
              </w:rPr>
              <w:t>electronic medication administration record (</w:t>
            </w:r>
            <w:r w:rsidR="00D20722" w:rsidRPr="0093058B">
              <w:rPr>
                <w:rFonts w:cs="Arial"/>
              </w:rPr>
              <w:t>eMAR</w:t>
            </w:r>
            <w:r w:rsidR="00D20722">
              <w:rPr>
                <w:rFonts w:cs="Arial"/>
              </w:rPr>
              <w:t>)</w:t>
            </w:r>
            <w:r w:rsidR="00D20722" w:rsidRPr="0093058B">
              <w:rPr>
                <w:rFonts w:cs="Arial"/>
              </w:rPr>
              <w:t>.</w:t>
            </w:r>
          </w:p>
          <w:p w14:paraId="43372AA4" w14:textId="77777777" w:rsidR="0093058B" w:rsidRPr="00CF4879" w:rsidRDefault="0093058B" w:rsidP="00245AE3">
            <w:pPr>
              <w:rPr>
                <w:rFonts w:cs="Arial"/>
                <w:sz w:val="10"/>
                <w:szCs w:val="10"/>
              </w:rPr>
            </w:pPr>
          </w:p>
          <w:p w14:paraId="44FEED32" w14:textId="7F42BC25" w:rsidR="0093058B" w:rsidRDefault="0093058B" w:rsidP="00245AE3">
            <w:pPr>
              <w:rPr>
                <w:rFonts w:cs="Arial"/>
              </w:rPr>
            </w:pPr>
            <w:r w:rsidRPr="0093058B">
              <w:rPr>
                <w:rFonts w:cs="Arial"/>
                <w:b/>
                <w:bCs/>
              </w:rPr>
              <w:t>Include</w:t>
            </w:r>
            <w:r w:rsidR="008059FF">
              <w:rPr>
                <w:rFonts w:cs="Arial"/>
              </w:rPr>
              <w:t xml:space="preserve"> m</w:t>
            </w:r>
            <w:r w:rsidRPr="0093058B">
              <w:rPr>
                <w:rFonts w:cs="Arial"/>
              </w:rPr>
              <w:t>edication administrations where both the patient and medication were scanned during administration with a BCMA system that is linked to the eMAR</w:t>
            </w:r>
            <w:r w:rsidR="008059FF">
              <w:rPr>
                <w:rFonts w:cs="Arial"/>
              </w:rPr>
              <w:t>.</w:t>
            </w:r>
          </w:p>
          <w:p w14:paraId="247CC7BB" w14:textId="77777777" w:rsidR="0093058B" w:rsidRPr="00CF4879" w:rsidRDefault="0093058B" w:rsidP="00245AE3">
            <w:pPr>
              <w:rPr>
                <w:rFonts w:cs="Arial"/>
                <w:b/>
                <w:bCs/>
                <w:sz w:val="10"/>
                <w:szCs w:val="10"/>
              </w:rPr>
            </w:pPr>
          </w:p>
          <w:p w14:paraId="04954A13" w14:textId="4FEDF4FD" w:rsidR="00521BFD" w:rsidRPr="0093058B" w:rsidRDefault="0093058B" w:rsidP="00245AE3">
            <w:pPr>
              <w:rPr>
                <w:rFonts w:cs="Arial"/>
                <w:b/>
                <w:bCs/>
              </w:rPr>
            </w:pPr>
            <w:r w:rsidRPr="0093058B">
              <w:rPr>
                <w:rFonts w:cs="Arial"/>
                <w:b/>
                <w:bCs/>
              </w:rPr>
              <w:t>Exclude</w:t>
            </w:r>
            <w:r w:rsidR="008059FF">
              <w:rPr>
                <w:rFonts w:cs="Arial"/>
              </w:rPr>
              <w:t xml:space="preserve"> m</w:t>
            </w:r>
            <w:r w:rsidRPr="0093058B">
              <w:rPr>
                <w:rFonts w:cs="Arial"/>
              </w:rPr>
              <w:t xml:space="preserve">edication administrations where neither patient nor medication were scanned during administration or only the patient or </w:t>
            </w:r>
            <w:r w:rsidR="008D7A29">
              <w:rPr>
                <w:rFonts w:cs="Arial"/>
              </w:rPr>
              <w:t xml:space="preserve">only the </w:t>
            </w:r>
            <w:r w:rsidRPr="0093058B">
              <w:rPr>
                <w:rFonts w:cs="Arial"/>
              </w:rPr>
              <w:t>medication were scanned with a BCMA system that is linked to the eMAR</w:t>
            </w:r>
            <w:r w:rsidR="008059FF">
              <w:rPr>
                <w:rFonts w:cs="Arial"/>
              </w:rPr>
              <w:t>.</w:t>
            </w:r>
          </w:p>
        </w:tc>
      </w:tr>
    </w:tbl>
    <w:p w14:paraId="34851041" w14:textId="77777777" w:rsidR="008059FF" w:rsidRPr="00C8246A" w:rsidRDefault="008059FF">
      <w:pPr>
        <w:rPr>
          <w:sz w:val="10"/>
          <w:szCs w:val="10"/>
          <w:lang w:eastAsia="ja-JP"/>
        </w:rPr>
      </w:pPr>
    </w:p>
    <w:p w14:paraId="1385468B" w14:textId="4A638E39" w:rsidR="00CF7851" w:rsidRDefault="00CF7851">
      <w:pPr>
        <w:rPr>
          <w:rFonts w:cs="Arial"/>
          <w:b/>
          <w:i/>
          <w:snapToGrid w:val="0"/>
          <w:sz w:val="24"/>
          <w:szCs w:val="24"/>
          <w:lang w:eastAsia="ja-JP"/>
        </w:rPr>
      </w:pPr>
      <w:r w:rsidRPr="009A5185">
        <w:rPr>
          <w:rFonts w:cs="Arial"/>
          <w:color w:val="000000"/>
        </w:rPr>
        <w:t>See</w:t>
      </w:r>
      <w:r>
        <w:rPr>
          <w:rFonts w:cs="Arial"/>
          <w:color w:val="000000"/>
        </w:rPr>
        <w:t xml:space="preserve"> </w:t>
      </w:r>
      <w:hyperlink w:anchor="_Bar_Code_Medication" w:history="1">
        <w:r>
          <w:rPr>
            <w:rStyle w:val="Hyperlink"/>
            <w:rFonts w:cs="Arial"/>
          </w:rPr>
          <w:t>FAQs</w:t>
        </w:r>
      </w:hyperlink>
      <w:bookmarkStart w:id="203" w:name="MedRecSpecs"/>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r>
        <w:br w:type="page"/>
      </w:r>
    </w:p>
    <w:p w14:paraId="51C172C5" w14:textId="3478534D" w:rsidR="0084408C" w:rsidRPr="009A5185" w:rsidRDefault="0084408C" w:rsidP="00AB5B80">
      <w:pPr>
        <w:pStyle w:val="Heading3"/>
      </w:pPr>
      <w:bookmarkStart w:id="204" w:name="_Medication_Reconciliation_1"/>
      <w:bookmarkStart w:id="205" w:name="_Ref123646715"/>
      <w:bookmarkStart w:id="206" w:name="_Toc225877699"/>
      <w:bookmarkEnd w:id="204"/>
      <w:r w:rsidRPr="009A5185">
        <w:lastRenderedPageBreak/>
        <w:t>Medication Reconciliation</w:t>
      </w:r>
      <w:bookmarkEnd w:id="205"/>
      <w:r w:rsidR="00B078B4">
        <w:t xml:space="preserve"> Measure Specifications</w:t>
      </w:r>
      <w:bookmarkEnd w:id="206"/>
    </w:p>
    <w:bookmarkEnd w:id="203"/>
    <w:p w14:paraId="055CCFA1" w14:textId="77777777" w:rsidR="0084408C" w:rsidRPr="009A5185" w:rsidRDefault="0084408C" w:rsidP="0084408C">
      <w:pPr>
        <w:rPr>
          <w:rFonts w:cs="Arial"/>
          <w:lang w:eastAsia="ja-JP"/>
        </w:rPr>
      </w:pPr>
    </w:p>
    <w:p w14:paraId="549601B8" w14:textId="77777777" w:rsidR="0084408C" w:rsidRPr="009A5185" w:rsidRDefault="0084408C" w:rsidP="0084408C">
      <w:pPr>
        <w:rPr>
          <w:rFonts w:cs="Arial"/>
          <w:b/>
          <w:color w:val="FF0000"/>
          <w:lang w:eastAsia="ja-JP"/>
        </w:rPr>
      </w:pPr>
      <w:r w:rsidRPr="009A5185">
        <w:rPr>
          <w:rFonts w:cs="Arial"/>
          <w:b/>
          <w:color w:val="FF0000"/>
          <w:lang w:eastAsia="ja-JP"/>
        </w:rPr>
        <w:t xml:space="preserve">Important Notes: </w:t>
      </w:r>
    </w:p>
    <w:p w14:paraId="19CCCC75" w14:textId="77777777" w:rsidR="0084408C" w:rsidRPr="009A5185" w:rsidRDefault="0084408C" w:rsidP="0084408C">
      <w:pPr>
        <w:rPr>
          <w:rFonts w:cs="Arial"/>
          <w:b/>
          <w:color w:val="FF0000"/>
          <w:lang w:eastAsia="ja-JP"/>
        </w:rPr>
      </w:pPr>
    </w:p>
    <w:p w14:paraId="60CC6B76" w14:textId="43312C43" w:rsidR="0084408C" w:rsidRDefault="0084408C" w:rsidP="0084408C">
      <w:pPr>
        <w:pStyle w:val="BodyText3"/>
        <w:rPr>
          <w:rFonts w:cs="Arial"/>
          <w:color w:val="auto"/>
          <w:lang w:eastAsia="ja-JP"/>
        </w:rPr>
      </w:pPr>
      <w:r w:rsidRPr="009A5185">
        <w:rPr>
          <w:rFonts w:cs="Arial"/>
          <w:color w:val="auto"/>
          <w:lang w:eastAsia="ja-JP"/>
        </w:rPr>
        <w:t>Note 1: This section does not apply to pediatric hospitals.</w:t>
      </w:r>
    </w:p>
    <w:p w14:paraId="507BE74C" w14:textId="0583068C" w:rsidR="0084408C" w:rsidRDefault="0084408C" w:rsidP="0084408C">
      <w:pPr>
        <w:pStyle w:val="BodyText3"/>
        <w:rPr>
          <w:rFonts w:cs="Arial"/>
          <w:color w:val="auto"/>
          <w:lang w:eastAsia="ja-JP"/>
        </w:rPr>
      </w:pPr>
    </w:p>
    <w:p w14:paraId="0E9ED1A0" w14:textId="102D929F" w:rsidR="0084408C" w:rsidRPr="00CF7851" w:rsidRDefault="0084408C" w:rsidP="00CF7851">
      <w:pPr>
        <w:rPr>
          <w:rFonts w:cs="Arial"/>
          <w:snapToGrid w:val="0"/>
        </w:rPr>
      </w:pPr>
      <w:r w:rsidRPr="009A5185">
        <w:rPr>
          <w:rFonts w:cs="Arial"/>
          <w:lang w:eastAsia="ja-JP"/>
        </w:rPr>
        <w:t xml:space="preserve">Note </w:t>
      </w:r>
      <w:r>
        <w:rPr>
          <w:rFonts w:cs="Arial"/>
          <w:lang w:eastAsia="ja-JP"/>
        </w:rPr>
        <w:t>2</w:t>
      </w:r>
      <w:r w:rsidRPr="009A5185">
        <w:rPr>
          <w:rFonts w:cs="Arial"/>
          <w:lang w:eastAsia="ja-JP"/>
        </w:rPr>
        <w:t xml:space="preserve">: </w:t>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182" w:history="1">
        <w:r w:rsidRPr="009A5185">
          <w:rPr>
            <w:rStyle w:val="Hyperlink"/>
            <w:rFonts w:cs="Arial"/>
            <w:snapToGrid w:val="0"/>
          </w:rPr>
          <w:t>Leapfrog’s Multi-Campus Reporting Policy</w:t>
        </w:r>
      </w:hyperlink>
      <w:r w:rsidRPr="009A5185">
        <w:rPr>
          <w:rFonts w:cs="Arial"/>
          <w:snapToGrid w:val="0"/>
        </w:rPr>
        <w:t>.</w:t>
      </w:r>
    </w:p>
    <w:p w14:paraId="1D43683C" w14:textId="77777777" w:rsidR="0084408C" w:rsidRPr="009A5185" w:rsidRDefault="0084408C" w:rsidP="0084408C">
      <w:pPr>
        <w:rPr>
          <w:rFonts w:cs="Arial"/>
          <w:b/>
          <w:color w:val="FF0000"/>
          <w:lang w:eastAsia="ja-JP"/>
        </w:rPr>
      </w:pPr>
    </w:p>
    <w:p w14:paraId="3E027B85" w14:textId="74E0EDD3" w:rsidR="0084408C" w:rsidRPr="009A5185" w:rsidRDefault="0084408C" w:rsidP="0084408C">
      <w:pPr>
        <w:rPr>
          <w:rFonts w:cs="Arial"/>
          <w:b/>
          <w:color w:val="FF0000"/>
          <w:lang w:eastAsia="ja-JP"/>
        </w:rPr>
      </w:pPr>
      <w:r w:rsidRPr="009A5185">
        <w:rPr>
          <w:rFonts w:cs="Arial"/>
          <w:lang w:eastAsia="ja-JP"/>
        </w:rPr>
        <w:t xml:space="preserve">Note </w:t>
      </w:r>
      <w:r>
        <w:rPr>
          <w:rFonts w:cs="Arial"/>
          <w:lang w:eastAsia="ja-JP"/>
        </w:rPr>
        <w:t>3</w:t>
      </w:r>
      <w:r w:rsidRPr="009A5185">
        <w:rPr>
          <w:rFonts w:cs="Arial"/>
          <w:lang w:eastAsia="ja-JP"/>
        </w:rPr>
        <w:t xml:space="preserve">: </w:t>
      </w:r>
      <w:r w:rsidRPr="009A5185">
        <w:rPr>
          <w:rFonts w:cs="Arial"/>
        </w:rPr>
        <w:t xml:space="preserve">A hospital pharmacist </w:t>
      </w:r>
      <w:r>
        <w:rPr>
          <w:rFonts w:cs="Arial"/>
        </w:rPr>
        <w:t xml:space="preserve">or </w:t>
      </w:r>
      <w:hyperlink w:anchor="CertifiedPharmacyTechnician" w:history="1">
        <w:r>
          <w:rPr>
            <w:rStyle w:val="Hyperlink"/>
            <w:rFonts w:cs="Arial"/>
          </w:rPr>
          <w:t>certified pharmacy technician</w:t>
        </w:r>
      </w:hyperlink>
      <w:r w:rsidR="00E94620" w:rsidRPr="009617F5">
        <w:rPr>
          <w:rStyle w:val="Hyperlink"/>
          <w:rFonts w:cs="Arial"/>
          <w:color w:val="auto"/>
          <w:u w:val="none"/>
          <w:vertAlign w:val="superscript"/>
        </w:rPr>
        <w:t>2</w:t>
      </w:r>
      <w:r w:rsidR="00E94620" w:rsidRPr="009617F5">
        <w:rPr>
          <w:rFonts w:cs="Arial"/>
          <w:vertAlign w:val="superscript"/>
        </w:rPr>
        <w:t>3</w:t>
      </w:r>
      <w:r>
        <w:rPr>
          <w:rFonts w:cs="Arial"/>
        </w:rPr>
        <w:t xml:space="preserve"> </w:t>
      </w:r>
      <w:r w:rsidRPr="009A5185">
        <w:rPr>
          <w:rFonts w:cs="Arial"/>
        </w:rPr>
        <w:t xml:space="preserve">plays two important roles in data collection for this measure. First, the pharmacist </w:t>
      </w:r>
      <w:r>
        <w:rPr>
          <w:rFonts w:cs="Arial"/>
        </w:rPr>
        <w:t xml:space="preserve">or certified pharmacy technician </w:t>
      </w:r>
      <w:r w:rsidRPr="009A5185">
        <w:rPr>
          <w:rFonts w:cs="Arial"/>
        </w:rPr>
        <w:t>is responsible for obtaining the Gold Standard Medication History from each sampled patient. Second, the pharmacist</w:t>
      </w:r>
      <w:r>
        <w:rPr>
          <w:rFonts w:cs="Arial"/>
        </w:rPr>
        <w:t xml:space="preserve"> </w:t>
      </w:r>
      <w:r w:rsidRPr="009A5185">
        <w:rPr>
          <w:rFonts w:cs="Arial"/>
        </w:rPr>
        <w:t>is responsible for identifying the unintentional discrepancies by comparing the Gold Standard Medication History to admission orders and discharge orders.</w:t>
      </w:r>
    </w:p>
    <w:p w14:paraId="0049803A" w14:textId="77777777" w:rsidR="0084408C" w:rsidRPr="009A5185" w:rsidRDefault="0084408C" w:rsidP="0084408C">
      <w:pPr>
        <w:rPr>
          <w:rFonts w:cs="Arial"/>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4408C" w:rsidRPr="009A5185" w14:paraId="1A9BB00E" w14:textId="77777777" w:rsidTr="00C02CE6">
        <w:trPr>
          <w:trHeight w:val="360"/>
        </w:trPr>
        <w:tc>
          <w:tcPr>
            <w:tcW w:w="5000" w:type="pct"/>
            <w:vAlign w:val="center"/>
          </w:tcPr>
          <w:p w14:paraId="1EC8DB8F" w14:textId="77777777" w:rsidR="0084408C" w:rsidRPr="009A5185" w:rsidRDefault="0084408C" w:rsidP="00C02CE6">
            <w:pPr>
              <w:autoSpaceDE w:val="0"/>
              <w:autoSpaceDN w:val="0"/>
              <w:adjustRightInd w:val="0"/>
              <w:rPr>
                <w:rFonts w:cs="Arial"/>
                <w:b/>
              </w:rPr>
            </w:pPr>
            <w:r w:rsidRPr="009A5185">
              <w:rPr>
                <w:rFonts w:cs="Arial"/>
                <w:b/>
              </w:rPr>
              <w:t xml:space="preserve">Source: </w:t>
            </w:r>
            <w:r w:rsidRPr="009A5185">
              <w:rPr>
                <w:rFonts w:cs="Arial"/>
              </w:rPr>
              <w:t>Brigham and Women’s Hospital (NQF #2456)</w:t>
            </w:r>
          </w:p>
        </w:tc>
      </w:tr>
      <w:tr w:rsidR="0084408C" w:rsidRPr="009A5185" w14:paraId="2735AFB9" w14:textId="77777777" w:rsidTr="00C02CE6">
        <w:trPr>
          <w:trHeight w:val="360"/>
        </w:trPr>
        <w:tc>
          <w:tcPr>
            <w:tcW w:w="5000" w:type="pct"/>
            <w:vAlign w:val="center"/>
          </w:tcPr>
          <w:p w14:paraId="486D612C" w14:textId="25890829" w:rsidR="0084408C" w:rsidRPr="009A5185" w:rsidRDefault="0084408C" w:rsidP="00C02CE6">
            <w:pPr>
              <w:autoSpaceDE w:val="0"/>
              <w:autoSpaceDN w:val="0"/>
              <w:adjustRightInd w:val="0"/>
              <w:rPr>
                <w:rFonts w:cs="Arial"/>
                <w:b/>
              </w:rPr>
            </w:pPr>
            <w:r w:rsidRPr="009A5185">
              <w:rPr>
                <w:rFonts w:cs="Arial"/>
                <w:b/>
              </w:rPr>
              <w:t xml:space="preserve">Reporting Period: </w:t>
            </w:r>
            <w:r w:rsidRPr="009A5185">
              <w:rPr>
                <w:rFonts w:cs="Arial"/>
              </w:rPr>
              <w:t xml:space="preserve">The latest </w:t>
            </w:r>
            <w:r>
              <w:rPr>
                <w:rFonts w:cs="Arial"/>
              </w:rPr>
              <w:t>6</w:t>
            </w:r>
            <w:r w:rsidRPr="009A5185">
              <w:rPr>
                <w:rFonts w:cs="Arial"/>
              </w:rPr>
              <w:t xml:space="preserve">-month period prior to submission of this section of the Survey. </w:t>
            </w:r>
          </w:p>
        </w:tc>
      </w:tr>
      <w:tr w:rsidR="0084408C" w:rsidRPr="009A5185" w14:paraId="4725B090" w14:textId="77777777" w:rsidTr="00CF4879">
        <w:trPr>
          <w:trHeight w:val="4752"/>
        </w:trPr>
        <w:tc>
          <w:tcPr>
            <w:tcW w:w="5000" w:type="pct"/>
            <w:vAlign w:val="center"/>
          </w:tcPr>
          <w:p w14:paraId="51A324C6" w14:textId="3850AA80" w:rsidR="0084408C" w:rsidRPr="009A5185" w:rsidRDefault="00496D67" w:rsidP="00C02CE6">
            <w:pPr>
              <w:pStyle w:val="NoSpacing"/>
              <w:rPr>
                <w:rFonts w:ascii="Arial" w:hAnsi="Arial" w:cs="Arial"/>
                <w:b/>
                <w:sz w:val="20"/>
                <w:szCs w:val="20"/>
              </w:rPr>
            </w:pPr>
            <w:r>
              <w:rPr>
                <w:rFonts w:ascii="Arial" w:hAnsi="Arial" w:cs="Arial"/>
                <w:b/>
                <w:sz w:val="20"/>
                <w:szCs w:val="20"/>
              </w:rPr>
              <w:t>Materials for Data Collection</w:t>
            </w:r>
            <w:r w:rsidR="00652EFD">
              <w:rPr>
                <w:rFonts w:ascii="Arial" w:hAnsi="Arial" w:cs="Arial"/>
                <w:b/>
                <w:sz w:val="20"/>
                <w:szCs w:val="20"/>
              </w:rPr>
              <w:t>:</w:t>
            </w:r>
          </w:p>
          <w:p w14:paraId="17E90664" w14:textId="19521B96" w:rsidR="0084408C" w:rsidRPr="009A5185" w:rsidRDefault="0084408C" w:rsidP="00C02CE6">
            <w:pPr>
              <w:pStyle w:val="NoSpacing"/>
              <w:rPr>
                <w:rFonts w:ascii="Arial" w:hAnsi="Arial" w:cs="Arial"/>
                <w:sz w:val="20"/>
                <w:szCs w:val="20"/>
              </w:rPr>
            </w:pPr>
            <w:r w:rsidRPr="009A5185">
              <w:rPr>
                <w:rFonts w:ascii="Arial" w:hAnsi="Arial" w:cs="Arial"/>
                <w:sz w:val="20"/>
                <w:szCs w:val="20"/>
              </w:rPr>
              <w:t>To complete the data collection for this subsection and respond to questions #</w:t>
            </w:r>
            <w:r>
              <w:rPr>
                <w:rFonts w:ascii="Arial" w:hAnsi="Arial" w:cs="Arial"/>
                <w:sz w:val="20"/>
                <w:szCs w:val="20"/>
              </w:rPr>
              <w:t>3-8</w:t>
            </w:r>
            <w:r w:rsidRPr="009A5185">
              <w:rPr>
                <w:rFonts w:ascii="Arial" w:hAnsi="Arial" w:cs="Arial"/>
                <w:sz w:val="20"/>
                <w:szCs w:val="20"/>
              </w:rPr>
              <w:t xml:space="preserve"> hospitals should download four important tools:</w:t>
            </w:r>
          </w:p>
          <w:p w14:paraId="61A6E538" w14:textId="098E0E4F" w:rsidR="0084408C" w:rsidRPr="009A5185" w:rsidRDefault="0084408C" w:rsidP="00AD309C">
            <w:pPr>
              <w:pStyle w:val="ListParagraph"/>
              <w:numPr>
                <w:ilvl w:val="0"/>
                <w:numId w:val="72"/>
              </w:numPr>
              <w:ind w:left="360"/>
              <w:contextualSpacing w:val="0"/>
              <w:rPr>
                <w:rFonts w:cs="Arial"/>
              </w:rPr>
            </w:pPr>
            <w:r w:rsidRPr="009A5185">
              <w:rPr>
                <w:rFonts w:cs="Arial"/>
              </w:rPr>
              <w:t xml:space="preserve">The </w:t>
            </w:r>
            <w:hyperlink r:id="rId183" w:history="1">
              <w:r w:rsidR="00013B13" w:rsidRPr="00013B13">
                <w:rPr>
                  <w:rStyle w:val="Hyperlink"/>
                  <w:rFonts w:cs="Arial"/>
                  <w:b/>
                  <w:bCs/>
                </w:rPr>
                <w:t>Medication Reconciliation Workbook</w:t>
              </w:r>
            </w:hyperlink>
            <w:r w:rsidRPr="009A5185">
              <w:rPr>
                <w:rFonts w:cs="Arial"/>
              </w:rPr>
              <w:t xml:space="preserve"> </w:t>
            </w:r>
            <w:r w:rsidR="00013B13" w:rsidRPr="00013B13">
              <w:rPr>
                <w:rFonts w:cs="Arial"/>
              </w:rPr>
              <w:t>(Excel)</w:t>
            </w:r>
            <w:r w:rsidR="00013B13">
              <w:rPr>
                <w:rFonts w:cs="Arial"/>
              </w:rPr>
              <w:t xml:space="preserve"> </w:t>
            </w:r>
            <w:r w:rsidRPr="009A5185">
              <w:rPr>
                <w:rFonts w:cs="Arial"/>
              </w:rPr>
              <w:t xml:space="preserve">includes 3 tabs: Instructions, Sampling, and Data Entry. This can be used to identify patients to sample and collect data from, as well as calculate the responses to enter into the </w:t>
            </w:r>
            <w:r>
              <w:rPr>
                <w:rFonts w:cs="Arial"/>
              </w:rPr>
              <w:t>Online Hospital Survey Tool</w:t>
            </w:r>
            <w:r w:rsidRPr="009A5185">
              <w:rPr>
                <w:rFonts w:cs="Arial"/>
              </w:rPr>
              <w:t xml:space="preserve"> from the completed Worksheets.</w:t>
            </w:r>
          </w:p>
          <w:p w14:paraId="5AB48CB4" w14:textId="2C57FB26" w:rsidR="0084408C" w:rsidRPr="009A5185" w:rsidRDefault="0084408C" w:rsidP="00AD309C">
            <w:pPr>
              <w:pStyle w:val="ListParagraph"/>
              <w:numPr>
                <w:ilvl w:val="0"/>
                <w:numId w:val="70"/>
              </w:numPr>
              <w:ind w:left="360"/>
              <w:rPr>
                <w:rFonts w:eastAsia="MS Mincho" w:cs="Arial"/>
              </w:rPr>
            </w:pPr>
            <w:r w:rsidRPr="009A5185">
              <w:rPr>
                <w:rFonts w:cs="Arial"/>
              </w:rPr>
              <w:t>The</w:t>
            </w:r>
            <w:r w:rsidRPr="007B5183">
              <w:rPr>
                <w:rFonts w:cs="Arial"/>
              </w:rPr>
              <w:t xml:space="preserve"> </w:t>
            </w:r>
            <w:hyperlink r:id="rId184" w:history="1">
              <w:r w:rsidRPr="007B5183">
                <w:rPr>
                  <w:rStyle w:val="Hyperlink"/>
                  <w:rFonts w:cs="Arial"/>
                  <w:b/>
                </w:rPr>
                <w:t>Medication Reconciliation Worksheet</w:t>
              </w:r>
            </w:hyperlink>
            <w:r w:rsidRPr="009A5185">
              <w:rPr>
                <w:rFonts w:eastAsia="MS Mincho" w:cs="Arial"/>
              </w:rPr>
              <w:t xml:space="preserve"> </w:t>
            </w:r>
            <w:r w:rsidR="00013B13">
              <w:rPr>
                <w:rFonts w:eastAsia="MS Mincho" w:cs="Arial"/>
              </w:rPr>
              <w:t xml:space="preserve">(Word) </w:t>
            </w:r>
            <w:r w:rsidRPr="009A5185">
              <w:rPr>
                <w:rFonts w:cs="Arial"/>
              </w:rPr>
              <w:t xml:space="preserve">can be used by the pharmacist to identify the number of unintentional discrepancies at admission and/or discharge for each sampled patient </w:t>
            </w:r>
            <w:r>
              <w:rPr>
                <w:rFonts w:cs="Arial"/>
              </w:rPr>
              <w:t>(question #6</w:t>
            </w:r>
            <w:r w:rsidRPr="009A5185">
              <w:rPr>
                <w:rFonts w:cs="Arial"/>
              </w:rPr>
              <w:t>). The Medication Reconciliation Worksheet can also be used to track additional medications that were ordered unintentionally at admissio</w:t>
            </w:r>
            <w:r>
              <w:rPr>
                <w:rFonts w:cs="Arial"/>
              </w:rPr>
              <w:t>n and/or discharge (questions #7-8</w:t>
            </w:r>
            <w:r w:rsidRPr="009A5185">
              <w:rPr>
                <w:rFonts w:cs="Arial"/>
              </w:rPr>
              <w:t>).</w:t>
            </w:r>
          </w:p>
          <w:p w14:paraId="5B86BCCA" w14:textId="1C4067B6" w:rsidR="0084408C" w:rsidRPr="009A5185" w:rsidRDefault="0084408C" w:rsidP="00AD309C">
            <w:pPr>
              <w:pStyle w:val="NoSpacing"/>
              <w:numPr>
                <w:ilvl w:val="0"/>
                <w:numId w:val="70"/>
              </w:numPr>
              <w:ind w:left="360"/>
              <w:rPr>
                <w:rFonts w:ascii="Arial" w:hAnsi="Arial" w:cs="Arial"/>
                <w:sz w:val="20"/>
                <w:szCs w:val="20"/>
              </w:rPr>
            </w:pPr>
            <w:r w:rsidRPr="009A5185">
              <w:rPr>
                <w:rFonts w:ascii="Arial" w:hAnsi="Arial" w:cs="Arial"/>
                <w:sz w:val="20"/>
                <w:szCs w:val="20"/>
              </w:rPr>
              <w:t xml:space="preserve">The </w:t>
            </w:r>
            <w:hyperlink r:id="rId185" w:history="1">
              <w:r w:rsidRPr="007B5183">
                <w:rPr>
                  <w:rStyle w:val="Hyperlink"/>
                  <w:rFonts w:ascii="Arial" w:hAnsi="Arial" w:cs="Arial"/>
                  <w:b/>
                  <w:sz w:val="20"/>
                  <w:szCs w:val="20"/>
                </w:rPr>
                <w:t>MARQUIS 2 Best Possible Medication History: Quick Tips</w:t>
              </w:r>
            </w:hyperlink>
            <w:r w:rsidRPr="009A5185">
              <w:rPr>
                <w:rFonts w:ascii="Arial" w:hAnsi="Arial" w:cs="Arial"/>
                <w:b/>
                <w:sz w:val="20"/>
                <w:szCs w:val="20"/>
              </w:rPr>
              <w:t xml:space="preserve"> </w:t>
            </w:r>
            <w:r w:rsidRPr="009A5185">
              <w:rPr>
                <w:rFonts w:ascii="Arial" w:hAnsi="Arial" w:cs="Arial"/>
                <w:sz w:val="20"/>
                <w:szCs w:val="20"/>
              </w:rPr>
              <w:t>tri-fold (PDF) includes important information on how the pharmacist</w:t>
            </w:r>
            <w:r>
              <w:rPr>
                <w:rFonts w:ascii="Arial" w:hAnsi="Arial" w:cs="Arial"/>
                <w:sz w:val="20"/>
                <w:szCs w:val="20"/>
              </w:rPr>
              <w:t xml:space="preserve"> or </w:t>
            </w:r>
            <w:hyperlink w:anchor="CertifiedPharmacyTechnician" w:history="1">
              <w:r w:rsidRPr="00645B8B">
                <w:rPr>
                  <w:rStyle w:val="Hyperlink"/>
                  <w:rFonts w:ascii="Arial" w:hAnsi="Arial" w:cs="Arial"/>
                  <w:sz w:val="20"/>
                  <w:szCs w:val="20"/>
                </w:rPr>
                <w:t>certified pharmacy technician</w:t>
              </w:r>
            </w:hyperlink>
            <w:r w:rsidR="00E94620" w:rsidRPr="009617F5">
              <w:rPr>
                <w:rStyle w:val="Hyperlink"/>
                <w:rFonts w:ascii="Arial" w:hAnsi="Arial" w:cs="Arial"/>
                <w:color w:val="auto"/>
                <w:u w:val="none"/>
                <w:vertAlign w:val="superscript"/>
              </w:rPr>
              <w:t>2</w:t>
            </w:r>
            <w:r w:rsidR="00E94620" w:rsidRPr="009617F5">
              <w:rPr>
                <w:rFonts w:ascii="Arial" w:hAnsi="Arial" w:cs="Arial"/>
                <w:vertAlign w:val="superscript"/>
              </w:rPr>
              <w:t>3</w:t>
            </w:r>
            <w:r w:rsidRPr="009A5185">
              <w:rPr>
                <w:rFonts w:ascii="Arial" w:hAnsi="Arial" w:cs="Arial"/>
                <w:sz w:val="20"/>
                <w:szCs w:val="20"/>
              </w:rPr>
              <w:t xml:space="preserve"> should obtain the Gold Standard Medication History</w:t>
            </w:r>
          </w:p>
          <w:p w14:paraId="5B0584B2" w14:textId="7C707B81" w:rsidR="0084408C" w:rsidRPr="00815D49" w:rsidRDefault="008F5E98" w:rsidP="00AD309C">
            <w:pPr>
              <w:pStyle w:val="NoSpacing"/>
              <w:numPr>
                <w:ilvl w:val="0"/>
                <w:numId w:val="70"/>
              </w:numPr>
              <w:ind w:left="360"/>
              <w:rPr>
                <w:rFonts w:ascii="Arial" w:hAnsi="Arial" w:cs="Arial"/>
                <w:b/>
                <w:sz w:val="20"/>
                <w:szCs w:val="20"/>
              </w:rPr>
            </w:pPr>
            <w:hyperlink r:id="rId186" w:history="1">
              <w:r>
                <w:rPr>
                  <w:rStyle w:val="Hyperlink"/>
                  <w:rFonts w:ascii="Arial" w:hAnsi="Arial" w:cs="Arial"/>
                  <w:b/>
                  <w:bCs/>
                  <w:sz w:val="20"/>
                  <w:szCs w:val="20"/>
                </w:rPr>
                <w:t>Identifying Discrepancies Flow Chart</w:t>
              </w:r>
            </w:hyperlink>
            <w:r w:rsidR="0084408C" w:rsidRPr="009A5185">
              <w:rPr>
                <w:rFonts w:ascii="Arial" w:hAnsi="Arial" w:cs="Arial"/>
                <w:b/>
                <w:sz w:val="20"/>
                <w:szCs w:val="20"/>
              </w:rPr>
              <w:t xml:space="preserve"> </w:t>
            </w:r>
            <w:r w:rsidR="00652EFD" w:rsidRPr="00652EFD">
              <w:rPr>
                <w:rFonts w:ascii="Arial" w:hAnsi="Arial" w:cs="Arial"/>
                <w:bCs/>
                <w:sz w:val="20"/>
                <w:szCs w:val="20"/>
              </w:rPr>
              <w:t xml:space="preserve">(PDF) </w:t>
            </w:r>
            <w:r w:rsidR="0084408C" w:rsidRPr="00652EFD">
              <w:rPr>
                <w:rFonts w:ascii="Arial" w:hAnsi="Arial" w:cs="Arial"/>
                <w:bCs/>
                <w:sz w:val="20"/>
                <w:szCs w:val="20"/>
              </w:rPr>
              <w:t>includes</w:t>
            </w:r>
            <w:r w:rsidR="0084408C" w:rsidRPr="009A5185">
              <w:rPr>
                <w:rFonts w:ascii="Arial" w:hAnsi="Arial" w:cs="Arial"/>
                <w:sz w:val="20"/>
                <w:szCs w:val="20"/>
              </w:rPr>
              <w:t xml:space="preserve"> important information on how the pharmacist</w:t>
            </w:r>
            <w:r w:rsidR="0084408C">
              <w:rPr>
                <w:rFonts w:ascii="Arial" w:hAnsi="Arial" w:cs="Arial"/>
                <w:sz w:val="20"/>
                <w:szCs w:val="20"/>
              </w:rPr>
              <w:t xml:space="preserve"> </w:t>
            </w:r>
            <w:r w:rsidR="0084408C" w:rsidRPr="009A5185">
              <w:rPr>
                <w:rFonts w:ascii="Arial" w:hAnsi="Arial" w:cs="Arial"/>
                <w:sz w:val="20"/>
                <w:szCs w:val="20"/>
              </w:rPr>
              <w:t xml:space="preserve">should identify discrepancies between the Gold Standard Medication History and admission and discharge orders. </w:t>
            </w:r>
          </w:p>
          <w:p w14:paraId="51153DAC" w14:textId="38175180" w:rsidR="00995194" w:rsidRPr="00B9492A" w:rsidRDefault="00995194" w:rsidP="00B9492A">
            <w:pPr>
              <w:pStyle w:val="NoSpacing"/>
              <w:numPr>
                <w:ilvl w:val="0"/>
                <w:numId w:val="70"/>
              </w:numPr>
              <w:ind w:left="360"/>
              <w:rPr>
                <w:rFonts w:ascii="Arial" w:hAnsi="Arial" w:cs="Arial"/>
                <w:b/>
                <w:sz w:val="20"/>
                <w:szCs w:val="20"/>
              </w:rPr>
            </w:pPr>
            <w:hyperlink r:id="rId187" w:history="1">
              <w:r w:rsidRPr="005B3839">
                <w:rPr>
                  <w:rStyle w:val="Hyperlink"/>
                  <w:rFonts w:ascii="Arial" w:hAnsi="Arial" w:cs="Arial"/>
                  <w:b/>
                  <w:bCs/>
                  <w:sz w:val="20"/>
                  <w:szCs w:val="20"/>
                </w:rPr>
                <w:t>Data Collection Flow Chart</w:t>
              </w:r>
            </w:hyperlink>
            <w:r>
              <w:rPr>
                <w:rFonts w:ascii="Arial" w:hAnsi="Arial" w:cs="Arial"/>
                <w:sz w:val="20"/>
                <w:szCs w:val="20"/>
              </w:rPr>
              <w:t xml:space="preserve"> (PDF) includes important information outlining the steps on how the data should be collected for this measure. </w:t>
            </w:r>
            <w:r w:rsidRPr="009A5185">
              <w:rPr>
                <w:rFonts w:ascii="Arial" w:hAnsi="Arial" w:cs="Arial"/>
                <w:sz w:val="20"/>
                <w:szCs w:val="20"/>
              </w:rPr>
              <w:t xml:space="preserve"> </w:t>
            </w:r>
          </w:p>
          <w:p w14:paraId="7DC08F68" w14:textId="77777777" w:rsidR="0084408C" w:rsidRPr="009A5185" w:rsidRDefault="0084408C" w:rsidP="00C02CE6">
            <w:pPr>
              <w:pStyle w:val="NoSpacing"/>
              <w:rPr>
                <w:rFonts w:ascii="Arial" w:hAnsi="Arial" w:cs="Arial"/>
                <w:sz w:val="20"/>
                <w:szCs w:val="20"/>
              </w:rPr>
            </w:pPr>
          </w:p>
          <w:p w14:paraId="466260BB" w14:textId="05E188FB" w:rsidR="00F72C9F" w:rsidRPr="00F72C9F" w:rsidRDefault="0084408C" w:rsidP="00C02CE6">
            <w:pPr>
              <w:pStyle w:val="NoSpacing"/>
              <w:rPr>
                <w:rFonts w:ascii="Arial" w:hAnsi="Arial" w:cs="Arial"/>
                <w:sz w:val="20"/>
                <w:szCs w:val="20"/>
              </w:rPr>
            </w:pPr>
            <w:r w:rsidRPr="009A5185">
              <w:rPr>
                <w:rFonts w:ascii="Arial" w:hAnsi="Arial" w:cs="Arial"/>
                <w:sz w:val="20"/>
                <w:szCs w:val="20"/>
              </w:rPr>
              <w:t xml:space="preserve">All of these tools are available on the </w:t>
            </w:r>
            <w:hyperlink r:id="rId188" w:history="1">
              <w:r w:rsidRPr="009A5185">
                <w:rPr>
                  <w:rStyle w:val="Hyperlink"/>
                  <w:rFonts w:ascii="Arial" w:hAnsi="Arial" w:cs="Arial"/>
                  <w:sz w:val="20"/>
                  <w:szCs w:val="20"/>
                </w:rPr>
                <w:t>Survey and CPOE Materials webpage</w:t>
              </w:r>
            </w:hyperlink>
            <w:r w:rsidRPr="009A5185">
              <w:rPr>
                <w:rFonts w:ascii="Arial" w:hAnsi="Arial" w:cs="Arial"/>
                <w:sz w:val="20"/>
                <w:szCs w:val="20"/>
              </w:rPr>
              <w:t xml:space="preserve"> and should be used when reporting on this measure. </w:t>
            </w:r>
          </w:p>
        </w:tc>
      </w:tr>
    </w:tbl>
    <w:p w14:paraId="0BF35ADC" w14:textId="77777777" w:rsidR="0084408C" w:rsidRPr="009A5185" w:rsidRDefault="0084408C" w:rsidP="0084408C">
      <w:pPr>
        <w:pStyle w:val="EndnoteText"/>
        <w:rPr>
          <w:rFonts w:cs="Arial"/>
        </w:rPr>
      </w:pPr>
    </w:p>
    <w:p w14:paraId="11F15589" w14:textId="457A8C51" w:rsidR="0084408C" w:rsidRPr="009A5185" w:rsidRDefault="0084408C" w:rsidP="0084408C">
      <w:pPr>
        <w:pStyle w:val="EndnoteText"/>
        <w:rPr>
          <w:rFonts w:cs="Arial"/>
        </w:rPr>
      </w:pPr>
      <w:r w:rsidRPr="009A5185">
        <w:rPr>
          <w:rFonts w:cs="Arial"/>
        </w:rPr>
        <w:t xml:space="preserve">The intent of this measure is to calculate your hospital’s rate of unintentional medication </w:t>
      </w:r>
      <w:r>
        <w:rPr>
          <w:rFonts w:cs="Arial"/>
        </w:rPr>
        <w:t>discrepancies per medication</w:t>
      </w:r>
      <w:r w:rsidRPr="00327BB5">
        <w:rPr>
          <w:rFonts w:cs="Arial"/>
        </w:rPr>
        <w:t>.</w:t>
      </w:r>
      <w:r w:rsidRPr="009A5185">
        <w:rPr>
          <w:rFonts w:cs="Arial"/>
        </w:rPr>
        <w:t xml:space="preserve"> </w:t>
      </w:r>
      <w:r w:rsidR="00FA374A">
        <w:rPr>
          <w:rFonts w:cs="Arial"/>
        </w:rPr>
        <w:t xml:space="preserve">Hospitals may perform data collection </w:t>
      </w:r>
      <w:r w:rsidR="00DA0E7A">
        <w:rPr>
          <w:rFonts w:cs="Arial"/>
        </w:rPr>
        <w:t xml:space="preserve">on a regular basis or just </w:t>
      </w:r>
      <w:r w:rsidR="00FA374A">
        <w:rPr>
          <w:rFonts w:cs="Arial"/>
        </w:rPr>
        <w:t>once for the purposes of reporting on this measure to Leapfrog</w:t>
      </w:r>
      <w:r w:rsidR="00DA0E7A">
        <w:rPr>
          <w:rFonts w:cs="Arial"/>
        </w:rPr>
        <w:t>.</w:t>
      </w:r>
    </w:p>
    <w:p w14:paraId="726B114E" w14:textId="251CAF41" w:rsidR="0084408C" w:rsidRPr="002C6DFA" w:rsidRDefault="0084408C" w:rsidP="00AD309C">
      <w:pPr>
        <w:pStyle w:val="EndnoteText"/>
        <w:numPr>
          <w:ilvl w:val="0"/>
          <w:numId w:val="68"/>
        </w:numPr>
        <w:rPr>
          <w:rFonts w:cs="Arial"/>
        </w:rPr>
      </w:pPr>
      <w:r w:rsidRPr="009A5185">
        <w:rPr>
          <w:rFonts w:cs="Arial"/>
        </w:rPr>
        <w:t xml:space="preserve">Hospitals that </w:t>
      </w:r>
      <w:r w:rsidR="00FA374A">
        <w:rPr>
          <w:rFonts w:cs="Arial"/>
        </w:rPr>
        <w:t xml:space="preserve">collect these data on a regular basis and </w:t>
      </w:r>
      <w:r w:rsidR="00DA0E7A">
        <w:rPr>
          <w:rFonts w:cs="Arial"/>
        </w:rPr>
        <w:t>did so</w:t>
      </w:r>
      <w:r w:rsidR="00FA374A">
        <w:rPr>
          <w:rFonts w:cs="Arial"/>
        </w:rPr>
        <w:t xml:space="preserve"> using the previous year’s</w:t>
      </w:r>
      <w:r w:rsidRPr="009A5185">
        <w:rPr>
          <w:rFonts w:cs="Arial"/>
        </w:rPr>
        <w:t xml:space="preserve"> measure specifications can use those data when reporting on this section of the Surve</w:t>
      </w:r>
      <w:r w:rsidR="00EA6EE5">
        <w:rPr>
          <w:rFonts w:cs="Arial"/>
        </w:rPr>
        <w:t>y</w:t>
      </w:r>
      <w:r w:rsidR="00DA0E7A">
        <w:rPr>
          <w:rFonts w:cs="Arial"/>
        </w:rPr>
        <w:t>. For example, if your hospital samples regularly on a quarterly basis and collected data January through March using the previous year’s specifications, you can report those data on the current year’s Survey</w:t>
      </w:r>
      <w:r w:rsidRPr="009A5185">
        <w:rPr>
          <w:rFonts w:cs="Arial"/>
        </w:rPr>
        <w:t xml:space="preserve">. </w:t>
      </w:r>
      <w:r w:rsidR="00FA374A">
        <w:rPr>
          <w:rFonts w:cs="Arial"/>
        </w:rPr>
        <w:t xml:space="preserve">We </w:t>
      </w:r>
      <w:r w:rsidR="00DA0E7A">
        <w:rPr>
          <w:rFonts w:cs="Arial"/>
        </w:rPr>
        <w:t xml:space="preserve">do </w:t>
      </w:r>
      <w:r w:rsidR="00FA374A">
        <w:rPr>
          <w:rFonts w:cs="Arial"/>
        </w:rPr>
        <w:t>ask that you download and use the most recent measure specification</w:t>
      </w:r>
      <w:r w:rsidR="00DA0E7A">
        <w:rPr>
          <w:rFonts w:cs="Arial"/>
        </w:rPr>
        <w:t>s</w:t>
      </w:r>
      <w:r w:rsidR="00FA374A">
        <w:rPr>
          <w:rFonts w:cs="Arial"/>
        </w:rPr>
        <w:t xml:space="preserve"> and materials when they are made available on April 1 each year. </w:t>
      </w:r>
    </w:p>
    <w:p w14:paraId="1083C171" w14:textId="10ECED8F" w:rsidR="0084408C" w:rsidRDefault="0084408C" w:rsidP="00AD309C">
      <w:pPr>
        <w:pStyle w:val="EndnoteText"/>
        <w:numPr>
          <w:ilvl w:val="0"/>
          <w:numId w:val="68"/>
        </w:numPr>
        <w:rPr>
          <w:rFonts w:cs="Arial"/>
        </w:rPr>
      </w:pPr>
      <w:r w:rsidRPr="002C6DFA">
        <w:rPr>
          <w:rFonts w:cs="Arial"/>
        </w:rPr>
        <w:t xml:space="preserve">Hospitals that </w:t>
      </w:r>
      <w:r w:rsidR="00FA374A">
        <w:rPr>
          <w:rFonts w:cs="Arial"/>
        </w:rPr>
        <w:t>do not sample patients on a regular basis</w:t>
      </w:r>
      <w:r w:rsidR="002B0710">
        <w:rPr>
          <w:rFonts w:cs="Arial"/>
        </w:rPr>
        <w:t xml:space="preserve"> (i.e., quarterly)</w:t>
      </w:r>
      <w:r w:rsidR="00FA374A">
        <w:rPr>
          <w:rFonts w:cs="Arial"/>
        </w:rPr>
        <w:t xml:space="preserve"> </w:t>
      </w:r>
      <w:r w:rsidR="00DA0E7A">
        <w:rPr>
          <w:rFonts w:cs="Arial"/>
        </w:rPr>
        <w:t>should</w:t>
      </w:r>
      <w:r w:rsidRPr="002C6DFA">
        <w:rPr>
          <w:rFonts w:cs="Arial"/>
        </w:rPr>
        <w:t xml:space="preserve"> sample in real-time </w:t>
      </w:r>
      <w:r w:rsidR="00FA374A">
        <w:rPr>
          <w:rFonts w:cs="Arial"/>
        </w:rPr>
        <w:t xml:space="preserve">beginning April 1 </w:t>
      </w:r>
      <w:r w:rsidRPr="002C6DFA">
        <w:rPr>
          <w:rFonts w:cs="Arial"/>
        </w:rPr>
        <w:t xml:space="preserve">and </w:t>
      </w:r>
      <w:r w:rsidR="00DA0E7A">
        <w:rPr>
          <w:rFonts w:cs="Arial"/>
        </w:rPr>
        <w:t>can collect data at</w:t>
      </w:r>
      <w:r w:rsidRPr="002C6DFA">
        <w:rPr>
          <w:rFonts w:cs="Arial"/>
        </w:rPr>
        <w:t xml:space="preserve"> </w:t>
      </w:r>
      <w:r w:rsidR="00DA0E7A" w:rsidRPr="002C6DFA">
        <w:rPr>
          <w:rFonts w:cs="Arial"/>
        </w:rPr>
        <w:t>any time</w:t>
      </w:r>
      <w:r w:rsidRPr="002C6DFA">
        <w:rPr>
          <w:rFonts w:cs="Arial"/>
        </w:rPr>
        <w:t xml:space="preserve"> during the Survey Cycle</w:t>
      </w:r>
      <w:r>
        <w:rPr>
          <w:rFonts w:cs="Arial"/>
        </w:rPr>
        <w:t xml:space="preserve"> (April 1 – November 30).</w:t>
      </w:r>
      <w:r w:rsidRPr="002C6DFA">
        <w:rPr>
          <w:rFonts w:cs="Arial"/>
        </w:rPr>
        <w:t xml:space="preserve"> Sampling can be </w:t>
      </w:r>
      <w:r w:rsidR="00DA0E7A">
        <w:rPr>
          <w:rFonts w:cs="Arial"/>
        </w:rPr>
        <w:t>spread out</w:t>
      </w:r>
      <w:r w:rsidR="00DA0E7A" w:rsidRPr="002C6DFA">
        <w:rPr>
          <w:rFonts w:cs="Arial"/>
        </w:rPr>
        <w:t xml:space="preserve"> </w:t>
      </w:r>
      <w:r w:rsidRPr="002C6DFA">
        <w:rPr>
          <w:rFonts w:cs="Arial"/>
        </w:rPr>
        <w:t xml:space="preserve">over the entire </w:t>
      </w:r>
      <w:r w:rsidR="00DA0E7A">
        <w:rPr>
          <w:rFonts w:cs="Arial"/>
        </w:rPr>
        <w:t xml:space="preserve">6-month </w:t>
      </w:r>
      <w:r w:rsidRPr="002C6DFA">
        <w:rPr>
          <w:rFonts w:cs="Arial"/>
        </w:rPr>
        <w:t>reporting period</w:t>
      </w:r>
      <w:r w:rsidR="00DA0E7A">
        <w:rPr>
          <w:rFonts w:cs="Arial"/>
        </w:rPr>
        <w:t xml:space="preserve"> (e.g., five patients per month)</w:t>
      </w:r>
      <w:r w:rsidRPr="002C6DFA">
        <w:rPr>
          <w:rFonts w:cs="Arial"/>
        </w:rPr>
        <w:t xml:space="preserve">, or within a shorter </w:t>
      </w:r>
      <w:r w:rsidR="00DA0E7A">
        <w:rPr>
          <w:rFonts w:cs="Arial"/>
        </w:rPr>
        <w:t>time</w:t>
      </w:r>
      <w:r w:rsidR="00DA0E7A" w:rsidRPr="002C6DFA">
        <w:rPr>
          <w:rFonts w:cs="Arial"/>
        </w:rPr>
        <w:t xml:space="preserve"> </w:t>
      </w:r>
      <w:r w:rsidRPr="002C6DFA">
        <w:rPr>
          <w:rFonts w:cs="Arial"/>
        </w:rPr>
        <w:t xml:space="preserve">period </w:t>
      </w:r>
      <w:r w:rsidR="00DA0E7A">
        <w:rPr>
          <w:rFonts w:cs="Arial"/>
        </w:rPr>
        <w:t xml:space="preserve">within those 6 months </w:t>
      </w:r>
      <w:r w:rsidRPr="002C6DFA">
        <w:rPr>
          <w:rFonts w:cs="Arial"/>
        </w:rPr>
        <w:t>(</w:t>
      </w:r>
      <w:r w:rsidR="00DA0E7A">
        <w:rPr>
          <w:rFonts w:cs="Arial"/>
        </w:rPr>
        <w:t>e.g.</w:t>
      </w:r>
      <w:r w:rsidRPr="002C6DFA">
        <w:rPr>
          <w:rFonts w:cs="Arial"/>
        </w:rPr>
        <w:t xml:space="preserve">, </w:t>
      </w:r>
      <w:r w:rsidR="00DA0E7A">
        <w:rPr>
          <w:rFonts w:cs="Arial"/>
        </w:rPr>
        <w:t xml:space="preserve">30 patients in </w:t>
      </w:r>
      <w:r>
        <w:rPr>
          <w:rFonts w:cs="Arial"/>
        </w:rPr>
        <w:t xml:space="preserve">a </w:t>
      </w:r>
      <w:r w:rsidR="002B0710">
        <w:rPr>
          <w:rFonts w:cs="Arial"/>
        </w:rPr>
        <w:t>two-week</w:t>
      </w:r>
      <w:r>
        <w:rPr>
          <w:rFonts w:cs="Arial"/>
        </w:rPr>
        <w:t xml:space="preserve"> </w:t>
      </w:r>
      <w:r w:rsidR="00DA0E7A">
        <w:rPr>
          <w:rFonts w:cs="Arial"/>
        </w:rPr>
        <w:t>period</w:t>
      </w:r>
      <w:r w:rsidRPr="002C6DFA">
        <w:rPr>
          <w:rFonts w:cs="Arial"/>
        </w:rPr>
        <w:t xml:space="preserve">). </w:t>
      </w:r>
    </w:p>
    <w:p w14:paraId="738438AF" w14:textId="77777777" w:rsidR="002B0710" w:rsidRPr="002C6DFA" w:rsidRDefault="002B0710" w:rsidP="00A90AE6">
      <w:pPr>
        <w:pStyle w:val="EndnoteText"/>
        <w:ind w:left="360"/>
        <w:rPr>
          <w:rFonts w:cs="Arial"/>
        </w:rPr>
      </w:pPr>
    </w:p>
    <w:p w14:paraId="4DDB7789" w14:textId="2C710B62" w:rsidR="00202D75" w:rsidRDefault="0084408C" w:rsidP="00CF4879">
      <w:pPr>
        <w:pStyle w:val="Heading6"/>
      </w:pPr>
      <w:r w:rsidRPr="009A5185">
        <w:lastRenderedPageBreak/>
        <w:t>Follow the steps below to complete data collection for this measure:</w:t>
      </w:r>
    </w:p>
    <w:p w14:paraId="50F0D5AA" w14:textId="77777777" w:rsidR="00C10458" w:rsidRPr="009A5185" w:rsidRDefault="00C10458" w:rsidP="0084408C">
      <w:pPr>
        <w:pStyle w:val="EndnoteText"/>
        <w:rPr>
          <w:rFonts w:cs="Arial"/>
        </w:rPr>
      </w:pPr>
    </w:p>
    <w:p w14:paraId="5AC336FD" w14:textId="77777777" w:rsidR="0084408C" w:rsidRPr="00365263" w:rsidRDefault="0084408C" w:rsidP="0084408C">
      <w:pPr>
        <w:pStyle w:val="EndnoteText"/>
        <w:rPr>
          <w:rFonts w:cs="Arial"/>
          <w:b/>
        </w:rPr>
      </w:pPr>
      <w:r w:rsidRPr="00365263">
        <w:rPr>
          <w:rFonts w:cs="Arial"/>
          <w:b/>
        </w:rPr>
        <w:t>Step 1: Identify Patients to Include in the Sample (Survey Coordinator)</w:t>
      </w:r>
    </w:p>
    <w:p w14:paraId="0E2163DA" w14:textId="42FA838E" w:rsidR="0084408C" w:rsidRPr="00365263" w:rsidRDefault="0084408C" w:rsidP="00AD309C">
      <w:pPr>
        <w:pStyle w:val="EndnoteText"/>
        <w:numPr>
          <w:ilvl w:val="0"/>
          <w:numId w:val="210"/>
        </w:numPr>
        <w:rPr>
          <w:rFonts w:cs="Arial"/>
          <w:bCs/>
        </w:rPr>
      </w:pPr>
      <w:r w:rsidRPr="00365263">
        <w:rPr>
          <w:rFonts w:cs="Arial"/>
          <w:bCs/>
        </w:rPr>
        <w:t>To be scored on the rate of unintentional medication discrepancies, hospitals are required to sample at least 30 patients from a 6-month reporting period. Hospitals that sample fewer than 30 patients during the reporting period will be scored and publicly reported as “</w:t>
      </w:r>
      <w:r w:rsidR="00E46B15">
        <w:rPr>
          <w:rFonts w:cs="Arial"/>
          <w:bCs/>
        </w:rPr>
        <w:t>Limited</w:t>
      </w:r>
      <w:r w:rsidRPr="00365263">
        <w:rPr>
          <w:rFonts w:cs="Arial"/>
          <w:bCs/>
        </w:rPr>
        <w:t xml:space="preserve"> Achievement.” </w:t>
      </w:r>
    </w:p>
    <w:p w14:paraId="320050CD" w14:textId="77777777" w:rsidR="0084408C" w:rsidRPr="00365263" w:rsidRDefault="0084408C" w:rsidP="00AD309C">
      <w:pPr>
        <w:pStyle w:val="EndnoteText"/>
        <w:numPr>
          <w:ilvl w:val="0"/>
          <w:numId w:val="210"/>
        </w:numPr>
        <w:rPr>
          <w:rFonts w:cs="Arial"/>
          <w:bCs/>
        </w:rPr>
      </w:pPr>
      <w:r w:rsidRPr="00365263">
        <w:rPr>
          <w:rFonts w:cs="Arial"/>
          <w:bCs/>
        </w:rPr>
        <w:t xml:space="preserve">All hospitals should exclude patients under 18 years old, patients who were discharged or expired before the Gold Standard Medication History could be obtained, and patients that do not have discharge orders written during the reporting period. </w:t>
      </w:r>
    </w:p>
    <w:p w14:paraId="5128A190" w14:textId="0F8003B0" w:rsidR="0084408C" w:rsidRPr="00365263" w:rsidRDefault="0084408C" w:rsidP="00AD309C">
      <w:pPr>
        <w:pStyle w:val="EndnoteText"/>
        <w:numPr>
          <w:ilvl w:val="0"/>
          <w:numId w:val="210"/>
        </w:numPr>
        <w:rPr>
          <w:rFonts w:cs="Arial"/>
          <w:bCs/>
        </w:rPr>
      </w:pPr>
      <w:r w:rsidRPr="00365263">
        <w:rPr>
          <w:rFonts w:cs="Arial"/>
          <w:bCs/>
        </w:rPr>
        <w:t>Hospitals should sample patients from medical</w:t>
      </w:r>
      <w:r w:rsidR="00DF71CE">
        <w:rPr>
          <w:rFonts w:cs="Arial"/>
          <w:bCs/>
        </w:rPr>
        <w:t>,</w:t>
      </w:r>
      <w:r w:rsidRPr="00365263">
        <w:rPr>
          <w:rFonts w:cs="Arial"/>
          <w:bCs/>
        </w:rPr>
        <w:t xml:space="preserve"> </w:t>
      </w:r>
      <w:r w:rsidR="00DF71CE">
        <w:rPr>
          <w:rFonts w:cs="Arial"/>
          <w:bCs/>
        </w:rPr>
        <w:t>medical/</w:t>
      </w:r>
      <w:r w:rsidRPr="00365263">
        <w:rPr>
          <w:rFonts w:cs="Arial"/>
          <w:bCs/>
        </w:rPr>
        <w:t>surg</w:t>
      </w:r>
      <w:r w:rsidR="00DF71CE">
        <w:rPr>
          <w:rFonts w:cs="Arial"/>
          <w:bCs/>
        </w:rPr>
        <w:t>ical, and step-down/progressive</w:t>
      </w:r>
      <w:r w:rsidRPr="00365263">
        <w:rPr>
          <w:rFonts w:cs="Arial"/>
          <w:bCs/>
        </w:rPr>
        <w:t xml:space="preserve"> units </w:t>
      </w:r>
      <w:r w:rsidR="00E864B0">
        <w:rPr>
          <w:rFonts w:cs="Arial"/>
          <w:bCs/>
        </w:rPr>
        <w:t xml:space="preserve">(adult only) </w:t>
      </w:r>
      <w:r w:rsidRPr="00365263">
        <w:rPr>
          <w:rFonts w:cs="Arial"/>
          <w:bCs/>
        </w:rPr>
        <w:t xml:space="preserve">to reduce the number of sampled patients with zero (0) Gold Standard Medications. However, hospitals may expand their sampling to patients in additional units of the hospitals. </w:t>
      </w:r>
    </w:p>
    <w:p w14:paraId="1ECAEA08" w14:textId="77777777" w:rsidR="0084408C" w:rsidRPr="00365263" w:rsidRDefault="0084408C" w:rsidP="00AD309C">
      <w:pPr>
        <w:pStyle w:val="EndnoteText"/>
        <w:numPr>
          <w:ilvl w:val="0"/>
          <w:numId w:val="210"/>
        </w:numPr>
        <w:rPr>
          <w:rFonts w:cs="Arial"/>
          <w:bCs/>
        </w:rPr>
      </w:pPr>
      <w:r w:rsidRPr="00365263">
        <w:rPr>
          <w:rFonts w:cs="Arial"/>
          <w:bCs/>
        </w:rPr>
        <w:t>Hospitals should sample patients from different days of the week, including patients admitted on the weekend.</w:t>
      </w:r>
    </w:p>
    <w:p w14:paraId="6980EAC7" w14:textId="298C92AD" w:rsidR="0084408C" w:rsidRPr="00365263" w:rsidRDefault="0084408C" w:rsidP="00AD309C">
      <w:pPr>
        <w:pStyle w:val="EndnoteText"/>
        <w:numPr>
          <w:ilvl w:val="0"/>
          <w:numId w:val="210"/>
        </w:numPr>
        <w:rPr>
          <w:rFonts w:cs="Arial"/>
          <w:bCs/>
        </w:rPr>
      </w:pPr>
      <w:r w:rsidRPr="00365263">
        <w:rPr>
          <w:rFonts w:cs="Arial"/>
          <w:bCs/>
        </w:rPr>
        <w:t>On the day of data collection, obtain a list of patients that were admitted the day before to medical and/or med</w:t>
      </w:r>
      <w:r w:rsidR="004C0B42">
        <w:rPr>
          <w:rFonts w:cs="Arial"/>
          <w:bCs/>
        </w:rPr>
        <w:t>ical</w:t>
      </w:r>
      <w:r w:rsidR="00C36887">
        <w:rPr>
          <w:rFonts w:cs="Arial"/>
          <w:bCs/>
        </w:rPr>
        <w:t>/</w:t>
      </w:r>
      <w:r w:rsidRPr="00365263">
        <w:rPr>
          <w:rFonts w:cs="Arial"/>
          <w:bCs/>
        </w:rPr>
        <w:t>surg</w:t>
      </w:r>
      <w:r w:rsidR="00C36887">
        <w:rPr>
          <w:rFonts w:cs="Arial"/>
          <w:bCs/>
        </w:rPr>
        <w:t>ical</w:t>
      </w:r>
      <w:r w:rsidRPr="00365263">
        <w:rPr>
          <w:rFonts w:cs="Arial"/>
          <w:bCs/>
        </w:rPr>
        <w:t xml:space="preserve"> units, in the order that they were admitted.</w:t>
      </w:r>
    </w:p>
    <w:p w14:paraId="11BBC523" w14:textId="77777777" w:rsidR="0084408C" w:rsidRPr="00365263" w:rsidRDefault="0084408C" w:rsidP="00AD309C">
      <w:pPr>
        <w:pStyle w:val="EndnoteText"/>
        <w:numPr>
          <w:ilvl w:val="0"/>
          <w:numId w:val="210"/>
        </w:numPr>
        <w:rPr>
          <w:rFonts w:cs="Arial"/>
          <w:bCs/>
        </w:rPr>
      </w:pPr>
      <w:r w:rsidRPr="00365263">
        <w:rPr>
          <w:rFonts w:cs="Arial"/>
          <w:bCs/>
        </w:rPr>
        <w:t xml:space="preserve">Follow the instructions in the Medication Reconciliation Workbook to randomly sample admitted patients. </w:t>
      </w:r>
    </w:p>
    <w:p w14:paraId="6B869851" w14:textId="77777777" w:rsidR="0084408C" w:rsidRPr="00365263" w:rsidRDefault="0084408C" w:rsidP="00AD309C">
      <w:pPr>
        <w:pStyle w:val="EndnoteText"/>
        <w:numPr>
          <w:ilvl w:val="0"/>
          <w:numId w:val="210"/>
        </w:numPr>
        <w:rPr>
          <w:rFonts w:cs="Arial"/>
          <w:bCs/>
        </w:rPr>
      </w:pPr>
      <w:r w:rsidRPr="00365263">
        <w:rPr>
          <w:rFonts w:cs="Arial"/>
          <w:bCs/>
        </w:rPr>
        <w:t>Send the list of sampled patients to the pharmacist, pharmacy resident, or pharmacy technician so they can schedule an in-person, video, or phone interview with each patient to obtain their Gold Standard Medication History.</w:t>
      </w:r>
    </w:p>
    <w:p w14:paraId="258E5C01" w14:textId="77777777" w:rsidR="0084408C" w:rsidRPr="009A5185" w:rsidRDefault="0084408C" w:rsidP="0084408C">
      <w:pPr>
        <w:pStyle w:val="EndnoteText"/>
        <w:ind w:left="1080"/>
        <w:rPr>
          <w:rFonts w:cs="Arial"/>
        </w:rPr>
      </w:pPr>
    </w:p>
    <w:p w14:paraId="616C6083" w14:textId="3271F84E" w:rsidR="0084408C" w:rsidRPr="009A5185" w:rsidRDefault="0084408C" w:rsidP="0084408C">
      <w:pPr>
        <w:pStyle w:val="EndnoteText"/>
        <w:rPr>
          <w:rFonts w:cs="Arial"/>
          <w:b/>
        </w:rPr>
      </w:pPr>
      <w:bookmarkStart w:id="207" w:name="Step2_Interview"/>
      <w:r w:rsidRPr="009A5185">
        <w:rPr>
          <w:rFonts w:cs="Arial"/>
          <w:b/>
        </w:rPr>
        <w:t xml:space="preserve">Step 2: </w:t>
      </w:r>
      <w:bookmarkEnd w:id="207"/>
      <w:r w:rsidRPr="009A5185">
        <w:rPr>
          <w:rFonts w:cs="Arial"/>
          <w:b/>
        </w:rPr>
        <w:t>Interview Patients and Obtain the Gold Standard Medication History (Pharmacist</w:t>
      </w:r>
      <w:r>
        <w:rPr>
          <w:rFonts w:cs="Arial"/>
          <w:b/>
        </w:rPr>
        <w:t xml:space="preserve"> or </w:t>
      </w:r>
      <w:hyperlink w:anchor="CertifiedPharmacyTechnician" w:history="1">
        <w:r w:rsidRPr="00CC4A99">
          <w:rPr>
            <w:rStyle w:val="Hyperlink"/>
            <w:rFonts w:cs="Arial"/>
            <w:b/>
            <w:bCs/>
          </w:rPr>
          <w:t>Certified Pharmacy Technician</w:t>
        </w:r>
      </w:hyperlink>
      <w:r w:rsidR="00E94620" w:rsidRPr="009617F5">
        <w:rPr>
          <w:rStyle w:val="Hyperlink"/>
          <w:rFonts w:cs="Arial"/>
          <w:color w:val="auto"/>
          <w:u w:val="none"/>
          <w:vertAlign w:val="superscript"/>
        </w:rPr>
        <w:t>2</w:t>
      </w:r>
      <w:r w:rsidR="00E94620" w:rsidRPr="00E94620">
        <w:rPr>
          <w:rFonts w:cs="Arial"/>
          <w:vertAlign w:val="superscript"/>
        </w:rPr>
        <w:t>3</w:t>
      </w:r>
      <w:r w:rsidRPr="009A5185">
        <w:rPr>
          <w:rFonts w:cs="Arial"/>
          <w:b/>
        </w:rPr>
        <w:t>)</w:t>
      </w:r>
    </w:p>
    <w:p w14:paraId="47CEB4CA" w14:textId="77777777" w:rsidR="007E0046" w:rsidRDefault="0084408C" w:rsidP="00AD309C">
      <w:pPr>
        <w:pStyle w:val="EndnoteText"/>
        <w:numPr>
          <w:ilvl w:val="0"/>
          <w:numId w:val="71"/>
        </w:numPr>
        <w:ind w:left="360"/>
        <w:rPr>
          <w:rFonts w:cs="Arial"/>
        </w:rPr>
      </w:pPr>
      <w:r w:rsidRPr="009A5185">
        <w:rPr>
          <w:rFonts w:cs="Arial"/>
        </w:rPr>
        <w:t>A trained pharmacist</w:t>
      </w:r>
      <w:r>
        <w:rPr>
          <w:rFonts w:cs="Arial"/>
        </w:rPr>
        <w:t xml:space="preserve">, </w:t>
      </w:r>
      <w:r w:rsidRPr="009A5185">
        <w:rPr>
          <w:rFonts w:cs="Arial"/>
        </w:rPr>
        <w:t>pharmacy resident</w:t>
      </w:r>
      <w:r>
        <w:rPr>
          <w:rFonts w:cs="Arial"/>
        </w:rPr>
        <w:t xml:space="preserve">, or </w:t>
      </w:r>
      <w:hyperlink w:anchor="CertifiedPharmacyTechnician" w:history="1">
        <w:r w:rsidRPr="0057191C">
          <w:rPr>
            <w:rStyle w:val="Hyperlink"/>
            <w:rFonts w:cs="Arial"/>
          </w:rPr>
          <w:t>certified pharmacy technician</w:t>
        </w:r>
      </w:hyperlink>
      <w:r w:rsidR="00E94620" w:rsidRPr="001F2388">
        <w:rPr>
          <w:rStyle w:val="Hyperlink"/>
          <w:rFonts w:cs="Arial"/>
          <w:u w:val="none"/>
          <w:vertAlign w:val="superscript"/>
        </w:rPr>
        <w:t>2</w:t>
      </w:r>
      <w:r w:rsidR="00E94620" w:rsidRPr="001F2388">
        <w:rPr>
          <w:rFonts w:cs="Arial"/>
          <w:vertAlign w:val="superscript"/>
        </w:rPr>
        <w:t>3</w:t>
      </w:r>
      <w:r w:rsidRPr="009A5185">
        <w:rPr>
          <w:rFonts w:cs="Arial"/>
        </w:rPr>
        <w:t xml:space="preserve"> must interview the patients from Step 1 and obtain the Gold Standard Medication History within 24 hours after admission</w:t>
      </w:r>
      <w:r>
        <w:rPr>
          <w:rFonts w:cs="Arial"/>
        </w:rPr>
        <w:t>, typically the morning after admission</w:t>
      </w:r>
      <w:r w:rsidRPr="009A5185">
        <w:rPr>
          <w:rFonts w:cs="Arial"/>
        </w:rPr>
        <w:t xml:space="preserve">. </w:t>
      </w:r>
    </w:p>
    <w:p w14:paraId="4E23C7B8" w14:textId="6CDB2C14" w:rsidR="00C0321A" w:rsidRDefault="007E0046" w:rsidP="007E0046">
      <w:pPr>
        <w:pStyle w:val="EndnoteText"/>
        <w:numPr>
          <w:ilvl w:val="0"/>
          <w:numId w:val="460"/>
        </w:numPr>
        <w:rPr>
          <w:rFonts w:cs="Arial"/>
        </w:rPr>
      </w:pPr>
      <w:r>
        <w:rPr>
          <w:rFonts w:cs="Arial"/>
        </w:rPr>
        <w:t>T</w:t>
      </w:r>
      <w:r w:rsidR="0084408C" w:rsidRPr="009A5185">
        <w:rPr>
          <w:rFonts w:cs="Arial"/>
        </w:rPr>
        <w:t xml:space="preserve">his </w:t>
      </w:r>
      <w:r>
        <w:rPr>
          <w:rFonts w:cs="Arial"/>
        </w:rPr>
        <w:t xml:space="preserve">interview </w:t>
      </w:r>
      <w:r w:rsidR="0084408C" w:rsidRPr="009A5185">
        <w:rPr>
          <w:rFonts w:cs="Arial"/>
        </w:rPr>
        <w:t>is in addition to, and separate from, any pre-admission medication list that was created as part of normal care</w:t>
      </w:r>
      <w:r w:rsidR="00C0321A">
        <w:rPr>
          <w:rFonts w:cs="Arial"/>
        </w:rPr>
        <w:t xml:space="preserve"> (e.g., PAML obtained by the nurse)</w:t>
      </w:r>
      <w:r w:rsidR="0084408C" w:rsidRPr="009A5185">
        <w:rPr>
          <w:rFonts w:cs="Arial"/>
        </w:rPr>
        <w:t>.</w:t>
      </w:r>
      <w:r w:rsidR="001A19F5">
        <w:rPr>
          <w:rFonts w:cs="Arial"/>
        </w:rPr>
        <w:t xml:space="preserve"> </w:t>
      </w:r>
    </w:p>
    <w:p w14:paraId="15BF6CBD" w14:textId="14564F10" w:rsidR="0084408C" w:rsidRPr="009A5185" w:rsidRDefault="001A19F5" w:rsidP="00C5453C">
      <w:pPr>
        <w:pStyle w:val="EndnoteText"/>
        <w:numPr>
          <w:ilvl w:val="0"/>
          <w:numId w:val="460"/>
        </w:numPr>
        <w:rPr>
          <w:rFonts w:cs="Arial"/>
        </w:rPr>
      </w:pPr>
      <w:r>
        <w:rPr>
          <w:rFonts w:cs="Arial"/>
        </w:rPr>
        <w:t>I</w:t>
      </w:r>
      <w:r w:rsidRPr="00B96852">
        <w:rPr>
          <w:rFonts w:cs="Arial"/>
        </w:rPr>
        <w:t xml:space="preserve">f a pharmacist, pharmacy resident, or </w:t>
      </w:r>
      <w:hyperlink w:anchor="CertifiedPharmacyTechnician" w:history="1">
        <w:r w:rsidRPr="0057191C">
          <w:rPr>
            <w:rStyle w:val="Hyperlink"/>
            <w:rFonts w:cs="Arial"/>
          </w:rPr>
          <w:t>certified pharmacy technician</w:t>
        </w:r>
      </w:hyperlink>
      <w:r w:rsidRPr="006436AC">
        <w:rPr>
          <w:rStyle w:val="Hyperlink"/>
          <w:rFonts w:cs="Arial"/>
          <w:color w:val="auto"/>
          <w:u w:val="none"/>
          <w:vertAlign w:val="superscript"/>
        </w:rPr>
        <w:t>2</w:t>
      </w:r>
      <w:r w:rsidRPr="006436AC">
        <w:rPr>
          <w:rFonts w:cs="Arial"/>
          <w:vertAlign w:val="superscript"/>
        </w:rPr>
        <w:t>3</w:t>
      </w:r>
      <w:r w:rsidRPr="009A5185">
        <w:rPr>
          <w:rFonts w:cs="Arial"/>
        </w:rPr>
        <w:t xml:space="preserve"> </w:t>
      </w:r>
      <w:r w:rsidR="00475AAA">
        <w:rPr>
          <w:rFonts w:cs="Arial"/>
        </w:rPr>
        <w:t>normally obtains</w:t>
      </w:r>
      <w:r w:rsidRPr="00B96852">
        <w:rPr>
          <w:rFonts w:cs="Arial"/>
        </w:rPr>
        <w:t xml:space="preserve"> the </w:t>
      </w:r>
      <w:r>
        <w:rPr>
          <w:rFonts w:cs="Arial"/>
        </w:rPr>
        <w:t>pre-admission medication list</w:t>
      </w:r>
      <w:r w:rsidR="00403850">
        <w:rPr>
          <w:rFonts w:cs="Arial"/>
        </w:rPr>
        <w:t xml:space="preserve"> from patients in medical or med-surg units</w:t>
      </w:r>
      <w:r>
        <w:rPr>
          <w:rFonts w:cs="Arial"/>
        </w:rPr>
        <w:t>,</w:t>
      </w:r>
      <w:r w:rsidRPr="00B96852">
        <w:rPr>
          <w:rFonts w:cs="Arial"/>
        </w:rPr>
        <w:t xml:space="preserve"> a different pharmacist, pharmacy resident, or </w:t>
      </w:r>
      <w:hyperlink w:anchor="CertifiedPharmacyTechnician" w:history="1">
        <w:r w:rsidRPr="0057191C">
          <w:rPr>
            <w:rStyle w:val="Hyperlink"/>
            <w:rFonts w:cs="Arial"/>
          </w:rPr>
          <w:t>certified pharmacy technician</w:t>
        </w:r>
      </w:hyperlink>
      <w:r w:rsidRPr="006436AC">
        <w:rPr>
          <w:rStyle w:val="Hyperlink"/>
          <w:rFonts w:cs="Arial"/>
          <w:color w:val="auto"/>
          <w:u w:val="none"/>
          <w:vertAlign w:val="superscript"/>
        </w:rPr>
        <w:t>2</w:t>
      </w:r>
      <w:r w:rsidRPr="006436AC">
        <w:rPr>
          <w:rFonts w:cs="Arial"/>
          <w:vertAlign w:val="superscript"/>
        </w:rPr>
        <w:t>3</w:t>
      </w:r>
      <w:r w:rsidRPr="009A5185">
        <w:rPr>
          <w:rFonts w:cs="Arial"/>
        </w:rPr>
        <w:t xml:space="preserve"> </w:t>
      </w:r>
      <w:r w:rsidRPr="00B96852">
        <w:rPr>
          <w:rFonts w:cs="Arial"/>
        </w:rPr>
        <w:t>must collect the Gold Standard Medication History.</w:t>
      </w:r>
    </w:p>
    <w:p w14:paraId="6BBB5EC2" w14:textId="1CFC8E29" w:rsidR="0084408C" w:rsidRPr="009A5185" w:rsidRDefault="0084408C" w:rsidP="00AD309C">
      <w:pPr>
        <w:pStyle w:val="EndnoteText"/>
        <w:numPr>
          <w:ilvl w:val="0"/>
          <w:numId w:val="71"/>
        </w:numPr>
        <w:ind w:left="360"/>
        <w:rPr>
          <w:rFonts w:cs="Arial"/>
        </w:rPr>
      </w:pPr>
      <w:r w:rsidRPr="009A5185">
        <w:rPr>
          <w:rFonts w:cs="Arial"/>
        </w:rPr>
        <w:t>The pharmacist</w:t>
      </w:r>
      <w:r>
        <w:rPr>
          <w:rFonts w:cs="Arial"/>
        </w:rPr>
        <w:t>, pharmacy resident,</w:t>
      </w:r>
      <w:r w:rsidRPr="009A5185">
        <w:rPr>
          <w:rFonts w:cs="Arial"/>
        </w:rPr>
        <w:t xml:space="preserve"> </w:t>
      </w:r>
      <w:r>
        <w:rPr>
          <w:rFonts w:cs="Arial"/>
        </w:rPr>
        <w:t xml:space="preserve">or </w:t>
      </w:r>
      <w:hyperlink w:anchor="CertifiedPharmacyTechnician" w:history="1">
        <w:r w:rsidRPr="0057191C">
          <w:rPr>
            <w:rStyle w:val="Hyperlink"/>
            <w:rFonts w:cs="Arial"/>
          </w:rPr>
          <w:t>certified pharmacy technician</w:t>
        </w:r>
      </w:hyperlink>
      <w:r>
        <w:rPr>
          <w:rFonts w:cs="Arial"/>
        </w:rPr>
        <w:fldChar w:fldCharType="begin"/>
      </w:r>
      <w:r>
        <w:rPr>
          <w:rFonts w:cs="Arial"/>
        </w:rPr>
        <w:instrText xml:space="preserve"> NOTEREF _Ref59097322 \f \h </w:instrText>
      </w:r>
      <w:r>
        <w:rPr>
          <w:rFonts w:cs="Arial"/>
        </w:rPr>
      </w:r>
      <w:r>
        <w:rPr>
          <w:rFonts w:cs="Arial"/>
        </w:rPr>
        <w:fldChar w:fldCharType="separate"/>
      </w:r>
      <w:r w:rsidR="007D53A2" w:rsidRPr="00C5453C">
        <w:rPr>
          <w:rStyle w:val="EndnoteReference"/>
        </w:rPr>
        <w:t>23</w:t>
      </w:r>
      <w:r>
        <w:rPr>
          <w:rFonts w:cs="Arial"/>
        </w:rPr>
        <w:fldChar w:fldCharType="end"/>
      </w:r>
      <w:r>
        <w:rPr>
          <w:rFonts w:cs="Arial"/>
        </w:rPr>
        <w:t xml:space="preserve"> </w:t>
      </w:r>
      <w:r w:rsidRPr="009A5185">
        <w:rPr>
          <w:rFonts w:cs="Arial"/>
        </w:rPr>
        <w:t xml:space="preserve">can customize the following script to explain to the patient the reason for the interview: </w:t>
      </w:r>
      <w:r w:rsidRPr="009A5185">
        <w:rPr>
          <w:rFonts w:cs="Arial"/>
          <w:lang w:eastAsia="ja-JP"/>
        </w:rPr>
        <w:t xml:space="preserve">“Hi, I’m </w:t>
      </w:r>
      <w:r w:rsidRPr="009A5185">
        <w:rPr>
          <w:rFonts w:cs="Arial"/>
          <w:i/>
          <w:lang w:eastAsia="ja-JP"/>
        </w:rPr>
        <w:t>(pharmacist’s name)</w:t>
      </w:r>
      <w:r w:rsidRPr="009A5185">
        <w:rPr>
          <w:rFonts w:cs="Arial"/>
          <w:lang w:eastAsia="ja-JP"/>
        </w:rPr>
        <w:t xml:space="preserve">, a pharmacist at </w:t>
      </w:r>
      <w:r w:rsidRPr="009A5185">
        <w:rPr>
          <w:rFonts w:cs="Arial"/>
          <w:i/>
          <w:lang w:eastAsia="ja-JP"/>
        </w:rPr>
        <w:t>(name of hospital)</w:t>
      </w:r>
      <w:r w:rsidRPr="009A5185">
        <w:rPr>
          <w:rFonts w:cs="Arial"/>
          <w:lang w:eastAsia="ja-JP"/>
        </w:rPr>
        <w:t xml:space="preserve">. I know </w:t>
      </w:r>
      <w:r w:rsidRPr="009A5185">
        <w:rPr>
          <w:rFonts w:cs="Arial"/>
          <w:i/>
          <w:lang w:eastAsia="ja-JP"/>
        </w:rPr>
        <w:t>(care team member who may have collected a pre-admission medication list or PAML)</w:t>
      </w:r>
      <w:r w:rsidRPr="009A5185">
        <w:rPr>
          <w:rFonts w:cs="Arial"/>
          <w:lang w:eastAsia="ja-JP"/>
        </w:rPr>
        <w:t xml:space="preserve"> already asked you about the medications you were taking before you were admitted to the hospital. I’m here to ask you about these medication</w:t>
      </w:r>
      <w:r>
        <w:rPr>
          <w:rFonts w:cs="Arial"/>
          <w:lang w:eastAsia="ja-JP"/>
        </w:rPr>
        <w:t>s</w:t>
      </w:r>
      <w:r w:rsidRPr="009A5185">
        <w:rPr>
          <w:rFonts w:cs="Arial"/>
          <w:lang w:eastAsia="ja-JP"/>
        </w:rPr>
        <w:t xml:space="preserve"> again. Our hospital has asked me to collect this information again so I can use it to measure how well we are doing in gathering medication histories. What we learn will help us improve our processes of care in the future and make sure we manage patients’ medications safely when they come into and after they leave the hospital.”</w:t>
      </w:r>
    </w:p>
    <w:p w14:paraId="0E2F18FD" w14:textId="5E6DF618" w:rsidR="0084408C" w:rsidRPr="009A5185" w:rsidRDefault="0084408C" w:rsidP="00AD309C">
      <w:pPr>
        <w:pStyle w:val="EndnoteText"/>
        <w:numPr>
          <w:ilvl w:val="0"/>
          <w:numId w:val="71"/>
        </w:numPr>
        <w:ind w:left="360"/>
        <w:rPr>
          <w:rFonts w:cs="Arial"/>
        </w:rPr>
      </w:pPr>
      <w:r w:rsidRPr="009A5185">
        <w:rPr>
          <w:rFonts w:cs="Arial"/>
        </w:rPr>
        <w:t xml:space="preserve">The Gold Standard Medication History is the list of medications that the patient was taking prior to admission. Best practices for collecting the Gold Standard Medication History can be found in </w:t>
      </w:r>
      <w:r>
        <w:rPr>
          <w:rFonts w:cs="Arial"/>
        </w:rPr>
        <w:t xml:space="preserve">the “Other Supporting Materials” for Section </w:t>
      </w:r>
      <w:r w:rsidR="00F72C9F">
        <w:rPr>
          <w:rFonts w:cs="Arial"/>
        </w:rPr>
        <w:t>2</w:t>
      </w:r>
      <w:r>
        <w:rPr>
          <w:rFonts w:cs="Arial"/>
        </w:rPr>
        <w:t xml:space="preserve"> on the </w:t>
      </w:r>
      <w:hyperlink r:id="rId189" w:history="1">
        <w:r w:rsidRPr="009A5185">
          <w:rPr>
            <w:rStyle w:val="Hyperlink"/>
            <w:rFonts w:cs="Arial"/>
          </w:rPr>
          <w:t>Survey and CPOE Materials webpage</w:t>
        </w:r>
      </w:hyperlink>
      <w:r>
        <w:rPr>
          <w:rFonts w:cs="Arial"/>
        </w:rPr>
        <w:t xml:space="preserve">. </w:t>
      </w:r>
    </w:p>
    <w:p w14:paraId="3FDE5397" w14:textId="690CA826" w:rsidR="0084408C" w:rsidRPr="009A5185" w:rsidRDefault="0084408C" w:rsidP="00AD309C">
      <w:pPr>
        <w:pStyle w:val="EndnoteText"/>
        <w:numPr>
          <w:ilvl w:val="2"/>
          <w:numId w:val="64"/>
        </w:numPr>
        <w:ind w:left="1080"/>
        <w:rPr>
          <w:rFonts w:cs="Arial"/>
        </w:rPr>
      </w:pPr>
      <w:r w:rsidRPr="009A5185">
        <w:rPr>
          <w:rFonts w:cs="Arial"/>
        </w:rPr>
        <w:t>Pharmacists</w:t>
      </w:r>
      <w:r>
        <w:rPr>
          <w:rFonts w:cs="Arial"/>
        </w:rPr>
        <w:t xml:space="preserve">, pharmacy residents, and </w:t>
      </w:r>
      <w:hyperlink w:anchor="CertifiedPharmacyTechnician" w:history="1">
        <w:r>
          <w:rPr>
            <w:rStyle w:val="Hyperlink"/>
            <w:rFonts w:cs="Arial"/>
          </w:rPr>
          <w:t>certified pharmacy technicians</w:t>
        </w:r>
      </w:hyperlink>
      <w:r>
        <w:rPr>
          <w:rFonts w:cs="Arial"/>
        </w:rPr>
        <w:fldChar w:fldCharType="begin"/>
      </w:r>
      <w:r>
        <w:rPr>
          <w:rFonts w:cs="Arial"/>
        </w:rPr>
        <w:instrText xml:space="preserve"> NOTEREF _Ref59097322 \f \h </w:instrText>
      </w:r>
      <w:r>
        <w:rPr>
          <w:rFonts w:cs="Arial"/>
        </w:rPr>
      </w:r>
      <w:r>
        <w:rPr>
          <w:rFonts w:cs="Arial"/>
        </w:rPr>
        <w:fldChar w:fldCharType="separate"/>
      </w:r>
      <w:r w:rsidR="007D53A2" w:rsidRPr="00F06B87">
        <w:rPr>
          <w:rStyle w:val="EndnoteReference"/>
        </w:rPr>
        <w:t>23</w:t>
      </w:r>
      <w:r>
        <w:rPr>
          <w:rFonts w:cs="Arial"/>
        </w:rPr>
        <w:fldChar w:fldCharType="end"/>
      </w:r>
      <w:r w:rsidRPr="009A5185">
        <w:rPr>
          <w:rFonts w:cs="Arial"/>
        </w:rPr>
        <w:t xml:space="preserve"> should try to use two sources of information </w:t>
      </w:r>
      <w:r>
        <w:t>(</w:t>
      </w:r>
      <w:r w:rsidRPr="0009108A">
        <w:t xml:space="preserve">see </w:t>
      </w:r>
      <w:hyperlink r:id="rId190" w:tgtFrame="_blank" w:tooltip="MARQUIS BPMH Tri-Fold Pocket Guide" w:history="1">
        <w:r w:rsidR="00BF78C4">
          <w:rPr>
            <w:rStyle w:val="Hyperlink"/>
          </w:rPr>
          <w:t>MARQUIS 2 Best Possible Medication History: Quick Tips</w:t>
        </w:r>
      </w:hyperlink>
      <w:r>
        <w:t xml:space="preserve"> and </w:t>
      </w:r>
      <w:hyperlink r:id="rId191" w:tgtFrame="_blank" w:history="1">
        <w:r w:rsidRPr="0009108A">
          <w:rPr>
            <w:rStyle w:val="Hyperlink"/>
          </w:rPr>
          <w:t>Medication Reconciliation Implementation Toolkit</w:t>
        </w:r>
      </w:hyperlink>
      <w:r>
        <w:t xml:space="preserve"> for examples)</w:t>
      </w:r>
      <w:r w:rsidRPr="0009108A">
        <w:rPr>
          <w:rFonts w:cs="Arial"/>
        </w:rPr>
        <w:t xml:space="preserve"> </w:t>
      </w:r>
      <w:r w:rsidRPr="009A5185">
        <w:rPr>
          <w:rFonts w:cs="Arial"/>
        </w:rPr>
        <w:t xml:space="preserve">and explore any discrepancies </w:t>
      </w:r>
      <w:r>
        <w:rPr>
          <w:rFonts w:cs="Arial"/>
        </w:rPr>
        <w:t xml:space="preserve">(e.g., </w:t>
      </w:r>
      <w:r w:rsidRPr="00A24DA2">
        <w:rPr>
          <w:rFonts w:cs="Arial"/>
        </w:rPr>
        <w:t>errors related to dose, route, timing, etc</w:t>
      </w:r>
      <w:r>
        <w:rPr>
          <w:rFonts w:cs="Arial"/>
        </w:rPr>
        <w:t>.</w:t>
      </w:r>
      <w:r w:rsidRPr="00A24DA2">
        <w:rPr>
          <w:rFonts w:cs="Arial"/>
        </w:rPr>
        <w:t>)</w:t>
      </w:r>
      <w:r>
        <w:rPr>
          <w:rFonts w:cs="Arial"/>
        </w:rPr>
        <w:t xml:space="preserve"> </w:t>
      </w:r>
      <w:r w:rsidRPr="009A5185">
        <w:rPr>
          <w:rFonts w:cs="Arial"/>
        </w:rPr>
        <w:t>before finalizing the Gold Standard Medication History. Once the pharmacist</w:t>
      </w:r>
      <w:r>
        <w:rPr>
          <w:rFonts w:cs="Arial"/>
        </w:rPr>
        <w:t xml:space="preserve">, pharmacy resident, or </w:t>
      </w:r>
      <w:hyperlink w:anchor="CertifiedPharmacyTechnician" w:history="1">
        <w:r w:rsidRPr="0057191C">
          <w:rPr>
            <w:rStyle w:val="Hyperlink"/>
            <w:rFonts w:cs="Arial"/>
          </w:rPr>
          <w:t>certified pharmacy technician</w:t>
        </w:r>
      </w:hyperlink>
      <w:r>
        <w:rPr>
          <w:rFonts w:cs="Arial"/>
        </w:rPr>
        <w:fldChar w:fldCharType="begin"/>
      </w:r>
      <w:r>
        <w:rPr>
          <w:rFonts w:cs="Arial"/>
        </w:rPr>
        <w:instrText xml:space="preserve"> NOTEREF _Ref59097322 \f \h </w:instrText>
      </w:r>
      <w:r>
        <w:rPr>
          <w:rFonts w:cs="Arial"/>
        </w:rPr>
      </w:r>
      <w:r>
        <w:rPr>
          <w:rFonts w:cs="Arial"/>
        </w:rPr>
        <w:fldChar w:fldCharType="separate"/>
      </w:r>
      <w:r w:rsidR="007D53A2" w:rsidRPr="00F06B87">
        <w:rPr>
          <w:rStyle w:val="EndnoteReference"/>
        </w:rPr>
        <w:t>23</w:t>
      </w:r>
      <w:r>
        <w:rPr>
          <w:rFonts w:cs="Arial"/>
        </w:rPr>
        <w:fldChar w:fldCharType="end"/>
      </w:r>
      <w:r>
        <w:rPr>
          <w:rFonts w:cs="Arial"/>
        </w:rPr>
        <w:t xml:space="preserve"> </w:t>
      </w:r>
      <w:r w:rsidRPr="009A5185">
        <w:rPr>
          <w:rFonts w:cs="Arial"/>
        </w:rPr>
        <w:t>has completed the patient interview, the</w:t>
      </w:r>
      <w:r>
        <w:rPr>
          <w:rFonts w:cs="Arial"/>
        </w:rPr>
        <w:t xml:space="preserve">y </w:t>
      </w:r>
      <w:r w:rsidRPr="009A5185">
        <w:rPr>
          <w:rFonts w:cs="Arial"/>
        </w:rPr>
        <w:t xml:space="preserve">can utilize support from </w:t>
      </w:r>
      <w:r>
        <w:rPr>
          <w:rFonts w:cs="Arial"/>
        </w:rPr>
        <w:t xml:space="preserve">non-certified  </w:t>
      </w:r>
      <w:r w:rsidRPr="009A5185">
        <w:rPr>
          <w:rFonts w:cs="Arial"/>
        </w:rPr>
        <w:t xml:space="preserve">pharmacy technicians, medical assistants, </w:t>
      </w:r>
      <w:r>
        <w:rPr>
          <w:rFonts w:cs="Arial"/>
        </w:rPr>
        <w:t>or</w:t>
      </w:r>
      <w:r w:rsidRPr="009A5185">
        <w:rPr>
          <w:rFonts w:cs="Arial"/>
        </w:rPr>
        <w:t xml:space="preserve"> nurses to investigate s</w:t>
      </w:r>
      <w:r w:rsidR="00CF7851">
        <w:rPr>
          <w:rFonts w:cs="Arial"/>
        </w:rPr>
        <w:t>eco</w:t>
      </w:r>
      <w:r w:rsidRPr="009A5185">
        <w:rPr>
          <w:rFonts w:cs="Arial"/>
        </w:rPr>
        <w:t>nd or third information sources (e.g.,</w:t>
      </w:r>
      <w:r>
        <w:rPr>
          <w:rFonts w:cs="Arial"/>
        </w:rPr>
        <w:t xml:space="preserve"> EHR</w:t>
      </w:r>
      <w:r w:rsidRPr="009A5185">
        <w:rPr>
          <w:rFonts w:cs="Arial"/>
        </w:rPr>
        <w:t xml:space="preserve"> list, pharmacy list, primary or specialty provider information, etc.). However, the pharmacist</w:t>
      </w:r>
      <w:r>
        <w:rPr>
          <w:rFonts w:cs="Arial"/>
        </w:rPr>
        <w:t>, pharmacy resident,</w:t>
      </w:r>
      <w:r w:rsidRPr="009A5185">
        <w:rPr>
          <w:rFonts w:cs="Arial"/>
        </w:rPr>
        <w:t xml:space="preserve"> </w:t>
      </w:r>
      <w:r>
        <w:rPr>
          <w:rFonts w:cs="Arial"/>
        </w:rPr>
        <w:t xml:space="preserve">or </w:t>
      </w:r>
      <w:hyperlink w:anchor="CertifiedPharmacyTechnician" w:history="1">
        <w:r w:rsidRPr="0057191C">
          <w:rPr>
            <w:rStyle w:val="Hyperlink"/>
            <w:rFonts w:cs="Arial"/>
          </w:rPr>
          <w:t>certified pharmacy technician</w:t>
        </w:r>
      </w:hyperlink>
      <w:r w:rsidR="00E94620" w:rsidRPr="009617F5">
        <w:rPr>
          <w:rStyle w:val="Hyperlink"/>
          <w:rFonts w:cs="Arial"/>
          <w:color w:val="auto"/>
          <w:u w:val="none"/>
          <w:vertAlign w:val="superscript"/>
        </w:rPr>
        <w:t>2</w:t>
      </w:r>
      <w:r w:rsidR="00E94620" w:rsidRPr="009617F5">
        <w:rPr>
          <w:rFonts w:cs="Arial"/>
          <w:vertAlign w:val="superscript"/>
        </w:rPr>
        <w:t>3</w:t>
      </w:r>
      <w:r>
        <w:rPr>
          <w:rFonts w:cs="Arial"/>
        </w:rPr>
        <w:t xml:space="preserve"> </w:t>
      </w:r>
      <w:r w:rsidRPr="009A5185">
        <w:rPr>
          <w:rFonts w:cs="Arial"/>
        </w:rPr>
        <w:t xml:space="preserve">must be the one to </w:t>
      </w:r>
      <w:r>
        <w:rPr>
          <w:rFonts w:cs="Arial"/>
        </w:rPr>
        <w:t xml:space="preserve">obtain and </w:t>
      </w:r>
      <w:r w:rsidRPr="009A5185">
        <w:rPr>
          <w:rFonts w:cs="Arial"/>
        </w:rPr>
        <w:t xml:space="preserve">finalize the Gold Standard Medication History.  </w:t>
      </w:r>
    </w:p>
    <w:p w14:paraId="4F398BBD" w14:textId="77777777" w:rsidR="0084408C" w:rsidRPr="009A5185" w:rsidRDefault="0084408C" w:rsidP="00AD309C">
      <w:pPr>
        <w:pStyle w:val="EndnoteText"/>
        <w:numPr>
          <w:ilvl w:val="2"/>
          <w:numId w:val="64"/>
        </w:numPr>
        <w:ind w:left="1080"/>
        <w:rPr>
          <w:rFonts w:cs="Arial"/>
        </w:rPr>
      </w:pPr>
      <w:r w:rsidRPr="009A5185">
        <w:rPr>
          <w:rFonts w:cs="Arial"/>
        </w:rPr>
        <w:lastRenderedPageBreak/>
        <w:t>Medications that a patient is completely non-adherent to</w:t>
      </w:r>
      <w:r>
        <w:rPr>
          <w:rFonts w:cs="Arial"/>
        </w:rPr>
        <w:t xml:space="preserve">, meaning the patient has not taken the medication for at least 30 days, </w:t>
      </w:r>
      <w:r w:rsidRPr="009A5185">
        <w:rPr>
          <w:rFonts w:cs="Arial"/>
        </w:rPr>
        <w:t>should be excluded from the Gold Standard Medication History.</w:t>
      </w:r>
    </w:p>
    <w:p w14:paraId="6DB2C13A" w14:textId="77777777" w:rsidR="0084408C" w:rsidRPr="009A5185" w:rsidRDefault="0084408C" w:rsidP="00AD309C">
      <w:pPr>
        <w:pStyle w:val="EndnoteText"/>
        <w:numPr>
          <w:ilvl w:val="2"/>
          <w:numId w:val="64"/>
        </w:numPr>
        <w:ind w:left="1080"/>
        <w:rPr>
          <w:rFonts w:cs="Arial"/>
        </w:rPr>
      </w:pPr>
      <w:r w:rsidRPr="009A5185">
        <w:rPr>
          <w:rFonts w:cs="Arial"/>
        </w:rPr>
        <w:t>If a patient has been taking a medication differently to how it was prescribed, then the Gold Standard Medication History should list the medication as the patient was taking it.</w:t>
      </w:r>
      <w:r>
        <w:rPr>
          <w:rFonts w:cs="Arial"/>
        </w:rPr>
        <w:t xml:space="preserve"> </w:t>
      </w:r>
    </w:p>
    <w:p w14:paraId="7DABB9AA" w14:textId="6A042496" w:rsidR="0084408C" w:rsidRPr="004430B9" w:rsidRDefault="0084408C" w:rsidP="00AD309C">
      <w:pPr>
        <w:pStyle w:val="EndnoteText"/>
        <w:numPr>
          <w:ilvl w:val="2"/>
          <w:numId w:val="64"/>
        </w:numPr>
        <w:ind w:left="1080"/>
        <w:rPr>
          <w:rFonts w:cs="Arial"/>
        </w:rPr>
      </w:pPr>
      <w:r w:rsidRPr="009A5185">
        <w:rPr>
          <w:rFonts w:cs="Arial"/>
        </w:rPr>
        <w:t xml:space="preserve">Exclude </w:t>
      </w:r>
      <w:r w:rsidR="004A5AA1">
        <w:rPr>
          <w:rFonts w:cs="Arial"/>
        </w:rPr>
        <w:t>OTC/</w:t>
      </w:r>
      <w:r>
        <w:rPr>
          <w:rFonts w:cs="Arial"/>
        </w:rPr>
        <w:t>PRN medications unless they are clinically relevant. This includes topical lo</w:t>
      </w:r>
      <w:r w:rsidR="00B35215">
        <w:rPr>
          <w:rFonts w:cs="Arial"/>
        </w:rPr>
        <w:t>tions</w:t>
      </w:r>
      <w:r>
        <w:rPr>
          <w:rFonts w:cs="Arial"/>
        </w:rPr>
        <w:t xml:space="preserve"> and creams, saline nasal spray and artificial tear eye drops, herbals and supplements, and vitamins. </w:t>
      </w:r>
      <w:r w:rsidRPr="009A5185">
        <w:rPr>
          <w:rFonts w:cs="Arial"/>
        </w:rPr>
        <w:t>Two examples of clinically relevant medications that should not be excluded from the gold standard pre-admission medication list would be iron for a patient with iron-deficiency anemia or calcium/vitamin D for a patient with osteoporosis.</w:t>
      </w:r>
    </w:p>
    <w:p w14:paraId="3FFEA8AB" w14:textId="4668E6BF" w:rsidR="0084408C" w:rsidRDefault="0084408C" w:rsidP="00AD309C">
      <w:pPr>
        <w:pStyle w:val="EndnoteText"/>
        <w:numPr>
          <w:ilvl w:val="2"/>
          <w:numId w:val="64"/>
        </w:numPr>
        <w:ind w:left="1080"/>
        <w:rPr>
          <w:rFonts w:cs="Arial"/>
        </w:rPr>
      </w:pPr>
      <w:r>
        <w:rPr>
          <w:rFonts w:cs="Arial"/>
        </w:rPr>
        <w:t xml:space="preserve">Include </w:t>
      </w:r>
      <w:r w:rsidR="004A5AA1">
        <w:rPr>
          <w:rFonts w:cs="Arial"/>
        </w:rPr>
        <w:t>OTC/</w:t>
      </w:r>
      <w:r>
        <w:rPr>
          <w:rFonts w:cs="Arial"/>
        </w:rPr>
        <w:t xml:space="preserve">PRN medications that are clinically relevant. This includes </w:t>
      </w:r>
      <w:r w:rsidRPr="009A5185">
        <w:rPr>
          <w:rFonts w:cs="Arial"/>
        </w:rPr>
        <w:t xml:space="preserve">inhalers, nitroglycerin, </w:t>
      </w:r>
      <w:r w:rsidRPr="003D09E6">
        <w:rPr>
          <w:rFonts w:cs="Arial"/>
        </w:rPr>
        <w:t>analgesics (opioid and non-opioid)</w:t>
      </w:r>
      <w:r w:rsidRPr="009A5185">
        <w:rPr>
          <w:rFonts w:cs="Arial"/>
        </w:rPr>
        <w:t xml:space="preserve">, muscle relaxants, </w:t>
      </w:r>
      <w:r>
        <w:rPr>
          <w:rFonts w:cs="Arial"/>
        </w:rPr>
        <w:t xml:space="preserve">and </w:t>
      </w:r>
      <w:r w:rsidRPr="009A5185">
        <w:rPr>
          <w:rFonts w:cs="Arial"/>
        </w:rPr>
        <w:t>sedatives</w:t>
      </w:r>
      <w:r>
        <w:rPr>
          <w:rFonts w:cs="Arial"/>
        </w:rPr>
        <w:t>, including medications where sedation is a common side effect (e.g., sedation occurs in more than 10% of individuals).</w:t>
      </w:r>
      <w:r w:rsidRPr="009A5185">
        <w:rPr>
          <w:rFonts w:cs="Arial"/>
        </w:rPr>
        <w:t xml:space="preserve"> </w:t>
      </w:r>
      <w:r>
        <w:rPr>
          <w:rFonts w:cs="Arial"/>
        </w:rPr>
        <w:t xml:space="preserve">This also includes </w:t>
      </w:r>
      <w:r w:rsidRPr="003E0613">
        <w:rPr>
          <w:rFonts w:cs="Arial"/>
        </w:rPr>
        <w:t>topical medications with systemic actions (e.g., lidocaine, triamcinolone, sulfadiazine</w:t>
      </w:r>
      <w:r>
        <w:rPr>
          <w:rFonts w:cs="Arial"/>
        </w:rPr>
        <w:t>, etc.</w:t>
      </w:r>
      <w:r w:rsidRPr="003E0613">
        <w:rPr>
          <w:rFonts w:cs="Arial"/>
        </w:rPr>
        <w:t>)</w:t>
      </w:r>
      <w:r>
        <w:rPr>
          <w:rFonts w:cs="Arial"/>
        </w:rPr>
        <w:t>.</w:t>
      </w:r>
    </w:p>
    <w:p w14:paraId="4EBAEE39" w14:textId="031CF156" w:rsidR="008A4674" w:rsidRPr="003E0613" w:rsidRDefault="008A4674" w:rsidP="00AD309C">
      <w:pPr>
        <w:pStyle w:val="EndnoteText"/>
        <w:numPr>
          <w:ilvl w:val="2"/>
          <w:numId w:val="64"/>
        </w:numPr>
        <w:ind w:left="1080"/>
        <w:rPr>
          <w:rFonts w:cs="Arial"/>
        </w:rPr>
      </w:pPr>
      <w:r>
        <w:rPr>
          <w:rFonts w:cs="Arial"/>
        </w:rPr>
        <w:t xml:space="preserve">Clinically relevant is defined as any </w:t>
      </w:r>
      <w:r w:rsidR="004A5AA1">
        <w:rPr>
          <w:rFonts w:cs="Arial"/>
        </w:rPr>
        <w:t>OTC/</w:t>
      </w:r>
      <w:r>
        <w:rPr>
          <w:rFonts w:cs="Arial"/>
        </w:rPr>
        <w:t>PRN medication that treats a medical condition on the patient’s problem list and/or condition they are being treated for during the visit</w:t>
      </w:r>
      <w:r w:rsidR="00494D79">
        <w:rPr>
          <w:rFonts w:cs="Arial"/>
        </w:rPr>
        <w:t xml:space="preserve"> (i.e., reason for the hospital stay). </w:t>
      </w:r>
    </w:p>
    <w:p w14:paraId="27996FFB" w14:textId="77777777" w:rsidR="0084408C" w:rsidRDefault="0084408C" w:rsidP="0084408C">
      <w:pPr>
        <w:pStyle w:val="EndnoteText"/>
        <w:rPr>
          <w:rFonts w:cs="Arial"/>
          <w:b/>
        </w:rPr>
      </w:pPr>
      <w:bookmarkStart w:id="208" w:name="Step3_CompleteWkst"/>
    </w:p>
    <w:p w14:paraId="24D4EF44" w14:textId="031C83EB" w:rsidR="0084408C" w:rsidRPr="009A5185" w:rsidRDefault="0084408C" w:rsidP="0084408C">
      <w:pPr>
        <w:pStyle w:val="EndnoteText"/>
        <w:rPr>
          <w:rFonts w:cs="Arial"/>
          <w:b/>
        </w:rPr>
      </w:pPr>
      <w:r w:rsidRPr="009A5185">
        <w:rPr>
          <w:rFonts w:cs="Arial"/>
          <w:b/>
        </w:rPr>
        <w:t xml:space="preserve">Step 3: </w:t>
      </w:r>
      <w:bookmarkEnd w:id="208"/>
      <w:r w:rsidRPr="009A5185">
        <w:rPr>
          <w:rFonts w:cs="Arial"/>
          <w:b/>
        </w:rPr>
        <w:t>Complete a Medication Reconciliation Worksheet for each sampled patient (Pharmacist</w:t>
      </w:r>
      <w:r>
        <w:rPr>
          <w:rFonts w:cs="Arial"/>
          <w:b/>
        </w:rPr>
        <w:t xml:space="preserve"> or </w:t>
      </w:r>
      <w:hyperlink w:anchor="CertifiedPharmacyTechnician" w:history="1">
        <w:r w:rsidRPr="00714DB7">
          <w:rPr>
            <w:rStyle w:val="Hyperlink"/>
            <w:rFonts w:cs="Arial"/>
            <w:b/>
          </w:rPr>
          <w:t>Certified Pharmacy Technician</w:t>
        </w:r>
      </w:hyperlink>
      <w:r w:rsidR="00714DB7">
        <w:rPr>
          <w:rFonts w:cs="Arial"/>
          <w:b/>
        </w:rPr>
        <w:fldChar w:fldCharType="begin"/>
      </w:r>
      <w:r w:rsidR="00714DB7">
        <w:rPr>
          <w:rFonts w:cs="Arial"/>
          <w:b/>
        </w:rPr>
        <w:instrText xml:space="preserve"> NOTEREF _Ref59097322 \f \h </w:instrText>
      </w:r>
      <w:r w:rsidR="00714DB7">
        <w:rPr>
          <w:rFonts w:cs="Arial"/>
          <w:b/>
        </w:rPr>
      </w:r>
      <w:r w:rsidR="00714DB7">
        <w:rPr>
          <w:rFonts w:cs="Arial"/>
          <w:b/>
        </w:rPr>
        <w:fldChar w:fldCharType="separate"/>
      </w:r>
      <w:r w:rsidR="007D53A2" w:rsidRPr="00F06B87">
        <w:rPr>
          <w:rStyle w:val="EndnoteReference"/>
        </w:rPr>
        <w:t>23</w:t>
      </w:r>
      <w:r w:rsidR="00714DB7">
        <w:rPr>
          <w:rFonts w:cs="Arial"/>
          <w:b/>
        </w:rPr>
        <w:fldChar w:fldCharType="end"/>
      </w:r>
      <w:r w:rsidRPr="009A5185">
        <w:rPr>
          <w:rFonts w:cs="Arial"/>
          <w:b/>
        </w:rPr>
        <w:t>)</w:t>
      </w:r>
    </w:p>
    <w:p w14:paraId="17EBC4BE" w14:textId="77777777" w:rsidR="0084408C" w:rsidRPr="009A5185" w:rsidRDefault="0084408C" w:rsidP="00AD309C">
      <w:pPr>
        <w:pStyle w:val="EndnoteText"/>
        <w:numPr>
          <w:ilvl w:val="0"/>
          <w:numId w:val="73"/>
        </w:numPr>
        <w:ind w:left="360"/>
        <w:rPr>
          <w:rFonts w:cs="Arial"/>
        </w:rPr>
      </w:pPr>
      <w:r w:rsidRPr="009A5185">
        <w:rPr>
          <w:rFonts w:cs="Arial"/>
        </w:rPr>
        <w:t>Once the Gold Standard Medication History is complete, print out the Medication Reconciliation Worksheet for each sample</w:t>
      </w:r>
      <w:r>
        <w:rPr>
          <w:rFonts w:cs="Arial"/>
        </w:rPr>
        <w:t>d</w:t>
      </w:r>
      <w:r w:rsidRPr="009A5185">
        <w:rPr>
          <w:rFonts w:cs="Arial"/>
        </w:rPr>
        <w:t xml:space="preserve"> patient. </w:t>
      </w:r>
    </w:p>
    <w:p w14:paraId="4AE779F9" w14:textId="77777777" w:rsidR="0084408C" w:rsidRPr="009A5185" w:rsidRDefault="0084408C" w:rsidP="00AD309C">
      <w:pPr>
        <w:pStyle w:val="EndnoteText"/>
        <w:numPr>
          <w:ilvl w:val="0"/>
          <w:numId w:val="73"/>
        </w:numPr>
        <w:ind w:left="360"/>
        <w:rPr>
          <w:rFonts w:cs="Arial"/>
        </w:rPr>
      </w:pPr>
      <w:r w:rsidRPr="009A5185">
        <w:rPr>
          <w:rFonts w:cs="Arial"/>
        </w:rPr>
        <w:t>Page 1 needs to be printed out for each sampled patient. Page 2 needs to be printed for each Gold Standard Medication the patient was taking.</w:t>
      </w:r>
    </w:p>
    <w:p w14:paraId="6CC27432" w14:textId="1B32911A" w:rsidR="0084408C" w:rsidRPr="00365263" w:rsidRDefault="0084408C" w:rsidP="00AD309C">
      <w:pPr>
        <w:pStyle w:val="EndnoteText"/>
        <w:numPr>
          <w:ilvl w:val="0"/>
          <w:numId w:val="73"/>
        </w:numPr>
        <w:ind w:left="360"/>
        <w:rPr>
          <w:rFonts w:cs="Arial"/>
        </w:rPr>
      </w:pPr>
      <w:r w:rsidRPr="009A5185">
        <w:rPr>
          <w:rFonts w:cs="Arial"/>
        </w:rPr>
        <w:t>Complete the “Gold Standard Medication” column highlighted in yellow for each Gold Standard Medication on the list:</w:t>
      </w:r>
    </w:p>
    <w:p w14:paraId="7AF0A30A" w14:textId="77777777" w:rsidR="0084408C" w:rsidRPr="009A5185" w:rsidRDefault="0084408C" w:rsidP="00365263">
      <w:pPr>
        <w:pStyle w:val="EndnoteText"/>
        <w:jc w:val="center"/>
        <w:rPr>
          <w:rFonts w:cs="Arial"/>
        </w:rPr>
      </w:pPr>
      <w:r w:rsidRPr="009A5185">
        <w:rPr>
          <w:rFonts w:cs="Arial"/>
          <w:noProof/>
        </w:rPr>
        <w:drawing>
          <wp:inline distT="0" distB="0" distL="0" distR="0" wp14:anchorId="0CBA592B" wp14:editId="17B134CB">
            <wp:extent cx="2364004" cy="3448050"/>
            <wp:effectExtent l="0" t="0" r="0" b="0"/>
            <wp:docPr id="9" name="Picture 9" descr="P24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2434#yIS1"/>
                    <pic:cNvPicPr/>
                  </pic:nvPicPr>
                  <pic:blipFill>
                    <a:blip r:embed="rId192"/>
                    <a:srcRect l="1696" r="1696"/>
                    <a:stretch>
                      <a:fillRect/>
                    </a:stretch>
                  </pic:blipFill>
                  <pic:spPr bwMode="auto">
                    <a:xfrm>
                      <a:off x="0" y="0"/>
                      <a:ext cx="2364004" cy="3448050"/>
                    </a:xfrm>
                    <a:prstGeom prst="rect">
                      <a:avLst/>
                    </a:prstGeom>
                    <a:ln>
                      <a:noFill/>
                    </a:ln>
                    <a:extLst>
                      <a:ext uri="{53640926-AAD7-44D8-BBD7-CCE9431645EC}">
                        <a14:shadowObscured xmlns:a14="http://schemas.microsoft.com/office/drawing/2010/main"/>
                      </a:ext>
                    </a:extLst>
                  </pic:spPr>
                </pic:pic>
              </a:graphicData>
            </a:graphic>
          </wp:inline>
        </w:drawing>
      </w:r>
    </w:p>
    <w:p w14:paraId="7CABA0A7" w14:textId="77777777" w:rsidR="0084408C" w:rsidRPr="009A5185" w:rsidRDefault="0084408C" w:rsidP="00365263">
      <w:pPr>
        <w:pStyle w:val="EndnoteText"/>
        <w:rPr>
          <w:rFonts w:cs="Arial"/>
        </w:rPr>
      </w:pPr>
    </w:p>
    <w:p w14:paraId="5F3F27C5" w14:textId="77777777" w:rsidR="0084408C" w:rsidRPr="009A5185" w:rsidRDefault="0084408C" w:rsidP="00AD309C">
      <w:pPr>
        <w:pStyle w:val="EndnoteText"/>
        <w:numPr>
          <w:ilvl w:val="0"/>
          <w:numId w:val="73"/>
        </w:numPr>
        <w:ind w:left="360"/>
        <w:rPr>
          <w:rFonts w:cs="Arial"/>
        </w:rPr>
      </w:pPr>
      <w:r w:rsidRPr="009A5185">
        <w:rPr>
          <w:rFonts w:cs="Arial"/>
        </w:rPr>
        <w:t>If possible, wait until after the patient has been discharged to complete the next steps.</w:t>
      </w:r>
    </w:p>
    <w:p w14:paraId="6731F357" w14:textId="3CEA19A7" w:rsidR="00910741" w:rsidRDefault="00910741">
      <w:pPr>
        <w:rPr>
          <w:rFonts w:cs="Arial"/>
        </w:rPr>
      </w:pPr>
      <w:r>
        <w:rPr>
          <w:rFonts w:cs="Arial"/>
        </w:rPr>
        <w:br w:type="page"/>
      </w:r>
    </w:p>
    <w:p w14:paraId="44CD8B86" w14:textId="77777777" w:rsidR="0084408C" w:rsidRPr="009A5185" w:rsidRDefault="0084408C" w:rsidP="0084408C">
      <w:pPr>
        <w:pStyle w:val="EndnoteText"/>
        <w:rPr>
          <w:rFonts w:cs="Arial"/>
          <w:b/>
        </w:rPr>
      </w:pPr>
      <w:bookmarkStart w:id="209" w:name="Step4_ComparewAdmissionOrders"/>
      <w:r w:rsidRPr="009A5185">
        <w:rPr>
          <w:rFonts w:cs="Arial"/>
          <w:b/>
        </w:rPr>
        <w:lastRenderedPageBreak/>
        <w:t>Step 4:</w:t>
      </w:r>
      <w:bookmarkEnd w:id="209"/>
      <w:r w:rsidRPr="009A5185">
        <w:rPr>
          <w:rFonts w:cs="Arial"/>
          <w:b/>
        </w:rPr>
        <w:t xml:space="preserve"> Compare Gold Standard Medication History to Admission Orders (Pharmacist</w:t>
      </w:r>
      <w:r>
        <w:rPr>
          <w:rFonts w:cs="Arial"/>
          <w:b/>
        </w:rPr>
        <w:t xml:space="preserve"> Only</w:t>
      </w:r>
      <w:r w:rsidRPr="009A5185">
        <w:rPr>
          <w:rFonts w:cs="Arial"/>
          <w:b/>
        </w:rPr>
        <w:t>)</w:t>
      </w:r>
    </w:p>
    <w:p w14:paraId="1C6E6248" w14:textId="77777777" w:rsidR="0084408C" w:rsidRPr="009A5185" w:rsidRDefault="0084408C" w:rsidP="00AD309C">
      <w:pPr>
        <w:pStyle w:val="EndnoteText"/>
        <w:numPr>
          <w:ilvl w:val="0"/>
          <w:numId w:val="74"/>
        </w:numPr>
        <w:ind w:left="360"/>
        <w:rPr>
          <w:rFonts w:cs="Arial"/>
        </w:rPr>
      </w:pPr>
      <w:r w:rsidRPr="009A5185">
        <w:rPr>
          <w:rFonts w:cs="Arial"/>
        </w:rPr>
        <w:t>After the patient has been discharged, obtain the admission and discharge orders for the patient</w:t>
      </w:r>
      <w:r>
        <w:rPr>
          <w:rFonts w:cs="Arial"/>
        </w:rPr>
        <w:t xml:space="preserve"> </w:t>
      </w:r>
      <w:r w:rsidRPr="009A5185">
        <w:rPr>
          <w:rFonts w:cs="Arial"/>
        </w:rPr>
        <w:t>(</w:t>
      </w:r>
      <w:r>
        <w:rPr>
          <w:rFonts w:cs="Arial"/>
        </w:rPr>
        <w:t>i</w:t>
      </w:r>
      <w:r w:rsidRPr="009A5185">
        <w:rPr>
          <w:rFonts w:cs="Arial"/>
        </w:rPr>
        <w:t xml:space="preserve">nstructions for comparing the discharge orders are in Step 5 below). Admission orders include all orders written from the time of admission until 8:00 a.m. the following morning or </w:t>
      </w:r>
      <w:r>
        <w:rPr>
          <w:rFonts w:cs="Arial"/>
        </w:rPr>
        <w:t xml:space="preserve">up </w:t>
      </w:r>
      <w:r w:rsidRPr="009A5185">
        <w:rPr>
          <w:rFonts w:cs="Arial"/>
        </w:rPr>
        <w:t xml:space="preserve">until </w:t>
      </w:r>
      <w:r>
        <w:rPr>
          <w:rFonts w:cs="Arial"/>
        </w:rPr>
        <w:t>12</w:t>
      </w:r>
      <w:r w:rsidRPr="009A5185">
        <w:rPr>
          <w:rFonts w:cs="Arial"/>
        </w:rPr>
        <w:t xml:space="preserve"> hours after the time of admission, whichever comes first.</w:t>
      </w:r>
    </w:p>
    <w:p w14:paraId="51BD2C63" w14:textId="77777777" w:rsidR="0084408C" w:rsidRPr="009A5185" w:rsidRDefault="0084408C" w:rsidP="00AD309C">
      <w:pPr>
        <w:pStyle w:val="EndnoteText"/>
        <w:numPr>
          <w:ilvl w:val="0"/>
          <w:numId w:val="74"/>
        </w:numPr>
        <w:ind w:left="360"/>
        <w:rPr>
          <w:rFonts w:cs="Arial"/>
        </w:rPr>
      </w:pPr>
      <w:r w:rsidRPr="009A5185">
        <w:rPr>
          <w:rFonts w:cs="Arial"/>
        </w:rPr>
        <w:t xml:space="preserve">Compare the admission orders to each Gold Standard Medication on the Medication Reconciliation Worksheet. Note any differences. </w:t>
      </w:r>
    </w:p>
    <w:p w14:paraId="615CAFB3" w14:textId="4C2CEF21" w:rsidR="0084408C" w:rsidRPr="009A5185" w:rsidRDefault="0084408C" w:rsidP="00AD309C">
      <w:pPr>
        <w:pStyle w:val="EndnoteText"/>
        <w:numPr>
          <w:ilvl w:val="2"/>
          <w:numId w:val="180"/>
        </w:numPr>
        <w:ind w:left="1440"/>
        <w:rPr>
          <w:rFonts w:cs="Arial"/>
        </w:rPr>
      </w:pPr>
      <w:r w:rsidRPr="009A5185">
        <w:rPr>
          <w:rFonts w:cs="Arial"/>
        </w:rPr>
        <w:t xml:space="preserve">Review the records for the patient to determine if the differences were intentional or unintentional. Use the </w:t>
      </w:r>
      <w:hyperlink r:id="rId193" w:history="1">
        <w:r w:rsidRPr="00A427B4">
          <w:rPr>
            <w:rStyle w:val="Hyperlink"/>
            <w:rFonts w:cs="Arial"/>
          </w:rPr>
          <w:t>Identifying Discrepancies Flow Charts</w:t>
        </w:r>
      </w:hyperlink>
      <w:r w:rsidRPr="009A5185">
        <w:rPr>
          <w:rFonts w:cs="Arial"/>
        </w:rPr>
        <w:t xml:space="preserve"> to help with this step.</w:t>
      </w:r>
    </w:p>
    <w:p w14:paraId="4D6E09EE" w14:textId="46C2C86C" w:rsidR="0084408C" w:rsidRPr="00365263" w:rsidRDefault="0084408C" w:rsidP="00AD309C">
      <w:pPr>
        <w:pStyle w:val="EndnoteText"/>
        <w:numPr>
          <w:ilvl w:val="2"/>
          <w:numId w:val="180"/>
        </w:numPr>
        <w:ind w:left="1440"/>
        <w:rPr>
          <w:rFonts w:cs="Arial"/>
        </w:rPr>
      </w:pPr>
      <w:r w:rsidRPr="009A5185">
        <w:rPr>
          <w:rFonts w:cs="Arial"/>
        </w:rPr>
        <w:t>If the discrepancy was unintentional, then check the box next to “Yes” highlighted in orange. Otherwise, check “No</w:t>
      </w:r>
      <w:r w:rsidR="00D851DA">
        <w:rPr>
          <w:rFonts w:cs="Arial"/>
        </w:rPr>
        <w:t>.</w:t>
      </w:r>
      <w:r w:rsidRPr="009A5185">
        <w:rPr>
          <w:rFonts w:cs="Arial"/>
        </w:rPr>
        <w:t>”</w:t>
      </w:r>
    </w:p>
    <w:p w14:paraId="117FD12C" w14:textId="77777777" w:rsidR="0084408C" w:rsidRPr="009A5185" w:rsidRDefault="0084408C" w:rsidP="00365263">
      <w:pPr>
        <w:pStyle w:val="EndnoteText"/>
        <w:jc w:val="center"/>
        <w:rPr>
          <w:rFonts w:cs="Arial"/>
        </w:rPr>
      </w:pPr>
      <w:r>
        <w:rPr>
          <w:rFonts w:cs="Arial"/>
          <w:noProof/>
        </w:rPr>
        <w:drawing>
          <wp:inline distT="0" distB="0" distL="0" distR="0" wp14:anchorId="4162846F" wp14:editId="1A7AAC66">
            <wp:extent cx="1999615" cy="3359150"/>
            <wp:effectExtent l="0" t="0" r="635" b="0"/>
            <wp:docPr id="8" name="Picture 8" descr="P24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2443#yIS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999615" cy="3359150"/>
                    </a:xfrm>
                    <a:prstGeom prst="rect">
                      <a:avLst/>
                    </a:prstGeom>
                    <a:noFill/>
                  </pic:spPr>
                </pic:pic>
              </a:graphicData>
            </a:graphic>
          </wp:inline>
        </w:drawing>
      </w:r>
    </w:p>
    <w:p w14:paraId="6F883310" w14:textId="77777777" w:rsidR="0084408C" w:rsidRPr="009A5185" w:rsidRDefault="0084408C" w:rsidP="00365263">
      <w:pPr>
        <w:pStyle w:val="EndnoteText"/>
        <w:jc w:val="center"/>
        <w:rPr>
          <w:rFonts w:cs="Arial"/>
        </w:rPr>
      </w:pPr>
    </w:p>
    <w:p w14:paraId="63B4378B" w14:textId="527B8175" w:rsidR="0084408C" w:rsidRPr="00365263" w:rsidRDefault="0084408C" w:rsidP="00AD309C">
      <w:pPr>
        <w:pStyle w:val="EndnoteText"/>
        <w:numPr>
          <w:ilvl w:val="0"/>
          <w:numId w:val="74"/>
        </w:numPr>
        <w:ind w:left="360"/>
        <w:rPr>
          <w:rFonts w:cs="Arial"/>
        </w:rPr>
      </w:pPr>
      <w:r w:rsidRPr="009A5185">
        <w:rPr>
          <w:rFonts w:cs="Arial"/>
        </w:rPr>
        <w:t xml:space="preserve">Review the admission orders for any medications that were not listed in the Gold Standard Medication History. If any of the additional medications were ordered </w:t>
      </w:r>
      <w:r w:rsidRPr="009A5185">
        <w:rPr>
          <w:rFonts w:cs="Arial"/>
          <w:b/>
        </w:rPr>
        <w:t>unintentionally</w:t>
      </w:r>
      <w:r w:rsidRPr="009A5185">
        <w:rPr>
          <w:rFonts w:cs="Arial"/>
        </w:rPr>
        <w:t>, list it on the first page of the Medication Reconciliation Worksheet in the blue-highlighted column.</w:t>
      </w:r>
      <w:r>
        <w:rPr>
          <w:rFonts w:cs="Arial"/>
        </w:rPr>
        <w:t xml:space="preserve"> </w:t>
      </w:r>
      <w:r w:rsidRPr="009A5185">
        <w:rPr>
          <w:rFonts w:cs="Arial"/>
        </w:rPr>
        <w:t>You may need to contact the Provider to determine if the medication was ordered unintentionally or not.</w:t>
      </w:r>
    </w:p>
    <w:p w14:paraId="5652223F" w14:textId="079BCB7B" w:rsidR="0084408C" w:rsidRPr="009A5185" w:rsidRDefault="0084408C" w:rsidP="00365263">
      <w:pPr>
        <w:pStyle w:val="EndnoteText"/>
        <w:rPr>
          <w:rFonts w:cs="Arial"/>
        </w:rPr>
      </w:pPr>
      <w:r w:rsidRPr="009A5185">
        <w:rPr>
          <w:rFonts w:cs="Arial"/>
          <w:noProof/>
        </w:rPr>
        <w:drawing>
          <wp:inline distT="0" distB="0" distL="0" distR="0" wp14:anchorId="65351373" wp14:editId="4C14BEAA">
            <wp:extent cx="5943600" cy="1905635"/>
            <wp:effectExtent l="0" t="0" r="0" b="0"/>
            <wp:docPr id="10" name="Picture 10" descr="P244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2446#yIS1"/>
                    <pic:cNvPicPr/>
                  </pic:nvPicPr>
                  <pic:blipFill>
                    <a:blip r:embed="rId195"/>
                    <a:stretch>
                      <a:fillRect/>
                    </a:stretch>
                  </pic:blipFill>
                  <pic:spPr>
                    <a:xfrm>
                      <a:off x="0" y="0"/>
                      <a:ext cx="5943600" cy="1905635"/>
                    </a:xfrm>
                    <a:prstGeom prst="rect">
                      <a:avLst/>
                    </a:prstGeom>
                  </pic:spPr>
                </pic:pic>
              </a:graphicData>
            </a:graphic>
          </wp:inline>
        </w:drawing>
      </w:r>
    </w:p>
    <w:p w14:paraId="27F8B164" w14:textId="77777777" w:rsidR="0084408C" w:rsidRPr="009A5185" w:rsidRDefault="0084408C" w:rsidP="00AD309C">
      <w:pPr>
        <w:pStyle w:val="EndnoteText"/>
        <w:numPr>
          <w:ilvl w:val="0"/>
          <w:numId w:val="74"/>
        </w:numPr>
        <w:ind w:left="360"/>
        <w:rPr>
          <w:rFonts w:cs="Arial"/>
        </w:rPr>
      </w:pPr>
      <w:r w:rsidRPr="009A5185">
        <w:rPr>
          <w:rFonts w:cs="Arial"/>
        </w:rPr>
        <w:t xml:space="preserve">If the pharmacist identifies an unintentional discrepancy in the admission orders </w:t>
      </w:r>
      <w:r w:rsidRPr="009A5185">
        <w:rPr>
          <w:rFonts w:cs="Arial"/>
          <w:u w:val="single"/>
        </w:rPr>
        <w:t>prior to discharge</w:t>
      </w:r>
      <w:r w:rsidRPr="009A5185">
        <w:rPr>
          <w:rFonts w:cs="Arial"/>
        </w:rPr>
        <w:t xml:space="preserve"> and alerts the physician so that the unintentional discrepancy can be corrected prior to discharge, this should be recorded on the Medication Reconciliation Worksheet as an unintentional discrepancy in </w:t>
      </w:r>
      <w:r>
        <w:rPr>
          <w:rFonts w:cs="Arial"/>
        </w:rPr>
        <w:t xml:space="preserve">the </w:t>
      </w:r>
      <w:r w:rsidRPr="009A5185">
        <w:rPr>
          <w:rFonts w:cs="Arial"/>
        </w:rPr>
        <w:t>Admission Comparison</w:t>
      </w:r>
      <w:r>
        <w:rPr>
          <w:rFonts w:cs="Arial"/>
        </w:rPr>
        <w:t xml:space="preserve"> and Discharge Comparison</w:t>
      </w:r>
      <w:r w:rsidRPr="009A5185">
        <w:rPr>
          <w:rFonts w:cs="Arial"/>
        </w:rPr>
        <w:t xml:space="preserve"> column</w:t>
      </w:r>
      <w:r>
        <w:rPr>
          <w:rFonts w:cs="Arial"/>
        </w:rPr>
        <w:t>s</w:t>
      </w:r>
      <w:r w:rsidRPr="009A5185">
        <w:rPr>
          <w:rFonts w:cs="Arial"/>
        </w:rPr>
        <w:t xml:space="preserve"> of the worksheet.</w:t>
      </w:r>
    </w:p>
    <w:p w14:paraId="0ABA0F64" w14:textId="77777777" w:rsidR="0084408C" w:rsidRPr="009A5185" w:rsidRDefault="0084408C" w:rsidP="0084408C">
      <w:pPr>
        <w:pStyle w:val="EndnoteText"/>
        <w:rPr>
          <w:rFonts w:cs="Arial"/>
        </w:rPr>
      </w:pPr>
    </w:p>
    <w:p w14:paraId="1EED1C70" w14:textId="77777777" w:rsidR="0084408C" w:rsidRPr="009A5185" w:rsidRDefault="0084408C" w:rsidP="0084408C">
      <w:pPr>
        <w:pStyle w:val="EndnoteText"/>
        <w:rPr>
          <w:rFonts w:cs="Arial"/>
          <w:b/>
        </w:rPr>
      </w:pPr>
      <w:bookmarkStart w:id="210" w:name="Step5_ComparewDischargeOrders"/>
      <w:r w:rsidRPr="009A5185">
        <w:rPr>
          <w:rFonts w:cs="Arial"/>
          <w:b/>
        </w:rPr>
        <w:t>Step 5:</w:t>
      </w:r>
      <w:bookmarkEnd w:id="210"/>
      <w:r w:rsidRPr="009A5185">
        <w:rPr>
          <w:rFonts w:cs="Arial"/>
          <w:b/>
        </w:rPr>
        <w:t xml:space="preserve"> Compare Gold Standard Medication History to Discharge Orders (Pharmacist</w:t>
      </w:r>
      <w:r>
        <w:rPr>
          <w:rFonts w:cs="Arial"/>
          <w:b/>
        </w:rPr>
        <w:t xml:space="preserve"> Only</w:t>
      </w:r>
      <w:r w:rsidRPr="009A5185">
        <w:rPr>
          <w:rFonts w:cs="Arial"/>
          <w:b/>
        </w:rPr>
        <w:t xml:space="preserve">) </w:t>
      </w:r>
    </w:p>
    <w:p w14:paraId="0968B581" w14:textId="77777777" w:rsidR="0084408C" w:rsidRPr="009A5185" w:rsidRDefault="0084408C" w:rsidP="00AD309C">
      <w:pPr>
        <w:pStyle w:val="EndnoteText"/>
        <w:numPr>
          <w:ilvl w:val="0"/>
          <w:numId w:val="75"/>
        </w:numPr>
        <w:ind w:left="360"/>
        <w:rPr>
          <w:rFonts w:cs="Arial"/>
        </w:rPr>
      </w:pPr>
      <w:r w:rsidRPr="009A5185">
        <w:rPr>
          <w:rFonts w:cs="Arial"/>
        </w:rPr>
        <w:t>Obtain the discharge orders for the patient.</w:t>
      </w:r>
    </w:p>
    <w:p w14:paraId="1107CDEA" w14:textId="373E107C" w:rsidR="0084408C" w:rsidRPr="009A5185" w:rsidRDefault="0084408C" w:rsidP="00AD309C">
      <w:pPr>
        <w:pStyle w:val="EndnoteText"/>
        <w:numPr>
          <w:ilvl w:val="0"/>
          <w:numId w:val="75"/>
        </w:numPr>
        <w:ind w:left="360"/>
        <w:rPr>
          <w:rFonts w:cs="Arial"/>
        </w:rPr>
      </w:pPr>
      <w:r w:rsidRPr="009A5185">
        <w:rPr>
          <w:rFonts w:cs="Arial"/>
        </w:rPr>
        <w:t xml:space="preserve">Perform the comparison between the Gold Standard Medications and the discharge orders using the same steps as the admission comparison. Remember to use the </w:t>
      </w:r>
      <w:hyperlink r:id="rId196" w:history="1">
        <w:r w:rsidRPr="004167F2">
          <w:rPr>
            <w:rStyle w:val="Hyperlink"/>
            <w:rFonts w:cs="Arial"/>
          </w:rPr>
          <w:t>Identifying Discrepancies Flow Charts</w:t>
        </w:r>
      </w:hyperlink>
      <w:r w:rsidRPr="009A5185">
        <w:rPr>
          <w:rFonts w:cs="Arial"/>
        </w:rPr>
        <w:t xml:space="preserve"> to help with this step.</w:t>
      </w:r>
    </w:p>
    <w:p w14:paraId="73733863" w14:textId="77777777" w:rsidR="0084408C" w:rsidRPr="009A5185" w:rsidRDefault="0084408C" w:rsidP="00AD309C">
      <w:pPr>
        <w:pStyle w:val="EndnoteText"/>
        <w:numPr>
          <w:ilvl w:val="0"/>
          <w:numId w:val="75"/>
        </w:numPr>
        <w:ind w:left="360"/>
        <w:rPr>
          <w:rFonts w:cs="Arial"/>
        </w:rPr>
      </w:pPr>
      <w:r w:rsidRPr="009A5185">
        <w:rPr>
          <w:rFonts w:cs="Arial"/>
        </w:rPr>
        <w:t xml:space="preserve">Review the discharge orders for any medications that were not listed in the Gold Standard Medication History. If any of the additional medications were ordered </w:t>
      </w:r>
      <w:r w:rsidRPr="009A5185">
        <w:rPr>
          <w:rFonts w:cs="Arial"/>
          <w:b/>
        </w:rPr>
        <w:t>unintentionally</w:t>
      </w:r>
      <w:r w:rsidRPr="009A5185">
        <w:rPr>
          <w:rFonts w:cs="Arial"/>
        </w:rPr>
        <w:t xml:space="preserve">, list </w:t>
      </w:r>
      <w:r>
        <w:rPr>
          <w:rFonts w:cs="Arial"/>
        </w:rPr>
        <w:t>them</w:t>
      </w:r>
      <w:r w:rsidRPr="009A5185">
        <w:rPr>
          <w:rFonts w:cs="Arial"/>
        </w:rPr>
        <w:t xml:space="preserve"> on the first page of the Medication Reconciliation Worksheet in the blue-highlighted column.</w:t>
      </w:r>
    </w:p>
    <w:p w14:paraId="26471884" w14:textId="77777777" w:rsidR="0084408C" w:rsidRPr="009A5185" w:rsidRDefault="0084408C" w:rsidP="00AD309C">
      <w:pPr>
        <w:pStyle w:val="EndnoteText"/>
        <w:numPr>
          <w:ilvl w:val="0"/>
          <w:numId w:val="76"/>
        </w:numPr>
        <w:ind w:left="1260"/>
        <w:rPr>
          <w:rFonts w:cs="Arial"/>
        </w:rPr>
      </w:pPr>
      <w:r w:rsidRPr="009A5185">
        <w:rPr>
          <w:rFonts w:cs="Arial"/>
        </w:rPr>
        <w:t>If an unintentionally ordered additional medication was only ordered on admission, then check the “Admission” box in the pink-highlighted column.</w:t>
      </w:r>
    </w:p>
    <w:p w14:paraId="10843ED2" w14:textId="77777777" w:rsidR="0084408C" w:rsidRPr="009A5185" w:rsidRDefault="0084408C" w:rsidP="00AD309C">
      <w:pPr>
        <w:pStyle w:val="EndnoteText"/>
        <w:numPr>
          <w:ilvl w:val="0"/>
          <w:numId w:val="76"/>
        </w:numPr>
        <w:ind w:left="1260"/>
        <w:rPr>
          <w:rFonts w:cs="Arial"/>
        </w:rPr>
      </w:pPr>
      <w:r w:rsidRPr="009A5185">
        <w:rPr>
          <w:rFonts w:cs="Arial"/>
        </w:rPr>
        <w:t>If an unintentionally ordered additional medication was only ordered on discharge, then check the “Discharge” box in the pink -highlighted column.</w:t>
      </w:r>
    </w:p>
    <w:p w14:paraId="3C6AC0FA" w14:textId="77777777" w:rsidR="0084408C" w:rsidRPr="009061F3" w:rsidRDefault="0084408C" w:rsidP="00AD309C">
      <w:pPr>
        <w:pStyle w:val="EndnoteText"/>
        <w:numPr>
          <w:ilvl w:val="0"/>
          <w:numId w:val="76"/>
        </w:numPr>
        <w:ind w:left="1260"/>
        <w:rPr>
          <w:rFonts w:cs="Arial"/>
        </w:rPr>
      </w:pPr>
      <w:r w:rsidRPr="009A5185">
        <w:rPr>
          <w:rFonts w:cs="Arial"/>
        </w:rPr>
        <w:t>If the unintentionally ordered additional medication was ordered on both admission and discharge, then check the “Both” box in the pink-highlighted column</w:t>
      </w:r>
      <w:r>
        <w:rPr>
          <w:rFonts w:cs="Arial"/>
        </w:rPr>
        <w:t xml:space="preserve">. </w:t>
      </w:r>
    </w:p>
    <w:p w14:paraId="667A039F" w14:textId="77777777" w:rsidR="0084408C" w:rsidRPr="009A5185" w:rsidRDefault="0084408C" w:rsidP="0084408C">
      <w:pPr>
        <w:pStyle w:val="EndnoteText"/>
        <w:ind w:left="1800"/>
        <w:rPr>
          <w:rFonts w:cs="Arial"/>
        </w:rPr>
      </w:pPr>
    </w:p>
    <w:p w14:paraId="71E9CB91" w14:textId="77777777" w:rsidR="0084408C" w:rsidRPr="009A5185" w:rsidRDefault="0084408C" w:rsidP="0084408C">
      <w:pPr>
        <w:pStyle w:val="EndnoteText"/>
        <w:rPr>
          <w:rFonts w:cs="Arial"/>
          <w:b/>
        </w:rPr>
      </w:pPr>
      <w:r w:rsidRPr="009A5185">
        <w:rPr>
          <w:rFonts w:cs="Arial"/>
          <w:b/>
        </w:rPr>
        <w:t xml:space="preserve">Step 6: Sum the number of medications and discrepancies (Survey Coordinator) </w:t>
      </w:r>
    </w:p>
    <w:p w14:paraId="1D0013B2" w14:textId="72A43EB1" w:rsidR="0084408C" w:rsidRPr="001C0DA5" w:rsidRDefault="0084408C" w:rsidP="00AD309C">
      <w:pPr>
        <w:pStyle w:val="EndnoteText"/>
        <w:numPr>
          <w:ilvl w:val="0"/>
          <w:numId w:val="79"/>
        </w:numPr>
        <w:ind w:left="360"/>
        <w:rPr>
          <w:rFonts w:cs="Arial"/>
        </w:rPr>
      </w:pPr>
      <w:r w:rsidRPr="009A5185">
        <w:rPr>
          <w:rFonts w:cs="Arial"/>
        </w:rPr>
        <w:t>The top of the first page of the Medication Reconciliation Worksheet contains four spaces for you to list the data for the patient.</w:t>
      </w:r>
    </w:p>
    <w:p w14:paraId="553C6DA1" w14:textId="2E74512B" w:rsidR="0084408C" w:rsidRPr="009A5185" w:rsidRDefault="0084408C" w:rsidP="00365263">
      <w:pPr>
        <w:pStyle w:val="EndnoteText"/>
        <w:rPr>
          <w:rFonts w:cs="Arial"/>
        </w:rPr>
      </w:pPr>
      <w:r w:rsidRPr="009A5185">
        <w:rPr>
          <w:rFonts w:cs="Arial"/>
          <w:noProof/>
        </w:rPr>
        <w:drawing>
          <wp:inline distT="0" distB="0" distL="0" distR="0" wp14:anchorId="43A5D43C" wp14:editId="7519A976">
            <wp:extent cx="5138711" cy="2043955"/>
            <wp:effectExtent l="0" t="0" r="5080" b="0"/>
            <wp:docPr id="3" name="Picture 3" descr="P24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2459#yIS1"/>
                    <pic:cNvPicPr/>
                  </pic:nvPicPr>
                  <pic:blipFill>
                    <a:blip r:embed="rId197"/>
                    <a:stretch>
                      <a:fillRect/>
                    </a:stretch>
                  </pic:blipFill>
                  <pic:spPr>
                    <a:xfrm>
                      <a:off x="0" y="0"/>
                      <a:ext cx="5138711" cy="2043955"/>
                    </a:xfrm>
                    <a:prstGeom prst="rect">
                      <a:avLst/>
                    </a:prstGeom>
                  </pic:spPr>
                </pic:pic>
              </a:graphicData>
            </a:graphic>
          </wp:inline>
        </w:drawing>
      </w:r>
    </w:p>
    <w:p w14:paraId="0A46AE15" w14:textId="77777777" w:rsidR="0084408C" w:rsidRPr="009A5185" w:rsidRDefault="0084408C" w:rsidP="00AD309C">
      <w:pPr>
        <w:pStyle w:val="EndnoteText"/>
        <w:numPr>
          <w:ilvl w:val="0"/>
          <w:numId w:val="77"/>
        </w:numPr>
        <w:ind w:left="1260"/>
        <w:rPr>
          <w:rFonts w:cs="Arial"/>
        </w:rPr>
      </w:pPr>
      <w:r w:rsidRPr="009A5185">
        <w:rPr>
          <w:rFonts w:cs="Arial"/>
        </w:rPr>
        <w:t>Find the number of unintentionally ordered additional medications from the blue highlighted column on the same page. Enter in the first space, also highlighted in blue.</w:t>
      </w:r>
    </w:p>
    <w:p w14:paraId="54910104" w14:textId="77777777" w:rsidR="0084408C" w:rsidRPr="009A5185" w:rsidRDefault="0084408C" w:rsidP="00AD309C">
      <w:pPr>
        <w:pStyle w:val="EndnoteText"/>
        <w:numPr>
          <w:ilvl w:val="0"/>
          <w:numId w:val="77"/>
        </w:numPr>
        <w:ind w:left="1260"/>
        <w:rPr>
          <w:rFonts w:cs="Arial"/>
        </w:rPr>
      </w:pPr>
      <w:r w:rsidRPr="009A5185">
        <w:rPr>
          <w:rFonts w:cs="Arial"/>
        </w:rPr>
        <w:t xml:space="preserve">Find the number of </w:t>
      </w:r>
      <w:r w:rsidRPr="009A5185">
        <w:rPr>
          <w:rFonts w:cs="Arial"/>
          <w:b/>
        </w:rPr>
        <w:t>discrepancies</w:t>
      </w:r>
      <w:r w:rsidRPr="009A5185">
        <w:rPr>
          <w:rFonts w:cs="Arial"/>
        </w:rPr>
        <w:t xml:space="preserve"> due to unintentionally ordered additional medications from the pink highlighted column on the same page.</w:t>
      </w:r>
    </w:p>
    <w:p w14:paraId="59E0E8CB" w14:textId="77777777" w:rsidR="0084408C" w:rsidRPr="009A5185" w:rsidRDefault="0084408C" w:rsidP="00AD309C">
      <w:pPr>
        <w:pStyle w:val="EndnoteText"/>
        <w:numPr>
          <w:ilvl w:val="3"/>
          <w:numId w:val="180"/>
        </w:numPr>
        <w:ind w:left="2160"/>
        <w:rPr>
          <w:rFonts w:cs="Arial"/>
        </w:rPr>
      </w:pPr>
      <w:r w:rsidRPr="009A5185">
        <w:rPr>
          <w:rFonts w:cs="Arial"/>
        </w:rPr>
        <w:t>If a medication was only ordered on admission or only ordered on discharge, then this counts as one discrepancy.</w:t>
      </w:r>
    </w:p>
    <w:p w14:paraId="244F94A1" w14:textId="77777777" w:rsidR="0084408C" w:rsidRPr="009A5185" w:rsidRDefault="0084408C" w:rsidP="00AD309C">
      <w:pPr>
        <w:pStyle w:val="EndnoteText"/>
        <w:numPr>
          <w:ilvl w:val="3"/>
          <w:numId w:val="180"/>
        </w:numPr>
        <w:ind w:left="2160"/>
        <w:rPr>
          <w:rFonts w:cs="Arial"/>
        </w:rPr>
      </w:pPr>
      <w:r w:rsidRPr="009A5185">
        <w:rPr>
          <w:rFonts w:cs="Arial"/>
        </w:rPr>
        <w:t xml:space="preserve">If a medication was ordered on </w:t>
      </w:r>
      <w:r w:rsidRPr="009A5185">
        <w:rPr>
          <w:rFonts w:cs="Arial"/>
          <w:b/>
        </w:rPr>
        <w:t>both</w:t>
      </w:r>
      <w:r w:rsidRPr="009A5185">
        <w:rPr>
          <w:rFonts w:cs="Arial"/>
        </w:rPr>
        <w:t xml:space="preserve"> admission and discharge, then this counts as two discrepancies.</w:t>
      </w:r>
    </w:p>
    <w:p w14:paraId="1C05B903" w14:textId="77777777" w:rsidR="0084408C" w:rsidRPr="009A5185" w:rsidRDefault="0084408C" w:rsidP="00AD309C">
      <w:pPr>
        <w:pStyle w:val="EndnoteText"/>
        <w:numPr>
          <w:ilvl w:val="3"/>
          <w:numId w:val="180"/>
        </w:numPr>
        <w:ind w:left="2160"/>
        <w:rPr>
          <w:rFonts w:cs="Arial"/>
        </w:rPr>
      </w:pPr>
      <w:r w:rsidRPr="009A5185">
        <w:rPr>
          <w:rFonts w:cs="Arial"/>
        </w:rPr>
        <w:t>Sum the number of discrepancies across all unintentionally ordered additional medications and enter this number in the pink-highlighted space.</w:t>
      </w:r>
    </w:p>
    <w:p w14:paraId="2297575F" w14:textId="77777777" w:rsidR="0084408C" w:rsidRPr="009A5185" w:rsidRDefault="0084408C" w:rsidP="00AD309C">
      <w:pPr>
        <w:pStyle w:val="EndnoteText"/>
        <w:numPr>
          <w:ilvl w:val="0"/>
          <w:numId w:val="77"/>
        </w:numPr>
        <w:ind w:left="1260"/>
        <w:rPr>
          <w:rFonts w:cs="Arial"/>
        </w:rPr>
      </w:pPr>
      <w:r w:rsidRPr="009A5185">
        <w:rPr>
          <w:rFonts w:cs="Arial"/>
        </w:rPr>
        <w:t>Find the number of Gold Standard Medications and enter this number in the yellow-highlighted space.</w:t>
      </w:r>
    </w:p>
    <w:p w14:paraId="22FFA298" w14:textId="77777777" w:rsidR="0084408C" w:rsidRPr="009A5185" w:rsidRDefault="0084408C" w:rsidP="00AD309C">
      <w:pPr>
        <w:pStyle w:val="EndnoteText"/>
        <w:numPr>
          <w:ilvl w:val="0"/>
          <w:numId w:val="77"/>
        </w:numPr>
        <w:ind w:left="1260"/>
        <w:rPr>
          <w:rFonts w:cs="Arial"/>
        </w:rPr>
      </w:pPr>
      <w:r w:rsidRPr="009A5185">
        <w:rPr>
          <w:rFonts w:cs="Arial"/>
        </w:rPr>
        <w:t>Find the number of discrepancies in the admission and discharge orders for the Gold Standard Medications</w:t>
      </w:r>
    </w:p>
    <w:p w14:paraId="440D54D8" w14:textId="77777777" w:rsidR="0084408C" w:rsidRPr="009A5185" w:rsidRDefault="0084408C" w:rsidP="00AD309C">
      <w:pPr>
        <w:pStyle w:val="EndnoteText"/>
        <w:numPr>
          <w:ilvl w:val="0"/>
          <w:numId w:val="78"/>
        </w:numPr>
        <w:ind w:left="1800"/>
        <w:rPr>
          <w:rFonts w:cs="Arial"/>
        </w:rPr>
      </w:pPr>
      <w:r w:rsidRPr="009A5185">
        <w:rPr>
          <w:rFonts w:cs="Arial"/>
        </w:rPr>
        <w:t>Review the Medication Reconciliation Worksheet for each Gold Standard Medication.</w:t>
      </w:r>
    </w:p>
    <w:p w14:paraId="4E7CC214" w14:textId="77777777" w:rsidR="0084408C" w:rsidRPr="009A5185" w:rsidRDefault="0084408C" w:rsidP="00AD309C">
      <w:pPr>
        <w:pStyle w:val="EndnoteText"/>
        <w:numPr>
          <w:ilvl w:val="0"/>
          <w:numId w:val="78"/>
        </w:numPr>
        <w:ind w:left="1800"/>
        <w:rPr>
          <w:rFonts w:cs="Arial"/>
        </w:rPr>
      </w:pPr>
      <w:r w:rsidRPr="009A5185">
        <w:rPr>
          <w:rFonts w:cs="Arial"/>
        </w:rPr>
        <w:t>Sum the number of times the orange</w:t>
      </w:r>
      <w:r>
        <w:rPr>
          <w:rFonts w:cs="Arial"/>
        </w:rPr>
        <w:t xml:space="preserve"> </w:t>
      </w:r>
      <w:r w:rsidRPr="009A5185">
        <w:rPr>
          <w:rFonts w:cs="Arial"/>
        </w:rPr>
        <w:t>highlighted “Yes” box is checked, indicating an unintentional discrepancy in admission or discharge orders.</w:t>
      </w:r>
    </w:p>
    <w:p w14:paraId="232E4A6A" w14:textId="77777777" w:rsidR="0084408C" w:rsidRPr="009A5185" w:rsidRDefault="0084408C" w:rsidP="00AD309C">
      <w:pPr>
        <w:pStyle w:val="EndnoteText"/>
        <w:numPr>
          <w:ilvl w:val="0"/>
          <w:numId w:val="78"/>
        </w:numPr>
        <w:ind w:left="1800"/>
        <w:rPr>
          <w:rFonts w:cs="Arial"/>
        </w:rPr>
      </w:pPr>
      <w:r w:rsidRPr="009A5185">
        <w:rPr>
          <w:rFonts w:cs="Arial"/>
        </w:rPr>
        <w:t>Enter this sum into the orange-highlighted space on the first page of the Medication Reconciliation Worksheet.</w:t>
      </w:r>
    </w:p>
    <w:p w14:paraId="41E9937C" w14:textId="77777777" w:rsidR="0084408C" w:rsidRPr="009A5185" w:rsidRDefault="0084408C" w:rsidP="0084408C">
      <w:pPr>
        <w:pStyle w:val="EndnoteText"/>
        <w:ind w:left="2520"/>
        <w:rPr>
          <w:rFonts w:cs="Arial"/>
        </w:rPr>
      </w:pPr>
    </w:p>
    <w:p w14:paraId="0048D373" w14:textId="77777777" w:rsidR="00910741" w:rsidRDefault="00910741">
      <w:pPr>
        <w:rPr>
          <w:rFonts w:cs="Arial"/>
          <w:b/>
        </w:rPr>
      </w:pPr>
      <w:r>
        <w:rPr>
          <w:rFonts w:cs="Arial"/>
          <w:b/>
        </w:rPr>
        <w:br w:type="page"/>
      </w:r>
    </w:p>
    <w:p w14:paraId="38CBC0C2" w14:textId="009F7499" w:rsidR="0084408C" w:rsidRPr="009A5185" w:rsidRDefault="0084408C" w:rsidP="0084408C">
      <w:pPr>
        <w:pStyle w:val="EndnoteText"/>
        <w:rPr>
          <w:rFonts w:cs="Arial"/>
          <w:b/>
        </w:rPr>
      </w:pPr>
      <w:r w:rsidRPr="009A5185">
        <w:rPr>
          <w:rFonts w:cs="Arial"/>
          <w:b/>
        </w:rPr>
        <w:lastRenderedPageBreak/>
        <w:t>Step 7: Contact providers if necessary (Pharmacist</w:t>
      </w:r>
      <w:r>
        <w:rPr>
          <w:rFonts w:cs="Arial"/>
          <w:b/>
        </w:rPr>
        <w:t xml:space="preserve"> Only</w:t>
      </w:r>
      <w:r w:rsidRPr="009A5185">
        <w:rPr>
          <w:rFonts w:cs="Arial"/>
          <w:b/>
        </w:rPr>
        <w:t>)</w:t>
      </w:r>
    </w:p>
    <w:p w14:paraId="2A81E3EA" w14:textId="681E9B67" w:rsidR="0084408C" w:rsidRPr="009A5185" w:rsidRDefault="0084408C" w:rsidP="00365263">
      <w:pPr>
        <w:pStyle w:val="EndnoteText"/>
        <w:rPr>
          <w:rFonts w:cs="Arial"/>
        </w:rPr>
      </w:pPr>
      <w:r w:rsidRPr="009A5185">
        <w:rPr>
          <w:rFonts w:cs="Arial"/>
        </w:rPr>
        <w:t xml:space="preserve">If you found any serious discrepancies that could cause the patient harm, you will need to contact the providers. The provider may need to reach out to the patient, PCP, or pharmacies to have the issue corrected. </w:t>
      </w:r>
    </w:p>
    <w:p w14:paraId="54114260" w14:textId="77777777" w:rsidR="0084408C" w:rsidRPr="009A5185" w:rsidRDefault="0084408C" w:rsidP="0084408C">
      <w:pPr>
        <w:pStyle w:val="EndnoteText"/>
        <w:ind w:left="1080"/>
        <w:rPr>
          <w:rFonts w:cs="Arial"/>
        </w:rPr>
      </w:pPr>
    </w:p>
    <w:p w14:paraId="352C49D2" w14:textId="77777777" w:rsidR="0084408C" w:rsidRPr="009A5185" w:rsidRDefault="0084408C" w:rsidP="0084408C">
      <w:pPr>
        <w:pStyle w:val="EndnoteText"/>
        <w:rPr>
          <w:rFonts w:cs="Arial"/>
          <w:b/>
        </w:rPr>
      </w:pPr>
      <w:r w:rsidRPr="009A5185">
        <w:rPr>
          <w:rFonts w:cs="Arial"/>
          <w:b/>
        </w:rPr>
        <w:t xml:space="preserve">Step 8: Enter data into Excel Workbook and </w:t>
      </w:r>
      <w:r>
        <w:rPr>
          <w:rFonts w:cs="Arial"/>
          <w:b/>
        </w:rPr>
        <w:t>Online Hospital Survey Tool</w:t>
      </w:r>
      <w:r w:rsidRPr="009A5185">
        <w:rPr>
          <w:rFonts w:cs="Arial"/>
          <w:b/>
        </w:rPr>
        <w:t xml:space="preserve"> (Survey Coordinator)</w:t>
      </w:r>
    </w:p>
    <w:p w14:paraId="7F18DB2C" w14:textId="0037B92F" w:rsidR="0084408C" w:rsidRPr="009A5185" w:rsidRDefault="0084408C" w:rsidP="00AD309C">
      <w:pPr>
        <w:pStyle w:val="EndnoteText"/>
        <w:numPr>
          <w:ilvl w:val="0"/>
          <w:numId w:val="80"/>
        </w:numPr>
        <w:ind w:left="360"/>
        <w:rPr>
          <w:rFonts w:cs="Arial"/>
        </w:rPr>
      </w:pPr>
      <w:r w:rsidRPr="009A5185">
        <w:rPr>
          <w:rFonts w:cs="Arial"/>
        </w:rPr>
        <w:t xml:space="preserve">Collect </w:t>
      </w:r>
      <w:r w:rsidR="00F36E78" w:rsidRPr="009A5185">
        <w:rPr>
          <w:rFonts w:cs="Arial"/>
        </w:rPr>
        <w:t>all</w:t>
      </w:r>
      <w:r w:rsidRPr="009A5185">
        <w:rPr>
          <w:rFonts w:cs="Arial"/>
        </w:rPr>
        <w:t xml:space="preserve"> the </w:t>
      </w:r>
      <w:r>
        <w:rPr>
          <w:rFonts w:cs="Arial"/>
        </w:rPr>
        <w:t>M</w:t>
      </w:r>
      <w:r w:rsidRPr="009A5185">
        <w:rPr>
          <w:rFonts w:cs="Arial"/>
        </w:rPr>
        <w:t>edication Reconciliation Worksheets from the pharmacists. Open the Data Entry Tab of the Medication Reconciliation Excel Workbook.</w:t>
      </w:r>
    </w:p>
    <w:p w14:paraId="779D17AC" w14:textId="77777777" w:rsidR="0084408C" w:rsidRPr="009A5185" w:rsidRDefault="0084408C" w:rsidP="00AD309C">
      <w:pPr>
        <w:pStyle w:val="EndnoteText"/>
        <w:numPr>
          <w:ilvl w:val="0"/>
          <w:numId w:val="81"/>
        </w:numPr>
        <w:ind w:left="1260"/>
        <w:rPr>
          <w:rFonts w:cs="Arial"/>
        </w:rPr>
      </w:pPr>
      <w:r w:rsidRPr="009A5185">
        <w:rPr>
          <w:rFonts w:cs="Arial"/>
        </w:rPr>
        <w:t>Enter the numbers from the top of each Medication Reconciliation Worksheet into the corresponding columns of the Excel Workbook, for the sampled patient, one patient per row.</w:t>
      </w:r>
    </w:p>
    <w:p w14:paraId="60A228E1" w14:textId="3CB62E39" w:rsidR="0084408C" w:rsidRPr="009A5185" w:rsidRDefault="0084408C" w:rsidP="00AD309C">
      <w:pPr>
        <w:pStyle w:val="EndnoteText"/>
        <w:numPr>
          <w:ilvl w:val="0"/>
          <w:numId w:val="81"/>
        </w:numPr>
        <w:ind w:left="1260"/>
        <w:rPr>
          <w:rFonts w:cs="Arial"/>
        </w:rPr>
      </w:pPr>
      <w:r w:rsidRPr="009A5185">
        <w:rPr>
          <w:rFonts w:cs="Arial"/>
        </w:rPr>
        <w:t xml:space="preserve">As you enter the data, Row 6 (in red) will automatically sum the values entered for each patient. Once you have entered the data for all sampled patients, you will have the final values to enter </w:t>
      </w:r>
      <w:r w:rsidR="00F36E78" w:rsidRPr="009A5185">
        <w:rPr>
          <w:rFonts w:cs="Arial"/>
        </w:rPr>
        <w:t>in</w:t>
      </w:r>
      <w:r w:rsidR="00F36E78">
        <w:rPr>
          <w:rFonts w:cs="Arial"/>
        </w:rPr>
        <w:t>to</w:t>
      </w:r>
      <w:r w:rsidRPr="009A5185">
        <w:rPr>
          <w:rFonts w:cs="Arial"/>
        </w:rPr>
        <w:t xml:space="preserve"> the </w:t>
      </w:r>
      <w:r>
        <w:rPr>
          <w:rFonts w:cs="Arial"/>
        </w:rPr>
        <w:t>Online Hospital Survey Tool</w:t>
      </w:r>
      <w:r w:rsidRPr="009A5185">
        <w:rPr>
          <w:rFonts w:cs="Arial"/>
        </w:rPr>
        <w:t>.</w:t>
      </w:r>
    </w:p>
    <w:p w14:paraId="48072245" w14:textId="77777777" w:rsidR="0084408C" w:rsidRPr="009A5185" w:rsidRDefault="0084408C" w:rsidP="00AD309C">
      <w:pPr>
        <w:pStyle w:val="EndnoteText"/>
        <w:numPr>
          <w:ilvl w:val="0"/>
          <w:numId w:val="81"/>
        </w:numPr>
        <w:ind w:left="1260"/>
        <w:rPr>
          <w:rFonts w:cs="Arial"/>
        </w:rPr>
      </w:pPr>
      <w:r w:rsidRPr="009A5185">
        <w:rPr>
          <w:rFonts w:cs="Arial"/>
        </w:rPr>
        <w:t xml:space="preserve">On the right, your hospital’s </w:t>
      </w:r>
      <w:r w:rsidRPr="00B65D63">
        <w:rPr>
          <w:rFonts w:cs="Arial"/>
        </w:rPr>
        <w:t xml:space="preserve">rate of unintentional medication discrepancies per medication </w:t>
      </w:r>
      <w:r w:rsidRPr="009A5185">
        <w:rPr>
          <w:rFonts w:cs="Arial"/>
        </w:rPr>
        <w:t>will automatically be calculated based on the data entered.</w:t>
      </w:r>
    </w:p>
    <w:p w14:paraId="54BA856F" w14:textId="77777777" w:rsidR="0084408C" w:rsidRPr="009A5185" w:rsidRDefault="0084408C" w:rsidP="0084408C">
      <w:pPr>
        <w:pStyle w:val="EndnoteText"/>
        <w:rPr>
          <w:rFonts w:cs="Arial"/>
        </w:rPr>
      </w:pPr>
    </w:p>
    <w:p w14:paraId="129DE166" w14:textId="77777777" w:rsidR="0084408C" w:rsidRPr="009A5185" w:rsidRDefault="0084408C" w:rsidP="0084408C">
      <w:pPr>
        <w:pStyle w:val="EndnoteText"/>
        <w:rPr>
          <w:rFonts w:cs="Arial"/>
        </w:rPr>
      </w:pPr>
      <w:r w:rsidRPr="009A5185">
        <w:rPr>
          <w:rFonts w:cs="Arial"/>
          <w:b/>
        </w:rPr>
        <w:t>Step 9: Use your hospital’s results in quality improvement (Survey Coordinator and Pharmacist)</w:t>
      </w:r>
    </w:p>
    <w:p w14:paraId="4DDCB303" w14:textId="77777777" w:rsidR="0084408C" w:rsidRPr="009A5185" w:rsidRDefault="0084408C" w:rsidP="0084408C">
      <w:pPr>
        <w:rPr>
          <w:rFonts w:cs="Arial"/>
        </w:rPr>
      </w:pPr>
      <w:r w:rsidRPr="009A5185">
        <w:rPr>
          <w:rFonts w:cs="Arial"/>
        </w:rPr>
        <w:t>The developer of this measure has two toolkits available for hospitals that wish to implement a medication reconciliation program:</w:t>
      </w:r>
    </w:p>
    <w:p w14:paraId="26CC5355" w14:textId="75EF56B6" w:rsidR="0084408C" w:rsidRPr="009A5185" w:rsidRDefault="0084408C" w:rsidP="00AD309C">
      <w:pPr>
        <w:pStyle w:val="ListParagraph"/>
        <w:numPr>
          <w:ilvl w:val="0"/>
          <w:numId w:val="211"/>
        </w:numPr>
        <w:rPr>
          <w:rFonts w:cs="Arial"/>
        </w:rPr>
      </w:pPr>
      <w:hyperlink r:id="rId198" w:history="1">
        <w:r w:rsidRPr="009A5185">
          <w:rPr>
            <w:rStyle w:val="Hyperlink"/>
            <w:rFonts w:cs="Arial"/>
          </w:rPr>
          <w:t>Medication Reconciliation Implementation Toolkit</w:t>
        </w:r>
      </w:hyperlink>
      <w:r w:rsidRPr="009A5185">
        <w:rPr>
          <w:rFonts w:cs="Arial"/>
        </w:rPr>
        <w:t xml:space="preserve"> (free)</w:t>
      </w:r>
    </w:p>
    <w:p w14:paraId="07A5A42C" w14:textId="648D7D51" w:rsidR="0084408C" w:rsidRPr="009A5185" w:rsidRDefault="0084408C" w:rsidP="00AD309C">
      <w:pPr>
        <w:pStyle w:val="ListParagraph"/>
        <w:numPr>
          <w:ilvl w:val="0"/>
          <w:numId w:val="211"/>
        </w:numPr>
        <w:rPr>
          <w:rFonts w:cs="Arial"/>
        </w:rPr>
      </w:pPr>
      <w:hyperlink r:id="rId199" w:history="1">
        <w:r w:rsidRPr="009A5185">
          <w:rPr>
            <w:rStyle w:val="Hyperlink"/>
            <w:rFonts w:cs="Arial"/>
          </w:rPr>
          <w:t>The MARQUIS Collaborative</w:t>
        </w:r>
      </w:hyperlink>
      <w:r w:rsidRPr="009A5185">
        <w:rPr>
          <w:rFonts w:cs="Arial"/>
        </w:rPr>
        <w:t xml:space="preserve"> (fee to participate)</w:t>
      </w:r>
    </w:p>
    <w:p w14:paraId="74844DA0" w14:textId="77777777" w:rsidR="0084408C" w:rsidRDefault="0084408C" w:rsidP="0084408C">
      <w:pPr>
        <w:pStyle w:val="EndnoteText"/>
        <w:rPr>
          <w:rFonts w:cs="Arial"/>
          <w:color w:val="000000"/>
        </w:rPr>
      </w:pPr>
    </w:p>
    <w:p w14:paraId="7FA183F3" w14:textId="553E432F" w:rsidR="00A32EC0" w:rsidRDefault="0084408C" w:rsidP="00CF7851">
      <w:pPr>
        <w:pStyle w:val="EndnoteText"/>
        <w:rPr>
          <w:snapToGrid w:val="0"/>
          <w:lang w:eastAsia="ja-JP"/>
        </w:rPr>
      </w:pPr>
      <w:r w:rsidRPr="009A5185">
        <w:rPr>
          <w:rFonts w:cs="Arial"/>
          <w:color w:val="000000"/>
        </w:rPr>
        <w:t>See</w:t>
      </w:r>
      <w:r>
        <w:rPr>
          <w:rFonts w:cs="Arial"/>
          <w:color w:val="000000"/>
        </w:rPr>
        <w:t xml:space="preserve"> </w:t>
      </w:r>
      <w:hyperlink w:anchor="_Medication_Reconciliation" w:history="1">
        <w:r>
          <w:rPr>
            <w:rStyle w:val="Hyperlink"/>
            <w:rFonts w:cs="Arial"/>
          </w:rPr>
          <w:t>FAQs</w:t>
        </w:r>
      </w:hyperlink>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bookmarkStart w:id="211" w:name="_CPOE_Frequently_Asked"/>
      <w:bookmarkEnd w:id="211"/>
    </w:p>
    <w:p w14:paraId="042C9D56" w14:textId="77777777" w:rsidR="00D4755F" w:rsidRDefault="00D4755F">
      <w:pPr>
        <w:rPr>
          <w:b/>
          <w:snapToGrid w:val="0"/>
          <w:sz w:val="28"/>
          <w:szCs w:val="24"/>
          <w:u w:val="single"/>
          <w:lang w:eastAsia="ja-JP"/>
        </w:rPr>
      </w:pPr>
      <w:r>
        <w:br w:type="page"/>
      </w:r>
    </w:p>
    <w:p w14:paraId="74CF36BA" w14:textId="466FA314" w:rsidR="00C35C80" w:rsidRDefault="00E46668" w:rsidP="00CF5A6E">
      <w:pPr>
        <w:pStyle w:val="Heading2"/>
      </w:pPr>
      <w:bookmarkStart w:id="212" w:name="_Toc225877700"/>
      <w:r>
        <w:lastRenderedPageBreak/>
        <w:t xml:space="preserve">Section 2: </w:t>
      </w:r>
      <w:r w:rsidR="00E9000C">
        <w:t>Medication Safety</w:t>
      </w:r>
      <w:r w:rsidR="00C35C80" w:rsidRPr="009A5185">
        <w:t xml:space="preserve"> Frequently Asked Questions (FAQs)</w:t>
      </w:r>
      <w:bookmarkEnd w:id="212"/>
    </w:p>
    <w:p w14:paraId="08682079" w14:textId="37CC59AB" w:rsidR="00E9000C" w:rsidRDefault="00E9000C" w:rsidP="00E9000C">
      <w:pPr>
        <w:rPr>
          <w:lang w:eastAsia="ja-JP"/>
        </w:rPr>
      </w:pPr>
    </w:p>
    <w:p w14:paraId="3598B958" w14:textId="0FCADB58" w:rsidR="00E9000C" w:rsidRPr="00043DEB" w:rsidRDefault="00E9000C" w:rsidP="00AB5B80">
      <w:pPr>
        <w:pStyle w:val="Heading3"/>
        <w:rPr>
          <w:sz w:val="20"/>
          <w:szCs w:val="20"/>
        </w:rPr>
      </w:pPr>
      <w:bookmarkStart w:id="213" w:name="_Computerized_Physician_Order"/>
      <w:bookmarkStart w:id="214" w:name="_Toc225877701"/>
      <w:bookmarkEnd w:id="213"/>
      <w:r>
        <w:t>Computerized Physician Order Entry (CPOE)</w:t>
      </w:r>
      <w:r w:rsidR="00B078B4">
        <w:t xml:space="preserve"> FAQs</w:t>
      </w:r>
      <w:bookmarkEnd w:id="214"/>
      <w:r w:rsidR="00043DEB">
        <w:br/>
      </w:r>
    </w:p>
    <w:p w14:paraId="24388AA8" w14:textId="3A84A802" w:rsidR="00043DEB" w:rsidRPr="00043DEB" w:rsidRDefault="00043DEB" w:rsidP="00043DEB">
      <w:pPr>
        <w:pStyle w:val="ListParagraph"/>
        <w:ind w:left="0"/>
        <w:rPr>
          <w:rFonts w:cs="Arial"/>
          <w:b/>
        </w:rPr>
      </w:pPr>
      <w:r>
        <w:rPr>
          <w:rFonts w:cs="Arial"/>
          <w:b/>
        </w:rPr>
        <w:t>I</w:t>
      </w:r>
      <w:r w:rsidRPr="002C1FFE">
        <w:rPr>
          <w:rFonts w:cs="Arial"/>
          <w:b/>
        </w:rPr>
        <w:t>nformation specific to the CPOE Evaluation Tool</w:t>
      </w:r>
      <w:r>
        <w:rPr>
          <w:rFonts w:cs="Arial"/>
          <w:b/>
        </w:rPr>
        <w:t xml:space="preserve">, </w:t>
      </w:r>
      <w:r w:rsidRPr="002C1FFE">
        <w:rPr>
          <w:rFonts w:cs="Arial"/>
          <w:b/>
        </w:rPr>
        <w:t>including instructions and FAQs</w:t>
      </w:r>
      <w:r>
        <w:rPr>
          <w:rFonts w:cs="Arial"/>
          <w:b/>
        </w:rPr>
        <w:t>,</w:t>
      </w:r>
      <w:r w:rsidRPr="002C1FFE">
        <w:rPr>
          <w:rFonts w:cs="Arial"/>
          <w:b/>
        </w:rPr>
        <w:t xml:space="preserve"> is available on the </w:t>
      </w:r>
      <w:hyperlink r:id="rId200" w:history="1">
        <w:r w:rsidRPr="002C1FFE">
          <w:rPr>
            <w:rStyle w:val="Hyperlink"/>
            <w:b/>
          </w:rPr>
          <w:t>Survey and CPOE Materials webpage</w:t>
        </w:r>
      </w:hyperlink>
      <w:r w:rsidRPr="002C1FFE">
        <w:rPr>
          <w:rFonts w:cs="Arial"/>
          <w:b/>
        </w:rPr>
        <w:t xml:space="preserve"> and the </w:t>
      </w:r>
      <w:hyperlink r:id="rId201" w:history="1">
        <w:r w:rsidRPr="002C1FFE">
          <w:rPr>
            <w:rStyle w:val="Hyperlink"/>
            <w:rFonts w:cs="Arial"/>
            <w:b/>
          </w:rPr>
          <w:t>Prepare for CPOE Tool webpage.</w:t>
        </w:r>
      </w:hyperlink>
    </w:p>
    <w:p w14:paraId="4C73844A" w14:textId="77777777" w:rsidR="00C35C80" w:rsidRPr="009A5185" w:rsidRDefault="00C35C80" w:rsidP="00CF7851">
      <w:pPr>
        <w:autoSpaceDE w:val="0"/>
        <w:autoSpaceDN w:val="0"/>
        <w:adjustRightInd w:val="0"/>
        <w:rPr>
          <w:rFonts w:cs="Arial"/>
          <w:i/>
        </w:rPr>
      </w:pPr>
    </w:p>
    <w:p w14:paraId="06A6FB81" w14:textId="77777777" w:rsidR="00DA7C62" w:rsidRPr="009A5185" w:rsidRDefault="00DA7C62" w:rsidP="00AD309C">
      <w:pPr>
        <w:pStyle w:val="ListParagraph"/>
        <w:numPr>
          <w:ilvl w:val="0"/>
          <w:numId w:val="56"/>
        </w:numPr>
        <w:rPr>
          <w:rFonts w:cs="Arial"/>
          <w:b/>
          <w:lang w:eastAsia="ja-JP"/>
        </w:rPr>
      </w:pPr>
      <w:r w:rsidRPr="009A5185">
        <w:rPr>
          <w:rFonts w:cs="Arial"/>
          <w:b/>
          <w:lang w:eastAsia="ja-JP"/>
        </w:rPr>
        <w:t>What 3-month reporting period should be used when reporting on this section?</w:t>
      </w:r>
    </w:p>
    <w:p w14:paraId="4F0B3790" w14:textId="7C1CB433" w:rsidR="00CF677D" w:rsidRPr="009A5185" w:rsidRDefault="00B058B5" w:rsidP="00DF13B5">
      <w:pPr>
        <w:pStyle w:val="CommentText"/>
        <w:ind w:left="720"/>
        <w:rPr>
          <w:rFonts w:cs="Arial"/>
        </w:rPr>
      </w:pPr>
      <w:r>
        <w:rPr>
          <w:rFonts w:cs="Arial"/>
        </w:rPr>
        <w:t xml:space="preserve">When responding to </w:t>
      </w:r>
      <w:r w:rsidR="00EE60C9">
        <w:rPr>
          <w:rFonts w:cs="Arial"/>
        </w:rPr>
        <w:t xml:space="preserve">the </w:t>
      </w:r>
      <w:r>
        <w:rPr>
          <w:rFonts w:cs="Arial"/>
        </w:rPr>
        <w:t>questions in Section 2</w:t>
      </w:r>
      <w:r w:rsidR="00F0772B">
        <w:rPr>
          <w:rFonts w:cs="Arial"/>
        </w:rPr>
        <w:t>A</w:t>
      </w:r>
      <w:r>
        <w:rPr>
          <w:rFonts w:cs="Arial"/>
        </w:rPr>
        <w:t>, h</w:t>
      </w:r>
      <w:r w:rsidR="00A00030" w:rsidRPr="009A5185">
        <w:rPr>
          <w:rFonts w:cs="Arial"/>
        </w:rPr>
        <w:t>ospitals s</w:t>
      </w:r>
      <w:r w:rsidR="00096F13" w:rsidRPr="009A5185">
        <w:rPr>
          <w:rFonts w:cs="Arial"/>
        </w:rPr>
        <w:t xml:space="preserve">hould use the most recent </w:t>
      </w:r>
      <w:r w:rsidR="00AC5F12">
        <w:rPr>
          <w:rFonts w:cs="Arial"/>
        </w:rPr>
        <w:t xml:space="preserve">three months prior to submitting the Survey for which </w:t>
      </w:r>
      <w:r w:rsidR="00A44686">
        <w:rPr>
          <w:rFonts w:cs="Arial"/>
        </w:rPr>
        <w:t xml:space="preserve">they </w:t>
      </w:r>
      <w:r w:rsidR="00AC5F12">
        <w:rPr>
          <w:rFonts w:cs="Arial"/>
        </w:rPr>
        <w:t xml:space="preserve">have complete </w:t>
      </w:r>
      <w:r>
        <w:rPr>
          <w:rFonts w:cs="Arial"/>
        </w:rPr>
        <w:t xml:space="preserve">data. </w:t>
      </w:r>
      <w:r w:rsidR="00AC5F12" w:rsidRPr="00AC5F12">
        <w:rPr>
          <w:rFonts w:cs="Arial"/>
        </w:rPr>
        <w:t>For example, if submitting Section 2</w:t>
      </w:r>
      <w:r w:rsidR="00F0772B">
        <w:rPr>
          <w:rFonts w:cs="Arial"/>
        </w:rPr>
        <w:t>A</w:t>
      </w:r>
      <w:r w:rsidR="00AC5F12" w:rsidRPr="00AC5F12">
        <w:rPr>
          <w:rFonts w:cs="Arial"/>
        </w:rPr>
        <w:t xml:space="preserve"> in the month of </w:t>
      </w:r>
      <w:r w:rsidR="00797B62">
        <w:rPr>
          <w:rFonts w:cs="Arial"/>
        </w:rPr>
        <w:t>June</w:t>
      </w:r>
      <w:r w:rsidR="00AC5F12" w:rsidRPr="00AC5F12">
        <w:rPr>
          <w:rFonts w:cs="Arial"/>
        </w:rPr>
        <w:t xml:space="preserve">, the most recent 3-month reporting period for which you have complete data may be </w:t>
      </w:r>
      <w:r w:rsidR="00FF1301">
        <w:rPr>
          <w:rFonts w:cs="Arial"/>
        </w:rPr>
        <w:t>February</w:t>
      </w:r>
      <w:r w:rsidR="00797B62">
        <w:rPr>
          <w:rFonts w:cs="Arial"/>
        </w:rPr>
        <w:t xml:space="preserve">, March, and April or March, April, and May. </w:t>
      </w:r>
      <w:r w:rsidR="00BA2ADD">
        <w:rPr>
          <w:rFonts w:cs="Arial"/>
        </w:rPr>
        <w:t>Hospitals cannot submit d</w:t>
      </w:r>
      <w:r>
        <w:rPr>
          <w:rFonts w:cs="Arial"/>
        </w:rPr>
        <w:t>ata collected for less than three full months</w:t>
      </w:r>
      <w:r w:rsidR="00BA2ADD">
        <w:rPr>
          <w:rFonts w:cs="Arial"/>
        </w:rPr>
        <w:t xml:space="preserve">. </w:t>
      </w:r>
    </w:p>
    <w:p w14:paraId="3C1AC7F8" w14:textId="77777777" w:rsidR="003C5E7D" w:rsidRPr="007879A6" w:rsidRDefault="003C5E7D" w:rsidP="007879A6">
      <w:pPr>
        <w:spacing w:line="252" w:lineRule="auto"/>
        <w:rPr>
          <w:rFonts w:cs="Arial"/>
        </w:rPr>
      </w:pPr>
      <w:bookmarkStart w:id="215" w:name="_Hlk35523141"/>
    </w:p>
    <w:p w14:paraId="753A78DA" w14:textId="2A5D0AA6" w:rsidR="00F72716" w:rsidRPr="00B058B5" w:rsidRDefault="0097058D" w:rsidP="00AD309C">
      <w:pPr>
        <w:pStyle w:val="ListParagraph"/>
        <w:numPr>
          <w:ilvl w:val="0"/>
          <w:numId w:val="56"/>
        </w:numPr>
        <w:spacing w:line="252" w:lineRule="auto"/>
        <w:rPr>
          <w:rFonts w:cs="Arial"/>
        </w:rPr>
      </w:pPr>
      <w:r w:rsidRPr="00B058B5">
        <w:rPr>
          <w:b/>
          <w:bCs/>
        </w:rPr>
        <w:t xml:space="preserve">My hospital </w:t>
      </w:r>
      <w:r w:rsidR="00F72716" w:rsidRPr="00B058B5">
        <w:rPr>
          <w:b/>
          <w:bCs/>
        </w:rPr>
        <w:t>t</w:t>
      </w:r>
      <w:r w:rsidR="00B058B5" w:rsidRPr="00B058B5">
        <w:rPr>
          <w:b/>
          <w:bCs/>
        </w:rPr>
        <w:t xml:space="preserve">ransitioned to a new CPOE </w:t>
      </w:r>
      <w:r w:rsidR="00962463" w:rsidRPr="00B058B5">
        <w:rPr>
          <w:b/>
          <w:bCs/>
        </w:rPr>
        <w:t>system,</w:t>
      </w:r>
      <w:r w:rsidR="00B058B5" w:rsidRPr="00B058B5">
        <w:rPr>
          <w:b/>
          <w:bCs/>
        </w:rPr>
        <w:t xml:space="preserve"> and we have not </w:t>
      </w:r>
      <w:r w:rsidR="00F72716" w:rsidRPr="00B058B5">
        <w:rPr>
          <w:b/>
          <w:bCs/>
        </w:rPr>
        <w:t>been on the new system for a full 3</w:t>
      </w:r>
      <w:r w:rsidR="00B75B1F">
        <w:rPr>
          <w:b/>
          <w:bCs/>
        </w:rPr>
        <w:t xml:space="preserve"> months</w:t>
      </w:r>
      <w:r w:rsidR="00F72716" w:rsidRPr="00B058B5">
        <w:rPr>
          <w:b/>
          <w:bCs/>
        </w:rPr>
        <w:t xml:space="preserve">. </w:t>
      </w:r>
      <w:r w:rsidR="00B058B5">
        <w:rPr>
          <w:b/>
          <w:bCs/>
        </w:rPr>
        <w:t xml:space="preserve">How should we respond to </w:t>
      </w:r>
      <w:r w:rsidR="005B1031">
        <w:rPr>
          <w:b/>
          <w:bCs/>
        </w:rPr>
        <w:t xml:space="preserve">the questions in </w:t>
      </w:r>
      <w:r w:rsidR="00B058B5">
        <w:rPr>
          <w:b/>
          <w:bCs/>
        </w:rPr>
        <w:t>Section 2</w:t>
      </w:r>
      <w:r w:rsidR="00F72C9F">
        <w:rPr>
          <w:b/>
          <w:bCs/>
        </w:rPr>
        <w:t>A-2B</w:t>
      </w:r>
      <w:r w:rsidR="00B058B5">
        <w:rPr>
          <w:b/>
          <w:bCs/>
        </w:rPr>
        <w:t xml:space="preserve">? </w:t>
      </w:r>
    </w:p>
    <w:p w14:paraId="5F3B38E8" w14:textId="68DFB143" w:rsidR="0097058D" w:rsidRPr="00F72716" w:rsidRDefault="00B058B5" w:rsidP="00F72716">
      <w:pPr>
        <w:pStyle w:val="ListParagraph"/>
        <w:spacing w:line="252" w:lineRule="auto"/>
        <w:rPr>
          <w:rFonts w:cs="Arial"/>
        </w:rPr>
      </w:pPr>
      <w:r w:rsidRPr="00B058B5">
        <w:rPr>
          <w:rFonts w:cs="Arial"/>
        </w:rPr>
        <w:t>When responding to questions #3 and #4 in Section 2</w:t>
      </w:r>
      <w:r w:rsidR="005B1031">
        <w:rPr>
          <w:rFonts w:cs="Arial"/>
        </w:rPr>
        <w:t>A</w:t>
      </w:r>
      <w:r w:rsidRPr="00B058B5">
        <w:rPr>
          <w:rFonts w:cs="Arial"/>
        </w:rPr>
        <w:t>, hospital</w:t>
      </w:r>
      <w:r w:rsidR="00114085">
        <w:rPr>
          <w:rFonts w:cs="Arial"/>
        </w:rPr>
        <w:t>s</w:t>
      </w:r>
      <w:r w:rsidRPr="00B058B5">
        <w:rPr>
          <w:rFonts w:cs="Arial"/>
        </w:rPr>
        <w:t xml:space="preserve"> can </w:t>
      </w:r>
      <w:r w:rsidR="00F72716" w:rsidRPr="00B058B5">
        <w:rPr>
          <w:rFonts w:cs="Arial"/>
        </w:rPr>
        <w:t xml:space="preserve">combine </w:t>
      </w:r>
      <w:r w:rsidR="00816726">
        <w:rPr>
          <w:rFonts w:cs="Arial"/>
        </w:rPr>
        <w:t xml:space="preserve">inpatient medication </w:t>
      </w:r>
      <w:r w:rsidR="00F72716" w:rsidRPr="00B058B5">
        <w:rPr>
          <w:rFonts w:cs="Arial"/>
        </w:rPr>
        <w:t>data from their old</w:t>
      </w:r>
      <w:r w:rsidRPr="00B058B5">
        <w:rPr>
          <w:rFonts w:cs="Arial"/>
        </w:rPr>
        <w:t xml:space="preserve"> CPOE system with their new CPOE system</w:t>
      </w:r>
      <w:r w:rsidR="00F72716" w:rsidRPr="00B058B5">
        <w:rPr>
          <w:rFonts w:cs="Arial"/>
        </w:rPr>
        <w:t xml:space="preserve"> </w:t>
      </w:r>
      <w:r w:rsidR="007F20D3" w:rsidRPr="00B058B5">
        <w:rPr>
          <w:rFonts w:cs="Arial"/>
        </w:rPr>
        <w:t>to</w:t>
      </w:r>
      <w:r w:rsidR="00F72716" w:rsidRPr="00B058B5">
        <w:rPr>
          <w:rFonts w:cs="Arial"/>
        </w:rPr>
        <w:t xml:space="preserve"> </w:t>
      </w:r>
      <w:r w:rsidRPr="00B058B5">
        <w:rPr>
          <w:rFonts w:cs="Arial"/>
        </w:rPr>
        <w:t>have three full months of data.</w:t>
      </w:r>
      <w:r>
        <w:rPr>
          <w:rFonts w:cs="Arial"/>
        </w:rPr>
        <w:t xml:space="preserve"> </w:t>
      </w:r>
      <w:r w:rsidR="005B1031">
        <w:rPr>
          <w:rFonts w:cs="Arial"/>
        </w:rPr>
        <w:t>However, ho</w:t>
      </w:r>
      <w:r w:rsidR="008734C9" w:rsidRPr="008734C9">
        <w:rPr>
          <w:rFonts w:cs="Arial"/>
        </w:rPr>
        <w:t xml:space="preserve">spitals should </w:t>
      </w:r>
      <w:r w:rsidR="005B1031">
        <w:rPr>
          <w:rFonts w:cs="Arial"/>
        </w:rPr>
        <w:t xml:space="preserve">respond to the questions in Section 2B based on the new CPOE system and </w:t>
      </w:r>
      <w:r w:rsidR="008734C9" w:rsidRPr="008734C9">
        <w:rPr>
          <w:rFonts w:cs="Arial"/>
        </w:rPr>
        <w:t>take the CPOE Evaluation Tool using the new CPOE system</w:t>
      </w:r>
      <w:r w:rsidR="005B1031">
        <w:rPr>
          <w:rFonts w:cs="Arial"/>
        </w:rPr>
        <w:t xml:space="preserve">. When taking the CPOE Evaluation Tool, hospitals should select a </w:t>
      </w:r>
      <w:r w:rsidR="008734C9" w:rsidRPr="008734C9">
        <w:rPr>
          <w:rFonts w:cs="Arial"/>
        </w:rPr>
        <w:t>licensed prescriber</w:t>
      </w:r>
      <w:r w:rsidR="005B1031">
        <w:rPr>
          <w:rFonts w:cs="Arial"/>
        </w:rPr>
        <w:t xml:space="preserve"> that is </w:t>
      </w:r>
      <w:r w:rsidR="008734C9" w:rsidRPr="008734C9">
        <w:rPr>
          <w:rFonts w:cs="Arial"/>
        </w:rPr>
        <w:t xml:space="preserve">fully trained on the new system. All hospitals are urged to take a Sample Test before </w:t>
      </w:r>
      <w:r w:rsidR="00816726">
        <w:rPr>
          <w:rFonts w:cs="Arial"/>
        </w:rPr>
        <w:t>starting</w:t>
      </w:r>
      <w:r w:rsidR="008734C9" w:rsidRPr="008734C9">
        <w:rPr>
          <w:rFonts w:cs="Arial"/>
        </w:rPr>
        <w:t xml:space="preserve"> the Adult Inpatient Te</w:t>
      </w:r>
      <w:r w:rsidR="008734C9">
        <w:rPr>
          <w:rFonts w:cs="Arial"/>
        </w:rPr>
        <w:t>st.</w:t>
      </w:r>
    </w:p>
    <w:p w14:paraId="6FADCE3D" w14:textId="77777777" w:rsidR="002A733C" w:rsidRPr="002A733C" w:rsidRDefault="002A733C" w:rsidP="002A733C">
      <w:pPr>
        <w:rPr>
          <w:rFonts w:cs="Arial"/>
          <w:b/>
          <w:bCs/>
        </w:rPr>
      </w:pPr>
      <w:bookmarkStart w:id="216" w:name="PerProtocol"/>
      <w:bookmarkEnd w:id="215"/>
      <w:bookmarkEnd w:id="216"/>
    </w:p>
    <w:p w14:paraId="79CDE574" w14:textId="00AFA0D2" w:rsidR="002A733C" w:rsidRDefault="002A733C" w:rsidP="00AD309C">
      <w:pPr>
        <w:pStyle w:val="ListParagraph"/>
        <w:numPr>
          <w:ilvl w:val="0"/>
          <w:numId w:val="56"/>
        </w:numPr>
        <w:rPr>
          <w:rFonts w:cs="Arial"/>
          <w:b/>
          <w:bCs/>
        </w:rPr>
      </w:pPr>
      <w:r>
        <w:rPr>
          <w:rFonts w:cs="Arial"/>
          <w:b/>
          <w:bCs/>
        </w:rPr>
        <w:t xml:space="preserve">Should we include medications ordered verbally or via paper during system downtime </w:t>
      </w:r>
      <w:r w:rsidR="00966270">
        <w:rPr>
          <w:rFonts w:cs="Arial"/>
          <w:b/>
          <w:bCs/>
        </w:rPr>
        <w:t>when responding to question #3</w:t>
      </w:r>
      <w:r w:rsidR="00A824A2">
        <w:rPr>
          <w:rFonts w:cs="Arial"/>
          <w:b/>
          <w:bCs/>
        </w:rPr>
        <w:t xml:space="preserve"> (denominator)</w:t>
      </w:r>
      <w:r w:rsidR="00966270">
        <w:rPr>
          <w:rFonts w:cs="Arial"/>
          <w:b/>
          <w:bCs/>
        </w:rPr>
        <w:t>?</w:t>
      </w:r>
    </w:p>
    <w:p w14:paraId="6AE89789" w14:textId="57CE9F28" w:rsidR="002A733C" w:rsidRDefault="002A733C" w:rsidP="002A733C">
      <w:pPr>
        <w:pStyle w:val="ListParagraph"/>
        <w:rPr>
          <w:rFonts w:cs="Arial"/>
          <w:bCs/>
        </w:rPr>
      </w:pPr>
      <w:r>
        <w:rPr>
          <w:rFonts w:cs="Arial"/>
          <w:bCs/>
        </w:rPr>
        <w:t>Yes.</w:t>
      </w:r>
      <w:r w:rsidR="00275D47">
        <w:rPr>
          <w:rFonts w:cs="Arial"/>
          <w:bCs/>
        </w:rPr>
        <w:t xml:space="preserve"> Count m</w:t>
      </w:r>
      <w:r w:rsidRPr="002A733C">
        <w:rPr>
          <w:rFonts w:cs="Arial"/>
          <w:bCs/>
        </w:rPr>
        <w:t>edication orders entered during system downtime</w:t>
      </w:r>
      <w:r w:rsidR="00275D47">
        <w:rPr>
          <w:rFonts w:cs="Arial"/>
          <w:bCs/>
        </w:rPr>
        <w:t xml:space="preserve"> when responding to question #3. Exclude these orders when responding to question #4. </w:t>
      </w:r>
    </w:p>
    <w:p w14:paraId="00D8ABA8" w14:textId="133DF146" w:rsidR="00A824A2" w:rsidRDefault="00A824A2" w:rsidP="002A733C">
      <w:pPr>
        <w:pStyle w:val="ListParagraph"/>
        <w:rPr>
          <w:rFonts w:cs="Arial"/>
          <w:bCs/>
        </w:rPr>
      </w:pPr>
    </w:p>
    <w:p w14:paraId="0AE09839" w14:textId="04132B85" w:rsidR="00A824A2" w:rsidRDefault="00A824A2" w:rsidP="00AD309C">
      <w:pPr>
        <w:numPr>
          <w:ilvl w:val="0"/>
          <w:numId w:val="56"/>
        </w:numPr>
        <w:rPr>
          <w:rFonts w:cs="Arial"/>
          <w:b/>
        </w:rPr>
      </w:pPr>
      <w:r w:rsidRPr="00874CD2">
        <w:rPr>
          <w:rFonts w:cs="Arial"/>
          <w:b/>
        </w:rPr>
        <w:t xml:space="preserve">We can’t exclude medication orders that originated from an operating room or procedural area from </w:t>
      </w:r>
      <w:r>
        <w:rPr>
          <w:rFonts w:cs="Arial"/>
          <w:b/>
        </w:rPr>
        <w:t>the</w:t>
      </w:r>
      <w:r w:rsidRPr="00874CD2">
        <w:rPr>
          <w:rFonts w:cs="Arial"/>
          <w:b/>
        </w:rPr>
        <w:t xml:space="preserve"> CPOE report that we are using to respond to questions #3 </w:t>
      </w:r>
      <w:r>
        <w:rPr>
          <w:rFonts w:cs="Arial"/>
          <w:b/>
        </w:rPr>
        <w:t xml:space="preserve">(denominator) </w:t>
      </w:r>
      <w:r w:rsidRPr="00874CD2">
        <w:rPr>
          <w:rFonts w:cs="Arial"/>
          <w:b/>
        </w:rPr>
        <w:t>and #4</w:t>
      </w:r>
      <w:r>
        <w:rPr>
          <w:rFonts w:cs="Arial"/>
          <w:b/>
        </w:rPr>
        <w:t xml:space="preserve"> (numerator)</w:t>
      </w:r>
      <w:r w:rsidRPr="00874CD2">
        <w:rPr>
          <w:rFonts w:cs="Arial"/>
          <w:b/>
        </w:rPr>
        <w:t>. Can we include these medication orders?</w:t>
      </w:r>
    </w:p>
    <w:p w14:paraId="4A5DC879" w14:textId="05D05175" w:rsidR="00A824A2" w:rsidRDefault="00A824A2" w:rsidP="00A824A2">
      <w:pPr>
        <w:ind w:left="720"/>
        <w:rPr>
          <w:rFonts w:cs="Arial"/>
          <w:bCs/>
        </w:rPr>
      </w:pPr>
      <w:r w:rsidRPr="00874CD2">
        <w:rPr>
          <w:rFonts w:cs="Arial"/>
          <w:bCs/>
        </w:rPr>
        <w:t xml:space="preserve">Yes, if you are unable to exclude medication orders for inpatients that were ordered from an </w:t>
      </w:r>
      <w:r>
        <w:rPr>
          <w:rFonts w:cs="Arial"/>
          <w:bCs/>
        </w:rPr>
        <w:t>operating room</w:t>
      </w:r>
      <w:r w:rsidRPr="00874CD2">
        <w:rPr>
          <w:rFonts w:cs="Arial"/>
          <w:bCs/>
        </w:rPr>
        <w:t xml:space="preserve"> or procedural area, you can</w:t>
      </w:r>
      <w:r>
        <w:rPr>
          <w:rFonts w:cs="Arial"/>
          <w:bCs/>
        </w:rPr>
        <w:t xml:space="preserve"> count</w:t>
      </w:r>
      <w:r w:rsidRPr="00874CD2">
        <w:rPr>
          <w:rFonts w:cs="Arial"/>
          <w:bCs/>
        </w:rPr>
        <w:t xml:space="preserve"> these orders when responding to questions #3 and #4.</w:t>
      </w:r>
    </w:p>
    <w:p w14:paraId="780A6178" w14:textId="77777777" w:rsidR="002A733C" w:rsidRPr="00645E6B" w:rsidRDefault="002A733C" w:rsidP="00645E6B">
      <w:pPr>
        <w:rPr>
          <w:rFonts w:cs="Arial"/>
          <w:bCs/>
        </w:rPr>
      </w:pPr>
    </w:p>
    <w:p w14:paraId="414A3ECA" w14:textId="263AE047" w:rsidR="00BB7C6E" w:rsidRPr="004C547F" w:rsidRDefault="00BB7C6E" w:rsidP="00AD309C">
      <w:pPr>
        <w:pStyle w:val="ListParagraph"/>
        <w:numPr>
          <w:ilvl w:val="0"/>
          <w:numId w:val="56"/>
        </w:numPr>
        <w:rPr>
          <w:rFonts w:cs="Arial"/>
          <w:b/>
          <w:bCs/>
        </w:rPr>
      </w:pPr>
      <w:r w:rsidRPr="004C547F">
        <w:rPr>
          <w:rFonts w:cs="Arial"/>
          <w:b/>
          <w:bCs/>
        </w:rPr>
        <w:t xml:space="preserve">What </w:t>
      </w:r>
      <w:r w:rsidR="00347A2B">
        <w:rPr>
          <w:rFonts w:cs="Arial"/>
          <w:b/>
          <w:bCs/>
        </w:rPr>
        <w:t>are</w:t>
      </w:r>
      <w:r w:rsidRPr="004C547F">
        <w:rPr>
          <w:rFonts w:cs="Arial"/>
          <w:b/>
          <w:bCs/>
        </w:rPr>
        <w:t xml:space="preserve"> example</w:t>
      </w:r>
      <w:r w:rsidR="00347A2B">
        <w:rPr>
          <w:rFonts w:cs="Arial"/>
          <w:b/>
          <w:bCs/>
        </w:rPr>
        <w:t>s</w:t>
      </w:r>
      <w:r w:rsidRPr="004C547F">
        <w:rPr>
          <w:rFonts w:cs="Arial"/>
          <w:b/>
          <w:bCs/>
        </w:rPr>
        <w:t xml:space="preserve"> of </w:t>
      </w:r>
      <w:r w:rsidRPr="004C547F">
        <w:rPr>
          <w:rFonts w:cs="Arial"/>
          <w:b/>
          <w:bCs/>
          <w:lang w:eastAsia="ja-JP"/>
        </w:rPr>
        <w:t>per protocol order</w:t>
      </w:r>
      <w:r w:rsidR="00347A2B">
        <w:rPr>
          <w:rFonts w:cs="Arial"/>
          <w:b/>
          <w:bCs/>
          <w:lang w:eastAsia="ja-JP"/>
        </w:rPr>
        <w:t>s</w:t>
      </w:r>
      <w:r w:rsidRPr="004C547F">
        <w:rPr>
          <w:rFonts w:cs="Arial"/>
          <w:b/>
          <w:bCs/>
          <w:lang w:eastAsia="ja-JP"/>
        </w:rPr>
        <w:t>?</w:t>
      </w:r>
    </w:p>
    <w:p w14:paraId="5857B182" w14:textId="47C94F9C" w:rsidR="00BB7C6E" w:rsidRDefault="00DD108F" w:rsidP="00BB7C6E">
      <w:pPr>
        <w:pStyle w:val="ListParagraph"/>
        <w:rPr>
          <w:rFonts w:cs="Arial"/>
        </w:rPr>
      </w:pPr>
      <w:r>
        <w:rPr>
          <w:rFonts w:cs="Arial"/>
        </w:rPr>
        <w:t>E</w:t>
      </w:r>
      <w:r w:rsidR="00BB7C6E">
        <w:rPr>
          <w:rFonts w:cs="Arial"/>
        </w:rPr>
        <w:t xml:space="preserve">xamples </w:t>
      </w:r>
      <w:r>
        <w:rPr>
          <w:rFonts w:cs="Arial"/>
        </w:rPr>
        <w:t xml:space="preserve">of per protocol orders include </w:t>
      </w:r>
      <w:r w:rsidR="00BB7C6E">
        <w:rPr>
          <w:rFonts w:cs="Arial"/>
        </w:rPr>
        <w:t>v</w:t>
      </w:r>
      <w:r w:rsidR="00BB7C6E" w:rsidRPr="00490D88">
        <w:rPr>
          <w:rFonts w:cs="Arial"/>
        </w:rPr>
        <w:t>ancomycin dosing per protocol</w:t>
      </w:r>
      <w:r>
        <w:rPr>
          <w:rFonts w:cs="Arial"/>
        </w:rPr>
        <w:t xml:space="preserve"> and</w:t>
      </w:r>
      <w:r w:rsidR="00BB7C6E" w:rsidRPr="00490D88">
        <w:rPr>
          <w:rFonts w:cs="Arial"/>
        </w:rPr>
        <w:t xml:space="preserve"> heparin drip per protocol. </w:t>
      </w:r>
      <w:r>
        <w:rPr>
          <w:rFonts w:cs="Arial"/>
        </w:rPr>
        <w:t xml:space="preserve">Per protocol orders refer to orders </w:t>
      </w:r>
      <w:r w:rsidR="00697D19">
        <w:rPr>
          <w:rFonts w:cs="Arial"/>
        </w:rPr>
        <w:t xml:space="preserve">that </w:t>
      </w:r>
      <w:r w:rsidR="00BB7C6E" w:rsidRPr="00490D88">
        <w:rPr>
          <w:rFonts w:cs="Arial"/>
        </w:rPr>
        <w:t xml:space="preserve">the medical staff </w:t>
      </w:r>
      <w:r>
        <w:rPr>
          <w:rFonts w:cs="Arial"/>
        </w:rPr>
        <w:t xml:space="preserve">has </w:t>
      </w:r>
      <w:r w:rsidR="00BB7C6E" w:rsidRPr="00490D88">
        <w:rPr>
          <w:rFonts w:cs="Arial"/>
        </w:rPr>
        <w:t>approve</w:t>
      </w:r>
      <w:r>
        <w:rPr>
          <w:rFonts w:cs="Arial"/>
        </w:rPr>
        <w:t>d</w:t>
      </w:r>
      <w:r w:rsidR="00BB7C6E" w:rsidRPr="00490D88">
        <w:rPr>
          <w:rFonts w:cs="Arial"/>
        </w:rPr>
        <w:t xml:space="preserve"> the </w:t>
      </w:r>
      <w:r>
        <w:rPr>
          <w:rFonts w:cs="Arial"/>
        </w:rPr>
        <w:t>use of</w:t>
      </w:r>
      <w:r w:rsidR="00697D19">
        <w:rPr>
          <w:rFonts w:cs="Arial"/>
        </w:rPr>
        <w:t xml:space="preserve">, based on </w:t>
      </w:r>
      <w:r w:rsidR="00BB7C6E" w:rsidRPr="00490D88">
        <w:rPr>
          <w:rFonts w:cs="Arial"/>
        </w:rPr>
        <w:t>evidence-based guidance</w:t>
      </w:r>
      <w:r w:rsidR="00697D19">
        <w:rPr>
          <w:rFonts w:cs="Arial"/>
        </w:rPr>
        <w:t>,</w:t>
      </w:r>
      <w:r w:rsidR="00BB7C6E" w:rsidRPr="00490D88">
        <w:rPr>
          <w:rFonts w:cs="Arial"/>
        </w:rPr>
        <w:t xml:space="preserve"> in advance of its use</w:t>
      </w:r>
      <w:r>
        <w:rPr>
          <w:rFonts w:cs="Arial"/>
        </w:rPr>
        <w:t xml:space="preserve">. </w:t>
      </w:r>
      <w:r w:rsidR="00697D19">
        <w:rPr>
          <w:rFonts w:cs="Arial"/>
        </w:rPr>
        <w:t xml:space="preserve">Per protocol orders are often identified by the </w:t>
      </w:r>
      <w:r w:rsidR="00BF6F6C">
        <w:rPr>
          <w:rFonts w:cs="Arial"/>
        </w:rPr>
        <w:t>Pharmacy and Therapeutics (</w:t>
      </w:r>
      <w:r w:rsidR="00BF6F6C" w:rsidRPr="00490D88">
        <w:rPr>
          <w:rFonts w:cs="Arial"/>
        </w:rPr>
        <w:t>P&amp;T</w:t>
      </w:r>
      <w:r w:rsidR="00BF6F6C">
        <w:rPr>
          <w:rFonts w:cs="Arial"/>
        </w:rPr>
        <w:t>)</w:t>
      </w:r>
      <w:r w:rsidR="00BF6F6C" w:rsidRPr="00490D88">
        <w:rPr>
          <w:rFonts w:cs="Arial"/>
        </w:rPr>
        <w:t xml:space="preserve"> committee </w:t>
      </w:r>
      <w:r w:rsidR="00697D19">
        <w:rPr>
          <w:rFonts w:cs="Arial"/>
        </w:rPr>
        <w:t xml:space="preserve">and then recommended to </w:t>
      </w:r>
      <w:r w:rsidR="00BF6F6C" w:rsidRPr="00490D88">
        <w:rPr>
          <w:rFonts w:cs="Arial"/>
        </w:rPr>
        <w:t xml:space="preserve">the </w:t>
      </w:r>
      <w:r w:rsidR="00BF6F6C">
        <w:rPr>
          <w:rFonts w:cs="Arial"/>
        </w:rPr>
        <w:t>Medical Executive Committee (</w:t>
      </w:r>
      <w:r w:rsidR="00BF6F6C" w:rsidRPr="00490D88">
        <w:rPr>
          <w:rFonts w:cs="Arial"/>
        </w:rPr>
        <w:t>MEC</w:t>
      </w:r>
      <w:r w:rsidR="00BF6F6C">
        <w:rPr>
          <w:rFonts w:cs="Arial"/>
        </w:rPr>
        <w:t>)</w:t>
      </w:r>
      <w:r w:rsidR="00697D19">
        <w:rPr>
          <w:rFonts w:cs="Arial"/>
        </w:rPr>
        <w:t xml:space="preserve"> for approval. Once approved, per protocol orders are initiated by a </w:t>
      </w:r>
      <w:hyperlink w:anchor="Prescriber" w:history="1">
        <w:r w:rsidR="00781270" w:rsidRPr="00781270">
          <w:rPr>
            <w:rStyle w:val="Hyperlink"/>
            <w:rFonts w:cs="Arial"/>
            <w:lang w:eastAsia="ja-JP"/>
          </w:rPr>
          <w:t>licensed prescriber</w:t>
        </w:r>
      </w:hyperlink>
      <w:r w:rsidR="00697D19">
        <w:rPr>
          <w:rFonts w:cs="Arial"/>
        </w:rPr>
        <w:t xml:space="preserve">, but then acted on </w:t>
      </w:r>
      <w:r w:rsidR="00BB7C6E" w:rsidRPr="00490D88">
        <w:rPr>
          <w:rFonts w:cs="Arial"/>
        </w:rPr>
        <w:t>by pharmacy, nursing,</w:t>
      </w:r>
      <w:r w:rsidR="00BB7C6E">
        <w:rPr>
          <w:rFonts w:cs="Arial"/>
        </w:rPr>
        <w:t xml:space="preserve"> radiology,</w:t>
      </w:r>
      <w:r w:rsidR="00BB7C6E" w:rsidRPr="00490D88">
        <w:rPr>
          <w:rFonts w:cs="Arial"/>
        </w:rPr>
        <w:t xml:space="preserve"> respiratory therapy, etc.</w:t>
      </w:r>
      <w:r w:rsidR="00BB7C6E">
        <w:rPr>
          <w:rFonts w:cs="Arial"/>
        </w:rPr>
        <w:t xml:space="preserve"> </w:t>
      </w:r>
      <w:r w:rsidR="00A824A2">
        <w:rPr>
          <w:rFonts w:cs="Arial"/>
        </w:rPr>
        <w:t>Count p</w:t>
      </w:r>
      <w:r w:rsidR="00697D19">
        <w:rPr>
          <w:rFonts w:cs="Arial"/>
        </w:rPr>
        <w:t xml:space="preserve">er protocol </w:t>
      </w:r>
      <w:r w:rsidR="00693EAE">
        <w:rPr>
          <w:rFonts w:cs="Arial"/>
        </w:rPr>
        <w:t xml:space="preserve">orders </w:t>
      </w:r>
      <w:r w:rsidR="00697D19">
        <w:rPr>
          <w:rFonts w:cs="Arial"/>
        </w:rPr>
        <w:t xml:space="preserve">when responding to questions </w:t>
      </w:r>
      <w:r w:rsidR="00BB7C6E">
        <w:rPr>
          <w:rFonts w:cs="Arial"/>
        </w:rPr>
        <w:t>#</w:t>
      </w:r>
      <w:r w:rsidR="00697D19">
        <w:rPr>
          <w:rFonts w:cs="Arial"/>
        </w:rPr>
        <w:t xml:space="preserve">3 </w:t>
      </w:r>
      <w:r w:rsidR="00A824A2">
        <w:rPr>
          <w:rFonts w:cs="Arial"/>
        </w:rPr>
        <w:t xml:space="preserve">(denominator) </w:t>
      </w:r>
      <w:r w:rsidR="00697D19">
        <w:rPr>
          <w:rFonts w:cs="Arial"/>
        </w:rPr>
        <w:t>an</w:t>
      </w:r>
      <w:r w:rsidR="00347A2B">
        <w:rPr>
          <w:rFonts w:cs="Arial"/>
        </w:rPr>
        <w:t>d</w:t>
      </w:r>
      <w:r w:rsidR="00697D19">
        <w:rPr>
          <w:rFonts w:cs="Arial"/>
        </w:rPr>
        <w:t xml:space="preserve"> #</w:t>
      </w:r>
      <w:r w:rsidR="00BB7C6E">
        <w:rPr>
          <w:rFonts w:cs="Arial"/>
        </w:rPr>
        <w:t>4</w:t>
      </w:r>
      <w:r w:rsidR="00A824A2">
        <w:rPr>
          <w:rFonts w:cs="Arial"/>
        </w:rPr>
        <w:t xml:space="preserve"> (numerator)</w:t>
      </w:r>
      <w:r w:rsidR="00BB7C6E">
        <w:rPr>
          <w:rFonts w:cs="Arial"/>
        </w:rPr>
        <w:t>.</w:t>
      </w:r>
    </w:p>
    <w:p w14:paraId="51600E5C" w14:textId="77777777" w:rsidR="00DB7F48" w:rsidRDefault="00DB7F48" w:rsidP="00BB7C6E">
      <w:pPr>
        <w:rPr>
          <w:rFonts w:cs="Arial"/>
        </w:rPr>
      </w:pPr>
    </w:p>
    <w:p w14:paraId="2B16A382" w14:textId="53104D4D" w:rsidR="00BB7C6E" w:rsidRPr="004C547F" w:rsidRDefault="00BB7C6E" w:rsidP="00AD309C">
      <w:pPr>
        <w:pStyle w:val="ListParagraph"/>
        <w:numPr>
          <w:ilvl w:val="0"/>
          <w:numId w:val="56"/>
        </w:numPr>
        <w:rPr>
          <w:rFonts w:cs="Arial"/>
          <w:b/>
          <w:bCs/>
        </w:rPr>
      </w:pPr>
      <w:bookmarkStart w:id="217" w:name="StandingOrder"/>
      <w:bookmarkEnd w:id="217"/>
      <w:r w:rsidRPr="004C547F">
        <w:rPr>
          <w:rFonts w:cs="Arial"/>
          <w:b/>
          <w:bCs/>
        </w:rPr>
        <w:t>What are examples of standing orders?</w:t>
      </w:r>
    </w:p>
    <w:p w14:paraId="1E8B7404" w14:textId="6EF837C7" w:rsidR="00BB7C6E" w:rsidRDefault="00816726" w:rsidP="0021044A">
      <w:pPr>
        <w:pStyle w:val="ListParagraph"/>
        <w:rPr>
          <w:rFonts w:cs="Arial"/>
        </w:rPr>
      </w:pPr>
      <w:r>
        <w:t>E</w:t>
      </w:r>
      <w:r w:rsidR="00BB7C6E" w:rsidRPr="00AE36E4">
        <w:t>xamples</w:t>
      </w:r>
      <w:r>
        <w:t xml:space="preserve"> of standing orders include </w:t>
      </w:r>
      <w:r w:rsidR="00BB7C6E" w:rsidRPr="00AE36E4">
        <w:t>influenza vaccine, pneumonia vaccine, hepatitis B vaccine,</w:t>
      </w:r>
      <w:r w:rsidR="00BB7C6E">
        <w:t xml:space="preserve"> or</w:t>
      </w:r>
      <w:r w:rsidR="00BB7C6E" w:rsidRPr="00AE36E4">
        <w:t xml:space="preserve"> erythromycin eye ointmen</w:t>
      </w:r>
      <w:r w:rsidR="00BB7C6E">
        <w:t>t.</w:t>
      </w:r>
      <w:r w:rsidR="00BB7C6E" w:rsidRPr="00AE36E4">
        <w:t xml:space="preserve"> Standing orders </w:t>
      </w:r>
      <w:r w:rsidR="00BB7C6E">
        <w:t>are usually</w:t>
      </w:r>
      <w:r w:rsidR="00BB7C6E" w:rsidRPr="00AE36E4">
        <w:t xml:space="preserve"> rare, limited use situations.</w:t>
      </w:r>
      <w:r w:rsidR="00BB514B">
        <w:t xml:space="preserve"> </w:t>
      </w:r>
      <w:r w:rsidR="00A824A2">
        <w:t>Count s</w:t>
      </w:r>
      <w:r w:rsidR="00347A2B">
        <w:t>tanding orders when responding to questions #3</w:t>
      </w:r>
      <w:r w:rsidR="00A824A2">
        <w:t xml:space="preserve"> (denominator)</w:t>
      </w:r>
      <w:r w:rsidR="00347A2B">
        <w:t xml:space="preserve"> and #4</w:t>
      </w:r>
      <w:r w:rsidR="00A824A2">
        <w:t xml:space="preserve"> (numerator)</w:t>
      </w:r>
      <w:r w:rsidR="00347A2B">
        <w:t xml:space="preserve">. </w:t>
      </w:r>
    </w:p>
    <w:p w14:paraId="66EE835C" w14:textId="77777777" w:rsidR="00BB7C6E" w:rsidRDefault="00BB7C6E" w:rsidP="00DD108F">
      <w:pPr>
        <w:rPr>
          <w:rFonts w:cs="Arial"/>
          <w:b/>
        </w:rPr>
      </w:pPr>
    </w:p>
    <w:p w14:paraId="146157C1" w14:textId="5F47A21B" w:rsidR="00AE4E63" w:rsidRPr="00AE4E63" w:rsidRDefault="006B74CB" w:rsidP="00AD309C">
      <w:pPr>
        <w:numPr>
          <w:ilvl w:val="0"/>
          <w:numId w:val="56"/>
        </w:numPr>
        <w:rPr>
          <w:rFonts w:cs="Arial"/>
          <w:b/>
        </w:rPr>
      </w:pPr>
      <w:bookmarkStart w:id="218" w:name="_Hlk35523404"/>
      <w:r>
        <w:rPr>
          <w:rFonts w:cs="Arial"/>
          <w:b/>
        </w:rPr>
        <w:t xml:space="preserve">My hospital </w:t>
      </w:r>
      <w:r w:rsidR="00AE4E63" w:rsidRPr="00AE4E63">
        <w:rPr>
          <w:rFonts w:cs="Arial"/>
          <w:b/>
        </w:rPr>
        <w:t>require</w:t>
      </w:r>
      <w:r>
        <w:rPr>
          <w:rFonts w:cs="Arial"/>
          <w:b/>
        </w:rPr>
        <w:t>s</w:t>
      </w:r>
      <w:r w:rsidR="00AE4E63" w:rsidRPr="00AE4E63">
        <w:rPr>
          <w:rFonts w:cs="Arial"/>
          <w:b/>
        </w:rPr>
        <w:t xml:space="preserve"> readback for all</w:t>
      </w:r>
      <w:r w:rsidR="00A824A2">
        <w:rPr>
          <w:rFonts w:cs="Arial"/>
          <w:b/>
        </w:rPr>
        <w:t xml:space="preserve"> phone</w:t>
      </w:r>
      <w:r w:rsidR="00AE4E63" w:rsidRPr="00AE4E63">
        <w:rPr>
          <w:rFonts w:cs="Arial"/>
          <w:b/>
        </w:rPr>
        <w:t xml:space="preserve"> orders, but there is no way to document that the readback occurred. How </w:t>
      </w:r>
      <w:r>
        <w:rPr>
          <w:rFonts w:cs="Arial"/>
          <w:b/>
        </w:rPr>
        <w:t xml:space="preserve">can we </w:t>
      </w:r>
      <w:r w:rsidR="00AE4E63" w:rsidRPr="00AE4E63">
        <w:rPr>
          <w:rFonts w:cs="Arial"/>
          <w:b/>
        </w:rPr>
        <w:t xml:space="preserve">include </w:t>
      </w:r>
      <w:r>
        <w:rPr>
          <w:rFonts w:cs="Arial"/>
          <w:b/>
        </w:rPr>
        <w:t>these orders when responding to question #4</w:t>
      </w:r>
      <w:r w:rsidR="00A824A2">
        <w:rPr>
          <w:rFonts w:cs="Arial"/>
          <w:b/>
        </w:rPr>
        <w:t xml:space="preserve"> (numerator)</w:t>
      </w:r>
      <w:r>
        <w:rPr>
          <w:rFonts w:cs="Arial"/>
          <w:b/>
        </w:rPr>
        <w:t>?</w:t>
      </w:r>
    </w:p>
    <w:p w14:paraId="22902ED1" w14:textId="1CEBA8E5" w:rsidR="00AE4E63" w:rsidRPr="00AE4E63" w:rsidRDefault="006B74CB" w:rsidP="00AE4E63">
      <w:pPr>
        <w:ind w:left="720"/>
        <w:rPr>
          <w:rFonts w:cs="Arial"/>
          <w:bCs/>
        </w:rPr>
      </w:pPr>
      <w:r>
        <w:rPr>
          <w:rFonts w:cs="Arial"/>
          <w:bCs/>
        </w:rPr>
        <w:t xml:space="preserve">If your hospital cannot document that </w:t>
      </w:r>
      <w:r w:rsidR="00AE4E63" w:rsidRPr="00AE4E63">
        <w:rPr>
          <w:rFonts w:cs="Arial"/>
          <w:bCs/>
        </w:rPr>
        <w:t>verbal readback on phone orders</w:t>
      </w:r>
      <w:r>
        <w:rPr>
          <w:rFonts w:cs="Arial"/>
          <w:bCs/>
        </w:rPr>
        <w:t xml:space="preserve"> occurred, you should </w:t>
      </w:r>
      <w:r w:rsidR="00AE4E63" w:rsidRPr="00AE4E63">
        <w:rPr>
          <w:rFonts w:cs="Arial"/>
          <w:bCs/>
        </w:rPr>
        <w:t>develop a written policy that outlines training and implementation of this practice</w:t>
      </w:r>
      <w:r>
        <w:rPr>
          <w:rFonts w:cs="Arial"/>
          <w:bCs/>
        </w:rPr>
        <w:t xml:space="preserve"> and perform a </w:t>
      </w:r>
      <w:r w:rsidR="00AE4E63" w:rsidRPr="00AE4E63">
        <w:rPr>
          <w:rFonts w:cs="Arial"/>
          <w:bCs/>
        </w:rPr>
        <w:lastRenderedPageBreak/>
        <w:t>random audit at least annually to ensure the policy is being followed.</w:t>
      </w:r>
      <w:r>
        <w:rPr>
          <w:rFonts w:cs="Arial"/>
          <w:bCs/>
        </w:rPr>
        <w:t xml:space="preserve"> </w:t>
      </w:r>
      <w:r w:rsidR="00A824A2">
        <w:rPr>
          <w:rFonts w:cs="Arial"/>
          <w:bCs/>
        </w:rPr>
        <w:t>Maintain d</w:t>
      </w:r>
      <w:r>
        <w:rPr>
          <w:rFonts w:cs="Arial"/>
          <w:bCs/>
        </w:rPr>
        <w:t>ocumentation of the audit that demonstrates compliance with the policy</w:t>
      </w:r>
      <w:r w:rsidR="00A824A2">
        <w:rPr>
          <w:rFonts w:cs="Arial"/>
          <w:bCs/>
        </w:rPr>
        <w:t xml:space="preserve"> as </w:t>
      </w:r>
      <w:r>
        <w:rPr>
          <w:rFonts w:cs="Arial"/>
          <w:bCs/>
        </w:rPr>
        <w:t>Leapfrog performs monthly documentation requests starting with June 30</w:t>
      </w:r>
      <w:r w:rsidR="00A824A2">
        <w:rPr>
          <w:rFonts w:cs="Arial"/>
          <w:bCs/>
          <w:vertAlign w:val="superscript"/>
        </w:rPr>
        <w:t xml:space="preserve"> </w:t>
      </w:r>
      <w:r>
        <w:rPr>
          <w:rFonts w:cs="Arial"/>
          <w:bCs/>
        </w:rPr>
        <w:t>submissions and continuing until the Survey closes on January 3</w:t>
      </w:r>
      <w:r w:rsidR="00A824A2">
        <w:rPr>
          <w:rFonts w:cs="Arial"/>
          <w:bCs/>
        </w:rPr>
        <w:t>1.</w:t>
      </w:r>
    </w:p>
    <w:p w14:paraId="6D6F64B9" w14:textId="77777777" w:rsidR="00874CD2" w:rsidRDefault="00874CD2" w:rsidP="00DD7A6E">
      <w:pPr>
        <w:rPr>
          <w:rFonts w:cs="Arial"/>
          <w:b/>
        </w:rPr>
      </w:pPr>
    </w:p>
    <w:p w14:paraId="44F915CD" w14:textId="6634A9D9" w:rsidR="00CC43DB" w:rsidRDefault="00046DF3" w:rsidP="00AD309C">
      <w:pPr>
        <w:numPr>
          <w:ilvl w:val="0"/>
          <w:numId w:val="56"/>
        </w:numPr>
        <w:rPr>
          <w:rFonts w:cs="Arial"/>
          <w:b/>
        </w:rPr>
      </w:pPr>
      <w:r>
        <w:rPr>
          <w:rFonts w:cs="Arial"/>
          <w:b/>
        </w:rPr>
        <w:t>When should we take the</w:t>
      </w:r>
      <w:r w:rsidR="002E7564" w:rsidRPr="009A5185">
        <w:rPr>
          <w:rFonts w:cs="Arial"/>
          <w:b/>
        </w:rPr>
        <w:t xml:space="preserve"> CPOE Evaluation Tool?</w:t>
      </w:r>
    </w:p>
    <w:bookmarkEnd w:id="218"/>
    <w:p w14:paraId="7EA9D5B2" w14:textId="46D43A6A" w:rsidR="00C15754" w:rsidRDefault="00C15754" w:rsidP="00C15754">
      <w:pPr>
        <w:ind w:left="720"/>
        <w:rPr>
          <w:rFonts w:ascii="Calibri" w:hAnsi="Calibri"/>
        </w:rPr>
      </w:pPr>
      <w:r>
        <w:t>The CPOE Evaluation Tool is a core element of Leapfrog’s CPOE Standard. Hospitals are urged to ensure that the Adult Inpatient CPOE Test is submitted along with the Survey (i.e.</w:t>
      </w:r>
      <w:r w:rsidR="00B05B4B">
        <w:t>,</w:t>
      </w:r>
      <w:r>
        <w:t xml:space="preserve"> in the same month) in order to meet the </w:t>
      </w:r>
      <w:hyperlink r:id="rId202" w:history="1">
        <w:r w:rsidR="00556D6D">
          <w:rPr>
            <w:rStyle w:val="Hyperlink"/>
          </w:rPr>
          <w:t>deadlines</w:t>
        </w:r>
      </w:hyperlink>
      <w:r>
        <w:t xml:space="preserve"> for </w:t>
      </w:r>
      <w:r w:rsidR="00A64293">
        <w:t xml:space="preserve">the </w:t>
      </w:r>
      <w:r>
        <w:t xml:space="preserve">Leapfrog Hospital Survey and Leapfrog’s other programs such as Top Hospital and the Leapfrog Hospital Safety Grade. </w:t>
      </w:r>
    </w:p>
    <w:p w14:paraId="5477FBE2" w14:textId="77777777" w:rsidR="00C15754" w:rsidRDefault="00C15754" w:rsidP="00C15754">
      <w:pPr>
        <w:ind w:left="720"/>
      </w:pPr>
    </w:p>
    <w:p w14:paraId="1A06EE70" w14:textId="0FBCA145" w:rsidR="00C15754" w:rsidRDefault="00C15754" w:rsidP="00C15754">
      <w:pPr>
        <w:ind w:left="720"/>
      </w:pPr>
      <w:r>
        <w:t xml:space="preserve">Hospitals that submit </w:t>
      </w:r>
      <w:r w:rsidR="00F72C9F">
        <w:t>the Survey</w:t>
      </w:r>
      <w:r>
        <w:t>, but do not submit an Adult Inpatient Test via the CPOE Evaluation Tool, are scored and publicly reported as “</w:t>
      </w:r>
      <w:r w:rsidR="00B60AE6">
        <w:t>Limited Achievement</w:t>
      </w:r>
      <w:r>
        <w:t>” on the CPOE measure.</w:t>
      </w:r>
    </w:p>
    <w:p w14:paraId="16F5F04B" w14:textId="77777777" w:rsidR="00C15754" w:rsidRDefault="00C15754" w:rsidP="00C15754">
      <w:pPr>
        <w:ind w:left="720"/>
      </w:pPr>
    </w:p>
    <w:p w14:paraId="74102A29" w14:textId="77777777" w:rsidR="00C15754" w:rsidRDefault="00C15754" w:rsidP="00C15754">
      <w:pPr>
        <w:ind w:left="720"/>
      </w:pPr>
      <w:r>
        <w:t xml:space="preserve">Within a Survey Cycle (April 1 – November 30), a hospital cannot retake a CPOE Evaluation Tool until at least 120 days have passed since their last test. </w:t>
      </w:r>
    </w:p>
    <w:p w14:paraId="5C72F79B" w14:textId="77777777" w:rsidR="00A022AC" w:rsidRDefault="00A022AC" w:rsidP="00A022AC">
      <w:pPr>
        <w:ind w:left="720"/>
        <w:rPr>
          <w:rFonts w:cs="Arial"/>
        </w:rPr>
      </w:pPr>
    </w:p>
    <w:p w14:paraId="51D3F6C3" w14:textId="77777777" w:rsidR="00A022AC" w:rsidRDefault="00A022AC" w:rsidP="00AD309C">
      <w:pPr>
        <w:pStyle w:val="ListParagraph"/>
        <w:numPr>
          <w:ilvl w:val="0"/>
          <w:numId w:val="56"/>
        </w:numPr>
        <w:rPr>
          <w:rFonts w:cs="Arial"/>
          <w:b/>
        </w:rPr>
      </w:pPr>
      <w:r>
        <w:rPr>
          <w:rFonts w:cs="Arial"/>
          <w:b/>
        </w:rPr>
        <w:t>Should hospitals take the CPOE Test more than once per Survey Cycle?</w:t>
      </w:r>
    </w:p>
    <w:p w14:paraId="4BAE897B" w14:textId="6AD32836" w:rsidR="00A022AC" w:rsidRDefault="00A022AC" w:rsidP="00A022AC">
      <w:pPr>
        <w:pStyle w:val="ListParagraph"/>
        <w:rPr>
          <w:rFonts w:cs="Arial"/>
          <w:bCs/>
        </w:rPr>
      </w:pPr>
      <w:r>
        <w:rPr>
          <w:rFonts w:cs="Arial"/>
          <w:bCs/>
        </w:rPr>
        <w:t xml:space="preserve">Not necessarily. </w:t>
      </w:r>
      <w:r w:rsidRPr="00BB514B">
        <w:rPr>
          <w:rFonts w:cs="Arial"/>
          <w:bCs/>
        </w:rPr>
        <w:t xml:space="preserve">Hospitals have the option of re-taking </w:t>
      </w:r>
      <w:r>
        <w:rPr>
          <w:rFonts w:cs="Arial"/>
          <w:bCs/>
        </w:rPr>
        <w:t xml:space="preserve">a test </w:t>
      </w:r>
      <w:r w:rsidRPr="00BB514B">
        <w:rPr>
          <w:rFonts w:cs="Arial"/>
          <w:bCs/>
        </w:rPr>
        <w:t xml:space="preserve">after 120 days, but if </w:t>
      </w:r>
      <w:r>
        <w:rPr>
          <w:rFonts w:cs="Arial"/>
          <w:bCs/>
        </w:rPr>
        <w:t xml:space="preserve">there </w:t>
      </w:r>
      <w:r w:rsidR="00960C5A">
        <w:rPr>
          <w:rFonts w:cs="Arial"/>
          <w:bCs/>
        </w:rPr>
        <w:t>were</w:t>
      </w:r>
      <w:r>
        <w:rPr>
          <w:rFonts w:cs="Arial"/>
          <w:bCs/>
        </w:rPr>
        <w:t xml:space="preserve"> no</w:t>
      </w:r>
      <w:r w:rsidRPr="00BB514B">
        <w:rPr>
          <w:rFonts w:cs="Arial"/>
          <w:bCs/>
        </w:rPr>
        <w:t xml:space="preserve"> changes </w:t>
      </w:r>
      <w:r>
        <w:rPr>
          <w:rFonts w:cs="Arial"/>
          <w:bCs/>
        </w:rPr>
        <w:t>made to your CPOE system</w:t>
      </w:r>
      <w:r w:rsidR="00960C5A">
        <w:rPr>
          <w:rFonts w:cs="Arial"/>
          <w:bCs/>
        </w:rPr>
        <w:t xml:space="preserve"> after the first test</w:t>
      </w:r>
      <w:r>
        <w:rPr>
          <w:rFonts w:cs="Arial"/>
          <w:bCs/>
        </w:rPr>
        <w:t xml:space="preserve"> </w:t>
      </w:r>
      <w:r w:rsidRPr="00BB514B">
        <w:rPr>
          <w:rFonts w:cs="Arial"/>
          <w:bCs/>
        </w:rPr>
        <w:t>there is likely no reason to retake the test. Hospitals that switch vendors, perform major upgrades, or make significant changes to their decision support settings and/or formulary (</w:t>
      </w:r>
      <w:r>
        <w:rPr>
          <w:rFonts w:cs="Arial"/>
          <w:bCs/>
        </w:rPr>
        <w:t>e.g., expanding</w:t>
      </w:r>
      <w:r w:rsidRPr="00BB514B">
        <w:rPr>
          <w:rFonts w:cs="Arial"/>
          <w:bCs/>
        </w:rPr>
        <w:t xml:space="preserve"> from</w:t>
      </w:r>
      <w:r>
        <w:rPr>
          <w:rFonts w:cs="Arial"/>
          <w:bCs/>
        </w:rPr>
        <w:t xml:space="preserve"> a</w:t>
      </w:r>
      <w:r w:rsidRPr="00BB514B">
        <w:rPr>
          <w:rFonts w:cs="Arial"/>
          <w:bCs/>
        </w:rPr>
        <w:t xml:space="preserve"> limited formulary to </w:t>
      </w:r>
      <w:r>
        <w:rPr>
          <w:rFonts w:cs="Arial"/>
          <w:bCs/>
        </w:rPr>
        <w:t xml:space="preserve">a </w:t>
      </w:r>
      <w:r w:rsidRPr="00BB514B">
        <w:rPr>
          <w:rFonts w:cs="Arial"/>
          <w:bCs/>
        </w:rPr>
        <w:t xml:space="preserve">large formulary) should re-take the test to ensure the results reflect </w:t>
      </w:r>
      <w:r w:rsidR="00960C5A">
        <w:rPr>
          <w:rFonts w:cs="Arial"/>
          <w:bCs/>
        </w:rPr>
        <w:t>their</w:t>
      </w:r>
      <w:r w:rsidRPr="00BB514B">
        <w:rPr>
          <w:rFonts w:cs="Arial"/>
          <w:bCs/>
        </w:rPr>
        <w:t xml:space="preserve"> current system.</w:t>
      </w:r>
    </w:p>
    <w:p w14:paraId="01DD0A14" w14:textId="77777777" w:rsidR="00A022AC" w:rsidRPr="00BB514B" w:rsidRDefault="00A022AC" w:rsidP="00A022AC">
      <w:pPr>
        <w:pStyle w:val="ListParagraph"/>
        <w:rPr>
          <w:rFonts w:cs="Arial"/>
          <w:bCs/>
        </w:rPr>
      </w:pPr>
    </w:p>
    <w:p w14:paraId="17D8654E" w14:textId="77777777" w:rsidR="00A022AC" w:rsidRPr="00046DF3" w:rsidRDefault="00A022AC" w:rsidP="00AD309C">
      <w:pPr>
        <w:pStyle w:val="ListParagraph"/>
        <w:numPr>
          <w:ilvl w:val="0"/>
          <w:numId w:val="56"/>
        </w:numPr>
        <w:rPr>
          <w:rFonts w:cs="Arial"/>
          <w:b/>
        </w:rPr>
      </w:pPr>
      <w:r>
        <w:rPr>
          <w:rFonts w:cs="Arial"/>
          <w:b/>
        </w:rPr>
        <w:t xml:space="preserve">If we </w:t>
      </w:r>
      <w:r w:rsidRPr="00046DF3">
        <w:rPr>
          <w:rFonts w:cs="Arial"/>
          <w:b/>
        </w:rPr>
        <w:t xml:space="preserve">update our responses to questions #3 and #4, do we need to re-take the CPOE Test? </w:t>
      </w:r>
    </w:p>
    <w:p w14:paraId="6C41140C" w14:textId="2B17B236" w:rsidR="00A718E9" w:rsidRDefault="00A022AC" w:rsidP="00CF7851">
      <w:pPr>
        <w:pStyle w:val="ListParagraph"/>
        <w:rPr>
          <w:rFonts w:cs="Arial"/>
        </w:rPr>
      </w:pPr>
      <w:r>
        <w:rPr>
          <w:rFonts w:cs="Arial"/>
        </w:rPr>
        <w:t xml:space="preserve">No. </w:t>
      </w:r>
      <w:r w:rsidRPr="00046DF3">
        <w:rPr>
          <w:rFonts w:cs="Arial"/>
        </w:rPr>
        <w:t>Hospitals</w:t>
      </w:r>
      <w:r w:rsidR="00960C5A">
        <w:rPr>
          <w:rFonts w:cs="Arial"/>
        </w:rPr>
        <w:t xml:space="preserve"> don’t need to </w:t>
      </w:r>
      <w:r w:rsidRPr="00046DF3">
        <w:rPr>
          <w:rFonts w:cs="Arial"/>
        </w:rPr>
        <w:t xml:space="preserve">retake the CPOE Evaluation Tool </w:t>
      </w:r>
      <w:r w:rsidR="00960C5A">
        <w:rPr>
          <w:rFonts w:cs="Arial"/>
        </w:rPr>
        <w:t xml:space="preserve">after submitting </w:t>
      </w:r>
      <w:r w:rsidRPr="00046DF3">
        <w:rPr>
          <w:rFonts w:cs="Arial"/>
        </w:rPr>
        <w:t xml:space="preserve">updates to </w:t>
      </w:r>
      <w:r w:rsidR="00960C5A">
        <w:rPr>
          <w:rFonts w:cs="Arial"/>
        </w:rPr>
        <w:t xml:space="preserve">Section 2 via the Online Survey Tool. </w:t>
      </w:r>
      <w:r w:rsidRPr="00046DF3">
        <w:rPr>
          <w:rFonts w:cs="Arial"/>
        </w:rPr>
        <w:t xml:space="preserve">Retaking a test is only recommended </w:t>
      </w:r>
      <w:r w:rsidR="00960C5A">
        <w:rPr>
          <w:rFonts w:cs="Arial"/>
        </w:rPr>
        <w:t xml:space="preserve">for hospitals that switched vendors, performed major upgrades, or made significant changes to their decision support settings and/or formulary. </w:t>
      </w:r>
    </w:p>
    <w:p w14:paraId="535A4AE7" w14:textId="77777777" w:rsidR="00BB30C4" w:rsidRDefault="00BB30C4" w:rsidP="00CF7851">
      <w:pPr>
        <w:pStyle w:val="ListParagraph"/>
        <w:rPr>
          <w:rFonts w:cs="Arial"/>
        </w:rPr>
      </w:pPr>
    </w:p>
    <w:p w14:paraId="7E25838E" w14:textId="77777777" w:rsidR="003668F5" w:rsidRDefault="003668F5" w:rsidP="00A25F6C">
      <w:pPr>
        <w:pStyle w:val="Heading3"/>
      </w:pPr>
      <w:bookmarkStart w:id="219" w:name="_Toc225877702"/>
      <w:r w:rsidRPr="009617F5">
        <w:t>EHR Application Information FAQs</w:t>
      </w:r>
      <w:bookmarkEnd w:id="219"/>
    </w:p>
    <w:p w14:paraId="0A4C0A2B" w14:textId="77777777" w:rsidR="00543237" w:rsidRDefault="00543237" w:rsidP="003668F5">
      <w:pPr>
        <w:pStyle w:val="Heading44"/>
      </w:pPr>
    </w:p>
    <w:p w14:paraId="76B177C2" w14:textId="5530D74B" w:rsidR="004D459D" w:rsidRPr="001F2388" w:rsidRDefault="00737523" w:rsidP="00AD309C">
      <w:pPr>
        <w:pStyle w:val="ListParagraph"/>
        <w:numPr>
          <w:ilvl w:val="0"/>
          <w:numId w:val="56"/>
        </w:numPr>
        <w:rPr>
          <w:rFonts w:cs="Arial"/>
          <w:b/>
          <w:bCs/>
        </w:rPr>
      </w:pPr>
      <w:r>
        <w:rPr>
          <w:rFonts w:cs="Arial"/>
          <w:b/>
          <w:bCs/>
        </w:rPr>
        <w:t>What is the definition of</w:t>
      </w:r>
      <w:r w:rsidR="004D459D" w:rsidRPr="001F2388">
        <w:rPr>
          <w:rFonts w:cs="Arial"/>
          <w:b/>
          <w:bCs/>
        </w:rPr>
        <w:t xml:space="preserve"> Artificial Intelligence</w:t>
      </w:r>
      <w:r w:rsidR="006C5FD2">
        <w:rPr>
          <w:rFonts w:cs="Arial"/>
          <w:b/>
          <w:bCs/>
        </w:rPr>
        <w:t xml:space="preserve"> in Health Care</w:t>
      </w:r>
      <w:r w:rsidR="004D459D" w:rsidRPr="001F2388">
        <w:rPr>
          <w:rFonts w:cs="Arial"/>
          <w:b/>
          <w:bCs/>
        </w:rPr>
        <w:t>?</w:t>
      </w:r>
    </w:p>
    <w:p w14:paraId="79C6636B" w14:textId="6DDF1A2D" w:rsidR="00543237" w:rsidRDefault="004D459D" w:rsidP="004D459D">
      <w:pPr>
        <w:pStyle w:val="Heading44"/>
        <w:ind w:left="720"/>
        <w:rPr>
          <w:rFonts w:cs="Arial"/>
          <w:b w:val="0"/>
          <w:bCs/>
          <w:sz w:val="20"/>
        </w:rPr>
      </w:pPr>
      <w:r w:rsidRPr="009617F5">
        <w:rPr>
          <w:rFonts w:cs="Arial"/>
          <w:b w:val="0"/>
          <w:bCs/>
          <w:sz w:val="20"/>
        </w:rPr>
        <w:t xml:space="preserve">Artificial Intelligence (AI) </w:t>
      </w:r>
      <w:r w:rsidR="002E1D83" w:rsidRPr="002E1D83">
        <w:rPr>
          <w:rFonts w:cs="Arial"/>
          <w:b w:val="0"/>
          <w:bCs/>
          <w:sz w:val="20"/>
        </w:rPr>
        <w:t xml:space="preserve">in healthcare is the use of machine learning, AI Algorithms, </w:t>
      </w:r>
      <w:r w:rsidR="00DD75C6">
        <w:rPr>
          <w:rFonts w:cs="Arial"/>
          <w:b w:val="0"/>
          <w:bCs/>
          <w:sz w:val="20"/>
        </w:rPr>
        <w:t>l</w:t>
      </w:r>
      <w:r w:rsidR="002E1D83" w:rsidRPr="002E1D83">
        <w:rPr>
          <w:rFonts w:cs="Arial"/>
          <w:b w:val="0"/>
          <w:bCs/>
          <w:sz w:val="20"/>
        </w:rPr>
        <w:t xml:space="preserve">arge </w:t>
      </w:r>
      <w:r w:rsidR="00DD75C6">
        <w:rPr>
          <w:rFonts w:cs="Arial"/>
          <w:b w:val="0"/>
          <w:bCs/>
          <w:sz w:val="20"/>
        </w:rPr>
        <w:t>l</w:t>
      </w:r>
      <w:r w:rsidR="002E1D83" w:rsidRPr="002E1D83">
        <w:rPr>
          <w:rFonts w:cs="Arial"/>
          <w:b w:val="0"/>
          <w:bCs/>
          <w:sz w:val="20"/>
        </w:rPr>
        <w:t xml:space="preserve">anguage </w:t>
      </w:r>
      <w:r w:rsidR="00DD75C6">
        <w:rPr>
          <w:rFonts w:cs="Arial"/>
          <w:b w:val="0"/>
          <w:bCs/>
          <w:sz w:val="20"/>
        </w:rPr>
        <w:t>m</w:t>
      </w:r>
      <w:r w:rsidR="002E1D83" w:rsidRPr="002E1D83">
        <w:rPr>
          <w:rFonts w:cs="Arial"/>
          <w:b w:val="0"/>
          <w:bCs/>
          <w:sz w:val="20"/>
        </w:rPr>
        <w:t xml:space="preserve">odels, AI Agents, </w:t>
      </w:r>
      <w:r w:rsidR="00D040BE">
        <w:rPr>
          <w:rFonts w:cs="Arial"/>
          <w:b w:val="0"/>
          <w:bCs/>
          <w:sz w:val="20"/>
        </w:rPr>
        <w:t>a</w:t>
      </w:r>
      <w:r w:rsidR="002E1D83" w:rsidRPr="002E1D83">
        <w:rPr>
          <w:rFonts w:cs="Arial"/>
          <w:b w:val="0"/>
          <w:bCs/>
          <w:sz w:val="20"/>
        </w:rPr>
        <w:t>gentic AI, chatbots, and other related technologies to analyze health data and assist clinicians in tasks like diagnosis, treatment (including clinical decision support), patient monitoring, administrative work</w:t>
      </w:r>
      <w:r w:rsidR="00E3671A">
        <w:rPr>
          <w:rFonts w:cs="Arial"/>
          <w:b w:val="0"/>
          <w:bCs/>
          <w:sz w:val="20"/>
        </w:rPr>
        <w:t>, and automated workflows</w:t>
      </w:r>
      <w:r w:rsidR="002E1D83" w:rsidRPr="002E1D83">
        <w:rPr>
          <w:rFonts w:cs="Arial"/>
          <w:b w:val="0"/>
          <w:bCs/>
          <w:sz w:val="20"/>
        </w:rPr>
        <w:t>. Its goal is to improve patient outcomes, increase efficiency, and personalize care by providing tools that can identify diseases, streamline workflows, and help predict patient needs.</w:t>
      </w:r>
    </w:p>
    <w:p w14:paraId="58424FD4" w14:textId="568594CB" w:rsidR="003C5271" w:rsidRDefault="00A25F6C" w:rsidP="003C5271">
      <w:pPr>
        <w:tabs>
          <w:tab w:val="left" w:pos="720"/>
        </w:tabs>
        <w:ind w:left="360"/>
        <w:rPr>
          <w:rFonts w:cstheme="minorHAnsi"/>
        </w:rPr>
      </w:pPr>
      <w:r>
        <w:rPr>
          <w:rFonts w:cstheme="minorHAnsi"/>
        </w:rPr>
        <w:tab/>
      </w:r>
    </w:p>
    <w:p w14:paraId="5F29DBB1" w14:textId="3AE030C3" w:rsidR="003C5271" w:rsidRPr="009678E8" w:rsidRDefault="003C5271" w:rsidP="003C5271">
      <w:pPr>
        <w:tabs>
          <w:tab w:val="left" w:pos="720"/>
        </w:tabs>
        <w:ind w:left="360"/>
        <w:rPr>
          <w:rFonts w:cstheme="minorHAnsi"/>
        </w:rPr>
      </w:pPr>
      <w:r>
        <w:rPr>
          <w:rFonts w:cstheme="minorHAnsi"/>
        </w:rPr>
        <w:tab/>
      </w:r>
      <w:r w:rsidRPr="009678E8">
        <w:rPr>
          <w:rFonts w:cstheme="minorHAnsi"/>
        </w:rPr>
        <w:t>Examples of AI applications used in medication management processes are as follows:</w:t>
      </w:r>
    </w:p>
    <w:p w14:paraId="63DE0E29" w14:textId="77777777" w:rsidR="003C5271" w:rsidRPr="003C5271" w:rsidRDefault="003C5271" w:rsidP="00A25F6C">
      <w:pPr>
        <w:pStyle w:val="ListParagraph"/>
        <w:numPr>
          <w:ilvl w:val="0"/>
          <w:numId w:val="456"/>
        </w:numPr>
        <w:tabs>
          <w:tab w:val="left" w:pos="720"/>
        </w:tabs>
        <w:spacing w:line="276" w:lineRule="auto"/>
        <w:ind w:left="1710"/>
        <w:rPr>
          <w:rFonts w:cstheme="minorHAnsi"/>
        </w:rPr>
      </w:pPr>
      <w:r w:rsidRPr="003C5271">
        <w:rPr>
          <w:rFonts w:cstheme="minorHAnsi"/>
        </w:rPr>
        <w:t>AI algorithms that suggest a new medication order’s dosage, frequency, or duration of therapy.</w:t>
      </w:r>
    </w:p>
    <w:p w14:paraId="58D21435" w14:textId="77777777" w:rsidR="003C5271" w:rsidRPr="003C5271" w:rsidRDefault="003C5271" w:rsidP="00A25F6C">
      <w:pPr>
        <w:pStyle w:val="ListParagraph"/>
        <w:numPr>
          <w:ilvl w:val="0"/>
          <w:numId w:val="456"/>
        </w:numPr>
        <w:tabs>
          <w:tab w:val="left" w:pos="720"/>
        </w:tabs>
        <w:spacing w:line="276" w:lineRule="auto"/>
        <w:ind w:left="1710"/>
        <w:rPr>
          <w:rFonts w:cstheme="minorHAnsi"/>
        </w:rPr>
      </w:pPr>
      <w:r w:rsidRPr="003C5271">
        <w:rPr>
          <w:rFonts w:cstheme="minorHAnsi"/>
        </w:rPr>
        <w:t>AI algorithms that suggest a new medication for a patient based on an analysis of the patient’s medical record.</w:t>
      </w:r>
    </w:p>
    <w:p w14:paraId="0E5E22E1" w14:textId="77777777" w:rsidR="003C5271" w:rsidRPr="003C5271" w:rsidRDefault="003C5271" w:rsidP="00A25F6C">
      <w:pPr>
        <w:pStyle w:val="ListParagraph"/>
        <w:numPr>
          <w:ilvl w:val="0"/>
          <w:numId w:val="456"/>
        </w:numPr>
        <w:tabs>
          <w:tab w:val="left" w:pos="720"/>
        </w:tabs>
        <w:spacing w:line="276" w:lineRule="auto"/>
        <w:ind w:left="1710"/>
        <w:rPr>
          <w:rFonts w:cstheme="minorHAnsi"/>
        </w:rPr>
      </w:pPr>
      <w:r w:rsidRPr="003C5271">
        <w:rPr>
          <w:rFonts w:cstheme="minorHAnsi"/>
        </w:rPr>
        <w:t>AI algorithms that suggest changes to an existing medication the patient is on based on an analysis of the patient’s medical records.</w:t>
      </w:r>
    </w:p>
    <w:p w14:paraId="4C6CBB40" w14:textId="77777777" w:rsidR="003C5271" w:rsidRPr="00885A85" w:rsidRDefault="003C5271" w:rsidP="003C5271">
      <w:pPr>
        <w:pStyle w:val="ListParagraph"/>
        <w:numPr>
          <w:ilvl w:val="0"/>
          <w:numId w:val="454"/>
        </w:numPr>
        <w:tabs>
          <w:tab w:val="left" w:pos="720"/>
        </w:tabs>
        <w:spacing w:line="276" w:lineRule="auto"/>
        <w:ind w:left="360"/>
        <w:rPr>
          <w:rFonts w:asciiTheme="minorHAnsi" w:hAnsiTheme="minorHAnsi" w:cstheme="minorHAnsi"/>
        </w:rPr>
      </w:pPr>
      <w:r w:rsidRPr="00885A85">
        <w:rPr>
          <w:rFonts w:asciiTheme="minorHAnsi" w:hAnsiTheme="minorHAnsi" w:cstheme="minorHAnsi"/>
        </w:rPr>
        <w:br w:type="page"/>
      </w:r>
    </w:p>
    <w:p w14:paraId="146DA4F4" w14:textId="1B74F822" w:rsidR="009617F5" w:rsidRPr="00A022AC" w:rsidRDefault="009617F5" w:rsidP="00A022AC">
      <w:pPr>
        <w:rPr>
          <w:rFonts w:cs="Arial"/>
        </w:rPr>
        <w:sectPr w:rsidR="009617F5" w:rsidRPr="00A022AC" w:rsidSect="00062F69">
          <w:headerReference w:type="default" r:id="rId203"/>
          <w:endnotePr>
            <w:numFmt w:val="decimal"/>
          </w:endnotePr>
          <w:type w:val="continuous"/>
          <w:pgSz w:w="12240" w:h="15840"/>
          <w:pgMar w:top="1440" w:right="1440" w:bottom="1440" w:left="1440" w:header="720" w:footer="720" w:gutter="0"/>
          <w:cols w:space="720"/>
          <w:docGrid w:linePitch="272"/>
        </w:sectPr>
      </w:pPr>
    </w:p>
    <w:p w14:paraId="6C7B0B7E" w14:textId="6961D4FD" w:rsidR="00E9000C" w:rsidRDefault="00E9000C" w:rsidP="00AB5B80">
      <w:pPr>
        <w:pStyle w:val="Heading3"/>
      </w:pPr>
      <w:bookmarkStart w:id="220" w:name="_Bar_Code_Medication"/>
      <w:bookmarkStart w:id="221" w:name="_Toc225877703"/>
      <w:bookmarkEnd w:id="220"/>
      <w:r>
        <w:lastRenderedPageBreak/>
        <w:t>Bar Code Medication Administration (BCMA)</w:t>
      </w:r>
      <w:r w:rsidR="00B078B4">
        <w:t xml:space="preserve"> FAQs</w:t>
      </w:r>
      <w:bookmarkEnd w:id="221"/>
    </w:p>
    <w:p w14:paraId="4C605564" w14:textId="77777777" w:rsidR="0065334D" w:rsidRPr="00A1457F" w:rsidRDefault="0065334D" w:rsidP="0065334D">
      <w:pPr>
        <w:rPr>
          <w:rFonts w:cs="Arial"/>
          <w:sz w:val="16"/>
          <w:szCs w:val="16"/>
        </w:rPr>
      </w:pPr>
    </w:p>
    <w:p w14:paraId="26B8BB5D" w14:textId="77777777" w:rsidR="0065334D" w:rsidRPr="009A5185" w:rsidRDefault="0065334D" w:rsidP="00690C11">
      <w:pPr>
        <w:pStyle w:val="Heading44"/>
      </w:pPr>
      <w:r w:rsidRPr="009A5185">
        <w:t>General Questions</w:t>
      </w:r>
    </w:p>
    <w:p w14:paraId="0843DD2F" w14:textId="77777777" w:rsidR="0065334D" w:rsidRPr="00B1398E" w:rsidRDefault="0065334D" w:rsidP="0065334D">
      <w:pPr>
        <w:rPr>
          <w:rFonts w:cs="Arial"/>
          <w:bCs/>
          <w:sz w:val="16"/>
          <w:szCs w:val="16"/>
        </w:rPr>
      </w:pPr>
    </w:p>
    <w:p w14:paraId="2E891783" w14:textId="48383E23" w:rsidR="0065334D" w:rsidRPr="009A5185" w:rsidRDefault="0065334D" w:rsidP="00AD309C">
      <w:pPr>
        <w:pStyle w:val="ListParagraph"/>
        <w:numPr>
          <w:ilvl w:val="0"/>
          <w:numId w:val="56"/>
        </w:numPr>
        <w:rPr>
          <w:rFonts w:cs="Arial"/>
          <w:b/>
        </w:rPr>
      </w:pPr>
      <w:r w:rsidRPr="009A5185">
        <w:rPr>
          <w:rFonts w:cs="Arial"/>
          <w:b/>
        </w:rPr>
        <w:t>Why does the Bar Code Medication Administration system have to be connected to an electronic medication administration record (eMAR)?</w:t>
      </w:r>
    </w:p>
    <w:p w14:paraId="5C57C259" w14:textId="166E634B" w:rsidR="0065334D" w:rsidRDefault="0065334D" w:rsidP="0065334D">
      <w:pPr>
        <w:pStyle w:val="ListParagraph"/>
        <w:rPr>
          <w:rFonts w:cs="Arial"/>
        </w:rPr>
      </w:pPr>
      <w:r w:rsidRPr="009A5185">
        <w:rPr>
          <w:rFonts w:cs="Arial"/>
        </w:rPr>
        <w:t>An eMAR serves as the communication interface that automatically documents the administration of medication into certified Electronic Health Record (EHR) technology. By linking BCMA with the eMAR, information on medication administration is captured in a much timelier manner than a manual documentation process can accomplish.</w:t>
      </w:r>
    </w:p>
    <w:p w14:paraId="2DC7AE4B" w14:textId="77777777" w:rsidR="0065334D" w:rsidRPr="00A1457F" w:rsidRDefault="0065334D" w:rsidP="0065334D">
      <w:pPr>
        <w:pStyle w:val="ListParagraph"/>
        <w:rPr>
          <w:rFonts w:cs="Arial"/>
          <w:sz w:val="16"/>
          <w:szCs w:val="16"/>
        </w:rPr>
      </w:pPr>
    </w:p>
    <w:p w14:paraId="6076448B" w14:textId="77777777" w:rsidR="0065334D" w:rsidRPr="009A5185" w:rsidRDefault="0065334D" w:rsidP="00690C11">
      <w:pPr>
        <w:pStyle w:val="Heading44"/>
      </w:pPr>
      <w:r w:rsidRPr="009A5185">
        <w:t xml:space="preserve">Units </w:t>
      </w:r>
    </w:p>
    <w:p w14:paraId="34306569" w14:textId="77777777" w:rsidR="0065334D" w:rsidRPr="00A1457F" w:rsidRDefault="0065334D" w:rsidP="0065334D">
      <w:pPr>
        <w:pStyle w:val="ListParagraph"/>
        <w:rPr>
          <w:rFonts w:cs="Arial"/>
          <w:b/>
          <w:sz w:val="16"/>
          <w:szCs w:val="16"/>
        </w:rPr>
      </w:pPr>
    </w:p>
    <w:p w14:paraId="3FAF299D" w14:textId="373A8301" w:rsidR="0065334D" w:rsidRPr="009A5185" w:rsidRDefault="0065334D" w:rsidP="00AD309C">
      <w:pPr>
        <w:pStyle w:val="ListParagraph"/>
        <w:numPr>
          <w:ilvl w:val="0"/>
          <w:numId w:val="56"/>
        </w:numPr>
        <w:rPr>
          <w:rFonts w:cs="Arial"/>
          <w:b/>
        </w:rPr>
      </w:pPr>
      <w:r>
        <w:rPr>
          <w:rFonts w:cs="Arial"/>
          <w:b/>
        </w:rPr>
        <w:t>Should a unit that has only been open for part of the 3-month reporting period be included?</w:t>
      </w:r>
    </w:p>
    <w:p w14:paraId="3DDC35EA" w14:textId="7E883843" w:rsidR="0065334D" w:rsidRPr="009A5185" w:rsidRDefault="0065334D" w:rsidP="0065334D">
      <w:pPr>
        <w:pStyle w:val="ListParagraph"/>
        <w:rPr>
          <w:rFonts w:cs="Arial"/>
        </w:rPr>
      </w:pPr>
      <w:r>
        <w:rPr>
          <w:rFonts w:cs="Arial"/>
        </w:rPr>
        <w:t xml:space="preserve">No. </w:t>
      </w:r>
      <w:r w:rsidRPr="009A5185">
        <w:rPr>
          <w:rFonts w:cs="Arial"/>
        </w:rPr>
        <w:t xml:space="preserve">Only include those units that </w:t>
      </w:r>
      <w:r w:rsidR="000A22DC">
        <w:rPr>
          <w:rFonts w:cs="Arial"/>
        </w:rPr>
        <w:t>are currently</w:t>
      </w:r>
      <w:r w:rsidR="00247C6D">
        <w:rPr>
          <w:rFonts w:cs="Arial"/>
        </w:rPr>
        <w:t xml:space="preserve"> </w:t>
      </w:r>
      <w:r w:rsidR="00546AA5">
        <w:rPr>
          <w:rFonts w:cs="Arial"/>
        </w:rPr>
        <w:t xml:space="preserve">open </w:t>
      </w:r>
      <w:r w:rsidR="00247C6D">
        <w:rPr>
          <w:rFonts w:cs="Arial"/>
        </w:rPr>
        <w:t>and</w:t>
      </w:r>
      <w:r w:rsidR="000A22DC">
        <w:rPr>
          <w:rFonts w:cs="Arial"/>
        </w:rPr>
        <w:t xml:space="preserve"> </w:t>
      </w:r>
      <w:r w:rsidRPr="009A5185">
        <w:rPr>
          <w:rFonts w:cs="Arial"/>
        </w:rPr>
        <w:t>have been opened and staffed for the entire 3-month reporting period. For example, if you open a new unit that has only been open and staffed for 1-month out of the 3-month reporting period, you w</w:t>
      </w:r>
      <w:r>
        <w:rPr>
          <w:rFonts w:cs="Arial"/>
        </w:rPr>
        <w:t>ill</w:t>
      </w:r>
      <w:r w:rsidRPr="009A5185">
        <w:rPr>
          <w:rFonts w:cs="Arial"/>
        </w:rPr>
        <w:t xml:space="preserve"> not include that unit when responding to the questions in this section. </w:t>
      </w:r>
    </w:p>
    <w:p w14:paraId="535C739B" w14:textId="77777777" w:rsidR="00463E6E" w:rsidRPr="005B5B75" w:rsidRDefault="00463E6E" w:rsidP="005B5B75">
      <w:pPr>
        <w:rPr>
          <w:rFonts w:cs="Arial"/>
          <w:bCs/>
        </w:rPr>
      </w:pPr>
    </w:p>
    <w:p w14:paraId="62630B37" w14:textId="77777777" w:rsidR="0065334D" w:rsidRPr="009A5185" w:rsidRDefault="0065334D" w:rsidP="00AD309C">
      <w:pPr>
        <w:pStyle w:val="ListParagraph"/>
        <w:numPr>
          <w:ilvl w:val="0"/>
          <w:numId w:val="56"/>
        </w:numPr>
        <w:rPr>
          <w:rFonts w:cs="Arial"/>
          <w:b/>
        </w:rPr>
      </w:pPr>
      <w:r w:rsidRPr="009A5185">
        <w:rPr>
          <w:rFonts w:cs="Arial"/>
          <w:b/>
        </w:rPr>
        <w:t>How should a hospital report if they had BCMA implemented in some units but not all during the reporting period?</w:t>
      </w:r>
    </w:p>
    <w:p w14:paraId="0CB22476" w14:textId="2050ED44" w:rsidR="0065334D" w:rsidRDefault="0065334D" w:rsidP="0065334D">
      <w:pPr>
        <w:pStyle w:val="ListParagraph"/>
        <w:rPr>
          <w:rFonts w:cs="Arial"/>
        </w:rPr>
      </w:pPr>
      <w:r w:rsidRPr="0052278E">
        <w:rPr>
          <w:rFonts w:cs="Arial"/>
        </w:rPr>
        <w:t>To answer “yes” to question #2, your hospital must have a Bar Code Medication Administration (BCMA) system that is linked to the electronic medication administration record (eMAR) when administering medications at the bedside in </w:t>
      </w:r>
      <w:r w:rsidRPr="0052278E">
        <w:rPr>
          <w:rFonts w:cs="Arial"/>
          <w:i/>
          <w:iCs/>
        </w:rPr>
        <w:t>at least one</w:t>
      </w:r>
      <w:r w:rsidR="006C7DF5">
        <w:rPr>
          <w:rFonts w:cs="Arial"/>
        </w:rPr>
        <w:t xml:space="preserve"> of the following </w:t>
      </w:r>
      <w:r w:rsidR="00262D0B">
        <w:rPr>
          <w:rFonts w:cs="Arial"/>
        </w:rPr>
        <w:t xml:space="preserve">adult and/or pediatric </w:t>
      </w:r>
      <w:r w:rsidR="006C7DF5">
        <w:rPr>
          <w:rFonts w:cs="Arial"/>
        </w:rPr>
        <w:t xml:space="preserve">units: </w:t>
      </w:r>
      <w:r w:rsidR="00470E69">
        <w:rPr>
          <w:rFonts w:cs="Arial"/>
        </w:rPr>
        <w:t>general medical</w:t>
      </w:r>
      <w:r w:rsidR="0052491B">
        <w:rPr>
          <w:rFonts w:cs="Arial"/>
        </w:rPr>
        <w:t xml:space="preserve">, surgical, </w:t>
      </w:r>
      <w:r w:rsidR="00EB6967">
        <w:rPr>
          <w:rFonts w:cs="Arial"/>
        </w:rPr>
        <w:t>medical/</w:t>
      </w:r>
      <w:r w:rsidR="00470E69">
        <w:rPr>
          <w:rFonts w:cs="Arial"/>
        </w:rPr>
        <w:t>surgical</w:t>
      </w:r>
      <w:r w:rsidR="003E6215">
        <w:rPr>
          <w:rFonts w:cs="Arial"/>
        </w:rPr>
        <w:t xml:space="preserve">, </w:t>
      </w:r>
      <w:r w:rsidR="00470E69">
        <w:rPr>
          <w:rFonts w:cs="Arial"/>
        </w:rPr>
        <w:t>neuro</w:t>
      </w:r>
      <w:r w:rsidR="000B7550">
        <w:rPr>
          <w:rFonts w:cs="Arial"/>
        </w:rPr>
        <w:t xml:space="preserve">, </w:t>
      </w:r>
      <w:r w:rsidR="00470E69">
        <w:rPr>
          <w:rFonts w:cs="Arial"/>
        </w:rPr>
        <w:t xml:space="preserve">neonatal, </w:t>
      </w:r>
      <w:r w:rsidR="00B6369A">
        <w:rPr>
          <w:rFonts w:cs="Arial"/>
        </w:rPr>
        <w:t xml:space="preserve">or </w:t>
      </w:r>
      <w:r w:rsidR="00470E69">
        <w:rPr>
          <w:rFonts w:cs="Arial"/>
        </w:rPr>
        <w:t>specialty ICU</w:t>
      </w:r>
      <w:r w:rsidR="00AF7834">
        <w:rPr>
          <w:rFonts w:cs="Arial"/>
        </w:rPr>
        <w:t>;</w:t>
      </w:r>
      <w:r w:rsidR="00C2405A">
        <w:rPr>
          <w:rFonts w:cs="Arial"/>
        </w:rPr>
        <w:t xml:space="preserve"> </w:t>
      </w:r>
      <w:r w:rsidR="006C7DF5">
        <w:rPr>
          <w:rFonts w:cs="Arial"/>
        </w:rPr>
        <w:t>medical</w:t>
      </w:r>
      <w:r w:rsidR="00AF7834">
        <w:rPr>
          <w:rFonts w:cs="Arial"/>
        </w:rPr>
        <w:t>,</w:t>
      </w:r>
      <w:r w:rsidR="003A675E">
        <w:rPr>
          <w:rFonts w:cs="Arial"/>
        </w:rPr>
        <w:t xml:space="preserve"> surgical,</w:t>
      </w:r>
      <w:r w:rsidR="006C7DF5">
        <w:rPr>
          <w:rFonts w:cs="Arial"/>
        </w:rPr>
        <w:t xml:space="preserve"> or </w:t>
      </w:r>
      <w:r w:rsidR="003A675E">
        <w:rPr>
          <w:rFonts w:cs="Arial"/>
        </w:rPr>
        <w:t>medical/</w:t>
      </w:r>
      <w:r w:rsidR="006C7DF5">
        <w:rPr>
          <w:rFonts w:cs="Arial"/>
        </w:rPr>
        <w:t>surgical unit (</w:t>
      </w:r>
      <w:r w:rsidR="006C7DF5" w:rsidRPr="00EA7065">
        <w:rPr>
          <w:rFonts w:cs="Arial"/>
        </w:rPr>
        <w:t>including telemetry units)</w:t>
      </w:r>
      <w:r w:rsidR="00947238">
        <w:rPr>
          <w:rFonts w:cs="Arial"/>
        </w:rPr>
        <w:t>;</w:t>
      </w:r>
      <w:r w:rsidR="00E07BED">
        <w:rPr>
          <w:rFonts w:cs="Arial"/>
        </w:rPr>
        <w:t xml:space="preserve"> step-down/progressive unit</w:t>
      </w:r>
      <w:r w:rsidR="00947238">
        <w:rPr>
          <w:rFonts w:cs="Arial"/>
        </w:rPr>
        <w:t>;</w:t>
      </w:r>
      <w:r w:rsidR="00E07BED">
        <w:rPr>
          <w:rFonts w:cs="Arial"/>
        </w:rPr>
        <w:t xml:space="preserve"> </w:t>
      </w:r>
      <w:r w:rsidR="006C7DF5">
        <w:rPr>
          <w:rFonts w:cs="Arial"/>
        </w:rPr>
        <w:t>labor and delivery unit</w:t>
      </w:r>
      <w:r w:rsidR="007642CD">
        <w:rPr>
          <w:rFonts w:cs="Arial"/>
        </w:rPr>
        <w:t>;</w:t>
      </w:r>
      <w:r w:rsidR="006C7DF5">
        <w:rPr>
          <w:rFonts w:cs="Arial"/>
        </w:rPr>
        <w:t xml:space="preserve"> </w:t>
      </w:r>
      <w:r w:rsidR="00DB4EC7">
        <w:rPr>
          <w:rFonts w:cs="Arial"/>
        </w:rPr>
        <w:t xml:space="preserve">or </w:t>
      </w:r>
      <w:r w:rsidR="006C7DF5">
        <w:rPr>
          <w:rFonts w:cs="Arial"/>
        </w:rPr>
        <w:t>pre-operative unit and</w:t>
      </w:r>
      <w:r w:rsidR="00BD4426">
        <w:rPr>
          <w:rFonts w:cs="Arial"/>
        </w:rPr>
        <w:t>/or</w:t>
      </w:r>
      <w:r w:rsidR="006C7DF5">
        <w:rPr>
          <w:rFonts w:cs="Arial"/>
        </w:rPr>
        <w:t xml:space="preserve"> post-anesthesia care unit</w:t>
      </w:r>
      <w:r w:rsidRPr="0052278E">
        <w:rPr>
          <w:rFonts w:cs="Arial"/>
        </w:rPr>
        <w:t>. You should only report on</w:t>
      </w:r>
      <w:r w:rsidR="00157FDB">
        <w:rPr>
          <w:rFonts w:cs="Arial"/>
        </w:rPr>
        <w:t xml:space="preserve"> </w:t>
      </w:r>
      <w:r w:rsidRPr="0052278E">
        <w:rPr>
          <w:rFonts w:cs="Arial"/>
        </w:rPr>
        <w:t>units that</w:t>
      </w:r>
      <w:r w:rsidR="00757BFE">
        <w:rPr>
          <w:rFonts w:cs="Arial"/>
        </w:rPr>
        <w:t xml:space="preserve"> are currently open and</w:t>
      </w:r>
      <w:r w:rsidRPr="0052278E">
        <w:rPr>
          <w:rFonts w:cs="Arial"/>
        </w:rPr>
        <w:t xml:space="preserve"> have been in operation for the entire 3-month reporting period selected in question #1. </w:t>
      </w:r>
      <w:r w:rsidR="00157FDB">
        <w:rPr>
          <w:rFonts w:cs="Arial"/>
        </w:rPr>
        <w:t>For example, i</w:t>
      </w:r>
      <w:r w:rsidRPr="0052278E">
        <w:rPr>
          <w:rFonts w:cs="Arial"/>
        </w:rPr>
        <w:t>f you have 3 surgical units and are only using BCMA in 1 of the 3 units, you will respond 3 in question #7 and 1 in question #8. You should only include medication administrations that were ordered and scannable in the open and staffed units in which a BCMA system was implemented (as indicated in questions #5, #8, #11</w:t>
      </w:r>
      <w:r w:rsidR="008059FF">
        <w:rPr>
          <w:rFonts w:cs="Arial"/>
        </w:rPr>
        <w:t>, and #14</w:t>
      </w:r>
      <w:r w:rsidR="00096542">
        <w:rPr>
          <w:rFonts w:cs="Arial"/>
        </w:rPr>
        <w:t>, and #17</w:t>
      </w:r>
      <w:r w:rsidRPr="0052278E">
        <w:rPr>
          <w:rFonts w:cs="Arial"/>
        </w:rPr>
        <w:t>) when reporting on compliance in questions #</w:t>
      </w:r>
      <w:r w:rsidR="008059FF">
        <w:rPr>
          <w:rFonts w:cs="Arial"/>
        </w:rPr>
        <w:t>1</w:t>
      </w:r>
      <w:r w:rsidR="00096542">
        <w:rPr>
          <w:rFonts w:cs="Arial"/>
        </w:rPr>
        <w:t>8</w:t>
      </w:r>
      <w:r w:rsidR="008059FF">
        <w:rPr>
          <w:rFonts w:cs="Arial"/>
        </w:rPr>
        <w:t>-1</w:t>
      </w:r>
      <w:r w:rsidR="00096542">
        <w:rPr>
          <w:rFonts w:cs="Arial"/>
        </w:rPr>
        <w:t>9</w:t>
      </w:r>
      <w:r w:rsidR="008059FF">
        <w:rPr>
          <w:rFonts w:cs="Arial"/>
        </w:rPr>
        <w:t>.</w:t>
      </w:r>
    </w:p>
    <w:p w14:paraId="7BF2CD78" w14:textId="77777777" w:rsidR="00D20722" w:rsidRDefault="00D20722" w:rsidP="0065334D">
      <w:pPr>
        <w:pStyle w:val="ListParagraph"/>
        <w:rPr>
          <w:rFonts w:cs="Arial"/>
        </w:rPr>
      </w:pPr>
    </w:p>
    <w:p w14:paraId="12D3520E" w14:textId="77777777" w:rsidR="000461DF" w:rsidRDefault="000461DF" w:rsidP="00AD309C">
      <w:pPr>
        <w:pStyle w:val="ListParagraph"/>
        <w:numPr>
          <w:ilvl w:val="0"/>
          <w:numId w:val="56"/>
        </w:numPr>
        <w:rPr>
          <w:rFonts w:cs="Arial"/>
          <w:b/>
        </w:rPr>
      </w:pPr>
      <w:r>
        <w:rPr>
          <w:rFonts w:cs="Arial"/>
          <w:b/>
        </w:rPr>
        <w:t>How should hospitals report if they have a combined pre-operative and post-anesthesia care unit (PACU)?</w:t>
      </w:r>
    </w:p>
    <w:p w14:paraId="4FFFA566" w14:textId="5A4E2649" w:rsidR="000461DF" w:rsidRDefault="000461DF" w:rsidP="000461DF">
      <w:pPr>
        <w:pStyle w:val="ListParagraph"/>
        <w:rPr>
          <w:rFonts w:cs="Arial"/>
          <w:bCs/>
        </w:rPr>
      </w:pPr>
      <w:r>
        <w:rPr>
          <w:rFonts w:cs="Arial"/>
          <w:bCs/>
        </w:rPr>
        <w:t xml:space="preserve">As noted in </w:t>
      </w:r>
      <w:hyperlink w:anchor="pacusendnote" w:history="1">
        <w:r w:rsidRPr="000461DF">
          <w:rPr>
            <w:rStyle w:val="Hyperlink"/>
            <w:rFonts w:cs="Arial"/>
            <w:bCs/>
          </w:rPr>
          <w:t>endnote #2</w:t>
        </w:r>
      </w:hyperlink>
      <w:r w:rsidR="00AE5989">
        <w:rPr>
          <w:rStyle w:val="Hyperlink"/>
          <w:rFonts w:cs="Arial"/>
          <w:bCs/>
        </w:rPr>
        <w:t>2</w:t>
      </w:r>
      <w:r>
        <w:rPr>
          <w:rFonts w:cs="Arial"/>
          <w:bCs/>
        </w:rPr>
        <w:t>, hospitals must include combined pre-operative and post-anesthesia care units when reporting on questions #1</w:t>
      </w:r>
      <w:r w:rsidR="009D5513">
        <w:rPr>
          <w:rFonts w:cs="Arial"/>
          <w:bCs/>
        </w:rPr>
        <w:t>5</w:t>
      </w:r>
      <w:r>
        <w:rPr>
          <w:rFonts w:cs="Arial"/>
          <w:bCs/>
        </w:rPr>
        <w:t>-1</w:t>
      </w:r>
      <w:r w:rsidR="009D5513">
        <w:rPr>
          <w:rFonts w:cs="Arial"/>
          <w:bCs/>
        </w:rPr>
        <w:t>7</w:t>
      </w:r>
      <w:r>
        <w:rPr>
          <w:rFonts w:cs="Arial"/>
          <w:bCs/>
        </w:rPr>
        <w:t>. Th</w:t>
      </w:r>
      <w:r w:rsidR="007E0CC7">
        <w:rPr>
          <w:rFonts w:cs="Arial"/>
          <w:bCs/>
        </w:rPr>
        <w:t>erefore, h</w:t>
      </w:r>
      <w:r>
        <w:rPr>
          <w:rFonts w:cs="Arial"/>
          <w:bCs/>
        </w:rPr>
        <w:t>ospitals should respond “yes” to question #1</w:t>
      </w:r>
      <w:r w:rsidR="009B5A16">
        <w:rPr>
          <w:rFonts w:cs="Arial"/>
          <w:bCs/>
        </w:rPr>
        <w:t>5</w:t>
      </w:r>
      <w:r>
        <w:rPr>
          <w:rFonts w:cs="Arial"/>
          <w:bCs/>
        </w:rPr>
        <w:t xml:space="preserve"> and then report on how many of these units are open and staffed in question #1</w:t>
      </w:r>
      <w:r w:rsidR="009B5A16">
        <w:rPr>
          <w:rFonts w:cs="Arial"/>
          <w:bCs/>
        </w:rPr>
        <w:t>6</w:t>
      </w:r>
      <w:r>
        <w:rPr>
          <w:rFonts w:cs="Arial"/>
          <w:bCs/>
        </w:rPr>
        <w:t xml:space="preserve"> and how many of the units utilize the BCMA/eMAR system in question #1</w:t>
      </w:r>
      <w:r w:rsidR="009B5A16">
        <w:rPr>
          <w:rFonts w:cs="Arial"/>
          <w:bCs/>
        </w:rPr>
        <w:t>7</w:t>
      </w:r>
      <w:r>
        <w:rPr>
          <w:rFonts w:cs="Arial"/>
          <w:bCs/>
        </w:rPr>
        <w:t>. Medication administrations that occurred in these combined pre-operative and post-anesthesia care units must be included when reporting on compliance in question #1</w:t>
      </w:r>
      <w:r w:rsidR="009B5A16">
        <w:rPr>
          <w:rFonts w:cs="Arial"/>
          <w:bCs/>
        </w:rPr>
        <w:t>8</w:t>
      </w:r>
      <w:r>
        <w:rPr>
          <w:rFonts w:cs="Arial"/>
          <w:bCs/>
        </w:rPr>
        <w:t>-1</w:t>
      </w:r>
      <w:r w:rsidR="009B5A16">
        <w:rPr>
          <w:rFonts w:cs="Arial"/>
          <w:bCs/>
        </w:rPr>
        <w:t>9</w:t>
      </w:r>
      <w:r>
        <w:rPr>
          <w:rFonts w:cs="Arial"/>
          <w:bCs/>
        </w:rPr>
        <w:t xml:space="preserve"> provided these units utilize a BCMA system that is linked to the eMAR.</w:t>
      </w:r>
    </w:p>
    <w:p w14:paraId="550CC4EB" w14:textId="77777777" w:rsidR="000461DF" w:rsidRPr="00493567" w:rsidRDefault="000461DF" w:rsidP="000461DF">
      <w:pPr>
        <w:pStyle w:val="ListParagraph"/>
        <w:rPr>
          <w:rFonts w:cs="Arial"/>
          <w:bCs/>
        </w:rPr>
      </w:pPr>
    </w:p>
    <w:p w14:paraId="40E468BB" w14:textId="6F8C22ED" w:rsidR="00157FDB" w:rsidRDefault="00157FDB" w:rsidP="00AD309C">
      <w:pPr>
        <w:pStyle w:val="ListParagraph"/>
        <w:numPr>
          <w:ilvl w:val="0"/>
          <w:numId w:val="56"/>
        </w:numPr>
        <w:rPr>
          <w:rFonts w:cs="Arial"/>
          <w:b/>
        </w:rPr>
      </w:pPr>
      <w:r>
        <w:rPr>
          <w:rFonts w:cs="Arial"/>
          <w:b/>
        </w:rPr>
        <w:t>Should we include pre-operative and post-anesthesia care units that are located in our surgery centers or free-standing hospital outpatient departments that share our hospital’s license or CMS Certification Number (CCN) when reporting on questions #1</w:t>
      </w:r>
      <w:r w:rsidR="009B5A16">
        <w:rPr>
          <w:rFonts w:cs="Arial"/>
          <w:b/>
        </w:rPr>
        <w:t>5</w:t>
      </w:r>
      <w:r>
        <w:rPr>
          <w:rFonts w:cs="Arial"/>
          <w:b/>
        </w:rPr>
        <w:t>-1</w:t>
      </w:r>
      <w:r w:rsidR="009B5A16">
        <w:rPr>
          <w:rFonts w:cs="Arial"/>
          <w:b/>
        </w:rPr>
        <w:t>7</w:t>
      </w:r>
      <w:r>
        <w:rPr>
          <w:rFonts w:cs="Arial"/>
          <w:b/>
        </w:rPr>
        <w:t>?</w:t>
      </w:r>
    </w:p>
    <w:p w14:paraId="04BDF60A" w14:textId="7418D12A" w:rsidR="00157FDB" w:rsidRDefault="00157FDB" w:rsidP="00157FDB">
      <w:pPr>
        <w:pStyle w:val="ListParagraph"/>
        <w:rPr>
          <w:rFonts w:cs="Arial"/>
          <w:bCs/>
        </w:rPr>
      </w:pPr>
      <w:r w:rsidRPr="000B09EA">
        <w:rPr>
          <w:rFonts w:cs="Arial"/>
          <w:bCs/>
        </w:rPr>
        <w:t>No, for the purposes of reporting on Section 2C: BCMA, only include pre-operative and post-anesthesia care units (adult and</w:t>
      </w:r>
      <w:r w:rsidR="006C7DF5">
        <w:rPr>
          <w:rFonts w:cs="Arial"/>
          <w:bCs/>
        </w:rPr>
        <w:t>/</w:t>
      </w:r>
      <w:r w:rsidRPr="000B09EA">
        <w:rPr>
          <w:rFonts w:cs="Arial"/>
          <w:bCs/>
        </w:rPr>
        <w:t xml:space="preserve">or pediatric) that are located in or </w:t>
      </w:r>
      <w:hyperlink w:anchor="colocatedendnote" w:history="1">
        <w:r w:rsidRPr="00157FDB">
          <w:rPr>
            <w:rStyle w:val="Hyperlink"/>
            <w:rFonts w:cs="Arial"/>
            <w:bCs/>
          </w:rPr>
          <w:t>co-located</w:t>
        </w:r>
      </w:hyperlink>
      <w:r w:rsidR="00426581" w:rsidRPr="00426581">
        <w:rPr>
          <w:rFonts w:cs="Arial"/>
          <w:bCs/>
          <w:vertAlign w:val="superscript"/>
        </w:rPr>
        <w:t>31</w:t>
      </w:r>
      <w:r w:rsidRPr="000B09EA">
        <w:rPr>
          <w:rFonts w:cs="Arial"/>
          <w:bCs/>
        </w:rPr>
        <w:t xml:space="preserve"> with your hospital.</w:t>
      </w:r>
    </w:p>
    <w:p w14:paraId="1A7D129B" w14:textId="77777777" w:rsidR="00504834" w:rsidRDefault="00504834" w:rsidP="00157FDB">
      <w:pPr>
        <w:pStyle w:val="ListParagraph"/>
        <w:rPr>
          <w:rFonts w:cs="Arial"/>
          <w:bCs/>
        </w:rPr>
      </w:pPr>
    </w:p>
    <w:p w14:paraId="45A998F1" w14:textId="77777777" w:rsidR="00504834" w:rsidRPr="00504834" w:rsidRDefault="00504834" w:rsidP="00AD309C">
      <w:pPr>
        <w:pStyle w:val="ListParagraph"/>
        <w:numPr>
          <w:ilvl w:val="0"/>
          <w:numId w:val="56"/>
        </w:numPr>
        <w:rPr>
          <w:rFonts w:cs="Arial"/>
          <w:b/>
          <w:bCs/>
        </w:rPr>
      </w:pPr>
      <w:r w:rsidRPr="00504834">
        <w:rPr>
          <w:rFonts w:cs="Arial"/>
          <w:b/>
          <w:bCs/>
        </w:rPr>
        <w:t xml:space="preserve">Certain procedural units in our hospital (e.g., endoscopy, interventional radiology, cath lab, etc.) encompass the pre-op area, procedural area, and post-anesthesia care area – meaning the same area is used for all three aspects of care. As such, our data includes medications administered pre-operatively, post-operatively, and administered during the procedures. Should we include or exclude these procedural units? </w:t>
      </w:r>
    </w:p>
    <w:p w14:paraId="5C64B161" w14:textId="66B083AD" w:rsidR="00504834" w:rsidRPr="009A5185" w:rsidRDefault="00504834" w:rsidP="00504834">
      <w:pPr>
        <w:pStyle w:val="ListParagraph"/>
        <w:rPr>
          <w:rFonts w:cs="Arial"/>
        </w:rPr>
      </w:pPr>
      <w:r w:rsidRPr="00504834">
        <w:rPr>
          <w:rFonts w:cs="Arial"/>
        </w:rPr>
        <w:t>Please include these units when responding to questions #1</w:t>
      </w:r>
      <w:r w:rsidR="00311FC8">
        <w:rPr>
          <w:rFonts w:cs="Arial"/>
        </w:rPr>
        <w:t>5</w:t>
      </w:r>
      <w:r w:rsidRPr="00504834">
        <w:rPr>
          <w:rFonts w:cs="Arial"/>
        </w:rPr>
        <w:t>-1</w:t>
      </w:r>
      <w:r w:rsidR="00311FC8">
        <w:rPr>
          <w:rFonts w:cs="Arial"/>
        </w:rPr>
        <w:t>7</w:t>
      </w:r>
      <w:r w:rsidRPr="00504834">
        <w:rPr>
          <w:rFonts w:cs="Arial"/>
        </w:rPr>
        <w:t xml:space="preserve"> regarding pre-op/PACUs. </w:t>
      </w:r>
      <w:r w:rsidR="001910EF" w:rsidRPr="00F30DDB">
        <w:rPr>
          <w:rFonts w:cs="Arial"/>
        </w:rPr>
        <w:t xml:space="preserve">If you can separate out the medications that are being administered pre- and post- from those that are </w:t>
      </w:r>
      <w:r w:rsidR="001910EF" w:rsidRPr="00F30DDB">
        <w:rPr>
          <w:rFonts w:cs="Arial"/>
        </w:rPr>
        <w:lastRenderedPageBreak/>
        <w:t xml:space="preserve">administered during </w:t>
      </w:r>
      <w:r w:rsidR="001910EF">
        <w:rPr>
          <w:rFonts w:cs="Arial"/>
        </w:rPr>
        <w:t>a</w:t>
      </w:r>
      <w:r w:rsidR="001910EF" w:rsidRPr="00F30DDB">
        <w:rPr>
          <w:rFonts w:cs="Arial"/>
        </w:rPr>
        <w:t xml:space="preserve"> procedure, exclude medications administered during a procedure when reporting on compliance in questions #18-19.</w:t>
      </w:r>
      <w:r w:rsidR="001910EF">
        <w:rPr>
          <w:rFonts w:cs="Arial"/>
        </w:rPr>
        <w:t xml:space="preserve"> Otherwise, </w:t>
      </w:r>
      <w:r w:rsidRPr="00504834">
        <w:rPr>
          <w:rFonts w:cs="Arial"/>
        </w:rPr>
        <w:t>you can count these medication administrations when responding to questions #1</w:t>
      </w:r>
      <w:r w:rsidR="00162780">
        <w:rPr>
          <w:rFonts w:cs="Arial"/>
        </w:rPr>
        <w:t>8-19</w:t>
      </w:r>
      <w:r w:rsidRPr="00504834">
        <w:rPr>
          <w:rFonts w:cs="Arial"/>
        </w:rPr>
        <w:t>.</w:t>
      </w:r>
    </w:p>
    <w:p w14:paraId="292D706D" w14:textId="77777777" w:rsidR="0065334D" w:rsidRPr="009A5185" w:rsidRDefault="0065334D" w:rsidP="0065334D">
      <w:pPr>
        <w:pStyle w:val="ListParagraph"/>
        <w:rPr>
          <w:rFonts w:cs="Arial"/>
        </w:rPr>
      </w:pPr>
    </w:p>
    <w:p w14:paraId="4F3EC9DB" w14:textId="77777777" w:rsidR="0065334D" w:rsidRPr="009A5185" w:rsidRDefault="0065334D" w:rsidP="00690C11">
      <w:pPr>
        <w:pStyle w:val="Heading44"/>
      </w:pPr>
      <w:r w:rsidRPr="0052278E">
        <w:t>Compliance</w:t>
      </w:r>
    </w:p>
    <w:p w14:paraId="36D2C29B" w14:textId="77777777" w:rsidR="0065334D" w:rsidRDefault="0065334D" w:rsidP="0065334D">
      <w:pPr>
        <w:pStyle w:val="ListParagraph"/>
        <w:rPr>
          <w:rFonts w:cs="Arial"/>
          <w:b/>
        </w:rPr>
      </w:pPr>
    </w:p>
    <w:p w14:paraId="4E808B4D" w14:textId="77777777" w:rsidR="0065334D" w:rsidRPr="009A5185" w:rsidRDefault="0065334D" w:rsidP="00AD309C">
      <w:pPr>
        <w:pStyle w:val="ListParagraph"/>
        <w:numPr>
          <w:ilvl w:val="0"/>
          <w:numId w:val="56"/>
        </w:numPr>
        <w:rPr>
          <w:rFonts w:cs="Arial"/>
          <w:b/>
        </w:rPr>
      </w:pPr>
      <w:r w:rsidRPr="009A5185">
        <w:rPr>
          <w:rFonts w:cs="Arial"/>
          <w:b/>
        </w:rPr>
        <w:t>What is considered a “scannable” medication?</w:t>
      </w:r>
    </w:p>
    <w:p w14:paraId="346CDE64" w14:textId="1CB864E2" w:rsidR="0065334D" w:rsidRPr="001171F0" w:rsidRDefault="0065334D" w:rsidP="0065334D">
      <w:pPr>
        <w:pStyle w:val="ListParagraph"/>
        <w:rPr>
          <w:rFonts w:cs="Arial"/>
        </w:rPr>
      </w:pPr>
      <w:r w:rsidRPr="009925EE">
        <w:rPr>
          <w:rFonts w:cs="Arial"/>
        </w:rPr>
        <w:t>Any medication</w:t>
      </w:r>
      <w:r>
        <w:rPr>
          <w:rFonts w:cs="Arial"/>
        </w:rPr>
        <w:t xml:space="preserve"> (</w:t>
      </w:r>
      <w:hyperlink w:anchor="_Bar_Code_Medication_1" w:history="1">
        <w:r w:rsidRPr="007B5351">
          <w:rPr>
            <w:rStyle w:val="Hyperlink"/>
            <w:rFonts w:cs="Arial"/>
          </w:rPr>
          <w:t>se</w:t>
        </w:r>
        <w:r w:rsidR="007B5351" w:rsidRPr="007B5351">
          <w:rPr>
            <w:rStyle w:val="Hyperlink"/>
            <w:rFonts w:cs="Arial"/>
          </w:rPr>
          <w:t>e measure specifications</w:t>
        </w:r>
      </w:hyperlink>
      <w:r>
        <w:rPr>
          <w:rFonts w:cs="Arial"/>
        </w:rPr>
        <w:t>)</w:t>
      </w:r>
      <w:r w:rsidRPr="009925EE">
        <w:rPr>
          <w:rFonts w:cs="Arial"/>
        </w:rPr>
        <w:t xml:space="preserve"> that has a bar code and could be scanned if BCMA were in use would be considered “scannable.” In question #</w:t>
      </w:r>
      <w:r w:rsidR="008059FF">
        <w:rPr>
          <w:rFonts w:cs="Arial"/>
        </w:rPr>
        <w:t>1</w:t>
      </w:r>
      <w:r w:rsidR="006F084B">
        <w:rPr>
          <w:rFonts w:cs="Arial"/>
        </w:rPr>
        <w:t>8</w:t>
      </w:r>
      <w:r w:rsidR="00881AAA" w:rsidRPr="009925EE">
        <w:rPr>
          <w:rFonts w:cs="Arial"/>
        </w:rPr>
        <w:t xml:space="preserve">, </w:t>
      </w:r>
      <w:r w:rsidRPr="009925EE">
        <w:rPr>
          <w:rFonts w:cs="Arial"/>
        </w:rPr>
        <w:t xml:space="preserve">hospitals should only include ordered and “scannable” medications from the units </w:t>
      </w:r>
      <w:r w:rsidR="00881AAA">
        <w:rPr>
          <w:rFonts w:cs="Arial"/>
        </w:rPr>
        <w:t xml:space="preserve">where </w:t>
      </w:r>
      <w:r w:rsidRPr="009925EE">
        <w:rPr>
          <w:rFonts w:cs="Arial"/>
        </w:rPr>
        <w:t xml:space="preserve">they indicated </w:t>
      </w:r>
      <w:r w:rsidR="00881AAA">
        <w:rPr>
          <w:rFonts w:cs="Arial"/>
        </w:rPr>
        <w:t xml:space="preserve">a </w:t>
      </w:r>
      <w:r w:rsidRPr="009925EE">
        <w:rPr>
          <w:rFonts w:cs="Arial"/>
        </w:rPr>
        <w:t>BCMA system was implemented.</w:t>
      </w:r>
      <w:r w:rsidRPr="009A5185">
        <w:rPr>
          <w:rFonts w:cs="Arial"/>
        </w:rPr>
        <w:t xml:space="preserve"> </w:t>
      </w:r>
    </w:p>
    <w:p w14:paraId="48A608E9" w14:textId="77777777" w:rsidR="00BD2B67" w:rsidRDefault="00BD2B67" w:rsidP="0065334D">
      <w:pPr>
        <w:pStyle w:val="ListParagraph"/>
        <w:rPr>
          <w:rFonts w:cs="Arial"/>
          <w:b/>
        </w:rPr>
      </w:pPr>
    </w:p>
    <w:p w14:paraId="70AEE031" w14:textId="3078C191" w:rsidR="004247FA" w:rsidRPr="00CE4043" w:rsidRDefault="004247FA" w:rsidP="00AD309C">
      <w:pPr>
        <w:pStyle w:val="ListParagraph"/>
        <w:numPr>
          <w:ilvl w:val="0"/>
          <w:numId w:val="56"/>
        </w:numPr>
        <w:rPr>
          <w:rFonts w:ascii="Aptos" w:hAnsi="Aptos"/>
          <w:b/>
          <w:bCs/>
        </w:rPr>
      </w:pPr>
      <w:r w:rsidRPr="00CE4043">
        <w:rPr>
          <w:b/>
          <w:bCs/>
        </w:rPr>
        <w:t>Should we only include inpatient medication administrations when reporting on compliance in questions #1</w:t>
      </w:r>
      <w:r w:rsidR="006F084B">
        <w:rPr>
          <w:b/>
          <w:bCs/>
        </w:rPr>
        <w:t>8</w:t>
      </w:r>
      <w:r w:rsidRPr="00CE4043">
        <w:rPr>
          <w:b/>
          <w:bCs/>
        </w:rPr>
        <w:t>-1</w:t>
      </w:r>
      <w:r w:rsidR="006F084B">
        <w:rPr>
          <w:b/>
          <w:bCs/>
        </w:rPr>
        <w:t>9</w:t>
      </w:r>
      <w:r w:rsidRPr="00CE4043">
        <w:rPr>
          <w:b/>
          <w:bCs/>
        </w:rPr>
        <w:t>?</w:t>
      </w:r>
    </w:p>
    <w:p w14:paraId="7FDBAC63" w14:textId="23A6A381" w:rsidR="004247FA" w:rsidRDefault="004247FA" w:rsidP="004247FA">
      <w:pPr>
        <w:pStyle w:val="ListParagraph"/>
        <w:rPr>
          <w:rFonts w:cs="Arial"/>
          <w:bCs/>
        </w:rPr>
      </w:pPr>
      <w:r w:rsidRPr="00493567">
        <w:rPr>
          <w:rFonts w:cs="Arial"/>
          <w:bCs/>
        </w:rPr>
        <w:t>No, hospitals must include all scannable medication administrations (regardless of the patient’s admission status) from the units in questions #5, #8, #11,</w:t>
      </w:r>
      <w:r w:rsidR="002C1645">
        <w:rPr>
          <w:rFonts w:cs="Arial"/>
          <w:bCs/>
        </w:rPr>
        <w:t xml:space="preserve"> #14</w:t>
      </w:r>
      <w:r w:rsidRPr="00493567">
        <w:rPr>
          <w:rFonts w:cs="Arial"/>
          <w:bCs/>
        </w:rPr>
        <w:t xml:space="preserve"> and #1</w:t>
      </w:r>
      <w:r w:rsidR="002C1645">
        <w:rPr>
          <w:rFonts w:cs="Arial"/>
          <w:bCs/>
        </w:rPr>
        <w:t>7</w:t>
      </w:r>
      <w:r w:rsidRPr="00493567">
        <w:rPr>
          <w:rFonts w:cs="Arial"/>
          <w:bCs/>
        </w:rPr>
        <w:t xml:space="preserve"> that were utilizing a BCMA system linked to the eMAR during the reporting period. This would include scannable medications administered to inpatients, outpatients, observation status patients, etc.</w:t>
      </w:r>
    </w:p>
    <w:p w14:paraId="6FF93F25" w14:textId="77777777" w:rsidR="004247FA" w:rsidRPr="00493567" w:rsidRDefault="004247FA" w:rsidP="004247FA">
      <w:pPr>
        <w:pStyle w:val="ListParagraph"/>
        <w:rPr>
          <w:rFonts w:cs="Arial"/>
          <w:bCs/>
        </w:rPr>
      </w:pPr>
    </w:p>
    <w:p w14:paraId="41BBCAA3" w14:textId="77777777" w:rsidR="0065334D" w:rsidRPr="00270FFD" w:rsidRDefault="0065334D" w:rsidP="00AD309C">
      <w:pPr>
        <w:pStyle w:val="ListParagraph"/>
        <w:numPr>
          <w:ilvl w:val="0"/>
          <w:numId w:val="56"/>
        </w:numPr>
        <w:rPr>
          <w:rFonts w:cs="Arial"/>
          <w:b/>
        </w:rPr>
      </w:pPr>
      <w:r w:rsidRPr="00270FFD">
        <w:rPr>
          <w:rFonts w:cs="Arial"/>
          <w:b/>
        </w:rPr>
        <w:t>Should we exclude medications that were administered in units that are not currently implementing BCMA?</w:t>
      </w:r>
    </w:p>
    <w:p w14:paraId="440C3DD7" w14:textId="47DA0576" w:rsidR="00CF7D7C" w:rsidRPr="00270FFD" w:rsidRDefault="00CF7D7C" w:rsidP="00CF7D7C">
      <w:pPr>
        <w:pStyle w:val="ListParagraph"/>
        <w:rPr>
          <w:rFonts w:cs="Arial"/>
        </w:rPr>
      </w:pPr>
      <w:r w:rsidRPr="009925EE">
        <w:rPr>
          <w:rFonts w:cs="Arial"/>
        </w:rPr>
        <w:t>Yes. Question #</w:t>
      </w:r>
      <w:r w:rsidR="008059FF">
        <w:rPr>
          <w:rFonts w:cs="Arial"/>
        </w:rPr>
        <w:t>1</w:t>
      </w:r>
      <w:r w:rsidR="00A42BA2">
        <w:rPr>
          <w:rFonts w:cs="Arial"/>
        </w:rPr>
        <w:t>8</w:t>
      </w:r>
      <w:r w:rsidRPr="009925EE">
        <w:rPr>
          <w:rFonts w:cs="Arial"/>
        </w:rPr>
        <w:t xml:space="preserve"> </w:t>
      </w:r>
      <w:r w:rsidR="008059FF">
        <w:rPr>
          <w:rFonts w:cs="Arial"/>
        </w:rPr>
        <w:t>is</w:t>
      </w:r>
      <w:r>
        <w:rPr>
          <w:rFonts w:cs="Arial"/>
        </w:rPr>
        <w:t xml:space="preserve"> </w:t>
      </w:r>
      <w:r w:rsidRPr="009925EE">
        <w:rPr>
          <w:rFonts w:cs="Arial"/>
        </w:rPr>
        <w:t xml:space="preserve">asking about medication administrations ordered and scannable in those units that are open and staffed and that have implemented a BCMA system. You should include all scannable medications ordered and administered to patients in the open and staffed units (from questions </w:t>
      </w:r>
      <w:r w:rsidR="008059FF" w:rsidRPr="009925EE">
        <w:rPr>
          <w:rFonts w:cs="Arial"/>
        </w:rPr>
        <w:t>#5, #8, #11</w:t>
      </w:r>
      <w:r w:rsidR="008059FF">
        <w:rPr>
          <w:rFonts w:cs="Arial"/>
        </w:rPr>
        <w:t>, #14</w:t>
      </w:r>
      <w:r w:rsidR="00A42BA2">
        <w:rPr>
          <w:rFonts w:cs="Arial"/>
        </w:rPr>
        <w:t xml:space="preserve"> and #17</w:t>
      </w:r>
      <w:r w:rsidRPr="009925EE">
        <w:rPr>
          <w:rFonts w:cs="Arial"/>
        </w:rPr>
        <w:t>) in which a BCMA system was implemented. Question #</w:t>
      </w:r>
      <w:r w:rsidR="008059FF">
        <w:rPr>
          <w:rFonts w:cs="Arial"/>
        </w:rPr>
        <w:t>1</w:t>
      </w:r>
      <w:r w:rsidR="00330484">
        <w:rPr>
          <w:rFonts w:cs="Arial"/>
        </w:rPr>
        <w:t>8</w:t>
      </w:r>
      <w:r w:rsidR="008059FF">
        <w:rPr>
          <w:rFonts w:cs="Arial"/>
        </w:rPr>
        <w:t xml:space="preserve"> is</w:t>
      </w:r>
      <w:r w:rsidRPr="009925EE">
        <w:rPr>
          <w:rFonts w:cs="Arial"/>
        </w:rPr>
        <w:t xml:space="preserve"> used as the denominator to calculate the rate of compliance and should include administrations whether the medication and/or patient was scanned during the administration. Question #</w:t>
      </w:r>
      <w:r w:rsidR="008059FF">
        <w:rPr>
          <w:rFonts w:cs="Arial"/>
        </w:rPr>
        <w:t>1</w:t>
      </w:r>
      <w:r w:rsidR="00330484">
        <w:rPr>
          <w:rFonts w:cs="Arial"/>
        </w:rPr>
        <w:t>9</w:t>
      </w:r>
      <w:r w:rsidR="008059FF">
        <w:rPr>
          <w:rFonts w:cs="Arial"/>
        </w:rPr>
        <w:t xml:space="preserve"> is</w:t>
      </w:r>
      <w:r w:rsidRPr="009925EE">
        <w:rPr>
          <w:rFonts w:cs="Arial"/>
        </w:rPr>
        <w:t xml:space="preserve"> used as the numerator and</w:t>
      </w:r>
      <w:r>
        <w:rPr>
          <w:rFonts w:cs="Arial"/>
        </w:rPr>
        <w:t xml:space="preserve"> </w:t>
      </w:r>
      <w:r w:rsidR="00D20722">
        <w:rPr>
          <w:rFonts w:cs="Arial"/>
        </w:rPr>
        <w:t>is</w:t>
      </w:r>
      <w:r w:rsidRPr="009925EE">
        <w:rPr>
          <w:rFonts w:cs="Arial"/>
        </w:rPr>
        <w:t xml:space="preserve"> where you would report the number of medication administrations from these units where the patient and medication were scanned during the administration. We would not expect these two responses to be the same</w:t>
      </w:r>
      <w:r>
        <w:rPr>
          <w:rFonts w:cs="Arial"/>
        </w:rPr>
        <w:t>.</w:t>
      </w:r>
    </w:p>
    <w:p w14:paraId="2FD746F2" w14:textId="77777777" w:rsidR="007B5351" w:rsidRPr="004E300A" w:rsidRDefault="007B5351" w:rsidP="0065334D">
      <w:pPr>
        <w:rPr>
          <w:rFonts w:cs="Arial"/>
        </w:rPr>
      </w:pPr>
    </w:p>
    <w:p w14:paraId="2C111051" w14:textId="18C14141" w:rsidR="00946785" w:rsidRDefault="00946785" w:rsidP="00AD309C">
      <w:pPr>
        <w:pStyle w:val="ListParagraph"/>
        <w:numPr>
          <w:ilvl w:val="0"/>
          <w:numId w:val="56"/>
        </w:numPr>
        <w:rPr>
          <w:rFonts w:cs="Arial"/>
          <w:b/>
        </w:rPr>
      </w:pPr>
      <w:r>
        <w:rPr>
          <w:rFonts w:cs="Arial"/>
          <w:b/>
        </w:rPr>
        <w:t xml:space="preserve">Should we </w:t>
      </w:r>
      <w:r w:rsidR="006C7B6A">
        <w:rPr>
          <w:rFonts w:cs="Arial"/>
          <w:b/>
        </w:rPr>
        <w:t>exclude</w:t>
      </w:r>
      <w:r>
        <w:rPr>
          <w:rFonts w:cs="Arial"/>
          <w:b/>
        </w:rPr>
        <w:t xml:space="preserve"> medications that are given during emergencies when responding to questions #</w:t>
      </w:r>
      <w:r w:rsidR="008059FF">
        <w:rPr>
          <w:rFonts w:cs="Arial"/>
          <w:b/>
        </w:rPr>
        <w:t>1</w:t>
      </w:r>
      <w:r w:rsidR="00AB2EBA">
        <w:rPr>
          <w:rFonts w:cs="Arial"/>
          <w:b/>
        </w:rPr>
        <w:t>8</w:t>
      </w:r>
      <w:r w:rsidR="008059FF">
        <w:rPr>
          <w:rFonts w:cs="Arial"/>
          <w:b/>
        </w:rPr>
        <w:t>-1</w:t>
      </w:r>
      <w:r w:rsidR="00AB2EBA">
        <w:rPr>
          <w:rFonts w:cs="Arial"/>
          <w:b/>
        </w:rPr>
        <w:t>9</w:t>
      </w:r>
      <w:r>
        <w:rPr>
          <w:rFonts w:cs="Arial"/>
          <w:b/>
        </w:rPr>
        <w:t>?</w:t>
      </w:r>
    </w:p>
    <w:p w14:paraId="0387D669" w14:textId="66AFEC3E" w:rsidR="00946785" w:rsidRPr="000A6A29" w:rsidRDefault="00946785" w:rsidP="000A6A29">
      <w:pPr>
        <w:pStyle w:val="ListParagraph"/>
      </w:pPr>
      <w:r>
        <w:rPr>
          <w:rFonts w:cs="Arial"/>
        </w:rPr>
        <w:t xml:space="preserve">No. </w:t>
      </w:r>
      <w:r w:rsidRPr="007C221A">
        <w:rPr>
          <w:rFonts w:cs="Arial"/>
        </w:rPr>
        <w:t xml:space="preserve">If the medications are considered "scannable" e.g., any medication that has a bar code and could be scanned if BCMA were in use, they should be included in </w:t>
      </w:r>
      <w:r>
        <w:rPr>
          <w:rFonts w:cs="Arial"/>
        </w:rPr>
        <w:t>q</w:t>
      </w:r>
      <w:r w:rsidRPr="007C221A">
        <w:rPr>
          <w:rFonts w:cs="Arial"/>
        </w:rPr>
        <w:t>uestion #</w:t>
      </w:r>
      <w:r w:rsidR="000A6A29">
        <w:rPr>
          <w:rFonts w:cs="Arial"/>
        </w:rPr>
        <w:t>1</w:t>
      </w:r>
      <w:r w:rsidR="009B72B9">
        <w:rPr>
          <w:rFonts w:cs="Arial"/>
        </w:rPr>
        <w:t>8</w:t>
      </w:r>
      <w:r w:rsidRPr="009925EE">
        <w:rPr>
          <w:rFonts w:cs="Arial"/>
        </w:rPr>
        <w:t xml:space="preserve"> </w:t>
      </w:r>
      <w:r w:rsidRPr="007C221A">
        <w:rPr>
          <w:rFonts w:cs="Arial"/>
        </w:rPr>
        <w:t xml:space="preserve">(the denominator) but would not be counted in </w:t>
      </w:r>
      <w:r>
        <w:rPr>
          <w:rFonts w:cs="Arial"/>
        </w:rPr>
        <w:t>q</w:t>
      </w:r>
      <w:r w:rsidRPr="007C221A">
        <w:rPr>
          <w:rFonts w:cs="Arial"/>
        </w:rPr>
        <w:t>uestion #</w:t>
      </w:r>
      <w:r w:rsidR="000A6A29">
        <w:rPr>
          <w:rFonts w:cs="Arial"/>
        </w:rPr>
        <w:t>1</w:t>
      </w:r>
      <w:r w:rsidR="009B72B9">
        <w:rPr>
          <w:rFonts w:cs="Arial"/>
        </w:rPr>
        <w:t>9</w:t>
      </w:r>
      <w:r w:rsidRPr="007C221A">
        <w:rPr>
          <w:rFonts w:cs="Arial"/>
        </w:rPr>
        <w:t xml:space="preserve"> (the numerator) if </w:t>
      </w:r>
      <w:r>
        <w:rPr>
          <w:rFonts w:cs="Arial"/>
        </w:rPr>
        <w:t xml:space="preserve">the </w:t>
      </w:r>
      <w:r w:rsidRPr="007C221A">
        <w:rPr>
          <w:rFonts w:cs="Arial"/>
        </w:rPr>
        <w:t>patient and medication were not scanned during administ</w:t>
      </w:r>
      <w:r>
        <w:rPr>
          <w:rFonts w:cs="Arial"/>
        </w:rPr>
        <w:t>r</w:t>
      </w:r>
      <w:r w:rsidRPr="007C221A">
        <w:rPr>
          <w:rFonts w:cs="Arial"/>
        </w:rPr>
        <w:t xml:space="preserve">ation, even if due to an emergency. </w:t>
      </w:r>
      <w:r w:rsidRPr="000A6A29">
        <w:t xml:space="preserve">Leapfrog's target rate for compliance is 95% to allow for emergency cases such as these. </w:t>
      </w:r>
    </w:p>
    <w:p w14:paraId="0D393557" w14:textId="77777777" w:rsidR="00946785" w:rsidRPr="00270FFD" w:rsidRDefault="00946785" w:rsidP="00946785">
      <w:pPr>
        <w:pStyle w:val="ListParagraph"/>
        <w:rPr>
          <w:rFonts w:cs="Arial"/>
        </w:rPr>
      </w:pPr>
    </w:p>
    <w:p w14:paraId="66C0111C" w14:textId="566061D4" w:rsidR="00946785" w:rsidRPr="004732CA" w:rsidRDefault="00946785" w:rsidP="00AD309C">
      <w:pPr>
        <w:pStyle w:val="ListParagraph"/>
        <w:numPr>
          <w:ilvl w:val="0"/>
          <w:numId w:val="56"/>
        </w:numPr>
        <w:rPr>
          <w:rFonts w:cs="Arial"/>
          <w:b/>
        </w:rPr>
      </w:pPr>
      <w:r w:rsidRPr="004732CA">
        <w:rPr>
          <w:rFonts w:cs="Arial"/>
          <w:b/>
        </w:rPr>
        <w:t>Should we exclude medications that are given during a system downtime when responding to questions #</w:t>
      </w:r>
      <w:r w:rsidR="008059FF">
        <w:rPr>
          <w:rFonts w:cs="Arial"/>
          <w:b/>
        </w:rPr>
        <w:t>1</w:t>
      </w:r>
      <w:r w:rsidR="009B72B9">
        <w:rPr>
          <w:rFonts w:cs="Arial"/>
          <w:b/>
        </w:rPr>
        <w:t>8</w:t>
      </w:r>
      <w:r w:rsidR="008059FF">
        <w:rPr>
          <w:rFonts w:cs="Arial"/>
          <w:b/>
        </w:rPr>
        <w:t>-1</w:t>
      </w:r>
      <w:r w:rsidR="009B72B9">
        <w:rPr>
          <w:rFonts w:cs="Arial"/>
          <w:b/>
        </w:rPr>
        <w:t>9</w:t>
      </w:r>
      <w:r w:rsidRPr="004732CA">
        <w:rPr>
          <w:rFonts w:cs="Arial"/>
          <w:b/>
        </w:rPr>
        <w:t>?</w:t>
      </w:r>
      <w:r w:rsidR="00D20722">
        <w:rPr>
          <w:rFonts w:cs="Arial"/>
          <w:b/>
        </w:rPr>
        <w:t xml:space="preserve"> </w:t>
      </w:r>
    </w:p>
    <w:p w14:paraId="715D5C73" w14:textId="72E9692D" w:rsidR="00946785" w:rsidRPr="004732CA" w:rsidRDefault="00946785" w:rsidP="00946785">
      <w:pPr>
        <w:pStyle w:val="ListParagraph"/>
        <w:rPr>
          <w:rFonts w:cs="Arial"/>
          <w:bCs/>
        </w:rPr>
      </w:pPr>
      <w:r w:rsidRPr="004732CA">
        <w:rPr>
          <w:rFonts w:cs="Arial"/>
          <w:bCs/>
        </w:rPr>
        <w:t xml:space="preserve">No. Medications administered during a system downtime should be included in </w:t>
      </w:r>
      <w:r>
        <w:rPr>
          <w:rFonts w:cs="Arial"/>
        </w:rPr>
        <w:t>q</w:t>
      </w:r>
      <w:r w:rsidRPr="007C221A">
        <w:rPr>
          <w:rFonts w:cs="Arial"/>
        </w:rPr>
        <w:t>uestion #</w:t>
      </w:r>
      <w:r w:rsidR="008059FF">
        <w:rPr>
          <w:rFonts w:cs="Arial"/>
        </w:rPr>
        <w:t>1</w:t>
      </w:r>
      <w:r w:rsidR="00684135">
        <w:rPr>
          <w:rFonts w:cs="Arial"/>
        </w:rPr>
        <w:t>8</w:t>
      </w:r>
      <w:r w:rsidR="00D20722">
        <w:rPr>
          <w:rFonts w:cs="Arial"/>
        </w:rPr>
        <w:t xml:space="preserve"> </w:t>
      </w:r>
      <w:r w:rsidRPr="007C221A">
        <w:rPr>
          <w:rFonts w:cs="Arial"/>
        </w:rPr>
        <w:t xml:space="preserve">(the denominator) but would not be counted in </w:t>
      </w:r>
      <w:r>
        <w:rPr>
          <w:rFonts w:cs="Arial"/>
        </w:rPr>
        <w:t>q</w:t>
      </w:r>
      <w:r w:rsidRPr="007C221A">
        <w:rPr>
          <w:rFonts w:cs="Arial"/>
        </w:rPr>
        <w:t>uestion</w:t>
      </w:r>
      <w:r>
        <w:rPr>
          <w:rFonts w:cs="Arial"/>
        </w:rPr>
        <w:t>s</w:t>
      </w:r>
      <w:r w:rsidRPr="007C221A">
        <w:rPr>
          <w:rFonts w:cs="Arial"/>
        </w:rPr>
        <w:t xml:space="preserve"> #</w:t>
      </w:r>
      <w:r w:rsidR="008059FF">
        <w:rPr>
          <w:rFonts w:cs="Arial"/>
        </w:rPr>
        <w:t>1</w:t>
      </w:r>
      <w:r w:rsidR="00684135">
        <w:rPr>
          <w:rFonts w:cs="Arial"/>
        </w:rPr>
        <w:t>9</w:t>
      </w:r>
      <w:r w:rsidRPr="007C221A">
        <w:rPr>
          <w:rFonts w:cs="Arial"/>
        </w:rPr>
        <w:t xml:space="preserve"> </w:t>
      </w:r>
      <w:r w:rsidRPr="004732CA">
        <w:rPr>
          <w:rFonts w:cs="Arial"/>
          <w:bCs/>
        </w:rPr>
        <w:t xml:space="preserve">(the numerator) if the patient and medication were not scanned during administration because </w:t>
      </w:r>
      <w:r w:rsidR="00157FDB">
        <w:rPr>
          <w:rFonts w:cs="Arial"/>
          <w:bCs/>
        </w:rPr>
        <w:t>the hospital’s</w:t>
      </w:r>
      <w:r w:rsidRPr="004732CA">
        <w:rPr>
          <w:rFonts w:cs="Arial"/>
          <w:bCs/>
        </w:rPr>
        <w:t xml:space="preserve"> BCMA system was down. </w:t>
      </w:r>
    </w:p>
    <w:p w14:paraId="25B09C98" w14:textId="77777777" w:rsidR="00946785" w:rsidRDefault="00946785" w:rsidP="00946785">
      <w:pPr>
        <w:pStyle w:val="ListParagraph"/>
        <w:rPr>
          <w:rFonts w:cs="Arial"/>
          <w:b/>
        </w:rPr>
      </w:pPr>
    </w:p>
    <w:p w14:paraId="03742D98" w14:textId="77777777" w:rsidR="00946785" w:rsidRPr="00270FFD" w:rsidRDefault="00946785" w:rsidP="00AD309C">
      <w:pPr>
        <w:pStyle w:val="ListParagraph"/>
        <w:numPr>
          <w:ilvl w:val="0"/>
          <w:numId w:val="56"/>
        </w:numPr>
        <w:rPr>
          <w:rFonts w:cs="Arial"/>
          <w:b/>
        </w:rPr>
      </w:pPr>
      <w:r w:rsidRPr="00270FFD">
        <w:rPr>
          <w:rFonts w:cs="Arial"/>
          <w:b/>
        </w:rPr>
        <w:t>Our vendor report provides medication and patient scanning rates separately. How can we report on our compliance if our reports do not provide the number of administrations that had both the medication and patient scanned?</w:t>
      </w:r>
    </w:p>
    <w:p w14:paraId="1B05C071" w14:textId="3BA6E7F7" w:rsidR="00946785" w:rsidRPr="00270FFD" w:rsidRDefault="00946785" w:rsidP="00946785">
      <w:pPr>
        <w:pStyle w:val="ListParagraph"/>
        <w:rPr>
          <w:rFonts w:cs="Arial"/>
        </w:rPr>
      </w:pPr>
      <w:r>
        <w:rPr>
          <w:rFonts w:cs="Arial"/>
        </w:rPr>
        <w:t xml:space="preserve">If </w:t>
      </w:r>
      <w:r w:rsidRPr="00270FFD">
        <w:rPr>
          <w:rFonts w:cs="Arial"/>
        </w:rPr>
        <w:t xml:space="preserve">your vendor’s report only provides the percentage of patients scanned and the percentage of medications scanned separately but does not provide the rate of administrations where both the patient and medication were scanned, please report the lower of the two rates (supply the denominator in </w:t>
      </w:r>
      <w:r>
        <w:rPr>
          <w:rFonts w:cs="Arial"/>
        </w:rPr>
        <w:t>q</w:t>
      </w:r>
      <w:r w:rsidRPr="007C221A">
        <w:rPr>
          <w:rFonts w:cs="Arial"/>
        </w:rPr>
        <w:t>uestion #</w:t>
      </w:r>
      <w:r w:rsidR="008059FF">
        <w:rPr>
          <w:rFonts w:cs="Arial"/>
        </w:rPr>
        <w:t>1</w:t>
      </w:r>
      <w:r w:rsidR="001023DC">
        <w:rPr>
          <w:rFonts w:cs="Arial"/>
        </w:rPr>
        <w:t>8</w:t>
      </w:r>
      <w:r w:rsidRPr="00270FFD">
        <w:rPr>
          <w:rFonts w:cs="Arial"/>
        </w:rPr>
        <w:t xml:space="preserve"> and numerator in </w:t>
      </w:r>
      <w:r>
        <w:rPr>
          <w:rFonts w:cs="Arial"/>
        </w:rPr>
        <w:t>q</w:t>
      </w:r>
      <w:r w:rsidRPr="007C221A">
        <w:rPr>
          <w:rFonts w:cs="Arial"/>
        </w:rPr>
        <w:t>uestion #</w:t>
      </w:r>
      <w:r w:rsidR="008059FF">
        <w:rPr>
          <w:rFonts w:cs="Arial"/>
        </w:rPr>
        <w:t>1</w:t>
      </w:r>
      <w:r w:rsidR="001023DC">
        <w:rPr>
          <w:rFonts w:cs="Arial"/>
        </w:rPr>
        <w:t>9</w:t>
      </w:r>
      <w:r w:rsidRPr="00270FFD">
        <w:rPr>
          <w:rFonts w:cs="Arial"/>
        </w:rPr>
        <w:t xml:space="preserve">), as that would be the maximum possible rate of having both scanned. </w:t>
      </w:r>
    </w:p>
    <w:p w14:paraId="46B46693" w14:textId="77777777" w:rsidR="00946785" w:rsidRPr="00270FFD" w:rsidRDefault="00946785" w:rsidP="00946785">
      <w:pPr>
        <w:pStyle w:val="ListParagraph"/>
        <w:rPr>
          <w:rFonts w:cs="Arial"/>
        </w:rPr>
      </w:pPr>
    </w:p>
    <w:p w14:paraId="11CFDFBC" w14:textId="77777777" w:rsidR="00946785" w:rsidRDefault="00946785" w:rsidP="00946785">
      <w:pPr>
        <w:pStyle w:val="ListParagraph"/>
        <w:rPr>
          <w:rFonts w:cs="Arial"/>
        </w:rPr>
      </w:pPr>
      <w:r w:rsidRPr="00270FFD">
        <w:rPr>
          <w:rFonts w:cs="Arial"/>
        </w:rPr>
        <w:t>Moving forward, we do ask that your hospital work with your vendor to report out the rate of administrations where both the patient and medication are scanned. It is only when both are scanned that safe medication administration can be ensured.</w:t>
      </w:r>
    </w:p>
    <w:p w14:paraId="6EC6E9F7" w14:textId="77777777" w:rsidR="00946785" w:rsidRPr="008E310C" w:rsidRDefault="00946785" w:rsidP="00946785">
      <w:pPr>
        <w:pStyle w:val="ListParagraph"/>
        <w:rPr>
          <w:rFonts w:cs="Arial"/>
        </w:rPr>
      </w:pPr>
    </w:p>
    <w:p w14:paraId="600A8B2F" w14:textId="77777777" w:rsidR="00946785" w:rsidRPr="009A5185" w:rsidRDefault="00946785" w:rsidP="00AD309C">
      <w:pPr>
        <w:pStyle w:val="ListParagraph"/>
        <w:numPr>
          <w:ilvl w:val="0"/>
          <w:numId w:val="56"/>
        </w:numPr>
        <w:rPr>
          <w:rFonts w:cs="Arial"/>
          <w:b/>
        </w:rPr>
      </w:pPr>
      <w:r w:rsidRPr="009A5185">
        <w:rPr>
          <w:rFonts w:cs="Arial"/>
          <w:b/>
        </w:rPr>
        <w:t>Is manual scanning (e.g., in lieu of scanning the patient’s wristband, typing in the patient’s number) something we can count in our BCMA scans</w:t>
      </w:r>
      <w:r w:rsidRPr="009A5185">
        <w:rPr>
          <w:rFonts w:cs="Arial"/>
          <w:b/>
          <w:i/>
        </w:rPr>
        <w:t>?</w:t>
      </w:r>
    </w:p>
    <w:p w14:paraId="0F8A7DFE" w14:textId="77777777" w:rsidR="00946785" w:rsidRPr="009A5185" w:rsidRDefault="00946785" w:rsidP="00946785">
      <w:pPr>
        <w:pStyle w:val="ListParagraph"/>
        <w:rPr>
          <w:rFonts w:cs="Arial"/>
        </w:rPr>
      </w:pPr>
      <w:r w:rsidRPr="009A5185">
        <w:rPr>
          <w:rFonts w:cs="Arial"/>
        </w:rPr>
        <w:t>No. The problem is that the user may type in the wrong patient number, negating the safety benefits. The best practice is to scan the wristband that is on the wrist of the patient.</w:t>
      </w:r>
    </w:p>
    <w:p w14:paraId="4F102CAC" w14:textId="77777777" w:rsidR="00946785" w:rsidRPr="009A5185" w:rsidRDefault="00946785" w:rsidP="00946785">
      <w:pPr>
        <w:pStyle w:val="ListParagraph"/>
        <w:rPr>
          <w:rFonts w:cs="Arial"/>
        </w:rPr>
      </w:pPr>
    </w:p>
    <w:p w14:paraId="3A8EB38D" w14:textId="0D1DB58B" w:rsidR="00946785" w:rsidRPr="003964C1" w:rsidRDefault="00946785" w:rsidP="00AD309C">
      <w:pPr>
        <w:pStyle w:val="ListParagraph"/>
        <w:numPr>
          <w:ilvl w:val="0"/>
          <w:numId w:val="56"/>
        </w:numPr>
        <w:rPr>
          <w:rFonts w:cs="Arial"/>
          <w:b/>
        </w:rPr>
      </w:pPr>
      <w:r w:rsidRPr="003964C1">
        <w:rPr>
          <w:rFonts w:cs="Arial"/>
          <w:b/>
        </w:rPr>
        <w:t xml:space="preserve">Our process is to scan the patient once and then scan each medication. </w:t>
      </w:r>
      <w:r>
        <w:rPr>
          <w:rFonts w:cs="Arial"/>
          <w:b/>
        </w:rPr>
        <w:t>Q</w:t>
      </w:r>
      <w:r w:rsidRPr="003964C1">
        <w:rPr>
          <w:rFonts w:cs="Arial"/>
          <w:b/>
        </w:rPr>
        <w:t>uestion #</w:t>
      </w:r>
      <w:r w:rsidR="008059FF">
        <w:rPr>
          <w:rFonts w:cs="Arial"/>
          <w:b/>
        </w:rPr>
        <w:t>1</w:t>
      </w:r>
      <w:r w:rsidR="00E46D78">
        <w:rPr>
          <w:rFonts w:cs="Arial"/>
          <w:b/>
        </w:rPr>
        <w:t>9</w:t>
      </w:r>
      <w:r w:rsidRPr="00B51AB6">
        <w:rPr>
          <w:rFonts w:cs="Arial"/>
          <w:b/>
        </w:rPr>
        <w:t xml:space="preserve"> </w:t>
      </w:r>
      <w:r w:rsidRPr="003964C1">
        <w:rPr>
          <w:rFonts w:cs="Arial"/>
          <w:b/>
        </w:rPr>
        <w:t>seem</w:t>
      </w:r>
      <w:r w:rsidR="00D20722">
        <w:rPr>
          <w:rFonts w:cs="Arial"/>
          <w:b/>
        </w:rPr>
        <w:t>s</w:t>
      </w:r>
      <w:r w:rsidRPr="003964C1">
        <w:rPr>
          <w:rFonts w:cs="Arial"/>
          <w:b/>
        </w:rPr>
        <w:t xml:space="preserve"> to want each medication and patient scanned with each medication. Can you clarify?</w:t>
      </w:r>
    </w:p>
    <w:p w14:paraId="0F8B05BD" w14:textId="77777777" w:rsidR="00946785" w:rsidRDefault="00946785" w:rsidP="00946785">
      <w:pPr>
        <w:pStyle w:val="ListParagraph"/>
        <w:rPr>
          <w:rFonts w:cs="Arial"/>
        </w:rPr>
      </w:pPr>
      <w:r>
        <w:rPr>
          <w:rFonts w:cs="Arial"/>
        </w:rPr>
        <w:t>H</w:t>
      </w:r>
      <w:r w:rsidRPr="003964C1">
        <w:rPr>
          <w:rFonts w:cs="Arial"/>
        </w:rPr>
        <w:t>ospitals should report on the number of administrations where both the patient and the medication were scanned during the administration. During administrations where multiple medications are administered sequentially, the patient should be scanned first, but does not need to be rescanned before each medication is administered.</w:t>
      </w:r>
    </w:p>
    <w:p w14:paraId="6367CB25" w14:textId="77777777" w:rsidR="00946785" w:rsidRPr="003A37FB" w:rsidRDefault="00946785" w:rsidP="00946785">
      <w:pPr>
        <w:pStyle w:val="ListParagraph"/>
        <w:rPr>
          <w:rFonts w:cs="Arial"/>
        </w:rPr>
      </w:pPr>
    </w:p>
    <w:p w14:paraId="1FE94015" w14:textId="345BC147" w:rsidR="00946785" w:rsidRPr="009A5185" w:rsidRDefault="00946785" w:rsidP="00AD309C">
      <w:pPr>
        <w:pStyle w:val="ListParagraph"/>
        <w:numPr>
          <w:ilvl w:val="0"/>
          <w:numId w:val="56"/>
        </w:numPr>
        <w:rPr>
          <w:rFonts w:cs="Arial"/>
          <w:b/>
        </w:rPr>
      </w:pPr>
      <w:r w:rsidRPr="009A5185">
        <w:rPr>
          <w:rFonts w:cs="Arial"/>
          <w:b/>
        </w:rPr>
        <w:t>In our hospital some medications are ordered and scheduled, but not administered. Should medications that are ordered and scheduled, but not administered be included when responding to q</w:t>
      </w:r>
      <w:r>
        <w:rPr>
          <w:rFonts w:cs="Arial"/>
          <w:b/>
        </w:rPr>
        <w:t>uestions #</w:t>
      </w:r>
      <w:r w:rsidR="008059FF">
        <w:rPr>
          <w:rFonts w:cs="Arial"/>
          <w:b/>
        </w:rPr>
        <w:t>1</w:t>
      </w:r>
      <w:r w:rsidR="00360BC6">
        <w:rPr>
          <w:rFonts w:cs="Arial"/>
          <w:b/>
        </w:rPr>
        <w:t>8</w:t>
      </w:r>
      <w:r w:rsidR="008059FF">
        <w:rPr>
          <w:rFonts w:cs="Arial"/>
          <w:b/>
        </w:rPr>
        <w:t>-1</w:t>
      </w:r>
      <w:r w:rsidR="00360BC6">
        <w:rPr>
          <w:rFonts w:cs="Arial"/>
          <w:b/>
        </w:rPr>
        <w:t>9</w:t>
      </w:r>
      <w:r w:rsidRPr="009A5185">
        <w:rPr>
          <w:rFonts w:cs="Arial"/>
          <w:b/>
        </w:rPr>
        <w:t>?</w:t>
      </w:r>
    </w:p>
    <w:p w14:paraId="524C1FD9" w14:textId="49021C2B" w:rsidR="00946785" w:rsidRPr="009A5185" w:rsidRDefault="00946785" w:rsidP="00946785">
      <w:pPr>
        <w:pStyle w:val="ListParagraph"/>
        <w:rPr>
          <w:rFonts w:cs="Arial"/>
        </w:rPr>
      </w:pPr>
      <w:r w:rsidRPr="009A5185">
        <w:rPr>
          <w:rFonts w:cs="Arial"/>
        </w:rPr>
        <w:t xml:space="preserve">No, medications that are not administered should not be included in </w:t>
      </w:r>
      <w:r w:rsidRPr="00B51AB6">
        <w:rPr>
          <w:rFonts w:cs="Arial"/>
        </w:rPr>
        <w:t>questions #</w:t>
      </w:r>
      <w:r w:rsidR="008059FF">
        <w:rPr>
          <w:rFonts w:cs="Arial"/>
        </w:rPr>
        <w:t>1</w:t>
      </w:r>
      <w:r w:rsidR="00B7038E">
        <w:rPr>
          <w:rFonts w:cs="Arial"/>
        </w:rPr>
        <w:t>8</w:t>
      </w:r>
      <w:r w:rsidR="008059FF">
        <w:rPr>
          <w:rFonts w:cs="Arial"/>
        </w:rPr>
        <w:t>-1</w:t>
      </w:r>
      <w:r w:rsidR="00B7038E">
        <w:rPr>
          <w:rFonts w:cs="Arial"/>
        </w:rPr>
        <w:t>9</w:t>
      </w:r>
      <w:r w:rsidR="008059FF">
        <w:rPr>
          <w:rFonts w:cs="Arial"/>
        </w:rPr>
        <w:t>.</w:t>
      </w:r>
    </w:p>
    <w:p w14:paraId="7D8638BB" w14:textId="77777777" w:rsidR="0065334D" w:rsidRPr="00504834" w:rsidRDefault="0065334D" w:rsidP="0065334D">
      <w:pPr>
        <w:rPr>
          <w:rFonts w:cs="Arial"/>
          <w:sz w:val="16"/>
          <w:szCs w:val="16"/>
        </w:rPr>
      </w:pPr>
    </w:p>
    <w:p w14:paraId="213B6388" w14:textId="77777777" w:rsidR="0065334D" w:rsidRPr="009A5185" w:rsidRDefault="0065334D" w:rsidP="00690C11">
      <w:pPr>
        <w:pStyle w:val="Heading44"/>
      </w:pPr>
      <w:r w:rsidRPr="009A5185">
        <w:t>Decision Support</w:t>
      </w:r>
    </w:p>
    <w:p w14:paraId="7E662D26" w14:textId="77777777" w:rsidR="0065334D" w:rsidRPr="00504834" w:rsidRDefault="0065334D" w:rsidP="0065334D">
      <w:pPr>
        <w:pStyle w:val="ListParagraph"/>
        <w:rPr>
          <w:rFonts w:cs="Arial"/>
          <w:b/>
          <w:sz w:val="14"/>
          <w:szCs w:val="14"/>
        </w:rPr>
      </w:pPr>
    </w:p>
    <w:p w14:paraId="30DEF55B" w14:textId="13F59746" w:rsidR="0065334D" w:rsidRPr="009A5185" w:rsidRDefault="0065334D" w:rsidP="00AD309C">
      <w:pPr>
        <w:pStyle w:val="ListParagraph"/>
        <w:numPr>
          <w:ilvl w:val="0"/>
          <w:numId w:val="56"/>
        </w:numPr>
        <w:rPr>
          <w:rFonts w:cs="Arial"/>
          <w:b/>
        </w:rPr>
      </w:pPr>
      <w:r w:rsidRPr="009A5185">
        <w:rPr>
          <w:rFonts w:cs="Arial"/>
          <w:b/>
        </w:rPr>
        <w:t>If an alert is part of the eMAR, but not the Bar Code Medication Administration system, should we respond “yes” to the decision support elements in question #</w:t>
      </w:r>
      <w:r w:rsidR="004B6D9A">
        <w:rPr>
          <w:rFonts w:cs="Arial"/>
          <w:b/>
        </w:rPr>
        <w:t>20</w:t>
      </w:r>
      <w:r w:rsidRPr="009A5185">
        <w:rPr>
          <w:rFonts w:cs="Arial"/>
          <w:b/>
        </w:rPr>
        <w:t xml:space="preserve">a - </w:t>
      </w:r>
      <w:r>
        <w:rPr>
          <w:rFonts w:cs="Arial"/>
          <w:b/>
        </w:rPr>
        <w:t>e</w:t>
      </w:r>
      <w:r w:rsidRPr="009A5185">
        <w:rPr>
          <w:rFonts w:cs="Arial"/>
          <w:b/>
        </w:rPr>
        <w:t>?</w:t>
      </w:r>
    </w:p>
    <w:p w14:paraId="747762EC" w14:textId="1E4CD673" w:rsidR="0065334D" w:rsidRPr="009A5185" w:rsidRDefault="0065334D" w:rsidP="0065334D">
      <w:pPr>
        <w:pStyle w:val="ListParagraph"/>
        <w:rPr>
          <w:rFonts w:cs="Arial"/>
        </w:rPr>
      </w:pPr>
      <w:r w:rsidRPr="009A5185">
        <w:rPr>
          <w:rFonts w:cs="Arial"/>
        </w:rPr>
        <w:t>If the provider and pharmacist are notified or alerted (e.g., second nurse check), but the nurse or provider administering the medication does not receive an alert at the point of administration, then your hospital should answer “no” to these questions about decision support.</w:t>
      </w:r>
    </w:p>
    <w:p w14:paraId="0121CD74" w14:textId="77777777" w:rsidR="007B5351" w:rsidRPr="000F3B1D" w:rsidRDefault="007B5351" w:rsidP="000F3B1D">
      <w:pPr>
        <w:rPr>
          <w:rFonts w:cs="Arial"/>
          <w:b/>
        </w:rPr>
      </w:pPr>
    </w:p>
    <w:p w14:paraId="592E4BF8" w14:textId="161E72B7" w:rsidR="0065334D" w:rsidRPr="009A5185" w:rsidRDefault="0065334D" w:rsidP="00AD309C">
      <w:pPr>
        <w:pStyle w:val="ListParagraph"/>
        <w:numPr>
          <w:ilvl w:val="0"/>
          <w:numId w:val="56"/>
        </w:numPr>
        <w:rPr>
          <w:rFonts w:cs="Arial"/>
          <w:b/>
        </w:rPr>
      </w:pPr>
      <w:r w:rsidRPr="009A5185">
        <w:rPr>
          <w:rFonts w:cs="Arial"/>
          <w:b/>
        </w:rPr>
        <w:t>My</w:t>
      </w:r>
      <w:r w:rsidRPr="009A5185">
        <w:rPr>
          <w:rFonts w:cs="Arial"/>
          <w:b/>
          <w:bCs/>
        </w:rPr>
        <w:t xml:space="preserve"> hospital’s EHR workflow for medication administration is designed in such a way that our system will never generate a “wrong patient” alert. How should we answer the question in the Survey about whether we have that type of decision support?</w:t>
      </w:r>
    </w:p>
    <w:p w14:paraId="0A7EDF66" w14:textId="2C1319E7" w:rsidR="00D8444A" w:rsidRDefault="0065334D" w:rsidP="00526C4A">
      <w:pPr>
        <w:pStyle w:val="ListParagraph"/>
        <w:rPr>
          <w:rFonts w:cs="Arial"/>
        </w:rPr>
      </w:pPr>
      <w:r w:rsidRPr="009A5185">
        <w:rPr>
          <w:rFonts w:cs="Arial"/>
        </w:rPr>
        <w:t>If your hospital’s EHR workflow is designed so that the nurse scans the patient first, and then the medications, such that the nurse would never receive a “wrong patient” alert, for purposes of the Survey, your hospital should indicate that it has ‘wrong patient’ decision support. The goal of including a</w:t>
      </w:r>
      <w:r>
        <w:rPr>
          <w:rFonts w:cs="Arial"/>
        </w:rPr>
        <w:t xml:space="preserve"> "</w:t>
      </w:r>
      <w:r w:rsidRPr="009A5185">
        <w:rPr>
          <w:rFonts w:cs="Arial"/>
        </w:rPr>
        <w:t>wrong patient” alert is to acknowledge that as a safe practice and to drive organizations to validate the “right patient” in the medication administration process. The workflow described helps ensure that a ‘wrong patient’ is not encountered.</w:t>
      </w:r>
    </w:p>
    <w:p w14:paraId="58CC4546" w14:textId="77777777" w:rsidR="00504834" w:rsidRDefault="00504834" w:rsidP="00526C4A">
      <w:pPr>
        <w:pStyle w:val="ListParagraph"/>
        <w:rPr>
          <w:rFonts w:cs="Arial"/>
        </w:rPr>
      </w:pPr>
    </w:p>
    <w:p w14:paraId="33242266" w14:textId="77777777" w:rsidR="004247FA" w:rsidRPr="00493567" w:rsidRDefault="004247FA" w:rsidP="00AD309C">
      <w:pPr>
        <w:pStyle w:val="ListParagraph"/>
        <w:numPr>
          <w:ilvl w:val="0"/>
          <w:numId w:val="56"/>
        </w:numPr>
        <w:rPr>
          <w:rFonts w:cs="Arial"/>
        </w:rPr>
      </w:pPr>
      <w:r>
        <w:rPr>
          <w:rFonts w:cs="Arial"/>
          <w:b/>
        </w:rPr>
        <w:t>Is the “second nurse check needed” decision support element required for all medications or just certain medication classes in order to answer “yes” to question #17e?</w:t>
      </w:r>
    </w:p>
    <w:p w14:paraId="4D02F0A3" w14:textId="5A36A419" w:rsidR="004247FA" w:rsidRPr="004247FA" w:rsidRDefault="004247FA" w:rsidP="004247FA">
      <w:pPr>
        <w:pStyle w:val="ListParagraph"/>
        <w:rPr>
          <w:rFonts w:cs="Arial"/>
          <w:bCs/>
        </w:rPr>
      </w:pPr>
      <w:r>
        <w:rPr>
          <w:rFonts w:cs="Arial"/>
          <w:bCs/>
        </w:rPr>
        <w:t xml:space="preserve">No. </w:t>
      </w:r>
      <w:r w:rsidR="007B7E7F">
        <w:rPr>
          <w:rFonts w:cs="Arial"/>
          <w:bCs/>
        </w:rPr>
        <w:t>A</w:t>
      </w:r>
      <w:r>
        <w:rPr>
          <w:rFonts w:cs="Arial"/>
          <w:bCs/>
        </w:rPr>
        <w:t xml:space="preserve">n alert for “second nurse check needed” is only required for certain medications and it is up to each hospital to decide which medication classes require this alert during administration. </w:t>
      </w:r>
    </w:p>
    <w:p w14:paraId="13637C77" w14:textId="77777777" w:rsidR="00D8444A" w:rsidRPr="00504834" w:rsidRDefault="00D8444A" w:rsidP="0065334D">
      <w:pPr>
        <w:rPr>
          <w:rFonts w:cs="Arial"/>
          <w:sz w:val="16"/>
          <w:szCs w:val="16"/>
        </w:rPr>
      </w:pPr>
    </w:p>
    <w:p w14:paraId="1F8EF506" w14:textId="77777777" w:rsidR="0065334D" w:rsidRPr="009A5185" w:rsidRDefault="0065334D" w:rsidP="00690C11">
      <w:pPr>
        <w:pStyle w:val="Heading44"/>
      </w:pPr>
      <w:r w:rsidRPr="009A5185">
        <w:t>Workarounds</w:t>
      </w:r>
    </w:p>
    <w:p w14:paraId="4A5AAAD7" w14:textId="77777777" w:rsidR="0065334D" w:rsidRPr="00504834" w:rsidRDefault="0065334D" w:rsidP="0065334D">
      <w:pPr>
        <w:rPr>
          <w:rFonts w:cs="Arial"/>
          <w:sz w:val="16"/>
          <w:szCs w:val="16"/>
        </w:rPr>
      </w:pPr>
    </w:p>
    <w:p w14:paraId="1358D4C6" w14:textId="77777777" w:rsidR="0065334D" w:rsidRPr="009A5185" w:rsidRDefault="0065334D" w:rsidP="00AD309C">
      <w:pPr>
        <w:pStyle w:val="ListParagraph"/>
        <w:numPr>
          <w:ilvl w:val="0"/>
          <w:numId w:val="56"/>
        </w:numPr>
        <w:rPr>
          <w:rFonts w:cs="Arial"/>
        </w:rPr>
      </w:pPr>
      <w:r w:rsidRPr="009A5185">
        <w:rPr>
          <w:rFonts w:cs="Arial"/>
          <w:b/>
          <w:bCs/>
        </w:rPr>
        <w:t>Must a hospital establish a separate committee to meet solely to review data reports on BCMA system use?</w:t>
      </w:r>
    </w:p>
    <w:p w14:paraId="51E75B2A" w14:textId="7D423F93" w:rsidR="0065334D" w:rsidRPr="009A5185" w:rsidRDefault="0065334D" w:rsidP="0065334D">
      <w:pPr>
        <w:pStyle w:val="ListParagraph"/>
        <w:rPr>
          <w:rFonts w:cs="Arial"/>
        </w:rPr>
      </w:pPr>
      <w:r w:rsidRPr="009A5185">
        <w:rPr>
          <w:rFonts w:cs="Arial"/>
        </w:rPr>
        <w:t>While establishing a committee that has the sole purpose of reviewing data reports on BCMA system use is encouraged, it is not required. At a minimum, a pre-existing standing committee that meets on a regular basis could be given the responsibility of reviewing these reports. The committee chosen to review the reports must include individuals whose roles reflect each part of the BCMA process (e.g., pharmacists, nurses, IT personnel, etc.).</w:t>
      </w:r>
    </w:p>
    <w:p w14:paraId="33A12CAE" w14:textId="77777777" w:rsidR="0065334D" w:rsidRPr="009A5185" w:rsidRDefault="0065334D" w:rsidP="0065334D">
      <w:pPr>
        <w:pStyle w:val="ListParagraph"/>
        <w:rPr>
          <w:rFonts w:cs="Arial"/>
        </w:rPr>
      </w:pPr>
    </w:p>
    <w:p w14:paraId="493BE18F" w14:textId="4FB91CFD" w:rsidR="0065334D" w:rsidRPr="009A5185" w:rsidRDefault="0065334D" w:rsidP="00AD309C">
      <w:pPr>
        <w:pStyle w:val="ListParagraph"/>
        <w:numPr>
          <w:ilvl w:val="0"/>
          <w:numId w:val="56"/>
        </w:numPr>
        <w:rPr>
          <w:rFonts w:cs="Arial"/>
        </w:rPr>
      </w:pPr>
      <w:r w:rsidRPr="009A5185">
        <w:rPr>
          <w:rFonts w:cs="Arial"/>
          <w:b/>
          <w:bCs/>
        </w:rPr>
        <w:t xml:space="preserve">What are some examples of “back-up </w:t>
      </w:r>
      <w:r w:rsidR="00BF5D00">
        <w:rPr>
          <w:rFonts w:cs="Arial"/>
          <w:b/>
          <w:bCs/>
        </w:rPr>
        <w:t>equipment</w:t>
      </w:r>
      <w:r w:rsidRPr="009A5185">
        <w:rPr>
          <w:rFonts w:cs="Arial"/>
          <w:b/>
          <w:bCs/>
        </w:rPr>
        <w:t>” for hardware failures?</w:t>
      </w:r>
    </w:p>
    <w:p w14:paraId="374DC2AA" w14:textId="0B99F778" w:rsidR="006E26E4" w:rsidRPr="007B7E7F" w:rsidRDefault="0065334D" w:rsidP="007B7E7F">
      <w:pPr>
        <w:pStyle w:val="ListParagraph"/>
      </w:pPr>
      <w:r w:rsidRPr="009A5185">
        <w:rPr>
          <w:rFonts w:cs="Arial"/>
        </w:rPr>
        <w:t xml:space="preserve">Examples of “back-up </w:t>
      </w:r>
      <w:r w:rsidR="00EE2E8E">
        <w:rPr>
          <w:rFonts w:cs="Arial"/>
        </w:rPr>
        <w:t>equipment</w:t>
      </w:r>
      <w:r w:rsidRPr="009A5185">
        <w:rPr>
          <w:rFonts w:cs="Arial"/>
        </w:rPr>
        <w:t>” include extra BCMA scanners, portable computers, batteries, and mice that are easily accessible to nurses experiencing equipment malfunctions. Quickly replacing malfunctioning equipment is essential to prevent workarounds.</w:t>
      </w:r>
      <w:r w:rsidRPr="009A5185">
        <w:rPr>
          <w:rFonts w:cs="Arial"/>
          <w:highlight w:val="yellow"/>
        </w:rPr>
        <w:t xml:space="preserve"> </w:t>
      </w:r>
    </w:p>
    <w:p w14:paraId="4C889B98" w14:textId="77777777" w:rsidR="006E26E4" w:rsidRDefault="006E26E4" w:rsidP="00463E6E">
      <w:pPr>
        <w:pStyle w:val="ListParagraph"/>
        <w:rPr>
          <w:rFonts w:cs="Arial"/>
        </w:rPr>
      </w:pPr>
    </w:p>
    <w:p w14:paraId="285C93F9" w14:textId="77777777" w:rsidR="00535234" w:rsidRPr="00A1457F" w:rsidRDefault="00535234" w:rsidP="00463E6E">
      <w:pPr>
        <w:pStyle w:val="ListParagraph"/>
        <w:rPr>
          <w:rFonts w:cs="Arial"/>
        </w:rPr>
      </w:pPr>
    </w:p>
    <w:p w14:paraId="14DC1F79" w14:textId="77777777" w:rsidR="0065334D" w:rsidRPr="009A5185" w:rsidRDefault="0065334D" w:rsidP="00AD309C">
      <w:pPr>
        <w:pStyle w:val="ListParagraph"/>
        <w:numPr>
          <w:ilvl w:val="0"/>
          <w:numId w:val="56"/>
        </w:numPr>
        <w:rPr>
          <w:rFonts w:cs="Arial"/>
        </w:rPr>
      </w:pPr>
      <w:r w:rsidRPr="009A5185">
        <w:rPr>
          <w:rFonts w:cs="Arial"/>
          <w:b/>
          <w:bCs/>
        </w:rPr>
        <w:lastRenderedPageBreak/>
        <w:t>What are some examples of “engaging nursing leadership at the unit level on BCMA use?”</w:t>
      </w:r>
    </w:p>
    <w:p w14:paraId="5BB02AF0" w14:textId="77777777" w:rsidR="0065334D" w:rsidRPr="009A5185" w:rsidRDefault="0065334D" w:rsidP="0065334D">
      <w:pPr>
        <w:pStyle w:val="ListParagraph"/>
        <w:rPr>
          <w:rFonts w:cs="Arial"/>
        </w:rPr>
      </w:pPr>
      <w:r w:rsidRPr="009A5185">
        <w:rPr>
          <w:rFonts w:cs="Arial"/>
        </w:rPr>
        <w:t>Engaging nursing leadership on BCMA use should be an active, ongoing process. An engaged leader would actively use BCMA data to coach staff towards safe or desired behaviors. Examples of activities in which nursing leadership could be engaged include, but are not limited to:</w:t>
      </w:r>
    </w:p>
    <w:p w14:paraId="106C2C0E" w14:textId="77777777" w:rsidR="0065334D" w:rsidRPr="009A5185" w:rsidRDefault="0065334D" w:rsidP="00AD309C">
      <w:pPr>
        <w:pStyle w:val="ListParagraph"/>
        <w:numPr>
          <w:ilvl w:val="1"/>
          <w:numId w:val="44"/>
        </w:numPr>
        <w:rPr>
          <w:rFonts w:cs="Arial"/>
        </w:rPr>
      </w:pPr>
      <w:r w:rsidRPr="009A5185">
        <w:rPr>
          <w:rFonts w:cs="Arial"/>
        </w:rPr>
        <w:t>Education sessions in units</w:t>
      </w:r>
    </w:p>
    <w:p w14:paraId="20E2DA06" w14:textId="77777777" w:rsidR="0065334D" w:rsidRPr="009A5185" w:rsidRDefault="0065334D" w:rsidP="00AD309C">
      <w:pPr>
        <w:pStyle w:val="ListParagraph"/>
        <w:numPr>
          <w:ilvl w:val="1"/>
          <w:numId w:val="44"/>
        </w:numPr>
        <w:rPr>
          <w:rFonts w:cs="Arial"/>
        </w:rPr>
      </w:pPr>
      <w:r w:rsidRPr="009A5185">
        <w:rPr>
          <w:rFonts w:cs="Arial"/>
        </w:rPr>
        <w:t>Review of policies regarding use and non-use of BCMA</w:t>
      </w:r>
    </w:p>
    <w:p w14:paraId="39D2CFDA" w14:textId="77777777" w:rsidR="0065334D" w:rsidRPr="009A5185" w:rsidRDefault="0065334D" w:rsidP="00AD309C">
      <w:pPr>
        <w:pStyle w:val="ListParagraph"/>
        <w:numPr>
          <w:ilvl w:val="1"/>
          <w:numId w:val="44"/>
        </w:numPr>
        <w:rPr>
          <w:rFonts w:cs="Arial"/>
        </w:rPr>
      </w:pPr>
      <w:r w:rsidRPr="009A5185">
        <w:rPr>
          <w:rFonts w:cs="Arial"/>
        </w:rPr>
        <w:t>Investigating problems with BCMA specific to the unit</w:t>
      </w:r>
    </w:p>
    <w:p w14:paraId="677CB675" w14:textId="77777777" w:rsidR="0065334D" w:rsidRPr="009A5185" w:rsidRDefault="0065334D" w:rsidP="00AD309C">
      <w:pPr>
        <w:pStyle w:val="ListParagraph"/>
        <w:numPr>
          <w:ilvl w:val="1"/>
          <w:numId w:val="44"/>
        </w:numPr>
        <w:rPr>
          <w:rFonts w:cs="Arial"/>
        </w:rPr>
      </w:pPr>
      <w:r w:rsidRPr="009A5185">
        <w:rPr>
          <w:rFonts w:cs="Arial"/>
        </w:rPr>
        <w:t>Providing a forum for users to report BCMA problems and reasons for workarounds</w:t>
      </w:r>
    </w:p>
    <w:p w14:paraId="3C0E5489" w14:textId="2B1E7DAA" w:rsidR="00690C11" w:rsidRPr="007B5351" w:rsidRDefault="0065334D" w:rsidP="00AD309C">
      <w:pPr>
        <w:pStyle w:val="ListParagraph"/>
        <w:numPr>
          <w:ilvl w:val="1"/>
          <w:numId w:val="44"/>
        </w:numPr>
        <w:rPr>
          <w:rFonts w:cs="Arial"/>
        </w:rPr>
      </w:pPr>
      <w:r w:rsidRPr="009A5185">
        <w:rPr>
          <w:rFonts w:cs="Arial"/>
        </w:rPr>
        <w:t>Providing suggestions for improvements to both technology and process</w:t>
      </w:r>
    </w:p>
    <w:p w14:paraId="2BFD9E61" w14:textId="77777777" w:rsidR="00BD2B67" w:rsidRPr="009A5185" w:rsidRDefault="00BD2B67" w:rsidP="0065334D">
      <w:pPr>
        <w:pStyle w:val="ListParagraph"/>
        <w:ind w:left="1800"/>
        <w:rPr>
          <w:rFonts w:cs="Arial"/>
        </w:rPr>
      </w:pPr>
    </w:p>
    <w:p w14:paraId="218C4785" w14:textId="3C92F646" w:rsidR="0065334D" w:rsidRPr="009A5185" w:rsidRDefault="0065334D" w:rsidP="00AD309C">
      <w:pPr>
        <w:pStyle w:val="ListParagraph"/>
        <w:numPr>
          <w:ilvl w:val="0"/>
          <w:numId w:val="56"/>
        </w:numPr>
        <w:rPr>
          <w:rFonts w:cs="Arial"/>
          <w:b/>
          <w:bCs/>
        </w:rPr>
      </w:pPr>
      <w:r w:rsidRPr="00F40A7C">
        <w:rPr>
          <w:rFonts w:cs="Arial"/>
          <w:b/>
          <w:bCs/>
        </w:rPr>
        <w:t>How often should hospitals conduct real-time observations and what do ‘best practices’ look like?</w:t>
      </w:r>
    </w:p>
    <w:p w14:paraId="1DA0824D" w14:textId="6CFEA109" w:rsidR="0065334D" w:rsidRPr="00F40A7C" w:rsidRDefault="0065334D" w:rsidP="0065334D">
      <w:pPr>
        <w:pStyle w:val="ListParagraph"/>
        <w:rPr>
          <w:rFonts w:cs="Arial"/>
        </w:rPr>
      </w:pPr>
      <w:r w:rsidRPr="00F40A7C">
        <w:rPr>
          <w:rFonts w:cs="Arial"/>
        </w:rPr>
        <w:t xml:space="preserve">At a minimum, the observations should be conducted on each unit at least biannually (2x/year) and should be 30 minutes or 30 medication administrations in length, whichever is shorter. If </w:t>
      </w:r>
      <w:r w:rsidR="006A1E70" w:rsidRPr="00F40A7C">
        <w:rPr>
          <w:rFonts w:cs="Arial"/>
        </w:rPr>
        <w:t>a central team does observations</w:t>
      </w:r>
      <w:r w:rsidRPr="00F40A7C">
        <w:rPr>
          <w:rFonts w:cs="Arial"/>
        </w:rPr>
        <w:t xml:space="preserve">, they should ensure each type of unit is observed within that 6-month period. More frequent observations are appropriate for hospitals that have recently introduced BCMA and/or when safety reports indicate a problem, where observations can be helpful in understanding the root cause of an incident or near miss.  </w:t>
      </w:r>
    </w:p>
    <w:p w14:paraId="31B3744D" w14:textId="77777777" w:rsidR="0065334D" w:rsidRPr="00504834" w:rsidRDefault="0065334D" w:rsidP="0065334D">
      <w:pPr>
        <w:pStyle w:val="ListParagraph"/>
        <w:rPr>
          <w:rFonts w:cs="Arial"/>
          <w:sz w:val="16"/>
          <w:szCs w:val="16"/>
        </w:rPr>
      </w:pPr>
    </w:p>
    <w:p w14:paraId="0F4CCC14" w14:textId="61E586A2" w:rsidR="00FB2D5F" w:rsidRDefault="0065334D" w:rsidP="00504834">
      <w:pPr>
        <w:pStyle w:val="ListParagraph"/>
        <w:rPr>
          <w:rFonts w:cs="Arial"/>
        </w:rPr>
      </w:pPr>
      <w:r w:rsidRPr="00F40A7C">
        <w:rPr>
          <w:rFonts w:cs="Arial"/>
        </w:rPr>
        <w:t>The observations should be direct nurse-BCMA observations, watching how the nurse uses the BCMA system as part of the be</w:t>
      </w:r>
      <w:r>
        <w:rPr>
          <w:rFonts w:cs="Arial"/>
        </w:rPr>
        <w:t>d</w:t>
      </w:r>
      <w:r w:rsidRPr="00F40A7C">
        <w:rPr>
          <w:rFonts w:cs="Arial"/>
        </w:rPr>
        <w:t>side medication administration process. The observer should note if nurses are using any workarounds to compensate for system issues. In addition to observing the nurse-BCMA interaction, the observer should also have conversations with the nurses, as their comments are often a good source for understanding the causes of workarounds. The observations collected from the different units should be aggregated together to understand trends across the hospital and where the hospital should place a priority for addressing BCMA system issues.</w:t>
      </w:r>
    </w:p>
    <w:p w14:paraId="141DCD1C" w14:textId="77777777" w:rsidR="00BE06B6" w:rsidRDefault="00BE06B6" w:rsidP="00504834">
      <w:pPr>
        <w:pStyle w:val="ListParagraph"/>
        <w:rPr>
          <w:rFonts w:cs="Arial"/>
        </w:rPr>
      </w:pPr>
    </w:p>
    <w:p w14:paraId="59F50151" w14:textId="242E2C4E" w:rsidR="00BE06B6" w:rsidRDefault="00BE06B6" w:rsidP="00AD309C">
      <w:pPr>
        <w:pStyle w:val="ListParagraph"/>
        <w:numPr>
          <w:ilvl w:val="0"/>
          <w:numId w:val="56"/>
        </w:numPr>
        <w:rPr>
          <w:rFonts w:cs="Arial"/>
          <w:b/>
          <w:bCs/>
        </w:rPr>
      </w:pPr>
      <w:r>
        <w:rPr>
          <w:rFonts w:cs="Arial"/>
          <w:b/>
          <w:bCs/>
        </w:rPr>
        <w:t>If our hospital meets the 95% compliance target, do we still need to implement or monitor a quality improvement project for question #21f</w:t>
      </w:r>
      <w:r w:rsidR="00D865F4" w:rsidRPr="00D865F4">
        <w:rPr>
          <w:rFonts w:cs="Arial"/>
          <w:b/>
          <w:bCs/>
        </w:rPr>
        <w:t xml:space="preserve"> </w:t>
      </w:r>
      <w:r w:rsidR="00D865F4">
        <w:rPr>
          <w:rFonts w:cs="Arial"/>
          <w:b/>
          <w:bCs/>
        </w:rPr>
        <w:t>and evaluate the results of those projects for #21g</w:t>
      </w:r>
      <w:r>
        <w:rPr>
          <w:rFonts w:cs="Arial"/>
          <w:b/>
          <w:bCs/>
        </w:rPr>
        <w:t>?</w:t>
      </w:r>
    </w:p>
    <w:p w14:paraId="274074A4" w14:textId="3583D7C3" w:rsidR="00BE06B6" w:rsidRDefault="00966175" w:rsidP="00BE06B6">
      <w:pPr>
        <w:pStyle w:val="ListParagraph"/>
        <w:rPr>
          <w:rFonts w:cs="Arial"/>
        </w:rPr>
      </w:pPr>
      <w:r>
        <w:rPr>
          <w:rFonts w:cs="Arial"/>
        </w:rPr>
        <w:t xml:space="preserve">Implementation or monitoring of a quality improvement project and evaluation of that project is only required if one or more applicable units has not achieved 95% BCMA scanning compliance. Otherwise, </w:t>
      </w:r>
      <w:r w:rsidR="00BE06B6">
        <w:rPr>
          <w:rFonts w:cs="Arial"/>
        </w:rPr>
        <w:t xml:space="preserve">the </w:t>
      </w:r>
      <w:r w:rsidR="00BE06B6" w:rsidRPr="001F2388">
        <w:rPr>
          <w:rFonts w:cs="Arial"/>
        </w:rPr>
        <w:t xml:space="preserve">hospital </w:t>
      </w:r>
      <w:r w:rsidR="00B90EA1">
        <w:rPr>
          <w:rFonts w:cs="Arial"/>
        </w:rPr>
        <w:t>does not need to</w:t>
      </w:r>
      <w:r w:rsidR="00BE06B6" w:rsidRPr="001F2388">
        <w:rPr>
          <w:rFonts w:cs="Arial"/>
        </w:rPr>
        <w:t xml:space="preserve"> implement or monitor a quality improvement pro</w:t>
      </w:r>
      <w:r w:rsidR="00BE06B6">
        <w:rPr>
          <w:rFonts w:cs="Arial"/>
        </w:rPr>
        <w:t>ject</w:t>
      </w:r>
      <w:r w:rsidR="00BE06B6" w:rsidRPr="001F2388">
        <w:rPr>
          <w:rFonts w:cs="Arial"/>
        </w:rPr>
        <w:t xml:space="preserve"> </w:t>
      </w:r>
      <w:r w:rsidR="00BF544B">
        <w:rPr>
          <w:rFonts w:cs="Arial"/>
        </w:rPr>
        <w:t xml:space="preserve">or </w:t>
      </w:r>
      <w:r w:rsidR="00233020">
        <w:rPr>
          <w:rFonts w:cs="Arial"/>
        </w:rPr>
        <w:t xml:space="preserve">evaluate that project if they have achieved 95% BCMA scanning compliance in </w:t>
      </w:r>
      <w:r w:rsidR="00233020" w:rsidRPr="00F35982">
        <w:rPr>
          <w:rFonts w:cs="Arial"/>
          <w:b/>
          <w:bCs/>
        </w:rPr>
        <w:t>all</w:t>
      </w:r>
      <w:r w:rsidR="00233020">
        <w:rPr>
          <w:rFonts w:cs="Arial"/>
        </w:rPr>
        <w:t xml:space="preserve"> applicable units based on quarterly monitoring of compliance. </w:t>
      </w:r>
      <w:r w:rsidR="00EA08EE">
        <w:rPr>
          <w:rFonts w:cs="Arial"/>
        </w:rPr>
        <w:t xml:space="preserve">In order to respond that this requirement does not apply, all applicable units must meet the 95% BCMA scanning compliance the quarter prior to submission of this section. </w:t>
      </w:r>
      <w:r w:rsidR="00233020">
        <w:rPr>
          <w:rFonts w:cs="Arial"/>
        </w:rPr>
        <w:t>Hospitals should respond accordingly to question #21f and must maintain quarterly documentation demonstrating their adherence in each unit.</w:t>
      </w:r>
    </w:p>
    <w:p w14:paraId="3102F81B" w14:textId="58FBAC30" w:rsidR="00BE06B6" w:rsidRDefault="00BE06B6" w:rsidP="00504834">
      <w:pPr>
        <w:pStyle w:val="ListParagraph"/>
        <w:rPr>
          <w:rFonts w:cs="Arial"/>
        </w:rPr>
      </w:pPr>
    </w:p>
    <w:p w14:paraId="51444054" w14:textId="1647255D" w:rsidR="0065334D" w:rsidRPr="009A5185" w:rsidRDefault="0065334D" w:rsidP="00AD309C">
      <w:pPr>
        <w:pStyle w:val="ListParagraph"/>
        <w:numPr>
          <w:ilvl w:val="0"/>
          <w:numId w:val="56"/>
        </w:numPr>
        <w:rPr>
          <w:rFonts w:cs="Arial"/>
          <w:b/>
          <w:bCs/>
        </w:rPr>
      </w:pPr>
      <w:r w:rsidRPr="009A5185">
        <w:rPr>
          <w:rFonts w:cs="Arial"/>
          <w:b/>
          <w:bCs/>
        </w:rPr>
        <w:t>What are some appropriate mechanisms for communicating back to end users for question #</w:t>
      </w:r>
      <w:r w:rsidR="00E50D95">
        <w:rPr>
          <w:rFonts w:cs="Arial"/>
          <w:b/>
          <w:bCs/>
        </w:rPr>
        <w:t>21</w:t>
      </w:r>
      <w:r w:rsidRPr="009A5185">
        <w:rPr>
          <w:rFonts w:cs="Arial"/>
          <w:b/>
          <w:bCs/>
        </w:rPr>
        <w:t>h?</w:t>
      </w:r>
    </w:p>
    <w:p w14:paraId="23EF98C2" w14:textId="77777777" w:rsidR="006A1E70" w:rsidRDefault="0065334D" w:rsidP="00CF4879">
      <w:pPr>
        <w:pStyle w:val="ListParagraph"/>
        <w:rPr>
          <w:rFonts w:cs="Arial"/>
        </w:rPr>
      </w:pPr>
      <w:r w:rsidRPr="009A5185">
        <w:rPr>
          <w:rFonts w:cs="Arial"/>
        </w:rPr>
        <w:t>Appropriate mechanisms for communicating back to end users would include staff meetings, safety briefings or unit huddles, or sharing in a Nursing Informatics eNewsletter, through a Medication Safety Team, or Quality Committee newsletter/flyer.</w:t>
      </w:r>
    </w:p>
    <w:p w14:paraId="3AB3DC23" w14:textId="77777777" w:rsidR="006A1E70" w:rsidRPr="00504834" w:rsidRDefault="006A1E70" w:rsidP="00CF4879">
      <w:pPr>
        <w:pStyle w:val="ListParagraph"/>
        <w:rPr>
          <w:rFonts w:cs="Arial"/>
          <w:sz w:val="16"/>
          <w:szCs w:val="16"/>
        </w:rPr>
      </w:pPr>
    </w:p>
    <w:p w14:paraId="2E9D0466" w14:textId="397FF97E" w:rsidR="0065334D" w:rsidRPr="009A5185" w:rsidRDefault="0065334D" w:rsidP="00CF4879">
      <w:pPr>
        <w:pStyle w:val="ListParagraph"/>
        <w:rPr>
          <w:b/>
          <w:i/>
        </w:rPr>
        <w:sectPr w:rsidR="0065334D" w:rsidRPr="009A5185" w:rsidSect="00062F69">
          <w:headerReference w:type="default" r:id="rId204"/>
          <w:endnotePr>
            <w:numFmt w:val="decimal"/>
          </w:endnotePr>
          <w:type w:val="continuous"/>
          <w:pgSz w:w="12240" w:h="15840"/>
          <w:pgMar w:top="1080" w:right="1440" w:bottom="1080" w:left="1440" w:header="720" w:footer="720" w:gutter="0"/>
          <w:cols w:space="720"/>
          <w:docGrid w:linePitch="272"/>
        </w:sectPr>
      </w:pPr>
    </w:p>
    <w:p w14:paraId="23731812" w14:textId="44586C3B" w:rsidR="0065334D" w:rsidRPr="009A5185" w:rsidRDefault="0065334D" w:rsidP="00AB5B80">
      <w:pPr>
        <w:pStyle w:val="Heading3"/>
      </w:pPr>
      <w:bookmarkStart w:id="222" w:name="_Medication_Reconciliation"/>
      <w:bookmarkStart w:id="223" w:name="_Toc225877704"/>
      <w:bookmarkEnd w:id="222"/>
      <w:r w:rsidRPr="009A5185">
        <w:t xml:space="preserve">Medication </w:t>
      </w:r>
      <w:r w:rsidR="000C2C54" w:rsidRPr="009A5185">
        <w:t>Reconci</w:t>
      </w:r>
      <w:r w:rsidR="000C2C54">
        <w:t>l</w:t>
      </w:r>
      <w:r w:rsidR="000C2C54" w:rsidRPr="009A5185">
        <w:t>iation</w:t>
      </w:r>
      <w:r w:rsidR="00B078B4">
        <w:t xml:space="preserve"> FAQs</w:t>
      </w:r>
      <w:bookmarkEnd w:id="223"/>
    </w:p>
    <w:p w14:paraId="1B84938E" w14:textId="6CD59AFB" w:rsidR="00910741" w:rsidRDefault="00910741">
      <w:pPr>
        <w:rPr>
          <w:b/>
          <w:color w:val="000000"/>
          <w:sz w:val="22"/>
          <w:lang w:eastAsia="ja-JP"/>
        </w:rPr>
      </w:pPr>
    </w:p>
    <w:p w14:paraId="72CD63DC" w14:textId="2FBA5CBD" w:rsidR="0065334D" w:rsidRPr="009A5185" w:rsidRDefault="0065334D" w:rsidP="00690C11">
      <w:pPr>
        <w:pStyle w:val="Heading44"/>
        <w:rPr>
          <w:lang w:eastAsia="ja-JP"/>
        </w:rPr>
      </w:pPr>
      <w:r w:rsidRPr="009A5185">
        <w:rPr>
          <w:lang w:eastAsia="ja-JP"/>
        </w:rPr>
        <w:t>Sampling</w:t>
      </w:r>
    </w:p>
    <w:p w14:paraId="4C7CD7BF" w14:textId="77777777" w:rsidR="0065334D" w:rsidRPr="00504834" w:rsidRDefault="0065334D" w:rsidP="0065334D">
      <w:pPr>
        <w:rPr>
          <w:rFonts w:cs="Arial"/>
          <w:sz w:val="16"/>
          <w:szCs w:val="16"/>
          <w:lang w:eastAsia="ja-JP"/>
        </w:rPr>
      </w:pPr>
    </w:p>
    <w:p w14:paraId="6C6D98B8" w14:textId="39AA6549" w:rsidR="0065334D" w:rsidRPr="009A5185" w:rsidRDefault="0065334D" w:rsidP="00AD309C">
      <w:pPr>
        <w:pStyle w:val="ListParagraph"/>
        <w:numPr>
          <w:ilvl w:val="0"/>
          <w:numId w:val="56"/>
        </w:numPr>
        <w:rPr>
          <w:rFonts w:cs="Arial"/>
          <w:b/>
        </w:rPr>
      </w:pPr>
      <w:r w:rsidRPr="009A5185">
        <w:rPr>
          <w:rFonts w:cs="Arial"/>
          <w:b/>
        </w:rPr>
        <w:t>Are we required to use Leapfrog's random sampling methodology?</w:t>
      </w:r>
    </w:p>
    <w:p w14:paraId="4388BEFC" w14:textId="77777777" w:rsidR="0065334D" w:rsidRDefault="0065334D" w:rsidP="0065334D">
      <w:pPr>
        <w:pStyle w:val="ListParagraph"/>
        <w:rPr>
          <w:rFonts w:cs="Arial"/>
          <w:lang w:eastAsia="ja-JP"/>
        </w:rPr>
      </w:pPr>
      <w:r>
        <w:rPr>
          <w:rFonts w:cs="Arial"/>
          <w:lang w:eastAsia="ja-JP"/>
        </w:rPr>
        <w:t xml:space="preserve">No. </w:t>
      </w:r>
      <w:r w:rsidRPr="009A5185">
        <w:rPr>
          <w:rFonts w:cs="Arial"/>
          <w:lang w:eastAsia="ja-JP"/>
        </w:rPr>
        <w:t>You may use a different sampling methodology from the methodology provided in the Medication Reconciliation Workbook. However, you should be sure to sample from different days of the week, including weekends.</w:t>
      </w:r>
    </w:p>
    <w:p w14:paraId="70139200" w14:textId="77777777" w:rsidR="0065334D" w:rsidRDefault="0065334D" w:rsidP="0065334D">
      <w:pPr>
        <w:pStyle w:val="ListParagraph"/>
        <w:rPr>
          <w:rFonts w:cs="Arial"/>
          <w:sz w:val="16"/>
          <w:szCs w:val="16"/>
          <w:lang w:eastAsia="ja-JP"/>
        </w:rPr>
      </w:pPr>
    </w:p>
    <w:p w14:paraId="726A369C" w14:textId="77777777" w:rsidR="003B6076" w:rsidRDefault="003B6076" w:rsidP="0065334D">
      <w:pPr>
        <w:pStyle w:val="ListParagraph"/>
        <w:rPr>
          <w:rFonts w:cs="Arial"/>
          <w:sz w:val="16"/>
          <w:szCs w:val="16"/>
          <w:lang w:eastAsia="ja-JP"/>
        </w:rPr>
      </w:pPr>
    </w:p>
    <w:p w14:paraId="654F7B7C" w14:textId="77777777" w:rsidR="003B6076" w:rsidRPr="00504834" w:rsidRDefault="003B6076" w:rsidP="0065334D">
      <w:pPr>
        <w:pStyle w:val="ListParagraph"/>
        <w:rPr>
          <w:rFonts w:cs="Arial"/>
          <w:sz w:val="16"/>
          <w:szCs w:val="16"/>
          <w:lang w:eastAsia="ja-JP"/>
        </w:rPr>
      </w:pPr>
    </w:p>
    <w:p w14:paraId="39D4FCA4" w14:textId="77777777" w:rsidR="0065334D" w:rsidRDefault="0065334D" w:rsidP="00AD309C">
      <w:pPr>
        <w:pStyle w:val="ListParagraph"/>
        <w:numPr>
          <w:ilvl w:val="0"/>
          <w:numId w:val="56"/>
        </w:numPr>
        <w:rPr>
          <w:rFonts w:cs="Arial"/>
          <w:b/>
          <w:lang w:eastAsia="ja-JP"/>
        </w:rPr>
      </w:pPr>
      <w:r w:rsidRPr="00823EF1">
        <w:rPr>
          <w:rFonts w:cs="Arial"/>
          <w:b/>
          <w:lang w:eastAsia="ja-JP"/>
        </w:rPr>
        <w:lastRenderedPageBreak/>
        <w:t>If the first few patients included in the sam</w:t>
      </w:r>
      <w:r>
        <w:rPr>
          <w:rFonts w:cs="Arial"/>
          <w:b/>
          <w:lang w:eastAsia="ja-JP"/>
        </w:rPr>
        <w:t>pl</w:t>
      </w:r>
      <w:r w:rsidRPr="00823EF1">
        <w:rPr>
          <w:rFonts w:cs="Arial"/>
          <w:b/>
          <w:lang w:eastAsia="ja-JP"/>
        </w:rPr>
        <w:t>e have zero gold standard medications, should we sample more than 30 patients?</w:t>
      </w:r>
    </w:p>
    <w:p w14:paraId="3AECF61F" w14:textId="77777777" w:rsidR="0065334D" w:rsidRDefault="0065334D" w:rsidP="0065334D">
      <w:pPr>
        <w:pStyle w:val="ListParagraph"/>
        <w:rPr>
          <w:rFonts w:cs="Arial"/>
          <w:bCs/>
          <w:lang w:eastAsia="ja-JP"/>
        </w:rPr>
      </w:pPr>
      <w:r w:rsidRPr="00823EF1">
        <w:rPr>
          <w:rFonts w:cs="Arial"/>
          <w:bCs/>
          <w:lang w:eastAsia="ja-JP"/>
        </w:rPr>
        <w:t>Yes, hospitals can sample more than 30 patients to ensure their rate of unintentional discrepancies per medication is scored and publicly reported. While 30 is the minimum sample size, hospitals are welcome to sample more than this.</w:t>
      </w:r>
    </w:p>
    <w:p w14:paraId="56DF96B0" w14:textId="77777777" w:rsidR="00B8601F" w:rsidRPr="00D36222" w:rsidRDefault="00B8601F" w:rsidP="001470A3">
      <w:pPr>
        <w:rPr>
          <w:rFonts w:cs="Arial"/>
          <w:b/>
          <w:sz w:val="16"/>
          <w:szCs w:val="16"/>
          <w:lang w:eastAsia="ja-JP"/>
        </w:rPr>
      </w:pPr>
    </w:p>
    <w:p w14:paraId="47C32DB2" w14:textId="77777777" w:rsidR="0065334D" w:rsidRPr="009A5185" w:rsidRDefault="0065334D" w:rsidP="00690C11">
      <w:pPr>
        <w:pStyle w:val="Heading44"/>
        <w:rPr>
          <w:lang w:eastAsia="ja-JP"/>
        </w:rPr>
      </w:pPr>
      <w:r w:rsidRPr="009A5185">
        <w:rPr>
          <w:lang w:eastAsia="ja-JP"/>
        </w:rPr>
        <w:t>Gold Standard Medication History</w:t>
      </w:r>
    </w:p>
    <w:p w14:paraId="25BCE9C5" w14:textId="77777777" w:rsidR="0065334D" w:rsidRPr="00D36222" w:rsidRDefault="0065334D" w:rsidP="0065334D">
      <w:pPr>
        <w:rPr>
          <w:rFonts w:cs="Arial"/>
          <w:sz w:val="16"/>
          <w:szCs w:val="16"/>
          <w:lang w:eastAsia="ja-JP"/>
        </w:rPr>
      </w:pPr>
    </w:p>
    <w:p w14:paraId="5B60F7D1" w14:textId="77777777" w:rsidR="0065334D" w:rsidRPr="009A5185" w:rsidRDefault="0065334D" w:rsidP="00AD309C">
      <w:pPr>
        <w:pStyle w:val="ListParagraph"/>
        <w:numPr>
          <w:ilvl w:val="0"/>
          <w:numId w:val="56"/>
        </w:numPr>
        <w:rPr>
          <w:rFonts w:cs="Arial"/>
        </w:rPr>
      </w:pPr>
      <w:r w:rsidRPr="009A5185">
        <w:rPr>
          <w:rFonts w:cs="Arial"/>
          <w:b/>
        </w:rPr>
        <w:t>A pharmacist</w:t>
      </w:r>
      <w:r>
        <w:rPr>
          <w:rFonts w:cs="Arial"/>
          <w:b/>
        </w:rPr>
        <w:t>, pharmacy resident,</w:t>
      </w:r>
      <w:r w:rsidRPr="009A5185">
        <w:rPr>
          <w:rFonts w:cs="Arial"/>
          <w:b/>
        </w:rPr>
        <w:t xml:space="preserve"> </w:t>
      </w:r>
      <w:r>
        <w:rPr>
          <w:rFonts w:cs="Arial"/>
          <w:b/>
        </w:rPr>
        <w:t xml:space="preserve">or certified pharmacy technician </w:t>
      </w:r>
      <w:r w:rsidRPr="009A5185">
        <w:rPr>
          <w:rFonts w:cs="Arial"/>
          <w:b/>
        </w:rPr>
        <w:t xml:space="preserve">creates the </w:t>
      </w:r>
      <w:r>
        <w:rPr>
          <w:rFonts w:cs="Arial"/>
          <w:b/>
        </w:rPr>
        <w:t>p</w:t>
      </w:r>
      <w:r w:rsidRPr="009A5185">
        <w:rPr>
          <w:rFonts w:cs="Arial"/>
          <w:b/>
        </w:rPr>
        <w:t>re-admission Medical List as part of normal care. Can this be used as the Gold Standard Medication List?</w:t>
      </w:r>
    </w:p>
    <w:p w14:paraId="28A44CE7" w14:textId="42712F3C" w:rsidR="0065334D" w:rsidRDefault="0065334D" w:rsidP="00D36222">
      <w:pPr>
        <w:pStyle w:val="ListParagraph"/>
        <w:rPr>
          <w:rFonts w:cs="Arial"/>
        </w:rPr>
      </w:pPr>
      <w:r w:rsidRPr="009A5185">
        <w:rPr>
          <w:rFonts w:cs="Arial"/>
        </w:rPr>
        <w:t>No, a different trained pharmacist</w:t>
      </w:r>
      <w:r>
        <w:rPr>
          <w:rFonts w:cs="Arial"/>
        </w:rPr>
        <w:t xml:space="preserve">, pharmacy resident, or </w:t>
      </w:r>
      <w:hyperlink w:anchor="CertifiedPharmacyTechnician" w:history="1">
        <w:r w:rsidRPr="0057191C">
          <w:rPr>
            <w:rStyle w:val="Hyperlink"/>
            <w:rFonts w:cs="Arial"/>
          </w:rPr>
          <w:t>certified pharmacy technician</w:t>
        </w:r>
      </w:hyperlink>
      <w:r w:rsidR="00A577A6" w:rsidRPr="00A577A6">
        <w:rPr>
          <w:rFonts w:cs="Arial"/>
          <w:vertAlign w:val="superscript"/>
        </w:rPr>
        <w:t>23</w:t>
      </w:r>
      <w:r w:rsidRPr="009A5185">
        <w:rPr>
          <w:rFonts w:cs="Arial"/>
        </w:rPr>
        <w:t xml:space="preserve"> should collect the Gold Standard Medication List when collecting data for this measure.</w:t>
      </w:r>
    </w:p>
    <w:p w14:paraId="7CD15414" w14:textId="77777777" w:rsidR="00444BB8" w:rsidRDefault="00444BB8" w:rsidP="00D36222">
      <w:pPr>
        <w:pStyle w:val="ListParagraph"/>
        <w:rPr>
          <w:sz w:val="16"/>
          <w:szCs w:val="16"/>
        </w:rPr>
      </w:pPr>
    </w:p>
    <w:p w14:paraId="4226EF91" w14:textId="77777777" w:rsidR="0065334D" w:rsidRPr="009A5185" w:rsidRDefault="0065334D" w:rsidP="00AD309C">
      <w:pPr>
        <w:pStyle w:val="ListParagraph"/>
        <w:numPr>
          <w:ilvl w:val="0"/>
          <w:numId w:val="56"/>
        </w:numPr>
        <w:rPr>
          <w:rFonts w:cs="Arial"/>
          <w:b/>
        </w:rPr>
      </w:pPr>
      <w:r w:rsidRPr="009A5185">
        <w:rPr>
          <w:rFonts w:cs="Arial"/>
          <w:b/>
        </w:rPr>
        <w:t>Does the same pharmacist</w:t>
      </w:r>
      <w:r>
        <w:rPr>
          <w:rFonts w:cs="Arial"/>
          <w:b/>
        </w:rPr>
        <w:t>, pharmacy resident,</w:t>
      </w:r>
      <w:r w:rsidRPr="009A5185">
        <w:rPr>
          <w:rFonts w:cs="Arial"/>
          <w:b/>
        </w:rPr>
        <w:t xml:space="preserve"> </w:t>
      </w:r>
      <w:r>
        <w:rPr>
          <w:rFonts w:cs="Arial"/>
          <w:b/>
        </w:rPr>
        <w:t xml:space="preserve">or certified pharmacy technician who obtains </w:t>
      </w:r>
      <w:r w:rsidRPr="009A5185">
        <w:rPr>
          <w:rFonts w:cs="Arial"/>
          <w:b/>
        </w:rPr>
        <w:t xml:space="preserve">the Gold Standard Medication List </w:t>
      </w:r>
      <w:r>
        <w:rPr>
          <w:rFonts w:cs="Arial"/>
          <w:b/>
        </w:rPr>
        <w:t xml:space="preserve">also need to </w:t>
      </w:r>
      <w:r w:rsidRPr="009A5185">
        <w:rPr>
          <w:rFonts w:cs="Arial"/>
          <w:b/>
        </w:rPr>
        <w:t xml:space="preserve">perform the review to identify unintentional medication discrepancies? </w:t>
      </w:r>
    </w:p>
    <w:p w14:paraId="6AC1699C" w14:textId="0E6A7925" w:rsidR="0065334D" w:rsidRPr="009A5185" w:rsidRDefault="0065334D" w:rsidP="0065334D">
      <w:pPr>
        <w:pStyle w:val="ListParagraph"/>
        <w:rPr>
          <w:rFonts w:cs="Arial"/>
          <w:lang w:eastAsia="ja-JP"/>
        </w:rPr>
      </w:pPr>
      <w:r w:rsidRPr="009A5185">
        <w:rPr>
          <w:rFonts w:cs="Arial"/>
          <w:lang w:eastAsia="ja-JP"/>
        </w:rPr>
        <w:t>No, different pharmacists</w:t>
      </w:r>
      <w:r>
        <w:rPr>
          <w:rFonts w:cs="Arial"/>
          <w:lang w:eastAsia="ja-JP"/>
        </w:rPr>
        <w:t xml:space="preserve"> or pharmacy residents </w:t>
      </w:r>
      <w:r w:rsidRPr="009A5185">
        <w:rPr>
          <w:rFonts w:cs="Arial"/>
          <w:lang w:eastAsia="ja-JP"/>
        </w:rPr>
        <w:t>can play different roles in the data collection process.</w:t>
      </w:r>
      <w:r>
        <w:rPr>
          <w:rFonts w:cs="Arial"/>
          <w:lang w:eastAsia="ja-JP"/>
        </w:rPr>
        <w:t xml:space="preserve"> Only pharmacists and pharmacy residents </w:t>
      </w:r>
      <w:r w:rsidR="00E46668">
        <w:rPr>
          <w:rFonts w:cs="Arial"/>
          <w:lang w:eastAsia="ja-JP"/>
        </w:rPr>
        <w:t>can</w:t>
      </w:r>
      <w:r>
        <w:rPr>
          <w:rFonts w:cs="Arial"/>
          <w:lang w:eastAsia="ja-JP"/>
        </w:rPr>
        <w:t xml:space="preserve"> compare the Gold Standard Medication List to admission and discharge orders to identify unintentional medication discrepancies.</w:t>
      </w:r>
    </w:p>
    <w:p w14:paraId="18FD8102" w14:textId="77777777" w:rsidR="0065334D" w:rsidRPr="00504834" w:rsidRDefault="0065334D" w:rsidP="0065334D">
      <w:pPr>
        <w:rPr>
          <w:rFonts w:cs="Arial"/>
          <w:sz w:val="16"/>
          <w:szCs w:val="16"/>
          <w:lang w:eastAsia="ja-JP"/>
        </w:rPr>
      </w:pPr>
    </w:p>
    <w:p w14:paraId="504ADC74" w14:textId="77777777" w:rsidR="0065334D" w:rsidRPr="009A5185" w:rsidRDefault="0065334D" w:rsidP="00AD309C">
      <w:pPr>
        <w:pStyle w:val="ListParagraph"/>
        <w:numPr>
          <w:ilvl w:val="0"/>
          <w:numId w:val="56"/>
        </w:numPr>
        <w:rPr>
          <w:rFonts w:cs="Arial"/>
          <w:b/>
          <w:lang w:eastAsia="ja-JP"/>
        </w:rPr>
      </w:pPr>
      <w:r w:rsidRPr="009A5185">
        <w:rPr>
          <w:rFonts w:cs="Arial"/>
          <w:b/>
          <w:lang w:eastAsia="ja-JP"/>
        </w:rPr>
        <w:t>We have two differing records of what dose the patient was taking prior to admission, one from the patient and one from the outpatient pharmacy. What do we record as the correct dose for the Gold Standard Medication?</w:t>
      </w:r>
    </w:p>
    <w:p w14:paraId="62F826DB" w14:textId="77777777" w:rsidR="0065334D" w:rsidRPr="009A5185" w:rsidRDefault="0065334D" w:rsidP="0065334D">
      <w:pPr>
        <w:pStyle w:val="ListParagraph"/>
        <w:rPr>
          <w:rFonts w:cs="Arial"/>
          <w:lang w:eastAsia="ja-JP"/>
        </w:rPr>
      </w:pPr>
      <w:r w:rsidRPr="009A5185">
        <w:rPr>
          <w:rFonts w:cs="Arial"/>
          <w:lang w:eastAsia="ja-JP"/>
        </w:rPr>
        <w:t>In cases where the medication history obtained from interviewing the patient does not match other written records, the pharmacist</w:t>
      </w:r>
      <w:r>
        <w:rPr>
          <w:rFonts w:cs="Arial"/>
          <w:lang w:eastAsia="ja-JP"/>
        </w:rPr>
        <w:t xml:space="preserve"> </w:t>
      </w:r>
      <w:r w:rsidRPr="009A5185">
        <w:rPr>
          <w:rFonts w:cs="Arial"/>
          <w:lang w:eastAsia="ja-JP"/>
        </w:rPr>
        <w:t>will need to go back to the patient with the pharmacy records in hand and figure out the source of the discrepancy (e.g., the patient systematically takes it differently than prescribed vs. the patient was just mistaken about the strength of the pill, etc.). If the discrepancy can’t be resolved, then another source will be needed (e.g., caregiver, PCP).</w:t>
      </w:r>
    </w:p>
    <w:p w14:paraId="3E88F4C0" w14:textId="77777777" w:rsidR="006769A2" w:rsidRPr="00504834" w:rsidRDefault="006769A2" w:rsidP="0065334D">
      <w:pPr>
        <w:pStyle w:val="ListParagraph"/>
        <w:rPr>
          <w:rFonts w:cs="Arial"/>
          <w:sz w:val="16"/>
          <w:szCs w:val="16"/>
          <w:lang w:eastAsia="ja-JP"/>
        </w:rPr>
      </w:pPr>
    </w:p>
    <w:p w14:paraId="05550B98" w14:textId="77777777" w:rsidR="0065334D" w:rsidRPr="009A5185" w:rsidRDefault="0065334D" w:rsidP="007B5351">
      <w:pPr>
        <w:pStyle w:val="Heading44"/>
        <w:rPr>
          <w:lang w:eastAsia="ja-JP"/>
        </w:rPr>
      </w:pPr>
      <w:r w:rsidRPr="009A5185">
        <w:rPr>
          <w:lang w:eastAsia="ja-JP"/>
        </w:rPr>
        <w:t>Admission and Discharge Orders</w:t>
      </w:r>
    </w:p>
    <w:p w14:paraId="2AAA6876" w14:textId="77777777" w:rsidR="0065334D" w:rsidRPr="00504834" w:rsidRDefault="0065334D" w:rsidP="0065334D">
      <w:pPr>
        <w:rPr>
          <w:rFonts w:cs="Arial"/>
          <w:sz w:val="16"/>
          <w:szCs w:val="16"/>
          <w:lang w:eastAsia="ja-JP"/>
        </w:rPr>
      </w:pPr>
    </w:p>
    <w:p w14:paraId="66765114" w14:textId="77777777" w:rsidR="0065334D" w:rsidRPr="009A5185" w:rsidRDefault="0065334D" w:rsidP="00AD309C">
      <w:pPr>
        <w:pStyle w:val="ListParagraph"/>
        <w:numPr>
          <w:ilvl w:val="0"/>
          <w:numId w:val="56"/>
        </w:numPr>
        <w:rPr>
          <w:rFonts w:cs="Arial"/>
          <w:b/>
          <w:lang w:eastAsia="ja-JP"/>
        </w:rPr>
      </w:pPr>
      <w:r w:rsidRPr="009A5185">
        <w:rPr>
          <w:rFonts w:cs="Arial"/>
          <w:b/>
          <w:lang w:eastAsia="ja-JP"/>
        </w:rPr>
        <w:t>Are there any types of admission orders that can or should be excluded?</w:t>
      </w:r>
    </w:p>
    <w:p w14:paraId="641160C7" w14:textId="77777777" w:rsidR="0065334D" w:rsidRPr="009A5185" w:rsidRDefault="0065334D" w:rsidP="0065334D">
      <w:pPr>
        <w:pStyle w:val="ListParagraph"/>
        <w:rPr>
          <w:rFonts w:cs="Arial"/>
          <w:lang w:eastAsia="ja-JP"/>
        </w:rPr>
      </w:pPr>
      <w:r w:rsidRPr="009A5185">
        <w:rPr>
          <w:rFonts w:cs="Arial"/>
          <w:lang w:eastAsia="ja-JP"/>
        </w:rPr>
        <w:t xml:space="preserve">Yes, (a) Medication orders that are clearly related to the chief complaint (e.g., levofloxacin for pneumonia when pneumonia is the admitting diagnosis), (b) Medication orders that </w:t>
      </w:r>
      <w:r>
        <w:rPr>
          <w:rFonts w:cs="Arial"/>
          <w:lang w:eastAsia="ja-JP"/>
        </w:rPr>
        <w:t xml:space="preserve">are </w:t>
      </w:r>
      <w:r w:rsidRPr="009A5185">
        <w:rPr>
          <w:rFonts w:cs="Arial"/>
          <w:lang w:eastAsia="ja-JP"/>
        </w:rPr>
        <w:t xml:space="preserve">clearly documented (e.g., </w:t>
      </w:r>
      <w:r>
        <w:rPr>
          <w:rFonts w:cs="Arial"/>
          <w:lang w:eastAsia="ja-JP"/>
        </w:rPr>
        <w:t>L</w:t>
      </w:r>
      <w:r w:rsidRPr="009A5185">
        <w:rPr>
          <w:rFonts w:cs="Arial"/>
          <w:lang w:eastAsia="ja-JP"/>
        </w:rPr>
        <w:t>ovenox for DVT prophylaxis), and (c) Standard PRN orders at your hospital (e.g., Tylenol PM if that is in the standard order set at your hospital).</w:t>
      </w:r>
    </w:p>
    <w:p w14:paraId="363B50F8" w14:textId="77777777" w:rsidR="007B5351" w:rsidRPr="00504834" w:rsidRDefault="007B5351" w:rsidP="0065334D">
      <w:pPr>
        <w:pStyle w:val="ListParagraph"/>
        <w:rPr>
          <w:rFonts w:cs="Arial"/>
          <w:sz w:val="16"/>
          <w:szCs w:val="16"/>
          <w:lang w:eastAsia="ja-JP"/>
        </w:rPr>
      </w:pPr>
    </w:p>
    <w:p w14:paraId="5736C826" w14:textId="77777777" w:rsidR="0065334D" w:rsidRPr="009A5185" w:rsidRDefault="0065334D" w:rsidP="00AD309C">
      <w:pPr>
        <w:pStyle w:val="ListParagraph"/>
        <w:numPr>
          <w:ilvl w:val="0"/>
          <w:numId w:val="56"/>
        </w:numPr>
        <w:rPr>
          <w:rFonts w:cs="Arial"/>
          <w:b/>
          <w:lang w:eastAsia="ja-JP"/>
        </w:rPr>
      </w:pPr>
      <w:r w:rsidRPr="009A5185">
        <w:rPr>
          <w:rFonts w:cs="Arial"/>
          <w:b/>
          <w:lang w:eastAsia="ja-JP"/>
        </w:rPr>
        <w:t xml:space="preserve">Should admission orders that are discontinued prior to discharge be included? </w:t>
      </w:r>
    </w:p>
    <w:p w14:paraId="492A9081" w14:textId="7E540DD9" w:rsidR="00FB2D5F" w:rsidRDefault="0065334D" w:rsidP="00504834">
      <w:pPr>
        <w:ind w:left="720"/>
        <w:rPr>
          <w:rFonts w:cs="Arial"/>
          <w:lang w:eastAsia="ja-JP"/>
        </w:rPr>
      </w:pPr>
      <w:r w:rsidRPr="009A5185">
        <w:rPr>
          <w:rFonts w:cs="Arial"/>
          <w:lang w:eastAsia="ja-JP"/>
        </w:rPr>
        <w:t>Yes. Some of these orders may end up being counted in question #</w:t>
      </w:r>
      <w:r>
        <w:rPr>
          <w:rFonts w:cs="Arial"/>
          <w:lang w:eastAsia="ja-JP"/>
        </w:rPr>
        <w:t>7</w:t>
      </w:r>
      <w:r w:rsidRPr="009A5185">
        <w:rPr>
          <w:rFonts w:cs="Arial"/>
          <w:lang w:eastAsia="ja-JP"/>
        </w:rPr>
        <w:t xml:space="preserve"> (additional medications that were unintentionally ordered). </w:t>
      </w:r>
    </w:p>
    <w:p w14:paraId="2EDF7C97" w14:textId="738D44CD" w:rsidR="00910741" w:rsidRDefault="00910741">
      <w:pPr>
        <w:rPr>
          <w:b/>
          <w:color w:val="000000"/>
          <w:sz w:val="22"/>
          <w:lang w:eastAsia="ja-JP"/>
        </w:rPr>
      </w:pPr>
    </w:p>
    <w:p w14:paraId="4ADFC879" w14:textId="481D80B5" w:rsidR="0065334D" w:rsidRPr="009A5185" w:rsidRDefault="0065334D" w:rsidP="00690C11">
      <w:pPr>
        <w:pStyle w:val="Heading44"/>
        <w:rPr>
          <w:lang w:eastAsia="ja-JP"/>
        </w:rPr>
      </w:pPr>
      <w:r w:rsidRPr="009A5185">
        <w:rPr>
          <w:lang w:eastAsia="ja-JP"/>
        </w:rPr>
        <w:t>Identifying Discrepancies</w:t>
      </w:r>
    </w:p>
    <w:p w14:paraId="061AB615" w14:textId="77777777" w:rsidR="0065334D" w:rsidRPr="00504834" w:rsidRDefault="0065334D" w:rsidP="0065334D">
      <w:pPr>
        <w:pStyle w:val="ListParagraph"/>
        <w:rPr>
          <w:rFonts w:cs="Arial"/>
          <w:b/>
          <w:sz w:val="16"/>
          <w:szCs w:val="16"/>
          <w:lang w:eastAsia="ja-JP"/>
        </w:rPr>
      </w:pPr>
    </w:p>
    <w:p w14:paraId="49C7FB3A" w14:textId="77777777" w:rsidR="0065334D" w:rsidRPr="009A5185" w:rsidRDefault="0065334D" w:rsidP="00AD309C">
      <w:pPr>
        <w:pStyle w:val="ListParagraph"/>
        <w:numPr>
          <w:ilvl w:val="0"/>
          <w:numId w:val="56"/>
        </w:numPr>
        <w:rPr>
          <w:rFonts w:cs="Arial"/>
          <w:b/>
          <w:lang w:eastAsia="ja-JP"/>
        </w:rPr>
      </w:pPr>
      <w:r w:rsidRPr="009A5185">
        <w:rPr>
          <w:rFonts w:cs="Arial"/>
          <w:b/>
          <w:lang w:eastAsia="ja-JP"/>
        </w:rPr>
        <w:t>If a dose and a route discrepancy are found for the same medication, does it count as one or two in the number of unintentional discrepancies?</w:t>
      </w:r>
    </w:p>
    <w:p w14:paraId="17FDB15F" w14:textId="76C3893B" w:rsidR="0065334D" w:rsidRPr="009A5185" w:rsidRDefault="0065334D" w:rsidP="0065334D">
      <w:pPr>
        <w:pStyle w:val="ListParagraph"/>
        <w:rPr>
          <w:rFonts w:cs="Arial"/>
        </w:rPr>
      </w:pPr>
      <w:r w:rsidRPr="009A5185">
        <w:rPr>
          <w:rFonts w:cs="Arial"/>
          <w:lang w:eastAsia="ja-JP"/>
        </w:rPr>
        <w:t xml:space="preserve">The number of unintentional discrepancies is a count of medication orders where an unintentional discrepancy occurred. A medication order may have several errors associated with it (e.g., dose, route, timing, etc.). You should not count the number of errors associated with the same medication order. However, discrepancies </w:t>
      </w:r>
      <w:r w:rsidR="0064401B">
        <w:rPr>
          <w:rFonts w:cs="Arial"/>
          <w:lang w:eastAsia="ja-JP"/>
        </w:rPr>
        <w:t xml:space="preserve">in </w:t>
      </w:r>
      <w:r w:rsidRPr="009A5185">
        <w:rPr>
          <w:rFonts w:cs="Arial"/>
          <w:lang w:eastAsia="ja-JP"/>
        </w:rPr>
        <w:t>admission orders and discharge orders are counted separately. For example,</w:t>
      </w:r>
      <w:r w:rsidRPr="009A5185">
        <w:rPr>
          <w:rFonts w:cs="Arial"/>
        </w:rPr>
        <w:t xml:space="preserve"> if a medication on the </w:t>
      </w:r>
      <w:r>
        <w:rPr>
          <w:rFonts w:cs="Arial"/>
        </w:rPr>
        <w:t>G</w:t>
      </w:r>
      <w:r w:rsidRPr="009A5185">
        <w:rPr>
          <w:rFonts w:cs="Arial"/>
        </w:rPr>
        <w:t xml:space="preserve">old </w:t>
      </w:r>
      <w:r>
        <w:rPr>
          <w:rFonts w:cs="Arial"/>
        </w:rPr>
        <w:t>S</w:t>
      </w:r>
      <w:r w:rsidRPr="009A5185">
        <w:rPr>
          <w:rFonts w:cs="Arial"/>
        </w:rPr>
        <w:t xml:space="preserve">tandard </w:t>
      </w:r>
      <w:r>
        <w:rPr>
          <w:rFonts w:cs="Arial"/>
        </w:rPr>
        <w:t>Medication L</w:t>
      </w:r>
      <w:r w:rsidRPr="009A5185">
        <w:rPr>
          <w:rFonts w:cs="Arial"/>
        </w:rPr>
        <w:t>ist is ordered for a patient on admission with the incorrect dose, this counts as one discrepancy. If this medication is ordered on discharge with the same incorrect dose, this would count as a second discrepancy. But a medication with a dose and frequency discrepancy in admission orders counts as one discrepancy.</w:t>
      </w:r>
    </w:p>
    <w:p w14:paraId="7A8A400E" w14:textId="77777777" w:rsidR="0065334D" w:rsidRDefault="0065334D" w:rsidP="0065334D">
      <w:pPr>
        <w:pStyle w:val="ListParagraph"/>
        <w:rPr>
          <w:rFonts w:cs="Arial"/>
          <w:sz w:val="16"/>
          <w:szCs w:val="16"/>
          <w:lang w:eastAsia="ja-JP"/>
        </w:rPr>
      </w:pPr>
    </w:p>
    <w:p w14:paraId="209702F2" w14:textId="77777777" w:rsidR="003B6076" w:rsidRPr="00504834" w:rsidRDefault="003B6076" w:rsidP="0065334D">
      <w:pPr>
        <w:pStyle w:val="ListParagraph"/>
        <w:rPr>
          <w:rFonts w:cs="Arial"/>
          <w:sz w:val="16"/>
          <w:szCs w:val="16"/>
          <w:lang w:eastAsia="ja-JP"/>
        </w:rPr>
      </w:pPr>
    </w:p>
    <w:p w14:paraId="24C86248" w14:textId="0C18A91D" w:rsidR="0065334D" w:rsidRPr="009A5185" w:rsidRDefault="0065334D" w:rsidP="00AD309C">
      <w:pPr>
        <w:pStyle w:val="ListParagraph"/>
        <w:numPr>
          <w:ilvl w:val="0"/>
          <w:numId w:val="56"/>
        </w:numPr>
        <w:rPr>
          <w:rFonts w:cs="Arial"/>
          <w:lang w:eastAsia="ja-JP"/>
        </w:rPr>
      </w:pPr>
      <w:r w:rsidRPr="009A5185">
        <w:rPr>
          <w:rFonts w:cs="Arial"/>
          <w:b/>
          <w:lang w:eastAsia="ja-JP"/>
        </w:rPr>
        <w:lastRenderedPageBreak/>
        <w:t>Do all the additional medications that were ordered unintentionally in question #</w:t>
      </w:r>
      <w:r>
        <w:rPr>
          <w:rFonts w:cs="Arial"/>
          <w:b/>
          <w:lang w:eastAsia="ja-JP"/>
        </w:rPr>
        <w:t>7</w:t>
      </w:r>
      <w:r w:rsidRPr="009A5185">
        <w:rPr>
          <w:rFonts w:cs="Arial"/>
          <w:b/>
          <w:lang w:eastAsia="ja-JP"/>
        </w:rPr>
        <w:t xml:space="preserve"> count as unintentional discrepancies in #</w:t>
      </w:r>
      <w:r>
        <w:rPr>
          <w:rFonts w:cs="Arial"/>
          <w:b/>
          <w:lang w:eastAsia="ja-JP"/>
        </w:rPr>
        <w:t>8</w:t>
      </w:r>
      <w:r w:rsidRPr="009A5185">
        <w:rPr>
          <w:rFonts w:cs="Arial"/>
          <w:lang w:eastAsia="ja-JP"/>
        </w:rPr>
        <w:t>?</w:t>
      </w:r>
    </w:p>
    <w:p w14:paraId="366F2E1D" w14:textId="77777777" w:rsidR="0065334D" w:rsidRDefault="0065334D" w:rsidP="0065334D">
      <w:pPr>
        <w:pStyle w:val="ListParagraph"/>
        <w:rPr>
          <w:rFonts w:cs="Arial"/>
        </w:rPr>
      </w:pPr>
      <w:r w:rsidRPr="009A5185">
        <w:rPr>
          <w:rFonts w:cs="Arial"/>
          <w:lang w:eastAsia="ja-JP"/>
        </w:rPr>
        <w:t>Yes. I</w:t>
      </w:r>
      <w:r w:rsidRPr="009A5185">
        <w:rPr>
          <w:rFonts w:cs="Arial"/>
        </w:rPr>
        <w:t xml:space="preserve">f a medication is unintentionally ordered at admission, then this counts as one discrepancy. If the same medication is unintentionally ordered </w:t>
      </w:r>
      <w:r w:rsidRPr="009A5185">
        <w:rPr>
          <w:rFonts w:cs="Arial"/>
          <w:lang w:eastAsia="ja-JP"/>
        </w:rPr>
        <w:t>at</w:t>
      </w:r>
      <w:r w:rsidRPr="009A5185">
        <w:rPr>
          <w:rFonts w:cs="Arial"/>
        </w:rPr>
        <w:t xml:space="preserve"> discharge, then this counts as a second discrepancy. If an unintentionally ordered medication in question #</w:t>
      </w:r>
      <w:r>
        <w:rPr>
          <w:rFonts w:cs="Arial"/>
        </w:rPr>
        <w:t>7</w:t>
      </w:r>
      <w:r w:rsidRPr="009A5185">
        <w:rPr>
          <w:rFonts w:cs="Arial"/>
        </w:rPr>
        <w:t xml:space="preserve"> was ordered on both admission and discharge, then this would count as </w:t>
      </w:r>
      <w:r w:rsidRPr="009A5185">
        <w:rPr>
          <w:rFonts w:cs="Arial"/>
          <w:b/>
        </w:rPr>
        <w:t>two</w:t>
      </w:r>
      <w:r w:rsidRPr="009A5185">
        <w:rPr>
          <w:rFonts w:cs="Arial"/>
        </w:rPr>
        <w:t xml:space="preserve"> discrepancies in question #</w:t>
      </w:r>
      <w:r>
        <w:rPr>
          <w:rFonts w:cs="Arial"/>
        </w:rPr>
        <w:t>8</w:t>
      </w:r>
      <w:r w:rsidRPr="009A5185">
        <w:rPr>
          <w:rFonts w:cs="Arial"/>
        </w:rPr>
        <w:t xml:space="preserve"> (but counts as one medication in question #</w:t>
      </w:r>
      <w:r>
        <w:rPr>
          <w:rFonts w:cs="Arial"/>
        </w:rPr>
        <w:t>7</w:t>
      </w:r>
      <w:r w:rsidRPr="009A5185">
        <w:rPr>
          <w:rFonts w:cs="Arial"/>
        </w:rPr>
        <w:t>).</w:t>
      </w:r>
    </w:p>
    <w:p w14:paraId="6248CCB9" w14:textId="77777777" w:rsidR="0065334D" w:rsidRPr="00504834" w:rsidRDefault="0065334D" w:rsidP="0065334D">
      <w:pPr>
        <w:pStyle w:val="ListParagraph"/>
        <w:rPr>
          <w:rFonts w:cs="Arial"/>
          <w:sz w:val="16"/>
          <w:szCs w:val="16"/>
        </w:rPr>
      </w:pPr>
    </w:p>
    <w:p w14:paraId="1DE2CC45" w14:textId="77777777" w:rsidR="0065334D" w:rsidRPr="00ED6831" w:rsidRDefault="0065334D" w:rsidP="00AD309C">
      <w:pPr>
        <w:pStyle w:val="ListParagraph"/>
        <w:numPr>
          <w:ilvl w:val="0"/>
          <w:numId w:val="56"/>
        </w:numPr>
        <w:rPr>
          <w:rFonts w:cs="Arial"/>
          <w:b/>
          <w:bCs/>
        </w:rPr>
      </w:pPr>
      <w:r w:rsidRPr="00ED6831">
        <w:rPr>
          <w:rFonts w:cs="Arial"/>
          <w:b/>
          <w:bCs/>
        </w:rPr>
        <w:t>If there is no documentation of systematic or sporadic nonadherence, why does the pharmacist have to count unintentional discrepancies on admission and discharge?</w:t>
      </w:r>
    </w:p>
    <w:p w14:paraId="20C33E99" w14:textId="77777777" w:rsidR="0065334D" w:rsidRPr="00ED6831" w:rsidRDefault="0065334D" w:rsidP="0065334D">
      <w:pPr>
        <w:pStyle w:val="ListParagraph"/>
        <w:rPr>
          <w:rFonts w:cs="Arial"/>
        </w:rPr>
      </w:pPr>
      <w:r w:rsidRPr="00ED6831">
        <w:rPr>
          <w:rFonts w:cs="Arial"/>
        </w:rPr>
        <w:t xml:space="preserve">Systematically non-adherent means the patient consistently takes the medication differently than prescribed. Lack of appropriate documentation of systematic non-adherence can lead to an adverse drug event. For example, if a patient is prescribed hydralazine 25mg three times a day, but always takes 25mg two times a day this must be documented in the clinical record so the care team can </w:t>
      </w:r>
      <w:r>
        <w:rPr>
          <w:rFonts w:cs="Arial"/>
        </w:rPr>
        <w:t>decide</w:t>
      </w:r>
      <w:r w:rsidRPr="00ED6831">
        <w:rPr>
          <w:rFonts w:cs="Arial"/>
        </w:rPr>
        <w:t xml:space="preserve"> how to order the medication on admission and discharge (i.e., recorded on the Med Rec Worksheet as an intentional discrepancy). If the systematic non-adherence is not documented and the care team is unaware</w:t>
      </w:r>
      <w:r>
        <w:rPr>
          <w:rFonts w:cs="Arial"/>
        </w:rPr>
        <w:t xml:space="preserve"> of</w:t>
      </w:r>
      <w:r w:rsidRPr="00ED6831">
        <w:rPr>
          <w:rFonts w:cs="Arial"/>
        </w:rPr>
        <w:t xml:space="preserve"> how the patient has been taking the medication, they could order and administer it as prescribed and cause, in this example, hypotension in the patient. </w:t>
      </w:r>
    </w:p>
    <w:p w14:paraId="7D452AA7" w14:textId="77777777" w:rsidR="0065334D" w:rsidRPr="00504834" w:rsidRDefault="0065334D" w:rsidP="0065334D">
      <w:pPr>
        <w:pStyle w:val="ListParagraph"/>
        <w:rPr>
          <w:rFonts w:cs="Arial"/>
          <w:sz w:val="16"/>
          <w:szCs w:val="16"/>
        </w:rPr>
      </w:pPr>
    </w:p>
    <w:p w14:paraId="618235E9" w14:textId="77777777" w:rsidR="0065334D" w:rsidRDefault="0065334D" w:rsidP="0065334D">
      <w:pPr>
        <w:pStyle w:val="ListParagraph"/>
        <w:rPr>
          <w:rFonts w:cs="Arial"/>
        </w:rPr>
      </w:pPr>
      <w:r w:rsidRPr="00ED6831">
        <w:rPr>
          <w:rFonts w:cs="Arial"/>
        </w:rPr>
        <w:t>Sporadically non-adherent means that the patient takes the medication as prescribed but, on average, misses two or more doses per week. Lack of appropriate documentation of sporadic non-adherence can lead to an adverse drug event. For example, if a patient is prescribed four antihypertensives, but misses two or more doses per week, this must be documented in the clinical record so the care team can</w:t>
      </w:r>
      <w:r>
        <w:rPr>
          <w:rFonts w:cs="Arial"/>
        </w:rPr>
        <w:t xml:space="preserve"> decide</w:t>
      </w:r>
      <w:r w:rsidRPr="00ED6831">
        <w:rPr>
          <w:rFonts w:cs="Arial"/>
        </w:rPr>
        <w:t xml:space="preserve"> how to order the medication on admission and discharge (i.e., recorded on the Med Rec Worksheet as an intentional discrepancy). If the sporadic non-adherence is not documented and the care team is unaware </w:t>
      </w:r>
      <w:r>
        <w:rPr>
          <w:rFonts w:cs="Arial"/>
        </w:rPr>
        <w:t xml:space="preserve">of </w:t>
      </w:r>
      <w:r w:rsidRPr="00ED6831">
        <w:rPr>
          <w:rFonts w:cs="Arial"/>
        </w:rPr>
        <w:t>how the patient has been taking the medication, they could order and administer it as prescribed and cause, in this example, hypotension in the patient.</w:t>
      </w:r>
    </w:p>
    <w:p w14:paraId="241A28A9" w14:textId="77777777" w:rsidR="006769A2" w:rsidRPr="00504834" w:rsidRDefault="006769A2" w:rsidP="0065334D">
      <w:pPr>
        <w:pStyle w:val="ListParagraph"/>
        <w:rPr>
          <w:rFonts w:cs="Arial"/>
          <w:sz w:val="16"/>
          <w:szCs w:val="16"/>
        </w:rPr>
      </w:pPr>
    </w:p>
    <w:p w14:paraId="52BC805E" w14:textId="062CB59C" w:rsidR="0065334D" w:rsidRPr="008F166F" w:rsidRDefault="0065334D" w:rsidP="00AD309C">
      <w:pPr>
        <w:pStyle w:val="ListParagraph"/>
        <w:numPr>
          <w:ilvl w:val="0"/>
          <w:numId w:val="56"/>
        </w:numPr>
        <w:rPr>
          <w:rFonts w:cs="Arial"/>
          <w:b/>
          <w:bCs/>
        </w:rPr>
      </w:pPr>
      <w:r w:rsidRPr="008F166F">
        <w:rPr>
          <w:rFonts w:cs="Arial"/>
          <w:b/>
          <w:bCs/>
        </w:rPr>
        <w:t>A patient had two medications that were not on our hospital’s formulary. They were not substituted. Do these</w:t>
      </w:r>
      <w:r w:rsidR="00756579">
        <w:rPr>
          <w:rFonts w:cs="Arial"/>
          <w:b/>
          <w:bCs/>
        </w:rPr>
        <w:t xml:space="preserve"> two medications</w:t>
      </w:r>
      <w:r w:rsidRPr="008F166F">
        <w:rPr>
          <w:rFonts w:cs="Arial"/>
          <w:b/>
          <w:bCs/>
        </w:rPr>
        <w:t xml:space="preserve"> count as errors of omission?</w:t>
      </w:r>
    </w:p>
    <w:p w14:paraId="5AEAC596" w14:textId="6AB16F21" w:rsidR="00FB2D5F" w:rsidRDefault="0065334D" w:rsidP="00A90AE6">
      <w:pPr>
        <w:ind w:left="720"/>
        <w:rPr>
          <w:lang w:eastAsia="ja-JP"/>
        </w:rPr>
      </w:pPr>
      <w:r w:rsidRPr="008F166F">
        <w:rPr>
          <w:rFonts w:cs="Arial"/>
        </w:rPr>
        <w:t xml:space="preserve">Yes. If a </w:t>
      </w:r>
      <w:r>
        <w:rPr>
          <w:rFonts w:cs="Arial"/>
        </w:rPr>
        <w:t>G</w:t>
      </w:r>
      <w:r w:rsidRPr="008F166F">
        <w:rPr>
          <w:rFonts w:cs="Arial"/>
        </w:rPr>
        <w:t xml:space="preserve">old </w:t>
      </w:r>
      <w:r>
        <w:rPr>
          <w:rFonts w:cs="Arial"/>
        </w:rPr>
        <w:t>S</w:t>
      </w:r>
      <w:r w:rsidRPr="008F166F">
        <w:rPr>
          <w:rFonts w:cs="Arial"/>
        </w:rPr>
        <w:t xml:space="preserve">tandard </w:t>
      </w:r>
      <w:r>
        <w:rPr>
          <w:rFonts w:cs="Arial"/>
        </w:rPr>
        <w:t>M</w:t>
      </w:r>
      <w:r w:rsidRPr="008F166F">
        <w:rPr>
          <w:rFonts w:cs="Arial"/>
        </w:rPr>
        <w:t xml:space="preserve">edication was not ordered or appropriately substituted on admission and discharge, it would count as </w:t>
      </w:r>
      <w:r>
        <w:rPr>
          <w:rFonts w:cs="Arial"/>
        </w:rPr>
        <w:t>two</w:t>
      </w:r>
      <w:r w:rsidRPr="008F166F">
        <w:rPr>
          <w:rFonts w:cs="Arial"/>
        </w:rPr>
        <w:t xml:space="preserve"> unintentional medication discrepancies </w:t>
      </w:r>
      <w:r>
        <w:rPr>
          <w:rFonts w:cs="Arial"/>
        </w:rPr>
        <w:t xml:space="preserve">for </w:t>
      </w:r>
      <w:r w:rsidRPr="008F166F">
        <w:rPr>
          <w:rFonts w:cs="Arial"/>
        </w:rPr>
        <w:t>each medication that was omitted.</w:t>
      </w:r>
    </w:p>
    <w:p w14:paraId="2CB03357" w14:textId="77777777" w:rsidR="00FB2D5F" w:rsidRPr="00504834" w:rsidRDefault="00FB2D5F" w:rsidP="00690C11">
      <w:pPr>
        <w:pStyle w:val="ListParagraph"/>
        <w:rPr>
          <w:sz w:val="16"/>
          <w:szCs w:val="16"/>
          <w:lang w:eastAsia="ja-JP"/>
        </w:rPr>
      </w:pPr>
    </w:p>
    <w:p w14:paraId="096B417C" w14:textId="2C6F1554" w:rsidR="0065334D" w:rsidRPr="00504834" w:rsidRDefault="0065334D" w:rsidP="00D36222">
      <w:pPr>
        <w:pStyle w:val="Heading44"/>
        <w:rPr>
          <w:sz w:val="14"/>
          <w:szCs w:val="12"/>
        </w:rPr>
      </w:pPr>
      <w:r w:rsidRPr="00504834">
        <w:rPr>
          <w:sz w:val="20"/>
          <w:szCs w:val="18"/>
          <w:lang w:eastAsia="ja-JP"/>
        </w:rPr>
        <w:t>Scoring</w:t>
      </w:r>
      <w:r w:rsidRPr="00504834">
        <w:rPr>
          <w:sz w:val="20"/>
          <w:szCs w:val="18"/>
        </w:rPr>
        <w:br/>
      </w:r>
    </w:p>
    <w:p w14:paraId="72BBDEED" w14:textId="77777777" w:rsidR="0065334D" w:rsidRDefault="0065334D" w:rsidP="00AD309C">
      <w:pPr>
        <w:pStyle w:val="ListParagraph"/>
        <w:numPr>
          <w:ilvl w:val="0"/>
          <w:numId w:val="56"/>
        </w:numPr>
        <w:rPr>
          <w:rFonts w:cs="Arial"/>
          <w:sz w:val="18"/>
          <w:szCs w:val="18"/>
        </w:rPr>
      </w:pPr>
      <w:r w:rsidRPr="00504834">
        <w:rPr>
          <w:rFonts w:cs="Arial"/>
          <w:b/>
          <w:bCs/>
          <w:sz w:val="18"/>
          <w:szCs w:val="18"/>
        </w:rPr>
        <w:t>What questions are used to calculate the numerator and denominator that results in the rate of unintentional medication discrepancies per medication?</w:t>
      </w:r>
      <w:r w:rsidRPr="00504834">
        <w:rPr>
          <w:rFonts w:cs="Arial"/>
          <w:b/>
          <w:bCs/>
          <w:sz w:val="18"/>
          <w:szCs w:val="18"/>
        </w:rPr>
        <w:br/>
      </w:r>
      <w:r w:rsidRPr="00504834">
        <w:rPr>
          <w:rFonts w:cs="Arial"/>
          <w:sz w:val="18"/>
          <w:szCs w:val="18"/>
        </w:rPr>
        <w:t>The rate of unintentional medication discrepancies per medication is calculated using the following formula:</w:t>
      </w:r>
    </w:p>
    <w:p w14:paraId="65F543F4" w14:textId="77777777" w:rsidR="007C38D4" w:rsidRPr="00504834" w:rsidRDefault="007C38D4" w:rsidP="007C38D4">
      <w:pPr>
        <w:pStyle w:val="ListParagraph"/>
        <w:rPr>
          <w:rFonts w:cs="Arial"/>
          <w:sz w:val="18"/>
          <w:szCs w:val="18"/>
        </w:rPr>
      </w:pPr>
    </w:p>
    <w:p w14:paraId="2C6422BC" w14:textId="77777777" w:rsidR="0065334D" w:rsidRPr="00504834" w:rsidRDefault="0065334D" w:rsidP="0065334D">
      <w:pPr>
        <w:ind w:left="2160"/>
        <w:rPr>
          <w:rFonts w:cs="Arial"/>
          <w:sz w:val="14"/>
          <w:szCs w:val="14"/>
        </w:rPr>
      </w:pPr>
      <w:r>
        <w:rPr>
          <w:rFonts w:cs="Arial"/>
        </w:rPr>
        <w:t xml:space="preserve"> </w:t>
      </w:r>
      <w:r w:rsidRPr="00504834">
        <w:rPr>
          <w:rFonts w:cs="Arial"/>
          <w:sz w:val="14"/>
          <w:szCs w:val="14"/>
        </w:rPr>
        <w:t xml:space="preserve">    (Question #6 + Question #8)</w:t>
      </w:r>
    </w:p>
    <w:p w14:paraId="18954ADC" w14:textId="77777777" w:rsidR="0065334D" w:rsidRPr="00504834" w:rsidRDefault="0065334D" w:rsidP="0065334D">
      <w:pPr>
        <w:rPr>
          <w:rFonts w:cs="Arial"/>
          <w:sz w:val="8"/>
          <w:szCs w:val="8"/>
        </w:rPr>
      </w:pPr>
      <w:r w:rsidRPr="00504834">
        <w:rPr>
          <w:noProof/>
          <w:sz w:val="14"/>
          <w:szCs w:val="14"/>
        </w:rPr>
        <mc:AlternateContent>
          <mc:Choice Requires="wps">
            <w:drawing>
              <wp:anchor distT="0" distB="0" distL="114300" distR="114300" simplePos="0" relativeHeight="251658246" behindDoc="0" locked="0" layoutInCell="1" allowOverlap="1" wp14:anchorId="4F66F37A" wp14:editId="0447327C">
                <wp:simplePos x="0" y="0"/>
                <wp:positionH relativeFrom="column">
                  <wp:posOffset>1583055</wp:posOffset>
                </wp:positionH>
                <wp:positionV relativeFrom="paragraph">
                  <wp:posOffset>69215</wp:posOffset>
                </wp:positionV>
                <wp:extent cx="1554480" cy="0"/>
                <wp:effectExtent l="0" t="0" r="0" b="0"/>
                <wp:wrapNone/>
                <wp:docPr id="13" name="Straight Connector 13" descr="P2685#y1"/>
                <wp:cNvGraphicFramePr/>
                <a:graphic xmlns:a="http://schemas.openxmlformats.org/drawingml/2006/main">
                  <a:graphicData uri="http://schemas.microsoft.com/office/word/2010/wordprocessingShape">
                    <wps:wsp>
                      <wps:cNvCnPr/>
                      <wps:spPr>
                        <a:xfrm flipV="1">
                          <a:off x="0" y="0"/>
                          <a:ext cx="1554480" cy="0"/>
                        </a:xfrm>
                        <a:prstGeom prst="line">
                          <a:avLst/>
                        </a:prstGeom>
                        <a:ln w="190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A3C39" id="Straight Connector 13" o:spid="_x0000_s1026" alt="P2685#y1"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65pt,5.45pt" to="247.0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" strokecolor="black [3200]" strokeweight="1.5pt"/>
            </w:pict>
          </mc:Fallback>
        </mc:AlternateContent>
      </w:r>
      <w:r w:rsidRPr="00504834">
        <w:rPr>
          <w:rFonts w:cs="Arial"/>
          <w:sz w:val="14"/>
          <w:szCs w:val="14"/>
        </w:rPr>
        <w:tab/>
      </w:r>
      <w:r w:rsidRPr="00504834">
        <w:rPr>
          <w:rFonts w:cs="Arial"/>
          <w:sz w:val="14"/>
          <w:szCs w:val="14"/>
        </w:rPr>
        <w:tab/>
      </w:r>
      <w:r w:rsidRPr="00504834">
        <w:rPr>
          <w:rFonts w:cs="Arial"/>
          <w:sz w:val="14"/>
          <w:szCs w:val="14"/>
        </w:rPr>
        <w:tab/>
      </w:r>
      <w:r w:rsidRPr="00504834">
        <w:rPr>
          <w:rFonts w:cs="Arial"/>
          <w:sz w:val="14"/>
          <w:szCs w:val="14"/>
        </w:rPr>
        <w:tab/>
      </w:r>
      <w:r w:rsidRPr="00504834">
        <w:rPr>
          <w:rFonts w:cs="Arial"/>
          <w:sz w:val="14"/>
          <w:szCs w:val="14"/>
        </w:rPr>
        <w:tab/>
      </w:r>
      <w:r w:rsidRPr="00504834">
        <w:rPr>
          <w:rFonts w:cs="Arial"/>
          <w:sz w:val="14"/>
          <w:szCs w:val="14"/>
        </w:rPr>
        <w:tab/>
      </w:r>
      <w:r w:rsidRPr="00504834">
        <w:rPr>
          <w:rFonts w:cs="Arial"/>
          <w:sz w:val="14"/>
          <w:szCs w:val="14"/>
        </w:rPr>
        <w:tab/>
      </w:r>
      <w:r w:rsidRPr="00504834">
        <w:rPr>
          <w:rFonts w:cs="Arial"/>
        </w:rPr>
        <w:t>=</w:t>
      </w:r>
      <w:r w:rsidRPr="00504834">
        <w:rPr>
          <w:rFonts w:cs="Arial"/>
          <w:sz w:val="14"/>
          <w:szCs w:val="14"/>
        </w:rPr>
        <w:t xml:space="preserve"> Rate of unintentional medication discrepancies per medication</w:t>
      </w:r>
    </w:p>
    <w:p w14:paraId="3265951E" w14:textId="77777777" w:rsidR="0065334D" w:rsidRPr="00504834" w:rsidRDefault="0065334D" w:rsidP="0065334D">
      <w:pPr>
        <w:ind w:left="2160"/>
        <w:rPr>
          <w:rFonts w:cs="Arial"/>
          <w:sz w:val="14"/>
          <w:szCs w:val="14"/>
        </w:rPr>
      </w:pPr>
      <w:r w:rsidRPr="00504834">
        <w:rPr>
          <w:rFonts w:cs="Arial"/>
          <w:sz w:val="14"/>
          <w:szCs w:val="14"/>
        </w:rPr>
        <w:t xml:space="preserve">     (Question #5 + Question #7)</w:t>
      </w:r>
    </w:p>
    <w:p w14:paraId="4FD25F94" w14:textId="03CEBA1F" w:rsidR="0065334D" w:rsidRDefault="0065334D" w:rsidP="00A90AE6">
      <w:pPr>
        <w:ind w:left="720"/>
        <w:rPr>
          <w:b/>
          <w:bCs/>
          <w:i/>
          <w:iCs/>
          <w:snapToGrid w:val="0"/>
          <w:sz w:val="40"/>
          <w:szCs w:val="40"/>
          <w:lang w:eastAsia="ja-JP"/>
        </w:rPr>
      </w:pPr>
      <w:r>
        <w:rPr>
          <w:rFonts w:cs="Arial"/>
        </w:rPr>
        <w:br/>
      </w:r>
      <w:r w:rsidRPr="00504834">
        <w:rPr>
          <w:rFonts w:cs="Arial"/>
          <w:sz w:val="14"/>
          <w:szCs w:val="14"/>
        </w:rPr>
        <w:t xml:space="preserve">This rate is calculated for you in the Med Rec Workbook provided on the </w:t>
      </w:r>
      <w:hyperlink r:id="rId205" w:history="1">
        <w:r w:rsidRPr="00504834">
          <w:rPr>
            <w:rStyle w:val="Hyperlink"/>
            <w:rFonts w:cs="Arial"/>
            <w:sz w:val="14"/>
            <w:szCs w:val="14"/>
          </w:rPr>
          <w:t>Survey Materials webpage</w:t>
        </w:r>
      </w:hyperlink>
      <w:r w:rsidRPr="00504834">
        <w:rPr>
          <w:rFonts w:cs="Arial"/>
          <w:sz w:val="14"/>
          <w:szCs w:val="14"/>
        </w:rPr>
        <w:t xml:space="preserve">. </w:t>
      </w:r>
      <w:r w:rsidR="00C10458" w:rsidRPr="00504834">
        <w:rPr>
          <w:rFonts w:cs="Arial"/>
          <w:sz w:val="14"/>
          <w:szCs w:val="14"/>
        </w:rPr>
        <w:t xml:space="preserve">This information is also available in the </w:t>
      </w:r>
      <w:hyperlink r:id="rId206" w:history="1">
        <w:r w:rsidR="00C10458" w:rsidRPr="00504834">
          <w:rPr>
            <w:rStyle w:val="Hyperlink"/>
            <w:rFonts w:cs="Arial"/>
            <w:sz w:val="14"/>
            <w:szCs w:val="14"/>
          </w:rPr>
          <w:t>Scoring Algorithms</w:t>
        </w:r>
      </w:hyperlink>
      <w:r w:rsidR="00C10458" w:rsidRPr="00504834">
        <w:rPr>
          <w:rFonts w:cs="Arial"/>
          <w:sz w:val="14"/>
          <w:szCs w:val="14"/>
        </w:rPr>
        <w:t xml:space="preserve">. </w:t>
      </w:r>
      <w:r>
        <w:br w:type="page"/>
      </w:r>
    </w:p>
    <w:p w14:paraId="6805226D" w14:textId="77777777" w:rsidR="00306EB2" w:rsidRDefault="00306EB2" w:rsidP="00306EB2"/>
    <w:p w14:paraId="279396CA" w14:textId="78F4F26C" w:rsidR="00C35C80" w:rsidRPr="009A5185" w:rsidRDefault="00D42A72" w:rsidP="00CE1BA9">
      <w:pPr>
        <w:pStyle w:val="SectionHeader"/>
      </w:pPr>
      <w:bookmarkStart w:id="224" w:name="_Toc225877705"/>
      <w:r w:rsidRPr="009A5185">
        <w:t>Page Intentionally Left Blank</w:t>
      </w:r>
      <w:bookmarkEnd w:id="224"/>
    </w:p>
    <w:p w14:paraId="640C973A" w14:textId="77777777" w:rsidR="00D42A72" w:rsidRPr="009A5185" w:rsidRDefault="00D42A72">
      <w:pPr>
        <w:rPr>
          <w:rFonts w:cs="Arial"/>
          <w:b/>
          <w:color w:val="A6A6A6" w:themeColor="background1" w:themeShade="A6"/>
          <w:sz w:val="40"/>
          <w:szCs w:val="40"/>
          <w:lang w:eastAsia="ja-JP"/>
        </w:rPr>
      </w:pPr>
      <w:r w:rsidRPr="009A5185">
        <w:rPr>
          <w:rFonts w:cs="Arial"/>
          <w:b/>
          <w:color w:val="A6A6A6" w:themeColor="background1" w:themeShade="A6"/>
          <w:sz w:val="40"/>
          <w:szCs w:val="40"/>
          <w:lang w:eastAsia="ja-JP"/>
        </w:rPr>
        <w:br w:type="page"/>
      </w:r>
    </w:p>
    <w:p w14:paraId="52126FB9" w14:textId="77777777" w:rsidR="00920EF6" w:rsidRPr="009A5185" w:rsidRDefault="00920EF6" w:rsidP="00D42A72">
      <w:pPr>
        <w:rPr>
          <w:rFonts w:cs="Arial"/>
          <w:b/>
          <w:color w:val="A6A6A6" w:themeColor="background1" w:themeShade="A6"/>
          <w:sz w:val="40"/>
          <w:szCs w:val="40"/>
          <w:lang w:eastAsia="ja-JP"/>
        </w:rPr>
        <w:sectPr w:rsidR="00920EF6" w:rsidRPr="009A5185" w:rsidSect="00062F69">
          <w:headerReference w:type="default" r:id="rId207"/>
          <w:endnotePr>
            <w:numFmt w:val="decimal"/>
          </w:endnotePr>
          <w:type w:val="continuous"/>
          <w:pgSz w:w="12240" w:h="15840"/>
          <w:pgMar w:top="1080" w:right="1440" w:bottom="1080" w:left="1440" w:header="720" w:footer="720" w:gutter="0"/>
          <w:cols w:space="720"/>
          <w:docGrid w:linePitch="272"/>
        </w:sectPr>
      </w:pPr>
    </w:p>
    <w:p w14:paraId="2854FC60" w14:textId="77777777" w:rsidR="00F61ED5" w:rsidRPr="009A5185" w:rsidRDefault="00F61ED5" w:rsidP="00F750C5">
      <w:pPr>
        <w:rPr>
          <w:lang w:eastAsia="ja-JP"/>
        </w:rPr>
        <w:sectPr w:rsidR="00F61ED5" w:rsidRPr="009A5185" w:rsidSect="00062F69">
          <w:headerReference w:type="default" r:id="rId208"/>
          <w:endnotePr>
            <w:numFmt w:val="decimal"/>
          </w:endnotePr>
          <w:type w:val="continuous"/>
          <w:pgSz w:w="12240" w:h="15840"/>
          <w:pgMar w:top="1080" w:right="1440" w:bottom="1080" w:left="1440" w:header="720" w:footer="720" w:gutter="0"/>
          <w:cols w:space="720"/>
          <w:docGrid w:linePitch="272"/>
        </w:sectPr>
      </w:pPr>
    </w:p>
    <w:p w14:paraId="690B8CF3" w14:textId="77777777" w:rsidR="008059FF" w:rsidRDefault="008059FF" w:rsidP="00F750C5"/>
    <w:p w14:paraId="5E3AB3C7" w14:textId="77777777" w:rsidR="00B43F10" w:rsidRDefault="00B43F10" w:rsidP="00F750C5"/>
    <w:p w14:paraId="3A508183" w14:textId="77777777" w:rsidR="00C83A8C" w:rsidRDefault="00C83A8C" w:rsidP="00F750C5"/>
    <w:p w14:paraId="29FF8DF7" w14:textId="77777777" w:rsidR="00C83A8C" w:rsidRDefault="00C83A8C" w:rsidP="00F750C5"/>
    <w:p w14:paraId="349B4F36" w14:textId="77777777" w:rsidR="00C83A8C" w:rsidRDefault="00C83A8C" w:rsidP="00F750C5"/>
    <w:p w14:paraId="1B610112" w14:textId="77777777" w:rsidR="00C83A8C" w:rsidRDefault="00C83A8C" w:rsidP="00F750C5"/>
    <w:p w14:paraId="67D95908" w14:textId="77777777" w:rsidR="00C83A8C" w:rsidRDefault="00C83A8C" w:rsidP="00F750C5"/>
    <w:p w14:paraId="40BE2B9C" w14:textId="77777777" w:rsidR="00C83A8C" w:rsidRDefault="00C83A8C" w:rsidP="00F750C5"/>
    <w:p w14:paraId="4C9EF9BA" w14:textId="77777777" w:rsidR="00C83A8C" w:rsidRDefault="00C83A8C" w:rsidP="00F750C5"/>
    <w:p w14:paraId="55FE8B1D" w14:textId="77777777" w:rsidR="00C83A8C" w:rsidRDefault="00C83A8C" w:rsidP="00F750C5"/>
    <w:p w14:paraId="094E4FCD" w14:textId="77777777" w:rsidR="00C83A8C" w:rsidRDefault="00C83A8C" w:rsidP="00F750C5"/>
    <w:p w14:paraId="7316A40C" w14:textId="77777777" w:rsidR="00C83A8C" w:rsidRDefault="00C83A8C" w:rsidP="00F750C5"/>
    <w:p w14:paraId="2047D1CB" w14:textId="77777777" w:rsidR="00C83A8C" w:rsidRDefault="00C83A8C" w:rsidP="00F750C5"/>
    <w:p w14:paraId="61018C22" w14:textId="77777777" w:rsidR="00C83A8C" w:rsidRDefault="00C83A8C" w:rsidP="00F750C5"/>
    <w:p w14:paraId="0A4A0FD3" w14:textId="77777777" w:rsidR="00C83A8C" w:rsidRDefault="00C83A8C" w:rsidP="00F750C5"/>
    <w:p w14:paraId="38C860AA" w14:textId="77777777" w:rsidR="00C83A8C" w:rsidRDefault="00C83A8C" w:rsidP="00F750C5"/>
    <w:p w14:paraId="61EC30CC" w14:textId="77777777" w:rsidR="008059FF" w:rsidRDefault="008059FF" w:rsidP="00F750C5"/>
    <w:p w14:paraId="16634A72" w14:textId="77777777" w:rsidR="00F750C5" w:rsidRPr="009A5185" w:rsidRDefault="00F750C5" w:rsidP="00F72C9F"/>
    <w:p w14:paraId="16626BFD" w14:textId="1C7E839F" w:rsidR="00AB2927" w:rsidRPr="009A5185" w:rsidRDefault="00AB2927" w:rsidP="00D32C75">
      <w:pPr>
        <w:pStyle w:val="SectionHeader"/>
      </w:pPr>
      <w:bookmarkStart w:id="225" w:name="_Toc225877706"/>
      <w:bookmarkStart w:id="226" w:name="InpatientSurg"/>
      <w:r w:rsidRPr="009A5185">
        <w:t xml:space="preserve">SECTION 3: </w:t>
      </w:r>
      <w:r w:rsidR="00B152BD">
        <w:t xml:space="preserve">ADULT AND PEDIATRIC </w:t>
      </w:r>
      <w:r w:rsidR="003D737B">
        <w:t>COMPLEX</w:t>
      </w:r>
      <w:r w:rsidR="002F61F8" w:rsidRPr="009A5185">
        <w:t xml:space="preserve"> SURGERY</w:t>
      </w:r>
      <w:bookmarkEnd w:id="225"/>
    </w:p>
    <w:bookmarkEnd w:id="226"/>
    <w:p w14:paraId="58D573EB" w14:textId="77777777" w:rsidR="0068304F" w:rsidRPr="009A5185" w:rsidRDefault="0068304F" w:rsidP="00F72C9F"/>
    <w:p w14:paraId="0FCCE241" w14:textId="48858B2F" w:rsidR="0068304F" w:rsidRPr="009A5185" w:rsidRDefault="0068304F" w:rsidP="0068304F">
      <w:pPr>
        <w:rPr>
          <w:rFonts w:cs="Arial"/>
        </w:rPr>
      </w:pPr>
      <w:r w:rsidRPr="009A5185">
        <w:rPr>
          <w:rFonts w:cs="Arial"/>
        </w:rPr>
        <w:t>This section includes questions and refer</w:t>
      </w:r>
      <w:r w:rsidR="00432267" w:rsidRPr="009A5185">
        <w:rPr>
          <w:rFonts w:cs="Arial"/>
        </w:rPr>
        <w:t>ence information for Section 3</w:t>
      </w:r>
      <w:r w:rsidR="004A4FD0" w:rsidRPr="009A5185">
        <w:rPr>
          <w:rFonts w:cs="Arial"/>
        </w:rPr>
        <w:t>:</w:t>
      </w:r>
      <w:r w:rsidR="00432267" w:rsidRPr="009A5185">
        <w:rPr>
          <w:rFonts w:cs="Arial"/>
        </w:rPr>
        <w:t xml:space="preserve"> </w:t>
      </w:r>
      <w:r w:rsidR="00B152BD">
        <w:rPr>
          <w:rFonts w:cs="Arial"/>
        </w:rPr>
        <w:t>Adult and Pediatric</w:t>
      </w:r>
      <w:r w:rsidR="003D737B">
        <w:rPr>
          <w:rFonts w:cs="Arial"/>
        </w:rPr>
        <w:t xml:space="preserve"> Complex</w:t>
      </w:r>
      <w:r w:rsidR="002F61F8" w:rsidRPr="009A5185">
        <w:rPr>
          <w:rFonts w:cs="Arial"/>
        </w:rPr>
        <w:t xml:space="preserve"> Surgery</w:t>
      </w:r>
      <w:r w:rsidRPr="009A5185">
        <w:rPr>
          <w:rFonts w:cs="Arial"/>
        </w:rPr>
        <w:t xml:space="preserve">. Please carefully review the questions, </w:t>
      </w:r>
      <w:r w:rsidR="00B94757" w:rsidRPr="009A5185">
        <w:rPr>
          <w:rFonts w:cs="Arial"/>
        </w:rPr>
        <w:t>endnotes</w:t>
      </w:r>
      <w:r w:rsidRPr="009A5185">
        <w:rPr>
          <w:rFonts w:cs="Arial"/>
        </w:rPr>
        <w:t>, and reference information (e.g.</w:t>
      </w:r>
      <w:r w:rsidR="00E77CB0" w:rsidRPr="009A5185">
        <w:rPr>
          <w:rFonts w:cs="Arial"/>
        </w:rPr>
        <w:t>,</w:t>
      </w:r>
      <w:r w:rsidRPr="009A5185">
        <w:rPr>
          <w:rFonts w:cs="Arial"/>
        </w:rPr>
        <w:t xml:space="preserve"> measure specifications, notes, and frequen</w:t>
      </w:r>
      <w:r w:rsidR="00E77CB0" w:rsidRPr="009A5185">
        <w:rPr>
          <w:rFonts w:cs="Arial"/>
        </w:rPr>
        <w:t>tl</w:t>
      </w:r>
      <w:r w:rsidRPr="009A5185">
        <w:rPr>
          <w:rFonts w:cs="Arial"/>
        </w:rPr>
        <w:t>y asked questions) before you begin. Failure to review the reference information could result in inaccurate responses.</w:t>
      </w:r>
    </w:p>
    <w:p w14:paraId="42108FF6" w14:textId="77777777" w:rsidR="0068304F" w:rsidRPr="009A5185" w:rsidRDefault="0068304F" w:rsidP="00F72C9F"/>
    <w:p w14:paraId="106F9AA0" w14:textId="77777777" w:rsidR="00AB2927" w:rsidRPr="009A5185" w:rsidRDefault="00AB2927" w:rsidP="00F72C9F"/>
    <w:p w14:paraId="248B9FD4" w14:textId="77777777" w:rsidR="00C35C80" w:rsidRPr="009A5185" w:rsidRDefault="00AB2927" w:rsidP="00C35C80">
      <w:pPr>
        <w:rPr>
          <w:rFonts w:cs="Arial"/>
          <w:b/>
          <w:snapToGrid w:val="0"/>
          <w:sz w:val="40"/>
          <w:szCs w:val="40"/>
        </w:rPr>
      </w:pPr>
      <w:r w:rsidRPr="009A5185">
        <w:rPr>
          <w:rFonts w:cs="Arial"/>
        </w:rPr>
        <w:br w:type="page"/>
      </w:r>
    </w:p>
    <w:p w14:paraId="1B7F483B" w14:textId="734142D5" w:rsidR="000C3BE1" w:rsidRPr="009A5185" w:rsidRDefault="00164DB1" w:rsidP="00CF5A6E">
      <w:pPr>
        <w:pStyle w:val="Heading2"/>
      </w:pPr>
      <w:bookmarkStart w:id="227" w:name="_Section_3:_Adult"/>
      <w:bookmarkStart w:id="228" w:name="_Toc225877707"/>
      <w:bookmarkEnd w:id="227"/>
      <w:r w:rsidRPr="009A5185">
        <w:lastRenderedPageBreak/>
        <w:t xml:space="preserve">Section 3: </w:t>
      </w:r>
      <w:r w:rsidR="00B152BD">
        <w:t xml:space="preserve">Adult and Pediatric </w:t>
      </w:r>
      <w:r w:rsidR="003D737B">
        <w:t>Complex</w:t>
      </w:r>
      <w:r w:rsidR="00CB2A55" w:rsidRPr="009A5185">
        <w:t xml:space="preserve"> Surgery</w:t>
      </w:r>
      <w:bookmarkEnd w:id="228"/>
    </w:p>
    <w:p w14:paraId="7D02CC75" w14:textId="77777777" w:rsidR="00244710" w:rsidRPr="009A5185" w:rsidRDefault="00244710" w:rsidP="00E51615">
      <w:pPr>
        <w:rPr>
          <w:rFonts w:cs="Arial"/>
          <w:b/>
          <w:snapToGrid w:val="0"/>
        </w:rPr>
      </w:pPr>
    </w:p>
    <w:p w14:paraId="6F6A9A37" w14:textId="25E73D64" w:rsidR="0086770B" w:rsidRDefault="003D737B">
      <w:pPr>
        <w:pStyle w:val="BodyText3"/>
      </w:pPr>
      <w:r>
        <w:rPr>
          <w:rFonts w:cs="Arial"/>
          <w:b/>
          <w:color w:val="auto"/>
        </w:rPr>
        <w:t>Adult and Pediatric Complex</w:t>
      </w:r>
      <w:r w:rsidR="008B03B2" w:rsidRPr="009A5185">
        <w:rPr>
          <w:rFonts w:cs="Arial"/>
          <w:b/>
          <w:color w:val="auto"/>
        </w:rPr>
        <w:t xml:space="preserve"> Surgery Fact Sheet</w:t>
      </w:r>
      <w:r w:rsidR="009778A5">
        <w:rPr>
          <w:rFonts w:cs="Arial"/>
          <w:b/>
          <w:color w:val="auto"/>
        </w:rPr>
        <w:t xml:space="preserve"> and Bibliography</w:t>
      </w:r>
      <w:r w:rsidR="008B03B2" w:rsidRPr="009A5185">
        <w:rPr>
          <w:rFonts w:cs="Arial"/>
          <w:b/>
          <w:color w:val="auto"/>
        </w:rPr>
        <w:t>:</w:t>
      </w:r>
      <w:r w:rsidR="008B03B2" w:rsidRPr="009A5185">
        <w:rPr>
          <w:rFonts w:cs="Arial"/>
          <w:b/>
          <w:color w:val="FF0000"/>
        </w:rPr>
        <w:t xml:space="preserve"> </w:t>
      </w:r>
      <w:hyperlink r:id="rId209" w:history="1">
        <w:r w:rsidR="002972C4" w:rsidRPr="00A2752F">
          <w:rPr>
            <w:rStyle w:val="Hyperlink"/>
          </w:rPr>
          <w:t>https://ratings.leapfroggroup.org/measure/hospital/2026/complex-adult-and-pediatric-surgery</w:t>
        </w:r>
      </w:hyperlink>
      <w:r w:rsidR="002972C4">
        <w:t xml:space="preserve"> </w:t>
      </w:r>
    </w:p>
    <w:p w14:paraId="67AB179B" w14:textId="77777777" w:rsidR="008B03B2" w:rsidRPr="009A5185" w:rsidRDefault="008B03B2">
      <w:pPr>
        <w:pStyle w:val="BodyText3"/>
        <w:rPr>
          <w:rFonts w:cs="Arial"/>
          <w:b/>
          <w:color w:val="FF0000"/>
        </w:rPr>
      </w:pPr>
    </w:p>
    <w:p w14:paraId="0688E545" w14:textId="0A883AE8" w:rsidR="0081727B" w:rsidRPr="009A5185" w:rsidRDefault="0081727B" w:rsidP="0081727B">
      <w:pPr>
        <w:pStyle w:val="BodyText3"/>
        <w:rPr>
          <w:rFonts w:cs="Arial"/>
          <w:b/>
          <w:snapToGrid w:val="0"/>
          <w:color w:val="FF0000"/>
        </w:rPr>
      </w:pPr>
      <w:r>
        <w:rPr>
          <w:rFonts w:cs="Arial"/>
          <w:b/>
          <w:snapToGrid w:val="0"/>
          <w:color w:val="FF0000"/>
        </w:rPr>
        <w:t xml:space="preserve">Section 3 is applicable to </w:t>
      </w:r>
      <w:r w:rsidR="003B5EC9">
        <w:rPr>
          <w:rFonts w:cs="Arial"/>
          <w:b/>
          <w:snapToGrid w:val="0"/>
          <w:color w:val="FF0000"/>
        </w:rPr>
        <w:t>all h</w:t>
      </w:r>
      <w:r w:rsidRPr="009A5185">
        <w:rPr>
          <w:rFonts w:cs="Arial"/>
          <w:b/>
          <w:snapToGrid w:val="0"/>
          <w:color w:val="FF0000"/>
        </w:rPr>
        <w:t>ospitals</w:t>
      </w:r>
      <w:r>
        <w:rPr>
          <w:rFonts w:cs="Arial"/>
          <w:b/>
          <w:snapToGrid w:val="0"/>
          <w:color w:val="FF0000"/>
        </w:rPr>
        <w:t>. Hospitals that do not perform the high-risk procedures included in Section 3A should select “None of the above” in question #2 and</w:t>
      </w:r>
      <w:r w:rsidRPr="009A5185">
        <w:rPr>
          <w:rFonts w:cs="Arial"/>
          <w:b/>
          <w:snapToGrid w:val="0"/>
          <w:color w:val="FF0000"/>
        </w:rPr>
        <w:t xml:space="preserve"> move on to the Affirmation of Accuracy. Your hospital’s results will be displayed as “Does Not Apply” on Leapfrog’s public reporting website.</w:t>
      </w:r>
      <w:r w:rsidR="00163D75">
        <w:rPr>
          <w:rFonts w:cs="Arial"/>
          <w:b/>
          <w:snapToGrid w:val="0"/>
          <w:color w:val="FF0000"/>
        </w:rPr>
        <w:t xml:space="preserve"> </w:t>
      </w:r>
      <w:r w:rsidR="00CE1BA9">
        <w:rPr>
          <w:rFonts w:cs="Arial"/>
          <w:b/>
          <w:snapToGrid w:val="0"/>
          <w:color w:val="FF0000"/>
        </w:rPr>
        <w:t xml:space="preserve">Pediatric hospitals should only report on the Norwood procedure, if applicable. </w:t>
      </w:r>
    </w:p>
    <w:p w14:paraId="1FF49F1D" w14:textId="4CD0315A" w:rsidR="0081727B" w:rsidRDefault="0081727B" w:rsidP="00FB144E">
      <w:pPr>
        <w:pStyle w:val="BodyText3"/>
        <w:rPr>
          <w:rFonts w:cs="Arial"/>
        </w:rPr>
      </w:pPr>
    </w:p>
    <w:p w14:paraId="4C3986F6" w14:textId="2C926813" w:rsidR="00DD2598" w:rsidRDefault="00652583" w:rsidP="00FB144E">
      <w:pPr>
        <w:pStyle w:val="BodyText3"/>
        <w:rPr>
          <w:rFonts w:cs="Arial"/>
        </w:rPr>
      </w:pPr>
      <w:r w:rsidRPr="009A5185">
        <w:rPr>
          <w:rFonts w:cs="Arial"/>
        </w:rPr>
        <w:t>Section 3 includes questions about your hospital</w:t>
      </w:r>
      <w:r w:rsidR="005E7032">
        <w:rPr>
          <w:rFonts w:cs="Arial"/>
        </w:rPr>
        <w:t>’s</w:t>
      </w:r>
      <w:r w:rsidRPr="009A5185">
        <w:rPr>
          <w:rFonts w:cs="Arial"/>
        </w:rPr>
        <w:t xml:space="preserve"> </w:t>
      </w:r>
      <w:r>
        <w:rPr>
          <w:rFonts w:cs="Arial"/>
        </w:rPr>
        <w:t xml:space="preserve">volume and process for privileging surgeons </w:t>
      </w:r>
      <w:r w:rsidRPr="009A5185">
        <w:rPr>
          <w:rFonts w:cs="Arial"/>
        </w:rPr>
        <w:t xml:space="preserve">for </w:t>
      </w:r>
      <w:r>
        <w:rPr>
          <w:rFonts w:cs="Arial"/>
        </w:rPr>
        <w:t>eleven</w:t>
      </w:r>
      <w:r w:rsidRPr="009A5185">
        <w:rPr>
          <w:rFonts w:cs="Arial"/>
        </w:rPr>
        <w:t xml:space="preserve"> high-risk procedures</w:t>
      </w:r>
      <w:r>
        <w:rPr>
          <w:rFonts w:cs="Arial"/>
        </w:rPr>
        <w:t xml:space="preserve">, outcomes for mitral valve repair and replacement, </w:t>
      </w:r>
      <w:r w:rsidR="000F3D1F">
        <w:rPr>
          <w:rFonts w:cs="Arial"/>
        </w:rPr>
        <w:t xml:space="preserve">and </w:t>
      </w:r>
      <w:r>
        <w:rPr>
          <w:rFonts w:cs="Arial"/>
        </w:rPr>
        <w:t>participation in The Society of Thoracic Surgeon’s Congenital Heart Surgery Database for hospitals that perform the Norwood procedure. This section also includes questions about the implementation of a safe surgery checklist.</w:t>
      </w:r>
    </w:p>
    <w:p w14:paraId="4966AE94" w14:textId="77777777" w:rsidR="00652583" w:rsidRPr="009A5185" w:rsidRDefault="00652583" w:rsidP="00FB144E">
      <w:pPr>
        <w:pStyle w:val="BodyText3"/>
        <w:rPr>
          <w:rFonts w:cs="Arial"/>
        </w:rPr>
      </w:pPr>
    </w:p>
    <w:p w14:paraId="44328AA1" w14:textId="7092990F" w:rsidR="008B73A6" w:rsidRPr="009A5185" w:rsidRDefault="00AE186C" w:rsidP="00FB144E">
      <w:pPr>
        <w:pStyle w:val="BodyText3"/>
        <w:rPr>
          <w:rFonts w:cs="Arial"/>
          <w:b/>
        </w:rPr>
      </w:pPr>
      <w:r w:rsidRPr="009A5185">
        <w:rPr>
          <w:rFonts w:cs="Arial"/>
          <w:b/>
        </w:rPr>
        <w:t>Each hospital</w:t>
      </w:r>
      <w:r w:rsidR="00F20FF5" w:rsidRPr="009A5185">
        <w:rPr>
          <w:rFonts w:cs="Arial"/>
          <w:b/>
        </w:rPr>
        <w:t xml:space="preserve"> </w:t>
      </w:r>
      <w:r w:rsidR="00F20FF5">
        <w:rPr>
          <w:rFonts w:cs="Arial"/>
          <w:b/>
        </w:rPr>
        <w:t>achieving</w:t>
      </w:r>
      <w:r w:rsidR="00F20FF5" w:rsidRPr="009A5185">
        <w:rPr>
          <w:rFonts w:cs="Arial"/>
          <w:b/>
        </w:rPr>
        <w:t xml:space="preserve"> th</w:t>
      </w:r>
      <w:r w:rsidR="00F20FF5">
        <w:rPr>
          <w:rFonts w:cs="Arial"/>
          <w:b/>
        </w:rPr>
        <w:t>e</w:t>
      </w:r>
      <w:r w:rsidR="00F20FF5" w:rsidRPr="009A5185">
        <w:rPr>
          <w:rFonts w:cs="Arial"/>
          <w:b/>
        </w:rPr>
        <w:t xml:space="preserve"> standard</w:t>
      </w:r>
      <w:r w:rsidR="00F810B7" w:rsidRPr="009A5185">
        <w:rPr>
          <w:rFonts w:cs="Arial"/>
          <w:b/>
        </w:rPr>
        <w:t xml:space="preserve"> for each </w:t>
      </w:r>
      <w:r w:rsidR="007D2386">
        <w:rPr>
          <w:rFonts w:cs="Arial"/>
          <w:b/>
        </w:rPr>
        <w:t xml:space="preserve">of the </w:t>
      </w:r>
      <w:r w:rsidR="00287EBB">
        <w:rPr>
          <w:rFonts w:cs="Arial"/>
          <w:b/>
        </w:rPr>
        <w:t>nine</w:t>
      </w:r>
      <w:r w:rsidR="007D2386">
        <w:rPr>
          <w:rFonts w:cs="Arial"/>
          <w:b/>
        </w:rPr>
        <w:t xml:space="preserve"> applicable high-risk</w:t>
      </w:r>
      <w:r w:rsidR="00F810B7" w:rsidRPr="009A5185">
        <w:rPr>
          <w:rFonts w:cs="Arial"/>
          <w:b/>
        </w:rPr>
        <w:t xml:space="preserve"> procedures</w:t>
      </w:r>
      <w:r w:rsidR="006A40FB" w:rsidRPr="009A5185">
        <w:rPr>
          <w:rFonts w:cs="Arial"/>
          <w:b/>
        </w:rPr>
        <w:t>:</w:t>
      </w:r>
    </w:p>
    <w:p w14:paraId="61FD0F83" w14:textId="488D59BF" w:rsidR="006A40FB" w:rsidRPr="009A5185" w:rsidRDefault="008B03B2" w:rsidP="00AD309C">
      <w:pPr>
        <w:pStyle w:val="BodyText3"/>
        <w:numPr>
          <w:ilvl w:val="0"/>
          <w:numId w:val="63"/>
        </w:numPr>
        <w:rPr>
          <w:rFonts w:cs="Arial"/>
        </w:rPr>
      </w:pPr>
      <w:r w:rsidRPr="009A5185">
        <w:rPr>
          <w:rFonts w:cs="Arial"/>
        </w:rPr>
        <w:t>Meets the minimum hospita</w:t>
      </w:r>
      <w:r w:rsidR="00F810B7" w:rsidRPr="009A5185">
        <w:rPr>
          <w:rFonts w:cs="Arial"/>
        </w:rPr>
        <w:t>l volume standard for t</w:t>
      </w:r>
      <w:r w:rsidR="007D2386">
        <w:rPr>
          <w:rFonts w:cs="Arial"/>
        </w:rPr>
        <w:t>he</w:t>
      </w:r>
      <w:r w:rsidR="00F810B7" w:rsidRPr="009A5185">
        <w:rPr>
          <w:rFonts w:cs="Arial"/>
        </w:rPr>
        <w:t xml:space="preserve"> procedure</w:t>
      </w:r>
      <w:r w:rsidR="00DD0395">
        <w:rPr>
          <w:rFonts w:cs="Arial"/>
        </w:rPr>
        <w:t xml:space="preserve">, </w:t>
      </w:r>
      <w:r w:rsidR="00DD0395" w:rsidRPr="00DD0395">
        <w:rPr>
          <w:rFonts w:cs="Arial"/>
          <w:b/>
          <w:bCs/>
        </w:rPr>
        <w:t>and</w:t>
      </w:r>
    </w:p>
    <w:p w14:paraId="03AFE612" w14:textId="4187977A" w:rsidR="00D71AA6" w:rsidRDefault="008B03B2" w:rsidP="00AD309C">
      <w:pPr>
        <w:pStyle w:val="BodyText3"/>
        <w:numPr>
          <w:ilvl w:val="0"/>
          <w:numId w:val="63"/>
        </w:numPr>
        <w:rPr>
          <w:rFonts w:cs="Arial"/>
        </w:rPr>
      </w:pPr>
      <w:r w:rsidRPr="009A5185">
        <w:rPr>
          <w:rFonts w:cs="Arial"/>
        </w:rPr>
        <w:t xml:space="preserve">Has a process for privileging surgeons that includes </w:t>
      </w:r>
      <w:r w:rsidR="00F810B7" w:rsidRPr="009A5185">
        <w:rPr>
          <w:rFonts w:cs="Arial"/>
        </w:rPr>
        <w:t xml:space="preserve">the surgeon </w:t>
      </w:r>
      <w:r w:rsidRPr="009A5185">
        <w:rPr>
          <w:rFonts w:cs="Arial"/>
        </w:rPr>
        <w:t xml:space="preserve">meeting or exceeding the minimum </w:t>
      </w:r>
      <w:r w:rsidR="00DC5655">
        <w:rPr>
          <w:rFonts w:cs="Arial"/>
        </w:rPr>
        <w:t xml:space="preserve">annual </w:t>
      </w:r>
      <w:r w:rsidRPr="009A5185">
        <w:rPr>
          <w:rFonts w:cs="Arial"/>
        </w:rPr>
        <w:t>surg</w:t>
      </w:r>
      <w:r w:rsidR="007D2386">
        <w:rPr>
          <w:rFonts w:cs="Arial"/>
        </w:rPr>
        <w:t xml:space="preserve">eon volume standard for the </w:t>
      </w:r>
      <w:r w:rsidR="00F810B7" w:rsidRPr="009A5185">
        <w:rPr>
          <w:rFonts w:cs="Arial"/>
        </w:rPr>
        <w:t>procedure</w:t>
      </w:r>
      <w:r w:rsidR="00DD0395">
        <w:rPr>
          <w:rFonts w:cs="Arial"/>
        </w:rPr>
        <w:t>.</w:t>
      </w:r>
    </w:p>
    <w:p w14:paraId="45EB6F00" w14:textId="740E28A4" w:rsidR="00D71AA6" w:rsidRDefault="00D71AA6" w:rsidP="00D71AA6">
      <w:pPr>
        <w:pStyle w:val="BodyText3"/>
        <w:rPr>
          <w:rFonts w:cs="Arial"/>
        </w:rPr>
      </w:pPr>
    </w:p>
    <w:p w14:paraId="5E3A0D05" w14:textId="6D952B51" w:rsidR="00D71AA6" w:rsidRDefault="00D71AA6" w:rsidP="00D71AA6">
      <w:pPr>
        <w:pStyle w:val="BodyText3"/>
        <w:rPr>
          <w:rFonts w:cs="Arial"/>
          <w:b/>
          <w:bCs/>
        </w:rPr>
      </w:pPr>
      <w:r>
        <w:rPr>
          <w:rFonts w:cs="Arial"/>
          <w:b/>
          <w:bCs/>
        </w:rPr>
        <w:t>Each hospital achieving the standard for mitral valve repair and replacement procedures:</w:t>
      </w:r>
    </w:p>
    <w:p w14:paraId="6CF7BC03" w14:textId="76B8FC76" w:rsidR="00D71AA6" w:rsidRDefault="00D71AA6" w:rsidP="00AD309C">
      <w:pPr>
        <w:pStyle w:val="ListParagraph"/>
        <w:numPr>
          <w:ilvl w:val="0"/>
          <w:numId w:val="140"/>
        </w:numPr>
        <w:rPr>
          <w:rFonts w:cs="Arial"/>
          <w:color w:val="000000"/>
        </w:rPr>
      </w:pPr>
      <w:r>
        <w:rPr>
          <w:rFonts w:cs="Arial"/>
          <w:color w:val="000000"/>
        </w:rPr>
        <w:t>M</w:t>
      </w:r>
      <w:r w:rsidRPr="00B543DA">
        <w:rPr>
          <w:rFonts w:cs="Arial"/>
          <w:color w:val="000000"/>
        </w:rPr>
        <w:t>e</w:t>
      </w:r>
      <w:r>
        <w:rPr>
          <w:rFonts w:cs="Arial"/>
          <w:color w:val="000000"/>
        </w:rPr>
        <w:t>e</w:t>
      </w:r>
      <w:r w:rsidRPr="00B543DA">
        <w:rPr>
          <w:rFonts w:cs="Arial"/>
          <w:color w:val="000000"/>
        </w:rPr>
        <w:t>t</w:t>
      </w:r>
      <w:r>
        <w:rPr>
          <w:rFonts w:cs="Arial"/>
          <w:color w:val="000000"/>
        </w:rPr>
        <w:t>s</w:t>
      </w:r>
      <w:r w:rsidRPr="00B543DA">
        <w:rPr>
          <w:rFonts w:cs="Arial"/>
          <w:color w:val="000000"/>
        </w:rPr>
        <w:t xml:space="preserve"> the minimum hospital volume standard</w:t>
      </w:r>
      <w:r>
        <w:rPr>
          <w:rFonts w:cs="Arial"/>
          <w:color w:val="000000"/>
        </w:rPr>
        <w:t xml:space="preserve"> for the procedure</w:t>
      </w:r>
      <w:r w:rsidR="00DD0395">
        <w:rPr>
          <w:rFonts w:cs="Arial"/>
          <w:color w:val="000000"/>
        </w:rPr>
        <w:t xml:space="preserve">, </w:t>
      </w:r>
      <w:r w:rsidR="00362DFB" w:rsidRPr="00DD0395">
        <w:rPr>
          <w:rFonts w:cs="Arial"/>
          <w:b/>
          <w:bCs/>
        </w:rPr>
        <w:t>and</w:t>
      </w:r>
    </w:p>
    <w:p w14:paraId="76F4A37E" w14:textId="611C33E6" w:rsidR="00D71AA6" w:rsidRDefault="00D71AA6" w:rsidP="00AD309C">
      <w:pPr>
        <w:pStyle w:val="ListParagraph"/>
        <w:numPr>
          <w:ilvl w:val="0"/>
          <w:numId w:val="140"/>
        </w:numPr>
        <w:rPr>
          <w:rFonts w:cs="Arial"/>
          <w:color w:val="000000"/>
        </w:rPr>
      </w:pPr>
      <w:r>
        <w:rPr>
          <w:rFonts w:cs="Arial"/>
          <w:color w:val="000000"/>
        </w:rPr>
        <w:t>Has a p</w:t>
      </w:r>
      <w:r w:rsidRPr="00B543DA">
        <w:rPr>
          <w:rFonts w:cs="Arial"/>
          <w:color w:val="000000"/>
        </w:rPr>
        <w:t xml:space="preserve">rocess for privileging surgeons </w:t>
      </w:r>
      <w:r>
        <w:rPr>
          <w:rFonts w:cs="Arial"/>
          <w:color w:val="000000"/>
        </w:rPr>
        <w:t xml:space="preserve">that </w:t>
      </w:r>
      <w:r w:rsidRPr="00B543DA">
        <w:rPr>
          <w:rFonts w:cs="Arial"/>
          <w:color w:val="000000"/>
        </w:rPr>
        <w:t xml:space="preserve">includes meeting or exceeding the minimum </w:t>
      </w:r>
      <w:r w:rsidR="00DC5655">
        <w:rPr>
          <w:rFonts w:cs="Arial"/>
          <w:color w:val="000000"/>
        </w:rPr>
        <w:t xml:space="preserve">annual </w:t>
      </w:r>
      <w:r w:rsidRPr="00B543DA">
        <w:rPr>
          <w:rFonts w:cs="Arial"/>
          <w:color w:val="000000"/>
        </w:rPr>
        <w:t>surgeon volume standard</w:t>
      </w:r>
      <w:r>
        <w:rPr>
          <w:rFonts w:cs="Arial"/>
          <w:color w:val="000000"/>
        </w:rPr>
        <w:t xml:space="preserve"> for the procedure</w:t>
      </w:r>
      <w:r w:rsidR="00362DFB">
        <w:rPr>
          <w:rFonts w:cs="Arial"/>
          <w:color w:val="000000"/>
        </w:rPr>
        <w:t xml:space="preserve">, </w:t>
      </w:r>
      <w:r w:rsidR="00362DFB" w:rsidRPr="00DD0395">
        <w:rPr>
          <w:rFonts w:cs="Arial"/>
          <w:b/>
          <w:bCs/>
        </w:rPr>
        <w:t>and</w:t>
      </w:r>
    </w:p>
    <w:p w14:paraId="223101E6" w14:textId="4135A4E7" w:rsidR="00D71AA6" w:rsidRDefault="00D71AA6" w:rsidP="00AD309C">
      <w:pPr>
        <w:pStyle w:val="ListParagraph"/>
        <w:numPr>
          <w:ilvl w:val="0"/>
          <w:numId w:val="140"/>
        </w:numPr>
        <w:rPr>
          <w:rFonts w:cs="Arial"/>
          <w:color w:val="000000"/>
        </w:rPr>
      </w:pPr>
      <w:r>
        <w:rPr>
          <w:rFonts w:cs="Arial"/>
          <w:color w:val="000000"/>
        </w:rPr>
        <w:t>P</w:t>
      </w:r>
      <w:r w:rsidRPr="00B543DA">
        <w:rPr>
          <w:rFonts w:cs="Arial"/>
          <w:color w:val="000000"/>
        </w:rPr>
        <w:t>articipates in the Society of Thoracic Surgeons (STS) Adult Cardiac Surgery Database (ACSD)</w:t>
      </w:r>
      <w:r w:rsidR="00362DFB">
        <w:rPr>
          <w:rFonts w:cs="Arial"/>
          <w:color w:val="000000"/>
        </w:rPr>
        <w:t xml:space="preserve">, </w:t>
      </w:r>
      <w:r w:rsidR="00362DFB" w:rsidRPr="00DD0395">
        <w:rPr>
          <w:rFonts w:cs="Arial"/>
          <w:b/>
          <w:bCs/>
        </w:rPr>
        <w:t>and</w:t>
      </w:r>
    </w:p>
    <w:p w14:paraId="4D22A866" w14:textId="28DD5F95" w:rsidR="00D71AA6" w:rsidRDefault="00D71AA6" w:rsidP="00AD309C">
      <w:pPr>
        <w:pStyle w:val="ListParagraph"/>
        <w:numPr>
          <w:ilvl w:val="0"/>
          <w:numId w:val="140"/>
        </w:numPr>
        <w:rPr>
          <w:rFonts w:cs="Arial"/>
          <w:color w:val="000000"/>
        </w:rPr>
      </w:pPr>
      <w:r>
        <w:rPr>
          <w:rFonts w:cs="Arial"/>
          <w:color w:val="000000"/>
        </w:rPr>
        <w:t>Has a</w:t>
      </w:r>
      <w:r w:rsidR="00720A62">
        <w:rPr>
          <w:rFonts w:cs="Arial"/>
          <w:color w:val="000000"/>
        </w:rPr>
        <w:t xml:space="preserve">n STS </w:t>
      </w:r>
      <w:r w:rsidRPr="00B543DA">
        <w:rPr>
          <w:rFonts w:cs="Arial"/>
          <w:color w:val="000000"/>
        </w:rPr>
        <w:t>Mitral Valve Repair/Replacement Composite Score</w:t>
      </w:r>
      <w:r>
        <w:rPr>
          <w:rFonts w:cs="Arial"/>
          <w:color w:val="000000"/>
        </w:rPr>
        <w:t xml:space="preserve"> of 3 Stars</w:t>
      </w:r>
      <w:r w:rsidR="00362DFB">
        <w:rPr>
          <w:rFonts w:cs="Arial"/>
          <w:color w:val="000000"/>
        </w:rPr>
        <w:t>.</w:t>
      </w:r>
    </w:p>
    <w:p w14:paraId="02177888" w14:textId="175FB4CF" w:rsidR="00A217E3" w:rsidRDefault="00A217E3" w:rsidP="00A217E3">
      <w:pPr>
        <w:rPr>
          <w:rFonts w:cs="Arial"/>
          <w:color w:val="000000"/>
        </w:rPr>
      </w:pPr>
    </w:p>
    <w:p w14:paraId="72D6F908" w14:textId="2FF550B8" w:rsidR="00A217E3" w:rsidRDefault="00A217E3" w:rsidP="00A217E3">
      <w:pPr>
        <w:pStyle w:val="BodyText3"/>
        <w:rPr>
          <w:rFonts w:cs="Arial"/>
          <w:b/>
          <w:bCs/>
        </w:rPr>
      </w:pPr>
      <w:r>
        <w:rPr>
          <w:rFonts w:cs="Arial"/>
          <w:b/>
          <w:bCs/>
        </w:rPr>
        <w:t>Each hospital achieving the standard for Norwood procedures:</w:t>
      </w:r>
    </w:p>
    <w:p w14:paraId="3C1CA004" w14:textId="29FE7CCD" w:rsidR="00A217E3" w:rsidRDefault="00A217E3" w:rsidP="00AD309C">
      <w:pPr>
        <w:pStyle w:val="ListParagraph"/>
        <w:numPr>
          <w:ilvl w:val="0"/>
          <w:numId w:val="178"/>
        </w:numPr>
        <w:rPr>
          <w:rFonts w:cs="Arial"/>
          <w:color w:val="000000"/>
        </w:rPr>
      </w:pPr>
      <w:r>
        <w:rPr>
          <w:rFonts w:cs="Arial"/>
          <w:color w:val="000000"/>
        </w:rPr>
        <w:t>M</w:t>
      </w:r>
      <w:r w:rsidRPr="00B543DA">
        <w:rPr>
          <w:rFonts w:cs="Arial"/>
          <w:color w:val="000000"/>
        </w:rPr>
        <w:t>e</w:t>
      </w:r>
      <w:r>
        <w:rPr>
          <w:rFonts w:cs="Arial"/>
          <w:color w:val="000000"/>
        </w:rPr>
        <w:t>e</w:t>
      </w:r>
      <w:r w:rsidRPr="00B543DA">
        <w:rPr>
          <w:rFonts w:cs="Arial"/>
          <w:color w:val="000000"/>
        </w:rPr>
        <w:t>t</w:t>
      </w:r>
      <w:r>
        <w:rPr>
          <w:rFonts w:cs="Arial"/>
          <w:color w:val="000000"/>
        </w:rPr>
        <w:t>s</w:t>
      </w:r>
      <w:r w:rsidRPr="00B543DA">
        <w:rPr>
          <w:rFonts w:cs="Arial"/>
          <w:color w:val="000000"/>
        </w:rPr>
        <w:t xml:space="preserve"> the minimum hospital volume standard</w:t>
      </w:r>
      <w:r>
        <w:rPr>
          <w:rFonts w:cs="Arial"/>
          <w:color w:val="000000"/>
        </w:rPr>
        <w:t xml:space="preserve"> for the procedure</w:t>
      </w:r>
      <w:r w:rsidR="00362DFB">
        <w:rPr>
          <w:rFonts w:cs="Arial"/>
          <w:color w:val="000000"/>
        </w:rPr>
        <w:t xml:space="preserve">, </w:t>
      </w:r>
      <w:r w:rsidR="00362DFB" w:rsidRPr="00DD0395">
        <w:rPr>
          <w:rFonts w:cs="Arial"/>
          <w:b/>
          <w:bCs/>
        </w:rPr>
        <w:t>and</w:t>
      </w:r>
    </w:p>
    <w:p w14:paraId="313399E3" w14:textId="202286DD" w:rsidR="00A217E3" w:rsidRDefault="00A217E3" w:rsidP="00AD309C">
      <w:pPr>
        <w:pStyle w:val="ListParagraph"/>
        <w:numPr>
          <w:ilvl w:val="0"/>
          <w:numId w:val="178"/>
        </w:numPr>
        <w:rPr>
          <w:rFonts w:cs="Arial"/>
          <w:color w:val="000000"/>
        </w:rPr>
      </w:pPr>
      <w:r>
        <w:rPr>
          <w:rFonts w:cs="Arial"/>
          <w:color w:val="000000"/>
        </w:rPr>
        <w:t>Has a p</w:t>
      </w:r>
      <w:r w:rsidRPr="00B543DA">
        <w:rPr>
          <w:rFonts w:cs="Arial"/>
          <w:color w:val="000000"/>
        </w:rPr>
        <w:t xml:space="preserve">rocess for privileging surgeons </w:t>
      </w:r>
      <w:r>
        <w:rPr>
          <w:rFonts w:cs="Arial"/>
          <w:color w:val="000000"/>
        </w:rPr>
        <w:t xml:space="preserve">that </w:t>
      </w:r>
      <w:r w:rsidRPr="00B543DA">
        <w:rPr>
          <w:rFonts w:cs="Arial"/>
          <w:color w:val="000000"/>
        </w:rPr>
        <w:t xml:space="preserve">includes meeting or exceeding the minimum </w:t>
      </w:r>
      <w:r>
        <w:rPr>
          <w:rFonts w:cs="Arial"/>
          <w:color w:val="000000"/>
        </w:rPr>
        <w:t xml:space="preserve">annual </w:t>
      </w:r>
      <w:r w:rsidRPr="00B543DA">
        <w:rPr>
          <w:rFonts w:cs="Arial"/>
          <w:color w:val="000000"/>
        </w:rPr>
        <w:t>surgeon volume standard</w:t>
      </w:r>
      <w:r>
        <w:rPr>
          <w:rFonts w:cs="Arial"/>
          <w:color w:val="000000"/>
        </w:rPr>
        <w:t xml:space="preserve"> for the procedure</w:t>
      </w:r>
      <w:r w:rsidR="00362DFB">
        <w:rPr>
          <w:rFonts w:cs="Arial"/>
          <w:color w:val="000000"/>
        </w:rPr>
        <w:t xml:space="preserve">, </w:t>
      </w:r>
      <w:r w:rsidR="00362DFB" w:rsidRPr="00DD0395">
        <w:rPr>
          <w:rFonts w:cs="Arial"/>
          <w:b/>
          <w:bCs/>
        </w:rPr>
        <w:t>and</w:t>
      </w:r>
    </w:p>
    <w:p w14:paraId="23A36A8A" w14:textId="3BE30544" w:rsidR="00A217E3" w:rsidRDefault="00A217E3" w:rsidP="00AD309C">
      <w:pPr>
        <w:pStyle w:val="ListParagraph"/>
        <w:numPr>
          <w:ilvl w:val="0"/>
          <w:numId w:val="178"/>
        </w:numPr>
        <w:rPr>
          <w:rFonts w:cs="Arial"/>
          <w:color w:val="000000"/>
        </w:rPr>
      </w:pPr>
      <w:r>
        <w:rPr>
          <w:rFonts w:cs="Arial"/>
          <w:color w:val="000000"/>
        </w:rPr>
        <w:t>P</w:t>
      </w:r>
      <w:r w:rsidRPr="00B543DA">
        <w:rPr>
          <w:rFonts w:cs="Arial"/>
          <w:color w:val="000000"/>
        </w:rPr>
        <w:t xml:space="preserve">articipates in the Society of Thoracic Surgeons (STS) </w:t>
      </w:r>
      <w:r>
        <w:rPr>
          <w:rFonts w:cs="Arial"/>
          <w:color w:val="000000"/>
        </w:rPr>
        <w:t>Congenital Heart</w:t>
      </w:r>
      <w:r w:rsidRPr="00B543DA">
        <w:rPr>
          <w:rFonts w:cs="Arial"/>
          <w:color w:val="000000"/>
        </w:rPr>
        <w:t xml:space="preserve"> Surgery Database (</w:t>
      </w:r>
      <w:r>
        <w:rPr>
          <w:rFonts w:cs="Arial"/>
          <w:color w:val="000000"/>
        </w:rPr>
        <w:t>CH</w:t>
      </w:r>
      <w:r w:rsidRPr="00B543DA">
        <w:rPr>
          <w:rFonts w:cs="Arial"/>
          <w:color w:val="000000"/>
        </w:rPr>
        <w:t>SD)</w:t>
      </w:r>
      <w:r w:rsidR="00362DFB">
        <w:rPr>
          <w:rFonts w:cs="Arial"/>
          <w:color w:val="000000"/>
        </w:rPr>
        <w:t>.</w:t>
      </w:r>
    </w:p>
    <w:p w14:paraId="04D21ED9" w14:textId="53DCF226" w:rsidR="002668B5" w:rsidRDefault="002668B5" w:rsidP="002668B5">
      <w:pPr>
        <w:rPr>
          <w:rFonts w:cs="Arial"/>
          <w:color w:val="000000"/>
        </w:rPr>
      </w:pPr>
    </w:p>
    <w:p w14:paraId="5E42775E" w14:textId="4242E0C8" w:rsidR="002668B5" w:rsidRPr="00BC3C78" w:rsidRDefault="002668B5" w:rsidP="002668B5">
      <w:pPr>
        <w:rPr>
          <w:rFonts w:cs="Arial"/>
          <w:b/>
          <w:bCs/>
          <w:color w:val="000000"/>
        </w:rPr>
      </w:pPr>
      <w:r w:rsidRPr="00BC3C78">
        <w:rPr>
          <w:rFonts w:cs="Arial"/>
          <w:b/>
          <w:bCs/>
          <w:color w:val="000000"/>
        </w:rPr>
        <w:t xml:space="preserve">Each hospital achieving the standard for </w:t>
      </w:r>
      <w:r w:rsidR="00B33AFA">
        <w:rPr>
          <w:rFonts w:cs="Arial"/>
          <w:b/>
          <w:bCs/>
          <w:color w:val="000000"/>
        </w:rPr>
        <w:t>the safe surgery checklist</w:t>
      </w:r>
      <w:r w:rsidRPr="00BC3C78">
        <w:rPr>
          <w:rFonts w:cs="Arial"/>
          <w:b/>
          <w:bCs/>
          <w:color w:val="000000"/>
        </w:rPr>
        <w:t>:</w:t>
      </w:r>
    </w:p>
    <w:p w14:paraId="0C8C6CDD" w14:textId="4ABE8427" w:rsidR="0074772E" w:rsidRPr="0074772E" w:rsidRDefault="00720A62" w:rsidP="00AD309C">
      <w:pPr>
        <w:pStyle w:val="ListParagraph"/>
        <w:numPr>
          <w:ilvl w:val="0"/>
          <w:numId w:val="168"/>
        </w:numPr>
        <w:spacing w:after="120" w:line="264" w:lineRule="auto"/>
        <w:rPr>
          <w:rFonts w:cstheme="minorHAnsi"/>
        </w:rPr>
      </w:pPr>
      <w:r w:rsidRPr="00720A62">
        <w:rPr>
          <w:rFonts w:cstheme="minorHAnsi"/>
        </w:rPr>
        <w:t xml:space="preserve">Uses a safe surgery checklist on </w:t>
      </w:r>
      <w:r w:rsidRPr="00720A62">
        <w:rPr>
          <w:rFonts w:cstheme="minorHAnsi"/>
          <w:b/>
          <w:bCs/>
        </w:rPr>
        <w:t xml:space="preserve">all </w:t>
      </w:r>
      <w:r w:rsidRPr="00720A62">
        <w:rPr>
          <w:rFonts w:cstheme="minorHAnsi"/>
        </w:rPr>
        <w:t>patients undergoing an applicable procedure (reported on in Section 3A</w:t>
      </w:r>
      <w:r w:rsidR="001D32A7">
        <w:rPr>
          <w:rFonts w:cstheme="minorHAnsi"/>
        </w:rPr>
        <w:t>, if applicable</w:t>
      </w:r>
      <w:r w:rsidRPr="00720A62">
        <w:rPr>
          <w:rFonts w:cstheme="minorHAnsi"/>
        </w:rPr>
        <w:t>)</w:t>
      </w:r>
      <w:r w:rsidR="0074772E">
        <w:rPr>
          <w:rFonts w:cstheme="minorHAnsi"/>
        </w:rPr>
        <w:t xml:space="preserve"> that </w:t>
      </w:r>
      <w:r>
        <w:t>includes</w:t>
      </w:r>
      <w:r w:rsidRPr="00AD521E">
        <w:t xml:space="preserve"> </w:t>
      </w:r>
      <w:r w:rsidRPr="00D65587">
        <w:rPr>
          <w:b/>
          <w:bCs/>
        </w:rPr>
        <w:t>all</w:t>
      </w:r>
      <w:r w:rsidRPr="00AD521E">
        <w:rPr>
          <w:b/>
          <w:bCs/>
        </w:rPr>
        <w:t xml:space="preserve"> </w:t>
      </w:r>
      <w:r w:rsidRPr="00AD521E">
        <w:t xml:space="preserve">safe </w:t>
      </w:r>
      <w:r>
        <w:t>surgery</w:t>
      </w:r>
      <w:r w:rsidRPr="00AD521E">
        <w:t xml:space="preserve"> checklist elements</w:t>
      </w:r>
      <w:r w:rsidR="00AE6BAB">
        <w:t>;</w:t>
      </w:r>
      <w:r w:rsidR="00362DFB">
        <w:t xml:space="preserve"> </w:t>
      </w:r>
      <w:r w:rsidR="00362DFB" w:rsidRPr="00DD0395">
        <w:rPr>
          <w:rFonts w:cs="Arial"/>
          <w:b/>
          <w:bCs/>
        </w:rPr>
        <w:t>and</w:t>
      </w:r>
    </w:p>
    <w:p w14:paraId="6AB34469" w14:textId="09E0A45D" w:rsidR="00720A62" w:rsidRPr="0074772E" w:rsidRDefault="0074772E" w:rsidP="00AD309C">
      <w:pPr>
        <w:pStyle w:val="ListParagraph"/>
        <w:numPr>
          <w:ilvl w:val="0"/>
          <w:numId w:val="168"/>
        </w:numPr>
        <w:spacing w:after="120" w:line="264" w:lineRule="auto"/>
        <w:rPr>
          <w:rFonts w:cstheme="minorHAnsi"/>
        </w:rPr>
      </w:pPr>
      <w:r>
        <w:rPr>
          <w:rFonts w:cstheme="minorHAnsi"/>
        </w:rPr>
        <w:t xml:space="preserve">Verbalizes </w:t>
      </w:r>
      <w:r w:rsidRPr="002F266A">
        <w:rPr>
          <w:rFonts w:cstheme="minorHAnsi"/>
          <w:b/>
          <w:bCs/>
        </w:rPr>
        <w:t>all</w:t>
      </w:r>
      <w:r>
        <w:rPr>
          <w:rFonts w:cstheme="minorHAnsi"/>
        </w:rPr>
        <w:t xml:space="preserve"> </w:t>
      </w:r>
      <w:r w:rsidR="008B4DBB">
        <w:rPr>
          <w:rFonts w:cstheme="minorHAnsi"/>
        </w:rPr>
        <w:t xml:space="preserve">safe surgery checklist </w:t>
      </w:r>
      <w:r>
        <w:rPr>
          <w:rFonts w:cstheme="minorHAnsi"/>
        </w:rPr>
        <w:t xml:space="preserve">elements </w:t>
      </w:r>
      <w:r w:rsidR="00720A62">
        <w:t>in the presence of the appropriate personnel</w:t>
      </w:r>
      <w:r w:rsidR="00AE6BAB">
        <w:t>;</w:t>
      </w:r>
      <w:r w:rsidR="00362DFB">
        <w:t xml:space="preserve"> </w:t>
      </w:r>
      <w:r w:rsidR="00362DFB" w:rsidRPr="00DD0395">
        <w:rPr>
          <w:rFonts w:cs="Arial"/>
          <w:b/>
          <w:bCs/>
        </w:rPr>
        <w:t>and</w:t>
      </w:r>
    </w:p>
    <w:p w14:paraId="7A5461F5" w14:textId="0A0E2F3F" w:rsidR="00720A62" w:rsidRPr="0090542F" w:rsidRDefault="0074772E" w:rsidP="00AD309C">
      <w:pPr>
        <w:pStyle w:val="ListParagraph"/>
        <w:numPr>
          <w:ilvl w:val="0"/>
          <w:numId w:val="168"/>
        </w:numPr>
        <w:spacing w:after="120" w:line="264" w:lineRule="auto"/>
        <w:rPr>
          <w:rFonts w:cstheme="minorHAnsi"/>
        </w:rPr>
      </w:pPr>
      <w:r>
        <w:t>Completes a</w:t>
      </w:r>
      <w:r w:rsidR="00720A62">
        <w:t>n audit o</w:t>
      </w:r>
      <w:r w:rsidR="00A879E1">
        <w:t xml:space="preserve">n </w:t>
      </w:r>
      <w:r w:rsidR="00D25C4F">
        <w:t>a sufficient sample</w:t>
      </w:r>
      <w:r w:rsidR="00A879E1">
        <w:t xml:space="preserve"> of</w:t>
      </w:r>
      <w:r w:rsidR="00720A62">
        <w:t xml:space="preserve"> patients </w:t>
      </w:r>
      <w:r w:rsidR="00B56A23">
        <w:t xml:space="preserve">to </w:t>
      </w:r>
      <w:r w:rsidR="00720A62">
        <w:t>document adherence</w:t>
      </w:r>
      <w:r w:rsidR="00B56A23">
        <w:t xml:space="preserve"> </w:t>
      </w:r>
      <w:r w:rsidR="00720A62">
        <w:t>to the checklist</w:t>
      </w:r>
      <w:r w:rsidR="00AE6BAB">
        <w:t>;</w:t>
      </w:r>
      <w:r w:rsidR="00362DFB">
        <w:t xml:space="preserve"> </w:t>
      </w:r>
      <w:r w:rsidR="00362DFB" w:rsidRPr="00DD0395">
        <w:rPr>
          <w:rFonts w:cs="Arial"/>
          <w:b/>
          <w:bCs/>
        </w:rPr>
        <w:t>and</w:t>
      </w:r>
    </w:p>
    <w:p w14:paraId="123EF0D6" w14:textId="4E8E6FD6" w:rsidR="00720A62" w:rsidRPr="00501E77" w:rsidRDefault="00B56A23" w:rsidP="00AD309C">
      <w:pPr>
        <w:pStyle w:val="ListParagraph"/>
        <w:numPr>
          <w:ilvl w:val="0"/>
          <w:numId w:val="168"/>
        </w:numPr>
        <w:spacing w:after="120" w:line="264" w:lineRule="auto"/>
        <w:rPr>
          <w:rFonts w:cs="Arial"/>
          <w:b/>
          <w:bCs/>
          <w:szCs w:val="28"/>
        </w:rPr>
      </w:pPr>
      <w:r>
        <w:t>Has documented adherence to the checklist for at least 90% of the patients included in the audit</w:t>
      </w:r>
      <w:r w:rsidR="00362DFB">
        <w:t>.</w:t>
      </w:r>
    </w:p>
    <w:p w14:paraId="411D1386" w14:textId="77777777" w:rsidR="008B03B2" w:rsidRPr="009A5185" w:rsidRDefault="008B03B2" w:rsidP="008B03B2">
      <w:pPr>
        <w:pStyle w:val="BodyText3"/>
        <w:rPr>
          <w:rFonts w:cs="Arial"/>
        </w:rPr>
      </w:pPr>
    </w:p>
    <w:p w14:paraId="1382D692" w14:textId="46B30296" w:rsidR="008B03B2" w:rsidRPr="009A5185" w:rsidRDefault="001E4A76" w:rsidP="008B03B2">
      <w:pPr>
        <w:pStyle w:val="BodyText3"/>
        <w:rPr>
          <w:rFonts w:cs="Arial"/>
          <w:b/>
        </w:rPr>
      </w:pPr>
      <w:r>
        <w:rPr>
          <w:rFonts w:cs="Arial"/>
          <w:b/>
        </w:rPr>
        <w:t xml:space="preserve">Download the </w:t>
      </w:r>
      <w:r w:rsidR="00A236B1">
        <w:rPr>
          <w:rFonts w:cs="Arial"/>
          <w:b/>
        </w:rPr>
        <w:t>202</w:t>
      </w:r>
      <w:r w:rsidR="00F44200">
        <w:rPr>
          <w:rFonts w:cs="Arial"/>
          <w:b/>
        </w:rPr>
        <w:t>6</w:t>
      </w:r>
      <w:r w:rsidR="008B03B2" w:rsidRPr="009A5185">
        <w:rPr>
          <w:rFonts w:cs="Arial"/>
          <w:b/>
        </w:rPr>
        <w:t xml:space="preserve"> Leapfrog Hospital Survey Scoring Algorithm on the </w:t>
      </w:r>
      <w:hyperlink r:id="rId210" w:history="1">
        <w:r w:rsidR="008B03B2" w:rsidRPr="009A5185">
          <w:rPr>
            <w:rStyle w:val="Hyperlink"/>
            <w:rFonts w:cs="Arial"/>
            <w:b/>
          </w:rPr>
          <w:t>Scoring and Results webpage</w:t>
        </w:r>
      </w:hyperlink>
      <w:r w:rsidR="008B03B2" w:rsidRPr="009A5185">
        <w:rPr>
          <w:rFonts w:cs="Arial"/>
          <w:b/>
        </w:rPr>
        <w:t>.</w:t>
      </w:r>
    </w:p>
    <w:p w14:paraId="1D6E5F2E" w14:textId="77777777" w:rsidR="000A3B4F" w:rsidRPr="009A5185" w:rsidRDefault="000A3B4F" w:rsidP="00FB144E">
      <w:pPr>
        <w:pStyle w:val="BodyText3"/>
        <w:rPr>
          <w:rFonts w:cs="Arial"/>
        </w:rPr>
      </w:pPr>
    </w:p>
    <w:p w14:paraId="3D5D872B" w14:textId="77777777" w:rsidR="009B7CE8" w:rsidRDefault="009B7CE8">
      <w:pPr>
        <w:rPr>
          <w:rFonts w:cs="Arial"/>
          <w:b/>
          <w:snapToGrid w:val="0"/>
          <w:color w:val="000000"/>
          <w:sz w:val="24"/>
          <w:szCs w:val="24"/>
        </w:rPr>
      </w:pPr>
      <w:r>
        <w:rPr>
          <w:rFonts w:cs="Arial"/>
          <w:b/>
          <w:snapToGrid w:val="0"/>
          <w:sz w:val="24"/>
          <w:szCs w:val="24"/>
        </w:rPr>
        <w:br w:type="page"/>
      </w:r>
    </w:p>
    <w:p w14:paraId="4E240BDA" w14:textId="77777777" w:rsidR="00306EB2" w:rsidRDefault="00306EB2" w:rsidP="00CF5A6E">
      <w:pPr>
        <w:pStyle w:val="Heading2"/>
      </w:pPr>
      <w:bookmarkStart w:id="229" w:name="_Toc225877708"/>
      <w:r w:rsidRPr="009A5185">
        <w:lastRenderedPageBreak/>
        <w:t>3A: Hospital and Surgeon Volume</w:t>
      </w:r>
      <w:bookmarkEnd w:id="229"/>
    </w:p>
    <w:p w14:paraId="457224DA" w14:textId="56A2EBDE" w:rsidR="0003005A" w:rsidRPr="004F5E10" w:rsidRDefault="00287EBB" w:rsidP="0003005A">
      <w:pPr>
        <w:rPr>
          <w:rFonts w:cs="Arial"/>
        </w:rPr>
      </w:pPr>
      <w:r>
        <w:rPr>
          <w:rFonts w:cs="Arial"/>
          <w:snapToGrid w:val="0"/>
        </w:rPr>
        <w:br/>
      </w:r>
      <w:r w:rsidR="0003005A" w:rsidRPr="004F5E10">
        <w:rPr>
          <w:rFonts w:cs="Arial"/>
          <w:snapToGrid w:val="0"/>
        </w:rPr>
        <w:t xml:space="preserve">Hospitals that share a CMS Certification Number are required to report by facility. Please carefully review </w:t>
      </w:r>
      <w:hyperlink r:id="rId211" w:history="1">
        <w:r w:rsidR="0003005A" w:rsidRPr="004F5E10">
          <w:rPr>
            <w:rFonts w:cs="Arial"/>
            <w:snapToGrid w:val="0"/>
            <w:color w:val="0000FF"/>
            <w:u w:val="single"/>
          </w:rPr>
          <w:t>Leapfrog’s Multi-Campus Reporting Policy</w:t>
        </w:r>
      </w:hyperlink>
      <w:r w:rsidR="0003005A" w:rsidRPr="004F5E10">
        <w:rPr>
          <w:rFonts w:cs="Arial"/>
          <w:snapToGrid w:val="0"/>
        </w:rPr>
        <w:t>.</w:t>
      </w:r>
    </w:p>
    <w:p w14:paraId="7DEB313C" w14:textId="77777777" w:rsidR="00DA12FA" w:rsidRDefault="00DA12FA" w:rsidP="00DA12FA">
      <w:pPr>
        <w:rPr>
          <w:rFonts w:cs="Arial"/>
          <w:b/>
          <w:snapToGrid w:val="0"/>
        </w:rPr>
      </w:pPr>
    </w:p>
    <w:p w14:paraId="533D6EDE" w14:textId="77777777" w:rsidR="00562F04" w:rsidRDefault="00562F04" w:rsidP="00562F04">
      <w:pPr>
        <w:rPr>
          <w:rFonts w:cs="Arial"/>
          <w:b/>
          <w:snapToGrid w:val="0"/>
          <w:color w:val="FF0000"/>
        </w:rPr>
      </w:pPr>
      <w:r w:rsidRPr="00873014">
        <w:rPr>
          <w:rFonts w:cs="Arial"/>
          <w:b/>
          <w:snapToGrid w:val="0"/>
          <w:color w:val="FF0000"/>
        </w:rPr>
        <w:t xml:space="preserve">Important Notes: </w:t>
      </w:r>
    </w:p>
    <w:p w14:paraId="76D3172F" w14:textId="77777777" w:rsidR="00562F04" w:rsidRDefault="00562F04" w:rsidP="00562F04">
      <w:pPr>
        <w:rPr>
          <w:rFonts w:cs="Arial"/>
          <w:b/>
          <w:snapToGrid w:val="0"/>
          <w:color w:val="FF0000"/>
        </w:rPr>
      </w:pPr>
    </w:p>
    <w:p w14:paraId="68F97FC7" w14:textId="3C0CE985" w:rsidR="00D961E6" w:rsidRDefault="00562F04" w:rsidP="00562F04">
      <w:pPr>
        <w:rPr>
          <w:rFonts w:cs="Arial"/>
          <w:snapToGrid w:val="0"/>
        </w:rPr>
      </w:pPr>
      <w:r>
        <w:rPr>
          <w:rFonts w:cs="Arial"/>
          <w:snapToGrid w:val="0"/>
        </w:rPr>
        <w:t xml:space="preserve">Note 1: </w:t>
      </w:r>
      <w:r w:rsidR="00D902EC">
        <w:rPr>
          <w:rFonts w:cs="Arial"/>
          <w:snapToGrid w:val="0"/>
        </w:rPr>
        <w:t>This subsection</w:t>
      </w:r>
      <w:r w:rsidR="00D961E6" w:rsidRPr="00D961E6">
        <w:rPr>
          <w:rFonts w:cs="Arial"/>
          <w:snapToGrid w:val="0"/>
        </w:rPr>
        <w:t xml:space="preserve"> is applicable to </w:t>
      </w:r>
      <w:r w:rsidR="004178CA">
        <w:rPr>
          <w:rFonts w:cs="Arial"/>
          <w:snapToGrid w:val="0"/>
        </w:rPr>
        <w:t>all h</w:t>
      </w:r>
      <w:r w:rsidR="00D961E6" w:rsidRPr="00D961E6">
        <w:rPr>
          <w:rFonts w:cs="Arial"/>
          <w:snapToGrid w:val="0"/>
        </w:rPr>
        <w:t xml:space="preserve">ospitals. Hospitals that do not </w:t>
      </w:r>
      <w:r w:rsidR="00862AE6" w:rsidRPr="00D961E6">
        <w:rPr>
          <w:rFonts w:cs="Arial"/>
          <w:snapToGrid w:val="0"/>
        </w:rPr>
        <w:t>perform</w:t>
      </w:r>
      <w:r w:rsidR="00D961E6" w:rsidRPr="00D961E6">
        <w:rPr>
          <w:rFonts w:cs="Arial"/>
          <w:snapToGrid w:val="0"/>
        </w:rPr>
        <w:t xml:space="preserve"> the procedures included in </w:t>
      </w:r>
      <w:r w:rsidR="00D902EC">
        <w:rPr>
          <w:rFonts w:cs="Arial"/>
          <w:snapToGrid w:val="0"/>
        </w:rPr>
        <w:t>this subsection</w:t>
      </w:r>
      <w:r w:rsidR="00D961E6" w:rsidRPr="00D961E6">
        <w:rPr>
          <w:rFonts w:cs="Arial"/>
          <w:snapToGrid w:val="0"/>
        </w:rPr>
        <w:t xml:space="preserve"> should select “None of the above” in question #2 and move on to the Affirmation of Accuracy. Your hospital’s results will be displayed as “Does Not Apply” on Leapfrog’s public reporting website.</w:t>
      </w:r>
    </w:p>
    <w:p w14:paraId="313A8093" w14:textId="77777777" w:rsidR="00D961E6" w:rsidRDefault="00D961E6" w:rsidP="00562F04">
      <w:pPr>
        <w:rPr>
          <w:rFonts w:cs="Arial"/>
          <w:snapToGrid w:val="0"/>
        </w:rPr>
      </w:pPr>
    </w:p>
    <w:p w14:paraId="1B2D4C6E" w14:textId="41A5B69A" w:rsidR="00562F04" w:rsidRDefault="00D961E6" w:rsidP="00562F04">
      <w:pPr>
        <w:rPr>
          <w:rFonts w:cs="Arial"/>
          <w:lang w:eastAsia="ja-JP"/>
        </w:rPr>
      </w:pPr>
      <w:r>
        <w:rPr>
          <w:rFonts w:cs="Arial"/>
          <w:snapToGrid w:val="0"/>
        </w:rPr>
        <w:t xml:space="preserve">Note 2: </w:t>
      </w:r>
      <w:r w:rsidR="00D71AA6">
        <w:rPr>
          <w:rFonts w:cs="Arial"/>
          <w:lang w:eastAsia="ja-JP"/>
        </w:rPr>
        <w:t xml:space="preserve">Pediatric </w:t>
      </w:r>
      <w:r w:rsidR="004178CA">
        <w:rPr>
          <w:rFonts w:cs="Arial"/>
          <w:lang w:eastAsia="ja-JP"/>
        </w:rPr>
        <w:t>h</w:t>
      </w:r>
      <w:r w:rsidR="00D71AA6">
        <w:rPr>
          <w:rFonts w:cs="Arial"/>
          <w:lang w:eastAsia="ja-JP"/>
        </w:rPr>
        <w:t xml:space="preserve">ospitals should only respond to questions regarding the Norwood procedure, if applicable. </w:t>
      </w:r>
      <w:r w:rsidR="00237325">
        <w:rPr>
          <w:rFonts w:cs="Arial"/>
          <w:lang w:eastAsia="ja-JP"/>
        </w:rPr>
        <w:t xml:space="preserve">If the Norwood procedure is not applicable, select “None of the above” in question </w:t>
      </w:r>
      <w:r w:rsidR="005A3781">
        <w:rPr>
          <w:rFonts w:cs="Arial"/>
          <w:lang w:eastAsia="ja-JP"/>
        </w:rPr>
        <w:t>#</w:t>
      </w:r>
      <w:r w:rsidR="00237325">
        <w:rPr>
          <w:rFonts w:cs="Arial"/>
          <w:lang w:eastAsia="ja-JP"/>
        </w:rPr>
        <w:t xml:space="preserve">2 and move on to the Affirmation of Accuracy. Your hospital’s results will be displayed as “Does Not Apply” on Leapfrog’s public reporting website. </w:t>
      </w:r>
    </w:p>
    <w:p w14:paraId="620E220E" w14:textId="77777777" w:rsidR="00562F04" w:rsidRDefault="00562F04" w:rsidP="00280B57">
      <w:pPr>
        <w:rPr>
          <w:rFonts w:cs="Arial"/>
          <w:b/>
          <w:snapToGrid w:val="0"/>
        </w:rPr>
      </w:pPr>
    </w:p>
    <w:p w14:paraId="535F5C6B" w14:textId="13243B4F" w:rsidR="00417651" w:rsidRPr="003735D9" w:rsidRDefault="00417651" w:rsidP="00280B57">
      <w:pPr>
        <w:rPr>
          <w:rFonts w:cs="Arial"/>
          <w:bCs/>
          <w:snapToGrid w:val="0"/>
        </w:rPr>
      </w:pPr>
      <w:r w:rsidRPr="003735D9">
        <w:rPr>
          <w:rFonts w:cs="Arial"/>
          <w:bCs/>
          <w:snapToGrid w:val="0"/>
        </w:rPr>
        <w:t>Note 3:</w:t>
      </w:r>
      <w:r w:rsidR="008F633C">
        <w:rPr>
          <w:rFonts w:cs="Arial"/>
          <w:bCs/>
          <w:snapToGrid w:val="0"/>
        </w:rPr>
        <w:t xml:space="preserve"> </w:t>
      </w:r>
      <w:r>
        <w:rPr>
          <w:rFonts w:cs="Arial"/>
          <w:bCs/>
          <w:snapToGrid w:val="0"/>
        </w:rPr>
        <w:t>Question #</w:t>
      </w:r>
      <w:r w:rsidR="00C837E6">
        <w:rPr>
          <w:rFonts w:cs="Arial"/>
          <w:bCs/>
          <w:snapToGrid w:val="0"/>
        </w:rPr>
        <w:t>1</w:t>
      </w:r>
      <w:r w:rsidR="00D07281">
        <w:rPr>
          <w:rFonts w:cs="Arial"/>
          <w:bCs/>
          <w:snapToGrid w:val="0"/>
        </w:rPr>
        <w:t>2</w:t>
      </w:r>
      <w:r>
        <w:rPr>
          <w:rFonts w:cs="Arial"/>
          <w:bCs/>
          <w:snapToGrid w:val="0"/>
        </w:rPr>
        <w:t xml:space="preserve"> is optional and will not be used in scoring or public reporting.</w:t>
      </w:r>
    </w:p>
    <w:p w14:paraId="58440F62" w14:textId="77777777" w:rsidR="00417651" w:rsidRDefault="00417651" w:rsidP="00280B57">
      <w:pPr>
        <w:rPr>
          <w:rFonts w:cs="Arial"/>
          <w:b/>
          <w:snapToGrid w:val="0"/>
        </w:rPr>
      </w:pPr>
    </w:p>
    <w:p w14:paraId="42CCD63D" w14:textId="7C8933C5" w:rsidR="00DA12FA" w:rsidRPr="009A5185" w:rsidRDefault="00DA12FA" w:rsidP="00280B57">
      <w:pPr>
        <w:rPr>
          <w:rFonts w:cs="Arial"/>
          <w:snapToGrid w:val="0"/>
        </w:rPr>
      </w:pPr>
      <w:r w:rsidRPr="009A5185">
        <w:rPr>
          <w:rFonts w:cs="Arial"/>
          <w:b/>
          <w:snapToGrid w:val="0"/>
        </w:rPr>
        <w:t>Specifications:</w:t>
      </w:r>
      <w:r w:rsidRPr="009A5185">
        <w:rPr>
          <w:rFonts w:cs="Arial"/>
          <w:snapToGrid w:val="0"/>
        </w:rPr>
        <w:t xml:space="preserve"> See </w:t>
      </w:r>
      <w:hyperlink w:anchor="_Inpatient_Surgery_Measure" w:history="1">
        <w:r w:rsidR="00AC2D85">
          <w:rPr>
            <w:rStyle w:val="Hyperlink"/>
            <w:rFonts w:cs="Arial"/>
            <w:b/>
            <w:i/>
            <w:snapToGrid w:val="0"/>
          </w:rPr>
          <w:t>Hospital and Surgeon Volume Measure Specifications</w:t>
        </w:r>
      </w:hyperlink>
      <w:r w:rsidRPr="009A5185">
        <w:rPr>
          <w:rFonts w:cs="Arial"/>
          <w:snapToGrid w:val="0"/>
        </w:rPr>
        <w:t xml:space="preserve"> in the Reference Information </w:t>
      </w:r>
      <w:r w:rsidR="00962E24">
        <w:rPr>
          <w:rFonts w:cs="Arial"/>
          <w:snapToGrid w:val="0"/>
        </w:rPr>
        <w:t xml:space="preserve">beginning on page </w:t>
      </w:r>
      <w:r w:rsidR="00962E24">
        <w:rPr>
          <w:rFonts w:cs="Arial"/>
          <w:snapToGrid w:val="0"/>
        </w:rPr>
        <w:fldChar w:fldCharType="begin"/>
      </w:r>
      <w:r w:rsidR="00962E24">
        <w:rPr>
          <w:rFonts w:cs="Arial"/>
          <w:snapToGrid w:val="0"/>
        </w:rPr>
        <w:instrText xml:space="preserve"> PAGEREF _Ref123646754 \h </w:instrText>
      </w:r>
      <w:r w:rsidR="00962E24">
        <w:rPr>
          <w:rFonts w:cs="Arial"/>
          <w:snapToGrid w:val="0"/>
        </w:rPr>
      </w:r>
      <w:r w:rsidR="00962E24">
        <w:rPr>
          <w:rFonts w:cs="Arial"/>
          <w:snapToGrid w:val="0"/>
        </w:rPr>
        <w:fldChar w:fldCharType="separate"/>
      </w:r>
      <w:r w:rsidR="007D53A2">
        <w:rPr>
          <w:rFonts w:cs="Arial"/>
          <w:noProof/>
          <w:snapToGrid w:val="0"/>
        </w:rPr>
        <w:t>10</w:t>
      </w:r>
      <w:r w:rsidR="00962E24">
        <w:rPr>
          <w:rFonts w:cs="Arial"/>
          <w:snapToGrid w:val="0"/>
        </w:rPr>
        <w:fldChar w:fldCharType="end"/>
      </w:r>
      <w:r w:rsidR="00D07281">
        <w:rPr>
          <w:rFonts w:cs="Arial"/>
          <w:snapToGrid w:val="0"/>
        </w:rPr>
        <w:t>3</w:t>
      </w:r>
      <w:r w:rsidR="00962E24">
        <w:rPr>
          <w:rFonts w:cs="Arial"/>
          <w:snapToGrid w:val="0"/>
        </w:rPr>
        <w:t>.</w:t>
      </w:r>
    </w:p>
    <w:p w14:paraId="50C29AE8" w14:textId="77777777" w:rsidR="00DA12FA" w:rsidRPr="008D6E32" w:rsidRDefault="00DA12FA" w:rsidP="00100C23">
      <w:pPr>
        <w:rPr>
          <w:rFonts w:cs="Arial"/>
          <w:b/>
          <w:snapToGrid w:val="0"/>
        </w:rPr>
      </w:pPr>
    </w:p>
    <w:p w14:paraId="609CC218" w14:textId="62D699F8" w:rsidR="00DA12FA" w:rsidRDefault="0054290C" w:rsidP="00100C23">
      <w:pPr>
        <w:rPr>
          <w:rFonts w:cs="Arial"/>
          <w:b/>
          <w:snapToGrid w:val="0"/>
        </w:rPr>
      </w:pPr>
      <w:r w:rsidRPr="0054290C">
        <w:rPr>
          <w:rFonts w:cs="Arial"/>
          <w:b/>
          <w:noProof/>
          <w:snapToGrid w:val="0"/>
        </w:rPr>
        <mc:AlternateContent>
          <mc:Choice Requires="wps">
            <w:drawing>
              <wp:inline distT="0" distB="0" distL="0" distR="0" wp14:anchorId="5DDDA7D8" wp14:editId="5B4CAFA2">
                <wp:extent cx="6003235" cy="1404620"/>
                <wp:effectExtent l="0" t="0" r="17145" b="12065"/>
                <wp:docPr id="26" name="Text Box 26" descr="P2762TB1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35" cy="1404620"/>
                        </a:xfrm>
                        <a:prstGeom prst="rect">
                          <a:avLst/>
                        </a:prstGeom>
                        <a:solidFill>
                          <a:srgbClr val="FFFFFF"/>
                        </a:solidFill>
                        <a:ln w="9525">
                          <a:solidFill>
                            <a:srgbClr val="FF0000"/>
                          </a:solidFill>
                          <a:miter lim="800000"/>
                          <a:headEnd/>
                          <a:tailEnd/>
                        </a:ln>
                      </wps:spPr>
                      <wps:txbx>
                        <w:txbxContent>
                          <w:p w14:paraId="7BBF3C93" w14:textId="46FA98A5" w:rsidR="0054290C" w:rsidRPr="009A5185" w:rsidRDefault="0054290C" w:rsidP="0054290C">
                            <w:pPr>
                              <w:spacing w:before="40"/>
                              <w:rPr>
                                <w:rFonts w:cs="Arial"/>
                                <w:snapToGrid w:val="0"/>
                              </w:rPr>
                            </w:pPr>
                            <w:r w:rsidRPr="009A5185">
                              <w:rPr>
                                <w:rFonts w:cs="Arial"/>
                                <w:b/>
                                <w:snapToGrid w:val="0"/>
                              </w:rPr>
                              <w:t>Reporting Period:</w:t>
                            </w:r>
                            <w:r w:rsidRPr="009A5185">
                              <w:rPr>
                                <w:rFonts w:cs="Arial"/>
                                <w:snapToGrid w:val="0"/>
                              </w:rPr>
                              <w:t xml:space="preserve"> </w:t>
                            </w:r>
                            <w:r w:rsidRPr="009A5185">
                              <w:rPr>
                                <w:rFonts w:cs="Arial"/>
                                <w:b/>
                                <w:snapToGrid w:val="0"/>
                              </w:rPr>
                              <w:t>12</w:t>
                            </w:r>
                            <w:r>
                              <w:rPr>
                                <w:rFonts w:cs="Arial"/>
                                <w:b/>
                                <w:snapToGrid w:val="0"/>
                              </w:rPr>
                              <w:t xml:space="preserve"> </w:t>
                            </w:r>
                            <w:r w:rsidRPr="009A5185">
                              <w:rPr>
                                <w:rFonts w:cs="Arial"/>
                                <w:b/>
                                <w:snapToGrid w:val="0"/>
                              </w:rPr>
                              <w:t xml:space="preserve">months or </w:t>
                            </w:r>
                            <w:r w:rsidRPr="009A5185">
                              <w:rPr>
                                <w:rFonts w:cs="Arial"/>
                                <w:b/>
                                <w:i/>
                                <w:snapToGrid w:val="0"/>
                              </w:rPr>
                              <w:t>optionally</w:t>
                            </w:r>
                            <w:r w:rsidRPr="009A5185">
                              <w:rPr>
                                <w:rFonts w:cs="Arial"/>
                                <w:b/>
                                <w:snapToGrid w:val="0"/>
                              </w:rPr>
                              <w:t xml:space="preserve"> 24</w:t>
                            </w:r>
                            <w:r>
                              <w:rPr>
                                <w:rFonts w:cs="Arial"/>
                                <w:b/>
                                <w:snapToGrid w:val="0"/>
                              </w:rPr>
                              <w:t xml:space="preserve"> </w:t>
                            </w:r>
                            <w:r w:rsidRPr="009A5185">
                              <w:rPr>
                                <w:rFonts w:cs="Arial"/>
                                <w:b/>
                                <w:snapToGrid w:val="0"/>
                              </w:rPr>
                              <w:t>months (annual average)</w:t>
                            </w:r>
                          </w:p>
                          <w:p w14:paraId="7283BBDA" w14:textId="77777777" w:rsidR="0054290C" w:rsidRPr="00D71AA6" w:rsidRDefault="0054290C" w:rsidP="00AD309C">
                            <w:pPr>
                              <w:pStyle w:val="ListParagraph"/>
                              <w:numPr>
                                <w:ilvl w:val="0"/>
                                <w:numId w:val="29"/>
                              </w:numPr>
                              <w:rPr>
                                <w:rFonts w:cs="Arial"/>
                                <w:i/>
                                <w:snapToGrid w:val="0"/>
                              </w:rPr>
                            </w:pPr>
                            <w:r>
                              <w:rPr>
                                <w:rFonts w:cs="Arial"/>
                                <w:snapToGrid w:val="0"/>
                              </w:rPr>
                              <w:t>Surveys submitted prior to September 1:</w:t>
                            </w:r>
                          </w:p>
                          <w:p w14:paraId="42CA7C20" w14:textId="4350E6BD" w:rsidR="0054290C" w:rsidRPr="009A5185" w:rsidRDefault="0054290C" w:rsidP="00AD309C">
                            <w:pPr>
                              <w:pStyle w:val="ListParagraph"/>
                              <w:numPr>
                                <w:ilvl w:val="1"/>
                                <w:numId w:val="29"/>
                              </w:numPr>
                              <w:rPr>
                                <w:rFonts w:cs="Arial"/>
                                <w:i/>
                                <w:snapToGrid w:val="0"/>
                              </w:rPr>
                            </w:pPr>
                            <w:r>
                              <w:rPr>
                                <w:rFonts w:cs="Arial"/>
                                <w:snapToGrid w:val="0"/>
                              </w:rPr>
                              <w:t>01/01/202</w:t>
                            </w:r>
                            <w:r w:rsidR="00D82E20">
                              <w:rPr>
                                <w:rFonts w:cs="Arial"/>
                                <w:snapToGrid w:val="0"/>
                              </w:rPr>
                              <w:t>5</w:t>
                            </w:r>
                            <w:r>
                              <w:rPr>
                                <w:rFonts w:cs="Arial"/>
                                <w:snapToGrid w:val="0"/>
                              </w:rPr>
                              <w:t xml:space="preserve"> – 12/31/202</w:t>
                            </w:r>
                            <w:r w:rsidR="00D82E20">
                              <w:rPr>
                                <w:rFonts w:cs="Arial"/>
                                <w:snapToGrid w:val="0"/>
                              </w:rPr>
                              <w:t>5</w:t>
                            </w:r>
                            <w:r>
                              <w:rPr>
                                <w:rFonts w:cs="Arial"/>
                                <w:snapToGrid w:val="0"/>
                              </w:rPr>
                              <w:t xml:space="preserve"> (12-month count) or 01/01/202</w:t>
                            </w:r>
                            <w:r w:rsidR="00D82E20">
                              <w:rPr>
                                <w:rFonts w:cs="Arial"/>
                                <w:snapToGrid w:val="0"/>
                              </w:rPr>
                              <w:t>4</w:t>
                            </w:r>
                            <w:r>
                              <w:rPr>
                                <w:rFonts w:cs="Arial"/>
                                <w:snapToGrid w:val="0"/>
                              </w:rPr>
                              <w:t xml:space="preserve"> – 12/31/202</w:t>
                            </w:r>
                            <w:r w:rsidR="00D82E20">
                              <w:rPr>
                                <w:rFonts w:cs="Arial"/>
                                <w:snapToGrid w:val="0"/>
                              </w:rPr>
                              <w:t>5</w:t>
                            </w:r>
                            <w:r>
                              <w:rPr>
                                <w:rFonts w:cs="Arial"/>
                                <w:snapToGrid w:val="0"/>
                              </w:rPr>
                              <w:t xml:space="preserve"> (24-month annual average)</w:t>
                            </w:r>
                          </w:p>
                          <w:p w14:paraId="6D08C10C" w14:textId="77777777" w:rsidR="0054290C" w:rsidRPr="00D71AA6" w:rsidRDefault="0054290C" w:rsidP="00AD309C">
                            <w:pPr>
                              <w:pStyle w:val="ListParagraph"/>
                              <w:numPr>
                                <w:ilvl w:val="0"/>
                                <w:numId w:val="29"/>
                              </w:numPr>
                              <w:rPr>
                                <w:rFonts w:cs="Arial"/>
                                <w:i/>
                                <w:snapToGrid w:val="0"/>
                              </w:rPr>
                            </w:pPr>
                            <w:r w:rsidRPr="009A5185">
                              <w:rPr>
                                <w:rFonts w:cs="Arial"/>
                                <w:snapToGrid w:val="0"/>
                              </w:rPr>
                              <w:t xml:space="preserve">Surveys (re)submitted on or after September 1: </w:t>
                            </w:r>
                          </w:p>
                          <w:p w14:paraId="03E2D902" w14:textId="41A43461" w:rsidR="0054290C" w:rsidRPr="00C75C07" w:rsidRDefault="0054290C" w:rsidP="00AD309C">
                            <w:pPr>
                              <w:pStyle w:val="ListParagraph"/>
                              <w:numPr>
                                <w:ilvl w:val="1"/>
                                <w:numId w:val="29"/>
                              </w:numPr>
                              <w:rPr>
                                <w:rFonts w:cs="Arial"/>
                                <w:i/>
                                <w:snapToGrid w:val="0"/>
                              </w:rPr>
                            </w:pPr>
                            <w:r w:rsidRPr="009A5185">
                              <w:rPr>
                                <w:rFonts w:cs="Arial"/>
                                <w:snapToGrid w:val="0"/>
                              </w:rPr>
                              <w:t>07/01/</w:t>
                            </w:r>
                            <w:r>
                              <w:rPr>
                                <w:rFonts w:cs="Arial"/>
                                <w:snapToGrid w:val="0"/>
                              </w:rPr>
                              <w:t>202</w:t>
                            </w:r>
                            <w:r w:rsidR="00670B35">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670B35">
                              <w:rPr>
                                <w:rFonts w:cs="Arial"/>
                                <w:snapToGrid w:val="0"/>
                              </w:rPr>
                              <w:t>6</w:t>
                            </w:r>
                            <w:r w:rsidRPr="009A5185">
                              <w:rPr>
                                <w:rFonts w:cs="Arial"/>
                                <w:snapToGrid w:val="0"/>
                              </w:rPr>
                              <w:t xml:space="preserve"> (12-month count) or 07/01/</w:t>
                            </w:r>
                            <w:r>
                              <w:rPr>
                                <w:rFonts w:cs="Arial"/>
                                <w:snapToGrid w:val="0"/>
                              </w:rPr>
                              <w:t>202</w:t>
                            </w:r>
                            <w:r w:rsidR="00670B35">
                              <w:rPr>
                                <w:rFonts w:cs="Arial"/>
                                <w:snapToGrid w:val="0"/>
                              </w:rPr>
                              <w:t>4</w:t>
                            </w:r>
                            <w:r w:rsidRPr="009A5185">
                              <w:rPr>
                                <w:rFonts w:cs="Arial"/>
                                <w:snapToGrid w:val="0"/>
                              </w:rPr>
                              <w:t xml:space="preserve"> – 06/30/</w:t>
                            </w:r>
                            <w:r>
                              <w:rPr>
                                <w:rFonts w:cs="Arial"/>
                                <w:snapToGrid w:val="0"/>
                              </w:rPr>
                              <w:t>202</w:t>
                            </w:r>
                            <w:r w:rsidR="00670B35">
                              <w:rPr>
                                <w:rFonts w:cs="Arial"/>
                                <w:snapToGrid w:val="0"/>
                              </w:rPr>
                              <w:t>6</w:t>
                            </w:r>
                            <w:r w:rsidRPr="009A5185">
                              <w:rPr>
                                <w:rFonts w:cs="Arial"/>
                                <w:snapToGrid w:val="0"/>
                              </w:rPr>
                              <w:t xml:space="preserve"> (24-month annual average)</w:t>
                            </w:r>
                          </w:p>
                          <w:p w14:paraId="30ABC7B7" w14:textId="77777777" w:rsidR="0054290C" w:rsidRPr="00D805E7" w:rsidRDefault="0054290C" w:rsidP="0054290C">
                            <w:pPr>
                              <w:pStyle w:val="ListParagraph"/>
                              <w:ind w:left="1440"/>
                              <w:rPr>
                                <w:rFonts w:cs="Arial"/>
                                <w:i/>
                                <w:snapToGrid w:val="0"/>
                              </w:rPr>
                            </w:pPr>
                          </w:p>
                          <w:p w14:paraId="79D00BF9" w14:textId="2E8532CC" w:rsidR="0054290C" w:rsidRDefault="0054290C" w:rsidP="0054290C">
                            <w:r w:rsidRPr="006547C0">
                              <w:rPr>
                                <w:rFonts w:cs="Arial"/>
                                <w:sz w:val="16"/>
                                <w:szCs w:val="16"/>
                              </w:rPr>
                              <w:t xml:space="preserve">Note: As a reminder, the </w:t>
                            </w:r>
                            <w:hyperlink r:id="rId212"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5DDDA7D8" id="Text Box 26" o:spid="_x0000_s1037" type="#_x0000_t202" alt="P2762TB10#y1" style="width:472.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" strokecolor="red">
                <v:textbox style="mso-fit-shape-to-text:t">
                  <w:txbxContent>
                    <w:p w14:paraId="7BBF3C93" w14:textId="46FA98A5" w:rsidR="0054290C" w:rsidRPr="009A5185" w:rsidRDefault="0054290C" w:rsidP="0054290C">
                      <w:pPr>
                        <w:spacing w:before="40"/>
                        <w:rPr>
                          <w:rFonts w:cs="Arial"/>
                          <w:snapToGrid w:val="0"/>
                        </w:rPr>
                      </w:pPr>
                      <w:r w:rsidRPr="009A5185">
                        <w:rPr>
                          <w:rFonts w:cs="Arial"/>
                          <w:b/>
                          <w:snapToGrid w:val="0"/>
                        </w:rPr>
                        <w:t>Reporting Period:</w:t>
                      </w:r>
                      <w:r w:rsidRPr="009A5185">
                        <w:rPr>
                          <w:rFonts w:cs="Arial"/>
                          <w:snapToGrid w:val="0"/>
                        </w:rPr>
                        <w:t xml:space="preserve"> </w:t>
                      </w:r>
                      <w:r w:rsidRPr="009A5185">
                        <w:rPr>
                          <w:rFonts w:cs="Arial"/>
                          <w:b/>
                          <w:snapToGrid w:val="0"/>
                        </w:rPr>
                        <w:t>12</w:t>
                      </w:r>
                      <w:r>
                        <w:rPr>
                          <w:rFonts w:cs="Arial"/>
                          <w:b/>
                          <w:snapToGrid w:val="0"/>
                        </w:rPr>
                        <w:t xml:space="preserve"> </w:t>
                      </w:r>
                      <w:r w:rsidRPr="009A5185">
                        <w:rPr>
                          <w:rFonts w:cs="Arial"/>
                          <w:b/>
                          <w:snapToGrid w:val="0"/>
                        </w:rPr>
                        <w:t xml:space="preserve">months or </w:t>
                      </w:r>
                      <w:r w:rsidRPr="009A5185">
                        <w:rPr>
                          <w:rFonts w:cs="Arial"/>
                          <w:b/>
                          <w:i/>
                          <w:snapToGrid w:val="0"/>
                        </w:rPr>
                        <w:t>optionally</w:t>
                      </w:r>
                      <w:r w:rsidRPr="009A5185">
                        <w:rPr>
                          <w:rFonts w:cs="Arial"/>
                          <w:b/>
                          <w:snapToGrid w:val="0"/>
                        </w:rPr>
                        <w:t xml:space="preserve"> 24</w:t>
                      </w:r>
                      <w:r>
                        <w:rPr>
                          <w:rFonts w:cs="Arial"/>
                          <w:b/>
                          <w:snapToGrid w:val="0"/>
                        </w:rPr>
                        <w:t xml:space="preserve"> </w:t>
                      </w:r>
                      <w:r w:rsidRPr="009A5185">
                        <w:rPr>
                          <w:rFonts w:cs="Arial"/>
                          <w:b/>
                          <w:snapToGrid w:val="0"/>
                        </w:rPr>
                        <w:t>months (annual average)</w:t>
                      </w:r>
                    </w:p>
                    <w:p w14:paraId="7283BBDA" w14:textId="77777777" w:rsidR="0054290C" w:rsidRPr="00D71AA6" w:rsidRDefault="0054290C" w:rsidP="00AD309C">
                      <w:pPr>
                        <w:pStyle w:val="ListParagraph"/>
                        <w:numPr>
                          <w:ilvl w:val="0"/>
                          <w:numId w:val="29"/>
                        </w:numPr>
                        <w:rPr>
                          <w:rFonts w:cs="Arial"/>
                          <w:i/>
                          <w:snapToGrid w:val="0"/>
                        </w:rPr>
                      </w:pPr>
                      <w:r>
                        <w:rPr>
                          <w:rFonts w:cs="Arial"/>
                          <w:snapToGrid w:val="0"/>
                        </w:rPr>
                        <w:t>Surveys submitted prior to September 1:</w:t>
                      </w:r>
                    </w:p>
                    <w:p w14:paraId="42CA7C20" w14:textId="4350E6BD" w:rsidR="0054290C" w:rsidRPr="009A5185" w:rsidRDefault="0054290C" w:rsidP="00AD309C">
                      <w:pPr>
                        <w:pStyle w:val="ListParagraph"/>
                        <w:numPr>
                          <w:ilvl w:val="1"/>
                          <w:numId w:val="29"/>
                        </w:numPr>
                        <w:rPr>
                          <w:rFonts w:cs="Arial"/>
                          <w:i/>
                          <w:snapToGrid w:val="0"/>
                        </w:rPr>
                      </w:pPr>
                      <w:r>
                        <w:rPr>
                          <w:rFonts w:cs="Arial"/>
                          <w:snapToGrid w:val="0"/>
                        </w:rPr>
                        <w:t>01/01/202</w:t>
                      </w:r>
                      <w:r w:rsidR="00D82E20">
                        <w:rPr>
                          <w:rFonts w:cs="Arial"/>
                          <w:snapToGrid w:val="0"/>
                        </w:rPr>
                        <w:t>5</w:t>
                      </w:r>
                      <w:r>
                        <w:rPr>
                          <w:rFonts w:cs="Arial"/>
                          <w:snapToGrid w:val="0"/>
                        </w:rPr>
                        <w:t xml:space="preserve"> – 12/31/202</w:t>
                      </w:r>
                      <w:r w:rsidR="00D82E20">
                        <w:rPr>
                          <w:rFonts w:cs="Arial"/>
                          <w:snapToGrid w:val="0"/>
                        </w:rPr>
                        <w:t>5</w:t>
                      </w:r>
                      <w:r>
                        <w:rPr>
                          <w:rFonts w:cs="Arial"/>
                          <w:snapToGrid w:val="0"/>
                        </w:rPr>
                        <w:t xml:space="preserve"> (12-month count) or 01/01/202</w:t>
                      </w:r>
                      <w:r w:rsidR="00D82E20">
                        <w:rPr>
                          <w:rFonts w:cs="Arial"/>
                          <w:snapToGrid w:val="0"/>
                        </w:rPr>
                        <w:t>4</w:t>
                      </w:r>
                      <w:r>
                        <w:rPr>
                          <w:rFonts w:cs="Arial"/>
                          <w:snapToGrid w:val="0"/>
                        </w:rPr>
                        <w:t xml:space="preserve"> – 12/31/202</w:t>
                      </w:r>
                      <w:r w:rsidR="00D82E20">
                        <w:rPr>
                          <w:rFonts w:cs="Arial"/>
                          <w:snapToGrid w:val="0"/>
                        </w:rPr>
                        <w:t>5</w:t>
                      </w:r>
                      <w:r>
                        <w:rPr>
                          <w:rFonts w:cs="Arial"/>
                          <w:snapToGrid w:val="0"/>
                        </w:rPr>
                        <w:t xml:space="preserve"> (24-month annual average)</w:t>
                      </w:r>
                    </w:p>
                    <w:p w14:paraId="6D08C10C" w14:textId="77777777" w:rsidR="0054290C" w:rsidRPr="00D71AA6" w:rsidRDefault="0054290C" w:rsidP="00AD309C">
                      <w:pPr>
                        <w:pStyle w:val="ListParagraph"/>
                        <w:numPr>
                          <w:ilvl w:val="0"/>
                          <w:numId w:val="29"/>
                        </w:numPr>
                        <w:rPr>
                          <w:rFonts w:cs="Arial"/>
                          <w:i/>
                          <w:snapToGrid w:val="0"/>
                        </w:rPr>
                      </w:pPr>
                      <w:r w:rsidRPr="009A5185">
                        <w:rPr>
                          <w:rFonts w:cs="Arial"/>
                          <w:snapToGrid w:val="0"/>
                        </w:rPr>
                        <w:t xml:space="preserve">Surveys (re)submitted on or after September 1: </w:t>
                      </w:r>
                    </w:p>
                    <w:p w14:paraId="03E2D902" w14:textId="41A43461" w:rsidR="0054290C" w:rsidRPr="00C75C07" w:rsidRDefault="0054290C" w:rsidP="00AD309C">
                      <w:pPr>
                        <w:pStyle w:val="ListParagraph"/>
                        <w:numPr>
                          <w:ilvl w:val="1"/>
                          <w:numId w:val="29"/>
                        </w:numPr>
                        <w:rPr>
                          <w:rFonts w:cs="Arial"/>
                          <w:i/>
                          <w:snapToGrid w:val="0"/>
                        </w:rPr>
                      </w:pPr>
                      <w:r w:rsidRPr="009A5185">
                        <w:rPr>
                          <w:rFonts w:cs="Arial"/>
                          <w:snapToGrid w:val="0"/>
                        </w:rPr>
                        <w:t>07/01/</w:t>
                      </w:r>
                      <w:r>
                        <w:rPr>
                          <w:rFonts w:cs="Arial"/>
                          <w:snapToGrid w:val="0"/>
                        </w:rPr>
                        <w:t>202</w:t>
                      </w:r>
                      <w:r w:rsidR="00670B35">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670B35">
                        <w:rPr>
                          <w:rFonts w:cs="Arial"/>
                          <w:snapToGrid w:val="0"/>
                        </w:rPr>
                        <w:t>6</w:t>
                      </w:r>
                      <w:r w:rsidRPr="009A5185">
                        <w:rPr>
                          <w:rFonts w:cs="Arial"/>
                          <w:snapToGrid w:val="0"/>
                        </w:rPr>
                        <w:t xml:space="preserve"> (12-month count) or 07/01/</w:t>
                      </w:r>
                      <w:r>
                        <w:rPr>
                          <w:rFonts w:cs="Arial"/>
                          <w:snapToGrid w:val="0"/>
                        </w:rPr>
                        <w:t>202</w:t>
                      </w:r>
                      <w:r w:rsidR="00670B35">
                        <w:rPr>
                          <w:rFonts w:cs="Arial"/>
                          <w:snapToGrid w:val="0"/>
                        </w:rPr>
                        <w:t>4</w:t>
                      </w:r>
                      <w:r w:rsidRPr="009A5185">
                        <w:rPr>
                          <w:rFonts w:cs="Arial"/>
                          <w:snapToGrid w:val="0"/>
                        </w:rPr>
                        <w:t xml:space="preserve"> – 06/30/</w:t>
                      </w:r>
                      <w:r>
                        <w:rPr>
                          <w:rFonts w:cs="Arial"/>
                          <w:snapToGrid w:val="0"/>
                        </w:rPr>
                        <w:t>202</w:t>
                      </w:r>
                      <w:r w:rsidR="00670B35">
                        <w:rPr>
                          <w:rFonts w:cs="Arial"/>
                          <w:snapToGrid w:val="0"/>
                        </w:rPr>
                        <w:t>6</w:t>
                      </w:r>
                      <w:r w:rsidRPr="009A5185">
                        <w:rPr>
                          <w:rFonts w:cs="Arial"/>
                          <w:snapToGrid w:val="0"/>
                        </w:rPr>
                        <w:t xml:space="preserve"> (24-month annual average)</w:t>
                      </w:r>
                    </w:p>
                    <w:p w14:paraId="30ABC7B7" w14:textId="77777777" w:rsidR="0054290C" w:rsidRPr="00D805E7" w:rsidRDefault="0054290C" w:rsidP="0054290C">
                      <w:pPr>
                        <w:pStyle w:val="ListParagraph"/>
                        <w:ind w:left="1440"/>
                        <w:rPr>
                          <w:rFonts w:cs="Arial"/>
                          <w:i/>
                          <w:snapToGrid w:val="0"/>
                        </w:rPr>
                      </w:pPr>
                    </w:p>
                    <w:p w14:paraId="79D00BF9" w14:textId="2E8532CC" w:rsidR="0054290C" w:rsidRDefault="0054290C" w:rsidP="0054290C">
                      <w:r w:rsidRPr="006547C0">
                        <w:rPr>
                          <w:rFonts w:cs="Arial"/>
                          <w:sz w:val="16"/>
                          <w:szCs w:val="16"/>
                        </w:rPr>
                        <w:t xml:space="preserve">Note: As a reminder, the </w:t>
                      </w:r>
                      <w:hyperlink r:id="rId213"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1CBCFED9" w14:textId="77777777" w:rsidR="0054290C" w:rsidRPr="008D6E32" w:rsidRDefault="0054290C" w:rsidP="00100C23">
      <w:pPr>
        <w:rPr>
          <w:rFonts w:cs="Arial"/>
          <w:b/>
          <w:snapToGrid w:val="0"/>
        </w:rPr>
      </w:pPr>
    </w:p>
    <w:tbl>
      <w:tblPr>
        <w:tblW w:w="50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1"/>
        <w:gridCol w:w="5400"/>
      </w:tblGrid>
      <w:tr w:rsidR="000A3B4F" w:rsidRPr="00DA12FA" w14:paraId="1FA2DE9F" w14:textId="77777777" w:rsidTr="00C06753">
        <w:trPr>
          <w:cantSplit/>
          <w:trHeight w:val="1008"/>
        </w:trPr>
        <w:tc>
          <w:tcPr>
            <w:tcW w:w="2143" w:type="pct"/>
            <w:tcBorders>
              <w:bottom w:val="single" w:sz="4" w:space="0" w:color="auto"/>
            </w:tcBorders>
            <w:vAlign w:val="center"/>
          </w:tcPr>
          <w:p w14:paraId="78CF08BA" w14:textId="7D84C140" w:rsidR="000A3B4F" w:rsidRPr="00D6576A" w:rsidRDefault="000A3B4F" w:rsidP="005F37AA">
            <w:pPr>
              <w:numPr>
                <w:ilvl w:val="0"/>
                <w:numId w:val="2"/>
              </w:numPr>
              <w:rPr>
                <w:rFonts w:cs="Arial"/>
                <w:snapToGrid w:val="0"/>
                <w:color w:val="000000"/>
              </w:rPr>
            </w:pPr>
            <w:bookmarkStart w:id="230" w:name="_3A_High-Risk_Surgical"/>
            <w:bookmarkEnd w:id="230"/>
            <w:r w:rsidRPr="00D6576A">
              <w:rPr>
                <w:rFonts w:cs="Arial"/>
                <w:snapToGrid w:val="0"/>
                <w:color w:val="000000"/>
              </w:rPr>
              <w:t>12-</w:t>
            </w:r>
            <w:r w:rsidR="002E1B8C" w:rsidRPr="00D6576A">
              <w:rPr>
                <w:rFonts w:cs="Arial"/>
                <w:snapToGrid w:val="0"/>
                <w:color w:val="000000"/>
              </w:rPr>
              <w:t xml:space="preserve">month </w:t>
            </w:r>
            <w:r w:rsidR="003615CD" w:rsidRPr="00D6576A">
              <w:rPr>
                <w:rFonts w:cs="Arial"/>
                <w:snapToGrid w:val="0"/>
                <w:color w:val="000000"/>
              </w:rPr>
              <w:t xml:space="preserve">or 24-month </w:t>
            </w:r>
            <w:r w:rsidRPr="00D6576A">
              <w:rPr>
                <w:rFonts w:cs="Arial"/>
                <w:snapToGrid w:val="0"/>
                <w:color w:val="000000"/>
              </w:rPr>
              <w:t>reporting period used:</w:t>
            </w:r>
          </w:p>
        </w:tc>
        <w:tc>
          <w:tcPr>
            <w:tcW w:w="2857" w:type="pct"/>
            <w:tcBorders>
              <w:bottom w:val="single" w:sz="4" w:space="0" w:color="auto"/>
            </w:tcBorders>
            <w:vAlign w:val="center"/>
          </w:tcPr>
          <w:p w14:paraId="0C804C82" w14:textId="11E0C027" w:rsidR="0080169D" w:rsidRPr="00C06753" w:rsidRDefault="0080169D" w:rsidP="00AD309C">
            <w:pPr>
              <w:pStyle w:val="ListParagraph"/>
              <w:numPr>
                <w:ilvl w:val="0"/>
                <w:numId w:val="235"/>
              </w:numPr>
              <w:rPr>
                <w:rFonts w:cs="Arial"/>
                <w:snapToGrid w:val="0"/>
              </w:rPr>
            </w:pPr>
            <w:r w:rsidRPr="00C8246A">
              <w:rPr>
                <w:rFonts w:cs="Arial"/>
                <w:snapToGrid w:val="0"/>
              </w:rPr>
              <w:t>01/01/202</w:t>
            </w:r>
            <w:r w:rsidR="000A7852">
              <w:rPr>
                <w:rFonts w:cs="Arial"/>
                <w:snapToGrid w:val="0"/>
              </w:rPr>
              <w:t>5</w:t>
            </w:r>
            <w:r w:rsidRPr="00C06753">
              <w:rPr>
                <w:rFonts w:cs="Arial"/>
                <w:snapToGrid w:val="0"/>
              </w:rPr>
              <w:t xml:space="preserve"> – 12/31/202</w:t>
            </w:r>
            <w:r w:rsidR="000A7852">
              <w:rPr>
                <w:rFonts w:cs="Arial"/>
                <w:snapToGrid w:val="0"/>
              </w:rPr>
              <w:t>5</w:t>
            </w:r>
            <w:r w:rsidRPr="00C06753">
              <w:rPr>
                <w:rFonts w:cs="Arial"/>
                <w:snapToGrid w:val="0"/>
              </w:rPr>
              <w:t xml:space="preserve"> (12-month count)</w:t>
            </w:r>
          </w:p>
          <w:p w14:paraId="7B45E11D" w14:textId="691C8637" w:rsidR="0080169D" w:rsidRPr="00C06753" w:rsidRDefault="0080169D" w:rsidP="00AD309C">
            <w:pPr>
              <w:pStyle w:val="ListParagraph"/>
              <w:numPr>
                <w:ilvl w:val="0"/>
                <w:numId w:val="235"/>
              </w:numPr>
              <w:rPr>
                <w:rFonts w:cs="Arial"/>
                <w:snapToGrid w:val="0"/>
              </w:rPr>
            </w:pPr>
            <w:r w:rsidRPr="00C06753">
              <w:rPr>
                <w:rFonts w:cs="Arial"/>
                <w:snapToGrid w:val="0"/>
              </w:rPr>
              <w:t>01/01/20</w:t>
            </w:r>
            <w:r w:rsidR="00E93B49" w:rsidRPr="00C06753">
              <w:rPr>
                <w:rFonts w:cs="Arial"/>
                <w:snapToGrid w:val="0"/>
              </w:rPr>
              <w:t>2</w:t>
            </w:r>
            <w:r w:rsidR="000A7852">
              <w:rPr>
                <w:rFonts w:cs="Arial"/>
                <w:snapToGrid w:val="0"/>
              </w:rPr>
              <w:t>4</w:t>
            </w:r>
            <w:r w:rsidRPr="00C06753">
              <w:rPr>
                <w:rFonts w:cs="Arial"/>
                <w:snapToGrid w:val="0"/>
              </w:rPr>
              <w:t xml:space="preserve"> – 12/31/202</w:t>
            </w:r>
            <w:r w:rsidR="000A7852">
              <w:rPr>
                <w:rFonts w:cs="Arial"/>
                <w:snapToGrid w:val="0"/>
              </w:rPr>
              <w:t>5</w:t>
            </w:r>
            <w:r w:rsidRPr="00C06753">
              <w:rPr>
                <w:rFonts w:cs="Arial"/>
                <w:snapToGrid w:val="0"/>
              </w:rPr>
              <w:t xml:space="preserve"> (24-month annual average)</w:t>
            </w:r>
          </w:p>
          <w:p w14:paraId="61001E5F" w14:textId="258144B8" w:rsidR="000A3B4F" w:rsidRPr="00C06753" w:rsidRDefault="000A3B4F" w:rsidP="00AD309C">
            <w:pPr>
              <w:pStyle w:val="ListParagraph"/>
              <w:numPr>
                <w:ilvl w:val="0"/>
                <w:numId w:val="235"/>
              </w:numPr>
              <w:rPr>
                <w:rFonts w:cs="Arial"/>
                <w:snapToGrid w:val="0"/>
              </w:rPr>
            </w:pPr>
            <w:r w:rsidRPr="00C06753">
              <w:rPr>
                <w:rFonts w:cs="Arial"/>
                <w:snapToGrid w:val="0"/>
              </w:rPr>
              <w:t>07/01/</w:t>
            </w:r>
            <w:r w:rsidR="0080169D" w:rsidRPr="00C06753">
              <w:rPr>
                <w:rFonts w:cs="Arial"/>
                <w:snapToGrid w:val="0"/>
              </w:rPr>
              <w:t>202</w:t>
            </w:r>
            <w:r w:rsidR="000A7852">
              <w:rPr>
                <w:rFonts w:cs="Arial"/>
                <w:snapToGrid w:val="0"/>
              </w:rPr>
              <w:t>5</w:t>
            </w:r>
            <w:r w:rsidRPr="00C06753">
              <w:rPr>
                <w:rFonts w:cs="Arial"/>
                <w:snapToGrid w:val="0"/>
              </w:rPr>
              <w:t xml:space="preserve"> – 06/30/</w:t>
            </w:r>
            <w:r w:rsidR="0080169D" w:rsidRPr="00C06753">
              <w:rPr>
                <w:rFonts w:cs="Arial"/>
                <w:snapToGrid w:val="0"/>
              </w:rPr>
              <w:t>202</w:t>
            </w:r>
            <w:r w:rsidR="000A7852">
              <w:rPr>
                <w:rFonts w:cs="Arial"/>
                <w:snapToGrid w:val="0"/>
              </w:rPr>
              <w:t>6</w:t>
            </w:r>
            <w:r w:rsidR="00F810B7" w:rsidRPr="00C06753">
              <w:rPr>
                <w:rFonts w:cs="Arial"/>
                <w:snapToGrid w:val="0"/>
              </w:rPr>
              <w:t xml:space="preserve"> (12-</w:t>
            </w:r>
            <w:r w:rsidRPr="00C06753">
              <w:rPr>
                <w:rFonts w:cs="Arial"/>
                <w:snapToGrid w:val="0"/>
              </w:rPr>
              <w:t>month</w:t>
            </w:r>
            <w:r w:rsidR="001032AF" w:rsidRPr="00C06753">
              <w:rPr>
                <w:rFonts w:cs="Arial"/>
                <w:snapToGrid w:val="0"/>
              </w:rPr>
              <w:t xml:space="preserve"> count</w:t>
            </w:r>
            <w:r w:rsidRPr="00C06753">
              <w:rPr>
                <w:rFonts w:cs="Arial"/>
                <w:snapToGrid w:val="0"/>
              </w:rPr>
              <w:t>)</w:t>
            </w:r>
          </w:p>
          <w:p w14:paraId="5C9A1EF7" w14:textId="13C20B95" w:rsidR="004B5463" w:rsidRPr="00D22736" w:rsidRDefault="004B5463" w:rsidP="00AD309C">
            <w:pPr>
              <w:pStyle w:val="ListParagraph"/>
              <w:numPr>
                <w:ilvl w:val="0"/>
                <w:numId w:val="235"/>
              </w:numPr>
              <w:rPr>
                <w:rFonts w:cs="Arial"/>
                <w:i/>
                <w:snapToGrid w:val="0"/>
              </w:rPr>
            </w:pPr>
            <w:r w:rsidRPr="00C06753">
              <w:rPr>
                <w:rFonts w:cs="Arial"/>
                <w:snapToGrid w:val="0"/>
              </w:rPr>
              <w:t>07/01/</w:t>
            </w:r>
            <w:r w:rsidR="0080169D" w:rsidRPr="00C06753">
              <w:rPr>
                <w:rFonts w:cs="Arial"/>
                <w:snapToGrid w:val="0"/>
              </w:rPr>
              <w:t>20</w:t>
            </w:r>
            <w:r w:rsidR="00E93B49" w:rsidRPr="00C06753">
              <w:rPr>
                <w:rFonts w:cs="Arial"/>
                <w:snapToGrid w:val="0"/>
              </w:rPr>
              <w:t>2</w:t>
            </w:r>
            <w:r w:rsidR="00D82E20">
              <w:rPr>
                <w:rFonts w:cs="Arial"/>
                <w:snapToGrid w:val="0"/>
              </w:rPr>
              <w:t>4</w:t>
            </w:r>
            <w:r w:rsidRPr="00C06753">
              <w:rPr>
                <w:rFonts w:cs="Arial"/>
                <w:snapToGrid w:val="0"/>
              </w:rPr>
              <w:t xml:space="preserve"> – 06/30/</w:t>
            </w:r>
            <w:r w:rsidR="0080169D" w:rsidRPr="00C06753">
              <w:rPr>
                <w:rFonts w:cs="Arial"/>
                <w:snapToGrid w:val="0"/>
              </w:rPr>
              <w:t>202</w:t>
            </w:r>
            <w:r w:rsidR="000A7852">
              <w:rPr>
                <w:rFonts w:cs="Arial"/>
                <w:snapToGrid w:val="0"/>
              </w:rPr>
              <w:t>6</w:t>
            </w:r>
            <w:r w:rsidRPr="00C06753">
              <w:rPr>
                <w:rFonts w:cs="Arial"/>
                <w:snapToGrid w:val="0"/>
              </w:rPr>
              <w:t xml:space="preserve"> (24</w:t>
            </w:r>
            <w:r w:rsidR="00F810B7" w:rsidRPr="00C06753">
              <w:rPr>
                <w:rFonts w:cs="Arial"/>
                <w:snapToGrid w:val="0"/>
              </w:rPr>
              <w:t>-</w:t>
            </w:r>
            <w:r w:rsidRPr="00C06753">
              <w:rPr>
                <w:rFonts w:cs="Arial"/>
                <w:snapToGrid w:val="0"/>
              </w:rPr>
              <w:t>month annual average)</w:t>
            </w:r>
          </w:p>
        </w:tc>
      </w:tr>
      <w:tr w:rsidR="000A3B4F" w:rsidRPr="009A5185" w14:paraId="32C490BA" w14:textId="77777777" w:rsidTr="00C06753">
        <w:trPr>
          <w:cantSplit/>
          <w:trHeight w:val="3600"/>
        </w:trPr>
        <w:tc>
          <w:tcPr>
            <w:tcW w:w="2143" w:type="pct"/>
            <w:vAlign w:val="center"/>
          </w:tcPr>
          <w:p w14:paraId="46433B06" w14:textId="7F1616DC" w:rsidR="000A3B4F" w:rsidRDefault="000A3B4F" w:rsidP="005F37AA">
            <w:pPr>
              <w:numPr>
                <w:ilvl w:val="0"/>
                <w:numId w:val="2"/>
              </w:numPr>
              <w:spacing w:before="120"/>
              <w:rPr>
                <w:rFonts w:cs="Arial"/>
                <w:snapToGrid w:val="0"/>
                <w:color w:val="000000"/>
              </w:rPr>
            </w:pPr>
            <w:r w:rsidRPr="009A5185">
              <w:rPr>
                <w:rFonts w:cs="Arial"/>
                <w:snapToGrid w:val="0"/>
                <w:color w:val="000000"/>
              </w:rPr>
              <w:t>Check all procedures that your hospital performs as defined in</w:t>
            </w:r>
            <w:r w:rsidR="005C50B3">
              <w:rPr>
                <w:rFonts w:cs="Arial"/>
                <w:snapToGrid w:val="0"/>
                <w:color w:val="000000"/>
              </w:rPr>
              <w:t xml:space="preserve"> the</w:t>
            </w:r>
            <w:r w:rsidRPr="009A5185">
              <w:rPr>
                <w:rFonts w:cs="Arial"/>
                <w:snapToGrid w:val="0"/>
                <w:color w:val="000000"/>
              </w:rPr>
              <w:t xml:space="preserve"> </w:t>
            </w:r>
            <w:r w:rsidR="00B152BD" w:rsidRPr="00B24657">
              <w:rPr>
                <w:rFonts w:cs="Arial"/>
                <w:snapToGrid w:val="0"/>
                <w:color w:val="000000"/>
              </w:rPr>
              <w:t>Adult and Pediatric</w:t>
            </w:r>
            <w:r w:rsidR="00B152BD">
              <w:rPr>
                <w:rFonts w:cs="Arial"/>
                <w:snapToGrid w:val="0"/>
                <w:color w:val="000000"/>
              </w:rPr>
              <w:t xml:space="preserve"> </w:t>
            </w:r>
            <w:r w:rsidR="003D737B">
              <w:rPr>
                <w:rFonts w:cs="Arial"/>
                <w:snapToGrid w:val="0"/>
                <w:color w:val="000000"/>
              </w:rPr>
              <w:t>Complex</w:t>
            </w:r>
            <w:r w:rsidR="004E15BE">
              <w:rPr>
                <w:rFonts w:cs="Arial"/>
                <w:snapToGrid w:val="0"/>
                <w:color w:val="000000"/>
              </w:rPr>
              <w:t xml:space="preserve"> </w:t>
            </w:r>
            <w:r w:rsidR="00435122" w:rsidRPr="009A5185">
              <w:rPr>
                <w:rFonts w:cs="Arial"/>
                <w:snapToGrid w:val="0"/>
                <w:color w:val="000000"/>
              </w:rPr>
              <w:t>Surgery Reference Information</w:t>
            </w:r>
            <w:r w:rsidRPr="009A5185">
              <w:rPr>
                <w:rFonts w:cs="Arial"/>
                <w:snapToGrid w:val="0"/>
                <w:color w:val="000000"/>
              </w:rPr>
              <w:t>.</w:t>
            </w:r>
          </w:p>
          <w:p w14:paraId="4FF0B1E9" w14:textId="78136286" w:rsidR="005B4EAD" w:rsidRPr="005B4EAD" w:rsidRDefault="005B4EAD" w:rsidP="005B4EAD">
            <w:pPr>
              <w:spacing w:before="120"/>
              <w:ind w:left="360"/>
              <w:rPr>
                <w:rFonts w:cs="Arial"/>
                <w:i/>
                <w:iCs/>
                <w:snapToGrid w:val="0"/>
                <w:color w:val="000000"/>
              </w:rPr>
            </w:pPr>
            <w:r w:rsidRPr="005B4EAD">
              <w:rPr>
                <w:rFonts w:cs="Arial"/>
                <w:i/>
                <w:iCs/>
                <w:snapToGrid w:val="0"/>
                <w:color w:val="000000"/>
              </w:rPr>
              <w:t>Select all that apply.</w:t>
            </w:r>
          </w:p>
          <w:p w14:paraId="1C3C370A" w14:textId="4F4A6F96" w:rsidR="00CD5114" w:rsidRPr="00B42C53" w:rsidRDefault="003F7454" w:rsidP="005F37AA">
            <w:pPr>
              <w:spacing w:before="120"/>
              <w:ind w:left="360"/>
              <w:rPr>
                <w:rFonts w:cs="Arial"/>
                <w:i/>
              </w:rPr>
            </w:pPr>
            <w:r>
              <w:rPr>
                <w:rFonts w:cs="Arial"/>
                <w:i/>
              </w:rPr>
              <w:t>Do not check the box for a procedure i</w:t>
            </w:r>
            <w:r w:rsidR="00CD5114" w:rsidRPr="00B42C53">
              <w:rPr>
                <w:rFonts w:cs="Arial"/>
                <w:i/>
              </w:rPr>
              <w:t xml:space="preserve">f your hospital ONLY </w:t>
            </w:r>
            <w:r w:rsidR="005B3E47">
              <w:rPr>
                <w:rFonts w:cs="Arial"/>
                <w:i/>
              </w:rPr>
              <w:t xml:space="preserve">performs the procedure </w:t>
            </w:r>
            <w:r w:rsidR="005F2BB7" w:rsidRPr="005F2BB7">
              <w:rPr>
                <w:rFonts w:cs="Arial"/>
                <w:i/>
              </w:rPr>
              <w:t>on an emergency basis or when a patient is too unstable for safe transfer</w:t>
            </w:r>
            <w:r w:rsidR="005D4BAB">
              <w:rPr>
                <w:rFonts w:cs="Arial"/>
                <w:i/>
              </w:rPr>
              <w:t>.</w:t>
            </w:r>
          </w:p>
          <w:p w14:paraId="4D1836A6" w14:textId="314CB1CD" w:rsidR="00FC03E0" w:rsidRPr="009A5185" w:rsidRDefault="00C30515" w:rsidP="005F37AA">
            <w:pPr>
              <w:spacing w:before="120"/>
              <w:ind w:left="360"/>
              <w:rPr>
                <w:rFonts w:cs="Arial"/>
                <w:i/>
                <w:snapToGrid w:val="0"/>
                <w:color w:val="000000"/>
              </w:rPr>
            </w:pPr>
            <w:r w:rsidRPr="00B42C53">
              <w:rPr>
                <w:rFonts w:cs="Arial"/>
                <w:i/>
                <w:snapToGrid w:val="0"/>
                <w:color w:val="000000"/>
              </w:rPr>
              <w:t>If “</w:t>
            </w:r>
            <w:r w:rsidR="004C67AE">
              <w:rPr>
                <w:rFonts w:cs="Arial"/>
                <w:i/>
                <w:snapToGrid w:val="0"/>
                <w:color w:val="000000"/>
              </w:rPr>
              <w:t>n</w:t>
            </w:r>
            <w:r w:rsidRPr="00B42C53">
              <w:rPr>
                <w:rFonts w:cs="Arial"/>
                <w:i/>
                <w:snapToGrid w:val="0"/>
                <w:color w:val="000000"/>
              </w:rPr>
              <w:t xml:space="preserve">one of the above,” skip </w:t>
            </w:r>
            <w:r w:rsidR="00882B66" w:rsidRPr="00B42C53">
              <w:rPr>
                <w:rFonts w:cs="Arial"/>
                <w:i/>
                <w:snapToGrid w:val="0"/>
                <w:color w:val="000000"/>
              </w:rPr>
              <w:t xml:space="preserve">the </w:t>
            </w:r>
            <w:r w:rsidRPr="00B42C53">
              <w:rPr>
                <w:rFonts w:cs="Arial"/>
                <w:i/>
                <w:snapToGrid w:val="0"/>
                <w:color w:val="000000"/>
              </w:rPr>
              <w:t xml:space="preserve">remaining questions in </w:t>
            </w:r>
            <w:r w:rsidR="00396FE6">
              <w:rPr>
                <w:rFonts w:cs="Arial"/>
                <w:i/>
                <w:snapToGrid w:val="0"/>
                <w:color w:val="000000"/>
              </w:rPr>
              <w:t>Section 3</w:t>
            </w:r>
            <w:r w:rsidR="00C73BE8" w:rsidRPr="009A5185">
              <w:rPr>
                <w:rFonts w:cs="Arial"/>
                <w:i/>
                <w:snapToGrid w:val="0"/>
                <w:color w:val="000000"/>
              </w:rPr>
              <w:t xml:space="preserve"> and go to the Affirmation of </w:t>
            </w:r>
            <w:r w:rsidR="00C73BE8" w:rsidRPr="00B14E88">
              <w:rPr>
                <w:rFonts w:cs="Arial"/>
                <w:i/>
                <w:snapToGrid w:val="0"/>
                <w:color w:val="000000"/>
              </w:rPr>
              <w:t>Accuracy.</w:t>
            </w:r>
            <w:r w:rsidR="00D6576A" w:rsidRPr="00B14E88">
              <w:rPr>
                <w:rFonts w:cs="Arial"/>
                <w:i/>
                <w:snapToGrid w:val="0"/>
                <w:color w:val="000000"/>
              </w:rPr>
              <w:t xml:space="preserve"> </w:t>
            </w:r>
            <w:r w:rsidR="00644638" w:rsidRPr="00B14E88">
              <w:rPr>
                <w:rFonts w:cs="Arial"/>
                <w:i/>
                <w:snapToGrid w:val="0"/>
                <w:color w:val="000000"/>
              </w:rPr>
              <w:t>The hospital will be scored as “Does Not Apply.”</w:t>
            </w:r>
          </w:p>
        </w:tc>
        <w:tc>
          <w:tcPr>
            <w:tcW w:w="2857" w:type="pct"/>
            <w:vAlign w:val="center"/>
          </w:tcPr>
          <w:p w14:paraId="34F56B1A" w14:textId="77777777" w:rsidR="000A3B4F" w:rsidRPr="009A5185" w:rsidRDefault="00964B32" w:rsidP="00AD309C">
            <w:pPr>
              <w:pStyle w:val="ListParagraph"/>
              <w:numPr>
                <w:ilvl w:val="0"/>
                <w:numId w:val="35"/>
              </w:numPr>
              <w:rPr>
                <w:rFonts w:cs="Arial"/>
                <w:snapToGrid w:val="0"/>
              </w:rPr>
            </w:pPr>
            <w:r w:rsidRPr="009A5185">
              <w:rPr>
                <w:rFonts w:cs="Arial"/>
                <w:snapToGrid w:val="0"/>
              </w:rPr>
              <w:t>Carotid endarterectomy</w:t>
            </w:r>
          </w:p>
          <w:p w14:paraId="461A9465" w14:textId="77777777" w:rsidR="000A3B4F" w:rsidRPr="009A5185" w:rsidRDefault="00964B32" w:rsidP="00AD309C">
            <w:pPr>
              <w:pStyle w:val="ListParagraph"/>
              <w:numPr>
                <w:ilvl w:val="0"/>
                <w:numId w:val="35"/>
              </w:numPr>
              <w:rPr>
                <w:rFonts w:cs="Arial"/>
                <w:snapToGrid w:val="0"/>
              </w:rPr>
            </w:pPr>
            <w:r w:rsidRPr="009A5185">
              <w:rPr>
                <w:rFonts w:cs="Arial"/>
                <w:snapToGrid w:val="0"/>
              </w:rPr>
              <w:t>Mitral valve repair and replacement</w:t>
            </w:r>
          </w:p>
          <w:p w14:paraId="04BBB944" w14:textId="77777777" w:rsidR="000A3B4F" w:rsidRPr="009A5185" w:rsidRDefault="000A3B4F" w:rsidP="00AD309C">
            <w:pPr>
              <w:pStyle w:val="ListParagraph"/>
              <w:numPr>
                <w:ilvl w:val="0"/>
                <w:numId w:val="35"/>
              </w:numPr>
              <w:rPr>
                <w:rFonts w:cs="Arial"/>
                <w:snapToGrid w:val="0"/>
              </w:rPr>
            </w:pPr>
            <w:r w:rsidRPr="009A5185">
              <w:rPr>
                <w:rFonts w:cs="Arial"/>
                <w:snapToGrid w:val="0"/>
              </w:rPr>
              <w:t xml:space="preserve">Open aortic </w:t>
            </w:r>
            <w:r w:rsidR="00F86049">
              <w:rPr>
                <w:rFonts w:cs="Arial"/>
                <w:snapToGrid w:val="0"/>
              </w:rPr>
              <w:t>procedures</w:t>
            </w:r>
          </w:p>
          <w:p w14:paraId="30BF1FA0" w14:textId="77777777" w:rsidR="000A3B4F" w:rsidRPr="009A5185" w:rsidRDefault="00964B32" w:rsidP="00AD309C">
            <w:pPr>
              <w:pStyle w:val="ListParagraph"/>
              <w:numPr>
                <w:ilvl w:val="0"/>
                <w:numId w:val="35"/>
              </w:numPr>
              <w:rPr>
                <w:rFonts w:cs="Arial"/>
                <w:snapToGrid w:val="0"/>
              </w:rPr>
            </w:pPr>
            <w:r w:rsidRPr="009A5185">
              <w:rPr>
                <w:rFonts w:cs="Arial"/>
                <w:snapToGrid w:val="0"/>
              </w:rPr>
              <w:t>Lung resection</w:t>
            </w:r>
            <w:r w:rsidR="001B3F7E" w:rsidRPr="009A5185">
              <w:rPr>
                <w:rFonts w:cs="Arial"/>
                <w:snapToGrid w:val="0"/>
              </w:rPr>
              <w:t xml:space="preserve"> for cancer</w:t>
            </w:r>
          </w:p>
          <w:p w14:paraId="2F2D0043" w14:textId="77777777" w:rsidR="000A3B4F" w:rsidRPr="009A5185" w:rsidRDefault="00964B32" w:rsidP="00AD309C">
            <w:pPr>
              <w:pStyle w:val="ListParagraph"/>
              <w:numPr>
                <w:ilvl w:val="0"/>
                <w:numId w:val="35"/>
              </w:numPr>
              <w:rPr>
                <w:rFonts w:cs="Arial"/>
                <w:snapToGrid w:val="0"/>
              </w:rPr>
            </w:pPr>
            <w:r w:rsidRPr="009A5185">
              <w:rPr>
                <w:rFonts w:cs="Arial"/>
                <w:snapToGrid w:val="0"/>
              </w:rPr>
              <w:t>Esophageal resection</w:t>
            </w:r>
            <w:r w:rsidR="001B3F7E" w:rsidRPr="009A5185">
              <w:rPr>
                <w:rFonts w:cs="Arial"/>
                <w:snapToGrid w:val="0"/>
              </w:rPr>
              <w:t xml:space="preserve"> for cancer</w:t>
            </w:r>
          </w:p>
          <w:p w14:paraId="6C6FDA96" w14:textId="77777777" w:rsidR="000A3B4F" w:rsidRPr="009A5185" w:rsidRDefault="00964B32" w:rsidP="00AD309C">
            <w:pPr>
              <w:pStyle w:val="ListParagraph"/>
              <w:numPr>
                <w:ilvl w:val="0"/>
                <w:numId w:val="35"/>
              </w:numPr>
              <w:rPr>
                <w:rFonts w:cs="Arial"/>
                <w:snapToGrid w:val="0"/>
              </w:rPr>
            </w:pPr>
            <w:r w:rsidRPr="009A5185">
              <w:rPr>
                <w:rFonts w:cs="Arial"/>
                <w:snapToGrid w:val="0"/>
              </w:rPr>
              <w:t>Pancreatic resection</w:t>
            </w:r>
            <w:r w:rsidR="001B3F7E" w:rsidRPr="009A5185">
              <w:rPr>
                <w:rFonts w:cs="Arial"/>
                <w:snapToGrid w:val="0"/>
              </w:rPr>
              <w:t xml:space="preserve"> for cancer</w:t>
            </w:r>
          </w:p>
          <w:p w14:paraId="1A219AF0" w14:textId="77777777" w:rsidR="000A3B4F" w:rsidRPr="009A5185" w:rsidRDefault="00964B32" w:rsidP="00AD309C">
            <w:pPr>
              <w:pStyle w:val="ListParagraph"/>
              <w:numPr>
                <w:ilvl w:val="0"/>
                <w:numId w:val="35"/>
              </w:numPr>
              <w:rPr>
                <w:rFonts w:cs="Arial"/>
                <w:snapToGrid w:val="0"/>
              </w:rPr>
            </w:pPr>
            <w:r w:rsidRPr="009A5185">
              <w:rPr>
                <w:rFonts w:cs="Arial"/>
                <w:snapToGrid w:val="0"/>
              </w:rPr>
              <w:t>Rectal cancer surgery</w:t>
            </w:r>
          </w:p>
          <w:p w14:paraId="1641B924" w14:textId="77777777" w:rsidR="000A3B4F" w:rsidRDefault="00964B32" w:rsidP="00AD309C">
            <w:pPr>
              <w:pStyle w:val="ListParagraph"/>
              <w:numPr>
                <w:ilvl w:val="0"/>
                <w:numId w:val="35"/>
              </w:numPr>
              <w:rPr>
                <w:rFonts w:cs="Arial"/>
                <w:snapToGrid w:val="0"/>
              </w:rPr>
            </w:pPr>
            <w:r w:rsidRPr="009A5185">
              <w:rPr>
                <w:rFonts w:cs="Arial"/>
                <w:snapToGrid w:val="0"/>
              </w:rPr>
              <w:t>Bariatric surgery for weight loss</w:t>
            </w:r>
          </w:p>
          <w:p w14:paraId="72684648" w14:textId="77777777" w:rsidR="00A02731" w:rsidRDefault="00A02731" w:rsidP="00AD309C">
            <w:pPr>
              <w:pStyle w:val="ListParagraph"/>
              <w:numPr>
                <w:ilvl w:val="0"/>
                <w:numId w:val="35"/>
              </w:numPr>
              <w:rPr>
                <w:rFonts w:cs="Arial"/>
                <w:snapToGrid w:val="0"/>
              </w:rPr>
            </w:pPr>
            <w:r>
              <w:rPr>
                <w:rFonts w:cs="Arial"/>
                <w:snapToGrid w:val="0"/>
              </w:rPr>
              <w:t>Total knee replacement</w:t>
            </w:r>
          </w:p>
          <w:p w14:paraId="255D3ECE" w14:textId="77777777" w:rsidR="00A02731" w:rsidRDefault="00A02731" w:rsidP="00AD309C">
            <w:pPr>
              <w:pStyle w:val="ListParagraph"/>
              <w:numPr>
                <w:ilvl w:val="0"/>
                <w:numId w:val="35"/>
              </w:numPr>
              <w:rPr>
                <w:rFonts w:cs="Arial"/>
                <w:snapToGrid w:val="0"/>
              </w:rPr>
            </w:pPr>
            <w:r>
              <w:rPr>
                <w:rFonts w:cs="Arial"/>
                <w:snapToGrid w:val="0"/>
              </w:rPr>
              <w:t>Total hip replacement</w:t>
            </w:r>
          </w:p>
          <w:p w14:paraId="053F280D" w14:textId="77777777" w:rsidR="00A02731" w:rsidRPr="009A5185" w:rsidRDefault="00A02731" w:rsidP="00AD309C">
            <w:pPr>
              <w:pStyle w:val="ListParagraph"/>
              <w:numPr>
                <w:ilvl w:val="0"/>
                <w:numId w:val="35"/>
              </w:numPr>
              <w:rPr>
                <w:rFonts w:cs="Arial"/>
                <w:snapToGrid w:val="0"/>
              </w:rPr>
            </w:pPr>
            <w:r>
              <w:rPr>
                <w:rFonts w:cs="Arial"/>
                <w:snapToGrid w:val="0"/>
              </w:rPr>
              <w:t xml:space="preserve">Norwood procedure </w:t>
            </w:r>
          </w:p>
          <w:p w14:paraId="62F02B93" w14:textId="77777777" w:rsidR="000A3B4F" w:rsidRPr="009A5185" w:rsidRDefault="000A3B4F" w:rsidP="00AD309C">
            <w:pPr>
              <w:pStyle w:val="ListParagraph"/>
              <w:numPr>
                <w:ilvl w:val="0"/>
                <w:numId w:val="35"/>
              </w:numPr>
              <w:rPr>
                <w:rFonts w:cs="Arial"/>
                <w:snapToGrid w:val="0"/>
              </w:rPr>
            </w:pPr>
            <w:r w:rsidRPr="009A5185">
              <w:rPr>
                <w:rFonts w:cs="Arial"/>
                <w:snapToGrid w:val="0"/>
              </w:rPr>
              <w:t>None of the above</w:t>
            </w:r>
          </w:p>
        </w:tc>
      </w:tr>
    </w:tbl>
    <w:p w14:paraId="62203A85" w14:textId="77777777" w:rsidR="00306EB2" w:rsidRDefault="00306EB2" w:rsidP="000A3B4F">
      <w:pPr>
        <w:pStyle w:val="Header"/>
        <w:tabs>
          <w:tab w:val="clear" w:pos="4320"/>
          <w:tab w:val="clear" w:pos="8640"/>
        </w:tabs>
        <w:rPr>
          <w:rFonts w:cs="Arial"/>
          <w:i/>
          <w:iCs/>
          <w:snapToGrid w:val="0"/>
          <w:color w:val="000000"/>
        </w:rPr>
      </w:pPr>
    </w:p>
    <w:p w14:paraId="2A031146" w14:textId="77777777" w:rsidR="00D22736" w:rsidRDefault="00D22736" w:rsidP="000A3B4F">
      <w:pPr>
        <w:pStyle w:val="Header"/>
        <w:tabs>
          <w:tab w:val="clear" w:pos="4320"/>
          <w:tab w:val="clear" w:pos="8640"/>
        </w:tabs>
        <w:rPr>
          <w:rFonts w:cs="Arial"/>
          <w:i/>
          <w:iCs/>
          <w:snapToGrid w:val="0"/>
          <w:color w:val="000000"/>
        </w:rPr>
      </w:pPr>
    </w:p>
    <w:p w14:paraId="2D1A693A" w14:textId="496BDA97" w:rsidR="0063351C" w:rsidRDefault="00F0772B" w:rsidP="000A3B4F">
      <w:pPr>
        <w:pStyle w:val="Header"/>
        <w:tabs>
          <w:tab w:val="clear" w:pos="4320"/>
          <w:tab w:val="clear" w:pos="8640"/>
        </w:tabs>
        <w:rPr>
          <w:rFonts w:cs="Arial"/>
          <w:i/>
          <w:iCs/>
          <w:snapToGrid w:val="0"/>
          <w:color w:val="000000"/>
        </w:rPr>
      </w:pPr>
      <w:r>
        <w:rPr>
          <w:rFonts w:cs="Arial"/>
          <w:i/>
          <w:iCs/>
          <w:snapToGrid w:val="0"/>
          <w:color w:val="000000"/>
        </w:rPr>
        <w:t>R</w:t>
      </w:r>
      <w:r w:rsidR="00B91D49" w:rsidRPr="00B00E2A">
        <w:rPr>
          <w:rFonts w:cs="Arial"/>
          <w:i/>
          <w:iCs/>
          <w:snapToGrid w:val="0"/>
          <w:color w:val="000000"/>
        </w:rPr>
        <w:t xml:space="preserve">espond to questions #3-11 based on the procedures selected in question #2. </w:t>
      </w:r>
    </w:p>
    <w:p w14:paraId="49ADA174" w14:textId="77777777" w:rsidR="00D25C4F" w:rsidRPr="008D6E32" w:rsidRDefault="00D25C4F" w:rsidP="000A3B4F">
      <w:pPr>
        <w:pStyle w:val="Header"/>
        <w:tabs>
          <w:tab w:val="clear" w:pos="4320"/>
          <w:tab w:val="clear" w:pos="8640"/>
        </w:tabs>
        <w:rPr>
          <w:rFonts w:cs="Arial"/>
          <w:i/>
          <w:iCs/>
          <w:snapToGrid w:val="0"/>
          <w:color w:val="000000"/>
        </w:rPr>
      </w:pPr>
    </w:p>
    <w:tbl>
      <w:tblPr>
        <w:tblW w:w="50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2610"/>
        <w:gridCol w:w="3421"/>
      </w:tblGrid>
      <w:tr w:rsidR="00351783" w:rsidRPr="009A5185" w14:paraId="48A6EA48" w14:textId="77777777" w:rsidTr="0059119E">
        <w:trPr>
          <w:cantSplit/>
          <w:trHeight w:val="1008"/>
        </w:trPr>
        <w:tc>
          <w:tcPr>
            <w:tcW w:w="5000" w:type="pct"/>
            <w:gridSpan w:val="3"/>
            <w:tcBorders>
              <w:bottom w:val="single" w:sz="4" w:space="0" w:color="auto"/>
            </w:tcBorders>
            <w:vAlign w:val="center"/>
          </w:tcPr>
          <w:p w14:paraId="563301A8" w14:textId="41B96226" w:rsidR="00351783" w:rsidRPr="009A5185" w:rsidRDefault="00351783" w:rsidP="005F37AA">
            <w:pPr>
              <w:pStyle w:val="ListParagraph"/>
              <w:numPr>
                <w:ilvl w:val="0"/>
                <w:numId w:val="2"/>
              </w:numPr>
              <w:rPr>
                <w:rFonts w:cs="Arial"/>
                <w:i/>
                <w:snapToGrid w:val="0"/>
              </w:rPr>
            </w:pPr>
            <w:r w:rsidRPr="009A5185">
              <w:rPr>
                <w:rFonts w:cs="Arial"/>
                <w:snapToGrid w:val="0"/>
              </w:rPr>
              <w:t xml:space="preserve">Total </w:t>
            </w:r>
            <w:r w:rsidRPr="009A5185">
              <w:rPr>
                <w:rFonts w:cs="Arial"/>
                <w:b/>
                <w:snapToGrid w:val="0"/>
              </w:rPr>
              <w:t>hospital</w:t>
            </w:r>
            <w:r w:rsidRPr="009A5185">
              <w:rPr>
                <w:rFonts w:cs="Arial"/>
                <w:snapToGrid w:val="0"/>
              </w:rPr>
              <w:t xml:space="preserve"> volume for each selected procedure during the reporting period:</w:t>
            </w:r>
          </w:p>
          <w:p w14:paraId="7DD372C7" w14:textId="77777777" w:rsidR="00351783" w:rsidRPr="008D6E32" w:rsidRDefault="00351783" w:rsidP="005F37AA">
            <w:pPr>
              <w:pStyle w:val="ListParagraph"/>
              <w:ind w:left="360"/>
              <w:rPr>
                <w:rFonts w:cs="Arial"/>
                <w:i/>
                <w:snapToGrid w:val="0"/>
                <w:sz w:val="16"/>
                <w:szCs w:val="16"/>
              </w:rPr>
            </w:pPr>
          </w:p>
          <w:p w14:paraId="33E739F3" w14:textId="77777777" w:rsidR="00351783" w:rsidRPr="00DF74CA" w:rsidRDefault="00351783" w:rsidP="005F37AA">
            <w:pPr>
              <w:ind w:left="360"/>
              <w:rPr>
                <w:rFonts w:cs="Arial"/>
                <w:i/>
                <w:iCs/>
                <w:color w:val="222222"/>
                <w:shd w:val="clear" w:color="auto" w:fill="FFFFFF"/>
              </w:rPr>
            </w:pPr>
            <w:r w:rsidRPr="009A5185">
              <w:rPr>
                <w:rFonts w:cs="Arial"/>
                <w:i/>
                <w:iCs/>
                <w:color w:val="222222"/>
                <w:shd w:val="clear" w:color="auto" w:fill="FFFFFF"/>
              </w:rPr>
              <w:t>Volume should represent a 12-month count or 24-month annual average consistent with the reporting period selected in question #1.</w:t>
            </w:r>
          </w:p>
        </w:tc>
      </w:tr>
      <w:tr w:rsidR="00351783" w:rsidRPr="009A5185" w14:paraId="11131D99" w14:textId="77777777" w:rsidTr="0059119E">
        <w:trPr>
          <w:cantSplit/>
          <w:trHeight w:val="576"/>
        </w:trPr>
        <w:tc>
          <w:tcPr>
            <w:tcW w:w="1809" w:type="pct"/>
            <w:tcBorders>
              <w:bottom w:val="single" w:sz="4" w:space="0" w:color="auto"/>
            </w:tcBorders>
            <w:vAlign w:val="center"/>
          </w:tcPr>
          <w:p w14:paraId="46769F2D" w14:textId="77777777" w:rsidR="00351783" w:rsidRPr="009A5185" w:rsidRDefault="00351783" w:rsidP="005F37AA">
            <w:pPr>
              <w:jc w:val="center"/>
              <w:rPr>
                <w:rFonts w:cs="Arial"/>
                <w:i/>
                <w:snapToGrid w:val="0"/>
              </w:rPr>
            </w:pPr>
            <w:r w:rsidRPr="009A5185">
              <w:rPr>
                <w:rFonts w:cs="Arial"/>
                <w:i/>
                <w:snapToGrid w:val="0"/>
              </w:rPr>
              <w:t>Procedure</w:t>
            </w:r>
          </w:p>
        </w:tc>
        <w:tc>
          <w:tcPr>
            <w:tcW w:w="1381" w:type="pct"/>
            <w:tcBorders>
              <w:bottom w:val="single" w:sz="4" w:space="0" w:color="auto"/>
            </w:tcBorders>
            <w:vAlign w:val="center"/>
          </w:tcPr>
          <w:p w14:paraId="5043ECA1" w14:textId="7853A9D7" w:rsidR="00351783" w:rsidRDefault="00351783" w:rsidP="005F37AA">
            <w:pPr>
              <w:jc w:val="center"/>
              <w:rPr>
                <w:rFonts w:cs="Arial"/>
                <w:i/>
                <w:snapToGrid w:val="0"/>
              </w:rPr>
            </w:pPr>
            <w:r>
              <w:rPr>
                <w:rFonts w:cs="Arial"/>
                <w:i/>
                <w:snapToGrid w:val="0"/>
              </w:rPr>
              <w:t>Hospital Volume Standard</w:t>
            </w:r>
          </w:p>
        </w:tc>
        <w:tc>
          <w:tcPr>
            <w:tcW w:w="1810" w:type="pct"/>
            <w:tcBorders>
              <w:bottom w:val="single" w:sz="4" w:space="0" w:color="auto"/>
            </w:tcBorders>
            <w:vAlign w:val="center"/>
          </w:tcPr>
          <w:p w14:paraId="4FC56514" w14:textId="6C76C75A" w:rsidR="00351783" w:rsidRPr="009A5185" w:rsidRDefault="00351783" w:rsidP="005F37AA">
            <w:pPr>
              <w:jc w:val="center"/>
              <w:rPr>
                <w:rFonts w:cs="Arial"/>
                <w:i/>
                <w:snapToGrid w:val="0"/>
              </w:rPr>
            </w:pPr>
            <w:r>
              <w:rPr>
                <w:rFonts w:cs="Arial"/>
                <w:i/>
                <w:snapToGrid w:val="0"/>
              </w:rPr>
              <w:t xml:space="preserve">Total </w:t>
            </w:r>
            <w:r w:rsidR="0059119E">
              <w:rPr>
                <w:rFonts w:cs="Arial"/>
                <w:i/>
                <w:snapToGrid w:val="0"/>
              </w:rPr>
              <w:t>H</w:t>
            </w:r>
            <w:r>
              <w:rPr>
                <w:rFonts w:cs="Arial"/>
                <w:i/>
                <w:snapToGrid w:val="0"/>
              </w:rPr>
              <w:t xml:space="preserve">ospital </w:t>
            </w:r>
            <w:r w:rsidR="0059119E">
              <w:rPr>
                <w:rFonts w:cs="Arial"/>
                <w:i/>
                <w:snapToGrid w:val="0"/>
              </w:rPr>
              <w:t>V</w:t>
            </w:r>
            <w:r>
              <w:rPr>
                <w:rFonts w:cs="Arial"/>
                <w:i/>
                <w:snapToGrid w:val="0"/>
              </w:rPr>
              <w:t>olume</w:t>
            </w:r>
          </w:p>
          <w:p w14:paraId="302EDE4E" w14:textId="7674FFA4" w:rsidR="00351783" w:rsidRPr="009A5185" w:rsidRDefault="00351783" w:rsidP="005F37AA">
            <w:pPr>
              <w:jc w:val="center"/>
              <w:rPr>
                <w:rFonts w:cs="Arial"/>
                <w:i/>
                <w:snapToGrid w:val="0"/>
                <w:sz w:val="16"/>
                <w:szCs w:val="16"/>
              </w:rPr>
            </w:pPr>
            <w:r w:rsidRPr="00690C11">
              <w:rPr>
                <w:rFonts w:cs="Arial"/>
                <w:i/>
                <w:snapToGrid w:val="0"/>
                <w:sz w:val="16"/>
                <w:szCs w:val="16"/>
              </w:rPr>
              <w:t>(12-month count or 24-month annual average)</w:t>
            </w:r>
          </w:p>
        </w:tc>
      </w:tr>
      <w:tr w:rsidR="00351783" w:rsidRPr="009A5185" w14:paraId="67922068" w14:textId="77777777" w:rsidTr="0059119E">
        <w:trPr>
          <w:cantSplit/>
          <w:trHeight w:val="288"/>
        </w:trPr>
        <w:tc>
          <w:tcPr>
            <w:tcW w:w="1809" w:type="pct"/>
            <w:tcBorders>
              <w:bottom w:val="single" w:sz="4" w:space="0" w:color="auto"/>
            </w:tcBorders>
            <w:vAlign w:val="center"/>
          </w:tcPr>
          <w:p w14:paraId="25632B99" w14:textId="77777777" w:rsidR="00351783" w:rsidRPr="009A5185" w:rsidRDefault="00351783" w:rsidP="005F37AA">
            <w:pPr>
              <w:rPr>
                <w:rFonts w:cs="Arial"/>
                <w:snapToGrid w:val="0"/>
              </w:rPr>
            </w:pPr>
            <w:r w:rsidRPr="009A5185">
              <w:rPr>
                <w:rFonts w:cs="Arial"/>
                <w:snapToGrid w:val="0"/>
              </w:rPr>
              <w:t>Carotid endarterectomy</w:t>
            </w:r>
          </w:p>
        </w:tc>
        <w:tc>
          <w:tcPr>
            <w:tcW w:w="1381" w:type="pct"/>
            <w:tcBorders>
              <w:bottom w:val="single" w:sz="4" w:space="0" w:color="auto"/>
            </w:tcBorders>
            <w:vAlign w:val="center"/>
          </w:tcPr>
          <w:p w14:paraId="32B32C02" w14:textId="28E8E22E" w:rsidR="00351783" w:rsidRPr="009A5185" w:rsidRDefault="002106C3" w:rsidP="005F37AA">
            <w:pPr>
              <w:jc w:val="center"/>
              <w:rPr>
                <w:rFonts w:cs="Arial"/>
                <w:i/>
                <w:snapToGrid w:val="0"/>
              </w:rPr>
            </w:pPr>
            <w:r>
              <w:rPr>
                <w:rFonts w:cs="Arial"/>
                <w:i/>
                <w:snapToGrid w:val="0"/>
              </w:rPr>
              <w:t>20</w:t>
            </w:r>
          </w:p>
        </w:tc>
        <w:tc>
          <w:tcPr>
            <w:tcW w:w="1810" w:type="pct"/>
            <w:tcBorders>
              <w:bottom w:val="single" w:sz="4" w:space="0" w:color="auto"/>
            </w:tcBorders>
            <w:vAlign w:val="center"/>
          </w:tcPr>
          <w:p w14:paraId="688C4078" w14:textId="58D9B2F4" w:rsidR="00351783" w:rsidRPr="009A5185" w:rsidRDefault="00351783" w:rsidP="005F37AA">
            <w:pPr>
              <w:rPr>
                <w:rFonts w:cs="Arial"/>
                <w:i/>
                <w:snapToGrid w:val="0"/>
              </w:rPr>
            </w:pPr>
          </w:p>
        </w:tc>
      </w:tr>
      <w:tr w:rsidR="00351783" w:rsidRPr="009A5185" w14:paraId="474C0F9A" w14:textId="77777777" w:rsidTr="0059119E">
        <w:trPr>
          <w:cantSplit/>
          <w:trHeight w:val="288"/>
        </w:trPr>
        <w:tc>
          <w:tcPr>
            <w:tcW w:w="1809" w:type="pct"/>
            <w:tcBorders>
              <w:bottom w:val="single" w:sz="4" w:space="0" w:color="auto"/>
            </w:tcBorders>
            <w:vAlign w:val="center"/>
          </w:tcPr>
          <w:p w14:paraId="6BF23203" w14:textId="77777777" w:rsidR="00351783" w:rsidRPr="009A5185" w:rsidRDefault="00351783" w:rsidP="005F37AA">
            <w:pPr>
              <w:rPr>
                <w:rFonts w:cs="Arial"/>
                <w:snapToGrid w:val="0"/>
              </w:rPr>
            </w:pPr>
            <w:r w:rsidRPr="009A5185">
              <w:rPr>
                <w:rFonts w:cs="Arial"/>
                <w:snapToGrid w:val="0"/>
              </w:rPr>
              <w:t>Mitral valve repair and replacement</w:t>
            </w:r>
          </w:p>
        </w:tc>
        <w:tc>
          <w:tcPr>
            <w:tcW w:w="1381" w:type="pct"/>
            <w:tcBorders>
              <w:bottom w:val="single" w:sz="4" w:space="0" w:color="auto"/>
            </w:tcBorders>
            <w:vAlign w:val="center"/>
          </w:tcPr>
          <w:p w14:paraId="4BB1521E" w14:textId="6819B9A7" w:rsidR="00351783" w:rsidRPr="009A5185" w:rsidRDefault="002106C3" w:rsidP="005F37AA">
            <w:pPr>
              <w:jc w:val="center"/>
              <w:rPr>
                <w:rFonts w:cs="Arial"/>
                <w:i/>
                <w:snapToGrid w:val="0"/>
              </w:rPr>
            </w:pPr>
            <w:r>
              <w:rPr>
                <w:rFonts w:cs="Arial"/>
                <w:i/>
                <w:snapToGrid w:val="0"/>
              </w:rPr>
              <w:t>40</w:t>
            </w:r>
          </w:p>
        </w:tc>
        <w:tc>
          <w:tcPr>
            <w:tcW w:w="1810" w:type="pct"/>
            <w:tcBorders>
              <w:bottom w:val="single" w:sz="4" w:space="0" w:color="auto"/>
            </w:tcBorders>
            <w:vAlign w:val="center"/>
          </w:tcPr>
          <w:p w14:paraId="45757D13" w14:textId="1EAC1BC0" w:rsidR="00351783" w:rsidRPr="009A5185" w:rsidRDefault="00351783" w:rsidP="005F37AA">
            <w:pPr>
              <w:rPr>
                <w:rFonts w:cs="Arial"/>
                <w:i/>
                <w:snapToGrid w:val="0"/>
              </w:rPr>
            </w:pPr>
          </w:p>
        </w:tc>
      </w:tr>
      <w:tr w:rsidR="00351783" w:rsidRPr="009A5185" w14:paraId="5FA57576" w14:textId="77777777" w:rsidTr="0059119E">
        <w:trPr>
          <w:cantSplit/>
          <w:trHeight w:val="288"/>
        </w:trPr>
        <w:tc>
          <w:tcPr>
            <w:tcW w:w="1809" w:type="pct"/>
            <w:tcBorders>
              <w:bottom w:val="single" w:sz="4" w:space="0" w:color="auto"/>
            </w:tcBorders>
            <w:vAlign w:val="center"/>
          </w:tcPr>
          <w:p w14:paraId="4BFF6EA5" w14:textId="77777777" w:rsidR="00351783" w:rsidRPr="009A5185" w:rsidRDefault="00351783" w:rsidP="005F37AA">
            <w:pPr>
              <w:rPr>
                <w:rFonts w:cs="Arial"/>
                <w:snapToGrid w:val="0"/>
              </w:rPr>
            </w:pPr>
            <w:r w:rsidRPr="009A5185">
              <w:rPr>
                <w:rFonts w:cs="Arial"/>
                <w:snapToGrid w:val="0"/>
              </w:rPr>
              <w:t xml:space="preserve">Open aortic </w:t>
            </w:r>
            <w:r>
              <w:rPr>
                <w:rFonts w:cs="Arial"/>
                <w:snapToGrid w:val="0"/>
              </w:rPr>
              <w:t>procedures</w:t>
            </w:r>
          </w:p>
        </w:tc>
        <w:tc>
          <w:tcPr>
            <w:tcW w:w="1381" w:type="pct"/>
            <w:tcBorders>
              <w:bottom w:val="single" w:sz="4" w:space="0" w:color="auto"/>
            </w:tcBorders>
            <w:vAlign w:val="center"/>
          </w:tcPr>
          <w:p w14:paraId="07EDADFC" w14:textId="39E10D2C" w:rsidR="00351783" w:rsidRPr="009A5185" w:rsidRDefault="002106C3" w:rsidP="005F37AA">
            <w:pPr>
              <w:jc w:val="center"/>
              <w:rPr>
                <w:rFonts w:cs="Arial"/>
                <w:i/>
                <w:snapToGrid w:val="0"/>
              </w:rPr>
            </w:pPr>
            <w:r>
              <w:rPr>
                <w:rFonts w:cs="Arial"/>
                <w:i/>
                <w:snapToGrid w:val="0"/>
              </w:rPr>
              <w:t>10</w:t>
            </w:r>
          </w:p>
        </w:tc>
        <w:tc>
          <w:tcPr>
            <w:tcW w:w="1810" w:type="pct"/>
            <w:tcBorders>
              <w:bottom w:val="single" w:sz="4" w:space="0" w:color="auto"/>
            </w:tcBorders>
            <w:vAlign w:val="center"/>
          </w:tcPr>
          <w:p w14:paraId="214498C5" w14:textId="6CA819AB" w:rsidR="00351783" w:rsidRPr="009A5185" w:rsidRDefault="00351783" w:rsidP="005F37AA">
            <w:pPr>
              <w:rPr>
                <w:rFonts w:cs="Arial"/>
                <w:i/>
                <w:snapToGrid w:val="0"/>
              </w:rPr>
            </w:pPr>
          </w:p>
        </w:tc>
      </w:tr>
      <w:tr w:rsidR="00351783" w:rsidRPr="009A5185" w14:paraId="676084C7" w14:textId="77777777" w:rsidTr="0059119E">
        <w:trPr>
          <w:cantSplit/>
          <w:trHeight w:val="288"/>
        </w:trPr>
        <w:tc>
          <w:tcPr>
            <w:tcW w:w="1809" w:type="pct"/>
            <w:tcBorders>
              <w:bottom w:val="single" w:sz="4" w:space="0" w:color="auto"/>
            </w:tcBorders>
            <w:vAlign w:val="center"/>
          </w:tcPr>
          <w:p w14:paraId="69981D09" w14:textId="77777777" w:rsidR="00351783" w:rsidRPr="009A5185" w:rsidRDefault="00351783" w:rsidP="005F37AA">
            <w:pPr>
              <w:rPr>
                <w:rFonts w:cs="Arial"/>
                <w:snapToGrid w:val="0"/>
              </w:rPr>
            </w:pPr>
            <w:r w:rsidRPr="009A5185">
              <w:rPr>
                <w:rFonts w:cs="Arial"/>
                <w:snapToGrid w:val="0"/>
              </w:rPr>
              <w:t>Lung resection for cancer</w:t>
            </w:r>
          </w:p>
        </w:tc>
        <w:tc>
          <w:tcPr>
            <w:tcW w:w="1381" w:type="pct"/>
            <w:tcBorders>
              <w:bottom w:val="single" w:sz="4" w:space="0" w:color="auto"/>
            </w:tcBorders>
            <w:vAlign w:val="center"/>
          </w:tcPr>
          <w:p w14:paraId="3F5188A1" w14:textId="39AAE15C" w:rsidR="00351783" w:rsidRPr="009A5185" w:rsidRDefault="002106C3" w:rsidP="005F37AA">
            <w:pPr>
              <w:jc w:val="center"/>
              <w:rPr>
                <w:rFonts w:cs="Arial"/>
                <w:i/>
                <w:snapToGrid w:val="0"/>
              </w:rPr>
            </w:pPr>
            <w:r>
              <w:rPr>
                <w:rFonts w:cs="Arial"/>
                <w:i/>
                <w:snapToGrid w:val="0"/>
              </w:rPr>
              <w:t>40</w:t>
            </w:r>
          </w:p>
        </w:tc>
        <w:tc>
          <w:tcPr>
            <w:tcW w:w="1810" w:type="pct"/>
            <w:tcBorders>
              <w:bottom w:val="single" w:sz="4" w:space="0" w:color="auto"/>
            </w:tcBorders>
            <w:vAlign w:val="center"/>
          </w:tcPr>
          <w:p w14:paraId="0B9ED510" w14:textId="44384F93" w:rsidR="00351783" w:rsidRPr="009A5185" w:rsidRDefault="00351783" w:rsidP="005F37AA">
            <w:pPr>
              <w:rPr>
                <w:rFonts w:cs="Arial"/>
                <w:i/>
                <w:snapToGrid w:val="0"/>
              </w:rPr>
            </w:pPr>
          </w:p>
        </w:tc>
      </w:tr>
      <w:tr w:rsidR="00351783" w:rsidRPr="009A5185" w14:paraId="4B534B82" w14:textId="77777777" w:rsidTr="0059119E">
        <w:trPr>
          <w:cantSplit/>
          <w:trHeight w:val="288"/>
        </w:trPr>
        <w:tc>
          <w:tcPr>
            <w:tcW w:w="1809" w:type="pct"/>
            <w:tcBorders>
              <w:bottom w:val="single" w:sz="4" w:space="0" w:color="auto"/>
            </w:tcBorders>
            <w:vAlign w:val="center"/>
          </w:tcPr>
          <w:p w14:paraId="7CD2A872" w14:textId="77777777" w:rsidR="00351783" w:rsidRPr="009A5185" w:rsidRDefault="00351783" w:rsidP="005F37AA">
            <w:pPr>
              <w:rPr>
                <w:rFonts w:cs="Arial"/>
                <w:snapToGrid w:val="0"/>
              </w:rPr>
            </w:pPr>
            <w:r w:rsidRPr="009A5185">
              <w:rPr>
                <w:rFonts w:cs="Arial"/>
                <w:snapToGrid w:val="0"/>
              </w:rPr>
              <w:t>Esophageal resection for cancer</w:t>
            </w:r>
          </w:p>
        </w:tc>
        <w:tc>
          <w:tcPr>
            <w:tcW w:w="1381" w:type="pct"/>
            <w:tcBorders>
              <w:bottom w:val="single" w:sz="4" w:space="0" w:color="auto"/>
            </w:tcBorders>
            <w:vAlign w:val="center"/>
          </w:tcPr>
          <w:p w14:paraId="52F39A80" w14:textId="3CD87A40" w:rsidR="00351783" w:rsidRPr="009A5185" w:rsidRDefault="002106C3" w:rsidP="005F37AA">
            <w:pPr>
              <w:jc w:val="center"/>
              <w:rPr>
                <w:rFonts w:cs="Arial"/>
                <w:i/>
                <w:snapToGrid w:val="0"/>
              </w:rPr>
            </w:pPr>
            <w:r>
              <w:rPr>
                <w:rFonts w:cs="Arial"/>
                <w:i/>
                <w:snapToGrid w:val="0"/>
              </w:rPr>
              <w:t>20</w:t>
            </w:r>
          </w:p>
        </w:tc>
        <w:tc>
          <w:tcPr>
            <w:tcW w:w="1810" w:type="pct"/>
            <w:tcBorders>
              <w:bottom w:val="single" w:sz="4" w:space="0" w:color="auto"/>
            </w:tcBorders>
            <w:vAlign w:val="center"/>
          </w:tcPr>
          <w:p w14:paraId="38951BAB" w14:textId="35F3543E" w:rsidR="00351783" w:rsidRPr="009A5185" w:rsidRDefault="00351783" w:rsidP="005F37AA">
            <w:pPr>
              <w:rPr>
                <w:rFonts w:cs="Arial"/>
                <w:i/>
                <w:snapToGrid w:val="0"/>
              </w:rPr>
            </w:pPr>
          </w:p>
        </w:tc>
      </w:tr>
      <w:tr w:rsidR="00351783" w:rsidRPr="009A5185" w14:paraId="7AB27F4C" w14:textId="77777777" w:rsidTr="0059119E">
        <w:trPr>
          <w:cantSplit/>
          <w:trHeight w:val="288"/>
        </w:trPr>
        <w:tc>
          <w:tcPr>
            <w:tcW w:w="1809" w:type="pct"/>
            <w:tcBorders>
              <w:bottom w:val="single" w:sz="4" w:space="0" w:color="auto"/>
            </w:tcBorders>
            <w:vAlign w:val="center"/>
          </w:tcPr>
          <w:p w14:paraId="558492A4" w14:textId="77777777" w:rsidR="00351783" w:rsidRPr="009A5185" w:rsidRDefault="00351783" w:rsidP="005F37AA">
            <w:pPr>
              <w:rPr>
                <w:rFonts w:cs="Arial"/>
                <w:snapToGrid w:val="0"/>
              </w:rPr>
            </w:pPr>
            <w:r w:rsidRPr="009A5185">
              <w:rPr>
                <w:rFonts w:cs="Arial"/>
                <w:snapToGrid w:val="0"/>
              </w:rPr>
              <w:t>Pancreatic resection for cancer</w:t>
            </w:r>
          </w:p>
        </w:tc>
        <w:tc>
          <w:tcPr>
            <w:tcW w:w="1381" w:type="pct"/>
            <w:tcBorders>
              <w:bottom w:val="single" w:sz="4" w:space="0" w:color="auto"/>
            </w:tcBorders>
            <w:vAlign w:val="center"/>
          </w:tcPr>
          <w:p w14:paraId="17F0E120" w14:textId="3C3EE5E3" w:rsidR="00351783" w:rsidRPr="009A5185" w:rsidRDefault="002106C3" w:rsidP="005F37AA">
            <w:pPr>
              <w:jc w:val="center"/>
              <w:rPr>
                <w:rFonts w:cs="Arial"/>
                <w:i/>
                <w:snapToGrid w:val="0"/>
              </w:rPr>
            </w:pPr>
            <w:r>
              <w:rPr>
                <w:rFonts w:cs="Arial"/>
                <w:i/>
                <w:snapToGrid w:val="0"/>
              </w:rPr>
              <w:t>20</w:t>
            </w:r>
          </w:p>
        </w:tc>
        <w:tc>
          <w:tcPr>
            <w:tcW w:w="1810" w:type="pct"/>
            <w:tcBorders>
              <w:bottom w:val="single" w:sz="4" w:space="0" w:color="auto"/>
            </w:tcBorders>
            <w:vAlign w:val="center"/>
          </w:tcPr>
          <w:p w14:paraId="59FA844E" w14:textId="667B0161" w:rsidR="00351783" w:rsidRPr="009A5185" w:rsidRDefault="00351783" w:rsidP="005F37AA">
            <w:pPr>
              <w:rPr>
                <w:rFonts w:cs="Arial"/>
                <w:i/>
                <w:snapToGrid w:val="0"/>
              </w:rPr>
            </w:pPr>
          </w:p>
        </w:tc>
      </w:tr>
      <w:tr w:rsidR="00351783" w:rsidRPr="009A5185" w14:paraId="7ACF6D63" w14:textId="77777777" w:rsidTr="0059119E">
        <w:trPr>
          <w:cantSplit/>
          <w:trHeight w:val="288"/>
        </w:trPr>
        <w:tc>
          <w:tcPr>
            <w:tcW w:w="1809" w:type="pct"/>
            <w:tcBorders>
              <w:bottom w:val="single" w:sz="4" w:space="0" w:color="auto"/>
            </w:tcBorders>
            <w:vAlign w:val="center"/>
          </w:tcPr>
          <w:p w14:paraId="2CCA7415" w14:textId="77777777" w:rsidR="00351783" w:rsidRPr="009A5185" w:rsidRDefault="00351783" w:rsidP="005F37AA">
            <w:pPr>
              <w:rPr>
                <w:rFonts w:cs="Arial"/>
                <w:snapToGrid w:val="0"/>
              </w:rPr>
            </w:pPr>
            <w:r w:rsidRPr="009A5185">
              <w:rPr>
                <w:rFonts w:cs="Arial"/>
                <w:snapToGrid w:val="0"/>
              </w:rPr>
              <w:t>Rectal cancer surgery</w:t>
            </w:r>
          </w:p>
        </w:tc>
        <w:tc>
          <w:tcPr>
            <w:tcW w:w="1381" w:type="pct"/>
            <w:tcBorders>
              <w:bottom w:val="single" w:sz="4" w:space="0" w:color="auto"/>
            </w:tcBorders>
            <w:vAlign w:val="center"/>
          </w:tcPr>
          <w:p w14:paraId="09E28A5D" w14:textId="346D31FA" w:rsidR="00351783" w:rsidRPr="009A5185" w:rsidRDefault="002106C3" w:rsidP="005F37AA">
            <w:pPr>
              <w:jc w:val="center"/>
              <w:rPr>
                <w:rFonts w:cs="Arial"/>
                <w:i/>
                <w:snapToGrid w:val="0"/>
              </w:rPr>
            </w:pPr>
            <w:r>
              <w:rPr>
                <w:rFonts w:cs="Arial"/>
                <w:i/>
                <w:snapToGrid w:val="0"/>
              </w:rPr>
              <w:t>16</w:t>
            </w:r>
          </w:p>
        </w:tc>
        <w:tc>
          <w:tcPr>
            <w:tcW w:w="1810" w:type="pct"/>
            <w:tcBorders>
              <w:bottom w:val="single" w:sz="4" w:space="0" w:color="auto"/>
            </w:tcBorders>
            <w:vAlign w:val="center"/>
          </w:tcPr>
          <w:p w14:paraId="6DD40BA3" w14:textId="0EF937E8" w:rsidR="00351783" w:rsidRPr="009A5185" w:rsidRDefault="00351783" w:rsidP="005F37AA">
            <w:pPr>
              <w:rPr>
                <w:rFonts w:cs="Arial"/>
                <w:i/>
                <w:snapToGrid w:val="0"/>
              </w:rPr>
            </w:pPr>
          </w:p>
        </w:tc>
      </w:tr>
      <w:tr w:rsidR="00351783" w:rsidRPr="009A5185" w14:paraId="5401E433" w14:textId="77777777" w:rsidTr="0059119E">
        <w:trPr>
          <w:cantSplit/>
          <w:trHeight w:val="288"/>
        </w:trPr>
        <w:tc>
          <w:tcPr>
            <w:tcW w:w="1809" w:type="pct"/>
            <w:vAlign w:val="center"/>
          </w:tcPr>
          <w:p w14:paraId="02A474DE" w14:textId="77777777" w:rsidR="00351783" w:rsidRPr="009A5185" w:rsidRDefault="00351783" w:rsidP="005F37AA">
            <w:pPr>
              <w:rPr>
                <w:rFonts w:cs="Arial"/>
                <w:snapToGrid w:val="0"/>
              </w:rPr>
            </w:pPr>
            <w:r w:rsidRPr="009A5185">
              <w:rPr>
                <w:rFonts w:cs="Arial"/>
                <w:snapToGrid w:val="0"/>
              </w:rPr>
              <w:t>Bariatric surgery for weight loss</w:t>
            </w:r>
          </w:p>
        </w:tc>
        <w:tc>
          <w:tcPr>
            <w:tcW w:w="1381" w:type="pct"/>
            <w:vAlign w:val="center"/>
          </w:tcPr>
          <w:p w14:paraId="60BC2CC0" w14:textId="74D94025" w:rsidR="00351783" w:rsidRPr="009A5185" w:rsidRDefault="002106C3" w:rsidP="005F37AA">
            <w:pPr>
              <w:jc w:val="center"/>
              <w:rPr>
                <w:rFonts w:cs="Arial"/>
                <w:i/>
                <w:snapToGrid w:val="0"/>
              </w:rPr>
            </w:pPr>
            <w:r>
              <w:rPr>
                <w:rFonts w:cs="Arial"/>
                <w:i/>
                <w:snapToGrid w:val="0"/>
              </w:rPr>
              <w:t>50</w:t>
            </w:r>
          </w:p>
        </w:tc>
        <w:tc>
          <w:tcPr>
            <w:tcW w:w="1810" w:type="pct"/>
            <w:vAlign w:val="center"/>
          </w:tcPr>
          <w:p w14:paraId="7A240C89" w14:textId="52E2C569" w:rsidR="00351783" w:rsidRPr="009A5185" w:rsidRDefault="00351783" w:rsidP="005F37AA">
            <w:pPr>
              <w:rPr>
                <w:rFonts w:cs="Arial"/>
                <w:i/>
                <w:snapToGrid w:val="0"/>
              </w:rPr>
            </w:pPr>
          </w:p>
        </w:tc>
      </w:tr>
      <w:tr w:rsidR="00351783" w:rsidRPr="009A5185" w14:paraId="3D288E65" w14:textId="77777777" w:rsidTr="0059119E">
        <w:trPr>
          <w:cantSplit/>
          <w:trHeight w:val="288"/>
        </w:trPr>
        <w:tc>
          <w:tcPr>
            <w:tcW w:w="1809" w:type="pct"/>
            <w:vAlign w:val="center"/>
          </w:tcPr>
          <w:p w14:paraId="679C4FD1" w14:textId="77777777" w:rsidR="00351783" w:rsidRPr="009A5185" w:rsidRDefault="00351783" w:rsidP="005F37AA">
            <w:pPr>
              <w:rPr>
                <w:rFonts w:cs="Arial"/>
                <w:snapToGrid w:val="0"/>
              </w:rPr>
            </w:pPr>
            <w:r>
              <w:rPr>
                <w:rFonts w:cs="Arial"/>
                <w:snapToGrid w:val="0"/>
              </w:rPr>
              <w:t>Total knee replacement</w:t>
            </w:r>
          </w:p>
        </w:tc>
        <w:tc>
          <w:tcPr>
            <w:tcW w:w="1381" w:type="pct"/>
            <w:vAlign w:val="center"/>
          </w:tcPr>
          <w:p w14:paraId="5F890E50" w14:textId="5D3314E5" w:rsidR="00351783" w:rsidRPr="009A5185" w:rsidRDefault="002106C3" w:rsidP="005F37AA">
            <w:pPr>
              <w:jc w:val="center"/>
              <w:rPr>
                <w:rFonts w:cs="Arial"/>
                <w:i/>
                <w:snapToGrid w:val="0"/>
              </w:rPr>
            </w:pPr>
            <w:r>
              <w:rPr>
                <w:rFonts w:cs="Arial"/>
                <w:i/>
                <w:snapToGrid w:val="0"/>
              </w:rPr>
              <w:t>50</w:t>
            </w:r>
          </w:p>
        </w:tc>
        <w:tc>
          <w:tcPr>
            <w:tcW w:w="1810" w:type="pct"/>
            <w:vAlign w:val="center"/>
          </w:tcPr>
          <w:p w14:paraId="72AEF637" w14:textId="2E0DB943" w:rsidR="00351783" w:rsidRPr="009A5185" w:rsidRDefault="00351783" w:rsidP="005F37AA">
            <w:pPr>
              <w:rPr>
                <w:rFonts w:cs="Arial"/>
                <w:i/>
                <w:snapToGrid w:val="0"/>
              </w:rPr>
            </w:pPr>
          </w:p>
        </w:tc>
      </w:tr>
      <w:tr w:rsidR="00351783" w:rsidRPr="009A5185" w14:paraId="4026C51A" w14:textId="77777777" w:rsidTr="0059119E">
        <w:trPr>
          <w:cantSplit/>
          <w:trHeight w:val="288"/>
        </w:trPr>
        <w:tc>
          <w:tcPr>
            <w:tcW w:w="1809" w:type="pct"/>
            <w:vAlign w:val="center"/>
          </w:tcPr>
          <w:p w14:paraId="57EBA09E" w14:textId="77777777" w:rsidR="00351783" w:rsidRDefault="00351783" w:rsidP="005F37AA">
            <w:pPr>
              <w:rPr>
                <w:rFonts w:cs="Arial"/>
                <w:snapToGrid w:val="0"/>
              </w:rPr>
            </w:pPr>
            <w:r>
              <w:rPr>
                <w:rFonts w:cs="Arial"/>
                <w:snapToGrid w:val="0"/>
              </w:rPr>
              <w:t>Total hip replacement</w:t>
            </w:r>
          </w:p>
        </w:tc>
        <w:tc>
          <w:tcPr>
            <w:tcW w:w="1381" w:type="pct"/>
            <w:vAlign w:val="center"/>
          </w:tcPr>
          <w:p w14:paraId="49804DD8" w14:textId="64AEC3EC" w:rsidR="00351783" w:rsidRPr="009A5185" w:rsidRDefault="002106C3" w:rsidP="005F37AA">
            <w:pPr>
              <w:jc w:val="center"/>
              <w:rPr>
                <w:rFonts w:cs="Arial"/>
                <w:i/>
                <w:snapToGrid w:val="0"/>
              </w:rPr>
            </w:pPr>
            <w:r>
              <w:rPr>
                <w:rFonts w:cs="Arial"/>
                <w:i/>
                <w:snapToGrid w:val="0"/>
              </w:rPr>
              <w:t>50</w:t>
            </w:r>
          </w:p>
        </w:tc>
        <w:tc>
          <w:tcPr>
            <w:tcW w:w="1810" w:type="pct"/>
            <w:vAlign w:val="center"/>
          </w:tcPr>
          <w:p w14:paraId="057DA4C5" w14:textId="27F6FE23" w:rsidR="00351783" w:rsidRPr="009A5185" w:rsidRDefault="00351783" w:rsidP="005F37AA">
            <w:pPr>
              <w:rPr>
                <w:rFonts w:cs="Arial"/>
                <w:i/>
                <w:snapToGrid w:val="0"/>
              </w:rPr>
            </w:pPr>
          </w:p>
        </w:tc>
      </w:tr>
      <w:tr w:rsidR="00351783" w:rsidRPr="009A5185" w14:paraId="0D979F53" w14:textId="77777777" w:rsidTr="0059119E">
        <w:trPr>
          <w:cantSplit/>
          <w:trHeight w:val="288"/>
        </w:trPr>
        <w:tc>
          <w:tcPr>
            <w:tcW w:w="1809" w:type="pct"/>
            <w:vAlign w:val="center"/>
          </w:tcPr>
          <w:p w14:paraId="2A643E61" w14:textId="77777777" w:rsidR="00351783" w:rsidRDefault="00351783" w:rsidP="005F37AA">
            <w:pPr>
              <w:rPr>
                <w:rFonts w:cs="Arial"/>
                <w:snapToGrid w:val="0"/>
              </w:rPr>
            </w:pPr>
            <w:r>
              <w:rPr>
                <w:rFonts w:cs="Arial"/>
                <w:snapToGrid w:val="0"/>
              </w:rPr>
              <w:t>Norwood procedure</w:t>
            </w:r>
          </w:p>
        </w:tc>
        <w:tc>
          <w:tcPr>
            <w:tcW w:w="1381" w:type="pct"/>
            <w:vAlign w:val="center"/>
          </w:tcPr>
          <w:p w14:paraId="140962C0" w14:textId="0ACB1477" w:rsidR="00351783" w:rsidRPr="009A5185" w:rsidRDefault="002106C3" w:rsidP="005F37AA">
            <w:pPr>
              <w:jc w:val="center"/>
              <w:rPr>
                <w:rFonts w:cs="Arial"/>
                <w:i/>
                <w:snapToGrid w:val="0"/>
              </w:rPr>
            </w:pPr>
            <w:r>
              <w:rPr>
                <w:rFonts w:cs="Arial"/>
                <w:i/>
                <w:snapToGrid w:val="0"/>
              </w:rPr>
              <w:t>8</w:t>
            </w:r>
          </w:p>
        </w:tc>
        <w:tc>
          <w:tcPr>
            <w:tcW w:w="1810" w:type="pct"/>
            <w:vAlign w:val="center"/>
          </w:tcPr>
          <w:p w14:paraId="62B9D119" w14:textId="5A373C19" w:rsidR="00351783" w:rsidRPr="009A5185" w:rsidRDefault="00351783" w:rsidP="005F37AA">
            <w:pPr>
              <w:rPr>
                <w:rFonts w:cs="Arial"/>
                <w:i/>
                <w:snapToGrid w:val="0"/>
              </w:rPr>
            </w:pPr>
          </w:p>
        </w:tc>
      </w:tr>
    </w:tbl>
    <w:p w14:paraId="0788C01C" w14:textId="77777777" w:rsidR="00E66427" w:rsidRDefault="00E66427"/>
    <w:tbl>
      <w:tblPr>
        <w:tblStyle w:val="TableGrid"/>
        <w:tblW w:w="5054" w:type="pct"/>
        <w:tblInd w:w="-5" w:type="dxa"/>
        <w:tblLook w:val="04A0" w:firstRow="1" w:lastRow="0" w:firstColumn="1" w:lastColumn="0" w:noHBand="0" w:noVBand="1"/>
      </w:tblPr>
      <w:tblGrid>
        <w:gridCol w:w="4775"/>
        <w:gridCol w:w="4676"/>
      </w:tblGrid>
      <w:tr w:rsidR="00FB49C9" w14:paraId="47FCA6C2" w14:textId="77777777" w:rsidTr="0059119E">
        <w:trPr>
          <w:trHeight w:val="864"/>
        </w:trPr>
        <w:tc>
          <w:tcPr>
            <w:tcW w:w="5000" w:type="pct"/>
            <w:gridSpan w:val="2"/>
            <w:vAlign w:val="center"/>
          </w:tcPr>
          <w:p w14:paraId="4E0C4695" w14:textId="3951D1C9" w:rsidR="00FB49C9" w:rsidRPr="00E1411B" w:rsidRDefault="00FB49C9" w:rsidP="00E66427">
            <w:pPr>
              <w:pStyle w:val="ListParagraph"/>
              <w:numPr>
                <w:ilvl w:val="0"/>
                <w:numId w:val="2"/>
              </w:numPr>
              <w:spacing w:line="276" w:lineRule="auto"/>
              <w:rPr>
                <w:rFonts w:cs="Arial"/>
                <w:i/>
                <w:snapToGrid w:val="0"/>
                <w:color w:val="000000"/>
              </w:rPr>
            </w:pPr>
            <w:r w:rsidRPr="00E1411B">
              <w:rPr>
                <w:rFonts w:cs="Arial"/>
                <w:iCs/>
                <w:snapToGrid w:val="0"/>
                <w:color w:val="000000"/>
              </w:rPr>
              <w:t xml:space="preserve">Does the total hospital volume for </w:t>
            </w:r>
            <w:r w:rsidR="009E6CC1" w:rsidRPr="00E1411B">
              <w:rPr>
                <w:rFonts w:cs="Arial"/>
                <w:iCs/>
                <w:snapToGrid w:val="0"/>
                <w:color w:val="000000"/>
              </w:rPr>
              <w:t>total knee replacement</w:t>
            </w:r>
            <w:r w:rsidR="00F57028">
              <w:rPr>
                <w:rFonts w:cs="Arial"/>
                <w:iCs/>
                <w:snapToGrid w:val="0"/>
                <w:color w:val="000000"/>
              </w:rPr>
              <w:t xml:space="preserve">, </w:t>
            </w:r>
            <w:r w:rsidR="009E6CC1" w:rsidRPr="00E1411B">
              <w:rPr>
                <w:rFonts w:cs="Arial"/>
                <w:iCs/>
                <w:snapToGrid w:val="0"/>
                <w:color w:val="000000"/>
              </w:rPr>
              <w:t>total hip replacement</w:t>
            </w:r>
            <w:r w:rsidR="00F57028">
              <w:rPr>
                <w:rFonts w:cs="Arial"/>
                <w:iCs/>
                <w:snapToGrid w:val="0"/>
                <w:color w:val="000000"/>
              </w:rPr>
              <w:t>, and/or bariatric surgery for weight loss</w:t>
            </w:r>
            <w:r w:rsidRPr="00E1411B">
              <w:rPr>
                <w:rFonts w:cs="Arial"/>
                <w:iCs/>
                <w:snapToGrid w:val="0"/>
                <w:color w:val="000000"/>
              </w:rPr>
              <w:t xml:space="preserve"> reported on in question #3 above include procedures performed on an inpatient basis, outpatient basis, or both?</w:t>
            </w:r>
          </w:p>
        </w:tc>
      </w:tr>
      <w:tr w:rsidR="00FB49C9" w14:paraId="7DC9914C" w14:textId="77777777" w:rsidTr="0059119E">
        <w:tc>
          <w:tcPr>
            <w:tcW w:w="2526" w:type="pct"/>
            <w:vAlign w:val="center"/>
          </w:tcPr>
          <w:p w14:paraId="42963825" w14:textId="77777777" w:rsidR="00FB49C9" w:rsidRPr="00F72C9F" w:rsidRDefault="00FB49C9" w:rsidP="00E66427">
            <w:pPr>
              <w:pStyle w:val="ListParagraph"/>
              <w:spacing w:line="276" w:lineRule="auto"/>
              <w:ind w:left="360"/>
              <w:rPr>
                <w:rFonts w:cs="Arial"/>
                <w:iCs/>
                <w:snapToGrid w:val="0"/>
                <w:color w:val="000000"/>
              </w:rPr>
            </w:pPr>
            <w:r w:rsidRPr="00F72C9F">
              <w:rPr>
                <w:rFonts w:cs="Arial"/>
                <w:iCs/>
                <w:snapToGrid w:val="0"/>
                <w:color w:val="000000"/>
              </w:rPr>
              <w:t>Total knee replacement</w:t>
            </w:r>
          </w:p>
        </w:tc>
        <w:tc>
          <w:tcPr>
            <w:tcW w:w="2474" w:type="pct"/>
            <w:vAlign w:val="center"/>
          </w:tcPr>
          <w:p w14:paraId="17F4AADA" w14:textId="21D68749" w:rsidR="00FB49C9" w:rsidRPr="000F3D1F" w:rsidRDefault="00FB49C9"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Inpatient</w:t>
            </w:r>
          </w:p>
          <w:p w14:paraId="75EA5E3E" w14:textId="77777777" w:rsidR="00FB49C9" w:rsidRPr="000F3D1F" w:rsidRDefault="00FB49C9"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Outpatient</w:t>
            </w:r>
          </w:p>
          <w:p w14:paraId="204B24A5" w14:textId="1A9769BD" w:rsidR="00624B67" w:rsidRPr="000F3D1F" w:rsidRDefault="00624B67"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Both (inpatient and outpatient)</w:t>
            </w:r>
          </w:p>
        </w:tc>
      </w:tr>
      <w:tr w:rsidR="00FB49C9" w14:paraId="29883210" w14:textId="77777777" w:rsidTr="0059119E">
        <w:tc>
          <w:tcPr>
            <w:tcW w:w="2526" w:type="pct"/>
            <w:vAlign w:val="center"/>
          </w:tcPr>
          <w:p w14:paraId="38D81C20" w14:textId="77777777" w:rsidR="00FB49C9" w:rsidRPr="00F72C9F" w:rsidRDefault="00FB49C9" w:rsidP="00E66427">
            <w:pPr>
              <w:pStyle w:val="ListParagraph"/>
              <w:spacing w:line="276" w:lineRule="auto"/>
              <w:ind w:left="360"/>
              <w:rPr>
                <w:rFonts w:cs="Arial"/>
                <w:iCs/>
                <w:snapToGrid w:val="0"/>
                <w:color w:val="000000"/>
              </w:rPr>
            </w:pPr>
            <w:r w:rsidRPr="00F72C9F">
              <w:rPr>
                <w:rFonts w:cs="Arial"/>
                <w:iCs/>
                <w:snapToGrid w:val="0"/>
                <w:color w:val="000000"/>
              </w:rPr>
              <w:t>Total hip replacement</w:t>
            </w:r>
          </w:p>
        </w:tc>
        <w:tc>
          <w:tcPr>
            <w:tcW w:w="2474" w:type="pct"/>
            <w:vAlign w:val="center"/>
          </w:tcPr>
          <w:p w14:paraId="55BBD9DB" w14:textId="3E10C40D" w:rsidR="00FB49C9" w:rsidRPr="000F3D1F" w:rsidRDefault="00FB49C9"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Inpatient</w:t>
            </w:r>
          </w:p>
          <w:p w14:paraId="5C1ADD81" w14:textId="77777777" w:rsidR="00FB49C9" w:rsidRPr="000F3D1F" w:rsidRDefault="00FB49C9"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Outpatient</w:t>
            </w:r>
          </w:p>
          <w:p w14:paraId="22A1856C" w14:textId="1A86E57B" w:rsidR="00624B67" w:rsidRPr="000F3D1F" w:rsidRDefault="00624B67"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Both (inpatient and outpatient)</w:t>
            </w:r>
          </w:p>
        </w:tc>
      </w:tr>
      <w:tr w:rsidR="00F57028" w14:paraId="771A7F82" w14:textId="77777777" w:rsidTr="0059119E">
        <w:tc>
          <w:tcPr>
            <w:tcW w:w="2526" w:type="pct"/>
            <w:vAlign w:val="center"/>
          </w:tcPr>
          <w:p w14:paraId="4720EADA" w14:textId="53E4734D" w:rsidR="00F57028" w:rsidRPr="00F57028" w:rsidRDefault="00F57028" w:rsidP="00E66427">
            <w:pPr>
              <w:pStyle w:val="ListParagraph"/>
              <w:spacing w:line="276" w:lineRule="auto"/>
              <w:ind w:left="360"/>
              <w:rPr>
                <w:rFonts w:cs="Arial"/>
                <w:iCs/>
                <w:snapToGrid w:val="0"/>
                <w:color w:val="000000"/>
              </w:rPr>
            </w:pPr>
            <w:r>
              <w:rPr>
                <w:rFonts w:cs="Arial"/>
                <w:iCs/>
                <w:snapToGrid w:val="0"/>
                <w:color w:val="000000"/>
              </w:rPr>
              <w:t>Bariatric surgery for weight loss</w:t>
            </w:r>
          </w:p>
        </w:tc>
        <w:tc>
          <w:tcPr>
            <w:tcW w:w="2474" w:type="pct"/>
            <w:vAlign w:val="center"/>
          </w:tcPr>
          <w:p w14:paraId="25EF8FA4" w14:textId="77777777" w:rsidR="00F57028" w:rsidRPr="000F3D1F" w:rsidRDefault="00F57028"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Inpatient</w:t>
            </w:r>
          </w:p>
          <w:p w14:paraId="726644FE" w14:textId="77777777" w:rsidR="00F57028" w:rsidRPr="000F3D1F" w:rsidRDefault="00F57028"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Outpatient</w:t>
            </w:r>
          </w:p>
          <w:p w14:paraId="54DE817D" w14:textId="5871A9E0" w:rsidR="00F57028" w:rsidRPr="000F3D1F" w:rsidRDefault="00F57028" w:rsidP="00AD309C">
            <w:pPr>
              <w:pStyle w:val="ListParagraph"/>
              <w:numPr>
                <w:ilvl w:val="0"/>
                <w:numId w:val="236"/>
              </w:numPr>
              <w:spacing w:line="276" w:lineRule="auto"/>
              <w:rPr>
                <w:rFonts w:cs="Arial"/>
                <w:iCs/>
                <w:snapToGrid w:val="0"/>
                <w:color w:val="000000"/>
              </w:rPr>
            </w:pPr>
            <w:r w:rsidRPr="000F3D1F">
              <w:rPr>
                <w:rFonts w:cs="Arial"/>
                <w:iCs/>
                <w:snapToGrid w:val="0"/>
                <w:color w:val="000000"/>
              </w:rPr>
              <w:t>Both (inpatient and outpatient)</w:t>
            </w:r>
          </w:p>
        </w:tc>
      </w:tr>
    </w:tbl>
    <w:p w14:paraId="62B5F7D3" w14:textId="77777777" w:rsidR="00256A22" w:rsidRDefault="00256A22">
      <w:pPr>
        <w:rPr>
          <w:color w:val="000000"/>
        </w:rPr>
      </w:pPr>
    </w:p>
    <w:p w14:paraId="1E2B9710" w14:textId="77777777" w:rsidR="00256A22" w:rsidRPr="000B1607" w:rsidRDefault="00256A22">
      <w:pPr>
        <w:rPr>
          <w:rFonts w:cs="Arial"/>
          <w:snapToGrid w:val="0"/>
          <w:color w:val="000000"/>
        </w:rPr>
      </w:pPr>
    </w:p>
    <w:tbl>
      <w:tblPr>
        <w:tblStyle w:val="TableGrid"/>
        <w:tblW w:w="9450" w:type="dxa"/>
        <w:tblInd w:w="-5" w:type="dxa"/>
        <w:tblLook w:val="04A0" w:firstRow="1" w:lastRow="0" w:firstColumn="1" w:lastColumn="0" w:noHBand="0" w:noVBand="1"/>
      </w:tblPr>
      <w:tblGrid>
        <w:gridCol w:w="3420"/>
        <w:gridCol w:w="3690"/>
        <w:gridCol w:w="2340"/>
      </w:tblGrid>
      <w:tr w:rsidR="004B5463" w:rsidRPr="009A5185" w14:paraId="4A556DF2" w14:textId="77777777" w:rsidTr="0059119E">
        <w:trPr>
          <w:trHeight w:val="576"/>
        </w:trPr>
        <w:tc>
          <w:tcPr>
            <w:tcW w:w="9450" w:type="dxa"/>
            <w:gridSpan w:val="3"/>
            <w:vAlign w:val="center"/>
          </w:tcPr>
          <w:p w14:paraId="6DFE281A" w14:textId="08058EE1" w:rsidR="008D6E32" w:rsidRPr="000B1607" w:rsidRDefault="004B5463" w:rsidP="000B1607">
            <w:pPr>
              <w:pStyle w:val="Header"/>
              <w:numPr>
                <w:ilvl w:val="0"/>
                <w:numId w:val="2"/>
              </w:numPr>
              <w:tabs>
                <w:tab w:val="clear" w:pos="4320"/>
                <w:tab w:val="clear" w:pos="8640"/>
              </w:tabs>
              <w:rPr>
                <w:rFonts w:cs="Arial"/>
                <w:snapToGrid w:val="0"/>
                <w:color w:val="000000"/>
              </w:rPr>
            </w:pPr>
            <w:r w:rsidRPr="009A5185">
              <w:rPr>
                <w:rFonts w:cs="Arial"/>
                <w:snapToGrid w:val="0"/>
                <w:color w:val="000000"/>
              </w:rPr>
              <w:t xml:space="preserve">Does your hospital’s privileging </w:t>
            </w:r>
            <w:r w:rsidR="001B3F7E" w:rsidRPr="009A5185">
              <w:rPr>
                <w:rFonts w:cs="Arial"/>
                <w:snapToGrid w:val="0"/>
                <w:color w:val="000000"/>
              </w:rPr>
              <w:t>process</w:t>
            </w:r>
            <w:r w:rsidRPr="009A5185">
              <w:rPr>
                <w:rFonts w:cs="Arial"/>
                <w:snapToGrid w:val="0"/>
                <w:color w:val="000000"/>
              </w:rPr>
              <w:t xml:space="preserve"> include the surgeon </w:t>
            </w:r>
            <w:r w:rsidR="009F5DD9" w:rsidRPr="009A5185">
              <w:rPr>
                <w:rFonts w:cs="Arial"/>
                <w:snapToGrid w:val="0"/>
                <w:color w:val="000000"/>
              </w:rPr>
              <w:t xml:space="preserve">meeting or exceeding the minimum </w:t>
            </w:r>
            <w:r w:rsidR="00DC5655">
              <w:rPr>
                <w:rFonts w:cs="Arial"/>
                <w:snapToGrid w:val="0"/>
                <w:color w:val="000000"/>
              </w:rPr>
              <w:t xml:space="preserve">annual </w:t>
            </w:r>
            <w:r w:rsidR="009F5DD9" w:rsidRPr="009A5185">
              <w:rPr>
                <w:rFonts w:cs="Arial"/>
                <w:snapToGrid w:val="0"/>
                <w:color w:val="000000"/>
              </w:rPr>
              <w:t xml:space="preserve">surgeon </w:t>
            </w:r>
            <w:r w:rsidRPr="009A5185">
              <w:rPr>
                <w:rFonts w:cs="Arial"/>
                <w:snapToGrid w:val="0"/>
                <w:color w:val="000000"/>
              </w:rPr>
              <w:t>volume standard listed below</w:t>
            </w:r>
            <w:r w:rsidR="009F5DD9" w:rsidRPr="009A5185">
              <w:rPr>
                <w:rFonts w:cs="Arial"/>
                <w:snapToGrid w:val="0"/>
                <w:color w:val="000000"/>
              </w:rPr>
              <w:t>?</w:t>
            </w:r>
          </w:p>
        </w:tc>
      </w:tr>
      <w:tr w:rsidR="004B5463" w:rsidRPr="009A5185" w14:paraId="64C04AE6" w14:textId="77777777" w:rsidTr="000F3D1F">
        <w:trPr>
          <w:trHeight w:val="458"/>
        </w:trPr>
        <w:tc>
          <w:tcPr>
            <w:tcW w:w="3420" w:type="dxa"/>
            <w:vAlign w:val="center"/>
          </w:tcPr>
          <w:p w14:paraId="4A67CA89" w14:textId="77777777" w:rsidR="004B5463" w:rsidRPr="009A5185" w:rsidRDefault="004B5463" w:rsidP="000B1607">
            <w:pPr>
              <w:pStyle w:val="Header"/>
              <w:tabs>
                <w:tab w:val="clear" w:pos="4320"/>
                <w:tab w:val="clear" w:pos="8640"/>
              </w:tabs>
              <w:rPr>
                <w:rFonts w:cs="Arial"/>
                <w:i/>
                <w:snapToGrid w:val="0"/>
                <w:color w:val="000000"/>
              </w:rPr>
            </w:pPr>
            <w:r w:rsidRPr="009A5185">
              <w:rPr>
                <w:rFonts w:cs="Arial"/>
                <w:i/>
                <w:snapToGrid w:val="0"/>
                <w:color w:val="000000"/>
              </w:rPr>
              <w:t>Procedure</w:t>
            </w:r>
          </w:p>
        </w:tc>
        <w:tc>
          <w:tcPr>
            <w:tcW w:w="3690" w:type="dxa"/>
            <w:vAlign w:val="center"/>
          </w:tcPr>
          <w:p w14:paraId="0AD1B9A6" w14:textId="4D16FC22" w:rsidR="004B5463" w:rsidRPr="009A5185" w:rsidRDefault="006D4E56" w:rsidP="00C8246A">
            <w:pPr>
              <w:pStyle w:val="Header"/>
              <w:tabs>
                <w:tab w:val="clear" w:pos="4320"/>
                <w:tab w:val="clear" w:pos="8640"/>
              </w:tabs>
              <w:jc w:val="center"/>
              <w:rPr>
                <w:rFonts w:cs="Arial"/>
                <w:i/>
                <w:snapToGrid w:val="0"/>
                <w:color w:val="000000"/>
              </w:rPr>
            </w:pPr>
            <w:r>
              <w:rPr>
                <w:rFonts w:cs="Arial"/>
                <w:i/>
                <w:snapToGrid w:val="0"/>
                <w:color w:val="000000"/>
              </w:rPr>
              <w:t xml:space="preserve">Annual </w:t>
            </w:r>
            <w:r w:rsidR="004B5463" w:rsidRPr="009A5185">
              <w:rPr>
                <w:rFonts w:cs="Arial"/>
                <w:i/>
                <w:snapToGrid w:val="0"/>
                <w:color w:val="000000"/>
              </w:rPr>
              <w:t>Surgeon Volume Standard</w:t>
            </w:r>
          </w:p>
        </w:tc>
        <w:tc>
          <w:tcPr>
            <w:tcW w:w="2340" w:type="dxa"/>
            <w:vAlign w:val="center"/>
          </w:tcPr>
          <w:p w14:paraId="2ACBBA8C" w14:textId="77777777" w:rsidR="004B5463" w:rsidRPr="009A5185" w:rsidRDefault="004B5463" w:rsidP="000B1607">
            <w:pPr>
              <w:pStyle w:val="Header"/>
              <w:tabs>
                <w:tab w:val="clear" w:pos="4320"/>
                <w:tab w:val="clear" w:pos="8640"/>
              </w:tabs>
              <w:rPr>
                <w:rFonts w:cs="Arial"/>
                <w:snapToGrid w:val="0"/>
                <w:color w:val="000000"/>
              </w:rPr>
            </w:pPr>
          </w:p>
        </w:tc>
      </w:tr>
      <w:tr w:rsidR="004B5463" w:rsidRPr="009A5185" w14:paraId="75FB066B" w14:textId="77777777" w:rsidTr="000F3D1F">
        <w:tc>
          <w:tcPr>
            <w:tcW w:w="3420" w:type="dxa"/>
            <w:vAlign w:val="center"/>
          </w:tcPr>
          <w:p w14:paraId="400642AE" w14:textId="77777777" w:rsidR="004B5463" w:rsidRPr="009A5185" w:rsidRDefault="004B5463" w:rsidP="000B1607">
            <w:pPr>
              <w:pStyle w:val="Header"/>
              <w:tabs>
                <w:tab w:val="clear" w:pos="4320"/>
                <w:tab w:val="clear" w:pos="8640"/>
              </w:tabs>
              <w:rPr>
                <w:rFonts w:cs="Arial"/>
                <w:snapToGrid w:val="0"/>
                <w:color w:val="000000"/>
              </w:rPr>
            </w:pPr>
            <w:r w:rsidRPr="009A5185">
              <w:rPr>
                <w:rFonts w:cs="Arial"/>
                <w:snapToGrid w:val="0"/>
              </w:rPr>
              <w:t>Carotid endarterectomy</w:t>
            </w:r>
          </w:p>
        </w:tc>
        <w:tc>
          <w:tcPr>
            <w:tcW w:w="3690" w:type="dxa"/>
            <w:vAlign w:val="center"/>
          </w:tcPr>
          <w:p w14:paraId="4B38E0FB" w14:textId="77777777" w:rsidR="004B5463" w:rsidRPr="009A5185" w:rsidRDefault="004B5463" w:rsidP="000B1607">
            <w:pPr>
              <w:pStyle w:val="Header"/>
              <w:tabs>
                <w:tab w:val="clear" w:pos="4320"/>
                <w:tab w:val="clear" w:pos="8640"/>
              </w:tabs>
              <w:jc w:val="center"/>
              <w:rPr>
                <w:rFonts w:cs="Arial"/>
                <w:snapToGrid w:val="0"/>
                <w:color w:val="000000"/>
              </w:rPr>
            </w:pPr>
            <w:r w:rsidRPr="009A5185">
              <w:rPr>
                <w:rFonts w:cs="Arial"/>
                <w:i/>
                <w:snapToGrid w:val="0"/>
              </w:rPr>
              <w:t>10</w:t>
            </w:r>
          </w:p>
        </w:tc>
        <w:tc>
          <w:tcPr>
            <w:tcW w:w="2340" w:type="dxa"/>
            <w:vAlign w:val="center"/>
          </w:tcPr>
          <w:p w14:paraId="601BD9DE" w14:textId="77777777" w:rsidR="004B5463" w:rsidRPr="000F3D1F" w:rsidRDefault="004B5463" w:rsidP="00AD309C">
            <w:pPr>
              <w:pStyle w:val="ListParagraph"/>
              <w:numPr>
                <w:ilvl w:val="0"/>
                <w:numId w:val="237"/>
              </w:numPr>
              <w:rPr>
                <w:rFonts w:cs="Arial"/>
                <w:iCs/>
                <w:snapToGrid w:val="0"/>
              </w:rPr>
            </w:pPr>
            <w:r w:rsidRPr="000F3D1F">
              <w:rPr>
                <w:rFonts w:cs="Arial"/>
                <w:iCs/>
                <w:snapToGrid w:val="0"/>
              </w:rPr>
              <w:t>Yes</w:t>
            </w:r>
          </w:p>
          <w:p w14:paraId="435D866E" w14:textId="339393B5" w:rsidR="004B5463" w:rsidRPr="00D22736" w:rsidRDefault="004B5463" w:rsidP="00AD309C">
            <w:pPr>
              <w:pStyle w:val="ListParagraph"/>
              <w:numPr>
                <w:ilvl w:val="0"/>
                <w:numId w:val="237"/>
              </w:numPr>
              <w:rPr>
                <w:rFonts w:cs="Arial"/>
                <w:iCs/>
                <w:snapToGrid w:val="0"/>
                <w:color w:val="000000"/>
              </w:rPr>
            </w:pPr>
            <w:r w:rsidRPr="000F3D1F">
              <w:rPr>
                <w:rFonts w:cs="Arial"/>
                <w:iCs/>
                <w:snapToGrid w:val="0"/>
              </w:rPr>
              <w:t>No</w:t>
            </w:r>
          </w:p>
        </w:tc>
      </w:tr>
      <w:tr w:rsidR="004B5463" w:rsidRPr="009A5185" w14:paraId="5467F3E9" w14:textId="77777777" w:rsidTr="000F3D1F">
        <w:tc>
          <w:tcPr>
            <w:tcW w:w="3420" w:type="dxa"/>
            <w:vAlign w:val="center"/>
          </w:tcPr>
          <w:p w14:paraId="3A323C9E" w14:textId="77777777" w:rsidR="004B5463" w:rsidRPr="009A5185" w:rsidRDefault="004B5463" w:rsidP="000B1607">
            <w:pPr>
              <w:pStyle w:val="Header"/>
              <w:tabs>
                <w:tab w:val="clear" w:pos="4320"/>
                <w:tab w:val="clear" w:pos="8640"/>
              </w:tabs>
              <w:rPr>
                <w:rFonts w:cs="Arial"/>
                <w:snapToGrid w:val="0"/>
                <w:color w:val="000000"/>
              </w:rPr>
            </w:pPr>
            <w:r w:rsidRPr="009A5185">
              <w:rPr>
                <w:rFonts w:cs="Arial"/>
                <w:snapToGrid w:val="0"/>
              </w:rPr>
              <w:t>Mitral valve repair and replacement</w:t>
            </w:r>
          </w:p>
        </w:tc>
        <w:tc>
          <w:tcPr>
            <w:tcW w:w="3690" w:type="dxa"/>
            <w:vAlign w:val="center"/>
          </w:tcPr>
          <w:p w14:paraId="344C5C14" w14:textId="77777777" w:rsidR="004B5463" w:rsidRPr="009A5185" w:rsidRDefault="004B5463" w:rsidP="000B1607">
            <w:pPr>
              <w:pStyle w:val="Header"/>
              <w:tabs>
                <w:tab w:val="clear" w:pos="4320"/>
                <w:tab w:val="clear" w:pos="8640"/>
              </w:tabs>
              <w:jc w:val="center"/>
              <w:rPr>
                <w:rFonts w:cs="Arial"/>
                <w:snapToGrid w:val="0"/>
                <w:color w:val="000000"/>
              </w:rPr>
            </w:pPr>
            <w:r w:rsidRPr="009A5185">
              <w:rPr>
                <w:rFonts w:cs="Arial"/>
                <w:i/>
                <w:snapToGrid w:val="0"/>
              </w:rPr>
              <w:t>20</w:t>
            </w:r>
          </w:p>
        </w:tc>
        <w:tc>
          <w:tcPr>
            <w:tcW w:w="2340" w:type="dxa"/>
            <w:vAlign w:val="center"/>
          </w:tcPr>
          <w:p w14:paraId="70754D92" w14:textId="77777777" w:rsidR="004B5463" w:rsidRPr="000F3D1F" w:rsidRDefault="004B5463" w:rsidP="00AD309C">
            <w:pPr>
              <w:pStyle w:val="ListParagraph"/>
              <w:numPr>
                <w:ilvl w:val="0"/>
                <w:numId w:val="237"/>
              </w:numPr>
              <w:rPr>
                <w:rFonts w:cs="Arial"/>
                <w:iCs/>
                <w:snapToGrid w:val="0"/>
              </w:rPr>
            </w:pPr>
            <w:r w:rsidRPr="000F3D1F">
              <w:rPr>
                <w:rFonts w:cs="Arial"/>
                <w:iCs/>
                <w:snapToGrid w:val="0"/>
              </w:rPr>
              <w:t>Yes</w:t>
            </w:r>
          </w:p>
          <w:p w14:paraId="79267BCA" w14:textId="2FDC5AC9" w:rsidR="004B5463" w:rsidRPr="00D22736" w:rsidRDefault="004B5463" w:rsidP="00AD309C">
            <w:pPr>
              <w:pStyle w:val="ListParagraph"/>
              <w:numPr>
                <w:ilvl w:val="0"/>
                <w:numId w:val="237"/>
              </w:numPr>
              <w:rPr>
                <w:rFonts w:cs="Arial"/>
                <w:iCs/>
                <w:snapToGrid w:val="0"/>
                <w:color w:val="000000"/>
              </w:rPr>
            </w:pPr>
            <w:r w:rsidRPr="000F3D1F">
              <w:rPr>
                <w:rFonts w:cs="Arial"/>
                <w:iCs/>
                <w:snapToGrid w:val="0"/>
              </w:rPr>
              <w:t>No</w:t>
            </w:r>
          </w:p>
        </w:tc>
      </w:tr>
      <w:tr w:rsidR="004B5463" w:rsidRPr="009A5185" w14:paraId="37B38F51" w14:textId="77777777" w:rsidTr="000F3D1F">
        <w:tc>
          <w:tcPr>
            <w:tcW w:w="3420" w:type="dxa"/>
            <w:vAlign w:val="center"/>
          </w:tcPr>
          <w:p w14:paraId="3305117B" w14:textId="77777777" w:rsidR="004B5463" w:rsidRPr="009A5185" w:rsidRDefault="004B5463" w:rsidP="000B1607">
            <w:pPr>
              <w:pStyle w:val="Header"/>
              <w:tabs>
                <w:tab w:val="clear" w:pos="4320"/>
                <w:tab w:val="clear" w:pos="8640"/>
              </w:tabs>
              <w:rPr>
                <w:rFonts w:cs="Arial"/>
                <w:snapToGrid w:val="0"/>
                <w:color w:val="000000"/>
              </w:rPr>
            </w:pPr>
            <w:r w:rsidRPr="009A5185">
              <w:rPr>
                <w:rFonts w:cs="Arial"/>
                <w:snapToGrid w:val="0"/>
              </w:rPr>
              <w:t xml:space="preserve">Open aortic </w:t>
            </w:r>
            <w:r w:rsidR="0064175E">
              <w:rPr>
                <w:rFonts w:cs="Arial"/>
                <w:snapToGrid w:val="0"/>
              </w:rPr>
              <w:t>procedures</w:t>
            </w:r>
          </w:p>
        </w:tc>
        <w:tc>
          <w:tcPr>
            <w:tcW w:w="3690" w:type="dxa"/>
            <w:vAlign w:val="center"/>
          </w:tcPr>
          <w:p w14:paraId="647C5B5F" w14:textId="77777777" w:rsidR="004B5463" w:rsidRPr="009A5185" w:rsidRDefault="0064175E" w:rsidP="000B1607">
            <w:pPr>
              <w:pStyle w:val="Header"/>
              <w:tabs>
                <w:tab w:val="clear" w:pos="4320"/>
                <w:tab w:val="clear" w:pos="8640"/>
              </w:tabs>
              <w:jc w:val="center"/>
              <w:rPr>
                <w:rFonts w:cs="Arial"/>
                <w:snapToGrid w:val="0"/>
                <w:color w:val="000000"/>
              </w:rPr>
            </w:pPr>
            <w:r>
              <w:rPr>
                <w:rFonts w:cs="Arial"/>
                <w:i/>
                <w:snapToGrid w:val="0"/>
              </w:rPr>
              <w:t>7</w:t>
            </w:r>
          </w:p>
        </w:tc>
        <w:tc>
          <w:tcPr>
            <w:tcW w:w="2340" w:type="dxa"/>
            <w:vAlign w:val="center"/>
          </w:tcPr>
          <w:p w14:paraId="11CA347D" w14:textId="77777777" w:rsidR="004B5463" w:rsidRPr="000F3D1F" w:rsidRDefault="004B5463" w:rsidP="00AD309C">
            <w:pPr>
              <w:pStyle w:val="ListParagraph"/>
              <w:numPr>
                <w:ilvl w:val="0"/>
                <w:numId w:val="237"/>
              </w:numPr>
              <w:rPr>
                <w:rFonts w:cs="Arial"/>
                <w:iCs/>
                <w:snapToGrid w:val="0"/>
              </w:rPr>
            </w:pPr>
            <w:r w:rsidRPr="000F3D1F">
              <w:rPr>
                <w:rFonts w:cs="Arial"/>
                <w:iCs/>
                <w:snapToGrid w:val="0"/>
              </w:rPr>
              <w:t>Yes</w:t>
            </w:r>
          </w:p>
          <w:p w14:paraId="2ED4E074" w14:textId="5ED516E6" w:rsidR="004B5463" w:rsidRPr="00D22736" w:rsidRDefault="004B5463" w:rsidP="00AD309C">
            <w:pPr>
              <w:pStyle w:val="ListParagraph"/>
              <w:numPr>
                <w:ilvl w:val="0"/>
                <w:numId w:val="237"/>
              </w:numPr>
              <w:rPr>
                <w:rFonts w:cs="Arial"/>
                <w:iCs/>
                <w:snapToGrid w:val="0"/>
                <w:color w:val="000000"/>
              </w:rPr>
            </w:pPr>
            <w:r w:rsidRPr="000F3D1F">
              <w:rPr>
                <w:rFonts w:cs="Arial"/>
                <w:iCs/>
                <w:snapToGrid w:val="0"/>
              </w:rPr>
              <w:t>No</w:t>
            </w:r>
          </w:p>
        </w:tc>
      </w:tr>
      <w:tr w:rsidR="004B5463" w:rsidRPr="009A5185" w14:paraId="57CD59A8" w14:textId="77777777" w:rsidTr="000F3D1F">
        <w:tc>
          <w:tcPr>
            <w:tcW w:w="3420" w:type="dxa"/>
            <w:vAlign w:val="center"/>
          </w:tcPr>
          <w:p w14:paraId="7E8DF3B5" w14:textId="17916850" w:rsidR="00556D6D" w:rsidRPr="00556D6D" w:rsidRDefault="004B5463" w:rsidP="000B1607">
            <w:pPr>
              <w:pStyle w:val="Header"/>
              <w:tabs>
                <w:tab w:val="clear" w:pos="4320"/>
                <w:tab w:val="clear" w:pos="8640"/>
              </w:tabs>
              <w:rPr>
                <w:rFonts w:cs="Arial"/>
                <w:snapToGrid w:val="0"/>
              </w:rPr>
            </w:pPr>
            <w:r w:rsidRPr="009A5185">
              <w:rPr>
                <w:rFonts w:cs="Arial"/>
                <w:snapToGrid w:val="0"/>
              </w:rPr>
              <w:t>Lung resection</w:t>
            </w:r>
            <w:r w:rsidR="001B3F7E" w:rsidRPr="009A5185">
              <w:rPr>
                <w:rFonts w:cs="Arial"/>
                <w:snapToGrid w:val="0"/>
              </w:rPr>
              <w:t xml:space="preserve"> for cancer</w:t>
            </w:r>
          </w:p>
        </w:tc>
        <w:tc>
          <w:tcPr>
            <w:tcW w:w="3690" w:type="dxa"/>
            <w:vAlign w:val="center"/>
          </w:tcPr>
          <w:p w14:paraId="26CB6C6E" w14:textId="074B7664" w:rsidR="004B5463" w:rsidRPr="009A5185" w:rsidRDefault="004B5463" w:rsidP="000B1607">
            <w:pPr>
              <w:pStyle w:val="Header"/>
              <w:tabs>
                <w:tab w:val="clear" w:pos="4320"/>
                <w:tab w:val="clear" w:pos="8640"/>
              </w:tabs>
              <w:jc w:val="center"/>
              <w:rPr>
                <w:rFonts w:cs="Arial"/>
                <w:snapToGrid w:val="0"/>
                <w:color w:val="000000"/>
              </w:rPr>
            </w:pPr>
            <w:r w:rsidRPr="009A5185">
              <w:rPr>
                <w:rFonts w:cs="Arial"/>
                <w:i/>
                <w:snapToGrid w:val="0"/>
              </w:rPr>
              <w:t>15</w:t>
            </w:r>
          </w:p>
        </w:tc>
        <w:tc>
          <w:tcPr>
            <w:tcW w:w="2340" w:type="dxa"/>
            <w:vAlign w:val="center"/>
          </w:tcPr>
          <w:p w14:paraId="650B6D3C" w14:textId="0E7C6BF6" w:rsidR="004B5463" w:rsidRPr="000F3D1F" w:rsidRDefault="004B5463" w:rsidP="00AD309C">
            <w:pPr>
              <w:pStyle w:val="ListParagraph"/>
              <w:numPr>
                <w:ilvl w:val="0"/>
                <w:numId w:val="237"/>
              </w:numPr>
              <w:rPr>
                <w:rFonts w:cs="Arial"/>
                <w:iCs/>
                <w:snapToGrid w:val="0"/>
              </w:rPr>
            </w:pPr>
            <w:r w:rsidRPr="000F3D1F">
              <w:rPr>
                <w:rFonts w:cs="Arial"/>
                <w:iCs/>
                <w:snapToGrid w:val="0"/>
              </w:rPr>
              <w:t>Yes</w:t>
            </w:r>
          </w:p>
          <w:p w14:paraId="49478530" w14:textId="4BAC374C" w:rsidR="00556D6D" w:rsidRPr="000F3D1F" w:rsidRDefault="004B5463" w:rsidP="00AD309C">
            <w:pPr>
              <w:pStyle w:val="ListParagraph"/>
              <w:numPr>
                <w:ilvl w:val="0"/>
                <w:numId w:val="237"/>
              </w:numPr>
              <w:rPr>
                <w:rFonts w:cs="Arial"/>
                <w:iCs/>
                <w:snapToGrid w:val="0"/>
              </w:rPr>
            </w:pPr>
            <w:r w:rsidRPr="000F3D1F">
              <w:rPr>
                <w:rFonts w:cs="Arial"/>
                <w:iCs/>
                <w:snapToGrid w:val="0"/>
              </w:rPr>
              <w:t>No</w:t>
            </w:r>
          </w:p>
        </w:tc>
      </w:tr>
      <w:tr w:rsidR="004B5463" w:rsidRPr="009A5185" w14:paraId="20D60241" w14:textId="77777777" w:rsidTr="000F3D1F">
        <w:tc>
          <w:tcPr>
            <w:tcW w:w="3420" w:type="dxa"/>
            <w:vAlign w:val="center"/>
          </w:tcPr>
          <w:p w14:paraId="7BF55CFE" w14:textId="2C1B942B" w:rsidR="00606EA3" w:rsidRPr="00606EA3" w:rsidRDefault="004B5463" w:rsidP="000B1607">
            <w:pPr>
              <w:pStyle w:val="Header"/>
              <w:tabs>
                <w:tab w:val="clear" w:pos="4320"/>
                <w:tab w:val="clear" w:pos="8640"/>
              </w:tabs>
              <w:rPr>
                <w:rFonts w:cs="Arial"/>
                <w:snapToGrid w:val="0"/>
              </w:rPr>
            </w:pPr>
            <w:r w:rsidRPr="009A5185">
              <w:rPr>
                <w:rFonts w:cs="Arial"/>
                <w:snapToGrid w:val="0"/>
              </w:rPr>
              <w:t>Esophageal resection</w:t>
            </w:r>
            <w:r w:rsidR="001B3F7E" w:rsidRPr="009A5185">
              <w:rPr>
                <w:rFonts w:cs="Arial"/>
                <w:snapToGrid w:val="0"/>
              </w:rPr>
              <w:t xml:space="preserve"> for cancer</w:t>
            </w:r>
          </w:p>
        </w:tc>
        <w:tc>
          <w:tcPr>
            <w:tcW w:w="3690" w:type="dxa"/>
            <w:vAlign w:val="center"/>
          </w:tcPr>
          <w:p w14:paraId="0EFD69BF" w14:textId="77777777" w:rsidR="004B5463" w:rsidRPr="009A5185" w:rsidRDefault="004B5463" w:rsidP="000B1607">
            <w:pPr>
              <w:pStyle w:val="Header"/>
              <w:tabs>
                <w:tab w:val="clear" w:pos="4320"/>
                <w:tab w:val="clear" w:pos="8640"/>
              </w:tabs>
              <w:jc w:val="center"/>
              <w:rPr>
                <w:rFonts w:cs="Arial"/>
                <w:snapToGrid w:val="0"/>
                <w:color w:val="000000"/>
              </w:rPr>
            </w:pPr>
            <w:r w:rsidRPr="009A5185">
              <w:rPr>
                <w:rFonts w:cs="Arial"/>
                <w:i/>
                <w:snapToGrid w:val="0"/>
              </w:rPr>
              <w:t>7</w:t>
            </w:r>
          </w:p>
        </w:tc>
        <w:tc>
          <w:tcPr>
            <w:tcW w:w="2340" w:type="dxa"/>
            <w:vAlign w:val="center"/>
          </w:tcPr>
          <w:p w14:paraId="2ACE8666" w14:textId="77777777" w:rsidR="004B5463" w:rsidRPr="000F3D1F" w:rsidRDefault="004B5463" w:rsidP="00AD309C">
            <w:pPr>
              <w:pStyle w:val="ListParagraph"/>
              <w:numPr>
                <w:ilvl w:val="0"/>
                <w:numId w:val="237"/>
              </w:numPr>
              <w:rPr>
                <w:rFonts w:cs="Arial"/>
                <w:iCs/>
                <w:snapToGrid w:val="0"/>
              </w:rPr>
            </w:pPr>
            <w:r w:rsidRPr="000F3D1F">
              <w:rPr>
                <w:rFonts w:cs="Arial"/>
                <w:iCs/>
                <w:snapToGrid w:val="0"/>
              </w:rPr>
              <w:t>Yes</w:t>
            </w:r>
          </w:p>
          <w:p w14:paraId="30AE112F" w14:textId="2E7D69A1" w:rsidR="004B5463" w:rsidRPr="00D22736" w:rsidRDefault="004B5463" w:rsidP="00AD309C">
            <w:pPr>
              <w:pStyle w:val="ListParagraph"/>
              <w:numPr>
                <w:ilvl w:val="0"/>
                <w:numId w:val="237"/>
              </w:numPr>
              <w:rPr>
                <w:rFonts w:cs="Arial"/>
                <w:iCs/>
                <w:snapToGrid w:val="0"/>
                <w:color w:val="000000"/>
              </w:rPr>
            </w:pPr>
            <w:r w:rsidRPr="000F3D1F">
              <w:rPr>
                <w:rFonts w:cs="Arial"/>
                <w:iCs/>
                <w:snapToGrid w:val="0"/>
              </w:rPr>
              <w:t>No</w:t>
            </w:r>
          </w:p>
        </w:tc>
      </w:tr>
      <w:tr w:rsidR="004B5463" w:rsidRPr="009A5185" w14:paraId="19EA07D1" w14:textId="77777777" w:rsidTr="000F3D1F">
        <w:tc>
          <w:tcPr>
            <w:tcW w:w="3420" w:type="dxa"/>
            <w:vAlign w:val="center"/>
          </w:tcPr>
          <w:p w14:paraId="4D214AB5" w14:textId="77777777" w:rsidR="004B5463" w:rsidRPr="009A5185" w:rsidRDefault="004B5463" w:rsidP="000B1607">
            <w:pPr>
              <w:pStyle w:val="Header"/>
              <w:tabs>
                <w:tab w:val="clear" w:pos="4320"/>
                <w:tab w:val="clear" w:pos="8640"/>
              </w:tabs>
              <w:rPr>
                <w:rFonts w:cs="Arial"/>
                <w:snapToGrid w:val="0"/>
                <w:color w:val="000000"/>
              </w:rPr>
            </w:pPr>
            <w:r w:rsidRPr="009A5185">
              <w:rPr>
                <w:rFonts w:cs="Arial"/>
                <w:snapToGrid w:val="0"/>
              </w:rPr>
              <w:lastRenderedPageBreak/>
              <w:t>Pancreatic resection</w:t>
            </w:r>
            <w:r w:rsidR="001B3F7E" w:rsidRPr="009A5185">
              <w:rPr>
                <w:rFonts w:cs="Arial"/>
                <w:snapToGrid w:val="0"/>
              </w:rPr>
              <w:t xml:space="preserve"> for cancer</w:t>
            </w:r>
          </w:p>
        </w:tc>
        <w:tc>
          <w:tcPr>
            <w:tcW w:w="3690" w:type="dxa"/>
            <w:vAlign w:val="center"/>
          </w:tcPr>
          <w:p w14:paraId="113BEC74" w14:textId="77777777" w:rsidR="004B5463" w:rsidRPr="009A5185" w:rsidRDefault="004B5463" w:rsidP="000B1607">
            <w:pPr>
              <w:pStyle w:val="Header"/>
              <w:tabs>
                <w:tab w:val="clear" w:pos="4320"/>
                <w:tab w:val="clear" w:pos="8640"/>
              </w:tabs>
              <w:jc w:val="center"/>
              <w:rPr>
                <w:rFonts w:cs="Arial"/>
                <w:snapToGrid w:val="0"/>
                <w:color w:val="000000"/>
              </w:rPr>
            </w:pPr>
            <w:r w:rsidRPr="009A5185">
              <w:rPr>
                <w:rFonts w:cs="Arial"/>
                <w:i/>
                <w:snapToGrid w:val="0"/>
              </w:rPr>
              <w:t>10</w:t>
            </w:r>
          </w:p>
        </w:tc>
        <w:tc>
          <w:tcPr>
            <w:tcW w:w="2340" w:type="dxa"/>
            <w:vAlign w:val="center"/>
          </w:tcPr>
          <w:p w14:paraId="42EAEACB" w14:textId="77777777" w:rsidR="004B5463" w:rsidRPr="000F3D1F" w:rsidRDefault="004B5463" w:rsidP="00AD309C">
            <w:pPr>
              <w:pStyle w:val="ListParagraph"/>
              <w:numPr>
                <w:ilvl w:val="0"/>
                <w:numId w:val="237"/>
              </w:numPr>
              <w:rPr>
                <w:rFonts w:cs="Arial"/>
                <w:iCs/>
                <w:snapToGrid w:val="0"/>
              </w:rPr>
            </w:pPr>
            <w:r w:rsidRPr="000F3D1F">
              <w:rPr>
                <w:rFonts w:cs="Arial"/>
                <w:iCs/>
                <w:snapToGrid w:val="0"/>
              </w:rPr>
              <w:t>Yes</w:t>
            </w:r>
          </w:p>
          <w:p w14:paraId="7441C330" w14:textId="30E0788C" w:rsidR="004B5463" w:rsidRPr="00D22736" w:rsidRDefault="004B5463" w:rsidP="00AD309C">
            <w:pPr>
              <w:pStyle w:val="ListParagraph"/>
              <w:numPr>
                <w:ilvl w:val="0"/>
                <w:numId w:val="237"/>
              </w:numPr>
              <w:rPr>
                <w:rFonts w:cs="Arial"/>
                <w:iCs/>
                <w:snapToGrid w:val="0"/>
                <w:color w:val="000000"/>
              </w:rPr>
            </w:pPr>
            <w:r w:rsidRPr="000F3D1F">
              <w:rPr>
                <w:rFonts w:cs="Arial"/>
                <w:iCs/>
                <w:snapToGrid w:val="0"/>
              </w:rPr>
              <w:t>No</w:t>
            </w:r>
          </w:p>
        </w:tc>
      </w:tr>
      <w:tr w:rsidR="004B5463" w:rsidRPr="009A5185" w14:paraId="3E02DEA3" w14:textId="77777777" w:rsidTr="000F3D1F">
        <w:trPr>
          <w:trHeight w:val="557"/>
        </w:trPr>
        <w:tc>
          <w:tcPr>
            <w:tcW w:w="3420" w:type="dxa"/>
            <w:vAlign w:val="center"/>
          </w:tcPr>
          <w:p w14:paraId="423AAEAC" w14:textId="7270E1C6" w:rsidR="00C7333E" w:rsidRPr="00C7333E" w:rsidRDefault="004B5463" w:rsidP="000B1607">
            <w:pPr>
              <w:pStyle w:val="Header"/>
              <w:tabs>
                <w:tab w:val="clear" w:pos="4320"/>
                <w:tab w:val="clear" w:pos="8640"/>
              </w:tabs>
              <w:rPr>
                <w:rFonts w:cs="Arial"/>
                <w:snapToGrid w:val="0"/>
              </w:rPr>
            </w:pPr>
            <w:r w:rsidRPr="009A5185">
              <w:rPr>
                <w:rFonts w:cs="Arial"/>
                <w:snapToGrid w:val="0"/>
              </w:rPr>
              <w:t>Rectal cancer surgery</w:t>
            </w:r>
          </w:p>
        </w:tc>
        <w:tc>
          <w:tcPr>
            <w:tcW w:w="3690" w:type="dxa"/>
            <w:vAlign w:val="center"/>
          </w:tcPr>
          <w:p w14:paraId="604BDCD7" w14:textId="77777777" w:rsidR="004B5463" w:rsidRPr="009A5185" w:rsidRDefault="004B5463" w:rsidP="000B1607">
            <w:pPr>
              <w:pStyle w:val="Header"/>
              <w:tabs>
                <w:tab w:val="clear" w:pos="4320"/>
                <w:tab w:val="clear" w:pos="8640"/>
              </w:tabs>
              <w:jc w:val="center"/>
              <w:rPr>
                <w:rFonts w:cs="Arial"/>
                <w:snapToGrid w:val="0"/>
                <w:color w:val="000000"/>
              </w:rPr>
            </w:pPr>
            <w:r w:rsidRPr="009A5185">
              <w:rPr>
                <w:rFonts w:cs="Arial"/>
                <w:i/>
                <w:snapToGrid w:val="0"/>
              </w:rPr>
              <w:t>6</w:t>
            </w:r>
          </w:p>
        </w:tc>
        <w:tc>
          <w:tcPr>
            <w:tcW w:w="2340" w:type="dxa"/>
            <w:vAlign w:val="center"/>
          </w:tcPr>
          <w:p w14:paraId="59641492" w14:textId="77777777" w:rsidR="004B5463" w:rsidRPr="00D22736" w:rsidRDefault="004B5463" w:rsidP="00AD309C">
            <w:pPr>
              <w:pStyle w:val="ListParagraph"/>
              <w:numPr>
                <w:ilvl w:val="0"/>
                <w:numId w:val="238"/>
              </w:numPr>
              <w:rPr>
                <w:rFonts w:cs="Arial"/>
                <w:iCs/>
                <w:snapToGrid w:val="0"/>
              </w:rPr>
            </w:pPr>
            <w:r w:rsidRPr="00D22736">
              <w:rPr>
                <w:rFonts w:cs="Arial"/>
                <w:iCs/>
                <w:snapToGrid w:val="0"/>
              </w:rPr>
              <w:t>Yes</w:t>
            </w:r>
          </w:p>
          <w:p w14:paraId="207184DD" w14:textId="19BD6F42" w:rsidR="00C7333E" w:rsidRPr="00D22736" w:rsidRDefault="004B5463" w:rsidP="00AD309C">
            <w:pPr>
              <w:pStyle w:val="ListParagraph"/>
              <w:numPr>
                <w:ilvl w:val="0"/>
                <w:numId w:val="238"/>
              </w:numPr>
              <w:rPr>
                <w:rFonts w:cs="Arial"/>
                <w:iCs/>
                <w:snapToGrid w:val="0"/>
              </w:rPr>
            </w:pPr>
            <w:r w:rsidRPr="00D22736">
              <w:rPr>
                <w:rFonts w:cs="Arial"/>
                <w:iCs/>
                <w:snapToGrid w:val="0"/>
              </w:rPr>
              <w:t>No</w:t>
            </w:r>
          </w:p>
        </w:tc>
      </w:tr>
      <w:tr w:rsidR="004B5463" w:rsidRPr="009A5185" w14:paraId="3BFEFB92" w14:textId="77777777" w:rsidTr="000F3D1F">
        <w:tc>
          <w:tcPr>
            <w:tcW w:w="3420" w:type="dxa"/>
            <w:vAlign w:val="center"/>
          </w:tcPr>
          <w:p w14:paraId="0F23F094" w14:textId="77777777" w:rsidR="004B5463" w:rsidRPr="009A5185" w:rsidRDefault="004B5463" w:rsidP="000B1607">
            <w:pPr>
              <w:pStyle w:val="Header"/>
              <w:tabs>
                <w:tab w:val="clear" w:pos="4320"/>
                <w:tab w:val="clear" w:pos="8640"/>
              </w:tabs>
              <w:rPr>
                <w:rFonts w:cs="Arial"/>
                <w:snapToGrid w:val="0"/>
                <w:color w:val="000000"/>
              </w:rPr>
            </w:pPr>
            <w:r w:rsidRPr="009A5185">
              <w:rPr>
                <w:rFonts w:cs="Arial"/>
                <w:snapToGrid w:val="0"/>
              </w:rPr>
              <w:t>Bariatric surgery for weight loss</w:t>
            </w:r>
          </w:p>
        </w:tc>
        <w:tc>
          <w:tcPr>
            <w:tcW w:w="3690" w:type="dxa"/>
            <w:vAlign w:val="center"/>
          </w:tcPr>
          <w:p w14:paraId="70D11DAD" w14:textId="77777777" w:rsidR="004B5463" w:rsidRPr="009A5185" w:rsidRDefault="004B5463" w:rsidP="000B1607">
            <w:pPr>
              <w:pStyle w:val="Header"/>
              <w:tabs>
                <w:tab w:val="clear" w:pos="4320"/>
                <w:tab w:val="clear" w:pos="8640"/>
              </w:tabs>
              <w:jc w:val="center"/>
              <w:rPr>
                <w:rFonts w:cs="Arial"/>
                <w:snapToGrid w:val="0"/>
                <w:color w:val="000000"/>
              </w:rPr>
            </w:pPr>
            <w:r w:rsidRPr="009A5185">
              <w:rPr>
                <w:rFonts w:cs="Arial"/>
                <w:i/>
                <w:snapToGrid w:val="0"/>
              </w:rPr>
              <w:t>20</w:t>
            </w:r>
          </w:p>
        </w:tc>
        <w:tc>
          <w:tcPr>
            <w:tcW w:w="2340" w:type="dxa"/>
            <w:vAlign w:val="center"/>
          </w:tcPr>
          <w:p w14:paraId="216C73BB" w14:textId="77777777" w:rsidR="004B5463" w:rsidRPr="00D22736" w:rsidRDefault="004B5463" w:rsidP="00AD309C">
            <w:pPr>
              <w:pStyle w:val="ListParagraph"/>
              <w:numPr>
                <w:ilvl w:val="0"/>
                <w:numId w:val="238"/>
              </w:numPr>
              <w:rPr>
                <w:rFonts w:cs="Arial"/>
                <w:iCs/>
                <w:snapToGrid w:val="0"/>
              </w:rPr>
            </w:pPr>
            <w:r w:rsidRPr="00D22736">
              <w:rPr>
                <w:rFonts w:cs="Arial"/>
                <w:iCs/>
                <w:snapToGrid w:val="0"/>
              </w:rPr>
              <w:t>Yes</w:t>
            </w:r>
          </w:p>
          <w:p w14:paraId="21510379" w14:textId="05B1F2F4" w:rsidR="004B5463" w:rsidRPr="00D22736" w:rsidRDefault="004B5463" w:rsidP="00AD309C">
            <w:pPr>
              <w:pStyle w:val="ListParagraph"/>
              <w:numPr>
                <w:ilvl w:val="0"/>
                <w:numId w:val="238"/>
              </w:numPr>
              <w:rPr>
                <w:rFonts w:cs="Arial"/>
                <w:iCs/>
                <w:snapToGrid w:val="0"/>
              </w:rPr>
            </w:pPr>
            <w:r w:rsidRPr="00D22736">
              <w:rPr>
                <w:rFonts w:cs="Arial"/>
                <w:iCs/>
                <w:snapToGrid w:val="0"/>
              </w:rPr>
              <w:t>No</w:t>
            </w:r>
          </w:p>
        </w:tc>
      </w:tr>
      <w:tr w:rsidR="002668B5" w:rsidRPr="009A5185" w14:paraId="220C6407" w14:textId="77777777" w:rsidTr="000F3D1F">
        <w:tc>
          <w:tcPr>
            <w:tcW w:w="3420" w:type="dxa"/>
            <w:vAlign w:val="center"/>
          </w:tcPr>
          <w:p w14:paraId="1A8A42D4" w14:textId="77777777" w:rsidR="002668B5" w:rsidRPr="009A5185" w:rsidRDefault="002668B5" w:rsidP="000B1607">
            <w:pPr>
              <w:pStyle w:val="Header"/>
              <w:tabs>
                <w:tab w:val="clear" w:pos="4320"/>
                <w:tab w:val="clear" w:pos="8640"/>
              </w:tabs>
              <w:rPr>
                <w:rFonts w:cs="Arial"/>
                <w:snapToGrid w:val="0"/>
              </w:rPr>
            </w:pPr>
            <w:r>
              <w:rPr>
                <w:rFonts w:cs="Arial"/>
                <w:snapToGrid w:val="0"/>
              </w:rPr>
              <w:t>Total knee replacement</w:t>
            </w:r>
          </w:p>
        </w:tc>
        <w:tc>
          <w:tcPr>
            <w:tcW w:w="3690" w:type="dxa"/>
            <w:vAlign w:val="center"/>
          </w:tcPr>
          <w:p w14:paraId="453276EA" w14:textId="77777777" w:rsidR="002668B5" w:rsidRPr="009A5185" w:rsidRDefault="002668B5" w:rsidP="000B1607">
            <w:pPr>
              <w:pStyle w:val="Header"/>
              <w:tabs>
                <w:tab w:val="clear" w:pos="4320"/>
                <w:tab w:val="clear" w:pos="8640"/>
              </w:tabs>
              <w:jc w:val="center"/>
              <w:rPr>
                <w:rFonts w:cs="Arial"/>
                <w:i/>
                <w:snapToGrid w:val="0"/>
              </w:rPr>
            </w:pPr>
            <w:r>
              <w:rPr>
                <w:rFonts w:cs="Arial"/>
                <w:i/>
                <w:snapToGrid w:val="0"/>
              </w:rPr>
              <w:t>25</w:t>
            </w:r>
          </w:p>
        </w:tc>
        <w:tc>
          <w:tcPr>
            <w:tcW w:w="2340" w:type="dxa"/>
            <w:vAlign w:val="center"/>
          </w:tcPr>
          <w:p w14:paraId="3C08B5D1" w14:textId="77777777" w:rsidR="002668B5" w:rsidRPr="00D22736" w:rsidRDefault="002668B5" w:rsidP="00AD309C">
            <w:pPr>
              <w:pStyle w:val="ListParagraph"/>
              <w:numPr>
                <w:ilvl w:val="0"/>
                <w:numId w:val="238"/>
              </w:numPr>
              <w:rPr>
                <w:rFonts w:cs="Arial"/>
                <w:iCs/>
                <w:snapToGrid w:val="0"/>
              </w:rPr>
            </w:pPr>
            <w:r w:rsidRPr="00D22736">
              <w:rPr>
                <w:rFonts w:cs="Arial"/>
                <w:iCs/>
                <w:snapToGrid w:val="0"/>
              </w:rPr>
              <w:t>Yes</w:t>
            </w:r>
          </w:p>
          <w:p w14:paraId="3533DF5B" w14:textId="77777777" w:rsidR="002668B5" w:rsidRPr="00D22736" w:rsidRDefault="002668B5" w:rsidP="00AD309C">
            <w:pPr>
              <w:pStyle w:val="ListParagraph"/>
              <w:numPr>
                <w:ilvl w:val="0"/>
                <w:numId w:val="238"/>
              </w:numPr>
              <w:rPr>
                <w:rFonts w:cs="Arial"/>
                <w:iCs/>
                <w:snapToGrid w:val="0"/>
              </w:rPr>
            </w:pPr>
            <w:r w:rsidRPr="00D22736">
              <w:rPr>
                <w:rFonts w:cs="Arial"/>
                <w:iCs/>
                <w:snapToGrid w:val="0"/>
              </w:rPr>
              <w:t>No</w:t>
            </w:r>
          </w:p>
        </w:tc>
      </w:tr>
      <w:tr w:rsidR="002668B5" w:rsidRPr="009A5185" w14:paraId="30960BBD" w14:textId="77777777" w:rsidTr="000F3D1F">
        <w:tc>
          <w:tcPr>
            <w:tcW w:w="3420" w:type="dxa"/>
            <w:vAlign w:val="center"/>
          </w:tcPr>
          <w:p w14:paraId="50661C56" w14:textId="77777777" w:rsidR="002668B5" w:rsidRDefault="002668B5" w:rsidP="000B1607">
            <w:pPr>
              <w:pStyle w:val="Header"/>
              <w:tabs>
                <w:tab w:val="clear" w:pos="4320"/>
                <w:tab w:val="clear" w:pos="8640"/>
              </w:tabs>
              <w:rPr>
                <w:rFonts w:cs="Arial"/>
                <w:snapToGrid w:val="0"/>
              </w:rPr>
            </w:pPr>
            <w:r>
              <w:rPr>
                <w:rFonts w:cs="Arial"/>
                <w:snapToGrid w:val="0"/>
              </w:rPr>
              <w:t>Total hip replacement</w:t>
            </w:r>
          </w:p>
        </w:tc>
        <w:tc>
          <w:tcPr>
            <w:tcW w:w="3690" w:type="dxa"/>
            <w:vAlign w:val="center"/>
          </w:tcPr>
          <w:p w14:paraId="7859E721" w14:textId="77777777" w:rsidR="002668B5" w:rsidRDefault="002668B5" w:rsidP="000B1607">
            <w:pPr>
              <w:pStyle w:val="Header"/>
              <w:tabs>
                <w:tab w:val="clear" w:pos="4320"/>
                <w:tab w:val="clear" w:pos="8640"/>
              </w:tabs>
              <w:jc w:val="center"/>
              <w:rPr>
                <w:rFonts w:cs="Arial"/>
                <w:i/>
                <w:snapToGrid w:val="0"/>
              </w:rPr>
            </w:pPr>
            <w:r>
              <w:rPr>
                <w:rFonts w:cs="Arial"/>
                <w:i/>
                <w:snapToGrid w:val="0"/>
              </w:rPr>
              <w:t>25</w:t>
            </w:r>
          </w:p>
        </w:tc>
        <w:tc>
          <w:tcPr>
            <w:tcW w:w="2340" w:type="dxa"/>
            <w:vAlign w:val="center"/>
          </w:tcPr>
          <w:p w14:paraId="2C04DFAA" w14:textId="77777777" w:rsidR="002668B5" w:rsidRPr="00D22736" w:rsidRDefault="002668B5" w:rsidP="00AD309C">
            <w:pPr>
              <w:pStyle w:val="ListParagraph"/>
              <w:numPr>
                <w:ilvl w:val="0"/>
                <w:numId w:val="238"/>
              </w:numPr>
              <w:rPr>
                <w:rFonts w:cs="Arial"/>
                <w:iCs/>
                <w:snapToGrid w:val="0"/>
              </w:rPr>
            </w:pPr>
            <w:r w:rsidRPr="00D22736">
              <w:rPr>
                <w:rFonts w:cs="Arial"/>
                <w:iCs/>
                <w:snapToGrid w:val="0"/>
              </w:rPr>
              <w:t>Yes</w:t>
            </w:r>
          </w:p>
          <w:p w14:paraId="52054E34" w14:textId="77777777" w:rsidR="002668B5" w:rsidRPr="00D22736" w:rsidRDefault="002668B5" w:rsidP="00AD309C">
            <w:pPr>
              <w:pStyle w:val="ListParagraph"/>
              <w:numPr>
                <w:ilvl w:val="0"/>
                <w:numId w:val="238"/>
              </w:numPr>
              <w:rPr>
                <w:rFonts w:cs="Arial"/>
                <w:iCs/>
                <w:snapToGrid w:val="0"/>
              </w:rPr>
            </w:pPr>
            <w:r w:rsidRPr="00D22736">
              <w:rPr>
                <w:rFonts w:cs="Arial"/>
                <w:iCs/>
                <w:snapToGrid w:val="0"/>
              </w:rPr>
              <w:t>No</w:t>
            </w:r>
          </w:p>
        </w:tc>
      </w:tr>
      <w:tr w:rsidR="002668B5" w:rsidRPr="009A5185" w14:paraId="151DBBE4" w14:textId="77777777" w:rsidTr="000F3D1F">
        <w:tc>
          <w:tcPr>
            <w:tcW w:w="3420" w:type="dxa"/>
            <w:vAlign w:val="center"/>
          </w:tcPr>
          <w:p w14:paraId="074D2C41" w14:textId="77777777" w:rsidR="002668B5" w:rsidRDefault="002668B5" w:rsidP="000B1607">
            <w:pPr>
              <w:pStyle w:val="Header"/>
              <w:tabs>
                <w:tab w:val="clear" w:pos="4320"/>
                <w:tab w:val="clear" w:pos="8640"/>
              </w:tabs>
              <w:rPr>
                <w:rFonts w:cs="Arial"/>
                <w:snapToGrid w:val="0"/>
              </w:rPr>
            </w:pPr>
            <w:r>
              <w:rPr>
                <w:rFonts w:cs="Arial"/>
                <w:snapToGrid w:val="0"/>
              </w:rPr>
              <w:t>Norwood procedure</w:t>
            </w:r>
          </w:p>
        </w:tc>
        <w:tc>
          <w:tcPr>
            <w:tcW w:w="3690" w:type="dxa"/>
            <w:vAlign w:val="center"/>
          </w:tcPr>
          <w:p w14:paraId="36A75DE1" w14:textId="77777777" w:rsidR="002668B5" w:rsidRDefault="002668B5" w:rsidP="000B1607">
            <w:pPr>
              <w:pStyle w:val="Header"/>
              <w:tabs>
                <w:tab w:val="clear" w:pos="4320"/>
                <w:tab w:val="clear" w:pos="8640"/>
              </w:tabs>
              <w:jc w:val="center"/>
              <w:rPr>
                <w:rFonts w:cs="Arial"/>
                <w:i/>
                <w:snapToGrid w:val="0"/>
              </w:rPr>
            </w:pPr>
            <w:r>
              <w:rPr>
                <w:rFonts w:cs="Arial"/>
                <w:i/>
                <w:snapToGrid w:val="0"/>
              </w:rPr>
              <w:t>5</w:t>
            </w:r>
          </w:p>
        </w:tc>
        <w:tc>
          <w:tcPr>
            <w:tcW w:w="2340" w:type="dxa"/>
            <w:vAlign w:val="center"/>
          </w:tcPr>
          <w:p w14:paraId="4DC95748" w14:textId="77777777" w:rsidR="002668B5" w:rsidRPr="00D22736" w:rsidRDefault="002668B5" w:rsidP="00AD309C">
            <w:pPr>
              <w:pStyle w:val="ListParagraph"/>
              <w:numPr>
                <w:ilvl w:val="0"/>
                <w:numId w:val="238"/>
              </w:numPr>
              <w:rPr>
                <w:rFonts w:cs="Arial"/>
                <w:iCs/>
                <w:snapToGrid w:val="0"/>
              </w:rPr>
            </w:pPr>
            <w:r w:rsidRPr="00D22736">
              <w:rPr>
                <w:rFonts w:cs="Arial"/>
                <w:iCs/>
                <w:snapToGrid w:val="0"/>
              </w:rPr>
              <w:t>Yes</w:t>
            </w:r>
          </w:p>
          <w:p w14:paraId="40263721" w14:textId="77777777" w:rsidR="002668B5" w:rsidRPr="00D22736" w:rsidRDefault="002668B5" w:rsidP="00AD309C">
            <w:pPr>
              <w:pStyle w:val="ListParagraph"/>
              <w:numPr>
                <w:ilvl w:val="0"/>
                <w:numId w:val="238"/>
              </w:numPr>
              <w:rPr>
                <w:rFonts w:cs="Arial"/>
                <w:iCs/>
                <w:snapToGrid w:val="0"/>
              </w:rPr>
            </w:pPr>
            <w:r w:rsidRPr="00D22736">
              <w:rPr>
                <w:rFonts w:cs="Arial"/>
                <w:iCs/>
                <w:snapToGrid w:val="0"/>
              </w:rPr>
              <w:t>No</w:t>
            </w:r>
          </w:p>
        </w:tc>
      </w:tr>
    </w:tbl>
    <w:p w14:paraId="48ACFFF9" w14:textId="77777777" w:rsidR="00085618" w:rsidRDefault="00085618" w:rsidP="00085618">
      <w:pPr>
        <w:rPr>
          <w:rFonts w:cs="Arial"/>
          <w:i/>
          <w:snapToGrid w:val="0"/>
          <w:color w:val="000000"/>
        </w:rPr>
      </w:pPr>
    </w:p>
    <w:p w14:paraId="29059CA4" w14:textId="3183B651" w:rsidR="005D2B76" w:rsidRDefault="005D2B76" w:rsidP="00085618">
      <w:pPr>
        <w:rPr>
          <w:rFonts w:cs="Arial"/>
          <w:i/>
          <w:snapToGrid w:val="0"/>
          <w:color w:val="000000"/>
        </w:rPr>
      </w:pPr>
      <w:r w:rsidRPr="005C487E">
        <w:rPr>
          <w:rFonts w:cs="Arial"/>
          <w:i/>
          <w:snapToGrid w:val="0"/>
          <w:color w:val="000000"/>
        </w:rPr>
        <w:t>If your hospital perform</w:t>
      </w:r>
      <w:r>
        <w:rPr>
          <w:rFonts w:cs="Arial"/>
          <w:i/>
          <w:snapToGrid w:val="0"/>
          <w:color w:val="000000"/>
        </w:rPr>
        <w:t>s</w:t>
      </w:r>
      <w:r w:rsidR="0022615A">
        <w:rPr>
          <w:rFonts w:cs="Arial"/>
          <w:i/>
          <w:snapToGrid w:val="0"/>
          <w:color w:val="000000"/>
        </w:rPr>
        <w:t xml:space="preserve"> mitral valve repair and r</w:t>
      </w:r>
      <w:r>
        <w:rPr>
          <w:rFonts w:cs="Arial"/>
          <w:i/>
          <w:snapToGrid w:val="0"/>
          <w:color w:val="000000"/>
        </w:rPr>
        <w:t>eplacement (selected the checkbox in question #2)</w:t>
      </w:r>
      <w:r w:rsidRPr="005C487E">
        <w:rPr>
          <w:rFonts w:cs="Arial"/>
          <w:i/>
          <w:snapToGrid w:val="0"/>
          <w:color w:val="000000"/>
        </w:rPr>
        <w:t xml:space="preserve">, </w:t>
      </w:r>
      <w:r w:rsidR="0022615A">
        <w:rPr>
          <w:rFonts w:cs="Arial"/>
          <w:i/>
          <w:snapToGrid w:val="0"/>
          <w:color w:val="000000"/>
        </w:rPr>
        <w:t>continue</w:t>
      </w:r>
      <w:r w:rsidRPr="005C487E">
        <w:rPr>
          <w:rFonts w:cs="Arial"/>
          <w:i/>
          <w:snapToGrid w:val="0"/>
          <w:color w:val="000000"/>
        </w:rPr>
        <w:t xml:space="preserve"> </w:t>
      </w:r>
      <w:r>
        <w:rPr>
          <w:rFonts w:cs="Arial"/>
          <w:i/>
          <w:snapToGrid w:val="0"/>
          <w:color w:val="000000"/>
        </w:rPr>
        <w:t xml:space="preserve">to </w:t>
      </w:r>
      <w:r w:rsidRPr="005C487E">
        <w:rPr>
          <w:rFonts w:cs="Arial"/>
          <w:i/>
          <w:snapToGrid w:val="0"/>
          <w:color w:val="000000"/>
        </w:rPr>
        <w:t>question</w:t>
      </w:r>
      <w:r>
        <w:rPr>
          <w:rFonts w:cs="Arial"/>
          <w:i/>
          <w:snapToGrid w:val="0"/>
          <w:color w:val="000000"/>
        </w:rPr>
        <w:t xml:space="preserve"> #</w:t>
      </w:r>
      <w:r w:rsidR="00C837E6">
        <w:rPr>
          <w:rFonts w:cs="Arial"/>
          <w:i/>
          <w:snapToGrid w:val="0"/>
          <w:color w:val="000000"/>
        </w:rPr>
        <w:t>6</w:t>
      </w:r>
      <w:r>
        <w:rPr>
          <w:rFonts w:cs="Arial"/>
          <w:i/>
          <w:snapToGrid w:val="0"/>
          <w:color w:val="000000"/>
        </w:rPr>
        <w:t xml:space="preserve">. Otherwise, skip questions </w:t>
      </w:r>
      <w:r w:rsidRPr="008837D6">
        <w:rPr>
          <w:rFonts w:cs="Arial"/>
          <w:i/>
          <w:snapToGrid w:val="0"/>
          <w:color w:val="000000"/>
        </w:rPr>
        <w:t>#</w:t>
      </w:r>
      <w:r w:rsidR="00C837E6">
        <w:rPr>
          <w:rFonts w:cs="Arial"/>
          <w:i/>
          <w:snapToGrid w:val="0"/>
          <w:color w:val="000000"/>
        </w:rPr>
        <w:t>6</w:t>
      </w:r>
      <w:r w:rsidR="008837D6">
        <w:rPr>
          <w:rFonts w:cs="Arial"/>
          <w:i/>
          <w:snapToGrid w:val="0"/>
          <w:color w:val="000000"/>
        </w:rPr>
        <w:t>-</w:t>
      </w:r>
      <w:r w:rsidR="00C837E6">
        <w:rPr>
          <w:rFonts w:cs="Arial"/>
          <w:i/>
          <w:snapToGrid w:val="0"/>
          <w:color w:val="000000"/>
        </w:rPr>
        <w:t>9</w:t>
      </w:r>
      <w:r>
        <w:rPr>
          <w:rFonts w:cs="Arial"/>
          <w:i/>
          <w:snapToGrid w:val="0"/>
          <w:color w:val="000000"/>
        </w:rPr>
        <w:t xml:space="preserve"> and continue to</w:t>
      </w:r>
      <w:r w:rsidR="000735CC">
        <w:rPr>
          <w:rFonts w:cs="Arial"/>
          <w:i/>
          <w:snapToGrid w:val="0"/>
          <w:color w:val="000000"/>
        </w:rPr>
        <w:t xml:space="preserve"> question #</w:t>
      </w:r>
      <w:r w:rsidR="001A32DA">
        <w:rPr>
          <w:rFonts w:cs="Arial"/>
          <w:i/>
          <w:snapToGrid w:val="0"/>
          <w:color w:val="000000"/>
        </w:rPr>
        <w:t>1</w:t>
      </w:r>
      <w:r w:rsidR="00C837E6">
        <w:rPr>
          <w:rFonts w:cs="Arial"/>
          <w:i/>
          <w:snapToGrid w:val="0"/>
          <w:color w:val="000000"/>
        </w:rPr>
        <w:t>0</w:t>
      </w:r>
      <w:r>
        <w:rPr>
          <w:rFonts w:cs="Arial"/>
          <w:i/>
          <w:snapToGrid w:val="0"/>
          <w:color w:val="000000"/>
        </w:rPr>
        <w:t>.</w:t>
      </w:r>
    </w:p>
    <w:p w14:paraId="5264EE5A" w14:textId="77777777" w:rsidR="00571245" w:rsidRDefault="00571245" w:rsidP="00BE2E40">
      <w:pPr>
        <w:rPr>
          <w:rFonts w:cs="Arial"/>
          <w:i/>
          <w:snapToGrid w:val="0"/>
          <w:color w:val="000000"/>
        </w:rPr>
      </w:pPr>
    </w:p>
    <w:p w14:paraId="3AE19979" w14:textId="5FBCCF11" w:rsidR="00E66427" w:rsidRDefault="00E66427" w:rsidP="009E7B22">
      <w:pPr>
        <w:rPr>
          <w:rFonts w:cs="Arial"/>
          <w:i/>
          <w:snapToGrid w:val="0"/>
          <w:color w:val="000000"/>
        </w:rPr>
      </w:pPr>
      <w:r w:rsidRPr="00E66427">
        <w:rPr>
          <w:rFonts w:cs="Arial"/>
          <w:i/>
          <w:noProof/>
          <w:snapToGrid w:val="0"/>
          <w:color w:val="000000"/>
        </w:rPr>
        <mc:AlternateContent>
          <mc:Choice Requires="wps">
            <w:drawing>
              <wp:inline distT="0" distB="0" distL="0" distR="0" wp14:anchorId="45A327C7" wp14:editId="5B8993E8">
                <wp:extent cx="6003235" cy="1404620"/>
                <wp:effectExtent l="0" t="0" r="17145" b="22860"/>
                <wp:docPr id="27" name="Text Box 27" descr="P2928TB1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35" cy="1404620"/>
                        </a:xfrm>
                        <a:prstGeom prst="rect">
                          <a:avLst/>
                        </a:prstGeom>
                        <a:solidFill>
                          <a:srgbClr val="FFFFFF"/>
                        </a:solidFill>
                        <a:ln w="9525">
                          <a:solidFill>
                            <a:srgbClr val="FF0000"/>
                          </a:solidFill>
                          <a:miter lim="800000"/>
                          <a:headEnd/>
                          <a:tailEnd/>
                        </a:ln>
                      </wps:spPr>
                      <wps:txbx>
                        <w:txbxContent>
                          <w:p w14:paraId="773A9E81" w14:textId="325847A9" w:rsidR="00E66427" w:rsidRPr="00E66427" w:rsidRDefault="00E66427" w:rsidP="00E66427">
                            <w:pPr>
                              <w:spacing w:before="40"/>
                              <w:rPr>
                                <w:rFonts w:cs="Arial"/>
                              </w:rPr>
                            </w:pPr>
                            <w:bookmarkStart w:id="231" w:name="_Hlk34309410"/>
                            <w:r w:rsidRPr="009A5185">
                              <w:rPr>
                                <w:rFonts w:cs="Arial"/>
                                <w:b/>
                              </w:rPr>
                              <w:t>Reporting Period:</w:t>
                            </w:r>
                            <w:r w:rsidRPr="009A5185">
                              <w:rPr>
                                <w:rFonts w:cs="Arial"/>
                              </w:rPr>
                              <w:t xml:space="preserve"> </w:t>
                            </w:r>
                            <w:bookmarkStart w:id="232" w:name="_Hlk34240732"/>
                            <w:r w:rsidRPr="009A5185">
                              <w:rPr>
                                <w:rFonts w:cs="Arial"/>
                              </w:rPr>
                              <w:t xml:space="preserve">Base your responses on the latest </w:t>
                            </w:r>
                            <w:r w:rsidRPr="0068149B">
                              <w:rPr>
                                <w:rFonts w:cs="Arial"/>
                                <w:b/>
                                <w:bCs/>
                              </w:rPr>
                              <w:t>36-</w:t>
                            </w:r>
                            <w:r w:rsidRPr="009A5185">
                              <w:rPr>
                                <w:rFonts w:cs="Arial"/>
                                <w:b/>
                              </w:rPr>
                              <w:t>month</w:t>
                            </w:r>
                            <w:r w:rsidRPr="009A5185">
                              <w:rPr>
                                <w:rFonts w:cs="Arial"/>
                              </w:rPr>
                              <w:t xml:space="preserve"> report received from the </w:t>
                            </w:r>
                            <w:hyperlink r:id="rId214" w:history="1">
                              <w:r w:rsidRPr="005D2B76">
                                <w:rPr>
                                  <w:rStyle w:val="Hyperlink"/>
                                  <w:rFonts w:cs="Arial"/>
                                  <w:snapToGrid w:val="0"/>
                                </w:rPr>
                                <w:t>Society of Thoracic Surgeons (STS)</w:t>
                              </w:r>
                            </w:hyperlink>
                            <w:r w:rsidRPr="009E7B22">
                              <w:rPr>
                                <w:rFonts w:cs="Arial"/>
                                <w:snapToGrid w:val="0"/>
                                <w:color w:val="000000"/>
                              </w:rPr>
                              <w:t xml:space="preserve"> </w:t>
                            </w:r>
                            <w:r>
                              <w:rPr>
                                <w:rFonts w:cs="Arial"/>
                                <w:snapToGrid w:val="0"/>
                                <w:color w:val="000000"/>
                              </w:rPr>
                              <w:t xml:space="preserve">Adult Cardiac Surgery Database (ACSD) </w:t>
                            </w:r>
                            <w:r w:rsidRPr="00674A75">
                              <w:rPr>
                                <w:rFonts w:cs="Arial"/>
                                <w:bCs/>
                              </w:rPr>
                              <w:t xml:space="preserve">for the </w:t>
                            </w:r>
                            <w:r w:rsidRPr="0068149B">
                              <w:rPr>
                                <w:rFonts w:cs="Arial"/>
                                <w:b/>
                              </w:rPr>
                              <w:t>Mitral Valve Repair/Replacement Composite Score</w:t>
                            </w:r>
                            <w:r>
                              <w:rPr>
                                <w:rFonts w:cs="Arial"/>
                                <w:bCs/>
                              </w:rPr>
                              <w:t>.</w:t>
                            </w:r>
                          </w:p>
                          <w:bookmarkEnd w:id="231"/>
                          <w:bookmarkEnd w:id="232"/>
                          <w:p w14:paraId="1EDFC076" w14:textId="77777777" w:rsidR="00E66427" w:rsidRDefault="00E66427" w:rsidP="00E66427">
                            <w:pPr>
                              <w:rPr>
                                <w:rFonts w:cs="Arial"/>
                              </w:rPr>
                            </w:pPr>
                          </w:p>
                          <w:p w14:paraId="7F7C5526" w14:textId="485CFCBA" w:rsidR="00E66427" w:rsidRDefault="00E66427" w:rsidP="00E66427">
                            <w:r w:rsidRPr="006547C0">
                              <w:rPr>
                                <w:rFonts w:cs="Arial"/>
                                <w:sz w:val="16"/>
                                <w:szCs w:val="16"/>
                              </w:rPr>
                              <w:t xml:space="preserve">Note: As a reminder, the </w:t>
                            </w:r>
                            <w:hyperlink r:id="rId215"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45A327C7" id="Text Box 27" o:spid="_x0000_s1038" type="#_x0000_t202" alt="P2928TB11#y1" style="width:472.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" strokecolor="red">
                <v:textbox style="mso-fit-shape-to-text:t">
                  <w:txbxContent>
                    <w:p w14:paraId="773A9E81" w14:textId="325847A9" w:rsidR="00E66427" w:rsidRPr="00E66427" w:rsidRDefault="00E66427" w:rsidP="00E66427">
                      <w:pPr>
                        <w:spacing w:before="40"/>
                        <w:rPr>
                          <w:rFonts w:cs="Arial"/>
                        </w:rPr>
                      </w:pPr>
                      <w:bookmarkStart w:id="233" w:name="_Hlk34309410"/>
                      <w:r w:rsidRPr="009A5185">
                        <w:rPr>
                          <w:rFonts w:cs="Arial"/>
                          <w:b/>
                        </w:rPr>
                        <w:t>Reporting Period:</w:t>
                      </w:r>
                      <w:r w:rsidRPr="009A5185">
                        <w:rPr>
                          <w:rFonts w:cs="Arial"/>
                        </w:rPr>
                        <w:t xml:space="preserve"> </w:t>
                      </w:r>
                      <w:bookmarkStart w:id="234" w:name="_Hlk34240732"/>
                      <w:r w:rsidRPr="009A5185">
                        <w:rPr>
                          <w:rFonts w:cs="Arial"/>
                        </w:rPr>
                        <w:t xml:space="preserve">Base your responses on the latest </w:t>
                      </w:r>
                      <w:r w:rsidRPr="0068149B">
                        <w:rPr>
                          <w:rFonts w:cs="Arial"/>
                          <w:b/>
                          <w:bCs/>
                        </w:rPr>
                        <w:t>36-</w:t>
                      </w:r>
                      <w:r w:rsidRPr="009A5185">
                        <w:rPr>
                          <w:rFonts w:cs="Arial"/>
                          <w:b/>
                        </w:rPr>
                        <w:t>month</w:t>
                      </w:r>
                      <w:r w:rsidRPr="009A5185">
                        <w:rPr>
                          <w:rFonts w:cs="Arial"/>
                        </w:rPr>
                        <w:t xml:space="preserve"> report received from the </w:t>
                      </w:r>
                      <w:hyperlink r:id="rId216" w:history="1">
                        <w:r w:rsidRPr="005D2B76">
                          <w:rPr>
                            <w:rStyle w:val="Hyperlink"/>
                            <w:rFonts w:cs="Arial"/>
                            <w:snapToGrid w:val="0"/>
                          </w:rPr>
                          <w:t>Society of Thoracic Surgeons (STS)</w:t>
                        </w:r>
                      </w:hyperlink>
                      <w:r w:rsidRPr="009E7B22">
                        <w:rPr>
                          <w:rFonts w:cs="Arial"/>
                          <w:snapToGrid w:val="0"/>
                          <w:color w:val="000000"/>
                        </w:rPr>
                        <w:t xml:space="preserve"> </w:t>
                      </w:r>
                      <w:r>
                        <w:rPr>
                          <w:rFonts w:cs="Arial"/>
                          <w:snapToGrid w:val="0"/>
                          <w:color w:val="000000"/>
                        </w:rPr>
                        <w:t xml:space="preserve">Adult Cardiac Surgery Database (ACSD) </w:t>
                      </w:r>
                      <w:r w:rsidRPr="00674A75">
                        <w:rPr>
                          <w:rFonts w:cs="Arial"/>
                          <w:bCs/>
                        </w:rPr>
                        <w:t xml:space="preserve">for the </w:t>
                      </w:r>
                      <w:r w:rsidRPr="0068149B">
                        <w:rPr>
                          <w:rFonts w:cs="Arial"/>
                          <w:b/>
                        </w:rPr>
                        <w:t>Mitral Valve Repair/Replacement Composite Score</w:t>
                      </w:r>
                      <w:r>
                        <w:rPr>
                          <w:rFonts w:cs="Arial"/>
                          <w:bCs/>
                        </w:rPr>
                        <w:t>.</w:t>
                      </w:r>
                    </w:p>
                    <w:bookmarkEnd w:id="233"/>
                    <w:bookmarkEnd w:id="234"/>
                    <w:p w14:paraId="1EDFC076" w14:textId="77777777" w:rsidR="00E66427" w:rsidRDefault="00E66427" w:rsidP="00E66427">
                      <w:pPr>
                        <w:rPr>
                          <w:rFonts w:cs="Arial"/>
                        </w:rPr>
                      </w:pPr>
                    </w:p>
                    <w:p w14:paraId="7F7C5526" w14:textId="485CFCBA" w:rsidR="00E66427" w:rsidRDefault="00E66427" w:rsidP="00E66427">
                      <w:r w:rsidRPr="006547C0">
                        <w:rPr>
                          <w:rFonts w:cs="Arial"/>
                          <w:sz w:val="16"/>
                          <w:szCs w:val="16"/>
                        </w:rPr>
                        <w:t xml:space="preserve">Note: As a reminder, the </w:t>
                      </w:r>
                      <w:hyperlink r:id="rId217"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3EE2C630" w14:textId="77777777" w:rsidR="00E66427" w:rsidRDefault="00E66427" w:rsidP="009E7B22">
      <w:pPr>
        <w:rPr>
          <w:rFonts w:cs="Arial"/>
          <w:i/>
          <w:snapToGrid w:val="0"/>
          <w:color w:val="000000"/>
        </w:rPr>
      </w:pPr>
    </w:p>
    <w:tbl>
      <w:tblPr>
        <w:tblW w:w="50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1"/>
        <w:gridCol w:w="4230"/>
      </w:tblGrid>
      <w:tr w:rsidR="005D2B76" w:rsidRPr="008750DD" w14:paraId="66599041" w14:textId="77777777" w:rsidTr="00F90188">
        <w:trPr>
          <w:cantSplit/>
          <w:trHeight w:val="2304"/>
        </w:trPr>
        <w:tc>
          <w:tcPr>
            <w:tcW w:w="2762" w:type="pct"/>
            <w:tcBorders>
              <w:top w:val="single" w:sz="4" w:space="0" w:color="auto"/>
              <w:left w:val="single" w:sz="4" w:space="0" w:color="auto"/>
              <w:bottom w:val="single" w:sz="4" w:space="0" w:color="auto"/>
              <w:right w:val="single" w:sz="4" w:space="0" w:color="auto"/>
            </w:tcBorders>
            <w:vAlign w:val="center"/>
          </w:tcPr>
          <w:p w14:paraId="43547118" w14:textId="7F8212C5" w:rsidR="005D2B76" w:rsidRPr="009E7B22" w:rsidRDefault="005D2B76" w:rsidP="0062318E">
            <w:pPr>
              <w:numPr>
                <w:ilvl w:val="0"/>
                <w:numId w:val="2"/>
              </w:numPr>
              <w:spacing w:before="120"/>
              <w:rPr>
                <w:rFonts w:cs="Arial"/>
                <w:snapToGrid w:val="0"/>
                <w:color w:val="000000"/>
              </w:rPr>
            </w:pPr>
            <w:r>
              <w:rPr>
                <w:rFonts w:cs="Arial"/>
                <w:snapToGrid w:val="0"/>
                <w:color w:val="000000"/>
              </w:rPr>
              <w:t>D</w:t>
            </w:r>
            <w:r w:rsidRPr="005D2B76">
              <w:rPr>
                <w:rFonts w:cs="Arial"/>
                <w:snapToGrid w:val="0"/>
                <w:color w:val="000000"/>
              </w:rPr>
              <w:t xml:space="preserve">oes your hospital participate in the </w:t>
            </w:r>
            <w:hyperlink r:id="rId218" w:history="1">
              <w:r w:rsidRPr="005D2B76">
                <w:rPr>
                  <w:rStyle w:val="Hyperlink"/>
                  <w:rFonts w:cs="Arial"/>
                  <w:snapToGrid w:val="0"/>
                </w:rPr>
                <w:t>Society of Thoracic Surgeons (STS)</w:t>
              </w:r>
            </w:hyperlink>
            <w:r w:rsidRPr="009E7B22">
              <w:rPr>
                <w:rFonts w:cs="Arial"/>
                <w:snapToGrid w:val="0"/>
                <w:color w:val="000000"/>
              </w:rPr>
              <w:t xml:space="preserve"> </w:t>
            </w:r>
            <w:r>
              <w:rPr>
                <w:rFonts w:cs="Arial"/>
                <w:snapToGrid w:val="0"/>
                <w:color w:val="000000"/>
              </w:rPr>
              <w:t xml:space="preserve">Adult Cardiac Surgery Database (ACSD) </w:t>
            </w:r>
            <w:r w:rsidR="00C43D8A">
              <w:rPr>
                <w:rFonts w:cs="Arial"/>
                <w:snapToGrid w:val="0"/>
                <w:color w:val="000000"/>
              </w:rPr>
              <w:t xml:space="preserve">and </w:t>
            </w:r>
            <w:r w:rsidRPr="005D2B76">
              <w:rPr>
                <w:rFonts w:cs="Arial"/>
                <w:snapToGrid w:val="0"/>
                <w:color w:val="000000"/>
              </w:rPr>
              <w:t>submit data for all applicable procedures during the most recent 36-month period for which performance reports are available?</w:t>
            </w:r>
            <w:r w:rsidRPr="009E7B22">
              <w:rPr>
                <w:rFonts w:cs="Arial"/>
                <w:snapToGrid w:val="0"/>
                <w:color w:val="000000"/>
              </w:rPr>
              <w:br/>
            </w:r>
            <w:r w:rsidRPr="009E7B22">
              <w:rPr>
                <w:rFonts w:cs="Arial"/>
                <w:snapToGrid w:val="0"/>
                <w:color w:val="000000"/>
              </w:rPr>
              <w:br/>
            </w:r>
            <w:r w:rsidRPr="0022615A">
              <w:rPr>
                <w:rFonts w:cs="Arial"/>
                <w:i/>
                <w:snapToGrid w:val="0"/>
                <w:color w:val="000000"/>
              </w:rPr>
              <w:t>I</w:t>
            </w:r>
            <w:r w:rsidR="0022615A" w:rsidRPr="0022615A">
              <w:rPr>
                <w:rFonts w:cs="Arial"/>
                <w:i/>
                <w:snapToGrid w:val="0"/>
                <w:color w:val="000000"/>
              </w:rPr>
              <w:t>f “no” to question #</w:t>
            </w:r>
            <w:r w:rsidR="005C65C2">
              <w:rPr>
                <w:rFonts w:cs="Arial"/>
                <w:i/>
                <w:snapToGrid w:val="0"/>
                <w:color w:val="000000"/>
              </w:rPr>
              <w:t>6</w:t>
            </w:r>
            <w:r w:rsidR="0022615A" w:rsidRPr="0022615A">
              <w:rPr>
                <w:rFonts w:cs="Arial"/>
                <w:i/>
                <w:snapToGrid w:val="0"/>
                <w:color w:val="000000"/>
              </w:rPr>
              <w:t>, skip questions #</w:t>
            </w:r>
            <w:r w:rsidR="005C65C2">
              <w:rPr>
                <w:rFonts w:cs="Arial"/>
                <w:i/>
                <w:snapToGrid w:val="0"/>
                <w:color w:val="000000"/>
              </w:rPr>
              <w:t>7</w:t>
            </w:r>
            <w:r w:rsidR="008837D6">
              <w:rPr>
                <w:rFonts w:cs="Arial"/>
                <w:i/>
                <w:snapToGrid w:val="0"/>
                <w:color w:val="000000"/>
              </w:rPr>
              <w:t>-</w:t>
            </w:r>
            <w:r w:rsidR="005C65C2">
              <w:rPr>
                <w:rFonts w:cs="Arial"/>
                <w:i/>
                <w:snapToGrid w:val="0"/>
                <w:color w:val="000000"/>
              </w:rPr>
              <w:t>9</w:t>
            </w:r>
            <w:r w:rsidRPr="0022615A">
              <w:rPr>
                <w:rFonts w:cs="Arial"/>
                <w:i/>
                <w:snapToGrid w:val="0"/>
                <w:color w:val="000000"/>
              </w:rPr>
              <w:t xml:space="preserve"> and continue to</w:t>
            </w:r>
            <w:r w:rsidR="0022615A" w:rsidRPr="0022615A">
              <w:rPr>
                <w:rFonts w:cs="Arial"/>
                <w:i/>
                <w:snapToGrid w:val="0"/>
                <w:color w:val="000000"/>
              </w:rPr>
              <w:t xml:space="preserve"> </w:t>
            </w:r>
            <w:r w:rsidR="00F745EA">
              <w:rPr>
                <w:rFonts w:cs="Arial"/>
                <w:i/>
                <w:snapToGrid w:val="0"/>
                <w:color w:val="000000"/>
              </w:rPr>
              <w:t>question #1</w:t>
            </w:r>
            <w:r w:rsidR="005C65C2">
              <w:rPr>
                <w:rFonts w:cs="Arial"/>
                <w:i/>
                <w:snapToGrid w:val="0"/>
                <w:color w:val="000000"/>
              </w:rPr>
              <w:t>0</w:t>
            </w:r>
            <w:r w:rsidRPr="0022615A">
              <w:rPr>
                <w:rFonts w:cs="Arial"/>
                <w:i/>
                <w:snapToGrid w:val="0"/>
                <w:color w:val="000000"/>
              </w:rPr>
              <w:t>.</w:t>
            </w:r>
          </w:p>
        </w:tc>
        <w:tc>
          <w:tcPr>
            <w:tcW w:w="2238" w:type="pct"/>
            <w:tcBorders>
              <w:top w:val="single" w:sz="4" w:space="0" w:color="auto"/>
              <w:left w:val="single" w:sz="4" w:space="0" w:color="auto"/>
              <w:bottom w:val="single" w:sz="4" w:space="0" w:color="auto"/>
              <w:right w:val="single" w:sz="4" w:space="0" w:color="auto"/>
            </w:tcBorders>
            <w:vAlign w:val="center"/>
          </w:tcPr>
          <w:p w14:paraId="67B8DB0D" w14:textId="77777777" w:rsidR="00D22736" w:rsidRDefault="005D2B76" w:rsidP="00F90188">
            <w:pPr>
              <w:pStyle w:val="ListParagraph"/>
              <w:numPr>
                <w:ilvl w:val="0"/>
                <w:numId w:val="240"/>
              </w:numPr>
              <w:rPr>
                <w:rFonts w:cs="Arial"/>
                <w:iCs/>
                <w:snapToGrid w:val="0"/>
              </w:rPr>
            </w:pPr>
            <w:r w:rsidRPr="000F3D1F">
              <w:rPr>
                <w:rFonts w:cs="Arial"/>
                <w:iCs/>
                <w:snapToGrid w:val="0"/>
              </w:rPr>
              <w:t>Yes</w:t>
            </w:r>
          </w:p>
          <w:p w14:paraId="19838A33" w14:textId="7BD0398B" w:rsidR="005D2B76" w:rsidRPr="000F3D1F" w:rsidRDefault="005D2B76" w:rsidP="00F90188">
            <w:pPr>
              <w:pStyle w:val="ListParagraph"/>
              <w:numPr>
                <w:ilvl w:val="0"/>
                <w:numId w:val="240"/>
              </w:numPr>
              <w:rPr>
                <w:rFonts w:cs="Arial"/>
                <w:iCs/>
                <w:snapToGrid w:val="0"/>
              </w:rPr>
            </w:pPr>
            <w:r w:rsidRPr="000F3D1F">
              <w:rPr>
                <w:rFonts w:cs="Arial"/>
                <w:iCs/>
                <w:snapToGrid w:val="0"/>
              </w:rPr>
              <w:t>No</w:t>
            </w:r>
          </w:p>
        </w:tc>
      </w:tr>
      <w:tr w:rsidR="005D2B76" w:rsidRPr="008750DD" w14:paraId="001C4326" w14:textId="77777777" w:rsidTr="00F90188">
        <w:trPr>
          <w:cantSplit/>
          <w:trHeight w:val="864"/>
        </w:trPr>
        <w:tc>
          <w:tcPr>
            <w:tcW w:w="2762" w:type="pct"/>
            <w:tcBorders>
              <w:top w:val="single" w:sz="4" w:space="0" w:color="auto"/>
              <w:left w:val="single" w:sz="4" w:space="0" w:color="auto"/>
              <w:bottom w:val="single" w:sz="4" w:space="0" w:color="auto"/>
              <w:right w:val="single" w:sz="4" w:space="0" w:color="auto"/>
            </w:tcBorders>
            <w:vAlign w:val="center"/>
          </w:tcPr>
          <w:p w14:paraId="150003A1" w14:textId="73508C90" w:rsidR="005D2B76" w:rsidRPr="005E51DC" w:rsidRDefault="005D2B76" w:rsidP="0062318E">
            <w:pPr>
              <w:numPr>
                <w:ilvl w:val="0"/>
                <w:numId w:val="2"/>
              </w:numPr>
              <w:spacing w:before="120"/>
              <w:rPr>
                <w:rFonts w:cs="Arial"/>
                <w:snapToGrid w:val="0"/>
                <w:color w:val="000000"/>
              </w:rPr>
            </w:pPr>
            <w:r w:rsidRPr="005E51DC">
              <w:rPr>
                <w:rFonts w:cs="Arial"/>
                <w:snapToGrid w:val="0"/>
                <w:color w:val="000000"/>
              </w:rPr>
              <w:t>What is the most recent 36-month reporting period for which STS performance reports are available?</w:t>
            </w:r>
            <w:r w:rsidR="00B20811">
              <w:rPr>
                <w:rFonts w:cs="Arial"/>
                <w:snapToGrid w:val="0"/>
                <w:color w:val="000000"/>
              </w:rPr>
              <w:t xml:space="preserve"> Reporting period ending:</w:t>
            </w:r>
          </w:p>
        </w:tc>
        <w:tc>
          <w:tcPr>
            <w:tcW w:w="2238" w:type="pct"/>
            <w:tcBorders>
              <w:top w:val="single" w:sz="4" w:space="0" w:color="auto"/>
              <w:left w:val="single" w:sz="4" w:space="0" w:color="auto"/>
              <w:bottom w:val="single" w:sz="4" w:space="0" w:color="auto"/>
              <w:right w:val="single" w:sz="4" w:space="0" w:color="auto"/>
            </w:tcBorders>
            <w:vAlign w:val="center"/>
          </w:tcPr>
          <w:p w14:paraId="52657C20" w14:textId="77777777" w:rsidR="005D2B76" w:rsidRPr="00F80373" w:rsidRDefault="00B91D49" w:rsidP="00B91D49">
            <w:pPr>
              <w:jc w:val="center"/>
              <w:rPr>
                <w:rFonts w:cs="Arial"/>
                <w:i/>
                <w:snapToGrid w:val="0"/>
                <w:sz w:val="16"/>
                <w:szCs w:val="16"/>
                <w:u w:val="single"/>
              </w:rPr>
            </w:pPr>
            <w:r w:rsidRPr="00F80373">
              <w:rPr>
                <w:rFonts w:cs="Arial"/>
                <w:i/>
                <w:snapToGrid w:val="0"/>
                <w:sz w:val="16"/>
                <w:szCs w:val="16"/>
                <w:u w:val="single"/>
              </w:rPr>
              <w:t>_________</w:t>
            </w:r>
          </w:p>
          <w:p w14:paraId="38B12D1B" w14:textId="38EA1130" w:rsidR="00B91D49" w:rsidRPr="005E51DC" w:rsidRDefault="00B91D49" w:rsidP="00B91D49">
            <w:pPr>
              <w:jc w:val="center"/>
              <w:rPr>
                <w:rFonts w:cs="Arial"/>
                <w:i/>
                <w:snapToGrid w:val="0"/>
                <w:sz w:val="16"/>
                <w:szCs w:val="16"/>
              </w:rPr>
            </w:pPr>
            <w:r>
              <w:rPr>
                <w:rFonts w:cs="Arial"/>
                <w:i/>
                <w:snapToGrid w:val="0"/>
                <w:sz w:val="16"/>
                <w:szCs w:val="16"/>
              </w:rPr>
              <w:t>Format: Month/Year</w:t>
            </w:r>
          </w:p>
        </w:tc>
      </w:tr>
      <w:tr w:rsidR="005D2B76" w:rsidRPr="008750DD" w14:paraId="1D1EF615" w14:textId="77777777" w:rsidTr="00F90188">
        <w:trPr>
          <w:cantSplit/>
          <w:trHeight w:val="1872"/>
        </w:trPr>
        <w:tc>
          <w:tcPr>
            <w:tcW w:w="2762" w:type="pct"/>
            <w:tcBorders>
              <w:top w:val="single" w:sz="4" w:space="0" w:color="auto"/>
              <w:left w:val="single" w:sz="4" w:space="0" w:color="auto"/>
              <w:bottom w:val="single" w:sz="4" w:space="0" w:color="auto"/>
              <w:right w:val="single" w:sz="4" w:space="0" w:color="auto"/>
            </w:tcBorders>
            <w:vAlign w:val="center"/>
          </w:tcPr>
          <w:p w14:paraId="5748B037" w14:textId="596EFE92" w:rsidR="005D2B76" w:rsidRDefault="005D2B76" w:rsidP="0062318E">
            <w:pPr>
              <w:numPr>
                <w:ilvl w:val="0"/>
                <w:numId w:val="2"/>
              </w:numPr>
              <w:spacing w:before="120"/>
              <w:rPr>
                <w:rFonts w:cs="Arial"/>
                <w:snapToGrid w:val="0"/>
                <w:color w:val="000000"/>
              </w:rPr>
            </w:pPr>
            <w:r w:rsidRPr="005D2B76">
              <w:rPr>
                <w:rFonts w:cs="Arial"/>
                <w:snapToGrid w:val="0"/>
                <w:color w:val="000000"/>
              </w:rPr>
              <w:t xml:space="preserve">Does your hospital </w:t>
            </w:r>
            <w:r w:rsidR="00514602">
              <w:rPr>
                <w:rFonts w:cs="Arial"/>
                <w:snapToGrid w:val="0"/>
                <w:color w:val="000000"/>
              </w:rPr>
              <w:t xml:space="preserve">have a Mitral Valve Repair/Replacement Composite Score publicly reported on the STS website and do you </w:t>
            </w:r>
            <w:r w:rsidRPr="005D2B76">
              <w:rPr>
                <w:rFonts w:cs="Arial"/>
                <w:snapToGrid w:val="0"/>
                <w:color w:val="000000"/>
              </w:rPr>
              <w:t>choose to report data from the most recent performance report to this Survey?</w:t>
            </w:r>
            <w:r>
              <w:rPr>
                <w:rFonts w:cs="Arial"/>
                <w:snapToGrid w:val="0"/>
                <w:color w:val="000000"/>
              </w:rPr>
              <w:br/>
            </w:r>
            <w:r>
              <w:rPr>
                <w:rFonts w:cs="Arial"/>
                <w:snapToGrid w:val="0"/>
                <w:color w:val="000000"/>
              </w:rPr>
              <w:br/>
            </w:r>
            <w:r w:rsidRPr="0022615A">
              <w:rPr>
                <w:rFonts w:cs="Arial"/>
                <w:i/>
                <w:snapToGrid w:val="0"/>
                <w:color w:val="000000"/>
              </w:rPr>
              <w:t>If “no” or “yes, but did not meet the</w:t>
            </w:r>
            <w:r w:rsidR="00C46700">
              <w:rPr>
                <w:rFonts w:cs="Arial"/>
                <w:i/>
                <w:snapToGrid w:val="0"/>
                <w:color w:val="000000"/>
              </w:rPr>
              <w:t xml:space="preserve"> STS</w:t>
            </w:r>
            <w:r w:rsidRPr="0022615A">
              <w:rPr>
                <w:rFonts w:cs="Arial"/>
                <w:i/>
                <w:snapToGrid w:val="0"/>
                <w:color w:val="000000"/>
              </w:rPr>
              <w:t xml:space="preserve"> </w:t>
            </w:r>
            <w:hyperlink w:anchor="datacompletenessrequirement" w:history="1">
              <w:r w:rsidRPr="00114290">
                <w:rPr>
                  <w:rStyle w:val="Hyperlink"/>
                  <w:rFonts w:cs="Arial"/>
                  <w:i/>
                  <w:snapToGrid w:val="0"/>
                </w:rPr>
                <w:t>Data Completeness Requirement</w:t>
              </w:r>
              <w:r w:rsidR="000F0582">
                <w:rPr>
                  <w:rStyle w:val="Hyperlink"/>
                  <w:rFonts w:ascii="ZWAdobeF" w:hAnsi="ZWAdobeF" w:cs="ZWAdobeF"/>
                  <w:snapToGrid w:val="0"/>
                  <w:color w:val="auto"/>
                  <w:sz w:val="2"/>
                  <w:szCs w:val="2"/>
                  <w:u w:val="none"/>
                </w:rPr>
                <w:t>26F</w:t>
              </w:r>
              <w:r w:rsidR="00BF053F">
                <w:rPr>
                  <w:rStyle w:val="Hyperlink"/>
                  <w:rFonts w:ascii="ZWAdobeF" w:hAnsi="ZWAdobeF" w:cs="ZWAdobeF"/>
                  <w:snapToGrid w:val="0"/>
                  <w:color w:val="auto"/>
                  <w:sz w:val="2"/>
                  <w:szCs w:val="2"/>
                  <w:u w:val="none"/>
                </w:rPr>
                <w:t>28F</w:t>
              </w:r>
              <w:r w:rsidR="004C7557">
                <w:rPr>
                  <w:rStyle w:val="Hyperlink"/>
                  <w:rFonts w:ascii="ZWAdobeF" w:hAnsi="ZWAdobeF" w:cs="ZWAdobeF"/>
                  <w:snapToGrid w:val="0"/>
                  <w:color w:val="auto"/>
                  <w:sz w:val="2"/>
                  <w:szCs w:val="2"/>
                  <w:u w:val="none"/>
                </w:rPr>
                <w:t>28F</w:t>
              </w:r>
              <w:r w:rsidR="00C2087D">
                <w:rPr>
                  <w:rStyle w:val="Hyperlink"/>
                  <w:rFonts w:ascii="ZWAdobeF" w:hAnsi="ZWAdobeF" w:cs="ZWAdobeF"/>
                  <w:snapToGrid w:val="0"/>
                  <w:color w:val="auto"/>
                  <w:sz w:val="2"/>
                  <w:szCs w:val="2"/>
                  <w:u w:val="none"/>
                </w:rPr>
                <w:t>28F</w:t>
              </w:r>
              <w:r w:rsidR="00B55C41">
                <w:rPr>
                  <w:rStyle w:val="Hyperlink"/>
                  <w:rFonts w:ascii="ZWAdobeF" w:hAnsi="ZWAdobeF" w:cs="ZWAdobeF"/>
                  <w:snapToGrid w:val="0"/>
                  <w:color w:val="auto"/>
                  <w:sz w:val="2"/>
                  <w:szCs w:val="2"/>
                  <w:u w:val="none"/>
                </w:rPr>
                <w:t>28F</w:t>
              </w:r>
              <w:r w:rsidR="006255A6">
                <w:rPr>
                  <w:rStyle w:val="Hyperlink"/>
                  <w:rFonts w:ascii="ZWAdobeF" w:hAnsi="ZWAdobeF" w:cs="ZWAdobeF"/>
                  <w:snapToGrid w:val="0"/>
                  <w:color w:val="auto"/>
                  <w:sz w:val="2"/>
                  <w:szCs w:val="2"/>
                  <w:u w:val="none"/>
                </w:rPr>
                <w:t>28F</w:t>
              </w:r>
              <w:r w:rsidR="00E453C7">
                <w:rPr>
                  <w:rStyle w:val="Hyperlink"/>
                  <w:rFonts w:ascii="ZWAdobeF" w:hAnsi="ZWAdobeF" w:cs="ZWAdobeF"/>
                  <w:snapToGrid w:val="0"/>
                  <w:color w:val="auto"/>
                  <w:sz w:val="2"/>
                  <w:szCs w:val="2"/>
                  <w:u w:val="none"/>
                </w:rPr>
                <w:t>28F</w:t>
              </w:r>
              <w:r w:rsidR="00953060">
                <w:rPr>
                  <w:rStyle w:val="Hyperlink"/>
                  <w:rFonts w:ascii="ZWAdobeF" w:hAnsi="ZWAdobeF" w:cs="ZWAdobeF"/>
                  <w:snapToGrid w:val="0"/>
                  <w:color w:val="auto"/>
                  <w:sz w:val="2"/>
                  <w:szCs w:val="2"/>
                  <w:u w:val="none"/>
                </w:rPr>
                <w:t>28F</w:t>
              </w:r>
              <w:r w:rsidR="00DD04D6">
                <w:rPr>
                  <w:rStyle w:val="Hyperlink"/>
                  <w:rFonts w:ascii="ZWAdobeF" w:hAnsi="ZWAdobeF" w:cs="ZWAdobeF"/>
                  <w:snapToGrid w:val="0"/>
                  <w:color w:val="auto"/>
                  <w:sz w:val="2"/>
                  <w:szCs w:val="2"/>
                  <w:u w:val="none"/>
                </w:rPr>
                <w:t>28F</w:t>
              </w:r>
              <w:r w:rsidR="00DC3693" w:rsidRPr="00785581">
                <w:rPr>
                  <w:rStyle w:val="Hyperlink"/>
                  <w:iCs/>
                  <w:snapToGrid w:val="0"/>
                  <w:color w:val="auto"/>
                  <w:u w:val="none"/>
                  <w:vertAlign w:val="superscript"/>
                </w:rPr>
                <w:endnoteReference w:id="30"/>
              </w:r>
            </w:hyperlink>
            <w:r w:rsidRPr="0022615A">
              <w:rPr>
                <w:rFonts w:cs="Arial"/>
                <w:i/>
                <w:snapToGrid w:val="0"/>
                <w:color w:val="000000"/>
              </w:rPr>
              <w:t>during the reporting period,” skip question #</w:t>
            </w:r>
            <w:r w:rsidR="005C65C2">
              <w:rPr>
                <w:rFonts w:cs="Arial"/>
                <w:i/>
                <w:snapToGrid w:val="0"/>
                <w:color w:val="000000"/>
              </w:rPr>
              <w:t>9</w:t>
            </w:r>
            <w:r w:rsidR="0022615A">
              <w:rPr>
                <w:rFonts w:cs="Arial"/>
                <w:i/>
                <w:snapToGrid w:val="0"/>
                <w:color w:val="000000"/>
              </w:rPr>
              <w:t xml:space="preserve"> and continue to </w:t>
            </w:r>
            <w:r w:rsidR="00AF4066">
              <w:rPr>
                <w:rFonts w:cs="Arial"/>
                <w:i/>
                <w:snapToGrid w:val="0"/>
                <w:color w:val="000000"/>
              </w:rPr>
              <w:t>question #1</w:t>
            </w:r>
            <w:r w:rsidR="005C65C2">
              <w:rPr>
                <w:rFonts w:cs="Arial"/>
                <w:i/>
                <w:snapToGrid w:val="0"/>
                <w:color w:val="000000"/>
              </w:rPr>
              <w:t>0</w:t>
            </w:r>
            <w:r w:rsidRPr="0022615A">
              <w:rPr>
                <w:rFonts w:cs="Arial"/>
                <w:i/>
                <w:snapToGrid w:val="0"/>
                <w:color w:val="000000"/>
              </w:rPr>
              <w:t>.</w:t>
            </w:r>
          </w:p>
        </w:tc>
        <w:tc>
          <w:tcPr>
            <w:tcW w:w="2238" w:type="pct"/>
            <w:tcBorders>
              <w:top w:val="single" w:sz="4" w:space="0" w:color="auto"/>
              <w:left w:val="single" w:sz="4" w:space="0" w:color="auto"/>
              <w:bottom w:val="single" w:sz="4" w:space="0" w:color="auto"/>
              <w:right w:val="single" w:sz="4" w:space="0" w:color="auto"/>
            </w:tcBorders>
            <w:vAlign w:val="center"/>
          </w:tcPr>
          <w:p w14:paraId="1A9D1CA7" w14:textId="77777777" w:rsidR="005D2B76" w:rsidRPr="000F3D1F" w:rsidRDefault="005D2B76" w:rsidP="00AD309C">
            <w:pPr>
              <w:pStyle w:val="ListParagraph"/>
              <w:numPr>
                <w:ilvl w:val="0"/>
                <w:numId w:val="240"/>
              </w:numPr>
              <w:rPr>
                <w:rFonts w:cs="Arial"/>
                <w:iCs/>
                <w:snapToGrid w:val="0"/>
              </w:rPr>
            </w:pPr>
            <w:r w:rsidRPr="000F3D1F">
              <w:rPr>
                <w:rFonts w:cs="Arial"/>
                <w:iCs/>
                <w:snapToGrid w:val="0"/>
              </w:rPr>
              <w:t>Yes</w:t>
            </w:r>
          </w:p>
          <w:p w14:paraId="1860FF66" w14:textId="77777777" w:rsidR="005D2B76" w:rsidRPr="000F3D1F" w:rsidRDefault="005D2B76" w:rsidP="00AD309C">
            <w:pPr>
              <w:pStyle w:val="ListParagraph"/>
              <w:numPr>
                <w:ilvl w:val="0"/>
                <w:numId w:val="240"/>
              </w:numPr>
              <w:rPr>
                <w:rFonts w:cs="Arial"/>
                <w:iCs/>
                <w:snapToGrid w:val="0"/>
              </w:rPr>
            </w:pPr>
            <w:r w:rsidRPr="000F3D1F">
              <w:rPr>
                <w:rFonts w:cs="Arial"/>
                <w:iCs/>
                <w:snapToGrid w:val="0"/>
              </w:rPr>
              <w:t>No</w:t>
            </w:r>
          </w:p>
          <w:p w14:paraId="5C329F87" w14:textId="6CE6E15B" w:rsidR="005D2B76" w:rsidRPr="000F3D1F" w:rsidRDefault="00B20811" w:rsidP="00AD309C">
            <w:pPr>
              <w:pStyle w:val="ListParagraph"/>
              <w:numPr>
                <w:ilvl w:val="0"/>
                <w:numId w:val="240"/>
              </w:numPr>
              <w:rPr>
                <w:rFonts w:cs="Arial"/>
                <w:iCs/>
                <w:snapToGrid w:val="0"/>
              </w:rPr>
            </w:pPr>
            <w:r w:rsidRPr="000F3D1F">
              <w:rPr>
                <w:rFonts w:cs="Arial"/>
                <w:iCs/>
                <w:snapToGrid w:val="0"/>
              </w:rPr>
              <w:t xml:space="preserve">Yes, but did not meet the </w:t>
            </w:r>
            <w:r w:rsidR="00237325" w:rsidRPr="000F3D1F">
              <w:rPr>
                <w:rFonts w:cs="Arial"/>
                <w:iCs/>
                <w:snapToGrid w:val="0"/>
              </w:rPr>
              <w:t xml:space="preserve">STS </w:t>
            </w:r>
            <w:r w:rsidRPr="000F3D1F">
              <w:rPr>
                <w:rFonts w:cs="Arial"/>
                <w:iCs/>
                <w:snapToGrid w:val="0"/>
              </w:rPr>
              <w:t xml:space="preserve">Data Completeness Requirement during the reporting period </w:t>
            </w:r>
          </w:p>
        </w:tc>
      </w:tr>
      <w:tr w:rsidR="00DA53DD" w:rsidRPr="008750DD" w14:paraId="0CE49943" w14:textId="77777777" w:rsidTr="00F90188">
        <w:trPr>
          <w:cantSplit/>
          <w:trHeight w:val="864"/>
        </w:trPr>
        <w:tc>
          <w:tcPr>
            <w:tcW w:w="2762" w:type="pct"/>
            <w:tcBorders>
              <w:bottom w:val="single" w:sz="4" w:space="0" w:color="auto"/>
            </w:tcBorders>
            <w:vAlign w:val="center"/>
          </w:tcPr>
          <w:p w14:paraId="01F6E7E4" w14:textId="3C6919AC" w:rsidR="00DA53DD" w:rsidRPr="003605AA" w:rsidRDefault="00DA53DD" w:rsidP="0062318E">
            <w:pPr>
              <w:pStyle w:val="ListParagraph"/>
              <w:numPr>
                <w:ilvl w:val="0"/>
                <w:numId w:val="2"/>
              </w:numPr>
              <w:rPr>
                <w:rFonts w:cs="Arial"/>
                <w:i/>
                <w:snapToGrid w:val="0"/>
              </w:rPr>
            </w:pPr>
            <w:r>
              <w:rPr>
                <w:rFonts w:cs="Arial"/>
                <w:snapToGrid w:val="0"/>
                <w:color w:val="000000"/>
              </w:rPr>
              <w:t xml:space="preserve">What is your hospital’s Mitral Valve Repair/Replacement Composite Score? </w:t>
            </w:r>
          </w:p>
        </w:tc>
        <w:tc>
          <w:tcPr>
            <w:tcW w:w="2238" w:type="pct"/>
            <w:vAlign w:val="center"/>
          </w:tcPr>
          <w:p w14:paraId="0AA251DF" w14:textId="77777777" w:rsidR="00DA53DD" w:rsidRPr="000F3D1F" w:rsidRDefault="00DA53DD" w:rsidP="00AD309C">
            <w:pPr>
              <w:pStyle w:val="ListParagraph"/>
              <w:numPr>
                <w:ilvl w:val="0"/>
                <w:numId w:val="240"/>
              </w:numPr>
              <w:rPr>
                <w:rFonts w:cs="Arial"/>
                <w:iCs/>
                <w:snapToGrid w:val="0"/>
              </w:rPr>
            </w:pPr>
            <w:r w:rsidRPr="000F3D1F">
              <w:rPr>
                <w:rFonts w:cs="Arial"/>
                <w:iCs/>
                <w:snapToGrid w:val="0"/>
              </w:rPr>
              <w:t>1 star – lower-than-expected performance</w:t>
            </w:r>
          </w:p>
          <w:p w14:paraId="102B8B7E" w14:textId="77777777" w:rsidR="00DA53DD" w:rsidRPr="000F3D1F" w:rsidRDefault="00DA53DD" w:rsidP="00AD309C">
            <w:pPr>
              <w:pStyle w:val="ListParagraph"/>
              <w:numPr>
                <w:ilvl w:val="0"/>
                <w:numId w:val="240"/>
              </w:numPr>
              <w:rPr>
                <w:rFonts w:cs="Arial"/>
                <w:iCs/>
                <w:snapToGrid w:val="0"/>
              </w:rPr>
            </w:pPr>
            <w:r w:rsidRPr="000F3D1F">
              <w:rPr>
                <w:rFonts w:cs="Arial"/>
                <w:iCs/>
                <w:snapToGrid w:val="0"/>
              </w:rPr>
              <w:t>2 stars – as-expected performance</w:t>
            </w:r>
          </w:p>
          <w:p w14:paraId="47D336A8" w14:textId="71930C14" w:rsidR="00DA53DD" w:rsidRPr="000F3D1F" w:rsidRDefault="00DA53DD" w:rsidP="00AD309C">
            <w:pPr>
              <w:pStyle w:val="ListParagraph"/>
              <w:numPr>
                <w:ilvl w:val="0"/>
                <w:numId w:val="240"/>
              </w:numPr>
              <w:rPr>
                <w:rFonts w:cs="Arial"/>
                <w:iCs/>
                <w:snapToGrid w:val="0"/>
              </w:rPr>
            </w:pPr>
            <w:r w:rsidRPr="000F3D1F">
              <w:rPr>
                <w:rFonts w:cs="Arial"/>
                <w:iCs/>
                <w:snapToGrid w:val="0"/>
              </w:rPr>
              <w:t>3 stars – higher-than-expected performance</w:t>
            </w:r>
          </w:p>
        </w:tc>
      </w:tr>
    </w:tbl>
    <w:p w14:paraId="7D3D92B6" w14:textId="77777777" w:rsidR="001A32DA" w:rsidRDefault="001A32DA" w:rsidP="000A3B4F">
      <w:pPr>
        <w:rPr>
          <w:rFonts w:cs="Arial"/>
          <w:snapToGrid w:val="0"/>
          <w:color w:val="000000"/>
        </w:rPr>
      </w:pPr>
    </w:p>
    <w:p w14:paraId="51D73FB2" w14:textId="4D6DF8FA" w:rsidR="001A32DA" w:rsidRDefault="00B20811" w:rsidP="000A3B4F">
      <w:pPr>
        <w:rPr>
          <w:rFonts w:cs="Arial"/>
          <w:snapToGrid w:val="0"/>
          <w:color w:val="000000"/>
        </w:rPr>
      </w:pPr>
      <w:r w:rsidRPr="004F5E10">
        <w:rPr>
          <w:rFonts w:cs="Arial"/>
          <w:i/>
          <w:snapToGrid w:val="0"/>
          <w:color w:val="000000"/>
        </w:rPr>
        <w:lastRenderedPageBreak/>
        <w:t xml:space="preserve">If your hospital performs </w:t>
      </w:r>
      <w:r>
        <w:rPr>
          <w:rFonts w:cs="Arial"/>
          <w:i/>
          <w:snapToGrid w:val="0"/>
          <w:color w:val="000000"/>
        </w:rPr>
        <w:t>the Norwood procedure</w:t>
      </w:r>
      <w:r w:rsidRPr="004F5E10">
        <w:rPr>
          <w:rFonts w:cs="Arial"/>
          <w:i/>
          <w:snapToGrid w:val="0"/>
          <w:color w:val="000000"/>
        </w:rPr>
        <w:t xml:space="preserve"> (selected the checkbox in question #2), continue to question #</w:t>
      </w:r>
      <w:r w:rsidR="001A32DA">
        <w:rPr>
          <w:rFonts w:cs="Arial"/>
          <w:i/>
          <w:snapToGrid w:val="0"/>
          <w:color w:val="000000"/>
        </w:rPr>
        <w:t>1</w:t>
      </w:r>
      <w:r w:rsidR="005C65C2">
        <w:rPr>
          <w:rFonts w:cs="Arial"/>
          <w:i/>
          <w:snapToGrid w:val="0"/>
          <w:color w:val="000000"/>
        </w:rPr>
        <w:t>0</w:t>
      </w:r>
      <w:r w:rsidRPr="004F5E10">
        <w:rPr>
          <w:rFonts w:cs="Arial"/>
          <w:i/>
          <w:snapToGrid w:val="0"/>
          <w:color w:val="000000"/>
        </w:rPr>
        <w:t>. Otherwise, skip questions #</w:t>
      </w:r>
      <w:r w:rsidR="001A32DA">
        <w:rPr>
          <w:rFonts w:cs="Arial"/>
          <w:i/>
          <w:snapToGrid w:val="0"/>
          <w:color w:val="000000"/>
        </w:rPr>
        <w:t>1</w:t>
      </w:r>
      <w:r w:rsidR="005C65C2">
        <w:rPr>
          <w:rFonts w:cs="Arial"/>
          <w:i/>
          <w:snapToGrid w:val="0"/>
          <w:color w:val="000000"/>
        </w:rPr>
        <w:t>0</w:t>
      </w:r>
      <w:r w:rsidR="008837D6">
        <w:rPr>
          <w:rFonts w:cs="Arial"/>
          <w:i/>
          <w:snapToGrid w:val="0"/>
          <w:color w:val="000000"/>
        </w:rPr>
        <w:t>-1</w:t>
      </w:r>
      <w:r w:rsidR="005C65C2">
        <w:rPr>
          <w:rFonts w:cs="Arial"/>
          <w:i/>
          <w:snapToGrid w:val="0"/>
          <w:color w:val="000000"/>
        </w:rPr>
        <w:t>1</w:t>
      </w:r>
      <w:r w:rsidRPr="004F5E10">
        <w:rPr>
          <w:rFonts w:cs="Arial"/>
          <w:i/>
          <w:snapToGrid w:val="0"/>
          <w:color w:val="000000"/>
        </w:rPr>
        <w:t xml:space="preserve"> and continue to the next subsection.</w:t>
      </w:r>
    </w:p>
    <w:p w14:paraId="4CF4330D" w14:textId="77777777" w:rsidR="00B20811" w:rsidRDefault="00B20811" w:rsidP="000A3B4F">
      <w:pPr>
        <w:rPr>
          <w:rFonts w:cs="Arial"/>
          <w:snapToGrid w:val="0"/>
          <w:color w:val="000000"/>
        </w:rPr>
      </w:pPr>
    </w:p>
    <w:tbl>
      <w:tblPr>
        <w:tblW w:w="510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7"/>
        <w:gridCol w:w="4244"/>
      </w:tblGrid>
      <w:tr w:rsidR="00B20811" w:rsidRPr="004F5E10" w14:paraId="79F9E017" w14:textId="77777777" w:rsidTr="007A1E6D">
        <w:trPr>
          <w:cantSplit/>
          <w:trHeight w:val="2304"/>
        </w:trPr>
        <w:tc>
          <w:tcPr>
            <w:tcW w:w="2776" w:type="pct"/>
            <w:tcBorders>
              <w:top w:val="single" w:sz="4" w:space="0" w:color="auto"/>
              <w:left w:val="single" w:sz="4" w:space="0" w:color="auto"/>
              <w:bottom w:val="single" w:sz="4" w:space="0" w:color="auto"/>
              <w:right w:val="single" w:sz="4" w:space="0" w:color="auto"/>
            </w:tcBorders>
            <w:vAlign w:val="center"/>
          </w:tcPr>
          <w:p w14:paraId="0DB61BD6" w14:textId="0A027A86" w:rsidR="00B20811" w:rsidRPr="004F5E10" w:rsidRDefault="00B20811" w:rsidP="00322A3C">
            <w:pPr>
              <w:numPr>
                <w:ilvl w:val="0"/>
                <w:numId w:val="2"/>
              </w:numPr>
              <w:spacing w:before="120"/>
              <w:rPr>
                <w:rFonts w:cs="Arial"/>
                <w:snapToGrid w:val="0"/>
                <w:color w:val="000000"/>
              </w:rPr>
            </w:pPr>
            <w:r w:rsidRPr="004F5E10">
              <w:rPr>
                <w:rFonts w:cs="Arial"/>
                <w:snapToGrid w:val="0"/>
                <w:color w:val="000000"/>
              </w:rPr>
              <w:t xml:space="preserve">Does your hospital participate in the </w:t>
            </w:r>
            <w:hyperlink r:id="rId219" w:history="1">
              <w:r w:rsidRPr="004F5E10">
                <w:rPr>
                  <w:rFonts w:cs="Arial"/>
                  <w:snapToGrid w:val="0"/>
                  <w:color w:val="0000FF"/>
                  <w:u w:val="single"/>
                </w:rPr>
                <w:t>Society of Thoracic Surgeons (STS)</w:t>
              </w:r>
            </w:hyperlink>
            <w:r w:rsidRPr="004F5E10">
              <w:rPr>
                <w:rFonts w:cs="Arial"/>
                <w:snapToGrid w:val="0"/>
                <w:color w:val="000000"/>
              </w:rPr>
              <w:t xml:space="preserve"> </w:t>
            </w:r>
            <w:r w:rsidRPr="009D5C89">
              <w:rPr>
                <w:rFonts w:cs="Arial"/>
                <w:snapToGrid w:val="0"/>
                <w:color w:val="000000"/>
              </w:rPr>
              <w:t>Congenital Heart Surgery Database (CHSD)</w:t>
            </w:r>
            <w:r>
              <w:rPr>
                <w:rFonts w:cs="Arial"/>
                <w:snapToGrid w:val="0"/>
                <w:color w:val="000000"/>
              </w:rPr>
              <w:t xml:space="preserve"> </w:t>
            </w:r>
            <w:r w:rsidRPr="004F5E10">
              <w:rPr>
                <w:rFonts w:cs="Arial"/>
                <w:snapToGrid w:val="0"/>
                <w:color w:val="000000"/>
              </w:rPr>
              <w:t xml:space="preserve">and did your hospital submit data for </w:t>
            </w:r>
            <w:r w:rsidR="003D737B">
              <w:rPr>
                <w:rFonts w:cs="Arial"/>
                <w:snapToGrid w:val="0"/>
                <w:color w:val="000000"/>
              </w:rPr>
              <w:t>the Norwood procedure</w:t>
            </w:r>
            <w:r w:rsidRPr="004F5E10">
              <w:rPr>
                <w:rFonts w:cs="Arial"/>
                <w:snapToGrid w:val="0"/>
                <w:color w:val="000000"/>
              </w:rPr>
              <w:t xml:space="preserve"> during the most recent </w:t>
            </w:r>
            <w:r>
              <w:rPr>
                <w:rFonts w:cs="Arial"/>
                <w:snapToGrid w:val="0"/>
                <w:color w:val="000000"/>
              </w:rPr>
              <w:t>48</w:t>
            </w:r>
            <w:r w:rsidRPr="004F5E10">
              <w:rPr>
                <w:rFonts w:cs="Arial"/>
                <w:snapToGrid w:val="0"/>
                <w:color w:val="000000"/>
              </w:rPr>
              <w:t>-month period for which performance reports are available?</w:t>
            </w:r>
            <w:r w:rsidRPr="004F5E10">
              <w:rPr>
                <w:rFonts w:cs="Arial"/>
                <w:snapToGrid w:val="0"/>
                <w:color w:val="000000"/>
              </w:rPr>
              <w:br/>
            </w:r>
            <w:r w:rsidRPr="004F5E10">
              <w:rPr>
                <w:rFonts w:cs="Arial"/>
                <w:snapToGrid w:val="0"/>
                <w:color w:val="000000"/>
              </w:rPr>
              <w:br/>
            </w:r>
            <w:r w:rsidRPr="004F5E10">
              <w:rPr>
                <w:rFonts w:cs="Arial"/>
                <w:i/>
                <w:snapToGrid w:val="0"/>
                <w:color w:val="000000"/>
              </w:rPr>
              <w:t>If “no” to question #</w:t>
            </w:r>
            <w:r w:rsidR="005E7D37">
              <w:rPr>
                <w:rFonts w:cs="Arial"/>
                <w:i/>
                <w:snapToGrid w:val="0"/>
                <w:color w:val="000000"/>
              </w:rPr>
              <w:t>1</w:t>
            </w:r>
            <w:r w:rsidR="00FA2739">
              <w:rPr>
                <w:rFonts w:cs="Arial"/>
                <w:i/>
                <w:snapToGrid w:val="0"/>
                <w:color w:val="000000"/>
              </w:rPr>
              <w:t>0</w:t>
            </w:r>
            <w:r w:rsidRPr="004F5E10">
              <w:rPr>
                <w:rFonts w:cs="Arial"/>
                <w:i/>
                <w:snapToGrid w:val="0"/>
                <w:color w:val="000000"/>
              </w:rPr>
              <w:t>, skip question</w:t>
            </w:r>
            <w:r w:rsidR="00F01904">
              <w:rPr>
                <w:rFonts w:cs="Arial"/>
                <w:i/>
                <w:snapToGrid w:val="0"/>
                <w:color w:val="000000"/>
              </w:rPr>
              <w:t xml:space="preserve"> #1</w:t>
            </w:r>
            <w:r w:rsidR="00FA2739">
              <w:rPr>
                <w:rFonts w:cs="Arial"/>
                <w:i/>
                <w:snapToGrid w:val="0"/>
                <w:color w:val="000000"/>
              </w:rPr>
              <w:t>1</w:t>
            </w:r>
            <w:r w:rsidR="00F01904">
              <w:rPr>
                <w:rFonts w:cs="Arial"/>
                <w:i/>
                <w:snapToGrid w:val="0"/>
                <w:color w:val="000000"/>
              </w:rPr>
              <w:t xml:space="preserve"> </w:t>
            </w:r>
            <w:r w:rsidRPr="004F5E10">
              <w:rPr>
                <w:rFonts w:cs="Arial"/>
                <w:i/>
                <w:snapToGrid w:val="0"/>
                <w:color w:val="000000"/>
              </w:rPr>
              <w:t>and continue to the next subsection.</w:t>
            </w:r>
          </w:p>
        </w:tc>
        <w:tc>
          <w:tcPr>
            <w:tcW w:w="2224" w:type="pct"/>
            <w:tcBorders>
              <w:top w:val="single" w:sz="4" w:space="0" w:color="auto"/>
              <w:left w:val="single" w:sz="4" w:space="0" w:color="auto"/>
              <w:bottom w:val="single" w:sz="4" w:space="0" w:color="auto"/>
              <w:right w:val="single" w:sz="4" w:space="0" w:color="auto"/>
            </w:tcBorders>
            <w:vAlign w:val="center"/>
          </w:tcPr>
          <w:p w14:paraId="251AC462" w14:textId="77777777" w:rsidR="00D22736" w:rsidRDefault="00B20811" w:rsidP="00AD309C">
            <w:pPr>
              <w:pStyle w:val="ListParagraph"/>
              <w:numPr>
                <w:ilvl w:val="0"/>
                <w:numId w:val="241"/>
              </w:numPr>
              <w:rPr>
                <w:rFonts w:cs="Arial"/>
                <w:iCs/>
                <w:snapToGrid w:val="0"/>
              </w:rPr>
            </w:pPr>
            <w:r w:rsidRPr="000F3D1F">
              <w:rPr>
                <w:rFonts w:cs="Arial"/>
                <w:iCs/>
                <w:snapToGrid w:val="0"/>
              </w:rPr>
              <w:t>Yes</w:t>
            </w:r>
          </w:p>
          <w:p w14:paraId="1E5690B3" w14:textId="0A1CB581" w:rsidR="00B20811" w:rsidRPr="000F3D1F" w:rsidRDefault="00B20811" w:rsidP="00AD309C">
            <w:pPr>
              <w:pStyle w:val="ListParagraph"/>
              <w:numPr>
                <w:ilvl w:val="0"/>
                <w:numId w:val="241"/>
              </w:numPr>
              <w:rPr>
                <w:rFonts w:cs="Arial"/>
                <w:iCs/>
                <w:snapToGrid w:val="0"/>
              </w:rPr>
            </w:pPr>
            <w:r w:rsidRPr="000F3D1F">
              <w:rPr>
                <w:rFonts w:cs="Arial"/>
                <w:iCs/>
                <w:snapToGrid w:val="0"/>
              </w:rPr>
              <w:t>No</w:t>
            </w:r>
          </w:p>
        </w:tc>
      </w:tr>
      <w:tr w:rsidR="00B20811" w:rsidRPr="004F5E10" w14:paraId="269989CA" w14:textId="77777777" w:rsidTr="007A1E6D">
        <w:trPr>
          <w:cantSplit/>
          <w:trHeight w:val="1008"/>
        </w:trPr>
        <w:tc>
          <w:tcPr>
            <w:tcW w:w="2776" w:type="pct"/>
            <w:tcBorders>
              <w:top w:val="single" w:sz="4" w:space="0" w:color="auto"/>
              <w:left w:val="single" w:sz="4" w:space="0" w:color="auto"/>
              <w:bottom w:val="single" w:sz="4" w:space="0" w:color="auto"/>
              <w:right w:val="single" w:sz="4" w:space="0" w:color="auto"/>
            </w:tcBorders>
            <w:vAlign w:val="center"/>
          </w:tcPr>
          <w:p w14:paraId="0216D3FC" w14:textId="4A8C8D65" w:rsidR="00B20811" w:rsidRPr="004F5E10" w:rsidRDefault="00B20811" w:rsidP="00322A3C">
            <w:pPr>
              <w:numPr>
                <w:ilvl w:val="0"/>
                <w:numId w:val="2"/>
              </w:numPr>
              <w:spacing w:before="120"/>
              <w:rPr>
                <w:rFonts w:cs="Arial"/>
                <w:snapToGrid w:val="0"/>
                <w:color w:val="000000"/>
              </w:rPr>
            </w:pPr>
            <w:r w:rsidRPr="004F5E10">
              <w:rPr>
                <w:rFonts w:cs="Arial"/>
                <w:snapToGrid w:val="0"/>
                <w:color w:val="000000"/>
              </w:rPr>
              <w:t xml:space="preserve">What is the most recent </w:t>
            </w:r>
            <w:r>
              <w:rPr>
                <w:rFonts w:cs="Arial"/>
                <w:snapToGrid w:val="0"/>
                <w:color w:val="000000"/>
              </w:rPr>
              <w:t>48</w:t>
            </w:r>
            <w:r w:rsidRPr="004F5E10">
              <w:rPr>
                <w:rFonts w:cs="Arial"/>
                <w:snapToGrid w:val="0"/>
                <w:color w:val="000000"/>
              </w:rPr>
              <w:t>-month reporting period for which STS performance reports are available?</w:t>
            </w:r>
            <w:r>
              <w:rPr>
                <w:rFonts w:cs="Arial"/>
                <w:snapToGrid w:val="0"/>
                <w:color w:val="000000"/>
              </w:rPr>
              <w:t xml:space="preserve"> Reporting period ending:</w:t>
            </w:r>
          </w:p>
        </w:tc>
        <w:tc>
          <w:tcPr>
            <w:tcW w:w="2224" w:type="pct"/>
            <w:tcBorders>
              <w:top w:val="single" w:sz="4" w:space="0" w:color="auto"/>
              <w:left w:val="single" w:sz="4" w:space="0" w:color="auto"/>
              <w:bottom w:val="single" w:sz="4" w:space="0" w:color="auto"/>
              <w:right w:val="single" w:sz="4" w:space="0" w:color="auto"/>
            </w:tcBorders>
            <w:vAlign w:val="center"/>
          </w:tcPr>
          <w:p w14:paraId="418687D5" w14:textId="77777777" w:rsidR="00B91D49" w:rsidRPr="000F3D1F" w:rsidRDefault="00B91D49" w:rsidP="00B91D49">
            <w:pPr>
              <w:jc w:val="center"/>
              <w:rPr>
                <w:rFonts w:cs="Arial"/>
                <w:i/>
                <w:snapToGrid w:val="0"/>
                <w:sz w:val="16"/>
                <w:szCs w:val="16"/>
                <w:u w:val="single"/>
              </w:rPr>
            </w:pPr>
            <w:r w:rsidRPr="000F3D1F">
              <w:rPr>
                <w:rFonts w:cs="Arial"/>
                <w:i/>
                <w:snapToGrid w:val="0"/>
                <w:sz w:val="16"/>
                <w:szCs w:val="16"/>
                <w:u w:val="single"/>
              </w:rPr>
              <w:t>_________</w:t>
            </w:r>
          </w:p>
          <w:p w14:paraId="0D08D329" w14:textId="6115C8B9" w:rsidR="00B20811" w:rsidRPr="004F5E10" w:rsidRDefault="00B91D49" w:rsidP="00F72C9F">
            <w:pPr>
              <w:jc w:val="center"/>
              <w:rPr>
                <w:rFonts w:cs="Arial"/>
                <w:i/>
                <w:snapToGrid w:val="0"/>
                <w:sz w:val="16"/>
                <w:szCs w:val="16"/>
              </w:rPr>
            </w:pPr>
            <w:r>
              <w:rPr>
                <w:rFonts w:cs="Arial"/>
                <w:i/>
                <w:snapToGrid w:val="0"/>
                <w:sz w:val="16"/>
                <w:szCs w:val="16"/>
              </w:rPr>
              <w:t>Format: Month/Year</w:t>
            </w:r>
          </w:p>
        </w:tc>
      </w:tr>
    </w:tbl>
    <w:p w14:paraId="42DA3BF0" w14:textId="77777777" w:rsidR="00C837E6" w:rsidRDefault="00C837E6" w:rsidP="00C837E6">
      <w:pPr>
        <w:rPr>
          <w:rFonts w:cs="Arial"/>
          <w:b/>
          <w:i/>
          <w:snapToGrid w:val="0"/>
          <w:color w:val="000000"/>
        </w:rPr>
      </w:pPr>
    </w:p>
    <w:p w14:paraId="6EF17CFA" w14:textId="1AA83A88" w:rsidR="00C837E6" w:rsidRPr="008D20D6" w:rsidRDefault="00C837E6" w:rsidP="00C837E6">
      <w:pPr>
        <w:rPr>
          <w:rFonts w:cs="Arial"/>
          <w:b/>
          <w:i/>
          <w:snapToGrid w:val="0"/>
          <w:color w:val="000000"/>
          <w:sz w:val="22"/>
          <w:szCs w:val="22"/>
        </w:rPr>
      </w:pPr>
      <w:r w:rsidRPr="008D20D6">
        <w:rPr>
          <w:rFonts w:cs="Arial"/>
          <w:b/>
          <w:i/>
          <w:snapToGrid w:val="0"/>
          <w:color w:val="000000"/>
          <w:sz w:val="22"/>
          <w:szCs w:val="22"/>
        </w:rPr>
        <w:t>Additional Question (Optional – Fact-Finding Only)</w:t>
      </w:r>
    </w:p>
    <w:p w14:paraId="4154863F" w14:textId="77777777" w:rsidR="00C837E6" w:rsidRDefault="00C837E6" w:rsidP="00C837E6">
      <w:pPr>
        <w:rPr>
          <w:rFonts w:cs="Arial"/>
          <w:i/>
          <w:snapToGrid w:val="0"/>
          <w:color w:val="000000"/>
        </w:rPr>
      </w:pPr>
    </w:p>
    <w:tbl>
      <w:tblPr>
        <w:tblStyle w:val="TableGrid"/>
        <w:tblW w:w="9540" w:type="dxa"/>
        <w:tblInd w:w="-95" w:type="dxa"/>
        <w:tblLook w:val="04A0" w:firstRow="1" w:lastRow="0" w:firstColumn="1" w:lastColumn="0" w:noHBand="0" w:noVBand="1"/>
      </w:tblPr>
      <w:tblGrid>
        <w:gridCol w:w="5310"/>
        <w:gridCol w:w="4230"/>
      </w:tblGrid>
      <w:tr w:rsidR="00C837E6" w:rsidRPr="00AC38DA" w14:paraId="7CFB458C" w14:textId="77777777" w:rsidTr="00D07281">
        <w:tc>
          <w:tcPr>
            <w:tcW w:w="5310" w:type="dxa"/>
          </w:tcPr>
          <w:p w14:paraId="484B4820" w14:textId="77777777" w:rsidR="00C84450" w:rsidRDefault="00C837E6" w:rsidP="003D4E7F">
            <w:pPr>
              <w:pStyle w:val="ListParagraph"/>
              <w:numPr>
                <w:ilvl w:val="0"/>
                <w:numId w:val="2"/>
              </w:numPr>
              <w:rPr>
                <w:rFonts w:cs="Arial"/>
                <w:snapToGrid w:val="0"/>
                <w:color w:val="000000"/>
              </w:rPr>
            </w:pPr>
            <w:r w:rsidRPr="00AC38DA">
              <w:rPr>
                <w:rFonts w:cs="Arial"/>
                <w:snapToGrid w:val="0"/>
                <w:color w:val="000000"/>
              </w:rPr>
              <w:t xml:space="preserve">Does your hospital have surgeons that perform both total knee replacement and total hip replacement procedures? </w:t>
            </w:r>
          </w:p>
          <w:p w14:paraId="38FCEC99" w14:textId="77777777" w:rsidR="00C84450" w:rsidRDefault="00C84450" w:rsidP="00C84450">
            <w:pPr>
              <w:pStyle w:val="ListParagraph"/>
              <w:ind w:left="360"/>
              <w:rPr>
                <w:rFonts w:cs="Arial"/>
                <w:snapToGrid w:val="0"/>
                <w:color w:val="000000"/>
              </w:rPr>
            </w:pPr>
          </w:p>
          <w:p w14:paraId="62AEE970" w14:textId="19A3B900" w:rsidR="00C837E6" w:rsidRPr="008277D2" w:rsidRDefault="00C837E6" w:rsidP="008277D2">
            <w:pPr>
              <w:pStyle w:val="ListParagraph"/>
              <w:ind w:left="360"/>
              <w:rPr>
                <w:rFonts w:cs="Arial"/>
                <w:i/>
                <w:iCs/>
                <w:snapToGrid w:val="0"/>
                <w:color w:val="000000"/>
              </w:rPr>
            </w:pPr>
            <w:r w:rsidRPr="008277D2">
              <w:rPr>
                <w:rFonts w:cs="Arial"/>
                <w:i/>
                <w:iCs/>
                <w:snapToGrid w:val="0"/>
                <w:color w:val="000000"/>
              </w:rPr>
              <w:t>This question only applies to hospitals that perform both total knee replacement and total hip replacement procedures.</w:t>
            </w:r>
          </w:p>
          <w:p w14:paraId="6B3E639F" w14:textId="77777777" w:rsidR="00C837E6" w:rsidRDefault="00C837E6" w:rsidP="003D4E7F">
            <w:pPr>
              <w:pStyle w:val="ListParagraph"/>
              <w:ind w:left="360"/>
              <w:rPr>
                <w:rFonts w:cs="Arial"/>
                <w:snapToGrid w:val="0"/>
                <w:color w:val="000000"/>
              </w:rPr>
            </w:pPr>
          </w:p>
          <w:p w14:paraId="5380C737" w14:textId="77777777" w:rsidR="00C837E6" w:rsidRPr="00864530" w:rsidRDefault="00C837E6" w:rsidP="003D4E7F">
            <w:pPr>
              <w:pStyle w:val="ListParagraph"/>
              <w:ind w:left="360"/>
              <w:rPr>
                <w:rFonts w:cs="Arial"/>
                <w:i/>
                <w:iCs/>
                <w:snapToGrid w:val="0"/>
                <w:color w:val="000000"/>
              </w:rPr>
            </w:pPr>
            <w:r>
              <w:rPr>
                <w:rFonts w:cs="Arial"/>
                <w:i/>
                <w:iCs/>
                <w:snapToGrid w:val="0"/>
                <w:color w:val="000000"/>
              </w:rPr>
              <w:t>R</w:t>
            </w:r>
            <w:r w:rsidRPr="004F3363">
              <w:rPr>
                <w:rFonts w:cs="Arial"/>
                <w:i/>
                <w:iCs/>
                <w:snapToGrid w:val="0"/>
                <w:color w:val="000000"/>
              </w:rPr>
              <w:t>esponse will not be scored or publicly reported in 202</w:t>
            </w:r>
            <w:r>
              <w:rPr>
                <w:rFonts w:cs="Arial"/>
                <w:i/>
                <w:iCs/>
                <w:snapToGrid w:val="0"/>
                <w:color w:val="000000"/>
              </w:rPr>
              <w:t>6.</w:t>
            </w:r>
          </w:p>
          <w:p w14:paraId="0E677DF2" w14:textId="77777777" w:rsidR="00C837E6" w:rsidRPr="00AC38DA" w:rsidRDefault="00C837E6" w:rsidP="003D4E7F">
            <w:pPr>
              <w:pStyle w:val="ListParagraph"/>
              <w:ind w:left="360"/>
              <w:rPr>
                <w:rFonts w:cs="Arial"/>
                <w:snapToGrid w:val="0"/>
                <w:color w:val="000000"/>
              </w:rPr>
            </w:pPr>
          </w:p>
        </w:tc>
        <w:tc>
          <w:tcPr>
            <w:tcW w:w="4230" w:type="dxa"/>
          </w:tcPr>
          <w:p w14:paraId="33577525" w14:textId="77777777" w:rsidR="00C837E6" w:rsidRDefault="00C837E6" w:rsidP="003D4E7F">
            <w:pPr>
              <w:rPr>
                <w:rFonts w:cs="Arial"/>
                <w:snapToGrid w:val="0"/>
                <w:color w:val="000000"/>
              </w:rPr>
            </w:pPr>
          </w:p>
          <w:p w14:paraId="3D35EA2D" w14:textId="77777777" w:rsidR="00C837E6" w:rsidRDefault="00C837E6" w:rsidP="003D4E7F">
            <w:pPr>
              <w:rPr>
                <w:rFonts w:cs="Arial"/>
                <w:snapToGrid w:val="0"/>
                <w:color w:val="000000"/>
              </w:rPr>
            </w:pPr>
          </w:p>
          <w:p w14:paraId="5865A31A" w14:textId="77777777" w:rsidR="00C837E6" w:rsidRDefault="00C837E6" w:rsidP="003D4E7F">
            <w:pPr>
              <w:pStyle w:val="ListParagraph"/>
              <w:numPr>
                <w:ilvl w:val="0"/>
                <w:numId w:val="241"/>
              </w:numPr>
              <w:rPr>
                <w:rFonts w:cs="Arial"/>
                <w:iCs/>
                <w:snapToGrid w:val="0"/>
              </w:rPr>
            </w:pPr>
            <w:r w:rsidRPr="000F3D1F">
              <w:rPr>
                <w:rFonts w:cs="Arial"/>
                <w:iCs/>
                <w:snapToGrid w:val="0"/>
              </w:rPr>
              <w:t>Yes</w:t>
            </w:r>
          </w:p>
          <w:p w14:paraId="4E2F05B8" w14:textId="77777777" w:rsidR="00C837E6" w:rsidRPr="00AC38DA" w:rsidRDefault="00C837E6" w:rsidP="003D4E7F">
            <w:pPr>
              <w:pStyle w:val="ListParagraph"/>
              <w:numPr>
                <w:ilvl w:val="0"/>
                <w:numId w:val="241"/>
              </w:numPr>
              <w:rPr>
                <w:rFonts w:cs="Arial"/>
                <w:iCs/>
                <w:snapToGrid w:val="0"/>
              </w:rPr>
            </w:pPr>
            <w:r w:rsidRPr="00AC38DA">
              <w:rPr>
                <w:rFonts w:cs="Arial"/>
                <w:iCs/>
                <w:snapToGrid w:val="0"/>
              </w:rPr>
              <w:t>No</w:t>
            </w:r>
          </w:p>
        </w:tc>
      </w:tr>
    </w:tbl>
    <w:p w14:paraId="7528CF11" w14:textId="44DC6AA0" w:rsidR="005B2EEB" w:rsidRPr="009A5185" w:rsidDel="00117DA0" w:rsidRDefault="000A3B4F" w:rsidP="000A3B4F">
      <w:pPr>
        <w:rPr>
          <w:rFonts w:cs="Arial"/>
          <w:snapToGrid w:val="0"/>
          <w:color w:val="000000"/>
        </w:rPr>
      </w:pPr>
      <w:r w:rsidRPr="009A5185">
        <w:rPr>
          <w:rFonts w:cs="Arial"/>
          <w:snapToGrid w:val="0"/>
          <w:color w:val="000000"/>
        </w:rPr>
        <w:br w:type="page"/>
      </w:r>
    </w:p>
    <w:p w14:paraId="31C8F212" w14:textId="0289E1E2" w:rsidR="00B91D49" w:rsidRDefault="00B91D49" w:rsidP="00CF5A6E">
      <w:pPr>
        <w:pStyle w:val="Heading2"/>
      </w:pPr>
      <w:bookmarkStart w:id="234" w:name="_Toc225877709"/>
      <w:r w:rsidRPr="009A5185">
        <w:lastRenderedPageBreak/>
        <w:t>3</w:t>
      </w:r>
      <w:r w:rsidR="00D22736">
        <w:t>B</w:t>
      </w:r>
      <w:r w:rsidRPr="009A5185">
        <w:t>: S</w:t>
      </w:r>
      <w:r>
        <w:t>afe Surgery Checklist for Adult and Pediatric Complex Surgery</w:t>
      </w:r>
      <w:bookmarkEnd w:id="234"/>
    </w:p>
    <w:p w14:paraId="687A2EB4" w14:textId="182841C6" w:rsidR="00ED3FE0" w:rsidRPr="009A5185" w:rsidRDefault="00ED3FE0" w:rsidP="00ED3FE0">
      <w:pPr>
        <w:rPr>
          <w:rFonts w:cs="Arial"/>
        </w:rPr>
      </w:pPr>
      <w:r>
        <w:rPr>
          <w:rFonts w:cs="Arial"/>
          <w:snapToGrid w:val="0"/>
        </w:rPr>
        <w:br/>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220" w:history="1">
        <w:r w:rsidRPr="009A5185">
          <w:rPr>
            <w:rStyle w:val="Hyperlink"/>
            <w:rFonts w:cs="Arial"/>
            <w:snapToGrid w:val="0"/>
          </w:rPr>
          <w:t>Leapfrog’s Multi-Campus Reporting Policy</w:t>
        </w:r>
      </w:hyperlink>
      <w:r w:rsidRPr="009A5185">
        <w:rPr>
          <w:rFonts w:cs="Arial"/>
          <w:snapToGrid w:val="0"/>
        </w:rPr>
        <w:t>.</w:t>
      </w:r>
    </w:p>
    <w:p w14:paraId="45093997" w14:textId="017A4B7F" w:rsidR="00D1021F" w:rsidRPr="002C31BB" w:rsidRDefault="00D1021F" w:rsidP="000C331C"/>
    <w:p w14:paraId="4BAB0A66" w14:textId="77777777" w:rsidR="005B7658" w:rsidRPr="00895070" w:rsidRDefault="005B7658" w:rsidP="005B7658">
      <w:pPr>
        <w:pStyle w:val="BodyText3"/>
        <w:rPr>
          <w:rFonts w:cs="Arial"/>
          <w:b/>
          <w:color w:val="FF0000"/>
        </w:rPr>
      </w:pPr>
      <w:r w:rsidRPr="00895070">
        <w:rPr>
          <w:rFonts w:cs="Arial"/>
          <w:b/>
          <w:color w:val="FF0000"/>
        </w:rPr>
        <w:t>Important Notes:</w:t>
      </w:r>
    </w:p>
    <w:p w14:paraId="7BBABC80" w14:textId="77777777" w:rsidR="005B7658" w:rsidRPr="002C31BB" w:rsidRDefault="005B7658" w:rsidP="005B7658"/>
    <w:p w14:paraId="45DE6559" w14:textId="5BEDB39A" w:rsidR="005B7658" w:rsidRPr="00895070" w:rsidRDefault="005B7658" w:rsidP="005B7658">
      <w:pPr>
        <w:rPr>
          <w:rFonts w:cs="Arial"/>
        </w:rPr>
      </w:pPr>
      <w:r w:rsidRPr="00895070">
        <w:rPr>
          <w:rFonts w:cs="Arial"/>
        </w:rPr>
        <w:t xml:space="preserve">Note 1: The elements required for each stage of the safe surgery checklist are adapted from the </w:t>
      </w:r>
      <w:hyperlink r:id="rId221" w:history="1">
        <w:r w:rsidRPr="00895070">
          <w:rPr>
            <w:rStyle w:val="Hyperlink"/>
            <w:rFonts w:cs="Arial"/>
          </w:rPr>
          <w:t>WHO Surgical Safety Checklist</w:t>
        </w:r>
      </w:hyperlink>
      <w:r w:rsidRPr="00895070">
        <w:rPr>
          <w:rFonts w:cs="Arial"/>
        </w:rPr>
        <w:t xml:space="preserve"> and the </w:t>
      </w:r>
      <w:hyperlink r:id="rId222" w:history="1">
        <w:r w:rsidRPr="00895070">
          <w:rPr>
            <w:rStyle w:val="Hyperlink"/>
            <w:rFonts w:cs="Arial"/>
          </w:rPr>
          <w:t>AHRQ Endoscopy Checklist</w:t>
        </w:r>
      </w:hyperlink>
      <w:r w:rsidRPr="00895070">
        <w:rPr>
          <w:rFonts w:cs="Arial"/>
        </w:rPr>
        <w:t>.</w:t>
      </w:r>
    </w:p>
    <w:p w14:paraId="67BA8100" w14:textId="78F3C3B9" w:rsidR="00A3005E" w:rsidRPr="002C31BB" w:rsidRDefault="00A3005E" w:rsidP="005B7658">
      <w:pPr>
        <w:rPr>
          <w:rFonts w:cs="Arial"/>
        </w:rPr>
      </w:pPr>
    </w:p>
    <w:p w14:paraId="60D37EDB" w14:textId="478A8111" w:rsidR="003D1390" w:rsidRDefault="00A3005E" w:rsidP="005B7658">
      <w:pPr>
        <w:rPr>
          <w:bCs/>
        </w:rPr>
      </w:pPr>
      <w:r w:rsidRPr="00722F1B">
        <w:rPr>
          <w:bCs/>
        </w:rPr>
        <w:t xml:space="preserve">Note </w:t>
      </w:r>
      <w:r w:rsidR="00ED3FE0">
        <w:rPr>
          <w:bCs/>
        </w:rPr>
        <w:t>2</w:t>
      </w:r>
      <w:r w:rsidRPr="00722F1B">
        <w:rPr>
          <w:bCs/>
        </w:rPr>
        <w:t xml:space="preserve">: </w:t>
      </w:r>
      <w:r w:rsidR="003D1390">
        <w:rPr>
          <w:bCs/>
        </w:rPr>
        <w:t xml:space="preserve">Question #7 will not be used in scoring or public reporting. </w:t>
      </w:r>
    </w:p>
    <w:p w14:paraId="7222B9F1" w14:textId="77777777" w:rsidR="003D1390" w:rsidRPr="000F3D1F" w:rsidRDefault="003D1390" w:rsidP="005B7658">
      <w:pPr>
        <w:rPr>
          <w:bCs/>
          <w:sz w:val="16"/>
          <w:szCs w:val="16"/>
        </w:rPr>
      </w:pPr>
    </w:p>
    <w:p w14:paraId="3AA89189" w14:textId="2C2C33CC" w:rsidR="00A3005E" w:rsidRDefault="003D1390" w:rsidP="005B7658">
      <w:pPr>
        <w:rPr>
          <w:bCs/>
        </w:rPr>
      </w:pPr>
      <w:r>
        <w:rPr>
          <w:bCs/>
        </w:rPr>
        <w:t xml:space="preserve">Note 3: </w:t>
      </w:r>
      <w:r w:rsidR="00A3005E" w:rsidRPr="00722F1B">
        <w:rPr>
          <w:bCs/>
        </w:rPr>
        <w:t xml:space="preserve">Hyperlinks throughout this subsection refer to </w:t>
      </w:r>
      <w:r w:rsidR="00A3005E">
        <w:rPr>
          <w:bCs/>
        </w:rPr>
        <w:t xml:space="preserve">the </w:t>
      </w:r>
      <w:hyperlink w:anchor="safesurgfaqs3c" w:history="1">
        <w:r w:rsidR="00A3005E">
          <w:rPr>
            <w:rStyle w:val="Hyperlink"/>
            <w:bCs/>
          </w:rPr>
          <w:t xml:space="preserve">Safe Surgery </w:t>
        </w:r>
        <w:r w:rsidR="00F50527">
          <w:rPr>
            <w:rStyle w:val="Hyperlink"/>
            <w:bCs/>
          </w:rPr>
          <w:t>Checklist</w:t>
        </w:r>
        <w:r w:rsidR="00A3005E">
          <w:rPr>
            <w:rStyle w:val="Hyperlink"/>
            <w:bCs/>
          </w:rPr>
          <w:t xml:space="preserve"> for Adult and Pediatric Complex Surgery FAQs</w:t>
        </w:r>
      </w:hyperlink>
      <w:r w:rsidR="00D76BEC" w:rsidRPr="00C0227C">
        <w:rPr>
          <w:rStyle w:val="Hyperlink"/>
          <w:bCs/>
          <w:color w:val="auto"/>
          <w:u w:val="none"/>
        </w:rPr>
        <w:t xml:space="preserve"> beginning on page </w:t>
      </w:r>
      <w:r w:rsidR="00F77A7F">
        <w:rPr>
          <w:bCs/>
        </w:rPr>
        <w:fldChar w:fldCharType="begin"/>
      </w:r>
      <w:r w:rsidR="00F77A7F">
        <w:rPr>
          <w:rStyle w:val="Hyperlink"/>
          <w:bCs/>
        </w:rPr>
        <w:instrText xml:space="preserve"> PAGEREF safesurgfaqs3c \h </w:instrText>
      </w:r>
      <w:r w:rsidR="00F77A7F">
        <w:rPr>
          <w:bCs/>
        </w:rPr>
      </w:r>
      <w:r w:rsidR="00F77A7F">
        <w:rPr>
          <w:bCs/>
        </w:rPr>
        <w:fldChar w:fldCharType="separate"/>
      </w:r>
      <w:r w:rsidR="007D53A2">
        <w:rPr>
          <w:rStyle w:val="Hyperlink"/>
          <w:bCs/>
          <w:noProof/>
        </w:rPr>
        <w:t>14</w:t>
      </w:r>
      <w:r w:rsidR="00F77A7F">
        <w:rPr>
          <w:bCs/>
        </w:rPr>
        <w:fldChar w:fldCharType="end"/>
      </w:r>
      <w:r w:rsidR="004640AB">
        <w:rPr>
          <w:bCs/>
        </w:rPr>
        <w:t>5</w:t>
      </w:r>
      <w:r w:rsidR="001E2464">
        <w:rPr>
          <w:bCs/>
        </w:rPr>
        <w:t>,</w:t>
      </w:r>
      <w:r w:rsidR="00A3005E" w:rsidRPr="004A60F9">
        <w:rPr>
          <w:bCs/>
        </w:rPr>
        <w:t xml:space="preserve"> not to endnotes. These hyperlinks are not include</w:t>
      </w:r>
      <w:r w:rsidR="00A3005E">
        <w:rPr>
          <w:bCs/>
        </w:rPr>
        <w:t>d in the Online Survey Tool</w:t>
      </w:r>
      <w:r w:rsidR="00A3005E" w:rsidRPr="004A60F9">
        <w:rPr>
          <w:bCs/>
        </w:rPr>
        <w:t>.</w:t>
      </w:r>
      <w:r w:rsidR="00A3005E" w:rsidRPr="00722F1B">
        <w:rPr>
          <w:bCs/>
        </w:rPr>
        <w:t xml:space="preserve"> </w:t>
      </w:r>
    </w:p>
    <w:p w14:paraId="42B7678B" w14:textId="110C20FB" w:rsidR="00D24EC5" w:rsidRPr="002C31BB" w:rsidRDefault="00D24EC5" w:rsidP="005B7658">
      <w:pPr>
        <w:rPr>
          <w:bCs/>
        </w:rPr>
      </w:pPr>
    </w:p>
    <w:p w14:paraId="1959FCBA" w14:textId="5992A301" w:rsidR="00D24EC5" w:rsidRPr="00A3005E" w:rsidRDefault="00D24EC5" w:rsidP="005B7658">
      <w:pPr>
        <w:rPr>
          <w:bCs/>
        </w:rPr>
      </w:pPr>
      <w:r w:rsidRPr="00AC2D85">
        <w:rPr>
          <w:b/>
        </w:rPr>
        <w:t>Specifications:</w:t>
      </w:r>
      <w:r>
        <w:rPr>
          <w:bCs/>
        </w:rPr>
        <w:t xml:space="preserve"> See</w:t>
      </w:r>
      <w:r w:rsidR="00ED4ABD">
        <w:rPr>
          <w:bCs/>
        </w:rPr>
        <w:t xml:space="preserve"> </w:t>
      </w:r>
      <w:hyperlink w:anchor="_Safe_Surgery_Checklist_2" w:history="1">
        <w:r w:rsidR="00ED4ABD" w:rsidRPr="00ED4ABD">
          <w:rPr>
            <w:rStyle w:val="Hyperlink"/>
            <w:b/>
            <w:i/>
            <w:iCs/>
          </w:rPr>
          <w:t>Safe Surgery Checklist for Adult and Pediatric Complex Surgery</w:t>
        </w:r>
      </w:hyperlink>
      <w:r w:rsidR="00ED3FE0">
        <w:rPr>
          <w:rStyle w:val="Hyperlink"/>
          <w:b/>
          <w:i/>
          <w:iCs/>
        </w:rPr>
        <w:t xml:space="preserve"> Measure Specifications</w:t>
      </w:r>
      <w:r w:rsidR="00ED4ABD">
        <w:rPr>
          <w:bCs/>
        </w:rPr>
        <w:t xml:space="preserve"> </w:t>
      </w:r>
      <w:r w:rsidRPr="009A5185">
        <w:rPr>
          <w:rFonts w:cs="Arial"/>
          <w:snapToGrid w:val="0"/>
        </w:rPr>
        <w:t xml:space="preserve">in the Reference Information </w:t>
      </w:r>
      <w:r w:rsidR="00F77A7F">
        <w:rPr>
          <w:rFonts w:cs="Arial"/>
          <w:snapToGrid w:val="0"/>
        </w:rPr>
        <w:t>beginning on page</w:t>
      </w:r>
      <w:r w:rsidR="00C35651">
        <w:rPr>
          <w:rFonts w:cs="Arial"/>
          <w:snapToGrid w:val="0"/>
        </w:rPr>
        <w:t xml:space="preserve"> 1</w:t>
      </w:r>
      <w:r w:rsidR="00423A63">
        <w:rPr>
          <w:rFonts w:cs="Arial"/>
          <w:snapToGrid w:val="0"/>
        </w:rPr>
        <w:t>41</w:t>
      </w:r>
      <w:r w:rsidR="00F77A7F">
        <w:rPr>
          <w:rFonts w:cs="Arial"/>
          <w:snapToGrid w:val="0"/>
        </w:rPr>
        <w:t>.</w:t>
      </w:r>
    </w:p>
    <w:p w14:paraId="4655CB42" w14:textId="77777777" w:rsidR="005B7658" w:rsidRPr="00C8246A" w:rsidRDefault="005B7658" w:rsidP="005B7658">
      <w:pPr>
        <w:rPr>
          <w:rFonts w:cs="Arial"/>
          <w:b/>
          <w:sz w:val="16"/>
          <w:szCs w:val="16"/>
        </w:rPr>
      </w:pPr>
    </w:p>
    <w:p w14:paraId="0087DDFC" w14:textId="5AFCB64F" w:rsidR="005B7658" w:rsidRDefault="004914DC" w:rsidP="005B7658">
      <w:pPr>
        <w:rPr>
          <w:rFonts w:cs="Arial"/>
          <w:b/>
        </w:rPr>
      </w:pPr>
      <w:r w:rsidRPr="004914DC">
        <w:rPr>
          <w:rFonts w:cs="Arial"/>
          <w:b/>
          <w:noProof/>
        </w:rPr>
        <mc:AlternateContent>
          <mc:Choice Requires="wps">
            <w:drawing>
              <wp:inline distT="0" distB="0" distL="0" distR="0" wp14:anchorId="2BEAEE02" wp14:editId="2B9C5994">
                <wp:extent cx="5923722" cy="1404620"/>
                <wp:effectExtent l="0" t="0" r="20320" b="22860"/>
                <wp:docPr id="29" name="Text Box 29" descr="P2987TB1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722" cy="1404620"/>
                        </a:xfrm>
                        <a:prstGeom prst="rect">
                          <a:avLst/>
                        </a:prstGeom>
                        <a:solidFill>
                          <a:srgbClr val="FFFFFF"/>
                        </a:solidFill>
                        <a:ln w="9525">
                          <a:solidFill>
                            <a:srgbClr val="FF0000"/>
                          </a:solidFill>
                          <a:miter lim="800000"/>
                          <a:headEnd/>
                          <a:tailEnd/>
                        </a:ln>
                      </wps:spPr>
                      <wps:txbx>
                        <w:txbxContent>
                          <w:p w14:paraId="48F91E29" w14:textId="770C24B1" w:rsidR="003D1390" w:rsidRPr="00895070" w:rsidRDefault="004914DC" w:rsidP="003D1390">
                            <w:pPr>
                              <w:spacing w:before="120"/>
                              <w:rPr>
                                <w:rFonts w:cs="Arial"/>
                                <w:b/>
                                <w:snapToGrid w:val="0"/>
                              </w:rPr>
                            </w:pPr>
                            <w:r w:rsidRPr="00895070">
                              <w:rPr>
                                <w:rFonts w:cs="Arial"/>
                                <w:b/>
                                <w:snapToGrid w:val="0"/>
                              </w:rPr>
                              <w:t xml:space="preserve">Reporting Period: </w:t>
                            </w:r>
                            <w:r w:rsidR="003D1390">
                              <w:rPr>
                                <w:rFonts w:cs="Arial"/>
                                <w:b/>
                                <w:snapToGrid w:val="0"/>
                              </w:rPr>
                              <w:t>12</w:t>
                            </w:r>
                            <w:r w:rsidR="003D1390" w:rsidRPr="00895070">
                              <w:rPr>
                                <w:rFonts w:cs="Arial"/>
                                <w:b/>
                                <w:snapToGrid w:val="0"/>
                              </w:rPr>
                              <w:t xml:space="preserve"> months</w:t>
                            </w:r>
                          </w:p>
                          <w:p w14:paraId="293E44D5" w14:textId="77777777" w:rsidR="00B90CB9" w:rsidRPr="00895070" w:rsidRDefault="00B90CB9" w:rsidP="00B90CB9">
                            <w:pPr>
                              <w:rPr>
                                <w:snapToGrid w:val="0"/>
                              </w:rPr>
                            </w:pPr>
                            <w:r w:rsidRPr="00895070">
                              <w:rPr>
                                <w:snapToGrid w:val="0"/>
                              </w:rPr>
                              <w:t>Answer questions #1-</w:t>
                            </w:r>
                            <w:r>
                              <w:rPr>
                                <w:snapToGrid w:val="0"/>
                              </w:rPr>
                              <w:t>9</w:t>
                            </w:r>
                            <w:r w:rsidRPr="00895070">
                              <w:rPr>
                                <w:snapToGrid w:val="0"/>
                              </w:rPr>
                              <w:t xml:space="preserve"> for the latest </w:t>
                            </w:r>
                            <w:r>
                              <w:rPr>
                                <w:snapToGrid w:val="0"/>
                              </w:rPr>
                              <w:t>12</w:t>
                            </w:r>
                            <w:r w:rsidRPr="00895070">
                              <w:rPr>
                                <w:snapToGrid w:val="0"/>
                              </w:rPr>
                              <w:t>-month period prior to submission of this section of the Survey.</w:t>
                            </w:r>
                          </w:p>
                          <w:p w14:paraId="163F3450" w14:textId="77777777" w:rsidR="004914DC" w:rsidRPr="00895070" w:rsidRDefault="004914DC" w:rsidP="00C06753">
                            <w:pPr>
                              <w:rPr>
                                <w:snapToGrid w:val="0"/>
                              </w:rPr>
                            </w:pPr>
                          </w:p>
                          <w:p w14:paraId="3C0EA609" w14:textId="11C6A89F" w:rsidR="004914DC" w:rsidRDefault="004914DC" w:rsidP="004914DC">
                            <w:r w:rsidRPr="00895070">
                              <w:rPr>
                                <w:rFonts w:cs="Arial"/>
                                <w:sz w:val="16"/>
                                <w:szCs w:val="16"/>
                              </w:rPr>
                              <w:t xml:space="preserve">Note: As a reminder, the </w:t>
                            </w:r>
                            <w:hyperlink r:id="rId223" w:history="1">
                              <w:r w:rsidRPr="00895070">
                                <w:rPr>
                                  <w:rStyle w:val="Hyperlink"/>
                                  <w:rFonts w:cs="Arial"/>
                                  <w:sz w:val="16"/>
                                  <w:szCs w:val="16"/>
                                </w:rPr>
                                <w:t>Corrections Period</w:t>
                              </w:r>
                            </w:hyperlink>
                            <w:r w:rsidRPr="00895070">
                              <w:rPr>
                                <w:rFonts w:cs="Arial"/>
                                <w:sz w:val="16"/>
                                <w:szCs w:val="16"/>
                              </w:rPr>
                              <w:t xml:space="preserve"> (December 1-January 31) is reserved for corrections to previously submitted Surveys only. </w:t>
                            </w:r>
                            <w:r w:rsidRPr="00895070">
                              <w:rPr>
                                <w:rFonts w:cs="Arial"/>
                                <w:bCs/>
                                <w:snapToGrid w:val="0"/>
                                <w:sz w:val="16"/>
                                <w:szCs w:val="16"/>
                              </w:rPr>
                              <w:t xml:space="preserve">Any updates made to reflect a change in performance must be made prior to the November 30 Late Submission </w:t>
                            </w:r>
                            <w:r w:rsidRPr="00AE38C7">
                              <w:rPr>
                                <w:rFonts w:cs="Arial"/>
                                <w:bCs/>
                                <w:snapToGrid w:val="0"/>
                                <w:sz w:val="16"/>
                                <w:szCs w:val="16"/>
                              </w:rPr>
                              <w:t>and Performance Update</w:t>
                            </w:r>
                            <w:r>
                              <w:rPr>
                                <w:rFonts w:cs="Arial"/>
                                <w:bCs/>
                                <w:snapToGrid w:val="0"/>
                                <w:sz w:val="16"/>
                                <w:szCs w:val="16"/>
                              </w:rPr>
                              <w:t xml:space="preserve"> </w:t>
                            </w:r>
                            <w:r w:rsidRPr="00895070">
                              <w:rPr>
                                <w:rFonts w:cs="Arial"/>
                                <w:bCs/>
                                <w:snapToGrid w:val="0"/>
                                <w:sz w:val="16"/>
                                <w:szCs w:val="16"/>
                              </w:rPr>
                              <w:t>Deadline. Updates made to reflect a change in performance after November 30 will not be scored or publicly reported.</w:t>
                            </w:r>
                          </w:p>
                        </w:txbxContent>
                      </wps:txbx>
                      <wps:bodyPr rot="0" vert="horz" wrap="square" lIns="91440" tIns="45720" rIns="91440" bIns="45720" anchor="t" anchorCtr="0">
                        <a:spAutoFit/>
                      </wps:bodyPr>
                    </wps:wsp>
                  </a:graphicData>
                </a:graphic>
              </wp:inline>
            </w:drawing>
          </mc:Choice>
          <mc:Fallback>
            <w:pict>
              <v:shape w14:anchorId="2BEAEE02" id="Text Box 29" o:spid="_x0000_s1039" type="#_x0000_t202" alt="P2987TB12#y1" style="width:466.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" strokecolor="red">
                <v:textbox style="mso-fit-shape-to-text:t">
                  <w:txbxContent>
                    <w:p w14:paraId="48F91E29" w14:textId="770C24B1" w:rsidR="003D1390" w:rsidRPr="00895070" w:rsidRDefault="004914DC" w:rsidP="003D1390">
                      <w:pPr>
                        <w:spacing w:before="120"/>
                        <w:rPr>
                          <w:rFonts w:cs="Arial"/>
                          <w:b/>
                          <w:snapToGrid w:val="0"/>
                        </w:rPr>
                      </w:pPr>
                      <w:r w:rsidRPr="00895070">
                        <w:rPr>
                          <w:rFonts w:cs="Arial"/>
                          <w:b/>
                          <w:snapToGrid w:val="0"/>
                        </w:rPr>
                        <w:t xml:space="preserve">Reporting Period: </w:t>
                      </w:r>
                      <w:r w:rsidR="003D1390">
                        <w:rPr>
                          <w:rFonts w:cs="Arial"/>
                          <w:b/>
                          <w:snapToGrid w:val="0"/>
                        </w:rPr>
                        <w:t>12</w:t>
                      </w:r>
                      <w:r w:rsidR="003D1390" w:rsidRPr="00895070">
                        <w:rPr>
                          <w:rFonts w:cs="Arial"/>
                          <w:b/>
                          <w:snapToGrid w:val="0"/>
                        </w:rPr>
                        <w:t xml:space="preserve"> months</w:t>
                      </w:r>
                    </w:p>
                    <w:p w14:paraId="293E44D5" w14:textId="77777777" w:rsidR="00B90CB9" w:rsidRPr="00895070" w:rsidRDefault="00B90CB9" w:rsidP="00B90CB9">
                      <w:pPr>
                        <w:rPr>
                          <w:snapToGrid w:val="0"/>
                        </w:rPr>
                      </w:pPr>
                      <w:r w:rsidRPr="00895070">
                        <w:rPr>
                          <w:snapToGrid w:val="0"/>
                        </w:rPr>
                        <w:t>Answer questions #1-</w:t>
                      </w:r>
                      <w:r>
                        <w:rPr>
                          <w:snapToGrid w:val="0"/>
                        </w:rPr>
                        <w:t>9</w:t>
                      </w:r>
                      <w:r w:rsidRPr="00895070">
                        <w:rPr>
                          <w:snapToGrid w:val="0"/>
                        </w:rPr>
                        <w:t xml:space="preserve"> for the latest </w:t>
                      </w:r>
                      <w:r>
                        <w:rPr>
                          <w:snapToGrid w:val="0"/>
                        </w:rPr>
                        <w:t>12</w:t>
                      </w:r>
                      <w:r w:rsidRPr="00895070">
                        <w:rPr>
                          <w:snapToGrid w:val="0"/>
                        </w:rPr>
                        <w:t>-month period prior to submission of this section of the Survey.</w:t>
                      </w:r>
                    </w:p>
                    <w:p w14:paraId="163F3450" w14:textId="77777777" w:rsidR="004914DC" w:rsidRPr="00895070" w:rsidRDefault="004914DC" w:rsidP="00C06753">
                      <w:pPr>
                        <w:rPr>
                          <w:snapToGrid w:val="0"/>
                        </w:rPr>
                      </w:pPr>
                    </w:p>
                    <w:p w14:paraId="3C0EA609" w14:textId="11C6A89F" w:rsidR="004914DC" w:rsidRDefault="004914DC" w:rsidP="004914DC">
                      <w:r w:rsidRPr="00895070">
                        <w:rPr>
                          <w:rFonts w:cs="Arial"/>
                          <w:sz w:val="16"/>
                          <w:szCs w:val="16"/>
                        </w:rPr>
                        <w:t xml:space="preserve">Note: As a reminder, the </w:t>
                      </w:r>
                      <w:hyperlink r:id="rId224" w:history="1">
                        <w:r w:rsidRPr="00895070">
                          <w:rPr>
                            <w:rStyle w:val="Hyperlink"/>
                            <w:rFonts w:cs="Arial"/>
                            <w:sz w:val="16"/>
                            <w:szCs w:val="16"/>
                          </w:rPr>
                          <w:t>Corrections Period</w:t>
                        </w:r>
                      </w:hyperlink>
                      <w:r w:rsidRPr="00895070">
                        <w:rPr>
                          <w:rFonts w:cs="Arial"/>
                          <w:sz w:val="16"/>
                          <w:szCs w:val="16"/>
                        </w:rPr>
                        <w:t xml:space="preserve"> (December 1-January 31) is reserved for corrections to previously submitted Surveys only. </w:t>
                      </w:r>
                      <w:r w:rsidRPr="00895070">
                        <w:rPr>
                          <w:rFonts w:cs="Arial"/>
                          <w:bCs/>
                          <w:snapToGrid w:val="0"/>
                          <w:sz w:val="16"/>
                          <w:szCs w:val="16"/>
                        </w:rPr>
                        <w:t xml:space="preserve">Any updates made to reflect a change in performance must be made prior to the November 30 Late Submission </w:t>
                      </w:r>
                      <w:r w:rsidRPr="00AE38C7">
                        <w:rPr>
                          <w:rFonts w:cs="Arial"/>
                          <w:bCs/>
                          <w:snapToGrid w:val="0"/>
                          <w:sz w:val="16"/>
                          <w:szCs w:val="16"/>
                        </w:rPr>
                        <w:t>and Performance Update</w:t>
                      </w:r>
                      <w:r>
                        <w:rPr>
                          <w:rFonts w:cs="Arial"/>
                          <w:bCs/>
                          <w:snapToGrid w:val="0"/>
                          <w:sz w:val="16"/>
                          <w:szCs w:val="16"/>
                        </w:rPr>
                        <w:t xml:space="preserve"> </w:t>
                      </w:r>
                      <w:r w:rsidRPr="00895070">
                        <w:rPr>
                          <w:rFonts w:cs="Arial"/>
                          <w:bCs/>
                          <w:snapToGrid w:val="0"/>
                          <w:sz w:val="16"/>
                          <w:szCs w:val="16"/>
                        </w:rPr>
                        <w:t>Deadline. Updates made to reflect a change in performance after November 30 will not be scored or publicly reported.</w:t>
                      </w:r>
                    </w:p>
                  </w:txbxContent>
                </v:textbox>
                <w10:anchorlock/>
              </v:shape>
            </w:pict>
          </mc:Fallback>
        </mc:AlternateContent>
      </w:r>
    </w:p>
    <w:p w14:paraId="14A072B0" w14:textId="77777777" w:rsidR="004914DC" w:rsidRPr="00C8246A" w:rsidRDefault="004914DC" w:rsidP="005B7658">
      <w:pPr>
        <w:rPr>
          <w:rFonts w:cs="Arial"/>
          <w:b/>
          <w:sz w:val="16"/>
          <w:szCs w:val="16"/>
        </w:rPr>
      </w:pPr>
    </w:p>
    <w:p w14:paraId="687989EE" w14:textId="090251C5" w:rsidR="00ED3FE0" w:rsidRDefault="00ED3FE0" w:rsidP="005B7658">
      <w:pPr>
        <w:rPr>
          <w:rFonts w:cs="Arial"/>
          <w:b/>
        </w:rPr>
      </w:pPr>
      <w:r w:rsidRPr="00BC2785">
        <w:rPr>
          <w:b/>
          <w:bCs/>
        </w:rPr>
        <w:t>Sufficient Sample:</w:t>
      </w:r>
      <w:r>
        <w:t xml:space="preserve"> See </w:t>
      </w:r>
      <w:hyperlink w:anchor="_Safe_Surgery_Checklist_2" w:history="1">
        <w:r w:rsidRPr="00EE35F8">
          <w:rPr>
            <w:rStyle w:val="Hyperlink"/>
            <w:b/>
            <w:bCs/>
            <w:i/>
            <w:iCs/>
          </w:rPr>
          <w:t>Safe Surgery Checklist for Adult and Pediatric Complex Surgery Measure Specifications</w:t>
        </w:r>
      </w:hyperlink>
      <w:r w:rsidRPr="001E2A00">
        <w:rPr>
          <w:rStyle w:val="Hyperlink"/>
          <w:b/>
          <w:i/>
          <w:iCs/>
          <w:u w:val="none"/>
        </w:rPr>
        <w:t xml:space="preserve"> </w:t>
      </w:r>
      <w:r>
        <w:t>for instructions on identifying a sufficient sample for question</w:t>
      </w:r>
      <w:r w:rsidR="00FB67FD">
        <w:t>s</w:t>
      </w:r>
      <w:r>
        <w:t xml:space="preserve"> #6</w:t>
      </w:r>
      <w:r w:rsidR="00FB67FD">
        <w:t>-9</w:t>
      </w:r>
      <w:r>
        <w:t>.</w:t>
      </w:r>
    </w:p>
    <w:p w14:paraId="0F31A69F" w14:textId="77777777" w:rsidR="00ED3FE0" w:rsidRPr="00C8246A" w:rsidRDefault="00ED3FE0" w:rsidP="005B7658">
      <w:pPr>
        <w:rPr>
          <w:rFonts w:cs="Arial"/>
          <w:b/>
          <w:sz w:val="16"/>
          <w:szCs w:val="16"/>
        </w:rPr>
      </w:pPr>
    </w:p>
    <w:tbl>
      <w:tblPr>
        <w:tblStyle w:val="TableGrid"/>
        <w:tblW w:w="0" w:type="auto"/>
        <w:tblLook w:val="04A0" w:firstRow="1" w:lastRow="0" w:firstColumn="1" w:lastColumn="0" w:noHBand="0" w:noVBand="1"/>
      </w:tblPr>
      <w:tblGrid>
        <w:gridCol w:w="6025"/>
        <w:gridCol w:w="3325"/>
      </w:tblGrid>
      <w:tr w:rsidR="00B90CB9" w:rsidRPr="00895070" w14:paraId="1442728F" w14:textId="77777777" w:rsidTr="00D36222">
        <w:trPr>
          <w:trHeight w:val="20"/>
        </w:trPr>
        <w:tc>
          <w:tcPr>
            <w:tcW w:w="6025" w:type="dxa"/>
            <w:tcMar>
              <w:top w:w="72" w:type="dxa"/>
              <w:left w:w="115" w:type="dxa"/>
              <w:bottom w:w="72" w:type="dxa"/>
              <w:right w:w="115" w:type="dxa"/>
            </w:tcMar>
            <w:vAlign w:val="center"/>
          </w:tcPr>
          <w:p w14:paraId="775BCF01" w14:textId="4F1377CE" w:rsidR="00334E46" w:rsidRPr="00FC6695" w:rsidRDefault="00B90CB9" w:rsidP="00AD309C">
            <w:pPr>
              <w:pStyle w:val="ListParagraph"/>
              <w:numPr>
                <w:ilvl w:val="0"/>
                <w:numId w:val="131"/>
              </w:numPr>
              <w:rPr>
                <w:rFonts w:cs="Arial"/>
              </w:rPr>
            </w:pPr>
            <w:r w:rsidRPr="00FC6695">
              <w:rPr>
                <w:rFonts w:cs="Arial"/>
              </w:rPr>
              <w:t>What is the latest 12-month reporting period for which your hospital is submitting responses to questions #2-9? 12-month reporting period ending:</w:t>
            </w:r>
          </w:p>
        </w:tc>
        <w:tc>
          <w:tcPr>
            <w:tcW w:w="3325" w:type="dxa"/>
            <w:tcMar>
              <w:top w:w="72" w:type="dxa"/>
              <w:left w:w="115" w:type="dxa"/>
              <w:bottom w:w="72" w:type="dxa"/>
              <w:right w:w="115" w:type="dxa"/>
            </w:tcMar>
            <w:vAlign w:val="center"/>
          </w:tcPr>
          <w:p w14:paraId="0361E8EC" w14:textId="77777777" w:rsidR="00B90CB9" w:rsidRPr="00572D4C" w:rsidRDefault="00B90CB9" w:rsidP="00B90CB9">
            <w:pPr>
              <w:jc w:val="center"/>
              <w:rPr>
                <w:rFonts w:cs="Arial"/>
                <w:i/>
                <w:snapToGrid w:val="0"/>
                <w:sz w:val="16"/>
                <w:szCs w:val="16"/>
              </w:rPr>
            </w:pPr>
            <w:r w:rsidRPr="00572D4C">
              <w:rPr>
                <w:rFonts w:cs="Arial"/>
                <w:i/>
                <w:snapToGrid w:val="0"/>
                <w:sz w:val="16"/>
                <w:szCs w:val="16"/>
              </w:rPr>
              <w:t>_________</w:t>
            </w:r>
          </w:p>
          <w:p w14:paraId="7B48005A" w14:textId="18D3F45B" w:rsidR="00B90CB9" w:rsidRPr="00895070" w:rsidRDefault="00B90CB9" w:rsidP="00B90CB9">
            <w:pPr>
              <w:jc w:val="center"/>
            </w:pPr>
            <w:r w:rsidRPr="00C8246A">
              <w:rPr>
                <w:rFonts w:cs="Arial"/>
                <w:i/>
                <w:snapToGrid w:val="0"/>
                <w:sz w:val="16"/>
                <w:szCs w:val="16"/>
              </w:rPr>
              <w:t>Format: Month/Year</w:t>
            </w:r>
          </w:p>
        </w:tc>
      </w:tr>
      <w:tr w:rsidR="005B7658" w:rsidRPr="00895070" w14:paraId="4680C85F" w14:textId="77777777" w:rsidTr="00D36222">
        <w:trPr>
          <w:trHeight w:val="20"/>
        </w:trPr>
        <w:tc>
          <w:tcPr>
            <w:tcW w:w="6025" w:type="dxa"/>
            <w:tcMar>
              <w:top w:w="72" w:type="dxa"/>
              <w:left w:w="115" w:type="dxa"/>
              <w:bottom w:w="72" w:type="dxa"/>
              <w:right w:w="115" w:type="dxa"/>
            </w:tcMar>
            <w:vAlign w:val="center"/>
          </w:tcPr>
          <w:p w14:paraId="5431A726" w14:textId="77777777" w:rsidR="005B7658" w:rsidRPr="00895070" w:rsidRDefault="005B7658" w:rsidP="00AD309C">
            <w:pPr>
              <w:pStyle w:val="ListParagraph"/>
              <w:numPr>
                <w:ilvl w:val="0"/>
                <w:numId w:val="131"/>
              </w:numPr>
              <w:rPr>
                <w:rFonts w:cs="Arial"/>
              </w:rPr>
            </w:pPr>
            <w:r w:rsidRPr="00895070">
              <w:rPr>
                <w:rFonts w:cs="Arial"/>
              </w:rPr>
              <w:t xml:space="preserve">Does your hospital utilize a safe surgery checklist on </w:t>
            </w:r>
            <w:r w:rsidRPr="00895070">
              <w:rPr>
                <w:rFonts w:cs="Arial"/>
                <w:u w:val="single"/>
              </w:rPr>
              <w:t>every</w:t>
            </w:r>
            <w:r w:rsidRPr="00895070">
              <w:rPr>
                <w:rFonts w:cs="Arial"/>
              </w:rPr>
              <w:t xml:space="preserve"> patient </w:t>
            </w:r>
            <w:r w:rsidRPr="00895070">
              <w:rPr>
                <w:rFonts w:cs="Arial"/>
                <w:u w:val="single"/>
              </w:rPr>
              <w:t>every</w:t>
            </w:r>
            <w:r w:rsidRPr="00895070">
              <w:rPr>
                <w:rFonts w:cs="Arial"/>
              </w:rPr>
              <w:t xml:space="preserve"> time one of the applicable procedures in Section 3A is performed? </w:t>
            </w:r>
          </w:p>
          <w:p w14:paraId="0FE6366C" w14:textId="77777777" w:rsidR="005B7658" w:rsidRPr="00895070" w:rsidRDefault="005B7658" w:rsidP="00392474">
            <w:pPr>
              <w:pStyle w:val="ListParagraph"/>
              <w:ind w:left="360"/>
              <w:rPr>
                <w:rFonts w:cs="Arial"/>
              </w:rPr>
            </w:pPr>
          </w:p>
          <w:p w14:paraId="0DC28A01" w14:textId="5DB6B2DA" w:rsidR="005B7658" w:rsidRPr="00895070" w:rsidRDefault="005B7658" w:rsidP="00392474">
            <w:pPr>
              <w:pStyle w:val="ListParagraph"/>
              <w:ind w:left="360"/>
              <w:rPr>
                <w:rFonts w:cs="Arial"/>
                <w:i/>
                <w:iCs/>
              </w:rPr>
            </w:pPr>
            <w:r w:rsidRPr="00895070">
              <w:rPr>
                <w:rFonts w:cs="Arial"/>
                <w:i/>
                <w:iCs/>
              </w:rPr>
              <w:t xml:space="preserve">If “no” to question #2, skip </w:t>
            </w:r>
            <w:r w:rsidR="002954E8">
              <w:rPr>
                <w:rFonts w:cs="Arial"/>
                <w:i/>
                <w:iCs/>
              </w:rPr>
              <w:t xml:space="preserve">the remaining </w:t>
            </w:r>
            <w:r w:rsidRPr="00895070">
              <w:rPr>
                <w:rFonts w:cs="Arial"/>
                <w:i/>
                <w:iCs/>
              </w:rPr>
              <w:t xml:space="preserve">questions </w:t>
            </w:r>
            <w:r w:rsidR="002954E8">
              <w:rPr>
                <w:rFonts w:cs="Arial"/>
                <w:i/>
                <w:iCs/>
              </w:rPr>
              <w:t>in Section 3</w:t>
            </w:r>
            <w:r w:rsidR="00263AE4">
              <w:rPr>
                <w:rFonts w:cs="Arial"/>
                <w:i/>
                <w:iCs/>
              </w:rPr>
              <w:t>B</w:t>
            </w:r>
            <w:r w:rsidRPr="00895070">
              <w:rPr>
                <w:rFonts w:cs="Arial"/>
                <w:i/>
                <w:iCs/>
              </w:rPr>
              <w:t xml:space="preserve"> and </w:t>
            </w:r>
            <w:r w:rsidR="00057680">
              <w:rPr>
                <w:rFonts w:cs="Arial"/>
                <w:i/>
                <w:iCs/>
              </w:rPr>
              <w:t>go</w:t>
            </w:r>
            <w:r w:rsidR="004D35BD">
              <w:rPr>
                <w:rFonts w:cs="Arial"/>
                <w:i/>
                <w:iCs/>
              </w:rPr>
              <w:t xml:space="preserve"> </w:t>
            </w:r>
            <w:r w:rsidRPr="00895070">
              <w:rPr>
                <w:rFonts w:cs="Arial"/>
                <w:i/>
                <w:iCs/>
              </w:rPr>
              <w:t>to the Affirmation of Accuracy. The hospital will be scored as “Limited Achievement.”</w:t>
            </w:r>
          </w:p>
        </w:tc>
        <w:tc>
          <w:tcPr>
            <w:tcW w:w="3325" w:type="dxa"/>
            <w:tcMar>
              <w:top w:w="72" w:type="dxa"/>
              <w:left w:w="115" w:type="dxa"/>
              <w:bottom w:w="72" w:type="dxa"/>
              <w:right w:w="115" w:type="dxa"/>
            </w:tcMar>
            <w:vAlign w:val="center"/>
          </w:tcPr>
          <w:p w14:paraId="7B3507C0" w14:textId="77777777" w:rsidR="005B7658" w:rsidRPr="000F3D1F" w:rsidRDefault="005B7658" w:rsidP="00AD309C">
            <w:pPr>
              <w:pStyle w:val="ListParagraph"/>
              <w:numPr>
                <w:ilvl w:val="0"/>
                <w:numId w:val="242"/>
              </w:numPr>
              <w:rPr>
                <w:rFonts w:cs="Arial"/>
                <w:iCs/>
                <w:snapToGrid w:val="0"/>
              </w:rPr>
            </w:pPr>
            <w:r w:rsidRPr="000F3D1F">
              <w:rPr>
                <w:rFonts w:cs="Arial"/>
                <w:iCs/>
                <w:snapToGrid w:val="0"/>
              </w:rPr>
              <w:t>Yes</w:t>
            </w:r>
          </w:p>
          <w:p w14:paraId="3C774437" w14:textId="0788BC5B" w:rsidR="003D3E11" w:rsidRPr="000F3D1F" w:rsidRDefault="005B7658" w:rsidP="00AD309C">
            <w:pPr>
              <w:pStyle w:val="ListParagraph"/>
              <w:numPr>
                <w:ilvl w:val="0"/>
                <w:numId w:val="242"/>
              </w:numPr>
              <w:rPr>
                <w:rFonts w:cs="Arial"/>
                <w:iCs/>
                <w:snapToGrid w:val="0"/>
              </w:rPr>
            </w:pPr>
            <w:r w:rsidRPr="000F3D1F">
              <w:rPr>
                <w:rFonts w:cs="Arial"/>
                <w:iCs/>
                <w:snapToGrid w:val="0"/>
              </w:rPr>
              <w:t>No</w:t>
            </w:r>
          </w:p>
        </w:tc>
      </w:tr>
      <w:tr w:rsidR="005B7658" w:rsidRPr="00895070" w14:paraId="7431EA58" w14:textId="77777777" w:rsidTr="00D36222">
        <w:tc>
          <w:tcPr>
            <w:tcW w:w="6025" w:type="dxa"/>
            <w:tcMar>
              <w:top w:w="72" w:type="dxa"/>
              <w:left w:w="115" w:type="dxa"/>
              <w:bottom w:w="72" w:type="dxa"/>
              <w:right w:w="115" w:type="dxa"/>
            </w:tcMar>
            <w:vAlign w:val="center"/>
          </w:tcPr>
          <w:p w14:paraId="227597CA" w14:textId="3DC3F5F0" w:rsidR="005B7658" w:rsidRPr="006E26E4" w:rsidRDefault="005B7658" w:rsidP="00AD309C">
            <w:pPr>
              <w:pStyle w:val="ListParagraph"/>
              <w:numPr>
                <w:ilvl w:val="0"/>
                <w:numId w:val="131"/>
              </w:numPr>
              <w:rPr>
                <w:rFonts w:cs="Arial"/>
              </w:rPr>
            </w:pPr>
            <w:r w:rsidRPr="00895070">
              <w:rPr>
                <w:rFonts w:cs="Arial"/>
                <w:b/>
              </w:rPr>
              <w:t>Before the induction of anesthesia</w:t>
            </w:r>
            <w:r w:rsidRPr="00895070">
              <w:rPr>
                <w:rFonts w:cs="Arial"/>
                <w:bCs/>
              </w:rPr>
              <w:t xml:space="preserve">, is a safe surgery checklist that includes </w:t>
            </w:r>
            <w:r w:rsidRPr="00895070">
              <w:rPr>
                <w:rFonts w:cs="Arial"/>
                <w:bCs/>
                <w:u w:val="single"/>
              </w:rPr>
              <w:t>all</w:t>
            </w:r>
            <w:r w:rsidRPr="00895070">
              <w:rPr>
                <w:rFonts w:cs="Arial"/>
                <w:bCs/>
              </w:rPr>
              <w:t xml:space="preserve"> the following elements </w:t>
            </w:r>
            <w:r w:rsidRPr="00895070">
              <w:rPr>
                <w:rFonts w:cs="Arial"/>
                <w:bCs/>
                <w:u w:val="single"/>
              </w:rPr>
              <w:t>read aloud</w:t>
            </w:r>
            <w:r w:rsidRPr="00895070">
              <w:rPr>
                <w:rFonts w:cs="Arial"/>
                <w:bCs/>
              </w:rPr>
              <w:t xml:space="preserve"> in the presence of the </w:t>
            </w:r>
            <w:r w:rsidRPr="00895070">
              <w:rPr>
                <w:rFonts w:cs="Arial"/>
                <w:u w:val="single"/>
              </w:rPr>
              <w:t>anesthesia professional and nursing personnel</w:t>
            </w:r>
            <w:r w:rsidRPr="00895070">
              <w:rPr>
                <w:rFonts w:cs="Arial"/>
              </w:rPr>
              <w:t xml:space="preserve">: </w:t>
            </w:r>
          </w:p>
          <w:p w14:paraId="144CDD61" w14:textId="5F35EB82" w:rsidR="005B7658" w:rsidRPr="00895070" w:rsidRDefault="005B7658" w:rsidP="00AD309C">
            <w:pPr>
              <w:pStyle w:val="ListParagraph"/>
              <w:numPr>
                <w:ilvl w:val="0"/>
                <w:numId w:val="132"/>
              </w:numPr>
              <w:rPr>
                <w:rFonts w:cs="Arial"/>
              </w:rPr>
            </w:pPr>
            <w:r w:rsidRPr="00895070">
              <w:rPr>
                <w:rFonts w:cs="Arial"/>
              </w:rPr>
              <w:t>Patient ID</w:t>
            </w:r>
            <w:r w:rsidR="005E3827">
              <w:rPr>
                <w:rFonts w:cs="Arial"/>
              </w:rPr>
              <w:t>;</w:t>
            </w:r>
          </w:p>
          <w:p w14:paraId="63D5802B" w14:textId="2EC0CEFD" w:rsidR="005B7658" w:rsidRPr="00895070" w:rsidRDefault="005B7658" w:rsidP="00AD309C">
            <w:pPr>
              <w:pStyle w:val="ListParagraph"/>
              <w:numPr>
                <w:ilvl w:val="0"/>
                <w:numId w:val="132"/>
              </w:numPr>
              <w:rPr>
                <w:rFonts w:cs="Arial"/>
              </w:rPr>
            </w:pPr>
            <w:r w:rsidRPr="00895070">
              <w:rPr>
                <w:rFonts w:cs="Arial"/>
              </w:rPr>
              <w:t>Confirmation of procedure</w:t>
            </w:r>
            <w:r w:rsidR="005E3827">
              <w:rPr>
                <w:rFonts w:cs="Arial"/>
              </w:rPr>
              <w:t>;</w:t>
            </w:r>
          </w:p>
          <w:p w14:paraId="10A2D8BA" w14:textId="066B478B" w:rsidR="005B7658" w:rsidRPr="00895070" w:rsidRDefault="005B7658" w:rsidP="00AD309C">
            <w:pPr>
              <w:pStyle w:val="ListParagraph"/>
              <w:numPr>
                <w:ilvl w:val="0"/>
                <w:numId w:val="132"/>
              </w:numPr>
              <w:rPr>
                <w:rFonts w:cs="Arial"/>
              </w:rPr>
            </w:pPr>
            <w:r w:rsidRPr="00895070">
              <w:rPr>
                <w:rFonts w:cs="Arial"/>
              </w:rPr>
              <w:t>Patient consent</w:t>
            </w:r>
            <w:r w:rsidR="005E3827">
              <w:rPr>
                <w:rFonts w:cs="Arial"/>
              </w:rPr>
              <w:t>;</w:t>
            </w:r>
          </w:p>
          <w:p w14:paraId="526108A6" w14:textId="18E3D614" w:rsidR="005B7658" w:rsidRPr="00895070" w:rsidRDefault="005B7658" w:rsidP="00AD309C">
            <w:pPr>
              <w:pStyle w:val="ListParagraph"/>
              <w:numPr>
                <w:ilvl w:val="0"/>
                <w:numId w:val="132"/>
              </w:numPr>
              <w:rPr>
                <w:rFonts w:cs="Arial"/>
              </w:rPr>
            </w:pPr>
            <w:r w:rsidRPr="00895070">
              <w:rPr>
                <w:rFonts w:cs="Arial"/>
              </w:rPr>
              <w:t>Site marked, if applicable</w:t>
            </w:r>
            <w:r w:rsidR="005E3827">
              <w:rPr>
                <w:rFonts w:cs="Arial"/>
              </w:rPr>
              <w:t>;</w:t>
            </w:r>
          </w:p>
          <w:p w14:paraId="6F95A12B" w14:textId="1F4157DC" w:rsidR="005B7658" w:rsidRPr="00895070" w:rsidRDefault="005B7658" w:rsidP="00AD309C">
            <w:pPr>
              <w:pStyle w:val="ListParagraph"/>
              <w:numPr>
                <w:ilvl w:val="0"/>
                <w:numId w:val="132"/>
              </w:numPr>
              <w:rPr>
                <w:rFonts w:cs="Arial"/>
              </w:rPr>
            </w:pPr>
            <w:r w:rsidRPr="00895070">
              <w:rPr>
                <w:rFonts w:cs="Arial"/>
              </w:rPr>
              <w:t>Anesthesia/medication check</w:t>
            </w:r>
            <w:r w:rsidR="005E3827">
              <w:rPr>
                <w:rFonts w:cs="Arial"/>
              </w:rPr>
              <w:t>;</w:t>
            </w:r>
          </w:p>
          <w:p w14:paraId="5A54D8CB" w14:textId="0425569B" w:rsidR="005B7658" w:rsidRPr="00895070" w:rsidRDefault="005B7658" w:rsidP="00AD309C">
            <w:pPr>
              <w:pStyle w:val="ListParagraph"/>
              <w:numPr>
                <w:ilvl w:val="0"/>
                <w:numId w:val="132"/>
              </w:numPr>
              <w:rPr>
                <w:rFonts w:cs="Arial"/>
              </w:rPr>
            </w:pPr>
            <w:r w:rsidRPr="00895070">
              <w:rPr>
                <w:rFonts w:cs="Arial"/>
              </w:rPr>
              <w:t>Allergies assessed</w:t>
            </w:r>
            <w:r w:rsidR="005E3827">
              <w:rPr>
                <w:rFonts w:cs="Arial"/>
              </w:rPr>
              <w:t>;</w:t>
            </w:r>
          </w:p>
          <w:p w14:paraId="040DCC6D" w14:textId="609BD6C1" w:rsidR="005B7658" w:rsidRPr="00895070" w:rsidRDefault="005B7658" w:rsidP="00AD309C">
            <w:pPr>
              <w:pStyle w:val="ListParagraph"/>
              <w:numPr>
                <w:ilvl w:val="0"/>
                <w:numId w:val="132"/>
              </w:numPr>
              <w:rPr>
                <w:rFonts w:cs="Arial"/>
              </w:rPr>
            </w:pPr>
            <w:r w:rsidRPr="00895070">
              <w:rPr>
                <w:rFonts w:cs="Arial"/>
              </w:rPr>
              <w:t>Difficult airway/aspiration risk</w:t>
            </w:r>
            <w:r w:rsidR="005E3827">
              <w:rPr>
                <w:rFonts w:cs="Arial"/>
              </w:rPr>
              <w:t>;</w:t>
            </w:r>
          </w:p>
          <w:p w14:paraId="20681B8F" w14:textId="71C3A962" w:rsidR="005B7658" w:rsidRPr="00895070" w:rsidRDefault="005B7658" w:rsidP="00AD309C">
            <w:pPr>
              <w:pStyle w:val="ListParagraph"/>
              <w:numPr>
                <w:ilvl w:val="0"/>
                <w:numId w:val="132"/>
              </w:numPr>
              <w:rPr>
                <w:rFonts w:cs="Arial"/>
              </w:rPr>
            </w:pPr>
            <w:r w:rsidRPr="00895070">
              <w:rPr>
                <w:rFonts w:cs="Arial"/>
              </w:rPr>
              <w:t>Risk of blood loss</w:t>
            </w:r>
            <w:r w:rsidR="00630F4F">
              <w:rPr>
                <w:rFonts w:cs="Arial"/>
              </w:rPr>
              <w:t xml:space="preserve"> (only applicable </w:t>
            </w:r>
            <w:r w:rsidRPr="00895070">
              <w:rPr>
                <w:rFonts w:cs="Arial"/>
              </w:rPr>
              <w:t xml:space="preserve">if </w:t>
            </w:r>
            <w:r w:rsidR="008873FB">
              <w:rPr>
                <w:rFonts w:cs="Arial"/>
              </w:rPr>
              <w:t xml:space="preserve">risk of blood loss is </w:t>
            </w:r>
            <w:r w:rsidR="00D74D10" w:rsidRPr="00D74D10">
              <w:rPr>
                <w:rFonts w:cs="Arial"/>
              </w:rPr>
              <w:t xml:space="preserve">&gt;500ml </w:t>
            </w:r>
            <w:r w:rsidR="00D74D10">
              <w:rPr>
                <w:rFonts w:cs="Arial"/>
              </w:rPr>
              <w:t xml:space="preserve">for adults or </w:t>
            </w:r>
            <w:r w:rsidR="008873FB">
              <w:rPr>
                <w:rFonts w:cs="Arial"/>
              </w:rPr>
              <w:t>&gt;</w:t>
            </w:r>
            <w:r w:rsidR="00D74D10" w:rsidRPr="00D74D10">
              <w:rPr>
                <w:rFonts w:cs="Arial"/>
              </w:rPr>
              <w:t xml:space="preserve">7ml/kg </w:t>
            </w:r>
            <w:r w:rsidR="00D74D10">
              <w:rPr>
                <w:rFonts w:cs="Arial"/>
              </w:rPr>
              <w:t>for children</w:t>
            </w:r>
            <w:r w:rsidR="008873FB">
              <w:rPr>
                <w:rFonts w:cs="Arial"/>
              </w:rPr>
              <w:t>)</w:t>
            </w:r>
            <w:r w:rsidR="005E3827">
              <w:rPr>
                <w:rFonts w:cs="Arial"/>
              </w:rPr>
              <w:t>; and</w:t>
            </w:r>
          </w:p>
          <w:p w14:paraId="7E3727AD" w14:textId="269CF14E" w:rsidR="00BC4E89" w:rsidRPr="003A50A0" w:rsidRDefault="005D782F" w:rsidP="00AD309C">
            <w:pPr>
              <w:pStyle w:val="ListParagraph"/>
              <w:numPr>
                <w:ilvl w:val="0"/>
                <w:numId w:val="132"/>
              </w:numPr>
              <w:rPr>
                <w:rFonts w:cs="Arial"/>
              </w:rPr>
            </w:pPr>
            <w:r>
              <w:rPr>
                <w:rFonts w:cs="Arial"/>
              </w:rPr>
              <w:t>Availability of devices</w:t>
            </w:r>
            <w:r w:rsidR="007803A4" w:rsidRPr="00C8396D">
              <w:rPr>
                <w:rFonts w:cs="Arial"/>
              </w:rPr>
              <w:t xml:space="preserve"> (</w:t>
            </w:r>
            <w:r>
              <w:rPr>
                <w:rFonts w:cs="Arial"/>
              </w:rPr>
              <w:t>applicable to</w:t>
            </w:r>
            <w:r w:rsidR="007803A4" w:rsidRPr="00C8396D">
              <w:rPr>
                <w:rFonts w:cs="Arial"/>
              </w:rPr>
              <w:t xml:space="preserve"> endoscopy procedures only)</w:t>
            </w:r>
            <w:r w:rsidR="007803A4">
              <w:t>?</w:t>
            </w:r>
          </w:p>
        </w:tc>
        <w:tc>
          <w:tcPr>
            <w:tcW w:w="3325" w:type="dxa"/>
            <w:tcMar>
              <w:top w:w="72" w:type="dxa"/>
              <w:left w:w="115" w:type="dxa"/>
              <w:bottom w:w="72" w:type="dxa"/>
              <w:right w:w="115" w:type="dxa"/>
            </w:tcMar>
            <w:vAlign w:val="center"/>
          </w:tcPr>
          <w:p w14:paraId="24FA0339" w14:textId="77777777" w:rsidR="005B7658" w:rsidRPr="000F3D1F" w:rsidRDefault="005B7658" w:rsidP="00AD309C">
            <w:pPr>
              <w:pStyle w:val="ListParagraph"/>
              <w:numPr>
                <w:ilvl w:val="0"/>
                <w:numId w:val="242"/>
              </w:numPr>
              <w:rPr>
                <w:rFonts w:cs="Arial"/>
                <w:iCs/>
                <w:snapToGrid w:val="0"/>
              </w:rPr>
            </w:pPr>
            <w:r w:rsidRPr="000F3D1F">
              <w:rPr>
                <w:rFonts w:cs="Arial"/>
                <w:iCs/>
                <w:snapToGrid w:val="0"/>
              </w:rPr>
              <w:t>Yes</w:t>
            </w:r>
          </w:p>
          <w:p w14:paraId="265A606D" w14:textId="77777777" w:rsidR="005B7658" w:rsidRPr="000F3D1F" w:rsidRDefault="005B7658" w:rsidP="00AD309C">
            <w:pPr>
              <w:pStyle w:val="ListParagraph"/>
              <w:numPr>
                <w:ilvl w:val="0"/>
                <w:numId w:val="242"/>
              </w:numPr>
              <w:rPr>
                <w:rFonts w:cs="Arial"/>
                <w:iCs/>
                <w:snapToGrid w:val="0"/>
              </w:rPr>
            </w:pPr>
            <w:r w:rsidRPr="000F3D1F">
              <w:rPr>
                <w:rFonts w:cs="Arial"/>
                <w:iCs/>
                <w:snapToGrid w:val="0"/>
              </w:rPr>
              <w:t>No</w:t>
            </w:r>
          </w:p>
        </w:tc>
      </w:tr>
      <w:tr w:rsidR="005B7658" w:rsidRPr="00895070" w14:paraId="22749A1E" w14:textId="77777777" w:rsidTr="00D36222">
        <w:tc>
          <w:tcPr>
            <w:tcW w:w="6025" w:type="dxa"/>
            <w:tcMar>
              <w:top w:w="72" w:type="dxa"/>
              <w:left w:w="115" w:type="dxa"/>
              <w:bottom w:w="72" w:type="dxa"/>
              <w:right w:w="115" w:type="dxa"/>
            </w:tcMar>
            <w:vAlign w:val="center"/>
          </w:tcPr>
          <w:p w14:paraId="00F19C03" w14:textId="333FDE85" w:rsidR="005B7658" w:rsidRPr="00C8246A" w:rsidRDefault="005B7658" w:rsidP="00AD309C">
            <w:pPr>
              <w:pStyle w:val="ListParagraph"/>
              <w:numPr>
                <w:ilvl w:val="0"/>
                <w:numId w:val="131"/>
              </w:numPr>
              <w:rPr>
                <w:rFonts w:cs="Arial"/>
                <w:sz w:val="16"/>
                <w:szCs w:val="16"/>
              </w:rPr>
            </w:pPr>
            <w:r w:rsidRPr="00895070">
              <w:rPr>
                <w:rFonts w:cs="Arial"/>
                <w:b/>
                <w:bCs/>
              </w:rPr>
              <w:lastRenderedPageBreak/>
              <w:t>Before the skin incision and/or before the procedure begins</w:t>
            </w:r>
            <w:r w:rsidRPr="00895070">
              <w:rPr>
                <w:rFonts w:cs="Arial"/>
              </w:rPr>
              <w:t xml:space="preserve">, is a safe surgery checklist that includes </w:t>
            </w:r>
            <w:r w:rsidRPr="00895070">
              <w:rPr>
                <w:rFonts w:cs="Arial"/>
                <w:u w:val="single"/>
              </w:rPr>
              <w:t>all</w:t>
            </w:r>
            <w:r w:rsidRPr="00895070">
              <w:rPr>
                <w:rFonts w:cs="Arial"/>
              </w:rPr>
              <w:t xml:space="preserve"> the following elements </w:t>
            </w:r>
            <w:r w:rsidRPr="00895070">
              <w:rPr>
                <w:rFonts w:cs="Arial"/>
                <w:u w:val="single"/>
              </w:rPr>
              <w:t>read aloud</w:t>
            </w:r>
            <w:r w:rsidRPr="00895070">
              <w:rPr>
                <w:rFonts w:cs="Arial"/>
              </w:rPr>
              <w:t xml:space="preserve"> in the presence of the </w:t>
            </w:r>
            <w:hyperlink w:anchor="wholesurgicalteam3b" w:history="1">
              <w:r w:rsidRPr="00895070">
                <w:rPr>
                  <w:rStyle w:val="Hyperlink"/>
                  <w:rFonts w:cs="Arial"/>
                </w:rPr>
                <w:t>whole surgical team</w:t>
              </w:r>
            </w:hyperlink>
            <w:r w:rsidRPr="00895070">
              <w:rPr>
                <w:rFonts w:cs="Arial"/>
                <w:b/>
                <w:bCs/>
              </w:rPr>
              <w:t>:</w:t>
            </w:r>
            <w:r w:rsidRPr="00895070">
              <w:rPr>
                <w:rFonts w:cs="Arial"/>
              </w:rPr>
              <w:t xml:space="preserve"> </w:t>
            </w:r>
          </w:p>
          <w:p w14:paraId="4FFAD44A" w14:textId="0A44F4CC" w:rsidR="005B7658" w:rsidRPr="006E26E4" w:rsidRDefault="005B7658" w:rsidP="00AD309C">
            <w:pPr>
              <w:pStyle w:val="ListParagraph"/>
              <w:numPr>
                <w:ilvl w:val="0"/>
                <w:numId w:val="363"/>
              </w:numPr>
              <w:rPr>
                <w:rFonts w:cs="Arial"/>
              </w:rPr>
            </w:pPr>
            <w:hyperlink w:anchor="clinicalteamintro_3b" w:history="1">
              <w:r w:rsidRPr="00745E20">
                <w:rPr>
                  <w:rStyle w:val="Hyperlink"/>
                  <w:rFonts w:cs="Arial"/>
                </w:rPr>
                <w:t>Clinical team introduction</w:t>
              </w:r>
            </w:hyperlink>
            <w:r w:rsidR="005E3827">
              <w:rPr>
                <w:rFonts w:cs="Arial"/>
              </w:rPr>
              <w:t>;</w:t>
            </w:r>
          </w:p>
          <w:p w14:paraId="64AEF35F" w14:textId="22594120" w:rsidR="005B7658" w:rsidRPr="006E26E4" w:rsidRDefault="005B7658" w:rsidP="00AD309C">
            <w:pPr>
              <w:pStyle w:val="ListParagraph"/>
              <w:numPr>
                <w:ilvl w:val="0"/>
                <w:numId w:val="363"/>
              </w:numPr>
              <w:rPr>
                <w:rFonts w:cs="Arial"/>
              </w:rPr>
            </w:pPr>
            <w:r w:rsidRPr="006E26E4">
              <w:rPr>
                <w:rFonts w:cs="Arial"/>
              </w:rPr>
              <w:t>Confirmation of patient name, procedure, and, if applicable, surgical/incision site</w:t>
            </w:r>
            <w:r w:rsidR="005E3827">
              <w:rPr>
                <w:rFonts w:cs="Arial"/>
              </w:rPr>
              <w:t>;</w:t>
            </w:r>
          </w:p>
          <w:p w14:paraId="26BB7CAC" w14:textId="6B830823" w:rsidR="005B7658" w:rsidRPr="006E26E4" w:rsidRDefault="005B7658" w:rsidP="00AD309C">
            <w:pPr>
              <w:pStyle w:val="ListParagraph"/>
              <w:numPr>
                <w:ilvl w:val="0"/>
                <w:numId w:val="363"/>
              </w:numPr>
              <w:rPr>
                <w:rFonts w:cs="Arial"/>
              </w:rPr>
            </w:pPr>
            <w:r w:rsidRPr="006E26E4">
              <w:rPr>
                <w:rFonts w:cs="Arial"/>
              </w:rPr>
              <w:t>Antibiotic prophylaxis, if applicable</w:t>
            </w:r>
            <w:r w:rsidR="005E3827">
              <w:rPr>
                <w:rFonts w:cs="Arial"/>
              </w:rPr>
              <w:t>;</w:t>
            </w:r>
          </w:p>
          <w:p w14:paraId="01AAA150" w14:textId="1F38580B" w:rsidR="005B7658" w:rsidRPr="006E26E4" w:rsidRDefault="005B7658" w:rsidP="00AD309C">
            <w:pPr>
              <w:pStyle w:val="ListParagraph"/>
              <w:numPr>
                <w:ilvl w:val="0"/>
                <w:numId w:val="363"/>
              </w:numPr>
              <w:rPr>
                <w:rFonts w:cs="Arial"/>
              </w:rPr>
            </w:pPr>
            <w:r w:rsidRPr="006E26E4">
              <w:rPr>
                <w:rFonts w:cs="Arial"/>
              </w:rPr>
              <w:t>Anticipated Critical Events (</w:t>
            </w:r>
            <w:r w:rsidR="00325482" w:rsidRPr="006E26E4">
              <w:rPr>
                <w:rFonts w:cs="Arial"/>
              </w:rPr>
              <w:t xml:space="preserve">i.e., </w:t>
            </w:r>
            <w:r w:rsidRPr="006E26E4">
              <w:rPr>
                <w:rFonts w:cs="Arial"/>
              </w:rPr>
              <w:t>non-routine steps, length of procedure, blood loss, patient-specific concerns, sterility)</w:t>
            </w:r>
            <w:r w:rsidR="005E3827">
              <w:rPr>
                <w:rFonts w:cs="Arial"/>
              </w:rPr>
              <w:t>;</w:t>
            </w:r>
          </w:p>
          <w:p w14:paraId="757D3D42" w14:textId="77777777" w:rsidR="00B87C69" w:rsidRDefault="005B7658" w:rsidP="00AD309C">
            <w:pPr>
              <w:pStyle w:val="ListParagraph"/>
              <w:numPr>
                <w:ilvl w:val="0"/>
                <w:numId w:val="363"/>
              </w:numPr>
              <w:rPr>
                <w:rFonts w:cs="Arial"/>
              </w:rPr>
            </w:pPr>
            <w:r w:rsidRPr="00B87C69">
              <w:rPr>
                <w:rFonts w:cs="Arial"/>
              </w:rPr>
              <w:t>Equipment check/concerns</w:t>
            </w:r>
            <w:r w:rsidR="005E3827" w:rsidRPr="00B87C69">
              <w:rPr>
                <w:rFonts w:cs="Arial"/>
              </w:rPr>
              <w:t>; and</w:t>
            </w:r>
          </w:p>
          <w:p w14:paraId="58F6D487" w14:textId="4A8562B3" w:rsidR="00B96F83" w:rsidRPr="00B87C69" w:rsidRDefault="005B7658" w:rsidP="00AD309C">
            <w:pPr>
              <w:pStyle w:val="ListParagraph"/>
              <w:numPr>
                <w:ilvl w:val="0"/>
                <w:numId w:val="363"/>
              </w:numPr>
              <w:rPr>
                <w:rFonts w:cs="Arial"/>
              </w:rPr>
            </w:pPr>
            <w:r w:rsidRPr="00B87C69">
              <w:rPr>
                <w:rFonts w:cs="Arial"/>
              </w:rPr>
              <w:t>Essential imaging available, if applicable</w:t>
            </w:r>
            <w:r w:rsidR="00E46B59" w:rsidRPr="00B87C69">
              <w:rPr>
                <w:rFonts w:cs="Arial"/>
              </w:rPr>
              <w:t>?</w:t>
            </w:r>
          </w:p>
        </w:tc>
        <w:tc>
          <w:tcPr>
            <w:tcW w:w="3325" w:type="dxa"/>
            <w:tcMar>
              <w:top w:w="72" w:type="dxa"/>
              <w:left w:w="115" w:type="dxa"/>
              <w:bottom w:w="72" w:type="dxa"/>
              <w:right w:w="115" w:type="dxa"/>
            </w:tcMar>
            <w:vAlign w:val="center"/>
          </w:tcPr>
          <w:p w14:paraId="104435CF" w14:textId="77777777" w:rsidR="005B7658" w:rsidRPr="000F3D1F" w:rsidRDefault="005B7658" w:rsidP="00AD309C">
            <w:pPr>
              <w:pStyle w:val="ListParagraph"/>
              <w:numPr>
                <w:ilvl w:val="0"/>
                <w:numId w:val="243"/>
              </w:numPr>
              <w:rPr>
                <w:rFonts w:cs="Arial"/>
                <w:iCs/>
              </w:rPr>
            </w:pPr>
            <w:r w:rsidRPr="000F3D1F">
              <w:rPr>
                <w:rFonts w:cs="Arial"/>
                <w:iCs/>
              </w:rPr>
              <w:t>Yes</w:t>
            </w:r>
          </w:p>
          <w:p w14:paraId="23D0F5DB" w14:textId="77777777" w:rsidR="005B7658" w:rsidRPr="000F3D1F" w:rsidRDefault="005B7658" w:rsidP="00AD309C">
            <w:pPr>
              <w:pStyle w:val="ListParagraph"/>
              <w:numPr>
                <w:ilvl w:val="0"/>
                <w:numId w:val="243"/>
              </w:numPr>
              <w:rPr>
                <w:rFonts w:cs="Arial"/>
                <w:iCs/>
              </w:rPr>
            </w:pPr>
            <w:r w:rsidRPr="000F3D1F">
              <w:rPr>
                <w:rFonts w:cs="Arial"/>
                <w:iCs/>
              </w:rPr>
              <w:t>No</w:t>
            </w:r>
          </w:p>
        </w:tc>
      </w:tr>
      <w:tr w:rsidR="005B7658" w:rsidRPr="00895070" w14:paraId="7DB90336" w14:textId="77777777" w:rsidTr="00D36222">
        <w:tc>
          <w:tcPr>
            <w:tcW w:w="6025" w:type="dxa"/>
            <w:tcMar>
              <w:top w:w="72" w:type="dxa"/>
              <w:left w:w="115" w:type="dxa"/>
              <w:bottom w:w="72" w:type="dxa"/>
              <w:right w:w="115" w:type="dxa"/>
            </w:tcMar>
            <w:vAlign w:val="center"/>
          </w:tcPr>
          <w:p w14:paraId="09B449A4" w14:textId="54D684CB" w:rsidR="005B7658" w:rsidRPr="00C8246A" w:rsidRDefault="005B7658" w:rsidP="00AD309C">
            <w:pPr>
              <w:pStyle w:val="ListParagraph"/>
              <w:numPr>
                <w:ilvl w:val="0"/>
                <w:numId w:val="131"/>
              </w:numPr>
              <w:rPr>
                <w:rFonts w:cs="Arial"/>
                <w:sz w:val="16"/>
                <w:szCs w:val="16"/>
              </w:rPr>
            </w:pPr>
            <w:r w:rsidRPr="00895070">
              <w:rPr>
                <w:rFonts w:cs="Arial"/>
                <w:b/>
              </w:rPr>
              <w:t>Before the patient leaves the operating room and/or procedure room</w:t>
            </w:r>
            <w:r w:rsidRPr="00895070">
              <w:rPr>
                <w:rFonts w:cs="Arial"/>
                <w:bCs/>
              </w:rPr>
              <w:t xml:space="preserve">, is a safe surgery checklist that includes </w:t>
            </w:r>
            <w:r w:rsidRPr="00895070">
              <w:rPr>
                <w:rFonts w:cs="Arial"/>
                <w:bCs/>
                <w:u w:val="single"/>
              </w:rPr>
              <w:t>all</w:t>
            </w:r>
            <w:r w:rsidRPr="00895070">
              <w:rPr>
                <w:rFonts w:cs="Arial"/>
                <w:bCs/>
              </w:rPr>
              <w:t xml:space="preserve"> the following elements </w:t>
            </w:r>
            <w:r w:rsidRPr="00895070">
              <w:rPr>
                <w:rFonts w:cs="Arial"/>
                <w:bCs/>
                <w:u w:val="single"/>
              </w:rPr>
              <w:t>read aloud</w:t>
            </w:r>
            <w:r w:rsidRPr="00895070">
              <w:rPr>
                <w:rFonts w:cs="Arial"/>
                <w:bCs/>
              </w:rPr>
              <w:t xml:space="preserve"> in the presence of the </w:t>
            </w:r>
            <w:hyperlink w:anchor="wholesurgicalteam3b" w:history="1">
              <w:r w:rsidRPr="00895070">
                <w:rPr>
                  <w:rStyle w:val="Hyperlink"/>
                  <w:rFonts w:cs="Arial"/>
                  <w:bCs/>
                </w:rPr>
                <w:t>whole surgical team</w:t>
              </w:r>
            </w:hyperlink>
            <w:r w:rsidRPr="00895070">
              <w:rPr>
                <w:rFonts w:cs="Arial"/>
              </w:rPr>
              <w:t xml:space="preserve">: </w:t>
            </w:r>
          </w:p>
          <w:p w14:paraId="6479D831" w14:textId="61694EF7" w:rsidR="005B7658" w:rsidRPr="00895070" w:rsidRDefault="005B7658" w:rsidP="00AD309C">
            <w:pPr>
              <w:pStyle w:val="ListParagraph"/>
              <w:numPr>
                <w:ilvl w:val="0"/>
                <w:numId w:val="134"/>
              </w:numPr>
              <w:rPr>
                <w:rFonts w:cs="Arial"/>
              </w:rPr>
            </w:pPr>
            <w:r w:rsidRPr="00895070">
              <w:rPr>
                <w:rFonts w:cs="Arial"/>
              </w:rPr>
              <w:t>Confirmation of procedure performed</w:t>
            </w:r>
            <w:r w:rsidR="005E3827">
              <w:rPr>
                <w:rFonts w:cs="Arial"/>
              </w:rPr>
              <w:t>;</w:t>
            </w:r>
            <w:r w:rsidRPr="00895070">
              <w:rPr>
                <w:rFonts w:cs="Arial"/>
              </w:rPr>
              <w:t xml:space="preserve"> </w:t>
            </w:r>
          </w:p>
          <w:p w14:paraId="3167B1CF" w14:textId="40C64EEF" w:rsidR="005B7658" w:rsidRPr="00895070" w:rsidRDefault="005B7658" w:rsidP="00AD309C">
            <w:pPr>
              <w:pStyle w:val="ListParagraph"/>
              <w:numPr>
                <w:ilvl w:val="0"/>
                <w:numId w:val="134"/>
              </w:numPr>
              <w:rPr>
                <w:rFonts w:cs="Arial"/>
              </w:rPr>
            </w:pPr>
            <w:r w:rsidRPr="00895070">
              <w:rPr>
                <w:rFonts w:cs="Arial"/>
              </w:rPr>
              <w:t>Instrument/supply counts</w:t>
            </w:r>
            <w:r w:rsidR="005E3827">
              <w:rPr>
                <w:rFonts w:cs="Arial"/>
              </w:rPr>
              <w:t>;</w:t>
            </w:r>
          </w:p>
          <w:p w14:paraId="721D1C27" w14:textId="23416670" w:rsidR="005B7658" w:rsidRPr="00895070" w:rsidRDefault="005B7658" w:rsidP="00AD309C">
            <w:pPr>
              <w:pStyle w:val="ListParagraph"/>
              <w:numPr>
                <w:ilvl w:val="0"/>
                <w:numId w:val="134"/>
              </w:numPr>
              <w:rPr>
                <w:rFonts w:cs="Arial"/>
              </w:rPr>
            </w:pPr>
            <w:r w:rsidRPr="00895070">
              <w:rPr>
                <w:rFonts w:cs="Arial"/>
              </w:rPr>
              <w:t>Specimen labeling, if applicable</w:t>
            </w:r>
            <w:r w:rsidR="005E3827">
              <w:rPr>
                <w:rFonts w:cs="Arial"/>
              </w:rPr>
              <w:t>;</w:t>
            </w:r>
          </w:p>
          <w:p w14:paraId="61CDE8B8" w14:textId="6DE1FBC0" w:rsidR="005B7658" w:rsidRPr="00895070" w:rsidRDefault="005B7658" w:rsidP="00AD309C">
            <w:pPr>
              <w:pStyle w:val="ListParagraph"/>
              <w:numPr>
                <w:ilvl w:val="0"/>
                <w:numId w:val="134"/>
              </w:numPr>
              <w:rPr>
                <w:rFonts w:cs="Arial"/>
              </w:rPr>
            </w:pPr>
            <w:r w:rsidRPr="00895070">
              <w:rPr>
                <w:rFonts w:cs="Arial"/>
              </w:rPr>
              <w:t>Equipment concerns</w:t>
            </w:r>
            <w:r w:rsidR="005E3827">
              <w:rPr>
                <w:rFonts w:cs="Arial"/>
              </w:rPr>
              <w:t>; and</w:t>
            </w:r>
          </w:p>
          <w:p w14:paraId="64383C8C" w14:textId="495E5E96" w:rsidR="005B7658" w:rsidRPr="00A24B5A" w:rsidRDefault="005B7658" w:rsidP="00AD309C">
            <w:pPr>
              <w:pStyle w:val="ListParagraph"/>
              <w:numPr>
                <w:ilvl w:val="0"/>
                <w:numId w:val="134"/>
              </w:numPr>
              <w:rPr>
                <w:rFonts w:cs="Arial"/>
              </w:rPr>
            </w:pPr>
            <w:r w:rsidRPr="00895070">
              <w:rPr>
                <w:rFonts w:cs="Arial"/>
              </w:rPr>
              <w:t>Patient recovery/management concerns?</w:t>
            </w:r>
          </w:p>
        </w:tc>
        <w:tc>
          <w:tcPr>
            <w:tcW w:w="3325" w:type="dxa"/>
            <w:tcMar>
              <w:top w:w="72" w:type="dxa"/>
              <w:left w:w="115" w:type="dxa"/>
              <w:bottom w:w="72" w:type="dxa"/>
              <w:right w:w="115" w:type="dxa"/>
            </w:tcMar>
            <w:vAlign w:val="center"/>
          </w:tcPr>
          <w:p w14:paraId="5C77C26A" w14:textId="77777777" w:rsidR="005B7658" w:rsidRPr="000F3D1F" w:rsidRDefault="005B7658" w:rsidP="00AD309C">
            <w:pPr>
              <w:pStyle w:val="ListParagraph"/>
              <w:numPr>
                <w:ilvl w:val="0"/>
                <w:numId w:val="243"/>
              </w:numPr>
              <w:rPr>
                <w:rFonts w:cs="Arial"/>
                <w:iCs/>
              </w:rPr>
            </w:pPr>
            <w:r w:rsidRPr="000F3D1F">
              <w:rPr>
                <w:rFonts w:cs="Arial"/>
                <w:iCs/>
              </w:rPr>
              <w:t>Yes</w:t>
            </w:r>
          </w:p>
          <w:p w14:paraId="796A4A80" w14:textId="77777777" w:rsidR="005B7658" w:rsidRPr="000F3D1F" w:rsidRDefault="005B7658" w:rsidP="00AD309C">
            <w:pPr>
              <w:pStyle w:val="ListParagraph"/>
              <w:numPr>
                <w:ilvl w:val="0"/>
                <w:numId w:val="243"/>
              </w:numPr>
              <w:rPr>
                <w:rFonts w:cs="Arial"/>
                <w:iCs/>
              </w:rPr>
            </w:pPr>
            <w:r w:rsidRPr="000F3D1F">
              <w:rPr>
                <w:rFonts w:cs="Arial"/>
                <w:iCs/>
              </w:rPr>
              <w:t>No</w:t>
            </w:r>
          </w:p>
        </w:tc>
      </w:tr>
    </w:tbl>
    <w:p w14:paraId="01D62620" w14:textId="6E7A260F" w:rsidR="002954E8" w:rsidRPr="000C127F" w:rsidRDefault="002954E8">
      <w:pPr>
        <w:rPr>
          <w:rFonts w:cs="Arial"/>
          <w:sz w:val="16"/>
          <w:szCs w:val="16"/>
          <w:lang w:eastAsia="ja-JP"/>
        </w:rPr>
      </w:pPr>
    </w:p>
    <w:p w14:paraId="6644D49F" w14:textId="6F7CBB0D" w:rsidR="00F72C9F" w:rsidRDefault="002954E8">
      <w:pPr>
        <w:rPr>
          <w:rFonts w:cs="Arial"/>
          <w:i/>
          <w:iCs/>
          <w:lang w:eastAsia="ja-JP"/>
        </w:rPr>
      </w:pPr>
      <w:r w:rsidRPr="001E2A00">
        <w:rPr>
          <w:rFonts w:cs="Arial"/>
          <w:i/>
          <w:iCs/>
          <w:lang w:eastAsia="ja-JP"/>
        </w:rPr>
        <w:t>If “no” to question #3, #4, or #5, skip the remaining questions in Section 3</w:t>
      </w:r>
      <w:r w:rsidR="00263AE4">
        <w:rPr>
          <w:rFonts w:cs="Arial"/>
          <w:i/>
          <w:iCs/>
          <w:lang w:eastAsia="ja-JP"/>
        </w:rPr>
        <w:t>B</w:t>
      </w:r>
      <w:r w:rsidRPr="001E2A00">
        <w:rPr>
          <w:rFonts w:cs="Arial"/>
          <w:i/>
          <w:iCs/>
          <w:lang w:eastAsia="ja-JP"/>
        </w:rPr>
        <w:t xml:space="preserve"> and go to the Affirmation of Accuracy. The hospital will be scored as </w:t>
      </w:r>
      <w:r>
        <w:rPr>
          <w:rFonts w:cs="Arial"/>
          <w:i/>
          <w:iCs/>
          <w:lang w:eastAsia="ja-JP"/>
        </w:rPr>
        <w:t>“Limited Achievement.”</w:t>
      </w:r>
    </w:p>
    <w:p w14:paraId="7550B694" w14:textId="34794A19" w:rsidR="00F72C9F" w:rsidRPr="000C127F" w:rsidRDefault="00F72C9F">
      <w:pPr>
        <w:rPr>
          <w:rFonts w:cs="Arial"/>
          <w:i/>
          <w:iCs/>
          <w:sz w:val="16"/>
          <w:szCs w:val="16"/>
          <w:lang w:eastAsia="ja-JP"/>
        </w:rPr>
      </w:pPr>
    </w:p>
    <w:p w14:paraId="2C1C5E26" w14:textId="78A38AEE" w:rsidR="00F72C9F" w:rsidRPr="00F72C9F" w:rsidRDefault="00F72C9F">
      <w:pPr>
        <w:rPr>
          <w:rFonts w:cs="Arial"/>
          <w:i/>
          <w:iCs/>
          <w:lang w:eastAsia="ja-JP"/>
        </w:rPr>
      </w:pPr>
      <w:r>
        <w:rPr>
          <w:rFonts w:cs="Arial"/>
          <w:i/>
          <w:iCs/>
          <w:lang w:eastAsia="ja-JP"/>
        </w:rPr>
        <w:t>Hospitals performing the audit in Section 3</w:t>
      </w:r>
      <w:r w:rsidR="00263AE4">
        <w:rPr>
          <w:rFonts w:cs="Arial"/>
          <w:i/>
          <w:iCs/>
          <w:lang w:eastAsia="ja-JP"/>
        </w:rPr>
        <w:t>B</w:t>
      </w:r>
      <w:r>
        <w:rPr>
          <w:rFonts w:cs="Arial"/>
          <w:i/>
          <w:iCs/>
          <w:lang w:eastAsia="ja-JP"/>
        </w:rPr>
        <w:t xml:space="preserve"> question #6 and the audit in Section 9D question #</w:t>
      </w:r>
      <w:r w:rsidR="000A6A29">
        <w:rPr>
          <w:rFonts w:cs="Arial"/>
          <w:i/>
          <w:iCs/>
          <w:lang w:eastAsia="ja-JP"/>
        </w:rPr>
        <w:t>6</w:t>
      </w:r>
      <w:r w:rsidRPr="00F72C9F">
        <w:rPr>
          <w:rFonts w:cs="Arial"/>
          <w:i/>
          <w:iCs/>
          <w:lang w:eastAsia="ja-JP"/>
        </w:rPr>
        <w:t xml:space="preserve"> </w:t>
      </w:r>
      <w:r w:rsidRPr="00581B5F">
        <w:rPr>
          <w:rFonts w:cs="Arial"/>
          <w:i/>
          <w:iCs/>
          <w:lang w:eastAsia="ja-JP"/>
        </w:rPr>
        <w:t xml:space="preserve">should audit 15 cases who underwent a procedure included in Section 3A and 15 cases who underwent a procedure included in Section </w:t>
      </w:r>
      <w:r>
        <w:rPr>
          <w:rFonts w:cs="Arial"/>
          <w:i/>
          <w:iCs/>
          <w:lang w:eastAsia="ja-JP"/>
        </w:rPr>
        <w:t>9</w:t>
      </w:r>
      <w:r w:rsidRPr="00581B5F">
        <w:rPr>
          <w:rFonts w:cs="Arial"/>
          <w:i/>
          <w:iCs/>
          <w:lang w:eastAsia="ja-JP"/>
        </w:rPr>
        <w:t xml:space="preserve">C. </w:t>
      </w:r>
      <w:r>
        <w:rPr>
          <w:rFonts w:cs="Arial"/>
          <w:i/>
          <w:iCs/>
          <w:lang w:eastAsia="ja-JP"/>
        </w:rPr>
        <w:t>Hospitals only performing the audit in Section 3</w:t>
      </w:r>
      <w:r w:rsidR="00263AE4">
        <w:rPr>
          <w:rFonts w:cs="Arial"/>
          <w:i/>
          <w:iCs/>
          <w:lang w:eastAsia="ja-JP"/>
        </w:rPr>
        <w:t>B</w:t>
      </w:r>
      <w:r>
        <w:rPr>
          <w:rFonts w:cs="Arial"/>
          <w:i/>
          <w:iCs/>
          <w:lang w:eastAsia="ja-JP"/>
        </w:rPr>
        <w:t xml:space="preserve"> question #6 and not in Section 9D question #</w:t>
      </w:r>
      <w:r w:rsidR="000A6A29">
        <w:rPr>
          <w:rFonts w:cs="Arial"/>
          <w:i/>
          <w:iCs/>
          <w:lang w:eastAsia="ja-JP"/>
        </w:rPr>
        <w:t>6</w:t>
      </w:r>
      <w:r>
        <w:rPr>
          <w:rFonts w:cs="Arial"/>
          <w:i/>
          <w:iCs/>
          <w:lang w:eastAsia="ja-JP"/>
        </w:rPr>
        <w:t xml:space="preserve"> </w:t>
      </w:r>
      <w:r w:rsidRPr="00581B5F">
        <w:rPr>
          <w:rFonts w:cs="Arial"/>
          <w:i/>
          <w:iCs/>
          <w:lang w:eastAsia="ja-JP"/>
        </w:rPr>
        <w:t>should audit 30 cases who underwent a procedure included in Section 3A</w:t>
      </w:r>
      <w:r>
        <w:rPr>
          <w:rFonts w:cs="Arial"/>
          <w:i/>
          <w:iCs/>
          <w:lang w:eastAsia="ja-JP"/>
        </w:rPr>
        <w:t>.</w:t>
      </w:r>
    </w:p>
    <w:p w14:paraId="4695F592" w14:textId="77777777" w:rsidR="00C56BFE" w:rsidRPr="000C127F" w:rsidRDefault="00C56BFE">
      <w:pPr>
        <w:rPr>
          <w:rFonts w:cs="Arial"/>
          <w:sz w:val="16"/>
          <w:szCs w:val="16"/>
          <w:lang w:eastAsia="ja-JP"/>
        </w:rPr>
      </w:pPr>
    </w:p>
    <w:tbl>
      <w:tblPr>
        <w:tblStyle w:val="TableGrid"/>
        <w:tblW w:w="0" w:type="auto"/>
        <w:tblLook w:val="04A0" w:firstRow="1" w:lastRow="0" w:firstColumn="1" w:lastColumn="0" w:noHBand="0" w:noVBand="1"/>
      </w:tblPr>
      <w:tblGrid>
        <w:gridCol w:w="6475"/>
        <w:gridCol w:w="2875"/>
      </w:tblGrid>
      <w:tr w:rsidR="002954E8" w14:paraId="7DF2BC8A" w14:textId="77777777" w:rsidTr="004D5AD0">
        <w:trPr>
          <w:trHeight w:val="3312"/>
        </w:trPr>
        <w:tc>
          <w:tcPr>
            <w:tcW w:w="6475" w:type="dxa"/>
            <w:vAlign w:val="center"/>
          </w:tcPr>
          <w:p w14:paraId="49DACBD7" w14:textId="2701F5D2" w:rsidR="002954E8" w:rsidRPr="00895070" w:rsidRDefault="002954E8" w:rsidP="00AD309C">
            <w:pPr>
              <w:pStyle w:val="ListParagraph"/>
              <w:numPr>
                <w:ilvl w:val="0"/>
                <w:numId w:val="131"/>
              </w:numPr>
              <w:rPr>
                <w:rFonts w:cs="Arial"/>
              </w:rPr>
            </w:pPr>
            <w:r w:rsidRPr="00895070">
              <w:rPr>
                <w:rFonts w:cs="Arial"/>
              </w:rPr>
              <w:t xml:space="preserve">Did your hospital perform an audit (either in-person or via the medical record or other EHR data) on </w:t>
            </w:r>
            <w:r w:rsidR="00D25C4F">
              <w:rPr>
                <w:rFonts w:cs="Arial"/>
              </w:rPr>
              <w:t>a sufficient sample</w:t>
            </w:r>
            <w:r w:rsidRPr="00895070">
              <w:rPr>
                <w:rFonts w:cs="Arial"/>
              </w:rPr>
              <w:t xml:space="preserve"> of patients who underwent a procedure included in Section 3A and measure adherence to the safe surgery checklist? </w:t>
            </w:r>
          </w:p>
          <w:p w14:paraId="69CACEB2" w14:textId="77777777" w:rsidR="002954E8" w:rsidRPr="00895070" w:rsidRDefault="002954E8" w:rsidP="002954E8">
            <w:pPr>
              <w:pStyle w:val="ListParagraph"/>
              <w:ind w:left="360"/>
              <w:rPr>
                <w:rFonts w:cs="Arial"/>
              </w:rPr>
            </w:pPr>
          </w:p>
          <w:p w14:paraId="24686978" w14:textId="6940E77F" w:rsidR="002954E8" w:rsidRPr="00895070" w:rsidRDefault="002954E8" w:rsidP="002954E8">
            <w:pPr>
              <w:pStyle w:val="ListParagraph"/>
              <w:ind w:left="360"/>
              <w:rPr>
                <w:rFonts w:cs="Arial"/>
                <w:i/>
                <w:iCs/>
              </w:rPr>
            </w:pPr>
            <w:r w:rsidRPr="00895070">
              <w:rPr>
                <w:rFonts w:cs="Arial"/>
                <w:i/>
                <w:iCs/>
              </w:rPr>
              <w:t xml:space="preserve">Free-standing pediatric hospitals that perform the Norwood Procedure </w:t>
            </w:r>
            <w:r>
              <w:rPr>
                <w:rFonts w:cs="Arial"/>
                <w:i/>
                <w:iCs/>
              </w:rPr>
              <w:t xml:space="preserve">and hospitals that reported a combined total hospital volume of less than </w:t>
            </w:r>
            <w:r w:rsidR="00F72C9F">
              <w:rPr>
                <w:rFonts w:cs="Arial"/>
                <w:i/>
                <w:iCs/>
              </w:rPr>
              <w:t xml:space="preserve">the </w:t>
            </w:r>
            <w:r w:rsidR="00DA07D2">
              <w:rPr>
                <w:rFonts w:cs="Arial"/>
                <w:i/>
                <w:iCs/>
              </w:rPr>
              <w:t>sufficient sample</w:t>
            </w:r>
            <w:r w:rsidR="00F72C9F">
              <w:rPr>
                <w:rFonts w:cs="Arial"/>
                <w:i/>
                <w:iCs/>
              </w:rPr>
              <w:t xml:space="preserve"> </w:t>
            </w:r>
            <w:r>
              <w:rPr>
                <w:rFonts w:cs="Arial"/>
                <w:i/>
                <w:iCs/>
              </w:rPr>
              <w:t xml:space="preserve">for all the procedures in Section 3A </w:t>
            </w:r>
            <w:r w:rsidRPr="00895070">
              <w:rPr>
                <w:rFonts w:cs="Arial"/>
                <w:i/>
                <w:iCs/>
              </w:rPr>
              <w:t xml:space="preserve">can sample any patients that had a procedure performed under general anesthesia. </w:t>
            </w:r>
          </w:p>
          <w:p w14:paraId="19610533" w14:textId="77777777" w:rsidR="002954E8" w:rsidRPr="00895070" w:rsidRDefault="002954E8" w:rsidP="0011459E"/>
          <w:p w14:paraId="43F4D31D" w14:textId="77777777" w:rsidR="00C7333E" w:rsidRDefault="002954E8" w:rsidP="00F72C9F">
            <w:pPr>
              <w:ind w:left="360"/>
              <w:rPr>
                <w:rFonts w:cs="Arial"/>
                <w:i/>
              </w:rPr>
            </w:pPr>
            <w:r w:rsidRPr="00895070">
              <w:rPr>
                <w:rFonts w:cs="Arial"/>
                <w:i/>
              </w:rPr>
              <w:t xml:space="preserve">If “no” to question #6, skip </w:t>
            </w:r>
            <w:r>
              <w:rPr>
                <w:rFonts w:cs="Arial"/>
                <w:i/>
              </w:rPr>
              <w:t>the remaining questions in Section 3</w:t>
            </w:r>
            <w:r w:rsidR="00263AE4">
              <w:rPr>
                <w:rFonts w:cs="Arial"/>
                <w:i/>
              </w:rPr>
              <w:t>B</w:t>
            </w:r>
            <w:r w:rsidRPr="00895070">
              <w:rPr>
                <w:rFonts w:cs="Arial"/>
                <w:i/>
              </w:rPr>
              <w:t xml:space="preserve"> and </w:t>
            </w:r>
            <w:r>
              <w:rPr>
                <w:rFonts w:cs="Arial"/>
                <w:i/>
              </w:rPr>
              <w:t>go</w:t>
            </w:r>
            <w:r w:rsidRPr="00895070">
              <w:rPr>
                <w:rFonts w:cs="Arial"/>
                <w:i/>
              </w:rPr>
              <w:t xml:space="preserve"> to the Affirmation of Accuracy. The hospital will be scored as “Limited Achievement.”</w:t>
            </w:r>
          </w:p>
          <w:p w14:paraId="132570A1" w14:textId="77777777" w:rsidR="009B0840" w:rsidRDefault="009B0840" w:rsidP="00F72C9F">
            <w:pPr>
              <w:ind w:left="360"/>
              <w:rPr>
                <w:rFonts w:cs="Arial"/>
                <w:lang w:eastAsia="ja-JP"/>
              </w:rPr>
            </w:pPr>
          </w:p>
          <w:p w14:paraId="6684F8C6" w14:textId="4594701D" w:rsidR="009B0840" w:rsidRDefault="009B0840" w:rsidP="00F72C9F">
            <w:pPr>
              <w:ind w:left="360"/>
              <w:rPr>
                <w:rFonts w:cs="Arial"/>
                <w:lang w:eastAsia="ja-JP"/>
              </w:rPr>
            </w:pPr>
            <w:r w:rsidRPr="00FD4746">
              <w:rPr>
                <w:rFonts w:cs="Arial"/>
                <w:i/>
                <w:iCs/>
                <w:lang w:eastAsia="ja-JP"/>
              </w:rPr>
              <w:t xml:space="preserve">If “no, </w:t>
            </w:r>
            <w:r w:rsidR="00DE3E15" w:rsidRPr="00FD4746">
              <w:rPr>
                <w:rFonts w:cs="Arial"/>
                <w:i/>
                <w:iCs/>
                <w:lang w:eastAsia="ja-JP"/>
              </w:rPr>
              <w:t xml:space="preserve">performed </w:t>
            </w:r>
            <w:r w:rsidRPr="00FD4746">
              <w:rPr>
                <w:rFonts w:cs="Arial"/>
                <w:i/>
                <w:iCs/>
                <w:lang w:eastAsia="ja-JP"/>
              </w:rPr>
              <w:t xml:space="preserve">fewer than 30 </w:t>
            </w:r>
            <w:r w:rsidR="003B0108">
              <w:rPr>
                <w:rFonts w:cs="Arial"/>
                <w:i/>
                <w:iCs/>
                <w:lang w:eastAsia="ja-JP"/>
              </w:rPr>
              <w:t xml:space="preserve">total </w:t>
            </w:r>
            <w:r w:rsidRPr="00FD4746">
              <w:rPr>
                <w:rFonts w:cs="Arial"/>
                <w:i/>
                <w:iCs/>
                <w:lang w:eastAsia="ja-JP"/>
              </w:rPr>
              <w:t>inpatient procedures</w:t>
            </w:r>
            <w:r w:rsidR="00DE3E15" w:rsidRPr="00FD4746">
              <w:rPr>
                <w:rFonts w:cs="Arial"/>
                <w:i/>
                <w:iCs/>
                <w:lang w:eastAsia="ja-JP"/>
              </w:rPr>
              <w:t xml:space="preserve"> under general anesthesia</w:t>
            </w:r>
            <w:r w:rsidRPr="00FD4746">
              <w:rPr>
                <w:rFonts w:cs="Arial"/>
                <w:i/>
                <w:iCs/>
                <w:lang w:eastAsia="ja-JP"/>
              </w:rPr>
              <w:t>”</w:t>
            </w:r>
            <w:r w:rsidR="00DE3E15" w:rsidRPr="00FD4746">
              <w:rPr>
                <w:rFonts w:cs="Arial"/>
                <w:i/>
                <w:iCs/>
                <w:lang w:eastAsia="ja-JP"/>
              </w:rPr>
              <w:t xml:space="preserve"> to question #6,</w:t>
            </w:r>
            <w:r w:rsidR="00DE3E15">
              <w:rPr>
                <w:rFonts w:cs="Arial"/>
                <w:lang w:eastAsia="ja-JP"/>
              </w:rPr>
              <w:t xml:space="preserve"> </w:t>
            </w:r>
            <w:r w:rsidR="00DE3E15" w:rsidRPr="00895070">
              <w:rPr>
                <w:rFonts w:cs="Arial"/>
                <w:i/>
              </w:rPr>
              <w:t xml:space="preserve">skip </w:t>
            </w:r>
            <w:r w:rsidR="00DE3E15">
              <w:rPr>
                <w:rFonts w:cs="Arial"/>
                <w:i/>
              </w:rPr>
              <w:t>the remaining questions in Section 3B</w:t>
            </w:r>
            <w:r w:rsidR="00DE3E15" w:rsidRPr="00895070">
              <w:rPr>
                <w:rFonts w:cs="Arial"/>
                <w:i/>
              </w:rPr>
              <w:t xml:space="preserve"> and </w:t>
            </w:r>
            <w:r w:rsidR="00DE3E15">
              <w:rPr>
                <w:rFonts w:cs="Arial"/>
                <w:i/>
              </w:rPr>
              <w:t>go</w:t>
            </w:r>
            <w:r w:rsidR="00DE3E15" w:rsidRPr="00895070">
              <w:rPr>
                <w:rFonts w:cs="Arial"/>
                <w:i/>
              </w:rPr>
              <w:t xml:space="preserve"> to the Affirmation of Accuracy</w:t>
            </w:r>
            <w:r w:rsidR="00FD4746">
              <w:rPr>
                <w:rFonts w:cs="Arial"/>
                <w:i/>
              </w:rPr>
              <w:t xml:space="preserve">. </w:t>
            </w:r>
            <w:r w:rsidR="00DE3E15" w:rsidRPr="00895070">
              <w:rPr>
                <w:rFonts w:cs="Arial"/>
                <w:i/>
              </w:rPr>
              <w:t>The hospital will be scored as “</w:t>
            </w:r>
            <w:r w:rsidR="00FD4746">
              <w:rPr>
                <w:rFonts w:cs="Arial"/>
                <w:i/>
              </w:rPr>
              <w:t>Unable to Calculate Score</w:t>
            </w:r>
            <w:r w:rsidR="00DE3E15" w:rsidRPr="00895070">
              <w:rPr>
                <w:rFonts w:cs="Arial"/>
                <w:i/>
              </w:rPr>
              <w:t>.”</w:t>
            </w:r>
          </w:p>
        </w:tc>
        <w:tc>
          <w:tcPr>
            <w:tcW w:w="2875" w:type="dxa"/>
            <w:vAlign w:val="center"/>
          </w:tcPr>
          <w:p w14:paraId="43B18B3F" w14:textId="77777777" w:rsidR="002954E8" w:rsidRPr="000F3D1F" w:rsidRDefault="002954E8" w:rsidP="00AD309C">
            <w:pPr>
              <w:pStyle w:val="ListParagraph"/>
              <w:numPr>
                <w:ilvl w:val="0"/>
                <w:numId w:val="244"/>
              </w:numPr>
              <w:rPr>
                <w:rFonts w:cs="Arial"/>
                <w:iCs/>
                <w:snapToGrid w:val="0"/>
              </w:rPr>
            </w:pPr>
            <w:r w:rsidRPr="000F3D1F">
              <w:rPr>
                <w:rFonts w:cs="Arial"/>
                <w:iCs/>
                <w:snapToGrid w:val="0"/>
              </w:rPr>
              <w:t>Yes</w:t>
            </w:r>
          </w:p>
          <w:p w14:paraId="087E715C" w14:textId="77777777" w:rsidR="002954E8" w:rsidRPr="00FD4746" w:rsidRDefault="002954E8" w:rsidP="00AD309C">
            <w:pPr>
              <w:pStyle w:val="ListParagraph"/>
              <w:numPr>
                <w:ilvl w:val="0"/>
                <w:numId w:val="244"/>
              </w:numPr>
              <w:rPr>
                <w:rFonts w:cs="Arial"/>
                <w:iCs/>
                <w:lang w:eastAsia="ja-JP"/>
              </w:rPr>
            </w:pPr>
            <w:r w:rsidRPr="000F3D1F">
              <w:rPr>
                <w:rFonts w:cs="Arial"/>
                <w:iCs/>
                <w:snapToGrid w:val="0"/>
              </w:rPr>
              <w:t>No</w:t>
            </w:r>
          </w:p>
          <w:p w14:paraId="1648B274" w14:textId="669E5CA1" w:rsidR="00B46C72" w:rsidRPr="00263AE4" w:rsidRDefault="00CB0DE5" w:rsidP="00AD309C">
            <w:pPr>
              <w:pStyle w:val="ListParagraph"/>
              <w:numPr>
                <w:ilvl w:val="0"/>
                <w:numId w:val="244"/>
              </w:numPr>
              <w:rPr>
                <w:rFonts w:cs="Arial"/>
                <w:iCs/>
                <w:lang w:eastAsia="ja-JP"/>
              </w:rPr>
            </w:pPr>
            <w:r>
              <w:rPr>
                <w:rFonts w:cs="Arial"/>
                <w:iCs/>
                <w:lang w:eastAsia="ja-JP"/>
              </w:rPr>
              <w:t xml:space="preserve">No, </w:t>
            </w:r>
            <w:r w:rsidR="00DE3E15">
              <w:rPr>
                <w:rFonts w:cs="Arial"/>
                <w:iCs/>
                <w:lang w:eastAsia="ja-JP"/>
              </w:rPr>
              <w:t xml:space="preserve">performed </w:t>
            </w:r>
            <w:r>
              <w:rPr>
                <w:rFonts w:cs="Arial"/>
                <w:iCs/>
                <w:lang w:eastAsia="ja-JP"/>
              </w:rPr>
              <w:t xml:space="preserve">fewer than 30 </w:t>
            </w:r>
            <w:r w:rsidR="003B0108">
              <w:rPr>
                <w:rFonts w:cs="Arial"/>
                <w:iCs/>
                <w:lang w:eastAsia="ja-JP"/>
              </w:rPr>
              <w:t xml:space="preserve">total </w:t>
            </w:r>
            <w:r>
              <w:rPr>
                <w:rFonts w:cs="Arial"/>
                <w:iCs/>
                <w:lang w:eastAsia="ja-JP"/>
              </w:rPr>
              <w:t>inpatient procedures</w:t>
            </w:r>
            <w:r w:rsidR="00DE3E15">
              <w:rPr>
                <w:rFonts w:cs="Arial"/>
                <w:iCs/>
                <w:lang w:eastAsia="ja-JP"/>
              </w:rPr>
              <w:t xml:space="preserve"> under general anesthesia</w:t>
            </w:r>
          </w:p>
        </w:tc>
      </w:tr>
      <w:tr w:rsidR="00D05526" w14:paraId="211B3129" w14:textId="77777777" w:rsidTr="00357E20">
        <w:trPr>
          <w:trHeight w:val="576"/>
        </w:trPr>
        <w:tc>
          <w:tcPr>
            <w:tcW w:w="6475" w:type="dxa"/>
            <w:vAlign w:val="center"/>
          </w:tcPr>
          <w:p w14:paraId="38FA74FA" w14:textId="4C0E7259" w:rsidR="00D05526" w:rsidRPr="00895070" w:rsidRDefault="00D05526" w:rsidP="00AD309C">
            <w:pPr>
              <w:pStyle w:val="ListParagraph"/>
              <w:numPr>
                <w:ilvl w:val="0"/>
                <w:numId w:val="131"/>
              </w:numPr>
              <w:rPr>
                <w:rFonts w:cs="Arial"/>
              </w:rPr>
            </w:pPr>
            <w:r>
              <w:rPr>
                <w:rFonts w:cs="Arial"/>
              </w:rPr>
              <w:t>How many cases were included in the audit from question #6?</w:t>
            </w:r>
          </w:p>
        </w:tc>
        <w:tc>
          <w:tcPr>
            <w:tcW w:w="2875" w:type="dxa"/>
            <w:tcBorders>
              <w:bottom w:val="single" w:sz="4" w:space="0" w:color="auto"/>
            </w:tcBorders>
            <w:vAlign w:val="center"/>
          </w:tcPr>
          <w:p w14:paraId="096EECC7" w14:textId="77777777" w:rsidR="00D05526" w:rsidRDefault="00D05526" w:rsidP="00C8246A">
            <w:pPr>
              <w:jc w:val="center"/>
              <w:rPr>
                <w:rFonts w:cs="Arial"/>
                <w:snapToGrid w:val="0"/>
              </w:rPr>
            </w:pPr>
            <w:r w:rsidRPr="00B90CB9">
              <w:rPr>
                <w:rFonts w:cs="Arial"/>
                <w:snapToGrid w:val="0"/>
              </w:rPr>
              <w:t>_________</w:t>
            </w:r>
          </w:p>
          <w:p w14:paraId="7B665D6E" w14:textId="574FEF8A" w:rsidR="007620C6" w:rsidRPr="00D83920" w:rsidRDefault="007620C6" w:rsidP="00C8246A">
            <w:pPr>
              <w:jc w:val="center"/>
              <w:rPr>
                <w:rFonts w:cs="Arial"/>
                <w:i/>
                <w:snapToGrid w:val="0"/>
              </w:rPr>
            </w:pPr>
            <w:r w:rsidRPr="005149DB">
              <w:rPr>
                <w:rFonts w:cs="Arial"/>
                <w:i/>
                <w:snapToGrid w:val="0"/>
                <w:sz w:val="16"/>
                <w:szCs w:val="16"/>
              </w:rPr>
              <w:t>Max value 100</w:t>
            </w:r>
          </w:p>
        </w:tc>
      </w:tr>
      <w:tr w:rsidR="00F72C9F" w14:paraId="53022BA7" w14:textId="77777777" w:rsidTr="000F3D1F">
        <w:trPr>
          <w:trHeight w:val="1008"/>
        </w:trPr>
        <w:tc>
          <w:tcPr>
            <w:tcW w:w="6475" w:type="dxa"/>
            <w:tcBorders>
              <w:bottom w:val="single" w:sz="4" w:space="0" w:color="auto"/>
            </w:tcBorders>
            <w:vAlign w:val="center"/>
          </w:tcPr>
          <w:p w14:paraId="41A54278" w14:textId="1184CB13" w:rsidR="00F72C9F" w:rsidRPr="00895070" w:rsidRDefault="00F72C9F" w:rsidP="00AD309C">
            <w:pPr>
              <w:pStyle w:val="ListParagraph"/>
              <w:numPr>
                <w:ilvl w:val="0"/>
                <w:numId w:val="131"/>
              </w:numPr>
              <w:rPr>
                <w:rFonts w:cs="Arial"/>
              </w:rPr>
            </w:pPr>
            <w:r>
              <w:rPr>
                <w:rFonts w:cs="Arial"/>
              </w:rPr>
              <w:lastRenderedPageBreak/>
              <w:t>Wh</w:t>
            </w:r>
            <w:r w:rsidR="00F76918">
              <w:rPr>
                <w:rFonts w:cs="Arial"/>
              </w:rPr>
              <w:t>ich</w:t>
            </w:r>
            <w:r>
              <w:rPr>
                <w:rFonts w:cs="Arial"/>
              </w:rPr>
              <w:t xml:space="preserve"> method was used to perform the audit </w:t>
            </w:r>
            <w:r w:rsidR="00D25C4F">
              <w:rPr>
                <w:rFonts w:cs="Arial"/>
              </w:rPr>
              <w:t xml:space="preserve">on a sufficient sample </w:t>
            </w:r>
            <w:r>
              <w:rPr>
                <w:rFonts w:cs="Arial"/>
              </w:rPr>
              <w:t>in question #6?</w:t>
            </w:r>
          </w:p>
        </w:tc>
        <w:tc>
          <w:tcPr>
            <w:tcW w:w="2875" w:type="dxa"/>
            <w:tcBorders>
              <w:bottom w:val="single" w:sz="4" w:space="0" w:color="auto"/>
            </w:tcBorders>
            <w:vAlign w:val="center"/>
          </w:tcPr>
          <w:p w14:paraId="4F7F63F5" w14:textId="77777777" w:rsidR="00F72C9F" w:rsidRPr="000F3D1F" w:rsidRDefault="00F72C9F" w:rsidP="00AD309C">
            <w:pPr>
              <w:pStyle w:val="ListParagraph"/>
              <w:numPr>
                <w:ilvl w:val="0"/>
                <w:numId w:val="244"/>
              </w:numPr>
              <w:rPr>
                <w:rFonts w:cs="Arial"/>
                <w:iCs/>
                <w:snapToGrid w:val="0"/>
              </w:rPr>
            </w:pPr>
            <w:r w:rsidRPr="000F3D1F">
              <w:rPr>
                <w:rFonts w:cs="Arial"/>
                <w:iCs/>
                <w:snapToGrid w:val="0"/>
              </w:rPr>
              <w:t>In-person observational audit</w:t>
            </w:r>
          </w:p>
          <w:p w14:paraId="652A9A0C" w14:textId="77777777" w:rsidR="00F72C9F" w:rsidRPr="000F3D1F" w:rsidRDefault="00F72C9F" w:rsidP="00AD309C">
            <w:pPr>
              <w:pStyle w:val="ListParagraph"/>
              <w:numPr>
                <w:ilvl w:val="0"/>
                <w:numId w:val="244"/>
              </w:numPr>
              <w:rPr>
                <w:rFonts w:cs="Arial"/>
                <w:iCs/>
                <w:snapToGrid w:val="0"/>
              </w:rPr>
            </w:pPr>
            <w:r w:rsidRPr="000F3D1F">
              <w:rPr>
                <w:rFonts w:cs="Arial"/>
                <w:iCs/>
                <w:snapToGrid w:val="0"/>
              </w:rPr>
              <w:t>Retrospective audit of medical records or EHR data</w:t>
            </w:r>
          </w:p>
          <w:p w14:paraId="7BF3CCBB" w14:textId="2E64BBB7" w:rsidR="00F72C9F" w:rsidRPr="000F3D1F" w:rsidRDefault="00F72C9F" w:rsidP="00AD309C">
            <w:pPr>
              <w:pStyle w:val="ListParagraph"/>
              <w:numPr>
                <w:ilvl w:val="0"/>
                <w:numId w:val="244"/>
              </w:numPr>
              <w:rPr>
                <w:rFonts w:cs="Arial"/>
                <w:iCs/>
                <w:snapToGrid w:val="0"/>
              </w:rPr>
            </w:pPr>
            <w:r w:rsidRPr="000F3D1F">
              <w:rPr>
                <w:rFonts w:cs="Arial"/>
                <w:iCs/>
                <w:snapToGrid w:val="0"/>
              </w:rPr>
              <w:t xml:space="preserve">Both </w:t>
            </w:r>
          </w:p>
        </w:tc>
      </w:tr>
      <w:tr w:rsidR="002954E8" w14:paraId="41A2713E" w14:textId="77777777" w:rsidTr="000F3D1F">
        <w:trPr>
          <w:trHeight w:val="1440"/>
        </w:trPr>
        <w:tc>
          <w:tcPr>
            <w:tcW w:w="6475" w:type="dxa"/>
            <w:tcBorders>
              <w:bottom w:val="single" w:sz="4" w:space="0" w:color="auto"/>
            </w:tcBorders>
            <w:vAlign w:val="center"/>
          </w:tcPr>
          <w:p w14:paraId="6438075F" w14:textId="7D779D01" w:rsidR="002954E8" w:rsidRPr="002954E8" w:rsidRDefault="002954E8" w:rsidP="00AD309C">
            <w:pPr>
              <w:pStyle w:val="ListParagraph"/>
              <w:numPr>
                <w:ilvl w:val="0"/>
                <w:numId w:val="131"/>
              </w:numPr>
              <w:rPr>
                <w:rFonts w:cs="Arial"/>
                <w:lang w:eastAsia="ja-JP"/>
              </w:rPr>
            </w:pPr>
            <w:r w:rsidRPr="002954E8">
              <w:rPr>
                <w:rFonts w:cs="Arial"/>
              </w:rPr>
              <w:t xml:space="preserve">Based on your hospital’s audit (either in-person or via the medical record or other EHR data) on </w:t>
            </w:r>
            <w:r w:rsidR="00DA07D2">
              <w:rPr>
                <w:rFonts w:cs="Arial"/>
              </w:rPr>
              <w:t>a sufficient sample of patients</w:t>
            </w:r>
            <w:r w:rsidRPr="002954E8">
              <w:rPr>
                <w:rFonts w:cs="Arial"/>
              </w:rPr>
              <w:t xml:space="preserve"> who underwent a procedure included in Section 3A, what was your hospital</w:t>
            </w:r>
            <w:r w:rsidR="001E06C7">
              <w:rPr>
                <w:rFonts w:cs="Arial"/>
              </w:rPr>
              <w:t>’</w:t>
            </w:r>
            <w:r w:rsidRPr="002954E8">
              <w:rPr>
                <w:rFonts w:cs="Arial"/>
              </w:rPr>
              <w:t>s documented rate of adherence to the safe surgery checklist (</w:t>
            </w:r>
            <w:r w:rsidR="00797ED4">
              <w:rPr>
                <w:rFonts w:cs="Arial"/>
              </w:rPr>
              <w:t>i</w:t>
            </w:r>
            <w:r w:rsidRPr="002954E8">
              <w:rPr>
                <w:rFonts w:cs="Arial"/>
              </w:rPr>
              <w:t>.</w:t>
            </w:r>
            <w:r w:rsidR="00797ED4">
              <w:rPr>
                <w:rFonts w:cs="Arial"/>
              </w:rPr>
              <w:t>e</w:t>
            </w:r>
            <w:r w:rsidRPr="002954E8">
              <w:rPr>
                <w:rFonts w:cs="Arial"/>
              </w:rPr>
              <w:t xml:space="preserve">., what percentage of the sampled cases had all elements in questions #3, #4, and #5 completed)? </w:t>
            </w:r>
          </w:p>
        </w:tc>
        <w:tc>
          <w:tcPr>
            <w:tcW w:w="2875" w:type="dxa"/>
            <w:tcBorders>
              <w:top w:val="single" w:sz="4" w:space="0" w:color="auto"/>
            </w:tcBorders>
            <w:vAlign w:val="center"/>
          </w:tcPr>
          <w:p w14:paraId="205A1494" w14:textId="77777777" w:rsidR="002954E8" w:rsidRPr="000F3D1F" w:rsidRDefault="002954E8" w:rsidP="00AD309C">
            <w:pPr>
              <w:pStyle w:val="ListParagraph"/>
              <w:numPr>
                <w:ilvl w:val="0"/>
                <w:numId w:val="244"/>
              </w:numPr>
              <w:rPr>
                <w:rFonts w:cs="Arial"/>
                <w:iCs/>
                <w:snapToGrid w:val="0"/>
              </w:rPr>
            </w:pPr>
            <w:r w:rsidRPr="000F3D1F">
              <w:rPr>
                <w:rFonts w:cs="Arial"/>
                <w:iCs/>
                <w:snapToGrid w:val="0"/>
              </w:rPr>
              <w:t>90%-100%</w:t>
            </w:r>
          </w:p>
          <w:p w14:paraId="3AD445E9" w14:textId="77777777" w:rsidR="002954E8" w:rsidRPr="000F3D1F" w:rsidRDefault="002954E8" w:rsidP="00AD309C">
            <w:pPr>
              <w:pStyle w:val="ListParagraph"/>
              <w:numPr>
                <w:ilvl w:val="0"/>
                <w:numId w:val="244"/>
              </w:numPr>
              <w:rPr>
                <w:rFonts w:cs="Arial"/>
                <w:iCs/>
                <w:snapToGrid w:val="0"/>
              </w:rPr>
            </w:pPr>
            <w:r w:rsidRPr="000F3D1F">
              <w:rPr>
                <w:rFonts w:cs="Arial"/>
                <w:iCs/>
                <w:snapToGrid w:val="0"/>
              </w:rPr>
              <w:t>75%-89%</w:t>
            </w:r>
          </w:p>
          <w:p w14:paraId="7C8AD4CE" w14:textId="77777777" w:rsidR="002954E8" w:rsidRPr="000F3D1F" w:rsidRDefault="002954E8" w:rsidP="00AD309C">
            <w:pPr>
              <w:pStyle w:val="ListParagraph"/>
              <w:numPr>
                <w:ilvl w:val="0"/>
                <w:numId w:val="244"/>
              </w:numPr>
              <w:rPr>
                <w:rFonts w:cs="Arial"/>
                <w:iCs/>
                <w:snapToGrid w:val="0"/>
              </w:rPr>
            </w:pPr>
            <w:r w:rsidRPr="000F3D1F">
              <w:rPr>
                <w:rFonts w:cs="Arial"/>
                <w:iCs/>
                <w:snapToGrid w:val="0"/>
              </w:rPr>
              <w:t>50%-74%</w:t>
            </w:r>
          </w:p>
          <w:p w14:paraId="547FB07C" w14:textId="7512E8E1" w:rsidR="002954E8" w:rsidRPr="00263AE4" w:rsidRDefault="002954E8" w:rsidP="00AD309C">
            <w:pPr>
              <w:pStyle w:val="ListParagraph"/>
              <w:numPr>
                <w:ilvl w:val="0"/>
                <w:numId w:val="244"/>
              </w:numPr>
              <w:rPr>
                <w:rFonts w:cs="Arial"/>
                <w:iCs/>
                <w:lang w:eastAsia="ja-JP"/>
              </w:rPr>
            </w:pPr>
            <w:r w:rsidRPr="000F3D1F">
              <w:rPr>
                <w:rFonts w:cs="Arial"/>
                <w:iCs/>
                <w:snapToGrid w:val="0"/>
              </w:rPr>
              <w:t>Less than 50%</w:t>
            </w:r>
          </w:p>
        </w:tc>
      </w:tr>
    </w:tbl>
    <w:p w14:paraId="4EB77C9C" w14:textId="74FAE205" w:rsidR="005B2EEB" w:rsidRPr="009A5185" w:rsidRDefault="00AB1656" w:rsidP="005B2EEB">
      <w:pPr>
        <w:rPr>
          <w:rFonts w:cs="Arial"/>
          <w:b/>
          <w:snapToGrid w:val="0"/>
          <w:color w:val="000000"/>
        </w:rPr>
      </w:pPr>
      <w:r>
        <w:rPr>
          <w:rFonts w:cs="Arial"/>
          <w:b/>
          <w:snapToGrid w:val="0"/>
          <w:color w:val="000000"/>
        </w:rPr>
        <w:br w:type="page"/>
      </w:r>
      <w:r w:rsidR="005B2EEB" w:rsidRPr="009A5185">
        <w:rPr>
          <w:rFonts w:cs="Arial"/>
          <w:b/>
          <w:snapToGrid w:val="0"/>
          <w:color w:val="000000"/>
        </w:rPr>
        <w:lastRenderedPageBreak/>
        <w:t>Affirmation of Accuracy</w:t>
      </w:r>
    </w:p>
    <w:p w14:paraId="70343EDE" w14:textId="77777777" w:rsidR="005B2EEB" w:rsidRPr="009A5185" w:rsidRDefault="005B2EEB" w:rsidP="005B2EEB">
      <w:pPr>
        <w:jc w:val="both"/>
        <w:rPr>
          <w:rFonts w:cs="Arial"/>
          <w:i/>
          <w:iCs/>
        </w:rPr>
      </w:pPr>
    </w:p>
    <w:p w14:paraId="1F5CAE75" w14:textId="1C032246" w:rsidR="00456023" w:rsidRPr="00675EEF" w:rsidRDefault="00456023" w:rsidP="00456023">
      <w:pPr>
        <w:rPr>
          <w:rFonts w:cs="Arial"/>
          <w:color w:val="000000"/>
        </w:rPr>
      </w:pPr>
      <w:r w:rsidRPr="009A5185">
        <w:rPr>
          <w:rFonts w:cs="Arial"/>
          <w:color w:val="000000"/>
        </w:rPr>
        <w:t>As the hospital CEO or as an employee of the hospital to wh</w:t>
      </w:r>
      <w:r w:rsidRPr="00675EEF">
        <w:rPr>
          <w:rFonts w:cs="Arial"/>
          <w:color w:val="000000"/>
        </w:rPr>
        <w:t xml:space="preserve">om the hospital CEO has delegated responsibility, I have reviewed this information pertaining to the </w:t>
      </w:r>
      <w:r w:rsidR="00B152BD" w:rsidRPr="00675EEF">
        <w:rPr>
          <w:rFonts w:cs="Arial"/>
          <w:color w:val="000000"/>
        </w:rPr>
        <w:t xml:space="preserve">Adult and Pediatric </w:t>
      </w:r>
      <w:r w:rsidR="004441DE">
        <w:rPr>
          <w:rFonts w:cs="Arial"/>
          <w:color w:val="000000"/>
        </w:rPr>
        <w:t>Complex</w:t>
      </w:r>
      <w:r w:rsidR="00EE6C8B" w:rsidRPr="00675EEF">
        <w:rPr>
          <w:rFonts w:cs="Arial"/>
          <w:color w:val="000000"/>
        </w:rPr>
        <w:t xml:space="preserve"> Surgery</w:t>
      </w:r>
      <w:r w:rsidRPr="00675EEF">
        <w:rPr>
          <w:rFonts w:cs="Arial"/>
          <w:color w:val="000000"/>
        </w:rPr>
        <w:t xml:space="preserve"> Section at our hospital, and I hereby </w:t>
      </w:r>
      <w:r w:rsidR="00F35C91">
        <w:rPr>
          <w:rFonts w:cs="Arial"/>
          <w:color w:val="000000"/>
        </w:rPr>
        <w:t xml:space="preserve">affirm </w:t>
      </w:r>
      <w:r w:rsidRPr="00675EEF">
        <w:rPr>
          <w:rFonts w:cs="Arial"/>
          <w:color w:val="000000"/>
        </w:rPr>
        <w:t>that this information is true, accurate, and reflect</w:t>
      </w:r>
      <w:r w:rsidR="00B7608D" w:rsidRPr="00675EEF">
        <w:rPr>
          <w:rFonts w:cs="Arial"/>
          <w:color w:val="000000"/>
        </w:rPr>
        <w:t>s</w:t>
      </w:r>
      <w:r w:rsidRPr="00675EEF">
        <w:rPr>
          <w:rFonts w:cs="Arial"/>
          <w:color w:val="000000"/>
        </w:rPr>
        <w:t xml:space="preserve"> the current, normal operating circumstances at our hospital. I am authorized to make this </w:t>
      </w:r>
      <w:r w:rsidR="00F35C91">
        <w:rPr>
          <w:rFonts w:cs="Arial"/>
          <w:color w:val="000000"/>
        </w:rPr>
        <w:t>affirmation</w:t>
      </w:r>
      <w:r w:rsidRPr="00675EEF">
        <w:rPr>
          <w:rFonts w:cs="Arial"/>
          <w:color w:val="000000"/>
        </w:rPr>
        <w:t xml:space="preserve"> on behalf of our hospital. </w:t>
      </w:r>
    </w:p>
    <w:p w14:paraId="419D6FE2" w14:textId="77777777" w:rsidR="00456023" w:rsidRPr="00675EEF" w:rsidRDefault="00456023" w:rsidP="00456023">
      <w:pPr>
        <w:rPr>
          <w:rFonts w:cs="Arial"/>
          <w:color w:val="000000"/>
        </w:rPr>
      </w:pPr>
    </w:p>
    <w:p w14:paraId="04FCFDEC" w14:textId="77777777" w:rsidR="0063715A" w:rsidRPr="009A5185" w:rsidRDefault="0063715A" w:rsidP="0063715A">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792AC502" w14:textId="77777777" w:rsidR="005B2EEB" w:rsidRPr="009A5185" w:rsidRDefault="005B2EEB" w:rsidP="005B2EEB">
      <w:pPr>
        <w:rPr>
          <w:rFonts w:cs="Arial"/>
          <w:snapToGrid w:val="0"/>
          <w:color w:val="000000"/>
        </w:rPr>
      </w:pPr>
    </w:p>
    <w:p w14:paraId="78D4C7D2" w14:textId="77777777" w:rsidR="005B2EEB" w:rsidRPr="009A5185" w:rsidRDefault="005B2EEB" w:rsidP="005B2EEB">
      <w:pPr>
        <w:rPr>
          <w:rFonts w:cs="Arial"/>
          <w:snapToGrid w:val="0"/>
          <w:color w:val="000000"/>
        </w:rPr>
      </w:pPr>
    </w:p>
    <w:p w14:paraId="1602CB49" w14:textId="77777777" w:rsidR="005B2EEB" w:rsidRPr="009A5185" w:rsidRDefault="005B2EEB" w:rsidP="005B2EEB">
      <w:pPr>
        <w:spacing w:line="240" w:lineRule="exact"/>
        <w:rPr>
          <w:rFonts w:cs="Arial"/>
          <w:snapToGrid w:val="0"/>
          <w:color w:val="000000"/>
        </w:rPr>
      </w:pPr>
      <w:r w:rsidRPr="009A5185">
        <w:rPr>
          <w:rFonts w:cs="Arial"/>
          <w:snapToGrid w:val="0"/>
          <w:color w:val="000000"/>
        </w:rPr>
        <w:t>Affirmed by _____________________, the hospital’s ___________________________,</w:t>
      </w:r>
    </w:p>
    <w:p w14:paraId="043D7D13" w14:textId="77777777" w:rsidR="008A631A" w:rsidRPr="009A5185" w:rsidRDefault="008A631A" w:rsidP="008A631A">
      <w:pPr>
        <w:pStyle w:val="BodyText2"/>
        <w:spacing w:line="240" w:lineRule="exact"/>
        <w:rPr>
          <w:rFonts w:cs="Arial"/>
        </w:rPr>
      </w:pPr>
      <w:r w:rsidRPr="009A5185">
        <w:rPr>
          <w:rFonts w:cs="Arial"/>
        </w:rPr>
        <w:tab/>
        <w:t xml:space="preserve"> </w:t>
      </w:r>
      <w:r>
        <w:rPr>
          <w:rFonts w:cs="Arial"/>
        </w:rPr>
        <w:t xml:space="preserve">    </w:t>
      </w:r>
      <w:r w:rsidRPr="009A5185">
        <w:rPr>
          <w:rFonts w:cs="Arial"/>
        </w:rPr>
        <w:t>(</w:t>
      </w:r>
      <w:r>
        <w:rPr>
          <w:rFonts w:cs="Arial"/>
        </w:rPr>
        <w:t xml:space="preserve">first </w:t>
      </w:r>
      <w:r w:rsidRPr="009A5185">
        <w:rPr>
          <w:rFonts w:cs="Arial"/>
        </w:rPr>
        <w:t>name</w:t>
      </w:r>
      <w:r>
        <w:rPr>
          <w:rFonts w:cs="Arial"/>
        </w:rPr>
        <w:t xml:space="preserve"> and last name)</w:t>
      </w:r>
      <w:r>
        <w:rPr>
          <w:rFonts w:cs="Arial"/>
        </w:rPr>
        <w:tab/>
      </w:r>
      <w:r>
        <w:rPr>
          <w:rFonts w:cs="Arial"/>
        </w:rPr>
        <w:tab/>
      </w:r>
      <w:r>
        <w:rPr>
          <w:rFonts w:cs="Arial"/>
        </w:rPr>
        <w:tab/>
      </w:r>
      <w:r>
        <w:rPr>
          <w:rFonts w:cs="Arial"/>
        </w:rPr>
        <w:tab/>
      </w:r>
      <w:r w:rsidRPr="009A5185">
        <w:rPr>
          <w:rFonts w:cs="Arial"/>
        </w:rPr>
        <w:t>(title)</w:t>
      </w:r>
    </w:p>
    <w:p w14:paraId="45F3F54E" w14:textId="77777777" w:rsidR="005B2EEB" w:rsidRPr="009A5185" w:rsidRDefault="005B2EEB" w:rsidP="005B2EEB">
      <w:pPr>
        <w:spacing w:line="240" w:lineRule="exact"/>
        <w:rPr>
          <w:rFonts w:cs="Arial"/>
          <w:snapToGrid w:val="0"/>
        </w:rPr>
      </w:pPr>
      <w:r w:rsidRPr="009A5185">
        <w:rPr>
          <w:rFonts w:cs="Arial"/>
          <w:snapToGrid w:val="0"/>
        </w:rPr>
        <w:t>on _______________________.</w:t>
      </w:r>
    </w:p>
    <w:p w14:paraId="3B167C0A" w14:textId="77777777" w:rsidR="005B2EEB" w:rsidRPr="009A5185" w:rsidRDefault="005B2EEB" w:rsidP="005B2EEB">
      <w:pPr>
        <w:spacing w:line="240" w:lineRule="exact"/>
        <w:rPr>
          <w:rFonts w:cs="Arial"/>
          <w:i/>
        </w:rPr>
      </w:pPr>
      <w:r w:rsidRPr="009A5185">
        <w:rPr>
          <w:rFonts w:cs="Arial"/>
          <w:i/>
        </w:rPr>
        <w:t xml:space="preserve">                    (date)</w:t>
      </w:r>
    </w:p>
    <w:p w14:paraId="68A16924" w14:textId="77777777" w:rsidR="006E50EF" w:rsidRPr="009A5185" w:rsidRDefault="006E50EF">
      <w:pPr>
        <w:pStyle w:val="Header"/>
        <w:tabs>
          <w:tab w:val="clear" w:pos="4320"/>
          <w:tab w:val="clear" w:pos="8640"/>
        </w:tabs>
        <w:rPr>
          <w:rFonts w:cs="Arial"/>
          <w:b/>
          <w:snapToGrid w:val="0"/>
          <w:color w:val="000000"/>
          <w:sz w:val="24"/>
        </w:rPr>
      </w:pPr>
    </w:p>
    <w:p w14:paraId="134B7E4C" w14:textId="77777777" w:rsidR="00BE3550" w:rsidRPr="009A5185" w:rsidRDefault="00BE3550">
      <w:pPr>
        <w:rPr>
          <w:rFonts w:cs="Arial"/>
          <w:b/>
          <w:sz w:val="24"/>
        </w:rPr>
      </w:pPr>
      <w:bookmarkStart w:id="235" w:name="_Toc383774992"/>
      <w:r w:rsidRPr="009A5185">
        <w:rPr>
          <w:rFonts w:cs="Arial"/>
        </w:rPr>
        <w:br w:type="page"/>
      </w:r>
    </w:p>
    <w:p w14:paraId="5238D285" w14:textId="40DBD299" w:rsidR="006E50EF" w:rsidRPr="009A5185" w:rsidRDefault="006E50EF" w:rsidP="00CF5A6E">
      <w:pPr>
        <w:pStyle w:val="Heading2"/>
      </w:pPr>
      <w:bookmarkStart w:id="236" w:name="_Toc225877710"/>
      <w:r w:rsidRPr="009A5185">
        <w:lastRenderedPageBreak/>
        <w:t xml:space="preserve">Section 3: </w:t>
      </w:r>
      <w:r w:rsidR="00771F66">
        <w:t xml:space="preserve">Adult and Pediatric </w:t>
      </w:r>
      <w:r w:rsidR="004441DE">
        <w:t>Complex</w:t>
      </w:r>
      <w:r w:rsidR="000A708B" w:rsidRPr="009A5185">
        <w:t xml:space="preserve"> Surgery</w:t>
      </w:r>
      <w:r w:rsidRPr="009A5185">
        <w:t xml:space="preserve"> </w:t>
      </w:r>
      <w:bookmarkEnd w:id="235"/>
      <w:r w:rsidRPr="009A5185">
        <w:t>Reference Information</w:t>
      </w:r>
      <w:bookmarkEnd w:id="236"/>
    </w:p>
    <w:p w14:paraId="68F118E6" w14:textId="77777777" w:rsidR="006E50EF" w:rsidRPr="009A5185" w:rsidRDefault="006E50EF" w:rsidP="00C52666">
      <w:pPr>
        <w:rPr>
          <w:rFonts w:cs="Arial"/>
          <w:lang w:eastAsia="ja-JP"/>
        </w:rPr>
      </w:pPr>
    </w:p>
    <w:p w14:paraId="38DE08A2" w14:textId="30D9530D" w:rsidR="006E50EF" w:rsidRPr="009A5185" w:rsidRDefault="006E50EF" w:rsidP="00AB5B80">
      <w:pPr>
        <w:pStyle w:val="Heading3"/>
      </w:pPr>
      <w:bookmarkStart w:id="237" w:name="_Toc233710551"/>
      <w:bookmarkStart w:id="238" w:name="_Toc383774993"/>
      <w:bookmarkStart w:id="239" w:name="_Toc225877711"/>
      <w:r w:rsidRPr="009A5185">
        <w:t>What’s New</w:t>
      </w:r>
      <w:bookmarkEnd w:id="237"/>
      <w:r w:rsidRPr="009A5185">
        <w:t xml:space="preserve"> in the </w:t>
      </w:r>
      <w:bookmarkEnd w:id="238"/>
      <w:r w:rsidR="00A236B1">
        <w:t>202</w:t>
      </w:r>
      <w:r w:rsidR="003A7091">
        <w:t>6</w:t>
      </w:r>
      <w:r w:rsidR="00CB2FC6" w:rsidRPr="009A5185">
        <w:t xml:space="preserve"> </w:t>
      </w:r>
      <w:r w:rsidR="004F68CC" w:rsidRPr="009A5185">
        <w:t>Survey</w:t>
      </w:r>
      <w:bookmarkEnd w:id="239"/>
    </w:p>
    <w:p w14:paraId="38FDF090" w14:textId="77777777" w:rsidR="006E50EF" w:rsidRPr="009A5185" w:rsidRDefault="006E50EF" w:rsidP="00C52666">
      <w:pPr>
        <w:rPr>
          <w:rFonts w:cs="Arial"/>
          <w:lang w:eastAsia="ja-JP"/>
        </w:rPr>
      </w:pPr>
    </w:p>
    <w:p w14:paraId="18C8CD6B" w14:textId="2A1941E0" w:rsidR="00000815" w:rsidRDefault="00000815" w:rsidP="001B5B40">
      <w:pPr>
        <w:pStyle w:val="Heading44"/>
        <w:rPr>
          <w:lang w:eastAsia="ja-JP"/>
        </w:rPr>
      </w:pPr>
      <w:r>
        <w:rPr>
          <w:lang w:eastAsia="ja-JP"/>
        </w:rPr>
        <w:t>Section 3A: Hospital and Surgeon Volume</w:t>
      </w:r>
    </w:p>
    <w:p w14:paraId="1F116710" w14:textId="75B6CB47" w:rsidR="00E44F90" w:rsidRPr="00E44F90" w:rsidRDefault="00E44F90" w:rsidP="00E44F90">
      <w:pPr>
        <w:pStyle w:val="Heading44"/>
        <w:rPr>
          <w:b w:val="0"/>
          <w:bCs/>
          <w:sz w:val="20"/>
        </w:rPr>
      </w:pPr>
      <w:r w:rsidRPr="00E44F90">
        <w:rPr>
          <w:b w:val="0"/>
          <w:bCs/>
          <w:sz w:val="20"/>
        </w:rPr>
        <w:t xml:space="preserve">Leapfrog’s experts are reviewing the ICD-10 </w:t>
      </w:r>
      <w:r w:rsidR="002F7CC8">
        <w:rPr>
          <w:b w:val="0"/>
          <w:bCs/>
          <w:sz w:val="20"/>
        </w:rPr>
        <w:t xml:space="preserve">and CPT </w:t>
      </w:r>
      <w:r w:rsidRPr="00E44F90">
        <w:rPr>
          <w:b w:val="0"/>
          <w:bCs/>
          <w:sz w:val="20"/>
        </w:rPr>
        <w:t>codes used for hospitals reporting on this subsection and any</w:t>
      </w:r>
      <w:r>
        <w:rPr>
          <w:b w:val="0"/>
          <w:bCs/>
          <w:sz w:val="20"/>
        </w:rPr>
        <w:t xml:space="preserve"> </w:t>
      </w:r>
      <w:r w:rsidRPr="00E44F90">
        <w:rPr>
          <w:b w:val="0"/>
          <w:bCs/>
          <w:sz w:val="20"/>
        </w:rPr>
        <w:t>updates (i.e., additions and removals) will be published separately as their review is still ongoing.</w:t>
      </w:r>
    </w:p>
    <w:p w14:paraId="0BA2E886" w14:textId="77777777" w:rsidR="00E44F90" w:rsidRDefault="00E44F90" w:rsidP="00E44F90">
      <w:pPr>
        <w:pStyle w:val="Heading44"/>
        <w:rPr>
          <w:b w:val="0"/>
          <w:bCs/>
          <w:sz w:val="20"/>
        </w:rPr>
      </w:pPr>
    </w:p>
    <w:p w14:paraId="19BE49E9" w14:textId="38B54646" w:rsidR="00E44F90" w:rsidRDefault="00A906DF" w:rsidP="00E44F90">
      <w:pPr>
        <w:pStyle w:val="Heading44"/>
        <w:rPr>
          <w:b w:val="0"/>
          <w:bCs/>
          <w:sz w:val="20"/>
        </w:rPr>
      </w:pPr>
      <w:r w:rsidRPr="00A906DF">
        <w:rPr>
          <w:b w:val="0"/>
          <w:bCs/>
          <w:sz w:val="20"/>
        </w:rPr>
        <w:t>Leapfrog is also adding an optional, fact-finding question to determine if the hospital has surgeons that perform both total knee replacement and total hip replacement procedures listed in Section 3A. Leapfrog is adding this question to evaluate how common it is to have the same surgeon performing both</w:t>
      </w:r>
      <w:r>
        <w:rPr>
          <w:b w:val="0"/>
          <w:bCs/>
          <w:sz w:val="20"/>
        </w:rPr>
        <w:t xml:space="preserve"> p</w:t>
      </w:r>
      <w:r w:rsidRPr="00A906DF">
        <w:rPr>
          <w:b w:val="0"/>
          <w:bCs/>
          <w:sz w:val="20"/>
        </w:rPr>
        <w:t>rocedures given requests received from hospitals and ambulatory surgery centers to combine total hip and knee replacements into a single volume standard.</w:t>
      </w:r>
    </w:p>
    <w:p w14:paraId="7F0506A1" w14:textId="77777777" w:rsidR="00A906DF" w:rsidRDefault="00A906DF" w:rsidP="00E44F90">
      <w:pPr>
        <w:pStyle w:val="Heading44"/>
        <w:rPr>
          <w:b w:val="0"/>
          <w:bCs/>
          <w:sz w:val="20"/>
        </w:rPr>
      </w:pPr>
    </w:p>
    <w:p w14:paraId="398526C0" w14:textId="0DE8B3FE" w:rsidR="00E44F90" w:rsidRDefault="00E44F90" w:rsidP="00E44F90">
      <w:pPr>
        <w:pStyle w:val="Heading44"/>
        <w:rPr>
          <w:b w:val="0"/>
          <w:bCs/>
          <w:sz w:val="20"/>
        </w:rPr>
      </w:pPr>
      <w:r w:rsidRPr="00E44F90">
        <w:rPr>
          <w:b w:val="0"/>
          <w:bCs/>
          <w:sz w:val="20"/>
        </w:rPr>
        <w:t>This optional, fact-finding question will not be used in scoring or public reporting in 2026. There are no</w:t>
      </w:r>
      <w:r w:rsidR="009F321F">
        <w:rPr>
          <w:b w:val="0"/>
          <w:bCs/>
          <w:sz w:val="20"/>
        </w:rPr>
        <w:t xml:space="preserve"> </w:t>
      </w:r>
      <w:r w:rsidRPr="00E44F90">
        <w:rPr>
          <w:b w:val="0"/>
          <w:bCs/>
          <w:sz w:val="20"/>
        </w:rPr>
        <w:t>changes to the scoring algorithm for Section 3A: Hospital and Surgeon Volume.</w:t>
      </w:r>
    </w:p>
    <w:p w14:paraId="68DEBD4D" w14:textId="77777777" w:rsidR="00E44F90" w:rsidRPr="00E44F90" w:rsidRDefault="00E44F90" w:rsidP="00E44F90">
      <w:pPr>
        <w:pStyle w:val="Heading44"/>
        <w:rPr>
          <w:b w:val="0"/>
          <w:bCs/>
          <w:sz w:val="20"/>
        </w:rPr>
      </w:pPr>
    </w:p>
    <w:p w14:paraId="276287D1" w14:textId="581F9D94" w:rsidR="00BD0BF9" w:rsidRPr="003E6501" w:rsidRDefault="00B90CB9" w:rsidP="001B5B40">
      <w:pPr>
        <w:pStyle w:val="Heading44"/>
      </w:pPr>
      <w:r w:rsidRPr="000F3D1F">
        <w:t xml:space="preserve">Section 3B: </w:t>
      </w:r>
      <w:r w:rsidRPr="001B5B40">
        <w:t>Safe Surgery Checklist for Adult and Pediatric Complex Surgery</w:t>
      </w:r>
    </w:p>
    <w:p w14:paraId="52E20B45" w14:textId="160A621C" w:rsidR="00BB69B3" w:rsidRPr="003E6501" w:rsidRDefault="00BD0BF9" w:rsidP="001B5B40">
      <w:pPr>
        <w:pStyle w:val="Heading44"/>
        <w:rPr>
          <w:b w:val="0"/>
          <w:bCs/>
          <w:sz w:val="20"/>
        </w:rPr>
      </w:pPr>
      <w:r w:rsidRPr="003E6501">
        <w:rPr>
          <w:b w:val="0"/>
          <w:bCs/>
          <w:sz w:val="20"/>
        </w:rPr>
        <w:t>There are no changes to this subsection.</w:t>
      </w:r>
    </w:p>
    <w:p w14:paraId="203D5E03" w14:textId="77777777" w:rsidR="00D75695" w:rsidRPr="009A5185" w:rsidRDefault="00D75695" w:rsidP="00C52666">
      <w:pPr>
        <w:rPr>
          <w:rFonts w:cs="Arial"/>
          <w:lang w:eastAsia="ja-JP"/>
        </w:rPr>
      </w:pPr>
    </w:p>
    <w:p w14:paraId="5715377E" w14:textId="3AEE6A66" w:rsidR="006E50EF" w:rsidRPr="009A5185" w:rsidRDefault="006E50EF" w:rsidP="00AB5B80">
      <w:pPr>
        <w:pStyle w:val="Heading3"/>
      </w:pPr>
      <w:bookmarkStart w:id="240" w:name="_Toc233710552"/>
      <w:bookmarkStart w:id="241" w:name="_Toc383774994"/>
      <w:bookmarkStart w:id="242" w:name="_Toc225877712"/>
      <w:r w:rsidRPr="009A5185">
        <w:t>Change Summary</w:t>
      </w:r>
      <w:bookmarkEnd w:id="240"/>
      <w:r w:rsidRPr="009A5185">
        <w:t xml:space="preserve"> </w:t>
      </w:r>
      <w:r w:rsidR="00F72C9F">
        <w:t>S</w:t>
      </w:r>
      <w:r w:rsidRPr="009A5185">
        <w:t>ince Release</w:t>
      </w:r>
      <w:bookmarkEnd w:id="241"/>
      <w:bookmarkEnd w:id="242"/>
      <w:r w:rsidRPr="009A5185">
        <w:t xml:space="preserve"> </w:t>
      </w:r>
    </w:p>
    <w:p w14:paraId="63FEBA22" w14:textId="77777777" w:rsidR="006E50EF" w:rsidRPr="009A5185" w:rsidRDefault="006E50EF" w:rsidP="00C52666">
      <w:pPr>
        <w:rPr>
          <w:rFonts w:cs="Arial"/>
          <w:lang w:eastAsia="ja-JP"/>
        </w:rPr>
      </w:pPr>
    </w:p>
    <w:p w14:paraId="3EACDBF6" w14:textId="44C60D5D" w:rsidR="00364454" w:rsidRDefault="001B341B" w:rsidP="009573D1">
      <w:pPr>
        <w:rPr>
          <w:rFonts w:cs="Arial"/>
        </w:rPr>
      </w:pPr>
      <w:bookmarkStart w:id="243" w:name="_Toc233710554"/>
      <w:bookmarkStart w:id="244" w:name="_Toc383774996"/>
      <w:r w:rsidRPr="009A5185">
        <w:rPr>
          <w:rFonts w:cs="Arial"/>
          <w:lang w:eastAsia="ja-JP"/>
        </w:rPr>
        <w:t xml:space="preserve">None. If substantive changes are made to this section of the Survey after release on April 1, </w:t>
      </w:r>
      <w:r>
        <w:rPr>
          <w:rFonts w:cs="Arial"/>
          <w:lang w:eastAsia="ja-JP"/>
        </w:rPr>
        <w:t>202</w:t>
      </w:r>
      <w:r w:rsidR="003A7091">
        <w:rPr>
          <w:rFonts w:cs="Arial"/>
          <w:lang w:eastAsia="ja-JP"/>
        </w:rPr>
        <w:t>6</w:t>
      </w:r>
      <w:r>
        <w:rPr>
          <w:rFonts w:cs="Arial"/>
          <w:lang w:eastAsia="ja-JP"/>
        </w:rPr>
        <w:t>,</w:t>
      </w:r>
      <w:r w:rsidRPr="009A5185">
        <w:rPr>
          <w:rFonts w:cs="Arial"/>
          <w:lang w:eastAsia="ja-JP"/>
        </w:rPr>
        <w:t xml:space="preserve"> they will be documented in this Change Summary section.</w:t>
      </w:r>
    </w:p>
    <w:p w14:paraId="087F331A" w14:textId="1F192A83" w:rsidR="00364454" w:rsidRPr="00FE1623" w:rsidRDefault="00364454" w:rsidP="00364454">
      <w:pPr>
        <w:rPr>
          <w:lang w:eastAsia="ja-JP"/>
        </w:rPr>
      </w:pPr>
      <w:r w:rsidRPr="00FE1623">
        <w:rPr>
          <w:lang w:eastAsia="ja-JP"/>
        </w:rPr>
        <w:t xml:space="preserve"> </w:t>
      </w:r>
      <w:r>
        <w:rPr>
          <w:lang w:eastAsia="ja-JP"/>
        </w:rPr>
        <w:t xml:space="preserve"> </w:t>
      </w:r>
    </w:p>
    <w:p w14:paraId="12D831E8" w14:textId="77777777" w:rsidR="00364454" w:rsidRPr="00080756" w:rsidRDefault="00364454" w:rsidP="00364454">
      <w:pPr>
        <w:rPr>
          <w:lang w:eastAsia="ja-JP"/>
        </w:rPr>
      </w:pPr>
      <w:r>
        <w:rPr>
          <w:lang w:eastAsia="ja-JP"/>
        </w:rPr>
        <w:br w:type="page"/>
      </w:r>
    </w:p>
    <w:p w14:paraId="74B44800" w14:textId="3F80CE18" w:rsidR="00A4191D" w:rsidRDefault="00263AE4" w:rsidP="00CF5A6E">
      <w:pPr>
        <w:pStyle w:val="Heading2"/>
      </w:pPr>
      <w:bookmarkStart w:id="245" w:name="_Inpatient_Surgery_Measure"/>
      <w:bookmarkStart w:id="246" w:name="_Ref123646754"/>
      <w:bookmarkStart w:id="247" w:name="_Toc225877713"/>
      <w:bookmarkStart w:id="248" w:name="InpatientSurgSpecs"/>
      <w:bookmarkStart w:id="249" w:name="_Toc383774997"/>
      <w:bookmarkStart w:id="250" w:name="_Toc233710555"/>
      <w:bookmarkEnd w:id="243"/>
      <w:bookmarkEnd w:id="244"/>
      <w:bookmarkEnd w:id="245"/>
      <w:r>
        <w:lastRenderedPageBreak/>
        <w:t xml:space="preserve">Section 3: </w:t>
      </w:r>
      <w:r w:rsidR="00771F66">
        <w:t xml:space="preserve">Adult and Pediatric </w:t>
      </w:r>
      <w:r w:rsidR="004441DE">
        <w:t xml:space="preserve">Complex </w:t>
      </w:r>
      <w:r w:rsidR="00A4191D" w:rsidRPr="009A5185">
        <w:t>Surgery Measure Specifications</w:t>
      </w:r>
      <w:bookmarkEnd w:id="246"/>
      <w:bookmarkEnd w:id="247"/>
      <w:r w:rsidR="0057059D" w:rsidRPr="009A5185">
        <w:t xml:space="preserve"> </w:t>
      </w:r>
    </w:p>
    <w:p w14:paraId="2B8E5459" w14:textId="0E46B1A0" w:rsidR="000C2C54" w:rsidRDefault="000C2C54" w:rsidP="000C2C54">
      <w:pPr>
        <w:rPr>
          <w:lang w:eastAsia="ja-JP"/>
        </w:rPr>
      </w:pPr>
    </w:p>
    <w:p w14:paraId="4919120E" w14:textId="2BC524AF" w:rsidR="000C2C54" w:rsidRPr="000C2C54" w:rsidRDefault="000C2C54" w:rsidP="00AB5B80">
      <w:pPr>
        <w:pStyle w:val="Heading3"/>
      </w:pPr>
      <w:bookmarkStart w:id="251" w:name="_Hospital_and_Surgeon"/>
      <w:bookmarkStart w:id="252" w:name="_Toc225877714"/>
      <w:bookmarkEnd w:id="251"/>
      <w:r w:rsidRPr="009A5185">
        <w:t>Hospital and Surgeon Volume</w:t>
      </w:r>
      <w:r w:rsidR="00B078B4">
        <w:t xml:space="preserve"> Measure Specifications</w:t>
      </w:r>
      <w:bookmarkEnd w:id="252"/>
    </w:p>
    <w:bookmarkEnd w:id="248"/>
    <w:p w14:paraId="433B2E32" w14:textId="77777777" w:rsidR="00A4191D" w:rsidRPr="00D36222" w:rsidRDefault="00A4191D" w:rsidP="00D51874">
      <w:pPr>
        <w:rPr>
          <w:sz w:val="16"/>
          <w:szCs w:val="16"/>
        </w:rPr>
      </w:pPr>
    </w:p>
    <w:p w14:paraId="50681A4A" w14:textId="77777777" w:rsidR="00207D3B" w:rsidRDefault="00B10036" w:rsidP="00DA56A9">
      <w:pPr>
        <w:rPr>
          <w:rFonts w:cs="Arial"/>
          <w:b/>
          <w:snapToGrid w:val="0"/>
          <w:color w:val="FF0000"/>
        </w:rPr>
      </w:pPr>
      <w:r w:rsidRPr="00873014">
        <w:rPr>
          <w:rFonts w:cs="Arial"/>
          <w:b/>
          <w:snapToGrid w:val="0"/>
          <w:color w:val="FF0000"/>
        </w:rPr>
        <w:t xml:space="preserve">Important Notes: </w:t>
      </w:r>
    </w:p>
    <w:p w14:paraId="44C578D3" w14:textId="77777777" w:rsidR="00207D3B" w:rsidRPr="00D36222" w:rsidRDefault="00207D3B" w:rsidP="00DA56A9">
      <w:pPr>
        <w:rPr>
          <w:rFonts w:cs="Arial"/>
          <w:b/>
          <w:snapToGrid w:val="0"/>
          <w:color w:val="FF0000"/>
          <w:sz w:val="16"/>
          <w:szCs w:val="16"/>
        </w:rPr>
      </w:pPr>
    </w:p>
    <w:p w14:paraId="500A4CB8" w14:textId="2CC74A36" w:rsidR="00990B86" w:rsidRPr="004F5E10" w:rsidRDefault="00990B86" w:rsidP="00990B86">
      <w:pPr>
        <w:rPr>
          <w:rFonts w:cs="Arial"/>
          <w:snapToGrid w:val="0"/>
        </w:rPr>
      </w:pPr>
      <w:r w:rsidRPr="004F5E10">
        <w:rPr>
          <w:rFonts w:cs="Arial"/>
          <w:snapToGrid w:val="0"/>
        </w:rPr>
        <w:t xml:space="preserve">Note 1: </w:t>
      </w:r>
      <w:bookmarkStart w:id="253" w:name="_Hlk57906646"/>
      <w:r w:rsidRPr="004F5E10">
        <w:rPr>
          <w:rFonts w:cs="Arial"/>
          <w:snapToGrid w:val="0"/>
        </w:rPr>
        <w:t xml:space="preserve">Hospitals that share a CMS Certification Number are required to report by facility. Please carefully review </w:t>
      </w:r>
      <w:hyperlink r:id="rId225" w:history="1">
        <w:r w:rsidRPr="004F5E10">
          <w:rPr>
            <w:rFonts w:cs="Arial"/>
            <w:snapToGrid w:val="0"/>
            <w:color w:val="0000FF"/>
            <w:u w:val="single"/>
          </w:rPr>
          <w:t>Leapfrog’s Multi-Campus Reporting Policy</w:t>
        </w:r>
      </w:hyperlink>
      <w:r w:rsidRPr="004F5E10">
        <w:rPr>
          <w:rFonts w:cs="Arial"/>
          <w:snapToGrid w:val="0"/>
        </w:rPr>
        <w:t>.</w:t>
      </w:r>
    </w:p>
    <w:bookmarkEnd w:id="253"/>
    <w:p w14:paraId="66DCAADF" w14:textId="77777777" w:rsidR="00207D3B" w:rsidRPr="00D36222" w:rsidRDefault="00207D3B" w:rsidP="00DA56A9">
      <w:pPr>
        <w:rPr>
          <w:rFonts w:cs="Arial"/>
          <w:snapToGrid w:val="0"/>
          <w:sz w:val="16"/>
          <w:szCs w:val="16"/>
        </w:rPr>
      </w:pPr>
    </w:p>
    <w:p w14:paraId="3A941D08" w14:textId="169FA0FB" w:rsidR="00707663" w:rsidRDefault="00207D3B" w:rsidP="00207D3B">
      <w:pPr>
        <w:rPr>
          <w:rFonts w:cs="Arial"/>
          <w:lang w:eastAsia="ja-JP"/>
        </w:rPr>
      </w:pPr>
      <w:r>
        <w:rPr>
          <w:rFonts w:cs="Arial"/>
          <w:snapToGrid w:val="0"/>
        </w:rPr>
        <w:t xml:space="preserve">Note 2: </w:t>
      </w:r>
      <w:r w:rsidR="002C6C10">
        <w:rPr>
          <w:rFonts w:cs="Arial"/>
          <w:lang w:eastAsia="ja-JP"/>
        </w:rPr>
        <w:t xml:space="preserve">For each of the </w:t>
      </w:r>
      <w:r w:rsidR="00B10036">
        <w:rPr>
          <w:rFonts w:cs="Arial"/>
          <w:lang w:eastAsia="ja-JP"/>
        </w:rPr>
        <w:t>eleven</w:t>
      </w:r>
      <w:r w:rsidR="002C6C10">
        <w:rPr>
          <w:rFonts w:cs="Arial"/>
          <w:lang w:eastAsia="ja-JP"/>
        </w:rPr>
        <w:t xml:space="preserve"> high-risk </w:t>
      </w:r>
      <w:r w:rsidRPr="009A5185">
        <w:rPr>
          <w:rFonts w:cs="Arial"/>
          <w:lang w:eastAsia="ja-JP"/>
        </w:rPr>
        <w:t>procedures included in Section 3A</w:t>
      </w:r>
      <w:r w:rsidR="00686FCE">
        <w:rPr>
          <w:rFonts w:cs="Arial"/>
          <w:lang w:eastAsia="ja-JP"/>
        </w:rPr>
        <w:t>:</w:t>
      </w:r>
      <w:r w:rsidRPr="009A5185">
        <w:rPr>
          <w:rFonts w:cs="Arial"/>
          <w:lang w:eastAsia="ja-JP"/>
        </w:rPr>
        <w:t xml:space="preserve"> Hospital and Surgeon Volume, Leapfrog has provided a set of ICD-10 procedure codes, and in some cases an additional set of </w:t>
      </w:r>
      <w:r w:rsidR="00487493">
        <w:rPr>
          <w:rFonts w:cs="Arial"/>
          <w:lang w:eastAsia="ja-JP"/>
        </w:rPr>
        <w:t xml:space="preserve">CPT codes (for Total Hip </w:t>
      </w:r>
      <w:r w:rsidR="00F57028">
        <w:rPr>
          <w:rFonts w:cs="Arial"/>
          <w:lang w:eastAsia="ja-JP"/>
        </w:rPr>
        <w:t xml:space="preserve">Replacement, </w:t>
      </w:r>
      <w:r w:rsidR="00487493">
        <w:rPr>
          <w:rFonts w:cs="Arial"/>
          <w:lang w:eastAsia="ja-JP"/>
        </w:rPr>
        <w:t>Total Knee Replacement</w:t>
      </w:r>
      <w:r w:rsidR="00F57028">
        <w:rPr>
          <w:rFonts w:cs="Arial"/>
          <w:lang w:eastAsia="ja-JP"/>
        </w:rPr>
        <w:t>, and Bariatric Surgery for Weight Loss</w:t>
      </w:r>
      <w:r w:rsidR="00487493">
        <w:rPr>
          <w:rFonts w:cs="Arial"/>
          <w:lang w:eastAsia="ja-JP"/>
        </w:rPr>
        <w:t xml:space="preserve">) or </w:t>
      </w:r>
      <w:r w:rsidRPr="009A5185">
        <w:rPr>
          <w:rFonts w:cs="Arial"/>
          <w:lang w:eastAsia="ja-JP"/>
        </w:rPr>
        <w:t xml:space="preserve">ICD-10 diagnosis codes, for </w:t>
      </w:r>
      <w:r w:rsidRPr="00A34FE8">
        <w:rPr>
          <w:rFonts w:cs="Arial"/>
          <w:lang w:eastAsia="ja-JP"/>
        </w:rPr>
        <w:t xml:space="preserve">counting </w:t>
      </w:r>
      <w:r w:rsidRPr="00A34FE8">
        <w:rPr>
          <w:rFonts w:cs="Arial"/>
          <w:b/>
          <w:lang w:eastAsia="ja-JP"/>
        </w:rPr>
        <w:t>patient</w:t>
      </w:r>
      <w:r w:rsidR="002C6C10" w:rsidRPr="00A34FE8">
        <w:rPr>
          <w:rFonts w:cs="Arial"/>
          <w:b/>
          <w:lang w:eastAsia="ja-JP"/>
        </w:rPr>
        <w:t xml:space="preserve"> discharge</w:t>
      </w:r>
      <w:r w:rsidRPr="00A34FE8">
        <w:rPr>
          <w:rFonts w:cs="Arial"/>
          <w:b/>
          <w:lang w:eastAsia="ja-JP"/>
        </w:rPr>
        <w:t>s</w:t>
      </w:r>
      <w:r w:rsidRPr="00A34FE8">
        <w:rPr>
          <w:rFonts w:cs="Arial"/>
          <w:lang w:eastAsia="ja-JP"/>
        </w:rPr>
        <w:t xml:space="preserve">. </w:t>
      </w:r>
      <w:r w:rsidR="00487493" w:rsidRPr="00487493">
        <w:rPr>
          <w:rFonts w:cs="Arial"/>
          <w:lang w:eastAsia="ja-JP"/>
        </w:rPr>
        <w:t>Please carefully review the measure specifications for each individual procedure to ensure you have the complete list of codes needed.</w:t>
      </w:r>
      <w:r w:rsidR="00684605">
        <w:rPr>
          <w:rFonts w:cs="Arial"/>
          <w:lang w:eastAsia="ja-JP"/>
        </w:rPr>
        <w:t xml:space="preserve"> ICD-10 codes are provided below and are also available in an </w:t>
      </w:r>
      <w:r w:rsidR="0040556C">
        <w:rPr>
          <w:rFonts w:cs="Arial"/>
          <w:lang w:eastAsia="ja-JP"/>
        </w:rPr>
        <w:t>E</w:t>
      </w:r>
      <w:r w:rsidR="00684605">
        <w:rPr>
          <w:rFonts w:cs="Arial"/>
          <w:lang w:eastAsia="ja-JP"/>
        </w:rPr>
        <w:t xml:space="preserve">xcel document on the </w:t>
      </w:r>
      <w:hyperlink r:id="rId226" w:history="1">
        <w:r w:rsidR="00684605" w:rsidRPr="00684605">
          <w:rPr>
            <w:rStyle w:val="Hyperlink"/>
            <w:rFonts w:cs="Arial"/>
            <w:lang w:eastAsia="ja-JP"/>
          </w:rPr>
          <w:t>Survey Materials webpage</w:t>
        </w:r>
      </w:hyperlink>
      <w:r w:rsidR="00684605">
        <w:rPr>
          <w:rFonts w:cs="Arial"/>
          <w:lang w:eastAsia="ja-JP"/>
        </w:rPr>
        <w:t xml:space="preserve">. See Note 3 below for instructions on downloading CPT codes. </w:t>
      </w:r>
    </w:p>
    <w:p w14:paraId="1646852F" w14:textId="2A701193" w:rsidR="00993399" w:rsidRPr="00D36222" w:rsidRDefault="00993399" w:rsidP="00207D3B">
      <w:pPr>
        <w:rPr>
          <w:rFonts w:cs="Arial"/>
          <w:sz w:val="16"/>
          <w:szCs w:val="16"/>
          <w:lang w:eastAsia="ja-JP"/>
        </w:rPr>
      </w:pPr>
    </w:p>
    <w:p w14:paraId="09B7CDD2" w14:textId="08B12754" w:rsidR="007720C6" w:rsidRPr="00D51874" w:rsidRDefault="00993399" w:rsidP="007720C6">
      <w:pPr>
        <w:rPr>
          <w:rFonts w:cs="Arial"/>
          <w:lang w:eastAsia="ja-JP"/>
        </w:rPr>
      </w:pPr>
      <w:r w:rsidRPr="00D25C4F">
        <w:rPr>
          <w:rFonts w:cs="Arial"/>
          <w:lang w:eastAsia="ja-JP"/>
        </w:rPr>
        <w:t xml:space="preserve">Note 3: </w:t>
      </w:r>
      <w:r w:rsidR="007720C6" w:rsidRPr="00D51874">
        <w:rPr>
          <w:rFonts w:cs="Arial"/>
          <w:lang w:eastAsia="ja-JP"/>
        </w:rPr>
        <w:t xml:space="preserve">CPT Codes are provided in downloadable </w:t>
      </w:r>
      <w:r w:rsidR="0040556C">
        <w:rPr>
          <w:rFonts w:cs="Arial"/>
          <w:lang w:eastAsia="ja-JP"/>
        </w:rPr>
        <w:t>E</w:t>
      </w:r>
      <w:r w:rsidR="007720C6" w:rsidRPr="00D51874">
        <w:rPr>
          <w:rFonts w:cs="Arial"/>
          <w:lang w:eastAsia="ja-JP"/>
        </w:rPr>
        <w:t xml:space="preserve">xcel files </w:t>
      </w:r>
      <w:r w:rsidR="007720C6">
        <w:rPr>
          <w:rFonts w:cs="Arial"/>
          <w:lang w:eastAsia="ja-JP"/>
        </w:rPr>
        <w:t>on the Survey Dashboard</w:t>
      </w:r>
      <w:r w:rsidR="007720C6" w:rsidRPr="00D51874">
        <w:rPr>
          <w:rFonts w:cs="Arial"/>
          <w:lang w:eastAsia="ja-JP"/>
        </w:rPr>
        <w:t xml:space="preserve">. To access the files, click the CPT Code Workbook button </w:t>
      </w:r>
      <w:r w:rsidR="007720C6" w:rsidRPr="00D51874">
        <w:rPr>
          <w:rStyle w:val="Hyperlink"/>
          <w:rFonts w:cs="Arial"/>
          <w:color w:val="auto"/>
          <w:u w:val="none"/>
          <w:lang w:eastAsia="ja-JP"/>
        </w:rPr>
        <w:t>next to Section 9</w:t>
      </w:r>
      <w:r w:rsidR="007720C6">
        <w:rPr>
          <w:rStyle w:val="Hyperlink"/>
          <w:rFonts w:cs="Arial"/>
          <w:color w:val="auto"/>
          <w:u w:val="none"/>
          <w:lang w:eastAsia="ja-JP"/>
        </w:rPr>
        <w:t>.</w:t>
      </w:r>
      <w:r w:rsidR="007720C6" w:rsidRPr="00D51874">
        <w:rPr>
          <w:rStyle w:val="Hyperlink"/>
          <w:rFonts w:cs="Arial"/>
          <w:color w:val="auto"/>
          <w:u w:val="none"/>
          <w:lang w:eastAsia="ja-JP"/>
        </w:rPr>
        <w:t xml:space="preserve"> </w:t>
      </w:r>
      <w:r w:rsidR="007720C6">
        <w:rPr>
          <w:rFonts w:cs="Arial"/>
          <w:lang w:eastAsia="ja-JP"/>
        </w:rPr>
        <w:t>Y</w:t>
      </w:r>
      <w:r w:rsidR="007720C6" w:rsidRPr="00D51874">
        <w:rPr>
          <w:rFonts w:cs="Arial"/>
          <w:lang w:eastAsia="ja-JP"/>
        </w:rPr>
        <w:t>ou will be required to complete the American Medical Association’s Terms of Use</w:t>
      </w:r>
      <w:r w:rsidR="007720C6" w:rsidRPr="00D51874">
        <w:rPr>
          <w:lang w:eastAsia="ja-JP"/>
        </w:rPr>
        <w:t xml:space="preserve"> before downloading the </w:t>
      </w:r>
      <w:r w:rsidR="0040556C">
        <w:rPr>
          <w:lang w:eastAsia="ja-JP"/>
        </w:rPr>
        <w:t>E</w:t>
      </w:r>
      <w:r w:rsidR="007720C6" w:rsidRPr="00D51874">
        <w:rPr>
          <w:lang w:eastAsia="ja-JP"/>
        </w:rPr>
        <w:t xml:space="preserve">xcel file and using the individual CPT codes to query </w:t>
      </w:r>
      <w:r w:rsidR="007720C6">
        <w:rPr>
          <w:lang w:eastAsia="ja-JP"/>
        </w:rPr>
        <w:t xml:space="preserve">your </w:t>
      </w:r>
      <w:r w:rsidR="007720C6" w:rsidRPr="00D51874">
        <w:rPr>
          <w:lang w:eastAsia="ja-JP"/>
        </w:rPr>
        <w:t xml:space="preserve">EHR or billing system. </w:t>
      </w:r>
      <w:r w:rsidR="007720C6" w:rsidRPr="00D51874">
        <w:rPr>
          <w:rFonts w:cs="Arial"/>
          <w:lang w:eastAsia="ja-JP"/>
        </w:rPr>
        <w:t xml:space="preserve">You are only required to complete the Terms of Use once per Survey Cycle (April 1 – November 30). </w:t>
      </w:r>
    </w:p>
    <w:p w14:paraId="6B5FA1C4" w14:textId="77777777" w:rsidR="007720C6" w:rsidRPr="00D36222" w:rsidRDefault="007720C6" w:rsidP="007720C6">
      <w:pPr>
        <w:rPr>
          <w:rFonts w:cs="Arial"/>
          <w:sz w:val="16"/>
          <w:szCs w:val="16"/>
          <w:lang w:eastAsia="ja-JP"/>
        </w:rPr>
      </w:pPr>
    </w:p>
    <w:p w14:paraId="47CD134A" w14:textId="7111C410" w:rsidR="007720C6" w:rsidRPr="00FB41BD" w:rsidRDefault="007720C6" w:rsidP="00FB41BD">
      <w:pPr>
        <w:rPr>
          <w:rFonts w:cs="Arial"/>
          <w:lang w:eastAsia="ja-JP"/>
        </w:rPr>
      </w:pPr>
      <w:r>
        <w:rPr>
          <w:rFonts w:cs="Arial"/>
          <w:lang w:eastAsia="ja-JP"/>
        </w:rPr>
        <w:t xml:space="preserve">The </w:t>
      </w:r>
      <w:r w:rsidRPr="00D51874">
        <w:rPr>
          <w:rFonts w:cs="Arial"/>
          <w:lang w:eastAsia="ja-JP"/>
        </w:rPr>
        <w:t>CPT Code Workbook</w:t>
      </w:r>
      <w:r>
        <w:rPr>
          <w:rFonts w:cs="Arial"/>
          <w:lang w:eastAsia="ja-JP"/>
        </w:rPr>
        <w:t>s</w:t>
      </w:r>
      <w:r w:rsidRPr="00D51874">
        <w:rPr>
          <w:rFonts w:cs="Arial"/>
          <w:lang w:eastAsia="ja-JP"/>
        </w:rPr>
        <w:t xml:space="preserve"> (</w:t>
      </w:r>
      <w:r w:rsidR="0040556C">
        <w:rPr>
          <w:rFonts w:cs="Arial"/>
          <w:lang w:eastAsia="ja-JP"/>
        </w:rPr>
        <w:t>E</w:t>
      </w:r>
      <w:r w:rsidRPr="00D51874">
        <w:rPr>
          <w:rFonts w:cs="Arial"/>
          <w:lang w:eastAsia="ja-JP"/>
        </w:rPr>
        <w:t>xcel file</w:t>
      </w:r>
      <w:r>
        <w:rPr>
          <w:rFonts w:cs="Arial"/>
          <w:lang w:eastAsia="ja-JP"/>
        </w:rPr>
        <w:t>s</w:t>
      </w:r>
      <w:r w:rsidRPr="00D51874">
        <w:rPr>
          <w:rFonts w:cs="Arial"/>
          <w:lang w:eastAsia="ja-JP"/>
        </w:rPr>
        <w:t xml:space="preserve">) are labeled </w:t>
      </w:r>
      <w:r>
        <w:rPr>
          <w:rFonts w:cs="Arial"/>
          <w:lang w:eastAsia="ja-JP"/>
        </w:rPr>
        <w:t xml:space="preserve">for </w:t>
      </w:r>
      <w:r w:rsidRPr="00D51874">
        <w:rPr>
          <w:rFonts w:cs="Arial"/>
          <w:lang w:eastAsia="ja-JP"/>
        </w:rPr>
        <w:t>Section 3A: Total Hip Replacement, Total Knee Replacement, and Bariatric Surgery for Weight Loss and Section 9C: Volume of Procedures. Please note</w:t>
      </w:r>
      <w:r w:rsidR="00FB41BD">
        <w:rPr>
          <w:rFonts w:cs="Arial"/>
          <w:lang w:eastAsia="ja-JP"/>
        </w:rPr>
        <w:t>, i</w:t>
      </w:r>
      <w:r w:rsidRPr="00FB41BD">
        <w:rPr>
          <w:rFonts w:cs="Arial"/>
          <w:lang w:eastAsia="ja-JP"/>
        </w:rPr>
        <w:t xml:space="preserve">f you are part of a hospital system, each hospital will need to complete the Terms of Use. This is a requirement of the American Medical Association. </w:t>
      </w:r>
    </w:p>
    <w:p w14:paraId="5F2A8496" w14:textId="729FDBBB" w:rsidR="006D4E85" w:rsidRPr="00D36222" w:rsidRDefault="006D4E85" w:rsidP="007720C6">
      <w:pPr>
        <w:rPr>
          <w:rFonts w:cs="Arial"/>
          <w:snapToGrid w:val="0"/>
          <w:sz w:val="16"/>
          <w:szCs w:val="16"/>
        </w:rPr>
      </w:pPr>
    </w:p>
    <w:tbl>
      <w:tblPr>
        <w:tblStyle w:val="TableGrid"/>
        <w:tblW w:w="9360" w:type="dxa"/>
        <w:tblLook w:val="04A0" w:firstRow="1" w:lastRow="0" w:firstColumn="1" w:lastColumn="0" w:noHBand="0" w:noVBand="1"/>
      </w:tblPr>
      <w:tblGrid>
        <w:gridCol w:w="9360"/>
      </w:tblGrid>
      <w:tr w:rsidR="00365263" w14:paraId="2C3149B4" w14:textId="77777777" w:rsidTr="002C718A">
        <w:trPr>
          <w:trHeight w:val="288"/>
        </w:trPr>
        <w:tc>
          <w:tcPr>
            <w:tcW w:w="9360" w:type="dxa"/>
            <w:vAlign w:val="center"/>
          </w:tcPr>
          <w:p w14:paraId="4DFE3482" w14:textId="45990E36" w:rsidR="00365263" w:rsidRPr="009A5185" w:rsidRDefault="00365263" w:rsidP="006E0344">
            <w:pPr>
              <w:spacing w:before="40"/>
              <w:rPr>
                <w:rFonts w:cs="Arial"/>
                <w:b/>
                <w:snapToGrid w:val="0"/>
              </w:rPr>
            </w:pPr>
            <w:r>
              <w:rPr>
                <w:rFonts w:cs="Arial"/>
                <w:b/>
                <w:snapToGrid w:val="0"/>
              </w:rPr>
              <w:t xml:space="preserve">Source: </w:t>
            </w:r>
            <w:r w:rsidRPr="00365263">
              <w:rPr>
                <w:rFonts w:cs="Arial"/>
                <w:bCs/>
                <w:snapToGrid w:val="0"/>
              </w:rPr>
              <w:t>The Leapfrog Group</w:t>
            </w:r>
            <w:r w:rsidR="00E64C6C">
              <w:rPr>
                <w:rFonts w:cs="Arial"/>
                <w:bCs/>
                <w:snapToGrid w:val="0"/>
              </w:rPr>
              <w:t>, American Medical Association</w:t>
            </w:r>
          </w:p>
        </w:tc>
      </w:tr>
      <w:tr w:rsidR="006D4E85" w14:paraId="1B7989EC" w14:textId="77777777" w:rsidTr="000F3D1F">
        <w:trPr>
          <w:trHeight w:val="1728"/>
        </w:trPr>
        <w:tc>
          <w:tcPr>
            <w:tcW w:w="9360" w:type="dxa"/>
            <w:vAlign w:val="center"/>
          </w:tcPr>
          <w:p w14:paraId="05D7C123" w14:textId="070C10E7" w:rsidR="006D4E85" w:rsidRPr="009A5185" w:rsidRDefault="006D4E85" w:rsidP="006E0344">
            <w:pPr>
              <w:spacing w:before="40"/>
              <w:rPr>
                <w:rFonts w:cs="Arial"/>
                <w:snapToGrid w:val="0"/>
              </w:rPr>
            </w:pPr>
            <w:r w:rsidRPr="009A5185">
              <w:rPr>
                <w:rFonts w:cs="Arial"/>
                <w:b/>
                <w:snapToGrid w:val="0"/>
              </w:rPr>
              <w:t>Reporting Period:</w:t>
            </w:r>
            <w:r w:rsidRPr="009A5185">
              <w:rPr>
                <w:rFonts w:cs="Arial"/>
                <w:snapToGrid w:val="0"/>
              </w:rPr>
              <w:t xml:space="preserve"> </w:t>
            </w:r>
            <w:r w:rsidRPr="009A5185">
              <w:rPr>
                <w:rFonts w:cs="Arial"/>
                <w:b/>
                <w:snapToGrid w:val="0"/>
              </w:rPr>
              <w:t>12</w:t>
            </w:r>
            <w:r w:rsidR="00B75B1F">
              <w:rPr>
                <w:rFonts w:cs="Arial"/>
                <w:b/>
                <w:snapToGrid w:val="0"/>
              </w:rPr>
              <w:t xml:space="preserve"> months</w:t>
            </w:r>
            <w:r w:rsidRPr="009A5185">
              <w:rPr>
                <w:rFonts w:cs="Arial"/>
                <w:b/>
                <w:snapToGrid w:val="0"/>
              </w:rPr>
              <w:t xml:space="preserve"> or </w:t>
            </w:r>
            <w:r w:rsidRPr="009A5185">
              <w:rPr>
                <w:rFonts w:cs="Arial"/>
                <w:b/>
                <w:i/>
                <w:snapToGrid w:val="0"/>
              </w:rPr>
              <w:t>optionally</w:t>
            </w:r>
            <w:r w:rsidRPr="009A5185">
              <w:rPr>
                <w:rFonts w:cs="Arial"/>
                <w:b/>
                <w:snapToGrid w:val="0"/>
              </w:rPr>
              <w:t xml:space="preserve"> 24</w:t>
            </w:r>
            <w:r w:rsidR="00B75B1F">
              <w:rPr>
                <w:rFonts w:cs="Arial"/>
                <w:b/>
                <w:snapToGrid w:val="0"/>
              </w:rPr>
              <w:t xml:space="preserve"> months</w:t>
            </w:r>
            <w:r w:rsidRPr="009A5185">
              <w:rPr>
                <w:rFonts w:cs="Arial"/>
                <w:b/>
                <w:snapToGrid w:val="0"/>
              </w:rPr>
              <w:t xml:space="preserve"> (annual average)</w:t>
            </w:r>
          </w:p>
          <w:p w14:paraId="74747CF8" w14:textId="15B201C2" w:rsidR="00990B86" w:rsidRPr="00990B86" w:rsidRDefault="00990B86" w:rsidP="00AD309C">
            <w:pPr>
              <w:pStyle w:val="ListParagraph"/>
              <w:numPr>
                <w:ilvl w:val="0"/>
                <w:numId w:val="29"/>
              </w:numPr>
              <w:rPr>
                <w:rFonts w:cs="Arial"/>
                <w:i/>
                <w:snapToGrid w:val="0"/>
              </w:rPr>
            </w:pPr>
            <w:r>
              <w:rPr>
                <w:rFonts w:cs="Arial"/>
                <w:snapToGrid w:val="0"/>
              </w:rPr>
              <w:t xml:space="preserve">Surveys submitted </w:t>
            </w:r>
            <w:r w:rsidR="004B3E76">
              <w:rPr>
                <w:rFonts w:cs="Arial"/>
                <w:snapToGrid w:val="0"/>
              </w:rPr>
              <w:t>prior to</w:t>
            </w:r>
            <w:r>
              <w:rPr>
                <w:rFonts w:cs="Arial"/>
                <w:snapToGrid w:val="0"/>
              </w:rPr>
              <w:t xml:space="preserve"> September 1:</w:t>
            </w:r>
          </w:p>
          <w:p w14:paraId="3327A21A" w14:textId="6DD043D4" w:rsidR="00990B86" w:rsidRPr="009A5185" w:rsidRDefault="00990B86" w:rsidP="00AD309C">
            <w:pPr>
              <w:pStyle w:val="ListParagraph"/>
              <w:numPr>
                <w:ilvl w:val="1"/>
                <w:numId w:val="29"/>
              </w:numPr>
              <w:rPr>
                <w:rFonts w:cs="Arial"/>
                <w:i/>
                <w:snapToGrid w:val="0"/>
              </w:rPr>
            </w:pPr>
            <w:r>
              <w:rPr>
                <w:rFonts w:cs="Arial"/>
                <w:iCs/>
                <w:snapToGrid w:val="0"/>
              </w:rPr>
              <w:t>01/01/202</w:t>
            </w:r>
            <w:r w:rsidR="00670B35">
              <w:rPr>
                <w:rFonts w:cs="Arial"/>
                <w:iCs/>
                <w:snapToGrid w:val="0"/>
              </w:rPr>
              <w:t>5</w:t>
            </w:r>
            <w:r>
              <w:rPr>
                <w:rFonts w:cs="Arial"/>
                <w:iCs/>
                <w:snapToGrid w:val="0"/>
              </w:rPr>
              <w:t xml:space="preserve"> – 12/31/202</w:t>
            </w:r>
            <w:r w:rsidR="00670B35">
              <w:rPr>
                <w:rFonts w:cs="Arial"/>
                <w:iCs/>
                <w:snapToGrid w:val="0"/>
              </w:rPr>
              <w:t>5</w:t>
            </w:r>
            <w:r>
              <w:rPr>
                <w:rFonts w:cs="Arial"/>
                <w:iCs/>
                <w:snapToGrid w:val="0"/>
              </w:rPr>
              <w:t xml:space="preserve"> (12-month count) or 01/01/20</w:t>
            </w:r>
            <w:r w:rsidR="009E1521">
              <w:rPr>
                <w:rFonts w:cs="Arial"/>
                <w:iCs/>
                <w:snapToGrid w:val="0"/>
              </w:rPr>
              <w:t>2</w:t>
            </w:r>
            <w:r w:rsidR="00670B35">
              <w:rPr>
                <w:rFonts w:cs="Arial"/>
                <w:iCs/>
                <w:snapToGrid w:val="0"/>
              </w:rPr>
              <w:t>4</w:t>
            </w:r>
            <w:r>
              <w:rPr>
                <w:rFonts w:cs="Arial"/>
                <w:iCs/>
                <w:snapToGrid w:val="0"/>
              </w:rPr>
              <w:t xml:space="preserve"> – 12/31/202</w:t>
            </w:r>
            <w:r w:rsidR="00670B35">
              <w:rPr>
                <w:rFonts w:cs="Arial"/>
                <w:iCs/>
                <w:snapToGrid w:val="0"/>
              </w:rPr>
              <w:t>5</w:t>
            </w:r>
            <w:r>
              <w:rPr>
                <w:rFonts w:cs="Arial"/>
                <w:iCs/>
                <w:snapToGrid w:val="0"/>
              </w:rPr>
              <w:t xml:space="preserve"> (24-month annual average)</w:t>
            </w:r>
          </w:p>
          <w:p w14:paraId="5407735C" w14:textId="60442CAA" w:rsidR="00990B86" w:rsidRPr="00990B86" w:rsidRDefault="006D4E85" w:rsidP="00AD309C">
            <w:pPr>
              <w:pStyle w:val="ListParagraph"/>
              <w:numPr>
                <w:ilvl w:val="0"/>
                <w:numId w:val="29"/>
              </w:numPr>
              <w:rPr>
                <w:rFonts w:cs="Arial"/>
              </w:rPr>
            </w:pPr>
            <w:r w:rsidRPr="006D4E85">
              <w:rPr>
                <w:rFonts w:cs="Arial"/>
                <w:snapToGrid w:val="0"/>
              </w:rPr>
              <w:t xml:space="preserve">Surveys (re)submitted on or after September 1: </w:t>
            </w:r>
          </w:p>
          <w:p w14:paraId="1E1EB7AF" w14:textId="0480319F" w:rsidR="006D4E85" w:rsidRPr="00D51874" w:rsidRDefault="006D4E85" w:rsidP="00AD309C">
            <w:pPr>
              <w:pStyle w:val="ListParagraph"/>
              <w:numPr>
                <w:ilvl w:val="1"/>
                <w:numId w:val="29"/>
              </w:numPr>
              <w:rPr>
                <w:rFonts w:cs="Arial"/>
              </w:rPr>
            </w:pPr>
            <w:r w:rsidRPr="006D4E85">
              <w:rPr>
                <w:rFonts w:cs="Arial"/>
                <w:snapToGrid w:val="0"/>
              </w:rPr>
              <w:t>07/01/</w:t>
            </w:r>
            <w:r w:rsidR="00990B86">
              <w:rPr>
                <w:rFonts w:cs="Arial"/>
                <w:snapToGrid w:val="0"/>
              </w:rPr>
              <w:t>202</w:t>
            </w:r>
            <w:r w:rsidR="00670B35">
              <w:rPr>
                <w:rFonts w:cs="Arial"/>
                <w:snapToGrid w:val="0"/>
              </w:rPr>
              <w:t>5</w:t>
            </w:r>
            <w:r w:rsidRPr="006D4E85">
              <w:rPr>
                <w:rFonts w:cs="Arial"/>
                <w:snapToGrid w:val="0"/>
              </w:rPr>
              <w:t xml:space="preserve"> </w:t>
            </w:r>
            <w:r w:rsidR="00F57028">
              <w:rPr>
                <w:rFonts w:cs="Arial"/>
                <w:snapToGrid w:val="0"/>
              </w:rPr>
              <w:t>–</w:t>
            </w:r>
            <w:r w:rsidRPr="006D4E85">
              <w:rPr>
                <w:rFonts w:cs="Arial"/>
                <w:snapToGrid w:val="0"/>
              </w:rPr>
              <w:t xml:space="preserve"> 06/30/</w:t>
            </w:r>
            <w:r w:rsidR="00990B86">
              <w:rPr>
                <w:rFonts w:cs="Arial"/>
                <w:snapToGrid w:val="0"/>
              </w:rPr>
              <w:t>202</w:t>
            </w:r>
            <w:r w:rsidR="00670B35">
              <w:rPr>
                <w:rFonts w:cs="Arial"/>
                <w:snapToGrid w:val="0"/>
              </w:rPr>
              <w:t>6</w:t>
            </w:r>
            <w:r w:rsidRPr="006D4E85">
              <w:rPr>
                <w:rFonts w:cs="Arial"/>
                <w:snapToGrid w:val="0"/>
              </w:rPr>
              <w:t xml:space="preserve"> (12-month count) or 07/01/</w:t>
            </w:r>
            <w:r w:rsidR="00990B86">
              <w:rPr>
                <w:rFonts w:cs="Arial"/>
                <w:snapToGrid w:val="0"/>
              </w:rPr>
              <w:t>20</w:t>
            </w:r>
            <w:r w:rsidR="009E1521">
              <w:rPr>
                <w:rFonts w:cs="Arial"/>
                <w:snapToGrid w:val="0"/>
              </w:rPr>
              <w:t>2</w:t>
            </w:r>
            <w:r w:rsidR="00670B35">
              <w:rPr>
                <w:rFonts w:cs="Arial"/>
                <w:snapToGrid w:val="0"/>
              </w:rPr>
              <w:t>4</w:t>
            </w:r>
            <w:r w:rsidRPr="006D4E85">
              <w:rPr>
                <w:rFonts w:cs="Arial"/>
                <w:snapToGrid w:val="0"/>
              </w:rPr>
              <w:t xml:space="preserve"> – 06/30/</w:t>
            </w:r>
            <w:r w:rsidR="00990B86">
              <w:rPr>
                <w:rFonts w:cs="Arial"/>
                <w:snapToGrid w:val="0"/>
              </w:rPr>
              <w:t>202</w:t>
            </w:r>
            <w:r w:rsidR="00670B35">
              <w:rPr>
                <w:rFonts w:cs="Arial"/>
                <w:snapToGrid w:val="0"/>
              </w:rPr>
              <w:t>6</w:t>
            </w:r>
            <w:r w:rsidRPr="006D4E85">
              <w:rPr>
                <w:rFonts w:cs="Arial"/>
                <w:snapToGrid w:val="0"/>
              </w:rPr>
              <w:t xml:space="preserve"> (24-month annual average)</w:t>
            </w:r>
          </w:p>
        </w:tc>
      </w:tr>
      <w:tr w:rsidR="006D4E85" w14:paraId="5678D591" w14:textId="77777777" w:rsidTr="00FB41BD">
        <w:trPr>
          <w:trHeight w:val="2592"/>
        </w:trPr>
        <w:tc>
          <w:tcPr>
            <w:tcW w:w="9360" w:type="dxa"/>
            <w:vAlign w:val="center"/>
          </w:tcPr>
          <w:p w14:paraId="20FECEAA" w14:textId="1BD74712" w:rsidR="006D4E85" w:rsidRPr="00D51874" w:rsidRDefault="006D4E85" w:rsidP="006E0344">
            <w:pPr>
              <w:rPr>
                <w:rFonts w:cs="Arial"/>
                <w:sz w:val="16"/>
                <w:szCs w:val="16"/>
              </w:rPr>
            </w:pPr>
            <w:r w:rsidRPr="006D4E85">
              <w:rPr>
                <w:rFonts w:cs="Arial"/>
                <w:b/>
              </w:rPr>
              <w:t xml:space="preserve">Question </w:t>
            </w:r>
            <w:r w:rsidR="00D51874">
              <w:rPr>
                <w:rFonts w:cs="Arial"/>
                <w:b/>
              </w:rPr>
              <w:t>#</w:t>
            </w:r>
            <w:r w:rsidRPr="006D4E85">
              <w:rPr>
                <w:rFonts w:cs="Arial"/>
                <w:b/>
              </w:rPr>
              <w:t xml:space="preserve">2: </w:t>
            </w:r>
            <w:r>
              <w:rPr>
                <w:rFonts w:cs="Arial"/>
              </w:rPr>
              <w:t xml:space="preserve">Check all procedures that your hospital performs as defined in the </w:t>
            </w:r>
            <w:r w:rsidR="00771F66">
              <w:rPr>
                <w:rFonts w:cs="Arial"/>
              </w:rPr>
              <w:t xml:space="preserve">Adult and Pediatric </w:t>
            </w:r>
            <w:r w:rsidR="004441DE">
              <w:rPr>
                <w:rFonts w:cs="Arial"/>
              </w:rPr>
              <w:t>Complex</w:t>
            </w:r>
            <w:r>
              <w:rPr>
                <w:rFonts w:cs="Arial"/>
              </w:rPr>
              <w:t xml:space="preserve"> Surgery Reference Information (listed below):</w:t>
            </w:r>
          </w:p>
          <w:p w14:paraId="0615EE5F" w14:textId="77777777" w:rsidR="006E26E4" w:rsidRDefault="006D4E85" w:rsidP="00AD309C">
            <w:pPr>
              <w:pStyle w:val="ListParagraph"/>
              <w:numPr>
                <w:ilvl w:val="0"/>
                <w:numId w:val="364"/>
              </w:numPr>
              <w:rPr>
                <w:rFonts w:cs="Arial"/>
              </w:rPr>
            </w:pPr>
            <w:r>
              <w:rPr>
                <w:rFonts w:cs="Arial"/>
              </w:rPr>
              <w:t xml:space="preserve">Carotid endarterectomy </w:t>
            </w:r>
          </w:p>
          <w:p w14:paraId="6CE43E4F" w14:textId="2CCE4CBD" w:rsidR="006E26E4" w:rsidRDefault="006D4E85" w:rsidP="00AD309C">
            <w:pPr>
              <w:pStyle w:val="ListParagraph"/>
              <w:numPr>
                <w:ilvl w:val="0"/>
                <w:numId w:val="364"/>
              </w:numPr>
              <w:rPr>
                <w:rFonts w:cs="Arial"/>
              </w:rPr>
            </w:pPr>
            <w:r>
              <w:rPr>
                <w:rFonts w:cs="Arial"/>
              </w:rPr>
              <w:t>Mitral valve repair and replacement</w:t>
            </w:r>
          </w:p>
          <w:p w14:paraId="02BA3C17" w14:textId="0162C847" w:rsidR="006E26E4" w:rsidRDefault="006D4E85" w:rsidP="00AD309C">
            <w:pPr>
              <w:pStyle w:val="ListParagraph"/>
              <w:numPr>
                <w:ilvl w:val="0"/>
                <w:numId w:val="364"/>
              </w:numPr>
              <w:rPr>
                <w:rFonts w:cs="Arial"/>
              </w:rPr>
            </w:pPr>
            <w:r>
              <w:rPr>
                <w:rFonts w:cs="Arial"/>
              </w:rPr>
              <w:t xml:space="preserve">Open aortic </w:t>
            </w:r>
            <w:r w:rsidR="005407C3">
              <w:rPr>
                <w:rFonts w:cs="Arial"/>
              </w:rPr>
              <w:t>procedures</w:t>
            </w:r>
          </w:p>
          <w:p w14:paraId="43334670" w14:textId="45AA088F" w:rsidR="006E26E4" w:rsidRDefault="006D4E85" w:rsidP="00AD309C">
            <w:pPr>
              <w:pStyle w:val="ListParagraph"/>
              <w:numPr>
                <w:ilvl w:val="0"/>
                <w:numId w:val="364"/>
              </w:numPr>
              <w:rPr>
                <w:rFonts w:cs="Arial"/>
              </w:rPr>
            </w:pPr>
            <w:r>
              <w:rPr>
                <w:rFonts w:cs="Arial"/>
              </w:rPr>
              <w:t>Lung resection for cancer</w:t>
            </w:r>
          </w:p>
          <w:p w14:paraId="75FD9FF6" w14:textId="27173BB4" w:rsidR="006E26E4" w:rsidRDefault="006D4E85" w:rsidP="00AD309C">
            <w:pPr>
              <w:pStyle w:val="ListParagraph"/>
              <w:numPr>
                <w:ilvl w:val="0"/>
                <w:numId w:val="364"/>
              </w:numPr>
              <w:rPr>
                <w:rFonts w:cs="Arial"/>
              </w:rPr>
            </w:pPr>
            <w:r>
              <w:rPr>
                <w:rFonts w:cs="Arial"/>
              </w:rPr>
              <w:t>Esophageal resection for cancer</w:t>
            </w:r>
          </w:p>
          <w:p w14:paraId="2E03029E" w14:textId="415A40F5" w:rsidR="006E26E4" w:rsidRDefault="006D4E85" w:rsidP="00AD309C">
            <w:pPr>
              <w:pStyle w:val="ListParagraph"/>
              <w:numPr>
                <w:ilvl w:val="0"/>
                <w:numId w:val="364"/>
              </w:numPr>
              <w:rPr>
                <w:rFonts w:cs="Arial"/>
              </w:rPr>
            </w:pPr>
            <w:r>
              <w:rPr>
                <w:rFonts w:cs="Arial"/>
              </w:rPr>
              <w:t>Pancreatic resection for cancer</w:t>
            </w:r>
          </w:p>
          <w:p w14:paraId="4E51710D" w14:textId="3E7AC54E" w:rsidR="006E26E4" w:rsidRDefault="006D4E85" w:rsidP="00AD309C">
            <w:pPr>
              <w:pStyle w:val="ListParagraph"/>
              <w:numPr>
                <w:ilvl w:val="0"/>
                <w:numId w:val="364"/>
              </w:numPr>
              <w:rPr>
                <w:rFonts w:cs="Arial"/>
              </w:rPr>
            </w:pPr>
            <w:r>
              <w:rPr>
                <w:rFonts w:cs="Arial"/>
              </w:rPr>
              <w:t>Rectal cancer surgery</w:t>
            </w:r>
          </w:p>
          <w:p w14:paraId="6A4B0781" w14:textId="06F01410" w:rsidR="006D4E85" w:rsidRDefault="006D4E85" w:rsidP="00AD309C">
            <w:pPr>
              <w:pStyle w:val="ListParagraph"/>
              <w:numPr>
                <w:ilvl w:val="0"/>
                <w:numId w:val="364"/>
              </w:numPr>
              <w:rPr>
                <w:rFonts w:cs="Arial"/>
              </w:rPr>
            </w:pPr>
            <w:r>
              <w:rPr>
                <w:rFonts w:cs="Arial"/>
              </w:rPr>
              <w:t>Bariatric surgery for weight loss</w:t>
            </w:r>
          </w:p>
          <w:p w14:paraId="5B6BBF19" w14:textId="77777777" w:rsidR="00B10036" w:rsidRPr="006E26E4" w:rsidRDefault="00B10036" w:rsidP="00AD309C">
            <w:pPr>
              <w:pStyle w:val="ListParagraph"/>
              <w:numPr>
                <w:ilvl w:val="0"/>
                <w:numId w:val="364"/>
              </w:numPr>
              <w:rPr>
                <w:rFonts w:cs="Arial"/>
              </w:rPr>
            </w:pPr>
            <w:r w:rsidRPr="006E26E4">
              <w:rPr>
                <w:rFonts w:cs="Arial"/>
              </w:rPr>
              <w:t>Total knee replacement</w:t>
            </w:r>
          </w:p>
          <w:p w14:paraId="4F8EF6C0" w14:textId="77777777" w:rsidR="00B10036" w:rsidRPr="006E26E4" w:rsidRDefault="00B10036" w:rsidP="00AD309C">
            <w:pPr>
              <w:pStyle w:val="ListParagraph"/>
              <w:numPr>
                <w:ilvl w:val="0"/>
                <w:numId w:val="364"/>
              </w:numPr>
              <w:rPr>
                <w:rFonts w:cs="Arial"/>
              </w:rPr>
            </w:pPr>
            <w:r w:rsidRPr="006E26E4">
              <w:rPr>
                <w:rFonts w:cs="Arial"/>
              </w:rPr>
              <w:t>Total hip replacement</w:t>
            </w:r>
          </w:p>
          <w:p w14:paraId="3A9D0755" w14:textId="34DF9FFC" w:rsidR="00B10036" w:rsidRPr="006E26E4" w:rsidRDefault="00B10036" w:rsidP="00AD309C">
            <w:pPr>
              <w:pStyle w:val="ListParagraph"/>
              <w:numPr>
                <w:ilvl w:val="0"/>
                <w:numId w:val="364"/>
              </w:numPr>
              <w:rPr>
                <w:rFonts w:cs="Arial"/>
              </w:rPr>
            </w:pPr>
            <w:r w:rsidRPr="006E26E4">
              <w:rPr>
                <w:rFonts w:cs="Arial"/>
              </w:rPr>
              <w:t>Norwood procedure</w:t>
            </w:r>
          </w:p>
          <w:p w14:paraId="020968A2" w14:textId="3DFFB969" w:rsidR="00BF662A" w:rsidRPr="00D51874" w:rsidRDefault="00BF662A" w:rsidP="006E0344">
            <w:pPr>
              <w:contextualSpacing/>
              <w:rPr>
                <w:rFonts w:cs="Arial"/>
                <w:sz w:val="16"/>
                <w:szCs w:val="16"/>
              </w:rPr>
            </w:pPr>
          </w:p>
          <w:p w14:paraId="7D26403D" w14:textId="503EE5C0" w:rsidR="006E26E4" w:rsidRDefault="00BF662A" w:rsidP="006E0344">
            <w:pPr>
              <w:contextualSpacing/>
              <w:rPr>
                <w:rFonts w:cs="Arial"/>
              </w:rPr>
            </w:pPr>
            <w:r>
              <w:rPr>
                <w:rFonts w:cs="Arial"/>
              </w:rPr>
              <w:t xml:space="preserve">Free-standing </w:t>
            </w:r>
            <w:r w:rsidR="00A116B1">
              <w:rPr>
                <w:rFonts w:cs="Arial"/>
              </w:rPr>
              <w:t>p</w:t>
            </w:r>
            <w:r>
              <w:rPr>
                <w:rFonts w:cs="Arial"/>
              </w:rPr>
              <w:t xml:space="preserve">ediatric </w:t>
            </w:r>
            <w:r w:rsidR="00A116B1">
              <w:rPr>
                <w:rFonts w:cs="Arial"/>
              </w:rPr>
              <w:t>h</w:t>
            </w:r>
            <w:r>
              <w:rPr>
                <w:rFonts w:cs="Arial"/>
              </w:rPr>
              <w:t xml:space="preserve">ospitals should only report on the Norwood procedure, if applicable. </w:t>
            </w:r>
          </w:p>
          <w:p w14:paraId="28A3B9A7" w14:textId="77777777" w:rsidR="003B4CC8" w:rsidRPr="004F5E10" w:rsidRDefault="003B4CC8" w:rsidP="006E0344">
            <w:pPr>
              <w:contextualSpacing/>
              <w:rPr>
                <w:rFonts w:cs="Arial"/>
              </w:rPr>
            </w:pPr>
          </w:p>
          <w:p w14:paraId="68BAE937" w14:textId="77777777" w:rsidR="006D4E85" w:rsidRDefault="006D4E85" w:rsidP="006E0344">
            <w:pPr>
              <w:rPr>
                <w:rFonts w:cs="Arial"/>
              </w:rPr>
            </w:pPr>
            <w:r w:rsidRPr="006D4E85">
              <w:rPr>
                <w:rFonts w:cs="Arial"/>
                <w:u w:val="single"/>
              </w:rPr>
              <w:t>Do not</w:t>
            </w:r>
            <w:r>
              <w:rPr>
                <w:rFonts w:cs="Arial"/>
              </w:rPr>
              <w:t xml:space="preserve"> check the box for the procedure if:</w:t>
            </w:r>
          </w:p>
          <w:p w14:paraId="6591E1E8" w14:textId="5B22BEFE" w:rsidR="006D4E85" w:rsidRDefault="006D4E85" w:rsidP="00AD309C">
            <w:pPr>
              <w:pStyle w:val="ListParagraph"/>
              <w:numPr>
                <w:ilvl w:val="0"/>
                <w:numId w:val="98"/>
              </w:numPr>
              <w:rPr>
                <w:rFonts w:cs="Arial"/>
              </w:rPr>
            </w:pPr>
            <w:r>
              <w:rPr>
                <w:rFonts w:cs="Arial"/>
              </w:rPr>
              <w:t>Y</w:t>
            </w:r>
            <w:r w:rsidRPr="006D4E85">
              <w:rPr>
                <w:rFonts w:cs="Arial"/>
              </w:rPr>
              <w:t>our hospital does not perform the procedure</w:t>
            </w:r>
            <w:r w:rsidR="00D35EB5">
              <w:rPr>
                <w:rFonts w:cs="Arial"/>
              </w:rPr>
              <w:t xml:space="preserve"> </w:t>
            </w:r>
            <w:r w:rsidRPr="006D4E85">
              <w:rPr>
                <w:rFonts w:cs="Arial"/>
              </w:rPr>
              <w:t xml:space="preserve">or </w:t>
            </w:r>
            <w:r w:rsidR="00D35EB5" w:rsidRPr="007A4857">
              <w:rPr>
                <w:rFonts w:cs="Arial"/>
                <w:iCs/>
              </w:rPr>
              <w:t>ONLY performs the procedure on an emergency basis or when a patient is too unstable for safe transfer.</w:t>
            </w:r>
          </w:p>
          <w:p w14:paraId="289475F2" w14:textId="13385387" w:rsidR="006D4E85" w:rsidRPr="006D4E85" w:rsidRDefault="006D4E85" w:rsidP="00AD309C">
            <w:pPr>
              <w:pStyle w:val="ListParagraph"/>
              <w:numPr>
                <w:ilvl w:val="0"/>
                <w:numId w:val="98"/>
              </w:numPr>
              <w:rPr>
                <w:rFonts w:cs="Arial"/>
              </w:rPr>
            </w:pPr>
            <w:r>
              <w:rPr>
                <w:rFonts w:cs="Arial"/>
                <w:lang w:eastAsia="ja-JP"/>
              </w:rPr>
              <w:lastRenderedPageBreak/>
              <w:t>Y</w:t>
            </w:r>
            <w:r w:rsidRPr="006D4E85">
              <w:rPr>
                <w:rFonts w:cs="Arial"/>
                <w:lang w:eastAsia="ja-JP"/>
              </w:rPr>
              <w:t>our hospital has</w:t>
            </w:r>
            <w:r w:rsidR="007A55BC">
              <w:rPr>
                <w:rFonts w:cs="Arial"/>
                <w:lang w:eastAsia="ja-JP"/>
              </w:rPr>
              <w:t xml:space="preserve"> started to perform the procedure in the last 18</w:t>
            </w:r>
            <w:r w:rsidR="00B75B1F">
              <w:rPr>
                <w:rFonts w:cs="Arial"/>
                <w:lang w:eastAsia="ja-JP"/>
              </w:rPr>
              <w:t xml:space="preserve"> months</w:t>
            </w:r>
            <w:r w:rsidR="007A55BC">
              <w:rPr>
                <w:rFonts w:cs="Arial"/>
                <w:lang w:eastAsia="ja-JP"/>
              </w:rPr>
              <w:t xml:space="preserve">. Leapfrog gives hospitals an </w:t>
            </w:r>
            <w:r w:rsidRPr="006D4E85">
              <w:rPr>
                <w:rFonts w:cs="Arial"/>
              </w:rPr>
              <w:t>18-month grace period before having to re</w:t>
            </w:r>
            <w:r w:rsidR="007A55BC">
              <w:rPr>
                <w:rFonts w:cs="Arial"/>
              </w:rPr>
              <w:t>port on hospital</w:t>
            </w:r>
            <w:r w:rsidRPr="006D4E85">
              <w:rPr>
                <w:rFonts w:cs="Arial"/>
              </w:rPr>
              <w:t xml:space="preserve"> volume </w:t>
            </w:r>
            <w:r w:rsidR="007A55BC">
              <w:rPr>
                <w:rFonts w:cs="Arial"/>
              </w:rPr>
              <w:t>and process for privileging surgeons for new service lines</w:t>
            </w:r>
            <w:r>
              <w:rPr>
                <w:rFonts w:cs="Arial"/>
              </w:rPr>
              <w:t>.</w:t>
            </w:r>
            <w:r w:rsidRPr="006D4E85">
              <w:rPr>
                <w:rFonts w:cs="Arial"/>
              </w:rPr>
              <w:t xml:space="preserve"> </w:t>
            </w:r>
          </w:p>
          <w:p w14:paraId="627D97A2" w14:textId="77777777" w:rsidR="006D4E85" w:rsidRDefault="006D4E85" w:rsidP="006E0344">
            <w:pPr>
              <w:rPr>
                <w:rFonts w:cs="Arial"/>
              </w:rPr>
            </w:pPr>
          </w:p>
          <w:p w14:paraId="072F1013" w14:textId="77777777" w:rsidR="006D4E85" w:rsidRDefault="006D4E85" w:rsidP="006E0344">
            <w:pPr>
              <w:rPr>
                <w:rFonts w:cs="Arial"/>
              </w:rPr>
            </w:pPr>
            <w:r w:rsidRPr="006D4E85">
              <w:rPr>
                <w:rFonts w:cs="Arial"/>
                <w:u w:val="single"/>
              </w:rPr>
              <w:t>Do</w:t>
            </w:r>
            <w:r>
              <w:rPr>
                <w:rFonts w:cs="Arial"/>
              </w:rPr>
              <w:t xml:space="preserve"> check the box for the procedure if: </w:t>
            </w:r>
          </w:p>
          <w:p w14:paraId="338863CC" w14:textId="202CAE94" w:rsidR="006D4E85" w:rsidRDefault="006D4E85" w:rsidP="00AD309C">
            <w:pPr>
              <w:pStyle w:val="ListParagraph"/>
              <w:numPr>
                <w:ilvl w:val="0"/>
                <w:numId w:val="99"/>
              </w:numPr>
              <w:rPr>
                <w:rFonts w:cs="Arial"/>
                <w:lang w:eastAsia="ja-JP"/>
              </w:rPr>
            </w:pPr>
            <w:r>
              <w:rPr>
                <w:rFonts w:cs="Arial"/>
                <w:lang w:eastAsia="ja-JP"/>
              </w:rPr>
              <w:t>Y</w:t>
            </w:r>
            <w:r w:rsidRPr="006D4E85">
              <w:rPr>
                <w:rFonts w:cs="Arial"/>
                <w:lang w:eastAsia="ja-JP"/>
              </w:rPr>
              <w:t xml:space="preserve">our hospital </w:t>
            </w:r>
            <w:r w:rsidR="00B55CE5">
              <w:rPr>
                <w:rFonts w:cs="Arial"/>
                <w:lang w:eastAsia="ja-JP"/>
              </w:rPr>
              <w:t xml:space="preserve">would </w:t>
            </w:r>
            <w:r w:rsidRPr="006D4E85">
              <w:rPr>
                <w:rFonts w:cs="Arial"/>
                <w:lang w:eastAsia="ja-JP"/>
              </w:rPr>
              <w:t>perform the procedure but ha</w:t>
            </w:r>
            <w:r w:rsidR="00B55CE5">
              <w:rPr>
                <w:rFonts w:cs="Arial"/>
                <w:lang w:eastAsia="ja-JP"/>
              </w:rPr>
              <w:t>d</w:t>
            </w:r>
            <w:r w:rsidRPr="006D4E85">
              <w:rPr>
                <w:rFonts w:cs="Arial"/>
                <w:lang w:eastAsia="ja-JP"/>
              </w:rPr>
              <w:t xml:space="preserve"> zero cases during the reporting period</w:t>
            </w:r>
            <w:r>
              <w:rPr>
                <w:rFonts w:cs="Arial"/>
                <w:lang w:eastAsia="ja-JP"/>
              </w:rPr>
              <w:t>. S</w:t>
            </w:r>
            <w:r w:rsidRPr="006D4E85">
              <w:rPr>
                <w:rFonts w:cs="Arial"/>
                <w:lang w:eastAsia="ja-JP"/>
              </w:rPr>
              <w:t xml:space="preserve">elect the procedure and indicate </w:t>
            </w:r>
            <w:r w:rsidR="000315F8">
              <w:rPr>
                <w:rFonts w:cs="Arial"/>
                <w:lang w:eastAsia="ja-JP"/>
              </w:rPr>
              <w:t>a</w:t>
            </w:r>
            <w:r w:rsidRPr="006D4E85">
              <w:rPr>
                <w:rFonts w:cs="Arial"/>
                <w:lang w:eastAsia="ja-JP"/>
              </w:rPr>
              <w:t xml:space="preserve"> hospital volume of zero in question #3. Please note that hospitals can elect to report on a 24-month annual average. </w:t>
            </w:r>
          </w:p>
          <w:p w14:paraId="6EB2A535" w14:textId="18E914B5" w:rsidR="006D4E85" w:rsidRPr="00D51874" w:rsidRDefault="006D4E85" w:rsidP="00AD309C">
            <w:pPr>
              <w:pStyle w:val="ListParagraph"/>
              <w:numPr>
                <w:ilvl w:val="0"/>
                <w:numId w:val="99"/>
              </w:numPr>
              <w:rPr>
                <w:rFonts w:cs="Arial"/>
                <w:lang w:eastAsia="ja-JP"/>
              </w:rPr>
            </w:pPr>
            <w:r>
              <w:rPr>
                <w:rFonts w:cs="Arial"/>
                <w:lang w:eastAsia="ja-JP"/>
              </w:rPr>
              <w:t>Your hospital has</w:t>
            </w:r>
            <w:r>
              <w:rPr>
                <w:rFonts w:cs="Arial"/>
              </w:rPr>
              <w:t xml:space="preserve"> reached</w:t>
            </w:r>
            <w:r w:rsidRPr="006D4E85">
              <w:rPr>
                <w:rFonts w:cs="Arial"/>
              </w:rPr>
              <w:t xml:space="preserve"> the end of the 18-month grace period</w:t>
            </w:r>
            <w:r>
              <w:rPr>
                <w:rFonts w:cs="Arial"/>
              </w:rPr>
              <w:t xml:space="preserve"> for a new service line.</w:t>
            </w:r>
            <w:r w:rsidR="00C63946">
              <w:rPr>
                <w:rFonts w:cs="Arial"/>
              </w:rPr>
              <w:t xml:space="preserve"> You will no</w:t>
            </w:r>
            <w:r w:rsidR="00F669BD">
              <w:rPr>
                <w:rFonts w:cs="Arial"/>
              </w:rPr>
              <w:t>w</w:t>
            </w:r>
            <w:r w:rsidR="00C63946">
              <w:rPr>
                <w:rFonts w:cs="Arial"/>
              </w:rPr>
              <w:t xml:space="preserve"> have to report on both hospital volume and your process for privileging surgeons for this procedure. </w:t>
            </w:r>
          </w:p>
        </w:tc>
      </w:tr>
      <w:tr w:rsidR="006D4E85" w14:paraId="2A914277" w14:textId="77777777" w:rsidTr="008F0C5E">
        <w:trPr>
          <w:trHeight w:val="7344"/>
        </w:trPr>
        <w:tc>
          <w:tcPr>
            <w:tcW w:w="9360" w:type="dxa"/>
            <w:vAlign w:val="center"/>
          </w:tcPr>
          <w:p w14:paraId="20ED766A" w14:textId="7588905E" w:rsidR="00207D3B" w:rsidRDefault="006D4E85" w:rsidP="006E0344">
            <w:pPr>
              <w:rPr>
                <w:rFonts w:cs="Arial"/>
              </w:rPr>
            </w:pPr>
            <w:r w:rsidRPr="00207D3B">
              <w:rPr>
                <w:rFonts w:cs="Arial"/>
                <w:b/>
              </w:rPr>
              <w:lastRenderedPageBreak/>
              <w:t xml:space="preserve">Question </w:t>
            </w:r>
            <w:r w:rsidR="00D51874">
              <w:rPr>
                <w:rFonts w:cs="Arial"/>
                <w:b/>
              </w:rPr>
              <w:t>#</w:t>
            </w:r>
            <w:r w:rsidR="004441DE">
              <w:rPr>
                <w:rFonts w:cs="Arial"/>
                <w:b/>
              </w:rPr>
              <w:t>3</w:t>
            </w:r>
            <w:r>
              <w:rPr>
                <w:rFonts w:cs="Arial"/>
              </w:rPr>
              <w:t xml:space="preserve">: Total </w:t>
            </w:r>
            <w:r w:rsidRPr="00207D3B">
              <w:rPr>
                <w:rFonts w:cs="Arial"/>
                <w:b/>
              </w:rPr>
              <w:t>hospital volume</w:t>
            </w:r>
            <w:r>
              <w:rPr>
                <w:rFonts w:cs="Arial"/>
              </w:rPr>
              <w:t xml:space="preserve"> for each </w:t>
            </w:r>
            <w:r w:rsidR="00C63946">
              <w:rPr>
                <w:rFonts w:cs="Arial"/>
              </w:rPr>
              <w:t>selected</w:t>
            </w:r>
            <w:r>
              <w:rPr>
                <w:rFonts w:cs="Arial"/>
              </w:rPr>
              <w:t xml:space="preserve"> procedure (from question #2) during the reporting period</w:t>
            </w:r>
            <w:r w:rsidR="00207D3B">
              <w:rPr>
                <w:rFonts w:cs="Arial"/>
              </w:rPr>
              <w:t>:</w:t>
            </w:r>
          </w:p>
          <w:p w14:paraId="0CB6E3D7" w14:textId="77777777" w:rsidR="006E26E4" w:rsidRPr="000F3D1F" w:rsidRDefault="00207D3B" w:rsidP="00AD309C">
            <w:pPr>
              <w:pStyle w:val="ListParagraph"/>
              <w:numPr>
                <w:ilvl w:val="0"/>
                <w:numId w:val="365"/>
              </w:numPr>
              <w:rPr>
                <w:rFonts w:cs="Arial"/>
                <w:color w:val="0000FF"/>
                <w:u w:val="single"/>
              </w:rPr>
            </w:pPr>
            <w:hyperlink w:anchor="Carotid" w:history="1">
              <w:r w:rsidRPr="00B12E5C">
                <w:rPr>
                  <w:rStyle w:val="Hyperlink"/>
                  <w:rFonts w:cs="Arial"/>
                </w:rPr>
                <w:t>Carotid endarterectomy</w:t>
              </w:r>
            </w:hyperlink>
            <w:r>
              <w:rPr>
                <w:rFonts w:cs="Arial"/>
              </w:rPr>
              <w:t xml:space="preserve"> </w:t>
            </w:r>
            <w:r w:rsidR="002C7355">
              <w:rPr>
                <w:rFonts w:cs="Arial"/>
              </w:rPr>
              <w:t>(Hospital Volume Standard: 20)</w:t>
            </w:r>
          </w:p>
          <w:p w14:paraId="23FE38AA" w14:textId="13175545" w:rsidR="006E26E4" w:rsidRPr="000F3D1F" w:rsidRDefault="00207D3B" w:rsidP="00AD309C">
            <w:pPr>
              <w:pStyle w:val="ListParagraph"/>
              <w:numPr>
                <w:ilvl w:val="0"/>
                <w:numId w:val="365"/>
              </w:numPr>
              <w:rPr>
                <w:rFonts w:cs="Arial"/>
                <w:color w:val="0000FF"/>
                <w:u w:val="single"/>
              </w:rPr>
            </w:pPr>
            <w:hyperlink w:anchor="MitralValve" w:history="1">
              <w:r w:rsidRPr="00B12E5C">
                <w:rPr>
                  <w:rStyle w:val="Hyperlink"/>
                  <w:rFonts w:cs="Arial"/>
                </w:rPr>
                <w:t>Mitral valve repair and replacement</w:t>
              </w:r>
            </w:hyperlink>
            <w:r w:rsidR="002C7355">
              <w:rPr>
                <w:rStyle w:val="Hyperlink"/>
                <w:rFonts w:cs="Arial"/>
              </w:rPr>
              <w:t xml:space="preserve"> </w:t>
            </w:r>
            <w:r w:rsidR="002C7355">
              <w:rPr>
                <w:rFonts w:cs="Arial"/>
              </w:rPr>
              <w:t>(Hospital Volume Standard: 40)</w:t>
            </w:r>
          </w:p>
          <w:p w14:paraId="3D3450A2" w14:textId="012EF9EF" w:rsidR="006E26E4" w:rsidRPr="000F3D1F" w:rsidRDefault="00207D3B" w:rsidP="00AD309C">
            <w:pPr>
              <w:pStyle w:val="ListParagraph"/>
              <w:numPr>
                <w:ilvl w:val="0"/>
                <w:numId w:val="365"/>
              </w:numPr>
              <w:rPr>
                <w:rFonts w:cs="Arial"/>
                <w:color w:val="0000FF"/>
                <w:u w:val="single"/>
              </w:rPr>
            </w:pPr>
            <w:hyperlink w:anchor="Aortic" w:history="1">
              <w:r w:rsidRPr="00B12E5C">
                <w:rPr>
                  <w:rStyle w:val="Hyperlink"/>
                  <w:rFonts w:cs="Arial"/>
                </w:rPr>
                <w:t xml:space="preserve">Open aortic </w:t>
              </w:r>
              <w:r w:rsidR="005407C3" w:rsidRPr="00B12E5C">
                <w:rPr>
                  <w:rStyle w:val="Hyperlink"/>
                  <w:rFonts w:cs="Arial"/>
                </w:rPr>
                <w:t>procedures</w:t>
              </w:r>
            </w:hyperlink>
            <w:r w:rsidR="002C7355">
              <w:rPr>
                <w:rStyle w:val="Hyperlink"/>
                <w:rFonts w:cs="Arial"/>
              </w:rPr>
              <w:t xml:space="preserve"> </w:t>
            </w:r>
            <w:r w:rsidR="002C7355">
              <w:rPr>
                <w:rFonts w:cs="Arial"/>
              </w:rPr>
              <w:t>(Hospital Volume Standard: 10)</w:t>
            </w:r>
          </w:p>
          <w:p w14:paraId="198A31EA" w14:textId="0236EC57" w:rsidR="006E26E4" w:rsidRPr="000F3D1F" w:rsidRDefault="00207D3B" w:rsidP="00AD309C">
            <w:pPr>
              <w:pStyle w:val="ListParagraph"/>
              <w:numPr>
                <w:ilvl w:val="0"/>
                <w:numId w:val="365"/>
              </w:numPr>
              <w:rPr>
                <w:rFonts w:cs="Arial"/>
                <w:color w:val="0000FF"/>
                <w:u w:val="single"/>
              </w:rPr>
            </w:pPr>
            <w:hyperlink w:anchor="LungResection" w:history="1">
              <w:r w:rsidRPr="00B12E5C">
                <w:rPr>
                  <w:rStyle w:val="Hyperlink"/>
                  <w:rFonts w:cs="Arial"/>
                </w:rPr>
                <w:t>Lung resection for cancer</w:t>
              </w:r>
            </w:hyperlink>
            <w:r w:rsidR="002C7355">
              <w:rPr>
                <w:rStyle w:val="Hyperlink"/>
                <w:rFonts w:cs="Arial"/>
              </w:rPr>
              <w:t xml:space="preserve"> </w:t>
            </w:r>
            <w:r w:rsidR="002C7355">
              <w:rPr>
                <w:rFonts w:cs="Arial"/>
              </w:rPr>
              <w:t>(Hospital Volume Standard: 40)</w:t>
            </w:r>
          </w:p>
          <w:p w14:paraId="3E3D048D" w14:textId="10158706" w:rsidR="006E26E4" w:rsidRPr="000F3D1F" w:rsidRDefault="00207D3B" w:rsidP="00AD309C">
            <w:pPr>
              <w:pStyle w:val="ListParagraph"/>
              <w:numPr>
                <w:ilvl w:val="0"/>
                <w:numId w:val="365"/>
              </w:numPr>
              <w:rPr>
                <w:rFonts w:cs="Arial"/>
                <w:color w:val="0000FF"/>
                <w:u w:val="single"/>
              </w:rPr>
            </w:pPr>
            <w:hyperlink w:anchor="EsophagealResection" w:history="1">
              <w:r w:rsidRPr="00B12E5C">
                <w:rPr>
                  <w:rStyle w:val="Hyperlink"/>
                  <w:rFonts w:cs="Arial"/>
                </w:rPr>
                <w:t>Esophageal resection for cancer</w:t>
              </w:r>
            </w:hyperlink>
            <w:r w:rsidR="002C7355">
              <w:rPr>
                <w:rStyle w:val="Hyperlink"/>
                <w:rFonts w:cs="Arial"/>
              </w:rPr>
              <w:t xml:space="preserve"> </w:t>
            </w:r>
            <w:r w:rsidR="002C7355">
              <w:rPr>
                <w:rFonts w:cs="Arial"/>
              </w:rPr>
              <w:t>(Hospital Volume Standard: 20)</w:t>
            </w:r>
          </w:p>
          <w:p w14:paraId="537D06DF" w14:textId="24E99FBF" w:rsidR="006E26E4" w:rsidRPr="000F3D1F" w:rsidRDefault="00207D3B" w:rsidP="00AD309C">
            <w:pPr>
              <w:pStyle w:val="ListParagraph"/>
              <w:numPr>
                <w:ilvl w:val="0"/>
                <w:numId w:val="365"/>
              </w:numPr>
              <w:rPr>
                <w:rFonts w:cs="Arial"/>
                <w:color w:val="0000FF"/>
                <w:u w:val="single"/>
              </w:rPr>
            </w:pPr>
            <w:hyperlink w:anchor="PancreaticResection" w:history="1">
              <w:r w:rsidRPr="00B12E5C">
                <w:rPr>
                  <w:rStyle w:val="Hyperlink"/>
                  <w:rFonts w:cs="Arial"/>
                </w:rPr>
                <w:t>Pancreatic resection for cancer</w:t>
              </w:r>
            </w:hyperlink>
            <w:r w:rsidR="002C7355">
              <w:rPr>
                <w:rStyle w:val="Hyperlink"/>
                <w:rFonts w:cs="Arial"/>
              </w:rPr>
              <w:t xml:space="preserve"> </w:t>
            </w:r>
            <w:r w:rsidR="002C7355">
              <w:rPr>
                <w:rFonts w:cs="Arial"/>
              </w:rPr>
              <w:t>(Hospital Volume Standard: 20)</w:t>
            </w:r>
          </w:p>
          <w:p w14:paraId="094C1811" w14:textId="31A2342C" w:rsidR="006E26E4" w:rsidRPr="000F3D1F" w:rsidRDefault="00207D3B" w:rsidP="00AD309C">
            <w:pPr>
              <w:pStyle w:val="ListParagraph"/>
              <w:numPr>
                <w:ilvl w:val="0"/>
                <w:numId w:val="365"/>
              </w:numPr>
              <w:rPr>
                <w:rFonts w:cs="Arial"/>
                <w:color w:val="0000FF"/>
                <w:u w:val="single"/>
              </w:rPr>
            </w:pPr>
            <w:hyperlink w:anchor="RectalCancer" w:history="1">
              <w:r w:rsidRPr="00B12E5C">
                <w:rPr>
                  <w:rStyle w:val="Hyperlink"/>
                  <w:rFonts w:cs="Arial"/>
                </w:rPr>
                <w:t>Rectal cancer surgery</w:t>
              </w:r>
            </w:hyperlink>
            <w:r w:rsidR="002C7355">
              <w:rPr>
                <w:rStyle w:val="Hyperlink"/>
                <w:rFonts w:cs="Arial"/>
              </w:rPr>
              <w:t xml:space="preserve"> </w:t>
            </w:r>
            <w:r w:rsidR="002C7355">
              <w:rPr>
                <w:rFonts w:cs="Arial"/>
              </w:rPr>
              <w:t>(Hospital Volume Standard: 16)</w:t>
            </w:r>
          </w:p>
          <w:p w14:paraId="50E4970D" w14:textId="36B84CA5" w:rsidR="00207D3B" w:rsidRDefault="00207D3B" w:rsidP="00AD309C">
            <w:pPr>
              <w:pStyle w:val="ListParagraph"/>
              <w:numPr>
                <w:ilvl w:val="0"/>
                <w:numId w:val="365"/>
              </w:numPr>
              <w:rPr>
                <w:rStyle w:val="Hyperlink"/>
                <w:rFonts w:cs="Arial"/>
              </w:rPr>
            </w:pPr>
            <w:hyperlink w:anchor="BariatricSurgery" w:history="1">
              <w:r w:rsidRPr="00B12E5C">
                <w:rPr>
                  <w:rStyle w:val="Hyperlink"/>
                  <w:rFonts w:cs="Arial"/>
                </w:rPr>
                <w:t>Bariatric surgery for weight loss</w:t>
              </w:r>
            </w:hyperlink>
            <w:r w:rsidR="002C7355">
              <w:rPr>
                <w:rStyle w:val="Hyperlink"/>
                <w:rFonts w:cs="Arial"/>
              </w:rPr>
              <w:t xml:space="preserve"> </w:t>
            </w:r>
            <w:r w:rsidR="002C7355">
              <w:rPr>
                <w:rFonts w:cs="Arial"/>
              </w:rPr>
              <w:t>(Hospital Volume Standard: 50)</w:t>
            </w:r>
          </w:p>
          <w:p w14:paraId="6C839FB1" w14:textId="32C769DF" w:rsidR="00B10036" w:rsidRPr="006E26E4" w:rsidRDefault="00B10036" w:rsidP="00AD309C">
            <w:pPr>
              <w:pStyle w:val="ListParagraph"/>
              <w:numPr>
                <w:ilvl w:val="0"/>
                <w:numId w:val="365"/>
              </w:numPr>
              <w:rPr>
                <w:rFonts w:cs="Arial"/>
              </w:rPr>
            </w:pPr>
            <w:hyperlink w:anchor="_Total_Knee_Replacement" w:history="1">
              <w:r w:rsidRPr="006E26E4">
                <w:rPr>
                  <w:rStyle w:val="Hyperlink"/>
                  <w:rFonts w:cs="Arial"/>
                </w:rPr>
                <w:t>Total knee replacement</w:t>
              </w:r>
            </w:hyperlink>
            <w:r w:rsidR="002C7355" w:rsidRPr="006E26E4">
              <w:rPr>
                <w:rStyle w:val="Hyperlink"/>
                <w:rFonts w:cs="Arial"/>
              </w:rPr>
              <w:t xml:space="preserve"> </w:t>
            </w:r>
            <w:r w:rsidR="002C7355" w:rsidRPr="006E26E4">
              <w:rPr>
                <w:rFonts w:cs="Arial"/>
              </w:rPr>
              <w:t>(Hospital Volume Standard: 50)</w:t>
            </w:r>
          </w:p>
          <w:p w14:paraId="10923E91" w14:textId="43A9CA38" w:rsidR="00B10036" w:rsidRPr="006E26E4" w:rsidRDefault="00B10036" w:rsidP="00AD309C">
            <w:pPr>
              <w:pStyle w:val="ListParagraph"/>
              <w:numPr>
                <w:ilvl w:val="0"/>
                <w:numId w:val="365"/>
              </w:numPr>
              <w:rPr>
                <w:rFonts w:cs="Arial"/>
              </w:rPr>
            </w:pPr>
            <w:hyperlink w:anchor="_Total_Hip_Replacement" w:history="1">
              <w:r w:rsidRPr="006E26E4">
                <w:rPr>
                  <w:rStyle w:val="Hyperlink"/>
                  <w:rFonts w:cs="Arial"/>
                </w:rPr>
                <w:t>Total hip replacement</w:t>
              </w:r>
            </w:hyperlink>
            <w:r w:rsidR="002C7355" w:rsidRPr="006E26E4">
              <w:rPr>
                <w:rStyle w:val="Hyperlink"/>
                <w:rFonts w:cs="Arial"/>
              </w:rPr>
              <w:t xml:space="preserve"> </w:t>
            </w:r>
            <w:r w:rsidR="002C7355" w:rsidRPr="006E26E4">
              <w:rPr>
                <w:rFonts w:cs="Arial"/>
              </w:rPr>
              <w:t>(Hospital Volume Standard: 50)</w:t>
            </w:r>
          </w:p>
          <w:p w14:paraId="5576FE7E" w14:textId="4696DD98" w:rsidR="00B10036" w:rsidRPr="006E26E4" w:rsidRDefault="00B10036" w:rsidP="00AD309C">
            <w:pPr>
              <w:pStyle w:val="ListParagraph"/>
              <w:numPr>
                <w:ilvl w:val="0"/>
                <w:numId w:val="365"/>
              </w:numPr>
              <w:rPr>
                <w:rFonts w:cs="Arial"/>
              </w:rPr>
            </w:pPr>
            <w:hyperlink w:anchor="_Norwood_Procedure_Measure" w:history="1">
              <w:r w:rsidRPr="006E26E4">
                <w:rPr>
                  <w:rStyle w:val="Hyperlink"/>
                  <w:rFonts w:cs="Arial"/>
                </w:rPr>
                <w:t>Norwood procedure</w:t>
              </w:r>
            </w:hyperlink>
            <w:r w:rsidR="002C7355" w:rsidRPr="006E26E4">
              <w:rPr>
                <w:rStyle w:val="Hyperlink"/>
                <w:rFonts w:cs="Arial"/>
              </w:rPr>
              <w:t xml:space="preserve"> </w:t>
            </w:r>
            <w:r w:rsidR="002C7355" w:rsidRPr="006E26E4">
              <w:rPr>
                <w:rFonts w:cs="Arial"/>
              </w:rPr>
              <w:t>(Hospital Volume Standard: 8)</w:t>
            </w:r>
          </w:p>
          <w:p w14:paraId="20891F69" w14:textId="77777777" w:rsidR="00207D3B" w:rsidRDefault="00207D3B" w:rsidP="006E0344">
            <w:pPr>
              <w:rPr>
                <w:rFonts w:cs="Arial"/>
              </w:rPr>
            </w:pPr>
          </w:p>
          <w:p w14:paraId="15C16C76" w14:textId="374AE486" w:rsidR="00207D3B" w:rsidRPr="000F3D1F" w:rsidRDefault="00207D3B" w:rsidP="000F3D1F">
            <w:pPr>
              <w:rPr>
                <w:rFonts w:cs="Arial"/>
                <w:color w:val="000000"/>
              </w:rPr>
            </w:pPr>
            <w:r w:rsidRPr="00207D3B">
              <w:rPr>
                <w:rFonts w:cs="Arial"/>
                <w:color w:val="000000"/>
              </w:rPr>
              <w:t xml:space="preserve">When calculating total </w:t>
            </w:r>
            <w:r w:rsidRPr="00207D3B">
              <w:rPr>
                <w:rFonts w:cs="Arial"/>
                <w:b/>
                <w:color w:val="000000"/>
              </w:rPr>
              <w:t>hospital volume</w:t>
            </w:r>
            <w:r w:rsidR="006E26E4">
              <w:rPr>
                <w:rFonts w:cs="Arial"/>
                <w:color w:val="000000"/>
              </w:rPr>
              <w:t xml:space="preserve"> c</w:t>
            </w:r>
            <w:r w:rsidRPr="000F3D1F">
              <w:rPr>
                <w:rFonts w:cs="Arial"/>
                <w:color w:val="000000"/>
              </w:rPr>
              <w:t xml:space="preserve">ount the number of </w:t>
            </w:r>
            <w:r w:rsidRPr="000F3D1F">
              <w:rPr>
                <w:rFonts w:cs="Arial"/>
                <w:b/>
                <w:color w:val="000000"/>
              </w:rPr>
              <w:t>patients</w:t>
            </w:r>
            <w:r w:rsidR="00487493" w:rsidRPr="000F3D1F">
              <w:rPr>
                <w:rFonts w:cs="Arial"/>
                <w:b/>
                <w:color w:val="000000"/>
              </w:rPr>
              <w:t xml:space="preserve"> </w:t>
            </w:r>
            <w:r w:rsidRPr="000F3D1F">
              <w:rPr>
                <w:rFonts w:cs="Arial"/>
                <w:color w:val="000000"/>
              </w:rPr>
              <w:t xml:space="preserve">discharged from your </w:t>
            </w:r>
            <w:r w:rsidR="00261D05" w:rsidRPr="000F3D1F">
              <w:rPr>
                <w:rFonts w:cs="Arial"/>
                <w:color w:val="000000"/>
              </w:rPr>
              <w:t>hospital</w:t>
            </w:r>
            <w:r w:rsidRPr="000F3D1F">
              <w:rPr>
                <w:rFonts w:cs="Arial"/>
                <w:color w:val="000000"/>
              </w:rPr>
              <w:t xml:space="preserve"> within the reporting period with any one or more of the </w:t>
            </w:r>
            <w:r w:rsidR="001C7683" w:rsidRPr="000F3D1F">
              <w:rPr>
                <w:rFonts w:cs="Arial"/>
                <w:color w:val="000000"/>
              </w:rPr>
              <w:t xml:space="preserve">ICD-10 </w:t>
            </w:r>
            <w:r w:rsidRPr="000F3D1F">
              <w:rPr>
                <w:rFonts w:cs="Arial"/>
                <w:color w:val="000000"/>
              </w:rPr>
              <w:t xml:space="preserve">codes </w:t>
            </w:r>
            <w:r w:rsidR="00487493" w:rsidRPr="000F3D1F">
              <w:rPr>
                <w:rFonts w:cs="Arial"/>
                <w:color w:val="000000"/>
              </w:rPr>
              <w:t>or</w:t>
            </w:r>
            <w:r w:rsidR="0033157B" w:rsidRPr="000F3D1F">
              <w:rPr>
                <w:rFonts w:cs="Arial"/>
                <w:color w:val="000000"/>
              </w:rPr>
              <w:t xml:space="preserve"> CPT codes </w:t>
            </w:r>
            <w:r w:rsidR="00487493" w:rsidRPr="000F3D1F">
              <w:rPr>
                <w:rFonts w:cs="Arial"/>
                <w:color w:val="000000"/>
              </w:rPr>
              <w:t>(</w:t>
            </w:r>
            <w:r w:rsidR="00F57028" w:rsidRPr="006E26E4">
              <w:rPr>
                <w:rFonts w:cs="Arial"/>
                <w:lang w:eastAsia="ja-JP"/>
              </w:rPr>
              <w:t>for Total Hip Replacement, Total Knee Replacement, and Bariatric Surgery for Weight Loss</w:t>
            </w:r>
            <w:r w:rsidR="00487493" w:rsidRPr="000F3D1F">
              <w:rPr>
                <w:rFonts w:cs="Arial"/>
                <w:color w:val="000000"/>
              </w:rPr>
              <w:t xml:space="preserve">) </w:t>
            </w:r>
            <w:r w:rsidRPr="000F3D1F">
              <w:rPr>
                <w:rFonts w:cs="Arial"/>
                <w:color w:val="000000"/>
              </w:rPr>
              <w:t>specified for each</w:t>
            </w:r>
            <w:r w:rsidR="001C7683" w:rsidRPr="000F3D1F">
              <w:rPr>
                <w:rFonts w:cs="Arial"/>
                <w:color w:val="000000"/>
              </w:rPr>
              <w:t xml:space="preserve"> procedure, subject to the inclusion </w:t>
            </w:r>
            <w:r w:rsidRPr="000F3D1F">
              <w:rPr>
                <w:rFonts w:cs="Arial"/>
                <w:color w:val="000000"/>
              </w:rPr>
              <w:t>criteria below:</w:t>
            </w:r>
          </w:p>
          <w:p w14:paraId="386AB233" w14:textId="040EFC91" w:rsidR="00207D3B" w:rsidRPr="00207D3B" w:rsidRDefault="00207D3B" w:rsidP="00AD309C">
            <w:pPr>
              <w:pStyle w:val="ListParagraph"/>
              <w:numPr>
                <w:ilvl w:val="0"/>
                <w:numId w:val="100"/>
              </w:numPr>
              <w:rPr>
                <w:rFonts w:cs="Arial"/>
                <w:color w:val="000000"/>
              </w:rPr>
            </w:pPr>
            <w:r w:rsidRPr="00207D3B">
              <w:rPr>
                <w:rFonts w:cs="Arial"/>
                <w:lang w:eastAsia="ja-JP"/>
              </w:rPr>
              <w:t>Only the ICD-10 procedure</w:t>
            </w:r>
            <w:r w:rsidR="00487493">
              <w:rPr>
                <w:rFonts w:cs="Arial"/>
                <w:lang w:eastAsia="ja-JP"/>
              </w:rPr>
              <w:t>, CPT,</w:t>
            </w:r>
            <w:r w:rsidRPr="00207D3B">
              <w:rPr>
                <w:rFonts w:cs="Arial"/>
                <w:lang w:eastAsia="ja-JP"/>
              </w:rPr>
              <w:t xml:space="preserve"> and diagnosis codes provided by Leapfrog should be used to report on </w:t>
            </w:r>
            <w:r w:rsidR="00EF5567">
              <w:rPr>
                <w:rFonts w:cs="Arial"/>
                <w:lang w:eastAsia="ja-JP"/>
              </w:rPr>
              <w:t xml:space="preserve">the </w:t>
            </w:r>
            <w:r w:rsidRPr="00207D3B">
              <w:rPr>
                <w:rFonts w:cs="Arial"/>
                <w:lang w:eastAsia="ja-JP"/>
              </w:rPr>
              <w:t>questions in Section 3A</w:t>
            </w:r>
            <w:r w:rsidR="00BD0C2F">
              <w:rPr>
                <w:rFonts w:cs="Arial"/>
                <w:lang w:eastAsia="ja-JP"/>
              </w:rPr>
              <w:t>:</w:t>
            </w:r>
            <w:r w:rsidR="0098373D">
              <w:rPr>
                <w:rFonts w:cs="Arial"/>
                <w:lang w:eastAsia="ja-JP"/>
              </w:rPr>
              <w:t xml:space="preserve"> Hospital and Surgeon Volume</w:t>
            </w:r>
            <w:r w:rsidRPr="00207D3B">
              <w:rPr>
                <w:rFonts w:cs="Arial"/>
                <w:lang w:eastAsia="ja-JP"/>
              </w:rPr>
              <w:t>.</w:t>
            </w:r>
            <w:r w:rsidR="00AB76CC">
              <w:rPr>
                <w:rFonts w:cs="Arial"/>
                <w:lang w:eastAsia="ja-JP"/>
              </w:rPr>
              <w:t xml:space="preserve"> ICD-10 codes are provided below and are also available in an </w:t>
            </w:r>
            <w:r w:rsidR="0040556C">
              <w:rPr>
                <w:rFonts w:cs="Arial"/>
                <w:lang w:eastAsia="ja-JP"/>
              </w:rPr>
              <w:t>E</w:t>
            </w:r>
            <w:r w:rsidR="00AB76CC">
              <w:rPr>
                <w:rFonts w:cs="Arial"/>
                <w:lang w:eastAsia="ja-JP"/>
              </w:rPr>
              <w:t xml:space="preserve">xcel document on the </w:t>
            </w:r>
            <w:hyperlink r:id="rId227" w:history="1">
              <w:r w:rsidR="00AB76CC" w:rsidRPr="00684605">
                <w:rPr>
                  <w:rStyle w:val="Hyperlink"/>
                  <w:rFonts w:cs="Arial"/>
                  <w:lang w:eastAsia="ja-JP"/>
                </w:rPr>
                <w:t>Survey Materials webpage</w:t>
              </w:r>
            </w:hyperlink>
            <w:r w:rsidR="00AB76CC">
              <w:rPr>
                <w:rFonts w:cs="Arial"/>
                <w:lang w:eastAsia="ja-JP"/>
              </w:rPr>
              <w:t>. See Note 3 above for instructions on downloading CPT codes.</w:t>
            </w:r>
          </w:p>
          <w:p w14:paraId="7043255E" w14:textId="276700AD" w:rsidR="00207D3B" w:rsidRDefault="00207D3B" w:rsidP="00AD309C">
            <w:pPr>
              <w:pStyle w:val="ListParagraph"/>
              <w:numPr>
                <w:ilvl w:val="0"/>
                <w:numId w:val="100"/>
              </w:numPr>
              <w:rPr>
                <w:rFonts w:cs="Arial"/>
                <w:color w:val="000000"/>
              </w:rPr>
            </w:pPr>
            <w:r w:rsidRPr="00207D3B">
              <w:rPr>
                <w:rFonts w:cs="Arial"/>
                <w:color w:val="000000"/>
              </w:rPr>
              <w:t>For procedures that in</w:t>
            </w:r>
            <w:r w:rsidRPr="00755F58">
              <w:rPr>
                <w:rFonts w:cs="Arial"/>
                <w:color w:val="000000"/>
              </w:rPr>
              <w:t xml:space="preserve">clude </w:t>
            </w:r>
            <w:r w:rsidR="006277FC" w:rsidRPr="00755F58">
              <w:rPr>
                <w:rFonts w:cs="Arial"/>
                <w:color w:val="000000"/>
              </w:rPr>
              <w:t>TWO sets of codes</w:t>
            </w:r>
            <w:r w:rsidR="00487493">
              <w:rPr>
                <w:rFonts w:cs="Arial"/>
                <w:color w:val="000000"/>
              </w:rPr>
              <w:t xml:space="preserve"> (one set of procedure codes and one set of diagnosis codes)</w:t>
            </w:r>
            <w:r w:rsidRPr="00755F58">
              <w:rPr>
                <w:rFonts w:cs="Arial"/>
                <w:color w:val="000000"/>
              </w:rPr>
              <w:t xml:space="preserve">, both sets of codes must be used </w:t>
            </w:r>
            <w:r w:rsidR="001C7683" w:rsidRPr="00755F58">
              <w:rPr>
                <w:rFonts w:cs="Arial"/>
                <w:color w:val="000000"/>
              </w:rPr>
              <w:t>for</w:t>
            </w:r>
            <w:r w:rsidRPr="00755F58">
              <w:rPr>
                <w:rFonts w:cs="Arial"/>
                <w:color w:val="000000"/>
              </w:rPr>
              <w:t xml:space="preserve"> counting patient discharges</w:t>
            </w:r>
            <w:r w:rsidR="005407C3" w:rsidRPr="00755F58">
              <w:rPr>
                <w:rFonts w:cs="Arial"/>
                <w:color w:val="000000"/>
              </w:rPr>
              <w:t xml:space="preserve"> (e.g., </w:t>
            </w:r>
            <w:r w:rsidR="001C7683" w:rsidRPr="00755F58">
              <w:rPr>
                <w:rFonts w:cs="Arial"/>
                <w:color w:val="000000"/>
              </w:rPr>
              <w:t xml:space="preserve">at least one procedure code </w:t>
            </w:r>
            <w:r w:rsidR="001C7683" w:rsidRPr="006904F9">
              <w:rPr>
                <w:rFonts w:cs="Arial"/>
                <w:b/>
                <w:bCs/>
                <w:color w:val="000000"/>
              </w:rPr>
              <w:t>AND</w:t>
            </w:r>
            <w:r w:rsidR="001C7683" w:rsidRPr="00755F58">
              <w:rPr>
                <w:rFonts w:cs="Arial"/>
                <w:color w:val="000000"/>
              </w:rPr>
              <w:t xml:space="preserve"> one diagnosis code must be present).</w:t>
            </w:r>
          </w:p>
          <w:p w14:paraId="5AFD74FE" w14:textId="79D7165F" w:rsidR="00207D3B" w:rsidRPr="00207D3B" w:rsidRDefault="00DC04D2" w:rsidP="00AD309C">
            <w:pPr>
              <w:pStyle w:val="ListParagraph"/>
              <w:numPr>
                <w:ilvl w:val="0"/>
                <w:numId w:val="100"/>
              </w:numPr>
              <w:rPr>
                <w:rFonts w:cs="Arial"/>
                <w:color w:val="000000"/>
              </w:rPr>
            </w:pPr>
            <w:r>
              <w:rPr>
                <w:rFonts w:cs="Arial"/>
                <w:color w:val="000000"/>
              </w:rPr>
              <w:t>Except for</w:t>
            </w:r>
            <w:r w:rsidR="00B70395">
              <w:rPr>
                <w:rFonts w:cs="Arial"/>
                <w:color w:val="000000"/>
              </w:rPr>
              <w:t xml:space="preserve"> </w:t>
            </w:r>
            <w:r w:rsidR="00945284" w:rsidRPr="004D01BC">
              <w:rPr>
                <w:rFonts w:cs="Arial"/>
              </w:rPr>
              <w:t>b</w:t>
            </w:r>
            <w:r w:rsidR="001C7683" w:rsidRPr="004D01BC">
              <w:rPr>
                <w:rFonts w:cs="Arial"/>
              </w:rPr>
              <w:t>a</w:t>
            </w:r>
            <w:r w:rsidR="00945284" w:rsidRPr="004D01BC">
              <w:rPr>
                <w:rFonts w:cs="Arial"/>
              </w:rPr>
              <w:t>riatric surgery for weight l</w:t>
            </w:r>
            <w:r w:rsidR="001C7683" w:rsidRPr="004D01BC">
              <w:rPr>
                <w:rFonts w:cs="Arial"/>
              </w:rPr>
              <w:t>oss</w:t>
            </w:r>
            <w:r w:rsidR="004D01BC">
              <w:rPr>
                <w:rFonts w:cs="Arial"/>
              </w:rPr>
              <w:t xml:space="preserve"> (</w:t>
            </w:r>
            <w:r w:rsidR="00B70395">
              <w:rPr>
                <w:rFonts w:cs="Arial"/>
                <w:color w:val="000000"/>
              </w:rPr>
              <w:t xml:space="preserve">where the ICD-10 diagnosis code </w:t>
            </w:r>
            <w:r w:rsidR="001C7683">
              <w:rPr>
                <w:rFonts w:cs="Arial"/>
                <w:color w:val="000000"/>
              </w:rPr>
              <w:t>must be the primary diagnosis</w:t>
            </w:r>
            <w:r w:rsidR="004D01BC">
              <w:rPr>
                <w:rFonts w:cs="Arial"/>
                <w:color w:val="000000"/>
              </w:rPr>
              <w:t>)</w:t>
            </w:r>
            <w:r w:rsidR="001C7683">
              <w:rPr>
                <w:rFonts w:cs="Arial"/>
                <w:color w:val="000000"/>
              </w:rPr>
              <w:t xml:space="preserve"> </w:t>
            </w:r>
            <w:r w:rsidR="004D01BC" w:rsidRPr="00D51874">
              <w:rPr>
                <w:rFonts w:cs="Arial"/>
                <w:color w:val="000000"/>
              </w:rPr>
              <w:t xml:space="preserve">and total knee replacement and total hip replacement (where </w:t>
            </w:r>
            <w:r w:rsidR="001C7683" w:rsidRPr="00D51874">
              <w:rPr>
                <w:rFonts w:cs="Arial"/>
                <w:color w:val="000000"/>
              </w:rPr>
              <w:t>t</w:t>
            </w:r>
            <w:r w:rsidR="00207D3B" w:rsidRPr="00D51874">
              <w:rPr>
                <w:rFonts w:cs="Arial"/>
                <w:color w:val="000000"/>
              </w:rPr>
              <w:t xml:space="preserve">he </w:t>
            </w:r>
            <w:r w:rsidR="004D01BC" w:rsidRPr="00D51874">
              <w:rPr>
                <w:rFonts w:cs="Arial"/>
                <w:color w:val="000000"/>
              </w:rPr>
              <w:t>procedure code must be the primary procedure),</w:t>
            </w:r>
            <w:r w:rsidR="004D01BC">
              <w:rPr>
                <w:rFonts w:cs="Arial"/>
                <w:color w:val="000000"/>
              </w:rPr>
              <w:t xml:space="preserve"> </w:t>
            </w:r>
            <w:r w:rsidR="00207D3B" w:rsidRPr="00207D3B">
              <w:rPr>
                <w:rFonts w:cs="Arial"/>
              </w:rPr>
              <w:t>ICD-10 codes</w:t>
            </w:r>
            <w:r w:rsidR="00B70395">
              <w:rPr>
                <w:rFonts w:cs="Arial"/>
              </w:rPr>
              <w:t xml:space="preserve"> for the other procedures</w:t>
            </w:r>
            <w:r w:rsidR="00207D3B" w:rsidRPr="00207D3B">
              <w:rPr>
                <w:rFonts w:cs="Arial"/>
              </w:rPr>
              <w:t xml:space="preserve"> can appear in </w:t>
            </w:r>
            <w:r w:rsidR="001C7683">
              <w:rPr>
                <w:rFonts w:cs="Arial"/>
              </w:rPr>
              <w:t>ANY procedure field and ANY</w:t>
            </w:r>
            <w:r w:rsidR="00207D3B" w:rsidRPr="00207D3B">
              <w:rPr>
                <w:rFonts w:cs="Arial"/>
              </w:rPr>
              <w:t xml:space="preserve"> </w:t>
            </w:r>
            <w:r w:rsidR="001C7683">
              <w:rPr>
                <w:rFonts w:cs="Arial"/>
              </w:rPr>
              <w:t>diagnosis field</w:t>
            </w:r>
            <w:r w:rsidR="00207D3B" w:rsidRPr="00207D3B">
              <w:rPr>
                <w:rFonts w:cs="Arial"/>
              </w:rPr>
              <w:t>.</w:t>
            </w:r>
          </w:p>
          <w:p w14:paraId="2899AD12" w14:textId="6D56EE2B" w:rsidR="008D611A" w:rsidRPr="00D51874" w:rsidRDefault="00381072" w:rsidP="00AD309C">
            <w:pPr>
              <w:pStyle w:val="ListParagraph"/>
              <w:numPr>
                <w:ilvl w:val="0"/>
                <w:numId w:val="100"/>
              </w:numPr>
              <w:rPr>
                <w:rFonts w:cs="Arial"/>
              </w:rPr>
            </w:pPr>
            <w:r w:rsidRPr="00381072">
              <w:rPr>
                <w:rFonts w:cs="Arial"/>
                <w:color w:val="000000"/>
              </w:rPr>
              <w:t xml:space="preserve">Age restrictions apply – For </w:t>
            </w:r>
            <w:r w:rsidR="00F57028">
              <w:rPr>
                <w:rFonts w:cs="Arial"/>
                <w:color w:val="000000"/>
              </w:rPr>
              <w:t xml:space="preserve">the </w:t>
            </w:r>
            <w:r w:rsidRPr="00381072">
              <w:rPr>
                <w:rFonts w:cs="Arial"/>
                <w:color w:val="000000"/>
              </w:rPr>
              <w:t>Norwood procedure only include discharges for pediatric patients (ages 17 years and younger). For the remaining ten procedures, only include discharges for adult patients (ages 18 years and older).</w:t>
            </w:r>
          </w:p>
        </w:tc>
      </w:tr>
      <w:tr w:rsidR="00F12158" w14:paraId="75951E2A" w14:textId="77777777" w:rsidTr="00FB41BD">
        <w:trPr>
          <w:trHeight w:val="2160"/>
        </w:trPr>
        <w:tc>
          <w:tcPr>
            <w:tcW w:w="9360" w:type="dxa"/>
            <w:vAlign w:val="center"/>
          </w:tcPr>
          <w:p w14:paraId="0246C23F" w14:textId="2B142EB7" w:rsidR="00F12158" w:rsidRPr="00F12158" w:rsidRDefault="00F12158" w:rsidP="006E0344">
            <w:pPr>
              <w:rPr>
                <w:rFonts w:cs="Arial"/>
                <w:bCs/>
              </w:rPr>
            </w:pPr>
            <w:r w:rsidRPr="00F12158">
              <w:rPr>
                <w:rFonts w:cs="Arial"/>
                <w:b/>
              </w:rPr>
              <w:t xml:space="preserve">Question </w:t>
            </w:r>
            <w:r w:rsidR="00D51874">
              <w:rPr>
                <w:rFonts w:cs="Arial"/>
                <w:b/>
              </w:rPr>
              <w:t>#</w:t>
            </w:r>
            <w:r w:rsidRPr="00F12158">
              <w:rPr>
                <w:rFonts w:cs="Arial"/>
                <w:b/>
              </w:rPr>
              <w:t xml:space="preserve">4: </w:t>
            </w:r>
            <w:r w:rsidR="005B7CBC" w:rsidRPr="005B7CBC">
              <w:rPr>
                <w:rFonts w:cs="Arial"/>
                <w:iCs/>
                <w:snapToGrid w:val="0"/>
                <w:color w:val="000000"/>
              </w:rPr>
              <w:t>Does the total hospital volume for total knee replacement</w:t>
            </w:r>
            <w:r w:rsidR="002C7355">
              <w:rPr>
                <w:rFonts w:cs="Arial"/>
                <w:iCs/>
                <w:snapToGrid w:val="0"/>
                <w:color w:val="000000"/>
              </w:rPr>
              <w:t xml:space="preserve">, </w:t>
            </w:r>
            <w:r w:rsidR="005B7CBC" w:rsidRPr="005B7CBC">
              <w:rPr>
                <w:rFonts w:cs="Arial"/>
                <w:iCs/>
                <w:snapToGrid w:val="0"/>
                <w:color w:val="000000"/>
              </w:rPr>
              <w:t>total hip replacement</w:t>
            </w:r>
            <w:r w:rsidR="002C7355">
              <w:rPr>
                <w:rFonts w:cs="Arial"/>
                <w:iCs/>
                <w:snapToGrid w:val="0"/>
                <w:color w:val="000000"/>
              </w:rPr>
              <w:t xml:space="preserve">, </w:t>
            </w:r>
            <w:r w:rsidR="002C7355" w:rsidRPr="005B7CBC">
              <w:rPr>
                <w:rFonts w:cs="Arial"/>
                <w:iCs/>
                <w:snapToGrid w:val="0"/>
                <w:color w:val="000000"/>
              </w:rPr>
              <w:t>and/or</w:t>
            </w:r>
            <w:r w:rsidR="002C7355">
              <w:rPr>
                <w:rFonts w:cs="Arial"/>
                <w:iCs/>
                <w:snapToGrid w:val="0"/>
                <w:color w:val="000000"/>
              </w:rPr>
              <w:t xml:space="preserve"> bariatric surgery for weight loss</w:t>
            </w:r>
            <w:r w:rsidR="005B7CBC" w:rsidRPr="005B7CBC">
              <w:rPr>
                <w:rFonts w:cs="Arial"/>
                <w:iCs/>
                <w:snapToGrid w:val="0"/>
                <w:color w:val="000000"/>
              </w:rPr>
              <w:t xml:space="preserve"> reported on in question #3 above include procedures performed on an inpatient basis, outpatient basis, or both</w:t>
            </w:r>
            <w:r w:rsidR="00EA2AB4">
              <w:rPr>
                <w:rFonts w:cs="Arial"/>
                <w:iCs/>
                <w:snapToGrid w:val="0"/>
                <w:color w:val="000000"/>
              </w:rPr>
              <w:t>?</w:t>
            </w:r>
          </w:p>
          <w:p w14:paraId="6780F6FC" w14:textId="5D454E8B" w:rsidR="00F12158" w:rsidRPr="00F12158" w:rsidRDefault="00F12158" w:rsidP="00AD309C">
            <w:pPr>
              <w:pStyle w:val="ListParagraph"/>
              <w:numPr>
                <w:ilvl w:val="0"/>
                <w:numId w:val="101"/>
              </w:numPr>
              <w:rPr>
                <w:rFonts w:cs="Arial"/>
                <w:bCs/>
              </w:rPr>
            </w:pPr>
            <w:r w:rsidRPr="00F12158">
              <w:rPr>
                <w:rFonts w:cs="Arial"/>
                <w:bCs/>
              </w:rPr>
              <w:t xml:space="preserve">If your hospital only performs </w:t>
            </w:r>
            <w:r w:rsidR="007A4220" w:rsidRPr="005B7CBC">
              <w:rPr>
                <w:rFonts w:cs="Arial"/>
                <w:iCs/>
                <w:snapToGrid w:val="0"/>
                <w:color w:val="000000"/>
              </w:rPr>
              <w:t>total knee replacement</w:t>
            </w:r>
            <w:r w:rsidR="007A4220">
              <w:rPr>
                <w:rFonts w:cs="Arial"/>
                <w:iCs/>
                <w:snapToGrid w:val="0"/>
                <w:color w:val="000000"/>
              </w:rPr>
              <w:t xml:space="preserve">, </w:t>
            </w:r>
            <w:r w:rsidR="007A4220" w:rsidRPr="005B7CBC">
              <w:rPr>
                <w:rFonts w:cs="Arial"/>
                <w:iCs/>
                <w:snapToGrid w:val="0"/>
                <w:color w:val="000000"/>
              </w:rPr>
              <w:t>total hip replacement</w:t>
            </w:r>
            <w:r w:rsidR="007A4220">
              <w:rPr>
                <w:rFonts w:cs="Arial"/>
                <w:iCs/>
                <w:snapToGrid w:val="0"/>
                <w:color w:val="000000"/>
              </w:rPr>
              <w:t xml:space="preserve">, </w:t>
            </w:r>
            <w:r w:rsidR="007A4220" w:rsidRPr="005B7CBC">
              <w:rPr>
                <w:rFonts w:cs="Arial"/>
                <w:iCs/>
                <w:snapToGrid w:val="0"/>
                <w:color w:val="000000"/>
              </w:rPr>
              <w:t>and/or</w:t>
            </w:r>
            <w:r w:rsidR="007A4220">
              <w:rPr>
                <w:rFonts w:cs="Arial"/>
                <w:iCs/>
                <w:snapToGrid w:val="0"/>
                <w:color w:val="000000"/>
              </w:rPr>
              <w:t xml:space="preserve"> bariatric surgery for weight loss</w:t>
            </w:r>
            <w:r w:rsidR="007A4220" w:rsidRPr="005B7CBC">
              <w:rPr>
                <w:rFonts w:cs="Arial"/>
                <w:iCs/>
                <w:snapToGrid w:val="0"/>
                <w:color w:val="000000"/>
              </w:rPr>
              <w:t xml:space="preserve"> </w:t>
            </w:r>
            <w:r w:rsidRPr="00F12158">
              <w:rPr>
                <w:rFonts w:cs="Arial"/>
                <w:bCs/>
              </w:rPr>
              <w:t xml:space="preserve">on an inpatient basis, select inpatient. </w:t>
            </w:r>
          </w:p>
          <w:p w14:paraId="1B848186" w14:textId="0E2F7450" w:rsidR="00F12158" w:rsidRPr="00F12158" w:rsidRDefault="00F12158" w:rsidP="00AD309C">
            <w:pPr>
              <w:pStyle w:val="ListParagraph"/>
              <w:numPr>
                <w:ilvl w:val="0"/>
                <w:numId w:val="101"/>
              </w:numPr>
              <w:rPr>
                <w:rFonts w:cs="Arial"/>
                <w:bCs/>
              </w:rPr>
            </w:pPr>
            <w:r w:rsidRPr="00F12158">
              <w:rPr>
                <w:rFonts w:cs="Arial"/>
                <w:bCs/>
              </w:rPr>
              <w:t xml:space="preserve">If your hospital only performs </w:t>
            </w:r>
            <w:r w:rsidR="007A4220" w:rsidRPr="005B7CBC">
              <w:rPr>
                <w:rFonts w:cs="Arial"/>
                <w:iCs/>
                <w:snapToGrid w:val="0"/>
                <w:color w:val="000000"/>
              </w:rPr>
              <w:t>total knee replacement</w:t>
            </w:r>
            <w:r w:rsidR="007A4220">
              <w:rPr>
                <w:rFonts w:cs="Arial"/>
                <w:iCs/>
                <w:snapToGrid w:val="0"/>
                <w:color w:val="000000"/>
              </w:rPr>
              <w:t xml:space="preserve">, </w:t>
            </w:r>
            <w:r w:rsidR="007A4220" w:rsidRPr="005B7CBC">
              <w:rPr>
                <w:rFonts w:cs="Arial"/>
                <w:iCs/>
                <w:snapToGrid w:val="0"/>
                <w:color w:val="000000"/>
              </w:rPr>
              <w:t>total hip replacement</w:t>
            </w:r>
            <w:r w:rsidR="007A4220">
              <w:rPr>
                <w:rFonts w:cs="Arial"/>
                <w:iCs/>
                <w:snapToGrid w:val="0"/>
                <w:color w:val="000000"/>
              </w:rPr>
              <w:t xml:space="preserve">, </w:t>
            </w:r>
            <w:r w:rsidR="007A4220" w:rsidRPr="005B7CBC">
              <w:rPr>
                <w:rFonts w:cs="Arial"/>
                <w:iCs/>
                <w:snapToGrid w:val="0"/>
                <w:color w:val="000000"/>
              </w:rPr>
              <w:t>and/or</w:t>
            </w:r>
            <w:r w:rsidR="007A4220">
              <w:rPr>
                <w:rFonts w:cs="Arial"/>
                <w:iCs/>
                <w:snapToGrid w:val="0"/>
                <w:color w:val="000000"/>
              </w:rPr>
              <w:t xml:space="preserve"> bariatric surgery for weight loss</w:t>
            </w:r>
            <w:r w:rsidR="007A4220" w:rsidRPr="005B7CBC">
              <w:rPr>
                <w:rFonts w:cs="Arial"/>
                <w:iCs/>
                <w:snapToGrid w:val="0"/>
                <w:color w:val="000000"/>
              </w:rPr>
              <w:t xml:space="preserve"> </w:t>
            </w:r>
            <w:r w:rsidRPr="00F12158">
              <w:rPr>
                <w:rFonts w:cs="Arial"/>
                <w:bCs/>
              </w:rPr>
              <w:t>on an outpatient basis, select outpatient.</w:t>
            </w:r>
          </w:p>
          <w:p w14:paraId="454B51FD" w14:textId="4E3CE98F" w:rsidR="00FB41BD" w:rsidRPr="00FB41BD" w:rsidRDefault="00F12158" w:rsidP="00AD309C">
            <w:pPr>
              <w:pStyle w:val="ListParagraph"/>
              <w:numPr>
                <w:ilvl w:val="0"/>
                <w:numId w:val="101"/>
              </w:numPr>
              <w:rPr>
                <w:rFonts w:cs="Arial"/>
                <w:b/>
              </w:rPr>
            </w:pPr>
            <w:r w:rsidRPr="00F12158">
              <w:rPr>
                <w:rFonts w:cs="Arial"/>
                <w:bCs/>
              </w:rPr>
              <w:t>If your hospital</w:t>
            </w:r>
            <w:r w:rsidR="003B0BBD">
              <w:rPr>
                <w:rFonts w:cs="Arial"/>
                <w:bCs/>
              </w:rPr>
              <w:t xml:space="preserve"> performs</w:t>
            </w:r>
            <w:r w:rsidRPr="00F12158">
              <w:rPr>
                <w:rFonts w:cs="Arial"/>
                <w:bCs/>
              </w:rPr>
              <w:t xml:space="preserve"> </w:t>
            </w:r>
            <w:r w:rsidR="007A4220" w:rsidRPr="005B7CBC">
              <w:rPr>
                <w:rFonts w:cs="Arial"/>
                <w:iCs/>
                <w:snapToGrid w:val="0"/>
                <w:color w:val="000000"/>
              </w:rPr>
              <w:t>total knee replacement</w:t>
            </w:r>
            <w:r w:rsidR="007A4220">
              <w:rPr>
                <w:rFonts w:cs="Arial"/>
                <w:iCs/>
                <w:snapToGrid w:val="0"/>
                <w:color w:val="000000"/>
              </w:rPr>
              <w:t xml:space="preserve">, </w:t>
            </w:r>
            <w:r w:rsidR="007A4220" w:rsidRPr="005B7CBC">
              <w:rPr>
                <w:rFonts w:cs="Arial"/>
                <w:iCs/>
                <w:snapToGrid w:val="0"/>
                <w:color w:val="000000"/>
              </w:rPr>
              <w:t>total hip replacement</w:t>
            </w:r>
            <w:r w:rsidR="007A4220">
              <w:rPr>
                <w:rFonts w:cs="Arial"/>
                <w:iCs/>
                <w:snapToGrid w:val="0"/>
                <w:color w:val="000000"/>
              </w:rPr>
              <w:t xml:space="preserve">, </w:t>
            </w:r>
            <w:r w:rsidR="007A4220" w:rsidRPr="005B7CBC">
              <w:rPr>
                <w:rFonts w:cs="Arial"/>
                <w:iCs/>
                <w:snapToGrid w:val="0"/>
                <w:color w:val="000000"/>
              </w:rPr>
              <w:t>and/or</w:t>
            </w:r>
            <w:r w:rsidR="007A4220">
              <w:rPr>
                <w:rFonts w:cs="Arial"/>
                <w:iCs/>
                <w:snapToGrid w:val="0"/>
                <w:color w:val="000000"/>
              </w:rPr>
              <w:t xml:space="preserve"> bariatric surgery for weight loss</w:t>
            </w:r>
            <w:r w:rsidR="007A4220" w:rsidRPr="005B7CBC">
              <w:rPr>
                <w:rFonts w:cs="Arial"/>
                <w:iCs/>
                <w:snapToGrid w:val="0"/>
                <w:color w:val="000000"/>
              </w:rPr>
              <w:t xml:space="preserve"> </w:t>
            </w:r>
            <w:r w:rsidRPr="00F12158">
              <w:rPr>
                <w:rFonts w:cs="Arial"/>
                <w:bCs/>
              </w:rPr>
              <w:t>on both an inpatient and outpatient basis, select both</w:t>
            </w:r>
            <w:r w:rsidR="007042A5">
              <w:rPr>
                <w:rFonts w:cs="Arial"/>
                <w:bCs/>
              </w:rPr>
              <w:t xml:space="preserve"> (inpatient and outpatient)</w:t>
            </w:r>
            <w:r w:rsidRPr="00F12158">
              <w:rPr>
                <w:rFonts w:cs="Arial"/>
                <w:bCs/>
              </w:rPr>
              <w:t>.</w:t>
            </w:r>
            <w:r w:rsidRPr="00F12158">
              <w:rPr>
                <w:rFonts w:cs="Arial"/>
                <w:b/>
              </w:rPr>
              <w:t xml:space="preserve"> </w:t>
            </w:r>
          </w:p>
        </w:tc>
      </w:tr>
      <w:tr w:rsidR="007D11A4" w14:paraId="72CE1786" w14:textId="77777777" w:rsidTr="005317E8">
        <w:trPr>
          <w:trHeight w:val="4320"/>
        </w:trPr>
        <w:tc>
          <w:tcPr>
            <w:tcW w:w="9360" w:type="dxa"/>
            <w:vAlign w:val="center"/>
          </w:tcPr>
          <w:p w14:paraId="660801FC" w14:textId="186A603C" w:rsidR="007D11A4" w:rsidRDefault="007D11A4" w:rsidP="006E0344">
            <w:pPr>
              <w:rPr>
                <w:rFonts w:cs="Arial"/>
              </w:rPr>
            </w:pPr>
            <w:r>
              <w:rPr>
                <w:rFonts w:cs="Arial"/>
                <w:b/>
              </w:rPr>
              <w:lastRenderedPageBreak/>
              <w:t xml:space="preserve">Question </w:t>
            </w:r>
            <w:r w:rsidR="00D51874">
              <w:rPr>
                <w:rFonts w:cs="Arial"/>
                <w:b/>
              </w:rPr>
              <w:t>#</w:t>
            </w:r>
            <w:r w:rsidR="00F12158">
              <w:rPr>
                <w:rFonts w:cs="Arial"/>
                <w:b/>
              </w:rPr>
              <w:t>5</w:t>
            </w:r>
            <w:r>
              <w:rPr>
                <w:rFonts w:cs="Arial"/>
                <w:b/>
              </w:rPr>
              <w:t xml:space="preserve">: </w:t>
            </w:r>
            <w:r w:rsidRPr="007D11A4">
              <w:rPr>
                <w:rFonts w:cs="Arial"/>
              </w:rPr>
              <w:t xml:space="preserve">Does your hospital’s privileging process include the surgeon meeting or exceeding the minimum </w:t>
            </w:r>
            <w:r w:rsidR="00BD0C2F">
              <w:rPr>
                <w:rFonts w:cs="Arial"/>
              </w:rPr>
              <w:t xml:space="preserve">annual </w:t>
            </w:r>
            <w:r w:rsidRPr="007D11A4">
              <w:rPr>
                <w:rFonts w:cs="Arial"/>
              </w:rPr>
              <w:t>surgeon volume standard listed below?</w:t>
            </w:r>
          </w:p>
          <w:p w14:paraId="19997467" w14:textId="77777777" w:rsidR="006E26E4" w:rsidRDefault="007D11A4" w:rsidP="00AD309C">
            <w:pPr>
              <w:pStyle w:val="ListParagraph"/>
              <w:numPr>
                <w:ilvl w:val="0"/>
                <w:numId w:val="366"/>
              </w:numPr>
              <w:rPr>
                <w:rFonts w:cs="Arial"/>
              </w:rPr>
            </w:pPr>
            <w:r>
              <w:rPr>
                <w:rFonts w:cs="Arial"/>
              </w:rPr>
              <w:t>Carotid endarterectomy</w:t>
            </w:r>
            <w:r w:rsidR="00481FA7">
              <w:rPr>
                <w:rFonts w:cs="Arial"/>
              </w:rPr>
              <w:t xml:space="preserve">: </w:t>
            </w:r>
            <w:r w:rsidR="000825E3">
              <w:rPr>
                <w:rFonts w:cs="Arial"/>
              </w:rPr>
              <w:t xml:space="preserve">10 </w:t>
            </w:r>
          </w:p>
          <w:p w14:paraId="7370CC23" w14:textId="7BD7E9C6" w:rsidR="006E26E4" w:rsidRDefault="007D11A4" w:rsidP="00AD309C">
            <w:pPr>
              <w:pStyle w:val="ListParagraph"/>
              <w:numPr>
                <w:ilvl w:val="0"/>
                <w:numId w:val="366"/>
              </w:numPr>
              <w:rPr>
                <w:rFonts w:cs="Arial"/>
              </w:rPr>
            </w:pPr>
            <w:r>
              <w:rPr>
                <w:rFonts w:cs="Arial"/>
              </w:rPr>
              <w:t>Mitral valve repair and replacement</w:t>
            </w:r>
            <w:r w:rsidR="00481FA7">
              <w:rPr>
                <w:rFonts w:cs="Arial"/>
              </w:rPr>
              <w:t xml:space="preserve">: </w:t>
            </w:r>
            <w:r w:rsidR="000825E3">
              <w:rPr>
                <w:rFonts w:cs="Arial"/>
              </w:rPr>
              <w:t xml:space="preserve">20 </w:t>
            </w:r>
          </w:p>
          <w:p w14:paraId="421A7FB3" w14:textId="25304465" w:rsidR="006E26E4" w:rsidRDefault="007D11A4" w:rsidP="00AD309C">
            <w:pPr>
              <w:pStyle w:val="ListParagraph"/>
              <w:numPr>
                <w:ilvl w:val="0"/>
                <w:numId w:val="366"/>
              </w:numPr>
              <w:rPr>
                <w:rFonts w:cs="Arial"/>
              </w:rPr>
            </w:pPr>
            <w:r>
              <w:rPr>
                <w:rFonts w:cs="Arial"/>
              </w:rPr>
              <w:t xml:space="preserve">Open aortic </w:t>
            </w:r>
            <w:r w:rsidR="005407C3">
              <w:rPr>
                <w:rFonts w:cs="Arial"/>
              </w:rPr>
              <w:t>procedures</w:t>
            </w:r>
            <w:r w:rsidR="00481FA7">
              <w:rPr>
                <w:rFonts w:cs="Arial"/>
              </w:rPr>
              <w:t xml:space="preserve">: </w:t>
            </w:r>
            <w:r w:rsidR="005407C3">
              <w:rPr>
                <w:rFonts w:cs="Arial"/>
              </w:rPr>
              <w:t>7</w:t>
            </w:r>
            <w:r w:rsidR="000825E3">
              <w:rPr>
                <w:rFonts w:cs="Arial"/>
              </w:rPr>
              <w:t xml:space="preserve"> </w:t>
            </w:r>
          </w:p>
          <w:p w14:paraId="5AE36C60" w14:textId="47BCAD15" w:rsidR="006E26E4" w:rsidRDefault="007D11A4" w:rsidP="00AD309C">
            <w:pPr>
              <w:pStyle w:val="ListParagraph"/>
              <w:numPr>
                <w:ilvl w:val="0"/>
                <w:numId w:val="366"/>
              </w:numPr>
              <w:rPr>
                <w:rFonts w:cs="Arial"/>
              </w:rPr>
            </w:pPr>
            <w:r>
              <w:rPr>
                <w:rFonts w:cs="Arial"/>
              </w:rPr>
              <w:t>Lung resection for cancer</w:t>
            </w:r>
            <w:r w:rsidR="00481FA7">
              <w:rPr>
                <w:rFonts w:cs="Arial"/>
              </w:rPr>
              <w:t xml:space="preserve">: </w:t>
            </w:r>
            <w:r w:rsidR="000825E3">
              <w:rPr>
                <w:rFonts w:cs="Arial"/>
              </w:rPr>
              <w:t xml:space="preserve">15 </w:t>
            </w:r>
          </w:p>
          <w:p w14:paraId="6EB1279D" w14:textId="2C48E907" w:rsidR="006E26E4" w:rsidRDefault="007D11A4" w:rsidP="00AD309C">
            <w:pPr>
              <w:pStyle w:val="ListParagraph"/>
              <w:numPr>
                <w:ilvl w:val="0"/>
                <w:numId w:val="366"/>
              </w:numPr>
              <w:rPr>
                <w:rFonts w:cs="Arial"/>
              </w:rPr>
            </w:pPr>
            <w:r>
              <w:rPr>
                <w:rFonts w:cs="Arial"/>
              </w:rPr>
              <w:t>Esophageal resection for cancer</w:t>
            </w:r>
            <w:r w:rsidR="00481FA7">
              <w:rPr>
                <w:rFonts w:cs="Arial"/>
              </w:rPr>
              <w:t xml:space="preserve">: </w:t>
            </w:r>
            <w:r w:rsidR="000825E3">
              <w:rPr>
                <w:rFonts w:cs="Arial"/>
              </w:rPr>
              <w:t xml:space="preserve">7 </w:t>
            </w:r>
          </w:p>
          <w:p w14:paraId="2922EF82" w14:textId="042088B0" w:rsidR="006E26E4" w:rsidRDefault="007D11A4" w:rsidP="00AD309C">
            <w:pPr>
              <w:pStyle w:val="ListParagraph"/>
              <w:numPr>
                <w:ilvl w:val="0"/>
                <w:numId w:val="366"/>
              </w:numPr>
              <w:rPr>
                <w:rFonts w:cs="Arial"/>
              </w:rPr>
            </w:pPr>
            <w:r>
              <w:rPr>
                <w:rFonts w:cs="Arial"/>
              </w:rPr>
              <w:t>Pancreatic resection for cancer</w:t>
            </w:r>
            <w:r w:rsidR="00481FA7">
              <w:rPr>
                <w:rFonts w:cs="Arial"/>
              </w:rPr>
              <w:t xml:space="preserve">: </w:t>
            </w:r>
            <w:r w:rsidR="000825E3">
              <w:rPr>
                <w:rFonts w:cs="Arial"/>
              </w:rPr>
              <w:t xml:space="preserve">10 </w:t>
            </w:r>
          </w:p>
          <w:p w14:paraId="614F5195" w14:textId="6F2884ED" w:rsidR="006E26E4" w:rsidRDefault="007D11A4" w:rsidP="00AD309C">
            <w:pPr>
              <w:pStyle w:val="ListParagraph"/>
              <w:numPr>
                <w:ilvl w:val="0"/>
                <w:numId w:val="366"/>
              </w:numPr>
              <w:rPr>
                <w:rFonts w:cs="Arial"/>
              </w:rPr>
            </w:pPr>
            <w:r>
              <w:rPr>
                <w:rFonts w:cs="Arial"/>
              </w:rPr>
              <w:t>Rectal cancer surgery</w:t>
            </w:r>
            <w:r w:rsidR="00481FA7">
              <w:rPr>
                <w:rFonts w:cs="Arial"/>
              </w:rPr>
              <w:t xml:space="preserve">: </w:t>
            </w:r>
            <w:r w:rsidR="000825E3">
              <w:rPr>
                <w:rFonts w:cs="Arial"/>
              </w:rPr>
              <w:t xml:space="preserve">6 </w:t>
            </w:r>
          </w:p>
          <w:p w14:paraId="5C410001" w14:textId="008072C2" w:rsidR="00A64DE7" w:rsidRDefault="007D11A4" w:rsidP="00AD309C">
            <w:pPr>
              <w:pStyle w:val="ListParagraph"/>
              <w:numPr>
                <w:ilvl w:val="0"/>
                <w:numId w:val="366"/>
              </w:numPr>
              <w:rPr>
                <w:rFonts w:cs="Arial"/>
              </w:rPr>
            </w:pPr>
            <w:r>
              <w:rPr>
                <w:rFonts w:cs="Arial"/>
              </w:rPr>
              <w:t>Bariatric surgery for weight loss</w:t>
            </w:r>
            <w:r w:rsidR="00481FA7">
              <w:rPr>
                <w:rFonts w:cs="Arial"/>
              </w:rPr>
              <w:t xml:space="preserve">: </w:t>
            </w:r>
            <w:r w:rsidR="000825E3">
              <w:rPr>
                <w:rFonts w:cs="Arial"/>
              </w:rPr>
              <w:t>20</w:t>
            </w:r>
          </w:p>
          <w:p w14:paraId="44AA0FF0" w14:textId="77777777" w:rsidR="00A64DE7" w:rsidRPr="006E26E4" w:rsidRDefault="00A64DE7" w:rsidP="00AD309C">
            <w:pPr>
              <w:pStyle w:val="ListParagraph"/>
              <w:numPr>
                <w:ilvl w:val="0"/>
                <w:numId w:val="366"/>
              </w:numPr>
              <w:rPr>
                <w:rFonts w:cs="Arial"/>
              </w:rPr>
            </w:pPr>
            <w:r w:rsidRPr="006E26E4">
              <w:rPr>
                <w:rFonts w:cs="Arial"/>
              </w:rPr>
              <w:t>Total knee replacement: 25</w:t>
            </w:r>
          </w:p>
          <w:p w14:paraId="4B324167" w14:textId="77777777" w:rsidR="00A64DE7" w:rsidRPr="006E26E4" w:rsidRDefault="00A64DE7" w:rsidP="00AD309C">
            <w:pPr>
              <w:pStyle w:val="ListParagraph"/>
              <w:numPr>
                <w:ilvl w:val="0"/>
                <w:numId w:val="366"/>
              </w:numPr>
              <w:rPr>
                <w:rFonts w:cs="Arial"/>
              </w:rPr>
            </w:pPr>
            <w:r w:rsidRPr="006E26E4">
              <w:rPr>
                <w:rFonts w:cs="Arial"/>
              </w:rPr>
              <w:t>Total hip replacement: 25</w:t>
            </w:r>
          </w:p>
          <w:p w14:paraId="6203F6BD" w14:textId="77777777" w:rsidR="00A64DE7" w:rsidRPr="006E26E4" w:rsidRDefault="00A64DE7" w:rsidP="00AD309C">
            <w:pPr>
              <w:pStyle w:val="ListParagraph"/>
              <w:numPr>
                <w:ilvl w:val="0"/>
                <w:numId w:val="366"/>
              </w:numPr>
              <w:rPr>
                <w:rFonts w:cs="Arial"/>
              </w:rPr>
            </w:pPr>
            <w:r w:rsidRPr="006E26E4">
              <w:rPr>
                <w:rFonts w:cs="Arial"/>
              </w:rPr>
              <w:t>Norwood procedure: 5</w:t>
            </w:r>
          </w:p>
          <w:p w14:paraId="4D1DA732" w14:textId="77777777" w:rsidR="007D11A4" w:rsidRPr="007D11A4" w:rsidRDefault="007D11A4" w:rsidP="006E0344">
            <w:pPr>
              <w:rPr>
                <w:rFonts w:cs="Arial"/>
              </w:rPr>
            </w:pPr>
          </w:p>
          <w:p w14:paraId="02A0EDC4" w14:textId="2A57EE13" w:rsidR="008D611A" w:rsidRPr="00686FCE" w:rsidRDefault="007D11A4" w:rsidP="006E0344">
            <w:pPr>
              <w:rPr>
                <w:rFonts w:cs="Arial"/>
              </w:rPr>
            </w:pPr>
            <w:r w:rsidRPr="006C09FD">
              <w:rPr>
                <w:rFonts w:cs="Arial"/>
              </w:rPr>
              <w:t xml:space="preserve">When determining whether surgeons have met or exceeded Leapfrog’s minimum </w:t>
            </w:r>
            <w:r w:rsidR="00BD0C2F" w:rsidRPr="006C09FD">
              <w:rPr>
                <w:rFonts w:cs="Arial"/>
              </w:rPr>
              <w:t xml:space="preserve">annual </w:t>
            </w:r>
            <w:r w:rsidRPr="006C09FD">
              <w:rPr>
                <w:rFonts w:cs="Arial"/>
              </w:rPr>
              <w:t>surgeon volume standards for the purposes of privileging, only refer to the ICD-10 procedure codes</w:t>
            </w:r>
            <w:r w:rsidR="0033157B" w:rsidRPr="006C09FD">
              <w:rPr>
                <w:rFonts w:cs="Arial"/>
              </w:rPr>
              <w:t xml:space="preserve"> and CPT codes</w:t>
            </w:r>
            <w:r w:rsidR="00B74069" w:rsidRPr="006C09FD">
              <w:rPr>
                <w:rFonts w:cs="Arial"/>
              </w:rPr>
              <w:t xml:space="preserve"> (</w:t>
            </w:r>
            <w:r w:rsidR="007A4220">
              <w:rPr>
                <w:rFonts w:cs="Arial"/>
                <w:lang w:eastAsia="ja-JP"/>
              </w:rPr>
              <w:t>for Total Hip Replacement, Total Knee Replacement, and Bariatric Surgery for Weight Loss</w:t>
            </w:r>
            <w:r w:rsidR="00B74069" w:rsidRPr="006C09FD">
              <w:rPr>
                <w:rFonts w:cs="Arial"/>
              </w:rPr>
              <w:t>)</w:t>
            </w:r>
            <w:r w:rsidR="006C09FD" w:rsidRPr="006C09FD">
              <w:rPr>
                <w:rFonts w:cs="Arial"/>
              </w:rPr>
              <w:t xml:space="preserve"> – </w:t>
            </w:r>
            <w:r w:rsidR="006C09FD" w:rsidRPr="006C09FD">
              <w:rPr>
                <w:rFonts w:cs="Arial"/>
                <w:b/>
                <w:bCs/>
              </w:rPr>
              <w:t>diagnosis</w:t>
            </w:r>
            <w:r w:rsidR="006C09FD" w:rsidRPr="006C09FD">
              <w:rPr>
                <w:rFonts w:cs="Arial"/>
              </w:rPr>
              <w:t xml:space="preserve"> codes can be ignored. </w:t>
            </w:r>
          </w:p>
        </w:tc>
      </w:tr>
    </w:tbl>
    <w:p w14:paraId="067C83EE" w14:textId="77777777" w:rsidR="00AF3C38" w:rsidRPr="00B647A1" w:rsidRDefault="00AF3C38">
      <w:pPr>
        <w:rPr>
          <w:sz w:val="16"/>
          <w:szCs w:val="16"/>
        </w:rPr>
      </w:pPr>
    </w:p>
    <w:tbl>
      <w:tblPr>
        <w:tblStyle w:val="TableGrid"/>
        <w:tblW w:w="0" w:type="auto"/>
        <w:tblLook w:val="04A0" w:firstRow="1" w:lastRow="0" w:firstColumn="1" w:lastColumn="0" w:noHBand="0" w:noVBand="1"/>
      </w:tblPr>
      <w:tblGrid>
        <w:gridCol w:w="9350"/>
      </w:tblGrid>
      <w:tr w:rsidR="002D4C04" w14:paraId="26035CCF" w14:textId="77777777" w:rsidTr="00F16E4B">
        <w:trPr>
          <w:trHeight w:val="288"/>
        </w:trPr>
        <w:tc>
          <w:tcPr>
            <w:tcW w:w="9350" w:type="dxa"/>
            <w:vAlign w:val="center"/>
          </w:tcPr>
          <w:p w14:paraId="1FAF6005" w14:textId="0ED2ED3B" w:rsidR="002D4C04" w:rsidRPr="00B647A1" w:rsidRDefault="002D4C04" w:rsidP="006E0344">
            <w:pPr>
              <w:rPr>
                <w:rFonts w:cs="Arial"/>
                <w:b/>
                <w:sz w:val="16"/>
                <w:szCs w:val="16"/>
              </w:rPr>
            </w:pPr>
            <w:r w:rsidRPr="002D4C04">
              <w:rPr>
                <w:rFonts w:cs="Arial"/>
                <w:b/>
              </w:rPr>
              <w:t xml:space="preserve">Source: </w:t>
            </w:r>
            <w:r w:rsidRPr="002D4C04">
              <w:rPr>
                <w:rFonts w:cs="Arial"/>
                <w:bCs/>
              </w:rPr>
              <w:t>The Society of Thoracic Surgeons (STS)</w:t>
            </w:r>
          </w:p>
        </w:tc>
      </w:tr>
      <w:tr w:rsidR="006556E2" w14:paraId="2F389018" w14:textId="77777777" w:rsidTr="00F16E4B">
        <w:trPr>
          <w:trHeight w:val="576"/>
        </w:trPr>
        <w:tc>
          <w:tcPr>
            <w:tcW w:w="9350" w:type="dxa"/>
            <w:vAlign w:val="center"/>
          </w:tcPr>
          <w:p w14:paraId="4C352E28" w14:textId="16F12035" w:rsidR="008D611A" w:rsidRPr="00F16E4B" w:rsidRDefault="006556E2" w:rsidP="006E0344">
            <w:pPr>
              <w:rPr>
                <w:rFonts w:cs="Arial"/>
                <w:b/>
                <w:snapToGrid w:val="0"/>
              </w:rPr>
            </w:pPr>
            <w:r w:rsidRPr="009A5185">
              <w:rPr>
                <w:rFonts w:cs="Arial"/>
                <w:b/>
                <w:snapToGrid w:val="0"/>
              </w:rPr>
              <w:t>Reporting Period:</w:t>
            </w:r>
            <w:r>
              <w:rPr>
                <w:rFonts w:cs="Arial"/>
                <w:b/>
                <w:snapToGrid w:val="0"/>
              </w:rPr>
              <w:t xml:space="preserve"> </w:t>
            </w:r>
            <w:r w:rsidR="005359D6" w:rsidRPr="002F5005">
              <w:rPr>
                <w:rFonts w:cstheme="minorHAnsi"/>
                <w:color w:val="1D1C1D"/>
                <w:shd w:val="clear" w:color="auto" w:fill="FFFFFF"/>
              </w:rPr>
              <w:t xml:space="preserve">Latest </w:t>
            </w:r>
            <w:r w:rsidR="005359D6" w:rsidRPr="002F5005">
              <w:rPr>
                <w:rFonts w:cstheme="minorHAnsi"/>
                <w:b/>
                <w:bCs/>
                <w:color w:val="1D1C1D"/>
                <w:shd w:val="clear" w:color="auto" w:fill="FFFFFF"/>
              </w:rPr>
              <w:t>36-month</w:t>
            </w:r>
            <w:r w:rsidR="005359D6" w:rsidRPr="002F5005">
              <w:rPr>
                <w:rFonts w:cstheme="minorHAnsi"/>
                <w:color w:val="1D1C1D"/>
                <w:shd w:val="clear" w:color="auto" w:fill="FFFFFF"/>
              </w:rPr>
              <w:t xml:space="preserve"> report from </w:t>
            </w:r>
            <w:r w:rsidR="005359D6" w:rsidRPr="002F5005">
              <w:rPr>
                <w:rFonts w:cstheme="minorHAnsi"/>
                <w:color w:val="000000"/>
                <w:shd w:val="clear" w:color="auto" w:fill="FFFFFF"/>
              </w:rPr>
              <w:t>Society of Thoracic Surgeons (STS)</w:t>
            </w:r>
            <w:r w:rsidR="005359D6" w:rsidRPr="002F5005">
              <w:rPr>
                <w:rFonts w:cstheme="minorHAnsi"/>
                <w:color w:val="1D1C1D"/>
                <w:shd w:val="clear" w:color="auto" w:fill="FFFFFF"/>
              </w:rPr>
              <w:t xml:space="preserve"> Adult Cardiac Surgery Database (ACSD) for the </w:t>
            </w:r>
            <w:r w:rsidR="005359D6" w:rsidRPr="002F5005">
              <w:rPr>
                <w:rFonts w:cstheme="minorHAnsi"/>
                <w:b/>
                <w:bCs/>
                <w:color w:val="1D1C1D"/>
                <w:shd w:val="clear" w:color="auto" w:fill="FFFFFF"/>
              </w:rPr>
              <w:t>Mitral Valve Repair/Replacement Composite Score</w:t>
            </w:r>
            <w:r w:rsidR="00F16E4B">
              <w:rPr>
                <w:rFonts w:cstheme="minorHAnsi"/>
                <w:b/>
                <w:bCs/>
                <w:color w:val="1D1C1D"/>
                <w:shd w:val="clear" w:color="auto" w:fill="FFFFFF"/>
              </w:rPr>
              <w:t>.</w:t>
            </w:r>
          </w:p>
        </w:tc>
      </w:tr>
      <w:tr w:rsidR="00704124" w14:paraId="187C812B" w14:textId="77777777" w:rsidTr="00D36222">
        <w:trPr>
          <w:trHeight w:val="1584"/>
        </w:trPr>
        <w:tc>
          <w:tcPr>
            <w:tcW w:w="9350" w:type="dxa"/>
            <w:vAlign w:val="center"/>
          </w:tcPr>
          <w:p w14:paraId="28478D23" w14:textId="0E457574" w:rsidR="00704124" w:rsidRDefault="00704124" w:rsidP="006E0344">
            <w:pPr>
              <w:rPr>
                <w:rFonts w:cs="Arial"/>
                <w:snapToGrid w:val="0"/>
                <w:color w:val="000000"/>
              </w:rPr>
            </w:pPr>
            <w:r w:rsidRPr="00704124">
              <w:rPr>
                <w:rFonts w:cs="Arial"/>
                <w:b/>
              </w:rPr>
              <w:t xml:space="preserve">Question </w:t>
            </w:r>
            <w:r w:rsidR="00D51874">
              <w:rPr>
                <w:rFonts w:cs="Arial"/>
                <w:b/>
              </w:rPr>
              <w:t>#</w:t>
            </w:r>
            <w:r w:rsidR="00F95A07">
              <w:rPr>
                <w:rFonts w:cs="Arial"/>
                <w:b/>
              </w:rPr>
              <w:t>6</w:t>
            </w:r>
            <w:r w:rsidRPr="00704124">
              <w:rPr>
                <w:rFonts w:cs="Arial"/>
                <w:b/>
              </w:rPr>
              <w:t>:</w:t>
            </w:r>
            <w:r>
              <w:rPr>
                <w:rFonts w:cs="Arial"/>
                <w:b/>
              </w:rPr>
              <w:t xml:space="preserve"> </w:t>
            </w:r>
            <w:r>
              <w:rPr>
                <w:rFonts w:cs="Arial"/>
                <w:snapToGrid w:val="0"/>
                <w:color w:val="000000"/>
              </w:rPr>
              <w:t>D</w:t>
            </w:r>
            <w:r w:rsidRPr="005D2B76">
              <w:rPr>
                <w:rFonts w:cs="Arial"/>
                <w:snapToGrid w:val="0"/>
                <w:color w:val="000000"/>
              </w:rPr>
              <w:t xml:space="preserve">oes your hospital participate in the </w:t>
            </w:r>
            <w:hyperlink r:id="rId228" w:history="1">
              <w:r w:rsidRPr="005D2B76">
                <w:rPr>
                  <w:rStyle w:val="Hyperlink"/>
                  <w:rFonts w:cs="Arial"/>
                  <w:snapToGrid w:val="0"/>
                </w:rPr>
                <w:t>Society of Thoracic Surgeons (STS)</w:t>
              </w:r>
            </w:hyperlink>
            <w:r w:rsidRPr="009E7B22">
              <w:rPr>
                <w:rFonts w:cs="Arial"/>
                <w:snapToGrid w:val="0"/>
                <w:color w:val="000000"/>
              </w:rPr>
              <w:t xml:space="preserve"> </w:t>
            </w:r>
            <w:r>
              <w:rPr>
                <w:rFonts w:cs="Arial"/>
                <w:snapToGrid w:val="0"/>
                <w:color w:val="000000"/>
              </w:rPr>
              <w:t>Adult Cardiac Surgery Database (ACSD)</w:t>
            </w:r>
            <w:r w:rsidR="00D16610">
              <w:rPr>
                <w:rFonts w:cs="Arial"/>
                <w:snapToGrid w:val="0"/>
                <w:color w:val="000000"/>
              </w:rPr>
              <w:t xml:space="preserve">, </w:t>
            </w:r>
            <w:r w:rsidR="00F95A07">
              <w:rPr>
                <w:rFonts w:cs="Arial"/>
                <w:snapToGrid w:val="0"/>
                <w:color w:val="000000"/>
              </w:rPr>
              <w:t xml:space="preserve">and </w:t>
            </w:r>
            <w:r w:rsidRPr="005D2B76">
              <w:rPr>
                <w:rFonts w:cs="Arial"/>
                <w:snapToGrid w:val="0"/>
                <w:color w:val="000000"/>
              </w:rPr>
              <w:t>submit data for all applicable procedures during the most recent 36-month period for which performance reports are available?</w:t>
            </w:r>
          </w:p>
          <w:p w14:paraId="6EFBE3FC" w14:textId="50662219" w:rsidR="007015E4" w:rsidRDefault="007015E4" w:rsidP="006E0344">
            <w:pPr>
              <w:rPr>
                <w:rFonts w:cs="Arial"/>
                <w:snapToGrid w:val="0"/>
                <w:color w:val="000000"/>
              </w:rPr>
            </w:pPr>
          </w:p>
          <w:p w14:paraId="40D72392" w14:textId="3E4FA9AF" w:rsidR="00704124" w:rsidRPr="00D51874" w:rsidRDefault="007015E4" w:rsidP="006E0344">
            <w:pPr>
              <w:rPr>
                <w:rFonts w:cs="Arial"/>
                <w:snapToGrid w:val="0"/>
                <w:color w:val="000000"/>
              </w:rPr>
            </w:pPr>
            <w:r>
              <w:rPr>
                <w:rFonts w:cs="Arial"/>
                <w:snapToGrid w:val="0"/>
                <w:color w:val="000000"/>
              </w:rPr>
              <w:t xml:space="preserve">Select “yes” if your hospital participates in the </w:t>
            </w:r>
            <w:hyperlink r:id="rId229" w:history="1">
              <w:r w:rsidRPr="005D2B76">
                <w:rPr>
                  <w:rStyle w:val="Hyperlink"/>
                  <w:rFonts w:cs="Arial"/>
                  <w:snapToGrid w:val="0"/>
                </w:rPr>
                <w:t>Society of Thoracic Surgeons (STS)</w:t>
              </w:r>
            </w:hyperlink>
            <w:r w:rsidRPr="009E7B22">
              <w:rPr>
                <w:rFonts w:cs="Arial"/>
                <w:snapToGrid w:val="0"/>
                <w:color w:val="000000"/>
              </w:rPr>
              <w:t xml:space="preserve"> </w:t>
            </w:r>
            <w:r>
              <w:rPr>
                <w:rFonts w:cs="Arial"/>
                <w:snapToGrid w:val="0"/>
                <w:color w:val="000000"/>
              </w:rPr>
              <w:t>Adult Cardiac Surgery Database (ACSD) and has submitted data for all applicable procedures during the most recent 36-month period.</w:t>
            </w:r>
          </w:p>
        </w:tc>
      </w:tr>
      <w:tr w:rsidR="00704124" w14:paraId="12D62670" w14:textId="77777777" w:rsidTr="00D36222">
        <w:trPr>
          <w:trHeight w:val="1440"/>
        </w:trPr>
        <w:tc>
          <w:tcPr>
            <w:tcW w:w="9350" w:type="dxa"/>
            <w:vAlign w:val="center"/>
          </w:tcPr>
          <w:p w14:paraId="70A637ED" w14:textId="3953BF75" w:rsidR="00704124" w:rsidRDefault="00704124" w:rsidP="006E0344">
            <w:pPr>
              <w:rPr>
                <w:rFonts w:cs="Arial"/>
                <w:bCs/>
              </w:rPr>
            </w:pPr>
            <w:r w:rsidRPr="00704124">
              <w:rPr>
                <w:rFonts w:cs="Arial"/>
                <w:b/>
              </w:rPr>
              <w:t xml:space="preserve">Question </w:t>
            </w:r>
            <w:r w:rsidR="00D51874">
              <w:rPr>
                <w:rFonts w:cs="Arial"/>
                <w:b/>
              </w:rPr>
              <w:t>#</w:t>
            </w:r>
            <w:r w:rsidR="00F95A07">
              <w:rPr>
                <w:rFonts w:cs="Arial"/>
                <w:b/>
              </w:rPr>
              <w:t>7</w:t>
            </w:r>
            <w:r w:rsidRPr="00704124">
              <w:rPr>
                <w:rFonts w:cs="Arial"/>
                <w:b/>
              </w:rPr>
              <w:t>:</w:t>
            </w:r>
            <w:r>
              <w:rPr>
                <w:rFonts w:cs="Arial"/>
                <w:bCs/>
              </w:rPr>
              <w:t xml:space="preserve"> </w:t>
            </w:r>
            <w:r w:rsidRPr="00704124">
              <w:rPr>
                <w:rFonts w:cs="Arial"/>
                <w:bCs/>
              </w:rPr>
              <w:t>What is the most recent 36-month reporting period for which STS performance reports are available?</w:t>
            </w:r>
            <w:r w:rsidR="0033157B">
              <w:rPr>
                <w:rFonts w:cs="Arial"/>
                <w:bCs/>
              </w:rPr>
              <w:t xml:space="preserve"> Reporting period ending:</w:t>
            </w:r>
          </w:p>
          <w:p w14:paraId="5E840023" w14:textId="77777777" w:rsidR="007015E4" w:rsidRDefault="007015E4" w:rsidP="006E0344">
            <w:pPr>
              <w:rPr>
                <w:rFonts w:cs="Arial"/>
                <w:bCs/>
              </w:rPr>
            </w:pPr>
          </w:p>
          <w:p w14:paraId="2B98753B" w14:textId="1AFA18B7" w:rsidR="000032C0" w:rsidRPr="00704124" w:rsidRDefault="00E326A9" w:rsidP="006E0344">
            <w:pPr>
              <w:rPr>
                <w:rFonts w:cs="Arial"/>
                <w:bCs/>
              </w:rPr>
            </w:pPr>
            <w:r>
              <w:rPr>
                <w:rFonts w:cs="Arial"/>
                <w:bCs/>
              </w:rPr>
              <w:t>Select the most recent 36-month reporting period for which STS performance reports are available. The reporting period is displayed when reviewing your “</w:t>
            </w:r>
            <w:r w:rsidRPr="0060193F">
              <w:t>MVRR Composite Quality Ratings</w:t>
            </w:r>
            <w:r>
              <w:rPr>
                <w:rFonts w:cs="Arial"/>
                <w:bCs/>
              </w:rPr>
              <w:t xml:space="preserve">” at </w:t>
            </w:r>
            <w:hyperlink r:id="rId230" w:history="1">
              <w:r w:rsidRPr="008C75EB">
                <w:rPr>
                  <w:rStyle w:val="Hyperlink"/>
                </w:rPr>
                <w:t>https://publicreporting.sts.org/search/acsd</w:t>
              </w:r>
            </w:hyperlink>
            <w:r>
              <w:t>.</w:t>
            </w:r>
            <w:r w:rsidR="007015E4">
              <w:rPr>
                <w:rFonts w:cs="Arial"/>
                <w:bCs/>
              </w:rPr>
              <w:t xml:space="preserve"> See screenshot provided for question #</w:t>
            </w:r>
            <w:r w:rsidR="00EA2AB4">
              <w:rPr>
                <w:rFonts w:cs="Arial"/>
                <w:bCs/>
              </w:rPr>
              <w:t>9</w:t>
            </w:r>
            <w:r w:rsidR="007015E4">
              <w:rPr>
                <w:rFonts w:cs="Arial"/>
                <w:bCs/>
              </w:rPr>
              <w:t xml:space="preserve"> </w:t>
            </w:r>
            <w:hyperlink w:anchor="MVRR_STS" w:history="1">
              <w:r w:rsidR="007015E4" w:rsidRPr="007015E4">
                <w:rPr>
                  <w:rStyle w:val="Hyperlink"/>
                  <w:rFonts w:cs="Arial"/>
                  <w:bCs/>
                </w:rPr>
                <w:t>below</w:t>
              </w:r>
            </w:hyperlink>
            <w:r w:rsidR="007015E4">
              <w:rPr>
                <w:rFonts w:cs="Arial"/>
                <w:bCs/>
              </w:rPr>
              <w:t>.</w:t>
            </w:r>
          </w:p>
        </w:tc>
      </w:tr>
      <w:tr w:rsidR="00704124" w14:paraId="3A3B66EE" w14:textId="77777777" w:rsidTr="005317E8">
        <w:trPr>
          <w:trHeight w:val="1152"/>
        </w:trPr>
        <w:tc>
          <w:tcPr>
            <w:tcW w:w="9350" w:type="dxa"/>
            <w:vAlign w:val="center"/>
          </w:tcPr>
          <w:p w14:paraId="13E4591D" w14:textId="4DDE44E0" w:rsidR="000032C0" w:rsidRPr="00D51874" w:rsidRDefault="00704124" w:rsidP="006E0344">
            <w:pPr>
              <w:rPr>
                <w:rFonts w:cs="Arial"/>
                <w:iCs/>
                <w:snapToGrid w:val="0"/>
                <w:color w:val="000000"/>
              </w:rPr>
            </w:pPr>
            <w:r>
              <w:rPr>
                <w:rFonts w:cs="Arial"/>
                <w:b/>
                <w:bCs/>
                <w:snapToGrid w:val="0"/>
                <w:color w:val="000000"/>
              </w:rPr>
              <w:t xml:space="preserve">Question </w:t>
            </w:r>
            <w:r w:rsidR="00D51874">
              <w:rPr>
                <w:rFonts w:cs="Arial"/>
                <w:b/>
                <w:bCs/>
                <w:snapToGrid w:val="0"/>
                <w:color w:val="000000"/>
              </w:rPr>
              <w:t>#</w:t>
            </w:r>
            <w:r w:rsidR="00F95A07">
              <w:rPr>
                <w:rFonts w:cs="Arial"/>
                <w:b/>
                <w:bCs/>
                <w:snapToGrid w:val="0"/>
                <w:color w:val="000000"/>
              </w:rPr>
              <w:t>8</w:t>
            </w:r>
            <w:r>
              <w:rPr>
                <w:rFonts w:cs="Arial"/>
                <w:b/>
                <w:bCs/>
                <w:snapToGrid w:val="0"/>
                <w:color w:val="000000"/>
              </w:rPr>
              <w:t xml:space="preserve">: </w:t>
            </w:r>
            <w:r w:rsidRPr="005D2B76">
              <w:rPr>
                <w:rFonts w:cs="Arial"/>
                <w:snapToGrid w:val="0"/>
                <w:color w:val="000000"/>
              </w:rPr>
              <w:t xml:space="preserve">Does your hospital </w:t>
            </w:r>
            <w:r w:rsidR="00154C4A">
              <w:rPr>
                <w:rFonts w:cs="Arial"/>
                <w:snapToGrid w:val="0"/>
                <w:color w:val="000000"/>
              </w:rPr>
              <w:t xml:space="preserve">have a Mitral Valve Repair/Replacement Composite Score publicly reported on the STS website and do you </w:t>
            </w:r>
            <w:r w:rsidRPr="005D2B76">
              <w:rPr>
                <w:rFonts w:cs="Arial"/>
                <w:snapToGrid w:val="0"/>
                <w:color w:val="000000"/>
              </w:rPr>
              <w:t>choose to report data from the most recent performance report to this Survey?</w:t>
            </w:r>
            <w:r>
              <w:rPr>
                <w:rFonts w:cs="Arial"/>
                <w:snapToGrid w:val="0"/>
                <w:color w:val="000000"/>
              </w:rPr>
              <w:br/>
            </w:r>
            <w:r>
              <w:rPr>
                <w:rFonts w:cs="Arial"/>
                <w:snapToGrid w:val="0"/>
                <w:color w:val="000000"/>
              </w:rPr>
              <w:br/>
            </w:r>
            <w:r w:rsidR="000032C0">
              <w:rPr>
                <w:rFonts w:cs="Arial"/>
                <w:iCs/>
                <w:snapToGrid w:val="0"/>
                <w:color w:val="000000"/>
              </w:rPr>
              <w:t>Select “yes” if your hospital elects to share the MVRR data from your most recent performance report with Leapfrog.</w:t>
            </w:r>
          </w:p>
        </w:tc>
      </w:tr>
      <w:tr w:rsidR="00704124" w14:paraId="7B2638AD" w14:textId="77777777" w:rsidTr="00081966">
        <w:trPr>
          <w:trHeight w:val="1430"/>
        </w:trPr>
        <w:tc>
          <w:tcPr>
            <w:tcW w:w="9350" w:type="dxa"/>
            <w:vAlign w:val="center"/>
          </w:tcPr>
          <w:p w14:paraId="70A9EF1C" w14:textId="72E93483" w:rsidR="00704124" w:rsidRDefault="00704124" w:rsidP="006E0344">
            <w:pPr>
              <w:rPr>
                <w:rFonts w:cs="Arial"/>
                <w:bCs/>
              </w:rPr>
            </w:pPr>
            <w:bookmarkStart w:id="254" w:name="MVRR_STS"/>
            <w:r w:rsidRPr="00704124">
              <w:rPr>
                <w:rFonts w:cs="Arial"/>
                <w:b/>
              </w:rPr>
              <w:t xml:space="preserve">Question </w:t>
            </w:r>
            <w:bookmarkEnd w:id="254"/>
            <w:r w:rsidR="00D51874">
              <w:rPr>
                <w:rFonts w:cs="Arial"/>
                <w:b/>
              </w:rPr>
              <w:t>#</w:t>
            </w:r>
            <w:r w:rsidR="00F95A07">
              <w:rPr>
                <w:rFonts w:cs="Arial"/>
                <w:b/>
              </w:rPr>
              <w:t>9</w:t>
            </w:r>
            <w:r w:rsidRPr="00704124">
              <w:rPr>
                <w:rFonts w:cs="Arial"/>
                <w:b/>
              </w:rPr>
              <w:t>:</w:t>
            </w:r>
            <w:r>
              <w:rPr>
                <w:rFonts w:cs="Arial"/>
                <w:bCs/>
              </w:rPr>
              <w:t xml:space="preserve"> </w:t>
            </w:r>
            <w:r w:rsidRPr="00704124">
              <w:rPr>
                <w:rFonts w:cs="Arial"/>
                <w:bCs/>
              </w:rPr>
              <w:t xml:space="preserve">What </w:t>
            </w:r>
            <w:r w:rsidR="002E2409">
              <w:rPr>
                <w:rFonts w:cs="Arial"/>
                <w:bCs/>
              </w:rPr>
              <w:t>is</w:t>
            </w:r>
            <w:r w:rsidRPr="00704124">
              <w:rPr>
                <w:rFonts w:cs="Arial"/>
                <w:bCs/>
              </w:rPr>
              <w:t xml:space="preserve"> your hospital’s Mitral Valve Repair/Replacement</w:t>
            </w:r>
            <w:r w:rsidR="002E2409">
              <w:rPr>
                <w:rFonts w:cs="Arial"/>
                <w:bCs/>
              </w:rPr>
              <w:t xml:space="preserve"> Composite Score</w:t>
            </w:r>
            <w:r w:rsidRPr="00704124">
              <w:rPr>
                <w:rFonts w:cs="Arial"/>
                <w:bCs/>
              </w:rPr>
              <w:t>?</w:t>
            </w:r>
          </w:p>
          <w:p w14:paraId="37EB598A" w14:textId="77777777" w:rsidR="00704124" w:rsidRDefault="00704124" w:rsidP="006E0344">
            <w:pPr>
              <w:rPr>
                <w:rFonts w:cs="Arial"/>
                <w:bCs/>
              </w:rPr>
            </w:pPr>
          </w:p>
          <w:p w14:paraId="3BFFD412" w14:textId="1F713844" w:rsidR="00B647A1" w:rsidRDefault="00704124" w:rsidP="006E0344">
            <w:r>
              <w:rPr>
                <w:rFonts w:cs="Arial"/>
                <w:snapToGrid w:val="0"/>
                <w:color w:val="000000"/>
              </w:rPr>
              <w:t xml:space="preserve">Report your Mitral Valve Repair/Replacement </w:t>
            </w:r>
            <w:r w:rsidR="002E2409">
              <w:rPr>
                <w:rFonts w:cs="Arial"/>
                <w:snapToGrid w:val="0"/>
                <w:color w:val="000000"/>
              </w:rPr>
              <w:t>Overall Composite Score</w:t>
            </w:r>
            <w:r w:rsidR="005359D6">
              <w:rPr>
                <w:rFonts w:cs="Arial"/>
                <w:snapToGrid w:val="0"/>
                <w:color w:val="000000"/>
              </w:rPr>
              <w:t xml:space="preserve"> </w:t>
            </w:r>
            <w:r>
              <w:rPr>
                <w:rFonts w:cs="Arial"/>
                <w:snapToGrid w:val="0"/>
                <w:color w:val="000000"/>
              </w:rPr>
              <w:t>from the STS Public Reporting website</w:t>
            </w:r>
            <w:r w:rsidR="003D1AD2">
              <w:rPr>
                <w:rFonts w:cs="Arial"/>
                <w:snapToGrid w:val="0"/>
                <w:color w:val="000000"/>
              </w:rPr>
              <w:t xml:space="preserve">: </w:t>
            </w:r>
            <w:hyperlink r:id="rId231" w:history="1">
              <w:r w:rsidR="00887764" w:rsidRPr="008C75EB">
                <w:rPr>
                  <w:rStyle w:val="Hyperlink"/>
                </w:rPr>
                <w:t>https://publicreporting.sts.org/search/acsd</w:t>
              </w:r>
            </w:hyperlink>
            <w:r w:rsidR="00887764">
              <w:t>.</w:t>
            </w:r>
            <w:r>
              <w:t xml:space="preserve"> </w:t>
            </w:r>
          </w:p>
          <w:p w14:paraId="4EFAFAD6" w14:textId="77777777" w:rsidR="00B647A1" w:rsidRDefault="00B647A1" w:rsidP="006E0344"/>
          <w:p w14:paraId="1FD8BB08" w14:textId="3D3CCD9F" w:rsidR="008D611A" w:rsidRDefault="00887764" w:rsidP="006E0344">
            <w:pPr>
              <w:autoSpaceDE w:val="0"/>
              <w:autoSpaceDN w:val="0"/>
              <w:adjustRightInd w:val="0"/>
              <w:spacing w:line="276" w:lineRule="auto"/>
              <w:rPr>
                <w:rFonts w:cs="Arial"/>
                <w:snapToGrid w:val="0"/>
                <w:color w:val="000000"/>
              </w:rPr>
            </w:pPr>
            <w:r>
              <w:t>Click on “Search All Groups.” Then search for your hospital name/surgery group name in the “Participant Surgery Group Name” field and click your hospital name/surgery group name. On the next page find your “</w:t>
            </w:r>
            <w:r w:rsidRPr="0060193F">
              <w:t>MVRR Composite Quality Rating</w:t>
            </w:r>
            <w:r>
              <w:t>” and your “</w:t>
            </w:r>
            <w:r>
              <w:rPr>
                <w:rFonts w:cs="Arial"/>
                <w:snapToGrid w:val="0"/>
                <w:color w:val="000000"/>
              </w:rPr>
              <w:t>Overall</w:t>
            </w:r>
            <w:r w:rsidRPr="00E8204D">
              <w:rPr>
                <w:rFonts w:cs="Arial"/>
                <w:snapToGrid w:val="0"/>
                <w:color w:val="000000"/>
              </w:rPr>
              <w:t xml:space="preserve"> Composite Score</w:t>
            </w:r>
            <w:r>
              <w:rPr>
                <w:rFonts w:cs="Arial"/>
                <w:snapToGrid w:val="0"/>
                <w:color w:val="000000"/>
              </w:rPr>
              <w:t xml:space="preserve">.” </w:t>
            </w:r>
            <w:r w:rsidRPr="00E8204D">
              <w:rPr>
                <w:rFonts w:cs="Arial"/>
                <w:snapToGrid w:val="0"/>
                <w:color w:val="000000"/>
              </w:rPr>
              <w:t>Report the number of stars displayed for “Overall Composite Score” represented in the screenshot below.</w:t>
            </w:r>
          </w:p>
          <w:p w14:paraId="21A93DA3" w14:textId="6B287590" w:rsidR="00F72FA4" w:rsidRDefault="00F72FA4" w:rsidP="006E0344">
            <w:pPr>
              <w:autoSpaceDE w:val="0"/>
              <w:autoSpaceDN w:val="0"/>
              <w:adjustRightInd w:val="0"/>
              <w:spacing w:line="276" w:lineRule="auto"/>
              <w:rPr>
                <w:rFonts w:cs="Arial"/>
                <w:snapToGrid w:val="0"/>
                <w:color w:val="000000"/>
              </w:rPr>
            </w:pPr>
            <w:r>
              <w:rPr>
                <w:noProof/>
              </w:rPr>
              <w:lastRenderedPageBreak/>
              <mc:AlternateContent>
                <mc:Choice Requires="wps">
                  <w:drawing>
                    <wp:anchor distT="0" distB="0" distL="114300" distR="114300" simplePos="0" relativeHeight="251658244" behindDoc="0" locked="0" layoutInCell="1" allowOverlap="1" wp14:anchorId="63664AF4" wp14:editId="4390E7A0">
                      <wp:simplePos x="0" y="0"/>
                      <wp:positionH relativeFrom="column">
                        <wp:posOffset>5116830</wp:posOffset>
                      </wp:positionH>
                      <wp:positionV relativeFrom="paragraph">
                        <wp:posOffset>315595</wp:posOffset>
                      </wp:positionV>
                      <wp:extent cx="745490" cy="422275"/>
                      <wp:effectExtent l="0" t="0" r="16510" b="15875"/>
                      <wp:wrapNone/>
                      <wp:docPr id="15" name="Rectangle 15" descr="P3200C6T42#y1"/>
                      <wp:cNvGraphicFramePr/>
                      <a:graphic xmlns:a="http://schemas.openxmlformats.org/drawingml/2006/main">
                        <a:graphicData uri="http://schemas.microsoft.com/office/word/2010/wordprocessingShape">
                          <wps:wsp>
                            <wps:cNvSpPr/>
                            <wps:spPr>
                              <a:xfrm>
                                <a:off x="0" y="0"/>
                                <a:ext cx="745490" cy="422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7B127" id="Rectangle 15" o:spid="_x0000_s1026" alt="P3200C6T42#y1" style="position:absolute;margin-left:402.9pt;margin-top:24.85pt;width:58.7pt;height:3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" filled="f" strokecolor="red" strokeweight="2pt"/>
                  </w:pict>
                </mc:Fallback>
              </mc:AlternateContent>
            </w:r>
            <w:r w:rsidRPr="00F72FA4">
              <w:rPr>
                <w:rFonts w:cs="Arial"/>
                <w:noProof/>
                <w:snapToGrid w:val="0"/>
                <w:color w:val="000000"/>
              </w:rPr>
              <w:drawing>
                <wp:inline distT="0" distB="0" distL="0" distR="0" wp14:anchorId="0D5F08B6" wp14:editId="7AD52268">
                  <wp:extent cx="5943600" cy="742315"/>
                  <wp:effectExtent l="0" t="0" r="0" b="635"/>
                  <wp:docPr id="1400043493" name="Picture 1" descr="P3200C6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43493" name="Picture 1" descr="P3200C6T42#yIS1"/>
                          <pic:cNvPicPr/>
                        </pic:nvPicPr>
                        <pic:blipFill>
                          <a:blip r:embed="rId232"/>
                          <a:stretch>
                            <a:fillRect/>
                          </a:stretch>
                        </pic:blipFill>
                        <pic:spPr>
                          <a:xfrm>
                            <a:off x="0" y="0"/>
                            <a:ext cx="5943600" cy="742315"/>
                          </a:xfrm>
                          <a:prstGeom prst="rect">
                            <a:avLst/>
                          </a:prstGeom>
                        </pic:spPr>
                      </pic:pic>
                    </a:graphicData>
                  </a:graphic>
                </wp:inline>
              </w:drawing>
            </w:r>
          </w:p>
          <w:p w14:paraId="5D0A9C97" w14:textId="2F3A5054" w:rsidR="008D611A" w:rsidRPr="00BC22E2" w:rsidRDefault="008D611A" w:rsidP="00BC22E2">
            <w:pPr>
              <w:autoSpaceDE w:val="0"/>
              <w:autoSpaceDN w:val="0"/>
              <w:adjustRightInd w:val="0"/>
              <w:spacing w:line="276" w:lineRule="auto"/>
              <w:rPr>
                <w:rFonts w:cs="Arial"/>
                <w:snapToGrid w:val="0"/>
                <w:color w:val="000000"/>
              </w:rPr>
            </w:pPr>
          </w:p>
        </w:tc>
      </w:tr>
    </w:tbl>
    <w:p w14:paraId="07AED853" w14:textId="1A7B8922" w:rsidR="00784C78" w:rsidRDefault="00784C78"/>
    <w:tbl>
      <w:tblPr>
        <w:tblStyle w:val="TableGrid"/>
        <w:tblW w:w="0" w:type="auto"/>
        <w:tblLook w:val="04A0" w:firstRow="1" w:lastRow="0" w:firstColumn="1" w:lastColumn="0" w:noHBand="0" w:noVBand="1"/>
      </w:tblPr>
      <w:tblGrid>
        <w:gridCol w:w="9350"/>
      </w:tblGrid>
      <w:tr w:rsidR="0033157B" w:rsidRPr="004F5E10" w14:paraId="6818AED1" w14:textId="77777777" w:rsidTr="006E0344">
        <w:trPr>
          <w:trHeight w:val="395"/>
        </w:trPr>
        <w:tc>
          <w:tcPr>
            <w:tcW w:w="9350" w:type="dxa"/>
            <w:vAlign w:val="center"/>
          </w:tcPr>
          <w:p w14:paraId="56B13A5C" w14:textId="58979F0B" w:rsidR="0033157B" w:rsidRPr="004F5E10" w:rsidRDefault="0033157B" w:rsidP="006E0344">
            <w:pPr>
              <w:rPr>
                <w:rFonts w:cs="Arial"/>
                <w:b/>
              </w:rPr>
            </w:pPr>
            <w:r w:rsidRPr="004F5E10">
              <w:rPr>
                <w:rFonts w:cs="Arial"/>
                <w:b/>
              </w:rPr>
              <w:t xml:space="preserve">Source: </w:t>
            </w:r>
            <w:r w:rsidRPr="004F5E10">
              <w:rPr>
                <w:rFonts w:cs="Arial"/>
                <w:bCs/>
              </w:rPr>
              <w:t>The Society of Thoracic Surgeons (STS)</w:t>
            </w:r>
          </w:p>
        </w:tc>
      </w:tr>
      <w:tr w:rsidR="0033157B" w:rsidRPr="004F5E10" w14:paraId="309B18F3" w14:textId="77777777" w:rsidTr="006E0344">
        <w:trPr>
          <w:trHeight w:val="1772"/>
        </w:trPr>
        <w:tc>
          <w:tcPr>
            <w:tcW w:w="9350" w:type="dxa"/>
            <w:vAlign w:val="center"/>
          </w:tcPr>
          <w:p w14:paraId="6545E5A9" w14:textId="7ACBF822" w:rsidR="0033157B" w:rsidRPr="004F5E10" w:rsidRDefault="0033157B" w:rsidP="006E0344">
            <w:pPr>
              <w:rPr>
                <w:rFonts w:cs="Arial"/>
                <w:snapToGrid w:val="0"/>
                <w:color w:val="000000"/>
              </w:rPr>
            </w:pPr>
            <w:r w:rsidRPr="004F5E10">
              <w:rPr>
                <w:rFonts w:cs="Arial"/>
                <w:b/>
              </w:rPr>
              <w:t xml:space="preserve">Question </w:t>
            </w:r>
            <w:r w:rsidR="00D51874">
              <w:rPr>
                <w:rFonts w:cs="Arial"/>
                <w:b/>
              </w:rPr>
              <w:t>#</w:t>
            </w:r>
            <w:r w:rsidR="00F12158">
              <w:rPr>
                <w:rFonts w:cs="Arial"/>
                <w:b/>
              </w:rPr>
              <w:t>1</w:t>
            </w:r>
            <w:r w:rsidR="00F95A07">
              <w:rPr>
                <w:rFonts w:cs="Arial"/>
                <w:b/>
              </w:rPr>
              <w:t>0</w:t>
            </w:r>
            <w:r w:rsidRPr="004F5E10">
              <w:rPr>
                <w:rFonts w:cs="Arial"/>
                <w:b/>
              </w:rPr>
              <w:t xml:space="preserve">: </w:t>
            </w:r>
            <w:r w:rsidRPr="004F5E10">
              <w:rPr>
                <w:rFonts w:cs="Arial"/>
                <w:snapToGrid w:val="0"/>
                <w:color w:val="000000"/>
              </w:rPr>
              <w:t xml:space="preserve">Does your hospital participate in the </w:t>
            </w:r>
            <w:hyperlink r:id="rId233" w:history="1">
              <w:r w:rsidRPr="004F5E10">
                <w:rPr>
                  <w:rFonts w:cs="Arial"/>
                  <w:snapToGrid w:val="0"/>
                  <w:color w:val="0000FF"/>
                  <w:u w:val="single"/>
                </w:rPr>
                <w:t>Society of Thoracic Surgeons (STS)</w:t>
              </w:r>
            </w:hyperlink>
            <w:r w:rsidRPr="004F5E10">
              <w:rPr>
                <w:rFonts w:cs="Arial"/>
                <w:snapToGrid w:val="0"/>
                <w:color w:val="000000"/>
              </w:rPr>
              <w:t xml:space="preserve"> </w:t>
            </w:r>
            <w:r w:rsidRPr="009D5C89">
              <w:rPr>
                <w:rFonts w:cs="Arial"/>
                <w:snapToGrid w:val="0"/>
                <w:color w:val="000000"/>
              </w:rPr>
              <w:t>Congenital Heart Surgery Database (CHSD)</w:t>
            </w:r>
            <w:r>
              <w:rPr>
                <w:rFonts w:cs="Arial"/>
                <w:snapToGrid w:val="0"/>
                <w:color w:val="000000"/>
              </w:rPr>
              <w:t xml:space="preserve"> </w:t>
            </w:r>
            <w:r w:rsidRPr="004F5E10">
              <w:rPr>
                <w:rFonts w:cs="Arial"/>
                <w:snapToGrid w:val="0"/>
                <w:color w:val="000000"/>
              </w:rPr>
              <w:t xml:space="preserve">and did your hospital submit data for </w:t>
            </w:r>
            <w:r w:rsidR="002E2409">
              <w:rPr>
                <w:rFonts w:cs="Arial"/>
                <w:snapToGrid w:val="0"/>
                <w:color w:val="000000"/>
              </w:rPr>
              <w:t>the Norwood procedure</w:t>
            </w:r>
            <w:r w:rsidRPr="004F5E10">
              <w:rPr>
                <w:rFonts w:cs="Arial"/>
                <w:snapToGrid w:val="0"/>
                <w:color w:val="000000"/>
              </w:rPr>
              <w:t xml:space="preserve"> during the most recent </w:t>
            </w:r>
            <w:r>
              <w:rPr>
                <w:rFonts w:cs="Arial"/>
                <w:snapToGrid w:val="0"/>
                <w:color w:val="000000"/>
              </w:rPr>
              <w:t>48</w:t>
            </w:r>
            <w:r w:rsidRPr="004F5E10">
              <w:rPr>
                <w:rFonts w:cs="Arial"/>
                <w:snapToGrid w:val="0"/>
                <w:color w:val="000000"/>
              </w:rPr>
              <w:t>-month period for which performance reports are available?</w:t>
            </w:r>
          </w:p>
          <w:p w14:paraId="45887E14" w14:textId="77777777" w:rsidR="0033157B" w:rsidRPr="004F5E10" w:rsidRDefault="0033157B" w:rsidP="006E0344">
            <w:pPr>
              <w:rPr>
                <w:rFonts w:cs="Arial"/>
                <w:snapToGrid w:val="0"/>
                <w:color w:val="000000"/>
              </w:rPr>
            </w:pPr>
          </w:p>
          <w:p w14:paraId="2922A184" w14:textId="40C00B91" w:rsidR="0033157B" w:rsidRPr="00D51874" w:rsidRDefault="0033157B" w:rsidP="006E0344">
            <w:pPr>
              <w:rPr>
                <w:rFonts w:cs="Arial"/>
                <w:snapToGrid w:val="0"/>
                <w:color w:val="000000"/>
              </w:rPr>
            </w:pPr>
            <w:r w:rsidRPr="004F5E10">
              <w:rPr>
                <w:rFonts w:cs="Arial"/>
                <w:snapToGrid w:val="0"/>
                <w:color w:val="000000"/>
              </w:rPr>
              <w:t xml:space="preserve">Select “yes” if your hospital participates in the </w:t>
            </w:r>
            <w:hyperlink r:id="rId234" w:history="1">
              <w:r w:rsidRPr="004F5E10">
                <w:rPr>
                  <w:rFonts w:cs="Arial"/>
                  <w:snapToGrid w:val="0"/>
                  <w:color w:val="0000FF"/>
                  <w:u w:val="single"/>
                </w:rPr>
                <w:t>Society of Thoracic Surgeons (STS)</w:t>
              </w:r>
            </w:hyperlink>
            <w:r w:rsidRPr="004F5E10">
              <w:rPr>
                <w:rFonts w:cs="Arial"/>
                <w:snapToGrid w:val="0"/>
                <w:color w:val="000000"/>
              </w:rPr>
              <w:t xml:space="preserve"> </w:t>
            </w:r>
            <w:r w:rsidRPr="009D5C89">
              <w:rPr>
                <w:rFonts w:cs="Arial"/>
                <w:snapToGrid w:val="0"/>
                <w:color w:val="000000"/>
              </w:rPr>
              <w:t>Congenital Heart Surgery Database (CHSD)</w:t>
            </w:r>
            <w:r>
              <w:rPr>
                <w:rFonts w:cs="Arial"/>
                <w:snapToGrid w:val="0"/>
                <w:color w:val="000000"/>
              </w:rPr>
              <w:t xml:space="preserve"> </w:t>
            </w:r>
            <w:r w:rsidRPr="004F5E10">
              <w:rPr>
                <w:rFonts w:cs="Arial"/>
                <w:snapToGrid w:val="0"/>
                <w:color w:val="000000"/>
              </w:rPr>
              <w:t xml:space="preserve">and has submitted data for </w:t>
            </w:r>
            <w:r w:rsidR="002E2409">
              <w:rPr>
                <w:rFonts w:cs="Arial"/>
                <w:snapToGrid w:val="0"/>
                <w:color w:val="000000"/>
              </w:rPr>
              <w:t>the Norwood procedure</w:t>
            </w:r>
            <w:r w:rsidRPr="004F5E10">
              <w:rPr>
                <w:rFonts w:cs="Arial"/>
                <w:snapToGrid w:val="0"/>
                <w:color w:val="000000"/>
              </w:rPr>
              <w:t xml:space="preserve"> during the most recent </w:t>
            </w:r>
            <w:r>
              <w:rPr>
                <w:rFonts w:cs="Arial"/>
                <w:snapToGrid w:val="0"/>
                <w:color w:val="000000"/>
              </w:rPr>
              <w:t>48</w:t>
            </w:r>
            <w:r w:rsidRPr="004F5E10">
              <w:rPr>
                <w:rFonts w:cs="Arial"/>
                <w:snapToGrid w:val="0"/>
                <w:color w:val="000000"/>
              </w:rPr>
              <w:t>-month period.</w:t>
            </w:r>
          </w:p>
        </w:tc>
      </w:tr>
      <w:tr w:rsidR="0033157B" w:rsidRPr="004F5E10" w14:paraId="3166283D" w14:textId="77777777" w:rsidTr="006E0344">
        <w:trPr>
          <w:trHeight w:val="1322"/>
        </w:trPr>
        <w:tc>
          <w:tcPr>
            <w:tcW w:w="9350" w:type="dxa"/>
            <w:vAlign w:val="center"/>
          </w:tcPr>
          <w:p w14:paraId="4918ED81" w14:textId="2723D91D" w:rsidR="0033157B" w:rsidRPr="004F5E10" w:rsidRDefault="0033157B" w:rsidP="006E0344">
            <w:pPr>
              <w:rPr>
                <w:rFonts w:cs="Arial"/>
                <w:bCs/>
              </w:rPr>
            </w:pPr>
            <w:r w:rsidRPr="004F5E10">
              <w:rPr>
                <w:rFonts w:cs="Arial"/>
                <w:b/>
              </w:rPr>
              <w:t xml:space="preserve">Question </w:t>
            </w:r>
            <w:r w:rsidR="00D51874">
              <w:rPr>
                <w:rFonts w:cs="Arial"/>
                <w:b/>
              </w:rPr>
              <w:t>#</w:t>
            </w:r>
            <w:r>
              <w:rPr>
                <w:rFonts w:cs="Arial"/>
                <w:b/>
              </w:rPr>
              <w:t>1</w:t>
            </w:r>
            <w:r w:rsidR="00F95A07">
              <w:rPr>
                <w:rFonts w:cs="Arial"/>
                <w:b/>
              </w:rPr>
              <w:t>1</w:t>
            </w:r>
            <w:r w:rsidRPr="004F5E10">
              <w:rPr>
                <w:rFonts w:cs="Arial"/>
                <w:b/>
              </w:rPr>
              <w:t>:</w:t>
            </w:r>
            <w:r w:rsidRPr="004F5E10">
              <w:rPr>
                <w:rFonts w:cs="Arial"/>
                <w:bCs/>
              </w:rPr>
              <w:t xml:space="preserve"> What is the most recent </w:t>
            </w:r>
            <w:r>
              <w:rPr>
                <w:rFonts w:cs="Arial"/>
                <w:bCs/>
              </w:rPr>
              <w:t>48</w:t>
            </w:r>
            <w:r w:rsidRPr="004F5E10">
              <w:rPr>
                <w:rFonts w:cs="Arial"/>
                <w:bCs/>
              </w:rPr>
              <w:t>-month reporting period for which STS performance reports are available?</w:t>
            </w:r>
            <w:r>
              <w:rPr>
                <w:rFonts w:cs="Arial"/>
                <w:bCs/>
              </w:rPr>
              <w:t xml:space="preserve"> Reporting period ending:</w:t>
            </w:r>
          </w:p>
          <w:p w14:paraId="5C5C55CA" w14:textId="77777777" w:rsidR="0033157B" w:rsidRPr="004F5E10" w:rsidRDefault="0033157B" w:rsidP="006E0344">
            <w:pPr>
              <w:rPr>
                <w:rFonts w:cs="Arial"/>
                <w:bCs/>
              </w:rPr>
            </w:pPr>
          </w:p>
          <w:p w14:paraId="7A3A80A5" w14:textId="5E2E8138" w:rsidR="0033157B" w:rsidRPr="004F5E10" w:rsidRDefault="0033157B" w:rsidP="006E0344">
            <w:pPr>
              <w:rPr>
                <w:rFonts w:cs="Arial"/>
                <w:bCs/>
              </w:rPr>
            </w:pPr>
            <w:r w:rsidRPr="004F5E10">
              <w:rPr>
                <w:rFonts w:cs="Arial"/>
                <w:bCs/>
              </w:rPr>
              <w:t xml:space="preserve">Select the most recent </w:t>
            </w:r>
            <w:r>
              <w:rPr>
                <w:rFonts w:cs="Arial"/>
                <w:bCs/>
              </w:rPr>
              <w:t>48</w:t>
            </w:r>
            <w:r w:rsidRPr="004F5E10">
              <w:rPr>
                <w:rFonts w:cs="Arial"/>
                <w:bCs/>
              </w:rPr>
              <w:t xml:space="preserve">-month reporting period for which STS performance reports are available. The reporting period </w:t>
            </w:r>
            <w:r>
              <w:rPr>
                <w:rFonts w:cs="Arial"/>
                <w:bCs/>
              </w:rPr>
              <w:t xml:space="preserve">should appear at the top of your STS performance report. </w:t>
            </w:r>
          </w:p>
        </w:tc>
      </w:tr>
    </w:tbl>
    <w:p w14:paraId="503B5458" w14:textId="77777777" w:rsidR="00076D6E" w:rsidRPr="009A5185" w:rsidRDefault="00076D6E" w:rsidP="0057059D">
      <w:pPr>
        <w:rPr>
          <w:rFonts w:cs="Arial"/>
          <w:color w:val="000000"/>
        </w:rPr>
      </w:pPr>
    </w:p>
    <w:p w14:paraId="0F1F8B0A" w14:textId="6A25FC6E" w:rsidR="00835CA3" w:rsidRDefault="005E17F5" w:rsidP="0057059D">
      <w:pPr>
        <w:rPr>
          <w:rFonts w:cs="Arial"/>
          <w:color w:val="000000"/>
        </w:rPr>
      </w:pPr>
      <w:r w:rsidRPr="009A5185">
        <w:rPr>
          <w:rFonts w:cs="Arial"/>
          <w:color w:val="000000"/>
        </w:rPr>
        <w:t>See</w:t>
      </w:r>
      <w:r w:rsidR="006925CB">
        <w:rPr>
          <w:rFonts w:cs="Arial"/>
          <w:color w:val="000000"/>
        </w:rPr>
        <w:t xml:space="preserve"> </w:t>
      </w:r>
      <w:hyperlink w:anchor="_Adult_and_Pediatric" w:history="1">
        <w:r w:rsidR="006925CB">
          <w:rPr>
            <w:rStyle w:val="Hyperlink"/>
            <w:rFonts w:cs="Arial"/>
          </w:rPr>
          <w:t>FAQs</w:t>
        </w:r>
      </w:hyperlink>
      <w:r w:rsidRPr="009A5185">
        <w:rPr>
          <w:rFonts w:cs="Arial"/>
          <w:color w:val="000000"/>
        </w:rPr>
        <w:t xml:space="preserve"> for additional inf</w:t>
      </w:r>
      <w:r w:rsidR="007016BC" w:rsidRPr="009A5185">
        <w:rPr>
          <w:rFonts w:cs="Arial"/>
          <w:color w:val="000000"/>
        </w:rPr>
        <w:t>ormation about responding to</w:t>
      </w:r>
      <w:r w:rsidR="00512526">
        <w:rPr>
          <w:rFonts w:cs="Arial"/>
          <w:color w:val="000000"/>
        </w:rPr>
        <w:t xml:space="preserve"> the</w:t>
      </w:r>
      <w:r w:rsidR="007016BC" w:rsidRPr="009A5185">
        <w:rPr>
          <w:rFonts w:cs="Arial"/>
          <w:color w:val="000000"/>
        </w:rPr>
        <w:t xml:space="preserve"> questions in this section.</w:t>
      </w:r>
    </w:p>
    <w:p w14:paraId="4825B4A8" w14:textId="77777777" w:rsidR="00835CA3" w:rsidRDefault="00835CA3">
      <w:pPr>
        <w:rPr>
          <w:rFonts w:cs="Arial"/>
          <w:color w:val="000000"/>
        </w:rPr>
      </w:pPr>
      <w:r>
        <w:rPr>
          <w:rFonts w:cs="Arial"/>
          <w:color w:val="000000"/>
        </w:rPr>
        <w:br w:type="page"/>
      </w:r>
    </w:p>
    <w:p w14:paraId="69906972" w14:textId="768B253F" w:rsidR="00B62930" w:rsidRPr="00532DF4" w:rsidRDefault="00F848EB" w:rsidP="00532DF4">
      <w:pPr>
        <w:pStyle w:val="Heading44"/>
      </w:pPr>
      <w:bookmarkStart w:id="255" w:name="_Toc233710580"/>
      <w:bookmarkStart w:id="256" w:name="_Toc383775016"/>
      <w:bookmarkStart w:id="257" w:name="_Toc447195000"/>
      <w:bookmarkStart w:id="258" w:name="Carotid"/>
      <w:bookmarkStart w:id="259" w:name="MinVolSpecs"/>
      <w:r w:rsidRPr="00532DF4">
        <w:lastRenderedPageBreak/>
        <w:t>Carotid Endarterectomy</w:t>
      </w:r>
      <w:r w:rsidR="00B62930" w:rsidRPr="00532DF4">
        <w:t xml:space="preserve"> Measure </w:t>
      </w:r>
      <w:bookmarkEnd w:id="255"/>
      <w:bookmarkEnd w:id="256"/>
      <w:bookmarkEnd w:id="257"/>
      <w:bookmarkEnd w:id="258"/>
      <w:r w:rsidR="000765C6" w:rsidRPr="00532DF4">
        <w:t>Specifications</w:t>
      </w:r>
    </w:p>
    <w:p w14:paraId="642A2124" w14:textId="77777777" w:rsidR="00B62930" w:rsidRPr="009A5185" w:rsidRDefault="00B62930" w:rsidP="0057059D">
      <w:pPr>
        <w:rPr>
          <w:rFonts w:cs="Arial"/>
        </w:rPr>
      </w:pPr>
    </w:p>
    <w:p w14:paraId="3F463D0B" w14:textId="77777777" w:rsidR="00B62930" w:rsidRPr="009A5185" w:rsidRDefault="007D7468" w:rsidP="00B62930">
      <w:pPr>
        <w:rPr>
          <w:rFonts w:cs="Arial"/>
        </w:rPr>
      </w:pPr>
      <w:r w:rsidRPr="009A5185">
        <w:rPr>
          <w:rFonts w:cs="Arial"/>
        </w:rPr>
        <w:t xml:space="preserve">For </w:t>
      </w:r>
      <w:r w:rsidR="00A77AEC">
        <w:rPr>
          <w:rFonts w:cs="Arial"/>
        </w:rPr>
        <w:t>c</w:t>
      </w:r>
      <w:r w:rsidRPr="009A5185">
        <w:rPr>
          <w:rFonts w:cs="Arial"/>
        </w:rPr>
        <w:t>a</w:t>
      </w:r>
      <w:r w:rsidR="00A77AEC">
        <w:rPr>
          <w:rFonts w:cs="Arial"/>
        </w:rPr>
        <w:t>rotid e</w:t>
      </w:r>
      <w:r w:rsidRPr="009A5185">
        <w:rPr>
          <w:rFonts w:cs="Arial"/>
        </w:rPr>
        <w:t>ndarterectomy, there are two sets of ICD-10</w:t>
      </w:r>
      <w:r w:rsidR="00B62930" w:rsidRPr="009A5185">
        <w:rPr>
          <w:rFonts w:cs="Arial"/>
        </w:rPr>
        <w:t xml:space="preserve"> codes for counting patie</w:t>
      </w:r>
      <w:r w:rsidR="00B24E6B">
        <w:rPr>
          <w:rFonts w:cs="Arial"/>
        </w:rPr>
        <w:t>nt discharges</w:t>
      </w:r>
      <w:r w:rsidR="00B62930" w:rsidRPr="009A5185">
        <w:rPr>
          <w:rFonts w:cs="Arial"/>
        </w:rPr>
        <w:t xml:space="preserve">. The first set of codes is </w:t>
      </w:r>
      <w:r w:rsidRPr="009A5185">
        <w:rPr>
          <w:rFonts w:cs="Arial"/>
        </w:rPr>
        <w:t xml:space="preserve">to identify patients </w:t>
      </w:r>
      <w:r w:rsidR="00B62930" w:rsidRPr="009A5185">
        <w:rPr>
          <w:rFonts w:cs="Arial"/>
        </w:rPr>
        <w:t>who ha</w:t>
      </w:r>
      <w:r w:rsidRPr="009A5185">
        <w:rPr>
          <w:rFonts w:cs="Arial"/>
        </w:rPr>
        <w:t xml:space="preserve">ve had the procedure. </w:t>
      </w:r>
      <w:r w:rsidR="00D7330E" w:rsidRPr="009A5185">
        <w:rPr>
          <w:rFonts w:cs="Arial"/>
        </w:rPr>
        <w:t xml:space="preserve">The second set of codes </w:t>
      </w:r>
      <w:r w:rsidR="00B62930" w:rsidRPr="009A5185">
        <w:rPr>
          <w:rFonts w:cs="Arial"/>
        </w:rPr>
        <w:t xml:space="preserve">is </w:t>
      </w:r>
      <w:r w:rsidRPr="009A5185">
        <w:rPr>
          <w:rFonts w:cs="Arial"/>
        </w:rPr>
        <w:t>to identify patient</w:t>
      </w:r>
      <w:r w:rsidR="009B3ACE" w:rsidRPr="009A5185">
        <w:rPr>
          <w:rFonts w:cs="Arial"/>
        </w:rPr>
        <w:t>s</w:t>
      </w:r>
      <w:r w:rsidRPr="009A5185">
        <w:rPr>
          <w:rFonts w:cs="Arial"/>
        </w:rPr>
        <w:t xml:space="preserve"> with a specific diagnosis.</w:t>
      </w:r>
    </w:p>
    <w:p w14:paraId="04A0961B" w14:textId="77777777" w:rsidR="00B62930" w:rsidRPr="009A5185" w:rsidRDefault="00B62930" w:rsidP="00B62930">
      <w:pPr>
        <w:rPr>
          <w:rFonts w:cs="Arial"/>
        </w:rPr>
      </w:pPr>
    </w:p>
    <w:p w14:paraId="1FAB4BBF" w14:textId="77777777" w:rsidR="00B62930" w:rsidRDefault="00B24E6B" w:rsidP="00B62930">
      <w:pPr>
        <w:rPr>
          <w:rFonts w:cs="Arial"/>
        </w:rPr>
      </w:pPr>
      <w:r>
        <w:rPr>
          <w:rFonts w:cs="Arial"/>
        </w:rPr>
        <w:t>Count the n</w:t>
      </w:r>
      <w:r w:rsidR="00B62930" w:rsidRPr="009A5185">
        <w:rPr>
          <w:rFonts w:cs="Arial"/>
        </w:rPr>
        <w:t>umber of patients, age</w:t>
      </w:r>
      <w:r w:rsidR="00505834">
        <w:rPr>
          <w:rFonts w:cs="Arial"/>
        </w:rPr>
        <w:t>s</w:t>
      </w:r>
      <w:r w:rsidR="00B62930" w:rsidRPr="009A5185">
        <w:rPr>
          <w:rFonts w:cs="Arial"/>
        </w:rPr>
        <w:t xml:space="preserve"> 18 years and older, discharged with the following </w:t>
      </w:r>
      <w:r w:rsidR="00126158" w:rsidRPr="009A5185">
        <w:rPr>
          <w:rFonts w:cs="Arial"/>
        </w:rPr>
        <w:t>ICD-10</w:t>
      </w:r>
      <w:r w:rsidR="00B62930" w:rsidRPr="009A5185">
        <w:rPr>
          <w:rFonts w:cs="Arial"/>
        </w:rPr>
        <w:t xml:space="preserve"> codes </w:t>
      </w:r>
      <w:r w:rsidR="00126158" w:rsidRPr="009A5185">
        <w:rPr>
          <w:rFonts w:cs="Arial"/>
        </w:rPr>
        <w:t xml:space="preserve">in any procedure field </w:t>
      </w:r>
      <w:r w:rsidR="00126158" w:rsidRPr="006904F9">
        <w:rPr>
          <w:rFonts w:cs="Arial"/>
          <w:b/>
          <w:bCs/>
        </w:rPr>
        <w:t>AND</w:t>
      </w:r>
      <w:r w:rsidR="00126158" w:rsidRPr="009A5185">
        <w:rPr>
          <w:rFonts w:cs="Arial"/>
        </w:rPr>
        <w:t xml:space="preserve"> any of the follo</w:t>
      </w:r>
      <w:r w:rsidR="00FD3A55" w:rsidRPr="009A5185">
        <w:rPr>
          <w:rFonts w:cs="Arial"/>
        </w:rPr>
        <w:t>wing ICD-10 codes in any</w:t>
      </w:r>
      <w:r w:rsidR="00126158" w:rsidRPr="009A5185">
        <w:rPr>
          <w:rFonts w:cs="Arial"/>
        </w:rPr>
        <w:t xml:space="preserve"> diagnosis field</w:t>
      </w:r>
      <w:r w:rsidR="00BF2BFF" w:rsidRPr="009A5185">
        <w:rPr>
          <w:rFonts w:cs="Arial"/>
        </w:rPr>
        <w:t>.</w:t>
      </w:r>
    </w:p>
    <w:p w14:paraId="0985B23C" w14:textId="77777777" w:rsidR="00132607" w:rsidRDefault="00132607" w:rsidP="00B62930">
      <w:pPr>
        <w:rPr>
          <w:rFonts w:cs="Arial"/>
        </w:rPr>
      </w:pPr>
    </w:p>
    <w:p w14:paraId="69136516" w14:textId="77777777" w:rsidR="00CE614D" w:rsidRPr="0004317D" w:rsidRDefault="00CE614D" w:rsidP="00CE614D">
      <w:pPr>
        <w:rPr>
          <w:rFonts w:cs="Arial"/>
          <w:b/>
        </w:rPr>
      </w:pPr>
      <w:r w:rsidRPr="0004317D">
        <w:rPr>
          <w:rFonts w:cs="Arial"/>
          <w:b/>
        </w:rPr>
        <w:t xml:space="preserve">ICD-10 Carotid Endarterectomy Procedure Codes </w:t>
      </w:r>
    </w:p>
    <w:p w14:paraId="2819ED29" w14:textId="77777777" w:rsidR="00CE614D" w:rsidRPr="0004317D" w:rsidRDefault="00CE614D" w:rsidP="00CE614D">
      <w:pPr>
        <w:rPr>
          <w:rFonts w:cs="Arial"/>
          <w:b/>
        </w:rPr>
      </w:pPr>
    </w:p>
    <w:tbl>
      <w:tblPr>
        <w:tblStyle w:val="TableGrid"/>
        <w:tblW w:w="9432" w:type="dxa"/>
        <w:tblLook w:val="04A0" w:firstRow="1" w:lastRow="0" w:firstColumn="1" w:lastColumn="0" w:noHBand="0" w:noVBand="1"/>
      </w:tblPr>
      <w:tblGrid>
        <w:gridCol w:w="1872"/>
        <w:gridCol w:w="7560"/>
      </w:tblGrid>
      <w:tr w:rsidR="00CE614D" w:rsidRPr="0004317D" w14:paraId="32E93230" w14:textId="77777777" w:rsidTr="00696E8F">
        <w:trPr>
          <w:trHeight w:val="432"/>
          <w:tblHeader/>
        </w:trPr>
        <w:tc>
          <w:tcPr>
            <w:tcW w:w="1872" w:type="dxa"/>
            <w:shd w:val="clear" w:color="auto" w:fill="A6A6A6" w:themeFill="background1" w:themeFillShade="A6"/>
            <w:vAlign w:val="center"/>
            <w:hideMark/>
          </w:tcPr>
          <w:p w14:paraId="05AC1484" w14:textId="77777777" w:rsidR="00CE614D" w:rsidRPr="0004317D" w:rsidRDefault="00CE614D" w:rsidP="00696E8F">
            <w:pPr>
              <w:rPr>
                <w:rFonts w:cs="Arial"/>
                <w:b/>
                <w:bCs/>
                <w:color w:val="000000"/>
              </w:rPr>
            </w:pPr>
            <w:r w:rsidRPr="0004317D">
              <w:rPr>
                <w:rFonts w:cs="Arial"/>
                <w:b/>
                <w:bCs/>
                <w:color w:val="000000"/>
              </w:rPr>
              <w:t>ICD-10 Procedure Code</w:t>
            </w:r>
          </w:p>
        </w:tc>
        <w:tc>
          <w:tcPr>
            <w:tcW w:w="7560" w:type="dxa"/>
            <w:shd w:val="clear" w:color="auto" w:fill="A6A6A6" w:themeFill="background1" w:themeFillShade="A6"/>
            <w:vAlign w:val="center"/>
            <w:hideMark/>
          </w:tcPr>
          <w:p w14:paraId="359BBE88" w14:textId="77777777" w:rsidR="00CE614D" w:rsidRPr="0004317D" w:rsidRDefault="00CE614D" w:rsidP="00696E8F">
            <w:pPr>
              <w:rPr>
                <w:rFonts w:cs="Arial"/>
                <w:b/>
                <w:bCs/>
                <w:color w:val="000000"/>
              </w:rPr>
            </w:pPr>
            <w:r w:rsidRPr="0004317D">
              <w:rPr>
                <w:rFonts w:cs="Arial"/>
                <w:b/>
                <w:bCs/>
                <w:color w:val="000000"/>
              </w:rPr>
              <w:t>Code Description</w:t>
            </w:r>
          </w:p>
        </w:tc>
      </w:tr>
      <w:tr w:rsidR="00CE614D" w:rsidRPr="00EC5F7F" w14:paraId="200DB85B" w14:textId="77777777" w:rsidTr="00696E8F">
        <w:trPr>
          <w:trHeight w:val="300"/>
        </w:trPr>
        <w:tc>
          <w:tcPr>
            <w:tcW w:w="1872" w:type="dxa"/>
            <w:noWrap/>
            <w:vAlign w:val="center"/>
            <w:hideMark/>
          </w:tcPr>
          <w:p w14:paraId="0519D2F8" w14:textId="77777777" w:rsidR="00CE614D" w:rsidRPr="00EC5F7F" w:rsidRDefault="00CE614D" w:rsidP="00696E8F">
            <w:pPr>
              <w:rPr>
                <w:rFonts w:cs="Arial"/>
                <w:color w:val="000000"/>
              </w:rPr>
            </w:pPr>
            <w:r w:rsidRPr="00EC5F7F">
              <w:rPr>
                <w:rFonts w:cs="Arial"/>
                <w:color w:val="000000"/>
              </w:rPr>
              <w:t>03CH0ZZ</w:t>
            </w:r>
          </w:p>
        </w:tc>
        <w:tc>
          <w:tcPr>
            <w:tcW w:w="7560" w:type="dxa"/>
            <w:noWrap/>
            <w:vAlign w:val="center"/>
            <w:hideMark/>
          </w:tcPr>
          <w:p w14:paraId="4ABF1822" w14:textId="77777777" w:rsidR="00CE614D" w:rsidRPr="00EC5F7F" w:rsidRDefault="00CE614D" w:rsidP="00696E8F">
            <w:pPr>
              <w:rPr>
                <w:rFonts w:cs="Arial"/>
                <w:color w:val="000000"/>
              </w:rPr>
            </w:pPr>
            <w:r w:rsidRPr="00EC5F7F">
              <w:rPr>
                <w:rFonts w:cs="Arial"/>
                <w:color w:val="000000"/>
              </w:rPr>
              <w:t>Extirpation of Matter from Right Common Carotid Artery, Open Approach</w:t>
            </w:r>
          </w:p>
        </w:tc>
      </w:tr>
      <w:tr w:rsidR="00CE614D" w:rsidRPr="00EC5F7F" w14:paraId="2B7DBE1E" w14:textId="77777777" w:rsidTr="00696E8F">
        <w:trPr>
          <w:trHeight w:val="300"/>
        </w:trPr>
        <w:tc>
          <w:tcPr>
            <w:tcW w:w="1872" w:type="dxa"/>
            <w:noWrap/>
            <w:vAlign w:val="center"/>
            <w:hideMark/>
          </w:tcPr>
          <w:p w14:paraId="2654F885" w14:textId="77777777" w:rsidR="00CE614D" w:rsidRPr="00EC5F7F" w:rsidRDefault="00CE614D" w:rsidP="00696E8F">
            <w:pPr>
              <w:rPr>
                <w:rFonts w:cs="Arial"/>
                <w:color w:val="000000"/>
              </w:rPr>
            </w:pPr>
            <w:r w:rsidRPr="00EC5F7F">
              <w:rPr>
                <w:rFonts w:cs="Arial"/>
                <w:color w:val="000000"/>
              </w:rPr>
              <w:t>03CJ0ZZ</w:t>
            </w:r>
          </w:p>
        </w:tc>
        <w:tc>
          <w:tcPr>
            <w:tcW w:w="7560" w:type="dxa"/>
            <w:noWrap/>
            <w:vAlign w:val="center"/>
            <w:hideMark/>
          </w:tcPr>
          <w:p w14:paraId="24CEC58F" w14:textId="77777777" w:rsidR="00CE614D" w:rsidRPr="00EC5F7F" w:rsidRDefault="00CE614D" w:rsidP="00696E8F">
            <w:pPr>
              <w:rPr>
                <w:rFonts w:cs="Arial"/>
                <w:color w:val="000000"/>
              </w:rPr>
            </w:pPr>
            <w:r w:rsidRPr="00EC5F7F">
              <w:rPr>
                <w:rFonts w:cs="Arial"/>
                <w:color w:val="000000"/>
              </w:rPr>
              <w:t>Extirpation of Matter from Left Common Carotid Artery, Open Approach</w:t>
            </w:r>
          </w:p>
        </w:tc>
      </w:tr>
      <w:tr w:rsidR="00CE614D" w:rsidRPr="00EC5F7F" w14:paraId="1B581D23" w14:textId="77777777" w:rsidTr="00696E8F">
        <w:trPr>
          <w:trHeight w:val="300"/>
        </w:trPr>
        <w:tc>
          <w:tcPr>
            <w:tcW w:w="1872" w:type="dxa"/>
            <w:noWrap/>
            <w:vAlign w:val="center"/>
            <w:hideMark/>
          </w:tcPr>
          <w:p w14:paraId="7AE0123F" w14:textId="77777777" w:rsidR="00CE614D" w:rsidRPr="00EC5F7F" w:rsidRDefault="00CE614D" w:rsidP="00696E8F">
            <w:pPr>
              <w:rPr>
                <w:rFonts w:cs="Arial"/>
                <w:color w:val="000000"/>
              </w:rPr>
            </w:pPr>
            <w:r w:rsidRPr="00EC5F7F">
              <w:rPr>
                <w:rFonts w:cs="Arial"/>
                <w:color w:val="000000"/>
              </w:rPr>
              <w:t>03CK0ZZ</w:t>
            </w:r>
          </w:p>
        </w:tc>
        <w:tc>
          <w:tcPr>
            <w:tcW w:w="7560" w:type="dxa"/>
            <w:noWrap/>
            <w:vAlign w:val="center"/>
            <w:hideMark/>
          </w:tcPr>
          <w:p w14:paraId="0128F553" w14:textId="77777777" w:rsidR="00CE614D" w:rsidRPr="00EC5F7F" w:rsidRDefault="00CE614D" w:rsidP="00696E8F">
            <w:pPr>
              <w:rPr>
                <w:rFonts w:cs="Arial"/>
                <w:color w:val="000000"/>
              </w:rPr>
            </w:pPr>
            <w:r w:rsidRPr="00EC5F7F">
              <w:rPr>
                <w:rFonts w:cs="Arial"/>
                <w:color w:val="000000"/>
              </w:rPr>
              <w:t>Extirpation of Matter from Right Internal Carotid Artery, Open Approach</w:t>
            </w:r>
          </w:p>
        </w:tc>
      </w:tr>
      <w:tr w:rsidR="00CE614D" w:rsidRPr="00EC5F7F" w14:paraId="77094ACA" w14:textId="77777777" w:rsidTr="00696E8F">
        <w:trPr>
          <w:trHeight w:val="300"/>
        </w:trPr>
        <w:tc>
          <w:tcPr>
            <w:tcW w:w="1872" w:type="dxa"/>
            <w:noWrap/>
            <w:vAlign w:val="center"/>
            <w:hideMark/>
          </w:tcPr>
          <w:p w14:paraId="6F0B5A6B" w14:textId="77777777" w:rsidR="00CE614D" w:rsidRPr="00EC5F7F" w:rsidRDefault="00CE614D" w:rsidP="00696E8F">
            <w:pPr>
              <w:rPr>
                <w:rFonts w:cs="Arial"/>
                <w:color w:val="000000"/>
              </w:rPr>
            </w:pPr>
            <w:r w:rsidRPr="00EC5F7F">
              <w:rPr>
                <w:rFonts w:cs="Arial"/>
                <w:color w:val="000000"/>
              </w:rPr>
              <w:t>03CL0ZZ</w:t>
            </w:r>
          </w:p>
        </w:tc>
        <w:tc>
          <w:tcPr>
            <w:tcW w:w="7560" w:type="dxa"/>
            <w:noWrap/>
            <w:vAlign w:val="center"/>
            <w:hideMark/>
          </w:tcPr>
          <w:p w14:paraId="21989E9A" w14:textId="77777777" w:rsidR="00CE614D" w:rsidRPr="00EC5F7F" w:rsidRDefault="00CE614D" w:rsidP="00696E8F">
            <w:pPr>
              <w:rPr>
                <w:rFonts w:cs="Arial"/>
                <w:color w:val="000000"/>
              </w:rPr>
            </w:pPr>
            <w:r w:rsidRPr="00EC5F7F">
              <w:rPr>
                <w:rFonts w:cs="Arial"/>
                <w:color w:val="000000"/>
              </w:rPr>
              <w:t>Extirpation of Matter from Left Internal Carotid Artery, Open Approach</w:t>
            </w:r>
          </w:p>
        </w:tc>
      </w:tr>
      <w:tr w:rsidR="00CE614D" w:rsidRPr="00EC5F7F" w14:paraId="4B50F6DC" w14:textId="77777777" w:rsidTr="00696E8F">
        <w:trPr>
          <w:trHeight w:val="300"/>
        </w:trPr>
        <w:tc>
          <w:tcPr>
            <w:tcW w:w="1872" w:type="dxa"/>
            <w:noWrap/>
            <w:vAlign w:val="center"/>
            <w:hideMark/>
          </w:tcPr>
          <w:p w14:paraId="066F7473" w14:textId="77777777" w:rsidR="00CE614D" w:rsidRPr="00EC5F7F" w:rsidRDefault="00CE614D" w:rsidP="00696E8F">
            <w:pPr>
              <w:rPr>
                <w:rFonts w:cs="Arial"/>
                <w:color w:val="000000"/>
              </w:rPr>
            </w:pPr>
            <w:r w:rsidRPr="00EC5F7F">
              <w:rPr>
                <w:rFonts w:cs="Arial"/>
                <w:color w:val="000000"/>
              </w:rPr>
              <w:t>03CM0ZZ</w:t>
            </w:r>
          </w:p>
        </w:tc>
        <w:tc>
          <w:tcPr>
            <w:tcW w:w="7560" w:type="dxa"/>
            <w:noWrap/>
            <w:vAlign w:val="center"/>
            <w:hideMark/>
          </w:tcPr>
          <w:p w14:paraId="7CD32575" w14:textId="77777777" w:rsidR="00CE614D" w:rsidRPr="00EC5F7F" w:rsidRDefault="00CE614D" w:rsidP="00696E8F">
            <w:pPr>
              <w:rPr>
                <w:rFonts w:cs="Arial"/>
                <w:color w:val="000000"/>
              </w:rPr>
            </w:pPr>
            <w:r w:rsidRPr="00EC5F7F">
              <w:rPr>
                <w:rFonts w:cs="Arial"/>
                <w:color w:val="000000"/>
              </w:rPr>
              <w:t>Extirpation of Matter from Right External Carotid Artery, Open Approach</w:t>
            </w:r>
          </w:p>
        </w:tc>
      </w:tr>
      <w:tr w:rsidR="00CE614D" w:rsidRPr="00EC5F7F" w14:paraId="4BF937F5" w14:textId="77777777" w:rsidTr="00696E8F">
        <w:trPr>
          <w:trHeight w:val="300"/>
        </w:trPr>
        <w:tc>
          <w:tcPr>
            <w:tcW w:w="1872" w:type="dxa"/>
            <w:noWrap/>
            <w:vAlign w:val="center"/>
            <w:hideMark/>
          </w:tcPr>
          <w:p w14:paraId="427456A6" w14:textId="77777777" w:rsidR="00CE614D" w:rsidRPr="00EC5F7F" w:rsidRDefault="00CE614D" w:rsidP="00696E8F">
            <w:pPr>
              <w:rPr>
                <w:rFonts w:cs="Arial"/>
                <w:color w:val="000000"/>
              </w:rPr>
            </w:pPr>
            <w:r w:rsidRPr="00EC5F7F">
              <w:rPr>
                <w:rFonts w:cs="Arial"/>
                <w:color w:val="000000"/>
              </w:rPr>
              <w:t>03CN0ZZ</w:t>
            </w:r>
          </w:p>
        </w:tc>
        <w:tc>
          <w:tcPr>
            <w:tcW w:w="7560" w:type="dxa"/>
            <w:noWrap/>
            <w:vAlign w:val="center"/>
            <w:hideMark/>
          </w:tcPr>
          <w:p w14:paraId="042CF680" w14:textId="77777777" w:rsidR="00CE614D" w:rsidRPr="00EC5F7F" w:rsidRDefault="00CE614D" w:rsidP="00696E8F">
            <w:pPr>
              <w:rPr>
                <w:rFonts w:cs="Arial"/>
                <w:color w:val="000000"/>
              </w:rPr>
            </w:pPr>
            <w:r w:rsidRPr="00EC5F7F">
              <w:rPr>
                <w:rFonts w:cs="Arial"/>
                <w:color w:val="000000"/>
              </w:rPr>
              <w:t>Extirpation of Matter from Left External Carotid Artery, Open Approach</w:t>
            </w:r>
          </w:p>
        </w:tc>
      </w:tr>
    </w:tbl>
    <w:p w14:paraId="32E49955" w14:textId="77777777" w:rsidR="00D64B08" w:rsidRPr="0004317D" w:rsidRDefault="00D64B08" w:rsidP="00CE614D">
      <w:pPr>
        <w:rPr>
          <w:rFonts w:cs="Arial"/>
          <w:b/>
        </w:rPr>
      </w:pPr>
    </w:p>
    <w:p w14:paraId="06DB17DE" w14:textId="77777777" w:rsidR="00CE614D" w:rsidRPr="0004317D" w:rsidRDefault="00CE614D" w:rsidP="00CE614D">
      <w:pPr>
        <w:rPr>
          <w:rFonts w:cs="Arial"/>
          <w:b/>
        </w:rPr>
      </w:pPr>
      <w:r w:rsidRPr="0004317D">
        <w:rPr>
          <w:rFonts w:cs="Arial"/>
          <w:b/>
        </w:rPr>
        <w:t>ICD-10 Occlusion and Stenosis and Cerebral Infarction Diagnosis Codes</w:t>
      </w:r>
    </w:p>
    <w:p w14:paraId="1E2F45CA" w14:textId="77777777" w:rsidR="00CE614D" w:rsidRPr="0004317D" w:rsidRDefault="00CE614D" w:rsidP="00CE614D">
      <w:pPr>
        <w:rPr>
          <w:rFonts w:cs="Arial"/>
          <w:b/>
        </w:rPr>
      </w:pPr>
    </w:p>
    <w:tbl>
      <w:tblPr>
        <w:tblStyle w:val="TableGrid"/>
        <w:tblW w:w="9432" w:type="dxa"/>
        <w:tblLook w:val="04A0" w:firstRow="1" w:lastRow="0" w:firstColumn="1" w:lastColumn="0" w:noHBand="0" w:noVBand="1"/>
      </w:tblPr>
      <w:tblGrid>
        <w:gridCol w:w="1172"/>
        <w:gridCol w:w="8267"/>
      </w:tblGrid>
      <w:tr w:rsidR="00CE614D" w:rsidRPr="0004317D" w14:paraId="1E5B1723" w14:textId="77777777" w:rsidTr="002C718A">
        <w:trPr>
          <w:trHeight w:val="432"/>
          <w:tblHeader/>
        </w:trPr>
        <w:tc>
          <w:tcPr>
            <w:tcW w:w="1165" w:type="dxa"/>
            <w:shd w:val="clear" w:color="auto" w:fill="A6A6A6" w:themeFill="background1" w:themeFillShade="A6"/>
            <w:noWrap/>
            <w:vAlign w:val="center"/>
          </w:tcPr>
          <w:p w14:paraId="16951B52" w14:textId="77777777" w:rsidR="00CE614D" w:rsidRPr="00A77AEC" w:rsidRDefault="00CE614D" w:rsidP="00696E8F">
            <w:pPr>
              <w:rPr>
                <w:rFonts w:cs="Arial"/>
                <w:color w:val="000000"/>
              </w:rPr>
            </w:pPr>
            <w:r w:rsidRPr="00A77AEC">
              <w:rPr>
                <w:rFonts w:cs="Arial"/>
                <w:b/>
                <w:bCs/>
                <w:color w:val="000000"/>
              </w:rPr>
              <w:t>ICD-10 Diagnosis Code</w:t>
            </w:r>
          </w:p>
        </w:tc>
        <w:tc>
          <w:tcPr>
            <w:tcW w:w="8267" w:type="dxa"/>
            <w:shd w:val="clear" w:color="auto" w:fill="A6A6A6" w:themeFill="background1" w:themeFillShade="A6"/>
            <w:noWrap/>
            <w:vAlign w:val="center"/>
          </w:tcPr>
          <w:p w14:paraId="7145D075" w14:textId="77777777" w:rsidR="00CE614D" w:rsidRPr="00A77AEC" w:rsidRDefault="00CE614D" w:rsidP="00696E8F">
            <w:pPr>
              <w:rPr>
                <w:rFonts w:cs="Arial"/>
                <w:color w:val="000000"/>
              </w:rPr>
            </w:pPr>
            <w:r w:rsidRPr="00A77AEC">
              <w:rPr>
                <w:rFonts w:cs="Arial"/>
                <w:b/>
              </w:rPr>
              <w:t>Code Description</w:t>
            </w:r>
          </w:p>
        </w:tc>
      </w:tr>
      <w:tr w:rsidR="00CE614D" w:rsidRPr="00A25DE1" w14:paraId="09BB5EAA" w14:textId="77777777" w:rsidTr="002C718A">
        <w:trPr>
          <w:trHeight w:val="300"/>
        </w:trPr>
        <w:tc>
          <w:tcPr>
            <w:tcW w:w="1165" w:type="dxa"/>
            <w:noWrap/>
            <w:vAlign w:val="center"/>
            <w:hideMark/>
          </w:tcPr>
          <w:p w14:paraId="27934C4B" w14:textId="77777777" w:rsidR="00CE614D" w:rsidRPr="00A77AEC" w:rsidRDefault="00CE614D" w:rsidP="00696E8F">
            <w:pPr>
              <w:rPr>
                <w:rFonts w:cs="Arial"/>
                <w:color w:val="000000"/>
              </w:rPr>
            </w:pPr>
            <w:r w:rsidRPr="00A77AEC">
              <w:rPr>
                <w:rFonts w:cs="Arial"/>
                <w:color w:val="000000"/>
              </w:rPr>
              <w:t>I63.031</w:t>
            </w:r>
          </w:p>
        </w:tc>
        <w:tc>
          <w:tcPr>
            <w:tcW w:w="8267" w:type="dxa"/>
            <w:noWrap/>
            <w:vAlign w:val="center"/>
            <w:hideMark/>
          </w:tcPr>
          <w:p w14:paraId="58E2A406" w14:textId="77777777" w:rsidR="00CE614D" w:rsidRPr="00A77AEC" w:rsidRDefault="00CE614D" w:rsidP="00696E8F">
            <w:pPr>
              <w:rPr>
                <w:rFonts w:cs="Arial"/>
                <w:color w:val="000000"/>
              </w:rPr>
            </w:pPr>
            <w:r w:rsidRPr="00A77AEC">
              <w:rPr>
                <w:rFonts w:cs="Arial"/>
                <w:color w:val="000000"/>
              </w:rPr>
              <w:t>Cerebral infarction due to thrombosis of right carotid artery</w:t>
            </w:r>
          </w:p>
        </w:tc>
      </w:tr>
      <w:tr w:rsidR="00CE614D" w:rsidRPr="00A25DE1" w14:paraId="30ED4491" w14:textId="77777777" w:rsidTr="002C718A">
        <w:trPr>
          <w:trHeight w:val="300"/>
        </w:trPr>
        <w:tc>
          <w:tcPr>
            <w:tcW w:w="1165" w:type="dxa"/>
            <w:noWrap/>
            <w:vAlign w:val="center"/>
            <w:hideMark/>
          </w:tcPr>
          <w:p w14:paraId="742B431F" w14:textId="77777777" w:rsidR="00CE614D" w:rsidRPr="00A77AEC" w:rsidRDefault="00CE614D" w:rsidP="00696E8F">
            <w:pPr>
              <w:rPr>
                <w:rFonts w:cs="Arial"/>
                <w:color w:val="000000"/>
              </w:rPr>
            </w:pPr>
            <w:r w:rsidRPr="00A77AEC">
              <w:rPr>
                <w:rFonts w:cs="Arial"/>
                <w:color w:val="000000"/>
              </w:rPr>
              <w:t>I63.032</w:t>
            </w:r>
          </w:p>
        </w:tc>
        <w:tc>
          <w:tcPr>
            <w:tcW w:w="8267" w:type="dxa"/>
            <w:noWrap/>
            <w:vAlign w:val="center"/>
            <w:hideMark/>
          </w:tcPr>
          <w:p w14:paraId="3ABAF246" w14:textId="77777777" w:rsidR="00CE614D" w:rsidRPr="00A77AEC" w:rsidRDefault="00CE614D" w:rsidP="00696E8F">
            <w:pPr>
              <w:rPr>
                <w:rFonts w:cs="Arial"/>
                <w:color w:val="000000"/>
              </w:rPr>
            </w:pPr>
            <w:r w:rsidRPr="00A77AEC">
              <w:rPr>
                <w:rFonts w:cs="Arial"/>
                <w:color w:val="000000"/>
              </w:rPr>
              <w:t>Cerebral infarction due to thrombosis of left carotid artery</w:t>
            </w:r>
          </w:p>
        </w:tc>
      </w:tr>
      <w:tr w:rsidR="00CE614D" w:rsidRPr="00A25DE1" w14:paraId="3ECA32DF" w14:textId="77777777" w:rsidTr="002C718A">
        <w:trPr>
          <w:trHeight w:val="300"/>
        </w:trPr>
        <w:tc>
          <w:tcPr>
            <w:tcW w:w="1165" w:type="dxa"/>
            <w:noWrap/>
            <w:vAlign w:val="center"/>
            <w:hideMark/>
          </w:tcPr>
          <w:p w14:paraId="196C400D" w14:textId="77777777" w:rsidR="00CE614D" w:rsidRPr="00A77AEC" w:rsidRDefault="00CE614D" w:rsidP="00696E8F">
            <w:pPr>
              <w:rPr>
                <w:rFonts w:cs="Arial"/>
                <w:color w:val="000000"/>
              </w:rPr>
            </w:pPr>
            <w:r w:rsidRPr="00A77AEC">
              <w:rPr>
                <w:rFonts w:cs="Arial"/>
                <w:color w:val="000000"/>
              </w:rPr>
              <w:t>I63.033</w:t>
            </w:r>
          </w:p>
        </w:tc>
        <w:tc>
          <w:tcPr>
            <w:tcW w:w="8267" w:type="dxa"/>
            <w:noWrap/>
            <w:vAlign w:val="center"/>
            <w:hideMark/>
          </w:tcPr>
          <w:p w14:paraId="68E1F03D" w14:textId="77777777" w:rsidR="00CE614D" w:rsidRPr="00A77AEC" w:rsidRDefault="00CE614D" w:rsidP="00696E8F">
            <w:pPr>
              <w:rPr>
                <w:rFonts w:cs="Arial"/>
                <w:color w:val="000000"/>
              </w:rPr>
            </w:pPr>
            <w:r w:rsidRPr="00A77AEC">
              <w:rPr>
                <w:rFonts w:cs="Arial"/>
                <w:color w:val="000000"/>
              </w:rPr>
              <w:t>Cerebral infarction due to thrombosis of bilateral carotid arteries</w:t>
            </w:r>
          </w:p>
        </w:tc>
      </w:tr>
      <w:tr w:rsidR="00CE614D" w:rsidRPr="00A25DE1" w14:paraId="44707EEE" w14:textId="77777777" w:rsidTr="002C718A">
        <w:trPr>
          <w:trHeight w:val="300"/>
        </w:trPr>
        <w:tc>
          <w:tcPr>
            <w:tcW w:w="1165" w:type="dxa"/>
            <w:noWrap/>
            <w:vAlign w:val="center"/>
            <w:hideMark/>
          </w:tcPr>
          <w:p w14:paraId="6E0E5F43" w14:textId="77777777" w:rsidR="00CE614D" w:rsidRPr="00A77AEC" w:rsidRDefault="00CE614D" w:rsidP="00696E8F">
            <w:pPr>
              <w:rPr>
                <w:rFonts w:cs="Arial"/>
                <w:color w:val="000000"/>
              </w:rPr>
            </w:pPr>
            <w:r w:rsidRPr="00A77AEC">
              <w:rPr>
                <w:rFonts w:cs="Arial"/>
                <w:color w:val="000000"/>
              </w:rPr>
              <w:t>I63.039</w:t>
            </w:r>
          </w:p>
        </w:tc>
        <w:tc>
          <w:tcPr>
            <w:tcW w:w="8267" w:type="dxa"/>
            <w:noWrap/>
            <w:vAlign w:val="center"/>
            <w:hideMark/>
          </w:tcPr>
          <w:p w14:paraId="38698DC5" w14:textId="77777777" w:rsidR="00CE614D" w:rsidRPr="00A77AEC" w:rsidRDefault="00CE614D" w:rsidP="00696E8F">
            <w:pPr>
              <w:rPr>
                <w:rFonts w:cs="Arial"/>
                <w:color w:val="000000"/>
              </w:rPr>
            </w:pPr>
            <w:r w:rsidRPr="00A77AEC">
              <w:rPr>
                <w:rFonts w:cs="Arial"/>
                <w:color w:val="000000"/>
              </w:rPr>
              <w:t>Cerebral infarction due to thrombosis of unspecified carotid artery</w:t>
            </w:r>
          </w:p>
        </w:tc>
      </w:tr>
      <w:tr w:rsidR="00CE614D" w:rsidRPr="00A25DE1" w14:paraId="3FCEF0B1" w14:textId="77777777" w:rsidTr="002C718A">
        <w:trPr>
          <w:trHeight w:val="300"/>
        </w:trPr>
        <w:tc>
          <w:tcPr>
            <w:tcW w:w="1165" w:type="dxa"/>
            <w:noWrap/>
            <w:vAlign w:val="center"/>
            <w:hideMark/>
          </w:tcPr>
          <w:p w14:paraId="2AC24B6D" w14:textId="77777777" w:rsidR="00CE614D" w:rsidRPr="00A77AEC" w:rsidRDefault="00CE614D" w:rsidP="00696E8F">
            <w:pPr>
              <w:rPr>
                <w:rFonts w:cs="Arial"/>
                <w:color w:val="000000"/>
              </w:rPr>
            </w:pPr>
            <w:r w:rsidRPr="00A77AEC">
              <w:rPr>
                <w:rFonts w:cs="Arial"/>
                <w:color w:val="000000"/>
              </w:rPr>
              <w:t>I63.131</w:t>
            </w:r>
          </w:p>
        </w:tc>
        <w:tc>
          <w:tcPr>
            <w:tcW w:w="8267" w:type="dxa"/>
            <w:noWrap/>
            <w:vAlign w:val="center"/>
            <w:hideMark/>
          </w:tcPr>
          <w:p w14:paraId="7AD45BB4" w14:textId="77777777" w:rsidR="00CE614D" w:rsidRPr="00A77AEC" w:rsidRDefault="00CE614D" w:rsidP="00696E8F">
            <w:pPr>
              <w:rPr>
                <w:rFonts w:cs="Arial"/>
                <w:color w:val="000000"/>
              </w:rPr>
            </w:pPr>
            <w:r w:rsidRPr="00A77AEC">
              <w:rPr>
                <w:rFonts w:cs="Arial"/>
                <w:color w:val="000000"/>
              </w:rPr>
              <w:t>Cerebral infarction due to embolism of right carotid artery</w:t>
            </w:r>
          </w:p>
        </w:tc>
      </w:tr>
      <w:tr w:rsidR="00CE614D" w:rsidRPr="00A25DE1" w14:paraId="6D1F35E3" w14:textId="77777777" w:rsidTr="002C718A">
        <w:trPr>
          <w:trHeight w:val="300"/>
        </w:trPr>
        <w:tc>
          <w:tcPr>
            <w:tcW w:w="1165" w:type="dxa"/>
            <w:noWrap/>
            <w:vAlign w:val="center"/>
            <w:hideMark/>
          </w:tcPr>
          <w:p w14:paraId="00F48A26" w14:textId="77777777" w:rsidR="00CE614D" w:rsidRPr="00A77AEC" w:rsidRDefault="00CE614D" w:rsidP="00696E8F">
            <w:pPr>
              <w:rPr>
                <w:rFonts w:cs="Arial"/>
                <w:color w:val="000000"/>
              </w:rPr>
            </w:pPr>
            <w:r w:rsidRPr="00A77AEC">
              <w:rPr>
                <w:rFonts w:cs="Arial"/>
                <w:color w:val="000000"/>
              </w:rPr>
              <w:t>I63.132</w:t>
            </w:r>
          </w:p>
        </w:tc>
        <w:tc>
          <w:tcPr>
            <w:tcW w:w="8267" w:type="dxa"/>
            <w:noWrap/>
            <w:vAlign w:val="center"/>
            <w:hideMark/>
          </w:tcPr>
          <w:p w14:paraId="40649119" w14:textId="77777777" w:rsidR="00CE614D" w:rsidRPr="00A77AEC" w:rsidRDefault="00CE614D" w:rsidP="00696E8F">
            <w:pPr>
              <w:rPr>
                <w:rFonts w:cs="Arial"/>
                <w:color w:val="000000"/>
              </w:rPr>
            </w:pPr>
            <w:r w:rsidRPr="00A77AEC">
              <w:rPr>
                <w:rFonts w:cs="Arial"/>
                <w:color w:val="000000"/>
              </w:rPr>
              <w:t>Cerebral infarction due to embolism of left carotid artery</w:t>
            </w:r>
          </w:p>
        </w:tc>
      </w:tr>
      <w:tr w:rsidR="00CE614D" w:rsidRPr="00A25DE1" w14:paraId="3E3B16F6" w14:textId="77777777" w:rsidTr="002C718A">
        <w:trPr>
          <w:trHeight w:val="300"/>
        </w:trPr>
        <w:tc>
          <w:tcPr>
            <w:tcW w:w="1165" w:type="dxa"/>
            <w:noWrap/>
            <w:vAlign w:val="center"/>
            <w:hideMark/>
          </w:tcPr>
          <w:p w14:paraId="6163278B" w14:textId="77777777" w:rsidR="00CE614D" w:rsidRPr="00A77AEC" w:rsidRDefault="00CE614D" w:rsidP="00696E8F">
            <w:pPr>
              <w:rPr>
                <w:rFonts w:cs="Arial"/>
                <w:color w:val="000000"/>
              </w:rPr>
            </w:pPr>
            <w:r w:rsidRPr="00A77AEC">
              <w:rPr>
                <w:rFonts w:cs="Arial"/>
                <w:color w:val="000000"/>
              </w:rPr>
              <w:t>I63.133</w:t>
            </w:r>
          </w:p>
        </w:tc>
        <w:tc>
          <w:tcPr>
            <w:tcW w:w="8267" w:type="dxa"/>
            <w:noWrap/>
            <w:vAlign w:val="center"/>
            <w:hideMark/>
          </w:tcPr>
          <w:p w14:paraId="33F0F6DC" w14:textId="77777777" w:rsidR="00CE614D" w:rsidRPr="00A77AEC" w:rsidRDefault="00CE614D" w:rsidP="00696E8F">
            <w:pPr>
              <w:rPr>
                <w:rFonts w:cs="Arial"/>
                <w:color w:val="000000"/>
              </w:rPr>
            </w:pPr>
            <w:r w:rsidRPr="00A77AEC">
              <w:rPr>
                <w:rFonts w:cs="Arial"/>
                <w:color w:val="000000"/>
              </w:rPr>
              <w:t>Cerebral infarction due to embolism of bilateral carotid arteries</w:t>
            </w:r>
          </w:p>
        </w:tc>
      </w:tr>
      <w:tr w:rsidR="00CE614D" w:rsidRPr="00A25DE1" w14:paraId="08B2CF72" w14:textId="77777777" w:rsidTr="002C718A">
        <w:trPr>
          <w:trHeight w:val="300"/>
        </w:trPr>
        <w:tc>
          <w:tcPr>
            <w:tcW w:w="1165" w:type="dxa"/>
            <w:noWrap/>
            <w:vAlign w:val="center"/>
            <w:hideMark/>
          </w:tcPr>
          <w:p w14:paraId="7BECA851" w14:textId="77777777" w:rsidR="00CE614D" w:rsidRPr="00A77AEC" w:rsidRDefault="00CE614D" w:rsidP="00696E8F">
            <w:pPr>
              <w:rPr>
                <w:rFonts w:cs="Arial"/>
                <w:color w:val="000000"/>
              </w:rPr>
            </w:pPr>
            <w:r w:rsidRPr="00A77AEC">
              <w:rPr>
                <w:rFonts w:cs="Arial"/>
                <w:color w:val="000000"/>
              </w:rPr>
              <w:t>I63.139</w:t>
            </w:r>
          </w:p>
        </w:tc>
        <w:tc>
          <w:tcPr>
            <w:tcW w:w="8267" w:type="dxa"/>
            <w:noWrap/>
            <w:vAlign w:val="center"/>
            <w:hideMark/>
          </w:tcPr>
          <w:p w14:paraId="41021A2C" w14:textId="77777777" w:rsidR="00CE614D" w:rsidRPr="00A77AEC" w:rsidRDefault="00CE614D" w:rsidP="00696E8F">
            <w:pPr>
              <w:rPr>
                <w:rFonts w:cs="Arial"/>
                <w:color w:val="000000"/>
              </w:rPr>
            </w:pPr>
            <w:r w:rsidRPr="00A77AEC">
              <w:rPr>
                <w:rFonts w:cs="Arial"/>
                <w:color w:val="000000"/>
              </w:rPr>
              <w:t>Cerebral infarction due to embolism of unspecified carotid artery</w:t>
            </w:r>
          </w:p>
        </w:tc>
      </w:tr>
      <w:tr w:rsidR="00CE614D" w:rsidRPr="00A25DE1" w14:paraId="6D7C4F91" w14:textId="77777777" w:rsidTr="002C718A">
        <w:trPr>
          <w:trHeight w:val="300"/>
        </w:trPr>
        <w:tc>
          <w:tcPr>
            <w:tcW w:w="1165" w:type="dxa"/>
            <w:noWrap/>
            <w:vAlign w:val="center"/>
            <w:hideMark/>
          </w:tcPr>
          <w:p w14:paraId="4ECD0A80" w14:textId="77777777" w:rsidR="00CE614D" w:rsidRPr="00A77AEC" w:rsidRDefault="00CE614D" w:rsidP="00696E8F">
            <w:pPr>
              <w:rPr>
                <w:rFonts w:cs="Arial"/>
                <w:color w:val="000000"/>
              </w:rPr>
            </w:pPr>
            <w:r w:rsidRPr="00A77AEC">
              <w:rPr>
                <w:rFonts w:cs="Arial"/>
                <w:color w:val="000000"/>
              </w:rPr>
              <w:t>I63.231</w:t>
            </w:r>
          </w:p>
        </w:tc>
        <w:tc>
          <w:tcPr>
            <w:tcW w:w="8267" w:type="dxa"/>
            <w:noWrap/>
            <w:vAlign w:val="center"/>
            <w:hideMark/>
          </w:tcPr>
          <w:p w14:paraId="2B18B248" w14:textId="77777777" w:rsidR="00CE614D" w:rsidRPr="00A77AEC" w:rsidRDefault="00CE614D" w:rsidP="00696E8F">
            <w:pPr>
              <w:rPr>
                <w:rFonts w:cs="Arial"/>
                <w:color w:val="000000"/>
              </w:rPr>
            </w:pPr>
            <w:r w:rsidRPr="00A77AEC">
              <w:rPr>
                <w:rFonts w:cs="Arial"/>
                <w:color w:val="000000"/>
              </w:rPr>
              <w:t>Cerebral infarction due to unspecified occlusion or stenosis of right carotid arteries</w:t>
            </w:r>
          </w:p>
        </w:tc>
      </w:tr>
      <w:tr w:rsidR="00CE614D" w:rsidRPr="00A25DE1" w14:paraId="18FC6DB6" w14:textId="77777777" w:rsidTr="002C718A">
        <w:trPr>
          <w:trHeight w:val="300"/>
        </w:trPr>
        <w:tc>
          <w:tcPr>
            <w:tcW w:w="1165" w:type="dxa"/>
            <w:noWrap/>
            <w:vAlign w:val="center"/>
            <w:hideMark/>
          </w:tcPr>
          <w:p w14:paraId="55055E97" w14:textId="77777777" w:rsidR="00CE614D" w:rsidRPr="00A77AEC" w:rsidRDefault="00CE614D" w:rsidP="00696E8F">
            <w:pPr>
              <w:rPr>
                <w:rFonts w:cs="Arial"/>
                <w:color w:val="000000"/>
              </w:rPr>
            </w:pPr>
            <w:r w:rsidRPr="00A77AEC">
              <w:rPr>
                <w:rFonts w:cs="Arial"/>
                <w:color w:val="000000"/>
              </w:rPr>
              <w:t>I63.232</w:t>
            </w:r>
          </w:p>
        </w:tc>
        <w:tc>
          <w:tcPr>
            <w:tcW w:w="8267" w:type="dxa"/>
            <w:noWrap/>
            <w:vAlign w:val="center"/>
            <w:hideMark/>
          </w:tcPr>
          <w:p w14:paraId="4A0ABCDE" w14:textId="77777777" w:rsidR="00CE614D" w:rsidRPr="00A77AEC" w:rsidRDefault="00CE614D" w:rsidP="00696E8F">
            <w:pPr>
              <w:rPr>
                <w:rFonts w:cs="Arial"/>
                <w:color w:val="000000"/>
              </w:rPr>
            </w:pPr>
            <w:r w:rsidRPr="00A77AEC">
              <w:rPr>
                <w:rFonts w:cs="Arial"/>
                <w:color w:val="000000"/>
              </w:rPr>
              <w:t>Cerebral infarction due to unspecified occlusion or stenosis of left carotid arteries</w:t>
            </w:r>
          </w:p>
        </w:tc>
      </w:tr>
      <w:tr w:rsidR="00CE614D" w:rsidRPr="00A25DE1" w14:paraId="352570C3" w14:textId="77777777" w:rsidTr="002C718A">
        <w:trPr>
          <w:trHeight w:val="300"/>
        </w:trPr>
        <w:tc>
          <w:tcPr>
            <w:tcW w:w="1165" w:type="dxa"/>
            <w:noWrap/>
            <w:vAlign w:val="center"/>
            <w:hideMark/>
          </w:tcPr>
          <w:p w14:paraId="2709A986" w14:textId="77777777" w:rsidR="00CE614D" w:rsidRPr="00A77AEC" w:rsidRDefault="00CE614D" w:rsidP="00696E8F">
            <w:pPr>
              <w:rPr>
                <w:rFonts w:cs="Arial"/>
                <w:color w:val="000000"/>
              </w:rPr>
            </w:pPr>
            <w:r w:rsidRPr="00A77AEC">
              <w:rPr>
                <w:rFonts w:cs="Arial"/>
                <w:color w:val="000000"/>
              </w:rPr>
              <w:t>I63.233</w:t>
            </w:r>
          </w:p>
        </w:tc>
        <w:tc>
          <w:tcPr>
            <w:tcW w:w="8267" w:type="dxa"/>
            <w:noWrap/>
            <w:vAlign w:val="center"/>
            <w:hideMark/>
          </w:tcPr>
          <w:p w14:paraId="38B93B51" w14:textId="77777777" w:rsidR="00CE614D" w:rsidRPr="00A77AEC" w:rsidRDefault="00CE614D" w:rsidP="00696E8F">
            <w:pPr>
              <w:rPr>
                <w:rFonts w:cs="Arial"/>
                <w:color w:val="000000"/>
              </w:rPr>
            </w:pPr>
            <w:r w:rsidRPr="00A77AEC">
              <w:rPr>
                <w:rFonts w:cs="Arial"/>
                <w:color w:val="000000"/>
              </w:rPr>
              <w:t>Cerebral infarction due to unspecified occlusion or stenosis of bilateral carotid arteries</w:t>
            </w:r>
          </w:p>
        </w:tc>
      </w:tr>
      <w:tr w:rsidR="00CE614D" w:rsidRPr="00A25DE1" w14:paraId="4E6C452B" w14:textId="77777777" w:rsidTr="002C718A">
        <w:trPr>
          <w:trHeight w:val="300"/>
        </w:trPr>
        <w:tc>
          <w:tcPr>
            <w:tcW w:w="1165" w:type="dxa"/>
            <w:noWrap/>
            <w:vAlign w:val="center"/>
            <w:hideMark/>
          </w:tcPr>
          <w:p w14:paraId="7863B69D" w14:textId="77777777" w:rsidR="00CE614D" w:rsidRPr="00A77AEC" w:rsidRDefault="00CE614D" w:rsidP="00696E8F">
            <w:pPr>
              <w:rPr>
                <w:rFonts w:cs="Arial"/>
                <w:color w:val="000000"/>
              </w:rPr>
            </w:pPr>
            <w:r w:rsidRPr="00A77AEC">
              <w:rPr>
                <w:rFonts w:cs="Arial"/>
                <w:color w:val="000000"/>
              </w:rPr>
              <w:t>I63.239</w:t>
            </w:r>
          </w:p>
        </w:tc>
        <w:tc>
          <w:tcPr>
            <w:tcW w:w="8267" w:type="dxa"/>
            <w:noWrap/>
            <w:vAlign w:val="center"/>
            <w:hideMark/>
          </w:tcPr>
          <w:p w14:paraId="246193B5" w14:textId="77777777" w:rsidR="00CE614D" w:rsidRPr="00E1411B" w:rsidRDefault="00CE614D" w:rsidP="00696E8F">
            <w:pPr>
              <w:rPr>
                <w:rFonts w:cs="Arial"/>
                <w:color w:val="000000"/>
              </w:rPr>
            </w:pPr>
            <w:r w:rsidRPr="00E1411B">
              <w:rPr>
                <w:rFonts w:cs="Arial"/>
                <w:color w:val="000000"/>
              </w:rPr>
              <w:t>Cerebral infarction due to unspecified occlusion or stenosis of unspecified carotid arteries</w:t>
            </w:r>
          </w:p>
        </w:tc>
      </w:tr>
      <w:tr w:rsidR="00CE614D" w:rsidRPr="00A25DE1" w14:paraId="0FEF345C" w14:textId="77777777" w:rsidTr="002C718A">
        <w:trPr>
          <w:trHeight w:val="300"/>
        </w:trPr>
        <w:tc>
          <w:tcPr>
            <w:tcW w:w="1165" w:type="dxa"/>
            <w:noWrap/>
            <w:vAlign w:val="center"/>
            <w:hideMark/>
          </w:tcPr>
          <w:p w14:paraId="2AA6683A" w14:textId="77777777" w:rsidR="00CE614D" w:rsidRPr="00A77AEC" w:rsidRDefault="00CE614D" w:rsidP="00696E8F">
            <w:pPr>
              <w:rPr>
                <w:rFonts w:cs="Arial"/>
                <w:color w:val="000000"/>
              </w:rPr>
            </w:pPr>
            <w:r w:rsidRPr="00A77AEC">
              <w:rPr>
                <w:rFonts w:cs="Arial"/>
                <w:color w:val="000000"/>
              </w:rPr>
              <w:t>I65.21</w:t>
            </w:r>
          </w:p>
        </w:tc>
        <w:tc>
          <w:tcPr>
            <w:tcW w:w="8267" w:type="dxa"/>
            <w:noWrap/>
            <w:vAlign w:val="center"/>
            <w:hideMark/>
          </w:tcPr>
          <w:p w14:paraId="4CF9383C" w14:textId="77777777" w:rsidR="00CE614D" w:rsidRPr="00A77AEC" w:rsidRDefault="00CE614D" w:rsidP="00696E8F">
            <w:pPr>
              <w:rPr>
                <w:rFonts w:cs="Arial"/>
                <w:color w:val="000000"/>
              </w:rPr>
            </w:pPr>
            <w:r w:rsidRPr="00A77AEC">
              <w:rPr>
                <w:rFonts w:cs="Arial"/>
                <w:color w:val="000000"/>
              </w:rPr>
              <w:t>Occlusion and stenosis of right carotid artery</w:t>
            </w:r>
          </w:p>
        </w:tc>
      </w:tr>
      <w:tr w:rsidR="00CE614D" w:rsidRPr="00A25DE1" w14:paraId="3A313E8F" w14:textId="77777777" w:rsidTr="002C718A">
        <w:trPr>
          <w:trHeight w:val="300"/>
        </w:trPr>
        <w:tc>
          <w:tcPr>
            <w:tcW w:w="1165" w:type="dxa"/>
            <w:noWrap/>
            <w:vAlign w:val="center"/>
            <w:hideMark/>
          </w:tcPr>
          <w:p w14:paraId="66B869BD" w14:textId="77777777" w:rsidR="00CE614D" w:rsidRPr="00A77AEC" w:rsidRDefault="00CE614D" w:rsidP="00696E8F">
            <w:pPr>
              <w:rPr>
                <w:rFonts w:cs="Arial"/>
                <w:color w:val="000000"/>
              </w:rPr>
            </w:pPr>
            <w:r w:rsidRPr="00A77AEC">
              <w:rPr>
                <w:rFonts w:cs="Arial"/>
                <w:color w:val="000000"/>
              </w:rPr>
              <w:t>I65.22</w:t>
            </w:r>
          </w:p>
        </w:tc>
        <w:tc>
          <w:tcPr>
            <w:tcW w:w="8267" w:type="dxa"/>
            <w:noWrap/>
            <w:vAlign w:val="center"/>
            <w:hideMark/>
          </w:tcPr>
          <w:p w14:paraId="4BBD59F7" w14:textId="77777777" w:rsidR="00CE614D" w:rsidRPr="00A77AEC" w:rsidRDefault="00CE614D" w:rsidP="00696E8F">
            <w:pPr>
              <w:rPr>
                <w:rFonts w:cs="Arial"/>
                <w:color w:val="000000"/>
              </w:rPr>
            </w:pPr>
            <w:r w:rsidRPr="00A77AEC">
              <w:rPr>
                <w:rFonts w:cs="Arial"/>
                <w:color w:val="000000"/>
              </w:rPr>
              <w:t>Occlusion and stenosis of left carotid artery</w:t>
            </w:r>
          </w:p>
        </w:tc>
      </w:tr>
      <w:tr w:rsidR="00CE614D" w:rsidRPr="00A25DE1" w14:paraId="7EAD68E4" w14:textId="77777777" w:rsidTr="002C718A">
        <w:trPr>
          <w:trHeight w:val="300"/>
        </w:trPr>
        <w:tc>
          <w:tcPr>
            <w:tcW w:w="1165" w:type="dxa"/>
            <w:noWrap/>
            <w:vAlign w:val="center"/>
            <w:hideMark/>
          </w:tcPr>
          <w:p w14:paraId="0E39C806" w14:textId="77777777" w:rsidR="00CE614D" w:rsidRPr="00A77AEC" w:rsidRDefault="00CE614D" w:rsidP="00696E8F">
            <w:pPr>
              <w:rPr>
                <w:rFonts w:cs="Arial"/>
                <w:color w:val="000000"/>
              </w:rPr>
            </w:pPr>
            <w:r w:rsidRPr="00A77AEC">
              <w:rPr>
                <w:rFonts w:cs="Arial"/>
                <w:color w:val="000000"/>
              </w:rPr>
              <w:t>I65.23</w:t>
            </w:r>
          </w:p>
        </w:tc>
        <w:tc>
          <w:tcPr>
            <w:tcW w:w="8267" w:type="dxa"/>
            <w:noWrap/>
            <w:vAlign w:val="center"/>
            <w:hideMark/>
          </w:tcPr>
          <w:p w14:paraId="59BB3A03" w14:textId="77777777" w:rsidR="00CE614D" w:rsidRPr="00A77AEC" w:rsidRDefault="00CE614D" w:rsidP="00696E8F">
            <w:pPr>
              <w:rPr>
                <w:rFonts w:cs="Arial"/>
                <w:color w:val="000000"/>
              </w:rPr>
            </w:pPr>
            <w:r w:rsidRPr="00A77AEC">
              <w:rPr>
                <w:rFonts w:cs="Arial"/>
                <w:color w:val="000000"/>
              </w:rPr>
              <w:t>Occlusion and stenosis of bilateral carotid arteries</w:t>
            </w:r>
          </w:p>
        </w:tc>
      </w:tr>
      <w:tr w:rsidR="00CE614D" w:rsidRPr="00A25DE1" w14:paraId="5E8C9116" w14:textId="77777777" w:rsidTr="002C718A">
        <w:trPr>
          <w:trHeight w:val="300"/>
        </w:trPr>
        <w:tc>
          <w:tcPr>
            <w:tcW w:w="1165" w:type="dxa"/>
            <w:noWrap/>
            <w:vAlign w:val="center"/>
            <w:hideMark/>
          </w:tcPr>
          <w:p w14:paraId="5D9DF0EE" w14:textId="77777777" w:rsidR="00CE614D" w:rsidRPr="00A77AEC" w:rsidRDefault="00CE614D" w:rsidP="00696E8F">
            <w:pPr>
              <w:rPr>
                <w:rFonts w:cs="Arial"/>
                <w:color w:val="000000"/>
              </w:rPr>
            </w:pPr>
            <w:r w:rsidRPr="00A77AEC">
              <w:rPr>
                <w:rFonts w:cs="Arial"/>
                <w:color w:val="000000"/>
              </w:rPr>
              <w:t>I65.29</w:t>
            </w:r>
          </w:p>
        </w:tc>
        <w:tc>
          <w:tcPr>
            <w:tcW w:w="8267" w:type="dxa"/>
            <w:noWrap/>
            <w:vAlign w:val="center"/>
            <w:hideMark/>
          </w:tcPr>
          <w:p w14:paraId="0F30CF47" w14:textId="77777777" w:rsidR="00CE614D" w:rsidRPr="00A77AEC" w:rsidRDefault="00CE614D" w:rsidP="00696E8F">
            <w:pPr>
              <w:rPr>
                <w:rFonts w:cs="Arial"/>
                <w:color w:val="000000"/>
              </w:rPr>
            </w:pPr>
            <w:r w:rsidRPr="00A77AEC">
              <w:rPr>
                <w:rFonts w:cs="Arial"/>
                <w:color w:val="000000"/>
              </w:rPr>
              <w:t>Occlusion and stenosis of unspecified carotid artery</w:t>
            </w:r>
          </w:p>
        </w:tc>
      </w:tr>
      <w:tr w:rsidR="00CE614D" w:rsidRPr="00A25DE1" w14:paraId="59F15966" w14:textId="77777777" w:rsidTr="002C718A">
        <w:trPr>
          <w:trHeight w:val="300"/>
        </w:trPr>
        <w:tc>
          <w:tcPr>
            <w:tcW w:w="1165" w:type="dxa"/>
            <w:noWrap/>
            <w:vAlign w:val="center"/>
            <w:hideMark/>
          </w:tcPr>
          <w:p w14:paraId="51A6DEF8" w14:textId="77777777" w:rsidR="00CE614D" w:rsidRPr="00A77AEC" w:rsidRDefault="00CE614D" w:rsidP="00696E8F">
            <w:pPr>
              <w:rPr>
                <w:rFonts w:cs="Arial"/>
                <w:color w:val="000000"/>
              </w:rPr>
            </w:pPr>
            <w:r w:rsidRPr="00A77AEC">
              <w:rPr>
                <w:rFonts w:cs="Arial"/>
                <w:color w:val="000000"/>
              </w:rPr>
              <w:t>I65.8</w:t>
            </w:r>
          </w:p>
        </w:tc>
        <w:tc>
          <w:tcPr>
            <w:tcW w:w="8267" w:type="dxa"/>
            <w:noWrap/>
            <w:vAlign w:val="center"/>
            <w:hideMark/>
          </w:tcPr>
          <w:p w14:paraId="09C4B21B" w14:textId="77777777" w:rsidR="00CE614D" w:rsidRPr="00A77AEC" w:rsidRDefault="00CE614D" w:rsidP="00696E8F">
            <w:pPr>
              <w:rPr>
                <w:rFonts w:cs="Arial"/>
                <w:color w:val="000000"/>
              </w:rPr>
            </w:pPr>
            <w:r w:rsidRPr="00A77AEC">
              <w:rPr>
                <w:rFonts w:cs="Arial"/>
                <w:color w:val="000000"/>
              </w:rPr>
              <w:t>Occlusion and stenosis of other precerebral arteries</w:t>
            </w:r>
          </w:p>
        </w:tc>
      </w:tr>
      <w:tr w:rsidR="00CE614D" w:rsidRPr="00A25DE1" w14:paraId="2A1DE70B" w14:textId="77777777" w:rsidTr="002C718A">
        <w:trPr>
          <w:trHeight w:val="300"/>
        </w:trPr>
        <w:tc>
          <w:tcPr>
            <w:tcW w:w="1165" w:type="dxa"/>
            <w:noWrap/>
            <w:vAlign w:val="center"/>
            <w:hideMark/>
          </w:tcPr>
          <w:p w14:paraId="1AFF829C" w14:textId="77777777" w:rsidR="00CE614D" w:rsidRPr="00A77AEC" w:rsidRDefault="00CE614D" w:rsidP="00696E8F">
            <w:pPr>
              <w:rPr>
                <w:rFonts w:cs="Arial"/>
                <w:color w:val="000000"/>
              </w:rPr>
            </w:pPr>
            <w:r w:rsidRPr="00A77AEC">
              <w:rPr>
                <w:rFonts w:cs="Arial"/>
                <w:color w:val="000000"/>
              </w:rPr>
              <w:t>I65.9</w:t>
            </w:r>
          </w:p>
        </w:tc>
        <w:tc>
          <w:tcPr>
            <w:tcW w:w="8267" w:type="dxa"/>
            <w:noWrap/>
            <w:vAlign w:val="center"/>
            <w:hideMark/>
          </w:tcPr>
          <w:p w14:paraId="57426B5E" w14:textId="77777777" w:rsidR="00CE614D" w:rsidRPr="00A77AEC" w:rsidRDefault="00CE614D" w:rsidP="00696E8F">
            <w:pPr>
              <w:rPr>
                <w:rFonts w:cs="Arial"/>
                <w:color w:val="000000"/>
              </w:rPr>
            </w:pPr>
            <w:r w:rsidRPr="00A77AEC">
              <w:rPr>
                <w:rFonts w:cs="Arial"/>
                <w:color w:val="000000"/>
              </w:rPr>
              <w:t>Occlusion and stenosis of unspecified precerebral artery</w:t>
            </w:r>
          </w:p>
        </w:tc>
      </w:tr>
    </w:tbl>
    <w:p w14:paraId="58354811" w14:textId="77777777" w:rsidR="00FB29EB" w:rsidRPr="009A5185" w:rsidRDefault="00FB29EB" w:rsidP="00D51874"/>
    <w:p w14:paraId="0F1AA16D" w14:textId="77777777" w:rsidR="00F13A61" w:rsidRPr="009A5185" w:rsidRDefault="00F13A61">
      <w:pPr>
        <w:rPr>
          <w:rFonts w:cs="Arial"/>
          <w:b/>
          <w:i/>
          <w:sz w:val="24"/>
          <w:szCs w:val="24"/>
          <w:lang w:eastAsia="ja-JP"/>
        </w:rPr>
      </w:pPr>
      <w:r w:rsidRPr="009A5185">
        <w:rPr>
          <w:rFonts w:cs="Arial"/>
        </w:rPr>
        <w:br w:type="page"/>
      </w:r>
    </w:p>
    <w:p w14:paraId="0BAF7FA2" w14:textId="2955364D" w:rsidR="00762789" w:rsidRPr="009A5185" w:rsidRDefault="00762789" w:rsidP="000C2C54">
      <w:pPr>
        <w:pStyle w:val="Heading44"/>
      </w:pPr>
      <w:bookmarkStart w:id="260" w:name="MitralValve"/>
      <w:r w:rsidRPr="009A5185">
        <w:lastRenderedPageBreak/>
        <w:t xml:space="preserve">Mitral Valve Repair and Replacement Measure </w:t>
      </w:r>
      <w:r w:rsidR="000765C6">
        <w:t>Specifications</w:t>
      </w:r>
    </w:p>
    <w:bookmarkEnd w:id="260"/>
    <w:p w14:paraId="66C023B2" w14:textId="77777777" w:rsidR="00762789" w:rsidRPr="009A5185" w:rsidRDefault="00762789" w:rsidP="00762789">
      <w:pPr>
        <w:rPr>
          <w:rFonts w:cs="Arial"/>
        </w:rPr>
      </w:pPr>
    </w:p>
    <w:p w14:paraId="74264631" w14:textId="77777777" w:rsidR="00762789" w:rsidRPr="009A5185" w:rsidRDefault="009D1A7B" w:rsidP="00762789">
      <w:pPr>
        <w:rPr>
          <w:rFonts w:cs="Arial"/>
        </w:rPr>
      </w:pPr>
      <w:r>
        <w:rPr>
          <w:rFonts w:cs="Arial"/>
        </w:rPr>
        <w:t>For m</w:t>
      </w:r>
      <w:r w:rsidR="00762789" w:rsidRPr="009A5185">
        <w:rPr>
          <w:rFonts w:cs="Arial"/>
        </w:rPr>
        <w:t xml:space="preserve">itral </w:t>
      </w:r>
      <w:r w:rsidRPr="009A5185">
        <w:rPr>
          <w:rFonts w:cs="Arial"/>
        </w:rPr>
        <w:t>valve repair and replacement</w:t>
      </w:r>
      <w:r w:rsidR="00762789" w:rsidRPr="009A5185">
        <w:rPr>
          <w:rFonts w:cs="Arial"/>
        </w:rPr>
        <w:t>, there is only one set of IC</w:t>
      </w:r>
      <w:r w:rsidR="00F150C8">
        <w:rPr>
          <w:rFonts w:cs="Arial"/>
        </w:rPr>
        <w:t>D-10 codes for counting patient discharges</w:t>
      </w:r>
      <w:r w:rsidR="00762789" w:rsidRPr="009A5185">
        <w:rPr>
          <w:rFonts w:cs="Arial"/>
        </w:rPr>
        <w:t xml:space="preserve">. The set of codes is to identify patients who have had the procedure. </w:t>
      </w:r>
    </w:p>
    <w:p w14:paraId="7B5FC088" w14:textId="77777777" w:rsidR="00762789" w:rsidRPr="009A5185" w:rsidRDefault="00762789" w:rsidP="00762789">
      <w:pPr>
        <w:rPr>
          <w:rFonts w:cs="Arial"/>
        </w:rPr>
      </w:pPr>
    </w:p>
    <w:p w14:paraId="236A0FA1" w14:textId="77777777" w:rsidR="00E8547C" w:rsidRDefault="007550AD" w:rsidP="00762789">
      <w:pPr>
        <w:rPr>
          <w:rFonts w:cs="Arial"/>
        </w:rPr>
      </w:pPr>
      <w:r>
        <w:rPr>
          <w:rFonts w:cs="Arial"/>
        </w:rPr>
        <w:t>Count the n</w:t>
      </w:r>
      <w:r w:rsidR="00762789" w:rsidRPr="009A5185">
        <w:rPr>
          <w:rFonts w:cs="Arial"/>
        </w:rPr>
        <w:t>umber of patients, age</w:t>
      </w:r>
      <w:r w:rsidR="009D1A7B">
        <w:rPr>
          <w:rFonts w:cs="Arial"/>
        </w:rPr>
        <w:t>s</w:t>
      </w:r>
      <w:r w:rsidR="00762789" w:rsidRPr="009A5185">
        <w:rPr>
          <w:rFonts w:cs="Arial"/>
        </w:rPr>
        <w:t xml:space="preserve"> 18 years and older, discharged with the following ICD-10 codes in any procedure field.</w:t>
      </w:r>
    </w:p>
    <w:p w14:paraId="36E64E75" w14:textId="77777777" w:rsidR="00762789" w:rsidRPr="009A5185" w:rsidRDefault="00762789" w:rsidP="00762789">
      <w:pPr>
        <w:rPr>
          <w:rFonts w:cs="Arial"/>
        </w:rPr>
      </w:pPr>
    </w:p>
    <w:p w14:paraId="3C5CB678" w14:textId="77777777" w:rsidR="00762789" w:rsidRPr="009A5185" w:rsidRDefault="00762789" w:rsidP="00762789">
      <w:pPr>
        <w:rPr>
          <w:rFonts w:cs="Arial"/>
          <w:b/>
        </w:rPr>
      </w:pPr>
      <w:r w:rsidRPr="009A5185">
        <w:rPr>
          <w:rFonts w:cs="Arial"/>
          <w:b/>
        </w:rPr>
        <w:t>ICD-10 Mitral Valve Repair and Replacement</w:t>
      </w:r>
      <w:r w:rsidR="00862020" w:rsidRPr="009A5185">
        <w:rPr>
          <w:rFonts w:cs="Arial"/>
          <w:b/>
        </w:rPr>
        <w:t xml:space="preserve"> Procedure Codes</w:t>
      </w:r>
    </w:p>
    <w:p w14:paraId="4BD0FCE0" w14:textId="77777777" w:rsidR="00762789" w:rsidRPr="009A5185" w:rsidRDefault="00762789" w:rsidP="00762789">
      <w:pPr>
        <w:rPr>
          <w:rFonts w:cs="Arial"/>
          <w:b/>
        </w:rPr>
      </w:pPr>
    </w:p>
    <w:tbl>
      <w:tblPr>
        <w:tblStyle w:val="TableGrid"/>
        <w:tblW w:w="9432" w:type="dxa"/>
        <w:tblLook w:val="04A0" w:firstRow="1" w:lastRow="0" w:firstColumn="1" w:lastColumn="0" w:noHBand="0" w:noVBand="1"/>
      </w:tblPr>
      <w:tblGrid>
        <w:gridCol w:w="1615"/>
        <w:gridCol w:w="7817"/>
      </w:tblGrid>
      <w:tr w:rsidR="009D1A7B" w:rsidRPr="0004317D" w14:paraId="077D2E52" w14:textId="77777777" w:rsidTr="002C718A">
        <w:trPr>
          <w:trHeight w:val="432"/>
        </w:trPr>
        <w:tc>
          <w:tcPr>
            <w:tcW w:w="1615" w:type="dxa"/>
            <w:shd w:val="clear" w:color="auto" w:fill="BFBFBF" w:themeFill="background1" w:themeFillShade="BF"/>
            <w:vAlign w:val="center"/>
          </w:tcPr>
          <w:p w14:paraId="2B81EAB4" w14:textId="77777777" w:rsidR="009D1A7B" w:rsidRPr="0004317D" w:rsidRDefault="009D1A7B"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Procedure Code</w:t>
            </w:r>
          </w:p>
        </w:tc>
        <w:tc>
          <w:tcPr>
            <w:tcW w:w="7817" w:type="dxa"/>
            <w:shd w:val="clear" w:color="auto" w:fill="BFBFBF" w:themeFill="background1" w:themeFillShade="BF"/>
            <w:vAlign w:val="center"/>
          </w:tcPr>
          <w:p w14:paraId="3215C040" w14:textId="77777777" w:rsidR="009D1A7B" w:rsidRPr="0004317D" w:rsidRDefault="009D1A7B" w:rsidP="00696E8F">
            <w:pPr>
              <w:rPr>
                <w:rFonts w:cs="Arial"/>
                <w:color w:val="000000"/>
              </w:rPr>
            </w:pPr>
            <w:r w:rsidRPr="0004317D">
              <w:rPr>
                <w:rFonts w:cs="Arial"/>
                <w:b/>
                <w:bCs/>
                <w:color w:val="000000"/>
              </w:rPr>
              <w:t>Code Description</w:t>
            </w:r>
          </w:p>
        </w:tc>
      </w:tr>
      <w:tr w:rsidR="009D1A7B" w:rsidRPr="00907E04" w14:paraId="59E6918C" w14:textId="77777777" w:rsidTr="002C718A">
        <w:trPr>
          <w:trHeight w:val="300"/>
        </w:trPr>
        <w:tc>
          <w:tcPr>
            <w:tcW w:w="1615" w:type="dxa"/>
            <w:noWrap/>
            <w:vAlign w:val="center"/>
            <w:hideMark/>
          </w:tcPr>
          <w:p w14:paraId="6866B5CF" w14:textId="77777777" w:rsidR="009D1A7B" w:rsidRPr="00907E04" w:rsidRDefault="009D1A7B" w:rsidP="00696E8F">
            <w:pPr>
              <w:rPr>
                <w:rFonts w:cs="Arial"/>
                <w:color w:val="000000"/>
              </w:rPr>
            </w:pPr>
            <w:r w:rsidRPr="00907E04">
              <w:rPr>
                <w:rFonts w:cs="Arial"/>
                <w:color w:val="000000"/>
              </w:rPr>
              <w:t>027G04Z</w:t>
            </w:r>
          </w:p>
        </w:tc>
        <w:tc>
          <w:tcPr>
            <w:tcW w:w="7817" w:type="dxa"/>
            <w:noWrap/>
            <w:vAlign w:val="center"/>
            <w:hideMark/>
          </w:tcPr>
          <w:p w14:paraId="4759C4FA" w14:textId="77777777" w:rsidR="009D1A7B" w:rsidRPr="00907E04" w:rsidRDefault="009D1A7B" w:rsidP="00696E8F">
            <w:pPr>
              <w:rPr>
                <w:rFonts w:cs="Arial"/>
                <w:color w:val="000000"/>
              </w:rPr>
            </w:pPr>
            <w:r w:rsidRPr="00907E04">
              <w:rPr>
                <w:rFonts w:cs="Arial"/>
                <w:color w:val="000000"/>
              </w:rPr>
              <w:t>Dilation of Mitral Valve with Drug-eluting Intraluminal Device, Open Approach</w:t>
            </w:r>
          </w:p>
        </w:tc>
      </w:tr>
      <w:tr w:rsidR="009D1A7B" w:rsidRPr="00907E04" w14:paraId="29E2BDDA" w14:textId="77777777" w:rsidTr="002C718A">
        <w:trPr>
          <w:trHeight w:val="300"/>
        </w:trPr>
        <w:tc>
          <w:tcPr>
            <w:tcW w:w="1615" w:type="dxa"/>
            <w:noWrap/>
            <w:vAlign w:val="center"/>
            <w:hideMark/>
          </w:tcPr>
          <w:p w14:paraId="7D6A82D2" w14:textId="77777777" w:rsidR="009D1A7B" w:rsidRPr="00907E04" w:rsidRDefault="009D1A7B" w:rsidP="00696E8F">
            <w:pPr>
              <w:rPr>
                <w:rFonts w:cs="Arial"/>
                <w:color w:val="000000"/>
              </w:rPr>
            </w:pPr>
            <w:r w:rsidRPr="00907E04">
              <w:rPr>
                <w:rFonts w:cs="Arial"/>
                <w:color w:val="000000"/>
              </w:rPr>
              <w:t>027G0DZ</w:t>
            </w:r>
          </w:p>
        </w:tc>
        <w:tc>
          <w:tcPr>
            <w:tcW w:w="7817" w:type="dxa"/>
            <w:noWrap/>
            <w:vAlign w:val="center"/>
            <w:hideMark/>
          </w:tcPr>
          <w:p w14:paraId="7A299FC2" w14:textId="77777777" w:rsidR="009D1A7B" w:rsidRPr="00907E04" w:rsidRDefault="009D1A7B" w:rsidP="00696E8F">
            <w:pPr>
              <w:rPr>
                <w:rFonts w:cs="Arial"/>
                <w:color w:val="000000"/>
              </w:rPr>
            </w:pPr>
            <w:r w:rsidRPr="00907E04">
              <w:rPr>
                <w:rFonts w:cs="Arial"/>
                <w:color w:val="000000"/>
              </w:rPr>
              <w:t>Dilation of Mitral Valve with Intraluminal Device, Open Approach</w:t>
            </w:r>
          </w:p>
        </w:tc>
      </w:tr>
      <w:tr w:rsidR="009D1A7B" w:rsidRPr="00907E04" w14:paraId="7A702168" w14:textId="77777777" w:rsidTr="002C718A">
        <w:trPr>
          <w:trHeight w:val="300"/>
        </w:trPr>
        <w:tc>
          <w:tcPr>
            <w:tcW w:w="1615" w:type="dxa"/>
            <w:noWrap/>
            <w:vAlign w:val="center"/>
            <w:hideMark/>
          </w:tcPr>
          <w:p w14:paraId="7A9A2F15" w14:textId="77777777" w:rsidR="009D1A7B" w:rsidRPr="00907E04" w:rsidRDefault="009D1A7B" w:rsidP="00696E8F">
            <w:pPr>
              <w:rPr>
                <w:rFonts w:cs="Arial"/>
                <w:color w:val="000000"/>
              </w:rPr>
            </w:pPr>
            <w:r w:rsidRPr="00907E04">
              <w:rPr>
                <w:rFonts w:cs="Arial"/>
                <w:color w:val="000000"/>
              </w:rPr>
              <w:t>027G0ZZ</w:t>
            </w:r>
          </w:p>
        </w:tc>
        <w:tc>
          <w:tcPr>
            <w:tcW w:w="7817" w:type="dxa"/>
            <w:noWrap/>
            <w:vAlign w:val="center"/>
            <w:hideMark/>
          </w:tcPr>
          <w:p w14:paraId="080D1F22" w14:textId="77777777" w:rsidR="009D1A7B" w:rsidRPr="00907E04" w:rsidRDefault="009D1A7B" w:rsidP="00696E8F">
            <w:pPr>
              <w:rPr>
                <w:rFonts w:cs="Arial"/>
                <w:color w:val="000000"/>
              </w:rPr>
            </w:pPr>
            <w:r w:rsidRPr="00907E04">
              <w:rPr>
                <w:rFonts w:cs="Arial"/>
                <w:color w:val="000000"/>
              </w:rPr>
              <w:t>Dilation of Mitral Valve, Open Approach</w:t>
            </w:r>
          </w:p>
        </w:tc>
      </w:tr>
      <w:tr w:rsidR="009D1A7B" w:rsidRPr="00907E04" w14:paraId="20A297C5" w14:textId="77777777" w:rsidTr="002C718A">
        <w:trPr>
          <w:trHeight w:val="300"/>
        </w:trPr>
        <w:tc>
          <w:tcPr>
            <w:tcW w:w="1615" w:type="dxa"/>
            <w:noWrap/>
            <w:vAlign w:val="center"/>
            <w:hideMark/>
          </w:tcPr>
          <w:p w14:paraId="3ABE8C9E" w14:textId="77777777" w:rsidR="009D1A7B" w:rsidRPr="00907E04" w:rsidRDefault="009D1A7B" w:rsidP="00696E8F">
            <w:pPr>
              <w:rPr>
                <w:rFonts w:cs="Arial"/>
                <w:color w:val="000000"/>
              </w:rPr>
            </w:pPr>
            <w:r w:rsidRPr="00907E04">
              <w:rPr>
                <w:rFonts w:cs="Arial"/>
                <w:color w:val="000000"/>
              </w:rPr>
              <w:t>02CG0ZZ</w:t>
            </w:r>
          </w:p>
        </w:tc>
        <w:tc>
          <w:tcPr>
            <w:tcW w:w="7817" w:type="dxa"/>
            <w:noWrap/>
            <w:vAlign w:val="center"/>
            <w:hideMark/>
          </w:tcPr>
          <w:p w14:paraId="3B254A5D" w14:textId="77777777" w:rsidR="009D1A7B" w:rsidRPr="00907E04" w:rsidRDefault="009D1A7B" w:rsidP="00696E8F">
            <w:pPr>
              <w:rPr>
                <w:rFonts w:cs="Arial"/>
                <w:color w:val="000000"/>
              </w:rPr>
            </w:pPr>
            <w:r w:rsidRPr="00907E04">
              <w:rPr>
                <w:rFonts w:cs="Arial"/>
                <w:color w:val="000000"/>
              </w:rPr>
              <w:t>Extirpation of Matter from Mitral Valve, Open Approach</w:t>
            </w:r>
          </w:p>
        </w:tc>
      </w:tr>
      <w:tr w:rsidR="009D1A7B" w:rsidRPr="00907E04" w14:paraId="1A508FFF" w14:textId="77777777" w:rsidTr="002C718A">
        <w:trPr>
          <w:trHeight w:val="300"/>
        </w:trPr>
        <w:tc>
          <w:tcPr>
            <w:tcW w:w="1615" w:type="dxa"/>
            <w:noWrap/>
            <w:vAlign w:val="center"/>
            <w:hideMark/>
          </w:tcPr>
          <w:p w14:paraId="18A52D12" w14:textId="77777777" w:rsidR="009D1A7B" w:rsidRPr="00907E04" w:rsidRDefault="009D1A7B" w:rsidP="00696E8F">
            <w:pPr>
              <w:rPr>
                <w:rFonts w:cs="Arial"/>
                <w:color w:val="000000"/>
              </w:rPr>
            </w:pPr>
            <w:r w:rsidRPr="00907E04">
              <w:rPr>
                <w:rFonts w:cs="Arial"/>
                <w:color w:val="000000"/>
              </w:rPr>
              <w:t>02NG0ZZ</w:t>
            </w:r>
          </w:p>
        </w:tc>
        <w:tc>
          <w:tcPr>
            <w:tcW w:w="7817" w:type="dxa"/>
            <w:noWrap/>
            <w:vAlign w:val="center"/>
            <w:hideMark/>
          </w:tcPr>
          <w:p w14:paraId="13BED07A" w14:textId="77777777" w:rsidR="009D1A7B" w:rsidRPr="00907E04" w:rsidRDefault="009D1A7B" w:rsidP="00696E8F">
            <w:pPr>
              <w:rPr>
                <w:rFonts w:cs="Arial"/>
                <w:color w:val="000000"/>
              </w:rPr>
            </w:pPr>
            <w:r w:rsidRPr="00907E04">
              <w:rPr>
                <w:rFonts w:cs="Arial"/>
                <w:color w:val="000000"/>
              </w:rPr>
              <w:t>Release Mitral Valve, Open Approach</w:t>
            </w:r>
          </w:p>
        </w:tc>
      </w:tr>
      <w:tr w:rsidR="009D1A7B" w:rsidRPr="00907E04" w14:paraId="48CCE1F0" w14:textId="77777777" w:rsidTr="002C718A">
        <w:trPr>
          <w:trHeight w:val="300"/>
        </w:trPr>
        <w:tc>
          <w:tcPr>
            <w:tcW w:w="1615" w:type="dxa"/>
            <w:noWrap/>
            <w:vAlign w:val="center"/>
            <w:hideMark/>
          </w:tcPr>
          <w:p w14:paraId="1FB0DB8B" w14:textId="77777777" w:rsidR="009D1A7B" w:rsidRPr="00907E04" w:rsidRDefault="009D1A7B" w:rsidP="00696E8F">
            <w:pPr>
              <w:rPr>
                <w:rFonts w:cs="Arial"/>
                <w:color w:val="000000"/>
              </w:rPr>
            </w:pPr>
            <w:r w:rsidRPr="00907E04">
              <w:rPr>
                <w:rFonts w:cs="Arial"/>
                <w:color w:val="000000"/>
              </w:rPr>
              <w:t>02QG0ZE</w:t>
            </w:r>
          </w:p>
        </w:tc>
        <w:tc>
          <w:tcPr>
            <w:tcW w:w="7817" w:type="dxa"/>
            <w:noWrap/>
            <w:vAlign w:val="center"/>
            <w:hideMark/>
          </w:tcPr>
          <w:p w14:paraId="5EE315EC" w14:textId="77777777" w:rsidR="009D1A7B" w:rsidRPr="00907E04" w:rsidRDefault="009D1A7B" w:rsidP="00696E8F">
            <w:pPr>
              <w:rPr>
                <w:rFonts w:cs="Arial"/>
                <w:color w:val="000000"/>
              </w:rPr>
            </w:pPr>
            <w:r w:rsidRPr="00907E04">
              <w:rPr>
                <w:rFonts w:cs="Arial"/>
                <w:color w:val="000000"/>
              </w:rPr>
              <w:t>Repair Mitral Valve created from Left Atrioventricular Valve, Open Approach</w:t>
            </w:r>
          </w:p>
        </w:tc>
      </w:tr>
      <w:tr w:rsidR="009D1A7B" w:rsidRPr="00907E04" w14:paraId="4CCC77F7" w14:textId="77777777" w:rsidTr="002C718A">
        <w:trPr>
          <w:trHeight w:val="300"/>
        </w:trPr>
        <w:tc>
          <w:tcPr>
            <w:tcW w:w="1615" w:type="dxa"/>
            <w:noWrap/>
            <w:vAlign w:val="center"/>
            <w:hideMark/>
          </w:tcPr>
          <w:p w14:paraId="7704A0E8" w14:textId="77777777" w:rsidR="009D1A7B" w:rsidRPr="00907E04" w:rsidRDefault="009D1A7B" w:rsidP="00696E8F">
            <w:pPr>
              <w:rPr>
                <w:rFonts w:cs="Arial"/>
                <w:color w:val="000000"/>
              </w:rPr>
            </w:pPr>
            <w:r w:rsidRPr="00907E04">
              <w:rPr>
                <w:rFonts w:cs="Arial"/>
                <w:color w:val="000000"/>
              </w:rPr>
              <w:t>02QG0ZZ</w:t>
            </w:r>
          </w:p>
        </w:tc>
        <w:tc>
          <w:tcPr>
            <w:tcW w:w="7817" w:type="dxa"/>
            <w:noWrap/>
            <w:vAlign w:val="center"/>
            <w:hideMark/>
          </w:tcPr>
          <w:p w14:paraId="079DD3A1" w14:textId="77777777" w:rsidR="009D1A7B" w:rsidRPr="00907E04" w:rsidRDefault="009D1A7B" w:rsidP="00696E8F">
            <w:pPr>
              <w:rPr>
                <w:rFonts w:cs="Arial"/>
                <w:color w:val="000000"/>
              </w:rPr>
            </w:pPr>
            <w:r w:rsidRPr="00907E04">
              <w:rPr>
                <w:rFonts w:cs="Arial"/>
                <w:color w:val="000000"/>
              </w:rPr>
              <w:t>Repair Mitral Valve, Open Approach</w:t>
            </w:r>
          </w:p>
        </w:tc>
      </w:tr>
      <w:tr w:rsidR="009D1A7B" w:rsidRPr="00907E04" w14:paraId="7FE5124F" w14:textId="77777777" w:rsidTr="002C718A">
        <w:trPr>
          <w:trHeight w:val="300"/>
        </w:trPr>
        <w:tc>
          <w:tcPr>
            <w:tcW w:w="1615" w:type="dxa"/>
            <w:noWrap/>
            <w:vAlign w:val="center"/>
            <w:hideMark/>
          </w:tcPr>
          <w:p w14:paraId="5B232C93" w14:textId="77777777" w:rsidR="009D1A7B" w:rsidRPr="00907E04" w:rsidRDefault="009D1A7B" w:rsidP="00696E8F">
            <w:pPr>
              <w:rPr>
                <w:rFonts w:cs="Arial"/>
                <w:color w:val="000000"/>
              </w:rPr>
            </w:pPr>
            <w:r w:rsidRPr="00907E04">
              <w:rPr>
                <w:rFonts w:cs="Arial"/>
                <w:color w:val="000000"/>
              </w:rPr>
              <w:t>02RG07Z</w:t>
            </w:r>
          </w:p>
        </w:tc>
        <w:tc>
          <w:tcPr>
            <w:tcW w:w="7817" w:type="dxa"/>
            <w:noWrap/>
            <w:vAlign w:val="center"/>
            <w:hideMark/>
          </w:tcPr>
          <w:p w14:paraId="6F71E82E" w14:textId="77777777" w:rsidR="009D1A7B" w:rsidRPr="00907E04" w:rsidRDefault="009D1A7B" w:rsidP="00696E8F">
            <w:pPr>
              <w:rPr>
                <w:rFonts w:cs="Arial"/>
                <w:color w:val="000000"/>
              </w:rPr>
            </w:pPr>
            <w:r w:rsidRPr="00907E04">
              <w:rPr>
                <w:rFonts w:cs="Arial"/>
                <w:color w:val="000000"/>
              </w:rPr>
              <w:t>Replacement of Mitral Valve with Autologous Tissue Substitute, Open Approach</w:t>
            </w:r>
          </w:p>
        </w:tc>
      </w:tr>
      <w:tr w:rsidR="009D1A7B" w:rsidRPr="00907E04" w14:paraId="4ACB940F" w14:textId="77777777" w:rsidTr="002C718A">
        <w:trPr>
          <w:trHeight w:val="300"/>
        </w:trPr>
        <w:tc>
          <w:tcPr>
            <w:tcW w:w="1615" w:type="dxa"/>
            <w:noWrap/>
            <w:vAlign w:val="center"/>
            <w:hideMark/>
          </w:tcPr>
          <w:p w14:paraId="11FC6C98" w14:textId="77777777" w:rsidR="009D1A7B" w:rsidRPr="00907E04" w:rsidRDefault="009D1A7B" w:rsidP="00696E8F">
            <w:pPr>
              <w:rPr>
                <w:rFonts w:cs="Arial"/>
                <w:color w:val="000000"/>
              </w:rPr>
            </w:pPr>
            <w:r w:rsidRPr="00907E04">
              <w:rPr>
                <w:rFonts w:cs="Arial"/>
                <w:color w:val="000000"/>
              </w:rPr>
              <w:t>02RG08Z</w:t>
            </w:r>
          </w:p>
        </w:tc>
        <w:tc>
          <w:tcPr>
            <w:tcW w:w="7817" w:type="dxa"/>
            <w:noWrap/>
            <w:vAlign w:val="center"/>
            <w:hideMark/>
          </w:tcPr>
          <w:p w14:paraId="1BDEBB7E" w14:textId="77777777" w:rsidR="009D1A7B" w:rsidRPr="00907E04" w:rsidRDefault="009D1A7B" w:rsidP="00696E8F">
            <w:pPr>
              <w:rPr>
                <w:rFonts w:cs="Arial"/>
                <w:color w:val="000000"/>
              </w:rPr>
            </w:pPr>
            <w:r w:rsidRPr="00907E04">
              <w:rPr>
                <w:rFonts w:cs="Arial"/>
                <w:color w:val="000000"/>
              </w:rPr>
              <w:t>Replacement of Mitral Valve with Zooplastic Tissue, Open Approach</w:t>
            </w:r>
          </w:p>
        </w:tc>
      </w:tr>
      <w:tr w:rsidR="009D1A7B" w:rsidRPr="00907E04" w14:paraId="041EEBA3" w14:textId="77777777" w:rsidTr="002C718A">
        <w:trPr>
          <w:trHeight w:val="300"/>
        </w:trPr>
        <w:tc>
          <w:tcPr>
            <w:tcW w:w="1615" w:type="dxa"/>
            <w:noWrap/>
            <w:vAlign w:val="center"/>
            <w:hideMark/>
          </w:tcPr>
          <w:p w14:paraId="7EFBE1A1" w14:textId="77777777" w:rsidR="009D1A7B" w:rsidRPr="00907E04" w:rsidRDefault="009D1A7B" w:rsidP="00696E8F">
            <w:pPr>
              <w:rPr>
                <w:rFonts w:cs="Arial"/>
                <w:color w:val="000000"/>
              </w:rPr>
            </w:pPr>
            <w:r w:rsidRPr="00907E04">
              <w:rPr>
                <w:rFonts w:cs="Arial"/>
                <w:color w:val="000000"/>
              </w:rPr>
              <w:t>02RG0JZ</w:t>
            </w:r>
          </w:p>
        </w:tc>
        <w:tc>
          <w:tcPr>
            <w:tcW w:w="7817" w:type="dxa"/>
            <w:noWrap/>
            <w:vAlign w:val="center"/>
            <w:hideMark/>
          </w:tcPr>
          <w:p w14:paraId="200BEA0E" w14:textId="77777777" w:rsidR="009D1A7B" w:rsidRPr="00907E04" w:rsidRDefault="009D1A7B" w:rsidP="00696E8F">
            <w:pPr>
              <w:rPr>
                <w:rFonts w:cs="Arial"/>
                <w:color w:val="000000"/>
              </w:rPr>
            </w:pPr>
            <w:r w:rsidRPr="00907E04">
              <w:rPr>
                <w:rFonts w:cs="Arial"/>
                <w:color w:val="000000"/>
              </w:rPr>
              <w:t>Replacement of Mitral Valve with Synthetic Substitute, Open Approach</w:t>
            </w:r>
          </w:p>
        </w:tc>
      </w:tr>
      <w:tr w:rsidR="009D1A7B" w:rsidRPr="00907E04" w14:paraId="7C815315" w14:textId="77777777" w:rsidTr="002C718A">
        <w:trPr>
          <w:trHeight w:val="300"/>
        </w:trPr>
        <w:tc>
          <w:tcPr>
            <w:tcW w:w="1615" w:type="dxa"/>
            <w:noWrap/>
            <w:vAlign w:val="center"/>
            <w:hideMark/>
          </w:tcPr>
          <w:p w14:paraId="314289CF" w14:textId="77777777" w:rsidR="009D1A7B" w:rsidRPr="00907E04" w:rsidRDefault="009D1A7B" w:rsidP="00696E8F">
            <w:pPr>
              <w:rPr>
                <w:rFonts w:cs="Arial"/>
                <w:color w:val="000000"/>
              </w:rPr>
            </w:pPr>
            <w:r w:rsidRPr="00907E04">
              <w:rPr>
                <w:rFonts w:cs="Arial"/>
                <w:color w:val="000000"/>
              </w:rPr>
              <w:t>02RG0KZ</w:t>
            </w:r>
          </w:p>
        </w:tc>
        <w:tc>
          <w:tcPr>
            <w:tcW w:w="7817" w:type="dxa"/>
            <w:noWrap/>
            <w:vAlign w:val="center"/>
            <w:hideMark/>
          </w:tcPr>
          <w:p w14:paraId="60AD8983" w14:textId="77777777" w:rsidR="009D1A7B" w:rsidRPr="00907E04" w:rsidRDefault="009D1A7B" w:rsidP="00696E8F">
            <w:pPr>
              <w:rPr>
                <w:rFonts w:cs="Arial"/>
                <w:color w:val="000000"/>
              </w:rPr>
            </w:pPr>
            <w:r w:rsidRPr="00907E04">
              <w:rPr>
                <w:rFonts w:cs="Arial"/>
                <w:color w:val="000000"/>
              </w:rPr>
              <w:t>Replacement of Mitral Valve with Nonautologous Tissue Substitute, Open Approach</w:t>
            </w:r>
          </w:p>
        </w:tc>
      </w:tr>
      <w:tr w:rsidR="009D1A7B" w:rsidRPr="00907E04" w14:paraId="29778B7C" w14:textId="77777777" w:rsidTr="002C718A">
        <w:trPr>
          <w:trHeight w:val="300"/>
        </w:trPr>
        <w:tc>
          <w:tcPr>
            <w:tcW w:w="1615" w:type="dxa"/>
            <w:noWrap/>
            <w:vAlign w:val="center"/>
            <w:hideMark/>
          </w:tcPr>
          <w:p w14:paraId="52369A45" w14:textId="77777777" w:rsidR="009D1A7B" w:rsidRPr="00907E04" w:rsidRDefault="009D1A7B" w:rsidP="00696E8F">
            <w:pPr>
              <w:rPr>
                <w:rFonts w:cs="Arial"/>
                <w:color w:val="000000"/>
              </w:rPr>
            </w:pPr>
            <w:r w:rsidRPr="00907E04">
              <w:rPr>
                <w:rFonts w:cs="Arial"/>
                <w:color w:val="000000"/>
              </w:rPr>
              <w:t>02UG07E</w:t>
            </w:r>
          </w:p>
        </w:tc>
        <w:tc>
          <w:tcPr>
            <w:tcW w:w="7817" w:type="dxa"/>
            <w:noWrap/>
            <w:vAlign w:val="center"/>
            <w:hideMark/>
          </w:tcPr>
          <w:p w14:paraId="13C9380A" w14:textId="77777777" w:rsidR="009D1A7B" w:rsidRPr="00907E04" w:rsidRDefault="009D1A7B" w:rsidP="00696E8F">
            <w:pPr>
              <w:rPr>
                <w:rFonts w:cs="Arial"/>
                <w:color w:val="000000"/>
              </w:rPr>
            </w:pPr>
            <w:r w:rsidRPr="00907E04">
              <w:rPr>
                <w:rFonts w:cs="Arial"/>
                <w:color w:val="000000"/>
              </w:rPr>
              <w:t>Supplement Mitral Valve created from Left Atrioventricular Valve with Autologous Tissue Substitute, Open Approach</w:t>
            </w:r>
          </w:p>
        </w:tc>
      </w:tr>
      <w:tr w:rsidR="009D1A7B" w:rsidRPr="00907E04" w14:paraId="12C2642A" w14:textId="77777777" w:rsidTr="002C718A">
        <w:trPr>
          <w:trHeight w:val="300"/>
        </w:trPr>
        <w:tc>
          <w:tcPr>
            <w:tcW w:w="1615" w:type="dxa"/>
            <w:noWrap/>
            <w:vAlign w:val="center"/>
            <w:hideMark/>
          </w:tcPr>
          <w:p w14:paraId="6A2EE232" w14:textId="77777777" w:rsidR="009D1A7B" w:rsidRPr="00907E04" w:rsidRDefault="009D1A7B" w:rsidP="00696E8F">
            <w:pPr>
              <w:rPr>
                <w:rFonts w:cs="Arial"/>
                <w:color w:val="000000"/>
              </w:rPr>
            </w:pPr>
            <w:r w:rsidRPr="00907E04">
              <w:rPr>
                <w:rFonts w:cs="Arial"/>
                <w:color w:val="000000"/>
              </w:rPr>
              <w:t>02UG07Z</w:t>
            </w:r>
          </w:p>
        </w:tc>
        <w:tc>
          <w:tcPr>
            <w:tcW w:w="7817" w:type="dxa"/>
            <w:noWrap/>
            <w:vAlign w:val="center"/>
            <w:hideMark/>
          </w:tcPr>
          <w:p w14:paraId="23A88350" w14:textId="77777777" w:rsidR="009D1A7B" w:rsidRPr="00907E04" w:rsidRDefault="009D1A7B" w:rsidP="00696E8F">
            <w:pPr>
              <w:rPr>
                <w:rFonts w:cs="Arial"/>
                <w:color w:val="000000"/>
              </w:rPr>
            </w:pPr>
            <w:r w:rsidRPr="00907E04">
              <w:rPr>
                <w:rFonts w:cs="Arial"/>
                <w:color w:val="000000"/>
              </w:rPr>
              <w:t>Supplement Mitral Valve with Autologous Tissue Substitute, Open Approach</w:t>
            </w:r>
          </w:p>
        </w:tc>
      </w:tr>
      <w:tr w:rsidR="009D1A7B" w:rsidRPr="00907E04" w14:paraId="567A1EC0" w14:textId="77777777" w:rsidTr="002C718A">
        <w:trPr>
          <w:trHeight w:val="300"/>
        </w:trPr>
        <w:tc>
          <w:tcPr>
            <w:tcW w:w="1615" w:type="dxa"/>
            <w:noWrap/>
            <w:vAlign w:val="center"/>
            <w:hideMark/>
          </w:tcPr>
          <w:p w14:paraId="46895967" w14:textId="77777777" w:rsidR="009D1A7B" w:rsidRPr="00907E04" w:rsidRDefault="009D1A7B" w:rsidP="00696E8F">
            <w:pPr>
              <w:rPr>
                <w:rFonts w:cs="Arial"/>
                <w:color w:val="000000"/>
              </w:rPr>
            </w:pPr>
            <w:r w:rsidRPr="00907E04">
              <w:rPr>
                <w:rFonts w:cs="Arial"/>
                <w:color w:val="000000"/>
              </w:rPr>
              <w:t>02UG08E</w:t>
            </w:r>
          </w:p>
        </w:tc>
        <w:tc>
          <w:tcPr>
            <w:tcW w:w="7817" w:type="dxa"/>
            <w:noWrap/>
            <w:vAlign w:val="center"/>
            <w:hideMark/>
          </w:tcPr>
          <w:p w14:paraId="1E379C76" w14:textId="77777777" w:rsidR="009D1A7B" w:rsidRPr="00907E04" w:rsidRDefault="009D1A7B" w:rsidP="00696E8F">
            <w:pPr>
              <w:rPr>
                <w:rFonts w:cs="Arial"/>
                <w:color w:val="000000"/>
              </w:rPr>
            </w:pPr>
            <w:r w:rsidRPr="00907E04">
              <w:rPr>
                <w:rFonts w:cs="Arial"/>
                <w:color w:val="000000"/>
              </w:rPr>
              <w:t>Supplement Mitral Valve created from Left Atrioventricular Valve with Zooplastic Tissue, Open Approach</w:t>
            </w:r>
          </w:p>
        </w:tc>
      </w:tr>
      <w:tr w:rsidR="009D1A7B" w:rsidRPr="00907E04" w14:paraId="2694DFBA" w14:textId="77777777" w:rsidTr="002C718A">
        <w:trPr>
          <w:trHeight w:val="300"/>
        </w:trPr>
        <w:tc>
          <w:tcPr>
            <w:tcW w:w="1615" w:type="dxa"/>
            <w:noWrap/>
            <w:vAlign w:val="center"/>
            <w:hideMark/>
          </w:tcPr>
          <w:p w14:paraId="25FA9B52" w14:textId="77777777" w:rsidR="009D1A7B" w:rsidRPr="00907E04" w:rsidRDefault="009D1A7B" w:rsidP="00696E8F">
            <w:pPr>
              <w:rPr>
                <w:rFonts w:cs="Arial"/>
                <w:color w:val="000000"/>
              </w:rPr>
            </w:pPr>
            <w:r w:rsidRPr="00907E04">
              <w:rPr>
                <w:rFonts w:cs="Arial"/>
                <w:color w:val="000000"/>
              </w:rPr>
              <w:t>02UG08Z</w:t>
            </w:r>
          </w:p>
        </w:tc>
        <w:tc>
          <w:tcPr>
            <w:tcW w:w="7817" w:type="dxa"/>
            <w:noWrap/>
            <w:vAlign w:val="center"/>
            <w:hideMark/>
          </w:tcPr>
          <w:p w14:paraId="1A255E07" w14:textId="77777777" w:rsidR="009D1A7B" w:rsidRPr="00907E04" w:rsidRDefault="009D1A7B" w:rsidP="00696E8F">
            <w:pPr>
              <w:rPr>
                <w:rFonts w:cs="Arial"/>
                <w:color w:val="000000"/>
              </w:rPr>
            </w:pPr>
            <w:r w:rsidRPr="00907E04">
              <w:rPr>
                <w:rFonts w:cs="Arial"/>
                <w:color w:val="000000"/>
              </w:rPr>
              <w:t>Supplement Mitral Valve with Zooplastic Tissue, Open Approach</w:t>
            </w:r>
          </w:p>
        </w:tc>
      </w:tr>
      <w:tr w:rsidR="009D1A7B" w:rsidRPr="00907E04" w14:paraId="27DE50AB" w14:textId="77777777" w:rsidTr="002C718A">
        <w:trPr>
          <w:trHeight w:val="300"/>
        </w:trPr>
        <w:tc>
          <w:tcPr>
            <w:tcW w:w="1615" w:type="dxa"/>
            <w:noWrap/>
            <w:vAlign w:val="center"/>
            <w:hideMark/>
          </w:tcPr>
          <w:p w14:paraId="3857AA5A" w14:textId="77777777" w:rsidR="009D1A7B" w:rsidRPr="00907E04" w:rsidRDefault="009D1A7B" w:rsidP="00696E8F">
            <w:pPr>
              <w:rPr>
                <w:rFonts w:cs="Arial"/>
                <w:color w:val="000000"/>
              </w:rPr>
            </w:pPr>
            <w:r w:rsidRPr="00907E04">
              <w:rPr>
                <w:rFonts w:cs="Arial"/>
                <w:color w:val="000000"/>
              </w:rPr>
              <w:t>02UG0JE</w:t>
            </w:r>
          </w:p>
        </w:tc>
        <w:tc>
          <w:tcPr>
            <w:tcW w:w="7817" w:type="dxa"/>
            <w:noWrap/>
            <w:vAlign w:val="center"/>
            <w:hideMark/>
          </w:tcPr>
          <w:p w14:paraId="162F18FD" w14:textId="77777777" w:rsidR="009D1A7B" w:rsidRPr="00907E04" w:rsidRDefault="009D1A7B" w:rsidP="00696E8F">
            <w:pPr>
              <w:rPr>
                <w:rFonts w:cs="Arial"/>
                <w:color w:val="000000"/>
              </w:rPr>
            </w:pPr>
            <w:r w:rsidRPr="00907E04">
              <w:rPr>
                <w:rFonts w:cs="Arial"/>
                <w:color w:val="000000"/>
              </w:rPr>
              <w:t>Supplement Mitral Valve created from Left Atrioventricular Valve with Synthetic Substitute, Open Approach</w:t>
            </w:r>
          </w:p>
        </w:tc>
      </w:tr>
      <w:tr w:rsidR="009D1A7B" w:rsidRPr="00907E04" w14:paraId="050B81C3" w14:textId="77777777" w:rsidTr="002C718A">
        <w:trPr>
          <w:trHeight w:val="300"/>
        </w:trPr>
        <w:tc>
          <w:tcPr>
            <w:tcW w:w="1615" w:type="dxa"/>
            <w:noWrap/>
            <w:vAlign w:val="center"/>
            <w:hideMark/>
          </w:tcPr>
          <w:p w14:paraId="16C970C9" w14:textId="77777777" w:rsidR="009D1A7B" w:rsidRPr="00907E04" w:rsidRDefault="009D1A7B" w:rsidP="00696E8F">
            <w:pPr>
              <w:rPr>
                <w:rFonts w:cs="Arial"/>
                <w:color w:val="000000"/>
              </w:rPr>
            </w:pPr>
            <w:r w:rsidRPr="00907E04">
              <w:rPr>
                <w:rFonts w:cs="Arial"/>
                <w:color w:val="000000"/>
              </w:rPr>
              <w:t>02UG0JZ</w:t>
            </w:r>
          </w:p>
        </w:tc>
        <w:tc>
          <w:tcPr>
            <w:tcW w:w="7817" w:type="dxa"/>
            <w:noWrap/>
            <w:vAlign w:val="center"/>
            <w:hideMark/>
          </w:tcPr>
          <w:p w14:paraId="48F89F7E" w14:textId="77777777" w:rsidR="009D1A7B" w:rsidRPr="00907E04" w:rsidRDefault="009D1A7B" w:rsidP="00696E8F">
            <w:pPr>
              <w:rPr>
                <w:rFonts w:cs="Arial"/>
                <w:color w:val="000000"/>
              </w:rPr>
            </w:pPr>
            <w:r w:rsidRPr="00907E04">
              <w:rPr>
                <w:rFonts w:cs="Arial"/>
                <w:color w:val="000000"/>
              </w:rPr>
              <w:t>Supplement Mitral Valve with Synthetic Substitute, Open Approach</w:t>
            </w:r>
          </w:p>
        </w:tc>
      </w:tr>
      <w:tr w:rsidR="009D1A7B" w:rsidRPr="00907E04" w14:paraId="2C3D852F" w14:textId="77777777" w:rsidTr="002C718A">
        <w:trPr>
          <w:trHeight w:val="300"/>
        </w:trPr>
        <w:tc>
          <w:tcPr>
            <w:tcW w:w="1615" w:type="dxa"/>
            <w:noWrap/>
            <w:vAlign w:val="center"/>
            <w:hideMark/>
          </w:tcPr>
          <w:p w14:paraId="257DD947" w14:textId="77777777" w:rsidR="009D1A7B" w:rsidRPr="00907E04" w:rsidRDefault="009D1A7B" w:rsidP="00696E8F">
            <w:pPr>
              <w:rPr>
                <w:rFonts w:cs="Arial"/>
                <w:color w:val="000000"/>
              </w:rPr>
            </w:pPr>
            <w:r w:rsidRPr="00907E04">
              <w:rPr>
                <w:rFonts w:cs="Arial"/>
                <w:color w:val="000000"/>
              </w:rPr>
              <w:t>02UG0KE</w:t>
            </w:r>
          </w:p>
        </w:tc>
        <w:tc>
          <w:tcPr>
            <w:tcW w:w="7817" w:type="dxa"/>
            <w:noWrap/>
            <w:vAlign w:val="center"/>
            <w:hideMark/>
          </w:tcPr>
          <w:p w14:paraId="68053E8D" w14:textId="77777777" w:rsidR="009D1A7B" w:rsidRPr="00907E04" w:rsidRDefault="009D1A7B" w:rsidP="00696E8F">
            <w:pPr>
              <w:rPr>
                <w:rFonts w:cs="Arial"/>
                <w:color w:val="000000"/>
              </w:rPr>
            </w:pPr>
            <w:r w:rsidRPr="00907E04">
              <w:rPr>
                <w:rFonts w:cs="Arial"/>
                <w:color w:val="000000"/>
              </w:rPr>
              <w:t>Supplement Mitral Valve created from Left Atrioventricular Valve with Nonautologous Tissue Substitute, Open Approach</w:t>
            </w:r>
          </w:p>
        </w:tc>
      </w:tr>
      <w:tr w:rsidR="009D1A7B" w:rsidRPr="00907E04" w14:paraId="15CA7C11" w14:textId="77777777" w:rsidTr="002C718A">
        <w:trPr>
          <w:trHeight w:val="300"/>
        </w:trPr>
        <w:tc>
          <w:tcPr>
            <w:tcW w:w="1615" w:type="dxa"/>
            <w:noWrap/>
            <w:vAlign w:val="center"/>
            <w:hideMark/>
          </w:tcPr>
          <w:p w14:paraId="4F2B2D5F" w14:textId="77777777" w:rsidR="009D1A7B" w:rsidRPr="00907E04" w:rsidRDefault="009D1A7B" w:rsidP="00696E8F">
            <w:pPr>
              <w:rPr>
                <w:rFonts w:cs="Arial"/>
                <w:color w:val="000000"/>
              </w:rPr>
            </w:pPr>
            <w:r w:rsidRPr="00907E04">
              <w:rPr>
                <w:rFonts w:cs="Arial"/>
                <w:color w:val="000000"/>
              </w:rPr>
              <w:t>02UG0KZ</w:t>
            </w:r>
          </w:p>
        </w:tc>
        <w:tc>
          <w:tcPr>
            <w:tcW w:w="7817" w:type="dxa"/>
            <w:noWrap/>
            <w:vAlign w:val="center"/>
            <w:hideMark/>
          </w:tcPr>
          <w:p w14:paraId="4678726C" w14:textId="77777777" w:rsidR="009D1A7B" w:rsidRPr="00907E04" w:rsidRDefault="009D1A7B" w:rsidP="00696E8F">
            <w:pPr>
              <w:rPr>
                <w:rFonts w:cs="Arial"/>
                <w:color w:val="000000"/>
              </w:rPr>
            </w:pPr>
            <w:r w:rsidRPr="00907E04">
              <w:rPr>
                <w:rFonts w:cs="Arial"/>
                <w:color w:val="000000"/>
              </w:rPr>
              <w:t>Supplement Mitral Valve with Nonautologous Tissue Substitute, Open Approach</w:t>
            </w:r>
          </w:p>
        </w:tc>
      </w:tr>
      <w:tr w:rsidR="009D1A7B" w:rsidRPr="00907E04" w14:paraId="3576EB4E" w14:textId="77777777" w:rsidTr="002C718A">
        <w:trPr>
          <w:trHeight w:val="300"/>
        </w:trPr>
        <w:tc>
          <w:tcPr>
            <w:tcW w:w="1615" w:type="dxa"/>
            <w:noWrap/>
            <w:vAlign w:val="center"/>
            <w:hideMark/>
          </w:tcPr>
          <w:p w14:paraId="1406620F" w14:textId="77777777" w:rsidR="009D1A7B" w:rsidRPr="00907E04" w:rsidRDefault="009D1A7B" w:rsidP="00696E8F">
            <w:pPr>
              <w:rPr>
                <w:rFonts w:cs="Arial"/>
                <w:color w:val="000000"/>
              </w:rPr>
            </w:pPr>
            <w:r w:rsidRPr="00907E04">
              <w:rPr>
                <w:rFonts w:cs="Arial"/>
                <w:color w:val="000000"/>
              </w:rPr>
              <w:t>02VG0ZZ</w:t>
            </w:r>
          </w:p>
        </w:tc>
        <w:tc>
          <w:tcPr>
            <w:tcW w:w="7817" w:type="dxa"/>
            <w:noWrap/>
            <w:vAlign w:val="center"/>
            <w:hideMark/>
          </w:tcPr>
          <w:p w14:paraId="53EC90AC" w14:textId="77777777" w:rsidR="009D1A7B" w:rsidRPr="00907E04" w:rsidRDefault="009D1A7B" w:rsidP="00696E8F">
            <w:pPr>
              <w:rPr>
                <w:rFonts w:cs="Arial"/>
                <w:color w:val="000000"/>
              </w:rPr>
            </w:pPr>
            <w:r w:rsidRPr="00907E04">
              <w:rPr>
                <w:rFonts w:cs="Arial"/>
                <w:color w:val="000000"/>
              </w:rPr>
              <w:t>Restriction of Mitral Valve, Open Approach</w:t>
            </w:r>
          </w:p>
        </w:tc>
      </w:tr>
    </w:tbl>
    <w:p w14:paraId="2E2DDA7E" w14:textId="77777777" w:rsidR="00762789" w:rsidRPr="009A5185" w:rsidRDefault="00762789" w:rsidP="00762789">
      <w:pPr>
        <w:rPr>
          <w:rFonts w:cs="Arial"/>
          <w:b/>
        </w:rPr>
      </w:pPr>
    </w:p>
    <w:p w14:paraId="3023CE5E" w14:textId="77777777" w:rsidR="00F13A61" w:rsidRPr="009A5185" w:rsidRDefault="00F13A61">
      <w:pPr>
        <w:rPr>
          <w:rFonts w:cs="Arial"/>
          <w:b/>
          <w:i/>
          <w:snapToGrid w:val="0"/>
          <w:sz w:val="24"/>
          <w:szCs w:val="24"/>
          <w:lang w:eastAsia="ja-JP"/>
        </w:rPr>
      </w:pPr>
    </w:p>
    <w:p w14:paraId="68B0C7A2" w14:textId="77777777" w:rsidR="007550AD" w:rsidRDefault="007550AD">
      <w:pPr>
        <w:rPr>
          <w:b/>
          <w:i/>
          <w:snapToGrid w:val="0"/>
          <w:sz w:val="24"/>
          <w:szCs w:val="24"/>
          <w:lang w:eastAsia="ja-JP"/>
        </w:rPr>
      </w:pPr>
      <w:r>
        <w:br w:type="page"/>
      </w:r>
    </w:p>
    <w:p w14:paraId="60E789BC" w14:textId="367FB141" w:rsidR="00C80D44" w:rsidRPr="009A5185" w:rsidRDefault="00C80D44" w:rsidP="000C2C54">
      <w:pPr>
        <w:pStyle w:val="Heading44"/>
      </w:pPr>
      <w:bookmarkStart w:id="261" w:name="Aortic"/>
      <w:r w:rsidRPr="009A5185">
        <w:lastRenderedPageBreak/>
        <w:t xml:space="preserve">Open Aortic </w:t>
      </w:r>
      <w:r w:rsidR="004B6F34">
        <w:t>Procedures</w:t>
      </w:r>
      <w:r w:rsidRPr="009A5185">
        <w:t xml:space="preserve"> Measure </w:t>
      </w:r>
      <w:r w:rsidR="000765C6">
        <w:t>Specifications</w:t>
      </w:r>
      <w:bookmarkEnd w:id="261"/>
    </w:p>
    <w:p w14:paraId="2D9BE31D" w14:textId="77777777" w:rsidR="00C80D44" w:rsidRPr="009A5185" w:rsidRDefault="00C80D44" w:rsidP="00C80D44">
      <w:pPr>
        <w:rPr>
          <w:rFonts w:cs="Arial"/>
        </w:rPr>
      </w:pPr>
    </w:p>
    <w:p w14:paraId="5064A600" w14:textId="77777777" w:rsidR="00C80D44" w:rsidRPr="00336B4B" w:rsidRDefault="00C80D44" w:rsidP="00336B4B">
      <w:pPr>
        <w:rPr>
          <w:rFonts w:cs="Arial"/>
        </w:rPr>
      </w:pPr>
      <w:r w:rsidRPr="009A5185">
        <w:rPr>
          <w:rFonts w:cs="Arial"/>
        </w:rPr>
        <w:t xml:space="preserve">For </w:t>
      </w:r>
      <w:r w:rsidR="00D64B08" w:rsidRPr="009A5185">
        <w:rPr>
          <w:rFonts w:cs="Arial"/>
        </w:rPr>
        <w:t xml:space="preserve">open aortic </w:t>
      </w:r>
      <w:r w:rsidR="00D64B08">
        <w:rPr>
          <w:rFonts w:cs="Arial"/>
        </w:rPr>
        <w:t>procedures</w:t>
      </w:r>
      <w:r w:rsidR="00336B4B">
        <w:rPr>
          <w:rFonts w:cs="Arial"/>
        </w:rPr>
        <w:t xml:space="preserve">, </w:t>
      </w:r>
      <w:r w:rsidR="00336B4B" w:rsidRPr="00336B4B">
        <w:rPr>
          <w:rFonts w:cs="Arial"/>
        </w:rPr>
        <w:t>there is only one set of IC</w:t>
      </w:r>
      <w:r w:rsidR="007550AD">
        <w:rPr>
          <w:rFonts w:cs="Arial"/>
        </w:rPr>
        <w:t>D-10 codes for counting patient discharges</w:t>
      </w:r>
      <w:r w:rsidR="00336B4B" w:rsidRPr="00336B4B">
        <w:rPr>
          <w:rFonts w:cs="Arial"/>
        </w:rPr>
        <w:t>. The set of codes is to identify patients who have had the procedure.</w:t>
      </w:r>
    </w:p>
    <w:p w14:paraId="40413F5E" w14:textId="77777777" w:rsidR="00C80D44" w:rsidRPr="009A5185" w:rsidRDefault="00C80D44" w:rsidP="00C80D44">
      <w:pPr>
        <w:rPr>
          <w:rFonts w:cs="Arial"/>
        </w:rPr>
      </w:pPr>
    </w:p>
    <w:p w14:paraId="2228CC2C" w14:textId="77777777" w:rsidR="00C80D44" w:rsidRPr="009A5185" w:rsidRDefault="007550AD" w:rsidP="00C80D44">
      <w:pPr>
        <w:rPr>
          <w:rFonts w:cs="Arial"/>
        </w:rPr>
      </w:pPr>
      <w:r>
        <w:rPr>
          <w:rFonts w:cs="Arial"/>
        </w:rPr>
        <w:t>Count the n</w:t>
      </w:r>
      <w:r w:rsidR="00C80D44" w:rsidRPr="009A5185">
        <w:rPr>
          <w:rFonts w:cs="Arial"/>
        </w:rPr>
        <w:t>umber of patients, age</w:t>
      </w:r>
      <w:r w:rsidR="00D64B08">
        <w:rPr>
          <w:rFonts w:cs="Arial"/>
        </w:rPr>
        <w:t>s</w:t>
      </w:r>
      <w:r w:rsidR="00C80D44" w:rsidRPr="009A5185">
        <w:rPr>
          <w:rFonts w:cs="Arial"/>
        </w:rPr>
        <w:t xml:space="preserve"> 18 years and older, discharged with the following ICD-10 codes in any procedure field</w:t>
      </w:r>
      <w:r w:rsidR="003C3470">
        <w:rPr>
          <w:rFonts w:cs="Arial"/>
        </w:rPr>
        <w:t>.</w:t>
      </w:r>
    </w:p>
    <w:p w14:paraId="122D715B" w14:textId="77777777" w:rsidR="00676C27" w:rsidRPr="009A5185" w:rsidRDefault="00676C27" w:rsidP="00C80D44">
      <w:pPr>
        <w:rPr>
          <w:rFonts w:cs="Arial"/>
        </w:rPr>
      </w:pPr>
    </w:p>
    <w:p w14:paraId="74625A77" w14:textId="77777777" w:rsidR="00C80D44" w:rsidRPr="009A5185" w:rsidRDefault="00C80D44" w:rsidP="00C80D44">
      <w:pPr>
        <w:rPr>
          <w:rFonts w:cs="Arial"/>
          <w:b/>
        </w:rPr>
      </w:pPr>
      <w:r w:rsidRPr="009A5185">
        <w:rPr>
          <w:rFonts w:cs="Arial"/>
          <w:b/>
        </w:rPr>
        <w:t xml:space="preserve">ICD-10 Open Aortic Procedure Codes </w:t>
      </w:r>
    </w:p>
    <w:p w14:paraId="7C358016" w14:textId="77777777" w:rsidR="00C80D44" w:rsidRPr="009A5185" w:rsidRDefault="00C80D44" w:rsidP="00C80D44">
      <w:pPr>
        <w:rPr>
          <w:rFonts w:cs="Arial"/>
          <w:b/>
        </w:rPr>
      </w:pPr>
    </w:p>
    <w:tbl>
      <w:tblPr>
        <w:tblStyle w:val="TableGrid"/>
        <w:tblW w:w="9653" w:type="dxa"/>
        <w:tblLook w:val="04A0" w:firstRow="1" w:lastRow="0" w:firstColumn="1" w:lastColumn="0" w:noHBand="0" w:noVBand="1"/>
      </w:tblPr>
      <w:tblGrid>
        <w:gridCol w:w="1525"/>
        <w:gridCol w:w="8128"/>
      </w:tblGrid>
      <w:tr w:rsidR="00D64B08" w:rsidRPr="0004317D" w14:paraId="14972EA9" w14:textId="77777777" w:rsidTr="002C718A">
        <w:trPr>
          <w:trHeight w:val="432"/>
          <w:tblHeader/>
        </w:trPr>
        <w:tc>
          <w:tcPr>
            <w:tcW w:w="1525" w:type="dxa"/>
            <w:shd w:val="clear" w:color="auto" w:fill="BFBFBF" w:themeFill="background1" w:themeFillShade="BF"/>
            <w:vAlign w:val="center"/>
          </w:tcPr>
          <w:p w14:paraId="2B7FCBBF" w14:textId="77777777" w:rsidR="00D64B08" w:rsidRPr="0004317D" w:rsidRDefault="00D64B08"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Procedure Code</w:t>
            </w:r>
          </w:p>
        </w:tc>
        <w:tc>
          <w:tcPr>
            <w:tcW w:w="8128" w:type="dxa"/>
            <w:shd w:val="clear" w:color="auto" w:fill="BFBFBF" w:themeFill="background1" w:themeFillShade="BF"/>
            <w:vAlign w:val="center"/>
          </w:tcPr>
          <w:p w14:paraId="60B82CAF" w14:textId="77777777" w:rsidR="00D64B08" w:rsidRPr="0004317D" w:rsidRDefault="00D64B08" w:rsidP="00696E8F">
            <w:pPr>
              <w:rPr>
                <w:rFonts w:cs="Arial"/>
                <w:color w:val="000000"/>
              </w:rPr>
            </w:pPr>
            <w:r w:rsidRPr="0004317D">
              <w:rPr>
                <w:rFonts w:cs="Arial"/>
                <w:b/>
                <w:bCs/>
                <w:color w:val="000000"/>
              </w:rPr>
              <w:t>Code Description</w:t>
            </w:r>
          </w:p>
        </w:tc>
      </w:tr>
      <w:tr w:rsidR="00D64B08" w:rsidRPr="00B83A18" w14:paraId="4CD7FD39" w14:textId="77777777" w:rsidTr="002C718A">
        <w:trPr>
          <w:trHeight w:val="300"/>
        </w:trPr>
        <w:tc>
          <w:tcPr>
            <w:tcW w:w="1525" w:type="dxa"/>
            <w:noWrap/>
            <w:vAlign w:val="center"/>
            <w:hideMark/>
          </w:tcPr>
          <w:p w14:paraId="06E5D141" w14:textId="77777777" w:rsidR="00D64B08" w:rsidRPr="00B83A18" w:rsidRDefault="00D64B08" w:rsidP="00696E8F">
            <w:pPr>
              <w:rPr>
                <w:rFonts w:cs="Arial"/>
                <w:color w:val="000000"/>
              </w:rPr>
            </w:pPr>
            <w:r w:rsidRPr="00B83A18">
              <w:rPr>
                <w:rFonts w:cs="Arial"/>
                <w:color w:val="000000"/>
              </w:rPr>
              <w:t>0410090</w:t>
            </w:r>
          </w:p>
        </w:tc>
        <w:tc>
          <w:tcPr>
            <w:tcW w:w="8128" w:type="dxa"/>
            <w:noWrap/>
            <w:vAlign w:val="center"/>
            <w:hideMark/>
          </w:tcPr>
          <w:p w14:paraId="39996582" w14:textId="77777777" w:rsidR="00D64B08" w:rsidRPr="00B83A18" w:rsidRDefault="00D64B08" w:rsidP="00696E8F">
            <w:pPr>
              <w:rPr>
                <w:rFonts w:cs="Arial"/>
                <w:color w:val="000000"/>
              </w:rPr>
            </w:pPr>
            <w:r w:rsidRPr="00B83A18">
              <w:rPr>
                <w:rFonts w:cs="Arial"/>
                <w:color w:val="000000"/>
              </w:rPr>
              <w:t>Bypass Abdominal Aorta to Abdominal Aorta with Autologous Venous Tissue, Open Approach</w:t>
            </w:r>
          </w:p>
        </w:tc>
      </w:tr>
      <w:tr w:rsidR="00D64B08" w:rsidRPr="00B83A18" w14:paraId="61F8AA01" w14:textId="77777777" w:rsidTr="002C718A">
        <w:trPr>
          <w:trHeight w:val="300"/>
        </w:trPr>
        <w:tc>
          <w:tcPr>
            <w:tcW w:w="1525" w:type="dxa"/>
            <w:noWrap/>
            <w:vAlign w:val="center"/>
            <w:hideMark/>
          </w:tcPr>
          <w:p w14:paraId="151A5B1C" w14:textId="77777777" w:rsidR="00D64B08" w:rsidRPr="00B83A18" w:rsidRDefault="00D64B08" w:rsidP="00696E8F">
            <w:pPr>
              <w:rPr>
                <w:rFonts w:cs="Arial"/>
                <w:color w:val="000000"/>
              </w:rPr>
            </w:pPr>
            <w:r w:rsidRPr="00B83A18">
              <w:rPr>
                <w:rFonts w:cs="Arial"/>
                <w:color w:val="000000"/>
              </w:rPr>
              <w:t>0410091</w:t>
            </w:r>
          </w:p>
        </w:tc>
        <w:tc>
          <w:tcPr>
            <w:tcW w:w="8128" w:type="dxa"/>
            <w:noWrap/>
            <w:vAlign w:val="center"/>
            <w:hideMark/>
          </w:tcPr>
          <w:p w14:paraId="2F260E20" w14:textId="77777777" w:rsidR="00D64B08" w:rsidRPr="00B83A18" w:rsidRDefault="00D64B08" w:rsidP="00696E8F">
            <w:pPr>
              <w:rPr>
                <w:rFonts w:cs="Arial"/>
                <w:color w:val="000000"/>
              </w:rPr>
            </w:pPr>
            <w:r w:rsidRPr="00B83A18">
              <w:rPr>
                <w:rFonts w:cs="Arial"/>
                <w:color w:val="000000"/>
              </w:rPr>
              <w:t>Bypass Abdominal Aorta to Celiac Artery with Autologous Venous Tissue, Open Approach</w:t>
            </w:r>
          </w:p>
        </w:tc>
      </w:tr>
      <w:tr w:rsidR="00D64B08" w:rsidRPr="00B83A18" w14:paraId="291DDDAE" w14:textId="77777777" w:rsidTr="002C718A">
        <w:trPr>
          <w:trHeight w:val="300"/>
        </w:trPr>
        <w:tc>
          <w:tcPr>
            <w:tcW w:w="1525" w:type="dxa"/>
            <w:noWrap/>
            <w:vAlign w:val="center"/>
            <w:hideMark/>
          </w:tcPr>
          <w:p w14:paraId="1B9ED40A" w14:textId="77777777" w:rsidR="00D64B08" w:rsidRPr="00B83A18" w:rsidRDefault="00D64B08" w:rsidP="00696E8F">
            <w:pPr>
              <w:rPr>
                <w:rFonts w:cs="Arial"/>
                <w:color w:val="000000"/>
              </w:rPr>
            </w:pPr>
            <w:r w:rsidRPr="00B83A18">
              <w:rPr>
                <w:rFonts w:cs="Arial"/>
                <w:color w:val="000000"/>
              </w:rPr>
              <w:t>0410092</w:t>
            </w:r>
          </w:p>
        </w:tc>
        <w:tc>
          <w:tcPr>
            <w:tcW w:w="8128" w:type="dxa"/>
            <w:noWrap/>
            <w:vAlign w:val="center"/>
            <w:hideMark/>
          </w:tcPr>
          <w:p w14:paraId="373937C9" w14:textId="77777777" w:rsidR="00D64B08" w:rsidRPr="00B83A18" w:rsidRDefault="00D64B08" w:rsidP="00696E8F">
            <w:pPr>
              <w:rPr>
                <w:rFonts w:cs="Arial"/>
                <w:color w:val="000000"/>
              </w:rPr>
            </w:pPr>
            <w:r w:rsidRPr="00B83A18">
              <w:rPr>
                <w:rFonts w:cs="Arial"/>
                <w:color w:val="000000"/>
              </w:rPr>
              <w:t>Bypass Abdominal Aorta to Mesenteric Artery with Autologous Venous Tissue, Open Approach</w:t>
            </w:r>
          </w:p>
        </w:tc>
      </w:tr>
      <w:tr w:rsidR="00D64B08" w:rsidRPr="00B83A18" w14:paraId="085E22F5" w14:textId="77777777" w:rsidTr="002C718A">
        <w:trPr>
          <w:trHeight w:val="300"/>
        </w:trPr>
        <w:tc>
          <w:tcPr>
            <w:tcW w:w="1525" w:type="dxa"/>
            <w:noWrap/>
            <w:vAlign w:val="center"/>
            <w:hideMark/>
          </w:tcPr>
          <w:p w14:paraId="79CE36DF" w14:textId="77777777" w:rsidR="00D64B08" w:rsidRPr="00B83A18" w:rsidRDefault="00D64B08" w:rsidP="00696E8F">
            <w:pPr>
              <w:rPr>
                <w:rFonts w:cs="Arial"/>
                <w:color w:val="000000"/>
              </w:rPr>
            </w:pPr>
            <w:r w:rsidRPr="00B83A18">
              <w:rPr>
                <w:rFonts w:cs="Arial"/>
                <w:color w:val="000000"/>
              </w:rPr>
              <w:t>0410093</w:t>
            </w:r>
          </w:p>
        </w:tc>
        <w:tc>
          <w:tcPr>
            <w:tcW w:w="8128" w:type="dxa"/>
            <w:noWrap/>
            <w:vAlign w:val="center"/>
            <w:hideMark/>
          </w:tcPr>
          <w:p w14:paraId="771C00F8" w14:textId="77777777" w:rsidR="00D64B08" w:rsidRPr="00B83A18" w:rsidRDefault="00D64B08" w:rsidP="00696E8F">
            <w:pPr>
              <w:rPr>
                <w:rFonts w:cs="Arial"/>
                <w:color w:val="000000"/>
              </w:rPr>
            </w:pPr>
            <w:r w:rsidRPr="00B83A18">
              <w:rPr>
                <w:rFonts w:cs="Arial"/>
                <w:color w:val="000000"/>
              </w:rPr>
              <w:t>Bypass Abdominal Aorta to Right Renal Artery with Autologous Venous Tissue, Open Approach</w:t>
            </w:r>
          </w:p>
        </w:tc>
      </w:tr>
      <w:tr w:rsidR="00D64B08" w:rsidRPr="00B83A18" w14:paraId="28C3251B" w14:textId="77777777" w:rsidTr="002C718A">
        <w:trPr>
          <w:trHeight w:val="300"/>
        </w:trPr>
        <w:tc>
          <w:tcPr>
            <w:tcW w:w="1525" w:type="dxa"/>
            <w:noWrap/>
            <w:vAlign w:val="center"/>
            <w:hideMark/>
          </w:tcPr>
          <w:p w14:paraId="1E6FC408" w14:textId="77777777" w:rsidR="00D64B08" w:rsidRPr="00B83A18" w:rsidRDefault="00D64B08" w:rsidP="00696E8F">
            <w:pPr>
              <w:rPr>
                <w:rFonts w:cs="Arial"/>
                <w:color w:val="000000"/>
              </w:rPr>
            </w:pPr>
            <w:r w:rsidRPr="00B83A18">
              <w:rPr>
                <w:rFonts w:cs="Arial"/>
                <w:color w:val="000000"/>
              </w:rPr>
              <w:t>0410094</w:t>
            </w:r>
          </w:p>
        </w:tc>
        <w:tc>
          <w:tcPr>
            <w:tcW w:w="8128" w:type="dxa"/>
            <w:noWrap/>
            <w:vAlign w:val="center"/>
            <w:hideMark/>
          </w:tcPr>
          <w:p w14:paraId="40C03522" w14:textId="77777777" w:rsidR="00D64B08" w:rsidRPr="00B83A18" w:rsidRDefault="00D64B08" w:rsidP="00696E8F">
            <w:pPr>
              <w:rPr>
                <w:rFonts w:cs="Arial"/>
                <w:color w:val="000000"/>
              </w:rPr>
            </w:pPr>
            <w:r w:rsidRPr="00B83A18">
              <w:rPr>
                <w:rFonts w:cs="Arial"/>
                <w:color w:val="000000"/>
              </w:rPr>
              <w:t>Bypass Abdominal Aorta to Left Renal Artery with Autologous Venous Tissue, Open Approach</w:t>
            </w:r>
          </w:p>
        </w:tc>
      </w:tr>
      <w:tr w:rsidR="00D64B08" w:rsidRPr="00B83A18" w14:paraId="33539D70" w14:textId="77777777" w:rsidTr="002C718A">
        <w:trPr>
          <w:trHeight w:val="300"/>
        </w:trPr>
        <w:tc>
          <w:tcPr>
            <w:tcW w:w="1525" w:type="dxa"/>
            <w:noWrap/>
            <w:vAlign w:val="center"/>
            <w:hideMark/>
          </w:tcPr>
          <w:p w14:paraId="617348C9" w14:textId="77777777" w:rsidR="00D64B08" w:rsidRPr="00B83A18" w:rsidRDefault="00D64B08" w:rsidP="00696E8F">
            <w:pPr>
              <w:rPr>
                <w:rFonts w:cs="Arial"/>
                <w:color w:val="000000"/>
              </w:rPr>
            </w:pPr>
            <w:r w:rsidRPr="00B83A18">
              <w:rPr>
                <w:rFonts w:cs="Arial"/>
                <w:color w:val="000000"/>
              </w:rPr>
              <w:t>0410095</w:t>
            </w:r>
          </w:p>
        </w:tc>
        <w:tc>
          <w:tcPr>
            <w:tcW w:w="8128" w:type="dxa"/>
            <w:noWrap/>
            <w:vAlign w:val="center"/>
            <w:hideMark/>
          </w:tcPr>
          <w:p w14:paraId="1EBC27E7" w14:textId="77777777" w:rsidR="00D64B08" w:rsidRPr="00B83A18" w:rsidRDefault="00D64B08" w:rsidP="00696E8F">
            <w:pPr>
              <w:rPr>
                <w:rFonts w:cs="Arial"/>
                <w:color w:val="000000"/>
              </w:rPr>
            </w:pPr>
            <w:r w:rsidRPr="00B83A18">
              <w:rPr>
                <w:rFonts w:cs="Arial"/>
                <w:color w:val="000000"/>
              </w:rPr>
              <w:t>Bypass Abdominal Aorta to Bilateral Renal Artery with Autologous Venous Tissue, Open Approach</w:t>
            </w:r>
          </w:p>
        </w:tc>
      </w:tr>
      <w:tr w:rsidR="00D64B08" w:rsidRPr="00B83A18" w14:paraId="01B2BAFF" w14:textId="77777777" w:rsidTr="002C718A">
        <w:trPr>
          <w:trHeight w:val="300"/>
        </w:trPr>
        <w:tc>
          <w:tcPr>
            <w:tcW w:w="1525" w:type="dxa"/>
            <w:noWrap/>
            <w:vAlign w:val="center"/>
            <w:hideMark/>
          </w:tcPr>
          <w:p w14:paraId="29CBA755" w14:textId="77777777" w:rsidR="00D64B08" w:rsidRPr="00B83A18" w:rsidRDefault="00D64B08" w:rsidP="00696E8F">
            <w:pPr>
              <w:rPr>
                <w:rFonts w:cs="Arial"/>
                <w:color w:val="000000"/>
              </w:rPr>
            </w:pPr>
            <w:r w:rsidRPr="00B83A18">
              <w:rPr>
                <w:rFonts w:cs="Arial"/>
                <w:color w:val="000000"/>
              </w:rPr>
              <w:t>0410096</w:t>
            </w:r>
          </w:p>
        </w:tc>
        <w:tc>
          <w:tcPr>
            <w:tcW w:w="8128" w:type="dxa"/>
            <w:noWrap/>
            <w:vAlign w:val="center"/>
            <w:hideMark/>
          </w:tcPr>
          <w:p w14:paraId="04DF32F6" w14:textId="77777777" w:rsidR="00D64B08" w:rsidRPr="00B83A18" w:rsidRDefault="00D64B08" w:rsidP="00696E8F">
            <w:pPr>
              <w:rPr>
                <w:rFonts w:cs="Arial"/>
                <w:color w:val="000000"/>
              </w:rPr>
            </w:pPr>
            <w:r w:rsidRPr="00B83A18">
              <w:rPr>
                <w:rFonts w:cs="Arial"/>
                <w:color w:val="000000"/>
              </w:rPr>
              <w:t>Bypass Abdominal Aorta to Right Common Iliac Artery with Autologous Venous Tissue, Open Approach</w:t>
            </w:r>
          </w:p>
        </w:tc>
      </w:tr>
      <w:tr w:rsidR="00D64B08" w:rsidRPr="00B83A18" w14:paraId="2744593B" w14:textId="77777777" w:rsidTr="002C718A">
        <w:trPr>
          <w:trHeight w:val="300"/>
        </w:trPr>
        <w:tc>
          <w:tcPr>
            <w:tcW w:w="1525" w:type="dxa"/>
            <w:noWrap/>
            <w:vAlign w:val="center"/>
            <w:hideMark/>
          </w:tcPr>
          <w:p w14:paraId="40BC81E2" w14:textId="77777777" w:rsidR="00D64B08" w:rsidRPr="00B83A18" w:rsidRDefault="00D64B08" w:rsidP="00696E8F">
            <w:pPr>
              <w:rPr>
                <w:rFonts w:cs="Arial"/>
                <w:color w:val="000000"/>
              </w:rPr>
            </w:pPr>
            <w:r w:rsidRPr="00B83A18">
              <w:rPr>
                <w:rFonts w:cs="Arial"/>
                <w:color w:val="000000"/>
              </w:rPr>
              <w:t>0410097</w:t>
            </w:r>
          </w:p>
        </w:tc>
        <w:tc>
          <w:tcPr>
            <w:tcW w:w="8128" w:type="dxa"/>
            <w:noWrap/>
            <w:vAlign w:val="center"/>
            <w:hideMark/>
          </w:tcPr>
          <w:p w14:paraId="1ACF8C41" w14:textId="77777777" w:rsidR="00D64B08" w:rsidRPr="00B83A18" w:rsidRDefault="00D64B08" w:rsidP="00696E8F">
            <w:pPr>
              <w:rPr>
                <w:rFonts w:cs="Arial"/>
                <w:color w:val="000000"/>
              </w:rPr>
            </w:pPr>
            <w:r w:rsidRPr="00B83A18">
              <w:rPr>
                <w:rFonts w:cs="Arial"/>
                <w:color w:val="000000"/>
              </w:rPr>
              <w:t>Bypass Abdominal Aorta to Left Common Iliac Artery with Autologous Venous Tissue, Open Approach</w:t>
            </w:r>
          </w:p>
        </w:tc>
      </w:tr>
      <w:tr w:rsidR="00D64B08" w:rsidRPr="00B83A18" w14:paraId="2AFC75E6" w14:textId="77777777" w:rsidTr="002C718A">
        <w:trPr>
          <w:trHeight w:val="300"/>
        </w:trPr>
        <w:tc>
          <w:tcPr>
            <w:tcW w:w="1525" w:type="dxa"/>
            <w:noWrap/>
            <w:vAlign w:val="center"/>
            <w:hideMark/>
          </w:tcPr>
          <w:p w14:paraId="041FE815" w14:textId="77777777" w:rsidR="00D64B08" w:rsidRPr="00B83A18" w:rsidRDefault="00D64B08" w:rsidP="00696E8F">
            <w:pPr>
              <w:rPr>
                <w:rFonts w:cs="Arial"/>
                <w:color w:val="000000"/>
              </w:rPr>
            </w:pPr>
            <w:r w:rsidRPr="00B83A18">
              <w:rPr>
                <w:rFonts w:cs="Arial"/>
                <w:color w:val="000000"/>
              </w:rPr>
              <w:t>0410098</w:t>
            </w:r>
          </w:p>
        </w:tc>
        <w:tc>
          <w:tcPr>
            <w:tcW w:w="8128" w:type="dxa"/>
            <w:noWrap/>
            <w:vAlign w:val="center"/>
            <w:hideMark/>
          </w:tcPr>
          <w:p w14:paraId="57171138" w14:textId="77777777" w:rsidR="00D64B08" w:rsidRPr="00B83A18" w:rsidRDefault="00D64B08" w:rsidP="00696E8F">
            <w:pPr>
              <w:rPr>
                <w:rFonts w:cs="Arial"/>
                <w:color w:val="000000"/>
              </w:rPr>
            </w:pPr>
            <w:r w:rsidRPr="00B83A18">
              <w:rPr>
                <w:rFonts w:cs="Arial"/>
                <w:color w:val="000000"/>
              </w:rPr>
              <w:t>Bypass Abdominal Aorta to Bilateral Common Iliac Arteries with Autologous Venous Tissue, Open Approach</w:t>
            </w:r>
          </w:p>
        </w:tc>
      </w:tr>
      <w:tr w:rsidR="00D64B08" w:rsidRPr="00B83A18" w14:paraId="4435D884" w14:textId="77777777" w:rsidTr="002C718A">
        <w:trPr>
          <w:trHeight w:val="300"/>
        </w:trPr>
        <w:tc>
          <w:tcPr>
            <w:tcW w:w="1525" w:type="dxa"/>
            <w:noWrap/>
            <w:vAlign w:val="center"/>
            <w:hideMark/>
          </w:tcPr>
          <w:p w14:paraId="3243C941" w14:textId="77777777" w:rsidR="00D64B08" w:rsidRPr="00B83A18" w:rsidRDefault="00D64B08" w:rsidP="00696E8F">
            <w:pPr>
              <w:rPr>
                <w:rFonts w:cs="Arial"/>
                <w:color w:val="000000"/>
              </w:rPr>
            </w:pPr>
            <w:r w:rsidRPr="00B83A18">
              <w:rPr>
                <w:rFonts w:cs="Arial"/>
                <w:color w:val="000000"/>
              </w:rPr>
              <w:t>0410099</w:t>
            </w:r>
          </w:p>
        </w:tc>
        <w:tc>
          <w:tcPr>
            <w:tcW w:w="8128" w:type="dxa"/>
            <w:noWrap/>
            <w:vAlign w:val="center"/>
            <w:hideMark/>
          </w:tcPr>
          <w:p w14:paraId="6D8C8E23" w14:textId="77777777" w:rsidR="00D64B08" w:rsidRPr="00B83A18" w:rsidRDefault="00D64B08" w:rsidP="00696E8F">
            <w:pPr>
              <w:rPr>
                <w:rFonts w:cs="Arial"/>
                <w:color w:val="000000"/>
              </w:rPr>
            </w:pPr>
            <w:r w:rsidRPr="00B83A18">
              <w:rPr>
                <w:rFonts w:cs="Arial"/>
                <w:color w:val="000000"/>
              </w:rPr>
              <w:t>Bypass Abdominal Aorta to Right Internal Iliac Artery with Autologous Venous Tissue, Open Approach</w:t>
            </w:r>
          </w:p>
        </w:tc>
      </w:tr>
      <w:tr w:rsidR="00F67359" w:rsidRPr="00B83A18" w14:paraId="141FBC01" w14:textId="77777777" w:rsidTr="002C718A">
        <w:trPr>
          <w:trHeight w:val="300"/>
        </w:trPr>
        <w:tc>
          <w:tcPr>
            <w:tcW w:w="1525" w:type="dxa"/>
            <w:noWrap/>
            <w:vAlign w:val="center"/>
          </w:tcPr>
          <w:p w14:paraId="48646A77" w14:textId="25585781" w:rsidR="00F67359" w:rsidRPr="00B83A18" w:rsidRDefault="00F67359" w:rsidP="00696E8F">
            <w:pPr>
              <w:rPr>
                <w:rFonts w:cs="Arial"/>
                <w:color w:val="000000"/>
              </w:rPr>
            </w:pPr>
            <w:r w:rsidRPr="00C76857">
              <w:rPr>
                <w:rFonts w:cstheme="minorHAnsi"/>
                <w:color w:val="000000"/>
              </w:rPr>
              <w:t>021K0ZW</w:t>
            </w:r>
          </w:p>
        </w:tc>
        <w:tc>
          <w:tcPr>
            <w:tcW w:w="8128" w:type="dxa"/>
            <w:noWrap/>
            <w:vAlign w:val="center"/>
          </w:tcPr>
          <w:p w14:paraId="4F553D5B" w14:textId="4921C43B" w:rsidR="00F67359" w:rsidRPr="00B83A18" w:rsidRDefault="00F67359" w:rsidP="00696E8F">
            <w:pPr>
              <w:rPr>
                <w:rFonts w:cs="Arial"/>
                <w:color w:val="000000"/>
              </w:rPr>
            </w:pPr>
            <w:r w:rsidRPr="00C76857">
              <w:rPr>
                <w:rFonts w:cstheme="minorHAnsi"/>
                <w:color w:val="000000"/>
              </w:rPr>
              <w:t>Bypass Right Ventricle to Aorta, Open Approach</w:t>
            </w:r>
          </w:p>
        </w:tc>
      </w:tr>
      <w:tr w:rsidR="00F67359" w:rsidRPr="00B83A18" w14:paraId="57526B92" w14:textId="77777777" w:rsidTr="002C718A">
        <w:trPr>
          <w:trHeight w:val="300"/>
        </w:trPr>
        <w:tc>
          <w:tcPr>
            <w:tcW w:w="1525" w:type="dxa"/>
            <w:noWrap/>
            <w:vAlign w:val="center"/>
          </w:tcPr>
          <w:p w14:paraId="3040F13D" w14:textId="2F71F981" w:rsidR="00F67359" w:rsidRPr="00B83A18" w:rsidRDefault="00F67359" w:rsidP="00696E8F">
            <w:pPr>
              <w:rPr>
                <w:rFonts w:cs="Arial"/>
                <w:color w:val="000000"/>
              </w:rPr>
            </w:pPr>
            <w:r w:rsidRPr="00C76857">
              <w:rPr>
                <w:rFonts w:cstheme="minorHAnsi"/>
                <w:color w:val="000000"/>
              </w:rPr>
              <w:t>021L0ZW</w:t>
            </w:r>
          </w:p>
        </w:tc>
        <w:tc>
          <w:tcPr>
            <w:tcW w:w="8128" w:type="dxa"/>
            <w:noWrap/>
            <w:vAlign w:val="center"/>
          </w:tcPr>
          <w:p w14:paraId="46737B6A" w14:textId="427D9D2F" w:rsidR="00F67359" w:rsidRPr="00B83A18" w:rsidRDefault="00F67359" w:rsidP="00696E8F">
            <w:pPr>
              <w:rPr>
                <w:rFonts w:cs="Arial"/>
                <w:color w:val="000000"/>
              </w:rPr>
            </w:pPr>
            <w:r w:rsidRPr="00C76857">
              <w:rPr>
                <w:rFonts w:cstheme="minorHAnsi"/>
                <w:color w:val="000000"/>
              </w:rPr>
              <w:t>Bypass Left Ventricle to Aorta, Open Approach</w:t>
            </w:r>
          </w:p>
        </w:tc>
      </w:tr>
      <w:tr w:rsidR="00F67359" w:rsidRPr="00B83A18" w14:paraId="107ED88B" w14:textId="77777777" w:rsidTr="002C718A">
        <w:trPr>
          <w:trHeight w:val="300"/>
        </w:trPr>
        <w:tc>
          <w:tcPr>
            <w:tcW w:w="1525" w:type="dxa"/>
            <w:noWrap/>
            <w:vAlign w:val="center"/>
          </w:tcPr>
          <w:p w14:paraId="47814E3F" w14:textId="6803ED50" w:rsidR="00F67359" w:rsidRPr="00B83A18" w:rsidRDefault="00F67359" w:rsidP="00696E8F">
            <w:pPr>
              <w:rPr>
                <w:rFonts w:cs="Arial"/>
                <w:color w:val="000000"/>
              </w:rPr>
            </w:pPr>
            <w:r w:rsidRPr="00C76857">
              <w:rPr>
                <w:rFonts w:cstheme="minorHAnsi"/>
                <w:color w:val="000000"/>
              </w:rPr>
              <w:t>021W08A</w:t>
            </w:r>
          </w:p>
        </w:tc>
        <w:tc>
          <w:tcPr>
            <w:tcW w:w="8128" w:type="dxa"/>
            <w:noWrap/>
            <w:vAlign w:val="center"/>
          </w:tcPr>
          <w:p w14:paraId="46A3AF09" w14:textId="79B3FCB6" w:rsidR="00F67359" w:rsidRPr="00B83A18" w:rsidRDefault="00F67359" w:rsidP="00696E8F">
            <w:pPr>
              <w:rPr>
                <w:rFonts w:cs="Arial"/>
                <w:color w:val="000000"/>
              </w:rPr>
            </w:pPr>
            <w:r w:rsidRPr="00C76857">
              <w:rPr>
                <w:rFonts w:cstheme="minorHAnsi"/>
                <w:color w:val="000000"/>
              </w:rPr>
              <w:t>Bypass Thoracic Aorta, Descending to Innominate Artery with Zooplastic Tissue, Open Approach</w:t>
            </w:r>
          </w:p>
        </w:tc>
      </w:tr>
      <w:tr w:rsidR="00F67359" w:rsidRPr="00B83A18" w14:paraId="47D86FD0" w14:textId="77777777" w:rsidTr="002C718A">
        <w:trPr>
          <w:trHeight w:val="300"/>
        </w:trPr>
        <w:tc>
          <w:tcPr>
            <w:tcW w:w="1525" w:type="dxa"/>
            <w:noWrap/>
            <w:vAlign w:val="center"/>
            <w:hideMark/>
          </w:tcPr>
          <w:p w14:paraId="60C006E9" w14:textId="77777777" w:rsidR="00F67359" w:rsidRPr="00B83A18" w:rsidRDefault="00F67359" w:rsidP="00696E8F">
            <w:pPr>
              <w:rPr>
                <w:rFonts w:cs="Arial"/>
                <w:color w:val="000000"/>
              </w:rPr>
            </w:pPr>
            <w:r w:rsidRPr="00B83A18">
              <w:rPr>
                <w:rFonts w:cs="Arial"/>
                <w:color w:val="000000"/>
              </w:rPr>
              <w:t>021W08B</w:t>
            </w:r>
          </w:p>
        </w:tc>
        <w:tc>
          <w:tcPr>
            <w:tcW w:w="8128" w:type="dxa"/>
            <w:noWrap/>
            <w:vAlign w:val="center"/>
            <w:hideMark/>
          </w:tcPr>
          <w:p w14:paraId="41D5F302" w14:textId="77777777" w:rsidR="00F67359" w:rsidRPr="00B83A18" w:rsidRDefault="00F67359" w:rsidP="00696E8F">
            <w:pPr>
              <w:rPr>
                <w:rFonts w:cs="Arial"/>
                <w:color w:val="000000"/>
              </w:rPr>
            </w:pPr>
            <w:r w:rsidRPr="00B83A18">
              <w:rPr>
                <w:rFonts w:cs="Arial"/>
                <w:color w:val="000000"/>
              </w:rPr>
              <w:t>Bypass Thoracic Aorta, Descending to Subclavian with Zooplastic Tissue, Open Approach</w:t>
            </w:r>
          </w:p>
        </w:tc>
      </w:tr>
      <w:tr w:rsidR="00F67359" w:rsidRPr="00B83A18" w14:paraId="50750D84" w14:textId="77777777" w:rsidTr="002C718A">
        <w:trPr>
          <w:trHeight w:val="300"/>
        </w:trPr>
        <w:tc>
          <w:tcPr>
            <w:tcW w:w="1525" w:type="dxa"/>
            <w:noWrap/>
            <w:vAlign w:val="center"/>
            <w:hideMark/>
          </w:tcPr>
          <w:p w14:paraId="55466178" w14:textId="77777777" w:rsidR="00F67359" w:rsidRPr="00B83A18" w:rsidRDefault="00F67359" w:rsidP="00696E8F">
            <w:pPr>
              <w:rPr>
                <w:rFonts w:cs="Arial"/>
                <w:color w:val="000000"/>
              </w:rPr>
            </w:pPr>
            <w:r w:rsidRPr="00B83A18">
              <w:rPr>
                <w:rFonts w:cs="Arial"/>
                <w:color w:val="000000"/>
              </w:rPr>
              <w:t>021W08D</w:t>
            </w:r>
          </w:p>
        </w:tc>
        <w:tc>
          <w:tcPr>
            <w:tcW w:w="8128" w:type="dxa"/>
            <w:noWrap/>
            <w:vAlign w:val="center"/>
            <w:hideMark/>
          </w:tcPr>
          <w:p w14:paraId="08160972" w14:textId="77777777" w:rsidR="00F67359" w:rsidRPr="00B83A18" w:rsidRDefault="00F67359" w:rsidP="00696E8F">
            <w:pPr>
              <w:rPr>
                <w:rFonts w:cs="Arial"/>
                <w:color w:val="000000"/>
              </w:rPr>
            </w:pPr>
            <w:r w:rsidRPr="00B83A18">
              <w:rPr>
                <w:rFonts w:cs="Arial"/>
                <w:color w:val="000000"/>
              </w:rPr>
              <w:t>Bypass Thoracic Aorta, Descending to Carotid with Zooplastic Tissue, Open Approach</w:t>
            </w:r>
          </w:p>
        </w:tc>
      </w:tr>
      <w:tr w:rsidR="00F67359" w:rsidRPr="00B83A18" w14:paraId="6DBF1009" w14:textId="77777777" w:rsidTr="002C718A">
        <w:trPr>
          <w:trHeight w:val="300"/>
        </w:trPr>
        <w:tc>
          <w:tcPr>
            <w:tcW w:w="1525" w:type="dxa"/>
            <w:noWrap/>
            <w:vAlign w:val="center"/>
            <w:hideMark/>
          </w:tcPr>
          <w:p w14:paraId="35945626" w14:textId="77777777" w:rsidR="00F67359" w:rsidRPr="00B83A18" w:rsidRDefault="00F67359" w:rsidP="00696E8F">
            <w:pPr>
              <w:rPr>
                <w:rFonts w:cs="Arial"/>
                <w:color w:val="000000"/>
              </w:rPr>
            </w:pPr>
            <w:r w:rsidRPr="00B83A18">
              <w:rPr>
                <w:rFonts w:cs="Arial"/>
                <w:color w:val="000000"/>
              </w:rPr>
              <w:t>021W08F</w:t>
            </w:r>
          </w:p>
        </w:tc>
        <w:tc>
          <w:tcPr>
            <w:tcW w:w="8128" w:type="dxa"/>
            <w:noWrap/>
            <w:vAlign w:val="center"/>
            <w:hideMark/>
          </w:tcPr>
          <w:p w14:paraId="16B9B770" w14:textId="77777777" w:rsidR="00F67359" w:rsidRPr="00B83A18" w:rsidRDefault="00F67359" w:rsidP="00696E8F">
            <w:pPr>
              <w:rPr>
                <w:rFonts w:cs="Arial"/>
                <w:color w:val="000000"/>
              </w:rPr>
            </w:pPr>
            <w:r w:rsidRPr="00B83A18">
              <w:rPr>
                <w:rFonts w:cs="Arial"/>
                <w:color w:val="000000"/>
              </w:rPr>
              <w:t>Bypass Thoracic Aorta, Descending to Abdominal Artery with Zooplastic Tissue, Open Approach</w:t>
            </w:r>
          </w:p>
        </w:tc>
      </w:tr>
      <w:tr w:rsidR="00F67359" w:rsidRPr="00B83A18" w14:paraId="229CA27B" w14:textId="77777777" w:rsidTr="002C718A">
        <w:trPr>
          <w:trHeight w:val="300"/>
        </w:trPr>
        <w:tc>
          <w:tcPr>
            <w:tcW w:w="1525" w:type="dxa"/>
            <w:noWrap/>
            <w:vAlign w:val="center"/>
            <w:hideMark/>
          </w:tcPr>
          <w:p w14:paraId="55D72CFE" w14:textId="77777777" w:rsidR="00F67359" w:rsidRPr="00B83A18" w:rsidRDefault="00F67359" w:rsidP="00696E8F">
            <w:pPr>
              <w:rPr>
                <w:rFonts w:cs="Arial"/>
                <w:color w:val="000000"/>
              </w:rPr>
            </w:pPr>
            <w:r w:rsidRPr="00B83A18">
              <w:rPr>
                <w:rFonts w:cs="Arial"/>
                <w:color w:val="000000"/>
              </w:rPr>
              <w:t>021W08G</w:t>
            </w:r>
          </w:p>
        </w:tc>
        <w:tc>
          <w:tcPr>
            <w:tcW w:w="8128" w:type="dxa"/>
            <w:noWrap/>
            <w:vAlign w:val="center"/>
            <w:hideMark/>
          </w:tcPr>
          <w:p w14:paraId="3AE5F2B3" w14:textId="77777777" w:rsidR="00F67359" w:rsidRPr="00B83A18" w:rsidRDefault="00F67359" w:rsidP="00696E8F">
            <w:pPr>
              <w:rPr>
                <w:rFonts w:cs="Arial"/>
                <w:color w:val="000000"/>
              </w:rPr>
            </w:pPr>
            <w:r w:rsidRPr="00B83A18">
              <w:rPr>
                <w:rFonts w:cs="Arial"/>
                <w:color w:val="000000"/>
              </w:rPr>
              <w:t>Bypass Thoracic Aorta, Descending to Axillary Artery with Zooplastic Tissue, Open Approach</w:t>
            </w:r>
          </w:p>
        </w:tc>
      </w:tr>
      <w:tr w:rsidR="00F67359" w:rsidRPr="00B83A18" w14:paraId="19482D5E" w14:textId="77777777" w:rsidTr="002C718A">
        <w:trPr>
          <w:trHeight w:val="300"/>
        </w:trPr>
        <w:tc>
          <w:tcPr>
            <w:tcW w:w="1525" w:type="dxa"/>
            <w:noWrap/>
            <w:vAlign w:val="center"/>
            <w:hideMark/>
          </w:tcPr>
          <w:p w14:paraId="6E122046" w14:textId="77777777" w:rsidR="00F67359" w:rsidRPr="00B83A18" w:rsidRDefault="00F67359" w:rsidP="00696E8F">
            <w:pPr>
              <w:rPr>
                <w:rFonts w:cs="Arial"/>
                <w:color w:val="000000"/>
              </w:rPr>
            </w:pPr>
            <w:r w:rsidRPr="00B83A18">
              <w:rPr>
                <w:rFonts w:cs="Arial"/>
                <w:color w:val="000000"/>
              </w:rPr>
              <w:t>021W08H</w:t>
            </w:r>
          </w:p>
        </w:tc>
        <w:tc>
          <w:tcPr>
            <w:tcW w:w="8128" w:type="dxa"/>
            <w:noWrap/>
            <w:vAlign w:val="center"/>
            <w:hideMark/>
          </w:tcPr>
          <w:p w14:paraId="486D043B" w14:textId="77777777" w:rsidR="00F67359" w:rsidRPr="00B83A18" w:rsidRDefault="00F67359" w:rsidP="00696E8F">
            <w:pPr>
              <w:rPr>
                <w:rFonts w:cs="Arial"/>
                <w:color w:val="000000"/>
              </w:rPr>
            </w:pPr>
            <w:r w:rsidRPr="00B83A18">
              <w:rPr>
                <w:rFonts w:cs="Arial"/>
                <w:color w:val="000000"/>
              </w:rPr>
              <w:t>Bypass Thoracic Aorta, Descending to Brachial Artery with Zooplastic Tissue, Open Approach</w:t>
            </w:r>
          </w:p>
        </w:tc>
      </w:tr>
      <w:tr w:rsidR="00F67359" w:rsidRPr="00B83A18" w14:paraId="16987BDF" w14:textId="77777777" w:rsidTr="002C718A">
        <w:trPr>
          <w:trHeight w:val="300"/>
        </w:trPr>
        <w:tc>
          <w:tcPr>
            <w:tcW w:w="1525" w:type="dxa"/>
            <w:noWrap/>
            <w:vAlign w:val="center"/>
            <w:hideMark/>
          </w:tcPr>
          <w:p w14:paraId="01013223" w14:textId="77777777" w:rsidR="00F67359" w:rsidRPr="00B83A18" w:rsidRDefault="00F67359" w:rsidP="00696E8F">
            <w:pPr>
              <w:rPr>
                <w:rFonts w:cs="Arial"/>
                <w:color w:val="000000"/>
              </w:rPr>
            </w:pPr>
            <w:r w:rsidRPr="00B83A18">
              <w:rPr>
                <w:rFonts w:cs="Arial"/>
                <w:color w:val="000000"/>
              </w:rPr>
              <w:t>021W08P</w:t>
            </w:r>
          </w:p>
        </w:tc>
        <w:tc>
          <w:tcPr>
            <w:tcW w:w="8128" w:type="dxa"/>
            <w:noWrap/>
            <w:vAlign w:val="center"/>
            <w:hideMark/>
          </w:tcPr>
          <w:p w14:paraId="25ED2B07" w14:textId="77777777" w:rsidR="00F67359" w:rsidRPr="00B83A18" w:rsidRDefault="00F67359" w:rsidP="00696E8F">
            <w:pPr>
              <w:rPr>
                <w:rFonts w:cs="Arial"/>
                <w:color w:val="000000"/>
              </w:rPr>
            </w:pPr>
            <w:r w:rsidRPr="00B83A18">
              <w:rPr>
                <w:rFonts w:cs="Arial"/>
                <w:color w:val="000000"/>
              </w:rPr>
              <w:t>Bypass Thoracic Aorta, Descending to Pulmonary Trunk with Zooplastic Tissue, Open Approach</w:t>
            </w:r>
          </w:p>
        </w:tc>
      </w:tr>
      <w:tr w:rsidR="00F67359" w:rsidRPr="00B83A18" w14:paraId="737F1B04" w14:textId="77777777" w:rsidTr="002C718A">
        <w:trPr>
          <w:trHeight w:val="300"/>
        </w:trPr>
        <w:tc>
          <w:tcPr>
            <w:tcW w:w="1525" w:type="dxa"/>
            <w:noWrap/>
            <w:vAlign w:val="center"/>
            <w:hideMark/>
          </w:tcPr>
          <w:p w14:paraId="72D4CE32" w14:textId="77777777" w:rsidR="00F67359" w:rsidRPr="00B83A18" w:rsidRDefault="00F67359" w:rsidP="00696E8F">
            <w:pPr>
              <w:rPr>
                <w:rFonts w:cs="Arial"/>
                <w:color w:val="000000"/>
              </w:rPr>
            </w:pPr>
            <w:r w:rsidRPr="00B83A18">
              <w:rPr>
                <w:rFonts w:cs="Arial"/>
                <w:color w:val="000000"/>
              </w:rPr>
              <w:t>021W08Q</w:t>
            </w:r>
          </w:p>
        </w:tc>
        <w:tc>
          <w:tcPr>
            <w:tcW w:w="8128" w:type="dxa"/>
            <w:noWrap/>
            <w:vAlign w:val="center"/>
            <w:hideMark/>
          </w:tcPr>
          <w:p w14:paraId="68F754DA" w14:textId="77777777" w:rsidR="00F67359" w:rsidRPr="00B83A18" w:rsidRDefault="00F67359" w:rsidP="00696E8F">
            <w:pPr>
              <w:rPr>
                <w:rFonts w:cs="Arial"/>
                <w:color w:val="000000"/>
              </w:rPr>
            </w:pPr>
            <w:r w:rsidRPr="00B83A18">
              <w:rPr>
                <w:rFonts w:cs="Arial"/>
                <w:color w:val="000000"/>
              </w:rPr>
              <w:t>Bypass Thoracic Aorta, Descending to Right Pulmonary Artery with Zooplastic Tissue, Open Approach</w:t>
            </w:r>
          </w:p>
        </w:tc>
      </w:tr>
      <w:tr w:rsidR="00F67359" w:rsidRPr="00B83A18" w14:paraId="4CB36141" w14:textId="77777777" w:rsidTr="002C718A">
        <w:trPr>
          <w:trHeight w:val="300"/>
        </w:trPr>
        <w:tc>
          <w:tcPr>
            <w:tcW w:w="1525" w:type="dxa"/>
            <w:noWrap/>
            <w:vAlign w:val="center"/>
            <w:hideMark/>
          </w:tcPr>
          <w:p w14:paraId="6E3C50E7" w14:textId="77777777" w:rsidR="00F67359" w:rsidRPr="00B83A18" w:rsidRDefault="00F67359" w:rsidP="00696E8F">
            <w:pPr>
              <w:rPr>
                <w:rFonts w:cs="Arial"/>
                <w:color w:val="000000"/>
              </w:rPr>
            </w:pPr>
            <w:r w:rsidRPr="00B83A18">
              <w:rPr>
                <w:rFonts w:cs="Arial"/>
                <w:color w:val="000000"/>
              </w:rPr>
              <w:t>021W08R</w:t>
            </w:r>
          </w:p>
        </w:tc>
        <w:tc>
          <w:tcPr>
            <w:tcW w:w="8128" w:type="dxa"/>
            <w:noWrap/>
            <w:vAlign w:val="center"/>
            <w:hideMark/>
          </w:tcPr>
          <w:p w14:paraId="1AF88FDA" w14:textId="77777777" w:rsidR="00F67359" w:rsidRPr="00B83A18" w:rsidRDefault="00F67359" w:rsidP="00696E8F">
            <w:pPr>
              <w:rPr>
                <w:rFonts w:cs="Arial"/>
                <w:color w:val="000000"/>
              </w:rPr>
            </w:pPr>
            <w:r w:rsidRPr="00B83A18">
              <w:rPr>
                <w:rFonts w:cs="Arial"/>
                <w:color w:val="000000"/>
              </w:rPr>
              <w:t>Bypass Thoracic Aorta, Descending to Left Pulmonary Artery with Zooplastic Tissue, Open Approach</w:t>
            </w:r>
          </w:p>
        </w:tc>
      </w:tr>
      <w:tr w:rsidR="00F67359" w:rsidRPr="00B83A18" w14:paraId="7C415E22" w14:textId="77777777" w:rsidTr="002C718A">
        <w:trPr>
          <w:trHeight w:val="300"/>
        </w:trPr>
        <w:tc>
          <w:tcPr>
            <w:tcW w:w="1525" w:type="dxa"/>
            <w:noWrap/>
            <w:vAlign w:val="center"/>
            <w:hideMark/>
          </w:tcPr>
          <w:p w14:paraId="18A6EA42" w14:textId="77777777" w:rsidR="00F67359" w:rsidRPr="00B83A18" w:rsidRDefault="00F67359" w:rsidP="00696E8F">
            <w:pPr>
              <w:rPr>
                <w:rFonts w:cs="Arial"/>
                <w:color w:val="000000"/>
              </w:rPr>
            </w:pPr>
            <w:r w:rsidRPr="00B83A18">
              <w:rPr>
                <w:rFonts w:cs="Arial"/>
                <w:color w:val="000000"/>
              </w:rPr>
              <w:t>021W08V</w:t>
            </w:r>
          </w:p>
        </w:tc>
        <w:tc>
          <w:tcPr>
            <w:tcW w:w="8128" w:type="dxa"/>
            <w:noWrap/>
            <w:vAlign w:val="center"/>
            <w:hideMark/>
          </w:tcPr>
          <w:p w14:paraId="5675B22D" w14:textId="77777777" w:rsidR="00F67359" w:rsidRPr="00B83A18" w:rsidRDefault="00F67359" w:rsidP="00696E8F">
            <w:pPr>
              <w:rPr>
                <w:rFonts w:cs="Arial"/>
                <w:color w:val="000000"/>
              </w:rPr>
            </w:pPr>
            <w:r w:rsidRPr="00B83A18">
              <w:rPr>
                <w:rFonts w:cs="Arial"/>
                <w:color w:val="000000"/>
              </w:rPr>
              <w:t>Bypass Thoracic Aorta, Descending to Lower Extremity Artery with Zooplastic Tissue, Open Approach</w:t>
            </w:r>
          </w:p>
        </w:tc>
      </w:tr>
      <w:tr w:rsidR="00F67359" w:rsidRPr="00B83A18" w14:paraId="5AECC21D" w14:textId="77777777" w:rsidTr="002C718A">
        <w:trPr>
          <w:trHeight w:val="300"/>
        </w:trPr>
        <w:tc>
          <w:tcPr>
            <w:tcW w:w="1525" w:type="dxa"/>
            <w:noWrap/>
            <w:vAlign w:val="center"/>
            <w:hideMark/>
          </w:tcPr>
          <w:p w14:paraId="72C52CDE" w14:textId="77777777" w:rsidR="00F67359" w:rsidRPr="00B83A18" w:rsidRDefault="00F67359" w:rsidP="00696E8F">
            <w:pPr>
              <w:rPr>
                <w:rFonts w:cs="Arial"/>
                <w:color w:val="000000"/>
              </w:rPr>
            </w:pPr>
            <w:r w:rsidRPr="00B83A18">
              <w:rPr>
                <w:rFonts w:cs="Arial"/>
                <w:color w:val="000000"/>
              </w:rPr>
              <w:lastRenderedPageBreak/>
              <w:t>021W09B</w:t>
            </w:r>
          </w:p>
        </w:tc>
        <w:tc>
          <w:tcPr>
            <w:tcW w:w="8128" w:type="dxa"/>
            <w:noWrap/>
            <w:vAlign w:val="center"/>
            <w:hideMark/>
          </w:tcPr>
          <w:p w14:paraId="11573DDB" w14:textId="77777777" w:rsidR="00F67359" w:rsidRPr="00B83A18" w:rsidRDefault="00F67359" w:rsidP="00696E8F">
            <w:pPr>
              <w:rPr>
                <w:rFonts w:cs="Arial"/>
                <w:color w:val="000000"/>
              </w:rPr>
            </w:pPr>
            <w:r w:rsidRPr="00B83A18">
              <w:rPr>
                <w:rFonts w:cs="Arial"/>
                <w:color w:val="000000"/>
              </w:rPr>
              <w:t>Bypass Thoracic Aorta, Descending to Subclavian with Autologous Venous Tissue, Open Approach</w:t>
            </w:r>
          </w:p>
        </w:tc>
      </w:tr>
      <w:tr w:rsidR="00F67359" w:rsidRPr="00B83A18" w14:paraId="1D139828" w14:textId="77777777" w:rsidTr="002C718A">
        <w:trPr>
          <w:trHeight w:val="300"/>
        </w:trPr>
        <w:tc>
          <w:tcPr>
            <w:tcW w:w="1525" w:type="dxa"/>
            <w:noWrap/>
            <w:vAlign w:val="center"/>
          </w:tcPr>
          <w:p w14:paraId="0A83AB64" w14:textId="3A36FD0A" w:rsidR="00F67359" w:rsidRPr="00B83A18" w:rsidRDefault="00F67359" w:rsidP="00696E8F">
            <w:pPr>
              <w:rPr>
                <w:rFonts w:cs="Arial"/>
                <w:color w:val="000000"/>
              </w:rPr>
            </w:pPr>
            <w:r w:rsidRPr="00C76857">
              <w:rPr>
                <w:rFonts w:cstheme="minorHAnsi"/>
                <w:color w:val="000000"/>
              </w:rPr>
              <w:t>021W09A</w:t>
            </w:r>
          </w:p>
        </w:tc>
        <w:tc>
          <w:tcPr>
            <w:tcW w:w="8128" w:type="dxa"/>
            <w:noWrap/>
            <w:vAlign w:val="center"/>
          </w:tcPr>
          <w:p w14:paraId="7852D71E" w14:textId="6A962B77" w:rsidR="00F67359" w:rsidRPr="00B83A18" w:rsidRDefault="00F67359" w:rsidP="00696E8F">
            <w:pPr>
              <w:rPr>
                <w:rFonts w:cs="Arial"/>
                <w:color w:val="000000"/>
              </w:rPr>
            </w:pPr>
            <w:r w:rsidRPr="00C76857">
              <w:rPr>
                <w:rFonts w:cstheme="minorHAnsi"/>
                <w:color w:val="000000"/>
              </w:rPr>
              <w:t>Bypass Thoracic Aorta, Descending to Innominate Artery with Autologous Venous Tissue, Open Approach</w:t>
            </w:r>
          </w:p>
        </w:tc>
      </w:tr>
      <w:tr w:rsidR="00F67359" w:rsidRPr="00B83A18" w14:paraId="5612A01E" w14:textId="77777777" w:rsidTr="002C718A">
        <w:trPr>
          <w:trHeight w:val="300"/>
        </w:trPr>
        <w:tc>
          <w:tcPr>
            <w:tcW w:w="1525" w:type="dxa"/>
            <w:noWrap/>
            <w:vAlign w:val="center"/>
            <w:hideMark/>
          </w:tcPr>
          <w:p w14:paraId="47DFBE48" w14:textId="77777777" w:rsidR="00F67359" w:rsidRPr="00B83A18" w:rsidRDefault="00F67359" w:rsidP="00696E8F">
            <w:pPr>
              <w:rPr>
                <w:rFonts w:cs="Arial"/>
                <w:color w:val="000000"/>
              </w:rPr>
            </w:pPr>
            <w:r w:rsidRPr="00B83A18">
              <w:rPr>
                <w:rFonts w:cs="Arial"/>
                <w:color w:val="000000"/>
              </w:rPr>
              <w:t>021W09D</w:t>
            </w:r>
          </w:p>
        </w:tc>
        <w:tc>
          <w:tcPr>
            <w:tcW w:w="8128" w:type="dxa"/>
            <w:noWrap/>
            <w:vAlign w:val="center"/>
            <w:hideMark/>
          </w:tcPr>
          <w:p w14:paraId="6D93B1A3" w14:textId="77777777" w:rsidR="00F67359" w:rsidRPr="00B83A18" w:rsidRDefault="00F67359" w:rsidP="00696E8F">
            <w:pPr>
              <w:rPr>
                <w:rFonts w:cs="Arial"/>
                <w:color w:val="000000"/>
              </w:rPr>
            </w:pPr>
            <w:r w:rsidRPr="00B83A18">
              <w:rPr>
                <w:rFonts w:cs="Arial"/>
                <w:color w:val="000000"/>
              </w:rPr>
              <w:t>Bypass Thoracic Aorta, Descending to Carotid with Autologous Venous Tissue, Open Approach</w:t>
            </w:r>
          </w:p>
        </w:tc>
      </w:tr>
      <w:tr w:rsidR="00F67359" w:rsidRPr="00B83A18" w14:paraId="4ABD8085" w14:textId="77777777" w:rsidTr="002C718A">
        <w:trPr>
          <w:trHeight w:val="300"/>
        </w:trPr>
        <w:tc>
          <w:tcPr>
            <w:tcW w:w="1525" w:type="dxa"/>
            <w:noWrap/>
            <w:vAlign w:val="center"/>
            <w:hideMark/>
          </w:tcPr>
          <w:p w14:paraId="239579F0" w14:textId="77777777" w:rsidR="00F67359" w:rsidRPr="00B83A18" w:rsidRDefault="00F67359" w:rsidP="00696E8F">
            <w:pPr>
              <w:rPr>
                <w:rFonts w:cs="Arial"/>
                <w:color w:val="000000"/>
              </w:rPr>
            </w:pPr>
            <w:r w:rsidRPr="00B83A18">
              <w:rPr>
                <w:rFonts w:cs="Arial"/>
                <w:color w:val="000000"/>
              </w:rPr>
              <w:t>021W09F</w:t>
            </w:r>
          </w:p>
        </w:tc>
        <w:tc>
          <w:tcPr>
            <w:tcW w:w="8128" w:type="dxa"/>
            <w:noWrap/>
            <w:vAlign w:val="center"/>
            <w:hideMark/>
          </w:tcPr>
          <w:p w14:paraId="3873BA43" w14:textId="77777777" w:rsidR="00F67359" w:rsidRPr="00B83A18" w:rsidRDefault="00F67359" w:rsidP="00696E8F">
            <w:pPr>
              <w:rPr>
                <w:rFonts w:cs="Arial"/>
                <w:color w:val="000000"/>
              </w:rPr>
            </w:pPr>
            <w:r w:rsidRPr="00B83A18">
              <w:rPr>
                <w:rFonts w:cs="Arial"/>
                <w:color w:val="000000"/>
              </w:rPr>
              <w:t>Bypass Thoracic Aorta, Descending to Abdominal Artery with Autologous Venous Tissue, Open Approach</w:t>
            </w:r>
          </w:p>
        </w:tc>
      </w:tr>
      <w:tr w:rsidR="00F67359" w:rsidRPr="00B83A18" w14:paraId="2741B67B" w14:textId="77777777" w:rsidTr="002C718A">
        <w:trPr>
          <w:trHeight w:val="300"/>
        </w:trPr>
        <w:tc>
          <w:tcPr>
            <w:tcW w:w="1525" w:type="dxa"/>
            <w:noWrap/>
            <w:vAlign w:val="center"/>
            <w:hideMark/>
          </w:tcPr>
          <w:p w14:paraId="62F84289" w14:textId="77777777" w:rsidR="00F67359" w:rsidRPr="00B83A18" w:rsidRDefault="00F67359" w:rsidP="00696E8F">
            <w:pPr>
              <w:rPr>
                <w:rFonts w:cs="Arial"/>
                <w:color w:val="000000"/>
              </w:rPr>
            </w:pPr>
            <w:r w:rsidRPr="00B83A18">
              <w:rPr>
                <w:rFonts w:cs="Arial"/>
                <w:color w:val="000000"/>
              </w:rPr>
              <w:t>021W09G</w:t>
            </w:r>
          </w:p>
        </w:tc>
        <w:tc>
          <w:tcPr>
            <w:tcW w:w="8128" w:type="dxa"/>
            <w:noWrap/>
            <w:vAlign w:val="center"/>
            <w:hideMark/>
          </w:tcPr>
          <w:p w14:paraId="691D61E6" w14:textId="77777777" w:rsidR="00F67359" w:rsidRPr="00B83A18" w:rsidRDefault="00F67359" w:rsidP="00696E8F">
            <w:pPr>
              <w:rPr>
                <w:rFonts w:cs="Arial"/>
                <w:color w:val="000000"/>
              </w:rPr>
            </w:pPr>
            <w:r w:rsidRPr="00B83A18">
              <w:rPr>
                <w:rFonts w:cs="Arial"/>
                <w:color w:val="000000"/>
              </w:rPr>
              <w:t>Bypass Thoracic Aorta, Descending to Axillary Artery with Autologous Venous Tissue, Open Approach</w:t>
            </w:r>
          </w:p>
        </w:tc>
      </w:tr>
      <w:tr w:rsidR="00F67359" w:rsidRPr="00B83A18" w14:paraId="4F6E880D" w14:textId="77777777" w:rsidTr="002C718A">
        <w:trPr>
          <w:trHeight w:val="300"/>
        </w:trPr>
        <w:tc>
          <w:tcPr>
            <w:tcW w:w="1525" w:type="dxa"/>
            <w:noWrap/>
            <w:vAlign w:val="center"/>
            <w:hideMark/>
          </w:tcPr>
          <w:p w14:paraId="1F02652D" w14:textId="77777777" w:rsidR="00F67359" w:rsidRPr="00B83A18" w:rsidRDefault="00F67359" w:rsidP="00696E8F">
            <w:pPr>
              <w:rPr>
                <w:rFonts w:cs="Arial"/>
                <w:color w:val="000000"/>
              </w:rPr>
            </w:pPr>
            <w:r w:rsidRPr="00B83A18">
              <w:rPr>
                <w:rFonts w:cs="Arial"/>
                <w:color w:val="000000"/>
              </w:rPr>
              <w:t>021W09H</w:t>
            </w:r>
          </w:p>
        </w:tc>
        <w:tc>
          <w:tcPr>
            <w:tcW w:w="8128" w:type="dxa"/>
            <w:noWrap/>
            <w:vAlign w:val="center"/>
            <w:hideMark/>
          </w:tcPr>
          <w:p w14:paraId="39F036AE" w14:textId="77777777" w:rsidR="00F67359" w:rsidRPr="00B83A18" w:rsidRDefault="00F67359" w:rsidP="00696E8F">
            <w:pPr>
              <w:rPr>
                <w:rFonts w:cs="Arial"/>
                <w:color w:val="000000"/>
              </w:rPr>
            </w:pPr>
            <w:r w:rsidRPr="00B83A18">
              <w:rPr>
                <w:rFonts w:cs="Arial"/>
                <w:color w:val="000000"/>
              </w:rPr>
              <w:t>Bypass Thoracic Aorta, Descending to Brachial Artery with Autologous Venous Tissue, Open Approach</w:t>
            </w:r>
          </w:p>
        </w:tc>
      </w:tr>
      <w:tr w:rsidR="00F67359" w:rsidRPr="00B83A18" w14:paraId="73C292BE" w14:textId="77777777" w:rsidTr="002C718A">
        <w:trPr>
          <w:trHeight w:val="300"/>
        </w:trPr>
        <w:tc>
          <w:tcPr>
            <w:tcW w:w="1525" w:type="dxa"/>
            <w:noWrap/>
            <w:vAlign w:val="center"/>
            <w:hideMark/>
          </w:tcPr>
          <w:p w14:paraId="5E664891" w14:textId="77777777" w:rsidR="00F67359" w:rsidRPr="00B83A18" w:rsidRDefault="00F67359" w:rsidP="00696E8F">
            <w:pPr>
              <w:rPr>
                <w:rFonts w:cs="Arial"/>
                <w:color w:val="000000"/>
              </w:rPr>
            </w:pPr>
            <w:r w:rsidRPr="00B83A18">
              <w:rPr>
                <w:rFonts w:cs="Arial"/>
                <w:color w:val="000000"/>
              </w:rPr>
              <w:t>021W09P</w:t>
            </w:r>
          </w:p>
        </w:tc>
        <w:tc>
          <w:tcPr>
            <w:tcW w:w="8128" w:type="dxa"/>
            <w:noWrap/>
            <w:vAlign w:val="center"/>
            <w:hideMark/>
          </w:tcPr>
          <w:p w14:paraId="14FAC775" w14:textId="77777777" w:rsidR="00F67359" w:rsidRPr="00B83A18" w:rsidRDefault="00F67359" w:rsidP="00696E8F">
            <w:pPr>
              <w:rPr>
                <w:rFonts w:cs="Arial"/>
                <w:color w:val="000000"/>
              </w:rPr>
            </w:pPr>
            <w:r w:rsidRPr="00B83A18">
              <w:rPr>
                <w:rFonts w:cs="Arial"/>
                <w:color w:val="000000"/>
              </w:rPr>
              <w:t>Bypass Thoracic Aorta, Descending to Pulmonary Trunk with Autologous Venous Tissue, Open Approach</w:t>
            </w:r>
          </w:p>
        </w:tc>
      </w:tr>
      <w:tr w:rsidR="00F67359" w:rsidRPr="00B83A18" w14:paraId="1D1F0636" w14:textId="77777777" w:rsidTr="002C718A">
        <w:trPr>
          <w:trHeight w:val="300"/>
        </w:trPr>
        <w:tc>
          <w:tcPr>
            <w:tcW w:w="1525" w:type="dxa"/>
            <w:noWrap/>
            <w:vAlign w:val="center"/>
            <w:hideMark/>
          </w:tcPr>
          <w:p w14:paraId="0A84688E" w14:textId="77777777" w:rsidR="00F67359" w:rsidRPr="00B83A18" w:rsidRDefault="00F67359" w:rsidP="00696E8F">
            <w:pPr>
              <w:rPr>
                <w:rFonts w:cs="Arial"/>
                <w:color w:val="000000"/>
              </w:rPr>
            </w:pPr>
            <w:r w:rsidRPr="00B83A18">
              <w:rPr>
                <w:rFonts w:cs="Arial"/>
                <w:color w:val="000000"/>
              </w:rPr>
              <w:t>021W09Q</w:t>
            </w:r>
          </w:p>
        </w:tc>
        <w:tc>
          <w:tcPr>
            <w:tcW w:w="8128" w:type="dxa"/>
            <w:noWrap/>
            <w:vAlign w:val="center"/>
            <w:hideMark/>
          </w:tcPr>
          <w:p w14:paraId="14ABC7DC" w14:textId="77777777" w:rsidR="00F67359" w:rsidRPr="00B83A18" w:rsidRDefault="00F67359" w:rsidP="00696E8F">
            <w:pPr>
              <w:rPr>
                <w:rFonts w:cs="Arial"/>
                <w:color w:val="000000"/>
              </w:rPr>
            </w:pPr>
            <w:r w:rsidRPr="00B83A18">
              <w:rPr>
                <w:rFonts w:cs="Arial"/>
                <w:color w:val="000000"/>
              </w:rPr>
              <w:t>Bypass Thoracic Aorta, Descending to Right Pulmonary Artery with Autologous Venous Tissue, Open Approach</w:t>
            </w:r>
          </w:p>
        </w:tc>
      </w:tr>
      <w:tr w:rsidR="00F67359" w:rsidRPr="00B83A18" w14:paraId="2E3FD661" w14:textId="77777777" w:rsidTr="002C718A">
        <w:trPr>
          <w:trHeight w:val="300"/>
        </w:trPr>
        <w:tc>
          <w:tcPr>
            <w:tcW w:w="1525" w:type="dxa"/>
            <w:noWrap/>
            <w:vAlign w:val="center"/>
            <w:hideMark/>
          </w:tcPr>
          <w:p w14:paraId="4A3DFD70" w14:textId="77777777" w:rsidR="00F67359" w:rsidRPr="00B83A18" w:rsidRDefault="00F67359" w:rsidP="00696E8F">
            <w:pPr>
              <w:rPr>
                <w:rFonts w:cs="Arial"/>
                <w:color w:val="000000"/>
              </w:rPr>
            </w:pPr>
            <w:r w:rsidRPr="00B83A18">
              <w:rPr>
                <w:rFonts w:cs="Arial"/>
                <w:color w:val="000000"/>
              </w:rPr>
              <w:t>021W09R</w:t>
            </w:r>
          </w:p>
        </w:tc>
        <w:tc>
          <w:tcPr>
            <w:tcW w:w="8128" w:type="dxa"/>
            <w:noWrap/>
            <w:vAlign w:val="center"/>
            <w:hideMark/>
          </w:tcPr>
          <w:p w14:paraId="473097E4" w14:textId="77777777" w:rsidR="00F67359" w:rsidRPr="00B83A18" w:rsidRDefault="00F67359" w:rsidP="00696E8F">
            <w:pPr>
              <w:rPr>
                <w:rFonts w:cs="Arial"/>
                <w:color w:val="000000"/>
              </w:rPr>
            </w:pPr>
            <w:r w:rsidRPr="00B83A18">
              <w:rPr>
                <w:rFonts w:cs="Arial"/>
                <w:color w:val="000000"/>
              </w:rPr>
              <w:t>Bypass Thoracic Aorta, Descending to Left Pulmonary Artery with Autologous Venous Tissue, Open Approach</w:t>
            </w:r>
          </w:p>
        </w:tc>
      </w:tr>
      <w:tr w:rsidR="00F67359" w:rsidRPr="00B83A18" w14:paraId="692458CB" w14:textId="77777777" w:rsidTr="002C718A">
        <w:trPr>
          <w:trHeight w:val="300"/>
        </w:trPr>
        <w:tc>
          <w:tcPr>
            <w:tcW w:w="1525" w:type="dxa"/>
            <w:noWrap/>
            <w:vAlign w:val="center"/>
            <w:hideMark/>
          </w:tcPr>
          <w:p w14:paraId="621004D4" w14:textId="77777777" w:rsidR="00F67359" w:rsidRPr="00B83A18" w:rsidRDefault="00F67359" w:rsidP="00696E8F">
            <w:pPr>
              <w:rPr>
                <w:rFonts w:cs="Arial"/>
                <w:color w:val="000000"/>
              </w:rPr>
            </w:pPr>
            <w:r w:rsidRPr="00B83A18">
              <w:rPr>
                <w:rFonts w:cs="Arial"/>
                <w:color w:val="000000"/>
              </w:rPr>
              <w:t>021W09V</w:t>
            </w:r>
          </w:p>
        </w:tc>
        <w:tc>
          <w:tcPr>
            <w:tcW w:w="8128" w:type="dxa"/>
            <w:noWrap/>
            <w:vAlign w:val="center"/>
            <w:hideMark/>
          </w:tcPr>
          <w:p w14:paraId="1B961EB2" w14:textId="77777777" w:rsidR="00F67359" w:rsidRPr="00B83A18" w:rsidRDefault="00F67359" w:rsidP="00696E8F">
            <w:pPr>
              <w:rPr>
                <w:rFonts w:cs="Arial"/>
                <w:color w:val="000000"/>
              </w:rPr>
            </w:pPr>
            <w:r w:rsidRPr="00B83A18">
              <w:rPr>
                <w:rFonts w:cs="Arial"/>
                <w:color w:val="000000"/>
              </w:rPr>
              <w:t>Bypass Thoracic Aorta, Descending to Lower Extremity Artery with Autologous Venous Tissue, Open Approach</w:t>
            </w:r>
          </w:p>
        </w:tc>
      </w:tr>
      <w:tr w:rsidR="00F67359" w:rsidRPr="00B83A18" w14:paraId="3D2804CD" w14:textId="77777777" w:rsidTr="002C718A">
        <w:trPr>
          <w:trHeight w:val="300"/>
        </w:trPr>
        <w:tc>
          <w:tcPr>
            <w:tcW w:w="1525" w:type="dxa"/>
            <w:noWrap/>
            <w:vAlign w:val="center"/>
          </w:tcPr>
          <w:p w14:paraId="52056576" w14:textId="3AEF14BD" w:rsidR="00F67359" w:rsidRPr="00B83A18" w:rsidRDefault="00F67359" w:rsidP="00696E8F">
            <w:pPr>
              <w:rPr>
                <w:rFonts w:cs="Arial"/>
                <w:color w:val="000000"/>
              </w:rPr>
            </w:pPr>
            <w:r w:rsidRPr="00C76857">
              <w:rPr>
                <w:rFonts w:cstheme="minorHAnsi"/>
                <w:color w:val="000000"/>
              </w:rPr>
              <w:t>021W0AA</w:t>
            </w:r>
          </w:p>
        </w:tc>
        <w:tc>
          <w:tcPr>
            <w:tcW w:w="8128" w:type="dxa"/>
            <w:noWrap/>
            <w:vAlign w:val="center"/>
          </w:tcPr>
          <w:p w14:paraId="34124D30" w14:textId="00FB6FAE" w:rsidR="00F67359" w:rsidRPr="00B83A18" w:rsidRDefault="00F67359" w:rsidP="00696E8F">
            <w:pPr>
              <w:rPr>
                <w:rFonts w:cs="Arial"/>
                <w:color w:val="000000"/>
              </w:rPr>
            </w:pPr>
            <w:r w:rsidRPr="00C76857">
              <w:rPr>
                <w:rFonts w:cstheme="minorHAnsi"/>
                <w:color w:val="000000"/>
              </w:rPr>
              <w:t>Bypass Thoracic Aorta, Descending to Innominate Artery with Autologous Arterial Tissue, Open Approach</w:t>
            </w:r>
          </w:p>
        </w:tc>
      </w:tr>
      <w:tr w:rsidR="00F67359" w:rsidRPr="00B83A18" w14:paraId="6F94BCCA" w14:textId="77777777" w:rsidTr="002C718A">
        <w:trPr>
          <w:trHeight w:val="300"/>
        </w:trPr>
        <w:tc>
          <w:tcPr>
            <w:tcW w:w="1525" w:type="dxa"/>
            <w:noWrap/>
            <w:vAlign w:val="center"/>
            <w:hideMark/>
          </w:tcPr>
          <w:p w14:paraId="326F648D" w14:textId="77777777" w:rsidR="00F67359" w:rsidRPr="00B83A18" w:rsidRDefault="00F67359" w:rsidP="00696E8F">
            <w:pPr>
              <w:rPr>
                <w:rFonts w:cs="Arial"/>
                <w:color w:val="000000"/>
              </w:rPr>
            </w:pPr>
            <w:r w:rsidRPr="00B83A18">
              <w:rPr>
                <w:rFonts w:cs="Arial"/>
                <w:color w:val="000000"/>
              </w:rPr>
              <w:t>021W0AB</w:t>
            </w:r>
          </w:p>
        </w:tc>
        <w:tc>
          <w:tcPr>
            <w:tcW w:w="8128" w:type="dxa"/>
            <w:noWrap/>
            <w:vAlign w:val="center"/>
            <w:hideMark/>
          </w:tcPr>
          <w:p w14:paraId="767131E9" w14:textId="77777777" w:rsidR="00F67359" w:rsidRPr="00B83A18" w:rsidRDefault="00F67359" w:rsidP="00696E8F">
            <w:pPr>
              <w:rPr>
                <w:rFonts w:cs="Arial"/>
                <w:color w:val="000000"/>
              </w:rPr>
            </w:pPr>
            <w:r w:rsidRPr="00B83A18">
              <w:rPr>
                <w:rFonts w:cs="Arial"/>
                <w:color w:val="000000"/>
              </w:rPr>
              <w:t>Bypass Thoracic Aorta, Descending to Subclavian with Autologous Arterial Tissue, Open Approach</w:t>
            </w:r>
          </w:p>
        </w:tc>
      </w:tr>
      <w:tr w:rsidR="00F67359" w:rsidRPr="00B83A18" w14:paraId="2F8751FC" w14:textId="77777777" w:rsidTr="002C718A">
        <w:trPr>
          <w:trHeight w:val="300"/>
        </w:trPr>
        <w:tc>
          <w:tcPr>
            <w:tcW w:w="1525" w:type="dxa"/>
            <w:noWrap/>
            <w:vAlign w:val="center"/>
            <w:hideMark/>
          </w:tcPr>
          <w:p w14:paraId="381B890B" w14:textId="77777777" w:rsidR="00F67359" w:rsidRPr="00B83A18" w:rsidRDefault="00F67359" w:rsidP="00696E8F">
            <w:pPr>
              <w:rPr>
                <w:rFonts w:cs="Arial"/>
                <w:color w:val="000000"/>
              </w:rPr>
            </w:pPr>
            <w:r w:rsidRPr="00B83A18">
              <w:rPr>
                <w:rFonts w:cs="Arial"/>
                <w:color w:val="000000"/>
              </w:rPr>
              <w:t>021W0AD</w:t>
            </w:r>
          </w:p>
        </w:tc>
        <w:tc>
          <w:tcPr>
            <w:tcW w:w="8128" w:type="dxa"/>
            <w:noWrap/>
            <w:vAlign w:val="center"/>
            <w:hideMark/>
          </w:tcPr>
          <w:p w14:paraId="136547FC" w14:textId="77777777" w:rsidR="00F67359" w:rsidRPr="00B83A18" w:rsidRDefault="00F67359" w:rsidP="00696E8F">
            <w:pPr>
              <w:rPr>
                <w:rFonts w:cs="Arial"/>
                <w:color w:val="000000"/>
              </w:rPr>
            </w:pPr>
            <w:r w:rsidRPr="00B83A18">
              <w:rPr>
                <w:rFonts w:cs="Arial"/>
                <w:color w:val="000000"/>
              </w:rPr>
              <w:t>Bypass Thoracic Aorta, Descending to Carotid with Autologous Arterial Tissue, Open Approach</w:t>
            </w:r>
          </w:p>
        </w:tc>
      </w:tr>
      <w:tr w:rsidR="00F67359" w:rsidRPr="00B83A18" w14:paraId="60D6F10E" w14:textId="77777777" w:rsidTr="002C718A">
        <w:trPr>
          <w:trHeight w:val="300"/>
        </w:trPr>
        <w:tc>
          <w:tcPr>
            <w:tcW w:w="1525" w:type="dxa"/>
            <w:noWrap/>
            <w:vAlign w:val="center"/>
            <w:hideMark/>
          </w:tcPr>
          <w:p w14:paraId="7560F64D" w14:textId="77777777" w:rsidR="00F67359" w:rsidRPr="00B83A18" w:rsidRDefault="00F67359" w:rsidP="00696E8F">
            <w:pPr>
              <w:rPr>
                <w:rFonts w:cs="Arial"/>
                <w:color w:val="000000"/>
              </w:rPr>
            </w:pPr>
            <w:r w:rsidRPr="00B83A18">
              <w:rPr>
                <w:rFonts w:cs="Arial"/>
                <w:color w:val="000000"/>
              </w:rPr>
              <w:t>021W0AF</w:t>
            </w:r>
          </w:p>
        </w:tc>
        <w:tc>
          <w:tcPr>
            <w:tcW w:w="8128" w:type="dxa"/>
            <w:noWrap/>
            <w:vAlign w:val="center"/>
            <w:hideMark/>
          </w:tcPr>
          <w:p w14:paraId="23D5EC4C" w14:textId="77777777" w:rsidR="00F67359" w:rsidRPr="00B83A18" w:rsidRDefault="00F67359" w:rsidP="00696E8F">
            <w:pPr>
              <w:rPr>
                <w:rFonts w:cs="Arial"/>
                <w:color w:val="000000"/>
              </w:rPr>
            </w:pPr>
            <w:r w:rsidRPr="00B83A18">
              <w:rPr>
                <w:rFonts w:cs="Arial"/>
                <w:color w:val="000000"/>
              </w:rPr>
              <w:t>Bypass Thoracic Aorta, Descending to Abdominal Artery with Autologous Arterial Tissue, Open Approach</w:t>
            </w:r>
          </w:p>
        </w:tc>
      </w:tr>
      <w:tr w:rsidR="00F67359" w:rsidRPr="00B83A18" w14:paraId="39A7DC23" w14:textId="77777777" w:rsidTr="002C718A">
        <w:trPr>
          <w:trHeight w:val="300"/>
        </w:trPr>
        <w:tc>
          <w:tcPr>
            <w:tcW w:w="1525" w:type="dxa"/>
            <w:noWrap/>
            <w:vAlign w:val="center"/>
            <w:hideMark/>
          </w:tcPr>
          <w:p w14:paraId="30EA90EF" w14:textId="77777777" w:rsidR="00F67359" w:rsidRPr="00B83A18" w:rsidRDefault="00F67359" w:rsidP="00696E8F">
            <w:pPr>
              <w:rPr>
                <w:rFonts w:cs="Arial"/>
                <w:color w:val="000000"/>
              </w:rPr>
            </w:pPr>
            <w:r w:rsidRPr="00B83A18">
              <w:rPr>
                <w:rFonts w:cs="Arial"/>
                <w:color w:val="000000"/>
              </w:rPr>
              <w:t>021W0AG</w:t>
            </w:r>
          </w:p>
        </w:tc>
        <w:tc>
          <w:tcPr>
            <w:tcW w:w="8128" w:type="dxa"/>
            <w:noWrap/>
            <w:vAlign w:val="center"/>
            <w:hideMark/>
          </w:tcPr>
          <w:p w14:paraId="31C6FB6A" w14:textId="77777777" w:rsidR="00F67359" w:rsidRPr="00B83A18" w:rsidRDefault="00F67359" w:rsidP="00696E8F">
            <w:pPr>
              <w:rPr>
                <w:rFonts w:cs="Arial"/>
                <w:color w:val="000000"/>
              </w:rPr>
            </w:pPr>
            <w:r w:rsidRPr="00B83A18">
              <w:rPr>
                <w:rFonts w:cs="Arial"/>
                <w:color w:val="000000"/>
              </w:rPr>
              <w:t>Bypass Thoracic Aorta, Descending to Axillary Artery with Autologous Arterial Tissue, Open Approach</w:t>
            </w:r>
          </w:p>
        </w:tc>
      </w:tr>
      <w:tr w:rsidR="00F67359" w:rsidRPr="00B83A18" w14:paraId="2F29C354" w14:textId="77777777" w:rsidTr="002C718A">
        <w:trPr>
          <w:trHeight w:val="300"/>
        </w:trPr>
        <w:tc>
          <w:tcPr>
            <w:tcW w:w="1525" w:type="dxa"/>
            <w:noWrap/>
            <w:vAlign w:val="center"/>
            <w:hideMark/>
          </w:tcPr>
          <w:p w14:paraId="77B50141" w14:textId="77777777" w:rsidR="00F67359" w:rsidRPr="00B83A18" w:rsidRDefault="00F67359" w:rsidP="00696E8F">
            <w:pPr>
              <w:rPr>
                <w:rFonts w:cs="Arial"/>
                <w:color w:val="000000"/>
              </w:rPr>
            </w:pPr>
            <w:r w:rsidRPr="00B83A18">
              <w:rPr>
                <w:rFonts w:cs="Arial"/>
                <w:color w:val="000000"/>
              </w:rPr>
              <w:t>021W0AH</w:t>
            </w:r>
          </w:p>
        </w:tc>
        <w:tc>
          <w:tcPr>
            <w:tcW w:w="8128" w:type="dxa"/>
            <w:noWrap/>
            <w:vAlign w:val="center"/>
            <w:hideMark/>
          </w:tcPr>
          <w:p w14:paraId="75FE12F2" w14:textId="77777777" w:rsidR="00F67359" w:rsidRPr="00B83A18" w:rsidRDefault="00F67359" w:rsidP="00696E8F">
            <w:pPr>
              <w:rPr>
                <w:rFonts w:cs="Arial"/>
                <w:color w:val="000000"/>
              </w:rPr>
            </w:pPr>
            <w:r w:rsidRPr="00B83A18">
              <w:rPr>
                <w:rFonts w:cs="Arial"/>
                <w:color w:val="000000"/>
              </w:rPr>
              <w:t>Bypass Thoracic Aorta, Descending to Brachial Artery with Autologous Arterial Tissue, Open Approach</w:t>
            </w:r>
          </w:p>
        </w:tc>
      </w:tr>
      <w:tr w:rsidR="00F67359" w:rsidRPr="00B83A18" w14:paraId="4918FF07" w14:textId="77777777" w:rsidTr="002C718A">
        <w:trPr>
          <w:trHeight w:val="300"/>
        </w:trPr>
        <w:tc>
          <w:tcPr>
            <w:tcW w:w="1525" w:type="dxa"/>
            <w:noWrap/>
            <w:vAlign w:val="center"/>
            <w:hideMark/>
          </w:tcPr>
          <w:p w14:paraId="70373944" w14:textId="77777777" w:rsidR="00F67359" w:rsidRPr="00B83A18" w:rsidRDefault="00F67359" w:rsidP="00696E8F">
            <w:pPr>
              <w:rPr>
                <w:rFonts w:cs="Arial"/>
                <w:color w:val="000000"/>
              </w:rPr>
            </w:pPr>
            <w:r w:rsidRPr="00B83A18">
              <w:rPr>
                <w:rFonts w:cs="Arial"/>
                <w:color w:val="000000"/>
              </w:rPr>
              <w:t>021W0AP</w:t>
            </w:r>
          </w:p>
        </w:tc>
        <w:tc>
          <w:tcPr>
            <w:tcW w:w="8128" w:type="dxa"/>
            <w:noWrap/>
            <w:vAlign w:val="center"/>
            <w:hideMark/>
          </w:tcPr>
          <w:p w14:paraId="119CD80C" w14:textId="77777777" w:rsidR="00F67359" w:rsidRPr="00B83A18" w:rsidRDefault="00F67359" w:rsidP="00696E8F">
            <w:pPr>
              <w:rPr>
                <w:rFonts w:cs="Arial"/>
                <w:color w:val="000000"/>
              </w:rPr>
            </w:pPr>
            <w:r w:rsidRPr="00B83A18">
              <w:rPr>
                <w:rFonts w:cs="Arial"/>
                <w:color w:val="000000"/>
              </w:rPr>
              <w:t>Bypass Thoracic Aorta, Descending to Pulmonary Trunk with Autologous Arterial Tissue, Open Approach</w:t>
            </w:r>
          </w:p>
        </w:tc>
      </w:tr>
      <w:tr w:rsidR="00F67359" w:rsidRPr="00B83A18" w14:paraId="4F49563F" w14:textId="77777777" w:rsidTr="002C718A">
        <w:trPr>
          <w:trHeight w:val="300"/>
        </w:trPr>
        <w:tc>
          <w:tcPr>
            <w:tcW w:w="1525" w:type="dxa"/>
            <w:noWrap/>
            <w:vAlign w:val="center"/>
            <w:hideMark/>
          </w:tcPr>
          <w:p w14:paraId="5EFC91FF" w14:textId="77777777" w:rsidR="00F67359" w:rsidRPr="00B83A18" w:rsidRDefault="00F67359" w:rsidP="00696E8F">
            <w:pPr>
              <w:rPr>
                <w:rFonts w:cs="Arial"/>
                <w:color w:val="000000"/>
              </w:rPr>
            </w:pPr>
            <w:r w:rsidRPr="00B83A18">
              <w:rPr>
                <w:rFonts w:cs="Arial"/>
                <w:color w:val="000000"/>
              </w:rPr>
              <w:t>021W0AQ</w:t>
            </w:r>
          </w:p>
        </w:tc>
        <w:tc>
          <w:tcPr>
            <w:tcW w:w="8128" w:type="dxa"/>
            <w:noWrap/>
            <w:vAlign w:val="center"/>
            <w:hideMark/>
          </w:tcPr>
          <w:p w14:paraId="1A79D767" w14:textId="77777777" w:rsidR="00F67359" w:rsidRPr="00B83A18" w:rsidRDefault="00F67359" w:rsidP="00696E8F">
            <w:pPr>
              <w:rPr>
                <w:rFonts w:cs="Arial"/>
                <w:color w:val="000000"/>
              </w:rPr>
            </w:pPr>
            <w:r w:rsidRPr="00B83A18">
              <w:rPr>
                <w:rFonts w:cs="Arial"/>
                <w:color w:val="000000"/>
              </w:rPr>
              <w:t>Bypass Thoracic Aorta, Descending to Right Pulmonary Artery with Autologous Arterial Tissue, Open Approach</w:t>
            </w:r>
          </w:p>
        </w:tc>
      </w:tr>
      <w:tr w:rsidR="00F67359" w:rsidRPr="00B83A18" w14:paraId="0A972AFA" w14:textId="77777777" w:rsidTr="002C718A">
        <w:trPr>
          <w:trHeight w:val="300"/>
        </w:trPr>
        <w:tc>
          <w:tcPr>
            <w:tcW w:w="1525" w:type="dxa"/>
            <w:noWrap/>
            <w:vAlign w:val="center"/>
            <w:hideMark/>
          </w:tcPr>
          <w:p w14:paraId="4B7E81D5" w14:textId="77777777" w:rsidR="00F67359" w:rsidRPr="00B83A18" w:rsidRDefault="00F67359" w:rsidP="00696E8F">
            <w:pPr>
              <w:rPr>
                <w:rFonts w:cs="Arial"/>
                <w:color w:val="000000"/>
              </w:rPr>
            </w:pPr>
            <w:r w:rsidRPr="00B83A18">
              <w:rPr>
                <w:rFonts w:cs="Arial"/>
                <w:color w:val="000000"/>
              </w:rPr>
              <w:t>021W0AR</w:t>
            </w:r>
          </w:p>
        </w:tc>
        <w:tc>
          <w:tcPr>
            <w:tcW w:w="8128" w:type="dxa"/>
            <w:noWrap/>
            <w:vAlign w:val="center"/>
            <w:hideMark/>
          </w:tcPr>
          <w:p w14:paraId="4F47A524" w14:textId="77777777" w:rsidR="00F67359" w:rsidRPr="00B83A18" w:rsidRDefault="00F67359" w:rsidP="00696E8F">
            <w:pPr>
              <w:rPr>
                <w:rFonts w:cs="Arial"/>
                <w:color w:val="000000"/>
              </w:rPr>
            </w:pPr>
            <w:r w:rsidRPr="00B83A18">
              <w:rPr>
                <w:rFonts w:cs="Arial"/>
                <w:color w:val="000000"/>
              </w:rPr>
              <w:t>Bypass Thoracic Aorta, Descending to Left Pulmonary Artery with Autologous Arterial Tissue, Open Approach</w:t>
            </w:r>
          </w:p>
        </w:tc>
      </w:tr>
      <w:tr w:rsidR="00F67359" w:rsidRPr="00B83A18" w14:paraId="519515CF" w14:textId="77777777" w:rsidTr="002C718A">
        <w:trPr>
          <w:trHeight w:val="300"/>
        </w:trPr>
        <w:tc>
          <w:tcPr>
            <w:tcW w:w="1525" w:type="dxa"/>
            <w:noWrap/>
            <w:vAlign w:val="center"/>
            <w:hideMark/>
          </w:tcPr>
          <w:p w14:paraId="64586494" w14:textId="77777777" w:rsidR="00F67359" w:rsidRPr="00B83A18" w:rsidRDefault="00F67359" w:rsidP="00696E8F">
            <w:pPr>
              <w:rPr>
                <w:rFonts w:cs="Arial"/>
                <w:color w:val="000000"/>
              </w:rPr>
            </w:pPr>
            <w:r w:rsidRPr="00B83A18">
              <w:rPr>
                <w:rFonts w:cs="Arial"/>
                <w:color w:val="000000"/>
              </w:rPr>
              <w:t>021W0AV</w:t>
            </w:r>
          </w:p>
        </w:tc>
        <w:tc>
          <w:tcPr>
            <w:tcW w:w="8128" w:type="dxa"/>
            <w:noWrap/>
            <w:vAlign w:val="center"/>
            <w:hideMark/>
          </w:tcPr>
          <w:p w14:paraId="2E175E9A" w14:textId="77777777" w:rsidR="00F67359" w:rsidRPr="00B83A18" w:rsidRDefault="00F67359" w:rsidP="00696E8F">
            <w:pPr>
              <w:rPr>
                <w:rFonts w:cs="Arial"/>
                <w:color w:val="000000"/>
              </w:rPr>
            </w:pPr>
            <w:r w:rsidRPr="00B83A18">
              <w:rPr>
                <w:rFonts w:cs="Arial"/>
                <w:color w:val="000000"/>
              </w:rPr>
              <w:t>Bypass Thoracic Aorta, Descending to Lower Extremity Artery with Autologous Arterial Tissue, Open Approach</w:t>
            </w:r>
          </w:p>
        </w:tc>
      </w:tr>
      <w:tr w:rsidR="00F67359" w:rsidRPr="00B83A18" w14:paraId="7DE20965" w14:textId="77777777" w:rsidTr="002C718A">
        <w:trPr>
          <w:trHeight w:val="300"/>
        </w:trPr>
        <w:tc>
          <w:tcPr>
            <w:tcW w:w="1525" w:type="dxa"/>
            <w:noWrap/>
            <w:vAlign w:val="center"/>
          </w:tcPr>
          <w:p w14:paraId="00647A1E" w14:textId="3292387A" w:rsidR="00F67359" w:rsidRPr="00B83A18" w:rsidRDefault="00F67359" w:rsidP="00696E8F">
            <w:pPr>
              <w:rPr>
                <w:rFonts w:cs="Arial"/>
                <w:color w:val="000000"/>
              </w:rPr>
            </w:pPr>
            <w:r w:rsidRPr="00C76857">
              <w:rPr>
                <w:rFonts w:cstheme="minorHAnsi"/>
                <w:color w:val="000000"/>
              </w:rPr>
              <w:t>021W0JA</w:t>
            </w:r>
          </w:p>
        </w:tc>
        <w:tc>
          <w:tcPr>
            <w:tcW w:w="8128" w:type="dxa"/>
            <w:noWrap/>
            <w:vAlign w:val="center"/>
          </w:tcPr>
          <w:p w14:paraId="29AD7158" w14:textId="2E8D6003" w:rsidR="00F67359" w:rsidRPr="00B83A18" w:rsidRDefault="00F67359" w:rsidP="00696E8F">
            <w:pPr>
              <w:rPr>
                <w:rFonts w:cs="Arial"/>
                <w:color w:val="000000"/>
              </w:rPr>
            </w:pPr>
            <w:r w:rsidRPr="00C76857">
              <w:rPr>
                <w:rFonts w:cstheme="minorHAnsi"/>
                <w:color w:val="000000"/>
              </w:rPr>
              <w:t>Bypass Thoracic Aorta, Descending to Innominate Artery with Synthetic Substitute, Open Approach</w:t>
            </w:r>
          </w:p>
        </w:tc>
      </w:tr>
      <w:tr w:rsidR="00F67359" w:rsidRPr="00B83A18" w14:paraId="79431BFF" w14:textId="77777777" w:rsidTr="002C718A">
        <w:trPr>
          <w:trHeight w:val="300"/>
        </w:trPr>
        <w:tc>
          <w:tcPr>
            <w:tcW w:w="1525" w:type="dxa"/>
            <w:noWrap/>
            <w:vAlign w:val="center"/>
            <w:hideMark/>
          </w:tcPr>
          <w:p w14:paraId="5F727433" w14:textId="77777777" w:rsidR="00F67359" w:rsidRPr="00B83A18" w:rsidRDefault="00F67359" w:rsidP="00696E8F">
            <w:pPr>
              <w:rPr>
                <w:rFonts w:cs="Arial"/>
                <w:color w:val="000000"/>
              </w:rPr>
            </w:pPr>
            <w:r w:rsidRPr="00B83A18">
              <w:rPr>
                <w:rFonts w:cs="Arial"/>
                <w:color w:val="000000"/>
              </w:rPr>
              <w:t>021W0JB</w:t>
            </w:r>
          </w:p>
        </w:tc>
        <w:tc>
          <w:tcPr>
            <w:tcW w:w="8128" w:type="dxa"/>
            <w:noWrap/>
            <w:vAlign w:val="center"/>
            <w:hideMark/>
          </w:tcPr>
          <w:p w14:paraId="44E0A5BD" w14:textId="77777777" w:rsidR="00F67359" w:rsidRPr="00B83A18" w:rsidRDefault="00F67359" w:rsidP="00696E8F">
            <w:pPr>
              <w:rPr>
                <w:rFonts w:cs="Arial"/>
                <w:color w:val="000000"/>
              </w:rPr>
            </w:pPr>
            <w:r w:rsidRPr="00B83A18">
              <w:rPr>
                <w:rFonts w:cs="Arial"/>
                <w:color w:val="000000"/>
              </w:rPr>
              <w:t>Bypass Thoracic Aorta, Descending to Subclavian with Synthetic Substitute, Open Approach</w:t>
            </w:r>
          </w:p>
        </w:tc>
      </w:tr>
      <w:tr w:rsidR="00F67359" w:rsidRPr="00B83A18" w14:paraId="32184ACA" w14:textId="77777777" w:rsidTr="002C718A">
        <w:trPr>
          <w:trHeight w:val="300"/>
        </w:trPr>
        <w:tc>
          <w:tcPr>
            <w:tcW w:w="1525" w:type="dxa"/>
            <w:noWrap/>
            <w:vAlign w:val="center"/>
            <w:hideMark/>
          </w:tcPr>
          <w:p w14:paraId="1E960BC3" w14:textId="77777777" w:rsidR="00F67359" w:rsidRPr="00B83A18" w:rsidRDefault="00F67359" w:rsidP="00696E8F">
            <w:pPr>
              <w:rPr>
                <w:rFonts w:cs="Arial"/>
                <w:color w:val="000000"/>
              </w:rPr>
            </w:pPr>
            <w:r w:rsidRPr="00B83A18">
              <w:rPr>
                <w:rFonts w:cs="Arial"/>
                <w:color w:val="000000"/>
              </w:rPr>
              <w:t>021W0JD</w:t>
            </w:r>
          </w:p>
        </w:tc>
        <w:tc>
          <w:tcPr>
            <w:tcW w:w="8128" w:type="dxa"/>
            <w:noWrap/>
            <w:vAlign w:val="center"/>
            <w:hideMark/>
          </w:tcPr>
          <w:p w14:paraId="7D4DF0B5" w14:textId="77777777" w:rsidR="00F67359" w:rsidRPr="00B83A18" w:rsidRDefault="00F67359" w:rsidP="00696E8F">
            <w:pPr>
              <w:rPr>
                <w:rFonts w:cs="Arial"/>
                <w:color w:val="000000"/>
              </w:rPr>
            </w:pPr>
            <w:r w:rsidRPr="00B83A18">
              <w:rPr>
                <w:rFonts w:cs="Arial"/>
                <w:color w:val="000000"/>
              </w:rPr>
              <w:t>Bypass Thoracic Aorta, Descending to Carotid with Synthetic Substitute, Open Approach</w:t>
            </w:r>
          </w:p>
        </w:tc>
      </w:tr>
      <w:tr w:rsidR="00F67359" w:rsidRPr="00B83A18" w14:paraId="2B08692D" w14:textId="77777777" w:rsidTr="002C718A">
        <w:trPr>
          <w:trHeight w:val="300"/>
        </w:trPr>
        <w:tc>
          <w:tcPr>
            <w:tcW w:w="1525" w:type="dxa"/>
            <w:noWrap/>
            <w:vAlign w:val="center"/>
            <w:hideMark/>
          </w:tcPr>
          <w:p w14:paraId="68F9E4BF" w14:textId="77777777" w:rsidR="00F67359" w:rsidRPr="00B83A18" w:rsidRDefault="00F67359" w:rsidP="00696E8F">
            <w:pPr>
              <w:rPr>
                <w:rFonts w:cs="Arial"/>
                <w:color w:val="000000"/>
              </w:rPr>
            </w:pPr>
            <w:r w:rsidRPr="00B83A18">
              <w:rPr>
                <w:rFonts w:cs="Arial"/>
                <w:color w:val="000000"/>
              </w:rPr>
              <w:t>021W0JF</w:t>
            </w:r>
          </w:p>
        </w:tc>
        <w:tc>
          <w:tcPr>
            <w:tcW w:w="8128" w:type="dxa"/>
            <w:noWrap/>
            <w:vAlign w:val="center"/>
            <w:hideMark/>
          </w:tcPr>
          <w:p w14:paraId="55C96A86" w14:textId="77777777" w:rsidR="00F67359" w:rsidRPr="00B83A18" w:rsidRDefault="00F67359" w:rsidP="00696E8F">
            <w:pPr>
              <w:rPr>
                <w:rFonts w:cs="Arial"/>
                <w:color w:val="000000"/>
              </w:rPr>
            </w:pPr>
            <w:r w:rsidRPr="00B83A18">
              <w:rPr>
                <w:rFonts w:cs="Arial"/>
                <w:color w:val="000000"/>
              </w:rPr>
              <w:t>Bypass Thoracic Aorta, Descending to Abdominal Artery with Synthetic Substitute, Open Approach</w:t>
            </w:r>
          </w:p>
        </w:tc>
      </w:tr>
      <w:tr w:rsidR="00F67359" w:rsidRPr="00B83A18" w14:paraId="7BA7A266" w14:textId="77777777" w:rsidTr="002C718A">
        <w:trPr>
          <w:trHeight w:val="300"/>
        </w:trPr>
        <w:tc>
          <w:tcPr>
            <w:tcW w:w="1525" w:type="dxa"/>
            <w:noWrap/>
            <w:vAlign w:val="center"/>
            <w:hideMark/>
          </w:tcPr>
          <w:p w14:paraId="7CB7BCA9" w14:textId="77777777" w:rsidR="00F67359" w:rsidRPr="00B83A18" w:rsidRDefault="00F67359" w:rsidP="00696E8F">
            <w:pPr>
              <w:rPr>
                <w:rFonts w:cs="Arial"/>
                <w:color w:val="000000"/>
              </w:rPr>
            </w:pPr>
            <w:r w:rsidRPr="00B83A18">
              <w:rPr>
                <w:rFonts w:cs="Arial"/>
                <w:color w:val="000000"/>
              </w:rPr>
              <w:t>021W0JG</w:t>
            </w:r>
          </w:p>
        </w:tc>
        <w:tc>
          <w:tcPr>
            <w:tcW w:w="8128" w:type="dxa"/>
            <w:noWrap/>
            <w:vAlign w:val="center"/>
            <w:hideMark/>
          </w:tcPr>
          <w:p w14:paraId="2FCD8D04" w14:textId="77777777" w:rsidR="00F67359" w:rsidRPr="00B83A18" w:rsidRDefault="00F67359" w:rsidP="00696E8F">
            <w:pPr>
              <w:rPr>
                <w:rFonts w:cs="Arial"/>
                <w:color w:val="000000"/>
              </w:rPr>
            </w:pPr>
            <w:r w:rsidRPr="00B83A18">
              <w:rPr>
                <w:rFonts w:cs="Arial"/>
                <w:color w:val="000000"/>
              </w:rPr>
              <w:t>Bypass Thoracic Aorta, Descending to Axillary Artery with Synthetic Substitute, Open Approach</w:t>
            </w:r>
          </w:p>
        </w:tc>
      </w:tr>
      <w:tr w:rsidR="00F67359" w:rsidRPr="00B83A18" w14:paraId="118B960B" w14:textId="77777777" w:rsidTr="002C718A">
        <w:trPr>
          <w:trHeight w:val="300"/>
        </w:trPr>
        <w:tc>
          <w:tcPr>
            <w:tcW w:w="1525" w:type="dxa"/>
            <w:noWrap/>
            <w:vAlign w:val="center"/>
            <w:hideMark/>
          </w:tcPr>
          <w:p w14:paraId="690E1BFD" w14:textId="77777777" w:rsidR="00F67359" w:rsidRPr="00B83A18" w:rsidRDefault="00F67359" w:rsidP="00696E8F">
            <w:pPr>
              <w:rPr>
                <w:rFonts w:cs="Arial"/>
                <w:color w:val="000000"/>
              </w:rPr>
            </w:pPr>
            <w:r w:rsidRPr="00B83A18">
              <w:rPr>
                <w:rFonts w:cs="Arial"/>
                <w:color w:val="000000"/>
              </w:rPr>
              <w:t>021W0JH</w:t>
            </w:r>
          </w:p>
        </w:tc>
        <w:tc>
          <w:tcPr>
            <w:tcW w:w="8128" w:type="dxa"/>
            <w:noWrap/>
            <w:vAlign w:val="center"/>
            <w:hideMark/>
          </w:tcPr>
          <w:p w14:paraId="5D549957" w14:textId="77777777" w:rsidR="00F67359" w:rsidRPr="00B83A18" w:rsidRDefault="00F67359" w:rsidP="00696E8F">
            <w:pPr>
              <w:rPr>
                <w:rFonts w:cs="Arial"/>
                <w:color w:val="000000"/>
              </w:rPr>
            </w:pPr>
            <w:r w:rsidRPr="00B83A18">
              <w:rPr>
                <w:rFonts w:cs="Arial"/>
                <w:color w:val="000000"/>
              </w:rPr>
              <w:t>Bypass Thoracic Aorta, Descending to Brachial Artery with Synthetic Substitute, Open Approach</w:t>
            </w:r>
          </w:p>
        </w:tc>
      </w:tr>
      <w:tr w:rsidR="00F67359" w:rsidRPr="00B83A18" w14:paraId="58B565EB" w14:textId="77777777" w:rsidTr="002C718A">
        <w:trPr>
          <w:trHeight w:val="300"/>
        </w:trPr>
        <w:tc>
          <w:tcPr>
            <w:tcW w:w="1525" w:type="dxa"/>
            <w:noWrap/>
            <w:vAlign w:val="center"/>
            <w:hideMark/>
          </w:tcPr>
          <w:p w14:paraId="3307EC01" w14:textId="77777777" w:rsidR="00F67359" w:rsidRPr="00B83A18" w:rsidRDefault="00F67359" w:rsidP="00696E8F">
            <w:pPr>
              <w:rPr>
                <w:rFonts w:cs="Arial"/>
                <w:color w:val="000000"/>
              </w:rPr>
            </w:pPr>
            <w:r w:rsidRPr="00B83A18">
              <w:rPr>
                <w:rFonts w:cs="Arial"/>
                <w:color w:val="000000"/>
              </w:rPr>
              <w:t>021W0JP</w:t>
            </w:r>
          </w:p>
        </w:tc>
        <w:tc>
          <w:tcPr>
            <w:tcW w:w="8128" w:type="dxa"/>
            <w:noWrap/>
            <w:vAlign w:val="center"/>
            <w:hideMark/>
          </w:tcPr>
          <w:p w14:paraId="51F5AB31" w14:textId="77777777" w:rsidR="00F67359" w:rsidRPr="00B83A18" w:rsidRDefault="00F67359" w:rsidP="00696E8F">
            <w:pPr>
              <w:rPr>
                <w:rFonts w:cs="Arial"/>
                <w:color w:val="000000"/>
              </w:rPr>
            </w:pPr>
            <w:r w:rsidRPr="00B83A18">
              <w:rPr>
                <w:rFonts w:cs="Arial"/>
                <w:color w:val="000000"/>
              </w:rPr>
              <w:t>Bypass Thoracic Aorta, Descending to Pulmonary Trunk with Synthetic Substitute, Open Approach</w:t>
            </w:r>
          </w:p>
        </w:tc>
      </w:tr>
      <w:tr w:rsidR="00F67359" w:rsidRPr="00B83A18" w14:paraId="088CE865" w14:textId="77777777" w:rsidTr="002C718A">
        <w:trPr>
          <w:trHeight w:val="300"/>
        </w:trPr>
        <w:tc>
          <w:tcPr>
            <w:tcW w:w="1525" w:type="dxa"/>
            <w:noWrap/>
            <w:vAlign w:val="center"/>
            <w:hideMark/>
          </w:tcPr>
          <w:p w14:paraId="4213D086" w14:textId="77777777" w:rsidR="00F67359" w:rsidRPr="00B83A18" w:rsidRDefault="00F67359" w:rsidP="00696E8F">
            <w:pPr>
              <w:rPr>
                <w:rFonts w:cs="Arial"/>
                <w:color w:val="000000"/>
              </w:rPr>
            </w:pPr>
            <w:r w:rsidRPr="00B83A18">
              <w:rPr>
                <w:rFonts w:cs="Arial"/>
                <w:color w:val="000000"/>
              </w:rPr>
              <w:lastRenderedPageBreak/>
              <w:t>021W0JQ</w:t>
            </w:r>
          </w:p>
        </w:tc>
        <w:tc>
          <w:tcPr>
            <w:tcW w:w="8128" w:type="dxa"/>
            <w:noWrap/>
            <w:vAlign w:val="center"/>
            <w:hideMark/>
          </w:tcPr>
          <w:p w14:paraId="0D336A97" w14:textId="77777777" w:rsidR="00F67359" w:rsidRPr="00B83A18" w:rsidRDefault="00F67359" w:rsidP="00696E8F">
            <w:pPr>
              <w:rPr>
                <w:rFonts w:cs="Arial"/>
                <w:color w:val="000000"/>
              </w:rPr>
            </w:pPr>
            <w:r w:rsidRPr="00B83A18">
              <w:rPr>
                <w:rFonts w:cs="Arial"/>
                <w:color w:val="000000"/>
              </w:rPr>
              <w:t>Bypass Thoracic Aorta, Descending to Right Pulmonary Artery with Synthetic Substitute, Open Approach</w:t>
            </w:r>
          </w:p>
        </w:tc>
      </w:tr>
      <w:tr w:rsidR="00F67359" w:rsidRPr="00B83A18" w14:paraId="47465420" w14:textId="77777777" w:rsidTr="002C718A">
        <w:trPr>
          <w:trHeight w:val="300"/>
        </w:trPr>
        <w:tc>
          <w:tcPr>
            <w:tcW w:w="1525" w:type="dxa"/>
            <w:noWrap/>
            <w:vAlign w:val="center"/>
            <w:hideMark/>
          </w:tcPr>
          <w:p w14:paraId="20BC0D63" w14:textId="77777777" w:rsidR="00F67359" w:rsidRPr="00B83A18" w:rsidRDefault="00F67359" w:rsidP="00696E8F">
            <w:pPr>
              <w:rPr>
                <w:rFonts w:cs="Arial"/>
                <w:color w:val="000000"/>
              </w:rPr>
            </w:pPr>
            <w:r w:rsidRPr="00B83A18">
              <w:rPr>
                <w:rFonts w:cs="Arial"/>
                <w:color w:val="000000"/>
              </w:rPr>
              <w:t>021W0JR</w:t>
            </w:r>
          </w:p>
        </w:tc>
        <w:tc>
          <w:tcPr>
            <w:tcW w:w="8128" w:type="dxa"/>
            <w:noWrap/>
            <w:vAlign w:val="center"/>
            <w:hideMark/>
          </w:tcPr>
          <w:p w14:paraId="695A4642" w14:textId="77777777" w:rsidR="00F67359" w:rsidRPr="00B83A18" w:rsidRDefault="00F67359" w:rsidP="00696E8F">
            <w:pPr>
              <w:rPr>
                <w:rFonts w:cs="Arial"/>
                <w:color w:val="000000"/>
              </w:rPr>
            </w:pPr>
            <w:r w:rsidRPr="00B83A18">
              <w:rPr>
                <w:rFonts w:cs="Arial"/>
                <w:color w:val="000000"/>
              </w:rPr>
              <w:t>Bypass Thoracic Aorta, Descending to Left Pulmonary Artery with Synthetic Substitute, Open Approach</w:t>
            </w:r>
          </w:p>
        </w:tc>
      </w:tr>
      <w:tr w:rsidR="00F67359" w:rsidRPr="00B83A18" w14:paraId="646AEBD8" w14:textId="77777777" w:rsidTr="002C718A">
        <w:trPr>
          <w:trHeight w:val="300"/>
        </w:trPr>
        <w:tc>
          <w:tcPr>
            <w:tcW w:w="1525" w:type="dxa"/>
            <w:noWrap/>
            <w:vAlign w:val="center"/>
            <w:hideMark/>
          </w:tcPr>
          <w:p w14:paraId="70163D05" w14:textId="77777777" w:rsidR="00F67359" w:rsidRPr="00B83A18" w:rsidRDefault="00F67359" w:rsidP="00696E8F">
            <w:pPr>
              <w:rPr>
                <w:rFonts w:cs="Arial"/>
                <w:color w:val="000000"/>
              </w:rPr>
            </w:pPr>
            <w:r w:rsidRPr="00B83A18">
              <w:rPr>
                <w:rFonts w:cs="Arial"/>
                <w:color w:val="000000"/>
              </w:rPr>
              <w:t>021W0JV</w:t>
            </w:r>
          </w:p>
        </w:tc>
        <w:tc>
          <w:tcPr>
            <w:tcW w:w="8128" w:type="dxa"/>
            <w:noWrap/>
            <w:vAlign w:val="center"/>
            <w:hideMark/>
          </w:tcPr>
          <w:p w14:paraId="202FCA27" w14:textId="77777777" w:rsidR="00F67359" w:rsidRPr="00B83A18" w:rsidRDefault="00F67359" w:rsidP="00696E8F">
            <w:pPr>
              <w:rPr>
                <w:rFonts w:cs="Arial"/>
                <w:color w:val="000000"/>
              </w:rPr>
            </w:pPr>
            <w:r w:rsidRPr="00B83A18">
              <w:rPr>
                <w:rFonts w:cs="Arial"/>
                <w:color w:val="000000"/>
              </w:rPr>
              <w:t>Bypass Thoracic Aorta, Descending to Lower Extremity Artery with Synthetic Substitute, Open Approach</w:t>
            </w:r>
          </w:p>
        </w:tc>
      </w:tr>
      <w:tr w:rsidR="00265AC7" w:rsidRPr="00B83A18" w14:paraId="370B21E9" w14:textId="77777777" w:rsidTr="002C718A">
        <w:trPr>
          <w:trHeight w:val="300"/>
        </w:trPr>
        <w:tc>
          <w:tcPr>
            <w:tcW w:w="1525" w:type="dxa"/>
            <w:noWrap/>
            <w:vAlign w:val="center"/>
          </w:tcPr>
          <w:p w14:paraId="028D4705" w14:textId="4FD3D400" w:rsidR="00265AC7" w:rsidRPr="00B83A18" w:rsidRDefault="00265AC7" w:rsidP="00696E8F">
            <w:pPr>
              <w:rPr>
                <w:rFonts w:cs="Arial"/>
                <w:color w:val="000000"/>
              </w:rPr>
            </w:pPr>
            <w:r w:rsidRPr="00C76857">
              <w:rPr>
                <w:rFonts w:cstheme="minorHAnsi"/>
                <w:color w:val="000000"/>
              </w:rPr>
              <w:t>021W0KA</w:t>
            </w:r>
          </w:p>
        </w:tc>
        <w:tc>
          <w:tcPr>
            <w:tcW w:w="8128" w:type="dxa"/>
            <w:noWrap/>
            <w:vAlign w:val="center"/>
          </w:tcPr>
          <w:p w14:paraId="00EA4950" w14:textId="0C78E14A" w:rsidR="00265AC7" w:rsidRPr="00B83A18" w:rsidRDefault="00265AC7" w:rsidP="00696E8F">
            <w:pPr>
              <w:rPr>
                <w:rFonts w:cs="Arial"/>
                <w:color w:val="000000"/>
              </w:rPr>
            </w:pPr>
            <w:r w:rsidRPr="00C76857">
              <w:rPr>
                <w:rFonts w:cstheme="minorHAnsi"/>
                <w:color w:val="000000"/>
              </w:rPr>
              <w:t>Bypass Thoracic Aorta, Descending to Innominate Artery with Nonautologous Tissue Substitute, Open Approach</w:t>
            </w:r>
          </w:p>
        </w:tc>
      </w:tr>
      <w:tr w:rsidR="00F67359" w:rsidRPr="00B83A18" w14:paraId="21C44309" w14:textId="77777777" w:rsidTr="002C718A">
        <w:trPr>
          <w:trHeight w:val="300"/>
        </w:trPr>
        <w:tc>
          <w:tcPr>
            <w:tcW w:w="1525" w:type="dxa"/>
            <w:noWrap/>
            <w:vAlign w:val="center"/>
            <w:hideMark/>
          </w:tcPr>
          <w:p w14:paraId="74E6A7B7" w14:textId="77777777" w:rsidR="00F67359" w:rsidRPr="00B83A18" w:rsidRDefault="00F67359" w:rsidP="00696E8F">
            <w:pPr>
              <w:rPr>
                <w:rFonts w:cs="Arial"/>
                <w:color w:val="000000"/>
              </w:rPr>
            </w:pPr>
            <w:r w:rsidRPr="00B83A18">
              <w:rPr>
                <w:rFonts w:cs="Arial"/>
                <w:color w:val="000000"/>
              </w:rPr>
              <w:t>021W0KB</w:t>
            </w:r>
          </w:p>
        </w:tc>
        <w:tc>
          <w:tcPr>
            <w:tcW w:w="8128" w:type="dxa"/>
            <w:noWrap/>
            <w:vAlign w:val="center"/>
            <w:hideMark/>
          </w:tcPr>
          <w:p w14:paraId="4FBD070C" w14:textId="77777777" w:rsidR="00F67359" w:rsidRPr="00B83A18" w:rsidRDefault="00F67359" w:rsidP="00696E8F">
            <w:pPr>
              <w:rPr>
                <w:rFonts w:cs="Arial"/>
                <w:color w:val="000000"/>
              </w:rPr>
            </w:pPr>
            <w:r w:rsidRPr="00B83A18">
              <w:rPr>
                <w:rFonts w:cs="Arial"/>
                <w:color w:val="000000"/>
              </w:rPr>
              <w:t>Bypass Thoracic Aorta, Descending to Subclavian with Nonautologous Tissue Substitute, Open Approach</w:t>
            </w:r>
          </w:p>
        </w:tc>
      </w:tr>
      <w:tr w:rsidR="00F67359" w:rsidRPr="00B83A18" w14:paraId="476D99DB" w14:textId="77777777" w:rsidTr="002C718A">
        <w:trPr>
          <w:trHeight w:val="300"/>
        </w:trPr>
        <w:tc>
          <w:tcPr>
            <w:tcW w:w="1525" w:type="dxa"/>
            <w:noWrap/>
            <w:vAlign w:val="center"/>
            <w:hideMark/>
          </w:tcPr>
          <w:p w14:paraId="014C646C" w14:textId="77777777" w:rsidR="00F67359" w:rsidRPr="00B83A18" w:rsidRDefault="00F67359" w:rsidP="00696E8F">
            <w:pPr>
              <w:rPr>
                <w:rFonts w:cs="Arial"/>
                <w:color w:val="000000"/>
              </w:rPr>
            </w:pPr>
            <w:r w:rsidRPr="00B83A18">
              <w:rPr>
                <w:rFonts w:cs="Arial"/>
                <w:color w:val="000000"/>
              </w:rPr>
              <w:t>021W0KD</w:t>
            </w:r>
          </w:p>
        </w:tc>
        <w:tc>
          <w:tcPr>
            <w:tcW w:w="8128" w:type="dxa"/>
            <w:noWrap/>
            <w:vAlign w:val="center"/>
            <w:hideMark/>
          </w:tcPr>
          <w:p w14:paraId="6AB546E4" w14:textId="77777777" w:rsidR="00F67359" w:rsidRPr="00B83A18" w:rsidRDefault="00F67359" w:rsidP="00696E8F">
            <w:pPr>
              <w:rPr>
                <w:rFonts w:cs="Arial"/>
                <w:color w:val="000000"/>
              </w:rPr>
            </w:pPr>
            <w:r w:rsidRPr="00B83A18">
              <w:rPr>
                <w:rFonts w:cs="Arial"/>
                <w:color w:val="000000"/>
              </w:rPr>
              <w:t>Bypass Thoracic Aorta, Descending to Carotid with Nonautologous Tissue Substitute, Open Approach</w:t>
            </w:r>
          </w:p>
        </w:tc>
      </w:tr>
      <w:tr w:rsidR="00F67359" w:rsidRPr="00B83A18" w14:paraId="68D43442" w14:textId="77777777" w:rsidTr="002C718A">
        <w:trPr>
          <w:trHeight w:val="300"/>
        </w:trPr>
        <w:tc>
          <w:tcPr>
            <w:tcW w:w="1525" w:type="dxa"/>
            <w:noWrap/>
            <w:vAlign w:val="center"/>
            <w:hideMark/>
          </w:tcPr>
          <w:p w14:paraId="52B4439E" w14:textId="77777777" w:rsidR="00F67359" w:rsidRPr="00B83A18" w:rsidRDefault="00F67359" w:rsidP="00696E8F">
            <w:pPr>
              <w:rPr>
                <w:rFonts w:cs="Arial"/>
                <w:color w:val="000000"/>
              </w:rPr>
            </w:pPr>
            <w:r w:rsidRPr="00B83A18">
              <w:rPr>
                <w:rFonts w:cs="Arial"/>
                <w:color w:val="000000"/>
              </w:rPr>
              <w:t>021W0KF</w:t>
            </w:r>
          </w:p>
        </w:tc>
        <w:tc>
          <w:tcPr>
            <w:tcW w:w="8128" w:type="dxa"/>
            <w:noWrap/>
            <w:vAlign w:val="center"/>
            <w:hideMark/>
          </w:tcPr>
          <w:p w14:paraId="6892F52A" w14:textId="77777777" w:rsidR="00F67359" w:rsidRPr="00B83A18" w:rsidRDefault="00F67359" w:rsidP="00696E8F">
            <w:pPr>
              <w:rPr>
                <w:rFonts w:cs="Arial"/>
                <w:color w:val="000000"/>
              </w:rPr>
            </w:pPr>
            <w:r w:rsidRPr="00B83A18">
              <w:rPr>
                <w:rFonts w:cs="Arial"/>
                <w:color w:val="000000"/>
              </w:rPr>
              <w:t>Bypass Thoracic Aorta, Descending to Abdominal Artery with Nonautologous Tissue Substitute, Open Approach</w:t>
            </w:r>
          </w:p>
        </w:tc>
      </w:tr>
      <w:tr w:rsidR="00F67359" w:rsidRPr="00B83A18" w14:paraId="2207B86A" w14:textId="77777777" w:rsidTr="002C718A">
        <w:trPr>
          <w:trHeight w:val="300"/>
        </w:trPr>
        <w:tc>
          <w:tcPr>
            <w:tcW w:w="1525" w:type="dxa"/>
            <w:noWrap/>
            <w:vAlign w:val="center"/>
            <w:hideMark/>
          </w:tcPr>
          <w:p w14:paraId="2FE5A650" w14:textId="77777777" w:rsidR="00F67359" w:rsidRPr="00B83A18" w:rsidRDefault="00F67359" w:rsidP="00696E8F">
            <w:pPr>
              <w:rPr>
                <w:rFonts w:cs="Arial"/>
                <w:color w:val="000000"/>
              </w:rPr>
            </w:pPr>
            <w:r w:rsidRPr="00B83A18">
              <w:rPr>
                <w:rFonts w:cs="Arial"/>
                <w:color w:val="000000"/>
              </w:rPr>
              <w:t>021W0KG</w:t>
            </w:r>
          </w:p>
        </w:tc>
        <w:tc>
          <w:tcPr>
            <w:tcW w:w="8128" w:type="dxa"/>
            <w:noWrap/>
            <w:vAlign w:val="center"/>
            <w:hideMark/>
          </w:tcPr>
          <w:p w14:paraId="182A18D7" w14:textId="77777777" w:rsidR="00F67359" w:rsidRPr="00B83A18" w:rsidRDefault="00F67359" w:rsidP="00696E8F">
            <w:pPr>
              <w:rPr>
                <w:rFonts w:cs="Arial"/>
                <w:color w:val="000000"/>
              </w:rPr>
            </w:pPr>
            <w:r w:rsidRPr="00B83A18">
              <w:rPr>
                <w:rFonts w:cs="Arial"/>
                <w:color w:val="000000"/>
              </w:rPr>
              <w:t>Bypass Thoracic Aorta, Descending to Axillary Artery with Nonautologous Tissue Substitute, Open Approach</w:t>
            </w:r>
          </w:p>
        </w:tc>
      </w:tr>
      <w:tr w:rsidR="00F67359" w:rsidRPr="00B83A18" w14:paraId="5CCDEDE1" w14:textId="77777777" w:rsidTr="002C718A">
        <w:trPr>
          <w:trHeight w:val="300"/>
        </w:trPr>
        <w:tc>
          <w:tcPr>
            <w:tcW w:w="1525" w:type="dxa"/>
            <w:noWrap/>
            <w:vAlign w:val="center"/>
            <w:hideMark/>
          </w:tcPr>
          <w:p w14:paraId="1D3A78DA" w14:textId="77777777" w:rsidR="00F67359" w:rsidRPr="00B83A18" w:rsidRDefault="00F67359" w:rsidP="00696E8F">
            <w:pPr>
              <w:rPr>
                <w:rFonts w:cs="Arial"/>
                <w:color w:val="000000"/>
              </w:rPr>
            </w:pPr>
            <w:r w:rsidRPr="00B83A18">
              <w:rPr>
                <w:rFonts w:cs="Arial"/>
                <w:color w:val="000000"/>
              </w:rPr>
              <w:t>021W0KH</w:t>
            </w:r>
          </w:p>
        </w:tc>
        <w:tc>
          <w:tcPr>
            <w:tcW w:w="8128" w:type="dxa"/>
            <w:noWrap/>
            <w:vAlign w:val="center"/>
            <w:hideMark/>
          </w:tcPr>
          <w:p w14:paraId="673AFB77" w14:textId="77777777" w:rsidR="00F67359" w:rsidRPr="00B83A18" w:rsidRDefault="00F67359" w:rsidP="00696E8F">
            <w:pPr>
              <w:rPr>
                <w:rFonts w:cs="Arial"/>
                <w:color w:val="000000"/>
              </w:rPr>
            </w:pPr>
            <w:r w:rsidRPr="00B83A18">
              <w:rPr>
                <w:rFonts w:cs="Arial"/>
                <w:color w:val="000000"/>
              </w:rPr>
              <w:t>Bypass Thoracic Aorta, Descending to Brachial Artery with Nonautologous Tissue Substitute, Open Approach</w:t>
            </w:r>
          </w:p>
        </w:tc>
      </w:tr>
      <w:tr w:rsidR="00F67359" w:rsidRPr="00B83A18" w14:paraId="146CBCBD" w14:textId="77777777" w:rsidTr="002C718A">
        <w:trPr>
          <w:trHeight w:val="300"/>
        </w:trPr>
        <w:tc>
          <w:tcPr>
            <w:tcW w:w="1525" w:type="dxa"/>
            <w:noWrap/>
            <w:vAlign w:val="center"/>
            <w:hideMark/>
          </w:tcPr>
          <w:p w14:paraId="632BAEEC" w14:textId="77777777" w:rsidR="00F67359" w:rsidRPr="00B83A18" w:rsidRDefault="00F67359" w:rsidP="00696E8F">
            <w:pPr>
              <w:rPr>
                <w:rFonts w:cs="Arial"/>
                <w:color w:val="000000"/>
              </w:rPr>
            </w:pPr>
            <w:r w:rsidRPr="00B83A18">
              <w:rPr>
                <w:rFonts w:cs="Arial"/>
                <w:color w:val="000000"/>
              </w:rPr>
              <w:t>021W0KP</w:t>
            </w:r>
          </w:p>
        </w:tc>
        <w:tc>
          <w:tcPr>
            <w:tcW w:w="8128" w:type="dxa"/>
            <w:noWrap/>
            <w:vAlign w:val="center"/>
            <w:hideMark/>
          </w:tcPr>
          <w:p w14:paraId="1DE279F0" w14:textId="77777777" w:rsidR="00F67359" w:rsidRPr="00B83A18" w:rsidRDefault="00F67359" w:rsidP="00696E8F">
            <w:pPr>
              <w:rPr>
                <w:rFonts w:cs="Arial"/>
                <w:color w:val="000000"/>
              </w:rPr>
            </w:pPr>
            <w:r w:rsidRPr="00B83A18">
              <w:rPr>
                <w:rFonts w:cs="Arial"/>
                <w:color w:val="000000"/>
              </w:rPr>
              <w:t>Bypass Thoracic Aorta, Descending to Pulmonary Trunk with Nonautologous Tissue Substitute, Open Approach</w:t>
            </w:r>
          </w:p>
        </w:tc>
      </w:tr>
      <w:tr w:rsidR="00F67359" w:rsidRPr="00B83A18" w14:paraId="29D0B898" w14:textId="77777777" w:rsidTr="002C718A">
        <w:trPr>
          <w:trHeight w:val="300"/>
        </w:trPr>
        <w:tc>
          <w:tcPr>
            <w:tcW w:w="1525" w:type="dxa"/>
            <w:noWrap/>
            <w:vAlign w:val="center"/>
            <w:hideMark/>
          </w:tcPr>
          <w:p w14:paraId="2A915C41" w14:textId="77777777" w:rsidR="00F67359" w:rsidRPr="00B83A18" w:rsidRDefault="00F67359" w:rsidP="00696E8F">
            <w:pPr>
              <w:rPr>
                <w:rFonts w:cs="Arial"/>
                <w:color w:val="000000"/>
              </w:rPr>
            </w:pPr>
            <w:r w:rsidRPr="00B83A18">
              <w:rPr>
                <w:rFonts w:cs="Arial"/>
                <w:color w:val="000000"/>
              </w:rPr>
              <w:t>021W0KQ</w:t>
            </w:r>
          </w:p>
        </w:tc>
        <w:tc>
          <w:tcPr>
            <w:tcW w:w="8128" w:type="dxa"/>
            <w:noWrap/>
            <w:vAlign w:val="center"/>
            <w:hideMark/>
          </w:tcPr>
          <w:p w14:paraId="258CE8EE" w14:textId="77777777" w:rsidR="00F67359" w:rsidRPr="00B83A18" w:rsidRDefault="00F67359" w:rsidP="00696E8F">
            <w:pPr>
              <w:rPr>
                <w:rFonts w:cs="Arial"/>
                <w:color w:val="000000"/>
              </w:rPr>
            </w:pPr>
            <w:r w:rsidRPr="00B83A18">
              <w:rPr>
                <w:rFonts w:cs="Arial"/>
                <w:color w:val="000000"/>
              </w:rPr>
              <w:t>Bypass Thoracic Aorta, Descending to Right Pulmonary Artery with Nonautologous Tissue Substitute, Open Approach</w:t>
            </w:r>
          </w:p>
        </w:tc>
      </w:tr>
      <w:tr w:rsidR="00F67359" w:rsidRPr="00B83A18" w14:paraId="62EDFBC6" w14:textId="77777777" w:rsidTr="002C718A">
        <w:trPr>
          <w:trHeight w:val="300"/>
        </w:trPr>
        <w:tc>
          <w:tcPr>
            <w:tcW w:w="1525" w:type="dxa"/>
            <w:noWrap/>
            <w:vAlign w:val="center"/>
            <w:hideMark/>
          </w:tcPr>
          <w:p w14:paraId="474679A8" w14:textId="77777777" w:rsidR="00F67359" w:rsidRPr="00B83A18" w:rsidRDefault="00F67359" w:rsidP="00696E8F">
            <w:pPr>
              <w:rPr>
                <w:rFonts w:cs="Arial"/>
                <w:color w:val="000000"/>
              </w:rPr>
            </w:pPr>
            <w:r w:rsidRPr="00B83A18">
              <w:rPr>
                <w:rFonts w:cs="Arial"/>
                <w:color w:val="000000"/>
              </w:rPr>
              <w:t>021W0KR</w:t>
            </w:r>
          </w:p>
        </w:tc>
        <w:tc>
          <w:tcPr>
            <w:tcW w:w="8128" w:type="dxa"/>
            <w:noWrap/>
            <w:vAlign w:val="center"/>
            <w:hideMark/>
          </w:tcPr>
          <w:p w14:paraId="75B60515" w14:textId="77777777" w:rsidR="00F67359" w:rsidRPr="00B83A18" w:rsidRDefault="00F67359" w:rsidP="00696E8F">
            <w:pPr>
              <w:rPr>
                <w:rFonts w:cs="Arial"/>
                <w:color w:val="000000"/>
              </w:rPr>
            </w:pPr>
            <w:r w:rsidRPr="00B83A18">
              <w:rPr>
                <w:rFonts w:cs="Arial"/>
                <w:color w:val="000000"/>
              </w:rPr>
              <w:t>Bypass Thoracic Aorta, Descending to Left Pulmonary Artery with Nonautologous Tissue Substitute, Open Approach</w:t>
            </w:r>
          </w:p>
        </w:tc>
      </w:tr>
      <w:tr w:rsidR="00F67359" w:rsidRPr="00B83A18" w14:paraId="632B8D08" w14:textId="77777777" w:rsidTr="002C718A">
        <w:trPr>
          <w:trHeight w:val="300"/>
        </w:trPr>
        <w:tc>
          <w:tcPr>
            <w:tcW w:w="1525" w:type="dxa"/>
            <w:noWrap/>
            <w:vAlign w:val="center"/>
            <w:hideMark/>
          </w:tcPr>
          <w:p w14:paraId="5EE0D297" w14:textId="77777777" w:rsidR="00F67359" w:rsidRPr="00B83A18" w:rsidRDefault="00F67359" w:rsidP="00696E8F">
            <w:pPr>
              <w:rPr>
                <w:rFonts w:cs="Arial"/>
                <w:color w:val="000000"/>
              </w:rPr>
            </w:pPr>
            <w:r w:rsidRPr="00B83A18">
              <w:rPr>
                <w:rFonts w:cs="Arial"/>
                <w:color w:val="000000"/>
              </w:rPr>
              <w:t>021W0KV</w:t>
            </w:r>
          </w:p>
        </w:tc>
        <w:tc>
          <w:tcPr>
            <w:tcW w:w="8128" w:type="dxa"/>
            <w:noWrap/>
            <w:vAlign w:val="center"/>
            <w:hideMark/>
          </w:tcPr>
          <w:p w14:paraId="71FBC7C4" w14:textId="77777777" w:rsidR="00F67359" w:rsidRPr="00B83A18" w:rsidRDefault="00F67359" w:rsidP="00696E8F">
            <w:pPr>
              <w:rPr>
                <w:rFonts w:cs="Arial"/>
                <w:color w:val="000000"/>
              </w:rPr>
            </w:pPr>
            <w:r w:rsidRPr="00B83A18">
              <w:rPr>
                <w:rFonts w:cs="Arial"/>
                <w:color w:val="000000"/>
              </w:rPr>
              <w:t>Bypass Thoracic Aorta, Descending to Lower Extremity Artery with Nonautologous Tissue Substitute, Open Approach</w:t>
            </w:r>
          </w:p>
        </w:tc>
      </w:tr>
      <w:tr w:rsidR="00265AC7" w:rsidRPr="00B83A18" w14:paraId="06D9FD0D" w14:textId="77777777" w:rsidTr="002C718A">
        <w:trPr>
          <w:trHeight w:val="300"/>
        </w:trPr>
        <w:tc>
          <w:tcPr>
            <w:tcW w:w="1525" w:type="dxa"/>
            <w:noWrap/>
            <w:vAlign w:val="center"/>
          </w:tcPr>
          <w:p w14:paraId="0D634661" w14:textId="24E8BD15" w:rsidR="00265AC7" w:rsidRPr="00B83A18" w:rsidRDefault="00265AC7" w:rsidP="00696E8F">
            <w:pPr>
              <w:rPr>
                <w:rFonts w:cs="Arial"/>
                <w:color w:val="000000"/>
              </w:rPr>
            </w:pPr>
            <w:r w:rsidRPr="00C76857">
              <w:rPr>
                <w:rFonts w:cstheme="minorHAnsi"/>
                <w:color w:val="000000"/>
              </w:rPr>
              <w:t>021W0ZA</w:t>
            </w:r>
          </w:p>
        </w:tc>
        <w:tc>
          <w:tcPr>
            <w:tcW w:w="8128" w:type="dxa"/>
            <w:noWrap/>
            <w:vAlign w:val="center"/>
          </w:tcPr>
          <w:p w14:paraId="348FAC83" w14:textId="0FAA9E81" w:rsidR="00265AC7" w:rsidRPr="00B83A18" w:rsidRDefault="00265AC7" w:rsidP="00696E8F">
            <w:pPr>
              <w:rPr>
                <w:rFonts w:cs="Arial"/>
                <w:color w:val="000000"/>
              </w:rPr>
            </w:pPr>
            <w:r w:rsidRPr="00C76857">
              <w:rPr>
                <w:rFonts w:cstheme="minorHAnsi"/>
                <w:color w:val="000000"/>
              </w:rPr>
              <w:t>Bypass Thoracic Aorta, Descending to Innominate Artery, Open Approach</w:t>
            </w:r>
          </w:p>
        </w:tc>
      </w:tr>
      <w:tr w:rsidR="00F67359" w:rsidRPr="00B83A18" w14:paraId="184C6A0A" w14:textId="77777777" w:rsidTr="002C718A">
        <w:trPr>
          <w:trHeight w:val="300"/>
        </w:trPr>
        <w:tc>
          <w:tcPr>
            <w:tcW w:w="1525" w:type="dxa"/>
            <w:noWrap/>
            <w:vAlign w:val="center"/>
            <w:hideMark/>
          </w:tcPr>
          <w:p w14:paraId="18CE5C3A" w14:textId="77777777" w:rsidR="00F67359" w:rsidRPr="00B83A18" w:rsidRDefault="00F67359" w:rsidP="00696E8F">
            <w:pPr>
              <w:rPr>
                <w:rFonts w:cs="Arial"/>
                <w:color w:val="000000"/>
              </w:rPr>
            </w:pPr>
            <w:r w:rsidRPr="00B83A18">
              <w:rPr>
                <w:rFonts w:cs="Arial"/>
                <w:color w:val="000000"/>
              </w:rPr>
              <w:t>021W0ZB</w:t>
            </w:r>
          </w:p>
        </w:tc>
        <w:tc>
          <w:tcPr>
            <w:tcW w:w="8128" w:type="dxa"/>
            <w:noWrap/>
            <w:vAlign w:val="center"/>
            <w:hideMark/>
          </w:tcPr>
          <w:p w14:paraId="3FB4DB43" w14:textId="77777777" w:rsidR="00F67359" w:rsidRPr="00B83A18" w:rsidRDefault="00F67359" w:rsidP="00696E8F">
            <w:pPr>
              <w:rPr>
                <w:rFonts w:cs="Arial"/>
                <w:color w:val="000000"/>
              </w:rPr>
            </w:pPr>
            <w:r w:rsidRPr="00B83A18">
              <w:rPr>
                <w:rFonts w:cs="Arial"/>
                <w:color w:val="000000"/>
              </w:rPr>
              <w:t>Bypass Thoracic Aorta, Descending to Subclavian, Open Approach</w:t>
            </w:r>
          </w:p>
        </w:tc>
      </w:tr>
      <w:tr w:rsidR="00F67359" w:rsidRPr="00B83A18" w14:paraId="0E3332C4" w14:textId="77777777" w:rsidTr="002C718A">
        <w:trPr>
          <w:trHeight w:val="300"/>
        </w:trPr>
        <w:tc>
          <w:tcPr>
            <w:tcW w:w="1525" w:type="dxa"/>
            <w:noWrap/>
            <w:vAlign w:val="center"/>
            <w:hideMark/>
          </w:tcPr>
          <w:p w14:paraId="468CCD29" w14:textId="77777777" w:rsidR="00F67359" w:rsidRPr="00B83A18" w:rsidRDefault="00F67359" w:rsidP="00696E8F">
            <w:pPr>
              <w:rPr>
                <w:rFonts w:cs="Arial"/>
                <w:color w:val="000000"/>
              </w:rPr>
            </w:pPr>
            <w:r w:rsidRPr="00B83A18">
              <w:rPr>
                <w:rFonts w:cs="Arial"/>
                <w:color w:val="000000"/>
              </w:rPr>
              <w:t>021W0ZD</w:t>
            </w:r>
          </w:p>
        </w:tc>
        <w:tc>
          <w:tcPr>
            <w:tcW w:w="8128" w:type="dxa"/>
            <w:noWrap/>
            <w:vAlign w:val="center"/>
            <w:hideMark/>
          </w:tcPr>
          <w:p w14:paraId="22A77B55" w14:textId="77777777" w:rsidR="00F67359" w:rsidRPr="00B83A18" w:rsidRDefault="00F67359" w:rsidP="00696E8F">
            <w:pPr>
              <w:rPr>
                <w:rFonts w:cs="Arial"/>
                <w:color w:val="000000"/>
              </w:rPr>
            </w:pPr>
            <w:r w:rsidRPr="00B83A18">
              <w:rPr>
                <w:rFonts w:cs="Arial"/>
                <w:color w:val="000000"/>
              </w:rPr>
              <w:t>Bypass Thoracic Aorta, Descending to Carotid, Open Approach</w:t>
            </w:r>
          </w:p>
        </w:tc>
      </w:tr>
      <w:tr w:rsidR="00F67359" w:rsidRPr="00B83A18" w14:paraId="7FE214E4" w14:textId="77777777" w:rsidTr="002C718A">
        <w:trPr>
          <w:trHeight w:val="300"/>
        </w:trPr>
        <w:tc>
          <w:tcPr>
            <w:tcW w:w="1525" w:type="dxa"/>
            <w:noWrap/>
            <w:vAlign w:val="center"/>
            <w:hideMark/>
          </w:tcPr>
          <w:p w14:paraId="5D2F363C" w14:textId="77777777" w:rsidR="00F67359" w:rsidRPr="00B83A18" w:rsidRDefault="00F67359" w:rsidP="00696E8F">
            <w:pPr>
              <w:rPr>
                <w:rFonts w:cs="Arial"/>
                <w:color w:val="000000"/>
              </w:rPr>
            </w:pPr>
            <w:r w:rsidRPr="00B83A18">
              <w:rPr>
                <w:rFonts w:cs="Arial"/>
                <w:color w:val="000000"/>
              </w:rPr>
              <w:t>021W0ZP</w:t>
            </w:r>
          </w:p>
        </w:tc>
        <w:tc>
          <w:tcPr>
            <w:tcW w:w="8128" w:type="dxa"/>
            <w:noWrap/>
            <w:vAlign w:val="center"/>
            <w:hideMark/>
          </w:tcPr>
          <w:p w14:paraId="77407C00" w14:textId="77777777" w:rsidR="00F67359" w:rsidRPr="00B83A18" w:rsidRDefault="00F67359" w:rsidP="00696E8F">
            <w:pPr>
              <w:rPr>
                <w:rFonts w:cs="Arial"/>
                <w:color w:val="000000"/>
              </w:rPr>
            </w:pPr>
            <w:r w:rsidRPr="00B83A18">
              <w:rPr>
                <w:rFonts w:cs="Arial"/>
                <w:color w:val="000000"/>
              </w:rPr>
              <w:t>Bypass Thoracic Aorta, Descending to Pulmonary Trunk, Open Approach</w:t>
            </w:r>
          </w:p>
        </w:tc>
      </w:tr>
      <w:tr w:rsidR="00F67359" w:rsidRPr="00B83A18" w14:paraId="5AD9B9E6" w14:textId="77777777" w:rsidTr="002C718A">
        <w:trPr>
          <w:trHeight w:val="300"/>
        </w:trPr>
        <w:tc>
          <w:tcPr>
            <w:tcW w:w="1525" w:type="dxa"/>
            <w:noWrap/>
            <w:vAlign w:val="center"/>
            <w:hideMark/>
          </w:tcPr>
          <w:p w14:paraId="1F4869A3" w14:textId="77777777" w:rsidR="00F67359" w:rsidRPr="00B83A18" w:rsidRDefault="00F67359" w:rsidP="00696E8F">
            <w:pPr>
              <w:rPr>
                <w:rFonts w:cs="Arial"/>
                <w:color w:val="000000"/>
              </w:rPr>
            </w:pPr>
            <w:r w:rsidRPr="00B83A18">
              <w:rPr>
                <w:rFonts w:cs="Arial"/>
                <w:color w:val="000000"/>
              </w:rPr>
              <w:t>021W0ZQ</w:t>
            </w:r>
          </w:p>
        </w:tc>
        <w:tc>
          <w:tcPr>
            <w:tcW w:w="8128" w:type="dxa"/>
            <w:noWrap/>
            <w:vAlign w:val="center"/>
            <w:hideMark/>
          </w:tcPr>
          <w:p w14:paraId="380960F7" w14:textId="77777777" w:rsidR="00F67359" w:rsidRPr="00B83A18" w:rsidRDefault="00F67359" w:rsidP="00696E8F">
            <w:pPr>
              <w:rPr>
                <w:rFonts w:cs="Arial"/>
                <w:color w:val="000000"/>
              </w:rPr>
            </w:pPr>
            <w:r w:rsidRPr="00B83A18">
              <w:rPr>
                <w:rFonts w:cs="Arial"/>
                <w:color w:val="000000"/>
              </w:rPr>
              <w:t>Bypass Thoracic Aorta, Descending to Right Pulmonary Artery, Open Approach</w:t>
            </w:r>
          </w:p>
        </w:tc>
      </w:tr>
      <w:tr w:rsidR="00F67359" w:rsidRPr="00B83A18" w14:paraId="2E42A584" w14:textId="77777777" w:rsidTr="002C718A">
        <w:trPr>
          <w:trHeight w:val="300"/>
        </w:trPr>
        <w:tc>
          <w:tcPr>
            <w:tcW w:w="1525" w:type="dxa"/>
            <w:noWrap/>
            <w:vAlign w:val="center"/>
            <w:hideMark/>
          </w:tcPr>
          <w:p w14:paraId="6DBD820C" w14:textId="77777777" w:rsidR="00F67359" w:rsidRPr="00B83A18" w:rsidRDefault="00F67359" w:rsidP="00696E8F">
            <w:pPr>
              <w:rPr>
                <w:rFonts w:cs="Arial"/>
                <w:color w:val="000000"/>
              </w:rPr>
            </w:pPr>
            <w:r w:rsidRPr="00B83A18">
              <w:rPr>
                <w:rFonts w:cs="Arial"/>
                <w:color w:val="000000"/>
              </w:rPr>
              <w:t>021W0ZR</w:t>
            </w:r>
          </w:p>
        </w:tc>
        <w:tc>
          <w:tcPr>
            <w:tcW w:w="8128" w:type="dxa"/>
            <w:noWrap/>
            <w:vAlign w:val="center"/>
            <w:hideMark/>
          </w:tcPr>
          <w:p w14:paraId="1A32E9DE" w14:textId="77777777" w:rsidR="00F67359" w:rsidRPr="00B83A18" w:rsidRDefault="00F67359" w:rsidP="00696E8F">
            <w:pPr>
              <w:rPr>
                <w:rFonts w:cs="Arial"/>
                <w:color w:val="000000"/>
              </w:rPr>
            </w:pPr>
            <w:r w:rsidRPr="00B83A18">
              <w:rPr>
                <w:rFonts w:cs="Arial"/>
                <w:color w:val="000000"/>
              </w:rPr>
              <w:t>Bypass Thoracic Aorta, Descending to Left Pulmonary Artery, Open Approach</w:t>
            </w:r>
          </w:p>
        </w:tc>
      </w:tr>
      <w:tr w:rsidR="00265AC7" w:rsidRPr="00B83A18" w14:paraId="2B120619" w14:textId="77777777" w:rsidTr="002C718A">
        <w:trPr>
          <w:trHeight w:val="300"/>
        </w:trPr>
        <w:tc>
          <w:tcPr>
            <w:tcW w:w="1525" w:type="dxa"/>
            <w:noWrap/>
            <w:vAlign w:val="center"/>
          </w:tcPr>
          <w:p w14:paraId="78A75E97" w14:textId="773740B3" w:rsidR="00265AC7" w:rsidRPr="00B83A18" w:rsidRDefault="00265AC7" w:rsidP="00696E8F">
            <w:pPr>
              <w:rPr>
                <w:rFonts w:cs="Arial"/>
                <w:color w:val="000000"/>
              </w:rPr>
            </w:pPr>
            <w:r w:rsidRPr="00C76857">
              <w:rPr>
                <w:rFonts w:cstheme="minorHAnsi"/>
                <w:color w:val="000000"/>
              </w:rPr>
              <w:t>021X08A</w:t>
            </w:r>
          </w:p>
        </w:tc>
        <w:tc>
          <w:tcPr>
            <w:tcW w:w="8128" w:type="dxa"/>
            <w:noWrap/>
            <w:vAlign w:val="center"/>
          </w:tcPr>
          <w:p w14:paraId="47E4AEC8" w14:textId="1DBA146E" w:rsidR="00265AC7" w:rsidRPr="00B83A18" w:rsidRDefault="00265AC7" w:rsidP="00696E8F">
            <w:pPr>
              <w:rPr>
                <w:rFonts w:cs="Arial"/>
                <w:color w:val="000000"/>
              </w:rPr>
            </w:pPr>
            <w:r w:rsidRPr="00C76857">
              <w:rPr>
                <w:rFonts w:cstheme="minorHAnsi"/>
                <w:color w:val="000000"/>
              </w:rPr>
              <w:t>Bypass Thoracic Aorta, Ascending/Arch to Innominate Artery with Zooplastic Tissue, Open Approach</w:t>
            </w:r>
          </w:p>
        </w:tc>
      </w:tr>
      <w:tr w:rsidR="00265AC7" w:rsidRPr="00B83A18" w14:paraId="75DA0DED" w14:textId="77777777" w:rsidTr="002C718A">
        <w:trPr>
          <w:trHeight w:val="300"/>
        </w:trPr>
        <w:tc>
          <w:tcPr>
            <w:tcW w:w="1525" w:type="dxa"/>
            <w:noWrap/>
            <w:vAlign w:val="center"/>
          </w:tcPr>
          <w:p w14:paraId="1BF02FC0" w14:textId="06AE8E1D" w:rsidR="00265AC7" w:rsidRPr="00B83A18" w:rsidRDefault="00265AC7" w:rsidP="00696E8F">
            <w:pPr>
              <w:rPr>
                <w:rFonts w:cs="Arial"/>
                <w:color w:val="000000"/>
              </w:rPr>
            </w:pPr>
            <w:r w:rsidRPr="00C76857">
              <w:rPr>
                <w:rFonts w:cstheme="minorHAnsi"/>
                <w:color w:val="000000"/>
              </w:rPr>
              <w:t>021X08B</w:t>
            </w:r>
          </w:p>
        </w:tc>
        <w:tc>
          <w:tcPr>
            <w:tcW w:w="8128" w:type="dxa"/>
            <w:noWrap/>
            <w:vAlign w:val="center"/>
          </w:tcPr>
          <w:p w14:paraId="686495F7" w14:textId="718EB351" w:rsidR="00265AC7" w:rsidRPr="00B83A18" w:rsidRDefault="00265AC7" w:rsidP="00696E8F">
            <w:pPr>
              <w:rPr>
                <w:rFonts w:cs="Arial"/>
                <w:color w:val="000000"/>
              </w:rPr>
            </w:pPr>
            <w:r w:rsidRPr="00C76857">
              <w:rPr>
                <w:rFonts w:cstheme="minorHAnsi"/>
                <w:color w:val="000000"/>
              </w:rPr>
              <w:t>Bypass Thoracic Aorta, Ascending/Arch to Subclavian with Zooplastic Tissue, Open Approach</w:t>
            </w:r>
          </w:p>
        </w:tc>
      </w:tr>
      <w:tr w:rsidR="00265AC7" w:rsidRPr="00B83A18" w14:paraId="72662D00" w14:textId="77777777" w:rsidTr="002C718A">
        <w:trPr>
          <w:trHeight w:val="300"/>
        </w:trPr>
        <w:tc>
          <w:tcPr>
            <w:tcW w:w="1525" w:type="dxa"/>
            <w:noWrap/>
            <w:vAlign w:val="center"/>
          </w:tcPr>
          <w:p w14:paraId="0A86ABC2" w14:textId="0A8220E4" w:rsidR="00265AC7" w:rsidRPr="00B83A18" w:rsidRDefault="00265AC7" w:rsidP="00696E8F">
            <w:pPr>
              <w:rPr>
                <w:rFonts w:cs="Arial"/>
                <w:color w:val="000000"/>
              </w:rPr>
            </w:pPr>
            <w:r w:rsidRPr="00C76857">
              <w:rPr>
                <w:rFonts w:cstheme="minorHAnsi"/>
                <w:color w:val="000000"/>
              </w:rPr>
              <w:t>021X08D</w:t>
            </w:r>
          </w:p>
        </w:tc>
        <w:tc>
          <w:tcPr>
            <w:tcW w:w="8128" w:type="dxa"/>
            <w:noWrap/>
            <w:vAlign w:val="center"/>
          </w:tcPr>
          <w:p w14:paraId="6B77EA58" w14:textId="3D34850C" w:rsidR="00265AC7" w:rsidRPr="00B83A18" w:rsidRDefault="00265AC7" w:rsidP="00696E8F">
            <w:pPr>
              <w:rPr>
                <w:rFonts w:cs="Arial"/>
                <w:color w:val="000000"/>
              </w:rPr>
            </w:pPr>
            <w:r w:rsidRPr="00C76857">
              <w:rPr>
                <w:rFonts w:cstheme="minorHAnsi"/>
                <w:color w:val="000000"/>
              </w:rPr>
              <w:t>Bypass Thoracic Aorta, Ascending/Arch to Carotid with Zooplastic Tissue, Open Approach</w:t>
            </w:r>
          </w:p>
        </w:tc>
      </w:tr>
      <w:tr w:rsidR="00265AC7" w:rsidRPr="00B83A18" w14:paraId="514B0349" w14:textId="77777777" w:rsidTr="002C718A">
        <w:trPr>
          <w:trHeight w:val="300"/>
        </w:trPr>
        <w:tc>
          <w:tcPr>
            <w:tcW w:w="1525" w:type="dxa"/>
            <w:noWrap/>
            <w:vAlign w:val="center"/>
          </w:tcPr>
          <w:p w14:paraId="267A5371" w14:textId="22E0FC5F" w:rsidR="00265AC7" w:rsidRPr="00B83A18" w:rsidRDefault="00265AC7" w:rsidP="00696E8F">
            <w:pPr>
              <w:rPr>
                <w:rFonts w:cs="Arial"/>
                <w:color w:val="000000"/>
              </w:rPr>
            </w:pPr>
            <w:r w:rsidRPr="00C76857">
              <w:rPr>
                <w:rFonts w:cstheme="minorHAnsi"/>
                <w:color w:val="000000"/>
              </w:rPr>
              <w:t>021X08P</w:t>
            </w:r>
          </w:p>
        </w:tc>
        <w:tc>
          <w:tcPr>
            <w:tcW w:w="8128" w:type="dxa"/>
            <w:noWrap/>
            <w:vAlign w:val="center"/>
          </w:tcPr>
          <w:p w14:paraId="3DDFE46D" w14:textId="2C3E8847" w:rsidR="00265AC7" w:rsidRPr="00B83A18" w:rsidRDefault="00265AC7" w:rsidP="00696E8F">
            <w:pPr>
              <w:rPr>
                <w:rFonts w:cs="Arial"/>
                <w:color w:val="000000"/>
              </w:rPr>
            </w:pPr>
            <w:r w:rsidRPr="00C76857">
              <w:rPr>
                <w:rFonts w:cstheme="minorHAnsi"/>
                <w:color w:val="000000"/>
              </w:rPr>
              <w:t>Bypass Thoracic Aorta, Ascending/Arch to Pulmonary Trunk with Zooplastic Tissue, Open Approach</w:t>
            </w:r>
          </w:p>
        </w:tc>
      </w:tr>
      <w:tr w:rsidR="00265AC7" w:rsidRPr="00B83A18" w14:paraId="113166CB" w14:textId="77777777" w:rsidTr="002C718A">
        <w:trPr>
          <w:trHeight w:val="300"/>
        </w:trPr>
        <w:tc>
          <w:tcPr>
            <w:tcW w:w="1525" w:type="dxa"/>
            <w:noWrap/>
            <w:vAlign w:val="center"/>
          </w:tcPr>
          <w:p w14:paraId="627BAD9C" w14:textId="75FED55F" w:rsidR="00265AC7" w:rsidRPr="00B83A18" w:rsidRDefault="00265AC7" w:rsidP="00696E8F">
            <w:pPr>
              <w:rPr>
                <w:rFonts w:cs="Arial"/>
                <w:color w:val="000000"/>
              </w:rPr>
            </w:pPr>
            <w:r w:rsidRPr="00C76857">
              <w:rPr>
                <w:rFonts w:cstheme="minorHAnsi"/>
                <w:color w:val="000000"/>
              </w:rPr>
              <w:t>021X08Q</w:t>
            </w:r>
          </w:p>
        </w:tc>
        <w:tc>
          <w:tcPr>
            <w:tcW w:w="8128" w:type="dxa"/>
            <w:noWrap/>
            <w:vAlign w:val="center"/>
          </w:tcPr>
          <w:p w14:paraId="3DC03155" w14:textId="4C4C8596" w:rsidR="00265AC7" w:rsidRPr="00B83A18" w:rsidRDefault="00265AC7" w:rsidP="00696E8F">
            <w:pPr>
              <w:rPr>
                <w:rFonts w:cs="Arial"/>
                <w:color w:val="000000"/>
              </w:rPr>
            </w:pPr>
            <w:r w:rsidRPr="00C76857">
              <w:rPr>
                <w:rFonts w:cstheme="minorHAnsi"/>
                <w:color w:val="000000"/>
              </w:rPr>
              <w:t>Bypass Thoracic Aorta, Ascending/Arch to Right Pulmonary Artery with Zooplastic Tissue, Open Approach</w:t>
            </w:r>
          </w:p>
        </w:tc>
      </w:tr>
      <w:tr w:rsidR="00265AC7" w:rsidRPr="00B83A18" w14:paraId="73D23D8A" w14:textId="77777777" w:rsidTr="002C718A">
        <w:trPr>
          <w:trHeight w:val="300"/>
        </w:trPr>
        <w:tc>
          <w:tcPr>
            <w:tcW w:w="1525" w:type="dxa"/>
            <w:noWrap/>
            <w:vAlign w:val="center"/>
          </w:tcPr>
          <w:p w14:paraId="00DDA74C" w14:textId="2EADB0DF" w:rsidR="00265AC7" w:rsidRPr="00B83A18" w:rsidRDefault="00265AC7" w:rsidP="00696E8F">
            <w:pPr>
              <w:rPr>
                <w:rFonts w:cs="Arial"/>
                <w:color w:val="000000"/>
              </w:rPr>
            </w:pPr>
            <w:r w:rsidRPr="00C76857">
              <w:rPr>
                <w:rFonts w:cstheme="minorHAnsi"/>
                <w:color w:val="000000"/>
              </w:rPr>
              <w:t>021X08R</w:t>
            </w:r>
          </w:p>
        </w:tc>
        <w:tc>
          <w:tcPr>
            <w:tcW w:w="8128" w:type="dxa"/>
            <w:noWrap/>
            <w:vAlign w:val="center"/>
          </w:tcPr>
          <w:p w14:paraId="5267D138" w14:textId="58672BA2" w:rsidR="00265AC7" w:rsidRPr="00B83A18" w:rsidRDefault="00265AC7" w:rsidP="00696E8F">
            <w:pPr>
              <w:rPr>
                <w:rFonts w:cs="Arial"/>
                <w:color w:val="000000"/>
              </w:rPr>
            </w:pPr>
            <w:r w:rsidRPr="00C76857">
              <w:rPr>
                <w:rFonts w:cstheme="minorHAnsi"/>
                <w:color w:val="000000"/>
              </w:rPr>
              <w:t>Bypass Thoracic Aorta, Ascending/Arch to Left Pulmonary Artery with Zooplastic Tissue, Open Approach</w:t>
            </w:r>
          </w:p>
        </w:tc>
      </w:tr>
      <w:tr w:rsidR="00265AC7" w:rsidRPr="00B83A18" w14:paraId="334906AD" w14:textId="77777777" w:rsidTr="002C718A">
        <w:trPr>
          <w:trHeight w:val="300"/>
        </w:trPr>
        <w:tc>
          <w:tcPr>
            <w:tcW w:w="1525" w:type="dxa"/>
            <w:noWrap/>
            <w:vAlign w:val="center"/>
          </w:tcPr>
          <w:p w14:paraId="4B61C517" w14:textId="0901D0C7" w:rsidR="00265AC7" w:rsidRPr="00B83A18" w:rsidRDefault="00265AC7" w:rsidP="00696E8F">
            <w:pPr>
              <w:rPr>
                <w:rFonts w:cs="Arial"/>
                <w:color w:val="000000"/>
              </w:rPr>
            </w:pPr>
            <w:r w:rsidRPr="00C76857">
              <w:rPr>
                <w:rFonts w:cstheme="minorHAnsi"/>
                <w:color w:val="000000"/>
              </w:rPr>
              <w:t>021X09A</w:t>
            </w:r>
          </w:p>
        </w:tc>
        <w:tc>
          <w:tcPr>
            <w:tcW w:w="8128" w:type="dxa"/>
            <w:noWrap/>
            <w:vAlign w:val="center"/>
          </w:tcPr>
          <w:p w14:paraId="00D2D52E" w14:textId="25B31D7D" w:rsidR="00265AC7" w:rsidRPr="00B83A18" w:rsidRDefault="00265AC7" w:rsidP="00696E8F">
            <w:pPr>
              <w:rPr>
                <w:rFonts w:cs="Arial"/>
                <w:color w:val="000000"/>
              </w:rPr>
            </w:pPr>
            <w:r w:rsidRPr="00C76857">
              <w:rPr>
                <w:rFonts w:cstheme="minorHAnsi"/>
                <w:color w:val="000000"/>
              </w:rPr>
              <w:t>Bypass Thoracic Aorta, Ascending/Arch to Innominate Artery with Autologous Venous Tissue, Open Approach</w:t>
            </w:r>
          </w:p>
        </w:tc>
      </w:tr>
      <w:tr w:rsidR="00265AC7" w:rsidRPr="00B83A18" w14:paraId="299563AE" w14:textId="77777777" w:rsidTr="002C718A">
        <w:trPr>
          <w:trHeight w:val="300"/>
        </w:trPr>
        <w:tc>
          <w:tcPr>
            <w:tcW w:w="1525" w:type="dxa"/>
            <w:noWrap/>
            <w:vAlign w:val="center"/>
          </w:tcPr>
          <w:p w14:paraId="2FA60505" w14:textId="637F0AEA" w:rsidR="00265AC7" w:rsidRPr="00B83A18" w:rsidRDefault="00265AC7" w:rsidP="00696E8F">
            <w:pPr>
              <w:rPr>
                <w:rFonts w:cs="Arial"/>
                <w:color w:val="000000"/>
              </w:rPr>
            </w:pPr>
            <w:r w:rsidRPr="00C76857">
              <w:rPr>
                <w:rFonts w:cstheme="minorHAnsi"/>
                <w:color w:val="000000"/>
              </w:rPr>
              <w:t>021X09B</w:t>
            </w:r>
          </w:p>
        </w:tc>
        <w:tc>
          <w:tcPr>
            <w:tcW w:w="8128" w:type="dxa"/>
            <w:noWrap/>
            <w:vAlign w:val="center"/>
          </w:tcPr>
          <w:p w14:paraId="0F1B68EF" w14:textId="1BD2B04A" w:rsidR="00265AC7" w:rsidRPr="00B83A18" w:rsidRDefault="00265AC7" w:rsidP="00696E8F">
            <w:pPr>
              <w:rPr>
                <w:rFonts w:cs="Arial"/>
                <w:color w:val="000000"/>
              </w:rPr>
            </w:pPr>
            <w:r w:rsidRPr="00C76857">
              <w:rPr>
                <w:rFonts w:cstheme="minorHAnsi"/>
                <w:color w:val="000000"/>
              </w:rPr>
              <w:t>Bypass Thoracic Aorta, Ascending/Arch to Subclavian with Autologous Venous Tissue, Open Approach</w:t>
            </w:r>
          </w:p>
        </w:tc>
      </w:tr>
      <w:tr w:rsidR="00265AC7" w:rsidRPr="00B83A18" w14:paraId="70BD12E4" w14:textId="77777777" w:rsidTr="002C718A">
        <w:trPr>
          <w:trHeight w:val="300"/>
        </w:trPr>
        <w:tc>
          <w:tcPr>
            <w:tcW w:w="1525" w:type="dxa"/>
            <w:noWrap/>
            <w:vAlign w:val="center"/>
          </w:tcPr>
          <w:p w14:paraId="19AE9BDA" w14:textId="7CC1D554" w:rsidR="00265AC7" w:rsidRPr="00B83A18" w:rsidRDefault="00265AC7" w:rsidP="00696E8F">
            <w:pPr>
              <w:rPr>
                <w:rFonts w:cs="Arial"/>
                <w:color w:val="000000"/>
              </w:rPr>
            </w:pPr>
            <w:r w:rsidRPr="00C76857">
              <w:rPr>
                <w:rFonts w:cstheme="minorHAnsi"/>
                <w:color w:val="000000"/>
              </w:rPr>
              <w:t>021X09D</w:t>
            </w:r>
          </w:p>
        </w:tc>
        <w:tc>
          <w:tcPr>
            <w:tcW w:w="8128" w:type="dxa"/>
            <w:noWrap/>
            <w:vAlign w:val="center"/>
          </w:tcPr>
          <w:p w14:paraId="5A9DBF34" w14:textId="3321FE8A" w:rsidR="00265AC7" w:rsidRPr="00B83A18" w:rsidRDefault="00265AC7" w:rsidP="00696E8F">
            <w:pPr>
              <w:rPr>
                <w:rFonts w:cs="Arial"/>
                <w:color w:val="000000"/>
              </w:rPr>
            </w:pPr>
            <w:r w:rsidRPr="00C76857">
              <w:rPr>
                <w:rFonts w:cstheme="minorHAnsi"/>
                <w:color w:val="000000"/>
              </w:rPr>
              <w:t>Bypass Thoracic Aorta, Ascending/Arch to Carotid with Autologous Venous Tissue, Open Approach</w:t>
            </w:r>
          </w:p>
        </w:tc>
      </w:tr>
      <w:tr w:rsidR="00265AC7" w:rsidRPr="00B83A18" w14:paraId="770E419C" w14:textId="77777777" w:rsidTr="002C718A">
        <w:trPr>
          <w:trHeight w:val="300"/>
        </w:trPr>
        <w:tc>
          <w:tcPr>
            <w:tcW w:w="1525" w:type="dxa"/>
            <w:noWrap/>
            <w:vAlign w:val="center"/>
          </w:tcPr>
          <w:p w14:paraId="21CF3573" w14:textId="3A2EB3E6" w:rsidR="00265AC7" w:rsidRPr="00B83A18" w:rsidRDefault="00265AC7" w:rsidP="00696E8F">
            <w:pPr>
              <w:rPr>
                <w:rFonts w:cs="Arial"/>
                <w:color w:val="000000"/>
              </w:rPr>
            </w:pPr>
            <w:r w:rsidRPr="00C76857">
              <w:rPr>
                <w:rFonts w:cstheme="minorHAnsi"/>
                <w:color w:val="000000"/>
              </w:rPr>
              <w:lastRenderedPageBreak/>
              <w:t>021X09P</w:t>
            </w:r>
          </w:p>
        </w:tc>
        <w:tc>
          <w:tcPr>
            <w:tcW w:w="8128" w:type="dxa"/>
            <w:noWrap/>
            <w:vAlign w:val="center"/>
          </w:tcPr>
          <w:p w14:paraId="25422EE8" w14:textId="2CB84823" w:rsidR="00265AC7" w:rsidRPr="00B83A18" w:rsidRDefault="00265AC7" w:rsidP="00696E8F">
            <w:pPr>
              <w:rPr>
                <w:rFonts w:cs="Arial"/>
                <w:color w:val="000000"/>
              </w:rPr>
            </w:pPr>
            <w:r w:rsidRPr="00C76857">
              <w:rPr>
                <w:rFonts w:cstheme="minorHAnsi"/>
                <w:color w:val="000000"/>
              </w:rPr>
              <w:t>Bypass Thoracic Aorta, Ascending/Arch to Pulmonary Trunk with Autologous Venous Tissue, Open Approach</w:t>
            </w:r>
          </w:p>
        </w:tc>
      </w:tr>
      <w:tr w:rsidR="00265AC7" w:rsidRPr="00B83A18" w14:paraId="06DFD72B" w14:textId="77777777" w:rsidTr="002C718A">
        <w:trPr>
          <w:trHeight w:val="300"/>
        </w:trPr>
        <w:tc>
          <w:tcPr>
            <w:tcW w:w="1525" w:type="dxa"/>
            <w:noWrap/>
            <w:vAlign w:val="center"/>
          </w:tcPr>
          <w:p w14:paraId="5ED67731" w14:textId="34B4286E" w:rsidR="00265AC7" w:rsidRPr="00B83A18" w:rsidRDefault="00265AC7" w:rsidP="00696E8F">
            <w:pPr>
              <w:rPr>
                <w:rFonts w:cs="Arial"/>
                <w:color w:val="000000"/>
              </w:rPr>
            </w:pPr>
            <w:r w:rsidRPr="00C76857">
              <w:rPr>
                <w:rFonts w:cstheme="minorHAnsi"/>
                <w:color w:val="000000"/>
              </w:rPr>
              <w:t>021X09Q</w:t>
            </w:r>
          </w:p>
        </w:tc>
        <w:tc>
          <w:tcPr>
            <w:tcW w:w="8128" w:type="dxa"/>
            <w:noWrap/>
            <w:vAlign w:val="center"/>
          </w:tcPr>
          <w:p w14:paraId="64A7727B" w14:textId="7E7FC2E6" w:rsidR="00265AC7" w:rsidRPr="00B83A18" w:rsidRDefault="00265AC7" w:rsidP="00696E8F">
            <w:pPr>
              <w:rPr>
                <w:rFonts w:cs="Arial"/>
                <w:color w:val="000000"/>
              </w:rPr>
            </w:pPr>
            <w:r w:rsidRPr="00C76857">
              <w:rPr>
                <w:rFonts w:cstheme="minorHAnsi"/>
                <w:color w:val="000000"/>
              </w:rPr>
              <w:t>Bypass Thoracic Aorta, Ascending/Arch to Right Pulmonary Artery with Autologous Venous Tissue, Open Approach</w:t>
            </w:r>
          </w:p>
        </w:tc>
      </w:tr>
      <w:tr w:rsidR="00265AC7" w:rsidRPr="00B83A18" w14:paraId="4F36E726" w14:textId="77777777" w:rsidTr="002C718A">
        <w:trPr>
          <w:trHeight w:val="300"/>
        </w:trPr>
        <w:tc>
          <w:tcPr>
            <w:tcW w:w="1525" w:type="dxa"/>
            <w:noWrap/>
            <w:vAlign w:val="center"/>
          </w:tcPr>
          <w:p w14:paraId="7697C524" w14:textId="0664E194" w:rsidR="00265AC7" w:rsidRPr="00B83A18" w:rsidRDefault="00265AC7" w:rsidP="00696E8F">
            <w:pPr>
              <w:rPr>
                <w:rFonts w:cs="Arial"/>
                <w:color w:val="000000"/>
              </w:rPr>
            </w:pPr>
            <w:r w:rsidRPr="00C76857">
              <w:rPr>
                <w:rFonts w:cstheme="minorHAnsi"/>
                <w:color w:val="000000"/>
              </w:rPr>
              <w:t>021X09R</w:t>
            </w:r>
          </w:p>
        </w:tc>
        <w:tc>
          <w:tcPr>
            <w:tcW w:w="8128" w:type="dxa"/>
            <w:noWrap/>
            <w:vAlign w:val="center"/>
          </w:tcPr>
          <w:p w14:paraId="3772EE90" w14:textId="672E8D28" w:rsidR="00265AC7" w:rsidRPr="00B83A18" w:rsidRDefault="00265AC7" w:rsidP="00696E8F">
            <w:pPr>
              <w:rPr>
                <w:rFonts w:cs="Arial"/>
                <w:color w:val="000000"/>
              </w:rPr>
            </w:pPr>
            <w:r w:rsidRPr="00C76857">
              <w:rPr>
                <w:rFonts w:cstheme="minorHAnsi"/>
                <w:color w:val="000000"/>
              </w:rPr>
              <w:t>Bypass Thoracic Aorta, Ascending/Arch to Left Pulmonary Artery with Autologous Venous Tissue, Open Approach</w:t>
            </w:r>
          </w:p>
        </w:tc>
      </w:tr>
      <w:tr w:rsidR="00265AC7" w:rsidRPr="00B83A18" w14:paraId="4C127DAE" w14:textId="77777777" w:rsidTr="002C718A">
        <w:trPr>
          <w:trHeight w:val="300"/>
        </w:trPr>
        <w:tc>
          <w:tcPr>
            <w:tcW w:w="1525" w:type="dxa"/>
            <w:noWrap/>
            <w:vAlign w:val="center"/>
          </w:tcPr>
          <w:p w14:paraId="265B6F71" w14:textId="7FEA1FAE" w:rsidR="00265AC7" w:rsidRPr="00B83A18" w:rsidRDefault="00265AC7" w:rsidP="00696E8F">
            <w:pPr>
              <w:rPr>
                <w:rFonts w:cs="Arial"/>
                <w:color w:val="000000"/>
              </w:rPr>
            </w:pPr>
            <w:r w:rsidRPr="00C76857">
              <w:rPr>
                <w:rFonts w:cstheme="minorHAnsi"/>
                <w:color w:val="000000"/>
              </w:rPr>
              <w:t>021X0AA</w:t>
            </w:r>
          </w:p>
        </w:tc>
        <w:tc>
          <w:tcPr>
            <w:tcW w:w="8128" w:type="dxa"/>
            <w:noWrap/>
            <w:vAlign w:val="center"/>
          </w:tcPr>
          <w:p w14:paraId="1CCEFED2" w14:textId="53CE427B" w:rsidR="00265AC7" w:rsidRPr="00B83A18" w:rsidRDefault="00265AC7" w:rsidP="00696E8F">
            <w:pPr>
              <w:rPr>
                <w:rFonts w:cs="Arial"/>
                <w:color w:val="000000"/>
              </w:rPr>
            </w:pPr>
            <w:r w:rsidRPr="00C76857">
              <w:rPr>
                <w:rFonts w:cstheme="minorHAnsi"/>
                <w:color w:val="000000"/>
              </w:rPr>
              <w:t>Bypass Thoracic Aorta, Ascending/Arch to Innominate Artery with Autologous Arterial Tissue, Open Approach</w:t>
            </w:r>
          </w:p>
        </w:tc>
      </w:tr>
      <w:tr w:rsidR="00265AC7" w:rsidRPr="00B83A18" w14:paraId="5747EE8F" w14:textId="77777777" w:rsidTr="002C718A">
        <w:trPr>
          <w:trHeight w:val="300"/>
        </w:trPr>
        <w:tc>
          <w:tcPr>
            <w:tcW w:w="1525" w:type="dxa"/>
            <w:noWrap/>
            <w:vAlign w:val="center"/>
          </w:tcPr>
          <w:p w14:paraId="59A2E1DE" w14:textId="2AD954A8" w:rsidR="00265AC7" w:rsidRPr="00B83A18" w:rsidRDefault="00265AC7" w:rsidP="00696E8F">
            <w:pPr>
              <w:rPr>
                <w:rFonts w:cs="Arial"/>
                <w:color w:val="000000"/>
              </w:rPr>
            </w:pPr>
            <w:r w:rsidRPr="00C76857">
              <w:rPr>
                <w:rFonts w:cstheme="minorHAnsi"/>
                <w:color w:val="000000"/>
              </w:rPr>
              <w:t>021X0AB</w:t>
            </w:r>
          </w:p>
        </w:tc>
        <w:tc>
          <w:tcPr>
            <w:tcW w:w="8128" w:type="dxa"/>
            <w:noWrap/>
            <w:vAlign w:val="center"/>
          </w:tcPr>
          <w:p w14:paraId="58BFF5DC" w14:textId="6E91810D" w:rsidR="00265AC7" w:rsidRPr="00B83A18" w:rsidRDefault="00265AC7" w:rsidP="00696E8F">
            <w:pPr>
              <w:rPr>
                <w:rFonts w:cs="Arial"/>
                <w:color w:val="000000"/>
              </w:rPr>
            </w:pPr>
            <w:r w:rsidRPr="00C76857">
              <w:rPr>
                <w:rFonts w:cstheme="minorHAnsi"/>
                <w:color w:val="000000"/>
              </w:rPr>
              <w:t>Bypass Thoracic Aorta, Ascending/Arch to Subclavian with Autologous Arterial Tissue, Open Approach</w:t>
            </w:r>
          </w:p>
        </w:tc>
      </w:tr>
      <w:tr w:rsidR="00265AC7" w:rsidRPr="00B83A18" w14:paraId="3CB89A54" w14:textId="77777777" w:rsidTr="002C718A">
        <w:trPr>
          <w:trHeight w:val="300"/>
        </w:trPr>
        <w:tc>
          <w:tcPr>
            <w:tcW w:w="1525" w:type="dxa"/>
            <w:noWrap/>
            <w:vAlign w:val="center"/>
          </w:tcPr>
          <w:p w14:paraId="78402100" w14:textId="5F10CFA0" w:rsidR="00265AC7" w:rsidRPr="00B83A18" w:rsidRDefault="00265AC7" w:rsidP="00696E8F">
            <w:pPr>
              <w:rPr>
                <w:rFonts w:cs="Arial"/>
                <w:color w:val="000000"/>
              </w:rPr>
            </w:pPr>
            <w:r w:rsidRPr="00C76857">
              <w:rPr>
                <w:rFonts w:cstheme="minorHAnsi"/>
                <w:color w:val="000000"/>
              </w:rPr>
              <w:t>021X0AD</w:t>
            </w:r>
          </w:p>
        </w:tc>
        <w:tc>
          <w:tcPr>
            <w:tcW w:w="8128" w:type="dxa"/>
            <w:noWrap/>
            <w:vAlign w:val="center"/>
          </w:tcPr>
          <w:p w14:paraId="4F3EF137" w14:textId="22FA095D" w:rsidR="00265AC7" w:rsidRPr="00B83A18" w:rsidRDefault="00265AC7" w:rsidP="00696E8F">
            <w:pPr>
              <w:rPr>
                <w:rFonts w:cs="Arial"/>
                <w:color w:val="000000"/>
              </w:rPr>
            </w:pPr>
            <w:r w:rsidRPr="00C76857">
              <w:rPr>
                <w:rFonts w:cstheme="minorHAnsi"/>
                <w:color w:val="000000"/>
              </w:rPr>
              <w:t>Bypass Thoracic Aorta, Ascending/Arch to Carotid with Autologous Arterial Tissue, Open Approach</w:t>
            </w:r>
          </w:p>
        </w:tc>
      </w:tr>
      <w:tr w:rsidR="00265AC7" w:rsidRPr="00B83A18" w14:paraId="3AA885AE" w14:textId="77777777" w:rsidTr="002C718A">
        <w:trPr>
          <w:trHeight w:val="300"/>
        </w:trPr>
        <w:tc>
          <w:tcPr>
            <w:tcW w:w="1525" w:type="dxa"/>
            <w:noWrap/>
            <w:vAlign w:val="center"/>
          </w:tcPr>
          <w:p w14:paraId="2841FC19" w14:textId="6D45FF43" w:rsidR="00265AC7" w:rsidRPr="00B83A18" w:rsidRDefault="00265AC7" w:rsidP="00696E8F">
            <w:pPr>
              <w:rPr>
                <w:rFonts w:cs="Arial"/>
                <w:color w:val="000000"/>
              </w:rPr>
            </w:pPr>
            <w:r w:rsidRPr="00C76857">
              <w:rPr>
                <w:rFonts w:cstheme="minorHAnsi"/>
                <w:color w:val="000000"/>
              </w:rPr>
              <w:t>021X0AP</w:t>
            </w:r>
          </w:p>
        </w:tc>
        <w:tc>
          <w:tcPr>
            <w:tcW w:w="8128" w:type="dxa"/>
            <w:noWrap/>
            <w:vAlign w:val="center"/>
          </w:tcPr>
          <w:p w14:paraId="06711112" w14:textId="315E9C4F" w:rsidR="00265AC7" w:rsidRPr="00B83A18" w:rsidRDefault="00265AC7" w:rsidP="00696E8F">
            <w:pPr>
              <w:rPr>
                <w:rFonts w:cs="Arial"/>
                <w:color w:val="000000"/>
              </w:rPr>
            </w:pPr>
            <w:r w:rsidRPr="00C76857">
              <w:rPr>
                <w:rFonts w:cstheme="minorHAnsi"/>
                <w:color w:val="000000"/>
              </w:rPr>
              <w:t>Bypass Thoracic Aorta, Ascending/Arch to Pulmonary Trunk with Autologous Arterial Tissue, Open Approach</w:t>
            </w:r>
          </w:p>
        </w:tc>
      </w:tr>
      <w:tr w:rsidR="00265AC7" w:rsidRPr="00B83A18" w14:paraId="503581DE" w14:textId="77777777" w:rsidTr="002C718A">
        <w:trPr>
          <w:trHeight w:val="300"/>
        </w:trPr>
        <w:tc>
          <w:tcPr>
            <w:tcW w:w="1525" w:type="dxa"/>
            <w:noWrap/>
            <w:vAlign w:val="center"/>
          </w:tcPr>
          <w:p w14:paraId="076BB75E" w14:textId="159F5CFE" w:rsidR="00265AC7" w:rsidRPr="00B83A18" w:rsidRDefault="00265AC7" w:rsidP="00696E8F">
            <w:pPr>
              <w:rPr>
                <w:rFonts w:cs="Arial"/>
                <w:color w:val="000000"/>
              </w:rPr>
            </w:pPr>
            <w:r w:rsidRPr="00C76857">
              <w:rPr>
                <w:rFonts w:cstheme="minorHAnsi"/>
                <w:color w:val="000000"/>
              </w:rPr>
              <w:t>021X0AQ</w:t>
            </w:r>
          </w:p>
        </w:tc>
        <w:tc>
          <w:tcPr>
            <w:tcW w:w="8128" w:type="dxa"/>
            <w:noWrap/>
            <w:vAlign w:val="center"/>
          </w:tcPr>
          <w:p w14:paraId="4A66436D" w14:textId="1DBF2B08" w:rsidR="00265AC7" w:rsidRPr="00B83A18" w:rsidRDefault="00265AC7" w:rsidP="00696E8F">
            <w:pPr>
              <w:rPr>
                <w:rFonts w:cs="Arial"/>
                <w:color w:val="000000"/>
              </w:rPr>
            </w:pPr>
            <w:r w:rsidRPr="00C76857">
              <w:rPr>
                <w:rFonts w:cstheme="minorHAnsi"/>
                <w:color w:val="000000"/>
              </w:rPr>
              <w:t>Bypass Thoracic Aorta, Ascending/Arch to Right Pulmonary Artery with Autologous Arterial Tissue, Open Approach</w:t>
            </w:r>
          </w:p>
        </w:tc>
      </w:tr>
      <w:tr w:rsidR="00265AC7" w:rsidRPr="00B83A18" w14:paraId="530EFD01" w14:textId="77777777" w:rsidTr="002C718A">
        <w:trPr>
          <w:trHeight w:val="300"/>
        </w:trPr>
        <w:tc>
          <w:tcPr>
            <w:tcW w:w="1525" w:type="dxa"/>
            <w:noWrap/>
            <w:vAlign w:val="center"/>
          </w:tcPr>
          <w:p w14:paraId="0F652D1D" w14:textId="49E29292" w:rsidR="00265AC7" w:rsidRPr="00B83A18" w:rsidRDefault="00265AC7" w:rsidP="00696E8F">
            <w:pPr>
              <w:rPr>
                <w:rFonts w:cs="Arial"/>
                <w:color w:val="000000"/>
              </w:rPr>
            </w:pPr>
            <w:r w:rsidRPr="00C76857">
              <w:rPr>
                <w:rFonts w:cstheme="minorHAnsi"/>
                <w:color w:val="000000"/>
              </w:rPr>
              <w:t>021X0AR</w:t>
            </w:r>
          </w:p>
        </w:tc>
        <w:tc>
          <w:tcPr>
            <w:tcW w:w="8128" w:type="dxa"/>
            <w:noWrap/>
            <w:vAlign w:val="center"/>
          </w:tcPr>
          <w:p w14:paraId="378060D1" w14:textId="141DBB84" w:rsidR="00265AC7" w:rsidRPr="00B83A18" w:rsidRDefault="00265AC7" w:rsidP="00696E8F">
            <w:pPr>
              <w:rPr>
                <w:rFonts w:cs="Arial"/>
                <w:color w:val="000000"/>
              </w:rPr>
            </w:pPr>
            <w:r w:rsidRPr="00C76857">
              <w:rPr>
                <w:rFonts w:cstheme="minorHAnsi"/>
                <w:color w:val="000000"/>
              </w:rPr>
              <w:t>Bypass Thoracic Aorta, Ascending/Arch to Left Pulmonary Artery with Autologous Arterial Tissue, Open Approach</w:t>
            </w:r>
          </w:p>
        </w:tc>
      </w:tr>
      <w:tr w:rsidR="00265AC7" w:rsidRPr="00B83A18" w14:paraId="52CA1932" w14:textId="77777777" w:rsidTr="002C718A">
        <w:trPr>
          <w:trHeight w:val="300"/>
        </w:trPr>
        <w:tc>
          <w:tcPr>
            <w:tcW w:w="1525" w:type="dxa"/>
            <w:noWrap/>
            <w:vAlign w:val="center"/>
          </w:tcPr>
          <w:p w14:paraId="73CDA827" w14:textId="53AF6D93" w:rsidR="00265AC7" w:rsidRPr="00B83A18" w:rsidRDefault="00265AC7" w:rsidP="00696E8F">
            <w:pPr>
              <w:rPr>
                <w:rFonts w:cs="Arial"/>
                <w:color w:val="000000"/>
              </w:rPr>
            </w:pPr>
            <w:r w:rsidRPr="00C76857">
              <w:rPr>
                <w:rFonts w:cstheme="minorHAnsi"/>
                <w:color w:val="000000"/>
              </w:rPr>
              <w:t>021X0JA</w:t>
            </w:r>
          </w:p>
        </w:tc>
        <w:tc>
          <w:tcPr>
            <w:tcW w:w="8128" w:type="dxa"/>
            <w:noWrap/>
            <w:vAlign w:val="center"/>
          </w:tcPr>
          <w:p w14:paraId="33B8C77F" w14:textId="0C0B8A34" w:rsidR="00265AC7" w:rsidRPr="00B83A18" w:rsidRDefault="00265AC7" w:rsidP="00696E8F">
            <w:pPr>
              <w:rPr>
                <w:rFonts w:cs="Arial"/>
                <w:color w:val="000000"/>
              </w:rPr>
            </w:pPr>
            <w:r w:rsidRPr="00C76857">
              <w:rPr>
                <w:rFonts w:cstheme="minorHAnsi"/>
                <w:color w:val="000000"/>
              </w:rPr>
              <w:t>Bypass Thoracic Aorta, Ascending/Arch to Innominate Artery with Synthetic Substitute, Open Approach</w:t>
            </w:r>
          </w:p>
        </w:tc>
      </w:tr>
      <w:tr w:rsidR="00265AC7" w:rsidRPr="00B83A18" w14:paraId="7831C3EA" w14:textId="77777777" w:rsidTr="002C718A">
        <w:trPr>
          <w:trHeight w:val="300"/>
        </w:trPr>
        <w:tc>
          <w:tcPr>
            <w:tcW w:w="1525" w:type="dxa"/>
            <w:noWrap/>
            <w:vAlign w:val="center"/>
          </w:tcPr>
          <w:p w14:paraId="74085E8E" w14:textId="31C1B2A6" w:rsidR="00265AC7" w:rsidRPr="00B83A18" w:rsidRDefault="00265AC7" w:rsidP="00696E8F">
            <w:pPr>
              <w:rPr>
                <w:rFonts w:cs="Arial"/>
                <w:color w:val="000000"/>
              </w:rPr>
            </w:pPr>
            <w:r w:rsidRPr="00C76857">
              <w:rPr>
                <w:rFonts w:cstheme="minorHAnsi"/>
                <w:color w:val="000000"/>
              </w:rPr>
              <w:t>021X0JB</w:t>
            </w:r>
          </w:p>
        </w:tc>
        <w:tc>
          <w:tcPr>
            <w:tcW w:w="8128" w:type="dxa"/>
            <w:noWrap/>
            <w:vAlign w:val="center"/>
          </w:tcPr>
          <w:p w14:paraId="002074E9" w14:textId="6EEF6843" w:rsidR="00265AC7" w:rsidRPr="00B83A18" w:rsidRDefault="00265AC7" w:rsidP="00696E8F">
            <w:pPr>
              <w:rPr>
                <w:rFonts w:cs="Arial"/>
                <w:color w:val="000000"/>
              </w:rPr>
            </w:pPr>
            <w:r w:rsidRPr="00C76857">
              <w:rPr>
                <w:rFonts w:cstheme="minorHAnsi"/>
                <w:color w:val="000000"/>
              </w:rPr>
              <w:t>Bypass Thoracic Aorta, Ascending/Arch to Subclavian with Synthetic Substitute, Open Approach</w:t>
            </w:r>
          </w:p>
        </w:tc>
      </w:tr>
      <w:tr w:rsidR="00265AC7" w:rsidRPr="00B83A18" w14:paraId="5838B607" w14:textId="77777777" w:rsidTr="002C718A">
        <w:trPr>
          <w:trHeight w:val="300"/>
        </w:trPr>
        <w:tc>
          <w:tcPr>
            <w:tcW w:w="1525" w:type="dxa"/>
            <w:noWrap/>
            <w:vAlign w:val="center"/>
          </w:tcPr>
          <w:p w14:paraId="3D82EE9B" w14:textId="717FC9FF" w:rsidR="00265AC7" w:rsidRPr="00B83A18" w:rsidRDefault="00265AC7" w:rsidP="00696E8F">
            <w:pPr>
              <w:rPr>
                <w:rFonts w:cs="Arial"/>
                <w:color w:val="000000"/>
              </w:rPr>
            </w:pPr>
            <w:r w:rsidRPr="00C76857">
              <w:rPr>
                <w:rFonts w:cstheme="minorHAnsi"/>
                <w:color w:val="000000"/>
              </w:rPr>
              <w:t>021X0JD</w:t>
            </w:r>
          </w:p>
        </w:tc>
        <w:tc>
          <w:tcPr>
            <w:tcW w:w="8128" w:type="dxa"/>
            <w:noWrap/>
            <w:vAlign w:val="center"/>
          </w:tcPr>
          <w:p w14:paraId="6308808E" w14:textId="4E753EFC" w:rsidR="00265AC7" w:rsidRPr="00B83A18" w:rsidRDefault="00265AC7" w:rsidP="00696E8F">
            <w:pPr>
              <w:rPr>
                <w:rFonts w:cs="Arial"/>
                <w:color w:val="000000"/>
              </w:rPr>
            </w:pPr>
            <w:r w:rsidRPr="00C76857">
              <w:rPr>
                <w:rFonts w:cstheme="minorHAnsi"/>
                <w:color w:val="000000"/>
              </w:rPr>
              <w:t>Bypass Thoracic Aorta, Ascending/Arch to Carotid with Synthetic Substitute, Open Approach</w:t>
            </w:r>
          </w:p>
        </w:tc>
      </w:tr>
      <w:tr w:rsidR="00265AC7" w:rsidRPr="00B83A18" w14:paraId="24435417" w14:textId="77777777" w:rsidTr="002C718A">
        <w:trPr>
          <w:trHeight w:val="300"/>
        </w:trPr>
        <w:tc>
          <w:tcPr>
            <w:tcW w:w="1525" w:type="dxa"/>
            <w:noWrap/>
            <w:vAlign w:val="center"/>
          </w:tcPr>
          <w:p w14:paraId="010BB8E2" w14:textId="02FE336D" w:rsidR="00265AC7" w:rsidRPr="00B83A18" w:rsidRDefault="00265AC7" w:rsidP="00696E8F">
            <w:pPr>
              <w:rPr>
                <w:rFonts w:cs="Arial"/>
                <w:color w:val="000000"/>
              </w:rPr>
            </w:pPr>
            <w:r w:rsidRPr="00C76857">
              <w:rPr>
                <w:rFonts w:cstheme="minorHAnsi"/>
                <w:color w:val="000000"/>
              </w:rPr>
              <w:t>021X0JP</w:t>
            </w:r>
          </w:p>
        </w:tc>
        <w:tc>
          <w:tcPr>
            <w:tcW w:w="8128" w:type="dxa"/>
            <w:noWrap/>
            <w:vAlign w:val="center"/>
          </w:tcPr>
          <w:p w14:paraId="39C06083" w14:textId="6D0782F5" w:rsidR="00265AC7" w:rsidRPr="00B83A18" w:rsidRDefault="00265AC7" w:rsidP="00696E8F">
            <w:pPr>
              <w:rPr>
                <w:rFonts w:cs="Arial"/>
                <w:color w:val="000000"/>
              </w:rPr>
            </w:pPr>
            <w:r w:rsidRPr="00C76857">
              <w:rPr>
                <w:rFonts w:cstheme="minorHAnsi"/>
                <w:color w:val="000000"/>
              </w:rPr>
              <w:t>Bypass Thoracic Aorta, Ascending/Arch to Pulmonary Trunk with Synthetic Substitute, Open Approach</w:t>
            </w:r>
          </w:p>
        </w:tc>
      </w:tr>
      <w:tr w:rsidR="00265AC7" w:rsidRPr="00B83A18" w14:paraId="29CFF8FF" w14:textId="77777777" w:rsidTr="002C718A">
        <w:trPr>
          <w:trHeight w:val="300"/>
        </w:trPr>
        <w:tc>
          <w:tcPr>
            <w:tcW w:w="1525" w:type="dxa"/>
            <w:noWrap/>
            <w:vAlign w:val="center"/>
          </w:tcPr>
          <w:p w14:paraId="12B74B27" w14:textId="5437F135" w:rsidR="00265AC7" w:rsidRPr="00B83A18" w:rsidRDefault="00265AC7" w:rsidP="00696E8F">
            <w:pPr>
              <w:rPr>
                <w:rFonts w:cs="Arial"/>
                <w:color w:val="000000"/>
              </w:rPr>
            </w:pPr>
            <w:r w:rsidRPr="00C76857">
              <w:rPr>
                <w:rFonts w:cstheme="minorHAnsi"/>
                <w:color w:val="000000"/>
              </w:rPr>
              <w:t>021X0JQ</w:t>
            </w:r>
          </w:p>
        </w:tc>
        <w:tc>
          <w:tcPr>
            <w:tcW w:w="8128" w:type="dxa"/>
            <w:noWrap/>
            <w:vAlign w:val="center"/>
          </w:tcPr>
          <w:p w14:paraId="1CCAC40D" w14:textId="012D66EF" w:rsidR="00265AC7" w:rsidRPr="00B83A18" w:rsidRDefault="00265AC7" w:rsidP="00696E8F">
            <w:pPr>
              <w:rPr>
                <w:rFonts w:cs="Arial"/>
                <w:color w:val="000000"/>
              </w:rPr>
            </w:pPr>
            <w:r w:rsidRPr="00C76857">
              <w:rPr>
                <w:rFonts w:cstheme="minorHAnsi"/>
                <w:color w:val="000000"/>
              </w:rPr>
              <w:t>Bypass Thoracic Aorta, Ascending/Arch to Right Pulmonary Artery with Synthetic Substitute, Open Approach</w:t>
            </w:r>
          </w:p>
        </w:tc>
      </w:tr>
      <w:tr w:rsidR="00265AC7" w:rsidRPr="00B83A18" w14:paraId="65AC60BF" w14:textId="77777777" w:rsidTr="002C718A">
        <w:trPr>
          <w:trHeight w:val="300"/>
        </w:trPr>
        <w:tc>
          <w:tcPr>
            <w:tcW w:w="1525" w:type="dxa"/>
            <w:noWrap/>
            <w:vAlign w:val="center"/>
          </w:tcPr>
          <w:p w14:paraId="05961937" w14:textId="45D288C9" w:rsidR="00265AC7" w:rsidRPr="00B83A18" w:rsidRDefault="00265AC7" w:rsidP="00696E8F">
            <w:pPr>
              <w:rPr>
                <w:rFonts w:cs="Arial"/>
                <w:color w:val="000000"/>
              </w:rPr>
            </w:pPr>
            <w:r w:rsidRPr="00C76857">
              <w:rPr>
                <w:rFonts w:cstheme="minorHAnsi"/>
                <w:color w:val="000000"/>
              </w:rPr>
              <w:t>021X0JR</w:t>
            </w:r>
          </w:p>
        </w:tc>
        <w:tc>
          <w:tcPr>
            <w:tcW w:w="8128" w:type="dxa"/>
            <w:noWrap/>
            <w:vAlign w:val="center"/>
          </w:tcPr>
          <w:p w14:paraId="6A51F838" w14:textId="38D65612" w:rsidR="00265AC7" w:rsidRPr="00B83A18" w:rsidRDefault="00265AC7" w:rsidP="00696E8F">
            <w:pPr>
              <w:rPr>
                <w:rFonts w:cs="Arial"/>
                <w:color w:val="000000"/>
              </w:rPr>
            </w:pPr>
            <w:r w:rsidRPr="00C76857">
              <w:rPr>
                <w:rFonts w:cstheme="minorHAnsi"/>
                <w:color w:val="000000"/>
              </w:rPr>
              <w:t>Bypass Thoracic Aorta, Ascending/Arch to Left Pulmonary Artery with Synthetic Substitute, Open Approach</w:t>
            </w:r>
          </w:p>
        </w:tc>
      </w:tr>
      <w:tr w:rsidR="00265AC7" w:rsidRPr="00B83A18" w14:paraId="07D32A6C" w14:textId="77777777" w:rsidTr="002C718A">
        <w:trPr>
          <w:trHeight w:val="300"/>
        </w:trPr>
        <w:tc>
          <w:tcPr>
            <w:tcW w:w="1525" w:type="dxa"/>
            <w:noWrap/>
            <w:vAlign w:val="center"/>
          </w:tcPr>
          <w:p w14:paraId="4A6B0B70" w14:textId="11B0C7AF" w:rsidR="00265AC7" w:rsidRPr="00B83A18" w:rsidRDefault="00265AC7" w:rsidP="00696E8F">
            <w:pPr>
              <w:rPr>
                <w:rFonts w:cs="Arial"/>
                <w:color w:val="000000"/>
              </w:rPr>
            </w:pPr>
            <w:r w:rsidRPr="00C76857">
              <w:rPr>
                <w:rFonts w:cstheme="minorHAnsi"/>
                <w:color w:val="000000"/>
              </w:rPr>
              <w:t>021X0KA</w:t>
            </w:r>
          </w:p>
        </w:tc>
        <w:tc>
          <w:tcPr>
            <w:tcW w:w="8128" w:type="dxa"/>
            <w:noWrap/>
            <w:vAlign w:val="center"/>
          </w:tcPr>
          <w:p w14:paraId="07A2B3AA" w14:textId="45E94191" w:rsidR="00265AC7" w:rsidRPr="00B83A18" w:rsidRDefault="00265AC7" w:rsidP="00696E8F">
            <w:pPr>
              <w:rPr>
                <w:rFonts w:cs="Arial"/>
                <w:color w:val="000000"/>
              </w:rPr>
            </w:pPr>
            <w:r w:rsidRPr="00C76857">
              <w:rPr>
                <w:rFonts w:cstheme="minorHAnsi"/>
                <w:color w:val="000000"/>
              </w:rPr>
              <w:t>Bypass Thoracic Aorta, Ascending/Arch to Innominate Artery with Nonautologous Tissue Substitute, Open Approach</w:t>
            </w:r>
          </w:p>
        </w:tc>
      </w:tr>
      <w:tr w:rsidR="00265AC7" w:rsidRPr="00B83A18" w14:paraId="6D33C61D" w14:textId="77777777" w:rsidTr="002C718A">
        <w:trPr>
          <w:trHeight w:val="300"/>
        </w:trPr>
        <w:tc>
          <w:tcPr>
            <w:tcW w:w="1525" w:type="dxa"/>
            <w:noWrap/>
            <w:vAlign w:val="center"/>
          </w:tcPr>
          <w:p w14:paraId="635A4A62" w14:textId="20852BF9" w:rsidR="00265AC7" w:rsidRPr="00B83A18" w:rsidRDefault="00265AC7" w:rsidP="00696E8F">
            <w:pPr>
              <w:rPr>
                <w:rFonts w:cs="Arial"/>
                <w:color w:val="000000"/>
              </w:rPr>
            </w:pPr>
            <w:r w:rsidRPr="00C76857">
              <w:rPr>
                <w:rFonts w:cstheme="minorHAnsi"/>
                <w:color w:val="000000"/>
              </w:rPr>
              <w:t>021X0KB</w:t>
            </w:r>
          </w:p>
        </w:tc>
        <w:tc>
          <w:tcPr>
            <w:tcW w:w="8128" w:type="dxa"/>
            <w:noWrap/>
            <w:vAlign w:val="center"/>
          </w:tcPr>
          <w:p w14:paraId="19E47A47" w14:textId="2FF4B032" w:rsidR="00265AC7" w:rsidRPr="00B83A18" w:rsidRDefault="00265AC7" w:rsidP="00696E8F">
            <w:pPr>
              <w:rPr>
                <w:rFonts w:cs="Arial"/>
                <w:color w:val="000000"/>
              </w:rPr>
            </w:pPr>
            <w:r w:rsidRPr="00C76857">
              <w:rPr>
                <w:rFonts w:cstheme="minorHAnsi"/>
                <w:color w:val="000000"/>
              </w:rPr>
              <w:t>Bypass Thoracic Aorta, Ascending/Arch to Subclavian with Nonautologous Tissue Substitute, Open Approach</w:t>
            </w:r>
          </w:p>
        </w:tc>
      </w:tr>
      <w:tr w:rsidR="00265AC7" w:rsidRPr="00B83A18" w14:paraId="5062EC40" w14:textId="77777777" w:rsidTr="002C718A">
        <w:trPr>
          <w:trHeight w:val="300"/>
        </w:trPr>
        <w:tc>
          <w:tcPr>
            <w:tcW w:w="1525" w:type="dxa"/>
            <w:noWrap/>
            <w:vAlign w:val="center"/>
          </w:tcPr>
          <w:p w14:paraId="1E3DA46A" w14:textId="5918459B" w:rsidR="00265AC7" w:rsidRPr="00B83A18" w:rsidRDefault="00265AC7" w:rsidP="00696E8F">
            <w:pPr>
              <w:rPr>
                <w:rFonts w:cs="Arial"/>
                <w:color w:val="000000"/>
              </w:rPr>
            </w:pPr>
            <w:r w:rsidRPr="00C76857">
              <w:rPr>
                <w:rFonts w:cstheme="minorHAnsi"/>
                <w:color w:val="000000"/>
              </w:rPr>
              <w:t>021X0KD</w:t>
            </w:r>
          </w:p>
        </w:tc>
        <w:tc>
          <w:tcPr>
            <w:tcW w:w="8128" w:type="dxa"/>
            <w:noWrap/>
            <w:vAlign w:val="center"/>
          </w:tcPr>
          <w:p w14:paraId="3DD93214" w14:textId="1333242D" w:rsidR="00265AC7" w:rsidRPr="00B83A18" w:rsidRDefault="00265AC7" w:rsidP="00696E8F">
            <w:pPr>
              <w:rPr>
                <w:rFonts w:cs="Arial"/>
                <w:color w:val="000000"/>
              </w:rPr>
            </w:pPr>
            <w:r w:rsidRPr="00C76857">
              <w:rPr>
                <w:rFonts w:cstheme="minorHAnsi"/>
                <w:color w:val="000000"/>
              </w:rPr>
              <w:t>Bypass Thoracic Aorta, Ascending/Arch to Carotid with Nonautologous Tissue Substitute, Open Approach</w:t>
            </w:r>
          </w:p>
        </w:tc>
      </w:tr>
      <w:tr w:rsidR="00265AC7" w:rsidRPr="00B83A18" w14:paraId="2E2CEBE9" w14:textId="77777777" w:rsidTr="002C718A">
        <w:trPr>
          <w:trHeight w:val="300"/>
        </w:trPr>
        <w:tc>
          <w:tcPr>
            <w:tcW w:w="1525" w:type="dxa"/>
            <w:noWrap/>
            <w:vAlign w:val="center"/>
          </w:tcPr>
          <w:p w14:paraId="0E92E1E3" w14:textId="2BFF9629" w:rsidR="00265AC7" w:rsidRPr="00B83A18" w:rsidRDefault="00265AC7" w:rsidP="00696E8F">
            <w:pPr>
              <w:rPr>
                <w:rFonts w:cs="Arial"/>
                <w:color w:val="000000"/>
              </w:rPr>
            </w:pPr>
            <w:r w:rsidRPr="00C76857">
              <w:rPr>
                <w:rFonts w:cstheme="minorHAnsi"/>
                <w:color w:val="000000"/>
              </w:rPr>
              <w:t>021X0KP</w:t>
            </w:r>
          </w:p>
        </w:tc>
        <w:tc>
          <w:tcPr>
            <w:tcW w:w="8128" w:type="dxa"/>
            <w:noWrap/>
            <w:vAlign w:val="center"/>
          </w:tcPr>
          <w:p w14:paraId="33F08BB8" w14:textId="07306523" w:rsidR="00265AC7" w:rsidRPr="00B83A18" w:rsidRDefault="00265AC7" w:rsidP="00696E8F">
            <w:pPr>
              <w:rPr>
                <w:rFonts w:cs="Arial"/>
                <w:color w:val="000000"/>
              </w:rPr>
            </w:pPr>
            <w:r w:rsidRPr="00C76857">
              <w:rPr>
                <w:rFonts w:cstheme="minorHAnsi"/>
                <w:color w:val="000000"/>
              </w:rPr>
              <w:t>Bypass Thoracic Aorta, Ascending/Arch to Pulmonary Trunk with Nonautologous Tissue Substitute, Open Approach</w:t>
            </w:r>
          </w:p>
        </w:tc>
      </w:tr>
      <w:tr w:rsidR="00265AC7" w:rsidRPr="00B83A18" w14:paraId="5963094B" w14:textId="77777777" w:rsidTr="002C718A">
        <w:trPr>
          <w:trHeight w:val="300"/>
        </w:trPr>
        <w:tc>
          <w:tcPr>
            <w:tcW w:w="1525" w:type="dxa"/>
            <w:noWrap/>
            <w:vAlign w:val="center"/>
          </w:tcPr>
          <w:p w14:paraId="25BD6657" w14:textId="66A492B4" w:rsidR="00265AC7" w:rsidRPr="00B83A18" w:rsidRDefault="00265AC7" w:rsidP="00696E8F">
            <w:pPr>
              <w:rPr>
                <w:rFonts w:cs="Arial"/>
                <w:color w:val="000000"/>
              </w:rPr>
            </w:pPr>
            <w:r w:rsidRPr="00C76857">
              <w:rPr>
                <w:rFonts w:cstheme="minorHAnsi"/>
                <w:color w:val="000000"/>
              </w:rPr>
              <w:t>021X0KQ</w:t>
            </w:r>
          </w:p>
        </w:tc>
        <w:tc>
          <w:tcPr>
            <w:tcW w:w="8128" w:type="dxa"/>
            <w:noWrap/>
            <w:vAlign w:val="center"/>
          </w:tcPr>
          <w:p w14:paraId="6E0BE527" w14:textId="529CFCEC" w:rsidR="00265AC7" w:rsidRPr="00B83A18" w:rsidRDefault="00265AC7" w:rsidP="00696E8F">
            <w:pPr>
              <w:rPr>
                <w:rFonts w:cs="Arial"/>
                <w:color w:val="000000"/>
              </w:rPr>
            </w:pPr>
            <w:r w:rsidRPr="00C76857">
              <w:rPr>
                <w:rFonts w:cstheme="minorHAnsi"/>
                <w:color w:val="000000"/>
              </w:rPr>
              <w:t>Bypass Thoracic Aorta, Ascending/Arch to Right Pulmonary Artery with Nonautologous Tissue Substitute, Open Approach</w:t>
            </w:r>
          </w:p>
        </w:tc>
      </w:tr>
      <w:tr w:rsidR="00265AC7" w:rsidRPr="00B83A18" w14:paraId="4F14E4B3" w14:textId="77777777" w:rsidTr="002C718A">
        <w:trPr>
          <w:trHeight w:val="300"/>
        </w:trPr>
        <w:tc>
          <w:tcPr>
            <w:tcW w:w="1525" w:type="dxa"/>
            <w:noWrap/>
            <w:vAlign w:val="center"/>
          </w:tcPr>
          <w:p w14:paraId="47F893BE" w14:textId="6B9FDB66" w:rsidR="00265AC7" w:rsidRPr="00B83A18" w:rsidRDefault="00265AC7" w:rsidP="00696E8F">
            <w:pPr>
              <w:rPr>
                <w:rFonts w:cs="Arial"/>
                <w:color w:val="000000"/>
              </w:rPr>
            </w:pPr>
            <w:r w:rsidRPr="00C76857">
              <w:rPr>
                <w:rFonts w:cstheme="minorHAnsi"/>
                <w:color w:val="000000"/>
              </w:rPr>
              <w:t>021X0KR</w:t>
            </w:r>
          </w:p>
        </w:tc>
        <w:tc>
          <w:tcPr>
            <w:tcW w:w="8128" w:type="dxa"/>
            <w:noWrap/>
            <w:vAlign w:val="center"/>
          </w:tcPr>
          <w:p w14:paraId="2648BA04" w14:textId="6EB0C6F2" w:rsidR="00265AC7" w:rsidRPr="00B83A18" w:rsidRDefault="00265AC7" w:rsidP="00696E8F">
            <w:pPr>
              <w:rPr>
                <w:rFonts w:cs="Arial"/>
                <w:color w:val="000000"/>
              </w:rPr>
            </w:pPr>
            <w:r w:rsidRPr="00C76857">
              <w:rPr>
                <w:rFonts w:cstheme="minorHAnsi"/>
                <w:color w:val="000000"/>
              </w:rPr>
              <w:t>Bypass Thoracic Aorta, Ascending/Arch to Left Pulmonary Artery with Nonautologous Tissue Substitute, Open Approach</w:t>
            </w:r>
          </w:p>
        </w:tc>
      </w:tr>
      <w:tr w:rsidR="00265AC7" w:rsidRPr="00B83A18" w14:paraId="15C601E9" w14:textId="77777777" w:rsidTr="002C718A">
        <w:trPr>
          <w:trHeight w:val="300"/>
        </w:trPr>
        <w:tc>
          <w:tcPr>
            <w:tcW w:w="1525" w:type="dxa"/>
            <w:noWrap/>
            <w:vAlign w:val="center"/>
          </w:tcPr>
          <w:p w14:paraId="67EF4F2D" w14:textId="0ECD2B87" w:rsidR="00265AC7" w:rsidRPr="00B83A18" w:rsidRDefault="00265AC7" w:rsidP="00696E8F">
            <w:pPr>
              <w:rPr>
                <w:rFonts w:cs="Arial"/>
                <w:color w:val="000000"/>
              </w:rPr>
            </w:pPr>
            <w:r w:rsidRPr="00C76857">
              <w:rPr>
                <w:rFonts w:cstheme="minorHAnsi"/>
                <w:color w:val="000000"/>
              </w:rPr>
              <w:t>021X0ZA</w:t>
            </w:r>
          </w:p>
        </w:tc>
        <w:tc>
          <w:tcPr>
            <w:tcW w:w="8128" w:type="dxa"/>
            <w:noWrap/>
            <w:vAlign w:val="center"/>
          </w:tcPr>
          <w:p w14:paraId="62BD5DD8" w14:textId="700B8606" w:rsidR="00265AC7" w:rsidRPr="00B83A18" w:rsidRDefault="00265AC7" w:rsidP="00696E8F">
            <w:pPr>
              <w:rPr>
                <w:rFonts w:cs="Arial"/>
                <w:color w:val="000000"/>
              </w:rPr>
            </w:pPr>
            <w:r w:rsidRPr="00C76857">
              <w:rPr>
                <w:rFonts w:cstheme="minorHAnsi"/>
                <w:color w:val="000000"/>
              </w:rPr>
              <w:t>Bypass Thoracic Aorta, Ascending/Arch to Innominate Artery, Open Approach</w:t>
            </w:r>
          </w:p>
        </w:tc>
      </w:tr>
      <w:tr w:rsidR="00265AC7" w:rsidRPr="00B83A18" w14:paraId="26E1E3A5" w14:textId="77777777" w:rsidTr="002C718A">
        <w:trPr>
          <w:trHeight w:val="300"/>
        </w:trPr>
        <w:tc>
          <w:tcPr>
            <w:tcW w:w="1525" w:type="dxa"/>
            <w:noWrap/>
            <w:vAlign w:val="center"/>
          </w:tcPr>
          <w:p w14:paraId="6A22CDAA" w14:textId="052185ED" w:rsidR="00265AC7" w:rsidRPr="00B83A18" w:rsidRDefault="00265AC7" w:rsidP="00696E8F">
            <w:pPr>
              <w:rPr>
                <w:rFonts w:cs="Arial"/>
                <w:color w:val="000000"/>
              </w:rPr>
            </w:pPr>
            <w:r w:rsidRPr="00C76857">
              <w:rPr>
                <w:rFonts w:cstheme="minorHAnsi"/>
                <w:color w:val="000000"/>
              </w:rPr>
              <w:t>021X0ZB</w:t>
            </w:r>
          </w:p>
        </w:tc>
        <w:tc>
          <w:tcPr>
            <w:tcW w:w="8128" w:type="dxa"/>
            <w:noWrap/>
            <w:vAlign w:val="center"/>
          </w:tcPr>
          <w:p w14:paraId="5438ECD1" w14:textId="721B7E61" w:rsidR="00265AC7" w:rsidRPr="00B83A18" w:rsidRDefault="00265AC7" w:rsidP="00696E8F">
            <w:pPr>
              <w:rPr>
                <w:rFonts w:cs="Arial"/>
                <w:color w:val="000000"/>
              </w:rPr>
            </w:pPr>
            <w:r w:rsidRPr="00C76857">
              <w:rPr>
                <w:rFonts w:cstheme="minorHAnsi"/>
                <w:color w:val="000000"/>
              </w:rPr>
              <w:t>Bypass Thoracic Aorta, Ascending/Arch to Subclavian, Open Approach</w:t>
            </w:r>
          </w:p>
        </w:tc>
      </w:tr>
      <w:tr w:rsidR="00265AC7" w:rsidRPr="00B83A18" w14:paraId="431B8FD1" w14:textId="77777777" w:rsidTr="002C718A">
        <w:trPr>
          <w:trHeight w:val="300"/>
        </w:trPr>
        <w:tc>
          <w:tcPr>
            <w:tcW w:w="1525" w:type="dxa"/>
            <w:noWrap/>
            <w:vAlign w:val="center"/>
          </w:tcPr>
          <w:p w14:paraId="78EBFD6E" w14:textId="23CC52AA" w:rsidR="00265AC7" w:rsidRPr="00B83A18" w:rsidRDefault="00265AC7" w:rsidP="00696E8F">
            <w:pPr>
              <w:rPr>
                <w:rFonts w:cs="Arial"/>
                <w:color w:val="000000"/>
              </w:rPr>
            </w:pPr>
            <w:r w:rsidRPr="00C76857">
              <w:rPr>
                <w:rFonts w:cstheme="minorHAnsi"/>
                <w:color w:val="000000"/>
              </w:rPr>
              <w:t>021X0ZD</w:t>
            </w:r>
          </w:p>
        </w:tc>
        <w:tc>
          <w:tcPr>
            <w:tcW w:w="8128" w:type="dxa"/>
            <w:noWrap/>
            <w:vAlign w:val="center"/>
          </w:tcPr>
          <w:p w14:paraId="1066641E" w14:textId="708C0E4F" w:rsidR="00265AC7" w:rsidRPr="00B83A18" w:rsidRDefault="00265AC7" w:rsidP="00696E8F">
            <w:pPr>
              <w:rPr>
                <w:rFonts w:cs="Arial"/>
                <w:color w:val="000000"/>
              </w:rPr>
            </w:pPr>
            <w:r w:rsidRPr="00C76857">
              <w:rPr>
                <w:rFonts w:cstheme="minorHAnsi"/>
                <w:color w:val="000000"/>
              </w:rPr>
              <w:t>Bypass Thoracic Aorta, Ascending/Arch to Carotid, Open Approach</w:t>
            </w:r>
          </w:p>
        </w:tc>
      </w:tr>
      <w:tr w:rsidR="00265AC7" w:rsidRPr="00B83A18" w14:paraId="043B62AD" w14:textId="77777777" w:rsidTr="002C718A">
        <w:trPr>
          <w:trHeight w:val="300"/>
        </w:trPr>
        <w:tc>
          <w:tcPr>
            <w:tcW w:w="1525" w:type="dxa"/>
            <w:noWrap/>
            <w:vAlign w:val="center"/>
          </w:tcPr>
          <w:p w14:paraId="1F4E7AFC" w14:textId="480DE2A3" w:rsidR="00265AC7" w:rsidRPr="00B83A18" w:rsidRDefault="00265AC7" w:rsidP="00696E8F">
            <w:pPr>
              <w:rPr>
                <w:rFonts w:cs="Arial"/>
                <w:color w:val="000000"/>
              </w:rPr>
            </w:pPr>
            <w:r w:rsidRPr="00C76857">
              <w:rPr>
                <w:rFonts w:cstheme="minorHAnsi"/>
                <w:color w:val="000000"/>
              </w:rPr>
              <w:t>021X0ZP</w:t>
            </w:r>
          </w:p>
        </w:tc>
        <w:tc>
          <w:tcPr>
            <w:tcW w:w="8128" w:type="dxa"/>
            <w:noWrap/>
            <w:vAlign w:val="center"/>
          </w:tcPr>
          <w:p w14:paraId="20D0C5A7" w14:textId="57BC5D75" w:rsidR="00265AC7" w:rsidRPr="00B83A18" w:rsidRDefault="00265AC7" w:rsidP="00696E8F">
            <w:pPr>
              <w:rPr>
                <w:rFonts w:cs="Arial"/>
                <w:color w:val="000000"/>
              </w:rPr>
            </w:pPr>
            <w:r w:rsidRPr="00C76857">
              <w:rPr>
                <w:rFonts w:cstheme="minorHAnsi"/>
                <w:color w:val="000000"/>
              </w:rPr>
              <w:t>Bypass Thoracic Aorta, Ascending/Arch to Pulmonary Trunk, Open Approach</w:t>
            </w:r>
          </w:p>
        </w:tc>
      </w:tr>
      <w:tr w:rsidR="00265AC7" w:rsidRPr="00B83A18" w14:paraId="1E2AEF43" w14:textId="77777777" w:rsidTr="002C718A">
        <w:trPr>
          <w:trHeight w:val="300"/>
        </w:trPr>
        <w:tc>
          <w:tcPr>
            <w:tcW w:w="1525" w:type="dxa"/>
            <w:noWrap/>
            <w:vAlign w:val="center"/>
          </w:tcPr>
          <w:p w14:paraId="78DD9052" w14:textId="705A2DF6" w:rsidR="00265AC7" w:rsidRPr="00B83A18" w:rsidRDefault="00265AC7" w:rsidP="00696E8F">
            <w:pPr>
              <w:rPr>
                <w:rFonts w:cs="Arial"/>
                <w:color w:val="000000"/>
              </w:rPr>
            </w:pPr>
            <w:r w:rsidRPr="00C76857">
              <w:rPr>
                <w:rFonts w:cstheme="minorHAnsi"/>
                <w:color w:val="000000"/>
              </w:rPr>
              <w:t>021X0ZQ</w:t>
            </w:r>
          </w:p>
        </w:tc>
        <w:tc>
          <w:tcPr>
            <w:tcW w:w="8128" w:type="dxa"/>
            <w:noWrap/>
            <w:vAlign w:val="center"/>
          </w:tcPr>
          <w:p w14:paraId="66F69E7C" w14:textId="4EA23C1D" w:rsidR="00265AC7" w:rsidRPr="00B83A18" w:rsidRDefault="00265AC7" w:rsidP="00696E8F">
            <w:pPr>
              <w:rPr>
                <w:rFonts w:cs="Arial"/>
                <w:color w:val="000000"/>
              </w:rPr>
            </w:pPr>
            <w:r w:rsidRPr="00C76857">
              <w:rPr>
                <w:rFonts w:cstheme="minorHAnsi"/>
                <w:color w:val="000000"/>
              </w:rPr>
              <w:t>Bypass Thoracic Aorta, Ascending/Arch to Right Pulmonary Artery, Open Approach</w:t>
            </w:r>
          </w:p>
        </w:tc>
      </w:tr>
      <w:tr w:rsidR="00265AC7" w:rsidRPr="00B83A18" w14:paraId="4E56D361" w14:textId="77777777" w:rsidTr="002C718A">
        <w:trPr>
          <w:trHeight w:val="300"/>
        </w:trPr>
        <w:tc>
          <w:tcPr>
            <w:tcW w:w="1525" w:type="dxa"/>
            <w:noWrap/>
            <w:vAlign w:val="center"/>
          </w:tcPr>
          <w:p w14:paraId="574776B8" w14:textId="40E90737" w:rsidR="00265AC7" w:rsidRPr="00B83A18" w:rsidRDefault="00265AC7" w:rsidP="00696E8F">
            <w:pPr>
              <w:rPr>
                <w:rFonts w:cs="Arial"/>
                <w:color w:val="000000"/>
              </w:rPr>
            </w:pPr>
            <w:r w:rsidRPr="00C76857">
              <w:rPr>
                <w:rFonts w:cstheme="minorHAnsi"/>
                <w:color w:val="000000"/>
              </w:rPr>
              <w:t>021X0ZR</w:t>
            </w:r>
          </w:p>
        </w:tc>
        <w:tc>
          <w:tcPr>
            <w:tcW w:w="8128" w:type="dxa"/>
            <w:noWrap/>
            <w:vAlign w:val="center"/>
          </w:tcPr>
          <w:p w14:paraId="6BA259AB" w14:textId="46C6AB49" w:rsidR="00265AC7" w:rsidRPr="00B83A18" w:rsidRDefault="00265AC7" w:rsidP="00696E8F">
            <w:pPr>
              <w:rPr>
                <w:rFonts w:cs="Arial"/>
                <w:color w:val="000000"/>
              </w:rPr>
            </w:pPr>
            <w:r w:rsidRPr="00C76857">
              <w:rPr>
                <w:rFonts w:cstheme="minorHAnsi"/>
                <w:color w:val="000000"/>
              </w:rPr>
              <w:t>Bypass Thoracic Aorta, Ascending/Arch to Left Pulmonary Artery, Open Approach</w:t>
            </w:r>
          </w:p>
        </w:tc>
      </w:tr>
      <w:tr w:rsidR="00265AC7" w:rsidRPr="00B83A18" w14:paraId="3AFE63F0" w14:textId="77777777" w:rsidTr="002C718A">
        <w:trPr>
          <w:trHeight w:val="300"/>
        </w:trPr>
        <w:tc>
          <w:tcPr>
            <w:tcW w:w="1525" w:type="dxa"/>
            <w:noWrap/>
            <w:vAlign w:val="center"/>
            <w:hideMark/>
          </w:tcPr>
          <w:p w14:paraId="4DD497D0" w14:textId="77777777" w:rsidR="00265AC7" w:rsidRPr="00B83A18" w:rsidRDefault="00265AC7" w:rsidP="00696E8F">
            <w:pPr>
              <w:rPr>
                <w:rFonts w:cs="Arial"/>
                <w:color w:val="000000"/>
              </w:rPr>
            </w:pPr>
            <w:r w:rsidRPr="00B83A18">
              <w:rPr>
                <w:rFonts w:cs="Arial"/>
                <w:color w:val="000000"/>
              </w:rPr>
              <w:t>02BW0ZX</w:t>
            </w:r>
          </w:p>
        </w:tc>
        <w:tc>
          <w:tcPr>
            <w:tcW w:w="8128" w:type="dxa"/>
            <w:noWrap/>
            <w:vAlign w:val="center"/>
            <w:hideMark/>
          </w:tcPr>
          <w:p w14:paraId="6FD0DEC0" w14:textId="77777777" w:rsidR="00265AC7" w:rsidRPr="00B83A18" w:rsidRDefault="00265AC7" w:rsidP="00696E8F">
            <w:pPr>
              <w:rPr>
                <w:rFonts w:cs="Arial"/>
                <w:color w:val="000000"/>
              </w:rPr>
            </w:pPr>
            <w:r w:rsidRPr="00B83A18">
              <w:rPr>
                <w:rFonts w:cs="Arial"/>
                <w:color w:val="000000"/>
              </w:rPr>
              <w:t>Excision of Thoracic Aorta, Descending, Open Approach, Diagnostic</w:t>
            </w:r>
          </w:p>
        </w:tc>
      </w:tr>
      <w:tr w:rsidR="00265AC7" w:rsidRPr="00B83A18" w14:paraId="4AB271AB" w14:textId="77777777" w:rsidTr="002C718A">
        <w:trPr>
          <w:trHeight w:val="300"/>
        </w:trPr>
        <w:tc>
          <w:tcPr>
            <w:tcW w:w="1525" w:type="dxa"/>
            <w:noWrap/>
            <w:vAlign w:val="center"/>
            <w:hideMark/>
          </w:tcPr>
          <w:p w14:paraId="4C4CAF26" w14:textId="77777777" w:rsidR="00265AC7" w:rsidRPr="00B83A18" w:rsidRDefault="00265AC7" w:rsidP="00696E8F">
            <w:pPr>
              <w:rPr>
                <w:rFonts w:cs="Arial"/>
                <w:color w:val="000000"/>
              </w:rPr>
            </w:pPr>
            <w:r w:rsidRPr="00B83A18">
              <w:rPr>
                <w:rFonts w:cs="Arial"/>
                <w:color w:val="000000"/>
              </w:rPr>
              <w:t>02BW0ZZ</w:t>
            </w:r>
          </w:p>
        </w:tc>
        <w:tc>
          <w:tcPr>
            <w:tcW w:w="8128" w:type="dxa"/>
            <w:noWrap/>
            <w:vAlign w:val="center"/>
            <w:hideMark/>
          </w:tcPr>
          <w:p w14:paraId="34E83127" w14:textId="77777777" w:rsidR="00265AC7" w:rsidRPr="00B83A18" w:rsidRDefault="00265AC7" w:rsidP="00696E8F">
            <w:pPr>
              <w:rPr>
                <w:rFonts w:cs="Arial"/>
                <w:color w:val="000000"/>
              </w:rPr>
            </w:pPr>
            <w:r w:rsidRPr="00B83A18">
              <w:rPr>
                <w:rFonts w:cs="Arial"/>
                <w:color w:val="000000"/>
              </w:rPr>
              <w:t>Excision of Thoracic Aorta, Descending, Open Approach</w:t>
            </w:r>
          </w:p>
        </w:tc>
      </w:tr>
      <w:tr w:rsidR="007D419B" w:rsidRPr="00B83A18" w14:paraId="700950CE" w14:textId="77777777" w:rsidTr="002C718A">
        <w:trPr>
          <w:trHeight w:val="300"/>
        </w:trPr>
        <w:tc>
          <w:tcPr>
            <w:tcW w:w="1525" w:type="dxa"/>
            <w:noWrap/>
            <w:vAlign w:val="center"/>
          </w:tcPr>
          <w:p w14:paraId="1400F41D" w14:textId="3F5BCE03" w:rsidR="007D419B" w:rsidRPr="00B83A18" w:rsidRDefault="007D419B" w:rsidP="00696E8F">
            <w:pPr>
              <w:rPr>
                <w:rFonts w:cs="Arial"/>
                <w:color w:val="000000"/>
              </w:rPr>
            </w:pPr>
            <w:r w:rsidRPr="00C76857">
              <w:rPr>
                <w:rFonts w:cstheme="minorHAnsi"/>
                <w:color w:val="000000"/>
              </w:rPr>
              <w:lastRenderedPageBreak/>
              <w:t>02BX0ZX</w:t>
            </w:r>
          </w:p>
        </w:tc>
        <w:tc>
          <w:tcPr>
            <w:tcW w:w="8128" w:type="dxa"/>
            <w:noWrap/>
            <w:vAlign w:val="center"/>
          </w:tcPr>
          <w:p w14:paraId="03A1C4D8" w14:textId="3FFB2254" w:rsidR="007D419B" w:rsidRPr="00B83A18" w:rsidRDefault="007D419B" w:rsidP="00696E8F">
            <w:pPr>
              <w:rPr>
                <w:rFonts w:cs="Arial"/>
                <w:color w:val="000000"/>
              </w:rPr>
            </w:pPr>
            <w:r w:rsidRPr="00C76857">
              <w:rPr>
                <w:rFonts w:cstheme="minorHAnsi"/>
                <w:color w:val="000000"/>
              </w:rPr>
              <w:t>Excision of Thoracic Aorta, Ascending/Arch, Open Approach, Diagnostic</w:t>
            </w:r>
          </w:p>
        </w:tc>
      </w:tr>
      <w:tr w:rsidR="007D419B" w:rsidRPr="00B83A18" w14:paraId="66C9C079" w14:textId="77777777" w:rsidTr="002C718A">
        <w:trPr>
          <w:trHeight w:val="300"/>
        </w:trPr>
        <w:tc>
          <w:tcPr>
            <w:tcW w:w="1525" w:type="dxa"/>
            <w:noWrap/>
            <w:vAlign w:val="center"/>
          </w:tcPr>
          <w:p w14:paraId="5BF1A9C2" w14:textId="2060D72B" w:rsidR="007D419B" w:rsidRPr="00B83A18" w:rsidRDefault="007D419B" w:rsidP="00696E8F">
            <w:pPr>
              <w:rPr>
                <w:rFonts w:cs="Arial"/>
                <w:color w:val="000000"/>
              </w:rPr>
            </w:pPr>
            <w:r w:rsidRPr="00C76857">
              <w:rPr>
                <w:rFonts w:cstheme="minorHAnsi"/>
                <w:color w:val="000000"/>
              </w:rPr>
              <w:t>02BX0ZZ</w:t>
            </w:r>
          </w:p>
        </w:tc>
        <w:tc>
          <w:tcPr>
            <w:tcW w:w="8128" w:type="dxa"/>
            <w:noWrap/>
            <w:vAlign w:val="center"/>
          </w:tcPr>
          <w:p w14:paraId="610A64CC" w14:textId="3E2B609E" w:rsidR="007D419B" w:rsidRPr="00B83A18" w:rsidRDefault="007D419B" w:rsidP="00696E8F">
            <w:pPr>
              <w:rPr>
                <w:rFonts w:cs="Arial"/>
                <w:color w:val="000000"/>
              </w:rPr>
            </w:pPr>
            <w:r w:rsidRPr="00C76857">
              <w:rPr>
                <w:rFonts w:cstheme="minorHAnsi"/>
                <w:color w:val="000000"/>
              </w:rPr>
              <w:t>Excision of Thoracic Aorta, Ascending/Arch, Open Approach</w:t>
            </w:r>
          </w:p>
        </w:tc>
      </w:tr>
      <w:tr w:rsidR="007D419B" w:rsidRPr="00B83A18" w14:paraId="7E0F73F2" w14:textId="77777777" w:rsidTr="002C718A">
        <w:trPr>
          <w:trHeight w:val="300"/>
        </w:trPr>
        <w:tc>
          <w:tcPr>
            <w:tcW w:w="1525" w:type="dxa"/>
            <w:noWrap/>
            <w:vAlign w:val="center"/>
            <w:hideMark/>
          </w:tcPr>
          <w:p w14:paraId="62920DA6" w14:textId="77777777" w:rsidR="007D419B" w:rsidRPr="00B83A18" w:rsidRDefault="007D419B" w:rsidP="00696E8F">
            <w:pPr>
              <w:rPr>
                <w:rFonts w:cs="Arial"/>
                <w:color w:val="000000"/>
              </w:rPr>
            </w:pPr>
            <w:r w:rsidRPr="00B83A18">
              <w:rPr>
                <w:rFonts w:cs="Arial"/>
                <w:color w:val="000000"/>
              </w:rPr>
              <w:t>02QW0ZZ</w:t>
            </w:r>
          </w:p>
        </w:tc>
        <w:tc>
          <w:tcPr>
            <w:tcW w:w="8128" w:type="dxa"/>
            <w:noWrap/>
            <w:vAlign w:val="center"/>
            <w:hideMark/>
          </w:tcPr>
          <w:p w14:paraId="18227C83" w14:textId="77777777" w:rsidR="007D419B" w:rsidRPr="00B83A18" w:rsidRDefault="007D419B" w:rsidP="00696E8F">
            <w:pPr>
              <w:rPr>
                <w:rFonts w:cs="Arial"/>
                <w:color w:val="000000"/>
              </w:rPr>
            </w:pPr>
            <w:r w:rsidRPr="00B83A18">
              <w:rPr>
                <w:rFonts w:cs="Arial"/>
                <w:color w:val="000000"/>
              </w:rPr>
              <w:t>Repair Thoracic Aorta, Descending, Open Approach</w:t>
            </w:r>
          </w:p>
        </w:tc>
      </w:tr>
      <w:tr w:rsidR="007D419B" w:rsidRPr="00B83A18" w14:paraId="2DE2CD80" w14:textId="77777777" w:rsidTr="002C718A">
        <w:trPr>
          <w:trHeight w:val="300"/>
        </w:trPr>
        <w:tc>
          <w:tcPr>
            <w:tcW w:w="1525" w:type="dxa"/>
            <w:noWrap/>
            <w:vAlign w:val="center"/>
          </w:tcPr>
          <w:p w14:paraId="7881FD84" w14:textId="7B41218C" w:rsidR="007D419B" w:rsidRPr="00B83A18" w:rsidRDefault="007D419B" w:rsidP="00696E8F">
            <w:pPr>
              <w:rPr>
                <w:rFonts w:cs="Arial"/>
                <w:color w:val="000000"/>
              </w:rPr>
            </w:pPr>
            <w:r w:rsidRPr="00C76857">
              <w:rPr>
                <w:rFonts w:cstheme="minorHAnsi"/>
                <w:color w:val="000000"/>
              </w:rPr>
              <w:t>02QX0ZZ</w:t>
            </w:r>
          </w:p>
        </w:tc>
        <w:tc>
          <w:tcPr>
            <w:tcW w:w="8128" w:type="dxa"/>
            <w:noWrap/>
            <w:vAlign w:val="center"/>
          </w:tcPr>
          <w:p w14:paraId="2DE7BA4C" w14:textId="0CB0FFB5" w:rsidR="007D419B" w:rsidRPr="00B83A18" w:rsidRDefault="007D419B" w:rsidP="00696E8F">
            <w:pPr>
              <w:rPr>
                <w:rFonts w:cs="Arial"/>
                <w:color w:val="000000"/>
              </w:rPr>
            </w:pPr>
            <w:r w:rsidRPr="00C76857">
              <w:rPr>
                <w:rFonts w:cstheme="minorHAnsi"/>
                <w:color w:val="000000"/>
              </w:rPr>
              <w:t>Repair Thoracic Aorta, Ascending/Arch, Open Approach</w:t>
            </w:r>
          </w:p>
        </w:tc>
      </w:tr>
      <w:tr w:rsidR="007D419B" w:rsidRPr="00B83A18" w14:paraId="5C771BC5" w14:textId="77777777" w:rsidTr="002C718A">
        <w:trPr>
          <w:trHeight w:val="300"/>
        </w:trPr>
        <w:tc>
          <w:tcPr>
            <w:tcW w:w="1525" w:type="dxa"/>
            <w:noWrap/>
            <w:vAlign w:val="center"/>
            <w:hideMark/>
          </w:tcPr>
          <w:p w14:paraId="31DFFA42" w14:textId="77777777" w:rsidR="007D419B" w:rsidRPr="00B83A18" w:rsidRDefault="007D419B" w:rsidP="00696E8F">
            <w:pPr>
              <w:rPr>
                <w:rFonts w:cs="Arial"/>
                <w:color w:val="000000"/>
              </w:rPr>
            </w:pPr>
            <w:r w:rsidRPr="00B83A18">
              <w:rPr>
                <w:rFonts w:cs="Arial"/>
                <w:color w:val="000000"/>
              </w:rPr>
              <w:t>02RW07Z</w:t>
            </w:r>
          </w:p>
        </w:tc>
        <w:tc>
          <w:tcPr>
            <w:tcW w:w="8128" w:type="dxa"/>
            <w:noWrap/>
            <w:vAlign w:val="center"/>
            <w:hideMark/>
          </w:tcPr>
          <w:p w14:paraId="78908CD1" w14:textId="77777777" w:rsidR="007D419B" w:rsidRPr="00B83A18" w:rsidRDefault="007D419B" w:rsidP="00696E8F">
            <w:pPr>
              <w:rPr>
                <w:rFonts w:cs="Arial"/>
                <w:color w:val="000000"/>
              </w:rPr>
            </w:pPr>
            <w:r w:rsidRPr="00B83A18">
              <w:rPr>
                <w:rFonts w:cs="Arial"/>
                <w:color w:val="000000"/>
              </w:rPr>
              <w:t>Replacement of Thoracic Aorta, Descending with Autologous Tissue Substitute, Open Approach</w:t>
            </w:r>
          </w:p>
        </w:tc>
      </w:tr>
      <w:tr w:rsidR="007D419B" w:rsidRPr="00B83A18" w14:paraId="0641FC5A" w14:textId="77777777" w:rsidTr="002C718A">
        <w:trPr>
          <w:trHeight w:val="300"/>
        </w:trPr>
        <w:tc>
          <w:tcPr>
            <w:tcW w:w="1525" w:type="dxa"/>
            <w:noWrap/>
            <w:vAlign w:val="center"/>
            <w:hideMark/>
          </w:tcPr>
          <w:p w14:paraId="6071397E" w14:textId="77777777" w:rsidR="007D419B" w:rsidRPr="00B83A18" w:rsidRDefault="007D419B" w:rsidP="00696E8F">
            <w:pPr>
              <w:rPr>
                <w:rFonts w:cs="Arial"/>
                <w:color w:val="000000"/>
              </w:rPr>
            </w:pPr>
            <w:r w:rsidRPr="00B83A18">
              <w:rPr>
                <w:rFonts w:cs="Arial"/>
                <w:color w:val="000000"/>
              </w:rPr>
              <w:t>02RW08Z</w:t>
            </w:r>
          </w:p>
        </w:tc>
        <w:tc>
          <w:tcPr>
            <w:tcW w:w="8128" w:type="dxa"/>
            <w:noWrap/>
            <w:vAlign w:val="center"/>
            <w:hideMark/>
          </w:tcPr>
          <w:p w14:paraId="72B78A4F" w14:textId="77777777" w:rsidR="007D419B" w:rsidRPr="00B83A18" w:rsidRDefault="007D419B" w:rsidP="00696E8F">
            <w:pPr>
              <w:rPr>
                <w:rFonts w:cs="Arial"/>
                <w:color w:val="000000"/>
              </w:rPr>
            </w:pPr>
            <w:r w:rsidRPr="00B83A18">
              <w:rPr>
                <w:rFonts w:cs="Arial"/>
                <w:color w:val="000000"/>
              </w:rPr>
              <w:t>Replacement of Thoracic Aorta, Descending with Zooplastic Tissue, Open Approach</w:t>
            </w:r>
          </w:p>
        </w:tc>
      </w:tr>
      <w:tr w:rsidR="007D419B" w:rsidRPr="00B83A18" w14:paraId="004D6356" w14:textId="77777777" w:rsidTr="002C718A">
        <w:trPr>
          <w:trHeight w:val="300"/>
        </w:trPr>
        <w:tc>
          <w:tcPr>
            <w:tcW w:w="1525" w:type="dxa"/>
            <w:noWrap/>
            <w:vAlign w:val="center"/>
            <w:hideMark/>
          </w:tcPr>
          <w:p w14:paraId="2C7AC1B8" w14:textId="77777777" w:rsidR="007D419B" w:rsidRPr="00B83A18" w:rsidRDefault="007D419B" w:rsidP="00696E8F">
            <w:pPr>
              <w:rPr>
                <w:rFonts w:cs="Arial"/>
                <w:color w:val="000000"/>
              </w:rPr>
            </w:pPr>
            <w:r w:rsidRPr="00B83A18">
              <w:rPr>
                <w:rFonts w:cs="Arial"/>
                <w:color w:val="000000"/>
              </w:rPr>
              <w:t>02RW0JZ</w:t>
            </w:r>
          </w:p>
        </w:tc>
        <w:tc>
          <w:tcPr>
            <w:tcW w:w="8128" w:type="dxa"/>
            <w:noWrap/>
            <w:vAlign w:val="center"/>
            <w:hideMark/>
          </w:tcPr>
          <w:p w14:paraId="7C666C15" w14:textId="77777777" w:rsidR="007D419B" w:rsidRPr="00B83A18" w:rsidRDefault="007D419B" w:rsidP="00696E8F">
            <w:pPr>
              <w:rPr>
                <w:rFonts w:cs="Arial"/>
                <w:color w:val="000000"/>
              </w:rPr>
            </w:pPr>
            <w:r w:rsidRPr="00B83A18">
              <w:rPr>
                <w:rFonts w:cs="Arial"/>
                <w:color w:val="000000"/>
              </w:rPr>
              <w:t>Replacement of Thoracic Aorta, Descending with Synthetic Substitute, Open Approach</w:t>
            </w:r>
          </w:p>
        </w:tc>
      </w:tr>
      <w:tr w:rsidR="007D419B" w:rsidRPr="00B83A18" w14:paraId="1AEA4918" w14:textId="77777777" w:rsidTr="002C718A">
        <w:trPr>
          <w:trHeight w:val="300"/>
        </w:trPr>
        <w:tc>
          <w:tcPr>
            <w:tcW w:w="1525" w:type="dxa"/>
            <w:noWrap/>
            <w:vAlign w:val="center"/>
            <w:hideMark/>
          </w:tcPr>
          <w:p w14:paraId="33E8778A" w14:textId="77777777" w:rsidR="007D419B" w:rsidRPr="00B83A18" w:rsidRDefault="007D419B" w:rsidP="00696E8F">
            <w:pPr>
              <w:rPr>
                <w:rFonts w:cs="Arial"/>
                <w:color w:val="000000"/>
              </w:rPr>
            </w:pPr>
            <w:r w:rsidRPr="00B83A18">
              <w:rPr>
                <w:rFonts w:cs="Arial"/>
                <w:color w:val="000000"/>
              </w:rPr>
              <w:t>02RW0KZ</w:t>
            </w:r>
          </w:p>
        </w:tc>
        <w:tc>
          <w:tcPr>
            <w:tcW w:w="8128" w:type="dxa"/>
            <w:noWrap/>
            <w:vAlign w:val="center"/>
            <w:hideMark/>
          </w:tcPr>
          <w:p w14:paraId="783EC3CB" w14:textId="77777777" w:rsidR="007D419B" w:rsidRPr="00B83A18" w:rsidRDefault="007D419B" w:rsidP="00696E8F">
            <w:pPr>
              <w:rPr>
                <w:rFonts w:cs="Arial"/>
                <w:color w:val="000000"/>
              </w:rPr>
            </w:pPr>
            <w:r w:rsidRPr="00B83A18">
              <w:rPr>
                <w:rFonts w:cs="Arial"/>
                <w:color w:val="000000"/>
              </w:rPr>
              <w:t>Replacement of Thoracic Aorta, Descending with Nonautologous Tissue Substitute, Open Approach</w:t>
            </w:r>
          </w:p>
        </w:tc>
      </w:tr>
      <w:tr w:rsidR="007D419B" w:rsidRPr="00B83A18" w14:paraId="03E32300" w14:textId="77777777" w:rsidTr="002C718A">
        <w:trPr>
          <w:trHeight w:val="300"/>
        </w:trPr>
        <w:tc>
          <w:tcPr>
            <w:tcW w:w="1525" w:type="dxa"/>
            <w:noWrap/>
            <w:vAlign w:val="center"/>
          </w:tcPr>
          <w:p w14:paraId="7A8D2C80" w14:textId="636A339A" w:rsidR="007D419B" w:rsidRPr="00B83A18" w:rsidRDefault="007D419B" w:rsidP="00696E8F">
            <w:pPr>
              <w:rPr>
                <w:rFonts w:cs="Arial"/>
                <w:color w:val="000000"/>
              </w:rPr>
            </w:pPr>
            <w:r w:rsidRPr="00C76857">
              <w:rPr>
                <w:rFonts w:cstheme="minorHAnsi"/>
                <w:color w:val="000000"/>
              </w:rPr>
              <w:t>02RX07Z</w:t>
            </w:r>
          </w:p>
        </w:tc>
        <w:tc>
          <w:tcPr>
            <w:tcW w:w="8128" w:type="dxa"/>
            <w:noWrap/>
            <w:vAlign w:val="center"/>
          </w:tcPr>
          <w:p w14:paraId="14F130A0" w14:textId="7C4A996C" w:rsidR="007D419B" w:rsidRPr="00B83A18" w:rsidRDefault="007D419B" w:rsidP="00696E8F">
            <w:pPr>
              <w:rPr>
                <w:rFonts w:cs="Arial"/>
                <w:color w:val="000000"/>
              </w:rPr>
            </w:pPr>
            <w:r w:rsidRPr="00C76857">
              <w:rPr>
                <w:rFonts w:cstheme="minorHAnsi"/>
                <w:color w:val="000000"/>
              </w:rPr>
              <w:t>Replacement of Thoracic Aorta, Ascending/Arch with Autologous Tissue Substitute, Open Approach</w:t>
            </w:r>
          </w:p>
        </w:tc>
      </w:tr>
      <w:tr w:rsidR="007D419B" w:rsidRPr="00B83A18" w14:paraId="7F955562" w14:textId="77777777" w:rsidTr="002C718A">
        <w:trPr>
          <w:trHeight w:val="300"/>
        </w:trPr>
        <w:tc>
          <w:tcPr>
            <w:tcW w:w="1525" w:type="dxa"/>
            <w:noWrap/>
            <w:vAlign w:val="center"/>
          </w:tcPr>
          <w:p w14:paraId="71DC6256" w14:textId="54ECB573" w:rsidR="007D419B" w:rsidRPr="00B83A18" w:rsidRDefault="007D419B" w:rsidP="00696E8F">
            <w:pPr>
              <w:rPr>
                <w:rFonts w:cs="Arial"/>
                <w:color w:val="000000"/>
              </w:rPr>
            </w:pPr>
            <w:r w:rsidRPr="00C76857">
              <w:rPr>
                <w:rFonts w:cstheme="minorHAnsi"/>
                <w:color w:val="000000"/>
              </w:rPr>
              <w:t>02RX08Z</w:t>
            </w:r>
          </w:p>
        </w:tc>
        <w:tc>
          <w:tcPr>
            <w:tcW w:w="8128" w:type="dxa"/>
            <w:noWrap/>
            <w:vAlign w:val="center"/>
          </w:tcPr>
          <w:p w14:paraId="2EB562A0" w14:textId="17F9E84D" w:rsidR="007D419B" w:rsidRPr="00B83A18" w:rsidRDefault="007D419B" w:rsidP="00696E8F">
            <w:pPr>
              <w:rPr>
                <w:rFonts w:cs="Arial"/>
                <w:color w:val="000000"/>
              </w:rPr>
            </w:pPr>
            <w:r w:rsidRPr="00C76857">
              <w:rPr>
                <w:rFonts w:cstheme="minorHAnsi"/>
                <w:color w:val="000000"/>
              </w:rPr>
              <w:t>Replacement of Thoracic Aorta, Ascending/Arch with Zooplastic Tissue, Open Approach</w:t>
            </w:r>
          </w:p>
        </w:tc>
      </w:tr>
      <w:tr w:rsidR="007D419B" w:rsidRPr="00B83A18" w14:paraId="538CB72E" w14:textId="77777777" w:rsidTr="002C718A">
        <w:trPr>
          <w:trHeight w:val="300"/>
        </w:trPr>
        <w:tc>
          <w:tcPr>
            <w:tcW w:w="1525" w:type="dxa"/>
            <w:noWrap/>
            <w:vAlign w:val="center"/>
          </w:tcPr>
          <w:p w14:paraId="57B9FE39" w14:textId="69519E8C" w:rsidR="007D419B" w:rsidRPr="00B83A18" w:rsidRDefault="007D419B" w:rsidP="00696E8F">
            <w:pPr>
              <w:rPr>
                <w:rFonts w:cs="Arial"/>
                <w:color w:val="000000"/>
              </w:rPr>
            </w:pPr>
            <w:r w:rsidRPr="00C76857">
              <w:rPr>
                <w:rFonts w:cstheme="minorHAnsi"/>
                <w:color w:val="000000"/>
              </w:rPr>
              <w:t>02RX0JZ</w:t>
            </w:r>
          </w:p>
        </w:tc>
        <w:tc>
          <w:tcPr>
            <w:tcW w:w="8128" w:type="dxa"/>
            <w:noWrap/>
            <w:vAlign w:val="center"/>
          </w:tcPr>
          <w:p w14:paraId="155AB2DE" w14:textId="7B3C531F" w:rsidR="007D419B" w:rsidRPr="00B83A18" w:rsidRDefault="007D419B" w:rsidP="00696E8F">
            <w:pPr>
              <w:rPr>
                <w:rFonts w:cs="Arial"/>
                <w:color w:val="000000"/>
              </w:rPr>
            </w:pPr>
            <w:r w:rsidRPr="00C76857">
              <w:rPr>
                <w:rFonts w:cstheme="minorHAnsi"/>
                <w:color w:val="000000"/>
              </w:rPr>
              <w:t>Replacement of Thoracic Aorta, Ascending/Arch with Synthetic Substitute, Open Approach</w:t>
            </w:r>
          </w:p>
        </w:tc>
      </w:tr>
      <w:tr w:rsidR="007D419B" w:rsidRPr="00B83A18" w14:paraId="24D820CF" w14:textId="77777777" w:rsidTr="002C718A">
        <w:trPr>
          <w:trHeight w:val="300"/>
        </w:trPr>
        <w:tc>
          <w:tcPr>
            <w:tcW w:w="1525" w:type="dxa"/>
            <w:noWrap/>
            <w:vAlign w:val="center"/>
          </w:tcPr>
          <w:p w14:paraId="7C91D860" w14:textId="544DCC8A" w:rsidR="007D419B" w:rsidRPr="00B83A18" w:rsidRDefault="007D419B" w:rsidP="00696E8F">
            <w:pPr>
              <w:rPr>
                <w:rFonts w:cs="Arial"/>
                <w:color w:val="000000"/>
              </w:rPr>
            </w:pPr>
            <w:r w:rsidRPr="00C76857">
              <w:rPr>
                <w:rFonts w:cstheme="minorHAnsi"/>
                <w:color w:val="000000"/>
              </w:rPr>
              <w:t>02RX0KZ</w:t>
            </w:r>
          </w:p>
        </w:tc>
        <w:tc>
          <w:tcPr>
            <w:tcW w:w="8128" w:type="dxa"/>
            <w:noWrap/>
            <w:vAlign w:val="center"/>
          </w:tcPr>
          <w:p w14:paraId="0226C820" w14:textId="47ACA2C6" w:rsidR="007D419B" w:rsidRPr="00B83A18" w:rsidRDefault="007D419B" w:rsidP="00696E8F">
            <w:pPr>
              <w:rPr>
                <w:rFonts w:cs="Arial"/>
                <w:color w:val="000000"/>
              </w:rPr>
            </w:pPr>
            <w:r w:rsidRPr="00C76857">
              <w:rPr>
                <w:rFonts w:cstheme="minorHAnsi"/>
                <w:color w:val="000000"/>
              </w:rPr>
              <w:t>Replacement of Thoracic Aorta, Ascending/Arch with Nonautologous Tissue Substitute, Open Approach</w:t>
            </w:r>
          </w:p>
        </w:tc>
      </w:tr>
      <w:tr w:rsidR="007D419B" w:rsidRPr="00B83A18" w14:paraId="700F7CDC" w14:textId="77777777" w:rsidTr="002C718A">
        <w:trPr>
          <w:trHeight w:val="300"/>
        </w:trPr>
        <w:tc>
          <w:tcPr>
            <w:tcW w:w="1525" w:type="dxa"/>
            <w:noWrap/>
            <w:vAlign w:val="center"/>
            <w:hideMark/>
          </w:tcPr>
          <w:p w14:paraId="2902EB6C" w14:textId="77777777" w:rsidR="007D419B" w:rsidRPr="00B83A18" w:rsidRDefault="007D419B" w:rsidP="00696E8F">
            <w:pPr>
              <w:rPr>
                <w:rFonts w:cs="Arial"/>
                <w:color w:val="000000"/>
              </w:rPr>
            </w:pPr>
            <w:r w:rsidRPr="00B83A18">
              <w:rPr>
                <w:rFonts w:cs="Arial"/>
                <w:color w:val="000000"/>
              </w:rPr>
              <w:t>02SW0ZZ</w:t>
            </w:r>
          </w:p>
        </w:tc>
        <w:tc>
          <w:tcPr>
            <w:tcW w:w="8128" w:type="dxa"/>
            <w:noWrap/>
            <w:vAlign w:val="center"/>
            <w:hideMark/>
          </w:tcPr>
          <w:p w14:paraId="700E4F92" w14:textId="77777777" w:rsidR="007D419B" w:rsidRPr="00B83A18" w:rsidRDefault="007D419B" w:rsidP="00696E8F">
            <w:pPr>
              <w:rPr>
                <w:rFonts w:cs="Arial"/>
                <w:color w:val="000000"/>
              </w:rPr>
            </w:pPr>
            <w:r w:rsidRPr="00B83A18">
              <w:rPr>
                <w:rFonts w:cs="Arial"/>
                <w:color w:val="000000"/>
              </w:rPr>
              <w:t>Reposition Thoracic Aorta, Descending, Open Approach</w:t>
            </w:r>
          </w:p>
        </w:tc>
      </w:tr>
      <w:tr w:rsidR="007D419B" w:rsidRPr="00B83A18" w14:paraId="240DB842" w14:textId="77777777" w:rsidTr="002C718A">
        <w:trPr>
          <w:trHeight w:val="300"/>
        </w:trPr>
        <w:tc>
          <w:tcPr>
            <w:tcW w:w="1525" w:type="dxa"/>
            <w:noWrap/>
            <w:vAlign w:val="center"/>
          </w:tcPr>
          <w:p w14:paraId="0C4D1C68" w14:textId="5B3CDAA3" w:rsidR="007D419B" w:rsidRPr="00B83A18" w:rsidRDefault="007D419B" w:rsidP="00696E8F">
            <w:pPr>
              <w:rPr>
                <w:rFonts w:cs="Arial"/>
                <w:color w:val="000000"/>
              </w:rPr>
            </w:pPr>
            <w:r w:rsidRPr="00C76857">
              <w:rPr>
                <w:rFonts w:cstheme="minorHAnsi"/>
                <w:color w:val="000000"/>
              </w:rPr>
              <w:t>02SX0ZZ</w:t>
            </w:r>
          </w:p>
        </w:tc>
        <w:tc>
          <w:tcPr>
            <w:tcW w:w="8128" w:type="dxa"/>
            <w:noWrap/>
            <w:vAlign w:val="center"/>
          </w:tcPr>
          <w:p w14:paraId="054786DE" w14:textId="489C8F62" w:rsidR="007D419B" w:rsidRPr="00B83A18" w:rsidRDefault="007D419B" w:rsidP="00696E8F">
            <w:pPr>
              <w:rPr>
                <w:rFonts w:cs="Arial"/>
                <w:color w:val="000000"/>
              </w:rPr>
            </w:pPr>
            <w:r w:rsidRPr="00C76857">
              <w:rPr>
                <w:rFonts w:cstheme="minorHAnsi"/>
                <w:color w:val="000000"/>
              </w:rPr>
              <w:t>Reposition Thoracic Aorta, Ascending/Arch, Open Approach</w:t>
            </w:r>
          </w:p>
        </w:tc>
      </w:tr>
      <w:tr w:rsidR="007D419B" w:rsidRPr="00B83A18" w14:paraId="32AD1B4F" w14:textId="77777777" w:rsidTr="002C718A">
        <w:trPr>
          <w:trHeight w:val="300"/>
        </w:trPr>
        <w:tc>
          <w:tcPr>
            <w:tcW w:w="1525" w:type="dxa"/>
            <w:noWrap/>
            <w:vAlign w:val="center"/>
            <w:hideMark/>
          </w:tcPr>
          <w:p w14:paraId="1D36089F" w14:textId="77777777" w:rsidR="007D419B" w:rsidRPr="00B83A18" w:rsidRDefault="007D419B" w:rsidP="00696E8F">
            <w:pPr>
              <w:rPr>
                <w:rFonts w:cs="Arial"/>
                <w:color w:val="000000"/>
              </w:rPr>
            </w:pPr>
            <w:r w:rsidRPr="00B83A18">
              <w:rPr>
                <w:rFonts w:cs="Arial"/>
                <w:color w:val="000000"/>
              </w:rPr>
              <w:t>02UW07Z</w:t>
            </w:r>
          </w:p>
        </w:tc>
        <w:tc>
          <w:tcPr>
            <w:tcW w:w="8128" w:type="dxa"/>
            <w:noWrap/>
            <w:vAlign w:val="center"/>
            <w:hideMark/>
          </w:tcPr>
          <w:p w14:paraId="3CF5899D" w14:textId="77777777" w:rsidR="007D419B" w:rsidRPr="00B83A18" w:rsidRDefault="007D419B" w:rsidP="00696E8F">
            <w:pPr>
              <w:rPr>
                <w:rFonts w:cs="Arial"/>
                <w:color w:val="000000"/>
              </w:rPr>
            </w:pPr>
            <w:r w:rsidRPr="00B83A18">
              <w:rPr>
                <w:rFonts w:cs="Arial"/>
                <w:color w:val="000000"/>
              </w:rPr>
              <w:t>Supplement Thoracic Aorta, Descending with Autologous Tissue Substitute, Open Approach</w:t>
            </w:r>
          </w:p>
        </w:tc>
      </w:tr>
      <w:tr w:rsidR="007D419B" w:rsidRPr="00B83A18" w14:paraId="7FBDCC62" w14:textId="77777777" w:rsidTr="002C718A">
        <w:trPr>
          <w:trHeight w:val="300"/>
        </w:trPr>
        <w:tc>
          <w:tcPr>
            <w:tcW w:w="1525" w:type="dxa"/>
            <w:noWrap/>
            <w:vAlign w:val="center"/>
            <w:hideMark/>
          </w:tcPr>
          <w:p w14:paraId="35FD8648" w14:textId="77777777" w:rsidR="007D419B" w:rsidRPr="00B83A18" w:rsidRDefault="007D419B" w:rsidP="00696E8F">
            <w:pPr>
              <w:rPr>
                <w:rFonts w:cs="Arial"/>
                <w:color w:val="000000"/>
              </w:rPr>
            </w:pPr>
            <w:r w:rsidRPr="00B83A18">
              <w:rPr>
                <w:rFonts w:cs="Arial"/>
                <w:color w:val="000000"/>
              </w:rPr>
              <w:t>02UW08Z</w:t>
            </w:r>
          </w:p>
        </w:tc>
        <w:tc>
          <w:tcPr>
            <w:tcW w:w="8128" w:type="dxa"/>
            <w:noWrap/>
            <w:vAlign w:val="center"/>
            <w:hideMark/>
          </w:tcPr>
          <w:p w14:paraId="5A15572A" w14:textId="77777777" w:rsidR="007D419B" w:rsidRPr="00B83A18" w:rsidRDefault="007D419B" w:rsidP="00696E8F">
            <w:pPr>
              <w:rPr>
                <w:rFonts w:cs="Arial"/>
                <w:color w:val="000000"/>
              </w:rPr>
            </w:pPr>
            <w:r w:rsidRPr="00B83A18">
              <w:rPr>
                <w:rFonts w:cs="Arial"/>
                <w:color w:val="000000"/>
              </w:rPr>
              <w:t>Supplement Thoracic Aorta, Descending with Zooplastic Tissue, Open Approach</w:t>
            </w:r>
          </w:p>
        </w:tc>
      </w:tr>
      <w:tr w:rsidR="007D419B" w:rsidRPr="00B83A18" w14:paraId="3079A516" w14:textId="77777777" w:rsidTr="002C718A">
        <w:trPr>
          <w:trHeight w:val="300"/>
        </w:trPr>
        <w:tc>
          <w:tcPr>
            <w:tcW w:w="1525" w:type="dxa"/>
            <w:noWrap/>
            <w:vAlign w:val="center"/>
            <w:hideMark/>
          </w:tcPr>
          <w:p w14:paraId="2F56BB8C" w14:textId="77777777" w:rsidR="007D419B" w:rsidRPr="00B83A18" w:rsidRDefault="007D419B" w:rsidP="00696E8F">
            <w:pPr>
              <w:rPr>
                <w:rFonts w:cs="Arial"/>
                <w:color w:val="000000"/>
              </w:rPr>
            </w:pPr>
            <w:r w:rsidRPr="00B83A18">
              <w:rPr>
                <w:rFonts w:cs="Arial"/>
                <w:color w:val="000000"/>
              </w:rPr>
              <w:t>02UW0JZ</w:t>
            </w:r>
          </w:p>
        </w:tc>
        <w:tc>
          <w:tcPr>
            <w:tcW w:w="8128" w:type="dxa"/>
            <w:noWrap/>
            <w:vAlign w:val="center"/>
            <w:hideMark/>
          </w:tcPr>
          <w:p w14:paraId="2D65ABB9" w14:textId="77777777" w:rsidR="007D419B" w:rsidRPr="00B83A18" w:rsidRDefault="007D419B" w:rsidP="00696E8F">
            <w:pPr>
              <w:rPr>
                <w:rFonts w:cs="Arial"/>
                <w:color w:val="000000"/>
              </w:rPr>
            </w:pPr>
            <w:r w:rsidRPr="00B83A18">
              <w:rPr>
                <w:rFonts w:cs="Arial"/>
                <w:color w:val="000000"/>
              </w:rPr>
              <w:t>Supplement Thoracic Aorta, Descending with Synthetic Substitute, Open Approach</w:t>
            </w:r>
          </w:p>
        </w:tc>
      </w:tr>
      <w:tr w:rsidR="007D419B" w:rsidRPr="00B83A18" w14:paraId="70F8E2C1" w14:textId="77777777" w:rsidTr="002C718A">
        <w:trPr>
          <w:trHeight w:val="300"/>
        </w:trPr>
        <w:tc>
          <w:tcPr>
            <w:tcW w:w="1525" w:type="dxa"/>
            <w:noWrap/>
            <w:vAlign w:val="center"/>
            <w:hideMark/>
          </w:tcPr>
          <w:p w14:paraId="45BEFE68" w14:textId="77777777" w:rsidR="007D419B" w:rsidRPr="00B83A18" w:rsidRDefault="007D419B" w:rsidP="00696E8F">
            <w:pPr>
              <w:rPr>
                <w:rFonts w:cs="Arial"/>
                <w:color w:val="000000"/>
              </w:rPr>
            </w:pPr>
            <w:r w:rsidRPr="00B83A18">
              <w:rPr>
                <w:rFonts w:cs="Arial"/>
                <w:color w:val="000000"/>
              </w:rPr>
              <w:t>02UW0KZ</w:t>
            </w:r>
          </w:p>
        </w:tc>
        <w:tc>
          <w:tcPr>
            <w:tcW w:w="8128" w:type="dxa"/>
            <w:noWrap/>
            <w:vAlign w:val="center"/>
            <w:hideMark/>
          </w:tcPr>
          <w:p w14:paraId="4B32A536" w14:textId="77777777" w:rsidR="007D419B" w:rsidRPr="00B83A18" w:rsidRDefault="007D419B" w:rsidP="00696E8F">
            <w:pPr>
              <w:rPr>
                <w:rFonts w:cs="Arial"/>
                <w:color w:val="000000"/>
              </w:rPr>
            </w:pPr>
            <w:r w:rsidRPr="00B83A18">
              <w:rPr>
                <w:rFonts w:cs="Arial"/>
                <w:color w:val="000000"/>
              </w:rPr>
              <w:t>Supplement Thoracic Aorta, Descending with Nonautologous Tissue Substitute, Open Approach</w:t>
            </w:r>
          </w:p>
        </w:tc>
      </w:tr>
      <w:tr w:rsidR="007D419B" w:rsidRPr="00B83A18" w14:paraId="23451177" w14:textId="77777777" w:rsidTr="002C718A">
        <w:trPr>
          <w:trHeight w:val="300"/>
        </w:trPr>
        <w:tc>
          <w:tcPr>
            <w:tcW w:w="1525" w:type="dxa"/>
            <w:noWrap/>
            <w:vAlign w:val="center"/>
          </w:tcPr>
          <w:p w14:paraId="6FDECBB2" w14:textId="29EF33EC" w:rsidR="007D419B" w:rsidRPr="00B83A18" w:rsidRDefault="007D419B" w:rsidP="00696E8F">
            <w:pPr>
              <w:rPr>
                <w:rFonts w:cs="Arial"/>
                <w:color w:val="000000"/>
              </w:rPr>
            </w:pPr>
            <w:r w:rsidRPr="00C76857">
              <w:rPr>
                <w:rFonts w:cstheme="minorHAnsi"/>
                <w:color w:val="000000"/>
              </w:rPr>
              <w:t>02UX08Z</w:t>
            </w:r>
          </w:p>
        </w:tc>
        <w:tc>
          <w:tcPr>
            <w:tcW w:w="8128" w:type="dxa"/>
            <w:noWrap/>
            <w:vAlign w:val="center"/>
          </w:tcPr>
          <w:p w14:paraId="51396E30" w14:textId="58A7B6A1" w:rsidR="007D419B" w:rsidRPr="00B83A18" w:rsidRDefault="007D419B" w:rsidP="00696E8F">
            <w:pPr>
              <w:rPr>
                <w:rFonts w:cs="Arial"/>
                <w:color w:val="000000"/>
              </w:rPr>
            </w:pPr>
            <w:r w:rsidRPr="00C76857">
              <w:rPr>
                <w:rFonts w:cstheme="minorHAnsi"/>
                <w:color w:val="000000"/>
              </w:rPr>
              <w:t>Supplement Thoracic Aorta, Ascending/Arch with Zooplastic Tissue, Open Approach</w:t>
            </w:r>
          </w:p>
        </w:tc>
      </w:tr>
      <w:tr w:rsidR="007D419B" w:rsidRPr="00B83A18" w14:paraId="487DE507" w14:textId="77777777" w:rsidTr="002C718A">
        <w:trPr>
          <w:trHeight w:val="300"/>
        </w:trPr>
        <w:tc>
          <w:tcPr>
            <w:tcW w:w="1525" w:type="dxa"/>
            <w:noWrap/>
            <w:vAlign w:val="center"/>
            <w:hideMark/>
          </w:tcPr>
          <w:p w14:paraId="76D27479" w14:textId="77777777" w:rsidR="007D419B" w:rsidRPr="00B83A18" w:rsidRDefault="007D419B" w:rsidP="00696E8F">
            <w:pPr>
              <w:rPr>
                <w:rFonts w:cs="Arial"/>
                <w:color w:val="000000"/>
              </w:rPr>
            </w:pPr>
            <w:r w:rsidRPr="00B83A18">
              <w:rPr>
                <w:rFonts w:cs="Arial"/>
                <w:color w:val="000000"/>
              </w:rPr>
              <w:t>041009B</w:t>
            </w:r>
          </w:p>
        </w:tc>
        <w:tc>
          <w:tcPr>
            <w:tcW w:w="8128" w:type="dxa"/>
            <w:noWrap/>
            <w:vAlign w:val="center"/>
            <w:hideMark/>
          </w:tcPr>
          <w:p w14:paraId="02CB335B" w14:textId="77777777" w:rsidR="007D419B" w:rsidRPr="00B83A18" w:rsidRDefault="007D419B" w:rsidP="00696E8F">
            <w:pPr>
              <w:rPr>
                <w:rFonts w:cs="Arial"/>
                <w:color w:val="000000"/>
              </w:rPr>
            </w:pPr>
            <w:r w:rsidRPr="00B83A18">
              <w:rPr>
                <w:rFonts w:cs="Arial"/>
                <w:color w:val="000000"/>
              </w:rPr>
              <w:t>Bypass Abdominal Aorta to Left Internal Iliac Artery with Autologous Venous Tissue, Open Approach</w:t>
            </w:r>
          </w:p>
        </w:tc>
      </w:tr>
      <w:tr w:rsidR="007D419B" w:rsidRPr="00B83A18" w14:paraId="66E263D9" w14:textId="77777777" w:rsidTr="002C718A">
        <w:trPr>
          <w:trHeight w:val="300"/>
        </w:trPr>
        <w:tc>
          <w:tcPr>
            <w:tcW w:w="1525" w:type="dxa"/>
            <w:noWrap/>
            <w:vAlign w:val="center"/>
            <w:hideMark/>
          </w:tcPr>
          <w:p w14:paraId="20C81583" w14:textId="77777777" w:rsidR="007D419B" w:rsidRPr="00B83A18" w:rsidRDefault="007D419B" w:rsidP="00696E8F">
            <w:pPr>
              <w:rPr>
                <w:rFonts w:cs="Arial"/>
                <w:color w:val="000000"/>
              </w:rPr>
            </w:pPr>
            <w:r w:rsidRPr="00B83A18">
              <w:rPr>
                <w:rFonts w:cs="Arial"/>
                <w:color w:val="000000"/>
              </w:rPr>
              <w:t>041009C</w:t>
            </w:r>
          </w:p>
        </w:tc>
        <w:tc>
          <w:tcPr>
            <w:tcW w:w="8128" w:type="dxa"/>
            <w:noWrap/>
            <w:vAlign w:val="center"/>
            <w:hideMark/>
          </w:tcPr>
          <w:p w14:paraId="36EE1683" w14:textId="77777777" w:rsidR="007D419B" w:rsidRPr="00B83A18" w:rsidRDefault="007D419B" w:rsidP="00696E8F">
            <w:pPr>
              <w:rPr>
                <w:rFonts w:cs="Arial"/>
                <w:color w:val="000000"/>
              </w:rPr>
            </w:pPr>
            <w:r w:rsidRPr="00B83A18">
              <w:rPr>
                <w:rFonts w:cs="Arial"/>
                <w:color w:val="000000"/>
              </w:rPr>
              <w:t>Bypass Abdominal Aorta to Bilateral Internal Iliac Arteries with Autologous Venous Tissue, Open Approach</w:t>
            </w:r>
          </w:p>
        </w:tc>
      </w:tr>
      <w:tr w:rsidR="007D419B" w:rsidRPr="00B83A18" w14:paraId="4F47505A" w14:textId="77777777" w:rsidTr="002C718A">
        <w:trPr>
          <w:trHeight w:val="300"/>
        </w:trPr>
        <w:tc>
          <w:tcPr>
            <w:tcW w:w="1525" w:type="dxa"/>
            <w:noWrap/>
            <w:vAlign w:val="center"/>
            <w:hideMark/>
          </w:tcPr>
          <w:p w14:paraId="161D67E2" w14:textId="77777777" w:rsidR="007D419B" w:rsidRPr="00B83A18" w:rsidRDefault="007D419B" w:rsidP="00696E8F">
            <w:pPr>
              <w:rPr>
                <w:rFonts w:cs="Arial"/>
                <w:color w:val="000000"/>
              </w:rPr>
            </w:pPr>
            <w:r w:rsidRPr="00B83A18">
              <w:rPr>
                <w:rFonts w:cs="Arial"/>
                <w:color w:val="000000"/>
              </w:rPr>
              <w:t>041009D</w:t>
            </w:r>
          </w:p>
        </w:tc>
        <w:tc>
          <w:tcPr>
            <w:tcW w:w="8128" w:type="dxa"/>
            <w:noWrap/>
            <w:vAlign w:val="center"/>
            <w:hideMark/>
          </w:tcPr>
          <w:p w14:paraId="0126F9BC" w14:textId="77777777" w:rsidR="007D419B" w:rsidRPr="00B83A18" w:rsidRDefault="007D419B" w:rsidP="00696E8F">
            <w:pPr>
              <w:rPr>
                <w:rFonts w:cs="Arial"/>
                <w:color w:val="000000"/>
              </w:rPr>
            </w:pPr>
            <w:r w:rsidRPr="00B83A18">
              <w:rPr>
                <w:rFonts w:cs="Arial"/>
                <w:color w:val="000000"/>
              </w:rPr>
              <w:t>Bypass Abdominal Aorta to Right External Iliac Artery with Autologous Venous Tissue, Open Approach</w:t>
            </w:r>
          </w:p>
        </w:tc>
      </w:tr>
      <w:tr w:rsidR="007D419B" w:rsidRPr="00B83A18" w14:paraId="031FE3CC" w14:textId="77777777" w:rsidTr="002C718A">
        <w:trPr>
          <w:trHeight w:val="300"/>
        </w:trPr>
        <w:tc>
          <w:tcPr>
            <w:tcW w:w="1525" w:type="dxa"/>
            <w:noWrap/>
            <w:vAlign w:val="center"/>
            <w:hideMark/>
          </w:tcPr>
          <w:p w14:paraId="7DE2693B" w14:textId="77777777" w:rsidR="007D419B" w:rsidRPr="00B83A18" w:rsidRDefault="007D419B" w:rsidP="00696E8F">
            <w:pPr>
              <w:rPr>
                <w:rFonts w:cs="Arial"/>
                <w:color w:val="000000"/>
              </w:rPr>
            </w:pPr>
            <w:r w:rsidRPr="00B83A18">
              <w:rPr>
                <w:rFonts w:cs="Arial"/>
                <w:color w:val="000000"/>
              </w:rPr>
              <w:t>041009F</w:t>
            </w:r>
          </w:p>
        </w:tc>
        <w:tc>
          <w:tcPr>
            <w:tcW w:w="8128" w:type="dxa"/>
            <w:noWrap/>
            <w:vAlign w:val="center"/>
            <w:hideMark/>
          </w:tcPr>
          <w:p w14:paraId="71EBEE3F" w14:textId="77777777" w:rsidR="007D419B" w:rsidRPr="00B83A18" w:rsidRDefault="007D419B" w:rsidP="00696E8F">
            <w:pPr>
              <w:rPr>
                <w:rFonts w:cs="Arial"/>
                <w:color w:val="000000"/>
              </w:rPr>
            </w:pPr>
            <w:r w:rsidRPr="00B83A18">
              <w:rPr>
                <w:rFonts w:cs="Arial"/>
                <w:color w:val="000000"/>
              </w:rPr>
              <w:t>Bypass Abdominal Aorta to Left External Iliac Artery with Autologous Venous Tissue, Open Approach</w:t>
            </w:r>
          </w:p>
        </w:tc>
      </w:tr>
      <w:tr w:rsidR="007D419B" w:rsidRPr="00B83A18" w14:paraId="3B746F19" w14:textId="77777777" w:rsidTr="002C718A">
        <w:trPr>
          <w:trHeight w:val="300"/>
        </w:trPr>
        <w:tc>
          <w:tcPr>
            <w:tcW w:w="1525" w:type="dxa"/>
            <w:noWrap/>
            <w:vAlign w:val="center"/>
            <w:hideMark/>
          </w:tcPr>
          <w:p w14:paraId="7972B4CA" w14:textId="77777777" w:rsidR="007D419B" w:rsidRPr="00B83A18" w:rsidRDefault="007D419B" w:rsidP="00696E8F">
            <w:pPr>
              <w:rPr>
                <w:rFonts w:cs="Arial"/>
                <w:color w:val="000000"/>
              </w:rPr>
            </w:pPr>
            <w:r w:rsidRPr="00B83A18">
              <w:rPr>
                <w:rFonts w:cs="Arial"/>
                <w:color w:val="000000"/>
              </w:rPr>
              <w:t>041009G</w:t>
            </w:r>
          </w:p>
        </w:tc>
        <w:tc>
          <w:tcPr>
            <w:tcW w:w="8128" w:type="dxa"/>
            <w:noWrap/>
            <w:vAlign w:val="center"/>
            <w:hideMark/>
          </w:tcPr>
          <w:p w14:paraId="408EA59E" w14:textId="77777777" w:rsidR="007D419B" w:rsidRPr="00B83A18" w:rsidRDefault="007D419B" w:rsidP="00696E8F">
            <w:pPr>
              <w:rPr>
                <w:rFonts w:cs="Arial"/>
                <w:color w:val="000000"/>
              </w:rPr>
            </w:pPr>
            <w:r w:rsidRPr="00B83A18">
              <w:rPr>
                <w:rFonts w:cs="Arial"/>
                <w:color w:val="000000"/>
              </w:rPr>
              <w:t>Bypass Abdominal Aorta to Bilateral External Iliac Arteries with Autologous Venous Tissue, Open Approach</w:t>
            </w:r>
          </w:p>
        </w:tc>
      </w:tr>
      <w:tr w:rsidR="007D419B" w:rsidRPr="00B83A18" w14:paraId="614C0421" w14:textId="77777777" w:rsidTr="002C718A">
        <w:trPr>
          <w:trHeight w:val="300"/>
        </w:trPr>
        <w:tc>
          <w:tcPr>
            <w:tcW w:w="1525" w:type="dxa"/>
            <w:noWrap/>
            <w:vAlign w:val="center"/>
            <w:hideMark/>
          </w:tcPr>
          <w:p w14:paraId="7CD6DD9B" w14:textId="77777777" w:rsidR="007D419B" w:rsidRPr="00B83A18" w:rsidRDefault="007D419B" w:rsidP="00696E8F">
            <w:pPr>
              <w:rPr>
                <w:rFonts w:cs="Arial"/>
                <w:color w:val="000000"/>
              </w:rPr>
            </w:pPr>
            <w:r w:rsidRPr="00B83A18">
              <w:rPr>
                <w:rFonts w:cs="Arial"/>
                <w:color w:val="000000"/>
              </w:rPr>
              <w:t>041009H</w:t>
            </w:r>
          </w:p>
        </w:tc>
        <w:tc>
          <w:tcPr>
            <w:tcW w:w="8128" w:type="dxa"/>
            <w:noWrap/>
            <w:vAlign w:val="center"/>
            <w:hideMark/>
          </w:tcPr>
          <w:p w14:paraId="5A00871B" w14:textId="77777777" w:rsidR="007D419B" w:rsidRPr="00B83A18" w:rsidRDefault="007D419B" w:rsidP="00696E8F">
            <w:pPr>
              <w:rPr>
                <w:rFonts w:cs="Arial"/>
                <w:color w:val="000000"/>
              </w:rPr>
            </w:pPr>
            <w:r w:rsidRPr="00B83A18">
              <w:rPr>
                <w:rFonts w:cs="Arial"/>
                <w:color w:val="000000"/>
              </w:rPr>
              <w:t>Bypass Abdominal Aorta to Right Femoral Artery with Autologous Venous Tissue, Open Approach</w:t>
            </w:r>
          </w:p>
        </w:tc>
      </w:tr>
      <w:tr w:rsidR="007D419B" w:rsidRPr="00B83A18" w14:paraId="0AFE1391" w14:textId="77777777" w:rsidTr="002C718A">
        <w:trPr>
          <w:trHeight w:val="300"/>
        </w:trPr>
        <w:tc>
          <w:tcPr>
            <w:tcW w:w="1525" w:type="dxa"/>
            <w:noWrap/>
            <w:vAlign w:val="center"/>
            <w:hideMark/>
          </w:tcPr>
          <w:p w14:paraId="3C47405A" w14:textId="77777777" w:rsidR="007D419B" w:rsidRPr="00B83A18" w:rsidRDefault="007D419B" w:rsidP="00696E8F">
            <w:pPr>
              <w:rPr>
                <w:rFonts w:cs="Arial"/>
                <w:color w:val="000000"/>
              </w:rPr>
            </w:pPr>
            <w:r w:rsidRPr="00B83A18">
              <w:rPr>
                <w:rFonts w:cs="Arial"/>
                <w:color w:val="000000"/>
              </w:rPr>
              <w:t>041009J</w:t>
            </w:r>
          </w:p>
        </w:tc>
        <w:tc>
          <w:tcPr>
            <w:tcW w:w="8128" w:type="dxa"/>
            <w:noWrap/>
            <w:vAlign w:val="center"/>
            <w:hideMark/>
          </w:tcPr>
          <w:p w14:paraId="147C98C9" w14:textId="77777777" w:rsidR="007D419B" w:rsidRPr="00B83A18" w:rsidRDefault="007D419B" w:rsidP="00696E8F">
            <w:pPr>
              <w:rPr>
                <w:rFonts w:cs="Arial"/>
                <w:color w:val="000000"/>
              </w:rPr>
            </w:pPr>
            <w:r w:rsidRPr="00B83A18">
              <w:rPr>
                <w:rFonts w:cs="Arial"/>
                <w:color w:val="000000"/>
              </w:rPr>
              <w:t>Bypass Abdominal Aorta to Left Femoral Artery with Autologous Venous Tissue, Open Approach</w:t>
            </w:r>
          </w:p>
        </w:tc>
      </w:tr>
      <w:tr w:rsidR="007D419B" w:rsidRPr="00B83A18" w14:paraId="2F15909E" w14:textId="77777777" w:rsidTr="002C718A">
        <w:trPr>
          <w:trHeight w:val="300"/>
        </w:trPr>
        <w:tc>
          <w:tcPr>
            <w:tcW w:w="1525" w:type="dxa"/>
            <w:noWrap/>
            <w:vAlign w:val="center"/>
            <w:hideMark/>
          </w:tcPr>
          <w:p w14:paraId="50414C29" w14:textId="77777777" w:rsidR="007D419B" w:rsidRPr="00B83A18" w:rsidRDefault="007D419B" w:rsidP="00696E8F">
            <w:pPr>
              <w:rPr>
                <w:rFonts w:cs="Arial"/>
                <w:color w:val="000000"/>
              </w:rPr>
            </w:pPr>
            <w:r w:rsidRPr="00B83A18">
              <w:rPr>
                <w:rFonts w:cs="Arial"/>
                <w:color w:val="000000"/>
              </w:rPr>
              <w:t>041009K</w:t>
            </w:r>
          </w:p>
        </w:tc>
        <w:tc>
          <w:tcPr>
            <w:tcW w:w="8128" w:type="dxa"/>
            <w:noWrap/>
            <w:vAlign w:val="center"/>
            <w:hideMark/>
          </w:tcPr>
          <w:p w14:paraId="74139A5B" w14:textId="77777777" w:rsidR="007D419B" w:rsidRPr="00B83A18" w:rsidRDefault="007D419B" w:rsidP="00696E8F">
            <w:pPr>
              <w:rPr>
                <w:rFonts w:cs="Arial"/>
                <w:color w:val="000000"/>
              </w:rPr>
            </w:pPr>
            <w:r w:rsidRPr="00B83A18">
              <w:rPr>
                <w:rFonts w:cs="Arial"/>
                <w:color w:val="000000"/>
              </w:rPr>
              <w:t>Bypass Abdominal Aorta to Bilateral Femoral Arteries with Autologous Venous Tissue, Open Approach</w:t>
            </w:r>
          </w:p>
        </w:tc>
      </w:tr>
      <w:tr w:rsidR="007D419B" w:rsidRPr="00B83A18" w14:paraId="6A397B3A" w14:textId="77777777" w:rsidTr="002C718A">
        <w:trPr>
          <w:trHeight w:val="300"/>
        </w:trPr>
        <w:tc>
          <w:tcPr>
            <w:tcW w:w="1525" w:type="dxa"/>
            <w:noWrap/>
            <w:vAlign w:val="center"/>
            <w:hideMark/>
          </w:tcPr>
          <w:p w14:paraId="6959C51A" w14:textId="77777777" w:rsidR="007D419B" w:rsidRPr="00B83A18" w:rsidRDefault="007D419B" w:rsidP="00696E8F">
            <w:pPr>
              <w:rPr>
                <w:rFonts w:cs="Arial"/>
                <w:color w:val="000000"/>
              </w:rPr>
            </w:pPr>
            <w:r w:rsidRPr="00B83A18">
              <w:rPr>
                <w:rFonts w:cs="Arial"/>
                <w:color w:val="000000"/>
              </w:rPr>
              <w:t>041009Q</w:t>
            </w:r>
          </w:p>
        </w:tc>
        <w:tc>
          <w:tcPr>
            <w:tcW w:w="8128" w:type="dxa"/>
            <w:noWrap/>
            <w:vAlign w:val="center"/>
            <w:hideMark/>
          </w:tcPr>
          <w:p w14:paraId="33EB7021" w14:textId="77777777" w:rsidR="007D419B" w:rsidRPr="00B83A18" w:rsidRDefault="007D419B" w:rsidP="00696E8F">
            <w:pPr>
              <w:rPr>
                <w:rFonts w:cs="Arial"/>
                <w:color w:val="000000"/>
              </w:rPr>
            </w:pPr>
            <w:r w:rsidRPr="00B83A18">
              <w:rPr>
                <w:rFonts w:cs="Arial"/>
                <w:color w:val="000000"/>
              </w:rPr>
              <w:t>Bypass Abdominal Aorta to Lower Extremity Artery with Autologous Venous Tissue, Open Approach</w:t>
            </w:r>
          </w:p>
        </w:tc>
      </w:tr>
      <w:tr w:rsidR="007D419B" w:rsidRPr="00B83A18" w14:paraId="3763C51F" w14:textId="77777777" w:rsidTr="002C718A">
        <w:trPr>
          <w:trHeight w:val="300"/>
        </w:trPr>
        <w:tc>
          <w:tcPr>
            <w:tcW w:w="1525" w:type="dxa"/>
            <w:noWrap/>
            <w:vAlign w:val="center"/>
            <w:hideMark/>
          </w:tcPr>
          <w:p w14:paraId="3A3946B9" w14:textId="77777777" w:rsidR="007D419B" w:rsidRPr="00B83A18" w:rsidRDefault="007D419B" w:rsidP="00696E8F">
            <w:pPr>
              <w:rPr>
                <w:rFonts w:cs="Arial"/>
                <w:color w:val="000000"/>
              </w:rPr>
            </w:pPr>
            <w:r w:rsidRPr="00B83A18">
              <w:rPr>
                <w:rFonts w:cs="Arial"/>
                <w:color w:val="000000"/>
              </w:rPr>
              <w:t>041009R</w:t>
            </w:r>
          </w:p>
        </w:tc>
        <w:tc>
          <w:tcPr>
            <w:tcW w:w="8128" w:type="dxa"/>
            <w:noWrap/>
            <w:vAlign w:val="center"/>
            <w:hideMark/>
          </w:tcPr>
          <w:p w14:paraId="425AFB34" w14:textId="77777777" w:rsidR="007D419B" w:rsidRPr="00B83A18" w:rsidRDefault="007D419B" w:rsidP="00696E8F">
            <w:pPr>
              <w:rPr>
                <w:rFonts w:cs="Arial"/>
                <w:color w:val="000000"/>
              </w:rPr>
            </w:pPr>
            <w:r w:rsidRPr="00B83A18">
              <w:rPr>
                <w:rFonts w:cs="Arial"/>
                <w:color w:val="000000"/>
              </w:rPr>
              <w:t>Bypass Abdominal Aorta to Lower Artery with Autologous Venous Tissue, Open Approach</w:t>
            </w:r>
          </w:p>
        </w:tc>
      </w:tr>
      <w:tr w:rsidR="007D419B" w:rsidRPr="00B83A18" w14:paraId="2C8A5EB7" w14:textId="77777777" w:rsidTr="002C718A">
        <w:trPr>
          <w:trHeight w:val="300"/>
        </w:trPr>
        <w:tc>
          <w:tcPr>
            <w:tcW w:w="1525" w:type="dxa"/>
            <w:noWrap/>
            <w:vAlign w:val="center"/>
            <w:hideMark/>
          </w:tcPr>
          <w:p w14:paraId="098DF7D4" w14:textId="77777777" w:rsidR="007D419B" w:rsidRPr="00B83A18" w:rsidRDefault="007D419B" w:rsidP="00696E8F">
            <w:pPr>
              <w:rPr>
                <w:rFonts w:cs="Arial"/>
                <w:color w:val="000000"/>
              </w:rPr>
            </w:pPr>
            <w:r w:rsidRPr="00B83A18">
              <w:rPr>
                <w:rFonts w:cs="Arial"/>
                <w:color w:val="000000"/>
              </w:rPr>
              <w:t>04100A0</w:t>
            </w:r>
          </w:p>
        </w:tc>
        <w:tc>
          <w:tcPr>
            <w:tcW w:w="8128" w:type="dxa"/>
            <w:noWrap/>
            <w:vAlign w:val="center"/>
            <w:hideMark/>
          </w:tcPr>
          <w:p w14:paraId="26693105" w14:textId="77777777" w:rsidR="007D419B" w:rsidRPr="00B83A18" w:rsidRDefault="007D419B" w:rsidP="00696E8F">
            <w:pPr>
              <w:rPr>
                <w:rFonts w:cs="Arial"/>
                <w:color w:val="000000"/>
              </w:rPr>
            </w:pPr>
            <w:r w:rsidRPr="00B83A18">
              <w:rPr>
                <w:rFonts w:cs="Arial"/>
                <w:color w:val="000000"/>
              </w:rPr>
              <w:t>Bypass Abdominal Aorta to Abdominal Aorta with Autologous Arterial Tissue, Open Approach</w:t>
            </w:r>
          </w:p>
        </w:tc>
      </w:tr>
      <w:tr w:rsidR="007D419B" w:rsidRPr="00B83A18" w14:paraId="73F34763" w14:textId="77777777" w:rsidTr="002C718A">
        <w:trPr>
          <w:trHeight w:val="300"/>
        </w:trPr>
        <w:tc>
          <w:tcPr>
            <w:tcW w:w="1525" w:type="dxa"/>
            <w:noWrap/>
            <w:vAlign w:val="center"/>
            <w:hideMark/>
          </w:tcPr>
          <w:p w14:paraId="53605A69" w14:textId="77777777" w:rsidR="007D419B" w:rsidRPr="00B83A18" w:rsidRDefault="007D419B" w:rsidP="00696E8F">
            <w:pPr>
              <w:rPr>
                <w:rFonts w:cs="Arial"/>
                <w:color w:val="000000"/>
              </w:rPr>
            </w:pPr>
            <w:r w:rsidRPr="00B83A18">
              <w:rPr>
                <w:rFonts w:cs="Arial"/>
                <w:color w:val="000000"/>
              </w:rPr>
              <w:lastRenderedPageBreak/>
              <w:t>04100A1</w:t>
            </w:r>
          </w:p>
        </w:tc>
        <w:tc>
          <w:tcPr>
            <w:tcW w:w="8128" w:type="dxa"/>
            <w:noWrap/>
            <w:vAlign w:val="center"/>
            <w:hideMark/>
          </w:tcPr>
          <w:p w14:paraId="3279565F" w14:textId="77777777" w:rsidR="007D419B" w:rsidRPr="00B83A18" w:rsidRDefault="007D419B" w:rsidP="00696E8F">
            <w:pPr>
              <w:rPr>
                <w:rFonts w:cs="Arial"/>
                <w:color w:val="000000"/>
              </w:rPr>
            </w:pPr>
            <w:r w:rsidRPr="00B83A18">
              <w:rPr>
                <w:rFonts w:cs="Arial"/>
                <w:color w:val="000000"/>
              </w:rPr>
              <w:t>Bypass Abdominal Aorta to Celiac Artery with Autologous Arterial Tissue, Open Approach</w:t>
            </w:r>
          </w:p>
        </w:tc>
      </w:tr>
      <w:tr w:rsidR="007D419B" w:rsidRPr="00B83A18" w14:paraId="3772DE27" w14:textId="77777777" w:rsidTr="002C718A">
        <w:trPr>
          <w:trHeight w:val="300"/>
        </w:trPr>
        <w:tc>
          <w:tcPr>
            <w:tcW w:w="1525" w:type="dxa"/>
            <w:noWrap/>
            <w:vAlign w:val="center"/>
            <w:hideMark/>
          </w:tcPr>
          <w:p w14:paraId="570688BD" w14:textId="77777777" w:rsidR="007D419B" w:rsidRPr="00B83A18" w:rsidRDefault="007D419B" w:rsidP="00696E8F">
            <w:pPr>
              <w:rPr>
                <w:rFonts w:cs="Arial"/>
                <w:color w:val="000000"/>
              </w:rPr>
            </w:pPr>
            <w:r w:rsidRPr="00B83A18">
              <w:rPr>
                <w:rFonts w:cs="Arial"/>
                <w:color w:val="000000"/>
              </w:rPr>
              <w:t>04100A2</w:t>
            </w:r>
          </w:p>
        </w:tc>
        <w:tc>
          <w:tcPr>
            <w:tcW w:w="8128" w:type="dxa"/>
            <w:noWrap/>
            <w:vAlign w:val="center"/>
            <w:hideMark/>
          </w:tcPr>
          <w:p w14:paraId="30B8AA88" w14:textId="77777777" w:rsidR="007D419B" w:rsidRPr="00B83A18" w:rsidRDefault="007D419B" w:rsidP="00696E8F">
            <w:pPr>
              <w:rPr>
                <w:rFonts w:cs="Arial"/>
                <w:color w:val="000000"/>
              </w:rPr>
            </w:pPr>
            <w:r w:rsidRPr="00B83A18">
              <w:rPr>
                <w:rFonts w:cs="Arial"/>
                <w:color w:val="000000"/>
              </w:rPr>
              <w:t>Bypass Abdominal Aorta to Mesenteric Artery with Autologous Arterial Tissue, Open Approach</w:t>
            </w:r>
          </w:p>
        </w:tc>
      </w:tr>
      <w:tr w:rsidR="007D419B" w:rsidRPr="00B83A18" w14:paraId="177C61AF" w14:textId="77777777" w:rsidTr="002C718A">
        <w:trPr>
          <w:trHeight w:val="300"/>
        </w:trPr>
        <w:tc>
          <w:tcPr>
            <w:tcW w:w="1525" w:type="dxa"/>
            <w:noWrap/>
            <w:vAlign w:val="center"/>
            <w:hideMark/>
          </w:tcPr>
          <w:p w14:paraId="4CC1413A" w14:textId="77777777" w:rsidR="007D419B" w:rsidRPr="00B83A18" w:rsidRDefault="007D419B" w:rsidP="00696E8F">
            <w:pPr>
              <w:rPr>
                <w:rFonts w:cs="Arial"/>
                <w:color w:val="000000"/>
              </w:rPr>
            </w:pPr>
            <w:r w:rsidRPr="00B83A18">
              <w:rPr>
                <w:rFonts w:cs="Arial"/>
                <w:color w:val="000000"/>
              </w:rPr>
              <w:t>04100A3</w:t>
            </w:r>
          </w:p>
        </w:tc>
        <w:tc>
          <w:tcPr>
            <w:tcW w:w="8128" w:type="dxa"/>
            <w:noWrap/>
            <w:vAlign w:val="center"/>
            <w:hideMark/>
          </w:tcPr>
          <w:p w14:paraId="2CF03DB7" w14:textId="77777777" w:rsidR="007D419B" w:rsidRPr="00B83A18" w:rsidRDefault="007D419B" w:rsidP="00696E8F">
            <w:pPr>
              <w:rPr>
                <w:rFonts w:cs="Arial"/>
                <w:color w:val="000000"/>
              </w:rPr>
            </w:pPr>
            <w:r w:rsidRPr="00B83A18">
              <w:rPr>
                <w:rFonts w:cs="Arial"/>
                <w:color w:val="000000"/>
              </w:rPr>
              <w:t>Bypass Abdominal Aorta to Right Renal Artery with Autologous Arterial Tissue, Open Approach</w:t>
            </w:r>
          </w:p>
        </w:tc>
      </w:tr>
      <w:tr w:rsidR="007D419B" w:rsidRPr="00B83A18" w14:paraId="42E8734C" w14:textId="77777777" w:rsidTr="002C718A">
        <w:trPr>
          <w:trHeight w:val="300"/>
        </w:trPr>
        <w:tc>
          <w:tcPr>
            <w:tcW w:w="1525" w:type="dxa"/>
            <w:noWrap/>
            <w:vAlign w:val="center"/>
            <w:hideMark/>
          </w:tcPr>
          <w:p w14:paraId="19BC4600" w14:textId="77777777" w:rsidR="007D419B" w:rsidRPr="00B83A18" w:rsidRDefault="007D419B" w:rsidP="00696E8F">
            <w:pPr>
              <w:rPr>
                <w:rFonts w:cs="Arial"/>
                <w:color w:val="000000"/>
              </w:rPr>
            </w:pPr>
            <w:r w:rsidRPr="00B83A18">
              <w:rPr>
                <w:rFonts w:cs="Arial"/>
                <w:color w:val="000000"/>
              </w:rPr>
              <w:t>04100A4</w:t>
            </w:r>
          </w:p>
        </w:tc>
        <w:tc>
          <w:tcPr>
            <w:tcW w:w="8128" w:type="dxa"/>
            <w:noWrap/>
            <w:vAlign w:val="center"/>
            <w:hideMark/>
          </w:tcPr>
          <w:p w14:paraId="66D63627" w14:textId="77777777" w:rsidR="007D419B" w:rsidRPr="00B83A18" w:rsidRDefault="007D419B" w:rsidP="00696E8F">
            <w:pPr>
              <w:rPr>
                <w:rFonts w:cs="Arial"/>
                <w:color w:val="000000"/>
              </w:rPr>
            </w:pPr>
            <w:r w:rsidRPr="00B83A18">
              <w:rPr>
                <w:rFonts w:cs="Arial"/>
                <w:color w:val="000000"/>
              </w:rPr>
              <w:t>Bypass Abdominal Aorta to Left Renal Artery with Autologous Arterial Tissue, Open Approach</w:t>
            </w:r>
          </w:p>
        </w:tc>
      </w:tr>
      <w:tr w:rsidR="007D419B" w:rsidRPr="00B83A18" w14:paraId="3E45EB25" w14:textId="77777777" w:rsidTr="002C718A">
        <w:trPr>
          <w:trHeight w:val="300"/>
        </w:trPr>
        <w:tc>
          <w:tcPr>
            <w:tcW w:w="1525" w:type="dxa"/>
            <w:noWrap/>
            <w:vAlign w:val="center"/>
            <w:hideMark/>
          </w:tcPr>
          <w:p w14:paraId="6A9C117C" w14:textId="77777777" w:rsidR="007D419B" w:rsidRPr="00B83A18" w:rsidRDefault="007D419B" w:rsidP="00696E8F">
            <w:pPr>
              <w:rPr>
                <w:rFonts w:cs="Arial"/>
                <w:color w:val="000000"/>
              </w:rPr>
            </w:pPr>
            <w:r w:rsidRPr="00B83A18">
              <w:rPr>
                <w:rFonts w:cs="Arial"/>
                <w:color w:val="000000"/>
              </w:rPr>
              <w:t>04100A5</w:t>
            </w:r>
          </w:p>
        </w:tc>
        <w:tc>
          <w:tcPr>
            <w:tcW w:w="8128" w:type="dxa"/>
            <w:noWrap/>
            <w:vAlign w:val="center"/>
            <w:hideMark/>
          </w:tcPr>
          <w:p w14:paraId="0057AAF3" w14:textId="77777777" w:rsidR="007D419B" w:rsidRPr="00B83A18" w:rsidRDefault="007D419B" w:rsidP="00696E8F">
            <w:pPr>
              <w:rPr>
                <w:rFonts w:cs="Arial"/>
                <w:color w:val="000000"/>
              </w:rPr>
            </w:pPr>
            <w:r w:rsidRPr="00B83A18">
              <w:rPr>
                <w:rFonts w:cs="Arial"/>
                <w:color w:val="000000"/>
              </w:rPr>
              <w:t>Bypass Abdominal Aorta to Bilateral Renal Artery with Autologous Arterial Tissue, Open Approach</w:t>
            </w:r>
          </w:p>
        </w:tc>
      </w:tr>
      <w:tr w:rsidR="007D419B" w:rsidRPr="00B83A18" w14:paraId="13E3E85D" w14:textId="77777777" w:rsidTr="002C718A">
        <w:trPr>
          <w:trHeight w:val="300"/>
        </w:trPr>
        <w:tc>
          <w:tcPr>
            <w:tcW w:w="1525" w:type="dxa"/>
            <w:noWrap/>
            <w:vAlign w:val="center"/>
            <w:hideMark/>
          </w:tcPr>
          <w:p w14:paraId="1B5AAD22" w14:textId="77777777" w:rsidR="007D419B" w:rsidRPr="00B83A18" w:rsidRDefault="007D419B" w:rsidP="00696E8F">
            <w:pPr>
              <w:rPr>
                <w:rFonts w:cs="Arial"/>
                <w:color w:val="000000"/>
              </w:rPr>
            </w:pPr>
            <w:r w:rsidRPr="00B83A18">
              <w:rPr>
                <w:rFonts w:cs="Arial"/>
                <w:color w:val="000000"/>
              </w:rPr>
              <w:t>04100A6</w:t>
            </w:r>
          </w:p>
        </w:tc>
        <w:tc>
          <w:tcPr>
            <w:tcW w:w="8128" w:type="dxa"/>
            <w:noWrap/>
            <w:vAlign w:val="center"/>
            <w:hideMark/>
          </w:tcPr>
          <w:p w14:paraId="00B0A62E" w14:textId="77777777" w:rsidR="007D419B" w:rsidRPr="00B83A18" w:rsidRDefault="007D419B" w:rsidP="00696E8F">
            <w:pPr>
              <w:rPr>
                <w:rFonts w:cs="Arial"/>
                <w:color w:val="000000"/>
              </w:rPr>
            </w:pPr>
            <w:r w:rsidRPr="00B83A18">
              <w:rPr>
                <w:rFonts w:cs="Arial"/>
                <w:color w:val="000000"/>
              </w:rPr>
              <w:t>Bypass Abdominal Aorta to Right Common Iliac Artery with Autologous Arterial Tissue, Open Approach</w:t>
            </w:r>
          </w:p>
        </w:tc>
      </w:tr>
      <w:tr w:rsidR="007D419B" w:rsidRPr="00B83A18" w14:paraId="20648C92" w14:textId="77777777" w:rsidTr="002C718A">
        <w:trPr>
          <w:trHeight w:val="300"/>
        </w:trPr>
        <w:tc>
          <w:tcPr>
            <w:tcW w:w="1525" w:type="dxa"/>
            <w:noWrap/>
            <w:vAlign w:val="center"/>
            <w:hideMark/>
          </w:tcPr>
          <w:p w14:paraId="2955ED5D" w14:textId="77777777" w:rsidR="007D419B" w:rsidRPr="00B83A18" w:rsidRDefault="007D419B" w:rsidP="00696E8F">
            <w:pPr>
              <w:rPr>
                <w:rFonts w:cs="Arial"/>
                <w:color w:val="000000"/>
              </w:rPr>
            </w:pPr>
            <w:r w:rsidRPr="00B83A18">
              <w:rPr>
                <w:rFonts w:cs="Arial"/>
                <w:color w:val="000000"/>
              </w:rPr>
              <w:t>04100A7</w:t>
            </w:r>
          </w:p>
        </w:tc>
        <w:tc>
          <w:tcPr>
            <w:tcW w:w="8128" w:type="dxa"/>
            <w:noWrap/>
            <w:vAlign w:val="center"/>
            <w:hideMark/>
          </w:tcPr>
          <w:p w14:paraId="607FC2E4" w14:textId="77777777" w:rsidR="007D419B" w:rsidRPr="00B83A18" w:rsidRDefault="007D419B" w:rsidP="00696E8F">
            <w:pPr>
              <w:rPr>
                <w:rFonts w:cs="Arial"/>
                <w:color w:val="000000"/>
              </w:rPr>
            </w:pPr>
            <w:r w:rsidRPr="00B83A18">
              <w:rPr>
                <w:rFonts w:cs="Arial"/>
                <w:color w:val="000000"/>
              </w:rPr>
              <w:t>Bypass Abdominal Aorta to Left Common Iliac Artery with Autologous Arterial Tissue, Open Approach</w:t>
            </w:r>
          </w:p>
        </w:tc>
      </w:tr>
      <w:tr w:rsidR="007D419B" w:rsidRPr="00B83A18" w14:paraId="40F99F80" w14:textId="77777777" w:rsidTr="002C718A">
        <w:trPr>
          <w:trHeight w:val="300"/>
        </w:trPr>
        <w:tc>
          <w:tcPr>
            <w:tcW w:w="1525" w:type="dxa"/>
            <w:noWrap/>
            <w:vAlign w:val="center"/>
            <w:hideMark/>
          </w:tcPr>
          <w:p w14:paraId="4C716FD7" w14:textId="77777777" w:rsidR="007D419B" w:rsidRPr="00B83A18" w:rsidRDefault="007D419B" w:rsidP="00696E8F">
            <w:pPr>
              <w:rPr>
                <w:rFonts w:cs="Arial"/>
                <w:color w:val="000000"/>
              </w:rPr>
            </w:pPr>
            <w:r w:rsidRPr="00B83A18">
              <w:rPr>
                <w:rFonts w:cs="Arial"/>
                <w:color w:val="000000"/>
              </w:rPr>
              <w:t>04100A8</w:t>
            </w:r>
          </w:p>
        </w:tc>
        <w:tc>
          <w:tcPr>
            <w:tcW w:w="8128" w:type="dxa"/>
            <w:noWrap/>
            <w:vAlign w:val="center"/>
            <w:hideMark/>
          </w:tcPr>
          <w:p w14:paraId="36DC6ACA" w14:textId="77777777" w:rsidR="007D419B" w:rsidRPr="00B83A18" w:rsidRDefault="007D419B" w:rsidP="00696E8F">
            <w:pPr>
              <w:rPr>
                <w:rFonts w:cs="Arial"/>
                <w:color w:val="000000"/>
              </w:rPr>
            </w:pPr>
            <w:r w:rsidRPr="00B83A18">
              <w:rPr>
                <w:rFonts w:cs="Arial"/>
                <w:color w:val="000000"/>
              </w:rPr>
              <w:t>Bypass Abdominal Aorta to Bilateral Common Iliac Arteries with Autologous Arterial Tissue, Open Approach</w:t>
            </w:r>
          </w:p>
        </w:tc>
      </w:tr>
      <w:tr w:rsidR="007D419B" w:rsidRPr="00B83A18" w14:paraId="6321B50C" w14:textId="77777777" w:rsidTr="002C718A">
        <w:trPr>
          <w:trHeight w:val="300"/>
        </w:trPr>
        <w:tc>
          <w:tcPr>
            <w:tcW w:w="1525" w:type="dxa"/>
            <w:noWrap/>
            <w:vAlign w:val="center"/>
            <w:hideMark/>
          </w:tcPr>
          <w:p w14:paraId="4368BC5A" w14:textId="77777777" w:rsidR="007D419B" w:rsidRPr="00B83A18" w:rsidRDefault="007D419B" w:rsidP="00696E8F">
            <w:pPr>
              <w:rPr>
                <w:rFonts w:cs="Arial"/>
                <w:color w:val="000000"/>
              </w:rPr>
            </w:pPr>
            <w:r w:rsidRPr="00B83A18">
              <w:rPr>
                <w:rFonts w:cs="Arial"/>
                <w:color w:val="000000"/>
              </w:rPr>
              <w:t>04100A9</w:t>
            </w:r>
          </w:p>
        </w:tc>
        <w:tc>
          <w:tcPr>
            <w:tcW w:w="8128" w:type="dxa"/>
            <w:noWrap/>
            <w:vAlign w:val="center"/>
            <w:hideMark/>
          </w:tcPr>
          <w:p w14:paraId="240EB425" w14:textId="77777777" w:rsidR="007D419B" w:rsidRPr="00B83A18" w:rsidRDefault="007D419B" w:rsidP="00696E8F">
            <w:pPr>
              <w:rPr>
                <w:rFonts w:cs="Arial"/>
                <w:color w:val="000000"/>
              </w:rPr>
            </w:pPr>
            <w:r w:rsidRPr="00B83A18">
              <w:rPr>
                <w:rFonts w:cs="Arial"/>
                <w:color w:val="000000"/>
              </w:rPr>
              <w:t>Bypass Abdominal Aorta to Right Internal Iliac Artery with Autologous Arterial Tissue, Open Approach</w:t>
            </w:r>
          </w:p>
        </w:tc>
      </w:tr>
      <w:tr w:rsidR="007D419B" w:rsidRPr="00B83A18" w14:paraId="76F1D342" w14:textId="77777777" w:rsidTr="002C718A">
        <w:trPr>
          <w:trHeight w:val="300"/>
        </w:trPr>
        <w:tc>
          <w:tcPr>
            <w:tcW w:w="1525" w:type="dxa"/>
            <w:noWrap/>
            <w:vAlign w:val="center"/>
            <w:hideMark/>
          </w:tcPr>
          <w:p w14:paraId="1F2B83C0" w14:textId="77777777" w:rsidR="007D419B" w:rsidRPr="00B83A18" w:rsidRDefault="007D419B" w:rsidP="00696E8F">
            <w:pPr>
              <w:rPr>
                <w:rFonts w:cs="Arial"/>
                <w:color w:val="000000"/>
              </w:rPr>
            </w:pPr>
            <w:r w:rsidRPr="00B83A18">
              <w:rPr>
                <w:rFonts w:cs="Arial"/>
                <w:color w:val="000000"/>
              </w:rPr>
              <w:t>04100AB</w:t>
            </w:r>
          </w:p>
        </w:tc>
        <w:tc>
          <w:tcPr>
            <w:tcW w:w="8128" w:type="dxa"/>
            <w:noWrap/>
            <w:vAlign w:val="center"/>
            <w:hideMark/>
          </w:tcPr>
          <w:p w14:paraId="636A0FED" w14:textId="77777777" w:rsidR="007D419B" w:rsidRPr="00B83A18" w:rsidRDefault="007D419B" w:rsidP="00696E8F">
            <w:pPr>
              <w:rPr>
                <w:rFonts w:cs="Arial"/>
                <w:color w:val="000000"/>
              </w:rPr>
            </w:pPr>
            <w:r w:rsidRPr="00B83A18">
              <w:rPr>
                <w:rFonts w:cs="Arial"/>
                <w:color w:val="000000"/>
              </w:rPr>
              <w:t>Bypass Abdominal Aorta to Left Internal Iliac Artery with Autologous Arterial Tissue, Open Approach</w:t>
            </w:r>
          </w:p>
        </w:tc>
      </w:tr>
      <w:tr w:rsidR="007D419B" w:rsidRPr="00B83A18" w14:paraId="70326671" w14:textId="77777777" w:rsidTr="002C718A">
        <w:trPr>
          <w:trHeight w:val="300"/>
        </w:trPr>
        <w:tc>
          <w:tcPr>
            <w:tcW w:w="1525" w:type="dxa"/>
            <w:noWrap/>
            <w:vAlign w:val="center"/>
            <w:hideMark/>
          </w:tcPr>
          <w:p w14:paraId="364274DA" w14:textId="77777777" w:rsidR="007D419B" w:rsidRPr="00B83A18" w:rsidRDefault="007D419B" w:rsidP="00696E8F">
            <w:pPr>
              <w:rPr>
                <w:rFonts w:cs="Arial"/>
                <w:color w:val="000000"/>
              </w:rPr>
            </w:pPr>
            <w:r w:rsidRPr="00B83A18">
              <w:rPr>
                <w:rFonts w:cs="Arial"/>
                <w:color w:val="000000"/>
              </w:rPr>
              <w:t>04100AC</w:t>
            </w:r>
          </w:p>
        </w:tc>
        <w:tc>
          <w:tcPr>
            <w:tcW w:w="8128" w:type="dxa"/>
            <w:noWrap/>
            <w:vAlign w:val="center"/>
            <w:hideMark/>
          </w:tcPr>
          <w:p w14:paraId="2E899C00" w14:textId="77777777" w:rsidR="007D419B" w:rsidRPr="00B83A18" w:rsidRDefault="007D419B" w:rsidP="00696E8F">
            <w:pPr>
              <w:rPr>
                <w:rFonts w:cs="Arial"/>
                <w:color w:val="000000"/>
              </w:rPr>
            </w:pPr>
            <w:r w:rsidRPr="00B83A18">
              <w:rPr>
                <w:rFonts w:cs="Arial"/>
                <w:color w:val="000000"/>
              </w:rPr>
              <w:t>Bypass Abdominal Aorta to Bilateral Internal Iliac Arteries with Autologous Arterial Tissue, Open Approach</w:t>
            </w:r>
          </w:p>
        </w:tc>
      </w:tr>
      <w:tr w:rsidR="007D419B" w:rsidRPr="00B83A18" w14:paraId="7E0A6BB5" w14:textId="77777777" w:rsidTr="002C718A">
        <w:trPr>
          <w:trHeight w:val="300"/>
        </w:trPr>
        <w:tc>
          <w:tcPr>
            <w:tcW w:w="1525" w:type="dxa"/>
            <w:noWrap/>
            <w:vAlign w:val="center"/>
            <w:hideMark/>
          </w:tcPr>
          <w:p w14:paraId="5890F0F7" w14:textId="77777777" w:rsidR="007D419B" w:rsidRPr="00B83A18" w:rsidRDefault="007D419B" w:rsidP="00696E8F">
            <w:pPr>
              <w:rPr>
                <w:rFonts w:cs="Arial"/>
                <w:color w:val="000000"/>
              </w:rPr>
            </w:pPr>
            <w:r w:rsidRPr="00B83A18">
              <w:rPr>
                <w:rFonts w:cs="Arial"/>
                <w:color w:val="000000"/>
              </w:rPr>
              <w:t>04100AD</w:t>
            </w:r>
          </w:p>
        </w:tc>
        <w:tc>
          <w:tcPr>
            <w:tcW w:w="8128" w:type="dxa"/>
            <w:noWrap/>
            <w:vAlign w:val="center"/>
            <w:hideMark/>
          </w:tcPr>
          <w:p w14:paraId="4B790D92" w14:textId="77777777" w:rsidR="007D419B" w:rsidRPr="00B83A18" w:rsidRDefault="007D419B" w:rsidP="00696E8F">
            <w:pPr>
              <w:rPr>
                <w:rFonts w:cs="Arial"/>
                <w:color w:val="000000"/>
              </w:rPr>
            </w:pPr>
            <w:r w:rsidRPr="00B83A18">
              <w:rPr>
                <w:rFonts w:cs="Arial"/>
                <w:color w:val="000000"/>
              </w:rPr>
              <w:t>Bypass Abdominal Aorta to Right External Iliac Artery with Autologous Arterial Tissue, Open Approach</w:t>
            </w:r>
          </w:p>
        </w:tc>
      </w:tr>
      <w:tr w:rsidR="007D419B" w:rsidRPr="00B83A18" w14:paraId="1DE100D7" w14:textId="77777777" w:rsidTr="002C718A">
        <w:trPr>
          <w:trHeight w:val="300"/>
        </w:trPr>
        <w:tc>
          <w:tcPr>
            <w:tcW w:w="1525" w:type="dxa"/>
            <w:noWrap/>
            <w:vAlign w:val="center"/>
            <w:hideMark/>
          </w:tcPr>
          <w:p w14:paraId="70D2FE81" w14:textId="77777777" w:rsidR="007D419B" w:rsidRPr="00B83A18" w:rsidRDefault="007D419B" w:rsidP="00696E8F">
            <w:pPr>
              <w:rPr>
                <w:rFonts w:cs="Arial"/>
                <w:color w:val="000000"/>
              </w:rPr>
            </w:pPr>
            <w:r w:rsidRPr="00B83A18">
              <w:rPr>
                <w:rFonts w:cs="Arial"/>
                <w:color w:val="000000"/>
              </w:rPr>
              <w:t>04100AF</w:t>
            </w:r>
          </w:p>
        </w:tc>
        <w:tc>
          <w:tcPr>
            <w:tcW w:w="8128" w:type="dxa"/>
            <w:noWrap/>
            <w:vAlign w:val="center"/>
            <w:hideMark/>
          </w:tcPr>
          <w:p w14:paraId="697A8F86" w14:textId="77777777" w:rsidR="007D419B" w:rsidRPr="00B83A18" w:rsidRDefault="007D419B" w:rsidP="00696E8F">
            <w:pPr>
              <w:rPr>
                <w:rFonts w:cs="Arial"/>
                <w:color w:val="000000"/>
              </w:rPr>
            </w:pPr>
            <w:r w:rsidRPr="00B83A18">
              <w:rPr>
                <w:rFonts w:cs="Arial"/>
                <w:color w:val="000000"/>
              </w:rPr>
              <w:t>Bypass Abdominal Aorta to Left External Iliac Artery with Autologous Arterial Tissue, Open Approach</w:t>
            </w:r>
          </w:p>
        </w:tc>
      </w:tr>
      <w:tr w:rsidR="007D419B" w:rsidRPr="00B83A18" w14:paraId="1AFB7FF5" w14:textId="77777777" w:rsidTr="002C718A">
        <w:trPr>
          <w:trHeight w:val="300"/>
        </w:trPr>
        <w:tc>
          <w:tcPr>
            <w:tcW w:w="1525" w:type="dxa"/>
            <w:noWrap/>
            <w:vAlign w:val="center"/>
            <w:hideMark/>
          </w:tcPr>
          <w:p w14:paraId="5BEA06EE" w14:textId="77777777" w:rsidR="007D419B" w:rsidRPr="00B83A18" w:rsidRDefault="007D419B" w:rsidP="00696E8F">
            <w:pPr>
              <w:rPr>
                <w:rFonts w:cs="Arial"/>
                <w:color w:val="000000"/>
              </w:rPr>
            </w:pPr>
            <w:r w:rsidRPr="00B83A18">
              <w:rPr>
                <w:rFonts w:cs="Arial"/>
                <w:color w:val="000000"/>
              </w:rPr>
              <w:t>04100AG</w:t>
            </w:r>
          </w:p>
        </w:tc>
        <w:tc>
          <w:tcPr>
            <w:tcW w:w="8128" w:type="dxa"/>
            <w:noWrap/>
            <w:vAlign w:val="center"/>
            <w:hideMark/>
          </w:tcPr>
          <w:p w14:paraId="3C18B599" w14:textId="77777777" w:rsidR="007D419B" w:rsidRPr="00B83A18" w:rsidRDefault="007D419B" w:rsidP="00696E8F">
            <w:pPr>
              <w:rPr>
                <w:rFonts w:cs="Arial"/>
                <w:color w:val="000000"/>
              </w:rPr>
            </w:pPr>
            <w:r w:rsidRPr="00B83A18">
              <w:rPr>
                <w:rFonts w:cs="Arial"/>
                <w:color w:val="000000"/>
              </w:rPr>
              <w:t>Bypass Abdominal Aorta to Bilateral External Iliac Arteries with Autologous Arterial Tissue, Open Approach</w:t>
            </w:r>
          </w:p>
        </w:tc>
      </w:tr>
      <w:tr w:rsidR="007D419B" w:rsidRPr="00B83A18" w14:paraId="6BFFDECB" w14:textId="77777777" w:rsidTr="002C718A">
        <w:trPr>
          <w:trHeight w:val="300"/>
        </w:trPr>
        <w:tc>
          <w:tcPr>
            <w:tcW w:w="1525" w:type="dxa"/>
            <w:noWrap/>
            <w:vAlign w:val="center"/>
            <w:hideMark/>
          </w:tcPr>
          <w:p w14:paraId="3D689785" w14:textId="77777777" w:rsidR="007D419B" w:rsidRPr="00B83A18" w:rsidRDefault="007D419B" w:rsidP="00696E8F">
            <w:pPr>
              <w:rPr>
                <w:rFonts w:cs="Arial"/>
                <w:color w:val="000000"/>
              </w:rPr>
            </w:pPr>
            <w:r w:rsidRPr="00B83A18">
              <w:rPr>
                <w:rFonts w:cs="Arial"/>
                <w:color w:val="000000"/>
              </w:rPr>
              <w:t>04100AH</w:t>
            </w:r>
          </w:p>
        </w:tc>
        <w:tc>
          <w:tcPr>
            <w:tcW w:w="8128" w:type="dxa"/>
            <w:noWrap/>
            <w:vAlign w:val="center"/>
            <w:hideMark/>
          </w:tcPr>
          <w:p w14:paraId="7089A806" w14:textId="77777777" w:rsidR="007D419B" w:rsidRPr="00B83A18" w:rsidRDefault="007D419B" w:rsidP="00696E8F">
            <w:pPr>
              <w:rPr>
                <w:rFonts w:cs="Arial"/>
                <w:color w:val="000000"/>
              </w:rPr>
            </w:pPr>
            <w:r w:rsidRPr="00B83A18">
              <w:rPr>
                <w:rFonts w:cs="Arial"/>
                <w:color w:val="000000"/>
              </w:rPr>
              <w:t>Bypass Abdominal Aorta to Right Femoral Artery with Autologous Arterial Tissue, Open Approach</w:t>
            </w:r>
          </w:p>
        </w:tc>
      </w:tr>
      <w:tr w:rsidR="007D419B" w:rsidRPr="00B83A18" w14:paraId="3777931A" w14:textId="77777777" w:rsidTr="002C718A">
        <w:trPr>
          <w:trHeight w:val="300"/>
        </w:trPr>
        <w:tc>
          <w:tcPr>
            <w:tcW w:w="1525" w:type="dxa"/>
            <w:noWrap/>
            <w:vAlign w:val="center"/>
            <w:hideMark/>
          </w:tcPr>
          <w:p w14:paraId="5213123F" w14:textId="77777777" w:rsidR="007D419B" w:rsidRPr="00B83A18" w:rsidRDefault="007D419B" w:rsidP="00696E8F">
            <w:pPr>
              <w:rPr>
                <w:rFonts w:cs="Arial"/>
                <w:color w:val="000000"/>
              </w:rPr>
            </w:pPr>
            <w:r w:rsidRPr="00B83A18">
              <w:rPr>
                <w:rFonts w:cs="Arial"/>
                <w:color w:val="000000"/>
              </w:rPr>
              <w:t>04100AJ</w:t>
            </w:r>
          </w:p>
        </w:tc>
        <w:tc>
          <w:tcPr>
            <w:tcW w:w="8128" w:type="dxa"/>
            <w:noWrap/>
            <w:vAlign w:val="center"/>
            <w:hideMark/>
          </w:tcPr>
          <w:p w14:paraId="40AFE882" w14:textId="77777777" w:rsidR="007D419B" w:rsidRPr="00B83A18" w:rsidRDefault="007D419B" w:rsidP="00696E8F">
            <w:pPr>
              <w:rPr>
                <w:rFonts w:cs="Arial"/>
                <w:color w:val="000000"/>
              </w:rPr>
            </w:pPr>
            <w:r w:rsidRPr="00B83A18">
              <w:rPr>
                <w:rFonts w:cs="Arial"/>
                <w:color w:val="000000"/>
              </w:rPr>
              <w:t>Bypass Abdominal Aorta to Left Femoral Artery with Autologous Arterial Tissue, Open Approach</w:t>
            </w:r>
          </w:p>
        </w:tc>
      </w:tr>
      <w:tr w:rsidR="007D419B" w:rsidRPr="00B83A18" w14:paraId="6895E9F7" w14:textId="77777777" w:rsidTr="002C718A">
        <w:trPr>
          <w:trHeight w:val="300"/>
        </w:trPr>
        <w:tc>
          <w:tcPr>
            <w:tcW w:w="1525" w:type="dxa"/>
            <w:noWrap/>
            <w:vAlign w:val="center"/>
            <w:hideMark/>
          </w:tcPr>
          <w:p w14:paraId="0153180D" w14:textId="77777777" w:rsidR="007D419B" w:rsidRPr="00B83A18" w:rsidRDefault="007D419B" w:rsidP="00696E8F">
            <w:pPr>
              <w:rPr>
                <w:rFonts w:cs="Arial"/>
                <w:color w:val="000000"/>
              </w:rPr>
            </w:pPr>
            <w:r w:rsidRPr="00B83A18">
              <w:rPr>
                <w:rFonts w:cs="Arial"/>
                <w:color w:val="000000"/>
              </w:rPr>
              <w:t>04100AK</w:t>
            </w:r>
          </w:p>
        </w:tc>
        <w:tc>
          <w:tcPr>
            <w:tcW w:w="8128" w:type="dxa"/>
            <w:noWrap/>
            <w:vAlign w:val="center"/>
            <w:hideMark/>
          </w:tcPr>
          <w:p w14:paraId="6BCE68C3" w14:textId="77777777" w:rsidR="007D419B" w:rsidRPr="00B83A18" w:rsidRDefault="007D419B" w:rsidP="00696E8F">
            <w:pPr>
              <w:rPr>
                <w:rFonts w:cs="Arial"/>
                <w:color w:val="000000"/>
              </w:rPr>
            </w:pPr>
            <w:r w:rsidRPr="00B83A18">
              <w:rPr>
                <w:rFonts w:cs="Arial"/>
                <w:color w:val="000000"/>
              </w:rPr>
              <w:t>Bypass Abdominal Aorta to Bilateral Femoral Arteries with Autologous Arterial Tissue, Open Approach</w:t>
            </w:r>
          </w:p>
        </w:tc>
      </w:tr>
      <w:tr w:rsidR="007D419B" w:rsidRPr="00B83A18" w14:paraId="3ECE776B" w14:textId="77777777" w:rsidTr="002C718A">
        <w:trPr>
          <w:trHeight w:val="300"/>
        </w:trPr>
        <w:tc>
          <w:tcPr>
            <w:tcW w:w="1525" w:type="dxa"/>
            <w:noWrap/>
            <w:vAlign w:val="center"/>
            <w:hideMark/>
          </w:tcPr>
          <w:p w14:paraId="5A3D881D" w14:textId="77777777" w:rsidR="007D419B" w:rsidRPr="00B83A18" w:rsidRDefault="007D419B" w:rsidP="00696E8F">
            <w:pPr>
              <w:rPr>
                <w:rFonts w:cs="Arial"/>
                <w:color w:val="000000"/>
              </w:rPr>
            </w:pPr>
            <w:r w:rsidRPr="00B83A18">
              <w:rPr>
                <w:rFonts w:cs="Arial"/>
                <w:color w:val="000000"/>
              </w:rPr>
              <w:t>04100AQ</w:t>
            </w:r>
          </w:p>
        </w:tc>
        <w:tc>
          <w:tcPr>
            <w:tcW w:w="8128" w:type="dxa"/>
            <w:noWrap/>
            <w:vAlign w:val="center"/>
            <w:hideMark/>
          </w:tcPr>
          <w:p w14:paraId="059BA325" w14:textId="77777777" w:rsidR="007D419B" w:rsidRPr="00B83A18" w:rsidRDefault="007D419B" w:rsidP="00696E8F">
            <w:pPr>
              <w:rPr>
                <w:rFonts w:cs="Arial"/>
                <w:color w:val="000000"/>
              </w:rPr>
            </w:pPr>
            <w:r w:rsidRPr="00B83A18">
              <w:rPr>
                <w:rFonts w:cs="Arial"/>
                <w:color w:val="000000"/>
              </w:rPr>
              <w:t>Bypass Abdominal Aorta to Lower Extremity Artery with Autologous Arterial Tissue, Open Approach</w:t>
            </w:r>
          </w:p>
        </w:tc>
      </w:tr>
      <w:tr w:rsidR="007D419B" w:rsidRPr="00B83A18" w14:paraId="52FC653F" w14:textId="77777777" w:rsidTr="002C718A">
        <w:trPr>
          <w:trHeight w:val="300"/>
        </w:trPr>
        <w:tc>
          <w:tcPr>
            <w:tcW w:w="1525" w:type="dxa"/>
            <w:noWrap/>
            <w:vAlign w:val="center"/>
            <w:hideMark/>
          </w:tcPr>
          <w:p w14:paraId="11C80776" w14:textId="77777777" w:rsidR="007D419B" w:rsidRPr="00B83A18" w:rsidRDefault="007D419B" w:rsidP="00696E8F">
            <w:pPr>
              <w:rPr>
                <w:rFonts w:cs="Arial"/>
                <w:color w:val="000000"/>
              </w:rPr>
            </w:pPr>
            <w:r w:rsidRPr="00B83A18">
              <w:rPr>
                <w:rFonts w:cs="Arial"/>
                <w:color w:val="000000"/>
              </w:rPr>
              <w:t>04100AR</w:t>
            </w:r>
          </w:p>
        </w:tc>
        <w:tc>
          <w:tcPr>
            <w:tcW w:w="8128" w:type="dxa"/>
            <w:noWrap/>
            <w:vAlign w:val="center"/>
            <w:hideMark/>
          </w:tcPr>
          <w:p w14:paraId="41D2E733" w14:textId="77777777" w:rsidR="007D419B" w:rsidRPr="00B83A18" w:rsidRDefault="007D419B" w:rsidP="00696E8F">
            <w:pPr>
              <w:rPr>
                <w:rFonts w:cs="Arial"/>
                <w:color w:val="000000"/>
              </w:rPr>
            </w:pPr>
            <w:r w:rsidRPr="00B83A18">
              <w:rPr>
                <w:rFonts w:cs="Arial"/>
                <w:color w:val="000000"/>
              </w:rPr>
              <w:t>Bypass Abdominal Aorta to Lower Artery with Autologous Arterial Tissue, Open Approach</w:t>
            </w:r>
          </w:p>
        </w:tc>
      </w:tr>
      <w:tr w:rsidR="007D419B" w:rsidRPr="00B83A18" w14:paraId="32817F49" w14:textId="77777777" w:rsidTr="002C718A">
        <w:trPr>
          <w:trHeight w:val="300"/>
        </w:trPr>
        <w:tc>
          <w:tcPr>
            <w:tcW w:w="1525" w:type="dxa"/>
            <w:noWrap/>
            <w:vAlign w:val="center"/>
            <w:hideMark/>
          </w:tcPr>
          <w:p w14:paraId="37C4F3EF" w14:textId="77777777" w:rsidR="007D419B" w:rsidRPr="00B83A18" w:rsidRDefault="007D419B" w:rsidP="00696E8F">
            <w:pPr>
              <w:rPr>
                <w:rFonts w:cs="Arial"/>
                <w:color w:val="000000"/>
              </w:rPr>
            </w:pPr>
            <w:r w:rsidRPr="00B83A18">
              <w:rPr>
                <w:rFonts w:cs="Arial"/>
                <w:color w:val="000000"/>
              </w:rPr>
              <w:t>04100J0</w:t>
            </w:r>
          </w:p>
        </w:tc>
        <w:tc>
          <w:tcPr>
            <w:tcW w:w="8128" w:type="dxa"/>
            <w:noWrap/>
            <w:vAlign w:val="center"/>
            <w:hideMark/>
          </w:tcPr>
          <w:p w14:paraId="19CEEDB2" w14:textId="77777777" w:rsidR="007D419B" w:rsidRPr="00B83A18" w:rsidRDefault="007D419B" w:rsidP="00696E8F">
            <w:pPr>
              <w:rPr>
                <w:rFonts w:cs="Arial"/>
                <w:color w:val="000000"/>
              </w:rPr>
            </w:pPr>
            <w:r w:rsidRPr="00B83A18">
              <w:rPr>
                <w:rFonts w:cs="Arial"/>
                <w:color w:val="000000"/>
              </w:rPr>
              <w:t>Bypass Abdominal Aorta to Abdominal Aorta with Synthetic Substitute, Open Approach</w:t>
            </w:r>
          </w:p>
        </w:tc>
      </w:tr>
      <w:tr w:rsidR="007D419B" w:rsidRPr="00B83A18" w14:paraId="107669EF" w14:textId="77777777" w:rsidTr="002C718A">
        <w:trPr>
          <w:trHeight w:val="300"/>
        </w:trPr>
        <w:tc>
          <w:tcPr>
            <w:tcW w:w="1525" w:type="dxa"/>
            <w:noWrap/>
            <w:vAlign w:val="center"/>
            <w:hideMark/>
          </w:tcPr>
          <w:p w14:paraId="2CFCE126" w14:textId="77777777" w:rsidR="007D419B" w:rsidRPr="00B83A18" w:rsidRDefault="007D419B" w:rsidP="00696E8F">
            <w:pPr>
              <w:rPr>
                <w:rFonts w:cs="Arial"/>
                <w:color w:val="000000"/>
              </w:rPr>
            </w:pPr>
            <w:r w:rsidRPr="00B83A18">
              <w:rPr>
                <w:rFonts w:cs="Arial"/>
                <w:color w:val="000000"/>
              </w:rPr>
              <w:t>04100J1</w:t>
            </w:r>
          </w:p>
        </w:tc>
        <w:tc>
          <w:tcPr>
            <w:tcW w:w="8128" w:type="dxa"/>
            <w:noWrap/>
            <w:vAlign w:val="center"/>
            <w:hideMark/>
          </w:tcPr>
          <w:p w14:paraId="7C56292C" w14:textId="77777777" w:rsidR="007D419B" w:rsidRPr="00B83A18" w:rsidRDefault="007D419B" w:rsidP="00696E8F">
            <w:pPr>
              <w:rPr>
                <w:rFonts w:cs="Arial"/>
                <w:color w:val="000000"/>
              </w:rPr>
            </w:pPr>
            <w:r w:rsidRPr="00B83A18">
              <w:rPr>
                <w:rFonts w:cs="Arial"/>
                <w:color w:val="000000"/>
              </w:rPr>
              <w:t>Bypass Abdominal Aorta to Celiac Artery with Synthetic Substitute, Open Approach</w:t>
            </w:r>
          </w:p>
        </w:tc>
      </w:tr>
      <w:tr w:rsidR="007D419B" w:rsidRPr="00B83A18" w14:paraId="35CB7D35" w14:textId="77777777" w:rsidTr="002C718A">
        <w:trPr>
          <w:trHeight w:val="300"/>
        </w:trPr>
        <w:tc>
          <w:tcPr>
            <w:tcW w:w="1525" w:type="dxa"/>
            <w:noWrap/>
            <w:vAlign w:val="center"/>
            <w:hideMark/>
          </w:tcPr>
          <w:p w14:paraId="29CAAD7F" w14:textId="77777777" w:rsidR="007D419B" w:rsidRPr="00B83A18" w:rsidRDefault="007D419B" w:rsidP="00696E8F">
            <w:pPr>
              <w:rPr>
                <w:rFonts w:cs="Arial"/>
                <w:color w:val="000000"/>
              </w:rPr>
            </w:pPr>
            <w:r w:rsidRPr="00B83A18">
              <w:rPr>
                <w:rFonts w:cs="Arial"/>
                <w:color w:val="000000"/>
              </w:rPr>
              <w:t>04100J2</w:t>
            </w:r>
          </w:p>
        </w:tc>
        <w:tc>
          <w:tcPr>
            <w:tcW w:w="8128" w:type="dxa"/>
            <w:noWrap/>
            <w:vAlign w:val="center"/>
            <w:hideMark/>
          </w:tcPr>
          <w:p w14:paraId="5F6EB967" w14:textId="77777777" w:rsidR="007D419B" w:rsidRPr="00B83A18" w:rsidRDefault="007D419B" w:rsidP="00696E8F">
            <w:pPr>
              <w:rPr>
                <w:rFonts w:cs="Arial"/>
                <w:color w:val="000000"/>
              </w:rPr>
            </w:pPr>
            <w:r w:rsidRPr="00B83A18">
              <w:rPr>
                <w:rFonts w:cs="Arial"/>
                <w:color w:val="000000"/>
              </w:rPr>
              <w:t>Bypass Abdominal Aorta to Mesenteric Artery with Synthetic Substitute, Open Approach</w:t>
            </w:r>
          </w:p>
        </w:tc>
      </w:tr>
      <w:tr w:rsidR="007D419B" w:rsidRPr="00B83A18" w14:paraId="5803E00D" w14:textId="77777777" w:rsidTr="002C718A">
        <w:trPr>
          <w:trHeight w:val="300"/>
        </w:trPr>
        <w:tc>
          <w:tcPr>
            <w:tcW w:w="1525" w:type="dxa"/>
            <w:noWrap/>
            <w:vAlign w:val="center"/>
            <w:hideMark/>
          </w:tcPr>
          <w:p w14:paraId="5A8F3D75" w14:textId="77777777" w:rsidR="007D419B" w:rsidRPr="00B83A18" w:rsidRDefault="007D419B" w:rsidP="00696E8F">
            <w:pPr>
              <w:rPr>
                <w:rFonts w:cs="Arial"/>
                <w:color w:val="000000"/>
              </w:rPr>
            </w:pPr>
            <w:r w:rsidRPr="00B83A18">
              <w:rPr>
                <w:rFonts w:cs="Arial"/>
                <w:color w:val="000000"/>
              </w:rPr>
              <w:t>04100J3</w:t>
            </w:r>
          </w:p>
        </w:tc>
        <w:tc>
          <w:tcPr>
            <w:tcW w:w="8128" w:type="dxa"/>
            <w:noWrap/>
            <w:vAlign w:val="center"/>
            <w:hideMark/>
          </w:tcPr>
          <w:p w14:paraId="44359E3A" w14:textId="77777777" w:rsidR="007D419B" w:rsidRPr="00B83A18" w:rsidRDefault="007D419B" w:rsidP="00696E8F">
            <w:pPr>
              <w:rPr>
                <w:rFonts w:cs="Arial"/>
                <w:color w:val="000000"/>
              </w:rPr>
            </w:pPr>
            <w:r w:rsidRPr="00B83A18">
              <w:rPr>
                <w:rFonts w:cs="Arial"/>
                <w:color w:val="000000"/>
              </w:rPr>
              <w:t>Bypass Abdominal Aorta to Right Renal Artery with Synthetic Substitute, Open Approach</w:t>
            </w:r>
          </w:p>
        </w:tc>
      </w:tr>
      <w:tr w:rsidR="007D419B" w:rsidRPr="00B83A18" w14:paraId="386F7A87" w14:textId="77777777" w:rsidTr="002C718A">
        <w:trPr>
          <w:trHeight w:val="300"/>
        </w:trPr>
        <w:tc>
          <w:tcPr>
            <w:tcW w:w="1525" w:type="dxa"/>
            <w:noWrap/>
            <w:vAlign w:val="center"/>
            <w:hideMark/>
          </w:tcPr>
          <w:p w14:paraId="27B7296B" w14:textId="77777777" w:rsidR="007D419B" w:rsidRPr="00B83A18" w:rsidRDefault="007D419B" w:rsidP="00696E8F">
            <w:pPr>
              <w:rPr>
                <w:rFonts w:cs="Arial"/>
                <w:color w:val="000000"/>
              </w:rPr>
            </w:pPr>
            <w:r w:rsidRPr="00B83A18">
              <w:rPr>
                <w:rFonts w:cs="Arial"/>
                <w:color w:val="000000"/>
              </w:rPr>
              <w:t>04100J4</w:t>
            </w:r>
          </w:p>
        </w:tc>
        <w:tc>
          <w:tcPr>
            <w:tcW w:w="8128" w:type="dxa"/>
            <w:noWrap/>
            <w:vAlign w:val="center"/>
            <w:hideMark/>
          </w:tcPr>
          <w:p w14:paraId="38BCA76B" w14:textId="77777777" w:rsidR="007D419B" w:rsidRPr="00B83A18" w:rsidRDefault="007D419B" w:rsidP="00696E8F">
            <w:pPr>
              <w:rPr>
                <w:rFonts w:cs="Arial"/>
                <w:color w:val="000000"/>
              </w:rPr>
            </w:pPr>
            <w:r w:rsidRPr="00B83A18">
              <w:rPr>
                <w:rFonts w:cs="Arial"/>
                <w:color w:val="000000"/>
              </w:rPr>
              <w:t>Bypass Abdominal Aorta to Left Renal Artery with Synthetic Substitute, Open Approach</w:t>
            </w:r>
          </w:p>
        </w:tc>
      </w:tr>
      <w:tr w:rsidR="007D419B" w:rsidRPr="00B83A18" w14:paraId="1FC2FC40" w14:textId="77777777" w:rsidTr="002C718A">
        <w:trPr>
          <w:trHeight w:val="300"/>
        </w:trPr>
        <w:tc>
          <w:tcPr>
            <w:tcW w:w="1525" w:type="dxa"/>
            <w:noWrap/>
            <w:vAlign w:val="center"/>
            <w:hideMark/>
          </w:tcPr>
          <w:p w14:paraId="27BC71E6" w14:textId="77777777" w:rsidR="007D419B" w:rsidRPr="00B83A18" w:rsidRDefault="007D419B" w:rsidP="00696E8F">
            <w:pPr>
              <w:rPr>
                <w:rFonts w:cs="Arial"/>
                <w:color w:val="000000"/>
              </w:rPr>
            </w:pPr>
            <w:r w:rsidRPr="00B83A18">
              <w:rPr>
                <w:rFonts w:cs="Arial"/>
                <w:color w:val="000000"/>
              </w:rPr>
              <w:t>04100J5</w:t>
            </w:r>
          </w:p>
        </w:tc>
        <w:tc>
          <w:tcPr>
            <w:tcW w:w="8128" w:type="dxa"/>
            <w:noWrap/>
            <w:vAlign w:val="center"/>
            <w:hideMark/>
          </w:tcPr>
          <w:p w14:paraId="036A4AC4" w14:textId="77777777" w:rsidR="007D419B" w:rsidRPr="00B83A18" w:rsidRDefault="007D419B" w:rsidP="00696E8F">
            <w:pPr>
              <w:rPr>
                <w:rFonts w:cs="Arial"/>
                <w:color w:val="000000"/>
              </w:rPr>
            </w:pPr>
            <w:r w:rsidRPr="00B83A18">
              <w:rPr>
                <w:rFonts w:cs="Arial"/>
                <w:color w:val="000000"/>
              </w:rPr>
              <w:t>Bypass Abdominal Aorta to Bilateral Renal Artery with Synthetic Substitute, Open Approach</w:t>
            </w:r>
          </w:p>
        </w:tc>
      </w:tr>
      <w:tr w:rsidR="007D419B" w:rsidRPr="00B83A18" w14:paraId="64A9977A" w14:textId="77777777" w:rsidTr="002C718A">
        <w:trPr>
          <w:trHeight w:val="300"/>
        </w:trPr>
        <w:tc>
          <w:tcPr>
            <w:tcW w:w="1525" w:type="dxa"/>
            <w:noWrap/>
            <w:vAlign w:val="center"/>
            <w:hideMark/>
          </w:tcPr>
          <w:p w14:paraId="1653DBD3" w14:textId="77777777" w:rsidR="007D419B" w:rsidRPr="00B83A18" w:rsidRDefault="007D419B" w:rsidP="00696E8F">
            <w:pPr>
              <w:rPr>
                <w:rFonts w:cs="Arial"/>
                <w:color w:val="000000"/>
              </w:rPr>
            </w:pPr>
            <w:r w:rsidRPr="00B83A18">
              <w:rPr>
                <w:rFonts w:cs="Arial"/>
                <w:color w:val="000000"/>
              </w:rPr>
              <w:t>04100J6</w:t>
            </w:r>
          </w:p>
        </w:tc>
        <w:tc>
          <w:tcPr>
            <w:tcW w:w="8128" w:type="dxa"/>
            <w:noWrap/>
            <w:vAlign w:val="center"/>
            <w:hideMark/>
          </w:tcPr>
          <w:p w14:paraId="2A24E673" w14:textId="77777777" w:rsidR="007D419B" w:rsidRPr="00B83A18" w:rsidRDefault="007D419B" w:rsidP="00696E8F">
            <w:pPr>
              <w:rPr>
                <w:rFonts w:cs="Arial"/>
                <w:color w:val="000000"/>
              </w:rPr>
            </w:pPr>
            <w:r w:rsidRPr="00B83A18">
              <w:rPr>
                <w:rFonts w:cs="Arial"/>
                <w:color w:val="000000"/>
              </w:rPr>
              <w:t>Bypass Abdominal Aorta to Right Common Iliac Artery with Synthetic Substitute, Open Approach</w:t>
            </w:r>
          </w:p>
        </w:tc>
      </w:tr>
      <w:tr w:rsidR="007D419B" w:rsidRPr="00B83A18" w14:paraId="02401CD8" w14:textId="77777777" w:rsidTr="002C718A">
        <w:trPr>
          <w:trHeight w:val="300"/>
        </w:trPr>
        <w:tc>
          <w:tcPr>
            <w:tcW w:w="1525" w:type="dxa"/>
            <w:noWrap/>
            <w:vAlign w:val="center"/>
            <w:hideMark/>
          </w:tcPr>
          <w:p w14:paraId="59250B05" w14:textId="77777777" w:rsidR="007D419B" w:rsidRPr="00B83A18" w:rsidRDefault="007D419B" w:rsidP="00696E8F">
            <w:pPr>
              <w:rPr>
                <w:rFonts w:cs="Arial"/>
                <w:color w:val="000000"/>
              </w:rPr>
            </w:pPr>
            <w:r w:rsidRPr="00B83A18">
              <w:rPr>
                <w:rFonts w:cs="Arial"/>
                <w:color w:val="000000"/>
              </w:rPr>
              <w:t>04100J7</w:t>
            </w:r>
          </w:p>
        </w:tc>
        <w:tc>
          <w:tcPr>
            <w:tcW w:w="8128" w:type="dxa"/>
            <w:noWrap/>
            <w:vAlign w:val="center"/>
            <w:hideMark/>
          </w:tcPr>
          <w:p w14:paraId="7D24A7A3" w14:textId="77777777" w:rsidR="007D419B" w:rsidRPr="00B83A18" w:rsidRDefault="007D419B" w:rsidP="00696E8F">
            <w:pPr>
              <w:rPr>
                <w:rFonts w:cs="Arial"/>
                <w:color w:val="000000"/>
              </w:rPr>
            </w:pPr>
            <w:r w:rsidRPr="00B83A18">
              <w:rPr>
                <w:rFonts w:cs="Arial"/>
                <w:color w:val="000000"/>
              </w:rPr>
              <w:t>Bypass Abdominal Aorta to Left Common Iliac Artery with Synthetic Substitute, Open Approach</w:t>
            </w:r>
          </w:p>
        </w:tc>
      </w:tr>
      <w:tr w:rsidR="007D419B" w:rsidRPr="00B83A18" w14:paraId="37D5B483" w14:textId="77777777" w:rsidTr="002C718A">
        <w:trPr>
          <w:trHeight w:val="300"/>
        </w:trPr>
        <w:tc>
          <w:tcPr>
            <w:tcW w:w="1525" w:type="dxa"/>
            <w:noWrap/>
            <w:vAlign w:val="center"/>
            <w:hideMark/>
          </w:tcPr>
          <w:p w14:paraId="709F2B0F" w14:textId="77777777" w:rsidR="007D419B" w:rsidRPr="00B83A18" w:rsidRDefault="007D419B" w:rsidP="00696E8F">
            <w:pPr>
              <w:rPr>
                <w:rFonts w:cs="Arial"/>
                <w:color w:val="000000"/>
              </w:rPr>
            </w:pPr>
            <w:r w:rsidRPr="00B83A18">
              <w:rPr>
                <w:rFonts w:cs="Arial"/>
                <w:color w:val="000000"/>
              </w:rPr>
              <w:t>04100J8</w:t>
            </w:r>
          </w:p>
        </w:tc>
        <w:tc>
          <w:tcPr>
            <w:tcW w:w="8128" w:type="dxa"/>
            <w:noWrap/>
            <w:vAlign w:val="center"/>
            <w:hideMark/>
          </w:tcPr>
          <w:p w14:paraId="2543DF2E" w14:textId="77777777" w:rsidR="007D419B" w:rsidRPr="00B83A18" w:rsidRDefault="007D419B" w:rsidP="00696E8F">
            <w:pPr>
              <w:rPr>
                <w:rFonts w:cs="Arial"/>
                <w:color w:val="000000"/>
              </w:rPr>
            </w:pPr>
            <w:r w:rsidRPr="00B83A18">
              <w:rPr>
                <w:rFonts w:cs="Arial"/>
                <w:color w:val="000000"/>
              </w:rPr>
              <w:t>Bypass Abdominal Aorta to Bilateral Common Iliac Arteries with Synthetic Substitute, Open Approach</w:t>
            </w:r>
          </w:p>
        </w:tc>
      </w:tr>
      <w:tr w:rsidR="007D419B" w:rsidRPr="00B83A18" w14:paraId="51E8A812" w14:textId="77777777" w:rsidTr="002C718A">
        <w:trPr>
          <w:trHeight w:val="300"/>
        </w:trPr>
        <w:tc>
          <w:tcPr>
            <w:tcW w:w="1525" w:type="dxa"/>
            <w:noWrap/>
            <w:vAlign w:val="center"/>
            <w:hideMark/>
          </w:tcPr>
          <w:p w14:paraId="1C7AE666" w14:textId="77777777" w:rsidR="007D419B" w:rsidRPr="00B83A18" w:rsidRDefault="007D419B" w:rsidP="00696E8F">
            <w:pPr>
              <w:rPr>
                <w:rFonts w:cs="Arial"/>
                <w:color w:val="000000"/>
              </w:rPr>
            </w:pPr>
            <w:r w:rsidRPr="00B83A18">
              <w:rPr>
                <w:rFonts w:cs="Arial"/>
                <w:color w:val="000000"/>
              </w:rPr>
              <w:lastRenderedPageBreak/>
              <w:t>04100J9</w:t>
            </w:r>
          </w:p>
        </w:tc>
        <w:tc>
          <w:tcPr>
            <w:tcW w:w="8128" w:type="dxa"/>
            <w:noWrap/>
            <w:vAlign w:val="center"/>
            <w:hideMark/>
          </w:tcPr>
          <w:p w14:paraId="31E5A49B" w14:textId="77777777" w:rsidR="007D419B" w:rsidRPr="00B83A18" w:rsidRDefault="007D419B" w:rsidP="00696E8F">
            <w:pPr>
              <w:rPr>
                <w:rFonts w:cs="Arial"/>
                <w:color w:val="000000"/>
              </w:rPr>
            </w:pPr>
            <w:r w:rsidRPr="00B83A18">
              <w:rPr>
                <w:rFonts w:cs="Arial"/>
                <w:color w:val="000000"/>
              </w:rPr>
              <w:t>Bypass Abdominal Aorta to Right Internal Iliac Artery with Synthetic Substitute, Open Approach</w:t>
            </w:r>
          </w:p>
        </w:tc>
      </w:tr>
      <w:tr w:rsidR="007D419B" w:rsidRPr="00B83A18" w14:paraId="0F1BE425" w14:textId="77777777" w:rsidTr="002C718A">
        <w:trPr>
          <w:trHeight w:val="300"/>
        </w:trPr>
        <w:tc>
          <w:tcPr>
            <w:tcW w:w="1525" w:type="dxa"/>
            <w:noWrap/>
            <w:vAlign w:val="center"/>
            <w:hideMark/>
          </w:tcPr>
          <w:p w14:paraId="6584AB9B" w14:textId="77777777" w:rsidR="007D419B" w:rsidRPr="00B83A18" w:rsidRDefault="007D419B" w:rsidP="00696E8F">
            <w:pPr>
              <w:rPr>
                <w:rFonts w:cs="Arial"/>
                <w:color w:val="000000"/>
              </w:rPr>
            </w:pPr>
            <w:r w:rsidRPr="00B83A18">
              <w:rPr>
                <w:rFonts w:cs="Arial"/>
                <w:color w:val="000000"/>
              </w:rPr>
              <w:t>04100JB</w:t>
            </w:r>
          </w:p>
        </w:tc>
        <w:tc>
          <w:tcPr>
            <w:tcW w:w="8128" w:type="dxa"/>
            <w:noWrap/>
            <w:vAlign w:val="center"/>
            <w:hideMark/>
          </w:tcPr>
          <w:p w14:paraId="2DB836D2" w14:textId="77777777" w:rsidR="007D419B" w:rsidRPr="00B83A18" w:rsidRDefault="007D419B" w:rsidP="00696E8F">
            <w:pPr>
              <w:rPr>
                <w:rFonts w:cs="Arial"/>
                <w:color w:val="000000"/>
              </w:rPr>
            </w:pPr>
            <w:r w:rsidRPr="00B83A18">
              <w:rPr>
                <w:rFonts w:cs="Arial"/>
                <w:color w:val="000000"/>
              </w:rPr>
              <w:t>Bypass Abdominal Aorta to Left Internal Iliac Artery with Synthetic Substitute, Open Approach</w:t>
            </w:r>
          </w:p>
        </w:tc>
      </w:tr>
      <w:tr w:rsidR="007D419B" w:rsidRPr="00B83A18" w14:paraId="5CD393CD" w14:textId="77777777" w:rsidTr="002C718A">
        <w:trPr>
          <w:trHeight w:val="300"/>
        </w:trPr>
        <w:tc>
          <w:tcPr>
            <w:tcW w:w="1525" w:type="dxa"/>
            <w:noWrap/>
            <w:vAlign w:val="center"/>
            <w:hideMark/>
          </w:tcPr>
          <w:p w14:paraId="3C0C085A" w14:textId="77777777" w:rsidR="007D419B" w:rsidRPr="00B83A18" w:rsidRDefault="007D419B" w:rsidP="00696E8F">
            <w:pPr>
              <w:rPr>
                <w:rFonts w:cs="Arial"/>
                <w:color w:val="000000"/>
              </w:rPr>
            </w:pPr>
            <w:r w:rsidRPr="00B83A18">
              <w:rPr>
                <w:rFonts w:cs="Arial"/>
                <w:color w:val="000000"/>
              </w:rPr>
              <w:t>04100JC</w:t>
            </w:r>
          </w:p>
        </w:tc>
        <w:tc>
          <w:tcPr>
            <w:tcW w:w="8128" w:type="dxa"/>
            <w:noWrap/>
            <w:vAlign w:val="center"/>
            <w:hideMark/>
          </w:tcPr>
          <w:p w14:paraId="34A94547" w14:textId="77777777" w:rsidR="007D419B" w:rsidRPr="00B83A18" w:rsidRDefault="007D419B" w:rsidP="00696E8F">
            <w:pPr>
              <w:rPr>
                <w:rFonts w:cs="Arial"/>
                <w:color w:val="000000"/>
              </w:rPr>
            </w:pPr>
            <w:r w:rsidRPr="00B83A18">
              <w:rPr>
                <w:rFonts w:cs="Arial"/>
                <w:color w:val="000000"/>
              </w:rPr>
              <w:t>Bypass Abdominal Aorta to Bilateral Internal Iliac Arteries with Synthetic Substitute, Open Approach</w:t>
            </w:r>
          </w:p>
        </w:tc>
      </w:tr>
      <w:tr w:rsidR="007D419B" w:rsidRPr="00B83A18" w14:paraId="78D532C0" w14:textId="77777777" w:rsidTr="002C718A">
        <w:trPr>
          <w:trHeight w:val="300"/>
        </w:trPr>
        <w:tc>
          <w:tcPr>
            <w:tcW w:w="1525" w:type="dxa"/>
            <w:noWrap/>
            <w:vAlign w:val="center"/>
            <w:hideMark/>
          </w:tcPr>
          <w:p w14:paraId="3BDA059A" w14:textId="77777777" w:rsidR="007D419B" w:rsidRPr="00B83A18" w:rsidRDefault="007D419B" w:rsidP="00696E8F">
            <w:pPr>
              <w:rPr>
                <w:rFonts w:cs="Arial"/>
                <w:color w:val="000000"/>
              </w:rPr>
            </w:pPr>
            <w:r w:rsidRPr="00B83A18">
              <w:rPr>
                <w:rFonts w:cs="Arial"/>
                <w:color w:val="000000"/>
              </w:rPr>
              <w:t>04100JD</w:t>
            </w:r>
          </w:p>
        </w:tc>
        <w:tc>
          <w:tcPr>
            <w:tcW w:w="8128" w:type="dxa"/>
            <w:noWrap/>
            <w:vAlign w:val="center"/>
            <w:hideMark/>
          </w:tcPr>
          <w:p w14:paraId="3615AE87" w14:textId="77777777" w:rsidR="007D419B" w:rsidRPr="00B83A18" w:rsidRDefault="007D419B" w:rsidP="00696E8F">
            <w:pPr>
              <w:rPr>
                <w:rFonts w:cs="Arial"/>
                <w:color w:val="000000"/>
              </w:rPr>
            </w:pPr>
            <w:r w:rsidRPr="00B83A18">
              <w:rPr>
                <w:rFonts w:cs="Arial"/>
                <w:color w:val="000000"/>
              </w:rPr>
              <w:t>Bypass Abdominal Aorta to Right External Iliac Artery with Synthetic Substitute, Open Approach</w:t>
            </w:r>
          </w:p>
        </w:tc>
      </w:tr>
      <w:tr w:rsidR="007D419B" w:rsidRPr="00B83A18" w14:paraId="7F2160B8" w14:textId="77777777" w:rsidTr="002C718A">
        <w:trPr>
          <w:trHeight w:val="300"/>
        </w:trPr>
        <w:tc>
          <w:tcPr>
            <w:tcW w:w="1525" w:type="dxa"/>
            <w:noWrap/>
            <w:vAlign w:val="center"/>
            <w:hideMark/>
          </w:tcPr>
          <w:p w14:paraId="2608FB6B" w14:textId="77777777" w:rsidR="007D419B" w:rsidRPr="00B83A18" w:rsidRDefault="007D419B" w:rsidP="00696E8F">
            <w:pPr>
              <w:rPr>
                <w:rFonts w:cs="Arial"/>
                <w:color w:val="000000"/>
              </w:rPr>
            </w:pPr>
            <w:r w:rsidRPr="00B83A18">
              <w:rPr>
                <w:rFonts w:cs="Arial"/>
                <w:color w:val="000000"/>
              </w:rPr>
              <w:t>04100JF</w:t>
            </w:r>
          </w:p>
        </w:tc>
        <w:tc>
          <w:tcPr>
            <w:tcW w:w="8128" w:type="dxa"/>
            <w:noWrap/>
            <w:vAlign w:val="center"/>
            <w:hideMark/>
          </w:tcPr>
          <w:p w14:paraId="41A20187" w14:textId="77777777" w:rsidR="007D419B" w:rsidRPr="00B83A18" w:rsidRDefault="007D419B" w:rsidP="00696E8F">
            <w:pPr>
              <w:rPr>
                <w:rFonts w:cs="Arial"/>
                <w:color w:val="000000"/>
              </w:rPr>
            </w:pPr>
            <w:r w:rsidRPr="00B83A18">
              <w:rPr>
                <w:rFonts w:cs="Arial"/>
                <w:color w:val="000000"/>
              </w:rPr>
              <w:t>Bypass Abdominal Aorta to Left External Iliac Artery with Synthetic Substitute, Open Approach</w:t>
            </w:r>
          </w:p>
        </w:tc>
      </w:tr>
      <w:tr w:rsidR="007D419B" w:rsidRPr="00B83A18" w14:paraId="74D22673" w14:textId="77777777" w:rsidTr="002C718A">
        <w:trPr>
          <w:trHeight w:val="300"/>
        </w:trPr>
        <w:tc>
          <w:tcPr>
            <w:tcW w:w="1525" w:type="dxa"/>
            <w:noWrap/>
            <w:vAlign w:val="center"/>
            <w:hideMark/>
          </w:tcPr>
          <w:p w14:paraId="3E887A64" w14:textId="77777777" w:rsidR="007D419B" w:rsidRPr="00B83A18" w:rsidRDefault="007D419B" w:rsidP="00696E8F">
            <w:pPr>
              <w:rPr>
                <w:rFonts w:cs="Arial"/>
                <w:color w:val="000000"/>
              </w:rPr>
            </w:pPr>
            <w:r w:rsidRPr="00B83A18">
              <w:rPr>
                <w:rFonts w:cs="Arial"/>
                <w:color w:val="000000"/>
              </w:rPr>
              <w:t>04100JG</w:t>
            </w:r>
          </w:p>
        </w:tc>
        <w:tc>
          <w:tcPr>
            <w:tcW w:w="8128" w:type="dxa"/>
            <w:noWrap/>
            <w:vAlign w:val="center"/>
            <w:hideMark/>
          </w:tcPr>
          <w:p w14:paraId="14CC186F" w14:textId="77777777" w:rsidR="007D419B" w:rsidRPr="00B83A18" w:rsidRDefault="007D419B" w:rsidP="00696E8F">
            <w:pPr>
              <w:rPr>
                <w:rFonts w:cs="Arial"/>
                <w:color w:val="000000"/>
              </w:rPr>
            </w:pPr>
            <w:r w:rsidRPr="00B83A18">
              <w:rPr>
                <w:rFonts w:cs="Arial"/>
                <w:color w:val="000000"/>
              </w:rPr>
              <w:t>Bypass Abdominal Aorta to Bilateral External Iliac Arteries with Synthetic Substitute, Open Approach</w:t>
            </w:r>
          </w:p>
        </w:tc>
      </w:tr>
      <w:tr w:rsidR="007D419B" w:rsidRPr="00B83A18" w14:paraId="721C9B2F" w14:textId="77777777" w:rsidTr="002C718A">
        <w:trPr>
          <w:trHeight w:val="300"/>
        </w:trPr>
        <w:tc>
          <w:tcPr>
            <w:tcW w:w="1525" w:type="dxa"/>
            <w:noWrap/>
            <w:vAlign w:val="center"/>
            <w:hideMark/>
          </w:tcPr>
          <w:p w14:paraId="3D19F899" w14:textId="77777777" w:rsidR="007D419B" w:rsidRPr="00B83A18" w:rsidRDefault="007D419B" w:rsidP="00696E8F">
            <w:pPr>
              <w:rPr>
                <w:rFonts w:cs="Arial"/>
                <w:color w:val="000000"/>
              </w:rPr>
            </w:pPr>
            <w:r w:rsidRPr="00B83A18">
              <w:rPr>
                <w:rFonts w:cs="Arial"/>
                <w:color w:val="000000"/>
              </w:rPr>
              <w:t>04100JH</w:t>
            </w:r>
          </w:p>
        </w:tc>
        <w:tc>
          <w:tcPr>
            <w:tcW w:w="8128" w:type="dxa"/>
            <w:noWrap/>
            <w:vAlign w:val="center"/>
            <w:hideMark/>
          </w:tcPr>
          <w:p w14:paraId="2862D1F0" w14:textId="77777777" w:rsidR="007D419B" w:rsidRPr="00B83A18" w:rsidRDefault="007D419B" w:rsidP="00696E8F">
            <w:pPr>
              <w:rPr>
                <w:rFonts w:cs="Arial"/>
                <w:color w:val="000000"/>
              </w:rPr>
            </w:pPr>
            <w:r w:rsidRPr="00B83A18">
              <w:rPr>
                <w:rFonts w:cs="Arial"/>
                <w:color w:val="000000"/>
              </w:rPr>
              <w:t>Bypass Abdominal Aorta to Right Femoral Artery with Synthetic Substitute, Open Approach</w:t>
            </w:r>
          </w:p>
        </w:tc>
      </w:tr>
      <w:tr w:rsidR="007D419B" w:rsidRPr="00B83A18" w14:paraId="7B5C9B51" w14:textId="77777777" w:rsidTr="002C718A">
        <w:trPr>
          <w:trHeight w:val="300"/>
        </w:trPr>
        <w:tc>
          <w:tcPr>
            <w:tcW w:w="1525" w:type="dxa"/>
            <w:noWrap/>
            <w:vAlign w:val="center"/>
            <w:hideMark/>
          </w:tcPr>
          <w:p w14:paraId="4E7A405A" w14:textId="77777777" w:rsidR="007D419B" w:rsidRPr="00B83A18" w:rsidRDefault="007D419B" w:rsidP="00696E8F">
            <w:pPr>
              <w:rPr>
                <w:rFonts w:cs="Arial"/>
                <w:color w:val="000000"/>
              </w:rPr>
            </w:pPr>
            <w:r w:rsidRPr="00B83A18">
              <w:rPr>
                <w:rFonts w:cs="Arial"/>
                <w:color w:val="000000"/>
              </w:rPr>
              <w:t>04100JJ</w:t>
            </w:r>
          </w:p>
        </w:tc>
        <w:tc>
          <w:tcPr>
            <w:tcW w:w="8128" w:type="dxa"/>
            <w:noWrap/>
            <w:vAlign w:val="center"/>
            <w:hideMark/>
          </w:tcPr>
          <w:p w14:paraId="43039449" w14:textId="77777777" w:rsidR="007D419B" w:rsidRPr="00B83A18" w:rsidRDefault="007D419B" w:rsidP="00696E8F">
            <w:pPr>
              <w:rPr>
                <w:rFonts w:cs="Arial"/>
                <w:color w:val="000000"/>
              </w:rPr>
            </w:pPr>
            <w:r w:rsidRPr="00B83A18">
              <w:rPr>
                <w:rFonts w:cs="Arial"/>
                <w:color w:val="000000"/>
              </w:rPr>
              <w:t>Bypass Abdominal Aorta to Left Femoral Artery with Synthetic Substitute, Open Approach</w:t>
            </w:r>
          </w:p>
        </w:tc>
      </w:tr>
      <w:tr w:rsidR="007D419B" w:rsidRPr="00B83A18" w14:paraId="6E9CF658" w14:textId="77777777" w:rsidTr="002C718A">
        <w:trPr>
          <w:trHeight w:val="300"/>
        </w:trPr>
        <w:tc>
          <w:tcPr>
            <w:tcW w:w="1525" w:type="dxa"/>
            <w:noWrap/>
            <w:vAlign w:val="center"/>
            <w:hideMark/>
          </w:tcPr>
          <w:p w14:paraId="2ABF7AB9" w14:textId="77777777" w:rsidR="007D419B" w:rsidRPr="00B83A18" w:rsidRDefault="007D419B" w:rsidP="00696E8F">
            <w:pPr>
              <w:rPr>
                <w:rFonts w:cs="Arial"/>
                <w:color w:val="000000"/>
              </w:rPr>
            </w:pPr>
            <w:r w:rsidRPr="00B83A18">
              <w:rPr>
                <w:rFonts w:cs="Arial"/>
                <w:color w:val="000000"/>
              </w:rPr>
              <w:t>04100JK</w:t>
            </w:r>
          </w:p>
        </w:tc>
        <w:tc>
          <w:tcPr>
            <w:tcW w:w="8128" w:type="dxa"/>
            <w:noWrap/>
            <w:vAlign w:val="center"/>
            <w:hideMark/>
          </w:tcPr>
          <w:p w14:paraId="0ED3CE45" w14:textId="77777777" w:rsidR="007D419B" w:rsidRPr="00B83A18" w:rsidRDefault="007D419B" w:rsidP="00696E8F">
            <w:pPr>
              <w:rPr>
                <w:rFonts w:cs="Arial"/>
                <w:color w:val="000000"/>
              </w:rPr>
            </w:pPr>
            <w:r w:rsidRPr="00B83A18">
              <w:rPr>
                <w:rFonts w:cs="Arial"/>
                <w:color w:val="000000"/>
              </w:rPr>
              <w:t>Bypass Abdominal Aorta to Bilateral Femoral Arteries with Synthetic Substitute, Open Approach</w:t>
            </w:r>
          </w:p>
        </w:tc>
      </w:tr>
      <w:tr w:rsidR="007D419B" w:rsidRPr="00B83A18" w14:paraId="64FD4130" w14:textId="77777777" w:rsidTr="002C718A">
        <w:trPr>
          <w:trHeight w:val="300"/>
        </w:trPr>
        <w:tc>
          <w:tcPr>
            <w:tcW w:w="1525" w:type="dxa"/>
            <w:noWrap/>
            <w:vAlign w:val="center"/>
            <w:hideMark/>
          </w:tcPr>
          <w:p w14:paraId="16A38089" w14:textId="77777777" w:rsidR="007D419B" w:rsidRPr="00B83A18" w:rsidRDefault="007D419B" w:rsidP="00696E8F">
            <w:pPr>
              <w:rPr>
                <w:rFonts w:cs="Arial"/>
                <w:color w:val="000000"/>
              </w:rPr>
            </w:pPr>
            <w:r w:rsidRPr="00B83A18">
              <w:rPr>
                <w:rFonts w:cs="Arial"/>
                <w:color w:val="000000"/>
              </w:rPr>
              <w:t>04100JQ</w:t>
            </w:r>
          </w:p>
        </w:tc>
        <w:tc>
          <w:tcPr>
            <w:tcW w:w="8128" w:type="dxa"/>
            <w:noWrap/>
            <w:vAlign w:val="center"/>
            <w:hideMark/>
          </w:tcPr>
          <w:p w14:paraId="1986D745" w14:textId="77777777" w:rsidR="007D419B" w:rsidRPr="00B83A18" w:rsidRDefault="007D419B" w:rsidP="00696E8F">
            <w:pPr>
              <w:rPr>
                <w:rFonts w:cs="Arial"/>
                <w:color w:val="000000"/>
              </w:rPr>
            </w:pPr>
            <w:r w:rsidRPr="00B83A18">
              <w:rPr>
                <w:rFonts w:cs="Arial"/>
                <w:color w:val="000000"/>
              </w:rPr>
              <w:t>Bypass Abdominal Aorta to Lower Extremity Artery with Synthetic Substitute, Open Approach</w:t>
            </w:r>
          </w:p>
        </w:tc>
      </w:tr>
      <w:tr w:rsidR="007D419B" w:rsidRPr="00B83A18" w14:paraId="4B042A23" w14:textId="77777777" w:rsidTr="002C718A">
        <w:trPr>
          <w:trHeight w:val="300"/>
        </w:trPr>
        <w:tc>
          <w:tcPr>
            <w:tcW w:w="1525" w:type="dxa"/>
            <w:noWrap/>
            <w:vAlign w:val="center"/>
            <w:hideMark/>
          </w:tcPr>
          <w:p w14:paraId="62BAC772" w14:textId="77777777" w:rsidR="007D419B" w:rsidRPr="00B83A18" w:rsidRDefault="007D419B" w:rsidP="00696E8F">
            <w:pPr>
              <w:rPr>
                <w:rFonts w:cs="Arial"/>
                <w:color w:val="000000"/>
              </w:rPr>
            </w:pPr>
            <w:r w:rsidRPr="00B83A18">
              <w:rPr>
                <w:rFonts w:cs="Arial"/>
                <w:color w:val="000000"/>
              </w:rPr>
              <w:t>04100JR</w:t>
            </w:r>
          </w:p>
        </w:tc>
        <w:tc>
          <w:tcPr>
            <w:tcW w:w="8128" w:type="dxa"/>
            <w:noWrap/>
            <w:vAlign w:val="center"/>
            <w:hideMark/>
          </w:tcPr>
          <w:p w14:paraId="328247AB" w14:textId="77777777" w:rsidR="007D419B" w:rsidRPr="00B83A18" w:rsidRDefault="007D419B" w:rsidP="00696E8F">
            <w:pPr>
              <w:rPr>
                <w:rFonts w:cs="Arial"/>
                <w:color w:val="000000"/>
              </w:rPr>
            </w:pPr>
            <w:r w:rsidRPr="00B83A18">
              <w:rPr>
                <w:rFonts w:cs="Arial"/>
                <w:color w:val="000000"/>
              </w:rPr>
              <w:t>Bypass Abdominal Aorta to Lower Artery with Synthetic Substitute, Open Approach</w:t>
            </w:r>
          </w:p>
        </w:tc>
      </w:tr>
      <w:tr w:rsidR="007D419B" w:rsidRPr="00B83A18" w14:paraId="652C9BE3" w14:textId="77777777" w:rsidTr="002C718A">
        <w:trPr>
          <w:trHeight w:val="300"/>
        </w:trPr>
        <w:tc>
          <w:tcPr>
            <w:tcW w:w="1525" w:type="dxa"/>
            <w:noWrap/>
            <w:vAlign w:val="center"/>
            <w:hideMark/>
          </w:tcPr>
          <w:p w14:paraId="79D15156" w14:textId="77777777" w:rsidR="007D419B" w:rsidRPr="00B83A18" w:rsidRDefault="007D419B" w:rsidP="00696E8F">
            <w:pPr>
              <w:rPr>
                <w:rFonts w:cs="Arial"/>
                <w:color w:val="000000"/>
              </w:rPr>
            </w:pPr>
            <w:r w:rsidRPr="00B83A18">
              <w:rPr>
                <w:rFonts w:cs="Arial"/>
                <w:color w:val="000000"/>
              </w:rPr>
              <w:t>04100K0</w:t>
            </w:r>
          </w:p>
        </w:tc>
        <w:tc>
          <w:tcPr>
            <w:tcW w:w="8128" w:type="dxa"/>
            <w:noWrap/>
            <w:vAlign w:val="center"/>
            <w:hideMark/>
          </w:tcPr>
          <w:p w14:paraId="6E2A3B2A" w14:textId="77777777" w:rsidR="007D419B" w:rsidRPr="00B83A18" w:rsidRDefault="007D419B" w:rsidP="00696E8F">
            <w:pPr>
              <w:rPr>
                <w:rFonts w:cs="Arial"/>
                <w:color w:val="000000"/>
              </w:rPr>
            </w:pPr>
            <w:r w:rsidRPr="00B83A18">
              <w:rPr>
                <w:rFonts w:cs="Arial"/>
                <w:color w:val="000000"/>
              </w:rPr>
              <w:t>Bypass Abdominal Aorta to Abdominal Aorta with Nonautologous Tissue Substitute, Open Approach</w:t>
            </w:r>
          </w:p>
        </w:tc>
      </w:tr>
      <w:tr w:rsidR="007D419B" w:rsidRPr="00B83A18" w14:paraId="25A1A738" w14:textId="77777777" w:rsidTr="002C718A">
        <w:trPr>
          <w:trHeight w:val="300"/>
        </w:trPr>
        <w:tc>
          <w:tcPr>
            <w:tcW w:w="1525" w:type="dxa"/>
            <w:noWrap/>
            <w:vAlign w:val="center"/>
            <w:hideMark/>
          </w:tcPr>
          <w:p w14:paraId="7B654760" w14:textId="77777777" w:rsidR="007D419B" w:rsidRPr="00B83A18" w:rsidRDefault="007D419B" w:rsidP="00696E8F">
            <w:pPr>
              <w:rPr>
                <w:rFonts w:cs="Arial"/>
                <w:color w:val="000000"/>
              </w:rPr>
            </w:pPr>
            <w:r w:rsidRPr="00B83A18">
              <w:rPr>
                <w:rFonts w:cs="Arial"/>
                <w:color w:val="000000"/>
              </w:rPr>
              <w:t>04100K1</w:t>
            </w:r>
          </w:p>
        </w:tc>
        <w:tc>
          <w:tcPr>
            <w:tcW w:w="8128" w:type="dxa"/>
            <w:noWrap/>
            <w:vAlign w:val="center"/>
            <w:hideMark/>
          </w:tcPr>
          <w:p w14:paraId="77702E00" w14:textId="77777777" w:rsidR="007D419B" w:rsidRPr="00B83A18" w:rsidRDefault="007D419B" w:rsidP="00696E8F">
            <w:pPr>
              <w:rPr>
                <w:rFonts w:cs="Arial"/>
                <w:color w:val="000000"/>
              </w:rPr>
            </w:pPr>
            <w:r w:rsidRPr="00B83A18">
              <w:rPr>
                <w:rFonts w:cs="Arial"/>
                <w:color w:val="000000"/>
              </w:rPr>
              <w:t>Bypass Abdominal Aorta to Celiac Artery with Nonautologous Tissue Substitute, Open Approach</w:t>
            </w:r>
          </w:p>
        </w:tc>
      </w:tr>
      <w:tr w:rsidR="007D419B" w:rsidRPr="00B83A18" w14:paraId="60322BF4" w14:textId="77777777" w:rsidTr="002C718A">
        <w:trPr>
          <w:trHeight w:val="300"/>
        </w:trPr>
        <w:tc>
          <w:tcPr>
            <w:tcW w:w="1525" w:type="dxa"/>
            <w:noWrap/>
            <w:vAlign w:val="center"/>
            <w:hideMark/>
          </w:tcPr>
          <w:p w14:paraId="4598D481" w14:textId="77777777" w:rsidR="007D419B" w:rsidRPr="00B83A18" w:rsidRDefault="007D419B" w:rsidP="00696E8F">
            <w:pPr>
              <w:rPr>
                <w:rFonts w:cs="Arial"/>
                <w:color w:val="000000"/>
              </w:rPr>
            </w:pPr>
            <w:r w:rsidRPr="00B83A18">
              <w:rPr>
                <w:rFonts w:cs="Arial"/>
                <w:color w:val="000000"/>
              </w:rPr>
              <w:t>04100K2</w:t>
            </w:r>
          </w:p>
        </w:tc>
        <w:tc>
          <w:tcPr>
            <w:tcW w:w="8128" w:type="dxa"/>
            <w:noWrap/>
            <w:vAlign w:val="center"/>
            <w:hideMark/>
          </w:tcPr>
          <w:p w14:paraId="131D2571" w14:textId="77777777" w:rsidR="007D419B" w:rsidRPr="00B83A18" w:rsidRDefault="007D419B" w:rsidP="00696E8F">
            <w:pPr>
              <w:rPr>
                <w:rFonts w:cs="Arial"/>
                <w:color w:val="000000"/>
              </w:rPr>
            </w:pPr>
            <w:r w:rsidRPr="00B83A18">
              <w:rPr>
                <w:rFonts w:cs="Arial"/>
                <w:color w:val="000000"/>
              </w:rPr>
              <w:t>Bypass Abdominal Aorta to Mesenteric Artery with Nonautologous Tissue Substitute, Open Approach</w:t>
            </w:r>
          </w:p>
        </w:tc>
      </w:tr>
      <w:tr w:rsidR="007D419B" w:rsidRPr="00B83A18" w14:paraId="75DC3769" w14:textId="77777777" w:rsidTr="002C718A">
        <w:trPr>
          <w:trHeight w:val="300"/>
        </w:trPr>
        <w:tc>
          <w:tcPr>
            <w:tcW w:w="1525" w:type="dxa"/>
            <w:noWrap/>
            <w:vAlign w:val="center"/>
            <w:hideMark/>
          </w:tcPr>
          <w:p w14:paraId="7FCD098D" w14:textId="77777777" w:rsidR="007D419B" w:rsidRPr="00B83A18" w:rsidRDefault="007D419B" w:rsidP="00696E8F">
            <w:pPr>
              <w:rPr>
                <w:rFonts w:cs="Arial"/>
                <w:color w:val="000000"/>
              </w:rPr>
            </w:pPr>
            <w:r w:rsidRPr="00B83A18">
              <w:rPr>
                <w:rFonts w:cs="Arial"/>
                <w:color w:val="000000"/>
              </w:rPr>
              <w:t>04100K3</w:t>
            </w:r>
          </w:p>
        </w:tc>
        <w:tc>
          <w:tcPr>
            <w:tcW w:w="8128" w:type="dxa"/>
            <w:noWrap/>
            <w:vAlign w:val="center"/>
            <w:hideMark/>
          </w:tcPr>
          <w:p w14:paraId="77F46539" w14:textId="77777777" w:rsidR="007D419B" w:rsidRPr="00B83A18" w:rsidRDefault="007D419B" w:rsidP="00696E8F">
            <w:pPr>
              <w:rPr>
                <w:rFonts w:cs="Arial"/>
                <w:color w:val="000000"/>
              </w:rPr>
            </w:pPr>
            <w:r w:rsidRPr="00B83A18">
              <w:rPr>
                <w:rFonts w:cs="Arial"/>
                <w:color w:val="000000"/>
              </w:rPr>
              <w:t>Bypass Abdominal Aorta to Right Renal Artery with Nonautologous Tissue Substitute, Open Approach</w:t>
            </w:r>
          </w:p>
        </w:tc>
      </w:tr>
      <w:tr w:rsidR="007D419B" w:rsidRPr="00B83A18" w14:paraId="27B9ECC0" w14:textId="77777777" w:rsidTr="002C718A">
        <w:trPr>
          <w:trHeight w:val="300"/>
        </w:trPr>
        <w:tc>
          <w:tcPr>
            <w:tcW w:w="1525" w:type="dxa"/>
            <w:noWrap/>
            <w:vAlign w:val="center"/>
            <w:hideMark/>
          </w:tcPr>
          <w:p w14:paraId="1C46B327" w14:textId="77777777" w:rsidR="007D419B" w:rsidRPr="00B83A18" w:rsidRDefault="007D419B" w:rsidP="00696E8F">
            <w:pPr>
              <w:rPr>
                <w:rFonts w:cs="Arial"/>
                <w:color w:val="000000"/>
              </w:rPr>
            </w:pPr>
            <w:r w:rsidRPr="00B83A18">
              <w:rPr>
                <w:rFonts w:cs="Arial"/>
                <w:color w:val="000000"/>
              </w:rPr>
              <w:t>04100K4</w:t>
            </w:r>
          </w:p>
        </w:tc>
        <w:tc>
          <w:tcPr>
            <w:tcW w:w="8128" w:type="dxa"/>
            <w:noWrap/>
            <w:vAlign w:val="center"/>
            <w:hideMark/>
          </w:tcPr>
          <w:p w14:paraId="5F53AA52" w14:textId="77777777" w:rsidR="007D419B" w:rsidRPr="00B83A18" w:rsidRDefault="007D419B" w:rsidP="00696E8F">
            <w:pPr>
              <w:rPr>
                <w:rFonts w:cs="Arial"/>
                <w:color w:val="000000"/>
              </w:rPr>
            </w:pPr>
            <w:r w:rsidRPr="00B83A18">
              <w:rPr>
                <w:rFonts w:cs="Arial"/>
                <w:color w:val="000000"/>
              </w:rPr>
              <w:t>Bypass Abdominal Aorta to Left Renal Artery with Nonautologous Tissue Substitute, Open Approach</w:t>
            </w:r>
          </w:p>
        </w:tc>
      </w:tr>
      <w:tr w:rsidR="007D419B" w:rsidRPr="00B83A18" w14:paraId="61394301" w14:textId="77777777" w:rsidTr="002C718A">
        <w:trPr>
          <w:trHeight w:val="300"/>
        </w:trPr>
        <w:tc>
          <w:tcPr>
            <w:tcW w:w="1525" w:type="dxa"/>
            <w:noWrap/>
            <w:vAlign w:val="center"/>
            <w:hideMark/>
          </w:tcPr>
          <w:p w14:paraId="22BC36E0" w14:textId="77777777" w:rsidR="007D419B" w:rsidRPr="00B83A18" w:rsidRDefault="007D419B" w:rsidP="00696E8F">
            <w:pPr>
              <w:rPr>
                <w:rFonts w:cs="Arial"/>
                <w:color w:val="000000"/>
              </w:rPr>
            </w:pPr>
            <w:r w:rsidRPr="00B83A18">
              <w:rPr>
                <w:rFonts w:cs="Arial"/>
                <w:color w:val="000000"/>
              </w:rPr>
              <w:t>04100K5</w:t>
            </w:r>
          </w:p>
        </w:tc>
        <w:tc>
          <w:tcPr>
            <w:tcW w:w="8128" w:type="dxa"/>
            <w:noWrap/>
            <w:vAlign w:val="center"/>
            <w:hideMark/>
          </w:tcPr>
          <w:p w14:paraId="299200E6" w14:textId="77777777" w:rsidR="007D419B" w:rsidRPr="00B83A18" w:rsidRDefault="007D419B" w:rsidP="00696E8F">
            <w:pPr>
              <w:rPr>
                <w:rFonts w:cs="Arial"/>
                <w:color w:val="000000"/>
              </w:rPr>
            </w:pPr>
            <w:r w:rsidRPr="00B83A18">
              <w:rPr>
                <w:rFonts w:cs="Arial"/>
                <w:color w:val="000000"/>
              </w:rPr>
              <w:t>Bypass Abdominal Aorta to Bilateral Renal Artery with Nonautologous Tissue Substitute, Open Approach</w:t>
            </w:r>
          </w:p>
        </w:tc>
      </w:tr>
      <w:tr w:rsidR="007D419B" w:rsidRPr="00B83A18" w14:paraId="5CE593B7" w14:textId="77777777" w:rsidTr="002C718A">
        <w:trPr>
          <w:trHeight w:val="300"/>
        </w:trPr>
        <w:tc>
          <w:tcPr>
            <w:tcW w:w="1525" w:type="dxa"/>
            <w:noWrap/>
            <w:vAlign w:val="center"/>
            <w:hideMark/>
          </w:tcPr>
          <w:p w14:paraId="6CCC7A31" w14:textId="77777777" w:rsidR="007D419B" w:rsidRPr="00B83A18" w:rsidRDefault="007D419B" w:rsidP="00696E8F">
            <w:pPr>
              <w:rPr>
                <w:rFonts w:cs="Arial"/>
                <w:color w:val="000000"/>
              </w:rPr>
            </w:pPr>
            <w:r w:rsidRPr="00B83A18">
              <w:rPr>
                <w:rFonts w:cs="Arial"/>
                <w:color w:val="000000"/>
              </w:rPr>
              <w:t>04100K6</w:t>
            </w:r>
          </w:p>
        </w:tc>
        <w:tc>
          <w:tcPr>
            <w:tcW w:w="8128" w:type="dxa"/>
            <w:noWrap/>
            <w:vAlign w:val="center"/>
            <w:hideMark/>
          </w:tcPr>
          <w:p w14:paraId="7B789B2A" w14:textId="77777777" w:rsidR="007D419B" w:rsidRPr="00B83A18" w:rsidRDefault="007D419B" w:rsidP="00696E8F">
            <w:pPr>
              <w:rPr>
                <w:rFonts w:cs="Arial"/>
                <w:color w:val="000000"/>
              </w:rPr>
            </w:pPr>
            <w:r w:rsidRPr="00B83A18">
              <w:rPr>
                <w:rFonts w:cs="Arial"/>
                <w:color w:val="000000"/>
              </w:rPr>
              <w:t>Bypass Abdominal Aorta to Right Common Iliac Artery with Nonautologous Tissue Substitute, Open Approach</w:t>
            </w:r>
          </w:p>
        </w:tc>
      </w:tr>
      <w:tr w:rsidR="007D419B" w:rsidRPr="00B83A18" w14:paraId="2409A78C" w14:textId="77777777" w:rsidTr="002C718A">
        <w:trPr>
          <w:trHeight w:val="300"/>
        </w:trPr>
        <w:tc>
          <w:tcPr>
            <w:tcW w:w="1525" w:type="dxa"/>
            <w:noWrap/>
            <w:vAlign w:val="center"/>
            <w:hideMark/>
          </w:tcPr>
          <w:p w14:paraId="6E60BE40" w14:textId="77777777" w:rsidR="007D419B" w:rsidRPr="00B83A18" w:rsidRDefault="007D419B" w:rsidP="00696E8F">
            <w:pPr>
              <w:rPr>
                <w:rFonts w:cs="Arial"/>
                <w:color w:val="000000"/>
              </w:rPr>
            </w:pPr>
            <w:r w:rsidRPr="00B83A18">
              <w:rPr>
                <w:rFonts w:cs="Arial"/>
                <w:color w:val="000000"/>
              </w:rPr>
              <w:t>04100K7</w:t>
            </w:r>
          </w:p>
        </w:tc>
        <w:tc>
          <w:tcPr>
            <w:tcW w:w="8128" w:type="dxa"/>
            <w:noWrap/>
            <w:vAlign w:val="center"/>
            <w:hideMark/>
          </w:tcPr>
          <w:p w14:paraId="106F973D" w14:textId="77777777" w:rsidR="007D419B" w:rsidRPr="00B83A18" w:rsidRDefault="007D419B" w:rsidP="00696E8F">
            <w:pPr>
              <w:rPr>
                <w:rFonts w:cs="Arial"/>
                <w:color w:val="000000"/>
              </w:rPr>
            </w:pPr>
            <w:r w:rsidRPr="00B83A18">
              <w:rPr>
                <w:rFonts w:cs="Arial"/>
                <w:color w:val="000000"/>
              </w:rPr>
              <w:t>Bypass Abdominal Aorta to Left Common Iliac Artery with Nonautologous Tissue Substitute, Open Approach</w:t>
            </w:r>
          </w:p>
        </w:tc>
      </w:tr>
      <w:tr w:rsidR="007D419B" w:rsidRPr="00B83A18" w14:paraId="1627B2C7" w14:textId="77777777" w:rsidTr="002C718A">
        <w:trPr>
          <w:trHeight w:val="300"/>
        </w:trPr>
        <w:tc>
          <w:tcPr>
            <w:tcW w:w="1525" w:type="dxa"/>
            <w:noWrap/>
            <w:vAlign w:val="center"/>
            <w:hideMark/>
          </w:tcPr>
          <w:p w14:paraId="216D7C07" w14:textId="77777777" w:rsidR="007D419B" w:rsidRPr="00B83A18" w:rsidRDefault="007D419B" w:rsidP="00696E8F">
            <w:pPr>
              <w:rPr>
                <w:rFonts w:cs="Arial"/>
                <w:color w:val="000000"/>
              </w:rPr>
            </w:pPr>
            <w:r w:rsidRPr="00B83A18">
              <w:rPr>
                <w:rFonts w:cs="Arial"/>
                <w:color w:val="000000"/>
              </w:rPr>
              <w:t>04100K8</w:t>
            </w:r>
          </w:p>
        </w:tc>
        <w:tc>
          <w:tcPr>
            <w:tcW w:w="8128" w:type="dxa"/>
            <w:noWrap/>
            <w:vAlign w:val="center"/>
            <w:hideMark/>
          </w:tcPr>
          <w:p w14:paraId="003BEE0A" w14:textId="77777777" w:rsidR="007D419B" w:rsidRPr="00B83A18" w:rsidRDefault="007D419B" w:rsidP="00696E8F">
            <w:pPr>
              <w:rPr>
                <w:rFonts w:cs="Arial"/>
                <w:color w:val="000000"/>
              </w:rPr>
            </w:pPr>
            <w:r w:rsidRPr="00B83A18">
              <w:rPr>
                <w:rFonts w:cs="Arial"/>
                <w:color w:val="000000"/>
              </w:rPr>
              <w:t>Bypass Abdominal Aorta to Bilateral Common Iliac Arteries with Nonautologous Tissue Substitute, Open Approach</w:t>
            </w:r>
          </w:p>
        </w:tc>
      </w:tr>
      <w:tr w:rsidR="007D419B" w:rsidRPr="00B83A18" w14:paraId="1EC10282" w14:textId="77777777" w:rsidTr="002C718A">
        <w:trPr>
          <w:trHeight w:val="300"/>
        </w:trPr>
        <w:tc>
          <w:tcPr>
            <w:tcW w:w="1525" w:type="dxa"/>
            <w:noWrap/>
            <w:vAlign w:val="center"/>
            <w:hideMark/>
          </w:tcPr>
          <w:p w14:paraId="0C02382A" w14:textId="77777777" w:rsidR="007D419B" w:rsidRPr="00B83A18" w:rsidRDefault="007D419B" w:rsidP="00696E8F">
            <w:pPr>
              <w:rPr>
                <w:rFonts w:cs="Arial"/>
                <w:color w:val="000000"/>
              </w:rPr>
            </w:pPr>
            <w:r w:rsidRPr="00B83A18">
              <w:rPr>
                <w:rFonts w:cs="Arial"/>
                <w:color w:val="000000"/>
              </w:rPr>
              <w:t>04100K9</w:t>
            </w:r>
          </w:p>
        </w:tc>
        <w:tc>
          <w:tcPr>
            <w:tcW w:w="8128" w:type="dxa"/>
            <w:noWrap/>
            <w:vAlign w:val="center"/>
            <w:hideMark/>
          </w:tcPr>
          <w:p w14:paraId="4C316A1F" w14:textId="77777777" w:rsidR="007D419B" w:rsidRPr="00B83A18" w:rsidRDefault="007D419B" w:rsidP="00696E8F">
            <w:pPr>
              <w:rPr>
                <w:rFonts w:cs="Arial"/>
                <w:color w:val="000000"/>
              </w:rPr>
            </w:pPr>
            <w:r w:rsidRPr="00B83A18">
              <w:rPr>
                <w:rFonts w:cs="Arial"/>
                <w:color w:val="000000"/>
              </w:rPr>
              <w:t>Bypass Abdominal Aorta to Right Internal Iliac Artery with Nonautologous Tissue Substitute, Open Approach</w:t>
            </w:r>
          </w:p>
        </w:tc>
      </w:tr>
      <w:tr w:rsidR="007D419B" w:rsidRPr="00B83A18" w14:paraId="12A50B76" w14:textId="77777777" w:rsidTr="002C718A">
        <w:trPr>
          <w:trHeight w:val="300"/>
        </w:trPr>
        <w:tc>
          <w:tcPr>
            <w:tcW w:w="1525" w:type="dxa"/>
            <w:noWrap/>
            <w:vAlign w:val="center"/>
            <w:hideMark/>
          </w:tcPr>
          <w:p w14:paraId="6D89F9B5" w14:textId="77777777" w:rsidR="007D419B" w:rsidRPr="00B83A18" w:rsidRDefault="007D419B" w:rsidP="00696E8F">
            <w:pPr>
              <w:rPr>
                <w:rFonts w:cs="Arial"/>
                <w:color w:val="000000"/>
              </w:rPr>
            </w:pPr>
            <w:r w:rsidRPr="00B83A18">
              <w:rPr>
                <w:rFonts w:cs="Arial"/>
                <w:color w:val="000000"/>
              </w:rPr>
              <w:t>04100KB</w:t>
            </w:r>
          </w:p>
        </w:tc>
        <w:tc>
          <w:tcPr>
            <w:tcW w:w="8128" w:type="dxa"/>
            <w:noWrap/>
            <w:vAlign w:val="center"/>
            <w:hideMark/>
          </w:tcPr>
          <w:p w14:paraId="613D95B4" w14:textId="77777777" w:rsidR="007D419B" w:rsidRPr="00B83A18" w:rsidRDefault="007D419B" w:rsidP="00696E8F">
            <w:pPr>
              <w:rPr>
                <w:rFonts w:cs="Arial"/>
                <w:color w:val="000000"/>
              </w:rPr>
            </w:pPr>
            <w:r w:rsidRPr="00B83A18">
              <w:rPr>
                <w:rFonts w:cs="Arial"/>
                <w:color w:val="000000"/>
              </w:rPr>
              <w:t>Bypass Abdominal Aorta to Left Internal Iliac Artery with Nonautologous Tissue Substitute, Open Approach</w:t>
            </w:r>
          </w:p>
        </w:tc>
      </w:tr>
      <w:tr w:rsidR="007D419B" w:rsidRPr="00B83A18" w14:paraId="213E379D" w14:textId="77777777" w:rsidTr="002C718A">
        <w:trPr>
          <w:trHeight w:val="300"/>
        </w:trPr>
        <w:tc>
          <w:tcPr>
            <w:tcW w:w="1525" w:type="dxa"/>
            <w:noWrap/>
            <w:vAlign w:val="center"/>
            <w:hideMark/>
          </w:tcPr>
          <w:p w14:paraId="60B56503" w14:textId="77777777" w:rsidR="007D419B" w:rsidRPr="00B83A18" w:rsidRDefault="007D419B" w:rsidP="00696E8F">
            <w:pPr>
              <w:rPr>
                <w:rFonts w:cs="Arial"/>
                <w:color w:val="000000"/>
              </w:rPr>
            </w:pPr>
            <w:r w:rsidRPr="00B83A18">
              <w:rPr>
                <w:rFonts w:cs="Arial"/>
                <w:color w:val="000000"/>
              </w:rPr>
              <w:t>04100KC</w:t>
            </w:r>
          </w:p>
        </w:tc>
        <w:tc>
          <w:tcPr>
            <w:tcW w:w="8128" w:type="dxa"/>
            <w:noWrap/>
            <w:vAlign w:val="center"/>
            <w:hideMark/>
          </w:tcPr>
          <w:p w14:paraId="29F1184E" w14:textId="77777777" w:rsidR="007D419B" w:rsidRPr="00B83A18" w:rsidRDefault="007D419B" w:rsidP="00696E8F">
            <w:pPr>
              <w:rPr>
                <w:rFonts w:cs="Arial"/>
                <w:color w:val="000000"/>
              </w:rPr>
            </w:pPr>
            <w:r w:rsidRPr="00B83A18">
              <w:rPr>
                <w:rFonts w:cs="Arial"/>
                <w:color w:val="000000"/>
              </w:rPr>
              <w:t>Bypass Abdominal Aorta to Bilateral Internal Iliac Arteries with Nonautologous Tissue Substitute, Open Approach</w:t>
            </w:r>
          </w:p>
        </w:tc>
      </w:tr>
      <w:tr w:rsidR="007D419B" w:rsidRPr="00B83A18" w14:paraId="762681E3" w14:textId="77777777" w:rsidTr="002C718A">
        <w:trPr>
          <w:trHeight w:val="300"/>
        </w:trPr>
        <w:tc>
          <w:tcPr>
            <w:tcW w:w="1525" w:type="dxa"/>
            <w:noWrap/>
            <w:vAlign w:val="center"/>
            <w:hideMark/>
          </w:tcPr>
          <w:p w14:paraId="6AE83C41" w14:textId="77777777" w:rsidR="007D419B" w:rsidRPr="00B83A18" w:rsidRDefault="007D419B" w:rsidP="00696E8F">
            <w:pPr>
              <w:rPr>
                <w:rFonts w:cs="Arial"/>
                <w:color w:val="000000"/>
              </w:rPr>
            </w:pPr>
            <w:r w:rsidRPr="00B83A18">
              <w:rPr>
                <w:rFonts w:cs="Arial"/>
                <w:color w:val="000000"/>
              </w:rPr>
              <w:t>04100KD</w:t>
            </w:r>
          </w:p>
        </w:tc>
        <w:tc>
          <w:tcPr>
            <w:tcW w:w="8128" w:type="dxa"/>
            <w:noWrap/>
            <w:vAlign w:val="center"/>
            <w:hideMark/>
          </w:tcPr>
          <w:p w14:paraId="6A5C689F" w14:textId="77777777" w:rsidR="007D419B" w:rsidRPr="00B83A18" w:rsidRDefault="007D419B" w:rsidP="00696E8F">
            <w:pPr>
              <w:rPr>
                <w:rFonts w:cs="Arial"/>
                <w:color w:val="000000"/>
              </w:rPr>
            </w:pPr>
            <w:r w:rsidRPr="00B83A18">
              <w:rPr>
                <w:rFonts w:cs="Arial"/>
                <w:color w:val="000000"/>
              </w:rPr>
              <w:t>Bypass Abdominal Aorta to Right External Iliac Artery with Nonautologous Tissue Substitute, Open Approach</w:t>
            </w:r>
          </w:p>
        </w:tc>
      </w:tr>
      <w:tr w:rsidR="007D419B" w:rsidRPr="00B83A18" w14:paraId="73A4F89A" w14:textId="77777777" w:rsidTr="002C718A">
        <w:trPr>
          <w:trHeight w:val="300"/>
        </w:trPr>
        <w:tc>
          <w:tcPr>
            <w:tcW w:w="1525" w:type="dxa"/>
            <w:noWrap/>
            <w:vAlign w:val="center"/>
            <w:hideMark/>
          </w:tcPr>
          <w:p w14:paraId="3E51D168" w14:textId="77777777" w:rsidR="007D419B" w:rsidRPr="00B83A18" w:rsidRDefault="007D419B" w:rsidP="00696E8F">
            <w:pPr>
              <w:rPr>
                <w:rFonts w:cs="Arial"/>
                <w:color w:val="000000"/>
              </w:rPr>
            </w:pPr>
            <w:r w:rsidRPr="00B83A18">
              <w:rPr>
                <w:rFonts w:cs="Arial"/>
                <w:color w:val="000000"/>
              </w:rPr>
              <w:t>04100KF</w:t>
            </w:r>
          </w:p>
        </w:tc>
        <w:tc>
          <w:tcPr>
            <w:tcW w:w="8128" w:type="dxa"/>
            <w:noWrap/>
            <w:vAlign w:val="center"/>
            <w:hideMark/>
          </w:tcPr>
          <w:p w14:paraId="63DB6B01" w14:textId="77777777" w:rsidR="007D419B" w:rsidRPr="00B83A18" w:rsidRDefault="007D419B" w:rsidP="00696E8F">
            <w:pPr>
              <w:rPr>
                <w:rFonts w:cs="Arial"/>
                <w:color w:val="000000"/>
              </w:rPr>
            </w:pPr>
            <w:r w:rsidRPr="00B83A18">
              <w:rPr>
                <w:rFonts w:cs="Arial"/>
                <w:color w:val="000000"/>
              </w:rPr>
              <w:t>Bypass Abdominal Aorta to Left External Iliac Artery with Nonautologous Tissue Substitute, Open Approach</w:t>
            </w:r>
          </w:p>
        </w:tc>
      </w:tr>
      <w:tr w:rsidR="007D419B" w:rsidRPr="00B83A18" w14:paraId="2CB34C3A" w14:textId="77777777" w:rsidTr="002C718A">
        <w:trPr>
          <w:trHeight w:val="300"/>
        </w:trPr>
        <w:tc>
          <w:tcPr>
            <w:tcW w:w="1525" w:type="dxa"/>
            <w:noWrap/>
            <w:vAlign w:val="center"/>
            <w:hideMark/>
          </w:tcPr>
          <w:p w14:paraId="1AE213B9" w14:textId="77777777" w:rsidR="007D419B" w:rsidRPr="00B83A18" w:rsidRDefault="007D419B" w:rsidP="00696E8F">
            <w:pPr>
              <w:rPr>
                <w:rFonts w:cs="Arial"/>
                <w:color w:val="000000"/>
              </w:rPr>
            </w:pPr>
            <w:r w:rsidRPr="00B83A18">
              <w:rPr>
                <w:rFonts w:cs="Arial"/>
                <w:color w:val="000000"/>
              </w:rPr>
              <w:t>04100KG</w:t>
            </w:r>
          </w:p>
        </w:tc>
        <w:tc>
          <w:tcPr>
            <w:tcW w:w="8128" w:type="dxa"/>
            <w:noWrap/>
            <w:vAlign w:val="center"/>
            <w:hideMark/>
          </w:tcPr>
          <w:p w14:paraId="6E1B69B6" w14:textId="77777777" w:rsidR="007D419B" w:rsidRPr="00B83A18" w:rsidRDefault="007D419B" w:rsidP="00696E8F">
            <w:pPr>
              <w:rPr>
                <w:rFonts w:cs="Arial"/>
                <w:color w:val="000000"/>
              </w:rPr>
            </w:pPr>
            <w:r w:rsidRPr="00B83A18">
              <w:rPr>
                <w:rFonts w:cs="Arial"/>
                <w:color w:val="000000"/>
              </w:rPr>
              <w:t>Bypass Abdominal Aorta to Bilateral External Iliac Arteries with Nonautologous Tissue Substitute, Open Approach</w:t>
            </w:r>
          </w:p>
        </w:tc>
      </w:tr>
      <w:tr w:rsidR="007D419B" w:rsidRPr="00B83A18" w14:paraId="55666034" w14:textId="77777777" w:rsidTr="002C718A">
        <w:trPr>
          <w:trHeight w:val="300"/>
        </w:trPr>
        <w:tc>
          <w:tcPr>
            <w:tcW w:w="1525" w:type="dxa"/>
            <w:noWrap/>
            <w:vAlign w:val="center"/>
            <w:hideMark/>
          </w:tcPr>
          <w:p w14:paraId="75801021" w14:textId="77777777" w:rsidR="007D419B" w:rsidRPr="00B83A18" w:rsidRDefault="007D419B" w:rsidP="00696E8F">
            <w:pPr>
              <w:rPr>
                <w:rFonts w:cs="Arial"/>
                <w:color w:val="000000"/>
              </w:rPr>
            </w:pPr>
            <w:r w:rsidRPr="00B83A18">
              <w:rPr>
                <w:rFonts w:cs="Arial"/>
                <w:color w:val="000000"/>
              </w:rPr>
              <w:t>04100KH</w:t>
            </w:r>
          </w:p>
        </w:tc>
        <w:tc>
          <w:tcPr>
            <w:tcW w:w="8128" w:type="dxa"/>
            <w:noWrap/>
            <w:vAlign w:val="center"/>
            <w:hideMark/>
          </w:tcPr>
          <w:p w14:paraId="4CF7B1A2" w14:textId="77777777" w:rsidR="007D419B" w:rsidRPr="00B83A18" w:rsidRDefault="007D419B" w:rsidP="00696E8F">
            <w:pPr>
              <w:rPr>
                <w:rFonts w:cs="Arial"/>
                <w:color w:val="000000"/>
              </w:rPr>
            </w:pPr>
            <w:r w:rsidRPr="00B83A18">
              <w:rPr>
                <w:rFonts w:cs="Arial"/>
                <w:color w:val="000000"/>
              </w:rPr>
              <w:t>Bypass Abdominal Aorta to Right Femoral Artery with Nonautologous Tissue Substitute, Open Approach</w:t>
            </w:r>
          </w:p>
        </w:tc>
      </w:tr>
      <w:tr w:rsidR="007D419B" w:rsidRPr="00B83A18" w14:paraId="6A1A438F" w14:textId="77777777" w:rsidTr="002C718A">
        <w:trPr>
          <w:trHeight w:val="300"/>
        </w:trPr>
        <w:tc>
          <w:tcPr>
            <w:tcW w:w="1525" w:type="dxa"/>
            <w:noWrap/>
            <w:vAlign w:val="center"/>
            <w:hideMark/>
          </w:tcPr>
          <w:p w14:paraId="53858840" w14:textId="77777777" w:rsidR="007D419B" w:rsidRPr="00B83A18" w:rsidRDefault="007D419B" w:rsidP="00696E8F">
            <w:pPr>
              <w:rPr>
                <w:rFonts w:cs="Arial"/>
                <w:color w:val="000000"/>
              </w:rPr>
            </w:pPr>
            <w:r w:rsidRPr="00B83A18">
              <w:rPr>
                <w:rFonts w:cs="Arial"/>
                <w:color w:val="000000"/>
              </w:rPr>
              <w:lastRenderedPageBreak/>
              <w:t>04100KJ</w:t>
            </w:r>
          </w:p>
        </w:tc>
        <w:tc>
          <w:tcPr>
            <w:tcW w:w="8128" w:type="dxa"/>
            <w:noWrap/>
            <w:vAlign w:val="center"/>
            <w:hideMark/>
          </w:tcPr>
          <w:p w14:paraId="44C8E587" w14:textId="77777777" w:rsidR="007D419B" w:rsidRPr="00B83A18" w:rsidRDefault="007D419B" w:rsidP="00696E8F">
            <w:pPr>
              <w:rPr>
                <w:rFonts w:cs="Arial"/>
                <w:color w:val="000000"/>
              </w:rPr>
            </w:pPr>
            <w:r w:rsidRPr="00B83A18">
              <w:rPr>
                <w:rFonts w:cs="Arial"/>
                <w:color w:val="000000"/>
              </w:rPr>
              <w:t>Bypass Abdominal Aorta to Left Femoral Artery with Nonautologous Tissue Substitute, Open Approach</w:t>
            </w:r>
          </w:p>
        </w:tc>
      </w:tr>
      <w:tr w:rsidR="007D419B" w:rsidRPr="00B83A18" w14:paraId="3A5172BB" w14:textId="77777777" w:rsidTr="002C718A">
        <w:trPr>
          <w:trHeight w:val="300"/>
        </w:trPr>
        <w:tc>
          <w:tcPr>
            <w:tcW w:w="1525" w:type="dxa"/>
            <w:noWrap/>
            <w:vAlign w:val="center"/>
            <w:hideMark/>
          </w:tcPr>
          <w:p w14:paraId="0C9EA4C9" w14:textId="77777777" w:rsidR="007D419B" w:rsidRPr="00B83A18" w:rsidRDefault="007D419B" w:rsidP="00696E8F">
            <w:pPr>
              <w:rPr>
                <w:rFonts w:cs="Arial"/>
                <w:color w:val="000000"/>
              </w:rPr>
            </w:pPr>
            <w:r w:rsidRPr="00B83A18">
              <w:rPr>
                <w:rFonts w:cs="Arial"/>
                <w:color w:val="000000"/>
              </w:rPr>
              <w:t>04100KK</w:t>
            </w:r>
          </w:p>
        </w:tc>
        <w:tc>
          <w:tcPr>
            <w:tcW w:w="8128" w:type="dxa"/>
            <w:noWrap/>
            <w:vAlign w:val="center"/>
            <w:hideMark/>
          </w:tcPr>
          <w:p w14:paraId="3D2472B6" w14:textId="77777777" w:rsidR="007D419B" w:rsidRPr="00B83A18" w:rsidRDefault="007D419B" w:rsidP="00696E8F">
            <w:pPr>
              <w:rPr>
                <w:rFonts w:cs="Arial"/>
                <w:color w:val="000000"/>
              </w:rPr>
            </w:pPr>
            <w:r w:rsidRPr="00B83A18">
              <w:rPr>
                <w:rFonts w:cs="Arial"/>
                <w:color w:val="000000"/>
              </w:rPr>
              <w:t>Bypass Abdominal Aorta to Bilateral Femoral Arteries with Nonautologous Tissue Substitute, Open Approach</w:t>
            </w:r>
          </w:p>
        </w:tc>
      </w:tr>
      <w:tr w:rsidR="007D419B" w:rsidRPr="00B83A18" w14:paraId="60123687" w14:textId="77777777" w:rsidTr="002C718A">
        <w:trPr>
          <w:trHeight w:val="300"/>
        </w:trPr>
        <w:tc>
          <w:tcPr>
            <w:tcW w:w="1525" w:type="dxa"/>
            <w:noWrap/>
            <w:vAlign w:val="center"/>
            <w:hideMark/>
          </w:tcPr>
          <w:p w14:paraId="61AB35C4" w14:textId="77777777" w:rsidR="007D419B" w:rsidRPr="00B83A18" w:rsidRDefault="007D419B" w:rsidP="00696E8F">
            <w:pPr>
              <w:rPr>
                <w:rFonts w:cs="Arial"/>
                <w:color w:val="000000"/>
              </w:rPr>
            </w:pPr>
            <w:r w:rsidRPr="00B83A18">
              <w:rPr>
                <w:rFonts w:cs="Arial"/>
                <w:color w:val="000000"/>
              </w:rPr>
              <w:t>04100KQ</w:t>
            </w:r>
          </w:p>
        </w:tc>
        <w:tc>
          <w:tcPr>
            <w:tcW w:w="8128" w:type="dxa"/>
            <w:noWrap/>
            <w:vAlign w:val="center"/>
            <w:hideMark/>
          </w:tcPr>
          <w:p w14:paraId="003A8523" w14:textId="77777777" w:rsidR="007D419B" w:rsidRPr="00B83A18" w:rsidRDefault="007D419B" w:rsidP="00696E8F">
            <w:pPr>
              <w:rPr>
                <w:rFonts w:cs="Arial"/>
                <w:color w:val="000000"/>
              </w:rPr>
            </w:pPr>
            <w:r w:rsidRPr="00B83A18">
              <w:rPr>
                <w:rFonts w:cs="Arial"/>
                <w:color w:val="000000"/>
              </w:rPr>
              <w:t>Bypass Abdominal Aorta to Lower Extremity Artery with Nonautologous Tissue Substitute, Open Approach</w:t>
            </w:r>
          </w:p>
        </w:tc>
      </w:tr>
      <w:tr w:rsidR="007D419B" w:rsidRPr="00B83A18" w14:paraId="7D30C875" w14:textId="77777777" w:rsidTr="002C718A">
        <w:trPr>
          <w:trHeight w:val="300"/>
        </w:trPr>
        <w:tc>
          <w:tcPr>
            <w:tcW w:w="1525" w:type="dxa"/>
            <w:noWrap/>
            <w:vAlign w:val="center"/>
            <w:hideMark/>
          </w:tcPr>
          <w:p w14:paraId="35C2B655" w14:textId="77777777" w:rsidR="007D419B" w:rsidRPr="00B83A18" w:rsidRDefault="007D419B" w:rsidP="00696E8F">
            <w:pPr>
              <w:rPr>
                <w:rFonts w:cs="Arial"/>
                <w:color w:val="000000"/>
              </w:rPr>
            </w:pPr>
            <w:r w:rsidRPr="00B83A18">
              <w:rPr>
                <w:rFonts w:cs="Arial"/>
                <w:color w:val="000000"/>
              </w:rPr>
              <w:t>04100KR</w:t>
            </w:r>
          </w:p>
        </w:tc>
        <w:tc>
          <w:tcPr>
            <w:tcW w:w="8128" w:type="dxa"/>
            <w:noWrap/>
            <w:vAlign w:val="center"/>
            <w:hideMark/>
          </w:tcPr>
          <w:p w14:paraId="09D9A237" w14:textId="77777777" w:rsidR="007D419B" w:rsidRPr="00B83A18" w:rsidRDefault="007D419B" w:rsidP="00696E8F">
            <w:pPr>
              <w:rPr>
                <w:rFonts w:cs="Arial"/>
                <w:color w:val="000000"/>
              </w:rPr>
            </w:pPr>
            <w:r w:rsidRPr="00B83A18">
              <w:rPr>
                <w:rFonts w:cs="Arial"/>
                <w:color w:val="000000"/>
              </w:rPr>
              <w:t>Bypass Abdominal Aorta to Lower Artery with Nonautologous Tissue Substitute, Open Approach</w:t>
            </w:r>
          </w:p>
        </w:tc>
      </w:tr>
      <w:tr w:rsidR="007D419B" w:rsidRPr="00B83A18" w14:paraId="109CD485" w14:textId="77777777" w:rsidTr="002C718A">
        <w:trPr>
          <w:trHeight w:val="300"/>
        </w:trPr>
        <w:tc>
          <w:tcPr>
            <w:tcW w:w="1525" w:type="dxa"/>
            <w:noWrap/>
            <w:vAlign w:val="center"/>
            <w:hideMark/>
          </w:tcPr>
          <w:p w14:paraId="53871E59" w14:textId="77777777" w:rsidR="007D419B" w:rsidRPr="00B83A18" w:rsidRDefault="007D419B" w:rsidP="00696E8F">
            <w:pPr>
              <w:rPr>
                <w:rFonts w:cs="Arial"/>
                <w:color w:val="000000"/>
              </w:rPr>
            </w:pPr>
            <w:r w:rsidRPr="00B83A18">
              <w:rPr>
                <w:rFonts w:cs="Arial"/>
                <w:color w:val="000000"/>
              </w:rPr>
              <w:t>04100Z0</w:t>
            </w:r>
          </w:p>
        </w:tc>
        <w:tc>
          <w:tcPr>
            <w:tcW w:w="8128" w:type="dxa"/>
            <w:noWrap/>
            <w:vAlign w:val="center"/>
            <w:hideMark/>
          </w:tcPr>
          <w:p w14:paraId="01A42144" w14:textId="77777777" w:rsidR="007D419B" w:rsidRPr="00B83A18" w:rsidRDefault="007D419B" w:rsidP="00696E8F">
            <w:pPr>
              <w:rPr>
                <w:rFonts w:cs="Arial"/>
                <w:color w:val="000000"/>
              </w:rPr>
            </w:pPr>
            <w:r w:rsidRPr="00B83A18">
              <w:rPr>
                <w:rFonts w:cs="Arial"/>
                <w:color w:val="000000"/>
              </w:rPr>
              <w:t>Bypass Abdominal Aorta to Abdominal Aorta, Open Approach</w:t>
            </w:r>
          </w:p>
        </w:tc>
      </w:tr>
      <w:tr w:rsidR="007D419B" w:rsidRPr="00B83A18" w14:paraId="4E6BDB6B" w14:textId="77777777" w:rsidTr="002C718A">
        <w:trPr>
          <w:trHeight w:val="300"/>
        </w:trPr>
        <w:tc>
          <w:tcPr>
            <w:tcW w:w="1525" w:type="dxa"/>
            <w:noWrap/>
            <w:vAlign w:val="center"/>
            <w:hideMark/>
          </w:tcPr>
          <w:p w14:paraId="6B91A93D" w14:textId="77777777" w:rsidR="007D419B" w:rsidRPr="00B83A18" w:rsidRDefault="007D419B" w:rsidP="00696E8F">
            <w:pPr>
              <w:rPr>
                <w:rFonts w:cs="Arial"/>
                <w:color w:val="000000"/>
              </w:rPr>
            </w:pPr>
            <w:r w:rsidRPr="00B83A18">
              <w:rPr>
                <w:rFonts w:cs="Arial"/>
                <w:color w:val="000000"/>
              </w:rPr>
              <w:t>04100Z1</w:t>
            </w:r>
          </w:p>
        </w:tc>
        <w:tc>
          <w:tcPr>
            <w:tcW w:w="8128" w:type="dxa"/>
            <w:noWrap/>
            <w:vAlign w:val="center"/>
            <w:hideMark/>
          </w:tcPr>
          <w:p w14:paraId="4E1673F8" w14:textId="77777777" w:rsidR="007D419B" w:rsidRPr="00B83A18" w:rsidRDefault="007D419B" w:rsidP="00696E8F">
            <w:pPr>
              <w:rPr>
                <w:rFonts w:cs="Arial"/>
                <w:color w:val="000000"/>
              </w:rPr>
            </w:pPr>
            <w:r w:rsidRPr="00B83A18">
              <w:rPr>
                <w:rFonts w:cs="Arial"/>
                <w:color w:val="000000"/>
              </w:rPr>
              <w:t>Bypass Abdominal Aorta to Celiac Artery, Open Approach</w:t>
            </w:r>
          </w:p>
        </w:tc>
      </w:tr>
      <w:tr w:rsidR="007D419B" w:rsidRPr="00B83A18" w14:paraId="6164D6E0" w14:textId="77777777" w:rsidTr="002C718A">
        <w:trPr>
          <w:trHeight w:val="300"/>
        </w:trPr>
        <w:tc>
          <w:tcPr>
            <w:tcW w:w="1525" w:type="dxa"/>
            <w:noWrap/>
            <w:vAlign w:val="center"/>
            <w:hideMark/>
          </w:tcPr>
          <w:p w14:paraId="1ACD680C" w14:textId="77777777" w:rsidR="007D419B" w:rsidRPr="00B83A18" w:rsidRDefault="007D419B" w:rsidP="00696E8F">
            <w:pPr>
              <w:rPr>
                <w:rFonts w:cs="Arial"/>
                <w:color w:val="000000"/>
              </w:rPr>
            </w:pPr>
            <w:r w:rsidRPr="00B83A18">
              <w:rPr>
                <w:rFonts w:cs="Arial"/>
                <w:color w:val="000000"/>
              </w:rPr>
              <w:t>04100Z2</w:t>
            </w:r>
          </w:p>
        </w:tc>
        <w:tc>
          <w:tcPr>
            <w:tcW w:w="8128" w:type="dxa"/>
            <w:noWrap/>
            <w:vAlign w:val="center"/>
            <w:hideMark/>
          </w:tcPr>
          <w:p w14:paraId="551D5579" w14:textId="77777777" w:rsidR="007D419B" w:rsidRPr="00B83A18" w:rsidRDefault="007D419B" w:rsidP="00696E8F">
            <w:pPr>
              <w:rPr>
                <w:rFonts w:cs="Arial"/>
                <w:color w:val="000000"/>
              </w:rPr>
            </w:pPr>
            <w:r w:rsidRPr="00B83A18">
              <w:rPr>
                <w:rFonts w:cs="Arial"/>
                <w:color w:val="000000"/>
              </w:rPr>
              <w:t>Bypass Abdominal Aorta to Mesenteric Artery, Open Approach</w:t>
            </w:r>
          </w:p>
        </w:tc>
      </w:tr>
      <w:tr w:rsidR="007D419B" w:rsidRPr="00B83A18" w14:paraId="113C2BB8" w14:textId="77777777" w:rsidTr="002C718A">
        <w:trPr>
          <w:trHeight w:val="300"/>
        </w:trPr>
        <w:tc>
          <w:tcPr>
            <w:tcW w:w="1525" w:type="dxa"/>
            <w:noWrap/>
            <w:vAlign w:val="center"/>
            <w:hideMark/>
          </w:tcPr>
          <w:p w14:paraId="749439FF" w14:textId="77777777" w:rsidR="007D419B" w:rsidRPr="00B83A18" w:rsidRDefault="007D419B" w:rsidP="00696E8F">
            <w:pPr>
              <w:rPr>
                <w:rFonts w:cs="Arial"/>
                <w:color w:val="000000"/>
              </w:rPr>
            </w:pPr>
            <w:r w:rsidRPr="00B83A18">
              <w:rPr>
                <w:rFonts w:cs="Arial"/>
                <w:color w:val="000000"/>
              </w:rPr>
              <w:t>04100Z3</w:t>
            </w:r>
          </w:p>
        </w:tc>
        <w:tc>
          <w:tcPr>
            <w:tcW w:w="8128" w:type="dxa"/>
            <w:noWrap/>
            <w:vAlign w:val="center"/>
            <w:hideMark/>
          </w:tcPr>
          <w:p w14:paraId="7581D7AE" w14:textId="77777777" w:rsidR="007D419B" w:rsidRPr="00B83A18" w:rsidRDefault="007D419B" w:rsidP="00696E8F">
            <w:pPr>
              <w:rPr>
                <w:rFonts w:cs="Arial"/>
                <w:color w:val="000000"/>
              </w:rPr>
            </w:pPr>
            <w:r w:rsidRPr="00B83A18">
              <w:rPr>
                <w:rFonts w:cs="Arial"/>
                <w:color w:val="000000"/>
              </w:rPr>
              <w:t>Bypass Abdominal Aorta to Right Renal Artery, Open Approach</w:t>
            </w:r>
          </w:p>
        </w:tc>
      </w:tr>
      <w:tr w:rsidR="007D419B" w:rsidRPr="00B83A18" w14:paraId="61861643" w14:textId="77777777" w:rsidTr="002C718A">
        <w:trPr>
          <w:trHeight w:val="300"/>
        </w:trPr>
        <w:tc>
          <w:tcPr>
            <w:tcW w:w="1525" w:type="dxa"/>
            <w:noWrap/>
            <w:vAlign w:val="center"/>
            <w:hideMark/>
          </w:tcPr>
          <w:p w14:paraId="4C65EEE9" w14:textId="77777777" w:rsidR="007D419B" w:rsidRPr="00B83A18" w:rsidRDefault="007D419B" w:rsidP="00696E8F">
            <w:pPr>
              <w:rPr>
                <w:rFonts w:cs="Arial"/>
                <w:color w:val="000000"/>
              </w:rPr>
            </w:pPr>
            <w:r w:rsidRPr="00B83A18">
              <w:rPr>
                <w:rFonts w:cs="Arial"/>
                <w:color w:val="000000"/>
              </w:rPr>
              <w:t>04100Z4</w:t>
            </w:r>
          </w:p>
        </w:tc>
        <w:tc>
          <w:tcPr>
            <w:tcW w:w="8128" w:type="dxa"/>
            <w:noWrap/>
            <w:vAlign w:val="center"/>
            <w:hideMark/>
          </w:tcPr>
          <w:p w14:paraId="7D8B3BE7" w14:textId="77777777" w:rsidR="007D419B" w:rsidRPr="00B83A18" w:rsidRDefault="007D419B" w:rsidP="00696E8F">
            <w:pPr>
              <w:rPr>
                <w:rFonts w:cs="Arial"/>
                <w:color w:val="000000"/>
              </w:rPr>
            </w:pPr>
            <w:r w:rsidRPr="00B83A18">
              <w:rPr>
                <w:rFonts w:cs="Arial"/>
                <w:color w:val="000000"/>
              </w:rPr>
              <w:t>Bypass Abdominal Aorta to Left Renal Artery, Open Approach</w:t>
            </w:r>
          </w:p>
        </w:tc>
      </w:tr>
      <w:tr w:rsidR="007D419B" w:rsidRPr="00B83A18" w14:paraId="3D3D57D6" w14:textId="77777777" w:rsidTr="002C718A">
        <w:trPr>
          <w:trHeight w:val="300"/>
        </w:trPr>
        <w:tc>
          <w:tcPr>
            <w:tcW w:w="1525" w:type="dxa"/>
            <w:noWrap/>
            <w:vAlign w:val="center"/>
            <w:hideMark/>
          </w:tcPr>
          <w:p w14:paraId="7010E03A" w14:textId="77777777" w:rsidR="007D419B" w:rsidRPr="00B83A18" w:rsidRDefault="007D419B" w:rsidP="00696E8F">
            <w:pPr>
              <w:rPr>
                <w:rFonts w:cs="Arial"/>
                <w:color w:val="000000"/>
              </w:rPr>
            </w:pPr>
            <w:r w:rsidRPr="00B83A18">
              <w:rPr>
                <w:rFonts w:cs="Arial"/>
                <w:color w:val="000000"/>
              </w:rPr>
              <w:t>04100Z5</w:t>
            </w:r>
          </w:p>
        </w:tc>
        <w:tc>
          <w:tcPr>
            <w:tcW w:w="8128" w:type="dxa"/>
            <w:noWrap/>
            <w:vAlign w:val="center"/>
            <w:hideMark/>
          </w:tcPr>
          <w:p w14:paraId="527713BF" w14:textId="77777777" w:rsidR="007D419B" w:rsidRPr="00B83A18" w:rsidRDefault="007D419B" w:rsidP="00696E8F">
            <w:pPr>
              <w:rPr>
                <w:rFonts w:cs="Arial"/>
                <w:color w:val="000000"/>
              </w:rPr>
            </w:pPr>
            <w:r w:rsidRPr="00B83A18">
              <w:rPr>
                <w:rFonts w:cs="Arial"/>
                <w:color w:val="000000"/>
              </w:rPr>
              <w:t>Bypass Abdominal Aorta to Bilateral Renal Artery, Open Approach</w:t>
            </w:r>
          </w:p>
        </w:tc>
      </w:tr>
      <w:tr w:rsidR="007D419B" w:rsidRPr="00B83A18" w14:paraId="11F8561A" w14:textId="77777777" w:rsidTr="002C718A">
        <w:trPr>
          <w:trHeight w:val="300"/>
        </w:trPr>
        <w:tc>
          <w:tcPr>
            <w:tcW w:w="1525" w:type="dxa"/>
            <w:noWrap/>
            <w:vAlign w:val="center"/>
            <w:hideMark/>
          </w:tcPr>
          <w:p w14:paraId="755F7139" w14:textId="77777777" w:rsidR="007D419B" w:rsidRPr="00B83A18" w:rsidRDefault="007D419B" w:rsidP="00696E8F">
            <w:pPr>
              <w:rPr>
                <w:rFonts w:cs="Arial"/>
                <w:color w:val="000000"/>
              </w:rPr>
            </w:pPr>
            <w:r w:rsidRPr="00B83A18">
              <w:rPr>
                <w:rFonts w:cs="Arial"/>
                <w:color w:val="000000"/>
              </w:rPr>
              <w:t>04100Z6</w:t>
            </w:r>
          </w:p>
        </w:tc>
        <w:tc>
          <w:tcPr>
            <w:tcW w:w="8128" w:type="dxa"/>
            <w:noWrap/>
            <w:vAlign w:val="center"/>
            <w:hideMark/>
          </w:tcPr>
          <w:p w14:paraId="698798A8" w14:textId="77777777" w:rsidR="007D419B" w:rsidRPr="00B83A18" w:rsidRDefault="007D419B" w:rsidP="00696E8F">
            <w:pPr>
              <w:rPr>
                <w:rFonts w:cs="Arial"/>
                <w:color w:val="000000"/>
              </w:rPr>
            </w:pPr>
            <w:r w:rsidRPr="00B83A18">
              <w:rPr>
                <w:rFonts w:cs="Arial"/>
                <w:color w:val="000000"/>
              </w:rPr>
              <w:t>Bypass Abdominal Aorta to Right Common Iliac Artery, Open Approach</w:t>
            </w:r>
          </w:p>
        </w:tc>
      </w:tr>
      <w:tr w:rsidR="007D419B" w:rsidRPr="00B83A18" w14:paraId="655ACCE3" w14:textId="77777777" w:rsidTr="002C718A">
        <w:trPr>
          <w:trHeight w:val="300"/>
        </w:trPr>
        <w:tc>
          <w:tcPr>
            <w:tcW w:w="1525" w:type="dxa"/>
            <w:noWrap/>
            <w:vAlign w:val="center"/>
            <w:hideMark/>
          </w:tcPr>
          <w:p w14:paraId="7F0BDA97" w14:textId="77777777" w:rsidR="007D419B" w:rsidRPr="00B83A18" w:rsidRDefault="007D419B" w:rsidP="00696E8F">
            <w:pPr>
              <w:rPr>
                <w:rFonts w:cs="Arial"/>
                <w:color w:val="000000"/>
              </w:rPr>
            </w:pPr>
            <w:r w:rsidRPr="00B83A18">
              <w:rPr>
                <w:rFonts w:cs="Arial"/>
                <w:color w:val="000000"/>
              </w:rPr>
              <w:t>04100Z7</w:t>
            </w:r>
          </w:p>
        </w:tc>
        <w:tc>
          <w:tcPr>
            <w:tcW w:w="8128" w:type="dxa"/>
            <w:noWrap/>
            <w:vAlign w:val="center"/>
            <w:hideMark/>
          </w:tcPr>
          <w:p w14:paraId="04CDC713" w14:textId="77777777" w:rsidR="007D419B" w:rsidRPr="00B83A18" w:rsidRDefault="007D419B" w:rsidP="00696E8F">
            <w:pPr>
              <w:rPr>
                <w:rFonts w:cs="Arial"/>
                <w:color w:val="000000"/>
              </w:rPr>
            </w:pPr>
            <w:r w:rsidRPr="00B83A18">
              <w:rPr>
                <w:rFonts w:cs="Arial"/>
                <w:color w:val="000000"/>
              </w:rPr>
              <w:t>Bypass Abdominal Aorta to Left Common Iliac Artery, Open Approach</w:t>
            </w:r>
          </w:p>
        </w:tc>
      </w:tr>
      <w:tr w:rsidR="007D419B" w:rsidRPr="00B83A18" w14:paraId="0C6E5C1C" w14:textId="77777777" w:rsidTr="002C718A">
        <w:trPr>
          <w:trHeight w:val="300"/>
        </w:trPr>
        <w:tc>
          <w:tcPr>
            <w:tcW w:w="1525" w:type="dxa"/>
            <w:noWrap/>
            <w:vAlign w:val="center"/>
            <w:hideMark/>
          </w:tcPr>
          <w:p w14:paraId="67730803" w14:textId="77777777" w:rsidR="007D419B" w:rsidRPr="00B83A18" w:rsidRDefault="007D419B" w:rsidP="00696E8F">
            <w:pPr>
              <w:rPr>
                <w:rFonts w:cs="Arial"/>
                <w:color w:val="000000"/>
              </w:rPr>
            </w:pPr>
            <w:r w:rsidRPr="00B83A18">
              <w:rPr>
                <w:rFonts w:cs="Arial"/>
                <w:color w:val="000000"/>
              </w:rPr>
              <w:t>04100Z8</w:t>
            </w:r>
          </w:p>
        </w:tc>
        <w:tc>
          <w:tcPr>
            <w:tcW w:w="8128" w:type="dxa"/>
            <w:noWrap/>
            <w:vAlign w:val="center"/>
            <w:hideMark/>
          </w:tcPr>
          <w:p w14:paraId="43075C57" w14:textId="77777777" w:rsidR="007D419B" w:rsidRPr="00B83A18" w:rsidRDefault="007D419B" w:rsidP="00696E8F">
            <w:pPr>
              <w:rPr>
                <w:rFonts w:cs="Arial"/>
                <w:color w:val="000000"/>
              </w:rPr>
            </w:pPr>
            <w:r w:rsidRPr="00B83A18">
              <w:rPr>
                <w:rFonts w:cs="Arial"/>
                <w:color w:val="000000"/>
              </w:rPr>
              <w:t>Bypass Abdominal Aorta to Bilateral Common Iliac Arteries, Open Approach</w:t>
            </w:r>
          </w:p>
        </w:tc>
      </w:tr>
      <w:tr w:rsidR="007D419B" w:rsidRPr="00B83A18" w14:paraId="42BCCB18" w14:textId="77777777" w:rsidTr="002C718A">
        <w:trPr>
          <w:trHeight w:val="300"/>
        </w:trPr>
        <w:tc>
          <w:tcPr>
            <w:tcW w:w="1525" w:type="dxa"/>
            <w:noWrap/>
            <w:vAlign w:val="center"/>
            <w:hideMark/>
          </w:tcPr>
          <w:p w14:paraId="00D0643C" w14:textId="77777777" w:rsidR="007D419B" w:rsidRPr="00B83A18" w:rsidRDefault="007D419B" w:rsidP="00696E8F">
            <w:pPr>
              <w:rPr>
                <w:rFonts w:cs="Arial"/>
                <w:color w:val="000000"/>
              </w:rPr>
            </w:pPr>
            <w:r w:rsidRPr="00B83A18">
              <w:rPr>
                <w:rFonts w:cs="Arial"/>
                <w:color w:val="000000"/>
              </w:rPr>
              <w:t>04100Z9</w:t>
            </w:r>
          </w:p>
        </w:tc>
        <w:tc>
          <w:tcPr>
            <w:tcW w:w="8128" w:type="dxa"/>
            <w:noWrap/>
            <w:vAlign w:val="center"/>
            <w:hideMark/>
          </w:tcPr>
          <w:p w14:paraId="55A1FEE7" w14:textId="77777777" w:rsidR="007D419B" w:rsidRPr="00B83A18" w:rsidRDefault="007D419B" w:rsidP="00696E8F">
            <w:pPr>
              <w:rPr>
                <w:rFonts w:cs="Arial"/>
                <w:color w:val="000000"/>
              </w:rPr>
            </w:pPr>
            <w:r w:rsidRPr="00B83A18">
              <w:rPr>
                <w:rFonts w:cs="Arial"/>
                <w:color w:val="000000"/>
              </w:rPr>
              <w:t>Bypass Abdominal Aorta to Right Internal Iliac Artery, Open Approach</w:t>
            </w:r>
          </w:p>
        </w:tc>
      </w:tr>
      <w:tr w:rsidR="007D419B" w:rsidRPr="00B83A18" w14:paraId="4A278DC1" w14:textId="77777777" w:rsidTr="002C718A">
        <w:trPr>
          <w:trHeight w:val="300"/>
        </w:trPr>
        <w:tc>
          <w:tcPr>
            <w:tcW w:w="1525" w:type="dxa"/>
            <w:noWrap/>
            <w:vAlign w:val="center"/>
            <w:hideMark/>
          </w:tcPr>
          <w:p w14:paraId="5FC84197" w14:textId="77777777" w:rsidR="007D419B" w:rsidRPr="00B83A18" w:rsidRDefault="007D419B" w:rsidP="00696E8F">
            <w:pPr>
              <w:rPr>
                <w:rFonts w:cs="Arial"/>
                <w:color w:val="000000"/>
              </w:rPr>
            </w:pPr>
            <w:r w:rsidRPr="00B83A18">
              <w:rPr>
                <w:rFonts w:cs="Arial"/>
                <w:color w:val="000000"/>
              </w:rPr>
              <w:t>04100ZB</w:t>
            </w:r>
          </w:p>
        </w:tc>
        <w:tc>
          <w:tcPr>
            <w:tcW w:w="8128" w:type="dxa"/>
            <w:noWrap/>
            <w:vAlign w:val="center"/>
            <w:hideMark/>
          </w:tcPr>
          <w:p w14:paraId="208930F3" w14:textId="77777777" w:rsidR="007D419B" w:rsidRPr="00B83A18" w:rsidRDefault="007D419B" w:rsidP="00696E8F">
            <w:pPr>
              <w:rPr>
                <w:rFonts w:cs="Arial"/>
                <w:color w:val="000000"/>
              </w:rPr>
            </w:pPr>
            <w:r w:rsidRPr="00B83A18">
              <w:rPr>
                <w:rFonts w:cs="Arial"/>
                <w:color w:val="000000"/>
              </w:rPr>
              <w:t>Bypass Abdominal Aorta to Left Internal Iliac Artery, Open Approach</w:t>
            </w:r>
          </w:p>
        </w:tc>
      </w:tr>
      <w:tr w:rsidR="007D419B" w:rsidRPr="00B83A18" w14:paraId="11C4C85F" w14:textId="77777777" w:rsidTr="002C718A">
        <w:trPr>
          <w:trHeight w:val="300"/>
        </w:trPr>
        <w:tc>
          <w:tcPr>
            <w:tcW w:w="1525" w:type="dxa"/>
            <w:noWrap/>
            <w:vAlign w:val="center"/>
            <w:hideMark/>
          </w:tcPr>
          <w:p w14:paraId="6A75F6C8" w14:textId="77777777" w:rsidR="007D419B" w:rsidRPr="00B83A18" w:rsidRDefault="007D419B" w:rsidP="00696E8F">
            <w:pPr>
              <w:rPr>
                <w:rFonts w:cs="Arial"/>
                <w:color w:val="000000"/>
              </w:rPr>
            </w:pPr>
            <w:r w:rsidRPr="00B83A18">
              <w:rPr>
                <w:rFonts w:cs="Arial"/>
                <w:color w:val="000000"/>
              </w:rPr>
              <w:t>04100ZC</w:t>
            </w:r>
          </w:p>
        </w:tc>
        <w:tc>
          <w:tcPr>
            <w:tcW w:w="8128" w:type="dxa"/>
            <w:noWrap/>
            <w:vAlign w:val="center"/>
            <w:hideMark/>
          </w:tcPr>
          <w:p w14:paraId="4A895669" w14:textId="77777777" w:rsidR="007D419B" w:rsidRPr="00B83A18" w:rsidRDefault="007D419B" w:rsidP="00696E8F">
            <w:pPr>
              <w:rPr>
                <w:rFonts w:cs="Arial"/>
                <w:color w:val="000000"/>
              </w:rPr>
            </w:pPr>
            <w:r w:rsidRPr="00B83A18">
              <w:rPr>
                <w:rFonts w:cs="Arial"/>
                <w:color w:val="000000"/>
              </w:rPr>
              <w:t>Bypass Abdominal Aorta to Bilateral Internal Iliac Arteries, Open Approach</w:t>
            </w:r>
          </w:p>
        </w:tc>
      </w:tr>
      <w:tr w:rsidR="007D419B" w:rsidRPr="00B83A18" w14:paraId="7E21B017" w14:textId="77777777" w:rsidTr="002C718A">
        <w:trPr>
          <w:trHeight w:val="300"/>
        </w:trPr>
        <w:tc>
          <w:tcPr>
            <w:tcW w:w="1525" w:type="dxa"/>
            <w:noWrap/>
            <w:vAlign w:val="center"/>
            <w:hideMark/>
          </w:tcPr>
          <w:p w14:paraId="4547B044" w14:textId="77777777" w:rsidR="007D419B" w:rsidRPr="00B83A18" w:rsidRDefault="007D419B" w:rsidP="00696E8F">
            <w:pPr>
              <w:rPr>
                <w:rFonts w:cs="Arial"/>
                <w:color w:val="000000"/>
              </w:rPr>
            </w:pPr>
            <w:r w:rsidRPr="00B83A18">
              <w:rPr>
                <w:rFonts w:cs="Arial"/>
                <w:color w:val="000000"/>
              </w:rPr>
              <w:t>04100ZD</w:t>
            </w:r>
          </w:p>
        </w:tc>
        <w:tc>
          <w:tcPr>
            <w:tcW w:w="8128" w:type="dxa"/>
            <w:noWrap/>
            <w:vAlign w:val="center"/>
            <w:hideMark/>
          </w:tcPr>
          <w:p w14:paraId="6A41ECAE" w14:textId="77777777" w:rsidR="007D419B" w:rsidRPr="00B83A18" w:rsidRDefault="007D419B" w:rsidP="00696E8F">
            <w:pPr>
              <w:rPr>
                <w:rFonts w:cs="Arial"/>
                <w:color w:val="000000"/>
              </w:rPr>
            </w:pPr>
            <w:r w:rsidRPr="00B83A18">
              <w:rPr>
                <w:rFonts w:cs="Arial"/>
                <w:color w:val="000000"/>
              </w:rPr>
              <w:t>Bypass Abdominal Aorta to Right External Iliac Artery, Open Approach</w:t>
            </w:r>
          </w:p>
        </w:tc>
      </w:tr>
      <w:tr w:rsidR="007D419B" w:rsidRPr="00B83A18" w14:paraId="40A423FD" w14:textId="77777777" w:rsidTr="002C718A">
        <w:trPr>
          <w:trHeight w:val="300"/>
        </w:trPr>
        <w:tc>
          <w:tcPr>
            <w:tcW w:w="1525" w:type="dxa"/>
            <w:noWrap/>
            <w:vAlign w:val="center"/>
            <w:hideMark/>
          </w:tcPr>
          <w:p w14:paraId="6D6D5D3C" w14:textId="77777777" w:rsidR="007D419B" w:rsidRPr="00B83A18" w:rsidRDefault="007D419B" w:rsidP="00696E8F">
            <w:pPr>
              <w:rPr>
                <w:rFonts w:cs="Arial"/>
                <w:color w:val="000000"/>
              </w:rPr>
            </w:pPr>
            <w:r w:rsidRPr="00B83A18">
              <w:rPr>
                <w:rFonts w:cs="Arial"/>
                <w:color w:val="000000"/>
              </w:rPr>
              <w:t>04100ZF</w:t>
            </w:r>
          </w:p>
        </w:tc>
        <w:tc>
          <w:tcPr>
            <w:tcW w:w="8128" w:type="dxa"/>
            <w:noWrap/>
            <w:vAlign w:val="center"/>
            <w:hideMark/>
          </w:tcPr>
          <w:p w14:paraId="179EC2CE" w14:textId="77777777" w:rsidR="007D419B" w:rsidRPr="00B83A18" w:rsidRDefault="007D419B" w:rsidP="00696E8F">
            <w:pPr>
              <w:rPr>
                <w:rFonts w:cs="Arial"/>
                <w:color w:val="000000"/>
              </w:rPr>
            </w:pPr>
            <w:r w:rsidRPr="00B83A18">
              <w:rPr>
                <w:rFonts w:cs="Arial"/>
                <w:color w:val="000000"/>
              </w:rPr>
              <w:t>Bypass Abdominal Aorta to Left External Iliac Artery, Open Approach</w:t>
            </w:r>
          </w:p>
        </w:tc>
      </w:tr>
      <w:tr w:rsidR="007D419B" w:rsidRPr="00B83A18" w14:paraId="3B22F950" w14:textId="77777777" w:rsidTr="002C718A">
        <w:trPr>
          <w:trHeight w:val="300"/>
        </w:trPr>
        <w:tc>
          <w:tcPr>
            <w:tcW w:w="1525" w:type="dxa"/>
            <w:noWrap/>
            <w:vAlign w:val="center"/>
            <w:hideMark/>
          </w:tcPr>
          <w:p w14:paraId="740581DD" w14:textId="77777777" w:rsidR="007D419B" w:rsidRPr="00B83A18" w:rsidRDefault="007D419B" w:rsidP="00696E8F">
            <w:pPr>
              <w:rPr>
                <w:rFonts w:cs="Arial"/>
                <w:color w:val="000000"/>
              </w:rPr>
            </w:pPr>
            <w:r w:rsidRPr="00B83A18">
              <w:rPr>
                <w:rFonts w:cs="Arial"/>
                <w:color w:val="000000"/>
              </w:rPr>
              <w:t>04100ZG</w:t>
            </w:r>
          </w:p>
        </w:tc>
        <w:tc>
          <w:tcPr>
            <w:tcW w:w="8128" w:type="dxa"/>
            <w:noWrap/>
            <w:vAlign w:val="center"/>
            <w:hideMark/>
          </w:tcPr>
          <w:p w14:paraId="1253FD24" w14:textId="77777777" w:rsidR="007D419B" w:rsidRPr="00B83A18" w:rsidRDefault="007D419B" w:rsidP="00696E8F">
            <w:pPr>
              <w:rPr>
                <w:rFonts w:cs="Arial"/>
                <w:color w:val="000000"/>
              </w:rPr>
            </w:pPr>
            <w:r w:rsidRPr="00B83A18">
              <w:rPr>
                <w:rFonts w:cs="Arial"/>
                <w:color w:val="000000"/>
              </w:rPr>
              <w:t>Bypass Abdominal Aorta to Bilateral External Iliac Arteries, Open Approach</w:t>
            </w:r>
          </w:p>
        </w:tc>
      </w:tr>
      <w:tr w:rsidR="007D419B" w:rsidRPr="00B83A18" w14:paraId="5C52BD11" w14:textId="77777777" w:rsidTr="002C718A">
        <w:trPr>
          <w:trHeight w:val="300"/>
        </w:trPr>
        <w:tc>
          <w:tcPr>
            <w:tcW w:w="1525" w:type="dxa"/>
            <w:noWrap/>
            <w:vAlign w:val="center"/>
            <w:hideMark/>
          </w:tcPr>
          <w:p w14:paraId="47C3447C" w14:textId="77777777" w:rsidR="007D419B" w:rsidRPr="00B83A18" w:rsidRDefault="007D419B" w:rsidP="00696E8F">
            <w:pPr>
              <w:rPr>
                <w:rFonts w:cs="Arial"/>
                <w:color w:val="000000"/>
              </w:rPr>
            </w:pPr>
            <w:r w:rsidRPr="00B83A18">
              <w:rPr>
                <w:rFonts w:cs="Arial"/>
                <w:color w:val="000000"/>
              </w:rPr>
              <w:t>04100ZH</w:t>
            </w:r>
          </w:p>
        </w:tc>
        <w:tc>
          <w:tcPr>
            <w:tcW w:w="8128" w:type="dxa"/>
            <w:noWrap/>
            <w:vAlign w:val="center"/>
            <w:hideMark/>
          </w:tcPr>
          <w:p w14:paraId="29271B65" w14:textId="77777777" w:rsidR="007D419B" w:rsidRPr="00B83A18" w:rsidRDefault="007D419B" w:rsidP="00696E8F">
            <w:pPr>
              <w:rPr>
                <w:rFonts w:cs="Arial"/>
                <w:color w:val="000000"/>
              </w:rPr>
            </w:pPr>
            <w:r w:rsidRPr="00B83A18">
              <w:rPr>
                <w:rFonts w:cs="Arial"/>
                <w:color w:val="000000"/>
              </w:rPr>
              <w:t>Bypass Abdominal Aorta to Right Femoral Artery, Open Approach</w:t>
            </w:r>
          </w:p>
        </w:tc>
      </w:tr>
      <w:tr w:rsidR="007D419B" w:rsidRPr="00B83A18" w14:paraId="775CFE1F" w14:textId="77777777" w:rsidTr="002C718A">
        <w:trPr>
          <w:trHeight w:val="300"/>
        </w:trPr>
        <w:tc>
          <w:tcPr>
            <w:tcW w:w="1525" w:type="dxa"/>
            <w:noWrap/>
            <w:vAlign w:val="center"/>
            <w:hideMark/>
          </w:tcPr>
          <w:p w14:paraId="6D2C2B09" w14:textId="77777777" w:rsidR="007D419B" w:rsidRPr="00B83A18" w:rsidRDefault="007D419B" w:rsidP="00696E8F">
            <w:pPr>
              <w:rPr>
                <w:rFonts w:cs="Arial"/>
                <w:color w:val="000000"/>
              </w:rPr>
            </w:pPr>
            <w:r w:rsidRPr="00B83A18">
              <w:rPr>
                <w:rFonts w:cs="Arial"/>
                <w:color w:val="000000"/>
              </w:rPr>
              <w:t>04100ZJ</w:t>
            </w:r>
          </w:p>
        </w:tc>
        <w:tc>
          <w:tcPr>
            <w:tcW w:w="8128" w:type="dxa"/>
            <w:noWrap/>
            <w:vAlign w:val="center"/>
            <w:hideMark/>
          </w:tcPr>
          <w:p w14:paraId="527BEDC2" w14:textId="77777777" w:rsidR="007D419B" w:rsidRPr="00B83A18" w:rsidRDefault="007D419B" w:rsidP="00696E8F">
            <w:pPr>
              <w:rPr>
                <w:rFonts w:cs="Arial"/>
                <w:color w:val="000000"/>
              </w:rPr>
            </w:pPr>
            <w:r w:rsidRPr="00B83A18">
              <w:rPr>
                <w:rFonts w:cs="Arial"/>
                <w:color w:val="000000"/>
              </w:rPr>
              <w:t>Bypass Abdominal Aorta to Left Femoral Artery, Open Approach</w:t>
            </w:r>
          </w:p>
        </w:tc>
      </w:tr>
      <w:tr w:rsidR="007D419B" w:rsidRPr="00B83A18" w14:paraId="48504A75" w14:textId="77777777" w:rsidTr="002C718A">
        <w:trPr>
          <w:trHeight w:val="300"/>
        </w:trPr>
        <w:tc>
          <w:tcPr>
            <w:tcW w:w="1525" w:type="dxa"/>
            <w:noWrap/>
            <w:vAlign w:val="center"/>
            <w:hideMark/>
          </w:tcPr>
          <w:p w14:paraId="458DD283" w14:textId="77777777" w:rsidR="007D419B" w:rsidRPr="00B83A18" w:rsidRDefault="007D419B" w:rsidP="00696E8F">
            <w:pPr>
              <w:rPr>
                <w:rFonts w:cs="Arial"/>
                <w:color w:val="000000"/>
              </w:rPr>
            </w:pPr>
            <w:r w:rsidRPr="00B83A18">
              <w:rPr>
                <w:rFonts w:cs="Arial"/>
                <w:color w:val="000000"/>
              </w:rPr>
              <w:t>04100ZK</w:t>
            </w:r>
          </w:p>
        </w:tc>
        <w:tc>
          <w:tcPr>
            <w:tcW w:w="8128" w:type="dxa"/>
            <w:noWrap/>
            <w:vAlign w:val="center"/>
            <w:hideMark/>
          </w:tcPr>
          <w:p w14:paraId="6CD1D11E" w14:textId="77777777" w:rsidR="007D419B" w:rsidRPr="00B83A18" w:rsidRDefault="007D419B" w:rsidP="00696E8F">
            <w:pPr>
              <w:rPr>
                <w:rFonts w:cs="Arial"/>
                <w:color w:val="000000"/>
              </w:rPr>
            </w:pPr>
            <w:r w:rsidRPr="00B83A18">
              <w:rPr>
                <w:rFonts w:cs="Arial"/>
                <w:color w:val="000000"/>
              </w:rPr>
              <w:t>Bypass Abdominal Aorta to Bilateral Femoral Arteries, Open Approach</w:t>
            </w:r>
          </w:p>
        </w:tc>
      </w:tr>
      <w:tr w:rsidR="007D419B" w:rsidRPr="00B83A18" w14:paraId="7955D0D8" w14:textId="77777777" w:rsidTr="002C718A">
        <w:trPr>
          <w:trHeight w:val="300"/>
        </w:trPr>
        <w:tc>
          <w:tcPr>
            <w:tcW w:w="1525" w:type="dxa"/>
            <w:noWrap/>
            <w:vAlign w:val="center"/>
            <w:hideMark/>
          </w:tcPr>
          <w:p w14:paraId="4B454D55" w14:textId="77777777" w:rsidR="007D419B" w:rsidRPr="00B83A18" w:rsidRDefault="007D419B" w:rsidP="00696E8F">
            <w:pPr>
              <w:rPr>
                <w:rFonts w:cs="Arial"/>
                <w:color w:val="000000"/>
              </w:rPr>
            </w:pPr>
            <w:r w:rsidRPr="00B83A18">
              <w:rPr>
                <w:rFonts w:cs="Arial"/>
                <w:color w:val="000000"/>
              </w:rPr>
              <w:t>04100ZQ</w:t>
            </w:r>
          </w:p>
        </w:tc>
        <w:tc>
          <w:tcPr>
            <w:tcW w:w="8128" w:type="dxa"/>
            <w:noWrap/>
            <w:vAlign w:val="center"/>
            <w:hideMark/>
          </w:tcPr>
          <w:p w14:paraId="3CB4A61F" w14:textId="77777777" w:rsidR="007D419B" w:rsidRPr="00B83A18" w:rsidRDefault="007D419B" w:rsidP="00696E8F">
            <w:pPr>
              <w:rPr>
                <w:rFonts w:cs="Arial"/>
                <w:color w:val="000000"/>
              </w:rPr>
            </w:pPr>
            <w:r w:rsidRPr="00B83A18">
              <w:rPr>
                <w:rFonts w:cs="Arial"/>
                <w:color w:val="000000"/>
              </w:rPr>
              <w:t>Bypass Abdominal Aorta to Lower Extremity Artery, Open Approach</w:t>
            </w:r>
          </w:p>
        </w:tc>
      </w:tr>
      <w:tr w:rsidR="007D419B" w:rsidRPr="00B83A18" w14:paraId="266C3753" w14:textId="77777777" w:rsidTr="002C718A">
        <w:trPr>
          <w:trHeight w:val="300"/>
        </w:trPr>
        <w:tc>
          <w:tcPr>
            <w:tcW w:w="1525" w:type="dxa"/>
            <w:noWrap/>
            <w:vAlign w:val="center"/>
            <w:hideMark/>
          </w:tcPr>
          <w:p w14:paraId="6C39E9A6" w14:textId="77777777" w:rsidR="007D419B" w:rsidRPr="00B83A18" w:rsidRDefault="007D419B" w:rsidP="00696E8F">
            <w:pPr>
              <w:rPr>
                <w:rFonts w:cs="Arial"/>
                <w:color w:val="000000"/>
              </w:rPr>
            </w:pPr>
            <w:r w:rsidRPr="00B83A18">
              <w:rPr>
                <w:rFonts w:cs="Arial"/>
                <w:color w:val="000000"/>
              </w:rPr>
              <w:t>04100ZR</w:t>
            </w:r>
          </w:p>
        </w:tc>
        <w:tc>
          <w:tcPr>
            <w:tcW w:w="8128" w:type="dxa"/>
            <w:noWrap/>
            <w:vAlign w:val="center"/>
            <w:hideMark/>
          </w:tcPr>
          <w:p w14:paraId="04C576D3" w14:textId="77777777" w:rsidR="007D419B" w:rsidRPr="00B83A18" w:rsidRDefault="007D419B" w:rsidP="00696E8F">
            <w:pPr>
              <w:rPr>
                <w:rFonts w:cs="Arial"/>
                <w:color w:val="000000"/>
              </w:rPr>
            </w:pPr>
            <w:r w:rsidRPr="00B83A18">
              <w:rPr>
                <w:rFonts w:cs="Arial"/>
                <w:color w:val="000000"/>
              </w:rPr>
              <w:t>Bypass Abdominal Aorta to Lower Artery, Open Approach</w:t>
            </w:r>
          </w:p>
        </w:tc>
      </w:tr>
      <w:tr w:rsidR="007D419B" w:rsidRPr="00B83A18" w14:paraId="0FB507B7" w14:textId="77777777" w:rsidTr="002C718A">
        <w:trPr>
          <w:trHeight w:val="300"/>
        </w:trPr>
        <w:tc>
          <w:tcPr>
            <w:tcW w:w="1525" w:type="dxa"/>
            <w:noWrap/>
            <w:vAlign w:val="center"/>
            <w:hideMark/>
          </w:tcPr>
          <w:p w14:paraId="2093273F" w14:textId="77777777" w:rsidR="007D419B" w:rsidRPr="00B83A18" w:rsidRDefault="007D419B" w:rsidP="00696E8F">
            <w:pPr>
              <w:rPr>
                <w:rFonts w:cs="Arial"/>
                <w:color w:val="000000"/>
              </w:rPr>
            </w:pPr>
            <w:r w:rsidRPr="00B83A18">
              <w:rPr>
                <w:rFonts w:cs="Arial"/>
                <w:color w:val="000000"/>
              </w:rPr>
              <w:t>041C090</w:t>
            </w:r>
          </w:p>
        </w:tc>
        <w:tc>
          <w:tcPr>
            <w:tcW w:w="8128" w:type="dxa"/>
            <w:noWrap/>
            <w:vAlign w:val="center"/>
            <w:hideMark/>
          </w:tcPr>
          <w:p w14:paraId="4855694A" w14:textId="77777777" w:rsidR="007D419B" w:rsidRPr="00B83A18" w:rsidRDefault="007D419B" w:rsidP="00696E8F">
            <w:pPr>
              <w:rPr>
                <w:rFonts w:cs="Arial"/>
                <w:color w:val="000000"/>
              </w:rPr>
            </w:pPr>
            <w:r w:rsidRPr="00B83A18">
              <w:rPr>
                <w:rFonts w:cs="Arial"/>
                <w:color w:val="000000"/>
              </w:rPr>
              <w:t>Bypass Right Common Iliac Artery to Abdominal Aorta with Autologous Venous Tissue, Open Approach</w:t>
            </w:r>
          </w:p>
        </w:tc>
      </w:tr>
      <w:tr w:rsidR="007D419B" w:rsidRPr="00B83A18" w14:paraId="486B9A4C" w14:textId="77777777" w:rsidTr="002C718A">
        <w:trPr>
          <w:trHeight w:val="300"/>
        </w:trPr>
        <w:tc>
          <w:tcPr>
            <w:tcW w:w="1525" w:type="dxa"/>
            <w:noWrap/>
            <w:vAlign w:val="center"/>
            <w:hideMark/>
          </w:tcPr>
          <w:p w14:paraId="2EF5A410" w14:textId="77777777" w:rsidR="007D419B" w:rsidRPr="00B83A18" w:rsidRDefault="007D419B" w:rsidP="00696E8F">
            <w:pPr>
              <w:rPr>
                <w:rFonts w:cs="Arial"/>
                <w:color w:val="000000"/>
              </w:rPr>
            </w:pPr>
            <w:r w:rsidRPr="00B83A18">
              <w:rPr>
                <w:rFonts w:cs="Arial"/>
                <w:color w:val="000000"/>
              </w:rPr>
              <w:t>041C0A0</w:t>
            </w:r>
          </w:p>
        </w:tc>
        <w:tc>
          <w:tcPr>
            <w:tcW w:w="8128" w:type="dxa"/>
            <w:noWrap/>
            <w:vAlign w:val="center"/>
            <w:hideMark/>
          </w:tcPr>
          <w:p w14:paraId="20A3D693" w14:textId="77777777" w:rsidR="007D419B" w:rsidRPr="00B83A18" w:rsidRDefault="007D419B" w:rsidP="00696E8F">
            <w:pPr>
              <w:rPr>
                <w:rFonts w:cs="Arial"/>
                <w:color w:val="000000"/>
              </w:rPr>
            </w:pPr>
            <w:r w:rsidRPr="00B83A18">
              <w:rPr>
                <w:rFonts w:cs="Arial"/>
                <w:color w:val="000000"/>
              </w:rPr>
              <w:t>Bypass Right Common Iliac Artery to Abdominal Aorta with Autologous Arterial Tissue, Open Approach</w:t>
            </w:r>
          </w:p>
        </w:tc>
      </w:tr>
      <w:tr w:rsidR="007D419B" w:rsidRPr="00B83A18" w14:paraId="231D1A6E" w14:textId="77777777" w:rsidTr="002C718A">
        <w:trPr>
          <w:trHeight w:val="300"/>
        </w:trPr>
        <w:tc>
          <w:tcPr>
            <w:tcW w:w="1525" w:type="dxa"/>
            <w:noWrap/>
            <w:vAlign w:val="center"/>
            <w:hideMark/>
          </w:tcPr>
          <w:p w14:paraId="630B27BB" w14:textId="77777777" w:rsidR="007D419B" w:rsidRPr="00B83A18" w:rsidRDefault="007D419B" w:rsidP="00696E8F">
            <w:pPr>
              <w:rPr>
                <w:rFonts w:cs="Arial"/>
                <w:color w:val="000000"/>
              </w:rPr>
            </w:pPr>
            <w:r w:rsidRPr="00B83A18">
              <w:rPr>
                <w:rFonts w:cs="Arial"/>
                <w:color w:val="000000"/>
              </w:rPr>
              <w:t>041C0J0</w:t>
            </w:r>
          </w:p>
        </w:tc>
        <w:tc>
          <w:tcPr>
            <w:tcW w:w="8128" w:type="dxa"/>
            <w:noWrap/>
            <w:vAlign w:val="center"/>
            <w:hideMark/>
          </w:tcPr>
          <w:p w14:paraId="3E000DC5" w14:textId="77777777" w:rsidR="007D419B" w:rsidRPr="00B83A18" w:rsidRDefault="007D419B" w:rsidP="00696E8F">
            <w:pPr>
              <w:rPr>
                <w:rFonts w:cs="Arial"/>
                <w:color w:val="000000"/>
              </w:rPr>
            </w:pPr>
            <w:r w:rsidRPr="00B83A18">
              <w:rPr>
                <w:rFonts w:cs="Arial"/>
                <w:color w:val="000000"/>
              </w:rPr>
              <w:t>Bypass Right Common Iliac Artery to Abdominal Aorta with Synthetic Substitute, Open Approach</w:t>
            </w:r>
          </w:p>
        </w:tc>
      </w:tr>
      <w:tr w:rsidR="007D419B" w:rsidRPr="00B83A18" w14:paraId="17946B1C" w14:textId="77777777" w:rsidTr="002C718A">
        <w:trPr>
          <w:trHeight w:val="300"/>
        </w:trPr>
        <w:tc>
          <w:tcPr>
            <w:tcW w:w="1525" w:type="dxa"/>
            <w:noWrap/>
            <w:vAlign w:val="center"/>
            <w:hideMark/>
          </w:tcPr>
          <w:p w14:paraId="2E8BBBF6" w14:textId="77777777" w:rsidR="007D419B" w:rsidRPr="00B83A18" w:rsidRDefault="007D419B" w:rsidP="00696E8F">
            <w:pPr>
              <w:rPr>
                <w:rFonts w:cs="Arial"/>
                <w:color w:val="000000"/>
              </w:rPr>
            </w:pPr>
            <w:r w:rsidRPr="00B83A18">
              <w:rPr>
                <w:rFonts w:cs="Arial"/>
                <w:color w:val="000000"/>
              </w:rPr>
              <w:t>041C0K0</w:t>
            </w:r>
          </w:p>
        </w:tc>
        <w:tc>
          <w:tcPr>
            <w:tcW w:w="8128" w:type="dxa"/>
            <w:noWrap/>
            <w:vAlign w:val="center"/>
            <w:hideMark/>
          </w:tcPr>
          <w:p w14:paraId="41B6A994" w14:textId="77777777" w:rsidR="007D419B" w:rsidRPr="00B83A18" w:rsidRDefault="007D419B" w:rsidP="00696E8F">
            <w:pPr>
              <w:rPr>
                <w:rFonts w:cs="Arial"/>
                <w:color w:val="000000"/>
              </w:rPr>
            </w:pPr>
            <w:r w:rsidRPr="00B83A18">
              <w:rPr>
                <w:rFonts w:cs="Arial"/>
                <w:color w:val="000000"/>
              </w:rPr>
              <w:t>Bypass Right Common Iliac Artery to Abdominal Aorta with Nonautologous Tissue Substitute, Open Approach</w:t>
            </w:r>
          </w:p>
        </w:tc>
      </w:tr>
      <w:tr w:rsidR="007D419B" w:rsidRPr="00B83A18" w14:paraId="46B72E92" w14:textId="77777777" w:rsidTr="002C718A">
        <w:trPr>
          <w:trHeight w:val="300"/>
        </w:trPr>
        <w:tc>
          <w:tcPr>
            <w:tcW w:w="1525" w:type="dxa"/>
            <w:noWrap/>
            <w:vAlign w:val="center"/>
            <w:hideMark/>
          </w:tcPr>
          <w:p w14:paraId="33DDCA91" w14:textId="77777777" w:rsidR="007D419B" w:rsidRPr="00B83A18" w:rsidRDefault="007D419B" w:rsidP="00696E8F">
            <w:pPr>
              <w:rPr>
                <w:rFonts w:cs="Arial"/>
                <w:color w:val="000000"/>
              </w:rPr>
            </w:pPr>
            <w:r w:rsidRPr="00B83A18">
              <w:rPr>
                <w:rFonts w:cs="Arial"/>
                <w:color w:val="000000"/>
              </w:rPr>
              <w:t>041C0Z0</w:t>
            </w:r>
          </w:p>
        </w:tc>
        <w:tc>
          <w:tcPr>
            <w:tcW w:w="8128" w:type="dxa"/>
            <w:noWrap/>
            <w:vAlign w:val="center"/>
            <w:hideMark/>
          </w:tcPr>
          <w:p w14:paraId="5EB0FBC2" w14:textId="77777777" w:rsidR="007D419B" w:rsidRPr="00B83A18" w:rsidRDefault="007D419B" w:rsidP="00696E8F">
            <w:pPr>
              <w:rPr>
                <w:rFonts w:cs="Arial"/>
                <w:color w:val="000000"/>
              </w:rPr>
            </w:pPr>
            <w:r w:rsidRPr="00B83A18">
              <w:rPr>
                <w:rFonts w:cs="Arial"/>
                <w:color w:val="000000"/>
              </w:rPr>
              <w:t>Bypass Right Common Iliac Artery to Abdominal Aorta, Open Approach</w:t>
            </w:r>
          </w:p>
        </w:tc>
      </w:tr>
      <w:tr w:rsidR="007D419B" w:rsidRPr="00B83A18" w14:paraId="64779071" w14:textId="77777777" w:rsidTr="002C718A">
        <w:trPr>
          <w:trHeight w:val="300"/>
        </w:trPr>
        <w:tc>
          <w:tcPr>
            <w:tcW w:w="1525" w:type="dxa"/>
            <w:noWrap/>
            <w:vAlign w:val="center"/>
            <w:hideMark/>
          </w:tcPr>
          <w:p w14:paraId="7C8282DC" w14:textId="77777777" w:rsidR="007D419B" w:rsidRPr="00B83A18" w:rsidRDefault="007D419B" w:rsidP="00696E8F">
            <w:pPr>
              <w:rPr>
                <w:rFonts w:cs="Arial"/>
                <w:color w:val="000000"/>
              </w:rPr>
            </w:pPr>
            <w:r w:rsidRPr="00B83A18">
              <w:rPr>
                <w:rFonts w:cs="Arial"/>
                <w:color w:val="000000"/>
              </w:rPr>
              <w:t>041D090</w:t>
            </w:r>
          </w:p>
        </w:tc>
        <w:tc>
          <w:tcPr>
            <w:tcW w:w="8128" w:type="dxa"/>
            <w:noWrap/>
            <w:vAlign w:val="center"/>
            <w:hideMark/>
          </w:tcPr>
          <w:p w14:paraId="35E31A5F" w14:textId="77777777" w:rsidR="007D419B" w:rsidRPr="00B83A18" w:rsidRDefault="007D419B" w:rsidP="00696E8F">
            <w:pPr>
              <w:rPr>
                <w:rFonts w:cs="Arial"/>
                <w:color w:val="000000"/>
              </w:rPr>
            </w:pPr>
            <w:r w:rsidRPr="00B83A18">
              <w:rPr>
                <w:rFonts w:cs="Arial"/>
                <w:color w:val="000000"/>
              </w:rPr>
              <w:t>Bypass Left Common Iliac Artery to Abdominal Aorta with Autologous Venous Tissue, Open Approach</w:t>
            </w:r>
          </w:p>
        </w:tc>
      </w:tr>
      <w:tr w:rsidR="007D419B" w:rsidRPr="00B83A18" w14:paraId="2D690B42" w14:textId="77777777" w:rsidTr="002C718A">
        <w:trPr>
          <w:trHeight w:val="300"/>
        </w:trPr>
        <w:tc>
          <w:tcPr>
            <w:tcW w:w="1525" w:type="dxa"/>
            <w:noWrap/>
            <w:vAlign w:val="center"/>
            <w:hideMark/>
          </w:tcPr>
          <w:p w14:paraId="59ED2866" w14:textId="77777777" w:rsidR="007D419B" w:rsidRPr="00B83A18" w:rsidRDefault="007D419B" w:rsidP="00696E8F">
            <w:pPr>
              <w:rPr>
                <w:rFonts w:cs="Arial"/>
                <w:color w:val="000000"/>
              </w:rPr>
            </w:pPr>
            <w:r w:rsidRPr="00B83A18">
              <w:rPr>
                <w:rFonts w:cs="Arial"/>
                <w:color w:val="000000"/>
              </w:rPr>
              <w:t>041D0A0</w:t>
            </w:r>
          </w:p>
        </w:tc>
        <w:tc>
          <w:tcPr>
            <w:tcW w:w="8128" w:type="dxa"/>
            <w:noWrap/>
            <w:vAlign w:val="center"/>
            <w:hideMark/>
          </w:tcPr>
          <w:p w14:paraId="7A33B9BA" w14:textId="77777777" w:rsidR="007D419B" w:rsidRPr="00B83A18" w:rsidRDefault="007D419B" w:rsidP="00696E8F">
            <w:pPr>
              <w:rPr>
                <w:rFonts w:cs="Arial"/>
                <w:color w:val="000000"/>
              </w:rPr>
            </w:pPr>
            <w:r w:rsidRPr="00B83A18">
              <w:rPr>
                <w:rFonts w:cs="Arial"/>
                <w:color w:val="000000"/>
              </w:rPr>
              <w:t>Bypass Left Common Iliac Artery to Abdominal Aorta with Autologous Arterial Tissue, Open Approach</w:t>
            </w:r>
          </w:p>
        </w:tc>
      </w:tr>
      <w:tr w:rsidR="007D419B" w:rsidRPr="00B83A18" w14:paraId="15CB89B8" w14:textId="77777777" w:rsidTr="002C718A">
        <w:trPr>
          <w:trHeight w:val="300"/>
        </w:trPr>
        <w:tc>
          <w:tcPr>
            <w:tcW w:w="1525" w:type="dxa"/>
            <w:noWrap/>
            <w:vAlign w:val="center"/>
            <w:hideMark/>
          </w:tcPr>
          <w:p w14:paraId="31E1B207" w14:textId="77777777" w:rsidR="007D419B" w:rsidRPr="00B83A18" w:rsidRDefault="007D419B" w:rsidP="00696E8F">
            <w:pPr>
              <w:rPr>
                <w:rFonts w:cs="Arial"/>
                <w:color w:val="000000"/>
              </w:rPr>
            </w:pPr>
            <w:r w:rsidRPr="00B83A18">
              <w:rPr>
                <w:rFonts w:cs="Arial"/>
                <w:color w:val="000000"/>
              </w:rPr>
              <w:t>041D0J0</w:t>
            </w:r>
          </w:p>
        </w:tc>
        <w:tc>
          <w:tcPr>
            <w:tcW w:w="8128" w:type="dxa"/>
            <w:noWrap/>
            <w:vAlign w:val="center"/>
            <w:hideMark/>
          </w:tcPr>
          <w:p w14:paraId="3A778239" w14:textId="77777777" w:rsidR="007D419B" w:rsidRPr="00B83A18" w:rsidRDefault="007D419B" w:rsidP="00696E8F">
            <w:pPr>
              <w:rPr>
                <w:rFonts w:cs="Arial"/>
                <w:color w:val="000000"/>
              </w:rPr>
            </w:pPr>
            <w:r w:rsidRPr="00B83A18">
              <w:rPr>
                <w:rFonts w:cs="Arial"/>
                <w:color w:val="000000"/>
              </w:rPr>
              <w:t>Bypass Left Common Iliac Artery to Abdominal Aorta with Synthetic Substitute, Open Approach</w:t>
            </w:r>
          </w:p>
        </w:tc>
      </w:tr>
      <w:tr w:rsidR="007D419B" w:rsidRPr="00B83A18" w14:paraId="7F899BF6" w14:textId="77777777" w:rsidTr="002C718A">
        <w:trPr>
          <w:trHeight w:val="300"/>
        </w:trPr>
        <w:tc>
          <w:tcPr>
            <w:tcW w:w="1525" w:type="dxa"/>
            <w:noWrap/>
            <w:vAlign w:val="center"/>
            <w:hideMark/>
          </w:tcPr>
          <w:p w14:paraId="3C6F167C" w14:textId="77777777" w:rsidR="007D419B" w:rsidRPr="00B83A18" w:rsidRDefault="007D419B" w:rsidP="00696E8F">
            <w:pPr>
              <w:rPr>
                <w:rFonts w:cs="Arial"/>
                <w:color w:val="000000"/>
              </w:rPr>
            </w:pPr>
            <w:r w:rsidRPr="00B83A18">
              <w:rPr>
                <w:rFonts w:cs="Arial"/>
                <w:color w:val="000000"/>
              </w:rPr>
              <w:t>041D0K0</w:t>
            </w:r>
          </w:p>
        </w:tc>
        <w:tc>
          <w:tcPr>
            <w:tcW w:w="8128" w:type="dxa"/>
            <w:noWrap/>
            <w:vAlign w:val="center"/>
            <w:hideMark/>
          </w:tcPr>
          <w:p w14:paraId="0CBE6732" w14:textId="77777777" w:rsidR="007D419B" w:rsidRPr="00B83A18" w:rsidRDefault="007D419B" w:rsidP="00696E8F">
            <w:pPr>
              <w:rPr>
                <w:rFonts w:cs="Arial"/>
                <w:color w:val="000000"/>
              </w:rPr>
            </w:pPr>
            <w:r w:rsidRPr="00B83A18">
              <w:rPr>
                <w:rFonts w:cs="Arial"/>
                <w:color w:val="000000"/>
              </w:rPr>
              <w:t>Bypass Left Common Iliac Artery to Abdominal Aorta with Nonautologous Tissue Substitute, Open Approach</w:t>
            </w:r>
          </w:p>
        </w:tc>
      </w:tr>
      <w:tr w:rsidR="007D419B" w:rsidRPr="00B83A18" w14:paraId="03BD78DA" w14:textId="77777777" w:rsidTr="002C718A">
        <w:trPr>
          <w:trHeight w:val="300"/>
        </w:trPr>
        <w:tc>
          <w:tcPr>
            <w:tcW w:w="1525" w:type="dxa"/>
            <w:noWrap/>
            <w:vAlign w:val="center"/>
            <w:hideMark/>
          </w:tcPr>
          <w:p w14:paraId="5D31326A" w14:textId="77777777" w:rsidR="007D419B" w:rsidRPr="00B83A18" w:rsidRDefault="007D419B" w:rsidP="00696E8F">
            <w:pPr>
              <w:rPr>
                <w:rFonts w:cs="Arial"/>
                <w:color w:val="000000"/>
              </w:rPr>
            </w:pPr>
            <w:r w:rsidRPr="00B83A18">
              <w:rPr>
                <w:rFonts w:cs="Arial"/>
                <w:color w:val="000000"/>
              </w:rPr>
              <w:t>041D0Z0</w:t>
            </w:r>
          </w:p>
        </w:tc>
        <w:tc>
          <w:tcPr>
            <w:tcW w:w="8128" w:type="dxa"/>
            <w:noWrap/>
            <w:vAlign w:val="center"/>
            <w:hideMark/>
          </w:tcPr>
          <w:p w14:paraId="4367E4B3" w14:textId="77777777" w:rsidR="007D419B" w:rsidRPr="00B83A18" w:rsidRDefault="007D419B" w:rsidP="00696E8F">
            <w:pPr>
              <w:rPr>
                <w:rFonts w:cs="Arial"/>
                <w:color w:val="000000"/>
              </w:rPr>
            </w:pPr>
            <w:r w:rsidRPr="00B83A18">
              <w:rPr>
                <w:rFonts w:cs="Arial"/>
                <w:color w:val="000000"/>
              </w:rPr>
              <w:t>Bypass Left Common Iliac Artery to Abdominal Aorta, Open Approach</w:t>
            </w:r>
          </w:p>
        </w:tc>
      </w:tr>
      <w:tr w:rsidR="007D419B" w:rsidRPr="00B83A18" w14:paraId="33A2AA3E" w14:textId="77777777" w:rsidTr="002C718A">
        <w:trPr>
          <w:trHeight w:val="300"/>
        </w:trPr>
        <w:tc>
          <w:tcPr>
            <w:tcW w:w="1525" w:type="dxa"/>
            <w:noWrap/>
            <w:vAlign w:val="center"/>
            <w:hideMark/>
          </w:tcPr>
          <w:p w14:paraId="16D20429" w14:textId="77777777" w:rsidR="007D419B" w:rsidRPr="00B83A18" w:rsidRDefault="007D419B" w:rsidP="00696E8F">
            <w:pPr>
              <w:rPr>
                <w:rFonts w:cs="Arial"/>
                <w:color w:val="000000"/>
              </w:rPr>
            </w:pPr>
            <w:r w:rsidRPr="00B83A18">
              <w:rPr>
                <w:rFonts w:cs="Arial"/>
                <w:color w:val="000000"/>
              </w:rPr>
              <w:lastRenderedPageBreak/>
              <w:t>04B00ZX</w:t>
            </w:r>
          </w:p>
        </w:tc>
        <w:tc>
          <w:tcPr>
            <w:tcW w:w="8128" w:type="dxa"/>
            <w:noWrap/>
            <w:vAlign w:val="center"/>
            <w:hideMark/>
          </w:tcPr>
          <w:p w14:paraId="11F65EE1" w14:textId="77777777" w:rsidR="007D419B" w:rsidRPr="00B83A18" w:rsidRDefault="007D419B" w:rsidP="00696E8F">
            <w:pPr>
              <w:rPr>
                <w:rFonts w:cs="Arial"/>
                <w:color w:val="000000"/>
              </w:rPr>
            </w:pPr>
            <w:r w:rsidRPr="00B83A18">
              <w:rPr>
                <w:rFonts w:cs="Arial"/>
                <w:color w:val="000000"/>
              </w:rPr>
              <w:t>Excision of Abdominal Aorta, Open Approach, Diagnostic</w:t>
            </w:r>
          </w:p>
        </w:tc>
      </w:tr>
      <w:tr w:rsidR="007D419B" w:rsidRPr="00B83A18" w14:paraId="6BB2AD66" w14:textId="77777777" w:rsidTr="002C718A">
        <w:trPr>
          <w:trHeight w:val="300"/>
        </w:trPr>
        <w:tc>
          <w:tcPr>
            <w:tcW w:w="1525" w:type="dxa"/>
            <w:noWrap/>
            <w:vAlign w:val="center"/>
            <w:hideMark/>
          </w:tcPr>
          <w:p w14:paraId="0269D176" w14:textId="77777777" w:rsidR="007D419B" w:rsidRPr="00B83A18" w:rsidRDefault="007D419B" w:rsidP="00696E8F">
            <w:pPr>
              <w:rPr>
                <w:rFonts w:cs="Arial"/>
                <w:color w:val="000000"/>
              </w:rPr>
            </w:pPr>
            <w:r w:rsidRPr="00B83A18">
              <w:rPr>
                <w:rFonts w:cs="Arial"/>
                <w:color w:val="000000"/>
              </w:rPr>
              <w:t>04B00ZZ</w:t>
            </w:r>
          </w:p>
        </w:tc>
        <w:tc>
          <w:tcPr>
            <w:tcW w:w="8128" w:type="dxa"/>
            <w:noWrap/>
            <w:vAlign w:val="center"/>
            <w:hideMark/>
          </w:tcPr>
          <w:p w14:paraId="3095538A" w14:textId="77777777" w:rsidR="007D419B" w:rsidRPr="00B83A18" w:rsidRDefault="007D419B" w:rsidP="00696E8F">
            <w:pPr>
              <w:rPr>
                <w:rFonts w:cs="Arial"/>
                <w:color w:val="000000"/>
              </w:rPr>
            </w:pPr>
            <w:r w:rsidRPr="00B83A18">
              <w:rPr>
                <w:rFonts w:cs="Arial"/>
                <w:color w:val="000000"/>
              </w:rPr>
              <w:t>Excision of Abdominal Aorta, Open Approach</w:t>
            </w:r>
          </w:p>
        </w:tc>
      </w:tr>
      <w:tr w:rsidR="007D419B" w:rsidRPr="00B83A18" w14:paraId="4AB22A77" w14:textId="77777777" w:rsidTr="002C718A">
        <w:trPr>
          <w:trHeight w:val="300"/>
        </w:trPr>
        <w:tc>
          <w:tcPr>
            <w:tcW w:w="1525" w:type="dxa"/>
            <w:noWrap/>
            <w:vAlign w:val="center"/>
            <w:hideMark/>
          </w:tcPr>
          <w:p w14:paraId="42CE0D08" w14:textId="77777777" w:rsidR="007D419B" w:rsidRPr="00B83A18" w:rsidRDefault="007D419B" w:rsidP="00696E8F">
            <w:pPr>
              <w:rPr>
                <w:rFonts w:cs="Arial"/>
                <w:color w:val="000000"/>
              </w:rPr>
            </w:pPr>
            <w:r w:rsidRPr="00B83A18">
              <w:rPr>
                <w:rFonts w:cs="Arial"/>
                <w:color w:val="000000"/>
              </w:rPr>
              <w:t>04Q00ZZ</w:t>
            </w:r>
          </w:p>
        </w:tc>
        <w:tc>
          <w:tcPr>
            <w:tcW w:w="8128" w:type="dxa"/>
            <w:noWrap/>
            <w:vAlign w:val="center"/>
            <w:hideMark/>
          </w:tcPr>
          <w:p w14:paraId="75D6C0DF" w14:textId="77777777" w:rsidR="007D419B" w:rsidRPr="00B83A18" w:rsidRDefault="007D419B" w:rsidP="00696E8F">
            <w:pPr>
              <w:rPr>
                <w:rFonts w:cs="Arial"/>
                <w:color w:val="000000"/>
              </w:rPr>
            </w:pPr>
            <w:r w:rsidRPr="00B83A18">
              <w:rPr>
                <w:rFonts w:cs="Arial"/>
                <w:color w:val="000000"/>
              </w:rPr>
              <w:t>Repair Abdominal Aorta, Open Approach</w:t>
            </w:r>
          </w:p>
        </w:tc>
      </w:tr>
      <w:tr w:rsidR="007D419B" w:rsidRPr="00B83A18" w14:paraId="7D0B5389" w14:textId="77777777" w:rsidTr="002C718A">
        <w:trPr>
          <w:trHeight w:val="300"/>
        </w:trPr>
        <w:tc>
          <w:tcPr>
            <w:tcW w:w="1525" w:type="dxa"/>
            <w:noWrap/>
            <w:vAlign w:val="center"/>
            <w:hideMark/>
          </w:tcPr>
          <w:p w14:paraId="3013F006" w14:textId="77777777" w:rsidR="007D419B" w:rsidRPr="00B83A18" w:rsidRDefault="007D419B" w:rsidP="00696E8F">
            <w:pPr>
              <w:rPr>
                <w:rFonts w:cs="Arial"/>
                <w:color w:val="000000"/>
              </w:rPr>
            </w:pPr>
            <w:r w:rsidRPr="00B83A18">
              <w:rPr>
                <w:rFonts w:cs="Arial"/>
                <w:color w:val="000000"/>
              </w:rPr>
              <w:t>04R007Z</w:t>
            </w:r>
          </w:p>
        </w:tc>
        <w:tc>
          <w:tcPr>
            <w:tcW w:w="8128" w:type="dxa"/>
            <w:noWrap/>
            <w:vAlign w:val="center"/>
            <w:hideMark/>
          </w:tcPr>
          <w:p w14:paraId="07EBD306" w14:textId="77777777" w:rsidR="007D419B" w:rsidRPr="00B83A18" w:rsidRDefault="007D419B" w:rsidP="00696E8F">
            <w:pPr>
              <w:rPr>
                <w:rFonts w:cs="Arial"/>
                <w:color w:val="000000"/>
              </w:rPr>
            </w:pPr>
            <w:r w:rsidRPr="00B83A18">
              <w:rPr>
                <w:rFonts w:cs="Arial"/>
                <w:color w:val="000000"/>
              </w:rPr>
              <w:t>Replacement of Abdominal Aorta with Autologous Tissue Substitute, Open Approach</w:t>
            </w:r>
          </w:p>
        </w:tc>
      </w:tr>
      <w:tr w:rsidR="007D419B" w:rsidRPr="00B83A18" w14:paraId="7B8571B7" w14:textId="77777777" w:rsidTr="002C718A">
        <w:trPr>
          <w:trHeight w:val="300"/>
        </w:trPr>
        <w:tc>
          <w:tcPr>
            <w:tcW w:w="1525" w:type="dxa"/>
            <w:noWrap/>
            <w:vAlign w:val="center"/>
            <w:hideMark/>
          </w:tcPr>
          <w:p w14:paraId="36909E1D" w14:textId="77777777" w:rsidR="007D419B" w:rsidRPr="00B83A18" w:rsidRDefault="007D419B" w:rsidP="00696E8F">
            <w:pPr>
              <w:rPr>
                <w:rFonts w:cs="Arial"/>
                <w:color w:val="000000"/>
              </w:rPr>
            </w:pPr>
            <w:r w:rsidRPr="00B83A18">
              <w:rPr>
                <w:rFonts w:cs="Arial"/>
                <w:color w:val="000000"/>
              </w:rPr>
              <w:t>04R00JZ</w:t>
            </w:r>
          </w:p>
        </w:tc>
        <w:tc>
          <w:tcPr>
            <w:tcW w:w="8128" w:type="dxa"/>
            <w:noWrap/>
            <w:vAlign w:val="center"/>
            <w:hideMark/>
          </w:tcPr>
          <w:p w14:paraId="650E9560" w14:textId="77777777" w:rsidR="007D419B" w:rsidRPr="00B83A18" w:rsidRDefault="007D419B" w:rsidP="00696E8F">
            <w:pPr>
              <w:rPr>
                <w:rFonts w:cs="Arial"/>
                <w:color w:val="000000"/>
              </w:rPr>
            </w:pPr>
            <w:r w:rsidRPr="00B83A18">
              <w:rPr>
                <w:rFonts w:cs="Arial"/>
                <w:color w:val="000000"/>
              </w:rPr>
              <w:t>Replacement of Abdominal Aorta with Synthetic Substitute, Open Approach</w:t>
            </w:r>
          </w:p>
        </w:tc>
      </w:tr>
      <w:tr w:rsidR="007D419B" w:rsidRPr="00B83A18" w14:paraId="336E8E2F" w14:textId="77777777" w:rsidTr="002C718A">
        <w:trPr>
          <w:trHeight w:val="300"/>
        </w:trPr>
        <w:tc>
          <w:tcPr>
            <w:tcW w:w="1525" w:type="dxa"/>
            <w:noWrap/>
            <w:vAlign w:val="center"/>
            <w:hideMark/>
          </w:tcPr>
          <w:p w14:paraId="4968849F" w14:textId="77777777" w:rsidR="007D419B" w:rsidRPr="00B83A18" w:rsidRDefault="007D419B" w:rsidP="00696E8F">
            <w:pPr>
              <w:rPr>
                <w:rFonts w:cs="Arial"/>
                <w:color w:val="000000"/>
              </w:rPr>
            </w:pPr>
            <w:r w:rsidRPr="00B83A18">
              <w:rPr>
                <w:rFonts w:cs="Arial"/>
                <w:color w:val="000000"/>
              </w:rPr>
              <w:t>04R00KZ</w:t>
            </w:r>
          </w:p>
        </w:tc>
        <w:tc>
          <w:tcPr>
            <w:tcW w:w="8128" w:type="dxa"/>
            <w:noWrap/>
            <w:vAlign w:val="center"/>
            <w:hideMark/>
          </w:tcPr>
          <w:p w14:paraId="49B4AD70" w14:textId="77777777" w:rsidR="007D419B" w:rsidRPr="00B83A18" w:rsidRDefault="007D419B" w:rsidP="00696E8F">
            <w:pPr>
              <w:rPr>
                <w:rFonts w:cs="Arial"/>
                <w:color w:val="000000"/>
              </w:rPr>
            </w:pPr>
            <w:r w:rsidRPr="00B83A18">
              <w:rPr>
                <w:rFonts w:cs="Arial"/>
                <w:color w:val="000000"/>
              </w:rPr>
              <w:t>Replacement of Abdominal Aorta with Nonautologous Tissue Substitute, Open Approach</w:t>
            </w:r>
          </w:p>
        </w:tc>
      </w:tr>
      <w:tr w:rsidR="007D419B" w:rsidRPr="00B83A18" w14:paraId="44347480" w14:textId="77777777" w:rsidTr="002C718A">
        <w:trPr>
          <w:trHeight w:val="300"/>
        </w:trPr>
        <w:tc>
          <w:tcPr>
            <w:tcW w:w="1525" w:type="dxa"/>
            <w:noWrap/>
            <w:vAlign w:val="center"/>
          </w:tcPr>
          <w:p w14:paraId="167E68AC" w14:textId="06870E32" w:rsidR="007D419B" w:rsidRPr="00B83A18" w:rsidRDefault="007D419B" w:rsidP="00696E8F">
            <w:pPr>
              <w:rPr>
                <w:rFonts w:cs="Arial"/>
                <w:color w:val="000000"/>
              </w:rPr>
            </w:pPr>
            <w:r w:rsidRPr="00C76857">
              <w:rPr>
                <w:rFonts w:cstheme="minorHAnsi"/>
                <w:color w:val="000000"/>
              </w:rPr>
              <w:t>04S00ZZ</w:t>
            </w:r>
          </w:p>
        </w:tc>
        <w:tc>
          <w:tcPr>
            <w:tcW w:w="8128" w:type="dxa"/>
            <w:noWrap/>
            <w:vAlign w:val="center"/>
          </w:tcPr>
          <w:p w14:paraId="0A824F9A" w14:textId="06383FA0" w:rsidR="007D419B" w:rsidRPr="00B83A18" w:rsidRDefault="007D419B" w:rsidP="00696E8F">
            <w:pPr>
              <w:rPr>
                <w:rFonts w:cs="Arial"/>
                <w:color w:val="000000"/>
              </w:rPr>
            </w:pPr>
            <w:r w:rsidRPr="00C76857">
              <w:rPr>
                <w:rFonts w:cstheme="minorHAnsi"/>
                <w:color w:val="000000"/>
              </w:rPr>
              <w:t>Reposition Abdominal Aorta, Open Approach</w:t>
            </w:r>
          </w:p>
        </w:tc>
      </w:tr>
      <w:tr w:rsidR="007D419B" w:rsidRPr="00B83A18" w14:paraId="01561FBB" w14:textId="77777777" w:rsidTr="002C718A">
        <w:trPr>
          <w:trHeight w:val="300"/>
        </w:trPr>
        <w:tc>
          <w:tcPr>
            <w:tcW w:w="1525" w:type="dxa"/>
            <w:noWrap/>
            <w:vAlign w:val="center"/>
            <w:hideMark/>
          </w:tcPr>
          <w:p w14:paraId="33517B84" w14:textId="77777777" w:rsidR="007D419B" w:rsidRPr="00B83A18" w:rsidRDefault="007D419B" w:rsidP="00696E8F">
            <w:pPr>
              <w:rPr>
                <w:rFonts w:cs="Arial"/>
                <w:color w:val="000000"/>
              </w:rPr>
            </w:pPr>
            <w:r w:rsidRPr="00B83A18">
              <w:rPr>
                <w:rFonts w:cs="Arial"/>
                <w:color w:val="000000"/>
              </w:rPr>
              <w:t>04U007Z</w:t>
            </w:r>
          </w:p>
        </w:tc>
        <w:tc>
          <w:tcPr>
            <w:tcW w:w="8128" w:type="dxa"/>
            <w:noWrap/>
            <w:vAlign w:val="center"/>
            <w:hideMark/>
          </w:tcPr>
          <w:p w14:paraId="57FC33A5" w14:textId="77777777" w:rsidR="007D419B" w:rsidRPr="00B83A18" w:rsidRDefault="007D419B" w:rsidP="00696E8F">
            <w:pPr>
              <w:rPr>
                <w:rFonts w:cs="Arial"/>
                <w:color w:val="000000"/>
              </w:rPr>
            </w:pPr>
            <w:r w:rsidRPr="00B83A18">
              <w:rPr>
                <w:rFonts w:cs="Arial"/>
                <w:color w:val="000000"/>
              </w:rPr>
              <w:t>Supplement Abdominal Aorta with Autologous Tissue Substitute, Open Approach</w:t>
            </w:r>
          </w:p>
        </w:tc>
      </w:tr>
      <w:tr w:rsidR="007D419B" w:rsidRPr="00B83A18" w14:paraId="6E4CBA5A" w14:textId="77777777" w:rsidTr="002C718A">
        <w:trPr>
          <w:trHeight w:val="300"/>
        </w:trPr>
        <w:tc>
          <w:tcPr>
            <w:tcW w:w="1525" w:type="dxa"/>
            <w:noWrap/>
            <w:vAlign w:val="center"/>
            <w:hideMark/>
          </w:tcPr>
          <w:p w14:paraId="600BF3CA" w14:textId="77777777" w:rsidR="007D419B" w:rsidRPr="00B83A18" w:rsidRDefault="007D419B" w:rsidP="00696E8F">
            <w:pPr>
              <w:rPr>
                <w:rFonts w:cs="Arial"/>
                <w:color w:val="000000"/>
              </w:rPr>
            </w:pPr>
            <w:r w:rsidRPr="00B83A18">
              <w:rPr>
                <w:rFonts w:cs="Arial"/>
                <w:color w:val="000000"/>
              </w:rPr>
              <w:t>04U00JZ</w:t>
            </w:r>
          </w:p>
        </w:tc>
        <w:tc>
          <w:tcPr>
            <w:tcW w:w="8128" w:type="dxa"/>
            <w:noWrap/>
            <w:vAlign w:val="center"/>
            <w:hideMark/>
          </w:tcPr>
          <w:p w14:paraId="459488B1" w14:textId="77777777" w:rsidR="007D419B" w:rsidRPr="00B83A18" w:rsidRDefault="007D419B" w:rsidP="00696E8F">
            <w:pPr>
              <w:rPr>
                <w:rFonts w:cs="Arial"/>
                <w:color w:val="000000"/>
              </w:rPr>
            </w:pPr>
            <w:r w:rsidRPr="00B83A18">
              <w:rPr>
                <w:rFonts w:cs="Arial"/>
                <w:color w:val="000000"/>
              </w:rPr>
              <w:t>Supplement Abdominal Aorta with Synthetic Substitute, Open Approach</w:t>
            </w:r>
          </w:p>
        </w:tc>
      </w:tr>
      <w:tr w:rsidR="007D419B" w:rsidRPr="00B83A18" w14:paraId="40E15EBC" w14:textId="77777777" w:rsidTr="002C718A">
        <w:trPr>
          <w:trHeight w:val="300"/>
        </w:trPr>
        <w:tc>
          <w:tcPr>
            <w:tcW w:w="1525" w:type="dxa"/>
            <w:noWrap/>
            <w:vAlign w:val="center"/>
            <w:hideMark/>
          </w:tcPr>
          <w:p w14:paraId="1095F68D" w14:textId="77777777" w:rsidR="007D419B" w:rsidRPr="00B83A18" w:rsidRDefault="007D419B" w:rsidP="00696E8F">
            <w:pPr>
              <w:rPr>
                <w:rFonts w:cs="Arial"/>
                <w:color w:val="000000"/>
              </w:rPr>
            </w:pPr>
            <w:r w:rsidRPr="00B83A18">
              <w:rPr>
                <w:rFonts w:cs="Arial"/>
                <w:color w:val="000000"/>
              </w:rPr>
              <w:t>04U00KZ</w:t>
            </w:r>
          </w:p>
        </w:tc>
        <w:tc>
          <w:tcPr>
            <w:tcW w:w="8128" w:type="dxa"/>
            <w:noWrap/>
            <w:vAlign w:val="center"/>
            <w:hideMark/>
          </w:tcPr>
          <w:p w14:paraId="64202968" w14:textId="77777777" w:rsidR="007D419B" w:rsidRPr="00B83A18" w:rsidRDefault="007D419B" w:rsidP="00696E8F">
            <w:pPr>
              <w:rPr>
                <w:rFonts w:cs="Arial"/>
                <w:color w:val="000000"/>
              </w:rPr>
            </w:pPr>
            <w:r w:rsidRPr="00B83A18">
              <w:rPr>
                <w:rFonts w:cs="Arial"/>
                <w:color w:val="000000"/>
              </w:rPr>
              <w:t>Supplement Abdominal Aorta with Nonautologous Tissue Substitute, Open Approach</w:t>
            </w:r>
          </w:p>
        </w:tc>
      </w:tr>
      <w:tr w:rsidR="00B574C8" w:rsidRPr="00B83A18" w14:paraId="3D92B9FA" w14:textId="77777777" w:rsidTr="002C718A">
        <w:trPr>
          <w:trHeight w:val="300"/>
        </w:trPr>
        <w:tc>
          <w:tcPr>
            <w:tcW w:w="1525" w:type="dxa"/>
            <w:noWrap/>
            <w:vAlign w:val="center"/>
          </w:tcPr>
          <w:p w14:paraId="4337DE0B" w14:textId="0799E83D" w:rsidR="00B574C8" w:rsidRPr="00B83A18" w:rsidRDefault="00B574C8" w:rsidP="00696E8F">
            <w:pPr>
              <w:rPr>
                <w:rFonts w:cs="Arial"/>
                <w:color w:val="000000"/>
              </w:rPr>
            </w:pPr>
            <w:r w:rsidRPr="00B574C8">
              <w:rPr>
                <w:rFonts w:cs="Arial"/>
                <w:color w:val="000000"/>
              </w:rPr>
              <w:t>X2RX0N7</w:t>
            </w:r>
          </w:p>
        </w:tc>
        <w:tc>
          <w:tcPr>
            <w:tcW w:w="8128" w:type="dxa"/>
            <w:noWrap/>
            <w:vAlign w:val="center"/>
          </w:tcPr>
          <w:p w14:paraId="514E229D" w14:textId="702A95A9" w:rsidR="00B574C8" w:rsidRPr="00B83A18" w:rsidRDefault="00B574C8" w:rsidP="00696E8F">
            <w:pPr>
              <w:rPr>
                <w:rFonts w:cs="Arial"/>
                <w:color w:val="000000"/>
              </w:rPr>
            </w:pPr>
            <w:r w:rsidRPr="00B574C8">
              <w:rPr>
                <w:rFonts w:cs="Arial"/>
                <w:color w:val="000000"/>
              </w:rPr>
              <w:t>Replacement of Thoracic Aorta, Arch using Branched Synthetic Substitute with Intraluminal Device, Open Approach, New Technology Group 7</w:t>
            </w:r>
          </w:p>
        </w:tc>
      </w:tr>
    </w:tbl>
    <w:p w14:paraId="20FC37FA" w14:textId="77777777" w:rsidR="00C80D44" w:rsidRPr="009A5185" w:rsidRDefault="00C80D44" w:rsidP="00E61F41">
      <w:pPr>
        <w:rPr>
          <w:rFonts w:cs="Arial"/>
        </w:rPr>
      </w:pPr>
    </w:p>
    <w:p w14:paraId="06FC37F5" w14:textId="77777777" w:rsidR="00D86DAD" w:rsidRPr="009A5185" w:rsidRDefault="00D86DAD" w:rsidP="00D86DAD">
      <w:pPr>
        <w:rPr>
          <w:rFonts w:cs="Arial"/>
          <w:snapToGrid w:val="0"/>
        </w:rPr>
      </w:pPr>
    </w:p>
    <w:p w14:paraId="14FB6615" w14:textId="77777777" w:rsidR="00F13A61" w:rsidRPr="009A5185" w:rsidRDefault="00F13A61">
      <w:pPr>
        <w:rPr>
          <w:rFonts w:cs="Arial"/>
          <w:b/>
          <w:i/>
          <w:snapToGrid w:val="0"/>
          <w:sz w:val="24"/>
          <w:szCs w:val="24"/>
          <w:lang w:eastAsia="ja-JP"/>
        </w:rPr>
      </w:pPr>
      <w:r w:rsidRPr="009A5185">
        <w:rPr>
          <w:rFonts w:cs="Arial"/>
          <w:snapToGrid w:val="0"/>
        </w:rPr>
        <w:br w:type="page"/>
      </w:r>
    </w:p>
    <w:p w14:paraId="0B87F053" w14:textId="6C4D0091" w:rsidR="00D86DAD" w:rsidRPr="009A5185" w:rsidRDefault="00D86DAD" w:rsidP="000C2C54">
      <w:pPr>
        <w:pStyle w:val="Heading44"/>
      </w:pPr>
      <w:bookmarkStart w:id="262" w:name="LungResection"/>
      <w:r w:rsidRPr="009A5185">
        <w:lastRenderedPageBreak/>
        <w:t xml:space="preserve">Lung Resection </w:t>
      </w:r>
      <w:r w:rsidR="00C508E1" w:rsidRPr="009A5185">
        <w:t xml:space="preserve">for Cancer </w:t>
      </w:r>
      <w:r w:rsidRPr="009A5185">
        <w:t xml:space="preserve">Measure </w:t>
      </w:r>
      <w:r w:rsidR="000765C6">
        <w:t>Specifications</w:t>
      </w:r>
      <w:bookmarkEnd w:id="262"/>
    </w:p>
    <w:p w14:paraId="791B5892" w14:textId="77777777" w:rsidR="00D86DAD" w:rsidRPr="009A5185" w:rsidRDefault="00D86DAD" w:rsidP="00D86DAD">
      <w:pPr>
        <w:rPr>
          <w:rFonts w:cs="Arial"/>
        </w:rPr>
      </w:pPr>
    </w:p>
    <w:p w14:paraId="2921D0A0" w14:textId="77777777" w:rsidR="00D86DAD" w:rsidRPr="009A5185" w:rsidRDefault="00D86DAD" w:rsidP="00D86DAD">
      <w:pPr>
        <w:rPr>
          <w:rFonts w:cs="Arial"/>
        </w:rPr>
      </w:pPr>
      <w:r w:rsidRPr="009A5185">
        <w:rPr>
          <w:rFonts w:cs="Arial"/>
        </w:rPr>
        <w:t xml:space="preserve">For </w:t>
      </w:r>
      <w:r w:rsidR="00F310BA" w:rsidRPr="009A5185">
        <w:rPr>
          <w:rFonts w:cs="Arial"/>
        </w:rPr>
        <w:t>lung resection for cancer</w:t>
      </w:r>
      <w:r w:rsidRPr="009A5185">
        <w:rPr>
          <w:rFonts w:cs="Arial"/>
        </w:rPr>
        <w:t>, there are two sets of IC</w:t>
      </w:r>
      <w:r w:rsidR="007550AD">
        <w:rPr>
          <w:rFonts w:cs="Arial"/>
        </w:rPr>
        <w:t>D-10 codes for counting patient discharges</w:t>
      </w:r>
      <w:r w:rsidRPr="009A5185">
        <w:rPr>
          <w:rFonts w:cs="Arial"/>
        </w:rPr>
        <w:t>. The first set of codes is to identify patients who have had the procedure. The second set of codes is to identify patient</w:t>
      </w:r>
      <w:r w:rsidR="009B3ACE" w:rsidRPr="009A5185">
        <w:rPr>
          <w:rFonts w:cs="Arial"/>
        </w:rPr>
        <w:t>s</w:t>
      </w:r>
      <w:r w:rsidRPr="009A5185">
        <w:rPr>
          <w:rFonts w:cs="Arial"/>
        </w:rPr>
        <w:t xml:space="preserve"> with a specific diagnosis.</w:t>
      </w:r>
    </w:p>
    <w:p w14:paraId="114D6012" w14:textId="77777777" w:rsidR="00D86DAD" w:rsidRPr="009A5185" w:rsidRDefault="00D86DAD" w:rsidP="00D86DAD">
      <w:pPr>
        <w:rPr>
          <w:rFonts w:cs="Arial"/>
        </w:rPr>
      </w:pPr>
    </w:p>
    <w:p w14:paraId="606B5320" w14:textId="77777777" w:rsidR="00D86DAD" w:rsidRPr="009A5185" w:rsidRDefault="007550AD" w:rsidP="00D86DAD">
      <w:pPr>
        <w:rPr>
          <w:rFonts w:cs="Arial"/>
        </w:rPr>
      </w:pPr>
      <w:r>
        <w:rPr>
          <w:rFonts w:cs="Arial"/>
        </w:rPr>
        <w:t>Count the n</w:t>
      </w:r>
      <w:r w:rsidR="00D86DAD" w:rsidRPr="009A5185">
        <w:rPr>
          <w:rFonts w:cs="Arial"/>
        </w:rPr>
        <w:t>umber of patients, age</w:t>
      </w:r>
      <w:r w:rsidR="00F310BA">
        <w:rPr>
          <w:rFonts w:cs="Arial"/>
        </w:rPr>
        <w:t>s</w:t>
      </w:r>
      <w:r w:rsidR="00D86DAD" w:rsidRPr="009A5185">
        <w:rPr>
          <w:rFonts w:cs="Arial"/>
        </w:rPr>
        <w:t xml:space="preserve"> 18 years and older, discharged with the following ICD-10 codes in any procedure field </w:t>
      </w:r>
      <w:r w:rsidR="00D86DAD" w:rsidRPr="006904F9">
        <w:rPr>
          <w:rFonts w:cs="Arial"/>
          <w:b/>
          <w:bCs/>
        </w:rPr>
        <w:t>AND</w:t>
      </w:r>
      <w:r w:rsidR="00D86DAD" w:rsidRPr="009A5185">
        <w:rPr>
          <w:rFonts w:cs="Arial"/>
        </w:rPr>
        <w:t xml:space="preserve"> any of the follo</w:t>
      </w:r>
      <w:r w:rsidR="00396D2C" w:rsidRPr="009A5185">
        <w:rPr>
          <w:rFonts w:cs="Arial"/>
        </w:rPr>
        <w:t>wing ICD-10 codes in any</w:t>
      </w:r>
      <w:r w:rsidR="00D86DAD" w:rsidRPr="009A5185">
        <w:rPr>
          <w:rFonts w:cs="Arial"/>
        </w:rPr>
        <w:t xml:space="preserve"> diagnosis field</w:t>
      </w:r>
      <w:r w:rsidR="00BF2BFF" w:rsidRPr="009A5185">
        <w:rPr>
          <w:rFonts w:cs="Arial"/>
        </w:rPr>
        <w:t>.</w:t>
      </w:r>
    </w:p>
    <w:p w14:paraId="1060E27F" w14:textId="77777777" w:rsidR="0071568E" w:rsidRPr="009A5185" w:rsidRDefault="0071568E" w:rsidP="00D86DAD">
      <w:pPr>
        <w:rPr>
          <w:rFonts w:cs="Arial"/>
        </w:rPr>
      </w:pPr>
    </w:p>
    <w:p w14:paraId="6FDDDCE1" w14:textId="77777777" w:rsidR="00D86DAD" w:rsidRPr="009A5185" w:rsidRDefault="00D86DAD" w:rsidP="00D86DAD">
      <w:pPr>
        <w:rPr>
          <w:rFonts w:cs="Arial"/>
          <w:b/>
        </w:rPr>
      </w:pPr>
      <w:r w:rsidRPr="009A5185">
        <w:rPr>
          <w:rFonts w:cs="Arial"/>
          <w:b/>
        </w:rPr>
        <w:t xml:space="preserve">ICD-10 Lung Resection </w:t>
      </w:r>
      <w:r w:rsidR="00C508E1" w:rsidRPr="009A5185">
        <w:rPr>
          <w:rFonts w:cs="Arial"/>
          <w:b/>
        </w:rPr>
        <w:t xml:space="preserve">for Cancer </w:t>
      </w:r>
      <w:r w:rsidRPr="009A5185">
        <w:rPr>
          <w:rFonts w:cs="Arial"/>
          <w:b/>
        </w:rPr>
        <w:t xml:space="preserve">Procedure Codes </w:t>
      </w:r>
    </w:p>
    <w:p w14:paraId="2D6F8D2A" w14:textId="77777777" w:rsidR="00D86DAD" w:rsidRPr="009A5185" w:rsidRDefault="00D86DAD" w:rsidP="00D86DAD">
      <w:pPr>
        <w:rPr>
          <w:rFonts w:cs="Arial"/>
          <w:b/>
        </w:rPr>
      </w:pPr>
    </w:p>
    <w:tbl>
      <w:tblPr>
        <w:tblStyle w:val="TableGrid"/>
        <w:tblW w:w="9432" w:type="dxa"/>
        <w:tblLook w:val="04A0" w:firstRow="1" w:lastRow="0" w:firstColumn="1" w:lastColumn="0" w:noHBand="0" w:noVBand="1"/>
      </w:tblPr>
      <w:tblGrid>
        <w:gridCol w:w="1872"/>
        <w:gridCol w:w="7560"/>
      </w:tblGrid>
      <w:tr w:rsidR="00F310BA" w:rsidRPr="0004317D" w14:paraId="60B9E38E" w14:textId="77777777" w:rsidTr="00696E8F">
        <w:trPr>
          <w:trHeight w:val="432"/>
          <w:tblHeader/>
        </w:trPr>
        <w:tc>
          <w:tcPr>
            <w:tcW w:w="1872" w:type="dxa"/>
            <w:shd w:val="clear" w:color="auto" w:fill="BFBFBF" w:themeFill="background1" w:themeFillShade="BF"/>
            <w:vAlign w:val="center"/>
          </w:tcPr>
          <w:p w14:paraId="2B874D9D" w14:textId="77777777" w:rsidR="00F310BA" w:rsidRPr="0004317D" w:rsidRDefault="00F310BA"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Procedure Code</w:t>
            </w:r>
          </w:p>
        </w:tc>
        <w:tc>
          <w:tcPr>
            <w:tcW w:w="7560" w:type="dxa"/>
            <w:shd w:val="clear" w:color="auto" w:fill="BFBFBF" w:themeFill="background1" w:themeFillShade="BF"/>
            <w:vAlign w:val="center"/>
          </w:tcPr>
          <w:p w14:paraId="00B95336" w14:textId="77777777" w:rsidR="00F310BA" w:rsidRPr="0004317D" w:rsidRDefault="00F310BA" w:rsidP="00696E8F">
            <w:pPr>
              <w:rPr>
                <w:rFonts w:cs="Arial"/>
                <w:color w:val="000000"/>
              </w:rPr>
            </w:pPr>
            <w:r w:rsidRPr="0004317D">
              <w:rPr>
                <w:rFonts w:cs="Arial"/>
                <w:b/>
                <w:bCs/>
                <w:color w:val="000000"/>
              </w:rPr>
              <w:t>Code Description</w:t>
            </w:r>
          </w:p>
        </w:tc>
      </w:tr>
      <w:tr w:rsidR="00F310BA" w:rsidRPr="00787679" w14:paraId="2A9CBAF2" w14:textId="77777777" w:rsidTr="00696E8F">
        <w:trPr>
          <w:trHeight w:val="300"/>
        </w:trPr>
        <w:tc>
          <w:tcPr>
            <w:tcW w:w="1872" w:type="dxa"/>
            <w:noWrap/>
            <w:vAlign w:val="center"/>
            <w:hideMark/>
          </w:tcPr>
          <w:p w14:paraId="565BAD7B" w14:textId="77777777" w:rsidR="00F310BA" w:rsidRPr="00787679" w:rsidRDefault="00F310BA" w:rsidP="00696E8F">
            <w:pPr>
              <w:rPr>
                <w:rFonts w:cs="Arial"/>
                <w:color w:val="000000"/>
              </w:rPr>
            </w:pPr>
            <w:r w:rsidRPr="00787679">
              <w:rPr>
                <w:rFonts w:cs="Arial"/>
                <w:color w:val="000000"/>
              </w:rPr>
              <w:t>0BBC0ZZ</w:t>
            </w:r>
          </w:p>
        </w:tc>
        <w:tc>
          <w:tcPr>
            <w:tcW w:w="7560" w:type="dxa"/>
            <w:noWrap/>
            <w:vAlign w:val="center"/>
            <w:hideMark/>
          </w:tcPr>
          <w:p w14:paraId="161B2665" w14:textId="77777777" w:rsidR="00F310BA" w:rsidRPr="00787679" w:rsidRDefault="00F310BA" w:rsidP="00696E8F">
            <w:pPr>
              <w:rPr>
                <w:rFonts w:cs="Arial"/>
                <w:color w:val="000000"/>
              </w:rPr>
            </w:pPr>
            <w:r w:rsidRPr="00787679">
              <w:rPr>
                <w:rFonts w:cs="Arial"/>
                <w:color w:val="000000"/>
              </w:rPr>
              <w:t>Excision of Right Upper Lung Lobe, Open Approach</w:t>
            </w:r>
          </w:p>
        </w:tc>
      </w:tr>
      <w:tr w:rsidR="00F310BA" w:rsidRPr="00787679" w14:paraId="498E4615" w14:textId="77777777" w:rsidTr="00696E8F">
        <w:trPr>
          <w:trHeight w:val="300"/>
        </w:trPr>
        <w:tc>
          <w:tcPr>
            <w:tcW w:w="1872" w:type="dxa"/>
            <w:noWrap/>
            <w:vAlign w:val="center"/>
            <w:hideMark/>
          </w:tcPr>
          <w:p w14:paraId="59BCAFFA" w14:textId="77777777" w:rsidR="00F310BA" w:rsidRPr="00787679" w:rsidRDefault="00F310BA" w:rsidP="00696E8F">
            <w:pPr>
              <w:rPr>
                <w:rFonts w:cs="Arial"/>
                <w:color w:val="000000"/>
              </w:rPr>
            </w:pPr>
            <w:r w:rsidRPr="00787679">
              <w:rPr>
                <w:rFonts w:cs="Arial"/>
                <w:color w:val="000000"/>
              </w:rPr>
              <w:t>0BBC3ZZ</w:t>
            </w:r>
          </w:p>
        </w:tc>
        <w:tc>
          <w:tcPr>
            <w:tcW w:w="7560" w:type="dxa"/>
            <w:noWrap/>
            <w:vAlign w:val="center"/>
            <w:hideMark/>
          </w:tcPr>
          <w:p w14:paraId="36B7F066" w14:textId="77777777" w:rsidR="00F310BA" w:rsidRPr="00787679" w:rsidRDefault="00F310BA" w:rsidP="00696E8F">
            <w:pPr>
              <w:rPr>
                <w:rFonts w:cs="Arial"/>
                <w:color w:val="000000"/>
              </w:rPr>
            </w:pPr>
            <w:r w:rsidRPr="00787679">
              <w:rPr>
                <w:rFonts w:cs="Arial"/>
                <w:color w:val="000000"/>
              </w:rPr>
              <w:t>Excision of Right Upper Lung Lobe, Percutaneous Approach</w:t>
            </w:r>
          </w:p>
        </w:tc>
      </w:tr>
      <w:tr w:rsidR="00F310BA" w:rsidRPr="00787679" w14:paraId="517D2F8D" w14:textId="77777777" w:rsidTr="00696E8F">
        <w:trPr>
          <w:trHeight w:val="300"/>
        </w:trPr>
        <w:tc>
          <w:tcPr>
            <w:tcW w:w="1872" w:type="dxa"/>
            <w:noWrap/>
            <w:vAlign w:val="center"/>
            <w:hideMark/>
          </w:tcPr>
          <w:p w14:paraId="722362FA" w14:textId="77777777" w:rsidR="00F310BA" w:rsidRPr="00787679" w:rsidRDefault="00F310BA" w:rsidP="00696E8F">
            <w:pPr>
              <w:rPr>
                <w:rFonts w:cs="Arial"/>
                <w:color w:val="000000"/>
              </w:rPr>
            </w:pPr>
            <w:r w:rsidRPr="00787679">
              <w:rPr>
                <w:rFonts w:cs="Arial"/>
                <w:color w:val="000000"/>
              </w:rPr>
              <w:t>0BBC4ZZ</w:t>
            </w:r>
          </w:p>
        </w:tc>
        <w:tc>
          <w:tcPr>
            <w:tcW w:w="7560" w:type="dxa"/>
            <w:noWrap/>
            <w:vAlign w:val="center"/>
            <w:hideMark/>
          </w:tcPr>
          <w:p w14:paraId="5298F85F" w14:textId="77777777" w:rsidR="00F310BA" w:rsidRPr="00787679" w:rsidRDefault="00F310BA" w:rsidP="00696E8F">
            <w:pPr>
              <w:rPr>
                <w:rFonts w:cs="Arial"/>
                <w:color w:val="000000"/>
              </w:rPr>
            </w:pPr>
            <w:r w:rsidRPr="00787679">
              <w:rPr>
                <w:rFonts w:cs="Arial"/>
                <w:color w:val="000000"/>
              </w:rPr>
              <w:t>Excision of Right Upper Lung Lobe, Percutaneous Endoscopic Approach</w:t>
            </w:r>
          </w:p>
        </w:tc>
      </w:tr>
      <w:tr w:rsidR="00F310BA" w:rsidRPr="00787679" w14:paraId="5AC8769A" w14:textId="77777777" w:rsidTr="00696E8F">
        <w:trPr>
          <w:trHeight w:val="300"/>
        </w:trPr>
        <w:tc>
          <w:tcPr>
            <w:tcW w:w="1872" w:type="dxa"/>
            <w:noWrap/>
            <w:vAlign w:val="center"/>
            <w:hideMark/>
          </w:tcPr>
          <w:p w14:paraId="4A96024C" w14:textId="77777777" w:rsidR="00F310BA" w:rsidRPr="00787679" w:rsidRDefault="00F310BA" w:rsidP="00696E8F">
            <w:pPr>
              <w:rPr>
                <w:rFonts w:cs="Arial"/>
                <w:color w:val="000000"/>
              </w:rPr>
            </w:pPr>
            <w:r w:rsidRPr="00787679">
              <w:rPr>
                <w:rFonts w:cs="Arial"/>
                <w:color w:val="000000"/>
              </w:rPr>
              <w:t>0BBD0ZZ</w:t>
            </w:r>
          </w:p>
        </w:tc>
        <w:tc>
          <w:tcPr>
            <w:tcW w:w="7560" w:type="dxa"/>
            <w:noWrap/>
            <w:vAlign w:val="center"/>
            <w:hideMark/>
          </w:tcPr>
          <w:p w14:paraId="77E301C9" w14:textId="77777777" w:rsidR="00F310BA" w:rsidRPr="00787679" w:rsidRDefault="00F310BA" w:rsidP="00696E8F">
            <w:pPr>
              <w:rPr>
                <w:rFonts w:cs="Arial"/>
                <w:color w:val="000000"/>
              </w:rPr>
            </w:pPr>
            <w:r w:rsidRPr="00787679">
              <w:rPr>
                <w:rFonts w:cs="Arial"/>
                <w:color w:val="000000"/>
              </w:rPr>
              <w:t>Excision of Right Middle Lung Lobe, Open Approach</w:t>
            </w:r>
          </w:p>
        </w:tc>
      </w:tr>
      <w:tr w:rsidR="00F310BA" w:rsidRPr="00787679" w14:paraId="54C3B181" w14:textId="77777777" w:rsidTr="00696E8F">
        <w:trPr>
          <w:trHeight w:val="300"/>
        </w:trPr>
        <w:tc>
          <w:tcPr>
            <w:tcW w:w="1872" w:type="dxa"/>
            <w:noWrap/>
            <w:vAlign w:val="center"/>
            <w:hideMark/>
          </w:tcPr>
          <w:p w14:paraId="577AD214" w14:textId="77777777" w:rsidR="00F310BA" w:rsidRPr="00787679" w:rsidRDefault="00F310BA" w:rsidP="00696E8F">
            <w:pPr>
              <w:rPr>
                <w:rFonts w:cs="Arial"/>
                <w:color w:val="000000"/>
              </w:rPr>
            </w:pPr>
            <w:r w:rsidRPr="00787679">
              <w:rPr>
                <w:rFonts w:cs="Arial"/>
                <w:color w:val="000000"/>
              </w:rPr>
              <w:t>0BBD3ZZ</w:t>
            </w:r>
          </w:p>
        </w:tc>
        <w:tc>
          <w:tcPr>
            <w:tcW w:w="7560" w:type="dxa"/>
            <w:noWrap/>
            <w:vAlign w:val="center"/>
            <w:hideMark/>
          </w:tcPr>
          <w:p w14:paraId="1DDA24D5" w14:textId="77777777" w:rsidR="00F310BA" w:rsidRPr="00787679" w:rsidRDefault="00F310BA" w:rsidP="00696E8F">
            <w:pPr>
              <w:rPr>
                <w:rFonts w:cs="Arial"/>
                <w:color w:val="000000"/>
              </w:rPr>
            </w:pPr>
            <w:r w:rsidRPr="00787679">
              <w:rPr>
                <w:rFonts w:cs="Arial"/>
                <w:color w:val="000000"/>
              </w:rPr>
              <w:t>Excision of Right Middle Lung Lobe, Percutaneous Approach</w:t>
            </w:r>
          </w:p>
        </w:tc>
      </w:tr>
      <w:tr w:rsidR="00F310BA" w:rsidRPr="00787679" w14:paraId="54DE2E4D" w14:textId="77777777" w:rsidTr="00696E8F">
        <w:trPr>
          <w:trHeight w:val="300"/>
        </w:trPr>
        <w:tc>
          <w:tcPr>
            <w:tcW w:w="1872" w:type="dxa"/>
            <w:noWrap/>
            <w:vAlign w:val="center"/>
            <w:hideMark/>
          </w:tcPr>
          <w:p w14:paraId="727D8F8E" w14:textId="77777777" w:rsidR="00F310BA" w:rsidRPr="00787679" w:rsidRDefault="00F310BA" w:rsidP="00696E8F">
            <w:pPr>
              <w:rPr>
                <w:rFonts w:cs="Arial"/>
                <w:color w:val="000000"/>
              </w:rPr>
            </w:pPr>
            <w:r w:rsidRPr="00787679">
              <w:rPr>
                <w:rFonts w:cs="Arial"/>
                <w:color w:val="000000"/>
              </w:rPr>
              <w:t>0BBD4ZZ</w:t>
            </w:r>
          </w:p>
        </w:tc>
        <w:tc>
          <w:tcPr>
            <w:tcW w:w="7560" w:type="dxa"/>
            <w:noWrap/>
            <w:vAlign w:val="center"/>
            <w:hideMark/>
          </w:tcPr>
          <w:p w14:paraId="55F937CA" w14:textId="77777777" w:rsidR="00F310BA" w:rsidRPr="00787679" w:rsidRDefault="00F310BA" w:rsidP="00696E8F">
            <w:pPr>
              <w:rPr>
                <w:rFonts w:cs="Arial"/>
                <w:color w:val="000000"/>
              </w:rPr>
            </w:pPr>
            <w:r w:rsidRPr="00787679">
              <w:rPr>
                <w:rFonts w:cs="Arial"/>
                <w:color w:val="000000"/>
              </w:rPr>
              <w:t>Excision of Right Middle Lung Lobe, Percutaneous Endoscopic Approach</w:t>
            </w:r>
          </w:p>
        </w:tc>
      </w:tr>
      <w:tr w:rsidR="00F310BA" w:rsidRPr="00787679" w14:paraId="3FDF3D0E" w14:textId="77777777" w:rsidTr="00696E8F">
        <w:trPr>
          <w:trHeight w:val="300"/>
        </w:trPr>
        <w:tc>
          <w:tcPr>
            <w:tcW w:w="1872" w:type="dxa"/>
            <w:noWrap/>
            <w:vAlign w:val="center"/>
            <w:hideMark/>
          </w:tcPr>
          <w:p w14:paraId="6AA32BB8" w14:textId="77777777" w:rsidR="00F310BA" w:rsidRPr="00787679" w:rsidRDefault="00F310BA" w:rsidP="00696E8F">
            <w:pPr>
              <w:rPr>
                <w:rFonts w:cs="Arial"/>
                <w:color w:val="000000"/>
              </w:rPr>
            </w:pPr>
            <w:r w:rsidRPr="00787679">
              <w:rPr>
                <w:rFonts w:cs="Arial"/>
                <w:color w:val="000000"/>
              </w:rPr>
              <w:t>0BBF0ZZ</w:t>
            </w:r>
          </w:p>
        </w:tc>
        <w:tc>
          <w:tcPr>
            <w:tcW w:w="7560" w:type="dxa"/>
            <w:noWrap/>
            <w:vAlign w:val="center"/>
            <w:hideMark/>
          </w:tcPr>
          <w:p w14:paraId="10D11354" w14:textId="77777777" w:rsidR="00F310BA" w:rsidRPr="00787679" w:rsidRDefault="00F310BA" w:rsidP="00696E8F">
            <w:pPr>
              <w:rPr>
                <w:rFonts w:cs="Arial"/>
                <w:color w:val="000000"/>
              </w:rPr>
            </w:pPr>
            <w:r w:rsidRPr="00787679">
              <w:rPr>
                <w:rFonts w:cs="Arial"/>
                <w:color w:val="000000"/>
              </w:rPr>
              <w:t>Excision of Right Lower Lung Lobe, Open Approach</w:t>
            </w:r>
          </w:p>
        </w:tc>
      </w:tr>
      <w:tr w:rsidR="00F310BA" w:rsidRPr="00787679" w14:paraId="5028115B" w14:textId="77777777" w:rsidTr="00696E8F">
        <w:trPr>
          <w:trHeight w:val="300"/>
        </w:trPr>
        <w:tc>
          <w:tcPr>
            <w:tcW w:w="1872" w:type="dxa"/>
            <w:noWrap/>
            <w:vAlign w:val="center"/>
            <w:hideMark/>
          </w:tcPr>
          <w:p w14:paraId="72361D1F" w14:textId="77777777" w:rsidR="00F310BA" w:rsidRPr="00787679" w:rsidRDefault="00F310BA" w:rsidP="00696E8F">
            <w:pPr>
              <w:rPr>
                <w:rFonts w:cs="Arial"/>
                <w:color w:val="000000"/>
              </w:rPr>
            </w:pPr>
            <w:r w:rsidRPr="00787679">
              <w:rPr>
                <w:rFonts w:cs="Arial"/>
                <w:color w:val="000000"/>
              </w:rPr>
              <w:t>0BBF3ZZ</w:t>
            </w:r>
          </w:p>
        </w:tc>
        <w:tc>
          <w:tcPr>
            <w:tcW w:w="7560" w:type="dxa"/>
            <w:noWrap/>
            <w:vAlign w:val="center"/>
            <w:hideMark/>
          </w:tcPr>
          <w:p w14:paraId="210822B4" w14:textId="77777777" w:rsidR="00F310BA" w:rsidRPr="00787679" w:rsidRDefault="00F310BA" w:rsidP="00696E8F">
            <w:pPr>
              <w:rPr>
                <w:rFonts w:cs="Arial"/>
                <w:color w:val="000000"/>
              </w:rPr>
            </w:pPr>
            <w:r w:rsidRPr="00787679">
              <w:rPr>
                <w:rFonts w:cs="Arial"/>
                <w:color w:val="000000"/>
              </w:rPr>
              <w:t>Excision of Right Lower Lung Lobe, Percutaneous Approach</w:t>
            </w:r>
          </w:p>
        </w:tc>
      </w:tr>
      <w:tr w:rsidR="00F310BA" w:rsidRPr="00787679" w14:paraId="0B08AA54" w14:textId="77777777" w:rsidTr="00696E8F">
        <w:trPr>
          <w:trHeight w:val="300"/>
        </w:trPr>
        <w:tc>
          <w:tcPr>
            <w:tcW w:w="1872" w:type="dxa"/>
            <w:noWrap/>
            <w:vAlign w:val="center"/>
            <w:hideMark/>
          </w:tcPr>
          <w:p w14:paraId="2C2EB237" w14:textId="77777777" w:rsidR="00F310BA" w:rsidRPr="00787679" w:rsidRDefault="00F310BA" w:rsidP="00696E8F">
            <w:pPr>
              <w:rPr>
                <w:rFonts w:cs="Arial"/>
                <w:color w:val="000000"/>
              </w:rPr>
            </w:pPr>
            <w:r w:rsidRPr="00787679">
              <w:rPr>
                <w:rFonts w:cs="Arial"/>
                <w:color w:val="000000"/>
              </w:rPr>
              <w:t>0BBF4ZZ</w:t>
            </w:r>
          </w:p>
        </w:tc>
        <w:tc>
          <w:tcPr>
            <w:tcW w:w="7560" w:type="dxa"/>
            <w:noWrap/>
            <w:vAlign w:val="center"/>
            <w:hideMark/>
          </w:tcPr>
          <w:p w14:paraId="1677BFE0" w14:textId="77777777" w:rsidR="00F310BA" w:rsidRPr="00787679" w:rsidRDefault="00F310BA" w:rsidP="00696E8F">
            <w:pPr>
              <w:rPr>
                <w:rFonts w:cs="Arial"/>
                <w:color w:val="000000"/>
              </w:rPr>
            </w:pPr>
            <w:r w:rsidRPr="00787679">
              <w:rPr>
                <w:rFonts w:cs="Arial"/>
                <w:color w:val="000000"/>
              </w:rPr>
              <w:t>Excision of Right Lower Lung Lobe, Percutaneous Endoscopic Approach</w:t>
            </w:r>
          </w:p>
        </w:tc>
      </w:tr>
      <w:tr w:rsidR="00F310BA" w:rsidRPr="00787679" w14:paraId="4DFF298C" w14:textId="77777777" w:rsidTr="00696E8F">
        <w:trPr>
          <w:trHeight w:val="300"/>
        </w:trPr>
        <w:tc>
          <w:tcPr>
            <w:tcW w:w="1872" w:type="dxa"/>
            <w:noWrap/>
            <w:vAlign w:val="center"/>
            <w:hideMark/>
          </w:tcPr>
          <w:p w14:paraId="667B0399" w14:textId="77777777" w:rsidR="00F310BA" w:rsidRPr="00787679" w:rsidRDefault="00F310BA" w:rsidP="00696E8F">
            <w:pPr>
              <w:rPr>
                <w:rFonts w:cs="Arial"/>
                <w:color w:val="000000"/>
              </w:rPr>
            </w:pPr>
            <w:r w:rsidRPr="00787679">
              <w:rPr>
                <w:rFonts w:cs="Arial"/>
                <w:color w:val="000000"/>
              </w:rPr>
              <w:t>0BBG0ZZ</w:t>
            </w:r>
          </w:p>
        </w:tc>
        <w:tc>
          <w:tcPr>
            <w:tcW w:w="7560" w:type="dxa"/>
            <w:noWrap/>
            <w:vAlign w:val="center"/>
            <w:hideMark/>
          </w:tcPr>
          <w:p w14:paraId="1845EF6F" w14:textId="77777777" w:rsidR="00F310BA" w:rsidRPr="00787679" w:rsidRDefault="00F310BA" w:rsidP="00696E8F">
            <w:pPr>
              <w:rPr>
                <w:rFonts w:cs="Arial"/>
                <w:color w:val="000000"/>
              </w:rPr>
            </w:pPr>
            <w:r w:rsidRPr="00787679">
              <w:rPr>
                <w:rFonts w:cs="Arial"/>
                <w:color w:val="000000"/>
              </w:rPr>
              <w:t>Excision of Left Upper Lung Lobe, Open Approach</w:t>
            </w:r>
          </w:p>
        </w:tc>
      </w:tr>
      <w:tr w:rsidR="00F310BA" w:rsidRPr="00787679" w14:paraId="11FB51A3" w14:textId="77777777" w:rsidTr="00696E8F">
        <w:trPr>
          <w:trHeight w:val="300"/>
        </w:trPr>
        <w:tc>
          <w:tcPr>
            <w:tcW w:w="1872" w:type="dxa"/>
            <w:noWrap/>
            <w:vAlign w:val="center"/>
            <w:hideMark/>
          </w:tcPr>
          <w:p w14:paraId="50E9D0DA" w14:textId="77777777" w:rsidR="00F310BA" w:rsidRPr="00787679" w:rsidRDefault="00F310BA" w:rsidP="00696E8F">
            <w:pPr>
              <w:rPr>
                <w:rFonts w:cs="Arial"/>
                <w:color w:val="000000"/>
              </w:rPr>
            </w:pPr>
            <w:r w:rsidRPr="00787679">
              <w:rPr>
                <w:rFonts w:cs="Arial"/>
                <w:color w:val="000000"/>
              </w:rPr>
              <w:t>0BBG3ZZ</w:t>
            </w:r>
          </w:p>
        </w:tc>
        <w:tc>
          <w:tcPr>
            <w:tcW w:w="7560" w:type="dxa"/>
            <w:noWrap/>
            <w:vAlign w:val="center"/>
            <w:hideMark/>
          </w:tcPr>
          <w:p w14:paraId="34FE11BD" w14:textId="77777777" w:rsidR="00F310BA" w:rsidRPr="00787679" w:rsidRDefault="00F310BA" w:rsidP="00696E8F">
            <w:pPr>
              <w:rPr>
                <w:rFonts w:cs="Arial"/>
                <w:color w:val="000000"/>
              </w:rPr>
            </w:pPr>
            <w:r w:rsidRPr="00787679">
              <w:rPr>
                <w:rFonts w:cs="Arial"/>
                <w:color w:val="000000"/>
              </w:rPr>
              <w:t>Excision of Left Upper Lung Lobe, Percutaneous Approach</w:t>
            </w:r>
          </w:p>
        </w:tc>
      </w:tr>
      <w:tr w:rsidR="00F310BA" w:rsidRPr="00787679" w14:paraId="783515CE" w14:textId="77777777" w:rsidTr="00696E8F">
        <w:trPr>
          <w:trHeight w:val="300"/>
        </w:trPr>
        <w:tc>
          <w:tcPr>
            <w:tcW w:w="1872" w:type="dxa"/>
            <w:noWrap/>
            <w:vAlign w:val="center"/>
            <w:hideMark/>
          </w:tcPr>
          <w:p w14:paraId="717782C0" w14:textId="77777777" w:rsidR="00F310BA" w:rsidRPr="00787679" w:rsidRDefault="00F310BA" w:rsidP="00696E8F">
            <w:pPr>
              <w:rPr>
                <w:rFonts w:cs="Arial"/>
                <w:color w:val="000000"/>
              </w:rPr>
            </w:pPr>
            <w:r w:rsidRPr="00787679">
              <w:rPr>
                <w:rFonts w:cs="Arial"/>
                <w:color w:val="000000"/>
              </w:rPr>
              <w:t>0BBG4ZZ</w:t>
            </w:r>
          </w:p>
        </w:tc>
        <w:tc>
          <w:tcPr>
            <w:tcW w:w="7560" w:type="dxa"/>
            <w:noWrap/>
            <w:vAlign w:val="center"/>
            <w:hideMark/>
          </w:tcPr>
          <w:p w14:paraId="10DFE3DB" w14:textId="77777777" w:rsidR="00F310BA" w:rsidRPr="00787679" w:rsidRDefault="00F310BA" w:rsidP="00696E8F">
            <w:pPr>
              <w:rPr>
                <w:rFonts w:cs="Arial"/>
                <w:color w:val="000000"/>
              </w:rPr>
            </w:pPr>
            <w:r w:rsidRPr="00787679">
              <w:rPr>
                <w:rFonts w:cs="Arial"/>
                <w:color w:val="000000"/>
              </w:rPr>
              <w:t>Excision of Left Upper Lung Lobe, Percutaneous Endoscopic Approach</w:t>
            </w:r>
          </w:p>
        </w:tc>
      </w:tr>
      <w:tr w:rsidR="00F310BA" w:rsidRPr="00787679" w14:paraId="2A19B545" w14:textId="77777777" w:rsidTr="00696E8F">
        <w:trPr>
          <w:trHeight w:val="300"/>
        </w:trPr>
        <w:tc>
          <w:tcPr>
            <w:tcW w:w="1872" w:type="dxa"/>
            <w:noWrap/>
            <w:vAlign w:val="center"/>
            <w:hideMark/>
          </w:tcPr>
          <w:p w14:paraId="27928A75" w14:textId="77777777" w:rsidR="00F310BA" w:rsidRPr="00787679" w:rsidRDefault="00F310BA" w:rsidP="00696E8F">
            <w:pPr>
              <w:rPr>
                <w:rFonts w:cs="Arial"/>
                <w:color w:val="000000"/>
              </w:rPr>
            </w:pPr>
            <w:r w:rsidRPr="00787679">
              <w:rPr>
                <w:rFonts w:cs="Arial"/>
                <w:color w:val="000000"/>
              </w:rPr>
              <w:t>0BBH0ZZ</w:t>
            </w:r>
          </w:p>
        </w:tc>
        <w:tc>
          <w:tcPr>
            <w:tcW w:w="7560" w:type="dxa"/>
            <w:noWrap/>
            <w:vAlign w:val="center"/>
            <w:hideMark/>
          </w:tcPr>
          <w:p w14:paraId="3BD65F7B" w14:textId="77777777" w:rsidR="00F310BA" w:rsidRPr="00787679" w:rsidRDefault="00F310BA" w:rsidP="00696E8F">
            <w:pPr>
              <w:rPr>
                <w:rFonts w:cs="Arial"/>
                <w:color w:val="000000"/>
              </w:rPr>
            </w:pPr>
            <w:r w:rsidRPr="00787679">
              <w:rPr>
                <w:rFonts w:cs="Arial"/>
                <w:color w:val="000000"/>
              </w:rPr>
              <w:t>Excision of Lung Lingula, Open Approach</w:t>
            </w:r>
          </w:p>
        </w:tc>
      </w:tr>
      <w:tr w:rsidR="00F310BA" w:rsidRPr="00787679" w14:paraId="0397D900" w14:textId="77777777" w:rsidTr="00696E8F">
        <w:trPr>
          <w:trHeight w:val="300"/>
        </w:trPr>
        <w:tc>
          <w:tcPr>
            <w:tcW w:w="1872" w:type="dxa"/>
            <w:noWrap/>
            <w:vAlign w:val="center"/>
            <w:hideMark/>
          </w:tcPr>
          <w:p w14:paraId="374BEBC3" w14:textId="77777777" w:rsidR="00F310BA" w:rsidRPr="00787679" w:rsidRDefault="00F310BA" w:rsidP="00696E8F">
            <w:pPr>
              <w:rPr>
                <w:rFonts w:cs="Arial"/>
                <w:color w:val="000000"/>
              </w:rPr>
            </w:pPr>
            <w:r w:rsidRPr="00787679">
              <w:rPr>
                <w:rFonts w:cs="Arial"/>
                <w:color w:val="000000"/>
              </w:rPr>
              <w:t>0BBH3ZZ</w:t>
            </w:r>
          </w:p>
        </w:tc>
        <w:tc>
          <w:tcPr>
            <w:tcW w:w="7560" w:type="dxa"/>
            <w:noWrap/>
            <w:vAlign w:val="center"/>
            <w:hideMark/>
          </w:tcPr>
          <w:p w14:paraId="76A06D8E" w14:textId="77777777" w:rsidR="00F310BA" w:rsidRPr="00787679" w:rsidRDefault="00F310BA" w:rsidP="00696E8F">
            <w:pPr>
              <w:rPr>
                <w:rFonts w:cs="Arial"/>
                <w:color w:val="000000"/>
              </w:rPr>
            </w:pPr>
            <w:r w:rsidRPr="00787679">
              <w:rPr>
                <w:rFonts w:cs="Arial"/>
                <w:color w:val="000000"/>
              </w:rPr>
              <w:t>Excision of Lung Lingula, Percutaneous Approach</w:t>
            </w:r>
          </w:p>
        </w:tc>
      </w:tr>
      <w:tr w:rsidR="00F310BA" w:rsidRPr="00787679" w14:paraId="6586447F" w14:textId="77777777" w:rsidTr="00696E8F">
        <w:trPr>
          <w:trHeight w:val="300"/>
        </w:trPr>
        <w:tc>
          <w:tcPr>
            <w:tcW w:w="1872" w:type="dxa"/>
            <w:noWrap/>
            <w:vAlign w:val="center"/>
            <w:hideMark/>
          </w:tcPr>
          <w:p w14:paraId="736C8494" w14:textId="77777777" w:rsidR="00F310BA" w:rsidRPr="00787679" w:rsidRDefault="00F310BA" w:rsidP="00696E8F">
            <w:pPr>
              <w:rPr>
                <w:rFonts w:cs="Arial"/>
                <w:color w:val="000000"/>
              </w:rPr>
            </w:pPr>
            <w:r w:rsidRPr="00787679">
              <w:rPr>
                <w:rFonts w:cs="Arial"/>
                <w:color w:val="000000"/>
              </w:rPr>
              <w:t>0BBH4ZZ</w:t>
            </w:r>
          </w:p>
        </w:tc>
        <w:tc>
          <w:tcPr>
            <w:tcW w:w="7560" w:type="dxa"/>
            <w:noWrap/>
            <w:vAlign w:val="center"/>
            <w:hideMark/>
          </w:tcPr>
          <w:p w14:paraId="252708B8" w14:textId="77777777" w:rsidR="00F310BA" w:rsidRPr="00787679" w:rsidRDefault="00F310BA" w:rsidP="00696E8F">
            <w:pPr>
              <w:rPr>
                <w:rFonts w:cs="Arial"/>
                <w:color w:val="000000"/>
              </w:rPr>
            </w:pPr>
            <w:r w:rsidRPr="00787679">
              <w:rPr>
                <w:rFonts w:cs="Arial"/>
                <w:color w:val="000000"/>
              </w:rPr>
              <w:t>Excision of Lung Lingula, Percutaneous Endoscopic Approach</w:t>
            </w:r>
          </w:p>
        </w:tc>
      </w:tr>
      <w:tr w:rsidR="00F310BA" w:rsidRPr="00787679" w14:paraId="7BCEEF4B" w14:textId="77777777" w:rsidTr="00696E8F">
        <w:trPr>
          <w:trHeight w:val="300"/>
        </w:trPr>
        <w:tc>
          <w:tcPr>
            <w:tcW w:w="1872" w:type="dxa"/>
            <w:noWrap/>
            <w:vAlign w:val="center"/>
            <w:hideMark/>
          </w:tcPr>
          <w:p w14:paraId="6AFEAB2E" w14:textId="77777777" w:rsidR="00F310BA" w:rsidRPr="00787679" w:rsidRDefault="00F310BA" w:rsidP="00696E8F">
            <w:pPr>
              <w:rPr>
                <w:rFonts w:cs="Arial"/>
                <w:color w:val="000000"/>
              </w:rPr>
            </w:pPr>
            <w:r w:rsidRPr="00787679">
              <w:rPr>
                <w:rFonts w:cs="Arial"/>
                <w:color w:val="000000"/>
              </w:rPr>
              <w:t>0BBJ0ZZ</w:t>
            </w:r>
          </w:p>
        </w:tc>
        <w:tc>
          <w:tcPr>
            <w:tcW w:w="7560" w:type="dxa"/>
            <w:noWrap/>
            <w:vAlign w:val="center"/>
            <w:hideMark/>
          </w:tcPr>
          <w:p w14:paraId="46F9E4E5" w14:textId="77777777" w:rsidR="00F310BA" w:rsidRPr="00787679" w:rsidRDefault="00F310BA" w:rsidP="00696E8F">
            <w:pPr>
              <w:rPr>
                <w:rFonts w:cs="Arial"/>
                <w:color w:val="000000"/>
              </w:rPr>
            </w:pPr>
            <w:r w:rsidRPr="00787679">
              <w:rPr>
                <w:rFonts w:cs="Arial"/>
                <w:color w:val="000000"/>
              </w:rPr>
              <w:t>Excision of Left Lower Lung Lobe, Open Approach</w:t>
            </w:r>
          </w:p>
        </w:tc>
      </w:tr>
      <w:tr w:rsidR="00F310BA" w:rsidRPr="00787679" w14:paraId="5774AC2D" w14:textId="77777777" w:rsidTr="00696E8F">
        <w:trPr>
          <w:trHeight w:val="300"/>
        </w:trPr>
        <w:tc>
          <w:tcPr>
            <w:tcW w:w="1872" w:type="dxa"/>
            <w:noWrap/>
            <w:vAlign w:val="center"/>
            <w:hideMark/>
          </w:tcPr>
          <w:p w14:paraId="4CBF02BC" w14:textId="77777777" w:rsidR="00F310BA" w:rsidRPr="00787679" w:rsidRDefault="00F310BA" w:rsidP="00696E8F">
            <w:pPr>
              <w:rPr>
                <w:rFonts w:cs="Arial"/>
                <w:color w:val="000000"/>
              </w:rPr>
            </w:pPr>
            <w:r w:rsidRPr="00787679">
              <w:rPr>
                <w:rFonts w:cs="Arial"/>
                <w:color w:val="000000"/>
              </w:rPr>
              <w:t>0BBJ3ZZ</w:t>
            </w:r>
          </w:p>
        </w:tc>
        <w:tc>
          <w:tcPr>
            <w:tcW w:w="7560" w:type="dxa"/>
            <w:noWrap/>
            <w:vAlign w:val="center"/>
            <w:hideMark/>
          </w:tcPr>
          <w:p w14:paraId="56D8D51D" w14:textId="77777777" w:rsidR="00F310BA" w:rsidRPr="00787679" w:rsidRDefault="00F310BA" w:rsidP="00696E8F">
            <w:pPr>
              <w:rPr>
                <w:rFonts w:cs="Arial"/>
                <w:color w:val="000000"/>
              </w:rPr>
            </w:pPr>
            <w:r w:rsidRPr="00787679">
              <w:rPr>
                <w:rFonts w:cs="Arial"/>
                <w:color w:val="000000"/>
              </w:rPr>
              <w:t>Excision of Left Lower Lung Lobe, Percutaneous Approach</w:t>
            </w:r>
          </w:p>
        </w:tc>
      </w:tr>
      <w:tr w:rsidR="00F310BA" w:rsidRPr="00787679" w14:paraId="5A62CF97" w14:textId="77777777" w:rsidTr="00696E8F">
        <w:trPr>
          <w:trHeight w:val="300"/>
        </w:trPr>
        <w:tc>
          <w:tcPr>
            <w:tcW w:w="1872" w:type="dxa"/>
            <w:noWrap/>
            <w:vAlign w:val="center"/>
            <w:hideMark/>
          </w:tcPr>
          <w:p w14:paraId="31FE10BE" w14:textId="77777777" w:rsidR="00F310BA" w:rsidRPr="00787679" w:rsidRDefault="00F310BA" w:rsidP="00696E8F">
            <w:pPr>
              <w:rPr>
                <w:rFonts w:cs="Arial"/>
                <w:color w:val="000000"/>
              </w:rPr>
            </w:pPr>
            <w:r w:rsidRPr="00787679">
              <w:rPr>
                <w:rFonts w:cs="Arial"/>
                <w:color w:val="000000"/>
              </w:rPr>
              <w:t>0BBJ4ZZ</w:t>
            </w:r>
          </w:p>
        </w:tc>
        <w:tc>
          <w:tcPr>
            <w:tcW w:w="7560" w:type="dxa"/>
            <w:noWrap/>
            <w:vAlign w:val="center"/>
            <w:hideMark/>
          </w:tcPr>
          <w:p w14:paraId="7AD50D0E" w14:textId="77777777" w:rsidR="00F310BA" w:rsidRPr="00787679" w:rsidRDefault="00F310BA" w:rsidP="00696E8F">
            <w:pPr>
              <w:rPr>
                <w:rFonts w:cs="Arial"/>
                <w:color w:val="000000"/>
              </w:rPr>
            </w:pPr>
            <w:r w:rsidRPr="00787679">
              <w:rPr>
                <w:rFonts w:cs="Arial"/>
                <w:color w:val="000000"/>
              </w:rPr>
              <w:t>Excision of Left Lower Lung Lobe, Percutaneous Endoscopic Approach</w:t>
            </w:r>
          </w:p>
        </w:tc>
      </w:tr>
      <w:tr w:rsidR="00F310BA" w:rsidRPr="00787679" w14:paraId="10EE49A4" w14:textId="77777777" w:rsidTr="00696E8F">
        <w:trPr>
          <w:trHeight w:val="300"/>
        </w:trPr>
        <w:tc>
          <w:tcPr>
            <w:tcW w:w="1872" w:type="dxa"/>
            <w:noWrap/>
            <w:vAlign w:val="center"/>
            <w:hideMark/>
          </w:tcPr>
          <w:p w14:paraId="1BC2B74A" w14:textId="77777777" w:rsidR="00F310BA" w:rsidRPr="00787679" w:rsidRDefault="00F310BA" w:rsidP="00696E8F">
            <w:pPr>
              <w:rPr>
                <w:rFonts w:cs="Arial"/>
                <w:color w:val="000000"/>
              </w:rPr>
            </w:pPr>
            <w:r w:rsidRPr="00787679">
              <w:rPr>
                <w:rFonts w:cs="Arial"/>
                <w:color w:val="000000"/>
              </w:rPr>
              <w:t>0BBK0ZZ</w:t>
            </w:r>
          </w:p>
        </w:tc>
        <w:tc>
          <w:tcPr>
            <w:tcW w:w="7560" w:type="dxa"/>
            <w:noWrap/>
            <w:vAlign w:val="center"/>
            <w:hideMark/>
          </w:tcPr>
          <w:p w14:paraId="17FE46C9" w14:textId="77777777" w:rsidR="00F310BA" w:rsidRPr="00787679" w:rsidRDefault="00F310BA" w:rsidP="00696E8F">
            <w:pPr>
              <w:rPr>
                <w:rFonts w:cs="Arial"/>
                <w:color w:val="000000"/>
              </w:rPr>
            </w:pPr>
            <w:r w:rsidRPr="00787679">
              <w:rPr>
                <w:rFonts w:cs="Arial"/>
                <w:color w:val="000000"/>
              </w:rPr>
              <w:t>Excision of Right Lung, Open Approach</w:t>
            </w:r>
          </w:p>
        </w:tc>
      </w:tr>
      <w:tr w:rsidR="00F310BA" w:rsidRPr="00787679" w14:paraId="7C42EED1" w14:textId="77777777" w:rsidTr="00696E8F">
        <w:trPr>
          <w:trHeight w:val="300"/>
        </w:trPr>
        <w:tc>
          <w:tcPr>
            <w:tcW w:w="1872" w:type="dxa"/>
            <w:noWrap/>
            <w:vAlign w:val="center"/>
            <w:hideMark/>
          </w:tcPr>
          <w:p w14:paraId="208BCA08" w14:textId="77777777" w:rsidR="00F310BA" w:rsidRPr="00787679" w:rsidRDefault="00F310BA" w:rsidP="00696E8F">
            <w:pPr>
              <w:rPr>
                <w:rFonts w:cs="Arial"/>
                <w:color w:val="000000"/>
              </w:rPr>
            </w:pPr>
            <w:r w:rsidRPr="00787679">
              <w:rPr>
                <w:rFonts w:cs="Arial"/>
                <w:color w:val="000000"/>
              </w:rPr>
              <w:t>0BBK3ZZ</w:t>
            </w:r>
          </w:p>
        </w:tc>
        <w:tc>
          <w:tcPr>
            <w:tcW w:w="7560" w:type="dxa"/>
            <w:noWrap/>
            <w:vAlign w:val="center"/>
            <w:hideMark/>
          </w:tcPr>
          <w:p w14:paraId="2DD26A40" w14:textId="77777777" w:rsidR="00F310BA" w:rsidRPr="00787679" w:rsidRDefault="00F310BA" w:rsidP="00696E8F">
            <w:pPr>
              <w:rPr>
                <w:rFonts w:cs="Arial"/>
                <w:color w:val="000000"/>
              </w:rPr>
            </w:pPr>
            <w:r w:rsidRPr="00787679">
              <w:rPr>
                <w:rFonts w:cs="Arial"/>
                <w:color w:val="000000"/>
              </w:rPr>
              <w:t>Excision of Right Lung, Percutaneous Approach</w:t>
            </w:r>
          </w:p>
        </w:tc>
      </w:tr>
      <w:tr w:rsidR="00F310BA" w:rsidRPr="00787679" w14:paraId="455FF75D" w14:textId="77777777" w:rsidTr="00696E8F">
        <w:trPr>
          <w:trHeight w:val="300"/>
        </w:trPr>
        <w:tc>
          <w:tcPr>
            <w:tcW w:w="1872" w:type="dxa"/>
            <w:noWrap/>
            <w:vAlign w:val="center"/>
            <w:hideMark/>
          </w:tcPr>
          <w:p w14:paraId="2ED0B266" w14:textId="77777777" w:rsidR="00F310BA" w:rsidRPr="00787679" w:rsidRDefault="00F310BA" w:rsidP="00696E8F">
            <w:pPr>
              <w:rPr>
                <w:rFonts w:cs="Arial"/>
                <w:color w:val="000000"/>
              </w:rPr>
            </w:pPr>
            <w:r w:rsidRPr="00787679">
              <w:rPr>
                <w:rFonts w:cs="Arial"/>
                <w:color w:val="000000"/>
              </w:rPr>
              <w:t>0BBK4ZZ</w:t>
            </w:r>
          </w:p>
        </w:tc>
        <w:tc>
          <w:tcPr>
            <w:tcW w:w="7560" w:type="dxa"/>
            <w:noWrap/>
            <w:vAlign w:val="center"/>
            <w:hideMark/>
          </w:tcPr>
          <w:p w14:paraId="1758D13E" w14:textId="77777777" w:rsidR="00F310BA" w:rsidRPr="00787679" w:rsidRDefault="00F310BA" w:rsidP="00696E8F">
            <w:pPr>
              <w:rPr>
                <w:rFonts w:cs="Arial"/>
                <w:color w:val="000000"/>
              </w:rPr>
            </w:pPr>
            <w:r w:rsidRPr="00787679">
              <w:rPr>
                <w:rFonts w:cs="Arial"/>
                <w:color w:val="000000"/>
              </w:rPr>
              <w:t>Excision of Right Lung, Percutaneous Endoscopic Approach</w:t>
            </w:r>
          </w:p>
        </w:tc>
      </w:tr>
      <w:tr w:rsidR="00F310BA" w:rsidRPr="00787679" w14:paraId="71D4840E" w14:textId="77777777" w:rsidTr="00696E8F">
        <w:trPr>
          <w:trHeight w:val="300"/>
        </w:trPr>
        <w:tc>
          <w:tcPr>
            <w:tcW w:w="1872" w:type="dxa"/>
            <w:noWrap/>
            <w:vAlign w:val="center"/>
            <w:hideMark/>
          </w:tcPr>
          <w:p w14:paraId="0DA17B56" w14:textId="77777777" w:rsidR="00F310BA" w:rsidRPr="00787679" w:rsidRDefault="00F310BA" w:rsidP="00696E8F">
            <w:pPr>
              <w:rPr>
                <w:rFonts w:cs="Arial"/>
                <w:color w:val="000000"/>
              </w:rPr>
            </w:pPr>
            <w:r w:rsidRPr="00787679">
              <w:rPr>
                <w:rFonts w:cs="Arial"/>
                <w:color w:val="000000"/>
              </w:rPr>
              <w:t>0BBL0ZZ</w:t>
            </w:r>
          </w:p>
        </w:tc>
        <w:tc>
          <w:tcPr>
            <w:tcW w:w="7560" w:type="dxa"/>
            <w:noWrap/>
            <w:vAlign w:val="center"/>
            <w:hideMark/>
          </w:tcPr>
          <w:p w14:paraId="07054FD6" w14:textId="77777777" w:rsidR="00F310BA" w:rsidRPr="00787679" w:rsidRDefault="00F310BA" w:rsidP="00696E8F">
            <w:pPr>
              <w:rPr>
                <w:rFonts w:cs="Arial"/>
                <w:color w:val="000000"/>
              </w:rPr>
            </w:pPr>
            <w:r w:rsidRPr="00787679">
              <w:rPr>
                <w:rFonts w:cs="Arial"/>
                <w:color w:val="000000"/>
              </w:rPr>
              <w:t>Excision of Left Lung, Open Approach</w:t>
            </w:r>
          </w:p>
        </w:tc>
      </w:tr>
      <w:tr w:rsidR="00F310BA" w:rsidRPr="00787679" w14:paraId="4C80D4BB" w14:textId="77777777" w:rsidTr="00696E8F">
        <w:trPr>
          <w:trHeight w:val="300"/>
        </w:trPr>
        <w:tc>
          <w:tcPr>
            <w:tcW w:w="1872" w:type="dxa"/>
            <w:noWrap/>
            <w:vAlign w:val="center"/>
            <w:hideMark/>
          </w:tcPr>
          <w:p w14:paraId="00DAF996" w14:textId="77777777" w:rsidR="00F310BA" w:rsidRPr="00787679" w:rsidRDefault="00F310BA" w:rsidP="00696E8F">
            <w:pPr>
              <w:rPr>
                <w:rFonts w:cs="Arial"/>
                <w:color w:val="000000"/>
              </w:rPr>
            </w:pPr>
            <w:r w:rsidRPr="00787679">
              <w:rPr>
                <w:rFonts w:cs="Arial"/>
                <w:color w:val="000000"/>
              </w:rPr>
              <w:t>0BBL3ZZ</w:t>
            </w:r>
          </w:p>
        </w:tc>
        <w:tc>
          <w:tcPr>
            <w:tcW w:w="7560" w:type="dxa"/>
            <w:noWrap/>
            <w:vAlign w:val="center"/>
            <w:hideMark/>
          </w:tcPr>
          <w:p w14:paraId="6BA5A391" w14:textId="77777777" w:rsidR="00F310BA" w:rsidRPr="00787679" w:rsidRDefault="00F310BA" w:rsidP="00696E8F">
            <w:pPr>
              <w:rPr>
                <w:rFonts w:cs="Arial"/>
                <w:color w:val="000000"/>
              </w:rPr>
            </w:pPr>
            <w:r w:rsidRPr="00787679">
              <w:rPr>
                <w:rFonts w:cs="Arial"/>
                <w:color w:val="000000"/>
              </w:rPr>
              <w:t>Excision of Left Lung, Percutaneous Approach</w:t>
            </w:r>
          </w:p>
        </w:tc>
      </w:tr>
      <w:tr w:rsidR="00F310BA" w:rsidRPr="00787679" w14:paraId="4D829148" w14:textId="77777777" w:rsidTr="00696E8F">
        <w:trPr>
          <w:trHeight w:val="300"/>
        </w:trPr>
        <w:tc>
          <w:tcPr>
            <w:tcW w:w="1872" w:type="dxa"/>
            <w:noWrap/>
            <w:vAlign w:val="center"/>
            <w:hideMark/>
          </w:tcPr>
          <w:p w14:paraId="056DF443" w14:textId="77777777" w:rsidR="00F310BA" w:rsidRPr="00787679" w:rsidRDefault="00F310BA" w:rsidP="00696E8F">
            <w:pPr>
              <w:rPr>
                <w:rFonts w:cs="Arial"/>
                <w:color w:val="000000"/>
              </w:rPr>
            </w:pPr>
            <w:r w:rsidRPr="00787679">
              <w:rPr>
                <w:rFonts w:cs="Arial"/>
                <w:color w:val="000000"/>
              </w:rPr>
              <w:t>0BBL4ZZ</w:t>
            </w:r>
          </w:p>
        </w:tc>
        <w:tc>
          <w:tcPr>
            <w:tcW w:w="7560" w:type="dxa"/>
            <w:noWrap/>
            <w:vAlign w:val="center"/>
            <w:hideMark/>
          </w:tcPr>
          <w:p w14:paraId="66405826" w14:textId="77777777" w:rsidR="00F310BA" w:rsidRPr="00787679" w:rsidRDefault="00F310BA" w:rsidP="00696E8F">
            <w:pPr>
              <w:rPr>
                <w:rFonts w:cs="Arial"/>
                <w:color w:val="000000"/>
              </w:rPr>
            </w:pPr>
            <w:r w:rsidRPr="00787679">
              <w:rPr>
                <w:rFonts w:cs="Arial"/>
                <w:color w:val="000000"/>
              </w:rPr>
              <w:t>Excision of Left Lung, Percutaneous Endoscopic Approach</w:t>
            </w:r>
          </w:p>
        </w:tc>
      </w:tr>
      <w:tr w:rsidR="00F310BA" w:rsidRPr="00787679" w14:paraId="65D2BAB9" w14:textId="77777777" w:rsidTr="00696E8F">
        <w:trPr>
          <w:trHeight w:val="300"/>
        </w:trPr>
        <w:tc>
          <w:tcPr>
            <w:tcW w:w="1872" w:type="dxa"/>
            <w:noWrap/>
            <w:vAlign w:val="center"/>
            <w:hideMark/>
          </w:tcPr>
          <w:p w14:paraId="250C4B14" w14:textId="77777777" w:rsidR="00F310BA" w:rsidRPr="00787679" w:rsidRDefault="00F310BA" w:rsidP="00696E8F">
            <w:pPr>
              <w:rPr>
                <w:rFonts w:cs="Arial"/>
                <w:color w:val="000000"/>
              </w:rPr>
            </w:pPr>
            <w:r w:rsidRPr="00787679">
              <w:rPr>
                <w:rFonts w:cs="Arial"/>
                <w:color w:val="000000"/>
              </w:rPr>
              <w:t>0BBL7ZZ</w:t>
            </w:r>
          </w:p>
        </w:tc>
        <w:tc>
          <w:tcPr>
            <w:tcW w:w="7560" w:type="dxa"/>
            <w:noWrap/>
            <w:vAlign w:val="center"/>
            <w:hideMark/>
          </w:tcPr>
          <w:p w14:paraId="63A90286" w14:textId="77777777" w:rsidR="00F310BA" w:rsidRPr="00787679" w:rsidRDefault="00F310BA" w:rsidP="00696E8F">
            <w:pPr>
              <w:rPr>
                <w:rFonts w:cs="Arial"/>
                <w:color w:val="000000"/>
              </w:rPr>
            </w:pPr>
            <w:r w:rsidRPr="00787679">
              <w:rPr>
                <w:rFonts w:cs="Arial"/>
                <w:color w:val="000000"/>
              </w:rPr>
              <w:t>Excision of Left Lung, Via Natural or Artificial Opening</w:t>
            </w:r>
          </w:p>
        </w:tc>
      </w:tr>
      <w:tr w:rsidR="006118E2" w:rsidRPr="00787679" w14:paraId="2A018F79" w14:textId="77777777" w:rsidTr="00696E8F">
        <w:trPr>
          <w:trHeight w:val="300"/>
        </w:trPr>
        <w:tc>
          <w:tcPr>
            <w:tcW w:w="1872" w:type="dxa"/>
            <w:noWrap/>
            <w:vAlign w:val="center"/>
            <w:hideMark/>
          </w:tcPr>
          <w:p w14:paraId="6052488F" w14:textId="77777777" w:rsidR="006118E2" w:rsidRPr="00787679" w:rsidRDefault="006118E2" w:rsidP="00696E8F">
            <w:pPr>
              <w:rPr>
                <w:rFonts w:cs="Arial"/>
                <w:color w:val="000000"/>
              </w:rPr>
            </w:pPr>
            <w:r w:rsidRPr="00787679">
              <w:rPr>
                <w:rFonts w:cs="Arial"/>
                <w:color w:val="000000"/>
              </w:rPr>
              <w:t>0BTC0ZZ</w:t>
            </w:r>
          </w:p>
        </w:tc>
        <w:tc>
          <w:tcPr>
            <w:tcW w:w="7560" w:type="dxa"/>
            <w:noWrap/>
            <w:vAlign w:val="center"/>
            <w:hideMark/>
          </w:tcPr>
          <w:p w14:paraId="4FB691BB" w14:textId="77777777" w:rsidR="006118E2" w:rsidRPr="00787679" w:rsidRDefault="006118E2" w:rsidP="00696E8F">
            <w:pPr>
              <w:rPr>
                <w:rFonts w:cs="Arial"/>
                <w:color w:val="000000"/>
              </w:rPr>
            </w:pPr>
            <w:r w:rsidRPr="00787679">
              <w:rPr>
                <w:rFonts w:cs="Arial"/>
                <w:color w:val="000000"/>
              </w:rPr>
              <w:t>Resection of Right Upper Lung Lobe, Open Approach</w:t>
            </w:r>
          </w:p>
        </w:tc>
      </w:tr>
      <w:tr w:rsidR="006118E2" w:rsidRPr="00787679" w14:paraId="241CF2C5" w14:textId="77777777" w:rsidTr="00696E8F">
        <w:trPr>
          <w:trHeight w:val="300"/>
        </w:trPr>
        <w:tc>
          <w:tcPr>
            <w:tcW w:w="1872" w:type="dxa"/>
            <w:noWrap/>
            <w:vAlign w:val="center"/>
            <w:hideMark/>
          </w:tcPr>
          <w:p w14:paraId="18E9D4F3" w14:textId="77777777" w:rsidR="006118E2" w:rsidRPr="00787679" w:rsidRDefault="006118E2" w:rsidP="00696E8F">
            <w:pPr>
              <w:rPr>
                <w:rFonts w:cs="Arial"/>
                <w:color w:val="000000"/>
              </w:rPr>
            </w:pPr>
            <w:r w:rsidRPr="00787679">
              <w:rPr>
                <w:rFonts w:cs="Arial"/>
                <w:color w:val="000000"/>
              </w:rPr>
              <w:t>0BTC4ZZ</w:t>
            </w:r>
          </w:p>
        </w:tc>
        <w:tc>
          <w:tcPr>
            <w:tcW w:w="7560" w:type="dxa"/>
            <w:noWrap/>
            <w:vAlign w:val="center"/>
            <w:hideMark/>
          </w:tcPr>
          <w:p w14:paraId="5D9B2666" w14:textId="77777777" w:rsidR="006118E2" w:rsidRPr="00787679" w:rsidRDefault="006118E2" w:rsidP="00696E8F">
            <w:pPr>
              <w:rPr>
                <w:rFonts w:cs="Arial"/>
                <w:color w:val="000000"/>
              </w:rPr>
            </w:pPr>
            <w:r w:rsidRPr="00787679">
              <w:rPr>
                <w:rFonts w:cs="Arial"/>
                <w:color w:val="000000"/>
              </w:rPr>
              <w:t>Resection of Right Upper Lung Lobe, Percutaneous Endoscopic Approach</w:t>
            </w:r>
          </w:p>
        </w:tc>
      </w:tr>
      <w:tr w:rsidR="006118E2" w:rsidRPr="00787679" w14:paraId="4223AD24" w14:textId="77777777" w:rsidTr="00696E8F">
        <w:trPr>
          <w:trHeight w:val="300"/>
        </w:trPr>
        <w:tc>
          <w:tcPr>
            <w:tcW w:w="1872" w:type="dxa"/>
            <w:noWrap/>
            <w:vAlign w:val="center"/>
            <w:hideMark/>
          </w:tcPr>
          <w:p w14:paraId="059A2FA2" w14:textId="77777777" w:rsidR="006118E2" w:rsidRPr="00787679" w:rsidRDefault="006118E2" w:rsidP="00696E8F">
            <w:pPr>
              <w:rPr>
                <w:rFonts w:cs="Arial"/>
                <w:color w:val="000000"/>
              </w:rPr>
            </w:pPr>
            <w:r w:rsidRPr="00787679">
              <w:rPr>
                <w:rFonts w:cs="Arial"/>
                <w:color w:val="000000"/>
              </w:rPr>
              <w:t>0BTD0ZZ</w:t>
            </w:r>
          </w:p>
        </w:tc>
        <w:tc>
          <w:tcPr>
            <w:tcW w:w="7560" w:type="dxa"/>
            <w:noWrap/>
            <w:vAlign w:val="center"/>
            <w:hideMark/>
          </w:tcPr>
          <w:p w14:paraId="072218F2" w14:textId="77777777" w:rsidR="006118E2" w:rsidRPr="00787679" w:rsidRDefault="006118E2" w:rsidP="00696E8F">
            <w:pPr>
              <w:rPr>
                <w:rFonts w:cs="Arial"/>
                <w:color w:val="000000"/>
              </w:rPr>
            </w:pPr>
            <w:r w:rsidRPr="00787679">
              <w:rPr>
                <w:rFonts w:cs="Arial"/>
                <w:color w:val="000000"/>
              </w:rPr>
              <w:t>Resection of Right Middle Lung Lobe, Open Approach</w:t>
            </w:r>
          </w:p>
        </w:tc>
      </w:tr>
      <w:tr w:rsidR="006118E2" w:rsidRPr="00787679" w14:paraId="5E60628B" w14:textId="77777777" w:rsidTr="00696E8F">
        <w:trPr>
          <w:trHeight w:val="300"/>
        </w:trPr>
        <w:tc>
          <w:tcPr>
            <w:tcW w:w="1872" w:type="dxa"/>
            <w:noWrap/>
            <w:vAlign w:val="center"/>
            <w:hideMark/>
          </w:tcPr>
          <w:p w14:paraId="6DB624E1" w14:textId="77777777" w:rsidR="006118E2" w:rsidRPr="00787679" w:rsidRDefault="006118E2" w:rsidP="00696E8F">
            <w:pPr>
              <w:rPr>
                <w:rFonts w:cs="Arial"/>
                <w:color w:val="000000"/>
              </w:rPr>
            </w:pPr>
            <w:r w:rsidRPr="00787679">
              <w:rPr>
                <w:rFonts w:cs="Arial"/>
                <w:color w:val="000000"/>
              </w:rPr>
              <w:t>0BTD4ZZ</w:t>
            </w:r>
          </w:p>
        </w:tc>
        <w:tc>
          <w:tcPr>
            <w:tcW w:w="7560" w:type="dxa"/>
            <w:noWrap/>
            <w:vAlign w:val="center"/>
            <w:hideMark/>
          </w:tcPr>
          <w:p w14:paraId="7FB1ADAA" w14:textId="77777777" w:rsidR="006118E2" w:rsidRPr="00787679" w:rsidRDefault="006118E2" w:rsidP="00696E8F">
            <w:pPr>
              <w:rPr>
                <w:rFonts w:cs="Arial"/>
                <w:color w:val="000000"/>
              </w:rPr>
            </w:pPr>
            <w:r w:rsidRPr="00787679">
              <w:rPr>
                <w:rFonts w:cs="Arial"/>
                <w:color w:val="000000"/>
              </w:rPr>
              <w:t>Resection of Right Middle Lung Lobe, Percutaneous Endoscopic Approach</w:t>
            </w:r>
          </w:p>
        </w:tc>
      </w:tr>
      <w:tr w:rsidR="006118E2" w:rsidRPr="00787679" w14:paraId="73E89E78" w14:textId="77777777" w:rsidTr="00696E8F">
        <w:trPr>
          <w:trHeight w:val="300"/>
        </w:trPr>
        <w:tc>
          <w:tcPr>
            <w:tcW w:w="1872" w:type="dxa"/>
            <w:noWrap/>
            <w:vAlign w:val="center"/>
            <w:hideMark/>
          </w:tcPr>
          <w:p w14:paraId="32B15E37" w14:textId="77777777" w:rsidR="006118E2" w:rsidRPr="00787679" w:rsidRDefault="006118E2" w:rsidP="00696E8F">
            <w:pPr>
              <w:rPr>
                <w:rFonts w:cs="Arial"/>
                <w:color w:val="000000"/>
              </w:rPr>
            </w:pPr>
            <w:r w:rsidRPr="00787679">
              <w:rPr>
                <w:rFonts w:cs="Arial"/>
                <w:color w:val="000000"/>
              </w:rPr>
              <w:t>0BTF0ZZ</w:t>
            </w:r>
          </w:p>
        </w:tc>
        <w:tc>
          <w:tcPr>
            <w:tcW w:w="7560" w:type="dxa"/>
            <w:noWrap/>
            <w:vAlign w:val="center"/>
            <w:hideMark/>
          </w:tcPr>
          <w:p w14:paraId="59783726" w14:textId="77777777" w:rsidR="006118E2" w:rsidRPr="00787679" w:rsidRDefault="006118E2" w:rsidP="00696E8F">
            <w:pPr>
              <w:rPr>
                <w:rFonts w:cs="Arial"/>
                <w:color w:val="000000"/>
              </w:rPr>
            </w:pPr>
            <w:r w:rsidRPr="00787679">
              <w:rPr>
                <w:rFonts w:cs="Arial"/>
                <w:color w:val="000000"/>
              </w:rPr>
              <w:t>Resection of Right Lower Lung Lobe, Open Approach</w:t>
            </w:r>
          </w:p>
        </w:tc>
      </w:tr>
      <w:tr w:rsidR="006118E2" w:rsidRPr="00787679" w14:paraId="11B3654E" w14:textId="77777777" w:rsidTr="00696E8F">
        <w:trPr>
          <w:trHeight w:val="300"/>
        </w:trPr>
        <w:tc>
          <w:tcPr>
            <w:tcW w:w="1872" w:type="dxa"/>
            <w:noWrap/>
            <w:vAlign w:val="center"/>
            <w:hideMark/>
          </w:tcPr>
          <w:p w14:paraId="3E14507D" w14:textId="77777777" w:rsidR="006118E2" w:rsidRPr="00787679" w:rsidRDefault="006118E2" w:rsidP="00696E8F">
            <w:pPr>
              <w:rPr>
                <w:rFonts w:cs="Arial"/>
                <w:color w:val="000000"/>
              </w:rPr>
            </w:pPr>
            <w:r w:rsidRPr="00787679">
              <w:rPr>
                <w:rFonts w:cs="Arial"/>
                <w:color w:val="000000"/>
              </w:rPr>
              <w:t>0BTF4ZZ</w:t>
            </w:r>
          </w:p>
        </w:tc>
        <w:tc>
          <w:tcPr>
            <w:tcW w:w="7560" w:type="dxa"/>
            <w:noWrap/>
            <w:vAlign w:val="center"/>
            <w:hideMark/>
          </w:tcPr>
          <w:p w14:paraId="2C609EA8" w14:textId="77777777" w:rsidR="006118E2" w:rsidRPr="00787679" w:rsidRDefault="006118E2" w:rsidP="00696E8F">
            <w:pPr>
              <w:rPr>
                <w:rFonts w:cs="Arial"/>
                <w:color w:val="000000"/>
              </w:rPr>
            </w:pPr>
            <w:r w:rsidRPr="00787679">
              <w:rPr>
                <w:rFonts w:cs="Arial"/>
                <w:color w:val="000000"/>
              </w:rPr>
              <w:t>Resection of Right Lower Lung Lobe, Percutaneous Endoscopic Approach</w:t>
            </w:r>
          </w:p>
        </w:tc>
      </w:tr>
      <w:tr w:rsidR="006118E2" w:rsidRPr="00787679" w14:paraId="3E6DEF7A" w14:textId="77777777" w:rsidTr="00696E8F">
        <w:trPr>
          <w:trHeight w:val="300"/>
        </w:trPr>
        <w:tc>
          <w:tcPr>
            <w:tcW w:w="1872" w:type="dxa"/>
            <w:noWrap/>
            <w:vAlign w:val="center"/>
            <w:hideMark/>
          </w:tcPr>
          <w:p w14:paraId="2A4225BF" w14:textId="77777777" w:rsidR="006118E2" w:rsidRPr="00787679" w:rsidRDefault="006118E2" w:rsidP="00696E8F">
            <w:pPr>
              <w:rPr>
                <w:rFonts w:cs="Arial"/>
                <w:color w:val="000000"/>
              </w:rPr>
            </w:pPr>
            <w:r w:rsidRPr="00787679">
              <w:rPr>
                <w:rFonts w:cs="Arial"/>
                <w:color w:val="000000"/>
              </w:rPr>
              <w:t>0BTG0ZZ</w:t>
            </w:r>
          </w:p>
        </w:tc>
        <w:tc>
          <w:tcPr>
            <w:tcW w:w="7560" w:type="dxa"/>
            <w:noWrap/>
            <w:vAlign w:val="center"/>
            <w:hideMark/>
          </w:tcPr>
          <w:p w14:paraId="46AEE402" w14:textId="77777777" w:rsidR="006118E2" w:rsidRPr="00787679" w:rsidRDefault="006118E2" w:rsidP="00696E8F">
            <w:pPr>
              <w:rPr>
                <w:rFonts w:cs="Arial"/>
                <w:color w:val="000000"/>
              </w:rPr>
            </w:pPr>
            <w:r w:rsidRPr="00787679">
              <w:rPr>
                <w:rFonts w:cs="Arial"/>
                <w:color w:val="000000"/>
              </w:rPr>
              <w:t>Resection of Left Upper Lung Lobe, Open Approach</w:t>
            </w:r>
          </w:p>
        </w:tc>
      </w:tr>
      <w:tr w:rsidR="006118E2" w:rsidRPr="00787679" w14:paraId="63790A6C" w14:textId="77777777" w:rsidTr="00696E8F">
        <w:trPr>
          <w:trHeight w:val="300"/>
        </w:trPr>
        <w:tc>
          <w:tcPr>
            <w:tcW w:w="1872" w:type="dxa"/>
            <w:noWrap/>
            <w:vAlign w:val="center"/>
            <w:hideMark/>
          </w:tcPr>
          <w:p w14:paraId="1A88F17E" w14:textId="77777777" w:rsidR="006118E2" w:rsidRPr="00787679" w:rsidRDefault="006118E2" w:rsidP="00696E8F">
            <w:pPr>
              <w:rPr>
                <w:rFonts w:cs="Arial"/>
                <w:color w:val="000000"/>
              </w:rPr>
            </w:pPr>
            <w:r w:rsidRPr="00787679">
              <w:rPr>
                <w:rFonts w:cs="Arial"/>
                <w:color w:val="000000"/>
              </w:rPr>
              <w:t>0BTG4ZZ</w:t>
            </w:r>
          </w:p>
        </w:tc>
        <w:tc>
          <w:tcPr>
            <w:tcW w:w="7560" w:type="dxa"/>
            <w:noWrap/>
            <w:vAlign w:val="center"/>
            <w:hideMark/>
          </w:tcPr>
          <w:p w14:paraId="12A51DE8" w14:textId="77777777" w:rsidR="006118E2" w:rsidRPr="00787679" w:rsidRDefault="006118E2" w:rsidP="00696E8F">
            <w:pPr>
              <w:rPr>
                <w:rFonts w:cs="Arial"/>
                <w:color w:val="000000"/>
              </w:rPr>
            </w:pPr>
            <w:r w:rsidRPr="00787679">
              <w:rPr>
                <w:rFonts w:cs="Arial"/>
                <w:color w:val="000000"/>
              </w:rPr>
              <w:t>Resection of Left Upper Lung Lobe, Percutaneous Endoscopic Approach</w:t>
            </w:r>
          </w:p>
        </w:tc>
      </w:tr>
      <w:tr w:rsidR="006118E2" w:rsidRPr="00787679" w14:paraId="317C398C" w14:textId="77777777" w:rsidTr="00696E8F">
        <w:trPr>
          <w:trHeight w:val="300"/>
        </w:trPr>
        <w:tc>
          <w:tcPr>
            <w:tcW w:w="1872" w:type="dxa"/>
            <w:noWrap/>
            <w:vAlign w:val="center"/>
            <w:hideMark/>
          </w:tcPr>
          <w:p w14:paraId="3591B377" w14:textId="77777777" w:rsidR="006118E2" w:rsidRPr="00787679" w:rsidRDefault="006118E2" w:rsidP="00696E8F">
            <w:pPr>
              <w:rPr>
                <w:rFonts w:cs="Arial"/>
                <w:color w:val="000000"/>
              </w:rPr>
            </w:pPr>
            <w:r w:rsidRPr="00787679">
              <w:rPr>
                <w:rFonts w:cs="Arial"/>
                <w:color w:val="000000"/>
              </w:rPr>
              <w:lastRenderedPageBreak/>
              <w:t>0BTH0ZZ</w:t>
            </w:r>
          </w:p>
        </w:tc>
        <w:tc>
          <w:tcPr>
            <w:tcW w:w="7560" w:type="dxa"/>
            <w:noWrap/>
            <w:vAlign w:val="center"/>
            <w:hideMark/>
          </w:tcPr>
          <w:p w14:paraId="319EBB17" w14:textId="77777777" w:rsidR="006118E2" w:rsidRPr="00787679" w:rsidRDefault="006118E2" w:rsidP="00696E8F">
            <w:pPr>
              <w:rPr>
                <w:rFonts w:cs="Arial"/>
                <w:color w:val="000000"/>
              </w:rPr>
            </w:pPr>
            <w:r w:rsidRPr="00787679">
              <w:rPr>
                <w:rFonts w:cs="Arial"/>
                <w:color w:val="000000"/>
              </w:rPr>
              <w:t>Resection of Lung Lingula, Open Approach</w:t>
            </w:r>
          </w:p>
        </w:tc>
      </w:tr>
      <w:tr w:rsidR="006118E2" w:rsidRPr="00787679" w14:paraId="35808F1E" w14:textId="77777777" w:rsidTr="00696E8F">
        <w:trPr>
          <w:trHeight w:val="300"/>
        </w:trPr>
        <w:tc>
          <w:tcPr>
            <w:tcW w:w="1872" w:type="dxa"/>
            <w:noWrap/>
            <w:vAlign w:val="center"/>
            <w:hideMark/>
          </w:tcPr>
          <w:p w14:paraId="05B881AF" w14:textId="77777777" w:rsidR="006118E2" w:rsidRPr="00787679" w:rsidRDefault="006118E2" w:rsidP="00696E8F">
            <w:pPr>
              <w:rPr>
                <w:rFonts w:cs="Arial"/>
                <w:color w:val="000000"/>
              </w:rPr>
            </w:pPr>
            <w:r w:rsidRPr="00787679">
              <w:rPr>
                <w:rFonts w:cs="Arial"/>
                <w:color w:val="000000"/>
              </w:rPr>
              <w:t>0BTH4ZZ</w:t>
            </w:r>
          </w:p>
        </w:tc>
        <w:tc>
          <w:tcPr>
            <w:tcW w:w="7560" w:type="dxa"/>
            <w:noWrap/>
            <w:vAlign w:val="center"/>
            <w:hideMark/>
          </w:tcPr>
          <w:p w14:paraId="1253D78A" w14:textId="77777777" w:rsidR="006118E2" w:rsidRPr="00787679" w:rsidRDefault="006118E2" w:rsidP="00696E8F">
            <w:pPr>
              <w:rPr>
                <w:rFonts w:cs="Arial"/>
                <w:color w:val="000000"/>
              </w:rPr>
            </w:pPr>
            <w:r w:rsidRPr="00787679">
              <w:rPr>
                <w:rFonts w:cs="Arial"/>
                <w:color w:val="000000"/>
              </w:rPr>
              <w:t>Resection of Lung Lingula, Percutaneous Endoscopic Approach</w:t>
            </w:r>
          </w:p>
        </w:tc>
      </w:tr>
      <w:tr w:rsidR="006118E2" w:rsidRPr="00787679" w14:paraId="763EECBA" w14:textId="77777777" w:rsidTr="00696E8F">
        <w:trPr>
          <w:trHeight w:val="300"/>
        </w:trPr>
        <w:tc>
          <w:tcPr>
            <w:tcW w:w="1872" w:type="dxa"/>
            <w:noWrap/>
            <w:vAlign w:val="center"/>
            <w:hideMark/>
          </w:tcPr>
          <w:p w14:paraId="1FFF3E67" w14:textId="77777777" w:rsidR="006118E2" w:rsidRPr="00787679" w:rsidRDefault="006118E2" w:rsidP="00696E8F">
            <w:pPr>
              <w:rPr>
                <w:rFonts w:cs="Arial"/>
                <w:color w:val="000000"/>
              </w:rPr>
            </w:pPr>
            <w:r w:rsidRPr="00787679">
              <w:rPr>
                <w:rFonts w:cs="Arial"/>
                <w:color w:val="000000"/>
              </w:rPr>
              <w:t>0BTJ0ZZ</w:t>
            </w:r>
          </w:p>
        </w:tc>
        <w:tc>
          <w:tcPr>
            <w:tcW w:w="7560" w:type="dxa"/>
            <w:noWrap/>
            <w:vAlign w:val="center"/>
            <w:hideMark/>
          </w:tcPr>
          <w:p w14:paraId="1E09BA5B" w14:textId="77777777" w:rsidR="006118E2" w:rsidRPr="00787679" w:rsidRDefault="006118E2" w:rsidP="00696E8F">
            <w:pPr>
              <w:rPr>
                <w:rFonts w:cs="Arial"/>
                <w:color w:val="000000"/>
              </w:rPr>
            </w:pPr>
            <w:r w:rsidRPr="00787679">
              <w:rPr>
                <w:rFonts w:cs="Arial"/>
                <w:color w:val="000000"/>
              </w:rPr>
              <w:t>Resection of Left Lower Lung Lobe, Open Approach</w:t>
            </w:r>
          </w:p>
        </w:tc>
      </w:tr>
      <w:tr w:rsidR="006118E2" w:rsidRPr="00787679" w14:paraId="18B51960" w14:textId="77777777" w:rsidTr="00696E8F">
        <w:trPr>
          <w:trHeight w:val="300"/>
        </w:trPr>
        <w:tc>
          <w:tcPr>
            <w:tcW w:w="1872" w:type="dxa"/>
            <w:noWrap/>
            <w:vAlign w:val="center"/>
            <w:hideMark/>
          </w:tcPr>
          <w:p w14:paraId="670C9A32" w14:textId="77777777" w:rsidR="006118E2" w:rsidRPr="00787679" w:rsidRDefault="006118E2" w:rsidP="00696E8F">
            <w:pPr>
              <w:rPr>
                <w:rFonts w:cs="Arial"/>
                <w:color w:val="000000"/>
              </w:rPr>
            </w:pPr>
            <w:r w:rsidRPr="00787679">
              <w:rPr>
                <w:rFonts w:cs="Arial"/>
                <w:color w:val="000000"/>
              </w:rPr>
              <w:t>0BTJ4ZZ</w:t>
            </w:r>
          </w:p>
        </w:tc>
        <w:tc>
          <w:tcPr>
            <w:tcW w:w="7560" w:type="dxa"/>
            <w:noWrap/>
            <w:vAlign w:val="center"/>
            <w:hideMark/>
          </w:tcPr>
          <w:p w14:paraId="69846F77" w14:textId="77777777" w:rsidR="006118E2" w:rsidRPr="00787679" w:rsidRDefault="006118E2" w:rsidP="00696E8F">
            <w:pPr>
              <w:rPr>
                <w:rFonts w:cs="Arial"/>
                <w:color w:val="000000"/>
              </w:rPr>
            </w:pPr>
            <w:r w:rsidRPr="00787679">
              <w:rPr>
                <w:rFonts w:cs="Arial"/>
                <w:color w:val="000000"/>
              </w:rPr>
              <w:t>Resection of Left Lower Lung Lobe, Percutaneous Endoscopic Approach</w:t>
            </w:r>
          </w:p>
        </w:tc>
      </w:tr>
      <w:tr w:rsidR="006118E2" w:rsidRPr="00787679" w14:paraId="49DFC503" w14:textId="77777777" w:rsidTr="00696E8F">
        <w:trPr>
          <w:trHeight w:val="300"/>
        </w:trPr>
        <w:tc>
          <w:tcPr>
            <w:tcW w:w="1872" w:type="dxa"/>
            <w:noWrap/>
            <w:vAlign w:val="center"/>
            <w:hideMark/>
          </w:tcPr>
          <w:p w14:paraId="769B35FD" w14:textId="77777777" w:rsidR="006118E2" w:rsidRPr="00787679" w:rsidRDefault="006118E2" w:rsidP="00696E8F">
            <w:pPr>
              <w:rPr>
                <w:rFonts w:cs="Arial"/>
                <w:color w:val="000000"/>
              </w:rPr>
            </w:pPr>
            <w:r w:rsidRPr="00787679">
              <w:rPr>
                <w:rFonts w:cs="Arial"/>
                <w:color w:val="000000"/>
              </w:rPr>
              <w:t>0BTK0ZZ</w:t>
            </w:r>
          </w:p>
        </w:tc>
        <w:tc>
          <w:tcPr>
            <w:tcW w:w="7560" w:type="dxa"/>
            <w:noWrap/>
            <w:vAlign w:val="center"/>
            <w:hideMark/>
          </w:tcPr>
          <w:p w14:paraId="3B731B01" w14:textId="77777777" w:rsidR="006118E2" w:rsidRPr="00787679" w:rsidRDefault="006118E2" w:rsidP="00696E8F">
            <w:pPr>
              <w:rPr>
                <w:rFonts w:cs="Arial"/>
                <w:color w:val="000000"/>
              </w:rPr>
            </w:pPr>
            <w:r w:rsidRPr="00787679">
              <w:rPr>
                <w:rFonts w:cs="Arial"/>
                <w:color w:val="000000"/>
              </w:rPr>
              <w:t>Resection of Right Lung, Open Approach</w:t>
            </w:r>
          </w:p>
        </w:tc>
      </w:tr>
      <w:tr w:rsidR="006118E2" w:rsidRPr="00787679" w14:paraId="18BE4C0B" w14:textId="77777777" w:rsidTr="00696E8F">
        <w:trPr>
          <w:trHeight w:val="300"/>
        </w:trPr>
        <w:tc>
          <w:tcPr>
            <w:tcW w:w="1872" w:type="dxa"/>
            <w:noWrap/>
            <w:vAlign w:val="center"/>
            <w:hideMark/>
          </w:tcPr>
          <w:p w14:paraId="2895E127" w14:textId="77777777" w:rsidR="006118E2" w:rsidRPr="00787679" w:rsidRDefault="006118E2" w:rsidP="00696E8F">
            <w:pPr>
              <w:rPr>
                <w:rFonts w:cs="Arial"/>
                <w:color w:val="000000"/>
              </w:rPr>
            </w:pPr>
            <w:r w:rsidRPr="00787679">
              <w:rPr>
                <w:rFonts w:cs="Arial"/>
                <w:color w:val="000000"/>
              </w:rPr>
              <w:t>0BTK4ZZ</w:t>
            </w:r>
          </w:p>
        </w:tc>
        <w:tc>
          <w:tcPr>
            <w:tcW w:w="7560" w:type="dxa"/>
            <w:noWrap/>
            <w:vAlign w:val="center"/>
            <w:hideMark/>
          </w:tcPr>
          <w:p w14:paraId="18EB5F93" w14:textId="77777777" w:rsidR="006118E2" w:rsidRPr="00787679" w:rsidRDefault="006118E2" w:rsidP="00696E8F">
            <w:pPr>
              <w:rPr>
                <w:rFonts w:cs="Arial"/>
                <w:color w:val="000000"/>
              </w:rPr>
            </w:pPr>
            <w:r w:rsidRPr="00787679">
              <w:rPr>
                <w:rFonts w:cs="Arial"/>
                <w:color w:val="000000"/>
              </w:rPr>
              <w:t>Resection of Right Lung, Percutaneous Endoscopic Approach</w:t>
            </w:r>
          </w:p>
        </w:tc>
      </w:tr>
      <w:tr w:rsidR="006118E2" w:rsidRPr="00787679" w14:paraId="6E066F51" w14:textId="77777777" w:rsidTr="00696E8F">
        <w:trPr>
          <w:trHeight w:val="300"/>
        </w:trPr>
        <w:tc>
          <w:tcPr>
            <w:tcW w:w="1872" w:type="dxa"/>
            <w:noWrap/>
            <w:vAlign w:val="center"/>
            <w:hideMark/>
          </w:tcPr>
          <w:p w14:paraId="5777F9F7" w14:textId="77777777" w:rsidR="006118E2" w:rsidRPr="00787679" w:rsidRDefault="006118E2" w:rsidP="00696E8F">
            <w:pPr>
              <w:rPr>
                <w:rFonts w:cs="Arial"/>
                <w:color w:val="000000"/>
              </w:rPr>
            </w:pPr>
            <w:r w:rsidRPr="00787679">
              <w:rPr>
                <w:rFonts w:cs="Arial"/>
                <w:color w:val="000000"/>
              </w:rPr>
              <w:t>0BTL0ZZ</w:t>
            </w:r>
          </w:p>
        </w:tc>
        <w:tc>
          <w:tcPr>
            <w:tcW w:w="7560" w:type="dxa"/>
            <w:noWrap/>
            <w:vAlign w:val="center"/>
            <w:hideMark/>
          </w:tcPr>
          <w:p w14:paraId="30BD6CDF" w14:textId="77777777" w:rsidR="006118E2" w:rsidRPr="00787679" w:rsidRDefault="006118E2" w:rsidP="00696E8F">
            <w:pPr>
              <w:rPr>
                <w:rFonts w:cs="Arial"/>
                <w:color w:val="000000"/>
              </w:rPr>
            </w:pPr>
            <w:r w:rsidRPr="00787679">
              <w:rPr>
                <w:rFonts w:cs="Arial"/>
                <w:color w:val="000000"/>
              </w:rPr>
              <w:t>Resection of Left Lung, Open Approach</w:t>
            </w:r>
          </w:p>
        </w:tc>
      </w:tr>
      <w:tr w:rsidR="006118E2" w:rsidRPr="00787679" w14:paraId="78E4C068" w14:textId="77777777" w:rsidTr="00696E8F">
        <w:trPr>
          <w:trHeight w:val="300"/>
        </w:trPr>
        <w:tc>
          <w:tcPr>
            <w:tcW w:w="1872" w:type="dxa"/>
            <w:noWrap/>
            <w:vAlign w:val="center"/>
            <w:hideMark/>
          </w:tcPr>
          <w:p w14:paraId="07E95B22" w14:textId="77777777" w:rsidR="006118E2" w:rsidRPr="00787679" w:rsidRDefault="006118E2" w:rsidP="00696E8F">
            <w:pPr>
              <w:rPr>
                <w:rFonts w:cs="Arial"/>
                <w:color w:val="000000"/>
              </w:rPr>
            </w:pPr>
            <w:r w:rsidRPr="00787679">
              <w:rPr>
                <w:rFonts w:cs="Arial"/>
                <w:color w:val="000000"/>
              </w:rPr>
              <w:t>0BTL4ZZ</w:t>
            </w:r>
          </w:p>
        </w:tc>
        <w:tc>
          <w:tcPr>
            <w:tcW w:w="7560" w:type="dxa"/>
            <w:noWrap/>
            <w:vAlign w:val="center"/>
            <w:hideMark/>
          </w:tcPr>
          <w:p w14:paraId="1E59DFA0" w14:textId="77777777" w:rsidR="006118E2" w:rsidRPr="00787679" w:rsidRDefault="006118E2" w:rsidP="00696E8F">
            <w:pPr>
              <w:rPr>
                <w:rFonts w:cs="Arial"/>
                <w:color w:val="000000"/>
              </w:rPr>
            </w:pPr>
            <w:r w:rsidRPr="00787679">
              <w:rPr>
                <w:rFonts w:cs="Arial"/>
                <w:color w:val="000000"/>
              </w:rPr>
              <w:t>Resection of Left Lung, Percutaneous Endoscopic Approach</w:t>
            </w:r>
          </w:p>
        </w:tc>
      </w:tr>
    </w:tbl>
    <w:p w14:paraId="7AB65A53" w14:textId="77777777" w:rsidR="00D86DAD" w:rsidRPr="009A5185" w:rsidRDefault="00D86DAD" w:rsidP="00D86DAD">
      <w:pPr>
        <w:rPr>
          <w:rFonts w:cs="Arial"/>
          <w:b/>
        </w:rPr>
      </w:pPr>
    </w:p>
    <w:p w14:paraId="40B42ECB" w14:textId="77777777" w:rsidR="00D86DAD" w:rsidRPr="009A5185" w:rsidRDefault="000E1EAA" w:rsidP="00D86DAD">
      <w:pPr>
        <w:rPr>
          <w:rFonts w:cs="Arial"/>
          <w:b/>
        </w:rPr>
      </w:pPr>
      <w:r w:rsidRPr="009A5185">
        <w:rPr>
          <w:rFonts w:cs="Arial"/>
          <w:b/>
        </w:rPr>
        <w:t>ICD-10 Malignant Tumor</w:t>
      </w:r>
      <w:r w:rsidR="00F350F1">
        <w:rPr>
          <w:rFonts w:cs="Arial"/>
          <w:b/>
        </w:rPr>
        <w:t xml:space="preserve"> and Cancer </w:t>
      </w:r>
      <w:r w:rsidR="00083E6D">
        <w:rPr>
          <w:rFonts w:cs="Arial"/>
          <w:b/>
        </w:rPr>
        <w:t>in</w:t>
      </w:r>
      <w:r w:rsidR="00F350F1">
        <w:rPr>
          <w:rFonts w:cs="Arial"/>
          <w:b/>
        </w:rPr>
        <w:t xml:space="preserve"> Situ</w:t>
      </w:r>
      <w:r w:rsidR="00D86DAD" w:rsidRPr="009A5185">
        <w:rPr>
          <w:rFonts w:cs="Arial"/>
          <w:b/>
        </w:rPr>
        <w:t xml:space="preserve"> Diagnosis Codes</w:t>
      </w:r>
    </w:p>
    <w:p w14:paraId="5B73F956" w14:textId="77777777" w:rsidR="00D86DAD" w:rsidRPr="009A5185" w:rsidRDefault="00D86DAD" w:rsidP="00D86DAD">
      <w:pPr>
        <w:rPr>
          <w:rFonts w:cs="Arial"/>
          <w:b/>
        </w:rPr>
      </w:pPr>
    </w:p>
    <w:tbl>
      <w:tblPr>
        <w:tblStyle w:val="TableGrid"/>
        <w:tblW w:w="9432" w:type="dxa"/>
        <w:tblLook w:val="04A0" w:firstRow="1" w:lastRow="0" w:firstColumn="1" w:lastColumn="0" w:noHBand="0" w:noVBand="1"/>
      </w:tblPr>
      <w:tblGrid>
        <w:gridCol w:w="1872"/>
        <w:gridCol w:w="7560"/>
      </w:tblGrid>
      <w:tr w:rsidR="00F310BA" w:rsidRPr="0004317D" w14:paraId="3DAEEF73" w14:textId="77777777" w:rsidTr="00696E8F">
        <w:trPr>
          <w:trHeight w:val="432"/>
        </w:trPr>
        <w:tc>
          <w:tcPr>
            <w:tcW w:w="1872" w:type="dxa"/>
            <w:shd w:val="clear" w:color="auto" w:fill="BFBFBF" w:themeFill="background1" w:themeFillShade="BF"/>
            <w:noWrap/>
            <w:vAlign w:val="center"/>
          </w:tcPr>
          <w:p w14:paraId="0B313F0C" w14:textId="77777777" w:rsidR="00F310BA" w:rsidRPr="0004317D" w:rsidRDefault="00F310BA"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Diagnosis Code</w:t>
            </w:r>
          </w:p>
        </w:tc>
        <w:tc>
          <w:tcPr>
            <w:tcW w:w="7560" w:type="dxa"/>
            <w:shd w:val="clear" w:color="auto" w:fill="BFBFBF" w:themeFill="background1" w:themeFillShade="BF"/>
            <w:noWrap/>
            <w:vAlign w:val="center"/>
          </w:tcPr>
          <w:p w14:paraId="7B4C6AED" w14:textId="77777777" w:rsidR="00F310BA" w:rsidRPr="0004317D" w:rsidRDefault="00F310BA" w:rsidP="00696E8F">
            <w:pPr>
              <w:rPr>
                <w:rFonts w:cs="Arial"/>
                <w:color w:val="000000"/>
              </w:rPr>
            </w:pPr>
            <w:r w:rsidRPr="0004317D">
              <w:rPr>
                <w:rFonts w:cs="Arial"/>
                <w:b/>
              </w:rPr>
              <w:t>Code Description</w:t>
            </w:r>
          </w:p>
        </w:tc>
      </w:tr>
      <w:tr w:rsidR="006343C6" w:rsidRPr="00787679" w14:paraId="039CC932" w14:textId="77777777" w:rsidTr="00696E8F">
        <w:trPr>
          <w:trHeight w:val="300"/>
        </w:trPr>
        <w:tc>
          <w:tcPr>
            <w:tcW w:w="1872" w:type="dxa"/>
            <w:noWrap/>
            <w:vAlign w:val="center"/>
          </w:tcPr>
          <w:p w14:paraId="7B24D13C" w14:textId="77777777" w:rsidR="006343C6" w:rsidRPr="00787679" w:rsidRDefault="006343C6" w:rsidP="00696E8F">
            <w:pPr>
              <w:rPr>
                <w:rFonts w:cs="Arial"/>
                <w:color w:val="000000"/>
              </w:rPr>
            </w:pPr>
            <w:r w:rsidRPr="00843DE8">
              <w:rPr>
                <w:rFonts w:cs="Arial"/>
                <w:color w:val="000000"/>
              </w:rPr>
              <w:t>C7A.090</w:t>
            </w:r>
          </w:p>
        </w:tc>
        <w:tc>
          <w:tcPr>
            <w:tcW w:w="7560" w:type="dxa"/>
            <w:noWrap/>
            <w:vAlign w:val="center"/>
          </w:tcPr>
          <w:p w14:paraId="4E7BEF6B" w14:textId="77777777" w:rsidR="006343C6" w:rsidRPr="00787679" w:rsidRDefault="006343C6" w:rsidP="00696E8F">
            <w:pPr>
              <w:rPr>
                <w:rFonts w:cs="Arial"/>
                <w:color w:val="000000"/>
              </w:rPr>
            </w:pPr>
            <w:r w:rsidRPr="00843DE8">
              <w:rPr>
                <w:rFonts w:cs="Arial"/>
                <w:color w:val="000000"/>
              </w:rPr>
              <w:t>Malignant carcinoid tumor of the bronchus and lung</w:t>
            </w:r>
          </w:p>
        </w:tc>
      </w:tr>
      <w:tr w:rsidR="006343C6" w:rsidRPr="00787679" w14:paraId="7CB66CDF" w14:textId="77777777" w:rsidTr="00696E8F">
        <w:trPr>
          <w:trHeight w:val="300"/>
        </w:trPr>
        <w:tc>
          <w:tcPr>
            <w:tcW w:w="1872" w:type="dxa"/>
            <w:noWrap/>
            <w:vAlign w:val="center"/>
          </w:tcPr>
          <w:p w14:paraId="30DF372A" w14:textId="77777777" w:rsidR="006343C6" w:rsidRPr="00787679" w:rsidRDefault="006343C6" w:rsidP="00696E8F">
            <w:pPr>
              <w:rPr>
                <w:rFonts w:cs="Arial"/>
                <w:color w:val="000000"/>
              </w:rPr>
            </w:pPr>
            <w:r w:rsidRPr="00843DE8">
              <w:rPr>
                <w:rFonts w:cs="Arial"/>
                <w:color w:val="000000"/>
              </w:rPr>
              <w:t>C7A.1</w:t>
            </w:r>
          </w:p>
        </w:tc>
        <w:tc>
          <w:tcPr>
            <w:tcW w:w="7560" w:type="dxa"/>
            <w:noWrap/>
            <w:vAlign w:val="center"/>
          </w:tcPr>
          <w:p w14:paraId="7E542257" w14:textId="77777777" w:rsidR="006343C6" w:rsidRPr="00787679" w:rsidRDefault="006343C6" w:rsidP="00696E8F">
            <w:pPr>
              <w:rPr>
                <w:rFonts w:cs="Arial"/>
                <w:color w:val="000000"/>
              </w:rPr>
            </w:pPr>
            <w:r w:rsidRPr="00843DE8">
              <w:rPr>
                <w:rFonts w:cs="Arial"/>
                <w:color w:val="000000"/>
              </w:rPr>
              <w:t>Malignant poorly differentiated neuroendocrine tumors</w:t>
            </w:r>
          </w:p>
        </w:tc>
      </w:tr>
      <w:tr w:rsidR="006343C6" w:rsidRPr="00787679" w14:paraId="4A68AF20" w14:textId="77777777" w:rsidTr="00696E8F">
        <w:trPr>
          <w:trHeight w:val="300"/>
        </w:trPr>
        <w:tc>
          <w:tcPr>
            <w:tcW w:w="1872" w:type="dxa"/>
            <w:noWrap/>
            <w:vAlign w:val="center"/>
          </w:tcPr>
          <w:p w14:paraId="7D7B9E38" w14:textId="77777777" w:rsidR="006343C6" w:rsidRPr="00787679" w:rsidRDefault="006343C6" w:rsidP="00696E8F">
            <w:pPr>
              <w:rPr>
                <w:rFonts w:cs="Arial"/>
                <w:color w:val="000000"/>
              </w:rPr>
            </w:pPr>
            <w:r w:rsidRPr="00843DE8">
              <w:rPr>
                <w:rFonts w:cs="Arial"/>
                <w:color w:val="000000"/>
              </w:rPr>
              <w:t>C7A.8</w:t>
            </w:r>
          </w:p>
        </w:tc>
        <w:tc>
          <w:tcPr>
            <w:tcW w:w="7560" w:type="dxa"/>
            <w:noWrap/>
            <w:vAlign w:val="center"/>
          </w:tcPr>
          <w:p w14:paraId="0A71CA40" w14:textId="77777777" w:rsidR="006343C6" w:rsidRPr="00787679" w:rsidRDefault="006343C6" w:rsidP="00696E8F">
            <w:pPr>
              <w:rPr>
                <w:rFonts w:cs="Arial"/>
                <w:color w:val="000000"/>
              </w:rPr>
            </w:pPr>
            <w:r w:rsidRPr="00843DE8">
              <w:rPr>
                <w:rFonts w:cs="Arial"/>
                <w:color w:val="000000"/>
              </w:rPr>
              <w:t>Other malignant neuroendocrine tumors</w:t>
            </w:r>
          </w:p>
        </w:tc>
      </w:tr>
      <w:tr w:rsidR="00F310BA" w:rsidRPr="00787679" w14:paraId="1001F1BA" w14:textId="77777777" w:rsidTr="00696E8F">
        <w:trPr>
          <w:trHeight w:val="300"/>
        </w:trPr>
        <w:tc>
          <w:tcPr>
            <w:tcW w:w="1872" w:type="dxa"/>
            <w:noWrap/>
            <w:vAlign w:val="center"/>
            <w:hideMark/>
          </w:tcPr>
          <w:p w14:paraId="2D13291B" w14:textId="77777777" w:rsidR="00F310BA" w:rsidRPr="00787679" w:rsidRDefault="00F310BA" w:rsidP="00696E8F">
            <w:pPr>
              <w:rPr>
                <w:rFonts w:cs="Arial"/>
                <w:color w:val="000000"/>
              </w:rPr>
            </w:pPr>
            <w:r w:rsidRPr="00787679">
              <w:rPr>
                <w:rFonts w:cs="Arial"/>
                <w:color w:val="000000"/>
              </w:rPr>
              <w:t>C34.00</w:t>
            </w:r>
          </w:p>
        </w:tc>
        <w:tc>
          <w:tcPr>
            <w:tcW w:w="7560" w:type="dxa"/>
            <w:noWrap/>
            <w:vAlign w:val="center"/>
            <w:hideMark/>
          </w:tcPr>
          <w:p w14:paraId="531CB96A" w14:textId="77777777" w:rsidR="00F310BA" w:rsidRPr="00787679" w:rsidRDefault="00F310BA" w:rsidP="00696E8F">
            <w:pPr>
              <w:rPr>
                <w:rFonts w:cs="Arial"/>
                <w:color w:val="000000"/>
              </w:rPr>
            </w:pPr>
            <w:r w:rsidRPr="00787679">
              <w:rPr>
                <w:rFonts w:cs="Arial"/>
                <w:color w:val="000000"/>
              </w:rPr>
              <w:t>Malignant neoplasm of main bronchus</w:t>
            </w:r>
          </w:p>
        </w:tc>
      </w:tr>
      <w:tr w:rsidR="00F310BA" w:rsidRPr="00787679" w14:paraId="539D0B5A" w14:textId="77777777" w:rsidTr="00696E8F">
        <w:trPr>
          <w:trHeight w:val="300"/>
        </w:trPr>
        <w:tc>
          <w:tcPr>
            <w:tcW w:w="1872" w:type="dxa"/>
            <w:noWrap/>
            <w:vAlign w:val="center"/>
            <w:hideMark/>
          </w:tcPr>
          <w:p w14:paraId="35A3145C" w14:textId="77777777" w:rsidR="00F310BA" w:rsidRPr="00787679" w:rsidRDefault="00F310BA" w:rsidP="00696E8F">
            <w:pPr>
              <w:rPr>
                <w:rFonts w:cs="Arial"/>
                <w:color w:val="000000"/>
              </w:rPr>
            </w:pPr>
            <w:r w:rsidRPr="00787679">
              <w:rPr>
                <w:rFonts w:cs="Arial"/>
                <w:color w:val="000000"/>
              </w:rPr>
              <w:t>C34.01</w:t>
            </w:r>
          </w:p>
        </w:tc>
        <w:tc>
          <w:tcPr>
            <w:tcW w:w="7560" w:type="dxa"/>
            <w:noWrap/>
            <w:vAlign w:val="center"/>
            <w:hideMark/>
          </w:tcPr>
          <w:p w14:paraId="4C50D235" w14:textId="77777777" w:rsidR="00F310BA" w:rsidRPr="00787679" w:rsidRDefault="00F310BA" w:rsidP="00696E8F">
            <w:pPr>
              <w:rPr>
                <w:rFonts w:cs="Arial"/>
                <w:color w:val="000000"/>
              </w:rPr>
            </w:pPr>
            <w:r w:rsidRPr="00787679">
              <w:rPr>
                <w:rFonts w:cs="Arial"/>
                <w:color w:val="000000"/>
              </w:rPr>
              <w:t>Malignant neoplasm of right main bronchus</w:t>
            </w:r>
          </w:p>
        </w:tc>
      </w:tr>
      <w:tr w:rsidR="00F310BA" w:rsidRPr="00787679" w14:paraId="06C0AAB7" w14:textId="77777777" w:rsidTr="00696E8F">
        <w:trPr>
          <w:trHeight w:val="300"/>
        </w:trPr>
        <w:tc>
          <w:tcPr>
            <w:tcW w:w="1872" w:type="dxa"/>
            <w:noWrap/>
            <w:vAlign w:val="center"/>
            <w:hideMark/>
          </w:tcPr>
          <w:p w14:paraId="4AC95C34" w14:textId="77777777" w:rsidR="00F310BA" w:rsidRPr="00787679" w:rsidRDefault="00F310BA" w:rsidP="00696E8F">
            <w:pPr>
              <w:rPr>
                <w:rFonts w:cs="Arial"/>
                <w:color w:val="000000"/>
              </w:rPr>
            </w:pPr>
            <w:r w:rsidRPr="00787679">
              <w:rPr>
                <w:rFonts w:cs="Arial"/>
                <w:color w:val="000000"/>
              </w:rPr>
              <w:t>C34.02</w:t>
            </w:r>
          </w:p>
        </w:tc>
        <w:tc>
          <w:tcPr>
            <w:tcW w:w="7560" w:type="dxa"/>
            <w:noWrap/>
            <w:vAlign w:val="center"/>
            <w:hideMark/>
          </w:tcPr>
          <w:p w14:paraId="29E30EEF" w14:textId="77777777" w:rsidR="00F310BA" w:rsidRPr="00787679" w:rsidRDefault="00F310BA" w:rsidP="00696E8F">
            <w:pPr>
              <w:rPr>
                <w:rFonts w:cs="Arial"/>
                <w:color w:val="000000"/>
              </w:rPr>
            </w:pPr>
            <w:r w:rsidRPr="00787679">
              <w:rPr>
                <w:rFonts w:cs="Arial"/>
                <w:color w:val="000000"/>
              </w:rPr>
              <w:t>Malignant neoplasm of left main bronchus</w:t>
            </w:r>
          </w:p>
        </w:tc>
      </w:tr>
      <w:tr w:rsidR="00F310BA" w:rsidRPr="00787679" w14:paraId="0C3C0383" w14:textId="77777777" w:rsidTr="00696E8F">
        <w:trPr>
          <w:trHeight w:val="300"/>
        </w:trPr>
        <w:tc>
          <w:tcPr>
            <w:tcW w:w="1872" w:type="dxa"/>
            <w:noWrap/>
            <w:vAlign w:val="center"/>
            <w:hideMark/>
          </w:tcPr>
          <w:p w14:paraId="2861D153" w14:textId="77777777" w:rsidR="00F310BA" w:rsidRPr="00787679" w:rsidRDefault="00F310BA" w:rsidP="00696E8F">
            <w:pPr>
              <w:rPr>
                <w:rFonts w:cs="Arial"/>
                <w:color w:val="000000"/>
              </w:rPr>
            </w:pPr>
            <w:r w:rsidRPr="00787679">
              <w:rPr>
                <w:rFonts w:cs="Arial"/>
                <w:color w:val="000000"/>
              </w:rPr>
              <w:t>C34.10</w:t>
            </w:r>
          </w:p>
        </w:tc>
        <w:tc>
          <w:tcPr>
            <w:tcW w:w="7560" w:type="dxa"/>
            <w:noWrap/>
            <w:vAlign w:val="center"/>
            <w:hideMark/>
          </w:tcPr>
          <w:p w14:paraId="4BA82263" w14:textId="77777777" w:rsidR="00F310BA" w:rsidRPr="00787679" w:rsidRDefault="00F310BA" w:rsidP="00696E8F">
            <w:pPr>
              <w:rPr>
                <w:rFonts w:cs="Arial"/>
                <w:color w:val="000000"/>
              </w:rPr>
            </w:pPr>
            <w:r w:rsidRPr="00787679">
              <w:rPr>
                <w:rFonts w:cs="Arial"/>
                <w:color w:val="000000"/>
              </w:rPr>
              <w:t>Malignant neoplasm of upper lobe, unspecified bronchus or lung</w:t>
            </w:r>
          </w:p>
        </w:tc>
      </w:tr>
      <w:tr w:rsidR="00F310BA" w:rsidRPr="00787679" w14:paraId="22C20BAB" w14:textId="77777777" w:rsidTr="00696E8F">
        <w:trPr>
          <w:trHeight w:val="300"/>
        </w:trPr>
        <w:tc>
          <w:tcPr>
            <w:tcW w:w="1872" w:type="dxa"/>
            <w:noWrap/>
            <w:vAlign w:val="center"/>
            <w:hideMark/>
          </w:tcPr>
          <w:p w14:paraId="755F805E" w14:textId="77777777" w:rsidR="00F310BA" w:rsidRPr="00787679" w:rsidRDefault="00F310BA" w:rsidP="00696E8F">
            <w:pPr>
              <w:rPr>
                <w:rFonts w:cs="Arial"/>
                <w:color w:val="000000"/>
              </w:rPr>
            </w:pPr>
            <w:r w:rsidRPr="00787679">
              <w:rPr>
                <w:rFonts w:cs="Arial"/>
                <w:color w:val="000000"/>
              </w:rPr>
              <w:t>C34.11</w:t>
            </w:r>
          </w:p>
        </w:tc>
        <w:tc>
          <w:tcPr>
            <w:tcW w:w="7560" w:type="dxa"/>
            <w:noWrap/>
            <w:vAlign w:val="center"/>
            <w:hideMark/>
          </w:tcPr>
          <w:p w14:paraId="6BCC96CC" w14:textId="77777777" w:rsidR="00F310BA" w:rsidRPr="00787679" w:rsidRDefault="00F310BA" w:rsidP="00696E8F">
            <w:pPr>
              <w:rPr>
                <w:rFonts w:cs="Arial"/>
                <w:color w:val="000000"/>
              </w:rPr>
            </w:pPr>
            <w:r w:rsidRPr="00787679">
              <w:rPr>
                <w:rFonts w:cs="Arial"/>
                <w:color w:val="000000"/>
              </w:rPr>
              <w:t>Malignant neoplasm of upper lobe, right bronchus or lung</w:t>
            </w:r>
          </w:p>
        </w:tc>
      </w:tr>
      <w:tr w:rsidR="00F310BA" w:rsidRPr="00787679" w14:paraId="74710A7B" w14:textId="77777777" w:rsidTr="00696E8F">
        <w:trPr>
          <w:trHeight w:val="300"/>
        </w:trPr>
        <w:tc>
          <w:tcPr>
            <w:tcW w:w="1872" w:type="dxa"/>
            <w:noWrap/>
            <w:vAlign w:val="center"/>
            <w:hideMark/>
          </w:tcPr>
          <w:p w14:paraId="094666D5" w14:textId="77777777" w:rsidR="00F310BA" w:rsidRPr="00787679" w:rsidRDefault="00F310BA" w:rsidP="00696E8F">
            <w:pPr>
              <w:rPr>
                <w:rFonts w:cs="Arial"/>
                <w:color w:val="000000"/>
              </w:rPr>
            </w:pPr>
            <w:r w:rsidRPr="00787679">
              <w:rPr>
                <w:rFonts w:cs="Arial"/>
                <w:color w:val="000000"/>
              </w:rPr>
              <w:t>C34.12</w:t>
            </w:r>
          </w:p>
        </w:tc>
        <w:tc>
          <w:tcPr>
            <w:tcW w:w="7560" w:type="dxa"/>
            <w:noWrap/>
            <w:vAlign w:val="center"/>
            <w:hideMark/>
          </w:tcPr>
          <w:p w14:paraId="6CE3A655" w14:textId="77777777" w:rsidR="00F310BA" w:rsidRPr="00787679" w:rsidRDefault="00F310BA" w:rsidP="00696E8F">
            <w:pPr>
              <w:rPr>
                <w:rFonts w:cs="Arial"/>
                <w:color w:val="000000"/>
              </w:rPr>
            </w:pPr>
            <w:r w:rsidRPr="00787679">
              <w:rPr>
                <w:rFonts w:cs="Arial"/>
                <w:color w:val="000000"/>
              </w:rPr>
              <w:t>Malignant neoplasm of upper lobe, left bronchus or lung</w:t>
            </w:r>
          </w:p>
        </w:tc>
      </w:tr>
      <w:tr w:rsidR="00F310BA" w:rsidRPr="00787679" w14:paraId="5F40A326" w14:textId="77777777" w:rsidTr="00696E8F">
        <w:trPr>
          <w:trHeight w:val="300"/>
        </w:trPr>
        <w:tc>
          <w:tcPr>
            <w:tcW w:w="1872" w:type="dxa"/>
            <w:noWrap/>
            <w:vAlign w:val="center"/>
            <w:hideMark/>
          </w:tcPr>
          <w:p w14:paraId="2FABF769" w14:textId="77777777" w:rsidR="00F310BA" w:rsidRPr="00787679" w:rsidRDefault="00F310BA" w:rsidP="00696E8F">
            <w:pPr>
              <w:rPr>
                <w:rFonts w:cs="Arial"/>
                <w:color w:val="000000"/>
              </w:rPr>
            </w:pPr>
            <w:r w:rsidRPr="00787679">
              <w:rPr>
                <w:rFonts w:cs="Arial"/>
                <w:color w:val="000000"/>
              </w:rPr>
              <w:t>C34.2</w:t>
            </w:r>
          </w:p>
        </w:tc>
        <w:tc>
          <w:tcPr>
            <w:tcW w:w="7560" w:type="dxa"/>
            <w:noWrap/>
            <w:vAlign w:val="center"/>
            <w:hideMark/>
          </w:tcPr>
          <w:p w14:paraId="733F522E" w14:textId="77777777" w:rsidR="00F310BA" w:rsidRPr="00787679" w:rsidRDefault="00F310BA" w:rsidP="00696E8F">
            <w:pPr>
              <w:rPr>
                <w:rFonts w:cs="Arial"/>
                <w:color w:val="000000"/>
              </w:rPr>
            </w:pPr>
            <w:r w:rsidRPr="00787679">
              <w:rPr>
                <w:rFonts w:cs="Arial"/>
                <w:color w:val="000000"/>
              </w:rPr>
              <w:t>Malignant neoplasm of middle lobe, bronchus or lung</w:t>
            </w:r>
          </w:p>
        </w:tc>
      </w:tr>
      <w:tr w:rsidR="00F310BA" w:rsidRPr="00787679" w14:paraId="34B51A1E" w14:textId="77777777" w:rsidTr="00696E8F">
        <w:trPr>
          <w:trHeight w:val="300"/>
        </w:trPr>
        <w:tc>
          <w:tcPr>
            <w:tcW w:w="1872" w:type="dxa"/>
            <w:noWrap/>
            <w:vAlign w:val="center"/>
            <w:hideMark/>
          </w:tcPr>
          <w:p w14:paraId="4DBFCD22" w14:textId="77777777" w:rsidR="00F310BA" w:rsidRPr="00787679" w:rsidRDefault="00F310BA" w:rsidP="00696E8F">
            <w:pPr>
              <w:rPr>
                <w:rFonts w:cs="Arial"/>
                <w:color w:val="000000"/>
              </w:rPr>
            </w:pPr>
            <w:r w:rsidRPr="00787679">
              <w:rPr>
                <w:rFonts w:cs="Arial"/>
                <w:color w:val="000000"/>
              </w:rPr>
              <w:t>C34.30</w:t>
            </w:r>
          </w:p>
        </w:tc>
        <w:tc>
          <w:tcPr>
            <w:tcW w:w="7560" w:type="dxa"/>
            <w:noWrap/>
            <w:vAlign w:val="center"/>
            <w:hideMark/>
          </w:tcPr>
          <w:p w14:paraId="522D7382" w14:textId="77777777" w:rsidR="00F310BA" w:rsidRPr="00787679" w:rsidRDefault="00F310BA" w:rsidP="00696E8F">
            <w:pPr>
              <w:rPr>
                <w:rFonts w:cs="Arial"/>
                <w:color w:val="000000"/>
              </w:rPr>
            </w:pPr>
            <w:r w:rsidRPr="00787679">
              <w:rPr>
                <w:rFonts w:cs="Arial"/>
                <w:color w:val="000000"/>
              </w:rPr>
              <w:t>Malignant neoplasm of lower lobe, unspecified bronchus or lung</w:t>
            </w:r>
          </w:p>
        </w:tc>
      </w:tr>
      <w:tr w:rsidR="00F310BA" w:rsidRPr="00787679" w14:paraId="73E6EAA8" w14:textId="77777777" w:rsidTr="00696E8F">
        <w:trPr>
          <w:trHeight w:val="300"/>
        </w:trPr>
        <w:tc>
          <w:tcPr>
            <w:tcW w:w="1872" w:type="dxa"/>
            <w:noWrap/>
            <w:vAlign w:val="center"/>
            <w:hideMark/>
          </w:tcPr>
          <w:p w14:paraId="22B7CD36" w14:textId="77777777" w:rsidR="00F310BA" w:rsidRPr="00787679" w:rsidRDefault="00F310BA" w:rsidP="00696E8F">
            <w:pPr>
              <w:rPr>
                <w:rFonts w:cs="Arial"/>
                <w:color w:val="000000"/>
              </w:rPr>
            </w:pPr>
            <w:r w:rsidRPr="00787679">
              <w:rPr>
                <w:rFonts w:cs="Arial"/>
                <w:color w:val="000000"/>
              </w:rPr>
              <w:t>C34.31</w:t>
            </w:r>
          </w:p>
        </w:tc>
        <w:tc>
          <w:tcPr>
            <w:tcW w:w="7560" w:type="dxa"/>
            <w:noWrap/>
            <w:vAlign w:val="center"/>
            <w:hideMark/>
          </w:tcPr>
          <w:p w14:paraId="00486212" w14:textId="77777777" w:rsidR="00F310BA" w:rsidRPr="00787679" w:rsidRDefault="00F310BA" w:rsidP="00696E8F">
            <w:pPr>
              <w:rPr>
                <w:rFonts w:cs="Arial"/>
                <w:color w:val="000000"/>
              </w:rPr>
            </w:pPr>
            <w:r w:rsidRPr="00787679">
              <w:rPr>
                <w:rFonts w:cs="Arial"/>
                <w:color w:val="000000"/>
              </w:rPr>
              <w:t>Malignant neoplasm of lower lobe, right bronchus or lung</w:t>
            </w:r>
          </w:p>
        </w:tc>
      </w:tr>
      <w:tr w:rsidR="00F310BA" w:rsidRPr="00787679" w14:paraId="1B34D902" w14:textId="77777777" w:rsidTr="00696E8F">
        <w:trPr>
          <w:trHeight w:val="300"/>
        </w:trPr>
        <w:tc>
          <w:tcPr>
            <w:tcW w:w="1872" w:type="dxa"/>
            <w:noWrap/>
            <w:vAlign w:val="center"/>
            <w:hideMark/>
          </w:tcPr>
          <w:p w14:paraId="7CC52FFB" w14:textId="77777777" w:rsidR="00F310BA" w:rsidRPr="00787679" w:rsidRDefault="00F310BA" w:rsidP="00696E8F">
            <w:pPr>
              <w:rPr>
                <w:rFonts w:cs="Arial"/>
                <w:color w:val="000000"/>
              </w:rPr>
            </w:pPr>
            <w:r w:rsidRPr="00787679">
              <w:rPr>
                <w:rFonts w:cs="Arial"/>
                <w:color w:val="000000"/>
              </w:rPr>
              <w:t>C34.32</w:t>
            </w:r>
          </w:p>
        </w:tc>
        <w:tc>
          <w:tcPr>
            <w:tcW w:w="7560" w:type="dxa"/>
            <w:noWrap/>
            <w:vAlign w:val="center"/>
            <w:hideMark/>
          </w:tcPr>
          <w:p w14:paraId="33CEAFA3" w14:textId="77777777" w:rsidR="00F310BA" w:rsidRPr="00787679" w:rsidRDefault="00F310BA" w:rsidP="00696E8F">
            <w:pPr>
              <w:rPr>
                <w:rFonts w:cs="Arial"/>
                <w:color w:val="000000"/>
              </w:rPr>
            </w:pPr>
            <w:r w:rsidRPr="00787679">
              <w:rPr>
                <w:rFonts w:cs="Arial"/>
                <w:color w:val="000000"/>
              </w:rPr>
              <w:t>Malignant neoplasm of lower lobe, left bronchus or lung</w:t>
            </w:r>
          </w:p>
        </w:tc>
      </w:tr>
      <w:tr w:rsidR="00F310BA" w:rsidRPr="00787679" w14:paraId="5BEE0B09" w14:textId="77777777" w:rsidTr="00696E8F">
        <w:trPr>
          <w:trHeight w:val="300"/>
        </w:trPr>
        <w:tc>
          <w:tcPr>
            <w:tcW w:w="1872" w:type="dxa"/>
            <w:noWrap/>
            <w:vAlign w:val="center"/>
            <w:hideMark/>
          </w:tcPr>
          <w:p w14:paraId="5575DE91" w14:textId="77777777" w:rsidR="00F310BA" w:rsidRPr="00787679" w:rsidRDefault="00F310BA" w:rsidP="00696E8F">
            <w:pPr>
              <w:rPr>
                <w:rFonts w:cs="Arial"/>
                <w:color w:val="000000"/>
              </w:rPr>
            </w:pPr>
            <w:r w:rsidRPr="00787679">
              <w:rPr>
                <w:rFonts w:cs="Arial"/>
                <w:color w:val="000000"/>
              </w:rPr>
              <w:t>C34.80</w:t>
            </w:r>
          </w:p>
        </w:tc>
        <w:tc>
          <w:tcPr>
            <w:tcW w:w="7560" w:type="dxa"/>
            <w:noWrap/>
            <w:vAlign w:val="center"/>
            <w:hideMark/>
          </w:tcPr>
          <w:p w14:paraId="25E84D66" w14:textId="77777777" w:rsidR="00F310BA" w:rsidRPr="00787679" w:rsidRDefault="00F310BA" w:rsidP="00696E8F">
            <w:pPr>
              <w:rPr>
                <w:rFonts w:cs="Arial"/>
                <w:color w:val="000000"/>
              </w:rPr>
            </w:pPr>
            <w:r w:rsidRPr="00787679">
              <w:rPr>
                <w:rFonts w:cs="Arial"/>
                <w:color w:val="000000"/>
              </w:rPr>
              <w:t>Malignant neoplasm of overlapping sites of unspecified bronchus and lung</w:t>
            </w:r>
          </w:p>
        </w:tc>
      </w:tr>
      <w:tr w:rsidR="00F310BA" w:rsidRPr="00787679" w14:paraId="7B4B3172" w14:textId="77777777" w:rsidTr="00696E8F">
        <w:trPr>
          <w:trHeight w:val="300"/>
        </w:trPr>
        <w:tc>
          <w:tcPr>
            <w:tcW w:w="1872" w:type="dxa"/>
            <w:noWrap/>
            <w:vAlign w:val="center"/>
            <w:hideMark/>
          </w:tcPr>
          <w:p w14:paraId="562A2EF6" w14:textId="77777777" w:rsidR="00F310BA" w:rsidRPr="00787679" w:rsidRDefault="00F310BA" w:rsidP="00696E8F">
            <w:pPr>
              <w:rPr>
                <w:rFonts w:cs="Arial"/>
                <w:color w:val="000000"/>
              </w:rPr>
            </w:pPr>
            <w:r w:rsidRPr="00787679">
              <w:rPr>
                <w:rFonts w:cs="Arial"/>
                <w:color w:val="000000"/>
              </w:rPr>
              <w:t>C34.81</w:t>
            </w:r>
          </w:p>
        </w:tc>
        <w:tc>
          <w:tcPr>
            <w:tcW w:w="7560" w:type="dxa"/>
            <w:noWrap/>
            <w:vAlign w:val="center"/>
            <w:hideMark/>
          </w:tcPr>
          <w:p w14:paraId="2B587347" w14:textId="77777777" w:rsidR="00F310BA" w:rsidRPr="00787679" w:rsidRDefault="00F310BA" w:rsidP="00696E8F">
            <w:pPr>
              <w:rPr>
                <w:rFonts w:cs="Arial"/>
                <w:color w:val="000000"/>
              </w:rPr>
            </w:pPr>
            <w:r w:rsidRPr="00787679">
              <w:rPr>
                <w:rFonts w:cs="Arial"/>
                <w:color w:val="000000"/>
              </w:rPr>
              <w:t>Malignant neoplasm of overlapping sites of right bronchus and lung</w:t>
            </w:r>
          </w:p>
        </w:tc>
      </w:tr>
      <w:tr w:rsidR="00F310BA" w:rsidRPr="00787679" w14:paraId="697FAE98" w14:textId="77777777" w:rsidTr="00696E8F">
        <w:trPr>
          <w:trHeight w:val="300"/>
        </w:trPr>
        <w:tc>
          <w:tcPr>
            <w:tcW w:w="1872" w:type="dxa"/>
            <w:noWrap/>
            <w:vAlign w:val="center"/>
            <w:hideMark/>
          </w:tcPr>
          <w:p w14:paraId="0EB4EDA2" w14:textId="77777777" w:rsidR="00F310BA" w:rsidRPr="00787679" w:rsidRDefault="00F310BA" w:rsidP="00696E8F">
            <w:pPr>
              <w:rPr>
                <w:rFonts w:cs="Arial"/>
                <w:color w:val="000000"/>
              </w:rPr>
            </w:pPr>
            <w:r w:rsidRPr="00787679">
              <w:rPr>
                <w:rFonts w:cs="Arial"/>
                <w:color w:val="000000"/>
              </w:rPr>
              <w:t>C34.82</w:t>
            </w:r>
          </w:p>
        </w:tc>
        <w:tc>
          <w:tcPr>
            <w:tcW w:w="7560" w:type="dxa"/>
            <w:noWrap/>
            <w:vAlign w:val="center"/>
            <w:hideMark/>
          </w:tcPr>
          <w:p w14:paraId="4E0D2635" w14:textId="77777777" w:rsidR="00F310BA" w:rsidRPr="00787679" w:rsidRDefault="00F310BA" w:rsidP="00696E8F">
            <w:pPr>
              <w:rPr>
                <w:rFonts w:cs="Arial"/>
                <w:color w:val="000000"/>
              </w:rPr>
            </w:pPr>
            <w:r w:rsidRPr="00787679">
              <w:rPr>
                <w:rFonts w:cs="Arial"/>
                <w:color w:val="000000"/>
              </w:rPr>
              <w:t>Malignant neoplasm of overlapping sites of left bronchus and lung</w:t>
            </w:r>
          </w:p>
        </w:tc>
      </w:tr>
      <w:tr w:rsidR="00F310BA" w:rsidRPr="00787679" w14:paraId="169BE344" w14:textId="77777777" w:rsidTr="00696E8F">
        <w:trPr>
          <w:trHeight w:val="300"/>
        </w:trPr>
        <w:tc>
          <w:tcPr>
            <w:tcW w:w="1872" w:type="dxa"/>
            <w:noWrap/>
            <w:vAlign w:val="center"/>
            <w:hideMark/>
          </w:tcPr>
          <w:p w14:paraId="6259FA46" w14:textId="77777777" w:rsidR="00F310BA" w:rsidRPr="00787679" w:rsidRDefault="00F310BA" w:rsidP="00696E8F">
            <w:pPr>
              <w:rPr>
                <w:rFonts w:cs="Arial"/>
                <w:color w:val="000000"/>
              </w:rPr>
            </w:pPr>
            <w:r w:rsidRPr="00787679">
              <w:rPr>
                <w:rFonts w:cs="Arial"/>
                <w:color w:val="000000"/>
              </w:rPr>
              <w:t>C34.90</w:t>
            </w:r>
          </w:p>
        </w:tc>
        <w:tc>
          <w:tcPr>
            <w:tcW w:w="7560" w:type="dxa"/>
            <w:noWrap/>
            <w:vAlign w:val="center"/>
            <w:hideMark/>
          </w:tcPr>
          <w:p w14:paraId="30E32F57" w14:textId="77777777" w:rsidR="00F310BA" w:rsidRPr="00787679" w:rsidRDefault="00F310BA" w:rsidP="00696E8F">
            <w:pPr>
              <w:rPr>
                <w:rFonts w:cs="Arial"/>
                <w:color w:val="000000"/>
              </w:rPr>
            </w:pPr>
            <w:r w:rsidRPr="00787679">
              <w:rPr>
                <w:rFonts w:cs="Arial"/>
                <w:color w:val="000000"/>
              </w:rPr>
              <w:t>Malignant neoplasm of unspecified part of unspecified bronchus or lung</w:t>
            </w:r>
          </w:p>
        </w:tc>
      </w:tr>
      <w:tr w:rsidR="00F310BA" w:rsidRPr="00787679" w14:paraId="4B67E7FE" w14:textId="77777777" w:rsidTr="00696E8F">
        <w:trPr>
          <w:trHeight w:val="300"/>
        </w:trPr>
        <w:tc>
          <w:tcPr>
            <w:tcW w:w="1872" w:type="dxa"/>
            <w:noWrap/>
            <w:vAlign w:val="center"/>
            <w:hideMark/>
          </w:tcPr>
          <w:p w14:paraId="756A6631" w14:textId="77777777" w:rsidR="00F310BA" w:rsidRPr="00787679" w:rsidRDefault="00F310BA" w:rsidP="00696E8F">
            <w:pPr>
              <w:rPr>
                <w:rFonts w:cs="Arial"/>
                <w:color w:val="000000"/>
              </w:rPr>
            </w:pPr>
            <w:r w:rsidRPr="00787679">
              <w:rPr>
                <w:rFonts w:cs="Arial"/>
                <w:color w:val="000000"/>
              </w:rPr>
              <w:t>C34.91</w:t>
            </w:r>
          </w:p>
        </w:tc>
        <w:tc>
          <w:tcPr>
            <w:tcW w:w="7560" w:type="dxa"/>
            <w:noWrap/>
            <w:vAlign w:val="center"/>
            <w:hideMark/>
          </w:tcPr>
          <w:p w14:paraId="0DDF5260" w14:textId="77777777" w:rsidR="00F310BA" w:rsidRPr="00787679" w:rsidRDefault="00F310BA" w:rsidP="00696E8F">
            <w:pPr>
              <w:rPr>
                <w:rFonts w:cs="Arial"/>
                <w:color w:val="000000"/>
              </w:rPr>
            </w:pPr>
            <w:r w:rsidRPr="00787679">
              <w:rPr>
                <w:rFonts w:cs="Arial"/>
                <w:color w:val="000000"/>
              </w:rPr>
              <w:t>Malignant neoplasm of unspecified part of right bronchus or lung</w:t>
            </w:r>
          </w:p>
        </w:tc>
      </w:tr>
      <w:tr w:rsidR="00F310BA" w:rsidRPr="00787679" w14:paraId="6910E21D" w14:textId="77777777" w:rsidTr="00696E8F">
        <w:trPr>
          <w:trHeight w:val="300"/>
        </w:trPr>
        <w:tc>
          <w:tcPr>
            <w:tcW w:w="1872" w:type="dxa"/>
            <w:noWrap/>
            <w:vAlign w:val="center"/>
            <w:hideMark/>
          </w:tcPr>
          <w:p w14:paraId="6C3BE12C" w14:textId="77777777" w:rsidR="00F310BA" w:rsidRPr="00787679" w:rsidRDefault="00F310BA" w:rsidP="00696E8F">
            <w:pPr>
              <w:rPr>
                <w:rFonts w:cs="Arial"/>
                <w:color w:val="000000"/>
              </w:rPr>
            </w:pPr>
            <w:r w:rsidRPr="00787679">
              <w:rPr>
                <w:rFonts w:cs="Arial"/>
                <w:color w:val="000000"/>
              </w:rPr>
              <w:t>C34.92</w:t>
            </w:r>
          </w:p>
        </w:tc>
        <w:tc>
          <w:tcPr>
            <w:tcW w:w="7560" w:type="dxa"/>
            <w:noWrap/>
            <w:vAlign w:val="center"/>
            <w:hideMark/>
          </w:tcPr>
          <w:p w14:paraId="503A5663" w14:textId="77777777" w:rsidR="00F310BA" w:rsidRPr="00787679" w:rsidRDefault="00F310BA" w:rsidP="00696E8F">
            <w:pPr>
              <w:rPr>
                <w:rFonts w:cs="Arial"/>
                <w:color w:val="000000"/>
              </w:rPr>
            </w:pPr>
            <w:r w:rsidRPr="00787679">
              <w:rPr>
                <w:rFonts w:cs="Arial"/>
                <w:color w:val="000000"/>
              </w:rPr>
              <w:t>Malignant neoplasm of unspecified part of left bronchus or lung</w:t>
            </w:r>
          </w:p>
        </w:tc>
      </w:tr>
      <w:tr w:rsidR="00F310BA" w:rsidRPr="00787679" w14:paraId="4393F0FE" w14:textId="77777777" w:rsidTr="00696E8F">
        <w:trPr>
          <w:trHeight w:val="300"/>
        </w:trPr>
        <w:tc>
          <w:tcPr>
            <w:tcW w:w="1872" w:type="dxa"/>
            <w:noWrap/>
            <w:vAlign w:val="center"/>
            <w:hideMark/>
          </w:tcPr>
          <w:p w14:paraId="47BF5DAF" w14:textId="77777777" w:rsidR="00F310BA" w:rsidRPr="00787679" w:rsidRDefault="00F310BA" w:rsidP="00696E8F">
            <w:pPr>
              <w:rPr>
                <w:rFonts w:cs="Arial"/>
                <w:color w:val="000000"/>
              </w:rPr>
            </w:pPr>
            <w:r w:rsidRPr="00787679">
              <w:rPr>
                <w:rFonts w:cs="Arial"/>
                <w:color w:val="000000"/>
              </w:rPr>
              <w:t>D02</w:t>
            </w:r>
            <w:r w:rsidR="00681689">
              <w:rPr>
                <w:rFonts w:cs="Arial"/>
                <w:color w:val="000000"/>
              </w:rPr>
              <w:t>.</w:t>
            </w:r>
            <w:r w:rsidRPr="00787679">
              <w:rPr>
                <w:rFonts w:cs="Arial"/>
                <w:color w:val="000000"/>
              </w:rPr>
              <w:t xml:space="preserve">20 </w:t>
            </w:r>
          </w:p>
        </w:tc>
        <w:tc>
          <w:tcPr>
            <w:tcW w:w="7560" w:type="dxa"/>
            <w:noWrap/>
            <w:vAlign w:val="center"/>
            <w:hideMark/>
          </w:tcPr>
          <w:p w14:paraId="1379D2AD" w14:textId="77777777" w:rsidR="00F310BA" w:rsidRPr="00787679" w:rsidRDefault="00F310BA" w:rsidP="00696E8F">
            <w:pPr>
              <w:rPr>
                <w:rFonts w:cs="Arial"/>
                <w:color w:val="000000"/>
              </w:rPr>
            </w:pPr>
            <w:r w:rsidRPr="00787679">
              <w:rPr>
                <w:rFonts w:cs="Arial"/>
                <w:color w:val="000000"/>
              </w:rPr>
              <w:t>Carcinoma in situ of unspecified bronchus and lung</w:t>
            </w:r>
          </w:p>
        </w:tc>
      </w:tr>
      <w:tr w:rsidR="00F310BA" w:rsidRPr="00787679" w14:paraId="63128944" w14:textId="77777777" w:rsidTr="003B4CC8">
        <w:trPr>
          <w:trHeight w:val="300"/>
        </w:trPr>
        <w:tc>
          <w:tcPr>
            <w:tcW w:w="1872" w:type="dxa"/>
            <w:noWrap/>
            <w:vAlign w:val="center"/>
            <w:hideMark/>
          </w:tcPr>
          <w:p w14:paraId="1D911851" w14:textId="77777777" w:rsidR="00F310BA" w:rsidRPr="00787679" w:rsidRDefault="00F310BA" w:rsidP="00696E8F">
            <w:pPr>
              <w:rPr>
                <w:rFonts w:cs="Arial"/>
                <w:color w:val="000000"/>
              </w:rPr>
            </w:pPr>
            <w:r w:rsidRPr="00787679">
              <w:rPr>
                <w:rFonts w:cs="Arial"/>
                <w:color w:val="000000"/>
              </w:rPr>
              <w:t>D02</w:t>
            </w:r>
            <w:r w:rsidR="00681689">
              <w:rPr>
                <w:rFonts w:cs="Arial"/>
                <w:color w:val="000000"/>
              </w:rPr>
              <w:t>.</w:t>
            </w:r>
            <w:r w:rsidRPr="00787679">
              <w:rPr>
                <w:rFonts w:cs="Arial"/>
                <w:color w:val="000000"/>
              </w:rPr>
              <w:t xml:space="preserve">21 </w:t>
            </w:r>
          </w:p>
        </w:tc>
        <w:tc>
          <w:tcPr>
            <w:tcW w:w="7560" w:type="dxa"/>
            <w:tcBorders>
              <w:bottom w:val="single" w:sz="4" w:space="0" w:color="auto"/>
            </w:tcBorders>
            <w:noWrap/>
            <w:vAlign w:val="center"/>
            <w:hideMark/>
          </w:tcPr>
          <w:p w14:paraId="625E9F4F" w14:textId="77777777" w:rsidR="00F310BA" w:rsidRPr="00787679" w:rsidRDefault="00F310BA" w:rsidP="00696E8F">
            <w:pPr>
              <w:rPr>
                <w:rFonts w:cs="Arial"/>
                <w:color w:val="000000"/>
              </w:rPr>
            </w:pPr>
            <w:r w:rsidRPr="00787679">
              <w:rPr>
                <w:rFonts w:cs="Arial"/>
                <w:color w:val="000000"/>
              </w:rPr>
              <w:t>Carcinoma in situ of right bronchus and lung</w:t>
            </w:r>
          </w:p>
        </w:tc>
      </w:tr>
      <w:tr w:rsidR="00F310BA" w:rsidRPr="00787679" w14:paraId="1EFE281A" w14:textId="77777777" w:rsidTr="003B4CC8">
        <w:trPr>
          <w:trHeight w:val="300"/>
        </w:trPr>
        <w:tc>
          <w:tcPr>
            <w:tcW w:w="1872" w:type="dxa"/>
            <w:noWrap/>
            <w:vAlign w:val="center"/>
            <w:hideMark/>
          </w:tcPr>
          <w:p w14:paraId="5928E14D" w14:textId="77777777" w:rsidR="00F310BA" w:rsidRPr="00787679" w:rsidRDefault="00F310BA" w:rsidP="00696E8F">
            <w:pPr>
              <w:rPr>
                <w:rFonts w:cs="Arial"/>
                <w:color w:val="000000"/>
              </w:rPr>
            </w:pPr>
            <w:r w:rsidRPr="00787679">
              <w:rPr>
                <w:rFonts w:cs="Arial"/>
                <w:color w:val="000000"/>
              </w:rPr>
              <w:t>D02</w:t>
            </w:r>
            <w:r w:rsidR="00681689">
              <w:rPr>
                <w:rFonts w:cs="Arial"/>
                <w:color w:val="000000"/>
              </w:rPr>
              <w:t>.</w:t>
            </w:r>
            <w:r w:rsidRPr="00787679">
              <w:rPr>
                <w:rFonts w:cs="Arial"/>
                <w:color w:val="000000"/>
              </w:rPr>
              <w:t xml:space="preserve">22 </w:t>
            </w:r>
          </w:p>
        </w:tc>
        <w:tc>
          <w:tcPr>
            <w:tcW w:w="7560" w:type="dxa"/>
            <w:tcBorders>
              <w:bottom w:val="single" w:sz="4" w:space="0" w:color="auto"/>
            </w:tcBorders>
            <w:noWrap/>
            <w:vAlign w:val="center"/>
            <w:hideMark/>
          </w:tcPr>
          <w:p w14:paraId="10581A85" w14:textId="77777777" w:rsidR="00F310BA" w:rsidRPr="00787679" w:rsidRDefault="00F310BA" w:rsidP="00696E8F">
            <w:pPr>
              <w:rPr>
                <w:rFonts w:cs="Arial"/>
                <w:color w:val="000000"/>
              </w:rPr>
            </w:pPr>
            <w:r w:rsidRPr="00787679">
              <w:rPr>
                <w:rFonts w:cs="Arial"/>
                <w:color w:val="000000"/>
              </w:rPr>
              <w:t>Carcinoma in situ of left bronchus and lung</w:t>
            </w:r>
          </w:p>
        </w:tc>
      </w:tr>
    </w:tbl>
    <w:p w14:paraId="42B41D84" w14:textId="67F0AE22" w:rsidR="00F13A61" w:rsidRPr="009A5185" w:rsidRDefault="00F13A61">
      <w:pPr>
        <w:rPr>
          <w:rFonts w:cs="Arial"/>
          <w:b/>
          <w:i/>
          <w:snapToGrid w:val="0"/>
          <w:sz w:val="24"/>
          <w:szCs w:val="24"/>
          <w:lang w:eastAsia="ja-JP"/>
        </w:rPr>
      </w:pPr>
    </w:p>
    <w:p w14:paraId="48277D95" w14:textId="77777777" w:rsidR="00485817" w:rsidRDefault="00485817" w:rsidP="00D51874">
      <w:bookmarkStart w:id="263" w:name="EsophagealResection"/>
    </w:p>
    <w:p w14:paraId="3C01329B" w14:textId="7A9F2E4A" w:rsidR="00485817" w:rsidRDefault="00485817" w:rsidP="00D51874"/>
    <w:p w14:paraId="47BFD40E" w14:textId="253CEB8F" w:rsidR="00485817" w:rsidRDefault="00485817" w:rsidP="00485817">
      <w:pPr>
        <w:rPr>
          <w:lang w:eastAsia="ja-JP"/>
        </w:rPr>
      </w:pPr>
    </w:p>
    <w:p w14:paraId="2D258FF0" w14:textId="77777777" w:rsidR="00485817" w:rsidRPr="00485817" w:rsidRDefault="00485817" w:rsidP="00485817">
      <w:pPr>
        <w:rPr>
          <w:lang w:eastAsia="ja-JP"/>
        </w:rPr>
      </w:pPr>
    </w:p>
    <w:p w14:paraId="50BA50A2" w14:textId="77777777" w:rsidR="00B615AA" w:rsidRDefault="00B615AA">
      <w:pPr>
        <w:rPr>
          <w:b/>
          <w:i/>
          <w:snapToGrid w:val="0"/>
          <w:sz w:val="24"/>
          <w:szCs w:val="24"/>
          <w:lang w:eastAsia="ja-JP"/>
        </w:rPr>
      </w:pPr>
      <w:r>
        <w:br w:type="page"/>
      </w:r>
    </w:p>
    <w:p w14:paraId="12DD216E" w14:textId="33C2A336" w:rsidR="00862093" w:rsidRPr="009A5185" w:rsidRDefault="00862093" w:rsidP="000C2C54">
      <w:pPr>
        <w:pStyle w:val="Heading44"/>
      </w:pPr>
      <w:r w:rsidRPr="009A5185">
        <w:lastRenderedPageBreak/>
        <w:t xml:space="preserve">Esophageal Resection </w:t>
      </w:r>
      <w:r w:rsidR="00C508E1" w:rsidRPr="009A5185">
        <w:t xml:space="preserve">for Cancer </w:t>
      </w:r>
      <w:r w:rsidRPr="009A5185">
        <w:t xml:space="preserve">Measure </w:t>
      </w:r>
      <w:r w:rsidR="000765C6">
        <w:t>Specifications</w:t>
      </w:r>
    </w:p>
    <w:bookmarkEnd w:id="263"/>
    <w:p w14:paraId="48582F95" w14:textId="77777777" w:rsidR="00862093" w:rsidRPr="009A5185" w:rsidRDefault="00862093" w:rsidP="00862093">
      <w:pPr>
        <w:rPr>
          <w:rFonts w:cs="Arial"/>
        </w:rPr>
      </w:pPr>
    </w:p>
    <w:p w14:paraId="7A2650ED" w14:textId="77777777" w:rsidR="00862093" w:rsidRPr="009A5185" w:rsidRDefault="00862093" w:rsidP="00862093">
      <w:pPr>
        <w:rPr>
          <w:rFonts w:cs="Arial"/>
        </w:rPr>
      </w:pPr>
      <w:r w:rsidRPr="009A5185">
        <w:rPr>
          <w:rFonts w:cs="Arial"/>
        </w:rPr>
        <w:t xml:space="preserve">For </w:t>
      </w:r>
      <w:r w:rsidR="00595F71" w:rsidRPr="009A5185">
        <w:rPr>
          <w:rFonts w:cs="Arial"/>
        </w:rPr>
        <w:t>esophageal resection for cancer</w:t>
      </w:r>
      <w:r w:rsidRPr="009A5185">
        <w:rPr>
          <w:rFonts w:cs="Arial"/>
        </w:rPr>
        <w:t>, there are two sets of IC</w:t>
      </w:r>
      <w:r w:rsidR="007550AD">
        <w:rPr>
          <w:rFonts w:cs="Arial"/>
        </w:rPr>
        <w:t>D-10 codes for counting patient discharges</w:t>
      </w:r>
      <w:r w:rsidRPr="009A5185">
        <w:rPr>
          <w:rFonts w:cs="Arial"/>
        </w:rPr>
        <w:t xml:space="preserve">. The first set of codes is to identify patients who have had the procedure. </w:t>
      </w:r>
      <w:r w:rsidR="00D7330E" w:rsidRPr="009A5185">
        <w:rPr>
          <w:rFonts w:cs="Arial"/>
        </w:rPr>
        <w:t xml:space="preserve">The second set of codes </w:t>
      </w:r>
      <w:r w:rsidRPr="009A5185">
        <w:rPr>
          <w:rFonts w:cs="Arial"/>
        </w:rPr>
        <w:t>is to identify patient</w:t>
      </w:r>
      <w:r w:rsidR="009B3ACE" w:rsidRPr="009A5185">
        <w:rPr>
          <w:rFonts w:cs="Arial"/>
        </w:rPr>
        <w:t>s</w:t>
      </w:r>
      <w:r w:rsidRPr="009A5185">
        <w:rPr>
          <w:rFonts w:cs="Arial"/>
        </w:rPr>
        <w:t xml:space="preserve"> with a specific diagnosis.</w:t>
      </w:r>
    </w:p>
    <w:p w14:paraId="2AFB8039" w14:textId="77777777" w:rsidR="00862093" w:rsidRPr="009A5185" w:rsidRDefault="00862093" w:rsidP="00862093">
      <w:pPr>
        <w:rPr>
          <w:rFonts w:cs="Arial"/>
        </w:rPr>
      </w:pPr>
    </w:p>
    <w:p w14:paraId="0D72C262" w14:textId="77777777" w:rsidR="00862093" w:rsidRPr="009A5185" w:rsidRDefault="007550AD" w:rsidP="00862093">
      <w:pPr>
        <w:rPr>
          <w:rFonts w:cs="Arial"/>
        </w:rPr>
      </w:pPr>
      <w:r>
        <w:rPr>
          <w:rFonts w:cs="Arial"/>
        </w:rPr>
        <w:t>Count the n</w:t>
      </w:r>
      <w:r w:rsidR="00862093" w:rsidRPr="009A5185">
        <w:rPr>
          <w:rFonts w:cs="Arial"/>
        </w:rPr>
        <w:t>umber of patients, age</w:t>
      </w:r>
      <w:r w:rsidR="00595F71">
        <w:rPr>
          <w:rFonts w:cs="Arial"/>
        </w:rPr>
        <w:t>s</w:t>
      </w:r>
      <w:r w:rsidR="00862093" w:rsidRPr="009A5185">
        <w:rPr>
          <w:rFonts w:cs="Arial"/>
        </w:rPr>
        <w:t xml:space="preserve"> 18 years and older, discharged with the following ICD-10 codes in any procedure field </w:t>
      </w:r>
      <w:r w:rsidR="00862093" w:rsidRPr="006904F9">
        <w:rPr>
          <w:rFonts w:cs="Arial"/>
          <w:b/>
          <w:bCs/>
        </w:rPr>
        <w:t>AND</w:t>
      </w:r>
      <w:r w:rsidR="00862093" w:rsidRPr="009A5185">
        <w:rPr>
          <w:rFonts w:cs="Arial"/>
        </w:rPr>
        <w:t xml:space="preserve"> any of the follo</w:t>
      </w:r>
      <w:r w:rsidR="00CA2BC0" w:rsidRPr="009A5185">
        <w:rPr>
          <w:rFonts w:cs="Arial"/>
        </w:rPr>
        <w:t>wing ICD-10 codes in any</w:t>
      </w:r>
      <w:r w:rsidR="00862093" w:rsidRPr="009A5185">
        <w:rPr>
          <w:rFonts w:cs="Arial"/>
        </w:rPr>
        <w:t xml:space="preserve"> diagnosis field</w:t>
      </w:r>
      <w:r w:rsidR="00BF2BFF" w:rsidRPr="009A5185">
        <w:rPr>
          <w:rFonts w:cs="Arial"/>
        </w:rPr>
        <w:t>.</w:t>
      </w:r>
    </w:p>
    <w:p w14:paraId="0697DB82" w14:textId="77777777" w:rsidR="0071568E" w:rsidRPr="009A5185" w:rsidRDefault="0071568E" w:rsidP="00862093">
      <w:pPr>
        <w:rPr>
          <w:rFonts w:cs="Arial"/>
        </w:rPr>
      </w:pPr>
    </w:p>
    <w:p w14:paraId="0ACCBCA8" w14:textId="77777777" w:rsidR="00862093" w:rsidRPr="009A5185" w:rsidRDefault="00862093" w:rsidP="00862093">
      <w:pPr>
        <w:rPr>
          <w:rFonts w:cs="Arial"/>
          <w:b/>
        </w:rPr>
      </w:pPr>
      <w:r w:rsidRPr="009A5185">
        <w:rPr>
          <w:rFonts w:cs="Arial"/>
          <w:b/>
        </w:rPr>
        <w:t xml:space="preserve">ICD-10 Esophageal Resection </w:t>
      </w:r>
      <w:r w:rsidR="00C508E1" w:rsidRPr="009A5185">
        <w:rPr>
          <w:rFonts w:cs="Arial"/>
          <w:b/>
        </w:rPr>
        <w:t xml:space="preserve">for Cancer </w:t>
      </w:r>
      <w:r w:rsidRPr="009A5185">
        <w:rPr>
          <w:rFonts w:cs="Arial"/>
          <w:b/>
        </w:rPr>
        <w:t xml:space="preserve">Procedure Codes </w:t>
      </w:r>
    </w:p>
    <w:p w14:paraId="6B6E35DF" w14:textId="77777777" w:rsidR="00862093" w:rsidRDefault="00862093" w:rsidP="00862093">
      <w:pPr>
        <w:rPr>
          <w:rFonts w:cs="Arial"/>
          <w:b/>
        </w:rPr>
      </w:pPr>
    </w:p>
    <w:tbl>
      <w:tblPr>
        <w:tblStyle w:val="TableGrid"/>
        <w:tblW w:w="9432" w:type="dxa"/>
        <w:tblLook w:val="04A0" w:firstRow="1" w:lastRow="0" w:firstColumn="1" w:lastColumn="0" w:noHBand="0" w:noVBand="1"/>
      </w:tblPr>
      <w:tblGrid>
        <w:gridCol w:w="1872"/>
        <w:gridCol w:w="7560"/>
      </w:tblGrid>
      <w:tr w:rsidR="00595F71" w:rsidRPr="0004317D" w14:paraId="6585B36E" w14:textId="77777777" w:rsidTr="00696E8F">
        <w:trPr>
          <w:trHeight w:val="432"/>
          <w:tblHeader/>
        </w:trPr>
        <w:tc>
          <w:tcPr>
            <w:tcW w:w="1872" w:type="dxa"/>
            <w:shd w:val="clear" w:color="auto" w:fill="BFBFBF" w:themeFill="background1" w:themeFillShade="BF"/>
            <w:vAlign w:val="center"/>
          </w:tcPr>
          <w:p w14:paraId="7E1598BB" w14:textId="77777777" w:rsidR="00595F71" w:rsidRPr="0004317D" w:rsidRDefault="00595F71"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Procedure Code</w:t>
            </w:r>
          </w:p>
        </w:tc>
        <w:tc>
          <w:tcPr>
            <w:tcW w:w="7560" w:type="dxa"/>
            <w:shd w:val="clear" w:color="auto" w:fill="BFBFBF" w:themeFill="background1" w:themeFillShade="BF"/>
            <w:vAlign w:val="center"/>
          </w:tcPr>
          <w:p w14:paraId="1D912D5B" w14:textId="77777777" w:rsidR="00595F71" w:rsidRPr="0004317D" w:rsidRDefault="00595F71" w:rsidP="00696E8F">
            <w:pPr>
              <w:rPr>
                <w:rFonts w:cs="Arial"/>
                <w:color w:val="000000"/>
              </w:rPr>
            </w:pPr>
            <w:r w:rsidRPr="0004317D">
              <w:rPr>
                <w:rFonts w:cs="Arial"/>
                <w:b/>
                <w:bCs/>
                <w:color w:val="000000"/>
              </w:rPr>
              <w:t>Code Description</w:t>
            </w:r>
          </w:p>
        </w:tc>
      </w:tr>
      <w:tr w:rsidR="00595F71" w:rsidRPr="00E97D2C" w14:paraId="0857FBD3" w14:textId="77777777" w:rsidTr="00696E8F">
        <w:trPr>
          <w:trHeight w:val="300"/>
        </w:trPr>
        <w:tc>
          <w:tcPr>
            <w:tcW w:w="1872" w:type="dxa"/>
            <w:noWrap/>
            <w:vAlign w:val="center"/>
            <w:hideMark/>
          </w:tcPr>
          <w:p w14:paraId="554165B7" w14:textId="77777777" w:rsidR="00595F71" w:rsidRPr="00E97D2C" w:rsidRDefault="00595F71" w:rsidP="00696E8F">
            <w:pPr>
              <w:rPr>
                <w:rFonts w:cs="Arial"/>
                <w:color w:val="000000"/>
              </w:rPr>
            </w:pPr>
            <w:r w:rsidRPr="00E97D2C">
              <w:rPr>
                <w:rFonts w:cs="Arial"/>
                <w:color w:val="000000"/>
              </w:rPr>
              <w:t>0D11074</w:t>
            </w:r>
          </w:p>
        </w:tc>
        <w:tc>
          <w:tcPr>
            <w:tcW w:w="7560" w:type="dxa"/>
            <w:noWrap/>
            <w:vAlign w:val="center"/>
            <w:hideMark/>
          </w:tcPr>
          <w:p w14:paraId="48E806C1" w14:textId="77777777" w:rsidR="00595F71" w:rsidRPr="00E97D2C" w:rsidRDefault="00595F71" w:rsidP="00696E8F">
            <w:pPr>
              <w:rPr>
                <w:rFonts w:cs="Arial"/>
                <w:color w:val="000000"/>
              </w:rPr>
            </w:pPr>
            <w:r w:rsidRPr="00E97D2C">
              <w:rPr>
                <w:rFonts w:cs="Arial"/>
                <w:color w:val="000000"/>
              </w:rPr>
              <w:t>Bypass Upper Esophagus to Cutaneous with Autologous Tissue Substitute, Open Approach</w:t>
            </w:r>
          </w:p>
        </w:tc>
      </w:tr>
      <w:tr w:rsidR="00595F71" w:rsidRPr="00E97D2C" w14:paraId="12E484A9" w14:textId="77777777" w:rsidTr="00696E8F">
        <w:trPr>
          <w:trHeight w:val="300"/>
        </w:trPr>
        <w:tc>
          <w:tcPr>
            <w:tcW w:w="1872" w:type="dxa"/>
            <w:noWrap/>
            <w:vAlign w:val="center"/>
            <w:hideMark/>
          </w:tcPr>
          <w:p w14:paraId="32647BBC" w14:textId="77777777" w:rsidR="00595F71" w:rsidRPr="00E97D2C" w:rsidRDefault="00595F71" w:rsidP="00696E8F">
            <w:pPr>
              <w:rPr>
                <w:rFonts w:cs="Arial"/>
                <w:color w:val="000000"/>
              </w:rPr>
            </w:pPr>
            <w:r w:rsidRPr="00E97D2C">
              <w:rPr>
                <w:rFonts w:cs="Arial"/>
                <w:color w:val="000000"/>
              </w:rPr>
              <w:t>0D11076</w:t>
            </w:r>
          </w:p>
        </w:tc>
        <w:tc>
          <w:tcPr>
            <w:tcW w:w="7560" w:type="dxa"/>
            <w:noWrap/>
            <w:vAlign w:val="center"/>
            <w:hideMark/>
          </w:tcPr>
          <w:p w14:paraId="53EBA9F8" w14:textId="77777777" w:rsidR="00595F71" w:rsidRPr="00E97D2C" w:rsidRDefault="00595F71" w:rsidP="00696E8F">
            <w:pPr>
              <w:rPr>
                <w:rFonts w:cs="Arial"/>
                <w:color w:val="000000"/>
              </w:rPr>
            </w:pPr>
            <w:r w:rsidRPr="00E97D2C">
              <w:rPr>
                <w:rFonts w:cs="Arial"/>
                <w:color w:val="000000"/>
              </w:rPr>
              <w:t>Bypass Upper Esophagus to Stomach with Autologous Tissue Substitute, Open Approach</w:t>
            </w:r>
          </w:p>
        </w:tc>
      </w:tr>
      <w:tr w:rsidR="00595F71" w:rsidRPr="00E97D2C" w14:paraId="1BE6EB4B" w14:textId="77777777" w:rsidTr="00696E8F">
        <w:trPr>
          <w:trHeight w:val="300"/>
        </w:trPr>
        <w:tc>
          <w:tcPr>
            <w:tcW w:w="1872" w:type="dxa"/>
            <w:noWrap/>
            <w:vAlign w:val="center"/>
            <w:hideMark/>
          </w:tcPr>
          <w:p w14:paraId="63C1FAA5" w14:textId="77777777" w:rsidR="00595F71" w:rsidRPr="00E97D2C" w:rsidRDefault="00595F71" w:rsidP="00696E8F">
            <w:pPr>
              <w:rPr>
                <w:rFonts w:cs="Arial"/>
                <w:color w:val="000000"/>
              </w:rPr>
            </w:pPr>
            <w:r w:rsidRPr="00E97D2C">
              <w:rPr>
                <w:rFonts w:cs="Arial"/>
                <w:color w:val="000000"/>
              </w:rPr>
              <w:t>0D11079</w:t>
            </w:r>
          </w:p>
        </w:tc>
        <w:tc>
          <w:tcPr>
            <w:tcW w:w="7560" w:type="dxa"/>
            <w:noWrap/>
            <w:vAlign w:val="center"/>
            <w:hideMark/>
          </w:tcPr>
          <w:p w14:paraId="23B96F13" w14:textId="77777777" w:rsidR="00595F71" w:rsidRPr="00E97D2C" w:rsidRDefault="00595F71" w:rsidP="00696E8F">
            <w:pPr>
              <w:rPr>
                <w:rFonts w:cs="Arial"/>
                <w:color w:val="000000"/>
              </w:rPr>
            </w:pPr>
            <w:r w:rsidRPr="00E97D2C">
              <w:rPr>
                <w:rFonts w:cs="Arial"/>
                <w:color w:val="000000"/>
              </w:rPr>
              <w:t>Bypass Upper Esophagus to Duodenum with Autologous Tissue Substitute, Open Approach</w:t>
            </w:r>
          </w:p>
        </w:tc>
      </w:tr>
      <w:tr w:rsidR="00595F71" w:rsidRPr="00E97D2C" w14:paraId="758C30BB" w14:textId="77777777" w:rsidTr="00696E8F">
        <w:trPr>
          <w:trHeight w:val="300"/>
        </w:trPr>
        <w:tc>
          <w:tcPr>
            <w:tcW w:w="1872" w:type="dxa"/>
            <w:noWrap/>
            <w:vAlign w:val="center"/>
            <w:hideMark/>
          </w:tcPr>
          <w:p w14:paraId="04DD695A" w14:textId="77777777" w:rsidR="00595F71" w:rsidRPr="00E97D2C" w:rsidRDefault="00595F71" w:rsidP="00696E8F">
            <w:pPr>
              <w:rPr>
                <w:rFonts w:cs="Arial"/>
                <w:color w:val="000000"/>
              </w:rPr>
            </w:pPr>
            <w:r w:rsidRPr="00E97D2C">
              <w:rPr>
                <w:rFonts w:cs="Arial"/>
                <w:color w:val="000000"/>
              </w:rPr>
              <w:t>0D1107A</w:t>
            </w:r>
          </w:p>
        </w:tc>
        <w:tc>
          <w:tcPr>
            <w:tcW w:w="7560" w:type="dxa"/>
            <w:noWrap/>
            <w:vAlign w:val="center"/>
            <w:hideMark/>
          </w:tcPr>
          <w:p w14:paraId="3D1F51A6" w14:textId="77777777" w:rsidR="00595F71" w:rsidRPr="00E97D2C" w:rsidRDefault="00595F71" w:rsidP="00696E8F">
            <w:pPr>
              <w:rPr>
                <w:rFonts w:cs="Arial"/>
                <w:color w:val="000000"/>
              </w:rPr>
            </w:pPr>
            <w:r w:rsidRPr="00E97D2C">
              <w:rPr>
                <w:rFonts w:cs="Arial"/>
                <w:color w:val="000000"/>
              </w:rPr>
              <w:t>Bypass Upper Esophagus to Jejunum with Autologous Tissue Substitute, Open Approach</w:t>
            </w:r>
          </w:p>
        </w:tc>
      </w:tr>
      <w:tr w:rsidR="00595F71" w:rsidRPr="00E97D2C" w14:paraId="462BC105" w14:textId="77777777" w:rsidTr="00696E8F">
        <w:trPr>
          <w:trHeight w:val="300"/>
        </w:trPr>
        <w:tc>
          <w:tcPr>
            <w:tcW w:w="1872" w:type="dxa"/>
            <w:noWrap/>
            <w:vAlign w:val="center"/>
            <w:hideMark/>
          </w:tcPr>
          <w:p w14:paraId="1E367790" w14:textId="77777777" w:rsidR="00595F71" w:rsidRPr="00E97D2C" w:rsidRDefault="00595F71" w:rsidP="00696E8F">
            <w:pPr>
              <w:rPr>
                <w:rFonts w:cs="Arial"/>
                <w:color w:val="000000"/>
              </w:rPr>
            </w:pPr>
            <w:r w:rsidRPr="00E97D2C">
              <w:rPr>
                <w:rFonts w:cs="Arial"/>
                <w:color w:val="000000"/>
              </w:rPr>
              <w:t>0D1107B</w:t>
            </w:r>
          </w:p>
        </w:tc>
        <w:tc>
          <w:tcPr>
            <w:tcW w:w="7560" w:type="dxa"/>
            <w:noWrap/>
            <w:vAlign w:val="center"/>
            <w:hideMark/>
          </w:tcPr>
          <w:p w14:paraId="2A958C15" w14:textId="77777777" w:rsidR="00595F71" w:rsidRPr="00E97D2C" w:rsidRDefault="00595F71" w:rsidP="00696E8F">
            <w:pPr>
              <w:rPr>
                <w:rFonts w:cs="Arial"/>
                <w:color w:val="000000"/>
              </w:rPr>
            </w:pPr>
            <w:r w:rsidRPr="00E97D2C">
              <w:rPr>
                <w:rFonts w:cs="Arial"/>
                <w:color w:val="000000"/>
              </w:rPr>
              <w:t>Bypass Upper Esophagus to Ileum with Autologous Tissue Substitute, Open Approach</w:t>
            </w:r>
          </w:p>
        </w:tc>
      </w:tr>
      <w:tr w:rsidR="00595F71" w:rsidRPr="00E97D2C" w14:paraId="702BAD5D" w14:textId="77777777" w:rsidTr="00696E8F">
        <w:trPr>
          <w:trHeight w:val="300"/>
        </w:trPr>
        <w:tc>
          <w:tcPr>
            <w:tcW w:w="1872" w:type="dxa"/>
            <w:noWrap/>
            <w:vAlign w:val="center"/>
            <w:hideMark/>
          </w:tcPr>
          <w:p w14:paraId="1798A9EC" w14:textId="77777777" w:rsidR="00595F71" w:rsidRPr="00E97D2C" w:rsidRDefault="00595F71" w:rsidP="00696E8F">
            <w:pPr>
              <w:rPr>
                <w:rFonts w:cs="Arial"/>
                <w:color w:val="000000"/>
              </w:rPr>
            </w:pPr>
            <w:r w:rsidRPr="00E97D2C">
              <w:rPr>
                <w:rFonts w:cs="Arial"/>
                <w:color w:val="000000"/>
              </w:rPr>
              <w:t>0D110J4</w:t>
            </w:r>
          </w:p>
        </w:tc>
        <w:tc>
          <w:tcPr>
            <w:tcW w:w="7560" w:type="dxa"/>
            <w:noWrap/>
            <w:vAlign w:val="center"/>
            <w:hideMark/>
          </w:tcPr>
          <w:p w14:paraId="56BB72B0" w14:textId="77777777" w:rsidR="00595F71" w:rsidRPr="00E97D2C" w:rsidRDefault="00595F71" w:rsidP="00696E8F">
            <w:pPr>
              <w:rPr>
                <w:rFonts w:cs="Arial"/>
                <w:color w:val="000000"/>
              </w:rPr>
            </w:pPr>
            <w:r w:rsidRPr="00E97D2C">
              <w:rPr>
                <w:rFonts w:cs="Arial"/>
                <w:color w:val="000000"/>
              </w:rPr>
              <w:t>Bypass Upper Esophagus to Cutaneous with Synthetic Substitute, Open Approach</w:t>
            </w:r>
          </w:p>
        </w:tc>
      </w:tr>
      <w:tr w:rsidR="00595F71" w:rsidRPr="00E97D2C" w14:paraId="162DC02F" w14:textId="77777777" w:rsidTr="00696E8F">
        <w:trPr>
          <w:trHeight w:val="300"/>
        </w:trPr>
        <w:tc>
          <w:tcPr>
            <w:tcW w:w="1872" w:type="dxa"/>
            <w:noWrap/>
            <w:vAlign w:val="center"/>
            <w:hideMark/>
          </w:tcPr>
          <w:p w14:paraId="56A6CA69" w14:textId="77777777" w:rsidR="00595F71" w:rsidRPr="00E97D2C" w:rsidRDefault="00595F71" w:rsidP="00696E8F">
            <w:pPr>
              <w:rPr>
                <w:rFonts w:cs="Arial"/>
                <w:color w:val="000000"/>
              </w:rPr>
            </w:pPr>
            <w:r w:rsidRPr="00E97D2C">
              <w:rPr>
                <w:rFonts w:cs="Arial"/>
                <w:color w:val="000000"/>
              </w:rPr>
              <w:t>0D110J6</w:t>
            </w:r>
          </w:p>
        </w:tc>
        <w:tc>
          <w:tcPr>
            <w:tcW w:w="7560" w:type="dxa"/>
            <w:noWrap/>
            <w:vAlign w:val="center"/>
            <w:hideMark/>
          </w:tcPr>
          <w:p w14:paraId="57B00146" w14:textId="77777777" w:rsidR="00595F71" w:rsidRPr="00E97D2C" w:rsidRDefault="00595F71" w:rsidP="00696E8F">
            <w:pPr>
              <w:rPr>
                <w:rFonts w:cs="Arial"/>
                <w:color w:val="000000"/>
              </w:rPr>
            </w:pPr>
            <w:r w:rsidRPr="00E97D2C">
              <w:rPr>
                <w:rFonts w:cs="Arial"/>
                <w:color w:val="000000"/>
              </w:rPr>
              <w:t>Bypass Upper Esophagus to Stomach with Synthetic Substitute, Open Approach</w:t>
            </w:r>
          </w:p>
        </w:tc>
      </w:tr>
      <w:tr w:rsidR="00595F71" w:rsidRPr="00E97D2C" w14:paraId="572C7930" w14:textId="77777777" w:rsidTr="00696E8F">
        <w:trPr>
          <w:trHeight w:val="300"/>
        </w:trPr>
        <w:tc>
          <w:tcPr>
            <w:tcW w:w="1872" w:type="dxa"/>
            <w:noWrap/>
            <w:vAlign w:val="center"/>
            <w:hideMark/>
          </w:tcPr>
          <w:p w14:paraId="7432982C" w14:textId="77777777" w:rsidR="00595F71" w:rsidRPr="00E97D2C" w:rsidRDefault="00595F71" w:rsidP="00696E8F">
            <w:pPr>
              <w:rPr>
                <w:rFonts w:cs="Arial"/>
                <w:color w:val="000000"/>
              </w:rPr>
            </w:pPr>
            <w:r w:rsidRPr="00E97D2C">
              <w:rPr>
                <w:rFonts w:cs="Arial"/>
                <w:color w:val="000000"/>
              </w:rPr>
              <w:t>0D110J9</w:t>
            </w:r>
          </w:p>
        </w:tc>
        <w:tc>
          <w:tcPr>
            <w:tcW w:w="7560" w:type="dxa"/>
            <w:noWrap/>
            <w:vAlign w:val="center"/>
            <w:hideMark/>
          </w:tcPr>
          <w:p w14:paraId="5404CCAA" w14:textId="77777777" w:rsidR="00595F71" w:rsidRPr="00E97D2C" w:rsidRDefault="00595F71" w:rsidP="00696E8F">
            <w:pPr>
              <w:rPr>
                <w:rFonts w:cs="Arial"/>
                <w:color w:val="000000"/>
              </w:rPr>
            </w:pPr>
            <w:r w:rsidRPr="00E97D2C">
              <w:rPr>
                <w:rFonts w:cs="Arial"/>
                <w:color w:val="000000"/>
              </w:rPr>
              <w:t>Bypass Upper Esophagus to Duodenum with Synthetic Substitute, Open Approach</w:t>
            </w:r>
          </w:p>
        </w:tc>
      </w:tr>
      <w:tr w:rsidR="00595F71" w:rsidRPr="00E97D2C" w14:paraId="0E7E0B8C" w14:textId="77777777" w:rsidTr="00696E8F">
        <w:trPr>
          <w:trHeight w:val="300"/>
        </w:trPr>
        <w:tc>
          <w:tcPr>
            <w:tcW w:w="1872" w:type="dxa"/>
            <w:noWrap/>
            <w:vAlign w:val="center"/>
            <w:hideMark/>
          </w:tcPr>
          <w:p w14:paraId="603201B3" w14:textId="77777777" w:rsidR="00595F71" w:rsidRPr="00E97D2C" w:rsidRDefault="00595F71" w:rsidP="00696E8F">
            <w:pPr>
              <w:rPr>
                <w:rFonts w:cs="Arial"/>
                <w:color w:val="000000"/>
              </w:rPr>
            </w:pPr>
            <w:r w:rsidRPr="00E97D2C">
              <w:rPr>
                <w:rFonts w:cs="Arial"/>
                <w:color w:val="000000"/>
              </w:rPr>
              <w:t>0D110JA</w:t>
            </w:r>
          </w:p>
        </w:tc>
        <w:tc>
          <w:tcPr>
            <w:tcW w:w="7560" w:type="dxa"/>
            <w:noWrap/>
            <w:vAlign w:val="center"/>
            <w:hideMark/>
          </w:tcPr>
          <w:p w14:paraId="79781301" w14:textId="77777777" w:rsidR="00595F71" w:rsidRPr="00E97D2C" w:rsidRDefault="00595F71" w:rsidP="00696E8F">
            <w:pPr>
              <w:rPr>
                <w:rFonts w:cs="Arial"/>
                <w:color w:val="000000"/>
              </w:rPr>
            </w:pPr>
            <w:r w:rsidRPr="00E97D2C">
              <w:rPr>
                <w:rFonts w:cs="Arial"/>
                <w:color w:val="000000"/>
              </w:rPr>
              <w:t>Bypass Upper Esophagus to Jejunum with Synthetic Substitute, Open Approach</w:t>
            </w:r>
          </w:p>
        </w:tc>
      </w:tr>
      <w:tr w:rsidR="00595F71" w:rsidRPr="00E97D2C" w14:paraId="3AB351F5" w14:textId="77777777" w:rsidTr="00696E8F">
        <w:trPr>
          <w:trHeight w:val="300"/>
        </w:trPr>
        <w:tc>
          <w:tcPr>
            <w:tcW w:w="1872" w:type="dxa"/>
            <w:noWrap/>
            <w:vAlign w:val="center"/>
            <w:hideMark/>
          </w:tcPr>
          <w:p w14:paraId="148DA8D8" w14:textId="77777777" w:rsidR="00595F71" w:rsidRPr="00E97D2C" w:rsidRDefault="00595F71" w:rsidP="00696E8F">
            <w:pPr>
              <w:rPr>
                <w:rFonts w:cs="Arial"/>
                <w:color w:val="000000"/>
              </w:rPr>
            </w:pPr>
            <w:r w:rsidRPr="00E97D2C">
              <w:rPr>
                <w:rFonts w:cs="Arial"/>
                <w:color w:val="000000"/>
              </w:rPr>
              <w:t>0D110JB</w:t>
            </w:r>
          </w:p>
        </w:tc>
        <w:tc>
          <w:tcPr>
            <w:tcW w:w="7560" w:type="dxa"/>
            <w:noWrap/>
            <w:vAlign w:val="center"/>
            <w:hideMark/>
          </w:tcPr>
          <w:p w14:paraId="199315AD" w14:textId="77777777" w:rsidR="00595F71" w:rsidRPr="00E97D2C" w:rsidRDefault="00595F71" w:rsidP="00696E8F">
            <w:pPr>
              <w:rPr>
                <w:rFonts w:cs="Arial"/>
                <w:color w:val="000000"/>
              </w:rPr>
            </w:pPr>
            <w:r w:rsidRPr="00E97D2C">
              <w:rPr>
                <w:rFonts w:cs="Arial"/>
                <w:color w:val="000000"/>
              </w:rPr>
              <w:t>Bypass Upper Esophagus to Ileum with Synthetic Substitute, Open Approach</w:t>
            </w:r>
          </w:p>
        </w:tc>
      </w:tr>
      <w:tr w:rsidR="00595F71" w:rsidRPr="00E97D2C" w14:paraId="1E4CE73D" w14:textId="77777777" w:rsidTr="00696E8F">
        <w:trPr>
          <w:trHeight w:val="300"/>
        </w:trPr>
        <w:tc>
          <w:tcPr>
            <w:tcW w:w="1872" w:type="dxa"/>
            <w:noWrap/>
            <w:vAlign w:val="center"/>
            <w:hideMark/>
          </w:tcPr>
          <w:p w14:paraId="0C5C021E" w14:textId="77777777" w:rsidR="00595F71" w:rsidRPr="00E97D2C" w:rsidRDefault="00595F71" w:rsidP="00696E8F">
            <w:pPr>
              <w:rPr>
                <w:rFonts w:cs="Arial"/>
                <w:color w:val="000000"/>
              </w:rPr>
            </w:pPr>
            <w:r w:rsidRPr="00E97D2C">
              <w:rPr>
                <w:rFonts w:cs="Arial"/>
                <w:color w:val="000000"/>
              </w:rPr>
              <w:t>0D110K4</w:t>
            </w:r>
          </w:p>
        </w:tc>
        <w:tc>
          <w:tcPr>
            <w:tcW w:w="7560" w:type="dxa"/>
            <w:noWrap/>
            <w:vAlign w:val="center"/>
            <w:hideMark/>
          </w:tcPr>
          <w:p w14:paraId="40C9F1C5" w14:textId="77777777" w:rsidR="00595F71" w:rsidRPr="00E97D2C" w:rsidRDefault="00595F71" w:rsidP="00696E8F">
            <w:pPr>
              <w:rPr>
                <w:rFonts w:cs="Arial"/>
                <w:color w:val="000000"/>
              </w:rPr>
            </w:pPr>
            <w:r w:rsidRPr="00E97D2C">
              <w:rPr>
                <w:rFonts w:cs="Arial"/>
                <w:color w:val="000000"/>
              </w:rPr>
              <w:t>Bypass Upper Esophagus to Cutaneous with Nonautologous Tissue Substitute, Open Approach</w:t>
            </w:r>
          </w:p>
        </w:tc>
      </w:tr>
      <w:tr w:rsidR="00595F71" w:rsidRPr="00E97D2C" w14:paraId="5C857BA4" w14:textId="77777777" w:rsidTr="00696E8F">
        <w:trPr>
          <w:trHeight w:val="300"/>
        </w:trPr>
        <w:tc>
          <w:tcPr>
            <w:tcW w:w="1872" w:type="dxa"/>
            <w:noWrap/>
            <w:vAlign w:val="center"/>
            <w:hideMark/>
          </w:tcPr>
          <w:p w14:paraId="074FCC61" w14:textId="77777777" w:rsidR="00595F71" w:rsidRPr="00E97D2C" w:rsidRDefault="00595F71" w:rsidP="00696E8F">
            <w:pPr>
              <w:rPr>
                <w:rFonts w:cs="Arial"/>
                <w:color w:val="000000"/>
              </w:rPr>
            </w:pPr>
            <w:r w:rsidRPr="00E97D2C">
              <w:rPr>
                <w:rFonts w:cs="Arial"/>
                <w:color w:val="000000"/>
              </w:rPr>
              <w:t>0D110K6</w:t>
            </w:r>
          </w:p>
        </w:tc>
        <w:tc>
          <w:tcPr>
            <w:tcW w:w="7560" w:type="dxa"/>
            <w:noWrap/>
            <w:vAlign w:val="center"/>
            <w:hideMark/>
          </w:tcPr>
          <w:p w14:paraId="1B606814" w14:textId="77777777" w:rsidR="00595F71" w:rsidRPr="00E97D2C" w:rsidRDefault="00595F71" w:rsidP="00696E8F">
            <w:pPr>
              <w:rPr>
                <w:rFonts w:cs="Arial"/>
                <w:color w:val="000000"/>
              </w:rPr>
            </w:pPr>
            <w:r w:rsidRPr="00E97D2C">
              <w:rPr>
                <w:rFonts w:cs="Arial"/>
                <w:color w:val="000000"/>
              </w:rPr>
              <w:t>Bypass Upper Esophagus to Stomach with Nonautologous Tissue Substitute, Open Approach</w:t>
            </w:r>
          </w:p>
        </w:tc>
      </w:tr>
      <w:tr w:rsidR="00595F71" w:rsidRPr="00E97D2C" w14:paraId="26DAD3BF" w14:textId="77777777" w:rsidTr="00696E8F">
        <w:trPr>
          <w:trHeight w:val="300"/>
        </w:trPr>
        <w:tc>
          <w:tcPr>
            <w:tcW w:w="1872" w:type="dxa"/>
            <w:noWrap/>
            <w:vAlign w:val="center"/>
            <w:hideMark/>
          </w:tcPr>
          <w:p w14:paraId="07E51B26" w14:textId="77777777" w:rsidR="00595F71" w:rsidRPr="00E97D2C" w:rsidRDefault="00595F71" w:rsidP="00696E8F">
            <w:pPr>
              <w:rPr>
                <w:rFonts w:cs="Arial"/>
                <w:color w:val="000000"/>
              </w:rPr>
            </w:pPr>
            <w:r w:rsidRPr="00E97D2C">
              <w:rPr>
                <w:rFonts w:cs="Arial"/>
                <w:color w:val="000000"/>
              </w:rPr>
              <w:t>0D110K9</w:t>
            </w:r>
          </w:p>
        </w:tc>
        <w:tc>
          <w:tcPr>
            <w:tcW w:w="7560" w:type="dxa"/>
            <w:noWrap/>
            <w:vAlign w:val="center"/>
            <w:hideMark/>
          </w:tcPr>
          <w:p w14:paraId="7B4F28BD" w14:textId="77777777" w:rsidR="00595F71" w:rsidRPr="00E97D2C" w:rsidRDefault="00595F71" w:rsidP="00696E8F">
            <w:pPr>
              <w:rPr>
                <w:rFonts w:cs="Arial"/>
                <w:color w:val="000000"/>
              </w:rPr>
            </w:pPr>
            <w:r w:rsidRPr="00E97D2C">
              <w:rPr>
                <w:rFonts w:cs="Arial"/>
                <w:color w:val="000000"/>
              </w:rPr>
              <w:t>Bypass Upper Esophagus to Duodenum with Nonautologous Tissue Substitute, Open Approach</w:t>
            </w:r>
          </w:p>
        </w:tc>
      </w:tr>
      <w:tr w:rsidR="00595F71" w:rsidRPr="00E97D2C" w14:paraId="1A4566A8" w14:textId="77777777" w:rsidTr="00696E8F">
        <w:trPr>
          <w:trHeight w:val="300"/>
        </w:trPr>
        <w:tc>
          <w:tcPr>
            <w:tcW w:w="1872" w:type="dxa"/>
            <w:noWrap/>
            <w:vAlign w:val="center"/>
            <w:hideMark/>
          </w:tcPr>
          <w:p w14:paraId="33FA0E3E" w14:textId="77777777" w:rsidR="00595F71" w:rsidRPr="00E97D2C" w:rsidRDefault="00595F71" w:rsidP="00696E8F">
            <w:pPr>
              <w:rPr>
                <w:rFonts w:cs="Arial"/>
                <w:color w:val="000000"/>
              </w:rPr>
            </w:pPr>
            <w:r w:rsidRPr="00E97D2C">
              <w:rPr>
                <w:rFonts w:cs="Arial"/>
                <w:color w:val="000000"/>
              </w:rPr>
              <w:t>0D110KA</w:t>
            </w:r>
          </w:p>
        </w:tc>
        <w:tc>
          <w:tcPr>
            <w:tcW w:w="7560" w:type="dxa"/>
            <w:noWrap/>
            <w:vAlign w:val="center"/>
            <w:hideMark/>
          </w:tcPr>
          <w:p w14:paraId="1B0141C8" w14:textId="77777777" w:rsidR="00595F71" w:rsidRPr="00E97D2C" w:rsidRDefault="00595F71" w:rsidP="00696E8F">
            <w:pPr>
              <w:rPr>
                <w:rFonts w:cs="Arial"/>
                <w:color w:val="000000"/>
              </w:rPr>
            </w:pPr>
            <w:r w:rsidRPr="00E97D2C">
              <w:rPr>
                <w:rFonts w:cs="Arial"/>
                <w:color w:val="000000"/>
              </w:rPr>
              <w:t>Bypass Upper Esophagus to Jejunum with Nonautologous Tissue Substitute, Open Approach</w:t>
            </w:r>
          </w:p>
        </w:tc>
      </w:tr>
      <w:tr w:rsidR="00595F71" w:rsidRPr="00E97D2C" w14:paraId="6D23A93A" w14:textId="77777777" w:rsidTr="00696E8F">
        <w:trPr>
          <w:trHeight w:val="300"/>
        </w:trPr>
        <w:tc>
          <w:tcPr>
            <w:tcW w:w="1872" w:type="dxa"/>
            <w:noWrap/>
            <w:vAlign w:val="center"/>
            <w:hideMark/>
          </w:tcPr>
          <w:p w14:paraId="737FFC11" w14:textId="77777777" w:rsidR="00595F71" w:rsidRPr="00E97D2C" w:rsidRDefault="00595F71" w:rsidP="00696E8F">
            <w:pPr>
              <w:rPr>
                <w:rFonts w:cs="Arial"/>
                <w:color w:val="000000"/>
              </w:rPr>
            </w:pPr>
            <w:r w:rsidRPr="00E97D2C">
              <w:rPr>
                <w:rFonts w:cs="Arial"/>
                <w:color w:val="000000"/>
              </w:rPr>
              <w:t>0D110KB</w:t>
            </w:r>
          </w:p>
        </w:tc>
        <w:tc>
          <w:tcPr>
            <w:tcW w:w="7560" w:type="dxa"/>
            <w:noWrap/>
            <w:vAlign w:val="center"/>
            <w:hideMark/>
          </w:tcPr>
          <w:p w14:paraId="0FF60B7E" w14:textId="77777777" w:rsidR="00595F71" w:rsidRPr="00E97D2C" w:rsidRDefault="00595F71" w:rsidP="00696E8F">
            <w:pPr>
              <w:rPr>
                <w:rFonts w:cs="Arial"/>
                <w:color w:val="000000"/>
              </w:rPr>
            </w:pPr>
            <w:r w:rsidRPr="00E97D2C">
              <w:rPr>
                <w:rFonts w:cs="Arial"/>
                <w:color w:val="000000"/>
              </w:rPr>
              <w:t>Bypass Upper Esophagus to Ileum with Nonautologous Tissue Substitute, Open Approach</w:t>
            </w:r>
          </w:p>
        </w:tc>
      </w:tr>
      <w:tr w:rsidR="00595F71" w:rsidRPr="00E97D2C" w14:paraId="0FEE995F" w14:textId="77777777" w:rsidTr="00696E8F">
        <w:trPr>
          <w:trHeight w:val="300"/>
        </w:trPr>
        <w:tc>
          <w:tcPr>
            <w:tcW w:w="1872" w:type="dxa"/>
            <w:noWrap/>
            <w:vAlign w:val="center"/>
            <w:hideMark/>
          </w:tcPr>
          <w:p w14:paraId="0C2008B7" w14:textId="77777777" w:rsidR="00595F71" w:rsidRPr="00E97D2C" w:rsidRDefault="00595F71" w:rsidP="00696E8F">
            <w:pPr>
              <w:rPr>
                <w:rFonts w:cs="Arial"/>
                <w:color w:val="000000"/>
              </w:rPr>
            </w:pPr>
            <w:r w:rsidRPr="00E97D2C">
              <w:rPr>
                <w:rFonts w:cs="Arial"/>
                <w:color w:val="000000"/>
              </w:rPr>
              <w:t>0D110Z4</w:t>
            </w:r>
          </w:p>
        </w:tc>
        <w:tc>
          <w:tcPr>
            <w:tcW w:w="7560" w:type="dxa"/>
            <w:noWrap/>
            <w:vAlign w:val="center"/>
            <w:hideMark/>
          </w:tcPr>
          <w:p w14:paraId="43FB04A9" w14:textId="77777777" w:rsidR="00595F71" w:rsidRPr="00E97D2C" w:rsidRDefault="00595F71" w:rsidP="00696E8F">
            <w:pPr>
              <w:rPr>
                <w:rFonts w:cs="Arial"/>
                <w:color w:val="000000"/>
              </w:rPr>
            </w:pPr>
            <w:r w:rsidRPr="00E97D2C">
              <w:rPr>
                <w:rFonts w:cs="Arial"/>
                <w:color w:val="000000"/>
              </w:rPr>
              <w:t>Bypass Upper Esophagus to Cutaneous, Open Approach</w:t>
            </w:r>
          </w:p>
        </w:tc>
      </w:tr>
      <w:tr w:rsidR="00595F71" w:rsidRPr="00E97D2C" w14:paraId="6DF45C7B" w14:textId="77777777" w:rsidTr="00696E8F">
        <w:trPr>
          <w:trHeight w:val="300"/>
        </w:trPr>
        <w:tc>
          <w:tcPr>
            <w:tcW w:w="1872" w:type="dxa"/>
            <w:noWrap/>
            <w:vAlign w:val="center"/>
            <w:hideMark/>
          </w:tcPr>
          <w:p w14:paraId="4F7E7A0C" w14:textId="77777777" w:rsidR="00595F71" w:rsidRPr="00E97D2C" w:rsidRDefault="00595F71" w:rsidP="00696E8F">
            <w:pPr>
              <w:rPr>
                <w:rFonts w:cs="Arial"/>
                <w:color w:val="000000"/>
              </w:rPr>
            </w:pPr>
            <w:r w:rsidRPr="00E97D2C">
              <w:rPr>
                <w:rFonts w:cs="Arial"/>
                <w:color w:val="000000"/>
              </w:rPr>
              <w:t>0D110Z6</w:t>
            </w:r>
          </w:p>
        </w:tc>
        <w:tc>
          <w:tcPr>
            <w:tcW w:w="7560" w:type="dxa"/>
            <w:noWrap/>
            <w:vAlign w:val="center"/>
            <w:hideMark/>
          </w:tcPr>
          <w:p w14:paraId="421D0277" w14:textId="77777777" w:rsidR="00595F71" w:rsidRPr="00E97D2C" w:rsidRDefault="00595F71" w:rsidP="00696E8F">
            <w:pPr>
              <w:rPr>
                <w:rFonts w:cs="Arial"/>
                <w:color w:val="000000"/>
              </w:rPr>
            </w:pPr>
            <w:r w:rsidRPr="00E97D2C">
              <w:rPr>
                <w:rFonts w:cs="Arial"/>
                <w:color w:val="000000"/>
              </w:rPr>
              <w:t>Bypass Upper Esophagus to Stomach, Open Approach</w:t>
            </w:r>
          </w:p>
        </w:tc>
      </w:tr>
      <w:tr w:rsidR="00595F71" w:rsidRPr="00E97D2C" w14:paraId="35D076A1" w14:textId="77777777" w:rsidTr="00696E8F">
        <w:trPr>
          <w:trHeight w:val="300"/>
        </w:trPr>
        <w:tc>
          <w:tcPr>
            <w:tcW w:w="1872" w:type="dxa"/>
            <w:noWrap/>
            <w:vAlign w:val="center"/>
            <w:hideMark/>
          </w:tcPr>
          <w:p w14:paraId="528CBEF0" w14:textId="77777777" w:rsidR="00595F71" w:rsidRPr="00E97D2C" w:rsidRDefault="00595F71" w:rsidP="00696E8F">
            <w:pPr>
              <w:rPr>
                <w:rFonts w:cs="Arial"/>
                <w:color w:val="000000"/>
              </w:rPr>
            </w:pPr>
            <w:r w:rsidRPr="00E97D2C">
              <w:rPr>
                <w:rFonts w:cs="Arial"/>
                <w:color w:val="000000"/>
              </w:rPr>
              <w:t>0D110Z9</w:t>
            </w:r>
          </w:p>
        </w:tc>
        <w:tc>
          <w:tcPr>
            <w:tcW w:w="7560" w:type="dxa"/>
            <w:noWrap/>
            <w:vAlign w:val="center"/>
            <w:hideMark/>
          </w:tcPr>
          <w:p w14:paraId="7C85D886" w14:textId="77777777" w:rsidR="00595F71" w:rsidRPr="00E97D2C" w:rsidRDefault="00595F71" w:rsidP="00696E8F">
            <w:pPr>
              <w:rPr>
                <w:rFonts w:cs="Arial"/>
                <w:color w:val="000000"/>
              </w:rPr>
            </w:pPr>
            <w:r w:rsidRPr="00E97D2C">
              <w:rPr>
                <w:rFonts w:cs="Arial"/>
                <w:color w:val="000000"/>
              </w:rPr>
              <w:t>Bypass Upper Esophagus to Duodenum, Open Approach</w:t>
            </w:r>
          </w:p>
        </w:tc>
      </w:tr>
      <w:tr w:rsidR="00595F71" w:rsidRPr="00E97D2C" w14:paraId="109A5394" w14:textId="77777777" w:rsidTr="00696E8F">
        <w:trPr>
          <w:trHeight w:val="300"/>
        </w:trPr>
        <w:tc>
          <w:tcPr>
            <w:tcW w:w="1872" w:type="dxa"/>
            <w:noWrap/>
            <w:vAlign w:val="center"/>
            <w:hideMark/>
          </w:tcPr>
          <w:p w14:paraId="1963D256" w14:textId="77777777" w:rsidR="00595F71" w:rsidRPr="00E97D2C" w:rsidRDefault="00595F71" w:rsidP="00696E8F">
            <w:pPr>
              <w:rPr>
                <w:rFonts w:cs="Arial"/>
                <w:color w:val="000000"/>
              </w:rPr>
            </w:pPr>
            <w:r w:rsidRPr="00E97D2C">
              <w:rPr>
                <w:rFonts w:cs="Arial"/>
                <w:color w:val="000000"/>
              </w:rPr>
              <w:t>0D110ZA</w:t>
            </w:r>
          </w:p>
        </w:tc>
        <w:tc>
          <w:tcPr>
            <w:tcW w:w="7560" w:type="dxa"/>
            <w:noWrap/>
            <w:vAlign w:val="center"/>
            <w:hideMark/>
          </w:tcPr>
          <w:p w14:paraId="2588EA89" w14:textId="77777777" w:rsidR="00595F71" w:rsidRPr="00E97D2C" w:rsidRDefault="00595F71" w:rsidP="00696E8F">
            <w:pPr>
              <w:rPr>
                <w:rFonts w:cs="Arial"/>
                <w:color w:val="000000"/>
              </w:rPr>
            </w:pPr>
            <w:r w:rsidRPr="00E97D2C">
              <w:rPr>
                <w:rFonts w:cs="Arial"/>
                <w:color w:val="000000"/>
              </w:rPr>
              <w:t>Bypass Upper Esophagus to Jejunum, Open Approach</w:t>
            </w:r>
          </w:p>
        </w:tc>
      </w:tr>
      <w:tr w:rsidR="00595F71" w:rsidRPr="00E97D2C" w14:paraId="6ECC0241" w14:textId="77777777" w:rsidTr="00696E8F">
        <w:trPr>
          <w:trHeight w:val="300"/>
        </w:trPr>
        <w:tc>
          <w:tcPr>
            <w:tcW w:w="1872" w:type="dxa"/>
            <w:noWrap/>
            <w:vAlign w:val="center"/>
            <w:hideMark/>
          </w:tcPr>
          <w:p w14:paraId="0B850506" w14:textId="77777777" w:rsidR="00595F71" w:rsidRPr="00E97D2C" w:rsidRDefault="00595F71" w:rsidP="00696E8F">
            <w:pPr>
              <w:rPr>
                <w:rFonts w:cs="Arial"/>
                <w:color w:val="000000"/>
              </w:rPr>
            </w:pPr>
            <w:r w:rsidRPr="00E97D2C">
              <w:rPr>
                <w:rFonts w:cs="Arial"/>
                <w:color w:val="000000"/>
              </w:rPr>
              <w:t>0D110ZB</w:t>
            </w:r>
          </w:p>
        </w:tc>
        <w:tc>
          <w:tcPr>
            <w:tcW w:w="7560" w:type="dxa"/>
            <w:noWrap/>
            <w:vAlign w:val="center"/>
            <w:hideMark/>
          </w:tcPr>
          <w:p w14:paraId="091E69C3" w14:textId="77777777" w:rsidR="00595F71" w:rsidRPr="00E97D2C" w:rsidRDefault="00595F71" w:rsidP="00696E8F">
            <w:pPr>
              <w:rPr>
                <w:rFonts w:cs="Arial"/>
                <w:color w:val="000000"/>
              </w:rPr>
            </w:pPr>
            <w:r w:rsidRPr="00E97D2C">
              <w:rPr>
                <w:rFonts w:cs="Arial"/>
                <w:color w:val="000000"/>
              </w:rPr>
              <w:t>Bypass Upper Esophagus to Ileum, Open Approach</w:t>
            </w:r>
          </w:p>
        </w:tc>
      </w:tr>
      <w:tr w:rsidR="00595F71" w:rsidRPr="00E97D2C" w14:paraId="688BC14B" w14:textId="77777777" w:rsidTr="00696E8F">
        <w:trPr>
          <w:trHeight w:val="300"/>
        </w:trPr>
        <w:tc>
          <w:tcPr>
            <w:tcW w:w="1872" w:type="dxa"/>
            <w:noWrap/>
            <w:vAlign w:val="center"/>
            <w:hideMark/>
          </w:tcPr>
          <w:p w14:paraId="237F5C18" w14:textId="77777777" w:rsidR="00595F71" w:rsidRPr="00E97D2C" w:rsidRDefault="00595F71" w:rsidP="00696E8F">
            <w:pPr>
              <w:rPr>
                <w:rFonts w:cs="Arial"/>
                <w:color w:val="000000"/>
              </w:rPr>
            </w:pPr>
            <w:r w:rsidRPr="00E97D2C">
              <w:rPr>
                <w:rFonts w:cs="Arial"/>
                <w:color w:val="000000"/>
              </w:rPr>
              <w:t>0D113J4</w:t>
            </w:r>
          </w:p>
        </w:tc>
        <w:tc>
          <w:tcPr>
            <w:tcW w:w="7560" w:type="dxa"/>
            <w:noWrap/>
            <w:vAlign w:val="center"/>
            <w:hideMark/>
          </w:tcPr>
          <w:p w14:paraId="67FCCE85" w14:textId="77777777" w:rsidR="00595F71" w:rsidRPr="00E97D2C" w:rsidRDefault="00595F71" w:rsidP="00696E8F">
            <w:pPr>
              <w:rPr>
                <w:rFonts w:cs="Arial"/>
                <w:color w:val="000000"/>
              </w:rPr>
            </w:pPr>
            <w:r w:rsidRPr="00E97D2C">
              <w:rPr>
                <w:rFonts w:cs="Arial"/>
                <w:color w:val="000000"/>
              </w:rPr>
              <w:t>Bypass Upper Esophagus to Cutaneous with Synthetic Substitute, Percutaneous Approach</w:t>
            </w:r>
          </w:p>
        </w:tc>
      </w:tr>
      <w:tr w:rsidR="00595F71" w:rsidRPr="00E97D2C" w14:paraId="3A3D817B" w14:textId="77777777" w:rsidTr="00696E8F">
        <w:trPr>
          <w:trHeight w:val="300"/>
        </w:trPr>
        <w:tc>
          <w:tcPr>
            <w:tcW w:w="1872" w:type="dxa"/>
            <w:noWrap/>
            <w:vAlign w:val="center"/>
            <w:hideMark/>
          </w:tcPr>
          <w:p w14:paraId="5483598C" w14:textId="77777777" w:rsidR="00595F71" w:rsidRPr="00E97D2C" w:rsidRDefault="00595F71" w:rsidP="00696E8F">
            <w:pPr>
              <w:rPr>
                <w:rFonts w:cs="Arial"/>
                <w:color w:val="000000"/>
              </w:rPr>
            </w:pPr>
            <w:r w:rsidRPr="00E97D2C">
              <w:rPr>
                <w:rFonts w:cs="Arial"/>
                <w:color w:val="000000"/>
              </w:rPr>
              <w:t>0D11474</w:t>
            </w:r>
          </w:p>
        </w:tc>
        <w:tc>
          <w:tcPr>
            <w:tcW w:w="7560" w:type="dxa"/>
            <w:noWrap/>
            <w:vAlign w:val="center"/>
            <w:hideMark/>
          </w:tcPr>
          <w:p w14:paraId="4E0F4100" w14:textId="77777777" w:rsidR="00595F71" w:rsidRPr="00E97D2C" w:rsidRDefault="00595F71" w:rsidP="00696E8F">
            <w:pPr>
              <w:rPr>
                <w:rFonts w:cs="Arial"/>
                <w:color w:val="000000"/>
              </w:rPr>
            </w:pPr>
            <w:r w:rsidRPr="00E97D2C">
              <w:rPr>
                <w:rFonts w:cs="Arial"/>
                <w:color w:val="000000"/>
              </w:rPr>
              <w:t>Bypass Upper Esophagus to Cutaneous with Autologous Tissue Substitute, Percutaneous Endoscopic Approach</w:t>
            </w:r>
          </w:p>
        </w:tc>
      </w:tr>
      <w:tr w:rsidR="00595F71" w:rsidRPr="00E97D2C" w14:paraId="59C20297" w14:textId="77777777" w:rsidTr="00696E8F">
        <w:trPr>
          <w:trHeight w:val="300"/>
        </w:trPr>
        <w:tc>
          <w:tcPr>
            <w:tcW w:w="1872" w:type="dxa"/>
            <w:noWrap/>
            <w:vAlign w:val="center"/>
            <w:hideMark/>
          </w:tcPr>
          <w:p w14:paraId="649D1569" w14:textId="77777777" w:rsidR="00595F71" w:rsidRPr="00E97D2C" w:rsidRDefault="00595F71" w:rsidP="00696E8F">
            <w:pPr>
              <w:rPr>
                <w:rFonts w:cs="Arial"/>
                <w:color w:val="000000"/>
              </w:rPr>
            </w:pPr>
            <w:r w:rsidRPr="00E97D2C">
              <w:rPr>
                <w:rFonts w:cs="Arial"/>
                <w:color w:val="000000"/>
              </w:rPr>
              <w:t>0D11476</w:t>
            </w:r>
          </w:p>
        </w:tc>
        <w:tc>
          <w:tcPr>
            <w:tcW w:w="7560" w:type="dxa"/>
            <w:noWrap/>
            <w:vAlign w:val="center"/>
            <w:hideMark/>
          </w:tcPr>
          <w:p w14:paraId="794B5327" w14:textId="77777777" w:rsidR="00595F71" w:rsidRPr="00E97D2C" w:rsidRDefault="00595F71" w:rsidP="00696E8F">
            <w:pPr>
              <w:rPr>
                <w:rFonts w:cs="Arial"/>
                <w:color w:val="000000"/>
              </w:rPr>
            </w:pPr>
            <w:r w:rsidRPr="00E97D2C">
              <w:rPr>
                <w:rFonts w:cs="Arial"/>
                <w:color w:val="000000"/>
              </w:rPr>
              <w:t>Bypass Upper Esophagus to Stomach with Autologous Tissue Substitute, Percutaneous Endoscopic Approach</w:t>
            </w:r>
          </w:p>
        </w:tc>
      </w:tr>
      <w:tr w:rsidR="00595F71" w:rsidRPr="00E97D2C" w14:paraId="0024BCF6" w14:textId="77777777" w:rsidTr="00696E8F">
        <w:trPr>
          <w:trHeight w:val="300"/>
        </w:trPr>
        <w:tc>
          <w:tcPr>
            <w:tcW w:w="1872" w:type="dxa"/>
            <w:noWrap/>
            <w:vAlign w:val="center"/>
            <w:hideMark/>
          </w:tcPr>
          <w:p w14:paraId="02EA4BC7" w14:textId="77777777" w:rsidR="00595F71" w:rsidRPr="00E97D2C" w:rsidRDefault="00595F71" w:rsidP="00696E8F">
            <w:pPr>
              <w:rPr>
                <w:rFonts w:cs="Arial"/>
                <w:color w:val="000000"/>
              </w:rPr>
            </w:pPr>
            <w:r w:rsidRPr="00E97D2C">
              <w:rPr>
                <w:rFonts w:cs="Arial"/>
                <w:color w:val="000000"/>
              </w:rPr>
              <w:t>0D11479</w:t>
            </w:r>
          </w:p>
        </w:tc>
        <w:tc>
          <w:tcPr>
            <w:tcW w:w="7560" w:type="dxa"/>
            <w:noWrap/>
            <w:vAlign w:val="center"/>
            <w:hideMark/>
          </w:tcPr>
          <w:p w14:paraId="7169BA80" w14:textId="77777777" w:rsidR="00595F71" w:rsidRPr="00E97D2C" w:rsidRDefault="00595F71" w:rsidP="00696E8F">
            <w:pPr>
              <w:rPr>
                <w:rFonts w:cs="Arial"/>
                <w:color w:val="000000"/>
              </w:rPr>
            </w:pPr>
            <w:r w:rsidRPr="00E97D2C">
              <w:rPr>
                <w:rFonts w:cs="Arial"/>
                <w:color w:val="000000"/>
              </w:rPr>
              <w:t>Bypass Upper Esophagus to Duodenum with Autologous Tissue Substitute, Percutaneous Endoscopic Approach</w:t>
            </w:r>
          </w:p>
        </w:tc>
      </w:tr>
      <w:tr w:rsidR="00595F71" w:rsidRPr="00E97D2C" w14:paraId="6B56FFCC" w14:textId="77777777" w:rsidTr="00696E8F">
        <w:trPr>
          <w:trHeight w:val="300"/>
        </w:trPr>
        <w:tc>
          <w:tcPr>
            <w:tcW w:w="1872" w:type="dxa"/>
            <w:noWrap/>
            <w:vAlign w:val="center"/>
            <w:hideMark/>
          </w:tcPr>
          <w:p w14:paraId="1C71E889" w14:textId="77777777" w:rsidR="00595F71" w:rsidRPr="00E97D2C" w:rsidRDefault="00595F71" w:rsidP="00696E8F">
            <w:pPr>
              <w:rPr>
                <w:rFonts w:cs="Arial"/>
                <w:color w:val="000000"/>
              </w:rPr>
            </w:pPr>
            <w:r w:rsidRPr="00E97D2C">
              <w:rPr>
                <w:rFonts w:cs="Arial"/>
                <w:color w:val="000000"/>
              </w:rPr>
              <w:t>0D1147A</w:t>
            </w:r>
          </w:p>
        </w:tc>
        <w:tc>
          <w:tcPr>
            <w:tcW w:w="7560" w:type="dxa"/>
            <w:noWrap/>
            <w:vAlign w:val="center"/>
            <w:hideMark/>
          </w:tcPr>
          <w:p w14:paraId="58F287F7" w14:textId="77777777" w:rsidR="00595F71" w:rsidRPr="00E97D2C" w:rsidRDefault="00595F71" w:rsidP="00696E8F">
            <w:pPr>
              <w:rPr>
                <w:rFonts w:cs="Arial"/>
                <w:color w:val="000000"/>
              </w:rPr>
            </w:pPr>
            <w:r w:rsidRPr="00E97D2C">
              <w:rPr>
                <w:rFonts w:cs="Arial"/>
                <w:color w:val="000000"/>
              </w:rPr>
              <w:t>Bypass Upper Esophagus to Jejunum with Autologous Tissue Substitute, Percutaneous Endoscopic Approach</w:t>
            </w:r>
          </w:p>
        </w:tc>
      </w:tr>
      <w:tr w:rsidR="00595F71" w:rsidRPr="00E97D2C" w14:paraId="5B50F54F" w14:textId="77777777" w:rsidTr="00696E8F">
        <w:trPr>
          <w:trHeight w:val="300"/>
        </w:trPr>
        <w:tc>
          <w:tcPr>
            <w:tcW w:w="1872" w:type="dxa"/>
            <w:noWrap/>
            <w:vAlign w:val="center"/>
            <w:hideMark/>
          </w:tcPr>
          <w:p w14:paraId="03A012A0" w14:textId="77777777" w:rsidR="00595F71" w:rsidRPr="00E97D2C" w:rsidRDefault="00595F71" w:rsidP="00696E8F">
            <w:pPr>
              <w:rPr>
                <w:rFonts w:cs="Arial"/>
                <w:color w:val="000000"/>
              </w:rPr>
            </w:pPr>
            <w:r w:rsidRPr="00E97D2C">
              <w:rPr>
                <w:rFonts w:cs="Arial"/>
                <w:color w:val="000000"/>
              </w:rPr>
              <w:lastRenderedPageBreak/>
              <w:t>0D1147B</w:t>
            </w:r>
          </w:p>
        </w:tc>
        <w:tc>
          <w:tcPr>
            <w:tcW w:w="7560" w:type="dxa"/>
            <w:noWrap/>
            <w:vAlign w:val="center"/>
            <w:hideMark/>
          </w:tcPr>
          <w:p w14:paraId="2EF72B9D" w14:textId="77777777" w:rsidR="00595F71" w:rsidRPr="00E97D2C" w:rsidRDefault="00595F71" w:rsidP="00696E8F">
            <w:pPr>
              <w:rPr>
                <w:rFonts w:cs="Arial"/>
                <w:color w:val="000000"/>
              </w:rPr>
            </w:pPr>
            <w:r w:rsidRPr="00E97D2C">
              <w:rPr>
                <w:rFonts w:cs="Arial"/>
                <w:color w:val="000000"/>
              </w:rPr>
              <w:t>Bypass Upper Esophagus to Ileum with Autologous Tissue Substitute, Percutaneous Endoscopic Approach</w:t>
            </w:r>
          </w:p>
        </w:tc>
      </w:tr>
      <w:tr w:rsidR="00595F71" w:rsidRPr="00E97D2C" w14:paraId="7B410E62" w14:textId="77777777" w:rsidTr="00696E8F">
        <w:trPr>
          <w:trHeight w:val="300"/>
        </w:trPr>
        <w:tc>
          <w:tcPr>
            <w:tcW w:w="1872" w:type="dxa"/>
            <w:noWrap/>
            <w:vAlign w:val="center"/>
            <w:hideMark/>
          </w:tcPr>
          <w:p w14:paraId="4BDFB848" w14:textId="77777777" w:rsidR="00595F71" w:rsidRPr="00E97D2C" w:rsidRDefault="00595F71" w:rsidP="00696E8F">
            <w:pPr>
              <w:rPr>
                <w:rFonts w:cs="Arial"/>
                <w:color w:val="000000"/>
              </w:rPr>
            </w:pPr>
            <w:r w:rsidRPr="00E97D2C">
              <w:rPr>
                <w:rFonts w:cs="Arial"/>
                <w:color w:val="000000"/>
              </w:rPr>
              <w:t>0D114J4</w:t>
            </w:r>
          </w:p>
        </w:tc>
        <w:tc>
          <w:tcPr>
            <w:tcW w:w="7560" w:type="dxa"/>
            <w:noWrap/>
            <w:vAlign w:val="center"/>
            <w:hideMark/>
          </w:tcPr>
          <w:p w14:paraId="60AD812A" w14:textId="77777777" w:rsidR="00595F71" w:rsidRPr="00E97D2C" w:rsidRDefault="00595F71" w:rsidP="00696E8F">
            <w:pPr>
              <w:rPr>
                <w:rFonts w:cs="Arial"/>
                <w:color w:val="000000"/>
              </w:rPr>
            </w:pPr>
            <w:r w:rsidRPr="00E97D2C">
              <w:rPr>
                <w:rFonts w:cs="Arial"/>
                <w:color w:val="000000"/>
              </w:rPr>
              <w:t>Bypass Upper Esophagus to Cutaneous with Synthetic Substitute, Percutaneous Endoscopic Approach</w:t>
            </w:r>
          </w:p>
        </w:tc>
      </w:tr>
      <w:tr w:rsidR="00595F71" w:rsidRPr="00E97D2C" w14:paraId="0B99EF16" w14:textId="77777777" w:rsidTr="00696E8F">
        <w:trPr>
          <w:trHeight w:val="300"/>
        </w:trPr>
        <w:tc>
          <w:tcPr>
            <w:tcW w:w="1872" w:type="dxa"/>
            <w:noWrap/>
            <w:vAlign w:val="center"/>
            <w:hideMark/>
          </w:tcPr>
          <w:p w14:paraId="09D1B58C" w14:textId="77777777" w:rsidR="00595F71" w:rsidRPr="00E97D2C" w:rsidRDefault="00595F71" w:rsidP="00696E8F">
            <w:pPr>
              <w:rPr>
                <w:rFonts w:cs="Arial"/>
                <w:color w:val="000000"/>
              </w:rPr>
            </w:pPr>
            <w:r w:rsidRPr="00E97D2C">
              <w:rPr>
                <w:rFonts w:cs="Arial"/>
                <w:color w:val="000000"/>
              </w:rPr>
              <w:t>0D114J6</w:t>
            </w:r>
          </w:p>
        </w:tc>
        <w:tc>
          <w:tcPr>
            <w:tcW w:w="7560" w:type="dxa"/>
            <w:noWrap/>
            <w:vAlign w:val="center"/>
            <w:hideMark/>
          </w:tcPr>
          <w:p w14:paraId="4D2E7DB9" w14:textId="77777777" w:rsidR="00595F71" w:rsidRPr="00E97D2C" w:rsidRDefault="00595F71" w:rsidP="00696E8F">
            <w:pPr>
              <w:rPr>
                <w:rFonts w:cs="Arial"/>
                <w:color w:val="000000"/>
              </w:rPr>
            </w:pPr>
            <w:r w:rsidRPr="00E97D2C">
              <w:rPr>
                <w:rFonts w:cs="Arial"/>
                <w:color w:val="000000"/>
              </w:rPr>
              <w:t>Bypass Upper Esophagus to Stomach with Synthetic Substitute, Percutaneous Endoscopic Approach</w:t>
            </w:r>
          </w:p>
        </w:tc>
      </w:tr>
      <w:tr w:rsidR="00595F71" w:rsidRPr="00E97D2C" w14:paraId="706A54C1" w14:textId="77777777" w:rsidTr="00696E8F">
        <w:trPr>
          <w:trHeight w:val="300"/>
        </w:trPr>
        <w:tc>
          <w:tcPr>
            <w:tcW w:w="1872" w:type="dxa"/>
            <w:noWrap/>
            <w:vAlign w:val="center"/>
            <w:hideMark/>
          </w:tcPr>
          <w:p w14:paraId="2B75E068" w14:textId="77777777" w:rsidR="00595F71" w:rsidRPr="00E97D2C" w:rsidRDefault="00595F71" w:rsidP="00696E8F">
            <w:pPr>
              <w:rPr>
                <w:rFonts w:cs="Arial"/>
                <w:color w:val="000000"/>
              </w:rPr>
            </w:pPr>
            <w:r w:rsidRPr="00E97D2C">
              <w:rPr>
                <w:rFonts w:cs="Arial"/>
                <w:color w:val="000000"/>
              </w:rPr>
              <w:t>0D114J9</w:t>
            </w:r>
          </w:p>
        </w:tc>
        <w:tc>
          <w:tcPr>
            <w:tcW w:w="7560" w:type="dxa"/>
            <w:noWrap/>
            <w:vAlign w:val="center"/>
            <w:hideMark/>
          </w:tcPr>
          <w:p w14:paraId="642EBF36" w14:textId="77777777" w:rsidR="00595F71" w:rsidRPr="00E97D2C" w:rsidRDefault="00595F71" w:rsidP="00696E8F">
            <w:pPr>
              <w:rPr>
                <w:rFonts w:cs="Arial"/>
                <w:color w:val="000000"/>
              </w:rPr>
            </w:pPr>
            <w:r w:rsidRPr="00E97D2C">
              <w:rPr>
                <w:rFonts w:cs="Arial"/>
                <w:color w:val="000000"/>
              </w:rPr>
              <w:t>Bypass Upper Esophagus to Duodenum with Synthetic Substitute, Percutaneous Endoscopic Approach</w:t>
            </w:r>
          </w:p>
        </w:tc>
      </w:tr>
      <w:tr w:rsidR="00595F71" w:rsidRPr="00E97D2C" w14:paraId="3FE24A70" w14:textId="77777777" w:rsidTr="00696E8F">
        <w:trPr>
          <w:trHeight w:val="300"/>
        </w:trPr>
        <w:tc>
          <w:tcPr>
            <w:tcW w:w="1872" w:type="dxa"/>
            <w:noWrap/>
            <w:vAlign w:val="center"/>
            <w:hideMark/>
          </w:tcPr>
          <w:p w14:paraId="3A425DA9" w14:textId="77777777" w:rsidR="00595F71" w:rsidRPr="00E97D2C" w:rsidRDefault="00595F71" w:rsidP="00696E8F">
            <w:pPr>
              <w:rPr>
                <w:rFonts w:cs="Arial"/>
                <w:color w:val="000000"/>
              </w:rPr>
            </w:pPr>
            <w:r w:rsidRPr="00E97D2C">
              <w:rPr>
                <w:rFonts w:cs="Arial"/>
                <w:color w:val="000000"/>
              </w:rPr>
              <w:t>0D114JA</w:t>
            </w:r>
          </w:p>
        </w:tc>
        <w:tc>
          <w:tcPr>
            <w:tcW w:w="7560" w:type="dxa"/>
            <w:noWrap/>
            <w:vAlign w:val="center"/>
            <w:hideMark/>
          </w:tcPr>
          <w:p w14:paraId="1F0FE574" w14:textId="77777777" w:rsidR="00595F71" w:rsidRPr="00E97D2C" w:rsidRDefault="00595F71" w:rsidP="00696E8F">
            <w:pPr>
              <w:rPr>
                <w:rFonts w:cs="Arial"/>
                <w:color w:val="000000"/>
              </w:rPr>
            </w:pPr>
            <w:r w:rsidRPr="00E97D2C">
              <w:rPr>
                <w:rFonts w:cs="Arial"/>
                <w:color w:val="000000"/>
              </w:rPr>
              <w:t>Bypass Upper Esophagus to Jejunum with Synthetic Substitute, Percutaneous Endoscopic Approach</w:t>
            </w:r>
          </w:p>
        </w:tc>
      </w:tr>
      <w:tr w:rsidR="00595F71" w:rsidRPr="00E97D2C" w14:paraId="21320708" w14:textId="77777777" w:rsidTr="00696E8F">
        <w:trPr>
          <w:trHeight w:val="300"/>
        </w:trPr>
        <w:tc>
          <w:tcPr>
            <w:tcW w:w="1872" w:type="dxa"/>
            <w:noWrap/>
            <w:vAlign w:val="center"/>
            <w:hideMark/>
          </w:tcPr>
          <w:p w14:paraId="674E8679" w14:textId="77777777" w:rsidR="00595F71" w:rsidRPr="00E97D2C" w:rsidRDefault="00595F71" w:rsidP="00696E8F">
            <w:pPr>
              <w:rPr>
                <w:rFonts w:cs="Arial"/>
                <w:color w:val="000000"/>
              </w:rPr>
            </w:pPr>
            <w:r w:rsidRPr="00E97D2C">
              <w:rPr>
                <w:rFonts w:cs="Arial"/>
                <w:color w:val="000000"/>
              </w:rPr>
              <w:t>0D114JB</w:t>
            </w:r>
          </w:p>
        </w:tc>
        <w:tc>
          <w:tcPr>
            <w:tcW w:w="7560" w:type="dxa"/>
            <w:noWrap/>
            <w:vAlign w:val="center"/>
            <w:hideMark/>
          </w:tcPr>
          <w:p w14:paraId="4A89BD5A" w14:textId="77777777" w:rsidR="00595F71" w:rsidRPr="00E97D2C" w:rsidRDefault="00595F71" w:rsidP="00696E8F">
            <w:pPr>
              <w:rPr>
                <w:rFonts w:cs="Arial"/>
                <w:color w:val="000000"/>
              </w:rPr>
            </w:pPr>
            <w:r w:rsidRPr="00E97D2C">
              <w:rPr>
                <w:rFonts w:cs="Arial"/>
                <w:color w:val="000000"/>
              </w:rPr>
              <w:t>Bypass Upper Esophagus to Ileum with Synthetic Substitute, Percutaneous Endoscopic Approach</w:t>
            </w:r>
          </w:p>
        </w:tc>
      </w:tr>
      <w:tr w:rsidR="00595F71" w:rsidRPr="00E97D2C" w14:paraId="5F84958D" w14:textId="77777777" w:rsidTr="00696E8F">
        <w:trPr>
          <w:trHeight w:val="300"/>
        </w:trPr>
        <w:tc>
          <w:tcPr>
            <w:tcW w:w="1872" w:type="dxa"/>
            <w:noWrap/>
            <w:vAlign w:val="center"/>
            <w:hideMark/>
          </w:tcPr>
          <w:p w14:paraId="17446F83" w14:textId="77777777" w:rsidR="00595F71" w:rsidRPr="00E97D2C" w:rsidRDefault="00595F71" w:rsidP="00696E8F">
            <w:pPr>
              <w:rPr>
                <w:rFonts w:cs="Arial"/>
                <w:color w:val="000000"/>
              </w:rPr>
            </w:pPr>
            <w:r w:rsidRPr="00E97D2C">
              <w:rPr>
                <w:rFonts w:cs="Arial"/>
                <w:color w:val="000000"/>
              </w:rPr>
              <w:t>0D114K4</w:t>
            </w:r>
          </w:p>
        </w:tc>
        <w:tc>
          <w:tcPr>
            <w:tcW w:w="7560" w:type="dxa"/>
            <w:noWrap/>
            <w:vAlign w:val="center"/>
            <w:hideMark/>
          </w:tcPr>
          <w:p w14:paraId="3776B182" w14:textId="77777777" w:rsidR="00595F71" w:rsidRPr="00E97D2C" w:rsidRDefault="00595F71" w:rsidP="00696E8F">
            <w:pPr>
              <w:rPr>
                <w:rFonts w:cs="Arial"/>
                <w:color w:val="000000"/>
              </w:rPr>
            </w:pPr>
            <w:r w:rsidRPr="00E97D2C">
              <w:rPr>
                <w:rFonts w:cs="Arial"/>
                <w:color w:val="000000"/>
              </w:rPr>
              <w:t>Bypass Upper Esophagus to Cutaneous with Nonautologous Tissue Substitute, Percutaneous Endoscopic Approach</w:t>
            </w:r>
          </w:p>
        </w:tc>
      </w:tr>
      <w:tr w:rsidR="00595F71" w:rsidRPr="00E97D2C" w14:paraId="0B9C5C39" w14:textId="77777777" w:rsidTr="00696E8F">
        <w:trPr>
          <w:trHeight w:val="300"/>
        </w:trPr>
        <w:tc>
          <w:tcPr>
            <w:tcW w:w="1872" w:type="dxa"/>
            <w:noWrap/>
            <w:vAlign w:val="center"/>
            <w:hideMark/>
          </w:tcPr>
          <w:p w14:paraId="7C6A2D71" w14:textId="77777777" w:rsidR="00595F71" w:rsidRPr="00E97D2C" w:rsidRDefault="00595F71" w:rsidP="00696E8F">
            <w:pPr>
              <w:rPr>
                <w:rFonts w:cs="Arial"/>
                <w:color w:val="000000"/>
              </w:rPr>
            </w:pPr>
            <w:r w:rsidRPr="00E97D2C">
              <w:rPr>
                <w:rFonts w:cs="Arial"/>
                <w:color w:val="000000"/>
              </w:rPr>
              <w:t>0D114K6</w:t>
            </w:r>
          </w:p>
        </w:tc>
        <w:tc>
          <w:tcPr>
            <w:tcW w:w="7560" w:type="dxa"/>
            <w:noWrap/>
            <w:vAlign w:val="center"/>
            <w:hideMark/>
          </w:tcPr>
          <w:p w14:paraId="105E457C" w14:textId="77777777" w:rsidR="00595F71" w:rsidRPr="00E97D2C" w:rsidRDefault="00595F71" w:rsidP="00696E8F">
            <w:pPr>
              <w:rPr>
                <w:rFonts w:cs="Arial"/>
                <w:color w:val="000000"/>
              </w:rPr>
            </w:pPr>
            <w:r w:rsidRPr="00E97D2C">
              <w:rPr>
                <w:rFonts w:cs="Arial"/>
                <w:color w:val="000000"/>
              </w:rPr>
              <w:t>Bypass Upper Esophagus to Stomach with Nonautologous Tissue Substitute, Percutaneous Endoscopic Approach</w:t>
            </w:r>
          </w:p>
        </w:tc>
      </w:tr>
      <w:tr w:rsidR="00595F71" w:rsidRPr="00E97D2C" w14:paraId="3E58F284" w14:textId="77777777" w:rsidTr="00696E8F">
        <w:trPr>
          <w:trHeight w:val="300"/>
        </w:trPr>
        <w:tc>
          <w:tcPr>
            <w:tcW w:w="1872" w:type="dxa"/>
            <w:noWrap/>
            <w:vAlign w:val="center"/>
            <w:hideMark/>
          </w:tcPr>
          <w:p w14:paraId="088AB6B3" w14:textId="77777777" w:rsidR="00595F71" w:rsidRPr="00E97D2C" w:rsidRDefault="00595F71" w:rsidP="00696E8F">
            <w:pPr>
              <w:rPr>
                <w:rFonts w:cs="Arial"/>
                <w:color w:val="000000"/>
              </w:rPr>
            </w:pPr>
            <w:r w:rsidRPr="00E97D2C">
              <w:rPr>
                <w:rFonts w:cs="Arial"/>
                <w:color w:val="000000"/>
              </w:rPr>
              <w:t>0D114K9</w:t>
            </w:r>
          </w:p>
        </w:tc>
        <w:tc>
          <w:tcPr>
            <w:tcW w:w="7560" w:type="dxa"/>
            <w:noWrap/>
            <w:vAlign w:val="center"/>
            <w:hideMark/>
          </w:tcPr>
          <w:p w14:paraId="4C8FA926" w14:textId="77777777" w:rsidR="00595F71" w:rsidRPr="00E97D2C" w:rsidRDefault="00595F71" w:rsidP="00696E8F">
            <w:pPr>
              <w:rPr>
                <w:rFonts w:cs="Arial"/>
                <w:color w:val="000000"/>
              </w:rPr>
            </w:pPr>
            <w:r w:rsidRPr="00E97D2C">
              <w:rPr>
                <w:rFonts w:cs="Arial"/>
                <w:color w:val="000000"/>
              </w:rPr>
              <w:t>Bypass Upper Esophagus to Duodenum with Nonautologous Tissue Substitute, Percutaneous Endoscopic Approach</w:t>
            </w:r>
          </w:p>
        </w:tc>
      </w:tr>
      <w:tr w:rsidR="00595F71" w:rsidRPr="00E97D2C" w14:paraId="705DAC0A" w14:textId="77777777" w:rsidTr="00696E8F">
        <w:trPr>
          <w:trHeight w:val="300"/>
        </w:trPr>
        <w:tc>
          <w:tcPr>
            <w:tcW w:w="1872" w:type="dxa"/>
            <w:noWrap/>
            <w:vAlign w:val="center"/>
            <w:hideMark/>
          </w:tcPr>
          <w:p w14:paraId="755C9861" w14:textId="77777777" w:rsidR="00595F71" w:rsidRPr="00E97D2C" w:rsidRDefault="00595F71" w:rsidP="00696E8F">
            <w:pPr>
              <w:rPr>
                <w:rFonts w:cs="Arial"/>
                <w:color w:val="000000"/>
              </w:rPr>
            </w:pPr>
            <w:r w:rsidRPr="00E97D2C">
              <w:rPr>
                <w:rFonts w:cs="Arial"/>
                <w:color w:val="000000"/>
              </w:rPr>
              <w:t>0D114KA</w:t>
            </w:r>
          </w:p>
        </w:tc>
        <w:tc>
          <w:tcPr>
            <w:tcW w:w="7560" w:type="dxa"/>
            <w:noWrap/>
            <w:vAlign w:val="center"/>
            <w:hideMark/>
          </w:tcPr>
          <w:p w14:paraId="7C4EA6B0" w14:textId="77777777" w:rsidR="00595F71" w:rsidRPr="00E97D2C" w:rsidRDefault="00595F71" w:rsidP="00696E8F">
            <w:pPr>
              <w:rPr>
                <w:rFonts w:cs="Arial"/>
                <w:color w:val="000000"/>
              </w:rPr>
            </w:pPr>
            <w:r w:rsidRPr="00E97D2C">
              <w:rPr>
                <w:rFonts w:cs="Arial"/>
                <w:color w:val="000000"/>
              </w:rPr>
              <w:t>Bypass Upper Esophagus to Jejunum with Nonautologous Tissue Substitute, Percutaneous Endoscopic Approach</w:t>
            </w:r>
          </w:p>
        </w:tc>
      </w:tr>
      <w:tr w:rsidR="00595F71" w:rsidRPr="00E97D2C" w14:paraId="01AA4664" w14:textId="77777777" w:rsidTr="00696E8F">
        <w:trPr>
          <w:trHeight w:val="300"/>
        </w:trPr>
        <w:tc>
          <w:tcPr>
            <w:tcW w:w="1872" w:type="dxa"/>
            <w:noWrap/>
            <w:vAlign w:val="center"/>
            <w:hideMark/>
          </w:tcPr>
          <w:p w14:paraId="549DF072" w14:textId="77777777" w:rsidR="00595F71" w:rsidRPr="00E97D2C" w:rsidRDefault="00595F71" w:rsidP="00696E8F">
            <w:pPr>
              <w:rPr>
                <w:rFonts w:cs="Arial"/>
                <w:color w:val="000000"/>
              </w:rPr>
            </w:pPr>
            <w:r w:rsidRPr="00E97D2C">
              <w:rPr>
                <w:rFonts w:cs="Arial"/>
                <w:color w:val="000000"/>
              </w:rPr>
              <w:t>0D114KB</w:t>
            </w:r>
          </w:p>
        </w:tc>
        <w:tc>
          <w:tcPr>
            <w:tcW w:w="7560" w:type="dxa"/>
            <w:noWrap/>
            <w:vAlign w:val="center"/>
            <w:hideMark/>
          </w:tcPr>
          <w:p w14:paraId="4A1E2625" w14:textId="77777777" w:rsidR="00595F71" w:rsidRPr="00E97D2C" w:rsidRDefault="00595F71" w:rsidP="00696E8F">
            <w:pPr>
              <w:rPr>
                <w:rFonts w:cs="Arial"/>
                <w:color w:val="000000"/>
              </w:rPr>
            </w:pPr>
            <w:r w:rsidRPr="00E97D2C">
              <w:rPr>
                <w:rFonts w:cs="Arial"/>
                <w:color w:val="000000"/>
              </w:rPr>
              <w:t>Bypass Upper Esophagus to Ileum with Nonautologous Tissue Substitute, Percutaneous Endoscopic Approach</w:t>
            </w:r>
          </w:p>
        </w:tc>
      </w:tr>
      <w:tr w:rsidR="00595F71" w:rsidRPr="00E97D2C" w14:paraId="43EC6B40" w14:textId="77777777" w:rsidTr="00696E8F">
        <w:trPr>
          <w:trHeight w:val="300"/>
        </w:trPr>
        <w:tc>
          <w:tcPr>
            <w:tcW w:w="1872" w:type="dxa"/>
            <w:noWrap/>
            <w:vAlign w:val="center"/>
            <w:hideMark/>
          </w:tcPr>
          <w:p w14:paraId="7C5B21D9" w14:textId="77777777" w:rsidR="00595F71" w:rsidRPr="00E97D2C" w:rsidRDefault="00595F71" w:rsidP="00696E8F">
            <w:pPr>
              <w:rPr>
                <w:rFonts w:cs="Arial"/>
                <w:color w:val="000000"/>
              </w:rPr>
            </w:pPr>
            <w:r w:rsidRPr="00E97D2C">
              <w:rPr>
                <w:rFonts w:cs="Arial"/>
                <w:color w:val="000000"/>
              </w:rPr>
              <w:t>0D114Z4</w:t>
            </w:r>
          </w:p>
        </w:tc>
        <w:tc>
          <w:tcPr>
            <w:tcW w:w="7560" w:type="dxa"/>
            <w:noWrap/>
            <w:vAlign w:val="center"/>
            <w:hideMark/>
          </w:tcPr>
          <w:p w14:paraId="4F2E7286" w14:textId="77777777" w:rsidR="00595F71" w:rsidRPr="00E97D2C" w:rsidRDefault="00595F71" w:rsidP="00696E8F">
            <w:pPr>
              <w:rPr>
                <w:rFonts w:cs="Arial"/>
                <w:color w:val="000000"/>
              </w:rPr>
            </w:pPr>
            <w:r w:rsidRPr="00E97D2C">
              <w:rPr>
                <w:rFonts w:cs="Arial"/>
                <w:color w:val="000000"/>
              </w:rPr>
              <w:t>Bypass Upper Esophagus to Cutaneous, Percutaneous Endoscopic Approach</w:t>
            </w:r>
          </w:p>
        </w:tc>
      </w:tr>
      <w:tr w:rsidR="00595F71" w:rsidRPr="00E97D2C" w14:paraId="391830E4" w14:textId="77777777" w:rsidTr="00696E8F">
        <w:trPr>
          <w:trHeight w:val="300"/>
        </w:trPr>
        <w:tc>
          <w:tcPr>
            <w:tcW w:w="1872" w:type="dxa"/>
            <w:noWrap/>
            <w:vAlign w:val="center"/>
            <w:hideMark/>
          </w:tcPr>
          <w:p w14:paraId="5FDB57A8" w14:textId="77777777" w:rsidR="00595F71" w:rsidRPr="00E97D2C" w:rsidRDefault="00595F71" w:rsidP="00696E8F">
            <w:pPr>
              <w:rPr>
                <w:rFonts w:cs="Arial"/>
                <w:color w:val="000000"/>
              </w:rPr>
            </w:pPr>
            <w:r w:rsidRPr="00E97D2C">
              <w:rPr>
                <w:rFonts w:cs="Arial"/>
                <w:color w:val="000000"/>
              </w:rPr>
              <w:t>0D114Z6</w:t>
            </w:r>
          </w:p>
        </w:tc>
        <w:tc>
          <w:tcPr>
            <w:tcW w:w="7560" w:type="dxa"/>
            <w:noWrap/>
            <w:vAlign w:val="center"/>
            <w:hideMark/>
          </w:tcPr>
          <w:p w14:paraId="7CBEA6F6" w14:textId="77777777" w:rsidR="00595F71" w:rsidRPr="00E97D2C" w:rsidRDefault="00595F71" w:rsidP="00696E8F">
            <w:pPr>
              <w:rPr>
                <w:rFonts w:cs="Arial"/>
                <w:color w:val="000000"/>
              </w:rPr>
            </w:pPr>
            <w:r w:rsidRPr="00E97D2C">
              <w:rPr>
                <w:rFonts w:cs="Arial"/>
                <w:color w:val="000000"/>
              </w:rPr>
              <w:t>Bypass Upper Esophagus to Stomach, Percutaneous Endoscopic Approach</w:t>
            </w:r>
          </w:p>
        </w:tc>
      </w:tr>
      <w:tr w:rsidR="00595F71" w:rsidRPr="00E97D2C" w14:paraId="5DBD37C7" w14:textId="77777777" w:rsidTr="00696E8F">
        <w:trPr>
          <w:trHeight w:val="300"/>
        </w:trPr>
        <w:tc>
          <w:tcPr>
            <w:tcW w:w="1872" w:type="dxa"/>
            <w:noWrap/>
            <w:vAlign w:val="center"/>
            <w:hideMark/>
          </w:tcPr>
          <w:p w14:paraId="701868AD" w14:textId="77777777" w:rsidR="00595F71" w:rsidRPr="00E97D2C" w:rsidRDefault="00595F71" w:rsidP="00696E8F">
            <w:pPr>
              <w:rPr>
                <w:rFonts w:cs="Arial"/>
                <w:color w:val="000000"/>
              </w:rPr>
            </w:pPr>
            <w:r w:rsidRPr="00E97D2C">
              <w:rPr>
                <w:rFonts w:cs="Arial"/>
                <w:color w:val="000000"/>
              </w:rPr>
              <w:t>0D114Z9</w:t>
            </w:r>
          </w:p>
        </w:tc>
        <w:tc>
          <w:tcPr>
            <w:tcW w:w="7560" w:type="dxa"/>
            <w:noWrap/>
            <w:vAlign w:val="center"/>
            <w:hideMark/>
          </w:tcPr>
          <w:p w14:paraId="7374AA7B" w14:textId="77777777" w:rsidR="00595F71" w:rsidRPr="00E97D2C" w:rsidRDefault="00595F71" w:rsidP="00696E8F">
            <w:pPr>
              <w:rPr>
                <w:rFonts w:cs="Arial"/>
                <w:color w:val="000000"/>
              </w:rPr>
            </w:pPr>
            <w:r w:rsidRPr="00E97D2C">
              <w:rPr>
                <w:rFonts w:cs="Arial"/>
                <w:color w:val="000000"/>
              </w:rPr>
              <w:t>Bypass Upper Esophagus to Duodenum, Percutaneous Endoscopic Approach</w:t>
            </w:r>
          </w:p>
        </w:tc>
      </w:tr>
      <w:tr w:rsidR="00595F71" w:rsidRPr="00E97D2C" w14:paraId="05DCC495" w14:textId="77777777" w:rsidTr="00696E8F">
        <w:trPr>
          <w:trHeight w:val="300"/>
        </w:trPr>
        <w:tc>
          <w:tcPr>
            <w:tcW w:w="1872" w:type="dxa"/>
            <w:noWrap/>
            <w:vAlign w:val="center"/>
            <w:hideMark/>
          </w:tcPr>
          <w:p w14:paraId="3F11BA50" w14:textId="77777777" w:rsidR="00595F71" w:rsidRPr="00E97D2C" w:rsidRDefault="00595F71" w:rsidP="00696E8F">
            <w:pPr>
              <w:rPr>
                <w:rFonts w:cs="Arial"/>
                <w:color w:val="000000"/>
              </w:rPr>
            </w:pPr>
            <w:r w:rsidRPr="00E97D2C">
              <w:rPr>
                <w:rFonts w:cs="Arial"/>
                <w:color w:val="000000"/>
              </w:rPr>
              <w:t>0D114ZA</w:t>
            </w:r>
          </w:p>
        </w:tc>
        <w:tc>
          <w:tcPr>
            <w:tcW w:w="7560" w:type="dxa"/>
            <w:noWrap/>
            <w:vAlign w:val="center"/>
            <w:hideMark/>
          </w:tcPr>
          <w:p w14:paraId="262573EB" w14:textId="77777777" w:rsidR="00595F71" w:rsidRPr="00E97D2C" w:rsidRDefault="00595F71" w:rsidP="00696E8F">
            <w:pPr>
              <w:rPr>
                <w:rFonts w:cs="Arial"/>
                <w:color w:val="000000"/>
              </w:rPr>
            </w:pPr>
            <w:r w:rsidRPr="00E97D2C">
              <w:rPr>
                <w:rFonts w:cs="Arial"/>
                <w:color w:val="000000"/>
              </w:rPr>
              <w:t>Bypass Upper Esophagus to Jejunum, Percutaneous Endoscopic Approach</w:t>
            </w:r>
          </w:p>
        </w:tc>
      </w:tr>
      <w:tr w:rsidR="00595F71" w:rsidRPr="00E97D2C" w14:paraId="58CF8F88" w14:textId="77777777" w:rsidTr="00696E8F">
        <w:trPr>
          <w:trHeight w:val="300"/>
        </w:trPr>
        <w:tc>
          <w:tcPr>
            <w:tcW w:w="1872" w:type="dxa"/>
            <w:noWrap/>
            <w:vAlign w:val="center"/>
            <w:hideMark/>
          </w:tcPr>
          <w:p w14:paraId="016E432D" w14:textId="77777777" w:rsidR="00595F71" w:rsidRPr="00E97D2C" w:rsidRDefault="00595F71" w:rsidP="00696E8F">
            <w:pPr>
              <w:rPr>
                <w:rFonts w:cs="Arial"/>
                <w:color w:val="000000"/>
              </w:rPr>
            </w:pPr>
            <w:r w:rsidRPr="00E97D2C">
              <w:rPr>
                <w:rFonts w:cs="Arial"/>
                <w:color w:val="000000"/>
              </w:rPr>
              <w:t>0D114ZB</w:t>
            </w:r>
          </w:p>
        </w:tc>
        <w:tc>
          <w:tcPr>
            <w:tcW w:w="7560" w:type="dxa"/>
            <w:noWrap/>
            <w:vAlign w:val="center"/>
            <w:hideMark/>
          </w:tcPr>
          <w:p w14:paraId="7E13CDEA" w14:textId="77777777" w:rsidR="00595F71" w:rsidRPr="00E97D2C" w:rsidRDefault="00595F71" w:rsidP="00696E8F">
            <w:pPr>
              <w:rPr>
                <w:rFonts w:cs="Arial"/>
                <w:color w:val="000000"/>
              </w:rPr>
            </w:pPr>
            <w:r w:rsidRPr="00E97D2C">
              <w:rPr>
                <w:rFonts w:cs="Arial"/>
                <w:color w:val="000000"/>
              </w:rPr>
              <w:t>Bypass Upper Esophagus to Ileum, Percutaneous Endoscopic Approach</w:t>
            </w:r>
          </w:p>
        </w:tc>
      </w:tr>
      <w:tr w:rsidR="00595F71" w:rsidRPr="00E97D2C" w14:paraId="693D1036" w14:textId="77777777" w:rsidTr="00696E8F">
        <w:trPr>
          <w:trHeight w:val="300"/>
        </w:trPr>
        <w:tc>
          <w:tcPr>
            <w:tcW w:w="1872" w:type="dxa"/>
            <w:noWrap/>
            <w:vAlign w:val="center"/>
            <w:hideMark/>
          </w:tcPr>
          <w:p w14:paraId="2DC22DA6" w14:textId="77777777" w:rsidR="00595F71" w:rsidRPr="00E97D2C" w:rsidRDefault="00595F71" w:rsidP="00696E8F">
            <w:pPr>
              <w:rPr>
                <w:rFonts w:cs="Arial"/>
                <w:color w:val="000000"/>
              </w:rPr>
            </w:pPr>
            <w:r w:rsidRPr="00E97D2C">
              <w:rPr>
                <w:rFonts w:cs="Arial"/>
                <w:color w:val="000000"/>
              </w:rPr>
              <w:t>0D11874</w:t>
            </w:r>
          </w:p>
        </w:tc>
        <w:tc>
          <w:tcPr>
            <w:tcW w:w="7560" w:type="dxa"/>
            <w:noWrap/>
            <w:vAlign w:val="center"/>
            <w:hideMark/>
          </w:tcPr>
          <w:p w14:paraId="0D5DF999" w14:textId="77777777" w:rsidR="00595F71" w:rsidRPr="00E97D2C" w:rsidRDefault="00595F71" w:rsidP="00696E8F">
            <w:pPr>
              <w:rPr>
                <w:rFonts w:cs="Arial"/>
                <w:color w:val="000000"/>
              </w:rPr>
            </w:pPr>
            <w:r w:rsidRPr="00E97D2C">
              <w:rPr>
                <w:rFonts w:cs="Arial"/>
                <w:color w:val="000000"/>
              </w:rPr>
              <w:t>Bypass Upper Esophagus to Cutaneous with Autologous Tissue Substitute, Via Natural or Artificial Opening Endoscopic</w:t>
            </w:r>
          </w:p>
        </w:tc>
      </w:tr>
      <w:tr w:rsidR="00595F71" w:rsidRPr="00E97D2C" w14:paraId="7EB6F213" w14:textId="77777777" w:rsidTr="00696E8F">
        <w:trPr>
          <w:trHeight w:val="300"/>
        </w:trPr>
        <w:tc>
          <w:tcPr>
            <w:tcW w:w="1872" w:type="dxa"/>
            <w:noWrap/>
            <w:vAlign w:val="center"/>
            <w:hideMark/>
          </w:tcPr>
          <w:p w14:paraId="66A3D935" w14:textId="77777777" w:rsidR="00595F71" w:rsidRPr="00E97D2C" w:rsidRDefault="00595F71" w:rsidP="00696E8F">
            <w:pPr>
              <w:rPr>
                <w:rFonts w:cs="Arial"/>
                <w:color w:val="000000"/>
              </w:rPr>
            </w:pPr>
            <w:r w:rsidRPr="00E97D2C">
              <w:rPr>
                <w:rFonts w:cs="Arial"/>
                <w:color w:val="000000"/>
              </w:rPr>
              <w:t>0D11876</w:t>
            </w:r>
          </w:p>
        </w:tc>
        <w:tc>
          <w:tcPr>
            <w:tcW w:w="7560" w:type="dxa"/>
            <w:noWrap/>
            <w:vAlign w:val="center"/>
            <w:hideMark/>
          </w:tcPr>
          <w:p w14:paraId="36D0AE2E" w14:textId="77777777" w:rsidR="00595F71" w:rsidRPr="00E97D2C" w:rsidRDefault="00595F71" w:rsidP="00696E8F">
            <w:pPr>
              <w:rPr>
                <w:rFonts w:cs="Arial"/>
                <w:color w:val="000000"/>
              </w:rPr>
            </w:pPr>
            <w:r w:rsidRPr="00E97D2C">
              <w:rPr>
                <w:rFonts w:cs="Arial"/>
                <w:color w:val="000000"/>
              </w:rPr>
              <w:t>Bypass Upper Esophagus to Stomach with Autologous Tissue Substitute, Via Natural or Artificial Opening Endoscopic</w:t>
            </w:r>
          </w:p>
        </w:tc>
      </w:tr>
      <w:tr w:rsidR="00595F71" w:rsidRPr="00E97D2C" w14:paraId="7E31B388" w14:textId="77777777" w:rsidTr="00696E8F">
        <w:trPr>
          <w:trHeight w:val="300"/>
        </w:trPr>
        <w:tc>
          <w:tcPr>
            <w:tcW w:w="1872" w:type="dxa"/>
            <w:noWrap/>
            <w:vAlign w:val="center"/>
            <w:hideMark/>
          </w:tcPr>
          <w:p w14:paraId="4B71BB29" w14:textId="77777777" w:rsidR="00595F71" w:rsidRPr="00E97D2C" w:rsidRDefault="00595F71" w:rsidP="00696E8F">
            <w:pPr>
              <w:rPr>
                <w:rFonts w:cs="Arial"/>
                <w:color w:val="000000"/>
              </w:rPr>
            </w:pPr>
            <w:r w:rsidRPr="00E97D2C">
              <w:rPr>
                <w:rFonts w:cs="Arial"/>
                <w:color w:val="000000"/>
              </w:rPr>
              <w:t>0D11879</w:t>
            </w:r>
          </w:p>
        </w:tc>
        <w:tc>
          <w:tcPr>
            <w:tcW w:w="7560" w:type="dxa"/>
            <w:noWrap/>
            <w:vAlign w:val="center"/>
            <w:hideMark/>
          </w:tcPr>
          <w:p w14:paraId="65260243" w14:textId="77777777" w:rsidR="00595F71" w:rsidRPr="00E97D2C" w:rsidRDefault="00595F71" w:rsidP="00696E8F">
            <w:pPr>
              <w:rPr>
                <w:rFonts w:cs="Arial"/>
                <w:color w:val="000000"/>
              </w:rPr>
            </w:pPr>
            <w:r w:rsidRPr="00E97D2C">
              <w:rPr>
                <w:rFonts w:cs="Arial"/>
                <w:color w:val="000000"/>
              </w:rPr>
              <w:t>Bypass Upper Esophagus to Duodenum with Autologous Tissue Substitute, Via Natural or Artificial Opening Endoscopic</w:t>
            </w:r>
          </w:p>
        </w:tc>
      </w:tr>
      <w:tr w:rsidR="00595F71" w:rsidRPr="00E97D2C" w14:paraId="449B6C28" w14:textId="77777777" w:rsidTr="00696E8F">
        <w:trPr>
          <w:trHeight w:val="300"/>
        </w:trPr>
        <w:tc>
          <w:tcPr>
            <w:tcW w:w="1872" w:type="dxa"/>
            <w:noWrap/>
            <w:vAlign w:val="center"/>
            <w:hideMark/>
          </w:tcPr>
          <w:p w14:paraId="53C15786" w14:textId="77777777" w:rsidR="00595F71" w:rsidRPr="00E97D2C" w:rsidRDefault="00595F71" w:rsidP="00696E8F">
            <w:pPr>
              <w:rPr>
                <w:rFonts w:cs="Arial"/>
                <w:color w:val="000000"/>
              </w:rPr>
            </w:pPr>
            <w:r w:rsidRPr="00E97D2C">
              <w:rPr>
                <w:rFonts w:cs="Arial"/>
                <w:color w:val="000000"/>
              </w:rPr>
              <w:t>0D1187A</w:t>
            </w:r>
          </w:p>
        </w:tc>
        <w:tc>
          <w:tcPr>
            <w:tcW w:w="7560" w:type="dxa"/>
            <w:noWrap/>
            <w:vAlign w:val="center"/>
            <w:hideMark/>
          </w:tcPr>
          <w:p w14:paraId="3B4797E8" w14:textId="77777777" w:rsidR="00595F71" w:rsidRPr="00E97D2C" w:rsidRDefault="00595F71" w:rsidP="00696E8F">
            <w:pPr>
              <w:rPr>
                <w:rFonts w:cs="Arial"/>
                <w:color w:val="000000"/>
              </w:rPr>
            </w:pPr>
            <w:r w:rsidRPr="00E97D2C">
              <w:rPr>
                <w:rFonts w:cs="Arial"/>
                <w:color w:val="000000"/>
              </w:rPr>
              <w:t>Bypass Upper Esophagus to Jejunum with Autologous Tissue Substitute, Via Natural or Artificial Opening Endoscopic</w:t>
            </w:r>
          </w:p>
        </w:tc>
      </w:tr>
      <w:tr w:rsidR="00595F71" w:rsidRPr="00E97D2C" w14:paraId="31D19E21" w14:textId="77777777" w:rsidTr="00696E8F">
        <w:trPr>
          <w:trHeight w:val="300"/>
        </w:trPr>
        <w:tc>
          <w:tcPr>
            <w:tcW w:w="1872" w:type="dxa"/>
            <w:noWrap/>
            <w:vAlign w:val="center"/>
            <w:hideMark/>
          </w:tcPr>
          <w:p w14:paraId="1991224F" w14:textId="77777777" w:rsidR="00595F71" w:rsidRPr="00E97D2C" w:rsidRDefault="00595F71" w:rsidP="00696E8F">
            <w:pPr>
              <w:rPr>
                <w:rFonts w:cs="Arial"/>
                <w:color w:val="000000"/>
              </w:rPr>
            </w:pPr>
            <w:r w:rsidRPr="00E97D2C">
              <w:rPr>
                <w:rFonts w:cs="Arial"/>
                <w:color w:val="000000"/>
              </w:rPr>
              <w:t>0D1187B</w:t>
            </w:r>
          </w:p>
        </w:tc>
        <w:tc>
          <w:tcPr>
            <w:tcW w:w="7560" w:type="dxa"/>
            <w:noWrap/>
            <w:vAlign w:val="center"/>
            <w:hideMark/>
          </w:tcPr>
          <w:p w14:paraId="6FDDFA20" w14:textId="77777777" w:rsidR="00595F71" w:rsidRPr="00E97D2C" w:rsidRDefault="00595F71" w:rsidP="00696E8F">
            <w:pPr>
              <w:rPr>
                <w:rFonts w:cs="Arial"/>
                <w:color w:val="000000"/>
              </w:rPr>
            </w:pPr>
            <w:r w:rsidRPr="00E97D2C">
              <w:rPr>
                <w:rFonts w:cs="Arial"/>
                <w:color w:val="000000"/>
              </w:rPr>
              <w:t>Bypass Upper Esophagus to Ileum with Autologous Tissue Substitute, Via Natural or Artificial Opening Endoscopic</w:t>
            </w:r>
          </w:p>
        </w:tc>
      </w:tr>
      <w:tr w:rsidR="00595F71" w:rsidRPr="00E97D2C" w14:paraId="13C69B72" w14:textId="77777777" w:rsidTr="00696E8F">
        <w:trPr>
          <w:trHeight w:val="300"/>
        </w:trPr>
        <w:tc>
          <w:tcPr>
            <w:tcW w:w="1872" w:type="dxa"/>
            <w:noWrap/>
            <w:vAlign w:val="center"/>
            <w:hideMark/>
          </w:tcPr>
          <w:p w14:paraId="51AC1F3F" w14:textId="77777777" w:rsidR="00595F71" w:rsidRPr="00E97D2C" w:rsidRDefault="00595F71" w:rsidP="00696E8F">
            <w:pPr>
              <w:rPr>
                <w:rFonts w:cs="Arial"/>
                <w:color w:val="000000"/>
              </w:rPr>
            </w:pPr>
            <w:r w:rsidRPr="00E97D2C">
              <w:rPr>
                <w:rFonts w:cs="Arial"/>
                <w:color w:val="000000"/>
              </w:rPr>
              <w:t>0D118J4</w:t>
            </w:r>
          </w:p>
        </w:tc>
        <w:tc>
          <w:tcPr>
            <w:tcW w:w="7560" w:type="dxa"/>
            <w:noWrap/>
            <w:vAlign w:val="center"/>
            <w:hideMark/>
          </w:tcPr>
          <w:p w14:paraId="533783C2" w14:textId="77777777" w:rsidR="00595F71" w:rsidRPr="00E97D2C" w:rsidRDefault="00595F71" w:rsidP="00696E8F">
            <w:pPr>
              <w:rPr>
                <w:rFonts w:cs="Arial"/>
                <w:color w:val="000000"/>
              </w:rPr>
            </w:pPr>
            <w:r w:rsidRPr="00E97D2C">
              <w:rPr>
                <w:rFonts w:cs="Arial"/>
                <w:color w:val="000000"/>
              </w:rPr>
              <w:t>Bypass Upper Esophagus to Cutaneous with Synthetic Substitute, Via Natural or Artificial Opening Endoscopic</w:t>
            </w:r>
          </w:p>
        </w:tc>
      </w:tr>
      <w:tr w:rsidR="00595F71" w:rsidRPr="00E97D2C" w14:paraId="7D64F578" w14:textId="77777777" w:rsidTr="00696E8F">
        <w:trPr>
          <w:trHeight w:val="300"/>
        </w:trPr>
        <w:tc>
          <w:tcPr>
            <w:tcW w:w="1872" w:type="dxa"/>
            <w:noWrap/>
            <w:vAlign w:val="center"/>
            <w:hideMark/>
          </w:tcPr>
          <w:p w14:paraId="45462274" w14:textId="77777777" w:rsidR="00595F71" w:rsidRPr="00E97D2C" w:rsidRDefault="00595F71" w:rsidP="00696E8F">
            <w:pPr>
              <w:rPr>
                <w:rFonts w:cs="Arial"/>
                <w:color w:val="000000"/>
              </w:rPr>
            </w:pPr>
            <w:r w:rsidRPr="00E97D2C">
              <w:rPr>
                <w:rFonts w:cs="Arial"/>
                <w:color w:val="000000"/>
              </w:rPr>
              <w:t>0D118J6</w:t>
            </w:r>
          </w:p>
        </w:tc>
        <w:tc>
          <w:tcPr>
            <w:tcW w:w="7560" w:type="dxa"/>
            <w:noWrap/>
            <w:vAlign w:val="center"/>
            <w:hideMark/>
          </w:tcPr>
          <w:p w14:paraId="2EA4A544" w14:textId="77777777" w:rsidR="00595F71" w:rsidRPr="00E97D2C" w:rsidRDefault="00595F71" w:rsidP="00696E8F">
            <w:pPr>
              <w:rPr>
                <w:rFonts w:cs="Arial"/>
                <w:color w:val="000000"/>
              </w:rPr>
            </w:pPr>
            <w:r w:rsidRPr="00E97D2C">
              <w:rPr>
                <w:rFonts w:cs="Arial"/>
                <w:color w:val="000000"/>
              </w:rPr>
              <w:t>Bypass Upper Esophagus to Stomach with Synthetic Substitute, Via Natural or Artificial Opening Endoscopic</w:t>
            </w:r>
          </w:p>
        </w:tc>
      </w:tr>
      <w:tr w:rsidR="00595F71" w:rsidRPr="00E97D2C" w14:paraId="7A193CC2" w14:textId="77777777" w:rsidTr="00696E8F">
        <w:trPr>
          <w:trHeight w:val="300"/>
        </w:trPr>
        <w:tc>
          <w:tcPr>
            <w:tcW w:w="1872" w:type="dxa"/>
            <w:noWrap/>
            <w:vAlign w:val="center"/>
            <w:hideMark/>
          </w:tcPr>
          <w:p w14:paraId="2529FFA5" w14:textId="77777777" w:rsidR="00595F71" w:rsidRPr="00E97D2C" w:rsidRDefault="00595F71" w:rsidP="00696E8F">
            <w:pPr>
              <w:rPr>
                <w:rFonts w:cs="Arial"/>
                <w:color w:val="000000"/>
              </w:rPr>
            </w:pPr>
            <w:r w:rsidRPr="00E97D2C">
              <w:rPr>
                <w:rFonts w:cs="Arial"/>
                <w:color w:val="000000"/>
              </w:rPr>
              <w:t>0D118J9</w:t>
            </w:r>
          </w:p>
        </w:tc>
        <w:tc>
          <w:tcPr>
            <w:tcW w:w="7560" w:type="dxa"/>
            <w:noWrap/>
            <w:vAlign w:val="center"/>
            <w:hideMark/>
          </w:tcPr>
          <w:p w14:paraId="57412AF1" w14:textId="77777777" w:rsidR="00595F71" w:rsidRPr="00E97D2C" w:rsidRDefault="00595F71" w:rsidP="00696E8F">
            <w:pPr>
              <w:rPr>
                <w:rFonts w:cs="Arial"/>
                <w:color w:val="000000"/>
              </w:rPr>
            </w:pPr>
            <w:r w:rsidRPr="00E97D2C">
              <w:rPr>
                <w:rFonts w:cs="Arial"/>
                <w:color w:val="000000"/>
              </w:rPr>
              <w:t>Bypass Upper Esophagus to Duodenum with Synthetic Substitute, Via Natural or Artificial Opening Endoscopic</w:t>
            </w:r>
          </w:p>
        </w:tc>
      </w:tr>
      <w:tr w:rsidR="00595F71" w:rsidRPr="00E97D2C" w14:paraId="7F5A738B" w14:textId="77777777" w:rsidTr="00696E8F">
        <w:trPr>
          <w:trHeight w:val="300"/>
        </w:trPr>
        <w:tc>
          <w:tcPr>
            <w:tcW w:w="1872" w:type="dxa"/>
            <w:noWrap/>
            <w:vAlign w:val="center"/>
            <w:hideMark/>
          </w:tcPr>
          <w:p w14:paraId="353CDD2E" w14:textId="77777777" w:rsidR="00595F71" w:rsidRPr="00E97D2C" w:rsidRDefault="00595F71" w:rsidP="00696E8F">
            <w:pPr>
              <w:rPr>
                <w:rFonts w:cs="Arial"/>
                <w:color w:val="000000"/>
              </w:rPr>
            </w:pPr>
            <w:r w:rsidRPr="00E97D2C">
              <w:rPr>
                <w:rFonts w:cs="Arial"/>
                <w:color w:val="000000"/>
              </w:rPr>
              <w:t>0D118JA</w:t>
            </w:r>
          </w:p>
        </w:tc>
        <w:tc>
          <w:tcPr>
            <w:tcW w:w="7560" w:type="dxa"/>
            <w:noWrap/>
            <w:vAlign w:val="center"/>
            <w:hideMark/>
          </w:tcPr>
          <w:p w14:paraId="7AFE0D8A" w14:textId="77777777" w:rsidR="00595F71" w:rsidRPr="00E97D2C" w:rsidRDefault="00595F71" w:rsidP="00696E8F">
            <w:pPr>
              <w:rPr>
                <w:rFonts w:cs="Arial"/>
                <w:color w:val="000000"/>
              </w:rPr>
            </w:pPr>
            <w:r w:rsidRPr="00E97D2C">
              <w:rPr>
                <w:rFonts w:cs="Arial"/>
                <w:color w:val="000000"/>
              </w:rPr>
              <w:t>Bypass Upper Esophagus to Jejunum with Synthetic Substitute, Via Natural or Artificial Opening Endoscopic</w:t>
            </w:r>
          </w:p>
        </w:tc>
      </w:tr>
      <w:tr w:rsidR="00595F71" w:rsidRPr="00E97D2C" w14:paraId="1DB534FC" w14:textId="77777777" w:rsidTr="00696E8F">
        <w:trPr>
          <w:trHeight w:val="300"/>
        </w:trPr>
        <w:tc>
          <w:tcPr>
            <w:tcW w:w="1872" w:type="dxa"/>
            <w:noWrap/>
            <w:vAlign w:val="center"/>
            <w:hideMark/>
          </w:tcPr>
          <w:p w14:paraId="4C0FAAFC" w14:textId="77777777" w:rsidR="00595F71" w:rsidRPr="00E97D2C" w:rsidRDefault="00595F71" w:rsidP="00696E8F">
            <w:pPr>
              <w:rPr>
                <w:rFonts w:cs="Arial"/>
                <w:color w:val="000000"/>
              </w:rPr>
            </w:pPr>
            <w:r w:rsidRPr="00E97D2C">
              <w:rPr>
                <w:rFonts w:cs="Arial"/>
                <w:color w:val="000000"/>
              </w:rPr>
              <w:t>0D118JB</w:t>
            </w:r>
          </w:p>
        </w:tc>
        <w:tc>
          <w:tcPr>
            <w:tcW w:w="7560" w:type="dxa"/>
            <w:noWrap/>
            <w:vAlign w:val="center"/>
            <w:hideMark/>
          </w:tcPr>
          <w:p w14:paraId="101F5965" w14:textId="77777777" w:rsidR="00595F71" w:rsidRPr="00E97D2C" w:rsidRDefault="00595F71" w:rsidP="00696E8F">
            <w:pPr>
              <w:rPr>
                <w:rFonts w:cs="Arial"/>
                <w:color w:val="000000"/>
              </w:rPr>
            </w:pPr>
            <w:r w:rsidRPr="00E97D2C">
              <w:rPr>
                <w:rFonts w:cs="Arial"/>
                <w:color w:val="000000"/>
              </w:rPr>
              <w:t>Bypass Upper Esophagus to Ileum with Synthetic Substitute, Via Natural or Artificial Opening Endoscopic</w:t>
            </w:r>
          </w:p>
        </w:tc>
      </w:tr>
      <w:tr w:rsidR="00595F71" w:rsidRPr="00E97D2C" w14:paraId="3CEEB601" w14:textId="77777777" w:rsidTr="00696E8F">
        <w:trPr>
          <w:trHeight w:val="300"/>
        </w:trPr>
        <w:tc>
          <w:tcPr>
            <w:tcW w:w="1872" w:type="dxa"/>
            <w:noWrap/>
            <w:vAlign w:val="center"/>
            <w:hideMark/>
          </w:tcPr>
          <w:p w14:paraId="4BBE715A" w14:textId="77777777" w:rsidR="00595F71" w:rsidRPr="00E97D2C" w:rsidRDefault="00595F71" w:rsidP="00696E8F">
            <w:pPr>
              <w:rPr>
                <w:rFonts w:cs="Arial"/>
                <w:color w:val="000000"/>
              </w:rPr>
            </w:pPr>
            <w:r w:rsidRPr="00E97D2C">
              <w:rPr>
                <w:rFonts w:cs="Arial"/>
                <w:color w:val="000000"/>
              </w:rPr>
              <w:t>0D118K4</w:t>
            </w:r>
          </w:p>
        </w:tc>
        <w:tc>
          <w:tcPr>
            <w:tcW w:w="7560" w:type="dxa"/>
            <w:noWrap/>
            <w:vAlign w:val="center"/>
            <w:hideMark/>
          </w:tcPr>
          <w:p w14:paraId="640F604F" w14:textId="77777777" w:rsidR="00595F71" w:rsidRPr="00E97D2C" w:rsidRDefault="00595F71" w:rsidP="00696E8F">
            <w:pPr>
              <w:rPr>
                <w:rFonts w:cs="Arial"/>
                <w:color w:val="000000"/>
              </w:rPr>
            </w:pPr>
            <w:r w:rsidRPr="00E97D2C">
              <w:rPr>
                <w:rFonts w:cs="Arial"/>
                <w:color w:val="000000"/>
              </w:rPr>
              <w:t>Bypass Upper Esophagus to Cutaneous with Nonautologous Tissue Substitute, Via Natural or Artificial Opening Endoscopic</w:t>
            </w:r>
          </w:p>
        </w:tc>
      </w:tr>
      <w:tr w:rsidR="00595F71" w:rsidRPr="00E97D2C" w14:paraId="728C83AD" w14:textId="77777777" w:rsidTr="00696E8F">
        <w:trPr>
          <w:trHeight w:val="300"/>
        </w:trPr>
        <w:tc>
          <w:tcPr>
            <w:tcW w:w="1872" w:type="dxa"/>
            <w:noWrap/>
            <w:vAlign w:val="center"/>
            <w:hideMark/>
          </w:tcPr>
          <w:p w14:paraId="2CC90F25" w14:textId="77777777" w:rsidR="00595F71" w:rsidRPr="00E97D2C" w:rsidRDefault="00595F71" w:rsidP="00696E8F">
            <w:pPr>
              <w:rPr>
                <w:rFonts w:cs="Arial"/>
                <w:color w:val="000000"/>
              </w:rPr>
            </w:pPr>
            <w:r w:rsidRPr="00E97D2C">
              <w:rPr>
                <w:rFonts w:cs="Arial"/>
                <w:color w:val="000000"/>
              </w:rPr>
              <w:t>0D118K6</w:t>
            </w:r>
          </w:p>
        </w:tc>
        <w:tc>
          <w:tcPr>
            <w:tcW w:w="7560" w:type="dxa"/>
            <w:noWrap/>
            <w:vAlign w:val="center"/>
            <w:hideMark/>
          </w:tcPr>
          <w:p w14:paraId="3856BC8F" w14:textId="77777777" w:rsidR="00595F71" w:rsidRPr="00E97D2C" w:rsidRDefault="00595F71" w:rsidP="00696E8F">
            <w:pPr>
              <w:rPr>
                <w:rFonts w:cs="Arial"/>
                <w:color w:val="000000"/>
              </w:rPr>
            </w:pPr>
            <w:r w:rsidRPr="00E97D2C">
              <w:rPr>
                <w:rFonts w:cs="Arial"/>
                <w:color w:val="000000"/>
              </w:rPr>
              <w:t>Bypass Upper Esophagus to Stomach with Nonautologous Tissue Substitute, Via Natural or Artificial Opening Endoscopic</w:t>
            </w:r>
          </w:p>
        </w:tc>
      </w:tr>
      <w:tr w:rsidR="00595F71" w:rsidRPr="00E97D2C" w14:paraId="68CB72D2" w14:textId="77777777" w:rsidTr="00696E8F">
        <w:trPr>
          <w:trHeight w:val="300"/>
        </w:trPr>
        <w:tc>
          <w:tcPr>
            <w:tcW w:w="1872" w:type="dxa"/>
            <w:noWrap/>
            <w:vAlign w:val="center"/>
            <w:hideMark/>
          </w:tcPr>
          <w:p w14:paraId="13A479DD" w14:textId="77777777" w:rsidR="00595F71" w:rsidRPr="00E97D2C" w:rsidRDefault="00595F71" w:rsidP="00696E8F">
            <w:pPr>
              <w:rPr>
                <w:rFonts w:cs="Arial"/>
                <w:color w:val="000000"/>
              </w:rPr>
            </w:pPr>
            <w:r w:rsidRPr="00E97D2C">
              <w:rPr>
                <w:rFonts w:cs="Arial"/>
                <w:color w:val="000000"/>
              </w:rPr>
              <w:lastRenderedPageBreak/>
              <w:t>0D118K9</w:t>
            </w:r>
          </w:p>
        </w:tc>
        <w:tc>
          <w:tcPr>
            <w:tcW w:w="7560" w:type="dxa"/>
            <w:noWrap/>
            <w:vAlign w:val="center"/>
            <w:hideMark/>
          </w:tcPr>
          <w:p w14:paraId="27E3CA0F" w14:textId="77777777" w:rsidR="00595F71" w:rsidRPr="00E97D2C" w:rsidRDefault="00595F71" w:rsidP="00696E8F">
            <w:pPr>
              <w:rPr>
                <w:rFonts w:cs="Arial"/>
                <w:color w:val="000000"/>
              </w:rPr>
            </w:pPr>
            <w:r w:rsidRPr="00E97D2C">
              <w:rPr>
                <w:rFonts w:cs="Arial"/>
                <w:color w:val="000000"/>
              </w:rPr>
              <w:t>Bypass Upper Esophagus to Duodenum with Nonautologous Tissue Substitute, Via Natural or Artificial Opening Endoscopic</w:t>
            </w:r>
          </w:p>
        </w:tc>
      </w:tr>
      <w:tr w:rsidR="00595F71" w:rsidRPr="00E97D2C" w14:paraId="7BC70D21" w14:textId="77777777" w:rsidTr="00696E8F">
        <w:trPr>
          <w:trHeight w:val="300"/>
        </w:trPr>
        <w:tc>
          <w:tcPr>
            <w:tcW w:w="1872" w:type="dxa"/>
            <w:noWrap/>
            <w:vAlign w:val="center"/>
            <w:hideMark/>
          </w:tcPr>
          <w:p w14:paraId="6000C62B" w14:textId="77777777" w:rsidR="00595F71" w:rsidRPr="00E97D2C" w:rsidRDefault="00595F71" w:rsidP="00696E8F">
            <w:pPr>
              <w:rPr>
                <w:rFonts w:cs="Arial"/>
                <w:color w:val="000000"/>
              </w:rPr>
            </w:pPr>
            <w:r w:rsidRPr="00E97D2C">
              <w:rPr>
                <w:rFonts w:cs="Arial"/>
                <w:color w:val="000000"/>
              </w:rPr>
              <w:t>0D118KA</w:t>
            </w:r>
          </w:p>
        </w:tc>
        <w:tc>
          <w:tcPr>
            <w:tcW w:w="7560" w:type="dxa"/>
            <w:noWrap/>
            <w:vAlign w:val="center"/>
            <w:hideMark/>
          </w:tcPr>
          <w:p w14:paraId="18BF3E55" w14:textId="77777777" w:rsidR="00595F71" w:rsidRPr="00E97D2C" w:rsidRDefault="00595F71" w:rsidP="00696E8F">
            <w:pPr>
              <w:rPr>
                <w:rFonts w:cs="Arial"/>
                <w:color w:val="000000"/>
              </w:rPr>
            </w:pPr>
            <w:r w:rsidRPr="00E97D2C">
              <w:rPr>
                <w:rFonts w:cs="Arial"/>
                <w:color w:val="000000"/>
              </w:rPr>
              <w:t>Bypass Upper Esophagus to Jejunum with Nonautologous Tissue Substitute, Via Natural or Artificial Opening Endoscopic</w:t>
            </w:r>
          </w:p>
        </w:tc>
      </w:tr>
      <w:tr w:rsidR="00595F71" w:rsidRPr="00E97D2C" w14:paraId="6D2D20C2" w14:textId="77777777" w:rsidTr="00696E8F">
        <w:trPr>
          <w:trHeight w:val="300"/>
        </w:trPr>
        <w:tc>
          <w:tcPr>
            <w:tcW w:w="1872" w:type="dxa"/>
            <w:noWrap/>
            <w:vAlign w:val="center"/>
            <w:hideMark/>
          </w:tcPr>
          <w:p w14:paraId="1E4FAB6B" w14:textId="77777777" w:rsidR="00595F71" w:rsidRPr="00E97D2C" w:rsidRDefault="00595F71" w:rsidP="00696E8F">
            <w:pPr>
              <w:rPr>
                <w:rFonts w:cs="Arial"/>
                <w:color w:val="000000"/>
              </w:rPr>
            </w:pPr>
            <w:r w:rsidRPr="00E97D2C">
              <w:rPr>
                <w:rFonts w:cs="Arial"/>
                <w:color w:val="000000"/>
              </w:rPr>
              <w:t>0D118KB</w:t>
            </w:r>
          </w:p>
        </w:tc>
        <w:tc>
          <w:tcPr>
            <w:tcW w:w="7560" w:type="dxa"/>
            <w:noWrap/>
            <w:vAlign w:val="center"/>
            <w:hideMark/>
          </w:tcPr>
          <w:p w14:paraId="716FE83B" w14:textId="77777777" w:rsidR="00595F71" w:rsidRPr="00E97D2C" w:rsidRDefault="00595F71" w:rsidP="00696E8F">
            <w:pPr>
              <w:rPr>
                <w:rFonts w:cs="Arial"/>
                <w:color w:val="000000"/>
              </w:rPr>
            </w:pPr>
            <w:r w:rsidRPr="00E97D2C">
              <w:rPr>
                <w:rFonts w:cs="Arial"/>
                <w:color w:val="000000"/>
              </w:rPr>
              <w:t>Bypass Upper Esophagus to Ileum with Nonautologous Tissue Substitute, Via Natural or Artificial Opening Endoscopic</w:t>
            </w:r>
          </w:p>
        </w:tc>
      </w:tr>
      <w:tr w:rsidR="00595F71" w:rsidRPr="00E97D2C" w14:paraId="7E27988C" w14:textId="77777777" w:rsidTr="00696E8F">
        <w:trPr>
          <w:trHeight w:val="300"/>
        </w:trPr>
        <w:tc>
          <w:tcPr>
            <w:tcW w:w="1872" w:type="dxa"/>
            <w:noWrap/>
            <w:vAlign w:val="center"/>
            <w:hideMark/>
          </w:tcPr>
          <w:p w14:paraId="774EA018" w14:textId="77777777" w:rsidR="00595F71" w:rsidRPr="00E97D2C" w:rsidRDefault="00595F71" w:rsidP="00696E8F">
            <w:pPr>
              <w:rPr>
                <w:rFonts w:cs="Arial"/>
                <w:color w:val="000000"/>
              </w:rPr>
            </w:pPr>
            <w:r w:rsidRPr="00E97D2C">
              <w:rPr>
                <w:rFonts w:cs="Arial"/>
                <w:color w:val="000000"/>
              </w:rPr>
              <w:t>0D118Z4</w:t>
            </w:r>
          </w:p>
        </w:tc>
        <w:tc>
          <w:tcPr>
            <w:tcW w:w="7560" w:type="dxa"/>
            <w:noWrap/>
            <w:vAlign w:val="center"/>
            <w:hideMark/>
          </w:tcPr>
          <w:p w14:paraId="1E60AF08" w14:textId="77777777" w:rsidR="00595F71" w:rsidRPr="00E97D2C" w:rsidRDefault="00595F71" w:rsidP="00696E8F">
            <w:pPr>
              <w:rPr>
                <w:rFonts w:cs="Arial"/>
                <w:color w:val="000000"/>
              </w:rPr>
            </w:pPr>
            <w:r w:rsidRPr="00E97D2C">
              <w:rPr>
                <w:rFonts w:cs="Arial"/>
                <w:color w:val="000000"/>
              </w:rPr>
              <w:t>Bypass Upper Esophagus to Cutaneous, Via Natural or Artificial Opening Endoscopic</w:t>
            </w:r>
          </w:p>
        </w:tc>
      </w:tr>
      <w:tr w:rsidR="00595F71" w:rsidRPr="00E97D2C" w14:paraId="23953E9C" w14:textId="77777777" w:rsidTr="00696E8F">
        <w:trPr>
          <w:trHeight w:val="300"/>
        </w:trPr>
        <w:tc>
          <w:tcPr>
            <w:tcW w:w="1872" w:type="dxa"/>
            <w:noWrap/>
            <w:vAlign w:val="center"/>
            <w:hideMark/>
          </w:tcPr>
          <w:p w14:paraId="50144079" w14:textId="77777777" w:rsidR="00595F71" w:rsidRPr="00E97D2C" w:rsidRDefault="00595F71" w:rsidP="00696E8F">
            <w:pPr>
              <w:rPr>
                <w:rFonts w:cs="Arial"/>
                <w:color w:val="000000"/>
              </w:rPr>
            </w:pPr>
            <w:r w:rsidRPr="00E97D2C">
              <w:rPr>
                <w:rFonts w:cs="Arial"/>
                <w:color w:val="000000"/>
              </w:rPr>
              <w:t>0D118Z6</w:t>
            </w:r>
          </w:p>
        </w:tc>
        <w:tc>
          <w:tcPr>
            <w:tcW w:w="7560" w:type="dxa"/>
            <w:noWrap/>
            <w:vAlign w:val="center"/>
            <w:hideMark/>
          </w:tcPr>
          <w:p w14:paraId="33FA477C" w14:textId="77777777" w:rsidR="00595F71" w:rsidRPr="00E97D2C" w:rsidRDefault="00595F71" w:rsidP="00696E8F">
            <w:pPr>
              <w:rPr>
                <w:rFonts w:cs="Arial"/>
                <w:color w:val="000000"/>
              </w:rPr>
            </w:pPr>
            <w:r w:rsidRPr="00E97D2C">
              <w:rPr>
                <w:rFonts w:cs="Arial"/>
                <w:color w:val="000000"/>
              </w:rPr>
              <w:t>Bypass Upper Esophagus to Stomach, Via Natural or Artificial Opening Endoscopic</w:t>
            </w:r>
          </w:p>
        </w:tc>
      </w:tr>
      <w:tr w:rsidR="00595F71" w:rsidRPr="00E97D2C" w14:paraId="473171CF" w14:textId="77777777" w:rsidTr="00696E8F">
        <w:trPr>
          <w:trHeight w:val="300"/>
        </w:trPr>
        <w:tc>
          <w:tcPr>
            <w:tcW w:w="1872" w:type="dxa"/>
            <w:noWrap/>
            <w:vAlign w:val="center"/>
            <w:hideMark/>
          </w:tcPr>
          <w:p w14:paraId="2F8FA2FE" w14:textId="77777777" w:rsidR="00595F71" w:rsidRPr="00E97D2C" w:rsidRDefault="00595F71" w:rsidP="00696E8F">
            <w:pPr>
              <w:rPr>
                <w:rFonts w:cs="Arial"/>
                <w:color w:val="000000"/>
              </w:rPr>
            </w:pPr>
            <w:r w:rsidRPr="00E97D2C">
              <w:rPr>
                <w:rFonts w:cs="Arial"/>
                <w:color w:val="000000"/>
              </w:rPr>
              <w:t>0D118Z9</w:t>
            </w:r>
          </w:p>
        </w:tc>
        <w:tc>
          <w:tcPr>
            <w:tcW w:w="7560" w:type="dxa"/>
            <w:noWrap/>
            <w:vAlign w:val="center"/>
            <w:hideMark/>
          </w:tcPr>
          <w:p w14:paraId="346CA638" w14:textId="77777777" w:rsidR="00595F71" w:rsidRPr="00E97D2C" w:rsidRDefault="00595F71" w:rsidP="00696E8F">
            <w:pPr>
              <w:rPr>
                <w:rFonts w:cs="Arial"/>
                <w:color w:val="000000"/>
              </w:rPr>
            </w:pPr>
            <w:r w:rsidRPr="00E97D2C">
              <w:rPr>
                <w:rFonts w:cs="Arial"/>
                <w:color w:val="000000"/>
              </w:rPr>
              <w:t>Bypass Upper Esophagus to Duodenum, Via Natural or Artificial Opening Endoscopic</w:t>
            </w:r>
          </w:p>
        </w:tc>
      </w:tr>
      <w:tr w:rsidR="00595F71" w:rsidRPr="00E97D2C" w14:paraId="25786925" w14:textId="77777777" w:rsidTr="00696E8F">
        <w:trPr>
          <w:trHeight w:val="300"/>
        </w:trPr>
        <w:tc>
          <w:tcPr>
            <w:tcW w:w="1872" w:type="dxa"/>
            <w:noWrap/>
            <w:vAlign w:val="center"/>
            <w:hideMark/>
          </w:tcPr>
          <w:p w14:paraId="4EE7E645" w14:textId="77777777" w:rsidR="00595F71" w:rsidRPr="00E97D2C" w:rsidRDefault="00595F71" w:rsidP="00696E8F">
            <w:pPr>
              <w:rPr>
                <w:rFonts w:cs="Arial"/>
                <w:color w:val="000000"/>
              </w:rPr>
            </w:pPr>
            <w:r w:rsidRPr="00E97D2C">
              <w:rPr>
                <w:rFonts w:cs="Arial"/>
                <w:color w:val="000000"/>
              </w:rPr>
              <w:t>0D118ZA</w:t>
            </w:r>
          </w:p>
        </w:tc>
        <w:tc>
          <w:tcPr>
            <w:tcW w:w="7560" w:type="dxa"/>
            <w:noWrap/>
            <w:vAlign w:val="center"/>
            <w:hideMark/>
          </w:tcPr>
          <w:p w14:paraId="3179B744" w14:textId="77777777" w:rsidR="00595F71" w:rsidRPr="00E97D2C" w:rsidRDefault="00595F71" w:rsidP="00696E8F">
            <w:pPr>
              <w:rPr>
                <w:rFonts w:cs="Arial"/>
                <w:color w:val="000000"/>
              </w:rPr>
            </w:pPr>
            <w:r w:rsidRPr="00E97D2C">
              <w:rPr>
                <w:rFonts w:cs="Arial"/>
                <w:color w:val="000000"/>
              </w:rPr>
              <w:t>Bypass Upper Esophagus to Jejunum, Via Natural or Artificial Opening Endoscopic</w:t>
            </w:r>
          </w:p>
        </w:tc>
      </w:tr>
      <w:tr w:rsidR="00595F71" w:rsidRPr="00E97D2C" w14:paraId="6D72B277" w14:textId="77777777" w:rsidTr="00696E8F">
        <w:trPr>
          <w:trHeight w:val="300"/>
        </w:trPr>
        <w:tc>
          <w:tcPr>
            <w:tcW w:w="1872" w:type="dxa"/>
            <w:noWrap/>
            <w:vAlign w:val="center"/>
            <w:hideMark/>
          </w:tcPr>
          <w:p w14:paraId="1766882F" w14:textId="77777777" w:rsidR="00595F71" w:rsidRPr="00E97D2C" w:rsidRDefault="00595F71" w:rsidP="00696E8F">
            <w:pPr>
              <w:rPr>
                <w:rFonts w:cs="Arial"/>
                <w:color w:val="000000"/>
              </w:rPr>
            </w:pPr>
            <w:r w:rsidRPr="00E97D2C">
              <w:rPr>
                <w:rFonts w:cs="Arial"/>
                <w:color w:val="000000"/>
              </w:rPr>
              <w:t>0D118ZB</w:t>
            </w:r>
          </w:p>
        </w:tc>
        <w:tc>
          <w:tcPr>
            <w:tcW w:w="7560" w:type="dxa"/>
            <w:noWrap/>
            <w:vAlign w:val="center"/>
            <w:hideMark/>
          </w:tcPr>
          <w:p w14:paraId="53834173" w14:textId="77777777" w:rsidR="00595F71" w:rsidRPr="00E97D2C" w:rsidRDefault="00595F71" w:rsidP="00696E8F">
            <w:pPr>
              <w:rPr>
                <w:rFonts w:cs="Arial"/>
                <w:color w:val="000000"/>
              </w:rPr>
            </w:pPr>
            <w:r w:rsidRPr="00E97D2C">
              <w:rPr>
                <w:rFonts w:cs="Arial"/>
                <w:color w:val="000000"/>
              </w:rPr>
              <w:t>Bypass Upper Esophagus to Ileum, Via Natural or Artificial Opening Endoscopic</w:t>
            </w:r>
          </w:p>
        </w:tc>
      </w:tr>
      <w:tr w:rsidR="00595F71" w:rsidRPr="00E97D2C" w14:paraId="2E978848" w14:textId="77777777" w:rsidTr="00696E8F">
        <w:trPr>
          <w:trHeight w:val="300"/>
        </w:trPr>
        <w:tc>
          <w:tcPr>
            <w:tcW w:w="1872" w:type="dxa"/>
            <w:noWrap/>
            <w:vAlign w:val="center"/>
            <w:hideMark/>
          </w:tcPr>
          <w:p w14:paraId="64356954" w14:textId="77777777" w:rsidR="00595F71" w:rsidRPr="00E97D2C" w:rsidRDefault="00595F71" w:rsidP="00696E8F">
            <w:pPr>
              <w:rPr>
                <w:rFonts w:cs="Arial"/>
                <w:color w:val="000000"/>
              </w:rPr>
            </w:pPr>
            <w:r w:rsidRPr="00E97D2C">
              <w:rPr>
                <w:rFonts w:cs="Arial"/>
                <w:color w:val="000000"/>
              </w:rPr>
              <w:t>0D12074</w:t>
            </w:r>
          </w:p>
        </w:tc>
        <w:tc>
          <w:tcPr>
            <w:tcW w:w="7560" w:type="dxa"/>
            <w:noWrap/>
            <w:vAlign w:val="center"/>
            <w:hideMark/>
          </w:tcPr>
          <w:p w14:paraId="70169D25" w14:textId="77777777" w:rsidR="00595F71" w:rsidRPr="00E97D2C" w:rsidRDefault="00595F71" w:rsidP="00696E8F">
            <w:pPr>
              <w:rPr>
                <w:rFonts w:cs="Arial"/>
                <w:color w:val="000000"/>
              </w:rPr>
            </w:pPr>
            <w:r w:rsidRPr="00E97D2C">
              <w:rPr>
                <w:rFonts w:cs="Arial"/>
                <w:color w:val="000000"/>
              </w:rPr>
              <w:t>Bypass Middle Esophagus to Cutaneous with Autologous Tissue Substitute, Open Approach</w:t>
            </w:r>
          </w:p>
        </w:tc>
      </w:tr>
      <w:tr w:rsidR="00595F71" w:rsidRPr="00E97D2C" w14:paraId="27A02D26" w14:textId="77777777" w:rsidTr="00696E8F">
        <w:trPr>
          <w:trHeight w:val="300"/>
        </w:trPr>
        <w:tc>
          <w:tcPr>
            <w:tcW w:w="1872" w:type="dxa"/>
            <w:noWrap/>
            <w:vAlign w:val="center"/>
            <w:hideMark/>
          </w:tcPr>
          <w:p w14:paraId="0654051B" w14:textId="77777777" w:rsidR="00595F71" w:rsidRPr="00E97D2C" w:rsidRDefault="00595F71" w:rsidP="00696E8F">
            <w:pPr>
              <w:rPr>
                <w:rFonts w:cs="Arial"/>
                <w:color w:val="000000"/>
              </w:rPr>
            </w:pPr>
            <w:r w:rsidRPr="00E97D2C">
              <w:rPr>
                <w:rFonts w:cs="Arial"/>
                <w:color w:val="000000"/>
              </w:rPr>
              <w:t>0D12076</w:t>
            </w:r>
          </w:p>
        </w:tc>
        <w:tc>
          <w:tcPr>
            <w:tcW w:w="7560" w:type="dxa"/>
            <w:noWrap/>
            <w:vAlign w:val="center"/>
            <w:hideMark/>
          </w:tcPr>
          <w:p w14:paraId="60549334" w14:textId="77777777" w:rsidR="00595F71" w:rsidRPr="00E97D2C" w:rsidRDefault="00595F71" w:rsidP="00696E8F">
            <w:pPr>
              <w:rPr>
                <w:rFonts w:cs="Arial"/>
                <w:color w:val="000000"/>
              </w:rPr>
            </w:pPr>
            <w:r w:rsidRPr="00E97D2C">
              <w:rPr>
                <w:rFonts w:cs="Arial"/>
                <w:color w:val="000000"/>
              </w:rPr>
              <w:t>Bypass Middle Esophagus to Stomach with Autologous Tissue Substitute, Open Approach</w:t>
            </w:r>
          </w:p>
        </w:tc>
      </w:tr>
      <w:tr w:rsidR="00595F71" w:rsidRPr="00E97D2C" w14:paraId="538C48AF" w14:textId="77777777" w:rsidTr="00696E8F">
        <w:trPr>
          <w:trHeight w:val="300"/>
        </w:trPr>
        <w:tc>
          <w:tcPr>
            <w:tcW w:w="1872" w:type="dxa"/>
            <w:noWrap/>
            <w:vAlign w:val="center"/>
            <w:hideMark/>
          </w:tcPr>
          <w:p w14:paraId="46F0DCED" w14:textId="77777777" w:rsidR="00595F71" w:rsidRPr="00E97D2C" w:rsidRDefault="00595F71" w:rsidP="00696E8F">
            <w:pPr>
              <w:rPr>
                <w:rFonts w:cs="Arial"/>
                <w:color w:val="000000"/>
              </w:rPr>
            </w:pPr>
            <w:r w:rsidRPr="00E97D2C">
              <w:rPr>
                <w:rFonts w:cs="Arial"/>
                <w:color w:val="000000"/>
              </w:rPr>
              <w:t>0D12079</w:t>
            </w:r>
          </w:p>
        </w:tc>
        <w:tc>
          <w:tcPr>
            <w:tcW w:w="7560" w:type="dxa"/>
            <w:noWrap/>
            <w:vAlign w:val="center"/>
            <w:hideMark/>
          </w:tcPr>
          <w:p w14:paraId="21584CF0" w14:textId="77777777" w:rsidR="00595F71" w:rsidRPr="00E97D2C" w:rsidRDefault="00595F71" w:rsidP="00696E8F">
            <w:pPr>
              <w:rPr>
                <w:rFonts w:cs="Arial"/>
                <w:color w:val="000000"/>
              </w:rPr>
            </w:pPr>
            <w:r w:rsidRPr="00E97D2C">
              <w:rPr>
                <w:rFonts w:cs="Arial"/>
                <w:color w:val="000000"/>
              </w:rPr>
              <w:t>Bypass Middle Esophagus to Duodenum with Autologous Tissue Substitute, Open Approach</w:t>
            </w:r>
          </w:p>
        </w:tc>
      </w:tr>
      <w:tr w:rsidR="00595F71" w:rsidRPr="00E97D2C" w14:paraId="1E49E266" w14:textId="77777777" w:rsidTr="00696E8F">
        <w:trPr>
          <w:trHeight w:val="300"/>
        </w:trPr>
        <w:tc>
          <w:tcPr>
            <w:tcW w:w="1872" w:type="dxa"/>
            <w:noWrap/>
            <w:vAlign w:val="center"/>
            <w:hideMark/>
          </w:tcPr>
          <w:p w14:paraId="47CD55F0" w14:textId="77777777" w:rsidR="00595F71" w:rsidRPr="00E97D2C" w:rsidRDefault="00595F71" w:rsidP="00696E8F">
            <w:pPr>
              <w:rPr>
                <w:rFonts w:cs="Arial"/>
                <w:color w:val="000000"/>
              </w:rPr>
            </w:pPr>
            <w:r w:rsidRPr="00E97D2C">
              <w:rPr>
                <w:rFonts w:cs="Arial"/>
                <w:color w:val="000000"/>
              </w:rPr>
              <w:t>0D1207A</w:t>
            </w:r>
          </w:p>
        </w:tc>
        <w:tc>
          <w:tcPr>
            <w:tcW w:w="7560" w:type="dxa"/>
            <w:noWrap/>
            <w:vAlign w:val="center"/>
            <w:hideMark/>
          </w:tcPr>
          <w:p w14:paraId="2B66B566" w14:textId="77777777" w:rsidR="00595F71" w:rsidRPr="00E97D2C" w:rsidRDefault="00595F71" w:rsidP="00696E8F">
            <w:pPr>
              <w:rPr>
                <w:rFonts w:cs="Arial"/>
                <w:color w:val="000000"/>
              </w:rPr>
            </w:pPr>
            <w:r w:rsidRPr="00E97D2C">
              <w:rPr>
                <w:rFonts w:cs="Arial"/>
                <w:color w:val="000000"/>
              </w:rPr>
              <w:t>Bypass Middle Esophagus to Jejunum with Autologous Tissue Substitute, Open Approach</w:t>
            </w:r>
          </w:p>
        </w:tc>
      </w:tr>
      <w:tr w:rsidR="00595F71" w:rsidRPr="00E97D2C" w14:paraId="77725304" w14:textId="77777777" w:rsidTr="00696E8F">
        <w:trPr>
          <w:trHeight w:val="300"/>
        </w:trPr>
        <w:tc>
          <w:tcPr>
            <w:tcW w:w="1872" w:type="dxa"/>
            <w:noWrap/>
            <w:vAlign w:val="center"/>
            <w:hideMark/>
          </w:tcPr>
          <w:p w14:paraId="137F1C74" w14:textId="77777777" w:rsidR="00595F71" w:rsidRPr="00E97D2C" w:rsidRDefault="00595F71" w:rsidP="00696E8F">
            <w:pPr>
              <w:rPr>
                <w:rFonts w:cs="Arial"/>
                <w:color w:val="000000"/>
              </w:rPr>
            </w:pPr>
            <w:r w:rsidRPr="00E97D2C">
              <w:rPr>
                <w:rFonts w:cs="Arial"/>
                <w:color w:val="000000"/>
              </w:rPr>
              <w:t>0D1207B</w:t>
            </w:r>
          </w:p>
        </w:tc>
        <w:tc>
          <w:tcPr>
            <w:tcW w:w="7560" w:type="dxa"/>
            <w:noWrap/>
            <w:vAlign w:val="center"/>
            <w:hideMark/>
          </w:tcPr>
          <w:p w14:paraId="0E7346DD" w14:textId="77777777" w:rsidR="00595F71" w:rsidRPr="00E97D2C" w:rsidRDefault="00595F71" w:rsidP="00696E8F">
            <w:pPr>
              <w:rPr>
                <w:rFonts w:cs="Arial"/>
                <w:color w:val="000000"/>
              </w:rPr>
            </w:pPr>
            <w:r w:rsidRPr="00E97D2C">
              <w:rPr>
                <w:rFonts w:cs="Arial"/>
                <w:color w:val="000000"/>
              </w:rPr>
              <w:t>Bypass Middle Esophagus to Ileum with Autologous Tissue Substitute, Open Approach</w:t>
            </w:r>
          </w:p>
        </w:tc>
      </w:tr>
      <w:tr w:rsidR="00595F71" w:rsidRPr="00E97D2C" w14:paraId="6E913676" w14:textId="77777777" w:rsidTr="00696E8F">
        <w:trPr>
          <w:trHeight w:val="300"/>
        </w:trPr>
        <w:tc>
          <w:tcPr>
            <w:tcW w:w="1872" w:type="dxa"/>
            <w:noWrap/>
            <w:vAlign w:val="center"/>
            <w:hideMark/>
          </w:tcPr>
          <w:p w14:paraId="77E7AC46" w14:textId="77777777" w:rsidR="00595F71" w:rsidRPr="00E97D2C" w:rsidRDefault="00595F71" w:rsidP="00696E8F">
            <w:pPr>
              <w:rPr>
                <w:rFonts w:cs="Arial"/>
                <w:color w:val="000000"/>
              </w:rPr>
            </w:pPr>
            <w:r w:rsidRPr="00E97D2C">
              <w:rPr>
                <w:rFonts w:cs="Arial"/>
                <w:color w:val="000000"/>
              </w:rPr>
              <w:t>0D120J4</w:t>
            </w:r>
          </w:p>
        </w:tc>
        <w:tc>
          <w:tcPr>
            <w:tcW w:w="7560" w:type="dxa"/>
            <w:noWrap/>
            <w:vAlign w:val="center"/>
            <w:hideMark/>
          </w:tcPr>
          <w:p w14:paraId="0DC8E1F5" w14:textId="77777777" w:rsidR="00595F71" w:rsidRPr="00E97D2C" w:rsidRDefault="00595F71" w:rsidP="00696E8F">
            <w:pPr>
              <w:rPr>
                <w:rFonts w:cs="Arial"/>
                <w:color w:val="000000"/>
              </w:rPr>
            </w:pPr>
            <w:r w:rsidRPr="00E97D2C">
              <w:rPr>
                <w:rFonts w:cs="Arial"/>
                <w:color w:val="000000"/>
              </w:rPr>
              <w:t>Bypass Middle Esophagus to Cutaneous with Synthetic Substitute, Open Approach</w:t>
            </w:r>
          </w:p>
        </w:tc>
      </w:tr>
      <w:tr w:rsidR="00595F71" w:rsidRPr="00E97D2C" w14:paraId="47E0814C" w14:textId="77777777" w:rsidTr="00696E8F">
        <w:trPr>
          <w:trHeight w:val="300"/>
        </w:trPr>
        <w:tc>
          <w:tcPr>
            <w:tcW w:w="1872" w:type="dxa"/>
            <w:noWrap/>
            <w:vAlign w:val="center"/>
            <w:hideMark/>
          </w:tcPr>
          <w:p w14:paraId="53E3517D" w14:textId="77777777" w:rsidR="00595F71" w:rsidRPr="00E97D2C" w:rsidRDefault="00595F71" w:rsidP="00696E8F">
            <w:pPr>
              <w:rPr>
                <w:rFonts w:cs="Arial"/>
                <w:color w:val="000000"/>
              </w:rPr>
            </w:pPr>
            <w:r w:rsidRPr="00E97D2C">
              <w:rPr>
                <w:rFonts w:cs="Arial"/>
                <w:color w:val="000000"/>
              </w:rPr>
              <w:t>0D120J6</w:t>
            </w:r>
          </w:p>
        </w:tc>
        <w:tc>
          <w:tcPr>
            <w:tcW w:w="7560" w:type="dxa"/>
            <w:noWrap/>
            <w:vAlign w:val="center"/>
            <w:hideMark/>
          </w:tcPr>
          <w:p w14:paraId="52BA15BB" w14:textId="77777777" w:rsidR="00595F71" w:rsidRPr="00E97D2C" w:rsidRDefault="00595F71" w:rsidP="00696E8F">
            <w:pPr>
              <w:rPr>
                <w:rFonts w:cs="Arial"/>
                <w:color w:val="000000"/>
              </w:rPr>
            </w:pPr>
            <w:r w:rsidRPr="00E97D2C">
              <w:rPr>
                <w:rFonts w:cs="Arial"/>
                <w:color w:val="000000"/>
              </w:rPr>
              <w:t>Bypass Middle Esophagus to Stomach with Synthetic Substitute, Open Approach</w:t>
            </w:r>
          </w:p>
        </w:tc>
      </w:tr>
      <w:tr w:rsidR="00595F71" w:rsidRPr="00E97D2C" w14:paraId="2472A0E4" w14:textId="77777777" w:rsidTr="00696E8F">
        <w:trPr>
          <w:trHeight w:val="300"/>
        </w:trPr>
        <w:tc>
          <w:tcPr>
            <w:tcW w:w="1872" w:type="dxa"/>
            <w:noWrap/>
            <w:vAlign w:val="center"/>
            <w:hideMark/>
          </w:tcPr>
          <w:p w14:paraId="0ACD1CB3" w14:textId="77777777" w:rsidR="00595F71" w:rsidRPr="00E97D2C" w:rsidRDefault="00595F71" w:rsidP="00696E8F">
            <w:pPr>
              <w:rPr>
                <w:rFonts w:cs="Arial"/>
                <w:color w:val="000000"/>
              </w:rPr>
            </w:pPr>
            <w:r w:rsidRPr="00E97D2C">
              <w:rPr>
                <w:rFonts w:cs="Arial"/>
                <w:color w:val="000000"/>
              </w:rPr>
              <w:t>0D120J9</w:t>
            </w:r>
          </w:p>
        </w:tc>
        <w:tc>
          <w:tcPr>
            <w:tcW w:w="7560" w:type="dxa"/>
            <w:noWrap/>
            <w:vAlign w:val="center"/>
            <w:hideMark/>
          </w:tcPr>
          <w:p w14:paraId="79D2BB91" w14:textId="77777777" w:rsidR="00595F71" w:rsidRPr="00E97D2C" w:rsidRDefault="00595F71" w:rsidP="00696E8F">
            <w:pPr>
              <w:rPr>
                <w:rFonts w:cs="Arial"/>
                <w:color w:val="000000"/>
              </w:rPr>
            </w:pPr>
            <w:r w:rsidRPr="00E97D2C">
              <w:rPr>
                <w:rFonts w:cs="Arial"/>
                <w:color w:val="000000"/>
              </w:rPr>
              <w:t>Bypass Middle Esophagus to Duodenum with Synthetic Substitute, Open Approach</w:t>
            </w:r>
          </w:p>
        </w:tc>
      </w:tr>
      <w:tr w:rsidR="00595F71" w:rsidRPr="00E97D2C" w14:paraId="1416268E" w14:textId="77777777" w:rsidTr="00696E8F">
        <w:trPr>
          <w:trHeight w:val="300"/>
        </w:trPr>
        <w:tc>
          <w:tcPr>
            <w:tcW w:w="1872" w:type="dxa"/>
            <w:noWrap/>
            <w:vAlign w:val="center"/>
            <w:hideMark/>
          </w:tcPr>
          <w:p w14:paraId="5C92FE01" w14:textId="77777777" w:rsidR="00595F71" w:rsidRPr="00E97D2C" w:rsidRDefault="00595F71" w:rsidP="00696E8F">
            <w:pPr>
              <w:rPr>
                <w:rFonts w:cs="Arial"/>
                <w:color w:val="000000"/>
              </w:rPr>
            </w:pPr>
            <w:r w:rsidRPr="00E97D2C">
              <w:rPr>
                <w:rFonts w:cs="Arial"/>
                <w:color w:val="000000"/>
              </w:rPr>
              <w:t>0D120JA</w:t>
            </w:r>
          </w:p>
        </w:tc>
        <w:tc>
          <w:tcPr>
            <w:tcW w:w="7560" w:type="dxa"/>
            <w:noWrap/>
            <w:vAlign w:val="center"/>
            <w:hideMark/>
          </w:tcPr>
          <w:p w14:paraId="0E274887" w14:textId="77777777" w:rsidR="00595F71" w:rsidRPr="00E97D2C" w:rsidRDefault="00595F71" w:rsidP="00696E8F">
            <w:pPr>
              <w:rPr>
                <w:rFonts w:cs="Arial"/>
                <w:color w:val="000000"/>
              </w:rPr>
            </w:pPr>
            <w:r w:rsidRPr="00E97D2C">
              <w:rPr>
                <w:rFonts w:cs="Arial"/>
                <w:color w:val="000000"/>
              </w:rPr>
              <w:t>Bypass Middle Esophagus to Jejunum with Synthetic Substitute, Open Approach</w:t>
            </w:r>
          </w:p>
        </w:tc>
      </w:tr>
      <w:tr w:rsidR="00595F71" w:rsidRPr="00E97D2C" w14:paraId="099D9F98" w14:textId="77777777" w:rsidTr="00696E8F">
        <w:trPr>
          <w:trHeight w:val="300"/>
        </w:trPr>
        <w:tc>
          <w:tcPr>
            <w:tcW w:w="1872" w:type="dxa"/>
            <w:noWrap/>
            <w:vAlign w:val="center"/>
            <w:hideMark/>
          </w:tcPr>
          <w:p w14:paraId="30D1E250" w14:textId="77777777" w:rsidR="00595F71" w:rsidRPr="00E97D2C" w:rsidRDefault="00595F71" w:rsidP="00696E8F">
            <w:pPr>
              <w:rPr>
                <w:rFonts w:cs="Arial"/>
                <w:color w:val="000000"/>
              </w:rPr>
            </w:pPr>
            <w:r w:rsidRPr="00E97D2C">
              <w:rPr>
                <w:rFonts w:cs="Arial"/>
                <w:color w:val="000000"/>
              </w:rPr>
              <w:t>0D120JB</w:t>
            </w:r>
          </w:p>
        </w:tc>
        <w:tc>
          <w:tcPr>
            <w:tcW w:w="7560" w:type="dxa"/>
            <w:noWrap/>
            <w:vAlign w:val="center"/>
            <w:hideMark/>
          </w:tcPr>
          <w:p w14:paraId="7EE3F0E6" w14:textId="77777777" w:rsidR="00595F71" w:rsidRPr="00E97D2C" w:rsidRDefault="00595F71" w:rsidP="00696E8F">
            <w:pPr>
              <w:rPr>
                <w:rFonts w:cs="Arial"/>
                <w:color w:val="000000"/>
              </w:rPr>
            </w:pPr>
            <w:r w:rsidRPr="00E97D2C">
              <w:rPr>
                <w:rFonts w:cs="Arial"/>
                <w:color w:val="000000"/>
              </w:rPr>
              <w:t>Bypass Middle Esophagus to Ileum with Synthetic Substitute, Open Approach</w:t>
            </w:r>
          </w:p>
        </w:tc>
      </w:tr>
      <w:tr w:rsidR="00595F71" w:rsidRPr="00E97D2C" w14:paraId="0345C039" w14:textId="77777777" w:rsidTr="00696E8F">
        <w:trPr>
          <w:trHeight w:val="300"/>
        </w:trPr>
        <w:tc>
          <w:tcPr>
            <w:tcW w:w="1872" w:type="dxa"/>
            <w:noWrap/>
            <w:vAlign w:val="center"/>
            <w:hideMark/>
          </w:tcPr>
          <w:p w14:paraId="7F003D64" w14:textId="77777777" w:rsidR="00595F71" w:rsidRPr="00E97D2C" w:rsidRDefault="00595F71" w:rsidP="00696E8F">
            <w:pPr>
              <w:rPr>
                <w:rFonts w:cs="Arial"/>
                <w:color w:val="000000"/>
              </w:rPr>
            </w:pPr>
            <w:r w:rsidRPr="00E97D2C">
              <w:rPr>
                <w:rFonts w:cs="Arial"/>
                <w:color w:val="000000"/>
              </w:rPr>
              <w:t>0D120K4</w:t>
            </w:r>
          </w:p>
        </w:tc>
        <w:tc>
          <w:tcPr>
            <w:tcW w:w="7560" w:type="dxa"/>
            <w:noWrap/>
            <w:vAlign w:val="center"/>
            <w:hideMark/>
          </w:tcPr>
          <w:p w14:paraId="474027DA" w14:textId="77777777" w:rsidR="00595F71" w:rsidRPr="00E97D2C" w:rsidRDefault="00595F71" w:rsidP="00696E8F">
            <w:pPr>
              <w:rPr>
                <w:rFonts w:cs="Arial"/>
                <w:color w:val="000000"/>
              </w:rPr>
            </w:pPr>
            <w:r w:rsidRPr="00E97D2C">
              <w:rPr>
                <w:rFonts w:cs="Arial"/>
                <w:color w:val="000000"/>
              </w:rPr>
              <w:t>Bypass Middle Esophagus to Cutaneous with Nonautologous Tissue Substitute, Open Approach</w:t>
            </w:r>
          </w:p>
        </w:tc>
      </w:tr>
      <w:tr w:rsidR="00595F71" w:rsidRPr="00E97D2C" w14:paraId="23DF7694" w14:textId="77777777" w:rsidTr="00696E8F">
        <w:trPr>
          <w:trHeight w:val="300"/>
        </w:trPr>
        <w:tc>
          <w:tcPr>
            <w:tcW w:w="1872" w:type="dxa"/>
            <w:noWrap/>
            <w:vAlign w:val="center"/>
            <w:hideMark/>
          </w:tcPr>
          <w:p w14:paraId="25EBFF02" w14:textId="77777777" w:rsidR="00595F71" w:rsidRPr="00E97D2C" w:rsidRDefault="00595F71" w:rsidP="00696E8F">
            <w:pPr>
              <w:rPr>
                <w:rFonts w:cs="Arial"/>
                <w:color w:val="000000"/>
              </w:rPr>
            </w:pPr>
            <w:r w:rsidRPr="00E97D2C">
              <w:rPr>
                <w:rFonts w:cs="Arial"/>
                <w:color w:val="000000"/>
              </w:rPr>
              <w:t>0D120K6</w:t>
            </w:r>
          </w:p>
        </w:tc>
        <w:tc>
          <w:tcPr>
            <w:tcW w:w="7560" w:type="dxa"/>
            <w:noWrap/>
            <w:vAlign w:val="center"/>
            <w:hideMark/>
          </w:tcPr>
          <w:p w14:paraId="69A2C153" w14:textId="77777777" w:rsidR="00595F71" w:rsidRPr="00E97D2C" w:rsidRDefault="00595F71" w:rsidP="00696E8F">
            <w:pPr>
              <w:rPr>
                <w:rFonts w:cs="Arial"/>
                <w:color w:val="000000"/>
              </w:rPr>
            </w:pPr>
            <w:r w:rsidRPr="00E97D2C">
              <w:rPr>
                <w:rFonts w:cs="Arial"/>
                <w:color w:val="000000"/>
              </w:rPr>
              <w:t>Bypass Middle Esophagus to Stomach with Nonautologous Tissue Substitute, Open Approach</w:t>
            </w:r>
          </w:p>
        </w:tc>
      </w:tr>
      <w:tr w:rsidR="00595F71" w:rsidRPr="00E97D2C" w14:paraId="0B5BD8BD" w14:textId="77777777" w:rsidTr="00696E8F">
        <w:trPr>
          <w:trHeight w:val="300"/>
        </w:trPr>
        <w:tc>
          <w:tcPr>
            <w:tcW w:w="1872" w:type="dxa"/>
            <w:noWrap/>
            <w:vAlign w:val="center"/>
            <w:hideMark/>
          </w:tcPr>
          <w:p w14:paraId="4ED4D50B" w14:textId="77777777" w:rsidR="00595F71" w:rsidRPr="00E97D2C" w:rsidRDefault="00595F71" w:rsidP="00696E8F">
            <w:pPr>
              <w:rPr>
                <w:rFonts w:cs="Arial"/>
                <w:color w:val="000000"/>
              </w:rPr>
            </w:pPr>
            <w:r w:rsidRPr="00E97D2C">
              <w:rPr>
                <w:rFonts w:cs="Arial"/>
                <w:color w:val="000000"/>
              </w:rPr>
              <w:t>0D120K9</w:t>
            </w:r>
          </w:p>
        </w:tc>
        <w:tc>
          <w:tcPr>
            <w:tcW w:w="7560" w:type="dxa"/>
            <w:noWrap/>
            <w:vAlign w:val="center"/>
            <w:hideMark/>
          </w:tcPr>
          <w:p w14:paraId="55FDF98F" w14:textId="77777777" w:rsidR="00595F71" w:rsidRPr="00E97D2C" w:rsidRDefault="00595F71" w:rsidP="00696E8F">
            <w:pPr>
              <w:rPr>
                <w:rFonts w:cs="Arial"/>
                <w:color w:val="000000"/>
              </w:rPr>
            </w:pPr>
            <w:r w:rsidRPr="00E97D2C">
              <w:rPr>
                <w:rFonts w:cs="Arial"/>
                <w:color w:val="000000"/>
              </w:rPr>
              <w:t>Bypass Middle Esophagus to Duodenum with Nonautologous Tissue Substitute, Open Approach</w:t>
            </w:r>
          </w:p>
        </w:tc>
      </w:tr>
      <w:tr w:rsidR="00595F71" w:rsidRPr="00E97D2C" w14:paraId="1B24972E" w14:textId="77777777" w:rsidTr="00696E8F">
        <w:trPr>
          <w:trHeight w:val="300"/>
        </w:trPr>
        <w:tc>
          <w:tcPr>
            <w:tcW w:w="1872" w:type="dxa"/>
            <w:noWrap/>
            <w:vAlign w:val="center"/>
            <w:hideMark/>
          </w:tcPr>
          <w:p w14:paraId="5D9692D1" w14:textId="77777777" w:rsidR="00595F71" w:rsidRPr="00E97D2C" w:rsidRDefault="00595F71" w:rsidP="00696E8F">
            <w:pPr>
              <w:rPr>
                <w:rFonts w:cs="Arial"/>
                <w:color w:val="000000"/>
              </w:rPr>
            </w:pPr>
            <w:r w:rsidRPr="00E97D2C">
              <w:rPr>
                <w:rFonts w:cs="Arial"/>
                <w:color w:val="000000"/>
              </w:rPr>
              <w:t>0D120KA</w:t>
            </w:r>
          </w:p>
        </w:tc>
        <w:tc>
          <w:tcPr>
            <w:tcW w:w="7560" w:type="dxa"/>
            <w:noWrap/>
            <w:vAlign w:val="center"/>
            <w:hideMark/>
          </w:tcPr>
          <w:p w14:paraId="748B32B1" w14:textId="77777777" w:rsidR="00595F71" w:rsidRPr="00E97D2C" w:rsidRDefault="00595F71" w:rsidP="00696E8F">
            <w:pPr>
              <w:rPr>
                <w:rFonts w:cs="Arial"/>
                <w:color w:val="000000"/>
              </w:rPr>
            </w:pPr>
            <w:r w:rsidRPr="00E97D2C">
              <w:rPr>
                <w:rFonts w:cs="Arial"/>
                <w:color w:val="000000"/>
              </w:rPr>
              <w:t>Bypass Middle Esophagus to Jejunum with Nonautologous Tissue Substitute, Open Approach</w:t>
            </w:r>
          </w:p>
        </w:tc>
      </w:tr>
      <w:tr w:rsidR="00595F71" w:rsidRPr="00E97D2C" w14:paraId="21A0FB7A" w14:textId="77777777" w:rsidTr="00696E8F">
        <w:trPr>
          <w:trHeight w:val="300"/>
        </w:trPr>
        <w:tc>
          <w:tcPr>
            <w:tcW w:w="1872" w:type="dxa"/>
            <w:noWrap/>
            <w:vAlign w:val="center"/>
            <w:hideMark/>
          </w:tcPr>
          <w:p w14:paraId="65C88252" w14:textId="77777777" w:rsidR="00595F71" w:rsidRPr="00E97D2C" w:rsidRDefault="00595F71" w:rsidP="00696E8F">
            <w:pPr>
              <w:rPr>
                <w:rFonts w:cs="Arial"/>
                <w:color w:val="000000"/>
              </w:rPr>
            </w:pPr>
            <w:r w:rsidRPr="00E97D2C">
              <w:rPr>
                <w:rFonts w:cs="Arial"/>
                <w:color w:val="000000"/>
              </w:rPr>
              <w:t>0D120KB</w:t>
            </w:r>
          </w:p>
        </w:tc>
        <w:tc>
          <w:tcPr>
            <w:tcW w:w="7560" w:type="dxa"/>
            <w:noWrap/>
            <w:vAlign w:val="center"/>
            <w:hideMark/>
          </w:tcPr>
          <w:p w14:paraId="583C6FFC" w14:textId="77777777" w:rsidR="00595F71" w:rsidRPr="00E97D2C" w:rsidRDefault="00595F71" w:rsidP="00696E8F">
            <w:pPr>
              <w:rPr>
                <w:rFonts w:cs="Arial"/>
                <w:color w:val="000000"/>
              </w:rPr>
            </w:pPr>
            <w:r w:rsidRPr="00E97D2C">
              <w:rPr>
                <w:rFonts w:cs="Arial"/>
                <w:color w:val="000000"/>
              </w:rPr>
              <w:t>Bypass Middle Esophagus to Ileum with Nonautologous Tissue Substitute, Open Approach</w:t>
            </w:r>
          </w:p>
        </w:tc>
      </w:tr>
      <w:tr w:rsidR="00595F71" w:rsidRPr="00E97D2C" w14:paraId="67D6A38B" w14:textId="77777777" w:rsidTr="00696E8F">
        <w:trPr>
          <w:trHeight w:val="300"/>
        </w:trPr>
        <w:tc>
          <w:tcPr>
            <w:tcW w:w="1872" w:type="dxa"/>
            <w:noWrap/>
            <w:vAlign w:val="center"/>
            <w:hideMark/>
          </w:tcPr>
          <w:p w14:paraId="37DC447F" w14:textId="77777777" w:rsidR="00595F71" w:rsidRPr="00E97D2C" w:rsidRDefault="00595F71" w:rsidP="00696E8F">
            <w:pPr>
              <w:rPr>
                <w:rFonts w:cs="Arial"/>
                <w:color w:val="000000"/>
              </w:rPr>
            </w:pPr>
            <w:r w:rsidRPr="00E97D2C">
              <w:rPr>
                <w:rFonts w:cs="Arial"/>
                <w:color w:val="000000"/>
              </w:rPr>
              <w:t>0D120Z4</w:t>
            </w:r>
          </w:p>
        </w:tc>
        <w:tc>
          <w:tcPr>
            <w:tcW w:w="7560" w:type="dxa"/>
            <w:noWrap/>
            <w:vAlign w:val="center"/>
            <w:hideMark/>
          </w:tcPr>
          <w:p w14:paraId="183C996D" w14:textId="77777777" w:rsidR="00595F71" w:rsidRPr="00E97D2C" w:rsidRDefault="00595F71" w:rsidP="00696E8F">
            <w:pPr>
              <w:rPr>
                <w:rFonts w:cs="Arial"/>
                <w:color w:val="000000"/>
              </w:rPr>
            </w:pPr>
            <w:r w:rsidRPr="00E97D2C">
              <w:rPr>
                <w:rFonts w:cs="Arial"/>
                <w:color w:val="000000"/>
              </w:rPr>
              <w:t>Bypass Middle Esophagus to Cutaneous, Open Approach</w:t>
            </w:r>
          </w:p>
        </w:tc>
      </w:tr>
      <w:tr w:rsidR="00595F71" w:rsidRPr="00E97D2C" w14:paraId="274908C6" w14:textId="77777777" w:rsidTr="00696E8F">
        <w:trPr>
          <w:trHeight w:val="300"/>
        </w:trPr>
        <w:tc>
          <w:tcPr>
            <w:tcW w:w="1872" w:type="dxa"/>
            <w:noWrap/>
            <w:vAlign w:val="center"/>
            <w:hideMark/>
          </w:tcPr>
          <w:p w14:paraId="304CE722" w14:textId="77777777" w:rsidR="00595F71" w:rsidRPr="00E97D2C" w:rsidRDefault="00595F71" w:rsidP="00696E8F">
            <w:pPr>
              <w:rPr>
                <w:rFonts w:cs="Arial"/>
                <w:color w:val="000000"/>
              </w:rPr>
            </w:pPr>
            <w:r w:rsidRPr="00E97D2C">
              <w:rPr>
                <w:rFonts w:cs="Arial"/>
                <w:color w:val="000000"/>
              </w:rPr>
              <w:t>0D120Z6</w:t>
            </w:r>
          </w:p>
        </w:tc>
        <w:tc>
          <w:tcPr>
            <w:tcW w:w="7560" w:type="dxa"/>
            <w:noWrap/>
            <w:vAlign w:val="center"/>
            <w:hideMark/>
          </w:tcPr>
          <w:p w14:paraId="114BE2D0" w14:textId="77777777" w:rsidR="00595F71" w:rsidRPr="00E97D2C" w:rsidRDefault="00595F71" w:rsidP="00696E8F">
            <w:pPr>
              <w:rPr>
                <w:rFonts w:cs="Arial"/>
                <w:color w:val="000000"/>
              </w:rPr>
            </w:pPr>
            <w:r w:rsidRPr="00E97D2C">
              <w:rPr>
                <w:rFonts w:cs="Arial"/>
                <w:color w:val="000000"/>
              </w:rPr>
              <w:t>Bypass Middle Esophagus to Stomach, Open Approach</w:t>
            </w:r>
          </w:p>
        </w:tc>
      </w:tr>
      <w:tr w:rsidR="00595F71" w:rsidRPr="00E97D2C" w14:paraId="0D01B361" w14:textId="77777777" w:rsidTr="00696E8F">
        <w:trPr>
          <w:trHeight w:val="300"/>
        </w:trPr>
        <w:tc>
          <w:tcPr>
            <w:tcW w:w="1872" w:type="dxa"/>
            <w:noWrap/>
            <w:vAlign w:val="center"/>
            <w:hideMark/>
          </w:tcPr>
          <w:p w14:paraId="37E26B26" w14:textId="77777777" w:rsidR="00595F71" w:rsidRPr="00E97D2C" w:rsidRDefault="00595F71" w:rsidP="00696E8F">
            <w:pPr>
              <w:rPr>
                <w:rFonts w:cs="Arial"/>
                <w:color w:val="000000"/>
              </w:rPr>
            </w:pPr>
            <w:r w:rsidRPr="00E97D2C">
              <w:rPr>
                <w:rFonts w:cs="Arial"/>
                <w:color w:val="000000"/>
              </w:rPr>
              <w:t>0D120Z9</w:t>
            </w:r>
          </w:p>
        </w:tc>
        <w:tc>
          <w:tcPr>
            <w:tcW w:w="7560" w:type="dxa"/>
            <w:noWrap/>
            <w:vAlign w:val="center"/>
            <w:hideMark/>
          </w:tcPr>
          <w:p w14:paraId="043554C5" w14:textId="77777777" w:rsidR="00595F71" w:rsidRPr="00E97D2C" w:rsidRDefault="00595F71" w:rsidP="00696E8F">
            <w:pPr>
              <w:rPr>
                <w:rFonts w:cs="Arial"/>
                <w:color w:val="000000"/>
              </w:rPr>
            </w:pPr>
            <w:r w:rsidRPr="00E97D2C">
              <w:rPr>
                <w:rFonts w:cs="Arial"/>
                <w:color w:val="000000"/>
              </w:rPr>
              <w:t>Bypass Middle Esophagus to Duodenum, Open Approach</w:t>
            </w:r>
          </w:p>
        </w:tc>
      </w:tr>
      <w:tr w:rsidR="00595F71" w:rsidRPr="00E97D2C" w14:paraId="1D831AA9" w14:textId="77777777" w:rsidTr="00696E8F">
        <w:trPr>
          <w:trHeight w:val="300"/>
        </w:trPr>
        <w:tc>
          <w:tcPr>
            <w:tcW w:w="1872" w:type="dxa"/>
            <w:noWrap/>
            <w:vAlign w:val="center"/>
            <w:hideMark/>
          </w:tcPr>
          <w:p w14:paraId="154B515B" w14:textId="77777777" w:rsidR="00595F71" w:rsidRPr="00E97D2C" w:rsidRDefault="00595F71" w:rsidP="00696E8F">
            <w:pPr>
              <w:rPr>
                <w:rFonts w:cs="Arial"/>
                <w:color w:val="000000"/>
              </w:rPr>
            </w:pPr>
            <w:r w:rsidRPr="00E97D2C">
              <w:rPr>
                <w:rFonts w:cs="Arial"/>
                <w:color w:val="000000"/>
              </w:rPr>
              <w:t>0D120ZA</w:t>
            </w:r>
          </w:p>
        </w:tc>
        <w:tc>
          <w:tcPr>
            <w:tcW w:w="7560" w:type="dxa"/>
            <w:noWrap/>
            <w:vAlign w:val="center"/>
            <w:hideMark/>
          </w:tcPr>
          <w:p w14:paraId="057CBD9E" w14:textId="77777777" w:rsidR="00595F71" w:rsidRPr="00E97D2C" w:rsidRDefault="00595F71" w:rsidP="00696E8F">
            <w:pPr>
              <w:rPr>
                <w:rFonts w:cs="Arial"/>
                <w:color w:val="000000"/>
              </w:rPr>
            </w:pPr>
            <w:r w:rsidRPr="00E97D2C">
              <w:rPr>
                <w:rFonts w:cs="Arial"/>
                <w:color w:val="000000"/>
              </w:rPr>
              <w:t>Bypass Middle Esophagus to Jejunum, Open Approach</w:t>
            </w:r>
          </w:p>
        </w:tc>
      </w:tr>
      <w:tr w:rsidR="00595F71" w:rsidRPr="00E97D2C" w14:paraId="4FD99A65" w14:textId="77777777" w:rsidTr="00696E8F">
        <w:trPr>
          <w:trHeight w:val="300"/>
        </w:trPr>
        <w:tc>
          <w:tcPr>
            <w:tcW w:w="1872" w:type="dxa"/>
            <w:noWrap/>
            <w:vAlign w:val="center"/>
            <w:hideMark/>
          </w:tcPr>
          <w:p w14:paraId="49A28B14" w14:textId="77777777" w:rsidR="00595F71" w:rsidRPr="00E97D2C" w:rsidRDefault="00595F71" w:rsidP="00696E8F">
            <w:pPr>
              <w:rPr>
                <w:rFonts w:cs="Arial"/>
                <w:color w:val="000000"/>
              </w:rPr>
            </w:pPr>
            <w:r w:rsidRPr="00E97D2C">
              <w:rPr>
                <w:rFonts w:cs="Arial"/>
                <w:color w:val="000000"/>
              </w:rPr>
              <w:t>0D120ZB</w:t>
            </w:r>
          </w:p>
        </w:tc>
        <w:tc>
          <w:tcPr>
            <w:tcW w:w="7560" w:type="dxa"/>
            <w:noWrap/>
            <w:vAlign w:val="center"/>
            <w:hideMark/>
          </w:tcPr>
          <w:p w14:paraId="7BBE5541" w14:textId="77777777" w:rsidR="00595F71" w:rsidRPr="00E97D2C" w:rsidRDefault="00595F71" w:rsidP="00696E8F">
            <w:pPr>
              <w:rPr>
                <w:rFonts w:cs="Arial"/>
                <w:color w:val="000000"/>
              </w:rPr>
            </w:pPr>
            <w:r w:rsidRPr="00E97D2C">
              <w:rPr>
                <w:rFonts w:cs="Arial"/>
                <w:color w:val="000000"/>
              </w:rPr>
              <w:t>Bypass Middle Esophagus to Ileum, Open Approach</w:t>
            </w:r>
          </w:p>
        </w:tc>
      </w:tr>
      <w:tr w:rsidR="00595F71" w:rsidRPr="00E97D2C" w14:paraId="592D21B8" w14:textId="77777777" w:rsidTr="00696E8F">
        <w:trPr>
          <w:trHeight w:val="300"/>
        </w:trPr>
        <w:tc>
          <w:tcPr>
            <w:tcW w:w="1872" w:type="dxa"/>
            <w:noWrap/>
            <w:vAlign w:val="center"/>
            <w:hideMark/>
          </w:tcPr>
          <w:p w14:paraId="6A04F13A" w14:textId="77777777" w:rsidR="00595F71" w:rsidRPr="00E97D2C" w:rsidRDefault="00595F71" w:rsidP="00696E8F">
            <w:pPr>
              <w:rPr>
                <w:rFonts w:cs="Arial"/>
                <w:color w:val="000000"/>
              </w:rPr>
            </w:pPr>
            <w:r w:rsidRPr="00E97D2C">
              <w:rPr>
                <w:rFonts w:cs="Arial"/>
                <w:color w:val="000000"/>
              </w:rPr>
              <w:t>0D123J4</w:t>
            </w:r>
          </w:p>
        </w:tc>
        <w:tc>
          <w:tcPr>
            <w:tcW w:w="7560" w:type="dxa"/>
            <w:noWrap/>
            <w:vAlign w:val="center"/>
            <w:hideMark/>
          </w:tcPr>
          <w:p w14:paraId="5AA7246C" w14:textId="77777777" w:rsidR="00595F71" w:rsidRPr="00E97D2C" w:rsidRDefault="00595F71" w:rsidP="00696E8F">
            <w:pPr>
              <w:rPr>
                <w:rFonts w:cs="Arial"/>
                <w:color w:val="000000"/>
              </w:rPr>
            </w:pPr>
            <w:r w:rsidRPr="00E97D2C">
              <w:rPr>
                <w:rFonts w:cs="Arial"/>
                <w:color w:val="000000"/>
              </w:rPr>
              <w:t>Bypass Middle Esophagus to Cutaneous with Synthetic Substitute, Percutaneous Approach</w:t>
            </w:r>
          </w:p>
        </w:tc>
      </w:tr>
      <w:tr w:rsidR="00595F71" w:rsidRPr="00E97D2C" w14:paraId="79EA118A" w14:textId="77777777" w:rsidTr="00696E8F">
        <w:trPr>
          <w:trHeight w:val="300"/>
        </w:trPr>
        <w:tc>
          <w:tcPr>
            <w:tcW w:w="1872" w:type="dxa"/>
            <w:noWrap/>
            <w:vAlign w:val="center"/>
            <w:hideMark/>
          </w:tcPr>
          <w:p w14:paraId="33736B8F" w14:textId="77777777" w:rsidR="00595F71" w:rsidRPr="00E97D2C" w:rsidRDefault="00595F71" w:rsidP="00696E8F">
            <w:pPr>
              <w:rPr>
                <w:rFonts w:cs="Arial"/>
                <w:color w:val="000000"/>
              </w:rPr>
            </w:pPr>
            <w:r w:rsidRPr="00E97D2C">
              <w:rPr>
                <w:rFonts w:cs="Arial"/>
                <w:color w:val="000000"/>
              </w:rPr>
              <w:t>0D12474</w:t>
            </w:r>
          </w:p>
        </w:tc>
        <w:tc>
          <w:tcPr>
            <w:tcW w:w="7560" w:type="dxa"/>
            <w:noWrap/>
            <w:vAlign w:val="center"/>
            <w:hideMark/>
          </w:tcPr>
          <w:p w14:paraId="6DF20D03" w14:textId="77777777" w:rsidR="00595F71" w:rsidRPr="00E97D2C" w:rsidRDefault="00595F71" w:rsidP="00696E8F">
            <w:pPr>
              <w:rPr>
                <w:rFonts w:cs="Arial"/>
                <w:color w:val="000000"/>
              </w:rPr>
            </w:pPr>
            <w:r w:rsidRPr="00E97D2C">
              <w:rPr>
                <w:rFonts w:cs="Arial"/>
                <w:color w:val="000000"/>
              </w:rPr>
              <w:t>Bypass Middle Esophagus to Cutaneous with Autologous Tissue Substitute, Percutaneous Endoscopic Approach</w:t>
            </w:r>
          </w:p>
        </w:tc>
      </w:tr>
      <w:tr w:rsidR="00595F71" w:rsidRPr="00E97D2C" w14:paraId="734F8C54" w14:textId="77777777" w:rsidTr="00696E8F">
        <w:trPr>
          <w:trHeight w:val="300"/>
        </w:trPr>
        <w:tc>
          <w:tcPr>
            <w:tcW w:w="1872" w:type="dxa"/>
            <w:noWrap/>
            <w:vAlign w:val="center"/>
            <w:hideMark/>
          </w:tcPr>
          <w:p w14:paraId="23AFD93D" w14:textId="77777777" w:rsidR="00595F71" w:rsidRPr="00E97D2C" w:rsidRDefault="00595F71" w:rsidP="00696E8F">
            <w:pPr>
              <w:rPr>
                <w:rFonts w:cs="Arial"/>
                <w:color w:val="000000"/>
              </w:rPr>
            </w:pPr>
            <w:r w:rsidRPr="00E97D2C">
              <w:rPr>
                <w:rFonts w:cs="Arial"/>
                <w:color w:val="000000"/>
              </w:rPr>
              <w:lastRenderedPageBreak/>
              <w:t>0D12476</w:t>
            </w:r>
          </w:p>
        </w:tc>
        <w:tc>
          <w:tcPr>
            <w:tcW w:w="7560" w:type="dxa"/>
            <w:noWrap/>
            <w:vAlign w:val="center"/>
            <w:hideMark/>
          </w:tcPr>
          <w:p w14:paraId="2C2DC79D" w14:textId="77777777" w:rsidR="00595F71" w:rsidRPr="00E97D2C" w:rsidRDefault="00595F71" w:rsidP="00696E8F">
            <w:pPr>
              <w:rPr>
                <w:rFonts w:cs="Arial"/>
                <w:color w:val="000000"/>
              </w:rPr>
            </w:pPr>
            <w:r w:rsidRPr="00E97D2C">
              <w:rPr>
                <w:rFonts w:cs="Arial"/>
                <w:color w:val="000000"/>
              </w:rPr>
              <w:t>Bypass Middle Esophagus to Stomach with Autologous Tissue Substitute, Percutaneous Endoscopic Approach</w:t>
            </w:r>
          </w:p>
        </w:tc>
      </w:tr>
      <w:tr w:rsidR="00595F71" w:rsidRPr="00E97D2C" w14:paraId="1225917C" w14:textId="77777777" w:rsidTr="00696E8F">
        <w:trPr>
          <w:trHeight w:val="300"/>
        </w:trPr>
        <w:tc>
          <w:tcPr>
            <w:tcW w:w="1872" w:type="dxa"/>
            <w:noWrap/>
            <w:vAlign w:val="center"/>
            <w:hideMark/>
          </w:tcPr>
          <w:p w14:paraId="4DC7587E" w14:textId="77777777" w:rsidR="00595F71" w:rsidRPr="00E97D2C" w:rsidRDefault="00595F71" w:rsidP="00696E8F">
            <w:pPr>
              <w:rPr>
                <w:rFonts w:cs="Arial"/>
                <w:color w:val="000000"/>
              </w:rPr>
            </w:pPr>
            <w:r w:rsidRPr="00E97D2C">
              <w:rPr>
                <w:rFonts w:cs="Arial"/>
                <w:color w:val="000000"/>
              </w:rPr>
              <w:t>0D12479</w:t>
            </w:r>
          </w:p>
        </w:tc>
        <w:tc>
          <w:tcPr>
            <w:tcW w:w="7560" w:type="dxa"/>
            <w:noWrap/>
            <w:vAlign w:val="center"/>
            <w:hideMark/>
          </w:tcPr>
          <w:p w14:paraId="739ABBDA" w14:textId="77777777" w:rsidR="00595F71" w:rsidRPr="00E97D2C" w:rsidRDefault="00595F71" w:rsidP="00696E8F">
            <w:pPr>
              <w:rPr>
                <w:rFonts w:cs="Arial"/>
                <w:color w:val="000000"/>
              </w:rPr>
            </w:pPr>
            <w:r w:rsidRPr="00E97D2C">
              <w:rPr>
                <w:rFonts w:cs="Arial"/>
                <w:color w:val="000000"/>
              </w:rPr>
              <w:t>Bypass Middle Esophagus to Duodenum with Autologous Tissue Substitute, Percutaneous Endoscopic Approach</w:t>
            </w:r>
          </w:p>
        </w:tc>
      </w:tr>
      <w:tr w:rsidR="00595F71" w:rsidRPr="00E97D2C" w14:paraId="1321A777" w14:textId="77777777" w:rsidTr="00696E8F">
        <w:trPr>
          <w:trHeight w:val="300"/>
        </w:trPr>
        <w:tc>
          <w:tcPr>
            <w:tcW w:w="1872" w:type="dxa"/>
            <w:noWrap/>
            <w:vAlign w:val="center"/>
            <w:hideMark/>
          </w:tcPr>
          <w:p w14:paraId="464AFC1E" w14:textId="77777777" w:rsidR="00595F71" w:rsidRPr="00E97D2C" w:rsidRDefault="00595F71" w:rsidP="00696E8F">
            <w:pPr>
              <w:rPr>
                <w:rFonts w:cs="Arial"/>
                <w:color w:val="000000"/>
              </w:rPr>
            </w:pPr>
            <w:r w:rsidRPr="00E97D2C">
              <w:rPr>
                <w:rFonts w:cs="Arial"/>
                <w:color w:val="000000"/>
              </w:rPr>
              <w:t>0D1247A</w:t>
            </w:r>
          </w:p>
        </w:tc>
        <w:tc>
          <w:tcPr>
            <w:tcW w:w="7560" w:type="dxa"/>
            <w:noWrap/>
            <w:vAlign w:val="center"/>
            <w:hideMark/>
          </w:tcPr>
          <w:p w14:paraId="45B6DBF9" w14:textId="77777777" w:rsidR="00595F71" w:rsidRPr="00E97D2C" w:rsidRDefault="00595F71" w:rsidP="00696E8F">
            <w:pPr>
              <w:rPr>
                <w:rFonts w:cs="Arial"/>
                <w:color w:val="000000"/>
              </w:rPr>
            </w:pPr>
            <w:r w:rsidRPr="00E97D2C">
              <w:rPr>
                <w:rFonts w:cs="Arial"/>
                <w:color w:val="000000"/>
              </w:rPr>
              <w:t>Bypass Middle Esophagus to Jejunum with Autologous Tissue Substitute, Percutaneous Endoscopic Approach</w:t>
            </w:r>
          </w:p>
        </w:tc>
      </w:tr>
      <w:tr w:rsidR="00595F71" w:rsidRPr="00E97D2C" w14:paraId="474AA9D3" w14:textId="77777777" w:rsidTr="00696E8F">
        <w:trPr>
          <w:trHeight w:val="300"/>
        </w:trPr>
        <w:tc>
          <w:tcPr>
            <w:tcW w:w="1872" w:type="dxa"/>
            <w:noWrap/>
            <w:vAlign w:val="center"/>
            <w:hideMark/>
          </w:tcPr>
          <w:p w14:paraId="0D224910" w14:textId="77777777" w:rsidR="00595F71" w:rsidRPr="00E97D2C" w:rsidRDefault="00595F71" w:rsidP="00696E8F">
            <w:pPr>
              <w:rPr>
                <w:rFonts w:cs="Arial"/>
                <w:color w:val="000000"/>
              </w:rPr>
            </w:pPr>
            <w:r w:rsidRPr="00E97D2C">
              <w:rPr>
                <w:rFonts w:cs="Arial"/>
                <w:color w:val="000000"/>
              </w:rPr>
              <w:t>0D1247B</w:t>
            </w:r>
          </w:p>
        </w:tc>
        <w:tc>
          <w:tcPr>
            <w:tcW w:w="7560" w:type="dxa"/>
            <w:noWrap/>
            <w:vAlign w:val="center"/>
            <w:hideMark/>
          </w:tcPr>
          <w:p w14:paraId="7759B391" w14:textId="77777777" w:rsidR="00595F71" w:rsidRPr="00E97D2C" w:rsidRDefault="00595F71" w:rsidP="00696E8F">
            <w:pPr>
              <w:rPr>
                <w:rFonts w:cs="Arial"/>
                <w:color w:val="000000"/>
              </w:rPr>
            </w:pPr>
            <w:r w:rsidRPr="00E97D2C">
              <w:rPr>
                <w:rFonts w:cs="Arial"/>
                <w:color w:val="000000"/>
              </w:rPr>
              <w:t>Bypass Middle Esophagus to Ileum with Autologous Tissue Substitute, Percutaneous Endoscopic Approach</w:t>
            </w:r>
          </w:p>
        </w:tc>
      </w:tr>
      <w:tr w:rsidR="00595F71" w:rsidRPr="00E97D2C" w14:paraId="346A0FB0" w14:textId="77777777" w:rsidTr="00696E8F">
        <w:trPr>
          <w:trHeight w:val="300"/>
        </w:trPr>
        <w:tc>
          <w:tcPr>
            <w:tcW w:w="1872" w:type="dxa"/>
            <w:noWrap/>
            <w:vAlign w:val="center"/>
            <w:hideMark/>
          </w:tcPr>
          <w:p w14:paraId="1661F014" w14:textId="77777777" w:rsidR="00595F71" w:rsidRPr="00E97D2C" w:rsidRDefault="00595F71" w:rsidP="00696E8F">
            <w:pPr>
              <w:rPr>
                <w:rFonts w:cs="Arial"/>
                <w:color w:val="000000"/>
              </w:rPr>
            </w:pPr>
            <w:r w:rsidRPr="00E97D2C">
              <w:rPr>
                <w:rFonts w:cs="Arial"/>
                <w:color w:val="000000"/>
              </w:rPr>
              <w:t>0D124J4</w:t>
            </w:r>
          </w:p>
        </w:tc>
        <w:tc>
          <w:tcPr>
            <w:tcW w:w="7560" w:type="dxa"/>
            <w:noWrap/>
            <w:vAlign w:val="center"/>
            <w:hideMark/>
          </w:tcPr>
          <w:p w14:paraId="4643DC5F" w14:textId="77777777" w:rsidR="00595F71" w:rsidRPr="00E97D2C" w:rsidRDefault="00595F71" w:rsidP="00696E8F">
            <w:pPr>
              <w:rPr>
                <w:rFonts w:cs="Arial"/>
                <w:color w:val="000000"/>
              </w:rPr>
            </w:pPr>
            <w:r w:rsidRPr="00E97D2C">
              <w:rPr>
                <w:rFonts w:cs="Arial"/>
                <w:color w:val="000000"/>
              </w:rPr>
              <w:t>Bypass Middle Esophagus to Cutaneous with Synthetic Substitute, Percutaneous Endoscopic Approach</w:t>
            </w:r>
          </w:p>
        </w:tc>
      </w:tr>
      <w:tr w:rsidR="00595F71" w:rsidRPr="00E97D2C" w14:paraId="21535B74" w14:textId="77777777" w:rsidTr="00696E8F">
        <w:trPr>
          <w:trHeight w:val="300"/>
        </w:trPr>
        <w:tc>
          <w:tcPr>
            <w:tcW w:w="1872" w:type="dxa"/>
            <w:noWrap/>
            <w:vAlign w:val="center"/>
            <w:hideMark/>
          </w:tcPr>
          <w:p w14:paraId="63E8B158" w14:textId="77777777" w:rsidR="00595F71" w:rsidRPr="00E97D2C" w:rsidRDefault="00595F71" w:rsidP="00696E8F">
            <w:pPr>
              <w:rPr>
                <w:rFonts w:cs="Arial"/>
                <w:color w:val="000000"/>
              </w:rPr>
            </w:pPr>
            <w:r w:rsidRPr="00E97D2C">
              <w:rPr>
                <w:rFonts w:cs="Arial"/>
                <w:color w:val="000000"/>
              </w:rPr>
              <w:t>0D124J6</w:t>
            </w:r>
          </w:p>
        </w:tc>
        <w:tc>
          <w:tcPr>
            <w:tcW w:w="7560" w:type="dxa"/>
            <w:noWrap/>
            <w:vAlign w:val="center"/>
            <w:hideMark/>
          </w:tcPr>
          <w:p w14:paraId="70E87813" w14:textId="77777777" w:rsidR="00595F71" w:rsidRPr="00E97D2C" w:rsidRDefault="00595F71" w:rsidP="00696E8F">
            <w:pPr>
              <w:rPr>
                <w:rFonts w:cs="Arial"/>
                <w:color w:val="000000"/>
              </w:rPr>
            </w:pPr>
            <w:r w:rsidRPr="00E97D2C">
              <w:rPr>
                <w:rFonts w:cs="Arial"/>
                <w:color w:val="000000"/>
              </w:rPr>
              <w:t>Bypass Middle Esophagus to Stomach with Synthetic Substitute, Percutaneous Endoscopic Approach</w:t>
            </w:r>
          </w:p>
        </w:tc>
      </w:tr>
      <w:tr w:rsidR="00595F71" w:rsidRPr="00E97D2C" w14:paraId="4DD2D24F" w14:textId="77777777" w:rsidTr="00696E8F">
        <w:trPr>
          <w:trHeight w:val="300"/>
        </w:trPr>
        <w:tc>
          <w:tcPr>
            <w:tcW w:w="1872" w:type="dxa"/>
            <w:noWrap/>
            <w:vAlign w:val="center"/>
            <w:hideMark/>
          </w:tcPr>
          <w:p w14:paraId="15E83002" w14:textId="77777777" w:rsidR="00595F71" w:rsidRPr="00E97D2C" w:rsidRDefault="00595F71" w:rsidP="00696E8F">
            <w:pPr>
              <w:rPr>
                <w:rFonts w:cs="Arial"/>
                <w:color w:val="000000"/>
              </w:rPr>
            </w:pPr>
            <w:r w:rsidRPr="00E97D2C">
              <w:rPr>
                <w:rFonts w:cs="Arial"/>
                <w:color w:val="000000"/>
              </w:rPr>
              <w:t>0D124J9</w:t>
            </w:r>
          </w:p>
        </w:tc>
        <w:tc>
          <w:tcPr>
            <w:tcW w:w="7560" w:type="dxa"/>
            <w:noWrap/>
            <w:vAlign w:val="center"/>
            <w:hideMark/>
          </w:tcPr>
          <w:p w14:paraId="07867F6B" w14:textId="77777777" w:rsidR="00595F71" w:rsidRPr="00E97D2C" w:rsidRDefault="00595F71" w:rsidP="00696E8F">
            <w:pPr>
              <w:rPr>
                <w:rFonts w:cs="Arial"/>
                <w:color w:val="000000"/>
              </w:rPr>
            </w:pPr>
            <w:r w:rsidRPr="00E97D2C">
              <w:rPr>
                <w:rFonts w:cs="Arial"/>
                <w:color w:val="000000"/>
              </w:rPr>
              <w:t>Bypass Middle Esophagus to Duodenum with Synthetic Substitute, Percutaneous Endoscopic Approach</w:t>
            </w:r>
          </w:p>
        </w:tc>
      </w:tr>
      <w:tr w:rsidR="00595F71" w:rsidRPr="00E97D2C" w14:paraId="1E459D0F" w14:textId="77777777" w:rsidTr="00696E8F">
        <w:trPr>
          <w:trHeight w:val="300"/>
        </w:trPr>
        <w:tc>
          <w:tcPr>
            <w:tcW w:w="1872" w:type="dxa"/>
            <w:noWrap/>
            <w:vAlign w:val="center"/>
            <w:hideMark/>
          </w:tcPr>
          <w:p w14:paraId="2BDB0182" w14:textId="77777777" w:rsidR="00595F71" w:rsidRPr="00E97D2C" w:rsidRDefault="00595F71" w:rsidP="00696E8F">
            <w:pPr>
              <w:rPr>
                <w:rFonts w:cs="Arial"/>
                <w:color w:val="000000"/>
              </w:rPr>
            </w:pPr>
            <w:r w:rsidRPr="00E97D2C">
              <w:rPr>
                <w:rFonts w:cs="Arial"/>
                <w:color w:val="000000"/>
              </w:rPr>
              <w:t>0D124JA</w:t>
            </w:r>
          </w:p>
        </w:tc>
        <w:tc>
          <w:tcPr>
            <w:tcW w:w="7560" w:type="dxa"/>
            <w:noWrap/>
            <w:vAlign w:val="center"/>
            <w:hideMark/>
          </w:tcPr>
          <w:p w14:paraId="0BD5A5C8" w14:textId="77777777" w:rsidR="00595F71" w:rsidRPr="00E97D2C" w:rsidRDefault="00595F71" w:rsidP="00696E8F">
            <w:pPr>
              <w:rPr>
                <w:rFonts w:cs="Arial"/>
                <w:color w:val="000000"/>
              </w:rPr>
            </w:pPr>
            <w:r w:rsidRPr="00E97D2C">
              <w:rPr>
                <w:rFonts w:cs="Arial"/>
                <w:color w:val="000000"/>
              </w:rPr>
              <w:t>Bypass Middle Esophagus to Jejunum with Synthetic Substitute, Percutaneous Endoscopic Approach</w:t>
            </w:r>
          </w:p>
        </w:tc>
      </w:tr>
      <w:tr w:rsidR="00595F71" w:rsidRPr="00E97D2C" w14:paraId="68058D0F" w14:textId="77777777" w:rsidTr="00696E8F">
        <w:trPr>
          <w:trHeight w:val="300"/>
        </w:trPr>
        <w:tc>
          <w:tcPr>
            <w:tcW w:w="1872" w:type="dxa"/>
            <w:noWrap/>
            <w:vAlign w:val="center"/>
            <w:hideMark/>
          </w:tcPr>
          <w:p w14:paraId="6FA71326" w14:textId="77777777" w:rsidR="00595F71" w:rsidRPr="00E97D2C" w:rsidRDefault="00595F71" w:rsidP="00696E8F">
            <w:pPr>
              <w:rPr>
                <w:rFonts w:cs="Arial"/>
                <w:color w:val="000000"/>
              </w:rPr>
            </w:pPr>
            <w:r w:rsidRPr="00E97D2C">
              <w:rPr>
                <w:rFonts w:cs="Arial"/>
                <w:color w:val="000000"/>
              </w:rPr>
              <w:t>0D124JB</w:t>
            </w:r>
          </w:p>
        </w:tc>
        <w:tc>
          <w:tcPr>
            <w:tcW w:w="7560" w:type="dxa"/>
            <w:noWrap/>
            <w:vAlign w:val="center"/>
            <w:hideMark/>
          </w:tcPr>
          <w:p w14:paraId="77969CAD" w14:textId="77777777" w:rsidR="00595F71" w:rsidRPr="00E97D2C" w:rsidRDefault="00595F71" w:rsidP="00696E8F">
            <w:pPr>
              <w:rPr>
                <w:rFonts w:cs="Arial"/>
                <w:color w:val="000000"/>
              </w:rPr>
            </w:pPr>
            <w:r w:rsidRPr="00E97D2C">
              <w:rPr>
                <w:rFonts w:cs="Arial"/>
                <w:color w:val="000000"/>
              </w:rPr>
              <w:t>Bypass Middle Esophagus to Ileum with Synthetic Substitute, Percutaneous Endoscopic Approach</w:t>
            </w:r>
          </w:p>
        </w:tc>
      </w:tr>
      <w:tr w:rsidR="00595F71" w:rsidRPr="00E97D2C" w14:paraId="5E26AA4D" w14:textId="77777777" w:rsidTr="00696E8F">
        <w:trPr>
          <w:trHeight w:val="300"/>
        </w:trPr>
        <w:tc>
          <w:tcPr>
            <w:tcW w:w="1872" w:type="dxa"/>
            <w:noWrap/>
            <w:vAlign w:val="center"/>
            <w:hideMark/>
          </w:tcPr>
          <w:p w14:paraId="38016E2A" w14:textId="77777777" w:rsidR="00595F71" w:rsidRPr="00E97D2C" w:rsidRDefault="00595F71" w:rsidP="00696E8F">
            <w:pPr>
              <w:rPr>
                <w:rFonts w:cs="Arial"/>
                <w:color w:val="000000"/>
              </w:rPr>
            </w:pPr>
            <w:r w:rsidRPr="00E97D2C">
              <w:rPr>
                <w:rFonts w:cs="Arial"/>
                <w:color w:val="000000"/>
              </w:rPr>
              <w:t>0D124K4</w:t>
            </w:r>
          </w:p>
        </w:tc>
        <w:tc>
          <w:tcPr>
            <w:tcW w:w="7560" w:type="dxa"/>
            <w:noWrap/>
            <w:vAlign w:val="center"/>
            <w:hideMark/>
          </w:tcPr>
          <w:p w14:paraId="29EC0272" w14:textId="77777777" w:rsidR="00595F71" w:rsidRPr="00E97D2C" w:rsidRDefault="00595F71" w:rsidP="00696E8F">
            <w:pPr>
              <w:rPr>
                <w:rFonts w:cs="Arial"/>
                <w:color w:val="000000"/>
              </w:rPr>
            </w:pPr>
            <w:r w:rsidRPr="00E97D2C">
              <w:rPr>
                <w:rFonts w:cs="Arial"/>
                <w:color w:val="000000"/>
              </w:rPr>
              <w:t>Bypass Middle Esophagus to Cutaneous with Nonautologous Tissue Substitute, Percutaneous Endoscopic Approach</w:t>
            </w:r>
          </w:p>
        </w:tc>
      </w:tr>
      <w:tr w:rsidR="00595F71" w:rsidRPr="00E97D2C" w14:paraId="1BE8B4B6" w14:textId="77777777" w:rsidTr="00696E8F">
        <w:trPr>
          <w:trHeight w:val="300"/>
        </w:trPr>
        <w:tc>
          <w:tcPr>
            <w:tcW w:w="1872" w:type="dxa"/>
            <w:noWrap/>
            <w:vAlign w:val="center"/>
            <w:hideMark/>
          </w:tcPr>
          <w:p w14:paraId="0C60327A" w14:textId="77777777" w:rsidR="00595F71" w:rsidRPr="00E97D2C" w:rsidRDefault="00595F71" w:rsidP="00696E8F">
            <w:pPr>
              <w:rPr>
                <w:rFonts w:cs="Arial"/>
                <w:color w:val="000000"/>
              </w:rPr>
            </w:pPr>
            <w:r w:rsidRPr="00E97D2C">
              <w:rPr>
                <w:rFonts w:cs="Arial"/>
                <w:color w:val="000000"/>
              </w:rPr>
              <w:t>0D124K6</w:t>
            </w:r>
          </w:p>
        </w:tc>
        <w:tc>
          <w:tcPr>
            <w:tcW w:w="7560" w:type="dxa"/>
            <w:noWrap/>
            <w:vAlign w:val="center"/>
            <w:hideMark/>
          </w:tcPr>
          <w:p w14:paraId="617D3860" w14:textId="77777777" w:rsidR="00595F71" w:rsidRPr="00E97D2C" w:rsidRDefault="00595F71" w:rsidP="00696E8F">
            <w:pPr>
              <w:rPr>
                <w:rFonts w:cs="Arial"/>
                <w:color w:val="000000"/>
              </w:rPr>
            </w:pPr>
            <w:r w:rsidRPr="00E97D2C">
              <w:rPr>
                <w:rFonts w:cs="Arial"/>
                <w:color w:val="000000"/>
              </w:rPr>
              <w:t>Bypass Middle Esophagus to Stomach with Nonautologous Tissue Substitute, Percutaneous Endoscopic Approach</w:t>
            </w:r>
          </w:p>
        </w:tc>
      </w:tr>
      <w:tr w:rsidR="00595F71" w:rsidRPr="00E97D2C" w14:paraId="3D05E1C2" w14:textId="77777777" w:rsidTr="00696E8F">
        <w:trPr>
          <w:trHeight w:val="300"/>
        </w:trPr>
        <w:tc>
          <w:tcPr>
            <w:tcW w:w="1872" w:type="dxa"/>
            <w:noWrap/>
            <w:vAlign w:val="center"/>
            <w:hideMark/>
          </w:tcPr>
          <w:p w14:paraId="49696AEE" w14:textId="77777777" w:rsidR="00595F71" w:rsidRPr="00E97D2C" w:rsidRDefault="00595F71" w:rsidP="00696E8F">
            <w:pPr>
              <w:rPr>
                <w:rFonts w:cs="Arial"/>
                <w:color w:val="000000"/>
              </w:rPr>
            </w:pPr>
            <w:r w:rsidRPr="00E97D2C">
              <w:rPr>
                <w:rFonts w:cs="Arial"/>
                <w:color w:val="000000"/>
              </w:rPr>
              <w:t>0D124K9</w:t>
            </w:r>
          </w:p>
        </w:tc>
        <w:tc>
          <w:tcPr>
            <w:tcW w:w="7560" w:type="dxa"/>
            <w:noWrap/>
            <w:vAlign w:val="center"/>
            <w:hideMark/>
          </w:tcPr>
          <w:p w14:paraId="6C380ADE" w14:textId="77777777" w:rsidR="00595F71" w:rsidRPr="00E97D2C" w:rsidRDefault="00595F71" w:rsidP="00696E8F">
            <w:pPr>
              <w:rPr>
                <w:rFonts w:cs="Arial"/>
                <w:color w:val="000000"/>
              </w:rPr>
            </w:pPr>
            <w:r w:rsidRPr="00E97D2C">
              <w:rPr>
                <w:rFonts w:cs="Arial"/>
                <w:color w:val="000000"/>
              </w:rPr>
              <w:t>Bypass Middle Esophagus to Duodenum with Nonautologous Tissue Substitute, Percutaneous Endoscopic Approach</w:t>
            </w:r>
          </w:p>
        </w:tc>
      </w:tr>
      <w:tr w:rsidR="00595F71" w:rsidRPr="00E97D2C" w14:paraId="2F5429F6" w14:textId="77777777" w:rsidTr="00696E8F">
        <w:trPr>
          <w:trHeight w:val="300"/>
        </w:trPr>
        <w:tc>
          <w:tcPr>
            <w:tcW w:w="1872" w:type="dxa"/>
            <w:noWrap/>
            <w:vAlign w:val="center"/>
            <w:hideMark/>
          </w:tcPr>
          <w:p w14:paraId="25B293BD" w14:textId="77777777" w:rsidR="00595F71" w:rsidRPr="00E97D2C" w:rsidRDefault="00595F71" w:rsidP="00696E8F">
            <w:pPr>
              <w:rPr>
                <w:rFonts w:cs="Arial"/>
                <w:color w:val="000000"/>
              </w:rPr>
            </w:pPr>
            <w:r w:rsidRPr="00E97D2C">
              <w:rPr>
                <w:rFonts w:cs="Arial"/>
                <w:color w:val="000000"/>
              </w:rPr>
              <w:t>0D124KA</w:t>
            </w:r>
          </w:p>
        </w:tc>
        <w:tc>
          <w:tcPr>
            <w:tcW w:w="7560" w:type="dxa"/>
            <w:noWrap/>
            <w:vAlign w:val="center"/>
            <w:hideMark/>
          </w:tcPr>
          <w:p w14:paraId="4EDA7F58" w14:textId="77777777" w:rsidR="00595F71" w:rsidRPr="00E97D2C" w:rsidRDefault="00595F71" w:rsidP="00696E8F">
            <w:pPr>
              <w:rPr>
                <w:rFonts w:cs="Arial"/>
                <w:color w:val="000000"/>
              </w:rPr>
            </w:pPr>
            <w:r w:rsidRPr="00E97D2C">
              <w:rPr>
                <w:rFonts w:cs="Arial"/>
                <w:color w:val="000000"/>
              </w:rPr>
              <w:t>Bypass Middle Esophagus to Jejunum with Nonautologous Tissue Substitute, Percutaneous Endoscopic Approach</w:t>
            </w:r>
          </w:p>
        </w:tc>
      </w:tr>
      <w:tr w:rsidR="00595F71" w:rsidRPr="00E97D2C" w14:paraId="2B1CEBF1" w14:textId="77777777" w:rsidTr="00696E8F">
        <w:trPr>
          <w:trHeight w:val="300"/>
        </w:trPr>
        <w:tc>
          <w:tcPr>
            <w:tcW w:w="1872" w:type="dxa"/>
            <w:noWrap/>
            <w:vAlign w:val="center"/>
            <w:hideMark/>
          </w:tcPr>
          <w:p w14:paraId="4ADA97C9" w14:textId="77777777" w:rsidR="00595F71" w:rsidRPr="00E97D2C" w:rsidRDefault="00595F71" w:rsidP="00696E8F">
            <w:pPr>
              <w:rPr>
                <w:rFonts w:cs="Arial"/>
                <w:color w:val="000000"/>
              </w:rPr>
            </w:pPr>
            <w:r w:rsidRPr="00E97D2C">
              <w:rPr>
                <w:rFonts w:cs="Arial"/>
                <w:color w:val="000000"/>
              </w:rPr>
              <w:t>0D124KB</w:t>
            </w:r>
          </w:p>
        </w:tc>
        <w:tc>
          <w:tcPr>
            <w:tcW w:w="7560" w:type="dxa"/>
            <w:noWrap/>
            <w:vAlign w:val="center"/>
            <w:hideMark/>
          </w:tcPr>
          <w:p w14:paraId="3EFDD68E" w14:textId="77777777" w:rsidR="00595F71" w:rsidRPr="00E97D2C" w:rsidRDefault="00595F71" w:rsidP="00696E8F">
            <w:pPr>
              <w:rPr>
                <w:rFonts w:cs="Arial"/>
                <w:color w:val="000000"/>
              </w:rPr>
            </w:pPr>
            <w:r w:rsidRPr="00E97D2C">
              <w:rPr>
                <w:rFonts w:cs="Arial"/>
                <w:color w:val="000000"/>
              </w:rPr>
              <w:t>Bypass Middle Esophagus to Ileum with Nonautologous Tissue Substitute, Percutaneous Endoscopic Approach</w:t>
            </w:r>
          </w:p>
        </w:tc>
      </w:tr>
      <w:tr w:rsidR="00595F71" w:rsidRPr="00E97D2C" w14:paraId="25EA1298" w14:textId="77777777" w:rsidTr="00696E8F">
        <w:trPr>
          <w:trHeight w:val="300"/>
        </w:trPr>
        <w:tc>
          <w:tcPr>
            <w:tcW w:w="1872" w:type="dxa"/>
            <w:noWrap/>
            <w:vAlign w:val="center"/>
            <w:hideMark/>
          </w:tcPr>
          <w:p w14:paraId="0F9434AD" w14:textId="77777777" w:rsidR="00595F71" w:rsidRPr="00E97D2C" w:rsidRDefault="00595F71" w:rsidP="00696E8F">
            <w:pPr>
              <w:rPr>
                <w:rFonts w:cs="Arial"/>
                <w:color w:val="000000"/>
              </w:rPr>
            </w:pPr>
            <w:r w:rsidRPr="00E97D2C">
              <w:rPr>
                <w:rFonts w:cs="Arial"/>
                <w:color w:val="000000"/>
              </w:rPr>
              <w:t>0D124Z4</w:t>
            </w:r>
          </w:p>
        </w:tc>
        <w:tc>
          <w:tcPr>
            <w:tcW w:w="7560" w:type="dxa"/>
            <w:noWrap/>
            <w:vAlign w:val="center"/>
            <w:hideMark/>
          </w:tcPr>
          <w:p w14:paraId="43B58632" w14:textId="77777777" w:rsidR="00595F71" w:rsidRPr="00E97D2C" w:rsidRDefault="00595F71" w:rsidP="00696E8F">
            <w:pPr>
              <w:rPr>
                <w:rFonts w:cs="Arial"/>
                <w:color w:val="000000"/>
              </w:rPr>
            </w:pPr>
            <w:r w:rsidRPr="00E97D2C">
              <w:rPr>
                <w:rFonts w:cs="Arial"/>
                <w:color w:val="000000"/>
              </w:rPr>
              <w:t>Bypass Middle Esophagus to Cutaneous, Percutaneous Endoscopic Approach</w:t>
            </w:r>
          </w:p>
        </w:tc>
      </w:tr>
      <w:tr w:rsidR="00595F71" w:rsidRPr="00E97D2C" w14:paraId="1157C3B0" w14:textId="77777777" w:rsidTr="00696E8F">
        <w:trPr>
          <w:trHeight w:val="300"/>
        </w:trPr>
        <w:tc>
          <w:tcPr>
            <w:tcW w:w="1872" w:type="dxa"/>
            <w:noWrap/>
            <w:vAlign w:val="center"/>
            <w:hideMark/>
          </w:tcPr>
          <w:p w14:paraId="1FD81050" w14:textId="77777777" w:rsidR="00595F71" w:rsidRPr="00E97D2C" w:rsidRDefault="00595F71" w:rsidP="00696E8F">
            <w:pPr>
              <w:rPr>
                <w:rFonts w:cs="Arial"/>
                <w:color w:val="000000"/>
              </w:rPr>
            </w:pPr>
            <w:r w:rsidRPr="00E97D2C">
              <w:rPr>
                <w:rFonts w:cs="Arial"/>
                <w:color w:val="000000"/>
              </w:rPr>
              <w:t>0D124Z6</w:t>
            </w:r>
          </w:p>
        </w:tc>
        <w:tc>
          <w:tcPr>
            <w:tcW w:w="7560" w:type="dxa"/>
            <w:noWrap/>
            <w:vAlign w:val="center"/>
            <w:hideMark/>
          </w:tcPr>
          <w:p w14:paraId="3EF67E4A" w14:textId="77777777" w:rsidR="00595F71" w:rsidRPr="00E97D2C" w:rsidRDefault="00595F71" w:rsidP="00696E8F">
            <w:pPr>
              <w:rPr>
                <w:rFonts w:cs="Arial"/>
                <w:color w:val="000000"/>
              </w:rPr>
            </w:pPr>
            <w:r w:rsidRPr="00E97D2C">
              <w:rPr>
                <w:rFonts w:cs="Arial"/>
                <w:color w:val="000000"/>
              </w:rPr>
              <w:t>Bypass Middle Esophagus to Stomach, Percutaneous Endoscopic Approach</w:t>
            </w:r>
          </w:p>
        </w:tc>
      </w:tr>
      <w:tr w:rsidR="00595F71" w:rsidRPr="00E97D2C" w14:paraId="34B18871" w14:textId="77777777" w:rsidTr="00696E8F">
        <w:trPr>
          <w:trHeight w:val="300"/>
        </w:trPr>
        <w:tc>
          <w:tcPr>
            <w:tcW w:w="1872" w:type="dxa"/>
            <w:noWrap/>
            <w:vAlign w:val="center"/>
            <w:hideMark/>
          </w:tcPr>
          <w:p w14:paraId="6EFAF281" w14:textId="77777777" w:rsidR="00595F71" w:rsidRPr="00E97D2C" w:rsidRDefault="00595F71" w:rsidP="00696E8F">
            <w:pPr>
              <w:rPr>
                <w:rFonts w:cs="Arial"/>
                <w:color w:val="000000"/>
              </w:rPr>
            </w:pPr>
            <w:r w:rsidRPr="00E97D2C">
              <w:rPr>
                <w:rFonts w:cs="Arial"/>
                <w:color w:val="000000"/>
              </w:rPr>
              <w:t>0D124Z9</w:t>
            </w:r>
          </w:p>
        </w:tc>
        <w:tc>
          <w:tcPr>
            <w:tcW w:w="7560" w:type="dxa"/>
            <w:noWrap/>
            <w:vAlign w:val="center"/>
            <w:hideMark/>
          </w:tcPr>
          <w:p w14:paraId="2C362837" w14:textId="77777777" w:rsidR="00595F71" w:rsidRPr="00E97D2C" w:rsidRDefault="00595F71" w:rsidP="00696E8F">
            <w:pPr>
              <w:rPr>
                <w:rFonts w:cs="Arial"/>
                <w:color w:val="000000"/>
              </w:rPr>
            </w:pPr>
            <w:r w:rsidRPr="00E97D2C">
              <w:rPr>
                <w:rFonts w:cs="Arial"/>
                <w:color w:val="000000"/>
              </w:rPr>
              <w:t>Bypass Middle Esophagus to Duodenum, Percutaneous Endoscopic Approach</w:t>
            </w:r>
          </w:p>
        </w:tc>
      </w:tr>
      <w:tr w:rsidR="00595F71" w:rsidRPr="00E97D2C" w14:paraId="2F95AB71" w14:textId="77777777" w:rsidTr="00696E8F">
        <w:trPr>
          <w:trHeight w:val="300"/>
        </w:trPr>
        <w:tc>
          <w:tcPr>
            <w:tcW w:w="1872" w:type="dxa"/>
            <w:noWrap/>
            <w:vAlign w:val="center"/>
            <w:hideMark/>
          </w:tcPr>
          <w:p w14:paraId="19CC3550" w14:textId="77777777" w:rsidR="00595F71" w:rsidRPr="00E97D2C" w:rsidRDefault="00595F71" w:rsidP="00696E8F">
            <w:pPr>
              <w:rPr>
                <w:rFonts w:cs="Arial"/>
                <w:color w:val="000000"/>
              </w:rPr>
            </w:pPr>
            <w:r w:rsidRPr="00E97D2C">
              <w:rPr>
                <w:rFonts w:cs="Arial"/>
                <w:color w:val="000000"/>
              </w:rPr>
              <w:t>0D124ZA</w:t>
            </w:r>
          </w:p>
        </w:tc>
        <w:tc>
          <w:tcPr>
            <w:tcW w:w="7560" w:type="dxa"/>
            <w:noWrap/>
            <w:vAlign w:val="center"/>
            <w:hideMark/>
          </w:tcPr>
          <w:p w14:paraId="4A2604DF" w14:textId="77777777" w:rsidR="00595F71" w:rsidRPr="00E97D2C" w:rsidRDefault="00595F71" w:rsidP="00696E8F">
            <w:pPr>
              <w:rPr>
                <w:rFonts w:cs="Arial"/>
                <w:color w:val="000000"/>
              </w:rPr>
            </w:pPr>
            <w:r w:rsidRPr="00E97D2C">
              <w:rPr>
                <w:rFonts w:cs="Arial"/>
                <w:color w:val="000000"/>
              </w:rPr>
              <w:t>Bypass Middle Esophagus to Jejunum, Percutaneous Endoscopic Approach</w:t>
            </w:r>
          </w:p>
        </w:tc>
      </w:tr>
      <w:tr w:rsidR="00595F71" w:rsidRPr="00E97D2C" w14:paraId="01D61391" w14:textId="77777777" w:rsidTr="00696E8F">
        <w:trPr>
          <w:trHeight w:val="300"/>
        </w:trPr>
        <w:tc>
          <w:tcPr>
            <w:tcW w:w="1872" w:type="dxa"/>
            <w:noWrap/>
            <w:vAlign w:val="center"/>
            <w:hideMark/>
          </w:tcPr>
          <w:p w14:paraId="1BDECC05" w14:textId="77777777" w:rsidR="00595F71" w:rsidRPr="00E97D2C" w:rsidRDefault="00595F71" w:rsidP="00696E8F">
            <w:pPr>
              <w:rPr>
                <w:rFonts w:cs="Arial"/>
                <w:color w:val="000000"/>
              </w:rPr>
            </w:pPr>
            <w:r w:rsidRPr="00E97D2C">
              <w:rPr>
                <w:rFonts w:cs="Arial"/>
                <w:color w:val="000000"/>
              </w:rPr>
              <w:t>0D124ZB</w:t>
            </w:r>
          </w:p>
        </w:tc>
        <w:tc>
          <w:tcPr>
            <w:tcW w:w="7560" w:type="dxa"/>
            <w:noWrap/>
            <w:vAlign w:val="center"/>
            <w:hideMark/>
          </w:tcPr>
          <w:p w14:paraId="4D45979C" w14:textId="77777777" w:rsidR="00595F71" w:rsidRPr="00E97D2C" w:rsidRDefault="00595F71" w:rsidP="00696E8F">
            <w:pPr>
              <w:rPr>
                <w:rFonts w:cs="Arial"/>
                <w:color w:val="000000"/>
              </w:rPr>
            </w:pPr>
            <w:r w:rsidRPr="00E97D2C">
              <w:rPr>
                <w:rFonts w:cs="Arial"/>
                <w:color w:val="000000"/>
              </w:rPr>
              <w:t>Bypass Middle Esophagus to Ileum, Percutaneous Endoscopic Approach</w:t>
            </w:r>
          </w:p>
        </w:tc>
      </w:tr>
      <w:tr w:rsidR="00595F71" w:rsidRPr="00E97D2C" w14:paraId="2962F0E2" w14:textId="77777777" w:rsidTr="00696E8F">
        <w:trPr>
          <w:trHeight w:val="300"/>
        </w:trPr>
        <w:tc>
          <w:tcPr>
            <w:tcW w:w="1872" w:type="dxa"/>
            <w:noWrap/>
            <w:vAlign w:val="center"/>
            <w:hideMark/>
          </w:tcPr>
          <w:p w14:paraId="0CB957A1" w14:textId="77777777" w:rsidR="00595F71" w:rsidRPr="00E97D2C" w:rsidRDefault="00595F71" w:rsidP="00696E8F">
            <w:pPr>
              <w:rPr>
                <w:rFonts w:cs="Arial"/>
                <w:color w:val="000000"/>
              </w:rPr>
            </w:pPr>
            <w:r w:rsidRPr="00E97D2C">
              <w:rPr>
                <w:rFonts w:cs="Arial"/>
                <w:color w:val="000000"/>
              </w:rPr>
              <w:t>0D12874</w:t>
            </w:r>
          </w:p>
        </w:tc>
        <w:tc>
          <w:tcPr>
            <w:tcW w:w="7560" w:type="dxa"/>
            <w:noWrap/>
            <w:vAlign w:val="center"/>
            <w:hideMark/>
          </w:tcPr>
          <w:p w14:paraId="3D636693" w14:textId="77777777" w:rsidR="00595F71" w:rsidRPr="00E97D2C" w:rsidRDefault="00595F71" w:rsidP="00696E8F">
            <w:pPr>
              <w:rPr>
                <w:rFonts w:cs="Arial"/>
                <w:color w:val="000000"/>
              </w:rPr>
            </w:pPr>
            <w:r w:rsidRPr="00E97D2C">
              <w:rPr>
                <w:rFonts w:cs="Arial"/>
                <w:color w:val="000000"/>
              </w:rPr>
              <w:t>Bypass Middle Esophagus to Cutaneous with Autologous Tissue Substitute, Via Natural or Artificial Opening Endoscopic</w:t>
            </w:r>
          </w:p>
        </w:tc>
      </w:tr>
      <w:tr w:rsidR="00595F71" w:rsidRPr="00E97D2C" w14:paraId="56E94A89" w14:textId="77777777" w:rsidTr="00696E8F">
        <w:trPr>
          <w:trHeight w:val="300"/>
        </w:trPr>
        <w:tc>
          <w:tcPr>
            <w:tcW w:w="1872" w:type="dxa"/>
            <w:noWrap/>
            <w:vAlign w:val="center"/>
            <w:hideMark/>
          </w:tcPr>
          <w:p w14:paraId="53BFD056" w14:textId="77777777" w:rsidR="00595F71" w:rsidRPr="00E97D2C" w:rsidRDefault="00595F71" w:rsidP="00696E8F">
            <w:pPr>
              <w:rPr>
                <w:rFonts w:cs="Arial"/>
                <w:color w:val="000000"/>
              </w:rPr>
            </w:pPr>
            <w:r w:rsidRPr="00E97D2C">
              <w:rPr>
                <w:rFonts w:cs="Arial"/>
                <w:color w:val="000000"/>
              </w:rPr>
              <w:t>0D12876</w:t>
            </w:r>
          </w:p>
        </w:tc>
        <w:tc>
          <w:tcPr>
            <w:tcW w:w="7560" w:type="dxa"/>
            <w:noWrap/>
            <w:vAlign w:val="center"/>
            <w:hideMark/>
          </w:tcPr>
          <w:p w14:paraId="00A862F7" w14:textId="77777777" w:rsidR="00595F71" w:rsidRPr="00E97D2C" w:rsidRDefault="00595F71" w:rsidP="00696E8F">
            <w:pPr>
              <w:rPr>
                <w:rFonts w:cs="Arial"/>
                <w:color w:val="000000"/>
              </w:rPr>
            </w:pPr>
            <w:r w:rsidRPr="00E97D2C">
              <w:rPr>
                <w:rFonts w:cs="Arial"/>
                <w:color w:val="000000"/>
              </w:rPr>
              <w:t>Bypass Middle Esophagus to Stomach with Autologous Tissue Substitute, Via Natural or Artificial Opening Endoscopic</w:t>
            </w:r>
          </w:p>
        </w:tc>
      </w:tr>
      <w:tr w:rsidR="00595F71" w:rsidRPr="00E97D2C" w14:paraId="170C23CE" w14:textId="77777777" w:rsidTr="00696E8F">
        <w:trPr>
          <w:trHeight w:val="300"/>
        </w:trPr>
        <w:tc>
          <w:tcPr>
            <w:tcW w:w="1872" w:type="dxa"/>
            <w:noWrap/>
            <w:vAlign w:val="center"/>
            <w:hideMark/>
          </w:tcPr>
          <w:p w14:paraId="4EDD5B70" w14:textId="77777777" w:rsidR="00595F71" w:rsidRPr="00E97D2C" w:rsidRDefault="00595F71" w:rsidP="00696E8F">
            <w:pPr>
              <w:rPr>
                <w:rFonts w:cs="Arial"/>
                <w:color w:val="000000"/>
              </w:rPr>
            </w:pPr>
            <w:r w:rsidRPr="00E97D2C">
              <w:rPr>
                <w:rFonts w:cs="Arial"/>
                <w:color w:val="000000"/>
              </w:rPr>
              <w:t>0D12879</w:t>
            </w:r>
          </w:p>
        </w:tc>
        <w:tc>
          <w:tcPr>
            <w:tcW w:w="7560" w:type="dxa"/>
            <w:noWrap/>
            <w:vAlign w:val="center"/>
            <w:hideMark/>
          </w:tcPr>
          <w:p w14:paraId="1D09ABAF" w14:textId="77777777" w:rsidR="00595F71" w:rsidRPr="00E97D2C" w:rsidRDefault="00595F71" w:rsidP="00696E8F">
            <w:pPr>
              <w:rPr>
                <w:rFonts w:cs="Arial"/>
                <w:color w:val="000000"/>
              </w:rPr>
            </w:pPr>
            <w:r w:rsidRPr="00E97D2C">
              <w:rPr>
                <w:rFonts w:cs="Arial"/>
                <w:color w:val="000000"/>
              </w:rPr>
              <w:t>Bypass Middle Esophagus to Duodenum with Autologous Tissue Substitute, Via Natural or Artificial Opening Endoscopic</w:t>
            </w:r>
          </w:p>
        </w:tc>
      </w:tr>
      <w:tr w:rsidR="00595F71" w:rsidRPr="00E97D2C" w14:paraId="5309F021" w14:textId="77777777" w:rsidTr="00696E8F">
        <w:trPr>
          <w:trHeight w:val="300"/>
        </w:trPr>
        <w:tc>
          <w:tcPr>
            <w:tcW w:w="1872" w:type="dxa"/>
            <w:noWrap/>
            <w:vAlign w:val="center"/>
            <w:hideMark/>
          </w:tcPr>
          <w:p w14:paraId="47C65766" w14:textId="77777777" w:rsidR="00595F71" w:rsidRPr="00E97D2C" w:rsidRDefault="00595F71" w:rsidP="00696E8F">
            <w:pPr>
              <w:rPr>
                <w:rFonts w:cs="Arial"/>
                <w:color w:val="000000"/>
              </w:rPr>
            </w:pPr>
            <w:r w:rsidRPr="00E97D2C">
              <w:rPr>
                <w:rFonts w:cs="Arial"/>
                <w:color w:val="000000"/>
              </w:rPr>
              <w:t>0D1287A</w:t>
            </w:r>
          </w:p>
        </w:tc>
        <w:tc>
          <w:tcPr>
            <w:tcW w:w="7560" w:type="dxa"/>
            <w:noWrap/>
            <w:vAlign w:val="center"/>
            <w:hideMark/>
          </w:tcPr>
          <w:p w14:paraId="1F13BB6C" w14:textId="77777777" w:rsidR="00595F71" w:rsidRPr="00E97D2C" w:rsidRDefault="00595F71" w:rsidP="00696E8F">
            <w:pPr>
              <w:rPr>
                <w:rFonts w:cs="Arial"/>
                <w:color w:val="000000"/>
              </w:rPr>
            </w:pPr>
            <w:r w:rsidRPr="00E97D2C">
              <w:rPr>
                <w:rFonts w:cs="Arial"/>
                <w:color w:val="000000"/>
              </w:rPr>
              <w:t>Bypass Middle Esophagus to Jejunum with Autologous Tissue Substitute, Via Natural or Artificial Opening Endoscopic</w:t>
            </w:r>
          </w:p>
        </w:tc>
      </w:tr>
      <w:tr w:rsidR="00595F71" w:rsidRPr="00E97D2C" w14:paraId="3D3DB67A" w14:textId="77777777" w:rsidTr="00696E8F">
        <w:trPr>
          <w:trHeight w:val="300"/>
        </w:trPr>
        <w:tc>
          <w:tcPr>
            <w:tcW w:w="1872" w:type="dxa"/>
            <w:noWrap/>
            <w:vAlign w:val="center"/>
            <w:hideMark/>
          </w:tcPr>
          <w:p w14:paraId="3F4E1048" w14:textId="77777777" w:rsidR="00595F71" w:rsidRPr="00E97D2C" w:rsidRDefault="00595F71" w:rsidP="00696E8F">
            <w:pPr>
              <w:rPr>
                <w:rFonts w:cs="Arial"/>
                <w:color w:val="000000"/>
              </w:rPr>
            </w:pPr>
            <w:r w:rsidRPr="00E97D2C">
              <w:rPr>
                <w:rFonts w:cs="Arial"/>
                <w:color w:val="000000"/>
              </w:rPr>
              <w:t>0D1287B</w:t>
            </w:r>
          </w:p>
        </w:tc>
        <w:tc>
          <w:tcPr>
            <w:tcW w:w="7560" w:type="dxa"/>
            <w:noWrap/>
            <w:vAlign w:val="center"/>
            <w:hideMark/>
          </w:tcPr>
          <w:p w14:paraId="30D38262" w14:textId="77777777" w:rsidR="00595F71" w:rsidRPr="00E97D2C" w:rsidRDefault="00595F71" w:rsidP="00696E8F">
            <w:pPr>
              <w:rPr>
                <w:rFonts w:cs="Arial"/>
                <w:color w:val="000000"/>
              </w:rPr>
            </w:pPr>
            <w:r w:rsidRPr="00E97D2C">
              <w:rPr>
                <w:rFonts w:cs="Arial"/>
                <w:color w:val="000000"/>
              </w:rPr>
              <w:t>Bypass Middle Esophagus to Ileum with Autologous Tissue Substitute, Via Natural or Artificial Opening Endoscopic</w:t>
            </w:r>
          </w:p>
        </w:tc>
      </w:tr>
      <w:tr w:rsidR="00595F71" w:rsidRPr="00E97D2C" w14:paraId="70A321BA" w14:textId="77777777" w:rsidTr="00696E8F">
        <w:trPr>
          <w:trHeight w:val="300"/>
        </w:trPr>
        <w:tc>
          <w:tcPr>
            <w:tcW w:w="1872" w:type="dxa"/>
            <w:noWrap/>
            <w:vAlign w:val="center"/>
            <w:hideMark/>
          </w:tcPr>
          <w:p w14:paraId="038E4E1A" w14:textId="77777777" w:rsidR="00595F71" w:rsidRPr="00E97D2C" w:rsidRDefault="00595F71" w:rsidP="00696E8F">
            <w:pPr>
              <w:rPr>
                <w:rFonts w:cs="Arial"/>
                <w:color w:val="000000"/>
              </w:rPr>
            </w:pPr>
            <w:r w:rsidRPr="00E97D2C">
              <w:rPr>
                <w:rFonts w:cs="Arial"/>
                <w:color w:val="000000"/>
              </w:rPr>
              <w:t>0D128J4</w:t>
            </w:r>
          </w:p>
        </w:tc>
        <w:tc>
          <w:tcPr>
            <w:tcW w:w="7560" w:type="dxa"/>
            <w:noWrap/>
            <w:vAlign w:val="center"/>
            <w:hideMark/>
          </w:tcPr>
          <w:p w14:paraId="0556DE84" w14:textId="77777777" w:rsidR="00595F71" w:rsidRPr="00E97D2C" w:rsidRDefault="00595F71" w:rsidP="00696E8F">
            <w:pPr>
              <w:rPr>
                <w:rFonts w:cs="Arial"/>
                <w:color w:val="000000"/>
              </w:rPr>
            </w:pPr>
            <w:r w:rsidRPr="00E97D2C">
              <w:rPr>
                <w:rFonts w:cs="Arial"/>
                <w:color w:val="000000"/>
              </w:rPr>
              <w:t>Bypass Middle Esophagus to Cutaneous with Synthetic Substitute, Via Natural or Artificial Opening Endoscopic</w:t>
            </w:r>
          </w:p>
        </w:tc>
      </w:tr>
      <w:tr w:rsidR="00595F71" w:rsidRPr="00E97D2C" w14:paraId="3E5BD34D" w14:textId="77777777" w:rsidTr="00696E8F">
        <w:trPr>
          <w:trHeight w:val="300"/>
        </w:trPr>
        <w:tc>
          <w:tcPr>
            <w:tcW w:w="1872" w:type="dxa"/>
            <w:noWrap/>
            <w:vAlign w:val="center"/>
            <w:hideMark/>
          </w:tcPr>
          <w:p w14:paraId="3D51CA1E" w14:textId="77777777" w:rsidR="00595F71" w:rsidRPr="00E97D2C" w:rsidRDefault="00595F71" w:rsidP="00696E8F">
            <w:pPr>
              <w:rPr>
                <w:rFonts w:cs="Arial"/>
                <w:color w:val="000000"/>
              </w:rPr>
            </w:pPr>
            <w:r w:rsidRPr="00E97D2C">
              <w:rPr>
                <w:rFonts w:cs="Arial"/>
                <w:color w:val="000000"/>
              </w:rPr>
              <w:t>0D128J6</w:t>
            </w:r>
          </w:p>
        </w:tc>
        <w:tc>
          <w:tcPr>
            <w:tcW w:w="7560" w:type="dxa"/>
            <w:noWrap/>
            <w:vAlign w:val="center"/>
            <w:hideMark/>
          </w:tcPr>
          <w:p w14:paraId="05C3A9F5" w14:textId="77777777" w:rsidR="00595F71" w:rsidRPr="00E97D2C" w:rsidRDefault="00595F71" w:rsidP="00696E8F">
            <w:pPr>
              <w:rPr>
                <w:rFonts w:cs="Arial"/>
                <w:color w:val="000000"/>
              </w:rPr>
            </w:pPr>
            <w:r w:rsidRPr="00E97D2C">
              <w:rPr>
                <w:rFonts w:cs="Arial"/>
                <w:color w:val="000000"/>
              </w:rPr>
              <w:t>Bypass Middle Esophagus to Stomach with Synthetic Substitute, Via Natural or Artificial Opening Endoscopic</w:t>
            </w:r>
          </w:p>
        </w:tc>
      </w:tr>
      <w:tr w:rsidR="00595F71" w:rsidRPr="00E97D2C" w14:paraId="36A55B58" w14:textId="77777777" w:rsidTr="00696E8F">
        <w:trPr>
          <w:trHeight w:val="300"/>
        </w:trPr>
        <w:tc>
          <w:tcPr>
            <w:tcW w:w="1872" w:type="dxa"/>
            <w:noWrap/>
            <w:vAlign w:val="center"/>
            <w:hideMark/>
          </w:tcPr>
          <w:p w14:paraId="63C60CC2" w14:textId="77777777" w:rsidR="00595F71" w:rsidRPr="00E97D2C" w:rsidRDefault="00595F71" w:rsidP="00696E8F">
            <w:pPr>
              <w:rPr>
                <w:rFonts w:cs="Arial"/>
                <w:color w:val="000000"/>
              </w:rPr>
            </w:pPr>
            <w:r w:rsidRPr="00E97D2C">
              <w:rPr>
                <w:rFonts w:cs="Arial"/>
                <w:color w:val="000000"/>
              </w:rPr>
              <w:t>0D128J9</w:t>
            </w:r>
          </w:p>
        </w:tc>
        <w:tc>
          <w:tcPr>
            <w:tcW w:w="7560" w:type="dxa"/>
            <w:noWrap/>
            <w:vAlign w:val="center"/>
            <w:hideMark/>
          </w:tcPr>
          <w:p w14:paraId="3FE45BDF" w14:textId="77777777" w:rsidR="00595F71" w:rsidRPr="00E97D2C" w:rsidRDefault="00595F71" w:rsidP="00696E8F">
            <w:pPr>
              <w:rPr>
                <w:rFonts w:cs="Arial"/>
                <w:color w:val="000000"/>
              </w:rPr>
            </w:pPr>
            <w:r w:rsidRPr="00E97D2C">
              <w:rPr>
                <w:rFonts w:cs="Arial"/>
                <w:color w:val="000000"/>
              </w:rPr>
              <w:t>Bypass Middle Esophagus to Duodenum with Synthetic Substitute, Via Natural or Artificial Opening Endoscopic</w:t>
            </w:r>
          </w:p>
        </w:tc>
      </w:tr>
      <w:tr w:rsidR="00595F71" w:rsidRPr="00E97D2C" w14:paraId="2F678323" w14:textId="77777777" w:rsidTr="00696E8F">
        <w:trPr>
          <w:trHeight w:val="300"/>
        </w:trPr>
        <w:tc>
          <w:tcPr>
            <w:tcW w:w="1872" w:type="dxa"/>
            <w:noWrap/>
            <w:vAlign w:val="center"/>
            <w:hideMark/>
          </w:tcPr>
          <w:p w14:paraId="00AE16F0" w14:textId="77777777" w:rsidR="00595F71" w:rsidRPr="00E97D2C" w:rsidRDefault="00595F71" w:rsidP="00696E8F">
            <w:pPr>
              <w:rPr>
                <w:rFonts w:cs="Arial"/>
                <w:color w:val="000000"/>
              </w:rPr>
            </w:pPr>
            <w:r w:rsidRPr="00E97D2C">
              <w:rPr>
                <w:rFonts w:cs="Arial"/>
                <w:color w:val="000000"/>
              </w:rPr>
              <w:t>0D128JA</w:t>
            </w:r>
          </w:p>
        </w:tc>
        <w:tc>
          <w:tcPr>
            <w:tcW w:w="7560" w:type="dxa"/>
            <w:noWrap/>
            <w:vAlign w:val="center"/>
            <w:hideMark/>
          </w:tcPr>
          <w:p w14:paraId="31B2B21B" w14:textId="77777777" w:rsidR="00595F71" w:rsidRPr="00E97D2C" w:rsidRDefault="00595F71" w:rsidP="00696E8F">
            <w:pPr>
              <w:rPr>
                <w:rFonts w:cs="Arial"/>
                <w:color w:val="000000"/>
              </w:rPr>
            </w:pPr>
            <w:r w:rsidRPr="00E97D2C">
              <w:rPr>
                <w:rFonts w:cs="Arial"/>
                <w:color w:val="000000"/>
              </w:rPr>
              <w:t>Bypass Middle Esophagus to Jejunum with Synthetic Substitute, Via Natural or Artificial Opening Endoscopic</w:t>
            </w:r>
          </w:p>
        </w:tc>
      </w:tr>
      <w:tr w:rsidR="00595F71" w:rsidRPr="00E97D2C" w14:paraId="51AEE632" w14:textId="77777777" w:rsidTr="00696E8F">
        <w:trPr>
          <w:trHeight w:val="300"/>
        </w:trPr>
        <w:tc>
          <w:tcPr>
            <w:tcW w:w="1872" w:type="dxa"/>
            <w:noWrap/>
            <w:vAlign w:val="center"/>
            <w:hideMark/>
          </w:tcPr>
          <w:p w14:paraId="311EA614" w14:textId="77777777" w:rsidR="00595F71" w:rsidRPr="00E97D2C" w:rsidRDefault="00595F71" w:rsidP="00696E8F">
            <w:pPr>
              <w:rPr>
                <w:rFonts w:cs="Arial"/>
                <w:color w:val="000000"/>
              </w:rPr>
            </w:pPr>
            <w:r w:rsidRPr="00E97D2C">
              <w:rPr>
                <w:rFonts w:cs="Arial"/>
                <w:color w:val="000000"/>
              </w:rPr>
              <w:lastRenderedPageBreak/>
              <w:t>0D128JB</w:t>
            </w:r>
          </w:p>
        </w:tc>
        <w:tc>
          <w:tcPr>
            <w:tcW w:w="7560" w:type="dxa"/>
            <w:noWrap/>
            <w:vAlign w:val="center"/>
            <w:hideMark/>
          </w:tcPr>
          <w:p w14:paraId="7FD60C9D" w14:textId="77777777" w:rsidR="00595F71" w:rsidRPr="00E97D2C" w:rsidRDefault="00595F71" w:rsidP="00696E8F">
            <w:pPr>
              <w:rPr>
                <w:rFonts w:cs="Arial"/>
                <w:color w:val="000000"/>
              </w:rPr>
            </w:pPr>
            <w:r w:rsidRPr="00E97D2C">
              <w:rPr>
                <w:rFonts w:cs="Arial"/>
                <w:color w:val="000000"/>
              </w:rPr>
              <w:t>Bypass Middle Esophagus to Ileum with Synthetic Substitute, Via Natural or Artificial Opening Endoscopic</w:t>
            </w:r>
          </w:p>
        </w:tc>
      </w:tr>
      <w:tr w:rsidR="00595F71" w:rsidRPr="00E97D2C" w14:paraId="1F1652A4" w14:textId="77777777" w:rsidTr="00696E8F">
        <w:trPr>
          <w:trHeight w:val="300"/>
        </w:trPr>
        <w:tc>
          <w:tcPr>
            <w:tcW w:w="1872" w:type="dxa"/>
            <w:noWrap/>
            <w:vAlign w:val="center"/>
            <w:hideMark/>
          </w:tcPr>
          <w:p w14:paraId="3DC1F7D6" w14:textId="77777777" w:rsidR="00595F71" w:rsidRPr="00E97D2C" w:rsidRDefault="00595F71" w:rsidP="00696E8F">
            <w:pPr>
              <w:rPr>
                <w:rFonts w:cs="Arial"/>
                <w:color w:val="000000"/>
              </w:rPr>
            </w:pPr>
            <w:r w:rsidRPr="00E97D2C">
              <w:rPr>
                <w:rFonts w:cs="Arial"/>
                <w:color w:val="000000"/>
              </w:rPr>
              <w:t>0D128K4</w:t>
            </w:r>
          </w:p>
        </w:tc>
        <w:tc>
          <w:tcPr>
            <w:tcW w:w="7560" w:type="dxa"/>
            <w:noWrap/>
            <w:vAlign w:val="center"/>
            <w:hideMark/>
          </w:tcPr>
          <w:p w14:paraId="554DA741" w14:textId="77777777" w:rsidR="00595F71" w:rsidRPr="00E97D2C" w:rsidRDefault="00595F71" w:rsidP="00696E8F">
            <w:pPr>
              <w:rPr>
                <w:rFonts w:cs="Arial"/>
                <w:color w:val="000000"/>
              </w:rPr>
            </w:pPr>
            <w:r w:rsidRPr="00E97D2C">
              <w:rPr>
                <w:rFonts w:cs="Arial"/>
                <w:color w:val="000000"/>
              </w:rPr>
              <w:t>Bypass Middle Esophagus to Cutaneous with Nonautologous Tissue Substitute, Via Natural or Artificial Opening Endoscopic</w:t>
            </w:r>
          </w:p>
        </w:tc>
      </w:tr>
      <w:tr w:rsidR="00595F71" w:rsidRPr="00E97D2C" w14:paraId="5386D3AA" w14:textId="77777777" w:rsidTr="00696E8F">
        <w:trPr>
          <w:trHeight w:val="300"/>
        </w:trPr>
        <w:tc>
          <w:tcPr>
            <w:tcW w:w="1872" w:type="dxa"/>
            <w:noWrap/>
            <w:vAlign w:val="center"/>
            <w:hideMark/>
          </w:tcPr>
          <w:p w14:paraId="366D11E1" w14:textId="77777777" w:rsidR="00595F71" w:rsidRPr="00E97D2C" w:rsidRDefault="00595F71" w:rsidP="00696E8F">
            <w:pPr>
              <w:rPr>
                <w:rFonts w:cs="Arial"/>
                <w:color w:val="000000"/>
              </w:rPr>
            </w:pPr>
            <w:r w:rsidRPr="00E97D2C">
              <w:rPr>
                <w:rFonts w:cs="Arial"/>
                <w:color w:val="000000"/>
              </w:rPr>
              <w:t>0D128K6</w:t>
            </w:r>
          </w:p>
        </w:tc>
        <w:tc>
          <w:tcPr>
            <w:tcW w:w="7560" w:type="dxa"/>
            <w:noWrap/>
            <w:vAlign w:val="center"/>
            <w:hideMark/>
          </w:tcPr>
          <w:p w14:paraId="1153B657" w14:textId="77777777" w:rsidR="00595F71" w:rsidRPr="00E97D2C" w:rsidRDefault="00595F71" w:rsidP="00696E8F">
            <w:pPr>
              <w:rPr>
                <w:rFonts w:cs="Arial"/>
                <w:color w:val="000000"/>
              </w:rPr>
            </w:pPr>
            <w:r w:rsidRPr="00E97D2C">
              <w:rPr>
                <w:rFonts w:cs="Arial"/>
                <w:color w:val="000000"/>
              </w:rPr>
              <w:t>Bypass Middle Esophagus to Stomach with Nonautologous Tissue Substitute, Via Natural or Artificial Opening Endoscopic</w:t>
            </w:r>
          </w:p>
        </w:tc>
      </w:tr>
      <w:tr w:rsidR="00595F71" w:rsidRPr="00E97D2C" w14:paraId="1AC3E717" w14:textId="77777777" w:rsidTr="00696E8F">
        <w:trPr>
          <w:trHeight w:val="300"/>
        </w:trPr>
        <w:tc>
          <w:tcPr>
            <w:tcW w:w="1872" w:type="dxa"/>
            <w:noWrap/>
            <w:vAlign w:val="center"/>
            <w:hideMark/>
          </w:tcPr>
          <w:p w14:paraId="7672F31A" w14:textId="77777777" w:rsidR="00595F71" w:rsidRPr="00E97D2C" w:rsidRDefault="00595F71" w:rsidP="00696E8F">
            <w:pPr>
              <w:rPr>
                <w:rFonts w:cs="Arial"/>
                <w:color w:val="000000"/>
              </w:rPr>
            </w:pPr>
            <w:r w:rsidRPr="00E97D2C">
              <w:rPr>
                <w:rFonts w:cs="Arial"/>
                <w:color w:val="000000"/>
              </w:rPr>
              <w:t>0D128K9</w:t>
            </w:r>
          </w:p>
        </w:tc>
        <w:tc>
          <w:tcPr>
            <w:tcW w:w="7560" w:type="dxa"/>
            <w:noWrap/>
            <w:vAlign w:val="center"/>
            <w:hideMark/>
          </w:tcPr>
          <w:p w14:paraId="32E51E30" w14:textId="77777777" w:rsidR="00595F71" w:rsidRPr="00E97D2C" w:rsidRDefault="00595F71" w:rsidP="00696E8F">
            <w:pPr>
              <w:rPr>
                <w:rFonts w:cs="Arial"/>
                <w:color w:val="000000"/>
              </w:rPr>
            </w:pPr>
            <w:r w:rsidRPr="00E97D2C">
              <w:rPr>
                <w:rFonts w:cs="Arial"/>
                <w:color w:val="000000"/>
              </w:rPr>
              <w:t>Bypass Middle Esophagus to Duodenum with Nonautologous Tissue Substitute, Via Natural or Artificial Opening Endoscopic</w:t>
            </w:r>
          </w:p>
        </w:tc>
      </w:tr>
      <w:tr w:rsidR="00595F71" w:rsidRPr="00E97D2C" w14:paraId="617ACE69" w14:textId="77777777" w:rsidTr="00696E8F">
        <w:trPr>
          <w:trHeight w:val="300"/>
        </w:trPr>
        <w:tc>
          <w:tcPr>
            <w:tcW w:w="1872" w:type="dxa"/>
            <w:noWrap/>
            <w:vAlign w:val="center"/>
            <w:hideMark/>
          </w:tcPr>
          <w:p w14:paraId="6885140D" w14:textId="77777777" w:rsidR="00595F71" w:rsidRPr="00E97D2C" w:rsidRDefault="00595F71" w:rsidP="00696E8F">
            <w:pPr>
              <w:rPr>
                <w:rFonts w:cs="Arial"/>
                <w:color w:val="000000"/>
              </w:rPr>
            </w:pPr>
            <w:r w:rsidRPr="00E97D2C">
              <w:rPr>
                <w:rFonts w:cs="Arial"/>
                <w:color w:val="000000"/>
              </w:rPr>
              <w:t>0D128KA</w:t>
            </w:r>
          </w:p>
        </w:tc>
        <w:tc>
          <w:tcPr>
            <w:tcW w:w="7560" w:type="dxa"/>
            <w:noWrap/>
            <w:vAlign w:val="center"/>
            <w:hideMark/>
          </w:tcPr>
          <w:p w14:paraId="545F277D" w14:textId="77777777" w:rsidR="00595F71" w:rsidRPr="00E97D2C" w:rsidRDefault="00595F71" w:rsidP="00696E8F">
            <w:pPr>
              <w:rPr>
                <w:rFonts w:cs="Arial"/>
                <w:color w:val="000000"/>
              </w:rPr>
            </w:pPr>
            <w:r w:rsidRPr="00E97D2C">
              <w:rPr>
                <w:rFonts w:cs="Arial"/>
                <w:color w:val="000000"/>
              </w:rPr>
              <w:t>Bypass Middle Esophagus to Jejunum with Nonautologous Tissue Substitute, Via Natural or Artificial Opening Endoscopic</w:t>
            </w:r>
          </w:p>
        </w:tc>
      </w:tr>
      <w:tr w:rsidR="00595F71" w:rsidRPr="00E97D2C" w14:paraId="07DC332D" w14:textId="77777777" w:rsidTr="00696E8F">
        <w:trPr>
          <w:trHeight w:val="300"/>
        </w:trPr>
        <w:tc>
          <w:tcPr>
            <w:tcW w:w="1872" w:type="dxa"/>
            <w:noWrap/>
            <w:vAlign w:val="center"/>
            <w:hideMark/>
          </w:tcPr>
          <w:p w14:paraId="3F4D707B" w14:textId="77777777" w:rsidR="00595F71" w:rsidRPr="00E97D2C" w:rsidRDefault="00595F71" w:rsidP="00696E8F">
            <w:pPr>
              <w:rPr>
                <w:rFonts w:cs="Arial"/>
                <w:color w:val="000000"/>
              </w:rPr>
            </w:pPr>
            <w:r w:rsidRPr="00E97D2C">
              <w:rPr>
                <w:rFonts w:cs="Arial"/>
                <w:color w:val="000000"/>
              </w:rPr>
              <w:t>0D128KB</w:t>
            </w:r>
          </w:p>
        </w:tc>
        <w:tc>
          <w:tcPr>
            <w:tcW w:w="7560" w:type="dxa"/>
            <w:noWrap/>
            <w:vAlign w:val="center"/>
            <w:hideMark/>
          </w:tcPr>
          <w:p w14:paraId="18E0EC76" w14:textId="77777777" w:rsidR="00595F71" w:rsidRPr="00E97D2C" w:rsidRDefault="00595F71" w:rsidP="00696E8F">
            <w:pPr>
              <w:rPr>
                <w:rFonts w:cs="Arial"/>
                <w:color w:val="000000"/>
              </w:rPr>
            </w:pPr>
            <w:r w:rsidRPr="00E97D2C">
              <w:rPr>
                <w:rFonts w:cs="Arial"/>
                <w:color w:val="000000"/>
              </w:rPr>
              <w:t>Bypass Middle Esophagus to Ileum with Nonautologous Tissue Substitute, Via Natural or Artificial Opening Endoscopic</w:t>
            </w:r>
          </w:p>
        </w:tc>
      </w:tr>
      <w:tr w:rsidR="00595F71" w:rsidRPr="00E97D2C" w14:paraId="2C95ABB1" w14:textId="77777777" w:rsidTr="00696E8F">
        <w:trPr>
          <w:trHeight w:val="300"/>
        </w:trPr>
        <w:tc>
          <w:tcPr>
            <w:tcW w:w="1872" w:type="dxa"/>
            <w:noWrap/>
            <w:vAlign w:val="center"/>
            <w:hideMark/>
          </w:tcPr>
          <w:p w14:paraId="25A403B1" w14:textId="77777777" w:rsidR="00595F71" w:rsidRPr="00E97D2C" w:rsidRDefault="00595F71" w:rsidP="00696E8F">
            <w:pPr>
              <w:rPr>
                <w:rFonts w:cs="Arial"/>
                <w:color w:val="000000"/>
              </w:rPr>
            </w:pPr>
            <w:r w:rsidRPr="00E97D2C">
              <w:rPr>
                <w:rFonts w:cs="Arial"/>
                <w:color w:val="000000"/>
              </w:rPr>
              <w:t>0D128Z4</w:t>
            </w:r>
          </w:p>
        </w:tc>
        <w:tc>
          <w:tcPr>
            <w:tcW w:w="7560" w:type="dxa"/>
            <w:noWrap/>
            <w:vAlign w:val="center"/>
            <w:hideMark/>
          </w:tcPr>
          <w:p w14:paraId="202E5593" w14:textId="77777777" w:rsidR="00595F71" w:rsidRPr="00E97D2C" w:rsidRDefault="00595F71" w:rsidP="00696E8F">
            <w:pPr>
              <w:rPr>
                <w:rFonts w:cs="Arial"/>
                <w:color w:val="000000"/>
              </w:rPr>
            </w:pPr>
            <w:r w:rsidRPr="00E97D2C">
              <w:rPr>
                <w:rFonts w:cs="Arial"/>
                <w:color w:val="000000"/>
              </w:rPr>
              <w:t>Bypass Middle Esophagus to Cutaneous, Via Natural or Artificial Opening Endoscopic</w:t>
            </w:r>
          </w:p>
        </w:tc>
      </w:tr>
      <w:tr w:rsidR="00595F71" w:rsidRPr="00E97D2C" w14:paraId="553A29C7" w14:textId="77777777" w:rsidTr="00696E8F">
        <w:trPr>
          <w:trHeight w:val="300"/>
        </w:trPr>
        <w:tc>
          <w:tcPr>
            <w:tcW w:w="1872" w:type="dxa"/>
            <w:noWrap/>
            <w:vAlign w:val="center"/>
            <w:hideMark/>
          </w:tcPr>
          <w:p w14:paraId="04E85D20" w14:textId="77777777" w:rsidR="00595F71" w:rsidRPr="00E97D2C" w:rsidRDefault="00595F71" w:rsidP="00696E8F">
            <w:pPr>
              <w:rPr>
                <w:rFonts w:cs="Arial"/>
                <w:color w:val="000000"/>
              </w:rPr>
            </w:pPr>
            <w:r w:rsidRPr="00E97D2C">
              <w:rPr>
                <w:rFonts w:cs="Arial"/>
                <w:color w:val="000000"/>
              </w:rPr>
              <w:t>0D128Z6</w:t>
            </w:r>
          </w:p>
        </w:tc>
        <w:tc>
          <w:tcPr>
            <w:tcW w:w="7560" w:type="dxa"/>
            <w:noWrap/>
            <w:vAlign w:val="center"/>
            <w:hideMark/>
          </w:tcPr>
          <w:p w14:paraId="61495476" w14:textId="77777777" w:rsidR="00595F71" w:rsidRPr="00E97D2C" w:rsidRDefault="00595F71" w:rsidP="00696E8F">
            <w:pPr>
              <w:rPr>
                <w:rFonts w:cs="Arial"/>
                <w:color w:val="000000"/>
              </w:rPr>
            </w:pPr>
            <w:r w:rsidRPr="00E97D2C">
              <w:rPr>
                <w:rFonts w:cs="Arial"/>
                <w:color w:val="000000"/>
              </w:rPr>
              <w:t>Bypass Middle Esophagus to Stomach, Via Natural or Artificial Opening Endoscopic</w:t>
            </w:r>
          </w:p>
        </w:tc>
      </w:tr>
      <w:tr w:rsidR="00595F71" w:rsidRPr="00E97D2C" w14:paraId="4F1571CF" w14:textId="77777777" w:rsidTr="00696E8F">
        <w:trPr>
          <w:trHeight w:val="300"/>
        </w:trPr>
        <w:tc>
          <w:tcPr>
            <w:tcW w:w="1872" w:type="dxa"/>
            <w:noWrap/>
            <w:vAlign w:val="center"/>
            <w:hideMark/>
          </w:tcPr>
          <w:p w14:paraId="33619B40" w14:textId="77777777" w:rsidR="00595F71" w:rsidRPr="00E97D2C" w:rsidRDefault="00595F71" w:rsidP="00696E8F">
            <w:pPr>
              <w:rPr>
                <w:rFonts w:cs="Arial"/>
                <w:color w:val="000000"/>
              </w:rPr>
            </w:pPr>
            <w:r w:rsidRPr="00E97D2C">
              <w:rPr>
                <w:rFonts w:cs="Arial"/>
                <w:color w:val="000000"/>
              </w:rPr>
              <w:t>0D128Z9</w:t>
            </w:r>
          </w:p>
        </w:tc>
        <w:tc>
          <w:tcPr>
            <w:tcW w:w="7560" w:type="dxa"/>
            <w:noWrap/>
            <w:vAlign w:val="center"/>
            <w:hideMark/>
          </w:tcPr>
          <w:p w14:paraId="428DA591" w14:textId="77777777" w:rsidR="00595F71" w:rsidRPr="00E97D2C" w:rsidRDefault="00595F71" w:rsidP="00696E8F">
            <w:pPr>
              <w:rPr>
                <w:rFonts w:cs="Arial"/>
                <w:color w:val="000000"/>
              </w:rPr>
            </w:pPr>
            <w:r w:rsidRPr="00E97D2C">
              <w:rPr>
                <w:rFonts w:cs="Arial"/>
                <w:color w:val="000000"/>
              </w:rPr>
              <w:t>Bypass Middle Esophagus to Duodenum, Via Natural or Artificial Opening Endoscopic</w:t>
            </w:r>
          </w:p>
        </w:tc>
      </w:tr>
      <w:tr w:rsidR="00595F71" w:rsidRPr="00E97D2C" w14:paraId="0A4D91DB" w14:textId="77777777" w:rsidTr="00696E8F">
        <w:trPr>
          <w:trHeight w:val="300"/>
        </w:trPr>
        <w:tc>
          <w:tcPr>
            <w:tcW w:w="1872" w:type="dxa"/>
            <w:noWrap/>
            <w:vAlign w:val="center"/>
            <w:hideMark/>
          </w:tcPr>
          <w:p w14:paraId="04BBECA4" w14:textId="77777777" w:rsidR="00595F71" w:rsidRPr="00E97D2C" w:rsidRDefault="00595F71" w:rsidP="00696E8F">
            <w:pPr>
              <w:rPr>
                <w:rFonts w:cs="Arial"/>
                <w:color w:val="000000"/>
              </w:rPr>
            </w:pPr>
            <w:r w:rsidRPr="00E97D2C">
              <w:rPr>
                <w:rFonts w:cs="Arial"/>
                <w:color w:val="000000"/>
              </w:rPr>
              <w:t>0D128ZA</w:t>
            </w:r>
          </w:p>
        </w:tc>
        <w:tc>
          <w:tcPr>
            <w:tcW w:w="7560" w:type="dxa"/>
            <w:noWrap/>
            <w:vAlign w:val="center"/>
            <w:hideMark/>
          </w:tcPr>
          <w:p w14:paraId="38720C45" w14:textId="77777777" w:rsidR="00595F71" w:rsidRPr="00E97D2C" w:rsidRDefault="00595F71" w:rsidP="00696E8F">
            <w:pPr>
              <w:rPr>
                <w:rFonts w:cs="Arial"/>
                <w:color w:val="000000"/>
              </w:rPr>
            </w:pPr>
            <w:r w:rsidRPr="00E97D2C">
              <w:rPr>
                <w:rFonts w:cs="Arial"/>
                <w:color w:val="000000"/>
              </w:rPr>
              <w:t>Bypass Middle Esophagus to Jejunum, Via Natural or Artificial Opening Endoscopic</w:t>
            </w:r>
          </w:p>
        </w:tc>
      </w:tr>
      <w:tr w:rsidR="00595F71" w:rsidRPr="00E97D2C" w14:paraId="7CAAE983" w14:textId="77777777" w:rsidTr="00696E8F">
        <w:trPr>
          <w:trHeight w:val="300"/>
        </w:trPr>
        <w:tc>
          <w:tcPr>
            <w:tcW w:w="1872" w:type="dxa"/>
            <w:noWrap/>
            <w:vAlign w:val="center"/>
            <w:hideMark/>
          </w:tcPr>
          <w:p w14:paraId="5CE1296B" w14:textId="77777777" w:rsidR="00595F71" w:rsidRPr="00E97D2C" w:rsidRDefault="00595F71" w:rsidP="00696E8F">
            <w:pPr>
              <w:rPr>
                <w:rFonts w:cs="Arial"/>
                <w:color w:val="000000"/>
              </w:rPr>
            </w:pPr>
            <w:r w:rsidRPr="00E97D2C">
              <w:rPr>
                <w:rFonts w:cs="Arial"/>
                <w:color w:val="000000"/>
              </w:rPr>
              <w:t>0D128ZB</w:t>
            </w:r>
          </w:p>
        </w:tc>
        <w:tc>
          <w:tcPr>
            <w:tcW w:w="7560" w:type="dxa"/>
            <w:noWrap/>
            <w:vAlign w:val="center"/>
            <w:hideMark/>
          </w:tcPr>
          <w:p w14:paraId="44FEC3D0" w14:textId="77777777" w:rsidR="00595F71" w:rsidRPr="00E97D2C" w:rsidRDefault="00595F71" w:rsidP="00696E8F">
            <w:pPr>
              <w:rPr>
                <w:rFonts w:cs="Arial"/>
                <w:color w:val="000000"/>
              </w:rPr>
            </w:pPr>
            <w:r w:rsidRPr="00E97D2C">
              <w:rPr>
                <w:rFonts w:cs="Arial"/>
                <w:color w:val="000000"/>
              </w:rPr>
              <w:t>Bypass Middle Esophagus to Ileum, Via Natural or Artificial Opening Endoscopic</w:t>
            </w:r>
          </w:p>
        </w:tc>
      </w:tr>
      <w:tr w:rsidR="00595F71" w:rsidRPr="00E97D2C" w14:paraId="7FC6B4F7" w14:textId="77777777" w:rsidTr="00696E8F">
        <w:trPr>
          <w:trHeight w:val="300"/>
        </w:trPr>
        <w:tc>
          <w:tcPr>
            <w:tcW w:w="1872" w:type="dxa"/>
            <w:noWrap/>
            <w:vAlign w:val="center"/>
            <w:hideMark/>
          </w:tcPr>
          <w:p w14:paraId="43CD3675" w14:textId="77777777" w:rsidR="00595F71" w:rsidRPr="00E97D2C" w:rsidRDefault="00595F71" w:rsidP="00696E8F">
            <w:pPr>
              <w:rPr>
                <w:rFonts w:cs="Arial"/>
                <w:color w:val="000000"/>
              </w:rPr>
            </w:pPr>
            <w:r w:rsidRPr="00E97D2C">
              <w:rPr>
                <w:rFonts w:cs="Arial"/>
                <w:color w:val="000000"/>
              </w:rPr>
              <w:t>0D13074</w:t>
            </w:r>
          </w:p>
        </w:tc>
        <w:tc>
          <w:tcPr>
            <w:tcW w:w="7560" w:type="dxa"/>
            <w:noWrap/>
            <w:vAlign w:val="center"/>
            <w:hideMark/>
          </w:tcPr>
          <w:p w14:paraId="32AF07B0" w14:textId="77777777" w:rsidR="00595F71" w:rsidRPr="00E97D2C" w:rsidRDefault="00595F71" w:rsidP="00696E8F">
            <w:pPr>
              <w:rPr>
                <w:rFonts w:cs="Arial"/>
                <w:color w:val="000000"/>
              </w:rPr>
            </w:pPr>
            <w:r w:rsidRPr="00E97D2C">
              <w:rPr>
                <w:rFonts w:cs="Arial"/>
                <w:color w:val="000000"/>
              </w:rPr>
              <w:t>Bypass Lower Esophagus to Cutaneous with Autologous Tissue Substitute, Open Approach</w:t>
            </w:r>
          </w:p>
        </w:tc>
      </w:tr>
      <w:tr w:rsidR="00595F71" w:rsidRPr="00E97D2C" w14:paraId="6AEC5092" w14:textId="77777777" w:rsidTr="00696E8F">
        <w:trPr>
          <w:trHeight w:val="300"/>
        </w:trPr>
        <w:tc>
          <w:tcPr>
            <w:tcW w:w="1872" w:type="dxa"/>
            <w:noWrap/>
            <w:vAlign w:val="center"/>
            <w:hideMark/>
          </w:tcPr>
          <w:p w14:paraId="05195342" w14:textId="77777777" w:rsidR="00595F71" w:rsidRPr="00E97D2C" w:rsidRDefault="00595F71" w:rsidP="00696E8F">
            <w:pPr>
              <w:rPr>
                <w:rFonts w:cs="Arial"/>
                <w:color w:val="000000"/>
              </w:rPr>
            </w:pPr>
            <w:r w:rsidRPr="00E97D2C">
              <w:rPr>
                <w:rFonts w:cs="Arial"/>
                <w:color w:val="000000"/>
              </w:rPr>
              <w:t>0D13076</w:t>
            </w:r>
          </w:p>
        </w:tc>
        <w:tc>
          <w:tcPr>
            <w:tcW w:w="7560" w:type="dxa"/>
            <w:noWrap/>
            <w:vAlign w:val="center"/>
            <w:hideMark/>
          </w:tcPr>
          <w:p w14:paraId="379BB144" w14:textId="77777777" w:rsidR="00595F71" w:rsidRPr="00E97D2C" w:rsidRDefault="00595F71" w:rsidP="00696E8F">
            <w:pPr>
              <w:rPr>
                <w:rFonts w:cs="Arial"/>
                <w:color w:val="000000"/>
              </w:rPr>
            </w:pPr>
            <w:r w:rsidRPr="00E97D2C">
              <w:rPr>
                <w:rFonts w:cs="Arial"/>
                <w:color w:val="000000"/>
              </w:rPr>
              <w:t>Bypass Lower Esophagus to Stomach with Autologous Tissue Substitute, Open Approach</w:t>
            </w:r>
          </w:p>
        </w:tc>
      </w:tr>
      <w:tr w:rsidR="00595F71" w:rsidRPr="00E97D2C" w14:paraId="0A0A4655" w14:textId="77777777" w:rsidTr="00696E8F">
        <w:trPr>
          <w:trHeight w:val="300"/>
        </w:trPr>
        <w:tc>
          <w:tcPr>
            <w:tcW w:w="1872" w:type="dxa"/>
            <w:noWrap/>
            <w:vAlign w:val="center"/>
            <w:hideMark/>
          </w:tcPr>
          <w:p w14:paraId="06DBED33" w14:textId="77777777" w:rsidR="00595F71" w:rsidRPr="00E97D2C" w:rsidRDefault="00595F71" w:rsidP="00696E8F">
            <w:pPr>
              <w:rPr>
                <w:rFonts w:cs="Arial"/>
                <w:color w:val="000000"/>
              </w:rPr>
            </w:pPr>
            <w:r w:rsidRPr="00E97D2C">
              <w:rPr>
                <w:rFonts w:cs="Arial"/>
                <w:color w:val="000000"/>
              </w:rPr>
              <w:t>0D13079</w:t>
            </w:r>
          </w:p>
        </w:tc>
        <w:tc>
          <w:tcPr>
            <w:tcW w:w="7560" w:type="dxa"/>
            <w:noWrap/>
            <w:vAlign w:val="center"/>
            <w:hideMark/>
          </w:tcPr>
          <w:p w14:paraId="3E277041" w14:textId="77777777" w:rsidR="00595F71" w:rsidRPr="00E97D2C" w:rsidRDefault="00595F71" w:rsidP="00696E8F">
            <w:pPr>
              <w:rPr>
                <w:rFonts w:cs="Arial"/>
                <w:color w:val="000000"/>
              </w:rPr>
            </w:pPr>
            <w:r w:rsidRPr="00E97D2C">
              <w:rPr>
                <w:rFonts w:cs="Arial"/>
                <w:color w:val="000000"/>
              </w:rPr>
              <w:t>Bypass Lower Esophagus to Duodenum with Autologous Tissue Substitute, Open Approach</w:t>
            </w:r>
          </w:p>
        </w:tc>
      </w:tr>
      <w:tr w:rsidR="00595F71" w:rsidRPr="00E97D2C" w14:paraId="33568DD3" w14:textId="77777777" w:rsidTr="00696E8F">
        <w:trPr>
          <w:trHeight w:val="300"/>
        </w:trPr>
        <w:tc>
          <w:tcPr>
            <w:tcW w:w="1872" w:type="dxa"/>
            <w:noWrap/>
            <w:vAlign w:val="center"/>
            <w:hideMark/>
          </w:tcPr>
          <w:p w14:paraId="4738E0C1" w14:textId="77777777" w:rsidR="00595F71" w:rsidRPr="00E97D2C" w:rsidRDefault="00595F71" w:rsidP="00696E8F">
            <w:pPr>
              <w:rPr>
                <w:rFonts w:cs="Arial"/>
                <w:color w:val="000000"/>
              </w:rPr>
            </w:pPr>
            <w:r w:rsidRPr="00E97D2C">
              <w:rPr>
                <w:rFonts w:cs="Arial"/>
                <w:color w:val="000000"/>
              </w:rPr>
              <w:t>0D1307A</w:t>
            </w:r>
          </w:p>
        </w:tc>
        <w:tc>
          <w:tcPr>
            <w:tcW w:w="7560" w:type="dxa"/>
            <w:noWrap/>
            <w:vAlign w:val="center"/>
            <w:hideMark/>
          </w:tcPr>
          <w:p w14:paraId="6C131697" w14:textId="77777777" w:rsidR="00595F71" w:rsidRPr="00E97D2C" w:rsidRDefault="00595F71" w:rsidP="00696E8F">
            <w:pPr>
              <w:rPr>
                <w:rFonts w:cs="Arial"/>
                <w:color w:val="000000"/>
              </w:rPr>
            </w:pPr>
            <w:r w:rsidRPr="00E97D2C">
              <w:rPr>
                <w:rFonts w:cs="Arial"/>
                <w:color w:val="000000"/>
              </w:rPr>
              <w:t>Bypass Lower Esophagus to Jejunum with Autologous Tissue Substitute, Open Approach</w:t>
            </w:r>
          </w:p>
        </w:tc>
      </w:tr>
      <w:tr w:rsidR="00595F71" w:rsidRPr="00E97D2C" w14:paraId="48356A26" w14:textId="77777777" w:rsidTr="00696E8F">
        <w:trPr>
          <w:trHeight w:val="300"/>
        </w:trPr>
        <w:tc>
          <w:tcPr>
            <w:tcW w:w="1872" w:type="dxa"/>
            <w:noWrap/>
            <w:vAlign w:val="center"/>
            <w:hideMark/>
          </w:tcPr>
          <w:p w14:paraId="1A8BB1F2" w14:textId="77777777" w:rsidR="00595F71" w:rsidRPr="00E97D2C" w:rsidRDefault="00595F71" w:rsidP="00696E8F">
            <w:pPr>
              <w:rPr>
                <w:rFonts w:cs="Arial"/>
                <w:color w:val="000000"/>
              </w:rPr>
            </w:pPr>
            <w:r w:rsidRPr="00E97D2C">
              <w:rPr>
                <w:rFonts w:cs="Arial"/>
                <w:color w:val="000000"/>
              </w:rPr>
              <w:t>0D1307B</w:t>
            </w:r>
          </w:p>
        </w:tc>
        <w:tc>
          <w:tcPr>
            <w:tcW w:w="7560" w:type="dxa"/>
            <w:noWrap/>
            <w:vAlign w:val="center"/>
            <w:hideMark/>
          </w:tcPr>
          <w:p w14:paraId="7C363FAA" w14:textId="77777777" w:rsidR="00595F71" w:rsidRPr="00E97D2C" w:rsidRDefault="00595F71" w:rsidP="00696E8F">
            <w:pPr>
              <w:rPr>
                <w:rFonts w:cs="Arial"/>
                <w:color w:val="000000"/>
              </w:rPr>
            </w:pPr>
            <w:r w:rsidRPr="00E97D2C">
              <w:rPr>
                <w:rFonts w:cs="Arial"/>
                <w:color w:val="000000"/>
              </w:rPr>
              <w:t>Bypass Lower Esophagus to Ileum with Autologous Tissue Substitute, Open Approach</w:t>
            </w:r>
          </w:p>
        </w:tc>
      </w:tr>
      <w:tr w:rsidR="00595F71" w:rsidRPr="00E97D2C" w14:paraId="4957C9FB" w14:textId="77777777" w:rsidTr="00696E8F">
        <w:trPr>
          <w:trHeight w:val="300"/>
        </w:trPr>
        <w:tc>
          <w:tcPr>
            <w:tcW w:w="1872" w:type="dxa"/>
            <w:noWrap/>
            <w:vAlign w:val="center"/>
            <w:hideMark/>
          </w:tcPr>
          <w:p w14:paraId="4436045A" w14:textId="77777777" w:rsidR="00595F71" w:rsidRPr="00E97D2C" w:rsidRDefault="00595F71" w:rsidP="00696E8F">
            <w:pPr>
              <w:rPr>
                <w:rFonts w:cs="Arial"/>
                <w:color w:val="000000"/>
              </w:rPr>
            </w:pPr>
            <w:r w:rsidRPr="00E97D2C">
              <w:rPr>
                <w:rFonts w:cs="Arial"/>
                <w:color w:val="000000"/>
              </w:rPr>
              <w:t>0D130J4</w:t>
            </w:r>
          </w:p>
        </w:tc>
        <w:tc>
          <w:tcPr>
            <w:tcW w:w="7560" w:type="dxa"/>
            <w:noWrap/>
            <w:vAlign w:val="center"/>
            <w:hideMark/>
          </w:tcPr>
          <w:p w14:paraId="6751D4A6" w14:textId="77777777" w:rsidR="00595F71" w:rsidRPr="00E97D2C" w:rsidRDefault="00595F71" w:rsidP="00696E8F">
            <w:pPr>
              <w:rPr>
                <w:rFonts w:cs="Arial"/>
                <w:color w:val="000000"/>
              </w:rPr>
            </w:pPr>
            <w:r w:rsidRPr="00E97D2C">
              <w:rPr>
                <w:rFonts w:cs="Arial"/>
                <w:color w:val="000000"/>
              </w:rPr>
              <w:t>Bypass Lower Esophagus to Cutaneous with Synthetic Substitute, Open Approach</w:t>
            </w:r>
          </w:p>
        </w:tc>
      </w:tr>
      <w:tr w:rsidR="00595F71" w:rsidRPr="00E97D2C" w14:paraId="4F095A5C" w14:textId="77777777" w:rsidTr="00696E8F">
        <w:trPr>
          <w:trHeight w:val="300"/>
        </w:trPr>
        <w:tc>
          <w:tcPr>
            <w:tcW w:w="1872" w:type="dxa"/>
            <w:noWrap/>
            <w:vAlign w:val="center"/>
            <w:hideMark/>
          </w:tcPr>
          <w:p w14:paraId="47EC8EAE" w14:textId="77777777" w:rsidR="00595F71" w:rsidRPr="00E97D2C" w:rsidRDefault="00595F71" w:rsidP="00696E8F">
            <w:pPr>
              <w:rPr>
                <w:rFonts w:cs="Arial"/>
                <w:color w:val="000000"/>
              </w:rPr>
            </w:pPr>
            <w:r w:rsidRPr="00E97D2C">
              <w:rPr>
                <w:rFonts w:cs="Arial"/>
                <w:color w:val="000000"/>
              </w:rPr>
              <w:t>0D130J6</w:t>
            </w:r>
          </w:p>
        </w:tc>
        <w:tc>
          <w:tcPr>
            <w:tcW w:w="7560" w:type="dxa"/>
            <w:noWrap/>
            <w:vAlign w:val="center"/>
            <w:hideMark/>
          </w:tcPr>
          <w:p w14:paraId="592A83A6" w14:textId="77777777" w:rsidR="00595F71" w:rsidRPr="00E97D2C" w:rsidRDefault="00595F71" w:rsidP="00696E8F">
            <w:pPr>
              <w:rPr>
                <w:rFonts w:cs="Arial"/>
                <w:color w:val="000000"/>
              </w:rPr>
            </w:pPr>
            <w:r w:rsidRPr="00E97D2C">
              <w:rPr>
                <w:rFonts w:cs="Arial"/>
                <w:color w:val="000000"/>
              </w:rPr>
              <w:t>Bypass Lower Esophagus to Stomach with Synthetic Substitute, Open Approach</w:t>
            </w:r>
          </w:p>
        </w:tc>
      </w:tr>
      <w:tr w:rsidR="00595F71" w:rsidRPr="00E97D2C" w14:paraId="5BEA4243" w14:textId="77777777" w:rsidTr="00696E8F">
        <w:trPr>
          <w:trHeight w:val="300"/>
        </w:trPr>
        <w:tc>
          <w:tcPr>
            <w:tcW w:w="1872" w:type="dxa"/>
            <w:noWrap/>
            <w:vAlign w:val="center"/>
            <w:hideMark/>
          </w:tcPr>
          <w:p w14:paraId="34DC5A35" w14:textId="77777777" w:rsidR="00595F71" w:rsidRPr="00E97D2C" w:rsidRDefault="00595F71" w:rsidP="00696E8F">
            <w:pPr>
              <w:rPr>
                <w:rFonts w:cs="Arial"/>
                <w:color w:val="000000"/>
              </w:rPr>
            </w:pPr>
            <w:r w:rsidRPr="00E97D2C">
              <w:rPr>
                <w:rFonts w:cs="Arial"/>
                <w:color w:val="000000"/>
              </w:rPr>
              <w:t>0D130J9</w:t>
            </w:r>
          </w:p>
        </w:tc>
        <w:tc>
          <w:tcPr>
            <w:tcW w:w="7560" w:type="dxa"/>
            <w:noWrap/>
            <w:vAlign w:val="center"/>
            <w:hideMark/>
          </w:tcPr>
          <w:p w14:paraId="047D747B" w14:textId="77777777" w:rsidR="00595F71" w:rsidRPr="00E97D2C" w:rsidRDefault="00595F71" w:rsidP="00696E8F">
            <w:pPr>
              <w:rPr>
                <w:rFonts w:cs="Arial"/>
                <w:color w:val="000000"/>
              </w:rPr>
            </w:pPr>
            <w:r w:rsidRPr="00E97D2C">
              <w:rPr>
                <w:rFonts w:cs="Arial"/>
                <w:color w:val="000000"/>
              </w:rPr>
              <w:t>Bypass Lower Esophagus to Duodenum with Synthetic Substitute, Open Approach</w:t>
            </w:r>
          </w:p>
        </w:tc>
      </w:tr>
      <w:tr w:rsidR="00595F71" w:rsidRPr="00E97D2C" w14:paraId="3CDB57DC" w14:textId="77777777" w:rsidTr="00696E8F">
        <w:trPr>
          <w:trHeight w:val="300"/>
        </w:trPr>
        <w:tc>
          <w:tcPr>
            <w:tcW w:w="1872" w:type="dxa"/>
            <w:noWrap/>
            <w:vAlign w:val="center"/>
            <w:hideMark/>
          </w:tcPr>
          <w:p w14:paraId="44FCEB4B" w14:textId="77777777" w:rsidR="00595F71" w:rsidRPr="00E97D2C" w:rsidRDefault="00595F71" w:rsidP="00696E8F">
            <w:pPr>
              <w:rPr>
                <w:rFonts w:cs="Arial"/>
                <w:color w:val="000000"/>
              </w:rPr>
            </w:pPr>
            <w:r w:rsidRPr="00E97D2C">
              <w:rPr>
                <w:rFonts w:cs="Arial"/>
                <w:color w:val="000000"/>
              </w:rPr>
              <w:t>0D130JA</w:t>
            </w:r>
          </w:p>
        </w:tc>
        <w:tc>
          <w:tcPr>
            <w:tcW w:w="7560" w:type="dxa"/>
            <w:noWrap/>
            <w:vAlign w:val="center"/>
            <w:hideMark/>
          </w:tcPr>
          <w:p w14:paraId="35DB65C0" w14:textId="77777777" w:rsidR="00595F71" w:rsidRPr="00E97D2C" w:rsidRDefault="00595F71" w:rsidP="00696E8F">
            <w:pPr>
              <w:rPr>
                <w:rFonts w:cs="Arial"/>
                <w:color w:val="000000"/>
              </w:rPr>
            </w:pPr>
            <w:r w:rsidRPr="00E97D2C">
              <w:rPr>
                <w:rFonts w:cs="Arial"/>
                <w:color w:val="000000"/>
              </w:rPr>
              <w:t>Bypass Lower Esophagus to Jejunum with Synthetic Substitute, Open Approach</w:t>
            </w:r>
          </w:p>
        </w:tc>
      </w:tr>
      <w:tr w:rsidR="00595F71" w:rsidRPr="00E97D2C" w14:paraId="1DCB2A38" w14:textId="77777777" w:rsidTr="00696E8F">
        <w:trPr>
          <w:trHeight w:val="300"/>
        </w:trPr>
        <w:tc>
          <w:tcPr>
            <w:tcW w:w="1872" w:type="dxa"/>
            <w:noWrap/>
            <w:vAlign w:val="center"/>
            <w:hideMark/>
          </w:tcPr>
          <w:p w14:paraId="45C655FC" w14:textId="77777777" w:rsidR="00595F71" w:rsidRPr="00E97D2C" w:rsidRDefault="00595F71" w:rsidP="00696E8F">
            <w:pPr>
              <w:rPr>
                <w:rFonts w:cs="Arial"/>
                <w:color w:val="000000"/>
              </w:rPr>
            </w:pPr>
            <w:r w:rsidRPr="00E97D2C">
              <w:rPr>
                <w:rFonts w:cs="Arial"/>
                <w:color w:val="000000"/>
              </w:rPr>
              <w:t>0D130JB</w:t>
            </w:r>
          </w:p>
        </w:tc>
        <w:tc>
          <w:tcPr>
            <w:tcW w:w="7560" w:type="dxa"/>
            <w:noWrap/>
            <w:vAlign w:val="center"/>
            <w:hideMark/>
          </w:tcPr>
          <w:p w14:paraId="64DD6DD3" w14:textId="77777777" w:rsidR="00595F71" w:rsidRPr="00E97D2C" w:rsidRDefault="00595F71" w:rsidP="00696E8F">
            <w:pPr>
              <w:rPr>
                <w:rFonts w:cs="Arial"/>
                <w:color w:val="000000"/>
              </w:rPr>
            </w:pPr>
            <w:r w:rsidRPr="00E97D2C">
              <w:rPr>
                <w:rFonts w:cs="Arial"/>
                <w:color w:val="000000"/>
              </w:rPr>
              <w:t>Bypass Lower Esophagus to Ileum with Synthetic Substitute, Open Approach</w:t>
            </w:r>
          </w:p>
        </w:tc>
      </w:tr>
      <w:tr w:rsidR="00595F71" w:rsidRPr="00E97D2C" w14:paraId="240865FA" w14:textId="77777777" w:rsidTr="00696E8F">
        <w:trPr>
          <w:trHeight w:val="300"/>
        </w:trPr>
        <w:tc>
          <w:tcPr>
            <w:tcW w:w="1872" w:type="dxa"/>
            <w:noWrap/>
            <w:vAlign w:val="center"/>
            <w:hideMark/>
          </w:tcPr>
          <w:p w14:paraId="161F75C5" w14:textId="77777777" w:rsidR="00595F71" w:rsidRPr="00E97D2C" w:rsidRDefault="00595F71" w:rsidP="00696E8F">
            <w:pPr>
              <w:rPr>
                <w:rFonts w:cs="Arial"/>
                <w:color w:val="000000"/>
              </w:rPr>
            </w:pPr>
            <w:r w:rsidRPr="00E97D2C">
              <w:rPr>
                <w:rFonts w:cs="Arial"/>
                <w:color w:val="000000"/>
              </w:rPr>
              <w:t>0D130K4</w:t>
            </w:r>
          </w:p>
        </w:tc>
        <w:tc>
          <w:tcPr>
            <w:tcW w:w="7560" w:type="dxa"/>
            <w:noWrap/>
            <w:vAlign w:val="center"/>
            <w:hideMark/>
          </w:tcPr>
          <w:p w14:paraId="4FF5CEB9" w14:textId="77777777" w:rsidR="00595F71" w:rsidRPr="00E97D2C" w:rsidRDefault="00595F71" w:rsidP="00696E8F">
            <w:pPr>
              <w:rPr>
                <w:rFonts w:cs="Arial"/>
                <w:color w:val="000000"/>
              </w:rPr>
            </w:pPr>
            <w:r w:rsidRPr="00E97D2C">
              <w:rPr>
                <w:rFonts w:cs="Arial"/>
                <w:color w:val="000000"/>
              </w:rPr>
              <w:t>Bypass Lower Esophagus to Cutaneous with Nonautologous Tissue Substitute, Open Approach</w:t>
            </w:r>
          </w:p>
        </w:tc>
      </w:tr>
      <w:tr w:rsidR="00595F71" w:rsidRPr="00E97D2C" w14:paraId="3A13D086" w14:textId="77777777" w:rsidTr="00696E8F">
        <w:trPr>
          <w:trHeight w:val="300"/>
        </w:trPr>
        <w:tc>
          <w:tcPr>
            <w:tcW w:w="1872" w:type="dxa"/>
            <w:noWrap/>
            <w:vAlign w:val="center"/>
            <w:hideMark/>
          </w:tcPr>
          <w:p w14:paraId="713CE855" w14:textId="77777777" w:rsidR="00595F71" w:rsidRPr="00E97D2C" w:rsidRDefault="00595F71" w:rsidP="00696E8F">
            <w:pPr>
              <w:rPr>
                <w:rFonts w:cs="Arial"/>
                <w:color w:val="000000"/>
              </w:rPr>
            </w:pPr>
            <w:r w:rsidRPr="00E97D2C">
              <w:rPr>
                <w:rFonts w:cs="Arial"/>
                <w:color w:val="000000"/>
              </w:rPr>
              <w:t>0D130K6</w:t>
            </w:r>
          </w:p>
        </w:tc>
        <w:tc>
          <w:tcPr>
            <w:tcW w:w="7560" w:type="dxa"/>
            <w:noWrap/>
            <w:vAlign w:val="center"/>
            <w:hideMark/>
          </w:tcPr>
          <w:p w14:paraId="48A9EDC7" w14:textId="77777777" w:rsidR="00595F71" w:rsidRPr="00E97D2C" w:rsidRDefault="00595F71" w:rsidP="00696E8F">
            <w:pPr>
              <w:rPr>
                <w:rFonts w:cs="Arial"/>
                <w:color w:val="000000"/>
              </w:rPr>
            </w:pPr>
            <w:r w:rsidRPr="00E97D2C">
              <w:rPr>
                <w:rFonts w:cs="Arial"/>
                <w:color w:val="000000"/>
              </w:rPr>
              <w:t>Bypass Lower Esophagus to Stomach with Nonautologous Tissue Substitute, Open Approach</w:t>
            </w:r>
          </w:p>
        </w:tc>
      </w:tr>
      <w:tr w:rsidR="00595F71" w:rsidRPr="00E97D2C" w14:paraId="72E84415" w14:textId="77777777" w:rsidTr="00696E8F">
        <w:trPr>
          <w:trHeight w:val="300"/>
        </w:trPr>
        <w:tc>
          <w:tcPr>
            <w:tcW w:w="1872" w:type="dxa"/>
            <w:noWrap/>
            <w:vAlign w:val="center"/>
            <w:hideMark/>
          </w:tcPr>
          <w:p w14:paraId="2533675E" w14:textId="77777777" w:rsidR="00595F71" w:rsidRPr="00E97D2C" w:rsidRDefault="00595F71" w:rsidP="00696E8F">
            <w:pPr>
              <w:rPr>
                <w:rFonts w:cs="Arial"/>
                <w:color w:val="000000"/>
              </w:rPr>
            </w:pPr>
            <w:r w:rsidRPr="00E97D2C">
              <w:rPr>
                <w:rFonts w:cs="Arial"/>
                <w:color w:val="000000"/>
              </w:rPr>
              <w:t>0D130K9</w:t>
            </w:r>
          </w:p>
        </w:tc>
        <w:tc>
          <w:tcPr>
            <w:tcW w:w="7560" w:type="dxa"/>
            <w:noWrap/>
            <w:vAlign w:val="center"/>
            <w:hideMark/>
          </w:tcPr>
          <w:p w14:paraId="40114DF3" w14:textId="77777777" w:rsidR="00595F71" w:rsidRPr="00E97D2C" w:rsidRDefault="00595F71" w:rsidP="00696E8F">
            <w:pPr>
              <w:rPr>
                <w:rFonts w:cs="Arial"/>
                <w:color w:val="000000"/>
              </w:rPr>
            </w:pPr>
            <w:r w:rsidRPr="00E97D2C">
              <w:rPr>
                <w:rFonts w:cs="Arial"/>
                <w:color w:val="000000"/>
              </w:rPr>
              <w:t>Bypass Lower Esophagus to Duodenum with Nonautologous Tissue Substitute, Open Approach</w:t>
            </w:r>
          </w:p>
        </w:tc>
      </w:tr>
      <w:tr w:rsidR="00595F71" w:rsidRPr="00E97D2C" w14:paraId="7EEBDFE9" w14:textId="77777777" w:rsidTr="00696E8F">
        <w:trPr>
          <w:trHeight w:val="300"/>
        </w:trPr>
        <w:tc>
          <w:tcPr>
            <w:tcW w:w="1872" w:type="dxa"/>
            <w:noWrap/>
            <w:vAlign w:val="center"/>
            <w:hideMark/>
          </w:tcPr>
          <w:p w14:paraId="5388CD8B" w14:textId="77777777" w:rsidR="00595F71" w:rsidRPr="00E97D2C" w:rsidRDefault="00595F71" w:rsidP="00696E8F">
            <w:pPr>
              <w:rPr>
                <w:rFonts w:cs="Arial"/>
                <w:color w:val="000000"/>
              </w:rPr>
            </w:pPr>
            <w:r w:rsidRPr="00E97D2C">
              <w:rPr>
                <w:rFonts w:cs="Arial"/>
                <w:color w:val="000000"/>
              </w:rPr>
              <w:t>0D130KA</w:t>
            </w:r>
          </w:p>
        </w:tc>
        <w:tc>
          <w:tcPr>
            <w:tcW w:w="7560" w:type="dxa"/>
            <w:noWrap/>
            <w:vAlign w:val="center"/>
            <w:hideMark/>
          </w:tcPr>
          <w:p w14:paraId="42422756" w14:textId="77777777" w:rsidR="00595F71" w:rsidRPr="00E97D2C" w:rsidRDefault="00595F71" w:rsidP="00696E8F">
            <w:pPr>
              <w:rPr>
                <w:rFonts w:cs="Arial"/>
                <w:color w:val="000000"/>
              </w:rPr>
            </w:pPr>
            <w:r w:rsidRPr="00E97D2C">
              <w:rPr>
                <w:rFonts w:cs="Arial"/>
                <w:color w:val="000000"/>
              </w:rPr>
              <w:t>Bypass Lower Esophagus to Jejunum with Nonautologous Tissue Substitute, Open Approach</w:t>
            </w:r>
          </w:p>
        </w:tc>
      </w:tr>
      <w:tr w:rsidR="00595F71" w:rsidRPr="00E97D2C" w14:paraId="7BECE5C7" w14:textId="77777777" w:rsidTr="00696E8F">
        <w:trPr>
          <w:trHeight w:val="300"/>
        </w:trPr>
        <w:tc>
          <w:tcPr>
            <w:tcW w:w="1872" w:type="dxa"/>
            <w:noWrap/>
            <w:vAlign w:val="center"/>
            <w:hideMark/>
          </w:tcPr>
          <w:p w14:paraId="39F9ED66" w14:textId="77777777" w:rsidR="00595F71" w:rsidRPr="00E97D2C" w:rsidRDefault="00595F71" w:rsidP="00696E8F">
            <w:pPr>
              <w:rPr>
                <w:rFonts w:cs="Arial"/>
                <w:color w:val="000000"/>
              </w:rPr>
            </w:pPr>
            <w:r w:rsidRPr="00E97D2C">
              <w:rPr>
                <w:rFonts w:cs="Arial"/>
                <w:color w:val="000000"/>
              </w:rPr>
              <w:t>0D130KB</w:t>
            </w:r>
          </w:p>
        </w:tc>
        <w:tc>
          <w:tcPr>
            <w:tcW w:w="7560" w:type="dxa"/>
            <w:noWrap/>
            <w:vAlign w:val="center"/>
            <w:hideMark/>
          </w:tcPr>
          <w:p w14:paraId="4415305B" w14:textId="77777777" w:rsidR="00595F71" w:rsidRPr="00E97D2C" w:rsidRDefault="00595F71" w:rsidP="00696E8F">
            <w:pPr>
              <w:rPr>
                <w:rFonts w:cs="Arial"/>
                <w:color w:val="000000"/>
              </w:rPr>
            </w:pPr>
            <w:r w:rsidRPr="00E97D2C">
              <w:rPr>
                <w:rFonts w:cs="Arial"/>
                <w:color w:val="000000"/>
              </w:rPr>
              <w:t>Bypass Lower Esophagus to Ileum with Nonautologous Tissue Substitute, Open Approach</w:t>
            </w:r>
          </w:p>
        </w:tc>
      </w:tr>
      <w:tr w:rsidR="00595F71" w:rsidRPr="00E97D2C" w14:paraId="2B24A8B4" w14:textId="77777777" w:rsidTr="00696E8F">
        <w:trPr>
          <w:trHeight w:val="300"/>
        </w:trPr>
        <w:tc>
          <w:tcPr>
            <w:tcW w:w="1872" w:type="dxa"/>
            <w:noWrap/>
            <w:vAlign w:val="center"/>
            <w:hideMark/>
          </w:tcPr>
          <w:p w14:paraId="4A37F183" w14:textId="77777777" w:rsidR="00595F71" w:rsidRPr="00E97D2C" w:rsidRDefault="00595F71" w:rsidP="00696E8F">
            <w:pPr>
              <w:rPr>
                <w:rFonts w:cs="Arial"/>
                <w:color w:val="000000"/>
              </w:rPr>
            </w:pPr>
            <w:r w:rsidRPr="00E97D2C">
              <w:rPr>
                <w:rFonts w:cs="Arial"/>
                <w:color w:val="000000"/>
              </w:rPr>
              <w:t>0D130Z4</w:t>
            </w:r>
          </w:p>
        </w:tc>
        <w:tc>
          <w:tcPr>
            <w:tcW w:w="7560" w:type="dxa"/>
            <w:noWrap/>
            <w:vAlign w:val="center"/>
            <w:hideMark/>
          </w:tcPr>
          <w:p w14:paraId="5F390FEC" w14:textId="77777777" w:rsidR="00595F71" w:rsidRPr="00E97D2C" w:rsidRDefault="00595F71" w:rsidP="00696E8F">
            <w:pPr>
              <w:rPr>
                <w:rFonts w:cs="Arial"/>
                <w:color w:val="000000"/>
              </w:rPr>
            </w:pPr>
            <w:r w:rsidRPr="00E97D2C">
              <w:rPr>
                <w:rFonts w:cs="Arial"/>
                <w:color w:val="000000"/>
              </w:rPr>
              <w:t>Bypass Lower Esophagus to Cutaneous, Open Approach</w:t>
            </w:r>
          </w:p>
        </w:tc>
      </w:tr>
      <w:tr w:rsidR="00595F71" w:rsidRPr="00E97D2C" w14:paraId="7BDC9366" w14:textId="77777777" w:rsidTr="00696E8F">
        <w:trPr>
          <w:trHeight w:val="300"/>
        </w:trPr>
        <w:tc>
          <w:tcPr>
            <w:tcW w:w="1872" w:type="dxa"/>
            <w:noWrap/>
            <w:vAlign w:val="center"/>
            <w:hideMark/>
          </w:tcPr>
          <w:p w14:paraId="3868BE4F" w14:textId="77777777" w:rsidR="00595F71" w:rsidRPr="00E97D2C" w:rsidRDefault="00595F71" w:rsidP="00696E8F">
            <w:pPr>
              <w:rPr>
                <w:rFonts w:cs="Arial"/>
                <w:color w:val="000000"/>
              </w:rPr>
            </w:pPr>
            <w:r w:rsidRPr="00E97D2C">
              <w:rPr>
                <w:rFonts w:cs="Arial"/>
                <w:color w:val="000000"/>
              </w:rPr>
              <w:t>0D130Z6</w:t>
            </w:r>
          </w:p>
        </w:tc>
        <w:tc>
          <w:tcPr>
            <w:tcW w:w="7560" w:type="dxa"/>
            <w:noWrap/>
            <w:vAlign w:val="center"/>
            <w:hideMark/>
          </w:tcPr>
          <w:p w14:paraId="2559AA07" w14:textId="77777777" w:rsidR="00595F71" w:rsidRPr="00E97D2C" w:rsidRDefault="00595F71" w:rsidP="00696E8F">
            <w:pPr>
              <w:rPr>
                <w:rFonts w:cs="Arial"/>
                <w:color w:val="000000"/>
              </w:rPr>
            </w:pPr>
            <w:r w:rsidRPr="00E97D2C">
              <w:rPr>
                <w:rFonts w:cs="Arial"/>
                <w:color w:val="000000"/>
              </w:rPr>
              <w:t>Bypass Lower Esophagus to Stomach, Open Approach</w:t>
            </w:r>
          </w:p>
        </w:tc>
      </w:tr>
      <w:tr w:rsidR="00595F71" w:rsidRPr="00E97D2C" w14:paraId="6A5D1C7B" w14:textId="77777777" w:rsidTr="00696E8F">
        <w:trPr>
          <w:trHeight w:val="300"/>
        </w:trPr>
        <w:tc>
          <w:tcPr>
            <w:tcW w:w="1872" w:type="dxa"/>
            <w:noWrap/>
            <w:vAlign w:val="center"/>
            <w:hideMark/>
          </w:tcPr>
          <w:p w14:paraId="580FAD7C" w14:textId="77777777" w:rsidR="00595F71" w:rsidRPr="00E97D2C" w:rsidRDefault="00595F71" w:rsidP="00696E8F">
            <w:pPr>
              <w:rPr>
                <w:rFonts w:cs="Arial"/>
                <w:color w:val="000000"/>
              </w:rPr>
            </w:pPr>
            <w:r w:rsidRPr="00E97D2C">
              <w:rPr>
                <w:rFonts w:cs="Arial"/>
                <w:color w:val="000000"/>
              </w:rPr>
              <w:t>0D130Z9</w:t>
            </w:r>
          </w:p>
        </w:tc>
        <w:tc>
          <w:tcPr>
            <w:tcW w:w="7560" w:type="dxa"/>
            <w:noWrap/>
            <w:vAlign w:val="center"/>
            <w:hideMark/>
          </w:tcPr>
          <w:p w14:paraId="6C7F4A95" w14:textId="77777777" w:rsidR="00595F71" w:rsidRPr="00E97D2C" w:rsidRDefault="00595F71" w:rsidP="00696E8F">
            <w:pPr>
              <w:rPr>
                <w:rFonts w:cs="Arial"/>
                <w:color w:val="000000"/>
              </w:rPr>
            </w:pPr>
            <w:r w:rsidRPr="00E97D2C">
              <w:rPr>
                <w:rFonts w:cs="Arial"/>
                <w:color w:val="000000"/>
              </w:rPr>
              <w:t>Bypass Lower Esophagus to Duodenum, Open Approach</w:t>
            </w:r>
          </w:p>
        </w:tc>
      </w:tr>
      <w:tr w:rsidR="00595F71" w:rsidRPr="00E97D2C" w14:paraId="6B357116" w14:textId="77777777" w:rsidTr="00696E8F">
        <w:trPr>
          <w:trHeight w:val="300"/>
        </w:trPr>
        <w:tc>
          <w:tcPr>
            <w:tcW w:w="1872" w:type="dxa"/>
            <w:noWrap/>
            <w:vAlign w:val="center"/>
            <w:hideMark/>
          </w:tcPr>
          <w:p w14:paraId="111A7952" w14:textId="77777777" w:rsidR="00595F71" w:rsidRPr="00E97D2C" w:rsidRDefault="00595F71" w:rsidP="00696E8F">
            <w:pPr>
              <w:rPr>
                <w:rFonts w:cs="Arial"/>
                <w:color w:val="000000"/>
              </w:rPr>
            </w:pPr>
            <w:r w:rsidRPr="00E97D2C">
              <w:rPr>
                <w:rFonts w:cs="Arial"/>
                <w:color w:val="000000"/>
              </w:rPr>
              <w:t>0D130ZA</w:t>
            </w:r>
          </w:p>
        </w:tc>
        <w:tc>
          <w:tcPr>
            <w:tcW w:w="7560" w:type="dxa"/>
            <w:noWrap/>
            <w:vAlign w:val="center"/>
            <w:hideMark/>
          </w:tcPr>
          <w:p w14:paraId="3FAD0213" w14:textId="77777777" w:rsidR="00595F71" w:rsidRPr="00E97D2C" w:rsidRDefault="00595F71" w:rsidP="00696E8F">
            <w:pPr>
              <w:rPr>
                <w:rFonts w:cs="Arial"/>
                <w:color w:val="000000"/>
              </w:rPr>
            </w:pPr>
            <w:r w:rsidRPr="00E97D2C">
              <w:rPr>
                <w:rFonts w:cs="Arial"/>
                <w:color w:val="000000"/>
              </w:rPr>
              <w:t>Bypass Lower Esophagus to Jejunum, Open Approach</w:t>
            </w:r>
          </w:p>
        </w:tc>
      </w:tr>
      <w:tr w:rsidR="00595F71" w:rsidRPr="00E97D2C" w14:paraId="7310F725" w14:textId="77777777" w:rsidTr="00696E8F">
        <w:trPr>
          <w:trHeight w:val="300"/>
        </w:trPr>
        <w:tc>
          <w:tcPr>
            <w:tcW w:w="1872" w:type="dxa"/>
            <w:noWrap/>
            <w:vAlign w:val="center"/>
            <w:hideMark/>
          </w:tcPr>
          <w:p w14:paraId="7C403F31" w14:textId="77777777" w:rsidR="00595F71" w:rsidRPr="00E97D2C" w:rsidRDefault="00595F71" w:rsidP="00696E8F">
            <w:pPr>
              <w:rPr>
                <w:rFonts w:cs="Arial"/>
                <w:color w:val="000000"/>
              </w:rPr>
            </w:pPr>
            <w:r w:rsidRPr="00E97D2C">
              <w:rPr>
                <w:rFonts w:cs="Arial"/>
                <w:color w:val="000000"/>
              </w:rPr>
              <w:t>0D130ZB</w:t>
            </w:r>
          </w:p>
        </w:tc>
        <w:tc>
          <w:tcPr>
            <w:tcW w:w="7560" w:type="dxa"/>
            <w:noWrap/>
            <w:vAlign w:val="center"/>
            <w:hideMark/>
          </w:tcPr>
          <w:p w14:paraId="47C531B6" w14:textId="77777777" w:rsidR="00595F71" w:rsidRPr="00E97D2C" w:rsidRDefault="00595F71" w:rsidP="00696E8F">
            <w:pPr>
              <w:rPr>
                <w:rFonts w:cs="Arial"/>
                <w:color w:val="000000"/>
              </w:rPr>
            </w:pPr>
            <w:r w:rsidRPr="00E97D2C">
              <w:rPr>
                <w:rFonts w:cs="Arial"/>
                <w:color w:val="000000"/>
              </w:rPr>
              <w:t>Bypass Lower Esophagus to Ileum, Open Approach</w:t>
            </w:r>
          </w:p>
        </w:tc>
      </w:tr>
      <w:tr w:rsidR="00595F71" w:rsidRPr="00E97D2C" w14:paraId="59209FC7" w14:textId="77777777" w:rsidTr="00696E8F">
        <w:trPr>
          <w:trHeight w:val="300"/>
        </w:trPr>
        <w:tc>
          <w:tcPr>
            <w:tcW w:w="1872" w:type="dxa"/>
            <w:noWrap/>
            <w:vAlign w:val="center"/>
            <w:hideMark/>
          </w:tcPr>
          <w:p w14:paraId="6CE63316" w14:textId="77777777" w:rsidR="00595F71" w:rsidRPr="00E97D2C" w:rsidRDefault="00595F71" w:rsidP="00696E8F">
            <w:pPr>
              <w:rPr>
                <w:rFonts w:cs="Arial"/>
                <w:color w:val="000000"/>
              </w:rPr>
            </w:pPr>
            <w:r w:rsidRPr="00E97D2C">
              <w:rPr>
                <w:rFonts w:cs="Arial"/>
                <w:color w:val="000000"/>
              </w:rPr>
              <w:lastRenderedPageBreak/>
              <w:t>0D133J4</w:t>
            </w:r>
          </w:p>
        </w:tc>
        <w:tc>
          <w:tcPr>
            <w:tcW w:w="7560" w:type="dxa"/>
            <w:noWrap/>
            <w:vAlign w:val="center"/>
            <w:hideMark/>
          </w:tcPr>
          <w:p w14:paraId="5642BB84" w14:textId="77777777" w:rsidR="00595F71" w:rsidRPr="00E97D2C" w:rsidRDefault="00595F71" w:rsidP="00696E8F">
            <w:pPr>
              <w:rPr>
                <w:rFonts w:cs="Arial"/>
                <w:color w:val="000000"/>
              </w:rPr>
            </w:pPr>
            <w:r w:rsidRPr="00E97D2C">
              <w:rPr>
                <w:rFonts w:cs="Arial"/>
                <w:color w:val="000000"/>
              </w:rPr>
              <w:t>Bypass Lower Esophagus to Cutaneous with Synthetic Substitute, Percutaneous Approach</w:t>
            </w:r>
          </w:p>
        </w:tc>
      </w:tr>
      <w:tr w:rsidR="00595F71" w:rsidRPr="00E97D2C" w14:paraId="73DE501E" w14:textId="77777777" w:rsidTr="00696E8F">
        <w:trPr>
          <w:trHeight w:val="300"/>
        </w:trPr>
        <w:tc>
          <w:tcPr>
            <w:tcW w:w="1872" w:type="dxa"/>
            <w:noWrap/>
            <w:vAlign w:val="center"/>
            <w:hideMark/>
          </w:tcPr>
          <w:p w14:paraId="539E738D" w14:textId="77777777" w:rsidR="00595F71" w:rsidRPr="00E97D2C" w:rsidRDefault="00595F71" w:rsidP="00696E8F">
            <w:pPr>
              <w:rPr>
                <w:rFonts w:cs="Arial"/>
                <w:color w:val="000000"/>
              </w:rPr>
            </w:pPr>
            <w:r w:rsidRPr="00E97D2C">
              <w:rPr>
                <w:rFonts w:cs="Arial"/>
                <w:color w:val="000000"/>
              </w:rPr>
              <w:t>0D13474</w:t>
            </w:r>
          </w:p>
        </w:tc>
        <w:tc>
          <w:tcPr>
            <w:tcW w:w="7560" w:type="dxa"/>
            <w:noWrap/>
            <w:vAlign w:val="center"/>
            <w:hideMark/>
          </w:tcPr>
          <w:p w14:paraId="00C3D566" w14:textId="77777777" w:rsidR="00595F71" w:rsidRPr="00E97D2C" w:rsidRDefault="00595F71" w:rsidP="00696E8F">
            <w:pPr>
              <w:rPr>
                <w:rFonts w:cs="Arial"/>
                <w:color w:val="000000"/>
              </w:rPr>
            </w:pPr>
            <w:r w:rsidRPr="00E97D2C">
              <w:rPr>
                <w:rFonts w:cs="Arial"/>
                <w:color w:val="000000"/>
              </w:rPr>
              <w:t>Bypass Lower Esophagus to Cutaneous with Autologous Tissue Substitute, Percutaneous Endoscopic Approach</w:t>
            </w:r>
          </w:p>
        </w:tc>
      </w:tr>
      <w:tr w:rsidR="00595F71" w:rsidRPr="00E97D2C" w14:paraId="7D10C6EA" w14:textId="77777777" w:rsidTr="00696E8F">
        <w:trPr>
          <w:trHeight w:val="300"/>
        </w:trPr>
        <w:tc>
          <w:tcPr>
            <w:tcW w:w="1872" w:type="dxa"/>
            <w:noWrap/>
            <w:vAlign w:val="center"/>
            <w:hideMark/>
          </w:tcPr>
          <w:p w14:paraId="32B4733B" w14:textId="77777777" w:rsidR="00595F71" w:rsidRPr="00E97D2C" w:rsidRDefault="00595F71" w:rsidP="00696E8F">
            <w:pPr>
              <w:rPr>
                <w:rFonts w:cs="Arial"/>
                <w:color w:val="000000"/>
              </w:rPr>
            </w:pPr>
            <w:r w:rsidRPr="00E97D2C">
              <w:rPr>
                <w:rFonts w:cs="Arial"/>
                <w:color w:val="000000"/>
              </w:rPr>
              <w:t>0D13476</w:t>
            </w:r>
          </w:p>
        </w:tc>
        <w:tc>
          <w:tcPr>
            <w:tcW w:w="7560" w:type="dxa"/>
            <w:noWrap/>
            <w:vAlign w:val="center"/>
            <w:hideMark/>
          </w:tcPr>
          <w:p w14:paraId="4FB565D7" w14:textId="77777777" w:rsidR="00595F71" w:rsidRPr="00E97D2C" w:rsidRDefault="00595F71" w:rsidP="00696E8F">
            <w:pPr>
              <w:rPr>
                <w:rFonts w:cs="Arial"/>
                <w:color w:val="000000"/>
              </w:rPr>
            </w:pPr>
            <w:r w:rsidRPr="00E97D2C">
              <w:rPr>
                <w:rFonts w:cs="Arial"/>
                <w:color w:val="000000"/>
              </w:rPr>
              <w:t>Bypass Lower Esophagus to Stomach with Autologous Tissue Substitute, Percutaneous Endoscopic Approach</w:t>
            </w:r>
          </w:p>
        </w:tc>
      </w:tr>
      <w:tr w:rsidR="00595F71" w:rsidRPr="00E97D2C" w14:paraId="141394F2" w14:textId="77777777" w:rsidTr="00696E8F">
        <w:trPr>
          <w:trHeight w:val="300"/>
        </w:trPr>
        <w:tc>
          <w:tcPr>
            <w:tcW w:w="1872" w:type="dxa"/>
            <w:noWrap/>
            <w:vAlign w:val="center"/>
            <w:hideMark/>
          </w:tcPr>
          <w:p w14:paraId="07ABE8BC" w14:textId="77777777" w:rsidR="00595F71" w:rsidRPr="00E97D2C" w:rsidRDefault="00595F71" w:rsidP="00696E8F">
            <w:pPr>
              <w:rPr>
                <w:rFonts w:cs="Arial"/>
                <w:color w:val="000000"/>
              </w:rPr>
            </w:pPr>
            <w:r w:rsidRPr="00E97D2C">
              <w:rPr>
                <w:rFonts w:cs="Arial"/>
                <w:color w:val="000000"/>
              </w:rPr>
              <w:t>0D13479</w:t>
            </w:r>
          </w:p>
        </w:tc>
        <w:tc>
          <w:tcPr>
            <w:tcW w:w="7560" w:type="dxa"/>
            <w:noWrap/>
            <w:vAlign w:val="center"/>
            <w:hideMark/>
          </w:tcPr>
          <w:p w14:paraId="690C3329" w14:textId="77777777" w:rsidR="00595F71" w:rsidRPr="00E97D2C" w:rsidRDefault="00595F71" w:rsidP="00696E8F">
            <w:pPr>
              <w:rPr>
                <w:rFonts w:cs="Arial"/>
                <w:color w:val="000000"/>
              </w:rPr>
            </w:pPr>
            <w:r w:rsidRPr="00E97D2C">
              <w:rPr>
                <w:rFonts w:cs="Arial"/>
                <w:color w:val="000000"/>
              </w:rPr>
              <w:t>Bypass Lower Esophagus to Duodenum with Autologous Tissue Substitute, Percutaneous Endoscopic Approach</w:t>
            </w:r>
          </w:p>
        </w:tc>
      </w:tr>
      <w:tr w:rsidR="00595F71" w:rsidRPr="00E97D2C" w14:paraId="22815170" w14:textId="77777777" w:rsidTr="00696E8F">
        <w:trPr>
          <w:trHeight w:val="300"/>
        </w:trPr>
        <w:tc>
          <w:tcPr>
            <w:tcW w:w="1872" w:type="dxa"/>
            <w:noWrap/>
            <w:vAlign w:val="center"/>
            <w:hideMark/>
          </w:tcPr>
          <w:p w14:paraId="4E45D4B7" w14:textId="77777777" w:rsidR="00595F71" w:rsidRPr="00E97D2C" w:rsidRDefault="00595F71" w:rsidP="00696E8F">
            <w:pPr>
              <w:rPr>
                <w:rFonts w:cs="Arial"/>
                <w:color w:val="000000"/>
              </w:rPr>
            </w:pPr>
            <w:r w:rsidRPr="00E97D2C">
              <w:rPr>
                <w:rFonts w:cs="Arial"/>
                <w:color w:val="000000"/>
              </w:rPr>
              <w:t>0D1347A</w:t>
            </w:r>
          </w:p>
        </w:tc>
        <w:tc>
          <w:tcPr>
            <w:tcW w:w="7560" w:type="dxa"/>
            <w:noWrap/>
            <w:vAlign w:val="center"/>
            <w:hideMark/>
          </w:tcPr>
          <w:p w14:paraId="67FE5149" w14:textId="77777777" w:rsidR="00595F71" w:rsidRPr="00E97D2C" w:rsidRDefault="00595F71" w:rsidP="00696E8F">
            <w:pPr>
              <w:rPr>
                <w:rFonts w:cs="Arial"/>
                <w:color w:val="000000"/>
              </w:rPr>
            </w:pPr>
            <w:r w:rsidRPr="00E97D2C">
              <w:rPr>
                <w:rFonts w:cs="Arial"/>
                <w:color w:val="000000"/>
              </w:rPr>
              <w:t>Bypass Lower Esophagus to Jejunum with Autologous Tissue Substitute, Percutaneous Endoscopic Approach</w:t>
            </w:r>
          </w:p>
        </w:tc>
      </w:tr>
      <w:tr w:rsidR="00595F71" w:rsidRPr="00E97D2C" w14:paraId="628436F5" w14:textId="77777777" w:rsidTr="00696E8F">
        <w:trPr>
          <w:trHeight w:val="300"/>
        </w:trPr>
        <w:tc>
          <w:tcPr>
            <w:tcW w:w="1872" w:type="dxa"/>
            <w:noWrap/>
            <w:vAlign w:val="center"/>
            <w:hideMark/>
          </w:tcPr>
          <w:p w14:paraId="561DE916" w14:textId="77777777" w:rsidR="00595F71" w:rsidRPr="00E97D2C" w:rsidRDefault="00595F71" w:rsidP="00696E8F">
            <w:pPr>
              <w:rPr>
                <w:rFonts w:cs="Arial"/>
                <w:color w:val="000000"/>
              </w:rPr>
            </w:pPr>
            <w:r w:rsidRPr="00E97D2C">
              <w:rPr>
                <w:rFonts w:cs="Arial"/>
                <w:color w:val="000000"/>
              </w:rPr>
              <w:t>0D1347B</w:t>
            </w:r>
          </w:p>
        </w:tc>
        <w:tc>
          <w:tcPr>
            <w:tcW w:w="7560" w:type="dxa"/>
            <w:noWrap/>
            <w:vAlign w:val="center"/>
            <w:hideMark/>
          </w:tcPr>
          <w:p w14:paraId="5483E20F" w14:textId="77777777" w:rsidR="00595F71" w:rsidRPr="00E97D2C" w:rsidRDefault="00595F71" w:rsidP="00696E8F">
            <w:pPr>
              <w:rPr>
                <w:rFonts w:cs="Arial"/>
                <w:color w:val="000000"/>
              </w:rPr>
            </w:pPr>
            <w:r w:rsidRPr="00E97D2C">
              <w:rPr>
                <w:rFonts w:cs="Arial"/>
                <w:color w:val="000000"/>
              </w:rPr>
              <w:t>Bypass Lower Esophagus to Ileum with Autologous Tissue Substitute, Percutaneous Endoscopic Approach</w:t>
            </w:r>
          </w:p>
        </w:tc>
      </w:tr>
      <w:tr w:rsidR="00595F71" w:rsidRPr="00E97D2C" w14:paraId="6A6D65FB" w14:textId="77777777" w:rsidTr="00696E8F">
        <w:trPr>
          <w:trHeight w:val="300"/>
        </w:trPr>
        <w:tc>
          <w:tcPr>
            <w:tcW w:w="1872" w:type="dxa"/>
            <w:noWrap/>
            <w:vAlign w:val="center"/>
            <w:hideMark/>
          </w:tcPr>
          <w:p w14:paraId="053D4939" w14:textId="77777777" w:rsidR="00595F71" w:rsidRPr="00E97D2C" w:rsidRDefault="00595F71" w:rsidP="00696E8F">
            <w:pPr>
              <w:rPr>
                <w:rFonts w:cs="Arial"/>
                <w:color w:val="000000"/>
              </w:rPr>
            </w:pPr>
            <w:r w:rsidRPr="00E97D2C">
              <w:rPr>
                <w:rFonts w:cs="Arial"/>
                <w:color w:val="000000"/>
              </w:rPr>
              <w:t>0D134J4</w:t>
            </w:r>
          </w:p>
        </w:tc>
        <w:tc>
          <w:tcPr>
            <w:tcW w:w="7560" w:type="dxa"/>
            <w:noWrap/>
            <w:vAlign w:val="center"/>
            <w:hideMark/>
          </w:tcPr>
          <w:p w14:paraId="1B2EB89F" w14:textId="77777777" w:rsidR="00595F71" w:rsidRPr="00E97D2C" w:rsidRDefault="00595F71" w:rsidP="00696E8F">
            <w:pPr>
              <w:rPr>
                <w:rFonts w:cs="Arial"/>
                <w:color w:val="000000"/>
              </w:rPr>
            </w:pPr>
            <w:r w:rsidRPr="00E97D2C">
              <w:rPr>
                <w:rFonts w:cs="Arial"/>
                <w:color w:val="000000"/>
              </w:rPr>
              <w:t>Bypass Lower Esophagus to Cutaneous with Synthetic Substitute, Percutaneous Endoscopic Approach</w:t>
            </w:r>
          </w:p>
        </w:tc>
      </w:tr>
      <w:tr w:rsidR="00595F71" w:rsidRPr="00E97D2C" w14:paraId="60D2F20B" w14:textId="77777777" w:rsidTr="00696E8F">
        <w:trPr>
          <w:trHeight w:val="300"/>
        </w:trPr>
        <w:tc>
          <w:tcPr>
            <w:tcW w:w="1872" w:type="dxa"/>
            <w:noWrap/>
            <w:vAlign w:val="center"/>
            <w:hideMark/>
          </w:tcPr>
          <w:p w14:paraId="01EE2D32" w14:textId="77777777" w:rsidR="00595F71" w:rsidRPr="00E97D2C" w:rsidRDefault="00595F71" w:rsidP="00696E8F">
            <w:pPr>
              <w:rPr>
                <w:rFonts w:cs="Arial"/>
                <w:color w:val="000000"/>
              </w:rPr>
            </w:pPr>
            <w:r w:rsidRPr="00E97D2C">
              <w:rPr>
                <w:rFonts w:cs="Arial"/>
                <w:color w:val="000000"/>
              </w:rPr>
              <w:t>0D134J6</w:t>
            </w:r>
          </w:p>
        </w:tc>
        <w:tc>
          <w:tcPr>
            <w:tcW w:w="7560" w:type="dxa"/>
            <w:noWrap/>
            <w:vAlign w:val="center"/>
            <w:hideMark/>
          </w:tcPr>
          <w:p w14:paraId="294896EE" w14:textId="77777777" w:rsidR="00595F71" w:rsidRPr="00E97D2C" w:rsidRDefault="00595F71" w:rsidP="00696E8F">
            <w:pPr>
              <w:rPr>
                <w:rFonts w:cs="Arial"/>
                <w:color w:val="000000"/>
              </w:rPr>
            </w:pPr>
            <w:r w:rsidRPr="00E97D2C">
              <w:rPr>
                <w:rFonts w:cs="Arial"/>
                <w:color w:val="000000"/>
              </w:rPr>
              <w:t>Bypass Lower Esophagus to Stomach with Synthetic Substitute, Percutaneous Endoscopic Approach</w:t>
            </w:r>
          </w:p>
        </w:tc>
      </w:tr>
      <w:tr w:rsidR="00595F71" w:rsidRPr="00E97D2C" w14:paraId="08506F8B" w14:textId="77777777" w:rsidTr="00696E8F">
        <w:trPr>
          <w:trHeight w:val="300"/>
        </w:trPr>
        <w:tc>
          <w:tcPr>
            <w:tcW w:w="1872" w:type="dxa"/>
            <w:noWrap/>
            <w:vAlign w:val="center"/>
            <w:hideMark/>
          </w:tcPr>
          <w:p w14:paraId="179C68B7" w14:textId="77777777" w:rsidR="00595F71" w:rsidRPr="00E97D2C" w:rsidRDefault="00595F71" w:rsidP="00696E8F">
            <w:pPr>
              <w:rPr>
                <w:rFonts w:cs="Arial"/>
                <w:color w:val="000000"/>
              </w:rPr>
            </w:pPr>
            <w:r w:rsidRPr="00E97D2C">
              <w:rPr>
                <w:rFonts w:cs="Arial"/>
                <w:color w:val="000000"/>
              </w:rPr>
              <w:t>0D134J9</w:t>
            </w:r>
          </w:p>
        </w:tc>
        <w:tc>
          <w:tcPr>
            <w:tcW w:w="7560" w:type="dxa"/>
            <w:noWrap/>
            <w:vAlign w:val="center"/>
            <w:hideMark/>
          </w:tcPr>
          <w:p w14:paraId="6669EA5A" w14:textId="77777777" w:rsidR="00595F71" w:rsidRPr="00E97D2C" w:rsidRDefault="00595F71" w:rsidP="00696E8F">
            <w:pPr>
              <w:rPr>
                <w:rFonts w:cs="Arial"/>
                <w:color w:val="000000"/>
              </w:rPr>
            </w:pPr>
            <w:r w:rsidRPr="00E97D2C">
              <w:rPr>
                <w:rFonts w:cs="Arial"/>
                <w:color w:val="000000"/>
              </w:rPr>
              <w:t>Bypass Lower Esophagus to Duodenum with Synthetic Substitute, Percutaneous Endoscopic Approach</w:t>
            </w:r>
          </w:p>
        </w:tc>
      </w:tr>
      <w:tr w:rsidR="00595F71" w:rsidRPr="00E97D2C" w14:paraId="1E592C87" w14:textId="77777777" w:rsidTr="00696E8F">
        <w:trPr>
          <w:trHeight w:val="300"/>
        </w:trPr>
        <w:tc>
          <w:tcPr>
            <w:tcW w:w="1872" w:type="dxa"/>
            <w:noWrap/>
            <w:vAlign w:val="center"/>
            <w:hideMark/>
          </w:tcPr>
          <w:p w14:paraId="10D3C9BE" w14:textId="77777777" w:rsidR="00595F71" w:rsidRPr="00E97D2C" w:rsidRDefault="00595F71" w:rsidP="00696E8F">
            <w:pPr>
              <w:rPr>
                <w:rFonts w:cs="Arial"/>
                <w:color w:val="000000"/>
              </w:rPr>
            </w:pPr>
            <w:r w:rsidRPr="00E97D2C">
              <w:rPr>
                <w:rFonts w:cs="Arial"/>
                <w:color w:val="000000"/>
              </w:rPr>
              <w:t>0D134JA</w:t>
            </w:r>
          </w:p>
        </w:tc>
        <w:tc>
          <w:tcPr>
            <w:tcW w:w="7560" w:type="dxa"/>
            <w:noWrap/>
            <w:vAlign w:val="center"/>
            <w:hideMark/>
          </w:tcPr>
          <w:p w14:paraId="27EF31E0" w14:textId="77777777" w:rsidR="00595F71" w:rsidRPr="00E97D2C" w:rsidRDefault="00595F71" w:rsidP="00696E8F">
            <w:pPr>
              <w:rPr>
                <w:rFonts w:cs="Arial"/>
                <w:color w:val="000000"/>
              </w:rPr>
            </w:pPr>
            <w:r w:rsidRPr="00E97D2C">
              <w:rPr>
                <w:rFonts w:cs="Arial"/>
                <w:color w:val="000000"/>
              </w:rPr>
              <w:t>Bypass Lower Esophagus to Jejunum with Synthetic Substitute, Percutaneous Endoscopic Approach</w:t>
            </w:r>
          </w:p>
        </w:tc>
      </w:tr>
      <w:tr w:rsidR="00595F71" w:rsidRPr="00E97D2C" w14:paraId="08AA6D0C" w14:textId="77777777" w:rsidTr="00696E8F">
        <w:trPr>
          <w:trHeight w:val="300"/>
        </w:trPr>
        <w:tc>
          <w:tcPr>
            <w:tcW w:w="1872" w:type="dxa"/>
            <w:noWrap/>
            <w:vAlign w:val="center"/>
            <w:hideMark/>
          </w:tcPr>
          <w:p w14:paraId="5E0DFBD3" w14:textId="77777777" w:rsidR="00595F71" w:rsidRPr="00E97D2C" w:rsidRDefault="00595F71" w:rsidP="00696E8F">
            <w:pPr>
              <w:rPr>
                <w:rFonts w:cs="Arial"/>
                <w:color w:val="000000"/>
              </w:rPr>
            </w:pPr>
            <w:r w:rsidRPr="00E97D2C">
              <w:rPr>
                <w:rFonts w:cs="Arial"/>
                <w:color w:val="000000"/>
              </w:rPr>
              <w:t>0D134JB</w:t>
            </w:r>
          </w:p>
        </w:tc>
        <w:tc>
          <w:tcPr>
            <w:tcW w:w="7560" w:type="dxa"/>
            <w:noWrap/>
            <w:vAlign w:val="center"/>
            <w:hideMark/>
          </w:tcPr>
          <w:p w14:paraId="5982C41D" w14:textId="77777777" w:rsidR="00595F71" w:rsidRPr="00E97D2C" w:rsidRDefault="00595F71" w:rsidP="00696E8F">
            <w:pPr>
              <w:rPr>
                <w:rFonts w:cs="Arial"/>
                <w:color w:val="000000"/>
              </w:rPr>
            </w:pPr>
            <w:r w:rsidRPr="00E97D2C">
              <w:rPr>
                <w:rFonts w:cs="Arial"/>
                <w:color w:val="000000"/>
              </w:rPr>
              <w:t>Bypass Lower Esophagus to Ileum with Synthetic Substitute, Percutaneous Endoscopic Approach</w:t>
            </w:r>
          </w:p>
        </w:tc>
      </w:tr>
      <w:tr w:rsidR="00595F71" w:rsidRPr="00E97D2C" w14:paraId="28241D86" w14:textId="77777777" w:rsidTr="00696E8F">
        <w:trPr>
          <w:trHeight w:val="300"/>
        </w:trPr>
        <w:tc>
          <w:tcPr>
            <w:tcW w:w="1872" w:type="dxa"/>
            <w:noWrap/>
            <w:vAlign w:val="center"/>
            <w:hideMark/>
          </w:tcPr>
          <w:p w14:paraId="0D26170A" w14:textId="77777777" w:rsidR="00595F71" w:rsidRPr="00E97D2C" w:rsidRDefault="00595F71" w:rsidP="00696E8F">
            <w:pPr>
              <w:rPr>
                <w:rFonts w:cs="Arial"/>
                <w:color w:val="000000"/>
              </w:rPr>
            </w:pPr>
            <w:r w:rsidRPr="00E97D2C">
              <w:rPr>
                <w:rFonts w:cs="Arial"/>
                <w:color w:val="000000"/>
              </w:rPr>
              <w:t>0D134K4</w:t>
            </w:r>
          </w:p>
        </w:tc>
        <w:tc>
          <w:tcPr>
            <w:tcW w:w="7560" w:type="dxa"/>
            <w:noWrap/>
            <w:vAlign w:val="center"/>
            <w:hideMark/>
          </w:tcPr>
          <w:p w14:paraId="094E9E86" w14:textId="77777777" w:rsidR="00595F71" w:rsidRPr="00E97D2C" w:rsidRDefault="00595F71" w:rsidP="00696E8F">
            <w:pPr>
              <w:rPr>
                <w:rFonts w:cs="Arial"/>
                <w:color w:val="000000"/>
              </w:rPr>
            </w:pPr>
            <w:r w:rsidRPr="00E97D2C">
              <w:rPr>
                <w:rFonts w:cs="Arial"/>
                <w:color w:val="000000"/>
              </w:rPr>
              <w:t>Bypass Lower Esophagus to Cutaneous with Nonautologous Tissue Substitute, Percutaneous Endoscopic Approach</w:t>
            </w:r>
          </w:p>
        </w:tc>
      </w:tr>
      <w:tr w:rsidR="00595F71" w:rsidRPr="00E97D2C" w14:paraId="71BBD55D" w14:textId="77777777" w:rsidTr="00696E8F">
        <w:trPr>
          <w:trHeight w:val="300"/>
        </w:trPr>
        <w:tc>
          <w:tcPr>
            <w:tcW w:w="1872" w:type="dxa"/>
            <w:noWrap/>
            <w:vAlign w:val="center"/>
            <w:hideMark/>
          </w:tcPr>
          <w:p w14:paraId="0C8D62EB" w14:textId="77777777" w:rsidR="00595F71" w:rsidRPr="00E97D2C" w:rsidRDefault="00595F71" w:rsidP="00696E8F">
            <w:pPr>
              <w:rPr>
                <w:rFonts w:cs="Arial"/>
                <w:color w:val="000000"/>
              </w:rPr>
            </w:pPr>
            <w:r w:rsidRPr="00E97D2C">
              <w:rPr>
                <w:rFonts w:cs="Arial"/>
                <w:color w:val="000000"/>
              </w:rPr>
              <w:t>0D134K6</w:t>
            </w:r>
          </w:p>
        </w:tc>
        <w:tc>
          <w:tcPr>
            <w:tcW w:w="7560" w:type="dxa"/>
            <w:noWrap/>
            <w:vAlign w:val="center"/>
            <w:hideMark/>
          </w:tcPr>
          <w:p w14:paraId="27187E8E" w14:textId="77777777" w:rsidR="00595F71" w:rsidRPr="00E97D2C" w:rsidRDefault="00595F71" w:rsidP="00696E8F">
            <w:pPr>
              <w:rPr>
                <w:rFonts w:cs="Arial"/>
                <w:color w:val="000000"/>
              </w:rPr>
            </w:pPr>
            <w:r w:rsidRPr="00E97D2C">
              <w:rPr>
                <w:rFonts w:cs="Arial"/>
                <w:color w:val="000000"/>
              </w:rPr>
              <w:t>Bypass Lower Esophagus to Stomach with Nonautologous Tissue Substitute, Percutaneous Endoscopic Approach</w:t>
            </w:r>
          </w:p>
        </w:tc>
      </w:tr>
      <w:tr w:rsidR="00595F71" w:rsidRPr="00E97D2C" w14:paraId="1BA847BC" w14:textId="77777777" w:rsidTr="00696E8F">
        <w:trPr>
          <w:trHeight w:val="300"/>
        </w:trPr>
        <w:tc>
          <w:tcPr>
            <w:tcW w:w="1872" w:type="dxa"/>
            <w:noWrap/>
            <w:vAlign w:val="center"/>
            <w:hideMark/>
          </w:tcPr>
          <w:p w14:paraId="4DF55170" w14:textId="77777777" w:rsidR="00595F71" w:rsidRPr="00E97D2C" w:rsidRDefault="00595F71" w:rsidP="00696E8F">
            <w:pPr>
              <w:rPr>
                <w:rFonts w:cs="Arial"/>
                <w:color w:val="000000"/>
              </w:rPr>
            </w:pPr>
            <w:r w:rsidRPr="00E97D2C">
              <w:rPr>
                <w:rFonts w:cs="Arial"/>
                <w:color w:val="000000"/>
              </w:rPr>
              <w:t>0D134K9</w:t>
            </w:r>
          </w:p>
        </w:tc>
        <w:tc>
          <w:tcPr>
            <w:tcW w:w="7560" w:type="dxa"/>
            <w:noWrap/>
            <w:vAlign w:val="center"/>
            <w:hideMark/>
          </w:tcPr>
          <w:p w14:paraId="57420AE1" w14:textId="77777777" w:rsidR="00595F71" w:rsidRPr="00E97D2C" w:rsidRDefault="00595F71" w:rsidP="00696E8F">
            <w:pPr>
              <w:rPr>
                <w:rFonts w:cs="Arial"/>
                <w:color w:val="000000"/>
              </w:rPr>
            </w:pPr>
            <w:r w:rsidRPr="00E97D2C">
              <w:rPr>
                <w:rFonts w:cs="Arial"/>
                <w:color w:val="000000"/>
              </w:rPr>
              <w:t>Bypass Lower Esophagus to Duodenum with Nonautologous Tissue Substitute, Percutaneous Endoscopic Approach</w:t>
            </w:r>
          </w:p>
        </w:tc>
      </w:tr>
      <w:tr w:rsidR="00595F71" w:rsidRPr="00E97D2C" w14:paraId="32EE2409" w14:textId="77777777" w:rsidTr="00696E8F">
        <w:trPr>
          <w:trHeight w:val="300"/>
        </w:trPr>
        <w:tc>
          <w:tcPr>
            <w:tcW w:w="1872" w:type="dxa"/>
            <w:noWrap/>
            <w:vAlign w:val="center"/>
            <w:hideMark/>
          </w:tcPr>
          <w:p w14:paraId="21D4C3A7" w14:textId="77777777" w:rsidR="00595F71" w:rsidRPr="00E97D2C" w:rsidRDefault="00595F71" w:rsidP="00696E8F">
            <w:pPr>
              <w:rPr>
                <w:rFonts w:cs="Arial"/>
                <w:color w:val="000000"/>
              </w:rPr>
            </w:pPr>
            <w:r w:rsidRPr="00E97D2C">
              <w:rPr>
                <w:rFonts w:cs="Arial"/>
                <w:color w:val="000000"/>
              </w:rPr>
              <w:t>0D134KA</w:t>
            </w:r>
          </w:p>
        </w:tc>
        <w:tc>
          <w:tcPr>
            <w:tcW w:w="7560" w:type="dxa"/>
            <w:noWrap/>
            <w:vAlign w:val="center"/>
            <w:hideMark/>
          </w:tcPr>
          <w:p w14:paraId="7A6294A9" w14:textId="77777777" w:rsidR="00595F71" w:rsidRPr="00E97D2C" w:rsidRDefault="00595F71" w:rsidP="00696E8F">
            <w:pPr>
              <w:rPr>
                <w:rFonts w:cs="Arial"/>
                <w:color w:val="000000"/>
              </w:rPr>
            </w:pPr>
            <w:r w:rsidRPr="00E97D2C">
              <w:rPr>
                <w:rFonts w:cs="Arial"/>
                <w:color w:val="000000"/>
              </w:rPr>
              <w:t>Bypass Lower Esophagus to Jejunum with Nonautologous Tissue Substitute, Percutaneous Endoscopic Approach</w:t>
            </w:r>
          </w:p>
        </w:tc>
      </w:tr>
      <w:tr w:rsidR="00595F71" w:rsidRPr="00E97D2C" w14:paraId="0820A524" w14:textId="77777777" w:rsidTr="00696E8F">
        <w:trPr>
          <w:trHeight w:val="300"/>
        </w:trPr>
        <w:tc>
          <w:tcPr>
            <w:tcW w:w="1872" w:type="dxa"/>
            <w:noWrap/>
            <w:vAlign w:val="center"/>
            <w:hideMark/>
          </w:tcPr>
          <w:p w14:paraId="74E944DC" w14:textId="77777777" w:rsidR="00595F71" w:rsidRPr="00E97D2C" w:rsidRDefault="00595F71" w:rsidP="00696E8F">
            <w:pPr>
              <w:rPr>
                <w:rFonts w:cs="Arial"/>
                <w:color w:val="000000"/>
              </w:rPr>
            </w:pPr>
            <w:r w:rsidRPr="00E97D2C">
              <w:rPr>
                <w:rFonts w:cs="Arial"/>
                <w:color w:val="000000"/>
              </w:rPr>
              <w:t>0D134KB</w:t>
            </w:r>
          </w:p>
        </w:tc>
        <w:tc>
          <w:tcPr>
            <w:tcW w:w="7560" w:type="dxa"/>
            <w:noWrap/>
            <w:vAlign w:val="center"/>
            <w:hideMark/>
          </w:tcPr>
          <w:p w14:paraId="340392B9" w14:textId="77777777" w:rsidR="00595F71" w:rsidRPr="00E97D2C" w:rsidRDefault="00595F71" w:rsidP="00696E8F">
            <w:pPr>
              <w:rPr>
                <w:rFonts w:cs="Arial"/>
                <w:color w:val="000000"/>
              </w:rPr>
            </w:pPr>
            <w:r w:rsidRPr="00E97D2C">
              <w:rPr>
                <w:rFonts w:cs="Arial"/>
                <w:color w:val="000000"/>
              </w:rPr>
              <w:t>Bypass Lower Esophagus to Ileum with Nonautologous Tissue Substitute, Percutaneous Endoscopic Approach</w:t>
            </w:r>
          </w:p>
        </w:tc>
      </w:tr>
      <w:tr w:rsidR="00595F71" w:rsidRPr="00E97D2C" w14:paraId="5E9782BB" w14:textId="77777777" w:rsidTr="00696E8F">
        <w:trPr>
          <w:trHeight w:val="300"/>
        </w:trPr>
        <w:tc>
          <w:tcPr>
            <w:tcW w:w="1872" w:type="dxa"/>
            <w:noWrap/>
            <w:vAlign w:val="center"/>
            <w:hideMark/>
          </w:tcPr>
          <w:p w14:paraId="676C1910" w14:textId="77777777" w:rsidR="00595F71" w:rsidRPr="00E97D2C" w:rsidRDefault="00595F71" w:rsidP="00696E8F">
            <w:pPr>
              <w:rPr>
                <w:rFonts w:cs="Arial"/>
                <w:color w:val="000000"/>
              </w:rPr>
            </w:pPr>
            <w:r w:rsidRPr="00E97D2C">
              <w:rPr>
                <w:rFonts w:cs="Arial"/>
                <w:color w:val="000000"/>
              </w:rPr>
              <w:t>0D134Z4</w:t>
            </w:r>
          </w:p>
        </w:tc>
        <w:tc>
          <w:tcPr>
            <w:tcW w:w="7560" w:type="dxa"/>
            <w:noWrap/>
            <w:vAlign w:val="center"/>
            <w:hideMark/>
          </w:tcPr>
          <w:p w14:paraId="390A637D" w14:textId="77777777" w:rsidR="00595F71" w:rsidRPr="00E97D2C" w:rsidRDefault="00595F71" w:rsidP="00696E8F">
            <w:pPr>
              <w:rPr>
                <w:rFonts w:cs="Arial"/>
                <w:color w:val="000000"/>
              </w:rPr>
            </w:pPr>
            <w:r w:rsidRPr="00E97D2C">
              <w:rPr>
                <w:rFonts w:cs="Arial"/>
                <w:color w:val="000000"/>
              </w:rPr>
              <w:t>Bypass Lower Esophagus to Cutaneous, Percutaneous Endoscopic Approach</w:t>
            </w:r>
          </w:p>
        </w:tc>
      </w:tr>
      <w:tr w:rsidR="00595F71" w:rsidRPr="00E97D2C" w14:paraId="0A992F41" w14:textId="77777777" w:rsidTr="00696E8F">
        <w:trPr>
          <w:trHeight w:val="300"/>
        </w:trPr>
        <w:tc>
          <w:tcPr>
            <w:tcW w:w="1872" w:type="dxa"/>
            <w:noWrap/>
            <w:vAlign w:val="center"/>
            <w:hideMark/>
          </w:tcPr>
          <w:p w14:paraId="757F3558" w14:textId="77777777" w:rsidR="00595F71" w:rsidRPr="00E97D2C" w:rsidRDefault="00595F71" w:rsidP="00696E8F">
            <w:pPr>
              <w:rPr>
                <w:rFonts w:cs="Arial"/>
                <w:color w:val="000000"/>
              </w:rPr>
            </w:pPr>
            <w:r w:rsidRPr="00E97D2C">
              <w:rPr>
                <w:rFonts w:cs="Arial"/>
                <w:color w:val="000000"/>
              </w:rPr>
              <w:t>0D134Z6</w:t>
            </w:r>
          </w:p>
        </w:tc>
        <w:tc>
          <w:tcPr>
            <w:tcW w:w="7560" w:type="dxa"/>
            <w:noWrap/>
            <w:vAlign w:val="center"/>
            <w:hideMark/>
          </w:tcPr>
          <w:p w14:paraId="2C2E6303" w14:textId="77777777" w:rsidR="00595F71" w:rsidRPr="00E97D2C" w:rsidRDefault="00595F71" w:rsidP="00696E8F">
            <w:pPr>
              <w:rPr>
                <w:rFonts w:cs="Arial"/>
                <w:color w:val="000000"/>
              </w:rPr>
            </w:pPr>
            <w:r w:rsidRPr="00E97D2C">
              <w:rPr>
                <w:rFonts w:cs="Arial"/>
                <w:color w:val="000000"/>
              </w:rPr>
              <w:t>Bypass Lower Esophagus to Stomach, Percutaneous Endoscopic Approach</w:t>
            </w:r>
          </w:p>
        </w:tc>
      </w:tr>
      <w:tr w:rsidR="00595F71" w:rsidRPr="00E97D2C" w14:paraId="5F210749" w14:textId="77777777" w:rsidTr="00696E8F">
        <w:trPr>
          <w:trHeight w:val="300"/>
        </w:trPr>
        <w:tc>
          <w:tcPr>
            <w:tcW w:w="1872" w:type="dxa"/>
            <w:noWrap/>
            <w:vAlign w:val="center"/>
            <w:hideMark/>
          </w:tcPr>
          <w:p w14:paraId="31B676D4" w14:textId="77777777" w:rsidR="00595F71" w:rsidRPr="00E97D2C" w:rsidRDefault="00595F71" w:rsidP="00696E8F">
            <w:pPr>
              <w:rPr>
                <w:rFonts w:cs="Arial"/>
                <w:color w:val="000000"/>
              </w:rPr>
            </w:pPr>
            <w:r w:rsidRPr="00E97D2C">
              <w:rPr>
                <w:rFonts w:cs="Arial"/>
                <w:color w:val="000000"/>
              </w:rPr>
              <w:t>0D134Z9</w:t>
            </w:r>
          </w:p>
        </w:tc>
        <w:tc>
          <w:tcPr>
            <w:tcW w:w="7560" w:type="dxa"/>
            <w:noWrap/>
            <w:vAlign w:val="center"/>
            <w:hideMark/>
          </w:tcPr>
          <w:p w14:paraId="3FF96EEB" w14:textId="77777777" w:rsidR="00595F71" w:rsidRPr="00E97D2C" w:rsidRDefault="00595F71" w:rsidP="00696E8F">
            <w:pPr>
              <w:rPr>
                <w:rFonts w:cs="Arial"/>
                <w:color w:val="000000"/>
              </w:rPr>
            </w:pPr>
            <w:r w:rsidRPr="00E97D2C">
              <w:rPr>
                <w:rFonts w:cs="Arial"/>
                <w:color w:val="000000"/>
              </w:rPr>
              <w:t>Bypass Lower Esophagus to Duodenum, Percutaneous Endoscopic Approach</w:t>
            </w:r>
          </w:p>
        </w:tc>
      </w:tr>
      <w:tr w:rsidR="00595F71" w:rsidRPr="00E97D2C" w14:paraId="7C42DFDB" w14:textId="77777777" w:rsidTr="00696E8F">
        <w:trPr>
          <w:trHeight w:val="300"/>
        </w:trPr>
        <w:tc>
          <w:tcPr>
            <w:tcW w:w="1872" w:type="dxa"/>
            <w:noWrap/>
            <w:vAlign w:val="center"/>
            <w:hideMark/>
          </w:tcPr>
          <w:p w14:paraId="1121542A" w14:textId="77777777" w:rsidR="00595F71" w:rsidRPr="00E97D2C" w:rsidRDefault="00595F71" w:rsidP="00696E8F">
            <w:pPr>
              <w:rPr>
                <w:rFonts w:cs="Arial"/>
                <w:color w:val="000000"/>
              </w:rPr>
            </w:pPr>
            <w:r w:rsidRPr="00E97D2C">
              <w:rPr>
                <w:rFonts w:cs="Arial"/>
                <w:color w:val="000000"/>
              </w:rPr>
              <w:t>0D134ZA</w:t>
            </w:r>
          </w:p>
        </w:tc>
        <w:tc>
          <w:tcPr>
            <w:tcW w:w="7560" w:type="dxa"/>
            <w:noWrap/>
            <w:vAlign w:val="center"/>
            <w:hideMark/>
          </w:tcPr>
          <w:p w14:paraId="46A67E2A" w14:textId="77777777" w:rsidR="00595F71" w:rsidRPr="00E97D2C" w:rsidRDefault="00595F71" w:rsidP="00696E8F">
            <w:pPr>
              <w:rPr>
                <w:rFonts w:cs="Arial"/>
                <w:color w:val="000000"/>
              </w:rPr>
            </w:pPr>
            <w:r w:rsidRPr="00E97D2C">
              <w:rPr>
                <w:rFonts w:cs="Arial"/>
                <w:color w:val="000000"/>
              </w:rPr>
              <w:t>Bypass Lower Esophagus to Jejunum, Percutaneous Endoscopic Approach</w:t>
            </w:r>
          </w:p>
        </w:tc>
      </w:tr>
      <w:tr w:rsidR="00595F71" w:rsidRPr="00E97D2C" w14:paraId="0E0B5CAD" w14:textId="77777777" w:rsidTr="00696E8F">
        <w:trPr>
          <w:trHeight w:val="300"/>
        </w:trPr>
        <w:tc>
          <w:tcPr>
            <w:tcW w:w="1872" w:type="dxa"/>
            <w:noWrap/>
            <w:vAlign w:val="center"/>
            <w:hideMark/>
          </w:tcPr>
          <w:p w14:paraId="2C92C327" w14:textId="77777777" w:rsidR="00595F71" w:rsidRPr="00E97D2C" w:rsidRDefault="00595F71" w:rsidP="00696E8F">
            <w:pPr>
              <w:rPr>
                <w:rFonts w:cs="Arial"/>
                <w:color w:val="000000"/>
              </w:rPr>
            </w:pPr>
            <w:r w:rsidRPr="00E97D2C">
              <w:rPr>
                <w:rFonts w:cs="Arial"/>
                <w:color w:val="000000"/>
              </w:rPr>
              <w:t>0D134ZB</w:t>
            </w:r>
          </w:p>
        </w:tc>
        <w:tc>
          <w:tcPr>
            <w:tcW w:w="7560" w:type="dxa"/>
            <w:noWrap/>
            <w:vAlign w:val="center"/>
            <w:hideMark/>
          </w:tcPr>
          <w:p w14:paraId="15558CE8" w14:textId="77777777" w:rsidR="00595F71" w:rsidRPr="00E97D2C" w:rsidRDefault="00595F71" w:rsidP="00696E8F">
            <w:pPr>
              <w:rPr>
                <w:rFonts w:cs="Arial"/>
                <w:color w:val="000000"/>
              </w:rPr>
            </w:pPr>
            <w:r w:rsidRPr="00E97D2C">
              <w:rPr>
                <w:rFonts w:cs="Arial"/>
                <w:color w:val="000000"/>
              </w:rPr>
              <w:t>Bypass Lower Esophagus to Ileum, Percutaneous Endoscopic Approach</w:t>
            </w:r>
          </w:p>
        </w:tc>
      </w:tr>
      <w:tr w:rsidR="00595F71" w:rsidRPr="00E97D2C" w14:paraId="1F34B685" w14:textId="77777777" w:rsidTr="00696E8F">
        <w:trPr>
          <w:trHeight w:val="300"/>
        </w:trPr>
        <w:tc>
          <w:tcPr>
            <w:tcW w:w="1872" w:type="dxa"/>
            <w:noWrap/>
            <w:vAlign w:val="center"/>
            <w:hideMark/>
          </w:tcPr>
          <w:p w14:paraId="64EF1BC2" w14:textId="77777777" w:rsidR="00595F71" w:rsidRPr="00E97D2C" w:rsidRDefault="00595F71" w:rsidP="00696E8F">
            <w:pPr>
              <w:rPr>
                <w:rFonts w:cs="Arial"/>
                <w:color w:val="000000"/>
              </w:rPr>
            </w:pPr>
            <w:r w:rsidRPr="00E97D2C">
              <w:rPr>
                <w:rFonts w:cs="Arial"/>
                <w:color w:val="000000"/>
              </w:rPr>
              <w:t>0D13874</w:t>
            </w:r>
          </w:p>
        </w:tc>
        <w:tc>
          <w:tcPr>
            <w:tcW w:w="7560" w:type="dxa"/>
            <w:noWrap/>
            <w:vAlign w:val="center"/>
            <w:hideMark/>
          </w:tcPr>
          <w:p w14:paraId="4408C32F" w14:textId="77777777" w:rsidR="00595F71" w:rsidRPr="00E97D2C" w:rsidRDefault="00595F71" w:rsidP="00696E8F">
            <w:pPr>
              <w:rPr>
                <w:rFonts w:cs="Arial"/>
                <w:color w:val="000000"/>
              </w:rPr>
            </w:pPr>
            <w:r w:rsidRPr="00E97D2C">
              <w:rPr>
                <w:rFonts w:cs="Arial"/>
                <w:color w:val="000000"/>
              </w:rPr>
              <w:t>Bypass Lower Esophagus to Cutaneous with Autologous Tissue Substitute, Via Natural or Artificial Opening Endoscopic</w:t>
            </w:r>
          </w:p>
        </w:tc>
      </w:tr>
      <w:tr w:rsidR="00595F71" w:rsidRPr="00E97D2C" w14:paraId="116B2893" w14:textId="77777777" w:rsidTr="00696E8F">
        <w:trPr>
          <w:trHeight w:val="300"/>
        </w:trPr>
        <w:tc>
          <w:tcPr>
            <w:tcW w:w="1872" w:type="dxa"/>
            <w:noWrap/>
            <w:vAlign w:val="center"/>
            <w:hideMark/>
          </w:tcPr>
          <w:p w14:paraId="444ADAFE" w14:textId="77777777" w:rsidR="00595F71" w:rsidRPr="00E97D2C" w:rsidRDefault="00595F71" w:rsidP="00696E8F">
            <w:pPr>
              <w:rPr>
                <w:rFonts w:cs="Arial"/>
                <w:color w:val="000000"/>
              </w:rPr>
            </w:pPr>
            <w:r w:rsidRPr="00E97D2C">
              <w:rPr>
                <w:rFonts w:cs="Arial"/>
                <w:color w:val="000000"/>
              </w:rPr>
              <w:t>0D13876</w:t>
            </w:r>
          </w:p>
        </w:tc>
        <w:tc>
          <w:tcPr>
            <w:tcW w:w="7560" w:type="dxa"/>
            <w:noWrap/>
            <w:vAlign w:val="center"/>
            <w:hideMark/>
          </w:tcPr>
          <w:p w14:paraId="06C0117A" w14:textId="77777777" w:rsidR="00595F71" w:rsidRPr="00E97D2C" w:rsidRDefault="00595F71" w:rsidP="00696E8F">
            <w:pPr>
              <w:rPr>
                <w:rFonts w:cs="Arial"/>
                <w:color w:val="000000"/>
              </w:rPr>
            </w:pPr>
            <w:r w:rsidRPr="00E97D2C">
              <w:rPr>
                <w:rFonts w:cs="Arial"/>
                <w:color w:val="000000"/>
              </w:rPr>
              <w:t>Bypass Lower Esophagus to Stomach with Autologous Tissue Substitute, Via Natural or Artificial Opening Endoscopic</w:t>
            </w:r>
          </w:p>
        </w:tc>
      </w:tr>
      <w:tr w:rsidR="00595F71" w:rsidRPr="00E97D2C" w14:paraId="0B6376FB" w14:textId="77777777" w:rsidTr="00696E8F">
        <w:trPr>
          <w:trHeight w:val="300"/>
        </w:trPr>
        <w:tc>
          <w:tcPr>
            <w:tcW w:w="1872" w:type="dxa"/>
            <w:noWrap/>
            <w:vAlign w:val="center"/>
            <w:hideMark/>
          </w:tcPr>
          <w:p w14:paraId="57004C2B" w14:textId="77777777" w:rsidR="00595F71" w:rsidRPr="00E97D2C" w:rsidRDefault="00595F71" w:rsidP="00696E8F">
            <w:pPr>
              <w:rPr>
                <w:rFonts w:cs="Arial"/>
                <w:color w:val="000000"/>
              </w:rPr>
            </w:pPr>
            <w:r w:rsidRPr="00E97D2C">
              <w:rPr>
                <w:rFonts w:cs="Arial"/>
                <w:color w:val="000000"/>
              </w:rPr>
              <w:t>0D13879</w:t>
            </w:r>
          </w:p>
        </w:tc>
        <w:tc>
          <w:tcPr>
            <w:tcW w:w="7560" w:type="dxa"/>
            <w:noWrap/>
            <w:vAlign w:val="center"/>
            <w:hideMark/>
          </w:tcPr>
          <w:p w14:paraId="4176F360" w14:textId="77777777" w:rsidR="00595F71" w:rsidRPr="00E97D2C" w:rsidRDefault="00595F71" w:rsidP="00696E8F">
            <w:pPr>
              <w:rPr>
                <w:rFonts w:cs="Arial"/>
                <w:color w:val="000000"/>
              </w:rPr>
            </w:pPr>
            <w:r w:rsidRPr="00E97D2C">
              <w:rPr>
                <w:rFonts w:cs="Arial"/>
                <w:color w:val="000000"/>
              </w:rPr>
              <w:t>Bypass Lower Esophagus to Duodenum with Autologous Tissue Substitute, Via Natural or Artificial Opening Endoscopic</w:t>
            </w:r>
          </w:p>
        </w:tc>
      </w:tr>
      <w:tr w:rsidR="00595F71" w:rsidRPr="00E97D2C" w14:paraId="412D83B5" w14:textId="77777777" w:rsidTr="00696E8F">
        <w:trPr>
          <w:trHeight w:val="300"/>
        </w:trPr>
        <w:tc>
          <w:tcPr>
            <w:tcW w:w="1872" w:type="dxa"/>
            <w:noWrap/>
            <w:vAlign w:val="center"/>
            <w:hideMark/>
          </w:tcPr>
          <w:p w14:paraId="01D82B24" w14:textId="77777777" w:rsidR="00595F71" w:rsidRPr="00E97D2C" w:rsidRDefault="00595F71" w:rsidP="00696E8F">
            <w:pPr>
              <w:rPr>
                <w:rFonts w:cs="Arial"/>
                <w:color w:val="000000"/>
              </w:rPr>
            </w:pPr>
            <w:r w:rsidRPr="00E97D2C">
              <w:rPr>
                <w:rFonts w:cs="Arial"/>
                <w:color w:val="000000"/>
              </w:rPr>
              <w:t>0D1387A</w:t>
            </w:r>
          </w:p>
        </w:tc>
        <w:tc>
          <w:tcPr>
            <w:tcW w:w="7560" w:type="dxa"/>
            <w:noWrap/>
            <w:vAlign w:val="center"/>
            <w:hideMark/>
          </w:tcPr>
          <w:p w14:paraId="5CFBC125" w14:textId="77777777" w:rsidR="00595F71" w:rsidRPr="00E97D2C" w:rsidRDefault="00595F71" w:rsidP="00696E8F">
            <w:pPr>
              <w:rPr>
                <w:rFonts w:cs="Arial"/>
                <w:color w:val="000000"/>
              </w:rPr>
            </w:pPr>
            <w:r w:rsidRPr="00E97D2C">
              <w:rPr>
                <w:rFonts w:cs="Arial"/>
                <w:color w:val="000000"/>
              </w:rPr>
              <w:t>Bypass Lower Esophagus to Jejunum with Autologous Tissue Substitute, Via Natural or Artificial Opening Endoscopic</w:t>
            </w:r>
          </w:p>
        </w:tc>
      </w:tr>
      <w:tr w:rsidR="00595F71" w:rsidRPr="00E97D2C" w14:paraId="684BF74A" w14:textId="77777777" w:rsidTr="00696E8F">
        <w:trPr>
          <w:trHeight w:val="300"/>
        </w:trPr>
        <w:tc>
          <w:tcPr>
            <w:tcW w:w="1872" w:type="dxa"/>
            <w:noWrap/>
            <w:vAlign w:val="center"/>
            <w:hideMark/>
          </w:tcPr>
          <w:p w14:paraId="0A228A61" w14:textId="77777777" w:rsidR="00595F71" w:rsidRPr="00E97D2C" w:rsidRDefault="00595F71" w:rsidP="00696E8F">
            <w:pPr>
              <w:rPr>
                <w:rFonts w:cs="Arial"/>
                <w:color w:val="000000"/>
              </w:rPr>
            </w:pPr>
            <w:r w:rsidRPr="00E97D2C">
              <w:rPr>
                <w:rFonts w:cs="Arial"/>
                <w:color w:val="000000"/>
              </w:rPr>
              <w:t>0D1387B</w:t>
            </w:r>
          </w:p>
        </w:tc>
        <w:tc>
          <w:tcPr>
            <w:tcW w:w="7560" w:type="dxa"/>
            <w:noWrap/>
            <w:vAlign w:val="center"/>
            <w:hideMark/>
          </w:tcPr>
          <w:p w14:paraId="6A23539F" w14:textId="77777777" w:rsidR="00595F71" w:rsidRPr="00E97D2C" w:rsidRDefault="00595F71" w:rsidP="00696E8F">
            <w:pPr>
              <w:rPr>
                <w:rFonts w:cs="Arial"/>
                <w:color w:val="000000"/>
              </w:rPr>
            </w:pPr>
            <w:r w:rsidRPr="00E97D2C">
              <w:rPr>
                <w:rFonts w:cs="Arial"/>
                <w:color w:val="000000"/>
              </w:rPr>
              <w:t>Bypass Lower Esophagus to Ileum with Autologous Tissue Substitute, Via Natural or Artificial Opening Endoscopic</w:t>
            </w:r>
          </w:p>
        </w:tc>
      </w:tr>
      <w:tr w:rsidR="00595F71" w:rsidRPr="00E97D2C" w14:paraId="07B3C07E" w14:textId="77777777" w:rsidTr="00696E8F">
        <w:trPr>
          <w:trHeight w:val="300"/>
        </w:trPr>
        <w:tc>
          <w:tcPr>
            <w:tcW w:w="1872" w:type="dxa"/>
            <w:noWrap/>
            <w:vAlign w:val="center"/>
            <w:hideMark/>
          </w:tcPr>
          <w:p w14:paraId="455ACDBD" w14:textId="77777777" w:rsidR="00595F71" w:rsidRPr="00E97D2C" w:rsidRDefault="00595F71" w:rsidP="00696E8F">
            <w:pPr>
              <w:rPr>
                <w:rFonts w:cs="Arial"/>
                <w:color w:val="000000"/>
              </w:rPr>
            </w:pPr>
            <w:r w:rsidRPr="00E97D2C">
              <w:rPr>
                <w:rFonts w:cs="Arial"/>
                <w:color w:val="000000"/>
              </w:rPr>
              <w:t>0D138J4</w:t>
            </w:r>
          </w:p>
        </w:tc>
        <w:tc>
          <w:tcPr>
            <w:tcW w:w="7560" w:type="dxa"/>
            <w:noWrap/>
            <w:vAlign w:val="center"/>
            <w:hideMark/>
          </w:tcPr>
          <w:p w14:paraId="4793AF2A" w14:textId="77777777" w:rsidR="00595F71" w:rsidRPr="00E97D2C" w:rsidRDefault="00595F71" w:rsidP="00696E8F">
            <w:pPr>
              <w:rPr>
                <w:rFonts w:cs="Arial"/>
                <w:color w:val="000000"/>
              </w:rPr>
            </w:pPr>
            <w:r w:rsidRPr="00E97D2C">
              <w:rPr>
                <w:rFonts w:cs="Arial"/>
                <w:color w:val="000000"/>
              </w:rPr>
              <w:t>Bypass Lower Esophagus to Cutaneous with Synthetic Substitute, Via Natural or Artificial Opening Endoscopic</w:t>
            </w:r>
          </w:p>
        </w:tc>
      </w:tr>
      <w:tr w:rsidR="00595F71" w:rsidRPr="00E97D2C" w14:paraId="3E8172CC" w14:textId="77777777" w:rsidTr="00696E8F">
        <w:trPr>
          <w:trHeight w:val="300"/>
        </w:trPr>
        <w:tc>
          <w:tcPr>
            <w:tcW w:w="1872" w:type="dxa"/>
            <w:noWrap/>
            <w:vAlign w:val="center"/>
            <w:hideMark/>
          </w:tcPr>
          <w:p w14:paraId="15EC5A46" w14:textId="77777777" w:rsidR="00595F71" w:rsidRPr="00E97D2C" w:rsidRDefault="00595F71" w:rsidP="00696E8F">
            <w:pPr>
              <w:rPr>
                <w:rFonts w:cs="Arial"/>
                <w:color w:val="000000"/>
              </w:rPr>
            </w:pPr>
            <w:r w:rsidRPr="00E97D2C">
              <w:rPr>
                <w:rFonts w:cs="Arial"/>
                <w:color w:val="000000"/>
              </w:rPr>
              <w:t>0D138J6</w:t>
            </w:r>
          </w:p>
        </w:tc>
        <w:tc>
          <w:tcPr>
            <w:tcW w:w="7560" w:type="dxa"/>
            <w:noWrap/>
            <w:vAlign w:val="center"/>
            <w:hideMark/>
          </w:tcPr>
          <w:p w14:paraId="274FE142" w14:textId="77777777" w:rsidR="00595F71" w:rsidRPr="00E97D2C" w:rsidRDefault="00595F71" w:rsidP="00696E8F">
            <w:pPr>
              <w:rPr>
                <w:rFonts w:cs="Arial"/>
                <w:color w:val="000000"/>
              </w:rPr>
            </w:pPr>
            <w:r w:rsidRPr="00E97D2C">
              <w:rPr>
                <w:rFonts w:cs="Arial"/>
                <w:color w:val="000000"/>
              </w:rPr>
              <w:t>Bypass Lower Esophagus to Stomach with Synthetic Substitute, Via Natural or Artificial Opening Endoscopic</w:t>
            </w:r>
          </w:p>
        </w:tc>
      </w:tr>
      <w:tr w:rsidR="00595F71" w:rsidRPr="00E97D2C" w14:paraId="5C0563FC" w14:textId="77777777" w:rsidTr="00696E8F">
        <w:trPr>
          <w:trHeight w:val="300"/>
        </w:trPr>
        <w:tc>
          <w:tcPr>
            <w:tcW w:w="1872" w:type="dxa"/>
            <w:noWrap/>
            <w:vAlign w:val="center"/>
            <w:hideMark/>
          </w:tcPr>
          <w:p w14:paraId="071DE370" w14:textId="77777777" w:rsidR="00595F71" w:rsidRPr="00E97D2C" w:rsidRDefault="00595F71" w:rsidP="00696E8F">
            <w:pPr>
              <w:rPr>
                <w:rFonts w:cs="Arial"/>
                <w:color w:val="000000"/>
              </w:rPr>
            </w:pPr>
            <w:r w:rsidRPr="00E97D2C">
              <w:rPr>
                <w:rFonts w:cs="Arial"/>
                <w:color w:val="000000"/>
              </w:rPr>
              <w:lastRenderedPageBreak/>
              <w:t>0D138J9</w:t>
            </w:r>
          </w:p>
        </w:tc>
        <w:tc>
          <w:tcPr>
            <w:tcW w:w="7560" w:type="dxa"/>
            <w:noWrap/>
            <w:vAlign w:val="center"/>
            <w:hideMark/>
          </w:tcPr>
          <w:p w14:paraId="20AB05AC" w14:textId="77777777" w:rsidR="00595F71" w:rsidRPr="00E97D2C" w:rsidRDefault="00595F71" w:rsidP="00696E8F">
            <w:pPr>
              <w:rPr>
                <w:rFonts w:cs="Arial"/>
                <w:color w:val="000000"/>
              </w:rPr>
            </w:pPr>
            <w:r w:rsidRPr="00E97D2C">
              <w:rPr>
                <w:rFonts w:cs="Arial"/>
                <w:color w:val="000000"/>
              </w:rPr>
              <w:t>Bypass Lower Esophagus to Duodenum with Synthetic Substitute, Via Natural or Artificial Opening Endoscopic</w:t>
            </w:r>
          </w:p>
        </w:tc>
      </w:tr>
      <w:tr w:rsidR="00595F71" w:rsidRPr="00E97D2C" w14:paraId="632A8621" w14:textId="77777777" w:rsidTr="00696E8F">
        <w:trPr>
          <w:trHeight w:val="300"/>
        </w:trPr>
        <w:tc>
          <w:tcPr>
            <w:tcW w:w="1872" w:type="dxa"/>
            <w:noWrap/>
            <w:vAlign w:val="center"/>
            <w:hideMark/>
          </w:tcPr>
          <w:p w14:paraId="55D9A5D8" w14:textId="77777777" w:rsidR="00595F71" w:rsidRPr="00E97D2C" w:rsidRDefault="00595F71" w:rsidP="00696E8F">
            <w:pPr>
              <w:rPr>
                <w:rFonts w:cs="Arial"/>
                <w:color w:val="000000"/>
              </w:rPr>
            </w:pPr>
            <w:r w:rsidRPr="00E97D2C">
              <w:rPr>
                <w:rFonts w:cs="Arial"/>
                <w:color w:val="000000"/>
              </w:rPr>
              <w:t>0D138JA</w:t>
            </w:r>
          </w:p>
        </w:tc>
        <w:tc>
          <w:tcPr>
            <w:tcW w:w="7560" w:type="dxa"/>
            <w:noWrap/>
            <w:vAlign w:val="center"/>
            <w:hideMark/>
          </w:tcPr>
          <w:p w14:paraId="19BC2D82" w14:textId="77777777" w:rsidR="00595F71" w:rsidRPr="00E97D2C" w:rsidRDefault="00595F71" w:rsidP="00696E8F">
            <w:pPr>
              <w:rPr>
                <w:rFonts w:cs="Arial"/>
                <w:color w:val="000000"/>
              </w:rPr>
            </w:pPr>
            <w:r w:rsidRPr="00E97D2C">
              <w:rPr>
                <w:rFonts w:cs="Arial"/>
                <w:color w:val="000000"/>
              </w:rPr>
              <w:t>Bypass Lower Esophagus to Jejunum with Synthetic Substitute, Via Natural or Artificial Opening Endoscopic</w:t>
            </w:r>
          </w:p>
        </w:tc>
      </w:tr>
      <w:tr w:rsidR="00595F71" w:rsidRPr="00E97D2C" w14:paraId="041FEDDD" w14:textId="77777777" w:rsidTr="00696E8F">
        <w:trPr>
          <w:trHeight w:val="300"/>
        </w:trPr>
        <w:tc>
          <w:tcPr>
            <w:tcW w:w="1872" w:type="dxa"/>
            <w:noWrap/>
            <w:vAlign w:val="center"/>
            <w:hideMark/>
          </w:tcPr>
          <w:p w14:paraId="716878C7" w14:textId="77777777" w:rsidR="00595F71" w:rsidRPr="00E97D2C" w:rsidRDefault="00595F71" w:rsidP="00696E8F">
            <w:pPr>
              <w:rPr>
                <w:rFonts w:cs="Arial"/>
                <w:color w:val="000000"/>
              </w:rPr>
            </w:pPr>
            <w:r w:rsidRPr="00E97D2C">
              <w:rPr>
                <w:rFonts w:cs="Arial"/>
                <w:color w:val="000000"/>
              </w:rPr>
              <w:t>0D138JB</w:t>
            </w:r>
          </w:p>
        </w:tc>
        <w:tc>
          <w:tcPr>
            <w:tcW w:w="7560" w:type="dxa"/>
            <w:noWrap/>
            <w:vAlign w:val="center"/>
            <w:hideMark/>
          </w:tcPr>
          <w:p w14:paraId="4FEE4D7F" w14:textId="77777777" w:rsidR="00595F71" w:rsidRPr="00E97D2C" w:rsidRDefault="00595F71" w:rsidP="00696E8F">
            <w:pPr>
              <w:rPr>
                <w:rFonts w:cs="Arial"/>
                <w:color w:val="000000"/>
              </w:rPr>
            </w:pPr>
            <w:r w:rsidRPr="00E97D2C">
              <w:rPr>
                <w:rFonts w:cs="Arial"/>
                <w:color w:val="000000"/>
              </w:rPr>
              <w:t>Bypass Lower Esophagus to Ileum with Synthetic Substitute, Via Natural or Artificial Opening Endoscopic</w:t>
            </w:r>
          </w:p>
        </w:tc>
      </w:tr>
      <w:tr w:rsidR="00595F71" w:rsidRPr="00E97D2C" w14:paraId="410CC595" w14:textId="77777777" w:rsidTr="00696E8F">
        <w:trPr>
          <w:trHeight w:val="300"/>
        </w:trPr>
        <w:tc>
          <w:tcPr>
            <w:tcW w:w="1872" w:type="dxa"/>
            <w:noWrap/>
            <w:vAlign w:val="center"/>
            <w:hideMark/>
          </w:tcPr>
          <w:p w14:paraId="57F4D9E7" w14:textId="77777777" w:rsidR="00595F71" w:rsidRPr="00E97D2C" w:rsidRDefault="00595F71" w:rsidP="00696E8F">
            <w:pPr>
              <w:rPr>
                <w:rFonts w:cs="Arial"/>
                <w:color w:val="000000"/>
              </w:rPr>
            </w:pPr>
            <w:r w:rsidRPr="00E97D2C">
              <w:rPr>
                <w:rFonts w:cs="Arial"/>
                <w:color w:val="000000"/>
              </w:rPr>
              <w:t>0D138K4</w:t>
            </w:r>
          </w:p>
        </w:tc>
        <w:tc>
          <w:tcPr>
            <w:tcW w:w="7560" w:type="dxa"/>
            <w:noWrap/>
            <w:vAlign w:val="center"/>
            <w:hideMark/>
          </w:tcPr>
          <w:p w14:paraId="6758499C" w14:textId="77777777" w:rsidR="00595F71" w:rsidRPr="00E97D2C" w:rsidRDefault="00595F71" w:rsidP="00696E8F">
            <w:pPr>
              <w:rPr>
                <w:rFonts w:cs="Arial"/>
                <w:color w:val="000000"/>
              </w:rPr>
            </w:pPr>
            <w:r w:rsidRPr="00E97D2C">
              <w:rPr>
                <w:rFonts w:cs="Arial"/>
                <w:color w:val="000000"/>
              </w:rPr>
              <w:t>Bypass Lower Esophagus to Cutaneous with Nonautologous Tissue Substitute, Via Natural or Artificial Opening Endoscopic</w:t>
            </w:r>
          </w:p>
        </w:tc>
      </w:tr>
      <w:tr w:rsidR="00595F71" w:rsidRPr="00E97D2C" w14:paraId="1929B196" w14:textId="77777777" w:rsidTr="00696E8F">
        <w:trPr>
          <w:trHeight w:val="300"/>
        </w:trPr>
        <w:tc>
          <w:tcPr>
            <w:tcW w:w="1872" w:type="dxa"/>
            <w:noWrap/>
            <w:vAlign w:val="center"/>
            <w:hideMark/>
          </w:tcPr>
          <w:p w14:paraId="2204ABCA" w14:textId="77777777" w:rsidR="00595F71" w:rsidRPr="00E97D2C" w:rsidRDefault="00595F71" w:rsidP="00696E8F">
            <w:pPr>
              <w:rPr>
                <w:rFonts w:cs="Arial"/>
                <w:color w:val="000000"/>
              </w:rPr>
            </w:pPr>
            <w:r w:rsidRPr="00E97D2C">
              <w:rPr>
                <w:rFonts w:cs="Arial"/>
                <w:color w:val="000000"/>
              </w:rPr>
              <w:t>0D138K6</w:t>
            </w:r>
          </w:p>
        </w:tc>
        <w:tc>
          <w:tcPr>
            <w:tcW w:w="7560" w:type="dxa"/>
            <w:noWrap/>
            <w:vAlign w:val="center"/>
            <w:hideMark/>
          </w:tcPr>
          <w:p w14:paraId="283F22E0" w14:textId="77777777" w:rsidR="00595F71" w:rsidRPr="00E97D2C" w:rsidRDefault="00595F71" w:rsidP="00696E8F">
            <w:pPr>
              <w:rPr>
                <w:rFonts w:cs="Arial"/>
                <w:color w:val="000000"/>
              </w:rPr>
            </w:pPr>
            <w:r w:rsidRPr="00E97D2C">
              <w:rPr>
                <w:rFonts w:cs="Arial"/>
                <w:color w:val="000000"/>
              </w:rPr>
              <w:t>Bypass Lower Esophagus to Stomach with Nonautologous Tissue Substitute, Via Natural or Artificial Opening Endoscopic</w:t>
            </w:r>
          </w:p>
        </w:tc>
      </w:tr>
      <w:tr w:rsidR="00595F71" w:rsidRPr="00E97D2C" w14:paraId="364BF8A0" w14:textId="77777777" w:rsidTr="00696E8F">
        <w:trPr>
          <w:trHeight w:val="300"/>
        </w:trPr>
        <w:tc>
          <w:tcPr>
            <w:tcW w:w="1872" w:type="dxa"/>
            <w:noWrap/>
            <w:vAlign w:val="center"/>
            <w:hideMark/>
          </w:tcPr>
          <w:p w14:paraId="6F8E8288" w14:textId="77777777" w:rsidR="00595F71" w:rsidRPr="00E97D2C" w:rsidRDefault="00595F71" w:rsidP="00696E8F">
            <w:pPr>
              <w:rPr>
                <w:rFonts w:cs="Arial"/>
                <w:color w:val="000000"/>
              </w:rPr>
            </w:pPr>
            <w:r w:rsidRPr="00E97D2C">
              <w:rPr>
                <w:rFonts w:cs="Arial"/>
                <w:color w:val="000000"/>
              </w:rPr>
              <w:t>0D138K9</w:t>
            </w:r>
          </w:p>
        </w:tc>
        <w:tc>
          <w:tcPr>
            <w:tcW w:w="7560" w:type="dxa"/>
            <w:noWrap/>
            <w:vAlign w:val="center"/>
            <w:hideMark/>
          </w:tcPr>
          <w:p w14:paraId="4932A0B4" w14:textId="77777777" w:rsidR="00595F71" w:rsidRPr="00E97D2C" w:rsidRDefault="00595F71" w:rsidP="00696E8F">
            <w:pPr>
              <w:rPr>
                <w:rFonts w:cs="Arial"/>
                <w:color w:val="000000"/>
              </w:rPr>
            </w:pPr>
            <w:r w:rsidRPr="00E97D2C">
              <w:rPr>
                <w:rFonts w:cs="Arial"/>
                <w:color w:val="000000"/>
              </w:rPr>
              <w:t>Bypass Lower Esophagus to Duodenum with Nonautologous Tissue Substitute, Via Natural or Artificial Opening Endoscopic</w:t>
            </w:r>
          </w:p>
        </w:tc>
      </w:tr>
      <w:tr w:rsidR="00595F71" w:rsidRPr="00E97D2C" w14:paraId="66C6A25A" w14:textId="77777777" w:rsidTr="00696E8F">
        <w:trPr>
          <w:trHeight w:val="300"/>
        </w:trPr>
        <w:tc>
          <w:tcPr>
            <w:tcW w:w="1872" w:type="dxa"/>
            <w:noWrap/>
            <w:vAlign w:val="center"/>
            <w:hideMark/>
          </w:tcPr>
          <w:p w14:paraId="1B8DE6CC" w14:textId="77777777" w:rsidR="00595F71" w:rsidRPr="00E97D2C" w:rsidRDefault="00595F71" w:rsidP="00696E8F">
            <w:pPr>
              <w:rPr>
                <w:rFonts w:cs="Arial"/>
                <w:color w:val="000000"/>
              </w:rPr>
            </w:pPr>
            <w:r w:rsidRPr="00E97D2C">
              <w:rPr>
                <w:rFonts w:cs="Arial"/>
                <w:color w:val="000000"/>
              </w:rPr>
              <w:t>0D138KA</w:t>
            </w:r>
          </w:p>
        </w:tc>
        <w:tc>
          <w:tcPr>
            <w:tcW w:w="7560" w:type="dxa"/>
            <w:noWrap/>
            <w:vAlign w:val="center"/>
            <w:hideMark/>
          </w:tcPr>
          <w:p w14:paraId="2DDBDD54" w14:textId="77777777" w:rsidR="00595F71" w:rsidRPr="00E97D2C" w:rsidRDefault="00595F71" w:rsidP="00696E8F">
            <w:pPr>
              <w:rPr>
                <w:rFonts w:cs="Arial"/>
                <w:color w:val="000000"/>
              </w:rPr>
            </w:pPr>
            <w:r w:rsidRPr="00E97D2C">
              <w:rPr>
                <w:rFonts w:cs="Arial"/>
                <w:color w:val="000000"/>
              </w:rPr>
              <w:t>Bypass Lower Esophagus to Jejunum with Nonautologous Tissue Substitute, Via Natural or Artificial Opening Endoscopic</w:t>
            </w:r>
          </w:p>
        </w:tc>
      </w:tr>
      <w:tr w:rsidR="00595F71" w:rsidRPr="00E97D2C" w14:paraId="2E5AC448" w14:textId="77777777" w:rsidTr="00696E8F">
        <w:trPr>
          <w:trHeight w:val="300"/>
        </w:trPr>
        <w:tc>
          <w:tcPr>
            <w:tcW w:w="1872" w:type="dxa"/>
            <w:noWrap/>
            <w:vAlign w:val="center"/>
            <w:hideMark/>
          </w:tcPr>
          <w:p w14:paraId="6D4F316E" w14:textId="77777777" w:rsidR="00595F71" w:rsidRPr="00E97D2C" w:rsidRDefault="00595F71" w:rsidP="00696E8F">
            <w:pPr>
              <w:rPr>
                <w:rFonts w:cs="Arial"/>
                <w:color w:val="000000"/>
              </w:rPr>
            </w:pPr>
            <w:r w:rsidRPr="00E97D2C">
              <w:rPr>
                <w:rFonts w:cs="Arial"/>
                <w:color w:val="000000"/>
              </w:rPr>
              <w:t>0D138KB</w:t>
            </w:r>
          </w:p>
        </w:tc>
        <w:tc>
          <w:tcPr>
            <w:tcW w:w="7560" w:type="dxa"/>
            <w:noWrap/>
            <w:vAlign w:val="center"/>
            <w:hideMark/>
          </w:tcPr>
          <w:p w14:paraId="122847E5" w14:textId="77777777" w:rsidR="00595F71" w:rsidRPr="00E97D2C" w:rsidRDefault="00595F71" w:rsidP="00696E8F">
            <w:pPr>
              <w:rPr>
                <w:rFonts w:cs="Arial"/>
                <w:color w:val="000000"/>
              </w:rPr>
            </w:pPr>
            <w:r w:rsidRPr="00E97D2C">
              <w:rPr>
                <w:rFonts w:cs="Arial"/>
                <w:color w:val="000000"/>
              </w:rPr>
              <w:t>Bypass Lower Esophagus to Ileum with Nonautologous Tissue Substitute, Via Natural or Artificial Opening Endoscopic</w:t>
            </w:r>
          </w:p>
        </w:tc>
      </w:tr>
      <w:tr w:rsidR="00595F71" w:rsidRPr="00E97D2C" w14:paraId="68D24331" w14:textId="77777777" w:rsidTr="00696E8F">
        <w:trPr>
          <w:trHeight w:val="300"/>
        </w:trPr>
        <w:tc>
          <w:tcPr>
            <w:tcW w:w="1872" w:type="dxa"/>
            <w:noWrap/>
            <w:vAlign w:val="center"/>
            <w:hideMark/>
          </w:tcPr>
          <w:p w14:paraId="6B28B873" w14:textId="77777777" w:rsidR="00595F71" w:rsidRPr="00E97D2C" w:rsidRDefault="00595F71" w:rsidP="00696E8F">
            <w:pPr>
              <w:rPr>
                <w:rFonts w:cs="Arial"/>
                <w:color w:val="000000"/>
              </w:rPr>
            </w:pPr>
            <w:r w:rsidRPr="00E97D2C">
              <w:rPr>
                <w:rFonts w:cs="Arial"/>
                <w:color w:val="000000"/>
              </w:rPr>
              <w:t>0D138Z4</w:t>
            </w:r>
          </w:p>
        </w:tc>
        <w:tc>
          <w:tcPr>
            <w:tcW w:w="7560" w:type="dxa"/>
            <w:noWrap/>
            <w:vAlign w:val="center"/>
            <w:hideMark/>
          </w:tcPr>
          <w:p w14:paraId="1438F9C2" w14:textId="77777777" w:rsidR="00595F71" w:rsidRPr="00E97D2C" w:rsidRDefault="00595F71" w:rsidP="00696E8F">
            <w:pPr>
              <w:rPr>
                <w:rFonts w:cs="Arial"/>
                <w:color w:val="000000"/>
              </w:rPr>
            </w:pPr>
            <w:r w:rsidRPr="00E97D2C">
              <w:rPr>
                <w:rFonts w:cs="Arial"/>
                <w:color w:val="000000"/>
              </w:rPr>
              <w:t>Bypass Lower Esophagus to Cutaneous, Via Natural or Artificial Opening Endoscopic</w:t>
            </w:r>
          </w:p>
        </w:tc>
      </w:tr>
      <w:tr w:rsidR="00595F71" w:rsidRPr="00E97D2C" w14:paraId="123D78AC" w14:textId="77777777" w:rsidTr="00696E8F">
        <w:trPr>
          <w:trHeight w:val="300"/>
        </w:trPr>
        <w:tc>
          <w:tcPr>
            <w:tcW w:w="1872" w:type="dxa"/>
            <w:noWrap/>
            <w:vAlign w:val="center"/>
            <w:hideMark/>
          </w:tcPr>
          <w:p w14:paraId="6568A616" w14:textId="77777777" w:rsidR="00595F71" w:rsidRPr="00E97D2C" w:rsidRDefault="00595F71" w:rsidP="00696E8F">
            <w:pPr>
              <w:rPr>
                <w:rFonts w:cs="Arial"/>
                <w:color w:val="000000"/>
              </w:rPr>
            </w:pPr>
            <w:r w:rsidRPr="00E97D2C">
              <w:rPr>
                <w:rFonts w:cs="Arial"/>
                <w:color w:val="000000"/>
              </w:rPr>
              <w:t>0D138Z6</w:t>
            </w:r>
          </w:p>
        </w:tc>
        <w:tc>
          <w:tcPr>
            <w:tcW w:w="7560" w:type="dxa"/>
            <w:noWrap/>
            <w:vAlign w:val="center"/>
            <w:hideMark/>
          </w:tcPr>
          <w:p w14:paraId="7AB87A6C" w14:textId="77777777" w:rsidR="00595F71" w:rsidRPr="00E97D2C" w:rsidRDefault="00595F71" w:rsidP="00696E8F">
            <w:pPr>
              <w:rPr>
                <w:rFonts w:cs="Arial"/>
                <w:color w:val="000000"/>
              </w:rPr>
            </w:pPr>
            <w:r w:rsidRPr="00E97D2C">
              <w:rPr>
                <w:rFonts w:cs="Arial"/>
                <w:color w:val="000000"/>
              </w:rPr>
              <w:t>Bypass Lower Esophagus to Stomach, Via Natural or Artificial Opening Endoscopic</w:t>
            </w:r>
          </w:p>
        </w:tc>
      </w:tr>
      <w:tr w:rsidR="00595F71" w:rsidRPr="00E97D2C" w14:paraId="087C6ED9" w14:textId="77777777" w:rsidTr="00696E8F">
        <w:trPr>
          <w:trHeight w:val="300"/>
        </w:trPr>
        <w:tc>
          <w:tcPr>
            <w:tcW w:w="1872" w:type="dxa"/>
            <w:noWrap/>
            <w:vAlign w:val="center"/>
            <w:hideMark/>
          </w:tcPr>
          <w:p w14:paraId="5B4B26A4" w14:textId="77777777" w:rsidR="00595F71" w:rsidRPr="00E97D2C" w:rsidRDefault="00595F71" w:rsidP="00696E8F">
            <w:pPr>
              <w:rPr>
                <w:rFonts w:cs="Arial"/>
                <w:color w:val="000000"/>
              </w:rPr>
            </w:pPr>
            <w:r w:rsidRPr="00E97D2C">
              <w:rPr>
                <w:rFonts w:cs="Arial"/>
                <w:color w:val="000000"/>
              </w:rPr>
              <w:t>0D138Z9</w:t>
            </w:r>
          </w:p>
        </w:tc>
        <w:tc>
          <w:tcPr>
            <w:tcW w:w="7560" w:type="dxa"/>
            <w:noWrap/>
            <w:vAlign w:val="center"/>
            <w:hideMark/>
          </w:tcPr>
          <w:p w14:paraId="6D163858" w14:textId="77777777" w:rsidR="00595F71" w:rsidRPr="00E97D2C" w:rsidRDefault="00595F71" w:rsidP="00696E8F">
            <w:pPr>
              <w:rPr>
                <w:rFonts w:cs="Arial"/>
                <w:color w:val="000000"/>
              </w:rPr>
            </w:pPr>
            <w:r w:rsidRPr="00E97D2C">
              <w:rPr>
                <w:rFonts w:cs="Arial"/>
                <w:color w:val="000000"/>
              </w:rPr>
              <w:t>Bypass Lower Esophagus to Duodenum, Via Natural or Artificial Opening Endoscopic</w:t>
            </w:r>
          </w:p>
        </w:tc>
      </w:tr>
      <w:tr w:rsidR="00595F71" w:rsidRPr="00E97D2C" w14:paraId="2AC6C9D1" w14:textId="77777777" w:rsidTr="00696E8F">
        <w:trPr>
          <w:trHeight w:val="300"/>
        </w:trPr>
        <w:tc>
          <w:tcPr>
            <w:tcW w:w="1872" w:type="dxa"/>
            <w:noWrap/>
            <w:vAlign w:val="center"/>
            <w:hideMark/>
          </w:tcPr>
          <w:p w14:paraId="28B53D72" w14:textId="77777777" w:rsidR="00595F71" w:rsidRPr="00E97D2C" w:rsidRDefault="00595F71" w:rsidP="00696E8F">
            <w:pPr>
              <w:rPr>
                <w:rFonts w:cs="Arial"/>
                <w:color w:val="000000"/>
              </w:rPr>
            </w:pPr>
            <w:r w:rsidRPr="00E97D2C">
              <w:rPr>
                <w:rFonts w:cs="Arial"/>
                <w:color w:val="000000"/>
              </w:rPr>
              <w:t>0D138ZA</w:t>
            </w:r>
          </w:p>
        </w:tc>
        <w:tc>
          <w:tcPr>
            <w:tcW w:w="7560" w:type="dxa"/>
            <w:noWrap/>
            <w:vAlign w:val="center"/>
            <w:hideMark/>
          </w:tcPr>
          <w:p w14:paraId="4C03043F" w14:textId="77777777" w:rsidR="00595F71" w:rsidRPr="00E97D2C" w:rsidRDefault="00595F71" w:rsidP="00696E8F">
            <w:pPr>
              <w:rPr>
                <w:rFonts w:cs="Arial"/>
                <w:color w:val="000000"/>
              </w:rPr>
            </w:pPr>
            <w:r w:rsidRPr="00E97D2C">
              <w:rPr>
                <w:rFonts w:cs="Arial"/>
                <w:color w:val="000000"/>
              </w:rPr>
              <w:t>Bypass Lower Esophagus to Jejunum, Via Natural or Artificial Opening Endoscopic</w:t>
            </w:r>
          </w:p>
        </w:tc>
      </w:tr>
      <w:tr w:rsidR="00595F71" w:rsidRPr="00E97D2C" w14:paraId="447CA33E" w14:textId="77777777" w:rsidTr="00696E8F">
        <w:trPr>
          <w:trHeight w:val="300"/>
        </w:trPr>
        <w:tc>
          <w:tcPr>
            <w:tcW w:w="1872" w:type="dxa"/>
            <w:noWrap/>
            <w:vAlign w:val="center"/>
            <w:hideMark/>
          </w:tcPr>
          <w:p w14:paraId="2739241B" w14:textId="77777777" w:rsidR="00595F71" w:rsidRPr="00E97D2C" w:rsidRDefault="00595F71" w:rsidP="00696E8F">
            <w:pPr>
              <w:rPr>
                <w:rFonts w:cs="Arial"/>
                <w:color w:val="000000"/>
              </w:rPr>
            </w:pPr>
            <w:r w:rsidRPr="00E97D2C">
              <w:rPr>
                <w:rFonts w:cs="Arial"/>
                <w:color w:val="000000"/>
              </w:rPr>
              <w:t>0D138ZB</w:t>
            </w:r>
          </w:p>
        </w:tc>
        <w:tc>
          <w:tcPr>
            <w:tcW w:w="7560" w:type="dxa"/>
            <w:noWrap/>
            <w:vAlign w:val="center"/>
            <w:hideMark/>
          </w:tcPr>
          <w:p w14:paraId="562AD6BB" w14:textId="77777777" w:rsidR="00595F71" w:rsidRPr="00E97D2C" w:rsidRDefault="00595F71" w:rsidP="00696E8F">
            <w:pPr>
              <w:rPr>
                <w:rFonts w:cs="Arial"/>
                <w:color w:val="000000"/>
              </w:rPr>
            </w:pPr>
            <w:r w:rsidRPr="00E97D2C">
              <w:rPr>
                <w:rFonts w:cs="Arial"/>
                <w:color w:val="000000"/>
              </w:rPr>
              <w:t>Bypass Lower Esophagus to Ileum, Via Natural or Artificial Opening Endoscopic</w:t>
            </w:r>
          </w:p>
        </w:tc>
      </w:tr>
      <w:tr w:rsidR="00595F71" w:rsidRPr="00E97D2C" w14:paraId="4AD3DF6B" w14:textId="77777777" w:rsidTr="00696E8F">
        <w:trPr>
          <w:trHeight w:val="300"/>
        </w:trPr>
        <w:tc>
          <w:tcPr>
            <w:tcW w:w="1872" w:type="dxa"/>
            <w:noWrap/>
            <w:vAlign w:val="center"/>
            <w:hideMark/>
          </w:tcPr>
          <w:p w14:paraId="7C8F5D28" w14:textId="77777777" w:rsidR="00595F71" w:rsidRPr="00E97D2C" w:rsidRDefault="00595F71" w:rsidP="00696E8F">
            <w:pPr>
              <w:rPr>
                <w:rFonts w:cs="Arial"/>
                <w:color w:val="000000"/>
              </w:rPr>
            </w:pPr>
            <w:r w:rsidRPr="00E97D2C">
              <w:rPr>
                <w:rFonts w:cs="Arial"/>
                <w:color w:val="000000"/>
              </w:rPr>
              <w:t>0D15074</w:t>
            </w:r>
          </w:p>
        </w:tc>
        <w:tc>
          <w:tcPr>
            <w:tcW w:w="7560" w:type="dxa"/>
            <w:noWrap/>
            <w:vAlign w:val="center"/>
            <w:hideMark/>
          </w:tcPr>
          <w:p w14:paraId="22F5CD5B" w14:textId="77777777" w:rsidR="00595F71" w:rsidRPr="00E97D2C" w:rsidRDefault="00595F71" w:rsidP="00696E8F">
            <w:pPr>
              <w:rPr>
                <w:rFonts w:cs="Arial"/>
                <w:color w:val="000000"/>
              </w:rPr>
            </w:pPr>
            <w:r w:rsidRPr="00E97D2C">
              <w:rPr>
                <w:rFonts w:cs="Arial"/>
                <w:color w:val="000000"/>
              </w:rPr>
              <w:t>Bypass Esophagus to Cutaneous with Autologous Tissue Substitute, Open Approach</w:t>
            </w:r>
          </w:p>
        </w:tc>
      </w:tr>
      <w:tr w:rsidR="00595F71" w:rsidRPr="00E97D2C" w14:paraId="7B90BC42" w14:textId="77777777" w:rsidTr="00696E8F">
        <w:trPr>
          <w:trHeight w:val="300"/>
        </w:trPr>
        <w:tc>
          <w:tcPr>
            <w:tcW w:w="1872" w:type="dxa"/>
            <w:noWrap/>
            <w:vAlign w:val="center"/>
            <w:hideMark/>
          </w:tcPr>
          <w:p w14:paraId="3D2EF106" w14:textId="77777777" w:rsidR="00595F71" w:rsidRPr="00E97D2C" w:rsidRDefault="00595F71" w:rsidP="00696E8F">
            <w:pPr>
              <w:rPr>
                <w:rFonts w:cs="Arial"/>
                <w:color w:val="000000"/>
              </w:rPr>
            </w:pPr>
            <w:r w:rsidRPr="00E97D2C">
              <w:rPr>
                <w:rFonts w:cs="Arial"/>
                <w:color w:val="000000"/>
              </w:rPr>
              <w:t>0D15076</w:t>
            </w:r>
          </w:p>
        </w:tc>
        <w:tc>
          <w:tcPr>
            <w:tcW w:w="7560" w:type="dxa"/>
            <w:noWrap/>
            <w:vAlign w:val="center"/>
            <w:hideMark/>
          </w:tcPr>
          <w:p w14:paraId="4CE15543" w14:textId="77777777" w:rsidR="00595F71" w:rsidRPr="00E97D2C" w:rsidRDefault="00595F71" w:rsidP="00696E8F">
            <w:pPr>
              <w:rPr>
                <w:rFonts w:cs="Arial"/>
                <w:color w:val="000000"/>
              </w:rPr>
            </w:pPr>
            <w:r w:rsidRPr="00E97D2C">
              <w:rPr>
                <w:rFonts w:cs="Arial"/>
                <w:color w:val="000000"/>
              </w:rPr>
              <w:t>Bypass Esophagus to Stomach with Autologous Tissue Substitute, Open Approach</w:t>
            </w:r>
          </w:p>
        </w:tc>
      </w:tr>
      <w:tr w:rsidR="00595F71" w:rsidRPr="00E97D2C" w14:paraId="7E809D50" w14:textId="77777777" w:rsidTr="00696E8F">
        <w:trPr>
          <w:trHeight w:val="300"/>
        </w:trPr>
        <w:tc>
          <w:tcPr>
            <w:tcW w:w="1872" w:type="dxa"/>
            <w:noWrap/>
            <w:vAlign w:val="center"/>
            <w:hideMark/>
          </w:tcPr>
          <w:p w14:paraId="7A9336C5" w14:textId="77777777" w:rsidR="00595F71" w:rsidRPr="00E97D2C" w:rsidRDefault="00595F71" w:rsidP="00696E8F">
            <w:pPr>
              <w:rPr>
                <w:rFonts w:cs="Arial"/>
                <w:color w:val="000000"/>
              </w:rPr>
            </w:pPr>
            <w:r w:rsidRPr="00E97D2C">
              <w:rPr>
                <w:rFonts w:cs="Arial"/>
                <w:color w:val="000000"/>
              </w:rPr>
              <w:t>0D15079</w:t>
            </w:r>
          </w:p>
        </w:tc>
        <w:tc>
          <w:tcPr>
            <w:tcW w:w="7560" w:type="dxa"/>
            <w:noWrap/>
            <w:vAlign w:val="center"/>
            <w:hideMark/>
          </w:tcPr>
          <w:p w14:paraId="7CA91B13" w14:textId="77777777" w:rsidR="00595F71" w:rsidRPr="00E97D2C" w:rsidRDefault="00595F71" w:rsidP="00696E8F">
            <w:pPr>
              <w:rPr>
                <w:rFonts w:cs="Arial"/>
                <w:color w:val="000000"/>
              </w:rPr>
            </w:pPr>
            <w:r w:rsidRPr="00E97D2C">
              <w:rPr>
                <w:rFonts w:cs="Arial"/>
                <w:color w:val="000000"/>
              </w:rPr>
              <w:t>Bypass Esophagus to Duodenum with Autologous Tissue Substitute, Open Approach</w:t>
            </w:r>
          </w:p>
        </w:tc>
      </w:tr>
      <w:tr w:rsidR="00595F71" w:rsidRPr="00E97D2C" w14:paraId="37A2C8B1" w14:textId="77777777" w:rsidTr="00696E8F">
        <w:trPr>
          <w:trHeight w:val="300"/>
        </w:trPr>
        <w:tc>
          <w:tcPr>
            <w:tcW w:w="1872" w:type="dxa"/>
            <w:noWrap/>
            <w:vAlign w:val="center"/>
            <w:hideMark/>
          </w:tcPr>
          <w:p w14:paraId="271FF82E" w14:textId="77777777" w:rsidR="00595F71" w:rsidRPr="00E97D2C" w:rsidRDefault="00595F71" w:rsidP="00696E8F">
            <w:pPr>
              <w:rPr>
                <w:rFonts w:cs="Arial"/>
                <w:color w:val="000000"/>
              </w:rPr>
            </w:pPr>
            <w:r w:rsidRPr="00E97D2C">
              <w:rPr>
                <w:rFonts w:cs="Arial"/>
                <w:color w:val="000000"/>
              </w:rPr>
              <w:t>0D1507A</w:t>
            </w:r>
          </w:p>
        </w:tc>
        <w:tc>
          <w:tcPr>
            <w:tcW w:w="7560" w:type="dxa"/>
            <w:noWrap/>
            <w:vAlign w:val="center"/>
            <w:hideMark/>
          </w:tcPr>
          <w:p w14:paraId="1080C8C4" w14:textId="77777777" w:rsidR="00595F71" w:rsidRPr="00E97D2C" w:rsidRDefault="00595F71" w:rsidP="00696E8F">
            <w:pPr>
              <w:rPr>
                <w:rFonts w:cs="Arial"/>
                <w:color w:val="000000"/>
              </w:rPr>
            </w:pPr>
            <w:r w:rsidRPr="00E97D2C">
              <w:rPr>
                <w:rFonts w:cs="Arial"/>
                <w:color w:val="000000"/>
              </w:rPr>
              <w:t>Bypass Esophagus to Jejunum with Autologous Tissue Substitute, Open Approach</w:t>
            </w:r>
          </w:p>
        </w:tc>
      </w:tr>
      <w:tr w:rsidR="00595F71" w:rsidRPr="00E97D2C" w14:paraId="7C5B66EA" w14:textId="77777777" w:rsidTr="00696E8F">
        <w:trPr>
          <w:trHeight w:val="300"/>
        </w:trPr>
        <w:tc>
          <w:tcPr>
            <w:tcW w:w="1872" w:type="dxa"/>
            <w:noWrap/>
            <w:vAlign w:val="center"/>
            <w:hideMark/>
          </w:tcPr>
          <w:p w14:paraId="7AF9FEB2" w14:textId="77777777" w:rsidR="00595F71" w:rsidRPr="00E97D2C" w:rsidRDefault="00595F71" w:rsidP="00696E8F">
            <w:pPr>
              <w:rPr>
                <w:rFonts w:cs="Arial"/>
                <w:color w:val="000000"/>
              </w:rPr>
            </w:pPr>
            <w:r w:rsidRPr="00E97D2C">
              <w:rPr>
                <w:rFonts w:cs="Arial"/>
                <w:color w:val="000000"/>
              </w:rPr>
              <w:t>0D1507B</w:t>
            </w:r>
          </w:p>
        </w:tc>
        <w:tc>
          <w:tcPr>
            <w:tcW w:w="7560" w:type="dxa"/>
            <w:noWrap/>
            <w:vAlign w:val="center"/>
            <w:hideMark/>
          </w:tcPr>
          <w:p w14:paraId="63ACEF0B" w14:textId="77777777" w:rsidR="00595F71" w:rsidRPr="00E97D2C" w:rsidRDefault="00595F71" w:rsidP="00696E8F">
            <w:pPr>
              <w:rPr>
                <w:rFonts w:cs="Arial"/>
                <w:color w:val="000000"/>
              </w:rPr>
            </w:pPr>
            <w:r w:rsidRPr="00E97D2C">
              <w:rPr>
                <w:rFonts w:cs="Arial"/>
                <w:color w:val="000000"/>
              </w:rPr>
              <w:t>Bypass Esophagus to Ileum with Autologous Tissue Substitute, Open Approach</w:t>
            </w:r>
          </w:p>
        </w:tc>
      </w:tr>
      <w:tr w:rsidR="00595F71" w:rsidRPr="00E97D2C" w14:paraId="5EF8BFDC" w14:textId="77777777" w:rsidTr="00696E8F">
        <w:trPr>
          <w:trHeight w:val="300"/>
        </w:trPr>
        <w:tc>
          <w:tcPr>
            <w:tcW w:w="1872" w:type="dxa"/>
            <w:noWrap/>
            <w:vAlign w:val="center"/>
            <w:hideMark/>
          </w:tcPr>
          <w:p w14:paraId="59880AC1" w14:textId="77777777" w:rsidR="00595F71" w:rsidRPr="00E97D2C" w:rsidRDefault="00595F71" w:rsidP="00696E8F">
            <w:pPr>
              <w:rPr>
                <w:rFonts w:cs="Arial"/>
                <w:color w:val="000000"/>
              </w:rPr>
            </w:pPr>
            <w:r w:rsidRPr="00E97D2C">
              <w:rPr>
                <w:rFonts w:cs="Arial"/>
                <w:color w:val="000000"/>
              </w:rPr>
              <w:t>0D150J4</w:t>
            </w:r>
          </w:p>
        </w:tc>
        <w:tc>
          <w:tcPr>
            <w:tcW w:w="7560" w:type="dxa"/>
            <w:noWrap/>
            <w:vAlign w:val="center"/>
            <w:hideMark/>
          </w:tcPr>
          <w:p w14:paraId="53116FBE" w14:textId="77777777" w:rsidR="00595F71" w:rsidRPr="00E97D2C" w:rsidRDefault="00595F71" w:rsidP="00696E8F">
            <w:pPr>
              <w:rPr>
                <w:rFonts w:cs="Arial"/>
                <w:color w:val="000000"/>
              </w:rPr>
            </w:pPr>
            <w:r w:rsidRPr="00E97D2C">
              <w:rPr>
                <w:rFonts w:cs="Arial"/>
                <w:color w:val="000000"/>
              </w:rPr>
              <w:t>Bypass Esophagus to Cutaneous with Synthetic Substitute, Open Approach</w:t>
            </w:r>
          </w:p>
        </w:tc>
      </w:tr>
      <w:tr w:rsidR="00595F71" w:rsidRPr="00E97D2C" w14:paraId="7C34D746" w14:textId="77777777" w:rsidTr="00696E8F">
        <w:trPr>
          <w:trHeight w:val="300"/>
        </w:trPr>
        <w:tc>
          <w:tcPr>
            <w:tcW w:w="1872" w:type="dxa"/>
            <w:noWrap/>
            <w:vAlign w:val="center"/>
            <w:hideMark/>
          </w:tcPr>
          <w:p w14:paraId="07E55416" w14:textId="77777777" w:rsidR="00595F71" w:rsidRPr="00E97D2C" w:rsidRDefault="00595F71" w:rsidP="00696E8F">
            <w:pPr>
              <w:rPr>
                <w:rFonts w:cs="Arial"/>
                <w:color w:val="000000"/>
              </w:rPr>
            </w:pPr>
            <w:r w:rsidRPr="00E97D2C">
              <w:rPr>
                <w:rFonts w:cs="Arial"/>
                <w:color w:val="000000"/>
              </w:rPr>
              <w:t>0D150J6</w:t>
            </w:r>
          </w:p>
        </w:tc>
        <w:tc>
          <w:tcPr>
            <w:tcW w:w="7560" w:type="dxa"/>
            <w:noWrap/>
            <w:vAlign w:val="center"/>
            <w:hideMark/>
          </w:tcPr>
          <w:p w14:paraId="03D77875" w14:textId="77777777" w:rsidR="00595F71" w:rsidRPr="00E97D2C" w:rsidRDefault="00595F71" w:rsidP="00696E8F">
            <w:pPr>
              <w:rPr>
                <w:rFonts w:cs="Arial"/>
                <w:color w:val="000000"/>
              </w:rPr>
            </w:pPr>
            <w:r w:rsidRPr="00E97D2C">
              <w:rPr>
                <w:rFonts w:cs="Arial"/>
                <w:color w:val="000000"/>
              </w:rPr>
              <w:t>Bypass Esophagus to Stomach with Synthetic Substitute, Open Approach</w:t>
            </w:r>
          </w:p>
        </w:tc>
      </w:tr>
      <w:tr w:rsidR="00595F71" w:rsidRPr="00E97D2C" w14:paraId="15D6002B" w14:textId="77777777" w:rsidTr="00696E8F">
        <w:trPr>
          <w:trHeight w:val="300"/>
        </w:trPr>
        <w:tc>
          <w:tcPr>
            <w:tcW w:w="1872" w:type="dxa"/>
            <w:noWrap/>
            <w:vAlign w:val="center"/>
            <w:hideMark/>
          </w:tcPr>
          <w:p w14:paraId="1233902B" w14:textId="77777777" w:rsidR="00595F71" w:rsidRPr="00E97D2C" w:rsidRDefault="00595F71" w:rsidP="00696E8F">
            <w:pPr>
              <w:rPr>
                <w:rFonts w:cs="Arial"/>
                <w:color w:val="000000"/>
              </w:rPr>
            </w:pPr>
            <w:r w:rsidRPr="00E97D2C">
              <w:rPr>
                <w:rFonts w:cs="Arial"/>
                <w:color w:val="000000"/>
              </w:rPr>
              <w:t>0D150J9</w:t>
            </w:r>
          </w:p>
        </w:tc>
        <w:tc>
          <w:tcPr>
            <w:tcW w:w="7560" w:type="dxa"/>
            <w:noWrap/>
            <w:vAlign w:val="center"/>
            <w:hideMark/>
          </w:tcPr>
          <w:p w14:paraId="5F2E7F49" w14:textId="77777777" w:rsidR="00595F71" w:rsidRPr="00E97D2C" w:rsidRDefault="00595F71" w:rsidP="00696E8F">
            <w:pPr>
              <w:rPr>
                <w:rFonts w:cs="Arial"/>
                <w:color w:val="000000"/>
              </w:rPr>
            </w:pPr>
            <w:r w:rsidRPr="00E97D2C">
              <w:rPr>
                <w:rFonts w:cs="Arial"/>
                <w:color w:val="000000"/>
              </w:rPr>
              <w:t>Bypass Esophagus to Duodenum with Synthetic Substitute, Open Approach</w:t>
            </w:r>
          </w:p>
        </w:tc>
      </w:tr>
      <w:tr w:rsidR="00595F71" w:rsidRPr="00E97D2C" w14:paraId="1371614B" w14:textId="77777777" w:rsidTr="00696E8F">
        <w:trPr>
          <w:trHeight w:val="300"/>
        </w:trPr>
        <w:tc>
          <w:tcPr>
            <w:tcW w:w="1872" w:type="dxa"/>
            <w:noWrap/>
            <w:vAlign w:val="center"/>
            <w:hideMark/>
          </w:tcPr>
          <w:p w14:paraId="4DD133A2" w14:textId="77777777" w:rsidR="00595F71" w:rsidRPr="00E97D2C" w:rsidRDefault="00595F71" w:rsidP="00696E8F">
            <w:pPr>
              <w:rPr>
                <w:rFonts w:cs="Arial"/>
                <w:color w:val="000000"/>
              </w:rPr>
            </w:pPr>
            <w:r w:rsidRPr="00E97D2C">
              <w:rPr>
                <w:rFonts w:cs="Arial"/>
                <w:color w:val="000000"/>
              </w:rPr>
              <w:t>0D150JA</w:t>
            </w:r>
          </w:p>
        </w:tc>
        <w:tc>
          <w:tcPr>
            <w:tcW w:w="7560" w:type="dxa"/>
            <w:noWrap/>
            <w:vAlign w:val="center"/>
            <w:hideMark/>
          </w:tcPr>
          <w:p w14:paraId="6DB6A8AA" w14:textId="77777777" w:rsidR="00595F71" w:rsidRPr="00E97D2C" w:rsidRDefault="00595F71" w:rsidP="00696E8F">
            <w:pPr>
              <w:rPr>
                <w:rFonts w:cs="Arial"/>
                <w:color w:val="000000"/>
              </w:rPr>
            </w:pPr>
            <w:r w:rsidRPr="00E97D2C">
              <w:rPr>
                <w:rFonts w:cs="Arial"/>
                <w:color w:val="000000"/>
              </w:rPr>
              <w:t>Bypass Esophagus to Jejunum with Synthetic Substitute, Open Approach</w:t>
            </w:r>
          </w:p>
        </w:tc>
      </w:tr>
      <w:tr w:rsidR="00595F71" w:rsidRPr="00E97D2C" w14:paraId="5AFCC70A" w14:textId="77777777" w:rsidTr="00696E8F">
        <w:trPr>
          <w:trHeight w:val="300"/>
        </w:trPr>
        <w:tc>
          <w:tcPr>
            <w:tcW w:w="1872" w:type="dxa"/>
            <w:noWrap/>
            <w:vAlign w:val="center"/>
            <w:hideMark/>
          </w:tcPr>
          <w:p w14:paraId="7FAE447F" w14:textId="77777777" w:rsidR="00595F71" w:rsidRPr="00E97D2C" w:rsidRDefault="00595F71" w:rsidP="00696E8F">
            <w:pPr>
              <w:rPr>
                <w:rFonts w:cs="Arial"/>
                <w:color w:val="000000"/>
              </w:rPr>
            </w:pPr>
            <w:r w:rsidRPr="00E97D2C">
              <w:rPr>
                <w:rFonts w:cs="Arial"/>
                <w:color w:val="000000"/>
              </w:rPr>
              <w:t>0D150JB</w:t>
            </w:r>
          </w:p>
        </w:tc>
        <w:tc>
          <w:tcPr>
            <w:tcW w:w="7560" w:type="dxa"/>
            <w:noWrap/>
            <w:vAlign w:val="center"/>
            <w:hideMark/>
          </w:tcPr>
          <w:p w14:paraId="5B86BC90" w14:textId="77777777" w:rsidR="00595F71" w:rsidRPr="00E97D2C" w:rsidRDefault="00595F71" w:rsidP="00696E8F">
            <w:pPr>
              <w:rPr>
                <w:rFonts w:cs="Arial"/>
                <w:color w:val="000000"/>
              </w:rPr>
            </w:pPr>
            <w:r w:rsidRPr="00E97D2C">
              <w:rPr>
                <w:rFonts w:cs="Arial"/>
                <w:color w:val="000000"/>
              </w:rPr>
              <w:t>Bypass Esophagus to Ileum with Synthetic Substitute, Open Approach</w:t>
            </w:r>
          </w:p>
        </w:tc>
      </w:tr>
      <w:tr w:rsidR="00595F71" w:rsidRPr="00E97D2C" w14:paraId="07F6393E" w14:textId="77777777" w:rsidTr="00696E8F">
        <w:trPr>
          <w:trHeight w:val="300"/>
        </w:trPr>
        <w:tc>
          <w:tcPr>
            <w:tcW w:w="1872" w:type="dxa"/>
            <w:noWrap/>
            <w:vAlign w:val="center"/>
            <w:hideMark/>
          </w:tcPr>
          <w:p w14:paraId="2E6CA599" w14:textId="77777777" w:rsidR="00595F71" w:rsidRPr="00E97D2C" w:rsidRDefault="00595F71" w:rsidP="00696E8F">
            <w:pPr>
              <w:rPr>
                <w:rFonts w:cs="Arial"/>
                <w:color w:val="000000"/>
              </w:rPr>
            </w:pPr>
            <w:r w:rsidRPr="00E97D2C">
              <w:rPr>
                <w:rFonts w:cs="Arial"/>
                <w:color w:val="000000"/>
              </w:rPr>
              <w:t>0D150K4</w:t>
            </w:r>
          </w:p>
        </w:tc>
        <w:tc>
          <w:tcPr>
            <w:tcW w:w="7560" w:type="dxa"/>
            <w:noWrap/>
            <w:vAlign w:val="center"/>
            <w:hideMark/>
          </w:tcPr>
          <w:p w14:paraId="1919A5B1" w14:textId="77777777" w:rsidR="00595F71" w:rsidRPr="00E97D2C" w:rsidRDefault="00595F71" w:rsidP="00696E8F">
            <w:pPr>
              <w:rPr>
                <w:rFonts w:cs="Arial"/>
                <w:color w:val="000000"/>
              </w:rPr>
            </w:pPr>
            <w:r w:rsidRPr="00E97D2C">
              <w:rPr>
                <w:rFonts w:cs="Arial"/>
                <w:color w:val="000000"/>
              </w:rPr>
              <w:t>Bypass Esophagus to Cutaneous with Nonautologous Tissue Substitute, Open Approach</w:t>
            </w:r>
          </w:p>
        </w:tc>
      </w:tr>
      <w:tr w:rsidR="00595F71" w:rsidRPr="00E97D2C" w14:paraId="61F5009E" w14:textId="77777777" w:rsidTr="00696E8F">
        <w:trPr>
          <w:trHeight w:val="300"/>
        </w:trPr>
        <w:tc>
          <w:tcPr>
            <w:tcW w:w="1872" w:type="dxa"/>
            <w:noWrap/>
            <w:vAlign w:val="center"/>
            <w:hideMark/>
          </w:tcPr>
          <w:p w14:paraId="0BFEAD02" w14:textId="77777777" w:rsidR="00595F71" w:rsidRPr="00E97D2C" w:rsidRDefault="00595F71" w:rsidP="00696E8F">
            <w:pPr>
              <w:rPr>
                <w:rFonts w:cs="Arial"/>
                <w:color w:val="000000"/>
              </w:rPr>
            </w:pPr>
            <w:r w:rsidRPr="00E97D2C">
              <w:rPr>
                <w:rFonts w:cs="Arial"/>
                <w:color w:val="000000"/>
              </w:rPr>
              <w:t>0D150K6</w:t>
            </w:r>
          </w:p>
        </w:tc>
        <w:tc>
          <w:tcPr>
            <w:tcW w:w="7560" w:type="dxa"/>
            <w:noWrap/>
            <w:vAlign w:val="center"/>
            <w:hideMark/>
          </w:tcPr>
          <w:p w14:paraId="443FE305" w14:textId="77777777" w:rsidR="00595F71" w:rsidRPr="00E97D2C" w:rsidRDefault="00595F71" w:rsidP="00696E8F">
            <w:pPr>
              <w:rPr>
                <w:rFonts w:cs="Arial"/>
                <w:color w:val="000000"/>
              </w:rPr>
            </w:pPr>
            <w:r w:rsidRPr="00E97D2C">
              <w:rPr>
                <w:rFonts w:cs="Arial"/>
                <w:color w:val="000000"/>
              </w:rPr>
              <w:t>Bypass Esophagus to Stomach with Nonautologous Tissue Substitute, Open Approach</w:t>
            </w:r>
          </w:p>
        </w:tc>
      </w:tr>
      <w:tr w:rsidR="00595F71" w:rsidRPr="00E97D2C" w14:paraId="0DA6C37E" w14:textId="77777777" w:rsidTr="00696E8F">
        <w:trPr>
          <w:trHeight w:val="300"/>
        </w:trPr>
        <w:tc>
          <w:tcPr>
            <w:tcW w:w="1872" w:type="dxa"/>
            <w:noWrap/>
            <w:vAlign w:val="center"/>
            <w:hideMark/>
          </w:tcPr>
          <w:p w14:paraId="0F25AA62" w14:textId="77777777" w:rsidR="00595F71" w:rsidRPr="00E97D2C" w:rsidRDefault="00595F71" w:rsidP="00696E8F">
            <w:pPr>
              <w:rPr>
                <w:rFonts w:cs="Arial"/>
                <w:color w:val="000000"/>
              </w:rPr>
            </w:pPr>
            <w:r w:rsidRPr="00E97D2C">
              <w:rPr>
                <w:rFonts w:cs="Arial"/>
                <w:color w:val="000000"/>
              </w:rPr>
              <w:t>0D150K9</w:t>
            </w:r>
          </w:p>
        </w:tc>
        <w:tc>
          <w:tcPr>
            <w:tcW w:w="7560" w:type="dxa"/>
            <w:noWrap/>
            <w:vAlign w:val="center"/>
            <w:hideMark/>
          </w:tcPr>
          <w:p w14:paraId="3306242E" w14:textId="77777777" w:rsidR="00595F71" w:rsidRPr="00E97D2C" w:rsidRDefault="00595F71" w:rsidP="00696E8F">
            <w:pPr>
              <w:rPr>
                <w:rFonts w:cs="Arial"/>
                <w:color w:val="000000"/>
              </w:rPr>
            </w:pPr>
            <w:r w:rsidRPr="00E97D2C">
              <w:rPr>
                <w:rFonts w:cs="Arial"/>
                <w:color w:val="000000"/>
              </w:rPr>
              <w:t>Bypass Esophagus to Duodenum with Nonautologous Tissue Substitute, Open Approach</w:t>
            </w:r>
          </w:p>
        </w:tc>
      </w:tr>
      <w:tr w:rsidR="00595F71" w:rsidRPr="00E97D2C" w14:paraId="7E398798" w14:textId="77777777" w:rsidTr="00696E8F">
        <w:trPr>
          <w:trHeight w:val="300"/>
        </w:trPr>
        <w:tc>
          <w:tcPr>
            <w:tcW w:w="1872" w:type="dxa"/>
            <w:noWrap/>
            <w:vAlign w:val="center"/>
            <w:hideMark/>
          </w:tcPr>
          <w:p w14:paraId="51A676E3" w14:textId="77777777" w:rsidR="00595F71" w:rsidRPr="00E97D2C" w:rsidRDefault="00595F71" w:rsidP="00696E8F">
            <w:pPr>
              <w:rPr>
                <w:rFonts w:cs="Arial"/>
                <w:color w:val="000000"/>
              </w:rPr>
            </w:pPr>
            <w:r w:rsidRPr="00E97D2C">
              <w:rPr>
                <w:rFonts w:cs="Arial"/>
                <w:color w:val="000000"/>
              </w:rPr>
              <w:t>0D150KA</w:t>
            </w:r>
          </w:p>
        </w:tc>
        <w:tc>
          <w:tcPr>
            <w:tcW w:w="7560" w:type="dxa"/>
            <w:noWrap/>
            <w:vAlign w:val="center"/>
            <w:hideMark/>
          </w:tcPr>
          <w:p w14:paraId="7A2BD28E" w14:textId="77777777" w:rsidR="00595F71" w:rsidRPr="00E97D2C" w:rsidRDefault="00595F71" w:rsidP="00696E8F">
            <w:pPr>
              <w:rPr>
                <w:rFonts w:cs="Arial"/>
                <w:color w:val="000000"/>
              </w:rPr>
            </w:pPr>
            <w:r w:rsidRPr="00E97D2C">
              <w:rPr>
                <w:rFonts w:cs="Arial"/>
                <w:color w:val="000000"/>
              </w:rPr>
              <w:t>Bypass Esophagus to Jejunum with Nonautologous Tissue Substitute, Open Approach</w:t>
            </w:r>
          </w:p>
        </w:tc>
      </w:tr>
      <w:tr w:rsidR="00595F71" w:rsidRPr="00E97D2C" w14:paraId="166F92BC" w14:textId="77777777" w:rsidTr="00696E8F">
        <w:trPr>
          <w:trHeight w:val="300"/>
        </w:trPr>
        <w:tc>
          <w:tcPr>
            <w:tcW w:w="1872" w:type="dxa"/>
            <w:noWrap/>
            <w:vAlign w:val="center"/>
            <w:hideMark/>
          </w:tcPr>
          <w:p w14:paraId="0013D5B9" w14:textId="77777777" w:rsidR="00595F71" w:rsidRPr="00E97D2C" w:rsidRDefault="00595F71" w:rsidP="00696E8F">
            <w:pPr>
              <w:rPr>
                <w:rFonts w:cs="Arial"/>
                <w:color w:val="000000"/>
              </w:rPr>
            </w:pPr>
            <w:r w:rsidRPr="00E97D2C">
              <w:rPr>
                <w:rFonts w:cs="Arial"/>
                <w:color w:val="000000"/>
              </w:rPr>
              <w:t>0D150KB</w:t>
            </w:r>
          </w:p>
        </w:tc>
        <w:tc>
          <w:tcPr>
            <w:tcW w:w="7560" w:type="dxa"/>
            <w:noWrap/>
            <w:vAlign w:val="center"/>
            <w:hideMark/>
          </w:tcPr>
          <w:p w14:paraId="13FAC54B" w14:textId="77777777" w:rsidR="00595F71" w:rsidRPr="00E97D2C" w:rsidRDefault="00595F71" w:rsidP="00696E8F">
            <w:pPr>
              <w:rPr>
                <w:rFonts w:cs="Arial"/>
                <w:color w:val="000000"/>
              </w:rPr>
            </w:pPr>
            <w:r w:rsidRPr="00E97D2C">
              <w:rPr>
                <w:rFonts w:cs="Arial"/>
                <w:color w:val="000000"/>
              </w:rPr>
              <w:t>Bypass Esophagus to Ileum with Nonautologous Tissue Substitute, Open Approach</w:t>
            </w:r>
          </w:p>
        </w:tc>
      </w:tr>
      <w:tr w:rsidR="00595F71" w:rsidRPr="00E97D2C" w14:paraId="697A4CCB" w14:textId="77777777" w:rsidTr="00696E8F">
        <w:trPr>
          <w:trHeight w:val="300"/>
        </w:trPr>
        <w:tc>
          <w:tcPr>
            <w:tcW w:w="1872" w:type="dxa"/>
            <w:noWrap/>
            <w:vAlign w:val="center"/>
            <w:hideMark/>
          </w:tcPr>
          <w:p w14:paraId="515CF82D" w14:textId="77777777" w:rsidR="00595F71" w:rsidRPr="00E97D2C" w:rsidRDefault="00595F71" w:rsidP="00696E8F">
            <w:pPr>
              <w:rPr>
                <w:rFonts w:cs="Arial"/>
                <w:color w:val="000000"/>
              </w:rPr>
            </w:pPr>
            <w:r w:rsidRPr="00E97D2C">
              <w:rPr>
                <w:rFonts w:cs="Arial"/>
                <w:color w:val="000000"/>
              </w:rPr>
              <w:t>0D150Z4</w:t>
            </w:r>
          </w:p>
        </w:tc>
        <w:tc>
          <w:tcPr>
            <w:tcW w:w="7560" w:type="dxa"/>
            <w:noWrap/>
            <w:vAlign w:val="center"/>
            <w:hideMark/>
          </w:tcPr>
          <w:p w14:paraId="76A9C1BC" w14:textId="77777777" w:rsidR="00595F71" w:rsidRPr="00E97D2C" w:rsidRDefault="00595F71" w:rsidP="00696E8F">
            <w:pPr>
              <w:rPr>
                <w:rFonts w:cs="Arial"/>
                <w:color w:val="000000"/>
              </w:rPr>
            </w:pPr>
            <w:r w:rsidRPr="00E97D2C">
              <w:rPr>
                <w:rFonts w:cs="Arial"/>
                <w:color w:val="000000"/>
              </w:rPr>
              <w:t>Bypass Esophagus to Cutaneous, Open Approach</w:t>
            </w:r>
          </w:p>
        </w:tc>
      </w:tr>
      <w:tr w:rsidR="00595F71" w:rsidRPr="00E97D2C" w14:paraId="02E0DDEB" w14:textId="77777777" w:rsidTr="00696E8F">
        <w:trPr>
          <w:trHeight w:val="300"/>
        </w:trPr>
        <w:tc>
          <w:tcPr>
            <w:tcW w:w="1872" w:type="dxa"/>
            <w:noWrap/>
            <w:vAlign w:val="center"/>
            <w:hideMark/>
          </w:tcPr>
          <w:p w14:paraId="13E0FF8F" w14:textId="77777777" w:rsidR="00595F71" w:rsidRPr="00E97D2C" w:rsidRDefault="00595F71" w:rsidP="00696E8F">
            <w:pPr>
              <w:rPr>
                <w:rFonts w:cs="Arial"/>
                <w:color w:val="000000"/>
              </w:rPr>
            </w:pPr>
            <w:r w:rsidRPr="00E97D2C">
              <w:rPr>
                <w:rFonts w:cs="Arial"/>
                <w:color w:val="000000"/>
              </w:rPr>
              <w:t>0D150Z6</w:t>
            </w:r>
          </w:p>
        </w:tc>
        <w:tc>
          <w:tcPr>
            <w:tcW w:w="7560" w:type="dxa"/>
            <w:noWrap/>
            <w:vAlign w:val="center"/>
            <w:hideMark/>
          </w:tcPr>
          <w:p w14:paraId="39B8D56F" w14:textId="77777777" w:rsidR="00595F71" w:rsidRPr="00E97D2C" w:rsidRDefault="00595F71" w:rsidP="00696E8F">
            <w:pPr>
              <w:rPr>
                <w:rFonts w:cs="Arial"/>
                <w:color w:val="000000"/>
              </w:rPr>
            </w:pPr>
            <w:r w:rsidRPr="00E97D2C">
              <w:rPr>
                <w:rFonts w:cs="Arial"/>
                <w:color w:val="000000"/>
              </w:rPr>
              <w:t>Bypass Esophagus to Stomach, Open Approach</w:t>
            </w:r>
          </w:p>
        </w:tc>
      </w:tr>
      <w:tr w:rsidR="00595F71" w:rsidRPr="00E97D2C" w14:paraId="73F39670" w14:textId="77777777" w:rsidTr="00696E8F">
        <w:trPr>
          <w:trHeight w:val="300"/>
        </w:trPr>
        <w:tc>
          <w:tcPr>
            <w:tcW w:w="1872" w:type="dxa"/>
            <w:noWrap/>
            <w:vAlign w:val="center"/>
            <w:hideMark/>
          </w:tcPr>
          <w:p w14:paraId="07AE24A4" w14:textId="77777777" w:rsidR="00595F71" w:rsidRPr="00E97D2C" w:rsidRDefault="00595F71" w:rsidP="00696E8F">
            <w:pPr>
              <w:rPr>
                <w:rFonts w:cs="Arial"/>
                <w:color w:val="000000"/>
              </w:rPr>
            </w:pPr>
            <w:r w:rsidRPr="00E97D2C">
              <w:rPr>
                <w:rFonts w:cs="Arial"/>
                <w:color w:val="000000"/>
              </w:rPr>
              <w:t>0D150Z9</w:t>
            </w:r>
          </w:p>
        </w:tc>
        <w:tc>
          <w:tcPr>
            <w:tcW w:w="7560" w:type="dxa"/>
            <w:noWrap/>
            <w:vAlign w:val="center"/>
            <w:hideMark/>
          </w:tcPr>
          <w:p w14:paraId="3EC057C2" w14:textId="77777777" w:rsidR="00595F71" w:rsidRPr="00E97D2C" w:rsidRDefault="00595F71" w:rsidP="00696E8F">
            <w:pPr>
              <w:rPr>
                <w:rFonts w:cs="Arial"/>
                <w:color w:val="000000"/>
              </w:rPr>
            </w:pPr>
            <w:r w:rsidRPr="00E97D2C">
              <w:rPr>
                <w:rFonts w:cs="Arial"/>
                <w:color w:val="000000"/>
              </w:rPr>
              <w:t>Bypass Esophagus to Duodenum, Open Approach</w:t>
            </w:r>
          </w:p>
        </w:tc>
      </w:tr>
      <w:tr w:rsidR="00595F71" w:rsidRPr="00E97D2C" w14:paraId="4FDC7F68" w14:textId="77777777" w:rsidTr="00696E8F">
        <w:trPr>
          <w:trHeight w:val="300"/>
        </w:trPr>
        <w:tc>
          <w:tcPr>
            <w:tcW w:w="1872" w:type="dxa"/>
            <w:noWrap/>
            <w:vAlign w:val="center"/>
            <w:hideMark/>
          </w:tcPr>
          <w:p w14:paraId="62DF49F6" w14:textId="77777777" w:rsidR="00595F71" w:rsidRPr="00E97D2C" w:rsidRDefault="00595F71" w:rsidP="00696E8F">
            <w:pPr>
              <w:rPr>
                <w:rFonts w:cs="Arial"/>
                <w:color w:val="000000"/>
              </w:rPr>
            </w:pPr>
            <w:r w:rsidRPr="00E97D2C">
              <w:rPr>
                <w:rFonts w:cs="Arial"/>
                <w:color w:val="000000"/>
              </w:rPr>
              <w:lastRenderedPageBreak/>
              <w:t>0D150ZA</w:t>
            </w:r>
          </w:p>
        </w:tc>
        <w:tc>
          <w:tcPr>
            <w:tcW w:w="7560" w:type="dxa"/>
            <w:noWrap/>
            <w:vAlign w:val="center"/>
            <w:hideMark/>
          </w:tcPr>
          <w:p w14:paraId="2B254533" w14:textId="77777777" w:rsidR="00595F71" w:rsidRPr="00E97D2C" w:rsidRDefault="00595F71" w:rsidP="00696E8F">
            <w:pPr>
              <w:rPr>
                <w:rFonts w:cs="Arial"/>
                <w:color w:val="000000"/>
              </w:rPr>
            </w:pPr>
            <w:r w:rsidRPr="00E97D2C">
              <w:rPr>
                <w:rFonts w:cs="Arial"/>
                <w:color w:val="000000"/>
              </w:rPr>
              <w:t>Bypass Esophagus to Jejunum, Open Approach</w:t>
            </w:r>
          </w:p>
        </w:tc>
      </w:tr>
      <w:tr w:rsidR="00595F71" w:rsidRPr="00E97D2C" w14:paraId="0978BD40" w14:textId="77777777" w:rsidTr="00696E8F">
        <w:trPr>
          <w:trHeight w:val="300"/>
        </w:trPr>
        <w:tc>
          <w:tcPr>
            <w:tcW w:w="1872" w:type="dxa"/>
            <w:noWrap/>
            <w:vAlign w:val="center"/>
            <w:hideMark/>
          </w:tcPr>
          <w:p w14:paraId="5910965E" w14:textId="77777777" w:rsidR="00595F71" w:rsidRPr="00E97D2C" w:rsidRDefault="00595F71" w:rsidP="00696E8F">
            <w:pPr>
              <w:rPr>
                <w:rFonts w:cs="Arial"/>
                <w:color w:val="000000"/>
              </w:rPr>
            </w:pPr>
            <w:r w:rsidRPr="00E97D2C">
              <w:rPr>
                <w:rFonts w:cs="Arial"/>
                <w:color w:val="000000"/>
              </w:rPr>
              <w:t>0D150ZB</w:t>
            </w:r>
          </w:p>
        </w:tc>
        <w:tc>
          <w:tcPr>
            <w:tcW w:w="7560" w:type="dxa"/>
            <w:noWrap/>
            <w:vAlign w:val="center"/>
            <w:hideMark/>
          </w:tcPr>
          <w:p w14:paraId="6C6568F7" w14:textId="77777777" w:rsidR="00595F71" w:rsidRPr="00E97D2C" w:rsidRDefault="00595F71" w:rsidP="00696E8F">
            <w:pPr>
              <w:rPr>
                <w:rFonts w:cs="Arial"/>
                <w:color w:val="000000"/>
              </w:rPr>
            </w:pPr>
            <w:r w:rsidRPr="00E97D2C">
              <w:rPr>
                <w:rFonts w:cs="Arial"/>
                <w:color w:val="000000"/>
              </w:rPr>
              <w:t>Bypass Esophagus to Ileum, Open Approach</w:t>
            </w:r>
          </w:p>
        </w:tc>
      </w:tr>
      <w:tr w:rsidR="00595F71" w:rsidRPr="00E97D2C" w14:paraId="16B1F192" w14:textId="77777777" w:rsidTr="00696E8F">
        <w:trPr>
          <w:trHeight w:val="300"/>
        </w:trPr>
        <w:tc>
          <w:tcPr>
            <w:tcW w:w="1872" w:type="dxa"/>
            <w:noWrap/>
            <w:vAlign w:val="center"/>
            <w:hideMark/>
          </w:tcPr>
          <w:p w14:paraId="7800FAEA" w14:textId="77777777" w:rsidR="00595F71" w:rsidRPr="00E97D2C" w:rsidRDefault="00595F71" w:rsidP="00696E8F">
            <w:pPr>
              <w:rPr>
                <w:rFonts w:cs="Arial"/>
                <w:color w:val="000000"/>
              </w:rPr>
            </w:pPr>
            <w:r w:rsidRPr="00E97D2C">
              <w:rPr>
                <w:rFonts w:cs="Arial"/>
                <w:color w:val="000000"/>
              </w:rPr>
              <w:t>0D153J4</w:t>
            </w:r>
          </w:p>
        </w:tc>
        <w:tc>
          <w:tcPr>
            <w:tcW w:w="7560" w:type="dxa"/>
            <w:noWrap/>
            <w:vAlign w:val="center"/>
            <w:hideMark/>
          </w:tcPr>
          <w:p w14:paraId="58A6EBD3" w14:textId="77777777" w:rsidR="00595F71" w:rsidRPr="00E97D2C" w:rsidRDefault="00595F71" w:rsidP="00696E8F">
            <w:pPr>
              <w:rPr>
                <w:rFonts w:cs="Arial"/>
                <w:color w:val="000000"/>
              </w:rPr>
            </w:pPr>
            <w:r w:rsidRPr="00E97D2C">
              <w:rPr>
                <w:rFonts w:cs="Arial"/>
                <w:color w:val="000000"/>
              </w:rPr>
              <w:t>Bypass Esophagus to Cutaneous with Synthetic Substitute, Percutaneous Approach</w:t>
            </w:r>
          </w:p>
        </w:tc>
      </w:tr>
      <w:tr w:rsidR="00595F71" w:rsidRPr="00E97D2C" w14:paraId="3897E7A0" w14:textId="77777777" w:rsidTr="00696E8F">
        <w:trPr>
          <w:trHeight w:val="300"/>
        </w:trPr>
        <w:tc>
          <w:tcPr>
            <w:tcW w:w="1872" w:type="dxa"/>
            <w:noWrap/>
            <w:vAlign w:val="center"/>
            <w:hideMark/>
          </w:tcPr>
          <w:p w14:paraId="438D2171" w14:textId="77777777" w:rsidR="00595F71" w:rsidRPr="00E97D2C" w:rsidRDefault="00595F71" w:rsidP="00696E8F">
            <w:pPr>
              <w:rPr>
                <w:rFonts w:cs="Arial"/>
                <w:color w:val="000000"/>
              </w:rPr>
            </w:pPr>
            <w:r w:rsidRPr="00E97D2C">
              <w:rPr>
                <w:rFonts w:cs="Arial"/>
                <w:color w:val="000000"/>
              </w:rPr>
              <w:t>0D15474</w:t>
            </w:r>
          </w:p>
        </w:tc>
        <w:tc>
          <w:tcPr>
            <w:tcW w:w="7560" w:type="dxa"/>
            <w:noWrap/>
            <w:vAlign w:val="center"/>
            <w:hideMark/>
          </w:tcPr>
          <w:p w14:paraId="1848B6C2" w14:textId="77777777" w:rsidR="00595F71" w:rsidRPr="00E97D2C" w:rsidRDefault="00595F71" w:rsidP="00696E8F">
            <w:pPr>
              <w:rPr>
                <w:rFonts w:cs="Arial"/>
                <w:color w:val="000000"/>
              </w:rPr>
            </w:pPr>
            <w:r w:rsidRPr="00E97D2C">
              <w:rPr>
                <w:rFonts w:cs="Arial"/>
                <w:color w:val="000000"/>
              </w:rPr>
              <w:t>Bypass Esophagus to Cutaneous with Autologous Tissue Substitute, Percutaneous Endoscopic Approach</w:t>
            </w:r>
          </w:p>
        </w:tc>
      </w:tr>
      <w:tr w:rsidR="00595F71" w:rsidRPr="00E97D2C" w14:paraId="0EF2A94E" w14:textId="77777777" w:rsidTr="00696E8F">
        <w:trPr>
          <w:trHeight w:val="300"/>
        </w:trPr>
        <w:tc>
          <w:tcPr>
            <w:tcW w:w="1872" w:type="dxa"/>
            <w:noWrap/>
            <w:vAlign w:val="center"/>
            <w:hideMark/>
          </w:tcPr>
          <w:p w14:paraId="369DB2FA" w14:textId="77777777" w:rsidR="00595F71" w:rsidRPr="00E97D2C" w:rsidRDefault="00595F71" w:rsidP="00696E8F">
            <w:pPr>
              <w:rPr>
                <w:rFonts w:cs="Arial"/>
                <w:color w:val="000000"/>
              </w:rPr>
            </w:pPr>
            <w:r w:rsidRPr="00E97D2C">
              <w:rPr>
                <w:rFonts w:cs="Arial"/>
                <w:color w:val="000000"/>
              </w:rPr>
              <w:t>0D15476</w:t>
            </w:r>
          </w:p>
        </w:tc>
        <w:tc>
          <w:tcPr>
            <w:tcW w:w="7560" w:type="dxa"/>
            <w:noWrap/>
            <w:vAlign w:val="center"/>
            <w:hideMark/>
          </w:tcPr>
          <w:p w14:paraId="5AE7F018" w14:textId="77777777" w:rsidR="00595F71" w:rsidRPr="00E97D2C" w:rsidRDefault="00595F71" w:rsidP="00696E8F">
            <w:pPr>
              <w:rPr>
                <w:rFonts w:cs="Arial"/>
                <w:color w:val="000000"/>
              </w:rPr>
            </w:pPr>
            <w:r w:rsidRPr="00E97D2C">
              <w:rPr>
                <w:rFonts w:cs="Arial"/>
                <w:color w:val="000000"/>
              </w:rPr>
              <w:t>Bypass Esophagus to Stomach with Autologous Tissue Substitute, Percutaneous Endoscopic Approach</w:t>
            </w:r>
          </w:p>
        </w:tc>
      </w:tr>
      <w:tr w:rsidR="00595F71" w:rsidRPr="00E97D2C" w14:paraId="089B52A5" w14:textId="77777777" w:rsidTr="00696E8F">
        <w:trPr>
          <w:trHeight w:val="300"/>
        </w:trPr>
        <w:tc>
          <w:tcPr>
            <w:tcW w:w="1872" w:type="dxa"/>
            <w:noWrap/>
            <w:vAlign w:val="center"/>
            <w:hideMark/>
          </w:tcPr>
          <w:p w14:paraId="0E55CDFC" w14:textId="77777777" w:rsidR="00595F71" w:rsidRPr="00E97D2C" w:rsidRDefault="00595F71" w:rsidP="00696E8F">
            <w:pPr>
              <w:rPr>
                <w:rFonts w:cs="Arial"/>
                <w:color w:val="000000"/>
              </w:rPr>
            </w:pPr>
            <w:r w:rsidRPr="00E97D2C">
              <w:rPr>
                <w:rFonts w:cs="Arial"/>
                <w:color w:val="000000"/>
              </w:rPr>
              <w:t>0D15479</w:t>
            </w:r>
          </w:p>
        </w:tc>
        <w:tc>
          <w:tcPr>
            <w:tcW w:w="7560" w:type="dxa"/>
            <w:noWrap/>
            <w:vAlign w:val="center"/>
            <w:hideMark/>
          </w:tcPr>
          <w:p w14:paraId="0CCBFC50" w14:textId="77777777" w:rsidR="00595F71" w:rsidRPr="00E97D2C" w:rsidRDefault="00595F71" w:rsidP="00696E8F">
            <w:pPr>
              <w:rPr>
                <w:rFonts w:cs="Arial"/>
                <w:color w:val="000000"/>
              </w:rPr>
            </w:pPr>
            <w:r w:rsidRPr="00E97D2C">
              <w:rPr>
                <w:rFonts w:cs="Arial"/>
                <w:color w:val="000000"/>
              </w:rPr>
              <w:t>Bypass Esophagus to Duodenum with Autologous Tissue Substitute, Percutaneous Endoscopic Approach</w:t>
            </w:r>
          </w:p>
        </w:tc>
      </w:tr>
      <w:tr w:rsidR="00595F71" w:rsidRPr="00E97D2C" w14:paraId="732FA61C" w14:textId="77777777" w:rsidTr="00696E8F">
        <w:trPr>
          <w:trHeight w:val="300"/>
        </w:trPr>
        <w:tc>
          <w:tcPr>
            <w:tcW w:w="1872" w:type="dxa"/>
            <w:noWrap/>
            <w:vAlign w:val="center"/>
            <w:hideMark/>
          </w:tcPr>
          <w:p w14:paraId="49BE45A7" w14:textId="77777777" w:rsidR="00595F71" w:rsidRPr="00E97D2C" w:rsidRDefault="00595F71" w:rsidP="00696E8F">
            <w:pPr>
              <w:rPr>
                <w:rFonts w:cs="Arial"/>
                <w:color w:val="000000"/>
              </w:rPr>
            </w:pPr>
            <w:r w:rsidRPr="00E97D2C">
              <w:rPr>
                <w:rFonts w:cs="Arial"/>
                <w:color w:val="000000"/>
              </w:rPr>
              <w:t>0D1547A</w:t>
            </w:r>
          </w:p>
        </w:tc>
        <w:tc>
          <w:tcPr>
            <w:tcW w:w="7560" w:type="dxa"/>
            <w:noWrap/>
            <w:vAlign w:val="center"/>
            <w:hideMark/>
          </w:tcPr>
          <w:p w14:paraId="2382FCF9" w14:textId="77777777" w:rsidR="00595F71" w:rsidRPr="00E97D2C" w:rsidRDefault="00595F71" w:rsidP="00696E8F">
            <w:pPr>
              <w:rPr>
                <w:rFonts w:cs="Arial"/>
                <w:color w:val="000000"/>
              </w:rPr>
            </w:pPr>
            <w:r w:rsidRPr="00E97D2C">
              <w:rPr>
                <w:rFonts w:cs="Arial"/>
                <w:color w:val="000000"/>
              </w:rPr>
              <w:t>Bypass Esophagus to Jejunum with Autologous Tissue Substitute, Percutaneous Endoscopic Approach</w:t>
            </w:r>
          </w:p>
        </w:tc>
      </w:tr>
      <w:tr w:rsidR="00595F71" w:rsidRPr="00E97D2C" w14:paraId="64CD3F07" w14:textId="77777777" w:rsidTr="00696E8F">
        <w:trPr>
          <w:trHeight w:val="300"/>
        </w:trPr>
        <w:tc>
          <w:tcPr>
            <w:tcW w:w="1872" w:type="dxa"/>
            <w:noWrap/>
            <w:vAlign w:val="center"/>
            <w:hideMark/>
          </w:tcPr>
          <w:p w14:paraId="06046F38" w14:textId="77777777" w:rsidR="00595F71" w:rsidRPr="00E97D2C" w:rsidRDefault="00595F71" w:rsidP="00696E8F">
            <w:pPr>
              <w:rPr>
                <w:rFonts w:cs="Arial"/>
                <w:color w:val="000000"/>
              </w:rPr>
            </w:pPr>
            <w:r w:rsidRPr="00E97D2C">
              <w:rPr>
                <w:rFonts w:cs="Arial"/>
                <w:color w:val="000000"/>
              </w:rPr>
              <w:t>0D1547B</w:t>
            </w:r>
          </w:p>
        </w:tc>
        <w:tc>
          <w:tcPr>
            <w:tcW w:w="7560" w:type="dxa"/>
            <w:noWrap/>
            <w:vAlign w:val="center"/>
            <w:hideMark/>
          </w:tcPr>
          <w:p w14:paraId="732B724F" w14:textId="77777777" w:rsidR="00595F71" w:rsidRPr="00E97D2C" w:rsidRDefault="00595F71" w:rsidP="00696E8F">
            <w:pPr>
              <w:rPr>
                <w:rFonts w:cs="Arial"/>
                <w:color w:val="000000"/>
              </w:rPr>
            </w:pPr>
            <w:r w:rsidRPr="00E97D2C">
              <w:rPr>
                <w:rFonts w:cs="Arial"/>
                <w:color w:val="000000"/>
              </w:rPr>
              <w:t>Bypass Esophagus to Ileum with Autologous Tissue Substitute, Percutaneous Endoscopic Approach</w:t>
            </w:r>
          </w:p>
        </w:tc>
      </w:tr>
      <w:tr w:rsidR="00595F71" w:rsidRPr="00E97D2C" w14:paraId="0561F6D4" w14:textId="77777777" w:rsidTr="00696E8F">
        <w:trPr>
          <w:trHeight w:val="300"/>
        </w:trPr>
        <w:tc>
          <w:tcPr>
            <w:tcW w:w="1872" w:type="dxa"/>
            <w:noWrap/>
            <w:vAlign w:val="center"/>
            <w:hideMark/>
          </w:tcPr>
          <w:p w14:paraId="30F7D2F9" w14:textId="77777777" w:rsidR="00595F71" w:rsidRPr="00E97D2C" w:rsidRDefault="00595F71" w:rsidP="00696E8F">
            <w:pPr>
              <w:rPr>
                <w:rFonts w:cs="Arial"/>
                <w:color w:val="000000"/>
              </w:rPr>
            </w:pPr>
            <w:r w:rsidRPr="00E97D2C">
              <w:rPr>
                <w:rFonts w:cs="Arial"/>
                <w:color w:val="000000"/>
              </w:rPr>
              <w:t>0D154J4</w:t>
            </w:r>
          </w:p>
        </w:tc>
        <w:tc>
          <w:tcPr>
            <w:tcW w:w="7560" w:type="dxa"/>
            <w:noWrap/>
            <w:vAlign w:val="center"/>
            <w:hideMark/>
          </w:tcPr>
          <w:p w14:paraId="2E6575B9" w14:textId="77777777" w:rsidR="00595F71" w:rsidRPr="00E97D2C" w:rsidRDefault="00595F71" w:rsidP="00696E8F">
            <w:pPr>
              <w:rPr>
                <w:rFonts w:cs="Arial"/>
                <w:color w:val="000000"/>
              </w:rPr>
            </w:pPr>
            <w:r w:rsidRPr="00E97D2C">
              <w:rPr>
                <w:rFonts w:cs="Arial"/>
                <w:color w:val="000000"/>
              </w:rPr>
              <w:t>Bypass Esophagus to Cutaneous with Synthetic Substitute, Percutaneous Endoscopic Approach</w:t>
            </w:r>
          </w:p>
        </w:tc>
      </w:tr>
      <w:tr w:rsidR="00595F71" w:rsidRPr="00E97D2C" w14:paraId="2062D0C2" w14:textId="77777777" w:rsidTr="00696E8F">
        <w:trPr>
          <w:trHeight w:val="300"/>
        </w:trPr>
        <w:tc>
          <w:tcPr>
            <w:tcW w:w="1872" w:type="dxa"/>
            <w:noWrap/>
            <w:vAlign w:val="center"/>
            <w:hideMark/>
          </w:tcPr>
          <w:p w14:paraId="1A46D479" w14:textId="77777777" w:rsidR="00595F71" w:rsidRPr="00E97D2C" w:rsidRDefault="00595F71" w:rsidP="00696E8F">
            <w:pPr>
              <w:rPr>
                <w:rFonts w:cs="Arial"/>
                <w:color w:val="000000"/>
              </w:rPr>
            </w:pPr>
            <w:r w:rsidRPr="00E97D2C">
              <w:rPr>
                <w:rFonts w:cs="Arial"/>
                <w:color w:val="000000"/>
              </w:rPr>
              <w:t>0D154J6</w:t>
            </w:r>
          </w:p>
        </w:tc>
        <w:tc>
          <w:tcPr>
            <w:tcW w:w="7560" w:type="dxa"/>
            <w:noWrap/>
            <w:vAlign w:val="center"/>
            <w:hideMark/>
          </w:tcPr>
          <w:p w14:paraId="2A51D4F0" w14:textId="77777777" w:rsidR="00595F71" w:rsidRPr="00E97D2C" w:rsidRDefault="00595F71" w:rsidP="00696E8F">
            <w:pPr>
              <w:rPr>
                <w:rFonts w:cs="Arial"/>
                <w:color w:val="000000"/>
              </w:rPr>
            </w:pPr>
            <w:r w:rsidRPr="00E97D2C">
              <w:rPr>
                <w:rFonts w:cs="Arial"/>
                <w:color w:val="000000"/>
              </w:rPr>
              <w:t>Bypass Esophagus to Stomach with Synthetic Substitute, Percutaneous Endoscopic Approach</w:t>
            </w:r>
          </w:p>
        </w:tc>
      </w:tr>
      <w:tr w:rsidR="00595F71" w:rsidRPr="00E97D2C" w14:paraId="5B50012E" w14:textId="77777777" w:rsidTr="00696E8F">
        <w:trPr>
          <w:trHeight w:val="300"/>
        </w:trPr>
        <w:tc>
          <w:tcPr>
            <w:tcW w:w="1872" w:type="dxa"/>
            <w:noWrap/>
            <w:vAlign w:val="center"/>
            <w:hideMark/>
          </w:tcPr>
          <w:p w14:paraId="09EF6697" w14:textId="77777777" w:rsidR="00595F71" w:rsidRPr="00E97D2C" w:rsidRDefault="00595F71" w:rsidP="00696E8F">
            <w:pPr>
              <w:rPr>
                <w:rFonts w:cs="Arial"/>
                <w:color w:val="000000"/>
              </w:rPr>
            </w:pPr>
            <w:r w:rsidRPr="00E97D2C">
              <w:rPr>
                <w:rFonts w:cs="Arial"/>
                <w:color w:val="000000"/>
              </w:rPr>
              <w:t>0D154J9</w:t>
            </w:r>
          </w:p>
        </w:tc>
        <w:tc>
          <w:tcPr>
            <w:tcW w:w="7560" w:type="dxa"/>
            <w:noWrap/>
            <w:vAlign w:val="center"/>
            <w:hideMark/>
          </w:tcPr>
          <w:p w14:paraId="403F669A" w14:textId="77777777" w:rsidR="00595F71" w:rsidRPr="00E97D2C" w:rsidRDefault="00595F71" w:rsidP="00696E8F">
            <w:pPr>
              <w:rPr>
                <w:rFonts w:cs="Arial"/>
                <w:color w:val="000000"/>
              </w:rPr>
            </w:pPr>
            <w:r w:rsidRPr="00E97D2C">
              <w:rPr>
                <w:rFonts w:cs="Arial"/>
                <w:color w:val="000000"/>
              </w:rPr>
              <w:t>Bypass Esophagus to Duodenum with Synthetic Substitute, Percutaneous Endoscopic Approach</w:t>
            </w:r>
          </w:p>
        </w:tc>
      </w:tr>
      <w:tr w:rsidR="00595F71" w:rsidRPr="00E97D2C" w14:paraId="7B93BD1F" w14:textId="77777777" w:rsidTr="00696E8F">
        <w:trPr>
          <w:trHeight w:val="300"/>
        </w:trPr>
        <w:tc>
          <w:tcPr>
            <w:tcW w:w="1872" w:type="dxa"/>
            <w:noWrap/>
            <w:vAlign w:val="center"/>
            <w:hideMark/>
          </w:tcPr>
          <w:p w14:paraId="274A1662" w14:textId="77777777" w:rsidR="00595F71" w:rsidRPr="00E97D2C" w:rsidRDefault="00595F71" w:rsidP="00696E8F">
            <w:pPr>
              <w:rPr>
                <w:rFonts w:cs="Arial"/>
                <w:color w:val="000000"/>
              </w:rPr>
            </w:pPr>
            <w:r w:rsidRPr="00E97D2C">
              <w:rPr>
                <w:rFonts w:cs="Arial"/>
                <w:color w:val="000000"/>
              </w:rPr>
              <w:t>0D154JA</w:t>
            </w:r>
          </w:p>
        </w:tc>
        <w:tc>
          <w:tcPr>
            <w:tcW w:w="7560" w:type="dxa"/>
            <w:noWrap/>
            <w:vAlign w:val="center"/>
            <w:hideMark/>
          </w:tcPr>
          <w:p w14:paraId="60496AD1" w14:textId="77777777" w:rsidR="00595F71" w:rsidRPr="00E97D2C" w:rsidRDefault="00595F71" w:rsidP="00696E8F">
            <w:pPr>
              <w:rPr>
                <w:rFonts w:cs="Arial"/>
                <w:color w:val="000000"/>
              </w:rPr>
            </w:pPr>
            <w:r w:rsidRPr="00E97D2C">
              <w:rPr>
                <w:rFonts w:cs="Arial"/>
                <w:color w:val="000000"/>
              </w:rPr>
              <w:t>Bypass Esophagus to Jejunum with Synthetic Substitute, Percutaneous Endoscopic Approach</w:t>
            </w:r>
          </w:p>
        </w:tc>
      </w:tr>
      <w:tr w:rsidR="00595F71" w:rsidRPr="00E97D2C" w14:paraId="2C7BD9F1" w14:textId="77777777" w:rsidTr="00696E8F">
        <w:trPr>
          <w:trHeight w:val="300"/>
        </w:trPr>
        <w:tc>
          <w:tcPr>
            <w:tcW w:w="1872" w:type="dxa"/>
            <w:noWrap/>
            <w:vAlign w:val="center"/>
            <w:hideMark/>
          </w:tcPr>
          <w:p w14:paraId="6DCB4F5C" w14:textId="77777777" w:rsidR="00595F71" w:rsidRPr="00E97D2C" w:rsidRDefault="00595F71" w:rsidP="00696E8F">
            <w:pPr>
              <w:rPr>
                <w:rFonts w:cs="Arial"/>
                <w:color w:val="000000"/>
              </w:rPr>
            </w:pPr>
            <w:r w:rsidRPr="00E97D2C">
              <w:rPr>
                <w:rFonts w:cs="Arial"/>
                <w:color w:val="000000"/>
              </w:rPr>
              <w:t>0D154JB</w:t>
            </w:r>
          </w:p>
        </w:tc>
        <w:tc>
          <w:tcPr>
            <w:tcW w:w="7560" w:type="dxa"/>
            <w:noWrap/>
            <w:vAlign w:val="center"/>
            <w:hideMark/>
          </w:tcPr>
          <w:p w14:paraId="2BB07B6D" w14:textId="77777777" w:rsidR="00595F71" w:rsidRPr="00E97D2C" w:rsidRDefault="00595F71" w:rsidP="00696E8F">
            <w:pPr>
              <w:rPr>
                <w:rFonts w:cs="Arial"/>
                <w:color w:val="000000"/>
              </w:rPr>
            </w:pPr>
            <w:r w:rsidRPr="00E97D2C">
              <w:rPr>
                <w:rFonts w:cs="Arial"/>
                <w:color w:val="000000"/>
              </w:rPr>
              <w:t>Bypass Esophagus to Ileum with Synthetic Substitute, Percutaneous Endoscopic Approach</w:t>
            </w:r>
          </w:p>
        </w:tc>
      </w:tr>
      <w:tr w:rsidR="00595F71" w:rsidRPr="00E97D2C" w14:paraId="4ACD479F" w14:textId="77777777" w:rsidTr="00696E8F">
        <w:trPr>
          <w:trHeight w:val="300"/>
        </w:trPr>
        <w:tc>
          <w:tcPr>
            <w:tcW w:w="1872" w:type="dxa"/>
            <w:noWrap/>
            <w:vAlign w:val="center"/>
            <w:hideMark/>
          </w:tcPr>
          <w:p w14:paraId="2664C81F" w14:textId="77777777" w:rsidR="00595F71" w:rsidRPr="00E97D2C" w:rsidRDefault="00595F71" w:rsidP="00696E8F">
            <w:pPr>
              <w:rPr>
                <w:rFonts w:cs="Arial"/>
                <w:color w:val="000000"/>
              </w:rPr>
            </w:pPr>
            <w:r w:rsidRPr="00E97D2C">
              <w:rPr>
                <w:rFonts w:cs="Arial"/>
                <w:color w:val="000000"/>
              </w:rPr>
              <w:t>0D154K4</w:t>
            </w:r>
          </w:p>
        </w:tc>
        <w:tc>
          <w:tcPr>
            <w:tcW w:w="7560" w:type="dxa"/>
            <w:noWrap/>
            <w:vAlign w:val="center"/>
            <w:hideMark/>
          </w:tcPr>
          <w:p w14:paraId="035E1160" w14:textId="77777777" w:rsidR="00595F71" w:rsidRPr="00E97D2C" w:rsidRDefault="00595F71" w:rsidP="00696E8F">
            <w:pPr>
              <w:rPr>
                <w:rFonts w:cs="Arial"/>
                <w:color w:val="000000"/>
              </w:rPr>
            </w:pPr>
            <w:r w:rsidRPr="00E97D2C">
              <w:rPr>
                <w:rFonts w:cs="Arial"/>
                <w:color w:val="000000"/>
              </w:rPr>
              <w:t>Bypass Esophagus to Cutaneous with Nonautologous Tissue Substitute, Percutaneous Endoscopic Approach</w:t>
            </w:r>
          </w:p>
        </w:tc>
      </w:tr>
      <w:tr w:rsidR="00595F71" w:rsidRPr="00E97D2C" w14:paraId="1FF9B7EB" w14:textId="77777777" w:rsidTr="00696E8F">
        <w:trPr>
          <w:trHeight w:val="300"/>
        </w:trPr>
        <w:tc>
          <w:tcPr>
            <w:tcW w:w="1872" w:type="dxa"/>
            <w:noWrap/>
            <w:vAlign w:val="center"/>
            <w:hideMark/>
          </w:tcPr>
          <w:p w14:paraId="40417DFF" w14:textId="77777777" w:rsidR="00595F71" w:rsidRPr="00E97D2C" w:rsidRDefault="00595F71" w:rsidP="00696E8F">
            <w:pPr>
              <w:rPr>
                <w:rFonts w:cs="Arial"/>
                <w:color w:val="000000"/>
              </w:rPr>
            </w:pPr>
            <w:r w:rsidRPr="00E97D2C">
              <w:rPr>
                <w:rFonts w:cs="Arial"/>
                <w:color w:val="000000"/>
              </w:rPr>
              <w:t>0D154K6</w:t>
            </w:r>
          </w:p>
        </w:tc>
        <w:tc>
          <w:tcPr>
            <w:tcW w:w="7560" w:type="dxa"/>
            <w:noWrap/>
            <w:vAlign w:val="center"/>
            <w:hideMark/>
          </w:tcPr>
          <w:p w14:paraId="2B8B744F" w14:textId="77777777" w:rsidR="00595F71" w:rsidRPr="00E97D2C" w:rsidRDefault="00595F71" w:rsidP="00696E8F">
            <w:pPr>
              <w:rPr>
                <w:rFonts w:cs="Arial"/>
                <w:color w:val="000000"/>
              </w:rPr>
            </w:pPr>
            <w:r w:rsidRPr="00E97D2C">
              <w:rPr>
                <w:rFonts w:cs="Arial"/>
                <w:color w:val="000000"/>
              </w:rPr>
              <w:t>Bypass Esophagus to Stomach with Nonautologous Tissue Substitute, Percutaneous Endoscopic Approach</w:t>
            </w:r>
          </w:p>
        </w:tc>
      </w:tr>
      <w:tr w:rsidR="00595F71" w:rsidRPr="00E97D2C" w14:paraId="5DF884D6" w14:textId="77777777" w:rsidTr="00696E8F">
        <w:trPr>
          <w:trHeight w:val="300"/>
        </w:trPr>
        <w:tc>
          <w:tcPr>
            <w:tcW w:w="1872" w:type="dxa"/>
            <w:noWrap/>
            <w:vAlign w:val="center"/>
            <w:hideMark/>
          </w:tcPr>
          <w:p w14:paraId="4A117535" w14:textId="77777777" w:rsidR="00595F71" w:rsidRPr="00E97D2C" w:rsidRDefault="00595F71" w:rsidP="00696E8F">
            <w:pPr>
              <w:rPr>
                <w:rFonts w:cs="Arial"/>
                <w:color w:val="000000"/>
              </w:rPr>
            </w:pPr>
            <w:r w:rsidRPr="00E97D2C">
              <w:rPr>
                <w:rFonts w:cs="Arial"/>
                <w:color w:val="000000"/>
              </w:rPr>
              <w:t>0D154K9</w:t>
            </w:r>
          </w:p>
        </w:tc>
        <w:tc>
          <w:tcPr>
            <w:tcW w:w="7560" w:type="dxa"/>
            <w:noWrap/>
            <w:vAlign w:val="center"/>
            <w:hideMark/>
          </w:tcPr>
          <w:p w14:paraId="1ACA4CFF" w14:textId="77777777" w:rsidR="00595F71" w:rsidRPr="00E97D2C" w:rsidRDefault="00595F71" w:rsidP="00696E8F">
            <w:pPr>
              <w:rPr>
                <w:rFonts w:cs="Arial"/>
                <w:color w:val="000000"/>
              </w:rPr>
            </w:pPr>
            <w:r w:rsidRPr="00E97D2C">
              <w:rPr>
                <w:rFonts w:cs="Arial"/>
                <w:color w:val="000000"/>
              </w:rPr>
              <w:t>Bypass Esophagus to Duodenum with Nonautologous Tissue Substitute, Percutaneous Endoscopic Approach</w:t>
            </w:r>
          </w:p>
        </w:tc>
      </w:tr>
      <w:tr w:rsidR="00595F71" w:rsidRPr="00E97D2C" w14:paraId="02A42EB9" w14:textId="77777777" w:rsidTr="00696E8F">
        <w:trPr>
          <w:trHeight w:val="300"/>
        </w:trPr>
        <w:tc>
          <w:tcPr>
            <w:tcW w:w="1872" w:type="dxa"/>
            <w:noWrap/>
            <w:vAlign w:val="center"/>
            <w:hideMark/>
          </w:tcPr>
          <w:p w14:paraId="220CFA68" w14:textId="77777777" w:rsidR="00595F71" w:rsidRPr="00E97D2C" w:rsidRDefault="00595F71" w:rsidP="00696E8F">
            <w:pPr>
              <w:rPr>
                <w:rFonts w:cs="Arial"/>
                <w:color w:val="000000"/>
              </w:rPr>
            </w:pPr>
            <w:r w:rsidRPr="00E97D2C">
              <w:rPr>
                <w:rFonts w:cs="Arial"/>
                <w:color w:val="000000"/>
              </w:rPr>
              <w:t>0D154KA</w:t>
            </w:r>
          </w:p>
        </w:tc>
        <w:tc>
          <w:tcPr>
            <w:tcW w:w="7560" w:type="dxa"/>
            <w:noWrap/>
            <w:vAlign w:val="center"/>
            <w:hideMark/>
          </w:tcPr>
          <w:p w14:paraId="66EF3A80" w14:textId="77777777" w:rsidR="00595F71" w:rsidRPr="00E97D2C" w:rsidRDefault="00595F71" w:rsidP="00696E8F">
            <w:pPr>
              <w:rPr>
                <w:rFonts w:cs="Arial"/>
                <w:color w:val="000000"/>
              </w:rPr>
            </w:pPr>
            <w:r w:rsidRPr="00E97D2C">
              <w:rPr>
                <w:rFonts w:cs="Arial"/>
                <w:color w:val="000000"/>
              </w:rPr>
              <w:t>Bypass Esophagus to Jejunum with Nonautologous Tissue Substitute, Percutaneous Endoscopic Approach</w:t>
            </w:r>
          </w:p>
        </w:tc>
      </w:tr>
      <w:tr w:rsidR="00595F71" w:rsidRPr="00E97D2C" w14:paraId="62C00574" w14:textId="77777777" w:rsidTr="00696E8F">
        <w:trPr>
          <w:trHeight w:val="300"/>
        </w:trPr>
        <w:tc>
          <w:tcPr>
            <w:tcW w:w="1872" w:type="dxa"/>
            <w:noWrap/>
            <w:vAlign w:val="center"/>
            <w:hideMark/>
          </w:tcPr>
          <w:p w14:paraId="6FA12A19" w14:textId="77777777" w:rsidR="00595F71" w:rsidRPr="00E97D2C" w:rsidRDefault="00595F71" w:rsidP="00696E8F">
            <w:pPr>
              <w:rPr>
                <w:rFonts w:cs="Arial"/>
                <w:color w:val="000000"/>
              </w:rPr>
            </w:pPr>
            <w:r w:rsidRPr="00E97D2C">
              <w:rPr>
                <w:rFonts w:cs="Arial"/>
                <w:color w:val="000000"/>
              </w:rPr>
              <w:t>0D154KB</w:t>
            </w:r>
          </w:p>
        </w:tc>
        <w:tc>
          <w:tcPr>
            <w:tcW w:w="7560" w:type="dxa"/>
            <w:noWrap/>
            <w:vAlign w:val="center"/>
            <w:hideMark/>
          </w:tcPr>
          <w:p w14:paraId="14D8F873" w14:textId="77777777" w:rsidR="00595F71" w:rsidRPr="00E97D2C" w:rsidRDefault="00595F71" w:rsidP="00696E8F">
            <w:pPr>
              <w:rPr>
                <w:rFonts w:cs="Arial"/>
                <w:color w:val="000000"/>
              </w:rPr>
            </w:pPr>
            <w:r w:rsidRPr="00E97D2C">
              <w:rPr>
                <w:rFonts w:cs="Arial"/>
                <w:color w:val="000000"/>
              </w:rPr>
              <w:t>Bypass Esophagus to Ileum with Nonautologous Tissue Substitute, Percutaneous Endoscopic Approach</w:t>
            </w:r>
          </w:p>
        </w:tc>
      </w:tr>
      <w:tr w:rsidR="00595F71" w:rsidRPr="00E97D2C" w14:paraId="0103A315" w14:textId="77777777" w:rsidTr="00696E8F">
        <w:trPr>
          <w:trHeight w:val="300"/>
        </w:trPr>
        <w:tc>
          <w:tcPr>
            <w:tcW w:w="1872" w:type="dxa"/>
            <w:noWrap/>
            <w:vAlign w:val="center"/>
            <w:hideMark/>
          </w:tcPr>
          <w:p w14:paraId="7B9E1D63" w14:textId="77777777" w:rsidR="00595F71" w:rsidRPr="00E97D2C" w:rsidRDefault="00595F71" w:rsidP="00696E8F">
            <w:pPr>
              <w:rPr>
                <w:rFonts w:cs="Arial"/>
                <w:color w:val="000000"/>
              </w:rPr>
            </w:pPr>
            <w:r w:rsidRPr="00E97D2C">
              <w:rPr>
                <w:rFonts w:cs="Arial"/>
                <w:color w:val="000000"/>
              </w:rPr>
              <w:t>0D154Z4</w:t>
            </w:r>
          </w:p>
        </w:tc>
        <w:tc>
          <w:tcPr>
            <w:tcW w:w="7560" w:type="dxa"/>
            <w:noWrap/>
            <w:vAlign w:val="center"/>
            <w:hideMark/>
          </w:tcPr>
          <w:p w14:paraId="7BDA4E88" w14:textId="77777777" w:rsidR="00595F71" w:rsidRPr="00E97D2C" w:rsidRDefault="00595F71" w:rsidP="00696E8F">
            <w:pPr>
              <w:rPr>
                <w:rFonts w:cs="Arial"/>
                <w:color w:val="000000"/>
              </w:rPr>
            </w:pPr>
            <w:r w:rsidRPr="00E97D2C">
              <w:rPr>
                <w:rFonts w:cs="Arial"/>
                <w:color w:val="000000"/>
              </w:rPr>
              <w:t>Bypass Esophagus to Cutaneous, Percutaneous Endoscopic Approach</w:t>
            </w:r>
          </w:p>
        </w:tc>
      </w:tr>
      <w:tr w:rsidR="00595F71" w:rsidRPr="00E97D2C" w14:paraId="4EDE4F7A" w14:textId="77777777" w:rsidTr="00696E8F">
        <w:trPr>
          <w:trHeight w:val="300"/>
        </w:trPr>
        <w:tc>
          <w:tcPr>
            <w:tcW w:w="1872" w:type="dxa"/>
            <w:noWrap/>
            <w:vAlign w:val="center"/>
            <w:hideMark/>
          </w:tcPr>
          <w:p w14:paraId="039410DC" w14:textId="77777777" w:rsidR="00595F71" w:rsidRPr="00E97D2C" w:rsidRDefault="00595F71" w:rsidP="00696E8F">
            <w:pPr>
              <w:rPr>
                <w:rFonts w:cs="Arial"/>
                <w:color w:val="000000"/>
              </w:rPr>
            </w:pPr>
            <w:r w:rsidRPr="00E97D2C">
              <w:rPr>
                <w:rFonts w:cs="Arial"/>
                <w:color w:val="000000"/>
              </w:rPr>
              <w:t>0D154Z6</w:t>
            </w:r>
          </w:p>
        </w:tc>
        <w:tc>
          <w:tcPr>
            <w:tcW w:w="7560" w:type="dxa"/>
            <w:noWrap/>
            <w:vAlign w:val="center"/>
            <w:hideMark/>
          </w:tcPr>
          <w:p w14:paraId="62576C30" w14:textId="77777777" w:rsidR="00595F71" w:rsidRPr="00E97D2C" w:rsidRDefault="00595F71" w:rsidP="00696E8F">
            <w:pPr>
              <w:rPr>
                <w:rFonts w:cs="Arial"/>
                <w:color w:val="000000"/>
              </w:rPr>
            </w:pPr>
            <w:r w:rsidRPr="00E97D2C">
              <w:rPr>
                <w:rFonts w:cs="Arial"/>
                <w:color w:val="000000"/>
              </w:rPr>
              <w:t>Bypass Esophagus to Stomach, Percutaneous Endoscopic Approach</w:t>
            </w:r>
          </w:p>
        </w:tc>
      </w:tr>
      <w:tr w:rsidR="00595F71" w:rsidRPr="00E97D2C" w14:paraId="7F1EA244" w14:textId="77777777" w:rsidTr="00696E8F">
        <w:trPr>
          <w:trHeight w:val="300"/>
        </w:trPr>
        <w:tc>
          <w:tcPr>
            <w:tcW w:w="1872" w:type="dxa"/>
            <w:noWrap/>
            <w:vAlign w:val="center"/>
            <w:hideMark/>
          </w:tcPr>
          <w:p w14:paraId="419BD456" w14:textId="77777777" w:rsidR="00595F71" w:rsidRPr="00E97D2C" w:rsidRDefault="00595F71" w:rsidP="00696E8F">
            <w:pPr>
              <w:rPr>
                <w:rFonts w:cs="Arial"/>
                <w:color w:val="000000"/>
              </w:rPr>
            </w:pPr>
            <w:r w:rsidRPr="00E97D2C">
              <w:rPr>
                <w:rFonts w:cs="Arial"/>
                <w:color w:val="000000"/>
              </w:rPr>
              <w:t>0D154Z9</w:t>
            </w:r>
          </w:p>
        </w:tc>
        <w:tc>
          <w:tcPr>
            <w:tcW w:w="7560" w:type="dxa"/>
            <w:noWrap/>
            <w:vAlign w:val="center"/>
            <w:hideMark/>
          </w:tcPr>
          <w:p w14:paraId="122DB8FE" w14:textId="77777777" w:rsidR="00595F71" w:rsidRPr="00E97D2C" w:rsidRDefault="00595F71" w:rsidP="00696E8F">
            <w:pPr>
              <w:rPr>
                <w:rFonts w:cs="Arial"/>
                <w:color w:val="000000"/>
              </w:rPr>
            </w:pPr>
            <w:r w:rsidRPr="00E97D2C">
              <w:rPr>
                <w:rFonts w:cs="Arial"/>
                <w:color w:val="000000"/>
              </w:rPr>
              <w:t>Bypass Esophagus to Duodenum, Percutaneous Endoscopic Approach</w:t>
            </w:r>
          </w:p>
        </w:tc>
      </w:tr>
      <w:tr w:rsidR="00595F71" w:rsidRPr="00E97D2C" w14:paraId="39A667DD" w14:textId="77777777" w:rsidTr="00696E8F">
        <w:trPr>
          <w:trHeight w:val="300"/>
        </w:trPr>
        <w:tc>
          <w:tcPr>
            <w:tcW w:w="1872" w:type="dxa"/>
            <w:noWrap/>
            <w:vAlign w:val="center"/>
            <w:hideMark/>
          </w:tcPr>
          <w:p w14:paraId="5543FB2B" w14:textId="77777777" w:rsidR="00595F71" w:rsidRPr="00E97D2C" w:rsidRDefault="00595F71" w:rsidP="00696E8F">
            <w:pPr>
              <w:rPr>
                <w:rFonts w:cs="Arial"/>
                <w:color w:val="000000"/>
              </w:rPr>
            </w:pPr>
            <w:r w:rsidRPr="00E97D2C">
              <w:rPr>
                <w:rFonts w:cs="Arial"/>
                <w:color w:val="000000"/>
              </w:rPr>
              <w:t>0D154ZA</w:t>
            </w:r>
          </w:p>
        </w:tc>
        <w:tc>
          <w:tcPr>
            <w:tcW w:w="7560" w:type="dxa"/>
            <w:noWrap/>
            <w:vAlign w:val="center"/>
            <w:hideMark/>
          </w:tcPr>
          <w:p w14:paraId="2C079330" w14:textId="77777777" w:rsidR="00595F71" w:rsidRPr="00E97D2C" w:rsidRDefault="00595F71" w:rsidP="00696E8F">
            <w:pPr>
              <w:rPr>
                <w:rFonts w:cs="Arial"/>
                <w:color w:val="000000"/>
              </w:rPr>
            </w:pPr>
            <w:r w:rsidRPr="00E97D2C">
              <w:rPr>
                <w:rFonts w:cs="Arial"/>
                <w:color w:val="000000"/>
              </w:rPr>
              <w:t>Bypass Esophagus to Jejunum, Percutaneous Endoscopic Approach</w:t>
            </w:r>
          </w:p>
        </w:tc>
      </w:tr>
      <w:tr w:rsidR="00595F71" w:rsidRPr="00E97D2C" w14:paraId="39CA62CE" w14:textId="77777777" w:rsidTr="00696E8F">
        <w:trPr>
          <w:trHeight w:val="300"/>
        </w:trPr>
        <w:tc>
          <w:tcPr>
            <w:tcW w:w="1872" w:type="dxa"/>
            <w:noWrap/>
            <w:vAlign w:val="center"/>
            <w:hideMark/>
          </w:tcPr>
          <w:p w14:paraId="3FEB5171" w14:textId="77777777" w:rsidR="00595F71" w:rsidRPr="00E97D2C" w:rsidRDefault="00595F71" w:rsidP="00696E8F">
            <w:pPr>
              <w:rPr>
                <w:rFonts w:cs="Arial"/>
                <w:color w:val="000000"/>
              </w:rPr>
            </w:pPr>
            <w:r w:rsidRPr="00E97D2C">
              <w:rPr>
                <w:rFonts w:cs="Arial"/>
                <w:color w:val="000000"/>
              </w:rPr>
              <w:t>0D154ZB</w:t>
            </w:r>
          </w:p>
        </w:tc>
        <w:tc>
          <w:tcPr>
            <w:tcW w:w="7560" w:type="dxa"/>
            <w:noWrap/>
            <w:vAlign w:val="center"/>
            <w:hideMark/>
          </w:tcPr>
          <w:p w14:paraId="41A032D1" w14:textId="77777777" w:rsidR="00595F71" w:rsidRPr="00E97D2C" w:rsidRDefault="00595F71" w:rsidP="00696E8F">
            <w:pPr>
              <w:rPr>
                <w:rFonts w:cs="Arial"/>
                <w:color w:val="000000"/>
              </w:rPr>
            </w:pPr>
            <w:r w:rsidRPr="00E97D2C">
              <w:rPr>
                <w:rFonts w:cs="Arial"/>
                <w:color w:val="000000"/>
              </w:rPr>
              <w:t>Bypass Esophagus to Ileum, Percutaneous Endoscopic Approach</w:t>
            </w:r>
          </w:p>
        </w:tc>
      </w:tr>
      <w:tr w:rsidR="00595F71" w:rsidRPr="00E97D2C" w14:paraId="288C8BB6" w14:textId="77777777" w:rsidTr="00696E8F">
        <w:trPr>
          <w:trHeight w:val="300"/>
        </w:trPr>
        <w:tc>
          <w:tcPr>
            <w:tcW w:w="1872" w:type="dxa"/>
            <w:noWrap/>
            <w:vAlign w:val="center"/>
            <w:hideMark/>
          </w:tcPr>
          <w:p w14:paraId="243D3B60" w14:textId="77777777" w:rsidR="00595F71" w:rsidRPr="00E97D2C" w:rsidRDefault="00595F71" w:rsidP="00696E8F">
            <w:pPr>
              <w:rPr>
                <w:rFonts w:cs="Arial"/>
                <w:color w:val="000000"/>
              </w:rPr>
            </w:pPr>
            <w:r w:rsidRPr="00E97D2C">
              <w:rPr>
                <w:rFonts w:cs="Arial"/>
                <w:color w:val="000000"/>
              </w:rPr>
              <w:t>0D15874</w:t>
            </w:r>
          </w:p>
        </w:tc>
        <w:tc>
          <w:tcPr>
            <w:tcW w:w="7560" w:type="dxa"/>
            <w:noWrap/>
            <w:vAlign w:val="center"/>
            <w:hideMark/>
          </w:tcPr>
          <w:p w14:paraId="5C1B90BD" w14:textId="77777777" w:rsidR="00595F71" w:rsidRPr="00E97D2C" w:rsidRDefault="00595F71" w:rsidP="00696E8F">
            <w:pPr>
              <w:rPr>
                <w:rFonts w:cs="Arial"/>
                <w:color w:val="000000"/>
              </w:rPr>
            </w:pPr>
            <w:r w:rsidRPr="00E97D2C">
              <w:rPr>
                <w:rFonts w:cs="Arial"/>
                <w:color w:val="000000"/>
              </w:rPr>
              <w:t>Bypass Esophagus to Cutaneous with Autologous Tissue Substitute, Via Natural or Artificial Opening Endoscopic</w:t>
            </w:r>
          </w:p>
        </w:tc>
      </w:tr>
      <w:tr w:rsidR="00595F71" w:rsidRPr="00E97D2C" w14:paraId="1D334344" w14:textId="77777777" w:rsidTr="00696E8F">
        <w:trPr>
          <w:trHeight w:val="300"/>
        </w:trPr>
        <w:tc>
          <w:tcPr>
            <w:tcW w:w="1872" w:type="dxa"/>
            <w:noWrap/>
            <w:vAlign w:val="center"/>
            <w:hideMark/>
          </w:tcPr>
          <w:p w14:paraId="32D891EB" w14:textId="77777777" w:rsidR="00595F71" w:rsidRPr="00E97D2C" w:rsidRDefault="00595F71" w:rsidP="00696E8F">
            <w:pPr>
              <w:rPr>
                <w:rFonts w:cs="Arial"/>
                <w:color w:val="000000"/>
              </w:rPr>
            </w:pPr>
            <w:r w:rsidRPr="00E97D2C">
              <w:rPr>
                <w:rFonts w:cs="Arial"/>
                <w:color w:val="000000"/>
              </w:rPr>
              <w:t>0D15876</w:t>
            </w:r>
          </w:p>
        </w:tc>
        <w:tc>
          <w:tcPr>
            <w:tcW w:w="7560" w:type="dxa"/>
            <w:noWrap/>
            <w:vAlign w:val="center"/>
            <w:hideMark/>
          </w:tcPr>
          <w:p w14:paraId="3962C52E" w14:textId="77777777" w:rsidR="00595F71" w:rsidRPr="00E97D2C" w:rsidRDefault="00595F71" w:rsidP="00696E8F">
            <w:pPr>
              <w:rPr>
                <w:rFonts w:cs="Arial"/>
                <w:color w:val="000000"/>
              </w:rPr>
            </w:pPr>
            <w:r w:rsidRPr="00E97D2C">
              <w:rPr>
                <w:rFonts w:cs="Arial"/>
                <w:color w:val="000000"/>
              </w:rPr>
              <w:t>Bypass Esophagus to Stomach with Autologous Tissue Substitute, Via Natural or Artificial Opening Endoscopic</w:t>
            </w:r>
          </w:p>
        </w:tc>
      </w:tr>
      <w:tr w:rsidR="00595F71" w:rsidRPr="00E97D2C" w14:paraId="0EA7901B" w14:textId="77777777" w:rsidTr="00696E8F">
        <w:trPr>
          <w:trHeight w:val="300"/>
        </w:trPr>
        <w:tc>
          <w:tcPr>
            <w:tcW w:w="1872" w:type="dxa"/>
            <w:noWrap/>
            <w:vAlign w:val="center"/>
            <w:hideMark/>
          </w:tcPr>
          <w:p w14:paraId="52A83B1A" w14:textId="77777777" w:rsidR="00595F71" w:rsidRPr="00E97D2C" w:rsidRDefault="00595F71" w:rsidP="00696E8F">
            <w:pPr>
              <w:rPr>
                <w:rFonts w:cs="Arial"/>
                <w:color w:val="000000"/>
              </w:rPr>
            </w:pPr>
            <w:r w:rsidRPr="00E97D2C">
              <w:rPr>
                <w:rFonts w:cs="Arial"/>
                <w:color w:val="000000"/>
              </w:rPr>
              <w:t>0D15879</w:t>
            </w:r>
          </w:p>
        </w:tc>
        <w:tc>
          <w:tcPr>
            <w:tcW w:w="7560" w:type="dxa"/>
            <w:noWrap/>
            <w:vAlign w:val="center"/>
            <w:hideMark/>
          </w:tcPr>
          <w:p w14:paraId="1AF04584" w14:textId="77777777" w:rsidR="00595F71" w:rsidRPr="00E97D2C" w:rsidRDefault="00595F71" w:rsidP="00696E8F">
            <w:pPr>
              <w:rPr>
                <w:rFonts w:cs="Arial"/>
                <w:color w:val="000000"/>
              </w:rPr>
            </w:pPr>
            <w:r w:rsidRPr="00E97D2C">
              <w:rPr>
                <w:rFonts w:cs="Arial"/>
                <w:color w:val="000000"/>
              </w:rPr>
              <w:t>Bypass Esophagus to Duodenum with Autologous Tissue Substitute, Via Natural or Artificial Opening Endoscopic</w:t>
            </w:r>
          </w:p>
        </w:tc>
      </w:tr>
      <w:tr w:rsidR="00595F71" w:rsidRPr="00E97D2C" w14:paraId="0D6E43B0" w14:textId="77777777" w:rsidTr="00696E8F">
        <w:trPr>
          <w:trHeight w:val="300"/>
        </w:trPr>
        <w:tc>
          <w:tcPr>
            <w:tcW w:w="1872" w:type="dxa"/>
            <w:noWrap/>
            <w:vAlign w:val="center"/>
            <w:hideMark/>
          </w:tcPr>
          <w:p w14:paraId="4D50034C" w14:textId="77777777" w:rsidR="00595F71" w:rsidRPr="00E97D2C" w:rsidRDefault="00595F71" w:rsidP="00696E8F">
            <w:pPr>
              <w:rPr>
                <w:rFonts w:cs="Arial"/>
                <w:color w:val="000000"/>
              </w:rPr>
            </w:pPr>
            <w:r w:rsidRPr="00E97D2C">
              <w:rPr>
                <w:rFonts w:cs="Arial"/>
                <w:color w:val="000000"/>
              </w:rPr>
              <w:t>0D1587A</w:t>
            </w:r>
          </w:p>
        </w:tc>
        <w:tc>
          <w:tcPr>
            <w:tcW w:w="7560" w:type="dxa"/>
            <w:noWrap/>
            <w:vAlign w:val="center"/>
            <w:hideMark/>
          </w:tcPr>
          <w:p w14:paraId="119B49E3" w14:textId="77777777" w:rsidR="00595F71" w:rsidRPr="00E97D2C" w:rsidRDefault="00595F71" w:rsidP="00696E8F">
            <w:pPr>
              <w:rPr>
                <w:rFonts w:cs="Arial"/>
                <w:color w:val="000000"/>
              </w:rPr>
            </w:pPr>
            <w:r w:rsidRPr="00E97D2C">
              <w:rPr>
                <w:rFonts w:cs="Arial"/>
                <w:color w:val="000000"/>
              </w:rPr>
              <w:t>Bypass Esophagus to Jejunum with Autologous Tissue Substitute, Via Natural or Artificial Opening Endoscopic</w:t>
            </w:r>
          </w:p>
        </w:tc>
      </w:tr>
      <w:tr w:rsidR="00595F71" w:rsidRPr="00E97D2C" w14:paraId="6867E68E" w14:textId="77777777" w:rsidTr="00696E8F">
        <w:trPr>
          <w:trHeight w:val="300"/>
        </w:trPr>
        <w:tc>
          <w:tcPr>
            <w:tcW w:w="1872" w:type="dxa"/>
            <w:noWrap/>
            <w:vAlign w:val="center"/>
            <w:hideMark/>
          </w:tcPr>
          <w:p w14:paraId="5A276F95" w14:textId="77777777" w:rsidR="00595F71" w:rsidRPr="00E97D2C" w:rsidRDefault="00595F71" w:rsidP="00696E8F">
            <w:pPr>
              <w:rPr>
                <w:rFonts w:cs="Arial"/>
                <w:color w:val="000000"/>
              </w:rPr>
            </w:pPr>
            <w:r w:rsidRPr="00E97D2C">
              <w:rPr>
                <w:rFonts w:cs="Arial"/>
                <w:color w:val="000000"/>
              </w:rPr>
              <w:t>0D1587B</w:t>
            </w:r>
          </w:p>
        </w:tc>
        <w:tc>
          <w:tcPr>
            <w:tcW w:w="7560" w:type="dxa"/>
            <w:noWrap/>
            <w:vAlign w:val="center"/>
            <w:hideMark/>
          </w:tcPr>
          <w:p w14:paraId="35F08D42" w14:textId="77777777" w:rsidR="00595F71" w:rsidRPr="00E97D2C" w:rsidRDefault="00595F71" w:rsidP="00696E8F">
            <w:pPr>
              <w:rPr>
                <w:rFonts w:cs="Arial"/>
                <w:color w:val="000000"/>
              </w:rPr>
            </w:pPr>
            <w:r w:rsidRPr="00E97D2C">
              <w:rPr>
                <w:rFonts w:cs="Arial"/>
                <w:color w:val="000000"/>
              </w:rPr>
              <w:t>Bypass Esophagus to Ileum with Autologous Tissue Substitute, Via Natural or Artificial Opening Endoscopic</w:t>
            </w:r>
          </w:p>
        </w:tc>
      </w:tr>
      <w:tr w:rsidR="00595F71" w:rsidRPr="00E97D2C" w14:paraId="079B59B0" w14:textId="77777777" w:rsidTr="00696E8F">
        <w:trPr>
          <w:trHeight w:val="300"/>
        </w:trPr>
        <w:tc>
          <w:tcPr>
            <w:tcW w:w="1872" w:type="dxa"/>
            <w:noWrap/>
            <w:vAlign w:val="center"/>
            <w:hideMark/>
          </w:tcPr>
          <w:p w14:paraId="7504BDA9" w14:textId="77777777" w:rsidR="00595F71" w:rsidRPr="00E97D2C" w:rsidRDefault="00595F71" w:rsidP="00696E8F">
            <w:pPr>
              <w:rPr>
                <w:rFonts w:cs="Arial"/>
                <w:color w:val="000000"/>
              </w:rPr>
            </w:pPr>
            <w:r w:rsidRPr="00E97D2C">
              <w:rPr>
                <w:rFonts w:cs="Arial"/>
                <w:color w:val="000000"/>
              </w:rPr>
              <w:t>0D158J4</w:t>
            </w:r>
          </w:p>
        </w:tc>
        <w:tc>
          <w:tcPr>
            <w:tcW w:w="7560" w:type="dxa"/>
            <w:noWrap/>
            <w:vAlign w:val="center"/>
            <w:hideMark/>
          </w:tcPr>
          <w:p w14:paraId="51ECE1B2" w14:textId="77777777" w:rsidR="00595F71" w:rsidRPr="00E97D2C" w:rsidRDefault="00595F71" w:rsidP="00696E8F">
            <w:pPr>
              <w:rPr>
                <w:rFonts w:cs="Arial"/>
                <w:color w:val="000000"/>
              </w:rPr>
            </w:pPr>
            <w:r w:rsidRPr="00E97D2C">
              <w:rPr>
                <w:rFonts w:cs="Arial"/>
                <w:color w:val="000000"/>
              </w:rPr>
              <w:t>Bypass Esophagus to Cutaneous with Synthetic Substitute, Via Natural or Artificial Opening Endoscopic</w:t>
            </w:r>
          </w:p>
        </w:tc>
      </w:tr>
      <w:tr w:rsidR="00595F71" w:rsidRPr="00E97D2C" w14:paraId="48821137" w14:textId="77777777" w:rsidTr="00696E8F">
        <w:trPr>
          <w:trHeight w:val="300"/>
        </w:trPr>
        <w:tc>
          <w:tcPr>
            <w:tcW w:w="1872" w:type="dxa"/>
            <w:noWrap/>
            <w:vAlign w:val="center"/>
            <w:hideMark/>
          </w:tcPr>
          <w:p w14:paraId="6DCC5741" w14:textId="77777777" w:rsidR="00595F71" w:rsidRPr="00E97D2C" w:rsidRDefault="00595F71" w:rsidP="00696E8F">
            <w:pPr>
              <w:rPr>
                <w:rFonts w:cs="Arial"/>
                <w:color w:val="000000"/>
              </w:rPr>
            </w:pPr>
            <w:r w:rsidRPr="00E97D2C">
              <w:rPr>
                <w:rFonts w:cs="Arial"/>
                <w:color w:val="000000"/>
              </w:rPr>
              <w:lastRenderedPageBreak/>
              <w:t>0D158J6</w:t>
            </w:r>
          </w:p>
        </w:tc>
        <w:tc>
          <w:tcPr>
            <w:tcW w:w="7560" w:type="dxa"/>
            <w:noWrap/>
            <w:vAlign w:val="center"/>
            <w:hideMark/>
          </w:tcPr>
          <w:p w14:paraId="533C39CB" w14:textId="77777777" w:rsidR="00595F71" w:rsidRPr="00E97D2C" w:rsidRDefault="00595F71" w:rsidP="00696E8F">
            <w:pPr>
              <w:rPr>
                <w:rFonts w:cs="Arial"/>
                <w:color w:val="000000"/>
              </w:rPr>
            </w:pPr>
            <w:r w:rsidRPr="00E97D2C">
              <w:rPr>
                <w:rFonts w:cs="Arial"/>
                <w:color w:val="000000"/>
              </w:rPr>
              <w:t>Bypass Esophagus to Stomach with Synthetic Substitute, Via Natural or Artificial Opening Endoscopic</w:t>
            </w:r>
          </w:p>
        </w:tc>
      </w:tr>
      <w:tr w:rsidR="00595F71" w:rsidRPr="00E97D2C" w14:paraId="4224EDC4" w14:textId="77777777" w:rsidTr="00696E8F">
        <w:trPr>
          <w:trHeight w:val="300"/>
        </w:trPr>
        <w:tc>
          <w:tcPr>
            <w:tcW w:w="1872" w:type="dxa"/>
            <w:noWrap/>
            <w:vAlign w:val="center"/>
            <w:hideMark/>
          </w:tcPr>
          <w:p w14:paraId="40DB371C" w14:textId="77777777" w:rsidR="00595F71" w:rsidRPr="00E97D2C" w:rsidRDefault="00595F71" w:rsidP="00696E8F">
            <w:pPr>
              <w:rPr>
                <w:rFonts w:cs="Arial"/>
                <w:color w:val="000000"/>
              </w:rPr>
            </w:pPr>
            <w:r w:rsidRPr="00E97D2C">
              <w:rPr>
                <w:rFonts w:cs="Arial"/>
                <w:color w:val="000000"/>
              </w:rPr>
              <w:t>0D158J9</w:t>
            </w:r>
          </w:p>
        </w:tc>
        <w:tc>
          <w:tcPr>
            <w:tcW w:w="7560" w:type="dxa"/>
            <w:noWrap/>
            <w:vAlign w:val="center"/>
            <w:hideMark/>
          </w:tcPr>
          <w:p w14:paraId="34DDF5A1" w14:textId="77777777" w:rsidR="00595F71" w:rsidRPr="00E97D2C" w:rsidRDefault="00595F71" w:rsidP="00696E8F">
            <w:pPr>
              <w:rPr>
                <w:rFonts w:cs="Arial"/>
                <w:color w:val="000000"/>
              </w:rPr>
            </w:pPr>
            <w:r w:rsidRPr="00E97D2C">
              <w:rPr>
                <w:rFonts w:cs="Arial"/>
                <w:color w:val="000000"/>
              </w:rPr>
              <w:t>Bypass Esophagus to Duodenum with Synthetic Substitute, Via Natural or Artificial Opening Endoscopic</w:t>
            </w:r>
          </w:p>
        </w:tc>
      </w:tr>
      <w:tr w:rsidR="00595F71" w:rsidRPr="00E97D2C" w14:paraId="46870F8A" w14:textId="77777777" w:rsidTr="00696E8F">
        <w:trPr>
          <w:trHeight w:val="300"/>
        </w:trPr>
        <w:tc>
          <w:tcPr>
            <w:tcW w:w="1872" w:type="dxa"/>
            <w:noWrap/>
            <w:vAlign w:val="center"/>
            <w:hideMark/>
          </w:tcPr>
          <w:p w14:paraId="1DC24E99" w14:textId="77777777" w:rsidR="00595F71" w:rsidRPr="00E97D2C" w:rsidRDefault="00595F71" w:rsidP="00696E8F">
            <w:pPr>
              <w:rPr>
                <w:rFonts w:cs="Arial"/>
                <w:color w:val="000000"/>
              </w:rPr>
            </w:pPr>
            <w:r w:rsidRPr="00E97D2C">
              <w:rPr>
                <w:rFonts w:cs="Arial"/>
                <w:color w:val="000000"/>
              </w:rPr>
              <w:t>0D158JA</w:t>
            </w:r>
          </w:p>
        </w:tc>
        <w:tc>
          <w:tcPr>
            <w:tcW w:w="7560" w:type="dxa"/>
            <w:noWrap/>
            <w:vAlign w:val="center"/>
            <w:hideMark/>
          </w:tcPr>
          <w:p w14:paraId="424E079E" w14:textId="77777777" w:rsidR="00595F71" w:rsidRPr="00E97D2C" w:rsidRDefault="00595F71" w:rsidP="00696E8F">
            <w:pPr>
              <w:rPr>
                <w:rFonts w:cs="Arial"/>
                <w:color w:val="000000"/>
              </w:rPr>
            </w:pPr>
            <w:r w:rsidRPr="00E97D2C">
              <w:rPr>
                <w:rFonts w:cs="Arial"/>
                <w:color w:val="000000"/>
              </w:rPr>
              <w:t>Bypass Esophagus to Jejunum with Synthetic Substitute, Via Natural or Artificial Opening Endoscopic</w:t>
            </w:r>
          </w:p>
        </w:tc>
      </w:tr>
      <w:tr w:rsidR="00595F71" w:rsidRPr="00E97D2C" w14:paraId="2A9BF77E" w14:textId="77777777" w:rsidTr="00696E8F">
        <w:trPr>
          <w:trHeight w:val="300"/>
        </w:trPr>
        <w:tc>
          <w:tcPr>
            <w:tcW w:w="1872" w:type="dxa"/>
            <w:noWrap/>
            <w:vAlign w:val="center"/>
            <w:hideMark/>
          </w:tcPr>
          <w:p w14:paraId="466C047D" w14:textId="77777777" w:rsidR="00595F71" w:rsidRPr="00E97D2C" w:rsidRDefault="00595F71" w:rsidP="00696E8F">
            <w:pPr>
              <w:rPr>
                <w:rFonts w:cs="Arial"/>
                <w:color w:val="000000"/>
              </w:rPr>
            </w:pPr>
            <w:r w:rsidRPr="00E97D2C">
              <w:rPr>
                <w:rFonts w:cs="Arial"/>
                <w:color w:val="000000"/>
              </w:rPr>
              <w:t>0D158JB</w:t>
            </w:r>
          </w:p>
        </w:tc>
        <w:tc>
          <w:tcPr>
            <w:tcW w:w="7560" w:type="dxa"/>
            <w:noWrap/>
            <w:vAlign w:val="center"/>
            <w:hideMark/>
          </w:tcPr>
          <w:p w14:paraId="38F503B5" w14:textId="77777777" w:rsidR="00595F71" w:rsidRPr="00E97D2C" w:rsidRDefault="00595F71" w:rsidP="00696E8F">
            <w:pPr>
              <w:rPr>
                <w:rFonts w:cs="Arial"/>
                <w:color w:val="000000"/>
              </w:rPr>
            </w:pPr>
            <w:r w:rsidRPr="00E97D2C">
              <w:rPr>
                <w:rFonts w:cs="Arial"/>
                <w:color w:val="000000"/>
              </w:rPr>
              <w:t>Bypass Esophagus to Ileum with Synthetic Substitute, Via Natural or Artificial Opening Endoscopic</w:t>
            </w:r>
          </w:p>
        </w:tc>
      </w:tr>
      <w:tr w:rsidR="00595F71" w:rsidRPr="00E97D2C" w14:paraId="149B5AA5" w14:textId="77777777" w:rsidTr="00696E8F">
        <w:trPr>
          <w:trHeight w:val="300"/>
        </w:trPr>
        <w:tc>
          <w:tcPr>
            <w:tcW w:w="1872" w:type="dxa"/>
            <w:noWrap/>
            <w:vAlign w:val="center"/>
            <w:hideMark/>
          </w:tcPr>
          <w:p w14:paraId="3C727437" w14:textId="77777777" w:rsidR="00595F71" w:rsidRPr="00E97D2C" w:rsidRDefault="00595F71" w:rsidP="00696E8F">
            <w:pPr>
              <w:rPr>
                <w:rFonts w:cs="Arial"/>
                <w:color w:val="000000"/>
              </w:rPr>
            </w:pPr>
            <w:r w:rsidRPr="00E97D2C">
              <w:rPr>
                <w:rFonts w:cs="Arial"/>
                <w:color w:val="000000"/>
              </w:rPr>
              <w:t>0D158K4</w:t>
            </w:r>
          </w:p>
        </w:tc>
        <w:tc>
          <w:tcPr>
            <w:tcW w:w="7560" w:type="dxa"/>
            <w:noWrap/>
            <w:vAlign w:val="center"/>
            <w:hideMark/>
          </w:tcPr>
          <w:p w14:paraId="0DE13AD9" w14:textId="77777777" w:rsidR="00595F71" w:rsidRPr="00E97D2C" w:rsidRDefault="00595F71" w:rsidP="00696E8F">
            <w:pPr>
              <w:rPr>
                <w:rFonts w:cs="Arial"/>
                <w:color w:val="000000"/>
              </w:rPr>
            </w:pPr>
            <w:r w:rsidRPr="00E97D2C">
              <w:rPr>
                <w:rFonts w:cs="Arial"/>
                <w:color w:val="000000"/>
              </w:rPr>
              <w:t>Bypass Esophagus to Cutaneous with Nonautologous Tissue Substitute, Via Natural or Artificial Opening Endoscopic</w:t>
            </w:r>
          </w:p>
        </w:tc>
      </w:tr>
      <w:tr w:rsidR="00595F71" w:rsidRPr="00E97D2C" w14:paraId="515CB358" w14:textId="77777777" w:rsidTr="00696E8F">
        <w:trPr>
          <w:trHeight w:val="300"/>
        </w:trPr>
        <w:tc>
          <w:tcPr>
            <w:tcW w:w="1872" w:type="dxa"/>
            <w:noWrap/>
            <w:vAlign w:val="center"/>
            <w:hideMark/>
          </w:tcPr>
          <w:p w14:paraId="26F12E2E" w14:textId="77777777" w:rsidR="00595F71" w:rsidRPr="00E97D2C" w:rsidRDefault="00595F71" w:rsidP="00696E8F">
            <w:pPr>
              <w:rPr>
                <w:rFonts w:cs="Arial"/>
                <w:color w:val="000000"/>
              </w:rPr>
            </w:pPr>
            <w:r w:rsidRPr="00E97D2C">
              <w:rPr>
                <w:rFonts w:cs="Arial"/>
                <w:color w:val="000000"/>
              </w:rPr>
              <w:t>0D158K6</w:t>
            </w:r>
          </w:p>
        </w:tc>
        <w:tc>
          <w:tcPr>
            <w:tcW w:w="7560" w:type="dxa"/>
            <w:noWrap/>
            <w:vAlign w:val="center"/>
            <w:hideMark/>
          </w:tcPr>
          <w:p w14:paraId="0D856412" w14:textId="77777777" w:rsidR="00595F71" w:rsidRPr="00E97D2C" w:rsidRDefault="00595F71" w:rsidP="00696E8F">
            <w:pPr>
              <w:rPr>
                <w:rFonts w:cs="Arial"/>
                <w:color w:val="000000"/>
              </w:rPr>
            </w:pPr>
            <w:r w:rsidRPr="00E97D2C">
              <w:rPr>
                <w:rFonts w:cs="Arial"/>
                <w:color w:val="000000"/>
              </w:rPr>
              <w:t>Bypass Esophagus to Stomach with Nonautologous Tissue Substitute, Via Natural or Artificial Opening Endoscopic</w:t>
            </w:r>
          </w:p>
        </w:tc>
      </w:tr>
      <w:tr w:rsidR="00595F71" w:rsidRPr="00E97D2C" w14:paraId="3A141BA2" w14:textId="77777777" w:rsidTr="00696E8F">
        <w:trPr>
          <w:trHeight w:val="300"/>
        </w:trPr>
        <w:tc>
          <w:tcPr>
            <w:tcW w:w="1872" w:type="dxa"/>
            <w:noWrap/>
            <w:vAlign w:val="center"/>
            <w:hideMark/>
          </w:tcPr>
          <w:p w14:paraId="6C5928A2" w14:textId="77777777" w:rsidR="00595F71" w:rsidRPr="00E97D2C" w:rsidRDefault="00595F71" w:rsidP="00696E8F">
            <w:pPr>
              <w:rPr>
                <w:rFonts w:cs="Arial"/>
                <w:color w:val="000000"/>
              </w:rPr>
            </w:pPr>
            <w:r w:rsidRPr="00E97D2C">
              <w:rPr>
                <w:rFonts w:cs="Arial"/>
                <w:color w:val="000000"/>
              </w:rPr>
              <w:t>0D158K9</w:t>
            </w:r>
          </w:p>
        </w:tc>
        <w:tc>
          <w:tcPr>
            <w:tcW w:w="7560" w:type="dxa"/>
            <w:noWrap/>
            <w:vAlign w:val="center"/>
            <w:hideMark/>
          </w:tcPr>
          <w:p w14:paraId="3378BDBF" w14:textId="77777777" w:rsidR="00595F71" w:rsidRPr="00E97D2C" w:rsidRDefault="00595F71" w:rsidP="00696E8F">
            <w:pPr>
              <w:rPr>
                <w:rFonts w:cs="Arial"/>
                <w:color w:val="000000"/>
              </w:rPr>
            </w:pPr>
            <w:r w:rsidRPr="00E97D2C">
              <w:rPr>
                <w:rFonts w:cs="Arial"/>
                <w:color w:val="000000"/>
              </w:rPr>
              <w:t>Bypass Esophagus to Duodenum with Nonautologous Tissue Substitute, Via Natural or Artificial Opening Endoscopic</w:t>
            </w:r>
          </w:p>
        </w:tc>
      </w:tr>
      <w:tr w:rsidR="00595F71" w:rsidRPr="00E97D2C" w14:paraId="7EE1A4E3" w14:textId="77777777" w:rsidTr="00696E8F">
        <w:trPr>
          <w:trHeight w:val="300"/>
        </w:trPr>
        <w:tc>
          <w:tcPr>
            <w:tcW w:w="1872" w:type="dxa"/>
            <w:noWrap/>
            <w:vAlign w:val="center"/>
            <w:hideMark/>
          </w:tcPr>
          <w:p w14:paraId="3074E820" w14:textId="77777777" w:rsidR="00595F71" w:rsidRPr="00E97D2C" w:rsidRDefault="00595F71" w:rsidP="00696E8F">
            <w:pPr>
              <w:rPr>
                <w:rFonts w:cs="Arial"/>
                <w:color w:val="000000"/>
              </w:rPr>
            </w:pPr>
            <w:r w:rsidRPr="00E97D2C">
              <w:rPr>
                <w:rFonts w:cs="Arial"/>
                <w:color w:val="000000"/>
              </w:rPr>
              <w:t>0D158KA</w:t>
            </w:r>
          </w:p>
        </w:tc>
        <w:tc>
          <w:tcPr>
            <w:tcW w:w="7560" w:type="dxa"/>
            <w:noWrap/>
            <w:vAlign w:val="center"/>
            <w:hideMark/>
          </w:tcPr>
          <w:p w14:paraId="0FF9D80A" w14:textId="77777777" w:rsidR="00595F71" w:rsidRPr="00E97D2C" w:rsidRDefault="00595F71" w:rsidP="00696E8F">
            <w:pPr>
              <w:rPr>
                <w:rFonts w:cs="Arial"/>
                <w:color w:val="000000"/>
              </w:rPr>
            </w:pPr>
            <w:r w:rsidRPr="00E97D2C">
              <w:rPr>
                <w:rFonts w:cs="Arial"/>
                <w:color w:val="000000"/>
              </w:rPr>
              <w:t>Bypass Esophagus to Jejunum with Nonautologous Tissue Substitute, Via Natural or Artificial Opening Endoscopic</w:t>
            </w:r>
          </w:p>
        </w:tc>
      </w:tr>
      <w:tr w:rsidR="00595F71" w:rsidRPr="00E97D2C" w14:paraId="649C5230" w14:textId="77777777" w:rsidTr="00696E8F">
        <w:trPr>
          <w:trHeight w:val="300"/>
        </w:trPr>
        <w:tc>
          <w:tcPr>
            <w:tcW w:w="1872" w:type="dxa"/>
            <w:noWrap/>
            <w:vAlign w:val="center"/>
            <w:hideMark/>
          </w:tcPr>
          <w:p w14:paraId="317F8D94" w14:textId="77777777" w:rsidR="00595F71" w:rsidRPr="00E97D2C" w:rsidRDefault="00595F71" w:rsidP="00696E8F">
            <w:pPr>
              <w:rPr>
                <w:rFonts w:cs="Arial"/>
                <w:color w:val="000000"/>
              </w:rPr>
            </w:pPr>
            <w:r w:rsidRPr="00E97D2C">
              <w:rPr>
                <w:rFonts w:cs="Arial"/>
                <w:color w:val="000000"/>
              </w:rPr>
              <w:t>0D158KB</w:t>
            </w:r>
          </w:p>
        </w:tc>
        <w:tc>
          <w:tcPr>
            <w:tcW w:w="7560" w:type="dxa"/>
            <w:noWrap/>
            <w:vAlign w:val="center"/>
            <w:hideMark/>
          </w:tcPr>
          <w:p w14:paraId="05673D03" w14:textId="77777777" w:rsidR="00595F71" w:rsidRPr="00E97D2C" w:rsidRDefault="00595F71" w:rsidP="00696E8F">
            <w:pPr>
              <w:rPr>
                <w:rFonts w:cs="Arial"/>
                <w:color w:val="000000"/>
              </w:rPr>
            </w:pPr>
            <w:r w:rsidRPr="00E97D2C">
              <w:rPr>
                <w:rFonts w:cs="Arial"/>
                <w:color w:val="000000"/>
              </w:rPr>
              <w:t>Bypass Esophagus to Ileum with Nonautologous Tissue Substitute, Via Natural or Artificial Opening Endoscopic</w:t>
            </w:r>
          </w:p>
        </w:tc>
      </w:tr>
      <w:tr w:rsidR="00595F71" w:rsidRPr="00E97D2C" w14:paraId="3F560888" w14:textId="77777777" w:rsidTr="00696E8F">
        <w:trPr>
          <w:trHeight w:val="300"/>
        </w:trPr>
        <w:tc>
          <w:tcPr>
            <w:tcW w:w="1872" w:type="dxa"/>
            <w:noWrap/>
            <w:vAlign w:val="center"/>
            <w:hideMark/>
          </w:tcPr>
          <w:p w14:paraId="5C09DAD2" w14:textId="77777777" w:rsidR="00595F71" w:rsidRPr="00E97D2C" w:rsidRDefault="00595F71" w:rsidP="00696E8F">
            <w:pPr>
              <w:rPr>
                <w:rFonts w:cs="Arial"/>
                <w:color w:val="000000"/>
              </w:rPr>
            </w:pPr>
            <w:r w:rsidRPr="00E97D2C">
              <w:rPr>
                <w:rFonts w:cs="Arial"/>
                <w:color w:val="000000"/>
              </w:rPr>
              <w:t>0D158Z4</w:t>
            </w:r>
          </w:p>
        </w:tc>
        <w:tc>
          <w:tcPr>
            <w:tcW w:w="7560" w:type="dxa"/>
            <w:noWrap/>
            <w:vAlign w:val="center"/>
            <w:hideMark/>
          </w:tcPr>
          <w:p w14:paraId="011C8CE6" w14:textId="77777777" w:rsidR="00595F71" w:rsidRPr="00E97D2C" w:rsidRDefault="00595F71" w:rsidP="00696E8F">
            <w:pPr>
              <w:rPr>
                <w:rFonts w:cs="Arial"/>
                <w:color w:val="000000"/>
              </w:rPr>
            </w:pPr>
            <w:r w:rsidRPr="00E97D2C">
              <w:rPr>
                <w:rFonts w:cs="Arial"/>
                <w:color w:val="000000"/>
              </w:rPr>
              <w:t>Bypass Esophagus to Cutaneous, Via Natural or Artificial Opening Endoscopic</w:t>
            </w:r>
          </w:p>
        </w:tc>
      </w:tr>
      <w:tr w:rsidR="00595F71" w:rsidRPr="00E97D2C" w14:paraId="379FAF07" w14:textId="77777777" w:rsidTr="00696E8F">
        <w:trPr>
          <w:trHeight w:val="300"/>
        </w:trPr>
        <w:tc>
          <w:tcPr>
            <w:tcW w:w="1872" w:type="dxa"/>
            <w:noWrap/>
            <w:vAlign w:val="center"/>
            <w:hideMark/>
          </w:tcPr>
          <w:p w14:paraId="62920CFE" w14:textId="77777777" w:rsidR="00595F71" w:rsidRPr="00E97D2C" w:rsidRDefault="00595F71" w:rsidP="00696E8F">
            <w:pPr>
              <w:rPr>
                <w:rFonts w:cs="Arial"/>
                <w:color w:val="000000"/>
              </w:rPr>
            </w:pPr>
            <w:r w:rsidRPr="00E97D2C">
              <w:rPr>
                <w:rFonts w:cs="Arial"/>
                <w:color w:val="000000"/>
              </w:rPr>
              <w:t>0D158Z6</w:t>
            </w:r>
          </w:p>
        </w:tc>
        <w:tc>
          <w:tcPr>
            <w:tcW w:w="7560" w:type="dxa"/>
            <w:noWrap/>
            <w:vAlign w:val="center"/>
            <w:hideMark/>
          </w:tcPr>
          <w:p w14:paraId="18094B6F" w14:textId="77777777" w:rsidR="00595F71" w:rsidRPr="00E97D2C" w:rsidRDefault="00595F71" w:rsidP="00696E8F">
            <w:pPr>
              <w:rPr>
                <w:rFonts w:cs="Arial"/>
                <w:color w:val="000000"/>
              </w:rPr>
            </w:pPr>
            <w:r w:rsidRPr="00E97D2C">
              <w:rPr>
                <w:rFonts w:cs="Arial"/>
                <w:color w:val="000000"/>
              </w:rPr>
              <w:t>Bypass Esophagus to Stomach, Via Natural or Artificial Opening Endoscopic</w:t>
            </w:r>
          </w:p>
        </w:tc>
      </w:tr>
      <w:tr w:rsidR="00595F71" w:rsidRPr="00E97D2C" w14:paraId="5BD7F292" w14:textId="77777777" w:rsidTr="00696E8F">
        <w:trPr>
          <w:trHeight w:val="300"/>
        </w:trPr>
        <w:tc>
          <w:tcPr>
            <w:tcW w:w="1872" w:type="dxa"/>
            <w:noWrap/>
            <w:vAlign w:val="center"/>
            <w:hideMark/>
          </w:tcPr>
          <w:p w14:paraId="040A60E2" w14:textId="77777777" w:rsidR="00595F71" w:rsidRPr="00E97D2C" w:rsidRDefault="00595F71" w:rsidP="00696E8F">
            <w:pPr>
              <w:rPr>
                <w:rFonts w:cs="Arial"/>
                <w:color w:val="000000"/>
              </w:rPr>
            </w:pPr>
            <w:r w:rsidRPr="00E97D2C">
              <w:rPr>
                <w:rFonts w:cs="Arial"/>
                <w:color w:val="000000"/>
              </w:rPr>
              <w:t>0D158Z9</w:t>
            </w:r>
          </w:p>
        </w:tc>
        <w:tc>
          <w:tcPr>
            <w:tcW w:w="7560" w:type="dxa"/>
            <w:noWrap/>
            <w:vAlign w:val="center"/>
            <w:hideMark/>
          </w:tcPr>
          <w:p w14:paraId="1D338091" w14:textId="77777777" w:rsidR="00595F71" w:rsidRPr="00E97D2C" w:rsidRDefault="00595F71" w:rsidP="00696E8F">
            <w:pPr>
              <w:rPr>
                <w:rFonts w:cs="Arial"/>
                <w:color w:val="000000"/>
              </w:rPr>
            </w:pPr>
            <w:r w:rsidRPr="00E97D2C">
              <w:rPr>
                <w:rFonts w:cs="Arial"/>
                <w:color w:val="000000"/>
              </w:rPr>
              <w:t>Bypass Esophagus to Duodenum, Via Natural or Artificial Opening Endoscopic</w:t>
            </w:r>
          </w:p>
        </w:tc>
      </w:tr>
      <w:tr w:rsidR="00595F71" w:rsidRPr="00E97D2C" w14:paraId="342ED653" w14:textId="77777777" w:rsidTr="00696E8F">
        <w:trPr>
          <w:trHeight w:val="300"/>
        </w:trPr>
        <w:tc>
          <w:tcPr>
            <w:tcW w:w="1872" w:type="dxa"/>
            <w:noWrap/>
            <w:vAlign w:val="center"/>
            <w:hideMark/>
          </w:tcPr>
          <w:p w14:paraId="0681B837" w14:textId="77777777" w:rsidR="00595F71" w:rsidRPr="00E97D2C" w:rsidRDefault="00595F71" w:rsidP="00696E8F">
            <w:pPr>
              <w:rPr>
                <w:rFonts w:cs="Arial"/>
                <w:color w:val="000000"/>
              </w:rPr>
            </w:pPr>
            <w:r w:rsidRPr="00E97D2C">
              <w:rPr>
                <w:rFonts w:cs="Arial"/>
                <w:color w:val="000000"/>
              </w:rPr>
              <w:t>0D158ZA</w:t>
            </w:r>
          </w:p>
        </w:tc>
        <w:tc>
          <w:tcPr>
            <w:tcW w:w="7560" w:type="dxa"/>
            <w:noWrap/>
            <w:vAlign w:val="center"/>
            <w:hideMark/>
          </w:tcPr>
          <w:p w14:paraId="3984BC0B" w14:textId="77777777" w:rsidR="00595F71" w:rsidRPr="00E97D2C" w:rsidRDefault="00595F71" w:rsidP="00696E8F">
            <w:pPr>
              <w:rPr>
                <w:rFonts w:cs="Arial"/>
                <w:color w:val="000000"/>
              </w:rPr>
            </w:pPr>
            <w:r w:rsidRPr="00E97D2C">
              <w:rPr>
                <w:rFonts w:cs="Arial"/>
                <w:color w:val="000000"/>
              </w:rPr>
              <w:t>Bypass Esophagus to Jejunum, Via Natural or Artificial Opening Endoscopic</w:t>
            </w:r>
          </w:p>
        </w:tc>
      </w:tr>
      <w:tr w:rsidR="00595F71" w:rsidRPr="00E97D2C" w14:paraId="4174432B" w14:textId="77777777" w:rsidTr="00696E8F">
        <w:trPr>
          <w:trHeight w:val="300"/>
        </w:trPr>
        <w:tc>
          <w:tcPr>
            <w:tcW w:w="1872" w:type="dxa"/>
            <w:noWrap/>
            <w:vAlign w:val="center"/>
            <w:hideMark/>
          </w:tcPr>
          <w:p w14:paraId="03E11050" w14:textId="77777777" w:rsidR="00595F71" w:rsidRPr="00E97D2C" w:rsidRDefault="00595F71" w:rsidP="00696E8F">
            <w:pPr>
              <w:rPr>
                <w:rFonts w:cs="Arial"/>
                <w:color w:val="000000"/>
              </w:rPr>
            </w:pPr>
            <w:r w:rsidRPr="00E97D2C">
              <w:rPr>
                <w:rFonts w:cs="Arial"/>
                <w:color w:val="000000"/>
              </w:rPr>
              <w:t>0D158ZB</w:t>
            </w:r>
          </w:p>
        </w:tc>
        <w:tc>
          <w:tcPr>
            <w:tcW w:w="7560" w:type="dxa"/>
            <w:noWrap/>
            <w:vAlign w:val="center"/>
            <w:hideMark/>
          </w:tcPr>
          <w:p w14:paraId="6C3B7E96" w14:textId="77777777" w:rsidR="00595F71" w:rsidRPr="00E97D2C" w:rsidRDefault="00595F71" w:rsidP="00696E8F">
            <w:pPr>
              <w:rPr>
                <w:rFonts w:cs="Arial"/>
                <w:color w:val="000000"/>
              </w:rPr>
            </w:pPr>
            <w:r w:rsidRPr="00E97D2C">
              <w:rPr>
                <w:rFonts w:cs="Arial"/>
                <w:color w:val="000000"/>
              </w:rPr>
              <w:t>Bypass Esophagus to Ileum, Via Natural or Artificial Opening Endoscopic</w:t>
            </w:r>
          </w:p>
        </w:tc>
      </w:tr>
      <w:tr w:rsidR="00595F71" w:rsidRPr="00E97D2C" w14:paraId="0789E5C6" w14:textId="77777777" w:rsidTr="00696E8F">
        <w:trPr>
          <w:trHeight w:val="300"/>
        </w:trPr>
        <w:tc>
          <w:tcPr>
            <w:tcW w:w="1872" w:type="dxa"/>
            <w:noWrap/>
            <w:vAlign w:val="center"/>
            <w:hideMark/>
          </w:tcPr>
          <w:p w14:paraId="24419A12" w14:textId="77777777" w:rsidR="00595F71" w:rsidRPr="00E97D2C" w:rsidRDefault="00595F71" w:rsidP="00696E8F">
            <w:pPr>
              <w:rPr>
                <w:rFonts w:cs="Arial"/>
                <w:color w:val="000000"/>
              </w:rPr>
            </w:pPr>
            <w:r w:rsidRPr="00E97D2C">
              <w:rPr>
                <w:rFonts w:cs="Arial"/>
                <w:color w:val="000000"/>
              </w:rPr>
              <w:t>0DB10ZZ</w:t>
            </w:r>
          </w:p>
        </w:tc>
        <w:tc>
          <w:tcPr>
            <w:tcW w:w="7560" w:type="dxa"/>
            <w:noWrap/>
            <w:vAlign w:val="center"/>
            <w:hideMark/>
          </w:tcPr>
          <w:p w14:paraId="03C06907" w14:textId="77777777" w:rsidR="00595F71" w:rsidRPr="00E97D2C" w:rsidRDefault="00595F71" w:rsidP="00696E8F">
            <w:pPr>
              <w:rPr>
                <w:rFonts w:cs="Arial"/>
                <w:color w:val="000000"/>
              </w:rPr>
            </w:pPr>
            <w:r w:rsidRPr="00E97D2C">
              <w:rPr>
                <w:rFonts w:cs="Arial"/>
                <w:color w:val="000000"/>
              </w:rPr>
              <w:t>Excision of Upper Esophagus, Open Approach</w:t>
            </w:r>
          </w:p>
        </w:tc>
      </w:tr>
      <w:tr w:rsidR="00595F71" w:rsidRPr="00E97D2C" w14:paraId="56E4BEB9" w14:textId="77777777" w:rsidTr="00696E8F">
        <w:trPr>
          <w:trHeight w:val="300"/>
        </w:trPr>
        <w:tc>
          <w:tcPr>
            <w:tcW w:w="1872" w:type="dxa"/>
            <w:noWrap/>
            <w:vAlign w:val="center"/>
            <w:hideMark/>
          </w:tcPr>
          <w:p w14:paraId="50408132" w14:textId="77777777" w:rsidR="00595F71" w:rsidRPr="00E97D2C" w:rsidRDefault="00595F71" w:rsidP="00696E8F">
            <w:pPr>
              <w:rPr>
                <w:rFonts w:cs="Arial"/>
                <w:color w:val="000000"/>
              </w:rPr>
            </w:pPr>
            <w:r w:rsidRPr="00E97D2C">
              <w:rPr>
                <w:rFonts w:cs="Arial"/>
                <w:color w:val="000000"/>
              </w:rPr>
              <w:t>0DB13ZZ</w:t>
            </w:r>
          </w:p>
        </w:tc>
        <w:tc>
          <w:tcPr>
            <w:tcW w:w="7560" w:type="dxa"/>
            <w:noWrap/>
            <w:vAlign w:val="center"/>
            <w:hideMark/>
          </w:tcPr>
          <w:p w14:paraId="55A931B5" w14:textId="77777777" w:rsidR="00595F71" w:rsidRPr="00E97D2C" w:rsidRDefault="00595F71" w:rsidP="00696E8F">
            <w:pPr>
              <w:rPr>
                <w:rFonts w:cs="Arial"/>
                <w:color w:val="000000"/>
              </w:rPr>
            </w:pPr>
            <w:r w:rsidRPr="00E97D2C">
              <w:rPr>
                <w:rFonts w:cs="Arial"/>
                <w:color w:val="000000"/>
              </w:rPr>
              <w:t>Excision of Upper Esophagus, Percutaneous Approach</w:t>
            </w:r>
          </w:p>
        </w:tc>
      </w:tr>
      <w:tr w:rsidR="00A8755F" w:rsidRPr="00E97D2C" w14:paraId="53DE8F4C" w14:textId="77777777" w:rsidTr="00696E8F">
        <w:trPr>
          <w:trHeight w:val="300"/>
        </w:trPr>
        <w:tc>
          <w:tcPr>
            <w:tcW w:w="1872" w:type="dxa"/>
            <w:noWrap/>
            <w:vAlign w:val="center"/>
          </w:tcPr>
          <w:p w14:paraId="5051D504" w14:textId="481D7BE0" w:rsidR="00A8755F" w:rsidRPr="00E97D2C" w:rsidRDefault="00A8755F" w:rsidP="00696E8F">
            <w:pPr>
              <w:rPr>
                <w:rFonts w:cs="Arial"/>
                <w:color w:val="000000"/>
              </w:rPr>
            </w:pPr>
            <w:r w:rsidRPr="00F30D82">
              <w:t>0DB14ZZ</w:t>
            </w:r>
          </w:p>
        </w:tc>
        <w:tc>
          <w:tcPr>
            <w:tcW w:w="7560" w:type="dxa"/>
            <w:noWrap/>
            <w:vAlign w:val="center"/>
          </w:tcPr>
          <w:p w14:paraId="6E65D663" w14:textId="2E261F29" w:rsidR="00A8755F" w:rsidRPr="00E97D2C" w:rsidRDefault="00A8755F" w:rsidP="00696E8F">
            <w:pPr>
              <w:rPr>
                <w:rFonts w:cs="Arial"/>
                <w:color w:val="000000"/>
              </w:rPr>
            </w:pPr>
            <w:r w:rsidRPr="00F30D82">
              <w:t>Excision of Upper Esophagus, Percutaneous Endoscopic Approach</w:t>
            </w:r>
          </w:p>
        </w:tc>
      </w:tr>
      <w:tr w:rsidR="00595F71" w:rsidRPr="00E97D2C" w14:paraId="38C6F747" w14:textId="77777777" w:rsidTr="00696E8F">
        <w:trPr>
          <w:trHeight w:val="300"/>
        </w:trPr>
        <w:tc>
          <w:tcPr>
            <w:tcW w:w="1872" w:type="dxa"/>
            <w:noWrap/>
            <w:vAlign w:val="center"/>
            <w:hideMark/>
          </w:tcPr>
          <w:p w14:paraId="2075B479" w14:textId="77777777" w:rsidR="00595F71" w:rsidRPr="00E97D2C" w:rsidRDefault="00595F71" w:rsidP="00696E8F">
            <w:pPr>
              <w:rPr>
                <w:rFonts w:cs="Arial"/>
                <w:color w:val="000000"/>
              </w:rPr>
            </w:pPr>
            <w:r w:rsidRPr="00E97D2C">
              <w:rPr>
                <w:rFonts w:cs="Arial"/>
                <w:color w:val="000000"/>
              </w:rPr>
              <w:t>0DB17ZZ</w:t>
            </w:r>
          </w:p>
        </w:tc>
        <w:tc>
          <w:tcPr>
            <w:tcW w:w="7560" w:type="dxa"/>
            <w:noWrap/>
            <w:vAlign w:val="center"/>
            <w:hideMark/>
          </w:tcPr>
          <w:p w14:paraId="5E9943B2" w14:textId="77777777" w:rsidR="00595F71" w:rsidRPr="00E97D2C" w:rsidRDefault="00595F71" w:rsidP="00696E8F">
            <w:pPr>
              <w:rPr>
                <w:rFonts w:cs="Arial"/>
                <w:color w:val="000000"/>
              </w:rPr>
            </w:pPr>
            <w:r w:rsidRPr="00E97D2C">
              <w:rPr>
                <w:rFonts w:cs="Arial"/>
                <w:color w:val="000000"/>
              </w:rPr>
              <w:t>Excision of Upper Esophagus, Via Natural or Artificial Opening</w:t>
            </w:r>
          </w:p>
        </w:tc>
      </w:tr>
      <w:tr w:rsidR="00EA7A8D" w:rsidRPr="00E97D2C" w14:paraId="34D8DBD1" w14:textId="77777777" w:rsidTr="00696E8F">
        <w:trPr>
          <w:trHeight w:val="300"/>
        </w:trPr>
        <w:tc>
          <w:tcPr>
            <w:tcW w:w="1872" w:type="dxa"/>
            <w:noWrap/>
            <w:vAlign w:val="center"/>
          </w:tcPr>
          <w:p w14:paraId="18C97512" w14:textId="29725E3F" w:rsidR="00EA7A8D" w:rsidRPr="00E97D2C" w:rsidRDefault="00EA7A8D" w:rsidP="00696E8F">
            <w:pPr>
              <w:rPr>
                <w:rFonts w:cs="Arial"/>
                <w:color w:val="000000"/>
              </w:rPr>
            </w:pPr>
            <w:r w:rsidRPr="00EA7A8D">
              <w:rPr>
                <w:rFonts w:cs="Arial"/>
                <w:color w:val="000000"/>
              </w:rPr>
              <w:t>0DB18ZZ</w:t>
            </w:r>
          </w:p>
        </w:tc>
        <w:tc>
          <w:tcPr>
            <w:tcW w:w="7560" w:type="dxa"/>
            <w:noWrap/>
            <w:vAlign w:val="center"/>
          </w:tcPr>
          <w:p w14:paraId="039CE3B9" w14:textId="2821AACB" w:rsidR="00EA7A8D" w:rsidRPr="00E97D2C" w:rsidRDefault="00EA7A8D" w:rsidP="00696E8F">
            <w:pPr>
              <w:rPr>
                <w:rFonts w:cs="Arial"/>
                <w:color w:val="000000"/>
              </w:rPr>
            </w:pPr>
            <w:r w:rsidRPr="00EA7A8D">
              <w:rPr>
                <w:rFonts w:cs="Arial"/>
                <w:color w:val="000000"/>
              </w:rPr>
              <w:t>Excision of Upper Esophagus, Via Natural or Artificial Opening Endoscopic</w:t>
            </w:r>
          </w:p>
        </w:tc>
      </w:tr>
      <w:tr w:rsidR="00595F71" w:rsidRPr="00E97D2C" w14:paraId="5AFB1CDF" w14:textId="77777777" w:rsidTr="00696E8F">
        <w:trPr>
          <w:trHeight w:val="300"/>
        </w:trPr>
        <w:tc>
          <w:tcPr>
            <w:tcW w:w="1872" w:type="dxa"/>
            <w:noWrap/>
            <w:vAlign w:val="center"/>
            <w:hideMark/>
          </w:tcPr>
          <w:p w14:paraId="4409430C" w14:textId="77777777" w:rsidR="00595F71" w:rsidRPr="00E97D2C" w:rsidRDefault="00595F71" w:rsidP="00696E8F">
            <w:pPr>
              <w:rPr>
                <w:rFonts w:cs="Arial"/>
                <w:color w:val="000000"/>
              </w:rPr>
            </w:pPr>
            <w:r w:rsidRPr="00E97D2C">
              <w:rPr>
                <w:rFonts w:cs="Arial"/>
                <w:color w:val="000000"/>
              </w:rPr>
              <w:t>0DB20ZZ</w:t>
            </w:r>
          </w:p>
        </w:tc>
        <w:tc>
          <w:tcPr>
            <w:tcW w:w="7560" w:type="dxa"/>
            <w:noWrap/>
            <w:vAlign w:val="center"/>
            <w:hideMark/>
          </w:tcPr>
          <w:p w14:paraId="325DFE8C" w14:textId="77777777" w:rsidR="00595F71" w:rsidRPr="00E97D2C" w:rsidRDefault="00595F71" w:rsidP="00696E8F">
            <w:pPr>
              <w:rPr>
                <w:rFonts w:cs="Arial"/>
                <w:color w:val="000000"/>
              </w:rPr>
            </w:pPr>
            <w:r w:rsidRPr="00E97D2C">
              <w:rPr>
                <w:rFonts w:cs="Arial"/>
                <w:color w:val="000000"/>
              </w:rPr>
              <w:t>Excision of Middle Esophagus, Open Approach</w:t>
            </w:r>
          </w:p>
        </w:tc>
      </w:tr>
      <w:tr w:rsidR="00595F71" w:rsidRPr="00E97D2C" w14:paraId="0F1EAF21" w14:textId="77777777" w:rsidTr="00696E8F">
        <w:trPr>
          <w:trHeight w:val="300"/>
        </w:trPr>
        <w:tc>
          <w:tcPr>
            <w:tcW w:w="1872" w:type="dxa"/>
            <w:noWrap/>
            <w:vAlign w:val="center"/>
            <w:hideMark/>
          </w:tcPr>
          <w:p w14:paraId="6E8F72F2" w14:textId="77777777" w:rsidR="00595F71" w:rsidRPr="00E97D2C" w:rsidRDefault="00595F71" w:rsidP="00696E8F">
            <w:pPr>
              <w:rPr>
                <w:rFonts w:cs="Arial"/>
                <w:color w:val="000000"/>
              </w:rPr>
            </w:pPr>
            <w:r w:rsidRPr="00E97D2C">
              <w:rPr>
                <w:rFonts w:cs="Arial"/>
                <w:color w:val="000000"/>
              </w:rPr>
              <w:t>0DB23ZZ</w:t>
            </w:r>
          </w:p>
        </w:tc>
        <w:tc>
          <w:tcPr>
            <w:tcW w:w="7560" w:type="dxa"/>
            <w:noWrap/>
            <w:vAlign w:val="center"/>
            <w:hideMark/>
          </w:tcPr>
          <w:p w14:paraId="1039A940" w14:textId="77777777" w:rsidR="00595F71" w:rsidRPr="00E97D2C" w:rsidRDefault="00595F71" w:rsidP="00696E8F">
            <w:pPr>
              <w:rPr>
                <w:rFonts w:cs="Arial"/>
                <w:color w:val="000000"/>
              </w:rPr>
            </w:pPr>
            <w:r w:rsidRPr="00E97D2C">
              <w:rPr>
                <w:rFonts w:cs="Arial"/>
                <w:color w:val="000000"/>
              </w:rPr>
              <w:t>Excision of Middle Esophagus, Percutaneous Approach</w:t>
            </w:r>
          </w:p>
        </w:tc>
      </w:tr>
      <w:tr w:rsidR="00A8755F" w:rsidRPr="00E97D2C" w14:paraId="04A1DDC0" w14:textId="77777777" w:rsidTr="00696E8F">
        <w:trPr>
          <w:trHeight w:val="300"/>
        </w:trPr>
        <w:tc>
          <w:tcPr>
            <w:tcW w:w="1872" w:type="dxa"/>
            <w:noWrap/>
            <w:vAlign w:val="center"/>
          </w:tcPr>
          <w:p w14:paraId="0A68640F" w14:textId="09AA1DCA" w:rsidR="00A8755F" w:rsidRPr="00E97D2C" w:rsidRDefault="00A8755F" w:rsidP="00696E8F">
            <w:pPr>
              <w:rPr>
                <w:rFonts w:cs="Arial"/>
                <w:color w:val="000000"/>
              </w:rPr>
            </w:pPr>
            <w:r w:rsidRPr="00200CD4">
              <w:t>0DB24ZZ</w:t>
            </w:r>
          </w:p>
        </w:tc>
        <w:tc>
          <w:tcPr>
            <w:tcW w:w="7560" w:type="dxa"/>
            <w:noWrap/>
            <w:vAlign w:val="center"/>
          </w:tcPr>
          <w:p w14:paraId="61D35CF4" w14:textId="5E4572CC" w:rsidR="00A8755F" w:rsidRPr="00E97D2C" w:rsidRDefault="00A8755F" w:rsidP="00696E8F">
            <w:pPr>
              <w:rPr>
                <w:rFonts w:cs="Arial"/>
                <w:color w:val="000000"/>
              </w:rPr>
            </w:pPr>
            <w:r w:rsidRPr="00200CD4">
              <w:t>Excision of Middle Esophagus, Percutaneous Endoscopic Approach</w:t>
            </w:r>
          </w:p>
        </w:tc>
      </w:tr>
      <w:tr w:rsidR="00595F71" w:rsidRPr="00E97D2C" w14:paraId="0EFB789D" w14:textId="77777777" w:rsidTr="00696E8F">
        <w:trPr>
          <w:trHeight w:val="300"/>
        </w:trPr>
        <w:tc>
          <w:tcPr>
            <w:tcW w:w="1872" w:type="dxa"/>
            <w:noWrap/>
            <w:vAlign w:val="center"/>
            <w:hideMark/>
          </w:tcPr>
          <w:p w14:paraId="27314547" w14:textId="77777777" w:rsidR="00595F71" w:rsidRPr="00E97D2C" w:rsidRDefault="00595F71" w:rsidP="00696E8F">
            <w:pPr>
              <w:rPr>
                <w:rFonts w:cs="Arial"/>
                <w:color w:val="000000"/>
              </w:rPr>
            </w:pPr>
            <w:r w:rsidRPr="00E97D2C">
              <w:rPr>
                <w:rFonts w:cs="Arial"/>
                <w:color w:val="000000"/>
              </w:rPr>
              <w:t>0DB27ZZ</w:t>
            </w:r>
          </w:p>
        </w:tc>
        <w:tc>
          <w:tcPr>
            <w:tcW w:w="7560" w:type="dxa"/>
            <w:noWrap/>
            <w:vAlign w:val="center"/>
            <w:hideMark/>
          </w:tcPr>
          <w:p w14:paraId="283B88CA" w14:textId="77777777" w:rsidR="00595F71" w:rsidRPr="00E97D2C" w:rsidRDefault="00595F71" w:rsidP="00696E8F">
            <w:pPr>
              <w:rPr>
                <w:rFonts w:cs="Arial"/>
                <w:color w:val="000000"/>
              </w:rPr>
            </w:pPr>
            <w:r w:rsidRPr="00E97D2C">
              <w:rPr>
                <w:rFonts w:cs="Arial"/>
                <w:color w:val="000000"/>
              </w:rPr>
              <w:t>Excision of Middle Esophagus, Via Natural or Artificial Opening</w:t>
            </w:r>
          </w:p>
        </w:tc>
      </w:tr>
      <w:tr w:rsidR="00EA7A8D" w:rsidRPr="00E97D2C" w14:paraId="685CA414" w14:textId="77777777" w:rsidTr="00696E8F">
        <w:trPr>
          <w:trHeight w:val="300"/>
        </w:trPr>
        <w:tc>
          <w:tcPr>
            <w:tcW w:w="1872" w:type="dxa"/>
            <w:noWrap/>
            <w:vAlign w:val="center"/>
          </w:tcPr>
          <w:p w14:paraId="518BE2A2" w14:textId="42461D8C" w:rsidR="00EA7A8D" w:rsidRPr="00E97D2C" w:rsidRDefault="00EA7A8D" w:rsidP="00696E8F">
            <w:pPr>
              <w:rPr>
                <w:rFonts w:cs="Arial"/>
                <w:color w:val="000000"/>
              </w:rPr>
            </w:pPr>
            <w:r w:rsidRPr="00EA7A8D">
              <w:rPr>
                <w:rFonts w:cs="Arial"/>
                <w:color w:val="000000"/>
              </w:rPr>
              <w:t xml:space="preserve">0DB28ZZ </w:t>
            </w:r>
          </w:p>
        </w:tc>
        <w:tc>
          <w:tcPr>
            <w:tcW w:w="7560" w:type="dxa"/>
            <w:noWrap/>
            <w:vAlign w:val="center"/>
          </w:tcPr>
          <w:p w14:paraId="7E8250A4" w14:textId="16E86D83" w:rsidR="00EA7A8D" w:rsidRPr="00E97D2C" w:rsidRDefault="00EA7A8D" w:rsidP="00696E8F">
            <w:pPr>
              <w:rPr>
                <w:rFonts w:cs="Arial"/>
                <w:color w:val="000000"/>
              </w:rPr>
            </w:pPr>
            <w:r w:rsidRPr="00EA7A8D">
              <w:rPr>
                <w:rFonts w:cs="Arial"/>
                <w:color w:val="000000"/>
              </w:rPr>
              <w:t>Excision of Middle Esophagus, Via Natural or Artificial Opening Endoscopic</w:t>
            </w:r>
          </w:p>
        </w:tc>
      </w:tr>
      <w:tr w:rsidR="00595F71" w:rsidRPr="00E97D2C" w14:paraId="3F95502D" w14:textId="77777777" w:rsidTr="00696E8F">
        <w:trPr>
          <w:trHeight w:val="300"/>
        </w:trPr>
        <w:tc>
          <w:tcPr>
            <w:tcW w:w="1872" w:type="dxa"/>
            <w:noWrap/>
            <w:vAlign w:val="center"/>
            <w:hideMark/>
          </w:tcPr>
          <w:p w14:paraId="604EE099" w14:textId="77777777" w:rsidR="00595F71" w:rsidRPr="00E97D2C" w:rsidRDefault="00595F71" w:rsidP="00696E8F">
            <w:pPr>
              <w:rPr>
                <w:rFonts w:cs="Arial"/>
                <w:color w:val="000000"/>
              </w:rPr>
            </w:pPr>
            <w:r w:rsidRPr="00E97D2C">
              <w:rPr>
                <w:rFonts w:cs="Arial"/>
                <w:color w:val="000000"/>
              </w:rPr>
              <w:t>0DB30ZZ</w:t>
            </w:r>
          </w:p>
        </w:tc>
        <w:tc>
          <w:tcPr>
            <w:tcW w:w="7560" w:type="dxa"/>
            <w:noWrap/>
            <w:vAlign w:val="center"/>
            <w:hideMark/>
          </w:tcPr>
          <w:p w14:paraId="4D0B24F3" w14:textId="77777777" w:rsidR="00595F71" w:rsidRPr="00E97D2C" w:rsidRDefault="00595F71" w:rsidP="00696E8F">
            <w:pPr>
              <w:rPr>
                <w:rFonts w:cs="Arial"/>
                <w:color w:val="000000"/>
              </w:rPr>
            </w:pPr>
            <w:r w:rsidRPr="00E97D2C">
              <w:rPr>
                <w:rFonts w:cs="Arial"/>
                <w:color w:val="000000"/>
              </w:rPr>
              <w:t>Excision of Lower Esophagus, Open Approach</w:t>
            </w:r>
          </w:p>
        </w:tc>
      </w:tr>
      <w:tr w:rsidR="00595F71" w:rsidRPr="00E97D2C" w14:paraId="6C102EB1" w14:textId="77777777" w:rsidTr="00696E8F">
        <w:trPr>
          <w:trHeight w:val="300"/>
        </w:trPr>
        <w:tc>
          <w:tcPr>
            <w:tcW w:w="1872" w:type="dxa"/>
            <w:noWrap/>
            <w:vAlign w:val="center"/>
            <w:hideMark/>
          </w:tcPr>
          <w:p w14:paraId="5E319647" w14:textId="77777777" w:rsidR="00595F71" w:rsidRPr="00E97D2C" w:rsidRDefault="00595F71" w:rsidP="00696E8F">
            <w:pPr>
              <w:rPr>
                <w:rFonts w:cs="Arial"/>
                <w:color w:val="000000"/>
              </w:rPr>
            </w:pPr>
            <w:r w:rsidRPr="00E97D2C">
              <w:rPr>
                <w:rFonts w:cs="Arial"/>
                <w:color w:val="000000"/>
              </w:rPr>
              <w:t>0DB33ZZ</w:t>
            </w:r>
          </w:p>
        </w:tc>
        <w:tc>
          <w:tcPr>
            <w:tcW w:w="7560" w:type="dxa"/>
            <w:noWrap/>
            <w:vAlign w:val="center"/>
            <w:hideMark/>
          </w:tcPr>
          <w:p w14:paraId="2F5F0A05" w14:textId="77777777" w:rsidR="00595F71" w:rsidRPr="00E97D2C" w:rsidRDefault="00595F71" w:rsidP="00696E8F">
            <w:pPr>
              <w:rPr>
                <w:rFonts w:cs="Arial"/>
                <w:color w:val="000000"/>
              </w:rPr>
            </w:pPr>
            <w:r w:rsidRPr="00E97D2C">
              <w:rPr>
                <w:rFonts w:cs="Arial"/>
                <w:color w:val="000000"/>
              </w:rPr>
              <w:t>Excision of Lower Esophagus, Percutaneous Approach</w:t>
            </w:r>
          </w:p>
        </w:tc>
      </w:tr>
      <w:tr w:rsidR="00A8755F" w:rsidRPr="00E97D2C" w14:paraId="7650357B" w14:textId="77777777" w:rsidTr="00696E8F">
        <w:trPr>
          <w:trHeight w:val="300"/>
        </w:trPr>
        <w:tc>
          <w:tcPr>
            <w:tcW w:w="1872" w:type="dxa"/>
            <w:noWrap/>
            <w:vAlign w:val="center"/>
          </w:tcPr>
          <w:p w14:paraId="3C65AC24" w14:textId="35CD9983" w:rsidR="00A8755F" w:rsidRPr="00E97D2C" w:rsidRDefault="00A8755F" w:rsidP="00696E8F">
            <w:pPr>
              <w:rPr>
                <w:rFonts w:cs="Arial"/>
                <w:color w:val="000000"/>
              </w:rPr>
            </w:pPr>
            <w:r w:rsidRPr="005F11C9">
              <w:rPr>
                <w:rFonts w:cs="Arial"/>
                <w:color w:val="000000"/>
              </w:rPr>
              <w:t>0DB34ZZ</w:t>
            </w:r>
          </w:p>
        </w:tc>
        <w:tc>
          <w:tcPr>
            <w:tcW w:w="7560" w:type="dxa"/>
            <w:noWrap/>
            <w:vAlign w:val="center"/>
          </w:tcPr>
          <w:p w14:paraId="2389BE24" w14:textId="2B8717C6" w:rsidR="00A8755F" w:rsidRPr="00E97D2C" w:rsidRDefault="00A8755F" w:rsidP="00696E8F">
            <w:pPr>
              <w:rPr>
                <w:rFonts w:cs="Arial"/>
                <w:color w:val="000000"/>
              </w:rPr>
            </w:pPr>
            <w:r w:rsidRPr="00E97D2C">
              <w:rPr>
                <w:rFonts w:cs="Arial"/>
                <w:color w:val="000000"/>
              </w:rPr>
              <w:t xml:space="preserve">Excision of </w:t>
            </w:r>
            <w:r>
              <w:rPr>
                <w:rFonts w:cs="Arial"/>
                <w:color w:val="000000"/>
              </w:rPr>
              <w:t>Lower</w:t>
            </w:r>
            <w:r w:rsidRPr="00E97D2C">
              <w:rPr>
                <w:rFonts w:cs="Arial"/>
                <w:color w:val="000000"/>
              </w:rPr>
              <w:t xml:space="preserve"> Esophagus, Percutaneous </w:t>
            </w:r>
            <w:r>
              <w:rPr>
                <w:rFonts w:cs="Arial"/>
                <w:color w:val="000000"/>
              </w:rPr>
              <w:t xml:space="preserve">Endoscopic </w:t>
            </w:r>
            <w:r w:rsidRPr="00E97D2C">
              <w:rPr>
                <w:rFonts w:cs="Arial"/>
                <w:color w:val="000000"/>
              </w:rPr>
              <w:t>Approach</w:t>
            </w:r>
          </w:p>
        </w:tc>
      </w:tr>
      <w:tr w:rsidR="00EA7A8D" w:rsidRPr="00E97D2C" w14:paraId="3877193C" w14:textId="77777777" w:rsidTr="00696E8F">
        <w:trPr>
          <w:trHeight w:val="300"/>
        </w:trPr>
        <w:tc>
          <w:tcPr>
            <w:tcW w:w="1872" w:type="dxa"/>
            <w:noWrap/>
            <w:vAlign w:val="center"/>
          </w:tcPr>
          <w:p w14:paraId="691F0B36" w14:textId="1CF21F6E" w:rsidR="00EA7A8D" w:rsidRPr="005F11C9" w:rsidRDefault="00EA7A8D" w:rsidP="00696E8F">
            <w:pPr>
              <w:rPr>
                <w:rFonts w:cs="Arial"/>
                <w:color w:val="000000"/>
              </w:rPr>
            </w:pPr>
            <w:r w:rsidRPr="00E97D2C">
              <w:rPr>
                <w:rFonts w:cs="Arial"/>
                <w:color w:val="000000"/>
              </w:rPr>
              <w:t>0DB37ZZ</w:t>
            </w:r>
          </w:p>
        </w:tc>
        <w:tc>
          <w:tcPr>
            <w:tcW w:w="7560" w:type="dxa"/>
            <w:noWrap/>
            <w:vAlign w:val="center"/>
          </w:tcPr>
          <w:p w14:paraId="66FDFA45" w14:textId="0FAC8745" w:rsidR="00EA7A8D" w:rsidRPr="00E97D2C" w:rsidRDefault="00EA7A8D" w:rsidP="00696E8F">
            <w:pPr>
              <w:rPr>
                <w:rFonts w:cs="Arial"/>
                <w:color w:val="000000"/>
              </w:rPr>
            </w:pPr>
            <w:r w:rsidRPr="00E97D2C">
              <w:rPr>
                <w:rFonts w:cs="Arial"/>
                <w:color w:val="000000"/>
              </w:rPr>
              <w:t>Excision of Lower Esophagus, Via Natural or Artificial Opening</w:t>
            </w:r>
          </w:p>
        </w:tc>
      </w:tr>
      <w:tr w:rsidR="00EA7A8D" w:rsidRPr="00E97D2C" w14:paraId="720252AC" w14:textId="77777777" w:rsidTr="00696E8F">
        <w:trPr>
          <w:trHeight w:val="300"/>
        </w:trPr>
        <w:tc>
          <w:tcPr>
            <w:tcW w:w="1872" w:type="dxa"/>
            <w:noWrap/>
            <w:vAlign w:val="center"/>
          </w:tcPr>
          <w:p w14:paraId="43DC2414" w14:textId="17DEC8A9" w:rsidR="00EA7A8D" w:rsidRPr="00E97D2C" w:rsidRDefault="00EA7A8D" w:rsidP="00696E8F">
            <w:pPr>
              <w:rPr>
                <w:rFonts w:cs="Arial"/>
                <w:color w:val="000000"/>
              </w:rPr>
            </w:pPr>
            <w:r w:rsidRPr="00EA7A8D">
              <w:rPr>
                <w:rFonts w:cs="Arial"/>
                <w:color w:val="000000"/>
              </w:rPr>
              <w:t>0DB38ZZ</w:t>
            </w:r>
          </w:p>
        </w:tc>
        <w:tc>
          <w:tcPr>
            <w:tcW w:w="7560" w:type="dxa"/>
            <w:noWrap/>
            <w:vAlign w:val="center"/>
          </w:tcPr>
          <w:p w14:paraId="6F60DCC5" w14:textId="7CC8888C" w:rsidR="00EA7A8D" w:rsidRPr="00E97D2C" w:rsidRDefault="00EA7A8D" w:rsidP="00696E8F">
            <w:pPr>
              <w:rPr>
                <w:rFonts w:cs="Arial"/>
                <w:color w:val="000000"/>
              </w:rPr>
            </w:pPr>
            <w:r w:rsidRPr="00EA7A8D">
              <w:rPr>
                <w:rFonts w:cs="Arial"/>
                <w:color w:val="000000"/>
              </w:rPr>
              <w:t>Excision of Lower Esophagus, Via Natural or Artificial Opening Endoscopic</w:t>
            </w:r>
          </w:p>
        </w:tc>
      </w:tr>
      <w:tr w:rsidR="00EA7A8D" w:rsidRPr="00E97D2C" w14:paraId="21C7382C" w14:textId="77777777" w:rsidTr="00696E8F">
        <w:trPr>
          <w:trHeight w:val="300"/>
        </w:trPr>
        <w:tc>
          <w:tcPr>
            <w:tcW w:w="1872" w:type="dxa"/>
            <w:noWrap/>
            <w:vAlign w:val="center"/>
            <w:hideMark/>
          </w:tcPr>
          <w:p w14:paraId="5E2A79E8" w14:textId="77777777" w:rsidR="00EA7A8D" w:rsidRPr="00E97D2C" w:rsidRDefault="00EA7A8D" w:rsidP="00696E8F">
            <w:pPr>
              <w:rPr>
                <w:rFonts w:cs="Arial"/>
                <w:color w:val="000000"/>
              </w:rPr>
            </w:pPr>
            <w:r w:rsidRPr="00E97D2C">
              <w:rPr>
                <w:rFonts w:cs="Arial"/>
                <w:color w:val="000000"/>
              </w:rPr>
              <w:t>0DB50ZZ</w:t>
            </w:r>
          </w:p>
        </w:tc>
        <w:tc>
          <w:tcPr>
            <w:tcW w:w="7560" w:type="dxa"/>
            <w:noWrap/>
            <w:vAlign w:val="center"/>
            <w:hideMark/>
          </w:tcPr>
          <w:p w14:paraId="1E93A900" w14:textId="77777777" w:rsidR="00EA7A8D" w:rsidRPr="00E97D2C" w:rsidRDefault="00EA7A8D" w:rsidP="00696E8F">
            <w:pPr>
              <w:rPr>
                <w:rFonts w:cs="Arial"/>
                <w:color w:val="000000"/>
              </w:rPr>
            </w:pPr>
            <w:r w:rsidRPr="00E97D2C">
              <w:rPr>
                <w:rFonts w:cs="Arial"/>
                <w:color w:val="000000"/>
              </w:rPr>
              <w:t>Excision of Esophagus, Open Approach</w:t>
            </w:r>
          </w:p>
        </w:tc>
      </w:tr>
      <w:tr w:rsidR="00EA7A8D" w:rsidRPr="00E97D2C" w14:paraId="61D68BC0" w14:textId="77777777" w:rsidTr="00696E8F">
        <w:trPr>
          <w:trHeight w:val="300"/>
        </w:trPr>
        <w:tc>
          <w:tcPr>
            <w:tcW w:w="1872" w:type="dxa"/>
            <w:noWrap/>
            <w:vAlign w:val="center"/>
            <w:hideMark/>
          </w:tcPr>
          <w:p w14:paraId="72C2BB49" w14:textId="77777777" w:rsidR="00EA7A8D" w:rsidRPr="00E97D2C" w:rsidRDefault="00EA7A8D" w:rsidP="00696E8F">
            <w:pPr>
              <w:rPr>
                <w:rFonts w:cs="Arial"/>
                <w:color w:val="000000"/>
              </w:rPr>
            </w:pPr>
            <w:r w:rsidRPr="00E97D2C">
              <w:rPr>
                <w:rFonts w:cs="Arial"/>
                <w:color w:val="000000"/>
              </w:rPr>
              <w:t>0DB53ZZ</w:t>
            </w:r>
          </w:p>
        </w:tc>
        <w:tc>
          <w:tcPr>
            <w:tcW w:w="7560" w:type="dxa"/>
            <w:noWrap/>
            <w:vAlign w:val="center"/>
            <w:hideMark/>
          </w:tcPr>
          <w:p w14:paraId="3397CE6A" w14:textId="77777777" w:rsidR="00EA7A8D" w:rsidRPr="00E97D2C" w:rsidRDefault="00EA7A8D" w:rsidP="00696E8F">
            <w:pPr>
              <w:rPr>
                <w:rFonts w:cs="Arial"/>
                <w:color w:val="000000"/>
              </w:rPr>
            </w:pPr>
            <w:r w:rsidRPr="00E97D2C">
              <w:rPr>
                <w:rFonts w:cs="Arial"/>
                <w:color w:val="000000"/>
              </w:rPr>
              <w:t>Excision of Esophagus, Percutaneous Approach</w:t>
            </w:r>
          </w:p>
        </w:tc>
      </w:tr>
      <w:tr w:rsidR="00EA7A8D" w:rsidRPr="00E97D2C" w14:paraId="198D4505" w14:textId="77777777" w:rsidTr="00696E8F">
        <w:trPr>
          <w:trHeight w:val="300"/>
        </w:trPr>
        <w:tc>
          <w:tcPr>
            <w:tcW w:w="1872" w:type="dxa"/>
            <w:noWrap/>
            <w:vAlign w:val="center"/>
          </w:tcPr>
          <w:p w14:paraId="55A643D4" w14:textId="2F885490" w:rsidR="00EA7A8D" w:rsidRPr="00E97D2C" w:rsidRDefault="00EA7A8D" w:rsidP="00696E8F">
            <w:pPr>
              <w:rPr>
                <w:rFonts w:cs="Arial"/>
                <w:color w:val="000000"/>
              </w:rPr>
            </w:pPr>
            <w:r w:rsidRPr="00EA7A8D">
              <w:rPr>
                <w:rFonts w:cs="Arial"/>
                <w:color w:val="000000"/>
              </w:rPr>
              <w:t>0DB54ZZ</w:t>
            </w:r>
          </w:p>
        </w:tc>
        <w:tc>
          <w:tcPr>
            <w:tcW w:w="7560" w:type="dxa"/>
            <w:noWrap/>
            <w:vAlign w:val="center"/>
          </w:tcPr>
          <w:p w14:paraId="66850E95" w14:textId="2534DF81" w:rsidR="00EA7A8D" w:rsidRPr="00E97D2C" w:rsidRDefault="00EA7A8D" w:rsidP="00696E8F">
            <w:pPr>
              <w:rPr>
                <w:rFonts w:cs="Arial"/>
                <w:color w:val="000000"/>
              </w:rPr>
            </w:pPr>
            <w:r w:rsidRPr="00EA7A8D">
              <w:rPr>
                <w:rFonts w:cs="Arial"/>
                <w:color w:val="000000"/>
              </w:rPr>
              <w:t>Excision of Esophagus, Percutaneous Endoscopic Approach</w:t>
            </w:r>
          </w:p>
        </w:tc>
      </w:tr>
      <w:tr w:rsidR="00EA7A8D" w:rsidRPr="00E97D2C" w14:paraId="0AD30D93" w14:textId="77777777" w:rsidTr="00696E8F">
        <w:trPr>
          <w:trHeight w:val="300"/>
        </w:trPr>
        <w:tc>
          <w:tcPr>
            <w:tcW w:w="1872" w:type="dxa"/>
            <w:noWrap/>
            <w:vAlign w:val="center"/>
            <w:hideMark/>
          </w:tcPr>
          <w:p w14:paraId="7EBC3D62" w14:textId="77777777" w:rsidR="00EA7A8D" w:rsidRPr="00E97D2C" w:rsidRDefault="00EA7A8D" w:rsidP="00696E8F">
            <w:pPr>
              <w:rPr>
                <w:rFonts w:cs="Arial"/>
                <w:color w:val="000000"/>
              </w:rPr>
            </w:pPr>
            <w:r w:rsidRPr="00E97D2C">
              <w:rPr>
                <w:rFonts w:cs="Arial"/>
                <w:color w:val="000000"/>
              </w:rPr>
              <w:t>0DB57ZZ</w:t>
            </w:r>
          </w:p>
        </w:tc>
        <w:tc>
          <w:tcPr>
            <w:tcW w:w="7560" w:type="dxa"/>
            <w:noWrap/>
            <w:vAlign w:val="center"/>
            <w:hideMark/>
          </w:tcPr>
          <w:p w14:paraId="168BC361" w14:textId="77777777" w:rsidR="00EA7A8D" w:rsidRPr="00E97D2C" w:rsidRDefault="00EA7A8D" w:rsidP="00696E8F">
            <w:pPr>
              <w:rPr>
                <w:rFonts w:cs="Arial"/>
                <w:color w:val="000000"/>
              </w:rPr>
            </w:pPr>
            <w:r w:rsidRPr="00E97D2C">
              <w:rPr>
                <w:rFonts w:cs="Arial"/>
                <w:color w:val="000000"/>
              </w:rPr>
              <w:t>Excision of Esophagus, Via Natural or Artificial Opening</w:t>
            </w:r>
          </w:p>
        </w:tc>
      </w:tr>
      <w:tr w:rsidR="00EA7A8D" w:rsidRPr="00E97D2C" w14:paraId="496AD308" w14:textId="77777777" w:rsidTr="00696E8F">
        <w:trPr>
          <w:trHeight w:val="300"/>
        </w:trPr>
        <w:tc>
          <w:tcPr>
            <w:tcW w:w="1872" w:type="dxa"/>
            <w:noWrap/>
            <w:vAlign w:val="center"/>
          </w:tcPr>
          <w:p w14:paraId="69A74B17" w14:textId="74A0650A" w:rsidR="00EA7A8D" w:rsidRPr="00E97D2C" w:rsidRDefault="00EA7A8D" w:rsidP="00696E8F">
            <w:pPr>
              <w:rPr>
                <w:rFonts w:cs="Arial"/>
                <w:color w:val="000000"/>
              </w:rPr>
            </w:pPr>
            <w:r w:rsidRPr="00EA7A8D">
              <w:rPr>
                <w:rFonts w:cs="Arial"/>
                <w:color w:val="000000"/>
              </w:rPr>
              <w:t>0DB58ZZ</w:t>
            </w:r>
          </w:p>
        </w:tc>
        <w:tc>
          <w:tcPr>
            <w:tcW w:w="7560" w:type="dxa"/>
            <w:noWrap/>
            <w:vAlign w:val="center"/>
          </w:tcPr>
          <w:p w14:paraId="51F89B4E" w14:textId="3515E9D9" w:rsidR="00EA7A8D" w:rsidRPr="00E97D2C" w:rsidRDefault="00EA7A8D" w:rsidP="00696E8F">
            <w:pPr>
              <w:rPr>
                <w:rFonts w:cs="Arial"/>
                <w:color w:val="000000"/>
              </w:rPr>
            </w:pPr>
            <w:r w:rsidRPr="00EA7A8D">
              <w:rPr>
                <w:rFonts w:cs="Arial"/>
                <w:color w:val="000000"/>
              </w:rPr>
              <w:t>Excision of Esophagus, Via Natural or Artificial Opening Endoscopic</w:t>
            </w:r>
          </w:p>
        </w:tc>
      </w:tr>
      <w:tr w:rsidR="00EA7A8D" w:rsidRPr="00E97D2C" w14:paraId="3916E58C" w14:textId="77777777" w:rsidTr="00696E8F">
        <w:trPr>
          <w:trHeight w:val="300"/>
        </w:trPr>
        <w:tc>
          <w:tcPr>
            <w:tcW w:w="1872" w:type="dxa"/>
            <w:noWrap/>
            <w:vAlign w:val="center"/>
            <w:hideMark/>
          </w:tcPr>
          <w:p w14:paraId="5DBC6FC1" w14:textId="77777777" w:rsidR="00EA7A8D" w:rsidRPr="00E97D2C" w:rsidRDefault="00EA7A8D" w:rsidP="00696E8F">
            <w:pPr>
              <w:rPr>
                <w:rFonts w:cs="Arial"/>
                <w:color w:val="000000"/>
              </w:rPr>
            </w:pPr>
            <w:r w:rsidRPr="00E97D2C">
              <w:rPr>
                <w:rFonts w:cs="Arial"/>
                <w:color w:val="000000"/>
              </w:rPr>
              <w:t>0DT10ZZ</w:t>
            </w:r>
          </w:p>
        </w:tc>
        <w:tc>
          <w:tcPr>
            <w:tcW w:w="7560" w:type="dxa"/>
            <w:noWrap/>
            <w:vAlign w:val="center"/>
            <w:hideMark/>
          </w:tcPr>
          <w:p w14:paraId="21183786" w14:textId="77777777" w:rsidR="00EA7A8D" w:rsidRPr="00E97D2C" w:rsidRDefault="00EA7A8D" w:rsidP="00696E8F">
            <w:pPr>
              <w:rPr>
                <w:rFonts w:cs="Arial"/>
                <w:color w:val="000000"/>
              </w:rPr>
            </w:pPr>
            <w:r w:rsidRPr="00E97D2C">
              <w:rPr>
                <w:rFonts w:cs="Arial"/>
                <w:color w:val="000000"/>
              </w:rPr>
              <w:t>Resection of Upper Esophagus, Open Approach</w:t>
            </w:r>
          </w:p>
        </w:tc>
      </w:tr>
      <w:tr w:rsidR="00EA7A8D" w:rsidRPr="00E97D2C" w14:paraId="5FE21873" w14:textId="77777777" w:rsidTr="00696E8F">
        <w:trPr>
          <w:trHeight w:val="300"/>
        </w:trPr>
        <w:tc>
          <w:tcPr>
            <w:tcW w:w="1872" w:type="dxa"/>
            <w:noWrap/>
            <w:vAlign w:val="center"/>
            <w:hideMark/>
          </w:tcPr>
          <w:p w14:paraId="3E710BD8" w14:textId="77777777" w:rsidR="00EA7A8D" w:rsidRPr="00E97D2C" w:rsidRDefault="00EA7A8D" w:rsidP="00696E8F">
            <w:pPr>
              <w:rPr>
                <w:rFonts w:cs="Arial"/>
                <w:color w:val="000000"/>
              </w:rPr>
            </w:pPr>
            <w:r w:rsidRPr="00E97D2C">
              <w:rPr>
                <w:rFonts w:cs="Arial"/>
                <w:color w:val="000000"/>
              </w:rPr>
              <w:t>0DT14ZZ</w:t>
            </w:r>
          </w:p>
        </w:tc>
        <w:tc>
          <w:tcPr>
            <w:tcW w:w="7560" w:type="dxa"/>
            <w:noWrap/>
            <w:vAlign w:val="center"/>
            <w:hideMark/>
          </w:tcPr>
          <w:p w14:paraId="11E02B19" w14:textId="77777777" w:rsidR="00EA7A8D" w:rsidRPr="00E97D2C" w:rsidRDefault="00EA7A8D" w:rsidP="00696E8F">
            <w:pPr>
              <w:rPr>
                <w:rFonts w:cs="Arial"/>
                <w:color w:val="000000"/>
              </w:rPr>
            </w:pPr>
            <w:r w:rsidRPr="00E97D2C">
              <w:rPr>
                <w:rFonts w:cs="Arial"/>
                <w:color w:val="000000"/>
              </w:rPr>
              <w:t>Resection of Upper Esophagus, Percutaneous Endoscopic Approach</w:t>
            </w:r>
          </w:p>
        </w:tc>
      </w:tr>
      <w:tr w:rsidR="00EA7A8D" w:rsidRPr="00E97D2C" w14:paraId="2F991E20" w14:textId="77777777" w:rsidTr="00696E8F">
        <w:trPr>
          <w:trHeight w:val="300"/>
        </w:trPr>
        <w:tc>
          <w:tcPr>
            <w:tcW w:w="1872" w:type="dxa"/>
            <w:noWrap/>
            <w:vAlign w:val="center"/>
            <w:hideMark/>
          </w:tcPr>
          <w:p w14:paraId="7FD0E0B8" w14:textId="77777777" w:rsidR="00EA7A8D" w:rsidRPr="00E97D2C" w:rsidRDefault="00EA7A8D" w:rsidP="00696E8F">
            <w:pPr>
              <w:rPr>
                <w:rFonts w:cs="Arial"/>
                <w:color w:val="000000"/>
              </w:rPr>
            </w:pPr>
            <w:r w:rsidRPr="00E97D2C">
              <w:rPr>
                <w:rFonts w:cs="Arial"/>
                <w:color w:val="000000"/>
              </w:rPr>
              <w:lastRenderedPageBreak/>
              <w:t>0DT17ZZ</w:t>
            </w:r>
          </w:p>
        </w:tc>
        <w:tc>
          <w:tcPr>
            <w:tcW w:w="7560" w:type="dxa"/>
            <w:noWrap/>
            <w:vAlign w:val="center"/>
            <w:hideMark/>
          </w:tcPr>
          <w:p w14:paraId="0B49F719" w14:textId="77777777" w:rsidR="00EA7A8D" w:rsidRPr="00E97D2C" w:rsidRDefault="00EA7A8D" w:rsidP="00696E8F">
            <w:pPr>
              <w:rPr>
                <w:rFonts w:cs="Arial"/>
                <w:color w:val="000000"/>
              </w:rPr>
            </w:pPr>
            <w:r w:rsidRPr="00E97D2C">
              <w:rPr>
                <w:rFonts w:cs="Arial"/>
                <w:color w:val="000000"/>
              </w:rPr>
              <w:t>Resection of Upper Esophagus, Via Natural or Artificial Opening</w:t>
            </w:r>
          </w:p>
        </w:tc>
      </w:tr>
      <w:tr w:rsidR="00EA7A8D" w:rsidRPr="00E97D2C" w14:paraId="09374DA0" w14:textId="77777777" w:rsidTr="00696E8F">
        <w:trPr>
          <w:trHeight w:val="300"/>
        </w:trPr>
        <w:tc>
          <w:tcPr>
            <w:tcW w:w="1872" w:type="dxa"/>
            <w:noWrap/>
            <w:vAlign w:val="center"/>
            <w:hideMark/>
          </w:tcPr>
          <w:p w14:paraId="20257344" w14:textId="77777777" w:rsidR="00EA7A8D" w:rsidRPr="00E97D2C" w:rsidRDefault="00EA7A8D" w:rsidP="00696E8F">
            <w:pPr>
              <w:rPr>
                <w:rFonts w:cs="Arial"/>
                <w:color w:val="000000"/>
              </w:rPr>
            </w:pPr>
            <w:r w:rsidRPr="00E97D2C">
              <w:rPr>
                <w:rFonts w:cs="Arial"/>
                <w:color w:val="000000"/>
              </w:rPr>
              <w:t>0DT18ZZ</w:t>
            </w:r>
          </w:p>
        </w:tc>
        <w:tc>
          <w:tcPr>
            <w:tcW w:w="7560" w:type="dxa"/>
            <w:noWrap/>
            <w:vAlign w:val="center"/>
            <w:hideMark/>
          </w:tcPr>
          <w:p w14:paraId="57C3AFAC" w14:textId="77777777" w:rsidR="00EA7A8D" w:rsidRPr="00E97D2C" w:rsidRDefault="00EA7A8D" w:rsidP="00696E8F">
            <w:pPr>
              <w:rPr>
                <w:rFonts w:cs="Arial"/>
                <w:color w:val="000000"/>
              </w:rPr>
            </w:pPr>
            <w:r w:rsidRPr="00E97D2C">
              <w:rPr>
                <w:rFonts w:cs="Arial"/>
                <w:color w:val="000000"/>
              </w:rPr>
              <w:t>Resection of Upper Esophagus, Via Natural or Artificial Opening Endoscopic</w:t>
            </w:r>
          </w:p>
        </w:tc>
      </w:tr>
      <w:tr w:rsidR="00EA7A8D" w:rsidRPr="00E97D2C" w14:paraId="5B650B64" w14:textId="77777777" w:rsidTr="00696E8F">
        <w:trPr>
          <w:trHeight w:val="300"/>
        </w:trPr>
        <w:tc>
          <w:tcPr>
            <w:tcW w:w="1872" w:type="dxa"/>
            <w:noWrap/>
            <w:vAlign w:val="center"/>
            <w:hideMark/>
          </w:tcPr>
          <w:p w14:paraId="29A9BB6F" w14:textId="77777777" w:rsidR="00EA7A8D" w:rsidRPr="00E97D2C" w:rsidRDefault="00EA7A8D" w:rsidP="00696E8F">
            <w:pPr>
              <w:rPr>
                <w:rFonts w:cs="Arial"/>
                <w:color w:val="000000"/>
              </w:rPr>
            </w:pPr>
            <w:r w:rsidRPr="00E97D2C">
              <w:rPr>
                <w:rFonts w:cs="Arial"/>
                <w:color w:val="000000"/>
              </w:rPr>
              <w:t>0DT20ZZ</w:t>
            </w:r>
          </w:p>
        </w:tc>
        <w:tc>
          <w:tcPr>
            <w:tcW w:w="7560" w:type="dxa"/>
            <w:noWrap/>
            <w:vAlign w:val="center"/>
            <w:hideMark/>
          </w:tcPr>
          <w:p w14:paraId="6F884FA9" w14:textId="77777777" w:rsidR="00EA7A8D" w:rsidRPr="00E97D2C" w:rsidRDefault="00EA7A8D" w:rsidP="00696E8F">
            <w:pPr>
              <w:rPr>
                <w:rFonts w:cs="Arial"/>
                <w:color w:val="000000"/>
              </w:rPr>
            </w:pPr>
            <w:r w:rsidRPr="00E97D2C">
              <w:rPr>
                <w:rFonts w:cs="Arial"/>
                <w:color w:val="000000"/>
              </w:rPr>
              <w:t>Resection of Middle Esophagus, Open Approach</w:t>
            </w:r>
          </w:p>
        </w:tc>
      </w:tr>
      <w:tr w:rsidR="00EA7A8D" w:rsidRPr="00E97D2C" w14:paraId="69C35B74" w14:textId="77777777" w:rsidTr="00696E8F">
        <w:trPr>
          <w:trHeight w:val="300"/>
        </w:trPr>
        <w:tc>
          <w:tcPr>
            <w:tcW w:w="1872" w:type="dxa"/>
            <w:noWrap/>
            <w:vAlign w:val="center"/>
            <w:hideMark/>
          </w:tcPr>
          <w:p w14:paraId="4E72E50D" w14:textId="77777777" w:rsidR="00EA7A8D" w:rsidRPr="00E97D2C" w:rsidRDefault="00EA7A8D" w:rsidP="00696E8F">
            <w:pPr>
              <w:rPr>
                <w:rFonts w:cs="Arial"/>
                <w:color w:val="000000"/>
              </w:rPr>
            </w:pPr>
            <w:r w:rsidRPr="00E97D2C">
              <w:rPr>
                <w:rFonts w:cs="Arial"/>
                <w:color w:val="000000"/>
              </w:rPr>
              <w:t>0DT24ZZ</w:t>
            </w:r>
          </w:p>
        </w:tc>
        <w:tc>
          <w:tcPr>
            <w:tcW w:w="7560" w:type="dxa"/>
            <w:noWrap/>
            <w:vAlign w:val="center"/>
            <w:hideMark/>
          </w:tcPr>
          <w:p w14:paraId="28CA08E1" w14:textId="77777777" w:rsidR="00EA7A8D" w:rsidRPr="00E97D2C" w:rsidRDefault="00EA7A8D" w:rsidP="00696E8F">
            <w:pPr>
              <w:rPr>
                <w:rFonts w:cs="Arial"/>
                <w:color w:val="000000"/>
              </w:rPr>
            </w:pPr>
            <w:r w:rsidRPr="00E97D2C">
              <w:rPr>
                <w:rFonts w:cs="Arial"/>
                <w:color w:val="000000"/>
              </w:rPr>
              <w:t>Resection of Middle Esophagus, Percutaneous Endoscopic Approach</w:t>
            </w:r>
          </w:p>
        </w:tc>
      </w:tr>
      <w:tr w:rsidR="00EA7A8D" w:rsidRPr="00E97D2C" w14:paraId="152049FB" w14:textId="77777777" w:rsidTr="00696E8F">
        <w:trPr>
          <w:trHeight w:val="300"/>
        </w:trPr>
        <w:tc>
          <w:tcPr>
            <w:tcW w:w="1872" w:type="dxa"/>
            <w:noWrap/>
            <w:vAlign w:val="center"/>
            <w:hideMark/>
          </w:tcPr>
          <w:p w14:paraId="0698686E" w14:textId="77777777" w:rsidR="00EA7A8D" w:rsidRPr="00E97D2C" w:rsidRDefault="00EA7A8D" w:rsidP="00696E8F">
            <w:pPr>
              <w:rPr>
                <w:rFonts w:cs="Arial"/>
                <w:color w:val="000000"/>
              </w:rPr>
            </w:pPr>
            <w:r w:rsidRPr="00E97D2C">
              <w:rPr>
                <w:rFonts w:cs="Arial"/>
                <w:color w:val="000000"/>
              </w:rPr>
              <w:t>0DT27ZZ</w:t>
            </w:r>
          </w:p>
        </w:tc>
        <w:tc>
          <w:tcPr>
            <w:tcW w:w="7560" w:type="dxa"/>
            <w:noWrap/>
            <w:vAlign w:val="center"/>
            <w:hideMark/>
          </w:tcPr>
          <w:p w14:paraId="1FEAFE08" w14:textId="77777777" w:rsidR="00EA7A8D" w:rsidRPr="00E97D2C" w:rsidRDefault="00EA7A8D" w:rsidP="00696E8F">
            <w:pPr>
              <w:rPr>
                <w:rFonts w:cs="Arial"/>
                <w:color w:val="000000"/>
              </w:rPr>
            </w:pPr>
            <w:r w:rsidRPr="00E97D2C">
              <w:rPr>
                <w:rFonts w:cs="Arial"/>
                <w:color w:val="000000"/>
              </w:rPr>
              <w:t>Resection of Middle Esophagus, Via Natural or Artificial Opening</w:t>
            </w:r>
          </w:p>
        </w:tc>
      </w:tr>
      <w:tr w:rsidR="00EA7A8D" w:rsidRPr="00E97D2C" w14:paraId="2600699C" w14:textId="77777777" w:rsidTr="00696E8F">
        <w:trPr>
          <w:trHeight w:val="300"/>
        </w:trPr>
        <w:tc>
          <w:tcPr>
            <w:tcW w:w="1872" w:type="dxa"/>
            <w:noWrap/>
            <w:vAlign w:val="center"/>
            <w:hideMark/>
          </w:tcPr>
          <w:p w14:paraId="12C2EA31" w14:textId="77777777" w:rsidR="00EA7A8D" w:rsidRPr="00E97D2C" w:rsidRDefault="00EA7A8D" w:rsidP="00696E8F">
            <w:pPr>
              <w:rPr>
                <w:rFonts w:cs="Arial"/>
                <w:color w:val="000000"/>
              </w:rPr>
            </w:pPr>
            <w:r w:rsidRPr="00E97D2C">
              <w:rPr>
                <w:rFonts w:cs="Arial"/>
                <w:color w:val="000000"/>
              </w:rPr>
              <w:t>0DT28ZZ</w:t>
            </w:r>
          </w:p>
        </w:tc>
        <w:tc>
          <w:tcPr>
            <w:tcW w:w="7560" w:type="dxa"/>
            <w:noWrap/>
            <w:vAlign w:val="center"/>
            <w:hideMark/>
          </w:tcPr>
          <w:p w14:paraId="5A9F22A1" w14:textId="77777777" w:rsidR="00EA7A8D" w:rsidRPr="00E97D2C" w:rsidRDefault="00EA7A8D" w:rsidP="00696E8F">
            <w:pPr>
              <w:rPr>
                <w:rFonts w:cs="Arial"/>
                <w:color w:val="000000"/>
              </w:rPr>
            </w:pPr>
            <w:r w:rsidRPr="00E97D2C">
              <w:rPr>
                <w:rFonts w:cs="Arial"/>
                <w:color w:val="000000"/>
              </w:rPr>
              <w:t>Resection of Middle Esophagus, Via Natural or Artificial Opening Endoscopic</w:t>
            </w:r>
          </w:p>
        </w:tc>
      </w:tr>
      <w:tr w:rsidR="00EA7A8D" w:rsidRPr="00E97D2C" w14:paraId="6FF57AE6" w14:textId="77777777" w:rsidTr="00696E8F">
        <w:trPr>
          <w:trHeight w:val="300"/>
        </w:trPr>
        <w:tc>
          <w:tcPr>
            <w:tcW w:w="1872" w:type="dxa"/>
            <w:noWrap/>
            <w:vAlign w:val="center"/>
            <w:hideMark/>
          </w:tcPr>
          <w:p w14:paraId="78E04775" w14:textId="77777777" w:rsidR="00EA7A8D" w:rsidRPr="00E97D2C" w:rsidRDefault="00EA7A8D" w:rsidP="00696E8F">
            <w:pPr>
              <w:rPr>
                <w:rFonts w:cs="Arial"/>
                <w:color w:val="000000"/>
              </w:rPr>
            </w:pPr>
            <w:r w:rsidRPr="00E97D2C">
              <w:rPr>
                <w:rFonts w:cs="Arial"/>
                <w:color w:val="000000"/>
              </w:rPr>
              <w:t>0DT30ZZ</w:t>
            </w:r>
          </w:p>
        </w:tc>
        <w:tc>
          <w:tcPr>
            <w:tcW w:w="7560" w:type="dxa"/>
            <w:noWrap/>
            <w:vAlign w:val="center"/>
            <w:hideMark/>
          </w:tcPr>
          <w:p w14:paraId="4F223FC6" w14:textId="77777777" w:rsidR="00EA7A8D" w:rsidRPr="00E97D2C" w:rsidRDefault="00EA7A8D" w:rsidP="00696E8F">
            <w:pPr>
              <w:rPr>
                <w:rFonts w:cs="Arial"/>
                <w:color w:val="000000"/>
              </w:rPr>
            </w:pPr>
            <w:r w:rsidRPr="00E97D2C">
              <w:rPr>
                <w:rFonts w:cs="Arial"/>
                <w:color w:val="000000"/>
              </w:rPr>
              <w:t>Resection of Lower Esophagus, Open Approach</w:t>
            </w:r>
          </w:p>
        </w:tc>
      </w:tr>
      <w:tr w:rsidR="00EA7A8D" w:rsidRPr="00E97D2C" w14:paraId="74550084" w14:textId="77777777" w:rsidTr="00696E8F">
        <w:trPr>
          <w:trHeight w:val="300"/>
        </w:trPr>
        <w:tc>
          <w:tcPr>
            <w:tcW w:w="1872" w:type="dxa"/>
            <w:noWrap/>
            <w:vAlign w:val="center"/>
            <w:hideMark/>
          </w:tcPr>
          <w:p w14:paraId="3778BFF1" w14:textId="77777777" w:rsidR="00EA7A8D" w:rsidRPr="00E97D2C" w:rsidRDefault="00EA7A8D" w:rsidP="00696E8F">
            <w:pPr>
              <w:rPr>
                <w:rFonts w:cs="Arial"/>
                <w:color w:val="000000"/>
              </w:rPr>
            </w:pPr>
            <w:r w:rsidRPr="00E97D2C">
              <w:rPr>
                <w:rFonts w:cs="Arial"/>
                <w:color w:val="000000"/>
              </w:rPr>
              <w:t>0DT34ZZ</w:t>
            </w:r>
          </w:p>
        </w:tc>
        <w:tc>
          <w:tcPr>
            <w:tcW w:w="7560" w:type="dxa"/>
            <w:noWrap/>
            <w:vAlign w:val="center"/>
            <w:hideMark/>
          </w:tcPr>
          <w:p w14:paraId="2E685A17" w14:textId="77777777" w:rsidR="00EA7A8D" w:rsidRPr="00E97D2C" w:rsidRDefault="00EA7A8D" w:rsidP="00696E8F">
            <w:pPr>
              <w:rPr>
                <w:rFonts w:cs="Arial"/>
                <w:color w:val="000000"/>
              </w:rPr>
            </w:pPr>
            <w:r w:rsidRPr="00E97D2C">
              <w:rPr>
                <w:rFonts w:cs="Arial"/>
                <w:color w:val="000000"/>
              </w:rPr>
              <w:t>Resection of Lower Esophagus, Percutaneous Endoscopic Approach</w:t>
            </w:r>
          </w:p>
        </w:tc>
      </w:tr>
      <w:tr w:rsidR="00EA7A8D" w:rsidRPr="00E97D2C" w14:paraId="43E3D8CF" w14:textId="77777777" w:rsidTr="00696E8F">
        <w:trPr>
          <w:trHeight w:val="300"/>
        </w:trPr>
        <w:tc>
          <w:tcPr>
            <w:tcW w:w="1872" w:type="dxa"/>
            <w:noWrap/>
            <w:vAlign w:val="center"/>
            <w:hideMark/>
          </w:tcPr>
          <w:p w14:paraId="7C01B1D3" w14:textId="77777777" w:rsidR="00EA7A8D" w:rsidRPr="00E97D2C" w:rsidRDefault="00EA7A8D" w:rsidP="00696E8F">
            <w:pPr>
              <w:rPr>
                <w:rFonts w:cs="Arial"/>
                <w:color w:val="000000"/>
              </w:rPr>
            </w:pPr>
            <w:r w:rsidRPr="00E97D2C">
              <w:rPr>
                <w:rFonts w:cs="Arial"/>
                <w:color w:val="000000"/>
              </w:rPr>
              <w:t>0DT37ZZ</w:t>
            </w:r>
          </w:p>
        </w:tc>
        <w:tc>
          <w:tcPr>
            <w:tcW w:w="7560" w:type="dxa"/>
            <w:noWrap/>
            <w:vAlign w:val="center"/>
            <w:hideMark/>
          </w:tcPr>
          <w:p w14:paraId="680FDED1" w14:textId="77777777" w:rsidR="00EA7A8D" w:rsidRPr="00E97D2C" w:rsidRDefault="00EA7A8D" w:rsidP="00696E8F">
            <w:pPr>
              <w:rPr>
                <w:rFonts w:cs="Arial"/>
                <w:color w:val="000000"/>
              </w:rPr>
            </w:pPr>
            <w:r w:rsidRPr="00E97D2C">
              <w:rPr>
                <w:rFonts w:cs="Arial"/>
                <w:color w:val="000000"/>
              </w:rPr>
              <w:t>Resection of Lower Esophagus, Via Natural or Artificial Opening</w:t>
            </w:r>
          </w:p>
        </w:tc>
      </w:tr>
      <w:tr w:rsidR="00EA7A8D" w:rsidRPr="00E97D2C" w14:paraId="7012E77C" w14:textId="77777777" w:rsidTr="00696E8F">
        <w:trPr>
          <w:trHeight w:val="300"/>
        </w:trPr>
        <w:tc>
          <w:tcPr>
            <w:tcW w:w="1872" w:type="dxa"/>
            <w:noWrap/>
            <w:vAlign w:val="center"/>
            <w:hideMark/>
          </w:tcPr>
          <w:p w14:paraId="170151B9" w14:textId="77777777" w:rsidR="00EA7A8D" w:rsidRPr="00E97D2C" w:rsidRDefault="00EA7A8D" w:rsidP="00696E8F">
            <w:pPr>
              <w:rPr>
                <w:rFonts w:cs="Arial"/>
                <w:color w:val="000000"/>
              </w:rPr>
            </w:pPr>
            <w:r w:rsidRPr="00E97D2C">
              <w:rPr>
                <w:rFonts w:cs="Arial"/>
                <w:color w:val="000000"/>
              </w:rPr>
              <w:t>0DT38ZZ</w:t>
            </w:r>
          </w:p>
        </w:tc>
        <w:tc>
          <w:tcPr>
            <w:tcW w:w="7560" w:type="dxa"/>
            <w:noWrap/>
            <w:vAlign w:val="center"/>
            <w:hideMark/>
          </w:tcPr>
          <w:p w14:paraId="28A8D57D" w14:textId="77777777" w:rsidR="00EA7A8D" w:rsidRPr="00E97D2C" w:rsidRDefault="00EA7A8D" w:rsidP="00696E8F">
            <w:pPr>
              <w:rPr>
                <w:rFonts w:cs="Arial"/>
                <w:color w:val="000000"/>
              </w:rPr>
            </w:pPr>
            <w:r w:rsidRPr="00E97D2C">
              <w:rPr>
                <w:rFonts w:cs="Arial"/>
                <w:color w:val="000000"/>
              </w:rPr>
              <w:t>Resection of Lower Esophagus, Via Natural or Artificial Opening Endoscopic</w:t>
            </w:r>
          </w:p>
        </w:tc>
      </w:tr>
      <w:tr w:rsidR="00EA7A8D" w:rsidRPr="00E97D2C" w14:paraId="12B8133E" w14:textId="77777777" w:rsidTr="00696E8F">
        <w:trPr>
          <w:trHeight w:val="300"/>
        </w:trPr>
        <w:tc>
          <w:tcPr>
            <w:tcW w:w="1872" w:type="dxa"/>
            <w:noWrap/>
            <w:vAlign w:val="center"/>
          </w:tcPr>
          <w:p w14:paraId="4DF66538" w14:textId="3A6D9BBC" w:rsidR="00EA7A8D" w:rsidRPr="00E97D2C" w:rsidRDefault="00EA7A8D" w:rsidP="00696E8F">
            <w:pPr>
              <w:rPr>
                <w:rFonts w:cs="Arial"/>
                <w:color w:val="000000"/>
              </w:rPr>
            </w:pPr>
            <w:r w:rsidRPr="00E003EA">
              <w:rPr>
                <w:rFonts w:cs="Arial"/>
                <w:color w:val="000000"/>
              </w:rPr>
              <w:t>0DT44ZZ</w:t>
            </w:r>
          </w:p>
        </w:tc>
        <w:tc>
          <w:tcPr>
            <w:tcW w:w="7560" w:type="dxa"/>
            <w:noWrap/>
            <w:vAlign w:val="center"/>
          </w:tcPr>
          <w:p w14:paraId="0095ED2A" w14:textId="19FC5B95" w:rsidR="00EA7A8D" w:rsidRPr="00E97D2C" w:rsidRDefault="00EA7A8D" w:rsidP="00696E8F">
            <w:pPr>
              <w:rPr>
                <w:rFonts w:cs="Arial"/>
                <w:color w:val="000000"/>
              </w:rPr>
            </w:pPr>
            <w:r w:rsidRPr="00E003EA">
              <w:rPr>
                <w:rFonts w:cs="Arial"/>
                <w:color w:val="000000"/>
              </w:rPr>
              <w:t>Resection of Esophagogastric Junction, Percutaneous Endoscopic Approach</w:t>
            </w:r>
          </w:p>
        </w:tc>
      </w:tr>
      <w:tr w:rsidR="00EA7A8D" w:rsidRPr="00E97D2C" w14:paraId="43F732C7" w14:textId="77777777" w:rsidTr="00696E8F">
        <w:trPr>
          <w:trHeight w:val="300"/>
        </w:trPr>
        <w:tc>
          <w:tcPr>
            <w:tcW w:w="1872" w:type="dxa"/>
            <w:noWrap/>
            <w:vAlign w:val="center"/>
            <w:hideMark/>
          </w:tcPr>
          <w:p w14:paraId="20478067" w14:textId="77777777" w:rsidR="00EA7A8D" w:rsidRPr="00E97D2C" w:rsidRDefault="00EA7A8D" w:rsidP="00696E8F">
            <w:pPr>
              <w:rPr>
                <w:rFonts w:cs="Arial"/>
                <w:color w:val="000000"/>
              </w:rPr>
            </w:pPr>
            <w:r w:rsidRPr="00E97D2C">
              <w:rPr>
                <w:rFonts w:cs="Arial"/>
                <w:color w:val="000000"/>
              </w:rPr>
              <w:t>0DT50ZZ</w:t>
            </w:r>
          </w:p>
        </w:tc>
        <w:tc>
          <w:tcPr>
            <w:tcW w:w="7560" w:type="dxa"/>
            <w:noWrap/>
            <w:vAlign w:val="center"/>
            <w:hideMark/>
          </w:tcPr>
          <w:p w14:paraId="7215A8BC" w14:textId="77777777" w:rsidR="00EA7A8D" w:rsidRPr="00E97D2C" w:rsidRDefault="00EA7A8D" w:rsidP="00696E8F">
            <w:pPr>
              <w:rPr>
                <w:rFonts w:cs="Arial"/>
                <w:color w:val="000000"/>
              </w:rPr>
            </w:pPr>
            <w:r w:rsidRPr="00E97D2C">
              <w:rPr>
                <w:rFonts w:cs="Arial"/>
                <w:color w:val="000000"/>
              </w:rPr>
              <w:t>Resection of Esophagus, Open Approach</w:t>
            </w:r>
          </w:p>
        </w:tc>
      </w:tr>
      <w:tr w:rsidR="00EA7A8D" w:rsidRPr="00E97D2C" w14:paraId="44AA0D96" w14:textId="77777777" w:rsidTr="00696E8F">
        <w:trPr>
          <w:trHeight w:val="300"/>
        </w:trPr>
        <w:tc>
          <w:tcPr>
            <w:tcW w:w="1872" w:type="dxa"/>
            <w:noWrap/>
            <w:vAlign w:val="center"/>
            <w:hideMark/>
          </w:tcPr>
          <w:p w14:paraId="7D63C725" w14:textId="77777777" w:rsidR="00EA7A8D" w:rsidRPr="00E97D2C" w:rsidRDefault="00EA7A8D" w:rsidP="00696E8F">
            <w:pPr>
              <w:rPr>
                <w:rFonts w:cs="Arial"/>
                <w:color w:val="000000"/>
              </w:rPr>
            </w:pPr>
            <w:r w:rsidRPr="00E97D2C">
              <w:rPr>
                <w:rFonts w:cs="Arial"/>
                <w:color w:val="000000"/>
              </w:rPr>
              <w:t>0DT54ZZ</w:t>
            </w:r>
          </w:p>
        </w:tc>
        <w:tc>
          <w:tcPr>
            <w:tcW w:w="7560" w:type="dxa"/>
            <w:noWrap/>
            <w:vAlign w:val="center"/>
            <w:hideMark/>
          </w:tcPr>
          <w:p w14:paraId="77DBC1E3" w14:textId="77777777" w:rsidR="00EA7A8D" w:rsidRPr="00E97D2C" w:rsidRDefault="00EA7A8D" w:rsidP="00696E8F">
            <w:pPr>
              <w:rPr>
                <w:rFonts w:cs="Arial"/>
                <w:color w:val="000000"/>
              </w:rPr>
            </w:pPr>
            <w:r w:rsidRPr="00E97D2C">
              <w:rPr>
                <w:rFonts w:cs="Arial"/>
                <w:color w:val="000000"/>
              </w:rPr>
              <w:t>Resection of Esophagus, Percutaneous Endoscopic Approach</w:t>
            </w:r>
          </w:p>
        </w:tc>
      </w:tr>
      <w:tr w:rsidR="00EA7A8D" w:rsidRPr="00E97D2C" w14:paraId="5620EF7D" w14:textId="77777777" w:rsidTr="00696E8F">
        <w:trPr>
          <w:trHeight w:val="300"/>
        </w:trPr>
        <w:tc>
          <w:tcPr>
            <w:tcW w:w="1872" w:type="dxa"/>
            <w:noWrap/>
            <w:vAlign w:val="center"/>
            <w:hideMark/>
          </w:tcPr>
          <w:p w14:paraId="4AD81187" w14:textId="77777777" w:rsidR="00EA7A8D" w:rsidRPr="00E97D2C" w:rsidRDefault="00EA7A8D" w:rsidP="00696E8F">
            <w:pPr>
              <w:rPr>
                <w:rFonts w:cs="Arial"/>
                <w:color w:val="000000"/>
              </w:rPr>
            </w:pPr>
            <w:r w:rsidRPr="00E97D2C">
              <w:rPr>
                <w:rFonts w:cs="Arial"/>
                <w:color w:val="000000"/>
              </w:rPr>
              <w:t>0DT57ZZ</w:t>
            </w:r>
          </w:p>
        </w:tc>
        <w:tc>
          <w:tcPr>
            <w:tcW w:w="7560" w:type="dxa"/>
            <w:noWrap/>
            <w:vAlign w:val="center"/>
            <w:hideMark/>
          </w:tcPr>
          <w:p w14:paraId="5E25404F" w14:textId="77777777" w:rsidR="00EA7A8D" w:rsidRPr="00E97D2C" w:rsidRDefault="00EA7A8D" w:rsidP="00696E8F">
            <w:pPr>
              <w:rPr>
                <w:rFonts w:cs="Arial"/>
                <w:color w:val="000000"/>
              </w:rPr>
            </w:pPr>
            <w:r w:rsidRPr="00E97D2C">
              <w:rPr>
                <w:rFonts w:cs="Arial"/>
                <w:color w:val="000000"/>
              </w:rPr>
              <w:t>Resection of Esophagus, Via Natural or Artificial Opening</w:t>
            </w:r>
          </w:p>
        </w:tc>
      </w:tr>
      <w:tr w:rsidR="00EA7A8D" w:rsidRPr="00E97D2C" w14:paraId="4C4F5B75" w14:textId="77777777" w:rsidTr="00696E8F">
        <w:trPr>
          <w:trHeight w:val="300"/>
        </w:trPr>
        <w:tc>
          <w:tcPr>
            <w:tcW w:w="1872" w:type="dxa"/>
            <w:noWrap/>
            <w:vAlign w:val="center"/>
            <w:hideMark/>
          </w:tcPr>
          <w:p w14:paraId="4890719D" w14:textId="77777777" w:rsidR="00EA7A8D" w:rsidRPr="00E97D2C" w:rsidRDefault="00EA7A8D" w:rsidP="00696E8F">
            <w:pPr>
              <w:rPr>
                <w:rFonts w:cs="Arial"/>
                <w:color w:val="000000"/>
              </w:rPr>
            </w:pPr>
            <w:r w:rsidRPr="00E97D2C">
              <w:rPr>
                <w:rFonts w:cs="Arial"/>
                <w:color w:val="000000"/>
              </w:rPr>
              <w:t>0DT58ZZ</w:t>
            </w:r>
          </w:p>
        </w:tc>
        <w:tc>
          <w:tcPr>
            <w:tcW w:w="7560" w:type="dxa"/>
            <w:noWrap/>
            <w:vAlign w:val="center"/>
            <w:hideMark/>
          </w:tcPr>
          <w:p w14:paraId="686380C1" w14:textId="77777777" w:rsidR="00EA7A8D" w:rsidRPr="00E97D2C" w:rsidRDefault="00EA7A8D" w:rsidP="00696E8F">
            <w:pPr>
              <w:rPr>
                <w:rFonts w:cs="Arial"/>
                <w:color w:val="000000"/>
              </w:rPr>
            </w:pPr>
            <w:r w:rsidRPr="00E97D2C">
              <w:rPr>
                <w:rFonts w:cs="Arial"/>
                <w:color w:val="000000"/>
              </w:rPr>
              <w:t>Resection of Esophagus, Via Natural or Artificial Opening Endoscopic</w:t>
            </w:r>
          </w:p>
        </w:tc>
      </w:tr>
      <w:tr w:rsidR="00EA7A8D" w:rsidRPr="00E97D2C" w14:paraId="0D0A2390" w14:textId="77777777" w:rsidTr="00696E8F">
        <w:trPr>
          <w:trHeight w:val="300"/>
        </w:trPr>
        <w:tc>
          <w:tcPr>
            <w:tcW w:w="1872" w:type="dxa"/>
            <w:noWrap/>
            <w:vAlign w:val="center"/>
            <w:hideMark/>
          </w:tcPr>
          <w:p w14:paraId="1B746E33" w14:textId="77777777" w:rsidR="00EA7A8D" w:rsidRPr="00E97D2C" w:rsidRDefault="00EA7A8D" w:rsidP="00696E8F">
            <w:pPr>
              <w:rPr>
                <w:rFonts w:cs="Arial"/>
                <w:color w:val="000000"/>
              </w:rPr>
            </w:pPr>
            <w:r w:rsidRPr="00E97D2C">
              <w:rPr>
                <w:rFonts w:cs="Arial"/>
                <w:color w:val="000000"/>
              </w:rPr>
              <w:t>0DT60ZZ</w:t>
            </w:r>
          </w:p>
        </w:tc>
        <w:tc>
          <w:tcPr>
            <w:tcW w:w="7560" w:type="dxa"/>
            <w:noWrap/>
            <w:vAlign w:val="center"/>
            <w:hideMark/>
          </w:tcPr>
          <w:p w14:paraId="5CB45412" w14:textId="77777777" w:rsidR="00EA7A8D" w:rsidRPr="00E97D2C" w:rsidRDefault="00EA7A8D" w:rsidP="00696E8F">
            <w:pPr>
              <w:rPr>
                <w:rFonts w:cs="Arial"/>
                <w:color w:val="000000"/>
              </w:rPr>
            </w:pPr>
            <w:r w:rsidRPr="00E97D2C">
              <w:rPr>
                <w:rFonts w:cs="Arial"/>
                <w:color w:val="000000"/>
              </w:rPr>
              <w:t>Resection of Stomach, Open Approach</w:t>
            </w:r>
          </w:p>
        </w:tc>
      </w:tr>
      <w:tr w:rsidR="00EA7A8D" w:rsidRPr="00E97D2C" w14:paraId="4C6E8967" w14:textId="77777777" w:rsidTr="00696E8F">
        <w:trPr>
          <w:trHeight w:val="300"/>
        </w:trPr>
        <w:tc>
          <w:tcPr>
            <w:tcW w:w="1872" w:type="dxa"/>
            <w:noWrap/>
            <w:vAlign w:val="center"/>
            <w:hideMark/>
          </w:tcPr>
          <w:p w14:paraId="590309CD" w14:textId="77777777" w:rsidR="00EA7A8D" w:rsidRPr="00E97D2C" w:rsidRDefault="00EA7A8D" w:rsidP="00696E8F">
            <w:pPr>
              <w:rPr>
                <w:rFonts w:cs="Arial"/>
                <w:color w:val="000000"/>
              </w:rPr>
            </w:pPr>
            <w:r w:rsidRPr="00E97D2C">
              <w:rPr>
                <w:rFonts w:cs="Arial"/>
                <w:color w:val="000000"/>
              </w:rPr>
              <w:t>0DT64ZZ</w:t>
            </w:r>
          </w:p>
        </w:tc>
        <w:tc>
          <w:tcPr>
            <w:tcW w:w="7560" w:type="dxa"/>
            <w:noWrap/>
            <w:vAlign w:val="center"/>
            <w:hideMark/>
          </w:tcPr>
          <w:p w14:paraId="649BEA0B" w14:textId="77777777" w:rsidR="00EA7A8D" w:rsidRPr="00E97D2C" w:rsidRDefault="00EA7A8D" w:rsidP="00696E8F">
            <w:pPr>
              <w:rPr>
                <w:rFonts w:cs="Arial"/>
                <w:color w:val="000000"/>
              </w:rPr>
            </w:pPr>
            <w:r w:rsidRPr="00E97D2C">
              <w:rPr>
                <w:rFonts w:cs="Arial"/>
                <w:color w:val="000000"/>
              </w:rPr>
              <w:t>Resection of Stomach, Percutaneous Endoscopic Approach</w:t>
            </w:r>
          </w:p>
        </w:tc>
      </w:tr>
      <w:tr w:rsidR="00EA7A8D" w:rsidRPr="00E97D2C" w14:paraId="02429943" w14:textId="77777777" w:rsidTr="00696E8F">
        <w:trPr>
          <w:trHeight w:val="300"/>
        </w:trPr>
        <w:tc>
          <w:tcPr>
            <w:tcW w:w="1872" w:type="dxa"/>
            <w:noWrap/>
            <w:vAlign w:val="center"/>
            <w:hideMark/>
          </w:tcPr>
          <w:p w14:paraId="479A135A" w14:textId="77777777" w:rsidR="00EA7A8D" w:rsidRPr="00E97D2C" w:rsidRDefault="00EA7A8D" w:rsidP="00696E8F">
            <w:pPr>
              <w:rPr>
                <w:rFonts w:cs="Arial"/>
                <w:color w:val="000000"/>
              </w:rPr>
            </w:pPr>
            <w:r w:rsidRPr="00E97D2C">
              <w:rPr>
                <w:rFonts w:cs="Arial"/>
                <w:color w:val="000000"/>
              </w:rPr>
              <w:t>0DT67ZZ</w:t>
            </w:r>
          </w:p>
        </w:tc>
        <w:tc>
          <w:tcPr>
            <w:tcW w:w="7560" w:type="dxa"/>
            <w:noWrap/>
            <w:vAlign w:val="center"/>
            <w:hideMark/>
          </w:tcPr>
          <w:p w14:paraId="7CE542DA" w14:textId="77777777" w:rsidR="00EA7A8D" w:rsidRPr="00E97D2C" w:rsidRDefault="00EA7A8D" w:rsidP="00696E8F">
            <w:pPr>
              <w:rPr>
                <w:rFonts w:cs="Arial"/>
                <w:color w:val="000000"/>
              </w:rPr>
            </w:pPr>
            <w:r w:rsidRPr="00E97D2C">
              <w:rPr>
                <w:rFonts w:cs="Arial"/>
                <w:color w:val="000000"/>
              </w:rPr>
              <w:t>Resection of Stomach, Via Natural or Artificial Opening</w:t>
            </w:r>
          </w:p>
        </w:tc>
      </w:tr>
      <w:tr w:rsidR="00EA7A8D" w:rsidRPr="00E97D2C" w14:paraId="65BFE6A3" w14:textId="77777777" w:rsidTr="00696E8F">
        <w:trPr>
          <w:trHeight w:val="300"/>
        </w:trPr>
        <w:tc>
          <w:tcPr>
            <w:tcW w:w="1872" w:type="dxa"/>
            <w:noWrap/>
            <w:vAlign w:val="center"/>
            <w:hideMark/>
          </w:tcPr>
          <w:p w14:paraId="4FFE60C0" w14:textId="77777777" w:rsidR="00EA7A8D" w:rsidRPr="00E97D2C" w:rsidRDefault="00EA7A8D" w:rsidP="00696E8F">
            <w:pPr>
              <w:rPr>
                <w:rFonts w:cs="Arial"/>
                <w:color w:val="000000"/>
              </w:rPr>
            </w:pPr>
            <w:r w:rsidRPr="00E97D2C">
              <w:rPr>
                <w:rFonts w:cs="Arial"/>
                <w:color w:val="000000"/>
              </w:rPr>
              <w:t>0DT68ZZ</w:t>
            </w:r>
          </w:p>
        </w:tc>
        <w:tc>
          <w:tcPr>
            <w:tcW w:w="7560" w:type="dxa"/>
            <w:noWrap/>
            <w:vAlign w:val="center"/>
            <w:hideMark/>
          </w:tcPr>
          <w:p w14:paraId="6CD2958B" w14:textId="77777777" w:rsidR="00EA7A8D" w:rsidRPr="00E97D2C" w:rsidRDefault="00EA7A8D" w:rsidP="00696E8F">
            <w:pPr>
              <w:rPr>
                <w:rFonts w:cs="Arial"/>
                <w:color w:val="000000"/>
              </w:rPr>
            </w:pPr>
            <w:r w:rsidRPr="00E97D2C">
              <w:rPr>
                <w:rFonts w:cs="Arial"/>
                <w:color w:val="000000"/>
              </w:rPr>
              <w:t>Resection of Stomach, Via Natural or Artificial Opening Endoscopic</w:t>
            </w:r>
          </w:p>
        </w:tc>
      </w:tr>
      <w:tr w:rsidR="00EA7A8D" w:rsidRPr="00E97D2C" w14:paraId="770BBB1E" w14:textId="77777777" w:rsidTr="00696E8F">
        <w:trPr>
          <w:trHeight w:val="300"/>
        </w:trPr>
        <w:tc>
          <w:tcPr>
            <w:tcW w:w="1872" w:type="dxa"/>
            <w:noWrap/>
            <w:vAlign w:val="center"/>
            <w:hideMark/>
          </w:tcPr>
          <w:p w14:paraId="0DFFDFD9" w14:textId="77777777" w:rsidR="00EA7A8D" w:rsidRPr="00E97D2C" w:rsidRDefault="00EA7A8D" w:rsidP="00696E8F">
            <w:pPr>
              <w:rPr>
                <w:rFonts w:cs="Arial"/>
                <w:color w:val="000000"/>
              </w:rPr>
            </w:pPr>
            <w:r w:rsidRPr="00E97D2C">
              <w:rPr>
                <w:rFonts w:cs="Arial"/>
                <w:color w:val="000000"/>
              </w:rPr>
              <w:t>0DX60Z5</w:t>
            </w:r>
          </w:p>
        </w:tc>
        <w:tc>
          <w:tcPr>
            <w:tcW w:w="7560" w:type="dxa"/>
            <w:noWrap/>
            <w:vAlign w:val="center"/>
            <w:hideMark/>
          </w:tcPr>
          <w:p w14:paraId="2C3B3923" w14:textId="77777777" w:rsidR="00EA7A8D" w:rsidRPr="00E97D2C" w:rsidRDefault="00EA7A8D" w:rsidP="00696E8F">
            <w:pPr>
              <w:rPr>
                <w:rFonts w:cs="Arial"/>
                <w:color w:val="000000"/>
              </w:rPr>
            </w:pPr>
            <w:r w:rsidRPr="00E97D2C">
              <w:rPr>
                <w:rFonts w:cs="Arial"/>
                <w:color w:val="000000"/>
              </w:rPr>
              <w:t>Transfer Stomach to Esophagus, Open Approach</w:t>
            </w:r>
          </w:p>
        </w:tc>
      </w:tr>
      <w:tr w:rsidR="00EA7A8D" w:rsidRPr="00E97D2C" w14:paraId="4AB41D7E" w14:textId="77777777" w:rsidTr="00696E8F">
        <w:trPr>
          <w:trHeight w:val="300"/>
        </w:trPr>
        <w:tc>
          <w:tcPr>
            <w:tcW w:w="1872" w:type="dxa"/>
            <w:noWrap/>
            <w:vAlign w:val="center"/>
            <w:hideMark/>
          </w:tcPr>
          <w:p w14:paraId="18167213" w14:textId="77777777" w:rsidR="00EA7A8D" w:rsidRPr="00E97D2C" w:rsidRDefault="00EA7A8D" w:rsidP="00696E8F">
            <w:pPr>
              <w:rPr>
                <w:rFonts w:cs="Arial"/>
                <w:color w:val="000000"/>
              </w:rPr>
            </w:pPr>
            <w:r w:rsidRPr="00E97D2C">
              <w:rPr>
                <w:rFonts w:cs="Arial"/>
                <w:color w:val="000000"/>
              </w:rPr>
              <w:t>0DX64Z5</w:t>
            </w:r>
          </w:p>
        </w:tc>
        <w:tc>
          <w:tcPr>
            <w:tcW w:w="7560" w:type="dxa"/>
            <w:noWrap/>
            <w:vAlign w:val="center"/>
            <w:hideMark/>
          </w:tcPr>
          <w:p w14:paraId="30230644" w14:textId="77777777" w:rsidR="00EA7A8D" w:rsidRPr="00E97D2C" w:rsidRDefault="00EA7A8D" w:rsidP="00696E8F">
            <w:pPr>
              <w:rPr>
                <w:rFonts w:cs="Arial"/>
                <w:color w:val="000000"/>
              </w:rPr>
            </w:pPr>
            <w:r w:rsidRPr="00E97D2C">
              <w:rPr>
                <w:rFonts w:cs="Arial"/>
                <w:color w:val="000000"/>
              </w:rPr>
              <w:t>Transfer Stomach to Esophagus, Percutaneous Endoscopic Approach</w:t>
            </w:r>
          </w:p>
        </w:tc>
      </w:tr>
      <w:tr w:rsidR="00EA7A8D" w:rsidRPr="00E97D2C" w14:paraId="0FD2D51F" w14:textId="77777777" w:rsidTr="00696E8F">
        <w:trPr>
          <w:trHeight w:val="300"/>
        </w:trPr>
        <w:tc>
          <w:tcPr>
            <w:tcW w:w="1872" w:type="dxa"/>
            <w:noWrap/>
            <w:vAlign w:val="center"/>
            <w:hideMark/>
          </w:tcPr>
          <w:p w14:paraId="7ADC4CDA" w14:textId="77777777" w:rsidR="00EA7A8D" w:rsidRPr="00E97D2C" w:rsidRDefault="00EA7A8D" w:rsidP="00696E8F">
            <w:pPr>
              <w:rPr>
                <w:rFonts w:cs="Arial"/>
                <w:color w:val="000000"/>
              </w:rPr>
            </w:pPr>
            <w:r w:rsidRPr="00E97D2C">
              <w:rPr>
                <w:rFonts w:cs="Arial"/>
                <w:color w:val="000000"/>
              </w:rPr>
              <w:t>0DX80Z5</w:t>
            </w:r>
          </w:p>
        </w:tc>
        <w:tc>
          <w:tcPr>
            <w:tcW w:w="7560" w:type="dxa"/>
            <w:noWrap/>
            <w:vAlign w:val="center"/>
            <w:hideMark/>
          </w:tcPr>
          <w:p w14:paraId="707D3E7B" w14:textId="77777777" w:rsidR="00EA7A8D" w:rsidRPr="00E97D2C" w:rsidRDefault="00EA7A8D" w:rsidP="00696E8F">
            <w:pPr>
              <w:rPr>
                <w:rFonts w:cs="Arial"/>
                <w:color w:val="000000"/>
              </w:rPr>
            </w:pPr>
            <w:r w:rsidRPr="00E97D2C">
              <w:rPr>
                <w:rFonts w:cs="Arial"/>
                <w:color w:val="000000"/>
              </w:rPr>
              <w:t>Transfer Small Intestine to Esophagus, Open Approach</w:t>
            </w:r>
          </w:p>
        </w:tc>
      </w:tr>
      <w:tr w:rsidR="00EA7A8D" w:rsidRPr="00E97D2C" w14:paraId="6797EFF3" w14:textId="77777777" w:rsidTr="00696E8F">
        <w:trPr>
          <w:trHeight w:val="300"/>
        </w:trPr>
        <w:tc>
          <w:tcPr>
            <w:tcW w:w="1872" w:type="dxa"/>
            <w:noWrap/>
            <w:vAlign w:val="center"/>
            <w:hideMark/>
          </w:tcPr>
          <w:p w14:paraId="2646B10C" w14:textId="77777777" w:rsidR="00EA7A8D" w:rsidRPr="00E97D2C" w:rsidRDefault="00EA7A8D" w:rsidP="00696E8F">
            <w:pPr>
              <w:rPr>
                <w:rFonts w:cs="Arial"/>
                <w:color w:val="000000"/>
              </w:rPr>
            </w:pPr>
            <w:r w:rsidRPr="00E97D2C">
              <w:rPr>
                <w:rFonts w:cs="Arial"/>
                <w:color w:val="000000"/>
              </w:rPr>
              <w:t>0DX84Z5</w:t>
            </w:r>
          </w:p>
        </w:tc>
        <w:tc>
          <w:tcPr>
            <w:tcW w:w="7560" w:type="dxa"/>
            <w:noWrap/>
            <w:vAlign w:val="center"/>
            <w:hideMark/>
          </w:tcPr>
          <w:p w14:paraId="0102E857" w14:textId="77777777" w:rsidR="00EA7A8D" w:rsidRPr="00E97D2C" w:rsidRDefault="00EA7A8D" w:rsidP="00696E8F">
            <w:pPr>
              <w:rPr>
                <w:rFonts w:cs="Arial"/>
                <w:color w:val="000000"/>
              </w:rPr>
            </w:pPr>
            <w:r w:rsidRPr="00E97D2C">
              <w:rPr>
                <w:rFonts w:cs="Arial"/>
                <w:color w:val="000000"/>
              </w:rPr>
              <w:t>Transfer Small Intestine to Esophagus, Percutaneous Endoscopic Approach</w:t>
            </w:r>
          </w:p>
        </w:tc>
      </w:tr>
      <w:tr w:rsidR="00EA7A8D" w:rsidRPr="00E97D2C" w14:paraId="2C14300B" w14:textId="77777777" w:rsidTr="00696E8F">
        <w:trPr>
          <w:trHeight w:val="300"/>
        </w:trPr>
        <w:tc>
          <w:tcPr>
            <w:tcW w:w="1872" w:type="dxa"/>
            <w:noWrap/>
            <w:vAlign w:val="center"/>
            <w:hideMark/>
          </w:tcPr>
          <w:p w14:paraId="4ADD2CC5" w14:textId="77777777" w:rsidR="00EA7A8D" w:rsidRPr="00E97D2C" w:rsidRDefault="00EA7A8D" w:rsidP="00696E8F">
            <w:pPr>
              <w:rPr>
                <w:rFonts w:cs="Arial"/>
                <w:color w:val="000000"/>
              </w:rPr>
            </w:pPr>
            <w:r w:rsidRPr="00E97D2C">
              <w:rPr>
                <w:rFonts w:cs="Arial"/>
                <w:color w:val="000000"/>
              </w:rPr>
              <w:t>0DXE0Z5</w:t>
            </w:r>
          </w:p>
        </w:tc>
        <w:tc>
          <w:tcPr>
            <w:tcW w:w="7560" w:type="dxa"/>
            <w:noWrap/>
            <w:vAlign w:val="center"/>
            <w:hideMark/>
          </w:tcPr>
          <w:p w14:paraId="220B71A9" w14:textId="77777777" w:rsidR="00EA7A8D" w:rsidRPr="00E97D2C" w:rsidRDefault="00EA7A8D" w:rsidP="00696E8F">
            <w:pPr>
              <w:rPr>
                <w:rFonts w:cs="Arial"/>
                <w:color w:val="000000"/>
              </w:rPr>
            </w:pPr>
            <w:r w:rsidRPr="00E97D2C">
              <w:rPr>
                <w:rFonts w:cs="Arial"/>
                <w:color w:val="000000"/>
              </w:rPr>
              <w:t>Transfer Large Intestine to Esophagus, Open Approach</w:t>
            </w:r>
          </w:p>
        </w:tc>
      </w:tr>
      <w:tr w:rsidR="00EA7A8D" w:rsidRPr="00E97D2C" w14:paraId="0EFAA333" w14:textId="77777777" w:rsidTr="00696E8F">
        <w:trPr>
          <w:trHeight w:val="300"/>
        </w:trPr>
        <w:tc>
          <w:tcPr>
            <w:tcW w:w="1872" w:type="dxa"/>
            <w:noWrap/>
            <w:vAlign w:val="center"/>
            <w:hideMark/>
          </w:tcPr>
          <w:p w14:paraId="1D83F30F" w14:textId="77777777" w:rsidR="00EA7A8D" w:rsidRPr="00E97D2C" w:rsidRDefault="00EA7A8D" w:rsidP="00696E8F">
            <w:pPr>
              <w:rPr>
                <w:rFonts w:cs="Arial"/>
                <w:color w:val="000000"/>
              </w:rPr>
            </w:pPr>
            <w:r w:rsidRPr="00E97D2C">
              <w:rPr>
                <w:rFonts w:cs="Arial"/>
                <w:color w:val="000000"/>
              </w:rPr>
              <w:t>0DXE4Z5</w:t>
            </w:r>
          </w:p>
        </w:tc>
        <w:tc>
          <w:tcPr>
            <w:tcW w:w="7560" w:type="dxa"/>
            <w:noWrap/>
            <w:vAlign w:val="center"/>
            <w:hideMark/>
          </w:tcPr>
          <w:p w14:paraId="6A1050DA" w14:textId="77777777" w:rsidR="00EA7A8D" w:rsidRPr="00E97D2C" w:rsidRDefault="00EA7A8D" w:rsidP="00696E8F">
            <w:pPr>
              <w:rPr>
                <w:rFonts w:cs="Arial"/>
                <w:color w:val="000000"/>
              </w:rPr>
            </w:pPr>
            <w:r w:rsidRPr="00E97D2C">
              <w:rPr>
                <w:rFonts w:cs="Arial"/>
                <w:color w:val="000000"/>
              </w:rPr>
              <w:t>Transfer Large Intestine to Esophagus, Percutaneous End</w:t>
            </w:r>
          </w:p>
        </w:tc>
      </w:tr>
    </w:tbl>
    <w:p w14:paraId="40539380" w14:textId="77777777" w:rsidR="00862093" w:rsidRPr="009A5185" w:rsidRDefault="00862093" w:rsidP="00862093">
      <w:pPr>
        <w:rPr>
          <w:rFonts w:cs="Arial"/>
          <w:b/>
        </w:rPr>
      </w:pPr>
    </w:p>
    <w:p w14:paraId="614E6346" w14:textId="77777777" w:rsidR="00862093" w:rsidRPr="009A5185" w:rsidRDefault="000E1EAA" w:rsidP="00862093">
      <w:pPr>
        <w:rPr>
          <w:rFonts w:cs="Arial"/>
          <w:b/>
        </w:rPr>
      </w:pPr>
      <w:r w:rsidRPr="009A5185">
        <w:rPr>
          <w:rFonts w:cs="Arial"/>
          <w:b/>
        </w:rPr>
        <w:t xml:space="preserve">ICD-10 Malignant Tumor </w:t>
      </w:r>
      <w:r w:rsidR="006015E0">
        <w:rPr>
          <w:rFonts w:cs="Arial"/>
          <w:b/>
        </w:rPr>
        <w:t xml:space="preserve">and Carcinoma in Situ </w:t>
      </w:r>
      <w:r w:rsidR="00862093" w:rsidRPr="009A5185">
        <w:rPr>
          <w:rFonts w:cs="Arial"/>
          <w:b/>
        </w:rPr>
        <w:t>Diagnosis Codes</w:t>
      </w:r>
      <w:r w:rsidR="00763340" w:rsidRPr="009A5185">
        <w:rPr>
          <w:rFonts w:cs="Arial"/>
          <w:b/>
        </w:rPr>
        <w:t xml:space="preserve"> </w:t>
      </w:r>
    </w:p>
    <w:p w14:paraId="1743631A" w14:textId="77777777" w:rsidR="00862093" w:rsidRPr="009A5185" w:rsidRDefault="00862093" w:rsidP="00862093">
      <w:pPr>
        <w:rPr>
          <w:rFonts w:cs="Arial"/>
          <w:b/>
        </w:rPr>
      </w:pPr>
    </w:p>
    <w:tbl>
      <w:tblPr>
        <w:tblStyle w:val="TableGrid"/>
        <w:tblW w:w="9432" w:type="dxa"/>
        <w:tblLook w:val="04A0" w:firstRow="1" w:lastRow="0" w:firstColumn="1" w:lastColumn="0" w:noHBand="0" w:noVBand="1"/>
      </w:tblPr>
      <w:tblGrid>
        <w:gridCol w:w="1872"/>
        <w:gridCol w:w="7560"/>
      </w:tblGrid>
      <w:tr w:rsidR="009A7901" w:rsidRPr="0004317D" w14:paraId="3361C351" w14:textId="77777777" w:rsidTr="00696E8F">
        <w:trPr>
          <w:trHeight w:val="432"/>
        </w:trPr>
        <w:tc>
          <w:tcPr>
            <w:tcW w:w="1872" w:type="dxa"/>
            <w:shd w:val="clear" w:color="auto" w:fill="BFBFBF" w:themeFill="background1" w:themeFillShade="BF"/>
            <w:noWrap/>
            <w:vAlign w:val="center"/>
          </w:tcPr>
          <w:p w14:paraId="0F3D9ACA" w14:textId="77777777" w:rsidR="009A7901" w:rsidRPr="0004317D" w:rsidRDefault="009A7901"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Diagnosis Code</w:t>
            </w:r>
          </w:p>
        </w:tc>
        <w:tc>
          <w:tcPr>
            <w:tcW w:w="7560" w:type="dxa"/>
            <w:shd w:val="clear" w:color="auto" w:fill="BFBFBF" w:themeFill="background1" w:themeFillShade="BF"/>
            <w:vAlign w:val="center"/>
          </w:tcPr>
          <w:p w14:paraId="4967EFA7" w14:textId="77777777" w:rsidR="009A7901" w:rsidRPr="0004317D" w:rsidRDefault="009A7901" w:rsidP="00696E8F">
            <w:pPr>
              <w:rPr>
                <w:rFonts w:cs="Arial"/>
                <w:color w:val="000000"/>
              </w:rPr>
            </w:pPr>
            <w:r w:rsidRPr="0004317D">
              <w:rPr>
                <w:rFonts w:cs="Arial"/>
                <w:b/>
              </w:rPr>
              <w:t>Code Description</w:t>
            </w:r>
          </w:p>
        </w:tc>
      </w:tr>
      <w:tr w:rsidR="009A7901" w:rsidRPr="006227B9" w14:paraId="6F5F67EC" w14:textId="77777777" w:rsidTr="00696E8F">
        <w:trPr>
          <w:trHeight w:val="300"/>
        </w:trPr>
        <w:tc>
          <w:tcPr>
            <w:tcW w:w="1872" w:type="dxa"/>
            <w:noWrap/>
            <w:vAlign w:val="center"/>
            <w:hideMark/>
          </w:tcPr>
          <w:p w14:paraId="488ED89C" w14:textId="77777777" w:rsidR="009A7901" w:rsidRPr="006227B9" w:rsidRDefault="009A7901" w:rsidP="00696E8F">
            <w:pPr>
              <w:rPr>
                <w:rFonts w:cs="Arial"/>
                <w:color w:val="000000"/>
              </w:rPr>
            </w:pPr>
            <w:bookmarkStart w:id="264" w:name="RANGE!B42"/>
            <w:r w:rsidRPr="006227B9">
              <w:rPr>
                <w:rFonts w:cs="Arial"/>
                <w:color w:val="000000"/>
              </w:rPr>
              <w:t>C15.3</w:t>
            </w:r>
          </w:p>
        </w:tc>
        <w:tc>
          <w:tcPr>
            <w:tcW w:w="7560" w:type="dxa"/>
            <w:noWrap/>
            <w:vAlign w:val="center"/>
            <w:hideMark/>
          </w:tcPr>
          <w:p w14:paraId="2B18BEE0" w14:textId="77777777" w:rsidR="009A7901" w:rsidRPr="006227B9" w:rsidRDefault="009A7901" w:rsidP="00696E8F">
            <w:pPr>
              <w:rPr>
                <w:rFonts w:cs="Arial"/>
                <w:color w:val="000000"/>
              </w:rPr>
            </w:pPr>
            <w:r w:rsidRPr="006227B9">
              <w:rPr>
                <w:rFonts w:cs="Arial"/>
                <w:color w:val="000000"/>
              </w:rPr>
              <w:t>Malignant neoplasm of upper third of esophagus</w:t>
            </w:r>
          </w:p>
        </w:tc>
      </w:tr>
      <w:tr w:rsidR="009A7901" w:rsidRPr="006227B9" w14:paraId="5EE15045" w14:textId="77777777" w:rsidTr="00696E8F">
        <w:trPr>
          <w:trHeight w:val="300"/>
        </w:trPr>
        <w:tc>
          <w:tcPr>
            <w:tcW w:w="1872" w:type="dxa"/>
            <w:noWrap/>
            <w:vAlign w:val="center"/>
            <w:hideMark/>
          </w:tcPr>
          <w:p w14:paraId="3A22ACB0" w14:textId="77777777" w:rsidR="009A7901" w:rsidRPr="006227B9" w:rsidRDefault="009A7901" w:rsidP="00696E8F">
            <w:pPr>
              <w:rPr>
                <w:rFonts w:cs="Arial"/>
                <w:color w:val="000000"/>
              </w:rPr>
            </w:pPr>
            <w:r w:rsidRPr="006227B9">
              <w:rPr>
                <w:rFonts w:cs="Arial"/>
                <w:color w:val="000000"/>
              </w:rPr>
              <w:t>C15.4</w:t>
            </w:r>
          </w:p>
        </w:tc>
        <w:tc>
          <w:tcPr>
            <w:tcW w:w="7560" w:type="dxa"/>
            <w:noWrap/>
            <w:vAlign w:val="center"/>
            <w:hideMark/>
          </w:tcPr>
          <w:p w14:paraId="5F47C1C3" w14:textId="77777777" w:rsidR="009A7901" w:rsidRPr="006227B9" w:rsidRDefault="009A7901" w:rsidP="00696E8F">
            <w:pPr>
              <w:rPr>
                <w:rFonts w:cs="Arial"/>
                <w:color w:val="000000"/>
              </w:rPr>
            </w:pPr>
            <w:r w:rsidRPr="006227B9">
              <w:rPr>
                <w:rFonts w:cs="Arial"/>
                <w:color w:val="000000"/>
              </w:rPr>
              <w:t>Malignant neoplasm of middle third of esophagus</w:t>
            </w:r>
          </w:p>
        </w:tc>
      </w:tr>
      <w:tr w:rsidR="009A7901" w:rsidRPr="006227B9" w14:paraId="2CE96234" w14:textId="77777777" w:rsidTr="00696E8F">
        <w:trPr>
          <w:trHeight w:val="300"/>
        </w:trPr>
        <w:tc>
          <w:tcPr>
            <w:tcW w:w="1872" w:type="dxa"/>
            <w:noWrap/>
            <w:vAlign w:val="center"/>
            <w:hideMark/>
          </w:tcPr>
          <w:p w14:paraId="04D15FA1" w14:textId="77777777" w:rsidR="009A7901" w:rsidRPr="006227B9" w:rsidRDefault="009A7901" w:rsidP="00696E8F">
            <w:pPr>
              <w:rPr>
                <w:rFonts w:cs="Arial"/>
                <w:color w:val="000000"/>
              </w:rPr>
            </w:pPr>
            <w:r w:rsidRPr="006227B9">
              <w:rPr>
                <w:rFonts w:cs="Arial"/>
                <w:color w:val="000000"/>
              </w:rPr>
              <w:t>C15.5</w:t>
            </w:r>
          </w:p>
        </w:tc>
        <w:tc>
          <w:tcPr>
            <w:tcW w:w="7560" w:type="dxa"/>
            <w:noWrap/>
            <w:vAlign w:val="center"/>
            <w:hideMark/>
          </w:tcPr>
          <w:p w14:paraId="6F4E60ED" w14:textId="77777777" w:rsidR="009A7901" w:rsidRPr="006227B9" w:rsidRDefault="009A7901" w:rsidP="00696E8F">
            <w:pPr>
              <w:rPr>
                <w:rFonts w:cs="Arial"/>
                <w:color w:val="000000"/>
              </w:rPr>
            </w:pPr>
            <w:r w:rsidRPr="006227B9">
              <w:rPr>
                <w:rFonts w:cs="Arial"/>
                <w:color w:val="000000"/>
              </w:rPr>
              <w:t>Malignant neoplasm of lower third of esophagus</w:t>
            </w:r>
          </w:p>
        </w:tc>
      </w:tr>
      <w:tr w:rsidR="009A7901" w:rsidRPr="006227B9" w14:paraId="667CFD51" w14:textId="77777777" w:rsidTr="00696E8F">
        <w:trPr>
          <w:trHeight w:val="300"/>
        </w:trPr>
        <w:tc>
          <w:tcPr>
            <w:tcW w:w="1872" w:type="dxa"/>
            <w:noWrap/>
            <w:vAlign w:val="center"/>
            <w:hideMark/>
          </w:tcPr>
          <w:p w14:paraId="10693358" w14:textId="77777777" w:rsidR="009A7901" w:rsidRPr="006227B9" w:rsidRDefault="009A7901" w:rsidP="00696E8F">
            <w:pPr>
              <w:rPr>
                <w:rFonts w:cs="Arial"/>
                <w:color w:val="000000"/>
              </w:rPr>
            </w:pPr>
            <w:r w:rsidRPr="006227B9">
              <w:rPr>
                <w:rFonts w:cs="Arial"/>
                <w:color w:val="000000"/>
              </w:rPr>
              <w:t>C15.8</w:t>
            </w:r>
          </w:p>
        </w:tc>
        <w:tc>
          <w:tcPr>
            <w:tcW w:w="7560" w:type="dxa"/>
            <w:noWrap/>
            <w:vAlign w:val="center"/>
            <w:hideMark/>
          </w:tcPr>
          <w:p w14:paraId="2EE37144" w14:textId="77777777" w:rsidR="009A7901" w:rsidRPr="006227B9" w:rsidRDefault="009A7901" w:rsidP="00696E8F">
            <w:pPr>
              <w:rPr>
                <w:rFonts w:cs="Arial"/>
                <w:color w:val="000000"/>
              </w:rPr>
            </w:pPr>
            <w:r w:rsidRPr="006227B9">
              <w:rPr>
                <w:rFonts w:cs="Arial"/>
                <w:color w:val="000000"/>
              </w:rPr>
              <w:t>Malignant neoplasm of overlapping sites of esophagus</w:t>
            </w:r>
          </w:p>
        </w:tc>
      </w:tr>
      <w:tr w:rsidR="009A7901" w:rsidRPr="006227B9" w14:paraId="7A3EA258" w14:textId="77777777" w:rsidTr="00696E8F">
        <w:trPr>
          <w:trHeight w:val="300"/>
        </w:trPr>
        <w:tc>
          <w:tcPr>
            <w:tcW w:w="1872" w:type="dxa"/>
            <w:noWrap/>
            <w:vAlign w:val="center"/>
            <w:hideMark/>
          </w:tcPr>
          <w:p w14:paraId="640EEE6E" w14:textId="77777777" w:rsidR="009A7901" w:rsidRPr="006227B9" w:rsidRDefault="009A7901" w:rsidP="00696E8F">
            <w:pPr>
              <w:rPr>
                <w:rFonts w:cs="Arial"/>
                <w:color w:val="000000"/>
              </w:rPr>
            </w:pPr>
            <w:r w:rsidRPr="006227B9">
              <w:rPr>
                <w:rFonts w:cs="Arial"/>
                <w:color w:val="000000"/>
              </w:rPr>
              <w:t>C15.9</w:t>
            </w:r>
          </w:p>
        </w:tc>
        <w:tc>
          <w:tcPr>
            <w:tcW w:w="7560" w:type="dxa"/>
            <w:noWrap/>
            <w:vAlign w:val="center"/>
            <w:hideMark/>
          </w:tcPr>
          <w:p w14:paraId="2BDDE248" w14:textId="77777777" w:rsidR="009A7901" w:rsidRPr="006227B9" w:rsidRDefault="009A7901" w:rsidP="00696E8F">
            <w:pPr>
              <w:rPr>
                <w:rFonts w:cs="Arial"/>
                <w:color w:val="000000"/>
              </w:rPr>
            </w:pPr>
            <w:r w:rsidRPr="006227B9">
              <w:rPr>
                <w:rFonts w:cs="Arial"/>
                <w:color w:val="000000"/>
              </w:rPr>
              <w:t>Malignant neoplasm of esophagus, unspecified</w:t>
            </w:r>
          </w:p>
        </w:tc>
      </w:tr>
      <w:tr w:rsidR="009A7901" w:rsidRPr="006227B9" w14:paraId="0A066EA2" w14:textId="77777777" w:rsidTr="00696E8F">
        <w:trPr>
          <w:trHeight w:val="300"/>
        </w:trPr>
        <w:tc>
          <w:tcPr>
            <w:tcW w:w="1872" w:type="dxa"/>
            <w:noWrap/>
            <w:vAlign w:val="center"/>
            <w:hideMark/>
          </w:tcPr>
          <w:p w14:paraId="4FE70107" w14:textId="77777777" w:rsidR="009A7901" w:rsidRPr="006227B9" w:rsidRDefault="009A7901" w:rsidP="00696E8F">
            <w:pPr>
              <w:rPr>
                <w:rFonts w:cs="Arial"/>
                <w:color w:val="000000"/>
              </w:rPr>
            </w:pPr>
            <w:r w:rsidRPr="006227B9">
              <w:rPr>
                <w:rFonts w:cs="Arial"/>
                <w:color w:val="000000"/>
              </w:rPr>
              <w:t>C16.0</w:t>
            </w:r>
          </w:p>
        </w:tc>
        <w:tc>
          <w:tcPr>
            <w:tcW w:w="7560" w:type="dxa"/>
            <w:noWrap/>
            <w:vAlign w:val="center"/>
            <w:hideMark/>
          </w:tcPr>
          <w:p w14:paraId="6C1F5B82" w14:textId="77777777" w:rsidR="009A7901" w:rsidRPr="006227B9" w:rsidRDefault="009A7901" w:rsidP="00696E8F">
            <w:pPr>
              <w:rPr>
                <w:rFonts w:cs="Arial"/>
                <w:color w:val="000000"/>
              </w:rPr>
            </w:pPr>
            <w:r w:rsidRPr="006227B9">
              <w:rPr>
                <w:rFonts w:cs="Arial"/>
                <w:color w:val="000000"/>
              </w:rPr>
              <w:t>Malignancy of the cardio-esophageal junction</w:t>
            </w:r>
          </w:p>
        </w:tc>
      </w:tr>
      <w:tr w:rsidR="009A7901" w:rsidRPr="006227B9" w14:paraId="1D85A486" w14:textId="77777777" w:rsidTr="00696E8F">
        <w:trPr>
          <w:trHeight w:val="300"/>
        </w:trPr>
        <w:tc>
          <w:tcPr>
            <w:tcW w:w="1872" w:type="dxa"/>
            <w:noWrap/>
            <w:vAlign w:val="center"/>
            <w:hideMark/>
          </w:tcPr>
          <w:p w14:paraId="33CEFF9D" w14:textId="77777777" w:rsidR="009A7901" w:rsidRPr="006227B9" w:rsidRDefault="009A7901" w:rsidP="00696E8F">
            <w:pPr>
              <w:rPr>
                <w:rFonts w:cs="Arial"/>
                <w:color w:val="000000"/>
              </w:rPr>
            </w:pPr>
            <w:r w:rsidRPr="006227B9">
              <w:rPr>
                <w:rFonts w:cs="Arial"/>
                <w:color w:val="000000"/>
              </w:rPr>
              <w:t>D00</w:t>
            </w:r>
            <w:r w:rsidR="00534704">
              <w:rPr>
                <w:rFonts w:cs="Arial"/>
                <w:color w:val="000000"/>
              </w:rPr>
              <w:t>.</w:t>
            </w:r>
            <w:r w:rsidRPr="006227B9">
              <w:rPr>
                <w:rFonts w:cs="Arial"/>
                <w:color w:val="000000"/>
              </w:rPr>
              <w:t xml:space="preserve">1 </w:t>
            </w:r>
          </w:p>
        </w:tc>
        <w:tc>
          <w:tcPr>
            <w:tcW w:w="7560" w:type="dxa"/>
            <w:noWrap/>
            <w:vAlign w:val="center"/>
            <w:hideMark/>
          </w:tcPr>
          <w:p w14:paraId="2730FDCF" w14:textId="77777777" w:rsidR="009A7901" w:rsidRPr="006227B9" w:rsidRDefault="009A7901" w:rsidP="00696E8F">
            <w:pPr>
              <w:rPr>
                <w:rFonts w:cs="Arial"/>
                <w:color w:val="000000"/>
              </w:rPr>
            </w:pPr>
            <w:r w:rsidRPr="006227B9">
              <w:rPr>
                <w:rFonts w:cs="Arial"/>
                <w:color w:val="000000"/>
              </w:rPr>
              <w:t>Carcinoma in situ of esophagus</w:t>
            </w:r>
          </w:p>
        </w:tc>
      </w:tr>
      <w:bookmarkEnd w:id="264"/>
    </w:tbl>
    <w:p w14:paraId="2B05769B" w14:textId="77777777" w:rsidR="00862093" w:rsidRPr="009A5185" w:rsidRDefault="00862093" w:rsidP="00862093">
      <w:pPr>
        <w:rPr>
          <w:rFonts w:cs="Arial"/>
        </w:rPr>
      </w:pPr>
    </w:p>
    <w:p w14:paraId="0BA3EE8E" w14:textId="77777777" w:rsidR="00E95DF5" w:rsidRPr="009A5185" w:rsidRDefault="00E95DF5" w:rsidP="00862093">
      <w:pPr>
        <w:rPr>
          <w:rFonts w:cs="Arial"/>
        </w:rPr>
      </w:pPr>
    </w:p>
    <w:p w14:paraId="2B0373B0" w14:textId="77777777" w:rsidR="00F13A61" w:rsidRPr="009A5185" w:rsidRDefault="00F13A61">
      <w:pPr>
        <w:rPr>
          <w:rFonts w:cs="Arial"/>
          <w:b/>
          <w:i/>
          <w:snapToGrid w:val="0"/>
          <w:sz w:val="24"/>
          <w:szCs w:val="24"/>
          <w:lang w:eastAsia="ja-JP"/>
        </w:rPr>
      </w:pPr>
      <w:r w:rsidRPr="009A5185">
        <w:rPr>
          <w:rFonts w:cs="Arial"/>
          <w:snapToGrid w:val="0"/>
        </w:rPr>
        <w:br w:type="page"/>
      </w:r>
    </w:p>
    <w:p w14:paraId="3E79DFF5" w14:textId="3944B10C" w:rsidR="00E95DF5" w:rsidRPr="009A5185" w:rsidRDefault="00E95DF5" w:rsidP="000C2C54">
      <w:pPr>
        <w:pStyle w:val="Heading44"/>
      </w:pPr>
      <w:bookmarkStart w:id="265" w:name="PancreaticResection"/>
      <w:r w:rsidRPr="009A5185">
        <w:lastRenderedPageBreak/>
        <w:t>Pancreatic Resection</w:t>
      </w:r>
      <w:r w:rsidR="00C508E1" w:rsidRPr="009A5185">
        <w:t xml:space="preserve"> for Cancer</w:t>
      </w:r>
      <w:r w:rsidRPr="009A5185">
        <w:t xml:space="preserve"> Measure </w:t>
      </w:r>
      <w:r w:rsidR="000765C6">
        <w:t>Specifications</w:t>
      </w:r>
    </w:p>
    <w:bookmarkEnd w:id="265"/>
    <w:p w14:paraId="64919C9C" w14:textId="77777777" w:rsidR="00E95DF5" w:rsidRPr="00E1411B" w:rsidRDefault="00E95DF5" w:rsidP="00E95DF5">
      <w:pPr>
        <w:rPr>
          <w:rFonts w:cs="Arial"/>
          <w:sz w:val="16"/>
          <w:szCs w:val="16"/>
        </w:rPr>
      </w:pPr>
    </w:p>
    <w:p w14:paraId="4131E802" w14:textId="77777777" w:rsidR="00E95DF5" w:rsidRPr="009A5185" w:rsidRDefault="00E95DF5" w:rsidP="00E95DF5">
      <w:pPr>
        <w:rPr>
          <w:rFonts w:cs="Arial"/>
        </w:rPr>
      </w:pPr>
      <w:r w:rsidRPr="009A5185">
        <w:rPr>
          <w:rFonts w:cs="Arial"/>
        </w:rPr>
        <w:t xml:space="preserve">For </w:t>
      </w:r>
      <w:r w:rsidR="00E2557B" w:rsidRPr="009A5185">
        <w:rPr>
          <w:rFonts w:cs="Arial"/>
        </w:rPr>
        <w:t>pancreatic resection for cancer</w:t>
      </w:r>
      <w:r w:rsidRPr="009A5185">
        <w:rPr>
          <w:rFonts w:cs="Arial"/>
        </w:rPr>
        <w:t>, there are two sets of IC</w:t>
      </w:r>
      <w:r w:rsidR="007550AD">
        <w:rPr>
          <w:rFonts w:cs="Arial"/>
        </w:rPr>
        <w:t>D-10 codes for counting patient discharges</w:t>
      </w:r>
      <w:r w:rsidRPr="009A5185">
        <w:rPr>
          <w:rFonts w:cs="Arial"/>
        </w:rPr>
        <w:t xml:space="preserve">. The first set of codes is to identify patients who have had the procedure. </w:t>
      </w:r>
      <w:r w:rsidR="00D7330E" w:rsidRPr="009A5185">
        <w:rPr>
          <w:rFonts w:cs="Arial"/>
        </w:rPr>
        <w:t xml:space="preserve">The second set of codes </w:t>
      </w:r>
      <w:r w:rsidRPr="009A5185">
        <w:rPr>
          <w:rFonts w:cs="Arial"/>
        </w:rPr>
        <w:t>is to identify patient</w:t>
      </w:r>
      <w:r w:rsidR="009B3ACE" w:rsidRPr="009A5185">
        <w:rPr>
          <w:rFonts w:cs="Arial"/>
        </w:rPr>
        <w:t>s</w:t>
      </w:r>
      <w:r w:rsidRPr="009A5185">
        <w:rPr>
          <w:rFonts w:cs="Arial"/>
        </w:rPr>
        <w:t xml:space="preserve"> with a specific diagnosis.</w:t>
      </w:r>
    </w:p>
    <w:p w14:paraId="329E7EAD" w14:textId="77777777" w:rsidR="00E95DF5" w:rsidRPr="00E1411B" w:rsidRDefault="00E95DF5" w:rsidP="00E95DF5">
      <w:pPr>
        <w:rPr>
          <w:rFonts w:cs="Arial"/>
          <w:sz w:val="16"/>
          <w:szCs w:val="16"/>
        </w:rPr>
      </w:pPr>
    </w:p>
    <w:p w14:paraId="056E868C" w14:textId="77777777" w:rsidR="00E95DF5" w:rsidRPr="009A5185" w:rsidRDefault="007550AD" w:rsidP="00E95DF5">
      <w:pPr>
        <w:rPr>
          <w:rFonts w:cs="Arial"/>
        </w:rPr>
      </w:pPr>
      <w:r>
        <w:rPr>
          <w:rFonts w:cs="Arial"/>
        </w:rPr>
        <w:t>Count the n</w:t>
      </w:r>
      <w:r w:rsidR="00E95DF5" w:rsidRPr="009A5185">
        <w:rPr>
          <w:rFonts w:cs="Arial"/>
        </w:rPr>
        <w:t>umber of patients, age</w:t>
      </w:r>
      <w:r w:rsidR="00E2557B">
        <w:rPr>
          <w:rFonts w:cs="Arial"/>
        </w:rPr>
        <w:t>s</w:t>
      </w:r>
      <w:r w:rsidR="00E95DF5" w:rsidRPr="009A5185">
        <w:rPr>
          <w:rFonts w:cs="Arial"/>
        </w:rPr>
        <w:t xml:space="preserve"> 18 years and older, discharged with the following ICD-10 codes in any procedure field </w:t>
      </w:r>
      <w:r w:rsidR="00E95DF5" w:rsidRPr="006904F9">
        <w:rPr>
          <w:rFonts w:cs="Arial"/>
          <w:b/>
          <w:bCs/>
        </w:rPr>
        <w:t>AND</w:t>
      </w:r>
      <w:r w:rsidR="00E95DF5" w:rsidRPr="009A5185">
        <w:rPr>
          <w:rFonts w:cs="Arial"/>
        </w:rPr>
        <w:t xml:space="preserve"> any of the follo</w:t>
      </w:r>
      <w:r w:rsidR="001E2896" w:rsidRPr="009A5185">
        <w:rPr>
          <w:rFonts w:cs="Arial"/>
        </w:rPr>
        <w:t>wing ICD-10 codes in any</w:t>
      </w:r>
      <w:r w:rsidR="00E95DF5" w:rsidRPr="009A5185">
        <w:rPr>
          <w:rFonts w:cs="Arial"/>
        </w:rPr>
        <w:t xml:space="preserve"> diagnosis field</w:t>
      </w:r>
      <w:r w:rsidR="00BF2BFF" w:rsidRPr="009A5185">
        <w:rPr>
          <w:rFonts w:cs="Arial"/>
        </w:rPr>
        <w:t>.</w:t>
      </w:r>
    </w:p>
    <w:p w14:paraId="7C2C5836" w14:textId="77777777" w:rsidR="0071568E" w:rsidRPr="00E1411B" w:rsidRDefault="0071568E" w:rsidP="00E95DF5">
      <w:pPr>
        <w:rPr>
          <w:rFonts w:cs="Arial"/>
          <w:sz w:val="16"/>
          <w:szCs w:val="16"/>
        </w:rPr>
      </w:pPr>
    </w:p>
    <w:p w14:paraId="4C410807" w14:textId="77777777" w:rsidR="00E95DF5" w:rsidRPr="009A5185" w:rsidRDefault="00E95DF5" w:rsidP="00E95DF5">
      <w:pPr>
        <w:rPr>
          <w:rFonts w:cs="Arial"/>
          <w:b/>
        </w:rPr>
      </w:pPr>
      <w:r w:rsidRPr="009A5185">
        <w:rPr>
          <w:rFonts w:cs="Arial"/>
          <w:b/>
        </w:rPr>
        <w:t xml:space="preserve">ICD-10 Pancreatic Resection </w:t>
      </w:r>
      <w:r w:rsidR="00C508E1" w:rsidRPr="009A5185">
        <w:rPr>
          <w:rFonts w:cs="Arial"/>
          <w:b/>
        </w:rPr>
        <w:t xml:space="preserve">for Cancer </w:t>
      </w:r>
      <w:r w:rsidRPr="009A5185">
        <w:rPr>
          <w:rFonts w:cs="Arial"/>
          <w:b/>
        </w:rPr>
        <w:t xml:space="preserve">Procedure Codes </w:t>
      </w:r>
    </w:p>
    <w:p w14:paraId="75DDCA7C" w14:textId="77777777" w:rsidR="00E95DF5" w:rsidRPr="00E1411B" w:rsidRDefault="00E95DF5" w:rsidP="00E95DF5">
      <w:pPr>
        <w:rPr>
          <w:rFonts w:cs="Arial"/>
          <w:b/>
          <w:sz w:val="16"/>
          <w:szCs w:val="16"/>
        </w:rPr>
      </w:pPr>
    </w:p>
    <w:tbl>
      <w:tblPr>
        <w:tblStyle w:val="TableGrid"/>
        <w:tblW w:w="9432" w:type="dxa"/>
        <w:tblLook w:val="04A0" w:firstRow="1" w:lastRow="0" w:firstColumn="1" w:lastColumn="0" w:noHBand="0" w:noVBand="1"/>
      </w:tblPr>
      <w:tblGrid>
        <w:gridCol w:w="1872"/>
        <w:gridCol w:w="7560"/>
      </w:tblGrid>
      <w:tr w:rsidR="00E2557B" w:rsidRPr="0004317D" w14:paraId="740A48B5" w14:textId="77777777" w:rsidTr="00696E8F">
        <w:trPr>
          <w:trHeight w:val="432"/>
        </w:trPr>
        <w:tc>
          <w:tcPr>
            <w:tcW w:w="1872" w:type="dxa"/>
            <w:shd w:val="clear" w:color="auto" w:fill="BFBFBF" w:themeFill="background1" w:themeFillShade="BF"/>
            <w:vAlign w:val="center"/>
          </w:tcPr>
          <w:p w14:paraId="58ADDDFF" w14:textId="77777777" w:rsidR="00E2557B" w:rsidRPr="0004317D" w:rsidRDefault="00E2557B"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Procedure Code</w:t>
            </w:r>
          </w:p>
        </w:tc>
        <w:tc>
          <w:tcPr>
            <w:tcW w:w="7560" w:type="dxa"/>
            <w:shd w:val="clear" w:color="auto" w:fill="BFBFBF" w:themeFill="background1" w:themeFillShade="BF"/>
            <w:vAlign w:val="center"/>
          </w:tcPr>
          <w:p w14:paraId="212A6FA8" w14:textId="77777777" w:rsidR="00E2557B" w:rsidRPr="0004317D" w:rsidRDefault="00E2557B" w:rsidP="00696E8F">
            <w:pPr>
              <w:rPr>
                <w:rFonts w:cs="Arial"/>
                <w:color w:val="000000"/>
              </w:rPr>
            </w:pPr>
            <w:r w:rsidRPr="0004317D">
              <w:rPr>
                <w:rFonts w:cs="Arial"/>
                <w:b/>
                <w:bCs/>
                <w:color w:val="000000"/>
              </w:rPr>
              <w:t>Code Description</w:t>
            </w:r>
          </w:p>
        </w:tc>
      </w:tr>
      <w:tr w:rsidR="00E2557B" w:rsidRPr="00614ED2" w14:paraId="44235665" w14:textId="77777777" w:rsidTr="00696E8F">
        <w:trPr>
          <w:trHeight w:val="300"/>
        </w:trPr>
        <w:tc>
          <w:tcPr>
            <w:tcW w:w="1872" w:type="dxa"/>
            <w:noWrap/>
            <w:vAlign w:val="center"/>
            <w:hideMark/>
          </w:tcPr>
          <w:p w14:paraId="49944F4D" w14:textId="77777777" w:rsidR="00E2557B" w:rsidRPr="00614ED2" w:rsidRDefault="00E2557B" w:rsidP="00696E8F">
            <w:pPr>
              <w:rPr>
                <w:rFonts w:cs="Arial"/>
                <w:color w:val="000000"/>
              </w:rPr>
            </w:pPr>
            <w:r w:rsidRPr="00614ED2">
              <w:rPr>
                <w:rFonts w:cs="Arial"/>
                <w:color w:val="000000"/>
              </w:rPr>
              <w:t>0DB90ZZ</w:t>
            </w:r>
          </w:p>
        </w:tc>
        <w:tc>
          <w:tcPr>
            <w:tcW w:w="7560" w:type="dxa"/>
            <w:noWrap/>
            <w:vAlign w:val="center"/>
            <w:hideMark/>
          </w:tcPr>
          <w:p w14:paraId="59B30713" w14:textId="77777777" w:rsidR="00E2557B" w:rsidRPr="00614ED2" w:rsidRDefault="00E2557B" w:rsidP="00696E8F">
            <w:pPr>
              <w:rPr>
                <w:rFonts w:cs="Arial"/>
                <w:color w:val="000000"/>
              </w:rPr>
            </w:pPr>
            <w:r w:rsidRPr="00614ED2">
              <w:rPr>
                <w:rFonts w:cs="Arial"/>
                <w:color w:val="000000"/>
              </w:rPr>
              <w:t>Excision of Duodenum, Open Approach</w:t>
            </w:r>
          </w:p>
        </w:tc>
      </w:tr>
      <w:tr w:rsidR="00E2557B" w:rsidRPr="00614ED2" w14:paraId="3BC6F306" w14:textId="77777777" w:rsidTr="00696E8F">
        <w:trPr>
          <w:trHeight w:val="300"/>
        </w:trPr>
        <w:tc>
          <w:tcPr>
            <w:tcW w:w="1872" w:type="dxa"/>
            <w:noWrap/>
            <w:vAlign w:val="center"/>
            <w:hideMark/>
          </w:tcPr>
          <w:p w14:paraId="1AB62926" w14:textId="77777777" w:rsidR="00E2557B" w:rsidRPr="00614ED2" w:rsidRDefault="00E2557B" w:rsidP="00696E8F">
            <w:pPr>
              <w:rPr>
                <w:rFonts w:cs="Arial"/>
                <w:color w:val="000000"/>
              </w:rPr>
            </w:pPr>
            <w:r w:rsidRPr="00614ED2">
              <w:rPr>
                <w:rFonts w:cs="Arial"/>
                <w:color w:val="000000"/>
              </w:rPr>
              <w:t>0DB93ZZ</w:t>
            </w:r>
          </w:p>
        </w:tc>
        <w:tc>
          <w:tcPr>
            <w:tcW w:w="7560" w:type="dxa"/>
            <w:noWrap/>
            <w:vAlign w:val="center"/>
            <w:hideMark/>
          </w:tcPr>
          <w:p w14:paraId="59556315" w14:textId="77777777" w:rsidR="00E2557B" w:rsidRPr="00614ED2" w:rsidRDefault="00E2557B" w:rsidP="00696E8F">
            <w:pPr>
              <w:rPr>
                <w:rFonts w:cs="Arial"/>
                <w:color w:val="000000"/>
              </w:rPr>
            </w:pPr>
            <w:r w:rsidRPr="00614ED2">
              <w:rPr>
                <w:rFonts w:cs="Arial"/>
                <w:color w:val="000000"/>
              </w:rPr>
              <w:t>Excision of Duodenum, Percutaneous Approach</w:t>
            </w:r>
          </w:p>
        </w:tc>
      </w:tr>
      <w:tr w:rsidR="00E2557B" w:rsidRPr="00614ED2" w14:paraId="1ECF629E" w14:textId="77777777" w:rsidTr="00696E8F">
        <w:trPr>
          <w:trHeight w:val="300"/>
        </w:trPr>
        <w:tc>
          <w:tcPr>
            <w:tcW w:w="1872" w:type="dxa"/>
            <w:noWrap/>
            <w:vAlign w:val="center"/>
            <w:hideMark/>
          </w:tcPr>
          <w:p w14:paraId="5A65F137" w14:textId="77777777" w:rsidR="00E2557B" w:rsidRPr="00614ED2" w:rsidRDefault="00E2557B" w:rsidP="00696E8F">
            <w:pPr>
              <w:rPr>
                <w:rFonts w:cs="Arial"/>
                <w:color w:val="000000"/>
              </w:rPr>
            </w:pPr>
            <w:r w:rsidRPr="00614ED2">
              <w:rPr>
                <w:rFonts w:cs="Arial"/>
                <w:color w:val="000000"/>
              </w:rPr>
              <w:t>0DB94ZZ</w:t>
            </w:r>
          </w:p>
        </w:tc>
        <w:tc>
          <w:tcPr>
            <w:tcW w:w="7560" w:type="dxa"/>
            <w:noWrap/>
            <w:vAlign w:val="center"/>
            <w:hideMark/>
          </w:tcPr>
          <w:p w14:paraId="13E3A220" w14:textId="77777777" w:rsidR="00E2557B" w:rsidRPr="00614ED2" w:rsidRDefault="00E2557B" w:rsidP="00696E8F">
            <w:pPr>
              <w:rPr>
                <w:rFonts w:cs="Arial"/>
                <w:color w:val="000000"/>
              </w:rPr>
            </w:pPr>
            <w:r w:rsidRPr="00614ED2">
              <w:rPr>
                <w:rFonts w:cs="Arial"/>
                <w:color w:val="000000"/>
              </w:rPr>
              <w:t>Excision of Duodenum, Percutaneous Endoscopic Approach</w:t>
            </w:r>
          </w:p>
        </w:tc>
      </w:tr>
      <w:tr w:rsidR="00E2557B" w:rsidRPr="00614ED2" w14:paraId="392012DC" w14:textId="77777777" w:rsidTr="00696E8F">
        <w:trPr>
          <w:trHeight w:val="300"/>
        </w:trPr>
        <w:tc>
          <w:tcPr>
            <w:tcW w:w="1872" w:type="dxa"/>
            <w:noWrap/>
            <w:vAlign w:val="center"/>
            <w:hideMark/>
          </w:tcPr>
          <w:p w14:paraId="15071BB2" w14:textId="77777777" w:rsidR="00E2557B" w:rsidRPr="00614ED2" w:rsidRDefault="00E2557B" w:rsidP="00696E8F">
            <w:pPr>
              <w:rPr>
                <w:rFonts w:cs="Arial"/>
                <w:color w:val="000000"/>
              </w:rPr>
            </w:pPr>
            <w:r w:rsidRPr="00614ED2">
              <w:rPr>
                <w:rFonts w:cs="Arial"/>
                <w:color w:val="000000"/>
              </w:rPr>
              <w:t>0DB97ZZ</w:t>
            </w:r>
          </w:p>
        </w:tc>
        <w:tc>
          <w:tcPr>
            <w:tcW w:w="7560" w:type="dxa"/>
            <w:noWrap/>
            <w:vAlign w:val="center"/>
            <w:hideMark/>
          </w:tcPr>
          <w:p w14:paraId="4CBE3C67" w14:textId="77777777" w:rsidR="00E2557B" w:rsidRPr="00614ED2" w:rsidRDefault="00E2557B" w:rsidP="00696E8F">
            <w:pPr>
              <w:rPr>
                <w:rFonts w:cs="Arial"/>
                <w:color w:val="000000"/>
              </w:rPr>
            </w:pPr>
            <w:r w:rsidRPr="00614ED2">
              <w:rPr>
                <w:rFonts w:cs="Arial"/>
                <w:color w:val="000000"/>
              </w:rPr>
              <w:t>Excision of Duodenum, Via Natural or Artificial Opening</w:t>
            </w:r>
          </w:p>
        </w:tc>
      </w:tr>
      <w:tr w:rsidR="00E2557B" w:rsidRPr="00614ED2" w14:paraId="38452F67" w14:textId="77777777" w:rsidTr="00696E8F">
        <w:trPr>
          <w:trHeight w:val="300"/>
        </w:trPr>
        <w:tc>
          <w:tcPr>
            <w:tcW w:w="1872" w:type="dxa"/>
            <w:noWrap/>
            <w:vAlign w:val="center"/>
            <w:hideMark/>
          </w:tcPr>
          <w:p w14:paraId="1E805ACA" w14:textId="77777777" w:rsidR="00E2557B" w:rsidRPr="00614ED2" w:rsidRDefault="00E2557B" w:rsidP="00696E8F">
            <w:pPr>
              <w:rPr>
                <w:rFonts w:cs="Arial"/>
                <w:color w:val="000000"/>
              </w:rPr>
            </w:pPr>
            <w:r w:rsidRPr="00614ED2">
              <w:rPr>
                <w:rFonts w:cs="Arial"/>
                <w:color w:val="000000"/>
              </w:rPr>
              <w:t>0DB98ZZ</w:t>
            </w:r>
          </w:p>
        </w:tc>
        <w:tc>
          <w:tcPr>
            <w:tcW w:w="7560" w:type="dxa"/>
            <w:noWrap/>
            <w:vAlign w:val="center"/>
            <w:hideMark/>
          </w:tcPr>
          <w:p w14:paraId="3D27BB32" w14:textId="77777777" w:rsidR="00E2557B" w:rsidRPr="00614ED2" w:rsidRDefault="00E2557B" w:rsidP="00696E8F">
            <w:pPr>
              <w:rPr>
                <w:rFonts w:cs="Arial"/>
                <w:color w:val="000000"/>
              </w:rPr>
            </w:pPr>
            <w:r w:rsidRPr="00614ED2">
              <w:rPr>
                <w:rFonts w:cs="Arial"/>
                <w:color w:val="000000"/>
              </w:rPr>
              <w:t>Excision of Duodenum, Via Natural or Artificial Opening Endoscopic</w:t>
            </w:r>
          </w:p>
        </w:tc>
      </w:tr>
      <w:tr w:rsidR="00E2557B" w:rsidRPr="00614ED2" w14:paraId="11ECB6C0" w14:textId="77777777" w:rsidTr="00696E8F">
        <w:trPr>
          <w:trHeight w:val="300"/>
        </w:trPr>
        <w:tc>
          <w:tcPr>
            <w:tcW w:w="1872" w:type="dxa"/>
            <w:noWrap/>
            <w:vAlign w:val="center"/>
            <w:hideMark/>
          </w:tcPr>
          <w:p w14:paraId="51384BC6" w14:textId="77777777" w:rsidR="00E2557B" w:rsidRPr="00614ED2" w:rsidRDefault="00E2557B" w:rsidP="00696E8F">
            <w:pPr>
              <w:rPr>
                <w:rFonts w:cs="Arial"/>
                <w:color w:val="000000"/>
              </w:rPr>
            </w:pPr>
            <w:r w:rsidRPr="00614ED2">
              <w:rPr>
                <w:rFonts w:cs="Arial"/>
                <w:color w:val="000000"/>
              </w:rPr>
              <w:t>0DT90ZZ</w:t>
            </w:r>
          </w:p>
        </w:tc>
        <w:tc>
          <w:tcPr>
            <w:tcW w:w="7560" w:type="dxa"/>
            <w:noWrap/>
            <w:vAlign w:val="center"/>
            <w:hideMark/>
          </w:tcPr>
          <w:p w14:paraId="77BFBE19" w14:textId="77777777" w:rsidR="00E2557B" w:rsidRPr="00614ED2" w:rsidRDefault="00E2557B" w:rsidP="00696E8F">
            <w:pPr>
              <w:rPr>
                <w:rFonts w:cs="Arial"/>
                <w:color w:val="000000"/>
              </w:rPr>
            </w:pPr>
            <w:r w:rsidRPr="00614ED2">
              <w:rPr>
                <w:rFonts w:cs="Arial"/>
                <w:color w:val="000000"/>
              </w:rPr>
              <w:t>Resection of Duodenum, Open Approach</w:t>
            </w:r>
          </w:p>
        </w:tc>
      </w:tr>
      <w:tr w:rsidR="00E2557B" w:rsidRPr="00614ED2" w14:paraId="1F8AC095" w14:textId="77777777" w:rsidTr="00696E8F">
        <w:trPr>
          <w:trHeight w:val="300"/>
        </w:trPr>
        <w:tc>
          <w:tcPr>
            <w:tcW w:w="1872" w:type="dxa"/>
            <w:noWrap/>
            <w:vAlign w:val="center"/>
            <w:hideMark/>
          </w:tcPr>
          <w:p w14:paraId="412BAC5B" w14:textId="77777777" w:rsidR="00E2557B" w:rsidRPr="00614ED2" w:rsidRDefault="00E2557B" w:rsidP="00696E8F">
            <w:pPr>
              <w:rPr>
                <w:rFonts w:cs="Arial"/>
                <w:color w:val="000000"/>
              </w:rPr>
            </w:pPr>
            <w:r w:rsidRPr="00614ED2">
              <w:rPr>
                <w:rFonts w:cs="Arial"/>
                <w:color w:val="000000"/>
              </w:rPr>
              <w:t>0DT94ZZ</w:t>
            </w:r>
          </w:p>
        </w:tc>
        <w:tc>
          <w:tcPr>
            <w:tcW w:w="7560" w:type="dxa"/>
            <w:noWrap/>
            <w:vAlign w:val="center"/>
            <w:hideMark/>
          </w:tcPr>
          <w:p w14:paraId="437FF946" w14:textId="77777777" w:rsidR="00E2557B" w:rsidRPr="00614ED2" w:rsidRDefault="00E2557B" w:rsidP="00696E8F">
            <w:pPr>
              <w:rPr>
                <w:rFonts w:cs="Arial"/>
                <w:color w:val="000000"/>
              </w:rPr>
            </w:pPr>
            <w:r w:rsidRPr="00614ED2">
              <w:rPr>
                <w:rFonts w:cs="Arial"/>
                <w:color w:val="000000"/>
              </w:rPr>
              <w:t>Resection of Duodenum, Percutaneous Endoscopic Approach</w:t>
            </w:r>
          </w:p>
        </w:tc>
      </w:tr>
      <w:tr w:rsidR="00E2557B" w:rsidRPr="00614ED2" w14:paraId="79D74150" w14:textId="77777777" w:rsidTr="00696E8F">
        <w:trPr>
          <w:trHeight w:val="300"/>
        </w:trPr>
        <w:tc>
          <w:tcPr>
            <w:tcW w:w="1872" w:type="dxa"/>
            <w:noWrap/>
            <w:vAlign w:val="center"/>
            <w:hideMark/>
          </w:tcPr>
          <w:p w14:paraId="290AD8EA" w14:textId="77777777" w:rsidR="00E2557B" w:rsidRPr="00614ED2" w:rsidRDefault="00E2557B" w:rsidP="00696E8F">
            <w:pPr>
              <w:rPr>
                <w:rFonts w:cs="Arial"/>
                <w:color w:val="000000"/>
              </w:rPr>
            </w:pPr>
            <w:r w:rsidRPr="00614ED2">
              <w:rPr>
                <w:rFonts w:cs="Arial"/>
                <w:color w:val="000000"/>
              </w:rPr>
              <w:t>0DT97ZZ</w:t>
            </w:r>
          </w:p>
        </w:tc>
        <w:tc>
          <w:tcPr>
            <w:tcW w:w="7560" w:type="dxa"/>
            <w:noWrap/>
            <w:vAlign w:val="center"/>
            <w:hideMark/>
          </w:tcPr>
          <w:p w14:paraId="2030591C" w14:textId="77777777" w:rsidR="00E2557B" w:rsidRPr="00614ED2" w:rsidRDefault="00E2557B" w:rsidP="00696E8F">
            <w:pPr>
              <w:rPr>
                <w:rFonts w:cs="Arial"/>
                <w:color w:val="000000"/>
              </w:rPr>
            </w:pPr>
            <w:r w:rsidRPr="00614ED2">
              <w:rPr>
                <w:rFonts w:cs="Arial"/>
                <w:color w:val="000000"/>
              </w:rPr>
              <w:t>Resection of Duodenum, Via Natural or Artificial Opening</w:t>
            </w:r>
          </w:p>
        </w:tc>
      </w:tr>
      <w:tr w:rsidR="00E2557B" w:rsidRPr="00614ED2" w14:paraId="218FD2C3" w14:textId="77777777" w:rsidTr="00696E8F">
        <w:trPr>
          <w:trHeight w:val="300"/>
        </w:trPr>
        <w:tc>
          <w:tcPr>
            <w:tcW w:w="1872" w:type="dxa"/>
            <w:noWrap/>
            <w:vAlign w:val="center"/>
            <w:hideMark/>
          </w:tcPr>
          <w:p w14:paraId="51F19877" w14:textId="77777777" w:rsidR="00E2557B" w:rsidRPr="00614ED2" w:rsidRDefault="00E2557B" w:rsidP="00696E8F">
            <w:pPr>
              <w:rPr>
                <w:rFonts w:cs="Arial"/>
                <w:color w:val="000000"/>
              </w:rPr>
            </w:pPr>
            <w:r w:rsidRPr="00614ED2">
              <w:rPr>
                <w:rFonts w:cs="Arial"/>
                <w:color w:val="000000"/>
              </w:rPr>
              <w:t>0DT98ZZ</w:t>
            </w:r>
          </w:p>
        </w:tc>
        <w:tc>
          <w:tcPr>
            <w:tcW w:w="7560" w:type="dxa"/>
            <w:noWrap/>
            <w:vAlign w:val="center"/>
            <w:hideMark/>
          </w:tcPr>
          <w:p w14:paraId="3C72F78E" w14:textId="77777777" w:rsidR="00E2557B" w:rsidRPr="00614ED2" w:rsidRDefault="00E2557B" w:rsidP="00696E8F">
            <w:pPr>
              <w:rPr>
                <w:rFonts w:cs="Arial"/>
                <w:color w:val="000000"/>
              </w:rPr>
            </w:pPr>
            <w:r w:rsidRPr="00614ED2">
              <w:rPr>
                <w:rFonts w:cs="Arial"/>
                <w:color w:val="000000"/>
              </w:rPr>
              <w:t>Resection of Duodenum, Via Natural or Artificial Opening Endoscopic</w:t>
            </w:r>
          </w:p>
        </w:tc>
      </w:tr>
      <w:tr w:rsidR="00E2557B" w:rsidRPr="00614ED2" w14:paraId="02944794" w14:textId="77777777" w:rsidTr="00696E8F">
        <w:trPr>
          <w:trHeight w:val="300"/>
        </w:trPr>
        <w:tc>
          <w:tcPr>
            <w:tcW w:w="1872" w:type="dxa"/>
            <w:noWrap/>
            <w:vAlign w:val="center"/>
            <w:hideMark/>
          </w:tcPr>
          <w:p w14:paraId="259543F4" w14:textId="77777777" w:rsidR="00E2557B" w:rsidRPr="00614ED2" w:rsidRDefault="00E2557B" w:rsidP="00696E8F">
            <w:pPr>
              <w:rPr>
                <w:rFonts w:cs="Arial"/>
                <w:color w:val="000000"/>
              </w:rPr>
            </w:pPr>
            <w:r w:rsidRPr="00614ED2">
              <w:rPr>
                <w:rFonts w:cs="Arial"/>
                <w:color w:val="000000"/>
              </w:rPr>
              <w:t>0FBG0ZZ</w:t>
            </w:r>
          </w:p>
        </w:tc>
        <w:tc>
          <w:tcPr>
            <w:tcW w:w="7560" w:type="dxa"/>
            <w:noWrap/>
            <w:vAlign w:val="center"/>
            <w:hideMark/>
          </w:tcPr>
          <w:p w14:paraId="6A5CBB8F" w14:textId="77777777" w:rsidR="00E2557B" w:rsidRPr="00614ED2" w:rsidRDefault="00E2557B" w:rsidP="00696E8F">
            <w:pPr>
              <w:rPr>
                <w:rFonts w:cs="Arial"/>
                <w:color w:val="000000"/>
              </w:rPr>
            </w:pPr>
            <w:r w:rsidRPr="00614ED2">
              <w:rPr>
                <w:rFonts w:cs="Arial"/>
                <w:color w:val="000000"/>
              </w:rPr>
              <w:t>Excision of Pancreas, Open Approach</w:t>
            </w:r>
          </w:p>
        </w:tc>
      </w:tr>
      <w:tr w:rsidR="00E2557B" w:rsidRPr="00614ED2" w14:paraId="312461F8" w14:textId="77777777" w:rsidTr="00696E8F">
        <w:trPr>
          <w:trHeight w:val="300"/>
        </w:trPr>
        <w:tc>
          <w:tcPr>
            <w:tcW w:w="1872" w:type="dxa"/>
            <w:noWrap/>
            <w:vAlign w:val="center"/>
            <w:hideMark/>
          </w:tcPr>
          <w:p w14:paraId="0D8A9817" w14:textId="77777777" w:rsidR="00E2557B" w:rsidRPr="00614ED2" w:rsidRDefault="00E2557B" w:rsidP="00696E8F">
            <w:pPr>
              <w:rPr>
                <w:rFonts w:cs="Arial"/>
                <w:color w:val="000000"/>
              </w:rPr>
            </w:pPr>
            <w:r w:rsidRPr="00614ED2">
              <w:rPr>
                <w:rFonts w:cs="Arial"/>
                <w:color w:val="000000"/>
              </w:rPr>
              <w:t>0FBG3ZZ</w:t>
            </w:r>
          </w:p>
        </w:tc>
        <w:tc>
          <w:tcPr>
            <w:tcW w:w="7560" w:type="dxa"/>
            <w:noWrap/>
            <w:vAlign w:val="center"/>
            <w:hideMark/>
          </w:tcPr>
          <w:p w14:paraId="18F95AFD" w14:textId="77777777" w:rsidR="00E2557B" w:rsidRPr="00614ED2" w:rsidRDefault="00E2557B" w:rsidP="00696E8F">
            <w:pPr>
              <w:rPr>
                <w:rFonts w:cs="Arial"/>
                <w:color w:val="000000"/>
              </w:rPr>
            </w:pPr>
            <w:r w:rsidRPr="00614ED2">
              <w:rPr>
                <w:rFonts w:cs="Arial"/>
                <w:color w:val="000000"/>
              </w:rPr>
              <w:t>Excision of Pancreas, Percutaneous Approach</w:t>
            </w:r>
          </w:p>
        </w:tc>
      </w:tr>
      <w:tr w:rsidR="006C2BE7" w:rsidRPr="00614ED2" w14:paraId="6EA4BA15" w14:textId="77777777" w:rsidTr="00696E8F">
        <w:trPr>
          <w:trHeight w:val="300"/>
        </w:trPr>
        <w:tc>
          <w:tcPr>
            <w:tcW w:w="1872" w:type="dxa"/>
            <w:noWrap/>
            <w:vAlign w:val="center"/>
          </w:tcPr>
          <w:p w14:paraId="5F72FF42" w14:textId="7B62172B" w:rsidR="006C2BE7" w:rsidRPr="00614ED2" w:rsidRDefault="0034179B" w:rsidP="00696E8F">
            <w:pPr>
              <w:rPr>
                <w:rFonts w:cs="Arial"/>
                <w:color w:val="000000"/>
              </w:rPr>
            </w:pPr>
            <w:r w:rsidRPr="0034179B">
              <w:rPr>
                <w:rFonts w:cs="Arial"/>
                <w:color w:val="000000"/>
              </w:rPr>
              <w:t>0FBG4ZG</w:t>
            </w:r>
          </w:p>
        </w:tc>
        <w:tc>
          <w:tcPr>
            <w:tcW w:w="7560" w:type="dxa"/>
            <w:noWrap/>
            <w:vAlign w:val="center"/>
          </w:tcPr>
          <w:p w14:paraId="59B778DE" w14:textId="52863482" w:rsidR="006C2BE7" w:rsidRPr="00614ED2" w:rsidRDefault="00274E16" w:rsidP="00696E8F">
            <w:pPr>
              <w:rPr>
                <w:rFonts w:cs="Arial"/>
                <w:color w:val="000000"/>
              </w:rPr>
            </w:pPr>
            <w:r w:rsidRPr="00274E16">
              <w:rPr>
                <w:rFonts w:cs="Arial"/>
                <w:color w:val="000000"/>
              </w:rPr>
              <w:t>Excision of Pancreas, Percutaneous Endoscopic Approach, Hand-Assisted</w:t>
            </w:r>
          </w:p>
        </w:tc>
      </w:tr>
      <w:tr w:rsidR="00E2557B" w:rsidRPr="00614ED2" w14:paraId="6E6ED2D1" w14:textId="77777777" w:rsidTr="00696E8F">
        <w:trPr>
          <w:trHeight w:val="300"/>
        </w:trPr>
        <w:tc>
          <w:tcPr>
            <w:tcW w:w="1872" w:type="dxa"/>
            <w:noWrap/>
            <w:vAlign w:val="center"/>
            <w:hideMark/>
          </w:tcPr>
          <w:p w14:paraId="5BCF3A90" w14:textId="77777777" w:rsidR="00E2557B" w:rsidRPr="00614ED2" w:rsidRDefault="00E2557B" w:rsidP="00696E8F">
            <w:pPr>
              <w:rPr>
                <w:rFonts w:cs="Arial"/>
                <w:color w:val="000000"/>
              </w:rPr>
            </w:pPr>
            <w:r w:rsidRPr="00614ED2">
              <w:rPr>
                <w:rFonts w:cs="Arial"/>
                <w:color w:val="000000"/>
              </w:rPr>
              <w:t>0FBG4ZZ</w:t>
            </w:r>
          </w:p>
        </w:tc>
        <w:tc>
          <w:tcPr>
            <w:tcW w:w="7560" w:type="dxa"/>
            <w:noWrap/>
            <w:vAlign w:val="center"/>
            <w:hideMark/>
          </w:tcPr>
          <w:p w14:paraId="38068D7D" w14:textId="77777777" w:rsidR="00E2557B" w:rsidRPr="00614ED2" w:rsidRDefault="00E2557B" w:rsidP="00696E8F">
            <w:pPr>
              <w:rPr>
                <w:rFonts w:cs="Arial"/>
                <w:color w:val="000000"/>
              </w:rPr>
            </w:pPr>
            <w:r w:rsidRPr="00614ED2">
              <w:rPr>
                <w:rFonts w:cs="Arial"/>
                <w:color w:val="000000"/>
              </w:rPr>
              <w:t>Excision of Pancreas, Percutaneous Endoscopic Approach</w:t>
            </w:r>
          </w:p>
        </w:tc>
      </w:tr>
      <w:tr w:rsidR="00A8755F" w:rsidRPr="00614ED2" w14:paraId="17A6F991" w14:textId="77777777" w:rsidTr="00696E8F">
        <w:trPr>
          <w:trHeight w:val="300"/>
        </w:trPr>
        <w:tc>
          <w:tcPr>
            <w:tcW w:w="1872" w:type="dxa"/>
            <w:noWrap/>
            <w:vAlign w:val="center"/>
          </w:tcPr>
          <w:p w14:paraId="2A8731B2" w14:textId="4092D6DF" w:rsidR="00A8755F" w:rsidRPr="00614ED2" w:rsidRDefault="00A8755F" w:rsidP="00696E8F">
            <w:pPr>
              <w:rPr>
                <w:rFonts w:cs="Arial"/>
                <w:color w:val="000000"/>
              </w:rPr>
            </w:pPr>
            <w:r w:rsidRPr="009F7FB4">
              <w:t>0FBG8ZZ</w:t>
            </w:r>
          </w:p>
        </w:tc>
        <w:tc>
          <w:tcPr>
            <w:tcW w:w="7560" w:type="dxa"/>
            <w:noWrap/>
            <w:vAlign w:val="center"/>
          </w:tcPr>
          <w:p w14:paraId="1F8A4C89" w14:textId="5C4A040C" w:rsidR="00A8755F" w:rsidRPr="00614ED2" w:rsidRDefault="00A8755F" w:rsidP="00696E8F">
            <w:pPr>
              <w:rPr>
                <w:rFonts w:cs="Arial"/>
                <w:color w:val="000000"/>
              </w:rPr>
            </w:pPr>
            <w:r w:rsidRPr="009F7FB4">
              <w:t>Excision of Pancreas, Via Natural or Artificial Opening Endoscopic</w:t>
            </w:r>
          </w:p>
        </w:tc>
      </w:tr>
      <w:tr w:rsidR="00E2557B" w:rsidRPr="00614ED2" w14:paraId="576B3F17" w14:textId="77777777" w:rsidTr="00696E8F">
        <w:trPr>
          <w:trHeight w:val="300"/>
        </w:trPr>
        <w:tc>
          <w:tcPr>
            <w:tcW w:w="1872" w:type="dxa"/>
            <w:noWrap/>
            <w:vAlign w:val="center"/>
            <w:hideMark/>
          </w:tcPr>
          <w:p w14:paraId="2C9A9709" w14:textId="77777777" w:rsidR="00E2557B" w:rsidRPr="00614ED2" w:rsidRDefault="00E2557B" w:rsidP="00696E8F">
            <w:pPr>
              <w:rPr>
                <w:rFonts w:cs="Arial"/>
                <w:color w:val="000000"/>
              </w:rPr>
            </w:pPr>
            <w:r w:rsidRPr="00614ED2">
              <w:rPr>
                <w:rFonts w:cs="Arial"/>
                <w:color w:val="000000"/>
              </w:rPr>
              <w:t>0FTG0ZZ</w:t>
            </w:r>
          </w:p>
        </w:tc>
        <w:tc>
          <w:tcPr>
            <w:tcW w:w="7560" w:type="dxa"/>
            <w:noWrap/>
            <w:vAlign w:val="center"/>
            <w:hideMark/>
          </w:tcPr>
          <w:p w14:paraId="41A0F888" w14:textId="77777777" w:rsidR="00E2557B" w:rsidRPr="00614ED2" w:rsidRDefault="00E2557B" w:rsidP="00696E8F">
            <w:pPr>
              <w:rPr>
                <w:rFonts w:cs="Arial"/>
                <w:color w:val="000000"/>
              </w:rPr>
            </w:pPr>
            <w:r w:rsidRPr="00614ED2">
              <w:rPr>
                <w:rFonts w:cs="Arial"/>
                <w:color w:val="000000"/>
              </w:rPr>
              <w:t>Resection of Pancreas, Open Approach</w:t>
            </w:r>
          </w:p>
        </w:tc>
      </w:tr>
      <w:tr w:rsidR="000617B3" w:rsidRPr="00614ED2" w14:paraId="61290102" w14:textId="77777777" w:rsidTr="00696E8F">
        <w:trPr>
          <w:trHeight w:val="300"/>
        </w:trPr>
        <w:tc>
          <w:tcPr>
            <w:tcW w:w="1872" w:type="dxa"/>
            <w:noWrap/>
            <w:vAlign w:val="center"/>
          </w:tcPr>
          <w:p w14:paraId="5350E7B4" w14:textId="4238402D" w:rsidR="000617B3" w:rsidRPr="00614ED2" w:rsidRDefault="006C2BE7" w:rsidP="00696E8F">
            <w:pPr>
              <w:rPr>
                <w:rFonts w:cs="Arial"/>
                <w:color w:val="000000"/>
              </w:rPr>
            </w:pPr>
            <w:r w:rsidRPr="006C2BE7">
              <w:rPr>
                <w:rFonts w:cs="Arial"/>
                <w:color w:val="000000"/>
              </w:rPr>
              <w:t>0FTG4ZG</w:t>
            </w:r>
          </w:p>
        </w:tc>
        <w:tc>
          <w:tcPr>
            <w:tcW w:w="7560" w:type="dxa"/>
            <w:noWrap/>
            <w:vAlign w:val="center"/>
          </w:tcPr>
          <w:p w14:paraId="61D5C665" w14:textId="55F86397" w:rsidR="000617B3" w:rsidRPr="00614ED2" w:rsidRDefault="000617B3" w:rsidP="00696E8F">
            <w:pPr>
              <w:rPr>
                <w:rFonts w:cs="Arial"/>
                <w:color w:val="000000"/>
              </w:rPr>
            </w:pPr>
            <w:r w:rsidRPr="000617B3">
              <w:rPr>
                <w:rFonts w:cs="Arial"/>
                <w:color w:val="000000"/>
              </w:rPr>
              <w:t>Resection of Pancreas, Percutaneous Endoscopic Approach, Hand-Assisted</w:t>
            </w:r>
          </w:p>
        </w:tc>
      </w:tr>
      <w:tr w:rsidR="00E2557B" w:rsidRPr="00614ED2" w14:paraId="7E0BCD48" w14:textId="77777777" w:rsidTr="00696E8F">
        <w:trPr>
          <w:trHeight w:val="300"/>
        </w:trPr>
        <w:tc>
          <w:tcPr>
            <w:tcW w:w="1872" w:type="dxa"/>
            <w:noWrap/>
            <w:vAlign w:val="center"/>
            <w:hideMark/>
          </w:tcPr>
          <w:p w14:paraId="48602C59" w14:textId="77777777" w:rsidR="00E2557B" w:rsidRPr="00614ED2" w:rsidRDefault="00E2557B" w:rsidP="00696E8F">
            <w:pPr>
              <w:rPr>
                <w:rFonts w:cs="Arial"/>
                <w:color w:val="000000"/>
              </w:rPr>
            </w:pPr>
            <w:r w:rsidRPr="00614ED2">
              <w:rPr>
                <w:rFonts w:cs="Arial"/>
                <w:color w:val="000000"/>
              </w:rPr>
              <w:t>0FTG4ZZ</w:t>
            </w:r>
          </w:p>
        </w:tc>
        <w:tc>
          <w:tcPr>
            <w:tcW w:w="7560" w:type="dxa"/>
            <w:noWrap/>
            <w:vAlign w:val="center"/>
            <w:hideMark/>
          </w:tcPr>
          <w:p w14:paraId="2C9227C0" w14:textId="77777777" w:rsidR="00E2557B" w:rsidRPr="00614ED2" w:rsidRDefault="00E2557B" w:rsidP="00696E8F">
            <w:pPr>
              <w:rPr>
                <w:rFonts w:cs="Arial"/>
                <w:color w:val="000000"/>
              </w:rPr>
            </w:pPr>
            <w:r w:rsidRPr="00614ED2">
              <w:rPr>
                <w:rFonts w:cs="Arial"/>
                <w:color w:val="000000"/>
              </w:rPr>
              <w:t>Resection of Pancreas, Percutaneous Endoscopic Approach</w:t>
            </w:r>
          </w:p>
        </w:tc>
      </w:tr>
    </w:tbl>
    <w:p w14:paraId="25CF4FE0" w14:textId="77777777" w:rsidR="00E95DF5" w:rsidRPr="00E1411B" w:rsidRDefault="00E95DF5" w:rsidP="00E95DF5">
      <w:pPr>
        <w:rPr>
          <w:rFonts w:cs="Arial"/>
          <w:b/>
          <w:sz w:val="16"/>
          <w:szCs w:val="16"/>
        </w:rPr>
      </w:pPr>
    </w:p>
    <w:p w14:paraId="78B6D313" w14:textId="77777777" w:rsidR="002911AD" w:rsidRPr="004F5E10" w:rsidRDefault="002911AD" w:rsidP="002911AD">
      <w:pPr>
        <w:rPr>
          <w:rFonts w:cs="Arial"/>
          <w:b/>
        </w:rPr>
      </w:pPr>
      <w:r w:rsidRPr="004F5E10">
        <w:rPr>
          <w:rFonts w:cs="Arial"/>
          <w:b/>
        </w:rPr>
        <w:t>ICD-10 Malignant Tumor Diagnosis Codes</w:t>
      </w:r>
    </w:p>
    <w:p w14:paraId="07E42F98" w14:textId="77777777" w:rsidR="00E95DF5" w:rsidRPr="00E1411B" w:rsidRDefault="00E95DF5" w:rsidP="00E95DF5">
      <w:pPr>
        <w:rPr>
          <w:rFonts w:cs="Arial"/>
          <w:b/>
          <w:sz w:val="16"/>
          <w:szCs w:val="16"/>
        </w:rPr>
      </w:pPr>
    </w:p>
    <w:tbl>
      <w:tblPr>
        <w:tblStyle w:val="TableGrid"/>
        <w:tblW w:w="9432" w:type="dxa"/>
        <w:tblLook w:val="04A0" w:firstRow="1" w:lastRow="0" w:firstColumn="1" w:lastColumn="0" w:noHBand="0" w:noVBand="1"/>
      </w:tblPr>
      <w:tblGrid>
        <w:gridCol w:w="1872"/>
        <w:gridCol w:w="7560"/>
      </w:tblGrid>
      <w:tr w:rsidR="00E2557B" w:rsidRPr="0004317D" w14:paraId="0034354B" w14:textId="77777777" w:rsidTr="00696E8F">
        <w:trPr>
          <w:trHeight w:val="432"/>
          <w:tblHeader/>
        </w:trPr>
        <w:tc>
          <w:tcPr>
            <w:tcW w:w="1872" w:type="dxa"/>
            <w:shd w:val="clear" w:color="auto" w:fill="BFBFBF" w:themeFill="background1" w:themeFillShade="BF"/>
            <w:noWrap/>
            <w:vAlign w:val="center"/>
          </w:tcPr>
          <w:p w14:paraId="5802920A" w14:textId="77777777" w:rsidR="00E2557B" w:rsidRPr="0004317D" w:rsidRDefault="00E2557B"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Diagnosis Code</w:t>
            </w:r>
          </w:p>
        </w:tc>
        <w:tc>
          <w:tcPr>
            <w:tcW w:w="7560" w:type="dxa"/>
            <w:shd w:val="clear" w:color="auto" w:fill="BFBFBF" w:themeFill="background1" w:themeFillShade="BF"/>
            <w:vAlign w:val="center"/>
          </w:tcPr>
          <w:p w14:paraId="75A96FD5" w14:textId="77777777" w:rsidR="00E2557B" w:rsidRPr="0004317D" w:rsidRDefault="00E2557B" w:rsidP="00696E8F">
            <w:pPr>
              <w:rPr>
                <w:rFonts w:cs="Arial"/>
                <w:color w:val="000000"/>
              </w:rPr>
            </w:pPr>
            <w:r w:rsidRPr="0004317D">
              <w:rPr>
                <w:rFonts w:cs="Arial"/>
                <w:b/>
              </w:rPr>
              <w:t>Code Description</w:t>
            </w:r>
          </w:p>
        </w:tc>
      </w:tr>
      <w:tr w:rsidR="006472C6" w:rsidRPr="00614ED2" w14:paraId="0E357BA6" w14:textId="77777777" w:rsidTr="00696E8F">
        <w:trPr>
          <w:trHeight w:val="300"/>
        </w:trPr>
        <w:tc>
          <w:tcPr>
            <w:tcW w:w="1872" w:type="dxa"/>
            <w:noWrap/>
            <w:vAlign w:val="center"/>
          </w:tcPr>
          <w:p w14:paraId="6DED3BE9" w14:textId="77777777" w:rsidR="006472C6" w:rsidRPr="00614ED2" w:rsidRDefault="006472C6" w:rsidP="00696E8F">
            <w:pPr>
              <w:rPr>
                <w:rFonts w:cs="Arial"/>
                <w:color w:val="000000"/>
              </w:rPr>
            </w:pPr>
            <w:r w:rsidRPr="00843DE8">
              <w:rPr>
                <w:rFonts w:cs="Arial"/>
                <w:color w:val="000000"/>
              </w:rPr>
              <w:t>C7A</w:t>
            </w:r>
            <w:r>
              <w:rPr>
                <w:rFonts w:cs="Arial"/>
                <w:color w:val="000000"/>
              </w:rPr>
              <w:t>.</w:t>
            </w:r>
            <w:r w:rsidRPr="00843DE8">
              <w:rPr>
                <w:rFonts w:cs="Arial"/>
                <w:color w:val="000000"/>
              </w:rPr>
              <w:t>1</w:t>
            </w:r>
          </w:p>
        </w:tc>
        <w:tc>
          <w:tcPr>
            <w:tcW w:w="7560" w:type="dxa"/>
            <w:noWrap/>
            <w:vAlign w:val="center"/>
          </w:tcPr>
          <w:p w14:paraId="4120464B" w14:textId="77777777" w:rsidR="006472C6" w:rsidRPr="00614ED2" w:rsidRDefault="006472C6" w:rsidP="00696E8F">
            <w:pPr>
              <w:rPr>
                <w:rFonts w:cs="Arial"/>
                <w:color w:val="000000"/>
              </w:rPr>
            </w:pPr>
            <w:r w:rsidRPr="00843DE8">
              <w:rPr>
                <w:rFonts w:cs="Arial"/>
                <w:color w:val="000000"/>
              </w:rPr>
              <w:t>Malignant poorly differentiated neuroendocrine tumors</w:t>
            </w:r>
          </w:p>
        </w:tc>
      </w:tr>
      <w:tr w:rsidR="006472C6" w:rsidRPr="00614ED2" w14:paraId="06C48B7C" w14:textId="77777777" w:rsidTr="00696E8F">
        <w:trPr>
          <w:trHeight w:val="300"/>
        </w:trPr>
        <w:tc>
          <w:tcPr>
            <w:tcW w:w="1872" w:type="dxa"/>
            <w:noWrap/>
            <w:vAlign w:val="center"/>
          </w:tcPr>
          <w:p w14:paraId="34D53EF6" w14:textId="77777777" w:rsidR="006472C6" w:rsidRPr="00614ED2" w:rsidRDefault="006472C6" w:rsidP="00696E8F">
            <w:pPr>
              <w:rPr>
                <w:rFonts w:cs="Arial"/>
                <w:color w:val="000000"/>
              </w:rPr>
            </w:pPr>
            <w:r w:rsidRPr="00843DE8">
              <w:rPr>
                <w:rFonts w:cs="Arial"/>
                <w:color w:val="000000"/>
              </w:rPr>
              <w:t>C7A</w:t>
            </w:r>
            <w:r>
              <w:rPr>
                <w:rFonts w:cs="Arial"/>
                <w:color w:val="000000"/>
              </w:rPr>
              <w:t>.</w:t>
            </w:r>
            <w:r w:rsidRPr="00843DE8">
              <w:rPr>
                <w:rFonts w:cs="Arial"/>
                <w:color w:val="000000"/>
              </w:rPr>
              <w:t>8</w:t>
            </w:r>
          </w:p>
        </w:tc>
        <w:tc>
          <w:tcPr>
            <w:tcW w:w="7560" w:type="dxa"/>
            <w:noWrap/>
            <w:vAlign w:val="center"/>
          </w:tcPr>
          <w:p w14:paraId="73DD2AEC" w14:textId="77777777" w:rsidR="006472C6" w:rsidRPr="00614ED2" w:rsidRDefault="006472C6" w:rsidP="00696E8F">
            <w:pPr>
              <w:rPr>
                <w:rFonts w:cs="Arial"/>
                <w:color w:val="000000"/>
              </w:rPr>
            </w:pPr>
            <w:r w:rsidRPr="00843DE8">
              <w:rPr>
                <w:rFonts w:cs="Arial"/>
                <w:color w:val="000000"/>
              </w:rPr>
              <w:t>Other malignant neuroendocrine tumors</w:t>
            </w:r>
          </w:p>
        </w:tc>
      </w:tr>
      <w:tr w:rsidR="00E2557B" w:rsidRPr="00614ED2" w14:paraId="7FF327B6" w14:textId="77777777" w:rsidTr="00696E8F">
        <w:trPr>
          <w:trHeight w:val="300"/>
        </w:trPr>
        <w:tc>
          <w:tcPr>
            <w:tcW w:w="1872" w:type="dxa"/>
            <w:noWrap/>
            <w:vAlign w:val="center"/>
            <w:hideMark/>
          </w:tcPr>
          <w:p w14:paraId="3D27CF51" w14:textId="77777777" w:rsidR="00E2557B" w:rsidRPr="00614ED2" w:rsidRDefault="00E2557B" w:rsidP="00696E8F">
            <w:pPr>
              <w:rPr>
                <w:rFonts w:cs="Arial"/>
                <w:color w:val="000000"/>
              </w:rPr>
            </w:pPr>
            <w:r w:rsidRPr="00614ED2">
              <w:rPr>
                <w:rFonts w:cs="Arial"/>
                <w:color w:val="000000"/>
              </w:rPr>
              <w:t>C17.0</w:t>
            </w:r>
          </w:p>
        </w:tc>
        <w:tc>
          <w:tcPr>
            <w:tcW w:w="7560" w:type="dxa"/>
            <w:noWrap/>
            <w:vAlign w:val="center"/>
            <w:hideMark/>
          </w:tcPr>
          <w:p w14:paraId="3B4923E7" w14:textId="77777777" w:rsidR="00E2557B" w:rsidRPr="00614ED2" w:rsidRDefault="00E2557B" w:rsidP="00696E8F">
            <w:pPr>
              <w:rPr>
                <w:rFonts w:cs="Arial"/>
                <w:color w:val="000000"/>
              </w:rPr>
            </w:pPr>
            <w:r w:rsidRPr="00614ED2">
              <w:rPr>
                <w:rFonts w:cs="Arial"/>
                <w:color w:val="000000"/>
              </w:rPr>
              <w:t>Malignant neoplasm of duodenum</w:t>
            </w:r>
          </w:p>
        </w:tc>
      </w:tr>
      <w:tr w:rsidR="00E2557B" w:rsidRPr="00614ED2" w14:paraId="3E554254" w14:textId="77777777" w:rsidTr="00696E8F">
        <w:trPr>
          <w:trHeight w:val="300"/>
        </w:trPr>
        <w:tc>
          <w:tcPr>
            <w:tcW w:w="1872" w:type="dxa"/>
            <w:noWrap/>
            <w:vAlign w:val="center"/>
            <w:hideMark/>
          </w:tcPr>
          <w:p w14:paraId="2E47664E" w14:textId="77777777" w:rsidR="00E2557B" w:rsidRPr="00614ED2" w:rsidRDefault="00E2557B" w:rsidP="00696E8F">
            <w:pPr>
              <w:rPr>
                <w:rFonts w:cs="Arial"/>
                <w:color w:val="000000"/>
              </w:rPr>
            </w:pPr>
            <w:r w:rsidRPr="00614ED2">
              <w:rPr>
                <w:rFonts w:cs="Arial"/>
                <w:color w:val="000000"/>
              </w:rPr>
              <w:t>C24.0</w:t>
            </w:r>
          </w:p>
        </w:tc>
        <w:tc>
          <w:tcPr>
            <w:tcW w:w="7560" w:type="dxa"/>
            <w:noWrap/>
            <w:vAlign w:val="center"/>
            <w:hideMark/>
          </w:tcPr>
          <w:p w14:paraId="042C9B7A" w14:textId="77777777" w:rsidR="00E2557B" w:rsidRPr="00614ED2" w:rsidRDefault="00E2557B" w:rsidP="00696E8F">
            <w:pPr>
              <w:rPr>
                <w:rFonts w:cs="Arial"/>
                <w:color w:val="000000"/>
              </w:rPr>
            </w:pPr>
            <w:r w:rsidRPr="00614ED2">
              <w:rPr>
                <w:rFonts w:cs="Arial"/>
                <w:color w:val="000000"/>
              </w:rPr>
              <w:t>Malignant neoplasm of extrahepatic bile duct</w:t>
            </w:r>
          </w:p>
        </w:tc>
      </w:tr>
      <w:tr w:rsidR="00E2557B" w:rsidRPr="00614ED2" w14:paraId="71BBAAAB" w14:textId="77777777" w:rsidTr="00696E8F">
        <w:trPr>
          <w:trHeight w:val="300"/>
        </w:trPr>
        <w:tc>
          <w:tcPr>
            <w:tcW w:w="1872" w:type="dxa"/>
            <w:noWrap/>
            <w:vAlign w:val="center"/>
            <w:hideMark/>
          </w:tcPr>
          <w:p w14:paraId="67DE7465" w14:textId="77777777" w:rsidR="00E2557B" w:rsidRPr="00614ED2" w:rsidRDefault="00E2557B" w:rsidP="00696E8F">
            <w:pPr>
              <w:rPr>
                <w:rFonts w:cs="Arial"/>
                <w:color w:val="000000"/>
              </w:rPr>
            </w:pPr>
            <w:r w:rsidRPr="00614ED2">
              <w:rPr>
                <w:rFonts w:cs="Arial"/>
                <w:color w:val="000000"/>
              </w:rPr>
              <w:t>C24.1</w:t>
            </w:r>
          </w:p>
        </w:tc>
        <w:tc>
          <w:tcPr>
            <w:tcW w:w="7560" w:type="dxa"/>
            <w:noWrap/>
            <w:vAlign w:val="center"/>
            <w:hideMark/>
          </w:tcPr>
          <w:p w14:paraId="5C242566" w14:textId="77777777" w:rsidR="00E2557B" w:rsidRPr="00614ED2" w:rsidRDefault="00E2557B" w:rsidP="00696E8F">
            <w:pPr>
              <w:rPr>
                <w:rFonts w:cs="Arial"/>
                <w:color w:val="000000"/>
              </w:rPr>
            </w:pPr>
            <w:r w:rsidRPr="00614ED2">
              <w:rPr>
                <w:rFonts w:cs="Arial"/>
                <w:color w:val="000000"/>
              </w:rPr>
              <w:t>Malignant neoplasm of ampulla of Vater</w:t>
            </w:r>
          </w:p>
        </w:tc>
      </w:tr>
      <w:tr w:rsidR="00E2557B" w:rsidRPr="00614ED2" w14:paraId="26C60475" w14:textId="77777777" w:rsidTr="00696E8F">
        <w:trPr>
          <w:trHeight w:val="300"/>
        </w:trPr>
        <w:tc>
          <w:tcPr>
            <w:tcW w:w="1872" w:type="dxa"/>
            <w:noWrap/>
            <w:vAlign w:val="center"/>
            <w:hideMark/>
          </w:tcPr>
          <w:p w14:paraId="478F628C" w14:textId="77777777" w:rsidR="00E2557B" w:rsidRPr="00614ED2" w:rsidRDefault="00E2557B" w:rsidP="00696E8F">
            <w:pPr>
              <w:rPr>
                <w:rFonts w:cs="Arial"/>
                <w:color w:val="000000"/>
              </w:rPr>
            </w:pPr>
            <w:r w:rsidRPr="00614ED2">
              <w:rPr>
                <w:rFonts w:cs="Arial"/>
                <w:color w:val="000000"/>
              </w:rPr>
              <w:t>C24.8</w:t>
            </w:r>
          </w:p>
        </w:tc>
        <w:tc>
          <w:tcPr>
            <w:tcW w:w="7560" w:type="dxa"/>
            <w:noWrap/>
            <w:vAlign w:val="center"/>
            <w:hideMark/>
          </w:tcPr>
          <w:p w14:paraId="62C47B96" w14:textId="77777777" w:rsidR="00E2557B" w:rsidRPr="00614ED2" w:rsidRDefault="00E2557B" w:rsidP="00696E8F">
            <w:pPr>
              <w:rPr>
                <w:rFonts w:cs="Arial"/>
                <w:color w:val="000000"/>
              </w:rPr>
            </w:pPr>
            <w:r w:rsidRPr="00614ED2">
              <w:rPr>
                <w:rFonts w:cs="Arial"/>
                <w:color w:val="000000"/>
              </w:rPr>
              <w:t>Malignant neoplasm of overlapping sites of biliary tract</w:t>
            </w:r>
          </w:p>
        </w:tc>
      </w:tr>
      <w:tr w:rsidR="00E2557B" w:rsidRPr="00614ED2" w14:paraId="372D674D" w14:textId="77777777" w:rsidTr="00696E8F">
        <w:trPr>
          <w:trHeight w:val="300"/>
        </w:trPr>
        <w:tc>
          <w:tcPr>
            <w:tcW w:w="1872" w:type="dxa"/>
            <w:noWrap/>
            <w:vAlign w:val="center"/>
            <w:hideMark/>
          </w:tcPr>
          <w:p w14:paraId="15A5C39D" w14:textId="77777777" w:rsidR="00E2557B" w:rsidRPr="00614ED2" w:rsidRDefault="00E2557B" w:rsidP="00696E8F">
            <w:pPr>
              <w:rPr>
                <w:rFonts w:cs="Arial"/>
                <w:color w:val="000000"/>
              </w:rPr>
            </w:pPr>
            <w:r w:rsidRPr="00614ED2">
              <w:rPr>
                <w:rFonts w:cs="Arial"/>
                <w:color w:val="000000"/>
              </w:rPr>
              <w:t>C24.9</w:t>
            </w:r>
          </w:p>
        </w:tc>
        <w:tc>
          <w:tcPr>
            <w:tcW w:w="7560" w:type="dxa"/>
            <w:noWrap/>
            <w:vAlign w:val="center"/>
            <w:hideMark/>
          </w:tcPr>
          <w:p w14:paraId="134E1FFA" w14:textId="77777777" w:rsidR="00E2557B" w:rsidRPr="00614ED2" w:rsidRDefault="00E2557B" w:rsidP="00696E8F">
            <w:pPr>
              <w:rPr>
                <w:rFonts w:cs="Arial"/>
                <w:color w:val="000000"/>
              </w:rPr>
            </w:pPr>
            <w:r w:rsidRPr="00614ED2">
              <w:rPr>
                <w:rFonts w:cs="Arial"/>
                <w:color w:val="000000"/>
              </w:rPr>
              <w:t>Malignant neoplasm of biliary tract, unspecified</w:t>
            </w:r>
          </w:p>
        </w:tc>
      </w:tr>
      <w:tr w:rsidR="00E2557B" w:rsidRPr="00614ED2" w14:paraId="053EADDE" w14:textId="77777777" w:rsidTr="00696E8F">
        <w:trPr>
          <w:trHeight w:val="300"/>
        </w:trPr>
        <w:tc>
          <w:tcPr>
            <w:tcW w:w="1872" w:type="dxa"/>
            <w:noWrap/>
            <w:vAlign w:val="center"/>
            <w:hideMark/>
          </w:tcPr>
          <w:p w14:paraId="63E0D8A0" w14:textId="77777777" w:rsidR="00E2557B" w:rsidRPr="00614ED2" w:rsidRDefault="00E2557B" w:rsidP="00696E8F">
            <w:pPr>
              <w:rPr>
                <w:rFonts w:cs="Arial"/>
                <w:color w:val="000000"/>
              </w:rPr>
            </w:pPr>
            <w:r w:rsidRPr="00614ED2">
              <w:rPr>
                <w:rFonts w:cs="Arial"/>
                <w:color w:val="000000"/>
              </w:rPr>
              <w:t>C25.0</w:t>
            </w:r>
          </w:p>
        </w:tc>
        <w:tc>
          <w:tcPr>
            <w:tcW w:w="7560" w:type="dxa"/>
            <w:noWrap/>
            <w:vAlign w:val="center"/>
            <w:hideMark/>
          </w:tcPr>
          <w:p w14:paraId="43E3624B" w14:textId="77777777" w:rsidR="00E2557B" w:rsidRPr="00614ED2" w:rsidRDefault="00E2557B" w:rsidP="00696E8F">
            <w:pPr>
              <w:rPr>
                <w:rFonts w:cs="Arial"/>
                <w:color w:val="000000"/>
              </w:rPr>
            </w:pPr>
            <w:r w:rsidRPr="00614ED2">
              <w:rPr>
                <w:rFonts w:cs="Arial"/>
                <w:color w:val="000000"/>
              </w:rPr>
              <w:t>Malignant neoplasm of head of pancreas</w:t>
            </w:r>
          </w:p>
        </w:tc>
      </w:tr>
      <w:tr w:rsidR="00E2557B" w:rsidRPr="00614ED2" w14:paraId="5A10684F" w14:textId="77777777" w:rsidTr="00696E8F">
        <w:trPr>
          <w:trHeight w:val="300"/>
        </w:trPr>
        <w:tc>
          <w:tcPr>
            <w:tcW w:w="1872" w:type="dxa"/>
            <w:noWrap/>
            <w:vAlign w:val="center"/>
            <w:hideMark/>
          </w:tcPr>
          <w:p w14:paraId="50A0D039" w14:textId="77777777" w:rsidR="00E2557B" w:rsidRPr="00614ED2" w:rsidRDefault="00E2557B" w:rsidP="00696E8F">
            <w:pPr>
              <w:rPr>
                <w:rFonts w:cs="Arial"/>
                <w:color w:val="000000"/>
              </w:rPr>
            </w:pPr>
            <w:r w:rsidRPr="00614ED2">
              <w:rPr>
                <w:rFonts w:cs="Arial"/>
                <w:color w:val="000000"/>
              </w:rPr>
              <w:t>C25.1</w:t>
            </w:r>
          </w:p>
        </w:tc>
        <w:tc>
          <w:tcPr>
            <w:tcW w:w="7560" w:type="dxa"/>
            <w:noWrap/>
            <w:vAlign w:val="center"/>
            <w:hideMark/>
          </w:tcPr>
          <w:p w14:paraId="44610BD9" w14:textId="77777777" w:rsidR="00E2557B" w:rsidRPr="00614ED2" w:rsidRDefault="00E2557B" w:rsidP="00696E8F">
            <w:pPr>
              <w:rPr>
                <w:rFonts w:cs="Arial"/>
                <w:color w:val="000000"/>
              </w:rPr>
            </w:pPr>
            <w:r w:rsidRPr="00614ED2">
              <w:rPr>
                <w:rFonts w:cs="Arial"/>
                <w:color w:val="000000"/>
              </w:rPr>
              <w:t>Malignant neoplasm of body of pancreas</w:t>
            </w:r>
          </w:p>
        </w:tc>
      </w:tr>
      <w:tr w:rsidR="00E2557B" w:rsidRPr="00614ED2" w14:paraId="7AC5ECC0" w14:textId="77777777" w:rsidTr="00696E8F">
        <w:trPr>
          <w:trHeight w:val="300"/>
        </w:trPr>
        <w:tc>
          <w:tcPr>
            <w:tcW w:w="1872" w:type="dxa"/>
            <w:noWrap/>
            <w:vAlign w:val="center"/>
            <w:hideMark/>
          </w:tcPr>
          <w:p w14:paraId="427E8ECB" w14:textId="77777777" w:rsidR="00E2557B" w:rsidRPr="00614ED2" w:rsidRDefault="00E2557B" w:rsidP="00696E8F">
            <w:pPr>
              <w:rPr>
                <w:rFonts w:cs="Arial"/>
                <w:color w:val="000000"/>
              </w:rPr>
            </w:pPr>
            <w:r w:rsidRPr="00614ED2">
              <w:rPr>
                <w:rFonts w:cs="Arial"/>
                <w:color w:val="000000"/>
              </w:rPr>
              <w:t>C25.2</w:t>
            </w:r>
          </w:p>
        </w:tc>
        <w:tc>
          <w:tcPr>
            <w:tcW w:w="7560" w:type="dxa"/>
            <w:noWrap/>
            <w:vAlign w:val="center"/>
            <w:hideMark/>
          </w:tcPr>
          <w:p w14:paraId="0C38D166" w14:textId="77777777" w:rsidR="00E2557B" w:rsidRPr="00614ED2" w:rsidRDefault="00E2557B" w:rsidP="00696E8F">
            <w:pPr>
              <w:rPr>
                <w:rFonts w:cs="Arial"/>
                <w:color w:val="000000"/>
              </w:rPr>
            </w:pPr>
            <w:r w:rsidRPr="00614ED2">
              <w:rPr>
                <w:rFonts w:cs="Arial"/>
                <w:color w:val="000000"/>
              </w:rPr>
              <w:t>Malignant neoplasm of tail of pancreas</w:t>
            </w:r>
          </w:p>
        </w:tc>
      </w:tr>
      <w:tr w:rsidR="00E2557B" w:rsidRPr="00614ED2" w14:paraId="436963D9" w14:textId="77777777" w:rsidTr="00696E8F">
        <w:trPr>
          <w:trHeight w:val="300"/>
        </w:trPr>
        <w:tc>
          <w:tcPr>
            <w:tcW w:w="1872" w:type="dxa"/>
            <w:noWrap/>
            <w:vAlign w:val="center"/>
            <w:hideMark/>
          </w:tcPr>
          <w:p w14:paraId="16187285" w14:textId="77777777" w:rsidR="00E2557B" w:rsidRPr="00614ED2" w:rsidRDefault="00E2557B" w:rsidP="00696E8F">
            <w:pPr>
              <w:rPr>
                <w:rFonts w:cs="Arial"/>
                <w:color w:val="000000"/>
              </w:rPr>
            </w:pPr>
            <w:r w:rsidRPr="00614ED2">
              <w:rPr>
                <w:rFonts w:cs="Arial"/>
                <w:color w:val="000000"/>
              </w:rPr>
              <w:t>C25.3</w:t>
            </w:r>
          </w:p>
        </w:tc>
        <w:tc>
          <w:tcPr>
            <w:tcW w:w="7560" w:type="dxa"/>
            <w:noWrap/>
            <w:vAlign w:val="center"/>
            <w:hideMark/>
          </w:tcPr>
          <w:p w14:paraId="42EE1A07" w14:textId="77777777" w:rsidR="00E2557B" w:rsidRPr="00614ED2" w:rsidRDefault="00E2557B" w:rsidP="00696E8F">
            <w:pPr>
              <w:rPr>
                <w:rFonts w:cs="Arial"/>
                <w:color w:val="000000"/>
              </w:rPr>
            </w:pPr>
            <w:r w:rsidRPr="00614ED2">
              <w:rPr>
                <w:rFonts w:cs="Arial"/>
                <w:color w:val="000000"/>
              </w:rPr>
              <w:t>Malignant neoplasm of pancreatic duct</w:t>
            </w:r>
          </w:p>
        </w:tc>
      </w:tr>
      <w:tr w:rsidR="00E2557B" w:rsidRPr="00614ED2" w14:paraId="5DAA7489" w14:textId="77777777" w:rsidTr="00696E8F">
        <w:trPr>
          <w:trHeight w:val="300"/>
        </w:trPr>
        <w:tc>
          <w:tcPr>
            <w:tcW w:w="1872" w:type="dxa"/>
            <w:noWrap/>
            <w:vAlign w:val="center"/>
            <w:hideMark/>
          </w:tcPr>
          <w:p w14:paraId="3D28457D" w14:textId="77777777" w:rsidR="00E2557B" w:rsidRPr="00614ED2" w:rsidRDefault="00E2557B" w:rsidP="00696E8F">
            <w:pPr>
              <w:rPr>
                <w:rFonts w:cs="Arial"/>
                <w:color w:val="000000"/>
              </w:rPr>
            </w:pPr>
            <w:r w:rsidRPr="00614ED2">
              <w:rPr>
                <w:rFonts w:cs="Arial"/>
                <w:color w:val="000000"/>
              </w:rPr>
              <w:t>C25.4</w:t>
            </w:r>
          </w:p>
        </w:tc>
        <w:tc>
          <w:tcPr>
            <w:tcW w:w="7560" w:type="dxa"/>
            <w:noWrap/>
            <w:vAlign w:val="center"/>
            <w:hideMark/>
          </w:tcPr>
          <w:p w14:paraId="4CFE9517" w14:textId="77777777" w:rsidR="00E2557B" w:rsidRPr="00614ED2" w:rsidRDefault="00E2557B" w:rsidP="00696E8F">
            <w:pPr>
              <w:rPr>
                <w:rFonts w:cs="Arial"/>
                <w:color w:val="000000"/>
              </w:rPr>
            </w:pPr>
            <w:r w:rsidRPr="00614ED2">
              <w:rPr>
                <w:rFonts w:cs="Arial"/>
                <w:color w:val="000000"/>
              </w:rPr>
              <w:t>Malignant neoplasm of endocrine pancreas</w:t>
            </w:r>
          </w:p>
        </w:tc>
      </w:tr>
      <w:tr w:rsidR="00E2557B" w:rsidRPr="00614ED2" w14:paraId="6B3D2185" w14:textId="77777777" w:rsidTr="00696E8F">
        <w:trPr>
          <w:trHeight w:val="300"/>
        </w:trPr>
        <w:tc>
          <w:tcPr>
            <w:tcW w:w="1872" w:type="dxa"/>
            <w:noWrap/>
            <w:vAlign w:val="center"/>
            <w:hideMark/>
          </w:tcPr>
          <w:p w14:paraId="6F459C29" w14:textId="77777777" w:rsidR="00E2557B" w:rsidRPr="00614ED2" w:rsidRDefault="00E2557B" w:rsidP="00696E8F">
            <w:pPr>
              <w:rPr>
                <w:rFonts w:cs="Arial"/>
                <w:color w:val="000000"/>
              </w:rPr>
            </w:pPr>
            <w:r w:rsidRPr="00614ED2">
              <w:rPr>
                <w:rFonts w:cs="Arial"/>
                <w:color w:val="000000"/>
              </w:rPr>
              <w:t>C25.7</w:t>
            </w:r>
          </w:p>
        </w:tc>
        <w:tc>
          <w:tcPr>
            <w:tcW w:w="7560" w:type="dxa"/>
            <w:noWrap/>
            <w:vAlign w:val="center"/>
            <w:hideMark/>
          </w:tcPr>
          <w:p w14:paraId="5C84BC6A" w14:textId="77777777" w:rsidR="00E2557B" w:rsidRPr="00614ED2" w:rsidRDefault="00E2557B" w:rsidP="00696E8F">
            <w:pPr>
              <w:rPr>
                <w:rFonts w:cs="Arial"/>
                <w:color w:val="000000"/>
              </w:rPr>
            </w:pPr>
            <w:r w:rsidRPr="00614ED2">
              <w:rPr>
                <w:rFonts w:cs="Arial"/>
                <w:color w:val="000000"/>
              </w:rPr>
              <w:t>Malignant neoplasm of other parts of pancreas</w:t>
            </w:r>
          </w:p>
        </w:tc>
      </w:tr>
      <w:tr w:rsidR="00E2557B" w:rsidRPr="00614ED2" w14:paraId="7E6DF135" w14:textId="77777777" w:rsidTr="00696E8F">
        <w:trPr>
          <w:trHeight w:val="300"/>
        </w:trPr>
        <w:tc>
          <w:tcPr>
            <w:tcW w:w="1872" w:type="dxa"/>
            <w:noWrap/>
            <w:vAlign w:val="center"/>
            <w:hideMark/>
          </w:tcPr>
          <w:p w14:paraId="233BE48D" w14:textId="77777777" w:rsidR="00E2557B" w:rsidRPr="00614ED2" w:rsidRDefault="00E2557B" w:rsidP="00696E8F">
            <w:pPr>
              <w:rPr>
                <w:rFonts w:cs="Arial"/>
                <w:color w:val="000000"/>
              </w:rPr>
            </w:pPr>
            <w:r w:rsidRPr="00614ED2">
              <w:rPr>
                <w:rFonts w:cs="Arial"/>
                <w:color w:val="000000"/>
              </w:rPr>
              <w:lastRenderedPageBreak/>
              <w:t>C25.8</w:t>
            </w:r>
          </w:p>
        </w:tc>
        <w:tc>
          <w:tcPr>
            <w:tcW w:w="7560" w:type="dxa"/>
            <w:noWrap/>
            <w:vAlign w:val="center"/>
            <w:hideMark/>
          </w:tcPr>
          <w:p w14:paraId="4BBBCB2A" w14:textId="77777777" w:rsidR="00E2557B" w:rsidRPr="00614ED2" w:rsidRDefault="00E2557B" w:rsidP="00696E8F">
            <w:pPr>
              <w:rPr>
                <w:rFonts w:cs="Arial"/>
                <w:color w:val="000000"/>
              </w:rPr>
            </w:pPr>
            <w:r w:rsidRPr="00614ED2">
              <w:rPr>
                <w:rFonts w:cs="Arial"/>
                <w:color w:val="000000"/>
              </w:rPr>
              <w:t>Malignant neoplasm of overlapping sites of pancreas</w:t>
            </w:r>
          </w:p>
        </w:tc>
      </w:tr>
      <w:tr w:rsidR="00E2557B" w:rsidRPr="00614ED2" w14:paraId="164EEB72" w14:textId="77777777" w:rsidTr="00696E8F">
        <w:trPr>
          <w:trHeight w:val="300"/>
        </w:trPr>
        <w:tc>
          <w:tcPr>
            <w:tcW w:w="1872" w:type="dxa"/>
            <w:noWrap/>
            <w:vAlign w:val="center"/>
            <w:hideMark/>
          </w:tcPr>
          <w:p w14:paraId="5ACB6E1F" w14:textId="77777777" w:rsidR="00E2557B" w:rsidRPr="00614ED2" w:rsidRDefault="00E2557B" w:rsidP="00696E8F">
            <w:pPr>
              <w:rPr>
                <w:rFonts w:cs="Arial"/>
                <w:color w:val="000000"/>
              </w:rPr>
            </w:pPr>
            <w:r w:rsidRPr="00614ED2">
              <w:rPr>
                <w:rFonts w:cs="Arial"/>
                <w:color w:val="000000"/>
              </w:rPr>
              <w:t>C25.9</w:t>
            </w:r>
          </w:p>
        </w:tc>
        <w:tc>
          <w:tcPr>
            <w:tcW w:w="7560" w:type="dxa"/>
            <w:noWrap/>
            <w:vAlign w:val="center"/>
            <w:hideMark/>
          </w:tcPr>
          <w:p w14:paraId="494C7C72" w14:textId="77777777" w:rsidR="00E2557B" w:rsidRPr="00614ED2" w:rsidRDefault="00E2557B" w:rsidP="00696E8F">
            <w:pPr>
              <w:rPr>
                <w:rFonts w:cs="Arial"/>
                <w:color w:val="000000"/>
              </w:rPr>
            </w:pPr>
            <w:r w:rsidRPr="00614ED2">
              <w:rPr>
                <w:rFonts w:cs="Arial"/>
                <w:color w:val="000000"/>
              </w:rPr>
              <w:t>Malignant neoplasm of pancreas, unspecified</w:t>
            </w:r>
          </w:p>
        </w:tc>
      </w:tr>
    </w:tbl>
    <w:p w14:paraId="6CAB3992" w14:textId="5437FF10" w:rsidR="000E1EAA" w:rsidRPr="009A5185" w:rsidRDefault="000E1EAA" w:rsidP="000C2C54">
      <w:pPr>
        <w:pStyle w:val="Heading44"/>
      </w:pPr>
      <w:bookmarkStart w:id="266" w:name="RectalCancer"/>
      <w:r w:rsidRPr="009A5185">
        <w:t xml:space="preserve">Rectal Cancer Surgery Measure </w:t>
      </w:r>
      <w:r w:rsidR="000765C6">
        <w:t>Specifications</w:t>
      </w:r>
    </w:p>
    <w:bookmarkEnd w:id="266"/>
    <w:p w14:paraId="7FCC88FA" w14:textId="77777777" w:rsidR="000E1EAA" w:rsidRPr="009A5185" w:rsidRDefault="000E1EAA" w:rsidP="000E1EAA">
      <w:pPr>
        <w:rPr>
          <w:rFonts w:cs="Arial"/>
        </w:rPr>
      </w:pPr>
    </w:p>
    <w:p w14:paraId="64AFD13C" w14:textId="77777777" w:rsidR="000E1EAA" w:rsidRPr="009A5185" w:rsidRDefault="000E1EAA" w:rsidP="000E1EAA">
      <w:pPr>
        <w:rPr>
          <w:rFonts w:cs="Arial"/>
        </w:rPr>
      </w:pPr>
      <w:r w:rsidRPr="009A5185">
        <w:rPr>
          <w:rFonts w:cs="Arial"/>
        </w:rPr>
        <w:t xml:space="preserve">For </w:t>
      </w:r>
      <w:r w:rsidR="00715FAA" w:rsidRPr="009A5185">
        <w:rPr>
          <w:rFonts w:cs="Arial"/>
        </w:rPr>
        <w:t>rectal cancer surgery</w:t>
      </w:r>
      <w:r w:rsidRPr="009A5185">
        <w:rPr>
          <w:rFonts w:cs="Arial"/>
        </w:rPr>
        <w:t>, there are two sets of IC</w:t>
      </w:r>
      <w:r w:rsidR="007550AD">
        <w:rPr>
          <w:rFonts w:cs="Arial"/>
        </w:rPr>
        <w:t>D-10 codes for counting patient discharges</w:t>
      </w:r>
      <w:r w:rsidRPr="009A5185">
        <w:rPr>
          <w:rFonts w:cs="Arial"/>
        </w:rPr>
        <w:t xml:space="preserve">. The first set of codes is to identify patients who have had the procedure. </w:t>
      </w:r>
      <w:r w:rsidR="00D7330E" w:rsidRPr="009A5185">
        <w:rPr>
          <w:rFonts w:cs="Arial"/>
        </w:rPr>
        <w:t xml:space="preserve">The second set of codes </w:t>
      </w:r>
      <w:r w:rsidRPr="009A5185">
        <w:rPr>
          <w:rFonts w:cs="Arial"/>
        </w:rPr>
        <w:t>is to identify patient</w:t>
      </w:r>
      <w:r w:rsidR="00FB0165">
        <w:rPr>
          <w:rFonts w:cs="Arial"/>
        </w:rPr>
        <w:t>s</w:t>
      </w:r>
      <w:r w:rsidRPr="009A5185">
        <w:rPr>
          <w:rFonts w:cs="Arial"/>
        </w:rPr>
        <w:t xml:space="preserve"> with a specific diagnosis.</w:t>
      </w:r>
    </w:p>
    <w:p w14:paraId="47FAD2B9" w14:textId="77777777" w:rsidR="000E1EAA" w:rsidRPr="009A5185" w:rsidRDefault="000E1EAA" w:rsidP="000E1EAA">
      <w:pPr>
        <w:rPr>
          <w:rFonts w:cs="Arial"/>
        </w:rPr>
      </w:pPr>
    </w:p>
    <w:p w14:paraId="7C72DA92" w14:textId="77777777" w:rsidR="000E1EAA" w:rsidRDefault="007550AD" w:rsidP="000E1EAA">
      <w:pPr>
        <w:rPr>
          <w:rFonts w:cs="Arial"/>
        </w:rPr>
      </w:pPr>
      <w:r>
        <w:rPr>
          <w:rFonts w:cs="Arial"/>
        </w:rPr>
        <w:t>Count the n</w:t>
      </w:r>
      <w:r w:rsidR="000E1EAA" w:rsidRPr="009A5185">
        <w:rPr>
          <w:rFonts w:cs="Arial"/>
        </w:rPr>
        <w:t>umber of patients, age</w:t>
      </w:r>
      <w:r w:rsidR="00715FAA">
        <w:rPr>
          <w:rFonts w:cs="Arial"/>
        </w:rPr>
        <w:t>s</w:t>
      </w:r>
      <w:r w:rsidR="000E1EAA" w:rsidRPr="009A5185">
        <w:rPr>
          <w:rFonts w:cs="Arial"/>
        </w:rPr>
        <w:t xml:space="preserve"> 18 years and older, discharged with the following ICD-10 codes in any procedure field </w:t>
      </w:r>
      <w:r w:rsidR="000E1EAA" w:rsidRPr="006904F9">
        <w:rPr>
          <w:rFonts w:cs="Arial"/>
          <w:b/>
          <w:bCs/>
        </w:rPr>
        <w:t>AND</w:t>
      </w:r>
      <w:r w:rsidR="000E1EAA" w:rsidRPr="009A5185">
        <w:rPr>
          <w:rFonts w:cs="Arial"/>
        </w:rPr>
        <w:t xml:space="preserve"> any of the follo</w:t>
      </w:r>
      <w:r w:rsidR="00F66DDE" w:rsidRPr="009A5185">
        <w:rPr>
          <w:rFonts w:cs="Arial"/>
        </w:rPr>
        <w:t>wing ICD-10 codes in any</w:t>
      </w:r>
      <w:r w:rsidR="000E1EAA" w:rsidRPr="009A5185">
        <w:rPr>
          <w:rFonts w:cs="Arial"/>
        </w:rPr>
        <w:t xml:space="preserve"> diagnosis field</w:t>
      </w:r>
      <w:r>
        <w:rPr>
          <w:rFonts w:cs="Arial"/>
        </w:rPr>
        <w:t>.</w:t>
      </w:r>
    </w:p>
    <w:p w14:paraId="5D380B4C" w14:textId="77777777" w:rsidR="000E1EAA" w:rsidRPr="009A5185" w:rsidRDefault="000E1EAA" w:rsidP="000E1EAA">
      <w:pPr>
        <w:rPr>
          <w:rFonts w:cs="Arial"/>
        </w:rPr>
      </w:pPr>
    </w:p>
    <w:p w14:paraId="4A1650FA" w14:textId="77777777" w:rsidR="000E1EAA" w:rsidRPr="009A5185" w:rsidRDefault="000E1EAA" w:rsidP="000E1EAA">
      <w:pPr>
        <w:rPr>
          <w:rFonts w:cs="Arial"/>
          <w:b/>
        </w:rPr>
      </w:pPr>
      <w:r w:rsidRPr="009A5185">
        <w:rPr>
          <w:rFonts w:cs="Arial"/>
          <w:b/>
        </w:rPr>
        <w:t xml:space="preserve">ICD-10 Rectal Cancer Surgery Procedure Codes </w:t>
      </w:r>
    </w:p>
    <w:p w14:paraId="552D7603" w14:textId="77777777" w:rsidR="000E1EAA" w:rsidRPr="009A5185" w:rsidRDefault="000E1EAA" w:rsidP="000E1EAA">
      <w:pPr>
        <w:rPr>
          <w:rFonts w:cs="Arial"/>
          <w:b/>
        </w:rPr>
      </w:pPr>
    </w:p>
    <w:tbl>
      <w:tblPr>
        <w:tblStyle w:val="TableGrid"/>
        <w:tblW w:w="9432" w:type="dxa"/>
        <w:tblLook w:val="04A0" w:firstRow="1" w:lastRow="0" w:firstColumn="1" w:lastColumn="0" w:noHBand="0" w:noVBand="1"/>
      </w:tblPr>
      <w:tblGrid>
        <w:gridCol w:w="1872"/>
        <w:gridCol w:w="7560"/>
      </w:tblGrid>
      <w:tr w:rsidR="00715FAA" w:rsidRPr="0004317D" w14:paraId="36D470B1" w14:textId="77777777" w:rsidTr="00696E8F">
        <w:trPr>
          <w:trHeight w:val="432"/>
        </w:trPr>
        <w:tc>
          <w:tcPr>
            <w:tcW w:w="1872" w:type="dxa"/>
            <w:shd w:val="clear" w:color="auto" w:fill="BFBFBF" w:themeFill="background1" w:themeFillShade="BF"/>
            <w:noWrap/>
            <w:vAlign w:val="center"/>
          </w:tcPr>
          <w:p w14:paraId="4C154035" w14:textId="77777777" w:rsidR="00715FAA" w:rsidRPr="0004317D" w:rsidRDefault="00715FAA"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Procedure Code</w:t>
            </w:r>
          </w:p>
        </w:tc>
        <w:tc>
          <w:tcPr>
            <w:tcW w:w="7560" w:type="dxa"/>
            <w:shd w:val="clear" w:color="auto" w:fill="BFBFBF" w:themeFill="background1" w:themeFillShade="BF"/>
            <w:noWrap/>
            <w:vAlign w:val="center"/>
          </w:tcPr>
          <w:p w14:paraId="664D1967" w14:textId="77777777" w:rsidR="00715FAA" w:rsidRPr="0004317D" w:rsidRDefault="00715FAA" w:rsidP="00696E8F">
            <w:pPr>
              <w:rPr>
                <w:rFonts w:cs="Arial"/>
                <w:color w:val="000000"/>
              </w:rPr>
            </w:pPr>
            <w:r w:rsidRPr="0004317D">
              <w:rPr>
                <w:rFonts w:cs="Arial"/>
                <w:b/>
                <w:bCs/>
                <w:color w:val="000000"/>
              </w:rPr>
              <w:t>Code Description</w:t>
            </w:r>
          </w:p>
        </w:tc>
      </w:tr>
      <w:tr w:rsidR="00715FAA" w:rsidRPr="00614ED2" w14:paraId="45B1B4C5" w14:textId="77777777" w:rsidTr="00696E8F">
        <w:trPr>
          <w:trHeight w:val="300"/>
        </w:trPr>
        <w:tc>
          <w:tcPr>
            <w:tcW w:w="1872" w:type="dxa"/>
            <w:noWrap/>
            <w:vAlign w:val="center"/>
            <w:hideMark/>
          </w:tcPr>
          <w:p w14:paraId="0EF3FBD6" w14:textId="77777777" w:rsidR="00715FAA" w:rsidRPr="00614ED2" w:rsidRDefault="00715FAA" w:rsidP="00696E8F">
            <w:pPr>
              <w:rPr>
                <w:rFonts w:cs="Arial"/>
                <w:color w:val="000000"/>
              </w:rPr>
            </w:pPr>
            <w:r w:rsidRPr="00614ED2">
              <w:rPr>
                <w:rFonts w:cs="Arial"/>
                <w:color w:val="000000"/>
              </w:rPr>
              <w:t>0DBP0ZZ</w:t>
            </w:r>
          </w:p>
        </w:tc>
        <w:tc>
          <w:tcPr>
            <w:tcW w:w="7560" w:type="dxa"/>
            <w:noWrap/>
            <w:vAlign w:val="center"/>
            <w:hideMark/>
          </w:tcPr>
          <w:p w14:paraId="411109CC" w14:textId="77777777" w:rsidR="00715FAA" w:rsidRPr="00614ED2" w:rsidRDefault="00715FAA" w:rsidP="00696E8F">
            <w:pPr>
              <w:rPr>
                <w:rFonts w:cs="Arial"/>
                <w:color w:val="000000"/>
              </w:rPr>
            </w:pPr>
            <w:r w:rsidRPr="00614ED2">
              <w:rPr>
                <w:rFonts w:cs="Arial"/>
                <w:color w:val="000000"/>
              </w:rPr>
              <w:t>Excision of Rectum, Open Approach</w:t>
            </w:r>
          </w:p>
        </w:tc>
      </w:tr>
      <w:tr w:rsidR="00715FAA" w:rsidRPr="00614ED2" w14:paraId="696082AF" w14:textId="77777777" w:rsidTr="00696E8F">
        <w:trPr>
          <w:trHeight w:val="300"/>
        </w:trPr>
        <w:tc>
          <w:tcPr>
            <w:tcW w:w="1872" w:type="dxa"/>
            <w:noWrap/>
            <w:vAlign w:val="center"/>
            <w:hideMark/>
          </w:tcPr>
          <w:p w14:paraId="4D70C55A" w14:textId="77777777" w:rsidR="00715FAA" w:rsidRPr="00614ED2" w:rsidRDefault="00715FAA" w:rsidP="00696E8F">
            <w:pPr>
              <w:rPr>
                <w:rFonts w:cs="Arial"/>
                <w:color w:val="000000"/>
              </w:rPr>
            </w:pPr>
            <w:r w:rsidRPr="00614ED2">
              <w:rPr>
                <w:rFonts w:cs="Arial"/>
                <w:color w:val="000000"/>
              </w:rPr>
              <w:t>0DBP3ZZ</w:t>
            </w:r>
          </w:p>
        </w:tc>
        <w:tc>
          <w:tcPr>
            <w:tcW w:w="7560" w:type="dxa"/>
            <w:noWrap/>
            <w:vAlign w:val="center"/>
            <w:hideMark/>
          </w:tcPr>
          <w:p w14:paraId="7A4FFB16" w14:textId="77777777" w:rsidR="00715FAA" w:rsidRPr="00614ED2" w:rsidRDefault="00715FAA" w:rsidP="00696E8F">
            <w:pPr>
              <w:rPr>
                <w:rFonts w:cs="Arial"/>
                <w:color w:val="000000"/>
              </w:rPr>
            </w:pPr>
            <w:r w:rsidRPr="00614ED2">
              <w:rPr>
                <w:rFonts w:cs="Arial"/>
                <w:color w:val="000000"/>
              </w:rPr>
              <w:t>Excision of Rectum, Percutaneous Approach</w:t>
            </w:r>
          </w:p>
        </w:tc>
      </w:tr>
      <w:tr w:rsidR="00715FAA" w:rsidRPr="00614ED2" w14:paraId="5F9A71BE" w14:textId="77777777" w:rsidTr="00696E8F">
        <w:trPr>
          <w:trHeight w:val="300"/>
        </w:trPr>
        <w:tc>
          <w:tcPr>
            <w:tcW w:w="1872" w:type="dxa"/>
            <w:noWrap/>
            <w:vAlign w:val="center"/>
            <w:hideMark/>
          </w:tcPr>
          <w:p w14:paraId="368271FB" w14:textId="77777777" w:rsidR="00715FAA" w:rsidRPr="00614ED2" w:rsidRDefault="00715FAA" w:rsidP="00696E8F">
            <w:pPr>
              <w:rPr>
                <w:rFonts w:cs="Arial"/>
                <w:color w:val="000000"/>
              </w:rPr>
            </w:pPr>
            <w:r w:rsidRPr="00614ED2">
              <w:rPr>
                <w:rFonts w:cs="Arial"/>
                <w:color w:val="000000"/>
              </w:rPr>
              <w:t>0DBP4ZZ</w:t>
            </w:r>
          </w:p>
        </w:tc>
        <w:tc>
          <w:tcPr>
            <w:tcW w:w="7560" w:type="dxa"/>
            <w:noWrap/>
            <w:vAlign w:val="center"/>
            <w:hideMark/>
          </w:tcPr>
          <w:p w14:paraId="455B6E12" w14:textId="77777777" w:rsidR="00715FAA" w:rsidRPr="00614ED2" w:rsidRDefault="00715FAA" w:rsidP="00696E8F">
            <w:pPr>
              <w:rPr>
                <w:rFonts w:cs="Arial"/>
                <w:color w:val="000000"/>
              </w:rPr>
            </w:pPr>
            <w:r w:rsidRPr="00614ED2">
              <w:rPr>
                <w:rFonts w:cs="Arial"/>
                <w:color w:val="000000"/>
              </w:rPr>
              <w:t>Excision of Rectum, Percutaneous Endoscopic Approach</w:t>
            </w:r>
          </w:p>
        </w:tc>
      </w:tr>
      <w:tr w:rsidR="00715FAA" w:rsidRPr="00614ED2" w14:paraId="0FD3027C" w14:textId="77777777" w:rsidTr="00696E8F">
        <w:trPr>
          <w:trHeight w:val="300"/>
        </w:trPr>
        <w:tc>
          <w:tcPr>
            <w:tcW w:w="1872" w:type="dxa"/>
            <w:noWrap/>
            <w:vAlign w:val="center"/>
            <w:hideMark/>
          </w:tcPr>
          <w:p w14:paraId="430A719F" w14:textId="77777777" w:rsidR="00715FAA" w:rsidRPr="00614ED2" w:rsidRDefault="00715FAA" w:rsidP="00696E8F">
            <w:pPr>
              <w:rPr>
                <w:rFonts w:cs="Arial"/>
                <w:color w:val="000000"/>
              </w:rPr>
            </w:pPr>
            <w:r w:rsidRPr="00614ED2">
              <w:rPr>
                <w:rFonts w:cs="Arial"/>
                <w:color w:val="000000"/>
              </w:rPr>
              <w:t>0DBP7ZZ</w:t>
            </w:r>
          </w:p>
        </w:tc>
        <w:tc>
          <w:tcPr>
            <w:tcW w:w="7560" w:type="dxa"/>
            <w:noWrap/>
            <w:vAlign w:val="center"/>
            <w:hideMark/>
          </w:tcPr>
          <w:p w14:paraId="02B5B450" w14:textId="77777777" w:rsidR="00715FAA" w:rsidRPr="00614ED2" w:rsidRDefault="00715FAA" w:rsidP="00696E8F">
            <w:pPr>
              <w:rPr>
                <w:rFonts w:cs="Arial"/>
                <w:color w:val="000000"/>
              </w:rPr>
            </w:pPr>
            <w:r w:rsidRPr="00614ED2">
              <w:rPr>
                <w:rFonts w:cs="Arial"/>
                <w:color w:val="000000"/>
              </w:rPr>
              <w:t>Excision of Rectum, Via Natural or Artificial Opening</w:t>
            </w:r>
          </w:p>
        </w:tc>
      </w:tr>
      <w:tr w:rsidR="00715FAA" w:rsidRPr="00614ED2" w14:paraId="5BB169B9" w14:textId="77777777" w:rsidTr="00696E8F">
        <w:trPr>
          <w:trHeight w:val="300"/>
        </w:trPr>
        <w:tc>
          <w:tcPr>
            <w:tcW w:w="1872" w:type="dxa"/>
            <w:noWrap/>
            <w:vAlign w:val="center"/>
            <w:hideMark/>
          </w:tcPr>
          <w:p w14:paraId="2D1302FA" w14:textId="77777777" w:rsidR="00715FAA" w:rsidRPr="00614ED2" w:rsidRDefault="00715FAA" w:rsidP="00696E8F">
            <w:pPr>
              <w:rPr>
                <w:rFonts w:cs="Arial"/>
                <w:color w:val="000000"/>
              </w:rPr>
            </w:pPr>
            <w:r w:rsidRPr="00614ED2">
              <w:rPr>
                <w:rFonts w:cs="Arial"/>
                <w:color w:val="000000"/>
              </w:rPr>
              <w:t>0DBP8ZZ</w:t>
            </w:r>
          </w:p>
        </w:tc>
        <w:tc>
          <w:tcPr>
            <w:tcW w:w="7560" w:type="dxa"/>
            <w:noWrap/>
            <w:vAlign w:val="center"/>
            <w:hideMark/>
          </w:tcPr>
          <w:p w14:paraId="4D65F694" w14:textId="77777777" w:rsidR="00715FAA" w:rsidRPr="00614ED2" w:rsidRDefault="00715FAA" w:rsidP="00696E8F">
            <w:pPr>
              <w:rPr>
                <w:rFonts w:cs="Arial"/>
                <w:color w:val="000000"/>
              </w:rPr>
            </w:pPr>
            <w:r w:rsidRPr="00614ED2">
              <w:rPr>
                <w:rFonts w:cs="Arial"/>
                <w:color w:val="000000"/>
              </w:rPr>
              <w:t>Excision of rectum, via natural or artificial opening endoscopic</w:t>
            </w:r>
          </w:p>
        </w:tc>
      </w:tr>
      <w:tr w:rsidR="00715FAA" w:rsidRPr="00614ED2" w14:paraId="702B8AC7" w14:textId="77777777" w:rsidTr="00696E8F">
        <w:trPr>
          <w:trHeight w:val="300"/>
        </w:trPr>
        <w:tc>
          <w:tcPr>
            <w:tcW w:w="1872" w:type="dxa"/>
            <w:noWrap/>
            <w:vAlign w:val="center"/>
            <w:hideMark/>
          </w:tcPr>
          <w:p w14:paraId="4031D5DE" w14:textId="77777777" w:rsidR="00715FAA" w:rsidRPr="00614ED2" w:rsidRDefault="00715FAA" w:rsidP="00696E8F">
            <w:pPr>
              <w:rPr>
                <w:rFonts w:cs="Arial"/>
                <w:color w:val="000000"/>
              </w:rPr>
            </w:pPr>
            <w:r w:rsidRPr="00614ED2">
              <w:rPr>
                <w:rFonts w:cs="Arial"/>
                <w:color w:val="000000"/>
              </w:rPr>
              <w:t>0DTP0ZZ</w:t>
            </w:r>
          </w:p>
        </w:tc>
        <w:tc>
          <w:tcPr>
            <w:tcW w:w="7560" w:type="dxa"/>
            <w:noWrap/>
            <w:vAlign w:val="center"/>
            <w:hideMark/>
          </w:tcPr>
          <w:p w14:paraId="52E6828F" w14:textId="77777777" w:rsidR="00715FAA" w:rsidRPr="00614ED2" w:rsidRDefault="00715FAA" w:rsidP="00696E8F">
            <w:pPr>
              <w:rPr>
                <w:rFonts w:cs="Arial"/>
                <w:color w:val="000000"/>
              </w:rPr>
            </w:pPr>
            <w:r w:rsidRPr="00614ED2">
              <w:rPr>
                <w:rFonts w:cs="Arial"/>
                <w:color w:val="000000"/>
              </w:rPr>
              <w:t>Resection of Rectum, Open Approach</w:t>
            </w:r>
          </w:p>
        </w:tc>
      </w:tr>
      <w:tr w:rsidR="00715FAA" w:rsidRPr="00614ED2" w14:paraId="01B5EC9F" w14:textId="77777777" w:rsidTr="00696E8F">
        <w:trPr>
          <w:trHeight w:val="300"/>
        </w:trPr>
        <w:tc>
          <w:tcPr>
            <w:tcW w:w="1872" w:type="dxa"/>
            <w:noWrap/>
            <w:vAlign w:val="center"/>
            <w:hideMark/>
          </w:tcPr>
          <w:p w14:paraId="5177E489" w14:textId="77777777" w:rsidR="00715FAA" w:rsidRPr="00614ED2" w:rsidRDefault="00715FAA" w:rsidP="00696E8F">
            <w:pPr>
              <w:rPr>
                <w:rFonts w:cs="Arial"/>
                <w:color w:val="000000"/>
              </w:rPr>
            </w:pPr>
            <w:r w:rsidRPr="00614ED2">
              <w:rPr>
                <w:rFonts w:cs="Arial"/>
                <w:color w:val="000000"/>
              </w:rPr>
              <w:t>0DTP4ZZ</w:t>
            </w:r>
          </w:p>
        </w:tc>
        <w:tc>
          <w:tcPr>
            <w:tcW w:w="7560" w:type="dxa"/>
            <w:noWrap/>
            <w:vAlign w:val="center"/>
            <w:hideMark/>
          </w:tcPr>
          <w:p w14:paraId="7F873980" w14:textId="77777777" w:rsidR="00715FAA" w:rsidRPr="00614ED2" w:rsidRDefault="00715FAA" w:rsidP="00696E8F">
            <w:pPr>
              <w:rPr>
                <w:rFonts w:cs="Arial"/>
                <w:color w:val="000000"/>
              </w:rPr>
            </w:pPr>
            <w:r w:rsidRPr="00614ED2">
              <w:rPr>
                <w:rFonts w:cs="Arial"/>
                <w:color w:val="000000"/>
              </w:rPr>
              <w:t>Resection of Rectum, Percutaneous Endoscopic Approach</w:t>
            </w:r>
          </w:p>
        </w:tc>
      </w:tr>
      <w:tr w:rsidR="00715FAA" w:rsidRPr="00614ED2" w14:paraId="7B018107" w14:textId="77777777" w:rsidTr="00696E8F">
        <w:trPr>
          <w:trHeight w:val="300"/>
        </w:trPr>
        <w:tc>
          <w:tcPr>
            <w:tcW w:w="1872" w:type="dxa"/>
            <w:noWrap/>
            <w:vAlign w:val="center"/>
            <w:hideMark/>
          </w:tcPr>
          <w:p w14:paraId="3B4352D3" w14:textId="77777777" w:rsidR="00715FAA" w:rsidRPr="00614ED2" w:rsidRDefault="00715FAA" w:rsidP="00696E8F">
            <w:pPr>
              <w:rPr>
                <w:rFonts w:cs="Arial"/>
                <w:color w:val="000000"/>
              </w:rPr>
            </w:pPr>
            <w:r w:rsidRPr="00614ED2">
              <w:rPr>
                <w:rFonts w:cs="Arial"/>
                <w:color w:val="000000"/>
              </w:rPr>
              <w:t>0DTP7ZZ</w:t>
            </w:r>
          </w:p>
        </w:tc>
        <w:tc>
          <w:tcPr>
            <w:tcW w:w="7560" w:type="dxa"/>
            <w:noWrap/>
            <w:vAlign w:val="center"/>
            <w:hideMark/>
          </w:tcPr>
          <w:p w14:paraId="20CD31F0" w14:textId="77777777" w:rsidR="00715FAA" w:rsidRPr="00614ED2" w:rsidRDefault="00715FAA" w:rsidP="00696E8F">
            <w:pPr>
              <w:rPr>
                <w:rFonts w:cs="Arial"/>
                <w:color w:val="000000"/>
              </w:rPr>
            </w:pPr>
            <w:r w:rsidRPr="00614ED2">
              <w:rPr>
                <w:rFonts w:cs="Arial"/>
                <w:color w:val="000000"/>
              </w:rPr>
              <w:t>Resection of Rectum, Via Natural or Artificial Opening</w:t>
            </w:r>
          </w:p>
        </w:tc>
      </w:tr>
      <w:tr w:rsidR="00715FAA" w:rsidRPr="00614ED2" w14:paraId="18156B24" w14:textId="77777777" w:rsidTr="00696E8F">
        <w:trPr>
          <w:trHeight w:val="300"/>
        </w:trPr>
        <w:tc>
          <w:tcPr>
            <w:tcW w:w="1872" w:type="dxa"/>
            <w:noWrap/>
            <w:vAlign w:val="center"/>
            <w:hideMark/>
          </w:tcPr>
          <w:p w14:paraId="03BFD645" w14:textId="77777777" w:rsidR="00715FAA" w:rsidRPr="00614ED2" w:rsidRDefault="00715FAA" w:rsidP="00696E8F">
            <w:pPr>
              <w:rPr>
                <w:rFonts w:cs="Arial"/>
                <w:color w:val="000000"/>
              </w:rPr>
            </w:pPr>
            <w:r w:rsidRPr="00614ED2">
              <w:rPr>
                <w:rFonts w:cs="Arial"/>
                <w:color w:val="000000"/>
              </w:rPr>
              <w:t>0DTP8ZZ</w:t>
            </w:r>
          </w:p>
        </w:tc>
        <w:tc>
          <w:tcPr>
            <w:tcW w:w="7560" w:type="dxa"/>
            <w:noWrap/>
            <w:vAlign w:val="center"/>
            <w:hideMark/>
          </w:tcPr>
          <w:p w14:paraId="718BB7C1" w14:textId="77777777" w:rsidR="00715FAA" w:rsidRPr="00614ED2" w:rsidRDefault="00715FAA" w:rsidP="00696E8F">
            <w:pPr>
              <w:rPr>
                <w:rFonts w:cs="Arial"/>
                <w:color w:val="000000"/>
              </w:rPr>
            </w:pPr>
            <w:r w:rsidRPr="00614ED2">
              <w:rPr>
                <w:rFonts w:cs="Arial"/>
                <w:color w:val="000000"/>
              </w:rPr>
              <w:t>Resection of Rectum, Via Natural or Artificial Opening Endoscopic</w:t>
            </w:r>
          </w:p>
        </w:tc>
      </w:tr>
    </w:tbl>
    <w:p w14:paraId="08BBF9A8" w14:textId="77777777" w:rsidR="000E1EAA" w:rsidRPr="009A5185" w:rsidRDefault="000E1EAA" w:rsidP="000E1EAA">
      <w:pPr>
        <w:rPr>
          <w:rFonts w:cs="Arial"/>
          <w:b/>
        </w:rPr>
      </w:pPr>
    </w:p>
    <w:p w14:paraId="2E6550A3" w14:textId="77777777" w:rsidR="000E1EAA" w:rsidRPr="009A5185" w:rsidRDefault="000E1EAA" w:rsidP="000E1EAA">
      <w:pPr>
        <w:rPr>
          <w:rFonts w:cs="Arial"/>
          <w:b/>
        </w:rPr>
      </w:pPr>
      <w:r w:rsidRPr="009A5185">
        <w:rPr>
          <w:rFonts w:cs="Arial"/>
          <w:b/>
        </w:rPr>
        <w:t>ICD-10 Malignant Tumor</w:t>
      </w:r>
      <w:r w:rsidR="003A2BAB">
        <w:rPr>
          <w:rFonts w:cs="Arial"/>
          <w:b/>
        </w:rPr>
        <w:t xml:space="preserve"> and Carcinoma in Situ</w:t>
      </w:r>
      <w:r w:rsidRPr="009A5185">
        <w:rPr>
          <w:rFonts w:cs="Arial"/>
          <w:b/>
        </w:rPr>
        <w:t xml:space="preserve"> Diagnosis Codes</w:t>
      </w:r>
    </w:p>
    <w:p w14:paraId="7FD3564D" w14:textId="77777777" w:rsidR="000E1EAA" w:rsidRPr="009A5185" w:rsidRDefault="000E1EAA" w:rsidP="000E1EAA">
      <w:pPr>
        <w:rPr>
          <w:rFonts w:cs="Arial"/>
          <w:b/>
        </w:rPr>
      </w:pPr>
    </w:p>
    <w:tbl>
      <w:tblPr>
        <w:tblStyle w:val="TableGrid"/>
        <w:tblW w:w="9432" w:type="dxa"/>
        <w:tblLook w:val="04A0" w:firstRow="1" w:lastRow="0" w:firstColumn="1" w:lastColumn="0" w:noHBand="0" w:noVBand="1"/>
      </w:tblPr>
      <w:tblGrid>
        <w:gridCol w:w="1872"/>
        <w:gridCol w:w="7560"/>
      </w:tblGrid>
      <w:tr w:rsidR="00715FAA" w:rsidRPr="0004317D" w14:paraId="38DFBCD9" w14:textId="77777777" w:rsidTr="00696E8F">
        <w:trPr>
          <w:trHeight w:val="432"/>
        </w:trPr>
        <w:tc>
          <w:tcPr>
            <w:tcW w:w="1872" w:type="dxa"/>
            <w:shd w:val="clear" w:color="auto" w:fill="BFBFBF" w:themeFill="background1" w:themeFillShade="BF"/>
            <w:noWrap/>
            <w:vAlign w:val="center"/>
          </w:tcPr>
          <w:p w14:paraId="69A2C70C" w14:textId="77777777" w:rsidR="00715FAA" w:rsidRPr="0004317D" w:rsidRDefault="00715FAA"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Diagnosis Code</w:t>
            </w:r>
          </w:p>
        </w:tc>
        <w:tc>
          <w:tcPr>
            <w:tcW w:w="7560" w:type="dxa"/>
            <w:shd w:val="clear" w:color="auto" w:fill="BFBFBF" w:themeFill="background1" w:themeFillShade="BF"/>
            <w:vAlign w:val="center"/>
          </w:tcPr>
          <w:p w14:paraId="24BB19F6" w14:textId="77777777" w:rsidR="00715FAA" w:rsidRPr="0004317D" w:rsidRDefault="00715FAA" w:rsidP="00696E8F">
            <w:pPr>
              <w:rPr>
                <w:rFonts w:cs="Arial"/>
                <w:color w:val="000000"/>
              </w:rPr>
            </w:pPr>
            <w:r w:rsidRPr="0004317D">
              <w:rPr>
                <w:rFonts w:cs="Arial"/>
                <w:b/>
              </w:rPr>
              <w:t>Code Description</w:t>
            </w:r>
          </w:p>
        </w:tc>
      </w:tr>
      <w:tr w:rsidR="00715FAA" w:rsidRPr="00614ED2" w14:paraId="71A86711" w14:textId="77777777" w:rsidTr="00696E8F">
        <w:trPr>
          <w:trHeight w:val="300"/>
        </w:trPr>
        <w:tc>
          <w:tcPr>
            <w:tcW w:w="1872" w:type="dxa"/>
            <w:noWrap/>
            <w:vAlign w:val="center"/>
            <w:hideMark/>
          </w:tcPr>
          <w:p w14:paraId="7A5C996F" w14:textId="77777777" w:rsidR="00715FAA" w:rsidRPr="00614ED2" w:rsidRDefault="00715FAA" w:rsidP="00696E8F">
            <w:pPr>
              <w:rPr>
                <w:rFonts w:cs="Arial"/>
                <w:color w:val="000000"/>
              </w:rPr>
            </w:pPr>
            <w:r w:rsidRPr="00614ED2">
              <w:rPr>
                <w:rFonts w:cs="Arial"/>
                <w:color w:val="000000"/>
              </w:rPr>
              <w:t>C19</w:t>
            </w:r>
          </w:p>
        </w:tc>
        <w:tc>
          <w:tcPr>
            <w:tcW w:w="7560" w:type="dxa"/>
            <w:noWrap/>
            <w:vAlign w:val="center"/>
            <w:hideMark/>
          </w:tcPr>
          <w:p w14:paraId="4D7737E7" w14:textId="77777777" w:rsidR="00715FAA" w:rsidRPr="00614ED2" w:rsidRDefault="00715FAA" w:rsidP="00696E8F">
            <w:pPr>
              <w:rPr>
                <w:rFonts w:cs="Arial"/>
                <w:color w:val="000000"/>
              </w:rPr>
            </w:pPr>
            <w:r w:rsidRPr="00614ED2">
              <w:rPr>
                <w:rFonts w:cs="Arial"/>
                <w:color w:val="000000"/>
              </w:rPr>
              <w:t>Malignant neoplasm of rectosigmoid junction</w:t>
            </w:r>
          </w:p>
        </w:tc>
      </w:tr>
      <w:tr w:rsidR="00715FAA" w:rsidRPr="00614ED2" w14:paraId="5389E980" w14:textId="77777777" w:rsidTr="00696E8F">
        <w:trPr>
          <w:trHeight w:val="300"/>
        </w:trPr>
        <w:tc>
          <w:tcPr>
            <w:tcW w:w="1872" w:type="dxa"/>
            <w:noWrap/>
            <w:vAlign w:val="center"/>
            <w:hideMark/>
          </w:tcPr>
          <w:p w14:paraId="6486E252" w14:textId="77777777" w:rsidR="00715FAA" w:rsidRPr="00614ED2" w:rsidRDefault="00715FAA" w:rsidP="00696E8F">
            <w:pPr>
              <w:rPr>
                <w:rFonts w:cs="Arial"/>
                <w:color w:val="000000"/>
              </w:rPr>
            </w:pPr>
            <w:r w:rsidRPr="00614ED2">
              <w:rPr>
                <w:rFonts w:cs="Arial"/>
                <w:color w:val="000000"/>
              </w:rPr>
              <w:t>C20</w:t>
            </w:r>
          </w:p>
        </w:tc>
        <w:tc>
          <w:tcPr>
            <w:tcW w:w="7560" w:type="dxa"/>
            <w:noWrap/>
            <w:vAlign w:val="center"/>
            <w:hideMark/>
          </w:tcPr>
          <w:p w14:paraId="25A55A67" w14:textId="77777777" w:rsidR="00715FAA" w:rsidRPr="00614ED2" w:rsidRDefault="00715FAA" w:rsidP="00696E8F">
            <w:pPr>
              <w:rPr>
                <w:rFonts w:cs="Arial"/>
                <w:color w:val="000000"/>
              </w:rPr>
            </w:pPr>
            <w:r w:rsidRPr="00614ED2">
              <w:rPr>
                <w:rFonts w:cs="Arial"/>
                <w:color w:val="000000"/>
              </w:rPr>
              <w:t>Malignant neoplasm of rectum</w:t>
            </w:r>
          </w:p>
        </w:tc>
      </w:tr>
      <w:tr w:rsidR="00715FAA" w:rsidRPr="00614ED2" w14:paraId="65EA73D5" w14:textId="77777777" w:rsidTr="00696E8F">
        <w:trPr>
          <w:trHeight w:val="300"/>
        </w:trPr>
        <w:tc>
          <w:tcPr>
            <w:tcW w:w="1872" w:type="dxa"/>
            <w:noWrap/>
            <w:vAlign w:val="center"/>
            <w:hideMark/>
          </w:tcPr>
          <w:p w14:paraId="6CCFA34C" w14:textId="77777777" w:rsidR="00715FAA" w:rsidRPr="00614ED2" w:rsidRDefault="00715FAA" w:rsidP="00696E8F">
            <w:pPr>
              <w:rPr>
                <w:rFonts w:cs="Arial"/>
                <w:color w:val="000000"/>
              </w:rPr>
            </w:pPr>
            <w:r w:rsidRPr="00614ED2">
              <w:rPr>
                <w:rFonts w:cs="Arial"/>
                <w:color w:val="000000"/>
              </w:rPr>
              <w:t>C21.0</w:t>
            </w:r>
          </w:p>
        </w:tc>
        <w:tc>
          <w:tcPr>
            <w:tcW w:w="7560" w:type="dxa"/>
            <w:noWrap/>
            <w:vAlign w:val="center"/>
            <w:hideMark/>
          </w:tcPr>
          <w:p w14:paraId="74B8859B" w14:textId="77777777" w:rsidR="00715FAA" w:rsidRPr="00614ED2" w:rsidRDefault="00715FAA" w:rsidP="00696E8F">
            <w:pPr>
              <w:rPr>
                <w:rFonts w:cs="Arial"/>
                <w:color w:val="000000"/>
              </w:rPr>
            </w:pPr>
            <w:r w:rsidRPr="00614ED2">
              <w:rPr>
                <w:rFonts w:cs="Arial"/>
                <w:color w:val="000000"/>
              </w:rPr>
              <w:t>Malignant neoplasm of anus, unspecified</w:t>
            </w:r>
          </w:p>
        </w:tc>
      </w:tr>
      <w:tr w:rsidR="00715FAA" w:rsidRPr="00614ED2" w14:paraId="0DCCB721" w14:textId="77777777" w:rsidTr="00696E8F">
        <w:trPr>
          <w:trHeight w:val="300"/>
        </w:trPr>
        <w:tc>
          <w:tcPr>
            <w:tcW w:w="1872" w:type="dxa"/>
            <w:noWrap/>
            <w:vAlign w:val="center"/>
            <w:hideMark/>
          </w:tcPr>
          <w:p w14:paraId="6E6A9B33" w14:textId="77777777" w:rsidR="00715FAA" w:rsidRPr="00614ED2" w:rsidRDefault="00715FAA" w:rsidP="00696E8F">
            <w:pPr>
              <w:rPr>
                <w:rFonts w:cs="Arial"/>
              </w:rPr>
            </w:pPr>
            <w:r w:rsidRPr="00614ED2">
              <w:rPr>
                <w:rFonts w:cs="Arial"/>
              </w:rPr>
              <w:t>C21.1    </w:t>
            </w:r>
          </w:p>
        </w:tc>
        <w:tc>
          <w:tcPr>
            <w:tcW w:w="7560" w:type="dxa"/>
            <w:noWrap/>
            <w:vAlign w:val="center"/>
            <w:hideMark/>
          </w:tcPr>
          <w:p w14:paraId="0AD0F827" w14:textId="77777777" w:rsidR="00715FAA" w:rsidRPr="00614ED2" w:rsidRDefault="00715FAA" w:rsidP="00696E8F">
            <w:pPr>
              <w:rPr>
                <w:rFonts w:cs="Arial"/>
                <w:color w:val="000000"/>
              </w:rPr>
            </w:pPr>
            <w:r w:rsidRPr="00614ED2">
              <w:rPr>
                <w:rFonts w:cs="Arial"/>
                <w:color w:val="000000"/>
              </w:rPr>
              <w:t>Malignant neoplasm of anal canal</w:t>
            </w:r>
          </w:p>
        </w:tc>
      </w:tr>
      <w:tr w:rsidR="00715FAA" w:rsidRPr="00614ED2" w14:paraId="7185CA8A" w14:textId="77777777" w:rsidTr="00696E8F">
        <w:trPr>
          <w:trHeight w:val="300"/>
        </w:trPr>
        <w:tc>
          <w:tcPr>
            <w:tcW w:w="1872" w:type="dxa"/>
            <w:noWrap/>
            <w:vAlign w:val="center"/>
            <w:hideMark/>
          </w:tcPr>
          <w:p w14:paraId="019A20FE" w14:textId="77777777" w:rsidR="00715FAA" w:rsidRPr="00614ED2" w:rsidRDefault="00715FAA" w:rsidP="00696E8F">
            <w:pPr>
              <w:rPr>
                <w:rFonts w:cs="Arial"/>
              </w:rPr>
            </w:pPr>
            <w:r w:rsidRPr="00614ED2">
              <w:rPr>
                <w:rFonts w:cs="Arial"/>
              </w:rPr>
              <w:t>C21.2    </w:t>
            </w:r>
          </w:p>
        </w:tc>
        <w:tc>
          <w:tcPr>
            <w:tcW w:w="7560" w:type="dxa"/>
            <w:noWrap/>
            <w:vAlign w:val="center"/>
            <w:hideMark/>
          </w:tcPr>
          <w:p w14:paraId="10F06600" w14:textId="77777777" w:rsidR="00715FAA" w:rsidRPr="00614ED2" w:rsidRDefault="00715FAA" w:rsidP="00696E8F">
            <w:pPr>
              <w:rPr>
                <w:rFonts w:cs="Arial"/>
                <w:color w:val="000000"/>
              </w:rPr>
            </w:pPr>
            <w:r w:rsidRPr="00614ED2">
              <w:rPr>
                <w:rFonts w:cs="Arial"/>
                <w:color w:val="000000"/>
              </w:rPr>
              <w:t>Malignant neoplasm of cloacogenic zone</w:t>
            </w:r>
          </w:p>
        </w:tc>
      </w:tr>
      <w:tr w:rsidR="00715FAA" w:rsidRPr="00614ED2" w14:paraId="6ACE098A" w14:textId="77777777" w:rsidTr="00696E8F">
        <w:trPr>
          <w:trHeight w:val="300"/>
        </w:trPr>
        <w:tc>
          <w:tcPr>
            <w:tcW w:w="1872" w:type="dxa"/>
            <w:noWrap/>
            <w:vAlign w:val="center"/>
            <w:hideMark/>
          </w:tcPr>
          <w:p w14:paraId="34B812D9" w14:textId="77777777" w:rsidR="00715FAA" w:rsidRPr="00614ED2" w:rsidRDefault="00715FAA" w:rsidP="00696E8F">
            <w:pPr>
              <w:rPr>
                <w:rFonts w:cs="Arial"/>
                <w:color w:val="000000"/>
              </w:rPr>
            </w:pPr>
            <w:r w:rsidRPr="00614ED2">
              <w:rPr>
                <w:rFonts w:cs="Arial"/>
                <w:color w:val="000000"/>
              </w:rPr>
              <w:t>C21.8</w:t>
            </w:r>
          </w:p>
        </w:tc>
        <w:tc>
          <w:tcPr>
            <w:tcW w:w="7560" w:type="dxa"/>
            <w:noWrap/>
            <w:vAlign w:val="center"/>
            <w:hideMark/>
          </w:tcPr>
          <w:p w14:paraId="14B7D0B2" w14:textId="77777777" w:rsidR="00715FAA" w:rsidRPr="00614ED2" w:rsidRDefault="00715FAA" w:rsidP="00696E8F">
            <w:pPr>
              <w:rPr>
                <w:rFonts w:cs="Arial"/>
                <w:color w:val="000000"/>
              </w:rPr>
            </w:pPr>
            <w:r w:rsidRPr="00614ED2">
              <w:rPr>
                <w:rFonts w:cs="Arial"/>
                <w:color w:val="000000"/>
              </w:rPr>
              <w:t>Malignant neoplasm of overlapping sites of rectum, anus and anal canal</w:t>
            </w:r>
          </w:p>
        </w:tc>
      </w:tr>
      <w:tr w:rsidR="00715FAA" w:rsidRPr="00614ED2" w14:paraId="4B8C20FC" w14:textId="77777777" w:rsidTr="00696E8F">
        <w:trPr>
          <w:trHeight w:val="300"/>
        </w:trPr>
        <w:tc>
          <w:tcPr>
            <w:tcW w:w="1872" w:type="dxa"/>
            <w:noWrap/>
            <w:vAlign w:val="center"/>
            <w:hideMark/>
          </w:tcPr>
          <w:p w14:paraId="7D50DAE8" w14:textId="77777777" w:rsidR="00715FAA" w:rsidRPr="00614ED2" w:rsidRDefault="00715FAA" w:rsidP="00696E8F">
            <w:pPr>
              <w:rPr>
                <w:rFonts w:cs="Arial"/>
                <w:color w:val="000000"/>
              </w:rPr>
            </w:pPr>
            <w:r w:rsidRPr="00614ED2">
              <w:rPr>
                <w:rFonts w:cs="Arial"/>
                <w:color w:val="000000"/>
              </w:rPr>
              <w:t>C78.5</w:t>
            </w:r>
          </w:p>
        </w:tc>
        <w:tc>
          <w:tcPr>
            <w:tcW w:w="7560" w:type="dxa"/>
            <w:noWrap/>
            <w:vAlign w:val="center"/>
            <w:hideMark/>
          </w:tcPr>
          <w:p w14:paraId="21EAE627" w14:textId="77777777" w:rsidR="00715FAA" w:rsidRPr="00614ED2" w:rsidRDefault="00715FAA" w:rsidP="00696E8F">
            <w:pPr>
              <w:rPr>
                <w:rFonts w:cs="Arial"/>
                <w:color w:val="000000"/>
              </w:rPr>
            </w:pPr>
            <w:r w:rsidRPr="00614ED2">
              <w:rPr>
                <w:rFonts w:cs="Arial"/>
                <w:color w:val="000000"/>
              </w:rPr>
              <w:t>Secondary malignant neoplasm of large intestine and rectum</w:t>
            </w:r>
          </w:p>
        </w:tc>
      </w:tr>
      <w:tr w:rsidR="00715FAA" w:rsidRPr="00614ED2" w14:paraId="662857B1" w14:textId="77777777" w:rsidTr="00696E8F">
        <w:trPr>
          <w:trHeight w:val="300"/>
        </w:trPr>
        <w:tc>
          <w:tcPr>
            <w:tcW w:w="1872" w:type="dxa"/>
            <w:noWrap/>
            <w:vAlign w:val="center"/>
            <w:hideMark/>
          </w:tcPr>
          <w:p w14:paraId="59DA53F0" w14:textId="77777777" w:rsidR="00715FAA" w:rsidRPr="00614ED2" w:rsidRDefault="00715FAA" w:rsidP="00696E8F">
            <w:pPr>
              <w:rPr>
                <w:rFonts w:cs="Arial"/>
                <w:color w:val="000000"/>
              </w:rPr>
            </w:pPr>
            <w:r w:rsidRPr="00614ED2">
              <w:rPr>
                <w:rFonts w:cs="Arial"/>
                <w:color w:val="000000"/>
              </w:rPr>
              <w:t>D01</w:t>
            </w:r>
            <w:r w:rsidR="00381638">
              <w:rPr>
                <w:rFonts w:cs="Arial"/>
                <w:color w:val="000000"/>
              </w:rPr>
              <w:t>.</w:t>
            </w:r>
            <w:r w:rsidRPr="00614ED2">
              <w:rPr>
                <w:rFonts w:cs="Arial"/>
                <w:color w:val="000000"/>
              </w:rPr>
              <w:t>1</w:t>
            </w:r>
          </w:p>
        </w:tc>
        <w:tc>
          <w:tcPr>
            <w:tcW w:w="7560" w:type="dxa"/>
            <w:noWrap/>
            <w:vAlign w:val="center"/>
            <w:hideMark/>
          </w:tcPr>
          <w:p w14:paraId="27D309B6" w14:textId="77777777" w:rsidR="00715FAA" w:rsidRPr="00614ED2" w:rsidRDefault="00715FAA" w:rsidP="00696E8F">
            <w:pPr>
              <w:rPr>
                <w:rFonts w:cs="Arial"/>
                <w:color w:val="000000"/>
              </w:rPr>
            </w:pPr>
            <w:r w:rsidRPr="00614ED2">
              <w:rPr>
                <w:rFonts w:cs="Arial"/>
                <w:color w:val="000000"/>
              </w:rPr>
              <w:t>Carcinoma in situ of rectosigmoid junction</w:t>
            </w:r>
          </w:p>
        </w:tc>
      </w:tr>
      <w:tr w:rsidR="00715FAA" w:rsidRPr="00614ED2" w14:paraId="4E02287F" w14:textId="77777777" w:rsidTr="00696E8F">
        <w:trPr>
          <w:trHeight w:val="300"/>
        </w:trPr>
        <w:tc>
          <w:tcPr>
            <w:tcW w:w="1872" w:type="dxa"/>
            <w:noWrap/>
            <w:vAlign w:val="center"/>
            <w:hideMark/>
          </w:tcPr>
          <w:p w14:paraId="34B91391" w14:textId="77777777" w:rsidR="00715FAA" w:rsidRPr="00614ED2" w:rsidRDefault="00715FAA" w:rsidP="00696E8F">
            <w:pPr>
              <w:rPr>
                <w:rFonts w:cs="Arial"/>
                <w:color w:val="000000"/>
              </w:rPr>
            </w:pPr>
            <w:r w:rsidRPr="00614ED2">
              <w:rPr>
                <w:rFonts w:cs="Arial"/>
                <w:color w:val="000000"/>
              </w:rPr>
              <w:t>D01</w:t>
            </w:r>
            <w:r w:rsidR="00381638">
              <w:rPr>
                <w:rFonts w:cs="Arial"/>
                <w:color w:val="000000"/>
              </w:rPr>
              <w:t>.</w:t>
            </w:r>
            <w:r w:rsidRPr="00614ED2">
              <w:rPr>
                <w:rFonts w:cs="Arial"/>
                <w:color w:val="000000"/>
              </w:rPr>
              <w:t>2</w:t>
            </w:r>
          </w:p>
        </w:tc>
        <w:tc>
          <w:tcPr>
            <w:tcW w:w="7560" w:type="dxa"/>
            <w:noWrap/>
            <w:vAlign w:val="center"/>
            <w:hideMark/>
          </w:tcPr>
          <w:p w14:paraId="3B307B97" w14:textId="77777777" w:rsidR="00715FAA" w:rsidRPr="00614ED2" w:rsidRDefault="00715FAA" w:rsidP="00696E8F">
            <w:pPr>
              <w:rPr>
                <w:rFonts w:cs="Arial"/>
                <w:color w:val="000000"/>
              </w:rPr>
            </w:pPr>
            <w:r w:rsidRPr="00614ED2">
              <w:rPr>
                <w:rFonts w:cs="Arial"/>
                <w:color w:val="000000"/>
              </w:rPr>
              <w:t>Carcinoma in situ of rectum</w:t>
            </w:r>
          </w:p>
        </w:tc>
      </w:tr>
      <w:tr w:rsidR="00715FAA" w:rsidRPr="00614ED2" w14:paraId="0DBC18D6" w14:textId="77777777" w:rsidTr="00696E8F">
        <w:trPr>
          <w:trHeight w:val="300"/>
        </w:trPr>
        <w:tc>
          <w:tcPr>
            <w:tcW w:w="1872" w:type="dxa"/>
            <w:noWrap/>
            <w:vAlign w:val="center"/>
            <w:hideMark/>
          </w:tcPr>
          <w:p w14:paraId="43D86568" w14:textId="77777777" w:rsidR="00715FAA" w:rsidRPr="00614ED2" w:rsidRDefault="00715FAA" w:rsidP="00696E8F">
            <w:pPr>
              <w:rPr>
                <w:rFonts w:cs="Arial"/>
                <w:color w:val="000000"/>
              </w:rPr>
            </w:pPr>
            <w:r w:rsidRPr="00614ED2">
              <w:rPr>
                <w:rFonts w:cs="Arial"/>
                <w:color w:val="000000"/>
              </w:rPr>
              <w:t>D01</w:t>
            </w:r>
            <w:r w:rsidR="00381638">
              <w:rPr>
                <w:rFonts w:cs="Arial"/>
                <w:color w:val="000000"/>
              </w:rPr>
              <w:t>.</w:t>
            </w:r>
            <w:r w:rsidRPr="00614ED2">
              <w:rPr>
                <w:rFonts w:cs="Arial"/>
                <w:color w:val="000000"/>
              </w:rPr>
              <w:t>3</w:t>
            </w:r>
          </w:p>
        </w:tc>
        <w:tc>
          <w:tcPr>
            <w:tcW w:w="7560" w:type="dxa"/>
            <w:noWrap/>
            <w:vAlign w:val="center"/>
            <w:hideMark/>
          </w:tcPr>
          <w:p w14:paraId="5FB71561" w14:textId="77777777" w:rsidR="00715FAA" w:rsidRPr="00614ED2" w:rsidRDefault="00715FAA" w:rsidP="00696E8F">
            <w:pPr>
              <w:rPr>
                <w:rFonts w:cs="Arial"/>
                <w:color w:val="000000"/>
              </w:rPr>
            </w:pPr>
            <w:r w:rsidRPr="00614ED2">
              <w:rPr>
                <w:rFonts w:cs="Arial"/>
                <w:color w:val="000000"/>
              </w:rPr>
              <w:t>Carcinoma in situ of anus and anal canal</w:t>
            </w:r>
          </w:p>
        </w:tc>
      </w:tr>
    </w:tbl>
    <w:p w14:paraId="0411811E" w14:textId="77777777" w:rsidR="000E1EAA" w:rsidRPr="009A5185" w:rsidRDefault="000E1EAA" w:rsidP="000E1EAA">
      <w:pPr>
        <w:rPr>
          <w:rFonts w:cs="Arial"/>
        </w:rPr>
      </w:pPr>
    </w:p>
    <w:p w14:paraId="2E93184B" w14:textId="77777777" w:rsidR="000E1EAA" w:rsidRPr="009A5185" w:rsidRDefault="000E1EAA" w:rsidP="000E1EAA">
      <w:pPr>
        <w:rPr>
          <w:rFonts w:cs="Arial"/>
        </w:rPr>
      </w:pPr>
    </w:p>
    <w:p w14:paraId="5C17B828" w14:textId="77777777" w:rsidR="00F13A61" w:rsidRPr="009A5185" w:rsidRDefault="00F13A61">
      <w:pPr>
        <w:rPr>
          <w:rFonts w:cs="Arial"/>
          <w:b/>
          <w:i/>
          <w:sz w:val="24"/>
          <w:szCs w:val="24"/>
          <w:lang w:eastAsia="ja-JP"/>
        </w:rPr>
      </w:pPr>
      <w:r w:rsidRPr="009A5185">
        <w:rPr>
          <w:rFonts w:cs="Arial"/>
        </w:rPr>
        <w:br w:type="page"/>
      </w:r>
    </w:p>
    <w:p w14:paraId="1500B83E" w14:textId="399B3C18" w:rsidR="00BC1491" w:rsidRPr="009A5185" w:rsidRDefault="00BC1491" w:rsidP="000C2C54">
      <w:pPr>
        <w:pStyle w:val="Heading44"/>
      </w:pPr>
      <w:bookmarkStart w:id="267" w:name="BariatricSurgery"/>
      <w:r w:rsidRPr="009A5185">
        <w:lastRenderedPageBreak/>
        <w:t xml:space="preserve">Bariatric Surgery for Weight Loss Measure </w:t>
      </w:r>
      <w:r w:rsidR="000765C6">
        <w:t>Specifications</w:t>
      </w:r>
    </w:p>
    <w:bookmarkEnd w:id="267"/>
    <w:p w14:paraId="57A8D09A" w14:textId="77777777" w:rsidR="00BC1491" w:rsidRPr="009A5185" w:rsidRDefault="00BC1491" w:rsidP="00BC1491">
      <w:pPr>
        <w:rPr>
          <w:rFonts w:cs="Arial"/>
        </w:rPr>
      </w:pPr>
    </w:p>
    <w:p w14:paraId="025798FD" w14:textId="6C1AEB88" w:rsidR="00BC1491" w:rsidRPr="009A5185" w:rsidRDefault="00BC1491" w:rsidP="00BC1491">
      <w:pPr>
        <w:rPr>
          <w:rFonts w:cs="Arial"/>
        </w:rPr>
      </w:pPr>
      <w:r w:rsidRPr="009A5185">
        <w:rPr>
          <w:rFonts w:cs="Arial"/>
        </w:rPr>
        <w:t xml:space="preserve">For </w:t>
      </w:r>
      <w:r w:rsidR="00363287" w:rsidRPr="009A5185">
        <w:rPr>
          <w:rFonts w:cs="Arial"/>
        </w:rPr>
        <w:t>bariatric surgery</w:t>
      </w:r>
      <w:r w:rsidR="00363287">
        <w:rPr>
          <w:rFonts w:cs="Arial"/>
        </w:rPr>
        <w:t xml:space="preserve"> for weight loss</w:t>
      </w:r>
      <w:r w:rsidRPr="009A5185">
        <w:rPr>
          <w:rFonts w:cs="Arial"/>
        </w:rPr>
        <w:t>, there are t</w:t>
      </w:r>
      <w:r w:rsidR="00541516">
        <w:rPr>
          <w:rFonts w:cs="Arial"/>
        </w:rPr>
        <w:t>hree</w:t>
      </w:r>
      <w:r w:rsidRPr="009A5185">
        <w:rPr>
          <w:rFonts w:cs="Arial"/>
        </w:rPr>
        <w:t xml:space="preserve"> sets of </w:t>
      </w:r>
      <w:r w:rsidR="006234F0">
        <w:rPr>
          <w:rFonts w:cs="Arial"/>
        </w:rPr>
        <w:t>codes</w:t>
      </w:r>
      <w:r w:rsidR="00541516">
        <w:rPr>
          <w:rFonts w:cs="Arial"/>
        </w:rPr>
        <w:t>. One set of ICD-10 codes</w:t>
      </w:r>
      <w:r w:rsidR="006234F0">
        <w:rPr>
          <w:rFonts w:cs="Arial"/>
        </w:rPr>
        <w:t xml:space="preserve"> for counting </w:t>
      </w:r>
      <w:r w:rsidR="00541516">
        <w:rPr>
          <w:rFonts w:cs="Arial"/>
        </w:rPr>
        <w:t>in</w:t>
      </w:r>
      <w:r w:rsidR="006234F0">
        <w:rPr>
          <w:rFonts w:cs="Arial"/>
        </w:rPr>
        <w:t>patient discharges</w:t>
      </w:r>
      <w:r w:rsidR="00541516">
        <w:rPr>
          <w:rFonts w:cs="Arial"/>
        </w:rPr>
        <w:t xml:space="preserve"> and one set of CPT codes for counting outpatient discharges</w:t>
      </w:r>
      <w:r w:rsidRPr="009A5185">
        <w:rPr>
          <w:rFonts w:cs="Arial"/>
        </w:rPr>
        <w:t xml:space="preserve">. The first </w:t>
      </w:r>
      <w:r w:rsidR="00541516">
        <w:rPr>
          <w:rFonts w:cs="Arial"/>
        </w:rPr>
        <w:t xml:space="preserve">two </w:t>
      </w:r>
      <w:r w:rsidRPr="009A5185">
        <w:rPr>
          <w:rFonts w:cs="Arial"/>
        </w:rPr>
        <w:t>set</w:t>
      </w:r>
      <w:r w:rsidR="00541516">
        <w:rPr>
          <w:rFonts w:cs="Arial"/>
        </w:rPr>
        <w:t>s</w:t>
      </w:r>
      <w:r w:rsidRPr="009A5185">
        <w:rPr>
          <w:rFonts w:cs="Arial"/>
        </w:rPr>
        <w:t xml:space="preserve"> of codes </w:t>
      </w:r>
      <w:r w:rsidR="00541516">
        <w:rPr>
          <w:rFonts w:cs="Arial"/>
        </w:rPr>
        <w:t>are</w:t>
      </w:r>
      <w:r w:rsidRPr="009A5185">
        <w:rPr>
          <w:rFonts w:cs="Arial"/>
        </w:rPr>
        <w:t xml:space="preserve"> to identify patients who have had the procedure. </w:t>
      </w:r>
      <w:r w:rsidR="00D7330E" w:rsidRPr="009A5185">
        <w:rPr>
          <w:rFonts w:cs="Arial"/>
        </w:rPr>
        <w:t xml:space="preserve">The </w:t>
      </w:r>
      <w:r w:rsidR="00541516">
        <w:rPr>
          <w:rFonts w:cs="Arial"/>
        </w:rPr>
        <w:t>third</w:t>
      </w:r>
      <w:r w:rsidR="00541516" w:rsidRPr="009A5185">
        <w:rPr>
          <w:rFonts w:cs="Arial"/>
        </w:rPr>
        <w:t xml:space="preserve"> </w:t>
      </w:r>
      <w:r w:rsidR="00D7330E" w:rsidRPr="009A5185">
        <w:rPr>
          <w:rFonts w:cs="Arial"/>
        </w:rPr>
        <w:t xml:space="preserve">set of codes </w:t>
      </w:r>
      <w:r w:rsidR="00541516">
        <w:rPr>
          <w:rFonts w:cs="Arial"/>
        </w:rPr>
        <w:t xml:space="preserve">(ICD-10 diagnosis codes) </w:t>
      </w:r>
      <w:r w:rsidRPr="009A5185">
        <w:rPr>
          <w:rFonts w:cs="Arial"/>
        </w:rPr>
        <w:t>is to identify patient</w:t>
      </w:r>
      <w:r w:rsidR="009B3ACE" w:rsidRPr="009A5185">
        <w:rPr>
          <w:rFonts w:cs="Arial"/>
        </w:rPr>
        <w:t>s</w:t>
      </w:r>
      <w:r w:rsidRPr="009A5185">
        <w:rPr>
          <w:rFonts w:cs="Arial"/>
        </w:rPr>
        <w:t xml:space="preserve"> with a specific diagnosis.</w:t>
      </w:r>
    </w:p>
    <w:p w14:paraId="7594CABE" w14:textId="77777777" w:rsidR="007648E6" w:rsidRPr="009A5185" w:rsidRDefault="007648E6" w:rsidP="00BC1491">
      <w:pPr>
        <w:rPr>
          <w:rFonts w:cs="Arial"/>
        </w:rPr>
      </w:pPr>
    </w:p>
    <w:p w14:paraId="6832DB00" w14:textId="77777777" w:rsidR="00434A36" w:rsidRPr="009A5185" w:rsidRDefault="00434A36" w:rsidP="007648E6">
      <w:pPr>
        <w:rPr>
          <w:rFonts w:cs="Arial"/>
          <w:iCs/>
        </w:rPr>
      </w:pPr>
      <w:r w:rsidRPr="009A5185">
        <w:rPr>
          <w:rFonts w:cs="Arial"/>
          <w:iCs/>
        </w:rPr>
        <w:t xml:space="preserve">To determine the </w:t>
      </w:r>
      <w:r w:rsidR="006234F0">
        <w:rPr>
          <w:rFonts w:cs="Arial"/>
        </w:rPr>
        <w:t>n</w:t>
      </w:r>
      <w:r w:rsidR="006234F0" w:rsidRPr="009A5185">
        <w:rPr>
          <w:rFonts w:cs="Arial"/>
        </w:rPr>
        <w:t>umber of patients, age</w:t>
      </w:r>
      <w:r w:rsidR="00363287">
        <w:rPr>
          <w:rFonts w:cs="Arial"/>
        </w:rPr>
        <w:t>s</w:t>
      </w:r>
      <w:r w:rsidR="006234F0" w:rsidRPr="009A5185">
        <w:rPr>
          <w:rFonts w:cs="Arial"/>
        </w:rPr>
        <w:t xml:space="preserve"> 18 years and older, discharged</w:t>
      </w:r>
      <w:r w:rsidR="00707663">
        <w:rPr>
          <w:rFonts w:cs="Arial"/>
          <w:iCs/>
        </w:rPr>
        <w:t xml:space="preserve"> </w:t>
      </w:r>
      <w:r w:rsidR="009B3ACE" w:rsidRPr="009A5185">
        <w:rPr>
          <w:rFonts w:cs="Arial"/>
          <w:iCs/>
        </w:rPr>
        <w:t xml:space="preserve">for </w:t>
      </w:r>
      <w:r w:rsidR="007648E6" w:rsidRPr="009A5185">
        <w:rPr>
          <w:rFonts w:cs="Arial"/>
          <w:iCs/>
        </w:rPr>
        <w:t xml:space="preserve">this procedure, </w:t>
      </w:r>
      <w:r w:rsidRPr="009A5185">
        <w:rPr>
          <w:rFonts w:cs="Arial"/>
          <w:iCs/>
        </w:rPr>
        <w:t>hospitals have two options:</w:t>
      </w:r>
    </w:p>
    <w:p w14:paraId="02088936" w14:textId="16146CC6" w:rsidR="00434A36" w:rsidRPr="009A5185" w:rsidRDefault="00741EC4" w:rsidP="00AD309C">
      <w:pPr>
        <w:pStyle w:val="ListParagraph"/>
        <w:numPr>
          <w:ilvl w:val="0"/>
          <w:numId w:val="69"/>
        </w:numPr>
        <w:rPr>
          <w:rFonts w:cs="Arial"/>
          <w:i/>
          <w:iCs/>
        </w:rPr>
      </w:pPr>
      <w:r>
        <w:rPr>
          <w:rFonts w:cs="Arial"/>
          <w:iCs/>
        </w:rPr>
        <w:t>Count the n</w:t>
      </w:r>
      <w:r w:rsidR="00434A36" w:rsidRPr="009A5185">
        <w:rPr>
          <w:rFonts w:cs="Arial"/>
          <w:iCs/>
        </w:rPr>
        <w:t>umber of patients, age</w:t>
      </w:r>
      <w:r w:rsidR="00363287">
        <w:rPr>
          <w:rFonts w:cs="Arial"/>
          <w:iCs/>
        </w:rPr>
        <w:t>s</w:t>
      </w:r>
      <w:r w:rsidR="00434A36" w:rsidRPr="009A5185">
        <w:rPr>
          <w:rFonts w:cs="Arial"/>
          <w:iCs/>
        </w:rPr>
        <w:t xml:space="preserve"> 18 years and older, discharged with </w:t>
      </w:r>
      <w:r w:rsidR="00434A36" w:rsidRPr="009A5185">
        <w:rPr>
          <w:rFonts w:cs="Arial"/>
        </w:rPr>
        <w:t xml:space="preserve">the following ICD-10 codes </w:t>
      </w:r>
      <w:r w:rsidR="00541516">
        <w:rPr>
          <w:rFonts w:cs="Arial"/>
        </w:rPr>
        <w:t xml:space="preserve">or the CPT Codes </w:t>
      </w:r>
      <w:r w:rsidR="00434A36" w:rsidRPr="009A5185">
        <w:rPr>
          <w:rFonts w:cs="Arial"/>
        </w:rPr>
        <w:t xml:space="preserve">in any procedure field </w:t>
      </w:r>
      <w:r w:rsidR="00434A36" w:rsidRPr="006904F9">
        <w:rPr>
          <w:rFonts w:cs="Arial"/>
          <w:b/>
          <w:bCs/>
        </w:rPr>
        <w:t>AND</w:t>
      </w:r>
      <w:r w:rsidR="00434A36" w:rsidRPr="009A5185">
        <w:rPr>
          <w:rFonts w:cs="Arial"/>
        </w:rPr>
        <w:t xml:space="preserve"> any of the following ICD-10 codes in the </w:t>
      </w:r>
      <w:r w:rsidR="00434A36" w:rsidRPr="009A5185">
        <w:rPr>
          <w:rFonts w:cs="Arial"/>
          <w:b/>
          <w:u w:val="single"/>
        </w:rPr>
        <w:t>primary</w:t>
      </w:r>
      <w:r w:rsidR="00434A36" w:rsidRPr="009A5185">
        <w:rPr>
          <w:rFonts w:cs="Arial"/>
        </w:rPr>
        <w:t xml:space="preserve"> diagnosis field. This method does not require chart review.</w:t>
      </w:r>
    </w:p>
    <w:p w14:paraId="1C8499E9" w14:textId="15B1F803" w:rsidR="007648E6" w:rsidRPr="009A5185" w:rsidRDefault="00741EC4" w:rsidP="00AD309C">
      <w:pPr>
        <w:pStyle w:val="ListParagraph"/>
        <w:numPr>
          <w:ilvl w:val="0"/>
          <w:numId w:val="69"/>
        </w:numPr>
        <w:rPr>
          <w:rFonts w:cs="Arial"/>
          <w:i/>
          <w:iCs/>
        </w:rPr>
      </w:pPr>
      <w:r>
        <w:rPr>
          <w:rFonts w:cs="Arial"/>
        </w:rPr>
        <w:t>Count the n</w:t>
      </w:r>
      <w:r w:rsidR="00434A36" w:rsidRPr="009A5185">
        <w:rPr>
          <w:rFonts w:cs="Arial"/>
        </w:rPr>
        <w:t>umber of patients, age</w:t>
      </w:r>
      <w:r w:rsidR="00363287">
        <w:rPr>
          <w:rFonts w:cs="Arial"/>
        </w:rPr>
        <w:t>s</w:t>
      </w:r>
      <w:r w:rsidR="00434A36" w:rsidRPr="009A5185">
        <w:rPr>
          <w:rFonts w:cs="Arial"/>
        </w:rPr>
        <w:t xml:space="preserve"> 18 years and older, discharged with the following ICD-10 codes </w:t>
      </w:r>
      <w:r w:rsidR="00541516">
        <w:rPr>
          <w:rFonts w:cs="Arial"/>
        </w:rPr>
        <w:t xml:space="preserve">or the CPT Codes </w:t>
      </w:r>
      <w:r w:rsidR="00434A36" w:rsidRPr="009A5185">
        <w:rPr>
          <w:rFonts w:cs="Arial"/>
        </w:rPr>
        <w:t xml:space="preserve">in any procedure field </w:t>
      </w:r>
      <w:r w:rsidR="00434A36" w:rsidRPr="006904F9">
        <w:rPr>
          <w:rFonts w:cs="Arial"/>
          <w:b/>
          <w:bCs/>
        </w:rPr>
        <w:t>AND</w:t>
      </w:r>
      <w:r w:rsidR="00434A36" w:rsidRPr="009A5185">
        <w:rPr>
          <w:rFonts w:cs="Arial"/>
        </w:rPr>
        <w:t xml:space="preserve"> any of the following ICD-10 codes in any diagnosis field</w:t>
      </w:r>
      <w:r w:rsidR="00434A36" w:rsidRPr="009A5185">
        <w:rPr>
          <w:rFonts w:cs="Arial"/>
          <w:iCs/>
        </w:rPr>
        <w:t xml:space="preserve">. </w:t>
      </w:r>
      <w:r w:rsidR="007648E6" w:rsidRPr="009A5185">
        <w:rPr>
          <w:rFonts w:cs="Arial"/>
          <w:iCs/>
        </w:rPr>
        <w:t xml:space="preserve">In addition, the procedure must have been done </w:t>
      </w:r>
      <w:r w:rsidR="007648E6" w:rsidRPr="009A5185">
        <w:rPr>
          <w:rFonts w:cs="Arial"/>
          <w:b/>
          <w:bCs/>
          <w:iCs/>
        </w:rPr>
        <w:t>explicitly for weight</w:t>
      </w:r>
      <w:r w:rsidR="009B3ACE" w:rsidRPr="009A5185">
        <w:rPr>
          <w:rFonts w:cs="Arial"/>
          <w:b/>
          <w:bCs/>
          <w:iCs/>
        </w:rPr>
        <w:t xml:space="preserve"> </w:t>
      </w:r>
      <w:r w:rsidR="007648E6" w:rsidRPr="009A5185">
        <w:rPr>
          <w:rFonts w:cs="Arial"/>
          <w:b/>
          <w:bCs/>
          <w:iCs/>
        </w:rPr>
        <w:t>loss purposes</w:t>
      </w:r>
      <w:r w:rsidR="007648E6" w:rsidRPr="009A5185">
        <w:rPr>
          <w:rFonts w:cs="Arial"/>
          <w:iCs/>
        </w:rPr>
        <w:t xml:space="preserve"> </w:t>
      </w:r>
      <w:r w:rsidR="009B3ACE" w:rsidRPr="009A5185">
        <w:rPr>
          <w:rFonts w:cs="Arial"/>
          <w:iCs/>
        </w:rPr>
        <w:t>(</w:t>
      </w:r>
      <w:r w:rsidR="000A554A" w:rsidRPr="009A5185">
        <w:rPr>
          <w:rFonts w:cs="Arial"/>
          <w:iCs/>
        </w:rPr>
        <w:t>i.e.,</w:t>
      </w:r>
      <w:r w:rsidR="007648E6" w:rsidRPr="009A5185">
        <w:rPr>
          <w:rFonts w:cs="Arial"/>
          <w:iCs/>
        </w:rPr>
        <w:t xml:space="preserve"> presence of one of the diagnosis codes is necessary, but not sufficient for inclusion</w:t>
      </w:r>
      <w:r w:rsidR="009B3ACE" w:rsidRPr="009A5185">
        <w:rPr>
          <w:rFonts w:cs="Arial"/>
          <w:iCs/>
        </w:rPr>
        <w:t>)</w:t>
      </w:r>
      <w:r w:rsidR="00434A36" w:rsidRPr="009A5185">
        <w:rPr>
          <w:rFonts w:cs="Arial"/>
          <w:iCs/>
        </w:rPr>
        <w:t>. This method requires chart review to ensure the procedure was performed explicitly for weight</w:t>
      </w:r>
      <w:r w:rsidR="009B3ACE" w:rsidRPr="009A5185">
        <w:rPr>
          <w:rFonts w:cs="Arial"/>
          <w:iCs/>
        </w:rPr>
        <w:t xml:space="preserve"> </w:t>
      </w:r>
      <w:r w:rsidR="00434A36" w:rsidRPr="009A5185">
        <w:rPr>
          <w:rFonts w:cs="Arial"/>
          <w:iCs/>
        </w:rPr>
        <w:t xml:space="preserve">loss purposes. </w:t>
      </w:r>
    </w:p>
    <w:p w14:paraId="26114974" w14:textId="77777777" w:rsidR="0071568E" w:rsidRDefault="0071568E" w:rsidP="00BC1491">
      <w:pPr>
        <w:rPr>
          <w:rFonts w:cs="Arial"/>
          <w:b/>
        </w:rPr>
      </w:pPr>
    </w:p>
    <w:p w14:paraId="003BAE67" w14:textId="77777777" w:rsidR="00BC1491" w:rsidRPr="009A5185" w:rsidRDefault="00BC1491" w:rsidP="00BC1491">
      <w:pPr>
        <w:rPr>
          <w:rFonts w:cs="Arial"/>
          <w:b/>
        </w:rPr>
      </w:pPr>
      <w:r w:rsidRPr="009A5185">
        <w:rPr>
          <w:rFonts w:cs="Arial"/>
          <w:b/>
        </w:rPr>
        <w:t>ICD-10 Bariatric Surgery Procedure Codes</w:t>
      </w:r>
    </w:p>
    <w:p w14:paraId="0C9E4EEF" w14:textId="77777777" w:rsidR="00BC1491" w:rsidRPr="009A5185" w:rsidRDefault="00BC1491" w:rsidP="00BC1491">
      <w:pPr>
        <w:rPr>
          <w:rFonts w:cs="Arial"/>
          <w:b/>
        </w:rPr>
      </w:pPr>
    </w:p>
    <w:tbl>
      <w:tblPr>
        <w:tblStyle w:val="TableGrid"/>
        <w:tblW w:w="5044" w:type="pct"/>
        <w:tblLook w:val="04A0" w:firstRow="1" w:lastRow="0" w:firstColumn="1" w:lastColumn="0" w:noHBand="0" w:noVBand="1"/>
      </w:tblPr>
      <w:tblGrid>
        <w:gridCol w:w="1872"/>
        <w:gridCol w:w="7560"/>
      </w:tblGrid>
      <w:tr w:rsidR="00363287" w:rsidRPr="0004317D" w14:paraId="16F8C04D" w14:textId="77777777" w:rsidTr="00696E8F">
        <w:trPr>
          <w:trHeight w:val="432"/>
        </w:trPr>
        <w:tc>
          <w:tcPr>
            <w:tcW w:w="1872" w:type="dxa"/>
            <w:shd w:val="clear" w:color="auto" w:fill="BFBFBF" w:themeFill="background1" w:themeFillShade="BF"/>
            <w:noWrap/>
            <w:vAlign w:val="center"/>
          </w:tcPr>
          <w:p w14:paraId="3046CC11" w14:textId="77777777" w:rsidR="00363287" w:rsidRPr="0004317D" w:rsidRDefault="00363287"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Procedure Code</w:t>
            </w:r>
          </w:p>
        </w:tc>
        <w:tc>
          <w:tcPr>
            <w:tcW w:w="7560" w:type="dxa"/>
            <w:shd w:val="clear" w:color="auto" w:fill="BFBFBF" w:themeFill="background1" w:themeFillShade="BF"/>
            <w:noWrap/>
            <w:vAlign w:val="center"/>
          </w:tcPr>
          <w:p w14:paraId="270F7498" w14:textId="77777777" w:rsidR="00363287" w:rsidRPr="0004317D" w:rsidRDefault="00363287" w:rsidP="00696E8F">
            <w:pPr>
              <w:rPr>
                <w:rFonts w:cs="Arial"/>
                <w:color w:val="000000"/>
              </w:rPr>
            </w:pPr>
            <w:r w:rsidRPr="0004317D">
              <w:rPr>
                <w:rFonts w:cs="Arial"/>
                <w:b/>
                <w:bCs/>
                <w:color w:val="000000"/>
              </w:rPr>
              <w:t>Code Description</w:t>
            </w:r>
          </w:p>
        </w:tc>
      </w:tr>
      <w:tr w:rsidR="00363287" w:rsidRPr="00614ED2" w14:paraId="30EBE7FB" w14:textId="77777777" w:rsidTr="00696E8F">
        <w:trPr>
          <w:trHeight w:val="300"/>
        </w:trPr>
        <w:tc>
          <w:tcPr>
            <w:tcW w:w="1872" w:type="dxa"/>
            <w:noWrap/>
            <w:vAlign w:val="center"/>
            <w:hideMark/>
          </w:tcPr>
          <w:p w14:paraId="5FF61A55" w14:textId="77777777" w:rsidR="00363287" w:rsidRPr="00614ED2" w:rsidRDefault="00363287" w:rsidP="00696E8F">
            <w:pPr>
              <w:rPr>
                <w:rFonts w:cs="Arial"/>
                <w:color w:val="000000"/>
              </w:rPr>
            </w:pPr>
            <w:r w:rsidRPr="00614ED2">
              <w:rPr>
                <w:rFonts w:cs="Arial"/>
                <w:color w:val="000000"/>
              </w:rPr>
              <w:t>0D16079</w:t>
            </w:r>
          </w:p>
        </w:tc>
        <w:tc>
          <w:tcPr>
            <w:tcW w:w="7560" w:type="dxa"/>
            <w:noWrap/>
            <w:vAlign w:val="center"/>
            <w:hideMark/>
          </w:tcPr>
          <w:p w14:paraId="7F5D1497" w14:textId="77777777" w:rsidR="00363287" w:rsidRPr="00614ED2" w:rsidRDefault="00363287" w:rsidP="00696E8F">
            <w:pPr>
              <w:rPr>
                <w:rFonts w:cs="Arial"/>
                <w:color w:val="000000"/>
              </w:rPr>
            </w:pPr>
            <w:r w:rsidRPr="00614ED2">
              <w:rPr>
                <w:rFonts w:cs="Arial"/>
                <w:color w:val="000000"/>
              </w:rPr>
              <w:t>Bypass Stomach to Duodenum with Autologous Tissue Substitute, Open Approach</w:t>
            </w:r>
          </w:p>
        </w:tc>
      </w:tr>
      <w:tr w:rsidR="00363287" w:rsidRPr="00614ED2" w14:paraId="72467894" w14:textId="77777777" w:rsidTr="00696E8F">
        <w:trPr>
          <w:trHeight w:val="300"/>
        </w:trPr>
        <w:tc>
          <w:tcPr>
            <w:tcW w:w="1872" w:type="dxa"/>
            <w:noWrap/>
            <w:vAlign w:val="center"/>
            <w:hideMark/>
          </w:tcPr>
          <w:p w14:paraId="652F5D3A" w14:textId="77777777" w:rsidR="00363287" w:rsidRPr="00614ED2" w:rsidRDefault="00363287" w:rsidP="00696E8F">
            <w:pPr>
              <w:rPr>
                <w:rFonts w:cs="Arial"/>
                <w:color w:val="000000"/>
              </w:rPr>
            </w:pPr>
            <w:r w:rsidRPr="00614ED2">
              <w:rPr>
                <w:rFonts w:cs="Arial"/>
                <w:color w:val="000000"/>
              </w:rPr>
              <w:t>0D1607A</w:t>
            </w:r>
          </w:p>
        </w:tc>
        <w:tc>
          <w:tcPr>
            <w:tcW w:w="7560" w:type="dxa"/>
            <w:noWrap/>
            <w:vAlign w:val="center"/>
            <w:hideMark/>
          </w:tcPr>
          <w:p w14:paraId="65185A20" w14:textId="77777777" w:rsidR="00363287" w:rsidRPr="00614ED2" w:rsidRDefault="00363287" w:rsidP="00696E8F">
            <w:pPr>
              <w:rPr>
                <w:rFonts w:cs="Arial"/>
                <w:color w:val="000000"/>
              </w:rPr>
            </w:pPr>
            <w:r w:rsidRPr="00614ED2">
              <w:rPr>
                <w:rFonts w:cs="Arial"/>
                <w:color w:val="000000"/>
              </w:rPr>
              <w:t>Bypass Stomach to Jejunum with Autologous Tissue Substitute, Open Approach</w:t>
            </w:r>
          </w:p>
        </w:tc>
      </w:tr>
      <w:tr w:rsidR="00363287" w:rsidRPr="00614ED2" w14:paraId="62B9628C" w14:textId="77777777" w:rsidTr="00696E8F">
        <w:trPr>
          <w:trHeight w:val="300"/>
        </w:trPr>
        <w:tc>
          <w:tcPr>
            <w:tcW w:w="1872" w:type="dxa"/>
            <w:noWrap/>
            <w:vAlign w:val="center"/>
            <w:hideMark/>
          </w:tcPr>
          <w:p w14:paraId="148CC8BE" w14:textId="77777777" w:rsidR="00363287" w:rsidRPr="00614ED2" w:rsidRDefault="00363287" w:rsidP="00696E8F">
            <w:pPr>
              <w:rPr>
                <w:rFonts w:cs="Arial"/>
                <w:color w:val="000000"/>
              </w:rPr>
            </w:pPr>
            <w:r w:rsidRPr="00614ED2">
              <w:rPr>
                <w:rFonts w:cs="Arial"/>
                <w:color w:val="000000"/>
              </w:rPr>
              <w:t>0D1607B</w:t>
            </w:r>
          </w:p>
        </w:tc>
        <w:tc>
          <w:tcPr>
            <w:tcW w:w="7560" w:type="dxa"/>
            <w:noWrap/>
            <w:vAlign w:val="center"/>
            <w:hideMark/>
          </w:tcPr>
          <w:p w14:paraId="77FDE7FA" w14:textId="77777777" w:rsidR="00363287" w:rsidRPr="00614ED2" w:rsidRDefault="00363287" w:rsidP="00696E8F">
            <w:pPr>
              <w:rPr>
                <w:rFonts w:cs="Arial"/>
                <w:color w:val="000000"/>
              </w:rPr>
            </w:pPr>
            <w:r w:rsidRPr="00614ED2">
              <w:rPr>
                <w:rFonts w:cs="Arial"/>
                <w:color w:val="000000"/>
              </w:rPr>
              <w:t>Bypass Stomach to Ileum with Autologous Tissue Substitute, Open Approach</w:t>
            </w:r>
          </w:p>
        </w:tc>
      </w:tr>
      <w:tr w:rsidR="008530D5" w:rsidRPr="00614ED2" w14:paraId="3AB81E18" w14:textId="77777777" w:rsidTr="009617F5">
        <w:trPr>
          <w:trHeight w:val="300"/>
        </w:trPr>
        <w:tc>
          <w:tcPr>
            <w:tcW w:w="1872" w:type="dxa"/>
            <w:noWrap/>
            <w:vAlign w:val="bottom"/>
          </w:tcPr>
          <w:p w14:paraId="61E58368" w14:textId="0D33E72E" w:rsidR="008530D5" w:rsidRPr="00614ED2" w:rsidRDefault="008530D5" w:rsidP="008530D5">
            <w:pPr>
              <w:rPr>
                <w:rFonts w:cs="Arial"/>
                <w:color w:val="000000"/>
              </w:rPr>
            </w:pPr>
            <w:r w:rsidRPr="001C4276">
              <w:rPr>
                <w:rFonts w:cstheme="minorHAnsi"/>
                <w:color w:val="000000"/>
              </w:rPr>
              <w:t>0D160J9</w:t>
            </w:r>
          </w:p>
        </w:tc>
        <w:tc>
          <w:tcPr>
            <w:tcW w:w="7560" w:type="dxa"/>
            <w:noWrap/>
            <w:vAlign w:val="bottom"/>
          </w:tcPr>
          <w:p w14:paraId="3CEF12FC" w14:textId="1B3879D3" w:rsidR="008530D5" w:rsidRPr="00614ED2" w:rsidRDefault="008530D5" w:rsidP="008530D5">
            <w:pPr>
              <w:rPr>
                <w:rFonts w:cs="Arial"/>
                <w:color w:val="000000"/>
              </w:rPr>
            </w:pPr>
            <w:r w:rsidRPr="001C4276">
              <w:rPr>
                <w:rFonts w:cstheme="minorHAnsi"/>
                <w:color w:val="000000"/>
              </w:rPr>
              <w:t>Bypass Stomach to Duodenum with Synthetic Substitute, Open Approach</w:t>
            </w:r>
          </w:p>
        </w:tc>
      </w:tr>
      <w:tr w:rsidR="008530D5" w:rsidRPr="00614ED2" w14:paraId="28F778EC" w14:textId="77777777" w:rsidTr="009617F5">
        <w:trPr>
          <w:trHeight w:val="300"/>
        </w:trPr>
        <w:tc>
          <w:tcPr>
            <w:tcW w:w="1872" w:type="dxa"/>
            <w:noWrap/>
            <w:vAlign w:val="bottom"/>
          </w:tcPr>
          <w:p w14:paraId="4F633E2B" w14:textId="60A64A46" w:rsidR="008530D5" w:rsidRPr="00614ED2" w:rsidRDefault="008530D5" w:rsidP="008530D5">
            <w:pPr>
              <w:rPr>
                <w:rFonts w:cs="Arial"/>
                <w:color w:val="000000"/>
              </w:rPr>
            </w:pPr>
            <w:r w:rsidRPr="001C4276">
              <w:rPr>
                <w:rFonts w:cstheme="minorHAnsi"/>
                <w:color w:val="000000"/>
              </w:rPr>
              <w:t>0D160JA</w:t>
            </w:r>
          </w:p>
        </w:tc>
        <w:tc>
          <w:tcPr>
            <w:tcW w:w="7560" w:type="dxa"/>
            <w:noWrap/>
            <w:vAlign w:val="bottom"/>
          </w:tcPr>
          <w:p w14:paraId="2D54CADE" w14:textId="667C493A" w:rsidR="008530D5" w:rsidRPr="00614ED2" w:rsidRDefault="008530D5" w:rsidP="008530D5">
            <w:pPr>
              <w:rPr>
                <w:rFonts w:cs="Arial"/>
                <w:color w:val="000000"/>
              </w:rPr>
            </w:pPr>
            <w:r w:rsidRPr="001C4276">
              <w:rPr>
                <w:rFonts w:cstheme="minorHAnsi"/>
                <w:color w:val="000000"/>
              </w:rPr>
              <w:t>Bypass Stomach to Jejunum with Synthetic Substitute, Open Approach</w:t>
            </w:r>
          </w:p>
        </w:tc>
      </w:tr>
      <w:tr w:rsidR="008530D5" w:rsidRPr="00614ED2" w14:paraId="5E314674" w14:textId="77777777" w:rsidTr="009617F5">
        <w:trPr>
          <w:trHeight w:val="300"/>
        </w:trPr>
        <w:tc>
          <w:tcPr>
            <w:tcW w:w="1872" w:type="dxa"/>
            <w:noWrap/>
            <w:vAlign w:val="bottom"/>
          </w:tcPr>
          <w:p w14:paraId="24D31705" w14:textId="49122231" w:rsidR="008530D5" w:rsidRPr="00614ED2" w:rsidRDefault="008530D5" w:rsidP="008530D5">
            <w:pPr>
              <w:rPr>
                <w:rFonts w:cs="Arial"/>
                <w:color w:val="000000"/>
              </w:rPr>
            </w:pPr>
            <w:r w:rsidRPr="001C4276">
              <w:rPr>
                <w:rFonts w:cstheme="minorHAnsi"/>
                <w:color w:val="000000"/>
              </w:rPr>
              <w:t>0D160JB</w:t>
            </w:r>
          </w:p>
        </w:tc>
        <w:tc>
          <w:tcPr>
            <w:tcW w:w="7560" w:type="dxa"/>
            <w:noWrap/>
            <w:vAlign w:val="bottom"/>
          </w:tcPr>
          <w:p w14:paraId="5126F27B" w14:textId="57B68FC2" w:rsidR="008530D5" w:rsidRPr="00614ED2" w:rsidRDefault="008530D5" w:rsidP="008530D5">
            <w:pPr>
              <w:rPr>
                <w:rFonts w:cs="Arial"/>
                <w:color w:val="000000"/>
              </w:rPr>
            </w:pPr>
            <w:r w:rsidRPr="001C4276">
              <w:rPr>
                <w:rFonts w:cstheme="minorHAnsi"/>
                <w:color w:val="000000"/>
              </w:rPr>
              <w:t>Bypass Stomach to Ileum with Synthetic Substitute, Open Approach</w:t>
            </w:r>
          </w:p>
        </w:tc>
      </w:tr>
      <w:tr w:rsidR="008530D5" w:rsidRPr="00614ED2" w14:paraId="4D7620AE" w14:textId="77777777" w:rsidTr="009617F5">
        <w:trPr>
          <w:trHeight w:val="300"/>
        </w:trPr>
        <w:tc>
          <w:tcPr>
            <w:tcW w:w="1872" w:type="dxa"/>
            <w:noWrap/>
            <w:vAlign w:val="bottom"/>
          </w:tcPr>
          <w:p w14:paraId="7DAA4CD8" w14:textId="11B5FD24" w:rsidR="008530D5" w:rsidRPr="00614ED2" w:rsidRDefault="008530D5" w:rsidP="008530D5">
            <w:pPr>
              <w:rPr>
                <w:rFonts w:cs="Arial"/>
                <w:color w:val="000000"/>
              </w:rPr>
            </w:pPr>
            <w:r w:rsidRPr="001C4276">
              <w:rPr>
                <w:rFonts w:cstheme="minorHAnsi"/>
                <w:color w:val="000000"/>
              </w:rPr>
              <w:t>0D160K9</w:t>
            </w:r>
          </w:p>
        </w:tc>
        <w:tc>
          <w:tcPr>
            <w:tcW w:w="7560" w:type="dxa"/>
            <w:noWrap/>
            <w:vAlign w:val="bottom"/>
          </w:tcPr>
          <w:p w14:paraId="0952EDB6" w14:textId="0DBD04A1" w:rsidR="008530D5" w:rsidRPr="00614ED2" w:rsidRDefault="008530D5" w:rsidP="008530D5">
            <w:pPr>
              <w:rPr>
                <w:rFonts w:cs="Arial"/>
                <w:color w:val="000000"/>
              </w:rPr>
            </w:pPr>
            <w:r w:rsidRPr="001C4276">
              <w:rPr>
                <w:rFonts w:cstheme="minorHAnsi"/>
                <w:color w:val="000000"/>
              </w:rPr>
              <w:t>Bypass Stomach to Duodenum with Nonautologous Tissue Substitute, Open Approach</w:t>
            </w:r>
          </w:p>
        </w:tc>
      </w:tr>
      <w:tr w:rsidR="008530D5" w:rsidRPr="00614ED2" w14:paraId="3F3EC31F" w14:textId="77777777" w:rsidTr="009617F5">
        <w:trPr>
          <w:trHeight w:val="300"/>
        </w:trPr>
        <w:tc>
          <w:tcPr>
            <w:tcW w:w="1872" w:type="dxa"/>
            <w:noWrap/>
            <w:vAlign w:val="bottom"/>
          </w:tcPr>
          <w:p w14:paraId="0E62A9A5" w14:textId="276750F5" w:rsidR="008530D5" w:rsidRPr="00614ED2" w:rsidRDefault="008530D5" w:rsidP="008530D5">
            <w:pPr>
              <w:rPr>
                <w:rFonts w:cs="Arial"/>
                <w:color w:val="000000"/>
              </w:rPr>
            </w:pPr>
            <w:r w:rsidRPr="001C4276">
              <w:rPr>
                <w:rFonts w:cstheme="minorHAnsi"/>
                <w:color w:val="000000"/>
              </w:rPr>
              <w:t>0D160KA</w:t>
            </w:r>
          </w:p>
        </w:tc>
        <w:tc>
          <w:tcPr>
            <w:tcW w:w="7560" w:type="dxa"/>
            <w:noWrap/>
            <w:vAlign w:val="bottom"/>
          </w:tcPr>
          <w:p w14:paraId="7A12D33D" w14:textId="419990E2" w:rsidR="008530D5" w:rsidRPr="00614ED2" w:rsidRDefault="008530D5" w:rsidP="008530D5">
            <w:pPr>
              <w:rPr>
                <w:rFonts w:cs="Arial"/>
                <w:color w:val="000000"/>
              </w:rPr>
            </w:pPr>
            <w:r w:rsidRPr="001C4276">
              <w:rPr>
                <w:rFonts w:cstheme="minorHAnsi"/>
                <w:color w:val="000000"/>
              </w:rPr>
              <w:t>Bypass Stomach to Jejunum with Nonautologous Tissue Substitute, Open Approach</w:t>
            </w:r>
          </w:p>
        </w:tc>
      </w:tr>
      <w:tr w:rsidR="008530D5" w:rsidRPr="00614ED2" w14:paraId="192E13F9" w14:textId="77777777" w:rsidTr="009617F5">
        <w:trPr>
          <w:trHeight w:val="300"/>
        </w:trPr>
        <w:tc>
          <w:tcPr>
            <w:tcW w:w="1872" w:type="dxa"/>
            <w:noWrap/>
            <w:vAlign w:val="bottom"/>
          </w:tcPr>
          <w:p w14:paraId="2CF549C5" w14:textId="3B580BB0" w:rsidR="008530D5" w:rsidRPr="00614ED2" w:rsidRDefault="008530D5" w:rsidP="008530D5">
            <w:pPr>
              <w:rPr>
                <w:rFonts w:cs="Arial"/>
                <w:color w:val="000000"/>
              </w:rPr>
            </w:pPr>
            <w:r w:rsidRPr="001C4276">
              <w:rPr>
                <w:rFonts w:cstheme="minorHAnsi"/>
                <w:color w:val="000000"/>
              </w:rPr>
              <w:t>0D160KB</w:t>
            </w:r>
          </w:p>
        </w:tc>
        <w:tc>
          <w:tcPr>
            <w:tcW w:w="7560" w:type="dxa"/>
            <w:noWrap/>
            <w:vAlign w:val="bottom"/>
          </w:tcPr>
          <w:p w14:paraId="591BC3A9" w14:textId="3BC533C2" w:rsidR="008530D5" w:rsidRPr="00614ED2" w:rsidRDefault="008530D5" w:rsidP="008530D5">
            <w:pPr>
              <w:rPr>
                <w:rFonts w:cs="Arial"/>
                <w:color w:val="000000"/>
              </w:rPr>
            </w:pPr>
            <w:r w:rsidRPr="001C4276">
              <w:rPr>
                <w:rFonts w:cstheme="minorHAnsi"/>
                <w:color w:val="000000"/>
              </w:rPr>
              <w:t>Bypass Stomach to Ileum with Nonautologous Tissue Substitute, Open Approach</w:t>
            </w:r>
          </w:p>
        </w:tc>
      </w:tr>
      <w:tr w:rsidR="00363287" w:rsidRPr="00614ED2" w14:paraId="1EF5DB12" w14:textId="77777777" w:rsidTr="00696E8F">
        <w:trPr>
          <w:trHeight w:val="300"/>
        </w:trPr>
        <w:tc>
          <w:tcPr>
            <w:tcW w:w="1872" w:type="dxa"/>
            <w:noWrap/>
            <w:vAlign w:val="center"/>
            <w:hideMark/>
          </w:tcPr>
          <w:p w14:paraId="7D067118" w14:textId="77777777" w:rsidR="00363287" w:rsidRPr="00614ED2" w:rsidRDefault="00363287" w:rsidP="00696E8F">
            <w:pPr>
              <w:rPr>
                <w:rFonts w:cs="Arial"/>
                <w:color w:val="000000"/>
              </w:rPr>
            </w:pPr>
            <w:r w:rsidRPr="00614ED2">
              <w:rPr>
                <w:rFonts w:cs="Arial"/>
                <w:color w:val="000000"/>
              </w:rPr>
              <w:t>0D160Z9</w:t>
            </w:r>
          </w:p>
        </w:tc>
        <w:tc>
          <w:tcPr>
            <w:tcW w:w="7560" w:type="dxa"/>
            <w:noWrap/>
            <w:vAlign w:val="center"/>
            <w:hideMark/>
          </w:tcPr>
          <w:p w14:paraId="7B2D968F" w14:textId="7B0FDF97" w:rsidR="00363287" w:rsidRPr="00614ED2" w:rsidRDefault="00363287" w:rsidP="00696E8F">
            <w:pPr>
              <w:rPr>
                <w:rFonts w:cs="Arial"/>
                <w:color w:val="000000"/>
              </w:rPr>
            </w:pPr>
            <w:r w:rsidRPr="00614ED2">
              <w:rPr>
                <w:rFonts w:cs="Arial"/>
                <w:color w:val="000000"/>
              </w:rPr>
              <w:t>Bypass Stomach to Duodenum, Open Approach</w:t>
            </w:r>
          </w:p>
        </w:tc>
      </w:tr>
      <w:tr w:rsidR="00363287" w:rsidRPr="00614ED2" w14:paraId="07ED4C07" w14:textId="77777777" w:rsidTr="00696E8F">
        <w:trPr>
          <w:trHeight w:val="300"/>
        </w:trPr>
        <w:tc>
          <w:tcPr>
            <w:tcW w:w="1872" w:type="dxa"/>
            <w:noWrap/>
            <w:vAlign w:val="center"/>
            <w:hideMark/>
          </w:tcPr>
          <w:p w14:paraId="58E20366" w14:textId="77777777" w:rsidR="00363287" w:rsidRPr="00614ED2" w:rsidRDefault="00363287" w:rsidP="00696E8F">
            <w:pPr>
              <w:rPr>
                <w:rFonts w:cs="Arial"/>
                <w:color w:val="000000"/>
              </w:rPr>
            </w:pPr>
            <w:r w:rsidRPr="00614ED2">
              <w:rPr>
                <w:rFonts w:cs="Arial"/>
                <w:color w:val="000000"/>
              </w:rPr>
              <w:t>0D160ZA</w:t>
            </w:r>
          </w:p>
        </w:tc>
        <w:tc>
          <w:tcPr>
            <w:tcW w:w="7560" w:type="dxa"/>
            <w:noWrap/>
            <w:vAlign w:val="center"/>
            <w:hideMark/>
          </w:tcPr>
          <w:p w14:paraId="71A9534B" w14:textId="77777777" w:rsidR="00363287" w:rsidRPr="00614ED2" w:rsidRDefault="00363287" w:rsidP="00696E8F">
            <w:pPr>
              <w:rPr>
                <w:rFonts w:cs="Arial"/>
                <w:color w:val="000000"/>
              </w:rPr>
            </w:pPr>
            <w:r w:rsidRPr="00614ED2">
              <w:rPr>
                <w:rFonts w:cs="Arial"/>
                <w:color w:val="000000"/>
              </w:rPr>
              <w:t>Bypass Stomach to Jejunum, Open Approach</w:t>
            </w:r>
          </w:p>
        </w:tc>
      </w:tr>
      <w:tr w:rsidR="00363287" w:rsidRPr="00614ED2" w14:paraId="5E2B51A2" w14:textId="77777777" w:rsidTr="00696E8F">
        <w:trPr>
          <w:trHeight w:val="300"/>
        </w:trPr>
        <w:tc>
          <w:tcPr>
            <w:tcW w:w="1872" w:type="dxa"/>
            <w:noWrap/>
            <w:vAlign w:val="center"/>
            <w:hideMark/>
          </w:tcPr>
          <w:p w14:paraId="358A4BAF" w14:textId="77777777" w:rsidR="00363287" w:rsidRPr="00614ED2" w:rsidRDefault="00363287" w:rsidP="00696E8F">
            <w:pPr>
              <w:rPr>
                <w:rFonts w:cs="Arial"/>
                <w:color w:val="000000"/>
              </w:rPr>
            </w:pPr>
            <w:r w:rsidRPr="00614ED2">
              <w:rPr>
                <w:rFonts w:cs="Arial"/>
                <w:color w:val="000000"/>
              </w:rPr>
              <w:t>0D160ZB</w:t>
            </w:r>
          </w:p>
        </w:tc>
        <w:tc>
          <w:tcPr>
            <w:tcW w:w="7560" w:type="dxa"/>
            <w:noWrap/>
            <w:vAlign w:val="center"/>
            <w:hideMark/>
          </w:tcPr>
          <w:p w14:paraId="158659AF" w14:textId="77777777" w:rsidR="00363287" w:rsidRPr="00614ED2" w:rsidRDefault="00363287" w:rsidP="00696E8F">
            <w:pPr>
              <w:rPr>
                <w:rFonts w:cs="Arial"/>
                <w:color w:val="000000"/>
              </w:rPr>
            </w:pPr>
            <w:r w:rsidRPr="00614ED2">
              <w:rPr>
                <w:rFonts w:cs="Arial"/>
                <w:color w:val="000000"/>
              </w:rPr>
              <w:t>Bypass Stomach to Ileum, Open Approach</w:t>
            </w:r>
          </w:p>
        </w:tc>
      </w:tr>
      <w:tr w:rsidR="00363287" w:rsidRPr="00614ED2" w14:paraId="3357D808" w14:textId="77777777" w:rsidTr="00696E8F">
        <w:trPr>
          <w:trHeight w:val="300"/>
        </w:trPr>
        <w:tc>
          <w:tcPr>
            <w:tcW w:w="1872" w:type="dxa"/>
            <w:noWrap/>
            <w:vAlign w:val="center"/>
            <w:hideMark/>
          </w:tcPr>
          <w:p w14:paraId="3EE7A37F" w14:textId="77777777" w:rsidR="00363287" w:rsidRPr="00614ED2" w:rsidRDefault="00363287" w:rsidP="00696E8F">
            <w:pPr>
              <w:rPr>
                <w:rFonts w:cs="Arial"/>
                <w:color w:val="000000"/>
              </w:rPr>
            </w:pPr>
            <w:r w:rsidRPr="00614ED2">
              <w:rPr>
                <w:rFonts w:cs="Arial"/>
                <w:color w:val="000000"/>
              </w:rPr>
              <w:t>0D16479</w:t>
            </w:r>
          </w:p>
        </w:tc>
        <w:tc>
          <w:tcPr>
            <w:tcW w:w="7560" w:type="dxa"/>
            <w:noWrap/>
            <w:vAlign w:val="center"/>
            <w:hideMark/>
          </w:tcPr>
          <w:p w14:paraId="57780B56" w14:textId="77777777" w:rsidR="00363287" w:rsidRPr="00614ED2" w:rsidRDefault="00363287" w:rsidP="00696E8F">
            <w:pPr>
              <w:rPr>
                <w:rFonts w:cs="Arial"/>
                <w:color w:val="000000"/>
              </w:rPr>
            </w:pPr>
            <w:r w:rsidRPr="00614ED2">
              <w:rPr>
                <w:rFonts w:cs="Arial"/>
                <w:color w:val="000000"/>
              </w:rPr>
              <w:t>Bypass Stomach to Duodenum with Autologous Tissue Substitute, Percutaneous Endoscopic Approach</w:t>
            </w:r>
          </w:p>
        </w:tc>
      </w:tr>
      <w:tr w:rsidR="00363287" w:rsidRPr="00614ED2" w14:paraId="31542BA5" w14:textId="77777777" w:rsidTr="00696E8F">
        <w:trPr>
          <w:trHeight w:val="300"/>
        </w:trPr>
        <w:tc>
          <w:tcPr>
            <w:tcW w:w="1872" w:type="dxa"/>
            <w:noWrap/>
            <w:vAlign w:val="center"/>
            <w:hideMark/>
          </w:tcPr>
          <w:p w14:paraId="4C077310" w14:textId="77777777" w:rsidR="00363287" w:rsidRPr="00614ED2" w:rsidRDefault="00363287" w:rsidP="00696E8F">
            <w:pPr>
              <w:rPr>
                <w:rFonts w:cs="Arial"/>
                <w:color w:val="000000"/>
              </w:rPr>
            </w:pPr>
            <w:r w:rsidRPr="00614ED2">
              <w:rPr>
                <w:rFonts w:cs="Arial"/>
                <w:color w:val="000000"/>
              </w:rPr>
              <w:t>0D1647A</w:t>
            </w:r>
          </w:p>
        </w:tc>
        <w:tc>
          <w:tcPr>
            <w:tcW w:w="7560" w:type="dxa"/>
            <w:noWrap/>
            <w:vAlign w:val="center"/>
            <w:hideMark/>
          </w:tcPr>
          <w:p w14:paraId="54D60394" w14:textId="77777777" w:rsidR="00363287" w:rsidRPr="00614ED2" w:rsidRDefault="00363287" w:rsidP="00696E8F">
            <w:pPr>
              <w:rPr>
                <w:rFonts w:cs="Arial"/>
                <w:color w:val="000000"/>
              </w:rPr>
            </w:pPr>
            <w:r w:rsidRPr="00614ED2">
              <w:rPr>
                <w:rFonts w:cs="Arial"/>
                <w:color w:val="000000"/>
              </w:rPr>
              <w:t>Bypass Stomach to Jejunum with Autologous Tissue Substitute, Percutaneous Endoscopic Approach</w:t>
            </w:r>
          </w:p>
        </w:tc>
      </w:tr>
      <w:tr w:rsidR="00363287" w:rsidRPr="00614ED2" w14:paraId="405A6FE9" w14:textId="77777777" w:rsidTr="00696E8F">
        <w:trPr>
          <w:trHeight w:val="300"/>
        </w:trPr>
        <w:tc>
          <w:tcPr>
            <w:tcW w:w="1872" w:type="dxa"/>
            <w:noWrap/>
            <w:vAlign w:val="center"/>
            <w:hideMark/>
          </w:tcPr>
          <w:p w14:paraId="051B1B7B" w14:textId="77777777" w:rsidR="00363287" w:rsidRPr="00614ED2" w:rsidRDefault="00363287" w:rsidP="00696E8F">
            <w:pPr>
              <w:rPr>
                <w:rFonts w:cs="Arial"/>
                <w:color w:val="000000"/>
              </w:rPr>
            </w:pPr>
            <w:r w:rsidRPr="00614ED2">
              <w:rPr>
                <w:rFonts w:cs="Arial"/>
                <w:color w:val="000000"/>
              </w:rPr>
              <w:t>0D1647B</w:t>
            </w:r>
          </w:p>
        </w:tc>
        <w:tc>
          <w:tcPr>
            <w:tcW w:w="7560" w:type="dxa"/>
            <w:noWrap/>
            <w:vAlign w:val="center"/>
            <w:hideMark/>
          </w:tcPr>
          <w:p w14:paraId="7BF9FC8C" w14:textId="77777777" w:rsidR="00363287" w:rsidRPr="00614ED2" w:rsidRDefault="00363287" w:rsidP="00696E8F">
            <w:pPr>
              <w:rPr>
                <w:rFonts w:cs="Arial"/>
                <w:color w:val="000000"/>
              </w:rPr>
            </w:pPr>
            <w:r w:rsidRPr="00614ED2">
              <w:rPr>
                <w:rFonts w:cs="Arial"/>
                <w:color w:val="000000"/>
              </w:rPr>
              <w:t>Bypass Stomach to Ileum with Autologous Tissue Substitute, Percutaneous Endoscopic Approach</w:t>
            </w:r>
          </w:p>
        </w:tc>
      </w:tr>
      <w:tr w:rsidR="003E1F5B" w:rsidRPr="00614ED2" w14:paraId="1A093B00" w14:textId="77777777" w:rsidTr="009617F5">
        <w:trPr>
          <w:trHeight w:val="300"/>
        </w:trPr>
        <w:tc>
          <w:tcPr>
            <w:tcW w:w="1872" w:type="dxa"/>
            <w:noWrap/>
            <w:vAlign w:val="bottom"/>
          </w:tcPr>
          <w:p w14:paraId="293B0704" w14:textId="229B5228" w:rsidR="003E1F5B" w:rsidRPr="00614ED2" w:rsidRDefault="003E1F5B" w:rsidP="003E1F5B">
            <w:pPr>
              <w:rPr>
                <w:rFonts w:cs="Arial"/>
                <w:color w:val="000000"/>
              </w:rPr>
            </w:pPr>
            <w:r w:rsidRPr="001C4276">
              <w:rPr>
                <w:rFonts w:cstheme="minorHAnsi"/>
                <w:color w:val="000000"/>
              </w:rPr>
              <w:t>0D164J9</w:t>
            </w:r>
          </w:p>
        </w:tc>
        <w:tc>
          <w:tcPr>
            <w:tcW w:w="7560" w:type="dxa"/>
            <w:noWrap/>
            <w:vAlign w:val="bottom"/>
          </w:tcPr>
          <w:p w14:paraId="5888FAC5" w14:textId="3BAB7E8E" w:rsidR="003E1F5B" w:rsidRPr="00614ED2" w:rsidRDefault="003E1F5B" w:rsidP="003E1F5B">
            <w:pPr>
              <w:rPr>
                <w:rFonts w:cs="Arial"/>
                <w:color w:val="000000"/>
              </w:rPr>
            </w:pPr>
            <w:r w:rsidRPr="001C4276">
              <w:rPr>
                <w:rFonts w:cstheme="minorHAnsi"/>
                <w:color w:val="000000"/>
              </w:rPr>
              <w:t>Bypass Stomach to Duodenum with Synthetic Substitute, Percutaneous Endoscopic Approach</w:t>
            </w:r>
          </w:p>
        </w:tc>
      </w:tr>
      <w:tr w:rsidR="003E1F5B" w:rsidRPr="00614ED2" w14:paraId="2FD8BDCB" w14:textId="77777777" w:rsidTr="009617F5">
        <w:trPr>
          <w:trHeight w:val="300"/>
        </w:trPr>
        <w:tc>
          <w:tcPr>
            <w:tcW w:w="1872" w:type="dxa"/>
            <w:noWrap/>
            <w:vAlign w:val="bottom"/>
          </w:tcPr>
          <w:p w14:paraId="18643177" w14:textId="3D22E600" w:rsidR="003E1F5B" w:rsidRPr="00614ED2" w:rsidRDefault="003E1F5B" w:rsidP="003E1F5B">
            <w:pPr>
              <w:rPr>
                <w:rFonts w:cs="Arial"/>
                <w:color w:val="000000"/>
              </w:rPr>
            </w:pPr>
            <w:r w:rsidRPr="001C4276">
              <w:rPr>
                <w:rFonts w:cstheme="minorHAnsi"/>
                <w:color w:val="000000"/>
              </w:rPr>
              <w:t>0D164JA</w:t>
            </w:r>
          </w:p>
        </w:tc>
        <w:tc>
          <w:tcPr>
            <w:tcW w:w="7560" w:type="dxa"/>
            <w:noWrap/>
            <w:vAlign w:val="bottom"/>
          </w:tcPr>
          <w:p w14:paraId="56CA7433" w14:textId="7EDE74B9" w:rsidR="003E1F5B" w:rsidRPr="00614ED2" w:rsidRDefault="003E1F5B" w:rsidP="003E1F5B">
            <w:pPr>
              <w:rPr>
                <w:rFonts w:cs="Arial"/>
                <w:color w:val="000000"/>
              </w:rPr>
            </w:pPr>
            <w:r w:rsidRPr="001C4276">
              <w:rPr>
                <w:rFonts w:cstheme="minorHAnsi"/>
                <w:color w:val="000000"/>
              </w:rPr>
              <w:t>Bypass Stomach to Jejunum with Synthetic Substitute, Percutaneous Endoscopic Approach</w:t>
            </w:r>
          </w:p>
        </w:tc>
      </w:tr>
      <w:tr w:rsidR="003E1F5B" w:rsidRPr="00614ED2" w14:paraId="75DE8447" w14:textId="77777777" w:rsidTr="009617F5">
        <w:trPr>
          <w:trHeight w:val="300"/>
        </w:trPr>
        <w:tc>
          <w:tcPr>
            <w:tcW w:w="1872" w:type="dxa"/>
            <w:noWrap/>
            <w:vAlign w:val="bottom"/>
          </w:tcPr>
          <w:p w14:paraId="40BD86AD" w14:textId="3730DE89" w:rsidR="003E1F5B" w:rsidRPr="00614ED2" w:rsidRDefault="003E1F5B" w:rsidP="003E1F5B">
            <w:pPr>
              <w:rPr>
                <w:rFonts w:cs="Arial"/>
                <w:color w:val="000000"/>
              </w:rPr>
            </w:pPr>
            <w:r w:rsidRPr="001C4276">
              <w:rPr>
                <w:rFonts w:cstheme="minorHAnsi"/>
                <w:color w:val="000000"/>
              </w:rPr>
              <w:t>0D164JB</w:t>
            </w:r>
          </w:p>
        </w:tc>
        <w:tc>
          <w:tcPr>
            <w:tcW w:w="7560" w:type="dxa"/>
            <w:noWrap/>
            <w:vAlign w:val="bottom"/>
          </w:tcPr>
          <w:p w14:paraId="41E47EBA" w14:textId="68D5F506" w:rsidR="003E1F5B" w:rsidRPr="00614ED2" w:rsidRDefault="003E1F5B" w:rsidP="003E1F5B">
            <w:pPr>
              <w:rPr>
                <w:rFonts w:cs="Arial"/>
                <w:color w:val="000000"/>
              </w:rPr>
            </w:pPr>
            <w:r w:rsidRPr="001C4276">
              <w:rPr>
                <w:rFonts w:cstheme="minorHAnsi"/>
                <w:color w:val="000000"/>
              </w:rPr>
              <w:t>Bypass Stomach to Ileum with Synthetic Substitute, Percutaneous Endoscopic Approach</w:t>
            </w:r>
          </w:p>
        </w:tc>
      </w:tr>
      <w:tr w:rsidR="003E1F5B" w:rsidRPr="00614ED2" w14:paraId="1B1E02E3" w14:textId="77777777" w:rsidTr="009617F5">
        <w:trPr>
          <w:trHeight w:val="300"/>
        </w:trPr>
        <w:tc>
          <w:tcPr>
            <w:tcW w:w="1872" w:type="dxa"/>
            <w:noWrap/>
            <w:vAlign w:val="bottom"/>
          </w:tcPr>
          <w:p w14:paraId="0AEEB6BA" w14:textId="7325DD6A" w:rsidR="003E1F5B" w:rsidRPr="00614ED2" w:rsidRDefault="003E1F5B" w:rsidP="003E1F5B">
            <w:pPr>
              <w:rPr>
                <w:rFonts w:cs="Arial"/>
                <w:color w:val="000000"/>
              </w:rPr>
            </w:pPr>
            <w:r w:rsidRPr="001C4276">
              <w:rPr>
                <w:rFonts w:cstheme="minorHAnsi"/>
                <w:color w:val="000000"/>
              </w:rPr>
              <w:t>0D164K9</w:t>
            </w:r>
          </w:p>
        </w:tc>
        <w:tc>
          <w:tcPr>
            <w:tcW w:w="7560" w:type="dxa"/>
            <w:noWrap/>
            <w:vAlign w:val="bottom"/>
          </w:tcPr>
          <w:p w14:paraId="02E4B5C5" w14:textId="0EAC1D7A" w:rsidR="003E1F5B" w:rsidRPr="00614ED2" w:rsidRDefault="003E1F5B" w:rsidP="003E1F5B">
            <w:pPr>
              <w:rPr>
                <w:rFonts w:cs="Arial"/>
                <w:color w:val="000000"/>
              </w:rPr>
            </w:pPr>
            <w:r w:rsidRPr="001C4276">
              <w:rPr>
                <w:rFonts w:cstheme="minorHAnsi"/>
                <w:color w:val="000000"/>
              </w:rPr>
              <w:t>Bypass Stomach to Duodenum with Nonautologous Tissue Substitute, Percutaneous Endoscopic Approach</w:t>
            </w:r>
          </w:p>
        </w:tc>
      </w:tr>
      <w:tr w:rsidR="003E1F5B" w:rsidRPr="00614ED2" w14:paraId="634FC502" w14:textId="77777777" w:rsidTr="009617F5">
        <w:trPr>
          <w:trHeight w:val="300"/>
        </w:trPr>
        <w:tc>
          <w:tcPr>
            <w:tcW w:w="1872" w:type="dxa"/>
            <w:noWrap/>
            <w:vAlign w:val="bottom"/>
          </w:tcPr>
          <w:p w14:paraId="3B60FB19" w14:textId="7BF38F6F" w:rsidR="003E1F5B" w:rsidRPr="00614ED2" w:rsidRDefault="003E1F5B" w:rsidP="003E1F5B">
            <w:pPr>
              <w:rPr>
                <w:rFonts w:cs="Arial"/>
                <w:color w:val="000000"/>
              </w:rPr>
            </w:pPr>
            <w:r w:rsidRPr="001C4276">
              <w:rPr>
                <w:rFonts w:cstheme="minorHAnsi"/>
                <w:color w:val="000000"/>
              </w:rPr>
              <w:t>0D164KA</w:t>
            </w:r>
          </w:p>
        </w:tc>
        <w:tc>
          <w:tcPr>
            <w:tcW w:w="7560" w:type="dxa"/>
            <w:noWrap/>
            <w:vAlign w:val="bottom"/>
          </w:tcPr>
          <w:p w14:paraId="128DC1C8" w14:textId="49D2856B" w:rsidR="003E1F5B" w:rsidRPr="00614ED2" w:rsidRDefault="003E1F5B" w:rsidP="003E1F5B">
            <w:pPr>
              <w:rPr>
                <w:rFonts w:cs="Arial"/>
                <w:color w:val="000000"/>
              </w:rPr>
            </w:pPr>
            <w:r w:rsidRPr="001C4276">
              <w:rPr>
                <w:rFonts w:cstheme="minorHAnsi"/>
                <w:color w:val="000000"/>
              </w:rPr>
              <w:t>Bypass Stomach to Jejunum with Nonautologous Tissue Substitute, Percutaneous Endoscopic Approach</w:t>
            </w:r>
          </w:p>
        </w:tc>
      </w:tr>
      <w:tr w:rsidR="003E1F5B" w:rsidRPr="00614ED2" w14:paraId="2BD2BDEC" w14:textId="77777777" w:rsidTr="009617F5">
        <w:trPr>
          <w:trHeight w:val="300"/>
        </w:trPr>
        <w:tc>
          <w:tcPr>
            <w:tcW w:w="1872" w:type="dxa"/>
            <w:noWrap/>
            <w:vAlign w:val="bottom"/>
          </w:tcPr>
          <w:p w14:paraId="1A21F958" w14:textId="2C552985" w:rsidR="003E1F5B" w:rsidRPr="00614ED2" w:rsidRDefault="003E1F5B" w:rsidP="003E1F5B">
            <w:pPr>
              <w:rPr>
                <w:rFonts w:cs="Arial"/>
                <w:color w:val="000000"/>
              </w:rPr>
            </w:pPr>
            <w:r w:rsidRPr="001C4276">
              <w:rPr>
                <w:rFonts w:cstheme="minorHAnsi"/>
                <w:color w:val="000000"/>
              </w:rPr>
              <w:lastRenderedPageBreak/>
              <w:t>0D164KB</w:t>
            </w:r>
          </w:p>
        </w:tc>
        <w:tc>
          <w:tcPr>
            <w:tcW w:w="7560" w:type="dxa"/>
            <w:noWrap/>
            <w:vAlign w:val="bottom"/>
          </w:tcPr>
          <w:p w14:paraId="2467591F" w14:textId="5A26B060" w:rsidR="003E1F5B" w:rsidRPr="00614ED2" w:rsidRDefault="003E1F5B" w:rsidP="003E1F5B">
            <w:pPr>
              <w:rPr>
                <w:rFonts w:cs="Arial"/>
                <w:color w:val="000000"/>
              </w:rPr>
            </w:pPr>
            <w:r w:rsidRPr="001C4276">
              <w:rPr>
                <w:rFonts w:cstheme="minorHAnsi"/>
                <w:color w:val="000000"/>
              </w:rPr>
              <w:t>Bypass Stomach to Ileum with Nonautologous Tissue Substitute, Percutaneous Endoscopic Approach</w:t>
            </w:r>
          </w:p>
        </w:tc>
      </w:tr>
      <w:tr w:rsidR="00363287" w:rsidRPr="00614ED2" w14:paraId="4516640A" w14:textId="77777777" w:rsidTr="00696E8F">
        <w:trPr>
          <w:trHeight w:val="300"/>
        </w:trPr>
        <w:tc>
          <w:tcPr>
            <w:tcW w:w="1872" w:type="dxa"/>
            <w:noWrap/>
            <w:vAlign w:val="center"/>
            <w:hideMark/>
          </w:tcPr>
          <w:p w14:paraId="68840A98" w14:textId="77777777" w:rsidR="00363287" w:rsidRPr="00614ED2" w:rsidRDefault="00363287" w:rsidP="00696E8F">
            <w:pPr>
              <w:rPr>
                <w:rFonts w:cs="Arial"/>
                <w:color w:val="000000"/>
              </w:rPr>
            </w:pPr>
            <w:r w:rsidRPr="00614ED2">
              <w:rPr>
                <w:rFonts w:cs="Arial"/>
                <w:color w:val="000000"/>
              </w:rPr>
              <w:t>0D164Z9</w:t>
            </w:r>
          </w:p>
        </w:tc>
        <w:tc>
          <w:tcPr>
            <w:tcW w:w="7560" w:type="dxa"/>
            <w:noWrap/>
            <w:vAlign w:val="center"/>
            <w:hideMark/>
          </w:tcPr>
          <w:p w14:paraId="2C9757F7" w14:textId="77777777" w:rsidR="00363287" w:rsidRPr="00614ED2" w:rsidRDefault="00363287" w:rsidP="00696E8F">
            <w:pPr>
              <w:rPr>
                <w:rFonts w:cs="Arial"/>
                <w:color w:val="000000"/>
              </w:rPr>
            </w:pPr>
            <w:r w:rsidRPr="00614ED2">
              <w:rPr>
                <w:rFonts w:cs="Arial"/>
                <w:color w:val="000000"/>
              </w:rPr>
              <w:t>Bypass Stomach to Duodenum, Percutaneous Endoscopic Approach</w:t>
            </w:r>
          </w:p>
        </w:tc>
      </w:tr>
      <w:tr w:rsidR="00363287" w:rsidRPr="00614ED2" w14:paraId="6E77CEE4" w14:textId="77777777" w:rsidTr="00696E8F">
        <w:trPr>
          <w:trHeight w:val="300"/>
        </w:trPr>
        <w:tc>
          <w:tcPr>
            <w:tcW w:w="1872" w:type="dxa"/>
            <w:noWrap/>
            <w:vAlign w:val="center"/>
            <w:hideMark/>
          </w:tcPr>
          <w:p w14:paraId="0708AE26" w14:textId="77777777" w:rsidR="00363287" w:rsidRPr="00614ED2" w:rsidRDefault="00363287" w:rsidP="00696E8F">
            <w:pPr>
              <w:rPr>
                <w:rFonts w:cs="Arial"/>
                <w:color w:val="000000"/>
              </w:rPr>
            </w:pPr>
            <w:r w:rsidRPr="00614ED2">
              <w:rPr>
                <w:rFonts w:cs="Arial"/>
                <w:color w:val="000000"/>
              </w:rPr>
              <w:t>0D164ZA</w:t>
            </w:r>
          </w:p>
        </w:tc>
        <w:tc>
          <w:tcPr>
            <w:tcW w:w="7560" w:type="dxa"/>
            <w:noWrap/>
            <w:vAlign w:val="center"/>
            <w:hideMark/>
          </w:tcPr>
          <w:p w14:paraId="730DAB76" w14:textId="77777777" w:rsidR="00363287" w:rsidRPr="00614ED2" w:rsidRDefault="00363287" w:rsidP="00696E8F">
            <w:pPr>
              <w:rPr>
                <w:rFonts w:cs="Arial"/>
                <w:color w:val="000000"/>
              </w:rPr>
            </w:pPr>
            <w:r w:rsidRPr="00614ED2">
              <w:rPr>
                <w:rFonts w:cs="Arial"/>
                <w:color w:val="000000"/>
              </w:rPr>
              <w:t>Bypass Stomach to Jejunum, Percutaneous Endoscopic Approach</w:t>
            </w:r>
          </w:p>
        </w:tc>
      </w:tr>
      <w:tr w:rsidR="00363287" w:rsidRPr="00614ED2" w14:paraId="492F77D5" w14:textId="77777777" w:rsidTr="00696E8F">
        <w:trPr>
          <w:trHeight w:val="300"/>
        </w:trPr>
        <w:tc>
          <w:tcPr>
            <w:tcW w:w="1872" w:type="dxa"/>
            <w:noWrap/>
            <w:vAlign w:val="center"/>
            <w:hideMark/>
          </w:tcPr>
          <w:p w14:paraId="0548F8F1" w14:textId="77777777" w:rsidR="00363287" w:rsidRPr="00614ED2" w:rsidRDefault="00363287" w:rsidP="00696E8F">
            <w:pPr>
              <w:rPr>
                <w:rFonts w:cs="Arial"/>
                <w:color w:val="000000"/>
              </w:rPr>
            </w:pPr>
            <w:r w:rsidRPr="00614ED2">
              <w:rPr>
                <w:rFonts w:cs="Arial"/>
                <w:color w:val="000000"/>
              </w:rPr>
              <w:t>0D164ZB</w:t>
            </w:r>
          </w:p>
        </w:tc>
        <w:tc>
          <w:tcPr>
            <w:tcW w:w="7560" w:type="dxa"/>
            <w:noWrap/>
            <w:vAlign w:val="center"/>
            <w:hideMark/>
          </w:tcPr>
          <w:p w14:paraId="5B82EF9E" w14:textId="77777777" w:rsidR="00363287" w:rsidRPr="00614ED2" w:rsidRDefault="00363287" w:rsidP="00696E8F">
            <w:pPr>
              <w:rPr>
                <w:rFonts w:cs="Arial"/>
                <w:color w:val="000000"/>
              </w:rPr>
            </w:pPr>
            <w:r w:rsidRPr="00614ED2">
              <w:rPr>
                <w:rFonts w:cs="Arial"/>
                <w:color w:val="000000"/>
              </w:rPr>
              <w:t>Bypass Stomach to Ileum, Percutaneous Endoscopic Approach</w:t>
            </w:r>
          </w:p>
        </w:tc>
      </w:tr>
      <w:tr w:rsidR="00375038" w:rsidRPr="00614ED2" w14:paraId="2307F937" w14:textId="77777777" w:rsidTr="009617F5">
        <w:trPr>
          <w:trHeight w:val="300"/>
        </w:trPr>
        <w:tc>
          <w:tcPr>
            <w:tcW w:w="1872" w:type="dxa"/>
            <w:noWrap/>
            <w:vAlign w:val="bottom"/>
          </w:tcPr>
          <w:p w14:paraId="01DBAD74" w14:textId="40DA95C6" w:rsidR="00375038" w:rsidRPr="00614ED2" w:rsidRDefault="00375038" w:rsidP="00375038">
            <w:pPr>
              <w:rPr>
                <w:rFonts w:cs="Arial"/>
                <w:color w:val="000000"/>
              </w:rPr>
            </w:pPr>
            <w:r w:rsidRPr="001C4276">
              <w:rPr>
                <w:rFonts w:cstheme="minorHAnsi"/>
                <w:color w:val="000000"/>
              </w:rPr>
              <w:t>0D16879</w:t>
            </w:r>
          </w:p>
        </w:tc>
        <w:tc>
          <w:tcPr>
            <w:tcW w:w="7560" w:type="dxa"/>
            <w:noWrap/>
            <w:vAlign w:val="bottom"/>
          </w:tcPr>
          <w:p w14:paraId="6399EC38" w14:textId="1CB0B0F6" w:rsidR="00375038" w:rsidRPr="00614ED2" w:rsidRDefault="00375038" w:rsidP="00375038">
            <w:pPr>
              <w:rPr>
                <w:rFonts w:cs="Arial"/>
                <w:color w:val="000000"/>
              </w:rPr>
            </w:pPr>
            <w:r w:rsidRPr="001C4276">
              <w:rPr>
                <w:rFonts w:cstheme="minorHAnsi"/>
                <w:color w:val="000000"/>
              </w:rPr>
              <w:t>Bypass Stomach to Duodenum with Autologous Tissue Substitute, Via Natural or Artificial Opening Endoscopic</w:t>
            </w:r>
          </w:p>
        </w:tc>
      </w:tr>
      <w:tr w:rsidR="00375038" w:rsidRPr="00614ED2" w14:paraId="2191E4E8" w14:textId="77777777" w:rsidTr="009617F5">
        <w:trPr>
          <w:trHeight w:val="300"/>
        </w:trPr>
        <w:tc>
          <w:tcPr>
            <w:tcW w:w="1872" w:type="dxa"/>
            <w:noWrap/>
            <w:vAlign w:val="bottom"/>
          </w:tcPr>
          <w:p w14:paraId="45129761" w14:textId="418193A6" w:rsidR="00375038" w:rsidRPr="00614ED2" w:rsidRDefault="00375038" w:rsidP="00375038">
            <w:pPr>
              <w:rPr>
                <w:rFonts w:cs="Arial"/>
                <w:color w:val="000000"/>
              </w:rPr>
            </w:pPr>
            <w:r w:rsidRPr="001C4276">
              <w:rPr>
                <w:rFonts w:cstheme="minorHAnsi"/>
                <w:color w:val="000000"/>
              </w:rPr>
              <w:t>0D1687A</w:t>
            </w:r>
          </w:p>
        </w:tc>
        <w:tc>
          <w:tcPr>
            <w:tcW w:w="7560" w:type="dxa"/>
            <w:noWrap/>
            <w:vAlign w:val="bottom"/>
          </w:tcPr>
          <w:p w14:paraId="754635FB" w14:textId="230A2FAF" w:rsidR="00375038" w:rsidRPr="00614ED2" w:rsidRDefault="00375038" w:rsidP="00375038">
            <w:pPr>
              <w:rPr>
                <w:rFonts w:cs="Arial"/>
                <w:color w:val="000000"/>
              </w:rPr>
            </w:pPr>
            <w:r w:rsidRPr="001C4276">
              <w:rPr>
                <w:rFonts w:cstheme="minorHAnsi"/>
                <w:color w:val="000000"/>
              </w:rPr>
              <w:t>Bypass Stomach to Jejunum with Autologous Tissue Substitute, Via Natural or Artificial Opening Endoscopic</w:t>
            </w:r>
          </w:p>
        </w:tc>
      </w:tr>
      <w:tr w:rsidR="00375038" w:rsidRPr="00614ED2" w14:paraId="353D577E" w14:textId="77777777" w:rsidTr="009617F5">
        <w:trPr>
          <w:trHeight w:val="300"/>
        </w:trPr>
        <w:tc>
          <w:tcPr>
            <w:tcW w:w="1872" w:type="dxa"/>
            <w:noWrap/>
            <w:vAlign w:val="bottom"/>
          </w:tcPr>
          <w:p w14:paraId="6EA5CEC3" w14:textId="58D40106" w:rsidR="00375038" w:rsidRPr="00614ED2" w:rsidRDefault="00375038" w:rsidP="00375038">
            <w:pPr>
              <w:rPr>
                <w:rFonts w:cs="Arial"/>
                <w:color w:val="000000"/>
              </w:rPr>
            </w:pPr>
            <w:r w:rsidRPr="001C4276">
              <w:rPr>
                <w:rFonts w:cstheme="minorHAnsi"/>
                <w:color w:val="000000"/>
              </w:rPr>
              <w:t>0D1687B</w:t>
            </w:r>
          </w:p>
        </w:tc>
        <w:tc>
          <w:tcPr>
            <w:tcW w:w="7560" w:type="dxa"/>
            <w:noWrap/>
            <w:vAlign w:val="bottom"/>
          </w:tcPr>
          <w:p w14:paraId="69F9F51D" w14:textId="583822B6" w:rsidR="00375038" w:rsidRPr="00614ED2" w:rsidRDefault="00375038" w:rsidP="00375038">
            <w:pPr>
              <w:rPr>
                <w:rFonts w:cs="Arial"/>
                <w:color w:val="000000"/>
              </w:rPr>
            </w:pPr>
            <w:r w:rsidRPr="001C4276">
              <w:rPr>
                <w:rFonts w:cstheme="minorHAnsi"/>
                <w:color w:val="000000"/>
              </w:rPr>
              <w:t>Bypass Stomach to Ileum with Autologous Tissue Substitute, Via Natural or Artificial Opening Endoscopic</w:t>
            </w:r>
          </w:p>
        </w:tc>
      </w:tr>
      <w:tr w:rsidR="00375038" w:rsidRPr="00614ED2" w14:paraId="342D8E1E" w14:textId="77777777" w:rsidTr="009617F5">
        <w:trPr>
          <w:trHeight w:val="300"/>
        </w:trPr>
        <w:tc>
          <w:tcPr>
            <w:tcW w:w="1872" w:type="dxa"/>
            <w:noWrap/>
            <w:vAlign w:val="bottom"/>
          </w:tcPr>
          <w:p w14:paraId="0A57DF2D" w14:textId="7C9890A8" w:rsidR="00375038" w:rsidRPr="00614ED2" w:rsidRDefault="00375038" w:rsidP="00375038">
            <w:pPr>
              <w:rPr>
                <w:rFonts w:cs="Arial"/>
                <w:color w:val="000000"/>
              </w:rPr>
            </w:pPr>
            <w:r w:rsidRPr="001C4276">
              <w:rPr>
                <w:rFonts w:cstheme="minorHAnsi"/>
                <w:color w:val="000000"/>
              </w:rPr>
              <w:t>0D168J9</w:t>
            </w:r>
          </w:p>
        </w:tc>
        <w:tc>
          <w:tcPr>
            <w:tcW w:w="7560" w:type="dxa"/>
            <w:noWrap/>
            <w:vAlign w:val="bottom"/>
          </w:tcPr>
          <w:p w14:paraId="6819786B" w14:textId="03F2767E" w:rsidR="00375038" w:rsidRPr="00614ED2" w:rsidRDefault="00375038" w:rsidP="00375038">
            <w:pPr>
              <w:rPr>
                <w:rFonts w:cs="Arial"/>
                <w:color w:val="000000"/>
              </w:rPr>
            </w:pPr>
            <w:r w:rsidRPr="001C4276">
              <w:rPr>
                <w:rFonts w:cstheme="minorHAnsi"/>
                <w:color w:val="000000"/>
              </w:rPr>
              <w:t>Bypass Stomach to Duodenum with Synthetic Substitute, Via Natural or Artificial Opening Endoscopic</w:t>
            </w:r>
          </w:p>
        </w:tc>
      </w:tr>
      <w:tr w:rsidR="00375038" w:rsidRPr="00614ED2" w14:paraId="378C7BBA" w14:textId="77777777" w:rsidTr="009617F5">
        <w:trPr>
          <w:trHeight w:val="300"/>
        </w:trPr>
        <w:tc>
          <w:tcPr>
            <w:tcW w:w="1872" w:type="dxa"/>
            <w:noWrap/>
            <w:vAlign w:val="bottom"/>
          </w:tcPr>
          <w:p w14:paraId="4753276A" w14:textId="07B88430" w:rsidR="00375038" w:rsidRPr="00614ED2" w:rsidRDefault="00375038" w:rsidP="00375038">
            <w:pPr>
              <w:rPr>
                <w:rFonts w:cs="Arial"/>
                <w:color w:val="000000"/>
              </w:rPr>
            </w:pPr>
            <w:r w:rsidRPr="001C4276">
              <w:rPr>
                <w:rFonts w:cstheme="minorHAnsi"/>
                <w:color w:val="000000"/>
              </w:rPr>
              <w:t>0D168JA</w:t>
            </w:r>
          </w:p>
        </w:tc>
        <w:tc>
          <w:tcPr>
            <w:tcW w:w="7560" w:type="dxa"/>
            <w:noWrap/>
            <w:vAlign w:val="bottom"/>
          </w:tcPr>
          <w:p w14:paraId="5C1BF4D5" w14:textId="4CB3D2B2" w:rsidR="00375038" w:rsidRPr="00614ED2" w:rsidRDefault="00375038" w:rsidP="00375038">
            <w:pPr>
              <w:rPr>
                <w:rFonts w:cs="Arial"/>
                <w:color w:val="000000"/>
              </w:rPr>
            </w:pPr>
            <w:r w:rsidRPr="001C4276">
              <w:rPr>
                <w:rFonts w:cstheme="minorHAnsi"/>
                <w:color w:val="000000"/>
              </w:rPr>
              <w:t>Bypass Stomach to Jejunum with Synthetic Substitute, Via Natural or Artificial Opening Endoscopic</w:t>
            </w:r>
          </w:p>
        </w:tc>
      </w:tr>
      <w:tr w:rsidR="00375038" w:rsidRPr="00614ED2" w14:paraId="25D0F083" w14:textId="77777777" w:rsidTr="009617F5">
        <w:trPr>
          <w:trHeight w:val="300"/>
        </w:trPr>
        <w:tc>
          <w:tcPr>
            <w:tcW w:w="1872" w:type="dxa"/>
            <w:noWrap/>
            <w:vAlign w:val="bottom"/>
          </w:tcPr>
          <w:p w14:paraId="3A33D061" w14:textId="29A6C56A" w:rsidR="00375038" w:rsidRPr="00614ED2" w:rsidRDefault="00375038" w:rsidP="00375038">
            <w:pPr>
              <w:rPr>
                <w:rFonts w:cs="Arial"/>
                <w:color w:val="000000"/>
              </w:rPr>
            </w:pPr>
            <w:r w:rsidRPr="001C4276">
              <w:rPr>
                <w:rFonts w:cstheme="minorHAnsi"/>
                <w:color w:val="000000"/>
              </w:rPr>
              <w:t>0D168JB</w:t>
            </w:r>
          </w:p>
        </w:tc>
        <w:tc>
          <w:tcPr>
            <w:tcW w:w="7560" w:type="dxa"/>
            <w:noWrap/>
            <w:vAlign w:val="bottom"/>
          </w:tcPr>
          <w:p w14:paraId="70CDE4D7" w14:textId="7DF049AC" w:rsidR="00375038" w:rsidRPr="00614ED2" w:rsidRDefault="00375038" w:rsidP="00375038">
            <w:pPr>
              <w:rPr>
                <w:rFonts w:cs="Arial"/>
                <w:color w:val="000000"/>
              </w:rPr>
            </w:pPr>
            <w:r w:rsidRPr="001C4276">
              <w:rPr>
                <w:rFonts w:cstheme="minorHAnsi"/>
                <w:color w:val="000000"/>
              </w:rPr>
              <w:t>Bypass Stomach to Ileum with Synthetic Substitute, Via Natural or Artificial Opening Endoscopic</w:t>
            </w:r>
          </w:p>
        </w:tc>
      </w:tr>
      <w:tr w:rsidR="00375038" w:rsidRPr="00614ED2" w14:paraId="56CA34D0" w14:textId="77777777" w:rsidTr="009617F5">
        <w:trPr>
          <w:trHeight w:val="300"/>
        </w:trPr>
        <w:tc>
          <w:tcPr>
            <w:tcW w:w="1872" w:type="dxa"/>
            <w:noWrap/>
            <w:vAlign w:val="bottom"/>
          </w:tcPr>
          <w:p w14:paraId="325435EB" w14:textId="06474758" w:rsidR="00375038" w:rsidRPr="00614ED2" w:rsidRDefault="00375038" w:rsidP="00375038">
            <w:pPr>
              <w:rPr>
                <w:rFonts w:cs="Arial"/>
                <w:color w:val="000000"/>
              </w:rPr>
            </w:pPr>
            <w:r w:rsidRPr="001C4276">
              <w:rPr>
                <w:rFonts w:cstheme="minorHAnsi"/>
                <w:color w:val="000000"/>
              </w:rPr>
              <w:t>0D168K9</w:t>
            </w:r>
          </w:p>
        </w:tc>
        <w:tc>
          <w:tcPr>
            <w:tcW w:w="7560" w:type="dxa"/>
            <w:noWrap/>
            <w:vAlign w:val="bottom"/>
          </w:tcPr>
          <w:p w14:paraId="63A5480E" w14:textId="7788B82F" w:rsidR="00375038" w:rsidRPr="00614ED2" w:rsidRDefault="00375038" w:rsidP="00375038">
            <w:pPr>
              <w:rPr>
                <w:rFonts w:cs="Arial"/>
                <w:color w:val="000000"/>
              </w:rPr>
            </w:pPr>
            <w:r w:rsidRPr="001C4276">
              <w:rPr>
                <w:rFonts w:cstheme="minorHAnsi"/>
                <w:color w:val="000000"/>
              </w:rPr>
              <w:t>Bypass Stomach to Duodenum with Nonautologous Tissue Substitute, Via Natural or Artificial Opening Endoscopic</w:t>
            </w:r>
          </w:p>
        </w:tc>
      </w:tr>
      <w:tr w:rsidR="00375038" w:rsidRPr="00614ED2" w14:paraId="07953C20" w14:textId="77777777" w:rsidTr="009617F5">
        <w:trPr>
          <w:trHeight w:val="300"/>
        </w:trPr>
        <w:tc>
          <w:tcPr>
            <w:tcW w:w="1872" w:type="dxa"/>
            <w:noWrap/>
            <w:vAlign w:val="bottom"/>
          </w:tcPr>
          <w:p w14:paraId="52A35B50" w14:textId="530ECC46" w:rsidR="00375038" w:rsidRPr="00614ED2" w:rsidRDefault="00375038" w:rsidP="00375038">
            <w:pPr>
              <w:rPr>
                <w:rFonts w:cs="Arial"/>
                <w:color w:val="000000"/>
              </w:rPr>
            </w:pPr>
            <w:r w:rsidRPr="001C4276">
              <w:rPr>
                <w:rFonts w:cstheme="minorHAnsi"/>
                <w:color w:val="000000"/>
              </w:rPr>
              <w:t>0D168KA</w:t>
            </w:r>
          </w:p>
        </w:tc>
        <w:tc>
          <w:tcPr>
            <w:tcW w:w="7560" w:type="dxa"/>
            <w:noWrap/>
            <w:vAlign w:val="bottom"/>
          </w:tcPr>
          <w:p w14:paraId="5FF2FB08" w14:textId="79BF742A" w:rsidR="00375038" w:rsidRPr="00614ED2" w:rsidRDefault="00375038" w:rsidP="00375038">
            <w:pPr>
              <w:rPr>
                <w:rFonts w:cs="Arial"/>
                <w:color w:val="000000"/>
              </w:rPr>
            </w:pPr>
            <w:r w:rsidRPr="001C4276">
              <w:rPr>
                <w:rFonts w:cstheme="minorHAnsi"/>
                <w:color w:val="000000"/>
              </w:rPr>
              <w:t>Bypass Stomach to Jejunum with Nonautologous Tissue Substitute, Via Natural or Artificial Opening Endoscopic</w:t>
            </w:r>
          </w:p>
        </w:tc>
      </w:tr>
      <w:tr w:rsidR="00375038" w:rsidRPr="00614ED2" w14:paraId="466C186C" w14:textId="77777777" w:rsidTr="009617F5">
        <w:trPr>
          <w:trHeight w:val="300"/>
        </w:trPr>
        <w:tc>
          <w:tcPr>
            <w:tcW w:w="1872" w:type="dxa"/>
            <w:noWrap/>
            <w:vAlign w:val="bottom"/>
          </w:tcPr>
          <w:p w14:paraId="35A8AD8F" w14:textId="40D86E30" w:rsidR="00375038" w:rsidRPr="00614ED2" w:rsidRDefault="00375038" w:rsidP="00375038">
            <w:pPr>
              <w:rPr>
                <w:rFonts w:cs="Arial"/>
                <w:color w:val="000000"/>
              </w:rPr>
            </w:pPr>
            <w:r w:rsidRPr="001C4276">
              <w:rPr>
                <w:rFonts w:cstheme="minorHAnsi"/>
                <w:color w:val="000000"/>
              </w:rPr>
              <w:t>0D168KB</w:t>
            </w:r>
          </w:p>
        </w:tc>
        <w:tc>
          <w:tcPr>
            <w:tcW w:w="7560" w:type="dxa"/>
            <w:noWrap/>
            <w:vAlign w:val="bottom"/>
          </w:tcPr>
          <w:p w14:paraId="23170D75" w14:textId="4A07F5E3" w:rsidR="00375038" w:rsidRPr="00614ED2" w:rsidRDefault="00375038" w:rsidP="00375038">
            <w:pPr>
              <w:rPr>
                <w:rFonts w:cs="Arial"/>
                <w:color w:val="000000"/>
              </w:rPr>
            </w:pPr>
            <w:r w:rsidRPr="001C4276">
              <w:rPr>
                <w:rFonts w:cstheme="minorHAnsi"/>
                <w:color w:val="000000"/>
              </w:rPr>
              <w:t>Bypass Stomach to Ileum with Nonautologous Tissue Substitute, Via Natural or Artificial Opening Endoscopic</w:t>
            </w:r>
          </w:p>
        </w:tc>
      </w:tr>
      <w:tr w:rsidR="00375038" w:rsidRPr="00614ED2" w14:paraId="498F7F96" w14:textId="77777777" w:rsidTr="009617F5">
        <w:trPr>
          <w:trHeight w:val="300"/>
        </w:trPr>
        <w:tc>
          <w:tcPr>
            <w:tcW w:w="1872" w:type="dxa"/>
            <w:noWrap/>
            <w:vAlign w:val="bottom"/>
          </w:tcPr>
          <w:p w14:paraId="58A5D40B" w14:textId="2E70E620" w:rsidR="00375038" w:rsidRPr="00614ED2" w:rsidRDefault="00375038" w:rsidP="00375038">
            <w:pPr>
              <w:rPr>
                <w:rFonts w:cs="Arial"/>
                <w:color w:val="000000"/>
              </w:rPr>
            </w:pPr>
            <w:r w:rsidRPr="001C4276">
              <w:rPr>
                <w:rFonts w:cstheme="minorHAnsi"/>
                <w:color w:val="000000"/>
              </w:rPr>
              <w:t>0D168Z9</w:t>
            </w:r>
          </w:p>
        </w:tc>
        <w:tc>
          <w:tcPr>
            <w:tcW w:w="7560" w:type="dxa"/>
            <w:noWrap/>
            <w:vAlign w:val="bottom"/>
          </w:tcPr>
          <w:p w14:paraId="6CC480D6" w14:textId="3C39193D" w:rsidR="00375038" w:rsidRPr="00614ED2" w:rsidRDefault="00375038" w:rsidP="00375038">
            <w:pPr>
              <w:rPr>
                <w:rFonts w:cs="Arial"/>
                <w:color w:val="000000"/>
              </w:rPr>
            </w:pPr>
            <w:r w:rsidRPr="001C4276">
              <w:rPr>
                <w:rFonts w:cstheme="minorHAnsi"/>
                <w:color w:val="000000"/>
              </w:rPr>
              <w:t>Bypass Stomach to Duodenum, Via Natural or Artificial Opening Endoscopic</w:t>
            </w:r>
          </w:p>
        </w:tc>
      </w:tr>
      <w:tr w:rsidR="00375038" w:rsidRPr="00614ED2" w14:paraId="22BE558F" w14:textId="77777777" w:rsidTr="009617F5">
        <w:trPr>
          <w:trHeight w:val="300"/>
        </w:trPr>
        <w:tc>
          <w:tcPr>
            <w:tcW w:w="1872" w:type="dxa"/>
            <w:noWrap/>
            <w:vAlign w:val="bottom"/>
          </w:tcPr>
          <w:p w14:paraId="4239B1A2" w14:textId="758A1B2A" w:rsidR="00375038" w:rsidRPr="00614ED2" w:rsidRDefault="00375038" w:rsidP="00375038">
            <w:pPr>
              <w:rPr>
                <w:rFonts w:cs="Arial"/>
                <w:color w:val="000000"/>
              </w:rPr>
            </w:pPr>
            <w:r w:rsidRPr="001C4276">
              <w:rPr>
                <w:rFonts w:cstheme="minorHAnsi"/>
                <w:color w:val="000000"/>
              </w:rPr>
              <w:t>0D168ZA</w:t>
            </w:r>
          </w:p>
        </w:tc>
        <w:tc>
          <w:tcPr>
            <w:tcW w:w="7560" w:type="dxa"/>
            <w:noWrap/>
            <w:vAlign w:val="bottom"/>
          </w:tcPr>
          <w:p w14:paraId="3A607D93" w14:textId="4E410A93" w:rsidR="00375038" w:rsidRPr="00614ED2" w:rsidRDefault="00375038" w:rsidP="00375038">
            <w:pPr>
              <w:rPr>
                <w:rFonts w:cs="Arial"/>
                <w:color w:val="000000"/>
              </w:rPr>
            </w:pPr>
            <w:r w:rsidRPr="001C4276">
              <w:rPr>
                <w:rFonts w:cstheme="minorHAnsi"/>
                <w:color w:val="000000"/>
              </w:rPr>
              <w:t>Bypass Stomach to Jejunum, Via Natural or Artificial Opening Endoscopic</w:t>
            </w:r>
          </w:p>
        </w:tc>
      </w:tr>
      <w:tr w:rsidR="00375038" w:rsidRPr="00614ED2" w14:paraId="64443FCD" w14:textId="77777777" w:rsidTr="009617F5">
        <w:trPr>
          <w:trHeight w:val="300"/>
        </w:trPr>
        <w:tc>
          <w:tcPr>
            <w:tcW w:w="1872" w:type="dxa"/>
            <w:noWrap/>
            <w:vAlign w:val="bottom"/>
          </w:tcPr>
          <w:p w14:paraId="347A1903" w14:textId="303F8E08" w:rsidR="00375038" w:rsidRPr="00614ED2" w:rsidRDefault="00375038" w:rsidP="00375038">
            <w:pPr>
              <w:rPr>
                <w:rFonts w:cs="Arial"/>
                <w:color w:val="000000"/>
              </w:rPr>
            </w:pPr>
            <w:r w:rsidRPr="001C4276">
              <w:rPr>
                <w:rFonts w:cstheme="minorHAnsi"/>
                <w:color w:val="000000"/>
              </w:rPr>
              <w:t>0D168ZB</w:t>
            </w:r>
          </w:p>
        </w:tc>
        <w:tc>
          <w:tcPr>
            <w:tcW w:w="7560" w:type="dxa"/>
            <w:noWrap/>
            <w:vAlign w:val="bottom"/>
          </w:tcPr>
          <w:p w14:paraId="4B1E4B86" w14:textId="1138A093" w:rsidR="00375038" w:rsidRPr="00614ED2" w:rsidRDefault="00375038" w:rsidP="00375038">
            <w:pPr>
              <w:rPr>
                <w:rFonts w:cs="Arial"/>
                <w:color w:val="000000"/>
              </w:rPr>
            </w:pPr>
            <w:r w:rsidRPr="001C4276">
              <w:rPr>
                <w:rFonts w:cstheme="minorHAnsi"/>
                <w:color w:val="000000"/>
              </w:rPr>
              <w:t>Bypass Stomach to Ileum, Via Natural or Artificial Opening Endoscopic</w:t>
            </w:r>
          </w:p>
        </w:tc>
      </w:tr>
      <w:tr w:rsidR="00363287" w:rsidRPr="00614ED2" w14:paraId="15A066E3" w14:textId="77777777" w:rsidTr="00696E8F">
        <w:trPr>
          <w:trHeight w:val="300"/>
        </w:trPr>
        <w:tc>
          <w:tcPr>
            <w:tcW w:w="1872" w:type="dxa"/>
            <w:noWrap/>
            <w:vAlign w:val="center"/>
            <w:hideMark/>
          </w:tcPr>
          <w:p w14:paraId="3D1514C0" w14:textId="77777777" w:rsidR="00363287" w:rsidRPr="00614ED2" w:rsidRDefault="00363287" w:rsidP="00696E8F">
            <w:pPr>
              <w:rPr>
                <w:rFonts w:cs="Arial"/>
                <w:color w:val="000000"/>
              </w:rPr>
            </w:pPr>
            <w:r w:rsidRPr="00614ED2">
              <w:rPr>
                <w:rFonts w:cs="Arial"/>
                <w:color w:val="000000"/>
              </w:rPr>
              <w:t>0DB60Z3</w:t>
            </w:r>
          </w:p>
        </w:tc>
        <w:tc>
          <w:tcPr>
            <w:tcW w:w="7560" w:type="dxa"/>
            <w:noWrap/>
            <w:vAlign w:val="center"/>
            <w:hideMark/>
          </w:tcPr>
          <w:p w14:paraId="6CC9D294" w14:textId="77777777" w:rsidR="00363287" w:rsidRPr="00614ED2" w:rsidRDefault="00363287" w:rsidP="00696E8F">
            <w:pPr>
              <w:rPr>
                <w:rFonts w:cs="Arial"/>
                <w:color w:val="000000"/>
              </w:rPr>
            </w:pPr>
            <w:r w:rsidRPr="00614ED2">
              <w:rPr>
                <w:rFonts w:cs="Arial"/>
                <w:color w:val="000000"/>
              </w:rPr>
              <w:t>Excision of Stomach, Open Approach, Vertical</w:t>
            </w:r>
          </w:p>
        </w:tc>
      </w:tr>
      <w:tr w:rsidR="00363287" w:rsidRPr="00614ED2" w14:paraId="1FC04F1B" w14:textId="77777777" w:rsidTr="00696E8F">
        <w:trPr>
          <w:trHeight w:val="300"/>
        </w:trPr>
        <w:tc>
          <w:tcPr>
            <w:tcW w:w="1872" w:type="dxa"/>
            <w:noWrap/>
            <w:vAlign w:val="center"/>
            <w:hideMark/>
          </w:tcPr>
          <w:p w14:paraId="4597D454" w14:textId="77777777" w:rsidR="00363287" w:rsidRPr="00614ED2" w:rsidRDefault="00363287" w:rsidP="00696E8F">
            <w:pPr>
              <w:rPr>
                <w:rFonts w:cs="Arial"/>
                <w:color w:val="000000"/>
              </w:rPr>
            </w:pPr>
            <w:r w:rsidRPr="00614ED2">
              <w:rPr>
                <w:rFonts w:cs="Arial"/>
                <w:color w:val="000000"/>
              </w:rPr>
              <w:t>0DB60ZZ</w:t>
            </w:r>
          </w:p>
        </w:tc>
        <w:tc>
          <w:tcPr>
            <w:tcW w:w="7560" w:type="dxa"/>
            <w:noWrap/>
            <w:vAlign w:val="center"/>
            <w:hideMark/>
          </w:tcPr>
          <w:p w14:paraId="6CB96764" w14:textId="77777777" w:rsidR="00363287" w:rsidRPr="00614ED2" w:rsidRDefault="00363287" w:rsidP="00696E8F">
            <w:pPr>
              <w:rPr>
                <w:rFonts w:cs="Arial"/>
                <w:color w:val="000000"/>
              </w:rPr>
            </w:pPr>
            <w:r w:rsidRPr="00614ED2">
              <w:rPr>
                <w:rFonts w:cs="Arial"/>
                <w:color w:val="000000"/>
              </w:rPr>
              <w:t>Excision of Stomach, Open Approach</w:t>
            </w:r>
          </w:p>
        </w:tc>
      </w:tr>
      <w:tr w:rsidR="00363287" w:rsidRPr="00614ED2" w14:paraId="3601C90C" w14:textId="77777777" w:rsidTr="00696E8F">
        <w:trPr>
          <w:trHeight w:val="300"/>
        </w:trPr>
        <w:tc>
          <w:tcPr>
            <w:tcW w:w="1872" w:type="dxa"/>
            <w:noWrap/>
            <w:vAlign w:val="center"/>
            <w:hideMark/>
          </w:tcPr>
          <w:p w14:paraId="2FA78851" w14:textId="77777777" w:rsidR="00363287" w:rsidRPr="00614ED2" w:rsidRDefault="00363287" w:rsidP="00696E8F">
            <w:pPr>
              <w:rPr>
                <w:rFonts w:cs="Arial"/>
                <w:color w:val="000000"/>
              </w:rPr>
            </w:pPr>
            <w:r w:rsidRPr="00614ED2">
              <w:rPr>
                <w:rFonts w:cs="Arial"/>
                <w:color w:val="000000"/>
              </w:rPr>
              <w:t>0DB63Z3</w:t>
            </w:r>
          </w:p>
        </w:tc>
        <w:tc>
          <w:tcPr>
            <w:tcW w:w="7560" w:type="dxa"/>
            <w:noWrap/>
            <w:vAlign w:val="center"/>
            <w:hideMark/>
          </w:tcPr>
          <w:p w14:paraId="4925462B" w14:textId="77777777" w:rsidR="00363287" w:rsidRPr="00614ED2" w:rsidRDefault="00363287" w:rsidP="00696E8F">
            <w:pPr>
              <w:rPr>
                <w:rFonts w:cs="Arial"/>
                <w:color w:val="000000"/>
              </w:rPr>
            </w:pPr>
            <w:r w:rsidRPr="00614ED2">
              <w:rPr>
                <w:rFonts w:cs="Arial"/>
                <w:color w:val="000000"/>
              </w:rPr>
              <w:t>Excision of Stomach, Percutaneous Approach, Vertical</w:t>
            </w:r>
          </w:p>
        </w:tc>
      </w:tr>
      <w:tr w:rsidR="00363287" w:rsidRPr="00614ED2" w14:paraId="4F5D3528" w14:textId="77777777" w:rsidTr="00696E8F">
        <w:trPr>
          <w:trHeight w:val="300"/>
        </w:trPr>
        <w:tc>
          <w:tcPr>
            <w:tcW w:w="1872" w:type="dxa"/>
            <w:noWrap/>
            <w:vAlign w:val="center"/>
            <w:hideMark/>
          </w:tcPr>
          <w:p w14:paraId="7D8A9AA3" w14:textId="77777777" w:rsidR="00363287" w:rsidRPr="00614ED2" w:rsidRDefault="00363287" w:rsidP="00696E8F">
            <w:pPr>
              <w:rPr>
                <w:rFonts w:cs="Arial"/>
                <w:color w:val="000000"/>
              </w:rPr>
            </w:pPr>
            <w:r w:rsidRPr="00614ED2">
              <w:rPr>
                <w:rFonts w:cs="Arial"/>
                <w:color w:val="000000"/>
              </w:rPr>
              <w:t>0DB63ZZ</w:t>
            </w:r>
          </w:p>
        </w:tc>
        <w:tc>
          <w:tcPr>
            <w:tcW w:w="7560" w:type="dxa"/>
            <w:noWrap/>
            <w:vAlign w:val="center"/>
            <w:hideMark/>
          </w:tcPr>
          <w:p w14:paraId="495B51C8" w14:textId="77777777" w:rsidR="00363287" w:rsidRPr="00614ED2" w:rsidRDefault="00363287" w:rsidP="00696E8F">
            <w:pPr>
              <w:rPr>
                <w:rFonts w:cs="Arial"/>
                <w:color w:val="000000"/>
              </w:rPr>
            </w:pPr>
            <w:r w:rsidRPr="00614ED2">
              <w:rPr>
                <w:rFonts w:cs="Arial"/>
                <w:color w:val="000000"/>
              </w:rPr>
              <w:t>Excision of Stomach, Percutaneous Approach</w:t>
            </w:r>
          </w:p>
        </w:tc>
      </w:tr>
      <w:tr w:rsidR="00363287" w:rsidRPr="00614ED2" w14:paraId="3F247519" w14:textId="77777777" w:rsidTr="00696E8F">
        <w:trPr>
          <w:trHeight w:val="300"/>
        </w:trPr>
        <w:tc>
          <w:tcPr>
            <w:tcW w:w="1872" w:type="dxa"/>
            <w:noWrap/>
            <w:vAlign w:val="center"/>
            <w:hideMark/>
          </w:tcPr>
          <w:p w14:paraId="45CD0EA8" w14:textId="77777777" w:rsidR="00363287" w:rsidRPr="00614ED2" w:rsidRDefault="00363287" w:rsidP="00696E8F">
            <w:pPr>
              <w:rPr>
                <w:rFonts w:cs="Arial"/>
                <w:color w:val="000000"/>
              </w:rPr>
            </w:pPr>
            <w:r w:rsidRPr="00614ED2">
              <w:rPr>
                <w:rFonts w:cs="Arial"/>
                <w:color w:val="000000"/>
              </w:rPr>
              <w:t>0DB64Z3</w:t>
            </w:r>
          </w:p>
        </w:tc>
        <w:tc>
          <w:tcPr>
            <w:tcW w:w="7560" w:type="dxa"/>
            <w:noWrap/>
            <w:vAlign w:val="center"/>
            <w:hideMark/>
          </w:tcPr>
          <w:p w14:paraId="66B815AD" w14:textId="77777777" w:rsidR="00363287" w:rsidRPr="00614ED2" w:rsidRDefault="00363287" w:rsidP="00696E8F">
            <w:pPr>
              <w:rPr>
                <w:rFonts w:cs="Arial"/>
                <w:color w:val="000000"/>
              </w:rPr>
            </w:pPr>
            <w:r w:rsidRPr="00614ED2">
              <w:rPr>
                <w:rFonts w:cs="Arial"/>
                <w:color w:val="000000"/>
              </w:rPr>
              <w:t>Excision of Stomach, Percutaneous Endoscopic Approach, Vertical</w:t>
            </w:r>
          </w:p>
        </w:tc>
      </w:tr>
      <w:tr w:rsidR="00A8755F" w:rsidRPr="00614ED2" w14:paraId="63F0602F" w14:textId="77777777" w:rsidTr="00696E8F">
        <w:trPr>
          <w:trHeight w:val="300"/>
        </w:trPr>
        <w:tc>
          <w:tcPr>
            <w:tcW w:w="1872" w:type="dxa"/>
            <w:noWrap/>
            <w:vAlign w:val="center"/>
          </w:tcPr>
          <w:p w14:paraId="64951525" w14:textId="0188369E" w:rsidR="00A8755F" w:rsidRPr="00614ED2" w:rsidRDefault="00A8755F" w:rsidP="00696E8F">
            <w:pPr>
              <w:rPr>
                <w:rFonts w:cs="Arial"/>
                <w:color w:val="000000"/>
              </w:rPr>
            </w:pPr>
            <w:r w:rsidRPr="004115DE">
              <w:t>0DB64ZZ</w:t>
            </w:r>
          </w:p>
        </w:tc>
        <w:tc>
          <w:tcPr>
            <w:tcW w:w="7560" w:type="dxa"/>
            <w:noWrap/>
            <w:vAlign w:val="center"/>
          </w:tcPr>
          <w:p w14:paraId="46591E68" w14:textId="61A4095D" w:rsidR="00A8755F" w:rsidRPr="00614ED2" w:rsidRDefault="00A8755F" w:rsidP="00696E8F">
            <w:pPr>
              <w:rPr>
                <w:rFonts w:cs="Arial"/>
                <w:color w:val="000000"/>
              </w:rPr>
            </w:pPr>
            <w:r w:rsidRPr="004115DE">
              <w:t>Excision of Stomach, Percutaneous Endoscopic Approach</w:t>
            </w:r>
          </w:p>
        </w:tc>
      </w:tr>
    </w:tbl>
    <w:p w14:paraId="74AD2575" w14:textId="77777777" w:rsidR="00862093" w:rsidRPr="009A5185" w:rsidRDefault="00862093" w:rsidP="00FB29EB">
      <w:pPr>
        <w:rPr>
          <w:rFonts w:cs="Arial"/>
        </w:rPr>
      </w:pPr>
    </w:p>
    <w:p w14:paraId="3182F07E" w14:textId="77777777" w:rsidR="00BC1491" w:rsidRPr="009A5185" w:rsidRDefault="00BC1491" w:rsidP="00BC1491">
      <w:pPr>
        <w:rPr>
          <w:rFonts w:cs="Arial"/>
          <w:b/>
        </w:rPr>
      </w:pPr>
      <w:r w:rsidRPr="009A5185">
        <w:rPr>
          <w:rFonts w:cs="Arial"/>
          <w:b/>
        </w:rPr>
        <w:t>ICD-10 Morbid Obesity Diagnosis Codes</w:t>
      </w:r>
    </w:p>
    <w:p w14:paraId="0750D656" w14:textId="77777777" w:rsidR="00BC1491" w:rsidRDefault="00BC1491" w:rsidP="00BC1491">
      <w:pPr>
        <w:rPr>
          <w:rFonts w:cs="Arial"/>
          <w:b/>
        </w:rPr>
      </w:pPr>
    </w:p>
    <w:tbl>
      <w:tblPr>
        <w:tblStyle w:val="TableGrid"/>
        <w:tblW w:w="9432" w:type="dxa"/>
        <w:tblLook w:val="04A0" w:firstRow="1" w:lastRow="0" w:firstColumn="1" w:lastColumn="0" w:noHBand="0" w:noVBand="1"/>
      </w:tblPr>
      <w:tblGrid>
        <w:gridCol w:w="1872"/>
        <w:gridCol w:w="7560"/>
      </w:tblGrid>
      <w:tr w:rsidR="00363287" w:rsidRPr="0004317D" w14:paraId="18928415" w14:textId="77777777" w:rsidTr="00696E8F">
        <w:trPr>
          <w:trHeight w:val="432"/>
          <w:tblHeader/>
        </w:trPr>
        <w:tc>
          <w:tcPr>
            <w:tcW w:w="1872" w:type="dxa"/>
            <w:shd w:val="clear" w:color="auto" w:fill="BFBFBF" w:themeFill="background1" w:themeFillShade="BF"/>
            <w:noWrap/>
            <w:vAlign w:val="center"/>
          </w:tcPr>
          <w:p w14:paraId="433B5C70" w14:textId="77777777" w:rsidR="00363287" w:rsidRPr="0004317D" w:rsidRDefault="00363287" w:rsidP="00696E8F">
            <w:pPr>
              <w:rPr>
                <w:rFonts w:cs="Arial"/>
                <w:color w:val="000000"/>
              </w:rPr>
            </w:pPr>
            <w:r w:rsidRPr="0004317D">
              <w:rPr>
                <w:rFonts w:cs="Arial"/>
                <w:b/>
                <w:bCs/>
                <w:color w:val="000000"/>
              </w:rPr>
              <w:t>ICD</w:t>
            </w:r>
            <w:r>
              <w:rPr>
                <w:rFonts w:cs="Arial"/>
                <w:b/>
                <w:bCs/>
                <w:color w:val="000000"/>
              </w:rPr>
              <w:t>-</w:t>
            </w:r>
            <w:r w:rsidRPr="0004317D">
              <w:rPr>
                <w:rFonts w:cs="Arial"/>
                <w:b/>
                <w:bCs/>
                <w:color w:val="000000"/>
              </w:rPr>
              <w:t>10 Diagnosis Code</w:t>
            </w:r>
          </w:p>
        </w:tc>
        <w:tc>
          <w:tcPr>
            <w:tcW w:w="7560" w:type="dxa"/>
            <w:shd w:val="clear" w:color="auto" w:fill="BFBFBF" w:themeFill="background1" w:themeFillShade="BF"/>
            <w:noWrap/>
            <w:vAlign w:val="center"/>
          </w:tcPr>
          <w:p w14:paraId="5755FB32" w14:textId="77777777" w:rsidR="00363287" w:rsidRPr="0004317D" w:rsidRDefault="00363287" w:rsidP="00696E8F">
            <w:pPr>
              <w:rPr>
                <w:rFonts w:cs="Arial"/>
                <w:color w:val="000000"/>
              </w:rPr>
            </w:pPr>
            <w:r w:rsidRPr="0004317D">
              <w:rPr>
                <w:rFonts w:cs="Arial"/>
                <w:b/>
                <w:bCs/>
                <w:color w:val="000000"/>
              </w:rPr>
              <w:t>Code Description</w:t>
            </w:r>
          </w:p>
        </w:tc>
      </w:tr>
      <w:tr w:rsidR="00363287" w:rsidRPr="00E040C2" w14:paraId="1BB56EB7" w14:textId="77777777" w:rsidTr="00FB2D5F">
        <w:trPr>
          <w:trHeight w:val="300"/>
        </w:trPr>
        <w:tc>
          <w:tcPr>
            <w:tcW w:w="1872" w:type="dxa"/>
            <w:noWrap/>
            <w:vAlign w:val="center"/>
            <w:hideMark/>
          </w:tcPr>
          <w:p w14:paraId="47E1E814" w14:textId="77777777" w:rsidR="00363287" w:rsidRPr="00E040C2" w:rsidRDefault="00363287" w:rsidP="00696E8F">
            <w:pPr>
              <w:rPr>
                <w:rFonts w:cs="Arial"/>
                <w:color w:val="000000"/>
              </w:rPr>
            </w:pPr>
            <w:r w:rsidRPr="00E040C2">
              <w:rPr>
                <w:rFonts w:cs="Arial"/>
                <w:color w:val="000000"/>
              </w:rPr>
              <w:t xml:space="preserve">E66.01 </w:t>
            </w:r>
          </w:p>
        </w:tc>
        <w:tc>
          <w:tcPr>
            <w:tcW w:w="7560" w:type="dxa"/>
            <w:tcBorders>
              <w:bottom w:val="single" w:sz="4" w:space="0" w:color="auto"/>
            </w:tcBorders>
            <w:noWrap/>
            <w:vAlign w:val="center"/>
            <w:hideMark/>
          </w:tcPr>
          <w:p w14:paraId="409127EC" w14:textId="77777777" w:rsidR="00363287" w:rsidRPr="00E040C2" w:rsidRDefault="00363287" w:rsidP="00696E8F">
            <w:pPr>
              <w:rPr>
                <w:rFonts w:cs="Arial"/>
                <w:color w:val="000000"/>
              </w:rPr>
            </w:pPr>
            <w:r w:rsidRPr="00E040C2">
              <w:rPr>
                <w:rFonts w:cs="Arial"/>
                <w:color w:val="000000"/>
              </w:rPr>
              <w:t>Morbid (severe) obesity due to excess calories</w:t>
            </w:r>
          </w:p>
        </w:tc>
      </w:tr>
      <w:tr w:rsidR="00363287" w:rsidRPr="00E040C2" w14:paraId="4F2EC152" w14:textId="77777777" w:rsidTr="00FB2D5F">
        <w:trPr>
          <w:trHeight w:val="300"/>
        </w:trPr>
        <w:tc>
          <w:tcPr>
            <w:tcW w:w="1872" w:type="dxa"/>
            <w:noWrap/>
            <w:vAlign w:val="center"/>
            <w:hideMark/>
          </w:tcPr>
          <w:p w14:paraId="1A651E20" w14:textId="77777777" w:rsidR="00363287" w:rsidRPr="00E040C2" w:rsidRDefault="00363287" w:rsidP="00696E8F">
            <w:pPr>
              <w:rPr>
                <w:rFonts w:cs="Arial"/>
                <w:color w:val="000000"/>
              </w:rPr>
            </w:pPr>
            <w:r w:rsidRPr="00E040C2">
              <w:rPr>
                <w:rFonts w:cs="Arial"/>
                <w:color w:val="000000"/>
              </w:rPr>
              <w:t>E66.09</w:t>
            </w:r>
          </w:p>
        </w:tc>
        <w:tc>
          <w:tcPr>
            <w:tcW w:w="7560" w:type="dxa"/>
            <w:tcBorders>
              <w:bottom w:val="single" w:sz="4" w:space="0" w:color="auto"/>
            </w:tcBorders>
            <w:noWrap/>
            <w:vAlign w:val="center"/>
            <w:hideMark/>
          </w:tcPr>
          <w:p w14:paraId="34417B95" w14:textId="77777777" w:rsidR="00363287" w:rsidRPr="00E040C2" w:rsidRDefault="00363287" w:rsidP="00696E8F">
            <w:pPr>
              <w:rPr>
                <w:rFonts w:cs="Arial"/>
                <w:color w:val="000000"/>
              </w:rPr>
            </w:pPr>
            <w:r w:rsidRPr="00E040C2">
              <w:rPr>
                <w:rFonts w:cs="Arial"/>
                <w:color w:val="000000"/>
              </w:rPr>
              <w:t>Other obesity due to excess calories</w:t>
            </w:r>
          </w:p>
        </w:tc>
      </w:tr>
      <w:tr w:rsidR="00634A38" w:rsidRPr="00E040C2" w14:paraId="4DD9A685" w14:textId="77777777" w:rsidTr="00FB2D5F">
        <w:trPr>
          <w:trHeight w:val="300"/>
        </w:trPr>
        <w:tc>
          <w:tcPr>
            <w:tcW w:w="1872" w:type="dxa"/>
            <w:noWrap/>
            <w:vAlign w:val="center"/>
          </w:tcPr>
          <w:p w14:paraId="16F923C4" w14:textId="7C3EEE0D" w:rsidR="00634A38" w:rsidRPr="00E040C2" w:rsidRDefault="00634A38" w:rsidP="00634A38">
            <w:pPr>
              <w:rPr>
                <w:rFonts w:cs="Arial"/>
                <w:color w:val="000000"/>
              </w:rPr>
            </w:pPr>
            <w:r w:rsidRPr="001A7FD5">
              <w:rPr>
                <w:rFonts w:cs="Arial"/>
              </w:rPr>
              <w:t>E66.1</w:t>
            </w:r>
          </w:p>
        </w:tc>
        <w:tc>
          <w:tcPr>
            <w:tcW w:w="7560" w:type="dxa"/>
            <w:tcBorders>
              <w:top w:val="single" w:sz="4" w:space="0" w:color="auto"/>
            </w:tcBorders>
            <w:noWrap/>
            <w:vAlign w:val="center"/>
          </w:tcPr>
          <w:p w14:paraId="6EDDCBA0" w14:textId="153F6C13" w:rsidR="00634A38" w:rsidRPr="00E040C2" w:rsidRDefault="00634A38" w:rsidP="00634A38">
            <w:pPr>
              <w:rPr>
                <w:rFonts w:cs="Arial"/>
                <w:color w:val="000000"/>
              </w:rPr>
            </w:pPr>
            <w:r w:rsidRPr="001A7FD5">
              <w:rPr>
                <w:rFonts w:cs="Arial"/>
              </w:rPr>
              <w:t>Drug induced obesity</w:t>
            </w:r>
          </w:p>
        </w:tc>
      </w:tr>
      <w:tr w:rsidR="00634A38" w:rsidRPr="00E040C2" w14:paraId="6861604A" w14:textId="77777777" w:rsidTr="002C718A">
        <w:trPr>
          <w:trHeight w:val="300"/>
        </w:trPr>
        <w:tc>
          <w:tcPr>
            <w:tcW w:w="1872" w:type="dxa"/>
            <w:noWrap/>
            <w:vAlign w:val="center"/>
          </w:tcPr>
          <w:p w14:paraId="35C6E498" w14:textId="3D21D86A" w:rsidR="00634A38" w:rsidRPr="00E040C2" w:rsidRDefault="00634A38" w:rsidP="00634A38">
            <w:pPr>
              <w:rPr>
                <w:rFonts w:cs="Arial"/>
                <w:color w:val="000000"/>
              </w:rPr>
            </w:pPr>
            <w:r w:rsidRPr="001A7FD5">
              <w:rPr>
                <w:rFonts w:cs="Arial"/>
              </w:rPr>
              <w:t xml:space="preserve">E66.2 </w:t>
            </w:r>
          </w:p>
        </w:tc>
        <w:tc>
          <w:tcPr>
            <w:tcW w:w="7560" w:type="dxa"/>
            <w:noWrap/>
            <w:vAlign w:val="center"/>
          </w:tcPr>
          <w:p w14:paraId="2A3C5A4F" w14:textId="5678273C" w:rsidR="00634A38" w:rsidRPr="00E040C2" w:rsidRDefault="00634A38" w:rsidP="00634A38">
            <w:pPr>
              <w:rPr>
                <w:rFonts w:cs="Arial"/>
                <w:color w:val="000000"/>
              </w:rPr>
            </w:pPr>
            <w:r w:rsidRPr="001A7FD5">
              <w:rPr>
                <w:rFonts w:cs="Arial"/>
              </w:rPr>
              <w:t>Morbid (severe) obesity with alveolar hypoventilation</w:t>
            </w:r>
          </w:p>
        </w:tc>
      </w:tr>
      <w:tr w:rsidR="00634A38" w:rsidRPr="00E040C2" w14:paraId="074AD7FA" w14:textId="77777777" w:rsidTr="002C718A">
        <w:trPr>
          <w:trHeight w:val="300"/>
        </w:trPr>
        <w:tc>
          <w:tcPr>
            <w:tcW w:w="1872" w:type="dxa"/>
            <w:noWrap/>
            <w:vAlign w:val="center"/>
          </w:tcPr>
          <w:p w14:paraId="1DCA5FF6" w14:textId="5A8602A2" w:rsidR="00634A38" w:rsidRPr="00E040C2" w:rsidRDefault="00634A38" w:rsidP="00634A38">
            <w:pPr>
              <w:rPr>
                <w:rFonts w:cs="Arial"/>
                <w:color w:val="000000"/>
              </w:rPr>
            </w:pPr>
            <w:r w:rsidRPr="001A7FD5">
              <w:rPr>
                <w:rFonts w:cs="Arial"/>
              </w:rPr>
              <w:t xml:space="preserve">E66.3 </w:t>
            </w:r>
          </w:p>
        </w:tc>
        <w:tc>
          <w:tcPr>
            <w:tcW w:w="7560" w:type="dxa"/>
            <w:noWrap/>
            <w:vAlign w:val="center"/>
          </w:tcPr>
          <w:p w14:paraId="77D025E6" w14:textId="621FF8E3" w:rsidR="00634A38" w:rsidRPr="00E040C2" w:rsidRDefault="00634A38" w:rsidP="00634A38">
            <w:pPr>
              <w:rPr>
                <w:rFonts w:cs="Arial"/>
                <w:color w:val="000000"/>
              </w:rPr>
            </w:pPr>
            <w:r w:rsidRPr="001A7FD5">
              <w:rPr>
                <w:rFonts w:cs="Arial"/>
              </w:rPr>
              <w:t>Overweight</w:t>
            </w:r>
          </w:p>
        </w:tc>
      </w:tr>
      <w:tr w:rsidR="00163AA4" w:rsidRPr="00E040C2" w14:paraId="1BBCDCF1" w14:textId="77777777" w:rsidTr="002C718A">
        <w:trPr>
          <w:trHeight w:val="300"/>
        </w:trPr>
        <w:tc>
          <w:tcPr>
            <w:tcW w:w="1872" w:type="dxa"/>
            <w:noWrap/>
            <w:vAlign w:val="center"/>
          </w:tcPr>
          <w:p w14:paraId="78588813" w14:textId="151DE852" w:rsidR="00163AA4" w:rsidRPr="00163AA4" w:rsidRDefault="00163AA4" w:rsidP="00634A38">
            <w:pPr>
              <w:rPr>
                <w:rFonts w:cs="Arial"/>
                <w:color w:val="000000"/>
              </w:rPr>
            </w:pPr>
            <w:r w:rsidRPr="00163AA4">
              <w:rPr>
                <w:rFonts w:cs="Arial"/>
                <w:color w:val="000000"/>
              </w:rPr>
              <w:t>E66.8</w:t>
            </w:r>
          </w:p>
        </w:tc>
        <w:tc>
          <w:tcPr>
            <w:tcW w:w="7560" w:type="dxa"/>
            <w:noWrap/>
            <w:vAlign w:val="center"/>
          </w:tcPr>
          <w:p w14:paraId="77693FAE" w14:textId="01AF44F7" w:rsidR="00163AA4" w:rsidRPr="00163AA4" w:rsidRDefault="003A078E" w:rsidP="00634A38">
            <w:pPr>
              <w:rPr>
                <w:rFonts w:cs="Arial"/>
                <w:color w:val="000000"/>
              </w:rPr>
            </w:pPr>
            <w:r w:rsidRPr="003A078E">
              <w:rPr>
                <w:rFonts w:cs="Arial"/>
                <w:color w:val="000000"/>
              </w:rPr>
              <w:t>Other obesity</w:t>
            </w:r>
          </w:p>
        </w:tc>
      </w:tr>
      <w:tr w:rsidR="00634A38" w:rsidRPr="00E040C2" w14:paraId="7E21B19F" w14:textId="77777777" w:rsidTr="002C718A">
        <w:trPr>
          <w:trHeight w:val="300"/>
        </w:trPr>
        <w:tc>
          <w:tcPr>
            <w:tcW w:w="1872" w:type="dxa"/>
            <w:noWrap/>
            <w:vAlign w:val="center"/>
            <w:hideMark/>
          </w:tcPr>
          <w:p w14:paraId="4FBB377C" w14:textId="3057C853" w:rsidR="00634A38" w:rsidRPr="00450B70" w:rsidRDefault="00634A38" w:rsidP="00634A38">
            <w:pPr>
              <w:rPr>
                <w:rFonts w:cs="Arial"/>
                <w:color w:val="000000"/>
              </w:rPr>
            </w:pPr>
            <w:r w:rsidRPr="00450B70">
              <w:rPr>
                <w:rFonts w:cs="Arial"/>
                <w:color w:val="000000"/>
              </w:rPr>
              <w:t>E66.8</w:t>
            </w:r>
            <w:r w:rsidR="00F94891" w:rsidRPr="00450B70">
              <w:rPr>
                <w:rFonts w:cs="Arial"/>
                <w:color w:val="000000"/>
              </w:rPr>
              <w:t>11</w:t>
            </w:r>
          </w:p>
        </w:tc>
        <w:tc>
          <w:tcPr>
            <w:tcW w:w="7560" w:type="dxa"/>
            <w:noWrap/>
            <w:vAlign w:val="center"/>
            <w:hideMark/>
          </w:tcPr>
          <w:p w14:paraId="5C4C81F0" w14:textId="29C288CF" w:rsidR="00634A38" w:rsidRPr="00450B70" w:rsidRDefault="00BF765B" w:rsidP="00634A38">
            <w:pPr>
              <w:rPr>
                <w:rFonts w:cs="Arial"/>
                <w:color w:val="000000"/>
              </w:rPr>
            </w:pPr>
            <w:r w:rsidRPr="00450B70">
              <w:rPr>
                <w:rFonts w:cs="Arial"/>
                <w:color w:val="000000"/>
              </w:rPr>
              <w:t>Obesity, class 1</w:t>
            </w:r>
          </w:p>
        </w:tc>
      </w:tr>
      <w:tr w:rsidR="00F94891" w:rsidRPr="00E040C2" w14:paraId="755AD60C" w14:textId="77777777" w:rsidTr="002C718A">
        <w:trPr>
          <w:trHeight w:val="300"/>
        </w:trPr>
        <w:tc>
          <w:tcPr>
            <w:tcW w:w="1872" w:type="dxa"/>
            <w:noWrap/>
            <w:vAlign w:val="center"/>
          </w:tcPr>
          <w:p w14:paraId="2D5592F2" w14:textId="5225C67A" w:rsidR="00F94891" w:rsidRPr="00450B70" w:rsidRDefault="00F94891" w:rsidP="00F94891">
            <w:pPr>
              <w:rPr>
                <w:rFonts w:cs="Arial"/>
                <w:color w:val="000000"/>
              </w:rPr>
            </w:pPr>
            <w:r w:rsidRPr="00450B70">
              <w:rPr>
                <w:rFonts w:cs="Arial"/>
                <w:color w:val="000000"/>
              </w:rPr>
              <w:t>E66.812</w:t>
            </w:r>
          </w:p>
        </w:tc>
        <w:tc>
          <w:tcPr>
            <w:tcW w:w="7560" w:type="dxa"/>
            <w:noWrap/>
            <w:vAlign w:val="center"/>
          </w:tcPr>
          <w:p w14:paraId="46F30D87" w14:textId="55EF7830" w:rsidR="00F94891" w:rsidRPr="00450B70" w:rsidRDefault="00BF765B" w:rsidP="00F94891">
            <w:pPr>
              <w:rPr>
                <w:rFonts w:cs="Arial"/>
                <w:color w:val="000000"/>
              </w:rPr>
            </w:pPr>
            <w:r w:rsidRPr="00450B70">
              <w:rPr>
                <w:rFonts w:cs="Arial"/>
                <w:color w:val="000000"/>
              </w:rPr>
              <w:t>Obesity, class 2</w:t>
            </w:r>
          </w:p>
        </w:tc>
      </w:tr>
      <w:tr w:rsidR="00F94891" w:rsidRPr="00E040C2" w14:paraId="5A1713FA" w14:textId="77777777" w:rsidTr="002C718A">
        <w:trPr>
          <w:trHeight w:val="300"/>
        </w:trPr>
        <w:tc>
          <w:tcPr>
            <w:tcW w:w="1872" w:type="dxa"/>
            <w:noWrap/>
            <w:vAlign w:val="center"/>
          </w:tcPr>
          <w:p w14:paraId="4292D6FD" w14:textId="2F8CFA5B" w:rsidR="00F94891" w:rsidRPr="00450B70" w:rsidRDefault="00F94891" w:rsidP="00F94891">
            <w:pPr>
              <w:rPr>
                <w:rFonts w:cs="Arial"/>
                <w:color w:val="000000"/>
              </w:rPr>
            </w:pPr>
            <w:r w:rsidRPr="00450B70">
              <w:rPr>
                <w:rFonts w:cs="Arial"/>
                <w:color w:val="000000"/>
              </w:rPr>
              <w:t>E66.813</w:t>
            </w:r>
          </w:p>
        </w:tc>
        <w:tc>
          <w:tcPr>
            <w:tcW w:w="7560" w:type="dxa"/>
            <w:noWrap/>
            <w:vAlign w:val="center"/>
          </w:tcPr>
          <w:p w14:paraId="164E6F78" w14:textId="721DDBCB" w:rsidR="00F94891" w:rsidRPr="00450B70" w:rsidRDefault="00BF765B" w:rsidP="00F94891">
            <w:pPr>
              <w:rPr>
                <w:rFonts w:cs="Arial"/>
                <w:color w:val="000000"/>
              </w:rPr>
            </w:pPr>
            <w:r w:rsidRPr="00450B70">
              <w:rPr>
                <w:rFonts w:cs="Arial"/>
                <w:color w:val="000000"/>
              </w:rPr>
              <w:t>Obesity, class 3</w:t>
            </w:r>
          </w:p>
        </w:tc>
      </w:tr>
      <w:tr w:rsidR="00F94891" w:rsidRPr="00E040C2" w14:paraId="3BE28E4F" w14:textId="77777777" w:rsidTr="002C718A">
        <w:trPr>
          <w:trHeight w:val="300"/>
        </w:trPr>
        <w:tc>
          <w:tcPr>
            <w:tcW w:w="1872" w:type="dxa"/>
            <w:noWrap/>
            <w:vAlign w:val="center"/>
          </w:tcPr>
          <w:p w14:paraId="3353366A" w14:textId="655D47B6" w:rsidR="00F94891" w:rsidRPr="00450B70" w:rsidRDefault="00F94891" w:rsidP="00F94891">
            <w:pPr>
              <w:rPr>
                <w:rFonts w:cs="Arial"/>
                <w:color w:val="000000"/>
              </w:rPr>
            </w:pPr>
            <w:r w:rsidRPr="00450B70">
              <w:rPr>
                <w:rFonts w:cs="Arial"/>
                <w:color w:val="000000"/>
              </w:rPr>
              <w:t>E66.89</w:t>
            </w:r>
          </w:p>
        </w:tc>
        <w:tc>
          <w:tcPr>
            <w:tcW w:w="7560" w:type="dxa"/>
            <w:noWrap/>
            <w:vAlign w:val="center"/>
          </w:tcPr>
          <w:p w14:paraId="1A5B4E96" w14:textId="61641FFB" w:rsidR="00F94891" w:rsidRPr="00450B70" w:rsidRDefault="00F94891" w:rsidP="00F94891">
            <w:pPr>
              <w:rPr>
                <w:rFonts w:cs="Arial"/>
                <w:color w:val="000000"/>
              </w:rPr>
            </w:pPr>
            <w:r w:rsidRPr="00450B70">
              <w:rPr>
                <w:rFonts w:cs="Arial"/>
                <w:color w:val="000000"/>
              </w:rPr>
              <w:t>Other obesity</w:t>
            </w:r>
            <w:r w:rsidR="00BF765B" w:rsidRPr="00450B70">
              <w:rPr>
                <w:rFonts w:cs="Arial"/>
                <w:color w:val="000000"/>
              </w:rPr>
              <w:t xml:space="preserve"> not elsewhere classified</w:t>
            </w:r>
          </w:p>
        </w:tc>
      </w:tr>
      <w:tr w:rsidR="00F94891" w:rsidRPr="00E040C2" w14:paraId="5ABA9BB7" w14:textId="77777777" w:rsidTr="002C718A">
        <w:trPr>
          <w:trHeight w:val="300"/>
        </w:trPr>
        <w:tc>
          <w:tcPr>
            <w:tcW w:w="1872" w:type="dxa"/>
            <w:noWrap/>
            <w:vAlign w:val="center"/>
          </w:tcPr>
          <w:p w14:paraId="3778C689" w14:textId="6E6F4269" w:rsidR="00F94891" w:rsidRPr="00450B70" w:rsidRDefault="00F94891" w:rsidP="00F94891">
            <w:pPr>
              <w:rPr>
                <w:rFonts w:cs="Arial"/>
                <w:color w:val="000000"/>
              </w:rPr>
            </w:pPr>
            <w:r w:rsidRPr="00450B70">
              <w:rPr>
                <w:rFonts w:cs="Arial"/>
              </w:rPr>
              <w:t>E66.9</w:t>
            </w:r>
          </w:p>
        </w:tc>
        <w:tc>
          <w:tcPr>
            <w:tcW w:w="7560" w:type="dxa"/>
            <w:noWrap/>
            <w:vAlign w:val="center"/>
          </w:tcPr>
          <w:p w14:paraId="2F6542A6" w14:textId="3D53A9AF" w:rsidR="00F94891" w:rsidRPr="00450B70" w:rsidRDefault="00F94891" w:rsidP="00F94891">
            <w:pPr>
              <w:rPr>
                <w:rFonts w:cs="Arial"/>
                <w:color w:val="000000"/>
              </w:rPr>
            </w:pPr>
            <w:r w:rsidRPr="00450B70">
              <w:rPr>
                <w:rFonts w:cs="Arial"/>
              </w:rPr>
              <w:t>Obesity, unspecified</w:t>
            </w:r>
          </w:p>
        </w:tc>
      </w:tr>
      <w:tr w:rsidR="003B2BF2" w:rsidRPr="00E040C2" w14:paraId="392821E0" w14:textId="77777777" w:rsidTr="002C718A">
        <w:trPr>
          <w:trHeight w:val="300"/>
        </w:trPr>
        <w:tc>
          <w:tcPr>
            <w:tcW w:w="1872" w:type="dxa"/>
            <w:noWrap/>
            <w:vAlign w:val="center"/>
          </w:tcPr>
          <w:p w14:paraId="7197627D" w14:textId="30223FED" w:rsidR="003B2BF2" w:rsidRPr="00450B70" w:rsidRDefault="002E7F42" w:rsidP="00F94891">
            <w:pPr>
              <w:rPr>
                <w:rFonts w:cs="Arial"/>
              </w:rPr>
            </w:pPr>
            <w:r w:rsidRPr="002E7F42">
              <w:rPr>
                <w:rFonts w:cs="Arial"/>
              </w:rPr>
              <w:lastRenderedPageBreak/>
              <w:t xml:space="preserve">E88.82      </w:t>
            </w:r>
          </w:p>
        </w:tc>
        <w:tc>
          <w:tcPr>
            <w:tcW w:w="7560" w:type="dxa"/>
            <w:noWrap/>
            <w:vAlign w:val="center"/>
          </w:tcPr>
          <w:p w14:paraId="57AA3E62" w14:textId="2EF04A67" w:rsidR="003B2BF2" w:rsidRPr="00450B70" w:rsidRDefault="00305435" w:rsidP="00F94891">
            <w:pPr>
              <w:rPr>
                <w:rFonts w:cs="Arial"/>
              </w:rPr>
            </w:pPr>
            <w:r w:rsidRPr="00305435">
              <w:rPr>
                <w:rFonts w:cs="Arial"/>
              </w:rPr>
              <w:t>Obesity due to disruption of MC4R pathway</w:t>
            </w:r>
          </w:p>
        </w:tc>
      </w:tr>
      <w:tr w:rsidR="00F94891" w:rsidRPr="00E040C2" w14:paraId="7EE4E348" w14:textId="77777777" w:rsidTr="00696E8F">
        <w:trPr>
          <w:trHeight w:val="300"/>
        </w:trPr>
        <w:tc>
          <w:tcPr>
            <w:tcW w:w="1872" w:type="dxa"/>
            <w:noWrap/>
            <w:vAlign w:val="center"/>
            <w:hideMark/>
          </w:tcPr>
          <w:p w14:paraId="6DA80E01" w14:textId="77777777" w:rsidR="00F94891" w:rsidRPr="00E040C2" w:rsidRDefault="00F94891" w:rsidP="00F94891">
            <w:pPr>
              <w:rPr>
                <w:rFonts w:cs="Arial"/>
                <w:color w:val="000000"/>
              </w:rPr>
            </w:pPr>
            <w:r w:rsidRPr="00E040C2">
              <w:rPr>
                <w:rFonts w:cs="Arial"/>
                <w:color w:val="000000"/>
              </w:rPr>
              <w:t>Z68.35</w:t>
            </w:r>
          </w:p>
        </w:tc>
        <w:tc>
          <w:tcPr>
            <w:tcW w:w="7560" w:type="dxa"/>
            <w:noWrap/>
            <w:vAlign w:val="center"/>
            <w:hideMark/>
          </w:tcPr>
          <w:p w14:paraId="632E3645" w14:textId="77777777" w:rsidR="00F94891" w:rsidRPr="00E040C2" w:rsidRDefault="00F94891" w:rsidP="00F94891">
            <w:pPr>
              <w:rPr>
                <w:rFonts w:cs="Arial"/>
                <w:color w:val="000000"/>
              </w:rPr>
            </w:pPr>
            <w:r w:rsidRPr="00E040C2">
              <w:rPr>
                <w:rFonts w:cs="Arial"/>
                <w:color w:val="000000"/>
              </w:rPr>
              <w:t>Body mass index (BMI) 35.0-35.9, adult</w:t>
            </w:r>
          </w:p>
        </w:tc>
      </w:tr>
      <w:tr w:rsidR="00F94891" w:rsidRPr="00E040C2" w14:paraId="7C9D7D06" w14:textId="77777777" w:rsidTr="00696E8F">
        <w:trPr>
          <w:trHeight w:val="300"/>
        </w:trPr>
        <w:tc>
          <w:tcPr>
            <w:tcW w:w="1872" w:type="dxa"/>
            <w:noWrap/>
            <w:vAlign w:val="center"/>
            <w:hideMark/>
          </w:tcPr>
          <w:p w14:paraId="2DF048C7" w14:textId="77777777" w:rsidR="00F94891" w:rsidRPr="00E040C2" w:rsidRDefault="00F94891" w:rsidP="00F94891">
            <w:pPr>
              <w:rPr>
                <w:rFonts w:cs="Arial"/>
                <w:color w:val="000000"/>
              </w:rPr>
            </w:pPr>
            <w:r w:rsidRPr="00E040C2">
              <w:rPr>
                <w:rFonts w:cs="Arial"/>
                <w:color w:val="000000"/>
              </w:rPr>
              <w:t>Z68.36</w:t>
            </w:r>
          </w:p>
        </w:tc>
        <w:tc>
          <w:tcPr>
            <w:tcW w:w="7560" w:type="dxa"/>
            <w:noWrap/>
            <w:vAlign w:val="center"/>
            <w:hideMark/>
          </w:tcPr>
          <w:p w14:paraId="7624CB70" w14:textId="77777777" w:rsidR="00F94891" w:rsidRPr="00E040C2" w:rsidRDefault="00F94891" w:rsidP="00F94891">
            <w:pPr>
              <w:rPr>
                <w:rFonts w:cs="Arial"/>
                <w:color w:val="000000"/>
              </w:rPr>
            </w:pPr>
            <w:r w:rsidRPr="00E040C2">
              <w:rPr>
                <w:rFonts w:cs="Arial"/>
                <w:color w:val="000000"/>
              </w:rPr>
              <w:t>Body mass index (BMI) 36.0-36.9, adult</w:t>
            </w:r>
          </w:p>
        </w:tc>
      </w:tr>
      <w:tr w:rsidR="00F94891" w:rsidRPr="00E040C2" w14:paraId="06AD494F" w14:textId="77777777" w:rsidTr="00696E8F">
        <w:trPr>
          <w:trHeight w:val="300"/>
        </w:trPr>
        <w:tc>
          <w:tcPr>
            <w:tcW w:w="1872" w:type="dxa"/>
            <w:noWrap/>
            <w:vAlign w:val="center"/>
            <w:hideMark/>
          </w:tcPr>
          <w:p w14:paraId="40D23A67" w14:textId="77777777" w:rsidR="00F94891" w:rsidRPr="00E040C2" w:rsidRDefault="00F94891" w:rsidP="00F94891">
            <w:pPr>
              <w:rPr>
                <w:rFonts w:cs="Arial"/>
                <w:color w:val="000000"/>
              </w:rPr>
            </w:pPr>
            <w:r w:rsidRPr="00E040C2">
              <w:rPr>
                <w:rFonts w:cs="Arial"/>
                <w:color w:val="000000"/>
              </w:rPr>
              <w:t>Z68.37</w:t>
            </w:r>
          </w:p>
        </w:tc>
        <w:tc>
          <w:tcPr>
            <w:tcW w:w="7560" w:type="dxa"/>
            <w:noWrap/>
            <w:vAlign w:val="center"/>
            <w:hideMark/>
          </w:tcPr>
          <w:p w14:paraId="5C17588F" w14:textId="77777777" w:rsidR="00F94891" w:rsidRPr="00E040C2" w:rsidRDefault="00F94891" w:rsidP="00F94891">
            <w:pPr>
              <w:rPr>
                <w:rFonts w:cs="Arial"/>
                <w:color w:val="000000"/>
              </w:rPr>
            </w:pPr>
            <w:r w:rsidRPr="00E040C2">
              <w:rPr>
                <w:rFonts w:cs="Arial"/>
                <w:color w:val="000000"/>
              </w:rPr>
              <w:t>Body mass index (BMI) 37.0-37.9, adult</w:t>
            </w:r>
          </w:p>
        </w:tc>
      </w:tr>
      <w:tr w:rsidR="00F94891" w:rsidRPr="00E040C2" w14:paraId="7FBF144B" w14:textId="77777777" w:rsidTr="00696E8F">
        <w:trPr>
          <w:trHeight w:val="300"/>
        </w:trPr>
        <w:tc>
          <w:tcPr>
            <w:tcW w:w="1872" w:type="dxa"/>
            <w:noWrap/>
            <w:vAlign w:val="center"/>
            <w:hideMark/>
          </w:tcPr>
          <w:p w14:paraId="40E209A1" w14:textId="77777777" w:rsidR="00F94891" w:rsidRPr="00E040C2" w:rsidRDefault="00F94891" w:rsidP="00F94891">
            <w:pPr>
              <w:rPr>
                <w:rFonts w:cs="Arial"/>
                <w:color w:val="000000"/>
              </w:rPr>
            </w:pPr>
            <w:r w:rsidRPr="00E040C2">
              <w:rPr>
                <w:rFonts w:cs="Arial"/>
                <w:color w:val="000000"/>
              </w:rPr>
              <w:t>Z68.38</w:t>
            </w:r>
          </w:p>
        </w:tc>
        <w:tc>
          <w:tcPr>
            <w:tcW w:w="7560" w:type="dxa"/>
            <w:noWrap/>
            <w:vAlign w:val="center"/>
            <w:hideMark/>
          </w:tcPr>
          <w:p w14:paraId="3A984C97" w14:textId="77777777" w:rsidR="00F94891" w:rsidRPr="00E040C2" w:rsidRDefault="00F94891" w:rsidP="00F94891">
            <w:pPr>
              <w:rPr>
                <w:rFonts w:cs="Arial"/>
                <w:color w:val="000000"/>
              </w:rPr>
            </w:pPr>
            <w:r w:rsidRPr="00E040C2">
              <w:rPr>
                <w:rFonts w:cs="Arial"/>
                <w:color w:val="000000"/>
              </w:rPr>
              <w:t>Body mass index (BMI) 38.0-38.9, adult</w:t>
            </w:r>
          </w:p>
        </w:tc>
      </w:tr>
      <w:tr w:rsidR="00F94891" w:rsidRPr="00E040C2" w14:paraId="41D57654" w14:textId="77777777" w:rsidTr="00696E8F">
        <w:trPr>
          <w:trHeight w:val="300"/>
        </w:trPr>
        <w:tc>
          <w:tcPr>
            <w:tcW w:w="1872" w:type="dxa"/>
            <w:noWrap/>
            <w:vAlign w:val="center"/>
            <w:hideMark/>
          </w:tcPr>
          <w:p w14:paraId="607A8079" w14:textId="77777777" w:rsidR="00F94891" w:rsidRPr="00E040C2" w:rsidRDefault="00F94891" w:rsidP="00F94891">
            <w:pPr>
              <w:rPr>
                <w:rFonts w:cs="Arial"/>
                <w:color w:val="000000"/>
              </w:rPr>
            </w:pPr>
            <w:r w:rsidRPr="00E040C2">
              <w:rPr>
                <w:rFonts w:cs="Arial"/>
                <w:color w:val="000000"/>
              </w:rPr>
              <w:t>Z68.39</w:t>
            </w:r>
          </w:p>
        </w:tc>
        <w:tc>
          <w:tcPr>
            <w:tcW w:w="7560" w:type="dxa"/>
            <w:noWrap/>
            <w:vAlign w:val="center"/>
            <w:hideMark/>
          </w:tcPr>
          <w:p w14:paraId="569F8C47" w14:textId="77777777" w:rsidR="00F94891" w:rsidRPr="00E040C2" w:rsidRDefault="00F94891" w:rsidP="00F94891">
            <w:pPr>
              <w:rPr>
                <w:rFonts w:cs="Arial"/>
                <w:color w:val="000000"/>
              </w:rPr>
            </w:pPr>
            <w:r w:rsidRPr="00E040C2">
              <w:rPr>
                <w:rFonts w:cs="Arial"/>
                <w:color w:val="000000"/>
              </w:rPr>
              <w:t>Body mass index (BMI) 39.0-39.9, adult</w:t>
            </w:r>
          </w:p>
        </w:tc>
      </w:tr>
      <w:tr w:rsidR="00F94891" w:rsidRPr="00E040C2" w14:paraId="3510896D" w14:textId="77777777" w:rsidTr="00696E8F">
        <w:trPr>
          <w:trHeight w:val="300"/>
        </w:trPr>
        <w:tc>
          <w:tcPr>
            <w:tcW w:w="1872" w:type="dxa"/>
            <w:noWrap/>
            <w:vAlign w:val="center"/>
            <w:hideMark/>
          </w:tcPr>
          <w:p w14:paraId="35295BFE" w14:textId="77777777" w:rsidR="00F94891" w:rsidRPr="00E040C2" w:rsidRDefault="00F94891" w:rsidP="00F94891">
            <w:pPr>
              <w:rPr>
                <w:rFonts w:cs="Arial"/>
                <w:color w:val="000000"/>
              </w:rPr>
            </w:pPr>
            <w:r w:rsidRPr="00E040C2">
              <w:rPr>
                <w:rFonts w:cs="Arial"/>
                <w:color w:val="000000"/>
              </w:rPr>
              <w:t>Z68.41</w:t>
            </w:r>
          </w:p>
        </w:tc>
        <w:tc>
          <w:tcPr>
            <w:tcW w:w="7560" w:type="dxa"/>
            <w:noWrap/>
            <w:vAlign w:val="center"/>
            <w:hideMark/>
          </w:tcPr>
          <w:p w14:paraId="0EBAF332" w14:textId="77777777" w:rsidR="00F94891" w:rsidRPr="00E040C2" w:rsidRDefault="00F94891" w:rsidP="00F94891">
            <w:pPr>
              <w:rPr>
                <w:rFonts w:cs="Arial"/>
                <w:color w:val="000000"/>
              </w:rPr>
            </w:pPr>
            <w:r w:rsidRPr="00E040C2">
              <w:rPr>
                <w:rFonts w:cs="Arial"/>
                <w:color w:val="000000"/>
              </w:rPr>
              <w:t>Body mass index (BMI) 40.0-44.9, adult</w:t>
            </w:r>
          </w:p>
        </w:tc>
      </w:tr>
      <w:tr w:rsidR="00F94891" w:rsidRPr="00E040C2" w14:paraId="3FB1E439" w14:textId="77777777" w:rsidTr="00696E8F">
        <w:trPr>
          <w:trHeight w:val="300"/>
        </w:trPr>
        <w:tc>
          <w:tcPr>
            <w:tcW w:w="1872" w:type="dxa"/>
            <w:noWrap/>
            <w:vAlign w:val="center"/>
            <w:hideMark/>
          </w:tcPr>
          <w:p w14:paraId="5674E048" w14:textId="77777777" w:rsidR="00F94891" w:rsidRPr="00E040C2" w:rsidRDefault="00F94891" w:rsidP="00F94891">
            <w:pPr>
              <w:rPr>
                <w:rFonts w:cs="Arial"/>
                <w:color w:val="000000"/>
              </w:rPr>
            </w:pPr>
            <w:r w:rsidRPr="00E040C2">
              <w:rPr>
                <w:rFonts w:cs="Arial"/>
                <w:color w:val="000000"/>
              </w:rPr>
              <w:t>Z68.42</w:t>
            </w:r>
          </w:p>
        </w:tc>
        <w:tc>
          <w:tcPr>
            <w:tcW w:w="7560" w:type="dxa"/>
            <w:noWrap/>
            <w:vAlign w:val="center"/>
            <w:hideMark/>
          </w:tcPr>
          <w:p w14:paraId="5CCD0126" w14:textId="77777777" w:rsidR="00F94891" w:rsidRPr="00E040C2" w:rsidRDefault="00F94891" w:rsidP="00F94891">
            <w:pPr>
              <w:rPr>
                <w:rFonts w:cs="Arial"/>
                <w:color w:val="000000"/>
              </w:rPr>
            </w:pPr>
            <w:r w:rsidRPr="00E040C2">
              <w:rPr>
                <w:rFonts w:cs="Arial"/>
                <w:color w:val="000000"/>
              </w:rPr>
              <w:t>Body mass index (BMI) 45.0-49.9, adult</w:t>
            </w:r>
          </w:p>
        </w:tc>
      </w:tr>
      <w:tr w:rsidR="00F94891" w:rsidRPr="00E040C2" w14:paraId="4BD032DC" w14:textId="77777777" w:rsidTr="00696E8F">
        <w:trPr>
          <w:trHeight w:val="300"/>
        </w:trPr>
        <w:tc>
          <w:tcPr>
            <w:tcW w:w="1872" w:type="dxa"/>
            <w:noWrap/>
            <w:vAlign w:val="center"/>
            <w:hideMark/>
          </w:tcPr>
          <w:p w14:paraId="268D3B3F" w14:textId="77777777" w:rsidR="00F94891" w:rsidRPr="00E040C2" w:rsidRDefault="00F94891" w:rsidP="00F94891">
            <w:pPr>
              <w:rPr>
                <w:rFonts w:cs="Arial"/>
                <w:color w:val="000000"/>
              </w:rPr>
            </w:pPr>
            <w:r w:rsidRPr="00E040C2">
              <w:rPr>
                <w:rFonts w:cs="Arial"/>
                <w:color w:val="000000"/>
              </w:rPr>
              <w:t>Z68.43</w:t>
            </w:r>
          </w:p>
        </w:tc>
        <w:tc>
          <w:tcPr>
            <w:tcW w:w="7560" w:type="dxa"/>
            <w:noWrap/>
            <w:vAlign w:val="center"/>
            <w:hideMark/>
          </w:tcPr>
          <w:p w14:paraId="13269FE1" w14:textId="385FA56E" w:rsidR="00F94891" w:rsidRPr="00E040C2" w:rsidRDefault="00F94891" w:rsidP="00F94891">
            <w:pPr>
              <w:rPr>
                <w:rFonts w:cs="Arial"/>
                <w:color w:val="000000"/>
              </w:rPr>
            </w:pPr>
            <w:r w:rsidRPr="00E040C2">
              <w:rPr>
                <w:rFonts w:cs="Arial"/>
                <w:color w:val="000000"/>
              </w:rPr>
              <w:t>Body mass inde</w:t>
            </w:r>
            <w:r>
              <w:rPr>
                <w:rFonts w:cs="Arial"/>
                <w:color w:val="000000"/>
              </w:rPr>
              <w:t>x (BMI) 50.0-59.9</w:t>
            </w:r>
            <w:r w:rsidRPr="00E040C2">
              <w:rPr>
                <w:rFonts w:cs="Arial"/>
                <w:color w:val="000000"/>
              </w:rPr>
              <w:t>, adult</w:t>
            </w:r>
          </w:p>
        </w:tc>
      </w:tr>
      <w:tr w:rsidR="00F94891" w:rsidRPr="00E040C2" w14:paraId="6D29873E" w14:textId="77777777" w:rsidTr="00696E8F">
        <w:trPr>
          <w:trHeight w:val="300"/>
        </w:trPr>
        <w:tc>
          <w:tcPr>
            <w:tcW w:w="1872" w:type="dxa"/>
            <w:noWrap/>
            <w:vAlign w:val="center"/>
            <w:hideMark/>
          </w:tcPr>
          <w:p w14:paraId="0D3BFDA3" w14:textId="77777777" w:rsidR="00F94891" w:rsidRPr="00E040C2" w:rsidRDefault="00F94891" w:rsidP="00F94891">
            <w:pPr>
              <w:rPr>
                <w:rFonts w:cs="Arial"/>
                <w:color w:val="000000"/>
              </w:rPr>
            </w:pPr>
            <w:r w:rsidRPr="00E040C2">
              <w:rPr>
                <w:rFonts w:cs="Arial"/>
                <w:color w:val="000000"/>
              </w:rPr>
              <w:t>Z68.44</w:t>
            </w:r>
          </w:p>
        </w:tc>
        <w:tc>
          <w:tcPr>
            <w:tcW w:w="7560" w:type="dxa"/>
            <w:noWrap/>
            <w:vAlign w:val="center"/>
            <w:hideMark/>
          </w:tcPr>
          <w:p w14:paraId="517E1647" w14:textId="77777777" w:rsidR="00F94891" w:rsidRPr="00E040C2" w:rsidRDefault="00F94891" w:rsidP="00F94891">
            <w:pPr>
              <w:rPr>
                <w:rFonts w:cs="Arial"/>
                <w:color w:val="000000"/>
              </w:rPr>
            </w:pPr>
            <w:r w:rsidRPr="00E040C2">
              <w:rPr>
                <w:rFonts w:cs="Arial"/>
                <w:color w:val="000000"/>
              </w:rPr>
              <w:t>Body mass index (BMI) 60.0-69.9, adult</w:t>
            </w:r>
          </w:p>
        </w:tc>
      </w:tr>
      <w:tr w:rsidR="00F94891" w:rsidRPr="00E040C2" w14:paraId="5E50A523" w14:textId="77777777" w:rsidTr="00696E8F">
        <w:trPr>
          <w:trHeight w:val="300"/>
        </w:trPr>
        <w:tc>
          <w:tcPr>
            <w:tcW w:w="1872" w:type="dxa"/>
            <w:noWrap/>
            <w:vAlign w:val="center"/>
            <w:hideMark/>
          </w:tcPr>
          <w:p w14:paraId="6D36537A" w14:textId="77777777" w:rsidR="00F94891" w:rsidRPr="00E040C2" w:rsidRDefault="00F94891" w:rsidP="00F94891">
            <w:pPr>
              <w:rPr>
                <w:rFonts w:cs="Arial"/>
                <w:color w:val="000000"/>
              </w:rPr>
            </w:pPr>
            <w:r w:rsidRPr="00E040C2">
              <w:rPr>
                <w:rFonts w:cs="Arial"/>
                <w:color w:val="000000"/>
              </w:rPr>
              <w:t>Z68.45</w:t>
            </w:r>
          </w:p>
        </w:tc>
        <w:tc>
          <w:tcPr>
            <w:tcW w:w="7560" w:type="dxa"/>
            <w:noWrap/>
            <w:vAlign w:val="center"/>
            <w:hideMark/>
          </w:tcPr>
          <w:p w14:paraId="582D5632" w14:textId="77777777" w:rsidR="00F94891" w:rsidRPr="00E040C2" w:rsidRDefault="00F94891" w:rsidP="00F94891">
            <w:pPr>
              <w:rPr>
                <w:rFonts w:cs="Arial"/>
                <w:color w:val="000000"/>
              </w:rPr>
            </w:pPr>
            <w:r w:rsidRPr="00E040C2">
              <w:rPr>
                <w:rFonts w:cs="Arial"/>
                <w:color w:val="000000"/>
              </w:rPr>
              <w:t>Body mass index (BMI) 70 or greater, adult</w:t>
            </w:r>
          </w:p>
        </w:tc>
      </w:tr>
    </w:tbl>
    <w:p w14:paraId="56DC1BE9" w14:textId="77777777" w:rsidR="00A05F36" w:rsidRDefault="00A05F36" w:rsidP="00BC1491">
      <w:pPr>
        <w:rPr>
          <w:rFonts w:cs="Arial"/>
          <w:b/>
        </w:rPr>
      </w:pPr>
    </w:p>
    <w:p w14:paraId="798B14E6" w14:textId="124BB998" w:rsidR="00D51874" w:rsidRDefault="00D51874">
      <w:pPr>
        <w:rPr>
          <w:rFonts w:cs="Arial"/>
          <w:b/>
        </w:rPr>
      </w:pPr>
      <w:r w:rsidRPr="002911AD">
        <w:rPr>
          <w:rFonts w:cs="Arial"/>
          <w:b/>
        </w:rPr>
        <w:t xml:space="preserve">CPT </w:t>
      </w:r>
      <w:r>
        <w:rPr>
          <w:rFonts w:cs="Arial"/>
          <w:b/>
        </w:rPr>
        <w:t>Bariatric Surgery for Weight Loss</w:t>
      </w:r>
      <w:r w:rsidRPr="002911AD">
        <w:rPr>
          <w:rFonts w:cs="Arial"/>
          <w:b/>
        </w:rPr>
        <w:t xml:space="preserve"> Procedure Code</w:t>
      </w:r>
      <w:r>
        <w:rPr>
          <w:rFonts w:cs="Arial"/>
          <w:b/>
        </w:rPr>
        <w:t xml:space="preserve">s </w:t>
      </w:r>
    </w:p>
    <w:p w14:paraId="7827E37D" w14:textId="77777777" w:rsidR="00D51874" w:rsidRDefault="00D51874">
      <w:pPr>
        <w:rPr>
          <w:rFonts w:cs="Arial"/>
          <w:b/>
        </w:rPr>
      </w:pPr>
    </w:p>
    <w:p w14:paraId="77FF9A03" w14:textId="20FCF46E" w:rsidR="0046185E" w:rsidRDefault="0046185E" w:rsidP="0046185E">
      <w:pPr>
        <w:rPr>
          <w:lang w:eastAsia="ja-JP"/>
        </w:rPr>
      </w:pPr>
      <w:r w:rsidRPr="00222413">
        <w:rPr>
          <w:lang w:eastAsia="ja-JP"/>
        </w:rPr>
        <w:t>Leapfrog has provi</w:t>
      </w:r>
      <w:r>
        <w:rPr>
          <w:lang w:eastAsia="ja-JP"/>
        </w:rPr>
        <w:t>ded a set of CPT codes</w:t>
      </w:r>
      <w:r w:rsidRPr="00222413">
        <w:rPr>
          <w:lang w:eastAsia="ja-JP"/>
        </w:rPr>
        <w:t xml:space="preserve"> for counting </w:t>
      </w:r>
      <w:r w:rsidRPr="00222413">
        <w:rPr>
          <w:b/>
          <w:lang w:eastAsia="ja-JP"/>
        </w:rPr>
        <w:t>patients</w:t>
      </w:r>
      <w:r>
        <w:rPr>
          <w:lang w:eastAsia="ja-JP"/>
        </w:rPr>
        <w:t xml:space="preserve"> </w:t>
      </w:r>
      <w:r w:rsidRPr="00222413">
        <w:rPr>
          <w:lang w:eastAsia="ja-JP"/>
        </w:rPr>
        <w:t xml:space="preserve">discharged from your </w:t>
      </w:r>
      <w:r>
        <w:rPr>
          <w:lang w:eastAsia="ja-JP"/>
        </w:rPr>
        <w:t>hospital</w:t>
      </w:r>
      <w:r w:rsidRPr="00222413">
        <w:rPr>
          <w:lang w:eastAsia="ja-JP"/>
        </w:rPr>
        <w:t xml:space="preserve"> who have undergone </w:t>
      </w:r>
      <w:r>
        <w:rPr>
          <w:lang w:eastAsia="ja-JP"/>
        </w:rPr>
        <w:t>the procedure</w:t>
      </w:r>
      <w:r w:rsidRPr="00222413">
        <w:rPr>
          <w:lang w:eastAsia="ja-JP"/>
        </w:rPr>
        <w:t xml:space="preserve"> during the reporting period</w:t>
      </w:r>
      <w:r>
        <w:rPr>
          <w:lang w:eastAsia="ja-JP"/>
        </w:rPr>
        <w:t xml:space="preserve"> on an outpatient basis</w:t>
      </w:r>
      <w:r w:rsidRPr="00222413">
        <w:rPr>
          <w:lang w:eastAsia="ja-JP"/>
        </w:rPr>
        <w:t xml:space="preserve">. </w:t>
      </w:r>
    </w:p>
    <w:p w14:paraId="23C4697C" w14:textId="77777777" w:rsidR="0046185E" w:rsidRDefault="0046185E" w:rsidP="0046185E">
      <w:pPr>
        <w:rPr>
          <w:lang w:eastAsia="ja-JP"/>
        </w:rPr>
      </w:pPr>
    </w:p>
    <w:p w14:paraId="410F7F35" w14:textId="53EE875A" w:rsidR="0046185E" w:rsidRPr="00D51874" w:rsidRDefault="0046185E" w:rsidP="0046185E">
      <w:pPr>
        <w:rPr>
          <w:rFonts w:cs="Arial"/>
          <w:lang w:eastAsia="ja-JP"/>
        </w:rPr>
      </w:pPr>
      <w:bookmarkStart w:id="268" w:name="_Hlk123123892"/>
      <w:r w:rsidRPr="00D51874">
        <w:rPr>
          <w:rFonts w:cs="Arial"/>
          <w:lang w:eastAsia="ja-JP"/>
        </w:rPr>
        <w:t xml:space="preserve">CPT Codes are provided in downloadable </w:t>
      </w:r>
      <w:r w:rsidR="0040556C">
        <w:rPr>
          <w:rFonts w:cs="Arial"/>
          <w:lang w:eastAsia="ja-JP"/>
        </w:rPr>
        <w:t>E</w:t>
      </w:r>
      <w:r w:rsidRPr="00D51874">
        <w:rPr>
          <w:rFonts w:cs="Arial"/>
          <w:lang w:eastAsia="ja-JP"/>
        </w:rPr>
        <w:t xml:space="preserve">xcel files </w:t>
      </w:r>
      <w:r>
        <w:rPr>
          <w:rFonts w:cs="Arial"/>
          <w:lang w:eastAsia="ja-JP"/>
        </w:rPr>
        <w:t>on the Survey Dashboard</w:t>
      </w:r>
      <w:r w:rsidRPr="00D51874">
        <w:rPr>
          <w:rFonts w:cs="Arial"/>
          <w:lang w:eastAsia="ja-JP"/>
        </w:rPr>
        <w:t xml:space="preserve">. To access the files, click the CPT Code Workbook button </w:t>
      </w:r>
      <w:r w:rsidRPr="00D51874">
        <w:rPr>
          <w:rStyle w:val="Hyperlink"/>
          <w:rFonts w:cs="Arial"/>
          <w:color w:val="auto"/>
          <w:u w:val="none"/>
          <w:lang w:eastAsia="ja-JP"/>
        </w:rPr>
        <w:t>next to Section 9</w:t>
      </w:r>
      <w:r>
        <w:rPr>
          <w:rStyle w:val="Hyperlink"/>
          <w:rFonts w:cs="Arial"/>
          <w:color w:val="auto"/>
          <w:u w:val="none"/>
          <w:lang w:eastAsia="ja-JP"/>
        </w:rPr>
        <w:t>.</w:t>
      </w:r>
      <w:r w:rsidRPr="00D51874">
        <w:rPr>
          <w:rStyle w:val="Hyperlink"/>
          <w:rFonts w:cs="Arial"/>
          <w:color w:val="auto"/>
          <w:u w:val="none"/>
          <w:lang w:eastAsia="ja-JP"/>
        </w:rPr>
        <w:t xml:space="preserve"> </w:t>
      </w:r>
      <w:r>
        <w:rPr>
          <w:rFonts w:cs="Arial"/>
          <w:lang w:eastAsia="ja-JP"/>
        </w:rPr>
        <w:t>Y</w:t>
      </w:r>
      <w:r w:rsidRPr="00D51874">
        <w:rPr>
          <w:rFonts w:cs="Arial"/>
          <w:lang w:eastAsia="ja-JP"/>
        </w:rPr>
        <w:t>ou will be required to complete the American Medical Association’s Terms of Use</w:t>
      </w:r>
      <w:r w:rsidRPr="00D51874">
        <w:rPr>
          <w:lang w:eastAsia="ja-JP"/>
        </w:rPr>
        <w:t xml:space="preserve"> before downloading the </w:t>
      </w:r>
      <w:r w:rsidR="0040556C">
        <w:rPr>
          <w:lang w:eastAsia="ja-JP"/>
        </w:rPr>
        <w:t>E</w:t>
      </w:r>
      <w:r w:rsidRPr="00D51874">
        <w:rPr>
          <w:lang w:eastAsia="ja-JP"/>
        </w:rPr>
        <w:t xml:space="preserve">xcel file and using the individual CPT codes to query </w:t>
      </w:r>
      <w:r>
        <w:rPr>
          <w:lang w:eastAsia="ja-JP"/>
        </w:rPr>
        <w:t xml:space="preserve">your </w:t>
      </w:r>
      <w:r w:rsidRPr="00D51874">
        <w:rPr>
          <w:lang w:eastAsia="ja-JP"/>
        </w:rPr>
        <w:t xml:space="preserve">EHR or billing system. </w:t>
      </w:r>
      <w:r w:rsidRPr="00D51874">
        <w:rPr>
          <w:rFonts w:cs="Arial"/>
          <w:lang w:eastAsia="ja-JP"/>
        </w:rPr>
        <w:t xml:space="preserve">You are only required to complete the Terms of Use once per Survey Cycle (April 1 – November 30). </w:t>
      </w:r>
    </w:p>
    <w:p w14:paraId="0A8FE0D6" w14:textId="77777777" w:rsidR="0046185E" w:rsidRPr="00D51874" w:rsidRDefault="0046185E" w:rsidP="0046185E">
      <w:pPr>
        <w:rPr>
          <w:rFonts w:cs="Arial"/>
          <w:lang w:eastAsia="ja-JP"/>
        </w:rPr>
      </w:pPr>
    </w:p>
    <w:p w14:paraId="1F8A43AA" w14:textId="24918542" w:rsidR="00D51874" w:rsidRDefault="0046185E" w:rsidP="00FB41BD">
      <w:pPr>
        <w:rPr>
          <w:rFonts w:cs="Arial"/>
          <w:lang w:eastAsia="ja-JP"/>
        </w:rPr>
      </w:pPr>
      <w:r>
        <w:rPr>
          <w:rFonts w:cs="Arial"/>
          <w:lang w:eastAsia="ja-JP"/>
        </w:rPr>
        <w:t xml:space="preserve">The </w:t>
      </w:r>
      <w:r w:rsidRPr="00D51874">
        <w:rPr>
          <w:rFonts w:cs="Arial"/>
          <w:lang w:eastAsia="ja-JP"/>
        </w:rPr>
        <w:t>CPT Code Workbook</w:t>
      </w:r>
      <w:r>
        <w:rPr>
          <w:rFonts w:cs="Arial"/>
          <w:lang w:eastAsia="ja-JP"/>
        </w:rPr>
        <w:t>s</w:t>
      </w:r>
      <w:r w:rsidRPr="00D51874">
        <w:rPr>
          <w:rFonts w:cs="Arial"/>
          <w:lang w:eastAsia="ja-JP"/>
        </w:rPr>
        <w:t xml:space="preserve"> (</w:t>
      </w:r>
      <w:r w:rsidR="0040556C">
        <w:rPr>
          <w:rFonts w:cs="Arial"/>
          <w:lang w:eastAsia="ja-JP"/>
        </w:rPr>
        <w:t>E</w:t>
      </w:r>
      <w:r w:rsidRPr="00D51874">
        <w:rPr>
          <w:rFonts w:cs="Arial"/>
          <w:lang w:eastAsia="ja-JP"/>
        </w:rPr>
        <w:t>xcel file</w:t>
      </w:r>
      <w:r>
        <w:rPr>
          <w:rFonts w:cs="Arial"/>
          <w:lang w:eastAsia="ja-JP"/>
        </w:rPr>
        <w:t>s</w:t>
      </w:r>
      <w:r w:rsidRPr="00D51874">
        <w:rPr>
          <w:rFonts w:cs="Arial"/>
          <w:lang w:eastAsia="ja-JP"/>
        </w:rPr>
        <w:t xml:space="preserve">) are labeled </w:t>
      </w:r>
      <w:r>
        <w:rPr>
          <w:rFonts w:cs="Arial"/>
          <w:lang w:eastAsia="ja-JP"/>
        </w:rPr>
        <w:t xml:space="preserve">for </w:t>
      </w:r>
      <w:r w:rsidRPr="00D51874">
        <w:rPr>
          <w:rFonts w:cs="Arial"/>
          <w:lang w:eastAsia="ja-JP"/>
        </w:rPr>
        <w:t xml:space="preserve">Section 3A: Total Hip Replacement, Total Knee Replacement, and Bariatric Surgery for Weight Loss and Section 9C: Volume of Procedures. </w:t>
      </w:r>
      <w:bookmarkEnd w:id="268"/>
      <w:r w:rsidR="00FB41BD" w:rsidRPr="00D51874">
        <w:rPr>
          <w:rFonts w:cs="Arial"/>
          <w:lang w:eastAsia="ja-JP"/>
        </w:rPr>
        <w:t>Please note</w:t>
      </w:r>
      <w:r w:rsidR="00FB41BD">
        <w:rPr>
          <w:rFonts w:cs="Arial"/>
          <w:lang w:eastAsia="ja-JP"/>
        </w:rPr>
        <w:t>, i</w:t>
      </w:r>
      <w:r w:rsidR="00FB41BD" w:rsidRPr="00FB41BD">
        <w:rPr>
          <w:rFonts w:cs="Arial"/>
          <w:lang w:eastAsia="ja-JP"/>
        </w:rPr>
        <w:t>f you are part of a hospital system, each hospital will need to complete the Terms of Use. This is a requirement of the American Medical Association.</w:t>
      </w:r>
    </w:p>
    <w:p w14:paraId="30403882" w14:textId="77777777" w:rsidR="00FB41BD" w:rsidRPr="00222413" w:rsidRDefault="00FB41BD" w:rsidP="00FB41BD">
      <w:pPr>
        <w:rPr>
          <w:lang w:eastAsia="ja-JP"/>
        </w:rPr>
      </w:pPr>
    </w:p>
    <w:p w14:paraId="16529937" w14:textId="7845B8D5" w:rsidR="00D51874" w:rsidRPr="00222413" w:rsidRDefault="00D51874" w:rsidP="00D51874">
      <w:pPr>
        <w:rPr>
          <w:lang w:eastAsia="ja-JP"/>
        </w:rPr>
      </w:pPr>
      <w:r>
        <w:rPr>
          <w:lang w:eastAsia="ja-JP"/>
        </w:rPr>
        <w:t>Using the CPT codes found for Bariatric Surgery for Weight Loss in the “Instructions” sheet, count t</w:t>
      </w:r>
      <w:r w:rsidRPr="00222413">
        <w:rPr>
          <w:lang w:eastAsia="ja-JP"/>
        </w:rPr>
        <w:t xml:space="preserve">he total number of adult (18 years of age or older) patients discharged </w:t>
      </w:r>
      <w:r>
        <w:rPr>
          <w:lang w:eastAsia="ja-JP"/>
        </w:rPr>
        <w:t xml:space="preserve">for the procedures </w:t>
      </w:r>
      <w:r w:rsidRPr="00222413">
        <w:rPr>
          <w:lang w:eastAsia="ja-JP"/>
        </w:rPr>
        <w:t xml:space="preserve">with </w:t>
      </w:r>
      <w:r>
        <w:rPr>
          <w:lang w:eastAsia="ja-JP"/>
        </w:rPr>
        <w:t>the</w:t>
      </w:r>
      <w:r w:rsidRPr="00222413">
        <w:rPr>
          <w:lang w:eastAsia="ja-JP"/>
        </w:rPr>
        <w:t xml:space="preserve"> CPT code</w:t>
      </w:r>
      <w:r>
        <w:rPr>
          <w:lang w:eastAsia="ja-JP"/>
        </w:rPr>
        <w:t>s</w:t>
      </w:r>
      <w:r w:rsidRPr="00222413">
        <w:rPr>
          <w:lang w:eastAsia="ja-JP"/>
        </w:rPr>
        <w:t xml:space="preserve"> listed</w:t>
      </w:r>
      <w:r w:rsidR="007A2370">
        <w:rPr>
          <w:lang w:eastAsia="ja-JP"/>
        </w:rPr>
        <w:t xml:space="preserve"> </w:t>
      </w:r>
      <w:r w:rsidR="007A2370" w:rsidRPr="006904F9">
        <w:rPr>
          <w:rFonts w:cs="Arial"/>
          <w:b/>
          <w:bCs/>
        </w:rPr>
        <w:t>AND</w:t>
      </w:r>
      <w:r w:rsidR="007A2370" w:rsidRPr="009A5185">
        <w:rPr>
          <w:rFonts w:cs="Arial"/>
        </w:rPr>
        <w:t xml:space="preserve"> any of the </w:t>
      </w:r>
      <w:r w:rsidR="00407E32">
        <w:rPr>
          <w:rFonts w:cs="Arial"/>
        </w:rPr>
        <w:t>above</w:t>
      </w:r>
      <w:r w:rsidR="007A2370" w:rsidRPr="009A5185">
        <w:rPr>
          <w:rFonts w:cs="Arial"/>
        </w:rPr>
        <w:t xml:space="preserve"> ICD-10 </w:t>
      </w:r>
      <w:r w:rsidR="00407E32">
        <w:rPr>
          <w:rFonts w:cs="Arial"/>
        </w:rPr>
        <w:t xml:space="preserve">diagnosis </w:t>
      </w:r>
      <w:r w:rsidR="007A2370" w:rsidRPr="009A5185">
        <w:rPr>
          <w:rFonts w:cs="Arial"/>
        </w:rPr>
        <w:t xml:space="preserve">codes in the </w:t>
      </w:r>
      <w:r w:rsidR="007A2370" w:rsidRPr="009A5185">
        <w:rPr>
          <w:rFonts w:cs="Arial"/>
          <w:b/>
          <w:u w:val="single"/>
        </w:rPr>
        <w:t>primary</w:t>
      </w:r>
      <w:r w:rsidR="007A2370" w:rsidRPr="009A5185">
        <w:rPr>
          <w:rFonts w:cs="Arial"/>
        </w:rPr>
        <w:t xml:space="preserve"> diagnosis field.</w:t>
      </w:r>
      <w:r w:rsidRPr="00222413">
        <w:rPr>
          <w:lang w:eastAsia="ja-JP"/>
        </w:rPr>
        <w:t xml:space="preserve"> The CPT code</w:t>
      </w:r>
      <w:r>
        <w:rPr>
          <w:lang w:eastAsia="ja-JP"/>
        </w:rPr>
        <w:t>s</w:t>
      </w:r>
      <w:r w:rsidRPr="00222413">
        <w:rPr>
          <w:lang w:eastAsia="ja-JP"/>
        </w:rPr>
        <w:t xml:space="preserve"> can be in any procedure field.</w:t>
      </w:r>
    </w:p>
    <w:p w14:paraId="55279E92" w14:textId="2E678623" w:rsidR="00A05F36" w:rsidRDefault="00A05F36">
      <w:pPr>
        <w:rPr>
          <w:rFonts w:cs="Arial"/>
          <w:b/>
        </w:rPr>
      </w:pPr>
    </w:p>
    <w:p w14:paraId="6BFB3A93" w14:textId="5491C534" w:rsidR="00A05F36" w:rsidRPr="009A5185" w:rsidRDefault="00A05F36" w:rsidP="000C2C54">
      <w:pPr>
        <w:pStyle w:val="Heading44"/>
      </w:pPr>
      <w:bookmarkStart w:id="269" w:name="_Total_Knee_Replacement"/>
      <w:bookmarkEnd w:id="269"/>
      <w:r>
        <w:t>Total Knee Replacement</w:t>
      </w:r>
      <w:r w:rsidRPr="009A5185">
        <w:t xml:space="preserve"> Measure </w:t>
      </w:r>
      <w:r w:rsidR="000765C6">
        <w:t>Specifications</w:t>
      </w:r>
    </w:p>
    <w:p w14:paraId="20031D0E" w14:textId="77777777" w:rsidR="00A05F36" w:rsidRPr="009A5185" w:rsidRDefault="00A05F36" w:rsidP="00A05F36">
      <w:pPr>
        <w:rPr>
          <w:rFonts w:cs="Arial"/>
        </w:rPr>
      </w:pPr>
    </w:p>
    <w:p w14:paraId="327E5B1C" w14:textId="57C31E2F" w:rsidR="00A05F36" w:rsidRPr="009A5185" w:rsidRDefault="00A05F36" w:rsidP="00A05F36">
      <w:pPr>
        <w:rPr>
          <w:rFonts w:cs="Arial"/>
        </w:rPr>
      </w:pPr>
      <w:bookmarkStart w:id="270" w:name="_Hlk57906836"/>
      <w:r w:rsidRPr="009A5185">
        <w:rPr>
          <w:rFonts w:cs="Arial"/>
        </w:rPr>
        <w:t xml:space="preserve">For </w:t>
      </w:r>
      <w:r>
        <w:rPr>
          <w:rFonts w:cs="Arial"/>
        </w:rPr>
        <w:t>total knee replacement</w:t>
      </w:r>
      <w:r w:rsidRPr="009A5185">
        <w:rPr>
          <w:rFonts w:cs="Arial"/>
        </w:rPr>
        <w:t xml:space="preserve">, </w:t>
      </w:r>
      <w:r w:rsidRPr="00873014">
        <w:rPr>
          <w:rFonts w:cs="Arial"/>
        </w:rPr>
        <w:t xml:space="preserve">there </w:t>
      </w:r>
      <w:r w:rsidR="005665EE">
        <w:rPr>
          <w:rFonts w:cs="Arial"/>
        </w:rPr>
        <w:t xml:space="preserve">are two sets of codes. One </w:t>
      </w:r>
      <w:r w:rsidRPr="00873014">
        <w:rPr>
          <w:rFonts w:cs="Arial"/>
        </w:rPr>
        <w:t>set of ICD-10 codes</w:t>
      </w:r>
      <w:r w:rsidR="005665EE">
        <w:rPr>
          <w:rFonts w:cs="Arial"/>
        </w:rPr>
        <w:t xml:space="preserve"> for counting inpatient discharges and one</w:t>
      </w:r>
      <w:r w:rsidR="002911AD">
        <w:rPr>
          <w:rFonts w:cs="Arial"/>
        </w:rPr>
        <w:t xml:space="preserve"> CPT code</w:t>
      </w:r>
      <w:r w:rsidRPr="00873014">
        <w:rPr>
          <w:rFonts w:cs="Arial"/>
        </w:rPr>
        <w:t xml:space="preserve"> for counting </w:t>
      </w:r>
      <w:r w:rsidR="002911AD">
        <w:rPr>
          <w:rFonts w:cs="Arial"/>
        </w:rPr>
        <w:t xml:space="preserve">outpatient </w:t>
      </w:r>
      <w:r w:rsidRPr="00873014">
        <w:rPr>
          <w:rFonts w:cs="Arial"/>
        </w:rPr>
        <w:t xml:space="preserve">discharges. The </w:t>
      </w:r>
      <w:r w:rsidR="005665EE">
        <w:rPr>
          <w:rFonts w:cs="Arial"/>
        </w:rPr>
        <w:t xml:space="preserve">two </w:t>
      </w:r>
      <w:r w:rsidRPr="00873014">
        <w:rPr>
          <w:rFonts w:cs="Arial"/>
        </w:rPr>
        <w:t>set</w:t>
      </w:r>
      <w:r w:rsidR="005665EE">
        <w:rPr>
          <w:rFonts w:cs="Arial"/>
        </w:rPr>
        <w:t>s</w:t>
      </w:r>
      <w:r w:rsidRPr="00873014">
        <w:rPr>
          <w:rFonts w:cs="Arial"/>
        </w:rPr>
        <w:t xml:space="preserve"> of codes </w:t>
      </w:r>
      <w:r w:rsidR="005665EE">
        <w:rPr>
          <w:rFonts w:cs="Arial"/>
        </w:rPr>
        <w:t xml:space="preserve">are </w:t>
      </w:r>
      <w:r w:rsidRPr="00873014">
        <w:rPr>
          <w:rFonts w:cs="Arial"/>
        </w:rPr>
        <w:t>to identify patients who have had the procedure.</w:t>
      </w:r>
    </w:p>
    <w:p w14:paraId="3479FD6A" w14:textId="77777777" w:rsidR="00A05F36" w:rsidRPr="009A5185" w:rsidRDefault="00A05F36" w:rsidP="00A05F36">
      <w:pPr>
        <w:rPr>
          <w:rFonts w:cs="Arial"/>
        </w:rPr>
      </w:pPr>
    </w:p>
    <w:bookmarkEnd w:id="270"/>
    <w:p w14:paraId="38D11943" w14:textId="77777777" w:rsidR="00DE7E98" w:rsidRPr="00D51874" w:rsidRDefault="00DE7E98" w:rsidP="00DE7E98">
      <w:pPr>
        <w:rPr>
          <w:rFonts w:cs="Arial"/>
        </w:rPr>
      </w:pPr>
      <w:r w:rsidRPr="00D51874">
        <w:rPr>
          <w:rFonts w:cs="Arial"/>
        </w:rPr>
        <w:t>To determine the number of patients, ages 18 years and older, discharged for this procedure, hospitals have two options:</w:t>
      </w:r>
    </w:p>
    <w:p w14:paraId="48C2F2E2" w14:textId="4C690F41" w:rsidR="00DE7E98" w:rsidRPr="00D51874" w:rsidRDefault="00DE7E98" w:rsidP="00AD309C">
      <w:pPr>
        <w:pStyle w:val="ListParagraph"/>
        <w:numPr>
          <w:ilvl w:val="0"/>
          <w:numId w:val="177"/>
        </w:numPr>
        <w:rPr>
          <w:rFonts w:cs="Arial"/>
        </w:rPr>
      </w:pPr>
      <w:r w:rsidRPr="00D51874">
        <w:rPr>
          <w:rFonts w:cs="Arial"/>
        </w:rPr>
        <w:t xml:space="preserve">Count the number of patients, ages 18 years and older, discharged with any of the following ICD-10 codes in the </w:t>
      </w:r>
      <w:r w:rsidRPr="00D51874">
        <w:rPr>
          <w:rFonts w:cs="Arial"/>
          <w:b/>
          <w:bCs/>
          <w:u w:val="single"/>
        </w:rPr>
        <w:t>primary</w:t>
      </w:r>
      <w:r w:rsidRPr="00D51874">
        <w:rPr>
          <w:rFonts w:cs="Arial"/>
        </w:rPr>
        <w:t xml:space="preserve"> procedure field</w:t>
      </w:r>
      <w:r w:rsidR="00544757">
        <w:rPr>
          <w:rFonts w:cs="Arial"/>
        </w:rPr>
        <w:t xml:space="preserve"> or the CPT Code </w:t>
      </w:r>
      <w:r w:rsidR="00544757" w:rsidRPr="009A5185">
        <w:rPr>
          <w:rFonts w:cs="Arial"/>
        </w:rPr>
        <w:t>in any procedure field</w:t>
      </w:r>
      <w:r w:rsidRPr="00D51874">
        <w:rPr>
          <w:rFonts w:cs="Arial"/>
        </w:rPr>
        <w:t xml:space="preserve">. This method does not require chart review. Hospitals should report on total knee replacement procedures performed in the outpatient locations included in Section </w:t>
      </w:r>
      <w:r w:rsidR="000B1028">
        <w:rPr>
          <w:rFonts w:cs="Arial"/>
        </w:rPr>
        <w:t>9</w:t>
      </w:r>
      <w:r w:rsidRPr="00D51874">
        <w:rPr>
          <w:rFonts w:cs="Arial"/>
        </w:rPr>
        <w:t>: Outpatient Procedures.</w:t>
      </w:r>
    </w:p>
    <w:p w14:paraId="79ECB63E" w14:textId="310A83A0" w:rsidR="00DE7E98" w:rsidRPr="00541516" w:rsidRDefault="00DE7E98" w:rsidP="00AD309C">
      <w:pPr>
        <w:pStyle w:val="ListParagraph"/>
        <w:numPr>
          <w:ilvl w:val="0"/>
          <w:numId w:val="177"/>
        </w:numPr>
        <w:rPr>
          <w:rFonts w:cs="Arial"/>
        </w:rPr>
      </w:pPr>
      <w:r w:rsidRPr="00D51874">
        <w:rPr>
          <w:rFonts w:cs="Arial"/>
        </w:rPr>
        <w:t xml:space="preserve">Count the number of patients, ages 18 years and older, discharged with any of the following ICD-10 codes </w:t>
      </w:r>
      <w:r w:rsidR="00544757">
        <w:rPr>
          <w:rFonts w:cs="Arial"/>
        </w:rPr>
        <w:t xml:space="preserve">or CPT Code </w:t>
      </w:r>
      <w:r w:rsidRPr="00D51874">
        <w:rPr>
          <w:rFonts w:cs="Arial"/>
        </w:rPr>
        <w:t xml:space="preserve">in any procedure field. </w:t>
      </w:r>
      <w:r w:rsidR="00544757">
        <w:rPr>
          <w:rFonts w:cs="Arial"/>
          <w:b/>
          <w:bCs/>
        </w:rPr>
        <w:t xml:space="preserve">For </w:t>
      </w:r>
      <w:r w:rsidR="00D803A4">
        <w:rPr>
          <w:rFonts w:cs="Arial"/>
          <w:b/>
          <w:bCs/>
        </w:rPr>
        <w:t xml:space="preserve">inpatient </w:t>
      </w:r>
      <w:r w:rsidR="00544757">
        <w:rPr>
          <w:rFonts w:cs="Arial"/>
          <w:b/>
          <w:bCs/>
        </w:rPr>
        <w:t xml:space="preserve">cases </w:t>
      </w:r>
      <w:r w:rsidR="00D803A4">
        <w:rPr>
          <w:rFonts w:cs="Arial"/>
          <w:b/>
          <w:bCs/>
        </w:rPr>
        <w:t>using</w:t>
      </w:r>
      <w:r w:rsidR="00544757">
        <w:rPr>
          <w:rFonts w:cs="Arial"/>
          <w:b/>
          <w:bCs/>
        </w:rPr>
        <w:t xml:space="preserve"> ICD-10 codes, e</w:t>
      </w:r>
      <w:r w:rsidRPr="00D51874">
        <w:rPr>
          <w:rFonts w:cs="Arial"/>
          <w:b/>
          <w:bCs/>
        </w:rPr>
        <w:t>xclude any patients where the procedure was done as a revision</w:t>
      </w:r>
      <w:r w:rsidRPr="00D51874">
        <w:rPr>
          <w:rFonts w:cs="Arial"/>
        </w:rPr>
        <w:t xml:space="preserve"> (i.e., the presence of one of the procedure codes is necessary, but not sufficient for inclusion). This method requires chart review </w:t>
      </w:r>
      <w:r w:rsidR="00D803A4">
        <w:rPr>
          <w:rFonts w:cs="Arial"/>
        </w:rPr>
        <w:t xml:space="preserve">of inpatient cases </w:t>
      </w:r>
      <w:r w:rsidRPr="00D51874">
        <w:rPr>
          <w:rFonts w:cs="Arial"/>
        </w:rPr>
        <w:t xml:space="preserve">to ensure that revisions are not included. </w:t>
      </w:r>
      <w:r w:rsidR="00544757">
        <w:rPr>
          <w:rFonts w:cs="Arial"/>
        </w:rPr>
        <w:t xml:space="preserve">Chart review is not required for </w:t>
      </w:r>
      <w:r w:rsidR="00D803A4">
        <w:rPr>
          <w:rFonts w:cs="Arial"/>
        </w:rPr>
        <w:t xml:space="preserve">outpatient </w:t>
      </w:r>
      <w:r w:rsidR="00544757">
        <w:rPr>
          <w:rFonts w:cs="Arial"/>
        </w:rPr>
        <w:t xml:space="preserve">cases </w:t>
      </w:r>
      <w:r w:rsidR="00D803A4">
        <w:rPr>
          <w:rFonts w:cs="Arial"/>
        </w:rPr>
        <w:t>using</w:t>
      </w:r>
      <w:r w:rsidR="00544757">
        <w:rPr>
          <w:rFonts w:cs="Arial"/>
        </w:rPr>
        <w:t xml:space="preserve"> the specified CPT Code. </w:t>
      </w:r>
      <w:r w:rsidRPr="00D51874">
        <w:rPr>
          <w:rFonts w:cs="Arial"/>
        </w:rPr>
        <w:t xml:space="preserve">Hospitals should report on total knee </w:t>
      </w:r>
      <w:r w:rsidRPr="00D51874">
        <w:rPr>
          <w:rFonts w:cs="Arial"/>
        </w:rPr>
        <w:lastRenderedPageBreak/>
        <w:t xml:space="preserve">replacement procedures performed in the outpatient locations included in Section </w:t>
      </w:r>
      <w:r w:rsidR="000B1028">
        <w:rPr>
          <w:rFonts w:cs="Arial"/>
        </w:rPr>
        <w:t>9</w:t>
      </w:r>
      <w:r w:rsidRPr="00D51874">
        <w:rPr>
          <w:rFonts w:cs="Arial"/>
        </w:rPr>
        <w:t>: Outpatient Procedures.</w:t>
      </w:r>
      <w:r w:rsidR="00544757">
        <w:rPr>
          <w:rFonts w:cs="Arial"/>
        </w:rPr>
        <w:t xml:space="preserve"> </w:t>
      </w:r>
    </w:p>
    <w:p w14:paraId="3F3C966B" w14:textId="77777777" w:rsidR="00A05F36" w:rsidRPr="009A5185" w:rsidRDefault="00A05F36" w:rsidP="00A05F36">
      <w:pPr>
        <w:rPr>
          <w:rFonts w:cs="Arial"/>
        </w:rPr>
      </w:pPr>
    </w:p>
    <w:p w14:paraId="12635A92" w14:textId="4D30821D" w:rsidR="00A05F36" w:rsidRDefault="00A05F36" w:rsidP="00A05F36">
      <w:pPr>
        <w:rPr>
          <w:rFonts w:cs="Arial"/>
          <w:b/>
        </w:rPr>
      </w:pPr>
      <w:r w:rsidRPr="009A5185">
        <w:rPr>
          <w:rFonts w:cs="Arial"/>
          <w:b/>
        </w:rPr>
        <w:t xml:space="preserve">ICD-10 </w:t>
      </w:r>
      <w:r>
        <w:rPr>
          <w:rFonts w:cs="Arial"/>
          <w:b/>
        </w:rPr>
        <w:t>Total Knee Replacement</w:t>
      </w:r>
      <w:r w:rsidRPr="009A5185">
        <w:rPr>
          <w:rFonts w:cs="Arial"/>
          <w:b/>
        </w:rPr>
        <w:t xml:space="preserve"> Procedure Codes </w:t>
      </w:r>
    </w:p>
    <w:p w14:paraId="58FC7F2E" w14:textId="69A7F015" w:rsidR="004F7F0B" w:rsidRDefault="004F7F0B" w:rsidP="00A05F36">
      <w:pPr>
        <w:rPr>
          <w:rFonts w:cs="Arial"/>
          <w:b/>
        </w:rPr>
      </w:pPr>
    </w:p>
    <w:tbl>
      <w:tblPr>
        <w:tblStyle w:val="TableGrid"/>
        <w:tblW w:w="9360" w:type="dxa"/>
        <w:jc w:val="center"/>
        <w:tblLook w:val="04A0" w:firstRow="1" w:lastRow="0" w:firstColumn="1" w:lastColumn="0" w:noHBand="0" w:noVBand="1"/>
      </w:tblPr>
      <w:tblGrid>
        <w:gridCol w:w="1722"/>
        <w:gridCol w:w="7638"/>
      </w:tblGrid>
      <w:tr w:rsidR="004F7F0B" w:rsidRPr="00F43C2F" w14:paraId="24266366" w14:textId="77777777" w:rsidTr="00696E8F">
        <w:trPr>
          <w:trHeight w:val="300"/>
          <w:jc w:val="center"/>
        </w:trPr>
        <w:tc>
          <w:tcPr>
            <w:tcW w:w="1722" w:type="dxa"/>
            <w:shd w:val="clear" w:color="auto" w:fill="BFBFBF"/>
            <w:noWrap/>
            <w:vAlign w:val="center"/>
          </w:tcPr>
          <w:p w14:paraId="56B8FC5E" w14:textId="77777777" w:rsidR="004F7F0B" w:rsidRPr="00F43C2F" w:rsidRDefault="004F7F0B" w:rsidP="00696E8F">
            <w:pPr>
              <w:rPr>
                <w:rFonts w:cs="Arial"/>
                <w:color w:val="000000"/>
              </w:rPr>
            </w:pPr>
            <w:r w:rsidRPr="00F43C2F">
              <w:rPr>
                <w:rFonts w:cs="Arial"/>
                <w:b/>
                <w:bCs/>
                <w:color w:val="000000"/>
              </w:rPr>
              <w:t>ICD10 Procedure Code</w:t>
            </w:r>
          </w:p>
        </w:tc>
        <w:tc>
          <w:tcPr>
            <w:tcW w:w="7638" w:type="dxa"/>
            <w:shd w:val="clear" w:color="auto" w:fill="BFBFBF"/>
            <w:noWrap/>
            <w:vAlign w:val="center"/>
          </w:tcPr>
          <w:p w14:paraId="11B692B2" w14:textId="77777777" w:rsidR="004F7F0B" w:rsidRPr="00F43C2F" w:rsidRDefault="004F7F0B" w:rsidP="00696E8F">
            <w:pPr>
              <w:rPr>
                <w:rFonts w:cs="Arial"/>
                <w:color w:val="000000"/>
              </w:rPr>
            </w:pPr>
            <w:r w:rsidRPr="00F43C2F">
              <w:rPr>
                <w:rFonts w:cs="Arial"/>
                <w:b/>
                <w:bCs/>
                <w:color w:val="000000"/>
              </w:rPr>
              <w:t>Code Description</w:t>
            </w:r>
          </w:p>
        </w:tc>
      </w:tr>
      <w:tr w:rsidR="004F7F0B" w:rsidRPr="00F43C2F" w14:paraId="10B13C22" w14:textId="77777777" w:rsidTr="00696E8F">
        <w:trPr>
          <w:trHeight w:val="300"/>
          <w:jc w:val="center"/>
        </w:trPr>
        <w:tc>
          <w:tcPr>
            <w:tcW w:w="1722" w:type="dxa"/>
            <w:noWrap/>
            <w:vAlign w:val="center"/>
            <w:hideMark/>
          </w:tcPr>
          <w:p w14:paraId="6FC00463" w14:textId="77777777" w:rsidR="004F7F0B" w:rsidRPr="00F43C2F" w:rsidRDefault="004F7F0B" w:rsidP="00696E8F">
            <w:pPr>
              <w:rPr>
                <w:rFonts w:cs="Arial"/>
                <w:color w:val="000000"/>
              </w:rPr>
            </w:pPr>
            <w:r w:rsidRPr="00F43C2F">
              <w:rPr>
                <w:rFonts w:cs="Arial"/>
                <w:color w:val="000000"/>
              </w:rPr>
              <w:t>0SRC0J9</w:t>
            </w:r>
          </w:p>
        </w:tc>
        <w:tc>
          <w:tcPr>
            <w:tcW w:w="7638" w:type="dxa"/>
            <w:noWrap/>
            <w:vAlign w:val="center"/>
            <w:hideMark/>
          </w:tcPr>
          <w:p w14:paraId="34753CFB" w14:textId="77777777" w:rsidR="004F7F0B" w:rsidRPr="00F43C2F" w:rsidRDefault="004F7F0B" w:rsidP="00696E8F">
            <w:pPr>
              <w:rPr>
                <w:rFonts w:cs="Arial"/>
                <w:color w:val="000000"/>
              </w:rPr>
            </w:pPr>
            <w:r w:rsidRPr="00F43C2F">
              <w:rPr>
                <w:rFonts w:cs="Arial"/>
                <w:color w:val="000000"/>
              </w:rPr>
              <w:t>Replacement of Right Knee Joint with Synthetic Substitute, Cemented, Open Approach</w:t>
            </w:r>
          </w:p>
        </w:tc>
      </w:tr>
      <w:tr w:rsidR="004F7F0B" w:rsidRPr="00F43C2F" w14:paraId="7C856822" w14:textId="77777777" w:rsidTr="00696E8F">
        <w:trPr>
          <w:trHeight w:val="300"/>
          <w:jc w:val="center"/>
        </w:trPr>
        <w:tc>
          <w:tcPr>
            <w:tcW w:w="1722" w:type="dxa"/>
            <w:noWrap/>
            <w:vAlign w:val="center"/>
            <w:hideMark/>
          </w:tcPr>
          <w:p w14:paraId="7A5C9ABF" w14:textId="77777777" w:rsidR="004F7F0B" w:rsidRPr="00F43C2F" w:rsidRDefault="004F7F0B" w:rsidP="00696E8F">
            <w:pPr>
              <w:rPr>
                <w:rFonts w:cs="Arial"/>
                <w:color w:val="000000"/>
              </w:rPr>
            </w:pPr>
            <w:r w:rsidRPr="00F43C2F">
              <w:rPr>
                <w:rFonts w:cs="Arial"/>
                <w:color w:val="000000"/>
              </w:rPr>
              <w:t>0SRC0JA</w:t>
            </w:r>
          </w:p>
        </w:tc>
        <w:tc>
          <w:tcPr>
            <w:tcW w:w="7638" w:type="dxa"/>
            <w:noWrap/>
            <w:vAlign w:val="center"/>
            <w:hideMark/>
          </w:tcPr>
          <w:p w14:paraId="4DA98CA5" w14:textId="77777777" w:rsidR="004F7F0B" w:rsidRPr="00F43C2F" w:rsidRDefault="004F7F0B" w:rsidP="00696E8F">
            <w:pPr>
              <w:rPr>
                <w:rFonts w:cs="Arial"/>
                <w:color w:val="000000"/>
              </w:rPr>
            </w:pPr>
            <w:r w:rsidRPr="00F43C2F">
              <w:rPr>
                <w:rFonts w:cs="Arial"/>
                <w:color w:val="000000"/>
              </w:rPr>
              <w:t>Replacement of Right Knee Joint with Synthetic Substitute, Uncemented, Open Approach</w:t>
            </w:r>
          </w:p>
        </w:tc>
      </w:tr>
      <w:tr w:rsidR="004F7F0B" w:rsidRPr="00F43C2F" w14:paraId="358CB5D3" w14:textId="77777777" w:rsidTr="00696E8F">
        <w:trPr>
          <w:trHeight w:val="300"/>
          <w:jc w:val="center"/>
        </w:trPr>
        <w:tc>
          <w:tcPr>
            <w:tcW w:w="1722" w:type="dxa"/>
            <w:noWrap/>
            <w:vAlign w:val="center"/>
            <w:hideMark/>
          </w:tcPr>
          <w:p w14:paraId="24F8EA85" w14:textId="77777777" w:rsidR="004F7F0B" w:rsidRPr="00F43C2F" w:rsidRDefault="004F7F0B" w:rsidP="00696E8F">
            <w:pPr>
              <w:rPr>
                <w:rFonts w:cs="Arial"/>
                <w:color w:val="000000"/>
              </w:rPr>
            </w:pPr>
            <w:r w:rsidRPr="00F43C2F">
              <w:rPr>
                <w:rFonts w:cs="Arial"/>
                <w:color w:val="000000"/>
              </w:rPr>
              <w:t>0SRC0JZ</w:t>
            </w:r>
          </w:p>
        </w:tc>
        <w:tc>
          <w:tcPr>
            <w:tcW w:w="7638" w:type="dxa"/>
            <w:noWrap/>
            <w:vAlign w:val="center"/>
            <w:hideMark/>
          </w:tcPr>
          <w:p w14:paraId="7C49C80E" w14:textId="77777777" w:rsidR="004F7F0B" w:rsidRPr="00F43C2F" w:rsidRDefault="004F7F0B" w:rsidP="00696E8F">
            <w:pPr>
              <w:rPr>
                <w:rFonts w:cs="Arial"/>
                <w:color w:val="000000"/>
              </w:rPr>
            </w:pPr>
            <w:r w:rsidRPr="00F43C2F">
              <w:rPr>
                <w:rFonts w:cs="Arial"/>
                <w:color w:val="000000"/>
              </w:rPr>
              <w:t>Replacement of Right Knee Joint with Synthetic Substitute, Open Approach</w:t>
            </w:r>
          </w:p>
        </w:tc>
      </w:tr>
      <w:tr w:rsidR="004F7F0B" w:rsidRPr="00F43C2F" w14:paraId="04DDB6F5" w14:textId="77777777" w:rsidTr="00696E8F">
        <w:trPr>
          <w:trHeight w:val="300"/>
          <w:jc w:val="center"/>
        </w:trPr>
        <w:tc>
          <w:tcPr>
            <w:tcW w:w="1722" w:type="dxa"/>
            <w:noWrap/>
            <w:vAlign w:val="center"/>
            <w:hideMark/>
          </w:tcPr>
          <w:p w14:paraId="7228397D" w14:textId="77777777" w:rsidR="004F7F0B" w:rsidRPr="00F43C2F" w:rsidRDefault="004F7F0B" w:rsidP="00696E8F">
            <w:pPr>
              <w:rPr>
                <w:rFonts w:cs="Arial"/>
                <w:color w:val="000000"/>
              </w:rPr>
            </w:pPr>
            <w:r w:rsidRPr="00F43C2F">
              <w:rPr>
                <w:rFonts w:cs="Arial"/>
                <w:color w:val="000000"/>
              </w:rPr>
              <w:t>0SRD0J9</w:t>
            </w:r>
          </w:p>
        </w:tc>
        <w:tc>
          <w:tcPr>
            <w:tcW w:w="7638" w:type="dxa"/>
            <w:noWrap/>
            <w:vAlign w:val="center"/>
            <w:hideMark/>
          </w:tcPr>
          <w:p w14:paraId="0C326873" w14:textId="77777777" w:rsidR="004F7F0B" w:rsidRPr="00F43C2F" w:rsidRDefault="004F7F0B" w:rsidP="00696E8F">
            <w:pPr>
              <w:rPr>
                <w:rFonts w:cs="Arial"/>
                <w:color w:val="000000"/>
              </w:rPr>
            </w:pPr>
            <w:r w:rsidRPr="00F43C2F">
              <w:rPr>
                <w:rFonts w:cs="Arial"/>
                <w:color w:val="000000"/>
              </w:rPr>
              <w:t>Replacement of Left Knee Joint with Synthetic Substitute, Cemented, Open Approach</w:t>
            </w:r>
          </w:p>
        </w:tc>
      </w:tr>
      <w:tr w:rsidR="004F7F0B" w:rsidRPr="00F43C2F" w14:paraId="2F0E570F" w14:textId="77777777" w:rsidTr="00696E8F">
        <w:trPr>
          <w:trHeight w:val="300"/>
          <w:jc w:val="center"/>
        </w:trPr>
        <w:tc>
          <w:tcPr>
            <w:tcW w:w="1722" w:type="dxa"/>
            <w:noWrap/>
            <w:vAlign w:val="center"/>
            <w:hideMark/>
          </w:tcPr>
          <w:p w14:paraId="48C08ACD" w14:textId="77777777" w:rsidR="004F7F0B" w:rsidRPr="00F43C2F" w:rsidRDefault="004F7F0B" w:rsidP="00696E8F">
            <w:pPr>
              <w:rPr>
                <w:rFonts w:cs="Arial"/>
                <w:color w:val="000000"/>
              </w:rPr>
            </w:pPr>
            <w:r w:rsidRPr="00F43C2F">
              <w:rPr>
                <w:rFonts w:cs="Arial"/>
                <w:color w:val="000000"/>
              </w:rPr>
              <w:t>0SRD0JA</w:t>
            </w:r>
          </w:p>
        </w:tc>
        <w:tc>
          <w:tcPr>
            <w:tcW w:w="7638" w:type="dxa"/>
            <w:noWrap/>
            <w:vAlign w:val="center"/>
            <w:hideMark/>
          </w:tcPr>
          <w:p w14:paraId="1D99C459" w14:textId="77777777" w:rsidR="004F7F0B" w:rsidRPr="00F43C2F" w:rsidRDefault="004F7F0B" w:rsidP="00696E8F">
            <w:pPr>
              <w:rPr>
                <w:rFonts w:cs="Arial"/>
                <w:color w:val="000000"/>
              </w:rPr>
            </w:pPr>
            <w:r w:rsidRPr="00F43C2F">
              <w:rPr>
                <w:rFonts w:cs="Arial"/>
                <w:color w:val="000000"/>
              </w:rPr>
              <w:t>Replacement of Left Knee Joint with Synthetic Substitute, Uncemented, Open Approach</w:t>
            </w:r>
          </w:p>
        </w:tc>
      </w:tr>
      <w:tr w:rsidR="004F7F0B" w:rsidRPr="00F43C2F" w14:paraId="5ED0BCF9" w14:textId="77777777" w:rsidTr="00696E8F">
        <w:trPr>
          <w:trHeight w:val="300"/>
          <w:jc w:val="center"/>
        </w:trPr>
        <w:tc>
          <w:tcPr>
            <w:tcW w:w="1722" w:type="dxa"/>
            <w:noWrap/>
            <w:vAlign w:val="center"/>
            <w:hideMark/>
          </w:tcPr>
          <w:p w14:paraId="542EB44A" w14:textId="77777777" w:rsidR="004F7F0B" w:rsidRPr="00F43C2F" w:rsidRDefault="004F7F0B" w:rsidP="00696E8F">
            <w:pPr>
              <w:rPr>
                <w:rFonts w:cs="Arial"/>
                <w:color w:val="000000"/>
              </w:rPr>
            </w:pPr>
            <w:r w:rsidRPr="00F43C2F">
              <w:rPr>
                <w:rFonts w:cs="Arial"/>
                <w:color w:val="000000"/>
              </w:rPr>
              <w:t>0SRD0JZ</w:t>
            </w:r>
          </w:p>
        </w:tc>
        <w:tc>
          <w:tcPr>
            <w:tcW w:w="7638" w:type="dxa"/>
            <w:noWrap/>
            <w:vAlign w:val="center"/>
            <w:hideMark/>
          </w:tcPr>
          <w:p w14:paraId="1EC74C8F" w14:textId="77777777" w:rsidR="004F7F0B" w:rsidRPr="00F43C2F" w:rsidRDefault="004F7F0B" w:rsidP="00696E8F">
            <w:pPr>
              <w:rPr>
                <w:rFonts w:cs="Arial"/>
                <w:color w:val="000000"/>
              </w:rPr>
            </w:pPr>
            <w:r w:rsidRPr="00F43C2F">
              <w:rPr>
                <w:rFonts w:cs="Arial"/>
                <w:color w:val="000000"/>
              </w:rPr>
              <w:t>Replacement of Left Knee Joint with Synthetic Substitute, Open Approach</w:t>
            </w:r>
          </w:p>
        </w:tc>
      </w:tr>
      <w:tr w:rsidR="002911AD" w:rsidRPr="00F43C2F" w14:paraId="451CEC35" w14:textId="77777777" w:rsidTr="00696E8F">
        <w:trPr>
          <w:trHeight w:val="300"/>
          <w:jc w:val="center"/>
        </w:trPr>
        <w:tc>
          <w:tcPr>
            <w:tcW w:w="1722" w:type="dxa"/>
            <w:noWrap/>
            <w:vAlign w:val="center"/>
          </w:tcPr>
          <w:p w14:paraId="25E3C172" w14:textId="5708FBE5" w:rsidR="002911AD" w:rsidRPr="00F43C2F" w:rsidRDefault="002911AD" w:rsidP="00696E8F">
            <w:pPr>
              <w:rPr>
                <w:rFonts w:cs="Arial"/>
                <w:color w:val="000000"/>
              </w:rPr>
            </w:pPr>
            <w:r w:rsidRPr="00F02B7E">
              <w:rPr>
                <w:rFonts w:eastAsia="Calibri" w:cs="Arial"/>
                <w:color w:val="000000"/>
                <w:bdr w:val="none" w:sz="0" w:space="0" w:color="auto" w:frame="1"/>
              </w:rPr>
              <w:t>0SRC069</w:t>
            </w:r>
          </w:p>
        </w:tc>
        <w:tc>
          <w:tcPr>
            <w:tcW w:w="7638" w:type="dxa"/>
            <w:noWrap/>
            <w:vAlign w:val="center"/>
          </w:tcPr>
          <w:p w14:paraId="2D80E6A4" w14:textId="0EB47682" w:rsidR="002911AD" w:rsidRPr="00F43C2F" w:rsidRDefault="002911AD" w:rsidP="00696E8F">
            <w:pPr>
              <w:rPr>
                <w:rFonts w:cs="Arial"/>
                <w:color w:val="000000"/>
              </w:rPr>
            </w:pPr>
            <w:r w:rsidRPr="00F02B7E">
              <w:rPr>
                <w:rFonts w:eastAsia="Calibri" w:cs="Arial"/>
                <w:color w:val="000000"/>
                <w:bdr w:val="none" w:sz="0" w:space="0" w:color="auto" w:frame="1"/>
              </w:rPr>
              <w:t>Replacement of Right Knee Joint with Oxidized Zirconium on Polyethylene Synthetic Substitute, Cemented, Open Approach</w:t>
            </w:r>
          </w:p>
        </w:tc>
      </w:tr>
      <w:tr w:rsidR="002911AD" w:rsidRPr="00F43C2F" w14:paraId="482E0958" w14:textId="77777777" w:rsidTr="00696E8F">
        <w:trPr>
          <w:trHeight w:val="300"/>
          <w:jc w:val="center"/>
        </w:trPr>
        <w:tc>
          <w:tcPr>
            <w:tcW w:w="1722" w:type="dxa"/>
            <w:noWrap/>
            <w:vAlign w:val="center"/>
          </w:tcPr>
          <w:p w14:paraId="73D72387" w14:textId="3C33056F" w:rsidR="002911AD" w:rsidRPr="00F43C2F" w:rsidRDefault="002911AD" w:rsidP="00696E8F">
            <w:pPr>
              <w:rPr>
                <w:rFonts w:cs="Arial"/>
                <w:color w:val="000000"/>
              </w:rPr>
            </w:pPr>
            <w:r w:rsidRPr="00F02B7E">
              <w:rPr>
                <w:rFonts w:eastAsia="Calibri" w:cs="Arial"/>
                <w:color w:val="000000"/>
                <w:bdr w:val="none" w:sz="0" w:space="0" w:color="auto" w:frame="1"/>
              </w:rPr>
              <w:t>0SRC06A</w:t>
            </w:r>
          </w:p>
        </w:tc>
        <w:tc>
          <w:tcPr>
            <w:tcW w:w="7638" w:type="dxa"/>
            <w:noWrap/>
            <w:vAlign w:val="center"/>
          </w:tcPr>
          <w:p w14:paraId="1F7AE19D" w14:textId="0C64539C" w:rsidR="002911AD" w:rsidRPr="00F43C2F" w:rsidRDefault="002911AD" w:rsidP="00696E8F">
            <w:pPr>
              <w:rPr>
                <w:rFonts w:cs="Arial"/>
                <w:color w:val="000000"/>
              </w:rPr>
            </w:pPr>
            <w:r w:rsidRPr="00F02B7E">
              <w:rPr>
                <w:rFonts w:eastAsia="Calibri" w:cs="Arial"/>
                <w:color w:val="000000"/>
                <w:bdr w:val="none" w:sz="0" w:space="0" w:color="auto" w:frame="1"/>
              </w:rPr>
              <w:t>Replacement of Right Knee Joint with Oxidized Zirconium on Polyethylene Synthetic Substitute, Uncemented, Open Approach</w:t>
            </w:r>
          </w:p>
        </w:tc>
      </w:tr>
      <w:tr w:rsidR="002911AD" w:rsidRPr="00F43C2F" w14:paraId="3ECA8104" w14:textId="77777777" w:rsidTr="00696E8F">
        <w:trPr>
          <w:trHeight w:val="300"/>
          <w:jc w:val="center"/>
        </w:trPr>
        <w:tc>
          <w:tcPr>
            <w:tcW w:w="1722" w:type="dxa"/>
            <w:noWrap/>
            <w:vAlign w:val="center"/>
          </w:tcPr>
          <w:p w14:paraId="5E5CF96A" w14:textId="7FE84ACE" w:rsidR="002911AD" w:rsidRPr="00F43C2F" w:rsidRDefault="002911AD" w:rsidP="00696E8F">
            <w:pPr>
              <w:rPr>
                <w:rFonts w:cs="Arial"/>
                <w:color w:val="000000"/>
              </w:rPr>
            </w:pPr>
            <w:r w:rsidRPr="00F02B7E">
              <w:rPr>
                <w:rFonts w:eastAsia="Calibri" w:cs="Arial"/>
                <w:color w:val="000000"/>
                <w:bdr w:val="none" w:sz="0" w:space="0" w:color="auto" w:frame="1"/>
              </w:rPr>
              <w:t>0SRC06Z</w:t>
            </w:r>
          </w:p>
        </w:tc>
        <w:tc>
          <w:tcPr>
            <w:tcW w:w="7638" w:type="dxa"/>
            <w:noWrap/>
            <w:vAlign w:val="center"/>
          </w:tcPr>
          <w:p w14:paraId="2FD94F78" w14:textId="0D8AB773" w:rsidR="002911AD" w:rsidRPr="00F43C2F" w:rsidRDefault="002911AD" w:rsidP="00696E8F">
            <w:pPr>
              <w:rPr>
                <w:rFonts w:cs="Arial"/>
                <w:color w:val="000000"/>
              </w:rPr>
            </w:pPr>
            <w:r w:rsidRPr="00F02B7E">
              <w:rPr>
                <w:rFonts w:eastAsia="Calibri" w:cs="Arial"/>
                <w:color w:val="000000"/>
                <w:bdr w:val="none" w:sz="0" w:space="0" w:color="auto" w:frame="1"/>
              </w:rPr>
              <w:t>Replacement of Right Knee Joint with Oxidized Zirconium on Polyethylene Synthetic Substitute, Open Approach</w:t>
            </w:r>
          </w:p>
        </w:tc>
      </w:tr>
      <w:tr w:rsidR="002911AD" w:rsidRPr="00F43C2F" w14:paraId="5EE2467A" w14:textId="77777777" w:rsidTr="00696E8F">
        <w:trPr>
          <w:trHeight w:val="300"/>
          <w:jc w:val="center"/>
        </w:trPr>
        <w:tc>
          <w:tcPr>
            <w:tcW w:w="1722" w:type="dxa"/>
            <w:noWrap/>
            <w:vAlign w:val="center"/>
          </w:tcPr>
          <w:p w14:paraId="5C0F20BB" w14:textId="2FE2F17F" w:rsidR="002911AD" w:rsidRPr="00F02B7E" w:rsidRDefault="002911AD" w:rsidP="00696E8F">
            <w:pPr>
              <w:rPr>
                <w:rFonts w:eastAsia="Calibri" w:cs="Arial"/>
                <w:color w:val="000000"/>
                <w:bdr w:val="none" w:sz="0" w:space="0" w:color="auto" w:frame="1"/>
              </w:rPr>
            </w:pPr>
            <w:r w:rsidRPr="00F02B7E">
              <w:rPr>
                <w:rFonts w:eastAsia="Calibri" w:cs="Arial"/>
                <w:color w:val="000000"/>
                <w:bdr w:val="none" w:sz="0" w:space="0" w:color="auto" w:frame="1"/>
              </w:rPr>
              <w:t>0SRD069</w:t>
            </w:r>
          </w:p>
        </w:tc>
        <w:tc>
          <w:tcPr>
            <w:tcW w:w="7638" w:type="dxa"/>
            <w:noWrap/>
            <w:vAlign w:val="center"/>
          </w:tcPr>
          <w:p w14:paraId="4B678EE8" w14:textId="305758F3" w:rsidR="002911AD" w:rsidRPr="00F02B7E" w:rsidRDefault="002911AD" w:rsidP="00696E8F">
            <w:pPr>
              <w:rPr>
                <w:rFonts w:eastAsia="Calibri" w:cs="Arial"/>
                <w:color w:val="000000"/>
                <w:bdr w:val="none" w:sz="0" w:space="0" w:color="auto" w:frame="1"/>
              </w:rPr>
            </w:pPr>
            <w:r w:rsidRPr="00F02B7E">
              <w:rPr>
                <w:rFonts w:eastAsia="Calibri" w:cs="Arial"/>
                <w:color w:val="000000"/>
                <w:bdr w:val="none" w:sz="0" w:space="0" w:color="auto" w:frame="1"/>
              </w:rPr>
              <w:t>Replacement of Left Knee Joint with Oxidized Zirconium on Polyethylene Synthetic Substitute, Cemented, Open Approach</w:t>
            </w:r>
          </w:p>
        </w:tc>
      </w:tr>
      <w:tr w:rsidR="002911AD" w:rsidRPr="00F43C2F" w14:paraId="68FD01C8" w14:textId="77777777" w:rsidTr="00696E8F">
        <w:trPr>
          <w:trHeight w:val="300"/>
          <w:jc w:val="center"/>
        </w:trPr>
        <w:tc>
          <w:tcPr>
            <w:tcW w:w="1722" w:type="dxa"/>
            <w:noWrap/>
            <w:vAlign w:val="center"/>
          </w:tcPr>
          <w:p w14:paraId="7AE639E1" w14:textId="21FC2484" w:rsidR="002911AD" w:rsidRPr="00F02B7E" w:rsidRDefault="002911AD" w:rsidP="00696E8F">
            <w:pPr>
              <w:rPr>
                <w:rFonts w:eastAsia="Calibri" w:cs="Arial"/>
                <w:color w:val="000000"/>
                <w:bdr w:val="none" w:sz="0" w:space="0" w:color="auto" w:frame="1"/>
              </w:rPr>
            </w:pPr>
            <w:r w:rsidRPr="00F02B7E">
              <w:rPr>
                <w:rFonts w:eastAsia="Calibri" w:cs="Arial"/>
              </w:rPr>
              <w:t>0SRD06A</w:t>
            </w:r>
          </w:p>
        </w:tc>
        <w:tc>
          <w:tcPr>
            <w:tcW w:w="7638" w:type="dxa"/>
            <w:noWrap/>
            <w:vAlign w:val="center"/>
          </w:tcPr>
          <w:p w14:paraId="6D477268" w14:textId="6111A54E" w:rsidR="002911AD" w:rsidRPr="00F02B7E" w:rsidRDefault="002911AD" w:rsidP="00696E8F">
            <w:pPr>
              <w:rPr>
                <w:rFonts w:eastAsia="Calibri" w:cs="Arial"/>
                <w:color w:val="000000"/>
                <w:bdr w:val="none" w:sz="0" w:space="0" w:color="auto" w:frame="1"/>
              </w:rPr>
            </w:pPr>
            <w:r w:rsidRPr="00F02B7E">
              <w:rPr>
                <w:rFonts w:eastAsia="Calibri" w:cs="Arial"/>
              </w:rPr>
              <w:t>Replacement of Left Knee Joint with Oxidized Zirconium on Polyethylene Synthetic Substitute, Uncemented, Open Approach</w:t>
            </w:r>
          </w:p>
        </w:tc>
      </w:tr>
      <w:tr w:rsidR="002911AD" w:rsidRPr="00F43C2F" w14:paraId="25111E6D" w14:textId="77777777" w:rsidTr="00696E8F">
        <w:trPr>
          <w:trHeight w:val="300"/>
          <w:jc w:val="center"/>
        </w:trPr>
        <w:tc>
          <w:tcPr>
            <w:tcW w:w="1722" w:type="dxa"/>
            <w:noWrap/>
            <w:vAlign w:val="center"/>
          </w:tcPr>
          <w:p w14:paraId="153D0A48" w14:textId="7CFF9ADE" w:rsidR="002911AD" w:rsidRPr="00F02B7E" w:rsidRDefault="002911AD" w:rsidP="00696E8F">
            <w:pPr>
              <w:rPr>
                <w:rFonts w:eastAsia="Calibri" w:cs="Arial"/>
                <w:color w:val="000000"/>
                <w:bdr w:val="none" w:sz="0" w:space="0" w:color="auto" w:frame="1"/>
              </w:rPr>
            </w:pPr>
            <w:r w:rsidRPr="00F02B7E">
              <w:rPr>
                <w:rFonts w:eastAsia="Calibri" w:cs="Arial"/>
              </w:rPr>
              <w:t>0SRD06Z</w:t>
            </w:r>
          </w:p>
        </w:tc>
        <w:tc>
          <w:tcPr>
            <w:tcW w:w="7638" w:type="dxa"/>
            <w:noWrap/>
            <w:vAlign w:val="center"/>
          </w:tcPr>
          <w:p w14:paraId="61C0307D" w14:textId="74E52850" w:rsidR="002911AD" w:rsidRPr="00F02B7E" w:rsidRDefault="002911AD" w:rsidP="00696E8F">
            <w:pPr>
              <w:rPr>
                <w:rFonts w:eastAsia="Calibri" w:cs="Arial"/>
                <w:color w:val="000000"/>
                <w:bdr w:val="none" w:sz="0" w:space="0" w:color="auto" w:frame="1"/>
              </w:rPr>
            </w:pPr>
            <w:r w:rsidRPr="00F02B7E">
              <w:rPr>
                <w:rFonts w:eastAsia="Calibri" w:cs="Arial"/>
              </w:rPr>
              <w:t>Replacement of Left Knee Joint with Oxidized Zirconium on Polyethylene Synthetic Substitute, Open Approach</w:t>
            </w:r>
          </w:p>
        </w:tc>
      </w:tr>
    </w:tbl>
    <w:p w14:paraId="51721D36" w14:textId="77777777" w:rsidR="00A05F36" w:rsidRDefault="00A05F36" w:rsidP="00BC1491">
      <w:pPr>
        <w:rPr>
          <w:rFonts w:cs="Arial"/>
          <w:b/>
        </w:rPr>
      </w:pPr>
    </w:p>
    <w:p w14:paraId="35F7CEAD" w14:textId="6FA634E0" w:rsidR="002911AD" w:rsidRPr="002911AD" w:rsidRDefault="002911AD" w:rsidP="002911AD">
      <w:pPr>
        <w:rPr>
          <w:rFonts w:cs="Arial"/>
          <w:b/>
        </w:rPr>
      </w:pPr>
      <w:r w:rsidRPr="002911AD">
        <w:rPr>
          <w:rFonts w:cs="Arial"/>
          <w:b/>
        </w:rPr>
        <w:t>CPT Total Knee Replacement Procedure Code</w:t>
      </w:r>
    </w:p>
    <w:p w14:paraId="7EC09B56" w14:textId="77777777" w:rsidR="002911AD" w:rsidRPr="002911AD" w:rsidRDefault="002911AD" w:rsidP="002911AD">
      <w:pPr>
        <w:rPr>
          <w:rFonts w:cs="Arial"/>
          <w:b/>
        </w:rPr>
      </w:pPr>
    </w:p>
    <w:p w14:paraId="252F6C39" w14:textId="77777777" w:rsidR="00790082" w:rsidRDefault="00790082" w:rsidP="00790082">
      <w:pPr>
        <w:rPr>
          <w:lang w:eastAsia="ja-JP"/>
        </w:rPr>
      </w:pPr>
      <w:r w:rsidRPr="00222413">
        <w:rPr>
          <w:lang w:eastAsia="ja-JP"/>
        </w:rPr>
        <w:t>Leapfrog has provi</w:t>
      </w:r>
      <w:r>
        <w:rPr>
          <w:lang w:eastAsia="ja-JP"/>
        </w:rPr>
        <w:t>ded a CPT code</w:t>
      </w:r>
      <w:r w:rsidRPr="00222413">
        <w:rPr>
          <w:lang w:eastAsia="ja-JP"/>
        </w:rPr>
        <w:t xml:space="preserve"> for counting </w:t>
      </w:r>
      <w:r w:rsidRPr="00222413">
        <w:rPr>
          <w:b/>
          <w:lang w:eastAsia="ja-JP"/>
        </w:rPr>
        <w:t>patients</w:t>
      </w:r>
      <w:r>
        <w:rPr>
          <w:lang w:eastAsia="ja-JP"/>
        </w:rPr>
        <w:t xml:space="preserve"> </w:t>
      </w:r>
      <w:r w:rsidRPr="00222413">
        <w:rPr>
          <w:lang w:eastAsia="ja-JP"/>
        </w:rPr>
        <w:t xml:space="preserve">discharged from your </w:t>
      </w:r>
      <w:r>
        <w:rPr>
          <w:lang w:eastAsia="ja-JP"/>
        </w:rPr>
        <w:t>hospital</w:t>
      </w:r>
      <w:r w:rsidRPr="00222413">
        <w:rPr>
          <w:lang w:eastAsia="ja-JP"/>
        </w:rPr>
        <w:t xml:space="preserve"> who have undergone </w:t>
      </w:r>
      <w:r>
        <w:rPr>
          <w:lang w:eastAsia="ja-JP"/>
        </w:rPr>
        <w:t>the procedure</w:t>
      </w:r>
      <w:r w:rsidRPr="00222413">
        <w:rPr>
          <w:lang w:eastAsia="ja-JP"/>
        </w:rPr>
        <w:t xml:space="preserve"> during the reporting period</w:t>
      </w:r>
      <w:r>
        <w:rPr>
          <w:lang w:eastAsia="ja-JP"/>
        </w:rPr>
        <w:t xml:space="preserve"> on an outpatient basis</w:t>
      </w:r>
      <w:r w:rsidRPr="00222413">
        <w:rPr>
          <w:lang w:eastAsia="ja-JP"/>
        </w:rPr>
        <w:t xml:space="preserve">. </w:t>
      </w:r>
    </w:p>
    <w:p w14:paraId="27578A5E" w14:textId="77777777" w:rsidR="00790082" w:rsidRDefault="00790082" w:rsidP="00790082">
      <w:pPr>
        <w:rPr>
          <w:lang w:eastAsia="ja-JP"/>
        </w:rPr>
      </w:pPr>
    </w:p>
    <w:p w14:paraId="646412CF" w14:textId="591EFD68" w:rsidR="00790082" w:rsidRPr="00D51874" w:rsidRDefault="00790082" w:rsidP="00790082">
      <w:pPr>
        <w:rPr>
          <w:rFonts w:cs="Arial"/>
          <w:lang w:eastAsia="ja-JP"/>
        </w:rPr>
      </w:pPr>
      <w:r w:rsidRPr="00D51874">
        <w:rPr>
          <w:rFonts w:cs="Arial"/>
          <w:lang w:eastAsia="ja-JP"/>
        </w:rPr>
        <w:t xml:space="preserve">CPT Codes are provided in downloadable </w:t>
      </w:r>
      <w:r w:rsidR="0040556C">
        <w:rPr>
          <w:rFonts w:cs="Arial"/>
          <w:lang w:eastAsia="ja-JP"/>
        </w:rPr>
        <w:t>E</w:t>
      </w:r>
      <w:r w:rsidRPr="00D51874">
        <w:rPr>
          <w:rFonts w:cs="Arial"/>
          <w:lang w:eastAsia="ja-JP"/>
        </w:rPr>
        <w:t xml:space="preserve">xcel files </w:t>
      </w:r>
      <w:r>
        <w:rPr>
          <w:rFonts w:cs="Arial"/>
          <w:lang w:eastAsia="ja-JP"/>
        </w:rPr>
        <w:t>on the Survey Dashboard</w:t>
      </w:r>
      <w:r w:rsidRPr="00D51874">
        <w:rPr>
          <w:rFonts w:cs="Arial"/>
          <w:lang w:eastAsia="ja-JP"/>
        </w:rPr>
        <w:t xml:space="preserve">. To access the files, click the CPT Code Workbook button </w:t>
      </w:r>
      <w:r w:rsidRPr="00D51874">
        <w:rPr>
          <w:rStyle w:val="Hyperlink"/>
          <w:rFonts w:cs="Arial"/>
          <w:color w:val="auto"/>
          <w:u w:val="none"/>
          <w:lang w:eastAsia="ja-JP"/>
        </w:rPr>
        <w:t>next to Section 9</w:t>
      </w:r>
      <w:r>
        <w:rPr>
          <w:rStyle w:val="Hyperlink"/>
          <w:rFonts w:cs="Arial"/>
          <w:color w:val="auto"/>
          <w:u w:val="none"/>
          <w:lang w:eastAsia="ja-JP"/>
        </w:rPr>
        <w:t>.</w:t>
      </w:r>
      <w:r w:rsidRPr="00D51874">
        <w:rPr>
          <w:rStyle w:val="Hyperlink"/>
          <w:rFonts w:cs="Arial"/>
          <w:color w:val="auto"/>
          <w:u w:val="none"/>
          <w:lang w:eastAsia="ja-JP"/>
        </w:rPr>
        <w:t xml:space="preserve"> </w:t>
      </w:r>
      <w:r>
        <w:rPr>
          <w:rFonts w:cs="Arial"/>
          <w:lang w:eastAsia="ja-JP"/>
        </w:rPr>
        <w:t>Y</w:t>
      </w:r>
      <w:r w:rsidRPr="00D51874">
        <w:rPr>
          <w:rFonts w:cs="Arial"/>
          <w:lang w:eastAsia="ja-JP"/>
        </w:rPr>
        <w:t>ou will be required to complete the American Medical Association’s Terms of Use</w:t>
      </w:r>
      <w:r w:rsidRPr="00D51874">
        <w:rPr>
          <w:lang w:eastAsia="ja-JP"/>
        </w:rPr>
        <w:t xml:space="preserve"> before downloading the </w:t>
      </w:r>
      <w:r w:rsidR="0040556C">
        <w:rPr>
          <w:lang w:eastAsia="ja-JP"/>
        </w:rPr>
        <w:t>E</w:t>
      </w:r>
      <w:r w:rsidRPr="00D51874">
        <w:rPr>
          <w:lang w:eastAsia="ja-JP"/>
        </w:rPr>
        <w:t xml:space="preserve">xcel file and using the individual CPT codes to query </w:t>
      </w:r>
      <w:r>
        <w:rPr>
          <w:lang w:eastAsia="ja-JP"/>
        </w:rPr>
        <w:t xml:space="preserve">your </w:t>
      </w:r>
      <w:r w:rsidRPr="00D51874">
        <w:rPr>
          <w:lang w:eastAsia="ja-JP"/>
        </w:rPr>
        <w:t xml:space="preserve">EHR or billing system. </w:t>
      </w:r>
      <w:r w:rsidRPr="00D51874">
        <w:rPr>
          <w:rFonts w:cs="Arial"/>
          <w:lang w:eastAsia="ja-JP"/>
        </w:rPr>
        <w:t xml:space="preserve">You are only required to complete the Terms of Use once per Survey Cycle (April 1 – November 30). </w:t>
      </w:r>
    </w:p>
    <w:p w14:paraId="6E328728" w14:textId="77777777" w:rsidR="00790082" w:rsidRPr="00D51874" w:rsidRDefault="00790082" w:rsidP="00790082">
      <w:pPr>
        <w:rPr>
          <w:rFonts w:cs="Arial"/>
          <w:lang w:eastAsia="ja-JP"/>
        </w:rPr>
      </w:pPr>
    </w:p>
    <w:p w14:paraId="4269D22B" w14:textId="4B4F2C9C" w:rsidR="00CD4E66" w:rsidRDefault="00790082" w:rsidP="00FB41BD">
      <w:pPr>
        <w:rPr>
          <w:rFonts w:cs="Arial"/>
          <w:lang w:eastAsia="ja-JP"/>
        </w:rPr>
      </w:pPr>
      <w:r>
        <w:rPr>
          <w:rFonts w:cs="Arial"/>
          <w:lang w:eastAsia="ja-JP"/>
        </w:rPr>
        <w:t xml:space="preserve">The </w:t>
      </w:r>
      <w:r w:rsidRPr="00D51874">
        <w:rPr>
          <w:rFonts w:cs="Arial"/>
          <w:lang w:eastAsia="ja-JP"/>
        </w:rPr>
        <w:t>CPT Code Workbook</w:t>
      </w:r>
      <w:r>
        <w:rPr>
          <w:rFonts w:cs="Arial"/>
          <w:lang w:eastAsia="ja-JP"/>
        </w:rPr>
        <w:t>s</w:t>
      </w:r>
      <w:r w:rsidRPr="00D51874">
        <w:rPr>
          <w:rFonts w:cs="Arial"/>
          <w:lang w:eastAsia="ja-JP"/>
        </w:rPr>
        <w:t xml:space="preserve"> (</w:t>
      </w:r>
      <w:r w:rsidR="0040556C">
        <w:rPr>
          <w:rFonts w:cs="Arial"/>
          <w:lang w:eastAsia="ja-JP"/>
        </w:rPr>
        <w:t>E</w:t>
      </w:r>
      <w:r w:rsidRPr="00D51874">
        <w:rPr>
          <w:rFonts w:cs="Arial"/>
          <w:lang w:eastAsia="ja-JP"/>
        </w:rPr>
        <w:t>xcel file</w:t>
      </w:r>
      <w:r>
        <w:rPr>
          <w:rFonts w:cs="Arial"/>
          <w:lang w:eastAsia="ja-JP"/>
        </w:rPr>
        <w:t>s</w:t>
      </w:r>
      <w:r w:rsidRPr="00D51874">
        <w:rPr>
          <w:rFonts w:cs="Arial"/>
          <w:lang w:eastAsia="ja-JP"/>
        </w:rPr>
        <w:t xml:space="preserve">) are labeled </w:t>
      </w:r>
      <w:r>
        <w:rPr>
          <w:rFonts w:cs="Arial"/>
          <w:lang w:eastAsia="ja-JP"/>
        </w:rPr>
        <w:t xml:space="preserve">for </w:t>
      </w:r>
      <w:r w:rsidRPr="00D51874">
        <w:rPr>
          <w:rFonts w:cs="Arial"/>
          <w:lang w:eastAsia="ja-JP"/>
        </w:rPr>
        <w:t xml:space="preserve">Section 3A: Total Hip Replacement, Total Knee Replacement, and Bariatric Surgery for Weight Loss and Section 9C: Volume of Procedures. </w:t>
      </w:r>
      <w:r w:rsidR="00FB41BD" w:rsidRPr="00D51874">
        <w:rPr>
          <w:rFonts w:cs="Arial"/>
          <w:lang w:eastAsia="ja-JP"/>
        </w:rPr>
        <w:t>Please note</w:t>
      </w:r>
      <w:r w:rsidR="00FB41BD">
        <w:rPr>
          <w:rFonts w:cs="Arial"/>
          <w:lang w:eastAsia="ja-JP"/>
        </w:rPr>
        <w:t>, i</w:t>
      </w:r>
      <w:r w:rsidR="00FB41BD" w:rsidRPr="00FB41BD">
        <w:rPr>
          <w:rFonts w:cs="Arial"/>
          <w:lang w:eastAsia="ja-JP"/>
        </w:rPr>
        <w:t>f you are part of a hospital system, each hospital will need to complete the Terms of Use. This is a requirement of the American Medical Association.</w:t>
      </w:r>
    </w:p>
    <w:p w14:paraId="43AFED0D" w14:textId="77777777" w:rsidR="00FB41BD" w:rsidRPr="00222413" w:rsidRDefault="00FB41BD" w:rsidP="00FB41BD">
      <w:pPr>
        <w:rPr>
          <w:lang w:eastAsia="ja-JP"/>
        </w:rPr>
      </w:pPr>
    </w:p>
    <w:p w14:paraId="06DC5692" w14:textId="34E2A329" w:rsidR="00CD4E66" w:rsidRPr="00222413" w:rsidRDefault="00CD4E66" w:rsidP="00CD4E66">
      <w:pPr>
        <w:rPr>
          <w:lang w:eastAsia="ja-JP"/>
        </w:rPr>
      </w:pPr>
      <w:r>
        <w:rPr>
          <w:lang w:eastAsia="ja-JP"/>
        </w:rPr>
        <w:t>Using the</w:t>
      </w:r>
      <w:r w:rsidR="004C226A">
        <w:rPr>
          <w:lang w:eastAsia="ja-JP"/>
        </w:rPr>
        <w:t xml:space="preserve"> CPT code found for Total Knee Replacement in the</w:t>
      </w:r>
      <w:r>
        <w:rPr>
          <w:lang w:eastAsia="ja-JP"/>
        </w:rPr>
        <w:t xml:space="preserve"> “</w:t>
      </w:r>
      <w:r w:rsidR="004C226A">
        <w:rPr>
          <w:lang w:eastAsia="ja-JP"/>
        </w:rPr>
        <w:t>Instructions</w:t>
      </w:r>
      <w:r>
        <w:rPr>
          <w:lang w:eastAsia="ja-JP"/>
        </w:rPr>
        <w:t>” sheet, count t</w:t>
      </w:r>
      <w:r w:rsidRPr="00222413">
        <w:rPr>
          <w:lang w:eastAsia="ja-JP"/>
        </w:rPr>
        <w:t xml:space="preserve">he total number of adult (18 years of age or older) patients discharged </w:t>
      </w:r>
      <w:r>
        <w:rPr>
          <w:lang w:eastAsia="ja-JP"/>
        </w:rPr>
        <w:t xml:space="preserve">for </w:t>
      </w:r>
      <w:r w:rsidR="00D51874">
        <w:rPr>
          <w:lang w:eastAsia="ja-JP"/>
        </w:rPr>
        <w:t>the</w:t>
      </w:r>
      <w:r>
        <w:rPr>
          <w:lang w:eastAsia="ja-JP"/>
        </w:rPr>
        <w:t xml:space="preserve"> procedure </w:t>
      </w:r>
      <w:r w:rsidRPr="00222413">
        <w:rPr>
          <w:lang w:eastAsia="ja-JP"/>
        </w:rPr>
        <w:t xml:space="preserve">with </w:t>
      </w:r>
      <w:r w:rsidR="004C226A">
        <w:rPr>
          <w:lang w:eastAsia="ja-JP"/>
        </w:rPr>
        <w:t>the</w:t>
      </w:r>
      <w:r w:rsidRPr="00222413">
        <w:rPr>
          <w:lang w:eastAsia="ja-JP"/>
        </w:rPr>
        <w:t xml:space="preserve"> CPT code listed. The CPT code can be in any procedure field.</w:t>
      </w:r>
    </w:p>
    <w:p w14:paraId="4DF1D270" w14:textId="77777777" w:rsidR="00CD4E66" w:rsidRDefault="00CD4E66" w:rsidP="00CD4E66">
      <w:pPr>
        <w:rPr>
          <w:lang w:eastAsia="ja-JP"/>
        </w:rPr>
      </w:pPr>
    </w:p>
    <w:p w14:paraId="21D78DA4" w14:textId="606870C1" w:rsidR="00A05F36" w:rsidRDefault="00D65C69">
      <w:pPr>
        <w:rPr>
          <w:rFonts w:cs="Arial"/>
          <w:b/>
        </w:rPr>
      </w:pPr>
      <w:r>
        <w:rPr>
          <w:rFonts w:cs="Arial"/>
          <w:b/>
        </w:rPr>
        <w:br w:type="page"/>
      </w:r>
    </w:p>
    <w:p w14:paraId="65618B11" w14:textId="0534DF70" w:rsidR="00A05F36" w:rsidRPr="009A5185" w:rsidRDefault="00A05F36" w:rsidP="000C2C54">
      <w:pPr>
        <w:pStyle w:val="Heading44"/>
      </w:pPr>
      <w:bookmarkStart w:id="271" w:name="_Total_Hip_Replacement"/>
      <w:bookmarkEnd w:id="271"/>
      <w:r>
        <w:lastRenderedPageBreak/>
        <w:t>Total Hip Replacement</w:t>
      </w:r>
      <w:r w:rsidRPr="009A5185">
        <w:t xml:space="preserve"> Measure </w:t>
      </w:r>
      <w:r w:rsidR="000765C6">
        <w:t>Specifications</w:t>
      </w:r>
    </w:p>
    <w:p w14:paraId="6A20F7BF" w14:textId="77777777" w:rsidR="00A05F36" w:rsidRPr="009A5185" w:rsidRDefault="00A05F36" w:rsidP="00A05F36">
      <w:pPr>
        <w:rPr>
          <w:rFonts w:cs="Arial"/>
        </w:rPr>
      </w:pPr>
    </w:p>
    <w:p w14:paraId="0DCD3BCC" w14:textId="5717C18C" w:rsidR="00A05F36" w:rsidRPr="009A5185" w:rsidRDefault="00A05F36" w:rsidP="00A05F36">
      <w:pPr>
        <w:rPr>
          <w:rFonts w:cs="Arial"/>
        </w:rPr>
      </w:pPr>
      <w:r w:rsidRPr="009A5185">
        <w:rPr>
          <w:rFonts w:cs="Arial"/>
        </w:rPr>
        <w:t xml:space="preserve">For </w:t>
      </w:r>
      <w:r>
        <w:rPr>
          <w:rFonts w:cs="Arial"/>
        </w:rPr>
        <w:t>total hip replacement</w:t>
      </w:r>
      <w:r w:rsidRPr="009A5185">
        <w:rPr>
          <w:rFonts w:cs="Arial"/>
        </w:rPr>
        <w:t xml:space="preserve">, </w:t>
      </w:r>
      <w:r w:rsidRPr="00873014">
        <w:rPr>
          <w:rFonts w:cs="Arial"/>
        </w:rPr>
        <w:t xml:space="preserve">there </w:t>
      </w:r>
      <w:r w:rsidR="0086457E">
        <w:rPr>
          <w:rFonts w:cs="Arial"/>
        </w:rPr>
        <w:t>are two sets of codes. One set of ICD-10 codes for counting inpatient discharges and one CPT code for counting outpatient discharges.</w:t>
      </w:r>
      <w:r w:rsidRPr="00873014">
        <w:rPr>
          <w:rFonts w:cs="Arial"/>
        </w:rPr>
        <w:t xml:space="preserve"> The </w:t>
      </w:r>
      <w:r w:rsidR="0086457E">
        <w:rPr>
          <w:rFonts w:cs="Arial"/>
        </w:rPr>
        <w:t xml:space="preserve">two </w:t>
      </w:r>
      <w:r w:rsidRPr="00873014">
        <w:rPr>
          <w:rFonts w:cs="Arial"/>
        </w:rPr>
        <w:t>set</w:t>
      </w:r>
      <w:r w:rsidR="0086457E">
        <w:rPr>
          <w:rFonts w:cs="Arial"/>
        </w:rPr>
        <w:t>s</w:t>
      </w:r>
      <w:r w:rsidRPr="00873014">
        <w:rPr>
          <w:rFonts w:cs="Arial"/>
        </w:rPr>
        <w:t xml:space="preserve"> of codes </w:t>
      </w:r>
      <w:r w:rsidR="0086457E">
        <w:rPr>
          <w:rFonts w:cs="Arial"/>
        </w:rPr>
        <w:t>are</w:t>
      </w:r>
      <w:r w:rsidRPr="00873014">
        <w:rPr>
          <w:rFonts w:cs="Arial"/>
        </w:rPr>
        <w:t xml:space="preserve"> to identify patients who have had the procedure.</w:t>
      </w:r>
    </w:p>
    <w:p w14:paraId="157BB9AF" w14:textId="77777777" w:rsidR="00A05F36" w:rsidRPr="009A5185" w:rsidRDefault="00A05F36" w:rsidP="00A05F36">
      <w:pPr>
        <w:rPr>
          <w:rFonts w:cs="Arial"/>
        </w:rPr>
      </w:pPr>
    </w:p>
    <w:p w14:paraId="46C7654A" w14:textId="77777777" w:rsidR="00DE7E98" w:rsidRPr="00D51874" w:rsidRDefault="00DE7E98" w:rsidP="00DE7E98">
      <w:pPr>
        <w:rPr>
          <w:rFonts w:cs="Arial"/>
        </w:rPr>
      </w:pPr>
      <w:r w:rsidRPr="00D51874">
        <w:rPr>
          <w:rFonts w:cs="Arial"/>
        </w:rPr>
        <w:t>To determine the number of patients, ages 18 years and older, discharged for this procedure, hospitals have two options:</w:t>
      </w:r>
    </w:p>
    <w:p w14:paraId="6A85AC96" w14:textId="3A8332FF" w:rsidR="00DE7E98" w:rsidRPr="00D51874" w:rsidRDefault="00DE7E98" w:rsidP="00AD309C">
      <w:pPr>
        <w:pStyle w:val="ListParagraph"/>
        <w:numPr>
          <w:ilvl w:val="0"/>
          <w:numId w:val="177"/>
        </w:numPr>
        <w:rPr>
          <w:rFonts w:cs="Arial"/>
        </w:rPr>
      </w:pPr>
      <w:r w:rsidRPr="00D51874">
        <w:rPr>
          <w:rFonts w:cs="Arial"/>
        </w:rPr>
        <w:t xml:space="preserve">Count the number of patients, ages 18 years and older, discharged with any of the following ICD-10 codes in the </w:t>
      </w:r>
      <w:r w:rsidRPr="00D51874">
        <w:rPr>
          <w:rFonts w:cs="Arial"/>
          <w:b/>
          <w:bCs/>
          <w:u w:val="single"/>
        </w:rPr>
        <w:t>primary</w:t>
      </w:r>
      <w:r w:rsidRPr="00D51874">
        <w:rPr>
          <w:rFonts w:cs="Arial"/>
        </w:rPr>
        <w:t xml:space="preserve"> procedure field</w:t>
      </w:r>
      <w:r w:rsidR="00544757">
        <w:rPr>
          <w:rFonts w:cs="Arial"/>
        </w:rPr>
        <w:t xml:space="preserve"> </w:t>
      </w:r>
      <w:r w:rsidR="00544757" w:rsidRPr="00D51874">
        <w:rPr>
          <w:rFonts w:cs="Arial"/>
        </w:rPr>
        <w:t>or the CPT code</w:t>
      </w:r>
      <w:r w:rsidR="00544757">
        <w:rPr>
          <w:rFonts w:cs="Arial"/>
        </w:rPr>
        <w:t xml:space="preserve"> in any procedure field</w:t>
      </w:r>
      <w:r w:rsidRPr="00D51874">
        <w:rPr>
          <w:rFonts w:cs="Arial"/>
        </w:rPr>
        <w:t xml:space="preserve">. This method does not require chart review. Hospitals should report on total hip replacement procedures performed in the outpatient locations included in Section </w:t>
      </w:r>
      <w:r w:rsidR="000B1028">
        <w:rPr>
          <w:rFonts w:cs="Arial"/>
        </w:rPr>
        <w:t>9</w:t>
      </w:r>
      <w:r w:rsidRPr="00D51874">
        <w:rPr>
          <w:rFonts w:cs="Arial"/>
        </w:rPr>
        <w:t>: Outpatient Procedures.</w:t>
      </w:r>
    </w:p>
    <w:p w14:paraId="253AD521" w14:textId="5B4CE6DF" w:rsidR="00DE7E98" w:rsidRPr="00933DE8" w:rsidRDefault="00DE7E98" w:rsidP="00AD309C">
      <w:pPr>
        <w:pStyle w:val="ListParagraph"/>
        <w:numPr>
          <w:ilvl w:val="0"/>
          <w:numId w:val="177"/>
        </w:numPr>
        <w:rPr>
          <w:rFonts w:cs="Arial"/>
        </w:rPr>
      </w:pPr>
      <w:r w:rsidRPr="00D51874">
        <w:rPr>
          <w:rFonts w:cs="Arial"/>
        </w:rPr>
        <w:t xml:space="preserve">Count the number of patients, ages 18 years and older, discharged with any of the following ICD-10 codes or the CPT code in any procedure field. </w:t>
      </w:r>
      <w:r w:rsidR="00D803A4">
        <w:rPr>
          <w:rFonts w:cs="Arial"/>
          <w:b/>
          <w:bCs/>
        </w:rPr>
        <w:t>For inpatient cases using ICD-10 codes, e</w:t>
      </w:r>
      <w:r w:rsidR="00D803A4" w:rsidRPr="00D51874">
        <w:rPr>
          <w:rFonts w:cs="Arial"/>
          <w:b/>
          <w:bCs/>
        </w:rPr>
        <w:t>xclude any patients where the procedure was done as a revision</w:t>
      </w:r>
      <w:r w:rsidR="00D803A4" w:rsidRPr="00D51874">
        <w:rPr>
          <w:rFonts w:cs="Arial"/>
        </w:rPr>
        <w:t xml:space="preserve"> (i.e., the presence of one of the procedure codes is necessary, but not sufficient for inclusion). This method requires chart review </w:t>
      </w:r>
      <w:r w:rsidR="00D803A4">
        <w:rPr>
          <w:rFonts w:cs="Arial"/>
        </w:rPr>
        <w:t xml:space="preserve">of inpatient cases </w:t>
      </w:r>
      <w:r w:rsidR="00D803A4" w:rsidRPr="00D51874">
        <w:rPr>
          <w:rFonts w:cs="Arial"/>
        </w:rPr>
        <w:t xml:space="preserve">to ensure that revisions are not included. </w:t>
      </w:r>
      <w:r w:rsidR="00D803A4">
        <w:rPr>
          <w:rFonts w:cs="Arial"/>
        </w:rPr>
        <w:t>Chart review is not required for outpatient cases using the specified CPT Code.</w:t>
      </w:r>
      <w:r w:rsidRPr="00D51874">
        <w:rPr>
          <w:rFonts w:cs="Arial"/>
        </w:rPr>
        <w:t xml:space="preserve"> Hospitals should report on total hip replacement procedures performed in the outpatient locations included in Section </w:t>
      </w:r>
      <w:r w:rsidR="000B1028">
        <w:rPr>
          <w:rFonts w:cs="Arial"/>
        </w:rPr>
        <w:t>9</w:t>
      </w:r>
      <w:r w:rsidRPr="00D51874">
        <w:rPr>
          <w:rFonts w:cs="Arial"/>
        </w:rPr>
        <w:t>: Outpatient Procedures.</w:t>
      </w:r>
    </w:p>
    <w:p w14:paraId="7CE63535" w14:textId="77777777" w:rsidR="00A05F36" w:rsidRPr="009A5185" w:rsidRDefault="00A05F36" w:rsidP="00A05F36">
      <w:pPr>
        <w:rPr>
          <w:rFonts w:cs="Arial"/>
        </w:rPr>
      </w:pPr>
    </w:p>
    <w:p w14:paraId="26944052" w14:textId="77777777" w:rsidR="00A05F36" w:rsidRPr="009A5185" w:rsidRDefault="00A05F36" w:rsidP="00A05F36">
      <w:pPr>
        <w:rPr>
          <w:rFonts w:cs="Arial"/>
          <w:b/>
        </w:rPr>
      </w:pPr>
      <w:r w:rsidRPr="009A5185">
        <w:rPr>
          <w:rFonts w:cs="Arial"/>
          <w:b/>
        </w:rPr>
        <w:t xml:space="preserve">ICD-10 </w:t>
      </w:r>
      <w:r>
        <w:rPr>
          <w:rFonts w:cs="Arial"/>
          <w:b/>
        </w:rPr>
        <w:t>Total Hip Replacement</w:t>
      </w:r>
      <w:r w:rsidRPr="009A5185">
        <w:rPr>
          <w:rFonts w:cs="Arial"/>
          <w:b/>
        </w:rPr>
        <w:t xml:space="preserve"> Procedure Codes </w:t>
      </w:r>
    </w:p>
    <w:p w14:paraId="20744C41" w14:textId="77777777" w:rsidR="00A05F36" w:rsidRPr="00F43C2F" w:rsidRDefault="00A05F36" w:rsidP="00A05F36">
      <w:pPr>
        <w:rPr>
          <w:b/>
        </w:rPr>
      </w:pPr>
    </w:p>
    <w:tbl>
      <w:tblPr>
        <w:tblStyle w:val="TableGrid"/>
        <w:tblW w:w="9446" w:type="dxa"/>
        <w:jc w:val="center"/>
        <w:tblLook w:val="04A0" w:firstRow="1" w:lastRow="0" w:firstColumn="1" w:lastColumn="0" w:noHBand="0" w:noVBand="1"/>
      </w:tblPr>
      <w:tblGrid>
        <w:gridCol w:w="1890"/>
        <w:gridCol w:w="7556"/>
      </w:tblGrid>
      <w:tr w:rsidR="004F7F0B" w:rsidRPr="000264DB" w14:paraId="7B1F5984" w14:textId="77777777" w:rsidTr="00696E8F">
        <w:trPr>
          <w:trHeight w:val="300"/>
          <w:jc w:val="center"/>
        </w:trPr>
        <w:tc>
          <w:tcPr>
            <w:tcW w:w="1890" w:type="dxa"/>
            <w:shd w:val="clear" w:color="auto" w:fill="BFBFBF"/>
            <w:noWrap/>
            <w:vAlign w:val="center"/>
          </w:tcPr>
          <w:p w14:paraId="01536BA5" w14:textId="77777777" w:rsidR="004F7F0B" w:rsidRPr="000264DB" w:rsidRDefault="004F7F0B" w:rsidP="00696E8F">
            <w:pPr>
              <w:rPr>
                <w:rFonts w:cs="Arial"/>
                <w:color w:val="000000"/>
              </w:rPr>
            </w:pPr>
            <w:r w:rsidRPr="000264DB">
              <w:rPr>
                <w:rFonts w:cs="Arial"/>
                <w:b/>
                <w:bCs/>
                <w:color w:val="000000"/>
              </w:rPr>
              <w:t>ICD10 Procedure Code</w:t>
            </w:r>
          </w:p>
        </w:tc>
        <w:tc>
          <w:tcPr>
            <w:tcW w:w="7556" w:type="dxa"/>
            <w:shd w:val="clear" w:color="auto" w:fill="BFBFBF"/>
            <w:noWrap/>
            <w:vAlign w:val="center"/>
          </w:tcPr>
          <w:p w14:paraId="78554AB1" w14:textId="77777777" w:rsidR="004F7F0B" w:rsidRPr="000264DB" w:rsidRDefault="004F7F0B" w:rsidP="00696E8F">
            <w:pPr>
              <w:rPr>
                <w:rFonts w:cs="Arial"/>
                <w:color w:val="000000"/>
              </w:rPr>
            </w:pPr>
            <w:r w:rsidRPr="000264DB">
              <w:rPr>
                <w:rFonts w:cs="Arial"/>
                <w:b/>
                <w:bCs/>
                <w:color w:val="000000"/>
              </w:rPr>
              <w:t>Code Description</w:t>
            </w:r>
          </w:p>
        </w:tc>
      </w:tr>
      <w:tr w:rsidR="004F7F0B" w:rsidRPr="000264DB" w14:paraId="26C86291" w14:textId="77777777" w:rsidTr="00696E8F">
        <w:trPr>
          <w:trHeight w:val="300"/>
          <w:jc w:val="center"/>
        </w:trPr>
        <w:tc>
          <w:tcPr>
            <w:tcW w:w="1890" w:type="dxa"/>
            <w:noWrap/>
            <w:vAlign w:val="center"/>
          </w:tcPr>
          <w:p w14:paraId="7CBA1403" w14:textId="77777777" w:rsidR="004F7F0B" w:rsidRPr="000264DB" w:rsidRDefault="004F7F0B" w:rsidP="00696E8F">
            <w:pPr>
              <w:rPr>
                <w:rFonts w:cs="Arial"/>
                <w:color w:val="000000"/>
              </w:rPr>
            </w:pPr>
            <w:r w:rsidRPr="000264DB">
              <w:rPr>
                <w:rFonts w:cs="Arial"/>
                <w:color w:val="000000"/>
              </w:rPr>
              <w:t>0SR9019</w:t>
            </w:r>
          </w:p>
        </w:tc>
        <w:tc>
          <w:tcPr>
            <w:tcW w:w="7556" w:type="dxa"/>
            <w:noWrap/>
            <w:vAlign w:val="center"/>
          </w:tcPr>
          <w:p w14:paraId="099EA90F" w14:textId="77777777" w:rsidR="004F7F0B" w:rsidRPr="000264DB" w:rsidRDefault="004F7F0B" w:rsidP="00696E8F">
            <w:pPr>
              <w:rPr>
                <w:rFonts w:cs="Arial"/>
                <w:color w:val="000000"/>
              </w:rPr>
            </w:pPr>
            <w:r w:rsidRPr="000264DB">
              <w:rPr>
                <w:rFonts w:cs="Arial"/>
                <w:color w:val="000000"/>
              </w:rPr>
              <w:t>Replacement of Right Hip Joint with Metal Synthetic Substitute, Cemented, Open Approach</w:t>
            </w:r>
          </w:p>
        </w:tc>
      </w:tr>
      <w:tr w:rsidR="004F7F0B" w:rsidRPr="000264DB" w14:paraId="0573981A" w14:textId="77777777" w:rsidTr="00696E8F">
        <w:trPr>
          <w:trHeight w:val="300"/>
          <w:jc w:val="center"/>
        </w:trPr>
        <w:tc>
          <w:tcPr>
            <w:tcW w:w="1890" w:type="dxa"/>
            <w:noWrap/>
            <w:vAlign w:val="center"/>
          </w:tcPr>
          <w:p w14:paraId="707A1E67" w14:textId="77777777" w:rsidR="004F7F0B" w:rsidRPr="000264DB" w:rsidRDefault="004F7F0B" w:rsidP="00696E8F">
            <w:pPr>
              <w:rPr>
                <w:rFonts w:cs="Arial"/>
                <w:color w:val="000000"/>
              </w:rPr>
            </w:pPr>
            <w:r w:rsidRPr="000264DB">
              <w:rPr>
                <w:rFonts w:cs="Arial"/>
                <w:color w:val="000000"/>
              </w:rPr>
              <w:t>0SR901A</w:t>
            </w:r>
          </w:p>
        </w:tc>
        <w:tc>
          <w:tcPr>
            <w:tcW w:w="7556" w:type="dxa"/>
            <w:noWrap/>
            <w:vAlign w:val="center"/>
          </w:tcPr>
          <w:p w14:paraId="17ED4B6F" w14:textId="77777777" w:rsidR="004F7F0B" w:rsidRPr="000264DB" w:rsidRDefault="004F7F0B" w:rsidP="00696E8F">
            <w:pPr>
              <w:rPr>
                <w:rFonts w:cs="Arial"/>
                <w:color w:val="000000"/>
              </w:rPr>
            </w:pPr>
            <w:r w:rsidRPr="000264DB">
              <w:rPr>
                <w:rFonts w:cs="Arial"/>
                <w:color w:val="000000"/>
              </w:rPr>
              <w:t>Replacement of Right Hip Joint with Metal Synthetic Substitute, Uncemented, Open Approach</w:t>
            </w:r>
          </w:p>
        </w:tc>
      </w:tr>
      <w:tr w:rsidR="004F7F0B" w:rsidRPr="000264DB" w14:paraId="0FC41487" w14:textId="77777777" w:rsidTr="00696E8F">
        <w:trPr>
          <w:trHeight w:val="300"/>
          <w:jc w:val="center"/>
        </w:trPr>
        <w:tc>
          <w:tcPr>
            <w:tcW w:w="1890" w:type="dxa"/>
            <w:noWrap/>
            <w:vAlign w:val="center"/>
          </w:tcPr>
          <w:p w14:paraId="3E9EC874" w14:textId="77777777" w:rsidR="004F7F0B" w:rsidRPr="000264DB" w:rsidRDefault="004F7F0B" w:rsidP="00696E8F">
            <w:pPr>
              <w:rPr>
                <w:rFonts w:cs="Arial"/>
                <w:color w:val="000000"/>
              </w:rPr>
            </w:pPr>
            <w:r w:rsidRPr="000264DB">
              <w:rPr>
                <w:rFonts w:cs="Arial"/>
                <w:color w:val="000000"/>
              </w:rPr>
              <w:t>0SR901Z</w:t>
            </w:r>
          </w:p>
        </w:tc>
        <w:tc>
          <w:tcPr>
            <w:tcW w:w="7556" w:type="dxa"/>
            <w:noWrap/>
            <w:vAlign w:val="center"/>
          </w:tcPr>
          <w:p w14:paraId="6C7CEE05" w14:textId="77777777" w:rsidR="004F7F0B" w:rsidRPr="000264DB" w:rsidRDefault="004F7F0B" w:rsidP="00696E8F">
            <w:pPr>
              <w:rPr>
                <w:rFonts w:cs="Arial"/>
                <w:color w:val="000000"/>
              </w:rPr>
            </w:pPr>
            <w:r w:rsidRPr="000264DB">
              <w:rPr>
                <w:rFonts w:cs="Arial"/>
                <w:color w:val="000000"/>
              </w:rPr>
              <w:t>Replacement of Right Hip Joint with Metal Synthetic Substitute, Open Approach</w:t>
            </w:r>
          </w:p>
        </w:tc>
      </w:tr>
      <w:tr w:rsidR="004F7F0B" w:rsidRPr="000264DB" w14:paraId="6F152735" w14:textId="77777777" w:rsidTr="00696E8F">
        <w:trPr>
          <w:trHeight w:val="300"/>
          <w:jc w:val="center"/>
        </w:trPr>
        <w:tc>
          <w:tcPr>
            <w:tcW w:w="1890" w:type="dxa"/>
            <w:noWrap/>
            <w:vAlign w:val="center"/>
          </w:tcPr>
          <w:p w14:paraId="7054494B" w14:textId="77777777" w:rsidR="004F7F0B" w:rsidRPr="000264DB" w:rsidRDefault="004F7F0B" w:rsidP="00696E8F">
            <w:pPr>
              <w:rPr>
                <w:rFonts w:cs="Arial"/>
                <w:color w:val="000000"/>
              </w:rPr>
            </w:pPr>
            <w:r w:rsidRPr="000264DB">
              <w:rPr>
                <w:rFonts w:cs="Arial"/>
                <w:color w:val="000000"/>
              </w:rPr>
              <w:t>0SR9029</w:t>
            </w:r>
          </w:p>
        </w:tc>
        <w:tc>
          <w:tcPr>
            <w:tcW w:w="7556" w:type="dxa"/>
            <w:noWrap/>
            <w:vAlign w:val="center"/>
          </w:tcPr>
          <w:p w14:paraId="6C8CC2AC" w14:textId="77777777" w:rsidR="004F7F0B" w:rsidRPr="000264DB" w:rsidRDefault="004F7F0B" w:rsidP="00696E8F">
            <w:pPr>
              <w:rPr>
                <w:rFonts w:cs="Arial"/>
                <w:color w:val="000000"/>
              </w:rPr>
            </w:pPr>
            <w:r w:rsidRPr="000264DB">
              <w:rPr>
                <w:rFonts w:cs="Arial"/>
                <w:color w:val="000000"/>
              </w:rPr>
              <w:t>Replacement of Right Hip Joint with Metal on Polyethylene Synthetic Substitute, Cemented, Open Approach</w:t>
            </w:r>
          </w:p>
        </w:tc>
      </w:tr>
      <w:tr w:rsidR="004F7F0B" w:rsidRPr="000264DB" w14:paraId="3A1FC3DC" w14:textId="77777777" w:rsidTr="00696E8F">
        <w:trPr>
          <w:trHeight w:val="300"/>
          <w:jc w:val="center"/>
        </w:trPr>
        <w:tc>
          <w:tcPr>
            <w:tcW w:w="1890" w:type="dxa"/>
            <w:noWrap/>
            <w:vAlign w:val="center"/>
          </w:tcPr>
          <w:p w14:paraId="198E1DA8" w14:textId="77777777" w:rsidR="004F7F0B" w:rsidRPr="000264DB" w:rsidRDefault="004F7F0B" w:rsidP="00696E8F">
            <w:pPr>
              <w:rPr>
                <w:rFonts w:cs="Arial"/>
                <w:color w:val="000000"/>
              </w:rPr>
            </w:pPr>
            <w:r w:rsidRPr="000264DB">
              <w:rPr>
                <w:rFonts w:cs="Arial"/>
                <w:color w:val="000000"/>
              </w:rPr>
              <w:t>0SR902A </w:t>
            </w:r>
          </w:p>
        </w:tc>
        <w:tc>
          <w:tcPr>
            <w:tcW w:w="7556" w:type="dxa"/>
            <w:noWrap/>
            <w:vAlign w:val="center"/>
          </w:tcPr>
          <w:p w14:paraId="7C14842E" w14:textId="77777777" w:rsidR="004F7F0B" w:rsidRPr="000264DB" w:rsidRDefault="004F7F0B" w:rsidP="00696E8F">
            <w:pPr>
              <w:rPr>
                <w:rFonts w:cs="Arial"/>
                <w:color w:val="000000"/>
              </w:rPr>
            </w:pPr>
            <w:r w:rsidRPr="000264DB">
              <w:rPr>
                <w:rFonts w:cs="Arial"/>
                <w:color w:val="000000"/>
              </w:rPr>
              <w:t>Replacement of Right Hip Joint with Metal on Polyethylene Synthetic Substitute, Uncemented, Open Approach</w:t>
            </w:r>
          </w:p>
        </w:tc>
      </w:tr>
      <w:tr w:rsidR="004F7F0B" w:rsidRPr="000264DB" w14:paraId="58EA1320" w14:textId="77777777" w:rsidTr="00696E8F">
        <w:trPr>
          <w:trHeight w:val="300"/>
          <w:jc w:val="center"/>
        </w:trPr>
        <w:tc>
          <w:tcPr>
            <w:tcW w:w="1890" w:type="dxa"/>
            <w:noWrap/>
            <w:vAlign w:val="center"/>
          </w:tcPr>
          <w:p w14:paraId="6FA99F2B" w14:textId="77777777" w:rsidR="004F7F0B" w:rsidRPr="000264DB" w:rsidRDefault="004F7F0B" w:rsidP="00696E8F">
            <w:pPr>
              <w:rPr>
                <w:rFonts w:cs="Arial"/>
                <w:color w:val="000000"/>
              </w:rPr>
            </w:pPr>
            <w:r w:rsidRPr="000264DB">
              <w:rPr>
                <w:rFonts w:cs="Arial"/>
                <w:color w:val="000000"/>
              </w:rPr>
              <w:t>0SR902Z</w:t>
            </w:r>
          </w:p>
        </w:tc>
        <w:tc>
          <w:tcPr>
            <w:tcW w:w="7556" w:type="dxa"/>
            <w:noWrap/>
            <w:vAlign w:val="center"/>
          </w:tcPr>
          <w:p w14:paraId="594C2310" w14:textId="77777777" w:rsidR="004F7F0B" w:rsidRPr="000264DB" w:rsidRDefault="004F7F0B" w:rsidP="00696E8F">
            <w:pPr>
              <w:rPr>
                <w:rFonts w:cs="Arial"/>
                <w:color w:val="000000"/>
              </w:rPr>
            </w:pPr>
            <w:r w:rsidRPr="000264DB">
              <w:rPr>
                <w:rFonts w:cs="Arial"/>
                <w:color w:val="000000"/>
              </w:rPr>
              <w:t>Replacement of Right Hip Joint with Metal on Polyethylene Synthetic Substitute, Open Approach</w:t>
            </w:r>
          </w:p>
        </w:tc>
      </w:tr>
      <w:tr w:rsidR="004F7F0B" w:rsidRPr="000264DB" w14:paraId="605D91E9" w14:textId="77777777" w:rsidTr="00696E8F">
        <w:trPr>
          <w:trHeight w:val="300"/>
          <w:jc w:val="center"/>
        </w:trPr>
        <w:tc>
          <w:tcPr>
            <w:tcW w:w="1890" w:type="dxa"/>
            <w:noWrap/>
            <w:vAlign w:val="center"/>
          </w:tcPr>
          <w:p w14:paraId="26EC8533" w14:textId="77777777" w:rsidR="004F7F0B" w:rsidRPr="000264DB" w:rsidRDefault="004F7F0B" w:rsidP="00696E8F">
            <w:pPr>
              <w:rPr>
                <w:rFonts w:cs="Arial"/>
                <w:color w:val="000000"/>
              </w:rPr>
            </w:pPr>
            <w:r w:rsidRPr="000264DB">
              <w:rPr>
                <w:rFonts w:cs="Arial"/>
                <w:color w:val="000000"/>
              </w:rPr>
              <w:t>0SR9039</w:t>
            </w:r>
          </w:p>
        </w:tc>
        <w:tc>
          <w:tcPr>
            <w:tcW w:w="7556" w:type="dxa"/>
            <w:noWrap/>
            <w:vAlign w:val="center"/>
          </w:tcPr>
          <w:p w14:paraId="5ABEAF72" w14:textId="77777777" w:rsidR="004F7F0B" w:rsidRPr="000264DB" w:rsidRDefault="004F7F0B" w:rsidP="00696E8F">
            <w:pPr>
              <w:rPr>
                <w:rFonts w:cs="Arial"/>
                <w:color w:val="000000"/>
              </w:rPr>
            </w:pPr>
            <w:r w:rsidRPr="000264DB">
              <w:rPr>
                <w:rFonts w:cs="Arial"/>
                <w:color w:val="000000"/>
              </w:rPr>
              <w:t>Replacement of Right Hip Joint with Ceramic Synthetic Substitute, Cemented, Open Approach</w:t>
            </w:r>
          </w:p>
        </w:tc>
      </w:tr>
      <w:tr w:rsidR="004F7F0B" w:rsidRPr="000264DB" w14:paraId="5EA4093F" w14:textId="77777777" w:rsidTr="00696E8F">
        <w:trPr>
          <w:trHeight w:val="300"/>
          <w:jc w:val="center"/>
        </w:trPr>
        <w:tc>
          <w:tcPr>
            <w:tcW w:w="1890" w:type="dxa"/>
            <w:noWrap/>
            <w:vAlign w:val="center"/>
          </w:tcPr>
          <w:p w14:paraId="00B38E43" w14:textId="77777777" w:rsidR="004F7F0B" w:rsidRPr="000264DB" w:rsidRDefault="004F7F0B" w:rsidP="00696E8F">
            <w:pPr>
              <w:rPr>
                <w:rFonts w:cs="Arial"/>
                <w:color w:val="000000"/>
              </w:rPr>
            </w:pPr>
            <w:r w:rsidRPr="000264DB">
              <w:rPr>
                <w:rFonts w:cs="Arial"/>
                <w:color w:val="000000"/>
              </w:rPr>
              <w:t>0SR903A</w:t>
            </w:r>
          </w:p>
        </w:tc>
        <w:tc>
          <w:tcPr>
            <w:tcW w:w="7556" w:type="dxa"/>
            <w:noWrap/>
            <w:vAlign w:val="center"/>
          </w:tcPr>
          <w:p w14:paraId="03654210" w14:textId="77777777" w:rsidR="004F7F0B" w:rsidRPr="000264DB" w:rsidRDefault="004F7F0B" w:rsidP="00696E8F">
            <w:pPr>
              <w:rPr>
                <w:rFonts w:cs="Arial"/>
                <w:color w:val="000000"/>
              </w:rPr>
            </w:pPr>
            <w:r w:rsidRPr="000264DB">
              <w:rPr>
                <w:rFonts w:cs="Arial"/>
                <w:color w:val="000000"/>
              </w:rPr>
              <w:t>Replacement of Right Hip Joint with Ceramic Synthetic Substitute, Uncemented, Open Approach</w:t>
            </w:r>
          </w:p>
        </w:tc>
      </w:tr>
      <w:tr w:rsidR="004F7F0B" w:rsidRPr="000264DB" w14:paraId="1AD46E70" w14:textId="77777777" w:rsidTr="00696E8F">
        <w:trPr>
          <w:trHeight w:val="300"/>
          <w:jc w:val="center"/>
        </w:trPr>
        <w:tc>
          <w:tcPr>
            <w:tcW w:w="1890" w:type="dxa"/>
            <w:noWrap/>
            <w:vAlign w:val="center"/>
          </w:tcPr>
          <w:p w14:paraId="5603AC61" w14:textId="77777777" w:rsidR="004F7F0B" w:rsidRPr="000264DB" w:rsidRDefault="004F7F0B" w:rsidP="00696E8F">
            <w:pPr>
              <w:rPr>
                <w:rFonts w:cs="Arial"/>
                <w:color w:val="000000"/>
              </w:rPr>
            </w:pPr>
            <w:r w:rsidRPr="000264DB">
              <w:rPr>
                <w:rFonts w:cs="Arial"/>
                <w:color w:val="000000"/>
              </w:rPr>
              <w:t>0SR903Z</w:t>
            </w:r>
          </w:p>
        </w:tc>
        <w:tc>
          <w:tcPr>
            <w:tcW w:w="7556" w:type="dxa"/>
            <w:noWrap/>
            <w:vAlign w:val="center"/>
          </w:tcPr>
          <w:p w14:paraId="65F8F4CE" w14:textId="77777777" w:rsidR="004F7F0B" w:rsidRPr="000264DB" w:rsidRDefault="004F7F0B" w:rsidP="00696E8F">
            <w:pPr>
              <w:rPr>
                <w:rFonts w:cs="Arial"/>
                <w:color w:val="000000"/>
              </w:rPr>
            </w:pPr>
            <w:r w:rsidRPr="000264DB">
              <w:rPr>
                <w:rFonts w:cs="Arial"/>
                <w:color w:val="000000"/>
              </w:rPr>
              <w:t>Replacement of Right Hip Joint with Ceramic Synthetic Substitute, Open Approach</w:t>
            </w:r>
          </w:p>
        </w:tc>
      </w:tr>
      <w:tr w:rsidR="004F7F0B" w:rsidRPr="000264DB" w14:paraId="50F77309" w14:textId="77777777" w:rsidTr="00696E8F">
        <w:trPr>
          <w:trHeight w:val="300"/>
          <w:jc w:val="center"/>
        </w:trPr>
        <w:tc>
          <w:tcPr>
            <w:tcW w:w="1890" w:type="dxa"/>
            <w:noWrap/>
            <w:vAlign w:val="center"/>
            <w:hideMark/>
          </w:tcPr>
          <w:p w14:paraId="629D6BDE" w14:textId="77777777" w:rsidR="004F7F0B" w:rsidRPr="000264DB" w:rsidRDefault="004F7F0B" w:rsidP="00696E8F">
            <w:pPr>
              <w:rPr>
                <w:rFonts w:cs="Arial"/>
                <w:color w:val="000000"/>
              </w:rPr>
            </w:pPr>
            <w:r w:rsidRPr="000264DB">
              <w:rPr>
                <w:rFonts w:cs="Arial"/>
                <w:color w:val="000000"/>
              </w:rPr>
              <w:t>0SR9049</w:t>
            </w:r>
          </w:p>
        </w:tc>
        <w:tc>
          <w:tcPr>
            <w:tcW w:w="7556" w:type="dxa"/>
            <w:noWrap/>
            <w:vAlign w:val="center"/>
            <w:hideMark/>
          </w:tcPr>
          <w:p w14:paraId="4C4011CB" w14:textId="77777777" w:rsidR="004F7F0B" w:rsidRPr="000264DB" w:rsidRDefault="004F7F0B" w:rsidP="00696E8F">
            <w:pPr>
              <w:rPr>
                <w:rFonts w:cs="Arial"/>
                <w:color w:val="000000"/>
              </w:rPr>
            </w:pPr>
            <w:r w:rsidRPr="000264DB">
              <w:rPr>
                <w:rFonts w:cs="Arial"/>
                <w:color w:val="000000"/>
              </w:rPr>
              <w:t>Replacement of Right Hip Joint with Ceramic on Polyethylene Synthetic Substitute, Cemented, Open Approach</w:t>
            </w:r>
          </w:p>
        </w:tc>
      </w:tr>
      <w:tr w:rsidR="004F7F0B" w:rsidRPr="000264DB" w14:paraId="49F389BF" w14:textId="77777777" w:rsidTr="00696E8F">
        <w:trPr>
          <w:trHeight w:val="300"/>
          <w:jc w:val="center"/>
        </w:trPr>
        <w:tc>
          <w:tcPr>
            <w:tcW w:w="1890" w:type="dxa"/>
            <w:noWrap/>
            <w:vAlign w:val="center"/>
            <w:hideMark/>
          </w:tcPr>
          <w:p w14:paraId="4004F563" w14:textId="77777777" w:rsidR="004F7F0B" w:rsidRPr="000264DB" w:rsidRDefault="004F7F0B" w:rsidP="00696E8F">
            <w:pPr>
              <w:rPr>
                <w:rFonts w:cs="Arial"/>
                <w:color w:val="000000"/>
              </w:rPr>
            </w:pPr>
            <w:r w:rsidRPr="000264DB">
              <w:rPr>
                <w:rFonts w:cs="Arial"/>
                <w:color w:val="000000"/>
              </w:rPr>
              <w:t>0SR904A</w:t>
            </w:r>
          </w:p>
        </w:tc>
        <w:tc>
          <w:tcPr>
            <w:tcW w:w="7556" w:type="dxa"/>
            <w:noWrap/>
            <w:vAlign w:val="center"/>
            <w:hideMark/>
          </w:tcPr>
          <w:p w14:paraId="1946BDFE" w14:textId="77777777" w:rsidR="004F7F0B" w:rsidRPr="000264DB" w:rsidRDefault="004F7F0B" w:rsidP="00696E8F">
            <w:pPr>
              <w:rPr>
                <w:rFonts w:cs="Arial"/>
                <w:color w:val="000000"/>
              </w:rPr>
            </w:pPr>
            <w:r w:rsidRPr="000264DB">
              <w:rPr>
                <w:rFonts w:cs="Arial"/>
                <w:color w:val="000000"/>
              </w:rPr>
              <w:t>Replacement of Right Hip Joint with Ceramic on Polyethylene Synthetic Substitute, Uncemented, Open Approach</w:t>
            </w:r>
          </w:p>
        </w:tc>
      </w:tr>
      <w:tr w:rsidR="004F7F0B" w:rsidRPr="000264DB" w14:paraId="138199D3" w14:textId="77777777" w:rsidTr="00696E8F">
        <w:trPr>
          <w:trHeight w:val="300"/>
          <w:jc w:val="center"/>
        </w:trPr>
        <w:tc>
          <w:tcPr>
            <w:tcW w:w="1890" w:type="dxa"/>
            <w:noWrap/>
            <w:vAlign w:val="center"/>
            <w:hideMark/>
          </w:tcPr>
          <w:p w14:paraId="1EF84160" w14:textId="77777777" w:rsidR="004F7F0B" w:rsidRPr="000264DB" w:rsidRDefault="004F7F0B" w:rsidP="00696E8F">
            <w:pPr>
              <w:rPr>
                <w:rFonts w:cs="Arial"/>
                <w:color w:val="000000"/>
              </w:rPr>
            </w:pPr>
            <w:r w:rsidRPr="000264DB">
              <w:rPr>
                <w:rFonts w:cs="Arial"/>
                <w:color w:val="000000"/>
              </w:rPr>
              <w:t>0SR904Z</w:t>
            </w:r>
          </w:p>
        </w:tc>
        <w:tc>
          <w:tcPr>
            <w:tcW w:w="7556" w:type="dxa"/>
            <w:noWrap/>
            <w:vAlign w:val="center"/>
            <w:hideMark/>
          </w:tcPr>
          <w:p w14:paraId="34F0C350" w14:textId="77777777" w:rsidR="004F7F0B" w:rsidRPr="000264DB" w:rsidRDefault="004F7F0B" w:rsidP="00696E8F">
            <w:pPr>
              <w:rPr>
                <w:rFonts w:cs="Arial"/>
                <w:color w:val="000000"/>
              </w:rPr>
            </w:pPr>
            <w:r w:rsidRPr="000264DB">
              <w:rPr>
                <w:rFonts w:cs="Arial"/>
                <w:color w:val="000000"/>
              </w:rPr>
              <w:t>Replacement of Right Hip Joint with Ceramic on Polyethylene Synthetic Substitute, Open Approach</w:t>
            </w:r>
          </w:p>
        </w:tc>
      </w:tr>
      <w:tr w:rsidR="004F7F0B" w:rsidRPr="000264DB" w14:paraId="3D1322D9" w14:textId="77777777" w:rsidTr="00696E8F">
        <w:trPr>
          <w:trHeight w:val="300"/>
          <w:jc w:val="center"/>
        </w:trPr>
        <w:tc>
          <w:tcPr>
            <w:tcW w:w="1890" w:type="dxa"/>
            <w:noWrap/>
            <w:vAlign w:val="center"/>
          </w:tcPr>
          <w:p w14:paraId="6DF6EB3F" w14:textId="77777777" w:rsidR="004F7F0B" w:rsidRPr="000264DB" w:rsidRDefault="004F7F0B" w:rsidP="00696E8F">
            <w:pPr>
              <w:rPr>
                <w:rFonts w:cs="Arial"/>
              </w:rPr>
            </w:pPr>
            <w:r w:rsidRPr="000264DB">
              <w:rPr>
                <w:rFonts w:cs="Arial"/>
              </w:rPr>
              <w:t>0SR90J9 </w:t>
            </w:r>
          </w:p>
        </w:tc>
        <w:tc>
          <w:tcPr>
            <w:tcW w:w="7556" w:type="dxa"/>
            <w:noWrap/>
            <w:vAlign w:val="center"/>
          </w:tcPr>
          <w:p w14:paraId="34ABC78C" w14:textId="77777777" w:rsidR="004F7F0B" w:rsidRPr="000264DB" w:rsidRDefault="004F7F0B" w:rsidP="00696E8F">
            <w:pPr>
              <w:rPr>
                <w:rFonts w:cs="Arial"/>
              </w:rPr>
            </w:pPr>
            <w:r w:rsidRPr="000264DB">
              <w:rPr>
                <w:rFonts w:cs="Arial"/>
              </w:rPr>
              <w:t>Replacement of Right Hip Joint with Synthetic Substitute, Cemented, Open Approach</w:t>
            </w:r>
          </w:p>
        </w:tc>
      </w:tr>
      <w:tr w:rsidR="004F7F0B" w:rsidRPr="000264DB" w14:paraId="075EDA9E" w14:textId="77777777" w:rsidTr="00696E8F">
        <w:trPr>
          <w:trHeight w:val="300"/>
          <w:jc w:val="center"/>
        </w:trPr>
        <w:tc>
          <w:tcPr>
            <w:tcW w:w="1890" w:type="dxa"/>
            <w:noWrap/>
            <w:vAlign w:val="center"/>
          </w:tcPr>
          <w:p w14:paraId="222CA245" w14:textId="77777777" w:rsidR="004F7F0B" w:rsidRPr="000264DB" w:rsidRDefault="004F7F0B" w:rsidP="00696E8F">
            <w:pPr>
              <w:rPr>
                <w:rFonts w:cs="Arial"/>
                <w:color w:val="000000"/>
              </w:rPr>
            </w:pPr>
            <w:r w:rsidRPr="000264DB">
              <w:rPr>
                <w:rFonts w:cs="Arial"/>
                <w:color w:val="000000"/>
              </w:rPr>
              <w:t>0SR90JA</w:t>
            </w:r>
          </w:p>
        </w:tc>
        <w:tc>
          <w:tcPr>
            <w:tcW w:w="7556" w:type="dxa"/>
            <w:noWrap/>
            <w:vAlign w:val="center"/>
          </w:tcPr>
          <w:p w14:paraId="2559F6D4" w14:textId="77777777" w:rsidR="004F7F0B" w:rsidRPr="000264DB" w:rsidRDefault="004F7F0B" w:rsidP="00696E8F">
            <w:pPr>
              <w:rPr>
                <w:rFonts w:cs="Arial"/>
                <w:color w:val="000000"/>
              </w:rPr>
            </w:pPr>
            <w:r w:rsidRPr="000264DB">
              <w:rPr>
                <w:rFonts w:cs="Arial"/>
                <w:color w:val="000000"/>
              </w:rPr>
              <w:t>Replacement of Right Hip Joint with Synthetic Substitute, Uncemented, Open Approach</w:t>
            </w:r>
          </w:p>
        </w:tc>
      </w:tr>
      <w:tr w:rsidR="004F7F0B" w:rsidRPr="000264DB" w14:paraId="79D91736" w14:textId="77777777" w:rsidTr="00696E8F">
        <w:trPr>
          <w:trHeight w:val="300"/>
          <w:jc w:val="center"/>
        </w:trPr>
        <w:tc>
          <w:tcPr>
            <w:tcW w:w="1890" w:type="dxa"/>
            <w:noWrap/>
            <w:vAlign w:val="center"/>
          </w:tcPr>
          <w:p w14:paraId="5CF58A55" w14:textId="77777777" w:rsidR="004F7F0B" w:rsidRPr="000264DB" w:rsidRDefault="004F7F0B" w:rsidP="00696E8F">
            <w:pPr>
              <w:rPr>
                <w:rFonts w:cs="Arial"/>
                <w:color w:val="000000"/>
              </w:rPr>
            </w:pPr>
            <w:r w:rsidRPr="000264DB">
              <w:rPr>
                <w:rFonts w:cs="Arial"/>
                <w:color w:val="000000"/>
              </w:rPr>
              <w:t>0SR90JZ</w:t>
            </w:r>
          </w:p>
        </w:tc>
        <w:tc>
          <w:tcPr>
            <w:tcW w:w="7556" w:type="dxa"/>
            <w:noWrap/>
            <w:vAlign w:val="center"/>
          </w:tcPr>
          <w:p w14:paraId="52C8BBCA" w14:textId="77777777" w:rsidR="004F7F0B" w:rsidRPr="000264DB" w:rsidRDefault="004F7F0B" w:rsidP="00696E8F">
            <w:pPr>
              <w:rPr>
                <w:rFonts w:cs="Arial"/>
                <w:color w:val="000000"/>
              </w:rPr>
            </w:pPr>
            <w:r w:rsidRPr="000264DB">
              <w:rPr>
                <w:rFonts w:cs="Arial"/>
                <w:color w:val="000000"/>
              </w:rPr>
              <w:t>Replacement of Right Hip Joint with Synthetic Substitute, Open Approach</w:t>
            </w:r>
          </w:p>
        </w:tc>
      </w:tr>
      <w:tr w:rsidR="004F7F0B" w:rsidRPr="000264DB" w14:paraId="3B4D62CA" w14:textId="77777777" w:rsidTr="00696E8F">
        <w:trPr>
          <w:trHeight w:val="300"/>
          <w:jc w:val="center"/>
        </w:trPr>
        <w:tc>
          <w:tcPr>
            <w:tcW w:w="1890" w:type="dxa"/>
            <w:noWrap/>
            <w:vAlign w:val="center"/>
          </w:tcPr>
          <w:p w14:paraId="185C62DD" w14:textId="77777777" w:rsidR="004F7F0B" w:rsidRPr="000264DB" w:rsidRDefault="004F7F0B" w:rsidP="00696E8F">
            <w:pPr>
              <w:rPr>
                <w:rFonts w:cs="Arial"/>
                <w:color w:val="000000"/>
              </w:rPr>
            </w:pPr>
            <w:r w:rsidRPr="000264DB">
              <w:rPr>
                <w:rFonts w:cs="Arial"/>
                <w:color w:val="000000"/>
              </w:rPr>
              <w:t>0SRA009</w:t>
            </w:r>
          </w:p>
        </w:tc>
        <w:tc>
          <w:tcPr>
            <w:tcW w:w="7556" w:type="dxa"/>
            <w:noWrap/>
            <w:vAlign w:val="center"/>
          </w:tcPr>
          <w:p w14:paraId="2B496FA9" w14:textId="77777777" w:rsidR="004F7F0B" w:rsidRPr="000264DB" w:rsidRDefault="004F7F0B" w:rsidP="00696E8F">
            <w:pPr>
              <w:rPr>
                <w:rFonts w:cs="Arial"/>
                <w:color w:val="000000"/>
              </w:rPr>
            </w:pPr>
            <w:r w:rsidRPr="000264DB">
              <w:rPr>
                <w:rFonts w:cs="Arial"/>
                <w:color w:val="000000"/>
              </w:rPr>
              <w:t>Replacement of Right Hip Joint, Acetabular Surface with Polyethylene Synthetic Substitute, Cemented, Open Approach</w:t>
            </w:r>
          </w:p>
        </w:tc>
      </w:tr>
      <w:tr w:rsidR="004F7F0B" w:rsidRPr="000264DB" w14:paraId="7C2C7D15" w14:textId="77777777" w:rsidTr="00696E8F">
        <w:trPr>
          <w:trHeight w:val="300"/>
          <w:jc w:val="center"/>
        </w:trPr>
        <w:tc>
          <w:tcPr>
            <w:tcW w:w="1890" w:type="dxa"/>
            <w:noWrap/>
            <w:vAlign w:val="center"/>
          </w:tcPr>
          <w:p w14:paraId="22D3A24C" w14:textId="77777777" w:rsidR="004F7F0B" w:rsidRPr="000264DB" w:rsidRDefault="004F7F0B" w:rsidP="00696E8F">
            <w:pPr>
              <w:rPr>
                <w:rFonts w:cs="Arial"/>
                <w:color w:val="000000"/>
              </w:rPr>
            </w:pPr>
            <w:r w:rsidRPr="000264DB">
              <w:rPr>
                <w:rFonts w:cs="Arial"/>
                <w:color w:val="000000"/>
              </w:rPr>
              <w:t>0SRA00A</w:t>
            </w:r>
          </w:p>
        </w:tc>
        <w:tc>
          <w:tcPr>
            <w:tcW w:w="7556" w:type="dxa"/>
            <w:noWrap/>
            <w:vAlign w:val="center"/>
          </w:tcPr>
          <w:p w14:paraId="2C05F8F4" w14:textId="77777777" w:rsidR="004F7F0B" w:rsidRPr="000264DB" w:rsidRDefault="004F7F0B" w:rsidP="00696E8F">
            <w:pPr>
              <w:rPr>
                <w:rFonts w:cs="Arial"/>
                <w:color w:val="000000"/>
              </w:rPr>
            </w:pPr>
            <w:r w:rsidRPr="000264DB">
              <w:rPr>
                <w:rFonts w:cs="Arial"/>
                <w:color w:val="000000"/>
              </w:rPr>
              <w:t>Replacement of Right Hip Joint, Acetabular Surface with Polyethylene Synthetic Substitute, Uncemented, Open Approach</w:t>
            </w:r>
          </w:p>
        </w:tc>
      </w:tr>
      <w:tr w:rsidR="004F7F0B" w:rsidRPr="000264DB" w14:paraId="6AEC1124" w14:textId="77777777" w:rsidTr="00696E8F">
        <w:trPr>
          <w:trHeight w:val="300"/>
          <w:jc w:val="center"/>
        </w:trPr>
        <w:tc>
          <w:tcPr>
            <w:tcW w:w="1890" w:type="dxa"/>
            <w:noWrap/>
            <w:vAlign w:val="center"/>
          </w:tcPr>
          <w:p w14:paraId="51C783AB" w14:textId="77777777" w:rsidR="004F7F0B" w:rsidRPr="000264DB" w:rsidRDefault="004F7F0B" w:rsidP="00696E8F">
            <w:pPr>
              <w:rPr>
                <w:rFonts w:cs="Arial"/>
                <w:color w:val="000000"/>
              </w:rPr>
            </w:pPr>
            <w:r w:rsidRPr="000264DB">
              <w:rPr>
                <w:rFonts w:cs="Arial"/>
                <w:color w:val="000000"/>
              </w:rPr>
              <w:lastRenderedPageBreak/>
              <w:t>0SRA00Z</w:t>
            </w:r>
          </w:p>
        </w:tc>
        <w:tc>
          <w:tcPr>
            <w:tcW w:w="7556" w:type="dxa"/>
            <w:noWrap/>
            <w:vAlign w:val="center"/>
          </w:tcPr>
          <w:p w14:paraId="6E130678" w14:textId="77777777" w:rsidR="004F7F0B" w:rsidRPr="000264DB" w:rsidRDefault="004F7F0B" w:rsidP="00696E8F">
            <w:pPr>
              <w:rPr>
                <w:rFonts w:cs="Arial"/>
                <w:color w:val="000000"/>
              </w:rPr>
            </w:pPr>
            <w:r w:rsidRPr="000264DB">
              <w:rPr>
                <w:rFonts w:cs="Arial"/>
                <w:color w:val="000000"/>
              </w:rPr>
              <w:t>Replacement of Right Hip Joint, Acetabular Surface with Polyethylene Synthetic Substitute, Open Approach</w:t>
            </w:r>
          </w:p>
        </w:tc>
      </w:tr>
      <w:tr w:rsidR="004F7F0B" w:rsidRPr="000264DB" w14:paraId="10120D9B" w14:textId="77777777" w:rsidTr="00696E8F">
        <w:trPr>
          <w:trHeight w:val="300"/>
          <w:jc w:val="center"/>
        </w:trPr>
        <w:tc>
          <w:tcPr>
            <w:tcW w:w="1890" w:type="dxa"/>
            <w:noWrap/>
            <w:vAlign w:val="center"/>
          </w:tcPr>
          <w:p w14:paraId="7D5A937A" w14:textId="77777777" w:rsidR="004F7F0B" w:rsidRPr="000264DB" w:rsidRDefault="004F7F0B" w:rsidP="00696E8F">
            <w:pPr>
              <w:rPr>
                <w:rFonts w:cs="Arial"/>
                <w:color w:val="000000"/>
              </w:rPr>
            </w:pPr>
            <w:r w:rsidRPr="000264DB">
              <w:rPr>
                <w:rFonts w:cs="Arial"/>
                <w:color w:val="000000"/>
              </w:rPr>
              <w:t>0SRA019</w:t>
            </w:r>
          </w:p>
        </w:tc>
        <w:tc>
          <w:tcPr>
            <w:tcW w:w="7556" w:type="dxa"/>
            <w:noWrap/>
            <w:vAlign w:val="center"/>
          </w:tcPr>
          <w:p w14:paraId="16D8A3D6" w14:textId="77777777" w:rsidR="004F7F0B" w:rsidRPr="000264DB" w:rsidRDefault="004F7F0B" w:rsidP="00696E8F">
            <w:pPr>
              <w:rPr>
                <w:rFonts w:cs="Arial"/>
                <w:color w:val="000000"/>
              </w:rPr>
            </w:pPr>
            <w:r w:rsidRPr="000264DB">
              <w:rPr>
                <w:rFonts w:cs="Arial"/>
                <w:color w:val="000000"/>
              </w:rPr>
              <w:t>Replacement of Right Hip Joint, Acetabular Surface with Metal Synthetic Substitute, Cemented, Open Approach</w:t>
            </w:r>
          </w:p>
        </w:tc>
      </w:tr>
      <w:tr w:rsidR="004F7F0B" w:rsidRPr="000264DB" w14:paraId="32E397BD" w14:textId="77777777" w:rsidTr="00696E8F">
        <w:trPr>
          <w:trHeight w:val="300"/>
          <w:jc w:val="center"/>
        </w:trPr>
        <w:tc>
          <w:tcPr>
            <w:tcW w:w="1890" w:type="dxa"/>
            <w:noWrap/>
            <w:vAlign w:val="center"/>
          </w:tcPr>
          <w:p w14:paraId="1FA0A404" w14:textId="77777777" w:rsidR="004F7F0B" w:rsidRPr="000264DB" w:rsidRDefault="004F7F0B" w:rsidP="00696E8F">
            <w:pPr>
              <w:rPr>
                <w:rFonts w:cs="Arial"/>
                <w:color w:val="000000"/>
              </w:rPr>
            </w:pPr>
            <w:r w:rsidRPr="000264DB">
              <w:rPr>
                <w:rFonts w:cs="Arial"/>
                <w:color w:val="000000"/>
              </w:rPr>
              <w:t>0SRA01A</w:t>
            </w:r>
          </w:p>
        </w:tc>
        <w:tc>
          <w:tcPr>
            <w:tcW w:w="7556" w:type="dxa"/>
            <w:noWrap/>
            <w:vAlign w:val="center"/>
          </w:tcPr>
          <w:p w14:paraId="70C0E379" w14:textId="77777777" w:rsidR="004F7F0B" w:rsidRPr="000264DB" w:rsidRDefault="004F7F0B" w:rsidP="00696E8F">
            <w:pPr>
              <w:rPr>
                <w:rFonts w:cs="Arial"/>
                <w:color w:val="000000"/>
              </w:rPr>
            </w:pPr>
            <w:r w:rsidRPr="000264DB">
              <w:rPr>
                <w:rFonts w:cs="Arial"/>
                <w:color w:val="000000"/>
              </w:rPr>
              <w:t>Replacement of Right Hip Joint, Acetabular Surface with Metal Synthetic Substitute, Uncemented, Open Approach</w:t>
            </w:r>
          </w:p>
        </w:tc>
      </w:tr>
      <w:tr w:rsidR="004F7F0B" w:rsidRPr="000264DB" w14:paraId="0E684D8D" w14:textId="77777777" w:rsidTr="00696E8F">
        <w:trPr>
          <w:trHeight w:val="300"/>
          <w:jc w:val="center"/>
        </w:trPr>
        <w:tc>
          <w:tcPr>
            <w:tcW w:w="1890" w:type="dxa"/>
            <w:noWrap/>
            <w:vAlign w:val="center"/>
          </w:tcPr>
          <w:p w14:paraId="6040EE06" w14:textId="77777777" w:rsidR="004F7F0B" w:rsidRPr="000264DB" w:rsidRDefault="004F7F0B" w:rsidP="00696E8F">
            <w:pPr>
              <w:rPr>
                <w:rFonts w:cs="Arial"/>
                <w:color w:val="000000"/>
              </w:rPr>
            </w:pPr>
            <w:r w:rsidRPr="000264DB">
              <w:rPr>
                <w:rFonts w:cs="Arial"/>
                <w:color w:val="000000"/>
              </w:rPr>
              <w:t>0SRA01Z</w:t>
            </w:r>
          </w:p>
        </w:tc>
        <w:tc>
          <w:tcPr>
            <w:tcW w:w="7556" w:type="dxa"/>
            <w:noWrap/>
            <w:vAlign w:val="center"/>
          </w:tcPr>
          <w:p w14:paraId="35F83725" w14:textId="77777777" w:rsidR="004F7F0B" w:rsidRPr="000264DB" w:rsidRDefault="004F7F0B" w:rsidP="00696E8F">
            <w:pPr>
              <w:rPr>
                <w:rFonts w:cs="Arial"/>
                <w:color w:val="000000"/>
              </w:rPr>
            </w:pPr>
            <w:r w:rsidRPr="000264DB">
              <w:rPr>
                <w:rFonts w:cs="Arial"/>
                <w:color w:val="000000"/>
              </w:rPr>
              <w:t>Replacement of Right Hip Joint, Acetabular Surface with Metal Synthetic Substitute, Open Approach</w:t>
            </w:r>
          </w:p>
        </w:tc>
      </w:tr>
      <w:tr w:rsidR="004F7F0B" w:rsidRPr="000264DB" w14:paraId="2C410A51" w14:textId="77777777" w:rsidTr="00696E8F">
        <w:trPr>
          <w:trHeight w:val="300"/>
          <w:jc w:val="center"/>
        </w:trPr>
        <w:tc>
          <w:tcPr>
            <w:tcW w:w="1890" w:type="dxa"/>
            <w:noWrap/>
            <w:vAlign w:val="center"/>
          </w:tcPr>
          <w:p w14:paraId="5273DC29" w14:textId="77777777" w:rsidR="004F7F0B" w:rsidRPr="000264DB" w:rsidRDefault="004F7F0B" w:rsidP="00696E8F">
            <w:pPr>
              <w:rPr>
                <w:rFonts w:cs="Arial"/>
                <w:color w:val="000000"/>
              </w:rPr>
            </w:pPr>
            <w:r w:rsidRPr="000264DB">
              <w:rPr>
                <w:rFonts w:cs="Arial"/>
                <w:color w:val="000000"/>
              </w:rPr>
              <w:t>0SRA039</w:t>
            </w:r>
          </w:p>
        </w:tc>
        <w:tc>
          <w:tcPr>
            <w:tcW w:w="7556" w:type="dxa"/>
            <w:noWrap/>
            <w:vAlign w:val="center"/>
          </w:tcPr>
          <w:p w14:paraId="41D1E4BD" w14:textId="77777777" w:rsidR="004F7F0B" w:rsidRPr="000264DB" w:rsidRDefault="004F7F0B" w:rsidP="00696E8F">
            <w:pPr>
              <w:rPr>
                <w:rFonts w:cs="Arial"/>
                <w:color w:val="000000"/>
              </w:rPr>
            </w:pPr>
            <w:r w:rsidRPr="000264DB">
              <w:rPr>
                <w:rFonts w:cs="Arial"/>
                <w:color w:val="000000"/>
              </w:rPr>
              <w:t>Replacement of Right Hip Joint, Acetabular Surface with Ceramic Synthetic Substitute, Cemented, Open Approach</w:t>
            </w:r>
          </w:p>
        </w:tc>
      </w:tr>
      <w:tr w:rsidR="004F7F0B" w:rsidRPr="000264DB" w14:paraId="156348AA" w14:textId="77777777" w:rsidTr="00696E8F">
        <w:trPr>
          <w:trHeight w:val="300"/>
          <w:jc w:val="center"/>
        </w:trPr>
        <w:tc>
          <w:tcPr>
            <w:tcW w:w="1890" w:type="dxa"/>
            <w:noWrap/>
            <w:vAlign w:val="center"/>
          </w:tcPr>
          <w:p w14:paraId="56358F3B" w14:textId="77777777" w:rsidR="004F7F0B" w:rsidRPr="000264DB" w:rsidRDefault="004F7F0B" w:rsidP="00696E8F">
            <w:pPr>
              <w:rPr>
                <w:rFonts w:cs="Arial"/>
                <w:color w:val="000000"/>
              </w:rPr>
            </w:pPr>
            <w:r w:rsidRPr="000264DB">
              <w:rPr>
                <w:rFonts w:cs="Arial"/>
                <w:color w:val="000000"/>
              </w:rPr>
              <w:t>0SRA03A</w:t>
            </w:r>
          </w:p>
        </w:tc>
        <w:tc>
          <w:tcPr>
            <w:tcW w:w="7556" w:type="dxa"/>
            <w:noWrap/>
            <w:vAlign w:val="center"/>
          </w:tcPr>
          <w:p w14:paraId="5FC4A10D" w14:textId="77777777" w:rsidR="004F7F0B" w:rsidRPr="000264DB" w:rsidRDefault="004F7F0B" w:rsidP="00696E8F">
            <w:pPr>
              <w:rPr>
                <w:rFonts w:cs="Arial"/>
                <w:color w:val="000000"/>
              </w:rPr>
            </w:pPr>
            <w:r w:rsidRPr="000264DB">
              <w:rPr>
                <w:rFonts w:cs="Arial"/>
                <w:color w:val="000000"/>
              </w:rPr>
              <w:t>Replacement of Right Hip Joint, Acetabular Surface with Ceramic Synthetic Substitute, Uncemented, Open Approach</w:t>
            </w:r>
          </w:p>
        </w:tc>
      </w:tr>
      <w:tr w:rsidR="004F7F0B" w:rsidRPr="000264DB" w14:paraId="0CB268FC" w14:textId="77777777" w:rsidTr="00696E8F">
        <w:trPr>
          <w:trHeight w:val="300"/>
          <w:jc w:val="center"/>
        </w:trPr>
        <w:tc>
          <w:tcPr>
            <w:tcW w:w="1890" w:type="dxa"/>
            <w:noWrap/>
            <w:vAlign w:val="center"/>
          </w:tcPr>
          <w:p w14:paraId="1CE76C8A" w14:textId="77777777" w:rsidR="004F7F0B" w:rsidRPr="000264DB" w:rsidRDefault="004F7F0B" w:rsidP="00696E8F">
            <w:pPr>
              <w:rPr>
                <w:rFonts w:cs="Arial"/>
                <w:color w:val="000000"/>
              </w:rPr>
            </w:pPr>
            <w:r w:rsidRPr="000264DB">
              <w:rPr>
                <w:rFonts w:cs="Arial"/>
                <w:color w:val="000000"/>
              </w:rPr>
              <w:t>0SRA03Z</w:t>
            </w:r>
          </w:p>
        </w:tc>
        <w:tc>
          <w:tcPr>
            <w:tcW w:w="7556" w:type="dxa"/>
            <w:noWrap/>
            <w:vAlign w:val="center"/>
          </w:tcPr>
          <w:p w14:paraId="753BA83F" w14:textId="77777777" w:rsidR="004F7F0B" w:rsidRPr="000264DB" w:rsidRDefault="004F7F0B" w:rsidP="00696E8F">
            <w:pPr>
              <w:rPr>
                <w:rFonts w:cs="Arial"/>
                <w:color w:val="000000"/>
              </w:rPr>
            </w:pPr>
            <w:r w:rsidRPr="000264DB">
              <w:rPr>
                <w:rFonts w:cs="Arial"/>
                <w:color w:val="000000"/>
              </w:rPr>
              <w:t>Replacement of Right Hip Joint, Acetabular Surface with Ceramic Synthetic Substitute, Open Approach</w:t>
            </w:r>
          </w:p>
        </w:tc>
      </w:tr>
      <w:tr w:rsidR="004F7F0B" w:rsidRPr="000264DB" w14:paraId="21213575" w14:textId="77777777" w:rsidTr="00696E8F">
        <w:trPr>
          <w:trHeight w:val="300"/>
          <w:jc w:val="center"/>
        </w:trPr>
        <w:tc>
          <w:tcPr>
            <w:tcW w:w="1890" w:type="dxa"/>
            <w:noWrap/>
            <w:vAlign w:val="center"/>
          </w:tcPr>
          <w:p w14:paraId="337234D5" w14:textId="77777777" w:rsidR="004F7F0B" w:rsidRPr="000264DB" w:rsidRDefault="004F7F0B" w:rsidP="00696E8F">
            <w:pPr>
              <w:rPr>
                <w:rFonts w:cs="Arial"/>
                <w:color w:val="000000"/>
              </w:rPr>
            </w:pPr>
            <w:r w:rsidRPr="000264DB">
              <w:rPr>
                <w:rFonts w:cs="Arial"/>
                <w:color w:val="000000"/>
              </w:rPr>
              <w:t>0SRA0J9</w:t>
            </w:r>
          </w:p>
        </w:tc>
        <w:tc>
          <w:tcPr>
            <w:tcW w:w="7556" w:type="dxa"/>
            <w:noWrap/>
            <w:vAlign w:val="center"/>
          </w:tcPr>
          <w:p w14:paraId="3F61AC71" w14:textId="77777777" w:rsidR="004F7F0B" w:rsidRPr="000264DB" w:rsidRDefault="004F7F0B" w:rsidP="00696E8F">
            <w:pPr>
              <w:rPr>
                <w:rFonts w:cs="Arial"/>
                <w:color w:val="000000"/>
              </w:rPr>
            </w:pPr>
            <w:r w:rsidRPr="000264DB">
              <w:rPr>
                <w:rFonts w:cs="Arial"/>
                <w:color w:val="000000"/>
              </w:rPr>
              <w:t>Replacement of Right Hip Joint, Acetabular Surface with Synthetic Substitute, Cemented, Open Approach</w:t>
            </w:r>
          </w:p>
        </w:tc>
      </w:tr>
      <w:tr w:rsidR="004F7F0B" w:rsidRPr="000264DB" w14:paraId="4A292A48" w14:textId="77777777" w:rsidTr="00696E8F">
        <w:trPr>
          <w:trHeight w:val="300"/>
          <w:jc w:val="center"/>
        </w:trPr>
        <w:tc>
          <w:tcPr>
            <w:tcW w:w="1890" w:type="dxa"/>
            <w:noWrap/>
            <w:vAlign w:val="center"/>
          </w:tcPr>
          <w:p w14:paraId="120C8B25" w14:textId="77777777" w:rsidR="004F7F0B" w:rsidRPr="000264DB" w:rsidRDefault="004F7F0B" w:rsidP="00696E8F">
            <w:pPr>
              <w:rPr>
                <w:rFonts w:cs="Arial"/>
                <w:color w:val="000000"/>
              </w:rPr>
            </w:pPr>
            <w:r w:rsidRPr="000264DB">
              <w:rPr>
                <w:rFonts w:cs="Arial"/>
                <w:color w:val="000000"/>
              </w:rPr>
              <w:t>0SRA0JA</w:t>
            </w:r>
          </w:p>
        </w:tc>
        <w:tc>
          <w:tcPr>
            <w:tcW w:w="7556" w:type="dxa"/>
            <w:noWrap/>
            <w:vAlign w:val="center"/>
          </w:tcPr>
          <w:p w14:paraId="0642C26B" w14:textId="77777777" w:rsidR="004F7F0B" w:rsidRPr="000264DB" w:rsidRDefault="004F7F0B" w:rsidP="00696E8F">
            <w:pPr>
              <w:rPr>
                <w:rFonts w:cs="Arial"/>
                <w:color w:val="000000"/>
              </w:rPr>
            </w:pPr>
            <w:r w:rsidRPr="000264DB">
              <w:rPr>
                <w:rFonts w:cs="Arial"/>
                <w:color w:val="000000"/>
              </w:rPr>
              <w:t>Replacement of Right Hip Joint, Acetabular Surface with Synthetic Substitute, Uncemented, Open Approach</w:t>
            </w:r>
          </w:p>
        </w:tc>
      </w:tr>
      <w:tr w:rsidR="004F7F0B" w:rsidRPr="000264DB" w14:paraId="5FCD62B1" w14:textId="77777777" w:rsidTr="00696E8F">
        <w:trPr>
          <w:trHeight w:val="300"/>
          <w:jc w:val="center"/>
        </w:trPr>
        <w:tc>
          <w:tcPr>
            <w:tcW w:w="1890" w:type="dxa"/>
            <w:noWrap/>
            <w:vAlign w:val="center"/>
          </w:tcPr>
          <w:p w14:paraId="2847FAD4" w14:textId="77777777" w:rsidR="004F7F0B" w:rsidRPr="000264DB" w:rsidRDefault="004F7F0B" w:rsidP="00696E8F">
            <w:pPr>
              <w:rPr>
                <w:rFonts w:cs="Arial"/>
                <w:color w:val="000000"/>
              </w:rPr>
            </w:pPr>
            <w:r w:rsidRPr="000264DB">
              <w:rPr>
                <w:rFonts w:cs="Arial"/>
                <w:color w:val="000000"/>
              </w:rPr>
              <w:t>0SRA0JZ</w:t>
            </w:r>
          </w:p>
        </w:tc>
        <w:tc>
          <w:tcPr>
            <w:tcW w:w="7556" w:type="dxa"/>
            <w:noWrap/>
            <w:vAlign w:val="center"/>
          </w:tcPr>
          <w:p w14:paraId="6C6E555B" w14:textId="77777777" w:rsidR="004F7F0B" w:rsidRPr="000264DB" w:rsidRDefault="004F7F0B" w:rsidP="00696E8F">
            <w:pPr>
              <w:rPr>
                <w:rFonts w:cs="Arial"/>
                <w:color w:val="000000"/>
              </w:rPr>
            </w:pPr>
            <w:r w:rsidRPr="000264DB">
              <w:rPr>
                <w:rFonts w:cs="Arial"/>
                <w:color w:val="000000"/>
              </w:rPr>
              <w:t>Replacement of Right Hip Joint, Acetabular Surface with Synthetic Substitute, Open Approach</w:t>
            </w:r>
          </w:p>
        </w:tc>
      </w:tr>
      <w:tr w:rsidR="004F7F0B" w:rsidRPr="000264DB" w14:paraId="147837F7" w14:textId="77777777" w:rsidTr="00696E8F">
        <w:trPr>
          <w:trHeight w:val="300"/>
          <w:jc w:val="center"/>
        </w:trPr>
        <w:tc>
          <w:tcPr>
            <w:tcW w:w="1890" w:type="dxa"/>
            <w:noWrap/>
            <w:vAlign w:val="center"/>
          </w:tcPr>
          <w:p w14:paraId="65500A06" w14:textId="77777777" w:rsidR="004F7F0B" w:rsidRPr="000264DB" w:rsidRDefault="004F7F0B" w:rsidP="00696E8F">
            <w:pPr>
              <w:rPr>
                <w:rFonts w:cs="Arial"/>
                <w:color w:val="000000"/>
              </w:rPr>
            </w:pPr>
            <w:r w:rsidRPr="000264DB">
              <w:rPr>
                <w:rFonts w:cs="Arial"/>
                <w:color w:val="000000"/>
              </w:rPr>
              <w:t>0SRB019</w:t>
            </w:r>
          </w:p>
        </w:tc>
        <w:tc>
          <w:tcPr>
            <w:tcW w:w="7556" w:type="dxa"/>
            <w:noWrap/>
            <w:vAlign w:val="center"/>
          </w:tcPr>
          <w:p w14:paraId="4A9D6D55" w14:textId="77777777" w:rsidR="004F7F0B" w:rsidRPr="000264DB" w:rsidRDefault="004F7F0B" w:rsidP="00696E8F">
            <w:pPr>
              <w:rPr>
                <w:rFonts w:cs="Arial"/>
                <w:color w:val="000000"/>
              </w:rPr>
            </w:pPr>
            <w:r w:rsidRPr="000264DB">
              <w:rPr>
                <w:rFonts w:cs="Arial"/>
                <w:color w:val="000000"/>
              </w:rPr>
              <w:t>Replacement of Left Hip Joint with Metal Synthetic Substitute, Cemented, Open Approach</w:t>
            </w:r>
          </w:p>
        </w:tc>
      </w:tr>
      <w:tr w:rsidR="004F7F0B" w:rsidRPr="000264DB" w14:paraId="01406081" w14:textId="77777777" w:rsidTr="00696E8F">
        <w:trPr>
          <w:trHeight w:val="300"/>
          <w:jc w:val="center"/>
        </w:trPr>
        <w:tc>
          <w:tcPr>
            <w:tcW w:w="1890" w:type="dxa"/>
            <w:noWrap/>
            <w:vAlign w:val="center"/>
          </w:tcPr>
          <w:p w14:paraId="6307A94A" w14:textId="77777777" w:rsidR="004F7F0B" w:rsidRPr="000264DB" w:rsidRDefault="004F7F0B" w:rsidP="00696E8F">
            <w:pPr>
              <w:rPr>
                <w:rFonts w:cs="Arial"/>
                <w:color w:val="000000"/>
              </w:rPr>
            </w:pPr>
            <w:r w:rsidRPr="000264DB">
              <w:rPr>
                <w:rFonts w:cs="Arial"/>
                <w:color w:val="000000"/>
              </w:rPr>
              <w:t>0SRB01A</w:t>
            </w:r>
          </w:p>
        </w:tc>
        <w:tc>
          <w:tcPr>
            <w:tcW w:w="7556" w:type="dxa"/>
            <w:noWrap/>
            <w:vAlign w:val="center"/>
          </w:tcPr>
          <w:p w14:paraId="37F65C51" w14:textId="77777777" w:rsidR="004F7F0B" w:rsidRPr="000264DB" w:rsidRDefault="004F7F0B" w:rsidP="00696E8F">
            <w:pPr>
              <w:rPr>
                <w:rFonts w:cs="Arial"/>
                <w:color w:val="000000"/>
              </w:rPr>
            </w:pPr>
            <w:r w:rsidRPr="000264DB">
              <w:rPr>
                <w:rFonts w:cs="Arial"/>
                <w:color w:val="000000"/>
              </w:rPr>
              <w:t>Replacement of Left Hip Joint with Metal Synthetic Substitute, Uncemented, Open Approach</w:t>
            </w:r>
          </w:p>
        </w:tc>
      </w:tr>
      <w:tr w:rsidR="004F7F0B" w:rsidRPr="000264DB" w14:paraId="1FD7CDB5" w14:textId="77777777" w:rsidTr="00696E8F">
        <w:trPr>
          <w:trHeight w:val="300"/>
          <w:jc w:val="center"/>
        </w:trPr>
        <w:tc>
          <w:tcPr>
            <w:tcW w:w="1890" w:type="dxa"/>
            <w:noWrap/>
            <w:vAlign w:val="center"/>
          </w:tcPr>
          <w:p w14:paraId="1DC2D682" w14:textId="77777777" w:rsidR="004F7F0B" w:rsidRPr="000264DB" w:rsidRDefault="004F7F0B" w:rsidP="00696E8F">
            <w:pPr>
              <w:rPr>
                <w:rFonts w:cs="Arial"/>
                <w:color w:val="000000"/>
              </w:rPr>
            </w:pPr>
            <w:r w:rsidRPr="000264DB">
              <w:rPr>
                <w:rFonts w:cs="Arial"/>
                <w:color w:val="000000"/>
              </w:rPr>
              <w:t>0SRB01Z</w:t>
            </w:r>
          </w:p>
        </w:tc>
        <w:tc>
          <w:tcPr>
            <w:tcW w:w="7556" w:type="dxa"/>
            <w:noWrap/>
            <w:vAlign w:val="center"/>
          </w:tcPr>
          <w:p w14:paraId="56AC020F" w14:textId="77777777" w:rsidR="004F7F0B" w:rsidRPr="000264DB" w:rsidRDefault="004F7F0B" w:rsidP="00696E8F">
            <w:pPr>
              <w:rPr>
                <w:rFonts w:cs="Arial"/>
                <w:color w:val="000000"/>
              </w:rPr>
            </w:pPr>
            <w:r w:rsidRPr="000264DB">
              <w:rPr>
                <w:rFonts w:cs="Arial"/>
                <w:color w:val="000000"/>
              </w:rPr>
              <w:t>Replacement of Left Hip Joint with Metal Synthetic Substitute, Open Approach</w:t>
            </w:r>
          </w:p>
        </w:tc>
      </w:tr>
      <w:tr w:rsidR="004F7F0B" w:rsidRPr="000264DB" w14:paraId="31E209E3" w14:textId="77777777" w:rsidTr="00696E8F">
        <w:trPr>
          <w:trHeight w:val="300"/>
          <w:jc w:val="center"/>
        </w:trPr>
        <w:tc>
          <w:tcPr>
            <w:tcW w:w="1890" w:type="dxa"/>
            <w:noWrap/>
            <w:vAlign w:val="center"/>
          </w:tcPr>
          <w:p w14:paraId="34FB693A" w14:textId="77777777" w:rsidR="004F7F0B" w:rsidRPr="000264DB" w:rsidRDefault="004F7F0B" w:rsidP="00696E8F">
            <w:pPr>
              <w:rPr>
                <w:rFonts w:cs="Arial"/>
                <w:color w:val="000000"/>
              </w:rPr>
            </w:pPr>
            <w:r w:rsidRPr="000264DB">
              <w:rPr>
                <w:rFonts w:cs="Arial"/>
                <w:color w:val="000000"/>
              </w:rPr>
              <w:t>0SRB029 </w:t>
            </w:r>
          </w:p>
        </w:tc>
        <w:tc>
          <w:tcPr>
            <w:tcW w:w="7556" w:type="dxa"/>
            <w:noWrap/>
            <w:vAlign w:val="center"/>
          </w:tcPr>
          <w:p w14:paraId="2C00B30F" w14:textId="77777777" w:rsidR="004F7F0B" w:rsidRPr="000264DB" w:rsidRDefault="004F7F0B" w:rsidP="00696E8F">
            <w:pPr>
              <w:rPr>
                <w:rFonts w:cs="Arial"/>
                <w:color w:val="000000"/>
              </w:rPr>
            </w:pPr>
            <w:r w:rsidRPr="000264DB">
              <w:rPr>
                <w:rFonts w:cs="Arial"/>
                <w:color w:val="000000"/>
              </w:rPr>
              <w:t>Replacement of Left Hip Joint with Metal on Polyethylene Synthetic Substitute, Cemented, Open Approach</w:t>
            </w:r>
          </w:p>
        </w:tc>
      </w:tr>
      <w:tr w:rsidR="004F7F0B" w:rsidRPr="000264DB" w14:paraId="33AE006B" w14:textId="77777777" w:rsidTr="00696E8F">
        <w:trPr>
          <w:trHeight w:val="300"/>
          <w:jc w:val="center"/>
        </w:trPr>
        <w:tc>
          <w:tcPr>
            <w:tcW w:w="1890" w:type="dxa"/>
            <w:noWrap/>
            <w:vAlign w:val="center"/>
          </w:tcPr>
          <w:p w14:paraId="47A20F39" w14:textId="77777777" w:rsidR="004F7F0B" w:rsidRPr="000264DB" w:rsidRDefault="004F7F0B" w:rsidP="00696E8F">
            <w:pPr>
              <w:rPr>
                <w:rFonts w:cs="Arial"/>
                <w:color w:val="000000"/>
              </w:rPr>
            </w:pPr>
            <w:r w:rsidRPr="000264DB">
              <w:rPr>
                <w:rFonts w:cs="Arial"/>
                <w:color w:val="000000"/>
              </w:rPr>
              <w:t>0SRB02A</w:t>
            </w:r>
          </w:p>
        </w:tc>
        <w:tc>
          <w:tcPr>
            <w:tcW w:w="7556" w:type="dxa"/>
            <w:noWrap/>
            <w:vAlign w:val="center"/>
          </w:tcPr>
          <w:p w14:paraId="2F2EDBAB" w14:textId="77777777" w:rsidR="004F7F0B" w:rsidRPr="000264DB" w:rsidRDefault="004F7F0B" w:rsidP="00696E8F">
            <w:pPr>
              <w:rPr>
                <w:rFonts w:cs="Arial"/>
                <w:color w:val="000000"/>
              </w:rPr>
            </w:pPr>
            <w:r w:rsidRPr="000264DB">
              <w:rPr>
                <w:rFonts w:cs="Arial"/>
                <w:color w:val="000000"/>
              </w:rPr>
              <w:t>Replacement of Left Hip Joint with Metal on Polyethylene Synthetic Substitute, Uncemented, Open Approach</w:t>
            </w:r>
          </w:p>
        </w:tc>
      </w:tr>
      <w:tr w:rsidR="004F7F0B" w:rsidRPr="000264DB" w14:paraId="4259E14A" w14:textId="77777777" w:rsidTr="00696E8F">
        <w:trPr>
          <w:trHeight w:val="300"/>
          <w:jc w:val="center"/>
        </w:trPr>
        <w:tc>
          <w:tcPr>
            <w:tcW w:w="1890" w:type="dxa"/>
            <w:noWrap/>
            <w:vAlign w:val="center"/>
          </w:tcPr>
          <w:p w14:paraId="3552E5C8" w14:textId="77777777" w:rsidR="004F7F0B" w:rsidRPr="000264DB" w:rsidRDefault="004F7F0B" w:rsidP="00696E8F">
            <w:pPr>
              <w:rPr>
                <w:rFonts w:cs="Arial"/>
                <w:color w:val="000000"/>
              </w:rPr>
            </w:pPr>
            <w:r w:rsidRPr="000264DB">
              <w:rPr>
                <w:rFonts w:cs="Arial"/>
                <w:color w:val="000000"/>
              </w:rPr>
              <w:t>0SRB02Z</w:t>
            </w:r>
          </w:p>
        </w:tc>
        <w:tc>
          <w:tcPr>
            <w:tcW w:w="7556" w:type="dxa"/>
            <w:noWrap/>
            <w:vAlign w:val="center"/>
          </w:tcPr>
          <w:p w14:paraId="48460C7D" w14:textId="77777777" w:rsidR="004F7F0B" w:rsidRPr="000264DB" w:rsidRDefault="004F7F0B" w:rsidP="00696E8F">
            <w:pPr>
              <w:rPr>
                <w:rFonts w:cs="Arial"/>
                <w:color w:val="000000"/>
              </w:rPr>
            </w:pPr>
            <w:r w:rsidRPr="000264DB">
              <w:rPr>
                <w:rFonts w:cs="Arial"/>
                <w:color w:val="000000"/>
              </w:rPr>
              <w:t>Replacement of Left Hip Joint with Metal on Polyethylene Synthetic Substitute, Open Approach</w:t>
            </w:r>
          </w:p>
        </w:tc>
      </w:tr>
      <w:tr w:rsidR="004F7F0B" w:rsidRPr="000264DB" w14:paraId="7FAA36A8" w14:textId="77777777" w:rsidTr="00696E8F">
        <w:trPr>
          <w:trHeight w:val="300"/>
          <w:jc w:val="center"/>
        </w:trPr>
        <w:tc>
          <w:tcPr>
            <w:tcW w:w="1890" w:type="dxa"/>
            <w:noWrap/>
            <w:vAlign w:val="center"/>
          </w:tcPr>
          <w:p w14:paraId="0D24B179" w14:textId="77777777" w:rsidR="004F7F0B" w:rsidRPr="000264DB" w:rsidRDefault="004F7F0B" w:rsidP="00696E8F">
            <w:pPr>
              <w:rPr>
                <w:rFonts w:cs="Arial"/>
                <w:color w:val="000000"/>
              </w:rPr>
            </w:pPr>
            <w:r w:rsidRPr="000264DB">
              <w:rPr>
                <w:rFonts w:cs="Arial"/>
                <w:color w:val="000000"/>
              </w:rPr>
              <w:t>0SRB039</w:t>
            </w:r>
          </w:p>
        </w:tc>
        <w:tc>
          <w:tcPr>
            <w:tcW w:w="7556" w:type="dxa"/>
            <w:noWrap/>
            <w:vAlign w:val="center"/>
          </w:tcPr>
          <w:p w14:paraId="53B91D69" w14:textId="77777777" w:rsidR="004F7F0B" w:rsidRPr="000264DB" w:rsidRDefault="004F7F0B" w:rsidP="00696E8F">
            <w:pPr>
              <w:rPr>
                <w:rFonts w:cs="Arial"/>
                <w:color w:val="000000"/>
              </w:rPr>
            </w:pPr>
            <w:r w:rsidRPr="000264DB">
              <w:rPr>
                <w:rFonts w:cs="Arial"/>
                <w:color w:val="000000"/>
              </w:rPr>
              <w:t>Replacement of Left Hip Joint with Ceramic Synthetic Substitute, Cemented, Open Approach</w:t>
            </w:r>
          </w:p>
        </w:tc>
      </w:tr>
      <w:tr w:rsidR="004F7F0B" w:rsidRPr="000264DB" w14:paraId="28A17657" w14:textId="77777777" w:rsidTr="00696E8F">
        <w:trPr>
          <w:trHeight w:val="300"/>
          <w:jc w:val="center"/>
        </w:trPr>
        <w:tc>
          <w:tcPr>
            <w:tcW w:w="1890" w:type="dxa"/>
            <w:noWrap/>
            <w:vAlign w:val="center"/>
          </w:tcPr>
          <w:p w14:paraId="3FFFD25A" w14:textId="77777777" w:rsidR="004F7F0B" w:rsidRPr="000264DB" w:rsidRDefault="004F7F0B" w:rsidP="00696E8F">
            <w:pPr>
              <w:rPr>
                <w:rFonts w:cs="Arial"/>
                <w:color w:val="000000"/>
              </w:rPr>
            </w:pPr>
            <w:r w:rsidRPr="000264DB">
              <w:rPr>
                <w:rFonts w:cs="Arial"/>
                <w:color w:val="000000"/>
              </w:rPr>
              <w:t>0SRB03A</w:t>
            </w:r>
          </w:p>
        </w:tc>
        <w:tc>
          <w:tcPr>
            <w:tcW w:w="7556" w:type="dxa"/>
            <w:noWrap/>
            <w:vAlign w:val="center"/>
          </w:tcPr>
          <w:p w14:paraId="5435A255" w14:textId="77777777" w:rsidR="004F7F0B" w:rsidRPr="000264DB" w:rsidRDefault="004F7F0B" w:rsidP="00696E8F">
            <w:pPr>
              <w:rPr>
                <w:rFonts w:cs="Arial"/>
                <w:color w:val="000000"/>
              </w:rPr>
            </w:pPr>
            <w:r w:rsidRPr="000264DB">
              <w:rPr>
                <w:rFonts w:cs="Arial"/>
                <w:color w:val="000000"/>
              </w:rPr>
              <w:t>Replacement of Left Hip Joint with Ceramic Synthetic Substitute, Uncemented, Open Approach</w:t>
            </w:r>
          </w:p>
        </w:tc>
      </w:tr>
      <w:tr w:rsidR="004F7F0B" w:rsidRPr="000264DB" w14:paraId="4067AE67" w14:textId="77777777" w:rsidTr="00696E8F">
        <w:trPr>
          <w:trHeight w:val="300"/>
          <w:jc w:val="center"/>
        </w:trPr>
        <w:tc>
          <w:tcPr>
            <w:tcW w:w="1890" w:type="dxa"/>
            <w:noWrap/>
            <w:vAlign w:val="center"/>
          </w:tcPr>
          <w:p w14:paraId="5545AAD1" w14:textId="77777777" w:rsidR="004F7F0B" w:rsidRPr="000264DB" w:rsidRDefault="004F7F0B" w:rsidP="00696E8F">
            <w:pPr>
              <w:rPr>
                <w:rFonts w:cs="Arial"/>
                <w:color w:val="000000"/>
              </w:rPr>
            </w:pPr>
            <w:r w:rsidRPr="000264DB">
              <w:rPr>
                <w:rFonts w:cs="Arial"/>
                <w:color w:val="000000"/>
              </w:rPr>
              <w:t>0SRB03Z</w:t>
            </w:r>
          </w:p>
        </w:tc>
        <w:tc>
          <w:tcPr>
            <w:tcW w:w="7556" w:type="dxa"/>
            <w:noWrap/>
            <w:vAlign w:val="center"/>
          </w:tcPr>
          <w:p w14:paraId="6CB6EB24" w14:textId="77777777" w:rsidR="004F7F0B" w:rsidRPr="000264DB" w:rsidRDefault="004F7F0B" w:rsidP="00696E8F">
            <w:pPr>
              <w:rPr>
                <w:rFonts w:cs="Arial"/>
                <w:color w:val="000000"/>
              </w:rPr>
            </w:pPr>
            <w:r w:rsidRPr="000264DB">
              <w:rPr>
                <w:rFonts w:cs="Arial"/>
                <w:color w:val="000000"/>
              </w:rPr>
              <w:t>Replacement of Left Hip Joint with Ceramic Synthetic Substitute, Open Approach</w:t>
            </w:r>
          </w:p>
        </w:tc>
      </w:tr>
      <w:tr w:rsidR="004F7F0B" w:rsidRPr="000264DB" w14:paraId="7C1F3FB0" w14:textId="77777777" w:rsidTr="00696E8F">
        <w:trPr>
          <w:trHeight w:val="300"/>
          <w:jc w:val="center"/>
        </w:trPr>
        <w:tc>
          <w:tcPr>
            <w:tcW w:w="1890" w:type="dxa"/>
            <w:noWrap/>
            <w:vAlign w:val="center"/>
            <w:hideMark/>
          </w:tcPr>
          <w:p w14:paraId="649A75AA" w14:textId="77777777" w:rsidR="004F7F0B" w:rsidRPr="000264DB" w:rsidRDefault="004F7F0B" w:rsidP="00696E8F">
            <w:pPr>
              <w:rPr>
                <w:rFonts w:cs="Arial"/>
                <w:color w:val="000000"/>
              </w:rPr>
            </w:pPr>
            <w:r w:rsidRPr="000264DB">
              <w:rPr>
                <w:rFonts w:cs="Arial"/>
                <w:color w:val="000000"/>
              </w:rPr>
              <w:t>0SRB049</w:t>
            </w:r>
          </w:p>
        </w:tc>
        <w:tc>
          <w:tcPr>
            <w:tcW w:w="7556" w:type="dxa"/>
            <w:noWrap/>
            <w:vAlign w:val="center"/>
            <w:hideMark/>
          </w:tcPr>
          <w:p w14:paraId="14A0E935" w14:textId="77777777" w:rsidR="004F7F0B" w:rsidRPr="000264DB" w:rsidRDefault="004F7F0B" w:rsidP="00696E8F">
            <w:pPr>
              <w:rPr>
                <w:rFonts w:cs="Arial"/>
                <w:color w:val="000000"/>
              </w:rPr>
            </w:pPr>
            <w:r w:rsidRPr="000264DB">
              <w:rPr>
                <w:rFonts w:cs="Arial"/>
                <w:color w:val="000000"/>
              </w:rPr>
              <w:t>Replacement of Left Hip Joint with Ceramic on Polyethylene Synthetic Substitute, Cemented, Open Approach</w:t>
            </w:r>
          </w:p>
        </w:tc>
      </w:tr>
      <w:tr w:rsidR="004F7F0B" w:rsidRPr="000264DB" w14:paraId="0392C916" w14:textId="77777777" w:rsidTr="00696E8F">
        <w:trPr>
          <w:trHeight w:val="300"/>
          <w:jc w:val="center"/>
        </w:trPr>
        <w:tc>
          <w:tcPr>
            <w:tcW w:w="1890" w:type="dxa"/>
            <w:noWrap/>
            <w:vAlign w:val="center"/>
            <w:hideMark/>
          </w:tcPr>
          <w:p w14:paraId="55DB2DEF" w14:textId="77777777" w:rsidR="004F7F0B" w:rsidRPr="000264DB" w:rsidRDefault="004F7F0B" w:rsidP="00696E8F">
            <w:pPr>
              <w:rPr>
                <w:rFonts w:cs="Arial"/>
                <w:color w:val="000000"/>
              </w:rPr>
            </w:pPr>
            <w:r w:rsidRPr="000264DB">
              <w:rPr>
                <w:rFonts w:cs="Arial"/>
                <w:color w:val="000000"/>
              </w:rPr>
              <w:t>0SRB04A</w:t>
            </w:r>
          </w:p>
        </w:tc>
        <w:tc>
          <w:tcPr>
            <w:tcW w:w="7556" w:type="dxa"/>
            <w:noWrap/>
            <w:vAlign w:val="center"/>
            <w:hideMark/>
          </w:tcPr>
          <w:p w14:paraId="547E1259" w14:textId="77777777" w:rsidR="004F7F0B" w:rsidRPr="000264DB" w:rsidRDefault="004F7F0B" w:rsidP="00696E8F">
            <w:pPr>
              <w:rPr>
                <w:rFonts w:cs="Arial"/>
                <w:color w:val="000000"/>
              </w:rPr>
            </w:pPr>
            <w:r w:rsidRPr="000264DB">
              <w:rPr>
                <w:rFonts w:cs="Arial"/>
                <w:color w:val="000000"/>
              </w:rPr>
              <w:t>Replacement of Left Hip Joint with Ceramic on Polyethylene Synthetic Substitute, Uncemented, Open Approach</w:t>
            </w:r>
          </w:p>
        </w:tc>
      </w:tr>
      <w:tr w:rsidR="004F7F0B" w:rsidRPr="000264DB" w14:paraId="1C1396D0" w14:textId="77777777" w:rsidTr="00696E8F">
        <w:trPr>
          <w:trHeight w:val="300"/>
          <w:jc w:val="center"/>
        </w:trPr>
        <w:tc>
          <w:tcPr>
            <w:tcW w:w="1890" w:type="dxa"/>
            <w:noWrap/>
            <w:vAlign w:val="center"/>
            <w:hideMark/>
          </w:tcPr>
          <w:p w14:paraId="313901EC" w14:textId="77777777" w:rsidR="004F7F0B" w:rsidRPr="000264DB" w:rsidRDefault="004F7F0B" w:rsidP="00696E8F">
            <w:pPr>
              <w:rPr>
                <w:rFonts w:cs="Arial"/>
                <w:color w:val="000000"/>
              </w:rPr>
            </w:pPr>
            <w:r w:rsidRPr="000264DB">
              <w:rPr>
                <w:rFonts w:cs="Arial"/>
                <w:color w:val="000000"/>
              </w:rPr>
              <w:t>0SRB04Z</w:t>
            </w:r>
          </w:p>
        </w:tc>
        <w:tc>
          <w:tcPr>
            <w:tcW w:w="7556" w:type="dxa"/>
            <w:noWrap/>
            <w:vAlign w:val="center"/>
            <w:hideMark/>
          </w:tcPr>
          <w:p w14:paraId="730B85A9" w14:textId="77777777" w:rsidR="004F7F0B" w:rsidRPr="000264DB" w:rsidRDefault="004F7F0B" w:rsidP="00696E8F">
            <w:pPr>
              <w:rPr>
                <w:rFonts w:cs="Arial"/>
                <w:color w:val="000000"/>
              </w:rPr>
            </w:pPr>
            <w:r w:rsidRPr="000264DB">
              <w:rPr>
                <w:rFonts w:cs="Arial"/>
                <w:color w:val="000000"/>
              </w:rPr>
              <w:t>Replacement of Left Hip Joint with Ceramic on Polyethylene Synthetic Substitute, Open Approach</w:t>
            </w:r>
          </w:p>
        </w:tc>
      </w:tr>
      <w:tr w:rsidR="004F7F0B" w:rsidRPr="000264DB" w14:paraId="20AEBF2C" w14:textId="77777777" w:rsidTr="00696E8F">
        <w:trPr>
          <w:trHeight w:val="300"/>
          <w:jc w:val="center"/>
        </w:trPr>
        <w:tc>
          <w:tcPr>
            <w:tcW w:w="1890" w:type="dxa"/>
            <w:noWrap/>
            <w:vAlign w:val="center"/>
          </w:tcPr>
          <w:p w14:paraId="368D6B20" w14:textId="77777777" w:rsidR="004F7F0B" w:rsidRPr="000264DB" w:rsidRDefault="004F7F0B" w:rsidP="00696E8F">
            <w:pPr>
              <w:rPr>
                <w:rFonts w:cs="Arial"/>
                <w:color w:val="000000"/>
              </w:rPr>
            </w:pPr>
            <w:r w:rsidRPr="000264DB">
              <w:rPr>
                <w:rFonts w:cs="Arial"/>
                <w:color w:val="000000"/>
              </w:rPr>
              <w:t>0SRB0J9</w:t>
            </w:r>
          </w:p>
        </w:tc>
        <w:tc>
          <w:tcPr>
            <w:tcW w:w="7556" w:type="dxa"/>
            <w:noWrap/>
            <w:vAlign w:val="center"/>
          </w:tcPr>
          <w:p w14:paraId="6A5381FD" w14:textId="77777777" w:rsidR="004F7F0B" w:rsidRPr="000264DB" w:rsidRDefault="004F7F0B" w:rsidP="00696E8F">
            <w:pPr>
              <w:rPr>
                <w:rFonts w:cs="Arial"/>
                <w:color w:val="000000"/>
              </w:rPr>
            </w:pPr>
            <w:r w:rsidRPr="000264DB">
              <w:rPr>
                <w:rFonts w:cs="Arial"/>
                <w:color w:val="000000"/>
              </w:rPr>
              <w:t>Replacement of Left Hip Joint with Synthetic Substitute, Cemented, Open Approach</w:t>
            </w:r>
          </w:p>
        </w:tc>
      </w:tr>
      <w:tr w:rsidR="004F7F0B" w:rsidRPr="000264DB" w14:paraId="207391C0" w14:textId="77777777" w:rsidTr="00696E8F">
        <w:trPr>
          <w:trHeight w:val="300"/>
          <w:jc w:val="center"/>
        </w:trPr>
        <w:tc>
          <w:tcPr>
            <w:tcW w:w="1890" w:type="dxa"/>
            <w:noWrap/>
            <w:vAlign w:val="center"/>
          </w:tcPr>
          <w:p w14:paraId="6AE8C2EA" w14:textId="77777777" w:rsidR="004F7F0B" w:rsidRPr="000264DB" w:rsidRDefault="004F7F0B" w:rsidP="00696E8F">
            <w:pPr>
              <w:rPr>
                <w:rFonts w:cs="Arial"/>
              </w:rPr>
            </w:pPr>
            <w:r w:rsidRPr="000264DB">
              <w:rPr>
                <w:rFonts w:cs="Arial"/>
              </w:rPr>
              <w:t>0SRB0JA </w:t>
            </w:r>
          </w:p>
        </w:tc>
        <w:tc>
          <w:tcPr>
            <w:tcW w:w="7556" w:type="dxa"/>
            <w:noWrap/>
            <w:vAlign w:val="center"/>
          </w:tcPr>
          <w:p w14:paraId="7E8A733B" w14:textId="77777777" w:rsidR="004F7F0B" w:rsidRPr="000264DB" w:rsidRDefault="004F7F0B" w:rsidP="00696E8F">
            <w:pPr>
              <w:rPr>
                <w:rFonts w:cs="Arial"/>
              </w:rPr>
            </w:pPr>
            <w:r w:rsidRPr="000264DB">
              <w:rPr>
                <w:rFonts w:cs="Arial"/>
              </w:rPr>
              <w:t>Replacement of Left Hip Joint with Synthetic Substitute, Uncemented, Open Approach</w:t>
            </w:r>
          </w:p>
        </w:tc>
      </w:tr>
      <w:tr w:rsidR="004F7F0B" w:rsidRPr="000264DB" w14:paraId="67B833CC" w14:textId="77777777" w:rsidTr="00696E8F">
        <w:trPr>
          <w:trHeight w:val="300"/>
          <w:jc w:val="center"/>
        </w:trPr>
        <w:tc>
          <w:tcPr>
            <w:tcW w:w="1890" w:type="dxa"/>
            <w:noWrap/>
            <w:vAlign w:val="center"/>
          </w:tcPr>
          <w:p w14:paraId="0CAB3B36" w14:textId="77777777" w:rsidR="004F7F0B" w:rsidRPr="000264DB" w:rsidRDefault="004F7F0B" w:rsidP="00696E8F">
            <w:pPr>
              <w:rPr>
                <w:rFonts w:cs="Arial"/>
              </w:rPr>
            </w:pPr>
            <w:r w:rsidRPr="000264DB">
              <w:rPr>
                <w:rFonts w:cs="Arial"/>
              </w:rPr>
              <w:t>0SRB0JZ</w:t>
            </w:r>
          </w:p>
        </w:tc>
        <w:tc>
          <w:tcPr>
            <w:tcW w:w="7556" w:type="dxa"/>
            <w:noWrap/>
            <w:vAlign w:val="center"/>
          </w:tcPr>
          <w:p w14:paraId="200B2C88" w14:textId="77777777" w:rsidR="004F7F0B" w:rsidRPr="000264DB" w:rsidRDefault="004F7F0B" w:rsidP="00696E8F">
            <w:pPr>
              <w:rPr>
                <w:rFonts w:cs="Arial"/>
              </w:rPr>
            </w:pPr>
            <w:r w:rsidRPr="000264DB">
              <w:rPr>
                <w:rFonts w:cs="Arial"/>
              </w:rPr>
              <w:t>Replacement of Left Hip Joint with Synthetic Substitute, Open Approach</w:t>
            </w:r>
          </w:p>
        </w:tc>
      </w:tr>
      <w:tr w:rsidR="004F7F0B" w:rsidRPr="000264DB" w14:paraId="2D261E81" w14:textId="77777777" w:rsidTr="00696E8F">
        <w:trPr>
          <w:trHeight w:val="300"/>
          <w:jc w:val="center"/>
        </w:trPr>
        <w:tc>
          <w:tcPr>
            <w:tcW w:w="1890" w:type="dxa"/>
            <w:noWrap/>
            <w:vAlign w:val="center"/>
          </w:tcPr>
          <w:p w14:paraId="20A80383" w14:textId="77777777" w:rsidR="004F7F0B" w:rsidRPr="000264DB" w:rsidRDefault="004F7F0B" w:rsidP="00696E8F">
            <w:pPr>
              <w:rPr>
                <w:rFonts w:cs="Arial"/>
                <w:color w:val="000000"/>
              </w:rPr>
            </w:pPr>
            <w:r w:rsidRPr="000264DB">
              <w:rPr>
                <w:rFonts w:cs="Arial"/>
                <w:color w:val="000000"/>
              </w:rPr>
              <w:t>0SRE009</w:t>
            </w:r>
          </w:p>
        </w:tc>
        <w:tc>
          <w:tcPr>
            <w:tcW w:w="7556" w:type="dxa"/>
            <w:noWrap/>
            <w:vAlign w:val="center"/>
          </w:tcPr>
          <w:p w14:paraId="689B695E" w14:textId="77777777" w:rsidR="004F7F0B" w:rsidRPr="000264DB" w:rsidRDefault="004F7F0B" w:rsidP="00696E8F">
            <w:pPr>
              <w:rPr>
                <w:rFonts w:cs="Arial"/>
                <w:color w:val="000000"/>
              </w:rPr>
            </w:pPr>
            <w:r w:rsidRPr="000264DB">
              <w:rPr>
                <w:rFonts w:cs="Arial"/>
                <w:color w:val="000000"/>
              </w:rPr>
              <w:t>Replacement of Left Hip Joint, Acetabular Surface with Polyethylene Synthetic Substitute, Cemented, Open Approach</w:t>
            </w:r>
          </w:p>
        </w:tc>
      </w:tr>
      <w:tr w:rsidR="004F7F0B" w:rsidRPr="000264DB" w14:paraId="43B4164B" w14:textId="77777777" w:rsidTr="00696E8F">
        <w:trPr>
          <w:trHeight w:val="300"/>
          <w:jc w:val="center"/>
        </w:trPr>
        <w:tc>
          <w:tcPr>
            <w:tcW w:w="1890" w:type="dxa"/>
            <w:noWrap/>
            <w:vAlign w:val="center"/>
          </w:tcPr>
          <w:p w14:paraId="2A6D0F29" w14:textId="77777777" w:rsidR="004F7F0B" w:rsidRPr="000264DB" w:rsidRDefault="004F7F0B" w:rsidP="00696E8F">
            <w:pPr>
              <w:rPr>
                <w:rFonts w:cs="Arial"/>
                <w:color w:val="000000"/>
              </w:rPr>
            </w:pPr>
            <w:r w:rsidRPr="000264DB">
              <w:rPr>
                <w:rFonts w:cs="Arial"/>
                <w:color w:val="000000"/>
              </w:rPr>
              <w:t>0SRE00A</w:t>
            </w:r>
          </w:p>
        </w:tc>
        <w:tc>
          <w:tcPr>
            <w:tcW w:w="7556" w:type="dxa"/>
            <w:noWrap/>
            <w:vAlign w:val="center"/>
          </w:tcPr>
          <w:p w14:paraId="34EB58A2" w14:textId="77777777" w:rsidR="004F7F0B" w:rsidRPr="000264DB" w:rsidRDefault="004F7F0B" w:rsidP="00696E8F">
            <w:pPr>
              <w:rPr>
                <w:rFonts w:cs="Arial"/>
                <w:color w:val="000000"/>
              </w:rPr>
            </w:pPr>
            <w:r w:rsidRPr="000264DB">
              <w:rPr>
                <w:rFonts w:cs="Arial"/>
                <w:color w:val="000000"/>
              </w:rPr>
              <w:t>Replacement of Left Hip Joint, Acetabular Surface with Polyethylene Synthetic Substitute, Uncemented, Open Approach</w:t>
            </w:r>
          </w:p>
        </w:tc>
      </w:tr>
      <w:tr w:rsidR="004F7F0B" w:rsidRPr="000264DB" w14:paraId="1854F8A5" w14:textId="77777777" w:rsidTr="00696E8F">
        <w:trPr>
          <w:trHeight w:val="300"/>
          <w:jc w:val="center"/>
        </w:trPr>
        <w:tc>
          <w:tcPr>
            <w:tcW w:w="1890" w:type="dxa"/>
            <w:noWrap/>
            <w:vAlign w:val="center"/>
          </w:tcPr>
          <w:p w14:paraId="6EC8141C" w14:textId="77777777" w:rsidR="004F7F0B" w:rsidRPr="000264DB" w:rsidRDefault="004F7F0B" w:rsidP="00696E8F">
            <w:pPr>
              <w:rPr>
                <w:rFonts w:cs="Arial"/>
                <w:color w:val="000000"/>
              </w:rPr>
            </w:pPr>
            <w:r w:rsidRPr="000264DB">
              <w:rPr>
                <w:rFonts w:cs="Arial"/>
                <w:color w:val="000000"/>
              </w:rPr>
              <w:t>0SRE00Z</w:t>
            </w:r>
          </w:p>
        </w:tc>
        <w:tc>
          <w:tcPr>
            <w:tcW w:w="7556" w:type="dxa"/>
            <w:noWrap/>
            <w:vAlign w:val="center"/>
          </w:tcPr>
          <w:p w14:paraId="0CB86059" w14:textId="77777777" w:rsidR="004F7F0B" w:rsidRPr="000264DB" w:rsidRDefault="004F7F0B" w:rsidP="00696E8F">
            <w:pPr>
              <w:rPr>
                <w:rFonts w:cs="Arial"/>
                <w:color w:val="000000"/>
              </w:rPr>
            </w:pPr>
            <w:r w:rsidRPr="000264DB">
              <w:rPr>
                <w:rFonts w:cs="Arial"/>
                <w:color w:val="000000"/>
              </w:rPr>
              <w:t>Replacement of Left Hip Joint, Acetabular Surface with Polyethylene Synthetic Substitute, Open Approach</w:t>
            </w:r>
          </w:p>
        </w:tc>
      </w:tr>
      <w:tr w:rsidR="004F7F0B" w:rsidRPr="000264DB" w14:paraId="1D228CCB" w14:textId="77777777" w:rsidTr="00696E8F">
        <w:trPr>
          <w:trHeight w:val="300"/>
          <w:jc w:val="center"/>
        </w:trPr>
        <w:tc>
          <w:tcPr>
            <w:tcW w:w="1890" w:type="dxa"/>
            <w:noWrap/>
            <w:vAlign w:val="center"/>
          </w:tcPr>
          <w:p w14:paraId="0ED3A245" w14:textId="77777777" w:rsidR="004F7F0B" w:rsidRPr="000264DB" w:rsidRDefault="004F7F0B" w:rsidP="00696E8F">
            <w:pPr>
              <w:rPr>
                <w:rFonts w:cs="Arial"/>
                <w:color w:val="000000"/>
              </w:rPr>
            </w:pPr>
            <w:r w:rsidRPr="000264DB">
              <w:rPr>
                <w:rFonts w:cs="Arial"/>
                <w:color w:val="000000"/>
              </w:rPr>
              <w:t>0SRE019</w:t>
            </w:r>
          </w:p>
        </w:tc>
        <w:tc>
          <w:tcPr>
            <w:tcW w:w="7556" w:type="dxa"/>
            <w:noWrap/>
            <w:vAlign w:val="center"/>
          </w:tcPr>
          <w:p w14:paraId="6804D9C0" w14:textId="77777777" w:rsidR="004F7F0B" w:rsidRPr="000264DB" w:rsidRDefault="004F7F0B" w:rsidP="00696E8F">
            <w:pPr>
              <w:rPr>
                <w:rFonts w:cs="Arial"/>
                <w:color w:val="000000"/>
              </w:rPr>
            </w:pPr>
            <w:r w:rsidRPr="000264DB">
              <w:rPr>
                <w:rFonts w:cs="Arial"/>
                <w:color w:val="000000"/>
              </w:rPr>
              <w:t>Replacement of Left Hip Joint, Acetabular Surface with Metal Synthetic Substitute, Cemented, Open Approach</w:t>
            </w:r>
          </w:p>
        </w:tc>
      </w:tr>
      <w:tr w:rsidR="004F7F0B" w:rsidRPr="000264DB" w14:paraId="28ADAC0B" w14:textId="77777777" w:rsidTr="00696E8F">
        <w:trPr>
          <w:trHeight w:val="300"/>
          <w:jc w:val="center"/>
        </w:trPr>
        <w:tc>
          <w:tcPr>
            <w:tcW w:w="1890" w:type="dxa"/>
            <w:noWrap/>
            <w:vAlign w:val="center"/>
          </w:tcPr>
          <w:p w14:paraId="51800CC1" w14:textId="77777777" w:rsidR="004F7F0B" w:rsidRPr="000264DB" w:rsidRDefault="004F7F0B" w:rsidP="00696E8F">
            <w:pPr>
              <w:rPr>
                <w:rFonts w:cs="Arial"/>
                <w:color w:val="000000"/>
              </w:rPr>
            </w:pPr>
            <w:r w:rsidRPr="000264DB">
              <w:rPr>
                <w:rFonts w:cs="Arial"/>
                <w:color w:val="000000"/>
              </w:rPr>
              <w:lastRenderedPageBreak/>
              <w:t>0SRE01A</w:t>
            </w:r>
          </w:p>
        </w:tc>
        <w:tc>
          <w:tcPr>
            <w:tcW w:w="7556" w:type="dxa"/>
            <w:noWrap/>
            <w:vAlign w:val="center"/>
          </w:tcPr>
          <w:p w14:paraId="38762D1E" w14:textId="77777777" w:rsidR="004F7F0B" w:rsidRPr="000264DB" w:rsidRDefault="004F7F0B" w:rsidP="00696E8F">
            <w:pPr>
              <w:rPr>
                <w:rFonts w:cs="Arial"/>
                <w:color w:val="000000"/>
              </w:rPr>
            </w:pPr>
            <w:r w:rsidRPr="000264DB">
              <w:rPr>
                <w:rFonts w:cs="Arial"/>
                <w:color w:val="000000"/>
              </w:rPr>
              <w:t>Replacement of Left Hip Joint, Acetabular Surface with Metal Synthetic Substitute, Uncemented, Open Approach</w:t>
            </w:r>
          </w:p>
        </w:tc>
      </w:tr>
      <w:tr w:rsidR="004F7F0B" w:rsidRPr="000264DB" w14:paraId="348C8CE2" w14:textId="77777777" w:rsidTr="00696E8F">
        <w:trPr>
          <w:trHeight w:val="300"/>
          <w:jc w:val="center"/>
        </w:trPr>
        <w:tc>
          <w:tcPr>
            <w:tcW w:w="1890" w:type="dxa"/>
            <w:noWrap/>
            <w:vAlign w:val="center"/>
          </w:tcPr>
          <w:p w14:paraId="29ADFB2A" w14:textId="77777777" w:rsidR="004F7F0B" w:rsidRPr="000264DB" w:rsidRDefault="004F7F0B" w:rsidP="00696E8F">
            <w:pPr>
              <w:rPr>
                <w:rFonts w:cs="Arial"/>
                <w:color w:val="000000"/>
              </w:rPr>
            </w:pPr>
            <w:r w:rsidRPr="000264DB">
              <w:rPr>
                <w:rFonts w:cs="Arial"/>
                <w:color w:val="000000"/>
              </w:rPr>
              <w:t>0SRE01Z</w:t>
            </w:r>
          </w:p>
        </w:tc>
        <w:tc>
          <w:tcPr>
            <w:tcW w:w="7556" w:type="dxa"/>
            <w:noWrap/>
            <w:vAlign w:val="center"/>
          </w:tcPr>
          <w:p w14:paraId="12893395" w14:textId="77777777" w:rsidR="004F7F0B" w:rsidRPr="000264DB" w:rsidRDefault="004F7F0B" w:rsidP="00696E8F">
            <w:pPr>
              <w:rPr>
                <w:rFonts w:cs="Arial"/>
                <w:color w:val="000000"/>
              </w:rPr>
            </w:pPr>
            <w:r w:rsidRPr="000264DB">
              <w:rPr>
                <w:rFonts w:cs="Arial"/>
                <w:color w:val="000000"/>
              </w:rPr>
              <w:t>Replacement of Left Hip Joint, Acetabular Surface with Metal Synthetic Substitute, Open Approach</w:t>
            </w:r>
          </w:p>
        </w:tc>
      </w:tr>
      <w:tr w:rsidR="004F7F0B" w:rsidRPr="000264DB" w14:paraId="2E3AE7F7" w14:textId="77777777" w:rsidTr="00696E8F">
        <w:trPr>
          <w:trHeight w:val="300"/>
          <w:jc w:val="center"/>
        </w:trPr>
        <w:tc>
          <w:tcPr>
            <w:tcW w:w="1890" w:type="dxa"/>
            <w:noWrap/>
            <w:vAlign w:val="center"/>
          </w:tcPr>
          <w:p w14:paraId="0F0584F5" w14:textId="77777777" w:rsidR="004F7F0B" w:rsidRPr="000264DB" w:rsidRDefault="004F7F0B" w:rsidP="00696E8F">
            <w:pPr>
              <w:rPr>
                <w:rFonts w:cs="Arial"/>
                <w:color w:val="000000"/>
              </w:rPr>
            </w:pPr>
            <w:r w:rsidRPr="000264DB">
              <w:rPr>
                <w:rFonts w:cs="Arial"/>
                <w:color w:val="000000"/>
              </w:rPr>
              <w:t>0SRE039</w:t>
            </w:r>
          </w:p>
        </w:tc>
        <w:tc>
          <w:tcPr>
            <w:tcW w:w="7556" w:type="dxa"/>
            <w:noWrap/>
            <w:vAlign w:val="center"/>
          </w:tcPr>
          <w:p w14:paraId="61CA7016" w14:textId="77777777" w:rsidR="004F7F0B" w:rsidRPr="000264DB" w:rsidRDefault="004F7F0B" w:rsidP="00696E8F">
            <w:pPr>
              <w:rPr>
                <w:rFonts w:cs="Arial"/>
                <w:color w:val="000000"/>
              </w:rPr>
            </w:pPr>
            <w:r w:rsidRPr="000264DB">
              <w:rPr>
                <w:rFonts w:cs="Arial"/>
                <w:color w:val="000000"/>
              </w:rPr>
              <w:t>Replacement of Left Hip Joint, Acetabular Surface with Ceramic Synthetic Substitute, Cemented, Open Approach</w:t>
            </w:r>
          </w:p>
        </w:tc>
      </w:tr>
      <w:tr w:rsidR="004F7F0B" w:rsidRPr="000264DB" w14:paraId="0D14A1D5" w14:textId="77777777" w:rsidTr="00696E8F">
        <w:trPr>
          <w:trHeight w:val="300"/>
          <w:jc w:val="center"/>
        </w:trPr>
        <w:tc>
          <w:tcPr>
            <w:tcW w:w="1890" w:type="dxa"/>
            <w:noWrap/>
            <w:vAlign w:val="center"/>
          </w:tcPr>
          <w:p w14:paraId="24E1BEC2" w14:textId="77777777" w:rsidR="004F7F0B" w:rsidRPr="000264DB" w:rsidRDefault="004F7F0B" w:rsidP="00696E8F">
            <w:pPr>
              <w:rPr>
                <w:rFonts w:cs="Arial"/>
                <w:color w:val="000000"/>
              </w:rPr>
            </w:pPr>
            <w:r w:rsidRPr="000264DB">
              <w:rPr>
                <w:rFonts w:cs="Arial"/>
                <w:color w:val="000000"/>
              </w:rPr>
              <w:t>0SRE03A</w:t>
            </w:r>
          </w:p>
        </w:tc>
        <w:tc>
          <w:tcPr>
            <w:tcW w:w="7556" w:type="dxa"/>
            <w:noWrap/>
            <w:vAlign w:val="center"/>
          </w:tcPr>
          <w:p w14:paraId="035FCBA8" w14:textId="77777777" w:rsidR="004F7F0B" w:rsidRPr="000264DB" w:rsidRDefault="004F7F0B" w:rsidP="00696E8F">
            <w:pPr>
              <w:rPr>
                <w:rFonts w:cs="Arial"/>
                <w:color w:val="000000"/>
              </w:rPr>
            </w:pPr>
            <w:r w:rsidRPr="000264DB">
              <w:rPr>
                <w:rFonts w:cs="Arial"/>
                <w:color w:val="000000"/>
              </w:rPr>
              <w:t>Replacement of Left Hip Joint, Acetabular Surface with Ceramic Synthetic Substitute, Uncemented, Open Approach</w:t>
            </w:r>
          </w:p>
        </w:tc>
      </w:tr>
      <w:tr w:rsidR="004F7F0B" w:rsidRPr="000264DB" w14:paraId="2A959F6D" w14:textId="77777777" w:rsidTr="00696E8F">
        <w:trPr>
          <w:trHeight w:val="300"/>
          <w:jc w:val="center"/>
        </w:trPr>
        <w:tc>
          <w:tcPr>
            <w:tcW w:w="1890" w:type="dxa"/>
            <w:noWrap/>
            <w:vAlign w:val="center"/>
          </w:tcPr>
          <w:p w14:paraId="6B912BE3" w14:textId="77777777" w:rsidR="004F7F0B" w:rsidRPr="000264DB" w:rsidRDefault="004F7F0B" w:rsidP="00696E8F">
            <w:pPr>
              <w:rPr>
                <w:rFonts w:cs="Arial"/>
                <w:color w:val="000000"/>
              </w:rPr>
            </w:pPr>
            <w:r w:rsidRPr="000264DB">
              <w:rPr>
                <w:rFonts w:cs="Arial"/>
                <w:color w:val="000000"/>
              </w:rPr>
              <w:t>0SRE03Z</w:t>
            </w:r>
          </w:p>
        </w:tc>
        <w:tc>
          <w:tcPr>
            <w:tcW w:w="7556" w:type="dxa"/>
            <w:noWrap/>
            <w:vAlign w:val="center"/>
          </w:tcPr>
          <w:p w14:paraId="3B4D968E" w14:textId="77777777" w:rsidR="004F7F0B" w:rsidRPr="000264DB" w:rsidRDefault="004F7F0B" w:rsidP="00696E8F">
            <w:pPr>
              <w:rPr>
                <w:rFonts w:cs="Arial"/>
                <w:color w:val="000000"/>
              </w:rPr>
            </w:pPr>
            <w:r w:rsidRPr="000264DB">
              <w:rPr>
                <w:rFonts w:cs="Arial"/>
                <w:color w:val="000000"/>
              </w:rPr>
              <w:t>Replacement of Left Hip Joint, Acetabular Surface with Ceramic Synthetic Substitute, Open Approach</w:t>
            </w:r>
          </w:p>
        </w:tc>
      </w:tr>
      <w:tr w:rsidR="004F7F0B" w:rsidRPr="000264DB" w14:paraId="127D80BB" w14:textId="77777777" w:rsidTr="00696E8F">
        <w:trPr>
          <w:trHeight w:val="300"/>
          <w:jc w:val="center"/>
        </w:trPr>
        <w:tc>
          <w:tcPr>
            <w:tcW w:w="1890" w:type="dxa"/>
            <w:noWrap/>
            <w:vAlign w:val="center"/>
          </w:tcPr>
          <w:p w14:paraId="4911EA45" w14:textId="77777777" w:rsidR="004F7F0B" w:rsidRPr="000264DB" w:rsidRDefault="004F7F0B" w:rsidP="00696E8F">
            <w:pPr>
              <w:rPr>
                <w:rFonts w:cs="Arial"/>
                <w:color w:val="000000"/>
              </w:rPr>
            </w:pPr>
            <w:r w:rsidRPr="000264DB">
              <w:rPr>
                <w:rFonts w:cs="Arial"/>
                <w:color w:val="000000"/>
              </w:rPr>
              <w:t>0SRE0J9</w:t>
            </w:r>
          </w:p>
        </w:tc>
        <w:tc>
          <w:tcPr>
            <w:tcW w:w="7556" w:type="dxa"/>
            <w:noWrap/>
            <w:vAlign w:val="center"/>
          </w:tcPr>
          <w:p w14:paraId="4F553275" w14:textId="77777777" w:rsidR="004F7F0B" w:rsidRPr="000264DB" w:rsidRDefault="004F7F0B" w:rsidP="00696E8F">
            <w:pPr>
              <w:rPr>
                <w:rFonts w:cs="Arial"/>
                <w:color w:val="000000"/>
              </w:rPr>
            </w:pPr>
            <w:r w:rsidRPr="000264DB">
              <w:rPr>
                <w:rFonts w:cs="Arial"/>
                <w:color w:val="000000"/>
              </w:rPr>
              <w:t>Replacement of Left Hip Joint, Acetabular Surface with Synthetic Substitute, Cemented, Open Approach</w:t>
            </w:r>
          </w:p>
        </w:tc>
      </w:tr>
      <w:tr w:rsidR="004F7F0B" w:rsidRPr="000264DB" w14:paraId="15992A0B" w14:textId="77777777" w:rsidTr="00696E8F">
        <w:trPr>
          <w:trHeight w:val="300"/>
          <w:jc w:val="center"/>
        </w:trPr>
        <w:tc>
          <w:tcPr>
            <w:tcW w:w="1890" w:type="dxa"/>
            <w:noWrap/>
            <w:vAlign w:val="center"/>
          </w:tcPr>
          <w:p w14:paraId="73C051AF" w14:textId="77777777" w:rsidR="004F7F0B" w:rsidRPr="000264DB" w:rsidRDefault="004F7F0B" w:rsidP="00696E8F">
            <w:pPr>
              <w:rPr>
                <w:rFonts w:cs="Arial"/>
                <w:color w:val="000000"/>
              </w:rPr>
            </w:pPr>
            <w:r w:rsidRPr="000264DB">
              <w:rPr>
                <w:rFonts w:cs="Arial"/>
                <w:color w:val="000000"/>
              </w:rPr>
              <w:t>0SRE0JA</w:t>
            </w:r>
          </w:p>
        </w:tc>
        <w:tc>
          <w:tcPr>
            <w:tcW w:w="7556" w:type="dxa"/>
            <w:noWrap/>
            <w:vAlign w:val="center"/>
          </w:tcPr>
          <w:p w14:paraId="340A98EA" w14:textId="77777777" w:rsidR="004F7F0B" w:rsidRPr="000264DB" w:rsidRDefault="004F7F0B" w:rsidP="00696E8F">
            <w:pPr>
              <w:rPr>
                <w:rFonts w:cs="Arial"/>
                <w:color w:val="000000"/>
              </w:rPr>
            </w:pPr>
            <w:r w:rsidRPr="000264DB">
              <w:rPr>
                <w:rFonts w:cs="Arial"/>
                <w:color w:val="000000"/>
              </w:rPr>
              <w:t>Replacement of Left Hip Joint, Acetabular Surface with Synthetic Substitute, Uncemented, Open Approach</w:t>
            </w:r>
          </w:p>
        </w:tc>
      </w:tr>
      <w:tr w:rsidR="004F7F0B" w:rsidRPr="000264DB" w14:paraId="06DD854F" w14:textId="77777777" w:rsidTr="00696E8F">
        <w:trPr>
          <w:trHeight w:val="300"/>
          <w:jc w:val="center"/>
        </w:trPr>
        <w:tc>
          <w:tcPr>
            <w:tcW w:w="1890" w:type="dxa"/>
            <w:noWrap/>
            <w:vAlign w:val="center"/>
          </w:tcPr>
          <w:p w14:paraId="2FEEA417" w14:textId="77777777" w:rsidR="004F7F0B" w:rsidRPr="000264DB" w:rsidRDefault="004F7F0B" w:rsidP="00696E8F">
            <w:pPr>
              <w:rPr>
                <w:rFonts w:cs="Arial"/>
                <w:color w:val="000000"/>
              </w:rPr>
            </w:pPr>
            <w:r w:rsidRPr="000264DB">
              <w:rPr>
                <w:rFonts w:cs="Arial"/>
                <w:color w:val="000000"/>
              </w:rPr>
              <w:t>0SRE0JZ</w:t>
            </w:r>
          </w:p>
        </w:tc>
        <w:tc>
          <w:tcPr>
            <w:tcW w:w="7556" w:type="dxa"/>
            <w:noWrap/>
            <w:vAlign w:val="center"/>
          </w:tcPr>
          <w:p w14:paraId="7119D3C1" w14:textId="77777777" w:rsidR="004F7F0B" w:rsidRPr="000264DB" w:rsidRDefault="004F7F0B" w:rsidP="00696E8F">
            <w:pPr>
              <w:rPr>
                <w:rFonts w:cs="Arial"/>
                <w:color w:val="000000"/>
              </w:rPr>
            </w:pPr>
            <w:r w:rsidRPr="000264DB">
              <w:rPr>
                <w:rFonts w:cs="Arial"/>
                <w:color w:val="000000"/>
              </w:rPr>
              <w:t>Replacement of Left Hip Joint, Acetabular Surface with Synthetic Substitute, Open Approach</w:t>
            </w:r>
          </w:p>
        </w:tc>
      </w:tr>
      <w:tr w:rsidR="002911AD" w:rsidRPr="000264DB" w14:paraId="067EC369" w14:textId="77777777" w:rsidTr="00696E8F">
        <w:trPr>
          <w:trHeight w:val="300"/>
          <w:jc w:val="center"/>
        </w:trPr>
        <w:tc>
          <w:tcPr>
            <w:tcW w:w="1890" w:type="dxa"/>
            <w:noWrap/>
            <w:vAlign w:val="center"/>
          </w:tcPr>
          <w:p w14:paraId="329762F9" w14:textId="66FE86A8" w:rsidR="002911AD" w:rsidRPr="000264DB" w:rsidRDefault="002911AD" w:rsidP="00696E8F">
            <w:pPr>
              <w:rPr>
                <w:rFonts w:cs="Arial"/>
                <w:color w:val="000000"/>
              </w:rPr>
            </w:pPr>
            <w:r w:rsidRPr="00F02B7E">
              <w:rPr>
                <w:rFonts w:cs="Arial"/>
              </w:rPr>
              <w:t>0SR9069</w:t>
            </w:r>
          </w:p>
        </w:tc>
        <w:tc>
          <w:tcPr>
            <w:tcW w:w="7556" w:type="dxa"/>
            <w:noWrap/>
            <w:vAlign w:val="center"/>
          </w:tcPr>
          <w:p w14:paraId="74BCB528" w14:textId="4D80D95C" w:rsidR="002911AD" w:rsidRPr="000264DB" w:rsidRDefault="002911AD" w:rsidP="00696E8F">
            <w:pPr>
              <w:rPr>
                <w:rFonts w:cs="Arial"/>
                <w:color w:val="000000"/>
              </w:rPr>
            </w:pPr>
            <w:r w:rsidRPr="00F02B7E">
              <w:rPr>
                <w:rFonts w:cs="Arial"/>
              </w:rPr>
              <w:t>Replacement of Right Hip Joint with Oxidized Zirconium on Polyethylene Synthetic Substitute, Cemented, Open Approach</w:t>
            </w:r>
          </w:p>
        </w:tc>
      </w:tr>
      <w:tr w:rsidR="002911AD" w:rsidRPr="000264DB" w14:paraId="5EDC5477" w14:textId="77777777" w:rsidTr="00696E8F">
        <w:trPr>
          <w:trHeight w:val="300"/>
          <w:jc w:val="center"/>
        </w:trPr>
        <w:tc>
          <w:tcPr>
            <w:tcW w:w="1890" w:type="dxa"/>
            <w:noWrap/>
            <w:vAlign w:val="center"/>
          </w:tcPr>
          <w:p w14:paraId="76013434" w14:textId="631F81B3" w:rsidR="002911AD" w:rsidRPr="000264DB" w:rsidRDefault="002911AD" w:rsidP="00696E8F">
            <w:pPr>
              <w:rPr>
                <w:rFonts w:cs="Arial"/>
                <w:color w:val="000000"/>
              </w:rPr>
            </w:pPr>
            <w:r w:rsidRPr="00F02B7E">
              <w:rPr>
                <w:rFonts w:cs="Arial"/>
              </w:rPr>
              <w:t>0SR906A</w:t>
            </w:r>
          </w:p>
        </w:tc>
        <w:tc>
          <w:tcPr>
            <w:tcW w:w="7556" w:type="dxa"/>
            <w:noWrap/>
            <w:vAlign w:val="center"/>
          </w:tcPr>
          <w:p w14:paraId="273CB444" w14:textId="4ABFA3B7" w:rsidR="002911AD" w:rsidRPr="000264DB" w:rsidRDefault="002911AD" w:rsidP="00696E8F">
            <w:pPr>
              <w:rPr>
                <w:rFonts w:cs="Arial"/>
                <w:color w:val="000000"/>
              </w:rPr>
            </w:pPr>
            <w:r w:rsidRPr="00F02B7E">
              <w:rPr>
                <w:rFonts w:cs="Arial"/>
              </w:rPr>
              <w:t>Replacement of Right Hip Joint with Oxidized Zirconium on Polyethylene Synthetic Substitute, Uncemented, Open Approach</w:t>
            </w:r>
          </w:p>
        </w:tc>
      </w:tr>
      <w:tr w:rsidR="002911AD" w:rsidRPr="000264DB" w14:paraId="13136C40" w14:textId="77777777" w:rsidTr="00696E8F">
        <w:trPr>
          <w:trHeight w:val="300"/>
          <w:jc w:val="center"/>
        </w:trPr>
        <w:tc>
          <w:tcPr>
            <w:tcW w:w="1890" w:type="dxa"/>
            <w:noWrap/>
            <w:vAlign w:val="center"/>
          </w:tcPr>
          <w:p w14:paraId="0BABF5C1" w14:textId="34F88EB4" w:rsidR="002911AD" w:rsidRPr="000264DB" w:rsidRDefault="002911AD" w:rsidP="00696E8F">
            <w:pPr>
              <w:rPr>
                <w:rFonts w:cs="Arial"/>
                <w:color w:val="000000"/>
              </w:rPr>
            </w:pPr>
            <w:r w:rsidRPr="00F02B7E">
              <w:rPr>
                <w:rFonts w:cs="Arial"/>
              </w:rPr>
              <w:t>0SR906Z</w:t>
            </w:r>
          </w:p>
        </w:tc>
        <w:tc>
          <w:tcPr>
            <w:tcW w:w="7556" w:type="dxa"/>
            <w:noWrap/>
            <w:vAlign w:val="center"/>
          </w:tcPr>
          <w:p w14:paraId="5EFFB6C4" w14:textId="3E876675" w:rsidR="002911AD" w:rsidRPr="000264DB" w:rsidRDefault="002911AD" w:rsidP="00696E8F">
            <w:pPr>
              <w:rPr>
                <w:rFonts w:cs="Arial"/>
                <w:color w:val="000000"/>
              </w:rPr>
            </w:pPr>
            <w:r w:rsidRPr="00F02B7E">
              <w:rPr>
                <w:rFonts w:cs="Arial"/>
              </w:rPr>
              <w:t>Replacement of Right Hip Joint with Oxidized Zirconium on Polyethylene Synthetic Substitute, Open Approach</w:t>
            </w:r>
          </w:p>
        </w:tc>
      </w:tr>
      <w:tr w:rsidR="002911AD" w:rsidRPr="000264DB" w14:paraId="37B594B6" w14:textId="77777777" w:rsidTr="00696E8F">
        <w:trPr>
          <w:trHeight w:val="300"/>
          <w:jc w:val="center"/>
        </w:trPr>
        <w:tc>
          <w:tcPr>
            <w:tcW w:w="1890" w:type="dxa"/>
            <w:noWrap/>
            <w:vAlign w:val="center"/>
          </w:tcPr>
          <w:p w14:paraId="38FC3033" w14:textId="6B7272E3" w:rsidR="002911AD" w:rsidRPr="000264DB" w:rsidRDefault="002911AD" w:rsidP="00696E8F">
            <w:pPr>
              <w:rPr>
                <w:rFonts w:cs="Arial"/>
                <w:color w:val="000000"/>
              </w:rPr>
            </w:pPr>
            <w:r w:rsidRPr="00F02B7E">
              <w:rPr>
                <w:rFonts w:cs="Arial"/>
              </w:rPr>
              <w:t>0SRB069</w:t>
            </w:r>
          </w:p>
        </w:tc>
        <w:tc>
          <w:tcPr>
            <w:tcW w:w="7556" w:type="dxa"/>
            <w:noWrap/>
            <w:vAlign w:val="center"/>
          </w:tcPr>
          <w:p w14:paraId="3DD1E11B" w14:textId="20AE6D3F" w:rsidR="002911AD" w:rsidRPr="000264DB" w:rsidRDefault="002911AD" w:rsidP="00696E8F">
            <w:pPr>
              <w:rPr>
                <w:rFonts w:cs="Arial"/>
                <w:color w:val="000000"/>
              </w:rPr>
            </w:pPr>
            <w:r w:rsidRPr="00F02B7E">
              <w:rPr>
                <w:rFonts w:cs="Arial"/>
              </w:rPr>
              <w:t>Replacement of Left Hip Joint with Oxidized Zirconium on Polyethylene Synthetic Substitute, Cemented, Open Approach</w:t>
            </w:r>
          </w:p>
        </w:tc>
      </w:tr>
      <w:tr w:rsidR="002911AD" w:rsidRPr="000264DB" w14:paraId="6C7CD415" w14:textId="77777777" w:rsidTr="00696E8F">
        <w:trPr>
          <w:trHeight w:val="300"/>
          <w:jc w:val="center"/>
        </w:trPr>
        <w:tc>
          <w:tcPr>
            <w:tcW w:w="1890" w:type="dxa"/>
            <w:noWrap/>
            <w:vAlign w:val="center"/>
          </w:tcPr>
          <w:p w14:paraId="452AD321" w14:textId="5EA1CA40" w:rsidR="002911AD" w:rsidRPr="000264DB" w:rsidRDefault="002911AD" w:rsidP="00696E8F">
            <w:pPr>
              <w:rPr>
                <w:rFonts w:cs="Arial"/>
                <w:color w:val="000000"/>
              </w:rPr>
            </w:pPr>
            <w:r w:rsidRPr="00F02B7E">
              <w:rPr>
                <w:rFonts w:cs="Arial"/>
              </w:rPr>
              <w:t>0SRB06A</w:t>
            </w:r>
          </w:p>
        </w:tc>
        <w:tc>
          <w:tcPr>
            <w:tcW w:w="7556" w:type="dxa"/>
            <w:noWrap/>
            <w:vAlign w:val="center"/>
          </w:tcPr>
          <w:p w14:paraId="16F26797" w14:textId="7FD8D436" w:rsidR="002911AD" w:rsidRPr="000264DB" w:rsidRDefault="002911AD" w:rsidP="00696E8F">
            <w:pPr>
              <w:rPr>
                <w:rFonts w:cs="Arial"/>
                <w:color w:val="000000"/>
              </w:rPr>
            </w:pPr>
            <w:r w:rsidRPr="00F02B7E">
              <w:rPr>
                <w:rFonts w:cs="Arial"/>
              </w:rPr>
              <w:t>Replacement of Left Hip Joint with Oxidized Zirconium on Polyethylene Synthetic Substitute, Uncemented, Open Approach</w:t>
            </w:r>
          </w:p>
        </w:tc>
      </w:tr>
      <w:tr w:rsidR="002911AD" w:rsidRPr="000264DB" w14:paraId="641437FB" w14:textId="77777777" w:rsidTr="00696E8F">
        <w:trPr>
          <w:trHeight w:val="300"/>
          <w:jc w:val="center"/>
        </w:trPr>
        <w:tc>
          <w:tcPr>
            <w:tcW w:w="1890" w:type="dxa"/>
            <w:noWrap/>
            <w:vAlign w:val="center"/>
          </w:tcPr>
          <w:p w14:paraId="2ABC084D" w14:textId="3C520917" w:rsidR="002911AD" w:rsidRPr="000264DB" w:rsidRDefault="002911AD" w:rsidP="00696E8F">
            <w:pPr>
              <w:rPr>
                <w:rFonts w:cs="Arial"/>
                <w:color w:val="000000"/>
              </w:rPr>
            </w:pPr>
            <w:r w:rsidRPr="00F02B7E">
              <w:rPr>
                <w:rFonts w:cs="Arial"/>
              </w:rPr>
              <w:t>0SRB06Z</w:t>
            </w:r>
          </w:p>
        </w:tc>
        <w:tc>
          <w:tcPr>
            <w:tcW w:w="7556" w:type="dxa"/>
            <w:noWrap/>
            <w:vAlign w:val="center"/>
          </w:tcPr>
          <w:p w14:paraId="0A972933" w14:textId="3233795E" w:rsidR="002911AD" w:rsidRPr="000264DB" w:rsidRDefault="002911AD" w:rsidP="00696E8F">
            <w:pPr>
              <w:rPr>
                <w:rFonts w:cs="Arial"/>
                <w:color w:val="000000"/>
              </w:rPr>
            </w:pPr>
            <w:r w:rsidRPr="00F02B7E">
              <w:rPr>
                <w:rFonts w:cs="Arial"/>
              </w:rPr>
              <w:t>Replacement of Left Hip Joint with Oxidized Zirconium on Polyethylene Synthetic Substitute, Open Approach</w:t>
            </w:r>
          </w:p>
        </w:tc>
      </w:tr>
    </w:tbl>
    <w:p w14:paraId="3900C606" w14:textId="77777777" w:rsidR="00A05F36" w:rsidRDefault="00A05F36" w:rsidP="00BC1491">
      <w:pPr>
        <w:rPr>
          <w:rFonts w:cs="Arial"/>
          <w:b/>
        </w:rPr>
      </w:pPr>
    </w:p>
    <w:p w14:paraId="12484F09" w14:textId="7CDB6A94" w:rsidR="002911AD" w:rsidRPr="002911AD" w:rsidRDefault="002911AD" w:rsidP="002911AD">
      <w:pPr>
        <w:rPr>
          <w:rFonts w:cs="Arial"/>
          <w:b/>
        </w:rPr>
      </w:pPr>
      <w:r w:rsidRPr="002911AD">
        <w:rPr>
          <w:rFonts w:cs="Arial"/>
          <w:b/>
        </w:rPr>
        <w:t>CPT Total Hip Replacement Procedure Code</w:t>
      </w:r>
    </w:p>
    <w:p w14:paraId="7B0CCD27" w14:textId="77777777" w:rsidR="002911AD" w:rsidRPr="002911AD" w:rsidRDefault="002911AD" w:rsidP="002911AD">
      <w:pPr>
        <w:rPr>
          <w:rFonts w:cs="Arial"/>
          <w:b/>
        </w:rPr>
      </w:pPr>
    </w:p>
    <w:p w14:paraId="1EBFDF91" w14:textId="2BBF1D3F" w:rsidR="00D51874" w:rsidRDefault="00D51874" w:rsidP="00D51874">
      <w:pPr>
        <w:rPr>
          <w:lang w:eastAsia="ja-JP"/>
        </w:rPr>
      </w:pPr>
      <w:r w:rsidRPr="00222413">
        <w:rPr>
          <w:lang w:eastAsia="ja-JP"/>
        </w:rPr>
        <w:t>Leapfrog has provi</w:t>
      </w:r>
      <w:r>
        <w:rPr>
          <w:lang w:eastAsia="ja-JP"/>
        </w:rPr>
        <w:t>ded a CPT code</w:t>
      </w:r>
      <w:r w:rsidRPr="00222413">
        <w:rPr>
          <w:lang w:eastAsia="ja-JP"/>
        </w:rPr>
        <w:t xml:space="preserve"> for counting </w:t>
      </w:r>
      <w:r w:rsidRPr="00222413">
        <w:rPr>
          <w:b/>
          <w:lang w:eastAsia="ja-JP"/>
        </w:rPr>
        <w:t>patients</w:t>
      </w:r>
      <w:r>
        <w:rPr>
          <w:lang w:eastAsia="ja-JP"/>
        </w:rPr>
        <w:t xml:space="preserve"> </w:t>
      </w:r>
      <w:r w:rsidRPr="00222413">
        <w:rPr>
          <w:lang w:eastAsia="ja-JP"/>
        </w:rPr>
        <w:t xml:space="preserve">discharged from your </w:t>
      </w:r>
      <w:r>
        <w:rPr>
          <w:lang w:eastAsia="ja-JP"/>
        </w:rPr>
        <w:t>hospital</w:t>
      </w:r>
      <w:r w:rsidRPr="00222413">
        <w:rPr>
          <w:lang w:eastAsia="ja-JP"/>
        </w:rPr>
        <w:t xml:space="preserve"> who have undergone </w:t>
      </w:r>
      <w:r>
        <w:rPr>
          <w:lang w:eastAsia="ja-JP"/>
        </w:rPr>
        <w:t>the procedure</w:t>
      </w:r>
      <w:r w:rsidRPr="00222413">
        <w:rPr>
          <w:lang w:eastAsia="ja-JP"/>
        </w:rPr>
        <w:t xml:space="preserve"> during the reporting period</w:t>
      </w:r>
      <w:r w:rsidR="00205F20">
        <w:rPr>
          <w:lang w:eastAsia="ja-JP"/>
        </w:rPr>
        <w:t xml:space="preserve"> on an outpatient basis</w:t>
      </w:r>
      <w:r w:rsidRPr="00222413">
        <w:rPr>
          <w:lang w:eastAsia="ja-JP"/>
        </w:rPr>
        <w:t xml:space="preserve">. </w:t>
      </w:r>
    </w:p>
    <w:p w14:paraId="41F08A1A" w14:textId="77777777" w:rsidR="00D51874" w:rsidRDefault="00D51874" w:rsidP="00D51874">
      <w:pPr>
        <w:rPr>
          <w:lang w:eastAsia="ja-JP"/>
        </w:rPr>
      </w:pPr>
    </w:p>
    <w:p w14:paraId="43EEEBC6" w14:textId="2FE8ECD1" w:rsidR="00D51874" w:rsidRPr="00D51874" w:rsidRDefault="00D51874" w:rsidP="00D51874">
      <w:pPr>
        <w:rPr>
          <w:rFonts w:cs="Arial"/>
          <w:lang w:eastAsia="ja-JP"/>
        </w:rPr>
      </w:pPr>
      <w:r w:rsidRPr="00D51874">
        <w:rPr>
          <w:rFonts w:cs="Arial"/>
          <w:lang w:eastAsia="ja-JP"/>
        </w:rPr>
        <w:t xml:space="preserve">CPT Codes are provided in downloadable </w:t>
      </w:r>
      <w:r w:rsidR="0040556C">
        <w:rPr>
          <w:rFonts w:cs="Arial"/>
          <w:lang w:eastAsia="ja-JP"/>
        </w:rPr>
        <w:t>E</w:t>
      </w:r>
      <w:r w:rsidRPr="00D51874">
        <w:rPr>
          <w:rFonts w:cs="Arial"/>
          <w:lang w:eastAsia="ja-JP"/>
        </w:rPr>
        <w:t xml:space="preserve">xcel files </w:t>
      </w:r>
      <w:r w:rsidR="002F0A2E">
        <w:rPr>
          <w:rFonts w:cs="Arial"/>
          <w:lang w:eastAsia="ja-JP"/>
        </w:rPr>
        <w:t>on the Survey Dashboard</w:t>
      </w:r>
      <w:r w:rsidRPr="00D51874">
        <w:rPr>
          <w:rFonts w:cs="Arial"/>
          <w:lang w:eastAsia="ja-JP"/>
        </w:rPr>
        <w:t xml:space="preserve">. To access the files, click the CPT Code Workbook button </w:t>
      </w:r>
      <w:r w:rsidRPr="00D51874">
        <w:rPr>
          <w:rStyle w:val="Hyperlink"/>
          <w:rFonts w:cs="Arial"/>
          <w:color w:val="auto"/>
          <w:u w:val="none"/>
          <w:lang w:eastAsia="ja-JP"/>
        </w:rPr>
        <w:t>next to Section 9</w:t>
      </w:r>
      <w:r w:rsidR="001878B5">
        <w:rPr>
          <w:rStyle w:val="Hyperlink"/>
          <w:rFonts w:cs="Arial"/>
          <w:color w:val="auto"/>
          <w:u w:val="none"/>
          <w:lang w:eastAsia="ja-JP"/>
        </w:rPr>
        <w:t>.</w:t>
      </w:r>
      <w:r w:rsidRPr="00D51874">
        <w:rPr>
          <w:rStyle w:val="Hyperlink"/>
          <w:rFonts w:cs="Arial"/>
          <w:color w:val="auto"/>
          <w:u w:val="none"/>
          <w:lang w:eastAsia="ja-JP"/>
        </w:rPr>
        <w:t xml:space="preserve"> </w:t>
      </w:r>
      <w:r w:rsidR="00205F20">
        <w:rPr>
          <w:rFonts w:cs="Arial"/>
          <w:lang w:eastAsia="ja-JP"/>
        </w:rPr>
        <w:t>Y</w:t>
      </w:r>
      <w:r w:rsidRPr="00D51874">
        <w:rPr>
          <w:rFonts w:cs="Arial"/>
          <w:lang w:eastAsia="ja-JP"/>
        </w:rPr>
        <w:t>ou will be required to complete the American Medical Association’s Terms of Use</w:t>
      </w:r>
      <w:r w:rsidRPr="00D51874">
        <w:rPr>
          <w:lang w:eastAsia="ja-JP"/>
        </w:rPr>
        <w:t xml:space="preserve"> before downloading the </w:t>
      </w:r>
      <w:r w:rsidR="0040556C">
        <w:rPr>
          <w:lang w:eastAsia="ja-JP"/>
        </w:rPr>
        <w:t>E</w:t>
      </w:r>
      <w:r w:rsidRPr="00D51874">
        <w:rPr>
          <w:lang w:eastAsia="ja-JP"/>
        </w:rPr>
        <w:t xml:space="preserve">xcel file and using the individual CPT codes to query </w:t>
      </w:r>
      <w:r w:rsidR="0054340E">
        <w:rPr>
          <w:lang w:eastAsia="ja-JP"/>
        </w:rPr>
        <w:t xml:space="preserve">your </w:t>
      </w:r>
      <w:r w:rsidRPr="00D51874">
        <w:rPr>
          <w:lang w:eastAsia="ja-JP"/>
        </w:rPr>
        <w:t xml:space="preserve">EHR or billing system. </w:t>
      </w:r>
      <w:r w:rsidRPr="00D51874">
        <w:rPr>
          <w:rFonts w:cs="Arial"/>
          <w:lang w:eastAsia="ja-JP"/>
        </w:rPr>
        <w:t xml:space="preserve">You are only required to complete the Terms of Use once per Survey Cycle (April 1 – November 30). </w:t>
      </w:r>
    </w:p>
    <w:p w14:paraId="3FD7ED16" w14:textId="77777777" w:rsidR="00D51874" w:rsidRPr="00D51874" w:rsidRDefault="00D51874" w:rsidP="00D51874">
      <w:pPr>
        <w:rPr>
          <w:rFonts w:cs="Arial"/>
          <w:lang w:eastAsia="ja-JP"/>
        </w:rPr>
      </w:pPr>
    </w:p>
    <w:p w14:paraId="6B786E25" w14:textId="6BB3371F" w:rsidR="00D51874" w:rsidRDefault="009F5014" w:rsidP="00FB41BD">
      <w:pPr>
        <w:rPr>
          <w:rFonts w:cs="Arial"/>
          <w:lang w:eastAsia="ja-JP"/>
        </w:rPr>
      </w:pPr>
      <w:r>
        <w:rPr>
          <w:rFonts w:cs="Arial"/>
          <w:lang w:eastAsia="ja-JP"/>
        </w:rPr>
        <w:t xml:space="preserve">The </w:t>
      </w:r>
      <w:r w:rsidR="00D51874" w:rsidRPr="00D51874">
        <w:rPr>
          <w:rFonts w:cs="Arial"/>
          <w:lang w:eastAsia="ja-JP"/>
        </w:rPr>
        <w:t>CPT Code Workbook</w:t>
      </w:r>
      <w:r>
        <w:rPr>
          <w:rFonts w:cs="Arial"/>
          <w:lang w:eastAsia="ja-JP"/>
        </w:rPr>
        <w:t>s</w:t>
      </w:r>
      <w:r w:rsidR="00D51874" w:rsidRPr="00D51874">
        <w:rPr>
          <w:rFonts w:cs="Arial"/>
          <w:lang w:eastAsia="ja-JP"/>
        </w:rPr>
        <w:t xml:space="preserve"> (</w:t>
      </w:r>
      <w:r w:rsidR="0040556C">
        <w:rPr>
          <w:rFonts w:cs="Arial"/>
          <w:lang w:eastAsia="ja-JP"/>
        </w:rPr>
        <w:t>E</w:t>
      </w:r>
      <w:r w:rsidR="00D51874" w:rsidRPr="00D51874">
        <w:rPr>
          <w:rFonts w:cs="Arial"/>
          <w:lang w:eastAsia="ja-JP"/>
        </w:rPr>
        <w:t>xcel file</w:t>
      </w:r>
      <w:r>
        <w:rPr>
          <w:rFonts w:cs="Arial"/>
          <w:lang w:eastAsia="ja-JP"/>
        </w:rPr>
        <w:t>s</w:t>
      </w:r>
      <w:r w:rsidR="00D51874" w:rsidRPr="00D51874">
        <w:rPr>
          <w:rFonts w:cs="Arial"/>
          <w:lang w:eastAsia="ja-JP"/>
        </w:rPr>
        <w:t xml:space="preserve">) are </w:t>
      </w:r>
      <w:r w:rsidR="00A879E1" w:rsidRPr="00D51874">
        <w:rPr>
          <w:rFonts w:cs="Arial"/>
          <w:lang w:eastAsia="ja-JP"/>
        </w:rPr>
        <w:t>labeled</w:t>
      </w:r>
      <w:r w:rsidR="00D51874" w:rsidRPr="00D51874">
        <w:rPr>
          <w:rFonts w:cs="Arial"/>
          <w:lang w:eastAsia="ja-JP"/>
        </w:rPr>
        <w:t xml:space="preserve"> </w:t>
      </w:r>
      <w:r>
        <w:rPr>
          <w:rFonts w:cs="Arial"/>
          <w:lang w:eastAsia="ja-JP"/>
        </w:rPr>
        <w:t xml:space="preserve">for </w:t>
      </w:r>
      <w:r w:rsidR="00D51874" w:rsidRPr="00D51874">
        <w:rPr>
          <w:rFonts w:cs="Arial"/>
          <w:lang w:eastAsia="ja-JP"/>
        </w:rPr>
        <w:t xml:space="preserve">Section 3A: Total Hip Replacement, Total Knee Replacement, and Bariatric Surgery for Weight Loss and Section 9C: Volume of Procedures. </w:t>
      </w:r>
      <w:r w:rsidR="00FB41BD" w:rsidRPr="00D51874">
        <w:rPr>
          <w:rFonts w:cs="Arial"/>
          <w:lang w:eastAsia="ja-JP"/>
        </w:rPr>
        <w:t>Please note</w:t>
      </w:r>
      <w:r w:rsidR="00FB41BD">
        <w:rPr>
          <w:rFonts w:cs="Arial"/>
          <w:lang w:eastAsia="ja-JP"/>
        </w:rPr>
        <w:t>, i</w:t>
      </w:r>
      <w:r w:rsidR="00FB41BD" w:rsidRPr="00FB41BD">
        <w:rPr>
          <w:rFonts w:cs="Arial"/>
          <w:lang w:eastAsia="ja-JP"/>
        </w:rPr>
        <w:t>f you are part of a hospital system, each hospital will need to complete the Terms of Use. This is a requirement of the American Medical Association.</w:t>
      </w:r>
    </w:p>
    <w:p w14:paraId="76B2EE6C" w14:textId="77777777" w:rsidR="00FB41BD" w:rsidRPr="00222413" w:rsidRDefault="00FB41BD" w:rsidP="00FB41BD">
      <w:pPr>
        <w:rPr>
          <w:lang w:eastAsia="ja-JP"/>
        </w:rPr>
      </w:pPr>
    </w:p>
    <w:p w14:paraId="1E0FE5A6" w14:textId="1681559E" w:rsidR="002911AD" w:rsidRPr="00D51874" w:rsidRDefault="00D51874" w:rsidP="002911AD">
      <w:pPr>
        <w:rPr>
          <w:lang w:eastAsia="ja-JP"/>
        </w:rPr>
      </w:pPr>
      <w:r>
        <w:rPr>
          <w:lang w:eastAsia="ja-JP"/>
        </w:rPr>
        <w:t>Using the CPT code found for Total Hip Replacement in the “Instructions” sheet, count t</w:t>
      </w:r>
      <w:r w:rsidRPr="00222413">
        <w:rPr>
          <w:lang w:eastAsia="ja-JP"/>
        </w:rPr>
        <w:t xml:space="preserve">he total number of adult (18 years of age or older) patients discharged </w:t>
      </w:r>
      <w:r>
        <w:rPr>
          <w:lang w:eastAsia="ja-JP"/>
        </w:rPr>
        <w:t xml:space="preserve">for the procedure </w:t>
      </w:r>
      <w:r w:rsidRPr="00222413">
        <w:rPr>
          <w:lang w:eastAsia="ja-JP"/>
        </w:rPr>
        <w:t xml:space="preserve">with </w:t>
      </w:r>
      <w:r>
        <w:rPr>
          <w:lang w:eastAsia="ja-JP"/>
        </w:rPr>
        <w:t>the</w:t>
      </w:r>
      <w:r w:rsidRPr="00222413">
        <w:rPr>
          <w:lang w:eastAsia="ja-JP"/>
        </w:rPr>
        <w:t xml:space="preserve"> CPT code listed. The CPT code can be in any procedure field.</w:t>
      </w:r>
    </w:p>
    <w:p w14:paraId="6DB9A0FB" w14:textId="3A8E099A" w:rsidR="00A05F36" w:rsidRDefault="00A05F36">
      <w:pPr>
        <w:rPr>
          <w:rFonts w:cs="Arial"/>
          <w:b/>
        </w:rPr>
      </w:pPr>
    </w:p>
    <w:p w14:paraId="0D0D4531" w14:textId="77777777" w:rsidR="00790082" w:rsidRDefault="00790082">
      <w:pPr>
        <w:rPr>
          <w:b/>
          <w:color w:val="000000"/>
          <w:sz w:val="22"/>
        </w:rPr>
      </w:pPr>
      <w:bookmarkStart w:id="272" w:name="_Norwood_Procedure_Measure"/>
      <w:bookmarkEnd w:id="272"/>
      <w:r>
        <w:br w:type="page"/>
      </w:r>
    </w:p>
    <w:p w14:paraId="05619DFF" w14:textId="0EE89E4A" w:rsidR="00A05F36" w:rsidRPr="007F33BF" w:rsidRDefault="00A05F36" w:rsidP="000C2C54">
      <w:pPr>
        <w:pStyle w:val="Heading44"/>
      </w:pPr>
      <w:r w:rsidRPr="007F33BF">
        <w:lastRenderedPageBreak/>
        <w:t xml:space="preserve">Norwood Procedure Measure </w:t>
      </w:r>
      <w:r w:rsidR="000765C6">
        <w:t>Specifications</w:t>
      </w:r>
    </w:p>
    <w:p w14:paraId="0CF6E6D4" w14:textId="77777777" w:rsidR="00A05F36" w:rsidRDefault="00A05F36" w:rsidP="00D51874">
      <w:pPr>
        <w:rPr>
          <w:lang w:eastAsia="ja-JP"/>
        </w:rPr>
      </w:pPr>
    </w:p>
    <w:p w14:paraId="169FBA3B" w14:textId="5D84C2A1" w:rsidR="004B119C" w:rsidRPr="00FA06B0" w:rsidRDefault="00A05F36" w:rsidP="004B119C">
      <w:pPr>
        <w:rPr>
          <w:rFonts w:cs="Arial"/>
        </w:rPr>
      </w:pPr>
      <w:r w:rsidRPr="00FA06B0">
        <w:rPr>
          <w:rFonts w:cs="Arial"/>
        </w:rPr>
        <w:t xml:space="preserve">For Norwood procedure, </w:t>
      </w:r>
      <w:r w:rsidR="004B119C" w:rsidRPr="00FA06B0">
        <w:rPr>
          <w:rFonts w:cs="Arial"/>
        </w:rPr>
        <w:t xml:space="preserve">there are two sets of ICD-10 procedure codes for counting patient discharges. For a patient to be counted, they must have at least one ICD-10 </w:t>
      </w:r>
      <w:r w:rsidR="00824064" w:rsidRPr="00FA06B0">
        <w:rPr>
          <w:rFonts w:cs="Arial"/>
        </w:rPr>
        <w:t xml:space="preserve">procedure </w:t>
      </w:r>
      <w:r w:rsidR="004B119C" w:rsidRPr="00FA06B0">
        <w:rPr>
          <w:rFonts w:cs="Arial"/>
        </w:rPr>
        <w:t>code from each list.</w:t>
      </w:r>
    </w:p>
    <w:p w14:paraId="19DB0C96" w14:textId="77777777" w:rsidR="004B119C" w:rsidRPr="00FA06B0" w:rsidRDefault="004B119C" w:rsidP="004B119C">
      <w:pPr>
        <w:rPr>
          <w:rFonts w:cs="Arial"/>
        </w:rPr>
      </w:pPr>
    </w:p>
    <w:p w14:paraId="25628340" w14:textId="7B517FA7" w:rsidR="004B119C" w:rsidRPr="00FA06B0" w:rsidRDefault="004B119C" w:rsidP="004B119C">
      <w:pPr>
        <w:rPr>
          <w:rFonts w:cs="Arial"/>
        </w:rPr>
      </w:pPr>
      <w:r w:rsidRPr="00FA06B0">
        <w:rPr>
          <w:rFonts w:cs="Arial"/>
        </w:rPr>
        <w:t>The first set of codes is to identify patients who have had an arch repair. The second set of codes is to identify patients who have had a shunt.</w:t>
      </w:r>
    </w:p>
    <w:p w14:paraId="009B2441" w14:textId="77777777" w:rsidR="004B119C" w:rsidRPr="00FA06B0" w:rsidRDefault="004B119C" w:rsidP="004B119C">
      <w:pPr>
        <w:rPr>
          <w:rFonts w:cs="Arial"/>
        </w:rPr>
      </w:pPr>
    </w:p>
    <w:p w14:paraId="4F51E758" w14:textId="1BCFED63" w:rsidR="004B119C" w:rsidRDefault="004B119C" w:rsidP="004B119C">
      <w:pPr>
        <w:rPr>
          <w:rFonts w:cs="Arial"/>
        </w:rPr>
      </w:pPr>
      <w:r w:rsidRPr="00FA06B0">
        <w:rPr>
          <w:rFonts w:cs="Arial"/>
        </w:rPr>
        <w:t>Count the number of patients</w:t>
      </w:r>
      <w:r w:rsidR="00CC1602" w:rsidRPr="00CC1602">
        <w:rPr>
          <w:rFonts w:cs="Arial"/>
        </w:rPr>
        <w:t xml:space="preserve">, ages 17 years and younger, </w:t>
      </w:r>
      <w:r w:rsidRPr="00FA06B0">
        <w:rPr>
          <w:rFonts w:cs="Arial"/>
        </w:rPr>
        <w:t xml:space="preserve">discharged with </w:t>
      </w:r>
      <w:r w:rsidR="00824064" w:rsidRPr="00FA06B0">
        <w:rPr>
          <w:rFonts w:cs="Arial"/>
        </w:rPr>
        <w:t xml:space="preserve">at least </w:t>
      </w:r>
      <w:r w:rsidRPr="00FA06B0">
        <w:rPr>
          <w:rFonts w:cs="Arial"/>
        </w:rPr>
        <w:t xml:space="preserve">one of the following ICD-10 procedure codes from each list in any procedure field </w:t>
      </w:r>
      <w:r w:rsidR="00824064" w:rsidRPr="00FA06B0">
        <w:rPr>
          <w:rFonts w:cs="Arial"/>
        </w:rPr>
        <w:t>(</w:t>
      </w:r>
      <w:r w:rsidRPr="00FA06B0">
        <w:rPr>
          <w:rFonts w:cs="Arial"/>
        </w:rPr>
        <w:t>i.e.,</w:t>
      </w:r>
      <w:r w:rsidRPr="00FA06B0">
        <w:t xml:space="preserve"> </w:t>
      </w:r>
      <w:r w:rsidRPr="00FA06B0">
        <w:rPr>
          <w:rFonts w:cs="Arial"/>
        </w:rPr>
        <w:t xml:space="preserve">each patient discharge will need to have at least one ICD-10 </w:t>
      </w:r>
      <w:r w:rsidR="00824064" w:rsidRPr="00FA06B0">
        <w:rPr>
          <w:rFonts w:cs="Arial"/>
        </w:rPr>
        <w:t xml:space="preserve">procedure </w:t>
      </w:r>
      <w:r w:rsidRPr="00FA06B0">
        <w:rPr>
          <w:rFonts w:cs="Arial"/>
        </w:rPr>
        <w:t xml:space="preserve">code from the arch repair set </w:t>
      </w:r>
      <w:r w:rsidRPr="006904F9">
        <w:rPr>
          <w:rFonts w:cs="Arial"/>
          <w:b/>
          <w:bCs/>
        </w:rPr>
        <w:t>AND</w:t>
      </w:r>
      <w:r w:rsidRPr="00FA06B0">
        <w:rPr>
          <w:rFonts w:cs="Arial"/>
        </w:rPr>
        <w:t xml:space="preserve"> at least one ICD-10 </w:t>
      </w:r>
      <w:r w:rsidR="00824064" w:rsidRPr="00FA06B0">
        <w:rPr>
          <w:rFonts w:cs="Arial"/>
        </w:rPr>
        <w:t xml:space="preserve">procedure </w:t>
      </w:r>
      <w:r w:rsidRPr="00FA06B0">
        <w:rPr>
          <w:rFonts w:cs="Arial"/>
        </w:rPr>
        <w:t>code from the shunt set</w:t>
      </w:r>
      <w:r w:rsidR="00824064" w:rsidRPr="00FA06B0">
        <w:rPr>
          <w:rFonts w:cs="Arial"/>
        </w:rPr>
        <w:t>)</w:t>
      </w:r>
      <w:r w:rsidRPr="00FA06B0">
        <w:rPr>
          <w:rFonts w:cs="Arial"/>
        </w:rPr>
        <w:t>. Both procedures would need to be done as part of the same operative session.</w:t>
      </w:r>
    </w:p>
    <w:p w14:paraId="7CDA5BBA" w14:textId="1425048C" w:rsidR="00A05F36" w:rsidRDefault="00A05F36" w:rsidP="004B119C">
      <w:pPr>
        <w:rPr>
          <w:b/>
          <w:sz w:val="28"/>
          <w:szCs w:val="24"/>
          <w:u w:val="single"/>
          <w:lang w:eastAsia="ja-JP"/>
        </w:rPr>
      </w:pPr>
    </w:p>
    <w:p w14:paraId="5FFDE016" w14:textId="1E7B47A6" w:rsidR="00A05F36" w:rsidRDefault="00A05F36" w:rsidP="00A05F36">
      <w:pPr>
        <w:rPr>
          <w:b/>
        </w:rPr>
      </w:pPr>
      <w:r w:rsidRPr="00F43C2F">
        <w:rPr>
          <w:b/>
        </w:rPr>
        <w:t xml:space="preserve">ICD-10 </w:t>
      </w:r>
      <w:r w:rsidR="004B119C" w:rsidRPr="004B119C">
        <w:rPr>
          <w:b/>
        </w:rPr>
        <w:t>Arch Repair Procedure Codes</w:t>
      </w:r>
    </w:p>
    <w:p w14:paraId="77A632EA" w14:textId="77777777" w:rsidR="004B119C" w:rsidRPr="0004317D" w:rsidRDefault="004B119C" w:rsidP="004B119C">
      <w:pPr>
        <w:rPr>
          <w:rFonts w:cs="Arial"/>
          <w:b/>
        </w:rPr>
      </w:pPr>
    </w:p>
    <w:tbl>
      <w:tblPr>
        <w:tblStyle w:val="TableGrid"/>
        <w:tblW w:w="9432" w:type="dxa"/>
        <w:tblLook w:val="04A0" w:firstRow="1" w:lastRow="0" w:firstColumn="1" w:lastColumn="0" w:noHBand="0" w:noVBand="1"/>
      </w:tblPr>
      <w:tblGrid>
        <w:gridCol w:w="1872"/>
        <w:gridCol w:w="7560"/>
      </w:tblGrid>
      <w:tr w:rsidR="004B119C" w:rsidRPr="0004317D" w14:paraId="6C857219" w14:textId="77777777" w:rsidTr="00696E8F">
        <w:trPr>
          <w:trHeight w:val="432"/>
          <w:tblHeader/>
        </w:trPr>
        <w:tc>
          <w:tcPr>
            <w:tcW w:w="1872" w:type="dxa"/>
            <w:shd w:val="clear" w:color="auto" w:fill="A6A6A6" w:themeFill="background1" w:themeFillShade="A6"/>
            <w:vAlign w:val="center"/>
            <w:hideMark/>
          </w:tcPr>
          <w:p w14:paraId="3DFC26AE" w14:textId="77777777" w:rsidR="004B119C" w:rsidRPr="0004317D" w:rsidRDefault="004B119C" w:rsidP="00696E8F">
            <w:pPr>
              <w:rPr>
                <w:rFonts w:cs="Arial"/>
                <w:b/>
                <w:bCs/>
                <w:color w:val="000000"/>
              </w:rPr>
            </w:pPr>
            <w:r w:rsidRPr="0004317D">
              <w:rPr>
                <w:rFonts w:cs="Arial"/>
                <w:b/>
                <w:bCs/>
                <w:color w:val="000000"/>
              </w:rPr>
              <w:t>ICD-10 Procedure Code</w:t>
            </w:r>
          </w:p>
        </w:tc>
        <w:tc>
          <w:tcPr>
            <w:tcW w:w="7560" w:type="dxa"/>
            <w:shd w:val="clear" w:color="auto" w:fill="A6A6A6" w:themeFill="background1" w:themeFillShade="A6"/>
            <w:vAlign w:val="center"/>
            <w:hideMark/>
          </w:tcPr>
          <w:p w14:paraId="0D64BBCD" w14:textId="77777777" w:rsidR="004B119C" w:rsidRPr="0004317D" w:rsidRDefault="004B119C" w:rsidP="00696E8F">
            <w:pPr>
              <w:rPr>
                <w:rFonts w:cs="Arial"/>
                <w:b/>
                <w:bCs/>
                <w:color w:val="000000"/>
              </w:rPr>
            </w:pPr>
            <w:r w:rsidRPr="0004317D">
              <w:rPr>
                <w:rFonts w:cs="Arial"/>
                <w:b/>
                <w:bCs/>
                <w:color w:val="000000"/>
              </w:rPr>
              <w:t>Code Description</w:t>
            </w:r>
          </w:p>
        </w:tc>
      </w:tr>
      <w:tr w:rsidR="004B119C" w:rsidRPr="00EC5F7F" w14:paraId="793E88DE" w14:textId="77777777" w:rsidTr="00696E8F">
        <w:trPr>
          <w:trHeight w:val="300"/>
        </w:trPr>
        <w:tc>
          <w:tcPr>
            <w:tcW w:w="1872" w:type="dxa"/>
            <w:noWrap/>
            <w:vAlign w:val="center"/>
          </w:tcPr>
          <w:p w14:paraId="567725FD" w14:textId="3EA20963" w:rsidR="004B119C" w:rsidRPr="004B119C" w:rsidRDefault="004B119C" w:rsidP="00696E8F">
            <w:pPr>
              <w:rPr>
                <w:rFonts w:cs="Arial"/>
                <w:color w:val="000000"/>
              </w:rPr>
            </w:pPr>
            <w:r w:rsidRPr="004B119C">
              <w:rPr>
                <w:rFonts w:cstheme="minorHAnsi"/>
              </w:rPr>
              <w:t xml:space="preserve">02UX07Z  </w:t>
            </w:r>
          </w:p>
        </w:tc>
        <w:tc>
          <w:tcPr>
            <w:tcW w:w="7560" w:type="dxa"/>
            <w:noWrap/>
            <w:vAlign w:val="center"/>
          </w:tcPr>
          <w:p w14:paraId="33F92CF5" w14:textId="694EFDB8" w:rsidR="004B119C" w:rsidRPr="004B119C" w:rsidRDefault="004B119C" w:rsidP="00696E8F">
            <w:pPr>
              <w:rPr>
                <w:rFonts w:cs="Arial"/>
                <w:color w:val="000000"/>
              </w:rPr>
            </w:pPr>
            <w:r w:rsidRPr="004B119C">
              <w:rPr>
                <w:rFonts w:cstheme="minorHAnsi"/>
              </w:rPr>
              <w:t>Supplement Thoracic Aorta, Ascending/Arch with Autologous Tissue Substitute, Open Approach</w:t>
            </w:r>
          </w:p>
        </w:tc>
      </w:tr>
      <w:tr w:rsidR="004B119C" w:rsidRPr="00EC5F7F" w14:paraId="19AD0105" w14:textId="77777777" w:rsidTr="00696E8F">
        <w:trPr>
          <w:trHeight w:val="300"/>
        </w:trPr>
        <w:tc>
          <w:tcPr>
            <w:tcW w:w="1872" w:type="dxa"/>
            <w:noWrap/>
            <w:vAlign w:val="center"/>
          </w:tcPr>
          <w:p w14:paraId="6F15B2FE" w14:textId="1668651F" w:rsidR="004B119C" w:rsidRPr="004B119C" w:rsidRDefault="004B119C" w:rsidP="00696E8F">
            <w:pPr>
              <w:rPr>
                <w:rFonts w:cs="Arial"/>
                <w:color w:val="000000"/>
              </w:rPr>
            </w:pPr>
            <w:r w:rsidRPr="004B119C">
              <w:rPr>
                <w:rFonts w:cstheme="minorHAnsi"/>
              </w:rPr>
              <w:t xml:space="preserve">02UX0JZ   </w:t>
            </w:r>
          </w:p>
        </w:tc>
        <w:tc>
          <w:tcPr>
            <w:tcW w:w="7560" w:type="dxa"/>
            <w:noWrap/>
            <w:vAlign w:val="center"/>
          </w:tcPr>
          <w:p w14:paraId="2E80AE57" w14:textId="3DFC119B" w:rsidR="004B119C" w:rsidRPr="004B119C" w:rsidRDefault="004B119C" w:rsidP="00696E8F">
            <w:pPr>
              <w:rPr>
                <w:rFonts w:cs="Arial"/>
                <w:color w:val="000000"/>
              </w:rPr>
            </w:pPr>
            <w:r w:rsidRPr="004B119C">
              <w:rPr>
                <w:rFonts w:cstheme="minorHAnsi"/>
              </w:rPr>
              <w:t>Supplement Thoracic Aorta, Ascending/Arch with Synthetic Substitute, Open Approach</w:t>
            </w:r>
          </w:p>
        </w:tc>
      </w:tr>
      <w:tr w:rsidR="004B119C" w:rsidRPr="00EC5F7F" w14:paraId="3037A8BA" w14:textId="77777777" w:rsidTr="00696E8F">
        <w:trPr>
          <w:trHeight w:val="300"/>
        </w:trPr>
        <w:tc>
          <w:tcPr>
            <w:tcW w:w="1872" w:type="dxa"/>
            <w:noWrap/>
            <w:vAlign w:val="center"/>
          </w:tcPr>
          <w:p w14:paraId="1D0CE640" w14:textId="0A3C3BC2" w:rsidR="004B119C" w:rsidRPr="004B119C" w:rsidRDefault="004B119C" w:rsidP="00696E8F">
            <w:pPr>
              <w:rPr>
                <w:rFonts w:cs="Arial"/>
                <w:color w:val="000000"/>
              </w:rPr>
            </w:pPr>
            <w:r w:rsidRPr="004B119C">
              <w:rPr>
                <w:rFonts w:cstheme="minorHAnsi"/>
              </w:rPr>
              <w:t xml:space="preserve">02UX0KZ  </w:t>
            </w:r>
          </w:p>
        </w:tc>
        <w:tc>
          <w:tcPr>
            <w:tcW w:w="7560" w:type="dxa"/>
            <w:noWrap/>
            <w:vAlign w:val="center"/>
          </w:tcPr>
          <w:p w14:paraId="12E9D907" w14:textId="43CD29CA" w:rsidR="004B119C" w:rsidRPr="004B119C" w:rsidRDefault="004B119C" w:rsidP="00696E8F">
            <w:pPr>
              <w:rPr>
                <w:rFonts w:cs="Arial"/>
                <w:color w:val="000000"/>
              </w:rPr>
            </w:pPr>
            <w:r w:rsidRPr="004B119C">
              <w:rPr>
                <w:rFonts w:cstheme="minorHAnsi"/>
              </w:rPr>
              <w:t>Supplement Thoracic Aorta, Ascending/Arch with Nonautologous Tissue Substitute, Open Approach</w:t>
            </w:r>
          </w:p>
        </w:tc>
      </w:tr>
    </w:tbl>
    <w:p w14:paraId="287C65B3" w14:textId="77777777" w:rsidR="004B119C" w:rsidRPr="0004317D" w:rsidRDefault="004B119C" w:rsidP="004B119C">
      <w:pPr>
        <w:rPr>
          <w:rFonts w:cs="Arial"/>
          <w:b/>
        </w:rPr>
      </w:pPr>
    </w:p>
    <w:p w14:paraId="652CBC80" w14:textId="77777777" w:rsidR="004536D7" w:rsidRPr="0004317D" w:rsidRDefault="004536D7" w:rsidP="004536D7">
      <w:pPr>
        <w:rPr>
          <w:rFonts w:cs="Arial"/>
          <w:b/>
        </w:rPr>
      </w:pPr>
      <w:r w:rsidRPr="0004317D">
        <w:rPr>
          <w:rFonts w:cs="Arial"/>
          <w:b/>
        </w:rPr>
        <w:t xml:space="preserve">ICD-10 </w:t>
      </w:r>
      <w:r w:rsidRPr="004B119C">
        <w:rPr>
          <w:rFonts w:cs="Arial"/>
          <w:b/>
        </w:rPr>
        <w:t>Shunt Procedure Codes</w:t>
      </w:r>
    </w:p>
    <w:p w14:paraId="5409059A" w14:textId="77777777" w:rsidR="004B119C" w:rsidRPr="0004317D" w:rsidRDefault="004B119C" w:rsidP="004B119C">
      <w:pPr>
        <w:rPr>
          <w:rFonts w:cs="Arial"/>
          <w:b/>
        </w:rPr>
      </w:pPr>
    </w:p>
    <w:tbl>
      <w:tblPr>
        <w:tblStyle w:val="TableGrid"/>
        <w:tblW w:w="9432" w:type="dxa"/>
        <w:tblLook w:val="04A0" w:firstRow="1" w:lastRow="0" w:firstColumn="1" w:lastColumn="0" w:noHBand="0" w:noVBand="1"/>
      </w:tblPr>
      <w:tblGrid>
        <w:gridCol w:w="1872"/>
        <w:gridCol w:w="7560"/>
      </w:tblGrid>
      <w:tr w:rsidR="004B119C" w:rsidRPr="0004317D" w14:paraId="6E623DB7" w14:textId="77777777" w:rsidTr="00696E8F">
        <w:trPr>
          <w:trHeight w:val="432"/>
          <w:tblHeader/>
        </w:trPr>
        <w:tc>
          <w:tcPr>
            <w:tcW w:w="1872" w:type="dxa"/>
            <w:shd w:val="clear" w:color="auto" w:fill="A6A6A6" w:themeFill="background1" w:themeFillShade="A6"/>
            <w:noWrap/>
            <w:vAlign w:val="center"/>
          </w:tcPr>
          <w:p w14:paraId="7928B68A" w14:textId="1378238F" w:rsidR="004B119C" w:rsidRPr="00A77AEC" w:rsidRDefault="004B119C" w:rsidP="00696E8F">
            <w:pPr>
              <w:rPr>
                <w:rFonts w:cs="Arial"/>
                <w:color w:val="000000"/>
              </w:rPr>
            </w:pPr>
            <w:r w:rsidRPr="00A77AEC">
              <w:rPr>
                <w:rFonts w:cs="Arial"/>
                <w:b/>
                <w:bCs/>
                <w:color w:val="000000"/>
              </w:rPr>
              <w:t xml:space="preserve">ICD-10 </w:t>
            </w:r>
            <w:r w:rsidR="00FF40AE">
              <w:rPr>
                <w:rFonts w:cs="Arial"/>
                <w:b/>
                <w:bCs/>
                <w:color w:val="000000"/>
              </w:rPr>
              <w:t>Procedure</w:t>
            </w:r>
            <w:r w:rsidRPr="00A77AEC">
              <w:rPr>
                <w:rFonts w:cs="Arial"/>
                <w:b/>
                <w:bCs/>
                <w:color w:val="000000"/>
              </w:rPr>
              <w:t xml:space="preserve"> Code</w:t>
            </w:r>
          </w:p>
        </w:tc>
        <w:tc>
          <w:tcPr>
            <w:tcW w:w="7560" w:type="dxa"/>
            <w:shd w:val="clear" w:color="auto" w:fill="A6A6A6" w:themeFill="background1" w:themeFillShade="A6"/>
            <w:noWrap/>
            <w:vAlign w:val="center"/>
          </w:tcPr>
          <w:p w14:paraId="29EFC4EB" w14:textId="77777777" w:rsidR="004B119C" w:rsidRPr="00A77AEC" w:rsidRDefault="004B119C" w:rsidP="00696E8F">
            <w:pPr>
              <w:rPr>
                <w:rFonts w:cs="Arial"/>
                <w:color w:val="000000"/>
              </w:rPr>
            </w:pPr>
            <w:r w:rsidRPr="00A77AEC">
              <w:rPr>
                <w:rFonts w:cs="Arial"/>
                <w:b/>
              </w:rPr>
              <w:t>Code Description</w:t>
            </w:r>
          </w:p>
        </w:tc>
      </w:tr>
      <w:tr w:rsidR="004B119C" w:rsidRPr="00A25DE1" w14:paraId="0DE3311F" w14:textId="77777777" w:rsidTr="00696E8F">
        <w:trPr>
          <w:trHeight w:val="300"/>
        </w:trPr>
        <w:tc>
          <w:tcPr>
            <w:tcW w:w="1872" w:type="dxa"/>
            <w:noWrap/>
            <w:vAlign w:val="center"/>
          </w:tcPr>
          <w:p w14:paraId="49E68739" w14:textId="14C4DC24" w:rsidR="004B119C" w:rsidRPr="004B119C" w:rsidRDefault="004B119C" w:rsidP="00696E8F">
            <w:pPr>
              <w:rPr>
                <w:rFonts w:cs="Arial"/>
                <w:color w:val="000000"/>
              </w:rPr>
            </w:pPr>
            <w:r w:rsidRPr="004B119C">
              <w:rPr>
                <w:rFonts w:cs="Arial"/>
              </w:rPr>
              <w:t xml:space="preserve">021K08P </w:t>
            </w:r>
          </w:p>
        </w:tc>
        <w:tc>
          <w:tcPr>
            <w:tcW w:w="7560" w:type="dxa"/>
            <w:noWrap/>
            <w:vAlign w:val="center"/>
          </w:tcPr>
          <w:p w14:paraId="2BDE655B" w14:textId="5F3E0D8B" w:rsidR="004B119C" w:rsidRPr="004B119C" w:rsidRDefault="004B119C" w:rsidP="00696E8F">
            <w:pPr>
              <w:rPr>
                <w:rFonts w:cs="Arial"/>
                <w:color w:val="000000"/>
              </w:rPr>
            </w:pPr>
            <w:r w:rsidRPr="004B119C">
              <w:rPr>
                <w:rFonts w:cs="Arial"/>
              </w:rPr>
              <w:t>Bypass Right Ventricle to Pulmonary Trunk with Zooplastic Tissue Substitute, Open Approach</w:t>
            </w:r>
          </w:p>
        </w:tc>
      </w:tr>
      <w:tr w:rsidR="004B119C" w:rsidRPr="00A25DE1" w14:paraId="394959F8" w14:textId="77777777" w:rsidTr="00696E8F">
        <w:trPr>
          <w:trHeight w:val="300"/>
        </w:trPr>
        <w:tc>
          <w:tcPr>
            <w:tcW w:w="1872" w:type="dxa"/>
            <w:noWrap/>
            <w:vAlign w:val="center"/>
          </w:tcPr>
          <w:p w14:paraId="50B6E748" w14:textId="6A9A7DBD" w:rsidR="004B119C" w:rsidRPr="004B119C" w:rsidRDefault="004B119C" w:rsidP="00696E8F">
            <w:pPr>
              <w:rPr>
                <w:rFonts w:cs="Arial"/>
                <w:color w:val="000000"/>
              </w:rPr>
            </w:pPr>
            <w:r w:rsidRPr="004B119C">
              <w:rPr>
                <w:rFonts w:cs="Arial"/>
              </w:rPr>
              <w:t xml:space="preserve">021K08Q  </w:t>
            </w:r>
          </w:p>
        </w:tc>
        <w:tc>
          <w:tcPr>
            <w:tcW w:w="7560" w:type="dxa"/>
            <w:noWrap/>
            <w:vAlign w:val="center"/>
          </w:tcPr>
          <w:p w14:paraId="13D3A40E" w14:textId="43D6993F" w:rsidR="004B119C" w:rsidRPr="004B119C" w:rsidRDefault="004B119C" w:rsidP="00696E8F">
            <w:pPr>
              <w:rPr>
                <w:rFonts w:cs="Arial"/>
                <w:color w:val="000000"/>
              </w:rPr>
            </w:pPr>
            <w:r w:rsidRPr="004B119C">
              <w:rPr>
                <w:rFonts w:cs="Arial"/>
              </w:rPr>
              <w:t>Bypass Right Ventricle to Right Pulmonary Artery with Zooplastic Tissue Substitute, Open Approach</w:t>
            </w:r>
          </w:p>
        </w:tc>
      </w:tr>
      <w:tr w:rsidR="004B119C" w:rsidRPr="00A25DE1" w14:paraId="17ED1AA1" w14:textId="77777777" w:rsidTr="00696E8F">
        <w:trPr>
          <w:trHeight w:val="300"/>
        </w:trPr>
        <w:tc>
          <w:tcPr>
            <w:tcW w:w="1872" w:type="dxa"/>
            <w:noWrap/>
            <w:vAlign w:val="center"/>
          </w:tcPr>
          <w:p w14:paraId="7C810C91" w14:textId="1AC1DAB5" w:rsidR="004B119C" w:rsidRPr="004B119C" w:rsidRDefault="004B119C" w:rsidP="00696E8F">
            <w:pPr>
              <w:rPr>
                <w:rFonts w:cs="Arial"/>
                <w:color w:val="000000"/>
              </w:rPr>
            </w:pPr>
            <w:r w:rsidRPr="004B119C">
              <w:rPr>
                <w:rFonts w:cs="Arial"/>
              </w:rPr>
              <w:t xml:space="preserve">021K08R  </w:t>
            </w:r>
          </w:p>
        </w:tc>
        <w:tc>
          <w:tcPr>
            <w:tcW w:w="7560" w:type="dxa"/>
            <w:noWrap/>
            <w:vAlign w:val="center"/>
          </w:tcPr>
          <w:p w14:paraId="7DCC0BC9" w14:textId="140F62A7" w:rsidR="004B119C" w:rsidRPr="004B119C" w:rsidRDefault="004B119C" w:rsidP="00696E8F">
            <w:pPr>
              <w:rPr>
                <w:rFonts w:cs="Arial"/>
                <w:color w:val="000000"/>
              </w:rPr>
            </w:pPr>
            <w:r w:rsidRPr="004B119C">
              <w:rPr>
                <w:rFonts w:cs="Arial"/>
              </w:rPr>
              <w:t xml:space="preserve">Bypass Right Ventricle to </w:t>
            </w:r>
            <w:r w:rsidR="007205B6">
              <w:rPr>
                <w:rFonts w:cs="Arial"/>
              </w:rPr>
              <w:t>Left</w:t>
            </w:r>
            <w:r w:rsidRPr="004B119C">
              <w:rPr>
                <w:rFonts w:cs="Arial"/>
              </w:rPr>
              <w:t xml:space="preserve"> Pulmonary Artery with Zooplastic Tissue Substitute, Open Approach</w:t>
            </w:r>
          </w:p>
        </w:tc>
      </w:tr>
      <w:tr w:rsidR="004B119C" w:rsidRPr="00A25DE1" w14:paraId="79D1EB90" w14:textId="77777777" w:rsidTr="00696E8F">
        <w:trPr>
          <w:trHeight w:val="300"/>
        </w:trPr>
        <w:tc>
          <w:tcPr>
            <w:tcW w:w="1872" w:type="dxa"/>
            <w:noWrap/>
            <w:vAlign w:val="center"/>
          </w:tcPr>
          <w:p w14:paraId="725DBB05" w14:textId="2B91D13D" w:rsidR="004B119C" w:rsidRPr="004B119C" w:rsidRDefault="004B119C" w:rsidP="00696E8F">
            <w:pPr>
              <w:rPr>
                <w:rFonts w:cs="Arial"/>
                <w:color w:val="000000"/>
              </w:rPr>
            </w:pPr>
            <w:r w:rsidRPr="004B119C">
              <w:rPr>
                <w:rFonts w:cs="Arial"/>
              </w:rPr>
              <w:t xml:space="preserve">021K09P </w:t>
            </w:r>
          </w:p>
        </w:tc>
        <w:tc>
          <w:tcPr>
            <w:tcW w:w="7560" w:type="dxa"/>
            <w:noWrap/>
            <w:vAlign w:val="center"/>
          </w:tcPr>
          <w:p w14:paraId="10DC9878" w14:textId="1414ECA7" w:rsidR="004B119C" w:rsidRPr="004B119C" w:rsidRDefault="004B119C" w:rsidP="00696E8F">
            <w:pPr>
              <w:rPr>
                <w:rFonts w:cs="Arial"/>
                <w:color w:val="000000"/>
              </w:rPr>
            </w:pPr>
            <w:r w:rsidRPr="004B119C">
              <w:rPr>
                <w:rFonts w:cs="Arial"/>
              </w:rPr>
              <w:t>Bypass Right Ventricle to Pulmonary Trunk with Autologous Venous Tissue, Open Approach</w:t>
            </w:r>
          </w:p>
        </w:tc>
      </w:tr>
      <w:tr w:rsidR="004B119C" w:rsidRPr="00A25DE1" w14:paraId="692C6775" w14:textId="77777777" w:rsidTr="00696E8F">
        <w:trPr>
          <w:trHeight w:val="300"/>
        </w:trPr>
        <w:tc>
          <w:tcPr>
            <w:tcW w:w="1872" w:type="dxa"/>
            <w:noWrap/>
            <w:vAlign w:val="center"/>
          </w:tcPr>
          <w:p w14:paraId="458B5ADC" w14:textId="01C76DD5" w:rsidR="004B119C" w:rsidRPr="004B119C" w:rsidRDefault="004B119C" w:rsidP="00696E8F">
            <w:pPr>
              <w:rPr>
                <w:rFonts w:cs="Arial"/>
                <w:color w:val="000000"/>
              </w:rPr>
            </w:pPr>
            <w:r w:rsidRPr="004B119C">
              <w:rPr>
                <w:rFonts w:cs="Arial"/>
              </w:rPr>
              <w:t xml:space="preserve">021K09Q  </w:t>
            </w:r>
          </w:p>
        </w:tc>
        <w:tc>
          <w:tcPr>
            <w:tcW w:w="7560" w:type="dxa"/>
            <w:noWrap/>
            <w:vAlign w:val="center"/>
          </w:tcPr>
          <w:p w14:paraId="0E298051" w14:textId="5ACD2978" w:rsidR="004B119C" w:rsidRPr="004B119C" w:rsidRDefault="004B119C" w:rsidP="00696E8F">
            <w:pPr>
              <w:rPr>
                <w:rFonts w:cs="Arial"/>
                <w:color w:val="000000"/>
              </w:rPr>
            </w:pPr>
            <w:r w:rsidRPr="004B119C">
              <w:rPr>
                <w:rFonts w:cs="Arial"/>
              </w:rPr>
              <w:t>Bypass Right Ventricle to Right Pulmonary Artery with Autologous Venous Tissue, Open Approach</w:t>
            </w:r>
          </w:p>
        </w:tc>
      </w:tr>
      <w:tr w:rsidR="004B119C" w:rsidRPr="00A25DE1" w14:paraId="0383CF30" w14:textId="77777777" w:rsidTr="00696E8F">
        <w:trPr>
          <w:trHeight w:val="300"/>
        </w:trPr>
        <w:tc>
          <w:tcPr>
            <w:tcW w:w="1872" w:type="dxa"/>
            <w:noWrap/>
            <w:vAlign w:val="center"/>
          </w:tcPr>
          <w:p w14:paraId="5535A2EC" w14:textId="0BBCB711" w:rsidR="004B119C" w:rsidRPr="004B119C" w:rsidRDefault="004B119C" w:rsidP="00696E8F">
            <w:pPr>
              <w:rPr>
                <w:rFonts w:cs="Arial"/>
                <w:color w:val="000000"/>
              </w:rPr>
            </w:pPr>
            <w:r w:rsidRPr="004B119C">
              <w:rPr>
                <w:rFonts w:cs="Arial"/>
              </w:rPr>
              <w:t xml:space="preserve">021K09R  </w:t>
            </w:r>
          </w:p>
        </w:tc>
        <w:tc>
          <w:tcPr>
            <w:tcW w:w="7560" w:type="dxa"/>
            <w:noWrap/>
            <w:vAlign w:val="center"/>
          </w:tcPr>
          <w:p w14:paraId="05B81ED7" w14:textId="61C7C2D1" w:rsidR="004B119C" w:rsidRPr="004B119C" w:rsidRDefault="004B119C" w:rsidP="00696E8F">
            <w:pPr>
              <w:rPr>
                <w:rFonts w:cs="Arial"/>
                <w:color w:val="000000"/>
              </w:rPr>
            </w:pPr>
            <w:r w:rsidRPr="004B119C">
              <w:rPr>
                <w:rFonts w:cs="Arial"/>
              </w:rPr>
              <w:t>Bypass Right Ventricle to Right Pulmonary Artery with Autologous Venous Tissue, Open Approach</w:t>
            </w:r>
          </w:p>
        </w:tc>
      </w:tr>
      <w:tr w:rsidR="004B119C" w:rsidRPr="00A25DE1" w14:paraId="161274D5" w14:textId="77777777" w:rsidTr="00696E8F">
        <w:trPr>
          <w:trHeight w:val="300"/>
        </w:trPr>
        <w:tc>
          <w:tcPr>
            <w:tcW w:w="1872" w:type="dxa"/>
            <w:noWrap/>
            <w:vAlign w:val="center"/>
          </w:tcPr>
          <w:p w14:paraId="33C1B519" w14:textId="4789BC3E" w:rsidR="004B119C" w:rsidRPr="004B119C" w:rsidRDefault="004B119C" w:rsidP="00696E8F">
            <w:pPr>
              <w:rPr>
                <w:rFonts w:cs="Arial"/>
                <w:color w:val="000000"/>
              </w:rPr>
            </w:pPr>
            <w:r w:rsidRPr="004B119C">
              <w:rPr>
                <w:rFonts w:cs="Arial"/>
              </w:rPr>
              <w:t xml:space="preserve">021K0AP </w:t>
            </w:r>
          </w:p>
        </w:tc>
        <w:tc>
          <w:tcPr>
            <w:tcW w:w="7560" w:type="dxa"/>
            <w:noWrap/>
            <w:vAlign w:val="center"/>
          </w:tcPr>
          <w:p w14:paraId="294D5068" w14:textId="0A077B15" w:rsidR="004B119C" w:rsidRPr="004B119C" w:rsidRDefault="004B119C" w:rsidP="00696E8F">
            <w:pPr>
              <w:rPr>
                <w:rFonts w:cs="Arial"/>
                <w:color w:val="000000"/>
              </w:rPr>
            </w:pPr>
            <w:r w:rsidRPr="004B119C">
              <w:rPr>
                <w:rFonts w:cs="Arial"/>
              </w:rPr>
              <w:t>Bypass Right Ventricle to Pulmonary Trunk with Autologous Arterial Tissue, Open Approach</w:t>
            </w:r>
          </w:p>
        </w:tc>
      </w:tr>
      <w:tr w:rsidR="004B119C" w:rsidRPr="00A25DE1" w14:paraId="45C13CAD" w14:textId="77777777" w:rsidTr="00696E8F">
        <w:trPr>
          <w:trHeight w:val="300"/>
        </w:trPr>
        <w:tc>
          <w:tcPr>
            <w:tcW w:w="1872" w:type="dxa"/>
            <w:noWrap/>
            <w:vAlign w:val="center"/>
          </w:tcPr>
          <w:p w14:paraId="015DD483" w14:textId="5C097EF6" w:rsidR="004B119C" w:rsidRPr="004B119C" w:rsidRDefault="004B119C" w:rsidP="00696E8F">
            <w:pPr>
              <w:rPr>
                <w:rFonts w:cs="Arial"/>
                <w:color w:val="000000"/>
              </w:rPr>
            </w:pPr>
            <w:r w:rsidRPr="004B119C">
              <w:rPr>
                <w:rFonts w:cs="Arial"/>
              </w:rPr>
              <w:t xml:space="preserve">021K0AQ  </w:t>
            </w:r>
          </w:p>
        </w:tc>
        <w:tc>
          <w:tcPr>
            <w:tcW w:w="7560" w:type="dxa"/>
            <w:noWrap/>
            <w:vAlign w:val="center"/>
          </w:tcPr>
          <w:p w14:paraId="07AE5360" w14:textId="73589541" w:rsidR="004B119C" w:rsidRPr="004B119C" w:rsidRDefault="004B119C" w:rsidP="00696E8F">
            <w:pPr>
              <w:rPr>
                <w:rFonts w:cs="Arial"/>
                <w:color w:val="000000"/>
              </w:rPr>
            </w:pPr>
            <w:r w:rsidRPr="004B119C">
              <w:rPr>
                <w:rFonts w:cs="Arial"/>
              </w:rPr>
              <w:t>Bypass Right Ventricle to Right Pulmonary Artery with Autologous Arterial Tissue, Open Approach</w:t>
            </w:r>
          </w:p>
        </w:tc>
      </w:tr>
      <w:tr w:rsidR="004B119C" w:rsidRPr="00A25DE1" w14:paraId="41DC49D0" w14:textId="77777777" w:rsidTr="00696E8F">
        <w:trPr>
          <w:trHeight w:val="300"/>
        </w:trPr>
        <w:tc>
          <w:tcPr>
            <w:tcW w:w="1872" w:type="dxa"/>
            <w:noWrap/>
            <w:vAlign w:val="center"/>
          </w:tcPr>
          <w:p w14:paraId="5FE03CAA" w14:textId="2862E26A" w:rsidR="004B119C" w:rsidRPr="004B119C" w:rsidRDefault="004B119C" w:rsidP="00696E8F">
            <w:pPr>
              <w:rPr>
                <w:rFonts w:cs="Arial"/>
                <w:color w:val="000000"/>
              </w:rPr>
            </w:pPr>
            <w:r w:rsidRPr="004B119C">
              <w:rPr>
                <w:rFonts w:cs="Arial"/>
              </w:rPr>
              <w:t xml:space="preserve">021K0AR  </w:t>
            </w:r>
          </w:p>
        </w:tc>
        <w:tc>
          <w:tcPr>
            <w:tcW w:w="7560" w:type="dxa"/>
            <w:noWrap/>
            <w:vAlign w:val="center"/>
          </w:tcPr>
          <w:p w14:paraId="38842DC2" w14:textId="7494C376" w:rsidR="004B119C" w:rsidRPr="004B119C" w:rsidRDefault="004B119C" w:rsidP="00696E8F">
            <w:pPr>
              <w:rPr>
                <w:rFonts w:cs="Arial"/>
                <w:color w:val="000000"/>
              </w:rPr>
            </w:pPr>
            <w:r w:rsidRPr="004B119C">
              <w:rPr>
                <w:rFonts w:cs="Arial"/>
              </w:rPr>
              <w:t>Bypass Right Ventricle to Right Pulmonary Artery with Autologous Arterial Tissue, Open Approach</w:t>
            </w:r>
          </w:p>
        </w:tc>
      </w:tr>
      <w:tr w:rsidR="004B119C" w:rsidRPr="00A25DE1" w14:paraId="1BD7B642" w14:textId="77777777" w:rsidTr="00696E8F">
        <w:trPr>
          <w:trHeight w:val="300"/>
        </w:trPr>
        <w:tc>
          <w:tcPr>
            <w:tcW w:w="1872" w:type="dxa"/>
            <w:noWrap/>
            <w:vAlign w:val="center"/>
          </w:tcPr>
          <w:p w14:paraId="43FCE246" w14:textId="0A1B8699" w:rsidR="004B119C" w:rsidRPr="004B119C" w:rsidRDefault="004B119C" w:rsidP="00696E8F">
            <w:pPr>
              <w:rPr>
                <w:rFonts w:cs="Arial"/>
              </w:rPr>
            </w:pPr>
            <w:r w:rsidRPr="004B119C">
              <w:rPr>
                <w:rFonts w:cs="Arial"/>
              </w:rPr>
              <w:t>021K0JP</w:t>
            </w:r>
          </w:p>
        </w:tc>
        <w:tc>
          <w:tcPr>
            <w:tcW w:w="7560" w:type="dxa"/>
            <w:noWrap/>
            <w:vAlign w:val="center"/>
          </w:tcPr>
          <w:p w14:paraId="578170F8" w14:textId="5D075174" w:rsidR="004B119C" w:rsidRPr="004B119C" w:rsidRDefault="004B119C" w:rsidP="00696E8F">
            <w:pPr>
              <w:rPr>
                <w:rFonts w:cs="Arial"/>
              </w:rPr>
            </w:pPr>
            <w:r w:rsidRPr="004B119C">
              <w:rPr>
                <w:rFonts w:cs="Arial"/>
              </w:rPr>
              <w:t>Bypass Right Ventricle to Pulmonary Trunk with Synthetic Substitute, Open Approach</w:t>
            </w:r>
          </w:p>
        </w:tc>
      </w:tr>
      <w:tr w:rsidR="004B119C" w:rsidRPr="00A25DE1" w14:paraId="4C05275E" w14:textId="77777777" w:rsidTr="00696E8F">
        <w:trPr>
          <w:trHeight w:val="300"/>
        </w:trPr>
        <w:tc>
          <w:tcPr>
            <w:tcW w:w="1872" w:type="dxa"/>
            <w:noWrap/>
            <w:vAlign w:val="center"/>
          </w:tcPr>
          <w:p w14:paraId="4E312D8E" w14:textId="7CCCBFFB" w:rsidR="004B119C" w:rsidRPr="004B119C" w:rsidRDefault="004B119C" w:rsidP="00696E8F">
            <w:pPr>
              <w:rPr>
                <w:rFonts w:cs="Arial"/>
              </w:rPr>
            </w:pPr>
            <w:r w:rsidRPr="004B119C">
              <w:rPr>
                <w:rFonts w:cs="Arial"/>
              </w:rPr>
              <w:t>021K0JQ</w:t>
            </w:r>
          </w:p>
        </w:tc>
        <w:tc>
          <w:tcPr>
            <w:tcW w:w="7560" w:type="dxa"/>
            <w:noWrap/>
            <w:vAlign w:val="center"/>
          </w:tcPr>
          <w:p w14:paraId="4FAD7242" w14:textId="55EDEF27" w:rsidR="004B119C" w:rsidRPr="004B119C" w:rsidRDefault="004B119C" w:rsidP="00696E8F">
            <w:pPr>
              <w:rPr>
                <w:rFonts w:cs="Arial"/>
              </w:rPr>
            </w:pPr>
            <w:r w:rsidRPr="004B119C">
              <w:rPr>
                <w:rFonts w:cs="Arial"/>
              </w:rPr>
              <w:t>Bypass Right Ventricle to Right Pulmonary Artery with Synthetic Substitute, Open Approach</w:t>
            </w:r>
          </w:p>
        </w:tc>
      </w:tr>
      <w:tr w:rsidR="004B119C" w:rsidRPr="00A25DE1" w14:paraId="644E25F1" w14:textId="77777777" w:rsidTr="00696E8F">
        <w:trPr>
          <w:trHeight w:val="300"/>
        </w:trPr>
        <w:tc>
          <w:tcPr>
            <w:tcW w:w="1872" w:type="dxa"/>
            <w:noWrap/>
            <w:vAlign w:val="center"/>
          </w:tcPr>
          <w:p w14:paraId="62DB698A" w14:textId="23FC8575" w:rsidR="004B119C" w:rsidRPr="004B119C" w:rsidRDefault="004B119C" w:rsidP="00696E8F">
            <w:pPr>
              <w:rPr>
                <w:rFonts w:cs="Arial"/>
              </w:rPr>
            </w:pPr>
            <w:r w:rsidRPr="004B119C">
              <w:rPr>
                <w:rFonts w:cs="Arial"/>
              </w:rPr>
              <w:t>021K0JR</w:t>
            </w:r>
          </w:p>
        </w:tc>
        <w:tc>
          <w:tcPr>
            <w:tcW w:w="7560" w:type="dxa"/>
            <w:noWrap/>
            <w:vAlign w:val="center"/>
          </w:tcPr>
          <w:p w14:paraId="166CBAFC" w14:textId="2998AEA0" w:rsidR="004B119C" w:rsidRPr="004B119C" w:rsidRDefault="004B119C" w:rsidP="00696E8F">
            <w:pPr>
              <w:rPr>
                <w:rFonts w:cs="Arial"/>
              </w:rPr>
            </w:pPr>
            <w:r w:rsidRPr="004B119C">
              <w:rPr>
                <w:rFonts w:cs="Arial"/>
              </w:rPr>
              <w:t>Bypass Right Ventricle to Left Pulmonary Artery with Synthetic Substitute, Open Approach</w:t>
            </w:r>
          </w:p>
        </w:tc>
      </w:tr>
      <w:tr w:rsidR="004B119C" w:rsidRPr="00A25DE1" w14:paraId="5A7F9985" w14:textId="77777777" w:rsidTr="00696E8F">
        <w:trPr>
          <w:trHeight w:val="300"/>
        </w:trPr>
        <w:tc>
          <w:tcPr>
            <w:tcW w:w="1872" w:type="dxa"/>
            <w:noWrap/>
            <w:vAlign w:val="center"/>
          </w:tcPr>
          <w:p w14:paraId="73C306FB" w14:textId="616FF0C9" w:rsidR="004B119C" w:rsidRPr="004B119C" w:rsidRDefault="004B119C" w:rsidP="00696E8F">
            <w:pPr>
              <w:rPr>
                <w:rFonts w:cs="Arial"/>
              </w:rPr>
            </w:pPr>
            <w:r w:rsidRPr="004B119C">
              <w:rPr>
                <w:rFonts w:cs="Arial"/>
              </w:rPr>
              <w:t xml:space="preserve">021K0KP </w:t>
            </w:r>
          </w:p>
        </w:tc>
        <w:tc>
          <w:tcPr>
            <w:tcW w:w="7560" w:type="dxa"/>
            <w:noWrap/>
            <w:vAlign w:val="center"/>
          </w:tcPr>
          <w:p w14:paraId="1BEFD308" w14:textId="1E7545DC" w:rsidR="004B119C" w:rsidRPr="004B119C" w:rsidRDefault="004B119C" w:rsidP="00696E8F">
            <w:pPr>
              <w:rPr>
                <w:rFonts w:cs="Arial"/>
              </w:rPr>
            </w:pPr>
            <w:r w:rsidRPr="004B119C">
              <w:rPr>
                <w:rFonts w:cs="Arial"/>
              </w:rPr>
              <w:t>Bypass Right Ventricle to Pulmonary Trunk with Nonautologous Tissue Substitute, Open Approach</w:t>
            </w:r>
          </w:p>
        </w:tc>
      </w:tr>
      <w:tr w:rsidR="004B119C" w:rsidRPr="00A25DE1" w14:paraId="0ADE919E" w14:textId="77777777" w:rsidTr="00696E8F">
        <w:trPr>
          <w:trHeight w:val="300"/>
        </w:trPr>
        <w:tc>
          <w:tcPr>
            <w:tcW w:w="1872" w:type="dxa"/>
            <w:noWrap/>
            <w:vAlign w:val="center"/>
          </w:tcPr>
          <w:p w14:paraId="77304F6F" w14:textId="1405BF8C" w:rsidR="004B119C" w:rsidRPr="004B119C" w:rsidRDefault="004B119C" w:rsidP="00696E8F">
            <w:pPr>
              <w:rPr>
                <w:rFonts w:cs="Arial"/>
              </w:rPr>
            </w:pPr>
            <w:r w:rsidRPr="004B119C">
              <w:rPr>
                <w:rFonts w:cs="Arial"/>
              </w:rPr>
              <w:t xml:space="preserve">021K0KQ  </w:t>
            </w:r>
          </w:p>
        </w:tc>
        <w:tc>
          <w:tcPr>
            <w:tcW w:w="7560" w:type="dxa"/>
            <w:noWrap/>
            <w:vAlign w:val="center"/>
          </w:tcPr>
          <w:p w14:paraId="1364535B" w14:textId="3B92214C" w:rsidR="004B119C" w:rsidRPr="004B119C" w:rsidRDefault="004B119C" w:rsidP="00696E8F">
            <w:pPr>
              <w:rPr>
                <w:rFonts w:cs="Arial"/>
              </w:rPr>
            </w:pPr>
            <w:r w:rsidRPr="004B119C">
              <w:rPr>
                <w:rFonts w:cs="Arial"/>
              </w:rPr>
              <w:t>Bypass Right Ventricle to Right Pulmonary Artery with Nonautologous Tissue Substitute, Open Approach</w:t>
            </w:r>
          </w:p>
        </w:tc>
      </w:tr>
      <w:tr w:rsidR="004B119C" w:rsidRPr="00A25DE1" w14:paraId="38B2D3C3" w14:textId="77777777" w:rsidTr="00696E8F">
        <w:trPr>
          <w:trHeight w:val="300"/>
        </w:trPr>
        <w:tc>
          <w:tcPr>
            <w:tcW w:w="1872" w:type="dxa"/>
            <w:noWrap/>
            <w:vAlign w:val="center"/>
          </w:tcPr>
          <w:p w14:paraId="3667AD9E" w14:textId="7014265D" w:rsidR="004B119C" w:rsidRPr="004B119C" w:rsidRDefault="004B119C" w:rsidP="00696E8F">
            <w:pPr>
              <w:rPr>
                <w:rFonts w:cs="Arial"/>
              </w:rPr>
            </w:pPr>
            <w:r w:rsidRPr="004B119C">
              <w:rPr>
                <w:rFonts w:cs="Arial"/>
              </w:rPr>
              <w:lastRenderedPageBreak/>
              <w:t xml:space="preserve">021K0KR  </w:t>
            </w:r>
          </w:p>
        </w:tc>
        <w:tc>
          <w:tcPr>
            <w:tcW w:w="7560" w:type="dxa"/>
            <w:noWrap/>
            <w:vAlign w:val="center"/>
          </w:tcPr>
          <w:p w14:paraId="427C6170" w14:textId="5010C21C" w:rsidR="004B119C" w:rsidRPr="004B119C" w:rsidRDefault="004B119C" w:rsidP="00696E8F">
            <w:pPr>
              <w:rPr>
                <w:rFonts w:cs="Arial"/>
              </w:rPr>
            </w:pPr>
            <w:r w:rsidRPr="004B119C">
              <w:rPr>
                <w:rFonts w:cs="Arial"/>
              </w:rPr>
              <w:t>Bypass Right Ventricle to Right Pulmonary Artery with Nonautologous Tissue Substitute, Open Approach</w:t>
            </w:r>
          </w:p>
        </w:tc>
      </w:tr>
      <w:tr w:rsidR="004B119C" w:rsidRPr="00A25DE1" w14:paraId="052700AE" w14:textId="77777777" w:rsidTr="00696E8F">
        <w:trPr>
          <w:trHeight w:val="300"/>
        </w:trPr>
        <w:tc>
          <w:tcPr>
            <w:tcW w:w="1872" w:type="dxa"/>
            <w:noWrap/>
            <w:vAlign w:val="center"/>
          </w:tcPr>
          <w:p w14:paraId="3AC4E167" w14:textId="2DF37D9F" w:rsidR="004B119C" w:rsidRPr="004B119C" w:rsidRDefault="004B119C" w:rsidP="00696E8F">
            <w:pPr>
              <w:rPr>
                <w:rFonts w:cs="Arial"/>
              </w:rPr>
            </w:pPr>
            <w:r w:rsidRPr="004B119C">
              <w:rPr>
                <w:rFonts w:cs="Arial"/>
              </w:rPr>
              <w:t>021Q08A</w:t>
            </w:r>
          </w:p>
        </w:tc>
        <w:tc>
          <w:tcPr>
            <w:tcW w:w="7560" w:type="dxa"/>
            <w:noWrap/>
            <w:vAlign w:val="center"/>
          </w:tcPr>
          <w:p w14:paraId="2E0807FB" w14:textId="7127013E" w:rsidR="004B119C" w:rsidRPr="004B119C" w:rsidRDefault="004B119C" w:rsidP="00696E8F">
            <w:pPr>
              <w:rPr>
                <w:rFonts w:cs="Arial"/>
              </w:rPr>
            </w:pPr>
            <w:r w:rsidRPr="004B119C">
              <w:rPr>
                <w:rFonts w:cs="Arial"/>
              </w:rPr>
              <w:t>Bypass Right Pulmonary Artery from Innominate Artery with Zooplastic Tissue, Open Approach</w:t>
            </w:r>
          </w:p>
        </w:tc>
      </w:tr>
      <w:tr w:rsidR="004B119C" w:rsidRPr="00A25DE1" w14:paraId="16D8883F" w14:textId="77777777" w:rsidTr="00696E8F">
        <w:trPr>
          <w:trHeight w:val="300"/>
        </w:trPr>
        <w:tc>
          <w:tcPr>
            <w:tcW w:w="1872" w:type="dxa"/>
            <w:noWrap/>
            <w:vAlign w:val="center"/>
          </w:tcPr>
          <w:p w14:paraId="21195212" w14:textId="0067A87B" w:rsidR="004B119C" w:rsidRPr="004B119C" w:rsidRDefault="004B119C" w:rsidP="00696E8F">
            <w:pPr>
              <w:rPr>
                <w:rFonts w:cs="Arial"/>
              </w:rPr>
            </w:pPr>
            <w:r w:rsidRPr="004B119C">
              <w:rPr>
                <w:rFonts w:cs="Arial"/>
              </w:rPr>
              <w:t xml:space="preserve">021Q08B </w:t>
            </w:r>
          </w:p>
        </w:tc>
        <w:tc>
          <w:tcPr>
            <w:tcW w:w="7560" w:type="dxa"/>
            <w:noWrap/>
            <w:vAlign w:val="center"/>
          </w:tcPr>
          <w:p w14:paraId="636E3AF4" w14:textId="23B71B07" w:rsidR="004B119C" w:rsidRPr="004B119C" w:rsidRDefault="004B119C" w:rsidP="00696E8F">
            <w:pPr>
              <w:rPr>
                <w:rFonts w:cs="Arial"/>
              </w:rPr>
            </w:pPr>
            <w:r w:rsidRPr="004B119C">
              <w:rPr>
                <w:rFonts w:cs="Arial"/>
              </w:rPr>
              <w:t>Bypass Right Pulmonary Artery from Subclavian with Zooplastic Tissue, Open Approach</w:t>
            </w:r>
          </w:p>
        </w:tc>
      </w:tr>
      <w:tr w:rsidR="004B119C" w:rsidRPr="00A25DE1" w14:paraId="3C829AA7" w14:textId="77777777" w:rsidTr="00696E8F">
        <w:trPr>
          <w:trHeight w:val="300"/>
        </w:trPr>
        <w:tc>
          <w:tcPr>
            <w:tcW w:w="1872" w:type="dxa"/>
            <w:noWrap/>
            <w:vAlign w:val="center"/>
          </w:tcPr>
          <w:p w14:paraId="4CD5F1D6" w14:textId="429492B1" w:rsidR="004B119C" w:rsidRPr="004B119C" w:rsidRDefault="004B119C" w:rsidP="00696E8F">
            <w:pPr>
              <w:rPr>
                <w:rFonts w:cs="Arial"/>
              </w:rPr>
            </w:pPr>
            <w:r w:rsidRPr="004B119C">
              <w:rPr>
                <w:rFonts w:cs="Arial"/>
              </w:rPr>
              <w:t>021Q08D</w:t>
            </w:r>
          </w:p>
        </w:tc>
        <w:tc>
          <w:tcPr>
            <w:tcW w:w="7560" w:type="dxa"/>
            <w:noWrap/>
            <w:vAlign w:val="center"/>
          </w:tcPr>
          <w:p w14:paraId="46AB810D" w14:textId="58CC6C89" w:rsidR="004B119C" w:rsidRPr="004B119C" w:rsidRDefault="004B119C" w:rsidP="00696E8F">
            <w:pPr>
              <w:rPr>
                <w:rFonts w:cs="Arial"/>
              </w:rPr>
            </w:pPr>
            <w:r w:rsidRPr="004B119C">
              <w:rPr>
                <w:rFonts w:cs="Arial"/>
              </w:rPr>
              <w:t>Bypass Right Pulmonary Artery from Carotid with Zooplastic Tissue, Open Approach</w:t>
            </w:r>
          </w:p>
        </w:tc>
      </w:tr>
      <w:tr w:rsidR="004B119C" w:rsidRPr="00A25DE1" w14:paraId="3BC780B8" w14:textId="77777777" w:rsidTr="00696E8F">
        <w:trPr>
          <w:trHeight w:val="300"/>
        </w:trPr>
        <w:tc>
          <w:tcPr>
            <w:tcW w:w="1872" w:type="dxa"/>
            <w:noWrap/>
            <w:vAlign w:val="center"/>
          </w:tcPr>
          <w:p w14:paraId="0A90B337" w14:textId="356CB49D" w:rsidR="004B119C" w:rsidRPr="004B119C" w:rsidRDefault="004B119C" w:rsidP="00696E8F">
            <w:pPr>
              <w:rPr>
                <w:rFonts w:cs="Arial"/>
              </w:rPr>
            </w:pPr>
            <w:r w:rsidRPr="004B119C">
              <w:rPr>
                <w:rFonts w:cs="Arial"/>
              </w:rPr>
              <w:t>021Q09A</w:t>
            </w:r>
          </w:p>
        </w:tc>
        <w:tc>
          <w:tcPr>
            <w:tcW w:w="7560" w:type="dxa"/>
            <w:noWrap/>
            <w:vAlign w:val="center"/>
          </w:tcPr>
          <w:p w14:paraId="6C380292" w14:textId="2659B3A4" w:rsidR="004B119C" w:rsidRPr="004B119C" w:rsidRDefault="004B119C" w:rsidP="00696E8F">
            <w:pPr>
              <w:rPr>
                <w:rFonts w:cs="Arial"/>
              </w:rPr>
            </w:pPr>
            <w:r w:rsidRPr="004B119C">
              <w:rPr>
                <w:rFonts w:cs="Arial"/>
              </w:rPr>
              <w:t>Bypass Right Pulmonary Artery from Innominate Artery with Autologous Venous Tissue, Open Approach</w:t>
            </w:r>
          </w:p>
        </w:tc>
      </w:tr>
      <w:tr w:rsidR="004B119C" w:rsidRPr="00A25DE1" w14:paraId="768487E4" w14:textId="77777777" w:rsidTr="00696E8F">
        <w:trPr>
          <w:trHeight w:val="300"/>
        </w:trPr>
        <w:tc>
          <w:tcPr>
            <w:tcW w:w="1872" w:type="dxa"/>
            <w:noWrap/>
            <w:vAlign w:val="center"/>
          </w:tcPr>
          <w:p w14:paraId="2D3535ED" w14:textId="5A4D74CA" w:rsidR="004B119C" w:rsidRPr="004B119C" w:rsidRDefault="004B119C" w:rsidP="00696E8F">
            <w:pPr>
              <w:rPr>
                <w:rFonts w:cs="Arial"/>
              </w:rPr>
            </w:pPr>
            <w:r w:rsidRPr="004B119C">
              <w:rPr>
                <w:rFonts w:cs="Arial"/>
              </w:rPr>
              <w:t>021Q09B</w:t>
            </w:r>
          </w:p>
        </w:tc>
        <w:tc>
          <w:tcPr>
            <w:tcW w:w="7560" w:type="dxa"/>
            <w:noWrap/>
            <w:vAlign w:val="center"/>
          </w:tcPr>
          <w:p w14:paraId="6D627DE4" w14:textId="68865DE5" w:rsidR="004B119C" w:rsidRPr="004B119C" w:rsidRDefault="004B119C" w:rsidP="00696E8F">
            <w:pPr>
              <w:rPr>
                <w:rFonts w:cs="Arial"/>
              </w:rPr>
            </w:pPr>
            <w:r w:rsidRPr="004B119C">
              <w:rPr>
                <w:rFonts w:cs="Arial"/>
              </w:rPr>
              <w:t>Bypass Right Pulmonary Artery from Subclavian with Autologous Venous Tissue, Open Approach</w:t>
            </w:r>
          </w:p>
        </w:tc>
      </w:tr>
      <w:tr w:rsidR="004B119C" w:rsidRPr="00A25DE1" w14:paraId="5175B137" w14:textId="77777777" w:rsidTr="00696E8F">
        <w:trPr>
          <w:trHeight w:val="300"/>
        </w:trPr>
        <w:tc>
          <w:tcPr>
            <w:tcW w:w="1872" w:type="dxa"/>
            <w:noWrap/>
            <w:vAlign w:val="center"/>
          </w:tcPr>
          <w:p w14:paraId="7500E8AB" w14:textId="05CD0558" w:rsidR="004B119C" w:rsidRPr="004B119C" w:rsidRDefault="004B119C" w:rsidP="00696E8F">
            <w:pPr>
              <w:rPr>
                <w:rFonts w:cs="Arial"/>
              </w:rPr>
            </w:pPr>
            <w:r w:rsidRPr="004B119C">
              <w:rPr>
                <w:rFonts w:cs="Arial"/>
              </w:rPr>
              <w:t>021Q09D</w:t>
            </w:r>
          </w:p>
        </w:tc>
        <w:tc>
          <w:tcPr>
            <w:tcW w:w="7560" w:type="dxa"/>
            <w:noWrap/>
            <w:vAlign w:val="center"/>
          </w:tcPr>
          <w:p w14:paraId="3EEAD18C" w14:textId="2552AAB5" w:rsidR="004B119C" w:rsidRPr="004B119C" w:rsidRDefault="004B119C" w:rsidP="00696E8F">
            <w:pPr>
              <w:rPr>
                <w:rFonts w:cs="Arial"/>
              </w:rPr>
            </w:pPr>
            <w:r w:rsidRPr="004B119C">
              <w:rPr>
                <w:rFonts w:cs="Arial"/>
              </w:rPr>
              <w:t>Bypass Right Pulmonary Artery from Carotid with Autologous Venous Tissue, Open Approach</w:t>
            </w:r>
          </w:p>
        </w:tc>
      </w:tr>
      <w:tr w:rsidR="004B119C" w:rsidRPr="00A25DE1" w14:paraId="24683C4E" w14:textId="77777777" w:rsidTr="00696E8F">
        <w:trPr>
          <w:trHeight w:val="300"/>
        </w:trPr>
        <w:tc>
          <w:tcPr>
            <w:tcW w:w="1872" w:type="dxa"/>
            <w:noWrap/>
            <w:vAlign w:val="center"/>
          </w:tcPr>
          <w:p w14:paraId="21C1EF7D" w14:textId="6F6B9BE5" w:rsidR="004B119C" w:rsidRPr="004B119C" w:rsidRDefault="004B119C" w:rsidP="00696E8F">
            <w:pPr>
              <w:rPr>
                <w:rFonts w:cs="Arial"/>
              </w:rPr>
            </w:pPr>
            <w:r w:rsidRPr="004B119C">
              <w:rPr>
                <w:rFonts w:cs="Arial"/>
              </w:rPr>
              <w:t>021Q0AA</w:t>
            </w:r>
          </w:p>
        </w:tc>
        <w:tc>
          <w:tcPr>
            <w:tcW w:w="7560" w:type="dxa"/>
            <w:noWrap/>
            <w:vAlign w:val="center"/>
          </w:tcPr>
          <w:p w14:paraId="280D61A8" w14:textId="0E489E99" w:rsidR="004B119C" w:rsidRPr="004B119C" w:rsidRDefault="004B119C" w:rsidP="00696E8F">
            <w:pPr>
              <w:rPr>
                <w:rFonts w:cs="Arial"/>
              </w:rPr>
            </w:pPr>
            <w:r w:rsidRPr="004B119C">
              <w:rPr>
                <w:rFonts w:cs="Arial"/>
              </w:rPr>
              <w:t>Bypass Right Pulmonary Artery from Innominate Artery with Autologous Arterial Tissue, Open Approach</w:t>
            </w:r>
          </w:p>
        </w:tc>
      </w:tr>
      <w:tr w:rsidR="004B119C" w:rsidRPr="00A25DE1" w14:paraId="53F428E7" w14:textId="77777777" w:rsidTr="00696E8F">
        <w:trPr>
          <w:trHeight w:val="300"/>
        </w:trPr>
        <w:tc>
          <w:tcPr>
            <w:tcW w:w="1872" w:type="dxa"/>
            <w:noWrap/>
            <w:vAlign w:val="center"/>
          </w:tcPr>
          <w:p w14:paraId="18EE227B" w14:textId="12F9178C" w:rsidR="004B119C" w:rsidRPr="004B119C" w:rsidRDefault="004B119C" w:rsidP="00696E8F">
            <w:pPr>
              <w:rPr>
                <w:rFonts w:cs="Arial"/>
              </w:rPr>
            </w:pPr>
            <w:r w:rsidRPr="004B119C">
              <w:rPr>
                <w:rFonts w:cs="Arial"/>
              </w:rPr>
              <w:t>021Q0AB</w:t>
            </w:r>
          </w:p>
        </w:tc>
        <w:tc>
          <w:tcPr>
            <w:tcW w:w="7560" w:type="dxa"/>
            <w:noWrap/>
            <w:vAlign w:val="center"/>
          </w:tcPr>
          <w:p w14:paraId="02AD787E" w14:textId="7908FFAB" w:rsidR="004B119C" w:rsidRPr="004B119C" w:rsidRDefault="004B119C" w:rsidP="00696E8F">
            <w:pPr>
              <w:rPr>
                <w:rFonts w:cs="Arial"/>
              </w:rPr>
            </w:pPr>
            <w:r w:rsidRPr="004B119C">
              <w:rPr>
                <w:rFonts w:cs="Arial"/>
              </w:rPr>
              <w:t>Bypass Right Pulmonary Artery from Subclavian with Autologous Arterial Tissue, Open Approach</w:t>
            </w:r>
          </w:p>
        </w:tc>
      </w:tr>
      <w:tr w:rsidR="004B119C" w:rsidRPr="00A25DE1" w14:paraId="767DDEED" w14:textId="77777777" w:rsidTr="00696E8F">
        <w:trPr>
          <w:trHeight w:val="300"/>
        </w:trPr>
        <w:tc>
          <w:tcPr>
            <w:tcW w:w="1872" w:type="dxa"/>
            <w:noWrap/>
            <w:vAlign w:val="center"/>
          </w:tcPr>
          <w:p w14:paraId="4D346A63" w14:textId="69452A98" w:rsidR="004B119C" w:rsidRPr="004B119C" w:rsidRDefault="004B119C" w:rsidP="00696E8F">
            <w:pPr>
              <w:rPr>
                <w:rFonts w:cs="Arial"/>
              </w:rPr>
            </w:pPr>
            <w:r w:rsidRPr="004B119C">
              <w:rPr>
                <w:rFonts w:cs="Arial"/>
              </w:rPr>
              <w:t>021Q0AD</w:t>
            </w:r>
          </w:p>
        </w:tc>
        <w:tc>
          <w:tcPr>
            <w:tcW w:w="7560" w:type="dxa"/>
            <w:noWrap/>
            <w:vAlign w:val="center"/>
          </w:tcPr>
          <w:p w14:paraId="6EE230FA" w14:textId="1D800394" w:rsidR="004B119C" w:rsidRPr="004B119C" w:rsidRDefault="004B119C" w:rsidP="00696E8F">
            <w:pPr>
              <w:rPr>
                <w:rFonts w:cs="Arial"/>
              </w:rPr>
            </w:pPr>
            <w:r w:rsidRPr="004B119C">
              <w:rPr>
                <w:rFonts w:cs="Arial"/>
              </w:rPr>
              <w:t>Bypass Right Pulmonary Artery from Carotid with Autologous Arterial Tissue, Open Approach</w:t>
            </w:r>
          </w:p>
        </w:tc>
      </w:tr>
      <w:tr w:rsidR="004536D7" w:rsidRPr="00A25DE1" w14:paraId="10702B3D" w14:textId="77777777" w:rsidTr="00696E8F">
        <w:trPr>
          <w:trHeight w:val="300"/>
        </w:trPr>
        <w:tc>
          <w:tcPr>
            <w:tcW w:w="1872" w:type="dxa"/>
            <w:noWrap/>
            <w:vAlign w:val="center"/>
          </w:tcPr>
          <w:p w14:paraId="3F28E295" w14:textId="5EEC37F7" w:rsidR="004536D7" w:rsidRPr="004B119C" w:rsidRDefault="004536D7" w:rsidP="00696E8F">
            <w:pPr>
              <w:rPr>
                <w:rFonts w:cs="Arial"/>
              </w:rPr>
            </w:pPr>
            <w:r w:rsidRPr="004B119C">
              <w:rPr>
                <w:rFonts w:cs="Arial"/>
              </w:rPr>
              <w:t>021Q0JA</w:t>
            </w:r>
          </w:p>
        </w:tc>
        <w:tc>
          <w:tcPr>
            <w:tcW w:w="7560" w:type="dxa"/>
            <w:noWrap/>
            <w:vAlign w:val="center"/>
          </w:tcPr>
          <w:p w14:paraId="1E8932D7" w14:textId="589BC526" w:rsidR="004536D7" w:rsidRPr="004B119C" w:rsidRDefault="004536D7" w:rsidP="00696E8F">
            <w:pPr>
              <w:rPr>
                <w:rFonts w:cs="Arial"/>
              </w:rPr>
            </w:pPr>
            <w:r w:rsidRPr="004B119C">
              <w:rPr>
                <w:rFonts w:cs="Arial"/>
              </w:rPr>
              <w:t xml:space="preserve">Bypass Right Pulmonary Artery from </w:t>
            </w:r>
            <w:r>
              <w:rPr>
                <w:rFonts w:cs="Arial"/>
              </w:rPr>
              <w:t>I</w:t>
            </w:r>
            <w:r w:rsidRPr="004B119C">
              <w:rPr>
                <w:rFonts w:cs="Arial"/>
              </w:rPr>
              <w:t>nnominate w</w:t>
            </w:r>
            <w:r>
              <w:rPr>
                <w:rFonts w:cs="Arial"/>
              </w:rPr>
              <w:t>ith S</w:t>
            </w:r>
            <w:r w:rsidRPr="004B119C">
              <w:rPr>
                <w:rFonts w:cs="Arial"/>
              </w:rPr>
              <w:t xml:space="preserve">ynthetic </w:t>
            </w:r>
            <w:r>
              <w:rPr>
                <w:rFonts w:cs="Arial"/>
              </w:rPr>
              <w:t>S</w:t>
            </w:r>
            <w:r w:rsidRPr="004B119C">
              <w:rPr>
                <w:rFonts w:cs="Arial"/>
              </w:rPr>
              <w:t xml:space="preserve">ubstitute, </w:t>
            </w:r>
            <w:r>
              <w:rPr>
                <w:rFonts w:cs="Arial"/>
              </w:rPr>
              <w:t>O</w:t>
            </w:r>
            <w:r w:rsidRPr="004B119C">
              <w:rPr>
                <w:rFonts w:cs="Arial"/>
              </w:rPr>
              <w:t xml:space="preserve">pen </w:t>
            </w:r>
            <w:r>
              <w:rPr>
                <w:rFonts w:cs="Arial"/>
              </w:rPr>
              <w:t>A</w:t>
            </w:r>
            <w:r w:rsidRPr="004B119C">
              <w:rPr>
                <w:rFonts w:cs="Arial"/>
              </w:rPr>
              <w:t>pproach</w:t>
            </w:r>
          </w:p>
        </w:tc>
      </w:tr>
      <w:tr w:rsidR="004536D7" w:rsidRPr="00A25DE1" w14:paraId="20B3C3C8" w14:textId="77777777" w:rsidTr="00696E8F">
        <w:trPr>
          <w:trHeight w:val="300"/>
        </w:trPr>
        <w:tc>
          <w:tcPr>
            <w:tcW w:w="1872" w:type="dxa"/>
            <w:noWrap/>
            <w:vAlign w:val="center"/>
          </w:tcPr>
          <w:p w14:paraId="382F9A1C" w14:textId="4161FF2C" w:rsidR="004536D7" w:rsidRPr="004B119C" w:rsidRDefault="004536D7" w:rsidP="00696E8F">
            <w:pPr>
              <w:rPr>
                <w:rFonts w:cs="Arial"/>
              </w:rPr>
            </w:pPr>
            <w:r w:rsidRPr="004B119C">
              <w:rPr>
                <w:rFonts w:cs="Arial"/>
              </w:rPr>
              <w:t>021Q0JB</w:t>
            </w:r>
          </w:p>
        </w:tc>
        <w:tc>
          <w:tcPr>
            <w:tcW w:w="7560" w:type="dxa"/>
            <w:noWrap/>
            <w:vAlign w:val="center"/>
          </w:tcPr>
          <w:p w14:paraId="1538020F" w14:textId="426AC904" w:rsidR="004536D7" w:rsidRPr="004B119C" w:rsidRDefault="004536D7" w:rsidP="00696E8F">
            <w:pPr>
              <w:rPr>
                <w:rFonts w:cs="Arial"/>
              </w:rPr>
            </w:pPr>
            <w:r w:rsidRPr="004B119C">
              <w:rPr>
                <w:rFonts w:cs="Arial"/>
              </w:rPr>
              <w:t xml:space="preserve">Bypass Right Pulmonary Artery from </w:t>
            </w:r>
            <w:r>
              <w:rPr>
                <w:rFonts w:cs="Arial"/>
              </w:rPr>
              <w:t>S</w:t>
            </w:r>
            <w:r w:rsidRPr="004B119C">
              <w:rPr>
                <w:rFonts w:cs="Arial"/>
              </w:rPr>
              <w:t>ubclavian w</w:t>
            </w:r>
            <w:r>
              <w:rPr>
                <w:rFonts w:cs="Arial"/>
              </w:rPr>
              <w:t>ith S</w:t>
            </w:r>
            <w:r w:rsidRPr="004B119C">
              <w:rPr>
                <w:rFonts w:cs="Arial"/>
              </w:rPr>
              <w:t xml:space="preserve">ynthetic </w:t>
            </w:r>
            <w:r>
              <w:rPr>
                <w:rFonts w:cs="Arial"/>
              </w:rPr>
              <w:t>S</w:t>
            </w:r>
            <w:r w:rsidRPr="004B119C">
              <w:rPr>
                <w:rFonts w:cs="Arial"/>
              </w:rPr>
              <w:t xml:space="preserve">ubstitute, </w:t>
            </w:r>
            <w:r>
              <w:rPr>
                <w:rFonts w:cs="Arial"/>
              </w:rPr>
              <w:t>O</w:t>
            </w:r>
            <w:r w:rsidRPr="004B119C">
              <w:rPr>
                <w:rFonts w:cs="Arial"/>
              </w:rPr>
              <w:t xml:space="preserve">pen </w:t>
            </w:r>
            <w:r>
              <w:rPr>
                <w:rFonts w:cs="Arial"/>
              </w:rPr>
              <w:t>A</w:t>
            </w:r>
            <w:r w:rsidRPr="004B119C">
              <w:rPr>
                <w:rFonts w:cs="Arial"/>
              </w:rPr>
              <w:t>pproach</w:t>
            </w:r>
          </w:p>
        </w:tc>
      </w:tr>
      <w:tr w:rsidR="004536D7" w:rsidRPr="00A25DE1" w14:paraId="0E9CCEE2" w14:textId="77777777" w:rsidTr="00696E8F">
        <w:trPr>
          <w:trHeight w:val="300"/>
        </w:trPr>
        <w:tc>
          <w:tcPr>
            <w:tcW w:w="1872" w:type="dxa"/>
            <w:noWrap/>
            <w:vAlign w:val="center"/>
          </w:tcPr>
          <w:p w14:paraId="6A0B5212" w14:textId="624C5B47" w:rsidR="004536D7" w:rsidRPr="004B119C" w:rsidRDefault="004536D7" w:rsidP="00696E8F">
            <w:pPr>
              <w:rPr>
                <w:rFonts w:cs="Arial"/>
              </w:rPr>
            </w:pPr>
            <w:r w:rsidRPr="004B119C">
              <w:rPr>
                <w:rFonts w:cs="Arial"/>
              </w:rPr>
              <w:t>021Q0JD</w:t>
            </w:r>
          </w:p>
        </w:tc>
        <w:tc>
          <w:tcPr>
            <w:tcW w:w="7560" w:type="dxa"/>
            <w:noWrap/>
            <w:vAlign w:val="center"/>
          </w:tcPr>
          <w:p w14:paraId="4F586EBB" w14:textId="63355F50" w:rsidR="004536D7" w:rsidRPr="004B119C" w:rsidRDefault="004536D7" w:rsidP="00696E8F">
            <w:pPr>
              <w:rPr>
                <w:rFonts w:cs="Arial"/>
              </w:rPr>
            </w:pPr>
            <w:r w:rsidRPr="004B119C">
              <w:rPr>
                <w:rFonts w:cs="Arial"/>
              </w:rPr>
              <w:t xml:space="preserve">Bypass Right Pulmonary Artery from </w:t>
            </w:r>
            <w:r>
              <w:rPr>
                <w:rFonts w:cs="Arial"/>
              </w:rPr>
              <w:t>C</w:t>
            </w:r>
            <w:r w:rsidRPr="004B119C">
              <w:rPr>
                <w:rFonts w:cs="Arial"/>
              </w:rPr>
              <w:t>arotid w</w:t>
            </w:r>
            <w:r>
              <w:rPr>
                <w:rFonts w:cs="Arial"/>
              </w:rPr>
              <w:t>ith S</w:t>
            </w:r>
            <w:r w:rsidRPr="004B119C">
              <w:rPr>
                <w:rFonts w:cs="Arial"/>
              </w:rPr>
              <w:t xml:space="preserve">ynthetic </w:t>
            </w:r>
            <w:r>
              <w:rPr>
                <w:rFonts w:cs="Arial"/>
              </w:rPr>
              <w:t>S</w:t>
            </w:r>
            <w:r w:rsidRPr="004B119C">
              <w:rPr>
                <w:rFonts w:cs="Arial"/>
              </w:rPr>
              <w:t xml:space="preserve">ubstitute, </w:t>
            </w:r>
            <w:r>
              <w:rPr>
                <w:rFonts w:cs="Arial"/>
              </w:rPr>
              <w:t>O</w:t>
            </w:r>
            <w:r w:rsidRPr="004B119C">
              <w:rPr>
                <w:rFonts w:cs="Arial"/>
              </w:rPr>
              <w:t xml:space="preserve">pen </w:t>
            </w:r>
            <w:r>
              <w:rPr>
                <w:rFonts w:cs="Arial"/>
              </w:rPr>
              <w:t>A</w:t>
            </w:r>
            <w:r w:rsidRPr="004B119C">
              <w:rPr>
                <w:rFonts w:cs="Arial"/>
              </w:rPr>
              <w:t>pproach</w:t>
            </w:r>
          </w:p>
        </w:tc>
      </w:tr>
      <w:tr w:rsidR="004536D7" w:rsidRPr="00A25DE1" w14:paraId="1F5F39FE" w14:textId="77777777" w:rsidTr="00696E8F">
        <w:trPr>
          <w:trHeight w:val="300"/>
        </w:trPr>
        <w:tc>
          <w:tcPr>
            <w:tcW w:w="1872" w:type="dxa"/>
            <w:noWrap/>
            <w:vAlign w:val="center"/>
          </w:tcPr>
          <w:p w14:paraId="710545CF" w14:textId="5225EC04" w:rsidR="004536D7" w:rsidRPr="004B119C" w:rsidRDefault="004536D7" w:rsidP="00696E8F">
            <w:pPr>
              <w:rPr>
                <w:rFonts w:cs="Arial"/>
              </w:rPr>
            </w:pPr>
            <w:r w:rsidRPr="004B119C">
              <w:rPr>
                <w:rFonts w:cs="Arial"/>
              </w:rPr>
              <w:t>021Q0KA</w:t>
            </w:r>
          </w:p>
        </w:tc>
        <w:tc>
          <w:tcPr>
            <w:tcW w:w="7560" w:type="dxa"/>
            <w:noWrap/>
            <w:vAlign w:val="center"/>
          </w:tcPr>
          <w:p w14:paraId="72541965" w14:textId="0461FBA4" w:rsidR="004536D7" w:rsidRPr="004B119C" w:rsidRDefault="004536D7" w:rsidP="00696E8F">
            <w:pPr>
              <w:rPr>
                <w:rFonts w:cs="Arial"/>
              </w:rPr>
            </w:pPr>
            <w:r w:rsidRPr="004B119C">
              <w:rPr>
                <w:rFonts w:cs="Arial"/>
              </w:rPr>
              <w:t>Bypass Right Pulmonary Artery from Innominate Artery with Nonautologous Tissue Substitute, Open Approach</w:t>
            </w:r>
          </w:p>
        </w:tc>
      </w:tr>
      <w:tr w:rsidR="004536D7" w:rsidRPr="00A25DE1" w14:paraId="6A05144B" w14:textId="77777777" w:rsidTr="00696E8F">
        <w:trPr>
          <w:trHeight w:val="300"/>
        </w:trPr>
        <w:tc>
          <w:tcPr>
            <w:tcW w:w="1872" w:type="dxa"/>
            <w:noWrap/>
            <w:vAlign w:val="center"/>
          </w:tcPr>
          <w:p w14:paraId="6F126AA3" w14:textId="0D7A7C16" w:rsidR="004536D7" w:rsidRPr="004B119C" w:rsidRDefault="004536D7" w:rsidP="00696E8F">
            <w:pPr>
              <w:rPr>
                <w:rFonts w:cs="Arial"/>
              </w:rPr>
            </w:pPr>
            <w:r w:rsidRPr="004B119C">
              <w:rPr>
                <w:rFonts w:cs="Arial"/>
              </w:rPr>
              <w:t>021Q0KB</w:t>
            </w:r>
          </w:p>
        </w:tc>
        <w:tc>
          <w:tcPr>
            <w:tcW w:w="7560" w:type="dxa"/>
            <w:noWrap/>
            <w:vAlign w:val="center"/>
          </w:tcPr>
          <w:p w14:paraId="3091F231" w14:textId="59262DBE" w:rsidR="004536D7" w:rsidRPr="004B119C" w:rsidRDefault="004536D7" w:rsidP="00696E8F">
            <w:pPr>
              <w:rPr>
                <w:rFonts w:cs="Arial"/>
              </w:rPr>
            </w:pPr>
            <w:r w:rsidRPr="004B119C">
              <w:rPr>
                <w:rFonts w:cs="Arial"/>
              </w:rPr>
              <w:t>Bypass Right Pulmonary Artery from Subclavian with Nonautologous Tissue Substitute, Open Approach</w:t>
            </w:r>
          </w:p>
        </w:tc>
      </w:tr>
      <w:tr w:rsidR="004536D7" w:rsidRPr="00A25DE1" w14:paraId="7ABB1EBD" w14:textId="77777777" w:rsidTr="00696E8F">
        <w:trPr>
          <w:trHeight w:val="300"/>
        </w:trPr>
        <w:tc>
          <w:tcPr>
            <w:tcW w:w="1872" w:type="dxa"/>
            <w:noWrap/>
            <w:vAlign w:val="center"/>
          </w:tcPr>
          <w:p w14:paraId="1AD431EF" w14:textId="603824CC" w:rsidR="004536D7" w:rsidRPr="004B119C" w:rsidRDefault="004536D7" w:rsidP="00696E8F">
            <w:pPr>
              <w:rPr>
                <w:rFonts w:cs="Arial"/>
              </w:rPr>
            </w:pPr>
            <w:r w:rsidRPr="004B119C">
              <w:rPr>
                <w:rFonts w:cs="Arial"/>
              </w:rPr>
              <w:t>021Q0KD</w:t>
            </w:r>
          </w:p>
        </w:tc>
        <w:tc>
          <w:tcPr>
            <w:tcW w:w="7560" w:type="dxa"/>
            <w:noWrap/>
            <w:vAlign w:val="center"/>
          </w:tcPr>
          <w:p w14:paraId="598C6993" w14:textId="46536105" w:rsidR="004536D7" w:rsidRPr="004B119C" w:rsidRDefault="004536D7" w:rsidP="00696E8F">
            <w:pPr>
              <w:rPr>
                <w:rFonts w:cs="Arial"/>
              </w:rPr>
            </w:pPr>
            <w:r w:rsidRPr="004B119C">
              <w:rPr>
                <w:rFonts w:cs="Arial"/>
              </w:rPr>
              <w:t>Bypass Right Pulmonary Artery from Carotid with Nonautologous Tissue Substitute, Open Approach</w:t>
            </w:r>
          </w:p>
        </w:tc>
      </w:tr>
      <w:tr w:rsidR="004536D7" w:rsidRPr="00A25DE1" w14:paraId="3D6C8068" w14:textId="77777777" w:rsidTr="00696E8F">
        <w:trPr>
          <w:trHeight w:val="300"/>
        </w:trPr>
        <w:tc>
          <w:tcPr>
            <w:tcW w:w="1872" w:type="dxa"/>
            <w:noWrap/>
            <w:vAlign w:val="center"/>
          </w:tcPr>
          <w:p w14:paraId="1C4C1D10" w14:textId="1731901B" w:rsidR="004536D7" w:rsidRPr="004B119C" w:rsidRDefault="004536D7" w:rsidP="00696E8F">
            <w:pPr>
              <w:rPr>
                <w:rFonts w:cs="Arial"/>
              </w:rPr>
            </w:pPr>
            <w:r w:rsidRPr="004B119C">
              <w:rPr>
                <w:rFonts w:cs="Arial"/>
              </w:rPr>
              <w:t xml:space="preserve">021V0ZP  </w:t>
            </w:r>
          </w:p>
        </w:tc>
        <w:tc>
          <w:tcPr>
            <w:tcW w:w="7560" w:type="dxa"/>
            <w:noWrap/>
            <w:vAlign w:val="center"/>
          </w:tcPr>
          <w:p w14:paraId="2F03BCBE" w14:textId="2A56AE78" w:rsidR="004536D7" w:rsidRPr="004B119C" w:rsidRDefault="004536D7" w:rsidP="00696E8F">
            <w:pPr>
              <w:rPr>
                <w:rFonts w:cs="Arial"/>
              </w:rPr>
            </w:pPr>
            <w:r w:rsidRPr="004B119C">
              <w:rPr>
                <w:rFonts w:cs="Arial"/>
              </w:rPr>
              <w:t xml:space="preserve">Bypass Superior Vena Cava to Pulmonary Trunk, Open Approach </w:t>
            </w:r>
          </w:p>
        </w:tc>
      </w:tr>
      <w:tr w:rsidR="004536D7" w:rsidRPr="00A25DE1" w14:paraId="5EC6CDE7" w14:textId="77777777" w:rsidTr="00696E8F">
        <w:trPr>
          <w:trHeight w:val="300"/>
        </w:trPr>
        <w:tc>
          <w:tcPr>
            <w:tcW w:w="1872" w:type="dxa"/>
            <w:noWrap/>
            <w:vAlign w:val="center"/>
          </w:tcPr>
          <w:p w14:paraId="34E1338F" w14:textId="1403DA93" w:rsidR="004536D7" w:rsidRPr="004B119C" w:rsidRDefault="004536D7" w:rsidP="00696E8F">
            <w:pPr>
              <w:rPr>
                <w:rFonts w:cs="Arial"/>
              </w:rPr>
            </w:pPr>
            <w:r w:rsidRPr="004B119C">
              <w:rPr>
                <w:rFonts w:cs="Arial"/>
              </w:rPr>
              <w:t xml:space="preserve">021V0ZQ  </w:t>
            </w:r>
          </w:p>
        </w:tc>
        <w:tc>
          <w:tcPr>
            <w:tcW w:w="7560" w:type="dxa"/>
            <w:noWrap/>
            <w:vAlign w:val="center"/>
          </w:tcPr>
          <w:p w14:paraId="3E83BBC2" w14:textId="52914EB9" w:rsidR="004536D7" w:rsidRPr="004B119C" w:rsidRDefault="004536D7" w:rsidP="00696E8F">
            <w:pPr>
              <w:rPr>
                <w:rFonts w:cs="Arial"/>
              </w:rPr>
            </w:pPr>
            <w:r w:rsidRPr="004B119C">
              <w:rPr>
                <w:rFonts w:cs="Arial"/>
              </w:rPr>
              <w:t>Bypass Superior Vena Cava to Right Pulmonary Artery, Open Approach</w:t>
            </w:r>
          </w:p>
        </w:tc>
      </w:tr>
      <w:tr w:rsidR="004536D7" w:rsidRPr="00A25DE1" w14:paraId="2711B2BE" w14:textId="77777777" w:rsidTr="00696E8F">
        <w:trPr>
          <w:trHeight w:val="300"/>
        </w:trPr>
        <w:tc>
          <w:tcPr>
            <w:tcW w:w="1872" w:type="dxa"/>
            <w:noWrap/>
            <w:vAlign w:val="center"/>
          </w:tcPr>
          <w:p w14:paraId="4CCDB7E3" w14:textId="49B7D523" w:rsidR="004536D7" w:rsidRPr="004B119C" w:rsidRDefault="004536D7" w:rsidP="00696E8F">
            <w:pPr>
              <w:rPr>
                <w:rFonts w:cs="Arial"/>
              </w:rPr>
            </w:pPr>
            <w:r w:rsidRPr="004B119C">
              <w:rPr>
                <w:rFonts w:cs="Arial"/>
              </w:rPr>
              <w:t xml:space="preserve">021V0ZR  </w:t>
            </w:r>
          </w:p>
        </w:tc>
        <w:tc>
          <w:tcPr>
            <w:tcW w:w="7560" w:type="dxa"/>
            <w:noWrap/>
            <w:vAlign w:val="center"/>
          </w:tcPr>
          <w:p w14:paraId="0B145BC8" w14:textId="25044C73" w:rsidR="004536D7" w:rsidRPr="004B119C" w:rsidRDefault="004536D7" w:rsidP="00696E8F">
            <w:pPr>
              <w:rPr>
                <w:rFonts w:cs="Arial"/>
              </w:rPr>
            </w:pPr>
            <w:r w:rsidRPr="004B119C">
              <w:rPr>
                <w:rFonts w:cs="Arial"/>
              </w:rPr>
              <w:t>Bypass Superior Vena Cava to Left Pulmonary Artery, Open Approach</w:t>
            </w:r>
          </w:p>
        </w:tc>
      </w:tr>
    </w:tbl>
    <w:p w14:paraId="664587F9" w14:textId="77777777" w:rsidR="004B119C" w:rsidRDefault="004B119C" w:rsidP="00A05F36">
      <w:pPr>
        <w:rPr>
          <w:b/>
        </w:rPr>
      </w:pPr>
    </w:p>
    <w:p w14:paraId="298A8D07" w14:textId="77777777" w:rsidR="00A05F36" w:rsidRPr="009A5185" w:rsidRDefault="00A05F36" w:rsidP="00BC1491">
      <w:pPr>
        <w:rPr>
          <w:rFonts w:cs="Arial"/>
          <w:b/>
        </w:rPr>
      </w:pPr>
    </w:p>
    <w:p w14:paraId="6AB4049C" w14:textId="77777777" w:rsidR="00ED4ABD" w:rsidRDefault="00ED4ABD">
      <w:pPr>
        <w:rPr>
          <w:rFonts w:cs="Arial"/>
          <w:b/>
          <w:i/>
          <w:snapToGrid w:val="0"/>
          <w:sz w:val="24"/>
          <w:szCs w:val="24"/>
          <w:lang w:eastAsia="ja-JP"/>
        </w:rPr>
      </w:pPr>
      <w:bookmarkStart w:id="273" w:name="_Inpatient_Surgery_Frequently"/>
      <w:bookmarkStart w:id="274" w:name="_Ref99636785"/>
      <w:bookmarkEnd w:id="273"/>
      <w:r>
        <w:br w:type="page"/>
      </w:r>
    </w:p>
    <w:p w14:paraId="2A5760ED" w14:textId="16D80481" w:rsidR="00ED4ABD" w:rsidRDefault="00ED4ABD" w:rsidP="00AB5B80">
      <w:pPr>
        <w:pStyle w:val="Heading3"/>
      </w:pPr>
      <w:bookmarkStart w:id="275" w:name="_Safe_Surgery_Checklist_2"/>
      <w:bookmarkStart w:id="276" w:name="_Ref123646841"/>
      <w:bookmarkStart w:id="277" w:name="_Toc225877715"/>
      <w:bookmarkEnd w:id="275"/>
      <w:r>
        <w:lastRenderedPageBreak/>
        <w:t>Safe Surgery Checklist for Adult and Pediatric Complex Surgery</w:t>
      </w:r>
      <w:r w:rsidR="00B078B4">
        <w:t xml:space="preserve"> Measure Specifications</w:t>
      </w:r>
      <w:bookmarkEnd w:id="274"/>
      <w:bookmarkEnd w:id="276"/>
      <w:bookmarkEnd w:id="277"/>
    </w:p>
    <w:p w14:paraId="414A054C" w14:textId="36CBE196" w:rsidR="00B66F3F" w:rsidRPr="00D51874" w:rsidRDefault="00B66F3F" w:rsidP="00B66F3F">
      <w:pPr>
        <w:rPr>
          <w:rFonts w:cs="Arial"/>
          <w:b/>
          <w:snapToGrid w:val="0"/>
          <w:color w:val="FF0000"/>
        </w:rPr>
      </w:pPr>
      <w:r>
        <w:rPr>
          <w:rFonts w:cs="Arial"/>
          <w:b/>
          <w:snapToGrid w:val="0"/>
          <w:color w:val="FF0000"/>
        </w:rPr>
        <w:br/>
      </w:r>
      <w:r w:rsidRPr="00873014">
        <w:rPr>
          <w:rFonts w:cs="Arial"/>
          <w:b/>
          <w:snapToGrid w:val="0"/>
          <w:color w:val="FF0000"/>
        </w:rPr>
        <w:t>Important Note:</w:t>
      </w:r>
      <w:r>
        <w:rPr>
          <w:rFonts w:cs="Arial"/>
          <w:b/>
          <w:snapToGrid w:val="0"/>
          <w:color w:val="FF0000"/>
        </w:rPr>
        <w:t xml:space="preserve"> </w:t>
      </w:r>
      <w:r w:rsidRPr="004F5E10">
        <w:rPr>
          <w:rFonts w:cs="Arial"/>
          <w:snapToGrid w:val="0"/>
        </w:rPr>
        <w:t xml:space="preserve">Hospitals that share a CMS Certification Number are required to report by facility. Please carefully review </w:t>
      </w:r>
      <w:hyperlink r:id="rId235" w:history="1">
        <w:r w:rsidRPr="004F5E10">
          <w:rPr>
            <w:rFonts w:cs="Arial"/>
            <w:snapToGrid w:val="0"/>
            <w:color w:val="0000FF"/>
            <w:u w:val="single"/>
          </w:rPr>
          <w:t>Leapfrog’s Multi-Campus Reporting Policy</w:t>
        </w:r>
      </w:hyperlink>
      <w:r w:rsidRPr="004F5E10">
        <w:rPr>
          <w:rFonts w:cs="Arial"/>
          <w:snapToGrid w:val="0"/>
        </w:rPr>
        <w:t>.</w:t>
      </w:r>
    </w:p>
    <w:p w14:paraId="752E1D1D" w14:textId="77777777" w:rsidR="00ED4ABD" w:rsidRPr="00273DF1" w:rsidRDefault="00ED4ABD" w:rsidP="00ED4ABD">
      <w:pPr>
        <w:rPr>
          <w:sz w:val="16"/>
          <w:szCs w:val="16"/>
        </w:rPr>
      </w:pPr>
    </w:p>
    <w:tbl>
      <w:tblPr>
        <w:tblStyle w:val="TableGrid"/>
        <w:tblW w:w="0" w:type="auto"/>
        <w:tblLook w:val="04A0" w:firstRow="1" w:lastRow="0" w:firstColumn="1" w:lastColumn="0" w:noHBand="0" w:noVBand="1"/>
      </w:tblPr>
      <w:tblGrid>
        <w:gridCol w:w="9350"/>
      </w:tblGrid>
      <w:tr w:rsidR="00ED4ABD" w14:paraId="34743234" w14:textId="77777777" w:rsidTr="00273DF1">
        <w:trPr>
          <w:trHeight w:val="288"/>
        </w:trPr>
        <w:tc>
          <w:tcPr>
            <w:tcW w:w="9350" w:type="dxa"/>
            <w:vAlign w:val="center"/>
          </w:tcPr>
          <w:p w14:paraId="051FEA82" w14:textId="218B05DC" w:rsidR="00ED4ABD" w:rsidRPr="00EA6AEE" w:rsidRDefault="00ED4ABD" w:rsidP="00C03512">
            <w:pPr>
              <w:contextualSpacing/>
            </w:pPr>
            <w:r w:rsidRPr="00EA6AEE">
              <w:rPr>
                <w:b/>
                <w:bCs/>
              </w:rPr>
              <w:t>Source</w:t>
            </w:r>
            <w:r w:rsidRPr="00EA6AEE">
              <w:t xml:space="preserve">: </w:t>
            </w:r>
            <w:r w:rsidRPr="00574A8F">
              <w:t>The Leapfrog Group</w:t>
            </w:r>
            <w:r>
              <w:t xml:space="preserve">, </w:t>
            </w:r>
            <w:hyperlink r:id="rId236" w:history="1">
              <w:r w:rsidR="00A05B85" w:rsidRPr="00A05B85">
                <w:rPr>
                  <w:rStyle w:val="Hyperlink"/>
                </w:rPr>
                <w:t>WHO Surgical Safety Checklist</w:t>
              </w:r>
            </w:hyperlink>
            <w:r w:rsidR="00A05B85" w:rsidRPr="00A05B85">
              <w:t xml:space="preserve"> and </w:t>
            </w:r>
            <w:hyperlink r:id="rId237" w:history="1">
              <w:r w:rsidR="00A05B85" w:rsidRPr="00A05B85">
                <w:rPr>
                  <w:rStyle w:val="Hyperlink"/>
                </w:rPr>
                <w:t>Implementation Manual</w:t>
              </w:r>
            </w:hyperlink>
            <w:r>
              <w:t xml:space="preserve">, </w:t>
            </w:r>
            <w:hyperlink r:id="rId238" w:history="1">
              <w:r w:rsidRPr="005D782F">
                <w:rPr>
                  <w:rStyle w:val="Hyperlink"/>
                </w:rPr>
                <w:t>AHRQ Endoscopy Checklist</w:t>
              </w:r>
            </w:hyperlink>
          </w:p>
        </w:tc>
      </w:tr>
      <w:tr w:rsidR="00ED4ABD" w14:paraId="44CFF404" w14:textId="77777777" w:rsidTr="00273DF1">
        <w:trPr>
          <w:trHeight w:val="288"/>
        </w:trPr>
        <w:tc>
          <w:tcPr>
            <w:tcW w:w="9350" w:type="dxa"/>
            <w:vAlign w:val="center"/>
          </w:tcPr>
          <w:p w14:paraId="000CDBAD" w14:textId="59531564" w:rsidR="00430AE0" w:rsidRDefault="00ED4ABD" w:rsidP="00C03512">
            <w:pPr>
              <w:contextualSpacing/>
            </w:pPr>
            <w:r w:rsidRPr="00EA6AEE">
              <w:rPr>
                <w:b/>
                <w:bCs/>
              </w:rPr>
              <w:t>Reporting Period</w:t>
            </w:r>
            <w:r>
              <w:t xml:space="preserve">: </w:t>
            </w:r>
            <w:r w:rsidR="00430AE0" w:rsidRPr="000F3D1F">
              <w:rPr>
                <w:b/>
                <w:bCs/>
              </w:rPr>
              <w:t>12 months</w:t>
            </w:r>
          </w:p>
          <w:p w14:paraId="68B6B879" w14:textId="0A646BCF" w:rsidR="00DD3592" w:rsidRPr="00EA6AEE" w:rsidRDefault="00B90CB9" w:rsidP="00C03512">
            <w:pPr>
              <w:contextualSpacing/>
            </w:pPr>
            <w:r>
              <w:t>Latest 12-month period prior to submission of this section of the Survey</w:t>
            </w:r>
          </w:p>
        </w:tc>
      </w:tr>
      <w:tr w:rsidR="00ED4ABD" w14:paraId="4E4DCD71" w14:textId="77777777" w:rsidTr="00C03512">
        <w:trPr>
          <w:trHeight w:val="2132"/>
        </w:trPr>
        <w:tc>
          <w:tcPr>
            <w:tcW w:w="9350" w:type="dxa"/>
            <w:vAlign w:val="center"/>
          </w:tcPr>
          <w:p w14:paraId="78D1132B" w14:textId="77777777" w:rsidR="00ED4ABD" w:rsidRPr="00EA6AEE" w:rsidRDefault="00ED4ABD" w:rsidP="00C03512">
            <w:pPr>
              <w:contextualSpacing/>
              <w:rPr>
                <w:b/>
                <w:bCs/>
              </w:rPr>
            </w:pPr>
            <w:r w:rsidRPr="00EA6AEE">
              <w:rPr>
                <w:b/>
                <w:bCs/>
              </w:rPr>
              <w:t>Safe Surgery Checklist Workbook (Excel)</w:t>
            </w:r>
          </w:p>
          <w:p w14:paraId="07D95109" w14:textId="77777777" w:rsidR="00ED4ABD" w:rsidRDefault="00ED4ABD" w:rsidP="00C03512">
            <w:pPr>
              <w:contextualSpacing/>
            </w:pPr>
          </w:p>
          <w:p w14:paraId="370675DA" w14:textId="286F8301" w:rsidR="00ED4ABD" w:rsidRDefault="00ED4ABD" w:rsidP="00C03512">
            <w:pPr>
              <w:contextualSpacing/>
            </w:pPr>
            <w:r>
              <w:t>To complete the data collection and respond to questions #6</w:t>
            </w:r>
            <w:r w:rsidR="00125AF9">
              <w:t>-</w:t>
            </w:r>
            <w:r w:rsidR="00DD3592">
              <w:t>9</w:t>
            </w:r>
            <w:r>
              <w:t>, hospitals should download the Safe Surgery Checklist Workbook (Excel). This workbook includes five tabs: Instructions, Section 3</w:t>
            </w:r>
            <w:r w:rsidR="00DD3592">
              <w:t>B</w:t>
            </w:r>
            <w:r>
              <w:t xml:space="preserve"> (Complex Surgery), Section 3</w:t>
            </w:r>
            <w:r w:rsidR="00DD3592">
              <w:t>B</w:t>
            </w:r>
            <w:r>
              <w:t xml:space="preserve"> – Data Entry, Section </w:t>
            </w:r>
            <w:r w:rsidR="00125AF9">
              <w:t>9</w:t>
            </w:r>
            <w:r>
              <w:t xml:space="preserve">D (Outpatient Procedures), Section </w:t>
            </w:r>
            <w:r w:rsidR="00125AF9">
              <w:t>9</w:t>
            </w:r>
            <w:r>
              <w:t>D – Data Entry. The Section 3</w:t>
            </w:r>
            <w:r w:rsidR="00DD3592">
              <w:t>B</w:t>
            </w:r>
            <w:r>
              <w:t xml:space="preserve"> tabs can be used to complete the safe surgery checklist audits for this subsection </w:t>
            </w:r>
            <w:r w:rsidR="002A41B0">
              <w:t xml:space="preserve">and </w:t>
            </w:r>
            <w:r>
              <w:t>to calculate the response for question #</w:t>
            </w:r>
            <w:r w:rsidR="00DD3592">
              <w:t>9</w:t>
            </w:r>
            <w:r>
              <w:t xml:space="preserve">. </w:t>
            </w:r>
          </w:p>
          <w:p w14:paraId="0DE3ECC9" w14:textId="77777777" w:rsidR="00ED4ABD" w:rsidRDefault="00ED4ABD" w:rsidP="00C03512">
            <w:pPr>
              <w:contextualSpacing/>
            </w:pPr>
          </w:p>
          <w:p w14:paraId="195789CA" w14:textId="1BF74553" w:rsidR="00ED4ABD" w:rsidRPr="00EA6AEE" w:rsidRDefault="00ED4ABD" w:rsidP="00C03512">
            <w:pPr>
              <w:contextualSpacing/>
            </w:pPr>
            <w:r>
              <w:t xml:space="preserve">The workbook is available on the </w:t>
            </w:r>
            <w:hyperlink r:id="rId239" w:history="1">
              <w:r w:rsidRPr="00AD5B49">
                <w:rPr>
                  <w:rStyle w:val="Hyperlink"/>
                </w:rPr>
                <w:t>Survey Materials Webpage</w:t>
              </w:r>
            </w:hyperlink>
            <w:r>
              <w:t>.</w:t>
            </w:r>
          </w:p>
        </w:tc>
      </w:tr>
      <w:tr w:rsidR="00ED4ABD" w14:paraId="6AA42FF5" w14:textId="77777777" w:rsidTr="00C03512">
        <w:trPr>
          <w:trHeight w:val="3600"/>
        </w:trPr>
        <w:tc>
          <w:tcPr>
            <w:tcW w:w="9350" w:type="dxa"/>
            <w:vAlign w:val="center"/>
          </w:tcPr>
          <w:p w14:paraId="19CF57B2" w14:textId="77777777" w:rsidR="00ED4ABD" w:rsidRDefault="00ED4ABD" w:rsidP="00C03512">
            <w:pPr>
              <w:pStyle w:val="EndnoteText"/>
              <w:rPr>
                <w:rFonts w:cs="Arial"/>
              </w:rPr>
            </w:pPr>
            <w:r w:rsidRPr="00C76D2B">
              <w:rPr>
                <w:rFonts w:cs="Arial"/>
                <w:b/>
              </w:rPr>
              <w:t>Sampling:</w:t>
            </w:r>
            <w:r w:rsidRPr="00C76D2B">
              <w:rPr>
                <w:rFonts w:cs="Arial"/>
              </w:rPr>
              <w:t xml:space="preserve"> </w:t>
            </w:r>
          </w:p>
          <w:p w14:paraId="426413DE" w14:textId="77777777" w:rsidR="00ED4ABD" w:rsidRDefault="00ED4ABD" w:rsidP="00C03512">
            <w:pPr>
              <w:pStyle w:val="EndnoteText"/>
              <w:rPr>
                <w:rFonts w:cs="Arial"/>
              </w:rPr>
            </w:pPr>
          </w:p>
          <w:p w14:paraId="145AFB13" w14:textId="79E41E81" w:rsidR="00ED4ABD" w:rsidRDefault="00ED4ABD" w:rsidP="00C03512">
            <w:pPr>
              <w:pStyle w:val="EndnoteText"/>
              <w:rPr>
                <w:rFonts w:cs="Arial"/>
              </w:rPr>
            </w:pPr>
            <w:r>
              <w:t>Hospitals</w:t>
            </w:r>
            <w:r>
              <w:rPr>
                <w:rFonts w:cs="Arial"/>
              </w:rPr>
              <w:t xml:space="preserve"> </w:t>
            </w:r>
            <w:r w:rsidR="00125AF9">
              <w:rPr>
                <w:rFonts w:cs="Arial"/>
              </w:rPr>
              <w:t>that perform procedures in both Section 3A and Section 9C</w:t>
            </w:r>
            <w:r w:rsidR="00417410">
              <w:rPr>
                <w:rFonts w:cs="Arial"/>
              </w:rPr>
              <w:t>,</w:t>
            </w:r>
            <w:r w:rsidR="00125AF9">
              <w:rPr>
                <w:rFonts w:cs="Arial"/>
              </w:rPr>
              <w:t xml:space="preserve"> </w:t>
            </w:r>
            <w:r w:rsidR="00F30CD8">
              <w:rPr>
                <w:rFonts w:cs="Arial"/>
              </w:rPr>
              <w:t>and submit both Section 3 and 9</w:t>
            </w:r>
            <w:r w:rsidR="00417410">
              <w:rPr>
                <w:rFonts w:cs="Arial"/>
              </w:rPr>
              <w:t>,</w:t>
            </w:r>
            <w:r w:rsidR="00F30CD8">
              <w:rPr>
                <w:rFonts w:cs="Arial"/>
              </w:rPr>
              <w:t xml:space="preserve"> </w:t>
            </w:r>
            <w:r>
              <w:rPr>
                <w:rFonts w:cs="Arial"/>
              </w:rPr>
              <w:t xml:space="preserve">can randomly sample 15 patients (who had one of the procedures included in Section 3A) </w:t>
            </w:r>
            <w:r w:rsidRPr="00C76D2B">
              <w:rPr>
                <w:rFonts w:cs="Arial"/>
              </w:rPr>
              <w:t xml:space="preserve">and measure and report adherence </w:t>
            </w:r>
            <w:r>
              <w:rPr>
                <w:rFonts w:cs="Arial"/>
              </w:rPr>
              <w:t xml:space="preserve">to the safe surgery checklist </w:t>
            </w:r>
            <w:r w:rsidRPr="00C76D2B">
              <w:rPr>
                <w:rFonts w:cs="Arial"/>
              </w:rPr>
              <w:t xml:space="preserve">based on that sample. </w:t>
            </w:r>
          </w:p>
          <w:p w14:paraId="099BFC6F" w14:textId="3666115E" w:rsidR="00125AF9" w:rsidRDefault="00125AF9" w:rsidP="00C03512">
            <w:pPr>
              <w:pStyle w:val="EndnoteText"/>
              <w:rPr>
                <w:rFonts w:cs="Arial"/>
              </w:rPr>
            </w:pPr>
          </w:p>
          <w:p w14:paraId="04B5035E" w14:textId="1AEC64CF" w:rsidR="00125AF9" w:rsidRDefault="00125AF9" w:rsidP="00C03512">
            <w:pPr>
              <w:pStyle w:val="EndnoteText"/>
              <w:rPr>
                <w:rFonts w:cs="Arial"/>
              </w:rPr>
            </w:pPr>
            <w:r>
              <w:rPr>
                <w:rFonts w:cs="Arial"/>
              </w:rPr>
              <w:t>Hospitals that ONLY perform the procedures in Section 3A</w:t>
            </w:r>
            <w:r w:rsidR="00E54E89">
              <w:rPr>
                <w:rFonts w:cs="Arial"/>
              </w:rPr>
              <w:t>,</w:t>
            </w:r>
            <w:r>
              <w:rPr>
                <w:rFonts w:cs="Arial"/>
              </w:rPr>
              <w:t xml:space="preserve"> </w:t>
            </w:r>
            <w:r w:rsidR="00E54E89">
              <w:rPr>
                <w:rFonts w:cs="Arial"/>
              </w:rPr>
              <w:t xml:space="preserve">or that ONLY submit Section 3, </w:t>
            </w:r>
            <w:r w:rsidR="00B405F6">
              <w:rPr>
                <w:rFonts w:cs="Arial"/>
              </w:rPr>
              <w:t xml:space="preserve">must </w:t>
            </w:r>
            <w:r>
              <w:rPr>
                <w:rFonts w:cs="Arial"/>
              </w:rPr>
              <w:t xml:space="preserve">randomly sample 30 patients (who had one of the procedures included in Section 3A) </w:t>
            </w:r>
            <w:r w:rsidRPr="00C76D2B">
              <w:rPr>
                <w:rFonts w:cs="Arial"/>
              </w:rPr>
              <w:t xml:space="preserve">and measure and report adherence </w:t>
            </w:r>
            <w:r>
              <w:rPr>
                <w:rFonts w:cs="Arial"/>
              </w:rPr>
              <w:t xml:space="preserve">to the safe surgery checklist </w:t>
            </w:r>
            <w:r w:rsidRPr="00C76D2B">
              <w:rPr>
                <w:rFonts w:cs="Arial"/>
              </w:rPr>
              <w:t>based on that sample.</w:t>
            </w:r>
          </w:p>
          <w:p w14:paraId="015ED010" w14:textId="77777777" w:rsidR="00ED4ABD" w:rsidRDefault="00ED4ABD" w:rsidP="00C03512">
            <w:pPr>
              <w:pStyle w:val="EndnoteText"/>
              <w:rPr>
                <w:rFonts w:cs="Arial"/>
              </w:rPr>
            </w:pPr>
          </w:p>
          <w:p w14:paraId="4E83B8FC" w14:textId="77777777" w:rsidR="00ED4ABD" w:rsidRDefault="00ED4ABD" w:rsidP="00C03512">
            <w:pPr>
              <w:pStyle w:val="EndnoteText"/>
              <w:rPr>
                <w:rFonts w:cs="Arial"/>
              </w:rPr>
            </w:pPr>
            <w:r w:rsidRPr="00C76D2B">
              <w:rPr>
                <w:rFonts w:cs="Arial"/>
              </w:rPr>
              <w:t xml:space="preserve">When sampling from a larger population of cases, </w:t>
            </w:r>
            <w:r>
              <w:rPr>
                <w:rFonts w:cs="Arial"/>
              </w:rPr>
              <w:t xml:space="preserve">hospitals that perform multiple procedures (e.g., bariatric surgery for weight loss, total hip replacement, total knee replacement, etc.) included in Section 3A and hospitals that perform procedures for both adult and pediatric patients (e.g., the Norwood Procedures) should obtain a representative sample (i.e., include patients who underwent different procedures and include both adult and pediatric patients, if applicable). </w:t>
            </w:r>
          </w:p>
          <w:p w14:paraId="2C5AE547" w14:textId="77777777" w:rsidR="00996235" w:rsidRDefault="00996235" w:rsidP="00C03512">
            <w:pPr>
              <w:pStyle w:val="EndnoteText"/>
              <w:rPr>
                <w:rFonts w:cs="Arial"/>
              </w:rPr>
            </w:pPr>
          </w:p>
          <w:p w14:paraId="6FD572DB" w14:textId="0D8DFFB1" w:rsidR="00996235" w:rsidRPr="00996235" w:rsidRDefault="00996235" w:rsidP="00996235">
            <w:pPr>
              <w:pStyle w:val="ListParagraph"/>
              <w:ind w:left="0"/>
              <w:rPr>
                <w:rFonts w:cs="Arial"/>
                <w:i/>
                <w:iCs/>
              </w:rPr>
            </w:pPr>
            <w:r w:rsidRPr="00895070">
              <w:rPr>
                <w:rFonts w:cs="Arial"/>
                <w:i/>
                <w:iCs/>
              </w:rPr>
              <w:t xml:space="preserve">Free-standing pediatric hospitals that perform the Norwood Procedure </w:t>
            </w:r>
            <w:r>
              <w:rPr>
                <w:rFonts w:cs="Arial"/>
                <w:i/>
                <w:iCs/>
              </w:rPr>
              <w:t xml:space="preserve">and hospitals that reported a combined total hospital volume of less than the sufficient sample for all the procedures in Section 3A </w:t>
            </w:r>
            <w:r w:rsidRPr="00895070">
              <w:rPr>
                <w:rFonts w:cs="Arial"/>
                <w:i/>
                <w:iCs/>
              </w:rPr>
              <w:t xml:space="preserve">can sample any patients that had a procedure performed under general anesthesia. </w:t>
            </w:r>
          </w:p>
        </w:tc>
      </w:tr>
      <w:tr w:rsidR="00ED4ABD" w14:paraId="4EE070E9" w14:textId="77777777" w:rsidTr="00C03512">
        <w:trPr>
          <w:trHeight w:val="2160"/>
        </w:trPr>
        <w:tc>
          <w:tcPr>
            <w:tcW w:w="9350" w:type="dxa"/>
            <w:vAlign w:val="center"/>
          </w:tcPr>
          <w:p w14:paraId="37D0BDEB" w14:textId="33615770" w:rsidR="00ED4ABD" w:rsidRPr="00A762A6" w:rsidRDefault="00ED4ABD" w:rsidP="00C03512">
            <w:pPr>
              <w:rPr>
                <w:rFonts w:cs="Arial"/>
              </w:rPr>
            </w:pPr>
            <w:r w:rsidRPr="00A762A6">
              <w:rPr>
                <w:b/>
                <w:bCs/>
              </w:rPr>
              <w:t>Question #6:</w:t>
            </w:r>
            <w:r w:rsidRPr="00A762A6">
              <w:rPr>
                <w:rFonts w:cs="Arial"/>
              </w:rPr>
              <w:t xml:space="preserve"> </w:t>
            </w:r>
            <w:r w:rsidRPr="00501726">
              <w:rPr>
                <w:rFonts w:cs="Arial"/>
                <w:b/>
                <w:bCs/>
              </w:rPr>
              <w:t xml:space="preserve">Did your hospital perform an audit (either in-person or via the medical record or other EHR data) on </w:t>
            </w:r>
            <w:r w:rsidR="00DA07D2">
              <w:rPr>
                <w:rFonts w:cs="Arial"/>
                <w:b/>
                <w:bCs/>
              </w:rPr>
              <w:t>a sufficient sample of patients</w:t>
            </w:r>
            <w:r w:rsidRPr="00501726">
              <w:rPr>
                <w:rFonts w:cs="Arial"/>
                <w:b/>
                <w:bCs/>
              </w:rPr>
              <w:t xml:space="preserve"> who underwent a procedure included in Section 3A and measure adherence to the safe surgery checklist?</w:t>
            </w:r>
            <w:r w:rsidRPr="00A762A6">
              <w:rPr>
                <w:rFonts w:cs="Arial"/>
              </w:rPr>
              <w:t xml:space="preserve"> </w:t>
            </w:r>
          </w:p>
          <w:p w14:paraId="5E12BA22" w14:textId="77777777" w:rsidR="00ED4ABD" w:rsidRPr="008A1378" w:rsidRDefault="00ED4ABD" w:rsidP="00C03512">
            <w:pPr>
              <w:rPr>
                <w:rFonts w:cs="Arial"/>
              </w:rPr>
            </w:pPr>
          </w:p>
          <w:p w14:paraId="5DEC575D" w14:textId="5C3B24A6" w:rsidR="00764EEA" w:rsidRPr="00D87C59" w:rsidRDefault="00ED4ABD" w:rsidP="00C03512">
            <w:pPr>
              <w:rPr>
                <w:rFonts w:cs="Arial"/>
              </w:rPr>
            </w:pPr>
            <w:r w:rsidRPr="008A1378">
              <w:rPr>
                <w:rFonts w:cs="Arial"/>
              </w:rPr>
              <w:t xml:space="preserve">To respond “yes” to question #6, </w:t>
            </w:r>
            <w:r>
              <w:rPr>
                <w:rFonts w:cs="Arial"/>
              </w:rPr>
              <w:t>hospitals</w:t>
            </w:r>
            <w:r w:rsidRPr="008A1378">
              <w:rPr>
                <w:rFonts w:cs="Arial"/>
              </w:rPr>
              <w:t xml:space="preserve"> must measure and document whether all the elements in questions #3, #4, and #5 were verbalized in the presence of the appropriate personnel for each sampled case.</w:t>
            </w:r>
            <w:r w:rsidRPr="008A1378">
              <w:rPr>
                <w:rFonts w:cs="Arial"/>
                <w:i/>
                <w:iCs/>
              </w:rPr>
              <w:t xml:space="preserve"> </w:t>
            </w:r>
            <w:r>
              <w:rPr>
                <w:rFonts w:cs="Arial"/>
              </w:rPr>
              <w:t>Hospitals that completed the audit should respond “yes” to this question regardless of whether the adherence to the checklist was 100%. Hospitals will report on adherence to the checklist in question #</w:t>
            </w:r>
            <w:r w:rsidR="00DD3592">
              <w:rPr>
                <w:rFonts w:cs="Arial"/>
              </w:rPr>
              <w:t>9</w:t>
            </w:r>
            <w:r>
              <w:rPr>
                <w:rFonts w:cs="Arial"/>
              </w:rPr>
              <w:t>.</w:t>
            </w:r>
          </w:p>
        </w:tc>
      </w:tr>
      <w:tr w:rsidR="00DD3592" w14:paraId="488C94A4" w14:textId="77777777" w:rsidTr="000F3D1F">
        <w:trPr>
          <w:trHeight w:val="2160"/>
        </w:trPr>
        <w:tc>
          <w:tcPr>
            <w:tcW w:w="9350" w:type="dxa"/>
          </w:tcPr>
          <w:p w14:paraId="7DC5F980" w14:textId="3625D378" w:rsidR="00DD3592" w:rsidRDefault="00DD3592" w:rsidP="00DD3592">
            <w:pPr>
              <w:rPr>
                <w:b/>
                <w:bCs/>
              </w:rPr>
            </w:pPr>
            <w:r w:rsidRPr="00232087">
              <w:rPr>
                <w:b/>
                <w:bCs/>
              </w:rPr>
              <w:t xml:space="preserve">Question #7: How many cases were </w:t>
            </w:r>
            <w:r w:rsidR="00B90CB9">
              <w:rPr>
                <w:b/>
                <w:bCs/>
              </w:rPr>
              <w:t>included in the audit from</w:t>
            </w:r>
            <w:r w:rsidRPr="00232087">
              <w:rPr>
                <w:b/>
                <w:bCs/>
              </w:rPr>
              <w:t xml:space="preserve"> question #6?</w:t>
            </w:r>
          </w:p>
          <w:p w14:paraId="5374B59B" w14:textId="77777777" w:rsidR="00DD3592" w:rsidRDefault="00DD3592" w:rsidP="00DD3592">
            <w:pPr>
              <w:rPr>
                <w:b/>
                <w:bCs/>
              </w:rPr>
            </w:pPr>
          </w:p>
          <w:p w14:paraId="65D40BDB" w14:textId="77777777" w:rsidR="00DD3592" w:rsidRDefault="00DD3592" w:rsidP="00DD3592">
            <w:pPr>
              <w:pStyle w:val="EndnoteText"/>
              <w:rPr>
                <w:rFonts w:cs="Arial"/>
              </w:rPr>
            </w:pPr>
            <w:r>
              <w:t>Hospitals</w:t>
            </w:r>
            <w:r>
              <w:rPr>
                <w:rFonts w:cs="Arial"/>
              </w:rPr>
              <w:t xml:space="preserve"> that perform procedures in both Section 3A and Section 9C, and submit both Section 3 and 9, can randomly sample 15 patients (who had one of the procedures included in Section 3A) </w:t>
            </w:r>
            <w:r w:rsidRPr="00C76D2B">
              <w:rPr>
                <w:rFonts w:cs="Arial"/>
              </w:rPr>
              <w:t xml:space="preserve">and measure and report adherence </w:t>
            </w:r>
            <w:r>
              <w:rPr>
                <w:rFonts w:cs="Arial"/>
              </w:rPr>
              <w:t xml:space="preserve">to the safe surgery checklist </w:t>
            </w:r>
            <w:r w:rsidRPr="00C76D2B">
              <w:rPr>
                <w:rFonts w:cs="Arial"/>
              </w:rPr>
              <w:t xml:space="preserve">based on that sample. </w:t>
            </w:r>
          </w:p>
          <w:p w14:paraId="12D7BE7B" w14:textId="77777777" w:rsidR="00DD3592" w:rsidRDefault="00DD3592" w:rsidP="00DD3592">
            <w:pPr>
              <w:pStyle w:val="EndnoteText"/>
              <w:rPr>
                <w:rFonts w:cs="Arial"/>
              </w:rPr>
            </w:pPr>
          </w:p>
          <w:p w14:paraId="14DB9FC2" w14:textId="3AA45E9A" w:rsidR="00DD3592" w:rsidRPr="000F3D1F" w:rsidRDefault="00DD3592" w:rsidP="000F3D1F">
            <w:pPr>
              <w:pStyle w:val="EndnoteText"/>
              <w:rPr>
                <w:rFonts w:cs="Arial"/>
              </w:rPr>
            </w:pPr>
            <w:r>
              <w:rPr>
                <w:rFonts w:cs="Arial"/>
              </w:rPr>
              <w:t xml:space="preserve">Hospitals that ONLY perform the procedures in Section 3A, or that ONLY submit Section 3, must randomly sample 30 patients (who had one of the procedures included in Section 3A) </w:t>
            </w:r>
            <w:r w:rsidRPr="00C76D2B">
              <w:rPr>
                <w:rFonts w:cs="Arial"/>
              </w:rPr>
              <w:t xml:space="preserve">and measure and report adherence </w:t>
            </w:r>
            <w:r>
              <w:rPr>
                <w:rFonts w:cs="Arial"/>
              </w:rPr>
              <w:t xml:space="preserve">to the safe surgery checklist </w:t>
            </w:r>
            <w:r w:rsidRPr="00C76D2B">
              <w:rPr>
                <w:rFonts w:cs="Arial"/>
              </w:rPr>
              <w:t>based on that sample.</w:t>
            </w:r>
          </w:p>
        </w:tc>
      </w:tr>
      <w:tr w:rsidR="00B93236" w14:paraId="102DE80F" w14:textId="77777777" w:rsidTr="000F3D1F">
        <w:trPr>
          <w:trHeight w:val="720"/>
        </w:trPr>
        <w:tc>
          <w:tcPr>
            <w:tcW w:w="9350" w:type="dxa"/>
            <w:vAlign w:val="center"/>
          </w:tcPr>
          <w:p w14:paraId="4BCFA48F" w14:textId="3106A41F" w:rsidR="00764EEA" w:rsidRDefault="00B93236" w:rsidP="00C03512">
            <w:pPr>
              <w:rPr>
                <w:b/>
                <w:bCs/>
              </w:rPr>
            </w:pPr>
            <w:r>
              <w:rPr>
                <w:b/>
                <w:bCs/>
              </w:rPr>
              <w:lastRenderedPageBreak/>
              <w:t>Question #</w:t>
            </w:r>
            <w:r w:rsidR="00DD3592">
              <w:rPr>
                <w:b/>
                <w:bCs/>
              </w:rPr>
              <w:t>8</w:t>
            </w:r>
            <w:r>
              <w:rPr>
                <w:b/>
                <w:bCs/>
              </w:rPr>
              <w:t xml:space="preserve">: </w:t>
            </w:r>
            <w:r w:rsidR="00DA07D2" w:rsidRPr="00DA07D2">
              <w:rPr>
                <w:b/>
                <w:bCs/>
              </w:rPr>
              <w:t>What method was used to perform the audit on a sufficient sample in question #6?</w:t>
            </w:r>
          </w:p>
          <w:p w14:paraId="77E8D5F1" w14:textId="77777777" w:rsidR="00764EEA" w:rsidRDefault="00764EEA" w:rsidP="00C03512">
            <w:pPr>
              <w:rPr>
                <w:b/>
                <w:bCs/>
              </w:rPr>
            </w:pPr>
          </w:p>
          <w:p w14:paraId="3A647025" w14:textId="227ACBD8" w:rsidR="00764EEA" w:rsidRDefault="00764EEA" w:rsidP="00C03512">
            <w:pPr>
              <w:rPr>
                <w:rFonts w:cs="Arial"/>
              </w:rPr>
            </w:pPr>
            <w:r>
              <w:rPr>
                <w:rFonts w:cs="Arial"/>
              </w:rPr>
              <w:t xml:space="preserve">Hospitals can </w:t>
            </w:r>
            <w:r w:rsidR="00F8443B">
              <w:rPr>
                <w:rFonts w:cs="Arial"/>
              </w:rPr>
              <w:t xml:space="preserve">only </w:t>
            </w:r>
            <w:r>
              <w:rPr>
                <w:rFonts w:cs="Arial"/>
              </w:rPr>
              <w:t xml:space="preserve">perform a retrospective audit by reviewing medical records or EHR data if adherence to the safe surgery </w:t>
            </w:r>
            <w:r w:rsidR="005E5E65">
              <w:rPr>
                <w:rFonts w:cs="Arial"/>
              </w:rPr>
              <w:t xml:space="preserve">checklist </w:t>
            </w:r>
            <w:r w:rsidR="00BA1A3F">
              <w:rPr>
                <w:rFonts w:cs="Arial"/>
              </w:rPr>
              <w:t>is clearly documented in the</w:t>
            </w:r>
            <w:r w:rsidR="00CD6871">
              <w:rPr>
                <w:rFonts w:cs="Arial"/>
              </w:rPr>
              <w:t xml:space="preserve"> medical record or </w:t>
            </w:r>
            <w:r w:rsidR="00BA1A3F">
              <w:rPr>
                <w:rFonts w:cs="Arial"/>
              </w:rPr>
              <w:t>EHR and the documentation</w:t>
            </w:r>
            <w:r w:rsidR="00CD6871">
              <w:rPr>
                <w:rFonts w:cs="Arial"/>
              </w:rPr>
              <w:t xml:space="preserve"> clearly demonstrates </w:t>
            </w:r>
            <w:r w:rsidRPr="00D87C59">
              <w:rPr>
                <w:rFonts w:cs="Arial"/>
                <w:u w:val="single"/>
              </w:rPr>
              <w:t>th</w:t>
            </w:r>
            <w:r w:rsidR="00BA1A3F">
              <w:rPr>
                <w:rFonts w:cs="Arial"/>
                <w:u w:val="single"/>
              </w:rPr>
              <w:t>at</w:t>
            </w:r>
            <w:r w:rsidRPr="00D87C59">
              <w:rPr>
                <w:rFonts w:cs="Arial"/>
                <w:u w:val="single"/>
              </w:rPr>
              <w:t xml:space="preserve"> each element</w:t>
            </w:r>
            <w:r>
              <w:rPr>
                <w:rFonts w:cs="Arial"/>
                <w:u w:val="single"/>
              </w:rPr>
              <w:t xml:space="preserve"> </w:t>
            </w:r>
            <w:r w:rsidR="00CB266F">
              <w:rPr>
                <w:rFonts w:cs="Arial"/>
                <w:u w:val="single"/>
              </w:rPr>
              <w:t xml:space="preserve">was verbalized </w:t>
            </w:r>
            <w:r>
              <w:rPr>
                <w:rFonts w:cs="Arial"/>
                <w:u w:val="single"/>
              </w:rPr>
              <w:t>in the presence of the appropriate personnel</w:t>
            </w:r>
            <w:r w:rsidR="00CD6871">
              <w:rPr>
                <w:rFonts w:cs="Arial"/>
                <w:u w:val="single"/>
              </w:rPr>
              <w:t xml:space="preserve">. </w:t>
            </w:r>
            <w:r w:rsidR="00D5777C">
              <w:rPr>
                <w:rFonts w:cs="Arial"/>
              </w:rPr>
              <w:t xml:space="preserve">If hospitals cannot clearly determine whether </w:t>
            </w:r>
            <w:r w:rsidR="00CB266F">
              <w:rPr>
                <w:rFonts w:cs="Arial"/>
              </w:rPr>
              <w:t xml:space="preserve">(a) </w:t>
            </w:r>
            <w:r w:rsidR="00D5777C">
              <w:rPr>
                <w:rFonts w:cs="Arial"/>
              </w:rPr>
              <w:t xml:space="preserve">the checklist element was verbalized </w:t>
            </w:r>
            <w:r w:rsidR="002B5D13">
              <w:rPr>
                <w:rFonts w:cs="Arial"/>
              </w:rPr>
              <w:t>and</w:t>
            </w:r>
            <w:r w:rsidR="00CB266F">
              <w:rPr>
                <w:rFonts w:cs="Arial"/>
              </w:rPr>
              <w:t xml:space="preserve"> (b)</w:t>
            </w:r>
            <w:r w:rsidR="002B5D13">
              <w:rPr>
                <w:rFonts w:cs="Arial"/>
              </w:rPr>
              <w:t xml:space="preserve"> that</w:t>
            </w:r>
            <w:r w:rsidR="00CB266F">
              <w:rPr>
                <w:rFonts w:cs="Arial"/>
              </w:rPr>
              <w:t xml:space="preserve"> </w:t>
            </w:r>
            <w:r w:rsidR="00D5777C">
              <w:rPr>
                <w:rFonts w:cs="Arial"/>
              </w:rPr>
              <w:t xml:space="preserve">the appropriate personnel </w:t>
            </w:r>
            <w:r w:rsidR="00AE41A1">
              <w:rPr>
                <w:rFonts w:cs="Arial"/>
              </w:rPr>
              <w:t xml:space="preserve">were present </w:t>
            </w:r>
            <w:r w:rsidR="00D5777C">
              <w:rPr>
                <w:rFonts w:cs="Arial"/>
              </w:rPr>
              <w:t>via a retrospective audit, an in-person observation</w:t>
            </w:r>
            <w:r w:rsidR="005E5E65">
              <w:rPr>
                <w:rFonts w:cs="Arial"/>
              </w:rPr>
              <w:t>al</w:t>
            </w:r>
            <w:r w:rsidR="00D5777C">
              <w:rPr>
                <w:rFonts w:cs="Arial"/>
              </w:rPr>
              <w:t xml:space="preserve"> audit must be completed. </w:t>
            </w:r>
          </w:p>
          <w:p w14:paraId="1F13A3FC" w14:textId="77777777" w:rsidR="00273DF1" w:rsidRDefault="00273DF1" w:rsidP="00C03512">
            <w:pPr>
              <w:rPr>
                <w:rFonts w:cs="Arial"/>
              </w:rPr>
            </w:pPr>
          </w:p>
          <w:p w14:paraId="2B81EA85" w14:textId="52CCA4FE" w:rsidR="003D4CDD" w:rsidRDefault="003D4CDD" w:rsidP="003D4CDD">
            <w:pPr>
              <w:rPr>
                <w:rFonts w:cs="Arial"/>
              </w:rPr>
            </w:pPr>
            <w:bookmarkStart w:id="278" w:name="_Hlk154648003"/>
            <w:r>
              <w:rPr>
                <w:rFonts w:cs="Arial"/>
              </w:rPr>
              <w:t xml:space="preserve">Hospitals performing in-person observational audits must do so in the latest 12 months prior to Survey submission. </w:t>
            </w:r>
          </w:p>
          <w:p w14:paraId="320EB0FB" w14:textId="77777777" w:rsidR="003D4CDD" w:rsidRDefault="003D4CDD" w:rsidP="003D4CDD">
            <w:pPr>
              <w:rPr>
                <w:rFonts w:cs="Arial"/>
              </w:rPr>
            </w:pPr>
          </w:p>
          <w:p w14:paraId="62CDE743" w14:textId="4FBD10F9" w:rsidR="004F5D53" w:rsidRPr="00C03512" w:rsidRDefault="003D4CDD" w:rsidP="003D4CDD">
            <w:pPr>
              <w:rPr>
                <w:rFonts w:cs="Arial"/>
              </w:rPr>
            </w:pPr>
            <w:r>
              <w:rPr>
                <w:rFonts w:cs="Arial"/>
              </w:rPr>
              <w:t>Hospitals performing retrospective audits must audit cases from the latest 12 months prior to Survey submission but can also review any case from Section 3A that was performed in the latest calendar year prior to Survey submission.</w:t>
            </w:r>
            <w:bookmarkEnd w:id="278"/>
          </w:p>
        </w:tc>
      </w:tr>
      <w:tr w:rsidR="00B647A1" w14:paraId="5132EA3B" w14:textId="77777777" w:rsidTr="00C03512">
        <w:trPr>
          <w:trHeight w:val="7056"/>
        </w:trPr>
        <w:tc>
          <w:tcPr>
            <w:tcW w:w="9350" w:type="dxa"/>
            <w:vAlign w:val="center"/>
          </w:tcPr>
          <w:p w14:paraId="6FAA1080" w14:textId="76973EA1" w:rsidR="00B647A1" w:rsidRDefault="00B647A1" w:rsidP="00C03512">
            <w:pPr>
              <w:contextualSpacing/>
              <w:rPr>
                <w:rFonts w:cstheme="minorHAnsi"/>
              </w:rPr>
            </w:pPr>
            <w:r w:rsidRPr="00EA6AEE">
              <w:rPr>
                <w:b/>
                <w:bCs/>
              </w:rPr>
              <w:t>Question #</w:t>
            </w:r>
            <w:r w:rsidR="00DD3592">
              <w:rPr>
                <w:b/>
                <w:bCs/>
              </w:rPr>
              <w:t>9</w:t>
            </w:r>
            <w:r w:rsidRPr="00EA6AEE">
              <w:rPr>
                <w:b/>
                <w:bCs/>
              </w:rPr>
              <w:t xml:space="preserve">: </w:t>
            </w:r>
            <w:r w:rsidRPr="00501726">
              <w:rPr>
                <w:rFonts w:cs="Arial"/>
                <w:b/>
                <w:bCs/>
              </w:rPr>
              <w:t xml:space="preserve">Based on your hospital’s audit (either in-person or via the medical record or other EHR data) on </w:t>
            </w:r>
            <w:r w:rsidR="00DA07D2">
              <w:rPr>
                <w:rFonts w:cs="Arial"/>
                <w:b/>
                <w:bCs/>
              </w:rPr>
              <w:t>a sufficient sample of patients</w:t>
            </w:r>
            <w:r w:rsidR="00B93236" w:rsidRPr="00501726">
              <w:rPr>
                <w:rFonts w:cs="Arial"/>
                <w:b/>
                <w:bCs/>
              </w:rPr>
              <w:t xml:space="preserve"> </w:t>
            </w:r>
            <w:r w:rsidRPr="00501726">
              <w:rPr>
                <w:rFonts w:cs="Arial"/>
                <w:b/>
                <w:bCs/>
              </w:rPr>
              <w:t>who underwent a procedure included in Section 3A, what was your hospital</w:t>
            </w:r>
            <w:r w:rsidR="00BE6603">
              <w:rPr>
                <w:rFonts w:cs="Arial"/>
                <w:b/>
                <w:bCs/>
              </w:rPr>
              <w:t>’</w:t>
            </w:r>
            <w:r w:rsidRPr="00501726">
              <w:rPr>
                <w:rFonts w:cs="Arial"/>
                <w:b/>
                <w:bCs/>
              </w:rPr>
              <w:t>s documented rate of adherence to the safe surgery checklist (</w:t>
            </w:r>
            <w:r>
              <w:rPr>
                <w:rFonts w:cs="Arial"/>
                <w:b/>
                <w:bCs/>
              </w:rPr>
              <w:t>i.e</w:t>
            </w:r>
            <w:r w:rsidRPr="00501726">
              <w:rPr>
                <w:rFonts w:cs="Arial"/>
                <w:b/>
                <w:bCs/>
              </w:rPr>
              <w:t>., what percentage of the sampled cases had all elements in questions #3, #4, and #5 completed)?</w:t>
            </w:r>
          </w:p>
          <w:p w14:paraId="6A47F389" w14:textId="77777777" w:rsidR="00B647A1" w:rsidRDefault="00B647A1" w:rsidP="00C03512">
            <w:pPr>
              <w:contextualSpacing/>
            </w:pPr>
          </w:p>
          <w:p w14:paraId="6556C47B" w14:textId="77777777" w:rsidR="00B647A1" w:rsidRDefault="00B647A1" w:rsidP="00C03512">
            <w:pPr>
              <w:contextualSpacing/>
            </w:pPr>
            <w:r>
              <w:t xml:space="preserve">Based on the audit completed for question #6, determine the total number of patient audits where </w:t>
            </w:r>
            <w:r w:rsidRPr="00EA6AEE">
              <w:rPr>
                <w:b/>
                <w:bCs/>
                <w:u w:val="single"/>
              </w:rPr>
              <w:t>all</w:t>
            </w:r>
            <w:r>
              <w:t xml:space="preserve"> elements of the safe surgery checklist (included in questions #3, #4, and #5) were read aloud in the presence of the appropriate personnel 1) before the induction of anesthesia, 2) before the skin incision and/or the procedure began, and 3) before the patient left the operating and/or procedure room. </w:t>
            </w:r>
          </w:p>
          <w:p w14:paraId="04FBCDFC" w14:textId="77777777" w:rsidR="00FF5E78" w:rsidRDefault="00FF5E78" w:rsidP="00C03512">
            <w:pPr>
              <w:contextualSpacing/>
            </w:pPr>
          </w:p>
          <w:p w14:paraId="780FFAAF" w14:textId="77777777" w:rsidR="00B647A1" w:rsidRPr="00EA6AEE" w:rsidRDefault="00B647A1" w:rsidP="00C03512">
            <w:pPr>
              <w:contextualSpacing/>
              <w:rPr>
                <w:b/>
                <w:bCs/>
              </w:rPr>
            </w:pPr>
            <w:r w:rsidRPr="00EA6AEE">
              <w:rPr>
                <w:b/>
                <w:bCs/>
              </w:rPr>
              <w:t>Included cases:</w:t>
            </w:r>
          </w:p>
          <w:p w14:paraId="1810F214" w14:textId="77777777" w:rsidR="00B647A1" w:rsidRDefault="00B647A1" w:rsidP="00AD309C">
            <w:pPr>
              <w:pStyle w:val="ListParagraph"/>
              <w:numPr>
                <w:ilvl w:val="0"/>
                <w:numId w:val="165"/>
              </w:numPr>
            </w:pPr>
            <w:r>
              <w:t xml:space="preserve">The patient audit shows that </w:t>
            </w:r>
            <w:r w:rsidRPr="00EA6AEE">
              <w:rPr>
                <w:b/>
                <w:bCs/>
                <w:u w:val="single"/>
              </w:rPr>
              <w:t>all</w:t>
            </w:r>
            <w:r>
              <w:t xml:space="preserve"> elements of the safe surgery checklist, at </w:t>
            </w:r>
            <w:r w:rsidRPr="00EA6AEE">
              <w:rPr>
                <w:b/>
                <w:bCs/>
                <w:u w:val="single"/>
              </w:rPr>
              <w:t>all</w:t>
            </w:r>
            <w:r>
              <w:t xml:space="preserve"> three time points, were read aloud in the presence of the appropriate personnel. </w:t>
            </w:r>
          </w:p>
          <w:p w14:paraId="5D23AF52" w14:textId="77777777" w:rsidR="00B647A1" w:rsidRDefault="00B647A1" w:rsidP="00C03512">
            <w:pPr>
              <w:contextualSpacing/>
            </w:pPr>
          </w:p>
          <w:p w14:paraId="3D09D69F" w14:textId="77777777" w:rsidR="00B647A1" w:rsidRPr="00EA6AEE" w:rsidRDefault="00B647A1" w:rsidP="00C03512">
            <w:pPr>
              <w:contextualSpacing/>
              <w:rPr>
                <w:b/>
                <w:bCs/>
              </w:rPr>
            </w:pPr>
            <w:r w:rsidRPr="00EA6AEE">
              <w:rPr>
                <w:b/>
                <w:bCs/>
              </w:rPr>
              <w:t>Excluded cases:</w:t>
            </w:r>
          </w:p>
          <w:p w14:paraId="3D7B78F0" w14:textId="77777777" w:rsidR="00B647A1" w:rsidRDefault="00B647A1" w:rsidP="00AD309C">
            <w:pPr>
              <w:pStyle w:val="ListParagraph"/>
              <w:numPr>
                <w:ilvl w:val="0"/>
                <w:numId w:val="165"/>
              </w:numPr>
            </w:pPr>
            <w:r>
              <w:t xml:space="preserve">The patient audit does </w:t>
            </w:r>
            <w:r w:rsidRPr="00EA6AEE">
              <w:rPr>
                <w:b/>
                <w:bCs/>
                <w:u w:val="single"/>
              </w:rPr>
              <w:t>not</w:t>
            </w:r>
            <w:r>
              <w:t xml:space="preserve"> demonstrate that all elements of the safe surgery checklist were read aloud in the presence of the appropriate personnel (i.e., one or more elements of the checklist were not read aloud or the appropriate personnel were not present during the checklist). </w:t>
            </w:r>
          </w:p>
          <w:p w14:paraId="44DB6D99" w14:textId="49ED3470" w:rsidR="00B647A1" w:rsidRDefault="00B647A1" w:rsidP="00AD309C">
            <w:pPr>
              <w:pStyle w:val="ListParagraph"/>
              <w:numPr>
                <w:ilvl w:val="0"/>
                <w:numId w:val="165"/>
              </w:numPr>
            </w:pPr>
            <w:r>
              <w:t xml:space="preserve">The patient audit does </w:t>
            </w:r>
            <w:r w:rsidRPr="00EA6AEE">
              <w:rPr>
                <w:b/>
                <w:bCs/>
                <w:u w:val="single"/>
              </w:rPr>
              <w:t>not</w:t>
            </w:r>
            <w:r>
              <w:t xml:space="preserve"> demonstrate that the safe surgery checklist was read aloud in the presence of the appropriate personnel at all three time points (i.e., before anesthesia, before </w:t>
            </w:r>
            <w:r w:rsidR="00844018">
              <w:t xml:space="preserve">the </w:t>
            </w:r>
            <w:r>
              <w:t xml:space="preserve">skin incision, and before the patient leaves). </w:t>
            </w:r>
          </w:p>
          <w:p w14:paraId="31085B54" w14:textId="77777777" w:rsidR="00B647A1" w:rsidRDefault="00B647A1" w:rsidP="00C03512"/>
          <w:p w14:paraId="7713E486" w14:textId="2F7C1DEE" w:rsidR="00B647A1" w:rsidRPr="00C03512" w:rsidRDefault="00B647A1" w:rsidP="00C03512">
            <w:r w:rsidRPr="00EA6AEE">
              <w:rPr>
                <w:b/>
                <w:bCs/>
              </w:rPr>
              <w:t>Important Note</w:t>
            </w:r>
            <w:r>
              <w:t>: If a Safe Surgery Checklist element includes the qualifier “if applicable</w:t>
            </w:r>
            <w:r w:rsidR="008B36D5">
              <w:t>,</w:t>
            </w:r>
            <w:r>
              <w:t>” hospitals should determine if that element of the checklist was applicable to the patient and procedure being performed. If the element was determined to be “not applicable” to the patient and procedure, it does not count against the total adherence. For example, if your hospital performed a bariatric surgery for weight loss, the availability of a device on-site would not be applicable. Therefore, when completing the Safe Surgery Checklist Workbook for this patient, indicate N/A for that element (device on-site) and your hospital would be able to count that case as adherent.</w:t>
            </w:r>
          </w:p>
        </w:tc>
      </w:tr>
    </w:tbl>
    <w:p w14:paraId="092D935A" w14:textId="77777777" w:rsidR="00ED4ABD" w:rsidRPr="00501726" w:rsidRDefault="00ED4ABD" w:rsidP="00ED4ABD">
      <w:pPr>
        <w:rPr>
          <w:lang w:eastAsia="ja-JP"/>
        </w:rPr>
      </w:pPr>
    </w:p>
    <w:p w14:paraId="54FD9E89" w14:textId="307FC8C5" w:rsidR="00BC3C78" w:rsidRDefault="00B93236" w:rsidP="00A879E1">
      <w:r w:rsidRPr="00EE35F8">
        <w:rPr>
          <w:lang w:eastAsia="ja-JP"/>
        </w:rPr>
        <w:t xml:space="preserve">See </w:t>
      </w:r>
      <w:hyperlink w:anchor="_Safe_Surgery_Checklist_1" w:history="1">
        <w:r w:rsidRPr="00B93236">
          <w:rPr>
            <w:rStyle w:val="Hyperlink"/>
            <w:lang w:eastAsia="ja-JP"/>
          </w:rPr>
          <w:t>FAQs</w:t>
        </w:r>
      </w:hyperlink>
      <w:r w:rsidRPr="00EE35F8">
        <w:rPr>
          <w:lang w:eastAsia="ja-JP"/>
        </w:rPr>
        <w:t xml:space="preserve"> for additional information about responding to the questions in this section</w:t>
      </w:r>
      <w:r>
        <w:rPr>
          <w:lang w:eastAsia="ja-JP"/>
        </w:rPr>
        <w:t>.</w:t>
      </w:r>
      <w:r w:rsidR="00762789" w:rsidRPr="009A5185">
        <w:br w:type="page"/>
      </w:r>
      <w:bookmarkEnd w:id="259"/>
    </w:p>
    <w:p w14:paraId="435101A3" w14:textId="1A7965E4" w:rsidR="00A4191D" w:rsidRPr="009A5185" w:rsidRDefault="00263AE4" w:rsidP="00CF5A6E">
      <w:pPr>
        <w:pStyle w:val="Heading2"/>
      </w:pPr>
      <w:bookmarkStart w:id="279" w:name="_Adult_and_Pediatric"/>
      <w:bookmarkStart w:id="280" w:name="_Toc225877716"/>
      <w:bookmarkEnd w:id="279"/>
      <w:r>
        <w:lastRenderedPageBreak/>
        <w:t xml:space="preserve">Section 3: </w:t>
      </w:r>
      <w:r w:rsidR="00771F66">
        <w:t xml:space="preserve">Adult and Pediatric </w:t>
      </w:r>
      <w:r w:rsidR="00EA2AB4">
        <w:t>Complex</w:t>
      </w:r>
      <w:r w:rsidR="00A4191D" w:rsidRPr="009A5185">
        <w:t xml:space="preserve"> Surgery Frequently Asked Questions (FAQs)</w:t>
      </w:r>
      <w:bookmarkEnd w:id="280"/>
    </w:p>
    <w:p w14:paraId="15B8979E" w14:textId="77777777" w:rsidR="0057059D" w:rsidRPr="009A5185" w:rsidRDefault="0057059D" w:rsidP="0057059D">
      <w:pPr>
        <w:rPr>
          <w:rFonts w:cs="Arial"/>
          <w:lang w:eastAsia="ja-JP"/>
        </w:rPr>
      </w:pPr>
    </w:p>
    <w:p w14:paraId="659D5439" w14:textId="77777777" w:rsidR="00592DDC" w:rsidRPr="009A5185" w:rsidRDefault="00592DDC" w:rsidP="00AB5B80">
      <w:pPr>
        <w:pStyle w:val="Heading3"/>
      </w:pPr>
      <w:bookmarkStart w:id="281" w:name="_Toc225877717"/>
      <w:r w:rsidRPr="009A5185">
        <w:t>General Questions</w:t>
      </w:r>
      <w:bookmarkEnd w:id="281"/>
    </w:p>
    <w:p w14:paraId="5FB50804" w14:textId="77777777" w:rsidR="00592DDC" w:rsidRPr="009A5185" w:rsidRDefault="00592DDC" w:rsidP="0057059D">
      <w:pPr>
        <w:rPr>
          <w:rFonts w:cs="Arial"/>
          <w:b/>
          <w:i/>
          <w:sz w:val="24"/>
          <w:lang w:eastAsia="ja-JP"/>
        </w:rPr>
      </w:pPr>
    </w:p>
    <w:p w14:paraId="3F015E37" w14:textId="77777777" w:rsidR="00592DDC" w:rsidRPr="009A5185" w:rsidRDefault="00592DDC" w:rsidP="00AD309C">
      <w:pPr>
        <w:pStyle w:val="ListParagraph"/>
        <w:numPr>
          <w:ilvl w:val="0"/>
          <w:numId w:val="55"/>
        </w:numPr>
        <w:rPr>
          <w:rFonts w:cs="Arial"/>
          <w:b/>
        </w:rPr>
      </w:pPr>
      <w:r w:rsidRPr="009A5185">
        <w:rPr>
          <w:rFonts w:cs="Arial"/>
          <w:b/>
        </w:rPr>
        <w:t>Does this section apply to critical access hospitals?</w:t>
      </w:r>
    </w:p>
    <w:p w14:paraId="328838E0" w14:textId="177E0835" w:rsidR="00592DDC" w:rsidRDefault="00CF124C" w:rsidP="00592DDC">
      <w:pPr>
        <w:pStyle w:val="ListParagraph"/>
        <w:rPr>
          <w:rFonts w:cs="Arial"/>
        </w:rPr>
      </w:pPr>
      <w:r>
        <w:rPr>
          <w:rFonts w:cs="Arial"/>
        </w:rPr>
        <w:t xml:space="preserve">Yes. </w:t>
      </w:r>
      <w:r w:rsidR="00592DDC" w:rsidRPr="009A5185">
        <w:rPr>
          <w:rFonts w:cs="Arial"/>
        </w:rPr>
        <w:t xml:space="preserve">In general, critical access hospitals do not perform </w:t>
      </w:r>
      <w:r>
        <w:rPr>
          <w:rFonts w:cs="Arial"/>
        </w:rPr>
        <w:t xml:space="preserve">many of the </w:t>
      </w:r>
      <w:r w:rsidR="00592DDC" w:rsidRPr="009A5185">
        <w:rPr>
          <w:rFonts w:cs="Arial"/>
        </w:rPr>
        <w:t>procedures that are included in this section, but if the critical access hospital does perform the procedure, the standards still apply.</w:t>
      </w:r>
    </w:p>
    <w:p w14:paraId="590D8A8E" w14:textId="7789575A" w:rsidR="00B943FD" w:rsidRDefault="00B943FD" w:rsidP="00592DDC">
      <w:pPr>
        <w:pStyle w:val="ListParagraph"/>
        <w:rPr>
          <w:rFonts w:cs="Arial"/>
        </w:rPr>
      </w:pPr>
    </w:p>
    <w:p w14:paraId="1BE68F3A" w14:textId="748D021F" w:rsidR="00B943FD" w:rsidRPr="00B943FD" w:rsidRDefault="00B943FD" w:rsidP="00AD309C">
      <w:pPr>
        <w:pStyle w:val="ListParagraph"/>
        <w:numPr>
          <w:ilvl w:val="0"/>
          <w:numId w:val="55"/>
        </w:numPr>
        <w:rPr>
          <w:rFonts w:cs="Arial"/>
        </w:rPr>
      </w:pPr>
      <w:r w:rsidRPr="00B943FD">
        <w:rPr>
          <w:rFonts w:cs="Arial"/>
          <w:b/>
        </w:rPr>
        <w:t xml:space="preserve">Should we select a procedure </w:t>
      </w:r>
      <w:r>
        <w:rPr>
          <w:rFonts w:cs="Arial"/>
          <w:b/>
        </w:rPr>
        <w:t xml:space="preserve">from the list </w:t>
      </w:r>
      <w:r w:rsidRPr="00B943FD">
        <w:rPr>
          <w:rFonts w:cs="Arial"/>
          <w:b/>
        </w:rPr>
        <w:t>in Section 3A question #2 if we only perform th</w:t>
      </w:r>
      <w:r>
        <w:rPr>
          <w:rFonts w:cs="Arial"/>
          <w:b/>
        </w:rPr>
        <w:t>at</w:t>
      </w:r>
      <w:r w:rsidRPr="00B943FD">
        <w:rPr>
          <w:rFonts w:cs="Arial"/>
          <w:b/>
        </w:rPr>
        <w:t xml:space="preserve"> procedure on an </w:t>
      </w:r>
      <w:r w:rsidRPr="00A23036">
        <w:rPr>
          <w:rFonts w:cs="Arial"/>
          <w:b/>
          <w:u w:val="single"/>
        </w:rPr>
        <w:t>outpatient basis</w:t>
      </w:r>
      <w:r w:rsidRPr="00B943FD">
        <w:rPr>
          <w:rFonts w:cs="Arial"/>
          <w:b/>
        </w:rPr>
        <w:t xml:space="preserve">? </w:t>
      </w:r>
    </w:p>
    <w:p w14:paraId="04AB0ABE" w14:textId="1CE8224A" w:rsidR="00B943FD" w:rsidRPr="00B943FD" w:rsidRDefault="00B943FD" w:rsidP="00B943FD">
      <w:pPr>
        <w:pStyle w:val="ListParagraph"/>
        <w:rPr>
          <w:rFonts w:cs="Arial"/>
        </w:rPr>
      </w:pPr>
      <w:r>
        <w:rPr>
          <w:rFonts w:cs="Arial"/>
        </w:rPr>
        <w:t xml:space="preserve">Hospitals that </w:t>
      </w:r>
      <w:r w:rsidRPr="00B943FD">
        <w:rPr>
          <w:rFonts w:cs="Arial"/>
        </w:rPr>
        <w:t>only perform total hip replacements</w:t>
      </w:r>
      <w:r w:rsidR="00D9799A">
        <w:rPr>
          <w:rFonts w:cs="Arial"/>
        </w:rPr>
        <w:t>,</w:t>
      </w:r>
      <w:r w:rsidRPr="00B943FD">
        <w:rPr>
          <w:rFonts w:cs="Arial"/>
        </w:rPr>
        <w:t xml:space="preserve"> total knee replacements</w:t>
      </w:r>
      <w:r w:rsidR="00D9799A">
        <w:rPr>
          <w:rFonts w:cs="Arial"/>
        </w:rPr>
        <w:t xml:space="preserve">, </w:t>
      </w:r>
      <w:r w:rsidR="00D9799A" w:rsidRPr="00B943FD">
        <w:rPr>
          <w:rFonts w:cs="Arial"/>
        </w:rPr>
        <w:t>and/or</w:t>
      </w:r>
      <w:r w:rsidR="00D9799A">
        <w:rPr>
          <w:rFonts w:cs="Arial"/>
        </w:rPr>
        <w:t xml:space="preserve"> bariatric surgery for weight loss</w:t>
      </w:r>
      <w:r w:rsidRPr="00B943FD">
        <w:rPr>
          <w:rFonts w:cs="Arial"/>
        </w:rPr>
        <w:t xml:space="preserve"> on an outpatient basis should select and report on those procedures in Section 3A</w:t>
      </w:r>
      <w:r>
        <w:rPr>
          <w:rFonts w:cs="Arial"/>
        </w:rPr>
        <w:t>.</w:t>
      </w:r>
    </w:p>
    <w:p w14:paraId="30C7DDB6" w14:textId="77777777" w:rsidR="00B943FD" w:rsidRDefault="00B943FD" w:rsidP="00B943FD">
      <w:pPr>
        <w:pStyle w:val="ListParagraph"/>
        <w:rPr>
          <w:rFonts w:cs="Arial"/>
        </w:rPr>
      </w:pPr>
    </w:p>
    <w:p w14:paraId="2DD3CFED" w14:textId="6B76B655" w:rsidR="00B943FD" w:rsidRDefault="00B943FD" w:rsidP="00B943FD">
      <w:pPr>
        <w:pStyle w:val="ListParagraph"/>
        <w:rPr>
          <w:rFonts w:cs="Arial"/>
        </w:rPr>
      </w:pPr>
      <w:r>
        <w:rPr>
          <w:rFonts w:cs="Arial"/>
        </w:rPr>
        <w:t xml:space="preserve">Otherwise, hospitals should </w:t>
      </w:r>
      <w:r w:rsidRPr="00B943FD">
        <w:rPr>
          <w:rFonts w:cs="Arial"/>
          <w:u w:val="single"/>
        </w:rPr>
        <w:t>not</w:t>
      </w:r>
      <w:r>
        <w:rPr>
          <w:rFonts w:cs="Arial"/>
        </w:rPr>
        <w:t xml:space="preserve"> select and report on the remaining </w:t>
      </w:r>
      <w:r w:rsidR="00D9799A">
        <w:rPr>
          <w:rFonts w:cs="Arial"/>
        </w:rPr>
        <w:t>eight</w:t>
      </w:r>
      <w:r>
        <w:rPr>
          <w:rFonts w:cs="Arial"/>
        </w:rPr>
        <w:t xml:space="preserve"> procedures if the procedures are always </w:t>
      </w:r>
      <w:r w:rsidRPr="00A21E8A">
        <w:rPr>
          <w:rFonts w:cs="Arial"/>
          <w:u w:val="single"/>
        </w:rPr>
        <w:t>scheduled with the intention of the patient being released on the same day</w:t>
      </w:r>
      <w:r w:rsidRPr="00B943FD">
        <w:rPr>
          <w:rFonts w:cs="Arial"/>
        </w:rPr>
        <w:t xml:space="preserve">. </w:t>
      </w:r>
    </w:p>
    <w:p w14:paraId="740D6BBD" w14:textId="77777777" w:rsidR="00B943FD" w:rsidRDefault="00B943FD" w:rsidP="00B943FD">
      <w:pPr>
        <w:pStyle w:val="ListParagraph"/>
        <w:rPr>
          <w:rFonts w:cs="Arial"/>
        </w:rPr>
      </w:pPr>
    </w:p>
    <w:p w14:paraId="6AE91BDE" w14:textId="0309D26A" w:rsidR="00B943FD" w:rsidRDefault="00B943FD" w:rsidP="00B943FD">
      <w:pPr>
        <w:pStyle w:val="ListParagraph"/>
        <w:rPr>
          <w:rFonts w:cs="Arial"/>
        </w:rPr>
      </w:pPr>
      <w:r w:rsidRPr="00A21E8A">
        <w:rPr>
          <w:rFonts w:cs="Arial"/>
        </w:rPr>
        <w:t xml:space="preserve">If some of the procedures are scheduled with the intention of the patient being admitted and staying in the hospital overnight, the hospital should report on performing the procedure in question #2 and then ONLY report on the </w:t>
      </w:r>
      <w:r w:rsidR="00136720">
        <w:rPr>
          <w:rFonts w:cs="Arial"/>
        </w:rPr>
        <w:t xml:space="preserve">total number of </w:t>
      </w:r>
      <w:r w:rsidRPr="00A21E8A">
        <w:rPr>
          <w:rFonts w:cs="Arial"/>
        </w:rPr>
        <w:t>patients discharged following an inpatient stay.</w:t>
      </w:r>
    </w:p>
    <w:p w14:paraId="2AD9E30F" w14:textId="03E872EC" w:rsidR="00FE24AD" w:rsidRDefault="00FE24AD" w:rsidP="00B943FD">
      <w:pPr>
        <w:pStyle w:val="ListParagraph"/>
        <w:rPr>
          <w:rFonts w:cs="Arial"/>
        </w:rPr>
      </w:pPr>
    </w:p>
    <w:p w14:paraId="5ACACC22" w14:textId="7023BE27" w:rsidR="00FE24AD" w:rsidRDefault="005572A9" w:rsidP="00AD309C">
      <w:pPr>
        <w:pStyle w:val="ListParagraph"/>
        <w:numPr>
          <w:ilvl w:val="0"/>
          <w:numId w:val="55"/>
        </w:numPr>
        <w:rPr>
          <w:rFonts w:cs="Arial"/>
          <w:b/>
        </w:rPr>
      </w:pPr>
      <w:r>
        <w:rPr>
          <w:rFonts w:cs="Arial"/>
          <w:b/>
        </w:rPr>
        <w:t xml:space="preserve">My hospital has a </w:t>
      </w:r>
      <w:r w:rsidR="00FE24AD" w:rsidRPr="00764343">
        <w:rPr>
          <w:rFonts w:cs="Arial"/>
          <w:b/>
        </w:rPr>
        <w:t xml:space="preserve">tumor center that </w:t>
      </w:r>
      <w:r w:rsidR="00FE24AD" w:rsidRPr="002B1597">
        <w:rPr>
          <w:rFonts w:cs="Arial"/>
          <w:b/>
          <w:u w:val="single"/>
        </w:rPr>
        <w:t>only</w:t>
      </w:r>
      <w:r w:rsidR="00FE24AD" w:rsidRPr="00764343">
        <w:rPr>
          <w:rFonts w:cs="Arial"/>
          <w:b/>
        </w:rPr>
        <w:t xml:space="preserve"> perform</w:t>
      </w:r>
      <w:r>
        <w:rPr>
          <w:rFonts w:cs="Arial"/>
          <w:b/>
        </w:rPr>
        <w:t>s</w:t>
      </w:r>
      <w:r w:rsidR="00FE24AD" w:rsidRPr="00764343">
        <w:rPr>
          <w:rFonts w:cs="Arial"/>
          <w:b/>
        </w:rPr>
        <w:t xml:space="preserve"> </w:t>
      </w:r>
      <w:r>
        <w:rPr>
          <w:rFonts w:cs="Arial"/>
          <w:b/>
        </w:rPr>
        <w:t>t</w:t>
      </w:r>
      <w:r w:rsidR="00FE24AD">
        <w:rPr>
          <w:rFonts w:cs="Arial"/>
          <w:b/>
        </w:rPr>
        <w:t xml:space="preserve">otal </w:t>
      </w:r>
      <w:r>
        <w:rPr>
          <w:rFonts w:cs="Arial"/>
          <w:b/>
        </w:rPr>
        <w:t>h</w:t>
      </w:r>
      <w:r w:rsidR="00FE24AD">
        <w:rPr>
          <w:rFonts w:cs="Arial"/>
          <w:b/>
        </w:rPr>
        <w:t xml:space="preserve">ip </w:t>
      </w:r>
      <w:r w:rsidR="002B1597">
        <w:rPr>
          <w:rFonts w:cs="Arial"/>
          <w:b/>
        </w:rPr>
        <w:t xml:space="preserve">replacements </w:t>
      </w:r>
      <w:r w:rsidR="00FE24AD">
        <w:rPr>
          <w:rFonts w:cs="Arial"/>
          <w:b/>
        </w:rPr>
        <w:t xml:space="preserve">and </w:t>
      </w:r>
      <w:r>
        <w:rPr>
          <w:rFonts w:cs="Arial"/>
          <w:b/>
        </w:rPr>
        <w:t>t</w:t>
      </w:r>
      <w:r w:rsidR="00FE24AD">
        <w:rPr>
          <w:rFonts w:cs="Arial"/>
          <w:b/>
        </w:rPr>
        <w:t xml:space="preserve">otal </w:t>
      </w:r>
      <w:r>
        <w:rPr>
          <w:rFonts w:cs="Arial"/>
          <w:b/>
        </w:rPr>
        <w:t>k</w:t>
      </w:r>
      <w:r w:rsidR="00FE24AD">
        <w:rPr>
          <w:rFonts w:cs="Arial"/>
          <w:b/>
        </w:rPr>
        <w:t xml:space="preserve">nee </w:t>
      </w:r>
      <w:r>
        <w:rPr>
          <w:rFonts w:cs="Arial"/>
          <w:b/>
        </w:rPr>
        <w:t>r</w:t>
      </w:r>
      <w:r w:rsidR="00FE24AD">
        <w:rPr>
          <w:rFonts w:cs="Arial"/>
          <w:b/>
        </w:rPr>
        <w:t xml:space="preserve">eplacements </w:t>
      </w:r>
      <w:r w:rsidR="00FE24AD" w:rsidRPr="00764343">
        <w:rPr>
          <w:rFonts w:cs="Arial"/>
          <w:b/>
        </w:rPr>
        <w:t xml:space="preserve">as they come up during </w:t>
      </w:r>
      <w:r w:rsidR="00FE24AD">
        <w:rPr>
          <w:rFonts w:cs="Arial"/>
          <w:b/>
        </w:rPr>
        <w:t xml:space="preserve">a tumor removal </w:t>
      </w:r>
      <w:r w:rsidR="00FE24AD" w:rsidRPr="00764343">
        <w:rPr>
          <w:rFonts w:cs="Arial"/>
          <w:b/>
        </w:rPr>
        <w:t xml:space="preserve">surgery, </w:t>
      </w:r>
      <w:r>
        <w:rPr>
          <w:rFonts w:cs="Arial"/>
          <w:b/>
        </w:rPr>
        <w:t xml:space="preserve">should we select these procedures from the list in Section 3A question #2? </w:t>
      </w:r>
    </w:p>
    <w:p w14:paraId="3D75191D" w14:textId="521A02DF" w:rsidR="00C25560" w:rsidRPr="00E1411B" w:rsidRDefault="00FE24AD" w:rsidP="00E1411B">
      <w:pPr>
        <w:pStyle w:val="ListParagraph"/>
        <w:rPr>
          <w:rFonts w:cs="Arial"/>
          <w:bCs/>
        </w:rPr>
      </w:pPr>
      <w:r w:rsidRPr="00764343">
        <w:rPr>
          <w:rFonts w:cs="Arial"/>
          <w:bCs/>
        </w:rPr>
        <w:t xml:space="preserve">If your hospital has a tumor center where orthopedic tumor surgeries are performed and the ONLY total hip </w:t>
      </w:r>
      <w:r w:rsidR="002B1597">
        <w:rPr>
          <w:rFonts w:cs="Arial"/>
          <w:bCs/>
        </w:rPr>
        <w:t xml:space="preserve">replacement </w:t>
      </w:r>
      <w:r w:rsidRPr="00764343">
        <w:rPr>
          <w:rFonts w:cs="Arial"/>
          <w:bCs/>
        </w:rPr>
        <w:t xml:space="preserve">and/or total knee </w:t>
      </w:r>
      <w:r w:rsidR="002B1597">
        <w:rPr>
          <w:rFonts w:cs="Arial"/>
          <w:bCs/>
        </w:rPr>
        <w:t xml:space="preserve">replacement </w:t>
      </w:r>
      <w:r w:rsidRPr="00764343">
        <w:rPr>
          <w:rFonts w:cs="Arial"/>
          <w:bCs/>
        </w:rPr>
        <w:t xml:space="preserve">procedures ever done at that hospital are for the treatment of the tumor, </w:t>
      </w:r>
      <w:r>
        <w:rPr>
          <w:rFonts w:cs="Arial"/>
          <w:bCs/>
        </w:rPr>
        <w:t>you</w:t>
      </w:r>
      <w:r w:rsidRPr="00764343">
        <w:rPr>
          <w:rFonts w:cs="Arial"/>
          <w:bCs/>
        </w:rPr>
        <w:t xml:space="preserve"> should </w:t>
      </w:r>
      <w:r w:rsidRPr="0077134A">
        <w:rPr>
          <w:rFonts w:cs="Arial"/>
          <w:bCs/>
          <w:u w:val="single"/>
        </w:rPr>
        <w:t>not</w:t>
      </w:r>
      <w:r w:rsidRPr="00764343">
        <w:rPr>
          <w:rFonts w:cs="Arial"/>
          <w:bCs/>
        </w:rPr>
        <w:t xml:space="preserve"> </w:t>
      </w:r>
      <w:r w:rsidR="00667BEE">
        <w:rPr>
          <w:rFonts w:cs="Arial"/>
          <w:bCs/>
        </w:rPr>
        <w:t xml:space="preserve">select and report on </w:t>
      </w:r>
      <w:r w:rsidRPr="00764343">
        <w:rPr>
          <w:rFonts w:cs="Arial"/>
          <w:bCs/>
        </w:rPr>
        <w:t xml:space="preserve">total hip </w:t>
      </w:r>
      <w:r w:rsidR="00667BEE">
        <w:rPr>
          <w:rFonts w:cs="Arial"/>
          <w:bCs/>
        </w:rPr>
        <w:t xml:space="preserve">replacements </w:t>
      </w:r>
      <w:r w:rsidRPr="00764343">
        <w:rPr>
          <w:rFonts w:cs="Arial"/>
          <w:bCs/>
        </w:rPr>
        <w:t>or total knee</w:t>
      </w:r>
      <w:r w:rsidR="00667BEE">
        <w:rPr>
          <w:rFonts w:cs="Arial"/>
          <w:bCs/>
        </w:rPr>
        <w:t xml:space="preserve"> replacements in Section 3A. </w:t>
      </w:r>
      <w:bookmarkStart w:id="282" w:name="Surg_Board"/>
      <w:bookmarkEnd w:id="282"/>
    </w:p>
    <w:p w14:paraId="48347CD6" w14:textId="77777777" w:rsidR="00592DDC" w:rsidRPr="009A5185" w:rsidRDefault="00592DDC" w:rsidP="0077134A">
      <w:pPr>
        <w:rPr>
          <w:lang w:eastAsia="ja-JP"/>
        </w:rPr>
      </w:pPr>
    </w:p>
    <w:p w14:paraId="20A60991" w14:textId="7A189E20" w:rsidR="00592DDC" w:rsidRPr="009A5185" w:rsidRDefault="00592DDC" w:rsidP="00AB5B80">
      <w:pPr>
        <w:pStyle w:val="Heading3"/>
      </w:pPr>
      <w:bookmarkStart w:id="283" w:name="_Toc225877718"/>
      <w:r w:rsidRPr="009A5185">
        <w:t>Hospital Volume</w:t>
      </w:r>
      <w:r w:rsidR="00B078B4">
        <w:t xml:space="preserve"> FAQs</w:t>
      </w:r>
      <w:bookmarkEnd w:id="283"/>
    </w:p>
    <w:p w14:paraId="1CC9C1C4" w14:textId="77777777" w:rsidR="00B45820" w:rsidRPr="009A5185" w:rsidRDefault="00B45820">
      <w:pPr>
        <w:rPr>
          <w:rFonts w:cs="Arial"/>
        </w:rPr>
      </w:pPr>
    </w:p>
    <w:p w14:paraId="748EAE7B" w14:textId="77777777" w:rsidR="008B77CB" w:rsidRPr="008B77CB" w:rsidRDefault="008B77CB" w:rsidP="00AD309C">
      <w:pPr>
        <w:pStyle w:val="ListParagraph"/>
        <w:numPr>
          <w:ilvl w:val="0"/>
          <w:numId w:val="55"/>
        </w:numPr>
        <w:rPr>
          <w:rFonts w:cs="Arial"/>
          <w:b/>
          <w:bCs/>
        </w:rPr>
      </w:pPr>
      <w:r w:rsidRPr="008B77CB">
        <w:rPr>
          <w:rFonts w:cs="Arial"/>
          <w:b/>
          <w:bCs/>
        </w:rPr>
        <w:t>How should hospitals calculate volume using a 24-month annual average?</w:t>
      </w:r>
    </w:p>
    <w:p w14:paraId="78F18575" w14:textId="49009187" w:rsidR="008B77CB" w:rsidRPr="008B77CB" w:rsidRDefault="008B77CB" w:rsidP="008B77CB">
      <w:pPr>
        <w:pStyle w:val="ListParagraph"/>
        <w:rPr>
          <w:rFonts w:cs="Arial"/>
        </w:rPr>
      </w:pPr>
      <w:r w:rsidRPr="008B77CB">
        <w:rPr>
          <w:rFonts w:cs="Arial"/>
        </w:rPr>
        <w:t>To report on a 24-month annual average, calculate the total volume over the past 24 months, and then divide by 2 (i.e., the volume of year one plus the volume of year 2 divided by two equals the 24-month annual average).</w:t>
      </w:r>
      <w:r>
        <w:rPr>
          <w:rFonts w:cs="Arial"/>
        </w:rPr>
        <w:br/>
      </w:r>
    </w:p>
    <w:p w14:paraId="5B513268" w14:textId="237FCD3E" w:rsidR="00FE24AD" w:rsidRPr="00FE24AD" w:rsidRDefault="00FE24AD" w:rsidP="00AD309C">
      <w:pPr>
        <w:pStyle w:val="ListParagraph"/>
        <w:numPr>
          <w:ilvl w:val="0"/>
          <w:numId w:val="55"/>
        </w:numPr>
        <w:rPr>
          <w:rFonts w:cs="Arial"/>
        </w:rPr>
      </w:pPr>
      <w:r w:rsidRPr="00FE24AD">
        <w:rPr>
          <w:rFonts w:cs="Arial"/>
          <w:b/>
        </w:rPr>
        <w:t>Can we count patients who have had one of the procedures listed in Section 3A in combination with another procedure not listed in Section 3A?</w:t>
      </w:r>
    </w:p>
    <w:p w14:paraId="5507B591" w14:textId="627AE1C9" w:rsidR="00FE24AD" w:rsidRDefault="00FE24AD" w:rsidP="00FE24AD">
      <w:pPr>
        <w:pStyle w:val="ListParagraph"/>
        <w:rPr>
          <w:rFonts w:cs="Arial"/>
        </w:rPr>
      </w:pPr>
      <w:r w:rsidRPr="00AA12E2">
        <w:rPr>
          <w:rFonts w:cs="Arial"/>
        </w:rPr>
        <w:t xml:space="preserve">Yes, hospitals </w:t>
      </w:r>
      <w:r>
        <w:rPr>
          <w:rFonts w:cs="Arial"/>
        </w:rPr>
        <w:t xml:space="preserve">should count all patients that meet the criteria specified </w:t>
      </w:r>
      <w:r w:rsidR="00BC4E89">
        <w:rPr>
          <w:rFonts w:cs="Arial"/>
        </w:rPr>
        <w:t xml:space="preserve">in the </w:t>
      </w:r>
      <w:hyperlink w:anchor="_Inpatient_Surgery_Measure" w:history="1">
        <w:r w:rsidR="00BC4E89" w:rsidRPr="00BC4E89">
          <w:rPr>
            <w:rStyle w:val="Hyperlink"/>
            <w:rFonts w:cs="Arial"/>
          </w:rPr>
          <w:t>Hospital and Surgeon Volume Measure Specifications</w:t>
        </w:r>
      </w:hyperlink>
      <w:r w:rsidR="00A01D96">
        <w:rPr>
          <w:rFonts w:cs="Arial"/>
        </w:rPr>
        <w:t>.</w:t>
      </w:r>
      <w:r>
        <w:rPr>
          <w:rFonts w:cs="Arial"/>
        </w:rPr>
        <w:t xml:space="preserve"> </w:t>
      </w:r>
      <w:r w:rsidRPr="00AA12E2">
        <w:rPr>
          <w:rFonts w:cs="Arial"/>
        </w:rPr>
        <w:t xml:space="preserve">For example, if </w:t>
      </w:r>
      <w:r>
        <w:rPr>
          <w:rFonts w:cs="Arial"/>
        </w:rPr>
        <w:t xml:space="preserve">a patient has </w:t>
      </w:r>
      <w:r w:rsidRPr="00AA12E2">
        <w:rPr>
          <w:rFonts w:cs="Arial"/>
        </w:rPr>
        <w:t xml:space="preserve">a CABG and a mitral valve repair </w:t>
      </w:r>
      <w:r>
        <w:rPr>
          <w:rFonts w:cs="Arial"/>
        </w:rPr>
        <w:t xml:space="preserve">done at the same time, the hospital should count the patient when calculating total volume for mitral valve repair and replacement. </w:t>
      </w:r>
    </w:p>
    <w:p w14:paraId="2E4C68CA" w14:textId="77777777" w:rsidR="00FE24AD" w:rsidRPr="00684239" w:rsidRDefault="00FE24AD" w:rsidP="00FE24AD">
      <w:pPr>
        <w:pStyle w:val="ListParagraph"/>
        <w:rPr>
          <w:rFonts w:cs="Arial"/>
        </w:rPr>
      </w:pPr>
    </w:p>
    <w:p w14:paraId="031B37A0" w14:textId="4DA9D23E" w:rsidR="00314EEF" w:rsidRPr="009A5185" w:rsidRDefault="00314EEF" w:rsidP="00AD309C">
      <w:pPr>
        <w:pStyle w:val="ListParagraph"/>
        <w:numPr>
          <w:ilvl w:val="0"/>
          <w:numId w:val="55"/>
        </w:numPr>
        <w:rPr>
          <w:rFonts w:cs="Arial"/>
          <w:b/>
        </w:rPr>
      </w:pPr>
      <w:r w:rsidRPr="009A5185">
        <w:rPr>
          <w:rFonts w:cs="Arial"/>
          <w:b/>
        </w:rPr>
        <w:t xml:space="preserve">When counting patients, should we only include those </w:t>
      </w:r>
      <w:r w:rsidR="00F67FCF">
        <w:rPr>
          <w:rFonts w:cs="Arial"/>
          <w:b/>
        </w:rPr>
        <w:t xml:space="preserve">patients </w:t>
      </w:r>
      <w:r w:rsidRPr="009A5185">
        <w:rPr>
          <w:rFonts w:cs="Arial"/>
          <w:b/>
        </w:rPr>
        <w:t xml:space="preserve">who had the procedure performed </w:t>
      </w:r>
      <w:r w:rsidR="00856694">
        <w:rPr>
          <w:rFonts w:cs="Arial"/>
          <w:b/>
        </w:rPr>
        <w:t>on a scheduled basis</w:t>
      </w:r>
      <w:r w:rsidRPr="009A5185">
        <w:rPr>
          <w:rFonts w:cs="Arial"/>
          <w:b/>
        </w:rPr>
        <w:t xml:space="preserve">? </w:t>
      </w:r>
    </w:p>
    <w:p w14:paraId="4A351973" w14:textId="0E5619B8" w:rsidR="008D611A" w:rsidRPr="008B77CB" w:rsidRDefault="000A2184" w:rsidP="008B77CB">
      <w:pPr>
        <w:ind w:left="720"/>
        <w:rPr>
          <w:rFonts w:cs="Arial"/>
        </w:rPr>
      </w:pPr>
      <w:r>
        <w:rPr>
          <w:rFonts w:cs="Arial"/>
        </w:rPr>
        <w:t xml:space="preserve">No. </w:t>
      </w:r>
      <w:r w:rsidR="00F67FCF">
        <w:rPr>
          <w:rFonts w:cs="Arial"/>
        </w:rPr>
        <w:t xml:space="preserve">Once a hospital selects a </w:t>
      </w:r>
      <w:r w:rsidR="00D02786">
        <w:rPr>
          <w:rFonts w:cs="Arial"/>
        </w:rPr>
        <w:t>procedure</w:t>
      </w:r>
      <w:r w:rsidR="00F67FCF">
        <w:rPr>
          <w:rFonts w:cs="Arial"/>
        </w:rPr>
        <w:t xml:space="preserve"> from the list in question #2, they should use the measure specifications for each procedure to count </w:t>
      </w:r>
      <w:r w:rsidR="00314EEF" w:rsidRPr="000A2184">
        <w:rPr>
          <w:rFonts w:cs="Arial"/>
          <w:u w:val="single"/>
        </w:rPr>
        <w:t>all</w:t>
      </w:r>
      <w:r w:rsidR="00314EEF" w:rsidRPr="009A5185">
        <w:rPr>
          <w:rFonts w:cs="Arial"/>
        </w:rPr>
        <w:t xml:space="preserve"> patients</w:t>
      </w:r>
      <w:r w:rsidR="00F67FCF">
        <w:rPr>
          <w:rFonts w:cs="Arial"/>
        </w:rPr>
        <w:t xml:space="preserve"> that meet the criteria. This includes patients who had the procedure performed urgently. </w:t>
      </w:r>
    </w:p>
    <w:p w14:paraId="039A718E" w14:textId="3490837C" w:rsidR="0082085D" w:rsidRDefault="0082085D" w:rsidP="000A2184">
      <w:pPr>
        <w:rPr>
          <w:rFonts w:cs="Arial"/>
        </w:rPr>
      </w:pPr>
    </w:p>
    <w:p w14:paraId="2710FB06" w14:textId="70BC8721" w:rsidR="00EA3B93" w:rsidRDefault="00EA3B93" w:rsidP="000A2184">
      <w:pPr>
        <w:rPr>
          <w:rFonts w:cs="Arial"/>
        </w:rPr>
      </w:pPr>
    </w:p>
    <w:p w14:paraId="0B98FB82" w14:textId="77777777" w:rsidR="00EA3B93" w:rsidRPr="009A5185" w:rsidRDefault="00EA3B93" w:rsidP="000A2184">
      <w:pPr>
        <w:rPr>
          <w:rFonts w:cs="Arial"/>
        </w:rPr>
      </w:pPr>
    </w:p>
    <w:p w14:paraId="570318B2" w14:textId="77777777" w:rsidR="0082085D" w:rsidRPr="009A5185" w:rsidRDefault="0082085D" w:rsidP="00AD309C">
      <w:pPr>
        <w:pStyle w:val="ListParagraph"/>
        <w:numPr>
          <w:ilvl w:val="0"/>
          <w:numId w:val="55"/>
        </w:numPr>
        <w:rPr>
          <w:rFonts w:cs="Arial"/>
          <w:b/>
        </w:rPr>
      </w:pPr>
      <w:r w:rsidRPr="009A5185">
        <w:rPr>
          <w:rFonts w:cs="Arial"/>
          <w:b/>
        </w:rPr>
        <w:lastRenderedPageBreak/>
        <w:t>If a hospital elects to begin a new service line of procedures, how should the hospital report its volume and surgeon volumes while establishing the new line?</w:t>
      </w:r>
    </w:p>
    <w:p w14:paraId="2CD742C7" w14:textId="0B81B240" w:rsidR="0082085D" w:rsidRPr="009A5185" w:rsidRDefault="008E29FD" w:rsidP="0082085D">
      <w:pPr>
        <w:pStyle w:val="ListParagraph"/>
        <w:rPr>
          <w:rFonts w:cs="Arial"/>
          <w:b/>
        </w:rPr>
      </w:pPr>
      <w:r>
        <w:rPr>
          <w:rFonts w:cs="Arial"/>
        </w:rPr>
        <w:t xml:space="preserve">Leapfrog gives hospitals </w:t>
      </w:r>
      <w:r w:rsidR="0082085D" w:rsidRPr="009A5185">
        <w:rPr>
          <w:rFonts w:cs="Arial"/>
        </w:rPr>
        <w:t xml:space="preserve">an 18-month grace period before having to report on hospital and surgeon volume for a new procedure. From the day that the hospital performs the procedure for the first time, the hospital and its surgeons will have 18 months to reach the annual volume standard. During this period, the hospital does not have to report its procedure volumes for the hospital or </w:t>
      </w:r>
      <w:r w:rsidR="00CE73E6">
        <w:rPr>
          <w:rFonts w:cs="Arial"/>
        </w:rPr>
        <w:t xml:space="preserve">its </w:t>
      </w:r>
      <w:r w:rsidR="0082085D" w:rsidRPr="009A5185">
        <w:rPr>
          <w:rFonts w:cs="Arial"/>
        </w:rPr>
        <w:t xml:space="preserve">surgeons. However, once the hospital reaches the end of the 18-month grace period, it must report its hospital and surgeon procedure volume. </w:t>
      </w:r>
      <w:r w:rsidR="0082085D" w:rsidRPr="009A5185">
        <w:rPr>
          <w:rFonts w:cs="Arial"/>
        </w:rPr>
        <w:br/>
      </w:r>
    </w:p>
    <w:p w14:paraId="208F00CC" w14:textId="77777777" w:rsidR="00855D18" w:rsidRPr="009A5185" w:rsidRDefault="00855D18" w:rsidP="00AD309C">
      <w:pPr>
        <w:pStyle w:val="ListParagraph"/>
        <w:numPr>
          <w:ilvl w:val="0"/>
          <w:numId w:val="55"/>
        </w:numPr>
        <w:rPr>
          <w:rFonts w:cs="Arial"/>
        </w:rPr>
      </w:pPr>
      <w:r w:rsidRPr="009A5185">
        <w:rPr>
          <w:rFonts w:cs="Arial"/>
          <w:b/>
        </w:rPr>
        <w:t>How should we deal with a temporary drop in volume due to losing a surgeon’s service?</w:t>
      </w:r>
    </w:p>
    <w:p w14:paraId="291E588B" w14:textId="50ED1B8E" w:rsidR="00855D18" w:rsidRPr="009A5185" w:rsidRDefault="00855D18" w:rsidP="00855D18">
      <w:pPr>
        <w:ind w:left="720"/>
        <w:rPr>
          <w:rFonts w:cs="Arial"/>
        </w:rPr>
      </w:pPr>
      <w:r w:rsidRPr="009A5185">
        <w:rPr>
          <w:rFonts w:cs="Arial"/>
        </w:rPr>
        <w:t>To accommodate fluctuations in hospital volumes, hospitals have the option of reporting on their</w:t>
      </w:r>
      <w:r>
        <w:rPr>
          <w:rFonts w:cs="Arial"/>
        </w:rPr>
        <w:t xml:space="preserve"> average case volumes over a 24-</w:t>
      </w:r>
      <w:r w:rsidRPr="009A5185">
        <w:rPr>
          <w:rFonts w:cs="Arial"/>
        </w:rPr>
        <w:t xml:space="preserve">month period. </w:t>
      </w:r>
    </w:p>
    <w:p w14:paraId="32F29D73" w14:textId="77777777" w:rsidR="00855D18" w:rsidRDefault="00855D18" w:rsidP="00855D18">
      <w:pPr>
        <w:pStyle w:val="ListParagraph"/>
        <w:rPr>
          <w:rFonts w:cs="Arial"/>
        </w:rPr>
      </w:pPr>
    </w:p>
    <w:p w14:paraId="3C14FF1E" w14:textId="61F1B9A6" w:rsidR="00855D18" w:rsidRPr="00607A75" w:rsidRDefault="00855D18" w:rsidP="00AD309C">
      <w:pPr>
        <w:pStyle w:val="ListParagraph"/>
        <w:numPr>
          <w:ilvl w:val="0"/>
          <w:numId w:val="55"/>
        </w:numPr>
        <w:rPr>
          <w:rFonts w:cs="Arial"/>
          <w:b/>
          <w:bCs/>
        </w:rPr>
      </w:pPr>
      <w:r w:rsidRPr="00607A75">
        <w:rPr>
          <w:rFonts w:cs="Arial"/>
          <w:b/>
          <w:bCs/>
        </w:rPr>
        <w:t>Can we count minimally invasive and/or robotic Mitral Valve Repair and Replacement procedures towards our hospital</w:t>
      </w:r>
      <w:r w:rsidR="00B76CFD" w:rsidRPr="00607A75">
        <w:rPr>
          <w:rFonts w:cs="Arial"/>
          <w:b/>
          <w:bCs/>
        </w:rPr>
        <w:t>’</w:t>
      </w:r>
      <w:r w:rsidRPr="00607A75">
        <w:rPr>
          <w:rFonts w:cs="Arial"/>
          <w:b/>
          <w:bCs/>
        </w:rPr>
        <w:t>s volume?</w:t>
      </w:r>
    </w:p>
    <w:p w14:paraId="69A887C3" w14:textId="45B04AD0" w:rsidR="00855D18" w:rsidRDefault="00855D18" w:rsidP="00855D18">
      <w:pPr>
        <w:pStyle w:val="ListParagraph"/>
        <w:rPr>
          <w:rFonts w:cs="Arial"/>
        </w:rPr>
      </w:pPr>
      <w:r w:rsidRPr="00607A75">
        <w:rPr>
          <w:rFonts w:cs="Arial"/>
        </w:rPr>
        <w:t>Yes, the ICD-10 codes Leapfrog has provided for this procedure will capture minimally invasive and/or robotic MVRR procedures in the hospital’s count as these are the codes used for those cases.</w:t>
      </w:r>
    </w:p>
    <w:p w14:paraId="1732EE26" w14:textId="17E6E074" w:rsidR="00AF7128" w:rsidRDefault="00AF7128" w:rsidP="00855D18">
      <w:pPr>
        <w:pStyle w:val="ListParagraph"/>
        <w:rPr>
          <w:rFonts w:cs="Arial"/>
        </w:rPr>
      </w:pPr>
    </w:p>
    <w:p w14:paraId="45AD6ADC" w14:textId="3205AFF8" w:rsidR="00AF7128" w:rsidRDefault="00AF7128" w:rsidP="00AD309C">
      <w:pPr>
        <w:pStyle w:val="ListParagraph"/>
        <w:numPr>
          <w:ilvl w:val="0"/>
          <w:numId w:val="55"/>
        </w:numPr>
        <w:rPr>
          <w:rFonts w:cs="Arial"/>
          <w:b/>
        </w:rPr>
      </w:pPr>
      <w:r w:rsidRPr="008372FE">
        <w:rPr>
          <w:rFonts w:cs="Arial"/>
          <w:b/>
        </w:rPr>
        <w:t>Our hospital has a free-standing outpatient surgery center that shares our license and</w:t>
      </w:r>
      <w:r w:rsidR="00F67359">
        <w:rPr>
          <w:rFonts w:cs="Arial"/>
          <w:b/>
        </w:rPr>
        <w:t>/or</w:t>
      </w:r>
      <w:r w:rsidRPr="008372FE">
        <w:rPr>
          <w:rFonts w:cs="Arial"/>
          <w:b/>
        </w:rPr>
        <w:t xml:space="preserve"> </w:t>
      </w:r>
      <w:r>
        <w:rPr>
          <w:rFonts w:cs="Arial"/>
          <w:b/>
        </w:rPr>
        <w:t>CMS Certification Number (</w:t>
      </w:r>
      <w:r w:rsidRPr="008372FE">
        <w:rPr>
          <w:rFonts w:cs="Arial"/>
          <w:b/>
        </w:rPr>
        <w:t>CCN</w:t>
      </w:r>
      <w:r>
        <w:rPr>
          <w:rFonts w:cs="Arial"/>
          <w:b/>
        </w:rPr>
        <w:t>)</w:t>
      </w:r>
      <w:r w:rsidRPr="008372FE">
        <w:rPr>
          <w:rFonts w:cs="Arial"/>
          <w:b/>
        </w:rPr>
        <w:t xml:space="preserve">. Many of our same day total hip </w:t>
      </w:r>
      <w:r w:rsidR="008B77CB">
        <w:rPr>
          <w:rFonts w:cs="Arial"/>
          <w:b/>
        </w:rPr>
        <w:t>replacement</w:t>
      </w:r>
      <w:r w:rsidR="00EA3B93">
        <w:rPr>
          <w:rFonts w:cs="Arial"/>
          <w:b/>
        </w:rPr>
        <w:t>s,</w:t>
      </w:r>
      <w:r w:rsidRPr="008372FE">
        <w:rPr>
          <w:rFonts w:cs="Arial"/>
          <w:b/>
        </w:rPr>
        <w:t xml:space="preserve"> </w:t>
      </w:r>
      <w:r w:rsidR="008B77CB">
        <w:rPr>
          <w:rFonts w:cs="Arial"/>
          <w:b/>
        </w:rPr>
        <w:t xml:space="preserve">total </w:t>
      </w:r>
      <w:r w:rsidRPr="008372FE">
        <w:rPr>
          <w:rFonts w:cs="Arial"/>
          <w:b/>
        </w:rPr>
        <w:t>knee replacement</w:t>
      </w:r>
      <w:r w:rsidR="00EA3B93">
        <w:rPr>
          <w:rFonts w:cs="Arial"/>
          <w:b/>
        </w:rPr>
        <w:t>s, and bariatric surgery for weight loss</w:t>
      </w:r>
      <w:r w:rsidRPr="008372FE">
        <w:rPr>
          <w:rFonts w:cs="Arial"/>
          <w:b/>
        </w:rPr>
        <w:t xml:space="preserve"> procedures are performed there. Can we include these procedures in our total hospital volume when responding to question #3 in Section 3A?</w:t>
      </w:r>
    </w:p>
    <w:p w14:paraId="0F3D81E8" w14:textId="53CA77ED" w:rsidR="00AF7128" w:rsidRPr="00AF7128" w:rsidRDefault="00AF7128" w:rsidP="00AF7128">
      <w:pPr>
        <w:pStyle w:val="ListParagraph"/>
        <w:rPr>
          <w:rFonts w:cs="Arial"/>
          <w:bCs/>
        </w:rPr>
      </w:pPr>
      <w:r w:rsidRPr="008372FE">
        <w:rPr>
          <w:rFonts w:cs="Arial"/>
          <w:bCs/>
        </w:rPr>
        <w:t>Yes, hospitals may count</w:t>
      </w:r>
      <w:r w:rsidR="00C57E12">
        <w:rPr>
          <w:rFonts w:cs="Arial"/>
          <w:bCs/>
        </w:rPr>
        <w:t xml:space="preserve"> patient</w:t>
      </w:r>
      <w:r w:rsidRPr="008372FE">
        <w:rPr>
          <w:rFonts w:cs="Arial"/>
          <w:bCs/>
        </w:rPr>
        <w:t xml:space="preserve"> discharges with the appropriate CPT procedure code during the reporting period from hospital outpatient departments that share your hospital’s license and</w:t>
      </w:r>
      <w:r w:rsidR="00B60AE6">
        <w:rPr>
          <w:rFonts w:cs="Arial"/>
          <w:bCs/>
        </w:rPr>
        <w:t>/or</w:t>
      </w:r>
      <w:r w:rsidRPr="008372FE">
        <w:rPr>
          <w:rFonts w:cs="Arial"/>
          <w:bCs/>
        </w:rPr>
        <w:t xml:space="preserve"> CMS Certification Number (CCN), including, but not limited to free-standing surgery centers and hospital outpatient departments.</w:t>
      </w:r>
    </w:p>
    <w:p w14:paraId="2B8717AE" w14:textId="77777777" w:rsidR="00592DDC" w:rsidRPr="009A5185" w:rsidRDefault="00592DDC" w:rsidP="0082085D">
      <w:pPr>
        <w:ind w:left="720"/>
        <w:rPr>
          <w:rFonts w:cs="Arial"/>
        </w:rPr>
      </w:pPr>
    </w:p>
    <w:p w14:paraId="72F47FEB" w14:textId="552406C2" w:rsidR="00592DDC" w:rsidRPr="009A5185" w:rsidRDefault="00592DDC" w:rsidP="00AB5B80">
      <w:pPr>
        <w:pStyle w:val="Heading3"/>
      </w:pPr>
      <w:bookmarkStart w:id="284" w:name="_Toc225877719"/>
      <w:r w:rsidRPr="009A5185">
        <w:t>Surgeon Volume</w:t>
      </w:r>
      <w:r w:rsidR="00B078B4">
        <w:t xml:space="preserve"> FAQs</w:t>
      </w:r>
      <w:bookmarkEnd w:id="284"/>
    </w:p>
    <w:p w14:paraId="28DC48F8" w14:textId="77777777" w:rsidR="00395B55" w:rsidRPr="009A5185" w:rsidRDefault="00395B55" w:rsidP="000E3ED6">
      <w:pPr>
        <w:rPr>
          <w:rFonts w:cs="Arial"/>
          <w:b/>
        </w:rPr>
      </w:pPr>
    </w:p>
    <w:p w14:paraId="39392829" w14:textId="6E322B3F" w:rsidR="008B77CB" w:rsidRPr="008B77CB" w:rsidRDefault="008B77CB" w:rsidP="00AD309C">
      <w:pPr>
        <w:pStyle w:val="ListParagraph"/>
        <w:numPr>
          <w:ilvl w:val="0"/>
          <w:numId w:val="55"/>
        </w:numPr>
        <w:rPr>
          <w:rFonts w:cs="Arial"/>
          <w:b/>
        </w:rPr>
      </w:pPr>
      <w:r w:rsidRPr="008B77CB">
        <w:rPr>
          <w:rFonts w:cs="Arial"/>
          <w:b/>
        </w:rPr>
        <w:t xml:space="preserve">Does the specific procedure and minimum annual surgeon volume standard listed need to be included in our process for privileging surgeons? </w:t>
      </w:r>
    </w:p>
    <w:p w14:paraId="60C68708" w14:textId="4E087578" w:rsidR="008B77CB" w:rsidRDefault="008B77CB" w:rsidP="008B77CB">
      <w:pPr>
        <w:pStyle w:val="ListParagraph"/>
        <w:rPr>
          <w:rFonts w:cs="Arial"/>
          <w:bCs/>
        </w:rPr>
      </w:pPr>
      <w:r w:rsidRPr="008B77CB">
        <w:rPr>
          <w:rFonts w:cs="Arial"/>
          <w:bCs/>
        </w:rPr>
        <w:t>Yes. Hospitals must ensure that the specific procedure (as defined using the ICD-10 and CPT procedure codes) and minimum annual surgeon volume standard are included in your process for privileging surgeons.</w:t>
      </w:r>
      <w:r>
        <w:rPr>
          <w:rFonts w:cs="Arial"/>
          <w:bCs/>
        </w:rPr>
        <w:t xml:space="preserve"> Diagnosis codes can be ignored. </w:t>
      </w:r>
    </w:p>
    <w:p w14:paraId="358F5589" w14:textId="56D1338C" w:rsidR="008B77CB" w:rsidRDefault="008B77CB" w:rsidP="008B77CB">
      <w:pPr>
        <w:pStyle w:val="ListParagraph"/>
        <w:rPr>
          <w:rFonts w:cs="Arial"/>
          <w:bCs/>
        </w:rPr>
      </w:pPr>
    </w:p>
    <w:p w14:paraId="5E694D24" w14:textId="77777777" w:rsidR="008B77CB" w:rsidRPr="00973FBE" w:rsidRDefault="008B77CB" w:rsidP="00AD309C">
      <w:pPr>
        <w:pStyle w:val="ListParagraph"/>
        <w:numPr>
          <w:ilvl w:val="0"/>
          <w:numId w:val="55"/>
        </w:numPr>
        <w:rPr>
          <w:rFonts w:cs="Arial"/>
          <w:b/>
          <w:bCs/>
        </w:rPr>
      </w:pPr>
      <w:r w:rsidRPr="00973FBE">
        <w:rPr>
          <w:rFonts w:cs="Arial"/>
          <w:b/>
          <w:bCs/>
        </w:rPr>
        <w:t xml:space="preserve">Does our privileging process for surgeons have to include the </w:t>
      </w:r>
      <w:r>
        <w:rPr>
          <w:rFonts w:cs="Arial"/>
          <w:b/>
          <w:bCs/>
        </w:rPr>
        <w:t xml:space="preserve">annual </w:t>
      </w:r>
      <w:r w:rsidRPr="00973FBE">
        <w:rPr>
          <w:rFonts w:cs="Arial"/>
          <w:b/>
          <w:bCs/>
        </w:rPr>
        <w:t>surgeon volume standard for initial privileging only or ongoing/renewal of privileging as well?</w:t>
      </w:r>
    </w:p>
    <w:p w14:paraId="08C14AA7" w14:textId="77777777" w:rsidR="008B77CB" w:rsidRPr="00A74B8D" w:rsidRDefault="008B77CB" w:rsidP="008B77CB">
      <w:pPr>
        <w:pStyle w:val="ListParagraph"/>
        <w:rPr>
          <w:rFonts w:cs="Arial"/>
        </w:rPr>
      </w:pPr>
      <w:r>
        <w:rPr>
          <w:rFonts w:cs="Arial"/>
        </w:rPr>
        <w:t>B</w:t>
      </w:r>
      <w:r w:rsidRPr="00A74B8D">
        <w:rPr>
          <w:rFonts w:cs="Arial"/>
        </w:rPr>
        <w:t xml:space="preserve">oth. Leapfrog’s minimum </w:t>
      </w:r>
      <w:r>
        <w:rPr>
          <w:rFonts w:cs="Arial"/>
        </w:rPr>
        <w:t xml:space="preserve">annual </w:t>
      </w:r>
      <w:r w:rsidRPr="00A74B8D">
        <w:rPr>
          <w:rFonts w:cs="Arial"/>
        </w:rPr>
        <w:t xml:space="preserve">surgeon volume standards should be fully integrated into your hospital’s process for privileging surgeons, including both initial and ongoing privileging. There are two exceptions: </w:t>
      </w:r>
    </w:p>
    <w:p w14:paraId="7A59A3B5" w14:textId="45F1F66B" w:rsidR="008B77CB" w:rsidRPr="00A74B8D" w:rsidRDefault="008B77CB" w:rsidP="00AD309C">
      <w:pPr>
        <w:pStyle w:val="ListParagraph"/>
        <w:numPr>
          <w:ilvl w:val="1"/>
          <w:numId w:val="141"/>
        </w:numPr>
        <w:rPr>
          <w:rFonts w:cs="Arial"/>
        </w:rPr>
      </w:pPr>
      <w:r w:rsidRPr="00A74B8D">
        <w:rPr>
          <w:rFonts w:cs="Arial"/>
        </w:rPr>
        <w:t xml:space="preserve">Surgeons who have just finished training: see </w:t>
      </w:r>
      <w:hyperlink w:anchor="FAQ11_surgtrain" w:history="1">
        <w:r w:rsidR="006A0540">
          <w:rPr>
            <w:rStyle w:val="Hyperlink"/>
            <w:rFonts w:cs="Arial"/>
          </w:rPr>
          <w:t>FAQ #14</w:t>
        </w:r>
      </w:hyperlink>
      <w:r w:rsidRPr="00A74B8D">
        <w:rPr>
          <w:rFonts w:cs="Arial"/>
        </w:rPr>
        <w:t xml:space="preserve"> </w:t>
      </w:r>
      <w:r w:rsidR="006A0540">
        <w:rPr>
          <w:rFonts w:cs="Arial"/>
        </w:rPr>
        <w:t>below.</w:t>
      </w:r>
    </w:p>
    <w:p w14:paraId="32B36657" w14:textId="4A5A2120" w:rsidR="008B77CB" w:rsidRPr="008B77CB" w:rsidRDefault="008B77CB" w:rsidP="00AD309C">
      <w:pPr>
        <w:pStyle w:val="ListParagraph"/>
        <w:numPr>
          <w:ilvl w:val="1"/>
          <w:numId w:val="141"/>
        </w:numPr>
        <w:rPr>
          <w:rFonts w:cs="Arial"/>
        </w:rPr>
      </w:pPr>
      <w:r w:rsidRPr="00A74B8D">
        <w:rPr>
          <w:rFonts w:cs="Arial"/>
        </w:rPr>
        <w:t xml:space="preserve">Surgeons who were not active for the entire reporting period: see </w:t>
      </w:r>
      <w:hyperlink w:anchor="faqsurgeonnotactive_3a" w:history="1">
        <w:r w:rsidR="006A0540">
          <w:rPr>
            <w:rStyle w:val="Hyperlink"/>
            <w:rFonts w:cs="Arial"/>
          </w:rPr>
          <w:t>FAQ #15</w:t>
        </w:r>
      </w:hyperlink>
      <w:r>
        <w:rPr>
          <w:rFonts w:cs="Arial"/>
        </w:rPr>
        <w:t xml:space="preserve"> </w:t>
      </w:r>
      <w:r w:rsidR="006A0540">
        <w:rPr>
          <w:rFonts w:cs="Arial"/>
        </w:rPr>
        <w:t>below.</w:t>
      </w:r>
    </w:p>
    <w:p w14:paraId="16443718" w14:textId="77777777" w:rsidR="008B77CB" w:rsidRDefault="008B77CB" w:rsidP="008B77CB">
      <w:pPr>
        <w:pStyle w:val="ListParagraph"/>
        <w:rPr>
          <w:rFonts w:cs="Arial"/>
          <w:b/>
        </w:rPr>
      </w:pPr>
    </w:p>
    <w:p w14:paraId="25E80978" w14:textId="2A799B36" w:rsidR="009C433D" w:rsidRDefault="009C433D" w:rsidP="00AD309C">
      <w:pPr>
        <w:pStyle w:val="ListParagraph"/>
        <w:numPr>
          <w:ilvl w:val="0"/>
          <w:numId w:val="55"/>
        </w:numPr>
        <w:rPr>
          <w:rFonts w:cs="Arial"/>
          <w:b/>
        </w:rPr>
      </w:pPr>
      <w:r w:rsidRPr="009C433D">
        <w:rPr>
          <w:rFonts w:cs="Arial"/>
          <w:b/>
        </w:rPr>
        <w:t xml:space="preserve">When counting </w:t>
      </w:r>
      <w:r w:rsidR="00FB59C3">
        <w:rPr>
          <w:rFonts w:cs="Arial"/>
          <w:b/>
        </w:rPr>
        <w:t xml:space="preserve">annual </w:t>
      </w:r>
      <w:r w:rsidRPr="009C433D">
        <w:rPr>
          <w:rFonts w:cs="Arial"/>
          <w:b/>
        </w:rPr>
        <w:t>surgeon volume for the purposes of privileging,</w:t>
      </w:r>
      <w:r>
        <w:rPr>
          <w:rFonts w:cs="Arial"/>
          <w:b/>
        </w:rPr>
        <w:t xml:space="preserve"> should we consider procedures performed by the surgeon at </w:t>
      </w:r>
      <w:r w:rsidR="00D25816">
        <w:rPr>
          <w:rFonts w:cs="Arial"/>
          <w:b/>
        </w:rPr>
        <w:t>other</w:t>
      </w:r>
      <w:r>
        <w:rPr>
          <w:rFonts w:cs="Arial"/>
          <w:b/>
        </w:rPr>
        <w:t xml:space="preserve"> hospitals?</w:t>
      </w:r>
      <w:r w:rsidRPr="009C433D">
        <w:rPr>
          <w:rFonts w:cs="Arial"/>
          <w:b/>
        </w:rPr>
        <w:t xml:space="preserve"> </w:t>
      </w:r>
    </w:p>
    <w:p w14:paraId="51BFFCFC" w14:textId="0C8EA716" w:rsidR="005619C5" w:rsidRPr="009C433D" w:rsidRDefault="008B77CB" w:rsidP="009C433D">
      <w:pPr>
        <w:pStyle w:val="ListParagraph"/>
        <w:rPr>
          <w:rFonts w:cs="Arial"/>
          <w:b/>
        </w:rPr>
      </w:pPr>
      <w:r>
        <w:rPr>
          <w:rFonts w:cs="Arial"/>
        </w:rPr>
        <w:t xml:space="preserve">Yes. </w:t>
      </w:r>
      <w:r w:rsidR="005619C5" w:rsidRPr="009C433D">
        <w:rPr>
          <w:rFonts w:cs="Arial"/>
        </w:rPr>
        <w:t xml:space="preserve">When determining whether a surgeon has met or has exceeded Leapfrog's minimum </w:t>
      </w:r>
      <w:r w:rsidR="00F67359">
        <w:rPr>
          <w:rFonts w:cs="Arial"/>
        </w:rPr>
        <w:t xml:space="preserve">annual </w:t>
      </w:r>
      <w:r w:rsidR="005619C5" w:rsidRPr="009C433D">
        <w:rPr>
          <w:rFonts w:cs="Arial"/>
        </w:rPr>
        <w:t xml:space="preserve">surgeon volume standard, we expect that hospitals will consider total experience in the privileging process </w:t>
      </w:r>
      <w:r w:rsidR="00F67359">
        <w:rPr>
          <w:rFonts w:cs="Arial"/>
        </w:rPr>
        <w:t>–</w:t>
      </w:r>
      <w:r w:rsidR="005619C5" w:rsidRPr="009C433D">
        <w:rPr>
          <w:rFonts w:cs="Arial"/>
        </w:rPr>
        <w:t xml:space="preserve"> this would include procedures performed within the reporting period at different facilities.</w:t>
      </w:r>
      <w:r w:rsidR="007F3366">
        <w:rPr>
          <w:rFonts w:cs="Arial"/>
        </w:rPr>
        <w:t xml:space="preserve"> </w:t>
      </w:r>
      <w:r w:rsidR="007F3366" w:rsidRPr="007F3366">
        <w:rPr>
          <w:rFonts w:cs="Arial"/>
        </w:rPr>
        <w:t xml:space="preserve">It is our understanding that through </w:t>
      </w:r>
      <w:hyperlink r:id="rId240" w:anchor=":~:text=OPPE%20identifies%20professional%20practice%20trends,could%20negatively%20impact%20patient%20outcomes" w:history="1">
        <w:r w:rsidR="007F3366" w:rsidRPr="008B77CB">
          <w:rPr>
            <w:rStyle w:val="Hyperlink"/>
            <w:rFonts w:cs="Arial"/>
          </w:rPr>
          <w:t>the OPPE process</w:t>
        </w:r>
      </w:hyperlink>
      <w:r w:rsidR="007F3366" w:rsidRPr="007F3366">
        <w:rPr>
          <w:rFonts w:cs="Arial"/>
        </w:rPr>
        <w:t>, hospitals have access to total surgeon volume, including the number of procedures performed at other hospitals.</w:t>
      </w:r>
    </w:p>
    <w:p w14:paraId="4D5938D2" w14:textId="22CAC803" w:rsidR="005619C5" w:rsidRDefault="005619C5" w:rsidP="005619C5">
      <w:pPr>
        <w:pStyle w:val="ListParagraph"/>
        <w:rPr>
          <w:rFonts w:cs="Arial"/>
        </w:rPr>
      </w:pPr>
    </w:p>
    <w:p w14:paraId="5867EA83" w14:textId="657D06B8" w:rsidR="00EA3B93" w:rsidRDefault="00EA3B93" w:rsidP="005619C5">
      <w:pPr>
        <w:pStyle w:val="ListParagraph"/>
        <w:rPr>
          <w:rFonts w:cs="Arial"/>
        </w:rPr>
      </w:pPr>
    </w:p>
    <w:p w14:paraId="0877A0AE" w14:textId="77777777" w:rsidR="00EA3B93" w:rsidRPr="005619C5" w:rsidRDefault="00EA3B93" w:rsidP="005619C5">
      <w:pPr>
        <w:pStyle w:val="ListParagraph"/>
        <w:rPr>
          <w:rFonts w:cs="Arial"/>
        </w:rPr>
      </w:pPr>
    </w:p>
    <w:p w14:paraId="72E5B1FE" w14:textId="0AFF8C8E" w:rsidR="00395B55" w:rsidRPr="009A5185" w:rsidRDefault="000E3ED6" w:rsidP="00AD309C">
      <w:pPr>
        <w:pStyle w:val="ListParagraph"/>
        <w:numPr>
          <w:ilvl w:val="0"/>
          <w:numId w:val="55"/>
        </w:numPr>
        <w:rPr>
          <w:rFonts w:cs="Arial"/>
          <w:b/>
        </w:rPr>
      </w:pPr>
      <w:bookmarkStart w:id="285" w:name="FAQ11_surgtrain"/>
      <w:bookmarkEnd w:id="285"/>
      <w:r w:rsidRPr="009A5185">
        <w:rPr>
          <w:rFonts w:cs="Arial"/>
          <w:b/>
        </w:rPr>
        <w:lastRenderedPageBreak/>
        <w:t>For determining surgeon volume</w:t>
      </w:r>
      <w:r w:rsidR="002400BE" w:rsidRPr="009A5185">
        <w:rPr>
          <w:rFonts w:cs="Arial"/>
          <w:b/>
        </w:rPr>
        <w:t xml:space="preserve"> for the purposes o</w:t>
      </w:r>
      <w:r w:rsidR="00421E47">
        <w:rPr>
          <w:rFonts w:cs="Arial"/>
          <w:b/>
        </w:rPr>
        <w:t xml:space="preserve">f </w:t>
      </w:r>
      <w:r w:rsidR="002400BE" w:rsidRPr="009A5185">
        <w:rPr>
          <w:rFonts w:cs="Arial"/>
          <w:b/>
        </w:rPr>
        <w:t>privileging</w:t>
      </w:r>
      <w:r w:rsidRPr="009A5185">
        <w:rPr>
          <w:rFonts w:cs="Arial"/>
          <w:b/>
        </w:rPr>
        <w:t>, how should we count procedures that involve surgeons who have just finished training and are building up their experience?</w:t>
      </w:r>
    </w:p>
    <w:p w14:paraId="70EA5814" w14:textId="4DBE2853" w:rsidR="000E3ED6" w:rsidRPr="009A5185" w:rsidRDefault="000E3ED6" w:rsidP="00395B55">
      <w:pPr>
        <w:pStyle w:val="ListParagraph"/>
        <w:rPr>
          <w:rFonts w:cs="Arial"/>
          <w:b/>
        </w:rPr>
      </w:pPr>
      <w:r w:rsidRPr="009A5185">
        <w:rPr>
          <w:rFonts w:cs="Arial"/>
        </w:rPr>
        <w:t xml:space="preserve">Surgeons who have just finished </w:t>
      </w:r>
      <w:r w:rsidR="00FC6FB9" w:rsidRPr="009A5185">
        <w:rPr>
          <w:rFonts w:cs="Arial"/>
        </w:rPr>
        <w:t>their</w:t>
      </w:r>
      <w:r w:rsidRPr="009A5185">
        <w:rPr>
          <w:rFonts w:cs="Arial"/>
        </w:rPr>
        <w:t xml:space="preserve"> training should </w:t>
      </w:r>
      <w:r w:rsidR="00B43E3C" w:rsidRPr="009A5185">
        <w:rPr>
          <w:rFonts w:cs="Arial"/>
        </w:rPr>
        <w:t xml:space="preserve">receive </w:t>
      </w:r>
      <w:r w:rsidRPr="009A5185">
        <w:rPr>
          <w:rFonts w:cs="Arial"/>
        </w:rPr>
        <w:t xml:space="preserve">a 24-month grace period to build up their experience. After that point, </w:t>
      </w:r>
      <w:r w:rsidR="00D016B4">
        <w:rPr>
          <w:rFonts w:cs="Arial"/>
        </w:rPr>
        <w:t xml:space="preserve">the surgeon’s </w:t>
      </w:r>
      <w:r w:rsidRPr="009A5185">
        <w:rPr>
          <w:rFonts w:cs="Arial"/>
        </w:rPr>
        <w:t xml:space="preserve">volume should be tracked </w:t>
      </w:r>
      <w:r w:rsidR="00944250" w:rsidRPr="009A5185">
        <w:rPr>
          <w:rFonts w:cs="Arial"/>
        </w:rPr>
        <w:t>and included in privileging decisions</w:t>
      </w:r>
      <w:r w:rsidRPr="009A5185">
        <w:rPr>
          <w:rFonts w:cs="Arial"/>
        </w:rPr>
        <w:t xml:space="preserve">. The procedures performed by this surgeon during the reporting period should still be counted towards the hospital’s volume total, as the broader staff still had the experience with the </w:t>
      </w:r>
      <w:r w:rsidR="007A3910">
        <w:rPr>
          <w:rFonts w:cs="Arial"/>
        </w:rPr>
        <w:t>procedure</w:t>
      </w:r>
      <w:r w:rsidRPr="009A5185">
        <w:rPr>
          <w:rFonts w:cs="Arial"/>
        </w:rPr>
        <w:t>.</w:t>
      </w:r>
    </w:p>
    <w:p w14:paraId="6941EC60" w14:textId="77777777" w:rsidR="00395B55" w:rsidRPr="009A5185" w:rsidRDefault="00395B55" w:rsidP="000E3ED6">
      <w:pPr>
        <w:rPr>
          <w:rFonts w:cs="Arial"/>
          <w:b/>
        </w:rPr>
      </w:pPr>
    </w:p>
    <w:p w14:paraId="47A28603" w14:textId="4ABBE336" w:rsidR="00421E47" w:rsidRDefault="00421E47" w:rsidP="00AD309C">
      <w:pPr>
        <w:pStyle w:val="ListParagraph"/>
        <w:numPr>
          <w:ilvl w:val="0"/>
          <w:numId w:val="55"/>
        </w:numPr>
        <w:rPr>
          <w:rFonts w:cs="Arial"/>
          <w:b/>
        </w:rPr>
      </w:pPr>
      <w:bookmarkStart w:id="286" w:name="faqsurgeonnotactive_3a"/>
      <w:r w:rsidRPr="009A5185">
        <w:rPr>
          <w:rFonts w:cs="Arial"/>
          <w:b/>
        </w:rPr>
        <w:t xml:space="preserve">If a </w:t>
      </w:r>
      <w:bookmarkEnd w:id="286"/>
      <w:r w:rsidRPr="009A5185">
        <w:rPr>
          <w:rFonts w:cs="Arial"/>
          <w:b/>
        </w:rPr>
        <w:t xml:space="preserve">surgeon was not </w:t>
      </w:r>
      <w:r w:rsidR="00F0772B">
        <w:rPr>
          <w:rFonts w:cs="Arial"/>
          <w:b/>
        </w:rPr>
        <w:t>“</w:t>
      </w:r>
      <w:r w:rsidRPr="009A5185">
        <w:rPr>
          <w:rFonts w:cs="Arial"/>
          <w:b/>
        </w:rPr>
        <w:t>active</w:t>
      </w:r>
      <w:r w:rsidR="00F0772B">
        <w:rPr>
          <w:rFonts w:cs="Arial"/>
          <w:b/>
        </w:rPr>
        <w:t>”</w:t>
      </w:r>
      <w:r w:rsidRPr="009A5185">
        <w:rPr>
          <w:rFonts w:cs="Arial"/>
          <w:b/>
        </w:rPr>
        <w:t xml:space="preserve"> during the entire reporting period (e.g., just hired, sabbatical, illness, etc.), </w:t>
      </w:r>
      <w:r>
        <w:rPr>
          <w:rFonts w:cs="Arial"/>
          <w:b/>
        </w:rPr>
        <w:t>should they be included when responding to question #5?</w:t>
      </w:r>
    </w:p>
    <w:p w14:paraId="40FBFA41" w14:textId="77777777" w:rsidR="00421E47" w:rsidRDefault="00421E47" w:rsidP="00421E47">
      <w:pPr>
        <w:pStyle w:val="ListParagraph"/>
        <w:rPr>
          <w:rFonts w:cs="Arial"/>
        </w:rPr>
      </w:pPr>
      <w:r w:rsidRPr="00CB174B">
        <w:rPr>
          <w:rFonts w:cs="Arial"/>
        </w:rPr>
        <w:t>If a surgeon was absent for an extended time during the reporting period, the procedures performed by this surgeon during the reporting period should still be counted towards the hospital’s procedure total (question #</w:t>
      </w:r>
      <w:r>
        <w:rPr>
          <w:rFonts w:cs="Arial"/>
        </w:rPr>
        <w:t>3</w:t>
      </w:r>
      <w:r w:rsidRPr="00CB174B">
        <w:rPr>
          <w:rFonts w:cs="Arial"/>
        </w:rPr>
        <w:t>). However, the surgeon would not need to be considered when responding to question #</w:t>
      </w:r>
      <w:r>
        <w:rPr>
          <w:rFonts w:cs="Arial"/>
        </w:rPr>
        <w:t>5</w:t>
      </w:r>
      <w:r w:rsidRPr="00CB174B">
        <w:rPr>
          <w:rFonts w:cs="Arial"/>
        </w:rPr>
        <w:t xml:space="preserve"> regarding whether</w:t>
      </w:r>
      <w:r>
        <w:rPr>
          <w:rFonts w:cs="Arial"/>
        </w:rPr>
        <w:t xml:space="preserve"> </w:t>
      </w:r>
      <w:r w:rsidRPr="00CB174B">
        <w:rPr>
          <w:rFonts w:cs="Arial"/>
        </w:rPr>
        <w:t xml:space="preserve">your hospital’s process for privileging includes the surgeon having to meet Leapfrog’s minimum </w:t>
      </w:r>
      <w:r>
        <w:rPr>
          <w:rFonts w:cs="Arial"/>
        </w:rPr>
        <w:t xml:space="preserve">annual </w:t>
      </w:r>
      <w:r w:rsidRPr="00CB174B">
        <w:rPr>
          <w:rFonts w:cs="Arial"/>
        </w:rPr>
        <w:t>surgeon volume standards until they have been active again for an entire reporting period (likely the next year).</w:t>
      </w:r>
    </w:p>
    <w:p w14:paraId="71EC0D76" w14:textId="77777777" w:rsidR="00421E47" w:rsidRPr="00B77D2A" w:rsidRDefault="00421E47" w:rsidP="00421E47">
      <w:pPr>
        <w:pStyle w:val="ListParagraph"/>
        <w:rPr>
          <w:rFonts w:ascii="Calibri" w:hAnsi="Calibri"/>
          <w:b/>
          <w:bCs/>
          <w:sz w:val="16"/>
          <w:szCs w:val="16"/>
        </w:rPr>
      </w:pPr>
    </w:p>
    <w:p w14:paraId="21161B7C" w14:textId="2EBBB3C3" w:rsidR="00DA7817" w:rsidRDefault="00DA7817" w:rsidP="00AD309C">
      <w:pPr>
        <w:pStyle w:val="ListParagraph"/>
        <w:numPr>
          <w:ilvl w:val="0"/>
          <w:numId w:val="55"/>
        </w:numPr>
        <w:rPr>
          <w:rFonts w:ascii="Calibri" w:hAnsi="Calibri"/>
          <w:b/>
          <w:bCs/>
        </w:rPr>
      </w:pPr>
      <w:r>
        <w:rPr>
          <w:b/>
          <w:bCs/>
        </w:rPr>
        <w:t>When counting surgeon volume for</w:t>
      </w:r>
      <w:r>
        <w:t xml:space="preserve"> </w:t>
      </w:r>
      <w:r>
        <w:rPr>
          <w:b/>
          <w:bCs/>
        </w:rPr>
        <w:t>the purposes of privileging, if a procedure is completed by two surgeons (</w:t>
      </w:r>
      <w:r w:rsidR="00430043">
        <w:rPr>
          <w:b/>
          <w:bCs/>
        </w:rPr>
        <w:t>i.e.,</w:t>
      </w:r>
      <w:r>
        <w:rPr>
          <w:b/>
          <w:bCs/>
        </w:rPr>
        <w:t xml:space="preserve"> an assistant or co-surgeon) would they both be able to count the case? </w:t>
      </w:r>
    </w:p>
    <w:p w14:paraId="68291A25" w14:textId="77777777" w:rsidR="00DA7817" w:rsidRDefault="00DA7817" w:rsidP="00DA7817">
      <w:pPr>
        <w:pStyle w:val="ListParagraph"/>
        <w:rPr>
          <w:rFonts w:cs="Arial"/>
        </w:rPr>
      </w:pPr>
      <w:r w:rsidRPr="00DA7817">
        <w:rPr>
          <w:rFonts w:cs="Arial"/>
        </w:rPr>
        <w:t>If a surgeon assists another surgeon or is a co-surgeon during a procedure, the procedure should NOT count for both surgeons’ procedure totals. The case should be applied to a single surgeon.</w:t>
      </w:r>
    </w:p>
    <w:p w14:paraId="226C6598" w14:textId="77777777" w:rsidR="00CB174B" w:rsidRPr="00B77D2A" w:rsidRDefault="00CB174B" w:rsidP="006A0540">
      <w:pPr>
        <w:rPr>
          <w:rFonts w:cs="Arial"/>
          <w:b/>
          <w:sz w:val="16"/>
          <w:szCs w:val="16"/>
        </w:rPr>
      </w:pPr>
      <w:bookmarkStart w:id="287" w:name="FAQ13_notactive"/>
      <w:bookmarkEnd w:id="287"/>
    </w:p>
    <w:p w14:paraId="712B9D9C" w14:textId="36889FED" w:rsidR="00C023AA" w:rsidRDefault="00C023AA" w:rsidP="00AD309C">
      <w:pPr>
        <w:pStyle w:val="ListParagraph"/>
        <w:numPr>
          <w:ilvl w:val="0"/>
          <w:numId w:val="55"/>
        </w:numPr>
        <w:rPr>
          <w:rFonts w:cs="Arial"/>
          <w:b/>
        </w:rPr>
      </w:pPr>
      <w:r w:rsidRPr="00C023AA">
        <w:rPr>
          <w:rFonts w:cs="Arial"/>
          <w:b/>
        </w:rPr>
        <w:t xml:space="preserve">When determining which surgeons should be required to meet Leapfrog’s minimum </w:t>
      </w:r>
      <w:r w:rsidR="00F67359">
        <w:rPr>
          <w:rFonts w:cs="Arial"/>
          <w:b/>
        </w:rPr>
        <w:t xml:space="preserve">annual </w:t>
      </w:r>
      <w:r w:rsidRPr="00C023AA">
        <w:rPr>
          <w:rFonts w:cs="Arial"/>
          <w:b/>
        </w:rPr>
        <w:t>surgeon volume standards for the process of privileging, should surgeons who only ever perform a procedure in emergency circumstances and never perform the procedure on a scheduled basis be included?</w:t>
      </w:r>
    </w:p>
    <w:p w14:paraId="0EFA42A4" w14:textId="13179DFE" w:rsidR="00C023AA" w:rsidRPr="00C023AA" w:rsidRDefault="00C023AA" w:rsidP="00C023AA">
      <w:pPr>
        <w:pStyle w:val="ListParagraph"/>
        <w:rPr>
          <w:rFonts w:cs="Arial"/>
          <w:bCs/>
        </w:rPr>
      </w:pPr>
      <w:r w:rsidRPr="00C023AA">
        <w:rPr>
          <w:rFonts w:cs="Arial"/>
          <w:bCs/>
        </w:rPr>
        <w:t>For the purposes of reporting on question #</w:t>
      </w:r>
      <w:r w:rsidR="00A17783">
        <w:rPr>
          <w:rFonts w:cs="Arial"/>
          <w:bCs/>
        </w:rPr>
        <w:t>5</w:t>
      </w:r>
      <w:r w:rsidRPr="00C023AA">
        <w:rPr>
          <w:rFonts w:cs="Arial"/>
          <w:bCs/>
        </w:rPr>
        <w:t xml:space="preserve"> in Section 3A, hospitals can exclude surgeons who </w:t>
      </w:r>
      <w:r w:rsidR="00085A5A" w:rsidRPr="00C023AA">
        <w:rPr>
          <w:rFonts w:cs="Arial"/>
          <w:bCs/>
        </w:rPr>
        <w:t>will</w:t>
      </w:r>
      <w:r w:rsidRPr="00C023AA">
        <w:rPr>
          <w:rFonts w:cs="Arial"/>
          <w:bCs/>
        </w:rPr>
        <w:t xml:space="preserve"> only ever perform a procedure in emergency circumstances if they never perform the procedure on a scheduled basis. </w:t>
      </w:r>
    </w:p>
    <w:p w14:paraId="31DB58BB" w14:textId="77777777" w:rsidR="00C023AA" w:rsidRPr="00B77D2A" w:rsidRDefault="00C023AA" w:rsidP="00C023AA">
      <w:pPr>
        <w:pStyle w:val="ListParagraph"/>
        <w:rPr>
          <w:rFonts w:cs="Arial"/>
          <w:bCs/>
          <w:sz w:val="16"/>
          <w:szCs w:val="16"/>
        </w:rPr>
      </w:pPr>
    </w:p>
    <w:p w14:paraId="6A996C29" w14:textId="24AC8F23" w:rsidR="00C023AA" w:rsidRPr="00C023AA" w:rsidRDefault="00C023AA" w:rsidP="00C023AA">
      <w:pPr>
        <w:pStyle w:val="ListParagraph"/>
        <w:rPr>
          <w:rFonts w:cs="Arial"/>
          <w:bCs/>
        </w:rPr>
      </w:pPr>
      <w:r w:rsidRPr="00C023AA">
        <w:rPr>
          <w:rFonts w:cs="Arial"/>
          <w:bCs/>
        </w:rPr>
        <w:t>However, for the purposes of reporting on question #3 in Section 3A, hospitals should count all patients discharged with the relevant procedure or diagnosis for those procedures indicated in question #2 in Section 3A.</w:t>
      </w:r>
      <w:r w:rsidR="00794292">
        <w:rPr>
          <w:rFonts w:cs="Arial"/>
          <w:bCs/>
        </w:rPr>
        <w:t xml:space="preserve"> See FAQ #6.</w:t>
      </w:r>
    </w:p>
    <w:p w14:paraId="12C2E8A7" w14:textId="359AF9DE" w:rsidR="0077134A" w:rsidRPr="00B77D2A" w:rsidRDefault="0077134A" w:rsidP="0077134A">
      <w:pPr>
        <w:rPr>
          <w:rFonts w:cs="Arial"/>
          <w:sz w:val="16"/>
          <w:szCs w:val="16"/>
          <w:highlight w:val="cyan"/>
        </w:rPr>
      </w:pPr>
      <w:bookmarkStart w:id="288" w:name="_Toc414267243"/>
      <w:bookmarkEnd w:id="249"/>
      <w:bookmarkEnd w:id="250"/>
    </w:p>
    <w:p w14:paraId="59EFFEBF" w14:textId="39EBFE9D" w:rsidR="00BC3C78" w:rsidRPr="00B77D2A" w:rsidRDefault="00BC3C78" w:rsidP="00AB5B80">
      <w:pPr>
        <w:pStyle w:val="Heading3"/>
        <w:rPr>
          <w:sz w:val="16"/>
          <w:szCs w:val="16"/>
        </w:rPr>
      </w:pPr>
      <w:bookmarkStart w:id="289" w:name="_Safe_Surgery_Checklist_1"/>
      <w:bookmarkStart w:id="290" w:name="safesurgfaqs3c"/>
      <w:bookmarkStart w:id="291" w:name="_Toc225877720"/>
      <w:bookmarkEnd w:id="289"/>
      <w:r w:rsidRPr="0070426E">
        <w:t>Safe Surgery Checklist for Adult and Pediatric Complex Surgery</w:t>
      </w:r>
      <w:bookmarkEnd w:id="290"/>
      <w:r w:rsidR="00B078B4">
        <w:t xml:space="preserve"> FAQs</w:t>
      </w:r>
      <w:bookmarkEnd w:id="291"/>
      <w:r w:rsidRPr="0070426E">
        <w:br/>
      </w:r>
    </w:p>
    <w:p w14:paraId="3D109E21" w14:textId="55AAACA3" w:rsidR="00074F1E" w:rsidRPr="00C20F56" w:rsidRDefault="00074F1E" w:rsidP="00AD309C">
      <w:pPr>
        <w:pStyle w:val="ListParagraph"/>
        <w:numPr>
          <w:ilvl w:val="0"/>
          <w:numId w:val="55"/>
        </w:numPr>
        <w:rPr>
          <w:lang w:eastAsia="ja-JP"/>
        </w:rPr>
      </w:pPr>
      <w:r>
        <w:rPr>
          <w:b/>
          <w:lang w:eastAsia="ja-JP"/>
        </w:rPr>
        <w:t xml:space="preserve">What 12-month reporting period should be used </w:t>
      </w:r>
      <w:r w:rsidR="00A46152">
        <w:rPr>
          <w:b/>
          <w:lang w:eastAsia="ja-JP"/>
        </w:rPr>
        <w:t>when reporting on this section?</w:t>
      </w:r>
    </w:p>
    <w:p w14:paraId="04ABE854" w14:textId="556239E3" w:rsidR="00A46152" w:rsidRPr="00C20F56" w:rsidRDefault="00986A87" w:rsidP="00C20F56">
      <w:pPr>
        <w:pStyle w:val="ListParagraph"/>
        <w:rPr>
          <w:lang w:eastAsia="ja-JP"/>
        </w:rPr>
      </w:pPr>
      <w:r>
        <w:rPr>
          <w:lang w:eastAsia="ja-JP"/>
        </w:rPr>
        <w:t xml:space="preserve">When responding to </w:t>
      </w:r>
      <w:r w:rsidR="005D04C0">
        <w:rPr>
          <w:lang w:eastAsia="ja-JP"/>
        </w:rPr>
        <w:t xml:space="preserve">the questions in </w:t>
      </w:r>
      <w:r>
        <w:rPr>
          <w:lang w:eastAsia="ja-JP"/>
        </w:rPr>
        <w:t>Section 3B</w:t>
      </w:r>
      <w:r w:rsidR="005D04C0">
        <w:rPr>
          <w:lang w:eastAsia="ja-JP"/>
        </w:rPr>
        <w:t xml:space="preserve">, hospitals should </w:t>
      </w:r>
      <w:r w:rsidR="005C1DC6" w:rsidRPr="005C1DC6">
        <w:rPr>
          <w:lang w:eastAsia="ja-JP"/>
        </w:rPr>
        <w:t xml:space="preserve">enter the month in which </w:t>
      </w:r>
      <w:r w:rsidR="005D04C0">
        <w:rPr>
          <w:lang w:eastAsia="ja-JP"/>
        </w:rPr>
        <w:t>they</w:t>
      </w:r>
      <w:r w:rsidR="005C1DC6" w:rsidRPr="005C1DC6">
        <w:rPr>
          <w:lang w:eastAsia="ja-JP"/>
        </w:rPr>
        <w:t xml:space="preserve"> complete </w:t>
      </w:r>
      <w:r w:rsidR="00126CF1">
        <w:rPr>
          <w:lang w:eastAsia="ja-JP"/>
        </w:rPr>
        <w:t xml:space="preserve">their </w:t>
      </w:r>
      <w:r w:rsidR="005C1DC6" w:rsidRPr="005C1DC6">
        <w:rPr>
          <w:lang w:eastAsia="ja-JP"/>
        </w:rPr>
        <w:t xml:space="preserve">observational in-person or retrospective EHR </w:t>
      </w:r>
      <w:r w:rsidR="00D55395">
        <w:rPr>
          <w:lang w:eastAsia="ja-JP"/>
        </w:rPr>
        <w:t>review</w:t>
      </w:r>
      <w:r w:rsidR="00126CF1">
        <w:rPr>
          <w:lang w:eastAsia="ja-JP"/>
        </w:rPr>
        <w:t xml:space="preserve"> audits</w:t>
      </w:r>
      <w:r w:rsidR="00D55395">
        <w:rPr>
          <w:lang w:eastAsia="ja-JP"/>
        </w:rPr>
        <w:t>.</w:t>
      </w:r>
      <w:r w:rsidR="007861AA">
        <w:rPr>
          <w:lang w:eastAsia="ja-JP"/>
        </w:rPr>
        <w:t xml:space="preserve"> </w:t>
      </w:r>
      <w:r w:rsidR="00D55395">
        <w:rPr>
          <w:lang w:eastAsia="ja-JP"/>
        </w:rPr>
        <w:t xml:space="preserve">If </w:t>
      </w:r>
      <w:r w:rsidR="004761C9">
        <w:rPr>
          <w:lang w:eastAsia="ja-JP"/>
        </w:rPr>
        <w:t xml:space="preserve">your </w:t>
      </w:r>
      <w:r w:rsidR="00126CF1">
        <w:rPr>
          <w:lang w:eastAsia="ja-JP"/>
        </w:rPr>
        <w:t>hospital</w:t>
      </w:r>
      <w:r w:rsidR="004761C9">
        <w:rPr>
          <w:lang w:eastAsia="ja-JP"/>
        </w:rPr>
        <w:t xml:space="preserve"> does</w:t>
      </w:r>
      <w:r w:rsidR="00126CF1">
        <w:rPr>
          <w:lang w:eastAsia="ja-JP"/>
        </w:rPr>
        <w:t xml:space="preserve"> </w:t>
      </w:r>
      <w:r w:rsidR="00D55395">
        <w:rPr>
          <w:lang w:eastAsia="ja-JP"/>
        </w:rPr>
        <w:t xml:space="preserve">not perform an audit, enter the month </w:t>
      </w:r>
      <w:r w:rsidR="0015693C">
        <w:rPr>
          <w:lang w:eastAsia="ja-JP"/>
        </w:rPr>
        <w:t>in</w:t>
      </w:r>
      <w:r w:rsidR="00D55395">
        <w:rPr>
          <w:lang w:eastAsia="ja-JP"/>
        </w:rPr>
        <w:t xml:space="preserve"> which you </w:t>
      </w:r>
      <w:r w:rsidR="0015693C">
        <w:rPr>
          <w:lang w:eastAsia="ja-JP"/>
        </w:rPr>
        <w:t>are completing the Survey</w:t>
      </w:r>
      <w:r w:rsidR="00B80CAA">
        <w:rPr>
          <w:lang w:eastAsia="ja-JP"/>
        </w:rPr>
        <w:t xml:space="preserve">. </w:t>
      </w:r>
      <w:r w:rsidR="00372876">
        <w:rPr>
          <w:lang w:eastAsia="ja-JP"/>
        </w:rPr>
        <w:t xml:space="preserve"> </w:t>
      </w:r>
    </w:p>
    <w:p w14:paraId="65C40232" w14:textId="77777777" w:rsidR="00074F1E" w:rsidRPr="00B77D2A" w:rsidRDefault="00074F1E" w:rsidP="00C20F56">
      <w:pPr>
        <w:pStyle w:val="ListParagraph"/>
        <w:rPr>
          <w:sz w:val="16"/>
          <w:szCs w:val="16"/>
          <w:lang w:eastAsia="ja-JP"/>
        </w:rPr>
      </w:pPr>
    </w:p>
    <w:p w14:paraId="7F31C573" w14:textId="30D38135" w:rsidR="00D374ED" w:rsidRPr="00974A8E" w:rsidRDefault="00D374ED" w:rsidP="00AD309C">
      <w:pPr>
        <w:pStyle w:val="ListParagraph"/>
        <w:numPr>
          <w:ilvl w:val="0"/>
          <w:numId w:val="55"/>
        </w:numPr>
        <w:rPr>
          <w:lang w:eastAsia="ja-JP"/>
        </w:rPr>
      </w:pPr>
      <w:r>
        <w:rPr>
          <w:b/>
          <w:lang w:eastAsia="ja-JP"/>
        </w:rPr>
        <w:t>Does the safe surgery checklist referenced in Section 3B apply to all procedures, including endoscopies?</w:t>
      </w:r>
    </w:p>
    <w:p w14:paraId="3370CBDB" w14:textId="5D3744D9" w:rsidR="00D374ED" w:rsidRPr="00B77D2A" w:rsidRDefault="00D374ED" w:rsidP="00D374ED">
      <w:pPr>
        <w:pStyle w:val="CommentText"/>
        <w:ind w:left="720"/>
        <w:rPr>
          <w:sz w:val="16"/>
          <w:szCs w:val="16"/>
        </w:rPr>
      </w:pPr>
      <w:r>
        <w:t>Yes, it applies to all procedures in Section 3A. If your hospital does not utilize a safe surgery checklist for all procedures in Section 3A, including endoscopies, respond “</w:t>
      </w:r>
      <w:r w:rsidR="00452A49">
        <w:t>n</w:t>
      </w:r>
      <w:r>
        <w:t>o” to question #2.</w:t>
      </w:r>
      <w:r>
        <w:br/>
      </w:r>
    </w:p>
    <w:p w14:paraId="7FEF32C3" w14:textId="5114F0A4" w:rsidR="002A2342" w:rsidRPr="00F0772B" w:rsidRDefault="002A2342" w:rsidP="00AD309C">
      <w:pPr>
        <w:pStyle w:val="ListParagraph"/>
        <w:numPr>
          <w:ilvl w:val="0"/>
          <w:numId w:val="55"/>
        </w:numPr>
        <w:rPr>
          <w:b/>
          <w:bCs/>
        </w:rPr>
      </w:pPr>
      <w:r w:rsidRPr="00F0772B">
        <w:rPr>
          <w:b/>
          <w:bCs/>
        </w:rPr>
        <w:t>Can different elements of the “Before the induction of anesthesia” checklist (question #3) be performed in different places?</w:t>
      </w:r>
    </w:p>
    <w:p w14:paraId="167B54F5" w14:textId="77777777" w:rsidR="002A2342" w:rsidRPr="001E2A00" w:rsidRDefault="002A2342" w:rsidP="002A2342">
      <w:pPr>
        <w:pStyle w:val="ListParagraph"/>
      </w:pPr>
      <w:r w:rsidRPr="001E2A00">
        <w:t xml:space="preserve">Yes, hospitals may perform some elements of the pre-anesthesia checklist outside of the operating room. Hospitals may read aloud the following elements in a pre-procedure (preop) area: Patient ID, Confirmation of procedure, Patient consent, Site marked, if applicable, and Allergies assessed. </w:t>
      </w:r>
    </w:p>
    <w:p w14:paraId="1477070F" w14:textId="77777777" w:rsidR="002A2342" w:rsidRPr="001E2A00" w:rsidRDefault="002A2342" w:rsidP="002A2342">
      <w:pPr>
        <w:pStyle w:val="ListParagraph"/>
      </w:pPr>
    </w:p>
    <w:p w14:paraId="55E1885A" w14:textId="6FFBF497" w:rsidR="00D374ED" w:rsidRPr="001E2A00" w:rsidRDefault="002A2342" w:rsidP="002A2342">
      <w:pPr>
        <w:pStyle w:val="ListParagraph"/>
      </w:pPr>
      <w:r w:rsidRPr="001E2A00">
        <w:t>Hospitals should not remove conversation prompts as it is harmful to the purpose of the checklist and should continue debriefing and requiring participation of the surgical team members in key moments.</w:t>
      </w:r>
      <w:r>
        <w:br/>
      </w:r>
    </w:p>
    <w:p w14:paraId="3CF0C72D" w14:textId="792F4B5C" w:rsidR="00972266" w:rsidRDefault="00972266" w:rsidP="00AD309C">
      <w:pPr>
        <w:pStyle w:val="ListParagraph"/>
        <w:numPr>
          <w:ilvl w:val="0"/>
          <w:numId w:val="55"/>
        </w:numPr>
        <w:rPr>
          <w:b/>
          <w:bCs/>
        </w:rPr>
      </w:pPr>
      <w:bookmarkStart w:id="292" w:name="clinicalteamintro_3b"/>
      <w:bookmarkEnd w:id="292"/>
      <w:r>
        <w:rPr>
          <w:b/>
          <w:bCs/>
        </w:rPr>
        <w:lastRenderedPageBreak/>
        <w:t>Do we need to perform a “clinical team introduction” if the team already knows each other and/or will be in the operating room together all day?</w:t>
      </w:r>
    </w:p>
    <w:p w14:paraId="7C15DDB7" w14:textId="72F42236" w:rsidR="00972266" w:rsidRDefault="00972266" w:rsidP="00745E20">
      <w:pPr>
        <w:pStyle w:val="ListParagraph"/>
      </w:pPr>
      <w:r w:rsidRPr="00AE08E8">
        <w:t xml:space="preserve">Yes. </w:t>
      </w:r>
      <w:r>
        <w:t xml:space="preserve">Even if a clinical team knows each other they must perform an introduction stating their name and role at the first procedure of the day. </w:t>
      </w:r>
      <w:r w:rsidR="008D41BB">
        <w:t xml:space="preserve">They </w:t>
      </w:r>
      <w:r>
        <w:t xml:space="preserve">do not need to reintroduce </w:t>
      </w:r>
      <w:r w:rsidR="008D41BB">
        <w:t xml:space="preserve">themselves </w:t>
      </w:r>
      <w:r>
        <w:t xml:space="preserve">for the remaining </w:t>
      </w:r>
      <w:r w:rsidR="00A446BE">
        <w:t>procedures but</w:t>
      </w:r>
      <w:r>
        <w:t xml:space="preserve"> should </w:t>
      </w:r>
      <w:r w:rsidRPr="00BA343A">
        <w:t xml:space="preserve">confirm everyone </w:t>
      </w:r>
      <w:r>
        <w:t>was</w:t>
      </w:r>
      <w:r w:rsidRPr="00BA343A">
        <w:t xml:space="preserve"> introduced</w:t>
      </w:r>
      <w:r>
        <w:t xml:space="preserve"> beforehand. However, if any team members change between operations, introductions must be performed again.</w:t>
      </w:r>
    </w:p>
    <w:p w14:paraId="571C1D9B" w14:textId="77777777" w:rsidR="00745E20" w:rsidRPr="00AE08E8" w:rsidRDefault="00745E20" w:rsidP="00745E20">
      <w:pPr>
        <w:pStyle w:val="ListParagraph"/>
      </w:pPr>
    </w:p>
    <w:p w14:paraId="670CCB96" w14:textId="14EF5C76" w:rsidR="00BC3C78" w:rsidRPr="00B169F1" w:rsidRDefault="00BC3C78" w:rsidP="00AD309C">
      <w:pPr>
        <w:pStyle w:val="ListParagraph"/>
        <w:numPr>
          <w:ilvl w:val="0"/>
          <w:numId w:val="55"/>
        </w:numPr>
        <w:rPr>
          <w:b/>
          <w:bCs/>
        </w:rPr>
      </w:pPr>
      <w:r w:rsidRPr="00B169F1">
        <w:rPr>
          <w:b/>
          <w:bCs/>
        </w:rPr>
        <w:t xml:space="preserve">Do the Safe Surgery Checklist components included in questions </w:t>
      </w:r>
      <w:r>
        <w:rPr>
          <w:b/>
          <w:bCs/>
        </w:rPr>
        <w:t>#3</w:t>
      </w:r>
      <w:r w:rsidRPr="00B169F1">
        <w:rPr>
          <w:b/>
          <w:bCs/>
        </w:rPr>
        <w:t xml:space="preserve">, </w:t>
      </w:r>
      <w:r>
        <w:rPr>
          <w:b/>
          <w:bCs/>
        </w:rPr>
        <w:t>#4</w:t>
      </w:r>
      <w:r w:rsidRPr="00B169F1">
        <w:rPr>
          <w:b/>
          <w:bCs/>
        </w:rPr>
        <w:t xml:space="preserve">, and </w:t>
      </w:r>
      <w:r>
        <w:rPr>
          <w:b/>
          <w:bCs/>
        </w:rPr>
        <w:t>#5</w:t>
      </w:r>
      <w:r w:rsidRPr="00B169F1">
        <w:rPr>
          <w:b/>
          <w:bCs/>
        </w:rPr>
        <w:t xml:space="preserve"> need to be in one document that would align with the </w:t>
      </w:r>
      <w:hyperlink r:id="rId241" w:history="1">
        <w:r w:rsidRPr="00E428B3">
          <w:rPr>
            <w:rStyle w:val="Hyperlink"/>
            <w:b/>
            <w:bCs/>
          </w:rPr>
          <w:t>WHO example</w:t>
        </w:r>
      </w:hyperlink>
      <w:r w:rsidRPr="00B169F1">
        <w:rPr>
          <w:b/>
          <w:bCs/>
        </w:rPr>
        <w:t xml:space="preserve"> or can they be in different documents (i.e., pre-anesthesia notes, surgeon H&amp;P, and pre-surgical checklists, etc.)? </w:t>
      </w:r>
    </w:p>
    <w:p w14:paraId="70EB3067" w14:textId="10810C4C" w:rsidR="00BC3C78" w:rsidRDefault="00BC3C78" w:rsidP="00CE15B5">
      <w:pPr>
        <w:pStyle w:val="CommentText"/>
        <w:ind w:left="720"/>
      </w:pPr>
      <w:r w:rsidRPr="00B169F1">
        <w:t>It is possible to have separate checklists for each phase of the surgical procedure (i.e., before the induction of anesthesia, before the skin incision and/or before the procedure begins, and before the patient leaves the operating or procedure room). However, each individual component included in questions #</w:t>
      </w:r>
      <w:r>
        <w:t>3</w:t>
      </w:r>
      <w:r w:rsidRPr="00B169F1">
        <w:t xml:space="preserve">, </w:t>
      </w:r>
      <w:r>
        <w:t>#4</w:t>
      </w:r>
      <w:r w:rsidRPr="00B169F1">
        <w:t xml:space="preserve">, and </w:t>
      </w:r>
      <w:r>
        <w:t>#5</w:t>
      </w:r>
      <w:r w:rsidRPr="00B169F1">
        <w:t xml:space="preserve"> should be listed on the checklist(s) and hospitals should document whether the components were read aloud at the appropriate time with the appropriate members of the surgical team present.</w:t>
      </w:r>
    </w:p>
    <w:p w14:paraId="09ACC360" w14:textId="77777777" w:rsidR="00BC3C78" w:rsidRPr="00B169F1" w:rsidRDefault="00BC3C78" w:rsidP="00BC3C78">
      <w:pPr>
        <w:pStyle w:val="CommentText"/>
        <w:ind w:left="360"/>
      </w:pPr>
    </w:p>
    <w:p w14:paraId="43CFF957" w14:textId="1AD15CEB" w:rsidR="00BC3C78" w:rsidRPr="008C2B4F" w:rsidRDefault="00BC3C78" w:rsidP="00AD309C">
      <w:pPr>
        <w:pStyle w:val="CommentText"/>
        <w:numPr>
          <w:ilvl w:val="0"/>
          <w:numId w:val="55"/>
        </w:numPr>
      </w:pPr>
      <w:bookmarkStart w:id="293" w:name="wholesurgicalteam3b"/>
      <w:bookmarkEnd w:id="293"/>
      <w:r>
        <w:rPr>
          <w:b/>
          <w:bCs/>
        </w:rPr>
        <w:t>How is “whole surgical team” defined?</w:t>
      </w:r>
    </w:p>
    <w:p w14:paraId="5A79890B" w14:textId="573C560D" w:rsidR="00BC3C78" w:rsidRDefault="00BC3C78" w:rsidP="00CE15B5">
      <w:pPr>
        <w:pStyle w:val="CommentText"/>
        <w:ind w:left="720"/>
      </w:pPr>
      <w:r>
        <w:t xml:space="preserve">“Whole surgical team” is comprised of the surgeons, anesthesia professionals, nurses, </w:t>
      </w:r>
      <w:r w:rsidR="00D33B73">
        <w:t>technicians,</w:t>
      </w:r>
      <w:r>
        <w:t xml:space="preserve"> and other operating room personnel involved in surgery. </w:t>
      </w:r>
      <w:r w:rsidR="00C274F7">
        <w:t>This is b</w:t>
      </w:r>
      <w:r>
        <w:t xml:space="preserve">ased off the </w:t>
      </w:r>
      <w:hyperlink r:id="rId242" w:history="1">
        <w:r w:rsidR="00684F1A">
          <w:rPr>
            <w:rStyle w:val="Hyperlink"/>
          </w:rPr>
          <w:t>World Alliance for Patient Safety Implementation Manual Surgical Safety Checklist (First Edition).</w:t>
        </w:r>
      </w:hyperlink>
    </w:p>
    <w:p w14:paraId="08FBA7AC" w14:textId="692ADB97" w:rsidR="00BC3C78" w:rsidRPr="00BC3C78" w:rsidRDefault="00BC3C78" w:rsidP="00BC3C78">
      <w:pPr>
        <w:rPr>
          <w:rFonts w:cs="Arial"/>
        </w:rPr>
        <w:sectPr w:rsidR="00BC3C78" w:rsidRPr="00BC3C78" w:rsidSect="00062F69">
          <w:headerReference w:type="default" r:id="rId243"/>
          <w:endnotePr>
            <w:numFmt w:val="decimal"/>
          </w:endnotePr>
          <w:type w:val="continuous"/>
          <w:pgSz w:w="12240" w:h="15840"/>
          <w:pgMar w:top="1080" w:right="1440" w:bottom="1080" w:left="1440" w:header="720" w:footer="720" w:gutter="0"/>
          <w:cols w:space="720"/>
          <w:docGrid w:linePitch="272"/>
        </w:sectPr>
      </w:pPr>
    </w:p>
    <w:p w14:paraId="395C21D0" w14:textId="77777777" w:rsidR="00F61ED5" w:rsidRPr="009A5185" w:rsidRDefault="00F61ED5" w:rsidP="00D32C75">
      <w:pPr>
        <w:pStyle w:val="SectionHeader"/>
        <w:sectPr w:rsidR="00F61ED5" w:rsidRPr="009A5185" w:rsidSect="00062F69">
          <w:headerReference w:type="default" r:id="rId244"/>
          <w:endnotePr>
            <w:numFmt w:val="decimal"/>
          </w:endnotePr>
          <w:type w:val="continuous"/>
          <w:pgSz w:w="12240" w:h="15840"/>
          <w:pgMar w:top="1080" w:right="1440" w:bottom="1080" w:left="1440" w:header="720" w:footer="720" w:gutter="0"/>
          <w:cols w:space="720"/>
          <w:docGrid w:linePitch="272"/>
        </w:sectPr>
      </w:pPr>
    </w:p>
    <w:p w14:paraId="730DE44F" w14:textId="77777777" w:rsidR="00314EEF" w:rsidRPr="009A5185" w:rsidRDefault="00314EEF" w:rsidP="00F0772B"/>
    <w:p w14:paraId="3F2B6025" w14:textId="77777777" w:rsidR="00BC3C78" w:rsidRDefault="00BC3C78">
      <w:pPr>
        <w:rPr>
          <w:snapToGrid w:val="0"/>
          <w:sz w:val="40"/>
          <w:szCs w:val="40"/>
          <w:lang w:eastAsia="ja-JP"/>
        </w:rPr>
      </w:pPr>
      <w:r>
        <w:br w:type="page"/>
      </w:r>
    </w:p>
    <w:p w14:paraId="1ACA200A" w14:textId="0C4940BC" w:rsidR="006E50EF" w:rsidRPr="009A5185" w:rsidRDefault="00573AD5" w:rsidP="00D32C75">
      <w:pPr>
        <w:pStyle w:val="SectionHeader"/>
      </w:pPr>
      <w:bookmarkStart w:id="294" w:name="_Toc225877721"/>
      <w:r w:rsidRPr="009A5185">
        <w:lastRenderedPageBreak/>
        <w:t>Page Intentionally Left Blank</w:t>
      </w:r>
      <w:bookmarkEnd w:id="288"/>
      <w:bookmarkEnd w:id="294"/>
    </w:p>
    <w:p w14:paraId="573BDAAD" w14:textId="77777777" w:rsidR="00573AD5" w:rsidRPr="009A5185" w:rsidRDefault="00573AD5">
      <w:pPr>
        <w:rPr>
          <w:rFonts w:cs="Arial"/>
          <w:b/>
          <w:snapToGrid w:val="0"/>
          <w:color w:val="A6A6A6" w:themeColor="background1" w:themeShade="A6"/>
          <w:sz w:val="40"/>
          <w:szCs w:val="40"/>
          <w:lang w:eastAsia="ja-JP"/>
        </w:rPr>
      </w:pPr>
      <w:r w:rsidRPr="009A5185">
        <w:rPr>
          <w:rFonts w:cs="Arial"/>
          <w:color w:val="A6A6A6" w:themeColor="background1" w:themeShade="A6"/>
        </w:rPr>
        <w:br w:type="page"/>
      </w:r>
    </w:p>
    <w:p w14:paraId="2E40FDC9" w14:textId="77777777" w:rsidR="00920EF6" w:rsidRPr="009A5185" w:rsidRDefault="00920EF6" w:rsidP="00D32C75">
      <w:pPr>
        <w:pStyle w:val="SectionHeader"/>
        <w:sectPr w:rsidR="00920EF6" w:rsidRPr="009A5185" w:rsidSect="00062F69">
          <w:endnotePr>
            <w:numFmt w:val="decimal"/>
          </w:endnotePr>
          <w:type w:val="continuous"/>
          <w:pgSz w:w="12240" w:h="15840"/>
          <w:pgMar w:top="1080" w:right="1440" w:bottom="1080" w:left="1440" w:header="720" w:footer="720" w:gutter="0"/>
          <w:cols w:space="720"/>
          <w:docGrid w:linePitch="272"/>
        </w:sectPr>
      </w:pPr>
    </w:p>
    <w:p w14:paraId="0E54C0D2" w14:textId="77777777" w:rsidR="00573AD5" w:rsidRPr="009A5185" w:rsidRDefault="00573AD5" w:rsidP="00764EEA"/>
    <w:p w14:paraId="6475DFA0" w14:textId="77777777" w:rsidR="006E50EF" w:rsidRPr="009A5185" w:rsidRDefault="006E50EF" w:rsidP="00764EEA"/>
    <w:p w14:paraId="1910E4D4" w14:textId="77777777" w:rsidR="006E50EF" w:rsidRPr="009A5185" w:rsidRDefault="006E50EF" w:rsidP="00764EEA"/>
    <w:p w14:paraId="38275B7A" w14:textId="77777777" w:rsidR="006E50EF" w:rsidRPr="009A5185" w:rsidRDefault="006E50EF" w:rsidP="00764EEA"/>
    <w:p w14:paraId="58ED3594" w14:textId="77777777" w:rsidR="006E50EF" w:rsidRPr="009A5185" w:rsidRDefault="006E50EF" w:rsidP="00764EEA"/>
    <w:p w14:paraId="1F2D5BF0" w14:textId="77777777" w:rsidR="006E50EF" w:rsidRPr="009A5185" w:rsidRDefault="006E50EF" w:rsidP="00764EEA"/>
    <w:p w14:paraId="2A2CD29E" w14:textId="77777777" w:rsidR="006E50EF" w:rsidRPr="009A5185" w:rsidRDefault="006E50EF" w:rsidP="00764EEA"/>
    <w:p w14:paraId="1498B55E" w14:textId="77777777" w:rsidR="006E50EF" w:rsidRPr="009A5185" w:rsidRDefault="006E50EF" w:rsidP="00764EEA"/>
    <w:p w14:paraId="417292F1" w14:textId="77777777" w:rsidR="006E50EF" w:rsidRPr="009A5185" w:rsidRDefault="006E50EF" w:rsidP="00764EEA"/>
    <w:p w14:paraId="637BFF71" w14:textId="548315D3" w:rsidR="006E50EF" w:rsidRDefault="006E50EF" w:rsidP="00F750C5"/>
    <w:p w14:paraId="43E91DFD" w14:textId="6E1C9262" w:rsidR="00F750C5" w:rsidRDefault="00F750C5" w:rsidP="00F750C5"/>
    <w:p w14:paraId="59289D8E" w14:textId="0631366B" w:rsidR="00F750C5" w:rsidRDefault="00F750C5" w:rsidP="00F750C5"/>
    <w:p w14:paraId="2E6090A3" w14:textId="77777777" w:rsidR="00B43F10" w:rsidRDefault="00B43F10" w:rsidP="00F750C5"/>
    <w:p w14:paraId="29015494" w14:textId="573067B9" w:rsidR="00F750C5" w:rsidRDefault="00F750C5" w:rsidP="00F750C5"/>
    <w:p w14:paraId="58A27AFC" w14:textId="77777777" w:rsidR="00A040BA" w:rsidRDefault="00A040BA" w:rsidP="00F750C5"/>
    <w:p w14:paraId="12117366" w14:textId="77777777" w:rsidR="00A040BA" w:rsidRDefault="00A040BA" w:rsidP="00F750C5"/>
    <w:p w14:paraId="770818F2" w14:textId="3A280710" w:rsidR="00F750C5" w:rsidRDefault="00F750C5" w:rsidP="00F750C5"/>
    <w:p w14:paraId="2CA3BE37" w14:textId="77777777" w:rsidR="00F750C5" w:rsidRPr="009A5185" w:rsidRDefault="00F750C5" w:rsidP="00764EEA"/>
    <w:p w14:paraId="27036E5D" w14:textId="77777777" w:rsidR="006E50EF" w:rsidRPr="009A5185" w:rsidRDefault="006E50EF" w:rsidP="00D32C75">
      <w:pPr>
        <w:pStyle w:val="SectionHeader"/>
      </w:pPr>
      <w:bookmarkStart w:id="295" w:name="_Toc225877722"/>
      <w:bookmarkStart w:id="296" w:name="Sect4"/>
      <w:r w:rsidRPr="009A5185">
        <w:t>SECTION 4: MATERNITY CARE</w:t>
      </w:r>
      <w:bookmarkEnd w:id="295"/>
    </w:p>
    <w:bookmarkEnd w:id="296"/>
    <w:p w14:paraId="49ADB73B" w14:textId="77777777" w:rsidR="006E50EF" w:rsidRPr="009A5185" w:rsidRDefault="006E50EF" w:rsidP="00764EEA"/>
    <w:p w14:paraId="285B3D48" w14:textId="77777777" w:rsidR="006E50EF" w:rsidRPr="009A5185" w:rsidRDefault="006E50EF" w:rsidP="00A828BA">
      <w:pPr>
        <w:rPr>
          <w:rFonts w:cs="Arial"/>
        </w:rPr>
      </w:pPr>
      <w:r w:rsidRPr="009A5185">
        <w:rPr>
          <w:rFonts w:cs="Arial"/>
        </w:rPr>
        <w:t>This section includes questions and reference information for Section 4</w:t>
      </w:r>
      <w:r w:rsidR="004A4FD0" w:rsidRPr="009A5185">
        <w:rPr>
          <w:rFonts w:cs="Arial"/>
        </w:rPr>
        <w:t>:</w:t>
      </w:r>
      <w:r w:rsidRPr="009A5185">
        <w:rPr>
          <w:rFonts w:cs="Arial"/>
        </w:rPr>
        <w:t xml:space="preserve"> Maternity Care. Please carefully review the questions, </w:t>
      </w:r>
      <w:r w:rsidR="00B94757" w:rsidRPr="009A5185">
        <w:rPr>
          <w:rFonts w:cs="Arial"/>
        </w:rPr>
        <w:t>endnotes</w:t>
      </w:r>
      <w:r w:rsidRPr="009A5185">
        <w:rPr>
          <w:rFonts w:cs="Arial"/>
        </w:rPr>
        <w:t>, and reference information (e.g.</w:t>
      </w:r>
      <w:r w:rsidR="000B77D0" w:rsidRPr="009A5185">
        <w:rPr>
          <w:rFonts w:cs="Arial"/>
        </w:rPr>
        <w:t>,</w:t>
      </w:r>
      <w:r w:rsidRPr="009A5185">
        <w:rPr>
          <w:rFonts w:cs="Arial"/>
        </w:rPr>
        <w:t xml:space="preserve"> measure specifications, notes, and frequen</w:t>
      </w:r>
      <w:r w:rsidR="000B77D0" w:rsidRPr="009A5185">
        <w:rPr>
          <w:rFonts w:cs="Arial"/>
        </w:rPr>
        <w:t>tl</w:t>
      </w:r>
      <w:r w:rsidRPr="009A5185">
        <w:rPr>
          <w:rFonts w:cs="Arial"/>
        </w:rPr>
        <w:t xml:space="preserve">y asked questions) before you begin. Failure to review the reference information could result in inaccurate responses. </w:t>
      </w:r>
    </w:p>
    <w:p w14:paraId="4F4ACDBE" w14:textId="77777777" w:rsidR="006E50EF" w:rsidRPr="009A5185" w:rsidRDefault="00C20B35" w:rsidP="00764EEA">
      <w:r>
        <w:tab/>
      </w:r>
    </w:p>
    <w:p w14:paraId="25C148F9" w14:textId="5210A76E" w:rsidR="00BB0077" w:rsidRDefault="006E50EF" w:rsidP="00CF5A6E">
      <w:pPr>
        <w:pStyle w:val="Heading2"/>
      </w:pPr>
      <w:bookmarkStart w:id="297" w:name="_Section_4:_Maternity"/>
      <w:bookmarkEnd w:id="297"/>
      <w:r w:rsidRPr="009A5185">
        <w:br w:type="page"/>
      </w:r>
      <w:bookmarkStart w:id="298" w:name="_Toc225877723"/>
      <w:r w:rsidR="00BB0077">
        <w:lastRenderedPageBreak/>
        <w:t>Section 4: Maternity Care</w:t>
      </w:r>
      <w:bookmarkEnd w:id="298"/>
    </w:p>
    <w:p w14:paraId="65950588" w14:textId="77777777" w:rsidR="00BB0077" w:rsidRPr="009A5185" w:rsidRDefault="00BB0077" w:rsidP="000F3D1F">
      <w:pPr>
        <w:rPr>
          <w:snapToGrid w:val="0"/>
        </w:rPr>
      </w:pPr>
    </w:p>
    <w:p w14:paraId="1C225CBA" w14:textId="5D3AA9EB" w:rsidR="00E67592" w:rsidRDefault="006E50EF">
      <w:pPr>
        <w:pStyle w:val="BodyText3"/>
      </w:pPr>
      <w:r w:rsidRPr="009A5185">
        <w:rPr>
          <w:rFonts w:cs="Arial"/>
          <w:b/>
          <w:snapToGrid w:val="0"/>
          <w:color w:val="auto"/>
        </w:rPr>
        <w:t>Maternity Care Fact Sheet</w:t>
      </w:r>
      <w:r w:rsidR="009778A5">
        <w:rPr>
          <w:rFonts w:cs="Arial"/>
          <w:b/>
          <w:snapToGrid w:val="0"/>
          <w:color w:val="auto"/>
        </w:rPr>
        <w:t xml:space="preserve"> and Bibliography</w:t>
      </w:r>
      <w:r w:rsidRPr="009A5185">
        <w:rPr>
          <w:rFonts w:cs="Arial"/>
          <w:b/>
          <w:snapToGrid w:val="0"/>
          <w:color w:val="auto"/>
        </w:rPr>
        <w:t>:</w:t>
      </w:r>
      <w:r w:rsidR="00E03E77" w:rsidRPr="009A5185">
        <w:rPr>
          <w:rFonts w:cs="Arial"/>
          <w:b/>
          <w:snapToGrid w:val="0"/>
          <w:color w:val="auto"/>
        </w:rPr>
        <w:t xml:space="preserve"> </w:t>
      </w:r>
      <w:hyperlink r:id="rId245" w:history="1">
        <w:r w:rsidR="002972C4" w:rsidRPr="00A2752F">
          <w:rPr>
            <w:rStyle w:val="Hyperlink"/>
          </w:rPr>
          <w:t>https://ratings.leapfroggroup.org/measure/hospital/2026/maternity-care</w:t>
        </w:r>
      </w:hyperlink>
    </w:p>
    <w:p w14:paraId="4D8ACE64" w14:textId="77777777" w:rsidR="002972C4" w:rsidRPr="009A5185" w:rsidRDefault="002972C4">
      <w:pPr>
        <w:pStyle w:val="BodyText3"/>
        <w:rPr>
          <w:rFonts w:cs="Arial"/>
          <w:b/>
          <w:snapToGrid w:val="0"/>
          <w:color w:val="FF0000"/>
        </w:rPr>
      </w:pPr>
    </w:p>
    <w:p w14:paraId="33FABEB2" w14:textId="223DBBA6" w:rsidR="00755C15" w:rsidRPr="009A5185" w:rsidRDefault="006E50EF">
      <w:pPr>
        <w:pStyle w:val="BodyText3"/>
        <w:rPr>
          <w:rFonts w:cs="Arial"/>
          <w:b/>
          <w:snapToGrid w:val="0"/>
          <w:color w:val="FF0000"/>
        </w:rPr>
      </w:pPr>
      <w:r w:rsidRPr="009A5185">
        <w:rPr>
          <w:rFonts w:cs="Arial"/>
          <w:b/>
          <w:snapToGrid w:val="0"/>
          <w:color w:val="FF0000"/>
        </w:rPr>
        <w:t>Hospitals that did not deliver newborns during the re</w:t>
      </w:r>
      <w:r w:rsidR="004A3C52">
        <w:rPr>
          <w:rFonts w:cs="Arial"/>
          <w:b/>
          <w:snapToGrid w:val="0"/>
          <w:color w:val="FF0000"/>
        </w:rPr>
        <w:t xml:space="preserve">porting period or did not have an open labor and delivery unit during the entire reporting period should </w:t>
      </w:r>
      <w:r w:rsidR="00725C16">
        <w:rPr>
          <w:rFonts w:cs="Arial"/>
          <w:b/>
          <w:snapToGrid w:val="0"/>
          <w:color w:val="FF0000"/>
        </w:rPr>
        <w:t>select</w:t>
      </w:r>
      <w:r w:rsidR="004A3C52">
        <w:rPr>
          <w:rFonts w:cs="Arial"/>
          <w:b/>
          <w:snapToGrid w:val="0"/>
          <w:color w:val="FF0000"/>
        </w:rPr>
        <w:t xml:space="preserve"> “n</w:t>
      </w:r>
      <w:r w:rsidRPr="009A5185">
        <w:rPr>
          <w:rFonts w:cs="Arial"/>
          <w:b/>
          <w:snapToGrid w:val="0"/>
          <w:color w:val="FF0000"/>
        </w:rPr>
        <w:t xml:space="preserve">o” </w:t>
      </w:r>
      <w:r w:rsidR="00C74C56">
        <w:rPr>
          <w:rFonts w:cs="Arial"/>
          <w:b/>
          <w:snapToGrid w:val="0"/>
          <w:color w:val="FF0000"/>
        </w:rPr>
        <w:t xml:space="preserve">or </w:t>
      </w:r>
      <w:r w:rsidR="00C74C56" w:rsidRPr="00C74C56">
        <w:rPr>
          <w:rFonts w:cs="Arial"/>
          <w:b/>
          <w:snapToGrid w:val="0"/>
          <w:color w:val="FF0000"/>
        </w:rPr>
        <w:t>"yes, but unit is now closed or wasn’t open for the entire reporting period"</w:t>
      </w:r>
      <w:r w:rsidR="00C74C56">
        <w:rPr>
          <w:rFonts w:cs="Arial"/>
          <w:b/>
          <w:snapToGrid w:val="0"/>
          <w:color w:val="FF0000"/>
        </w:rPr>
        <w:t xml:space="preserve"> </w:t>
      </w:r>
      <w:r w:rsidR="00725C16">
        <w:rPr>
          <w:rFonts w:cs="Arial"/>
          <w:b/>
          <w:snapToGrid w:val="0"/>
          <w:color w:val="FF0000"/>
        </w:rPr>
        <w:t>in</w:t>
      </w:r>
      <w:r w:rsidRPr="009A5185">
        <w:rPr>
          <w:rFonts w:cs="Arial"/>
          <w:b/>
          <w:snapToGrid w:val="0"/>
          <w:color w:val="FF0000"/>
        </w:rPr>
        <w:t xml:space="preserve"> question </w:t>
      </w:r>
      <w:r w:rsidR="003C672D" w:rsidRPr="009A5185">
        <w:rPr>
          <w:rFonts w:cs="Arial"/>
          <w:b/>
          <w:snapToGrid w:val="0"/>
          <w:color w:val="FF0000"/>
        </w:rPr>
        <w:t>#</w:t>
      </w:r>
      <w:r w:rsidR="00121C3B" w:rsidRPr="009A5185">
        <w:rPr>
          <w:rFonts w:cs="Arial"/>
          <w:b/>
          <w:snapToGrid w:val="0"/>
          <w:color w:val="FF0000"/>
        </w:rPr>
        <w:t>2</w:t>
      </w:r>
      <w:r w:rsidR="00B95DB2" w:rsidRPr="009A5185">
        <w:rPr>
          <w:rFonts w:cs="Arial"/>
          <w:b/>
          <w:snapToGrid w:val="0"/>
          <w:color w:val="FF0000"/>
        </w:rPr>
        <w:t xml:space="preserve"> and move on to the Affirmation of Accuracy</w:t>
      </w:r>
      <w:r w:rsidRPr="009A5185">
        <w:rPr>
          <w:rFonts w:cs="Arial"/>
          <w:b/>
          <w:snapToGrid w:val="0"/>
          <w:color w:val="FF0000"/>
        </w:rPr>
        <w:t xml:space="preserve">. </w:t>
      </w:r>
      <w:r w:rsidR="00B95DB2" w:rsidRPr="009A5185">
        <w:rPr>
          <w:rFonts w:cs="Arial"/>
          <w:b/>
          <w:snapToGrid w:val="0"/>
          <w:color w:val="FF0000"/>
        </w:rPr>
        <w:t>Your hospital’s results will be displayed as “Does Not Apply</w:t>
      </w:r>
      <w:r w:rsidRPr="009A5185">
        <w:rPr>
          <w:rFonts w:cs="Arial"/>
          <w:b/>
          <w:snapToGrid w:val="0"/>
          <w:color w:val="FF0000"/>
        </w:rPr>
        <w:t>”</w:t>
      </w:r>
      <w:r w:rsidR="00B95DB2" w:rsidRPr="009A5185">
        <w:rPr>
          <w:rFonts w:cs="Arial"/>
          <w:b/>
          <w:snapToGrid w:val="0"/>
          <w:color w:val="FF0000"/>
        </w:rPr>
        <w:t xml:space="preserve"> on Leapfrog’s public reporting website.</w:t>
      </w:r>
    </w:p>
    <w:p w14:paraId="3572708E" w14:textId="77777777" w:rsidR="006E50EF" w:rsidRPr="009A5185" w:rsidRDefault="006E50EF">
      <w:pPr>
        <w:pStyle w:val="BodyText3"/>
        <w:rPr>
          <w:rFonts w:cs="Arial"/>
        </w:rPr>
      </w:pPr>
    </w:p>
    <w:p w14:paraId="7C13A0B5" w14:textId="79430E7C" w:rsidR="00E01A32" w:rsidRDefault="00652583" w:rsidP="003B4CC8">
      <w:pPr>
        <w:pStyle w:val="BodyText3"/>
        <w:rPr>
          <w:snapToGrid w:val="0"/>
        </w:rPr>
      </w:pPr>
      <w:r w:rsidRPr="009A5185">
        <w:rPr>
          <w:rFonts w:cs="Arial"/>
          <w:snapToGrid w:val="0"/>
        </w:rPr>
        <w:t xml:space="preserve">Section 4 includes questions about </w:t>
      </w:r>
      <w:r w:rsidR="002C12F1">
        <w:rPr>
          <w:rFonts w:cs="Arial"/>
          <w:snapToGrid w:val="0"/>
        </w:rPr>
        <w:t xml:space="preserve">maternity care volume and services, </w:t>
      </w:r>
      <w:r w:rsidRPr="009A5185">
        <w:rPr>
          <w:rFonts w:cs="Arial"/>
          <w:snapToGrid w:val="0"/>
        </w:rPr>
        <w:t xml:space="preserve">cesarean birth, episiotomy, newborn bilirubin screening, and DVT prophylaxis for women undergoing cesarean </w:t>
      </w:r>
      <w:r>
        <w:rPr>
          <w:rFonts w:cs="Arial"/>
          <w:snapToGrid w:val="0"/>
        </w:rPr>
        <w:t>delivery</w:t>
      </w:r>
      <w:r w:rsidRPr="009A5185">
        <w:rPr>
          <w:rFonts w:cs="Arial"/>
          <w:snapToGrid w:val="0"/>
        </w:rPr>
        <w:t>. The section also includes questions about high-risk deliveries</w:t>
      </w:r>
      <w:r>
        <w:rPr>
          <w:rFonts w:cs="Arial"/>
          <w:snapToGrid w:val="0"/>
        </w:rPr>
        <w:t>, including volume and outcomes.</w:t>
      </w:r>
      <w:r w:rsidR="002C12F1">
        <w:rPr>
          <w:rFonts w:cs="Arial"/>
          <w:snapToGrid w:val="0"/>
        </w:rPr>
        <w:t xml:space="preserve"> </w:t>
      </w:r>
      <w:r>
        <w:rPr>
          <w:rFonts w:cs="Arial"/>
          <w:snapToGrid w:val="0"/>
        </w:rPr>
        <w:t>The subsection on cesarean birth (4C) includes</w:t>
      </w:r>
      <w:r w:rsidR="002C12F1">
        <w:rPr>
          <w:rFonts w:cs="Arial"/>
          <w:snapToGrid w:val="0"/>
        </w:rPr>
        <w:t xml:space="preserve"> questions about cesarean births stratified by race/ethnicity that will not be scored or publicly reported, however, </w:t>
      </w:r>
      <w:r w:rsidR="00157FDB">
        <w:rPr>
          <w:rFonts w:cs="Arial"/>
          <w:snapToGrid w:val="0"/>
        </w:rPr>
        <w:t>responses</w:t>
      </w:r>
      <w:r w:rsidR="002C12F1">
        <w:rPr>
          <w:rFonts w:cs="Arial"/>
          <w:snapToGrid w:val="0"/>
        </w:rPr>
        <w:t xml:space="preserve"> will be used for confidential reporting on the </w:t>
      </w:r>
      <w:hyperlink r:id="rId246" w:history="1">
        <w:r w:rsidR="002C12F1" w:rsidRPr="0014766A">
          <w:rPr>
            <w:rStyle w:val="Hyperlink"/>
            <w:rFonts w:cs="Arial"/>
            <w:snapToGrid w:val="0"/>
          </w:rPr>
          <w:t>Hospital Details Page</w:t>
        </w:r>
      </w:hyperlink>
      <w:r w:rsidR="000F3D1F">
        <w:rPr>
          <w:rFonts w:cs="Arial"/>
          <w:snapToGrid w:val="0"/>
        </w:rPr>
        <w:t xml:space="preserve"> in 202</w:t>
      </w:r>
      <w:r w:rsidR="00FC095A">
        <w:rPr>
          <w:rFonts w:cs="Arial"/>
          <w:snapToGrid w:val="0"/>
        </w:rPr>
        <w:t>6</w:t>
      </w:r>
      <w:r w:rsidR="002C12F1">
        <w:rPr>
          <w:rFonts w:cs="Arial"/>
          <w:snapToGrid w:val="0"/>
        </w:rPr>
        <w:t>.</w:t>
      </w:r>
      <w:r w:rsidR="006E50EF" w:rsidRPr="009A5185">
        <w:rPr>
          <w:rFonts w:cs="Arial"/>
        </w:rPr>
        <w:br/>
      </w:r>
    </w:p>
    <w:p w14:paraId="79EB3098" w14:textId="525B5972" w:rsidR="00E01A32" w:rsidRPr="00E01A32" w:rsidRDefault="00E01A32" w:rsidP="00E01A32">
      <w:pPr>
        <w:rPr>
          <w:rFonts w:cs="Arial"/>
          <w:b/>
        </w:rPr>
      </w:pPr>
      <w:r w:rsidRPr="009A5185">
        <w:rPr>
          <w:rFonts w:cs="Arial"/>
          <w:b/>
        </w:rPr>
        <w:t xml:space="preserve">Each hospital </w:t>
      </w:r>
      <w:r>
        <w:rPr>
          <w:rFonts w:cs="Arial"/>
          <w:b/>
        </w:rPr>
        <w:t>achieving</w:t>
      </w:r>
      <w:r w:rsidRPr="009A5185">
        <w:rPr>
          <w:rFonts w:cs="Arial"/>
          <w:b/>
        </w:rPr>
        <w:t xml:space="preserve"> th</w:t>
      </w:r>
      <w:r>
        <w:rPr>
          <w:rFonts w:cs="Arial"/>
          <w:b/>
        </w:rPr>
        <w:t>e</w:t>
      </w:r>
      <w:r w:rsidRPr="009A5185">
        <w:rPr>
          <w:rFonts w:cs="Arial"/>
          <w:b/>
        </w:rPr>
        <w:t xml:space="preserve"> standard for </w:t>
      </w:r>
      <w:r w:rsidR="001F2727" w:rsidRPr="001F2727">
        <w:rPr>
          <w:rFonts w:cs="Arial"/>
          <w:b/>
        </w:rPr>
        <w:t>Cesarean Birth</w:t>
      </w:r>
      <w:r w:rsidRPr="009A5185">
        <w:rPr>
          <w:rFonts w:cs="Arial"/>
          <w:b/>
        </w:rPr>
        <w:t>:</w:t>
      </w:r>
    </w:p>
    <w:p w14:paraId="091308F8" w14:textId="5D59BB36" w:rsidR="00CF3ECC" w:rsidRDefault="00CF3ECC" w:rsidP="00E01A32">
      <w:pPr>
        <w:rPr>
          <w:rFonts w:cs="Arial"/>
          <w:snapToGrid w:val="0"/>
          <w:color w:val="000000"/>
        </w:rPr>
      </w:pPr>
      <w:r w:rsidRPr="009A5185">
        <w:rPr>
          <w:rFonts w:cs="Arial"/>
          <w:snapToGrid w:val="0"/>
          <w:color w:val="000000"/>
        </w:rPr>
        <w:t>Meets or is better than the 23.</w:t>
      </w:r>
      <w:r>
        <w:rPr>
          <w:rFonts w:cs="Arial"/>
          <w:snapToGrid w:val="0"/>
          <w:color w:val="000000"/>
        </w:rPr>
        <w:t>6</w:t>
      </w:r>
      <w:r w:rsidRPr="009A5185">
        <w:rPr>
          <w:rFonts w:cs="Arial"/>
          <w:snapToGrid w:val="0"/>
          <w:color w:val="000000"/>
        </w:rPr>
        <w:t>% target for performance on the nationally endorsed outcome measure</w:t>
      </w:r>
      <w:r w:rsidR="00FB7ECF">
        <w:rPr>
          <w:rFonts w:cs="Arial"/>
          <w:snapToGrid w:val="0"/>
          <w:color w:val="000000"/>
        </w:rPr>
        <w:t>.</w:t>
      </w:r>
    </w:p>
    <w:p w14:paraId="54503C12" w14:textId="77777777" w:rsidR="00E01A32" w:rsidRDefault="00E01A32" w:rsidP="00E01A32">
      <w:pPr>
        <w:rPr>
          <w:rFonts w:cs="Arial"/>
          <w:snapToGrid w:val="0"/>
          <w:color w:val="000000"/>
        </w:rPr>
      </w:pPr>
    </w:p>
    <w:p w14:paraId="22382FC9" w14:textId="606E3DA9" w:rsidR="00E01A32" w:rsidRPr="00E01A32" w:rsidRDefault="00E01A32" w:rsidP="00E01A32">
      <w:pPr>
        <w:rPr>
          <w:rFonts w:cs="Arial"/>
          <w:b/>
        </w:rPr>
      </w:pPr>
      <w:r w:rsidRPr="009A5185">
        <w:rPr>
          <w:rFonts w:cs="Arial"/>
          <w:b/>
        </w:rPr>
        <w:t xml:space="preserve">Each hospital </w:t>
      </w:r>
      <w:r>
        <w:rPr>
          <w:rFonts w:cs="Arial"/>
          <w:b/>
        </w:rPr>
        <w:t>achieving</w:t>
      </w:r>
      <w:r w:rsidRPr="009A5185">
        <w:rPr>
          <w:rFonts w:cs="Arial"/>
          <w:b/>
        </w:rPr>
        <w:t xml:space="preserve"> th</w:t>
      </w:r>
      <w:r>
        <w:rPr>
          <w:rFonts w:cs="Arial"/>
          <w:b/>
        </w:rPr>
        <w:t>e</w:t>
      </w:r>
      <w:r w:rsidRPr="009A5185">
        <w:rPr>
          <w:rFonts w:cs="Arial"/>
          <w:b/>
        </w:rPr>
        <w:t xml:space="preserve"> standard for </w:t>
      </w:r>
      <w:r w:rsidR="001F2727" w:rsidRPr="001F2727">
        <w:rPr>
          <w:rFonts w:cs="Arial"/>
          <w:b/>
        </w:rPr>
        <w:t>Episiotomy</w:t>
      </w:r>
      <w:r w:rsidRPr="009A5185">
        <w:rPr>
          <w:rFonts w:cs="Arial"/>
          <w:b/>
        </w:rPr>
        <w:t>:</w:t>
      </w:r>
    </w:p>
    <w:p w14:paraId="3A4BBDC7" w14:textId="5A7D392E" w:rsidR="00CF3ECC" w:rsidRDefault="00CF3ECC" w:rsidP="001F2727">
      <w:pPr>
        <w:rPr>
          <w:rFonts w:cs="Arial"/>
          <w:snapToGrid w:val="0"/>
          <w:color w:val="000000"/>
        </w:rPr>
      </w:pPr>
      <w:r w:rsidRPr="009A5185">
        <w:rPr>
          <w:rFonts w:cs="Arial"/>
          <w:snapToGrid w:val="0"/>
          <w:color w:val="000000"/>
        </w:rPr>
        <w:t>Meets or is better than the 5.0% target for performance on the nationally endorsed outcome measure</w:t>
      </w:r>
      <w:r w:rsidR="00FB7ECF">
        <w:rPr>
          <w:rFonts w:cs="Arial"/>
          <w:snapToGrid w:val="0"/>
          <w:color w:val="000000"/>
        </w:rPr>
        <w:t>.</w:t>
      </w:r>
    </w:p>
    <w:p w14:paraId="7D0DC475" w14:textId="77777777" w:rsidR="001F2727" w:rsidRDefault="001F2727" w:rsidP="001F2727">
      <w:pPr>
        <w:rPr>
          <w:rFonts w:cs="Arial"/>
          <w:snapToGrid w:val="0"/>
          <w:color w:val="000000"/>
        </w:rPr>
      </w:pPr>
    </w:p>
    <w:p w14:paraId="7D1E7946" w14:textId="54E85745" w:rsidR="001F2727" w:rsidRPr="001F2727" w:rsidRDefault="001F2727" w:rsidP="001F2727">
      <w:pPr>
        <w:rPr>
          <w:rFonts w:cs="Arial"/>
          <w:b/>
        </w:rPr>
      </w:pPr>
      <w:r w:rsidRPr="009A5185">
        <w:rPr>
          <w:rFonts w:cs="Arial"/>
          <w:b/>
        </w:rPr>
        <w:t xml:space="preserve">Each hospital </w:t>
      </w:r>
      <w:r>
        <w:rPr>
          <w:rFonts w:cs="Arial"/>
          <w:b/>
        </w:rPr>
        <w:t>achieving</w:t>
      </w:r>
      <w:r w:rsidRPr="009A5185">
        <w:rPr>
          <w:rFonts w:cs="Arial"/>
          <w:b/>
        </w:rPr>
        <w:t xml:space="preserve"> th</w:t>
      </w:r>
      <w:r>
        <w:rPr>
          <w:rFonts w:cs="Arial"/>
          <w:b/>
        </w:rPr>
        <w:t>e</w:t>
      </w:r>
      <w:r w:rsidRPr="009A5185">
        <w:rPr>
          <w:rFonts w:cs="Arial"/>
          <w:b/>
        </w:rPr>
        <w:t xml:space="preserve"> standard for </w:t>
      </w:r>
      <w:r w:rsidRPr="001F2727">
        <w:rPr>
          <w:rFonts w:cs="Arial"/>
          <w:b/>
        </w:rPr>
        <w:t>Newborn Bilirubin Screening Prior to Discharge</w:t>
      </w:r>
      <w:r w:rsidRPr="009A5185">
        <w:rPr>
          <w:rFonts w:cs="Arial"/>
          <w:b/>
        </w:rPr>
        <w:t>:</w:t>
      </w:r>
    </w:p>
    <w:p w14:paraId="08F65F92" w14:textId="4D50E83C" w:rsidR="00E66C77" w:rsidRDefault="006E50EF" w:rsidP="001F2727">
      <w:pPr>
        <w:rPr>
          <w:rFonts w:cs="Arial"/>
          <w:snapToGrid w:val="0"/>
          <w:color w:val="000000"/>
        </w:rPr>
      </w:pPr>
      <w:r w:rsidRPr="009A5185">
        <w:rPr>
          <w:rFonts w:cs="Arial"/>
          <w:snapToGrid w:val="0"/>
          <w:color w:val="000000"/>
        </w:rPr>
        <w:t xml:space="preserve">Meets or exceeds </w:t>
      </w:r>
      <w:r w:rsidR="00F112F6">
        <w:rPr>
          <w:rFonts w:cs="Arial"/>
          <w:snapToGrid w:val="0"/>
          <w:color w:val="000000"/>
        </w:rPr>
        <w:t>the</w:t>
      </w:r>
      <w:r w:rsidRPr="009A5185">
        <w:rPr>
          <w:rFonts w:cs="Arial"/>
          <w:snapToGrid w:val="0"/>
          <w:color w:val="000000"/>
        </w:rPr>
        <w:t xml:space="preserve"> </w:t>
      </w:r>
      <w:r w:rsidR="00C200AC" w:rsidRPr="009A5185">
        <w:rPr>
          <w:rFonts w:cs="Arial"/>
          <w:snapToGrid w:val="0"/>
          <w:color w:val="000000"/>
        </w:rPr>
        <w:t>9</w:t>
      </w:r>
      <w:r w:rsidR="00FB144E" w:rsidRPr="009A5185">
        <w:rPr>
          <w:rFonts w:cs="Arial"/>
          <w:snapToGrid w:val="0"/>
          <w:color w:val="000000"/>
        </w:rPr>
        <w:t>0</w:t>
      </w:r>
      <w:r w:rsidRPr="009A5185">
        <w:rPr>
          <w:rFonts w:cs="Arial"/>
          <w:snapToGrid w:val="0"/>
          <w:color w:val="000000"/>
        </w:rPr>
        <w:t>% target for</w:t>
      </w:r>
      <w:r w:rsidR="00AF4C54">
        <w:rPr>
          <w:rFonts w:cs="Arial"/>
          <w:snapToGrid w:val="0"/>
          <w:color w:val="000000"/>
        </w:rPr>
        <w:t xml:space="preserve"> </w:t>
      </w:r>
      <w:r w:rsidR="00F112F6">
        <w:rPr>
          <w:rFonts w:cs="Arial"/>
          <w:snapToGrid w:val="0"/>
          <w:color w:val="000000"/>
        </w:rPr>
        <w:t>the</w:t>
      </w:r>
      <w:r w:rsidR="00AF4C54">
        <w:rPr>
          <w:rFonts w:cs="Arial"/>
          <w:snapToGrid w:val="0"/>
          <w:color w:val="000000"/>
        </w:rPr>
        <w:t xml:space="preserve"> process measure of care</w:t>
      </w:r>
      <w:r w:rsidR="00F112F6">
        <w:rPr>
          <w:rFonts w:cs="Arial"/>
          <w:snapToGrid w:val="0"/>
          <w:color w:val="000000"/>
        </w:rPr>
        <w:t>.</w:t>
      </w:r>
    </w:p>
    <w:p w14:paraId="197A1D94" w14:textId="77777777" w:rsidR="001F2727" w:rsidRDefault="001F2727" w:rsidP="001F2727">
      <w:pPr>
        <w:rPr>
          <w:rFonts w:cs="Arial"/>
          <w:snapToGrid w:val="0"/>
          <w:color w:val="000000"/>
        </w:rPr>
      </w:pPr>
    </w:p>
    <w:p w14:paraId="2711614C" w14:textId="4FA0A15F" w:rsidR="001F2727" w:rsidRPr="001F2727" w:rsidRDefault="001F2727" w:rsidP="001F2727">
      <w:pPr>
        <w:rPr>
          <w:rFonts w:cs="Arial"/>
          <w:b/>
        </w:rPr>
      </w:pPr>
      <w:r w:rsidRPr="009A5185">
        <w:rPr>
          <w:rFonts w:cs="Arial"/>
          <w:b/>
        </w:rPr>
        <w:t xml:space="preserve">Each hospital </w:t>
      </w:r>
      <w:r>
        <w:rPr>
          <w:rFonts w:cs="Arial"/>
          <w:b/>
        </w:rPr>
        <w:t>achieving</w:t>
      </w:r>
      <w:r w:rsidRPr="009A5185">
        <w:rPr>
          <w:rFonts w:cs="Arial"/>
          <w:b/>
        </w:rPr>
        <w:t xml:space="preserve"> th</w:t>
      </w:r>
      <w:r>
        <w:rPr>
          <w:rFonts w:cs="Arial"/>
          <w:b/>
        </w:rPr>
        <w:t>e</w:t>
      </w:r>
      <w:r w:rsidRPr="009A5185">
        <w:rPr>
          <w:rFonts w:cs="Arial"/>
          <w:b/>
        </w:rPr>
        <w:t xml:space="preserve"> standard for </w:t>
      </w:r>
      <w:r w:rsidRPr="001F2727">
        <w:rPr>
          <w:rFonts w:cs="Arial"/>
          <w:b/>
        </w:rPr>
        <w:t>Appropriate DVT Prophylaxis in Women Undergoing Cesarean Delivery</w:t>
      </w:r>
      <w:r w:rsidRPr="009A5185">
        <w:rPr>
          <w:rFonts w:cs="Arial"/>
          <w:b/>
        </w:rPr>
        <w:t>:</w:t>
      </w:r>
    </w:p>
    <w:p w14:paraId="669938DE" w14:textId="77777777" w:rsidR="00F112F6" w:rsidRDefault="00F112F6" w:rsidP="00F112F6">
      <w:pPr>
        <w:rPr>
          <w:rFonts w:cs="Arial"/>
          <w:snapToGrid w:val="0"/>
          <w:color w:val="000000"/>
        </w:rPr>
      </w:pPr>
      <w:r w:rsidRPr="009A5185">
        <w:rPr>
          <w:rFonts w:cs="Arial"/>
          <w:snapToGrid w:val="0"/>
          <w:color w:val="000000"/>
        </w:rPr>
        <w:t xml:space="preserve">Meets or exceeds </w:t>
      </w:r>
      <w:r>
        <w:rPr>
          <w:rFonts w:cs="Arial"/>
          <w:snapToGrid w:val="0"/>
          <w:color w:val="000000"/>
        </w:rPr>
        <w:t>the</w:t>
      </w:r>
      <w:r w:rsidRPr="009A5185">
        <w:rPr>
          <w:rFonts w:cs="Arial"/>
          <w:snapToGrid w:val="0"/>
          <w:color w:val="000000"/>
        </w:rPr>
        <w:t xml:space="preserve"> 90% target for</w:t>
      </w:r>
      <w:r>
        <w:rPr>
          <w:rFonts w:cs="Arial"/>
          <w:snapToGrid w:val="0"/>
          <w:color w:val="000000"/>
        </w:rPr>
        <w:t xml:space="preserve"> the process measure of care.</w:t>
      </w:r>
    </w:p>
    <w:p w14:paraId="157BF3B0" w14:textId="77777777" w:rsidR="001F2727" w:rsidRDefault="001F2727" w:rsidP="001F2727">
      <w:pPr>
        <w:rPr>
          <w:rFonts w:cs="Arial"/>
          <w:snapToGrid w:val="0"/>
          <w:color w:val="000000"/>
        </w:rPr>
      </w:pPr>
    </w:p>
    <w:p w14:paraId="3DBFD1A6" w14:textId="7E955EA8" w:rsidR="001F2727" w:rsidRPr="001F2727" w:rsidRDefault="001F2727" w:rsidP="001F2727">
      <w:pPr>
        <w:rPr>
          <w:rFonts w:cs="Arial"/>
          <w:b/>
        </w:rPr>
      </w:pPr>
      <w:r w:rsidRPr="009A5185">
        <w:rPr>
          <w:rFonts w:cs="Arial"/>
          <w:b/>
        </w:rPr>
        <w:t xml:space="preserve">Each hospital </w:t>
      </w:r>
      <w:r>
        <w:rPr>
          <w:rFonts w:cs="Arial"/>
          <w:b/>
        </w:rPr>
        <w:t>achieving</w:t>
      </w:r>
      <w:r w:rsidRPr="009A5185">
        <w:rPr>
          <w:rFonts w:cs="Arial"/>
          <w:b/>
        </w:rPr>
        <w:t xml:space="preserve"> th</w:t>
      </w:r>
      <w:r>
        <w:rPr>
          <w:rFonts w:cs="Arial"/>
          <w:b/>
        </w:rPr>
        <w:t>e</w:t>
      </w:r>
      <w:r w:rsidRPr="009A5185">
        <w:rPr>
          <w:rFonts w:cs="Arial"/>
          <w:b/>
        </w:rPr>
        <w:t xml:space="preserve"> standard for </w:t>
      </w:r>
      <w:r>
        <w:rPr>
          <w:rFonts w:cs="Arial"/>
          <w:b/>
        </w:rPr>
        <w:t>High-Risk Deliveries</w:t>
      </w:r>
      <w:r w:rsidRPr="009A5185">
        <w:rPr>
          <w:rFonts w:cs="Arial"/>
          <w:b/>
        </w:rPr>
        <w:t>:</w:t>
      </w:r>
    </w:p>
    <w:p w14:paraId="37B42D6F" w14:textId="7574C523" w:rsidR="00F112F6" w:rsidRDefault="006E50EF" w:rsidP="001F2727">
      <w:r w:rsidRPr="009A5185">
        <w:t>Achieves favorable hospital volume characteristics for high-risk deliveries by admitting 50 or more very</w:t>
      </w:r>
      <w:r w:rsidR="00D86F2A">
        <w:t xml:space="preserve"> </w:t>
      </w:r>
      <w:r w:rsidRPr="009A5185">
        <w:t>low birth</w:t>
      </w:r>
      <w:r w:rsidR="00D86F2A">
        <w:t xml:space="preserve"> </w:t>
      </w:r>
      <w:r w:rsidRPr="009A5185">
        <w:t xml:space="preserve">weight newborns/year to its </w:t>
      </w:r>
      <w:r w:rsidR="00FB0CFD">
        <w:t>neonatal ICU</w:t>
      </w:r>
      <w:r w:rsidR="00F112F6">
        <w:t>,</w:t>
      </w:r>
    </w:p>
    <w:p w14:paraId="7983CE61" w14:textId="77777777" w:rsidR="00F112F6" w:rsidRDefault="00F112F6" w:rsidP="001F2727"/>
    <w:p w14:paraId="5C0D9A12" w14:textId="6A79378E" w:rsidR="00F112F6" w:rsidRDefault="00F112F6" w:rsidP="001F2727">
      <w:r>
        <w:t>OR</w:t>
      </w:r>
    </w:p>
    <w:p w14:paraId="0A9C1432" w14:textId="77777777" w:rsidR="00F112F6" w:rsidRDefault="00F112F6" w:rsidP="001F2727"/>
    <w:p w14:paraId="673C2C3C" w14:textId="105106CC" w:rsidR="00B91BED" w:rsidRPr="00F112F6" w:rsidRDefault="00F112F6" w:rsidP="00AD3571">
      <w:r>
        <w:t>A</w:t>
      </w:r>
      <w:r w:rsidR="006E50EF" w:rsidRPr="009A5185">
        <w:t>chieves favorable outcomes for high-risk deliveries as measured</w:t>
      </w:r>
      <w:r w:rsidR="0082085D" w:rsidRPr="009A5185">
        <w:t xml:space="preserve"> by the Vermont Oxford Network</w:t>
      </w:r>
      <w:r w:rsidR="00FB7ECF">
        <w:t>.</w:t>
      </w:r>
      <w:r w:rsidR="006E50EF" w:rsidRPr="009A5185">
        <w:br/>
      </w:r>
    </w:p>
    <w:p w14:paraId="0A79F535" w14:textId="25971812" w:rsidR="0082085D" w:rsidRPr="009A5185" w:rsidRDefault="0082085D" w:rsidP="0082085D">
      <w:pPr>
        <w:rPr>
          <w:rFonts w:cs="Arial"/>
          <w:b/>
        </w:rPr>
      </w:pPr>
      <w:r w:rsidRPr="009A5185">
        <w:rPr>
          <w:rFonts w:cs="Arial"/>
          <w:b/>
        </w:rPr>
        <w:t xml:space="preserve">Download the </w:t>
      </w:r>
      <w:r w:rsidR="00A236B1">
        <w:rPr>
          <w:rFonts w:cs="Arial"/>
          <w:b/>
        </w:rPr>
        <w:t>202</w:t>
      </w:r>
      <w:r w:rsidR="006C7A80">
        <w:rPr>
          <w:rFonts w:cs="Arial"/>
          <w:b/>
        </w:rPr>
        <w:t>6</w:t>
      </w:r>
      <w:r w:rsidRPr="009A5185">
        <w:rPr>
          <w:rFonts w:cs="Arial"/>
          <w:b/>
        </w:rPr>
        <w:t xml:space="preserve"> Leapfrog Hospital </w:t>
      </w:r>
      <w:r w:rsidR="00C14AFF" w:rsidRPr="009A5185">
        <w:rPr>
          <w:rFonts w:cs="Arial"/>
          <w:b/>
        </w:rPr>
        <w:t>Survey</w:t>
      </w:r>
      <w:r w:rsidRPr="009A5185">
        <w:rPr>
          <w:rFonts w:cs="Arial"/>
          <w:b/>
        </w:rPr>
        <w:t xml:space="preserve"> Scoring Algorithm on the </w:t>
      </w:r>
      <w:hyperlink r:id="rId247" w:history="1">
        <w:r w:rsidRPr="009A5185">
          <w:rPr>
            <w:rStyle w:val="Hyperlink"/>
            <w:rFonts w:cs="Arial"/>
            <w:b/>
          </w:rPr>
          <w:t>Scoring and Results webpage</w:t>
        </w:r>
      </w:hyperlink>
      <w:r w:rsidRPr="009A5185">
        <w:rPr>
          <w:rFonts w:cs="Arial"/>
          <w:b/>
        </w:rPr>
        <w:t>.</w:t>
      </w:r>
    </w:p>
    <w:p w14:paraId="03C0ABF4" w14:textId="77777777" w:rsidR="008A41A3" w:rsidRPr="009A5185" w:rsidRDefault="008A41A3" w:rsidP="00AD3571">
      <w:pPr>
        <w:pStyle w:val="BodyText3"/>
        <w:rPr>
          <w:rFonts w:cs="Arial"/>
          <w:b/>
        </w:rPr>
      </w:pPr>
    </w:p>
    <w:p w14:paraId="11915DE0" w14:textId="77777777" w:rsidR="008A41A3" w:rsidRPr="009A5185" w:rsidRDefault="008A41A3" w:rsidP="00ED1897">
      <w:pPr>
        <w:pStyle w:val="BodyText3"/>
        <w:rPr>
          <w:rFonts w:cs="Arial"/>
        </w:rPr>
      </w:pPr>
    </w:p>
    <w:p w14:paraId="10CB10A0" w14:textId="77777777" w:rsidR="008A41A3" w:rsidRPr="009A5185" w:rsidRDefault="008A41A3" w:rsidP="008A41A3">
      <w:pPr>
        <w:pStyle w:val="BodyText3"/>
        <w:ind w:left="360"/>
        <w:rPr>
          <w:rFonts w:cs="Arial"/>
        </w:rPr>
      </w:pPr>
    </w:p>
    <w:p w14:paraId="764FACFD" w14:textId="17A9D323" w:rsidR="00EC1F63" w:rsidRDefault="00EC1F63">
      <w:pPr>
        <w:rPr>
          <w:b/>
          <w:snapToGrid w:val="0"/>
          <w:sz w:val="28"/>
          <w:szCs w:val="24"/>
          <w:u w:val="single"/>
          <w:lang w:eastAsia="ja-JP"/>
        </w:rPr>
      </w:pPr>
      <w:r>
        <w:br w:type="page"/>
      </w:r>
    </w:p>
    <w:p w14:paraId="6CA038A7" w14:textId="5F2F79DC" w:rsidR="00474DDE" w:rsidRDefault="00306EB2" w:rsidP="00CF5A6E">
      <w:pPr>
        <w:pStyle w:val="Heading2"/>
      </w:pPr>
      <w:bookmarkStart w:id="299" w:name="_4A:_Maternity_Care"/>
      <w:bookmarkStart w:id="300" w:name="_Toc225877724"/>
      <w:bookmarkEnd w:id="299"/>
      <w:r w:rsidRPr="009A5185">
        <w:lastRenderedPageBreak/>
        <w:t>4A</w:t>
      </w:r>
      <w:r>
        <w:t>:</w:t>
      </w:r>
      <w:r w:rsidRPr="009A5185">
        <w:t xml:space="preserve"> Maternity Care Volume</w:t>
      </w:r>
      <w:r>
        <w:t xml:space="preserve"> and Services</w:t>
      </w:r>
      <w:bookmarkEnd w:id="300"/>
    </w:p>
    <w:p w14:paraId="69FCD7A3" w14:textId="77777777" w:rsidR="00306EB2" w:rsidRDefault="00306EB2" w:rsidP="00474DDE">
      <w:pPr>
        <w:rPr>
          <w:rFonts w:cs="Arial"/>
          <w:snapToGrid w:val="0"/>
        </w:rPr>
      </w:pPr>
    </w:p>
    <w:p w14:paraId="7491CEDD" w14:textId="1E3958C8" w:rsidR="00474DDE" w:rsidRDefault="00474DDE" w:rsidP="00474DDE">
      <w:pPr>
        <w:rPr>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248" w:history="1">
        <w:r w:rsidRPr="009A5185">
          <w:rPr>
            <w:rStyle w:val="Hyperlink"/>
            <w:rFonts w:cs="Arial"/>
            <w:snapToGrid w:val="0"/>
          </w:rPr>
          <w:t>Leapfrog’s Multi-Campus Reporting Policy</w:t>
        </w:r>
      </w:hyperlink>
      <w:r w:rsidRPr="009A5185">
        <w:rPr>
          <w:rFonts w:cs="Arial"/>
          <w:snapToGrid w:val="0"/>
        </w:rPr>
        <w:t xml:space="preserve">. </w:t>
      </w:r>
    </w:p>
    <w:p w14:paraId="6D70B223" w14:textId="77777777" w:rsidR="00CB1BA6" w:rsidRDefault="00CB1BA6" w:rsidP="00CB1BA6">
      <w:pPr>
        <w:rPr>
          <w:rFonts w:cs="Arial"/>
          <w:b/>
          <w:snapToGrid w:val="0"/>
        </w:rPr>
      </w:pPr>
    </w:p>
    <w:p w14:paraId="2B757CCD" w14:textId="77777777" w:rsidR="00764EEA" w:rsidRDefault="00253430" w:rsidP="00253430">
      <w:pPr>
        <w:rPr>
          <w:rFonts w:cs="Arial"/>
          <w:b/>
          <w:snapToGrid w:val="0"/>
          <w:color w:val="FF0000"/>
        </w:rPr>
      </w:pPr>
      <w:r w:rsidRPr="00873014">
        <w:rPr>
          <w:rFonts w:cs="Arial"/>
          <w:b/>
          <w:snapToGrid w:val="0"/>
          <w:color w:val="FF0000"/>
        </w:rPr>
        <w:t>Important Note</w:t>
      </w:r>
      <w:r w:rsidR="00764EEA">
        <w:rPr>
          <w:rFonts w:cs="Arial"/>
          <w:b/>
          <w:snapToGrid w:val="0"/>
          <w:color w:val="FF0000"/>
        </w:rPr>
        <w:t>s</w:t>
      </w:r>
      <w:r w:rsidRPr="00873014">
        <w:rPr>
          <w:rFonts w:cs="Arial"/>
          <w:b/>
          <w:snapToGrid w:val="0"/>
          <w:color w:val="FF0000"/>
        </w:rPr>
        <w:t xml:space="preserve">: </w:t>
      </w:r>
    </w:p>
    <w:p w14:paraId="28056CC3" w14:textId="77777777" w:rsidR="00764EEA" w:rsidRDefault="00764EEA" w:rsidP="00253430">
      <w:pPr>
        <w:rPr>
          <w:rFonts w:cs="Arial"/>
          <w:b/>
          <w:snapToGrid w:val="0"/>
          <w:color w:val="FF0000"/>
        </w:rPr>
      </w:pPr>
    </w:p>
    <w:p w14:paraId="0A36D7E1" w14:textId="2C90667C" w:rsidR="00DF1363" w:rsidRDefault="00764EEA" w:rsidP="00253430">
      <w:pPr>
        <w:rPr>
          <w:rFonts w:cs="Arial"/>
          <w:bCs/>
          <w:snapToGrid w:val="0"/>
        </w:rPr>
      </w:pPr>
      <w:r w:rsidRPr="00764EEA">
        <w:rPr>
          <w:rFonts w:cs="Arial"/>
          <w:bCs/>
          <w:snapToGrid w:val="0"/>
        </w:rPr>
        <w:t xml:space="preserve">Note 1: </w:t>
      </w:r>
      <w:r w:rsidR="00DF1363" w:rsidRPr="009A5185">
        <w:rPr>
          <w:rFonts w:cs="Arial"/>
        </w:rPr>
        <w:t xml:space="preserve">This section is only applicable to hospitals that </w:t>
      </w:r>
      <w:r w:rsidR="00DF1363" w:rsidRPr="009A5185">
        <w:rPr>
          <w:rFonts w:cs="Arial"/>
          <w:snapToGrid w:val="0"/>
          <w:color w:val="000000"/>
        </w:rPr>
        <w:t>deliver newborn babies</w:t>
      </w:r>
      <w:r w:rsidR="00DF1363" w:rsidRPr="009A5185">
        <w:rPr>
          <w:rFonts w:cs="Arial"/>
        </w:rPr>
        <w:t>.</w:t>
      </w:r>
      <w:r w:rsidR="00DF1363">
        <w:rPr>
          <w:rFonts w:cs="Arial"/>
        </w:rPr>
        <w:t xml:space="preserve"> </w:t>
      </w:r>
      <w:r w:rsidR="00DF1363" w:rsidRPr="00D65BBD">
        <w:rPr>
          <w:rFonts w:cs="Arial"/>
          <w:bCs/>
        </w:rPr>
        <w:t xml:space="preserve">Hospitals that do </w:t>
      </w:r>
      <w:r w:rsidR="00DF1363">
        <w:rPr>
          <w:rFonts w:cs="Arial"/>
          <w:bCs/>
        </w:rPr>
        <w:t xml:space="preserve">not </w:t>
      </w:r>
      <w:r w:rsidR="00DF1363" w:rsidRPr="009A5185">
        <w:rPr>
          <w:rFonts w:cs="Arial"/>
          <w:snapToGrid w:val="0"/>
          <w:color w:val="000000"/>
        </w:rPr>
        <w:t xml:space="preserve">deliver newborn babies </w:t>
      </w:r>
      <w:r w:rsidR="00DF1363" w:rsidRPr="00D65BBD">
        <w:rPr>
          <w:rFonts w:cs="Arial"/>
          <w:bCs/>
        </w:rPr>
        <w:t xml:space="preserve">should </w:t>
      </w:r>
      <w:r w:rsidR="006D52E6">
        <w:rPr>
          <w:rFonts w:cs="Arial"/>
          <w:bCs/>
        </w:rPr>
        <w:t>select</w:t>
      </w:r>
      <w:r w:rsidR="00DF1363" w:rsidRPr="00D65BBD">
        <w:rPr>
          <w:rFonts w:cs="Arial"/>
          <w:bCs/>
        </w:rPr>
        <w:t xml:space="preserve"> “no”</w:t>
      </w:r>
      <w:r w:rsidR="008F6C8B">
        <w:rPr>
          <w:rFonts w:cs="Arial"/>
          <w:bCs/>
        </w:rPr>
        <w:t xml:space="preserve"> or </w:t>
      </w:r>
      <w:r w:rsidR="004C574A">
        <w:rPr>
          <w:rFonts w:cs="Arial"/>
          <w:bCs/>
        </w:rPr>
        <w:t>“</w:t>
      </w:r>
      <w:r w:rsidR="008F6C8B" w:rsidRPr="008F6C8B">
        <w:rPr>
          <w:rFonts w:cs="Arial"/>
          <w:bCs/>
        </w:rPr>
        <w:t>yes, but unit is now closed or wasn’t open for the entire reporting period</w:t>
      </w:r>
      <w:r w:rsidR="004C574A">
        <w:rPr>
          <w:rFonts w:cs="Arial"/>
          <w:bCs/>
        </w:rPr>
        <w:t>”</w:t>
      </w:r>
      <w:r w:rsidR="00DF1363" w:rsidRPr="00D65BBD">
        <w:rPr>
          <w:rFonts w:cs="Arial"/>
          <w:bCs/>
        </w:rPr>
        <w:t xml:space="preserve"> </w:t>
      </w:r>
      <w:r w:rsidR="006D52E6">
        <w:rPr>
          <w:rFonts w:cs="Arial"/>
          <w:bCs/>
        </w:rPr>
        <w:t>in</w:t>
      </w:r>
      <w:r w:rsidR="00DF1363" w:rsidRPr="00D65BBD">
        <w:rPr>
          <w:rFonts w:cs="Arial"/>
          <w:bCs/>
        </w:rPr>
        <w:t xml:space="preserve"> question #2 in </w:t>
      </w:r>
      <w:r w:rsidR="00DF1363">
        <w:rPr>
          <w:rFonts w:cs="Arial"/>
          <w:bCs/>
        </w:rPr>
        <w:t>4A</w:t>
      </w:r>
      <w:r w:rsidR="00DF1363" w:rsidRPr="00D65BBD">
        <w:rPr>
          <w:rFonts w:cs="Arial"/>
          <w:bCs/>
        </w:rPr>
        <w:t xml:space="preserve"> and move on to </w:t>
      </w:r>
      <w:r w:rsidR="00DF1363">
        <w:rPr>
          <w:rFonts w:cs="Arial"/>
          <w:bCs/>
        </w:rPr>
        <w:t xml:space="preserve">the Affirmation of Accuracy. </w:t>
      </w:r>
      <w:r w:rsidR="00DF1363" w:rsidRPr="00D65BBD">
        <w:rPr>
          <w:rFonts w:cs="Arial"/>
          <w:bCs/>
        </w:rPr>
        <w:t>Your hospital’s results will be displayed a</w:t>
      </w:r>
      <w:r w:rsidR="00FE0E25">
        <w:rPr>
          <w:rFonts w:cs="Arial"/>
          <w:bCs/>
        </w:rPr>
        <w:t>s</w:t>
      </w:r>
      <w:r w:rsidR="00DF1363" w:rsidRPr="00D65BBD">
        <w:rPr>
          <w:rFonts w:cs="Arial"/>
          <w:bCs/>
        </w:rPr>
        <w:t xml:space="preserve"> “Does Not Apply”</w:t>
      </w:r>
      <w:r w:rsidR="00DF1363">
        <w:rPr>
          <w:rFonts w:cs="Arial"/>
          <w:bCs/>
        </w:rPr>
        <w:t xml:space="preserve"> on </w:t>
      </w:r>
      <w:r w:rsidR="00DF1363" w:rsidRPr="00D65BBD">
        <w:rPr>
          <w:rFonts w:cs="Arial"/>
          <w:bCs/>
        </w:rPr>
        <w:t>Leapfrog’s public reporting website.</w:t>
      </w:r>
    </w:p>
    <w:p w14:paraId="39F9F836" w14:textId="77777777" w:rsidR="00DF1363" w:rsidRDefault="00DF1363" w:rsidP="00253430">
      <w:pPr>
        <w:rPr>
          <w:rFonts w:cs="Arial"/>
          <w:bCs/>
          <w:snapToGrid w:val="0"/>
        </w:rPr>
      </w:pPr>
    </w:p>
    <w:p w14:paraId="1018AE29" w14:textId="5748A43E" w:rsidR="00253430" w:rsidRPr="00764EEA" w:rsidRDefault="00DF1363" w:rsidP="00253430">
      <w:pPr>
        <w:rPr>
          <w:rFonts w:cs="Arial"/>
          <w:bCs/>
          <w:snapToGrid w:val="0"/>
        </w:rPr>
      </w:pPr>
      <w:r>
        <w:rPr>
          <w:rFonts w:cs="Arial"/>
          <w:bCs/>
          <w:snapToGrid w:val="0"/>
        </w:rPr>
        <w:t xml:space="preserve">Note 2: </w:t>
      </w:r>
      <w:r w:rsidR="00253430" w:rsidRPr="00764EEA">
        <w:rPr>
          <w:rFonts w:cs="Arial"/>
          <w:bCs/>
          <w:snapToGrid w:val="0"/>
        </w:rPr>
        <w:t xml:space="preserve">Hospitals must use the same 12-month reporting period </w:t>
      </w:r>
      <w:r w:rsidR="00BA394C" w:rsidRPr="00BA394C">
        <w:rPr>
          <w:rFonts w:cs="Arial"/>
          <w:bCs/>
          <w:snapToGrid w:val="0"/>
        </w:rPr>
        <w:t>for all subsections in Section 4: Maternity Care</w:t>
      </w:r>
      <w:r w:rsidR="00BA394C">
        <w:rPr>
          <w:rFonts w:cs="Arial"/>
          <w:bCs/>
          <w:snapToGrid w:val="0"/>
        </w:rPr>
        <w:t xml:space="preserve">, except for </w:t>
      </w:r>
      <w:r w:rsidR="00D94BCF">
        <w:rPr>
          <w:rFonts w:cs="Arial"/>
          <w:bCs/>
          <w:snapToGrid w:val="0"/>
        </w:rPr>
        <w:t>Section 4A questions #4-</w:t>
      </w:r>
      <w:r w:rsidR="005A023E">
        <w:rPr>
          <w:rFonts w:cs="Arial"/>
          <w:bCs/>
          <w:snapToGrid w:val="0"/>
        </w:rPr>
        <w:t>8</w:t>
      </w:r>
      <w:r w:rsidR="00D94BCF">
        <w:rPr>
          <w:rFonts w:cs="Arial"/>
          <w:bCs/>
          <w:snapToGrid w:val="0"/>
        </w:rPr>
        <w:t xml:space="preserve"> and </w:t>
      </w:r>
      <w:r w:rsidR="00BA394C">
        <w:rPr>
          <w:rFonts w:cs="Arial"/>
          <w:bCs/>
          <w:snapToGrid w:val="0"/>
        </w:rPr>
        <w:t xml:space="preserve">Section 4B questions #6-8. </w:t>
      </w:r>
    </w:p>
    <w:p w14:paraId="68CEC700" w14:textId="12ED5FBF" w:rsidR="00764EEA" w:rsidRPr="00764EEA" w:rsidRDefault="00764EEA" w:rsidP="00253430">
      <w:pPr>
        <w:rPr>
          <w:rFonts w:cs="Arial"/>
          <w:bCs/>
          <w:snapToGrid w:val="0"/>
        </w:rPr>
      </w:pPr>
    </w:p>
    <w:p w14:paraId="377EE0BA" w14:textId="3D459310" w:rsidR="00764EEA" w:rsidRPr="00764EEA" w:rsidRDefault="00764EEA" w:rsidP="00253430">
      <w:pPr>
        <w:rPr>
          <w:rFonts w:cs="Arial"/>
          <w:bCs/>
          <w:snapToGrid w:val="0"/>
        </w:rPr>
      </w:pPr>
      <w:r w:rsidRPr="00764EEA">
        <w:rPr>
          <w:rFonts w:cs="Arial"/>
          <w:bCs/>
          <w:snapToGrid w:val="0"/>
        </w:rPr>
        <w:t xml:space="preserve">Note </w:t>
      </w:r>
      <w:r w:rsidR="00DF1363">
        <w:rPr>
          <w:rFonts w:cs="Arial"/>
          <w:bCs/>
          <w:snapToGrid w:val="0"/>
        </w:rPr>
        <w:t>3</w:t>
      </w:r>
      <w:r w:rsidRPr="00764EEA">
        <w:rPr>
          <w:rFonts w:cs="Arial"/>
          <w:bCs/>
          <w:snapToGrid w:val="0"/>
        </w:rPr>
        <w:t xml:space="preserve">: Maternity Care Services </w:t>
      </w:r>
      <w:r w:rsidR="00590A28">
        <w:rPr>
          <w:rFonts w:cs="Arial"/>
          <w:bCs/>
          <w:snapToGrid w:val="0"/>
        </w:rPr>
        <w:t>(questions #4-</w:t>
      </w:r>
      <w:r w:rsidR="005A023E">
        <w:rPr>
          <w:rFonts w:cs="Arial"/>
          <w:bCs/>
          <w:snapToGrid w:val="0"/>
        </w:rPr>
        <w:t>8</w:t>
      </w:r>
      <w:r w:rsidR="00590A28">
        <w:rPr>
          <w:rFonts w:cs="Arial"/>
          <w:bCs/>
          <w:snapToGrid w:val="0"/>
        </w:rPr>
        <w:t xml:space="preserve">) </w:t>
      </w:r>
      <w:r w:rsidR="00D902EC">
        <w:rPr>
          <w:rFonts w:cs="Arial"/>
          <w:bCs/>
          <w:snapToGrid w:val="0"/>
        </w:rPr>
        <w:t>will</w:t>
      </w:r>
      <w:r w:rsidR="00590A28">
        <w:rPr>
          <w:rFonts w:cs="Arial"/>
          <w:bCs/>
          <w:snapToGrid w:val="0"/>
        </w:rPr>
        <w:t xml:space="preserve"> not be </w:t>
      </w:r>
      <w:r w:rsidR="00DF1363">
        <w:rPr>
          <w:rFonts w:cs="Arial"/>
          <w:bCs/>
          <w:snapToGrid w:val="0"/>
        </w:rPr>
        <w:t>scored but</w:t>
      </w:r>
      <w:r w:rsidR="00590A28">
        <w:rPr>
          <w:rFonts w:cs="Arial"/>
          <w:bCs/>
          <w:snapToGrid w:val="0"/>
        </w:rPr>
        <w:t xml:space="preserve"> will</w:t>
      </w:r>
      <w:r w:rsidR="00D902EC">
        <w:rPr>
          <w:rFonts w:cs="Arial"/>
          <w:bCs/>
          <w:snapToGrid w:val="0"/>
        </w:rPr>
        <w:t xml:space="preserve"> be used in public reporting. </w:t>
      </w:r>
    </w:p>
    <w:p w14:paraId="697B73F6" w14:textId="77777777" w:rsidR="00253430" w:rsidRDefault="00253430" w:rsidP="00CB1BA6">
      <w:pPr>
        <w:rPr>
          <w:rFonts w:cs="Arial"/>
          <w:b/>
          <w:snapToGrid w:val="0"/>
        </w:rPr>
      </w:pPr>
    </w:p>
    <w:p w14:paraId="176EE4A6" w14:textId="262454E7" w:rsidR="00CB1BA6" w:rsidRPr="009A5185" w:rsidRDefault="00CB1BA6" w:rsidP="00CB1BA6">
      <w:pPr>
        <w:rPr>
          <w:rFonts w:cs="Arial"/>
          <w:snapToGrid w:val="0"/>
        </w:rPr>
      </w:pPr>
      <w:r w:rsidRPr="009A5185">
        <w:rPr>
          <w:rFonts w:cs="Arial"/>
          <w:b/>
          <w:snapToGrid w:val="0"/>
        </w:rPr>
        <w:t xml:space="preserve">Specifications: </w:t>
      </w:r>
      <w:r w:rsidRPr="009A5185">
        <w:rPr>
          <w:rFonts w:cs="Arial"/>
          <w:snapToGrid w:val="0"/>
        </w:rPr>
        <w:t xml:space="preserve">See </w:t>
      </w:r>
      <w:hyperlink w:anchor="_Maternity_Care_Volume_1" w:history="1">
        <w:r w:rsidR="006F29AA">
          <w:rPr>
            <w:rStyle w:val="Hyperlink"/>
            <w:rFonts w:cs="Arial"/>
            <w:b/>
            <w:i/>
            <w:snapToGrid w:val="0"/>
          </w:rPr>
          <w:t>Maternity Care Volume and Services Measure Specifications</w:t>
        </w:r>
      </w:hyperlink>
      <w:r w:rsidRPr="009A5185">
        <w:rPr>
          <w:rFonts w:cs="Arial"/>
          <w:snapToGrid w:val="0"/>
        </w:rPr>
        <w:t xml:space="preserve"> in the Reference Information </w:t>
      </w:r>
      <w:r w:rsidR="00C0227C">
        <w:rPr>
          <w:rFonts w:cs="Arial"/>
          <w:snapToGrid w:val="0"/>
        </w:rPr>
        <w:t xml:space="preserve">beginning on page </w:t>
      </w:r>
      <w:r w:rsidR="00E413AC">
        <w:rPr>
          <w:rFonts w:cs="Arial"/>
          <w:snapToGrid w:val="0"/>
        </w:rPr>
        <w:t>16</w:t>
      </w:r>
      <w:r w:rsidR="004640AB">
        <w:rPr>
          <w:rFonts w:cs="Arial"/>
          <w:snapToGrid w:val="0"/>
        </w:rPr>
        <w:t>4</w:t>
      </w:r>
      <w:r w:rsidR="00C0227C">
        <w:rPr>
          <w:rFonts w:cs="Arial"/>
          <w:snapToGrid w:val="0"/>
        </w:rPr>
        <w:t>.</w:t>
      </w:r>
      <w:r w:rsidR="00F2485E">
        <w:rPr>
          <w:rFonts w:cs="Arial"/>
          <w:snapToGrid w:val="0"/>
        </w:rPr>
        <w:t xml:space="preserve"> </w:t>
      </w:r>
    </w:p>
    <w:p w14:paraId="4CFD9091" w14:textId="77777777" w:rsidR="00FE44CA" w:rsidRDefault="00FE44CA" w:rsidP="00CB1BA6">
      <w:pPr>
        <w:rPr>
          <w:rFonts w:cs="Arial"/>
          <w:snapToGrid w:val="0"/>
        </w:rPr>
      </w:pPr>
    </w:p>
    <w:p w14:paraId="5E186EE6" w14:textId="03F7C3E5" w:rsidR="006E50EF" w:rsidRDefault="008E3376">
      <w:pPr>
        <w:rPr>
          <w:rFonts w:cs="Arial"/>
          <w:b/>
          <w:snapToGrid w:val="0"/>
        </w:rPr>
      </w:pPr>
      <w:r w:rsidRPr="008E3376">
        <w:rPr>
          <w:rFonts w:cs="Arial"/>
          <w:b/>
          <w:noProof/>
          <w:snapToGrid w:val="0"/>
        </w:rPr>
        <mc:AlternateContent>
          <mc:Choice Requires="wps">
            <w:drawing>
              <wp:inline distT="0" distB="0" distL="0" distR="0" wp14:anchorId="5322EB7A" wp14:editId="3CBD53B7">
                <wp:extent cx="6050943" cy="1404620"/>
                <wp:effectExtent l="0" t="0" r="26035" b="18415"/>
                <wp:docPr id="30" name="Text Box 30" descr="P6255TB1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943" cy="1404620"/>
                        </a:xfrm>
                        <a:prstGeom prst="rect">
                          <a:avLst/>
                        </a:prstGeom>
                        <a:solidFill>
                          <a:srgbClr val="FFFFFF"/>
                        </a:solidFill>
                        <a:ln w="9525">
                          <a:solidFill>
                            <a:srgbClr val="FF0000"/>
                          </a:solidFill>
                          <a:miter lim="800000"/>
                          <a:headEnd/>
                          <a:tailEnd/>
                        </a:ln>
                      </wps:spPr>
                      <wps:txbx>
                        <w:txbxContent>
                          <w:p w14:paraId="5240C1E1" w14:textId="0F094BEA" w:rsidR="008E3376" w:rsidRPr="009A5185" w:rsidRDefault="008E3376" w:rsidP="008E3376">
                            <w:pPr>
                              <w:spacing w:before="40"/>
                              <w:rPr>
                                <w:rFonts w:cs="Arial"/>
                                <w:b/>
                                <w:snapToGrid w:val="0"/>
                              </w:rPr>
                            </w:pPr>
                            <w:r w:rsidRPr="009A5185">
                              <w:rPr>
                                <w:rFonts w:cs="Arial"/>
                                <w:b/>
                                <w:snapToGrid w:val="0"/>
                              </w:rPr>
                              <w:t>Reporting Period: 12 months</w:t>
                            </w:r>
                          </w:p>
                          <w:p w14:paraId="195AC1C3" w14:textId="77777777" w:rsidR="008E3376" w:rsidRPr="00FD6B66" w:rsidRDefault="008E3376" w:rsidP="00AD309C">
                            <w:pPr>
                              <w:pStyle w:val="ListParagraph"/>
                              <w:numPr>
                                <w:ilvl w:val="0"/>
                                <w:numId w:val="36"/>
                              </w:numPr>
                              <w:rPr>
                                <w:rFonts w:cs="Arial"/>
                                <w:i/>
                                <w:snapToGrid w:val="0"/>
                              </w:rPr>
                            </w:pPr>
                            <w:r>
                              <w:rPr>
                                <w:rFonts w:cs="Arial"/>
                                <w:snapToGrid w:val="0"/>
                              </w:rPr>
                              <w:t>Surveys submitted prior to September 1:</w:t>
                            </w:r>
                          </w:p>
                          <w:p w14:paraId="49C81454" w14:textId="1C5E4467" w:rsidR="008E3376" w:rsidRPr="009A5185" w:rsidRDefault="008E3376" w:rsidP="00AD309C">
                            <w:pPr>
                              <w:pStyle w:val="ListParagraph"/>
                              <w:numPr>
                                <w:ilvl w:val="1"/>
                                <w:numId w:val="36"/>
                              </w:numPr>
                              <w:rPr>
                                <w:rFonts w:cs="Arial"/>
                                <w:i/>
                                <w:snapToGrid w:val="0"/>
                              </w:rPr>
                            </w:pPr>
                            <w:r>
                              <w:rPr>
                                <w:rFonts w:cs="Arial"/>
                                <w:iCs/>
                                <w:snapToGrid w:val="0"/>
                              </w:rPr>
                              <w:t>01/01/202</w:t>
                            </w:r>
                            <w:r w:rsidR="005A023E">
                              <w:rPr>
                                <w:rFonts w:cs="Arial"/>
                                <w:iCs/>
                                <w:snapToGrid w:val="0"/>
                              </w:rPr>
                              <w:t>5</w:t>
                            </w:r>
                            <w:r>
                              <w:rPr>
                                <w:rFonts w:cs="Arial"/>
                                <w:iCs/>
                                <w:snapToGrid w:val="0"/>
                              </w:rPr>
                              <w:t xml:space="preserve"> – 12/31/202</w:t>
                            </w:r>
                            <w:r w:rsidR="005A023E">
                              <w:rPr>
                                <w:rFonts w:cs="Arial"/>
                                <w:iCs/>
                                <w:snapToGrid w:val="0"/>
                              </w:rPr>
                              <w:t>5</w:t>
                            </w:r>
                          </w:p>
                          <w:p w14:paraId="1BC0C717" w14:textId="77777777" w:rsidR="008E3376" w:rsidRPr="00FD6B66" w:rsidRDefault="008E3376"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4DA27866" w14:textId="3461B279" w:rsidR="008E3376" w:rsidRPr="00FD4BD9" w:rsidRDefault="008E3376"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5A023E">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5A023E">
                              <w:rPr>
                                <w:rFonts w:cs="Arial"/>
                                <w:snapToGrid w:val="0"/>
                              </w:rPr>
                              <w:t>6</w:t>
                            </w:r>
                          </w:p>
                          <w:p w14:paraId="6CF1BFFD" w14:textId="77777777" w:rsidR="008E3376" w:rsidRDefault="008E3376" w:rsidP="008E3376">
                            <w:pPr>
                              <w:rPr>
                                <w:rFonts w:cs="Arial"/>
                                <w:i/>
                                <w:snapToGrid w:val="0"/>
                              </w:rPr>
                            </w:pPr>
                          </w:p>
                          <w:p w14:paraId="5618EFEE" w14:textId="0DF1C46D" w:rsidR="008E3376" w:rsidRDefault="008E3376" w:rsidP="008E3376">
                            <w:r w:rsidRPr="006547C0">
                              <w:rPr>
                                <w:rFonts w:cs="Arial"/>
                                <w:sz w:val="16"/>
                                <w:szCs w:val="16"/>
                              </w:rPr>
                              <w:t xml:space="preserve">Note: As a reminder, the </w:t>
                            </w:r>
                            <w:hyperlink r:id="rId249"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5322EB7A" id="Text Box 30" o:spid="_x0000_s1040" type="#_x0000_t202" alt="P6255TB13#y1" style="width:476.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" strokecolor="red">
                <v:textbox style="mso-fit-shape-to-text:t">
                  <w:txbxContent>
                    <w:p w14:paraId="5240C1E1" w14:textId="0F094BEA" w:rsidR="008E3376" w:rsidRPr="009A5185" w:rsidRDefault="008E3376" w:rsidP="008E3376">
                      <w:pPr>
                        <w:spacing w:before="40"/>
                        <w:rPr>
                          <w:rFonts w:cs="Arial"/>
                          <w:b/>
                          <w:snapToGrid w:val="0"/>
                        </w:rPr>
                      </w:pPr>
                      <w:r w:rsidRPr="009A5185">
                        <w:rPr>
                          <w:rFonts w:cs="Arial"/>
                          <w:b/>
                          <w:snapToGrid w:val="0"/>
                        </w:rPr>
                        <w:t>Reporting Period: 12 months</w:t>
                      </w:r>
                    </w:p>
                    <w:p w14:paraId="195AC1C3" w14:textId="77777777" w:rsidR="008E3376" w:rsidRPr="00FD6B66" w:rsidRDefault="008E3376" w:rsidP="00AD309C">
                      <w:pPr>
                        <w:pStyle w:val="ListParagraph"/>
                        <w:numPr>
                          <w:ilvl w:val="0"/>
                          <w:numId w:val="36"/>
                        </w:numPr>
                        <w:rPr>
                          <w:rFonts w:cs="Arial"/>
                          <w:i/>
                          <w:snapToGrid w:val="0"/>
                        </w:rPr>
                      </w:pPr>
                      <w:r>
                        <w:rPr>
                          <w:rFonts w:cs="Arial"/>
                          <w:snapToGrid w:val="0"/>
                        </w:rPr>
                        <w:t>Surveys submitted prior to September 1:</w:t>
                      </w:r>
                    </w:p>
                    <w:p w14:paraId="49C81454" w14:textId="1C5E4467" w:rsidR="008E3376" w:rsidRPr="009A5185" w:rsidRDefault="008E3376" w:rsidP="00AD309C">
                      <w:pPr>
                        <w:pStyle w:val="ListParagraph"/>
                        <w:numPr>
                          <w:ilvl w:val="1"/>
                          <w:numId w:val="36"/>
                        </w:numPr>
                        <w:rPr>
                          <w:rFonts w:cs="Arial"/>
                          <w:i/>
                          <w:snapToGrid w:val="0"/>
                        </w:rPr>
                      </w:pPr>
                      <w:r>
                        <w:rPr>
                          <w:rFonts w:cs="Arial"/>
                          <w:iCs/>
                          <w:snapToGrid w:val="0"/>
                        </w:rPr>
                        <w:t>01/01/202</w:t>
                      </w:r>
                      <w:r w:rsidR="005A023E">
                        <w:rPr>
                          <w:rFonts w:cs="Arial"/>
                          <w:iCs/>
                          <w:snapToGrid w:val="0"/>
                        </w:rPr>
                        <w:t>5</w:t>
                      </w:r>
                      <w:r>
                        <w:rPr>
                          <w:rFonts w:cs="Arial"/>
                          <w:iCs/>
                          <w:snapToGrid w:val="0"/>
                        </w:rPr>
                        <w:t xml:space="preserve"> – 12/31/202</w:t>
                      </w:r>
                      <w:r w:rsidR="005A023E">
                        <w:rPr>
                          <w:rFonts w:cs="Arial"/>
                          <w:iCs/>
                          <w:snapToGrid w:val="0"/>
                        </w:rPr>
                        <w:t>5</w:t>
                      </w:r>
                    </w:p>
                    <w:p w14:paraId="1BC0C717" w14:textId="77777777" w:rsidR="008E3376" w:rsidRPr="00FD6B66" w:rsidRDefault="008E3376"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4DA27866" w14:textId="3461B279" w:rsidR="008E3376" w:rsidRPr="00FD4BD9" w:rsidRDefault="008E3376"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5A023E">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5A023E">
                        <w:rPr>
                          <w:rFonts w:cs="Arial"/>
                          <w:snapToGrid w:val="0"/>
                        </w:rPr>
                        <w:t>6</w:t>
                      </w:r>
                    </w:p>
                    <w:p w14:paraId="6CF1BFFD" w14:textId="77777777" w:rsidR="008E3376" w:rsidRDefault="008E3376" w:rsidP="008E3376">
                      <w:pPr>
                        <w:rPr>
                          <w:rFonts w:cs="Arial"/>
                          <w:i/>
                          <w:snapToGrid w:val="0"/>
                        </w:rPr>
                      </w:pPr>
                    </w:p>
                    <w:p w14:paraId="5618EFEE" w14:textId="0DF1C46D" w:rsidR="008E3376" w:rsidRDefault="008E3376" w:rsidP="008E3376">
                      <w:r w:rsidRPr="006547C0">
                        <w:rPr>
                          <w:rFonts w:cs="Arial"/>
                          <w:sz w:val="16"/>
                          <w:szCs w:val="16"/>
                        </w:rPr>
                        <w:t xml:space="preserve">Note: As a reminder, the </w:t>
                      </w:r>
                      <w:hyperlink r:id="rId250"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39915DE3" w14:textId="77777777" w:rsidR="008E3376" w:rsidRPr="009A5185" w:rsidRDefault="008E3376">
      <w:pPr>
        <w:rPr>
          <w:rFonts w:cs="Arial"/>
          <w:b/>
          <w:snapToGrid w:val="0"/>
        </w:rPr>
      </w:pPr>
    </w:p>
    <w:p w14:paraId="78603B23" w14:textId="59CC18F7" w:rsidR="00516D49" w:rsidDel="00A67F04" w:rsidRDefault="00516D49" w:rsidP="00AB5B80">
      <w:pPr>
        <w:pStyle w:val="Heading3"/>
      </w:pPr>
      <w:bookmarkStart w:id="301" w:name="_Toc225877725"/>
      <w:r w:rsidDel="00A67F04">
        <w:t>Maternity Care Volume</w:t>
      </w:r>
      <w:bookmarkEnd w:id="301"/>
    </w:p>
    <w:p w14:paraId="1F5F7381" w14:textId="77777777" w:rsidR="00B85D40" w:rsidRDefault="00B85D40">
      <w:pPr>
        <w:rPr>
          <w:rFonts w:cs="Arial"/>
          <w:i/>
        </w:rPr>
      </w:pPr>
    </w:p>
    <w:tbl>
      <w:tblPr>
        <w:tblStyle w:val="TableGrid"/>
        <w:tblW w:w="9535" w:type="dxa"/>
        <w:tblLook w:val="04A0" w:firstRow="1" w:lastRow="0" w:firstColumn="1" w:lastColumn="0" w:noHBand="0" w:noVBand="1"/>
      </w:tblPr>
      <w:tblGrid>
        <w:gridCol w:w="6655"/>
        <w:gridCol w:w="2880"/>
      </w:tblGrid>
      <w:tr w:rsidR="00A67F04" w14:paraId="1388FF67" w14:textId="77777777" w:rsidTr="00267805">
        <w:trPr>
          <w:trHeight w:val="710"/>
        </w:trPr>
        <w:tc>
          <w:tcPr>
            <w:tcW w:w="6655" w:type="dxa"/>
            <w:vAlign w:val="center"/>
          </w:tcPr>
          <w:p w14:paraId="14158553" w14:textId="1268348D" w:rsidR="00A67F04" w:rsidRPr="00A67F04" w:rsidRDefault="00A67F04" w:rsidP="00AD309C">
            <w:pPr>
              <w:pStyle w:val="ListParagraph"/>
              <w:numPr>
                <w:ilvl w:val="4"/>
                <w:numId w:val="64"/>
              </w:numPr>
              <w:spacing w:before="120"/>
              <w:ind w:left="333" w:hanging="333"/>
              <w:rPr>
                <w:rFonts w:cs="Arial"/>
                <w:snapToGrid w:val="0"/>
                <w:color w:val="000000"/>
              </w:rPr>
            </w:pPr>
            <w:r w:rsidRPr="00A67F04">
              <w:rPr>
                <w:rFonts w:cs="Arial"/>
                <w:snapToGrid w:val="0"/>
                <w:color w:val="000000"/>
              </w:rPr>
              <w:t>12-month reporting period used:</w:t>
            </w:r>
          </w:p>
        </w:tc>
        <w:tc>
          <w:tcPr>
            <w:tcW w:w="2880" w:type="dxa"/>
            <w:vAlign w:val="center"/>
          </w:tcPr>
          <w:p w14:paraId="559D7F13" w14:textId="54065D43" w:rsidR="00A67F04" w:rsidRPr="00C06753" w:rsidRDefault="00A67F04" w:rsidP="00AD309C">
            <w:pPr>
              <w:pStyle w:val="ListParagraph"/>
              <w:numPr>
                <w:ilvl w:val="0"/>
                <w:numId w:val="282"/>
              </w:numPr>
              <w:rPr>
                <w:rFonts w:cs="Arial"/>
                <w:iCs/>
              </w:rPr>
            </w:pPr>
            <w:r w:rsidRPr="00C8246A">
              <w:rPr>
                <w:rFonts w:cs="Arial"/>
                <w:iCs/>
              </w:rPr>
              <w:t>01/01/202</w:t>
            </w:r>
            <w:r w:rsidR="005A023E">
              <w:rPr>
                <w:rFonts w:cs="Arial"/>
                <w:iCs/>
              </w:rPr>
              <w:t>5</w:t>
            </w:r>
            <w:r w:rsidRPr="00C06753">
              <w:rPr>
                <w:rFonts w:cs="Arial"/>
                <w:iCs/>
              </w:rPr>
              <w:t xml:space="preserve"> – 12/31/202</w:t>
            </w:r>
            <w:r w:rsidR="005A023E">
              <w:rPr>
                <w:rFonts w:cs="Arial"/>
                <w:iCs/>
              </w:rPr>
              <w:t>5</w:t>
            </w:r>
          </w:p>
          <w:p w14:paraId="18A881D1" w14:textId="66D90FE6" w:rsidR="00A67F04" w:rsidRPr="00C27FF1" w:rsidRDefault="00A67F04" w:rsidP="00AD309C">
            <w:pPr>
              <w:pStyle w:val="ListParagraph"/>
              <w:numPr>
                <w:ilvl w:val="0"/>
                <w:numId w:val="285"/>
              </w:numPr>
              <w:rPr>
                <w:rFonts w:cs="Arial"/>
                <w:iCs/>
                <w:snapToGrid w:val="0"/>
              </w:rPr>
            </w:pPr>
            <w:r w:rsidRPr="00C06753">
              <w:rPr>
                <w:rFonts w:cs="Arial"/>
                <w:iCs/>
                <w:snapToGrid w:val="0"/>
              </w:rPr>
              <w:t>07/01/202</w:t>
            </w:r>
            <w:r w:rsidR="005A023E">
              <w:rPr>
                <w:rFonts w:cs="Arial"/>
                <w:iCs/>
                <w:snapToGrid w:val="0"/>
              </w:rPr>
              <w:t>5</w:t>
            </w:r>
            <w:r w:rsidRPr="00C06753">
              <w:rPr>
                <w:rFonts w:cs="Arial"/>
                <w:iCs/>
                <w:snapToGrid w:val="0"/>
              </w:rPr>
              <w:t xml:space="preserve"> – 06/30/202</w:t>
            </w:r>
            <w:r w:rsidR="005A023E">
              <w:rPr>
                <w:rFonts w:cs="Arial"/>
                <w:iCs/>
                <w:snapToGrid w:val="0"/>
              </w:rPr>
              <w:t>6</w:t>
            </w:r>
          </w:p>
        </w:tc>
      </w:tr>
      <w:tr w:rsidR="00B85D40" w14:paraId="1E5047DD" w14:textId="77777777" w:rsidTr="001A20B6">
        <w:trPr>
          <w:trHeight w:val="1584"/>
        </w:trPr>
        <w:tc>
          <w:tcPr>
            <w:tcW w:w="6655" w:type="dxa"/>
            <w:vAlign w:val="center"/>
          </w:tcPr>
          <w:p w14:paraId="06BDBC2C" w14:textId="53323CBE" w:rsidR="00B85D40" w:rsidRPr="009A5185" w:rsidRDefault="00B85D40" w:rsidP="00AD309C">
            <w:pPr>
              <w:pStyle w:val="ListParagraph"/>
              <w:numPr>
                <w:ilvl w:val="0"/>
                <w:numId w:val="64"/>
              </w:numPr>
              <w:spacing w:before="120"/>
              <w:rPr>
                <w:rFonts w:cs="Arial"/>
                <w:snapToGrid w:val="0"/>
                <w:color w:val="000000"/>
              </w:rPr>
            </w:pPr>
            <w:r w:rsidRPr="009A5185">
              <w:rPr>
                <w:rFonts w:cs="Arial"/>
                <w:snapToGrid w:val="0"/>
                <w:color w:val="000000"/>
              </w:rPr>
              <w:t xml:space="preserve">Did the hospital deliver newborn babies during the reporting period? </w:t>
            </w:r>
            <w:r w:rsidRPr="009A5185">
              <w:rPr>
                <w:rFonts w:cs="Arial"/>
                <w:snapToGrid w:val="0"/>
                <w:color w:val="000000"/>
              </w:rPr>
              <w:br/>
            </w:r>
          </w:p>
          <w:p w14:paraId="3DD603C8" w14:textId="37E89DD4" w:rsidR="00B85D40" w:rsidRDefault="00B85D40" w:rsidP="00AF65F6">
            <w:pPr>
              <w:ind w:left="360"/>
              <w:rPr>
                <w:rFonts w:cs="Arial"/>
                <w:i/>
              </w:rPr>
            </w:pPr>
            <w:r w:rsidRPr="009A5185">
              <w:rPr>
                <w:rFonts w:cs="Arial"/>
                <w:i/>
                <w:snapToGrid w:val="0"/>
                <w:color w:val="000000"/>
              </w:rPr>
              <w:t>If “no”</w:t>
            </w:r>
            <w:r>
              <w:rPr>
                <w:rFonts w:cs="Arial"/>
                <w:i/>
                <w:snapToGrid w:val="0"/>
                <w:color w:val="000000"/>
              </w:rPr>
              <w:t xml:space="preserve"> o</w:t>
            </w:r>
            <w:r w:rsidRPr="008668CE">
              <w:rPr>
                <w:rFonts w:cs="Arial"/>
                <w:i/>
                <w:snapToGrid w:val="0"/>
                <w:color w:val="000000"/>
              </w:rPr>
              <w:t>r “yes, but unit is now closed or wasn’t open for the entire reporting period,” skip the remaining questions in Section 4, including all subsections, and go to the Affirmation of Accuracy</w:t>
            </w:r>
            <w:r w:rsidRPr="00644638">
              <w:rPr>
                <w:rFonts w:cs="Arial"/>
                <w:i/>
                <w:snapToGrid w:val="0"/>
                <w:color w:val="000000"/>
              </w:rPr>
              <w:t>. The hospital will be scored as “Does Not Apply.”</w:t>
            </w:r>
          </w:p>
        </w:tc>
        <w:tc>
          <w:tcPr>
            <w:tcW w:w="2880" w:type="dxa"/>
            <w:vAlign w:val="center"/>
          </w:tcPr>
          <w:p w14:paraId="71FBB08B" w14:textId="194EBEFC" w:rsidR="00B85D40" w:rsidRPr="00C27FF1" w:rsidRDefault="00B85D40" w:rsidP="00AD309C">
            <w:pPr>
              <w:pStyle w:val="ListParagraph"/>
              <w:numPr>
                <w:ilvl w:val="0"/>
                <w:numId w:val="285"/>
              </w:numPr>
              <w:rPr>
                <w:rFonts w:cs="Arial"/>
                <w:iCs/>
                <w:snapToGrid w:val="0"/>
              </w:rPr>
            </w:pPr>
            <w:r w:rsidRPr="00C27FF1">
              <w:rPr>
                <w:rFonts w:cs="Arial"/>
                <w:iCs/>
                <w:snapToGrid w:val="0"/>
              </w:rPr>
              <w:t>Yes</w:t>
            </w:r>
          </w:p>
          <w:p w14:paraId="5FB0BF3A" w14:textId="77777777" w:rsidR="00B85D40" w:rsidRPr="00C27FF1" w:rsidRDefault="00B85D40" w:rsidP="00AD309C">
            <w:pPr>
              <w:pStyle w:val="ListParagraph"/>
              <w:numPr>
                <w:ilvl w:val="0"/>
                <w:numId w:val="285"/>
              </w:numPr>
              <w:rPr>
                <w:rFonts w:cs="Arial"/>
                <w:iCs/>
                <w:snapToGrid w:val="0"/>
              </w:rPr>
            </w:pPr>
            <w:r w:rsidRPr="00C27FF1">
              <w:rPr>
                <w:rFonts w:cs="Arial"/>
                <w:iCs/>
                <w:snapToGrid w:val="0"/>
              </w:rPr>
              <w:t>No</w:t>
            </w:r>
          </w:p>
          <w:p w14:paraId="565BE440" w14:textId="1AA5024B" w:rsidR="00B85D40" w:rsidRPr="00C8246A" w:rsidRDefault="00B85D40" w:rsidP="00AD309C">
            <w:pPr>
              <w:pStyle w:val="ListParagraph"/>
              <w:numPr>
                <w:ilvl w:val="0"/>
                <w:numId w:val="285"/>
              </w:numPr>
              <w:rPr>
                <w:rFonts w:cs="Arial"/>
                <w:i/>
              </w:rPr>
            </w:pPr>
            <w:r w:rsidRPr="00C27FF1">
              <w:rPr>
                <w:rFonts w:cs="Arial"/>
                <w:iCs/>
                <w:snapToGrid w:val="0"/>
              </w:rPr>
              <w:t>Yes, but unit is now closed or wasn’t open for the entire reporting period</w:t>
            </w:r>
          </w:p>
        </w:tc>
      </w:tr>
      <w:tr w:rsidR="00B85D40" w14:paraId="23B5248E" w14:textId="77777777" w:rsidTr="001A20B6">
        <w:trPr>
          <w:trHeight w:val="1790"/>
        </w:trPr>
        <w:tc>
          <w:tcPr>
            <w:tcW w:w="6655" w:type="dxa"/>
            <w:vAlign w:val="center"/>
          </w:tcPr>
          <w:p w14:paraId="4755B224" w14:textId="5B8AAA41" w:rsidR="00B85D40" w:rsidRPr="009A5185" w:rsidRDefault="00B85D40" w:rsidP="00AD309C">
            <w:pPr>
              <w:numPr>
                <w:ilvl w:val="0"/>
                <w:numId w:val="64"/>
              </w:numPr>
              <w:rPr>
                <w:rFonts w:cs="Arial"/>
                <w:snapToGrid w:val="0"/>
                <w:color w:val="000000"/>
              </w:rPr>
            </w:pPr>
            <w:r w:rsidRPr="009A5185">
              <w:rPr>
                <w:rFonts w:cs="Arial"/>
                <w:snapToGrid w:val="0"/>
                <w:color w:val="000000"/>
              </w:rPr>
              <w:t xml:space="preserve">Total number of live births </w:t>
            </w:r>
            <w:r>
              <w:rPr>
                <w:rFonts w:cs="Arial"/>
                <w:snapToGrid w:val="0"/>
                <w:color w:val="000000"/>
              </w:rPr>
              <w:t xml:space="preserve">(i.e., liveborn infants) </w:t>
            </w:r>
            <w:r w:rsidRPr="009A5185">
              <w:rPr>
                <w:rFonts w:cs="Arial"/>
                <w:snapToGrid w:val="0"/>
                <w:color w:val="000000"/>
              </w:rPr>
              <w:t>at this hospital location for the reporting period.</w:t>
            </w:r>
          </w:p>
          <w:p w14:paraId="3D9FE013" w14:textId="77777777" w:rsidR="00B85D40" w:rsidRPr="009A5185" w:rsidRDefault="00B85D40" w:rsidP="00AF65F6">
            <w:pPr>
              <w:ind w:left="360"/>
              <w:rPr>
                <w:rFonts w:cs="Arial"/>
                <w:snapToGrid w:val="0"/>
                <w:color w:val="000000"/>
              </w:rPr>
            </w:pPr>
          </w:p>
          <w:p w14:paraId="08E1B03F" w14:textId="6FDF8AAE" w:rsidR="00B85D40" w:rsidRDefault="00B85D40" w:rsidP="00AF65F6">
            <w:pPr>
              <w:ind w:left="360"/>
              <w:rPr>
                <w:rFonts w:cs="Arial"/>
                <w:i/>
              </w:rPr>
            </w:pPr>
            <w:r w:rsidRPr="009A5185">
              <w:rPr>
                <w:rFonts w:cs="Arial"/>
                <w:i/>
              </w:rPr>
              <w:t>I</w:t>
            </w:r>
            <w:r w:rsidRPr="003F73B4">
              <w:rPr>
                <w:rFonts w:cs="Arial"/>
                <w:i/>
              </w:rPr>
              <w:t>f fewer than 10 cases, skip the remaining questions in Section 4, including all subsections, and go to the Affirmation of Accuracy. The hospital will be scored as “Unable to Calculate Score”</w:t>
            </w:r>
            <w:r>
              <w:rPr>
                <w:rFonts w:cs="Arial"/>
                <w:i/>
              </w:rPr>
              <w:t xml:space="preserve"> or “Does Not Apply.”</w:t>
            </w:r>
          </w:p>
        </w:tc>
        <w:tc>
          <w:tcPr>
            <w:tcW w:w="2880" w:type="dxa"/>
            <w:vAlign w:val="center"/>
          </w:tcPr>
          <w:p w14:paraId="553314E3" w14:textId="51381D49" w:rsidR="00B85D40" w:rsidRDefault="00B85D40" w:rsidP="00516D49">
            <w:pPr>
              <w:jc w:val="center"/>
              <w:rPr>
                <w:rFonts w:cs="Arial"/>
                <w:i/>
              </w:rPr>
            </w:pPr>
            <w:r w:rsidRPr="009A5185">
              <w:rPr>
                <w:rFonts w:cs="Arial"/>
                <w:i/>
                <w:snapToGrid w:val="0"/>
              </w:rPr>
              <w:t>______</w:t>
            </w:r>
          </w:p>
        </w:tc>
      </w:tr>
    </w:tbl>
    <w:p w14:paraId="2AE24467" w14:textId="77777777" w:rsidR="006C7A68" w:rsidRDefault="006C7A68">
      <w:pPr>
        <w:rPr>
          <w:rFonts w:cs="Arial"/>
          <w:i/>
        </w:rPr>
      </w:pPr>
    </w:p>
    <w:p w14:paraId="668AE944" w14:textId="77777777" w:rsidR="006C7A68" w:rsidRDefault="006C7A68">
      <w:pPr>
        <w:rPr>
          <w:rFonts w:cs="Arial"/>
          <w:i/>
        </w:rPr>
      </w:pPr>
    </w:p>
    <w:p w14:paraId="2F90713A" w14:textId="77777777" w:rsidR="006C7A68" w:rsidRDefault="006C7A68">
      <w:pPr>
        <w:rPr>
          <w:rFonts w:cs="Arial"/>
          <w:i/>
        </w:rPr>
      </w:pPr>
    </w:p>
    <w:p w14:paraId="3E83A9D7" w14:textId="77777777" w:rsidR="006C7A68" w:rsidRDefault="006C7A68">
      <w:pPr>
        <w:rPr>
          <w:rFonts w:cs="Arial"/>
          <w:i/>
        </w:rPr>
      </w:pPr>
    </w:p>
    <w:p w14:paraId="2FA03B54" w14:textId="77777777" w:rsidR="00EE2131" w:rsidRPr="009A5185" w:rsidRDefault="00EE2131">
      <w:pPr>
        <w:rPr>
          <w:rFonts w:cs="Arial"/>
          <w:i/>
        </w:rPr>
      </w:pPr>
    </w:p>
    <w:p w14:paraId="02281552" w14:textId="41AFFFA3" w:rsidR="006E50EF" w:rsidRDefault="00516D49" w:rsidP="00AB5B80">
      <w:pPr>
        <w:pStyle w:val="Heading3"/>
      </w:pPr>
      <w:bookmarkStart w:id="302" w:name="_Toc225877726"/>
      <w:r>
        <w:lastRenderedPageBreak/>
        <w:t>Maternity Care Services</w:t>
      </w:r>
      <w:bookmarkEnd w:id="302"/>
      <w:r>
        <w:t xml:space="preserve"> </w:t>
      </w:r>
    </w:p>
    <w:p w14:paraId="17EEE1D1" w14:textId="6890C03C" w:rsidR="00516D49" w:rsidRDefault="00516D49" w:rsidP="00516D49">
      <w:pPr>
        <w:rPr>
          <w:lang w:eastAsia="ja-JP"/>
        </w:rPr>
      </w:pPr>
    </w:p>
    <w:p w14:paraId="39A06A20" w14:textId="4A7C6BCF" w:rsidR="00447686" w:rsidRDefault="005D125E" w:rsidP="00516D49">
      <w:pPr>
        <w:rPr>
          <w:lang w:eastAsia="ja-JP"/>
        </w:rPr>
      </w:pPr>
      <w:r w:rsidRPr="00B07246">
        <w:rPr>
          <w:rFonts w:cs="Arial"/>
          <w:i/>
          <w:noProof/>
          <w:snapToGrid w:val="0"/>
        </w:rPr>
        <mc:AlternateContent>
          <mc:Choice Requires="wps">
            <w:drawing>
              <wp:inline distT="0" distB="0" distL="0" distR="0" wp14:anchorId="2240AE9B" wp14:editId="53D87951">
                <wp:extent cx="5943600" cy="1177290"/>
                <wp:effectExtent l="0" t="0" r="19050" b="22860"/>
                <wp:docPr id="2120330223" name="Text Box 2120330223" descr="P6281TB1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7290"/>
                        </a:xfrm>
                        <a:prstGeom prst="rect">
                          <a:avLst/>
                        </a:prstGeom>
                        <a:solidFill>
                          <a:srgbClr val="FFFFFF"/>
                        </a:solidFill>
                        <a:ln w="9525">
                          <a:solidFill>
                            <a:srgbClr val="FF0000"/>
                          </a:solidFill>
                          <a:miter lim="800000"/>
                          <a:headEnd/>
                          <a:tailEnd/>
                        </a:ln>
                      </wps:spPr>
                      <wps:txbx>
                        <w:txbxContent>
                          <w:p w14:paraId="4DFC4D3F" w14:textId="47959A26" w:rsidR="005D125E" w:rsidRPr="00E1700D" w:rsidRDefault="005D125E" w:rsidP="005D125E">
                            <w:pPr>
                              <w:spacing w:before="40"/>
                              <w:rPr>
                                <w:rFonts w:cs="Arial"/>
                                <w:i/>
                                <w:snapToGrid w:val="0"/>
                              </w:rPr>
                            </w:pPr>
                            <w:r w:rsidRPr="009A5185">
                              <w:rPr>
                                <w:rFonts w:cs="Arial"/>
                                <w:b/>
                                <w:snapToGrid w:val="0"/>
                              </w:rPr>
                              <w:t xml:space="preserve">Reporting Period: </w:t>
                            </w:r>
                            <w:r>
                              <w:rPr>
                                <w:rFonts w:cs="Arial"/>
                                <w:snapToGrid w:val="0"/>
                              </w:rPr>
                              <w:t>Answer questions #4-9 based on the practices currently in place at the time you submit this section of the Survey.</w:t>
                            </w:r>
                          </w:p>
                          <w:p w14:paraId="632C49DE" w14:textId="77777777" w:rsidR="005D125E" w:rsidRDefault="005D125E" w:rsidP="005D125E">
                            <w:pPr>
                              <w:rPr>
                                <w:rFonts w:cs="Arial"/>
                                <w:i/>
                                <w:snapToGrid w:val="0"/>
                              </w:rPr>
                            </w:pPr>
                          </w:p>
                          <w:p w14:paraId="351ABDA3" w14:textId="77777777" w:rsidR="005D125E" w:rsidRDefault="005D125E" w:rsidP="005D125E">
                            <w:r w:rsidRPr="001B3D66">
                              <w:rPr>
                                <w:rFonts w:cs="Arial"/>
                                <w:sz w:val="16"/>
                                <w:szCs w:val="16"/>
                              </w:rPr>
                              <w:t xml:space="preserve">Note: As a reminder, the </w:t>
                            </w:r>
                            <w:hyperlink r:id="rId251"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w:t>
                            </w:r>
                            <w:r>
                              <w:rPr>
                                <w:rFonts w:cs="Arial"/>
                                <w:bCs/>
                                <w:snapToGrid w:val="0"/>
                                <w:sz w:val="16"/>
                                <w:szCs w:val="16"/>
                              </w:rPr>
                              <w:t xml:space="preserve"> </w:t>
                            </w:r>
                            <w:r w:rsidRPr="00AE38C7">
                              <w:rPr>
                                <w:rFonts w:cs="Arial"/>
                                <w:bCs/>
                                <w:snapToGrid w:val="0"/>
                                <w:sz w:val="16"/>
                                <w:szCs w:val="16"/>
                              </w:rPr>
                              <w:t>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p w14:paraId="5DE9F6F2" w14:textId="77777777" w:rsidR="005D125E" w:rsidRDefault="005D125E" w:rsidP="005D125E"/>
                        </w:txbxContent>
                      </wps:txbx>
                      <wps:bodyPr rot="0" vert="horz" wrap="square" lIns="91440" tIns="45720" rIns="91440" bIns="45720" anchor="t" anchorCtr="0">
                        <a:spAutoFit/>
                      </wps:bodyPr>
                    </wps:wsp>
                  </a:graphicData>
                </a:graphic>
              </wp:inline>
            </w:drawing>
          </mc:Choice>
          <mc:Fallback>
            <w:pict>
              <v:shape w14:anchorId="2240AE9B" id="Text Box 2120330223" o:spid="_x0000_s1041" type="#_x0000_t202" alt="P6281TB14#y1" style="width:468pt;height:9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" strokecolor="red">
                <v:textbox style="mso-fit-shape-to-text:t">
                  <w:txbxContent>
                    <w:p w14:paraId="4DFC4D3F" w14:textId="47959A26" w:rsidR="005D125E" w:rsidRPr="00E1700D" w:rsidRDefault="005D125E" w:rsidP="005D125E">
                      <w:pPr>
                        <w:spacing w:before="40"/>
                        <w:rPr>
                          <w:rFonts w:cs="Arial"/>
                          <w:i/>
                          <w:snapToGrid w:val="0"/>
                        </w:rPr>
                      </w:pPr>
                      <w:r w:rsidRPr="009A5185">
                        <w:rPr>
                          <w:rFonts w:cs="Arial"/>
                          <w:b/>
                          <w:snapToGrid w:val="0"/>
                        </w:rPr>
                        <w:t xml:space="preserve">Reporting Period: </w:t>
                      </w:r>
                      <w:r>
                        <w:rPr>
                          <w:rFonts w:cs="Arial"/>
                          <w:snapToGrid w:val="0"/>
                        </w:rPr>
                        <w:t>Answer questions #4-9 based on the practices currently in place at the time you submit this section of the Survey.</w:t>
                      </w:r>
                    </w:p>
                    <w:p w14:paraId="632C49DE" w14:textId="77777777" w:rsidR="005D125E" w:rsidRDefault="005D125E" w:rsidP="005D125E">
                      <w:pPr>
                        <w:rPr>
                          <w:rFonts w:cs="Arial"/>
                          <w:i/>
                          <w:snapToGrid w:val="0"/>
                        </w:rPr>
                      </w:pPr>
                    </w:p>
                    <w:p w14:paraId="351ABDA3" w14:textId="77777777" w:rsidR="005D125E" w:rsidRDefault="005D125E" w:rsidP="005D125E">
                      <w:r w:rsidRPr="001B3D66">
                        <w:rPr>
                          <w:rFonts w:cs="Arial"/>
                          <w:sz w:val="16"/>
                          <w:szCs w:val="16"/>
                        </w:rPr>
                        <w:t xml:space="preserve">Note: As a reminder, the </w:t>
                      </w:r>
                      <w:hyperlink r:id="rId252" w:history="1">
                        <w:r w:rsidRPr="001B3D66">
                          <w:rPr>
                            <w:rStyle w:val="Hyperlink"/>
                            <w:rFonts w:cs="Arial"/>
                            <w:sz w:val="16"/>
                            <w:szCs w:val="16"/>
                          </w:rPr>
                          <w:t>Corrections Period</w:t>
                        </w:r>
                      </w:hyperlink>
                      <w:r w:rsidRPr="001B3D66">
                        <w:rPr>
                          <w:rFonts w:cs="Arial"/>
                          <w:sz w:val="16"/>
                          <w:szCs w:val="16"/>
                        </w:rPr>
                        <w:t xml:space="preserve"> (</w:t>
                      </w:r>
                      <w:r>
                        <w:rPr>
                          <w:rFonts w:cs="Arial"/>
                          <w:sz w:val="16"/>
                          <w:szCs w:val="16"/>
                        </w:rPr>
                        <w:t>December</w:t>
                      </w:r>
                      <w:r w:rsidRPr="001B3D66">
                        <w:rPr>
                          <w:rFonts w:cs="Arial"/>
                          <w:sz w:val="16"/>
                          <w:szCs w:val="16"/>
                        </w:rPr>
                        <w:t xml:space="preserve"> 1-January 31) is reserved for corrections to previously submitted Surveys only. </w:t>
                      </w:r>
                      <w:r w:rsidRPr="001B3D66">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1B3D66">
                        <w:rPr>
                          <w:rFonts w:cs="Arial"/>
                          <w:bCs/>
                          <w:snapToGrid w:val="0"/>
                          <w:sz w:val="16"/>
                          <w:szCs w:val="16"/>
                        </w:rPr>
                        <w:t xml:space="preserve"> Late Submission </w:t>
                      </w:r>
                      <w:r w:rsidRPr="00AE38C7">
                        <w:rPr>
                          <w:rFonts w:cs="Arial"/>
                          <w:bCs/>
                          <w:snapToGrid w:val="0"/>
                          <w:sz w:val="16"/>
                          <w:szCs w:val="16"/>
                        </w:rPr>
                        <w:t>and</w:t>
                      </w:r>
                      <w:r>
                        <w:rPr>
                          <w:rFonts w:cs="Arial"/>
                          <w:bCs/>
                          <w:snapToGrid w:val="0"/>
                          <w:sz w:val="16"/>
                          <w:szCs w:val="16"/>
                        </w:rPr>
                        <w:t xml:space="preserve"> </w:t>
                      </w:r>
                      <w:r w:rsidRPr="00AE38C7">
                        <w:rPr>
                          <w:rFonts w:cs="Arial"/>
                          <w:bCs/>
                          <w:snapToGrid w:val="0"/>
                          <w:sz w:val="16"/>
                          <w:szCs w:val="16"/>
                        </w:rPr>
                        <w:t>Performance Update</w:t>
                      </w:r>
                      <w:r>
                        <w:rPr>
                          <w:rFonts w:cs="Arial"/>
                          <w:bCs/>
                          <w:snapToGrid w:val="0"/>
                          <w:sz w:val="16"/>
                          <w:szCs w:val="16"/>
                        </w:rPr>
                        <w:t xml:space="preserve"> </w:t>
                      </w:r>
                      <w:r w:rsidRPr="001B3D66">
                        <w:rPr>
                          <w:rFonts w:cs="Arial"/>
                          <w:bCs/>
                          <w:snapToGrid w:val="0"/>
                          <w:sz w:val="16"/>
                          <w:szCs w:val="16"/>
                        </w:rPr>
                        <w:t xml:space="preserve">Deadline. Updates made to reflect a change in performance after </w:t>
                      </w:r>
                      <w:r>
                        <w:rPr>
                          <w:rFonts w:cs="Arial"/>
                          <w:bCs/>
                          <w:snapToGrid w:val="0"/>
                          <w:sz w:val="16"/>
                          <w:szCs w:val="16"/>
                        </w:rPr>
                        <w:t>November 30</w:t>
                      </w:r>
                      <w:r w:rsidRPr="001B3D66">
                        <w:rPr>
                          <w:rFonts w:cs="Arial"/>
                          <w:bCs/>
                          <w:snapToGrid w:val="0"/>
                          <w:sz w:val="16"/>
                          <w:szCs w:val="16"/>
                        </w:rPr>
                        <w:t xml:space="preserve"> will not be scored or publicly reported.</w:t>
                      </w:r>
                    </w:p>
                    <w:p w14:paraId="5DE9F6F2" w14:textId="77777777" w:rsidR="005D125E" w:rsidRDefault="005D125E" w:rsidP="005D125E"/>
                  </w:txbxContent>
                </v:textbox>
                <w10:anchorlock/>
              </v:shape>
            </w:pict>
          </mc:Fallback>
        </mc:AlternateContent>
      </w:r>
    </w:p>
    <w:p w14:paraId="1A78DD02" w14:textId="77777777" w:rsidR="00447686" w:rsidRDefault="00447686" w:rsidP="00516D49">
      <w:pPr>
        <w:rPr>
          <w:lang w:eastAsia="ja-JP"/>
        </w:rPr>
      </w:pPr>
    </w:p>
    <w:tbl>
      <w:tblPr>
        <w:tblW w:w="95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8"/>
        <w:gridCol w:w="2909"/>
      </w:tblGrid>
      <w:tr w:rsidR="00516D49" w:rsidRPr="009A5185" w14:paraId="009A39FB" w14:textId="77777777" w:rsidTr="00386CFB">
        <w:trPr>
          <w:trHeight w:val="720"/>
        </w:trPr>
        <w:tc>
          <w:tcPr>
            <w:tcW w:w="6638" w:type="dxa"/>
            <w:vAlign w:val="center"/>
          </w:tcPr>
          <w:p w14:paraId="7A2D7679" w14:textId="2BBFA8B3" w:rsidR="00516D49" w:rsidRPr="009A5185" w:rsidRDefault="00516D49" w:rsidP="00AD309C">
            <w:pPr>
              <w:pStyle w:val="ListParagraph"/>
              <w:numPr>
                <w:ilvl w:val="0"/>
                <w:numId w:val="64"/>
              </w:numPr>
              <w:rPr>
                <w:rFonts w:cs="Arial"/>
                <w:snapToGrid w:val="0"/>
                <w:color w:val="000000"/>
              </w:rPr>
            </w:pPr>
            <w:r w:rsidRPr="000C561A">
              <w:rPr>
                <w:rFonts w:cs="Arial"/>
                <w:snapToGrid w:val="0"/>
                <w:color w:val="000000"/>
              </w:rPr>
              <w:t xml:space="preserve">Do certified nurse-midwives and/or certified midwives </w:t>
            </w:r>
            <w:r w:rsidR="008B7609">
              <w:rPr>
                <w:rFonts w:cs="Arial"/>
                <w:snapToGrid w:val="0"/>
                <w:color w:val="000000"/>
              </w:rPr>
              <w:t>offer care for labor and delivery at your hospital</w:t>
            </w:r>
            <w:r w:rsidRPr="000C561A">
              <w:rPr>
                <w:rFonts w:cs="Arial"/>
                <w:snapToGrid w:val="0"/>
                <w:color w:val="000000"/>
              </w:rPr>
              <w:t>?</w:t>
            </w:r>
          </w:p>
        </w:tc>
        <w:tc>
          <w:tcPr>
            <w:tcW w:w="2909" w:type="dxa"/>
            <w:vAlign w:val="center"/>
          </w:tcPr>
          <w:p w14:paraId="3D26F931" w14:textId="77777777" w:rsidR="00516D49" w:rsidRPr="00A31567" w:rsidRDefault="00516D49" w:rsidP="00AD309C">
            <w:pPr>
              <w:pStyle w:val="ListParagraph"/>
              <w:numPr>
                <w:ilvl w:val="0"/>
                <w:numId w:val="284"/>
              </w:numPr>
              <w:rPr>
                <w:rFonts w:cs="Arial"/>
                <w:iCs/>
              </w:rPr>
            </w:pPr>
            <w:r w:rsidRPr="00A31567">
              <w:rPr>
                <w:rFonts w:cs="Arial"/>
                <w:iCs/>
              </w:rPr>
              <w:t>Yes</w:t>
            </w:r>
          </w:p>
          <w:p w14:paraId="1B32A2BF" w14:textId="77777777" w:rsidR="00516D49" w:rsidRPr="00A31567" w:rsidRDefault="00516D49" w:rsidP="00AD309C">
            <w:pPr>
              <w:pStyle w:val="ListParagraph"/>
              <w:numPr>
                <w:ilvl w:val="0"/>
                <w:numId w:val="284"/>
              </w:numPr>
              <w:rPr>
                <w:rFonts w:cs="Arial"/>
                <w:iCs/>
              </w:rPr>
            </w:pPr>
            <w:r w:rsidRPr="00A31567">
              <w:rPr>
                <w:rFonts w:cs="Arial"/>
                <w:iCs/>
              </w:rPr>
              <w:t>No</w:t>
            </w:r>
          </w:p>
        </w:tc>
      </w:tr>
      <w:tr w:rsidR="00516D49" w:rsidRPr="009A5185" w14:paraId="13CBBB47" w14:textId="77777777" w:rsidTr="00386CFB">
        <w:trPr>
          <w:trHeight w:val="1584"/>
        </w:trPr>
        <w:tc>
          <w:tcPr>
            <w:tcW w:w="6638" w:type="dxa"/>
            <w:vAlign w:val="center"/>
          </w:tcPr>
          <w:p w14:paraId="37AEF553" w14:textId="72B7B277" w:rsidR="00516D49" w:rsidRDefault="00516D49" w:rsidP="00AD309C">
            <w:pPr>
              <w:pStyle w:val="ListParagraph"/>
              <w:numPr>
                <w:ilvl w:val="0"/>
                <w:numId w:val="64"/>
              </w:numPr>
              <w:rPr>
                <w:rFonts w:cs="Arial"/>
                <w:snapToGrid w:val="0"/>
              </w:rPr>
            </w:pPr>
            <w:r>
              <w:rPr>
                <w:rFonts w:cs="Arial"/>
                <w:snapToGrid w:val="0"/>
              </w:rPr>
              <w:t>Do doulas</w:t>
            </w:r>
            <w:r w:rsidR="008B7609">
              <w:rPr>
                <w:rFonts w:cs="Arial"/>
                <w:snapToGrid w:val="0"/>
              </w:rPr>
              <w:t xml:space="preserve"> offer care</w:t>
            </w:r>
            <w:r>
              <w:rPr>
                <w:rFonts w:cs="Arial"/>
                <w:snapToGrid w:val="0"/>
              </w:rPr>
              <w:t xml:space="preserve"> for labor and delivery</w:t>
            </w:r>
            <w:r w:rsidR="008B7609">
              <w:rPr>
                <w:rFonts w:cs="Arial"/>
                <w:snapToGrid w:val="0"/>
              </w:rPr>
              <w:t xml:space="preserve"> at your hospital</w:t>
            </w:r>
            <w:r>
              <w:rPr>
                <w:rFonts w:cs="Arial"/>
                <w:snapToGrid w:val="0"/>
              </w:rPr>
              <w:t>?</w:t>
            </w:r>
          </w:p>
          <w:p w14:paraId="4E065243" w14:textId="77777777" w:rsidR="00516D49" w:rsidRDefault="00516D49">
            <w:pPr>
              <w:rPr>
                <w:rFonts w:cs="Arial"/>
                <w:snapToGrid w:val="0"/>
              </w:rPr>
            </w:pPr>
          </w:p>
          <w:p w14:paraId="638EA2DD" w14:textId="77777777" w:rsidR="00516D49" w:rsidRPr="000C561A" w:rsidRDefault="00516D49">
            <w:pPr>
              <w:pStyle w:val="ListParagraph"/>
              <w:ind w:left="360"/>
              <w:rPr>
                <w:rFonts w:cs="Arial"/>
                <w:snapToGrid w:val="0"/>
                <w:color w:val="000000"/>
              </w:rPr>
            </w:pPr>
            <w:r>
              <w:rPr>
                <w:rFonts w:cs="Arial"/>
                <w:i/>
                <w:iCs/>
                <w:snapToGrid w:val="0"/>
              </w:rPr>
              <w:t>Select all that apply.</w:t>
            </w:r>
          </w:p>
        </w:tc>
        <w:tc>
          <w:tcPr>
            <w:tcW w:w="2909" w:type="dxa"/>
            <w:vAlign w:val="center"/>
          </w:tcPr>
          <w:p w14:paraId="720ADFE9" w14:textId="6C42FEB8" w:rsidR="00516D49" w:rsidRPr="00764EEA" w:rsidRDefault="00516D49" w:rsidP="00AD309C">
            <w:pPr>
              <w:pStyle w:val="ListParagraph"/>
              <w:numPr>
                <w:ilvl w:val="0"/>
                <w:numId w:val="181"/>
              </w:numPr>
              <w:rPr>
                <w:rFonts w:cs="Arial"/>
                <w:snapToGrid w:val="0"/>
              </w:rPr>
            </w:pPr>
            <w:r w:rsidRPr="00764EEA">
              <w:rPr>
                <w:rFonts w:cs="Arial"/>
                <w:snapToGrid w:val="0"/>
              </w:rPr>
              <w:t xml:space="preserve">Yes, </w:t>
            </w:r>
            <w:r w:rsidR="006767F1">
              <w:rPr>
                <w:rFonts w:cs="Arial"/>
                <w:snapToGrid w:val="0"/>
              </w:rPr>
              <w:t xml:space="preserve">the </w:t>
            </w:r>
            <w:r w:rsidRPr="00764EEA">
              <w:rPr>
                <w:rFonts w:cs="Arial"/>
                <w:snapToGrid w:val="0"/>
              </w:rPr>
              <w:t>hospital employs</w:t>
            </w:r>
            <w:r w:rsidR="000E0A5D">
              <w:rPr>
                <w:rFonts w:cs="Arial"/>
                <w:snapToGrid w:val="0"/>
              </w:rPr>
              <w:t xml:space="preserve"> or contracts with</w:t>
            </w:r>
            <w:r w:rsidRPr="00764EEA">
              <w:rPr>
                <w:rFonts w:cs="Arial"/>
                <w:snapToGrid w:val="0"/>
              </w:rPr>
              <w:t xml:space="preserve"> doulas</w:t>
            </w:r>
          </w:p>
          <w:p w14:paraId="263CCF81" w14:textId="2A86ED31" w:rsidR="00516D49" w:rsidRPr="00764EEA" w:rsidRDefault="00516D49" w:rsidP="00AD309C">
            <w:pPr>
              <w:pStyle w:val="ListParagraph"/>
              <w:numPr>
                <w:ilvl w:val="0"/>
                <w:numId w:val="181"/>
              </w:numPr>
              <w:rPr>
                <w:rFonts w:cs="Arial"/>
                <w:snapToGrid w:val="0"/>
              </w:rPr>
            </w:pPr>
            <w:r w:rsidRPr="00764EEA">
              <w:rPr>
                <w:rFonts w:cs="Arial"/>
                <w:snapToGrid w:val="0"/>
              </w:rPr>
              <w:t xml:space="preserve">Yes, patients </w:t>
            </w:r>
            <w:r w:rsidR="00A27228">
              <w:rPr>
                <w:rFonts w:cs="Arial"/>
                <w:snapToGrid w:val="0"/>
              </w:rPr>
              <w:t xml:space="preserve">can </w:t>
            </w:r>
            <w:r w:rsidRPr="00764EEA">
              <w:rPr>
                <w:rFonts w:cs="Arial"/>
                <w:snapToGrid w:val="0"/>
              </w:rPr>
              <w:t>bring their own doulas</w:t>
            </w:r>
          </w:p>
          <w:p w14:paraId="05F14409" w14:textId="77777777" w:rsidR="00516D49" w:rsidRPr="00764EEA" w:rsidRDefault="00516D49" w:rsidP="00AD309C">
            <w:pPr>
              <w:pStyle w:val="ListParagraph"/>
              <w:numPr>
                <w:ilvl w:val="0"/>
                <w:numId w:val="181"/>
              </w:numPr>
              <w:rPr>
                <w:rFonts w:cs="Arial"/>
                <w:snapToGrid w:val="0"/>
              </w:rPr>
            </w:pPr>
            <w:r w:rsidRPr="00764EEA">
              <w:rPr>
                <w:rFonts w:cs="Arial"/>
                <w:snapToGrid w:val="0"/>
              </w:rPr>
              <w:t xml:space="preserve">No </w:t>
            </w:r>
          </w:p>
        </w:tc>
      </w:tr>
      <w:tr w:rsidR="00516D49" w:rsidRPr="009A5185" w14:paraId="7CB99D4D" w14:textId="77777777" w:rsidTr="00527E7B">
        <w:trPr>
          <w:trHeight w:val="2978"/>
        </w:trPr>
        <w:tc>
          <w:tcPr>
            <w:tcW w:w="6638" w:type="dxa"/>
            <w:vAlign w:val="center"/>
          </w:tcPr>
          <w:p w14:paraId="09DC5A81" w14:textId="584D41F1" w:rsidR="00516D49" w:rsidRPr="000C561A" w:rsidRDefault="00510B22" w:rsidP="00AD309C">
            <w:pPr>
              <w:pStyle w:val="ListParagraph"/>
              <w:numPr>
                <w:ilvl w:val="0"/>
                <w:numId w:val="64"/>
              </w:numPr>
              <w:rPr>
                <w:rFonts w:cs="Arial"/>
                <w:snapToGrid w:val="0"/>
              </w:rPr>
            </w:pPr>
            <w:r>
              <w:rPr>
                <w:rFonts w:cs="Arial"/>
                <w:snapToGrid w:val="0"/>
              </w:rPr>
              <w:t>What</w:t>
            </w:r>
            <w:r w:rsidR="00516D49" w:rsidRPr="000C561A">
              <w:rPr>
                <w:rFonts w:cs="Arial"/>
                <w:snapToGrid w:val="0"/>
              </w:rPr>
              <w:t xml:space="preserve"> breastfeeding/lactation</w:t>
            </w:r>
            <w:r w:rsidR="00A27228">
              <w:rPr>
                <w:rFonts w:cs="Arial"/>
                <w:snapToGrid w:val="0"/>
              </w:rPr>
              <w:t xml:space="preserve"> support</w:t>
            </w:r>
            <w:r w:rsidR="00516D49" w:rsidRPr="000C561A">
              <w:rPr>
                <w:rFonts w:cs="Arial"/>
                <w:snapToGrid w:val="0"/>
              </w:rPr>
              <w:t xml:space="preserve"> </w:t>
            </w:r>
            <w:r w:rsidR="00A27228" w:rsidRPr="00A27228">
              <w:rPr>
                <w:rFonts w:cs="Arial"/>
                <w:snapToGrid w:val="0"/>
              </w:rPr>
              <w:t xml:space="preserve">is provided in your hospital </w:t>
            </w:r>
            <w:r w:rsidR="00681066">
              <w:rPr>
                <w:rFonts w:cs="Arial"/>
                <w:snapToGrid w:val="0"/>
              </w:rPr>
              <w:t xml:space="preserve">after delivery and prior to hospital </w:t>
            </w:r>
            <w:r w:rsidR="00A27228" w:rsidRPr="00A27228">
              <w:rPr>
                <w:rFonts w:cs="Arial"/>
                <w:snapToGrid w:val="0"/>
              </w:rPr>
              <w:t>discharge</w:t>
            </w:r>
            <w:r w:rsidR="00516D49" w:rsidRPr="000C561A">
              <w:rPr>
                <w:rFonts w:cs="Arial"/>
                <w:snapToGrid w:val="0"/>
              </w:rPr>
              <w:t>?</w:t>
            </w:r>
          </w:p>
          <w:p w14:paraId="6588B3D1" w14:textId="77777777" w:rsidR="00516D49" w:rsidRPr="000C561A" w:rsidRDefault="00516D49">
            <w:pPr>
              <w:rPr>
                <w:rFonts w:cs="Arial"/>
                <w:snapToGrid w:val="0"/>
              </w:rPr>
            </w:pPr>
          </w:p>
          <w:p w14:paraId="3FBC19B2" w14:textId="4C024E00" w:rsidR="00516D49" w:rsidRPr="004240B4" w:rsidRDefault="00516D49" w:rsidP="004240B4">
            <w:pPr>
              <w:pStyle w:val="ListParagraph"/>
              <w:ind w:left="360"/>
              <w:rPr>
                <w:rFonts w:cs="Arial"/>
                <w:i/>
                <w:iCs/>
                <w:snapToGrid w:val="0"/>
              </w:rPr>
            </w:pPr>
            <w:r w:rsidRPr="001E2A00">
              <w:rPr>
                <w:rFonts w:cs="Arial"/>
                <w:i/>
                <w:iCs/>
                <w:snapToGrid w:val="0"/>
              </w:rPr>
              <w:t>Select all that apply.</w:t>
            </w:r>
          </w:p>
        </w:tc>
        <w:tc>
          <w:tcPr>
            <w:tcW w:w="2909" w:type="dxa"/>
            <w:vAlign w:val="center"/>
          </w:tcPr>
          <w:p w14:paraId="3D70BE98" w14:textId="02833EAF" w:rsidR="00A05251" w:rsidRPr="00BB5D75" w:rsidRDefault="00A05251" w:rsidP="00A05251">
            <w:pPr>
              <w:pStyle w:val="ListParagraph"/>
              <w:numPr>
                <w:ilvl w:val="0"/>
                <w:numId w:val="181"/>
              </w:numPr>
              <w:rPr>
                <w:rFonts w:cs="Arial"/>
                <w:snapToGrid w:val="0"/>
              </w:rPr>
            </w:pPr>
            <w:r w:rsidRPr="00BB5D75">
              <w:rPr>
                <w:rFonts w:cs="Arial"/>
                <w:snapToGrid w:val="0"/>
              </w:rPr>
              <w:t>Clinical lactation care, education, and support provided by an International Board Certified Lactation Consultant® (IBCLC®)</w:t>
            </w:r>
          </w:p>
          <w:p w14:paraId="294CB2D3" w14:textId="77777777" w:rsidR="00A05251" w:rsidRPr="00BB5D75" w:rsidRDefault="00A05251" w:rsidP="00A05251">
            <w:pPr>
              <w:pStyle w:val="ListParagraph"/>
              <w:numPr>
                <w:ilvl w:val="0"/>
                <w:numId w:val="181"/>
              </w:numPr>
              <w:rPr>
                <w:rFonts w:cs="Arial"/>
                <w:snapToGrid w:val="0"/>
              </w:rPr>
            </w:pPr>
            <w:r w:rsidRPr="00BB5D75">
              <w:rPr>
                <w:rFonts w:cs="Arial"/>
                <w:snapToGrid w:val="0"/>
              </w:rPr>
              <w:t>Education and counseling provided by other lactation consultants, counselors, educators, and/or specialists</w:t>
            </w:r>
          </w:p>
          <w:p w14:paraId="69299EAF" w14:textId="372AF3C8" w:rsidR="00516D49" w:rsidRPr="00764EEA" w:rsidRDefault="00A05251" w:rsidP="00AD309C">
            <w:pPr>
              <w:pStyle w:val="ListParagraph"/>
              <w:numPr>
                <w:ilvl w:val="0"/>
                <w:numId w:val="181"/>
              </w:numPr>
              <w:rPr>
                <w:rFonts w:cs="Arial"/>
                <w:snapToGrid w:val="0"/>
              </w:rPr>
            </w:pPr>
            <w:r w:rsidRPr="00BB5D75">
              <w:rPr>
                <w:rFonts w:cs="Arial"/>
                <w:snapToGrid w:val="0"/>
              </w:rPr>
              <w:t>None of the above</w:t>
            </w:r>
          </w:p>
        </w:tc>
      </w:tr>
      <w:tr w:rsidR="00516D49" w:rsidRPr="009A5185" w14:paraId="702C50F1" w14:textId="77777777" w:rsidTr="00527E7B">
        <w:trPr>
          <w:trHeight w:val="1619"/>
        </w:trPr>
        <w:tc>
          <w:tcPr>
            <w:tcW w:w="6638" w:type="dxa"/>
            <w:vAlign w:val="center"/>
          </w:tcPr>
          <w:p w14:paraId="72489F5D" w14:textId="4D641493" w:rsidR="00184F0D" w:rsidRDefault="00184F0D" w:rsidP="00184F0D">
            <w:pPr>
              <w:pStyle w:val="ListParagraph"/>
              <w:numPr>
                <w:ilvl w:val="0"/>
                <w:numId w:val="64"/>
              </w:numPr>
              <w:rPr>
                <w:rFonts w:cs="Arial"/>
                <w:snapToGrid w:val="0"/>
              </w:rPr>
            </w:pPr>
            <w:r w:rsidRPr="009D4FF0">
              <w:rPr>
                <w:rFonts w:cs="Arial"/>
                <w:snapToGrid w:val="0"/>
              </w:rPr>
              <w:t xml:space="preserve">Which of the following does your hospital offer patients </w:t>
            </w:r>
            <w:r w:rsidR="00681066">
              <w:rPr>
                <w:rFonts w:cs="Arial"/>
                <w:snapToGrid w:val="0"/>
              </w:rPr>
              <w:t xml:space="preserve">after delivery and prior to hospital </w:t>
            </w:r>
            <w:r w:rsidRPr="009D4FF0">
              <w:rPr>
                <w:rFonts w:cs="Arial"/>
                <w:snapToGrid w:val="0"/>
              </w:rPr>
              <w:t>discharge?</w:t>
            </w:r>
          </w:p>
          <w:p w14:paraId="3464900A" w14:textId="77777777" w:rsidR="00184F0D" w:rsidRDefault="00184F0D" w:rsidP="00184F0D">
            <w:pPr>
              <w:rPr>
                <w:rFonts w:cs="Arial"/>
                <w:snapToGrid w:val="0"/>
              </w:rPr>
            </w:pPr>
          </w:p>
          <w:p w14:paraId="119C9AB2" w14:textId="2098D1F8" w:rsidR="00516D49" w:rsidRDefault="00184F0D" w:rsidP="00184F0D">
            <w:pPr>
              <w:pStyle w:val="ListParagraph"/>
              <w:ind w:left="360"/>
              <w:rPr>
                <w:rFonts w:cs="Arial"/>
                <w:i/>
                <w:iCs/>
                <w:snapToGrid w:val="0"/>
              </w:rPr>
            </w:pPr>
            <w:r w:rsidRPr="001E2A00">
              <w:rPr>
                <w:rFonts w:cs="Arial"/>
                <w:i/>
                <w:iCs/>
                <w:snapToGrid w:val="0"/>
              </w:rPr>
              <w:t>Select all that apply</w:t>
            </w:r>
            <w:r w:rsidR="002B7F50">
              <w:rPr>
                <w:rFonts w:cs="Arial"/>
                <w:i/>
                <w:iCs/>
                <w:snapToGrid w:val="0"/>
              </w:rPr>
              <w:t>.</w:t>
            </w:r>
          </w:p>
          <w:p w14:paraId="743E721A" w14:textId="6AEEFBE6" w:rsidR="00184F0D" w:rsidRDefault="00184F0D" w:rsidP="00184F0D">
            <w:pPr>
              <w:pStyle w:val="ListParagraph"/>
              <w:ind w:left="360"/>
              <w:rPr>
                <w:rFonts w:cs="Arial"/>
                <w:snapToGrid w:val="0"/>
              </w:rPr>
            </w:pPr>
          </w:p>
        </w:tc>
        <w:tc>
          <w:tcPr>
            <w:tcW w:w="2909" w:type="dxa"/>
            <w:vAlign w:val="center"/>
          </w:tcPr>
          <w:p w14:paraId="1CF82B2C" w14:textId="77777777" w:rsidR="00D04AF8" w:rsidRDefault="00D04AF8" w:rsidP="006757E8">
            <w:pPr>
              <w:pStyle w:val="ListParagraph"/>
              <w:numPr>
                <w:ilvl w:val="0"/>
                <w:numId w:val="181"/>
              </w:numPr>
              <w:rPr>
                <w:rFonts w:cs="Arial"/>
                <w:snapToGrid w:val="0"/>
              </w:rPr>
            </w:pPr>
            <w:r w:rsidRPr="008E5F07">
              <w:rPr>
                <w:rFonts w:cs="Arial"/>
                <w:snapToGrid w:val="0"/>
              </w:rPr>
              <w:t>Tubal ligation</w:t>
            </w:r>
          </w:p>
          <w:p w14:paraId="779CEAD5" w14:textId="77777777" w:rsidR="00D04AF8" w:rsidRDefault="00D04AF8" w:rsidP="006757E8">
            <w:pPr>
              <w:pStyle w:val="ListParagraph"/>
              <w:numPr>
                <w:ilvl w:val="0"/>
                <w:numId w:val="181"/>
              </w:numPr>
              <w:rPr>
                <w:rFonts w:cs="Arial"/>
                <w:snapToGrid w:val="0"/>
              </w:rPr>
            </w:pPr>
            <w:r w:rsidRPr="000A4317">
              <w:rPr>
                <w:rFonts w:cs="Arial"/>
                <w:snapToGrid w:val="0"/>
              </w:rPr>
              <w:t>Bilateral salpingectomy</w:t>
            </w:r>
          </w:p>
          <w:p w14:paraId="584BF17F" w14:textId="07E82F37" w:rsidR="00776571" w:rsidRDefault="00D04AF8" w:rsidP="00D92EB3">
            <w:pPr>
              <w:pStyle w:val="ListParagraph"/>
              <w:numPr>
                <w:ilvl w:val="0"/>
                <w:numId w:val="181"/>
              </w:numPr>
              <w:rPr>
                <w:rFonts w:cs="Arial"/>
                <w:snapToGrid w:val="0"/>
              </w:rPr>
            </w:pPr>
            <w:r w:rsidRPr="000A4317">
              <w:rPr>
                <w:rFonts w:cs="Arial"/>
                <w:snapToGrid w:val="0"/>
              </w:rPr>
              <w:t>Long-acting reversible</w:t>
            </w:r>
            <w:r>
              <w:rPr>
                <w:rFonts w:cs="Arial"/>
                <w:snapToGrid w:val="0"/>
              </w:rPr>
              <w:t xml:space="preserve"> </w:t>
            </w:r>
            <w:r w:rsidRPr="000A4317">
              <w:rPr>
                <w:rFonts w:cs="Arial"/>
                <w:snapToGrid w:val="0"/>
              </w:rPr>
              <w:t>contraception (LARC)</w:t>
            </w:r>
            <w:r>
              <w:rPr>
                <w:rFonts w:cs="Arial"/>
                <w:snapToGrid w:val="0"/>
              </w:rPr>
              <w:t xml:space="preserve"> </w:t>
            </w:r>
            <w:r w:rsidRPr="000A4317">
              <w:rPr>
                <w:rFonts w:cs="Arial"/>
                <w:snapToGrid w:val="0"/>
              </w:rPr>
              <w:t>(e.g., IUDs</w:t>
            </w:r>
            <w:r>
              <w:rPr>
                <w:rFonts w:cs="Arial"/>
                <w:snapToGrid w:val="0"/>
              </w:rPr>
              <w:t>)</w:t>
            </w:r>
          </w:p>
          <w:p w14:paraId="5C818731" w14:textId="396D784A" w:rsidR="00516D49" w:rsidRPr="00D92EB3" w:rsidRDefault="00776571" w:rsidP="00D92EB3">
            <w:pPr>
              <w:pStyle w:val="ListParagraph"/>
              <w:numPr>
                <w:ilvl w:val="0"/>
                <w:numId w:val="181"/>
              </w:numPr>
              <w:rPr>
                <w:rFonts w:cs="Arial"/>
                <w:snapToGrid w:val="0"/>
              </w:rPr>
            </w:pPr>
            <w:r>
              <w:rPr>
                <w:rFonts w:cs="Arial"/>
                <w:snapToGrid w:val="0"/>
              </w:rPr>
              <w:t>None of the above</w:t>
            </w:r>
          </w:p>
        </w:tc>
      </w:tr>
      <w:tr w:rsidR="006D1C5C" w:rsidRPr="009A5185" w14:paraId="4C5EB343" w14:textId="77777777" w:rsidTr="00FD6EC0">
        <w:trPr>
          <w:trHeight w:val="800"/>
        </w:trPr>
        <w:tc>
          <w:tcPr>
            <w:tcW w:w="6638" w:type="dxa"/>
            <w:vAlign w:val="center"/>
          </w:tcPr>
          <w:p w14:paraId="6958C509" w14:textId="7A45FBA0" w:rsidR="006D1C5C" w:rsidRDefault="006D1C5C" w:rsidP="00AD309C">
            <w:pPr>
              <w:pStyle w:val="ListParagraph"/>
              <w:numPr>
                <w:ilvl w:val="0"/>
                <w:numId w:val="64"/>
              </w:numPr>
              <w:rPr>
                <w:rFonts w:cs="Arial"/>
                <w:snapToGrid w:val="0"/>
              </w:rPr>
            </w:pPr>
            <w:bookmarkStart w:id="303" w:name="_Hlk158212025"/>
            <w:r>
              <w:rPr>
                <w:rFonts w:cs="Arial"/>
                <w:snapToGrid w:val="0"/>
              </w:rPr>
              <w:t xml:space="preserve">Has your hospital adopted a policy that prevents </w:t>
            </w:r>
            <w:r w:rsidR="00BB5410" w:rsidRPr="00BB5410">
              <w:rPr>
                <w:rFonts w:cs="Arial"/>
                <w:snapToGrid w:val="0"/>
              </w:rPr>
              <w:t xml:space="preserve">nonmedically indicated </w:t>
            </w:r>
            <w:r>
              <w:rPr>
                <w:rFonts w:cs="Arial"/>
                <w:snapToGrid w:val="0"/>
              </w:rPr>
              <w:t>early elective deliveries (before 39 completed weeks gestation) that includes all the following:</w:t>
            </w:r>
          </w:p>
          <w:bookmarkEnd w:id="303"/>
          <w:p w14:paraId="0D8BDCEA" w14:textId="0574A014" w:rsidR="006D1C5C" w:rsidRPr="00405E45" w:rsidRDefault="006D1C5C" w:rsidP="00AD309C">
            <w:pPr>
              <w:pStyle w:val="ListParagraph"/>
              <w:numPr>
                <w:ilvl w:val="0"/>
                <w:numId w:val="386"/>
              </w:numPr>
              <w:rPr>
                <w:rFonts w:cs="Arial"/>
                <w:snapToGrid w:val="0"/>
              </w:rPr>
            </w:pPr>
            <w:r>
              <w:rPr>
                <w:rFonts w:cs="Arial"/>
                <w:snapToGrid w:val="0"/>
              </w:rPr>
              <w:t>W</w:t>
            </w:r>
            <w:r w:rsidRPr="00405E45">
              <w:rPr>
                <w:rFonts w:cs="Arial"/>
                <w:snapToGrid w:val="0"/>
              </w:rPr>
              <w:t xml:space="preserve">ritten </w:t>
            </w:r>
            <w:r>
              <w:rPr>
                <w:rFonts w:cs="Arial"/>
                <w:snapToGrid w:val="0"/>
              </w:rPr>
              <w:t>standards</w:t>
            </w:r>
            <w:r w:rsidRPr="00405E45">
              <w:rPr>
                <w:rFonts w:cs="Arial"/>
                <w:snapToGrid w:val="0"/>
              </w:rPr>
              <w:t xml:space="preserve"> for when an early elective delivery is</w:t>
            </w:r>
            <w:r>
              <w:rPr>
                <w:rFonts w:cs="Arial"/>
                <w:snapToGrid w:val="0"/>
              </w:rPr>
              <w:t>,</w:t>
            </w:r>
            <w:r w:rsidRPr="00405E45">
              <w:rPr>
                <w:rFonts w:cs="Arial"/>
                <w:snapToGrid w:val="0"/>
              </w:rPr>
              <w:t xml:space="preserve"> and is not</w:t>
            </w:r>
            <w:r>
              <w:rPr>
                <w:rFonts w:cs="Arial"/>
                <w:snapToGrid w:val="0"/>
              </w:rPr>
              <w:t>,</w:t>
            </w:r>
            <w:r w:rsidRPr="00405E45">
              <w:rPr>
                <w:rFonts w:cs="Arial"/>
                <w:snapToGrid w:val="0"/>
              </w:rPr>
              <w:t xml:space="preserve"> appropriate based on ACOG and national guidelines (i.e., The Joint Commission)</w:t>
            </w:r>
            <w:r w:rsidR="004147B2">
              <w:rPr>
                <w:rFonts w:cs="Arial"/>
                <w:snapToGrid w:val="0"/>
              </w:rPr>
              <w:t>,</w:t>
            </w:r>
          </w:p>
          <w:p w14:paraId="49A6AD09" w14:textId="088742DA" w:rsidR="006D1C5C" w:rsidRDefault="006D1C5C" w:rsidP="00AD309C">
            <w:pPr>
              <w:pStyle w:val="ListParagraph"/>
              <w:numPr>
                <w:ilvl w:val="0"/>
                <w:numId w:val="386"/>
              </w:numPr>
              <w:rPr>
                <w:rFonts w:cs="Arial"/>
                <w:snapToGrid w:val="0"/>
              </w:rPr>
            </w:pPr>
            <w:r>
              <w:rPr>
                <w:rFonts w:cs="Arial"/>
                <w:snapToGrid w:val="0"/>
              </w:rPr>
              <w:t>W</w:t>
            </w:r>
            <w:r w:rsidRPr="00405E45">
              <w:rPr>
                <w:rFonts w:cs="Arial"/>
                <w:snapToGrid w:val="0"/>
              </w:rPr>
              <w:t>ritten protocol</w:t>
            </w:r>
            <w:r>
              <w:rPr>
                <w:rFonts w:cs="Arial"/>
                <w:snapToGrid w:val="0"/>
              </w:rPr>
              <w:t>s</w:t>
            </w:r>
            <w:r w:rsidRPr="00405E45">
              <w:rPr>
                <w:rFonts w:cs="Arial"/>
                <w:snapToGrid w:val="0"/>
              </w:rPr>
              <w:t xml:space="preserve"> for the medical director</w:t>
            </w:r>
            <w:r>
              <w:rPr>
                <w:rFonts w:cs="Arial"/>
                <w:snapToGrid w:val="0"/>
              </w:rPr>
              <w:t>,</w:t>
            </w:r>
            <w:r w:rsidRPr="00405E45">
              <w:rPr>
                <w:rFonts w:cs="Arial"/>
                <w:snapToGrid w:val="0"/>
              </w:rPr>
              <w:t xml:space="preserve"> or other designated </w:t>
            </w:r>
            <w:r w:rsidR="00B61EE6">
              <w:rPr>
                <w:rFonts w:cs="Arial"/>
                <w:snapToGrid w:val="0"/>
              </w:rPr>
              <w:t>physician</w:t>
            </w:r>
            <w:r>
              <w:rPr>
                <w:rFonts w:cs="Arial"/>
                <w:snapToGrid w:val="0"/>
              </w:rPr>
              <w:t>,</w:t>
            </w:r>
            <w:r w:rsidRPr="00405E45">
              <w:rPr>
                <w:rFonts w:cs="Arial"/>
                <w:snapToGrid w:val="0"/>
              </w:rPr>
              <w:t xml:space="preserve"> to review and approve an early elective delivery when medically indicated based on ACOG and national guidelines</w:t>
            </w:r>
            <w:r w:rsidR="00C2252A">
              <w:rPr>
                <w:rFonts w:cs="Arial"/>
                <w:snapToGrid w:val="0"/>
              </w:rPr>
              <w:t>,</w:t>
            </w:r>
            <w:r>
              <w:rPr>
                <w:rFonts w:cs="Arial"/>
                <w:snapToGrid w:val="0"/>
              </w:rPr>
              <w:t xml:space="preserve"> and</w:t>
            </w:r>
          </w:p>
          <w:p w14:paraId="385996E6" w14:textId="62447DF7" w:rsidR="006D1C5C" w:rsidRPr="006C7DF5" w:rsidRDefault="006D1C5C" w:rsidP="00AD309C">
            <w:pPr>
              <w:pStyle w:val="ListParagraph"/>
              <w:numPr>
                <w:ilvl w:val="0"/>
                <w:numId w:val="386"/>
              </w:numPr>
              <w:rPr>
                <w:rFonts w:cs="Arial"/>
                <w:snapToGrid w:val="0"/>
              </w:rPr>
            </w:pPr>
            <w:r>
              <w:rPr>
                <w:rFonts w:cs="Arial"/>
                <w:snapToGrid w:val="0"/>
              </w:rPr>
              <w:t>W</w:t>
            </w:r>
            <w:r w:rsidRPr="006C7DF5">
              <w:rPr>
                <w:rFonts w:cs="Arial"/>
                <w:snapToGrid w:val="0"/>
              </w:rPr>
              <w:t xml:space="preserve">ritten </w:t>
            </w:r>
            <w:r>
              <w:rPr>
                <w:rFonts w:cs="Arial"/>
                <w:snapToGrid w:val="0"/>
              </w:rPr>
              <w:t>protocols</w:t>
            </w:r>
            <w:r w:rsidRPr="006C7DF5">
              <w:rPr>
                <w:rFonts w:cs="Arial"/>
                <w:snapToGrid w:val="0"/>
              </w:rPr>
              <w:t xml:space="preserve"> for staff to follow when scheduling an early elective delivery if approved by the medical director or other designated </w:t>
            </w:r>
            <w:r w:rsidR="000D44A2">
              <w:rPr>
                <w:rFonts w:cs="Arial"/>
                <w:snapToGrid w:val="0"/>
              </w:rPr>
              <w:t>physician</w:t>
            </w:r>
            <w:r w:rsidRPr="006C7DF5">
              <w:rPr>
                <w:rFonts w:cs="Arial"/>
                <w:snapToGrid w:val="0"/>
              </w:rPr>
              <w:t>?</w:t>
            </w:r>
          </w:p>
        </w:tc>
        <w:tc>
          <w:tcPr>
            <w:tcW w:w="2909" w:type="dxa"/>
            <w:vAlign w:val="center"/>
          </w:tcPr>
          <w:p w14:paraId="3A1C3E8E" w14:textId="77777777" w:rsidR="006D1C5C" w:rsidRPr="00A31567" w:rsidRDefault="006D1C5C" w:rsidP="00AD309C">
            <w:pPr>
              <w:pStyle w:val="ListParagraph"/>
              <w:numPr>
                <w:ilvl w:val="0"/>
                <w:numId w:val="283"/>
              </w:numPr>
              <w:rPr>
                <w:rFonts w:cs="Arial"/>
                <w:iCs/>
                <w:snapToGrid w:val="0"/>
                <w:color w:val="000000"/>
              </w:rPr>
            </w:pPr>
            <w:r w:rsidRPr="00A31567">
              <w:rPr>
                <w:rFonts w:cs="Arial"/>
                <w:iCs/>
                <w:snapToGrid w:val="0"/>
                <w:color w:val="000000"/>
              </w:rPr>
              <w:t>Yes</w:t>
            </w:r>
          </w:p>
          <w:p w14:paraId="5FFEC880" w14:textId="6898A4CD" w:rsidR="006D1C5C" w:rsidRPr="00A31567" w:rsidRDefault="006D1C5C" w:rsidP="00AD309C">
            <w:pPr>
              <w:pStyle w:val="ListParagraph"/>
              <w:numPr>
                <w:ilvl w:val="0"/>
                <w:numId w:val="283"/>
              </w:numPr>
              <w:rPr>
                <w:rFonts w:cs="Arial"/>
                <w:iCs/>
                <w:snapToGrid w:val="0"/>
                <w:color w:val="000000"/>
              </w:rPr>
            </w:pPr>
            <w:r w:rsidRPr="00A31567">
              <w:rPr>
                <w:rFonts w:cs="Arial"/>
                <w:iCs/>
                <w:snapToGrid w:val="0"/>
                <w:color w:val="000000"/>
              </w:rPr>
              <w:t>No</w:t>
            </w:r>
          </w:p>
        </w:tc>
      </w:tr>
    </w:tbl>
    <w:p w14:paraId="5BAD47FA" w14:textId="77777777" w:rsidR="00AE3C80" w:rsidRDefault="00AE3C80">
      <w:r>
        <w:br w:type="page"/>
      </w:r>
    </w:p>
    <w:p w14:paraId="792ED571" w14:textId="0499C909" w:rsidR="00035AF9" w:rsidRDefault="00306EB2" w:rsidP="00CF5A6E">
      <w:pPr>
        <w:pStyle w:val="Heading2"/>
      </w:pPr>
      <w:bookmarkStart w:id="304" w:name="_Toc225877727"/>
      <w:r w:rsidRPr="009A5185">
        <w:lastRenderedPageBreak/>
        <w:t>4</w:t>
      </w:r>
      <w:r w:rsidR="0016658F">
        <w:t>B</w:t>
      </w:r>
      <w:r w:rsidRPr="009A5185">
        <w:t>: Cesarean Birth</w:t>
      </w:r>
      <w:bookmarkEnd w:id="304"/>
    </w:p>
    <w:p w14:paraId="4F306805" w14:textId="77777777" w:rsidR="00306EB2" w:rsidRDefault="00306EB2" w:rsidP="00B86077">
      <w:pPr>
        <w:rPr>
          <w:rFonts w:cs="Arial"/>
          <w:b/>
          <w:snapToGrid w:val="0"/>
          <w:color w:val="000000"/>
        </w:rPr>
      </w:pPr>
    </w:p>
    <w:p w14:paraId="08E4E79C" w14:textId="4EF16E0C" w:rsidR="00474DDE" w:rsidRPr="00FE44CA" w:rsidRDefault="00474DDE" w:rsidP="00474DDE">
      <w:pPr>
        <w:rPr>
          <w:rFonts w:cs="Arial"/>
          <w:snapToGrid w:val="0"/>
        </w:rPr>
      </w:pPr>
      <w:r w:rsidRPr="009A5185">
        <w:rPr>
          <w:rFonts w:cs="Arial"/>
          <w:snapToGrid w:val="0"/>
        </w:rPr>
        <w:t xml:space="preserve">Hospitals that share a </w:t>
      </w:r>
      <w:r>
        <w:rPr>
          <w:rFonts w:cs="Arial"/>
          <w:snapToGrid w:val="0"/>
        </w:rPr>
        <w:t xml:space="preserve">CMS Certification Number </w:t>
      </w:r>
      <w:r w:rsidRPr="009A5185">
        <w:rPr>
          <w:rFonts w:cs="Arial"/>
          <w:snapToGrid w:val="0"/>
        </w:rPr>
        <w:t xml:space="preserve">are required to report by facility. Please carefully review </w:t>
      </w:r>
      <w:hyperlink r:id="rId253" w:history="1">
        <w:r w:rsidRPr="009A5185">
          <w:rPr>
            <w:rStyle w:val="Hyperlink"/>
            <w:rFonts w:cs="Arial"/>
            <w:snapToGrid w:val="0"/>
          </w:rPr>
          <w:t>Leapfrog’s Multi-Campus Reporting Policy</w:t>
        </w:r>
      </w:hyperlink>
      <w:r w:rsidRPr="009A5185">
        <w:rPr>
          <w:rFonts w:cs="Arial"/>
          <w:snapToGrid w:val="0"/>
        </w:rPr>
        <w:t>.</w:t>
      </w:r>
    </w:p>
    <w:p w14:paraId="0D9E31B0" w14:textId="77777777" w:rsidR="00474DDE" w:rsidRDefault="00474DDE" w:rsidP="00B86077">
      <w:pPr>
        <w:rPr>
          <w:rFonts w:cs="Arial"/>
          <w:b/>
          <w:snapToGrid w:val="0"/>
          <w:color w:val="000000"/>
        </w:rPr>
      </w:pPr>
    </w:p>
    <w:p w14:paraId="6E7621DD" w14:textId="77777777" w:rsidR="00C27FF1" w:rsidRDefault="00253430" w:rsidP="00253430">
      <w:pPr>
        <w:rPr>
          <w:rFonts w:cs="Arial"/>
          <w:snapToGrid w:val="0"/>
        </w:rPr>
      </w:pPr>
      <w:r w:rsidRPr="00873014">
        <w:rPr>
          <w:rFonts w:cs="Arial"/>
          <w:b/>
          <w:snapToGrid w:val="0"/>
          <w:color w:val="FF0000"/>
        </w:rPr>
        <w:t>Important Note</w:t>
      </w:r>
      <w:r w:rsidR="00C27FF1">
        <w:rPr>
          <w:rFonts w:cs="Arial"/>
          <w:b/>
          <w:snapToGrid w:val="0"/>
          <w:color w:val="FF0000"/>
        </w:rPr>
        <w:t>s</w:t>
      </w:r>
      <w:r w:rsidRPr="00873014">
        <w:rPr>
          <w:rFonts w:cs="Arial"/>
          <w:b/>
          <w:snapToGrid w:val="0"/>
          <w:color w:val="FF0000"/>
        </w:rPr>
        <w:t>:</w:t>
      </w:r>
      <w:r w:rsidR="00C5119E">
        <w:rPr>
          <w:rFonts w:cs="Arial"/>
          <w:snapToGrid w:val="0"/>
        </w:rPr>
        <w:t xml:space="preserve"> </w:t>
      </w:r>
    </w:p>
    <w:p w14:paraId="73DE36CE" w14:textId="77777777" w:rsidR="00C27FF1" w:rsidRDefault="00C27FF1" w:rsidP="00253430">
      <w:pPr>
        <w:rPr>
          <w:rFonts w:cs="Arial"/>
          <w:snapToGrid w:val="0"/>
        </w:rPr>
      </w:pPr>
    </w:p>
    <w:p w14:paraId="1ADCE152" w14:textId="11F9C64C" w:rsidR="00BA394C" w:rsidRPr="00764EEA" w:rsidRDefault="00C27FF1" w:rsidP="00BA394C">
      <w:pPr>
        <w:rPr>
          <w:rFonts w:cs="Arial"/>
          <w:bCs/>
          <w:snapToGrid w:val="0"/>
        </w:rPr>
      </w:pPr>
      <w:r>
        <w:rPr>
          <w:rFonts w:cs="Arial"/>
          <w:snapToGrid w:val="0"/>
        </w:rPr>
        <w:t xml:space="preserve">Note 1: </w:t>
      </w:r>
      <w:r w:rsidR="00BA394C" w:rsidRPr="00764EEA">
        <w:rPr>
          <w:rFonts w:cs="Arial"/>
          <w:bCs/>
          <w:snapToGrid w:val="0"/>
        </w:rPr>
        <w:t xml:space="preserve">Hospitals must use the same 12-month reporting period </w:t>
      </w:r>
      <w:r w:rsidR="00BA394C" w:rsidRPr="00BA394C">
        <w:rPr>
          <w:rFonts w:cs="Arial"/>
          <w:bCs/>
          <w:snapToGrid w:val="0"/>
        </w:rPr>
        <w:t>for all subsections in Section 4: Maternity Care</w:t>
      </w:r>
      <w:r w:rsidR="00BA394C">
        <w:rPr>
          <w:rFonts w:cs="Arial"/>
          <w:bCs/>
          <w:snapToGrid w:val="0"/>
        </w:rPr>
        <w:t xml:space="preserve">, except for Section 4B questions #6-8. </w:t>
      </w:r>
    </w:p>
    <w:p w14:paraId="49EEAEA8" w14:textId="77777777" w:rsidR="00C27FF1" w:rsidRDefault="00C27FF1" w:rsidP="00253430">
      <w:pPr>
        <w:rPr>
          <w:rFonts w:cs="Arial"/>
          <w:snapToGrid w:val="0"/>
        </w:rPr>
      </w:pPr>
    </w:p>
    <w:p w14:paraId="30ADF4F9" w14:textId="5E6CA700" w:rsidR="00C27FF1" w:rsidRPr="00253430" w:rsidRDefault="00C27FF1" w:rsidP="00253430">
      <w:pPr>
        <w:rPr>
          <w:rFonts w:cs="Arial"/>
          <w:snapToGrid w:val="0"/>
        </w:rPr>
      </w:pPr>
      <w:r>
        <w:rPr>
          <w:rFonts w:cs="Arial"/>
          <w:snapToGrid w:val="0"/>
        </w:rPr>
        <w:t xml:space="preserve">Note 2: </w:t>
      </w:r>
      <w:r w:rsidR="00BB0AC8" w:rsidRPr="00BB0AC8">
        <w:t xml:space="preserve">Cesarean Birth Stratified by Race/Ethnicity </w:t>
      </w:r>
      <w:r w:rsidR="00BB0AC8" w:rsidRPr="00FB46D0">
        <w:t>(questions #</w:t>
      </w:r>
      <w:r w:rsidR="00BB0AC8">
        <w:t>6-8</w:t>
      </w:r>
      <w:r w:rsidR="00BB0AC8" w:rsidRPr="00FB46D0">
        <w:t xml:space="preserve">) </w:t>
      </w:r>
      <w:r w:rsidR="00BB0AC8">
        <w:t xml:space="preserve">will not be scored or publicly reported but will be used </w:t>
      </w:r>
      <w:r w:rsidR="00157FDB">
        <w:rPr>
          <w:rFonts w:cs="Arial"/>
          <w:snapToGrid w:val="0"/>
        </w:rPr>
        <w:t xml:space="preserve">for confidential reporting </w:t>
      </w:r>
      <w:r w:rsidR="00BB0AC8">
        <w:t>on the Hospital Details Page.</w:t>
      </w:r>
    </w:p>
    <w:p w14:paraId="563CC849" w14:textId="77777777" w:rsidR="00253430" w:rsidRDefault="00253430" w:rsidP="00035AF9">
      <w:pPr>
        <w:rPr>
          <w:rFonts w:cs="Arial"/>
          <w:b/>
          <w:snapToGrid w:val="0"/>
        </w:rPr>
      </w:pPr>
    </w:p>
    <w:p w14:paraId="14BF4504" w14:textId="779C1325" w:rsidR="00035AF9" w:rsidRPr="009A5185" w:rsidRDefault="00035AF9" w:rsidP="00035AF9">
      <w:pPr>
        <w:rPr>
          <w:rFonts w:cs="Arial"/>
          <w:snapToGrid w:val="0"/>
        </w:rPr>
      </w:pPr>
      <w:r w:rsidRPr="009A5185">
        <w:rPr>
          <w:rFonts w:cs="Arial"/>
          <w:b/>
          <w:snapToGrid w:val="0"/>
        </w:rPr>
        <w:t xml:space="preserve">Specifications: </w:t>
      </w:r>
      <w:r w:rsidRPr="009A5185">
        <w:rPr>
          <w:rFonts w:cs="Arial"/>
          <w:snapToGrid w:val="0"/>
        </w:rPr>
        <w:t xml:space="preserve">See </w:t>
      </w:r>
      <w:hyperlink w:anchor="_Cesarean_Birth_2" w:history="1">
        <w:r w:rsidR="00157FDB">
          <w:rPr>
            <w:rStyle w:val="Hyperlink"/>
            <w:rFonts w:cs="Arial"/>
            <w:b/>
            <w:i/>
            <w:snapToGrid w:val="0"/>
          </w:rPr>
          <w:t>Cesarean Birth Measure Specifications</w:t>
        </w:r>
      </w:hyperlink>
      <w:r w:rsidR="00157FDB">
        <w:rPr>
          <w:rStyle w:val="Hyperlink"/>
          <w:rFonts w:cs="Arial"/>
          <w:b/>
          <w:i/>
          <w:snapToGrid w:val="0"/>
        </w:rPr>
        <w:t xml:space="preserve"> </w:t>
      </w:r>
      <w:r w:rsidRPr="009A5185">
        <w:rPr>
          <w:rFonts w:cs="Arial"/>
          <w:snapToGrid w:val="0"/>
        </w:rPr>
        <w:t xml:space="preserve">in the Reference Information </w:t>
      </w:r>
      <w:r w:rsidR="008964E1">
        <w:rPr>
          <w:rFonts w:cs="Arial"/>
          <w:snapToGrid w:val="0"/>
        </w:rPr>
        <w:t xml:space="preserve">beginning on page </w:t>
      </w:r>
      <w:r w:rsidR="003A6A12">
        <w:rPr>
          <w:rFonts w:cs="Arial"/>
          <w:snapToGrid w:val="0"/>
        </w:rPr>
        <w:t>16</w:t>
      </w:r>
      <w:r w:rsidR="004640AB">
        <w:rPr>
          <w:rFonts w:cs="Arial"/>
          <w:snapToGrid w:val="0"/>
        </w:rPr>
        <w:t>5</w:t>
      </w:r>
      <w:r w:rsidR="003A6A12">
        <w:rPr>
          <w:rFonts w:cs="Arial"/>
          <w:snapToGrid w:val="0"/>
        </w:rPr>
        <w:t>.</w:t>
      </w:r>
    </w:p>
    <w:p w14:paraId="65BF0058" w14:textId="791A7A8D" w:rsidR="00035AF9" w:rsidRPr="009A5185" w:rsidRDefault="00035AF9" w:rsidP="00035AF9">
      <w:pPr>
        <w:rPr>
          <w:rFonts w:cs="Arial"/>
          <w:snapToGrid w:val="0"/>
        </w:rPr>
      </w:pPr>
    </w:p>
    <w:p w14:paraId="1C99831B" w14:textId="2DE931A3" w:rsidR="00035AF9" w:rsidRDefault="004C3107" w:rsidP="00035AF9">
      <w:pPr>
        <w:rPr>
          <w:rFonts w:cs="Arial"/>
          <w:snapToGrid w:val="0"/>
        </w:rPr>
      </w:pPr>
      <w:r w:rsidRPr="004C3107">
        <w:rPr>
          <w:rFonts w:cs="Arial"/>
          <w:noProof/>
          <w:snapToGrid w:val="0"/>
        </w:rPr>
        <mc:AlternateContent>
          <mc:Choice Requires="wps">
            <w:drawing>
              <wp:inline distT="0" distB="0" distL="0" distR="0" wp14:anchorId="6621FF26" wp14:editId="197D246A">
                <wp:extent cx="6058894" cy="1404620"/>
                <wp:effectExtent l="0" t="0" r="18415" b="24765"/>
                <wp:docPr id="32" name="Text Box 32" descr="P6330TB1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894" cy="1404620"/>
                        </a:xfrm>
                        <a:prstGeom prst="rect">
                          <a:avLst/>
                        </a:prstGeom>
                        <a:solidFill>
                          <a:srgbClr val="FFFFFF"/>
                        </a:solidFill>
                        <a:ln w="9525">
                          <a:solidFill>
                            <a:srgbClr val="FF0000"/>
                          </a:solidFill>
                          <a:miter lim="800000"/>
                          <a:headEnd/>
                          <a:tailEnd/>
                        </a:ln>
                      </wps:spPr>
                      <wps:txbx>
                        <w:txbxContent>
                          <w:p w14:paraId="0804BFA3" w14:textId="2EEB77FE" w:rsidR="004C3107" w:rsidRPr="009A5185" w:rsidRDefault="004C3107" w:rsidP="004C3107">
                            <w:pPr>
                              <w:spacing w:before="40"/>
                              <w:rPr>
                                <w:rFonts w:cs="Arial"/>
                                <w:b/>
                                <w:snapToGrid w:val="0"/>
                              </w:rPr>
                            </w:pPr>
                            <w:r w:rsidRPr="009A5185">
                              <w:rPr>
                                <w:rFonts w:cs="Arial"/>
                                <w:b/>
                                <w:snapToGrid w:val="0"/>
                              </w:rPr>
                              <w:t>Reporting Period: 12 months</w:t>
                            </w:r>
                          </w:p>
                          <w:p w14:paraId="393896DF" w14:textId="4F845911" w:rsidR="004C3107" w:rsidRPr="009A5185" w:rsidRDefault="004C3107" w:rsidP="004C3107">
                            <w:pPr>
                              <w:rPr>
                                <w:rFonts w:cs="Arial"/>
                                <w:b/>
                                <w:snapToGrid w:val="0"/>
                              </w:rPr>
                            </w:pPr>
                            <w:r w:rsidRPr="009A5185">
                              <w:rPr>
                                <w:rFonts w:cs="Arial"/>
                                <w:snapToGrid w:val="0"/>
                              </w:rPr>
                              <w:t>Answer questions #1-</w:t>
                            </w:r>
                            <w:r w:rsidR="000869CD">
                              <w:rPr>
                                <w:rFonts w:cs="Arial"/>
                                <w:snapToGrid w:val="0"/>
                              </w:rPr>
                              <w:t>5</w:t>
                            </w:r>
                            <w:r w:rsidRPr="009A5185">
                              <w:rPr>
                                <w:rFonts w:cs="Arial"/>
                                <w:snapToGrid w:val="0"/>
                              </w:rPr>
                              <w:t xml:space="preserve"> based </w:t>
                            </w:r>
                            <w:r w:rsidRPr="009A5185">
                              <w:rPr>
                                <w:rFonts w:cs="Arial"/>
                                <w:snapToGrid w:val="0"/>
                                <w:color w:val="000000"/>
                              </w:rPr>
                              <w:t xml:space="preserve">on </w:t>
                            </w:r>
                            <w:r w:rsidRPr="009A5185">
                              <w:rPr>
                                <w:rFonts w:cs="Arial"/>
                                <w:snapToGrid w:val="0"/>
                              </w:rPr>
                              <w:t xml:space="preserve">all cases </w:t>
                            </w:r>
                            <w:r w:rsidRPr="009A5185">
                              <w:rPr>
                                <w:rFonts w:cs="Arial"/>
                              </w:rPr>
                              <w:t>(or a sufficient sample of them</w:t>
                            </w:r>
                            <w:r>
                              <w:rPr>
                                <w:rFonts w:cs="Arial"/>
                              </w:rPr>
                              <w:t xml:space="preserve"> for questions #2-3</w:t>
                            </w:r>
                            <w:r w:rsidRPr="009A5185">
                              <w:rPr>
                                <w:rFonts w:cs="Arial"/>
                                <w:snapToGrid w:val="0"/>
                              </w:rPr>
                              <w:t>)</w:t>
                            </w:r>
                            <w:r w:rsidRPr="009A5185">
                              <w:rPr>
                                <w:rFonts w:cs="Arial"/>
                                <w:b/>
                                <w:snapToGrid w:val="0"/>
                              </w:rPr>
                              <w:t xml:space="preserve"> </w:t>
                            </w:r>
                          </w:p>
                          <w:p w14:paraId="4B00CDDD" w14:textId="77777777" w:rsidR="004C3107" w:rsidRPr="00BE1D22" w:rsidRDefault="004C3107" w:rsidP="00AD309C">
                            <w:pPr>
                              <w:pStyle w:val="ListParagraph"/>
                              <w:numPr>
                                <w:ilvl w:val="0"/>
                                <w:numId w:val="36"/>
                              </w:numPr>
                              <w:rPr>
                                <w:rFonts w:cs="Arial"/>
                                <w:i/>
                                <w:snapToGrid w:val="0"/>
                              </w:rPr>
                            </w:pPr>
                            <w:r>
                              <w:rPr>
                                <w:rFonts w:cs="Arial"/>
                                <w:iCs/>
                                <w:snapToGrid w:val="0"/>
                              </w:rPr>
                              <w:t>Surveys submitted prior to September 1:</w:t>
                            </w:r>
                          </w:p>
                          <w:p w14:paraId="78E683DA" w14:textId="30B6E98B" w:rsidR="004C3107" w:rsidRPr="009A5185" w:rsidRDefault="004C3107" w:rsidP="00AD309C">
                            <w:pPr>
                              <w:pStyle w:val="ListParagraph"/>
                              <w:numPr>
                                <w:ilvl w:val="1"/>
                                <w:numId w:val="36"/>
                              </w:numPr>
                              <w:rPr>
                                <w:rFonts w:cs="Arial"/>
                                <w:i/>
                                <w:snapToGrid w:val="0"/>
                              </w:rPr>
                            </w:pPr>
                            <w:r>
                              <w:rPr>
                                <w:rFonts w:cs="Arial"/>
                                <w:iCs/>
                                <w:snapToGrid w:val="0"/>
                              </w:rPr>
                              <w:t>01/01/202</w:t>
                            </w:r>
                            <w:r w:rsidR="0055518D">
                              <w:rPr>
                                <w:rFonts w:cs="Arial"/>
                                <w:iCs/>
                                <w:snapToGrid w:val="0"/>
                              </w:rPr>
                              <w:t>5</w:t>
                            </w:r>
                            <w:r>
                              <w:rPr>
                                <w:rFonts w:cs="Arial"/>
                                <w:iCs/>
                                <w:snapToGrid w:val="0"/>
                              </w:rPr>
                              <w:t xml:space="preserve"> – 12/31/202</w:t>
                            </w:r>
                            <w:r w:rsidR="0055518D">
                              <w:rPr>
                                <w:rFonts w:cs="Arial"/>
                                <w:iCs/>
                                <w:snapToGrid w:val="0"/>
                              </w:rPr>
                              <w:t>5</w:t>
                            </w:r>
                          </w:p>
                          <w:p w14:paraId="3E5D49F7" w14:textId="77777777" w:rsidR="004C3107" w:rsidRPr="00BE1D22" w:rsidRDefault="004C3107"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1BEB67AB" w14:textId="39783698" w:rsidR="004C3107" w:rsidRPr="00FD4BD9" w:rsidRDefault="004C3107"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55518D">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55518D">
                              <w:rPr>
                                <w:rFonts w:cs="Arial"/>
                                <w:snapToGrid w:val="0"/>
                              </w:rPr>
                              <w:t>6</w:t>
                            </w:r>
                          </w:p>
                          <w:p w14:paraId="30F4C3EB" w14:textId="77777777" w:rsidR="004C3107" w:rsidRDefault="004C3107" w:rsidP="004C3107">
                            <w:pPr>
                              <w:rPr>
                                <w:rFonts w:cs="Arial"/>
                                <w:i/>
                                <w:snapToGrid w:val="0"/>
                              </w:rPr>
                            </w:pPr>
                          </w:p>
                          <w:p w14:paraId="2A3B1EE6" w14:textId="2B066207" w:rsidR="004C3107" w:rsidRDefault="004C3107" w:rsidP="004C3107">
                            <w:r w:rsidRPr="006547C0">
                              <w:rPr>
                                <w:rFonts w:cs="Arial"/>
                                <w:sz w:val="16"/>
                                <w:szCs w:val="16"/>
                              </w:rPr>
                              <w:t xml:space="preserve">Note: As a reminder, the </w:t>
                            </w:r>
                            <w:hyperlink r:id="rId254"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6621FF26" id="Text Box 32" o:spid="_x0000_s1042" type="#_x0000_t202" alt="P6330TB15#y1" style="width:477.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" strokecolor="red">
                <v:textbox style="mso-fit-shape-to-text:t">
                  <w:txbxContent>
                    <w:p w14:paraId="0804BFA3" w14:textId="2EEB77FE" w:rsidR="004C3107" w:rsidRPr="009A5185" w:rsidRDefault="004C3107" w:rsidP="004C3107">
                      <w:pPr>
                        <w:spacing w:before="40"/>
                        <w:rPr>
                          <w:rFonts w:cs="Arial"/>
                          <w:b/>
                          <w:snapToGrid w:val="0"/>
                        </w:rPr>
                      </w:pPr>
                      <w:r w:rsidRPr="009A5185">
                        <w:rPr>
                          <w:rFonts w:cs="Arial"/>
                          <w:b/>
                          <w:snapToGrid w:val="0"/>
                        </w:rPr>
                        <w:t>Reporting Period: 12 months</w:t>
                      </w:r>
                    </w:p>
                    <w:p w14:paraId="393896DF" w14:textId="4F845911" w:rsidR="004C3107" w:rsidRPr="009A5185" w:rsidRDefault="004C3107" w:rsidP="004C3107">
                      <w:pPr>
                        <w:rPr>
                          <w:rFonts w:cs="Arial"/>
                          <w:b/>
                          <w:snapToGrid w:val="0"/>
                        </w:rPr>
                      </w:pPr>
                      <w:r w:rsidRPr="009A5185">
                        <w:rPr>
                          <w:rFonts w:cs="Arial"/>
                          <w:snapToGrid w:val="0"/>
                        </w:rPr>
                        <w:t>Answer questions #1-</w:t>
                      </w:r>
                      <w:r w:rsidR="000869CD">
                        <w:rPr>
                          <w:rFonts w:cs="Arial"/>
                          <w:snapToGrid w:val="0"/>
                        </w:rPr>
                        <w:t>5</w:t>
                      </w:r>
                      <w:r w:rsidRPr="009A5185">
                        <w:rPr>
                          <w:rFonts w:cs="Arial"/>
                          <w:snapToGrid w:val="0"/>
                        </w:rPr>
                        <w:t xml:space="preserve"> based </w:t>
                      </w:r>
                      <w:r w:rsidRPr="009A5185">
                        <w:rPr>
                          <w:rFonts w:cs="Arial"/>
                          <w:snapToGrid w:val="0"/>
                          <w:color w:val="000000"/>
                        </w:rPr>
                        <w:t xml:space="preserve">on </w:t>
                      </w:r>
                      <w:r w:rsidRPr="009A5185">
                        <w:rPr>
                          <w:rFonts w:cs="Arial"/>
                          <w:snapToGrid w:val="0"/>
                        </w:rPr>
                        <w:t xml:space="preserve">all cases </w:t>
                      </w:r>
                      <w:r w:rsidRPr="009A5185">
                        <w:rPr>
                          <w:rFonts w:cs="Arial"/>
                        </w:rPr>
                        <w:t>(or a sufficient sample of them</w:t>
                      </w:r>
                      <w:r>
                        <w:rPr>
                          <w:rFonts w:cs="Arial"/>
                        </w:rPr>
                        <w:t xml:space="preserve"> for questions #2-3</w:t>
                      </w:r>
                      <w:r w:rsidRPr="009A5185">
                        <w:rPr>
                          <w:rFonts w:cs="Arial"/>
                          <w:snapToGrid w:val="0"/>
                        </w:rPr>
                        <w:t>)</w:t>
                      </w:r>
                      <w:r w:rsidRPr="009A5185">
                        <w:rPr>
                          <w:rFonts w:cs="Arial"/>
                          <w:b/>
                          <w:snapToGrid w:val="0"/>
                        </w:rPr>
                        <w:t xml:space="preserve"> </w:t>
                      </w:r>
                    </w:p>
                    <w:p w14:paraId="4B00CDDD" w14:textId="77777777" w:rsidR="004C3107" w:rsidRPr="00BE1D22" w:rsidRDefault="004C3107" w:rsidP="00AD309C">
                      <w:pPr>
                        <w:pStyle w:val="ListParagraph"/>
                        <w:numPr>
                          <w:ilvl w:val="0"/>
                          <w:numId w:val="36"/>
                        </w:numPr>
                        <w:rPr>
                          <w:rFonts w:cs="Arial"/>
                          <w:i/>
                          <w:snapToGrid w:val="0"/>
                        </w:rPr>
                      </w:pPr>
                      <w:r>
                        <w:rPr>
                          <w:rFonts w:cs="Arial"/>
                          <w:iCs/>
                          <w:snapToGrid w:val="0"/>
                        </w:rPr>
                        <w:t>Surveys submitted prior to September 1:</w:t>
                      </w:r>
                    </w:p>
                    <w:p w14:paraId="78E683DA" w14:textId="30B6E98B" w:rsidR="004C3107" w:rsidRPr="009A5185" w:rsidRDefault="004C3107" w:rsidP="00AD309C">
                      <w:pPr>
                        <w:pStyle w:val="ListParagraph"/>
                        <w:numPr>
                          <w:ilvl w:val="1"/>
                          <w:numId w:val="36"/>
                        </w:numPr>
                        <w:rPr>
                          <w:rFonts w:cs="Arial"/>
                          <w:i/>
                          <w:snapToGrid w:val="0"/>
                        </w:rPr>
                      </w:pPr>
                      <w:r>
                        <w:rPr>
                          <w:rFonts w:cs="Arial"/>
                          <w:iCs/>
                          <w:snapToGrid w:val="0"/>
                        </w:rPr>
                        <w:t>01/01/202</w:t>
                      </w:r>
                      <w:r w:rsidR="0055518D">
                        <w:rPr>
                          <w:rFonts w:cs="Arial"/>
                          <w:iCs/>
                          <w:snapToGrid w:val="0"/>
                        </w:rPr>
                        <w:t>5</w:t>
                      </w:r>
                      <w:r>
                        <w:rPr>
                          <w:rFonts w:cs="Arial"/>
                          <w:iCs/>
                          <w:snapToGrid w:val="0"/>
                        </w:rPr>
                        <w:t xml:space="preserve"> – 12/31/202</w:t>
                      </w:r>
                      <w:r w:rsidR="0055518D">
                        <w:rPr>
                          <w:rFonts w:cs="Arial"/>
                          <w:iCs/>
                          <w:snapToGrid w:val="0"/>
                        </w:rPr>
                        <w:t>5</w:t>
                      </w:r>
                    </w:p>
                    <w:p w14:paraId="3E5D49F7" w14:textId="77777777" w:rsidR="004C3107" w:rsidRPr="00BE1D22" w:rsidRDefault="004C3107"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1BEB67AB" w14:textId="39783698" w:rsidR="004C3107" w:rsidRPr="00FD4BD9" w:rsidRDefault="004C3107"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55518D">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55518D">
                        <w:rPr>
                          <w:rFonts w:cs="Arial"/>
                          <w:snapToGrid w:val="0"/>
                        </w:rPr>
                        <w:t>6</w:t>
                      </w:r>
                    </w:p>
                    <w:p w14:paraId="30F4C3EB" w14:textId="77777777" w:rsidR="004C3107" w:rsidRDefault="004C3107" w:rsidP="004C3107">
                      <w:pPr>
                        <w:rPr>
                          <w:rFonts w:cs="Arial"/>
                          <w:i/>
                          <w:snapToGrid w:val="0"/>
                        </w:rPr>
                      </w:pPr>
                    </w:p>
                    <w:p w14:paraId="2A3B1EE6" w14:textId="2B066207" w:rsidR="004C3107" w:rsidRDefault="004C3107" w:rsidP="004C3107">
                      <w:r w:rsidRPr="006547C0">
                        <w:rPr>
                          <w:rFonts w:cs="Arial"/>
                          <w:sz w:val="16"/>
                          <w:szCs w:val="16"/>
                        </w:rPr>
                        <w:t xml:space="preserve">Note: As a reminder, the </w:t>
                      </w:r>
                      <w:hyperlink r:id="rId255"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0AF82085" w14:textId="77777777" w:rsidR="004C3107" w:rsidRPr="009A5185" w:rsidRDefault="004C3107" w:rsidP="00035AF9">
      <w:pPr>
        <w:rPr>
          <w:rFonts w:cs="Arial"/>
          <w:snapToGrid w:val="0"/>
        </w:rPr>
      </w:pPr>
    </w:p>
    <w:p w14:paraId="4847656B" w14:textId="3E339CB7" w:rsidR="00035AF9" w:rsidRPr="009A5185" w:rsidRDefault="00035AF9" w:rsidP="00035AF9">
      <w:pPr>
        <w:rPr>
          <w:rFonts w:cs="Arial"/>
          <w:snapToGrid w:val="0"/>
        </w:rPr>
      </w:pPr>
      <w:r w:rsidRPr="00CD30B8">
        <w:rPr>
          <w:rFonts w:cs="Arial"/>
          <w:b/>
          <w:iCs/>
          <w:snapToGrid w:val="0"/>
          <w:color w:val="000000"/>
        </w:rPr>
        <w:t>Sufficient Sample:</w:t>
      </w:r>
      <w:r w:rsidRPr="009A5185">
        <w:rPr>
          <w:rFonts w:cs="Arial"/>
          <w:snapToGrid w:val="0"/>
          <w:color w:val="000000"/>
        </w:rPr>
        <w:t xml:space="preserve"> See </w:t>
      </w:r>
      <w:hyperlink w:anchor="_Cesarean_Birth_2" w:history="1">
        <w:r w:rsidR="00CD30B8">
          <w:rPr>
            <w:rStyle w:val="Hyperlink"/>
            <w:rFonts w:cs="Arial"/>
            <w:b/>
            <w:i/>
            <w:snapToGrid w:val="0"/>
          </w:rPr>
          <w:t>Cesarean Birth Measure Specifications</w:t>
        </w:r>
      </w:hyperlink>
      <w:r w:rsidRPr="009A5185">
        <w:rPr>
          <w:rFonts w:cs="Arial"/>
          <w:snapToGrid w:val="0"/>
          <w:color w:val="000000"/>
        </w:rPr>
        <w:t xml:space="preserve"> for instructions for identifying a sufficient sample </w:t>
      </w:r>
      <w:r w:rsidR="00CD30B8">
        <w:rPr>
          <w:rFonts w:cs="Arial"/>
          <w:snapToGrid w:val="0"/>
          <w:color w:val="000000"/>
        </w:rPr>
        <w:t>for</w:t>
      </w:r>
      <w:r w:rsidRPr="009A5185">
        <w:rPr>
          <w:rFonts w:cs="Arial"/>
          <w:snapToGrid w:val="0"/>
          <w:color w:val="000000"/>
        </w:rPr>
        <w:t xml:space="preserve"> questions #2 and #3.</w:t>
      </w:r>
    </w:p>
    <w:p w14:paraId="760AA611" w14:textId="77777777" w:rsidR="00035AF9" w:rsidRPr="009A5185" w:rsidRDefault="00035AF9" w:rsidP="00B86077">
      <w:pPr>
        <w:rPr>
          <w:rFonts w:cs="Arial"/>
          <w:b/>
          <w:snapToGrid w:val="0"/>
          <w:color w:val="000000"/>
        </w:rPr>
      </w:pPr>
    </w:p>
    <w:tbl>
      <w:tblPr>
        <w:tblStyle w:val="TableGrid"/>
        <w:tblW w:w="9547" w:type="dxa"/>
        <w:tblLook w:val="04A0" w:firstRow="1" w:lastRow="0" w:firstColumn="1" w:lastColumn="0" w:noHBand="0" w:noVBand="1"/>
      </w:tblPr>
      <w:tblGrid>
        <w:gridCol w:w="6638"/>
        <w:gridCol w:w="2909"/>
      </w:tblGrid>
      <w:tr w:rsidR="00035AF9" w:rsidRPr="009A5185" w14:paraId="6859A794" w14:textId="77777777" w:rsidTr="00C8246A">
        <w:trPr>
          <w:trHeight w:val="432"/>
        </w:trPr>
        <w:tc>
          <w:tcPr>
            <w:tcW w:w="6638" w:type="dxa"/>
            <w:vAlign w:val="center"/>
          </w:tcPr>
          <w:p w14:paraId="1191BF1B" w14:textId="2F420E8D" w:rsidR="00035AF9" w:rsidRPr="009A5185" w:rsidRDefault="00035AF9" w:rsidP="00AD309C">
            <w:pPr>
              <w:pStyle w:val="ListParagraph"/>
              <w:numPr>
                <w:ilvl w:val="0"/>
                <w:numId w:val="28"/>
              </w:numPr>
              <w:rPr>
                <w:rFonts w:cs="Arial"/>
                <w:snapToGrid w:val="0"/>
                <w:color w:val="000000"/>
              </w:rPr>
            </w:pPr>
            <w:r w:rsidRPr="009A5185">
              <w:rPr>
                <w:rFonts w:cs="Arial"/>
                <w:snapToGrid w:val="0"/>
                <w:color w:val="000000"/>
              </w:rPr>
              <w:t>12-month reporting period used:</w:t>
            </w:r>
          </w:p>
        </w:tc>
        <w:tc>
          <w:tcPr>
            <w:tcW w:w="2909" w:type="dxa"/>
            <w:vAlign w:val="center"/>
          </w:tcPr>
          <w:p w14:paraId="0A78EF07" w14:textId="68FEE170" w:rsidR="00BE1D22" w:rsidRPr="00C06753" w:rsidRDefault="00BE1D22" w:rsidP="00AD309C">
            <w:pPr>
              <w:pStyle w:val="ListParagraph"/>
              <w:numPr>
                <w:ilvl w:val="0"/>
                <w:numId w:val="286"/>
              </w:numPr>
              <w:rPr>
                <w:rFonts w:cs="Arial"/>
                <w:iCs/>
              </w:rPr>
            </w:pPr>
            <w:r w:rsidRPr="00C8246A">
              <w:rPr>
                <w:rFonts w:cs="Arial"/>
                <w:iCs/>
              </w:rPr>
              <w:t>01/01/202</w:t>
            </w:r>
            <w:r w:rsidR="0055518D">
              <w:rPr>
                <w:rFonts w:cs="Arial"/>
                <w:iCs/>
              </w:rPr>
              <w:t>5</w:t>
            </w:r>
            <w:r w:rsidRPr="00C06753">
              <w:rPr>
                <w:rFonts w:cs="Arial"/>
                <w:iCs/>
              </w:rPr>
              <w:t xml:space="preserve"> </w:t>
            </w:r>
            <w:r w:rsidR="00080756" w:rsidRPr="00C06753">
              <w:rPr>
                <w:rFonts w:cs="Arial"/>
                <w:iCs/>
              </w:rPr>
              <w:t>–</w:t>
            </w:r>
            <w:r w:rsidRPr="00C06753">
              <w:rPr>
                <w:rFonts w:cs="Arial"/>
                <w:iCs/>
              </w:rPr>
              <w:t xml:space="preserve"> 12/31/202</w:t>
            </w:r>
            <w:r w:rsidR="0055518D">
              <w:rPr>
                <w:rFonts w:cs="Arial"/>
                <w:iCs/>
              </w:rPr>
              <w:t>5</w:t>
            </w:r>
          </w:p>
          <w:p w14:paraId="56D5EFB4" w14:textId="5C39EA02" w:rsidR="00035AF9" w:rsidRPr="00C27FF1" w:rsidRDefault="00035AF9" w:rsidP="00AD309C">
            <w:pPr>
              <w:pStyle w:val="ListParagraph"/>
              <w:numPr>
                <w:ilvl w:val="0"/>
                <w:numId w:val="286"/>
              </w:numPr>
              <w:rPr>
                <w:rFonts w:cs="Arial"/>
                <w:i/>
              </w:rPr>
            </w:pPr>
            <w:r w:rsidRPr="00C06753">
              <w:rPr>
                <w:rFonts w:cs="Arial"/>
                <w:iCs/>
              </w:rPr>
              <w:t>07/01/</w:t>
            </w:r>
            <w:r w:rsidR="00BE1D22" w:rsidRPr="00C06753">
              <w:rPr>
                <w:rFonts w:cs="Arial"/>
                <w:iCs/>
              </w:rPr>
              <w:t>202</w:t>
            </w:r>
            <w:r w:rsidR="0055518D">
              <w:rPr>
                <w:rFonts w:cs="Arial"/>
                <w:iCs/>
              </w:rPr>
              <w:t>5</w:t>
            </w:r>
            <w:r w:rsidRPr="00C06753">
              <w:rPr>
                <w:rFonts w:cs="Arial"/>
                <w:iCs/>
              </w:rPr>
              <w:t xml:space="preserve"> </w:t>
            </w:r>
            <w:r w:rsidR="00080756" w:rsidRPr="00C06753">
              <w:rPr>
                <w:rFonts w:cs="Arial"/>
                <w:iCs/>
              </w:rPr>
              <w:t>–</w:t>
            </w:r>
            <w:r w:rsidRPr="00C06753">
              <w:rPr>
                <w:rFonts w:cs="Arial"/>
                <w:iCs/>
              </w:rPr>
              <w:t xml:space="preserve"> 06/30/</w:t>
            </w:r>
            <w:r w:rsidR="00BE1D22" w:rsidRPr="00C06753">
              <w:rPr>
                <w:rFonts w:cs="Arial"/>
                <w:iCs/>
              </w:rPr>
              <w:t>202</w:t>
            </w:r>
            <w:r w:rsidR="0055518D">
              <w:rPr>
                <w:rFonts w:cs="Arial"/>
                <w:iCs/>
              </w:rPr>
              <w:t>6</w:t>
            </w:r>
          </w:p>
        </w:tc>
      </w:tr>
      <w:tr w:rsidR="00035AF9" w:rsidRPr="009A5185" w14:paraId="3BC396A9" w14:textId="77777777" w:rsidTr="00C8246A">
        <w:trPr>
          <w:trHeight w:val="1872"/>
        </w:trPr>
        <w:tc>
          <w:tcPr>
            <w:tcW w:w="6638" w:type="dxa"/>
            <w:vAlign w:val="center"/>
          </w:tcPr>
          <w:p w14:paraId="527EB4C7" w14:textId="0566E1ED" w:rsidR="00035AF9" w:rsidRPr="009A5185" w:rsidRDefault="00035AF9" w:rsidP="00AD309C">
            <w:pPr>
              <w:pStyle w:val="ListParagraph"/>
              <w:numPr>
                <w:ilvl w:val="0"/>
                <w:numId w:val="28"/>
              </w:numPr>
              <w:rPr>
                <w:rFonts w:cs="Arial"/>
                <w:snapToGrid w:val="0"/>
                <w:color w:val="000000"/>
              </w:rPr>
            </w:pPr>
            <w:r w:rsidRPr="009A5185">
              <w:rPr>
                <w:rFonts w:cs="Arial"/>
                <w:snapToGrid w:val="0"/>
                <w:color w:val="000000"/>
              </w:rPr>
              <w:t xml:space="preserve">Total number of nulliparous mothers (or sufficient sample of them) that delivered a live term singleton newborn in the vertex presentation with &gt;=37 weeks of gestation completed, with </w:t>
            </w:r>
            <w:r w:rsidRPr="009A5185">
              <w:rPr>
                <w:rFonts w:cs="Arial"/>
                <w:b/>
                <w:snapToGrid w:val="0"/>
                <w:color w:val="000000"/>
              </w:rPr>
              <w:t>Excluded Populations</w:t>
            </w:r>
            <w:r w:rsidRPr="009A5185">
              <w:rPr>
                <w:rFonts w:cs="Arial"/>
                <w:snapToGrid w:val="0"/>
                <w:color w:val="000000"/>
              </w:rPr>
              <w:t xml:space="preserve"> removed</w:t>
            </w:r>
            <w:r w:rsidR="00C06446">
              <w:rPr>
                <w:rFonts w:cs="Arial"/>
                <w:snapToGrid w:val="0"/>
                <w:color w:val="000000"/>
              </w:rPr>
              <w:t>:</w:t>
            </w:r>
          </w:p>
          <w:p w14:paraId="61EA123A" w14:textId="77777777" w:rsidR="00035AF9" w:rsidRPr="009A5185" w:rsidRDefault="00035AF9" w:rsidP="00840986">
            <w:pPr>
              <w:pStyle w:val="ListParagraph"/>
              <w:ind w:left="360"/>
              <w:rPr>
                <w:rFonts w:cs="Arial"/>
                <w:snapToGrid w:val="0"/>
                <w:color w:val="000000"/>
              </w:rPr>
            </w:pPr>
          </w:p>
          <w:p w14:paraId="6BCA3666" w14:textId="2C3C3613" w:rsidR="00035AF9" w:rsidRPr="009A5185" w:rsidRDefault="00035AF9" w:rsidP="00E35464">
            <w:pPr>
              <w:pStyle w:val="ListParagraph"/>
              <w:ind w:left="360"/>
              <w:rPr>
                <w:rFonts w:cs="Arial"/>
                <w:snapToGrid w:val="0"/>
                <w:color w:val="000000"/>
              </w:rPr>
            </w:pPr>
            <w:r w:rsidRPr="009A5185">
              <w:rPr>
                <w:rFonts w:cs="Arial"/>
                <w:i/>
                <w:snapToGrid w:val="0"/>
              </w:rPr>
              <w:t xml:space="preserve">If fewer than 10 cases met the criteria for the denominator, skip questions </w:t>
            </w:r>
            <w:r w:rsidRPr="00097B5B">
              <w:rPr>
                <w:rFonts w:cs="Arial"/>
                <w:i/>
                <w:snapToGrid w:val="0"/>
              </w:rPr>
              <w:t>#3-</w:t>
            </w:r>
            <w:r w:rsidR="00BB0AC8">
              <w:rPr>
                <w:rFonts w:cs="Arial"/>
                <w:i/>
                <w:snapToGrid w:val="0"/>
              </w:rPr>
              <w:t>8</w:t>
            </w:r>
            <w:r w:rsidRPr="00097B5B">
              <w:rPr>
                <w:rFonts w:cs="Arial"/>
                <w:i/>
                <w:snapToGrid w:val="0"/>
              </w:rPr>
              <w:t xml:space="preserve"> and </w:t>
            </w:r>
            <w:r w:rsidR="00E35464" w:rsidRPr="00097B5B">
              <w:rPr>
                <w:rFonts w:cs="Arial"/>
                <w:i/>
                <w:snapToGrid w:val="0"/>
              </w:rPr>
              <w:t>continue</w:t>
            </w:r>
            <w:r w:rsidRPr="00097B5B">
              <w:rPr>
                <w:rFonts w:cs="Arial"/>
                <w:i/>
                <w:snapToGrid w:val="0"/>
              </w:rPr>
              <w:t xml:space="preserve"> to the next subsection</w:t>
            </w:r>
            <w:r w:rsidRPr="00EA7BCB">
              <w:rPr>
                <w:rFonts w:cs="Arial"/>
                <w:i/>
                <w:snapToGrid w:val="0"/>
              </w:rPr>
              <w:t>.</w:t>
            </w:r>
            <w:r w:rsidR="00E26628" w:rsidRPr="00EA7BCB">
              <w:rPr>
                <w:rFonts w:cs="Arial"/>
                <w:i/>
                <w:snapToGrid w:val="0"/>
              </w:rPr>
              <w:t xml:space="preserve"> </w:t>
            </w:r>
            <w:r w:rsidR="00E26628" w:rsidRPr="00EA7BCB">
              <w:rPr>
                <w:rFonts w:cs="Arial"/>
                <w:i/>
              </w:rPr>
              <w:t>The hospital will be scored as “Unable to Calculate Score.”</w:t>
            </w:r>
          </w:p>
        </w:tc>
        <w:tc>
          <w:tcPr>
            <w:tcW w:w="2909" w:type="dxa"/>
            <w:vAlign w:val="center"/>
          </w:tcPr>
          <w:p w14:paraId="4795E682" w14:textId="77777777" w:rsidR="00035AF9" w:rsidRPr="009A5185" w:rsidRDefault="00035AF9" w:rsidP="00840986">
            <w:pPr>
              <w:jc w:val="center"/>
              <w:rPr>
                <w:rFonts w:cs="Arial"/>
                <w:i/>
                <w:snapToGrid w:val="0"/>
                <w:color w:val="000000"/>
              </w:rPr>
            </w:pPr>
          </w:p>
          <w:p w14:paraId="5CB8E204" w14:textId="77777777" w:rsidR="00035AF9" w:rsidRPr="009A5185" w:rsidRDefault="00035AF9" w:rsidP="00840986">
            <w:pPr>
              <w:jc w:val="center"/>
              <w:rPr>
                <w:rFonts w:cs="Arial"/>
                <w:i/>
                <w:snapToGrid w:val="0"/>
                <w:color w:val="000000"/>
              </w:rPr>
            </w:pPr>
            <w:r w:rsidRPr="009A5185">
              <w:rPr>
                <w:rFonts w:cs="Arial"/>
                <w:i/>
                <w:snapToGrid w:val="0"/>
                <w:color w:val="000000"/>
              </w:rPr>
              <w:t>______</w:t>
            </w:r>
          </w:p>
        </w:tc>
      </w:tr>
      <w:tr w:rsidR="00035AF9" w:rsidRPr="009A5185" w14:paraId="3B1182BE" w14:textId="77777777" w:rsidTr="00C8246A">
        <w:trPr>
          <w:trHeight w:hRule="exact" w:val="576"/>
        </w:trPr>
        <w:tc>
          <w:tcPr>
            <w:tcW w:w="6638" w:type="dxa"/>
            <w:vAlign w:val="center"/>
          </w:tcPr>
          <w:p w14:paraId="597797C0" w14:textId="56F5F8C5" w:rsidR="00035AF9" w:rsidRPr="009A5185" w:rsidRDefault="00035AF9" w:rsidP="00AD309C">
            <w:pPr>
              <w:pStyle w:val="ListParagraph"/>
              <w:numPr>
                <w:ilvl w:val="0"/>
                <w:numId w:val="28"/>
              </w:numPr>
              <w:rPr>
                <w:rFonts w:cs="Arial"/>
                <w:snapToGrid w:val="0"/>
              </w:rPr>
            </w:pPr>
            <w:r w:rsidRPr="009A5185">
              <w:rPr>
                <w:rFonts w:cs="Arial"/>
                <w:snapToGrid w:val="0"/>
                <w:color w:val="000000"/>
              </w:rPr>
              <w:t>Total number of mothers indicated in question #2 that had their newborn delivered via cesarean section</w:t>
            </w:r>
            <w:r w:rsidR="00860AD7">
              <w:rPr>
                <w:rFonts w:cs="Arial"/>
                <w:snapToGrid w:val="0"/>
                <w:color w:val="000000"/>
              </w:rPr>
              <w:t>:</w:t>
            </w:r>
          </w:p>
        </w:tc>
        <w:tc>
          <w:tcPr>
            <w:tcW w:w="2909" w:type="dxa"/>
            <w:vAlign w:val="center"/>
          </w:tcPr>
          <w:p w14:paraId="5C059018" w14:textId="77777777" w:rsidR="00035AF9" w:rsidRPr="009A5185" w:rsidRDefault="00035AF9" w:rsidP="00840986">
            <w:pPr>
              <w:jc w:val="center"/>
              <w:rPr>
                <w:rFonts w:cs="Arial"/>
                <w:i/>
                <w:snapToGrid w:val="0"/>
                <w:color w:val="000000"/>
              </w:rPr>
            </w:pPr>
          </w:p>
          <w:p w14:paraId="5C75BF69" w14:textId="77777777" w:rsidR="00035AF9" w:rsidRPr="009A5185" w:rsidRDefault="00035AF9" w:rsidP="00840986">
            <w:pPr>
              <w:jc w:val="center"/>
              <w:rPr>
                <w:rFonts w:cs="Arial"/>
                <w:i/>
                <w:snapToGrid w:val="0"/>
                <w:color w:val="000000"/>
              </w:rPr>
            </w:pPr>
            <w:r w:rsidRPr="009A5185">
              <w:rPr>
                <w:rFonts w:cs="Arial"/>
                <w:i/>
                <w:snapToGrid w:val="0"/>
                <w:color w:val="000000"/>
              </w:rPr>
              <w:t>______</w:t>
            </w:r>
          </w:p>
          <w:p w14:paraId="2C3CFF0E" w14:textId="77777777" w:rsidR="00035AF9" w:rsidRPr="009A5185" w:rsidRDefault="00035AF9" w:rsidP="00840986">
            <w:pPr>
              <w:rPr>
                <w:rFonts w:cs="Arial"/>
                <w:i/>
                <w:snapToGrid w:val="0"/>
                <w:color w:val="000000"/>
              </w:rPr>
            </w:pPr>
          </w:p>
        </w:tc>
      </w:tr>
      <w:tr w:rsidR="00035AF9" w:rsidRPr="009A5185" w14:paraId="384AB1B9" w14:textId="77777777" w:rsidTr="00C8246A">
        <w:trPr>
          <w:trHeight w:hRule="exact" w:val="576"/>
        </w:trPr>
        <w:tc>
          <w:tcPr>
            <w:tcW w:w="6638" w:type="dxa"/>
            <w:vAlign w:val="center"/>
          </w:tcPr>
          <w:p w14:paraId="29D197E1" w14:textId="77777777" w:rsidR="00035AF9" w:rsidRPr="009A5185" w:rsidRDefault="00035AF9" w:rsidP="00AD309C">
            <w:pPr>
              <w:pStyle w:val="ListParagraph"/>
              <w:numPr>
                <w:ilvl w:val="0"/>
                <w:numId w:val="28"/>
              </w:numPr>
              <w:spacing w:before="120" w:after="120"/>
              <w:rPr>
                <w:rFonts w:cs="Arial"/>
                <w:i/>
                <w:snapToGrid w:val="0"/>
                <w:color w:val="000000"/>
              </w:rPr>
            </w:pPr>
            <w:r w:rsidRPr="009A5185">
              <w:rPr>
                <w:rFonts w:cs="Arial"/>
                <w:snapToGrid w:val="0"/>
                <w:color w:val="000000"/>
              </w:rPr>
              <w:t>Do the responses in questions #2 and #3 above represent a sample of cases?</w:t>
            </w:r>
          </w:p>
        </w:tc>
        <w:tc>
          <w:tcPr>
            <w:tcW w:w="2909" w:type="dxa"/>
            <w:vAlign w:val="center"/>
          </w:tcPr>
          <w:p w14:paraId="68BC58F2" w14:textId="77777777" w:rsidR="00035AF9" w:rsidRPr="00A31567" w:rsidRDefault="00035AF9" w:rsidP="00AD309C">
            <w:pPr>
              <w:pStyle w:val="ListParagraph"/>
              <w:numPr>
                <w:ilvl w:val="0"/>
                <w:numId w:val="287"/>
              </w:numPr>
              <w:rPr>
                <w:rFonts w:cs="Arial"/>
                <w:iCs/>
                <w:snapToGrid w:val="0"/>
                <w:color w:val="000000"/>
              </w:rPr>
            </w:pPr>
            <w:r w:rsidRPr="00A31567">
              <w:rPr>
                <w:rFonts w:cs="Arial"/>
                <w:iCs/>
                <w:snapToGrid w:val="0"/>
                <w:color w:val="000000"/>
              </w:rPr>
              <w:t>Yes</w:t>
            </w:r>
          </w:p>
          <w:p w14:paraId="1CAD1D53" w14:textId="77777777" w:rsidR="00035AF9" w:rsidRPr="00C8246A" w:rsidRDefault="00035AF9" w:rsidP="00AD309C">
            <w:pPr>
              <w:pStyle w:val="ListParagraph"/>
              <w:numPr>
                <w:ilvl w:val="0"/>
                <w:numId w:val="287"/>
              </w:numPr>
              <w:rPr>
                <w:rFonts w:cs="Arial"/>
                <w:iCs/>
                <w:snapToGrid w:val="0"/>
                <w:color w:val="000000"/>
              </w:rPr>
            </w:pPr>
            <w:r w:rsidRPr="00A31567">
              <w:rPr>
                <w:rFonts w:cs="Arial"/>
                <w:iCs/>
                <w:snapToGrid w:val="0"/>
                <w:color w:val="000000"/>
              </w:rPr>
              <w:t>No</w:t>
            </w:r>
          </w:p>
        </w:tc>
      </w:tr>
      <w:tr w:rsidR="00035AF9" w:rsidRPr="009A5185" w14:paraId="42DBC7C5" w14:textId="77777777" w:rsidTr="00B46B65">
        <w:trPr>
          <w:trHeight w:val="20"/>
        </w:trPr>
        <w:tc>
          <w:tcPr>
            <w:tcW w:w="6638" w:type="dxa"/>
            <w:vAlign w:val="center"/>
          </w:tcPr>
          <w:p w14:paraId="2490E55E" w14:textId="77777777" w:rsidR="00035AF9" w:rsidRPr="009A5185" w:rsidRDefault="00035AF9" w:rsidP="00AD309C">
            <w:pPr>
              <w:pStyle w:val="ListParagraph"/>
              <w:numPr>
                <w:ilvl w:val="0"/>
                <w:numId w:val="28"/>
              </w:numPr>
              <w:spacing w:before="120" w:after="120"/>
              <w:rPr>
                <w:rFonts w:cs="Arial"/>
                <w:i/>
                <w:snapToGrid w:val="0"/>
                <w:color w:val="000000"/>
              </w:rPr>
            </w:pPr>
            <w:r w:rsidRPr="009A5185">
              <w:rPr>
                <w:rFonts w:cs="Arial"/>
                <w:snapToGrid w:val="0"/>
                <w:color w:val="000000"/>
              </w:rPr>
              <w:t>If “yes” to question #4, did your hospital sample using The Joint Commission’s sampling algorithm or Leapfrog’s sampling instructions, as provided in the Maternity Care Reference Information?</w:t>
            </w:r>
          </w:p>
        </w:tc>
        <w:tc>
          <w:tcPr>
            <w:tcW w:w="2909" w:type="dxa"/>
            <w:vAlign w:val="center"/>
          </w:tcPr>
          <w:p w14:paraId="7B78B088" w14:textId="55872F95" w:rsidR="00035AF9" w:rsidRPr="00A31567" w:rsidRDefault="00035AF9" w:rsidP="00AD309C">
            <w:pPr>
              <w:pStyle w:val="ListParagraph"/>
              <w:numPr>
                <w:ilvl w:val="0"/>
                <w:numId w:val="287"/>
              </w:numPr>
              <w:rPr>
                <w:rFonts w:cs="Arial"/>
                <w:iCs/>
                <w:snapToGrid w:val="0"/>
                <w:color w:val="000000"/>
              </w:rPr>
            </w:pPr>
            <w:r w:rsidRPr="00A31567">
              <w:rPr>
                <w:rFonts w:cs="Arial"/>
                <w:iCs/>
                <w:snapToGrid w:val="0"/>
                <w:color w:val="000000"/>
              </w:rPr>
              <w:t>The Joint Commission</w:t>
            </w:r>
          </w:p>
          <w:p w14:paraId="60193A3B" w14:textId="77777777" w:rsidR="00035AF9" w:rsidRPr="00A31567" w:rsidRDefault="00035AF9" w:rsidP="00AD309C">
            <w:pPr>
              <w:pStyle w:val="ListParagraph"/>
              <w:numPr>
                <w:ilvl w:val="0"/>
                <w:numId w:val="287"/>
              </w:numPr>
              <w:rPr>
                <w:rFonts w:cs="Arial"/>
                <w:iCs/>
                <w:snapToGrid w:val="0"/>
                <w:color w:val="000000"/>
              </w:rPr>
            </w:pPr>
            <w:r w:rsidRPr="00A31567">
              <w:rPr>
                <w:rFonts w:cs="Arial"/>
                <w:iCs/>
                <w:snapToGrid w:val="0"/>
                <w:color w:val="000000"/>
              </w:rPr>
              <w:t>The Leapfrog Group</w:t>
            </w:r>
          </w:p>
        </w:tc>
      </w:tr>
    </w:tbl>
    <w:p w14:paraId="048B9E59" w14:textId="77777777" w:rsidR="006E50EF" w:rsidRDefault="006E50EF" w:rsidP="00B86077">
      <w:pPr>
        <w:rPr>
          <w:rFonts w:cs="Arial"/>
          <w:b/>
          <w:snapToGrid w:val="0"/>
          <w:color w:val="000000"/>
        </w:rPr>
      </w:pPr>
    </w:p>
    <w:p w14:paraId="4DCE0DEC" w14:textId="77777777" w:rsidR="00221DC3" w:rsidRDefault="00221DC3" w:rsidP="00B86077">
      <w:pPr>
        <w:rPr>
          <w:rFonts w:cs="Arial"/>
          <w:b/>
          <w:snapToGrid w:val="0"/>
          <w:color w:val="000000"/>
        </w:rPr>
      </w:pPr>
    </w:p>
    <w:p w14:paraId="0F798ED3" w14:textId="77777777" w:rsidR="00221DC3" w:rsidRDefault="00221DC3" w:rsidP="00B86077">
      <w:pPr>
        <w:rPr>
          <w:rFonts w:cs="Arial"/>
          <w:b/>
          <w:snapToGrid w:val="0"/>
          <w:color w:val="000000"/>
        </w:rPr>
      </w:pPr>
    </w:p>
    <w:p w14:paraId="3BCBFF4E" w14:textId="77777777" w:rsidR="00221DC3" w:rsidRDefault="00221DC3" w:rsidP="00B86077">
      <w:pPr>
        <w:rPr>
          <w:rFonts w:cs="Arial"/>
          <w:b/>
          <w:snapToGrid w:val="0"/>
          <w:color w:val="000000"/>
        </w:rPr>
      </w:pPr>
    </w:p>
    <w:p w14:paraId="483FC5F4" w14:textId="77777777" w:rsidR="00221DC3" w:rsidRPr="009A5185" w:rsidRDefault="00221DC3" w:rsidP="00B86077">
      <w:pPr>
        <w:rPr>
          <w:rFonts w:cs="Arial"/>
          <w:b/>
          <w:snapToGrid w:val="0"/>
          <w:color w:val="000000"/>
        </w:rPr>
      </w:pPr>
    </w:p>
    <w:p w14:paraId="1377CB19" w14:textId="1510CF77" w:rsidR="00C27FF1" w:rsidRDefault="00C27FF1" w:rsidP="00AB5B80">
      <w:pPr>
        <w:pStyle w:val="Heading3"/>
      </w:pPr>
      <w:bookmarkStart w:id="305" w:name="_Toc225877728"/>
      <w:r>
        <w:lastRenderedPageBreak/>
        <w:t>Cesarean Birth Stratified by Race/Ethnicity</w:t>
      </w:r>
      <w:bookmarkEnd w:id="305"/>
      <w:r>
        <w:br/>
      </w:r>
    </w:p>
    <w:p w14:paraId="11377A98" w14:textId="5A37FCEF" w:rsidR="00C27FF1" w:rsidRPr="00C8246A" w:rsidRDefault="00C27FF1" w:rsidP="00B92EC0">
      <w:pPr>
        <w:rPr>
          <w:lang w:eastAsia="ja-JP"/>
        </w:rPr>
      </w:pPr>
      <w:r w:rsidRPr="004C3107">
        <w:rPr>
          <w:noProof/>
        </w:rPr>
        <mc:AlternateContent>
          <mc:Choice Requires="wps">
            <w:drawing>
              <wp:inline distT="0" distB="0" distL="0" distR="0" wp14:anchorId="30EF38C3" wp14:editId="7A19E594">
                <wp:extent cx="5943600" cy="1632585"/>
                <wp:effectExtent l="0" t="0" r="19050" b="24765"/>
                <wp:docPr id="82363900" name="Text Box 82363900" descr="P6363TB1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32585"/>
                        </a:xfrm>
                        <a:prstGeom prst="rect">
                          <a:avLst/>
                        </a:prstGeom>
                        <a:solidFill>
                          <a:srgbClr val="FFFFFF"/>
                        </a:solidFill>
                        <a:ln w="9525">
                          <a:solidFill>
                            <a:srgbClr val="FF0000"/>
                          </a:solidFill>
                          <a:miter lim="800000"/>
                          <a:headEnd/>
                          <a:tailEnd/>
                        </a:ln>
                      </wps:spPr>
                      <wps:txbx>
                        <w:txbxContent>
                          <w:p w14:paraId="3113FFFA" w14:textId="0F4C21CF" w:rsidR="00C27FF1" w:rsidRPr="009A5185" w:rsidRDefault="00C27FF1" w:rsidP="00C27FF1">
                            <w:pPr>
                              <w:spacing w:before="40"/>
                              <w:rPr>
                                <w:rFonts w:cs="Arial"/>
                                <w:b/>
                                <w:snapToGrid w:val="0"/>
                              </w:rPr>
                            </w:pPr>
                            <w:r w:rsidRPr="009A5185">
                              <w:rPr>
                                <w:rFonts w:cs="Arial"/>
                                <w:b/>
                                <w:snapToGrid w:val="0"/>
                              </w:rPr>
                              <w:t xml:space="preserve">Reporting Period: </w:t>
                            </w:r>
                            <w:r>
                              <w:rPr>
                                <w:rFonts w:cs="Arial"/>
                                <w:b/>
                                <w:snapToGrid w:val="0"/>
                              </w:rPr>
                              <w:t>24</w:t>
                            </w:r>
                            <w:r w:rsidRPr="009A5185">
                              <w:rPr>
                                <w:rFonts w:cs="Arial"/>
                                <w:b/>
                                <w:snapToGrid w:val="0"/>
                              </w:rPr>
                              <w:t xml:space="preserve"> months</w:t>
                            </w:r>
                          </w:p>
                          <w:p w14:paraId="674FE80B" w14:textId="111CFFF0" w:rsidR="00C27FF1" w:rsidRPr="009A5185" w:rsidRDefault="00C27FF1" w:rsidP="00C27FF1">
                            <w:pPr>
                              <w:rPr>
                                <w:rFonts w:cs="Arial"/>
                                <w:b/>
                                <w:snapToGrid w:val="0"/>
                              </w:rPr>
                            </w:pPr>
                            <w:r w:rsidRPr="009A5185">
                              <w:rPr>
                                <w:rFonts w:cs="Arial"/>
                                <w:snapToGrid w:val="0"/>
                              </w:rPr>
                              <w:t>Answer questions #</w:t>
                            </w:r>
                            <w:r>
                              <w:rPr>
                                <w:rFonts w:cs="Arial"/>
                                <w:snapToGrid w:val="0"/>
                              </w:rPr>
                              <w:t>6-8</w:t>
                            </w:r>
                            <w:r w:rsidRPr="009A5185">
                              <w:rPr>
                                <w:rFonts w:cs="Arial"/>
                                <w:snapToGrid w:val="0"/>
                              </w:rPr>
                              <w:t xml:space="preserve"> based </w:t>
                            </w:r>
                            <w:r w:rsidRPr="009A5185">
                              <w:rPr>
                                <w:rFonts w:cs="Arial"/>
                                <w:snapToGrid w:val="0"/>
                                <w:color w:val="000000"/>
                              </w:rPr>
                              <w:t xml:space="preserve">on </w:t>
                            </w:r>
                            <w:r w:rsidRPr="009A5185">
                              <w:rPr>
                                <w:rFonts w:cs="Arial"/>
                                <w:snapToGrid w:val="0"/>
                              </w:rPr>
                              <w:t>all cases</w:t>
                            </w:r>
                          </w:p>
                          <w:p w14:paraId="7F85E01C" w14:textId="77777777" w:rsidR="00C27FF1" w:rsidRPr="00BE1D22" w:rsidRDefault="00C27FF1" w:rsidP="00AD309C">
                            <w:pPr>
                              <w:pStyle w:val="ListParagraph"/>
                              <w:numPr>
                                <w:ilvl w:val="0"/>
                                <w:numId w:val="36"/>
                              </w:numPr>
                              <w:rPr>
                                <w:rFonts w:cs="Arial"/>
                                <w:i/>
                                <w:snapToGrid w:val="0"/>
                              </w:rPr>
                            </w:pPr>
                            <w:r>
                              <w:rPr>
                                <w:rFonts w:cs="Arial"/>
                                <w:iCs/>
                                <w:snapToGrid w:val="0"/>
                              </w:rPr>
                              <w:t>Surveys submitted prior to September 1:</w:t>
                            </w:r>
                          </w:p>
                          <w:p w14:paraId="4DF38483" w14:textId="516EBC7A" w:rsidR="00C27FF1" w:rsidRPr="009A5185" w:rsidRDefault="00C27FF1" w:rsidP="00AD309C">
                            <w:pPr>
                              <w:pStyle w:val="ListParagraph"/>
                              <w:numPr>
                                <w:ilvl w:val="1"/>
                                <w:numId w:val="36"/>
                              </w:numPr>
                              <w:rPr>
                                <w:rFonts w:cs="Arial"/>
                                <w:i/>
                                <w:snapToGrid w:val="0"/>
                              </w:rPr>
                            </w:pPr>
                            <w:r>
                              <w:rPr>
                                <w:rFonts w:cs="Arial"/>
                                <w:iCs/>
                                <w:snapToGrid w:val="0"/>
                              </w:rPr>
                              <w:t>01/01/202</w:t>
                            </w:r>
                            <w:r w:rsidR="005F27E6">
                              <w:rPr>
                                <w:rFonts w:cs="Arial"/>
                                <w:iCs/>
                                <w:snapToGrid w:val="0"/>
                              </w:rPr>
                              <w:t>4</w:t>
                            </w:r>
                            <w:r>
                              <w:rPr>
                                <w:rFonts w:cs="Arial"/>
                                <w:iCs/>
                                <w:snapToGrid w:val="0"/>
                              </w:rPr>
                              <w:t xml:space="preserve"> – 12/31/202</w:t>
                            </w:r>
                            <w:r w:rsidR="005F27E6">
                              <w:rPr>
                                <w:rFonts w:cs="Arial"/>
                                <w:iCs/>
                                <w:snapToGrid w:val="0"/>
                              </w:rPr>
                              <w:t>5</w:t>
                            </w:r>
                          </w:p>
                          <w:p w14:paraId="122F76A0" w14:textId="77777777" w:rsidR="00C27FF1" w:rsidRPr="00BE1D22" w:rsidRDefault="00C27FF1"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41E69438" w14:textId="09C165D8" w:rsidR="00C27FF1" w:rsidRPr="00FD4BD9" w:rsidRDefault="00C27FF1"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5F27E6">
                              <w:rPr>
                                <w:rFonts w:cs="Arial"/>
                                <w:snapToGrid w:val="0"/>
                              </w:rPr>
                              <w:t>4</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5F27E6">
                              <w:rPr>
                                <w:rFonts w:cs="Arial"/>
                                <w:snapToGrid w:val="0"/>
                              </w:rPr>
                              <w:t>6</w:t>
                            </w:r>
                          </w:p>
                          <w:p w14:paraId="45D0F5BF" w14:textId="77777777" w:rsidR="00C27FF1" w:rsidRDefault="00C27FF1" w:rsidP="00C27FF1">
                            <w:pPr>
                              <w:rPr>
                                <w:rFonts w:cs="Arial"/>
                                <w:i/>
                                <w:snapToGrid w:val="0"/>
                              </w:rPr>
                            </w:pPr>
                          </w:p>
                          <w:p w14:paraId="7C706C36" w14:textId="77777777" w:rsidR="00C27FF1" w:rsidRDefault="00C27FF1" w:rsidP="00C27FF1">
                            <w:r w:rsidRPr="006547C0">
                              <w:rPr>
                                <w:rFonts w:cs="Arial"/>
                                <w:sz w:val="16"/>
                                <w:szCs w:val="16"/>
                              </w:rPr>
                              <w:t xml:space="preserve">Note: As a reminder, the </w:t>
                            </w:r>
                            <w:hyperlink r:id="rId256"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30EF38C3" id="Text Box 82363900" o:spid="_x0000_s1043" type="#_x0000_t202" alt="P6363TB16#y1" style="width:468pt;height:12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" strokecolor="red">
                <v:textbox style="mso-fit-shape-to-text:t">
                  <w:txbxContent>
                    <w:p w14:paraId="3113FFFA" w14:textId="0F4C21CF" w:rsidR="00C27FF1" w:rsidRPr="009A5185" w:rsidRDefault="00C27FF1" w:rsidP="00C27FF1">
                      <w:pPr>
                        <w:spacing w:before="40"/>
                        <w:rPr>
                          <w:rFonts w:cs="Arial"/>
                          <w:b/>
                          <w:snapToGrid w:val="0"/>
                        </w:rPr>
                      </w:pPr>
                      <w:r w:rsidRPr="009A5185">
                        <w:rPr>
                          <w:rFonts w:cs="Arial"/>
                          <w:b/>
                          <w:snapToGrid w:val="0"/>
                        </w:rPr>
                        <w:t xml:space="preserve">Reporting Period: </w:t>
                      </w:r>
                      <w:r>
                        <w:rPr>
                          <w:rFonts w:cs="Arial"/>
                          <w:b/>
                          <w:snapToGrid w:val="0"/>
                        </w:rPr>
                        <w:t>24</w:t>
                      </w:r>
                      <w:r w:rsidRPr="009A5185">
                        <w:rPr>
                          <w:rFonts w:cs="Arial"/>
                          <w:b/>
                          <w:snapToGrid w:val="0"/>
                        </w:rPr>
                        <w:t xml:space="preserve"> months</w:t>
                      </w:r>
                    </w:p>
                    <w:p w14:paraId="674FE80B" w14:textId="111CFFF0" w:rsidR="00C27FF1" w:rsidRPr="009A5185" w:rsidRDefault="00C27FF1" w:rsidP="00C27FF1">
                      <w:pPr>
                        <w:rPr>
                          <w:rFonts w:cs="Arial"/>
                          <w:b/>
                          <w:snapToGrid w:val="0"/>
                        </w:rPr>
                      </w:pPr>
                      <w:r w:rsidRPr="009A5185">
                        <w:rPr>
                          <w:rFonts w:cs="Arial"/>
                          <w:snapToGrid w:val="0"/>
                        </w:rPr>
                        <w:t>Answer questions #</w:t>
                      </w:r>
                      <w:r>
                        <w:rPr>
                          <w:rFonts w:cs="Arial"/>
                          <w:snapToGrid w:val="0"/>
                        </w:rPr>
                        <w:t>6-8</w:t>
                      </w:r>
                      <w:r w:rsidRPr="009A5185">
                        <w:rPr>
                          <w:rFonts w:cs="Arial"/>
                          <w:snapToGrid w:val="0"/>
                        </w:rPr>
                        <w:t xml:space="preserve"> based </w:t>
                      </w:r>
                      <w:r w:rsidRPr="009A5185">
                        <w:rPr>
                          <w:rFonts w:cs="Arial"/>
                          <w:snapToGrid w:val="0"/>
                          <w:color w:val="000000"/>
                        </w:rPr>
                        <w:t xml:space="preserve">on </w:t>
                      </w:r>
                      <w:r w:rsidRPr="009A5185">
                        <w:rPr>
                          <w:rFonts w:cs="Arial"/>
                          <w:snapToGrid w:val="0"/>
                        </w:rPr>
                        <w:t>all cases</w:t>
                      </w:r>
                    </w:p>
                    <w:p w14:paraId="7F85E01C" w14:textId="77777777" w:rsidR="00C27FF1" w:rsidRPr="00BE1D22" w:rsidRDefault="00C27FF1" w:rsidP="00AD309C">
                      <w:pPr>
                        <w:pStyle w:val="ListParagraph"/>
                        <w:numPr>
                          <w:ilvl w:val="0"/>
                          <w:numId w:val="36"/>
                        </w:numPr>
                        <w:rPr>
                          <w:rFonts w:cs="Arial"/>
                          <w:i/>
                          <w:snapToGrid w:val="0"/>
                        </w:rPr>
                      </w:pPr>
                      <w:r>
                        <w:rPr>
                          <w:rFonts w:cs="Arial"/>
                          <w:iCs/>
                          <w:snapToGrid w:val="0"/>
                        </w:rPr>
                        <w:t>Surveys submitted prior to September 1:</w:t>
                      </w:r>
                    </w:p>
                    <w:p w14:paraId="4DF38483" w14:textId="516EBC7A" w:rsidR="00C27FF1" w:rsidRPr="009A5185" w:rsidRDefault="00C27FF1" w:rsidP="00AD309C">
                      <w:pPr>
                        <w:pStyle w:val="ListParagraph"/>
                        <w:numPr>
                          <w:ilvl w:val="1"/>
                          <w:numId w:val="36"/>
                        </w:numPr>
                        <w:rPr>
                          <w:rFonts w:cs="Arial"/>
                          <w:i/>
                          <w:snapToGrid w:val="0"/>
                        </w:rPr>
                      </w:pPr>
                      <w:r>
                        <w:rPr>
                          <w:rFonts w:cs="Arial"/>
                          <w:iCs/>
                          <w:snapToGrid w:val="0"/>
                        </w:rPr>
                        <w:t>01/01/202</w:t>
                      </w:r>
                      <w:r w:rsidR="005F27E6">
                        <w:rPr>
                          <w:rFonts w:cs="Arial"/>
                          <w:iCs/>
                          <w:snapToGrid w:val="0"/>
                        </w:rPr>
                        <w:t>4</w:t>
                      </w:r>
                      <w:r>
                        <w:rPr>
                          <w:rFonts w:cs="Arial"/>
                          <w:iCs/>
                          <w:snapToGrid w:val="0"/>
                        </w:rPr>
                        <w:t xml:space="preserve"> – 12/31/202</w:t>
                      </w:r>
                      <w:r w:rsidR="005F27E6">
                        <w:rPr>
                          <w:rFonts w:cs="Arial"/>
                          <w:iCs/>
                          <w:snapToGrid w:val="0"/>
                        </w:rPr>
                        <w:t>5</w:t>
                      </w:r>
                    </w:p>
                    <w:p w14:paraId="122F76A0" w14:textId="77777777" w:rsidR="00C27FF1" w:rsidRPr="00BE1D22" w:rsidRDefault="00C27FF1"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41E69438" w14:textId="09C165D8" w:rsidR="00C27FF1" w:rsidRPr="00FD4BD9" w:rsidRDefault="00C27FF1"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5F27E6">
                        <w:rPr>
                          <w:rFonts w:cs="Arial"/>
                          <w:snapToGrid w:val="0"/>
                        </w:rPr>
                        <w:t>4</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5F27E6">
                        <w:rPr>
                          <w:rFonts w:cs="Arial"/>
                          <w:snapToGrid w:val="0"/>
                        </w:rPr>
                        <w:t>6</w:t>
                      </w:r>
                    </w:p>
                    <w:p w14:paraId="45D0F5BF" w14:textId="77777777" w:rsidR="00C27FF1" w:rsidRDefault="00C27FF1" w:rsidP="00C27FF1">
                      <w:pPr>
                        <w:rPr>
                          <w:rFonts w:cs="Arial"/>
                          <w:i/>
                          <w:snapToGrid w:val="0"/>
                        </w:rPr>
                      </w:pPr>
                    </w:p>
                    <w:p w14:paraId="7C706C36" w14:textId="77777777" w:rsidR="00C27FF1" w:rsidRDefault="00C27FF1" w:rsidP="00C27FF1">
                      <w:r w:rsidRPr="006547C0">
                        <w:rPr>
                          <w:rFonts w:cs="Arial"/>
                          <w:sz w:val="16"/>
                          <w:szCs w:val="16"/>
                        </w:rPr>
                        <w:t xml:space="preserve">Note: As a reminder, the </w:t>
                      </w:r>
                      <w:hyperlink r:id="rId257"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384A93D6" w14:textId="53F0C64C" w:rsidR="00C5119E" w:rsidRDefault="00C5119E" w:rsidP="00B86077">
      <w:pPr>
        <w:rPr>
          <w:rFonts w:cs="Arial"/>
          <w:b/>
          <w:snapToGrid w:val="0"/>
          <w:color w:val="000000"/>
        </w:rPr>
      </w:pPr>
    </w:p>
    <w:tbl>
      <w:tblPr>
        <w:tblStyle w:val="TableGrid"/>
        <w:tblW w:w="9547" w:type="dxa"/>
        <w:tblLook w:val="04A0" w:firstRow="1" w:lastRow="0" w:firstColumn="1" w:lastColumn="0" w:noHBand="0" w:noVBand="1"/>
      </w:tblPr>
      <w:tblGrid>
        <w:gridCol w:w="3055"/>
        <w:gridCol w:w="3150"/>
        <w:gridCol w:w="433"/>
        <w:gridCol w:w="2909"/>
      </w:tblGrid>
      <w:tr w:rsidR="00C27FF1" w:rsidRPr="009A5185" w14:paraId="27122563" w14:textId="77777777" w:rsidTr="00C8246A">
        <w:trPr>
          <w:trHeight w:val="576"/>
        </w:trPr>
        <w:tc>
          <w:tcPr>
            <w:tcW w:w="6638" w:type="dxa"/>
            <w:gridSpan w:val="3"/>
            <w:vAlign w:val="center"/>
          </w:tcPr>
          <w:p w14:paraId="3E1208EC" w14:textId="307E7243" w:rsidR="00C27FF1" w:rsidRPr="0053372C" w:rsidRDefault="00C27FF1" w:rsidP="00AD309C">
            <w:pPr>
              <w:pStyle w:val="ListParagraph"/>
              <w:numPr>
                <w:ilvl w:val="0"/>
                <w:numId w:val="28"/>
              </w:numPr>
              <w:rPr>
                <w:rFonts w:cs="Arial"/>
                <w:snapToGrid w:val="0"/>
                <w:color w:val="000000"/>
              </w:rPr>
            </w:pPr>
            <w:r>
              <w:rPr>
                <w:rFonts w:cs="Arial"/>
                <w:snapToGrid w:val="0"/>
                <w:color w:val="000000"/>
              </w:rPr>
              <w:t>24-month reporting period used:</w:t>
            </w:r>
          </w:p>
        </w:tc>
        <w:tc>
          <w:tcPr>
            <w:tcW w:w="2909" w:type="dxa"/>
            <w:vAlign w:val="center"/>
          </w:tcPr>
          <w:p w14:paraId="7DF240EA" w14:textId="25341FD8" w:rsidR="00C27FF1" w:rsidRPr="00C8246A" w:rsidRDefault="00C27FF1" w:rsidP="00AD309C">
            <w:pPr>
              <w:pStyle w:val="ListParagraph"/>
              <w:numPr>
                <w:ilvl w:val="0"/>
                <w:numId w:val="288"/>
              </w:numPr>
              <w:rPr>
                <w:rFonts w:cs="Arial"/>
                <w:iCs/>
              </w:rPr>
            </w:pPr>
            <w:r w:rsidRPr="00C8246A">
              <w:rPr>
                <w:rFonts w:cs="Arial"/>
                <w:iCs/>
              </w:rPr>
              <w:t>01/01/202</w:t>
            </w:r>
            <w:r w:rsidR="005F27E6">
              <w:rPr>
                <w:rFonts w:cs="Arial"/>
                <w:iCs/>
              </w:rPr>
              <w:t>4</w:t>
            </w:r>
            <w:r w:rsidRPr="00C8246A">
              <w:rPr>
                <w:rFonts w:cs="Arial"/>
                <w:iCs/>
              </w:rPr>
              <w:t xml:space="preserve"> – 12/31/202</w:t>
            </w:r>
            <w:r w:rsidR="005F27E6">
              <w:rPr>
                <w:rFonts w:cs="Arial"/>
                <w:iCs/>
              </w:rPr>
              <w:t>5</w:t>
            </w:r>
          </w:p>
          <w:p w14:paraId="54ED1A2D" w14:textId="00B40DC0" w:rsidR="00C27FF1" w:rsidRPr="00C8246A" w:rsidRDefault="00C27FF1" w:rsidP="00AD309C">
            <w:pPr>
              <w:pStyle w:val="ListParagraph"/>
              <w:numPr>
                <w:ilvl w:val="0"/>
                <w:numId w:val="288"/>
              </w:numPr>
              <w:rPr>
                <w:rFonts w:cs="Arial"/>
                <w:iCs/>
                <w:snapToGrid w:val="0"/>
                <w:color w:val="000000"/>
              </w:rPr>
            </w:pPr>
            <w:r w:rsidRPr="00C8246A">
              <w:rPr>
                <w:rFonts w:cs="Arial"/>
                <w:iCs/>
              </w:rPr>
              <w:t>07/01/202</w:t>
            </w:r>
            <w:r w:rsidR="005F27E6">
              <w:rPr>
                <w:rFonts w:cs="Arial"/>
                <w:iCs/>
              </w:rPr>
              <w:t>4</w:t>
            </w:r>
            <w:r w:rsidRPr="00C8246A">
              <w:rPr>
                <w:rFonts w:cs="Arial"/>
                <w:iCs/>
              </w:rPr>
              <w:t xml:space="preserve"> – 06/30/202</w:t>
            </w:r>
            <w:r w:rsidR="005F27E6">
              <w:rPr>
                <w:rFonts w:cs="Arial"/>
                <w:iCs/>
              </w:rPr>
              <w:t>6</w:t>
            </w:r>
          </w:p>
        </w:tc>
      </w:tr>
      <w:tr w:rsidR="00C27FF1" w:rsidRPr="009A5185" w14:paraId="5EFE9B37" w14:textId="77777777" w:rsidTr="00B46B65">
        <w:trPr>
          <w:trHeight w:val="1440"/>
        </w:trPr>
        <w:tc>
          <w:tcPr>
            <w:tcW w:w="6638" w:type="dxa"/>
            <w:gridSpan w:val="3"/>
            <w:vAlign w:val="center"/>
          </w:tcPr>
          <w:p w14:paraId="539297E4" w14:textId="38908064" w:rsidR="00C27FF1" w:rsidRDefault="00C27FF1" w:rsidP="00AD309C">
            <w:pPr>
              <w:pStyle w:val="ListParagraph"/>
              <w:numPr>
                <w:ilvl w:val="0"/>
                <w:numId w:val="28"/>
              </w:numPr>
              <w:rPr>
                <w:rFonts w:cs="Arial"/>
                <w:snapToGrid w:val="0"/>
                <w:color w:val="000000"/>
              </w:rPr>
            </w:pPr>
            <w:r w:rsidRPr="0053372C">
              <w:rPr>
                <w:rFonts w:cs="Arial"/>
                <w:snapToGrid w:val="0"/>
                <w:color w:val="000000"/>
              </w:rPr>
              <w:t xml:space="preserve">Did your hospital stratify NTSV cesarean births by </w:t>
            </w:r>
            <w:r w:rsidR="00BB0AC8">
              <w:rPr>
                <w:rFonts w:cs="Arial"/>
                <w:snapToGrid w:val="0"/>
                <w:color w:val="000000"/>
              </w:rPr>
              <w:t>race/ethnicity</w:t>
            </w:r>
            <w:r w:rsidRPr="0053372C">
              <w:rPr>
                <w:rFonts w:cs="Arial"/>
                <w:snapToGrid w:val="0"/>
                <w:color w:val="000000"/>
              </w:rPr>
              <w:t xml:space="preserve"> for the reporting period </w:t>
            </w:r>
            <w:r w:rsidR="00BB0AC8">
              <w:rPr>
                <w:rFonts w:cs="Arial"/>
                <w:snapToGrid w:val="0"/>
                <w:color w:val="000000"/>
              </w:rPr>
              <w:t xml:space="preserve">using the measure specifications provided </w:t>
            </w:r>
            <w:r w:rsidRPr="0053372C">
              <w:rPr>
                <w:rFonts w:cs="Arial"/>
                <w:snapToGrid w:val="0"/>
                <w:color w:val="000000"/>
              </w:rPr>
              <w:t>and do you choose to report those data to this Survey?</w:t>
            </w:r>
          </w:p>
          <w:p w14:paraId="39D9E344" w14:textId="77777777" w:rsidR="00C27FF1" w:rsidRDefault="00C27FF1" w:rsidP="00C27FF1">
            <w:pPr>
              <w:pStyle w:val="ListParagraph"/>
              <w:ind w:left="360"/>
              <w:rPr>
                <w:rFonts w:cs="Arial"/>
                <w:snapToGrid w:val="0"/>
                <w:color w:val="000000"/>
              </w:rPr>
            </w:pPr>
          </w:p>
          <w:p w14:paraId="00CF43E4" w14:textId="2A81887B" w:rsidR="00C27FF1" w:rsidRPr="00B46B65" w:rsidRDefault="00C27FF1" w:rsidP="00C27FF1">
            <w:pPr>
              <w:pStyle w:val="ListParagraph"/>
              <w:ind w:left="360"/>
              <w:rPr>
                <w:rFonts w:cs="Arial"/>
                <w:i/>
                <w:iCs/>
                <w:snapToGrid w:val="0"/>
                <w:color w:val="000000"/>
              </w:rPr>
            </w:pPr>
            <w:r>
              <w:rPr>
                <w:rFonts w:cs="Arial"/>
                <w:i/>
                <w:iCs/>
                <w:snapToGrid w:val="0"/>
                <w:color w:val="000000"/>
              </w:rPr>
              <w:t>If “no” to question #</w:t>
            </w:r>
            <w:r w:rsidR="00BB0AC8">
              <w:rPr>
                <w:rFonts w:cs="Arial"/>
                <w:i/>
                <w:iCs/>
                <w:snapToGrid w:val="0"/>
                <w:color w:val="000000"/>
              </w:rPr>
              <w:t>7</w:t>
            </w:r>
            <w:r>
              <w:rPr>
                <w:rFonts w:cs="Arial"/>
                <w:i/>
                <w:iCs/>
                <w:snapToGrid w:val="0"/>
                <w:color w:val="000000"/>
              </w:rPr>
              <w:t>, skip question #</w:t>
            </w:r>
            <w:r w:rsidR="00BB0AC8">
              <w:rPr>
                <w:rFonts w:cs="Arial"/>
                <w:i/>
                <w:iCs/>
                <w:snapToGrid w:val="0"/>
                <w:color w:val="000000"/>
              </w:rPr>
              <w:t>8</w:t>
            </w:r>
            <w:r>
              <w:rPr>
                <w:rFonts w:cs="Arial"/>
                <w:i/>
                <w:iCs/>
                <w:snapToGrid w:val="0"/>
                <w:color w:val="000000"/>
              </w:rPr>
              <w:t xml:space="preserve"> and continue to the next subsection.</w:t>
            </w:r>
          </w:p>
        </w:tc>
        <w:tc>
          <w:tcPr>
            <w:tcW w:w="2909" w:type="dxa"/>
            <w:vAlign w:val="center"/>
          </w:tcPr>
          <w:p w14:paraId="2A6C3BC0" w14:textId="77777777" w:rsidR="00C27FF1" w:rsidRPr="00A31567" w:rsidRDefault="00C27FF1" w:rsidP="00AD309C">
            <w:pPr>
              <w:pStyle w:val="ListParagraph"/>
              <w:numPr>
                <w:ilvl w:val="0"/>
                <w:numId w:val="289"/>
              </w:numPr>
              <w:rPr>
                <w:rFonts w:cs="Arial"/>
                <w:iCs/>
                <w:snapToGrid w:val="0"/>
                <w:color w:val="000000"/>
              </w:rPr>
            </w:pPr>
            <w:r w:rsidRPr="00A31567">
              <w:rPr>
                <w:rFonts w:cs="Arial"/>
                <w:iCs/>
                <w:snapToGrid w:val="0"/>
                <w:color w:val="000000"/>
              </w:rPr>
              <w:t>Yes</w:t>
            </w:r>
          </w:p>
          <w:p w14:paraId="153CF7E4" w14:textId="77777777" w:rsidR="00C27FF1" w:rsidRPr="00C8246A" w:rsidRDefault="00C27FF1" w:rsidP="00AD309C">
            <w:pPr>
              <w:pStyle w:val="ListParagraph"/>
              <w:numPr>
                <w:ilvl w:val="0"/>
                <w:numId w:val="289"/>
              </w:numPr>
              <w:rPr>
                <w:rFonts w:cs="Arial"/>
                <w:i/>
                <w:snapToGrid w:val="0"/>
                <w:color w:val="000000"/>
              </w:rPr>
            </w:pPr>
            <w:r w:rsidRPr="00A31567">
              <w:rPr>
                <w:rFonts w:cs="Arial"/>
                <w:iCs/>
                <w:snapToGrid w:val="0"/>
                <w:color w:val="000000"/>
              </w:rPr>
              <w:t>No</w:t>
            </w:r>
          </w:p>
        </w:tc>
      </w:tr>
      <w:tr w:rsidR="00C27FF1" w:rsidRPr="009A5185" w14:paraId="051E96A6" w14:textId="77777777" w:rsidTr="00C06753">
        <w:trPr>
          <w:trHeight w:val="1008"/>
        </w:trPr>
        <w:tc>
          <w:tcPr>
            <w:tcW w:w="9547" w:type="dxa"/>
            <w:gridSpan w:val="4"/>
            <w:vAlign w:val="center"/>
          </w:tcPr>
          <w:p w14:paraId="6F1526E1" w14:textId="465D9EC4" w:rsidR="00C27FF1" w:rsidRDefault="00C27FF1" w:rsidP="00AD309C">
            <w:pPr>
              <w:pStyle w:val="ListParagraph"/>
              <w:numPr>
                <w:ilvl w:val="0"/>
                <w:numId w:val="28"/>
              </w:numPr>
              <w:rPr>
                <w:rFonts w:cs="Arial"/>
                <w:snapToGrid w:val="0"/>
                <w:color w:val="000000"/>
              </w:rPr>
            </w:pPr>
            <w:r>
              <w:rPr>
                <w:rFonts w:cs="Arial"/>
                <w:snapToGrid w:val="0"/>
                <w:color w:val="000000"/>
              </w:rPr>
              <w:t xml:space="preserve">Enter your hospital’s responses below by </w:t>
            </w:r>
            <w:r w:rsidR="00BB0AC8">
              <w:rPr>
                <w:rFonts w:cs="Arial"/>
                <w:snapToGrid w:val="0"/>
                <w:color w:val="000000"/>
              </w:rPr>
              <w:t>race/ethnicity:</w:t>
            </w:r>
          </w:p>
          <w:p w14:paraId="198173A9" w14:textId="77777777" w:rsidR="00C27FF1" w:rsidRDefault="00C27FF1" w:rsidP="00C27FF1">
            <w:pPr>
              <w:pStyle w:val="ListParagraph"/>
              <w:ind w:left="360"/>
              <w:rPr>
                <w:rFonts w:cs="Arial"/>
                <w:snapToGrid w:val="0"/>
                <w:color w:val="000000"/>
              </w:rPr>
            </w:pPr>
          </w:p>
          <w:p w14:paraId="163EDFDB" w14:textId="05AFF3B9" w:rsidR="00C27FF1" w:rsidRPr="0004050A" w:rsidRDefault="00C27FF1" w:rsidP="00C27FF1">
            <w:pPr>
              <w:pStyle w:val="ListParagraph"/>
              <w:ind w:left="360"/>
              <w:rPr>
                <w:rFonts w:cs="Arial"/>
                <w:i/>
                <w:iCs/>
                <w:snapToGrid w:val="0"/>
                <w:color w:val="000000"/>
              </w:rPr>
            </w:pPr>
            <w:r w:rsidRPr="00F0772B">
              <w:rPr>
                <w:rFonts w:cs="Arial"/>
                <w:i/>
                <w:iCs/>
                <w:snapToGrid w:val="0"/>
                <w:color w:val="000000"/>
              </w:rPr>
              <w:t xml:space="preserve">If the number of cases for </w:t>
            </w:r>
            <w:r w:rsidRPr="00157FDB">
              <w:rPr>
                <w:rFonts w:cs="Arial"/>
                <w:i/>
                <w:iCs/>
                <w:snapToGrid w:val="0"/>
                <w:color w:val="000000"/>
              </w:rPr>
              <w:t xml:space="preserve">a </w:t>
            </w:r>
            <w:r w:rsidR="00BB0AC8" w:rsidRPr="00C8246A">
              <w:rPr>
                <w:rFonts w:cs="Arial"/>
                <w:i/>
                <w:iCs/>
                <w:snapToGrid w:val="0"/>
                <w:color w:val="000000"/>
              </w:rPr>
              <w:t>race/ethnicity</w:t>
            </w:r>
            <w:r w:rsidR="00BB0AC8">
              <w:rPr>
                <w:rFonts w:cs="Arial"/>
                <w:snapToGrid w:val="0"/>
                <w:color w:val="000000"/>
              </w:rPr>
              <w:t xml:space="preserve"> </w:t>
            </w:r>
            <w:r w:rsidRPr="00F0772B">
              <w:rPr>
                <w:rFonts w:cs="Arial"/>
                <w:i/>
                <w:iCs/>
                <w:snapToGrid w:val="0"/>
                <w:color w:val="000000"/>
              </w:rPr>
              <w:t xml:space="preserve">is less than </w:t>
            </w:r>
            <w:r>
              <w:rPr>
                <w:rFonts w:cs="Arial"/>
                <w:i/>
                <w:iCs/>
                <w:snapToGrid w:val="0"/>
                <w:color w:val="000000"/>
              </w:rPr>
              <w:t>1</w:t>
            </w:r>
            <w:r w:rsidRPr="00F0772B">
              <w:rPr>
                <w:rFonts w:cs="Arial"/>
                <w:i/>
                <w:iCs/>
                <w:snapToGrid w:val="0"/>
                <w:color w:val="000000"/>
              </w:rPr>
              <w:t>0 (in column a), skip column b and then move to the next category. If zero, enter “0” in column a.</w:t>
            </w:r>
          </w:p>
        </w:tc>
      </w:tr>
      <w:tr w:rsidR="00C27FF1" w:rsidRPr="009A5185" w14:paraId="01211581" w14:textId="77777777" w:rsidTr="00C06753">
        <w:trPr>
          <w:trHeight w:val="1872"/>
        </w:trPr>
        <w:tc>
          <w:tcPr>
            <w:tcW w:w="3055" w:type="dxa"/>
            <w:vAlign w:val="center"/>
          </w:tcPr>
          <w:p w14:paraId="018619BA" w14:textId="47E23BD3" w:rsidR="00C27FF1" w:rsidRPr="00923EE1" w:rsidRDefault="00BB0AC8" w:rsidP="00C27FF1">
            <w:pPr>
              <w:rPr>
                <w:rFonts w:cs="Arial"/>
                <w:snapToGrid w:val="0"/>
                <w:color w:val="000000"/>
                <w:highlight w:val="yellow"/>
              </w:rPr>
            </w:pPr>
            <w:r>
              <w:rPr>
                <w:rFonts w:cs="Arial"/>
                <w:snapToGrid w:val="0"/>
                <w:color w:val="000000"/>
              </w:rPr>
              <w:t>Race/ethnicity</w:t>
            </w:r>
          </w:p>
        </w:tc>
        <w:tc>
          <w:tcPr>
            <w:tcW w:w="3150" w:type="dxa"/>
            <w:vAlign w:val="center"/>
          </w:tcPr>
          <w:p w14:paraId="1095A99F" w14:textId="29DD5280" w:rsidR="00C27FF1" w:rsidRPr="009A5185" w:rsidRDefault="00C27FF1" w:rsidP="00C27FF1">
            <w:pPr>
              <w:rPr>
                <w:rFonts w:cs="Arial"/>
                <w:i/>
                <w:snapToGrid w:val="0"/>
                <w:color w:val="000000"/>
              </w:rPr>
            </w:pPr>
            <w:r>
              <w:rPr>
                <w:rFonts w:cs="Arial"/>
                <w:iCs/>
                <w:snapToGrid w:val="0"/>
                <w:color w:val="000000"/>
              </w:rPr>
              <w:t xml:space="preserve">a) Total number of nulliparous mothers that delivered a live term singleton newborn in the vertex presentation with &gt;= 37 weeks of gestation completed, with </w:t>
            </w:r>
            <w:r w:rsidRPr="000957AE">
              <w:rPr>
                <w:rFonts w:cs="Arial"/>
                <w:b/>
                <w:bCs/>
                <w:i/>
                <w:snapToGrid w:val="0"/>
                <w:color w:val="000000"/>
              </w:rPr>
              <w:t xml:space="preserve">Excluded </w:t>
            </w:r>
            <w:r>
              <w:rPr>
                <w:rFonts w:cs="Arial"/>
                <w:b/>
                <w:bCs/>
                <w:i/>
                <w:snapToGrid w:val="0"/>
                <w:color w:val="000000"/>
              </w:rPr>
              <w:t>P</w:t>
            </w:r>
            <w:r w:rsidRPr="000957AE">
              <w:rPr>
                <w:rFonts w:cs="Arial"/>
                <w:b/>
                <w:bCs/>
                <w:i/>
                <w:snapToGrid w:val="0"/>
                <w:color w:val="000000"/>
              </w:rPr>
              <w:t>opulations</w:t>
            </w:r>
            <w:r>
              <w:rPr>
                <w:rFonts w:cs="Arial"/>
                <w:b/>
                <w:bCs/>
                <w:iCs/>
                <w:snapToGrid w:val="0"/>
                <w:color w:val="000000"/>
              </w:rPr>
              <w:t xml:space="preserve"> </w:t>
            </w:r>
            <w:r>
              <w:rPr>
                <w:rFonts w:cs="Arial"/>
                <w:iCs/>
                <w:snapToGrid w:val="0"/>
                <w:color w:val="000000"/>
              </w:rPr>
              <w:t>removed (denominator)</w:t>
            </w:r>
          </w:p>
        </w:tc>
        <w:tc>
          <w:tcPr>
            <w:tcW w:w="3342" w:type="dxa"/>
            <w:gridSpan w:val="2"/>
            <w:vAlign w:val="center"/>
          </w:tcPr>
          <w:p w14:paraId="58990351" w14:textId="4D1DF1FB" w:rsidR="00C27FF1" w:rsidRPr="001E2A00" w:rsidRDefault="00C27FF1" w:rsidP="00C27FF1">
            <w:pPr>
              <w:rPr>
                <w:rFonts w:cs="Arial"/>
                <w:b/>
                <w:bCs/>
                <w:i/>
                <w:snapToGrid w:val="0"/>
                <w:color w:val="000000"/>
              </w:rPr>
            </w:pPr>
            <w:r>
              <w:rPr>
                <w:rFonts w:cs="Arial"/>
                <w:iCs/>
                <w:snapToGrid w:val="0"/>
                <w:color w:val="000000"/>
              </w:rPr>
              <w:t>b) Total number of mothers indicated in question #</w:t>
            </w:r>
            <w:r w:rsidR="00BB0AC8">
              <w:rPr>
                <w:rFonts w:cs="Arial"/>
                <w:iCs/>
                <w:snapToGrid w:val="0"/>
                <w:color w:val="000000"/>
              </w:rPr>
              <w:t>8</w:t>
            </w:r>
            <w:r>
              <w:rPr>
                <w:rFonts w:cs="Arial"/>
                <w:iCs/>
                <w:snapToGrid w:val="0"/>
                <w:color w:val="000000"/>
              </w:rPr>
              <w:t>a that had their newborn delivered via cesarean section (numerator)</w:t>
            </w:r>
          </w:p>
        </w:tc>
      </w:tr>
      <w:tr w:rsidR="00C27FF1" w:rsidRPr="009A5185" w14:paraId="13727BA8" w14:textId="77777777" w:rsidTr="00C06753">
        <w:trPr>
          <w:trHeight w:val="432"/>
        </w:trPr>
        <w:tc>
          <w:tcPr>
            <w:tcW w:w="3055" w:type="dxa"/>
            <w:vAlign w:val="center"/>
          </w:tcPr>
          <w:p w14:paraId="6D42B434" w14:textId="77777777" w:rsidR="00C27FF1" w:rsidRDefault="00C27FF1" w:rsidP="00C27FF1">
            <w:pPr>
              <w:rPr>
                <w:rFonts w:cs="Arial"/>
                <w:snapToGrid w:val="0"/>
                <w:color w:val="000000"/>
              </w:rPr>
            </w:pPr>
            <w:r>
              <w:rPr>
                <w:rFonts w:cs="Arial"/>
                <w:snapToGrid w:val="0"/>
                <w:color w:val="000000"/>
              </w:rPr>
              <w:t>Non-Hispanic White</w:t>
            </w:r>
          </w:p>
        </w:tc>
        <w:tc>
          <w:tcPr>
            <w:tcW w:w="3150" w:type="dxa"/>
            <w:vAlign w:val="center"/>
          </w:tcPr>
          <w:p w14:paraId="33080D87" w14:textId="77777777" w:rsidR="00C27FF1" w:rsidRDefault="00C27FF1" w:rsidP="00C27FF1">
            <w:pPr>
              <w:jc w:val="center"/>
              <w:rPr>
                <w:rFonts w:cs="Arial"/>
                <w:iCs/>
                <w:snapToGrid w:val="0"/>
                <w:color w:val="000000"/>
              </w:rPr>
            </w:pPr>
            <w:r w:rsidRPr="00355171">
              <w:rPr>
                <w:rFonts w:cs="Arial"/>
                <w:i/>
                <w:snapToGrid w:val="0"/>
                <w:color w:val="000000"/>
              </w:rPr>
              <w:t>______</w:t>
            </w:r>
          </w:p>
        </w:tc>
        <w:tc>
          <w:tcPr>
            <w:tcW w:w="3342" w:type="dxa"/>
            <w:gridSpan w:val="2"/>
            <w:vAlign w:val="center"/>
          </w:tcPr>
          <w:p w14:paraId="56FBC2F1" w14:textId="77777777" w:rsidR="00C27FF1" w:rsidRDefault="00C27FF1" w:rsidP="00C27FF1">
            <w:pPr>
              <w:jc w:val="center"/>
              <w:rPr>
                <w:rFonts w:cs="Arial"/>
                <w:iCs/>
                <w:snapToGrid w:val="0"/>
                <w:color w:val="000000"/>
              </w:rPr>
            </w:pPr>
            <w:r w:rsidRPr="00355171">
              <w:rPr>
                <w:rFonts w:cs="Arial"/>
                <w:i/>
                <w:snapToGrid w:val="0"/>
                <w:color w:val="000000"/>
              </w:rPr>
              <w:t>______</w:t>
            </w:r>
          </w:p>
        </w:tc>
      </w:tr>
      <w:tr w:rsidR="00C27FF1" w:rsidRPr="009A5185" w14:paraId="56F55EE4" w14:textId="77777777" w:rsidTr="00C06753">
        <w:trPr>
          <w:trHeight w:val="432"/>
        </w:trPr>
        <w:tc>
          <w:tcPr>
            <w:tcW w:w="3055" w:type="dxa"/>
            <w:vAlign w:val="center"/>
          </w:tcPr>
          <w:p w14:paraId="29FEA949" w14:textId="77777777" w:rsidR="00C27FF1" w:rsidRDefault="00C27FF1" w:rsidP="00C27FF1">
            <w:pPr>
              <w:rPr>
                <w:rFonts w:cs="Arial"/>
                <w:snapToGrid w:val="0"/>
                <w:color w:val="000000"/>
              </w:rPr>
            </w:pPr>
            <w:r>
              <w:rPr>
                <w:rFonts w:cs="Arial"/>
                <w:snapToGrid w:val="0"/>
                <w:color w:val="000000"/>
              </w:rPr>
              <w:t>Non-Hispanic Black</w:t>
            </w:r>
          </w:p>
        </w:tc>
        <w:tc>
          <w:tcPr>
            <w:tcW w:w="3150" w:type="dxa"/>
            <w:vAlign w:val="center"/>
          </w:tcPr>
          <w:p w14:paraId="29B11369" w14:textId="77777777" w:rsidR="00C27FF1" w:rsidRDefault="00C27FF1" w:rsidP="00C27FF1">
            <w:pPr>
              <w:jc w:val="center"/>
              <w:rPr>
                <w:rFonts w:cs="Arial"/>
                <w:iCs/>
                <w:snapToGrid w:val="0"/>
                <w:color w:val="000000"/>
              </w:rPr>
            </w:pPr>
            <w:r w:rsidRPr="00355171">
              <w:rPr>
                <w:rFonts w:cs="Arial"/>
                <w:i/>
                <w:snapToGrid w:val="0"/>
                <w:color w:val="000000"/>
              </w:rPr>
              <w:t>______</w:t>
            </w:r>
          </w:p>
        </w:tc>
        <w:tc>
          <w:tcPr>
            <w:tcW w:w="3342" w:type="dxa"/>
            <w:gridSpan w:val="2"/>
            <w:vAlign w:val="center"/>
          </w:tcPr>
          <w:p w14:paraId="09427E56" w14:textId="77777777" w:rsidR="00C27FF1" w:rsidRDefault="00C27FF1" w:rsidP="00C27FF1">
            <w:pPr>
              <w:jc w:val="center"/>
              <w:rPr>
                <w:rFonts w:cs="Arial"/>
                <w:iCs/>
                <w:snapToGrid w:val="0"/>
                <w:color w:val="000000"/>
              </w:rPr>
            </w:pPr>
            <w:r w:rsidRPr="00355171">
              <w:rPr>
                <w:rFonts w:cs="Arial"/>
                <w:i/>
                <w:snapToGrid w:val="0"/>
                <w:color w:val="000000"/>
              </w:rPr>
              <w:t>______</w:t>
            </w:r>
          </w:p>
        </w:tc>
      </w:tr>
      <w:tr w:rsidR="00C27FF1" w:rsidRPr="009A5185" w14:paraId="4A2B6E9E" w14:textId="77777777" w:rsidTr="00C06753">
        <w:trPr>
          <w:trHeight w:val="432"/>
        </w:trPr>
        <w:tc>
          <w:tcPr>
            <w:tcW w:w="3055" w:type="dxa"/>
            <w:vAlign w:val="center"/>
          </w:tcPr>
          <w:p w14:paraId="1E462CC4" w14:textId="77777777" w:rsidR="00C27FF1" w:rsidRDefault="00C27FF1" w:rsidP="00C27FF1">
            <w:pPr>
              <w:rPr>
                <w:rFonts w:cs="Arial"/>
                <w:snapToGrid w:val="0"/>
                <w:color w:val="000000"/>
              </w:rPr>
            </w:pPr>
            <w:r>
              <w:rPr>
                <w:rFonts w:cs="Arial"/>
                <w:snapToGrid w:val="0"/>
                <w:color w:val="000000"/>
              </w:rPr>
              <w:t>Non-Hispanic American Indian or Alaska Native</w:t>
            </w:r>
          </w:p>
        </w:tc>
        <w:tc>
          <w:tcPr>
            <w:tcW w:w="3150" w:type="dxa"/>
            <w:vAlign w:val="center"/>
          </w:tcPr>
          <w:p w14:paraId="0530302D" w14:textId="77777777" w:rsidR="00C27FF1" w:rsidRDefault="00C27FF1" w:rsidP="00C27FF1">
            <w:pPr>
              <w:jc w:val="center"/>
              <w:rPr>
                <w:rFonts w:cs="Arial"/>
                <w:iCs/>
                <w:snapToGrid w:val="0"/>
                <w:color w:val="000000"/>
              </w:rPr>
            </w:pPr>
            <w:r w:rsidRPr="00355171">
              <w:rPr>
                <w:rFonts w:cs="Arial"/>
                <w:i/>
                <w:snapToGrid w:val="0"/>
                <w:color w:val="000000"/>
              </w:rPr>
              <w:t>______</w:t>
            </w:r>
          </w:p>
        </w:tc>
        <w:tc>
          <w:tcPr>
            <w:tcW w:w="3342" w:type="dxa"/>
            <w:gridSpan w:val="2"/>
            <w:vAlign w:val="center"/>
          </w:tcPr>
          <w:p w14:paraId="24B4E113" w14:textId="77777777" w:rsidR="00C27FF1" w:rsidRDefault="00C27FF1" w:rsidP="00C27FF1">
            <w:pPr>
              <w:jc w:val="center"/>
              <w:rPr>
                <w:rFonts w:cs="Arial"/>
                <w:iCs/>
                <w:snapToGrid w:val="0"/>
                <w:color w:val="000000"/>
              </w:rPr>
            </w:pPr>
            <w:r w:rsidRPr="00355171">
              <w:rPr>
                <w:rFonts w:cs="Arial"/>
                <w:i/>
                <w:snapToGrid w:val="0"/>
                <w:color w:val="000000"/>
              </w:rPr>
              <w:t>______</w:t>
            </w:r>
          </w:p>
        </w:tc>
      </w:tr>
      <w:tr w:rsidR="00C27FF1" w:rsidRPr="009A5185" w14:paraId="6B191C05" w14:textId="77777777" w:rsidTr="00C06753">
        <w:trPr>
          <w:trHeight w:val="432"/>
        </w:trPr>
        <w:tc>
          <w:tcPr>
            <w:tcW w:w="3055" w:type="dxa"/>
            <w:vAlign w:val="center"/>
          </w:tcPr>
          <w:p w14:paraId="7F3F7FA2" w14:textId="77777777" w:rsidR="00C27FF1" w:rsidRDefault="00C27FF1" w:rsidP="00C27FF1">
            <w:pPr>
              <w:rPr>
                <w:rFonts w:cs="Arial"/>
                <w:snapToGrid w:val="0"/>
                <w:color w:val="000000"/>
              </w:rPr>
            </w:pPr>
            <w:r>
              <w:rPr>
                <w:rFonts w:cs="Arial"/>
                <w:snapToGrid w:val="0"/>
                <w:color w:val="000000"/>
              </w:rPr>
              <w:t>Non-Hispanic Asian or Pacific Islander</w:t>
            </w:r>
          </w:p>
        </w:tc>
        <w:tc>
          <w:tcPr>
            <w:tcW w:w="3150" w:type="dxa"/>
            <w:vAlign w:val="center"/>
          </w:tcPr>
          <w:p w14:paraId="42105AB2" w14:textId="77777777" w:rsidR="00C27FF1" w:rsidRDefault="00C27FF1" w:rsidP="00C27FF1">
            <w:pPr>
              <w:jc w:val="center"/>
              <w:rPr>
                <w:rFonts w:cs="Arial"/>
                <w:iCs/>
                <w:snapToGrid w:val="0"/>
                <w:color w:val="000000"/>
              </w:rPr>
            </w:pPr>
            <w:r w:rsidRPr="00355171">
              <w:rPr>
                <w:rFonts w:cs="Arial"/>
                <w:i/>
                <w:snapToGrid w:val="0"/>
                <w:color w:val="000000"/>
              </w:rPr>
              <w:t>______</w:t>
            </w:r>
          </w:p>
        </w:tc>
        <w:tc>
          <w:tcPr>
            <w:tcW w:w="3342" w:type="dxa"/>
            <w:gridSpan w:val="2"/>
            <w:vAlign w:val="center"/>
          </w:tcPr>
          <w:p w14:paraId="0874276C" w14:textId="77777777" w:rsidR="00C27FF1" w:rsidRDefault="00C27FF1" w:rsidP="00C27FF1">
            <w:pPr>
              <w:jc w:val="center"/>
              <w:rPr>
                <w:rFonts w:cs="Arial"/>
                <w:iCs/>
                <w:snapToGrid w:val="0"/>
                <w:color w:val="000000"/>
              </w:rPr>
            </w:pPr>
            <w:r w:rsidRPr="00355171">
              <w:rPr>
                <w:rFonts w:cs="Arial"/>
                <w:i/>
                <w:snapToGrid w:val="0"/>
                <w:color w:val="000000"/>
              </w:rPr>
              <w:t>______</w:t>
            </w:r>
          </w:p>
        </w:tc>
      </w:tr>
      <w:tr w:rsidR="00C27FF1" w:rsidRPr="009A5185" w14:paraId="2653D3A8" w14:textId="77777777" w:rsidTr="00C06753">
        <w:trPr>
          <w:trHeight w:val="432"/>
        </w:trPr>
        <w:tc>
          <w:tcPr>
            <w:tcW w:w="3055" w:type="dxa"/>
            <w:vAlign w:val="center"/>
          </w:tcPr>
          <w:p w14:paraId="3D54D817" w14:textId="77777777" w:rsidR="00C27FF1" w:rsidRDefault="00C27FF1" w:rsidP="00C27FF1">
            <w:pPr>
              <w:rPr>
                <w:rFonts w:cs="Arial"/>
                <w:snapToGrid w:val="0"/>
                <w:color w:val="000000"/>
              </w:rPr>
            </w:pPr>
            <w:r>
              <w:rPr>
                <w:rFonts w:cs="Arial"/>
                <w:snapToGrid w:val="0"/>
                <w:color w:val="000000"/>
              </w:rPr>
              <w:t>Hispanic</w:t>
            </w:r>
          </w:p>
        </w:tc>
        <w:tc>
          <w:tcPr>
            <w:tcW w:w="3150" w:type="dxa"/>
            <w:vAlign w:val="center"/>
          </w:tcPr>
          <w:p w14:paraId="7AF2AFF6" w14:textId="77777777" w:rsidR="00C27FF1" w:rsidRDefault="00C27FF1" w:rsidP="00C27FF1">
            <w:pPr>
              <w:jc w:val="center"/>
              <w:rPr>
                <w:rFonts w:cs="Arial"/>
                <w:iCs/>
                <w:snapToGrid w:val="0"/>
                <w:color w:val="000000"/>
              </w:rPr>
            </w:pPr>
            <w:r w:rsidRPr="00355171">
              <w:rPr>
                <w:rFonts w:cs="Arial"/>
                <w:i/>
                <w:snapToGrid w:val="0"/>
                <w:color w:val="000000"/>
              </w:rPr>
              <w:t>______</w:t>
            </w:r>
          </w:p>
        </w:tc>
        <w:tc>
          <w:tcPr>
            <w:tcW w:w="3342" w:type="dxa"/>
            <w:gridSpan w:val="2"/>
            <w:vAlign w:val="center"/>
          </w:tcPr>
          <w:p w14:paraId="4B5566C1" w14:textId="77777777" w:rsidR="00C27FF1" w:rsidRDefault="00C27FF1" w:rsidP="00C27FF1">
            <w:pPr>
              <w:jc w:val="center"/>
              <w:rPr>
                <w:rFonts w:cs="Arial"/>
                <w:iCs/>
                <w:snapToGrid w:val="0"/>
                <w:color w:val="000000"/>
              </w:rPr>
            </w:pPr>
            <w:r w:rsidRPr="00355171">
              <w:rPr>
                <w:rFonts w:cs="Arial"/>
                <w:i/>
                <w:snapToGrid w:val="0"/>
                <w:color w:val="000000"/>
              </w:rPr>
              <w:t>______</w:t>
            </w:r>
          </w:p>
        </w:tc>
      </w:tr>
      <w:tr w:rsidR="00C27FF1" w:rsidRPr="009A5185" w14:paraId="630B075E" w14:textId="77777777" w:rsidTr="00C06753">
        <w:trPr>
          <w:trHeight w:val="432"/>
        </w:trPr>
        <w:tc>
          <w:tcPr>
            <w:tcW w:w="3055" w:type="dxa"/>
            <w:vAlign w:val="center"/>
          </w:tcPr>
          <w:p w14:paraId="78EB89D4" w14:textId="77777777" w:rsidR="00C27FF1" w:rsidRDefault="00C27FF1" w:rsidP="00C27FF1">
            <w:pPr>
              <w:spacing w:before="120" w:after="120"/>
              <w:rPr>
                <w:rFonts w:cs="Arial"/>
                <w:snapToGrid w:val="0"/>
                <w:color w:val="000000"/>
              </w:rPr>
            </w:pPr>
            <w:r>
              <w:rPr>
                <w:rFonts w:cs="Arial"/>
                <w:snapToGrid w:val="0"/>
                <w:color w:val="000000"/>
              </w:rPr>
              <w:t>Non-Hispanic Other (including two or more races)</w:t>
            </w:r>
          </w:p>
        </w:tc>
        <w:tc>
          <w:tcPr>
            <w:tcW w:w="3150" w:type="dxa"/>
            <w:vAlign w:val="center"/>
          </w:tcPr>
          <w:p w14:paraId="7F1373E3" w14:textId="77777777" w:rsidR="00C27FF1" w:rsidRDefault="00C27FF1" w:rsidP="00C27FF1">
            <w:pPr>
              <w:jc w:val="center"/>
              <w:rPr>
                <w:rFonts w:cs="Arial"/>
                <w:iCs/>
                <w:snapToGrid w:val="0"/>
                <w:color w:val="000000"/>
              </w:rPr>
            </w:pPr>
            <w:r w:rsidRPr="00355171">
              <w:rPr>
                <w:rFonts w:cs="Arial"/>
                <w:i/>
                <w:snapToGrid w:val="0"/>
                <w:color w:val="000000"/>
              </w:rPr>
              <w:t>______</w:t>
            </w:r>
          </w:p>
        </w:tc>
        <w:tc>
          <w:tcPr>
            <w:tcW w:w="3342" w:type="dxa"/>
            <w:gridSpan w:val="2"/>
            <w:vAlign w:val="center"/>
          </w:tcPr>
          <w:p w14:paraId="2851BEA2" w14:textId="77777777" w:rsidR="00C27FF1" w:rsidRDefault="00C27FF1" w:rsidP="00C27FF1">
            <w:pPr>
              <w:jc w:val="center"/>
              <w:rPr>
                <w:rFonts w:cs="Arial"/>
                <w:iCs/>
                <w:snapToGrid w:val="0"/>
                <w:color w:val="000000"/>
              </w:rPr>
            </w:pPr>
            <w:r w:rsidRPr="00355171">
              <w:rPr>
                <w:rFonts w:cs="Arial"/>
                <w:i/>
                <w:snapToGrid w:val="0"/>
                <w:color w:val="000000"/>
              </w:rPr>
              <w:t>______</w:t>
            </w:r>
          </w:p>
        </w:tc>
      </w:tr>
      <w:tr w:rsidR="00C27FF1" w:rsidRPr="009A5185" w14:paraId="6D0073F6" w14:textId="77777777" w:rsidTr="00C06753">
        <w:trPr>
          <w:trHeight w:val="432"/>
        </w:trPr>
        <w:tc>
          <w:tcPr>
            <w:tcW w:w="3055" w:type="dxa"/>
            <w:vAlign w:val="center"/>
          </w:tcPr>
          <w:p w14:paraId="39269C08" w14:textId="77777777" w:rsidR="00C27FF1" w:rsidRDefault="00C27FF1" w:rsidP="00C27FF1">
            <w:pPr>
              <w:rPr>
                <w:rFonts w:cs="Arial"/>
                <w:snapToGrid w:val="0"/>
                <w:color w:val="000000"/>
              </w:rPr>
            </w:pPr>
            <w:r>
              <w:rPr>
                <w:rFonts w:cs="Arial"/>
                <w:snapToGrid w:val="0"/>
                <w:color w:val="000000"/>
              </w:rPr>
              <w:t>Unknown</w:t>
            </w:r>
          </w:p>
        </w:tc>
        <w:tc>
          <w:tcPr>
            <w:tcW w:w="3150" w:type="dxa"/>
            <w:vAlign w:val="center"/>
          </w:tcPr>
          <w:p w14:paraId="193CB48D" w14:textId="77777777" w:rsidR="00C27FF1" w:rsidRDefault="00C27FF1" w:rsidP="00C27FF1">
            <w:pPr>
              <w:jc w:val="center"/>
              <w:rPr>
                <w:rFonts w:cs="Arial"/>
                <w:iCs/>
                <w:snapToGrid w:val="0"/>
                <w:color w:val="000000"/>
              </w:rPr>
            </w:pPr>
            <w:r w:rsidRPr="00355171">
              <w:rPr>
                <w:rFonts w:cs="Arial"/>
                <w:i/>
                <w:snapToGrid w:val="0"/>
                <w:color w:val="000000"/>
              </w:rPr>
              <w:t>______</w:t>
            </w:r>
          </w:p>
        </w:tc>
        <w:tc>
          <w:tcPr>
            <w:tcW w:w="3342" w:type="dxa"/>
            <w:gridSpan w:val="2"/>
            <w:vAlign w:val="center"/>
          </w:tcPr>
          <w:p w14:paraId="48E7504D" w14:textId="77777777" w:rsidR="00C27FF1" w:rsidRDefault="00C27FF1" w:rsidP="00C27FF1">
            <w:pPr>
              <w:jc w:val="center"/>
              <w:rPr>
                <w:rFonts w:cs="Arial"/>
                <w:iCs/>
                <w:snapToGrid w:val="0"/>
                <w:color w:val="000000"/>
              </w:rPr>
            </w:pPr>
            <w:r w:rsidRPr="00355171">
              <w:rPr>
                <w:rFonts w:cs="Arial"/>
                <w:i/>
                <w:snapToGrid w:val="0"/>
                <w:color w:val="000000"/>
              </w:rPr>
              <w:t>______</w:t>
            </w:r>
          </w:p>
        </w:tc>
      </w:tr>
    </w:tbl>
    <w:p w14:paraId="56F4296D" w14:textId="77777777" w:rsidR="00C5119E" w:rsidRPr="009A5185" w:rsidRDefault="00C5119E" w:rsidP="00B86077">
      <w:pPr>
        <w:rPr>
          <w:rFonts w:cs="Arial"/>
          <w:b/>
          <w:snapToGrid w:val="0"/>
          <w:color w:val="000000"/>
        </w:rPr>
      </w:pPr>
    </w:p>
    <w:p w14:paraId="559B8822" w14:textId="77777777" w:rsidR="00035AF9" w:rsidRDefault="00035AF9">
      <w:r>
        <w:br w:type="page"/>
      </w:r>
    </w:p>
    <w:p w14:paraId="17E65389" w14:textId="44766552" w:rsidR="00AA655F" w:rsidRDefault="00306EB2" w:rsidP="00CF5A6E">
      <w:pPr>
        <w:pStyle w:val="Heading2"/>
      </w:pPr>
      <w:bookmarkStart w:id="306" w:name="_Toc225877729"/>
      <w:r w:rsidRPr="009A5185">
        <w:lastRenderedPageBreak/>
        <w:t>4</w:t>
      </w:r>
      <w:r w:rsidR="0016658F">
        <w:t>C</w:t>
      </w:r>
      <w:r w:rsidRPr="009A5185">
        <w:t>: Episiotomy</w:t>
      </w:r>
      <w:bookmarkEnd w:id="306"/>
    </w:p>
    <w:p w14:paraId="68A75FBA" w14:textId="77777777" w:rsidR="00306EB2" w:rsidRDefault="00306EB2">
      <w:pPr>
        <w:rPr>
          <w:rFonts w:cs="Arial"/>
        </w:rPr>
      </w:pPr>
    </w:p>
    <w:p w14:paraId="11636F9F" w14:textId="450FC525" w:rsidR="00474DDE" w:rsidRPr="00FE44CA" w:rsidRDefault="00474DDE" w:rsidP="00474DDE">
      <w:pPr>
        <w:rPr>
          <w:rFonts w:cs="Arial"/>
          <w:snapToGrid w:val="0"/>
        </w:rPr>
      </w:pPr>
      <w:r w:rsidRPr="009A5185">
        <w:rPr>
          <w:rFonts w:cs="Arial"/>
          <w:snapToGrid w:val="0"/>
        </w:rPr>
        <w:t xml:space="preserve">Hospitals that share a </w:t>
      </w:r>
      <w:r>
        <w:rPr>
          <w:rFonts w:cs="Arial"/>
          <w:snapToGrid w:val="0"/>
        </w:rPr>
        <w:t xml:space="preserve">CMS Certification Number </w:t>
      </w:r>
      <w:r w:rsidRPr="009A5185">
        <w:rPr>
          <w:rFonts w:cs="Arial"/>
          <w:snapToGrid w:val="0"/>
        </w:rPr>
        <w:t xml:space="preserve">are required to report by facility. Please carefully review </w:t>
      </w:r>
      <w:hyperlink r:id="rId258" w:history="1">
        <w:r w:rsidRPr="009A5185">
          <w:rPr>
            <w:rStyle w:val="Hyperlink"/>
            <w:rFonts w:cs="Arial"/>
            <w:snapToGrid w:val="0"/>
          </w:rPr>
          <w:t>Leapfrog’s Multi-Campus Reporting Policy</w:t>
        </w:r>
      </w:hyperlink>
      <w:r w:rsidRPr="009A5185">
        <w:rPr>
          <w:rFonts w:cs="Arial"/>
          <w:snapToGrid w:val="0"/>
        </w:rPr>
        <w:t>.</w:t>
      </w:r>
    </w:p>
    <w:p w14:paraId="10EDE47E" w14:textId="77777777" w:rsidR="00474DDE" w:rsidRPr="009A5185" w:rsidRDefault="00474DDE">
      <w:pPr>
        <w:rPr>
          <w:rFonts w:cs="Arial"/>
        </w:rPr>
      </w:pPr>
    </w:p>
    <w:p w14:paraId="427D2948" w14:textId="25C8F1A1" w:rsidR="00BA394C" w:rsidRPr="00764EEA" w:rsidRDefault="00253430" w:rsidP="00BA394C">
      <w:pPr>
        <w:rPr>
          <w:rFonts w:cs="Arial"/>
          <w:bCs/>
          <w:snapToGrid w:val="0"/>
        </w:rPr>
      </w:pPr>
      <w:r w:rsidRPr="00873014">
        <w:rPr>
          <w:rFonts w:cs="Arial"/>
          <w:b/>
          <w:snapToGrid w:val="0"/>
          <w:color w:val="FF0000"/>
        </w:rPr>
        <w:t xml:space="preserve">Important Note: </w:t>
      </w:r>
      <w:r w:rsidR="00BA394C" w:rsidRPr="00764EEA">
        <w:rPr>
          <w:rFonts w:cs="Arial"/>
          <w:bCs/>
          <w:snapToGrid w:val="0"/>
        </w:rPr>
        <w:t xml:space="preserve">Hospitals must use the same 12-month reporting period </w:t>
      </w:r>
      <w:r w:rsidR="00BA394C" w:rsidRPr="00BA394C">
        <w:rPr>
          <w:rFonts w:cs="Arial"/>
          <w:bCs/>
          <w:snapToGrid w:val="0"/>
        </w:rPr>
        <w:t>for all subsections in Section 4: Maternity Care</w:t>
      </w:r>
      <w:r w:rsidR="00BA394C">
        <w:rPr>
          <w:rFonts w:cs="Arial"/>
          <w:bCs/>
          <w:snapToGrid w:val="0"/>
        </w:rPr>
        <w:t xml:space="preserve">, except for Section 4B questions #6-8. </w:t>
      </w:r>
    </w:p>
    <w:p w14:paraId="37804EEE" w14:textId="77777777" w:rsidR="00253430" w:rsidRDefault="00253430" w:rsidP="006B0AE8">
      <w:pPr>
        <w:rPr>
          <w:rFonts w:cs="Arial"/>
          <w:b/>
          <w:snapToGrid w:val="0"/>
        </w:rPr>
      </w:pPr>
    </w:p>
    <w:p w14:paraId="7A1F7F50" w14:textId="5C2EE97F" w:rsidR="006B0AE8" w:rsidRPr="009A5185" w:rsidRDefault="006B0AE8" w:rsidP="006B0AE8">
      <w:pPr>
        <w:rPr>
          <w:rFonts w:cs="Arial"/>
          <w:snapToGrid w:val="0"/>
        </w:rPr>
      </w:pPr>
      <w:r w:rsidRPr="009A5185">
        <w:rPr>
          <w:rFonts w:cs="Arial"/>
          <w:b/>
          <w:snapToGrid w:val="0"/>
        </w:rPr>
        <w:t xml:space="preserve">Specifications: </w:t>
      </w:r>
      <w:r w:rsidRPr="009A5185">
        <w:rPr>
          <w:rFonts w:cs="Arial"/>
          <w:snapToGrid w:val="0"/>
        </w:rPr>
        <w:t xml:space="preserve">See </w:t>
      </w:r>
      <w:hyperlink w:anchor="_Episiotomy_2" w:history="1">
        <w:r w:rsidR="006F29AA">
          <w:rPr>
            <w:rStyle w:val="Hyperlink"/>
            <w:rFonts w:cs="Arial"/>
            <w:b/>
            <w:i/>
            <w:snapToGrid w:val="0"/>
          </w:rPr>
          <w:t>Episiotomy Measure Specifications</w:t>
        </w:r>
      </w:hyperlink>
      <w:r w:rsidRPr="009A5185">
        <w:rPr>
          <w:rFonts w:cs="Arial"/>
          <w:snapToGrid w:val="0"/>
        </w:rPr>
        <w:t xml:space="preserve"> in the Reference Information </w:t>
      </w:r>
      <w:r w:rsidR="008964E1">
        <w:rPr>
          <w:rFonts w:cs="Arial"/>
          <w:snapToGrid w:val="0"/>
        </w:rPr>
        <w:t xml:space="preserve">beginning on page </w:t>
      </w:r>
      <w:r w:rsidR="00957F35">
        <w:rPr>
          <w:rFonts w:cs="Arial"/>
          <w:snapToGrid w:val="0"/>
        </w:rPr>
        <w:t>1</w:t>
      </w:r>
      <w:r w:rsidR="004640AB">
        <w:rPr>
          <w:rFonts w:cs="Arial"/>
          <w:snapToGrid w:val="0"/>
        </w:rPr>
        <w:t>69</w:t>
      </w:r>
      <w:r w:rsidR="00957F35">
        <w:rPr>
          <w:rFonts w:cs="Arial"/>
          <w:snapToGrid w:val="0"/>
        </w:rPr>
        <w:t>.</w:t>
      </w:r>
    </w:p>
    <w:p w14:paraId="2B27AD3F" w14:textId="1434FC4F" w:rsidR="006B0AE8" w:rsidRPr="009A5185" w:rsidRDefault="006B0AE8" w:rsidP="006B0AE8">
      <w:pPr>
        <w:rPr>
          <w:rFonts w:cs="Arial"/>
          <w:snapToGrid w:val="0"/>
        </w:rPr>
      </w:pPr>
    </w:p>
    <w:p w14:paraId="3E464181" w14:textId="60598865" w:rsidR="006B0AE8" w:rsidRDefault="00F028B4">
      <w:pPr>
        <w:rPr>
          <w:rFonts w:cs="Arial"/>
        </w:rPr>
      </w:pPr>
      <w:r w:rsidRPr="00F028B4">
        <w:rPr>
          <w:rFonts w:cs="Arial"/>
          <w:noProof/>
        </w:rPr>
        <mc:AlternateContent>
          <mc:Choice Requires="wps">
            <w:drawing>
              <wp:inline distT="0" distB="0" distL="0" distR="0" wp14:anchorId="65D26B7F" wp14:editId="0899CFFF">
                <wp:extent cx="6042991" cy="1404620"/>
                <wp:effectExtent l="0" t="0" r="15240" b="24765"/>
                <wp:docPr id="33" name="Text Box 33" descr="P6421TB1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991" cy="1404620"/>
                        </a:xfrm>
                        <a:prstGeom prst="rect">
                          <a:avLst/>
                        </a:prstGeom>
                        <a:solidFill>
                          <a:srgbClr val="FFFFFF"/>
                        </a:solidFill>
                        <a:ln w="9525">
                          <a:solidFill>
                            <a:srgbClr val="FF0000"/>
                          </a:solidFill>
                          <a:miter lim="800000"/>
                          <a:headEnd/>
                          <a:tailEnd/>
                        </a:ln>
                      </wps:spPr>
                      <wps:txbx>
                        <w:txbxContent>
                          <w:p w14:paraId="41363927" w14:textId="0D317A91" w:rsidR="00F028B4" w:rsidRPr="009A5185" w:rsidRDefault="00F028B4" w:rsidP="00F028B4">
                            <w:pPr>
                              <w:spacing w:before="40"/>
                              <w:rPr>
                                <w:rFonts w:cs="Arial"/>
                                <w:snapToGrid w:val="0"/>
                              </w:rPr>
                            </w:pPr>
                            <w:r w:rsidRPr="009A5185">
                              <w:rPr>
                                <w:rFonts w:cs="Arial"/>
                                <w:b/>
                                <w:snapToGrid w:val="0"/>
                              </w:rPr>
                              <w:t>Reporting Period:</w:t>
                            </w:r>
                            <w:r w:rsidRPr="009A5185">
                              <w:rPr>
                                <w:rFonts w:cs="Arial"/>
                                <w:snapToGrid w:val="0"/>
                              </w:rPr>
                              <w:t xml:space="preserve"> </w:t>
                            </w:r>
                            <w:r w:rsidRPr="009A5185">
                              <w:rPr>
                                <w:rFonts w:cs="Arial"/>
                                <w:b/>
                                <w:snapToGrid w:val="0"/>
                              </w:rPr>
                              <w:t>12 months</w:t>
                            </w:r>
                          </w:p>
                          <w:p w14:paraId="583B734B" w14:textId="77777777" w:rsidR="00F028B4" w:rsidRPr="009A5185" w:rsidRDefault="00F028B4" w:rsidP="00F028B4">
                            <w:pPr>
                              <w:rPr>
                                <w:rFonts w:cs="Arial"/>
                                <w:snapToGrid w:val="0"/>
                              </w:rPr>
                            </w:pPr>
                            <w:r w:rsidRPr="009A5185">
                              <w:rPr>
                                <w:rFonts w:cs="Arial"/>
                                <w:snapToGrid w:val="0"/>
                              </w:rPr>
                              <w:t>Answer questions #1-3 based on all cases</w:t>
                            </w:r>
                            <w:r>
                              <w:rPr>
                                <w:rFonts w:cs="Arial"/>
                                <w:snapToGrid w:val="0"/>
                              </w:rPr>
                              <w:t>.</w:t>
                            </w:r>
                          </w:p>
                          <w:p w14:paraId="7BC2F430" w14:textId="77777777" w:rsidR="00F028B4" w:rsidRPr="00BE1D22" w:rsidRDefault="00F028B4" w:rsidP="00AD309C">
                            <w:pPr>
                              <w:pStyle w:val="ListParagraph"/>
                              <w:numPr>
                                <w:ilvl w:val="0"/>
                                <w:numId w:val="37"/>
                              </w:numPr>
                              <w:rPr>
                                <w:rFonts w:cs="Arial"/>
                                <w:i/>
                                <w:snapToGrid w:val="0"/>
                              </w:rPr>
                            </w:pPr>
                            <w:r>
                              <w:rPr>
                                <w:rFonts w:cs="Arial"/>
                                <w:iCs/>
                                <w:snapToGrid w:val="0"/>
                              </w:rPr>
                              <w:t>Surveys submitted prior to September 1:</w:t>
                            </w:r>
                          </w:p>
                          <w:p w14:paraId="011EBD84" w14:textId="3DFF8A0F" w:rsidR="00F028B4" w:rsidRPr="009A5185" w:rsidRDefault="00F028B4" w:rsidP="00AD309C">
                            <w:pPr>
                              <w:pStyle w:val="ListParagraph"/>
                              <w:numPr>
                                <w:ilvl w:val="1"/>
                                <w:numId w:val="37"/>
                              </w:numPr>
                              <w:rPr>
                                <w:rFonts w:cs="Arial"/>
                                <w:i/>
                                <w:snapToGrid w:val="0"/>
                              </w:rPr>
                            </w:pPr>
                            <w:r>
                              <w:rPr>
                                <w:rFonts w:cs="Arial"/>
                                <w:iCs/>
                                <w:snapToGrid w:val="0"/>
                              </w:rPr>
                              <w:t>01/01/202</w:t>
                            </w:r>
                            <w:r w:rsidR="001C3E37">
                              <w:rPr>
                                <w:rFonts w:cs="Arial"/>
                                <w:iCs/>
                                <w:snapToGrid w:val="0"/>
                              </w:rPr>
                              <w:t>5</w:t>
                            </w:r>
                            <w:r>
                              <w:rPr>
                                <w:rFonts w:cs="Arial"/>
                                <w:iCs/>
                                <w:snapToGrid w:val="0"/>
                              </w:rPr>
                              <w:t xml:space="preserve"> – 12/31/202</w:t>
                            </w:r>
                            <w:r w:rsidR="001C3E37">
                              <w:rPr>
                                <w:rFonts w:cs="Arial"/>
                                <w:iCs/>
                                <w:snapToGrid w:val="0"/>
                              </w:rPr>
                              <w:t>5</w:t>
                            </w:r>
                          </w:p>
                          <w:p w14:paraId="13592FF9" w14:textId="77777777" w:rsidR="00F028B4" w:rsidRPr="00BE1D22" w:rsidRDefault="00F028B4" w:rsidP="00AD309C">
                            <w:pPr>
                              <w:pStyle w:val="ListParagraph"/>
                              <w:numPr>
                                <w:ilvl w:val="0"/>
                                <w:numId w:val="37"/>
                              </w:numPr>
                              <w:rPr>
                                <w:rFonts w:cs="Arial"/>
                                <w:i/>
                                <w:snapToGrid w:val="0"/>
                              </w:rPr>
                            </w:pPr>
                            <w:r w:rsidRPr="009A5185">
                              <w:rPr>
                                <w:rFonts w:cs="Arial"/>
                                <w:snapToGrid w:val="0"/>
                              </w:rPr>
                              <w:t xml:space="preserve">Surveys (re)submitted on or after September 1: </w:t>
                            </w:r>
                          </w:p>
                          <w:p w14:paraId="5F920DB7" w14:textId="7700B7E2" w:rsidR="00F028B4" w:rsidRPr="00FD4BD9" w:rsidRDefault="00F028B4" w:rsidP="00AD309C">
                            <w:pPr>
                              <w:pStyle w:val="ListParagraph"/>
                              <w:numPr>
                                <w:ilvl w:val="1"/>
                                <w:numId w:val="37"/>
                              </w:numPr>
                              <w:rPr>
                                <w:rFonts w:cs="Arial"/>
                                <w:i/>
                                <w:snapToGrid w:val="0"/>
                              </w:rPr>
                            </w:pPr>
                            <w:r w:rsidRPr="009A5185">
                              <w:rPr>
                                <w:rFonts w:cs="Arial"/>
                                <w:snapToGrid w:val="0"/>
                              </w:rPr>
                              <w:t>07/01/</w:t>
                            </w:r>
                            <w:r>
                              <w:rPr>
                                <w:rFonts w:cs="Arial"/>
                                <w:snapToGrid w:val="0"/>
                              </w:rPr>
                              <w:t>202</w:t>
                            </w:r>
                            <w:r w:rsidR="001C3E37">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1C3E37">
                              <w:rPr>
                                <w:rFonts w:cs="Arial"/>
                                <w:snapToGrid w:val="0"/>
                              </w:rPr>
                              <w:t>6</w:t>
                            </w:r>
                          </w:p>
                          <w:p w14:paraId="01251BE9" w14:textId="77777777" w:rsidR="00F028B4" w:rsidRDefault="00F028B4" w:rsidP="00F028B4">
                            <w:pPr>
                              <w:rPr>
                                <w:rFonts w:cs="Arial"/>
                                <w:i/>
                                <w:snapToGrid w:val="0"/>
                              </w:rPr>
                            </w:pPr>
                          </w:p>
                          <w:p w14:paraId="1FAC8868" w14:textId="353D56A3" w:rsidR="00F028B4" w:rsidRDefault="00F028B4" w:rsidP="00F028B4">
                            <w:r w:rsidRPr="006547C0">
                              <w:rPr>
                                <w:rFonts w:cs="Arial"/>
                                <w:sz w:val="16"/>
                                <w:szCs w:val="16"/>
                              </w:rPr>
                              <w:t xml:space="preserve">Note: As a reminder, the </w:t>
                            </w:r>
                            <w:hyperlink r:id="rId259"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65D26B7F" id="Text Box 33" o:spid="_x0000_s1044" type="#_x0000_t202" alt="P6421TB17#y1" style="width:475.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" strokecolor="red">
                <v:textbox style="mso-fit-shape-to-text:t">
                  <w:txbxContent>
                    <w:p w14:paraId="41363927" w14:textId="0D317A91" w:rsidR="00F028B4" w:rsidRPr="009A5185" w:rsidRDefault="00F028B4" w:rsidP="00F028B4">
                      <w:pPr>
                        <w:spacing w:before="40"/>
                        <w:rPr>
                          <w:rFonts w:cs="Arial"/>
                          <w:snapToGrid w:val="0"/>
                        </w:rPr>
                      </w:pPr>
                      <w:r w:rsidRPr="009A5185">
                        <w:rPr>
                          <w:rFonts w:cs="Arial"/>
                          <w:b/>
                          <w:snapToGrid w:val="0"/>
                        </w:rPr>
                        <w:t>Reporting Period:</w:t>
                      </w:r>
                      <w:r w:rsidRPr="009A5185">
                        <w:rPr>
                          <w:rFonts w:cs="Arial"/>
                          <w:snapToGrid w:val="0"/>
                        </w:rPr>
                        <w:t xml:space="preserve"> </w:t>
                      </w:r>
                      <w:r w:rsidRPr="009A5185">
                        <w:rPr>
                          <w:rFonts w:cs="Arial"/>
                          <w:b/>
                          <w:snapToGrid w:val="0"/>
                        </w:rPr>
                        <w:t>12 months</w:t>
                      </w:r>
                    </w:p>
                    <w:p w14:paraId="583B734B" w14:textId="77777777" w:rsidR="00F028B4" w:rsidRPr="009A5185" w:rsidRDefault="00F028B4" w:rsidP="00F028B4">
                      <w:pPr>
                        <w:rPr>
                          <w:rFonts w:cs="Arial"/>
                          <w:snapToGrid w:val="0"/>
                        </w:rPr>
                      </w:pPr>
                      <w:r w:rsidRPr="009A5185">
                        <w:rPr>
                          <w:rFonts w:cs="Arial"/>
                          <w:snapToGrid w:val="0"/>
                        </w:rPr>
                        <w:t>Answer questions #1-3 based on all cases</w:t>
                      </w:r>
                      <w:r>
                        <w:rPr>
                          <w:rFonts w:cs="Arial"/>
                          <w:snapToGrid w:val="0"/>
                        </w:rPr>
                        <w:t>.</w:t>
                      </w:r>
                    </w:p>
                    <w:p w14:paraId="7BC2F430" w14:textId="77777777" w:rsidR="00F028B4" w:rsidRPr="00BE1D22" w:rsidRDefault="00F028B4" w:rsidP="00AD309C">
                      <w:pPr>
                        <w:pStyle w:val="ListParagraph"/>
                        <w:numPr>
                          <w:ilvl w:val="0"/>
                          <w:numId w:val="37"/>
                        </w:numPr>
                        <w:rPr>
                          <w:rFonts w:cs="Arial"/>
                          <w:i/>
                          <w:snapToGrid w:val="0"/>
                        </w:rPr>
                      </w:pPr>
                      <w:r>
                        <w:rPr>
                          <w:rFonts w:cs="Arial"/>
                          <w:iCs/>
                          <w:snapToGrid w:val="0"/>
                        </w:rPr>
                        <w:t>Surveys submitted prior to September 1:</w:t>
                      </w:r>
                    </w:p>
                    <w:p w14:paraId="011EBD84" w14:textId="3DFF8A0F" w:rsidR="00F028B4" w:rsidRPr="009A5185" w:rsidRDefault="00F028B4" w:rsidP="00AD309C">
                      <w:pPr>
                        <w:pStyle w:val="ListParagraph"/>
                        <w:numPr>
                          <w:ilvl w:val="1"/>
                          <w:numId w:val="37"/>
                        </w:numPr>
                        <w:rPr>
                          <w:rFonts w:cs="Arial"/>
                          <w:i/>
                          <w:snapToGrid w:val="0"/>
                        </w:rPr>
                      </w:pPr>
                      <w:r>
                        <w:rPr>
                          <w:rFonts w:cs="Arial"/>
                          <w:iCs/>
                          <w:snapToGrid w:val="0"/>
                        </w:rPr>
                        <w:t>01/01/202</w:t>
                      </w:r>
                      <w:r w:rsidR="001C3E37">
                        <w:rPr>
                          <w:rFonts w:cs="Arial"/>
                          <w:iCs/>
                          <w:snapToGrid w:val="0"/>
                        </w:rPr>
                        <w:t>5</w:t>
                      </w:r>
                      <w:r>
                        <w:rPr>
                          <w:rFonts w:cs="Arial"/>
                          <w:iCs/>
                          <w:snapToGrid w:val="0"/>
                        </w:rPr>
                        <w:t xml:space="preserve"> – 12/31/202</w:t>
                      </w:r>
                      <w:r w:rsidR="001C3E37">
                        <w:rPr>
                          <w:rFonts w:cs="Arial"/>
                          <w:iCs/>
                          <w:snapToGrid w:val="0"/>
                        </w:rPr>
                        <w:t>5</w:t>
                      </w:r>
                    </w:p>
                    <w:p w14:paraId="13592FF9" w14:textId="77777777" w:rsidR="00F028B4" w:rsidRPr="00BE1D22" w:rsidRDefault="00F028B4" w:rsidP="00AD309C">
                      <w:pPr>
                        <w:pStyle w:val="ListParagraph"/>
                        <w:numPr>
                          <w:ilvl w:val="0"/>
                          <w:numId w:val="37"/>
                        </w:numPr>
                        <w:rPr>
                          <w:rFonts w:cs="Arial"/>
                          <w:i/>
                          <w:snapToGrid w:val="0"/>
                        </w:rPr>
                      </w:pPr>
                      <w:r w:rsidRPr="009A5185">
                        <w:rPr>
                          <w:rFonts w:cs="Arial"/>
                          <w:snapToGrid w:val="0"/>
                        </w:rPr>
                        <w:t xml:space="preserve">Surveys (re)submitted on or after September 1: </w:t>
                      </w:r>
                    </w:p>
                    <w:p w14:paraId="5F920DB7" w14:textId="7700B7E2" w:rsidR="00F028B4" w:rsidRPr="00FD4BD9" w:rsidRDefault="00F028B4" w:rsidP="00AD309C">
                      <w:pPr>
                        <w:pStyle w:val="ListParagraph"/>
                        <w:numPr>
                          <w:ilvl w:val="1"/>
                          <w:numId w:val="37"/>
                        </w:numPr>
                        <w:rPr>
                          <w:rFonts w:cs="Arial"/>
                          <w:i/>
                          <w:snapToGrid w:val="0"/>
                        </w:rPr>
                      </w:pPr>
                      <w:r w:rsidRPr="009A5185">
                        <w:rPr>
                          <w:rFonts w:cs="Arial"/>
                          <w:snapToGrid w:val="0"/>
                        </w:rPr>
                        <w:t>07/01/</w:t>
                      </w:r>
                      <w:r>
                        <w:rPr>
                          <w:rFonts w:cs="Arial"/>
                          <w:snapToGrid w:val="0"/>
                        </w:rPr>
                        <w:t>202</w:t>
                      </w:r>
                      <w:r w:rsidR="001C3E37">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1C3E37">
                        <w:rPr>
                          <w:rFonts w:cs="Arial"/>
                          <w:snapToGrid w:val="0"/>
                        </w:rPr>
                        <w:t>6</w:t>
                      </w:r>
                    </w:p>
                    <w:p w14:paraId="01251BE9" w14:textId="77777777" w:rsidR="00F028B4" w:rsidRDefault="00F028B4" w:rsidP="00F028B4">
                      <w:pPr>
                        <w:rPr>
                          <w:rFonts w:cs="Arial"/>
                          <w:i/>
                          <w:snapToGrid w:val="0"/>
                        </w:rPr>
                      </w:pPr>
                    </w:p>
                    <w:p w14:paraId="1FAC8868" w14:textId="353D56A3" w:rsidR="00F028B4" w:rsidRDefault="00F028B4" w:rsidP="00F028B4">
                      <w:r w:rsidRPr="006547C0">
                        <w:rPr>
                          <w:rFonts w:cs="Arial"/>
                          <w:sz w:val="16"/>
                          <w:szCs w:val="16"/>
                        </w:rPr>
                        <w:t xml:space="preserve">Note: As a reminder, the </w:t>
                      </w:r>
                      <w:hyperlink r:id="rId260"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2AB150FE" w14:textId="77777777" w:rsidR="00F028B4" w:rsidRDefault="00F028B4">
      <w:pPr>
        <w:rPr>
          <w:rFonts w:cs="Arial"/>
        </w:rPr>
      </w:pPr>
    </w:p>
    <w:tbl>
      <w:tblPr>
        <w:tblStyle w:val="TableGrid"/>
        <w:tblW w:w="9547" w:type="dxa"/>
        <w:tblLook w:val="04A0" w:firstRow="1" w:lastRow="0" w:firstColumn="1" w:lastColumn="0" w:noHBand="0" w:noVBand="1"/>
      </w:tblPr>
      <w:tblGrid>
        <w:gridCol w:w="6638"/>
        <w:gridCol w:w="2909"/>
      </w:tblGrid>
      <w:tr w:rsidR="006B0AE8" w:rsidRPr="009A5185" w14:paraId="5E41C123" w14:textId="77777777" w:rsidTr="0004050A">
        <w:trPr>
          <w:trHeight w:val="576"/>
        </w:trPr>
        <w:tc>
          <w:tcPr>
            <w:tcW w:w="6638" w:type="dxa"/>
            <w:vAlign w:val="center"/>
          </w:tcPr>
          <w:p w14:paraId="284BCFC0" w14:textId="19D72EBA" w:rsidR="006B0AE8" w:rsidRPr="009A5185" w:rsidRDefault="006B0AE8" w:rsidP="00AD309C">
            <w:pPr>
              <w:pStyle w:val="ListParagraph"/>
              <w:numPr>
                <w:ilvl w:val="0"/>
                <w:numId w:val="27"/>
              </w:numPr>
              <w:rPr>
                <w:rFonts w:cs="Arial"/>
                <w:snapToGrid w:val="0"/>
                <w:color w:val="000000"/>
              </w:rPr>
            </w:pPr>
            <w:r w:rsidRPr="009A5185">
              <w:rPr>
                <w:rFonts w:cs="Arial"/>
                <w:snapToGrid w:val="0"/>
                <w:color w:val="000000"/>
              </w:rPr>
              <w:t>12-month reporting period used:</w:t>
            </w:r>
          </w:p>
        </w:tc>
        <w:tc>
          <w:tcPr>
            <w:tcW w:w="2909" w:type="dxa"/>
            <w:vAlign w:val="center"/>
          </w:tcPr>
          <w:p w14:paraId="5658EE87" w14:textId="6ED7E16D" w:rsidR="00BE1D22" w:rsidRPr="00C06753" w:rsidRDefault="00BE1D22" w:rsidP="00AD309C">
            <w:pPr>
              <w:pStyle w:val="ListParagraph"/>
              <w:numPr>
                <w:ilvl w:val="0"/>
                <w:numId w:val="290"/>
              </w:numPr>
              <w:rPr>
                <w:rFonts w:cs="Arial"/>
                <w:iCs/>
              </w:rPr>
            </w:pPr>
            <w:r w:rsidRPr="00C8246A">
              <w:rPr>
                <w:rFonts w:cs="Arial"/>
                <w:iCs/>
              </w:rPr>
              <w:t>01/01/202</w:t>
            </w:r>
            <w:r w:rsidR="008E3EBE">
              <w:rPr>
                <w:rFonts w:cs="Arial"/>
                <w:iCs/>
              </w:rPr>
              <w:t>5</w:t>
            </w:r>
            <w:r w:rsidRPr="00C06753">
              <w:rPr>
                <w:rFonts w:cs="Arial"/>
                <w:iCs/>
              </w:rPr>
              <w:t xml:space="preserve"> </w:t>
            </w:r>
            <w:r w:rsidR="00080756" w:rsidRPr="00C06753">
              <w:rPr>
                <w:rFonts w:cs="Arial"/>
                <w:iCs/>
              </w:rPr>
              <w:t>–</w:t>
            </w:r>
            <w:r w:rsidRPr="00C06753">
              <w:rPr>
                <w:rFonts w:cs="Arial"/>
                <w:iCs/>
              </w:rPr>
              <w:t xml:space="preserve"> 12/31/202</w:t>
            </w:r>
            <w:r w:rsidR="008E3EBE">
              <w:rPr>
                <w:rFonts w:cs="Arial"/>
                <w:iCs/>
              </w:rPr>
              <w:t>5</w:t>
            </w:r>
          </w:p>
          <w:p w14:paraId="30E1B74D" w14:textId="15B523BE" w:rsidR="006B0AE8" w:rsidRPr="007174DE" w:rsidRDefault="006B0AE8" w:rsidP="00AD309C">
            <w:pPr>
              <w:pStyle w:val="ListParagraph"/>
              <w:numPr>
                <w:ilvl w:val="0"/>
                <w:numId w:val="290"/>
              </w:numPr>
              <w:rPr>
                <w:rFonts w:cs="Arial"/>
                <w:i/>
              </w:rPr>
            </w:pPr>
            <w:r w:rsidRPr="00C06753">
              <w:rPr>
                <w:rFonts w:cs="Arial"/>
                <w:iCs/>
              </w:rPr>
              <w:t>07/01/</w:t>
            </w:r>
            <w:r w:rsidR="00BE1D22" w:rsidRPr="00C06753">
              <w:rPr>
                <w:rFonts w:cs="Arial"/>
                <w:iCs/>
              </w:rPr>
              <w:t>202</w:t>
            </w:r>
            <w:r w:rsidR="008E3EBE">
              <w:rPr>
                <w:rFonts w:cs="Arial"/>
                <w:iCs/>
              </w:rPr>
              <w:t>5</w:t>
            </w:r>
            <w:r w:rsidRPr="00C06753">
              <w:rPr>
                <w:rFonts w:cs="Arial"/>
                <w:iCs/>
              </w:rPr>
              <w:t xml:space="preserve"> </w:t>
            </w:r>
            <w:r w:rsidR="00080756" w:rsidRPr="00C06753">
              <w:rPr>
                <w:rFonts w:cs="Arial"/>
                <w:iCs/>
              </w:rPr>
              <w:t>–</w:t>
            </w:r>
            <w:r w:rsidRPr="00C06753">
              <w:rPr>
                <w:rFonts w:cs="Arial"/>
                <w:iCs/>
              </w:rPr>
              <w:t xml:space="preserve"> 06/30/</w:t>
            </w:r>
            <w:r w:rsidR="00BE1D22" w:rsidRPr="00C06753">
              <w:rPr>
                <w:rFonts w:cs="Arial"/>
                <w:iCs/>
              </w:rPr>
              <w:t>202</w:t>
            </w:r>
            <w:r w:rsidR="008E3EBE">
              <w:rPr>
                <w:rFonts w:cs="Arial"/>
                <w:iCs/>
              </w:rPr>
              <w:t>6</w:t>
            </w:r>
          </w:p>
        </w:tc>
      </w:tr>
      <w:tr w:rsidR="006B0AE8" w:rsidRPr="009A5185" w14:paraId="03446D45" w14:textId="77777777" w:rsidTr="00DB5C83">
        <w:trPr>
          <w:trHeight w:hRule="exact" w:val="1477"/>
        </w:trPr>
        <w:tc>
          <w:tcPr>
            <w:tcW w:w="6638" w:type="dxa"/>
          </w:tcPr>
          <w:p w14:paraId="1B9B5673" w14:textId="6B220F0B" w:rsidR="006B0AE8" w:rsidRDefault="006B0AE8" w:rsidP="00AD309C">
            <w:pPr>
              <w:pStyle w:val="ListParagraph"/>
              <w:numPr>
                <w:ilvl w:val="0"/>
                <w:numId w:val="59"/>
              </w:numPr>
              <w:autoSpaceDE w:val="0"/>
              <w:autoSpaceDN w:val="0"/>
              <w:adjustRightInd w:val="0"/>
              <w:rPr>
                <w:rFonts w:cs="Arial"/>
              </w:rPr>
            </w:pPr>
            <w:r w:rsidRPr="009A5185">
              <w:rPr>
                <w:rFonts w:cs="Arial"/>
              </w:rPr>
              <w:t xml:space="preserve">Total number of vaginal deliveries, with </w:t>
            </w:r>
            <w:r w:rsidRPr="009A5185">
              <w:rPr>
                <w:rFonts w:cs="Arial"/>
                <w:b/>
              </w:rPr>
              <w:t>Excluded Populations</w:t>
            </w:r>
            <w:r w:rsidRPr="009A5185">
              <w:rPr>
                <w:rFonts w:cs="Arial"/>
              </w:rPr>
              <w:t xml:space="preserve"> removed</w:t>
            </w:r>
            <w:r w:rsidR="0029572E">
              <w:rPr>
                <w:rFonts w:cs="Arial"/>
              </w:rPr>
              <w:t>:</w:t>
            </w:r>
          </w:p>
          <w:p w14:paraId="3150417C" w14:textId="77777777" w:rsidR="00DB5C83" w:rsidRDefault="00DB5C83" w:rsidP="00DB5C83">
            <w:pPr>
              <w:pStyle w:val="ListParagraph"/>
              <w:autoSpaceDE w:val="0"/>
              <w:autoSpaceDN w:val="0"/>
              <w:adjustRightInd w:val="0"/>
              <w:ind w:left="360"/>
              <w:rPr>
                <w:rFonts w:cs="Arial"/>
                <w:i/>
              </w:rPr>
            </w:pPr>
          </w:p>
          <w:p w14:paraId="6EED055D" w14:textId="47ED5DC5" w:rsidR="00DB5C83" w:rsidRPr="00DB5C83" w:rsidRDefault="00DB5C83" w:rsidP="00DB5C83">
            <w:pPr>
              <w:pStyle w:val="ListParagraph"/>
              <w:autoSpaceDE w:val="0"/>
              <w:autoSpaceDN w:val="0"/>
              <w:adjustRightInd w:val="0"/>
              <w:ind w:left="360"/>
              <w:rPr>
                <w:rFonts w:cs="Arial"/>
                <w:i/>
              </w:rPr>
            </w:pPr>
            <w:r>
              <w:rPr>
                <w:rFonts w:cs="Arial"/>
                <w:i/>
              </w:rPr>
              <w:t>If fewer than 10 cases met the criteria for the denominator, skip question #3 and continue to the next subsection. The hospital will be scored as “Unable to Calculate Score.”</w:t>
            </w:r>
          </w:p>
        </w:tc>
        <w:tc>
          <w:tcPr>
            <w:tcW w:w="2909" w:type="dxa"/>
            <w:vAlign w:val="center"/>
          </w:tcPr>
          <w:p w14:paraId="15F3C064" w14:textId="77777777" w:rsidR="006B0AE8" w:rsidRPr="00A31567" w:rsidRDefault="006B0AE8" w:rsidP="00840986">
            <w:pPr>
              <w:jc w:val="center"/>
              <w:rPr>
                <w:rFonts w:cs="Arial"/>
                <w:bCs/>
                <w:snapToGrid w:val="0"/>
                <w:color w:val="000000"/>
              </w:rPr>
            </w:pPr>
          </w:p>
          <w:p w14:paraId="43287CB1" w14:textId="77777777" w:rsidR="006B0AE8" w:rsidRPr="00A31567" w:rsidRDefault="006B0AE8" w:rsidP="00840986">
            <w:pPr>
              <w:jc w:val="center"/>
              <w:rPr>
                <w:rFonts w:cs="Arial"/>
                <w:bCs/>
                <w:snapToGrid w:val="0"/>
                <w:color w:val="000000"/>
              </w:rPr>
            </w:pPr>
            <w:r w:rsidRPr="00A31567">
              <w:rPr>
                <w:rFonts w:cs="Arial"/>
                <w:bCs/>
                <w:snapToGrid w:val="0"/>
                <w:color w:val="000000"/>
              </w:rPr>
              <w:t>______</w:t>
            </w:r>
          </w:p>
        </w:tc>
      </w:tr>
      <w:tr w:rsidR="006B0AE8" w:rsidRPr="009A5185" w14:paraId="324BD441" w14:textId="77777777" w:rsidTr="006B0AE8">
        <w:trPr>
          <w:trHeight w:hRule="exact" w:val="605"/>
        </w:trPr>
        <w:tc>
          <w:tcPr>
            <w:tcW w:w="6638" w:type="dxa"/>
            <w:vAlign w:val="center"/>
          </w:tcPr>
          <w:p w14:paraId="732090CF" w14:textId="14A7F8C2" w:rsidR="006B0AE8" w:rsidRPr="009A5185" w:rsidRDefault="006B0AE8" w:rsidP="00AD309C">
            <w:pPr>
              <w:pStyle w:val="ListParagraph"/>
              <w:numPr>
                <w:ilvl w:val="0"/>
                <w:numId w:val="60"/>
              </w:numPr>
              <w:rPr>
                <w:rFonts w:cs="Arial"/>
                <w:snapToGrid w:val="0"/>
                <w:color w:val="000000"/>
              </w:rPr>
            </w:pPr>
            <w:r w:rsidRPr="009A5185">
              <w:rPr>
                <w:rFonts w:cs="Arial"/>
                <w:snapToGrid w:val="0"/>
                <w:color w:val="000000"/>
              </w:rPr>
              <w:t>Total number of mothers indicated in question #2 that had an episiotomy procedure performed</w:t>
            </w:r>
            <w:r w:rsidR="0029572E">
              <w:rPr>
                <w:rFonts w:cs="Arial"/>
                <w:snapToGrid w:val="0"/>
                <w:color w:val="000000"/>
              </w:rPr>
              <w:t>:</w:t>
            </w:r>
          </w:p>
        </w:tc>
        <w:tc>
          <w:tcPr>
            <w:tcW w:w="2909" w:type="dxa"/>
            <w:vAlign w:val="center"/>
          </w:tcPr>
          <w:p w14:paraId="43603D80" w14:textId="77777777" w:rsidR="006B0AE8" w:rsidRPr="00A31567" w:rsidRDefault="006B0AE8" w:rsidP="00840986">
            <w:pPr>
              <w:jc w:val="center"/>
              <w:rPr>
                <w:rFonts w:cs="Arial"/>
                <w:bCs/>
                <w:snapToGrid w:val="0"/>
                <w:color w:val="000000"/>
              </w:rPr>
            </w:pPr>
          </w:p>
          <w:p w14:paraId="5E24426C" w14:textId="77777777" w:rsidR="006B0AE8" w:rsidRPr="00A31567" w:rsidRDefault="006B0AE8" w:rsidP="00840986">
            <w:pPr>
              <w:jc w:val="center"/>
              <w:rPr>
                <w:rFonts w:cs="Arial"/>
                <w:bCs/>
                <w:snapToGrid w:val="0"/>
                <w:color w:val="000000"/>
              </w:rPr>
            </w:pPr>
            <w:r w:rsidRPr="00A31567">
              <w:rPr>
                <w:rFonts w:cs="Arial"/>
                <w:bCs/>
                <w:snapToGrid w:val="0"/>
                <w:color w:val="000000"/>
              </w:rPr>
              <w:t>______</w:t>
            </w:r>
          </w:p>
          <w:p w14:paraId="30150ACB" w14:textId="77777777" w:rsidR="006B0AE8" w:rsidRPr="00A31567" w:rsidRDefault="006B0AE8" w:rsidP="00840986">
            <w:pPr>
              <w:rPr>
                <w:rFonts w:cs="Arial"/>
                <w:bCs/>
                <w:snapToGrid w:val="0"/>
                <w:color w:val="000000"/>
              </w:rPr>
            </w:pPr>
          </w:p>
        </w:tc>
      </w:tr>
    </w:tbl>
    <w:p w14:paraId="221A9888" w14:textId="77777777" w:rsidR="00AA655F" w:rsidRPr="009A5185" w:rsidRDefault="00AA655F">
      <w:pPr>
        <w:rPr>
          <w:rFonts w:cs="Arial"/>
        </w:rPr>
      </w:pPr>
      <w:r w:rsidRPr="009A5185">
        <w:rPr>
          <w:rFonts w:cs="Arial"/>
        </w:rPr>
        <w:br w:type="page"/>
      </w:r>
    </w:p>
    <w:p w14:paraId="715A67DA" w14:textId="77777777" w:rsidR="006E50EF" w:rsidRPr="009A5185" w:rsidRDefault="006E50EF">
      <w:pPr>
        <w:rPr>
          <w:rFonts w:cs="Arial"/>
        </w:rPr>
      </w:pPr>
    </w:p>
    <w:p w14:paraId="40090D56" w14:textId="1DFD1F25" w:rsidR="00A50080" w:rsidRDefault="00A50080" w:rsidP="00CF5A6E">
      <w:pPr>
        <w:pStyle w:val="Heading2"/>
      </w:pPr>
      <w:bookmarkStart w:id="307" w:name="_Toc225877730"/>
      <w:r w:rsidRPr="009A5185">
        <w:t>4</w:t>
      </w:r>
      <w:r w:rsidR="0016658F">
        <w:t>D</w:t>
      </w:r>
      <w:r w:rsidRPr="009A5185">
        <w:t>: Process Measures of Quality</w:t>
      </w:r>
      <w:bookmarkEnd w:id="307"/>
    </w:p>
    <w:p w14:paraId="66DA92E2" w14:textId="77777777" w:rsidR="00A50080" w:rsidRDefault="00A50080" w:rsidP="00474DDE">
      <w:pPr>
        <w:rPr>
          <w:rFonts w:cs="Arial"/>
          <w:snapToGrid w:val="0"/>
        </w:rPr>
      </w:pPr>
    </w:p>
    <w:p w14:paraId="22512DAF" w14:textId="2E73A63E" w:rsidR="00474DDE" w:rsidRPr="00FE44CA" w:rsidRDefault="00474DDE" w:rsidP="00474DDE">
      <w:pPr>
        <w:rPr>
          <w:rFonts w:cs="Arial"/>
          <w:snapToGrid w:val="0"/>
        </w:rPr>
      </w:pPr>
      <w:r w:rsidRPr="009A5185">
        <w:rPr>
          <w:rFonts w:cs="Arial"/>
          <w:snapToGrid w:val="0"/>
        </w:rPr>
        <w:t xml:space="preserve">Hospitals that share a </w:t>
      </w:r>
      <w:r>
        <w:rPr>
          <w:rFonts w:cs="Arial"/>
          <w:snapToGrid w:val="0"/>
        </w:rPr>
        <w:t xml:space="preserve">CMS Certification Number </w:t>
      </w:r>
      <w:r w:rsidRPr="009A5185">
        <w:rPr>
          <w:rFonts w:cs="Arial"/>
          <w:snapToGrid w:val="0"/>
        </w:rPr>
        <w:t xml:space="preserve">are required to report by facility. Please carefully review </w:t>
      </w:r>
      <w:hyperlink r:id="rId261" w:history="1">
        <w:r w:rsidRPr="009A5185">
          <w:rPr>
            <w:rStyle w:val="Hyperlink"/>
            <w:rFonts w:cs="Arial"/>
            <w:snapToGrid w:val="0"/>
          </w:rPr>
          <w:t>Leapfrog’s Multi-Campus Reporting Policy</w:t>
        </w:r>
      </w:hyperlink>
      <w:r w:rsidRPr="009A5185">
        <w:rPr>
          <w:rFonts w:cs="Arial"/>
          <w:snapToGrid w:val="0"/>
        </w:rPr>
        <w:t>.</w:t>
      </w:r>
    </w:p>
    <w:p w14:paraId="6BF7B1D3" w14:textId="77777777" w:rsidR="0062793D" w:rsidRPr="009A5185" w:rsidRDefault="0062793D" w:rsidP="00E91B17"/>
    <w:p w14:paraId="045ED916" w14:textId="0C3A6BE4" w:rsidR="00BA394C" w:rsidRPr="00764EEA" w:rsidRDefault="00253430" w:rsidP="00BA394C">
      <w:pPr>
        <w:rPr>
          <w:rFonts w:cs="Arial"/>
          <w:bCs/>
          <w:snapToGrid w:val="0"/>
        </w:rPr>
      </w:pPr>
      <w:r w:rsidRPr="00873014">
        <w:rPr>
          <w:rFonts w:cs="Arial"/>
          <w:b/>
          <w:snapToGrid w:val="0"/>
          <w:color w:val="FF0000"/>
        </w:rPr>
        <w:t xml:space="preserve">Important Note: </w:t>
      </w:r>
      <w:r w:rsidR="00BA394C" w:rsidRPr="00764EEA">
        <w:rPr>
          <w:rFonts w:cs="Arial"/>
          <w:bCs/>
          <w:snapToGrid w:val="0"/>
        </w:rPr>
        <w:t xml:space="preserve">Hospitals must use the same 12-month reporting period </w:t>
      </w:r>
      <w:r w:rsidR="00BA394C" w:rsidRPr="00BA394C">
        <w:rPr>
          <w:rFonts w:cs="Arial"/>
          <w:bCs/>
          <w:snapToGrid w:val="0"/>
        </w:rPr>
        <w:t>for all subsections in Section 4: Maternity Care</w:t>
      </w:r>
      <w:r w:rsidR="00BA394C">
        <w:rPr>
          <w:rFonts w:cs="Arial"/>
          <w:bCs/>
          <w:snapToGrid w:val="0"/>
        </w:rPr>
        <w:t xml:space="preserve">, except for Section 4B questions #6-8. </w:t>
      </w:r>
    </w:p>
    <w:p w14:paraId="1ADE9C66" w14:textId="77777777" w:rsidR="00253430" w:rsidRDefault="00253430" w:rsidP="001F43CC">
      <w:pPr>
        <w:rPr>
          <w:rFonts w:cs="Arial"/>
          <w:b/>
          <w:snapToGrid w:val="0"/>
        </w:rPr>
      </w:pPr>
    </w:p>
    <w:p w14:paraId="0110830A" w14:textId="533D0833" w:rsidR="00A349B7" w:rsidRDefault="001F43CC" w:rsidP="001F43CC">
      <w:pPr>
        <w:rPr>
          <w:rFonts w:cs="Arial"/>
          <w:snapToGrid w:val="0"/>
        </w:rPr>
      </w:pPr>
      <w:r w:rsidRPr="009A5185">
        <w:rPr>
          <w:rFonts w:cs="Arial"/>
          <w:b/>
          <w:snapToGrid w:val="0"/>
        </w:rPr>
        <w:t xml:space="preserve">Specifications: </w:t>
      </w:r>
      <w:r w:rsidRPr="009A5185">
        <w:rPr>
          <w:rFonts w:cs="Arial"/>
          <w:snapToGrid w:val="0"/>
        </w:rPr>
        <w:t xml:space="preserve">See </w:t>
      </w:r>
      <w:hyperlink w:anchor="MatProcessSpecs" w:history="1">
        <w:r w:rsidR="002D666C">
          <w:rPr>
            <w:rStyle w:val="Hyperlink"/>
            <w:rFonts w:cs="Arial"/>
            <w:b/>
            <w:i/>
            <w:snapToGrid w:val="0"/>
          </w:rPr>
          <w:t>Process Measures of Quality Measure Specifications</w:t>
        </w:r>
      </w:hyperlink>
      <w:r w:rsidRPr="009A5185">
        <w:rPr>
          <w:rFonts w:cs="Arial"/>
          <w:snapToGrid w:val="0"/>
        </w:rPr>
        <w:t xml:space="preserve"> in the Reference Information </w:t>
      </w:r>
      <w:r w:rsidR="008964E1">
        <w:rPr>
          <w:rFonts w:cs="Arial"/>
          <w:snapToGrid w:val="0"/>
        </w:rPr>
        <w:t xml:space="preserve">beginning on page </w:t>
      </w:r>
      <w:r w:rsidR="008E6BED">
        <w:rPr>
          <w:rFonts w:cs="Arial"/>
          <w:snapToGrid w:val="0"/>
        </w:rPr>
        <w:t>17</w:t>
      </w:r>
      <w:r w:rsidR="00353071">
        <w:rPr>
          <w:rFonts w:cs="Arial"/>
          <w:snapToGrid w:val="0"/>
        </w:rPr>
        <w:t>0</w:t>
      </w:r>
      <w:r w:rsidR="004640AB">
        <w:rPr>
          <w:rFonts w:cs="Arial"/>
          <w:snapToGrid w:val="0"/>
        </w:rPr>
        <w:t>.</w:t>
      </w:r>
    </w:p>
    <w:p w14:paraId="6FCCF421" w14:textId="77777777" w:rsidR="008E6BED" w:rsidRPr="009A5185" w:rsidRDefault="008E6BED" w:rsidP="001F43CC">
      <w:pPr>
        <w:rPr>
          <w:rFonts w:cs="Arial"/>
          <w:snapToGrid w:val="0"/>
        </w:rPr>
      </w:pPr>
    </w:p>
    <w:p w14:paraId="3A127616" w14:textId="5F8D110A" w:rsidR="001F43CC" w:rsidRPr="009A5185" w:rsidRDefault="00A349B7" w:rsidP="001F43CC">
      <w:pPr>
        <w:rPr>
          <w:rFonts w:cs="Arial"/>
          <w:b/>
          <w:snapToGrid w:val="0"/>
        </w:rPr>
      </w:pPr>
      <w:r w:rsidRPr="00A349B7">
        <w:rPr>
          <w:rFonts w:cs="Arial"/>
          <w:b/>
          <w:noProof/>
          <w:snapToGrid w:val="0"/>
        </w:rPr>
        <mc:AlternateContent>
          <mc:Choice Requires="wps">
            <w:drawing>
              <wp:inline distT="0" distB="0" distL="0" distR="0" wp14:anchorId="41D38AE5" wp14:editId="4CDF7C51">
                <wp:extent cx="6035040" cy="1404620"/>
                <wp:effectExtent l="0" t="0" r="22860" b="24765"/>
                <wp:docPr id="36" name="Text Box 36" descr="P6448TB1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404620"/>
                        </a:xfrm>
                        <a:prstGeom prst="rect">
                          <a:avLst/>
                        </a:prstGeom>
                        <a:solidFill>
                          <a:srgbClr val="FFFFFF"/>
                        </a:solidFill>
                        <a:ln w="9525">
                          <a:solidFill>
                            <a:srgbClr val="FF0000"/>
                          </a:solidFill>
                          <a:miter lim="800000"/>
                          <a:headEnd/>
                          <a:tailEnd/>
                        </a:ln>
                      </wps:spPr>
                      <wps:txbx>
                        <w:txbxContent>
                          <w:p w14:paraId="52026498" w14:textId="4C0E3FC5" w:rsidR="00A349B7" w:rsidRPr="009A5185" w:rsidRDefault="00A349B7" w:rsidP="00A349B7">
                            <w:pPr>
                              <w:spacing w:before="40"/>
                              <w:rPr>
                                <w:rFonts w:cs="Arial"/>
                                <w:snapToGrid w:val="0"/>
                              </w:rPr>
                            </w:pPr>
                            <w:r w:rsidRPr="009A5185">
                              <w:rPr>
                                <w:rFonts w:cs="Arial"/>
                                <w:b/>
                                <w:snapToGrid w:val="0"/>
                              </w:rPr>
                              <w:t>Reporting</w:t>
                            </w:r>
                            <w:r>
                              <w:rPr>
                                <w:rFonts w:cs="Arial"/>
                                <w:b/>
                                <w:snapToGrid w:val="0"/>
                              </w:rPr>
                              <w:t xml:space="preserve"> </w:t>
                            </w:r>
                            <w:r w:rsidRPr="009A5185">
                              <w:rPr>
                                <w:rFonts w:cs="Arial"/>
                                <w:b/>
                                <w:snapToGrid w:val="0"/>
                              </w:rPr>
                              <w:t>Period:</w:t>
                            </w:r>
                            <w:r w:rsidRPr="009A5185">
                              <w:rPr>
                                <w:rFonts w:cs="Arial"/>
                                <w:snapToGrid w:val="0"/>
                              </w:rPr>
                              <w:t xml:space="preserve"> </w:t>
                            </w:r>
                            <w:r w:rsidRPr="009A5185">
                              <w:rPr>
                                <w:rFonts w:cs="Arial"/>
                                <w:b/>
                                <w:snapToGrid w:val="0"/>
                              </w:rPr>
                              <w:t>12 months</w:t>
                            </w:r>
                          </w:p>
                          <w:p w14:paraId="40D9F5F5" w14:textId="1637D2BF" w:rsidR="00A349B7" w:rsidRPr="009A5185" w:rsidRDefault="00A349B7" w:rsidP="00A349B7">
                            <w:pPr>
                              <w:rPr>
                                <w:rFonts w:cs="Arial"/>
                                <w:snapToGrid w:val="0"/>
                              </w:rPr>
                            </w:pPr>
                            <w:r w:rsidRPr="009A5185">
                              <w:rPr>
                                <w:rFonts w:cs="Arial"/>
                                <w:snapToGrid w:val="0"/>
                              </w:rPr>
                              <w:t>Answer questions #1-</w:t>
                            </w:r>
                            <w:r w:rsidR="008D6B13">
                              <w:rPr>
                                <w:rFonts w:cs="Arial"/>
                                <w:snapToGrid w:val="0"/>
                              </w:rPr>
                              <w:t>9</w:t>
                            </w:r>
                            <w:r w:rsidRPr="009A5185">
                              <w:rPr>
                                <w:rFonts w:cs="Arial"/>
                                <w:snapToGrid w:val="0"/>
                              </w:rPr>
                              <w:t xml:space="preserve"> based on all cases (</w:t>
                            </w:r>
                            <w:r w:rsidRPr="009A5185">
                              <w:rPr>
                                <w:rStyle w:val="Hyperlink"/>
                                <w:rFonts w:cs="Arial"/>
                                <w:color w:val="auto"/>
                                <w:u w:val="none"/>
                              </w:rPr>
                              <w:t>or a sufficient sample of them</w:t>
                            </w:r>
                            <w:r w:rsidRPr="009A5185">
                              <w:rPr>
                                <w:rFonts w:cs="Arial"/>
                                <w:snapToGrid w:val="0"/>
                              </w:rPr>
                              <w:t>)</w:t>
                            </w:r>
                            <w:r>
                              <w:rPr>
                                <w:rFonts w:cs="Arial"/>
                                <w:snapToGrid w:val="0"/>
                              </w:rPr>
                              <w:t>.</w:t>
                            </w:r>
                          </w:p>
                          <w:p w14:paraId="04BD9093" w14:textId="77777777" w:rsidR="00A349B7" w:rsidRPr="00BE1D22" w:rsidRDefault="00A349B7" w:rsidP="00AD309C">
                            <w:pPr>
                              <w:pStyle w:val="ListParagraph"/>
                              <w:numPr>
                                <w:ilvl w:val="0"/>
                                <w:numId w:val="29"/>
                              </w:numPr>
                              <w:rPr>
                                <w:rFonts w:cs="Arial"/>
                                <w:i/>
                                <w:snapToGrid w:val="0"/>
                              </w:rPr>
                            </w:pPr>
                            <w:r>
                              <w:rPr>
                                <w:rFonts w:cs="Arial"/>
                                <w:iCs/>
                                <w:snapToGrid w:val="0"/>
                              </w:rPr>
                              <w:t>Surveys submitted prior to September 1:</w:t>
                            </w:r>
                          </w:p>
                          <w:p w14:paraId="775FFF56" w14:textId="19976266" w:rsidR="00A349B7" w:rsidRPr="009A5185" w:rsidRDefault="00A349B7" w:rsidP="00AD309C">
                            <w:pPr>
                              <w:pStyle w:val="ListParagraph"/>
                              <w:numPr>
                                <w:ilvl w:val="1"/>
                                <w:numId w:val="29"/>
                              </w:numPr>
                              <w:rPr>
                                <w:rFonts w:cs="Arial"/>
                                <w:i/>
                                <w:snapToGrid w:val="0"/>
                              </w:rPr>
                            </w:pPr>
                            <w:r>
                              <w:rPr>
                                <w:rFonts w:cs="Arial"/>
                                <w:iCs/>
                                <w:snapToGrid w:val="0"/>
                              </w:rPr>
                              <w:t>01/01/202</w:t>
                            </w:r>
                            <w:r w:rsidR="00F40DBC">
                              <w:rPr>
                                <w:rFonts w:cs="Arial"/>
                                <w:iCs/>
                                <w:snapToGrid w:val="0"/>
                              </w:rPr>
                              <w:t>5</w:t>
                            </w:r>
                            <w:r>
                              <w:rPr>
                                <w:rFonts w:cs="Arial"/>
                                <w:iCs/>
                                <w:snapToGrid w:val="0"/>
                              </w:rPr>
                              <w:t xml:space="preserve"> – 12/31/202</w:t>
                            </w:r>
                            <w:r w:rsidR="00F40DBC">
                              <w:rPr>
                                <w:rFonts w:cs="Arial"/>
                                <w:iCs/>
                                <w:snapToGrid w:val="0"/>
                              </w:rPr>
                              <w:t>5</w:t>
                            </w:r>
                          </w:p>
                          <w:p w14:paraId="38D37F54" w14:textId="77777777" w:rsidR="00A349B7" w:rsidRPr="00BE1D22" w:rsidRDefault="00A349B7" w:rsidP="00AD309C">
                            <w:pPr>
                              <w:pStyle w:val="ListParagraph"/>
                              <w:numPr>
                                <w:ilvl w:val="0"/>
                                <w:numId w:val="29"/>
                              </w:numPr>
                              <w:rPr>
                                <w:rFonts w:cs="Arial"/>
                                <w:i/>
                                <w:snapToGrid w:val="0"/>
                              </w:rPr>
                            </w:pPr>
                            <w:r w:rsidRPr="009A5185">
                              <w:rPr>
                                <w:rFonts w:cs="Arial"/>
                                <w:snapToGrid w:val="0"/>
                              </w:rPr>
                              <w:t xml:space="preserve">Surveys (re)submitted on or after September 1: </w:t>
                            </w:r>
                          </w:p>
                          <w:p w14:paraId="24C88160" w14:textId="0D43E0F6" w:rsidR="00A349B7" w:rsidRPr="00FD4BD9" w:rsidRDefault="00A349B7" w:rsidP="00AD309C">
                            <w:pPr>
                              <w:pStyle w:val="ListParagraph"/>
                              <w:numPr>
                                <w:ilvl w:val="1"/>
                                <w:numId w:val="29"/>
                              </w:numPr>
                              <w:rPr>
                                <w:rFonts w:cs="Arial"/>
                                <w:i/>
                                <w:snapToGrid w:val="0"/>
                              </w:rPr>
                            </w:pPr>
                            <w:r w:rsidRPr="009A5185">
                              <w:rPr>
                                <w:rFonts w:cs="Arial"/>
                                <w:snapToGrid w:val="0"/>
                              </w:rPr>
                              <w:t>07/01/</w:t>
                            </w:r>
                            <w:r>
                              <w:rPr>
                                <w:rFonts w:cs="Arial"/>
                                <w:snapToGrid w:val="0"/>
                              </w:rPr>
                              <w:t>202</w:t>
                            </w:r>
                            <w:r w:rsidR="00F40DBC">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F40DBC">
                              <w:rPr>
                                <w:rFonts w:cs="Arial"/>
                                <w:snapToGrid w:val="0"/>
                              </w:rPr>
                              <w:t>6</w:t>
                            </w:r>
                          </w:p>
                          <w:p w14:paraId="3B17FAC5" w14:textId="77777777" w:rsidR="00A349B7" w:rsidRDefault="00A349B7" w:rsidP="00A349B7">
                            <w:pPr>
                              <w:rPr>
                                <w:rFonts w:cs="Arial"/>
                                <w:i/>
                                <w:snapToGrid w:val="0"/>
                              </w:rPr>
                            </w:pPr>
                          </w:p>
                          <w:p w14:paraId="5EB4F7A3" w14:textId="51BFF45C" w:rsidR="00A349B7" w:rsidRDefault="00A349B7" w:rsidP="00A349B7">
                            <w:r w:rsidRPr="006547C0">
                              <w:rPr>
                                <w:rFonts w:cs="Arial"/>
                                <w:sz w:val="16"/>
                                <w:szCs w:val="16"/>
                              </w:rPr>
                              <w:t xml:space="preserve">Note: As a reminder, the </w:t>
                            </w:r>
                            <w:hyperlink r:id="rId262"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41D38AE5" id="Text Box 36" o:spid="_x0000_s1045" type="#_x0000_t202" alt="P6448TB18#y1" style="width:475.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" strokecolor="red">
                <v:textbox style="mso-fit-shape-to-text:t">
                  <w:txbxContent>
                    <w:p w14:paraId="52026498" w14:textId="4C0E3FC5" w:rsidR="00A349B7" w:rsidRPr="009A5185" w:rsidRDefault="00A349B7" w:rsidP="00A349B7">
                      <w:pPr>
                        <w:spacing w:before="40"/>
                        <w:rPr>
                          <w:rFonts w:cs="Arial"/>
                          <w:snapToGrid w:val="0"/>
                        </w:rPr>
                      </w:pPr>
                      <w:r w:rsidRPr="009A5185">
                        <w:rPr>
                          <w:rFonts w:cs="Arial"/>
                          <w:b/>
                          <w:snapToGrid w:val="0"/>
                        </w:rPr>
                        <w:t>Reporting</w:t>
                      </w:r>
                      <w:r>
                        <w:rPr>
                          <w:rFonts w:cs="Arial"/>
                          <w:b/>
                          <w:snapToGrid w:val="0"/>
                        </w:rPr>
                        <w:t xml:space="preserve"> </w:t>
                      </w:r>
                      <w:r w:rsidRPr="009A5185">
                        <w:rPr>
                          <w:rFonts w:cs="Arial"/>
                          <w:b/>
                          <w:snapToGrid w:val="0"/>
                        </w:rPr>
                        <w:t>Period:</w:t>
                      </w:r>
                      <w:r w:rsidRPr="009A5185">
                        <w:rPr>
                          <w:rFonts w:cs="Arial"/>
                          <w:snapToGrid w:val="0"/>
                        </w:rPr>
                        <w:t xml:space="preserve"> </w:t>
                      </w:r>
                      <w:r w:rsidRPr="009A5185">
                        <w:rPr>
                          <w:rFonts w:cs="Arial"/>
                          <w:b/>
                          <w:snapToGrid w:val="0"/>
                        </w:rPr>
                        <w:t>12 months</w:t>
                      </w:r>
                    </w:p>
                    <w:p w14:paraId="40D9F5F5" w14:textId="1637D2BF" w:rsidR="00A349B7" w:rsidRPr="009A5185" w:rsidRDefault="00A349B7" w:rsidP="00A349B7">
                      <w:pPr>
                        <w:rPr>
                          <w:rFonts w:cs="Arial"/>
                          <w:snapToGrid w:val="0"/>
                        </w:rPr>
                      </w:pPr>
                      <w:r w:rsidRPr="009A5185">
                        <w:rPr>
                          <w:rFonts w:cs="Arial"/>
                          <w:snapToGrid w:val="0"/>
                        </w:rPr>
                        <w:t>Answer questions #1-</w:t>
                      </w:r>
                      <w:r w:rsidR="008D6B13">
                        <w:rPr>
                          <w:rFonts w:cs="Arial"/>
                          <w:snapToGrid w:val="0"/>
                        </w:rPr>
                        <w:t>9</w:t>
                      </w:r>
                      <w:r w:rsidRPr="009A5185">
                        <w:rPr>
                          <w:rFonts w:cs="Arial"/>
                          <w:snapToGrid w:val="0"/>
                        </w:rPr>
                        <w:t xml:space="preserve"> based on all cases (</w:t>
                      </w:r>
                      <w:r w:rsidRPr="009A5185">
                        <w:rPr>
                          <w:rStyle w:val="Hyperlink"/>
                          <w:rFonts w:cs="Arial"/>
                          <w:color w:val="auto"/>
                          <w:u w:val="none"/>
                        </w:rPr>
                        <w:t>or a sufficient sample of them</w:t>
                      </w:r>
                      <w:r w:rsidRPr="009A5185">
                        <w:rPr>
                          <w:rFonts w:cs="Arial"/>
                          <w:snapToGrid w:val="0"/>
                        </w:rPr>
                        <w:t>)</w:t>
                      </w:r>
                      <w:r>
                        <w:rPr>
                          <w:rFonts w:cs="Arial"/>
                          <w:snapToGrid w:val="0"/>
                        </w:rPr>
                        <w:t>.</w:t>
                      </w:r>
                    </w:p>
                    <w:p w14:paraId="04BD9093" w14:textId="77777777" w:rsidR="00A349B7" w:rsidRPr="00BE1D22" w:rsidRDefault="00A349B7" w:rsidP="00AD309C">
                      <w:pPr>
                        <w:pStyle w:val="ListParagraph"/>
                        <w:numPr>
                          <w:ilvl w:val="0"/>
                          <w:numId w:val="29"/>
                        </w:numPr>
                        <w:rPr>
                          <w:rFonts w:cs="Arial"/>
                          <w:i/>
                          <w:snapToGrid w:val="0"/>
                        </w:rPr>
                      </w:pPr>
                      <w:r>
                        <w:rPr>
                          <w:rFonts w:cs="Arial"/>
                          <w:iCs/>
                          <w:snapToGrid w:val="0"/>
                        </w:rPr>
                        <w:t>Surveys submitted prior to September 1:</w:t>
                      </w:r>
                    </w:p>
                    <w:p w14:paraId="775FFF56" w14:textId="19976266" w:rsidR="00A349B7" w:rsidRPr="009A5185" w:rsidRDefault="00A349B7" w:rsidP="00AD309C">
                      <w:pPr>
                        <w:pStyle w:val="ListParagraph"/>
                        <w:numPr>
                          <w:ilvl w:val="1"/>
                          <w:numId w:val="29"/>
                        </w:numPr>
                        <w:rPr>
                          <w:rFonts w:cs="Arial"/>
                          <w:i/>
                          <w:snapToGrid w:val="0"/>
                        </w:rPr>
                      </w:pPr>
                      <w:r>
                        <w:rPr>
                          <w:rFonts w:cs="Arial"/>
                          <w:iCs/>
                          <w:snapToGrid w:val="0"/>
                        </w:rPr>
                        <w:t>01/01/202</w:t>
                      </w:r>
                      <w:r w:rsidR="00F40DBC">
                        <w:rPr>
                          <w:rFonts w:cs="Arial"/>
                          <w:iCs/>
                          <w:snapToGrid w:val="0"/>
                        </w:rPr>
                        <w:t>5</w:t>
                      </w:r>
                      <w:r>
                        <w:rPr>
                          <w:rFonts w:cs="Arial"/>
                          <w:iCs/>
                          <w:snapToGrid w:val="0"/>
                        </w:rPr>
                        <w:t xml:space="preserve"> – 12/31/202</w:t>
                      </w:r>
                      <w:r w:rsidR="00F40DBC">
                        <w:rPr>
                          <w:rFonts w:cs="Arial"/>
                          <w:iCs/>
                          <w:snapToGrid w:val="0"/>
                        </w:rPr>
                        <w:t>5</w:t>
                      </w:r>
                    </w:p>
                    <w:p w14:paraId="38D37F54" w14:textId="77777777" w:rsidR="00A349B7" w:rsidRPr="00BE1D22" w:rsidRDefault="00A349B7" w:rsidP="00AD309C">
                      <w:pPr>
                        <w:pStyle w:val="ListParagraph"/>
                        <w:numPr>
                          <w:ilvl w:val="0"/>
                          <w:numId w:val="29"/>
                        </w:numPr>
                        <w:rPr>
                          <w:rFonts w:cs="Arial"/>
                          <w:i/>
                          <w:snapToGrid w:val="0"/>
                        </w:rPr>
                      </w:pPr>
                      <w:r w:rsidRPr="009A5185">
                        <w:rPr>
                          <w:rFonts w:cs="Arial"/>
                          <w:snapToGrid w:val="0"/>
                        </w:rPr>
                        <w:t xml:space="preserve">Surveys (re)submitted on or after September 1: </w:t>
                      </w:r>
                    </w:p>
                    <w:p w14:paraId="24C88160" w14:textId="0D43E0F6" w:rsidR="00A349B7" w:rsidRPr="00FD4BD9" w:rsidRDefault="00A349B7" w:rsidP="00AD309C">
                      <w:pPr>
                        <w:pStyle w:val="ListParagraph"/>
                        <w:numPr>
                          <w:ilvl w:val="1"/>
                          <w:numId w:val="29"/>
                        </w:numPr>
                        <w:rPr>
                          <w:rFonts w:cs="Arial"/>
                          <w:i/>
                          <w:snapToGrid w:val="0"/>
                        </w:rPr>
                      </w:pPr>
                      <w:r w:rsidRPr="009A5185">
                        <w:rPr>
                          <w:rFonts w:cs="Arial"/>
                          <w:snapToGrid w:val="0"/>
                        </w:rPr>
                        <w:t>07/01/</w:t>
                      </w:r>
                      <w:r>
                        <w:rPr>
                          <w:rFonts w:cs="Arial"/>
                          <w:snapToGrid w:val="0"/>
                        </w:rPr>
                        <w:t>202</w:t>
                      </w:r>
                      <w:r w:rsidR="00F40DBC">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F40DBC">
                        <w:rPr>
                          <w:rFonts w:cs="Arial"/>
                          <w:snapToGrid w:val="0"/>
                        </w:rPr>
                        <w:t>6</w:t>
                      </w:r>
                    </w:p>
                    <w:p w14:paraId="3B17FAC5" w14:textId="77777777" w:rsidR="00A349B7" w:rsidRDefault="00A349B7" w:rsidP="00A349B7">
                      <w:pPr>
                        <w:rPr>
                          <w:rFonts w:cs="Arial"/>
                          <w:i/>
                          <w:snapToGrid w:val="0"/>
                        </w:rPr>
                      </w:pPr>
                    </w:p>
                    <w:p w14:paraId="5EB4F7A3" w14:textId="51BFF45C" w:rsidR="00A349B7" w:rsidRDefault="00A349B7" w:rsidP="00A349B7">
                      <w:r w:rsidRPr="006547C0">
                        <w:rPr>
                          <w:rFonts w:cs="Arial"/>
                          <w:sz w:val="16"/>
                          <w:szCs w:val="16"/>
                        </w:rPr>
                        <w:t xml:space="preserve">Note: As a reminder, the </w:t>
                      </w:r>
                      <w:hyperlink r:id="rId263"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638E1823" w14:textId="7F4015C0" w:rsidR="001F43CC" w:rsidRDefault="001F43CC" w:rsidP="006F5A29">
      <w:pPr>
        <w:rPr>
          <w:rFonts w:cs="Arial"/>
          <w:b/>
          <w:i/>
          <w:snapToGrid w:val="0"/>
          <w:color w:val="000000"/>
          <w:u w:val="single"/>
        </w:rPr>
      </w:pPr>
    </w:p>
    <w:p w14:paraId="5D40EED3" w14:textId="7DA4F936" w:rsidR="006F5A29" w:rsidRDefault="006F5A29" w:rsidP="006F5A29">
      <w:pPr>
        <w:rPr>
          <w:rFonts w:cs="Arial"/>
          <w:snapToGrid w:val="0"/>
          <w:color w:val="000000"/>
        </w:rPr>
      </w:pPr>
      <w:r w:rsidRPr="000E7068">
        <w:rPr>
          <w:rFonts w:cs="Arial"/>
          <w:b/>
          <w:iCs/>
          <w:snapToGrid w:val="0"/>
          <w:color w:val="000000"/>
        </w:rPr>
        <w:t>Sufficient Sample:</w:t>
      </w:r>
      <w:r w:rsidRPr="009A5185">
        <w:rPr>
          <w:rFonts w:cs="Arial"/>
          <w:snapToGrid w:val="0"/>
          <w:color w:val="000000"/>
        </w:rPr>
        <w:t xml:space="preserve"> See </w:t>
      </w:r>
      <w:hyperlink w:anchor="MatProcessSpecs" w:history="1">
        <w:r w:rsidR="000E7068">
          <w:rPr>
            <w:rStyle w:val="Hyperlink"/>
            <w:rFonts w:cs="Arial"/>
            <w:b/>
            <w:i/>
            <w:snapToGrid w:val="0"/>
          </w:rPr>
          <w:t>Process Measures of Quality Measure Specifications</w:t>
        </w:r>
      </w:hyperlink>
      <w:r w:rsidRPr="0067459F">
        <w:rPr>
          <w:rFonts w:cs="Arial"/>
          <w:snapToGrid w:val="0"/>
          <w:color w:val="000000"/>
        </w:rPr>
        <w:t xml:space="preserve"> for instructions for identifying a sufficient sample </w:t>
      </w:r>
      <w:r w:rsidR="000E7068">
        <w:rPr>
          <w:rFonts w:cs="Arial"/>
          <w:snapToGrid w:val="0"/>
          <w:color w:val="000000"/>
        </w:rPr>
        <w:t>for</w:t>
      </w:r>
      <w:r w:rsidRPr="0067459F">
        <w:rPr>
          <w:rFonts w:cs="Arial"/>
          <w:snapToGrid w:val="0"/>
          <w:color w:val="000000"/>
        </w:rPr>
        <w:t xml:space="preserve"> questions #3-4 and #</w:t>
      </w:r>
      <w:r w:rsidR="0047541A" w:rsidRPr="0067459F">
        <w:rPr>
          <w:rFonts w:cs="Arial"/>
          <w:snapToGrid w:val="0"/>
          <w:color w:val="000000"/>
        </w:rPr>
        <w:t>7-8</w:t>
      </w:r>
      <w:r w:rsidRPr="0067459F">
        <w:rPr>
          <w:rFonts w:cs="Arial"/>
          <w:snapToGrid w:val="0"/>
          <w:color w:val="000000"/>
        </w:rPr>
        <w:t>.</w:t>
      </w:r>
    </w:p>
    <w:p w14:paraId="1F16F503" w14:textId="77777777" w:rsidR="003C18BB" w:rsidRDefault="003C18BB" w:rsidP="006F5A29">
      <w:pPr>
        <w:rPr>
          <w:rFonts w:cs="Arial"/>
          <w:snapToGrid w:val="0"/>
          <w:color w:val="000000"/>
        </w:rPr>
      </w:pPr>
    </w:p>
    <w:tbl>
      <w:tblPr>
        <w:tblStyle w:val="TableGrid"/>
        <w:tblW w:w="9547" w:type="dxa"/>
        <w:tblLook w:val="04A0" w:firstRow="1" w:lastRow="0" w:firstColumn="1" w:lastColumn="0" w:noHBand="0" w:noVBand="1"/>
      </w:tblPr>
      <w:tblGrid>
        <w:gridCol w:w="6638"/>
        <w:gridCol w:w="2909"/>
      </w:tblGrid>
      <w:tr w:rsidR="003C18BB" w:rsidRPr="009A5185" w14:paraId="5B6AE6AB" w14:textId="77777777" w:rsidTr="00262E75">
        <w:tc>
          <w:tcPr>
            <w:tcW w:w="6638" w:type="dxa"/>
            <w:vAlign w:val="center"/>
          </w:tcPr>
          <w:p w14:paraId="4EC23E31" w14:textId="0A4B0100" w:rsidR="003C18BB" w:rsidRPr="009A5185" w:rsidRDefault="003C18BB" w:rsidP="00AD309C">
            <w:pPr>
              <w:pStyle w:val="ListParagraph"/>
              <w:numPr>
                <w:ilvl w:val="0"/>
                <w:numId w:val="38"/>
              </w:numPr>
              <w:rPr>
                <w:rFonts w:cs="Arial"/>
                <w:snapToGrid w:val="0"/>
                <w:color w:val="000000"/>
              </w:rPr>
            </w:pPr>
            <w:r w:rsidRPr="009A5185">
              <w:rPr>
                <w:rFonts w:cs="Arial"/>
                <w:snapToGrid w:val="0"/>
                <w:color w:val="000000"/>
              </w:rPr>
              <w:t>12-month reporting period used:</w:t>
            </w:r>
          </w:p>
        </w:tc>
        <w:tc>
          <w:tcPr>
            <w:tcW w:w="2909" w:type="dxa"/>
            <w:vAlign w:val="center"/>
          </w:tcPr>
          <w:p w14:paraId="6BA7DAAA" w14:textId="4FA9A687" w:rsidR="00BE1D22" w:rsidRPr="00C06753" w:rsidRDefault="00BE1D22" w:rsidP="00AD309C">
            <w:pPr>
              <w:pStyle w:val="ListParagraph"/>
              <w:numPr>
                <w:ilvl w:val="0"/>
                <w:numId w:val="291"/>
              </w:numPr>
              <w:rPr>
                <w:rFonts w:cs="Arial"/>
                <w:iCs/>
              </w:rPr>
            </w:pPr>
            <w:r w:rsidRPr="00C8246A">
              <w:rPr>
                <w:rFonts w:cs="Arial"/>
                <w:iCs/>
              </w:rPr>
              <w:t>01/01/202</w:t>
            </w:r>
            <w:r w:rsidR="00F40DBC">
              <w:rPr>
                <w:rFonts w:cs="Arial"/>
                <w:iCs/>
              </w:rPr>
              <w:t>5</w:t>
            </w:r>
            <w:r w:rsidRPr="00C06753">
              <w:rPr>
                <w:rFonts w:cs="Arial"/>
                <w:iCs/>
              </w:rPr>
              <w:t xml:space="preserve"> – 12/31/202</w:t>
            </w:r>
            <w:r w:rsidR="00F40DBC">
              <w:rPr>
                <w:rFonts w:cs="Arial"/>
                <w:iCs/>
              </w:rPr>
              <w:t>5</w:t>
            </w:r>
          </w:p>
          <w:p w14:paraId="74BB95B3" w14:textId="04904DEA" w:rsidR="003C18BB" w:rsidRPr="007174DE" w:rsidRDefault="003C18BB" w:rsidP="00AD309C">
            <w:pPr>
              <w:pStyle w:val="ListParagraph"/>
              <w:numPr>
                <w:ilvl w:val="0"/>
                <w:numId w:val="291"/>
              </w:numPr>
              <w:rPr>
                <w:rFonts w:cs="Arial"/>
                <w:i/>
              </w:rPr>
            </w:pPr>
            <w:r w:rsidRPr="00C06753">
              <w:rPr>
                <w:rFonts w:cs="Arial"/>
                <w:iCs/>
              </w:rPr>
              <w:t>07/01/</w:t>
            </w:r>
            <w:r w:rsidR="00BE1D22" w:rsidRPr="00C06753">
              <w:rPr>
                <w:rFonts w:cs="Arial"/>
                <w:iCs/>
              </w:rPr>
              <w:t>202</w:t>
            </w:r>
            <w:r w:rsidR="00F40DBC">
              <w:rPr>
                <w:rFonts w:cs="Arial"/>
                <w:iCs/>
              </w:rPr>
              <w:t>5</w:t>
            </w:r>
            <w:r w:rsidRPr="00C06753">
              <w:rPr>
                <w:rFonts w:cs="Arial"/>
                <w:iCs/>
              </w:rPr>
              <w:t xml:space="preserve"> </w:t>
            </w:r>
            <w:r w:rsidR="00080756" w:rsidRPr="00C06753">
              <w:rPr>
                <w:rFonts w:cs="Arial"/>
                <w:iCs/>
              </w:rPr>
              <w:t>–</w:t>
            </w:r>
            <w:r w:rsidRPr="00C06753">
              <w:rPr>
                <w:rFonts w:cs="Arial"/>
                <w:iCs/>
              </w:rPr>
              <w:t xml:space="preserve"> 06/30/</w:t>
            </w:r>
            <w:r w:rsidR="00BE1D22" w:rsidRPr="00C06753">
              <w:rPr>
                <w:rFonts w:cs="Arial"/>
                <w:iCs/>
              </w:rPr>
              <w:t>202</w:t>
            </w:r>
            <w:r w:rsidR="00F40DBC">
              <w:rPr>
                <w:rFonts w:cs="Arial"/>
                <w:iCs/>
              </w:rPr>
              <w:t>6</w:t>
            </w:r>
          </w:p>
        </w:tc>
      </w:tr>
    </w:tbl>
    <w:p w14:paraId="2F2004AA" w14:textId="64820934" w:rsidR="00C85ABC" w:rsidRDefault="00C85ABC" w:rsidP="00C85ABC">
      <w:pPr>
        <w:rPr>
          <w:rFonts w:cs="Arial"/>
          <w:lang w:eastAsia="ja-JP"/>
        </w:rPr>
      </w:pPr>
    </w:p>
    <w:p w14:paraId="6BA7EC33" w14:textId="34C60633" w:rsidR="00B40FF1" w:rsidRDefault="00B40FF1" w:rsidP="00AB5B80">
      <w:pPr>
        <w:pStyle w:val="Heading3"/>
      </w:pPr>
      <w:bookmarkStart w:id="308" w:name="_Toc225877731"/>
      <w:r w:rsidRPr="009A5185">
        <w:t>Newborn Bilirubin Screening Prior to Discharge</w:t>
      </w:r>
      <w:bookmarkEnd w:id="308"/>
    </w:p>
    <w:p w14:paraId="2BE8A04E" w14:textId="77777777" w:rsidR="00B40FF1" w:rsidRPr="009A5185" w:rsidRDefault="00B40FF1" w:rsidP="00C85ABC">
      <w:pPr>
        <w:rPr>
          <w:rFonts w:cs="Arial"/>
          <w:lang w:eastAsia="ja-JP"/>
        </w:rPr>
      </w:pPr>
    </w:p>
    <w:tbl>
      <w:tblPr>
        <w:tblStyle w:val="TableGrid"/>
        <w:tblW w:w="9547" w:type="dxa"/>
        <w:tblLook w:val="04A0" w:firstRow="1" w:lastRow="0" w:firstColumn="1" w:lastColumn="0" w:noHBand="0" w:noVBand="1"/>
      </w:tblPr>
      <w:tblGrid>
        <w:gridCol w:w="6638"/>
        <w:gridCol w:w="2909"/>
      </w:tblGrid>
      <w:tr w:rsidR="00C85ABC" w:rsidRPr="009A5185" w14:paraId="0CA644A8" w14:textId="77777777" w:rsidTr="0053434E">
        <w:trPr>
          <w:trHeight w:val="2448"/>
        </w:trPr>
        <w:tc>
          <w:tcPr>
            <w:tcW w:w="6638" w:type="dxa"/>
            <w:vAlign w:val="center"/>
          </w:tcPr>
          <w:p w14:paraId="4EA9CA8F" w14:textId="77777777" w:rsidR="00C85ABC" w:rsidRPr="009A5185" w:rsidRDefault="00D17056" w:rsidP="00AD309C">
            <w:pPr>
              <w:numPr>
                <w:ilvl w:val="0"/>
                <w:numId w:val="38"/>
              </w:numPr>
              <w:rPr>
                <w:rFonts w:cs="Arial"/>
                <w:snapToGrid w:val="0"/>
                <w:color w:val="000000"/>
              </w:rPr>
            </w:pPr>
            <w:r w:rsidRPr="009A5185">
              <w:rPr>
                <w:rFonts w:cs="Arial"/>
                <w:snapToGrid w:val="0"/>
              </w:rPr>
              <w:t xml:space="preserve">Did </w:t>
            </w:r>
            <w:r w:rsidR="00C85ABC" w:rsidRPr="009A5185">
              <w:rPr>
                <w:rFonts w:cs="Arial"/>
                <w:snapToGrid w:val="0"/>
              </w:rPr>
              <w:t xml:space="preserve">your hospital </w:t>
            </w:r>
            <w:r w:rsidRPr="009A5185">
              <w:rPr>
                <w:rFonts w:cs="Arial"/>
                <w:snapToGrid w:val="0"/>
                <w:color w:val="000000"/>
              </w:rPr>
              <w:t>perform</w:t>
            </w:r>
            <w:r w:rsidR="00C85ABC" w:rsidRPr="009A5185">
              <w:rPr>
                <w:rFonts w:cs="Arial"/>
                <w:snapToGrid w:val="0"/>
                <w:color w:val="000000"/>
              </w:rPr>
              <w:t xml:space="preserve"> a medical record audit on </w:t>
            </w:r>
            <w:r w:rsidR="00C85ABC" w:rsidRPr="009A5185">
              <w:rPr>
                <w:rFonts w:cs="Arial"/>
                <w:snapToGrid w:val="0"/>
              </w:rPr>
              <w:t>all cases (or a sufficient sample of them)</w:t>
            </w:r>
            <w:r w:rsidR="00C85ABC" w:rsidRPr="009A5185">
              <w:rPr>
                <w:rFonts w:cs="Arial"/>
                <w:snapToGrid w:val="0"/>
                <w:color w:val="000000"/>
              </w:rPr>
              <w:t xml:space="preserve"> </w:t>
            </w:r>
            <w:r w:rsidR="00C85ABC" w:rsidRPr="009A5185">
              <w:rPr>
                <w:rFonts w:cs="Arial"/>
                <w:b/>
                <w:snapToGrid w:val="0"/>
                <w:color w:val="000000"/>
              </w:rPr>
              <w:t>and</w:t>
            </w:r>
            <w:r w:rsidRPr="009A5185">
              <w:rPr>
                <w:rFonts w:cs="Arial"/>
                <w:snapToGrid w:val="0"/>
                <w:color w:val="000000"/>
              </w:rPr>
              <w:t xml:space="preserve"> measure</w:t>
            </w:r>
            <w:r w:rsidR="00C85ABC" w:rsidRPr="009A5185">
              <w:rPr>
                <w:rFonts w:cs="Arial"/>
                <w:snapToGrid w:val="0"/>
                <w:color w:val="000000"/>
              </w:rPr>
              <w:t xml:space="preserve"> adherence to the newborn bilirubin screening prior </w:t>
            </w:r>
            <w:r w:rsidR="0064148D" w:rsidRPr="009A5185">
              <w:rPr>
                <w:rFonts w:cs="Arial"/>
                <w:snapToGrid w:val="0"/>
                <w:color w:val="000000"/>
              </w:rPr>
              <w:t>to discharge clinical guideline?</w:t>
            </w:r>
          </w:p>
          <w:p w14:paraId="62CCA42B" w14:textId="77777777" w:rsidR="0064148D" w:rsidRPr="009A5185" w:rsidRDefault="0064148D" w:rsidP="0064148D">
            <w:pPr>
              <w:ind w:left="360"/>
              <w:rPr>
                <w:rFonts w:cs="Arial"/>
                <w:snapToGrid w:val="0"/>
                <w:color w:val="000000"/>
              </w:rPr>
            </w:pPr>
          </w:p>
          <w:p w14:paraId="5FC2E5C1" w14:textId="01112D57" w:rsidR="00886D48" w:rsidRDefault="00C60FBB" w:rsidP="00D25799">
            <w:pPr>
              <w:pStyle w:val="ListParagraph"/>
              <w:ind w:left="360"/>
              <w:rPr>
                <w:rFonts w:cs="Arial"/>
                <w:i/>
                <w:snapToGrid w:val="0"/>
              </w:rPr>
            </w:pPr>
            <w:r w:rsidRPr="007F1205">
              <w:rPr>
                <w:rFonts w:cs="Arial"/>
                <w:i/>
                <w:snapToGrid w:val="0"/>
              </w:rPr>
              <w:t>If “no”</w:t>
            </w:r>
            <w:r w:rsidR="00D25799" w:rsidRPr="007F1205">
              <w:rPr>
                <w:rFonts w:cs="Arial"/>
                <w:i/>
                <w:snapToGrid w:val="0"/>
              </w:rPr>
              <w:t xml:space="preserve"> to question #2,</w:t>
            </w:r>
            <w:r w:rsidRPr="007F1205">
              <w:rPr>
                <w:rFonts w:cs="Arial"/>
                <w:i/>
                <w:snapToGrid w:val="0"/>
              </w:rPr>
              <w:t xml:space="preserve"> skip questions #3-5</w:t>
            </w:r>
            <w:r w:rsidR="00D25799" w:rsidRPr="007F1205">
              <w:rPr>
                <w:rFonts w:cs="Arial"/>
                <w:i/>
                <w:snapToGrid w:val="0"/>
              </w:rPr>
              <w:t xml:space="preserve"> and continue to question #6</w:t>
            </w:r>
            <w:r w:rsidRPr="007F1205">
              <w:rPr>
                <w:rFonts w:cs="Arial"/>
                <w:i/>
                <w:snapToGrid w:val="0"/>
              </w:rPr>
              <w:t>.</w:t>
            </w:r>
            <w:r w:rsidR="00833B3F">
              <w:rPr>
                <w:rFonts w:cs="Arial"/>
                <w:i/>
                <w:snapToGrid w:val="0"/>
              </w:rPr>
              <w:t xml:space="preserve"> </w:t>
            </w:r>
            <w:r w:rsidR="00833B3F" w:rsidRPr="00F61E74">
              <w:rPr>
                <w:rFonts w:cs="Arial"/>
                <w:i/>
              </w:rPr>
              <w:t>The hospital will be scored as “</w:t>
            </w:r>
            <w:r w:rsidR="004D39CE">
              <w:rPr>
                <w:rFonts w:cs="Arial"/>
                <w:i/>
              </w:rPr>
              <w:t>Did Not Measure</w:t>
            </w:r>
            <w:r w:rsidR="00833B3F" w:rsidRPr="00F61E74">
              <w:rPr>
                <w:rFonts w:cs="Arial"/>
                <w:i/>
              </w:rPr>
              <w:t>.”</w:t>
            </w:r>
          </w:p>
          <w:p w14:paraId="52F4F8AD" w14:textId="77777777" w:rsidR="00886D48" w:rsidRDefault="00886D48" w:rsidP="00D25799">
            <w:pPr>
              <w:pStyle w:val="ListParagraph"/>
              <w:ind w:left="360"/>
              <w:rPr>
                <w:rFonts w:cs="Arial"/>
                <w:i/>
                <w:snapToGrid w:val="0"/>
              </w:rPr>
            </w:pPr>
          </w:p>
          <w:p w14:paraId="1AF4DD57" w14:textId="5D535A17" w:rsidR="00C85ABC" w:rsidRPr="009A5185" w:rsidRDefault="00C85ABC" w:rsidP="00D25799">
            <w:pPr>
              <w:pStyle w:val="ListParagraph"/>
              <w:ind w:left="360"/>
              <w:rPr>
                <w:rFonts w:cs="Arial"/>
                <w:b/>
                <w:snapToGrid w:val="0"/>
                <w:color w:val="000000"/>
              </w:rPr>
            </w:pPr>
            <w:r w:rsidRPr="009A5185">
              <w:rPr>
                <w:rFonts w:cs="Arial"/>
                <w:i/>
                <w:snapToGrid w:val="0"/>
              </w:rPr>
              <w:t xml:space="preserve">If </w:t>
            </w:r>
            <w:r w:rsidR="00E427F6">
              <w:rPr>
                <w:rFonts w:cs="Arial"/>
                <w:i/>
                <w:snapToGrid w:val="0"/>
              </w:rPr>
              <w:t>“</w:t>
            </w:r>
            <w:r w:rsidR="005E1D5D">
              <w:rPr>
                <w:rFonts w:cs="Arial"/>
                <w:i/>
                <w:snapToGrid w:val="0"/>
              </w:rPr>
              <w:t>y</w:t>
            </w:r>
            <w:r w:rsidRPr="009A5185">
              <w:rPr>
                <w:rFonts w:cs="Arial"/>
                <w:i/>
                <w:snapToGrid w:val="0"/>
              </w:rPr>
              <w:t>es, but fewer than 10 cases met the inclusion criteria for the denominator,</w:t>
            </w:r>
            <w:r w:rsidR="00E427F6">
              <w:rPr>
                <w:rFonts w:cs="Arial"/>
                <w:i/>
                <w:snapToGrid w:val="0"/>
              </w:rPr>
              <w:t>”</w:t>
            </w:r>
            <w:r w:rsidRPr="009A5185">
              <w:rPr>
                <w:rFonts w:cs="Arial"/>
                <w:i/>
                <w:snapToGrid w:val="0"/>
              </w:rPr>
              <w:t xml:space="preserve"> skip questions #3-</w:t>
            </w:r>
            <w:r w:rsidRPr="007F1205">
              <w:rPr>
                <w:rFonts w:cs="Arial"/>
                <w:i/>
                <w:snapToGrid w:val="0"/>
              </w:rPr>
              <w:t>5</w:t>
            </w:r>
            <w:r w:rsidR="00D25799" w:rsidRPr="007F1205">
              <w:rPr>
                <w:rFonts w:cs="Arial"/>
                <w:i/>
                <w:snapToGrid w:val="0"/>
              </w:rPr>
              <w:t xml:space="preserve"> and continue to question #6</w:t>
            </w:r>
            <w:r w:rsidRPr="007F1205">
              <w:rPr>
                <w:rFonts w:cs="Arial"/>
                <w:i/>
                <w:snapToGrid w:val="0"/>
              </w:rPr>
              <w:t>.</w:t>
            </w:r>
            <w:r w:rsidR="00833B3F">
              <w:rPr>
                <w:rFonts w:cs="Arial"/>
                <w:i/>
                <w:snapToGrid w:val="0"/>
              </w:rPr>
              <w:t xml:space="preserve"> </w:t>
            </w:r>
            <w:r w:rsidR="00833B3F" w:rsidRPr="00F61E74">
              <w:rPr>
                <w:rFonts w:cs="Arial"/>
                <w:i/>
              </w:rPr>
              <w:t>The hospital will be scored as “</w:t>
            </w:r>
            <w:r w:rsidR="00833B3F">
              <w:rPr>
                <w:rFonts w:cs="Arial"/>
                <w:i/>
              </w:rPr>
              <w:t>Unable to Calculate Score</w:t>
            </w:r>
            <w:r w:rsidR="00833B3F" w:rsidRPr="00F61E74">
              <w:rPr>
                <w:rFonts w:cs="Arial"/>
                <w:i/>
              </w:rPr>
              <w:t>.”</w:t>
            </w:r>
          </w:p>
        </w:tc>
        <w:tc>
          <w:tcPr>
            <w:tcW w:w="2909" w:type="dxa"/>
            <w:vAlign w:val="center"/>
          </w:tcPr>
          <w:p w14:paraId="1CDBE308" w14:textId="42E13363" w:rsidR="0064148D" w:rsidRPr="00A31567" w:rsidRDefault="00C85ABC" w:rsidP="00AD309C">
            <w:pPr>
              <w:pStyle w:val="ListParagraph"/>
              <w:numPr>
                <w:ilvl w:val="0"/>
                <w:numId w:val="292"/>
              </w:numPr>
              <w:rPr>
                <w:rFonts w:cs="Arial"/>
                <w:iCs/>
                <w:snapToGrid w:val="0"/>
                <w:color w:val="000000"/>
              </w:rPr>
            </w:pPr>
            <w:r w:rsidRPr="00A31567">
              <w:rPr>
                <w:rFonts w:cs="Arial"/>
                <w:iCs/>
                <w:snapToGrid w:val="0"/>
                <w:color w:val="000000"/>
              </w:rPr>
              <w:t>Yes</w:t>
            </w:r>
          </w:p>
          <w:p w14:paraId="5E87C7BE" w14:textId="196D36FF" w:rsidR="0064148D" w:rsidRPr="00A31567" w:rsidRDefault="00C85ABC" w:rsidP="00AD309C">
            <w:pPr>
              <w:pStyle w:val="ListParagraph"/>
              <w:numPr>
                <w:ilvl w:val="0"/>
                <w:numId w:val="292"/>
              </w:numPr>
              <w:rPr>
                <w:rFonts w:cs="Arial"/>
                <w:iCs/>
                <w:snapToGrid w:val="0"/>
                <w:color w:val="000000"/>
              </w:rPr>
            </w:pPr>
            <w:r w:rsidRPr="00A31567">
              <w:rPr>
                <w:rFonts w:cs="Arial"/>
                <w:iCs/>
                <w:snapToGrid w:val="0"/>
                <w:color w:val="000000"/>
              </w:rPr>
              <w:t>No</w:t>
            </w:r>
          </w:p>
          <w:p w14:paraId="1A06A9A1" w14:textId="77777777" w:rsidR="00C85ABC" w:rsidRPr="00C8246A" w:rsidRDefault="00C85ABC" w:rsidP="00AD309C">
            <w:pPr>
              <w:pStyle w:val="ListParagraph"/>
              <w:numPr>
                <w:ilvl w:val="0"/>
                <w:numId w:val="292"/>
              </w:numPr>
              <w:rPr>
                <w:rFonts w:cs="Arial"/>
                <w:i/>
                <w:snapToGrid w:val="0"/>
                <w:color w:val="000000"/>
              </w:rPr>
            </w:pPr>
            <w:r w:rsidRPr="00A31567">
              <w:rPr>
                <w:rFonts w:cs="Arial"/>
                <w:iCs/>
                <w:snapToGrid w:val="0"/>
                <w:color w:val="000000"/>
              </w:rPr>
              <w:t>Yes, but fewer than 10 cases met the inclusion criteria for the denominator</w:t>
            </w:r>
          </w:p>
        </w:tc>
      </w:tr>
      <w:tr w:rsidR="00C85ABC" w:rsidRPr="009A5185" w14:paraId="3246F215" w14:textId="77777777" w:rsidTr="00262E75">
        <w:tc>
          <w:tcPr>
            <w:tcW w:w="6638" w:type="dxa"/>
            <w:vAlign w:val="center"/>
          </w:tcPr>
          <w:p w14:paraId="61A4993A" w14:textId="5FC5F543" w:rsidR="00C85ABC" w:rsidRPr="009A5185" w:rsidRDefault="00C85ABC" w:rsidP="00AD309C">
            <w:pPr>
              <w:pStyle w:val="ListParagraph"/>
              <w:numPr>
                <w:ilvl w:val="0"/>
                <w:numId w:val="38"/>
              </w:numPr>
              <w:rPr>
                <w:rFonts w:cs="Arial"/>
                <w:snapToGrid w:val="0"/>
                <w:color w:val="000000"/>
              </w:rPr>
            </w:pPr>
            <w:r w:rsidRPr="009A5185">
              <w:rPr>
                <w:rFonts w:cs="Arial"/>
                <w:snapToGrid w:val="0"/>
              </w:rPr>
              <w:t>Number of cases measured against the guideline</w:t>
            </w:r>
            <w:r w:rsidR="00990C23" w:rsidRPr="009A5185">
              <w:rPr>
                <w:rFonts w:cs="Arial"/>
                <w:snapToGrid w:val="0"/>
              </w:rPr>
              <w:t xml:space="preserve">, either all cases or a sufficient sample of them </w:t>
            </w:r>
            <w:r w:rsidR="009B2B2D" w:rsidRPr="009A5185">
              <w:rPr>
                <w:rFonts w:cs="Arial"/>
                <w:snapToGrid w:val="0"/>
              </w:rPr>
              <w:t>(</w:t>
            </w:r>
            <w:r w:rsidRPr="009A5185">
              <w:rPr>
                <w:rFonts w:cs="Arial"/>
                <w:b/>
                <w:snapToGrid w:val="0"/>
              </w:rPr>
              <w:t>denominator</w:t>
            </w:r>
            <w:r w:rsidR="009B2B2D" w:rsidRPr="009A5185">
              <w:rPr>
                <w:rFonts w:cs="Arial"/>
                <w:snapToGrid w:val="0"/>
              </w:rPr>
              <w:t>)</w:t>
            </w:r>
            <w:r w:rsidR="009579B9">
              <w:rPr>
                <w:rFonts w:cs="Arial"/>
                <w:snapToGrid w:val="0"/>
              </w:rPr>
              <w:t>:</w:t>
            </w:r>
          </w:p>
        </w:tc>
        <w:tc>
          <w:tcPr>
            <w:tcW w:w="2909" w:type="dxa"/>
            <w:vAlign w:val="center"/>
          </w:tcPr>
          <w:p w14:paraId="029728C1" w14:textId="77777777" w:rsidR="00C85ABC" w:rsidRPr="009A5185" w:rsidRDefault="00C85ABC" w:rsidP="0064148D">
            <w:pPr>
              <w:jc w:val="center"/>
              <w:rPr>
                <w:rFonts w:cs="Arial"/>
                <w:b/>
                <w:snapToGrid w:val="0"/>
                <w:color w:val="000000"/>
              </w:rPr>
            </w:pPr>
          </w:p>
          <w:p w14:paraId="7C03300D" w14:textId="77777777" w:rsidR="00C85ABC" w:rsidRPr="009A5185" w:rsidRDefault="00C85ABC" w:rsidP="0064148D">
            <w:pPr>
              <w:jc w:val="center"/>
              <w:rPr>
                <w:rFonts w:cs="Arial"/>
                <w:b/>
                <w:snapToGrid w:val="0"/>
                <w:color w:val="000000"/>
              </w:rPr>
            </w:pPr>
            <w:r w:rsidRPr="009A5185">
              <w:rPr>
                <w:rFonts w:cs="Arial"/>
                <w:b/>
                <w:snapToGrid w:val="0"/>
                <w:color w:val="000000"/>
              </w:rPr>
              <w:t>______</w:t>
            </w:r>
          </w:p>
          <w:p w14:paraId="21576EEB" w14:textId="77777777" w:rsidR="00C85ABC" w:rsidRPr="009A5185" w:rsidRDefault="00C85ABC" w:rsidP="0064148D">
            <w:pPr>
              <w:rPr>
                <w:rFonts w:cs="Arial"/>
                <w:b/>
                <w:snapToGrid w:val="0"/>
                <w:color w:val="000000"/>
              </w:rPr>
            </w:pPr>
          </w:p>
        </w:tc>
      </w:tr>
      <w:tr w:rsidR="00C85ABC" w:rsidRPr="009A5185" w14:paraId="6E779661" w14:textId="77777777" w:rsidTr="006A1E45">
        <w:tc>
          <w:tcPr>
            <w:tcW w:w="6638" w:type="dxa"/>
            <w:tcBorders>
              <w:bottom w:val="single" w:sz="4" w:space="0" w:color="auto"/>
            </w:tcBorders>
            <w:vAlign w:val="center"/>
          </w:tcPr>
          <w:p w14:paraId="66C1D8C2" w14:textId="439FFC93" w:rsidR="00C85ABC" w:rsidRPr="009A5185" w:rsidRDefault="00C85ABC" w:rsidP="00AD309C">
            <w:pPr>
              <w:pStyle w:val="ListParagraph"/>
              <w:numPr>
                <w:ilvl w:val="0"/>
                <w:numId w:val="38"/>
              </w:numPr>
              <w:rPr>
                <w:rFonts w:cs="Arial"/>
                <w:snapToGrid w:val="0"/>
                <w:color w:val="000000"/>
              </w:rPr>
            </w:pPr>
            <w:r w:rsidRPr="008306A5">
              <w:rPr>
                <w:rFonts w:cs="Arial"/>
                <w:noProof/>
                <w:snapToGrid w:val="0"/>
              </w:rPr>
              <w:t>Number</w:t>
            </w:r>
            <w:r w:rsidRPr="009A5185">
              <w:rPr>
                <w:rFonts w:cs="Arial"/>
                <w:snapToGrid w:val="0"/>
              </w:rPr>
              <w:t xml:space="preserve"> of cases in question #3 that </w:t>
            </w:r>
            <w:r w:rsidRPr="009A5185">
              <w:rPr>
                <w:rFonts w:cs="Arial"/>
                <w:snapToGrid w:val="0"/>
                <w:color w:val="000000"/>
              </w:rPr>
              <w:t>adhere to the clinical process guideline (</w:t>
            </w:r>
            <w:r w:rsidRPr="009A5185">
              <w:rPr>
                <w:rFonts w:cs="Arial"/>
                <w:b/>
                <w:snapToGrid w:val="0"/>
                <w:color w:val="000000"/>
              </w:rPr>
              <w:t>numerator</w:t>
            </w:r>
            <w:r w:rsidRPr="009A5185">
              <w:rPr>
                <w:rFonts w:cs="Arial"/>
                <w:snapToGrid w:val="0"/>
                <w:color w:val="000000"/>
              </w:rPr>
              <w:t>)</w:t>
            </w:r>
            <w:r w:rsidR="009579B9">
              <w:rPr>
                <w:rFonts w:cs="Arial"/>
                <w:snapToGrid w:val="0"/>
                <w:color w:val="000000"/>
              </w:rPr>
              <w:t>:</w:t>
            </w:r>
          </w:p>
        </w:tc>
        <w:tc>
          <w:tcPr>
            <w:tcW w:w="2909" w:type="dxa"/>
            <w:vAlign w:val="center"/>
          </w:tcPr>
          <w:p w14:paraId="35A56F1B" w14:textId="77777777" w:rsidR="00C85ABC" w:rsidRPr="009A5185" w:rsidRDefault="00C85ABC" w:rsidP="0064148D">
            <w:pPr>
              <w:jc w:val="center"/>
              <w:rPr>
                <w:rFonts w:cs="Arial"/>
                <w:b/>
                <w:snapToGrid w:val="0"/>
                <w:color w:val="000000"/>
              </w:rPr>
            </w:pPr>
          </w:p>
          <w:p w14:paraId="26A4367A" w14:textId="77777777" w:rsidR="00C85ABC" w:rsidRPr="009A5185" w:rsidRDefault="00C85ABC" w:rsidP="0064148D">
            <w:pPr>
              <w:jc w:val="center"/>
              <w:rPr>
                <w:rFonts w:cs="Arial"/>
                <w:b/>
                <w:snapToGrid w:val="0"/>
                <w:color w:val="000000"/>
              </w:rPr>
            </w:pPr>
            <w:r w:rsidRPr="009A5185">
              <w:rPr>
                <w:rFonts w:cs="Arial"/>
                <w:b/>
                <w:snapToGrid w:val="0"/>
                <w:color w:val="000000"/>
              </w:rPr>
              <w:t>______</w:t>
            </w:r>
          </w:p>
          <w:p w14:paraId="04CAADBB" w14:textId="77777777" w:rsidR="00C85ABC" w:rsidRPr="009A5185" w:rsidRDefault="00C85ABC" w:rsidP="0064148D">
            <w:pPr>
              <w:jc w:val="center"/>
              <w:rPr>
                <w:rFonts w:cs="Arial"/>
                <w:b/>
                <w:snapToGrid w:val="0"/>
                <w:color w:val="000000"/>
              </w:rPr>
            </w:pPr>
          </w:p>
        </w:tc>
      </w:tr>
      <w:tr w:rsidR="00C85ABC" w:rsidRPr="009A5185" w14:paraId="1310F5D1" w14:textId="77777777" w:rsidTr="006A1E45">
        <w:trPr>
          <w:trHeight w:val="576"/>
        </w:trPr>
        <w:tc>
          <w:tcPr>
            <w:tcW w:w="6638" w:type="dxa"/>
            <w:tcBorders>
              <w:bottom w:val="single" w:sz="4" w:space="0" w:color="auto"/>
            </w:tcBorders>
            <w:vAlign w:val="center"/>
          </w:tcPr>
          <w:p w14:paraId="7CD0F0F5" w14:textId="4A78031B" w:rsidR="00C85ABC" w:rsidRPr="009A5185" w:rsidRDefault="00C85ABC" w:rsidP="00AD309C">
            <w:pPr>
              <w:pStyle w:val="ListParagraph"/>
              <w:numPr>
                <w:ilvl w:val="0"/>
                <w:numId w:val="38"/>
              </w:numPr>
              <w:rPr>
                <w:rFonts w:cs="Arial"/>
                <w:snapToGrid w:val="0"/>
                <w:color w:val="000000"/>
              </w:rPr>
            </w:pPr>
            <w:r w:rsidRPr="009A5185">
              <w:rPr>
                <w:rFonts w:cs="Arial"/>
                <w:snapToGrid w:val="0"/>
                <w:color w:val="000000"/>
              </w:rPr>
              <w:t xml:space="preserve">Do the responses in questions #3 and #4 represent a sample of cases? </w:t>
            </w:r>
          </w:p>
        </w:tc>
        <w:tc>
          <w:tcPr>
            <w:tcW w:w="2909" w:type="dxa"/>
            <w:vAlign w:val="center"/>
          </w:tcPr>
          <w:p w14:paraId="76B8F298" w14:textId="77777777" w:rsidR="00C85ABC" w:rsidRPr="00A31567" w:rsidRDefault="00C85ABC" w:rsidP="00AD309C">
            <w:pPr>
              <w:pStyle w:val="ListParagraph"/>
              <w:numPr>
                <w:ilvl w:val="0"/>
                <w:numId w:val="293"/>
              </w:numPr>
              <w:rPr>
                <w:rFonts w:cs="Arial"/>
                <w:iCs/>
                <w:snapToGrid w:val="0"/>
                <w:color w:val="000000"/>
              </w:rPr>
            </w:pPr>
            <w:r w:rsidRPr="00A31567">
              <w:rPr>
                <w:rFonts w:cs="Arial"/>
                <w:iCs/>
                <w:snapToGrid w:val="0"/>
                <w:color w:val="000000"/>
              </w:rPr>
              <w:t>Yes</w:t>
            </w:r>
          </w:p>
          <w:p w14:paraId="303F9A58" w14:textId="77777777" w:rsidR="00C85ABC" w:rsidRPr="00C8246A" w:rsidRDefault="00C85ABC" w:rsidP="00AD309C">
            <w:pPr>
              <w:pStyle w:val="ListParagraph"/>
              <w:numPr>
                <w:ilvl w:val="0"/>
                <w:numId w:val="293"/>
              </w:numPr>
              <w:rPr>
                <w:rFonts w:cs="Arial"/>
                <w:i/>
                <w:snapToGrid w:val="0"/>
                <w:color w:val="000000"/>
              </w:rPr>
            </w:pPr>
            <w:r w:rsidRPr="00A31567">
              <w:rPr>
                <w:rFonts w:cs="Arial"/>
                <w:iCs/>
                <w:snapToGrid w:val="0"/>
                <w:color w:val="000000"/>
              </w:rPr>
              <w:t>No</w:t>
            </w:r>
          </w:p>
        </w:tc>
      </w:tr>
    </w:tbl>
    <w:p w14:paraId="594707C5" w14:textId="77777777" w:rsidR="00B40FF1" w:rsidRDefault="00B40FF1">
      <w:pPr>
        <w:rPr>
          <w:rFonts w:cs="Arial"/>
          <w:b/>
          <w:snapToGrid w:val="0"/>
        </w:rPr>
      </w:pPr>
    </w:p>
    <w:p w14:paraId="3AAD9CBC" w14:textId="77777777" w:rsidR="0011471E" w:rsidRDefault="0011471E">
      <w:pPr>
        <w:rPr>
          <w:rFonts w:cs="Arial"/>
          <w:b/>
          <w:snapToGrid w:val="0"/>
        </w:rPr>
      </w:pPr>
    </w:p>
    <w:p w14:paraId="32D454D4" w14:textId="77777777" w:rsidR="0011471E" w:rsidRDefault="0011471E">
      <w:pPr>
        <w:rPr>
          <w:rFonts w:cs="Arial"/>
          <w:b/>
          <w:snapToGrid w:val="0"/>
        </w:rPr>
      </w:pPr>
    </w:p>
    <w:p w14:paraId="3083D089" w14:textId="77777777" w:rsidR="0011471E" w:rsidRDefault="0011471E">
      <w:pPr>
        <w:rPr>
          <w:rFonts w:cs="Arial"/>
          <w:b/>
          <w:snapToGrid w:val="0"/>
        </w:rPr>
      </w:pPr>
    </w:p>
    <w:p w14:paraId="3A8B242D" w14:textId="76BD5A88" w:rsidR="00B40FF1" w:rsidRPr="009A5185" w:rsidRDefault="00B40FF1" w:rsidP="00AB5B80">
      <w:pPr>
        <w:pStyle w:val="Heading3"/>
      </w:pPr>
      <w:bookmarkStart w:id="309" w:name="_Toc225877732"/>
      <w:r w:rsidRPr="009A5185">
        <w:lastRenderedPageBreak/>
        <w:t xml:space="preserve">Appropriate DVT Prophylaxis in Women Undergoing Cesarean </w:t>
      </w:r>
      <w:r>
        <w:t>Delivery</w:t>
      </w:r>
      <w:bookmarkEnd w:id="309"/>
    </w:p>
    <w:p w14:paraId="6FA3CAA6" w14:textId="77777777" w:rsidR="00B40FF1" w:rsidRDefault="00B40FF1"/>
    <w:tbl>
      <w:tblPr>
        <w:tblStyle w:val="TableGrid"/>
        <w:tblW w:w="9547" w:type="dxa"/>
        <w:tblLook w:val="04A0" w:firstRow="1" w:lastRow="0" w:firstColumn="1" w:lastColumn="0" w:noHBand="0" w:noVBand="1"/>
      </w:tblPr>
      <w:tblGrid>
        <w:gridCol w:w="6638"/>
        <w:gridCol w:w="2909"/>
      </w:tblGrid>
      <w:tr w:rsidR="00B40FF1" w:rsidRPr="009A5185" w14:paraId="6C05C116" w14:textId="77777777" w:rsidTr="0053434E">
        <w:trPr>
          <w:trHeight w:val="2880"/>
        </w:trPr>
        <w:tc>
          <w:tcPr>
            <w:tcW w:w="6638" w:type="dxa"/>
            <w:vAlign w:val="center"/>
          </w:tcPr>
          <w:p w14:paraId="1551354B" w14:textId="77777777" w:rsidR="00B40FF1" w:rsidRPr="009A5185" w:rsidRDefault="00B40FF1" w:rsidP="00AD309C">
            <w:pPr>
              <w:numPr>
                <w:ilvl w:val="0"/>
                <w:numId w:val="38"/>
              </w:numPr>
              <w:rPr>
                <w:rFonts w:cs="Arial"/>
                <w:snapToGrid w:val="0"/>
                <w:color w:val="000000"/>
              </w:rPr>
            </w:pPr>
            <w:r w:rsidRPr="009A5185">
              <w:rPr>
                <w:rFonts w:cs="Arial"/>
                <w:snapToGrid w:val="0"/>
              </w:rPr>
              <w:t xml:space="preserve">Did your hospital </w:t>
            </w:r>
            <w:r w:rsidRPr="009A5185">
              <w:rPr>
                <w:rFonts w:cs="Arial"/>
                <w:snapToGrid w:val="0"/>
                <w:color w:val="000000"/>
              </w:rPr>
              <w:t xml:space="preserve">perform a medical record audit on </w:t>
            </w:r>
            <w:r w:rsidRPr="009A5185">
              <w:rPr>
                <w:rFonts w:cs="Arial"/>
                <w:snapToGrid w:val="0"/>
              </w:rPr>
              <w:t>all cases (or a sufficient sample of them)</w:t>
            </w:r>
            <w:r w:rsidRPr="009A5185">
              <w:rPr>
                <w:rFonts w:cs="Arial"/>
                <w:snapToGrid w:val="0"/>
                <w:color w:val="000000"/>
              </w:rPr>
              <w:t xml:space="preserve"> </w:t>
            </w:r>
            <w:r w:rsidRPr="009A5185">
              <w:rPr>
                <w:rFonts w:cs="Arial"/>
                <w:b/>
                <w:snapToGrid w:val="0"/>
                <w:color w:val="000000"/>
              </w:rPr>
              <w:t>and</w:t>
            </w:r>
            <w:r w:rsidRPr="009A5185">
              <w:rPr>
                <w:rFonts w:cs="Arial"/>
                <w:snapToGrid w:val="0"/>
                <w:color w:val="000000"/>
              </w:rPr>
              <w:t xml:space="preserve"> measure adherence to the appropriate DVT prophylaxis in women undergoing cesarean </w:t>
            </w:r>
            <w:r>
              <w:rPr>
                <w:rFonts w:cs="Arial"/>
                <w:snapToGrid w:val="0"/>
                <w:color w:val="000000"/>
              </w:rPr>
              <w:t>delivery</w:t>
            </w:r>
            <w:r w:rsidRPr="009A5185">
              <w:rPr>
                <w:rFonts w:cs="Arial"/>
                <w:snapToGrid w:val="0"/>
                <w:color w:val="000000"/>
              </w:rPr>
              <w:t xml:space="preserve"> clinical guideline?</w:t>
            </w:r>
          </w:p>
          <w:p w14:paraId="67763790" w14:textId="77777777" w:rsidR="00B40FF1" w:rsidRPr="009A5185" w:rsidRDefault="00B40FF1">
            <w:pPr>
              <w:ind w:left="360"/>
              <w:rPr>
                <w:rFonts w:cs="Arial"/>
                <w:snapToGrid w:val="0"/>
                <w:color w:val="000000"/>
              </w:rPr>
            </w:pPr>
          </w:p>
          <w:p w14:paraId="3D3E8DCB" w14:textId="41B17799" w:rsidR="00B40FF1" w:rsidRDefault="00B40FF1">
            <w:pPr>
              <w:pStyle w:val="ListParagraph"/>
              <w:ind w:left="360"/>
              <w:rPr>
                <w:rFonts w:cs="Arial"/>
                <w:i/>
                <w:snapToGrid w:val="0"/>
              </w:rPr>
            </w:pPr>
            <w:r w:rsidRPr="007F1205">
              <w:rPr>
                <w:rFonts w:cs="Arial"/>
                <w:i/>
                <w:snapToGrid w:val="0"/>
              </w:rPr>
              <w:t>If “no” to question #6, skip questions #7-9 and continue to the next subsection.</w:t>
            </w:r>
            <w:r>
              <w:rPr>
                <w:rFonts w:cs="Arial"/>
                <w:i/>
                <w:snapToGrid w:val="0"/>
              </w:rPr>
              <w:t xml:space="preserve"> </w:t>
            </w:r>
            <w:r w:rsidRPr="00F61E74">
              <w:rPr>
                <w:rFonts w:cs="Arial"/>
                <w:i/>
              </w:rPr>
              <w:t>The hospital will be scored as “</w:t>
            </w:r>
            <w:r w:rsidR="00074B3B">
              <w:rPr>
                <w:rFonts w:cs="Arial"/>
                <w:i/>
              </w:rPr>
              <w:t>Did Not Measure</w:t>
            </w:r>
            <w:r w:rsidRPr="00F61E74">
              <w:rPr>
                <w:rFonts w:cs="Arial"/>
                <w:i/>
              </w:rPr>
              <w:t>.”</w:t>
            </w:r>
          </w:p>
          <w:p w14:paraId="23D26F9A" w14:textId="77777777" w:rsidR="00B40FF1" w:rsidRDefault="00B40FF1">
            <w:pPr>
              <w:pStyle w:val="ListParagraph"/>
              <w:ind w:left="360"/>
              <w:rPr>
                <w:rFonts w:cs="Arial"/>
                <w:i/>
                <w:snapToGrid w:val="0"/>
              </w:rPr>
            </w:pPr>
          </w:p>
          <w:p w14:paraId="5B102C07" w14:textId="155843E6" w:rsidR="00B40FF1" w:rsidRPr="009A5185" w:rsidRDefault="00B40FF1">
            <w:pPr>
              <w:pStyle w:val="ListParagraph"/>
              <w:ind w:left="360"/>
              <w:rPr>
                <w:rFonts w:cs="Arial"/>
                <w:b/>
                <w:snapToGrid w:val="0"/>
                <w:color w:val="000000"/>
              </w:rPr>
            </w:pPr>
            <w:r w:rsidRPr="009A5185">
              <w:rPr>
                <w:rFonts w:cs="Arial"/>
                <w:i/>
                <w:snapToGrid w:val="0"/>
              </w:rPr>
              <w:t>If “</w:t>
            </w:r>
            <w:r w:rsidR="005E1D5D">
              <w:rPr>
                <w:rFonts w:cs="Arial"/>
                <w:i/>
                <w:snapToGrid w:val="0"/>
              </w:rPr>
              <w:t>y</w:t>
            </w:r>
            <w:r>
              <w:rPr>
                <w:rFonts w:cs="Arial"/>
                <w:i/>
                <w:snapToGrid w:val="0"/>
              </w:rPr>
              <w:t>es</w:t>
            </w:r>
            <w:r w:rsidRPr="009A5185">
              <w:rPr>
                <w:rFonts w:cs="Arial"/>
                <w:i/>
                <w:snapToGrid w:val="0"/>
              </w:rPr>
              <w:t>, but fewer than 10 cases met the inclusion criteria for the denominator,</w:t>
            </w:r>
            <w:r>
              <w:rPr>
                <w:rFonts w:cs="Arial"/>
                <w:i/>
                <w:snapToGrid w:val="0"/>
              </w:rPr>
              <w:t>”</w:t>
            </w:r>
            <w:r w:rsidRPr="009A5185">
              <w:rPr>
                <w:rFonts w:cs="Arial"/>
                <w:i/>
                <w:snapToGrid w:val="0"/>
              </w:rPr>
              <w:t xml:space="preserve"> </w:t>
            </w:r>
            <w:r w:rsidRPr="007F1205">
              <w:rPr>
                <w:rFonts w:cs="Arial"/>
                <w:i/>
                <w:snapToGrid w:val="0"/>
              </w:rPr>
              <w:t xml:space="preserve">skip questions #7-9 and continue to the next </w:t>
            </w:r>
            <w:r w:rsidRPr="00AC5DD8">
              <w:rPr>
                <w:rFonts w:cs="Arial"/>
                <w:i/>
                <w:snapToGrid w:val="0"/>
              </w:rPr>
              <w:t>subsection.</w:t>
            </w:r>
            <w:r>
              <w:rPr>
                <w:rFonts w:cs="Arial"/>
                <w:i/>
                <w:snapToGrid w:val="0"/>
              </w:rPr>
              <w:t xml:space="preserve"> </w:t>
            </w:r>
            <w:r w:rsidRPr="00F61E74">
              <w:rPr>
                <w:rFonts w:cs="Arial"/>
                <w:i/>
              </w:rPr>
              <w:t>The hospital will be scored as “</w:t>
            </w:r>
            <w:r>
              <w:rPr>
                <w:rFonts w:cs="Arial"/>
                <w:i/>
              </w:rPr>
              <w:t>Unable to Calculate Score</w:t>
            </w:r>
            <w:r w:rsidRPr="00F61E74">
              <w:rPr>
                <w:rFonts w:cs="Arial"/>
                <w:i/>
              </w:rPr>
              <w:t>.”</w:t>
            </w:r>
          </w:p>
        </w:tc>
        <w:tc>
          <w:tcPr>
            <w:tcW w:w="2909" w:type="dxa"/>
            <w:vAlign w:val="center"/>
          </w:tcPr>
          <w:p w14:paraId="46323BFA" w14:textId="4A6B74E3" w:rsidR="00B40FF1" w:rsidRPr="00A31567" w:rsidRDefault="00B40FF1" w:rsidP="00AD309C">
            <w:pPr>
              <w:pStyle w:val="ListParagraph"/>
              <w:numPr>
                <w:ilvl w:val="0"/>
                <w:numId w:val="294"/>
              </w:numPr>
              <w:rPr>
                <w:rFonts w:cs="Arial"/>
                <w:iCs/>
                <w:snapToGrid w:val="0"/>
                <w:color w:val="000000"/>
              </w:rPr>
            </w:pPr>
            <w:r w:rsidRPr="00A31567">
              <w:rPr>
                <w:rFonts w:cs="Arial"/>
                <w:iCs/>
                <w:snapToGrid w:val="0"/>
                <w:color w:val="000000"/>
              </w:rPr>
              <w:t>Yes</w:t>
            </w:r>
          </w:p>
          <w:p w14:paraId="2C410896" w14:textId="2AC0D268" w:rsidR="00B40FF1" w:rsidRPr="00A31567" w:rsidRDefault="00B40FF1" w:rsidP="00AD309C">
            <w:pPr>
              <w:pStyle w:val="ListParagraph"/>
              <w:numPr>
                <w:ilvl w:val="0"/>
                <w:numId w:val="294"/>
              </w:numPr>
              <w:rPr>
                <w:rFonts w:cs="Arial"/>
                <w:iCs/>
                <w:snapToGrid w:val="0"/>
                <w:color w:val="000000"/>
              </w:rPr>
            </w:pPr>
            <w:r w:rsidRPr="00A31567">
              <w:rPr>
                <w:rFonts w:cs="Arial"/>
                <w:iCs/>
                <w:snapToGrid w:val="0"/>
                <w:color w:val="000000"/>
              </w:rPr>
              <w:t>No</w:t>
            </w:r>
          </w:p>
          <w:p w14:paraId="55F32600" w14:textId="77777777" w:rsidR="00B40FF1" w:rsidRPr="00C8246A" w:rsidRDefault="00B40FF1" w:rsidP="00AD309C">
            <w:pPr>
              <w:pStyle w:val="ListParagraph"/>
              <w:numPr>
                <w:ilvl w:val="0"/>
                <w:numId w:val="294"/>
              </w:numPr>
              <w:rPr>
                <w:rFonts w:cs="Arial"/>
                <w:i/>
                <w:snapToGrid w:val="0"/>
                <w:color w:val="000000"/>
              </w:rPr>
            </w:pPr>
            <w:r w:rsidRPr="00A31567">
              <w:rPr>
                <w:rFonts w:cs="Arial"/>
                <w:iCs/>
                <w:snapToGrid w:val="0"/>
                <w:color w:val="000000"/>
              </w:rPr>
              <w:t>Yes, but fewer than 10 cases met the inclusion criteria for the denominator</w:t>
            </w:r>
          </w:p>
        </w:tc>
      </w:tr>
      <w:tr w:rsidR="00B40FF1" w:rsidRPr="009A5185" w14:paraId="02E69EBA" w14:textId="77777777">
        <w:tc>
          <w:tcPr>
            <w:tcW w:w="6638" w:type="dxa"/>
            <w:vAlign w:val="center"/>
          </w:tcPr>
          <w:p w14:paraId="33CD6932" w14:textId="062F300D" w:rsidR="00B40FF1" w:rsidRPr="009A5185" w:rsidRDefault="00B40FF1" w:rsidP="00AD309C">
            <w:pPr>
              <w:pStyle w:val="ListParagraph"/>
              <w:numPr>
                <w:ilvl w:val="0"/>
                <w:numId w:val="38"/>
              </w:numPr>
              <w:rPr>
                <w:rFonts w:cs="Arial"/>
                <w:snapToGrid w:val="0"/>
                <w:color w:val="000000"/>
              </w:rPr>
            </w:pPr>
            <w:r w:rsidRPr="009A5185">
              <w:rPr>
                <w:rFonts w:cs="Arial"/>
                <w:snapToGrid w:val="0"/>
              </w:rPr>
              <w:t>Number of cases measured against the guideline, either all cases or a sufficient sample of them (</w:t>
            </w:r>
            <w:r w:rsidRPr="009A5185">
              <w:rPr>
                <w:rFonts w:cs="Arial"/>
                <w:b/>
                <w:snapToGrid w:val="0"/>
              </w:rPr>
              <w:t>denominator</w:t>
            </w:r>
            <w:r w:rsidRPr="009A5185">
              <w:rPr>
                <w:rFonts w:cs="Arial"/>
                <w:snapToGrid w:val="0"/>
              </w:rPr>
              <w:t>)</w:t>
            </w:r>
            <w:r w:rsidR="00EA1E10">
              <w:rPr>
                <w:rFonts w:cs="Arial"/>
                <w:snapToGrid w:val="0"/>
              </w:rPr>
              <w:t>:</w:t>
            </w:r>
          </w:p>
        </w:tc>
        <w:tc>
          <w:tcPr>
            <w:tcW w:w="2909" w:type="dxa"/>
            <w:vAlign w:val="center"/>
          </w:tcPr>
          <w:p w14:paraId="6A4974E9" w14:textId="77777777" w:rsidR="00B40FF1" w:rsidRPr="009A5185" w:rsidRDefault="00B40FF1">
            <w:pPr>
              <w:jc w:val="center"/>
              <w:rPr>
                <w:rFonts w:cs="Arial"/>
                <w:b/>
                <w:snapToGrid w:val="0"/>
                <w:color w:val="000000"/>
              </w:rPr>
            </w:pPr>
          </w:p>
          <w:p w14:paraId="1F16EF01" w14:textId="77777777" w:rsidR="00B40FF1" w:rsidRPr="009A5185" w:rsidRDefault="00B40FF1">
            <w:pPr>
              <w:jc w:val="center"/>
              <w:rPr>
                <w:rFonts w:cs="Arial"/>
                <w:b/>
                <w:snapToGrid w:val="0"/>
                <w:color w:val="000000"/>
              </w:rPr>
            </w:pPr>
            <w:r w:rsidRPr="009A5185">
              <w:rPr>
                <w:rFonts w:cs="Arial"/>
                <w:b/>
                <w:snapToGrid w:val="0"/>
                <w:color w:val="000000"/>
              </w:rPr>
              <w:t>______</w:t>
            </w:r>
          </w:p>
          <w:p w14:paraId="4DDBC378" w14:textId="77777777" w:rsidR="00B40FF1" w:rsidRPr="009A5185" w:rsidRDefault="00B40FF1">
            <w:pPr>
              <w:rPr>
                <w:rFonts w:cs="Arial"/>
                <w:b/>
                <w:snapToGrid w:val="0"/>
                <w:color w:val="000000"/>
              </w:rPr>
            </w:pPr>
          </w:p>
        </w:tc>
      </w:tr>
      <w:tr w:rsidR="00B40FF1" w:rsidRPr="009A5185" w14:paraId="53544452" w14:textId="77777777">
        <w:tc>
          <w:tcPr>
            <w:tcW w:w="6638" w:type="dxa"/>
            <w:vAlign w:val="center"/>
          </w:tcPr>
          <w:p w14:paraId="6463E7A9" w14:textId="1CAA1E29" w:rsidR="00B40FF1" w:rsidRPr="009A5185" w:rsidRDefault="00B40FF1" w:rsidP="00AD309C">
            <w:pPr>
              <w:pStyle w:val="ListParagraph"/>
              <w:numPr>
                <w:ilvl w:val="0"/>
                <w:numId w:val="38"/>
              </w:numPr>
              <w:rPr>
                <w:rFonts w:cs="Arial"/>
                <w:snapToGrid w:val="0"/>
                <w:color w:val="000000"/>
              </w:rPr>
            </w:pPr>
            <w:r>
              <w:rPr>
                <w:rFonts w:cs="Arial"/>
                <w:snapToGrid w:val="0"/>
              </w:rPr>
              <w:t>Number of cases in question #7</w:t>
            </w:r>
            <w:r w:rsidRPr="009A5185">
              <w:rPr>
                <w:rFonts w:cs="Arial"/>
                <w:snapToGrid w:val="0"/>
              </w:rPr>
              <w:t xml:space="preserve"> that </w:t>
            </w:r>
            <w:r w:rsidRPr="009A5185">
              <w:rPr>
                <w:rFonts w:cs="Arial"/>
                <w:snapToGrid w:val="0"/>
                <w:color w:val="000000"/>
              </w:rPr>
              <w:t>adhere to the clinical process guideline (</w:t>
            </w:r>
            <w:r w:rsidRPr="009A5185">
              <w:rPr>
                <w:rFonts w:cs="Arial"/>
                <w:b/>
                <w:snapToGrid w:val="0"/>
                <w:color w:val="000000"/>
              </w:rPr>
              <w:t>numerator</w:t>
            </w:r>
            <w:r w:rsidRPr="009A5185">
              <w:rPr>
                <w:rFonts w:cs="Arial"/>
                <w:snapToGrid w:val="0"/>
                <w:color w:val="000000"/>
              </w:rPr>
              <w:t>)</w:t>
            </w:r>
            <w:r w:rsidR="00EA1E10">
              <w:rPr>
                <w:rFonts w:cs="Arial"/>
                <w:snapToGrid w:val="0"/>
                <w:color w:val="000000"/>
              </w:rPr>
              <w:t>:</w:t>
            </w:r>
          </w:p>
        </w:tc>
        <w:tc>
          <w:tcPr>
            <w:tcW w:w="2909" w:type="dxa"/>
            <w:vAlign w:val="center"/>
          </w:tcPr>
          <w:p w14:paraId="67BB3109" w14:textId="77777777" w:rsidR="00B40FF1" w:rsidRPr="009A5185" w:rsidRDefault="00B40FF1">
            <w:pPr>
              <w:jc w:val="center"/>
              <w:rPr>
                <w:rFonts w:cs="Arial"/>
                <w:b/>
                <w:snapToGrid w:val="0"/>
                <w:color w:val="000000"/>
              </w:rPr>
            </w:pPr>
          </w:p>
          <w:p w14:paraId="135513AB" w14:textId="77777777" w:rsidR="00B40FF1" w:rsidRPr="009A5185" w:rsidRDefault="00B40FF1">
            <w:pPr>
              <w:jc w:val="center"/>
              <w:rPr>
                <w:rFonts w:cs="Arial"/>
                <w:b/>
                <w:snapToGrid w:val="0"/>
                <w:color w:val="000000"/>
              </w:rPr>
            </w:pPr>
            <w:r w:rsidRPr="009A5185">
              <w:rPr>
                <w:rFonts w:cs="Arial"/>
                <w:b/>
                <w:snapToGrid w:val="0"/>
                <w:color w:val="000000"/>
              </w:rPr>
              <w:t>______</w:t>
            </w:r>
          </w:p>
          <w:p w14:paraId="41E04217" w14:textId="77777777" w:rsidR="00B40FF1" w:rsidRPr="009A5185" w:rsidRDefault="00B40FF1">
            <w:pPr>
              <w:jc w:val="center"/>
              <w:rPr>
                <w:rFonts w:cs="Arial"/>
                <w:b/>
                <w:snapToGrid w:val="0"/>
                <w:color w:val="000000"/>
              </w:rPr>
            </w:pPr>
          </w:p>
        </w:tc>
      </w:tr>
      <w:tr w:rsidR="00B40FF1" w:rsidRPr="009A5185" w14:paraId="79EAB34A" w14:textId="77777777" w:rsidTr="0053434E">
        <w:trPr>
          <w:trHeight w:val="576"/>
        </w:trPr>
        <w:tc>
          <w:tcPr>
            <w:tcW w:w="6638" w:type="dxa"/>
            <w:vAlign w:val="center"/>
          </w:tcPr>
          <w:p w14:paraId="62CDE111" w14:textId="77777777" w:rsidR="00B40FF1" w:rsidRPr="009A5185" w:rsidRDefault="00B40FF1" w:rsidP="00AD309C">
            <w:pPr>
              <w:pStyle w:val="ListParagraph"/>
              <w:numPr>
                <w:ilvl w:val="0"/>
                <w:numId w:val="38"/>
              </w:numPr>
              <w:rPr>
                <w:rFonts w:cs="Arial"/>
                <w:snapToGrid w:val="0"/>
                <w:color w:val="000000"/>
              </w:rPr>
            </w:pPr>
            <w:r w:rsidRPr="002D4572">
              <w:rPr>
                <w:rFonts w:cs="Arial"/>
                <w:snapToGrid w:val="0"/>
                <w:color w:val="000000"/>
              </w:rPr>
              <w:t>Do the responses in questions #7 and #8 represent a sample of cases?</w:t>
            </w:r>
            <w:r w:rsidRPr="009A5185">
              <w:rPr>
                <w:rFonts w:cs="Arial"/>
                <w:snapToGrid w:val="0"/>
                <w:color w:val="000000"/>
              </w:rPr>
              <w:t xml:space="preserve"> </w:t>
            </w:r>
          </w:p>
        </w:tc>
        <w:tc>
          <w:tcPr>
            <w:tcW w:w="2909" w:type="dxa"/>
            <w:vAlign w:val="center"/>
          </w:tcPr>
          <w:p w14:paraId="0F403CDE" w14:textId="77777777" w:rsidR="00B40FF1" w:rsidRPr="00A31567" w:rsidRDefault="00B40FF1" w:rsidP="00AD309C">
            <w:pPr>
              <w:pStyle w:val="ListParagraph"/>
              <w:numPr>
                <w:ilvl w:val="0"/>
                <w:numId w:val="295"/>
              </w:numPr>
              <w:rPr>
                <w:rFonts w:cs="Arial"/>
                <w:iCs/>
                <w:snapToGrid w:val="0"/>
                <w:color w:val="000000"/>
              </w:rPr>
            </w:pPr>
            <w:r w:rsidRPr="00A31567">
              <w:rPr>
                <w:rFonts w:cs="Arial"/>
                <w:iCs/>
                <w:snapToGrid w:val="0"/>
                <w:color w:val="000000"/>
              </w:rPr>
              <w:t>Yes</w:t>
            </w:r>
          </w:p>
          <w:p w14:paraId="2E6BD582" w14:textId="77777777" w:rsidR="00B40FF1" w:rsidRPr="00C8246A" w:rsidRDefault="00B40FF1" w:rsidP="00AD309C">
            <w:pPr>
              <w:pStyle w:val="ListParagraph"/>
              <w:numPr>
                <w:ilvl w:val="0"/>
                <w:numId w:val="295"/>
              </w:numPr>
              <w:rPr>
                <w:rFonts w:cs="Arial"/>
                <w:i/>
                <w:snapToGrid w:val="0"/>
                <w:color w:val="000000"/>
              </w:rPr>
            </w:pPr>
            <w:r w:rsidRPr="00A31567">
              <w:rPr>
                <w:rFonts w:cs="Arial"/>
                <w:iCs/>
                <w:snapToGrid w:val="0"/>
                <w:color w:val="000000"/>
              </w:rPr>
              <w:t>No</w:t>
            </w:r>
          </w:p>
        </w:tc>
      </w:tr>
    </w:tbl>
    <w:p w14:paraId="0B70979D" w14:textId="79751F40" w:rsidR="00D902EC" w:rsidRDefault="00B40FF1">
      <w:pPr>
        <w:rPr>
          <w:b/>
          <w:snapToGrid w:val="0"/>
          <w:sz w:val="28"/>
          <w:szCs w:val="24"/>
          <w:u w:val="single"/>
          <w:lang w:eastAsia="ja-JP"/>
        </w:rPr>
      </w:pPr>
      <w:r>
        <w:t xml:space="preserve"> </w:t>
      </w:r>
      <w:r w:rsidR="00D902EC">
        <w:br w:type="page"/>
      </w:r>
    </w:p>
    <w:p w14:paraId="2CE3F204" w14:textId="689B1878" w:rsidR="005E1D5D" w:rsidRDefault="005E1D5D" w:rsidP="00CF5A6E">
      <w:pPr>
        <w:pStyle w:val="Heading2"/>
      </w:pPr>
      <w:bookmarkStart w:id="310" w:name="_Toc225877733"/>
      <w:r>
        <w:lastRenderedPageBreak/>
        <w:t>4</w:t>
      </w:r>
      <w:r w:rsidR="0016658F">
        <w:t>E</w:t>
      </w:r>
      <w:r>
        <w:t>: High-Risk Deliveries</w:t>
      </w:r>
      <w:bookmarkEnd w:id="310"/>
    </w:p>
    <w:p w14:paraId="7CA7A71C" w14:textId="5DD03B68" w:rsidR="005E1D5D" w:rsidRPr="008D20D6" w:rsidRDefault="005E1D5D"/>
    <w:p w14:paraId="5E9C68EE" w14:textId="5C072C37" w:rsidR="005E1D5D" w:rsidRDefault="005E1D5D" w:rsidP="005E1D5D">
      <w:pPr>
        <w:rPr>
          <w:rFonts w:cs="Arial"/>
          <w:snapToGrid w:val="0"/>
        </w:rPr>
      </w:pPr>
      <w:r w:rsidRPr="009A5185">
        <w:rPr>
          <w:rFonts w:cs="Arial"/>
          <w:snapToGrid w:val="0"/>
        </w:rPr>
        <w:t xml:space="preserve">Hospitals that share a </w:t>
      </w:r>
      <w:r>
        <w:rPr>
          <w:rFonts w:cs="Arial"/>
          <w:snapToGrid w:val="0"/>
        </w:rPr>
        <w:t>CMS Certification Number</w:t>
      </w:r>
      <w:r w:rsidRPr="009A5185" w:rsidDel="0057514E">
        <w:rPr>
          <w:rFonts w:cs="Arial"/>
          <w:snapToGrid w:val="0"/>
        </w:rPr>
        <w:t xml:space="preserve"> </w:t>
      </w:r>
      <w:r w:rsidRPr="009A5185">
        <w:rPr>
          <w:rFonts w:cs="Arial"/>
          <w:snapToGrid w:val="0"/>
        </w:rPr>
        <w:t xml:space="preserve">are required to report by facility. Please carefully review </w:t>
      </w:r>
      <w:hyperlink r:id="rId264" w:history="1">
        <w:r w:rsidRPr="009A5185">
          <w:rPr>
            <w:rStyle w:val="Hyperlink"/>
            <w:rFonts w:cs="Arial"/>
            <w:snapToGrid w:val="0"/>
          </w:rPr>
          <w:t>Leapfrog’s Multi-Campus Reporting Policy</w:t>
        </w:r>
      </w:hyperlink>
      <w:r w:rsidRPr="009A5185">
        <w:rPr>
          <w:rFonts w:cs="Arial"/>
          <w:snapToGrid w:val="0"/>
        </w:rPr>
        <w:t>.</w:t>
      </w:r>
    </w:p>
    <w:p w14:paraId="043100DF" w14:textId="77777777" w:rsidR="007C23EA" w:rsidRDefault="007C23EA" w:rsidP="005E1D5D">
      <w:pPr>
        <w:rPr>
          <w:rFonts w:cs="Arial"/>
          <w:snapToGrid w:val="0"/>
        </w:rPr>
      </w:pPr>
    </w:p>
    <w:p w14:paraId="77A4A37A" w14:textId="55992D32" w:rsidR="00B82E07" w:rsidRDefault="007C23EA" w:rsidP="005E1D5D">
      <w:pPr>
        <w:rPr>
          <w:rFonts w:cs="Arial"/>
          <w:snapToGrid w:val="0"/>
        </w:rPr>
      </w:pPr>
      <w:r w:rsidRPr="00873014">
        <w:rPr>
          <w:rFonts w:cs="Arial"/>
          <w:b/>
          <w:snapToGrid w:val="0"/>
          <w:color w:val="FF0000"/>
        </w:rPr>
        <w:t>Important Note:</w:t>
      </w:r>
      <w:r>
        <w:rPr>
          <w:rFonts w:cs="Arial"/>
          <w:b/>
          <w:snapToGrid w:val="0"/>
          <w:color w:val="FF0000"/>
        </w:rPr>
        <w:t xml:space="preserve"> </w:t>
      </w:r>
      <w:r>
        <w:rPr>
          <w:rFonts w:cs="Arial"/>
          <w:snapToGrid w:val="0"/>
        </w:rPr>
        <w:t>Only include units that were open for the entire reporting period and that remain currently open.</w:t>
      </w:r>
    </w:p>
    <w:p w14:paraId="2C3464C2" w14:textId="77777777" w:rsidR="00AA2DEE" w:rsidRDefault="00AA2DEE" w:rsidP="005E1D5D">
      <w:pPr>
        <w:rPr>
          <w:rFonts w:cs="Arial"/>
          <w:snapToGrid w:val="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8"/>
        <w:gridCol w:w="2430"/>
      </w:tblGrid>
      <w:tr w:rsidR="006E50EF" w:rsidRPr="009A5185" w14:paraId="3D5F53DB" w14:textId="77777777" w:rsidTr="00A31567">
        <w:trPr>
          <w:trHeight w:val="20"/>
        </w:trPr>
        <w:tc>
          <w:tcPr>
            <w:tcW w:w="7038" w:type="dxa"/>
            <w:vAlign w:val="center"/>
          </w:tcPr>
          <w:p w14:paraId="0525CAB2" w14:textId="12291FE7" w:rsidR="006E50EF" w:rsidRPr="00A67E5E" w:rsidRDefault="006E50EF" w:rsidP="00AD309C">
            <w:pPr>
              <w:numPr>
                <w:ilvl w:val="0"/>
                <w:numId w:val="10"/>
              </w:numPr>
              <w:rPr>
                <w:rFonts w:cs="Arial"/>
                <w:snapToGrid w:val="0"/>
                <w:color w:val="000000"/>
              </w:rPr>
            </w:pPr>
            <w:r w:rsidRPr="00A67E5E">
              <w:rPr>
                <w:rFonts w:cs="Arial"/>
                <w:snapToGrid w:val="0"/>
              </w:rPr>
              <w:t>Does your hospital</w:t>
            </w:r>
            <w:r w:rsidR="00C8246A">
              <w:t xml:space="preserve"> </w:t>
            </w:r>
            <w:hyperlink w:anchor="Endnote18_HighRiskDel" w:history="1">
              <w:r w:rsidR="00C8246A" w:rsidRPr="00C8246A">
                <w:rPr>
                  <w:rStyle w:val="Hyperlink"/>
                </w:rPr>
                <w:t>admit high-risk deliveries</w:t>
              </w:r>
            </w:hyperlink>
            <w:r w:rsidR="00BF053F">
              <w:rPr>
                <w:rFonts w:ascii="ZWAdobeF" w:hAnsi="ZWAdobeF" w:cs="ZWAdobeF"/>
                <w:sz w:val="2"/>
                <w:szCs w:val="2"/>
              </w:rPr>
              <w:t>29F</w:t>
            </w:r>
            <w:r w:rsidR="004C7557">
              <w:rPr>
                <w:rFonts w:ascii="ZWAdobeF" w:hAnsi="ZWAdobeF" w:cs="ZWAdobeF"/>
                <w:sz w:val="2"/>
                <w:szCs w:val="2"/>
              </w:rPr>
              <w:t>29F</w:t>
            </w:r>
            <w:r w:rsidR="00C2087D">
              <w:rPr>
                <w:rFonts w:ascii="ZWAdobeF" w:hAnsi="ZWAdobeF" w:cs="ZWAdobeF"/>
                <w:sz w:val="2"/>
                <w:szCs w:val="2"/>
              </w:rPr>
              <w:t>29F</w:t>
            </w:r>
            <w:r w:rsidR="00B55C41">
              <w:rPr>
                <w:rFonts w:ascii="ZWAdobeF" w:hAnsi="ZWAdobeF" w:cs="ZWAdobeF"/>
                <w:sz w:val="2"/>
                <w:szCs w:val="2"/>
              </w:rPr>
              <w:t>29F</w:t>
            </w:r>
            <w:r w:rsidR="006255A6">
              <w:rPr>
                <w:rFonts w:ascii="ZWAdobeF" w:hAnsi="ZWAdobeF" w:cs="ZWAdobeF"/>
                <w:sz w:val="2"/>
                <w:szCs w:val="2"/>
              </w:rPr>
              <w:t>29F</w:t>
            </w:r>
            <w:r w:rsidR="00E453C7">
              <w:rPr>
                <w:rFonts w:ascii="ZWAdobeF" w:hAnsi="ZWAdobeF" w:cs="ZWAdobeF"/>
                <w:sz w:val="2"/>
                <w:szCs w:val="2"/>
              </w:rPr>
              <w:t>29F</w:t>
            </w:r>
            <w:r w:rsidR="00953060">
              <w:rPr>
                <w:rFonts w:ascii="ZWAdobeF" w:hAnsi="ZWAdobeF" w:cs="ZWAdobeF"/>
                <w:sz w:val="2"/>
                <w:szCs w:val="2"/>
              </w:rPr>
              <w:t>29F</w:t>
            </w:r>
            <w:r w:rsidR="00DD04D6">
              <w:rPr>
                <w:rFonts w:ascii="ZWAdobeF" w:hAnsi="ZWAdobeF" w:cs="ZWAdobeF"/>
                <w:sz w:val="2"/>
                <w:szCs w:val="2"/>
              </w:rPr>
              <w:t>29F</w:t>
            </w:r>
            <w:r w:rsidRPr="00A67E5E">
              <w:rPr>
                <w:rStyle w:val="EndnoteReference"/>
                <w:rFonts w:cs="Arial"/>
              </w:rPr>
              <w:endnoteReference w:id="31"/>
            </w:r>
            <w:r w:rsidRPr="00A67E5E">
              <w:rPr>
                <w:rFonts w:cs="Arial"/>
                <w:snapToGrid w:val="0"/>
              </w:rPr>
              <w:t>?</w:t>
            </w:r>
          </w:p>
          <w:p w14:paraId="15DDD300" w14:textId="77777777" w:rsidR="005B447F" w:rsidRPr="00A67E5E" w:rsidRDefault="005B447F" w:rsidP="0064148D">
            <w:pPr>
              <w:ind w:left="360"/>
              <w:rPr>
                <w:rFonts w:cs="Arial"/>
                <w:i/>
                <w:snapToGrid w:val="0"/>
                <w:color w:val="000000"/>
              </w:rPr>
            </w:pPr>
          </w:p>
          <w:p w14:paraId="79F473A6" w14:textId="0BC86066" w:rsidR="006E50EF" w:rsidRPr="00A67E5E" w:rsidRDefault="00166B81" w:rsidP="001216D4">
            <w:pPr>
              <w:ind w:left="360"/>
              <w:rPr>
                <w:rFonts w:cs="Arial"/>
                <w:i/>
                <w:snapToGrid w:val="0"/>
                <w:color w:val="000000"/>
              </w:rPr>
            </w:pPr>
            <w:r w:rsidRPr="00A67E5E">
              <w:rPr>
                <w:rFonts w:cs="Arial"/>
                <w:i/>
                <w:snapToGrid w:val="0"/>
                <w:color w:val="000000"/>
              </w:rPr>
              <w:t>If “no”</w:t>
            </w:r>
            <w:r w:rsidR="00DA6837" w:rsidRPr="00A67E5E">
              <w:rPr>
                <w:rFonts w:cs="Arial"/>
                <w:i/>
                <w:snapToGrid w:val="0"/>
                <w:color w:val="000000"/>
              </w:rPr>
              <w:t xml:space="preserve"> </w:t>
            </w:r>
            <w:r w:rsidR="00DA6837" w:rsidRPr="00377699">
              <w:rPr>
                <w:rFonts w:cs="Arial"/>
                <w:i/>
                <w:snapToGrid w:val="0"/>
                <w:color w:val="000000"/>
              </w:rPr>
              <w:t>or “yes, but only on an emergency basis or when a patient is too unstable for safe transfer,”</w:t>
            </w:r>
            <w:r w:rsidR="001216D4" w:rsidRPr="00A67E5E">
              <w:rPr>
                <w:rFonts w:cs="Arial"/>
                <w:i/>
                <w:snapToGrid w:val="0"/>
                <w:color w:val="000000"/>
              </w:rPr>
              <w:t xml:space="preserve"> </w:t>
            </w:r>
            <w:r w:rsidR="00551848" w:rsidRPr="00A67E5E">
              <w:rPr>
                <w:rFonts w:cs="Arial"/>
                <w:i/>
                <w:snapToGrid w:val="0"/>
              </w:rPr>
              <w:t xml:space="preserve">skip </w:t>
            </w:r>
            <w:r w:rsidR="001216D4" w:rsidRPr="00A67E5E">
              <w:rPr>
                <w:rFonts w:cs="Arial"/>
                <w:i/>
                <w:snapToGrid w:val="0"/>
              </w:rPr>
              <w:t xml:space="preserve">the remaining </w:t>
            </w:r>
            <w:r w:rsidR="00551848" w:rsidRPr="00A67E5E">
              <w:rPr>
                <w:rFonts w:cs="Arial"/>
                <w:i/>
                <w:snapToGrid w:val="0"/>
              </w:rPr>
              <w:t>questions</w:t>
            </w:r>
            <w:r w:rsidR="001216D4" w:rsidRPr="00A67E5E">
              <w:rPr>
                <w:rFonts w:cs="Arial"/>
                <w:i/>
                <w:snapToGrid w:val="0"/>
              </w:rPr>
              <w:t xml:space="preserve"> in Section 4</w:t>
            </w:r>
            <w:r w:rsidR="0016658F">
              <w:rPr>
                <w:rFonts w:cs="Arial"/>
                <w:i/>
                <w:snapToGrid w:val="0"/>
              </w:rPr>
              <w:t>E</w:t>
            </w:r>
            <w:r w:rsidR="00551848" w:rsidRPr="00A67E5E">
              <w:rPr>
                <w:rFonts w:cs="Arial"/>
                <w:i/>
                <w:snapToGrid w:val="0"/>
              </w:rPr>
              <w:t xml:space="preserve">, and </w:t>
            </w:r>
            <w:r w:rsidR="009C0ACF" w:rsidRPr="00A67E5E">
              <w:rPr>
                <w:rFonts w:cs="Arial"/>
                <w:i/>
                <w:snapToGrid w:val="0"/>
              </w:rPr>
              <w:t xml:space="preserve">go </w:t>
            </w:r>
            <w:r w:rsidR="000021BF">
              <w:rPr>
                <w:rFonts w:cs="Arial"/>
                <w:i/>
                <w:snapToGrid w:val="0"/>
              </w:rPr>
              <w:t>to the Affirmation of Accuracy.</w:t>
            </w:r>
            <w:r w:rsidR="00AB0752">
              <w:rPr>
                <w:rFonts w:cs="Arial"/>
                <w:i/>
                <w:snapToGrid w:val="0"/>
              </w:rPr>
              <w:t xml:space="preserve"> The hospital </w:t>
            </w:r>
            <w:r w:rsidR="00567FD1">
              <w:rPr>
                <w:rFonts w:cs="Arial"/>
                <w:i/>
                <w:snapToGrid w:val="0"/>
              </w:rPr>
              <w:t>will be scored as “Does Not Apply.”</w:t>
            </w:r>
          </w:p>
        </w:tc>
        <w:tc>
          <w:tcPr>
            <w:tcW w:w="2430" w:type="dxa"/>
            <w:vAlign w:val="center"/>
          </w:tcPr>
          <w:p w14:paraId="3205A08A" w14:textId="77777777" w:rsidR="006E50EF" w:rsidRPr="00A31567" w:rsidRDefault="006E50EF" w:rsidP="00AD309C">
            <w:pPr>
              <w:pStyle w:val="ListParagraph"/>
              <w:numPr>
                <w:ilvl w:val="0"/>
                <w:numId w:val="340"/>
              </w:numPr>
              <w:rPr>
                <w:rFonts w:cs="Arial"/>
                <w:iCs/>
                <w:snapToGrid w:val="0"/>
              </w:rPr>
            </w:pPr>
            <w:r w:rsidRPr="00A31567">
              <w:rPr>
                <w:rFonts w:cs="Arial"/>
                <w:iCs/>
                <w:snapToGrid w:val="0"/>
              </w:rPr>
              <w:t>Yes</w:t>
            </w:r>
          </w:p>
          <w:p w14:paraId="62E9B823" w14:textId="77777777" w:rsidR="006E50EF" w:rsidRDefault="006E50EF" w:rsidP="00AD309C">
            <w:pPr>
              <w:pStyle w:val="ListParagraph"/>
              <w:numPr>
                <w:ilvl w:val="0"/>
                <w:numId w:val="340"/>
              </w:numPr>
              <w:rPr>
                <w:rFonts w:cs="Arial"/>
                <w:iCs/>
                <w:snapToGrid w:val="0"/>
              </w:rPr>
            </w:pPr>
            <w:r w:rsidRPr="00A31567">
              <w:rPr>
                <w:rFonts w:cs="Arial"/>
                <w:iCs/>
                <w:snapToGrid w:val="0"/>
              </w:rPr>
              <w:t>No</w:t>
            </w:r>
          </w:p>
          <w:p w14:paraId="1CECA414" w14:textId="3B49FBCB" w:rsidR="00783B4C" w:rsidRPr="00A31567" w:rsidRDefault="00783B4C" w:rsidP="00AD309C">
            <w:pPr>
              <w:pStyle w:val="ListParagraph"/>
              <w:numPr>
                <w:ilvl w:val="0"/>
                <w:numId w:val="340"/>
              </w:numPr>
              <w:rPr>
                <w:rFonts w:cs="Arial"/>
                <w:iCs/>
                <w:snapToGrid w:val="0"/>
              </w:rPr>
            </w:pPr>
            <w:r>
              <w:rPr>
                <w:rFonts w:cs="Arial"/>
                <w:iCs/>
                <w:snapToGrid w:val="0"/>
              </w:rPr>
              <w:t>Yes, but only on an emergency basis or when a patient is too unstable for safe transfer</w:t>
            </w:r>
          </w:p>
        </w:tc>
      </w:tr>
      <w:tr w:rsidR="006E50EF" w:rsidRPr="009A5185" w14:paraId="778FB7AD" w14:textId="77777777" w:rsidTr="00A31567">
        <w:trPr>
          <w:trHeight w:val="1296"/>
        </w:trPr>
        <w:tc>
          <w:tcPr>
            <w:tcW w:w="7038" w:type="dxa"/>
            <w:vAlign w:val="center"/>
          </w:tcPr>
          <w:p w14:paraId="0D20C211" w14:textId="406A9945" w:rsidR="005B447F" w:rsidRPr="009A5185" w:rsidRDefault="006E50EF" w:rsidP="00AD309C">
            <w:pPr>
              <w:numPr>
                <w:ilvl w:val="0"/>
                <w:numId w:val="10"/>
              </w:numPr>
              <w:rPr>
                <w:rFonts w:cs="Arial"/>
                <w:snapToGrid w:val="0"/>
              </w:rPr>
            </w:pPr>
            <w:r w:rsidRPr="009A5185">
              <w:rPr>
                <w:rFonts w:cs="Arial"/>
                <w:snapToGrid w:val="0"/>
                <w:color w:val="000000"/>
              </w:rPr>
              <w:t xml:space="preserve">Does your hospital </w:t>
            </w:r>
            <w:r w:rsidRPr="00772AF8">
              <w:rPr>
                <w:rFonts w:cs="Arial"/>
                <w:snapToGrid w:val="0"/>
                <w:color w:val="000000"/>
              </w:rPr>
              <w:t xml:space="preserve">operate a </w:t>
            </w:r>
            <w:r w:rsidR="002A3672">
              <w:rPr>
                <w:rFonts w:cs="Arial"/>
                <w:snapToGrid w:val="0"/>
                <w:color w:val="000000"/>
              </w:rPr>
              <w:t xml:space="preserve">Level II/III, Level III, or Level IV </w:t>
            </w:r>
            <w:r w:rsidRPr="00772AF8">
              <w:rPr>
                <w:rFonts w:cs="Arial"/>
                <w:snapToGrid w:val="0"/>
                <w:color w:val="000000"/>
              </w:rPr>
              <w:t>neonatal ICU</w:t>
            </w:r>
            <w:r w:rsidR="0007539E" w:rsidRPr="00772AF8">
              <w:rPr>
                <w:rFonts w:cs="Arial"/>
                <w:snapToGrid w:val="0"/>
                <w:color w:val="000000"/>
              </w:rPr>
              <w:t xml:space="preserve"> (NICU)</w:t>
            </w:r>
            <w:r w:rsidRPr="00772AF8">
              <w:rPr>
                <w:rFonts w:cs="Arial"/>
                <w:snapToGrid w:val="0"/>
                <w:color w:val="000000"/>
              </w:rPr>
              <w:t xml:space="preserve">, or is it </w:t>
            </w:r>
            <w:hyperlink w:anchor="Endnote19_ColocatedNICU" w:history="1">
              <w:r w:rsidRPr="00772AF8">
                <w:rPr>
                  <w:rStyle w:val="Hyperlink"/>
                  <w:rFonts w:cs="Arial"/>
                  <w:snapToGrid w:val="0"/>
                </w:rPr>
                <w:t>co-located</w:t>
              </w:r>
            </w:hyperlink>
            <w:bookmarkStart w:id="312" w:name="_Ref2332683"/>
            <w:r w:rsidR="000F0582">
              <w:rPr>
                <w:rStyle w:val="Hyperlink"/>
                <w:rFonts w:ascii="ZWAdobeF" w:hAnsi="ZWAdobeF" w:cs="ZWAdobeF"/>
                <w:snapToGrid w:val="0"/>
                <w:color w:val="auto"/>
                <w:sz w:val="2"/>
                <w:szCs w:val="2"/>
                <w:u w:val="none"/>
              </w:rPr>
              <w:t>29F</w:t>
            </w:r>
            <w:bookmarkStart w:id="313" w:name="_Ref134616250"/>
            <w:r w:rsidR="00BF053F">
              <w:rPr>
                <w:rStyle w:val="Hyperlink"/>
                <w:rFonts w:ascii="ZWAdobeF" w:hAnsi="ZWAdobeF" w:cs="ZWAdobeF"/>
                <w:snapToGrid w:val="0"/>
                <w:color w:val="auto"/>
                <w:sz w:val="2"/>
                <w:szCs w:val="2"/>
                <w:u w:val="none"/>
              </w:rPr>
              <w:t>30F</w:t>
            </w:r>
            <w:r w:rsidR="004C7557">
              <w:rPr>
                <w:rStyle w:val="Hyperlink"/>
                <w:rFonts w:ascii="ZWAdobeF" w:hAnsi="ZWAdobeF" w:cs="ZWAdobeF"/>
                <w:snapToGrid w:val="0"/>
                <w:color w:val="auto"/>
                <w:sz w:val="2"/>
                <w:szCs w:val="2"/>
                <w:u w:val="none"/>
              </w:rPr>
              <w:t>30F</w:t>
            </w:r>
            <w:r w:rsidR="00C2087D">
              <w:rPr>
                <w:rStyle w:val="Hyperlink"/>
                <w:rFonts w:ascii="ZWAdobeF" w:hAnsi="ZWAdobeF" w:cs="ZWAdobeF"/>
                <w:snapToGrid w:val="0"/>
                <w:color w:val="auto"/>
                <w:sz w:val="2"/>
                <w:szCs w:val="2"/>
                <w:u w:val="none"/>
              </w:rPr>
              <w:t>30F</w:t>
            </w:r>
            <w:r w:rsidR="00B55C41">
              <w:rPr>
                <w:rStyle w:val="Hyperlink"/>
                <w:rFonts w:ascii="ZWAdobeF" w:hAnsi="ZWAdobeF" w:cs="ZWAdobeF"/>
                <w:snapToGrid w:val="0"/>
                <w:color w:val="auto"/>
                <w:sz w:val="2"/>
                <w:szCs w:val="2"/>
                <w:u w:val="none"/>
              </w:rPr>
              <w:t>30F</w:t>
            </w:r>
            <w:r w:rsidR="006255A6">
              <w:rPr>
                <w:rStyle w:val="Hyperlink"/>
                <w:rFonts w:ascii="ZWAdobeF" w:hAnsi="ZWAdobeF" w:cs="ZWAdobeF"/>
                <w:snapToGrid w:val="0"/>
                <w:color w:val="auto"/>
                <w:sz w:val="2"/>
                <w:szCs w:val="2"/>
                <w:u w:val="none"/>
              </w:rPr>
              <w:t>30F</w:t>
            </w:r>
            <w:r w:rsidR="00E453C7">
              <w:rPr>
                <w:rStyle w:val="Hyperlink"/>
                <w:rFonts w:ascii="ZWAdobeF" w:hAnsi="ZWAdobeF" w:cs="ZWAdobeF"/>
                <w:snapToGrid w:val="0"/>
                <w:color w:val="auto"/>
                <w:sz w:val="2"/>
                <w:szCs w:val="2"/>
                <w:u w:val="none"/>
              </w:rPr>
              <w:t>30F</w:t>
            </w:r>
            <w:r w:rsidR="00953060">
              <w:rPr>
                <w:rStyle w:val="Hyperlink"/>
                <w:rFonts w:ascii="ZWAdobeF" w:hAnsi="ZWAdobeF" w:cs="ZWAdobeF"/>
                <w:snapToGrid w:val="0"/>
                <w:color w:val="auto"/>
                <w:sz w:val="2"/>
                <w:szCs w:val="2"/>
                <w:u w:val="none"/>
              </w:rPr>
              <w:t>30F</w:t>
            </w:r>
            <w:r w:rsidR="00DD04D6">
              <w:rPr>
                <w:rStyle w:val="Hyperlink"/>
                <w:rFonts w:ascii="ZWAdobeF" w:hAnsi="ZWAdobeF" w:cs="ZWAdobeF"/>
                <w:snapToGrid w:val="0"/>
                <w:color w:val="auto"/>
                <w:sz w:val="2"/>
                <w:szCs w:val="2"/>
                <w:u w:val="none"/>
              </w:rPr>
              <w:t>30F</w:t>
            </w:r>
            <w:r w:rsidRPr="00772AF8">
              <w:rPr>
                <w:rStyle w:val="EndnoteReference"/>
                <w:rFonts w:cs="Arial"/>
                <w:snapToGrid w:val="0"/>
                <w:color w:val="000000"/>
              </w:rPr>
              <w:endnoteReference w:id="32"/>
            </w:r>
            <w:bookmarkEnd w:id="312"/>
            <w:bookmarkEnd w:id="313"/>
            <w:r w:rsidRPr="00772AF8">
              <w:rPr>
                <w:rFonts w:cs="Arial"/>
                <w:snapToGrid w:val="0"/>
                <w:color w:val="000000"/>
              </w:rPr>
              <w:t xml:space="preserve"> with a hospital that operates a NICU, that admits or</w:t>
            </w:r>
            <w:r w:rsidRPr="009A5185">
              <w:rPr>
                <w:rFonts w:cs="Arial"/>
                <w:snapToGrid w:val="0"/>
                <w:color w:val="000000"/>
              </w:rPr>
              <w:t xml:space="preserve"> accepts transfers of </w:t>
            </w:r>
            <w:hyperlink w:anchor="Endnote20_VLBW" w:history="1">
              <w:r w:rsidRPr="009A5185">
                <w:rPr>
                  <w:rStyle w:val="Hyperlink"/>
                  <w:rFonts w:cs="Arial"/>
                  <w:snapToGrid w:val="0"/>
                </w:rPr>
                <w:t>very</w:t>
              </w:r>
              <w:r w:rsidR="00D86F2A">
                <w:rPr>
                  <w:rStyle w:val="Hyperlink"/>
                  <w:rFonts w:cs="Arial"/>
                  <w:snapToGrid w:val="0"/>
                </w:rPr>
                <w:t xml:space="preserve"> </w:t>
              </w:r>
              <w:r w:rsidRPr="009A5185">
                <w:rPr>
                  <w:rStyle w:val="Hyperlink"/>
                  <w:rFonts w:cs="Arial"/>
                  <w:snapToGrid w:val="0"/>
                </w:rPr>
                <w:t>low birth</w:t>
              </w:r>
              <w:r w:rsidR="00D86F2A">
                <w:rPr>
                  <w:rStyle w:val="Hyperlink"/>
                  <w:rFonts w:cs="Arial"/>
                  <w:snapToGrid w:val="0"/>
                </w:rPr>
                <w:t xml:space="preserve"> </w:t>
              </w:r>
              <w:r w:rsidRPr="009A5185">
                <w:rPr>
                  <w:rStyle w:val="Hyperlink"/>
                  <w:rFonts w:cs="Arial"/>
                  <w:snapToGrid w:val="0"/>
                </w:rPr>
                <w:t>weight babies</w:t>
              </w:r>
            </w:hyperlink>
            <w:r w:rsidR="000F0582">
              <w:rPr>
                <w:rStyle w:val="Hyperlink"/>
                <w:rFonts w:ascii="ZWAdobeF" w:hAnsi="ZWAdobeF" w:cs="ZWAdobeF"/>
                <w:snapToGrid w:val="0"/>
                <w:color w:val="auto"/>
                <w:sz w:val="2"/>
                <w:szCs w:val="2"/>
                <w:u w:val="none"/>
              </w:rPr>
              <w:t>30F</w:t>
            </w:r>
            <w:bookmarkStart w:id="316" w:name="_Ref153462901"/>
            <w:r w:rsidR="00BF053F">
              <w:rPr>
                <w:rStyle w:val="Hyperlink"/>
                <w:rFonts w:ascii="ZWAdobeF" w:hAnsi="ZWAdobeF" w:cs="ZWAdobeF"/>
                <w:snapToGrid w:val="0"/>
                <w:color w:val="auto"/>
                <w:sz w:val="2"/>
                <w:szCs w:val="2"/>
                <w:u w:val="none"/>
              </w:rPr>
              <w:t>31F</w:t>
            </w:r>
            <w:r w:rsidR="004C7557">
              <w:rPr>
                <w:rStyle w:val="Hyperlink"/>
                <w:rFonts w:ascii="ZWAdobeF" w:hAnsi="ZWAdobeF" w:cs="ZWAdobeF"/>
                <w:snapToGrid w:val="0"/>
                <w:color w:val="auto"/>
                <w:sz w:val="2"/>
                <w:szCs w:val="2"/>
                <w:u w:val="none"/>
              </w:rPr>
              <w:t>31F</w:t>
            </w:r>
            <w:r w:rsidR="00C2087D">
              <w:rPr>
                <w:rStyle w:val="Hyperlink"/>
                <w:rFonts w:ascii="ZWAdobeF" w:hAnsi="ZWAdobeF" w:cs="ZWAdobeF"/>
                <w:snapToGrid w:val="0"/>
                <w:color w:val="auto"/>
                <w:sz w:val="2"/>
                <w:szCs w:val="2"/>
                <w:u w:val="none"/>
              </w:rPr>
              <w:t>31F</w:t>
            </w:r>
            <w:r w:rsidR="00B55C41">
              <w:rPr>
                <w:rStyle w:val="Hyperlink"/>
                <w:rFonts w:ascii="ZWAdobeF" w:hAnsi="ZWAdobeF" w:cs="ZWAdobeF"/>
                <w:snapToGrid w:val="0"/>
                <w:color w:val="auto"/>
                <w:sz w:val="2"/>
                <w:szCs w:val="2"/>
                <w:u w:val="none"/>
              </w:rPr>
              <w:t>31F</w:t>
            </w:r>
            <w:r w:rsidR="006255A6">
              <w:rPr>
                <w:rStyle w:val="Hyperlink"/>
                <w:rFonts w:ascii="ZWAdobeF" w:hAnsi="ZWAdobeF" w:cs="ZWAdobeF"/>
                <w:snapToGrid w:val="0"/>
                <w:color w:val="auto"/>
                <w:sz w:val="2"/>
                <w:szCs w:val="2"/>
                <w:u w:val="none"/>
              </w:rPr>
              <w:t>31F</w:t>
            </w:r>
            <w:r w:rsidR="00E453C7">
              <w:rPr>
                <w:rStyle w:val="Hyperlink"/>
                <w:rFonts w:ascii="ZWAdobeF" w:hAnsi="ZWAdobeF" w:cs="ZWAdobeF"/>
                <w:snapToGrid w:val="0"/>
                <w:color w:val="auto"/>
                <w:sz w:val="2"/>
                <w:szCs w:val="2"/>
                <w:u w:val="none"/>
              </w:rPr>
              <w:t>31F</w:t>
            </w:r>
            <w:r w:rsidR="00953060">
              <w:rPr>
                <w:rStyle w:val="Hyperlink"/>
                <w:rFonts w:ascii="ZWAdobeF" w:hAnsi="ZWAdobeF" w:cs="ZWAdobeF"/>
                <w:snapToGrid w:val="0"/>
                <w:color w:val="auto"/>
                <w:sz w:val="2"/>
                <w:szCs w:val="2"/>
                <w:u w:val="none"/>
              </w:rPr>
              <w:t>31F</w:t>
            </w:r>
            <w:r w:rsidR="00DD04D6">
              <w:rPr>
                <w:rStyle w:val="Hyperlink"/>
                <w:rFonts w:ascii="ZWAdobeF" w:hAnsi="ZWAdobeF" w:cs="ZWAdobeF"/>
                <w:snapToGrid w:val="0"/>
                <w:color w:val="auto"/>
                <w:sz w:val="2"/>
                <w:szCs w:val="2"/>
                <w:u w:val="none"/>
              </w:rPr>
              <w:t>31F</w:t>
            </w:r>
            <w:r w:rsidRPr="009A5185">
              <w:rPr>
                <w:rStyle w:val="EndnoteReference"/>
                <w:rFonts w:cs="Arial"/>
                <w:snapToGrid w:val="0"/>
                <w:color w:val="000000"/>
              </w:rPr>
              <w:endnoteReference w:id="33"/>
            </w:r>
            <w:bookmarkEnd w:id="316"/>
            <w:r w:rsidRPr="009A5185">
              <w:rPr>
                <w:rFonts w:cs="Arial"/>
                <w:snapToGrid w:val="0"/>
                <w:color w:val="000000"/>
              </w:rPr>
              <w:t>?</w:t>
            </w:r>
            <w:r w:rsidRPr="009A5185">
              <w:rPr>
                <w:rFonts w:cs="Arial"/>
                <w:snapToGrid w:val="0"/>
                <w:color w:val="000000"/>
              </w:rPr>
              <w:br/>
              <w:t xml:space="preserve"> </w:t>
            </w:r>
          </w:p>
          <w:p w14:paraId="6F593688" w14:textId="67C75CA6" w:rsidR="006934A3" w:rsidRDefault="00166B81" w:rsidP="006521E6">
            <w:pPr>
              <w:ind w:left="360"/>
              <w:rPr>
                <w:rFonts w:cs="Arial"/>
                <w:i/>
                <w:snapToGrid w:val="0"/>
                <w:color w:val="000000"/>
              </w:rPr>
            </w:pPr>
            <w:r w:rsidRPr="00310F7C">
              <w:rPr>
                <w:rFonts w:cs="Arial"/>
                <w:i/>
                <w:snapToGrid w:val="0"/>
                <w:color w:val="000000"/>
              </w:rPr>
              <w:t>If “no”</w:t>
            </w:r>
            <w:r w:rsidR="006521E6" w:rsidRPr="00310F7C">
              <w:rPr>
                <w:rFonts w:cs="Arial"/>
                <w:i/>
                <w:snapToGrid w:val="0"/>
                <w:color w:val="000000"/>
              </w:rPr>
              <w:t xml:space="preserve"> to question #2,</w:t>
            </w:r>
            <w:r w:rsidR="00AA655F" w:rsidRPr="00310F7C">
              <w:rPr>
                <w:rFonts w:cs="Arial"/>
                <w:i/>
                <w:snapToGrid w:val="0"/>
                <w:color w:val="000000"/>
              </w:rPr>
              <w:t xml:space="preserve"> </w:t>
            </w:r>
            <w:r w:rsidR="00D06E9F" w:rsidRPr="00310F7C">
              <w:rPr>
                <w:rFonts w:cs="Arial"/>
                <w:i/>
                <w:snapToGrid w:val="0"/>
                <w:color w:val="000000"/>
              </w:rPr>
              <w:t xml:space="preserve">skip </w:t>
            </w:r>
            <w:r w:rsidR="00BE1D22">
              <w:rPr>
                <w:rFonts w:cs="Arial"/>
                <w:i/>
                <w:snapToGrid w:val="0"/>
                <w:color w:val="000000"/>
              </w:rPr>
              <w:t xml:space="preserve">the remaining </w:t>
            </w:r>
            <w:r w:rsidR="00D06E9F" w:rsidRPr="00310F7C">
              <w:rPr>
                <w:rFonts w:cs="Arial"/>
                <w:i/>
                <w:snapToGrid w:val="0"/>
                <w:color w:val="000000"/>
              </w:rPr>
              <w:t>questions</w:t>
            </w:r>
            <w:r w:rsidR="00BE1D22">
              <w:rPr>
                <w:rFonts w:cs="Arial"/>
                <w:i/>
                <w:snapToGrid w:val="0"/>
                <w:color w:val="000000"/>
              </w:rPr>
              <w:t xml:space="preserve"> in Section 4</w:t>
            </w:r>
            <w:r w:rsidR="0016658F">
              <w:rPr>
                <w:rFonts w:cs="Arial"/>
                <w:i/>
                <w:snapToGrid w:val="0"/>
                <w:color w:val="000000"/>
              </w:rPr>
              <w:t>E</w:t>
            </w:r>
            <w:r w:rsidR="00BE1D22">
              <w:rPr>
                <w:rFonts w:cs="Arial"/>
                <w:i/>
                <w:snapToGrid w:val="0"/>
                <w:color w:val="000000"/>
              </w:rPr>
              <w:t>,</w:t>
            </w:r>
            <w:r w:rsidR="009B136D">
              <w:rPr>
                <w:rFonts w:cs="Arial"/>
                <w:i/>
                <w:snapToGrid w:val="0"/>
                <w:color w:val="000000"/>
              </w:rPr>
              <w:t xml:space="preserve"> </w:t>
            </w:r>
            <w:r w:rsidR="00BE1D22">
              <w:rPr>
                <w:rFonts w:cs="Arial"/>
                <w:i/>
                <w:snapToGrid w:val="0"/>
                <w:color w:val="000000"/>
              </w:rPr>
              <w:t>and go to the Affirmation of Accuracy</w:t>
            </w:r>
            <w:r w:rsidR="006E50EF" w:rsidRPr="00310F7C">
              <w:rPr>
                <w:rFonts w:cs="Arial"/>
                <w:i/>
                <w:snapToGrid w:val="0"/>
                <w:color w:val="000000"/>
              </w:rPr>
              <w:t>.</w:t>
            </w:r>
            <w:r w:rsidR="006934A3">
              <w:rPr>
                <w:rFonts w:cs="Arial"/>
                <w:i/>
                <w:snapToGrid w:val="0"/>
                <w:color w:val="000000"/>
              </w:rPr>
              <w:t xml:space="preserve"> </w:t>
            </w:r>
            <w:r w:rsidR="006934A3" w:rsidRPr="00F61E74">
              <w:rPr>
                <w:rFonts w:cs="Arial"/>
                <w:i/>
              </w:rPr>
              <w:t>The hospital will be scored as “Limited Achievement.”</w:t>
            </w:r>
            <w:r w:rsidR="009F1739" w:rsidRPr="00310F7C">
              <w:rPr>
                <w:rFonts w:cs="Arial"/>
                <w:i/>
                <w:snapToGrid w:val="0"/>
                <w:color w:val="000000"/>
              </w:rPr>
              <w:t xml:space="preserve"> </w:t>
            </w:r>
          </w:p>
          <w:p w14:paraId="7E6B973A" w14:textId="77777777" w:rsidR="006934A3" w:rsidRDefault="006934A3" w:rsidP="006521E6">
            <w:pPr>
              <w:ind w:left="360"/>
              <w:rPr>
                <w:rFonts w:cs="Arial"/>
                <w:i/>
                <w:snapToGrid w:val="0"/>
                <w:color w:val="000000"/>
              </w:rPr>
            </w:pPr>
          </w:p>
          <w:p w14:paraId="3CC1C0EC" w14:textId="026680EE" w:rsidR="006E50EF" w:rsidRPr="009A5185" w:rsidRDefault="006E50EF" w:rsidP="006521E6">
            <w:pPr>
              <w:ind w:left="360"/>
              <w:rPr>
                <w:rFonts w:cs="Arial"/>
                <w:snapToGrid w:val="0"/>
              </w:rPr>
            </w:pPr>
            <w:r w:rsidRPr="00310F7C">
              <w:rPr>
                <w:rFonts w:cs="Arial"/>
                <w:i/>
                <w:snapToGrid w:val="0"/>
                <w:color w:val="000000"/>
              </w:rPr>
              <w:t>If the NICU is co-located in another hospital and your hospital immediately transfers all complicated ne</w:t>
            </w:r>
            <w:r w:rsidR="00AA655F" w:rsidRPr="00310F7C">
              <w:rPr>
                <w:rFonts w:cs="Arial"/>
                <w:i/>
                <w:snapToGrid w:val="0"/>
                <w:color w:val="000000"/>
              </w:rPr>
              <w:t>wborns there, answer q</w:t>
            </w:r>
            <w:r w:rsidRPr="00310F7C">
              <w:rPr>
                <w:rFonts w:cs="Arial"/>
                <w:i/>
                <w:snapToGrid w:val="0"/>
                <w:color w:val="000000"/>
              </w:rPr>
              <w:t xml:space="preserve">uestion </w:t>
            </w:r>
            <w:r w:rsidR="003C672D" w:rsidRPr="00310F7C">
              <w:rPr>
                <w:rFonts w:cs="Arial"/>
                <w:i/>
                <w:snapToGrid w:val="0"/>
                <w:color w:val="000000"/>
              </w:rPr>
              <w:t>#</w:t>
            </w:r>
            <w:r w:rsidRPr="00310F7C">
              <w:rPr>
                <w:rFonts w:cs="Arial"/>
                <w:i/>
                <w:snapToGrid w:val="0"/>
                <w:color w:val="000000"/>
              </w:rPr>
              <w:t>3</w:t>
            </w:r>
            <w:r w:rsidR="00AA655F" w:rsidRPr="00310F7C">
              <w:rPr>
                <w:rFonts w:cs="Arial"/>
                <w:i/>
                <w:snapToGrid w:val="0"/>
                <w:color w:val="000000"/>
              </w:rPr>
              <w:t xml:space="preserve"> and either </w:t>
            </w:r>
            <w:r w:rsidR="00C1036F" w:rsidRPr="00310F7C">
              <w:rPr>
                <w:rFonts w:cs="Arial"/>
                <w:i/>
                <w:snapToGrid w:val="0"/>
                <w:color w:val="000000"/>
              </w:rPr>
              <w:t xml:space="preserve">questions </w:t>
            </w:r>
            <w:r w:rsidR="003C672D" w:rsidRPr="00310F7C">
              <w:rPr>
                <w:rFonts w:cs="Arial"/>
                <w:i/>
                <w:snapToGrid w:val="0"/>
                <w:color w:val="000000"/>
              </w:rPr>
              <w:t>#</w:t>
            </w:r>
            <w:r w:rsidR="00AA655F" w:rsidRPr="00310F7C">
              <w:rPr>
                <w:rFonts w:cs="Arial"/>
                <w:i/>
                <w:snapToGrid w:val="0"/>
                <w:color w:val="000000"/>
              </w:rPr>
              <w:t xml:space="preserve">4-5 or </w:t>
            </w:r>
            <w:r w:rsidR="003C672D" w:rsidRPr="00310F7C">
              <w:rPr>
                <w:rFonts w:cs="Arial"/>
                <w:i/>
                <w:snapToGrid w:val="0"/>
                <w:color w:val="000000"/>
              </w:rPr>
              <w:t>#</w:t>
            </w:r>
            <w:r w:rsidR="00AA655F" w:rsidRPr="00310F7C">
              <w:rPr>
                <w:rFonts w:cs="Arial"/>
                <w:i/>
                <w:snapToGrid w:val="0"/>
                <w:color w:val="000000"/>
              </w:rPr>
              <w:t>6-1</w:t>
            </w:r>
            <w:r w:rsidR="00540907">
              <w:rPr>
                <w:rFonts w:cs="Arial"/>
                <w:i/>
                <w:snapToGrid w:val="0"/>
                <w:color w:val="000000"/>
              </w:rPr>
              <w:t>0</w:t>
            </w:r>
            <w:r w:rsidRPr="00310F7C">
              <w:rPr>
                <w:rFonts w:cs="Arial"/>
                <w:i/>
                <w:snapToGrid w:val="0"/>
                <w:color w:val="000000"/>
              </w:rPr>
              <w:t xml:space="preserve"> based on information pertaining to the co-located hospital’s NICU.</w:t>
            </w:r>
          </w:p>
        </w:tc>
        <w:tc>
          <w:tcPr>
            <w:tcW w:w="2430" w:type="dxa"/>
            <w:vAlign w:val="center"/>
          </w:tcPr>
          <w:p w14:paraId="7012E0CB" w14:textId="77777777" w:rsidR="006E50EF" w:rsidRPr="00A31567" w:rsidRDefault="006E50EF" w:rsidP="00AD309C">
            <w:pPr>
              <w:pStyle w:val="ListParagraph"/>
              <w:numPr>
                <w:ilvl w:val="0"/>
                <w:numId w:val="340"/>
              </w:numPr>
              <w:rPr>
                <w:rFonts w:cs="Arial"/>
                <w:iCs/>
                <w:snapToGrid w:val="0"/>
              </w:rPr>
            </w:pPr>
            <w:r w:rsidRPr="00A31567">
              <w:rPr>
                <w:rFonts w:cs="Arial"/>
                <w:iCs/>
                <w:snapToGrid w:val="0"/>
              </w:rPr>
              <w:t>Yes</w:t>
            </w:r>
          </w:p>
          <w:p w14:paraId="1F46BB64" w14:textId="77777777" w:rsidR="006E50EF" w:rsidRPr="00A31567" w:rsidRDefault="006E50EF" w:rsidP="00AD309C">
            <w:pPr>
              <w:pStyle w:val="ListParagraph"/>
              <w:numPr>
                <w:ilvl w:val="0"/>
                <w:numId w:val="340"/>
              </w:numPr>
              <w:rPr>
                <w:rFonts w:cs="Arial"/>
                <w:iCs/>
                <w:snapToGrid w:val="0"/>
              </w:rPr>
            </w:pPr>
            <w:r w:rsidRPr="00A31567">
              <w:rPr>
                <w:rFonts w:cs="Arial"/>
                <w:iCs/>
                <w:snapToGrid w:val="0"/>
              </w:rPr>
              <w:t>No</w:t>
            </w:r>
          </w:p>
        </w:tc>
      </w:tr>
      <w:tr w:rsidR="006E50EF" w:rsidRPr="009A5185" w14:paraId="433E6427" w14:textId="77777777" w:rsidTr="00A31567">
        <w:trPr>
          <w:trHeight w:val="3312"/>
        </w:trPr>
        <w:tc>
          <w:tcPr>
            <w:tcW w:w="7038" w:type="dxa"/>
            <w:vAlign w:val="center"/>
          </w:tcPr>
          <w:p w14:paraId="25D7E7C7" w14:textId="77777777" w:rsidR="0053434E" w:rsidRDefault="006E50EF" w:rsidP="00AD309C">
            <w:pPr>
              <w:numPr>
                <w:ilvl w:val="0"/>
                <w:numId w:val="10"/>
              </w:numPr>
              <w:rPr>
                <w:rFonts w:cs="Arial"/>
                <w:snapToGrid w:val="0"/>
                <w:color w:val="000000"/>
              </w:rPr>
            </w:pPr>
            <w:r w:rsidRPr="009A5185">
              <w:rPr>
                <w:rFonts w:cs="Arial"/>
                <w:snapToGrid w:val="0"/>
                <w:color w:val="000000"/>
              </w:rPr>
              <w:t>Hospitals that participate in t</w:t>
            </w:r>
            <w:r w:rsidR="0064148D" w:rsidRPr="009A5185">
              <w:rPr>
                <w:rFonts w:cs="Arial"/>
                <w:snapToGrid w:val="0"/>
                <w:color w:val="000000"/>
              </w:rPr>
              <w:t>he Vermont Oxford Network (VON)</w:t>
            </w:r>
            <w:r w:rsidRPr="009A5185">
              <w:rPr>
                <w:rFonts w:cs="Arial"/>
                <w:snapToGrid w:val="0"/>
                <w:color w:val="000000"/>
              </w:rPr>
              <w:t xml:space="preserve"> and have a recent 12-mo</w:t>
            </w:r>
            <w:r w:rsidR="0064148D" w:rsidRPr="009A5185">
              <w:rPr>
                <w:rFonts w:cs="Arial"/>
                <w:snapToGrid w:val="0"/>
                <w:color w:val="000000"/>
              </w:rPr>
              <w:t>nth report available</w:t>
            </w:r>
            <w:r w:rsidRPr="009A5185">
              <w:rPr>
                <w:rFonts w:cs="Arial"/>
                <w:snapToGrid w:val="0"/>
                <w:color w:val="000000"/>
              </w:rPr>
              <w:t xml:space="preserve"> may elect to report </w:t>
            </w:r>
            <w:r w:rsidR="00760891" w:rsidRPr="009A5185">
              <w:rPr>
                <w:rFonts w:cs="Arial"/>
                <w:snapToGrid w:val="0"/>
                <w:color w:val="000000"/>
              </w:rPr>
              <w:t>their</w:t>
            </w:r>
            <w:r w:rsidR="000E476A" w:rsidRPr="009A5185">
              <w:rPr>
                <w:rFonts w:cs="Arial"/>
                <w:snapToGrid w:val="0"/>
                <w:color w:val="000000"/>
              </w:rPr>
              <w:t xml:space="preserve"> </w:t>
            </w:r>
            <w:r w:rsidR="00261D05">
              <w:rPr>
                <w:rFonts w:cs="Arial"/>
                <w:snapToGrid w:val="0"/>
                <w:color w:val="000000"/>
              </w:rPr>
              <w:t>hospital</w:t>
            </w:r>
            <w:r w:rsidR="000E476A" w:rsidRPr="009A5185">
              <w:rPr>
                <w:rFonts w:cs="Arial"/>
                <w:snapToGrid w:val="0"/>
                <w:color w:val="000000"/>
              </w:rPr>
              <w:t xml:space="preserve">’s Volume (questions </w:t>
            </w:r>
            <w:r w:rsidR="005C2B38" w:rsidRPr="009A5185">
              <w:rPr>
                <w:rFonts w:cs="Arial"/>
                <w:snapToGrid w:val="0"/>
                <w:color w:val="000000"/>
              </w:rPr>
              <w:t>#</w:t>
            </w:r>
            <w:r w:rsidR="000E476A" w:rsidRPr="009A5185">
              <w:rPr>
                <w:rFonts w:cs="Arial"/>
                <w:snapToGrid w:val="0"/>
                <w:color w:val="000000"/>
              </w:rPr>
              <w:t>4-5</w:t>
            </w:r>
            <w:r w:rsidRPr="009A5185">
              <w:rPr>
                <w:rFonts w:cs="Arial"/>
                <w:snapToGrid w:val="0"/>
                <w:color w:val="000000"/>
              </w:rPr>
              <w:t xml:space="preserve">) </w:t>
            </w:r>
          </w:p>
          <w:p w14:paraId="68872028" w14:textId="77777777" w:rsidR="0053434E" w:rsidRDefault="00B86317" w:rsidP="0053434E">
            <w:pPr>
              <w:ind w:left="360"/>
              <w:rPr>
                <w:rFonts w:cs="Arial"/>
                <w:b/>
                <w:snapToGrid w:val="0"/>
                <w:color w:val="000000"/>
              </w:rPr>
            </w:pPr>
            <w:r w:rsidRPr="009A5185">
              <w:rPr>
                <w:rFonts w:cs="Arial"/>
                <w:snapToGrid w:val="0"/>
                <w:color w:val="000000"/>
              </w:rPr>
              <w:br/>
            </w:r>
            <w:r w:rsidR="006E50EF" w:rsidRPr="009A5185">
              <w:rPr>
                <w:rFonts w:cs="Arial"/>
                <w:b/>
                <w:snapToGrid w:val="0"/>
                <w:color w:val="000000"/>
              </w:rPr>
              <w:t>OR</w:t>
            </w:r>
          </w:p>
          <w:p w14:paraId="5F866B92" w14:textId="41BF720C" w:rsidR="00B86317" w:rsidRPr="009A5185" w:rsidRDefault="006E50EF" w:rsidP="0053434E">
            <w:pPr>
              <w:ind w:left="360"/>
              <w:rPr>
                <w:rFonts w:cs="Arial"/>
                <w:snapToGrid w:val="0"/>
                <w:color w:val="000000"/>
              </w:rPr>
            </w:pPr>
            <w:r w:rsidRPr="009A5185">
              <w:rPr>
                <w:rFonts w:cs="Arial"/>
                <w:snapToGrid w:val="0"/>
                <w:color w:val="000000"/>
              </w:rPr>
              <w:t xml:space="preserve"> </w:t>
            </w:r>
          </w:p>
          <w:p w14:paraId="42D9A677" w14:textId="5486BBF0" w:rsidR="00AA6B62" w:rsidRPr="009A5185" w:rsidRDefault="006E50EF" w:rsidP="0064148D">
            <w:pPr>
              <w:ind w:left="360"/>
              <w:rPr>
                <w:rFonts w:cs="Arial"/>
                <w:snapToGrid w:val="0"/>
                <w:color w:val="000000"/>
              </w:rPr>
            </w:pPr>
            <w:r w:rsidRPr="009A5185">
              <w:rPr>
                <w:rFonts w:cs="Arial"/>
                <w:snapToGrid w:val="0"/>
                <w:color w:val="000000"/>
              </w:rPr>
              <w:t xml:space="preserve">the </w:t>
            </w:r>
            <w:hyperlink w:anchor="Endnote21_VON" w:history="1">
              <w:r w:rsidRPr="009A5185">
                <w:rPr>
                  <w:rStyle w:val="Hyperlink"/>
                  <w:rFonts w:cs="Arial"/>
                  <w:snapToGrid w:val="0"/>
                </w:rPr>
                <w:t xml:space="preserve">VON’s Death or </w:t>
              </w:r>
              <w:r w:rsidR="00D36961" w:rsidRPr="009A5185">
                <w:rPr>
                  <w:rStyle w:val="Hyperlink"/>
                  <w:rFonts w:cs="Arial"/>
                  <w:snapToGrid w:val="0"/>
                </w:rPr>
                <w:t>Morbidity Measure</w:t>
              </w:r>
            </w:hyperlink>
            <w:r w:rsidR="000F0582">
              <w:rPr>
                <w:rStyle w:val="Hyperlink"/>
                <w:rFonts w:ascii="ZWAdobeF" w:hAnsi="ZWAdobeF" w:cs="ZWAdobeF"/>
                <w:snapToGrid w:val="0"/>
                <w:color w:val="auto"/>
                <w:sz w:val="2"/>
                <w:szCs w:val="2"/>
                <w:u w:val="none"/>
              </w:rPr>
              <w:t>31F</w:t>
            </w:r>
            <w:r w:rsidR="00BF053F">
              <w:rPr>
                <w:rStyle w:val="Hyperlink"/>
                <w:rFonts w:ascii="ZWAdobeF" w:hAnsi="ZWAdobeF" w:cs="ZWAdobeF"/>
                <w:snapToGrid w:val="0"/>
                <w:color w:val="auto"/>
                <w:sz w:val="2"/>
                <w:szCs w:val="2"/>
                <w:u w:val="none"/>
              </w:rPr>
              <w:t>32F</w:t>
            </w:r>
            <w:r w:rsidR="004C7557">
              <w:rPr>
                <w:rStyle w:val="Hyperlink"/>
                <w:rFonts w:ascii="ZWAdobeF" w:hAnsi="ZWAdobeF" w:cs="ZWAdobeF"/>
                <w:snapToGrid w:val="0"/>
                <w:color w:val="auto"/>
                <w:sz w:val="2"/>
                <w:szCs w:val="2"/>
                <w:u w:val="none"/>
              </w:rPr>
              <w:t>32F</w:t>
            </w:r>
            <w:r w:rsidR="00C2087D">
              <w:rPr>
                <w:rStyle w:val="Hyperlink"/>
                <w:rFonts w:ascii="ZWAdobeF" w:hAnsi="ZWAdobeF" w:cs="ZWAdobeF"/>
                <w:snapToGrid w:val="0"/>
                <w:color w:val="auto"/>
                <w:sz w:val="2"/>
                <w:szCs w:val="2"/>
                <w:u w:val="none"/>
              </w:rPr>
              <w:t>32F</w:t>
            </w:r>
            <w:r w:rsidR="00B55C41">
              <w:rPr>
                <w:rStyle w:val="Hyperlink"/>
                <w:rFonts w:ascii="ZWAdobeF" w:hAnsi="ZWAdobeF" w:cs="ZWAdobeF"/>
                <w:snapToGrid w:val="0"/>
                <w:color w:val="auto"/>
                <w:sz w:val="2"/>
                <w:szCs w:val="2"/>
                <w:u w:val="none"/>
              </w:rPr>
              <w:t>32F</w:t>
            </w:r>
            <w:r w:rsidR="006255A6">
              <w:rPr>
                <w:rStyle w:val="Hyperlink"/>
                <w:rFonts w:ascii="ZWAdobeF" w:hAnsi="ZWAdobeF" w:cs="ZWAdobeF"/>
                <w:snapToGrid w:val="0"/>
                <w:color w:val="auto"/>
                <w:sz w:val="2"/>
                <w:szCs w:val="2"/>
                <w:u w:val="none"/>
              </w:rPr>
              <w:t>32F</w:t>
            </w:r>
            <w:r w:rsidR="00E453C7">
              <w:rPr>
                <w:rStyle w:val="Hyperlink"/>
                <w:rFonts w:ascii="ZWAdobeF" w:hAnsi="ZWAdobeF" w:cs="ZWAdobeF"/>
                <w:snapToGrid w:val="0"/>
                <w:color w:val="auto"/>
                <w:sz w:val="2"/>
                <w:szCs w:val="2"/>
                <w:u w:val="none"/>
              </w:rPr>
              <w:t>32F</w:t>
            </w:r>
            <w:r w:rsidR="00953060">
              <w:rPr>
                <w:rStyle w:val="Hyperlink"/>
                <w:rFonts w:ascii="ZWAdobeF" w:hAnsi="ZWAdobeF" w:cs="ZWAdobeF"/>
                <w:snapToGrid w:val="0"/>
                <w:color w:val="auto"/>
                <w:sz w:val="2"/>
                <w:szCs w:val="2"/>
                <w:u w:val="none"/>
              </w:rPr>
              <w:t>32F</w:t>
            </w:r>
            <w:r w:rsidR="00DD04D6">
              <w:rPr>
                <w:rStyle w:val="Hyperlink"/>
                <w:rFonts w:ascii="ZWAdobeF" w:hAnsi="ZWAdobeF" w:cs="ZWAdobeF"/>
                <w:snapToGrid w:val="0"/>
                <w:color w:val="auto"/>
                <w:sz w:val="2"/>
                <w:szCs w:val="2"/>
                <w:u w:val="none"/>
              </w:rPr>
              <w:t>32F</w:t>
            </w:r>
            <w:r w:rsidR="00C02EB3" w:rsidRPr="009A5185">
              <w:rPr>
                <w:rStyle w:val="EndnoteReference"/>
                <w:rFonts w:cs="Arial"/>
                <w:snapToGrid w:val="0"/>
                <w:color w:val="000000"/>
              </w:rPr>
              <w:endnoteReference w:id="34"/>
            </w:r>
            <w:r w:rsidR="00C02EB3" w:rsidRPr="009A5185">
              <w:rPr>
                <w:rFonts w:cs="Arial"/>
                <w:snapToGrid w:val="0"/>
                <w:color w:val="000000"/>
              </w:rPr>
              <w:t xml:space="preserve"> </w:t>
            </w:r>
            <w:r w:rsidR="00AA655F" w:rsidRPr="009A5185">
              <w:rPr>
                <w:rFonts w:cs="Arial"/>
                <w:snapToGrid w:val="0"/>
                <w:color w:val="000000"/>
              </w:rPr>
              <w:t xml:space="preserve">(questions </w:t>
            </w:r>
            <w:r w:rsidR="005C2B38" w:rsidRPr="009A5185">
              <w:rPr>
                <w:rFonts w:cs="Arial"/>
                <w:snapToGrid w:val="0"/>
                <w:color w:val="000000"/>
              </w:rPr>
              <w:t>#</w:t>
            </w:r>
            <w:r w:rsidR="000E476A" w:rsidRPr="009A5185">
              <w:rPr>
                <w:rFonts w:cs="Arial"/>
                <w:snapToGrid w:val="0"/>
                <w:color w:val="000000"/>
              </w:rPr>
              <w:t>6-1</w:t>
            </w:r>
            <w:r w:rsidR="00540907">
              <w:rPr>
                <w:rFonts w:cs="Arial"/>
                <w:snapToGrid w:val="0"/>
                <w:color w:val="000000"/>
              </w:rPr>
              <w:t>0</w:t>
            </w:r>
            <w:r w:rsidRPr="009A5185">
              <w:rPr>
                <w:rFonts w:cs="Arial"/>
                <w:snapToGrid w:val="0"/>
                <w:color w:val="000000"/>
              </w:rPr>
              <w:t xml:space="preserve">). </w:t>
            </w:r>
          </w:p>
          <w:p w14:paraId="32D408AF" w14:textId="77777777" w:rsidR="00AA6B62" w:rsidRPr="009A5185" w:rsidRDefault="00AA6B62" w:rsidP="0064148D">
            <w:pPr>
              <w:ind w:left="360"/>
              <w:rPr>
                <w:rFonts w:cs="Arial"/>
                <w:snapToGrid w:val="0"/>
                <w:color w:val="000000"/>
              </w:rPr>
            </w:pPr>
          </w:p>
          <w:p w14:paraId="0B5DF92B" w14:textId="7929EF69" w:rsidR="00C015B2" w:rsidRPr="009A5185" w:rsidRDefault="006E50EF" w:rsidP="0064148D">
            <w:pPr>
              <w:ind w:left="360"/>
              <w:rPr>
                <w:rFonts w:cs="Arial"/>
                <w:snapToGrid w:val="0"/>
                <w:color w:val="000000"/>
              </w:rPr>
            </w:pPr>
            <w:r w:rsidRPr="009A5185">
              <w:rPr>
                <w:rFonts w:cs="Arial"/>
                <w:snapToGrid w:val="0"/>
                <w:color w:val="000000"/>
              </w:rPr>
              <w:t xml:space="preserve">Hospitals that do not participate in the </w:t>
            </w:r>
            <w:r w:rsidR="00AA6B62" w:rsidRPr="009A5185">
              <w:rPr>
                <w:rFonts w:cs="Arial"/>
                <w:snapToGrid w:val="0"/>
                <w:color w:val="000000"/>
              </w:rPr>
              <w:t xml:space="preserve">Vermont Oxford Network should </w:t>
            </w:r>
            <w:r w:rsidR="00B86317" w:rsidRPr="009A5185">
              <w:rPr>
                <w:rFonts w:cs="Arial"/>
                <w:snapToGrid w:val="0"/>
                <w:color w:val="000000"/>
              </w:rPr>
              <w:t>report</w:t>
            </w:r>
            <w:r w:rsidR="00AA6B62" w:rsidRPr="009A5185">
              <w:rPr>
                <w:rFonts w:cs="Arial"/>
                <w:snapToGrid w:val="0"/>
                <w:color w:val="000000"/>
              </w:rPr>
              <w:t xml:space="preserve"> </w:t>
            </w:r>
            <w:r w:rsidR="00760891" w:rsidRPr="009A5185">
              <w:rPr>
                <w:rFonts w:cs="Arial"/>
                <w:snapToGrid w:val="0"/>
                <w:color w:val="000000"/>
              </w:rPr>
              <w:t>their</w:t>
            </w:r>
            <w:r w:rsidR="00AA6B62" w:rsidRPr="009A5185">
              <w:rPr>
                <w:rFonts w:cs="Arial"/>
                <w:snapToGrid w:val="0"/>
                <w:color w:val="000000"/>
              </w:rPr>
              <w:t xml:space="preserve"> </w:t>
            </w:r>
            <w:r w:rsidR="00261D05">
              <w:rPr>
                <w:rFonts w:cs="Arial"/>
                <w:snapToGrid w:val="0"/>
                <w:color w:val="000000"/>
              </w:rPr>
              <w:t>hospital</w:t>
            </w:r>
            <w:r w:rsidR="00AA6B62" w:rsidRPr="009A5185">
              <w:rPr>
                <w:rFonts w:cs="Arial"/>
                <w:snapToGrid w:val="0"/>
                <w:color w:val="000000"/>
              </w:rPr>
              <w:t>’s Volume</w:t>
            </w:r>
            <w:r w:rsidR="00B86317" w:rsidRPr="009A5185">
              <w:rPr>
                <w:rFonts w:cs="Arial"/>
                <w:snapToGrid w:val="0"/>
                <w:color w:val="000000"/>
              </w:rPr>
              <w:t xml:space="preserve"> </w:t>
            </w:r>
            <w:r w:rsidR="00AA6B62" w:rsidRPr="009A5185">
              <w:rPr>
                <w:rFonts w:cs="Arial"/>
                <w:snapToGrid w:val="0"/>
                <w:color w:val="000000"/>
              </w:rPr>
              <w:t>(</w:t>
            </w:r>
            <w:r w:rsidR="00B86317" w:rsidRPr="009A5185">
              <w:rPr>
                <w:rFonts w:cs="Arial"/>
                <w:snapToGrid w:val="0"/>
                <w:color w:val="000000"/>
              </w:rPr>
              <w:t>question</w:t>
            </w:r>
            <w:r w:rsidR="00237FCB" w:rsidRPr="009A5185">
              <w:rPr>
                <w:rFonts w:cs="Arial"/>
                <w:snapToGrid w:val="0"/>
                <w:color w:val="000000"/>
              </w:rPr>
              <w:t xml:space="preserve">s </w:t>
            </w:r>
            <w:r w:rsidR="005C2B38" w:rsidRPr="009A5185">
              <w:rPr>
                <w:rFonts w:cs="Arial"/>
                <w:snapToGrid w:val="0"/>
                <w:color w:val="000000"/>
              </w:rPr>
              <w:t>#</w:t>
            </w:r>
            <w:r w:rsidR="00237FCB" w:rsidRPr="009A5185">
              <w:rPr>
                <w:rFonts w:cs="Arial"/>
                <w:snapToGrid w:val="0"/>
                <w:color w:val="000000"/>
              </w:rPr>
              <w:t>4-5</w:t>
            </w:r>
            <w:r w:rsidR="00AA6B62" w:rsidRPr="009A5185">
              <w:rPr>
                <w:rFonts w:cs="Arial"/>
                <w:snapToGrid w:val="0"/>
                <w:color w:val="000000"/>
              </w:rPr>
              <w:t>)</w:t>
            </w:r>
            <w:r w:rsidRPr="009A5185">
              <w:rPr>
                <w:rFonts w:cs="Arial"/>
                <w:snapToGrid w:val="0"/>
                <w:color w:val="000000"/>
              </w:rPr>
              <w:t>.</w:t>
            </w:r>
          </w:p>
          <w:p w14:paraId="2F2CA710" w14:textId="77777777" w:rsidR="00C015B2" w:rsidRPr="009A5185" w:rsidRDefault="00C015B2" w:rsidP="0064148D">
            <w:pPr>
              <w:ind w:left="360"/>
              <w:rPr>
                <w:rFonts w:cs="Arial"/>
                <w:snapToGrid w:val="0"/>
                <w:color w:val="000000"/>
              </w:rPr>
            </w:pPr>
          </w:p>
          <w:p w14:paraId="5F11CC61" w14:textId="77777777" w:rsidR="00C015B2" w:rsidRPr="009A5185" w:rsidRDefault="006E50EF" w:rsidP="0064148D">
            <w:pPr>
              <w:ind w:left="360"/>
              <w:rPr>
                <w:rFonts w:cs="Arial"/>
                <w:snapToGrid w:val="0"/>
                <w:color w:val="000000"/>
              </w:rPr>
            </w:pPr>
            <w:r w:rsidRPr="009A5185">
              <w:rPr>
                <w:rFonts w:cs="Arial"/>
                <w:snapToGrid w:val="0"/>
                <w:color w:val="000000"/>
              </w:rPr>
              <w:t>Please indicate which measure the hospital will report on</w:t>
            </w:r>
            <w:r w:rsidRPr="009A5185">
              <w:rPr>
                <w:rFonts w:cs="Arial"/>
                <w:i/>
                <w:snapToGrid w:val="0"/>
                <w:color w:val="000000"/>
              </w:rPr>
              <w:t>:</w:t>
            </w:r>
          </w:p>
          <w:p w14:paraId="48DA8E96" w14:textId="77777777" w:rsidR="00C015B2" w:rsidRPr="009A5185" w:rsidRDefault="00C015B2" w:rsidP="0064148D">
            <w:pPr>
              <w:ind w:left="360"/>
              <w:rPr>
                <w:rFonts w:cs="Arial"/>
                <w:snapToGrid w:val="0"/>
                <w:color w:val="000000"/>
              </w:rPr>
            </w:pPr>
          </w:p>
          <w:p w14:paraId="08BA18A6" w14:textId="76897075" w:rsidR="001746CA" w:rsidRDefault="006E50EF" w:rsidP="00044480">
            <w:pPr>
              <w:ind w:left="360"/>
              <w:rPr>
                <w:rFonts w:cs="Arial"/>
                <w:i/>
                <w:snapToGrid w:val="0"/>
                <w:color w:val="000000"/>
              </w:rPr>
            </w:pPr>
            <w:r w:rsidRPr="00310F7C">
              <w:rPr>
                <w:rFonts w:cs="Arial"/>
                <w:i/>
                <w:snapToGrid w:val="0"/>
                <w:color w:val="000000"/>
              </w:rPr>
              <w:t>If you elec</w:t>
            </w:r>
            <w:r w:rsidR="00237FCB" w:rsidRPr="00310F7C">
              <w:rPr>
                <w:rFonts w:cs="Arial"/>
                <w:i/>
                <w:snapToGrid w:val="0"/>
                <w:color w:val="000000"/>
              </w:rPr>
              <w:t xml:space="preserve">t to report on Volume, answer questions </w:t>
            </w:r>
            <w:r w:rsidR="005C2B38" w:rsidRPr="00310F7C">
              <w:rPr>
                <w:rFonts w:cs="Arial"/>
                <w:i/>
                <w:snapToGrid w:val="0"/>
                <w:color w:val="000000"/>
              </w:rPr>
              <w:t>#</w:t>
            </w:r>
            <w:r w:rsidR="00237FCB" w:rsidRPr="00310F7C">
              <w:rPr>
                <w:rFonts w:cs="Arial"/>
                <w:i/>
                <w:snapToGrid w:val="0"/>
                <w:color w:val="000000"/>
              </w:rPr>
              <w:t xml:space="preserve">4-5 and skip questions </w:t>
            </w:r>
            <w:r w:rsidR="005C2B38" w:rsidRPr="00310F7C">
              <w:rPr>
                <w:rFonts w:cs="Arial"/>
                <w:i/>
                <w:snapToGrid w:val="0"/>
                <w:color w:val="000000"/>
              </w:rPr>
              <w:t>#</w:t>
            </w:r>
            <w:r w:rsidR="00237FCB" w:rsidRPr="00310F7C">
              <w:rPr>
                <w:rFonts w:cs="Arial"/>
                <w:i/>
                <w:snapToGrid w:val="0"/>
                <w:color w:val="000000"/>
              </w:rPr>
              <w:t>6-1</w:t>
            </w:r>
            <w:r w:rsidR="00540907">
              <w:rPr>
                <w:rFonts w:cs="Arial"/>
                <w:i/>
                <w:snapToGrid w:val="0"/>
                <w:color w:val="000000"/>
              </w:rPr>
              <w:t>0</w:t>
            </w:r>
            <w:r w:rsidRPr="00310F7C">
              <w:rPr>
                <w:rFonts w:cs="Arial"/>
                <w:i/>
                <w:snapToGrid w:val="0"/>
                <w:color w:val="000000"/>
              </w:rPr>
              <w:t>.</w:t>
            </w:r>
          </w:p>
          <w:p w14:paraId="394149CA" w14:textId="1A7EDED1" w:rsidR="001746CA" w:rsidRDefault="001746CA" w:rsidP="00044480">
            <w:pPr>
              <w:ind w:left="360"/>
              <w:rPr>
                <w:rFonts w:cs="Arial"/>
                <w:i/>
                <w:snapToGrid w:val="0"/>
                <w:color w:val="000000"/>
              </w:rPr>
            </w:pPr>
          </w:p>
          <w:p w14:paraId="039CF92C" w14:textId="55444B99" w:rsidR="006E50EF" w:rsidRPr="009A5185" w:rsidRDefault="006E50EF" w:rsidP="00044480">
            <w:pPr>
              <w:ind w:left="360"/>
              <w:rPr>
                <w:rFonts w:cs="Arial"/>
                <w:snapToGrid w:val="0"/>
                <w:color w:val="000000"/>
              </w:rPr>
            </w:pPr>
            <w:r w:rsidRPr="00310F7C">
              <w:rPr>
                <w:rFonts w:cs="Arial"/>
                <w:i/>
                <w:snapToGrid w:val="0"/>
                <w:color w:val="000000"/>
              </w:rPr>
              <w:t xml:space="preserve">If you elect to report on the </w:t>
            </w:r>
            <w:r w:rsidR="00AA6B62" w:rsidRPr="00310F7C">
              <w:rPr>
                <w:rFonts w:cs="Arial"/>
                <w:i/>
                <w:snapToGrid w:val="0"/>
                <w:color w:val="000000"/>
              </w:rPr>
              <w:t xml:space="preserve">VON </w:t>
            </w:r>
            <w:r w:rsidRPr="00310F7C">
              <w:rPr>
                <w:rFonts w:cs="Arial"/>
                <w:i/>
                <w:snapToGrid w:val="0"/>
                <w:color w:val="000000"/>
              </w:rPr>
              <w:t>Natio</w:t>
            </w:r>
            <w:r w:rsidR="00237FCB" w:rsidRPr="00310F7C">
              <w:rPr>
                <w:rFonts w:cs="Arial"/>
                <w:i/>
                <w:snapToGrid w:val="0"/>
                <w:color w:val="000000"/>
              </w:rPr>
              <w:t xml:space="preserve">nal Performance Measure, skip questions </w:t>
            </w:r>
            <w:r w:rsidR="005C2B38" w:rsidRPr="00310F7C">
              <w:rPr>
                <w:rFonts w:cs="Arial"/>
                <w:i/>
                <w:snapToGrid w:val="0"/>
                <w:color w:val="000000"/>
              </w:rPr>
              <w:t>#</w:t>
            </w:r>
            <w:r w:rsidR="00237FCB" w:rsidRPr="00310F7C">
              <w:rPr>
                <w:rFonts w:cs="Arial"/>
                <w:i/>
                <w:snapToGrid w:val="0"/>
                <w:color w:val="000000"/>
              </w:rPr>
              <w:t>4-5.</w:t>
            </w:r>
            <w:r w:rsidR="001746CA">
              <w:rPr>
                <w:rFonts w:cs="Arial"/>
                <w:i/>
                <w:snapToGrid w:val="0"/>
                <w:color w:val="000000"/>
              </w:rPr>
              <w:t xml:space="preserve"> Please ensure that you have </w:t>
            </w:r>
            <w:r w:rsidR="000C5812">
              <w:rPr>
                <w:rFonts w:cs="Arial"/>
                <w:i/>
                <w:snapToGrid w:val="0"/>
                <w:color w:val="000000"/>
              </w:rPr>
              <w:t>entered</w:t>
            </w:r>
            <w:r w:rsidR="001C3D9E">
              <w:rPr>
                <w:rFonts w:cs="Arial"/>
                <w:i/>
                <w:snapToGrid w:val="0"/>
                <w:color w:val="000000"/>
              </w:rPr>
              <w:t xml:space="preserve"> an accurate</w:t>
            </w:r>
            <w:r w:rsidR="000C5812">
              <w:rPr>
                <w:rFonts w:cs="Arial"/>
                <w:i/>
                <w:snapToGrid w:val="0"/>
                <w:color w:val="000000"/>
              </w:rPr>
              <w:t xml:space="preserve"> VON Transfer Code in the </w:t>
            </w:r>
            <w:r w:rsidR="00AC0D0B">
              <w:rPr>
                <w:rFonts w:cs="Arial"/>
                <w:i/>
                <w:snapToGrid w:val="0"/>
                <w:color w:val="000000"/>
              </w:rPr>
              <w:t xml:space="preserve">Hospital </w:t>
            </w:r>
            <w:r w:rsidR="000C5812">
              <w:rPr>
                <w:rFonts w:cs="Arial"/>
                <w:i/>
                <w:snapToGrid w:val="0"/>
                <w:color w:val="000000"/>
              </w:rPr>
              <w:t xml:space="preserve">Profile and </w:t>
            </w:r>
            <w:r w:rsidR="001C3D9E">
              <w:rPr>
                <w:rFonts w:cs="Arial"/>
                <w:i/>
                <w:snapToGrid w:val="0"/>
                <w:color w:val="000000"/>
              </w:rPr>
              <w:t xml:space="preserve">submitted the Data Share Authorization letter to VON. </w:t>
            </w:r>
            <w:r w:rsidR="001746CA">
              <w:rPr>
                <w:rFonts w:cs="Arial"/>
                <w:i/>
                <w:snapToGrid w:val="0"/>
                <w:color w:val="000000"/>
              </w:rPr>
              <w:t>Otherwise, you will be scored as “</w:t>
            </w:r>
            <w:r w:rsidR="00D617B2">
              <w:rPr>
                <w:rFonts w:cs="Arial"/>
                <w:i/>
                <w:snapToGrid w:val="0"/>
                <w:color w:val="000000"/>
              </w:rPr>
              <w:t>Declined to Re</w:t>
            </w:r>
            <w:r w:rsidR="00B6054B">
              <w:rPr>
                <w:rFonts w:cs="Arial"/>
                <w:i/>
                <w:snapToGrid w:val="0"/>
                <w:color w:val="000000"/>
              </w:rPr>
              <w:t>port</w:t>
            </w:r>
            <w:r w:rsidR="001746CA">
              <w:rPr>
                <w:rFonts w:cs="Arial"/>
                <w:i/>
                <w:snapToGrid w:val="0"/>
                <w:color w:val="000000"/>
              </w:rPr>
              <w:t>.”</w:t>
            </w:r>
          </w:p>
        </w:tc>
        <w:tc>
          <w:tcPr>
            <w:tcW w:w="2430" w:type="dxa"/>
            <w:vAlign w:val="center"/>
          </w:tcPr>
          <w:p w14:paraId="4DEA30F6" w14:textId="550816BA" w:rsidR="006E50EF" w:rsidRPr="00A31567" w:rsidRDefault="006E50EF" w:rsidP="00AD309C">
            <w:pPr>
              <w:pStyle w:val="ListParagraph"/>
              <w:numPr>
                <w:ilvl w:val="0"/>
                <w:numId w:val="340"/>
              </w:numPr>
              <w:rPr>
                <w:rFonts w:cs="Arial"/>
                <w:iCs/>
                <w:snapToGrid w:val="0"/>
              </w:rPr>
            </w:pPr>
            <w:r w:rsidRPr="00A31567">
              <w:rPr>
                <w:rFonts w:cs="Arial"/>
                <w:iCs/>
                <w:snapToGrid w:val="0"/>
              </w:rPr>
              <w:t>Volume</w:t>
            </w:r>
          </w:p>
          <w:p w14:paraId="2C653F69" w14:textId="77777777" w:rsidR="006E50EF" w:rsidRPr="00A31567" w:rsidRDefault="00D23BFE" w:rsidP="00AD309C">
            <w:pPr>
              <w:pStyle w:val="ListParagraph"/>
              <w:numPr>
                <w:ilvl w:val="0"/>
                <w:numId w:val="340"/>
              </w:numPr>
              <w:rPr>
                <w:rFonts w:cs="Arial"/>
                <w:iCs/>
                <w:snapToGrid w:val="0"/>
              </w:rPr>
            </w:pPr>
            <w:r w:rsidRPr="00A31567">
              <w:rPr>
                <w:rFonts w:cs="Arial"/>
                <w:iCs/>
                <w:snapToGrid w:val="0"/>
              </w:rPr>
              <w:t xml:space="preserve">VON </w:t>
            </w:r>
            <w:r w:rsidR="006E50EF" w:rsidRPr="00A31567">
              <w:rPr>
                <w:rFonts w:cs="Arial"/>
                <w:iCs/>
                <w:snapToGrid w:val="0"/>
              </w:rPr>
              <w:t>National Performance Measure</w:t>
            </w:r>
          </w:p>
        </w:tc>
      </w:tr>
    </w:tbl>
    <w:p w14:paraId="1C913054" w14:textId="77777777" w:rsidR="00365263" w:rsidRPr="00F0772B" w:rsidRDefault="00365263" w:rsidP="003475DE">
      <w:pPr>
        <w:rPr>
          <w:lang w:eastAsia="ja-JP"/>
        </w:rPr>
      </w:pPr>
    </w:p>
    <w:p w14:paraId="073E57C5" w14:textId="77777777" w:rsidR="00F15775" w:rsidRDefault="00F15775">
      <w:pPr>
        <w:rPr>
          <w:rFonts w:cs="Arial"/>
          <w:b/>
          <w:i/>
          <w:snapToGrid w:val="0"/>
          <w:sz w:val="22"/>
          <w:szCs w:val="22"/>
          <w:lang w:eastAsia="ja-JP"/>
        </w:rPr>
      </w:pPr>
      <w:r>
        <w:br w:type="page"/>
      </w:r>
    </w:p>
    <w:p w14:paraId="30C09921" w14:textId="110EFE4C" w:rsidR="006E50EF" w:rsidRDefault="005E1D5D" w:rsidP="00AB5B80">
      <w:pPr>
        <w:pStyle w:val="Heading3"/>
      </w:pPr>
      <w:bookmarkStart w:id="319" w:name="_Toc225877734"/>
      <w:r w:rsidRPr="005E1D5D">
        <w:lastRenderedPageBreak/>
        <w:t>Neonatal Intensive Care Unit(s) – Volume</w:t>
      </w:r>
      <w:bookmarkEnd w:id="319"/>
    </w:p>
    <w:p w14:paraId="3DA98392" w14:textId="6BC59AA4" w:rsidR="005E1D5D" w:rsidRPr="008D20D6" w:rsidRDefault="005E1D5D" w:rsidP="005E1D5D">
      <w:pPr>
        <w:rPr>
          <w:lang w:eastAsia="ja-JP"/>
        </w:rPr>
      </w:pPr>
    </w:p>
    <w:p w14:paraId="627ECA1E" w14:textId="7EC3E8B6" w:rsidR="00BA394C" w:rsidRPr="00764EEA" w:rsidRDefault="00170515" w:rsidP="00BA394C">
      <w:pPr>
        <w:rPr>
          <w:rFonts w:cs="Arial"/>
          <w:bCs/>
          <w:snapToGrid w:val="0"/>
        </w:rPr>
      </w:pPr>
      <w:r w:rsidRPr="00F0772B">
        <w:rPr>
          <w:b/>
          <w:bCs/>
          <w:color w:val="FF0000"/>
        </w:rPr>
        <w:t>Important Note:</w:t>
      </w:r>
      <w:r w:rsidRPr="00F0772B">
        <w:rPr>
          <w:color w:val="FF0000"/>
        </w:rPr>
        <w:t xml:space="preserve"> </w:t>
      </w:r>
      <w:r w:rsidR="00BA394C" w:rsidRPr="00764EEA">
        <w:rPr>
          <w:rFonts w:cs="Arial"/>
          <w:bCs/>
          <w:snapToGrid w:val="0"/>
        </w:rPr>
        <w:t xml:space="preserve">Hospitals must use the same 12-month reporting period </w:t>
      </w:r>
      <w:r w:rsidR="00BA394C" w:rsidRPr="00BA394C">
        <w:rPr>
          <w:rFonts w:cs="Arial"/>
          <w:bCs/>
          <w:snapToGrid w:val="0"/>
        </w:rPr>
        <w:t>for all subsections in Section 4: Maternity Care</w:t>
      </w:r>
      <w:r w:rsidR="00BA394C">
        <w:rPr>
          <w:rFonts w:cs="Arial"/>
          <w:bCs/>
          <w:snapToGrid w:val="0"/>
        </w:rPr>
        <w:t xml:space="preserve">, except for Section 4B questions #6-8. </w:t>
      </w:r>
    </w:p>
    <w:p w14:paraId="00E0DD86" w14:textId="77777777" w:rsidR="00170515" w:rsidRPr="008D20D6" w:rsidRDefault="00170515" w:rsidP="005E1D5D">
      <w:pPr>
        <w:rPr>
          <w:lang w:eastAsia="ja-JP"/>
        </w:rPr>
      </w:pPr>
    </w:p>
    <w:p w14:paraId="16CA706E" w14:textId="28C4ACD4" w:rsidR="00540038" w:rsidRDefault="00540038" w:rsidP="00F0772B">
      <w:pPr>
        <w:pStyle w:val="Header"/>
        <w:tabs>
          <w:tab w:val="clear" w:pos="4320"/>
          <w:tab w:val="clear" w:pos="8640"/>
        </w:tabs>
        <w:rPr>
          <w:rFonts w:cs="Arial"/>
        </w:rPr>
      </w:pPr>
      <w:r w:rsidRPr="009A5185">
        <w:rPr>
          <w:rFonts w:cs="Arial"/>
          <w:b/>
          <w:snapToGrid w:val="0"/>
        </w:rPr>
        <w:t xml:space="preserve">Specifications: </w:t>
      </w:r>
      <w:r w:rsidRPr="009A5185">
        <w:rPr>
          <w:rFonts w:cs="Arial"/>
          <w:snapToGrid w:val="0"/>
          <w:color w:val="000000"/>
        </w:rPr>
        <w:t>S</w:t>
      </w:r>
      <w:r w:rsidRPr="009A5185">
        <w:rPr>
          <w:rFonts w:cs="Arial"/>
        </w:rPr>
        <w:t xml:space="preserve">ee </w:t>
      </w:r>
      <w:hyperlink w:anchor="_High-Risk_Deliveries_Measure_1" w:history="1">
        <w:r w:rsidR="009C63AB">
          <w:rPr>
            <w:rStyle w:val="Hyperlink"/>
            <w:rFonts w:cs="Arial"/>
            <w:b/>
            <w:i/>
          </w:rPr>
          <w:t>Neonatal Intensive Care Unit(s) – Volume Measure Specifications</w:t>
        </w:r>
      </w:hyperlink>
      <w:r w:rsidRPr="009A5185">
        <w:rPr>
          <w:rFonts w:cs="Arial"/>
        </w:rPr>
        <w:t xml:space="preserve"> in the Reference Information </w:t>
      </w:r>
      <w:r w:rsidR="008964E1">
        <w:rPr>
          <w:rFonts w:cs="Arial"/>
        </w:rPr>
        <w:t xml:space="preserve">beginning on page </w:t>
      </w:r>
      <w:r w:rsidR="008964E1">
        <w:rPr>
          <w:rFonts w:cs="Arial"/>
        </w:rPr>
        <w:fldChar w:fldCharType="begin"/>
      </w:r>
      <w:r w:rsidR="008964E1">
        <w:rPr>
          <w:rFonts w:cs="Arial"/>
        </w:rPr>
        <w:instrText xml:space="preserve"> PAGEREF _Ref123647044 \h </w:instrText>
      </w:r>
      <w:r w:rsidR="008964E1">
        <w:rPr>
          <w:rFonts w:cs="Arial"/>
        </w:rPr>
      </w:r>
      <w:r w:rsidR="008964E1">
        <w:rPr>
          <w:rFonts w:cs="Arial"/>
        </w:rPr>
        <w:fldChar w:fldCharType="separate"/>
      </w:r>
      <w:r w:rsidR="007D53A2">
        <w:rPr>
          <w:rFonts w:cs="Arial"/>
          <w:noProof/>
        </w:rPr>
        <w:t>17</w:t>
      </w:r>
      <w:r w:rsidR="008964E1">
        <w:rPr>
          <w:rFonts w:cs="Arial"/>
        </w:rPr>
        <w:fldChar w:fldCharType="end"/>
      </w:r>
      <w:r w:rsidR="00936183">
        <w:rPr>
          <w:rFonts w:cs="Arial"/>
        </w:rPr>
        <w:t>2</w:t>
      </w:r>
      <w:r w:rsidR="008964E1">
        <w:rPr>
          <w:rFonts w:cs="Arial"/>
        </w:rPr>
        <w:t>.</w:t>
      </w:r>
    </w:p>
    <w:p w14:paraId="5532403C" w14:textId="77777777" w:rsidR="00781ADB" w:rsidRPr="008D20D6" w:rsidRDefault="00781ADB" w:rsidP="00F0772B">
      <w:pPr>
        <w:pStyle w:val="Header"/>
        <w:tabs>
          <w:tab w:val="clear" w:pos="4320"/>
          <w:tab w:val="clear" w:pos="8640"/>
        </w:tabs>
        <w:rPr>
          <w:rFonts w:cs="Arial"/>
          <w:strike/>
        </w:rPr>
      </w:pPr>
    </w:p>
    <w:p w14:paraId="647FD2F9" w14:textId="0E52CA14" w:rsidR="00540038" w:rsidRDefault="000A0775" w:rsidP="005E1D5D">
      <w:pPr>
        <w:rPr>
          <w:lang w:eastAsia="ja-JP"/>
        </w:rPr>
      </w:pPr>
      <w:r>
        <w:rPr>
          <w:noProof/>
          <w:lang w:eastAsia="ja-JP"/>
        </w:rPr>
        <mc:AlternateContent>
          <mc:Choice Requires="wps">
            <w:drawing>
              <wp:inline distT="0" distB="0" distL="0" distR="0" wp14:anchorId="191F25AE" wp14:editId="0697E90F">
                <wp:extent cx="5915770" cy="1463040"/>
                <wp:effectExtent l="0" t="0" r="27940" b="18415"/>
                <wp:docPr id="37" name="Text Box 37" descr="P6555TB1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770" cy="1463040"/>
                        </a:xfrm>
                        <a:prstGeom prst="rect">
                          <a:avLst/>
                        </a:prstGeom>
                        <a:solidFill>
                          <a:srgbClr val="FFFFFF"/>
                        </a:solidFill>
                        <a:ln w="9525">
                          <a:solidFill>
                            <a:srgbClr val="FF0000"/>
                          </a:solidFill>
                          <a:miter lim="800000"/>
                          <a:headEnd/>
                          <a:tailEnd/>
                        </a:ln>
                      </wps:spPr>
                      <wps:txbx>
                        <w:txbxContent>
                          <w:p w14:paraId="2E27FE3A" w14:textId="6D9B1349" w:rsidR="000A0775" w:rsidRPr="00B25744" w:rsidRDefault="000A0775" w:rsidP="000A0775">
                            <w:pPr>
                              <w:spacing w:before="40"/>
                              <w:rPr>
                                <w:rFonts w:cs="Arial"/>
                                <w:b/>
                                <w:snapToGrid w:val="0"/>
                              </w:rPr>
                            </w:pPr>
                            <w:r w:rsidRPr="00B25744">
                              <w:rPr>
                                <w:rFonts w:cs="Arial"/>
                                <w:b/>
                                <w:snapToGrid w:val="0"/>
                              </w:rPr>
                              <w:t>Reporting Period: 12 months</w:t>
                            </w:r>
                          </w:p>
                          <w:p w14:paraId="4F50C8E4" w14:textId="77777777" w:rsidR="000A0775" w:rsidRPr="00BE1D22" w:rsidRDefault="000A0775" w:rsidP="00AD309C">
                            <w:pPr>
                              <w:pStyle w:val="ListParagraph"/>
                              <w:numPr>
                                <w:ilvl w:val="0"/>
                                <w:numId w:val="29"/>
                              </w:numPr>
                              <w:rPr>
                                <w:rFonts w:cs="Arial"/>
                                <w:i/>
                                <w:snapToGrid w:val="0"/>
                              </w:rPr>
                            </w:pPr>
                            <w:r>
                              <w:rPr>
                                <w:rFonts w:cs="Arial"/>
                                <w:iCs/>
                                <w:snapToGrid w:val="0"/>
                              </w:rPr>
                              <w:t>Surveys submitted prior to September 1:</w:t>
                            </w:r>
                          </w:p>
                          <w:p w14:paraId="6937BA27" w14:textId="4AE23C6D" w:rsidR="000A0775" w:rsidRPr="00B25744" w:rsidRDefault="000A0775" w:rsidP="008A4DEF">
                            <w:pPr>
                              <w:pStyle w:val="ListParagraph"/>
                              <w:numPr>
                                <w:ilvl w:val="1"/>
                                <w:numId w:val="29"/>
                              </w:numPr>
                              <w:rPr>
                                <w:rFonts w:cs="Arial"/>
                                <w:i/>
                                <w:snapToGrid w:val="0"/>
                              </w:rPr>
                            </w:pPr>
                            <w:r>
                              <w:rPr>
                                <w:rFonts w:cs="Arial"/>
                                <w:iCs/>
                                <w:snapToGrid w:val="0"/>
                              </w:rPr>
                              <w:t>01/01/202</w:t>
                            </w:r>
                            <w:r w:rsidR="00692B0E">
                              <w:rPr>
                                <w:rFonts w:cs="Arial"/>
                                <w:iCs/>
                                <w:snapToGrid w:val="0"/>
                              </w:rPr>
                              <w:t>5</w:t>
                            </w:r>
                            <w:r>
                              <w:rPr>
                                <w:rFonts w:cs="Arial"/>
                                <w:iCs/>
                                <w:snapToGrid w:val="0"/>
                              </w:rPr>
                              <w:t xml:space="preserve"> – 12/31/202</w:t>
                            </w:r>
                            <w:r w:rsidR="00692B0E">
                              <w:rPr>
                                <w:rFonts w:cs="Arial"/>
                                <w:iCs/>
                                <w:snapToGrid w:val="0"/>
                              </w:rPr>
                              <w:t>5</w:t>
                            </w:r>
                          </w:p>
                          <w:p w14:paraId="19ED5684" w14:textId="77777777" w:rsidR="000A0775" w:rsidRPr="00BE1D22" w:rsidRDefault="000A0775" w:rsidP="00AD309C">
                            <w:pPr>
                              <w:pStyle w:val="ListParagraph"/>
                              <w:numPr>
                                <w:ilvl w:val="0"/>
                                <w:numId w:val="29"/>
                              </w:numPr>
                              <w:rPr>
                                <w:rFonts w:cs="Arial"/>
                                <w:i/>
                                <w:snapToGrid w:val="0"/>
                              </w:rPr>
                            </w:pPr>
                            <w:r w:rsidRPr="00B25744">
                              <w:rPr>
                                <w:rFonts w:cs="Arial"/>
                                <w:snapToGrid w:val="0"/>
                              </w:rPr>
                              <w:t xml:space="preserve">Surveys (re)submitted on or after September 1: </w:t>
                            </w:r>
                          </w:p>
                          <w:p w14:paraId="411CD275" w14:textId="6264C96A" w:rsidR="000A0775" w:rsidRPr="00B25744" w:rsidRDefault="000A0775" w:rsidP="00AD309C">
                            <w:pPr>
                              <w:pStyle w:val="ListParagraph"/>
                              <w:numPr>
                                <w:ilvl w:val="1"/>
                                <w:numId w:val="29"/>
                              </w:numPr>
                              <w:rPr>
                                <w:rFonts w:cs="Arial"/>
                                <w:i/>
                                <w:snapToGrid w:val="0"/>
                              </w:rPr>
                            </w:pPr>
                            <w:r w:rsidRPr="00B25744">
                              <w:rPr>
                                <w:rFonts w:cs="Arial"/>
                                <w:snapToGrid w:val="0"/>
                              </w:rPr>
                              <w:t>07/01/</w:t>
                            </w:r>
                            <w:r>
                              <w:rPr>
                                <w:rFonts w:cs="Arial"/>
                                <w:snapToGrid w:val="0"/>
                              </w:rPr>
                              <w:t>202</w:t>
                            </w:r>
                            <w:r w:rsidR="00692B0E">
                              <w:rPr>
                                <w:rFonts w:cs="Arial"/>
                                <w:snapToGrid w:val="0"/>
                              </w:rPr>
                              <w:t>5</w:t>
                            </w:r>
                            <w:r w:rsidRPr="00B25744">
                              <w:rPr>
                                <w:rFonts w:cs="Arial"/>
                                <w:snapToGrid w:val="0"/>
                              </w:rPr>
                              <w:t xml:space="preserve"> </w:t>
                            </w:r>
                            <w:r>
                              <w:rPr>
                                <w:rFonts w:cs="Arial"/>
                                <w:snapToGrid w:val="0"/>
                              </w:rPr>
                              <w:t>–</w:t>
                            </w:r>
                            <w:r w:rsidRPr="00B25744">
                              <w:rPr>
                                <w:rFonts w:cs="Arial"/>
                                <w:snapToGrid w:val="0"/>
                              </w:rPr>
                              <w:t xml:space="preserve"> 06/30/</w:t>
                            </w:r>
                            <w:r>
                              <w:rPr>
                                <w:rFonts w:cs="Arial"/>
                                <w:snapToGrid w:val="0"/>
                              </w:rPr>
                              <w:t>202</w:t>
                            </w:r>
                            <w:r w:rsidR="00692B0E">
                              <w:rPr>
                                <w:rFonts w:cs="Arial"/>
                                <w:snapToGrid w:val="0"/>
                              </w:rPr>
                              <w:t>6</w:t>
                            </w:r>
                          </w:p>
                          <w:p w14:paraId="09C29771" w14:textId="77777777" w:rsidR="000A0775" w:rsidRPr="00B25744" w:rsidRDefault="000A0775" w:rsidP="000A0775">
                            <w:pPr>
                              <w:rPr>
                                <w:rFonts w:cs="Arial"/>
                                <w:i/>
                                <w:snapToGrid w:val="0"/>
                              </w:rPr>
                            </w:pPr>
                          </w:p>
                          <w:p w14:paraId="3C6D7A13" w14:textId="30F622A0" w:rsidR="000A0775" w:rsidRDefault="000A0775" w:rsidP="000A0775">
                            <w:r w:rsidRPr="006547C0">
                              <w:rPr>
                                <w:rFonts w:cs="Arial"/>
                                <w:sz w:val="16"/>
                                <w:szCs w:val="16"/>
                              </w:rPr>
                              <w:t xml:space="preserve">Note: As a reminder, the </w:t>
                            </w:r>
                            <w:hyperlink r:id="rId265"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191F25AE" id="Text Box 37" o:spid="_x0000_s1046" type="#_x0000_t202" alt="P6555TB19#y1" style="width:465.8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" strokecolor="red">
                <v:textbox style="mso-fit-shape-to-text:t">
                  <w:txbxContent>
                    <w:p w14:paraId="2E27FE3A" w14:textId="6D9B1349" w:rsidR="000A0775" w:rsidRPr="00B25744" w:rsidRDefault="000A0775" w:rsidP="000A0775">
                      <w:pPr>
                        <w:spacing w:before="40"/>
                        <w:rPr>
                          <w:rFonts w:cs="Arial"/>
                          <w:b/>
                          <w:snapToGrid w:val="0"/>
                        </w:rPr>
                      </w:pPr>
                      <w:r w:rsidRPr="00B25744">
                        <w:rPr>
                          <w:rFonts w:cs="Arial"/>
                          <w:b/>
                          <w:snapToGrid w:val="0"/>
                        </w:rPr>
                        <w:t>Reporting Period: 12 months</w:t>
                      </w:r>
                    </w:p>
                    <w:p w14:paraId="4F50C8E4" w14:textId="77777777" w:rsidR="000A0775" w:rsidRPr="00BE1D22" w:rsidRDefault="000A0775" w:rsidP="00AD309C">
                      <w:pPr>
                        <w:pStyle w:val="ListParagraph"/>
                        <w:numPr>
                          <w:ilvl w:val="0"/>
                          <w:numId w:val="29"/>
                        </w:numPr>
                        <w:rPr>
                          <w:rFonts w:cs="Arial"/>
                          <w:i/>
                          <w:snapToGrid w:val="0"/>
                        </w:rPr>
                      </w:pPr>
                      <w:r>
                        <w:rPr>
                          <w:rFonts w:cs="Arial"/>
                          <w:iCs/>
                          <w:snapToGrid w:val="0"/>
                        </w:rPr>
                        <w:t>Surveys submitted prior to September 1:</w:t>
                      </w:r>
                    </w:p>
                    <w:p w14:paraId="6937BA27" w14:textId="4AE23C6D" w:rsidR="000A0775" w:rsidRPr="00B25744" w:rsidRDefault="000A0775" w:rsidP="008A4DEF">
                      <w:pPr>
                        <w:pStyle w:val="ListParagraph"/>
                        <w:numPr>
                          <w:ilvl w:val="1"/>
                          <w:numId w:val="29"/>
                        </w:numPr>
                        <w:rPr>
                          <w:rFonts w:cs="Arial"/>
                          <w:i/>
                          <w:snapToGrid w:val="0"/>
                        </w:rPr>
                      </w:pPr>
                      <w:r>
                        <w:rPr>
                          <w:rFonts w:cs="Arial"/>
                          <w:iCs/>
                          <w:snapToGrid w:val="0"/>
                        </w:rPr>
                        <w:t>01/01/202</w:t>
                      </w:r>
                      <w:r w:rsidR="00692B0E">
                        <w:rPr>
                          <w:rFonts w:cs="Arial"/>
                          <w:iCs/>
                          <w:snapToGrid w:val="0"/>
                        </w:rPr>
                        <w:t>5</w:t>
                      </w:r>
                      <w:r>
                        <w:rPr>
                          <w:rFonts w:cs="Arial"/>
                          <w:iCs/>
                          <w:snapToGrid w:val="0"/>
                        </w:rPr>
                        <w:t xml:space="preserve"> – 12/31/202</w:t>
                      </w:r>
                      <w:r w:rsidR="00692B0E">
                        <w:rPr>
                          <w:rFonts w:cs="Arial"/>
                          <w:iCs/>
                          <w:snapToGrid w:val="0"/>
                        </w:rPr>
                        <w:t>5</w:t>
                      </w:r>
                    </w:p>
                    <w:p w14:paraId="19ED5684" w14:textId="77777777" w:rsidR="000A0775" w:rsidRPr="00BE1D22" w:rsidRDefault="000A0775" w:rsidP="00AD309C">
                      <w:pPr>
                        <w:pStyle w:val="ListParagraph"/>
                        <w:numPr>
                          <w:ilvl w:val="0"/>
                          <w:numId w:val="29"/>
                        </w:numPr>
                        <w:rPr>
                          <w:rFonts w:cs="Arial"/>
                          <w:i/>
                          <w:snapToGrid w:val="0"/>
                        </w:rPr>
                      </w:pPr>
                      <w:r w:rsidRPr="00B25744">
                        <w:rPr>
                          <w:rFonts w:cs="Arial"/>
                          <w:snapToGrid w:val="0"/>
                        </w:rPr>
                        <w:t xml:space="preserve">Surveys (re)submitted on or after September 1: </w:t>
                      </w:r>
                    </w:p>
                    <w:p w14:paraId="411CD275" w14:textId="6264C96A" w:rsidR="000A0775" w:rsidRPr="00B25744" w:rsidRDefault="000A0775" w:rsidP="00AD309C">
                      <w:pPr>
                        <w:pStyle w:val="ListParagraph"/>
                        <w:numPr>
                          <w:ilvl w:val="1"/>
                          <w:numId w:val="29"/>
                        </w:numPr>
                        <w:rPr>
                          <w:rFonts w:cs="Arial"/>
                          <w:i/>
                          <w:snapToGrid w:val="0"/>
                        </w:rPr>
                      </w:pPr>
                      <w:r w:rsidRPr="00B25744">
                        <w:rPr>
                          <w:rFonts w:cs="Arial"/>
                          <w:snapToGrid w:val="0"/>
                        </w:rPr>
                        <w:t>07/01/</w:t>
                      </w:r>
                      <w:r>
                        <w:rPr>
                          <w:rFonts w:cs="Arial"/>
                          <w:snapToGrid w:val="0"/>
                        </w:rPr>
                        <w:t>202</w:t>
                      </w:r>
                      <w:r w:rsidR="00692B0E">
                        <w:rPr>
                          <w:rFonts w:cs="Arial"/>
                          <w:snapToGrid w:val="0"/>
                        </w:rPr>
                        <w:t>5</w:t>
                      </w:r>
                      <w:r w:rsidRPr="00B25744">
                        <w:rPr>
                          <w:rFonts w:cs="Arial"/>
                          <w:snapToGrid w:val="0"/>
                        </w:rPr>
                        <w:t xml:space="preserve"> </w:t>
                      </w:r>
                      <w:r>
                        <w:rPr>
                          <w:rFonts w:cs="Arial"/>
                          <w:snapToGrid w:val="0"/>
                        </w:rPr>
                        <w:t>–</w:t>
                      </w:r>
                      <w:r w:rsidRPr="00B25744">
                        <w:rPr>
                          <w:rFonts w:cs="Arial"/>
                          <w:snapToGrid w:val="0"/>
                        </w:rPr>
                        <w:t xml:space="preserve"> 06/30/</w:t>
                      </w:r>
                      <w:r>
                        <w:rPr>
                          <w:rFonts w:cs="Arial"/>
                          <w:snapToGrid w:val="0"/>
                        </w:rPr>
                        <w:t>202</w:t>
                      </w:r>
                      <w:r w:rsidR="00692B0E">
                        <w:rPr>
                          <w:rFonts w:cs="Arial"/>
                          <w:snapToGrid w:val="0"/>
                        </w:rPr>
                        <w:t>6</w:t>
                      </w:r>
                    </w:p>
                    <w:p w14:paraId="09C29771" w14:textId="77777777" w:rsidR="000A0775" w:rsidRPr="00B25744" w:rsidRDefault="000A0775" w:rsidP="000A0775">
                      <w:pPr>
                        <w:rPr>
                          <w:rFonts w:cs="Arial"/>
                          <w:i/>
                          <w:snapToGrid w:val="0"/>
                        </w:rPr>
                      </w:pPr>
                    </w:p>
                    <w:p w14:paraId="3C6D7A13" w14:textId="30F622A0" w:rsidR="000A0775" w:rsidRDefault="000A0775" w:rsidP="000A0775">
                      <w:r w:rsidRPr="006547C0">
                        <w:rPr>
                          <w:rFonts w:cs="Arial"/>
                          <w:sz w:val="16"/>
                          <w:szCs w:val="16"/>
                        </w:rPr>
                        <w:t xml:space="preserve">Note: As a reminder, the </w:t>
                      </w:r>
                      <w:hyperlink r:id="rId266"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5E857330" w14:textId="5ED15540" w:rsidR="005E1D5D" w:rsidRDefault="005E1D5D" w:rsidP="005E1D5D">
      <w:pPr>
        <w:rPr>
          <w:lang w:eastAsia="ja-JP"/>
        </w:rPr>
      </w:pPr>
    </w:p>
    <w:tbl>
      <w:tblPr>
        <w:tblStyle w:val="TableGrid"/>
        <w:tblW w:w="0" w:type="auto"/>
        <w:tblLook w:val="04A0" w:firstRow="1" w:lastRow="0" w:firstColumn="1" w:lastColumn="0" w:noHBand="0" w:noVBand="1"/>
      </w:tblPr>
      <w:tblGrid>
        <w:gridCol w:w="6475"/>
        <w:gridCol w:w="2875"/>
      </w:tblGrid>
      <w:tr w:rsidR="005E1D5D" w14:paraId="23D16EA2" w14:textId="77777777" w:rsidTr="00C8246A">
        <w:trPr>
          <w:trHeight w:val="576"/>
        </w:trPr>
        <w:tc>
          <w:tcPr>
            <w:tcW w:w="6475" w:type="dxa"/>
            <w:vAlign w:val="center"/>
          </w:tcPr>
          <w:p w14:paraId="202099EF" w14:textId="76318D31" w:rsidR="005E1D5D" w:rsidRDefault="005E1D5D" w:rsidP="00AD309C">
            <w:pPr>
              <w:pStyle w:val="ListParagraph"/>
              <w:numPr>
                <w:ilvl w:val="0"/>
                <w:numId w:val="10"/>
              </w:numPr>
              <w:rPr>
                <w:lang w:eastAsia="ja-JP"/>
              </w:rPr>
            </w:pPr>
            <w:r w:rsidRPr="00F0772B">
              <w:rPr>
                <w:rFonts w:cs="Arial"/>
                <w:snapToGrid w:val="0"/>
                <w:color w:val="000000"/>
              </w:rPr>
              <w:t>12-month</w:t>
            </w:r>
            <w:r w:rsidRPr="005E1D5D">
              <w:rPr>
                <w:rFonts w:cs="Arial"/>
                <w:color w:val="0000FF"/>
              </w:rPr>
              <w:t xml:space="preserve"> </w:t>
            </w:r>
            <w:r w:rsidRPr="005E1D5D">
              <w:rPr>
                <w:rFonts w:cs="Arial"/>
                <w:snapToGrid w:val="0"/>
                <w:color w:val="000000"/>
              </w:rPr>
              <w:t xml:space="preserve">reporting period used: </w:t>
            </w:r>
          </w:p>
        </w:tc>
        <w:tc>
          <w:tcPr>
            <w:tcW w:w="2875" w:type="dxa"/>
            <w:vAlign w:val="center"/>
          </w:tcPr>
          <w:p w14:paraId="10C5EFF3" w14:textId="5B9706DF" w:rsidR="005E1D5D" w:rsidRPr="00C06753" w:rsidRDefault="005E1D5D" w:rsidP="00AD309C">
            <w:pPr>
              <w:pStyle w:val="ListParagraph"/>
              <w:numPr>
                <w:ilvl w:val="0"/>
                <w:numId w:val="296"/>
              </w:numPr>
              <w:rPr>
                <w:rFonts w:cs="Arial"/>
                <w:iCs/>
              </w:rPr>
            </w:pPr>
            <w:r w:rsidRPr="00C8246A">
              <w:rPr>
                <w:rFonts w:cs="Arial"/>
                <w:iCs/>
              </w:rPr>
              <w:t>01/01/202</w:t>
            </w:r>
            <w:r w:rsidR="00692B0E">
              <w:rPr>
                <w:rFonts w:cs="Arial"/>
                <w:iCs/>
              </w:rPr>
              <w:t>5</w:t>
            </w:r>
            <w:r w:rsidRPr="00C06753">
              <w:rPr>
                <w:rFonts w:cs="Arial"/>
                <w:iCs/>
              </w:rPr>
              <w:t xml:space="preserve"> – 12/31/202</w:t>
            </w:r>
            <w:r w:rsidR="00692B0E">
              <w:rPr>
                <w:rFonts w:cs="Arial"/>
                <w:iCs/>
              </w:rPr>
              <w:t>5</w:t>
            </w:r>
          </w:p>
          <w:p w14:paraId="1DBE2D02" w14:textId="3BD98995" w:rsidR="005E1D5D" w:rsidRDefault="005E1D5D" w:rsidP="00AD309C">
            <w:pPr>
              <w:pStyle w:val="ListParagraph"/>
              <w:numPr>
                <w:ilvl w:val="0"/>
                <w:numId w:val="296"/>
              </w:numPr>
              <w:rPr>
                <w:lang w:eastAsia="ja-JP"/>
              </w:rPr>
            </w:pPr>
            <w:r w:rsidRPr="00C06753">
              <w:rPr>
                <w:rFonts w:cs="Arial"/>
                <w:iCs/>
              </w:rPr>
              <w:t>07/01/202</w:t>
            </w:r>
            <w:r w:rsidR="00692B0E">
              <w:rPr>
                <w:rFonts w:cs="Arial"/>
                <w:iCs/>
              </w:rPr>
              <w:t>5</w:t>
            </w:r>
            <w:r w:rsidRPr="00C06753">
              <w:rPr>
                <w:rFonts w:cs="Arial"/>
                <w:iCs/>
              </w:rPr>
              <w:t xml:space="preserve"> – 06/30/202</w:t>
            </w:r>
            <w:r w:rsidR="00692B0E">
              <w:rPr>
                <w:rFonts w:cs="Arial"/>
                <w:iCs/>
              </w:rPr>
              <w:t>6</w:t>
            </w:r>
          </w:p>
        </w:tc>
      </w:tr>
      <w:tr w:rsidR="005E1D5D" w14:paraId="3C12339C" w14:textId="77777777" w:rsidTr="00C8246A">
        <w:trPr>
          <w:trHeight w:val="720"/>
        </w:trPr>
        <w:tc>
          <w:tcPr>
            <w:tcW w:w="6475" w:type="dxa"/>
            <w:vAlign w:val="center"/>
          </w:tcPr>
          <w:p w14:paraId="348E0C94" w14:textId="34F077AD" w:rsidR="005E1D5D" w:rsidRDefault="005E1D5D" w:rsidP="00AD309C">
            <w:pPr>
              <w:pStyle w:val="ListParagraph"/>
              <w:numPr>
                <w:ilvl w:val="0"/>
                <w:numId w:val="10"/>
              </w:numPr>
              <w:rPr>
                <w:lang w:eastAsia="ja-JP"/>
              </w:rPr>
            </w:pPr>
            <w:r w:rsidRPr="00F0772B">
              <w:rPr>
                <w:rFonts w:cs="Arial"/>
                <w:snapToGrid w:val="0"/>
                <w:color w:val="000000"/>
              </w:rPr>
              <w:t xml:space="preserve">For </w:t>
            </w:r>
            <w:r w:rsidRPr="005E1D5D">
              <w:rPr>
                <w:rFonts w:cs="Arial"/>
                <w:snapToGrid w:val="0"/>
              </w:rPr>
              <w:t>the reporting period</w:t>
            </w:r>
            <w:r w:rsidRPr="005E1D5D">
              <w:rPr>
                <w:rFonts w:cs="Arial"/>
                <w:snapToGrid w:val="0"/>
                <w:color w:val="000000"/>
              </w:rPr>
              <w:t xml:space="preserve">, how many very low birth weight babies were admitted to your hospital’s neonatal intensive care unit(s)? </w:t>
            </w:r>
          </w:p>
        </w:tc>
        <w:tc>
          <w:tcPr>
            <w:tcW w:w="2875" w:type="dxa"/>
            <w:vAlign w:val="center"/>
          </w:tcPr>
          <w:p w14:paraId="3FF4572B" w14:textId="77777777" w:rsidR="005E1D5D" w:rsidRPr="009A5185" w:rsidRDefault="005E1D5D" w:rsidP="005E1D5D">
            <w:pPr>
              <w:jc w:val="center"/>
              <w:rPr>
                <w:rFonts w:cs="Arial"/>
              </w:rPr>
            </w:pPr>
          </w:p>
          <w:p w14:paraId="1BC0E809" w14:textId="77777777" w:rsidR="005E1D5D" w:rsidRPr="009A5185" w:rsidRDefault="005E1D5D" w:rsidP="005E1D5D">
            <w:pPr>
              <w:jc w:val="center"/>
              <w:rPr>
                <w:rFonts w:cs="Arial"/>
              </w:rPr>
            </w:pPr>
            <w:r w:rsidRPr="009A5185">
              <w:rPr>
                <w:rFonts w:cs="Arial"/>
              </w:rPr>
              <w:t>_______</w:t>
            </w:r>
          </w:p>
          <w:p w14:paraId="4885476E" w14:textId="77777777" w:rsidR="005E1D5D" w:rsidRDefault="005E1D5D" w:rsidP="005E1D5D">
            <w:pPr>
              <w:rPr>
                <w:lang w:eastAsia="ja-JP"/>
              </w:rPr>
            </w:pPr>
          </w:p>
        </w:tc>
      </w:tr>
    </w:tbl>
    <w:p w14:paraId="1FC04F05" w14:textId="1B5C16F6" w:rsidR="005E1D5D" w:rsidRPr="008D20D6" w:rsidRDefault="005E1D5D" w:rsidP="005E1D5D">
      <w:pPr>
        <w:rPr>
          <w:lang w:eastAsia="ja-JP"/>
        </w:rPr>
      </w:pPr>
    </w:p>
    <w:p w14:paraId="63B9C9C7" w14:textId="77777777" w:rsidR="00540038" w:rsidRPr="009A5185" w:rsidRDefault="00540038" w:rsidP="00AB5B80">
      <w:pPr>
        <w:pStyle w:val="Heading3"/>
      </w:pPr>
      <w:bookmarkStart w:id="320" w:name="_Toc225877735"/>
      <w:r w:rsidRPr="009A5185">
        <w:t>Neonatal Intensive Care Unit(s) – National Performance Measurement</w:t>
      </w:r>
      <w:bookmarkEnd w:id="320"/>
    </w:p>
    <w:p w14:paraId="36E9A5EC" w14:textId="42545228" w:rsidR="005E1D5D" w:rsidRPr="008D20D6" w:rsidRDefault="005E1D5D" w:rsidP="005E1D5D">
      <w:pPr>
        <w:rPr>
          <w:lang w:eastAsia="ja-JP"/>
        </w:rPr>
      </w:pPr>
    </w:p>
    <w:p w14:paraId="7F5C364D" w14:textId="77777777" w:rsidR="003013B4" w:rsidRDefault="003013B4" w:rsidP="003013B4">
      <w:pPr>
        <w:rPr>
          <w:rFonts w:cs="Arial"/>
        </w:rPr>
      </w:pPr>
      <w:r w:rsidRPr="003013B4">
        <w:rPr>
          <w:b/>
          <w:bCs/>
          <w:color w:val="FF0000"/>
          <w:lang w:eastAsia="ja-JP"/>
        </w:rPr>
        <w:t>Important Note:</w:t>
      </w:r>
      <w:r w:rsidRPr="003013B4">
        <w:rPr>
          <w:color w:val="FF0000"/>
          <w:lang w:eastAsia="ja-JP"/>
        </w:rPr>
        <w:t xml:space="preserve"> </w:t>
      </w:r>
      <w:r>
        <w:rPr>
          <w:rFonts w:cs="Arial"/>
        </w:rPr>
        <w:t>Hospitals participating in the Vermont Oxford Network (VON) may opt to report on the VON National Performance Measure. In order for Leapfrog to obtain the data from VON, the VON data must be finalized, and hospitals must complete the following steps:</w:t>
      </w:r>
    </w:p>
    <w:p w14:paraId="0F9C2901" w14:textId="128E4316" w:rsidR="003013B4" w:rsidRPr="009929CD" w:rsidRDefault="003013B4" w:rsidP="00AD309C">
      <w:pPr>
        <w:pStyle w:val="ListParagraph"/>
        <w:numPr>
          <w:ilvl w:val="0"/>
          <w:numId w:val="167"/>
        </w:numPr>
        <w:rPr>
          <w:rFonts w:cs="Arial"/>
        </w:rPr>
      </w:pPr>
      <w:r w:rsidRPr="009929CD">
        <w:rPr>
          <w:rFonts w:cs="Arial"/>
        </w:rPr>
        <w:t xml:space="preserve">Provide an accurate </w:t>
      </w:r>
      <w:hyperlink r:id="rId267" w:history="1">
        <w:r w:rsidRPr="009929CD">
          <w:rPr>
            <w:rStyle w:val="Hyperlink"/>
            <w:rFonts w:cs="Arial"/>
          </w:rPr>
          <w:t>VON Transfer Code</w:t>
        </w:r>
      </w:hyperlink>
      <w:r w:rsidRPr="009929CD">
        <w:rPr>
          <w:rFonts w:cs="Arial"/>
        </w:rPr>
        <w:t xml:space="preserve"> in </w:t>
      </w:r>
      <w:r>
        <w:t>the Hospital Profile,</w:t>
      </w:r>
      <w:r w:rsidRPr="009929CD">
        <w:rPr>
          <w:rFonts w:cs="Arial"/>
        </w:rPr>
        <w:t xml:space="preserve"> </w:t>
      </w:r>
    </w:p>
    <w:p w14:paraId="74DDB6BE" w14:textId="134CB340" w:rsidR="003013B4" w:rsidRDefault="003013B4" w:rsidP="00AD309C">
      <w:pPr>
        <w:pStyle w:val="ListParagraph"/>
        <w:numPr>
          <w:ilvl w:val="0"/>
          <w:numId w:val="167"/>
        </w:numPr>
        <w:rPr>
          <w:rFonts w:cs="Arial"/>
        </w:rPr>
      </w:pPr>
      <w:r w:rsidRPr="00973A2C">
        <w:rPr>
          <w:rFonts w:cs="Arial"/>
        </w:rPr>
        <w:t xml:space="preserve">Complete a </w:t>
      </w:r>
      <w:hyperlink r:id="rId268" w:history="1">
        <w:r w:rsidRPr="00973A2C">
          <w:rPr>
            <w:rStyle w:val="Hyperlink"/>
            <w:rFonts w:cs="Arial"/>
          </w:rPr>
          <w:t>Data Sharing Authorization</w:t>
        </w:r>
      </w:hyperlink>
      <w:r w:rsidRPr="00973A2C">
        <w:rPr>
          <w:rFonts w:cs="Arial"/>
        </w:rPr>
        <w:t xml:space="preserve"> letter and submit it to </w:t>
      </w:r>
      <w:hyperlink r:id="rId269" w:history="1">
        <w:r w:rsidRPr="00973A2C">
          <w:rPr>
            <w:rStyle w:val="Hyperlink"/>
            <w:rFonts w:cs="Arial"/>
          </w:rPr>
          <w:t>VON</w:t>
        </w:r>
      </w:hyperlink>
      <w:r w:rsidRPr="00973A2C">
        <w:rPr>
          <w:rFonts w:cs="Arial"/>
        </w:rPr>
        <w:t xml:space="preserve"> by </w:t>
      </w:r>
      <w:r w:rsidRPr="00973A2C">
        <w:rPr>
          <w:rFonts w:cs="Arial"/>
          <w:b/>
          <w:bCs/>
        </w:rPr>
        <w:t>Jun</w:t>
      </w:r>
      <w:r w:rsidRPr="00973A2C">
        <w:rPr>
          <w:b/>
        </w:rPr>
        <w:t>e</w:t>
      </w:r>
      <w:r w:rsidRPr="00973A2C">
        <w:rPr>
          <w:rFonts w:cs="Arial"/>
          <w:b/>
          <w:bCs/>
        </w:rPr>
        <w:t xml:space="preserve"> 1</w:t>
      </w:r>
      <w:r w:rsidR="001D5AB5">
        <w:rPr>
          <w:rFonts w:cs="Arial"/>
          <w:b/>
          <w:bCs/>
        </w:rPr>
        <w:t>5</w:t>
      </w:r>
      <w:r w:rsidRPr="00973A2C">
        <w:rPr>
          <w:rFonts w:cs="Arial"/>
        </w:rPr>
        <w:t>.</w:t>
      </w:r>
      <w:r>
        <w:t xml:space="preserve"> </w:t>
      </w:r>
      <w:r w:rsidRPr="00973A2C">
        <w:rPr>
          <w:rFonts w:cs="Arial"/>
        </w:rPr>
        <w:t xml:space="preserve">Hospitals that submitted their Data Sharing Authorization letter to VON </w:t>
      </w:r>
      <w:r w:rsidRPr="00AC7C90">
        <w:rPr>
          <w:rFonts w:cs="Arial"/>
        </w:rPr>
        <w:t xml:space="preserve">in </w:t>
      </w:r>
      <w:r>
        <w:rPr>
          <w:rFonts w:cs="Arial"/>
        </w:rPr>
        <w:t xml:space="preserve">previous </w:t>
      </w:r>
      <w:r w:rsidRPr="009A5185">
        <w:rPr>
          <w:rFonts w:cs="Arial"/>
        </w:rPr>
        <w:t>Leapfrog Hospital Survey</w:t>
      </w:r>
      <w:r>
        <w:rPr>
          <w:rFonts w:cs="Arial"/>
        </w:rPr>
        <w:t xml:space="preserve"> Cycles </w:t>
      </w:r>
      <w:r w:rsidR="00157FDB">
        <w:rPr>
          <w:rFonts w:cs="Arial"/>
        </w:rPr>
        <w:t>do</w:t>
      </w:r>
      <w:r w:rsidRPr="00AC7C90">
        <w:rPr>
          <w:rFonts w:cs="Arial"/>
        </w:rPr>
        <w:t xml:space="preserve"> not have to re-submit a new letter in 202</w:t>
      </w:r>
      <w:r w:rsidR="001D5AB5">
        <w:rPr>
          <w:rFonts w:cs="Arial"/>
        </w:rPr>
        <w:t>6</w:t>
      </w:r>
      <w:r w:rsidR="00B13362">
        <w:rPr>
          <w:rFonts w:cs="Arial"/>
        </w:rPr>
        <w:t>,</w:t>
      </w:r>
    </w:p>
    <w:p w14:paraId="78B89DBE" w14:textId="77777777" w:rsidR="003013B4" w:rsidRPr="00973A2C" w:rsidRDefault="003013B4" w:rsidP="00AD309C">
      <w:pPr>
        <w:pStyle w:val="ListParagraph"/>
        <w:numPr>
          <w:ilvl w:val="0"/>
          <w:numId w:val="167"/>
        </w:numPr>
        <w:rPr>
          <w:rFonts w:cs="Arial"/>
        </w:rPr>
      </w:pPr>
      <w:r w:rsidRPr="00973A2C">
        <w:rPr>
          <w:rFonts w:cs="Arial"/>
        </w:rPr>
        <w:t xml:space="preserve">Select “VON National Performance Measure” in question #3, and </w:t>
      </w:r>
    </w:p>
    <w:p w14:paraId="5D8872A4" w14:textId="4F74B794" w:rsidR="003013B4" w:rsidRPr="009929CD" w:rsidRDefault="003013B4" w:rsidP="00AD309C">
      <w:pPr>
        <w:pStyle w:val="ListParagraph"/>
        <w:numPr>
          <w:ilvl w:val="0"/>
          <w:numId w:val="167"/>
        </w:numPr>
        <w:rPr>
          <w:rFonts w:cs="Arial"/>
        </w:rPr>
      </w:pPr>
      <w:r w:rsidRPr="009929CD">
        <w:rPr>
          <w:rFonts w:cs="Arial"/>
        </w:rPr>
        <w:t xml:space="preserve">Submit </w:t>
      </w:r>
      <w:r>
        <w:rPr>
          <w:rFonts w:cs="Arial"/>
        </w:rPr>
        <w:t>the 202</w:t>
      </w:r>
      <w:r w:rsidR="001D5AB5">
        <w:rPr>
          <w:rFonts w:cs="Arial"/>
        </w:rPr>
        <w:t>6</w:t>
      </w:r>
      <w:r>
        <w:rPr>
          <w:rFonts w:cs="Arial"/>
        </w:rPr>
        <w:t xml:space="preserve"> Leapfrog Hospital Survey</w:t>
      </w:r>
      <w:r w:rsidRPr="009929CD">
        <w:rPr>
          <w:rFonts w:cs="Arial"/>
        </w:rPr>
        <w:t xml:space="preserve"> by the June 30 Submission Deadline.</w:t>
      </w:r>
      <w:r w:rsidRPr="009929CD">
        <w:rPr>
          <w:rFonts w:cs="Arial"/>
        </w:rPr>
        <w:br/>
      </w:r>
    </w:p>
    <w:p w14:paraId="37B8B3AD" w14:textId="3104487F" w:rsidR="003013B4" w:rsidRPr="003013B4" w:rsidRDefault="003013B4" w:rsidP="003013B4">
      <w:pPr>
        <w:pStyle w:val="Header"/>
        <w:tabs>
          <w:tab w:val="clear" w:pos="4320"/>
          <w:tab w:val="clear" w:pos="8640"/>
        </w:tabs>
        <w:rPr>
          <w:rFonts w:cs="Arial"/>
        </w:rPr>
      </w:pPr>
      <w:r>
        <w:rPr>
          <w:rFonts w:cs="Arial"/>
        </w:rPr>
        <w:t>Hospitals that select “VON National Performance Measure” in question #3, but do not adhere to the other steps will be scored and publicly reported as “Declined to Re</w:t>
      </w:r>
      <w:r w:rsidR="00B757B9">
        <w:rPr>
          <w:rFonts w:cs="Arial"/>
        </w:rPr>
        <w:t>port</w:t>
      </w:r>
      <w:r>
        <w:rPr>
          <w:rFonts w:cs="Arial"/>
        </w:rPr>
        <w:t>” for the High-Risk Deliveries measure.</w:t>
      </w:r>
    </w:p>
    <w:p w14:paraId="46195259" w14:textId="77777777" w:rsidR="003013B4" w:rsidRPr="008D20D6" w:rsidRDefault="003013B4" w:rsidP="005E1D5D">
      <w:pPr>
        <w:rPr>
          <w:lang w:eastAsia="ja-JP"/>
        </w:rPr>
      </w:pPr>
    </w:p>
    <w:p w14:paraId="3DD61DF2" w14:textId="1C26FDDC" w:rsidR="00540038" w:rsidRDefault="00540038" w:rsidP="00540038">
      <w:pPr>
        <w:pStyle w:val="Header"/>
        <w:tabs>
          <w:tab w:val="clear" w:pos="4320"/>
          <w:tab w:val="clear" w:pos="8640"/>
        </w:tabs>
        <w:rPr>
          <w:rFonts w:cs="Arial"/>
        </w:rPr>
      </w:pPr>
      <w:r w:rsidRPr="009A5185">
        <w:rPr>
          <w:rFonts w:cs="Arial"/>
          <w:b/>
        </w:rPr>
        <w:t xml:space="preserve">Specifications: </w:t>
      </w:r>
      <w:r w:rsidRPr="009A5185">
        <w:rPr>
          <w:rFonts w:cs="Arial"/>
        </w:rPr>
        <w:t xml:space="preserve">See </w:t>
      </w:r>
      <w:hyperlink w:anchor="_High-Risk_Deliveries_Measure_1" w:history="1">
        <w:r w:rsidR="00AC7C90">
          <w:rPr>
            <w:rStyle w:val="Hyperlink"/>
            <w:rFonts w:cs="Arial"/>
            <w:b/>
            <w:i/>
          </w:rPr>
          <w:t>Neonatal Intensive Care Unit(s) – National Perfo</w:t>
        </w:r>
        <w:bookmarkStart w:id="321" w:name="_Hlt218513577"/>
        <w:r w:rsidR="00AC7C90">
          <w:rPr>
            <w:rStyle w:val="Hyperlink"/>
            <w:rFonts w:cs="Arial"/>
            <w:b/>
            <w:i/>
          </w:rPr>
          <w:t>r</w:t>
        </w:r>
        <w:bookmarkEnd w:id="321"/>
        <w:r w:rsidR="00AC7C90">
          <w:rPr>
            <w:rStyle w:val="Hyperlink"/>
            <w:rFonts w:cs="Arial"/>
            <w:b/>
            <w:i/>
          </w:rPr>
          <w:t>mance Measurement Measure Specifications</w:t>
        </w:r>
      </w:hyperlink>
      <w:r w:rsidRPr="009A5185">
        <w:rPr>
          <w:rFonts w:cs="Arial"/>
          <w:b/>
          <w:i/>
        </w:rPr>
        <w:t xml:space="preserve"> </w:t>
      </w:r>
      <w:r w:rsidRPr="009A5185">
        <w:rPr>
          <w:rFonts w:cs="Arial"/>
        </w:rPr>
        <w:t xml:space="preserve">in the Reference Information </w:t>
      </w:r>
      <w:r w:rsidR="008964E1">
        <w:rPr>
          <w:rFonts w:cs="Arial"/>
        </w:rPr>
        <w:t xml:space="preserve">beginning on page </w:t>
      </w:r>
      <w:r w:rsidR="008964E1">
        <w:rPr>
          <w:rFonts w:cs="Arial"/>
        </w:rPr>
        <w:fldChar w:fldCharType="begin"/>
      </w:r>
      <w:r w:rsidR="008964E1">
        <w:rPr>
          <w:rFonts w:cs="Arial"/>
        </w:rPr>
        <w:instrText xml:space="preserve"> PAGEREF _Ref123647058 \h </w:instrText>
      </w:r>
      <w:r w:rsidR="008964E1">
        <w:rPr>
          <w:rFonts w:cs="Arial"/>
        </w:rPr>
      </w:r>
      <w:r w:rsidR="008964E1">
        <w:rPr>
          <w:rFonts w:cs="Arial"/>
        </w:rPr>
        <w:fldChar w:fldCharType="separate"/>
      </w:r>
      <w:r w:rsidR="00C4182A">
        <w:rPr>
          <w:rFonts w:cs="Arial"/>
          <w:noProof/>
        </w:rPr>
        <w:t>173</w:t>
      </w:r>
      <w:r w:rsidR="008964E1">
        <w:rPr>
          <w:rFonts w:cs="Arial"/>
        </w:rPr>
        <w:fldChar w:fldCharType="end"/>
      </w:r>
      <w:r w:rsidR="008964E1">
        <w:rPr>
          <w:rFonts w:cs="Arial"/>
        </w:rPr>
        <w:t>.</w:t>
      </w:r>
    </w:p>
    <w:p w14:paraId="4A03FD2A" w14:textId="77777777" w:rsidR="00916AE9" w:rsidRPr="008D20D6" w:rsidRDefault="00916AE9" w:rsidP="00540038">
      <w:pPr>
        <w:pStyle w:val="Header"/>
        <w:tabs>
          <w:tab w:val="clear" w:pos="4320"/>
          <w:tab w:val="clear" w:pos="8640"/>
        </w:tabs>
        <w:rPr>
          <w:rFonts w:cs="Arial"/>
        </w:rPr>
      </w:pPr>
    </w:p>
    <w:p w14:paraId="5F57C584" w14:textId="14FF7E6E" w:rsidR="00540038" w:rsidRDefault="00916AE9" w:rsidP="005E1D5D">
      <w:pPr>
        <w:rPr>
          <w:rFonts w:cs="Arial"/>
          <w:snapToGrid w:val="0"/>
        </w:rPr>
      </w:pPr>
      <w:r w:rsidRPr="00916AE9">
        <w:rPr>
          <w:rFonts w:cs="Arial"/>
          <w:noProof/>
          <w:snapToGrid w:val="0"/>
        </w:rPr>
        <mc:AlternateContent>
          <mc:Choice Requires="wps">
            <w:drawing>
              <wp:inline distT="0" distB="0" distL="0" distR="0" wp14:anchorId="40570557" wp14:editId="550B774B">
                <wp:extent cx="5915660" cy="1404620"/>
                <wp:effectExtent l="0" t="0" r="27940" b="20955"/>
                <wp:docPr id="38" name="Text Box 38" descr="P6578TB2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1404620"/>
                        </a:xfrm>
                        <a:prstGeom prst="rect">
                          <a:avLst/>
                        </a:prstGeom>
                        <a:solidFill>
                          <a:srgbClr val="FFFFFF"/>
                        </a:solidFill>
                        <a:ln w="9525">
                          <a:solidFill>
                            <a:srgbClr val="FF0000"/>
                          </a:solidFill>
                          <a:miter lim="800000"/>
                          <a:headEnd/>
                          <a:tailEnd/>
                        </a:ln>
                      </wps:spPr>
                      <wps:txbx>
                        <w:txbxContent>
                          <w:p w14:paraId="2436DBD4" w14:textId="33845D1D" w:rsidR="00916AE9" w:rsidRPr="009A5185" w:rsidRDefault="00916AE9" w:rsidP="00916AE9">
                            <w:pPr>
                              <w:spacing w:before="40"/>
                              <w:rPr>
                                <w:rFonts w:cs="Arial"/>
                              </w:rPr>
                            </w:pPr>
                            <w:r w:rsidRPr="009A5185">
                              <w:rPr>
                                <w:rFonts w:cs="Arial"/>
                                <w:b/>
                              </w:rPr>
                              <w:t>Reporting Period:</w:t>
                            </w:r>
                            <w:r w:rsidRPr="009A5185">
                              <w:rPr>
                                <w:rFonts w:cs="Arial"/>
                              </w:rPr>
                              <w:t xml:space="preserve"> </w:t>
                            </w:r>
                            <w:r w:rsidRPr="00DC436E">
                              <w:rPr>
                                <w:rFonts w:cs="Arial"/>
                                <w:b/>
                                <w:bCs/>
                              </w:rPr>
                              <w:t xml:space="preserve">12 months </w:t>
                            </w:r>
                          </w:p>
                          <w:p w14:paraId="679C26E3" w14:textId="77777777" w:rsidR="00916AE9" w:rsidRPr="009A5185" w:rsidRDefault="00916AE9" w:rsidP="00916AE9">
                            <w:pPr>
                              <w:rPr>
                                <w:rFonts w:cs="Arial"/>
                                <w:b/>
                              </w:rPr>
                            </w:pPr>
                            <w:r>
                              <w:rPr>
                                <w:rFonts w:cs="Arial"/>
                              </w:rPr>
                              <w:t>Responses are based</w:t>
                            </w:r>
                            <w:r w:rsidRPr="009A5185">
                              <w:rPr>
                                <w:rFonts w:cs="Arial"/>
                              </w:rPr>
                              <w:t xml:space="preserve"> on the latest </w:t>
                            </w:r>
                            <w:r w:rsidRPr="009A5185">
                              <w:rPr>
                                <w:rFonts w:cs="Arial"/>
                                <w:b/>
                              </w:rPr>
                              <w:t>12-month</w:t>
                            </w:r>
                            <w:r w:rsidRPr="009A5185">
                              <w:rPr>
                                <w:rFonts w:cs="Arial"/>
                              </w:rPr>
                              <w:t xml:space="preserve"> report received from the Vermont Oxford Network (VON) </w:t>
                            </w:r>
                            <w:r w:rsidRPr="00674A75">
                              <w:rPr>
                                <w:rFonts w:cs="Arial"/>
                                <w:bCs/>
                              </w:rPr>
                              <w:t xml:space="preserve">for the </w:t>
                            </w:r>
                            <w:r w:rsidRPr="009A5185">
                              <w:rPr>
                                <w:rFonts w:cs="Arial"/>
                                <w:b/>
                              </w:rPr>
                              <w:t xml:space="preserve">Death or Morbidity Measure. </w:t>
                            </w:r>
                          </w:p>
                          <w:p w14:paraId="6C8CBF42" w14:textId="0152EE41" w:rsidR="00916AE9" w:rsidRPr="009A5185" w:rsidRDefault="00916AE9" w:rsidP="00AD309C">
                            <w:pPr>
                              <w:pStyle w:val="ListParagraph"/>
                              <w:numPr>
                                <w:ilvl w:val="0"/>
                                <w:numId w:val="57"/>
                              </w:numPr>
                              <w:spacing w:after="120"/>
                              <w:rPr>
                                <w:rFonts w:cs="Arial"/>
                              </w:rPr>
                            </w:pPr>
                            <w:r>
                              <w:rPr>
                                <w:rFonts w:cs="Arial"/>
                              </w:rPr>
                              <w:t>202</w:t>
                            </w:r>
                            <w:r w:rsidR="00AE3F06">
                              <w:rPr>
                                <w:rFonts w:cs="Arial"/>
                              </w:rPr>
                              <w:t>4</w:t>
                            </w:r>
                            <w:r w:rsidRPr="009A5185">
                              <w:rPr>
                                <w:rFonts w:cs="Arial"/>
                              </w:rPr>
                              <w:t xml:space="preserve"> VON data </w:t>
                            </w:r>
                          </w:p>
                          <w:p w14:paraId="6E923D49" w14:textId="15B7E457" w:rsidR="00916AE9" w:rsidRDefault="00916AE9" w:rsidP="00AD309C">
                            <w:pPr>
                              <w:pStyle w:val="ListParagraph"/>
                              <w:numPr>
                                <w:ilvl w:val="0"/>
                                <w:numId w:val="57"/>
                              </w:numPr>
                              <w:rPr>
                                <w:rFonts w:cs="Arial"/>
                              </w:rPr>
                            </w:pPr>
                            <w:r>
                              <w:rPr>
                                <w:rFonts w:cs="Arial"/>
                              </w:rPr>
                              <w:t>202</w:t>
                            </w:r>
                            <w:r w:rsidR="00AE3F06">
                              <w:rPr>
                                <w:rFonts w:cs="Arial"/>
                              </w:rPr>
                              <w:t>5</w:t>
                            </w:r>
                            <w:r w:rsidRPr="009A5185">
                              <w:rPr>
                                <w:rFonts w:cs="Arial"/>
                              </w:rPr>
                              <w:t xml:space="preserve"> VON data</w:t>
                            </w:r>
                            <w:r>
                              <w:rPr>
                                <w:rFonts w:cs="Arial"/>
                              </w:rPr>
                              <w:t xml:space="preserve"> </w:t>
                            </w:r>
                            <w:r w:rsidRPr="00F54D35">
                              <w:rPr>
                                <w:rFonts w:cs="Arial"/>
                                <w:i/>
                                <w:iCs/>
                              </w:rPr>
                              <w:t>(usually available after August 31)</w:t>
                            </w:r>
                          </w:p>
                          <w:p w14:paraId="7B461287" w14:textId="77777777" w:rsidR="00916AE9" w:rsidRDefault="00916AE9" w:rsidP="00916AE9">
                            <w:pPr>
                              <w:rPr>
                                <w:rFonts w:cs="Arial"/>
                              </w:rPr>
                            </w:pPr>
                          </w:p>
                          <w:p w14:paraId="3E00DFCA" w14:textId="54F89449" w:rsidR="00916AE9" w:rsidRDefault="00916AE9" w:rsidP="00916AE9">
                            <w:r w:rsidRPr="0011459E">
                              <w:rPr>
                                <w:rFonts w:cs="Arial"/>
                                <w:i/>
                                <w:iCs/>
                                <w:sz w:val="16"/>
                                <w:szCs w:val="16"/>
                              </w:rPr>
                              <w:t xml:space="preserve">Leapfrog will update the VON data three times per Survey Cycle for all hospitals that have completed the steps noted above. See deadlines and reporting periods in the </w:t>
                            </w:r>
                            <w:hyperlink w:anchor="_High-Risk_Deliveries_Measure_1" w:history="1">
                              <w:r>
                                <w:rPr>
                                  <w:rStyle w:val="Hyperlink"/>
                                  <w:rFonts w:cs="Arial"/>
                                  <w:b/>
                                  <w:i/>
                                  <w:iCs/>
                                  <w:sz w:val="16"/>
                                  <w:szCs w:val="16"/>
                                </w:rPr>
                                <w:t>Neonatal Intensive Care Unit(s) - National Performance Measurement Measure Specifications</w:t>
                              </w:r>
                            </w:hyperlink>
                            <w:r>
                              <w:rPr>
                                <w:rStyle w:val="Hyperlink"/>
                                <w:rFonts w:cs="Arial"/>
                                <w:b/>
                                <w:i/>
                                <w:iCs/>
                                <w:sz w:val="16"/>
                                <w:szCs w:val="16"/>
                              </w:rPr>
                              <w:t>.</w:t>
                            </w:r>
                          </w:p>
                        </w:txbxContent>
                      </wps:txbx>
                      <wps:bodyPr rot="0" vert="horz" wrap="square" lIns="91440" tIns="45720" rIns="91440" bIns="45720" anchor="t" anchorCtr="0">
                        <a:spAutoFit/>
                      </wps:bodyPr>
                    </wps:wsp>
                  </a:graphicData>
                </a:graphic>
              </wp:inline>
            </w:drawing>
          </mc:Choice>
          <mc:Fallback>
            <w:pict>
              <v:shape w14:anchorId="40570557" id="Text Box 38" o:spid="_x0000_s1047" type="#_x0000_t202" alt="P6578TB20#y1" style="width:465.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" strokecolor="red">
                <v:textbox style="mso-fit-shape-to-text:t">
                  <w:txbxContent>
                    <w:p w14:paraId="2436DBD4" w14:textId="33845D1D" w:rsidR="00916AE9" w:rsidRPr="009A5185" w:rsidRDefault="00916AE9" w:rsidP="00916AE9">
                      <w:pPr>
                        <w:spacing w:before="40"/>
                        <w:rPr>
                          <w:rFonts w:cs="Arial"/>
                        </w:rPr>
                      </w:pPr>
                      <w:r w:rsidRPr="009A5185">
                        <w:rPr>
                          <w:rFonts w:cs="Arial"/>
                          <w:b/>
                        </w:rPr>
                        <w:t>Reporting Period:</w:t>
                      </w:r>
                      <w:r w:rsidRPr="009A5185">
                        <w:rPr>
                          <w:rFonts w:cs="Arial"/>
                        </w:rPr>
                        <w:t xml:space="preserve"> </w:t>
                      </w:r>
                      <w:r w:rsidRPr="00DC436E">
                        <w:rPr>
                          <w:rFonts w:cs="Arial"/>
                          <w:b/>
                          <w:bCs/>
                        </w:rPr>
                        <w:t xml:space="preserve">12 months </w:t>
                      </w:r>
                    </w:p>
                    <w:p w14:paraId="679C26E3" w14:textId="77777777" w:rsidR="00916AE9" w:rsidRPr="009A5185" w:rsidRDefault="00916AE9" w:rsidP="00916AE9">
                      <w:pPr>
                        <w:rPr>
                          <w:rFonts w:cs="Arial"/>
                          <w:b/>
                        </w:rPr>
                      </w:pPr>
                      <w:r>
                        <w:rPr>
                          <w:rFonts w:cs="Arial"/>
                        </w:rPr>
                        <w:t>Responses are based</w:t>
                      </w:r>
                      <w:r w:rsidRPr="009A5185">
                        <w:rPr>
                          <w:rFonts w:cs="Arial"/>
                        </w:rPr>
                        <w:t xml:space="preserve"> on the latest </w:t>
                      </w:r>
                      <w:r w:rsidRPr="009A5185">
                        <w:rPr>
                          <w:rFonts w:cs="Arial"/>
                          <w:b/>
                        </w:rPr>
                        <w:t>12-month</w:t>
                      </w:r>
                      <w:r w:rsidRPr="009A5185">
                        <w:rPr>
                          <w:rFonts w:cs="Arial"/>
                        </w:rPr>
                        <w:t xml:space="preserve"> report received from the Vermont Oxford Network (VON) </w:t>
                      </w:r>
                      <w:r w:rsidRPr="00674A75">
                        <w:rPr>
                          <w:rFonts w:cs="Arial"/>
                          <w:bCs/>
                        </w:rPr>
                        <w:t xml:space="preserve">for the </w:t>
                      </w:r>
                      <w:r w:rsidRPr="009A5185">
                        <w:rPr>
                          <w:rFonts w:cs="Arial"/>
                          <w:b/>
                        </w:rPr>
                        <w:t xml:space="preserve">Death or Morbidity Measure. </w:t>
                      </w:r>
                    </w:p>
                    <w:p w14:paraId="6C8CBF42" w14:textId="0152EE41" w:rsidR="00916AE9" w:rsidRPr="009A5185" w:rsidRDefault="00916AE9" w:rsidP="00AD309C">
                      <w:pPr>
                        <w:pStyle w:val="ListParagraph"/>
                        <w:numPr>
                          <w:ilvl w:val="0"/>
                          <w:numId w:val="57"/>
                        </w:numPr>
                        <w:spacing w:after="120"/>
                        <w:rPr>
                          <w:rFonts w:cs="Arial"/>
                        </w:rPr>
                      </w:pPr>
                      <w:r>
                        <w:rPr>
                          <w:rFonts w:cs="Arial"/>
                        </w:rPr>
                        <w:t>202</w:t>
                      </w:r>
                      <w:r w:rsidR="00AE3F06">
                        <w:rPr>
                          <w:rFonts w:cs="Arial"/>
                        </w:rPr>
                        <w:t>4</w:t>
                      </w:r>
                      <w:r w:rsidRPr="009A5185">
                        <w:rPr>
                          <w:rFonts w:cs="Arial"/>
                        </w:rPr>
                        <w:t xml:space="preserve"> VON data </w:t>
                      </w:r>
                    </w:p>
                    <w:p w14:paraId="6E923D49" w14:textId="15B7E457" w:rsidR="00916AE9" w:rsidRDefault="00916AE9" w:rsidP="00AD309C">
                      <w:pPr>
                        <w:pStyle w:val="ListParagraph"/>
                        <w:numPr>
                          <w:ilvl w:val="0"/>
                          <w:numId w:val="57"/>
                        </w:numPr>
                        <w:rPr>
                          <w:rFonts w:cs="Arial"/>
                        </w:rPr>
                      </w:pPr>
                      <w:r>
                        <w:rPr>
                          <w:rFonts w:cs="Arial"/>
                        </w:rPr>
                        <w:t>202</w:t>
                      </w:r>
                      <w:r w:rsidR="00AE3F06">
                        <w:rPr>
                          <w:rFonts w:cs="Arial"/>
                        </w:rPr>
                        <w:t>5</w:t>
                      </w:r>
                      <w:r w:rsidRPr="009A5185">
                        <w:rPr>
                          <w:rFonts w:cs="Arial"/>
                        </w:rPr>
                        <w:t xml:space="preserve"> VON data</w:t>
                      </w:r>
                      <w:r>
                        <w:rPr>
                          <w:rFonts w:cs="Arial"/>
                        </w:rPr>
                        <w:t xml:space="preserve"> </w:t>
                      </w:r>
                      <w:r w:rsidRPr="00F54D35">
                        <w:rPr>
                          <w:rFonts w:cs="Arial"/>
                          <w:i/>
                          <w:iCs/>
                        </w:rPr>
                        <w:t>(usually available after August 31)</w:t>
                      </w:r>
                    </w:p>
                    <w:p w14:paraId="7B461287" w14:textId="77777777" w:rsidR="00916AE9" w:rsidRDefault="00916AE9" w:rsidP="00916AE9">
                      <w:pPr>
                        <w:rPr>
                          <w:rFonts w:cs="Arial"/>
                        </w:rPr>
                      </w:pPr>
                    </w:p>
                    <w:p w14:paraId="3E00DFCA" w14:textId="54F89449" w:rsidR="00916AE9" w:rsidRDefault="00916AE9" w:rsidP="00916AE9">
                      <w:r w:rsidRPr="0011459E">
                        <w:rPr>
                          <w:rFonts w:cs="Arial"/>
                          <w:i/>
                          <w:iCs/>
                          <w:sz w:val="16"/>
                          <w:szCs w:val="16"/>
                        </w:rPr>
                        <w:t xml:space="preserve">Leapfrog will update the VON data three times per Survey Cycle for all hospitals that have completed the steps noted above. See deadlines and reporting periods in the </w:t>
                      </w:r>
                      <w:hyperlink w:anchor="_High-Risk_Deliveries_Measure_1" w:history="1">
                        <w:r>
                          <w:rPr>
                            <w:rStyle w:val="Hyperlink"/>
                            <w:rFonts w:cs="Arial"/>
                            <w:b/>
                            <w:i/>
                            <w:iCs/>
                            <w:sz w:val="16"/>
                            <w:szCs w:val="16"/>
                          </w:rPr>
                          <w:t>Neonatal Intensive Care Unit(s) - National Performance Measurement Measure Specifications</w:t>
                        </w:r>
                      </w:hyperlink>
                      <w:r>
                        <w:rPr>
                          <w:rStyle w:val="Hyperlink"/>
                          <w:rFonts w:cs="Arial"/>
                          <w:b/>
                          <w:i/>
                          <w:iCs/>
                          <w:sz w:val="16"/>
                          <w:szCs w:val="16"/>
                        </w:rPr>
                        <w:t>.</w:t>
                      </w:r>
                    </w:p>
                  </w:txbxContent>
                </v:textbox>
                <w10:anchorlock/>
              </v:shape>
            </w:pict>
          </mc:Fallback>
        </mc:AlternateContent>
      </w:r>
    </w:p>
    <w:p w14:paraId="6BE6921A" w14:textId="77777777" w:rsidR="00CD0E94" w:rsidRPr="008D20D6" w:rsidRDefault="00CD0E94" w:rsidP="005E1D5D">
      <w:pPr>
        <w:rPr>
          <w:rFonts w:cs="Arial"/>
          <w:snapToGrid w:val="0"/>
        </w:rPr>
      </w:pPr>
    </w:p>
    <w:tbl>
      <w:tblPr>
        <w:tblStyle w:val="TableGrid"/>
        <w:tblW w:w="0" w:type="auto"/>
        <w:tblLook w:val="04A0" w:firstRow="1" w:lastRow="0" w:firstColumn="1" w:lastColumn="0" w:noHBand="0" w:noVBand="1"/>
      </w:tblPr>
      <w:tblGrid>
        <w:gridCol w:w="6925"/>
        <w:gridCol w:w="2425"/>
      </w:tblGrid>
      <w:tr w:rsidR="00540038" w14:paraId="7AD873E6" w14:textId="77777777" w:rsidTr="00C06753">
        <w:tc>
          <w:tcPr>
            <w:tcW w:w="6925" w:type="dxa"/>
            <w:vAlign w:val="center"/>
          </w:tcPr>
          <w:p w14:paraId="6196AC40" w14:textId="57D54257" w:rsidR="00540038" w:rsidRDefault="00AC0F19" w:rsidP="00AD309C">
            <w:pPr>
              <w:pStyle w:val="ListParagraph"/>
              <w:numPr>
                <w:ilvl w:val="0"/>
                <w:numId w:val="10"/>
              </w:numPr>
              <w:rPr>
                <w:lang w:eastAsia="ja-JP"/>
              </w:rPr>
            </w:pPr>
            <w:r>
              <w:rPr>
                <w:rFonts w:cs="Arial"/>
                <w:snapToGrid w:val="0"/>
                <w:color w:val="000000"/>
              </w:rPr>
              <w:t>M</w:t>
            </w:r>
            <w:r w:rsidR="00540038" w:rsidRPr="00540038">
              <w:rPr>
                <w:rFonts w:cs="Arial"/>
                <w:snapToGrid w:val="0"/>
                <w:color w:val="000000"/>
              </w:rPr>
              <w:t xml:space="preserve">ost recent 12-month </w:t>
            </w:r>
            <w:r w:rsidR="00540038" w:rsidRPr="00540038">
              <w:rPr>
                <w:rFonts w:cs="Arial"/>
                <w:snapToGrid w:val="0"/>
              </w:rPr>
              <w:t>reporting period for which VON performance results are available</w:t>
            </w:r>
            <w:r>
              <w:rPr>
                <w:rFonts w:cs="Arial"/>
                <w:snapToGrid w:val="0"/>
              </w:rPr>
              <w:t>:</w:t>
            </w:r>
            <w:r w:rsidR="00540038" w:rsidRPr="00540038">
              <w:rPr>
                <w:rFonts w:cs="Arial"/>
                <w:snapToGrid w:val="0"/>
              </w:rPr>
              <w:t xml:space="preserve"> </w:t>
            </w:r>
          </w:p>
        </w:tc>
        <w:tc>
          <w:tcPr>
            <w:tcW w:w="2425" w:type="dxa"/>
            <w:shd w:val="clear" w:color="auto" w:fill="BFBFBF" w:themeFill="background1" w:themeFillShade="BF"/>
            <w:vAlign w:val="center"/>
          </w:tcPr>
          <w:p w14:paraId="6C5B04EA" w14:textId="1F2BAD76" w:rsidR="00540038" w:rsidRDefault="00540038" w:rsidP="00F0772B">
            <w:pPr>
              <w:jc w:val="center"/>
              <w:rPr>
                <w:lang w:eastAsia="ja-JP"/>
              </w:rPr>
            </w:pPr>
            <w:r w:rsidRPr="00D22120">
              <w:rPr>
                <w:rFonts w:cs="Arial"/>
                <w:i/>
                <w:snapToGrid w:val="0"/>
              </w:rPr>
              <w:t xml:space="preserve">No response required here. Determined </w:t>
            </w:r>
            <w:r w:rsidRPr="00D22120">
              <w:rPr>
                <w:rFonts w:cs="Arial"/>
                <w:i/>
                <w:snapToGrid w:val="0"/>
              </w:rPr>
              <w:lastRenderedPageBreak/>
              <w:t>automatically based on VON data.</w:t>
            </w:r>
          </w:p>
        </w:tc>
      </w:tr>
      <w:tr w:rsidR="00540038" w14:paraId="3E2286B0" w14:textId="77777777" w:rsidTr="00C06753">
        <w:tc>
          <w:tcPr>
            <w:tcW w:w="6925" w:type="dxa"/>
            <w:vAlign w:val="center"/>
          </w:tcPr>
          <w:p w14:paraId="5CE33829" w14:textId="738A1741" w:rsidR="00540038" w:rsidRDefault="00AC0F19" w:rsidP="00AD309C">
            <w:pPr>
              <w:pStyle w:val="ListParagraph"/>
              <w:numPr>
                <w:ilvl w:val="0"/>
                <w:numId w:val="10"/>
              </w:numPr>
              <w:rPr>
                <w:lang w:eastAsia="ja-JP"/>
              </w:rPr>
            </w:pPr>
            <w:r>
              <w:rPr>
                <w:rFonts w:cs="Arial"/>
                <w:snapToGrid w:val="0"/>
              </w:rPr>
              <w:lastRenderedPageBreak/>
              <w:t>H</w:t>
            </w:r>
            <w:r w:rsidR="00540038" w:rsidRPr="00540038">
              <w:rPr>
                <w:rFonts w:cs="Arial"/>
                <w:snapToGrid w:val="0"/>
              </w:rPr>
              <w:t>ospital’s volume</w:t>
            </w:r>
            <w:r>
              <w:rPr>
                <w:rFonts w:cs="Arial"/>
                <w:snapToGrid w:val="0"/>
              </w:rPr>
              <w:t xml:space="preserve"> based on VON report:</w:t>
            </w:r>
          </w:p>
        </w:tc>
        <w:tc>
          <w:tcPr>
            <w:tcW w:w="2425" w:type="dxa"/>
            <w:shd w:val="clear" w:color="auto" w:fill="BFBFBF" w:themeFill="background1" w:themeFillShade="BF"/>
            <w:vAlign w:val="center"/>
          </w:tcPr>
          <w:p w14:paraId="13EE759B" w14:textId="4781B94A" w:rsidR="00540038" w:rsidRDefault="00540038" w:rsidP="00F0772B">
            <w:pPr>
              <w:jc w:val="center"/>
              <w:rPr>
                <w:lang w:eastAsia="ja-JP"/>
              </w:rPr>
            </w:pPr>
            <w:r w:rsidRPr="00D22120">
              <w:rPr>
                <w:rFonts w:cs="Arial"/>
                <w:i/>
                <w:snapToGrid w:val="0"/>
              </w:rPr>
              <w:t>No response required here. Determined automatically based on VON data.</w:t>
            </w:r>
          </w:p>
        </w:tc>
      </w:tr>
      <w:tr w:rsidR="00540038" w14:paraId="4B295E35" w14:textId="77777777" w:rsidTr="00C06753">
        <w:tc>
          <w:tcPr>
            <w:tcW w:w="6925" w:type="dxa"/>
            <w:vAlign w:val="center"/>
          </w:tcPr>
          <w:p w14:paraId="4D95DD70" w14:textId="1DAB4118" w:rsidR="00540038" w:rsidRDefault="00AC0F19" w:rsidP="00AD309C">
            <w:pPr>
              <w:pStyle w:val="ListParagraph"/>
              <w:numPr>
                <w:ilvl w:val="0"/>
                <w:numId w:val="10"/>
              </w:numPr>
              <w:rPr>
                <w:lang w:eastAsia="ja-JP"/>
              </w:rPr>
            </w:pPr>
            <w:r>
              <w:rPr>
                <w:rFonts w:cs="Arial"/>
                <w:snapToGrid w:val="0"/>
                <w:color w:val="000000"/>
              </w:rPr>
              <w:t>H</w:t>
            </w:r>
            <w:r w:rsidR="00540038" w:rsidRPr="00F0772B">
              <w:rPr>
                <w:rFonts w:cs="Arial"/>
                <w:snapToGrid w:val="0"/>
                <w:color w:val="000000"/>
              </w:rPr>
              <w:t xml:space="preserve">ospital’s </w:t>
            </w:r>
            <w:r w:rsidR="003B5A2B">
              <w:rPr>
                <w:rFonts w:cs="Arial"/>
                <w:snapToGrid w:val="0"/>
                <w:color w:val="000000"/>
              </w:rPr>
              <w:t xml:space="preserve">standardized mortality ratio </w:t>
            </w:r>
            <w:r w:rsidR="00762174">
              <w:rPr>
                <w:rFonts w:cs="Arial"/>
                <w:snapToGrid w:val="0"/>
                <w:color w:val="000000"/>
              </w:rPr>
              <w:t>(</w:t>
            </w:r>
            <w:r w:rsidR="00540038" w:rsidRPr="00F0772B">
              <w:rPr>
                <w:rFonts w:cs="Arial"/>
                <w:b/>
                <w:snapToGrid w:val="0"/>
                <w:color w:val="000000"/>
              </w:rPr>
              <w:t>SMR</w:t>
            </w:r>
            <w:r w:rsidR="00762174">
              <w:rPr>
                <w:rFonts w:cs="Arial"/>
                <w:b/>
                <w:snapToGrid w:val="0"/>
                <w:color w:val="000000"/>
              </w:rPr>
              <w:t>)</w:t>
            </w:r>
            <w:r w:rsidR="00540038" w:rsidRPr="00F0772B">
              <w:rPr>
                <w:rFonts w:cs="Arial"/>
                <w:b/>
                <w:snapToGrid w:val="0"/>
                <w:color w:val="000000"/>
              </w:rPr>
              <w:t xml:space="preserve"> 95% lowe</w:t>
            </w:r>
            <w:r w:rsidR="00540038" w:rsidRPr="00F0772B">
              <w:rPr>
                <w:rFonts w:cs="Arial"/>
                <w:b/>
                <w:bCs/>
                <w:snapToGrid w:val="0"/>
                <w:color w:val="000000"/>
              </w:rPr>
              <w:t xml:space="preserve">r </w:t>
            </w:r>
            <w:r w:rsidR="00540038" w:rsidRPr="00F0772B">
              <w:rPr>
                <w:rFonts w:cs="Arial"/>
                <w:b/>
                <w:snapToGrid w:val="0"/>
                <w:color w:val="000000"/>
              </w:rPr>
              <w:t>bound</w:t>
            </w:r>
            <w:r>
              <w:rPr>
                <w:rFonts w:cs="Arial"/>
                <w:snapToGrid w:val="0"/>
                <w:color w:val="000000"/>
              </w:rPr>
              <w:t xml:space="preserve"> </w:t>
            </w:r>
            <w:r>
              <w:rPr>
                <w:rFonts w:cs="Arial"/>
                <w:snapToGrid w:val="0"/>
              </w:rPr>
              <w:t>based on VON report:</w:t>
            </w:r>
          </w:p>
        </w:tc>
        <w:tc>
          <w:tcPr>
            <w:tcW w:w="2425" w:type="dxa"/>
            <w:shd w:val="clear" w:color="auto" w:fill="BFBFBF" w:themeFill="background1" w:themeFillShade="BF"/>
            <w:vAlign w:val="center"/>
          </w:tcPr>
          <w:p w14:paraId="095CE0D1" w14:textId="71FB3B1A" w:rsidR="00540038" w:rsidRDefault="00540038" w:rsidP="00F0772B">
            <w:pPr>
              <w:jc w:val="center"/>
              <w:rPr>
                <w:lang w:eastAsia="ja-JP"/>
              </w:rPr>
            </w:pPr>
            <w:r w:rsidRPr="00D22120">
              <w:rPr>
                <w:rFonts w:cs="Arial"/>
                <w:i/>
                <w:snapToGrid w:val="0"/>
              </w:rPr>
              <w:t>No response required here. Determined automatically based on VON data.</w:t>
            </w:r>
          </w:p>
        </w:tc>
      </w:tr>
      <w:tr w:rsidR="00540038" w14:paraId="507B9B25" w14:textId="77777777" w:rsidTr="00C06753">
        <w:tc>
          <w:tcPr>
            <w:tcW w:w="6925" w:type="dxa"/>
            <w:vAlign w:val="center"/>
          </w:tcPr>
          <w:p w14:paraId="0D0FFE82" w14:textId="5F434778" w:rsidR="00540038" w:rsidRDefault="00AC0F19" w:rsidP="00AD309C">
            <w:pPr>
              <w:pStyle w:val="ListParagraph"/>
              <w:numPr>
                <w:ilvl w:val="0"/>
                <w:numId w:val="10"/>
              </w:numPr>
              <w:rPr>
                <w:lang w:eastAsia="ja-JP"/>
              </w:rPr>
            </w:pPr>
            <w:r>
              <w:rPr>
                <w:rFonts w:cs="Arial"/>
                <w:snapToGrid w:val="0"/>
                <w:color w:val="000000"/>
              </w:rPr>
              <w:t>H</w:t>
            </w:r>
            <w:r w:rsidR="00540038" w:rsidRPr="00F0772B">
              <w:rPr>
                <w:rFonts w:cs="Arial"/>
                <w:snapToGrid w:val="0"/>
                <w:color w:val="000000"/>
              </w:rPr>
              <w:t>ospital’s observed to expected ratio of morbidity or mortality (</w:t>
            </w:r>
            <w:r w:rsidR="00540038" w:rsidRPr="00F0772B">
              <w:rPr>
                <w:rFonts w:cs="Arial"/>
                <w:b/>
                <w:snapToGrid w:val="0"/>
                <w:color w:val="000000"/>
              </w:rPr>
              <w:t>SMR shrunken</w:t>
            </w:r>
            <w:r w:rsidR="00540038" w:rsidRPr="00F0772B">
              <w:rPr>
                <w:rFonts w:cs="Arial"/>
                <w:snapToGrid w:val="0"/>
                <w:color w:val="000000"/>
              </w:rPr>
              <w:t>)</w:t>
            </w:r>
            <w:r>
              <w:rPr>
                <w:rFonts w:cs="Arial"/>
                <w:snapToGrid w:val="0"/>
                <w:color w:val="000000"/>
              </w:rPr>
              <w:t xml:space="preserve"> </w:t>
            </w:r>
            <w:r>
              <w:rPr>
                <w:rFonts w:cs="Arial"/>
                <w:snapToGrid w:val="0"/>
              </w:rPr>
              <w:t>based on VON report:</w:t>
            </w:r>
          </w:p>
        </w:tc>
        <w:tc>
          <w:tcPr>
            <w:tcW w:w="2425" w:type="dxa"/>
            <w:shd w:val="clear" w:color="auto" w:fill="BFBFBF" w:themeFill="background1" w:themeFillShade="BF"/>
            <w:vAlign w:val="center"/>
          </w:tcPr>
          <w:p w14:paraId="39A3803E" w14:textId="6C516181" w:rsidR="00540038" w:rsidRDefault="00540038" w:rsidP="00F0772B">
            <w:pPr>
              <w:jc w:val="center"/>
              <w:rPr>
                <w:lang w:eastAsia="ja-JP"/>
              </w:rPr>
            </w:pPr>
            <w:r w:rsidRPr="00D22120">
              <w:rPr>
                <w:rFonts w:cs="Arial"/>
                <w:i/>
                <w:snapToGrid w:val="0"/>
              </w:rPr>
              <w:t>No response required here. Determined automatically based on VON data.</w:t>
            </w:r>
          </w:p>
        </w:tc>
      </w:tr>
      <w:tr w:rsidR="00540038" w14:paraId="3FFC907A" w14:textId="77777777" w:rsidTr="00C06753">
        <w:tc>
          <w:tcPr>
            <w:tcW w:w="6925" w:type="dxa"/>
            <w:vAlign w:val="center"/>
          </w:tcPr>
          <w:p w14:paraId="30FBC55E" w14:textId="7C710E5C" w:rsidR="00540038" w:rsidRDefault="00FD6F28" w:rsidP="00AD309C">
            <w:pPr>
              <w:pStyle w:val="ListParagraph"/>
              <w:numPr>
                <w:ilvl w:val="0"/>
                <w:numId w:val="10"/>
              </w:numPr>
              <w:rPr>
                <w:lang w:eastAsia="ja-JP"/>
              </w:rPr>
            </w:pPr>
            <w:r>
              <w:rPr>
                <w:rFonts w:cs="Arial"/>
                <w:snapToGrid w:val="0"/>
                <w:color w:val="000000"/>
              </w:rPr>
              <w:t>H</w:t>
            </w:r>
            <w:r w:rsidR="00540038" w:rsidRPr="00F0772B">
              <w:rPr>
                <w:rFonts w:cs="Arial"/>
                <w:snapToGrid w:val="0"/>
                <w:color w:val="000000"/>
              </w:rPr>
              <w:t xml:space="preserve">ospital’s </w:t>
            </w:r>
            <w:r w:rsidR="00540038" w:rsidRPr="00F0772B">
              <w:rPr>
                <w:rFonts w:cs="Arial"/>
                <w:b/>
                <w:snapToGrid w:val="0"/>
                <w:color w:val="000000"/>
              </w:rPr>
              <w:t>SMR 95% upper bound</w:t>
            </w:r>
            <w:r>
              <w:rPr>
                <w:rFonts w:cs="Arial"/>
                <w:snapToGrid w:val="0"/>
                <w:color w:val="000000"/>
              </w:rPr>
              <w:t xml:space="preserve"> </w:t>
            </w:r>
            <w:r>
              <w:rPr>
                <w:rFonts w:cs="Arial"/>
                <w:snapToGrid w:val="0"/>
              </w:rPr>
              <w:t>based on VON report:</w:t>
            </w:r>
          </w:p>
        </w:tc>
        <w:tc>
          <w:tcPr>
            <w:tcW w:w="2425" w:type="dxa"/>
            <w:shd w:val="clear" w:color="auto" w:fill="BFBFBF" w:themeFill="background1" w:themeFillShade="BF"/>
            <w:vAlign w:val="center"/>
          </w:tcPr>
          <w:p w14:paraId="45CF6257" w14:textId="3DB2B8C1" w:rsidR="00540038" w:rsidRDefault="00540038" w:rsidP="00F0772B">
            <w:pPr>
              <w:jc w:val="center"/>
              <w:rPr>
                <w:lang w:eastAsia="ja-JP"/>
              </w:rPr>
            </w:pPr>
            <w:r w:rsidRPr="00D22120">
              <w:rPr>
                <w:rFonts w:cs="Arial"/>
                <w:i/>
                <w:snapToGrid w:val="0"/>
              </w:rPr>
              <w:t>No response required here. Determined automatically based on VON data.</w:t>
            </w:r>
          </w:p>
        </w:tc>
      </w:tr>
    </w:tbl>
    <w:p w14:paraId="79722570" w14:textId="77777777" w:rsidR="005E1D5D" w:rsidRPr="00F0772B" w:rsidRDefault="005E1D5D" w:rsidP="005E1D5D">
      <w:pPr>
        <w:rPr>
          <w:lang w:eastAsia="ja-JP"/>
        </w:rPr>
      </w:pPr>
    </w:p>
    <w:p w14:paraId="42900428" w14:textId="77777777" w:rsidR="00AE1A2D" w:rsidRPr="009A5185" w:rsidRDefault="00AE1A2D">
      <w:pPr>
        <w:rPr>
          <w:rFonts w:cs="Arial"/>
        </w:rPr>
      </w:pPr>
    </w:p>
    <w:p w14:paraId="7E77C51A" w14:textId="77777777" w:rsidR="0007708F" w:rsidRDefault="0007708F">
      <w:pPr>
        <w:rPr>
          <w:rFonts w:cs="Arial"/>
          <w:b/>
          <w:snapToGrid w:val="0"/>
          <w:color w:val="000000"/>
        </w:rPr>
      </w:pPr>
      <w:r>
        <w:rPr>
          <w:rFonts w:cs="Arial"/>
          <w:b/>
          <w:snapToGrid w:val="0"/>
          <w:color w:val="000000"/>
        </w:rPr>
        <w:br w:type="page"/>
      </w:r>
    </w:p>
    <w:p w14:paraId="53D17CDE" w14:textId="77777777" w:rsidR="006E50EF" w:rsidRPr="009A5185" w:rsidRDefault="006E50EF">
      <w:pPr>
        <w:rPr>
          <w:rFonts w:cs="Arial"/>
          <w:b/>
          <w:snapToGrid w:val="0"/>
          <w:color w:val="000000"/>
        </w:rPr>
      </w:pPr>
      <w:r w:rsidRPr="009A5185">
        <w:rPr>
          <w:rFonts w:cs="Arial"/>
          <w:b/>
          <w:snapToGrid w:val="0"/>
          <w:color w:val="000000"/>
        </w:rPr>
        <w:lastRenderedPageBreak/>
        <w:t>Affirmation of Accuracy</w:t>
      </w:r>
    </w:p>
    <w:p w14:paraId="26B02565" w14:textId="77777777" w:rsidR="006E50EF" w:rsidRPr="009A5185" w:rsidRDefault="006E50EF">
      <w:pPr>
        <w:rPr>
          <w:rFonts w:cs="Arial"/>
          <w:snapToGrid w:val="0"/>
          <w:color w:val="000000"/>
        </w:rPr>
      </w:pPr>
    </w:p>
    <w:p w14:paraId="4E9757E0" w14:textId="6BB7A2DA" w:rsidR="00456023" w:rsidRPr="009A5185" w:rsidRDefault="00456023" w:rsidP="00456023">
      <w:pPr>
        <w:rPr>
          <w:rFonts w:cs="Arial"/>
          <w:color w:val="000000"/>
        </w:rPr>
      </w:pPr>
      <w:r w:rsidRPr="009A5185">
        <w:rPr>
          <w:rFonts w:cs="Arial"/>
          <w:color w:val="000000"/>
        </w:rPr>
        <w:t xml:space="preserve">As the hospital CEO or as an employee of the hospital to whom the hospital CEO has delegated responsibility, I have reviewed this information pertaining to the Maternity Care Section at our hospital, and I hereby </w:t>
      </w:r>
      <w:r w:rsidR="00DC7772">
        <w:rPr>
          <w:rFonts w:cs="Arial"/>
          <w:color w:val="000000"/>
        </w:rPr>
        <w:t>affirm</w:t>
      </w:r>
      <w:r w:rsidRPr="009A5185">
        <w:rPr>
          <w:rFonts w:cs="Arial"/>
          <w:color w:val="000000"/>
        </w:rPr>
        <w:t xml:space="preserve"> that this information is true, accurate, and reflect</w:t>
      </w:r>
      <w:r w:rsidR="00B7608D" w:rsidRPr="009A5185">
        <w:rPr>
          <w:rFonts w:cs="Arial"/>
          <w:color w:val="000000"/>
        </w:rPr>
        <w:t>s</w:t>
      </w:r>
      <w:r w:rsidRPr="009A5185">
        <w:rPr>
          <w:rFonts w:cs="Arial"/>
          <w:color w:val="000000"/>
        </w:rPr>
        <w:t xml:space="preserve"> the current, normal operating circumstances at our hospital. I am authorized to make this </w:t>
      </w:r>
      <w:r w:rsidR="00DC7772">
        <w:rPr>
          <w:rFonts w:cs="Arial"/>
          <w:color w:val="000000"/>
        </w:rPr>
        <w:t>affirmation</w:t>
      </w:r>
      <w:r w:rsidRPr="009A5185">
        <w:rPr>
          <w:rFonts w:cs="Arial"/>
          <w:color w:val="000000"/>
        </w:rPr>
        <w:t xml:space="preserve"> on behalf of our hospital. </w:t>
      </w:r>
    </w:p>
    <w:p w14:paraId="1F131175" w14:textId="77777777" w:rsidR="00456023" w:rsidRPr="009A5185" w:rsidRDefault="00456023" w:rsidP="00456023">
      <w:pPr>
        <w:rPr>
          <w:rFonts w:cs="Arial"/>
          <w:color w:val="000000"/>
        </w:rPr>
      </w:pPr>
    </w:p>
    <w:p w14:paraId="6E407B41" w14:textId="4CF4FC70" w:rsidR="00564519" w:rsidRPr="009A5185" w:rsidRDefault="00564519" w:rsidP="00564519">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1AA614A9" w14:textId="77777777" w:rsidR="006E50EF" w:rsidRPr="009A5185" w:rsidRDefault="006E50EF">
      <w:pPr>
        <w:rPr>
          <w:rFonts w:cs="Arial"/>
          <w:snapToGrid w:val="0"/>
          <w:color w:val="000000"/>
        </w:rPr>
      </w:pPr>
    </w:p>
    <w:p w14:paraId="70735116" w14:textId="77777777" w:rsidR="006E50EF" w:rsidRPr="009A5185" w:rsidRDefault="006E50EF">
      <w:pPr>
        <w:rPr>
          <w:rFonts w:cs="Arial"/>
          <w:snapToGrid w:val="0"/>
          <w:color w:val="000000"/>
        </w:rPr>
      </w:pPr>
    </w:p>
    <w:p w14:paraId="12FAB3F4" w14:textId="77777777" w:rsidR="006E50EF" w:rsidRPr="009A5185" w:rsidRDefault="006E50EF">
      <w:pPr>
        <w:spacing w:line="240" w:lineRule="exact"/>
        <w:rPr>
          <w:rFonts w:cs="Arial"/>
          <w:snapToGrid w:val="0"/>
          <w:color w:val="000000"/>
        </w:rPr>
      </w:pPr>
      <w:r w:rsidRPr="009A5185">
        <w:rPr>
          <w:rFonts w:cs="Arial"/>
          <w:snapToGrid w:val="0"/>
          <w:color w:val="000000"/>
        </w:rPr>
        <w:t>Affirmed by _____________________, the hospital’s ___________________________,</w:t>
      </w:r>
    </w:p>
    <w:p w14:paraId="36D64DF7" w14:textId="77777777" w:rsidR="008A631A" w:rsidRPr="009A5185" w:rsidRDefault="008A631A" w:rsidP="008A631A">
      <w:pPr>
        <w:pStyle w:val="BodyText2"/>
        <w:spacing w:line="240" w:lineRule="exact"/>
        <w:rPr>
          <w:rFonts w:cs="Arial"/>
        </w:rPr>
      </w:pPr>
      <w:r w:rsidRPr="009A5185">
        <w:rPr>
          <w:rFonts w:cs="Arial"/>
        </w:rPr>
        <w:tab/>
        <w:t xml:space="preserve"> </w:t>
      </w:r>
      <w:r>
        <w:rPr>
          <w:rFonts w:cs="Arial"/>
        </w:rPr>
        <w:t xml:space="preserve">    </w:t>
      </w:r>
      <w:r w:rsidRPr="009A5185">
        <w:rPr>
          <w:rFonts w:cs="Arial"/>
        </w:rPr>
        <w:t>(</w:t>
      </w:r>
      <w:r>
        <w:rPr>
          <w:rFonts w:cs="Arial"/>
        </w:rPr>
        <w:t xml:space="preserve">first </w:t>
      </w:r>
      <w:r w:rsidRPr="009A5185">
        <w:rPr>
          <w:rFonts w:cs="Arial"/>
        </w:rPr>
        <w:t>name</w:t>
      </w:r>
      <w:r>
        <w:rPr>
          <w:rFonts w:cs="Arial"/>
        </w:rPr>
        <w:t xml:space="preserve"> and last name)</w:t>
      </w:r>
      <w:r>
        <w:rPr>
          <w:rFonts w:cs="Arial"/>
        </w:rPr>
        <w:tab/>
      </w:r>
      <w:r>
        <w:rPr>
          <w:rFonts w:cs="Arial"/>
        </w:rPr>
        <w:tab/>
      </w:r>
      <w:r>
        <w:rPr>
          <w:rFonts w:cs="Arial"/>
        </w:rPr>
        <w:tab/>
      </w:r>
      <w:r>
        <w:rPr>
          <w:rFonts w:cs="Arial"/>
        </w:rPr>
        <w:tab/>
      </w:r>
      <w:r w:rsidRPr="009A5185">
        <w:rPr>
          <w:rFonts w:cs="Arial"/>
        </w:rPr>
        <w:t>(title)</w:t>
      </w:r>
    </w:p>
    <w:p w14:paraId="5679CAA8" w14:textId="77777777" w:rsidR="006E50EF" w:rsidRPr="009A5185" w:rsidRDefault="006E50EF">
      <w:pPr>
        <w:rPr>
          <w:rFonts w:cs="Arial"/>
          <w:snapToGrid w:val="0"/>
        </w:rPr>
      </w:pPr>
      <w:r w:rsidRPr="009A5185">
        <w:rPr>
          <w:rFonts w:cs="Arial"/>
          <w:snapToGrid w:val="0"/>
        </w:rPr>
        <w:t>on _______________________.</w:t>
      </w:r>
    </w:p>
    <w:p w14:paraId="19606547" w14:textId="77777777" w:rsidR="006E50EF" w:rsidRPr="009A5185" w:rsidRDefault="006E50EF">
      <w:pPr>
        <w:spacing w:line="240" w:lineRule="exact"/>
        <w:rPr>
          <w:rFonts w:cs="Arial"/>
          <w:i/>
        </w:rPr>
      </w:pPr>
      <w:r w:rsidRPr="009A5185">
        <w:rPr>
          <w:rFonts w:cs="Arial"/>
          <w:i/>
        </w:rPr>
        <w:t xml:space="preserve">                    (date)</w:t>
      </w:r>
    </w:p>
    <w:p w14:paraId="221A0AE5" w14:textId="77777777" w:rsidR="006E50EF" w:rsidRPr="009A5185" w:rsidRDefault="006E50EF">
      <w:pPr>
        <w:rPr>
          <w:rFonts w:cs="Arial"/>
          <w:i/>
        </w:rPr>
      </w:pPr>
      <w:r w:rsidRPr="009A5185">
        <w:rPr>
          <w:rFonts w:cs="Arial"/>
          <w:i/>
        </w:rPr>
        <w:br w:type="page"/>
      </w:r>
    </w:p>
    <w:p w14:paraId="5C20AC36" w14:textId="53662125" w:rsidR="006E50EF" w:rsidRPr="009A5185" w:rsidRDefault="006E50EF" w:rsidP="00CF5A6E">
      <w:pPr>
        <w:pStyle w:val="Heading2"/>
      </w:pPr>
      <w:bookmarkStart w:id="322" w:name="_Toc383775038"/>
      <w:bookmarkStart w:id="323" w:name="_Toc225877736"/>
      <w:r w:rsidRPr="009A5185">
        <w:lastRenderedPageBreak/>
        <w:t>Section 4: Maternity Care</w:t>
      </w:r>
      <w:bookmarkEnd w:id="322"/>
      <w:r w:rsidRPr="009A5185">
        <w:t xml:space="preserve"> </w:t>
      </w:r>
      <w:bookmarkStart w:id="324" w:name="_Toc236210621"/>
      <w:r w:rsidRPr="009A5185">
        <w:t>Reference Information</w:t>
      </w:r>
      <w:bookmarkEnd w:id="323"/>
    </w:p>
    <w:p w14:paraId="6C7B7638" w14:textId="77777777" w:rsidR="006E50EF" w:rsidRPr="00D165E2" w:rsidRDefault="006E50EF" w:rsidP="00CD7AE6">
      <w:pPr>
        <w:rPr>
          <w:rFonts w:cs="Arial"/>
          <w:bCs/>
          <w:szCs w:val="12"/>
          <w:lang w:eastAsia="ja-JP"/>
        </w:rPr>
      </w:pPr>
    </w:p>
    <w:p w14:paraId="5773440B" w14:textId="402D703C" w:rsidR="00047ADA" w:rsidRPr="009A5185" w:rsidRDefault="00047ADA" w:rsidP="00AB5B80">
      <w:pPr>
        <w:pStyle w:val="Heading3"/>
      </w:pPr>
      <w:bookmarkStart w:id="325" w:name="_Toc383775039"/>
      <w:bookmarkStart w:id="326" w:name="_Toc225877737"/>
      <w:bookmarkStart w:id="327" w:name="_Toc236210637"/>
      <w:bookmarkStart w:id="328" w:name="_Toc383775041"/>
      <w:bookmarkEnd w:id="324"/>
      <w:r w:rsidRPr="009A5185">
        <w:t xml:space="preserve">What’s New in the </w:t>
      </w:r>
      <w:bookmarkEnd w:id="325"/>
      <w:r w:rsidR="00A236B1">
        <w:t>202</w:t>
      </w:r>
      <w:r w:rsidR="003A7091">
        <w:t>6</w:t>
      </w:r>
      <w:r w:rsidR="001A6D91" w:rsidRPr="009A5185">
        <w:t xml:space="preserve"> </w:t>
      </w:r>
      <w:r w:rsidRPr="009A5185">
        <w:t>Survey</w:t>
      </w:r>
      <w:bookmarkEnd w:id="326"/>
    </w:p>
    <w:p w14:paraId="7C064404" w14:textId="77777777" w:rsidR="00047ADA" w:rsidRDefault="00047ADA" w:rsidP="00047ADA">
      <w:pPr>
        <w:rPr>
          <w:rFonts w:cs="Arial"/>
          <w:lang w:eastAsia="ja-JP"/>
        </w:rPr>
      </w:pPr>
    </w:p>
    <w:p w14:paraId="3262F56B" w14:textId="79F6992F" w:rsidR="009F321F" w:rsidRDefault="009F321F" w:rsidP="00047ADA">
      <w:r w:rsidRPr="009F321F">
        <w:t xml:space="preserve">Leapfrog is updating the measure specifications from The Joint Commission for PC-02 Cesarean Birth (Section 4B) to reflect version </w:t>
      </w:r>
      <w:hyperlink r:id="rId270" w:history="1">
        <w:r w:rsidRPr="00F86E89">
          <w:rPr>
            <w:rStyle w:val="Hyperlink"/>
          </w:rPr>
          <w:t>2026A1</w:t>
        </w:r>
      </w:hyperlink>
      <w:r w:rsidRPr="009F321F">
        <w:t xml:space="preserve"> for those hospitals that do not already submit data to The Joint Commission and therefore need to retrospectively collect data. We are also continuing to accept both data for the chart-abstracted measure (PC-02) and data collected using The Joint Commission’s electronic clinical quality measure (eCQM) specifications (ePC-02). Hospitals measuring this quality indicator and reporting results to The Joint Commission should continue to use that data when responding to the questions in Section 4B: Cesarean Birth. </w:t>
      </w:r>
    </w:p>
    <w:p w14:paraId="24BD71B6" w14:textId="77777777" w:rsidR="009F321F" w:rsidRDefault="009F321F" w:rsidP="00047ADA"/>
    <w:p w14:paraId="09208F3C" w14:textId="196DCF7B" w:rsidR="00C46CE9" w:rsidRDefault="009F321F" w:rsidP="00047ADA">
      <w:r w:rsidRPr="009F321F">
        <w:t>Hospitals participating in the California Maternal Quality Care Collaborative (CMQCC) Maternal Data Center may continue using the data provided in their CMQCC reports when responding to subsections 4A: Maternity Care Volume and Services (volume only), 4B: Cesarean Birth, 4C: Episiotomy, and 4D: Process Measures of Quality. Hospitals participating in the Michigan Obstetrics Initiative (OBI) may also continue to use the data provided in their OBI reports to report on Section 4B: Cesarean Birth.</w:t>
      </w:r>
    </w:p>
    <w:p w14:paraId="6BBE4768" w14:textId="77777777" w:rsidR="009F321F" w:rsidRPr="009A5185" w:rsidRDefault="009F321F" w:rsidP="00047ADA">
      <w:pPr>
        <w:rPr>
          <w:rFonts w:cs="Arial"/>
          <w:lang w:eastAsia="ja-JP"/>
        </w:rPr>
      </w:pPr>
    </w:p>
    <w:p w14:paraId="13355DF6" w14:textId="2DEFB880" w:rsidR="00CE1733" w:rsidRDefault="00CE1733" w:rsidP="000C1F1D">
      <w:pPr>
        <w:pStyle w:val="Heading44"/>
      </w:pPr>
      <w:r>
        <w:t xml:space="preserve">Section 4A: </w:t>
      </w:r>
      <w:r w:rsidR="00157FDB">
        <w:t>Maternity</w:t>
      </w:r>
      <w:r>
        <w:t xml:space="preserve"> Care Volume and Services</w:t>
      </w:r>
    </w:p>
    <w:p w14:paraId="56A85AD7" w14:textId="77777777" w:rsidR="00DF3CC6" w:rsidRDefault="00DF3CC6" w:rsidP="00D20722"/>
    <w:p w14:paraId="3100E7C4" w14:textId="55D9A49D" w:rsidR="00CD368D" w:rsidRPr="00FF5C3A" w:rsidRDefault="00CD368D" w:rsidP="00CD368D">
      <w:pPr>
        <w:rPr>
          <w:rFonts w:eastAsia="Calibri" w:cstheme="minorHAnsi"/>
          <w:b/>
          <w:bCs/>
          <w:color w:val="000000" w:themeColor="text1"/>
        </w:rPr>
      </w:pPr>
      <w:r>
        <w:rPr>
          <w:rFonts w:eastAsia="Calibri" w:cstheme="minorHAnsi"/>
          <w:b/>
          <w:bCs/>
          <w:color w:val="000000" w:themeColor="text1"/>
        </w:rPr>
        <w:t>Maternity Care Volume</w:t>
      </w:r>
    </w:p>
    <w:p w14:paraId="37F0F023" w14:textId="639148A3" w:rsidR="00CD368D" w:rsidRDefault="00F86E89" w:rsidP="00CD368D">
      <w:pPr>
        <w:rPr>
          <w:rFonts w:eastAsia="Calibri" w:cstheme="minorHAnsi"/>
          <w:color w:val="000000" w:themeColor="text1"/>
        </w:rPr>
      </w:pPr>
      <w:r w:rsidRPr="00F86E89">
        <w:rPr>
          <w:rFonts w:eastAsia="Calibri" w:cstheme="minorHAnsi"/>
          <w:color w:val="000000" w:themeColor="text1"/>
        </w:rPr>
        <w:t>Leapfrog is updating the measure specifications used to report on the total number of live births (volume) in Section 4A: Maternity Care Volume and Services to indicate that hospitals participating in the California Maternal Quality Care Collaborative (CMQCC) Maternal Data Center may use the data provided in CMQCC reports when reporting on their live births. As in past Surveys, hospitals can alternatively continue to either use the data reported to their state or the Z codes provided in the measure specifications.</w:t>
      </w:r>
    </w:p>
    <w:p w14:paraId="45E0E810" w14:textId="77777777" w:rsidR="00F86E89" w:rsidRDefault="00F86E89" w:rsidP="00CD368D">
      <w:pPr>
        <w:rPr>
          <w:rFonts w:eastAsia="Calibri" w:cstheme="minorHAnsi"/>
          <w:color w:val="000000" w:themeColor="text1"/>
        </w:rPr>
      </w:pPr>
    </w:p>
    <w:p w14:paraId="31395358" w14:textId="77777777" w:rsidR="00CD368D" w:rsidRDefault="00CD368D" w:rsidP="00CD368D">
      <w:pPr>
        <w:rPr>
          <w:rFonts w:eastAsia="Calibri" w:cstheme="minorHAnsi"/>
          <w:b/>
          <w:bCs/>
          <w:color w:val="000000" w:themeColor="text1"/>
        </w:rPr>
      </w:pPr>
      <w:r>
        <w:rPr>
          <w:rFonts w:eastAsia="Calibri" w:cstheme="minorHAnsi"/>
          <w:b/>
          <w:bCs/>
          <w:color w:val="000000" w:themeColor="text1"/>
        </w:rPr>
        <w:t>Maternity Care Services</w:t>
      </w:r>
    </w:p>
    <w:p w14:paraId="330D6D2B" w14:textId="518320DE" w:rsidR="00F86E89" w:rsidRDefault="00F86E89" w:rsidP="00CD368D">
      <w:pPr>
        <w:rPr>
          <w:rFonts w:eastAsia="Calibri" w:cstheme="minorHAnsi"/>
          <w:color w:val="000000" w:themeColor="text1"/>
        </w:rPr>
      </w:pPr>
      <w:r w:rsidRPr="00F86E89">
        <w:rPr>
          <w:rFonts w:eastAsia="Calibri" w:cstheme="minorHAnsi"/>
          <w:color w:val="000000" w:themeColor="text1"/>
        </w:rPr>
        <w:t>Leapfrog is updating the existing Maternity Care Services questions to provide further clarity on the services provided at hospitals offering maternity care to ensure this data can continue to be used in a meaningful and useful way by hospitals, patients and their families, employers, purchasers, and other users of Leapfrog’s data. Updates include a revised question and FAQ related to the type of breastfeeding/lactation support offered</w:t>
      </w:r>
      <w:r>
        <w:rPr>
          <w:rFonts w:eastAsia="Calibri" w:cstheme="minorHAnsi"/>
          <w:color w:val="000000" w:themeColor="text1"/>
        </w:rPr>
        <w:t xml:space="preserve"> after </w:t>
      </w:r>
      <w:r w:rsidR="00AF488A" w:rsidRPr="00AF488A">
        <w:rPr>
          <w:rFonts w:eastAsia="Calibri" w:cstheme="minorHAnsi"/>
          <w:color w:val="000000" w:themeColor="text1"/>
        </w:rPr>
        <w:t>delivery and prior to hospital discharge. As a reminder, these questions are used in public reporting but are not scored.</w:t>
      </w:r>
    </w:p>
    <w:p w14:paraId="76828D0C" w14:textId="77777777" w:rsidR="00AF488A" w:rsidRDefault="00AF488A" w:rsidP="00CD368D">
      <w:pPr>
        <w:rPr>
          <w:rFonts w:eastAsia="Calibri" w:cstheme="minorHAnsi"/>
          <w:color w:val="000000" w:themeColor="text1"/>
        </w:rPr>
      </w:pPr>
    </w:p>
    <w:p w14:paraId="240BCA55" w14:textId="77777777" w:rsidR="00AF488A" w:rsidRDefault="00AF488A" w:rsidP="00CD368D">
      <w:pPr>
        <w:rPr>
          <w:rFonts w:eastAsia="Calibri" w:cstheme="minorHAnsi"/>
          <w:color w:val="000000" w:themeColor="text1"/>
        </w:rPr>
      </w:pPr>
      <w:r w:rsidRPr="00AF488A">
        <w:rPr>
          <w:rFonts w:eastAsia="Calibri" w:cstheme="minorHAnsi"/>
          <w:b/>
          <w:bCs/>
          <w:color w:val="000000" w:themeColor="text1"/>
        </w:rPr>
        <w:t>Request for Information</w:t>
      </w:r>
      <w:r w:rsidRPr="00AF488A">
        <w:rPr>
          <w:rFonts w:eastAsia="Calibri" w:cstheme="minorHAnsi"/>
          <w:color w:val="000000" w:themeColor="text1"/>
        </w:rPr>
        <w:t xml:space="preserve"> </w:t>
      </w:r>
    </w:p>
    <w:p w14:paraId="74751B09" w14:textId="29C2125D" w:rsidR="00AF488A" w:rsidRDefault="00AF488A" w:rsidP="00CD368D">
      <w:pPr>
        <w:rPr>
          <w:rFonts w:eastAsia="Calibri" w:cstheme="minorHAnsi"/>
          <w:color w:val="000000" w:themeColor="text1"/>
        </w:rPr>
      </w:pPr>
      <w:r w:rsidRPr="00AF488A">
        <w:rPr>
          <w:rFonts w:eastAsia="Calibri" w:cstheme="minorHAnsi"/>
          <w:color w:val="000000" w:themeColor="text1"/>
        </w:rPr>
        <w:t xml:space="preserve">As part of our request for public comments, Leapfrog included a request for information on the collection of data and calculation of rates for vaginal births after cesarean section (VBACs) in the 2027 Leapfrog Hospital Survey. Specifically, Leapfrog asked about the </w:t>
      </w:r>
      <w:hyperlink r:id="rId271" w:history="1">
        <w:r w:rsidRPr="00BB7E52">
          <w:rPr>
            <w:rStyle w:val="Hyperlink"/>
            <w:rFonts w:eastAsia="Calibri" w:cstheme="minorHAnsi"/>
          </w:rPr>
          <w:t>Agency for Healthcare Research and Quality (AHRQ)’s Inpatient Quality Indicator (IQI) 22: Vaginal Birth After Cesarean (VBAC) Delivery Rate, Uncomplicated</w:t>
        </w:r>
      </w:hyperlink>
      <w:r w:rsidRPr="00AF488A">
        <w:rPr>
          <w:rFonts w:eastAsia="Calibri" w:cstheme="minorHAnsi"/>
          <w:color w:val="000000" w:themeColor="text1"/>
        </w:rPr>
        <w:t xml:space="preserve"> measure which is currently used by both CMQCC and Cal Hospital Compare, as well as other states. Leapfrog appreciates all the comments that were received. </w:t>
      </w:r>
    </w:p>
    <w:p w14:paraId="16A6A729" w14:textId="77777777" w:rsidR="00AF488A" w:rsidRDefault="00AF488A" w:rsidP="00CD368D">
      <w:pPr>
        <w:rPr>
          <w:rFonts w:eastAsia="Calibri" w:cstheme="minorHAnsi"/>
          <w:color w:val="000000" w:themeColor="text1"/>
        </w:rPr>
      </w:pPr>
    </w:p>
    <w:p w14:paraId="29ABB3BA" w14:textId="3C209817" w:rsidR="00AF488A" w:rsidRDefault="00AF488A" w:rsidP="00CD368D">
      <w:pPr>
        <w:rPr>
          <w:rFonts w:eastAsia="Calibri" w:cstheme="minorHAnsi"/>
          <w:color w:val="000000" w:themeColor="text1"/>
        </w:rPr>
      </w:pPr>
      <w:r w:rsidRPr="00AF488A">
        <w:rPr>
          <w:rFonts w:eastAsia="Calibri" w:cstheme="minorHAnsi"/>
          <w:color w:val="000000" w:themeColor="text1"/>
        </w:rPr>
        <w:t xml:space="preserve">Several comments supported the inclusion of this measure and hospitals indicated that they are already collecting the data needed to report. A few comments explained that the exclusion criteria used in the measure does not fully account for clinically appropriate, guideline-supported indications for repeat cesarean delivery and urged Leapfrog to consider additional exclusions or other reporting metrics. One comment cautioned Leapfrog against unintentional consequences when evaluating the measure, such as encouraging inappropriate access rather than safe access. All comments will be reviewed with Leapfrog’s </w:t>
      </w:r>
      <w:hyperlink r:id="rId272" w:history="1">
        <w:r w:rsidRPr="00BB7E52">
          <w:rPr>
            <w:rStyle w:val="Hyperlink"/>
            <w:rFonts w:eastAsia="Calibri" w:cstheme="minorHAnsi"/>
          </w:rPr>
          <w:t>Maternity Care Expert Panel</w:t>
        </w:r>
      </w:hyperlink>
      <w:r w:rsidRPr="00AF488A">
        <w:rPr>
          <w:rFonts w:eastAsia="Calibri" w:cstheme="minorHAnsi"/>
          <w:color w:val="000000" w:themeColor="text1"/>
        </w:rPr>
        <w:t xml:space="preserve"> as part of Leapfrog’s regular standard review process. </w:t>
      </w:r>
    </w:p>
    <w:p w14:paraId="09604FD5" w14:textId="77777777" w:rsidR="00AF488A" w:rsidRDefault="00AF488A" w:rsidP="00CD368D">
      <w:pPr>
        <w:rPr>
          <w:rFonts w:eastAsia="Calibri" w:cstheme="minorHAnsi"/>
          <w:color w:val="000000" w:themeColor="text1"/>
        </w:rPr>
      </w:pPr>
    </w:p>
    <w:p w14:paraId="3FDABFB9" w14:textId="3B1AACB4" w:rsidR="00AF488A" w:rsidRPr="00F86E89" w:rsidRDefault="00AF488A" w:rsidP="00CD368D">
      <w:pPr>
        <w:rPr>
          <w:rFonts w:eastAsia="Calibri" w:cstheme="minorHAnsi"/>
          <w:color w:val="000000" w:themeColor="text1"/>
        </w:rPr>
      </w:pPr>
      <w:r w:rsidRPr="00AF488A">
        <w:rPr>
          <w:rFonts w:eastAsia="Calibri" w:cstheme="minorHAnsi"/>
          <w:color w:val="000000" w:themeColor="text1"/>
        </w:rPr>
        <w:t>While we continue to evaluate this information, we are removing the current maternity services question regarding whether hospitals offer patients the opportunity to attempt VBAC from the 2026 Leapfrog Hospital Survey</w:t>
      </w:r>
    </w:p>
    <w:p w14:paraId="6BCF8D0A" w14:textId="3145E2D5" w:rsidR="007A5BCF" w:rsidRDefault="007A5BCF">
      <w:r>
        <w:br w:type="page"/>
      </w:r>
    </w:p>
    <w:p w14:paraId="07082B01" w14:textId="1D31A83F" w:rsidR="00CE1733" w:rsidRDefault="00CE1733" w:rsidP="000C1F1D">
      <w:pPr>
        <w:pStyle w:val="Heading44"/>
      </w:pPr>
      <w:r>
        <w:lastRenderedPageBreak/>
        <w:t>Section 4</w:t>
      </w:r>
      <w:r w:rsidR="00C679A0">
        <w:t>B</w:t>
      </w:r>
      <w:r>
        <w:t>: Cesarean Birth</w:t>
      </w:r>
    </w:p>
    <w:p w14:paraId="28B3CB02" w14:textId="35E8D404" w:rsidR="00AE4170" w:rsidRDefault="00220A70" w:rsidP="00AE4170">
      <w:r w:rsidRPr="00220A70">
        <w:t xml:space="preserve">Leapfrog is continuing to include questions on the collection of cesarean birth data (NTSV C-section measure) by race/ethnicity and is asking hospitals to provide numerators and denominators for the NTSV C-section measure for each of the following races/ethnicities, which were also used in 2024 and 2025 reporting: Non-Hispanic White, Non-Hispanic Black, Non-Hispanic American Indian or Alaska Native, Non-Hispanic Asian or Pacific Islander, Hispanic, and Non-Hispanic Other (including two or more races). Reporting this information requires that hospitals collect ethnicity and race, including if a patient identifies with multiple races. As in 2024 and 2025, these questions are required but will not be used in scoring or public reporting by hospital on the Survey Results website. Instead, cesarean birth rates stratified by race/ethnicity will continue to be confidentially shared with reporting </w:t>
      </w:r>
      <w:r w:rsidR="00AE4170">
        <w:t xml:space="preserve">hospitals on their </w:t>
      </w:r>
      <w:hyperlink r:id="rId273" w:history="1">
        <w:r w:rsidR="00AE4170" w:rsidRPr="00B11815">
          <w:rPr>
            <w:rStyle w:val="Hyperlink"/>
          </w:rPr>
          <w:t>Hospital Details Pages</w:t>
        </w:r>
      </w:hyperlink>
      <w:r w:rsidR="00AE4170">
        <w:t>.</w:t>
      </w:r>
    </w:p>
    <w:p w14:paraId="147FDD67" w14:textId="77777777" w:rsidR="00AE4170" w:rsidRDefault="00AE4170" w:rsidP="00AE4170"/>
    <w:p w14:paraId="2B938866" w14:textId="25AED42E" w:rsidR="00CE1733" w:rsidRDefault="00220A70" w:rsidP="00D20722">
      <w:r w:rsidRPr="00220A70">
        <w:t xml:space="preserve">Hospitals participating in the California Maternal Quality Care Collaborative (CMQCC) Maternal Data Center may use the data provided in their CMQCC reports and hospitals reporting to the U.S. News &amp; World Report Maternity Services Survey may use the data provided to U.S. News &amp; World Report when responding to these questions. Both can use the crosswalk provided in the measure specifications to aid in reporting. Otherwise, hospitals will continue to use The Joint Commission’s PC-02 Cesarean Birth measure specifications (version </w:t>
      </w:r>
      <w:hyperlink r:id="rId274" w:history="1">
        <w:r w:rsidRPr="00220A70">
          <w:rPr>
            <w:rStyle w:val="Hyperlink"/>
          </w:rPr>
          <w:t>2026A1</w:t>
        </w:r>
      </w:hyperlink>
      <w:r w:rsidRPr="00220A70">
        <w:t>) and Leapfrog instructions to retrospectively review all cases and stratify by race/ethnicity.</w:t>
      </w:r>
    </w:p>
    <w:p w14:paraId="35D26830" w14:textId="77777777" w:rsidR="00220A70" w:rsidRDefault="00220A70" w:rsidP="00D20722"/>
    <w:p w14:paraId="16C1ED28" w14:textId="3EB7BF9E" w:rsidR="00AE4170" w:rsidRDefault="00F56B7F" w:rsidP="00D20722">
      <w:pPr>
        <w:rPr>
          <w:rFonts w:eastAsia="Calibri" w:cs="Calibri"/>
        </w:rPr>
      </w:pPr>
      <w:r w:rsidRPr="0044737A">
        <w:rPr>
          <w:rFonts w:eastAsia="Calibri" w:cs="Calibri"/>
        </w:rPr>
        <w:t xml:space="preserve">There are no changes to the scoring algorithm for Section </w:t>
      </w:r>
      <w:r>
        <w:rPr>
          <w:rFonts w:eastAsia="Calibri" w:cs="Calibri"/>
        </w:rPr>
        <w:t>4B</w:t>
      </w:r>
      <w:r w:rsidRPr="0044737A">
        <w:rPr>
          <w:rFonts w:eastAsia="Calibri" w:cs="Calibri"/>
        </w:rPr>
        <w:t xml:space="preserve">: </w:t>
      </w:r>
      <w:r>
        <w:rPr>
          <w:rFonts w:eastAsia="Calibri" w:cs="Calibri"/>
        </w:rPr>
        <w:t>Cesarean Birth.</w:t>
      </w:r>
    </w:p>
    <w:p w14:paraId="5847C7A8" w14:textId="77777777" w:rsidR="00F56B7F" w:rsidRDefault="00F56B7F" w:rsidP="00D20722"/>
    <w:p w14:paraId="55472CD5" w14:textId="6AE40CB8" w:rsidR="002418A0" w:rsidRDefault="000C6570" w:rsidP="000C6570">
      <w:pPr>
        <w:pStyle w:val="Heading44"/>
      </w:pPr>
      <w:r>
        <w:t>Section 4C: Episiotomy</w:t>
      </w:r>
    </w:p>
    <w:p w14:paraId="782A4284" w14:textId="45511F2D" w:rsidR="002418A0" w:rsidRDefault="005A5042" w:rsidP="000C6570">
      <w:pPr>
        <w:pStyle w:val="Heading44"/>
      </w:pPr>
      <w:r w:rsidRPr="001F2388">
        <w:rPr>
          <w:rFonts w:cstheme="minorHAnsi"/>
          <w:b w:val="0"/>
          <w:color w:val="auto"/>
          <w:sz w:val="20"/>
        </w:rPr>
        <w:t>There are no changes to this subsection.</w:t>
      </w:r>
    </w:p>
    <w:p w14:paraId="6688A1D9" w14:textId="77777777" w:rsidR="000C6570" w:rsidRPr="000C6570" w:rsidRDefault="000C6570" w:rsidP="000C6570">
      <w:pPr>
        <w:pStyle w:val="Heading44"/>
        <w:rPr>
          <w:sz w:val="20"/>
        </w:rPr>
      </w:pPr>
    </w:p>
    <w:p w14:paraId="4271A021" w14:textId="0DEE9248" w:rsidR="000C6570" w:rsidRDefault="000C6570" w:rsidP="000C6570">
      <w:pPr>
        <w:pStyle w:val="Heading44"/>
      </w:pPr>
      <w:r>
        <w:t>Section 4D: Process Measures of Quality</w:t>
      </w:r>
    </w:p>
    <w:p w14:paraId="70839E6A" w14:textId="77777777" w:rsidR="00C51A4F" w:rsidRDefault="00C51A4F" w:rsidP="000C6570">
      <w:pPr>
        <w:pStyle w:val="Heading44"/>
      </w:pPr>
    </w:p>
    <w:p w14:paraId="5FEC9B77" w14:textId="77777777" w:rsidR="00C51A4F" w:rsidRDefault="00C51A4F" w:rsidP="00C51A4F">
      <w:pPr>
        <w:rPr>
          <w:b/>
          <w:bCs/>
        </w:rPr>
      </w:pPr>
      <w:r>
        <w:rPr>
          <w:b/>
          <w:bCs/>
        </w:rPr>
        <w:t>Newborn Bilirubin Screening Prior to Discharge</w:t>
      </w:r>
    </w:p>
    <w:p w14:paraId="2988D183" w14:textId="479BDDB7" w:rsidR="00C51A4F" w:rsidRDefault="00C51A4F" w:rsidP="00C51A4F">
      <w:r>
        <w:t>There are no changes to this measure.</w:t>
      </w:r>
    </w:p>
    <w:p w14:paraId="00DA5421" w14:textId="77777777" w:rsidR="00C51A4F" w:rsidRDefault="00C51A4F" w:rsidP="00C51A4F"/>
    <w:p w14:paraId="52DA18AE" w14:textId="77777777" w:rsidR="00C51A4F" w:rsidRDefault="00C51A4F" w:rsidP="00C51A4F">
      <w:pPr>
        <w:rPr>
          <w:b/>
          <w:bCs/>
        </w:rPr>
      </w:pPr>
      <w:r>
        <w:rPr>
          <w:b/>
          <w:bCs/>
        </w:rPr>
        <w:t>Appropriate DVT Prophylaxis in Women Undergoing Cesarean Section</w:t>
      </w:r>
    </w:p>
    <w:p w14:paraId="38E85A43" w14:textId="3FBFE2AD" w:rsidR="00C51A4F" w:rsidRDefault="00C51A4F" w:rsidP="00C51A4F">
      <w:r>
        <w:t>I</w:t>
      </w:r>
      <w:r w:rsidRPr="006E5538">
        <w:t xml:space="preserve">n response to feedback and consultation with our </w:t>
      </w:r>
      <w:hyperlink r:id="rId275" w:history="1">
        <w:r w:rsidRPr="00510E25">
          <w:rPr>
            <w:rStyle w:val="Hyperlink"/>
          </w:rPr>
          <w:t>Maternity Care Expert Panel</w:t>
        </w:r>
      </w:hyperlink>
      <w:r>
        <w:t xml:space="preserve">, </w:t>
      </w:r>
      <w:r w:rsidR="00433C9E" w:rsidRPr="00433C9E">
        <w:t>Leapfrog is updating the measure specifications for Appropriate Deep Vein Thrombosis (DVT) Prophylaxis in Women Undergoing Cesarean Delivery to remove credit for patients receiving heparin or heparinoid given the American College of Obstetricians and Gynecologist</w:t>
      </w:r>
      <w:r w:rsidR="00433C9E">
        <w:t xml:space="preserve">s’ </w:t>
      </w:r>
      <w:hyperlink r:id="rId276" w:history="1">
        <w:r w:rsidRPr="00E1062B">
          <w:rPr>
            <w:rStyle w:val="Hyperlink"/>
          </w:rPr>
          <w:t>clinical guidance</w:t>
        </w:r>
      </w:hyperlink>
      <w:r>
        <w:t xml:space="preserve"> that all patients should have pneumatic compressions </w:t>
      </w:r>
      <w:r w:rsidR="00B15B39" w:rsidRPr="00B15B39">
        <w:t>devices placed prior to cesarean delivery. As such, only patients receiving pneumatic compression devices prior to surgery will be included in the numerator. However, clinical guidelines continue to recommend that patients at high- or moderaterisk for DVT should also receive appropriate pharmacological prophylaxis in addition to the placement of pneumatic compression devices. The target for this measure remains at 90%.</w:t>
      </w:r>
      <w:r w:rsidR="00B15B39">
        <w:t xml:space="preserve"> </w:t>
      </w:r>
    </w:p>
    <w:p w14:paraId="44DBA1B8" w14:textId="77777777" w:rsidR="00C51A4F" w:rsidRDefault="00C51A4F" w:rsidP="00C51A4F">
      <w:pPr>
        <w:pStyle w:val="Heading44"/>
        <w:rPr>
          <w:rFonts w:cstheme="minorHAnsi"/>
          <w:b w:val="0"/>
          <w:color w:val="auto"/>
          <w:sz w:val="20"/>
        </w:rPr>
      </w:pPr>
    </w:p>
    <w:p w14:paraId="40C2DEEB" w14:textId="795604A6" w:rsidR="00C51A4F" w:rsidRPr="00F702E9" w:rsidRDefault="00C51A4F" w:rsidP="000C6570">
      <w:pPr>
        <w:pStyle w:val="Heading44"/>
        <w:rPr>
          <w:rFonts w:cstheme="minorHAnsi"/>
          <w:b w:val="0"/>
          <w:color w:val="auto"/>
          <w:sz w:val="20"/>
        </w:rPr>
      </w:pPr>
      <w:r w:rsidRPr="00A84148">
        <w:rPr>
          <w:rFonts w:cstheme="minorHAnsi"/>
          <w:b w:val="0"/>
          <w:color w:val="auto"/>
          <w:sz w:val="20"/>
        </w:rPr>
        <w:t>There are no changes to the scoring algorithm</w:t>
      </w:r>
      <w:r>
        <w:rPr>
          <w:rFonts w:cstheme="minorHAnsi"/>
          <w:b w:val="0"/>
          <w:color w:val="auto"/>
          <w:sz w:val="20"/>
        </w:rPr>
        <w:t>s</w:t>
      </w:r>
      <w:r w:rsidRPr="00A84148">
        <w:rPr>
          <w:rFonts w:cstheme="minorHAnsi"/>
          <w:b w:val="0"/>
          <w:color w:val="auto"/>
          <w:sz w:val="20"/>
        </w:rPr>
        <w:t xml:space="preserve"> for Section 4D: Process Measures of Quality.</w:t>
      </w:r>
    </w:p>
    <w:p w14:paraId="0CA97BCE" w14:textId="77777777" w:rsidR="000C6570" w:rsidRPr="000C6570" w:rsidRDefault="000C6570" w:rsidP="00D77F17">
      <w:pPr>
        <w:pStyle w:val="Heading44"/>
        <w:rPr>
          <w:sz w:val="20"/>
        </w:rPr>
      </w:pPr>
    </w:p>
    <w:p w14:paraId="4A3B4518" w14:textId="4FB732E0" w:rsidR="00D77F17" w:rsidRDefault="00D77F17" w:rsidP="00D77F17">
      <w:pPr>
        <w:pStyle w:val="Heading44"/>
      </w:pPr>
      <w:r>
        <w:t>Section 4E: High-Risk Deliveries</w:t>
      </w:r>
    </w:p>
    <w:p w14:paraId="4901BEC2" w14:textId="488000E6" w:rsidR="00CD45FE" w:rsidRDefault="00CD45FE" w:rsidP="00CD45FE">
      <w:pPr>
        <w:pStyle w:val="Heading6"/>
        <w:rPr>
          <w:b w:val="0"/>
          <w:bCs/>
        </w:rPr>
      </w:pPr>
      <w:r w:rsidRPr="008B4CFE">
        <w:rPr>
          <w:b w:val="0"/>
          <w:bCs/>
        </w:rPr>
        <w:t xml:space="preserve">Based on a review of responses to the 2025 Leapfrog Hospital Survey, Leapfrog </w:t>
      </w:r>
      <w:r w:rsidR="00B15B39">
        <w:rPr>
          <w:b w:val="0"/>
          <w:bCs/>
        </w:rPr>
        <w:t xml:space="preserve">is </w:t>
      </w:r>
      <w:r w:rsidRPr="008B4CFE">
        <w:rPr>
          <w:b w:val="0"/>
          <w:bCs/>
        </w:rPr>
        <w:t>updat</w:t>
      </w:r>
      <w:r w:rsidR="00B15B39">
        <w:rPr>
          <w:b w:val="0"/>
          <w:bCs/>
        </w:rPr>
        <w:t xml:space="preserve">ing </w:t>
      </w:r>
      <w:r w:rsidRPr="008B4CFE">
        <w:rPr>
          <w:b w:val="0"/>
          <w:bCs/>
        </w:rPr>
        <w:t>question #1 in Section 4E: High Risk Deliveries to further clarify which hospitals are required to report on this subsection</w:t>
      </w:r>
      <w:r>
        <w:rPr>
          <w:b w:val="0"/>
          <w:bCs/>
        </w:rPr>
        <w:t xml:space="preserve">. </w:t>
      </w:r>
      <w:r w:rsidR="00CD42EB" w:rsidRPr="00CD42EB">
        <w:rPr>
          <w:b w:val="0"/>
          <w:bCs/>
        </w:rPr>
        <w:t>This update will not impact reporting requirements for this subsection as the associated endnote previously indicated that hospitals must answer “yes” to electively admitting high-risk deliveries if they admit deliveries where the conditions (expected birth weight less than 1500 grams or gestational age at least 22 weeks but less than 32 weeks) are known prior to admission (e.g., not admitted on only an emergent basis).</w:t>
      </w:r>
    </w:p>
    <w:p w14:paraId="62FFE833" w14:textId="77777777" w:rsidR="00CD45FE" w:rsidRDefault="00CD45FE" w:rsidP="00CD45FE"/>
    <w:p w14:paraId="0E7BD08F" w14:textId="77777777" w:rsidR="00CD45FE" w:rsidRDefault="00CD45FE" w:rsidP="00CD45FE">
      <w:pPr>
        <w:rPr>
          <w:rFonts w:cs="Arial"/>
          <w:b/>
          <w:bCs/>
        </w:rPr>
      </w:pPr>
      <w:r>
        <w:rPr>
          <w:rFonts w:cs="Arial"/>
          <w:b/>
          <w:bCs/>
        </w:rPr>
        <w:t>Neonatal Intensive Care Unit(s) – Volume</w:t>
      </w:r>
    </w:p>
    <w:p w14:paraId="0200F3D0" w14:textId="5ACB91AC" w:rsidR="00CD45FE" w:rsidRDefault="00CD45FE" w:rsidP="00CD45FE">
      <w:pPr>
        <w:rPr>
          <w:rFonts w:cs="Arial"/>
        </w:rPr>
      </w:pPr>
      <w:r>
        <w:rPr>
          <w:rFonts w:cs="Arial"/>
        </w:rPr>
        <w:t xml:space="preserve">Based on feedback received from participating hospitals and in consultation with our experts, Leapfrog </w:t>
      </w:r>
      <w:r w:rsidR="00694DBA">
        <w:rPr>
          <w:rFonts w:cs="Arial"/>
        </w:rPr>
        <w:t xml:space="preserve">is updating </w:t>
      </w:r>
      <w:r>
        <w:rPr>
          <w:rFonts w:cs="Arial"/>
        </w:rPr>
        <w:t>the measure specifications used for those hospitals opting to report using their volume of very low birthweight babies (i.e., less than 1500 grams) admitted to their neonatal intensive care unit(s) by removing the following two ICD-10-CM codes:</w:t>
      </w:r>
    </w:p>
    <w:p w14:paraId="79962702" w14:textId="77777777" w:rsidR="00CD45FE" w:rsidRDefault="00CD45FE" w:rsidP="00CD45FE">
      <w:pPr>
        <w:pStyle w:val="ListParagraph"/>
        <w:numPr>
          <w:ilvl w:val="0"/>
          <w:numId w:val="437"/>
        </w:numPr>
        <w:spacing w:before="200" w:after="200" w:line="276" w:lineRule="auto"/>
        <w:rPr>
          <w:rFonts w:cs="Arial"/>
        </w:rPr>
      </w:pPr>
      <w:r>
        <w:rPr>
          <w:rFonts w:cs="Arial"/>
        </w:rPr>
        <w:lastRenderedPageBreak/>
        <w:t xml:space="preserve">P05.2: </w:t>
      </w:r>
      <w:r w:rsidRPr="00EC7658">
        <w:rPr>
          <w:rFonts w:cs="Arial"/>
        </w:rPr>
        <w:t>Newborn affected by fetal malnutrition not light or small for gestational age</w:t>
      </w:r>
    </w:p>
    <w:p w14:paraId="10637DA1" w14:textId="77777777" w:rsidR="00CD45FE" w:rsidRPr="001F482F" w:rsidRDefault="00CD45FE" w:rsidP="00CD45FE">
      <w:pPr>
        <w:pStyle w:val="ListParagraph"/>
        <w:numPr>
          <w:ilvl w:val="0"/>
          <w:numId w:val="437"/>
        </w:numPr>
        <w:spacing w:before="200" w:after="200" w:line="276" w:lineRule="auto"/>
        <w:rPr>
          <w:rFonts w:cs="Arial"/>
        </w:rPr>
      </w:pPr>
      <w:r>
        <w:rPr>
          <w:rFonts w:cs="Arial"/>
        </w:rPr>
        <w:t xml:space="preserve">P05.9: </w:t>
      </w:r>
      <w:r w:rsidRPr="00333EB3">
        <w:rPr>
          <w:rFonts w:cs="Arial"/>
        </w:rPr>
        <w:t>Newborn affected by slow intrauterine growth, unspecified</w:t>
      </w:r>
    </w:p>
    <w:p w14:paraId="4814283C" w14:textId="722EF362" w:rsidR="0015749D" w:rsidRDefault="0015749D" w:rsidP="0018354A">
      <w:pPr>
        <w:rPr>
          <w:rFonts w:cs="Arial"/>
        </w:rPr>
      </w:pPr>
      <w:r w:rsidRPr="0015749D">
        <w:rPr>
          <w:rFonts w:cs="Arial"/>
        </w:rPr>
        <w:t>Unlike the other codes provided, which reflect birth weights between 500 and 1500 grams, these two codes do not specify birthweight and our understanding is that newborns with very low birthweight are already captured via the other codes provided in the measure specifications. This update allows hospitals to pull the volume data using claims and without having to rely on chart review as the current criteria of excluding newborns weighing 1500 grams or more is no longer needed.</w:t>
      </w:r>
    </w:p>
    <w:p w14:paraId="29FCF6AD" w14:textId="77777777" w:rsidR="0018354A" w:rsidRPr="0018354A" w:rsidRDefault="0018354A" w:rsidP="0018354A">
      <w:pPr>
        <w:rPr>
          <w:rFonts w:cs="Arial"/>
        </w:rPr>
      </w:pPr>
    </w:p>
    <w:p w14:paraId="37CE184C" w14:textId="3C594761" w:rsidR="00CD45FE" w:rsidRPr="00592FBB" w:rsidRDefault="00CD45FE" w:rsidP="00CD45FE">
      <w:pPr>
        <w:pStyle w:val="Heading6"/>
      </w:pPr>
      <w:r w:rsidRPr="00592FBB">
        <w:t>Neonatal Intensive Care Unit(s) – National Performance Measurement</w:t>
      </w:r>
    </w:p>
    <w:p w14:paraId="7886E782" w14:textId="77777777" w:rsidR="00CD45FE" w:rsidRPr="00592FBB" w:rsidRDefault="00CD45FE" w:rsidP="00CD45FE">
      <w:pPr>
        <w:rPr>
          <w:rFonts w:cstheme="minorHAnsi"/>
        </w:rPr>
      </w:pPr>
      <w:r w:rsidRPr="00592FBB">
        <w:rPr>
          <w:rFonts w:cstheme="minorHAnsi"/>
        </w:rPr>
        <w:t xml:space="preserve">Leapfrog </w:t>
      </w:r>
      <w:r>
        <w:rPr>
          <w:rFonts w:cstheme="minorHAnsi"/>
        </w:rPr>
        <w:t>is continuing</w:t>
      </w:r>
      <w:r w:rsidRPr="00592FBB">
        <w:rPr>
          <w:rFonts w:cstheme="minorHAnsi"/>
        </w:rPr>
        <w:t xml:space="preserve"> to obtain data directly from the Vermont Oxford Network (VON) for those hospitals that electively admit high-risk deliveries and opt to use VON’s Death or Morbidity Outcome Measure when reporting on Section 4</w:t>
      </w:r>
      <w:r>
        <w:rPr>
          <w:rFonts w:cstheme="minorHAnsi"/>
        </w:rPr>
        <w:t>E</w:t>
      </w:r>
      <w:r w:rsidRPr="00592FBB">
        <w:rPr>
          <w:rFonts w:cstheme="minorHAnsi"/>
        </w:rPr>
        <w:t>: High-Risk Deliveries. Hospitals will still need to complete the following steps:</w:t>
      </w:r>
    </w:p>
    <w:p w14:paraId="6A6C6680" w14:textId="77777777" w:rsidR="00CD45FE" w:rsidRPr="00592FBB" w:rsidRDefault="00CD45FE" w:rsidP="00CD45FE">
      <w:pPr>
        <w:pStyle w:val="ListParagraph"/>
        <w:numPr>
          <w:ilvl w:val="0"/>
          <w:numId w:val="186"/>
        </w:numPr>
        <w:spacing w:before="200" w:after="200" w:line="276" w:lineRule="auto"/>
        <w:rPr>
          <w:rFonts w:cstheme="minorHAnsi"/>
        </w:rPr>
      </w:pPr>
      <w:r w:rsidRPr="00592FBB">
        <w:rPr>
          <w:rFonts w:cstheme="minorHAnsi"/>
        </w:rPr>
        <w:t xml:space="preserve">Complete a Data Sharing Authorization letter and submit it to VON by the dates listed in </w:t>
      </w:r>
      <w:r w:rsidRPr="00D77F17">
        <w:rPr>
          <w:rFonts w:cstheme="minorHAnsi"/>
        </w:rPr>
        <w:t>the</w:t>
      </w:r>
      <w:r>
        <w:rPr>
          <w:rStyle w:val="Hyperlink"/>
          <w:rFonts w:cstheme="minorHAnsi"/>
        </w:rPr>
        <w:t xml:space="preserve"> </w:t>
      </w:r>
      <w:r w:rsidRPr="00D77F17">
        <w:rPr>
          <w:rStyle w:val="Hyperlink"/>
          <w:rFonts w:cstheme="minorHAnsi"/>
          <w:color w:val="auto"/>
          <w:u w:val="none"/>
        </w:rPr>
        <w:t>measure specifications</w:t>
      </w:r>
      <w:r w:rsidRPr="00592FBB">
        <w:rPr>
          <w:rFonts w:cstheme="minorHAnsi"/>
        </w:rPr>
        <w:t xml:space="preserve">. (Hospitals that successfully submitted a Data Sharing Authorization letter in prior years will not be required to submit another letter in </w:t>
      </w:r>
      <w:r>
        <w:rPr>
          <w:rFonts w:cstheme="minorHAnsi"/>
        </w:rPr>
        <w:t>2026</w:t>
      </w:r>
      <w:r w:rsidRPr="00592FBB">
        <w:rPr>
          <w:rFonts w:cstheme="minorHAnsi"/>
        </w:rPr>
        <w:t xml:space="preserve">),  </w:t>
      </w:r>
    </w:p>
    <w:p w14:paraId="5BA53B81" w14:textId="77777777" w:rsidR="00CD45FE" w:rsidRPr="00592FBB" w:rsidRDefault="00CD45FE" w:rsidP="00CD45FE">
      <w:pPr>
        <w:pStyle w:val="ListParagraph"/>
        <w:numPr>
          <w:ilvl w:val="0"/>
          <w:numId w:val="186"/>
        </w:numPr>
        <w:spacing w:before="200" w:after="200" w:line="276" w:lineRule="auto"/>
        <w:rPr>
          <w:rFonts w:cstheme="minorHAnsi"/>
        </w:rPr>
      </w:pPr>
      <w:r w:rsidRPr="00592FBB">
        <w:rPr>
          <w:rFonts w:cstheme="minorHAnsi"/>
        </w:rPr>
        <w:t>Select “VON National Performance Measure” in Section 4</w:t>
      </w:r>
      <w:r>
        <w:rPr>
          <w:rFonts w:cstheme="minorHAnsi"/>
        </w:rPr>
        <w:t>E</w:t>
      </w:r>
      <w:r w:rsidRPr="00592FBB">
        <w:rPr>
          <w:rFonts w:cstheme="minorHAnsi"/>
        </w:rPr>
        <w:t>: High-Risk Deliveries question #3,</w:t>
      </w:r>
    </w:p>
    <w:p w14:paraId="6CE89921" w14:textId="77777777" w:rsidR="00CD45FE" w:rsidRPr="00592FBB" w:rsidRDefault="00CD45FE" w:rsidP="00CD45FE">
      <w:pPr>
        <w:pStyle w:val="ListParagraph"/>
        <w:numPr>
          <w:ilvl w:val="0"/>
          <w:numId w:val="186"/>
        </w:numPr>
        <w:spacing w:before="200" w:after="200" w:line="276" w:lineRule="auto"/>
        <w:rPr>
          <w:rFonts w:cstheme="minorHAnsi"/>
        </w:rPr>
      </w:pPr>
      <w:r w:rsidRPr="00592FBB">
        <w:rPr>
          <w:rFonts w:cstheme="minorHAnsi"/>
        </w:rPr>
        <w:t>Provide an accurate VON Transfer Code in the Hospital Profile of the Leapfrog Hospital Survey (this will be pre-populated if previously provided); and,</w:t>
      </w:r>
    </w:p>
    <w:p w14:paraId="32477BF4" w14:textId="77777777" w:rsidR="00CD45FE" w:rsidRPr="00592FBB" w:rsidRDefault="00CD45FE" w:rsidP="00CD45FE">
      <w:pPr>
        <w:pStyle w:val="ListParagraph"/>
        <w:numPr>
          <w:ilvl w:val="0"/>
          <w:numId w:val="186"/>
        </w:numPr>
        <w:spacing w:before="200" w:after="200" w:line="276" w:lineRule="auto"/>
        <w:rPr>
          <w:rFonts w:cstheme="minorHAnsi"/>
        </w:rPr>
      </w:pPr>
      <w:r w:rsidRPr="00592FBB">
        <w:rPr>
          <w:rFonts w:cstheme="minorHAnsi"/>
        </w:rPr>
        <w:t xml:space="preserve">Submit the Leapfrog Hospital Survey by the dates listed in </w:t>
      </w:r>
      <w:r w:rsidRPr="00D77F17">
        <w:rPr>
          <w:rFonts w:cstheme="minorHAnsi"/>
        </w:rPr>
        <w:t>the</w:t>
      </w:r>
      <w:r w:rsidRPr="00D77F17">
        <w:rPr>
          <w:rStyle w:val="Hyperlink"/>
          <w:rFonts w:cstheme="minorHAnsi"/>
          <w:u w:val="none"/>
        </w:rPr>
        <w:t xml:space="preserve"> </w:t>
      </w:r>
      <w:r w:rsidRPr="00D77F17">
        <w:rPr>
          <w:rStyle w:val="Hyperlink"/>
          <w:rFonts w:cstheme="minorHAnsi"/>
          <w:color w:val="auto"/>
          <w:u w:val="none"/>
        </w:rPr>
        <w:t>measure specifications</w:t>
      </w:r>
      <w:r w:rsidRPr="00592FBB">
        <w:rPr>
          <w:rFonts w:cstheme="minorHAnsi"/>
        </w:rPr>
        <w:t>.</w:t>
      </w:r>
    </w:p>
    <w:p w14:paraId="7B6B07F1" w14:textId="3D0ACFD5" w:rsidR="00CD45FE" w:rsidRPr="00592FBB" w:rsidRDefault="00CD45FE" w:rsidP="00CD45FE">
      <w:pPr>
        <w:rPr>
          <w:rFonts w:cstheme="minorHAnsi"/>
        </w:rPr>
      </w:pPr>
      <w:r w:rsidRPr="00592FBB">
        <w:rPr>
          <w:rFonts w:cstheme="minorHAnsi"/>
        </w:rPr>
        <w:t>Hospitals that select “VON National Performance Measure” in question #3 of Section 4</w:t>
      </w:r>
      <w:r>
        <w:rPr>
          <w:rFonts w:cstheme="minorHAnsi"/>
        </w:rPr>
        <w:t>E</w:t>
      </w:r>
      <w:r w:rsidRPr="00592FBB">
        <w:rPr>
          <w:rFonts w:cstheme="minorHAnsi"/>
        </w:rPr>
        <w:t>: High-Risk Deliveries, but do not complete all the steps listed above will be scored and publicly reported as “Declined to Re</w:t>
      </w:r>
      <w:r w:rsidR="00C7688F">
        <w:rPr>
          <w:rFonts w:cstheme="minorHAnsi"/>
        </w:rPr>
        <w:t>port</w:t>
      </w:r>
      <w:r w:rsidRPr="00592FBB">
        <w:rPr>
          <w:rFonts w:cstheme="minorHAnsi"/>
        </w:rPr>
        <w:t>” for the High-Risk Deliveries measure.</w:t>
      </w:r>
    </w:p>
    <w:p w14:paraId="1662557C" w14:textId="77777777" w:rsidR="00CD45FE" w:rsidRDefault="00CD45FE" w:rsidP="00D77F17">
      <w:pPr>
        <w:rPr>
          <w:rFonts w:cstheme="minorHAnsi"/>
        </w:rPr>
      </w:pPr>
    </w:p>
    <w:p w14:paraId="1367DFA6" w14:textId="128344AA" w:rsidR="00047ADA" w:rsidRPr="009A5185" w:rsidRDefault="00047ADA" w:rsidP="00AB5B80">
      <w:pPr>
        <w:pStyle w:val="Heading3"/>
      </w:pPr>
      <w:bookmarkStart w:id="329" w:name="_Toc236210622"/>
      <w:bookmarkStart w:id="330" w:name="_Toc383775040"/>
      <w:bookmarkStart w:id="331" w:name="_Toc225877738"/>
      <w:r w:rsidRPr="009A5185">
        <w:t>Change Summary</w:t>
      </w:r>
      <w:bookmarkEnd w:id="329"/>
      <w:r w:rsidRPr="009A5185">
        <w:t xml:space="preserve"> </w:t>
      </w:r>
      <w:r w:rsidR="00764EEA">
        <w:t>S</w:t>
      </w:r>
      <w:r w:rsidRPr="009A5185">
        <w:t>ince Release</w:t>
      </w:r>
      <w:bookmarkEnd w:id="330"/>
      <w:bookmarkEnd w:id="331"/>
    </w:p>
    <w:p w14:paraId="62FB4899" w14:textId="77777777" w:rsidR="00237089" w:rsidRDefault="00237089" w:rsidP="00D165E2">
      <w:pPr>
        <w:pStyle w:val="BodyText3"/>
        <w:rPr>
          <w:rFonts w:cs="Arial"/>
        </w:rPr>
      </w:pPr>
    </w:p>
    <w:p w14:paraId="21F62424" w14:textId="491A117C" w:rsidR="003C72B7" w:rsidRPr="009A5185" w:rsidRDefault="000E4995" w:rsidP="00D165E2">
      <w:pPr>
        <w:pStyle w:val="BodyText3"/>
        <w:rPr>
          <w:rFonts w:cs="Arial"/>
          <w:lang w:eastAsia="ja-JP"/>
        </w:rPr>
      </w:pPr>
      <w:r w:rsidRPr="003A50A0">
        <w:rPr>
          <w:rFonts w:cs="Arial"/>
        </w:rPr>
        <w:t xml:space="preserve">None. If substantive changes are made to this section of the Survey after release on April 1, </w:t>
      </w:r>
      <w:r>
        <w:rPr>
          <w:rFonts w:cs="Arial"/>
        </w:rPr>
        <w:t>202</w:t>
      </w:r>
      <w:r w:rsidR="003A7091">
        <w:rPr>
          <w:rFonts w:cs="Arial"/>
        </w:rPr>
        <w:t>6</w:t>
      </w:r>
      <w:r w:rsidRPr="003A50A0">
        <w:rPr>
          <w:rFonts w:cs="Arial"/>
        </w:rPr>
        <w:t>, they will be documented in this Change Summary section.</w:t>
      </w:r>
      <w:bookmarkEnd w:id="327"/>
      <w:bookmarkEnd w:id="328"/>
    </w:p>
    <w:p w14:paraId="28EEC3CA" w14:textId="77777777" w:rsidR="00C46968" w:rsidRDefault="00C46968">
      <w:pPr>
        <w:rPr>
          <w:b/>
          <w:snapToGrid w:val="0"/>
          <w:sz w:val="28"/>
          <w:szCs w:val="24"/>
          <w:u w:val="single"/>
          <w:lang w:eastAsia="ja-JP"/>
        </w:rPr>
      </w:pPr>
      <w:bookmarkStart w:id="332" w:name="_Toc236210638"/>
      <w:bookmarkStart w:id="333" w:name="_Toc383775042"/>
      <w:bookmarkStart w:id="334" w:name="MatVol"/>
      <w:r>
        <w:br w:type="page"/>
      </w:r>
    </w:p>
    <w:p w14:paraId="5AF5B35C" w14:textId="76E84305" w:rsidR="00561898" w:rsidRPr="005F3B91" w:rsidRDefault="00C46968" w:rsidP="00CF5A6E">
      <w:pPr>
        <w:pStyle w:val="Heading2"/>
      </w:pPr>
      <w:bookmarkStart w:id="335" w:name="_Toc225877739"/>
      <w:r>
        <w:lastRenderedPageBreak/>
        <w:t xml:space="preserve">Section 4: </w:t>
      </w:r>
      <w:r w:rsidR="00561898" w:rsidRPr="009A5185">
        <w:t>Maternity Care Measure Specifications</w:t>
      </w:r>
      <w:bookmarkEnd w:id="335"/>
      <w:r w:rsidR="00561898" w:rsidRPr="009A5185">
        <w:t xml:space="preserve"> </w:t>
      </w:r>
      <w:r w:rsidR="00B407CB">
        <w:t xml:space="preserve"> </w:t>
      </w:r>
      <w:r w:rsidR="002C718A">
        <w:t xml:space="preserve"> </w:t>
      </w:r>
    </w:p>
    <w:p w14:paraId="1EEEB4AE" w14:textId="77777777" w:rsidR="00561898" w:rsidRPr="009A5185" w:rsidRDefault="00561898" w:rsidP="00F0772B"/>
    <w:p w14:paraId="4DF7DC47" w14:textId="6CE65B0A" w:rsidR="002A470E" w:rsidRPr="009A5185" w:rsidRDefault="002A470E" w:rsidP="00AB5B80">
      <w:pPr>
        <w:pStyle w:val="Heading3"/>
      </w:pPr>
      <w:bookmarkStart w:id="336" w:name="_Maternity_Care_Volume_1"/>
      <w:bookmarkStart w:id="337" w:name="_Toc74562734"/>
      <w:bookmarkStart w:id="338" w:name="_Ref123646897"/>
      <w:bookmarkStart w:id="339" w:name="_Toc225877740"/>
      <w:bookmarkStart w:id="340" w:name="_Toc383775044"/>
      <w:bookmarkStart w:id="341" w:name="EEDSpecs"/>
      <w:bookmarkEnd w:id="332"/>
      <w:bookmarkEnd w:id="333"/>
      <w:bookmarkEnd w:id="334"/>
      <w:bookmarkEnd w:id="336"/>
      <w:r w:rsidRPr="009A5185">
        <w:t>Maternity Care Volume</w:t>
      </w:r>
      <w:bookmarkEnd w:id="337"/>
      <w:r w:rsidRPr="009A5185">
        <w:t xml:space="preserve"> </w:t>
      </w:r>
      <w:bookmarkEnd w:id="338"/>
      <w:r w:rsidR="00B078B4">
        <w:t>Measure Specifications</w:t>
      </w:r>
      <w:bookmarkEnd w:id="339"/>
    </w:p>
    <w:p w14:paraId="38CA8009" w14:textId="77777777" w:rsidR="002A470E" w:rsidRPr="009A5185" w:rsidRDefault="002A470E" w:rsidP="002A470E">
      <w:pPr>
        <w:rPr>
          <w:rFonts w:cs="Arial"/>
          <w:lang w:eastAsia="ja-JP"/>
        </w:rPr>
      </w:pPr>
    </w:p>
    <w:p w14:paraId="4B9EB6DB" w14:textId="5DC85DEE" w:rsidR="002A470E" w:rsidRPr="009A5185" w:rsidRDefault="002A470E" w:rsidP="002A470E">
      <w:pPr>
        <w:rPr>
          <w:rFonts w:cs="Arial"/>
        </w:rPr>
      </w:pPr>
      <w:r w:rsidRPr="009A5185">
        <w:rPr>
          <w:rFonts w:cs="Arial"/>
          <w:b/>
          <w:color w:val="FF0000"/>
          <w:lang w:eastAsia="ja-JP"/>
        </w:rPr>
        <w:t xml:space="preserve">Important Note: </w:t>
      </w:r>
      <w:r w:rsidRPr="009A5185">
        <w:rPr>
          <w:rFonts w:cs="Arial"/>
          <w:snapToGrid w:val="0"/>
        </w:rPr>
        <w:t xml:space="preserve">Hospitals that share a </w:t>
      </w:r>
      <w:r>
        <w:rPr>
          <w:rFonts w:cs="Arial"/>
          <w:snapToGrid w:val="0"/>
        </w:rPr>
        <w:t xml:space="preserve">CMS Certification Number </w:t>
      </w:r>
      <w:r w:rsidRPr="009A5185">
        <w:rPr>
          <w:rFonts w:cs="Arial"/>
          <w:snapToGrid w:val="0"/>
        </w:rPr>
        <w:t xml:space="preserve">are required to report by facility. Please carefully review </w:t>
      </w:r>
      <w:hyperlink r:id="rId277" w:history="1">
        <w:r w:rsidRPr="009A5185">
          <w:rPr>
            <w:rStyle w:val="Hyperlink"/>
            <w:rFonts w:cs="Arial"/>
            <w:snapToGrid w:val="0"/>
          </w:rPr>
          <w:t>Leapfrog’s Multi-Campus Reporting Policy</w:t>
        </w:r>
      </w:hyperlink>
      <w:r w:rsidRPr="009A5185">
        <w:rPr>
          <w:rFonts w:cs="Arial"/>
          <w:snapToGrid w:val="0"/>
        </w:rPr>
        <w:t>.</w:t>
      </w:r>
    </w:p>
    <w:p w14:paraId="22D9C461" w14:textId="77777777" w:rsidR="002A470E" w:rsidRPr="009A5185" w:rsidRDefault="002A470E" w:rsidP="002A470E">
      <w:pPr>
        <w:rPr>
          <w:rFonts w:cs="Arial"/>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8"/>
      </w:tblGrid>
      <w:tr w:rsidR="002A470E" w:rsidRPr="009A5185" w14:paraId="0965B7A2" w14:textId="77777777" w:rsidTr="003C46C0">
        <w:trPr>
          <w:trHeight w:val="1296"/>
        </w:trPr>
        <w:tc>
          <w:tcPr>
            <w:tcW w:w="9558" w:type="dxa"/>
            <w:vAlign w:val="center"/>
          </w:tcPr>
          <w:p w14:paraId="13DEDD03" w14:textId="020AE8A4" w:rsidR="002A470E" w:rsidRPr="009A5185" w:rsidRDefault="002A470E">
            <w:pPr>
              <w:autoSpaceDE w:val="0"/>
              <w:autoSpaceDN w:val="0"/>
              <w:adjustRightInd w:val="0"/>
              <w:rPr>
                <w:rFonts w:cs="Arial"/>
                <w:b/>
                <w:snapToGrid w:val="0"/>
              </w:rPr>
            </w:pPr>
            <w:r w:rsidRPr="009A5185">
              <w:rPr>
                <w:rFonts w:cs="Arial"/>
                <w:b/>
                <w:snapToGrid w:val="0"/>
              </w:rPr>
              <w:t>Reporting Period: 12 months</w:t>
            </w:r>
          </w:p>
          <w:p w14:paraId="67D1673F" w14:textId="77777777" w:rsidR="002A470E" w:rsidRPr="003E6135" w:rsidRDefault="002A470E" w:rsidP="00AD309C">
            <w:pPr>
              <w:pStyle w:val="ListParagraph"/>
              <w:numPr>
                <w:ilvl w:val="0"/>
                <w:numId w:val="12"/>
              </w:numPr>
              <w:rPr>
                <w:rFonts w:cs="Arial"/>
                <w:i/>
                <w:snapToGrid w:val="0"/>
              </w:rPr>
            </w:pPr>
            <w:r>
              <w:rPr>
                <w:rFonts w:cs="Arial"/>
                <w:iCs/>
                <w:snapToGrid w:val="0"/>
              </w:rPr>
              <w:t>Surveys submitted prior to September 1:</w:t>
            </w:r>
          </w:p>
          <w:p w14:paraId="6772CDB3" w14:textId="2F23A0DA" w:rsidR="002A470E" w:rsidRPr="003E6135" w:rsidRDefault="002A470E" w:rsidP="00AD309C">
            <w:pPr>
              <w:pStyle w:val="ListParagraph"/>
              <w:numPr>
                <w:ilvl w:val="1"/>
                <w:numId w:val="12"/>
              </w:numPr>
              <w:rPr>
                <w:rFonts w:cs="Arial"/>
                <w:i/>
                <w:snapToGrid w:val="0"/>
              </w:rPr>
            </w:pPr>
            <w:r w:rsidRPr="009A5185">
              <w:rPr>
                <w:rFonts w:cs="Arial"/>
                <w:snapToGrid w:val="0"/>
              </w:rPr>
              <w:t>01/01/</w:t>
            </w:r>
            <w:r>
              <w:rPr>
                <w:rFonts w:cs="Arial"/>
                <w:snapToGrid w:val="0"/>
              </w:rPr>
              <w:t>202</w:t>
            </w:r>
            <w:r w:rsidR="006F2E23">
              <w:rPr>
                <w:rFonts w:cs="Arial"/>
                <w:snapToGrid w:val="0"/>
              </w:rPr>
              <w:t>5</w:t>
            </w:r>
            <w:r w:rsidRPr="009A5185">
              <w:rPr>
                <w:rFonts w:cs="Arial"/>
                <w:snapToGrid w:val="0"/>
              </w:rPr>
              <w:t xml:space="preserve"> </w:t>
            </w:r>
            <w:r w:rsidR="005F3B91">
              <w:rPr>
                <w:rFonts w:cs="Arial"/>
                <w:snapToGrid w:val="0"/>
              </w:rPr>
              <w:t>–</w:t>
            </w:r>
            <w:r w:rsidRPr="009A5185">
              <w:rPr>
                <w:rFonts w:cs="Arial"/>
                <w:snapToGrid w:val="0"/>
              </w:rPr>
              <w:t xml:space="preserve"> 12/31/</w:t>
            </w:r>
            <w:r>
              <w:rPr>
                <w:rFonts w:cs="Arial"/>
                <w:snapToGrid w:val="0"/>
              </w:rPr>
              <w:t>202</w:t>
            </w:r>
            <w:r w:rsidR="006F2E23">
              <w:rPr>
                <w:rFonts w:cs="Arial"/>
                <w:snapToGrid w:val="0"/>
              </w:rPr>
              <w:t>5</w:t>
            </w:r>
          </w:p>
          <w:p w14:paraId="3A4A48DC" w14:textId="77777777" w:rsidR="002A470E" w:rsidRPr="003E6135" w:rsidRDefault="002A470E" w:rsidP="00AD309C">
            <w:pPr>
              <w:pStyle w:val="ListParagraph"/>
              <w:numPr>
                <w:ilvl w:val="0"/>
                <w:numId w:val="12"/>
              </w:numPr>
              <w:rPr>
                <w:rFonts w:cs="Arial"/>
                <w:i/>
                <w:snapToGrid w:val="0"/>
              </w:rPr>
            </w:pPr>
            <w:r w:rsidRPr="009A5185">
              <w:rPr>
                <w:rFonts w:cs="Arial"/>
                <w:snapToGrid w:val="0"/>
              </w:rPr>
              <w:t xml:space="preserve">Surveys (re)submitted on or after September 1: </w:t>
            </w:r>
          </w:p>
          <w:p w14:paraId="1916591F" w14:textId="4F415D7A" w:rsidR="002A470E" w:rsidRPr="003C46C0" w:rsidRDefault="002A470E" w:rsidP="00AD309C">
            <w:pPr>
              <w:pStyle w:val="ListParagraph"/>
              <w:numPr>
                <w:ilvl w:val="1"/>
                <w:numId w:val="12"/>
              </w:numPr>
              <w:rPr>
                <w:rFonts w:cs="Arial"/>
                <w:i/>
                <w:snapToGrid w:val="0"/>
              </w:rPr>
            </w:pPr>
            <w:r w:rsidRPr="009A5185">
              <w:rPr>
                <w:rFonts w:cs="Arial"/>
                <w:snapToGrid w:val="0"/>
              </w:rPr>
              <w:t>07/01/</w:t>
            </w:r>
            <w:r>
              <w:rPr>
                <w:rFonts w:cs="Arial"/>
                <w:snapToGrid w:val="0"/>
              </w:rPr>
              <w:t>202</w:t>
            </w:r>
            <w:r w:rsidR="006F2E23">
              <w:rPr>
                <w:rFonts w:cs="Arial"/>
                <w:snapToGrid w:val="0"/>
              </w:rPr>
              <w:t>5</w:t>
            </w:r>
            <w:r w:rsidRPr="009A5185">
              <w:rPr>
                <w:rFonts w:cs="Arial"/>
                <w:snapToGrid w:val="0"/>
              </w:rPr>
              <w:t xml:space="preserve"> </w:t>
            </w:r>
            <w:r w:rsidR="005F3B91">
              <w:rPr>
                <w:rFonts w:cs="Arial"/>
                <w:snapToGrid w:val="0"/>
              </w:rPr>
              <w:t>–</w:t>
            </w:r>
            <w:r w:rsidRPr="009A5185">
              <w:rPr>
                <w:rFonts w:cs="Arial"/>
                <w:snapToGrid w:val="0"/>
              </w:rPr>
              <w:t xml:space="preserve"> 06/30/</w:t>
            </w:r>
            <w:r>
              <w:rPr>
                <w:rFonts w:cs="Arial"/>
                <w:snapToGrid w:val="0"/>
              </w:rPr>
              <w:t>202</w:t>
            </w:r>
            <w:r w:rsidR="006F2E23">
              <w:rPr>
                <w:rFonts w:cs="Arial"/>
                <w:snapToGrid w:val="0"/>
              </w:rPr>
              <w:t>6</w:t>
            </w:r>
          </w:p>
        </w:tc>
      </w:tr>
      <w:tr w:rsidR="002A470E" w:rsidRPr="009A5185" w14:paraId="01B97120" w14:textId="77777777" w:rsidTr="00A77347">
        <w:trPr>
          <w:trHeight w:val="3456"/>
        </w:trPr>
        <w:tc>
          <w:tcPr>
            <w:tcW w:w="9558" w:type="dxa"/>
            <w:vAlign w:val="center"/>
          </w:tcPr>
          <w:p w14:paraId="1E426C43" w14:textId="7E3CB16E" w:rsidR="002A470E" w:rsidRPr="009A5185" w:rsidRDefault="002A470E">
            <w:pPr>
              <w:autoSpaceDE w:val="0"/>
              <w:autoSpaceDN w:val="0"/>
              <w:adjustRightInd w:val="0"/>
              <w:rPr>
                <w:rFonts w:cs="Arial"/>
              </w:rPr>
            </w:pPr>
            <w:r w:rsidRPr="009A5185">
              <w:rPr>
                <w:rFonts w:cs="Arial"/>
                <w:b/>
              </w:rPr>
              <w:t xml:space="preserve">Question </w:t>
            </w:r>
            <w:r w:rsidR="003C46C0">
              <w:rPr>
                <w:rFonts w:cs="Arial"/>
                <w:b/>
              </w:rPr>
              <w:t>#</w:t>
            </w:r>
            <w:r w:rsidRPr="009A5185">
              <w:rPr>
                <w:rFonts w:cs="Arial"/>
                <w:b/>
              </w:rPr>
              <w:t>3:</w:t>
            </w:r>
            <w:r w:rsidRPr="009A5185">
              <w:rPr>
                <w:rFonts w:cs="Arial"/>
              </w:rPr>
              <w:t xml:space="preserve"> The number of live births</w:t>
            </w:r>
            <w:r>
              <w:rPr>
                <w:rFonts w:cs="Arial"/>
              </w:rPr>
              <w:t xml:space="preserve"> (i.e., infants)</w:t>
            </w:r>
            <w:r w:rsidRPr="009A5185">
              <w:rPr>
                <w:rFonts w:cs="Arial"/>
              </w:rPr>
              <w:t xml:space="preserve"> at this hospital location (inborn cases only), reported to your state during the reporting period.</w:t>
            </w:r>
          </w:p>
          <w:p w14:paraId="0A982D60" w14:textId="77777777" w:rsidR="00A834CE" w:rsidRDefault="00A834CE" w:rsidP="00A834CE">
            <w:pPr>
              <w:autoSpaceDE w:val="0"/>
              <w:autoSpaceDN w:val="0"/>
              <w:adjustRightInd w:val="0"/>
              <w:rPr>
                <w:rFonts w:cs="Arial"/>
              </w:rPr>
            </w:pPr>
          </w:p>
          <w:p w14:paraId="0B1170EE" w14:textId="77777777" w:rsidR="00A834CE" w:rsidRPr="009A5185" w:rsidRDefault="00A834CE" w:rsidP="00A834CE">
            <w:pPr>
              <w:rPr>
                <w:rFonts w:cs="Arial"/>
              </w:rPr>
            </w:pPr>
            <w:r>
              <w:rPr>
                <w:rFonts w:cs="Arial"/>
              </w:rPr>
              <w:t xml:space="preserve">Hospitals participating in the California Maternal Quality Care Collaborative (CMQCC) Maternal Data Center may use the data provided in CMQCC reports when responding to this question of the Survey. </w:t>
            </w:r>
            <w:r w:rsidRPr="009A5185">
              <w:rPr>
                <w:rFonts w:cs="Arial"/>
              </w:rPr>
              <w:t xml:space="preserve">Download instructions for using the </w:t>
            </w:r>
            <w:r>
              <w:rPr>
                <w:rFonts w:cs="Arial"/>
              </w:rPr>
              <w:t>CMQCC reports</w:t>
            </w:r>
            <w:r w:rsidRPr="009A5185">
              <w:rPr>
                <w:rFonts w:cs="Arial"/>
              </w:rPr>
              <w:t xml:space="preserve"> on the </w:t>
            </w:r>
            <w:hyperlink r:id="rId278" w:history="1">
              <w:r w:rsidRPr="009A5185">
                <w:rPr>
                  <w:rStyle w:val="Hyperlink"/>
                  <w:rFonts w:cs="Arial"/>
                </w:rPr>
                <w:t>Survey and CPOE Materials webpage</w:t>
              </w:r>
            </w:hyperlink>
            <w:r w:rsidRPr="009A5185">
              <w:rPr>
                <w:rFonts w:cs="Arial"/>
              </w:rPr>
              <w:t>.</w:t>
            </w:r>
          </w:p>
          <w:p w14:paraId="1C4DD834" w14:textId="77777777" w:rsidR="00A834CE" w:rsidRPr="009A5185" w:rsidRDefault="00A834CE">
            <w:pPr>
              <w:autoSpaceDE w:val="0"/>
              <w:autoSpaceDN w:val="0"/>
              <w:adjustRightInd w:val="0"/>
              <w:rPr>
                <w:rFonts w:cs="Arial"/>
              </w:rPr>
            </w:pPr>
          </w:p>
          <w:p w14:paraId="3705A30F" w14:textId="77777777" w:rsidR="002A470E" w:rsidRPr="009A5185" w:rsidRDefault="002A470E">
            <w:pPr>
              <w:autoSpaceDE w:val="0"/>
              <w:autoSpaceDN w:val="0"/>
              <w:adjustRightInd w:val="0"/>
              <w:rPr>
                <w:rFonts w:cs="Arial"/>
              </w:rPr>
            </w:pPr>
            <w:r w:rsidRPr="009A5185">
              <w:rPr>
                <w:rFonts w:cs="Arial"/>
              </w:rPr>
              <w:t>Alternatively, the below list of Z codes can be used to identify live births, with the caution that these codes are coded for the newborn, not the mother; likely to be found in your hospital’s birth CIS/medical record system; but often not in claims data since normal newborn care may be included in the mother’s claim without baby’s diagnosis coding.</w:t>
            </w:r>
          </w:p>
          <w:p w14:paraId="6E4D3DB4" w14:textId="77777777" w:rsidR="002A470E" w:rsidRPr="009A5185" w:rsidRDefault="002A470E" w:rsidP="00AD309C">
            <w:pPr>
              <w:pStyle w:val="ListParagraph"/>
              <w:numPr>
                <w:ilvl w:val="0"/>
                <w:numId w:val="40"/>
              </w:numPr>
              <w:autoSpaceDE w:val="0"/>
              <w:autoSpaceDN w:val="0"/>
              <w:adjustRightInd w:val="0"/>
              <w:spacing w:before="200" w:after="200" w:line="276" w:lineRule="auto"/>
              <w:ind w:left="0"/>
              <w:rPr>
                <w:rFonts w:cs="Arial"/>
              </w:rPr>
            </w:pPr>
            <w:r w:rsidRPr="009A5185">
              <w:rPr>
                <w:rFonts w:cs="Arial"/>
              </w:rPr>
              <w:t>Z38.00 – Z38.01: Single liveborn infant, born in hospital</w:t>
            </w:r>
          </w:p>
          <w:p w14:paraId="244518A1" w14:textId="77777777" w:rsidR="002A470E" w:rsidRPr="009A5185" w:rsidRDefault="002A470E" w:rsidP="00AD309C">
            <w:pPr>
              <w:pStyle w:val="ListParagraph"/>
              <w:numPr>
                <w:ilvl w:val="0"/>
                <w:numId w:val="40"/>
              </w:numPr>
              <w:autoSpaceDE w:val="0"/>
              <w:autoSpaceDN w:val="0"/>
              <w:adjustRightInd w:val="0"/>
              <w:spacing w:before="200" w:after="200" w:line="276" w:lineRule="auto"/>
              <w:ind w:left="0"/>
              <w:rPr>
                <w:rFonts w:cs="Arial"/>
              </w:rPr>
            </w:pPr>
            <w:r w:rsidRPr="009A5185">
              <w:rPr>
                <w:rFonts w:cs="Arial"/>
              </w:rPr>
              <w:t>Z38.30 – Z38.31: Twin liveborn infant, born in hospital</w:t>
            </w:r>
          </w:p>
          <w:p w14:paraId="09CEA43F" w14:textId="77777777" w:rsidR="002A470E" w:rsidRPr="009A5185" w:rsidRDefault="002A470E" w:rsidP="00AD309C">
            <w:pPr>
              <w:pStyle w:val="ListParagraph"/>
              <w:numPr>
                <w:ilvl w:val="0"/>
                <w:numId w:val="40"/>
              </w:numPr>
              <w:autoSpaceDE w:val="0"/>
              <w:autoSpaceDN w:val="0"/>
              <w:adjustRightInd w:val="0"/>
              <w:spacing w:before="200" w:after="200" w:line="276" w:lineRule="auto"/>
              <w:ind w:left="0"/>
              <w:rPr>
                <w:rFonts w:cs="Arial"/>
              </w:rPr>
            </w:pPr>
            <w:r w:rsidRPr="009A5185">
              <w:rPr>
                <w:rFonts w:cs="Arial"/>
              </w:rPr>
              <w:t>Z38.61 – Z38.69: Other multiple liveborn infant, born in hospital</w:t>
            </w:r>
          </w:p>
          <w:p w14:paraId="57BCD162" w14:textId="4C3949B8" w:rsidR="002A470E" w:rsidRPr="009A5185" w:rsidRDefault="002A470E">
            <w:pPr>
              <w:autoSpaceDE w:val="0"/>
              <w:autoSpaceDN w:val="0"/>
              <w:adjustRightInd w:val="0"/>
              <w:rPr>
                <w:rFonts w:cs="Arial"/>
              </w:rPr>
            </w:pPr>
            <w:r w:rsidRPr="009A5185">
              <w:rPr>
                <w:rFonts w:cs="Arial"/>
              </w:rPr>
              <w:t>Note: This data point is simply used to qualify a hospital for further reporting of the normal delivery measures.</w:t>
            </w:r>
          </w:p>
        </w:tc>
      </w:tr>
    </w:tbl>
    <w:p w14:paraId="423587E8" w14:textId="77777777" w:rsidR="002A470E" w:rsidRPr="009A5185" w:rsidRDefault="002A470E" w:rsidP="002A470E">
      <w:pPr>
        <w:rPr>
          <w:rFonts w:cs="Arial"/>
          <w:lang w:eastAsia="ja-JP"/>
        </w:rPr>
      </w:pPr>
      <w:bookmarkStart w:id="342" w:name="_Toc236210639"/>
    </w:p>
    <w:p w14:paraId="42B4FAEF" w14:textId="36F9C018" w:rsidR="00E60C6C" w:rsidRPr="00E60C6C" w:rsidRDefault="00E60C6C">
      <w:pPr>
        <w:rPr>
          <w:rFonts w:cs="Arial"/>
          <w:b/>
          <w:i/>
          <w:sz w:val="24"/>
          <w:szCs w:val="24"/>
          <w:lang w:eastAsia="ja-JP"/>
        </w:rPr>
      </w:pPr>
      <w:bookmarkStart w:id="343" w:name="_Early_Elective_Deliveries"/>
      <w:bookmarkStart w:id="344" w:name="_Elective_Deliveries"/>
      <w:bookmarkEnd w:id="342"/>
      <w:bookmarkEnd w:id="343"/>
      <w:bookmarkEnd w:id="344"/>
      <w:r>
        <w:br w:type="page"/>
      </w:r>
    </w:p>
    <w:p w14:paraId="5F1C136D" w14:textId="12210EB4" w:rsidR="00A144E7" w:rsidRPr="00FF5E78" w:rsidRDefault="006E50EF" w:rsidP="00AB5B80">
      <w:pPr>
        <w:pStyle w:val="Heading3"/>
        <w:rPr>
          <w:sz w:val="16"/>
          <w:szCs w:val="16"/>
        </w:rPr>
      </w:pPr>
      <w:bookmarkStart w:id="345" w:name="_Elective_Deliveries_1"/>
      <w:bookmarkStart w:id="346" w:name="_Cesarean_Birth_1"/>
      <w:bookmarkStart w:id="347" w:name="_Cesarean_Sections_Prior"/>
      <w:bookmarkStart w:id="348" w:name="_NTSV_Cesarean_Sections"/>
      <w:bookmarkStart w:id="349" w:name="_Cesarean_Birth"/>
      <w:bookmarkStart w:id="350" w:name="_Cesarean_Birth_2"/>
      <w:bookmarkStart w:id="351" w:name="_Toc383775045"/>
      <w:bookmarkStart w:id="352" w:name="_Ref123646960"/>
      <w:bookmarkStart w:id="353" w:name="_Toc225877741"/>
      <w:bookmarkEnd w:id="340"/>
      <w:bookmarkEnd w:id="341"/>
      <w:bookmarkEnd w:id="345"/>
      <w:bookmarkEnd w:id="346"/>
      <w:bookmarkEnd w:id="347"/>
      <w:bookmarkEnd w:id="348"/>
      <w:bookmarkEnd w:id="349"/>
      <w:bookmarkEnd w:id="350"/>
      <w:r w:rsidRPr="009A5185">
        <w:lastRenderedPageBreak/>
        <w:t xml:space="preserve">Cesarean </w:t>
      </w:r>
      <w:bookmarkEnd w:id="351"/>
      <w:r w:rsidR="00CC4046" w:rsidRPr="009A5185">
        <w:t>Birth</w:t>
      </w:r>
      <w:bookmarkEnd w:id="352"/>
      <w:r w:rsidR="00B078B4">
        <w:t xml:space="preserve"> Measure Specifications</w:t>
      </w:r>
      <w:bookmarkEnd w:id="353"/>
      <w:r w:rsidR="00A144E7" w:rsidRPr="009A5185">
        <w:br/>
      </w:r>
    </w:p>
    <w:p w14:paraId="5E573875" w14:textId="77777777" w:rsidR="00E60C6C" w:rsidRPr="009A5185" w:rsidRDefault="00E60C6C" w:rsidP="00E60C6C">
      <w:pPr>
        <w:rPr>
          <w:rFonts w:cs="Arial"/>
          <w:b/>
        </w:rPr>
      </w:pPr>
      <w:bookmarkStart w:id="354" w:name="_Episiotomy_1"/>
      <w:bookmarkStart w:id="355" w:name="_Section_4D:_Episiotomy"/>
      <w:bookmarkStart w:id="356" w:name="_Toc383775046"/>
      <w:bookmarkStart w:id="357" w:name="EpiSpecs"/>
      <w:bookmarkEnd w:id="354"/>
      <w:bookmarkEnd w:id="355"/>
      <w:r w:rsidRPr="009A5185">
        <w:rPr>
          <w:rFonts w:cs="Arial"/>
          <w:b/>
          <w:color w:val="FF0000"/>
        </w:rPr>
        <w:t>Important Notes:</w:t>
      </w:r>
    </w:p>
    <w:p w14:paraId="531DBD6A" w14:textId="77777777" w:rsidR="00E60C6C" w:rsidRPr="009A5185" w:rsidRDefault="00E60C6C" w:rsidP="00E60C6C">
      <w:pPr>
        <w:rPr>
          <w:rFonts w:cs="Arial"/>
          <w:i/>
        </w:rPr>
      </w:pPr>
    </w:p>
    <w:p w14:paraId="36F86E57" w14:textId="1C67640A" w:rsidR="00E60C6C" w:rsidRPr="009A5185" w:rsidRDefault="00E60C6C" w:rsidP="00E60C6C">
      <w:pPr>
        <w:rPr>
          <w:rFonts w:cs="Arial"/>
        </w:rPr>
      </w:pPr>
      <w:r w:rsidRPr="009A5185">
        <w:rPr>
          <w:rFonts w:cs="Arial"/>
        </w:rPr>
        <w:t xml:space="preserve">Note 1: </w:t>
      </w:r>
      <w:r w:rsidR="00B407CB" w:rsidRPr="009A5185">
        <w:rPr>
          <w:rFonts w:cs="Arial"/>
          <w:snapToGrid w:val="0"/>
        </w:rPr>
        <w:t xml:space="preserve">Hospitals that share a </w:t>
      </w:r>
      <w:r w:rsidR="00B407CB">
        <w:rPr>
          <w:rFonts w:cs="Arial"/>
          <w:snapToGrid w:val="0"/>
        </w:rPr>
        <w:t>CMS Certification Number</w:t>
      </w:r>
      <w:r w:rsidR="00B407CB" w:rsidRPr="009A5185">
        <w:rPr>
          <w:rFonts w:cs="Arial"/>
          <w:snapToGrid w:val="0"/>
        </w:rPr>
        <w:t xml:space="preserve"> are required to report by facility. Please carefully review </w:t>
      </w:r>
      <w:hyperlink r:id="rId279" w:history="1">
        <w:r w:rsidR="00B407CB" w:rsidRPr="009A5185">
          <w:rPr>
            <w:rStyle w:val="Hyperlink"/>
            <w:rFonts w:cs="Arial"/>
            <w:snapToGrid w:val="0"/>
          </w:rPr>
          <w:t>Leapfrog’s Multi-Campus Reporting Policy</w:t>
        </w:r>
      </w:hyperlink>
      <w:r w:rsidR="00B407CB">
        <w:rPr>
          <w:rStyle w:val="Hyperlink"/>
          <w:rFonts w:cs="Arial"/>
          <w:snapToGrid w:val="0"/>
        </w:rPr>
        <w:t xml:space="preserve">. </w:t>
      </w:r>
    </w:p>
    <w:p w14:paraId="73ADC97B" w14:textId="77777777" w:rsidR="00E60C6C" w:rsidRPr="009A5185" w:rsidRDefault="00E60C6C" w:rsidP="00E60C6C">
      <w:pPr>
        <w:rPr>
          <w:rFonts w:cs="Arial"/>
          <w:b/>
          <w:color w:val="FF0000"/>
        </w:rPr>
      </w:pPr>
    </w:p>
    <w:p w14:paraId="6D1777A1" w14:textId="77777777" w:rsidR="00E60C6C" w:rsidRPr="009A5185" w:rsidRDefault="00E60C6C" w:rsidP="00E60C6C">
      <w:pPr>
        <w:rPr>
          <w:rFonts w:cs="Arial"/>
        </w:rPr>
      </w:pPr>
      <w:r w:rsidRPr="009A5185">
        <w:rPr>
          <w:rFonts w:cs="Arial"/>
        </w:rPr>
        <w:t xml:space="preserve">Note 2: Leapfrog uses the specifications created by The Joint Commission (TJC) for the Cesarean Births measure. As such, Leapfrog will update its instructions annually, and more frequently if appropriate, to maintain alignment with TJC. Hospitals can access the TJC’s measure specifications directly using the links in the table below. </w:t>
      </w:r>
    </w:p>
    <w:p w14:paraId="385556BF" w14:textId="77777777" w:rsidR="00E60C6C" w:rsidRPr="009A5185" w:rsidRDefault="00E60C6C" w:rsidP="00E60C6C">
      <w:pPr>
        <w:rPr>
          <w:rFonts w:cs="Arial"/>
        </w:rPr>
      </w:pPr>
    </w:p>
    <w:p w14:paraId="17C30603" w14:textId="3734D03C" w:rsidR="00157FDB" w:rsidRPr="009A5185" w:rsidRDefault="00E60C6C" w:rsidP="00E60C6C">
      <w:pPr>
        <w:rPr>
          <w:rFonts w:cs="Arial"/>
        </w:rPr>
      </w:pPr>
      <w:r w:rsidRPr="009A5185">
        <w:rPr>
          <w:rFonts w:cs="Arial"/>
        </w:rPr>
        <w:t>Note 3:</w:t>
      </w:r>
      <w:r w:rsidR="00B407CB" w:rsidRPr="009A5185" w:rsidDel="00B407CB">
        <w:rPr>
          <w:rFonts w:cs="Arial"/>
          <w:snapToGrid w:val="0"/>
        </w:rPr>
        <w:t xml:space="preserve"> </w:t>
      </w:r>
      <w:r w:rsidR="00157FDB">
        <w:rPr>
          <w:rFonts w:cs="Arial"/>
          <w:snapToGrid w:val="0"/>
        </w:rPr>
        <w:t>C</w:t>
      </w:r>
      <w:r w:rsidR="00157FDB" w:rsidRPr="009A5185">
        <w:rPr>
          <w:rFonts w:cs="Arial"/>
        </w:rPr>
        <w:t>esarean Births</w:t>
      </w:r>
      <w:r w:rsidR="00157FDB">
        <w:rPr>
          <w:rFonts w:cs="Arial"/>
        </w:rPr>
        <w:t xml:space="preserve"> (questions #2-3)</w:t>
      </w:r>
      <w:r w:rsidR="00157FDB" w:rsidRPr="009A5185">
        <w:rPr>
          <w:rFonts w:cs="Arial"/>
        </w:rPr>
        <w:t xml:space="preserve"> can be reported based on all eligible cases OR a sufficient sample of cases as outlined in the denominator specifications</w:t>
      </w:r>
      <w:r w:rsidR="005F40E0" w:rsidRPr="005F40E0">
        <w:rPr>
          <w:rFonts w:cs="Arial"/>
        </w:rPr>
        <w:t xml:space="preserve"> </w:t>
      </w:r>
      <w:r w:rsidR="005F40E0">
        <w:rPr>
          <w:rFonts w:cs="Arial"/>
        </w:rPr>
        <w:t>for the 12-month reporting period</w:t>
      </w:r>
      <w:r w:rsidR="005F40E0" w:rsidRPr="009A5185">
        <w:rPr>
          <w:rFonts w:cs="Arial"/>
        </w:rPr>
        <w:t>.</w:t>
      </w:r>
      <w:r w:rsidR="005F40E0">
        <w:rPr>
          <w:rFonts w:cs="Arial"/>
        </w:rPr>
        <w:t xml:space="preserve"> Cesarean Births Stratified by Race/Ethnicity (questions #7-8) must be reported based on all eligible cases for the 24-month reporting period.</w:t>
      </w:r>
    </w:p>
    <w:p w14:paraId="0575CAF0" w14:textId="77777777" w:rsidR="00E60C6C" w:rsidRPr="009A5185" w:rsidRDefault="00E60C6C" w:rsidP="00E60C6C">
      <w:pPr>
        <w:rPr>
          <w:rFonts w:cs="Arial"/>
          <w:lang w:eastAsia="ja-JP"/>
        </w:rPr>
      </w:pP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2"/>
      </w:tblGrid>
      <w:tr w:rsidR="005F40E0" w:rsidRPr="009A5185" w14:paraId="2A5D2B0D" w14:textId="77777777" w:rsidTr="000C1F1D">
        <w:trPr>
          <w:trHeight w:val="288"/>
        </w:trPr>
        <w:tc>
          <w:tcPr>
            <w:tcW w:w="9562" w:type="dxa"/>
            <w:vAlign w:val="center"/>
          </w:tcPr>
          <w:p w14:paraId="12F70A91" w14:textId="0FD2DCE4" w:rsidR="005F40E0" w:rsidRPr="00DD3FB1" w:rsidRDefault="005F40E0" w:rsidP="00C5453C">
            <w:pPr>
              <w:rPr>
                <w:rFonts w:cs="Arial"/>
              </w:rPr>
            </w:pPr>
            <w:r w:rsidRPr="00DB23D3">
              <w:rPr>
                <w:rFonts w:cs="Arial"/>
                <w:b/>
                <w:bCs/>
              </w:rPr>
              <w:t xml:space="preserve">Source: </w:t>
            </w:r>
            <w:r w:rsidRPr="00DB23D3">
              <w:rPr>
                <w:rFonts w:cs="Arial"/>
              </w:rPr>
              <w:t>Joint Commission PC-0</w:t>
            </w:r>
            <w:r>
              <w:rPr>
                <w:rFonts w:cs="Arial"/>
              </w:rPr>
              <w:t>2</w:t>
            </w:r>
            <w:r w:rsidRPr="00DB23D3">
              <w:rPr>
                <w:rFonts w:cs="Arial"/>
              </w:rPr>
              <w:t xml:space="preserve"> </w:t>
            </w:r>
            <w:r w:rsidR="00C17F65">
              <w:rPr>
                <w:rFonts w:cs="Arial"/>
                <w:bCs/>
              </w:rPr>
              <w:t xml:space="preserve">version </w:t>
            </w:r>
            <w:hyperlink r:id="rId280" w:history="1">
              <w:r w:rsidR="00C17F65" w:rsidRPr="000432D9">
                <w:rPr>
                  <w:rStyle w:val="Hyperlink"/>
                  <w:rFonts w:cs="Arial"/>
                  <w:bCs/>
                </w:rPr>
                <w:t>202</w:t>
              </w:r>
              <w:r w:rsidR="001F3CB2" w:rsidRPr="000432D9">
                <w:rPr>
                  <w:rStyle w:val="Hyperlink"/>
                  <w:rFonts w:cs="Arial"/>
                  <w:bCs/>
                </w:rPr>
                <w:t>6</w:t>
              </w:r>
              <w:r w:rsidR="00C17F65" w:rsidRPr="000432D9">
                <w:rPr>
                  <w:rStyle w:val="Hyperlink"/>
                  <w:rFonts w:cs="Arial"/>
                  <w:bCs/>
                </w:rPr>
                <w:t>A</w:t>
              </w:r>
              <w:r w:rsidR="007762F6" w:rsidRPr="000432D9">
                <w:rPr>
                  <w:rStyle w:val="Hyperlink"/>
                </w:rPr>
                <w:t>1</w:t>
              </w:r>
            </w:hyperlink>
            <w:r w:rsidR="00C17F65">
              <w:rPr>
                <w:rFonts w:cs="Arial"/>
                <w:bCs/>
              </w:rPr>
              <w:t xml:space="preserve"> </w:t>
            </w:r>
          </w:p>
        </w:tc>
      </w:tr>
      <w:tr w:rsidR="005F40E0" w:rsidRPr="009A5185" w14:paraId="210A0900" w14:textId="77777777" w:rsidTr="000C1F1D">
        <w:trPr>
          <w:trHeight w:val="1152"/>
        </w:trPr>
        <w:tc>
          <w:tcPr>
            <w:tcW w:w="9562" w:type="dxa"/>
            <w:vAlign w:val="center"/>
          </w:tcPr>
          <w:p w14:paraId="63FDF661" w14:textId="77777777" w:rsidR="005F40E0" w:rsidRPr="009A5185" w:rsidRDefault="005F40E0" w:rsidP="005F40E0">
            <w:pPr>
              <w:autoSpaceDE w:val="0"/>
              <w:autoSpaceDN w:val="0"/>
              <w:adjustRightInd w:val="0"/>
              <w:rPr>
                <w:rFonts w:cs="Arial"/>
                <w:b/>
                <w:snapToGrid w:val="0"/>
              </w:rPr>
            </w:pPr>
            <w:r w:rsidRPr="009A5185">
              <w:rPr>
                <w:rFonts w:cs="Arial"/>
                <w:b/>
                <w:snapToGrid w:val="0"/>
              </w:rPr>
              <w:t>Reporting Period: 12 months</w:t>
            </w:r>
          </w:p>
          <w:p w14:paraId="20E1C786" w14:textId="77777777" w:rsidR="005F40E0" w:rsidRPr="00861D91" w:rsidRDefault="005F40E0" w:rsidP="00AD309C">
            <w:pPr>
              <w:pStyle w:val="ListParagraph"/>
              <w:numPr>
                <w:ilvl w:val="0"/>
                <w:numId w:val="12"/>
              </w:numPr>
              <w:rPr>
                <w:rFonts w:cs="Arial"/>
                <w:i/>
                <w:snapToGrid w:val="0"/>
              </w:rPr>
            </w:pPr>
            <w:r w:rsidRPr="00861D91">
              <w:rPr>
                <w:rFonts w:cs="Arial"/>
                <w:iCs/>
                <w:snapToGrid w:val="0"/>
              </w:rPr>
              <w:t>Surveys submitted prior to September 1:</w:t>
            </w:r>
          </w:p>
          <w:p w14:paraId="10B022D2" w14:textId="258CF6F8" w:rsidR="005F40E0" w:rsidRPr="00861D91" w:rsidRDefault="005F40E0" w:rsidP="00AD309C">
            <w:pPr>
              <w:pStyle w:val="ListParagraph"/>
              <w:numPr>
                <w:ilvl w:val="1"/>
                <w:numId w:val="12"/>
              </w:numPr>
              <w:rPr>
                <w:rFonts w:cs="Arial"/>
                <w:i/>
                <w:snapToGrid w:val="0"/>
              </w:rPr>
            </w:pPr>
            <w:r w:rsidRPr="00861D91">
              <w:rPr>
                <w:rFonts w:cs="Arial"/>
                <w:snapToGrid w:val="0"/>
              </w:rPr>
              <w:t>01/01/</w:t>
            </w:r>
            <w:r>
              <w:rPr>
                <w:rFonts w:cs="Arial"/>
                <w:snapToGrid w:val="0"/>
              </w:rPr>
              <w:t>202</w:t>
            </w:r>
            <w:r w:rsidR="008E4EE0">
              <w:rPr>
                <w:rFonts w:cs="Arial"/>
                <w:snapToGrid w:val="0"/>
              </w:rPr>
              <w:t>5</w:t>
            </w:r>
            <w:r w:rsidRPr="00861D91">
              <w:rPr>
                <w:rFonts w:cs="Arial"/>
                <w:snapToGrid w:val="0"/>
              </w:rPr>
              <w:t xml:space="preserve"> – 12/31/</w:t>
            </w:r>
            <w:r>
              <w:rPr>
                <w:rFonts w:cs="Arial"/>
                <w:snapToGrid w:val="0"/>
              </w:rPr>
              <w:t>202</w:t>
            </w:r>
            <w:r w:rsidR="008E4EE0">
              <w:rPr>
                <w:rFonts w:cs="Arial"/>
                <w:snapToGrid w:val="0"/>
              </w:rPr>
              <w:t>5</w:t>
            </w:r>
          </w:p>
          <w:p w14:paraId="50347C2C" w14:textId="77777777" w:rsidR="005F40E0" w:rsidRPr="00861D91" w:rsidRDefault="005F40E0" w:rsidP="00AD309C">
            <w:pPr>
              <w:pStyle w:val="ListParagraph"/>
              <w:numPr>
                <w:ilvl w:val="0"/>
                <w:numId w:val="12"/>
              </w:numPr>
              <w:rPr>
                <w:rFonts w:cs="Arial"/>
                <w:i/>
                <w:snapToGrid w:val="0"/>
              </w:rPr>
            </w:pPr>
            <w:r w:rsidRPr="00861D91">
              <w:rPr>
                <w:rFonts w:cs="Arial"/>
                <w:snapToGrid w:val="0"/>
              </w:rPr>
              <w:t xml:space="preserve">Surveys (re)submitted on or after September 1: </w:t>
            </w:r>
          </w:p>
          <w:p w14:paraId="088C926F" w14:textId="4368261A" w:rsidR="005F40E0" w:rsidRPr="000C1F1D" w:rsidRDefault="005F40E0" w:rsidP="00AD309C">
            <w:pPr>
              <w:pStyle w:val="ListParagraph"/>
              <w:numPr>
                <w:ilvl w:val="1"/>
                <w:numId w:val="12"/>
              </w:numPr>
              <w:rPr>
                <w:rFonts w:cs="Arial"/>
                <w:b/>
                <w:lang w:val="fr-FR"/>
              </w:rPr>
            </w:pPr>
            <w:r w:rsidRPr="00861D91">
              <w:rPr>
                <w:rFonts w:cs="Arial"/>
                <w:snapToGrid w:val="0"/>
              </w:rPr>
              <w:t>07/01/</w:t>
            </w:r>
            <w:r>
              <w:rPr>
                <w:rFonts w:cs="Arial"/>
                <w:snapToGrid w:val="0"/>
              </w:rPr>
              <w:t>202</w:t>
            </w:r>
            <w:r w:rsidR="008E4EE0">
              <w:rPr>
                <w:rFonts w:cs="Arial"/>
                <w:snapToGrid w:val="0"/>
              </w:rPr>
              <w:t>5</w:t>
            </w:r>
            <w:r w:rsidRPr="00861D91">
              <w:rPr>
                <w:rFonts w:cs="Arial"/>
                <w:snapToGrid w:val="0"/>
              </w:rPr>
              <w:t xml:space="preserve"> – 06/30/</w:t>
            </w:r>
            <w:r>
              <w:rPr>
                <w:rFonts w:cs="Arial"/>
                <w:snapToGrid w:val="0"/>
              </w:rPr>
              <w:t>202</w:t>
            </w:r>
            <w:r w:rsidR="008E4EE0">
              <w:rPr>
                <w:rFonts w:cs="Arial"/>
                <w:snapToGrid w:val="0"/>
              </w:rPr>
              <w:t>6</w:t>
            </w:r>
          </w:p>
          <w:p w14:paraId="13DA55C3" w14:textId="77777777" w:rsidR="005F40E0" w:rsidRDefault="005F40E0" w:rsidP="005F40E0">
            <w:pPr>
              <w:rPr>
                <w:rFonts w:cs="Arial"/>
                <w:b/>
                <w:lang w:val="fr-FR"/>
              </w:rPr>
            </w:pPr>
          </w:p>
          <w:p w14:paraId="7E65C380" w14:textId="31908A0D" w:rsidR="005F40E0" w:rsidRPr="000C1F1D" w:rsidRDefault="005F40E0" w:rsidP="005F40E0">
            <w:pPr>
              <w:rPr>
                <w:rFonts w:cs="Arial"/>
                <w:b/>
                <w:lang w:val="fr-FR"/>
              </w:rPr>
            </w:pPr>
            <w:r>
              <w:rPr>
                <w:rFonts w:cs="Arial"/>
                <w:bCs/>
              </w:rPr>
              <w:t>Note: The discharge date must be used to determine whether a case falls within the reporting period specified.</w:t>
            </w:r>
          </w:p>
        </w:tc>
      </w:tr>
      <w:tr w:rsidR="00E60C6C" w:rsidRPr="009A5185" w14:paraId="1F460849" w14:textId="77777777" w:rsidTr="00680669">
        <w:trPr>
          <w:trHeight w:val="2304"/>
        </w:trPr>
        <w:tc>
          <w:tcPr>
            <w:tcW w:w="9562" w:type="dxa"/>
            <w:vAlign w:val="center"/>
          </w:tcPr>
          <w:p w14:paraId="19081673" w14:textId="2201111D" w:rsidR="00E60C6C" w:rsidRDefault="00E60C6C">
            <w:pPr>
              <w:rPr>
                <w:rFonts w:cs="Arial"/>
                <w:b/>
              </w:rPr>
            </w:pPr>
            <w:r w:rsidRPr="009A5185">
              <w:rPr>
                <w:rFonts w:cs="Arial"/>
              </w:rPr>
              <w:t xml:space="preserve">If you measured this quality indicator, reported the results to The Joint Commission (TJC), and continue to submit these data to The Joint Commission, </w:t>
            </w:r>
            <w:r w:rsidRPr="009A5185">
              <w:rPr>
                <w:rFonts w:cs="Arial"/>
                <w:b/>
              </w:rPr>
              <w:t>use those data when responding to this subsection of the Survey.</w:t>
            </w:r>
            <w:r w:rsidR="007174DE">
              <w:rPr>
                <w:rFonts w:cs="Arial"/>
                <w:b/>
              </w:rPr>
              <w:t xml:space="preserve"> </w:t>
            </w:r>
            <w:r w:rsidR="007174DE">
              <w:rPr>
                <w:rFonts w:cs="Arial"/>
                <w:bCs/>
              </w:rPr>
              <w:t>Leapfrog will accept data collected for either the chart-abstracted measure (PC-0</w:t>
            </w:r>
            <w:r w:rsidR="00157FDB">
              <w:rPr>
                <w:rFonts w:cs="Arial"/>
                <w:bCs/>
              </w:rPr>
              <w:t>2</w:t>
            </w:r>
            <w:r w:rsidR="007174DE">
              <w:rPr>
                <w:rFonts w:cs="Arial"/>
                <w:bCs/>
              </w:rPr>
              <w:t>) or the electronic clinical quality measure (ePC-0</w:t>
            </w:r>
            <w:r w:rsidR="00157FDB">
              <w:rPr>
                <w:rFonts w:cs="Arial"/>
                <w:bCs/>
              </w:rPr>
              <w:t>2</w:t>
            </w:r>
            <w:r w:rsidR="007174DE">
              <w:rPr>
                <w:rFonts w:cs="Arial"/>
                <w:bCs/>
              </w:rPr>
              <w:t>).</w:t>
            </w:r>
          </w:p>
          <w:p w14:paraId="6651FE43" w14:textId="77777777" w:rsidR="00E60C6C" w:rsidRDefault="00E60C6C">
            <w:pPr>
              <w:rPr>
                <w:rFonts w:cs="Arial"/>
                <w:b/>
              </w:rPr>
            </w:pPr>
          </w:p>
          <w:p w14:paraId="72942AED" w14:textId="560E49AC" w:rsidR="00E60C6C" w:rsidRDefault="00E60C6C">
            <w:pPr>
              <w:rPr>
                <w:rFonts w:cs="Arial"/>
              </w:rPr>
            </w:pPr>
            <w:r>
              <w:rPr>
                <w:rFonts w:cs="Arial"/>
              </w:rPr>
              <w:t xml:space="preserve">Hospitals participating in the California Maternal Quality Care Collaborative (CMQCC) Maternal Data Center may use the data provided in CMQCC reports when responding to this subsection of the Survey. </w:t>
            </w:r>
            <w:r w:rsidRPr="009A5185">
              <w:rPr>
                <w:rFonts w:cs="Arial"/>
              </w:rPr>
              <w:t xml:space="preserve">Download instructions for using the </w:t>
            </w:r>
            <w:r>
              <w:rPr>
                <w:rFonts w:cs="Arial"/>
              </w:rPr>
              <w:t>CMQCC reports</w:t>
            </w:r>
            <w:r w:rsidRPr="009A5185">
              <w:rPr>
                <w:rFonts w:cs="Arial"/>
              </w:rPr>
              <w:t xml:space="preserve"> on the </w:t>
            </w:r>
            <w:hyperlink r:id="rId281" w:history="1">
              <w:r w:rsidRPr="009A5185">
                <w:rPr>
                  <w:rStyle w:val="Hyperlink"/>
                  <w:rFonts w:cs="Arial"/>
                </w:rPr>
                <w:t>Survey and CPOE Materials webpage</w:t>
              </w:r>
            </w:hyperlink>
            <w:r w:rsidRPr="009A5185">
              <w:rPr>
                <w:rFonts w:cs="Arial"/>
              </w:rPr>
              <w:t>.</w:t>
            </w:r>
          </w:p>
          <w:p w14:paraId="393FB717" w14:textId="77777777" w:rsidR="00E60C6C" w:rsidRDefault="00E60C6C">
            <w:pPr>
              <w:rPr>
                <w:rFonts w:cs="Arial"/>
              </w:rPr>
            </w:pPr>
          </w:p>
          <w:p w14:paraId="5C5FC3E5" w14:textId="77777777" w:rsidR="00E60C6C" w:rsidRPr="00CA3100" w:rsidRDefault="00E60C6C">
            <w:pPr>
              <w:rPr>
                <w:rFonts w:cs="Arial"/>
              </w:rPr>
            </w:pPr>
            <w:r>
              <w:rPr>
                <w:rFonts w:cs="Arial"/>
              </w:rPr>
              <w:t xml:space="preserve">Hospitals participating in the Michigan Obstetrics Initiative (OBI) may use the data provided in OBI reports when responding to this subsection of the Survey. </w:t>
            </w:r>
          </w:p>
          <w:p w14:paraId="60EB2086" w14:textId="77777777" w:rsidR="00E60C6C" w:rsidRPr="009A5185" w:rsidRDefault="00E60C6C">
            <w:pPr>
              <w:rPr>
                <w:rFonts w:cs="Arial"/>
              </w:rPr>
            </w:pPr>
          </w:p>
          <w:p w14:paraId="66F4ABD5" w14:textId="66B733A9" w:rsidR="005B5A6C" w:rsidRDefault="00E60C6C">
            <w:pPr>
              <w:rPr>
                <w:rFonts w:cs="Arial"/>
              </w:rPr>
            </w:pPr>
            <w:r w:rsidRPr="009A5185">
              <w:rPr>
                <w:rFonts w:cs="Arial"/>
              </w:rPr>
              <w:t xml:space="preserve">Otherwise, use TJC’s PC-02 Cesarean Birth measure specifications </w:t>
            </w:r>
            <w:r w:rsidR="001A6659">
              <w:rPr>
                <w:rFonts w:cs="Arial"/>
              </w:rPr>
              <w:t xml:space="preserve">(version </w:t>
            </w:r>
            <w:hyperlink r:id="rId282" w:history="1">
              <w:r w:rsidR="001A6659" w:rsidRPr="00F75651">
                <w:rPr>
                  <w:rStyle w:val="Hyperlink"/>
                  <w:rFonts w:cs="Arial"/>
                </w:rPr>
                <w:t>2026A1</w:t>
              </w:r>
            </w:hyperlink>
            <w:r w:rsidR="001A6659">
              <w:rPr>
                <w:rFonts w:cs="Arial"/>
              </w:rPr>
              <w:t xml:space="preserve">) </w:t>
            </w:r>
            <w:r w:rsidRPr="009A5185">
              <w:rPr>
                <w:rFonts w:cs="Arial"/>
              </w:rPr>
              <w:t>to retrospectively collect and report data for this measure.</w:t>
            </w:r>
            <w:r>
              <w:rPr>
                <w:rFonts w:cs="Arial"/>
              </w:rPr>
              <w:t xml:space="preserve"> </w:t>
            </w:r>
            <w:r w:rsidRPr="009A5185">
              <w:rPr>
                <w:rFonts w:cs="Arial"/>
              </w:rPr>
              <w:t>The PC-0</w:t>
            </w:r>
            <w:r>
              <w:rPr>
                <w:rFonts w:cs="Arial"/>
              </w:rPr>
              <w:t>2</w:t>
            </w:r>
            <w:r w:rsidRPr="009A5185">
              <w:rPr>
                <w:rFonts w:cs="Arial"/>
              </w:rPr>
              <w:t xml:space="preserve"> measure specifications are outlined below. To access the measure specifications directly on The Joint Commission’s website, </w:t>
            </w:r>
            <w:r w:rsidR="001A6659">
              <w:rPr>
                <w:rFonts w:cs="Arial"/>
              </w:rPr>
              <w:t xml:space="preserve">visit </w:t>
            </w:r>
            <w:hyperlink r:id="rId283" w:history="1">
              <w:r w:rsidR="00CA2079" w:rsidRPr="00B36F0F">
                <w:rPr>
                  <w:rStyle w:val="Hyperlink"/>
                  <w:rFonts w:cs="Arial"/>
                </w:rPr>
                <w:t>https://manual.jointcommission.org/releases/TJC2026A1/MIF0167.html</w:t>
              </w:r>
            </w:hyperlink>
            <w:r w:rsidR="00CA2079">
              <w:rPr>
                <w:rFonts w:cs="Arial"/>
              </w:rPr>
              <w:t xml:space="preserve">. </w:t>
            </w:r>
          </w:p>
          <w:p w14:paraId="55A51B00" w14:textId="77777777" w:rsidR="00AF1DC0" w:rsidRDefault="00AF1DC0" w:rsidP="00AF1DC0">
            <w:pPr>
              <w:rPr>
                <w:rFonts w:cs="Arial"/>
              </w:rPr>
            </w:pPr>
          </w:p>
          <w:p w14:paraId="6CC366A7" w14:textId="735C234C" w:rsidR="00F72495" w:rsidRPr="00AF1DC0" w:rsidRDefault="002346C5" w:rsidP="00AF1DC0">
            <w:pPr>
              <w:rPr>
                <w:rFonts w:cs="Arial"/>
                <w:color w:val="0000FF"/>
                <w:u w:val="single"/>
              </w:rPr>
            </w:pPr>
            <w:r w:rsidRPr="00506A46">
              <w:rPr>
                <w:rFonts w:cs="Arial"/>
              </w:rPr>
              <w:t>Note: Leapfrog will also accept data collected for ePC-02 using TJC’s electronic clinical quality measure (eCQM) specifications for the appropriate reporting period</w:t>
            </w:r>
            <w:r>
              <w:rPr>
                <w:rFonts w:cs="Arial"/>
              </w:rPr>
              <w:t xml:space="preserve">. </w:t>
            </w:r>
            <w:r w:rsidR="007174DE" w:rsidRPr="00AF1DC0">
              <w:rPr>
                <w:rFonts w:cs="Arial"/>
              </w:rPr>
              <w:t xml:space="preserve">eCQM specifications can be found </w:t>
            </w:r>
            <w:hyperlink r:id="rId284" w:history="1">
              <w:r w:rsidR="007174DE" w:rsidRPr="00AF1DC0">
                <w:rPr>
                  <w:rStyle w:val="Hyperlink"/>
                  <w:rFonts w:cs="Arial"/>
                </w:rPr>
                <w:t>here</w:t>
              </w:r>
            </w:hyperlink>
            <w:r w:rsidR="007174DE" w:rsidRPr="00AF1DC0">
              <w:rPr>
                <w:rFonts w:cs="Arial"/>
              </w:rPr>
              <w:t>.</w:t>
            </w:r>
          </w:p>
        </w:tc>
      </w:tr>
      <w:tr w:rsidR="00C25B09" w:rsidRPr="009A5185" w14:paraId="6590E73F" w14:textId="77777777" w:rsidTr="000C1F1D">
        <w:trPr>
          <w:trHeight w:val="432"/>
        </w:trPr>
        <w:tc>
          <w:tcPr>
            <w:tcW w:w="9562" w:type="dxa"/>
            <w:vAlign w:val="center"/>
          </w:tcPr>
          <w:p w14:paraId="0B575008" w14:textId="77777777" w:rsidR="00C25B09" w:rsidRPr="009A5185" w:rsidRDefault="00C25B09" w:rsidP="00C25B09">
            <w:pPr>
              <w:rPr>
                <w:rFonts w:cs="Arial"/>
                <w:b/>
              </w:rPr>
            </w:pPr>
            <w:r w:rsidRPr="009A5185">
              <w:rPr>
                <w:rFonts w:cs="Arial"/>
                <w:b/>
              </w:rPr>
              <w:t xml:space="preserve">Sampling Cases: </w:t>
            </w:r>
            <w:r w:rsidRPr="009A5185">
              <w:rPr>
                <w:rFonts w:cs="Arial"/>
              </w:rPr>
              <w:t>Hospitals that report the Perinatal Care Measure Set to TJC may use the sampling methodology used by the TJC to report on</w:t>
            </w:r>
            <w:r>
              <w:rPr>
                <w:rFonts w:cs="Arial"/>
              </w:rPr>
              <w:t xml:space="preserve"> qu</w:t>
            </w:r>
            <w:r w:rsidRPr="009A5185">
              <w:rPr>
                <w:rFonts w:cs="Arial"/>
              </w:rPr>
              <w:t>estions</w:t>
            </w:r>
            <w:r>
              <w:rPr>
                <w:rFonts w:cs="Arial"/>
              </w:rPr>
              <w:t xml:space="preserve"> #2-3</w:t>
            </w:r>
            <w:r w:rsidRPr="009A5185">
              <w:rPr>
                <w:rFonts w:cs="Arial"/>
              </w:rPr>
              <w:t xml:space="preserve">. </w:t>
            </w:r>
          </w:p>
          <w:p w14:paraId="2FA5FD6D" w14:textId="77777777" w:rsidR="00C25B09" w:rsidRPr="009A5185" w:rsidRDefault="00C25B09" w:rsidP="00C25B09">
            <w:pPr>
              <w:autoSpaceDE w:val="0"/>
              <w:autoSpaceDN w:val="0"/>
              <w:adjustRightInd w:val="0"/>
              <w:rPr>
                <w:rFonts w:cs="Arial"/>
                <w:b/>
                <w:i/>
              </w:rPr>
            </w:pPr>
          </w:p>
          <w:p w14:paraId="0DF8131F" w14:textId="77777777" w:rsidR="00C25B09" w:rsidRDefault="00C25B09" w:rsidP="00C25B09">
            <w:pPr>
              <w:autoSpaceDE w:val="0"/>
              <w:autoSpaceDN w:val="0"/>
              <w:adjustRightInd w:val="0"/>
              <w:rPr>
                <w:rFonts w:cs="Arial"/>
              </w:rPr>
            </w:pPr>
            <w:r w:rsidRPr="009A5185">
              <w:rPr>
                <w:rFonts w:cs="Arial"/>
              </w:rPr>
              <w:t xml:space="preserve">Otherwise, hospitals opting to identify a sufficient sample of mothers for this measure, in lieu of full case reporting, should follow the instructions below. </w:t>
            </w:r>
            <w:r>
              <w:rPr>
                <w:rFonts w:cs="Arial"/>
              </w:rPr>
              <w:t>Hospitals may refer to the TJC Measure Algorithm flow chart at the bottom of each set of specifications linked above, for an example of how to identify cases.</w:t>
            </w:r>
          </w:p>
          <w:p w14:paraId="01023B8C" w14:textId="77777777" w:rsidR="00C25B09" w:rsidRDefault="00C25B09" w:rsidP="00C25B09">
            <w:pPr>
              <w:autoSpaceDE w:val="0"/>
              <w:autoSpaceDN w:val="0"/>
              <w:adjustRightInd w:val="0"/>
              <w:rPr>
                <w:rFonts w:cs="Arial"/>
              </w:rPr>
            </w:pPr>
          </w:p>
          <w:p w14:paraId="4DB30E93" w14:textId="77777777" w:rsidR="00C25B09" w:rsidRPr="00765FBE" w:rsidRDefault="00C25B09" w:rsidP="00C25B09">
            <w:pPr>
              <w:autoSpaceDE w:val="0"/>
              <w:autoSpaceDN w:val="0"/>
              <w:adjustRightInd w:val="0"/>
              <w:rPr>
                <w:rFonts w:cs="Arial"/>
                <w:u w:val="single"/>
              </w:rPr>
            </w:pPr>
            <w:r>
              <w:rPr>
                <w:rFonts w:cs="Arial"/>
                <w:u w:val="single"/>
              </w:rPr>
              <w:t>Sampling instructions for 01/01/2024 – 12/31/2024 discharges:</w:t>
            </w:r>
          </w:p>
          <w:p w14:paraId="6942F764" w14:textId="1D25C07B" w:rsidR="00C25B09" w:rsidRPr="009A5185" w:rsidRDefault="00C25B09" w:rsidP="00AD309C">
            <w:pPr>
              <w:numPr>
                <w:ilvl w:val="0"/>
                <w:numId w:val="414"/>
              </w:numPr>
              <w:autoSpaceDE w:val="0"/>
              <w:autoSpaceDN w:val="0"/>
              <w:adjustRightInd w:val="0"/>
              <w:rPr>
                <w:rFonts w:cs="Arial"/>
              </w:rPr>
            </w:pPr>
            <w:r w:rsidRPr="009A5185">
              <w:rPr>
                <w:rFonts w:cs="Arial"/>
              </w:rPr>
              <w:t xml:space="preserve">Review your hospital’s first delivery as of </w:t>
            </w:r>
            <w:r w:rsidRPr="009A5185">
              <w:rPr>
                <w:rFonts w:cs="Arial"/>
                <w:b/>
              </w:rPr>
              <w:t xml:space="preserve">April 15, </w:t>
            </w:r>
            <w:r>
              <w:rPr>
                <w:rFonts w:cs="Arial"/>
                <w:b/>
              </w:rPr>
              <w:t>202</w:t>
            </w:r>
            <w:r w:rsidR="00A366DB" w:rsidRPr="00BF100A">
              <w:rPr>
                <w:rFonts w:cs="Arial"/>
                <w:b/>
                <w:bCs/>
              </w:rPr>
              <w:t>5</w:t>
            </w:r>
            <w:r w:rsidR="00A366DB">
              <w:rPr>
                <w:rFonts w:cs="Arial"/>
              </w:rPr>
              <w:t xml:space="preserve"> if submitting a Survey prior to September 1 (or </w:t>
            </w:r>
            <w:r w:rsidR="00A366DB">
              <w:rPr>
                <w:rFonts w:cs="Arial"/>
                <w:i/>
                <w:iCs/>
              </w:rPr>
              <w:t xml:space="preserve">optionally, </w:t>
            </w:r>
            <w:r w:rsidR="00A366DB">
              <w:rPr>
                <w:rFonts w:cs="Arial"/>
                <w:b/>
                <w:bCs/>
              </w:rPr>
              <w:t>July 15, 2025</w:t>
            </w:r>
            <w:r w:rsidR="00A366DB">
              <w:rPr>
                <w:rFonts w:cs="Arial"/>
              </w:rPr>
              <w:t xml:space="preserve"> if (re)submitting a Survey on or after September 1, 2026 and sampling from 07/01/2025 – 06/30/2026 discharges).</w:t>
            </w:r>
          </w:p>
          <w:p w14:paraId="4919A267" w14:textId="77777777" w:rsidR="00C25B09" w:rsidRPr="009A5185" w:rsidRDefault="00C25B09" w:rsidP="00AD309C">
            <w:pPr>
              <w:numPr>
                <w:ilvl w:val="0"/>
                <w:numId w:val="414"/>
              </w:numPr>
              <w:autoSpaceDE w:val="0"/>
              <w:autoSpaceDN w:val="0"/>
              <w:adjustRightInd w:val="0"/>
              <w:rPr>
                <w:rFonts w:cs="Arial"/>
              </w:rPr>
            </w:pPr>
            <w:r w:rsidRPr="009A5185">
              <w:rPr>
                <w:rFonts w:cs="Arial"/>
              </w:rPr>
              <w:lastRenderedPageBreak/>
              <w:t xml:space="preserve">Evaluate this case against the inclusion criteria; retain the case for the sample if it meets the inclusion criteria. </w:t>
            </w:r>
          </w:p>
          <w:p w14:paraId="7778128C" w14:textId="77777777" w:rsidR="00C25B09" w:rsidRPr="009A5185" w:rsidRDefault="00C25B09" w:rsidP="00AD309C">
            <w:pPr>
              <w:numPr>
                <w:ilvl w:val="0"/>
                <w:numId w:val="414"/>
              </w:numPr>
              <w:autoSpaceDE w:val="0"/>
              <w:autoSpaceDN w:val="0"/>
              <w:adjustRightInd w:val="0"/>
              <w:rPr>
                <w:rFonts w:cs="Arial"/>
              </w:rPr>
            </w:pPr>
            <w:r w:rsidRPr="009A5185">
              <w:rPr>
                <w:rFonts w:cs="Arial"/>
              </w:rPr>
              <w:t xml:space="preserve">Evaluate this case against the exclusion criteria; retain the case for the sample if it </w:t>
            </w:r>
            <w:r w:rsidRPr="009A5185">
              <w:rPr>
                <w:rFonts w:cs="Arial"/>
                <w:u w:val="single"/>
              </w:rPr>
              <w:t>does not</w:t>
            </w:r>
            <w:r w:rsidRPr="009A5185">
              <w:rPr>
                <w:rFonts w:cs="Arial"/>
              </w:rPr>
              <w:t xml:space="preserve"> meet any of the listed exclusions. </w:t>
            </w:r>
          </w:p>
          <w:p w14:paraId="546C697D" w14:textId="77777777" w:rsidR="00C25B09" w:rsidRDefault="00C25B09" w:rsidP="00AD309C">
            <w:pPr>
              <w:numPr>
                <w:ilvl w:val="0"/>
                <w:numId w:val="414"/>
              </w:numPr>
              <w:autoSpaceDE w:val="0"/>
              <w:autoSpaceDN w:val="0"/>
              <w:adjustRightInd w:val="0"/>
              <w:rPr>
                <w:rFonts w:cs="Arial"/>
              </w:rPr>
            </w:pPr>
            <w:r w:rsidRPr="009A5185">
              <w:rPr>
                <w:rFonts w:cs="Arial"/>
              </w:rPr>
              <w:t>Move to the next delivery and evaluate for inclusion/exclusion applicability.</w:t>
            </w:r>
          </w:p>
          <w:p w14:paraId="40891254" w14:textId="54872DE8" w:rsidR="00C25B09" w:rsidRPr="0055713E" w:rsidRDefault="00C25B09" w:rsidP="00C5453C">
            <w:pPr>
              <w:numPr>
                <w:ilvl w:val="0"/>
                <w:numId w:val="414"/>
              </w:numPr>
              <w:autoSpaceDE w:val="0"/>
              <w:autoSpaceDN w:val="0"/>
              <w:adjustRightInd w:val="0"/>
            </w:pPr>
            <w:r w:rsidRPr="0055713E">
              <w:rPr>
                <w:rFonts w:cs="Arial"/>
              </w:rPr>
              <w:t xml:space="preserve">Continue through cases in sequential order until </w:t>
            </w:r>
            <w:r w:rsidRPr="0055713E">
              <w:rPr>
                <w:rFonts w:cs="Arial"/>
                <w:b/>
                <w:u w:val="single"/>
              </w:rPr>
              <w:t>a sample of at least 30 cases</w:t>
            </w:r>
            <w:r w:rsidRPr="0055713E">
              <w:rPr>
                <w:rFonts w:cs="Arial"/>
              </w:rPr>
              <w:t xml:space="preserve"> is reached or all cases discharged during the reporting period are reviewed, whichever comes first.</w:t>
            </w:r>
          </w:p>
        </w:tc>
      </w:tr>
      <w:tr w:rsidR="00523F93" w:rsidRPr="009A5185" w14:paraId="5C6D94D1" w14:textId="77777777" w:rsidTr="000C1F1D">
        <w:trPr>
          <w:trHeight w:val="432"/>
        </w:trPr>
        <w:tc>
          <w:tcPr>
            <w:tcW w:w="9562" w:type="dxa"/>
            <w:vAlign w:val="center"/>
          </w:tcPr>
          <w:p w14:paraId="64F74088" w14:textId="77777777" w:rsidR="00FB146D" w:rsidRPr="009A5185" w:rsidRDefault="00FB146D" w:rsidP="00FB146D">
            <w:pPr>
              <w:rPr>
                <w:rFonts w:cs="Arial"/>
                <w:b/>
                <w:bCs/>
              </w:rPr>
            </w:pPr>
            <w:r w:rsidRPr="009A5185">
              <w:rPr>
                <w:rFonts w:cs="Arial"/>
                <w:b/>
                <w:bCs/>
              </w:rPr>
              <w:lastRenderedPageBreak/>
              <w:t xml:space="preserve">Question </w:t>
            </w:r>
            <w:r>
              <w:rPr>
                <w:rFonts w:cs="Arial"/>
                <w:b/>
                <w:bCs/>
              </w:rPr>
              <w:t>#</w:t>
            </w:r>
            <w:r w:rsidRPr="009A5185">
              <w:rPr>
                <w:rFonts w:cs="Arial"/>
                <w:b/>
                <w:bCs/>
              </w:rPr>
              <w:t xml:space="preserve">2 (denominator): </w:t>
            </w:r>
            <w:r w:rsidRPr="009A5185">
              <w:rPr>
                <w:rFonts w:cs="Arial"/>
                <w:shd w:val="clear" w:color="auto" w:fill="FFFFFF"/>
              </w:rPr>
              <w:t xml:space="preserve">Nulliparous patients delivered of a live term singleton newborn in vertex presentation with </w:t>
            </w:r>
            <w:r w:rsidRPr="009A5185">
              <w:rPr>
                <w:rFonts w:cs="Arial"/>
                <w:b/>
                <w:i/>
                <w:shd w:val="clear" w:color="auto" w:fill="FFFFFF"/>
              </w:rPr>
              <w:t>Excluded populations</w:t>
            </w:r>
            <w:r w:rsidRPr="009A5185">
              <w:rPr>
                <w:rFonts w:cs="Arial"/>
                <w:b/>
                <w:shd w:val="clear" w:color="auto" w:fill="FFFFFF"/>
              </w:rPr>
              <w:t xml:space="preserve"> </w:t>
            </w:r>
            <w:r w:rsidRPr="009A5185">
              <w:rPr>
                <w:rFonts w:cs="Arial"/>
                <w:shd w:val="clear" w:color="auto" w:fill="FFFFFF"/>
              </w:rPr>
              <w:t>removed.</w:t>
            </w:r>
          </w:p>
          <w:p w14:paraId="7C739864" w14:textId="77777777" w:rsidR="00FB146D" w:rsidRPr="009A5185" w:rsidRDefault="00FB146D" w:rsidP="00FB146D">
            <w:pPr>
              <w:shd w:val="clear" w:color="auto" w:fill="FFFFFF"/>
              <w:rPr>
                <w:rStyle w:val="Strong"/>
                <w:rFonts w:cs="Arial"/>
              </w:rPr>
            </w:pPr>
          </w:p>
          <w:p w14:paraId="79AA1F3F" w14:textId="77777777" w:rsidR="00FB146D" w:rsidRPr="009A5185" w:rsidRDefault="00FB146D" w:rsidP="00FB146D">
            <w:pPr>
              <w:shd w:val="clear" w:color="auto" w:fill="FFFFFF"/>
              <w:rPr>
                <w:rStyle w:val="Strong"/>
                <w:rFonts w:cs="Arial"/>
                <w:b w:val="0"/>
                <w:i/>
              </w:rPr>
            </w:pPr>
            <w:r w:rsidRPr="009A5185">
              <w:rPr>
                <w:rFonts w:cs="Arial"/>
                <w:bCs/>
                <w:i/>
              </w:rPr>
              <w:t>Note: The denominator should include both</w:t>
            </w:r>
            <w:r w:rsidRPr="009A5185">
              <w:rPr>
                <w:rFonts w:cs="Arial"/>
                <w:i/>
              </w:rPr>
              <w:t> nulliparous mothers with a live term singleton newborn in vertex presentation that had their newborn delivered via cesarean section </w:t>
            </w:r>
            <w:r w:rsidRPr="009A5185">
              <w:rPr>
                <w:rFonts w:cs="Arial"/>
                <w:bCs/>
                <w:i/>
              </w:rPr>
              <w:t>and</w:t>
            </w:r>
            <w:r w:rsidRPr="009A5185">
              <w:rPr>
                <w:rFonts w:cs="Arial"/>
                <w:i/>
              </w:rPr>
              <w:t> nulliparous mothers that delivered vaginally.</w:t>
            </w:r>
          </w:p>
          <w:p w14:paraId="0E7DBBE3" w14:textId="77777777" w:rsidR="00FB146D" w:rsidRPr="009A5185" w:rsidRDefault="00FB146D" w:rsidP="00FB146D">
            <w:pPr>
              <w:shd w:val="clear" w:color="auto" w:fill="FFFFFF"/>
              <w:rPr>
                <w:rStyle w:val="Strong"/>
                <w:rFonts w:cs="Arial"/>
              </w:rPr>
            </w:pPr>
          </w:p>
          <w:p w14:paraId="089D9AA8" w14:textId="77777777" w:rsidR="00FB146D" w:rsidRPr="009A5185" w:rsidRDefault="00FB146D" w:rsidP="00FB146D">
            <w:pPr>
              <w:shd w:val="clear" w:color="auto" w:fill="FFFFFF"/>
              <w:rPr>
                <w:rStyle w:val="apple-converted-space"/>
                <w:rFonts w:cs="Arial"/>
              </w:rPr>
            </w:pPr>
            <w:r w:rsidRPr="009A5185">
              <w:rPr>
                <w:rStyle w:val="Strong"/>
                <w:rFonts w:cs="Arial"/>
              </w:rPr>
              <w:t>Included Populations:</w:t>
            </w:r>
            <w:r w:rsidRPr="009A5185">
              <w:rPr>
                <w:rStyle w:val="apple-converted-space"/>
                <w:rFonts w:cs="Arial"/>
              </w:rPr>
              <w:t> </w:t>
            </w:r>
          </w:p>
          <w:p w14:paraId="2142D26F" w14:textId="466C3016" w:rsidR="00FB146D" w:rsidRPr="009A5185" w:rsidRDefault="00FB146D" w:rsidP="00FB146D">
            <w:pPr>
              <w:pStyle w:val="ListParagraph"/>
              <w:numPr>
                <w:ilvl w:val="0"/>
                <w:numId w:val="18"/>
              </w:numPr>
              <w:autoSpaceDE w:val="0"/>
              <w:autoSpaceDN w:val="0"/>
              <w:adjustRightInd w:val="0"/>
              <w:rPr>
                <w:rFonts w:cs="Arial"/>
              </w:rPr>
            </w:pPr>
            <w:r w:rsidRPr="009A5185">
              <w:rPr>
                <w:rFonts w:cs="Arial"/>
                <w:i/>
              </w:rPr>
              <w:t xml:space="preserve">ICD-10-PCS Principal Procedure Code or ICD-10-PCS Other Procedure Codes </w:t>
            </w:r>
            <w:r w:rsidRPr="009A5185">
              <w:rPr>
                <w:rFonts w:cs="Arial"/>
              </w:rPr>
              <w:t xml:space="preserve">for delivery as defined in Appendix A, Table </w:t>
            </w:r>
            <w:hyperlink r:id="rId285" w:anchor="Table_Number_11.01.1:_Delivery" w:history="1">
              <w:r>
                <w:rPr>
                  <w:rStyle w:val="Hyperlink"/>
                  <w:rFonts w:cs="Arial"/>
                </w:rPr>
                <w:t>11.01.1 Delivery</w:t>
              </w:r>
            </w:hyperlink>
            <w:r w:rsidRPr="009A5185">
              <w:rPr>
                <w:rFonts w:cs="Arial"/>
              </w:rPr>
              <w:t>.</w:t>
            </w:r>
          </w:p>
          <w:p w14:paraId="1B8FB708" w14:textId="3F7DA03F" w:rsidR="00FB146D" w:rsidRDefault="00FB146D" w:rsidP="00FB146D">
            <w:pPr>
              <w:pStyle w:val="ListParagraph"/>
              <w:numPr>
                <w:ilvl w:val="0"/>
                <w:numId w:val="18"/>
              </w:numPr>
              <w:autoSpaceDE w:val="0"/>
              <w:autoSpaceDN w:val="0"/>
              <w:adjustRightInd w:val="0"/>
              <w:spacing w:before="200" w:after="200"/>
              <w:rPr>
                <w:rFonts w:cs="Arial"/>
              </w:rPr>
            </w:pPr>
            <w:r w:rsidRPr="009A5185">
              <w:rPr>
                <w:rFonts w:cs="Arial"/>
              </w:rPr>
              <w:t>Nulliparous patients with</w:t>
            </w:r>
            <w:r w:rsidRPr="009A5185">
              <w:rPr>
                <w:rStyle w:val="apple-converted-space"/>
                <w:rFonts w:cs="Arial"/>
              </w:rPr>
              <w:t> </w:t>
            </w:r>
            <w:r w:rsidRPr="009A5185">
              <w:rPr>
                <w:rStyle w:val="Emphasis"/>
                <w:rFonts w:cs="Arial"/>
              </w:rPr>
              <w:t xml:space="preserve">ICD-10-CM Principal Diagnosis Code or ICD-10-CM Other Diagnosis Codes </w:t>
            </w:r>
            <w:r w:rsidRPr="009A5185">
              <w:rPr>
                <w:rFonts w:cs="Arial"/>
              </w:rPr>
              <w:t xml:space="preserve">for outcome of delivery as defined in Appendix A, Table </w:t>
            </w:r>
            <w:hyperlink r:id="rId286" w:anchor="Table_Number_11.08:_Outcome_of_Delivery" w:history="1">
              <w:r>
                <w:rPr>
                  <w:rStyle w:val="Hyperlink"/>
                  <w:rFonts w:cs="Arial"/>
                </w:rPr>
                <w:t>11.08 Outcome of Delivery</w:t>
              </w:r>
            </w:hyperlink>
            <w:r>
              <w:rPr>
                <w:rFonts w:cs="Arial"/>
              </w:rPr>
              <w:t xml:space="preserve"> </w:t>
            </w:r>
            <w:r w:rsidRPr="009A5185">
              <w:rPr>
                <w:rFonts w:cs="Arial"/>
              </w:rPr>
              <w:t xml:space="preserve">and with a delivery of a newborn with 37 weeks or more of gestation completed. </w:t>
            </w:r>
          </w:p>
          <w:p w14:paraId="50F98A8C" w14:textId="77777777" w:rsidR="008D3B46" w:rsidRDefault="008D3B46" w:rsidP="00FB146D">
            <w:pPr>
              <w:autoSpaceDE w:val="0"/>
              <w:autoSpaceDN w:val="0"/>
              <w:adjustRightInd w:val="0"/>
              <w:rPr>
                <w:rFonts w:cs="Arial"/>
                <w:b/>
              </w:rPr>
            </w:pPr>
          </w:p>
          <w:p w14:paraId="46CA97F0" w14:textId="39FD9994" w:rsidR="00FB146D" w:rsidRPr="002E6228" w:rsidRDefault="00FB146D" w:rsidP="00FB146D">
            <w:pPr>
              <w:autoSpaceDE w:val="0"/>
              <w:autoSpaceDN w:val="0"/>
              <w:adjustRightInd w:val="0"/>
              <w:rPr>
                <w:rStyle w:val="Emphasis"/>
                <w:rFonts w:cs="Arial"/>
                <w:i w:val="0"/>
              </w:rPr>
            </w:pPr>
            <w:r w:rsidRPr="009A5185">
              <w:rPr>
                <w:rFonts w:cs="Arial"/>
                <w:b/>
              </w:rPr>
              <w:t>Excluded Populations:</w:t>
            </w:r>
          </w:p>
          <w:p w14:paraId="6533A189" w14:textId="21DD95C0" w:rsidR="00FB146D" w:rsidRPr="009A5185" w:rsidRDefault="00FB146D" w:rsidP="00FB146D">
            <w:pPr>
              <w:pStyle w:val="ListParagraph"/>
              <w:numPr>
                <w:ilvl w:val="0"/>
                <w:numId w:val="18"/>
              </w:numPr>
              <w:autoSpaceDE w:val="0"/>
              <w:autoSpaceDN w:val="0"/>
              <w:adjustRightInd w:val="0"/>
              <w:rPr>
                <w:rFonts w:cs="Arial"/>
              </w:rPr>
            </w:pPr>
            <w:r w:rsidRPr="009A5185">
              <w:rPr>
                <w:rStyle w:val="Emphasis"/>
                <w:rFonts w:cs="Arial"/>
              </w:rPr>
              <w:t>ICD-10-CM Principal Diagnosis Code or ICD-10-CM Other Diagnosis Codes</w:t>
            </w:r>
            <w:r w:rsidRPr="009A5185">
              <w:rPr>
                <w:rFonts w:cs="Arial"/>
              </w:rPr>
              <w:t xml:space="preserve"> for multiple gestations</w:t>
            </w:r>
            <w:r>
              <w:rPr>
                <w:rFonts w:cs="Arial"/>
              </w:rPr>
              <w:t>,</w:t>
            </w:r>
            <w:r w:rsidRPr="009A5185">
              <w:rPr>
                <w:rFonts w:cs="Arial"/>
              </w:rPr>
              <w:t xml:space="preserve"> </w:t>
            </w:r>
            <w:r>
              <w:rPr>
                <w:rFonts w:cs="Arial"/>
              </w:rPr>
              <w:t xml:space="preserve">abnormal presentations, and conditions justifying cesarean delivery </w:t>
            </w:r>
            <w:r w:rsidRPr="009A5185">
              <w:rPr>
                <w:rFonts w:cs="Arial"/>
              </w:rPr>
              <w:t xml:space="preserve">as defined in Appendix A, Table </w:t>
            </w:r>
            <w:hyperlink r:id="rId287" w:anchor="Table_Number_11.09:_Multiple_Gestations_44_Abnormal_Presentations_44_and_Conditions_Justifying_Cesarean_Delivery" w:history="1">
              <w:r>
                <w:rPr>
                  <w:rStyle w:val="Hyperlink"/>
                  <w:rFonts w:cs="Arial"/>
                </w:rPr>
                <w:t>11.09 Multiple Gestations, Abnormal Presentations, and Conditions Justifying Cesarean Delivery</w:t>
              </w:r>
            </w:hyperlink>
            <w:r w:rsidR="00871536">
              <w:t xml:space="preserve"> </w:t>
            </w:r>
            <w:r w:rsidR="00871536" w:rsidRPr="00301153">
              <w:rPr>
                <w:rFonts w:cs="Arial"/>
              </w:rPr>
              <w:t xml:space="preserve">(please see FAQs for additional coding guidance </w:t>
            </w:r>
            <w:hyperlink r:id="rId288" w:history="1">
              <w:r w:rsidR="00295C8F" w:rsidRPr="00A2752F">
                <w:rPr>
                  <w:rStyle w:val="Hyperlink"/>
                  <w:rFonts w:cs="Arial"/>
                </w:rPr>
                <w:t>https://datacenter.cmqcc.org/support/download/c463ad71c0197fd1b1dd54db4bb09d31d8e8b35e</w:t>
              </w:r>
            </w:hyperlink>
            <w:r w:rsidR="00295C8F">
              <w:rPr>
                <w:rFonts w:cs="Arial"/>
              </w:rPr>
              <w:t xml:space="preserve"> </w:t>
            </w:r>
            <w:r w:rsidR="00871536" w:rsidRPr="00301153">
              <w:rPr>
                <w:rFonts w:cs="Arial"/>
              </w:rPr>
              <w:t xml:space="preserve"> </w:t>
            </w:r>
            <w:hyperlink r:id="rId289" w:history="1">
              <w:r w:rsidR="00295C8F" w:rsidRPr="00A2752F">
                <w:rPr>
                  <w:rStyle w:val="Hyperlink"/>
                  <w:rFonts w:cs="Arial"/>
                </w:rPr>
                <w:t>https://datacenter.cmqcc.org/support/download/a7955e52541df8ed63aa8e884909d81caeb1f659</w:t>
              </w:r>
            </w:hyperlink>
            <w:r w:rsidR="00871536" w:rsidRPr="00301153">
              <w:rPr>
                <w:rFonts w:cs="Arial"/>
              </w:rPr>
              <w:t>)</w:t>
            </w:r>
            <w:r w:rsidR="00295C8F">
              <w:rPr>
                <w:rFonts w:cs="Arial"/>
              </w:rPr>
              <w:t xml:space="preserve"> </w:t>
            </w:r>
            <w:r w:rsidRPr="009A5185">
              <w:rPr>
                <w:rFonts w:cs="Arial"/>
              </w:rPr>
              <w:t xml:space="preserve"> </w:t>
            </w:r>
          </w:p>
          <w:p w14:paraId="08C8EC53" w14:textId="77777777" w:rsidR="00FB146D" w:rsidRPr="009A5185" w:rsidRDefault="00FB146D" w:rsidP="00FB146D">
            <w:pPr>
              <w:pStyle w:val="ListParagraph"/>
              <w:numPr>
                <w:ilvl w:val="0"/>
                <w:numId w:val="18"/>
              </w:numPr>
              <w:autoSpaceDE w:val="0"/>
              <w:autoSpaceDN w:val="0"/>
              <w:adjustRightInd w:val="0"/>
              <w:rPr>
                <w:rFonts w:cs="Arial"/>
              </w:rPr>
            </w:pPr>
            <w:r w:rsidRPr="009A5185">
              <w:rPr>
                <w:rFonts w:cs="Arial"/>
              </w:rPr>
              <w:t>Less than 8 years of age</w:t>
            </w:r>
          </w:p>
          <w:p w14:paraId="1F1EE0AE" w14:textId="77777777" w:rsidR="00FB146D" w:rsidRPr="009A5185" w:rsidRDefault="00FB146D" w:rsidP="00FB146D">
            <w:pPr>
              <w:pStyle w:val="ListParagraph"/>
              <w:numPr>
                <w:ilvl w:val="0"/>
                <w:numId w:val="18"/>
              </w:numPr>
              <w:autoSpaceDE w:val="0"/>
              <w:autoSpaceDN w:val="0"/>
              <w:adjustRightInd w:val="0"/>
              <w:rPr>
                <w:rFonts w:cs="Arial"/>
              </w:rPr>
            </w:pPr>
            <w:r w:rsidRPr="009A5185">
              <w:rPr>
                <w:rFonts w:cs="Arial"/>
              </w:rPr>
              <w:t>Greater than or equal to 65 years of age</w:t>
            </w:r>
          </w:p>
          <w:p w14:paraId="7E9E3359" w14:textId="75881DAF" w:rsidR="00FB146D" w:rsidRPr="009A5185" w:rsidRDefault="00FB146D" w:rsidP="00FB146D">
            <w:pPr>
              <w:pStyle w:val="ListParagraph"/>
              <w:numPr>
                <w:ilvl w:val="0"/>
                <w:numId w:val="18"/>
              </w:numPr>
              <w:autoSpaceDE w:val="0"/>
              <w:autoSpaceDN w:val="0"/>
              <w:adjustRightInd w:val="0"/>
              <w:rPr>
                <w:rFonts w:cs="Arial"/>
              </w:rPr>
            </w:pPr>
            <w:hyperlink r:id="rId290" w:history="1">
              <w:r w:rsidRPr="005D6705">
                <w:rPr>
                  <w:rStyle w:val="Hyperlink"/>
                  <w:rFonts w:cs="Arial"/>
                  <w:i/>
                </w:rPr>
                <w:t>Gestational Age</w:t>
              </w:r>
            </w:hyperlink>
            <w:r w:rsidRPr="005D6705">
              <w:rPr>
                <w:rFonts w:cs="Arial"/>
                <w:i/>
              </w:rPr>
              <w:t> </w:t>
            </w:r>
            <w:r w:rsidRPr="009A5185">
              <w:rPr>
                <w:rFonts w:cs="Arial"/>
              </w:rPr>
              <w:t>&lt; 37 weeks</w:t>
            </w:r>
            <w:r w:rsidRPr="009A5185">
              <w:rPr>
                <w:rFonts w:cs="Arial"/>
                <w:i/>
              </w:rPr>
              <w:t xml:space="preserve"> </w:t>
            </w:r>
            <w:r w:rsidRPr="009A5185">
              <w:rPr>
                <w:rFonts w:cs="Arial"/>
              </w:rPr>
              <w:t xml:space="preserve">or </w:t>
            </w:r>
            <w:r>
              <w:rPr>
                <w:rFonts w:cs="Arial"/>
              </w:rPr>
              <w:t>Unable to Determine (</w:t>
            </w:r>
            <w:r w:rsidRPr="009A5185">
              <w:rPr>
                <w:rFonts w:cs="Arial"/>
              </w:rPr>
              <w:t>UTD</w:t>
            </w:r>
            <w:r>
              <w:rPr>
                <w:rFonts w:cs="Arial"/>
              </w:rPr>
              <w:t>)</w:t>
            </w:r>
          </w:p>
          <w:p w14:paraId="1624C9C2" w14:textId="77777777" w:rsidR="00FB146D" w:rsidRPr="009A5185" w:rsidRDefault="00FB146D" w:rsidP="00FB146D">
            <w:pPr>
              <w:autoSpaceDE w:val="0"/>
              <w:autoSpaceDN w:val="0"/>
              <w:adjustRightInd w:val="0"/>
              <w:rPr>
                <w:rFonts w:cs="Arial"/>
                <w:b/>
                <w:i/>
              </w:rPr>
            </w:pPr>
          </w:p>
          <w:p w14:paraId="1C5CC4A9" w14:textId="3F2C13B7" w:rsidR="00FB146D" w:rsidRPr="009A5185" w:rsidRDefault="00FB146D" w:rsidP="00FB146D">
            <w:pPr>
              <w:autoSpaceDE w:val="0"/>
              <w:autoSpaceDN w:val="0"/>
              <w:adjustRightInd w:val="0"/>
              <w:rPr>
                <w:rStyle w:val="Emphasis"/>
                <w:rFonts w:cs="Arial"/>
                <w:bCs/>
                <w:i w:val="0"/>
              </w:rPr>
            </w:pPr>
            <w:r w:rsidRPr="009A5185">
              <w:rPr>
                <w:rFonts w:cs="Arial"/>
                <w:b/>
                <w:bCs/>
              </w:rPr>
              <w:t xml:space="preserve">Data Elements: </w:t>
            </w:r>
            <w:r w:rsidRPr="009A5185">
              <w:rPr>
                <w:rFonts w:cs="Arial"/>
                <w:bCs/>
              </w:rPr>
              <w:t xml:space="preserve">Visit </w:t>
            </w:r>
            <w:hyperlink r:id="rId291" w:history="1">
              <w:r w:rsidR="006F448D">
                <w:rPr>
                  <w:rStyle w:val="Hyperlink"/>
                  <w:rFonts w:cs="Arial"/>
                  <w:bCs/>
                </w:rPr>
                <w:t>https://manual.jointcommission.org/releases/TJC2026A1/MIF0167.html</w:t>
              </w:r>
            </w:hyperlink>
            <w:r w:rsidR="006F448D">
              <w:rPr>
                <w:rFonts w:cs="Arial"/>
                <w:bCs/>
              </w:rPr>
              <w:t>.</w:t>
            </w:r>
          </w:p>
          <w:p w14:paraId="2DF14F2D" w14:textId="77777777" w:rsidR="00FB146D" w:rsidRPr="009A5185" w:rsidRDefault="00FB146D" w:rsidP="00FB146D">
            <w:pPr>
              <w:autoSpaceDE w:val="0"/>
              <w:autoSpaceDN w:val="0"/>
              <w:adjustRightInd w:val="0"/>
              <w:rPr>
                <w:rFonts w:cs="Arial"/>
                <w:b/>
                <w:i/>
              </w:rPr>
            </w:pPr>
          </w:p>
          <w:p w14:paraId="3318E09C" w14:textId="1D774BA4" w:rsidR="00523F93" w:rsidRPr="009A5185" w:rsidRDefault="00FB146D" w:rsidP="00FB146D">
            <w:pPr>
              <w:rPr>
                <w:rFonts w:cs="Arial"/>
                <w:b/>
              </w:rPr>
            </w:pPr>
            <w:r w:rsidRPr="009A5185">
              <w:rPr>
                <w:rFonts w:cs="Arial"/>
                <w:b/>
                <w:i/>
              </w:rPr>
              <w:t xml:space="preserve">If fewer than </w:t>
            </w:r>
            <w:r w:rsidRPr="009A5185">
              <w:rPr>
                <w:rFonts w:cs="Arial"/>
                <w:b/>
                <w:i/>
                <w:lang w:eastAsia="ja-JP"/>
              </w:rPr>
              <w:t>10</w:t>
            </w:r>
            <w:r w:rsidRPr="009A5185">
              <w:rPr>
                <w:rFonts w:cs="Arial"/>
                <w:b/>
                <w:i/>
              </w:rPr>
              <w:t xml:space="preserve"> cases during the reporting period, skip the next question.</w:t>
            </w:r>
          </w:p>
        </w:tc>
      </w:tr>
      <w:tr w:rsidR="00266817" w:rsidRPr="009A5185" w14:paraId="76040B78" w14:textId="77777777" w:rsidTr="000C1F1D">
        <w:trPr>
          <w:trHeight w:val="432"/>
        </w:trPr>
        <w:tc>
          <w:tcPr>
            <w:tcW w:w="9562" w:type="dxa"/>
            <w:vAlign w:val="center"/>
          </w:tcPr>
          <w:p w14:paraId="7BF1254D" w14:textId="77777777" w:rsidR="00266817" w:rsidRPr="00FD5AD4" w:rsidRDefault="00266817" w:rsidP="00266817">
            <w:pPr>
              <w:rPr>
                <w:rStyle w:val="Strong"/>
                <w:rFonts w:cs="Arial"/>
                <w:bCs/>
                <w:shd w:val="clear" w:color="auto" w:fill="FFFFFF"/>
              </w:rPr>
            </w:pPr>
            <w:r w:rsidRPr="00FD5AD4">
              <w:rPr>
                <w:rStyle w:val="Strong"/>
                <w:rFonts w:cs="Arial"/>
                <w:shd w:val="clear" w:color="auto" w:fill="FFFFFF"/>
              </w:rPr>
              <w:t xml:space="preserve">Question #3 (numerator): </w:t>
            </w:r>
            <w:r w:rsidRPr="00FD5AD4">
              <w:rPr>
                <w:rFonts w:cs="Arial"/>
                <w:shd w:val="clear" w:color="auto" w:fill="FFFFFF"/>
              </w:rPr>
              <w:t xml:space="preserve">Patients in the denominator with cesarean births. </w:t>
            </w:r>
          </w:p>
          <w:p w14:paraId="6D30F0E8" w14:textId="77777777" w:rsidR="00266817" w:rsidRPr="00FD5AD4" w:rsidRDefault="00266817" w:rsidP="00266817">
            <w:pPr>
              <w:rPr>
                <w:rStyle w:val="Strong"/>
                <w:rFonts w:cs="Arial"/>
                <w:bCs/>
                <w:shd w:val="clear" w:color="auto" w:fill="FFFFFF"/>
              </w:rPr>
            </w:pPr>
          </w:p>
          <w:p w14:paraId="0996F0E4" w14:textId="77777777" w:rsidR="00266817" w:rsidRPr="00FD5AD4" w:rsidRDefault="00266817" w:rsidP="00266817">
            <w:pPr>
              <w:rPr>
                <w:rStyle w:val="apple-converted-space"/>
                <w:rFonts w:cs="Arial"/>
                <w:b/>
                <w:bCs/>
                <w:shd w:val="clear" w:color="auto" w:fill="FFFFFF"/>
              </w:rPr>
            </w:pPr>
            <w:r w:rsidRPr="00FD5AD4">
              <w:rPr>
                <w:rStyle w:val="Strong"/>
                <w:rFonts w:cs="Arial"/>
              </w:rPr>
              <w:t>Included Populations:</w:t>
            </w:r>
            <w:r w:rsidRPr="00FD5AD4">
              <w:rPr>
                <w:rStyle w:val="apple-converted-space"/>
                <w:rFonts w:cs="Arial"/>
              </w:rPr>
              <w:t> </w:t>
            </w:r>
          </w:p>
          <w:p w14:paraId="7EA410FF" w14:textId="39971A74" w:rsidR="00266817" w:rsidRPr="00765FBE" w:rsidRDefault="00266817" w:rsidP="00266817">
            <w:pPr>
              <w:pStyle w:val="NormalWeb"/>
              <w:shd w:val="clear" w:color="auto" w:fill="FFFFFF"/>
              <w:spacing w:before="0" w:beforeAutospacing="0" w:after="0" w:afterAutospacing="0"/>
              <w:rPr>
                <w:rFonts w:ascii="Arial" w:hAnsi="Arial" w:cs="Arial"/>
                <w:sz w:val="20"/>
                <w:szCs w:val="20"/>
              </w:rPr>
            </w:pPr>
            <w:r w:rsidRPr="00765FBE">
              <w:rPr>
                <w:rStyle w:val="Emphasis"/>
                <w:rFonts w:ascii="Arial" w:hAnsi="Arial" w:cs="Arial"/>
                <w:sz w:val="20"/>
                <w:szCs w:val="20"/>
              </w:rPr>
              <w:t>ICD-10-PCS Principal Procedure Code or ICD-10-PCS Other Procedure Codes</w:t>
            </w:r>
            <w:r w:rsidRPr="00765FBE">
              <w:rPr>
                <w:rStyle w:val="apple-converted-space"/>
                <w:rFonts w:ascii="Arial" w:hAnsi="Arial" w:cs="Arial"/>
                <w:sz w:val="20"/>
                <w:szCs w:val="20"/>
              </w:rPr>
              <w:t> </w:t>
            </w:r>
            <w:r w:rsidRPr="00765FBE">
              <w:rPr>
                <w:rFonts w:ascii="Arial" w:hAnsi="Arial" w:cs="Arial"/>
                <w:sz w:val="20"/>
                <w:szCs w:val="20"/>
              </w:rPr>
              <w:t xml:space="preserve">for cesarean birth as defined in Appendix A, Table </w:t>
            </w:r>
            <w:hyperlink r:id="rId292" w:anchor="Table_Number_11.06:_Cesarean_Birth" w:history="1">
              <w:r w:rsidRPr="00765FBE">
                <w:rPr>
                  <w:rStyle w:val="Hyperlink"/>
                  <w:rFonts w:ascii="Arial" w:hAnsi="Arial" w:cs="Arial"/>
                  <w:sz w:val="20"/>
                  <w:szCs w:val="20"/>
                </w:rPr>
                <w:t>11.06 Cesarean Birth</w:t>
              </w:r>
            </w:hyperlink>
          </w:p>
          <w:p w14:paraId="772D1359" w14:textId="77777777" w:rsidR="00266817" w:rsidRDefault="00266817" w:rsidP="00266817">
            <w:pPr>
              <w:pStyle w:val="NormalWeb"/>
              <w:shd w:val="clear" w:color="auto" w:fill="FFFFFF"/>
              <w:spacing w:before="0" w:beforeAutospacing="0" w:after="0" w:afterAutospacing="0"/>
            </w:pPr>
          </w:p>
          <w:p w14:paraId="174C4255" w14:textId="77777777" w:rsidR="00266817" w:rsidRPr="009A5185" w:rsidRDefault="00266817" w:rsidP="00266817">
            <w:pPr>
              <w:pStyle w:val="NormalWeb"/>
              <w:shd w:val="clear" w:color="auto" w:fill="FFFFFF"/>
              <w:spacing w:before="0" w:beforeAutospacing="0" w:after="0" w:afterAutospacing="0"/>
              <w:rPr>
                <w:rFonts w:ascii="Arial" w:hAnsi="Arial" w:cs="Arial"/>
                <w:sz w:val="20"/>
                <w:szCs w:val="20"/>
              </w:rPr>
            </w:pPr>
            <w:r w:rsidRPr="009A5185">
              <w:rPr>
                <w:rStyle w:val="Strong"/>
                <w:rFonts w:ascii="Arial" w:hAnsi="Arial" w:cs="Arial"/>
                <w:sz w:val="20"/>
                <w:szCs w:val="20"/>
              </w:rPr>
              <w:t>Excluded Populations:</w:t>
            </w:r>
            <w:r w:rsidRPr="009A5185">
              <w:rPr>
                <w:rStyle w:val="apple-converted-space"/>
                <w:rFonts w:ascii="Arial" w:hAnsi="Arial" w:cs="Arial"/>
                <w:sz w:val="20"/>
                <w:szCs w:val="20"/>
              </w:rPr>
              <w:t> </w:t>
            </w:r>
            <w:r w:rsidRPr="009A5185">
              <w:rPr>
                <w:rFonts w:ascii="Arial" w:hAnsi="Arial" w:cs="Arial"/>
                <w:sz w:val="20"/>
                <w:szCs w:val="20"/>
              </w:rPr>
              <w:t>None</w:t>
            </w:r>
          </w:p>
          <w:p w14:paraId="63997A3D" w14:textId="77777777" w:rsidR="00266817" w:rsidRPr="009A5185" w:rsidRDefault="00266817" w:rsidP="00266817">
            <w:pPr>
              <w:pStyle w:val="NormalWeb"/>
              <w:shd w:val="clear" w:color="auto" w:fill="FFFFFF"/>
              <w:spacing w:before="0" w:beforeAutospacing="0" w:after="0" w:afterAutospacing="0"/>
              <w:rPr>
                <w:rFonts w:ascii="Arial" w:hAnsi="Arial" w:cs="Arial"/>
                <w:sz w:val="20"/>
                <w:szCs w:val="20"/>
              </w:rPr>
            </w:pPr>
          </w:p>
          <w:p w14:paraId="3A414BC1" w14:textId="5B498BB4" w:rsidR="00266817" w:rsidRPr="009A5185" w:rsidRDefault="00266817" w:rsidP="00266817">
            <w:pPr>
              <w:rPr>
                <w:rFonts w:cs="Arial"/>
                <w:b/>
                <w:bCs/>
              </w:rPr>
            </w:pPr>
            <w:r w:rsidRPr="009A5185">
              <w:rPr>
                <w:rFonts w:cs="Arial"/>
                <w:b/>
                <w:bCs/>
              </w:rPr>
              <w:t xml:space="preserve">Data Elements: </w:t>
            </w:r>
            <w:r w:rsidRPr="009A5185">
              <w:rPr>
                <w:rFonts w:cs="Arial"/>
                <w:bCs/>
              </w:rPr>
              <w:t>Visit</w:t>
            </w:r>
            <w:r w:rsidRPr="009A5185">
              <w:rPr>
                <w:rFonts w:cs="Arial"/>
                <w:b/>
                <w:bCs/>
              </w:rPr>
              <w:t xml:space="preserve"> </w:t>
            </w:r>
            <w:hyperlink r:id="rId293" w:history="1">
              <w:r w:rsidR="001306AC">
                <w:rPr>
                  <w:rStyle w:val="Hyperlink"/>
                  <w:rFonts w:cs="Arial"/>
                  <w:bCs/>
                </w:rPr>
                <w:t>https://manual.jointcommission.org/releases/TJC2026A1/MIF0167.html</w:t>
              </w:r>
            </w:hyperlink>
            <w:r>
              <w:rPr>
                <w:rStyle w:val="Hyperlink"/>
                <w:rFonts w:cs="Arial"/>
                <w:bCs/>
              </w:rPr>
              <w:t>.</w:t>
            </w:r>
          </w:p>
        </w:tc>
      </w:tr>
    </w:tbl>
    <w:p w14:paraId="16223970" w14:textId="77777777" w:rsidR="00E60C6C" w:rsidRDefault="00E60C6C" w:rsidP="00E60C6C">
      <w:pPr>
        <w:rPr>
          <w:rFonts w:cs="Arial"/>
        </w:rPr>
      </w:pPr>
    </w:p>
    <w:p w14:paraId="11543C89" w14:textId="77777777" w:rsidR="004E5539" w:rsidRDefault="004E5539">
      <w:pPr>
        <w:rPr>
          <w:b/>
          <w:color w:val="000000"/>
          <w:sz w:val="22"/>
        </w:rPr>
      </w:pPr>
      <w:r>
        <w:br w:type="page"/>
      </w:r>
    </w:p>
    <w:p w14:paraId="6059DE72" w14:textId="5E056DDA" w:rsidR="000F3668" w:rsidRPr="00023023" w:rsidRDefault="007174DE" w:rsidP="00023023">
      <w:pPr>
        <w:pStyle w:val="Heading44"/>
      </w:pPr>
      <w:r>
        <w:lastRenderedPageBreak/>
        <w:t>Cesarean Birth Stratified by Race/Ethnicity</w:t>
      </w:r>
      <w:r w:rsidR="000F3668" w:rsidRPr="00023023">
        <w:br/>
      </w: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2"/>
      </w:tblGrid>
      <w:tr w:rsidR="000F3668" w:rsidRPr="009A5185" w14:paraId="080B0E9C" w14:textId="77777777" w:rsidTr="000C1F1D">
        <w:trPr>
          <w:trHeight w:val="288"/>
        </w:trPr>
        <w:tc>
          <w:tcPr>
            <w:tcW w:w="9562" w:type="dxa"/>
            <w:vAlign w:val="center"/>
          </w:tcPr>
          <w:p w14:paraId="72B79639" w14:textId="3C81B273" w:rsidR="00A73A00" w:rsidRPr="00A73A00" w:rsidRDefault="000F3668" w:rsidP="00C5453C">
            <w:pPr>
              <w:rPr>
                <w:rFonts w:cs="Arial"/>
              </w:rPr>
            </w:pPr>
            <w:r w:rsidRPr="00DB23D3">
              <w:rPr>
                <w:rFonts w:cs="Arial"/>
                <w:b/>
                <w:bCs/>
              </w:rPr>
              <w:t xml:space="preserve">Source: </w:t>
            </w:r>
            <w:r w:rsidRPr="00DB23D3">
              <w:rPr>
                <w:rFonts w:cs="Arial"/>
              </w:rPr>
              <w:t>Joint Commission PC-0</w:t>
            </w:r>
            <w:r>
              <w:rPr>
                <w:rFonts w:cs="Arial"/>
              </w:rPr>
              <w:t>2</w:t>
            </w:r>
            <w:r w:rsidR="00DF4B48">
              <w:rPr>
                <w:rFonts w:cs="Arial"/>
              </w:rPr>
              <w:t xml:space="preserve"> </w:t>
            </w:r>
            <w:hyperlink r:id="rId294" w:history="1">
              <w:r w:rsidR="00442AB6" w:rsidRPr="004E5815">
                <w:rPr>
                  <w:rStyle w:val="Hyperlink"/>
                  <w:rFonts w:cs="Arial"/>
                </w:rPr>
                <w:t>version 2026A1</w:t>
              </w:r>
            </w:hyperlink>
          </w:p>
        </w:tc>
      </w:tr>
      <w:tr w:rsidR="000F3668" w:rsidRPr="009A5185" w14:paraId="0BC085A6" w14:textId="77777777" w:rsidTr="00C5453C">
        <w:trPr>
          <w:trHeight w:val="611"/>
        </w:trPr>
        <w:tc>
          <w:tcPr>
            <w:tcW w:w="9562" w:type="dxa"/>
            <w:vAlign w:val="center"/>
          </w:tcPr>
          <w:p w14:paraId="2B3C1A90" w14:textId="003EB82E" w:rsidR="000F3668" w:rsidRPr="009A5185" w:rsidRDefault="000F3668" w:rsidP="00EC4DCE">
            <w:pPr>
              <w:autoSpaceDE w:val="0"/>
              <w:autoSpaceDN w:val="0"/>
              <w:adjustRightInd w:val="0"/>
              <w:rPr>
                <w:rFonts w:cs="Arial"/>
                <w:b/>
                <w:snapToGrid w:val="0"/>
              </w:rPr>
            </w:pPr>
            <w:r w:rsidRPr="009A5185">
              <w:rPr>
                <w:rFonts w:cs="Arial"/>
                <w:b/>
                <w:snapToGrid w:val="0"/>
              </w:rPr>
              <w:t xml:space="preserve">Reporting Period: </w:t>
            </w:r>
            <w:r w:rsidR="007174DE">
              <w:rPr>
                <w:rFonts w:cs="Arial"/>
                <w:b/>
                <w:snapToGrid w:val="0"/>
              </w:rPr>
              <w:t>24</w:t>
            </w:r>
            <w:r w:rsidRPr="009A5185">
              <w:rPr>
                <w:rFonts w:cs="Arial"/>
                <w:b/>
                <w:snapToGrid w:val="0"/>
              </w:rPr>
              <w:t xml:space="preserve"> months</w:t>
            </w:r>
          </w:p>
          <w:p w14:paraId="3BD3E060" w14:textId="77777777" w:rsidR="000F3668" w:rsidRPr="00861D91" w:rsidRDefault="000F3668" w:rsidP="00AD309C">
            <w:pPr>
              <w:pStyle w:val="ListParagraph"/>
              <w:numPr>
                <w:ilvl w:val="0"/>
                <w:numId w:val="12"/>
              </w:numPr>
              <w:rPr>
                <w:rFonts w:cs="Arial"/>
                <w:i/>
                <w:snapToGrid w:val="0"/>
              </w:rPr>
            </w:pPr>
            <w:r w:rsidRPr="00861D91">
              <w:rPr>
                <w:rFonts w:cs="Arial"/>
                <w:iCs/>
                <w:snapToGrid w:val="0"/>
              </w:rPr>
              <w:t>Surveys submitted prior to September 1:</w:t>
            </w:r>
          </w:p>
          <w:p w14:paraId="4A53A974" w14:textId="0A359CF1" w:rsidR="000F3668" w:rsidRPr="00861D91" w:rsidRDefault="000F3668" w:rsidP="00AD309C">
            <w:pPr>
              <w:pStyle w:val="ListParagraph"/>
              <w:numPr>
                <w:ilvl w:val="1"/>
                <w:numId w:val="12"/>
              </w:numPr>
              <w:rPr>
                <w:rFonts w:cs="Arial"/>
                <w:i/>
                <w:snapToGrid w:val="0"/>
              </w:rPr>
            </w:pPr>
            <w:r w:rsidRPr="00861D91">
              <w:rPr>
                <w:rFonts w:cs="Arial"/>
                <w:snapToGrid w:val="0"/>
              </w:rPr>
              <w:t>01/01/202</w:t>
            </w:r>
            <w:r w:rsidR="00437336">
              <w:rPr>
                <w:rFonts w:cs="Arial"/>
                <w:snapToGrid w:val="0"/>
              </w:rPr>
              <w:t>4</w:t>
            </w:r>
            <w:r w:rsidRPr="00861D91">
              <w:rPr>
                <w:rFonts w:cs="Arial"/>
                <w:snapToGrid w:val="0"/>
              </w:rPr>
              <w:t xml:space="preserve"> – 12/31/202</w:t>
            </w:r>
            <w:r w:rsidR="00437336">
              <w:rPr>
                <w:rFonts w:cs="Arial"/>
                <w:snapToGrid w:val="0"/>
              </w:rPr>
              <w:t>5</w:t>
            </w:r>
          </w:p>
          <w:p w14:paraId="0698942C" w14:textId="77777777" w:rsidR="000F3668" w:rsidRPr="00861D91" w:rsidRDefault="000F3668" w:rsidP="00AD309C">
            <w:pPr>
              <w:pStyle w:val="ListParagraph"/>
              <w:numPr>
                <w:ilvl w:val="0"/>
                <w:numId w:val="12"/>
              </w:numPr>
              <w:rPr>
                <w:rFonts w:cs="Arial"/>
                <w:i/>
                <w:snapToGrid w:val="0"/>
              </w:rPr>
            </w:pPr>
            <w:r w:rsidRPr="00861D91">
              <w:rPr>
                <w:rFonts w:cs="Arial"/>
                <w:snapToGrid w:val="0"/>
              </w:rPr>
              <w:t xml:space="preserve">Surveys (re)submitted on or after September 1: </w:t>
            </w:r>
          </w:p>
          <w:p w14:paraId="74AA2DB4" w14:textId="1F553EED" w:rsidR="000F3668" w:rsidRPr="000C1F1D" w:rsidRDefault="000F3668" w:rsidP="00AD309C">
            <w:pPr>
              <w:pStyle w:val="ListParagraph"/>
              <w:numPr>
                <w:ilvl w:val="1"/>
                <w:numId w:val="12"/>
              </w:numPr>
              <w:rPr>
                <w:rFonts w:cs="Arial"/>
                <w:b/>
                <w:lang w:val="fr-FR"/>
              </w:rPr>
            </w:pPr>
            <w:r w:rsidRPr="00861D91">
              <w:rPr>
                <w:rFonts w:cs="Arial"/>
                <w:snapToGrid w:val="0"/>
              </w:rPr>
              <w:t>07/01/202</w:t>
            </w:r>
            <w:r w:rsidR="00437336">
              <w:rPr>
                <w:rFonts w:cs="Arial"/>
                <w:snapToGrid w:val="0"/>
              </w:rPr>
              <w:t>4</w:t>
            </w:r>
            <w:r w:rsidRPr="00861D91">
              <w:rPr>
                <w:rFonts w:cs="Arial"/>
                <w:snapToGrid w:val="0"/>
              </w:rPr>
              <w:t xml:space="preserve"> – 06/30/202</w:t>
            </w:r>
            <w:r w:rsidR="00437336">
              <w:rPr>
                <w:rFonts w:cs="Arial"/>
                <w:snapToGrid w:val="0"/>
              </w:rPr>
              <w:t>6</w:t>
            </w:r>
          </w:p>
          <w:p w14:paraId="5CE14443" w14:textId="77777777" w:rsidR="006E0696" w:rsidRDefault="006E0696" w:rsidP="006E0696">
            <w:pPr>
              <w:rPr>
                <w:rFonts w:cs="Arial"/>
                <w:b/>
                <w:lang w:val="fr-FR"/>
              </w:rPr>
            </w:pPr>
          </w:p>
          <w:p w14:paraId="267904F9" w14:textId="43F1CBD6" w:rsidR="006E0696" w:rsidRPr="000C1F1D" w:rsidRDefault="006E0696" w:rsidP="000C1F1D">
            <w:pPr>
              <w:rPr>
                <w:rFonts w:cs="Arial"/>
                <w:b/>
                <w:lang w:val="fr-FR"/>
              </w:rPr>
            </w:pPr>
            <w:r>
              <w:rPr>
                <w:rFonts w:cs="Arial"/>
                <w:bCs/>
              </w:rPr>
              <w:t>Note: The discharge date must be used to determine whether a case falls within the reporting period specified.</w:t>
            </w:r>
          </w:p>
        </w:tc>
      </w:tr>
      <w:tr w:rsidR="000F3668" w:rsidRPr="009A5185" w14:paraId="44C71ECF" w14:textId="77777777" w:rsidTr="00D36222">
        <w:trPr>
          <w:trHeight w:val="1584"/>
        </w:trPr>
        <w:tc>
          <w:tcPr>
            <w:tcW w:w="9562" w:type="dxa"/>
            <w:vAlign w:val="center"/>
          </w:tcPr>
          <w:p w14:paraId="6222E0DE" w14:textId="77777777" w:rsidR="005F40E0" w:rsidRDefault="005F40E0" w:rsidP="005F40E0">
            <w:pPr>
              <w:rPr>
                <w:rFonts w:cs="Arial"/>
              </w:rPr>
            </w:pPr>
            <w:r>
              <w:rPr>
                <w:rFonts w:cs="Arial"/>
              </w:rPr>
              <w:t>When reporting on Cesarean Birth Stratified by Race/Ethnicity, hospitals must report using a 24-month reporting period as specified in question #6.</w:t>
            </w:r>
          </w:p>
          <w:p w14:paraId="6F1986BA" w14:textId="77777777" w:rsidR="005F40E0" w:rsidRDefault="005F40E0" w:rsidP="005F40E0">
            <w:pPr>
              <w:rPr>
                <w:rFonts w:cs="Arial"/>
              </w:rPr>
            </w:pPr>
          </w:p>
          <w:p w14:paraId="744FD258" w14:textId="7C979802" w:rsidR="005F40E0" w:rsidRDefault="005F40E0" w:rsidP="005F40E0">
            <w:pPr>
              <w:rPr>
                <w:rFonts w:cs="Arial"/>
              </w:rPr>
            </w:pPr>
            <w:r>
              <w:rPr>
                <w:rFonts w:cs="Arial"/>
              </w:rPr>
              <w:t xml:space="preserve">Hospitals participating in the California Maternal Quality Care Collaborative (CMQCC) Maternal Data Center may use the data provided in CMQCC reports when responding to question #8. </w:t>
            </w:r>
            <w:r w:rsidRPr="009A5185">
              <w:rPr>
                <w:rFonts w:cs="Arial"/>
              </w:rPr>
              <w:t xml:space="preserve">Download instructions for using the </w:t>
            </w:r>
            <w:r>
              <w:rPr>
                <w:rFonts w:cs="Arial"/>
              </w:rPr>
              <w:t>CMQCC reports</w:t>
            </w:r>
            <w:r w:rsidRPr="009A5185">
              <w:rPr>
                <w:rFonts w:cs="Arial"/>
              </w:rPr>
              <w:t xml:space="preserve"> on the </w:t>
            </w:r>
            <w:hyperlink r:id="rId295" w:history="1">
              <w:r w:rsidRPr="009A5185">
                <w:rPr>
                  <w:rStyle w:val="Hyperlink"/>
                  <w:rFonts w:cs="Arial"/>
                </w:rPr>
                <w:t>Survey and CPOE Materials webpage</w:t>
              </w:r>
            </w:hyperlink>
            <w:r w:rsidRPr="009A5185">
              <w:rPr>
                <w:rFonts w:cs="Arial"/>
              </w:rPr>
              <w:t>.</w:t>
            </w:r>
            <w:r w:rsidR="00A24FD4">
              <w:rPr>
                <w:rFonts w:cs="Arial"/>
              </w:rPr>
              <w:t xml:space="preserve"> </w:t>
            </w:r>
            <w:r>
              <w:rPr>
                <w:rFonts w:cs="Arial"/>
              </w:rPr>
              <w:t xml:space="preserve">Hospitals reporting to the U.S. News &amp; World Report Maternity Services Survey may use the data provided to U.S. News &amp; World Report </w:t>
            </w:r>
            <w:r w:rsidR="00D633E0">
              <w:rPr>
                <w:rFonts w:cs="Arial"/>
              </w:rPr>
              <w:t>and the crosswalk</w:t>
            </w:r>
            <w:r w:rsidR="002F62A9">
              <w:rPr>
                <w:rFonts w:cs="Arial"/>
              </w:rPr>
              <w:t xml:space="preserve"> provided</w:t>
            </w:r>
            <w:r w:rsidR="00D633E0">
              <w:rPr>
                <w:rFonts w:cs="Arial"/>
              </w:rPr>
              <w:t xml:space="preserve"> below </w:t>
            </w:r>
            <w:r>
              <w:rPr>
                <w:rFonts w:cs="Arial"/>
              </w:rPr>
              <w:t>when responding to question #8.</w:t>
            </w:r>
          </w:p>
          <w:p w14:paraId="77634E88" w14:textId="77777777" w:rsidR="00797E71" w:rsidRDefault="00797E71" w:rsidP="005F40E0">
            <w:pPr>
              <w:rPr>
                <w:rFonts w:cs="Arial"/>
              </w:rPr>
            </w:pPr>
          </w:p>
          <w:p w14:paraId="1C7161F1" w14:textId="5A66D851" w:rsidR="000F3668" w:rsidRPr="00D500C0" w:rsidRDefault="005F40E0" w:rsidP="00C5453C">
            <w:pPr>
              <w:rPr>
                <w:rFonts w:cs="Arial"/>
              </w:rPr>
            </w:pPr>
            <w:r w:rsidRPr="009A5185">
              <w:rPr>
                <w:rFonts w:cs="Arial"/>
              </w:rPr>
              <w:t xml:space="preserve">Otherwise, </w:t>
            </w:r>
            <w:r>
              <w:rPr>
                <w:rFonts w:cs="Arial"/>
              </w:rPr>
              <w:t xml:space="preserve">hospitals should </w:t>
            </w:r>
            <w:r w:rsidRPr="009A5185">
              <w:rPr>
                <w:rFonts w:cs="Arial"/>
              </w:rPr>
              <w:t xml:space="preserve">use TJC’s PC-02 Cesarean Birth measure specifications </w:t>
            </w:r>
            <w:r w:rsidR="00CE4805">
              <w:rPr>
                <w:rFonts w:cs="Arial"/>
              </w:rPr>
              <w:t xml:space="preserve">(version </w:t>
            </w:r>
            <w:hyperlink r:id="rId296" w:history="1">
              <w:r w:rsidR="00CE4805" w:rsidRPr="00F75651">
                <w:rPr>
                  <w:rStyle w:val="Hyperlink"/>
                  <w:rFonts w:cs="Arial"/>
                </w:rPr>
                <w:t>2026A1</w:t>
              </w:r>
            </w:hyperlink>
            <w:r w:rsidR="00CE4805">
              <w:rPr>
                <w:rFonts w:cs="Arial"/>
              </w:rPr>
              <w:t xml:space="preserve">) </w:t>
            </w:r>
            <w:r w:rsidRPr="009A5185">
              <w:rPr>
                <w:rFonts w:cs="Arial"/>
              </w:rPr>
              <w:t>to retrospectively</w:t>
            </w:r>
            <w:r>
              <w:rPr>
                <w:rFonts w:cs="Arial"/>
              </w:rPr>
              <w:t xml:space="preserve"> review </w:t>
            </w:r>
            <w:r w:rsidRPr="00D500C0">
              <w:rPr>
                <w:rFonts w:cs="Arial"/>
                <w:b/>
                <w:bCs/>
              </w:rPr>
              <w:t>all cases</w:t>
            </w:r>
            <w:r w:rsidRPr="009A5185">
              <w:rPr>
                <w:rFonts w:cs="Arial"/>
              </w:rPr>
              <w:t xml:space="preserve"> and </w:t>
            </w:r>
            <w:r>
              <w:rPr>
                <w:rFonts w:cs="Arial"/>
              </w:rPr>
              <w:t>then stratify those cases by race/ethnicity</w:t>
            </w:r>
            <w:r w:rsidRPr="009A5185">
              <w:rPr>
                <w:rFonts w:cs="Arial"/>
              </w:rPr>
              <w:t>.</w:t>
            </w:r>
            <w:r>
              <w:rPr>
                <w:rFonts w:cs="Arial"/>
              </w:rPr>
              <w:t xml:space="preserve"> </w:t>
            </w:r>
            <w:r w:rsidRPr="009A5185">
              <w:rPr>
                <w:rFonts w:cs="Arial"/>
              </w:rPr>
              <w:t>The PC-0</w:t>
            </w:r>
            <w:r>
              <w:rPr>
                <w:rFonts w:cs="Arial"/>
              </w:rPr>
              <w:t>2</w:t>
            </w:r>
            <w:r w:rsidRPr="009A5185">
              <w:rPr>
                <w:rFonts w:cs="Arial"/>
              </w:rPr>
              <w:t xml:space="preserve"> measure specifications are outlined below. To access the measure specifications directly on The Joint Commission’s website</w:t>
            </w:r>
            <w:r w:rsidR="00576C34">
              <w:rPr>
                <w:rFonts w:cs="Arial"/>
              </w:rPr>
              <w:t xml:space="preserve"> visit </w:t>
            </w:r>
            <w:r w:rsidR="00576C34" w:rsidRPr="00E20712">
              <w:rPr>
                <w:rFonts w:cs="Arial"/>
              </w:rPr>
              <w:t>https://manual.jointcommission.org/releases/TJC2026A1/MIF0167.html</w:t>
            </w:r>
            <w:r w:rsidR="00576C34">
              <w:rPr>
                <w:rFonts w:cs="Arial"/>
              </w:rPr>
              <w:t>.</w:t>
            </w:r>
          </w:p>
        </w:tc>
      </w:tr>
      <w:tr w:rsidR="00F105FE" w:rsidRPr="009A5185" w14:paraId="7C718DA7" w14:textId="77777777" w:rsidTr="00D36222">
        <w:trPr>
          <w:trHeight w:val="1584"/>
        </w:trPr>
        <w:tc>
          <w:tcPr>
            <w:tcW w:w="9562" w:type="dxa"/>
            <w:vAlign w:val="center"/>
          </w:tcPr>
          <w:p w14:paraId="7EACD059" w14:textId="4706351B" w:rsidR="00835927" w:rsidRDefault="00835927" w:rsidP="00835927">
            <w:pPr>
              <w:rPr>
                <w:rFonts w:cs="Arial"/>
                <w:shd w:val="clear" w:color="auto" w:fill="FFFFFF"/>
              </w:rPr>
            </w:pPr>
            <w:r w:rsidRPr="009A5185">
              <w:rPr>
                <w:rFonts w:cs="Arial"/>
                <w:b/>
                <w:bCs/>
              </w:rPr>
              <w:t xml:space="preserve">Question </w:t>
            </w:r>
            <w:r>
              <w:rPr>
                <w:rFonts w:cs="Arial"/>
                <w:b/>
                <w:bCs/>
              </w:rPr>
              <w:t>#8a</w:t>
            </w:r>
            <w:r w:rsidRPr="009A5185">
              <w:rPr>
                <w:rFonts w:cs="Arial"/>
                <w:b/>
                <w:bCs/>
              </w:rPr>
              <w:t xml:space="preserve"> (denominator): </w:t>
            </w:r>
            <w:r>
              <w:rPr>
                <w:rFonts w:cs="Arial"/>
                <w:shd w:val="clear" w:color="auto" w:fill="FFFFFF"/>
              </w:rPr>
              <w:t>Total number of n</w:t>
            </w:r>
            <w:r w:rsidRPr="009A5185">
              <w:rPr>
                <w:rFonts w:cs="Arial"/>
                <w:shd w:val="clear" w:color="auto" w:fill="FFFFFF"/>
              </w:rPr>
              <w:t xml:space="preserve">ulliparous patients delivered of a live term singleton newborn in vertex presentation with </w:t>
            </w:r>
            <w:r w:rsidRPr="009A5185">
              <w:rPr>
                <w:rFonts w:cs="Arial"/>
                <w:b/>
                <w:i/>
                <w:shd w:val="clear" w:color="auto" w:fill="FFFFFF"/>
              </w:rPr>
              <w:t>Excluded populations</w:t>
            </w:r>
            <w:r w:rsidRPr="009A5185">
              <w:rPr>
                <w:rFonts w:cs="Arial"/>
                <w:b/>
                <w:shd w:val="clear" w:color="auto" w:fill="FFFFFF"/>
              </w:rPr>
              <w:t xml:space="preserve"> </w:t>
            </w:r>
            <w:r w:rsidRPr="009A5185">
              <w:rPr>
                <w:rFonts w:cs="Arial"/>
                <w:shd w:val="clear" w:color="auto" w:fill="FFFFFF"/>
              </w:rPr>
              <w:t>removed</w:t>
            </w:r>
            <w:r>
              <w:rPr>
                <w:rFonts w:cs="Arial"/>
                <w:shd w:val="clear" w:color="auto" w:fill="FFFFFF"/>
              </w:rPr>
              <w:t xml:space="preserve"> by the following </w:t>
            </w:r>
            <w:r>
              <w:rPr>
                <w:rFonts w:cs="Arial"/>
              </w:rPr>
              <w:t>races/ethnicities:</w:t>
            </w:r>
          </w:p>
          <w:p w14:paraId="46C1DBBF" w14:textId="77777777" w:rsidR="00835927" w:rsidRPr="004F6B50" w:rsidRDefault="00835927" w:rsidP="00835927">
            <w:pPr>
              <w:pStyle w:val="ListParagraph"/>
              <w:numPr>
                <w:ilvl w:val="0"/>
                <w:numId w:val="195"/>
              </w:numPr>
              <w:rPr>
                <w:rFonts w:cs="Arial"/>
                <w:b/>
                <w:bCs/>
              </w:rPr>
            </w:pPr>
            <w:r>
              <w:rPr>
                <w:rFonts w:cs="Arial"/>
              </w:rPr>
              <w:t>Non-Hispanic White</w:t>
            </w:r>
          </w:p>
          <w:p w14:paraId="1617FA24" w14:textId="77777777" w:rsidR="00835927" w:rsidRPr="004F6B50" w:rsidRDefault="00835927" w:rsidP="00835927">
            <w:pPr>
              <w:pStyle w:val="ListParagraph"/>
              <w:numPr>
                <w:ilvl w:val="0"/>
                <w:numId w:val="195"/>
              </w:numPr>
              <w:rPr>
                <w:rFonts w:cs="Arial"/>
                <w:b/>
                <w:bCs/>
              </w:rPr>
            </w:pPr>
            <w:r>
              <w:rPr>
                <w:rFonts w:cs="Arial"/>
              </w:rPr>
              <w:t>Non-Hispanic Black</w:t>
            </w:r>
          </w:p>
          <w:p w14:paraId="30E4030F" w14:textId="77777777" w:rsidR="00835927" w:rsidRPr="004F6B50" w:rsidRDefault="00835927" w:rsidP="00835927">
            <w:pPr>
              <w:pStyle w:val="ListParagraph"/>
              <w:numPr>
                <w:ilvl w:val="0"/>
                <w:numId w:val="195"/>
              </w:numPr>
              <w:rPr>
                <w:rFonts w:cs="Arial"/>
                <w:b/>
                <w:bCs/>
              </w:rPr>
            </w:pPr>
            <w:r>
              <w:rPr>
                <w:rFonts w:cs="Arial"/>
              </w:rPr>
              <w:t>Non-Hispanic American Indian or Alaska Native</w:t>
            </w:r>
          </w:p>
          <w:p w14:paraId="365610F8" w14:textId="77777777" w:rsidR="00835927" w:rsidRPr="004F6B50" w:rsidRDefault="00835927" w:rsidP="00835927">
            <w:pPr>
              <w:pStyle w:val="ListParagraph"/>
              <w:numPr>
                <w:ilvl w:val="0"/>
                <w:numId w:val="195"/>
              </w:numPr>
              <w:rPr>
                <w:rFonts w:cs="Arial"/>
                <w:b/>
                <w:bCs/>
              </w:rPr>
            </w:pPr>
            <w:r>
              <w:rPr>
                <w:rFonts w:cs="Arial"/>
              </w:rPr>
              <w:t>Non-Hispanic Asian or Pacific Islander</w:t>
            </w:r>
          </w:p>
          <w:p w14:paraId="1ED5CE9D" w14:textId="77777777" w:rsidR="00835927" w:rsidRPr="004F6B50" w:rsidRDefault="00835927" w:rsidP="00835927">
            <w:pPr>
              <w:pStyle w:val="ListParagraph"/>
              <w:numPr>
                <w:ilvl w:val="0"/>
                <w:numId w:val="195"/>
              </w:numPr>
              <w:rPr>
                <w:rFonts w:cs="Arial"/>
                <w:b/>
                <w:bCs/>
              </w:rPr>
            </w:pPr>
            <w:r>
              <w:rPr>
                <w:rFonts w:cs="Arial"/>
              </w:rPr>
              <w:t>Hispanic</w:t>
            </w:r>
          </w:p>
          <w:p w14:paraId="0B6432AF" w14:textId="77777777" w:rsidR="00835927" w:rsidRPr="004F6B50" w:rsidRDefault="00835927" w:rsidP="00835927">
            <w:pPr>
              <w:pStyle w:val="ListParagraph"/>
              <w:numPr>
                <w:ilvl w:val="0"/>
                <w:numId w:val="195"/>
              </w:numPr>
              <w:rPr>
                <w:rFonts w:cs="Arial"/>
                <w:b/>
                <w:bCs/>
              </w:rPr>
            </w:pPr>
            <w:r>
              <w:rPr>
                <w:rFonts w:cs="Arial"/>
              </w:rPr>
              <w:t>Non-Hispanic Other (including two or more races)</w:t>
            </w:r>
          </w:p>
          <w:p w14:paraId="1DF9084B" w14:textId="77777777" w:rsidR="00835927" w:rsidRPr="004F6B50" w:rsidRDefault="00835927" w:rsidP="00835927">
            <w:pPr>
              <w:pStyle w:val="ListParagraph"/>
              <w:numPr>
                <w:ilvl w:val="0"/>
                <w:numId w:val="195"/>
              </w:numPr>
              <w:rPr>
                <w:rFonts w:cs="Arial"/>
                <w:b/>
                <w:bCs/>
              </w:rPr>
            </w:pPr>
            <w:r>
              <w:rPr>
                <w:rFonts w:cs="Arial"/>
              </w:rPr>
              <w:t>Unknown</w:t>
            </w:r>
          </w:p>
          <w:p w14:paraId="75BFD8DE" w14:textId="77777777" w:rsidR="00835927" w:rsidRPr="00F83C07" w:rsidRDefault="00835927" w:rsidP="00835927">
            <w:pPr>
              <w:shd w:val="clear" w:color="auto" w:fill="FFFFFF"/>
              <w:rPr>
                <w:rStyle w:val="Strong"/>
                <w:rFonts w:cs="Arial"/>
                <w:sz w:val="16"/>
                <w:szCs w:val="16"/>
              </w:rPr>
            </w:pPr>
          </w:p>
          <w:p w14:paraId="5BEFC29E" w14:textId="77777777" w:rsidR="00835927" w:rsidRDefault="00835927" w:rsidP="00835927">
            <w:pPr>
              <w:shd w:val="clear" w:color="auto" w:fill="FFFFFF"/>
              <w:rPr>
                <w:rFonts w:ascii="Calibri" w:hAnsi="Calibri"/>
              </w:rPr>
            </w:pPr>
            <w:r>
              <w:rPr>
                <w:color w:val="000000"/>
              </w:rPr>
              <w:t xml:space="preserve">Each patient should only be counted once and included in the appropriate </w:t>
            </w:r>
            <w:r>
              <w:rPr>
                <w:rFonts w:cs="Arial"/>
              </w:rPr>
              <w:t xml:space="preserve">race/ethnicity category </w:t>
            </w:r>
            <w:r>
              <w:rPr>
                <w:color w:val="000000"/>
              </w:rPr>
              <w:t xml:space="preserve">based on known </w:t>
            </w:r>
            <w:r>
              <w:rPr>
                <w:rFonts w:cs="Arial"/>
              </w:rPr>
              <w:t xml:space="preserve">race/ethnicity </w:t>
            </w:r>
            <w:r>
              <w:rPr>
                <w:color w:val="000000"/>
              </w:rPr>
              <w:t xml:space="preserve">information. If race or ethnicity is unknown, include the case in the “Unknown” category. Hispanic patients should be included in the “Hispanic” category regardless of race. If a </w:t>
            </w:r>
            <w:r>
              <w:rPr>
                <w:rFonts w:cs="Arial"/>
              </w:rPr>
              <w:t xml:space="preserve">race/ethnicity </w:t>
            </w:r>
            <w:r>
              <w:rPr>
                <w:color w:val="000000"/>
              </w:rPr>
              <w:t xml:space="preserve">category is not used by your hospital, include the case in the “Unknown” category, i.e., if patients with more than one race are listed as “multiracial” regardless of their ethnicity, include these cases in the “Unknown” category. Hospitals that do not collect all races for patients that identify with multiple races are not able to report. </w:t>
            </w:r>
          </w:p>
          <w:p w14:paraId="180A1EE9" w14:textId="77777777" w:rsidR="00835927" w:rsidRPr="00F83C07" w:rsidRDefault="00835927" w:rsidP="00835927">
            <w:pPr>
              <w:shd w:val="clear" w:color="auto" w:fill="FFFFFF"/>
              <w:rPr>
                <w:sz w:val="16"/>
                <w:szCs w:val="16"/>
              </w:rPr>
            </w:pPr>
          </w:p>
          <w:p w14:paraId="57509F9E" w14:textId="77777777" w:rsidR="00835927" w:rsidRDefault="00835927" w:rsidP="00835927">
            <w:pPr>
              <w:shd w:val="clear" w:color="auto" w:fill="FFFFFF"/>
            </w:pPr>
            <w:r>
              <w:rPr>
                <w:color w:val="000000"/>
              </w:rPr>
              <w:t>Hospitals reporting to U.S. News can use the below crosswalk</w:t>
            </w:r>
            <w:r>
              <w:rPr>
                <w:rFonts w:cs="Arial"/>
              </w:rPr>
              <w:t xml:space="preserve"> </w:t>
            </w:r>
            <w:r>
              <w:rPr>
                <w:color w:val="000000"/>
              </w:rPr>
              <w:t xml:space="preserve">when reporting to Leapfrog. Hospitals using CMQCC can use the below crosswalk or information provided directly in their Leapfrog CMQCC report: </w:t>
            </w:r>
          </w:p>
          <w:p w14:paraId="4B085B78" w14:textId="77777777" w:rsidR="00835927" w:rsidRPr="00F83C07" w:rsidRDefault="00835927" w:rsidP="00835927">
            <w:pPr>
              <w:shd w:val="clear" w:color="auto" w:fill="FFFFFF"/>
              <w:rPr>
                <w:sz w:val="16"/>
                <w:szCs w:val="16"/>
              </w:rPr>
            </w:pPr>
          </w:p>
          <w:tbl>
            <w:tblPr>
              <w:tblW w:w="6652"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17"/>
              <w:gridCol w:w="2217"/>
              <w:gridCol w:w="2218"/>
            </w:tblGrid>
            <w:tr w:rsidR="00835927" w14:paraId="4A98F45E" w14:textId="77777777" w:rsidTr="00835927">
              <w:trPr>
                <w:trHeight w:val="300"/>
              </w:trPr>
              <w:tc>
                <w:tcPr>
                  <w:tcW w:w="2217" w:type="dxa"/>
                  <w:noWrap/>
                  <w:tcMar>
                    <w:top w:w="0" w:type="dxa"/>
                    <w:left w:w="108" w:type="dxa"/>
                    <w:bottom w:w="0" w:type="dxa"/>
                    <w:right w:w="108" w:type="dxa"/>
                  </w:tcMar>
                  <w:hideMark/>
                </w:tcPr>
                <w:p w14:paraId="1AA9FA17" w14:textId="77777777" w:rsidR="00835927" w:rsidRDefault="00835927" w:rsidP="00835927">
                  <w:r>
                    <w:rPr>
                      <w:b/>
                      <w:bCs/>
                    </w:rPr>
                    <w:t>CMQCC Race/Ethnicity</w:t>
                  </w:r>
                </w:p>
              </w:tc>
              <w:tc>
                <w:tcPr>
                  <w:tcW w:w="2217" w:type="dxa"/>
                  <w:tcMar>
                    <w:top w:w="0" w:type="dxa"/>
                    <w:left w:w="108" w:type="dxa"/>
                    <w:bottom w:w="0" w:type="dxa"/>
                    <w:right w:w="108" w:type="dxa"/>
                  </w:tcMar>
                  <w:hideMark/>
                </w:tcPr>
                <w:p w14:paraId="05EC02A0" w14:textId="77777777" w:rsidR="00835927" w:rsidRDefault="00835927" w:rsidP="00835927">
                  <w:r>
                    <w:rPr>
                      <w:b/>
                      <w:bCs/>
                    </w:rPr>
                    <w:t>U.S. News Race/Ethnicity</w:t>
                  </w:r>
                </w:p>
              </w:tc>
              <w:tc>
                <w:tcPr>
                  <w:tcW w:w="2218" w:type="dxa"/>
                  <w:tcMar>
                    <w:top w:w="0" w:type="dxa"/>
                    <w:left w:w="108" w:type="dxa"/>
                    <w:bottom w:w="0" w:type="dxa"/>
                    <w:right w:w="108" w:type="dxa"/>
                  </w:tcMar>
                  <w:hideMark/>
                </w:tcPr>
                <w:p w14:paraId="4A2D656D" w14:textId="77777777" w:rsidR="00835927" w:rsidRDefault="00835927" w:rsidP="00835927">
                  <w:r>
                    <w:rPr>
                      <w:b/>
                      <w:bCs/>
                    </w:rPr>
                    <w:t>Leapfrog Race/Ethnicity</w:t>
                  </w:r>
                </w:p>
              </w:tc>
            </w:tr>
            <w:tr w:rsidR="00835927" w14:paraId="32906270" w14:textId="77777777" w:rsidTr="00835927">
              <w:trPr>
                <w:trHeight w:val="300"/>
              </w:trPr>
              <w:tc>
                <w:tcPr>
                  <w:tcW w:w="2217" w:type="dxa"/>
                  <w:noWrap/>
                  <w:tcMar>
                    <w:top w:w="0" w:type="dxa"/>
                    <w:left w:w="108" w:type="dxa"/>
                    <w:bottom w:w="0" w:type="dxa"/>
                    <w:right w:w="108" w:type="dxa"/>
                  </w:tcMar>
                  <w:vAlign w:val="center"/>
                  <w:hideMark/>
                </w:tcPr>
                <w:p w14:paraId="68E397F5" w14:textId="77777777" w:rsidR="00835927" w:rsidRDefault="00835927" w:rsidP="00835927">
                  <w:r>
                    <w:t>Hispanic-US Born</w:t>
                  </w:r>
                </w:p>
              </w:tc>
              <w:tc>
                <w:tcPr>
                  <w:tcW w:w="2217" w:type="dxa"/>
                  <w:vMerge w:val="restart"/>
                  <w:tcMar>
                    <w:top w:w="0" w:type="dxa"/>
                    <w:left w:w="108" w:type="dxa"/>
                    <w:bottom w:w="0" w:type="dxa"/>
                    <w:right w:w="108" w:type="dxa"/>
                  </w:tcMar>
                  <w:vAlign w:val="center"/>
                  <w:hideMark/>
                </w:tcPr>
                <w:p w14:paraId="7E497BB9" w14:textId="77777777" w:rsidR="00835927" w:rsidRDefault="00835927" w:rsidP="00835927">
                  <w:r>
                    <w:t>Hispanic or Latino</w:t>
                  </w:r>
                </w:p>
              </w:tc>
              <w:tc>
                <w:tcPr>
                  <w:tcW w:w="2218" w:type="dxa"/>
                  <w:vMerge w:val="restart"/>
                  <w:tcMar>
                    <w:top w:w="0" w:type="dxa"/>
                    <w:left w:w="108" w:type="dxa"/>
                    <w:bottom w:w="0" w:type="dxa"/>
                    <w:right w:w="108" w:type="dxa"/>
                  </w:tcMar>
                  <w:vAlign w:val="center"/>
                  <w:hideMark/>
                </w:tcPr>
                <w:p w14:paraId="641C73B9" w14:textId="77777777" w:rsidR="00835927" w:rsidRDefault="00835927" w:rsidP="00835927">
                  <w:r>
                    <w:t>Hispanic</w:t>
                  </w:r>
                </w:p>
              </w:tc>
            </w:tr>
            <w:tr w:rsidR="00835927" w14:paraId="4A46DFD2" w14:textId="77777777" w:rsidTr="00835927">
              <w:trPr>
                <w:trHeight w:val="300"/>
              </w:trPr>
              <w:tc>
                <w:tcPr>
                  <w:tcW w:w="2217" w:type="dxa"/>
                  <w:noWrap/>
                  <w:tcMar>
                    <w:top w:w="0" w:type="dxa"/>
                    <w:left w:w="108" w:type="dxa"/>
                    <w:bottom w:w="0" w:type="dxa"/>
                    <w:right w:w="108" w:type="dxa"/>
                  </w:tcMar>
                  <w:vAlign w:val="center"/>
                  <w:hideMark/>
                </w:tcPr>
                <w:p w14:paraId="681D418B" w14:textId="77777777" w:rsidR="00835927" w:rsidRDefault="00835927" w:rsidP="00835927">
                  <w:r>
                    <w:t>Hispanic Non-US Born</w:t>
                  </w:r>
                </w:p>
              </w:tc>
              <w:tc>
                <w:tcPr>
                  <w:tcW w:w="2217" w:type="dxa"/>
                  <w:vMerge/>
                  <w:vAlign w:val="center"/>
                  <w:hideMark/>
                </w:tcPr>
                <w:p w14:paraId="4568700D" w14:textId="77777777" w:rsidR="00835927" w:rsidRDefault="00835927" w:rsidP="00835927">
                  <w:pPr>
                    <w:rPr>
                      <w:rFonts w:ascii="Calibri" w:eastAsiaTheme="minorHAnsi" w:hAnsi="Calibri" w:cs="Calibri"/>
                      <w14:ligatures w14:val="standardContextual"/>
                    </w:rPr>
                  </w:pPr>
                </w:p>
              </w:tc>
              <w:tc>
                <w:tcPr>
                  <w:tcW w:w="2218" w:type="dxa"/>
                  <w:vMerge/>
                  <w:vAlign w:val="center"/>
                  <w:hideMark/>
                </w:tcPr>
                <w:p w14:paraId="529F748B" w14:textId="77777777" w:rsidR="00835927" w:rsidRDefault="00835927" w:rsidP="00835927">
                  <w:pPr>
                    <w:rPr>
                      <w:rFonts w:ascii="Calibri" w:eastAsiaTheme="minorHAnsi" w:hAnsi="Calibri" w:cs="Calibri"/>
                      <w14:ligatures w14:val="standardContextual"/>
                    </w:rPr>
                  </w:pPr>
                </w:p>
              </w:tc>
            </w:tr>
            <w:tr w:rsidR="00835927" w14:paraId="719E0F53" w14:textId="77777777" w:rsidTr="00835927">
              <w:trPr>
                <w:trHeight w:val="300"/>
              </w:trPr>
              <w:tc>
                <w:tcPr>
                  <w:tcW w:w="2217" w:type="dxa"/>
                  <w:vMerge w:val="restart"/>
                  <w:noWrap/>
                  <w:tcMar>
                    <w:top w:w="0" w:type="dxa"/>
                    <w:left w:w="108" w:type="dxa"/>
                    <w:bottom w:w="0" w:type="dxa"/>
                    <w:right w:w="108" w:type="dxa"/>
                  </w:tcMar>
                  <w:vAlign w:val="center"/>
                  <w:hideMark/>
                </w:tcPr>
                <w:p w14:paraId="1C0567A3" w14:textId="77777777" w:rsidR="00835927" w:rsidRDefault="00835927" w:rsidP="00835927">
                  <w:r>
                    <w:t>White</w:t>
                  </w:r>
                </w:p>
              </w:tc>
              <w:tc>
                <w:tcPr>
                  <w:tcW w:w="2217" w:type="dxa"/>
                  <w:tcMar>
                    <w:top w:w="0" w:type="dxa"/>
                    <w:left w:w="108" w:type="dxa"/>
                    <w:bottom w:w="0" w:type="dxa"/>
                    <w:right w:w="108" w:type="dxa"/>
                  </w:tcMar>
                  <w:vAlign w:val="center"/>
                  <w:hideMark/>
                </w:tcPr>
                <w:p w14:paraId="1665A4B8" w14:textId="77777777" w:rsidR="00835927" w:rsidRDefault="00835927" w:rsidP="00835927">
                  <w:r>
                    <w:t>White</w:t>
                  </w:r>
                </w:p>
              </w:tc>
              <w:tc>
                <w:tcPr>
                  <w:tcW w:w="2218" w:type="dxa"/>
                  <w:vMerge w:val="restart"/>
                  <w:tcMar>
                    <w:top w:w="0" w:type="dxa"/>
                    <w:left w:w="108" w:type="dxa"/>
                    <w:bottom w:w="0" w:type="dxa"/>
                    <w:right w:w="108" w:type="dxa"/>
                  </w:tcMar>
                  <w:vAlign w:val="center"/>
                  <w:hideMark/>
                </w:tcPr>
                <w:p w14:paraId="546CEBC7" w14:textId="77777777" w:rsidR="00835927" w:rsidRDefault="00835927" w:rsidP="00835927">
                  <w:r>
                    <w:t>Non-Hispanic White</w:t>
                  </w:r>
                </w:p>
              </w:tc>
            </w:tr>
            <w:tr w:rsidR="00835927" w14:paraId="6DD203E6" w14:textId="77777777" w:rsidTr="00835927">
              <w:trPr>
                <w:trHeight w:val="300"/>
              </w:trPr>
              <w:tc>
                <w:tcPr>
                  <w:tcW w:w="2217" w:type="dxa"/>
                  <w:vMerge/>
                  <w:noWrap/>
                  <w:tcMar>
                    <w:top w:w="0" w:type="dxa"/>
                    <w:left w:w="108" w:type="dxa"/>
                    <w:bottom w:w="0" w:type="dxa"/>
                    <w:right w:w="108" w:type="dxa"/>
                  </w:tcMar>
                  <w:vAlign w:val="center"/>
                </w:tcPr>
                <w:p w14:paraId="57BEE1C8" w14:textId="77777777" w:rsidR="00835927" w:rsidRDefault="00835927" w:rsidP="00835927"/>
              </w:tc>
              <w:tc>
                <w:tcPr>
                  <w:tcW w:w="2217" w:type="dxa"/>
                  <w:tcMar>
                    <w:top w:w="0" w:type="dxa"/>
                    <w:left w:w="108" w:type="dxa"/>
                    <w:bottom w:w="0" w:type="dxa"/>
                    <w:right w:w="108" w:type="dxa"/>
                  </w:tcMar>
                  <w:vAlign w:val="center"/>
                </w:tcPr>
                <w:p w14:paraId="50E88E98" w14:textId="77777777" w:rsidR="00835927" w:rsidRDefault="00835927" w:rsidP="00835927">
                  <w:r>
                    <w:t>Middle Eastern or North African</w:t>
                  </w:r>
                </w:p>
              </w:tc>
              <w:tc>
                <w:tcPr>
                  <w:tcW w:w="2218" w:type="dxa"/>
                  <w:vMerge/>
                  <w:tcMar>
                    <w:top w:w="0" w:type="dxa"/>
                    <w:left w:w="108" w:type="dxa"/>
                    <w:bottom w:w="0" w:type="dxa"/>
                    <w:right w:w="108" w:type="dxa"/>
                  </w:tcMar>
                  <w:vAlign w:val="center"/>
                </w:tcPr>
                <w:p w14:paraId="04B34E5D" w14:textId="77777777" w:rsidR="00835927" w:rsidRDefault="00835927" w:rsidP="00835927"/>
              </w:tc>
            </w:tr>
            <w:tr w:rsidR="00835927" w14:paraId="032239CC" w14:textId="77777777" w:rsidTr="00835927">
              <w:trPr>
                <w:trHeight w:val="300"/>
              </w:trPr>
              <w:tc>
                <w:tcPr>
                  <w:tcW w:w="2217" w:type="dxa"/>
                  <w:noWrap/>
                  <w:tcMar>
                    <w:top w:w="0" w:type="dxa"/>
                    <w:left w:w="108" w:type="dxa"/>
                    <w:bottom w:w="0" w:type="dxa"/>
                    <w:right w:w="108" w:type="dxa"/>
                  </w:tcMar>
                  <w:vAlign w:val="center"/>
                  <w:hideMark/>
                </w:tcPr>
                <w:p w14:paraId="2CEC7EA6" w14:textId="77777777" w:rsidR="00835927" w:rsidRDefault="00835927" w:rsidP="00835927">
                  <w:r>
                    <w:t>Black</w:t>
                  </w:r>
                </w:p>
              </w:tc>
              <w:tc>
                <w:tcPr>
                  <w:tcW w:w="2217" w:type="dxa"/>
                  <w:tcMar>
                    <w:top w:w="0" w:type="dxa"/>
                    <w:left w:w="108" w:type="dxa"/>
                    <w:bottom w:w="0" w:type="dxa"/>
                    <w:right w:w="108" w:type="dxa"/>
                  </w:tcMar>
                  <w:vAlign w:val="center"/>
                  <w:hideMark/>
                </w:tcPr>
                <w:p w14:paraId="07C375F5" w14:textId="77777777" w:rsidR="00835927" w:rsidRDefault="00835927" w:rsidP="00835927">
                  <w:r>
                    <w:t>Black or African American</w:t>
                  </w:r>
                </w:p>
              </w:tc>
              <w:tc>
                <w:tcPr>
                  <w:tcW w:w="2218" w:type="dxa"/>
                  <w:tcMar>
                    <w:top w:w="0" w:type="dxa"/>
                    <w:left w:w="108" w:type="dxa"/>
                    <w:bottom w:w="0" w:type="dxa"/>
                    <w:right w:w="108" w:type="dxa"/>
                  </w:tcMar>
                  <w:vAlign w:val="center"/>
                  <w:hideMark/>
                </w:tcPr>
                <w:p w14:paraId="7090EEB3" w14:textId="77777777" w:rsidR="00835927" w:rsidRDefault="00835927" w:rsidP="00835927">
                  <w:r>
                    <w:t>Non-Hispanic Black</w:t>
                  </w:r>
                </w:p>
              </w:tc>
            </w:tr>
            <w:tr w:rsidR="00835927" w14:paraId="78FA4F59" w14:textId="77777777" w:rsidTr="00835927">
              <w:trPr>
                <w:trHeight w:val="300"/>
              </w:trPr>
              <w:tc>
                <w:tcPr>
                  <w:tcW w:w="2217" w:type="dxa"/>
                  <w:noWrap/>
                  <w:tcMar>
                    <w:top w:w="0" w:type="dxa"/>
                    <w:left w:w="108" w:type="dxa"/>
                    <w:bottom w:w="0" w:type="dxa"/>
                    <w:right w:w="108" w:type="dxa"/>
                  </w:tcMar>
                  <w:vAlign w:val="center"/>
                  <w:hideMark/>
                </w:tcPr>
                <w:p w14:paraId="531008D2" w14:textId="77777777" w:rsidR="00835927" w:rsidRDefault="00835927" w:rsidP="00835927">
                  <w:r>
                    <w:lastRenderedPageBreak/>
                    <w:t>Asian</w:t>
                  </w:r>
                </w:p>
              </w:tc>
              <w:tc>
                <w:tcPr>
                  <w:tcW w:w="2217" w:type="dxa"/>
                  <w:tcMar>
                    <w:top w:w="0" w:type="dxa"/>
                    <w:left w:w="108" w:type="dxa"/>
                    <w:bottom w:w="0" w:type="dxa"/>
                    <w:right w:w="108" w:type="dxa"/>
                  </w:tcMar>
                  <w:vAlign w:val="center"/>
                  <w:hideMark/>
                </w:tcPr>
                <w:p w14:paraId="292F4599" w14:textId="77777777" w:rsidR="00835927" w:rsidRDefault="00835927" w:rsidP="00835927">
                  <w:r>
                    <w:t xml:space="preserve">Asian </w:t>
                  </w:r>
                </w:p>
              </w:tc>
              <w:tc>
                <w:tcPr>
                  <w:tcW w:w="2218" w:type="dxa"/>
                  <w:vMerge w:val="restart"/>
                  <w:tcMar>
                    <w:top w:w="0" w:type="dxa"/>
                    <w:left w:w="108" w:type="dxa"/>
                    <w:bottom w:w="0" w:type="dxa"/>
                    <w:right w:w="108" w:type="dxa"/>
                  </w:tcMar>
                  <w:vAlign w:val="center"/>
                  <w:hideMark/>
                </w:tcPr>
                <w:p w14:paraId="158DB8E1" w14:textId="77777777" w:rsidR="00835927" w:rsidRDefault="00835927" w:rsidP="00835927">
                  <w:r>
                    <w:t>Non-Hispanic Asian or Pacific Islander</w:t>
                  </w:r>
                </w:p>
              </w:tc>
            </w:tr>
            <w:tr w:rsidR="00835927" w14:paraId="71D89960" w14:textId="77777777" w:rsidTr="00835927">
              <w:trPr>
                <w:trHeight w:val="300"/>
              </w:trPr>
              <w:tc>
                <w:tcPr>
                  <w:tcW w:w="2217" w:type="dxa"/>
                  <w:noWrap/>
                  <w:tcMar>
                    <w:top w:w="0" w:type="dxa"/>
                    <w:left w:w="108" w:type="dxa"/>
                    <w:bottom w:w="0" w:type="dxa"/>
                    <w:right w:w="108" w:type="dxa"/>
                  </w:tcMar>
                  <w:vAlign w:val="center"/>
                </w:tcPr>
                <w:p w14:paraId="35C311B4" w14:textId="77777777" w:rsidR="00835927" w:rsidRDefault="00835927" w:rsidP="00835927">
                  <w:r>
                    <w:t>Pacific Islander</w:t>
                  </w:r>
                </w:p>
              </w:tc>
              <w:tc>
                <w:tcPr>
                  <w:tcW w:w="2217" w:type="dxa"/>
                  <w:tcMar>
                    <w:top w:w="0" w:type="dxa"/>
                    <w:left w:w="108" w:type="dxa"/>
                    <w:bottom w:w="0" w:type="dxa"/>
                    <w:right w:w="108" w:type="dxa"/>
                  </w:tcMar>
                  <w:vAlign w:val="center"/>
                </w:tcPr>
                <w:p w14:paraId="178AF059" w14:textId="77777777" w:rsidR="00835927" w:rsidRDefault="00835927" w:rsidP="00835927">
                  <w:r>
                    <w:t>Native Hawaiian or Pacific Islander</w:t>
                  </w:r>
                </w:p>
              </w:tc>
              <w:tc>
                <w:tcPr>
                  <w:tcW w:w="2218" w:type="dxa"/>
                  <w:vMerge/>
                  <w:tcMar>
                    <w:top w:w="0" w:type="dxa"/>
                    <w:left w:w="108" w:type="dxa"/>
                    <w:bottom w:w="0" w:type="dxa"/>
                    <w:right w:w="108" w:type="dxa"/>
                  </w:tcMar>
                  <w:vAlign w:val="center"/>
                </w:tcPr>
                <w:p w14:paraId="48334486" w14:textId="77777777" w:rsidR="00835927" w:rsidRDefault="00835927" w:rsidP="00835927"/>
              </w:tc>
            </w:tr>
            <w:tr w:rsidR="00835927" w14:paraId="1E0DDD6A" w14:textId="77777777" w:rsidTr="00835927">
              <w:trPr>
                <w:trHeight w:val="300"/>
              </w:trPr>
              <w:tc>
                <w:tcPr>
                  <w:tcW w:w="2217" w:type="dxa"/>
                  <w:noWrap/>
                  <w:tcMar>
                    <w:top w:w="0" w:type="dxa"/>
                    <w:left w:w="108" w:type="dxa"/>
                    <w:bottom w:w="0" w:type="dxa"/>
                    <w:right w:w="108" w:type="dxa"/>
                  </w:tcMar>
                  <w:vAlign w:val="center"/>
                  <w:hideMark/>
                </w:tcPr>
                <w:p w14:paraId="1D80E9C5" w14:textId="77777777" w:rsidR="00835927" w:rsidRDefault="00835927" w:rsidP="00835927">
                  <w:r>
                    <w:t>Native American (American Indian or Alaska Native)</w:t>
                  </w:r>
                </w:p>
              </w:tc>
              <w:tc>
                <w:tcPr>
                  <w:tcW w:w="2217" w:type="dxa"/>
                  <w:tcMar>
                    <w:top w:w="0" w:type="dxa"/>
                    <w:left w:w="108" w:type="dxa"/>
                    <w:bottom w:w="0" w:type="dxa"/>
                    <w:right w:w="108" w:type="dxa"/>
                  </w:tcMar>
                  <w:vAlign w:val="center"/>
                  <w:hideMark/>
                </w:tcPr>
                <w:p w14:paraId="7594E1A3" w14:textId="77777777" w:rsidR="00835927" w:rsidRDefault="00835927" w:rsidP="00835927">
                  <w:r w:rsidRPr="002F7750">
                    <w:t>American Indian or Alaska Native</w:t>
                  </w:r>
                </w:p>
              </w:tc>
              <w:tc>
                <w:tcPr>
                  <w:tcW w:w="2218" w:type="dxa"/>
                  <w:tcMar>
                    <w:top w:w="0" w:type="dxa"/>
                    <w:left w:w="108" w:type="dxa"/>
                    <w:bottom w:w="0" w:type="dxa"/>
                    <w:right w:w="108" w:type="dxa"/>
                  </w:tcMar>
                  <w:vAlign w:val="center"/>
                  <w:hideMark/>
                </w:tcPr>
                <w:p w14:paraId="6BA11775" w14:textId="77777777" w:rsidR="00835927" w:rsidRDefault="00835927" w:rsidP="00835927">
                  <w:r w:rsidRPr="002F7750">
                    <w:t>Non-Hispanic American Indian or Alaska Native</w:t>
                  </w:r>
                </w:p>
              </w:tc>
            </w:tr>
            <w:tr w:rsidR="00835927" w14:paraId="5FEEADBF" w14:textId="77777777" w:rsidTr="00835927">
              <w:trPr>
                <w:trHeight w:val="300"/>
              </w:trPr>
              <w:tc>
                <w:tcPr>
                  <w:tcW w:w="2217" w:type="dxa"/>
                  <w:noWrap/>
                  <w:tcMar>
                    <w:top w:w="0" w:type="dxa"/>
                    <w:left w:w="108" w:type="dxa"/>
                    <w:bottom w:w="0" w:type="dxa"/>
                    <w:right w:w="108" w:type="dxa"/>
                  </w:tcMar>
                </w:tcPr>
                <w:p w14:paraId="14F3F35E" w14:textId="77777777" w:rsidR="00835927" w:rsidRDefault="00835927" w:rsidP="00835927">
                  <w:r>
                    <w:t>Other</w:t>
                  </w:r>
                </w:p>
              </w:tc>
              <w:tc>
                <w:tcPr>
                  <w:tcW w:w="2217" w:type="dxa"/>
                  <w:tcMar>
                    <w:top w:w="0" w:type="dxa"/>
                    <w:left w:w="108" w:type="dxa"/>
                    <w:bottom w:w="0" w:type="dxa"/>
                    <w:right w:w="108" w:type="dxa"/>
                  </w:tcMar>
                </w:tcPr>
                <w:p w14:paraId="6DCC180A" w14:textId="77777777" w:rsidR="00835927" w:rsidRPr="002F7750" w:rsidRDefault="00835927" w:rsidP="00835927">
                  <w:r>
                    <w:t>N/A</w:t>
                  </w:r>
                </w:p>
              </w:tc>
              <w:tc>
                <w:tcPr>
                  <w:tcW w:w="2218" w:type="dxa"/>
                  <w:vMerge w:val="restart"/>
                  <w:tcMar>
                    <w:top w:w="0" w:type="dxa"/>
                    <w:left w:w="108" w:type="dxa"/>
                    <w:bottom w:w="0" w:type="dxa"/>
                    <w:right w:w="108" w:type="dxa"/>
                  </w:tcMar>
                </w:tcPr>
                <w:p w14:paraId="49C32EFE" w14:textId="77777777" w:rsidR="00835927" w:rsidRPr="002F7750" w:rsidRDefault="00835927" w:rsidP="00835927">
                  <w:r w:rsidRPr="00364FF4">
                    <w:t>Non-Hispanic Other (including two or more races)</w:t>
                  </w:r>
                  <w:r>
                    <w:t xml:space="preserve"> </w:t>
                  </w:r>
                </w:p>
              </w:tc>
            </w:tr>
            <w:tr w:rsidR="00835927" w14:paraId="7509CE87" w14:textId="77777777" w:rsidTr="00835927">
              <w:trPr>
                <w:trHeight w:val="300"/>
              </w:trPr>
              <w:tc>
                <w:tcPr>
                  <w:tcW w:w="2217" w:type="dxa"/>
                  <w:noWrap/>
                  <w:tcMar>
                    <w:top w:w="0" w:type="dxa"/>
                    <w:left w:w="108" w:type="dxa"/>
                    <w:bottom w:w="0" w:type="dxa"/>
                    <w:right w:w="108" w:type="dxa"/>
                  </w:tcMar>
                  <w:vAlign w:val="center"/>
                  <w:hideMark/>
                </w:tcPr>
                <w:p w14:paraId="628C72AB" w14:textId="77777777" w:rsidR="00835927" w:rsidRDefault="00835927" w:rsidP="00835927">
                  <w:r>
                    <w:t>Multiracial</w:t>
                  </w:r>
                </w:p>
              </w:tc>
              <w:tc>
                <w:tcPr>
                  <w:tcW w:w="2217" w:type="dxa"/>
                  <w:tcMar>
                    <w:top w:w="0" w:type="dxa"/>
                    <w:left w:w="108" w:type="dxa"/>
                    <w:bottom w:w="0" w:type="dxa"/>
                    <w:right w:w="108" w:type="dxa"/>
                  </w:tcMar>
                  <w:vAlign w:val="center"/>
                  <w:hideMark/>
                </w:tcPr>
                <w:p w14:paraId="4117F4BF" w14:textId="77777777" w:rsidR="00835927" w:rsidRDefault="00835927" w:rsidP="00835927">
                  <w:r>
                    <w:t>Multiracial and/or Multiethnic</w:t>
                  </w:r>
                </w:p>
              </w:tc>
              <w:tc>
                <w:tcPr>
                  <w:tcW w:w="2218" w:type="dxa"/>
                  <w:vMerge/>
                  <w:tcMar>
                    <w:top w:w="0" w:type="dxa"/>
                    <w:left w:w="108" w:type="dxa"/>
                    <w:bottom w:w="0" w:type="dxa"/>
                    <w:right w:w="108" w:type="dxa"/>
                  </w:tcMar>
                  <w:vAlign w:val="center"/>
                  <w:hideMark/>
                </w:tcPr>
                <w:p w14:paraId="4F150912" w14:textId="77777777" w:rsidR="00835927" w:rsidRDefault="00835927" w:rsidP="00835927"/>
              </w:tc>
            </w:tr>
            <w:tr w:rsidR="00835927" w14:paraId="19564DDF" w14:textId="77777777" w:rsidTr="00835927">
              <w:trPr>
                <w:trHeight w:val="300"/>
              </w:trPr>
              <w:tc>
                <w:tcPr>
                  <w:tcW w:w="2217" w:type="dxa"/>
                  <w:noWrap/>
                  <w:tcMar>
                    <w:top w:w="0" w:type="dxa"/>
                    <w:left w:w="108" w:type="dxa"/>
                    <w:bottom w:w="0" w:type="dxa"/>
                    <w:right w:w="108" w:type="dxa"/>
                  </w:tcMar>
                </w:tcPr>
                <w:p w14:paraId="14450CD4" w14:textId="77777777" w:rsidR="00835927" w:rsidRDefault="00835927" w:rsidP="00835927">
                  <w:r>
                    <w:t xml:space="preserve">Unknown </w:t>
                  </w:r>
                </w:p>
              </w:tc>
              <w:tc>
                <w:tcPr>
                  <w:tcW w:w="2217" w:type="dxa"/>
                  <w:tcMar>
                    <w:top w:w="0" w:type="dxa"/>
                    <w:left w:w="108" w:type="dxa"/>
                    <w:bottom w:w="0" w:type="dxa"/>
                    <w:right w:w="108" w:type="dxa"/>
                  </w:tcMar>
                </w:tcPr>
                <w:p w14:paraId="3809D731" w14:textId="77777777" w:rsidR="00835927" w:rsidRDefault="00835927" w:rsidP="00835927">
                  <w:r>
                    <w:t>Unknown</w:t>
                  </w:r>
                </w:p>
              </w:tc>
              <w:tc>
                <w:tcPr>
                  <w:tcW w:w="2218" w:type="dxa"/>
                  <w:tcMar>
                    <w:top w:w="0" w:type="dxa"/>
                    <w:left w:w="108" w:type="dxa"/>
                    <w:bottom w:w="0" w:type="dxa"/>
                    <w:right w:w="108" w:type="dxa"/>
                  </w:tcMar>
                </w:tcPr>
                <w:p w14:paraId="6C9132CA" w14:textId="77777777" w:rsidR="00835927" w:rsidRDefault="00835927" w:rsidP="00835927">
                  <w:r>
                    <w:t>Unknown</w:t>
                  </w:r>
                </w:p>
              </w:tc>
            </w:tr>
          </w:tbl>
          <w:p w14:paraId="1EF61970" w14:textId="77777777" w:rsidR="00835927" w:rsidRPr="00F83C07" w:rsidRDefault="00835927" w:rsidP="00835927">
            <w:pPr>
              <w:shd w:val="clear" w:color="auto" w:fill="FFFFFF"/>
              <w:rPr>
                <w:rStyle w:val="Strong"/>
                <w:rFonts w:cs="Arial"/>
                <w:sz w:val="16"/>
                <w:szCs w:val="16"/>
              </w:rPr>
            </w:pPr>
          </w:p>
          <w:p w14:paraId="623AA4B8" w14:textId="77777777" w:rsidR="00835927" w:rsidRPr="009A5185" w:rsidRDefault="00835927" w:rsidP="00835927">
            <w:pPr>
              <w:shd w:val="clear" w:color="auto" w:fill="FFFFFF"/>
              <w:rPr>
                <w:rStyle w:val="Strong"/>
                <w:rFonts w:cs="Arial"/>
                <w:b w:val="0"/>
                <w:i/>
              </w:rPr>
            </w:pPr>
            <w:r w:rsidRPr="009A5185">
              <w:rPr>
                <w:rFonts w:cs="Arial"/>
                <w:bCs/>
                <w:i/>
              </w:rPr>
              <w:t>Note: The denominator should include both</w:t>
            </w:r>
            <w:r w:rsidRPr="009A5185">
              <w:rPr>
                <w:rFonts w:cs="Arial"/>
                <w:i/>
              </w:rPr>
              <w:t> nulliparous mothers with a live term singleton newborn in vertex presentation that had their newborn delivered via cesarean section </w:t>
            </w:r>
            <w:r w:rsidRPr="009A5185">
              <w:rPr>
                <w:rFonts w:cs="Arial"/>
                <w:bCs/>
                <w:i/>
              </w:rPr>
              <w:t>and</w:t>
            </w:r>
            <w:r w:rsidRPr="009A5185">
              <w:rPr>
                <w:rFonts w:cs="Arial"/>
                <w:i/>
              </w:rPr>
              <w:t> nulliparous mothers that delivered vaginally.</w:t>
            </w:r>
          </w:p>
          <w:p w14:paraId="7ECE082C" w14:textId="77777777" w:rsidR="00835927" w:rsidRPr="00F83C07" w:rsidRDefault="00835927" w:rsidP="00835927">
            <w:pPr>
              <w:shd w:val="clear" w:color="auto" w:fill="FFFFFF"/>
              <w:rPr>
                <w:rStyle w:val="Strong"/>
                <w:rFonts w:cs="Arial"/>
                <w:sz w:val="16"/>
                <w:szCs w:val="16"/>
              </w:rPr>
            </w:pPr>
          </w:p>
          <w:p w14:paraId="411C7E50" w14:textId="77777777" w:rsidR="00835927" w:rsidRPr="009A5185" w:rsidRDefault="00835927" w:rsidP="00835927">
            <w:pPr>
              <w:shd w:val="clear" w:color="auto" w:fill="FFFFFF"/>
              <w:rPr>
                <w:rStyle w:val="apple-converted-space"/>
                <w:rFonts w:cs="Arial"/>
              </w:rPr>
            </w:pPr>
            <w:r w:rsidRPr="009A5185">
              <w:rPr>
                <w:rStyle w:val="Strong"/>
                <w:rFonts w:cs="Arial"/>
              </w:rPr>
              <w:t>Included Populations:</w:t>
            </w:r>
            <w:r w:rsidRPr="009A5185">
              <w:rPr>
                <w:rStyle w:val="apple-converted-space"/>
                <w:rFonts w:cs="Arial"/>
              </w:rPr>
              <w:t> </w:t>
            </w:r>
          </w:p>
          <w:p w14:paraId="7D26A67D" w14:textId="62C6C118" w:rsidR="00835927" w:rsidRPr="009A5185" w:rsidRDefault="00835927" w:rsidP="00835927">
            <w:pPr>
              <w:pStyle w:val="ListParagraph"/>
              <w:numPr>
                <w:ilvl w:val="0"/>
                <w:numId w:val="18"/>
              </w:numPr>
              <w:autoSpaceDE w:val="0"/>
              <w:autoSpaceDN w:val="0"/>
              <w:adjustRightInd w:val="0"/>
              <w:rPr>
                <w:rFonts w:cs="Arial"/>
              </w:rPr>
            </w:pPr>
            <w:r w:rsidRPr="009A5185">
              <w:rPr>
                <w:rFonts w:cs="Arial"/>
                <w:i/>
              </w:rPr>
              <w:t xml:space="preserve">ICD-10-PCS Principal Procedure Code or ICD-10-PCS Other Procedure Codes </w:t>
            </w:r>
            <w:r w:rsidRPr="009A5185">
              <w:rPr>
                <w:rFonts w:cs="Arial"/>
              </w:rPr>
              <w:t xml:space="preserve">for delivery as defined in Appendix A, Table </w:t>
            </w:r>
            <w:hyperlink r:id="rId297" w:anchor="Table_Number_11.01.1:_Delivery" w:history="1">
              <w:r>
                <w:rPr>
                  <w:rStyle w:val="Hyperlink"/>
                  <w:rFonts w:cs="Arial"/>
                </w:rPr>
                <w:t>11.01.1 Delivery</w:t>
              </w:r>
            </w:hyperlink>
            <w:r w:rsidRPr="009A5185">
              <w:rPr>
                <w:rFonts w:cs="Arial"/>
              </w:rPr>
              <w:t>.</w:t>
            </w:r>
          </w:p>
          <w:p w14:paraId="1220478E" w14:textId="5401A042" w:rsidR="00D543B8" w:rsidRPr="00C5453C" w:rsidRDefault="00835927" w:rsidP="00835927">
            <w:pPr>
              <w:pStyle w:val="ListParagraph"/>
              <w:numPr>
                <w:ilvl w:val="0"/>
                <w:numId w:val="18"/>
              </w:numPr>
              <w:autoSpaceDE w:val="0"/>
              <w:autoSpaceDN w:val="0"/>
              <w:adjustRightInd w:val="0"/>
              <w:spacing w:before="200" w:after="200"/>
              <w:rPr>
                <w:rFonts w:cs="Arial"/>
              </w:rPr>
            </w:pPr>
            <w:r w:rsidRPr="009A5185">
              <w:rPr>
                <w:rFonts w:cs="Arial"/>
              </w:rPr>
              <w:t>Nulliparous patients with</w:t>
            </w:r>
            <w:r w:rsidRPr="009A5185">
              <w:rPr>
                <w:rStyle w:val="apple-converted-space"/>
                <w:rFonts w:cs="Arial"/>
              </w:rPr>
              <w:t> </w:t>
            </w:r>
            <w:r w:rsidRPr="009A5185">
              <w:rPr>
                <w:rStyle w:val="Emphasis"/>
                <w:rFonts w:cs="Arial"/>
              </w:rPr>
              <w:t xml:space="preserve">ICD-10-CM Principal Diagnosis Code or ICD-10-CM Other Diagnosis Codes </w:t>
            </w:r>
            <w:r w:rsidRPr="009A5185">
              <w:rPr>
                <w:rFonts w:cs="Arial"/>
              </w:rPr>
              <w:t xml:space="preserve">for outcome of delivery as defined in Appendix A, Table </w:t>
            </w:r>
            <w:hyperlink r:id="rId298" w:anchor="Table_Number_11.08:_Outcome_of_Delivery" w:history="1">
              <w:r>
                <w:rPr>
                  <w:rStyle w:val="Hyperlink"/>
                  <w:rFonts w:cs="Arial"/>
                </w:rPr>
                <w:t>11.08 Outcome of Delivery</w:t>
              </w:r>
            </w:hyperlink>
            <w:r w:rsidRPr="009A5185">
              <w:rPr>
                <w:rFonts w:cs="Arial"/>
              </w:rPr>
              <w:t xml:space="preserve"> and with a delivery of a newborn with 37 weeks or more of gestation completed. </w:t>
            </w:r>
          </w:p>
          <w:p w14:paraId="3F159DCF" w14:textId="7307ED1C" w:rsidR="00835927" w:rsidRPr="009A5185" w:rsidRDefault="00835927" w:rsidP="00835927">
            <w:pPr>
              <w:autoSpaceDE w:val="0"/>
              <w:autoSpaceDN w:val="0"/>
              <w:adjustRightInd w:val="0"/>
              <w:rPr>
                <w:rFonts w:cs="Arial"/>
                <w:b/>
              </w:rPr>
            </w:pPr>
            <w:r w:rsidRPr="009A5185">
              <w:rPr>
                <w:rFonts w:cs="Arial"/>
                <w:b/>
              </w:rPr>
              <w:t xml:space="preserve">Excluded Populations: </w:t>
            </w:r>
          </w:p>
          <w:p w14:paraId="3B53DB4D" w14:textId="11FE103A" w:rsidR="00835927" w:rsidRPr="009A5185" w:rsidRDefault="00835927" w:rsidP="00835927">
            <w:pPr>
              <w:pStyle w:val="ListParagraph"/>
              <w:numPr>
                <w:ilvl w:val="0"/>
                <w:numId w:val="18"/>
              </w:numPr>
              <w:autoSpaceDE w:val="0"/>
              <w:autoSpaceDN w:val="0"/>
              <w:adjustRightInd w:val="0"/>
              <w:rPr>
                <w:rFonts w:cs="Arial"/>
              </w:rPr>
            </w:pPr>
            <w:r w:rsidRPr="009A5185">
              <w:rPr>
                <w:rStyle w:val="Emphasis"/>
                <w:rFonts w:cs="Arial"/>
              </w:rPr>
              <w:t>ICD-10-CM Principal Diagnosis Code or ICD-10-CM Other Diagnosis Codes</w:t>
            </w:r>
            <w:r w:rsidRPr="009A5185">
              <w:rPr>
                <w:rFonts w:cs="Arial"/>
              </w:rPr>
              <w:t xml:space="preserve"> for multiple gestations</w:t>
            </w:r>
            <w:r>
              <w:rPr>
                <w:rFonts w:cs="Arial"/>
              </w:rPr>
              <w:t>, abnormal presentations, and conditions justifying cesarean delivery</w:t>
            </w:r>
            <w:r w:rsidRPr="009A5185">
              <w:rPr>
                <w:rFonts w:cs="Arial"/>
              </w:rPr>
              <w:t xml:space="preserve"> as defined in Appendix A, Table </w:t>
            </w:r>
            <w:hyperlink r:id="rId299" w:anchor="Table_Number_11.09:_Multiple_Gestations_44_Abnormal_Presentations_44_and_Conditions_Justifying_Cesarean_Delivery" w:history="1">
              <w:r>
                <w:rPr>
                  <w:rStyle w:val="Hyperlink"/>
                  <w:rFonts w:cs="Arial"/>
                </w:rPr>
                <w:t>11.09 Multiple Gestations, Abnormal Presentations, and Conditions Justifying Cesarean Delivery</w:t>
              </w:r>
            </w:hyperlink>
            <w:r w:rsidRPr="009A5185">
              <w:rPr>
                <w:rFonts w:cs="Arial"/>
              </w:rPr>
              <w:t xml:space="preserve"> </w:t>
            </w:r>
          </w:p>
          <w:p w14:paraId="1B10EF4B" w14:textId="77777777" w:rsidR="00835927" w:rsidRPr="009A5185" w:rsidRDefault="00835927" w:rsidP="00835927">
            <w:pPr>
              <w:pStyle w:val="ListParagraph"/>
              <w:numPr>
                <w:ilvl w:val="0"/>
                <w:numId w:val="18"/>
              </w:numPr>
              <w:autoSpaceDE w:val="0"/>
              <w:autoSpaceDN w:val="0"/>
              <w:adjustRightInd w:val="0"/>
              <w:rPr>
                <w:rFonts w:cs="Arial"/>
              </w:rPr>
            </w:pPr>
            <w:r w:rsidRPr="009A5185">
              <w:rPr>
                <w:rFonts w:cs="Arial"/>
              </w:rPr>
              <w:t>Less than 8 years of age</w:t>
            </w:r>
          </w:p>
          <w:p w14:paraId="73B8CD4F" w14:textId="77777777" w:rsidR="00835927" w:rsidRPr="009A5185" w:rsidRDefault="00835927" w:rsidP="00835927">
            <w:pPr>
              <w:pStyle w:val="ListParagraph"/>
              <w:numPr>
                <w:ilvl w:val="0"/>
                <w:numId w:val="18"/>
              </w:numPr>
              <w:autoSpaceDE w:val="0"/>
              <w:autoSpaceDN w:val="0"/>
              <w:adjustRightInd w:val="0"/>
              <w:rPr>
                <w:rFonts w:cs="Arial"/>
              </w:rPr>
            </w:pPr>
            <w:r w:rsidRPr="009A5185">
              <w:rPr>
                <w:rFonts w:cs="Arial"/>
              </w:rPr>
              <w:t>Greater than or equal to 65 years of age</w:t>
            </w:r>
          </w:p>
          <w:p w14:paraId="13A95154" w14:textId="210464AC" w:rsidR="00835927" w:rsidRPr="00F26C59" w:rsidRDefault="00835927" w:rsidP="00835927">
            <w:pPr>
              <w:pStyle w:val="ListParagraph"/>
              <w:numPr>
                <w:ilvl w:val="0"/>
                <w:numId w:val="18"/>
              </w:numPr>
              <w:autoSpaceDE w:val="0"/>
              <w:autoSpaceDN w:val="0"/>
              <w:adjustRightInd w:val="0"/>
              <w:rPr>
                <w:rFonts w:cs="Arial"/>
              </w:rPr>
            </w:pPr>
            <w:hyperlink r:id="rId300" w:history="1">
              <w:r w:rsidRPr="005D6705">
                <w:rPr>
                  <w:rStyle w:val="Hyperlink"/>
                  <w:rFonts w:cs="Arial"/>
                  <w:i/>
                </w:rPr>
                <w:t>Gestational Age</w:t>
              </w:r>
            </w:hyperlink>
            <w:r w:rsidRPr="005D6705">
              <w:rPr>
                <w:rFonts w:cs="Arial"/>
                <w:i/>
              </w:rPr>
              <w:t> </w:t>
            </w:r>
            <w:r w:rsidRPr="009A5185">
              <w:rPr>
                <w:rFonts w:cs="Arial"/>
              </w:rPr>
              <w:t>&lt; 37 weeks</w:t>
            </w:r>
            <w:r w:rsidRPr="009A5185">
              <w:rPr>
                <w:rFonts w:cs="Arial"/>
                <w:i/>
              </w:rPr>
              <w:t xml:space="preserve"> </w:t>
            </w:r>
            <w:r w:rsidRPr="009A5185">
              <w:rPr>
                <w:rFonts w:cs="Arial"/>
              </w:rPr>
              <w:t xml:space="preserve">or </w:t>
            </w:r>
            <w:r>
              <w:rPr>
                <w:rFonts w:cs="Arial"/>
              </w:rPr>
              <w:t>Unable to Determine (</w:t>
            </w:r>
            <w:r w:rsidRPr="009A5185">
              <w:rPr>
                <w:rFonts w:cs="Arial"/>
              </w:rPr>
              <w:t>UTD</w:t>
            </w:r>
            <w:r>
              <w:rPr>
                <w:rFonts w:cs="Arial"/>
              </w:rPr>
              <w:t>)</w:t>
            </w:r>
          </w:p>
          <w:p w14:paraId="61A1C048" w14:textId="77777777" w:rsidR="00835927" w:rsidRDefault="00835927" w:rsidP="00835927">
            <w:pPr>
              <w:autoSpaceDE w:val="0"/>
              <w:autoSpaceDN w:val="0"/>
              <w:adjustRightInd w:val="0"/>
              <w:rPr>
                <w:rFonts w:cs="Arial"/>
                <w:b/>
                <w:bCs/>
              </w:rPr>
            </w:pPr>
          </w:p>
          <w:p w14:paraId="155A6FE9" w14:textId="1FBE1FCE" w:rsidR="00835927" w:rsidRPr="009A5185" w:rsidRDefault="00835927" w:rsidP="00835927">
            <w:pPr>
              <w:autoSpaceDE w:val="0"/>
              <w:autoSpaceDN w:val="0"/>
              <w:adjustRightInd w:val="0"/>
              <w:rPr>
                <w:rStyle w:val="Emphasis"/>
                <w:rFonts w:cs="Arial"/>
                <w:bCs/>
                <w:i w:val="0"/>
              </w:rPr>
            </w:pPr>
            <w:r w:rsidRPr="009A5185">
              <w:rPr>
                <w:rFonts w:cs="Arial"/>
                <w:b/>
                <w:bCs/>
              </w:rPr>
              <w:t xml:space="preserve">Data Elements: </w:t>
            </w:r>
            <w:r w:rsidRPr="009A5185">
              <w:rPr>
                <w:rFonts w:cs="Arial"/>
                <w:bCs/>
              </w:rPr>
              <w:t xml:space="preserve">Visit </w:t>
            </w:r>
            <w:hyperlink r:id="rId301" w:history="1">
              <w:r w:rsidR="006D2EDF" w:rsidRPr="006D2EDF">
                <w:rPr>
                  <w:rStyle w:val="Hyperlink"/>
                  <w:rFonts w:cs="Arial"/>
                  <w:bCs/>
                </w:rPr>
                <w:t>https://manual.jointcommission.org/releases/TJC2026A1/MIF0167.html</w:t>
              </w:r>
            </w:hyperlink>
            <w:r w:rsidR="00AB4179">
              <w:rPr>
                <w:rFonts w:cs="Arial"/>
                <w:bCs/>
              </w:rPr>
              <w:t>.</w:t>
            </w:r>
          </w:p>
          <w:p w14:paraId="49840ABF" w14:textId="77777777" w:rsidR="00835927" w:rsidRPr="009A5185" w:rsidRDefault="00835927" w:rsidP="00835927">
            <w:pPr>
              <w:autoSpaceDE w:val="0"/>
              <w:autoSpaceDN w:val="0"/>
              <w:adjustRightInd w:val="0"/>
              <w:rPr>
                <w:rFonts w:cs="Arial"/>
                <w:b/>
                <w:i/>
              </w:rPr>
            </w:pPr>
          </w:p>
          <w:p w14:paraId="3CE01AD1" w14:textId="699D17B4" w:rsidR="00F105FE" w:rsidRDefault="00835927" w:rsidP="00835927">
            <w:pPr>
              <w:rPr>
                <w:rFonts w:cs="Arial"/>
              </w:rPr>
            </w:pPr>
            <w:r w:rsidRPr="009A5185">
              <w:rPr>
                <w:rFonts w:cs="Arial"/>
                <w:b/>
                <w:i/>
              </w:rPr>
              <w:t xml:space="preserve">If fewer than </w:t>
            </w:r>
            <w:r w:rsidRPr="009A5185">
              <w:rPr>
                <w:rFonts w:cs="Arial"/>
                <w:b/>
                <w:i/>
                <w:lang w:eastAsia="ja-JP"/>
              </w:rPr>
              <w:t>10</w:t>
            </w:r>
            <w:r w:rsidRPr="009A5185">
              <w:rPr>
                <w:rFonts w:cs="Arial"/>
                <w:b/>
                <w:i/>
              </w:rPr>
              <w:t xml:space="preserve"> cases during the reporting period</w:t>
            </w:r>
            <w:r>
              <w:rPr>
                <w:rFonts w:cs="Arial"/>
                <w:b/>
                <w:i/>
              </w:rPr>
              <w:t xml:space="preserve"> for any </w:t>
            </w:r>
            <w:r w:rsidRPr="000C1F1D">
              <w:rPr>
                <w:rFonts w:cs="Arial"/>
                <w:b/>
                <w:bCs/>
                <w:i/>
                <w:iCs/>
              </w:rPr>
              <w:t>race/ethnicity</w:t>
            </w:r>
            <w:r w:rsidRPr="009A5185">
              <w:rPr>
                <w:rFonts w:cs="Arial"/>
                <w:b/>
                <w:i/>
              </w:rPr>
              <w:t>, skip the next question.</w:t>
            </w:r>
          </w:p>
        </w:tc>
      </w:tr>
      <w:tr w:rsidR="00835927" w:rsidRPr="009A5185" w14:paraId="73E55E07" w14:textId="77777777" w:rsidTr="00D36222">
        <w:trPr>
          <w:trHeight w:val="1584"/>
        </w:trPr>
        <w:tc>
          <w:tcPr>
            <w:tcW w:w="9562" w:type="dxa"/>
            <w:vAlign w:val="center"/>
          </w:tcPr>
          <w:p w14:paraId="1D60625D" w14:textId="77777777" w:rsidR="00835927" w:rsidRDefault="00835927" w:rsidP="00835927">
            <w:pPr>
              <w:rPr>
                <w:rFonts w:cs="Arial"/>
                <w:shd w:val="clear" w:color="auto" w:fill="FFFFFF"/>
              </w:rPr>
            </w:pPr>
            <w:r w:rsidRPr="009A5185">
              <w:rPr>
                <w:rStyle w:val="Strong"/>
                <w:rFonts w:cs="Arial"/>
                <w:shd w:val="clear" w:color="auto" w:fill="FFFFFF"/>
              </w:rPr>
              <w:lastRenderedPageBreak/>
              <w:t xml:space="preserve">Question </w:t>
            </w:r>
            <w:r>
              <w:rPr>
                <w:rStyle w:val="Strong"/>
                <w:rFonts w:cs="Arial"/>
                <w:shd w:val="clear" w:color="auto" w:fill="FFFFFF"/>
              </w:rPr>
              <w:t>#8b</w:t>
            </w:r>
            <w:r w:rsidRPr="009A5185">
              <w:rPr>
                <w:rStyle w:val="Strong"/>
                <w:rFonts w:cs="Arial"/>
                <w:shd w:val="clear" w:color="auto" w:fill="FFFFFF"/>
              </w:rPr>
              <w:t xml:space="preserve"> (numerator): </w:t>
            </w:r>
            <w:r w:rsidRPr="009A5185">
              <w:rPr>
                <w:rFonts w:cs="Arial"/>
                <w:shd w:val="clear" w:color="auto" w:fill="FFFFFF"/>
              </w:rPr>
              <w:t>Patients in the denominator with cesarean births</w:t>
            </w:r>
            <w:r>
              <w:rPr>
                <w:rFonts w:cs="Arial"/>
                <w:shd w:val="clear" w:color="auto" w:fill="FFFFFF"/>
              </w:rPr>
              <w:t xml:space="preserve"> by the following </w:t>
            </w:r>
            <w:r>
              <w:rPr>
                <w:rFonts w:cs="Arial"/>
              </w:rPr>
              <w:t>races/ethnicit</w:t>
            </w:r>
            <w:r>
              <w:rPr>
                <w:rFonts w:cs="Arial"/>
                <w:shd w:val="clear" w:color="auto" w:fill="FFFFFF"/>
              </w:rPr>
              <w:t>ies:</w:t>
            </w:r>
          </w:p>
          <w:p w14:paraId="15AA4AD3" w14:textId="77777777" w:rsidR="00835927" w:rsidRPr="004F6B50" w:rsidRDefault="00835927" w:rsidP="00835927">
            <w:pPr>
              <w:pStyle w:val="ListParagraph"/>
              <w:numPr>
                <w:ilvl w:val="0"/>
                <w:numId w:val="195"/>
              </w:numPr>
              <w:rPr>
                <w:rFonts w:cs="Arial"/>
                <w:b/>
                <w:bCs/>
              </w:rPr>
            </w:pPr>
            <w:r>
              <w:rPr>
                <w:rFonts w:cs="Arial"/>
              </w:rPr>
              <w:t>Non-Hispanic White</w:t>
            </w:r>
          </w:p>
          <w:p w14:paraId="41054D9B" w14:textId="77777777" w:rsidR="00835927" w:rsidRPr="004F6B50" w:rsidRDefault="00835927" w:rsidP="00835927">
            <w:pPr>
              <w:pStyle w:val="ListParagraph"/>
              <w:numPr>
                <w:ilvl w:val="0"/>
                <w:numId w:val="195"/>
              </w:numPr>
              <w:rPr>
                <w:rFonts w:cs="Arial"/>
                <w:b/>
                <w:bCs/>
              </w:rPr>
            </w:pPr>
            <w:r>
              <w:rPr>
                <w:rFonts w:cs="Arial"/>
              </w:rPr>
              <w:t>Non-Hispanic Black</w:t>
            </w:r>
          </w:p>
          <w:p w14:paraId="037EFBB1" w14:textId="77777777" w:rsidR="00835927" w:rsidRPr="004F6B50" w:rsidRDefault="00835927" w:rsidP="00835927">
            <w:pPr>
              <w:pStyle w:val="ListParagraph"/>
              <w:numPr>
                <w:ilvl w:val="0"/>
                <w:numId w:val="195"/>
              </w:numPr>
              <w:rPr>
                <w:rFonts w:cs="Arial"/>
                <w:b/>
                <w:bCs/>
              </w:rPr>
            </w:pPr>
            <w:r>
              <w:rPr>
                <w:rFonts w:cs="Arial"/>
              </w:rPr>
              <w:t>Non-Hispanic American Indian or Alaska Native</w:t>
            </w:r>
          </w:p>
          <w:p w14:paraId="398A7A9C" w14:textId="77777777" w:rsidR="00835927" w:rsidRPr="004F6B50" w:rsidRDefault="00835927" w:rsidP="00835927">
            <w:pPr>
              <w:pStyle w:val="ListParagraph"/>
              <w:numPr>
                <w:ilvl w:val="0"/>
                <w:numId w:val="195"/>
              </w:numPr>
              <w:rPr>
                <w:rFonts w:cs="Arial"/>
                <w:b/>
                <w:bCs/>
              </w:rPr>
            </w:pPr>
            <w:r>
              <w:rPr>
                <w:rFonts w:cs="Arial"/>
              </w:rPr>
              <w:t>Non-Hispanic Asian or Pacific Islander</w:t>
            </w:r>
          </w:p>
          <w:p w14:paraId="108E8D30" w14:textId="77777777" w:rsidR="00835927" w:rsidRPr="004F6B50" w:rsidRDefault="00835927" w:rsidP="00835927">
            <w:pPr>
              <w:pStyle w:val="ListParagraph"/>
              <w:numPr>
                <w:ilvl w:val="0"/>
                <w:numId w:val="195"/>
              </w:numPr>
              <w:rPr>
                <w:rFonts w:cs="Arial"/>
                <w:b/>
                <w:bCs/>
              </w:rPr>
            </w:pPr>
            <w:r>
              <w:rPr>
                <w:rFonts w:cs="Arial"/>
              </w:rPr>
              <w:t>Hispanic</w:t>
            </w:r>
          </w:p>
          <w:p w14:paraId="47CB2E19" w14:textId="77777777" w:rsidR="00835927" w:rsidRPr="004F6B50" w:rsidRDefault="00835927" w:rsidP="00835927">
            <w:pPr>
              <w:pStyle w:val="ListParagraph"/>
              <w:numPr>
                <w:ilvl w:val="0"/>
                <w:numId w:val="195"/>
              </w:numPr>
              <w:rPr>
                <w:rFonts w:cs="Arial"/>
                <w:b/>
                <w:bCs/>
              </w:rPr>
            </w:pPr>
            <w:r>
              <w:rPr>
                <w:rFonts w:cs="Arial"/>
              </w:rPr>
              <w:t>Non-Hispanic Other (including two or more races)</w:t>
            </w:r>
          </w:p>
          <w:p w14:paraId="58B44FBE" w14:textId="77777777" w:rsidR="00835927" w:rsidRPr="004F6B50" w:rsidRDefault="00835927" w:rsidP="00835927">
            <w:pPr>
              <w:pStyle w:val="ListParagraph"/>
              <w:numPr>
                <w:ilvl w:val="0"/>
                <w:numId w:val="195"/>
              </w:numPr>
              <w:rPr>
                <w:rFonts w:cs="Arial"/>
                <w:b/>
                <w:bCs/>
              </w:rPr>
            </w:pPr>
            <w:r>
              <w:rPr>
                <w:rFonts w:cs="Arial"/>
              </w:rPr>
              <w:t>Unknown</w:t>
            </w:r>
          </w:p>
          <w:p w14:paraId="186423FD" w14:textId="77777777" w:rsidR="00835927" w:rsidRPr="009A5185" w:rsidRDefault="00835927" w:rsidP="00835927">
            <w:pPr>
              <w:rPr>
                <w:rStyle w:val="Strong"/>
                <w:rFonts w:cs="Arial"/>
                <w:bCs/>
                <w:shd w:val="clear" w:color="auto" w:fill="FFFFFF"/>
              </w:rPr>
            </w:pPr>
          </w:p>
          <w:p w14:paraId="54C54CF8" w14:textId="77777777" w:rsidR="00835927" w:rsidRPr="009A5185" w:rsidRDefault="00835927" w:rsidP="00835927">
            <w:pPr>
              <w:rPr>
                <w:rStyle w:val="apple-converted-space"/>
                <w:rFonts w:cs="Arial"/>
                <w:b/>
                <w:bCs/>
                <w:shd w:val="clear" w:color="auto" w:fill="FFFFFF"/>
              </w:rPr>
            </w:pPr>
            <w:r w:rsidRPr="009A5185">
              <w:rPr>
                <w:rStyle w:val="Strong"/>
                <w:rFonts w:cs="Arial"/>
              </w:rPr>
              <w:t>Included Populations:</w:t>
            </w:r>
            <w:r w:rsidRPr="009A5185">
              <w:rPr>
                <w:rStyle w:val="apple-converted-space"/>
                <w:rFonts w:cs="Arial"/>
              </w:rPr>
              <w:t> </w:t>
            </w:r>
          </w:p>
          <w:p w14:paraId="30269871" w14:textId="76371911" w:rsidR="00835927" w:rsidRPr="009A5185" w:rsidRDefault="00835927" w:rsidP="00835927">
            <w:pPr>
              <w:shd w:val="clear" w:color="auto" w:fill="FFFFFF"/>
              <w:rPr>
                <w:rFonts w:cs="Arial"/>
              </w:rPr>
            </w:pPr>
            <w:r w:rsidRPr="009A5185">
              <w:rPr>
                <w:rStyle w:val="Emphasis"/>
                <w:rFonts w:cs="Arial"/>
              </w:rPr>
              <w:t>ICD-10-PCS Principal Procedure Code or ICD-10-PCS Other Procedure Codes</w:t>
            </w:r>
            <w:r w:rsidRPr="009A5185">
              <w:rPr>
                <w:rStyle w:val="apple-converted-space"/>
                <w:rFonts w:cs="Arial"/>
              </w:rPr>
              <w:t> </w:t>
            </w:r>
            <w:r w:rsidRPr="009A5185">
              <w:rPr>
                <w:rFonts w:cs="Arial"/>
              </w:rPr>
              <w:t xml:space="preserve">for cesarean birth as defined in Appendix A, Table </w:t>
            </w:r>
            <w:hyperlink r:id="rId302" w:anchor="Table_Number_11.06:_Cesarean_Birth" w:history="1">
              <w:r>
                <w:rPr>
                  <w:rStyle w:val="Hyperlink"/>
                  <w:rFonts w:cs="Arial"/>
                </w:rPr>
                <w:t>11.06 Cesarean Birth</w:t>
              </w:r>
            </w:hyperlink>
            <w:r w:rsidRPr="009A5185">
              <w:rPr>
                <w:rFonts w:cs="Arial"/>
              </w:rPr>
              <w:t xml:space="preserve"> </w:t>
            </w:r>
          </w:p>
          <w:p w14:paraId="53B2F26E" w14:textId="77777777" w:rsidR="00835927" w:rsidRPr="009A5185" w:rsidRDefault="00835927" w:rsidP="00835927">
            <w:pPr>
              <w:pStyle w:val="NormalWeb"/>
              <w:shd w:val="clear" w:color="auto" w:fill="FFFFFF"/>
              <w:spacing w:before="0" w:beforeAutospacing="0" w:after="0" w:afterAutospacing="0"/>
              <w:rPr>
                <w:rStyle w:val="Strong"/>
                <w:rFonts w:ascii="Arial" w:hAnsi="Arial" w:cs="Arial"/>
                <w:sz w:val="20"/>
                <w:szCs w:val="20"/>
              </w:rPr>
            </w:pPr>
          </w:p>
          <w:p w14:paraId="130B3577" w14:textId="77777777" w:rsidR="00835927" w:rsidRPr="009A5185" w:rsidRDefault="00835927" w:rsidP="00835927">
            <w:pPr>
              <w:pStyle w:val="NormalWeb"/>
              <w:shd w:val="clear" w:color="auto" w:fill="FFFFFF"/>
              <w:spacing w:before="0" w:beforeAutospacing="0" w:after="0" w:afterAutospacing="0"/>
              <w:rPr>
                <w:rFonts w:ascii="Arial" w:hAnsi="Arial" w:cs="Arial"/>
                <w:sz w:val="20"/>
                <w:szCs w:val="20"/>
              </w:rPr>
            </w:pPr>
            <w:r w:rsidRPr="009A5185">
              <w:rPr>
                <w:rStyle w:val="Strong"/>
                <w:rFonts w:ascii="Arial" w:hAnsi="Arial" w:cs="Arial"/>
                <w:sz w:val="20"/>
                <w:szCs w:val="20"/>
              </w:rPr>
              <w:t>Excluded Populations:</w:t>
            </w:r>
            <w:r w:rsidRPr="009A5185">
              <w:rPr>
                <w:rStyle w:val="apple-converted-space"/>
                <w:rFonts w:ascii="Arial" w:hAnsi="Arial" w:cs="Arial"/>
                <w:sz w:val="20"/>
                <w:szCs w:val="20"/>
              </w:rPr>
              <w:t> </w:t>
            </w:r>
            <w:r w:rsidRPr="009A5185">
              <w:rPr>
                <w:rFonts w:ascii="Arial" w:hAnsi="Arial" w:cs="Arial"/>
                <w:sz w:val="20"/>
                <w:szCs w:val="20"/>
              </w:rPr>
              <w:t>None</w:t>
            </w:r>
          </w:p>
          <w:p w14:paraId="300EBEFE" w14:textId="77777777" w:rsidR="00835927" w:rsidRPr="009A5185" w:rsidRDefault="00835927" w:rsidP="00835927">
            <w:pPr>
              <w:pStyle w:val="NormalWeb"/>
              <w:shd w:val="clear" w:color="auto" w:fill="FFFFFF"/>
              <w:spacing w:before="0" w:beforeAutospacing="0" w:after="0" w:afterAutospacing="0"/>
              <w:rPr>
                <w:rFonts w:ascii="Arial" w:hAnsi="Arial" w:cs="Arial"/>
                <w:sz w:val="20"/>
                <w:szCs w:val="20"/>
              </w:rPr>
            </w:pPr>
          </w:p>
          <w:p w14:paraId="34A9DF39" w14:textId="31D082B3" w:rsidR="00835927" w:rsidRPr="009A5185" w:rsidRDefault="00835927" w:rsidP="00835927">
            <w:pPr>
              <w:rPr>
                <w:rFonts w:cs="Arial"/>
                <w:b/>
                <w:bCs/>
              </w:rPr>
            </w:pPr>
            <w:r w:rsidRPr="009A5185">
              <w:rPr>
                <w:rFonts w:cs="Arial"/>
                <w:b/>
                <w:bCs/>
              </w:rPr>
              <w:t xml:space="preserve">Data Elements: </w:t>
            </w:r>
            <w:r w:rsidRPr="009A5185">
              <w:rPr>
                <w:rFonts w:cs="Arial"/>
                <w:bCs/>
              </w:rPr>
              <w:t>Visit</w:t>
            </w:r>
            <w:r w:rsidRPr="009A5185">
              <w:rPr>
                <w:rFonts w:cs="Arial"/>
                <w:b/>
                <w:bCs/>
              </w:rPr>
              <w:t xml:space="preserve"> </w:t>
            </w:r>
            <w:hyperlink r:id="rId303" w:history="1">
              <w:r w:rsidR="00A65720">
                <w:rPr>
                  <w:rStyle w:val="Hyperlink"/>
                  <w:rFonts w:cs="Arial"/>
                  <w:bCs/>
                </w:rPr>
                <w:t>https://manual.jointcommission.org/releases/TJC2026A1/MIF0167.html</w:t>
              </w:r>
            </w:hyperlink>
            <w:r w:rsidR="00A65720">
              <w:rPr>
                <w:rStyle w:val="Hyperlink"/>
                <w:rFonts w:cs="Arial"/>
                <w:bCs/>
              </w:rPr>
              <w:t xml:space="preserve">. </w:t>
            </w:r>
          </w:p>
        </w:tc>
      </w:tr>
    </w:tbl>
    <w:p w14:paraId="143F9BA8" w14:textId="3C20A408" w:rsidR="00E60C6C" w:rsidRDefault="00E60C6C">
      <w:pPr>
        <w:rPr>
          <w:b/>
          <w:i/>
          <w:snapToGrid w:val="0"/>
          <w:sz w:val="24"/>
          <w:szCs w:val="24"/>
          <w:lang w:eastAsia="ja-JP"/>
        </w:rPr>
      </w:pPr>
      <w:r>
        <w:br w:type="page"/>
      </w:r>
    </w:p>
    <w:p w14:paraId="138C41B4" w14:textId="3A328DC1" w:rsidR="006E50EF" w:rsidRPr="009A5185" w:rsidRDefault="006E50EF" w:rsidP="00AB5B80">
      <w:pPr>
        <w:pStyle w:val="Heading3"/>
      </w:pPr>
      <w:bookmarkStart w:id="358" w:name="_Episiotomy_2"/>
      <w:bookmarkStart w:id="359" w:name="_Ref123646984"/>
      <w:bookmarkStart w:id="360" w:name="_Toc225877742"/>
      <w:bookmarkEnd w:id="358"/>
      <w:r w:rsidRPr="009A5185">
        <w:lastRenderedPageBreak/>
        <w:t>Episiotomy</w:t>
      </w:r>
      <w:bookmarkEnd w:id="356"/>
      <w:bookmarkEnd w:id="359"/>
      <w:r w:rsidR="00B078B4">
        <w:t xml:space="preserve"> Measure Specifications</w:t>
      </w:r>
      <w:bookmarkEnd w:id="360"/>
    </w:p>
    <w:bookmarkEnd w:id="357"/>
    <w:p w14:paraId="06C1545C" w14:textId="77777777" w:rsidR="00512461" w:rsidRPr="009A5185" w:rsidRDefault="00512461" w:rsidP="00512461">
      <w:pPr>
        <w:rPr>
          <w:rFonts w:cs="Arial"/>
          <w:lang w:eastAsia="ja-JP"/>
        </w:rPr>
      </w:pPr>
    </w:p>
    <w:p w14:paraId="094C51A1" w14:textId="65A695FE" w:rsidR="006D1F2C" w:rsidRPr="009A5185" w:rsidRDefault="006D1F2C" w:rsidP="006D1F2C">
      <w:pPr>
        <w:rPr>
          <w:rFonts w:cs="Arial"/>
          <w:b/>
        </w:rPr>
      </w:pPr>
      <w:bookmarkStart w:id="361" w:name="_Toc383775047"/>
      <w:r w:rsidRPr="009A5185">
        <w:rPr>
          <w:rFonts w:cs="Arial"/>
          <w:b/>
          <w:color w:val="FF0000"/>
        </w:rPr>
        <w:t>Important Note:</w:t>
      </w:r>
      <w:r w:rsidRPr="009A5185">
        <w:rPr>
          <w:rFonts w:cs="Arial"/>
          <w:b/>
        </w:rPr>
        <w:t xml:space="preserve"> </w:t>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04" w:history="1">
        <w:r w:rsidRPr="009A5185">
          <w:rPr>
            <w:rStyle w:val="Hyperlink"/>
            <w:rFonts w:cs="Arial"/>
            <w:snapToGrid w:val="0"/>
          </w:rPr>
          <w:t>Leapfrog’s Multi-Campus Reporting Policy</w:t>
        </w:r>
      </w:hyperlink>
      <w:r w:rsidRPr="009A5185">
        <w:rPr>
          <w:rFonts w:cs="Arial"/>
          <w:snapToGrid w:val="0"/>
        </w:rPr>
        <w:t>.</w:t>
      </w:r>
    </w:p>
    <w:p w14:paraId="4FE44E00" w14:textId="77777777" w:rsidR="006D1F2C" w:rsidRPr="009A5185" w:rsidRDefault="006D1F2C" w:rsidP="006D1F2C">
      <w:pPr>
        <w:rPr>
          <w:rFonts w:cs="Arial"/>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2"/>
      </w:tblGrid>
      <w:tr w:rsidR="006D1F2C" w:rsidRPr="009A5185" w14:paraId="5326E2C8" w14:textId="77777777">
        <w:trPr>
          <w:trHeight w:val="360"/>
          <w:jc w:val="center"/>
        </w:trPr>
        <w:tc>
          <w:tcPr>
            <w:tcW w:w="9562" w:type="dxa"/>
            <w:vAlign w:val="center"/>
          </w:tcPr>
          <w:p w14:paraId="04913EE7" w14:textId="77777777" w:rsidR="006D1F2C" w:rsidRPr="009A5185" w:rsidRDefault="006D1F2C">
            <w:pPr>
              <w:autoSpaceDE w:val="0"/>
              <w:autoSpaceDN w:val="0"/>
              <w:adjustRightInd w:val="0"/>
              <w:rPr>
                <w:rFonts w:cs="Arial"/>
                <w:b/>
              </w:rPr>
            </w:pPr>
            <w:r w:rsidRPr="009A5185">
              <w:rPr>
                <w:rFonts w:cs="Arial"/>
                <w:b/>
              </w:rPr>
              <w:t xml:space="preserve">Source: </w:t>
            </w:r>
            <w:r w:rsidRPr="009A5185">
              <w:rPr>
                <w:rFonts w:cs="Arial"/>
              </w:rPr>
              <w:t>National Quality Forum #0470</w:t>
            </w:r>
          </w:p>
        </w:tc>
      </w:tr>
      <w:tr w:rsidR="006D1F2C" w:rsidRPr="009A5185" w14:paraId="1966B001" w14:textId="77777777" w:rsidTr="00900F25">
        <w:trPr>
          <w:trHeight w:val="1296"/>
          <w:jc w:val="center"/>
        </w:trPr>
        <w:tc>
          <w:tcPr>
            <w:tcW w:w="9562" w:type="dxa"/>
            <w:vAlign w:val="center"/>
          </w:tcPr>
          <w:p w14:paraId="15D6FBB5" w14:textId="7F52280E" w:rsidR="006D1F2C" w:rsidRPr="009A5185" w:rsidRDefault="006D1F2C">
            <w:pPr>
              <w:rPr>
                <w:rFonts w:cs="Arial"/>
                <w:b/>
                <w:snapToGrid w:val="0"/>
              </w:rPr>
            </w:pPr>
            <w:r w:rsidRPr="009A5185">
              <w:rPr>
                <w:rFonts w:cs="Arial"/>
                <w:b/>
                <w:snapToGrid w:val="0"/>
              </w:rPr>
              <w:t>Reporting Period: 12 months</w:t>
            </w:r>
          </w:p>
          <w:p w14:paraId="73831B8D" w14:textId="77777777" w:rsidR="006D1F2C" w:rsidRDefault="006D1F2C" w:rsidP="00AD309C">
            <w:pPr>
              <w:pStyle w:val="ListParagraph"/>
              <w:numPr>
                <w:ilvl w:val="0"/>
                <w:numId w:val="49"/>
              </w:numPr>
              <w:rPr>
                <w:rFonts w:cs="Arial"/>
                <w:snapToGrid w:val="0"/>
              </w:rPr>
            </w:pPr>
            <w:r>
              <w:rPr>
                <w:rFonts w:cs="Arial"/>
                <w:snapToGrid w:val="0"/>
              </w:rPr>
              <w:t>Surveys submitted prior to September 1:</w:t>
            </w:r>
          </w:p>
          <w:p w14:paraId="07C4F766" w14:textId="48D43148" w:rsidR="006D1F2C" w:rsidRDefault="006D1F2C" w:rsidP="00AD309C">
            <w:pPr>
              <w:pStyle w:val="ListParagraph"/>
              <w:numPr>
                <w:ilvl w:val="1"/>
                <w:numId w:val="49"/>
              </w:numPr>
              <w:rPr>
                <w:rFonts w:cs="Arial"/>
                <w:snapToGrid w:val="0"/>
              </w:rPr>
            </w:pPr>
            <w:r w:rsidRPr="009A5185">
              <w:rPr>
                <w:rFonts w:cs="Arial"/>
                <w:snapToGrid w:val="0"/>
              </w:rPr>
              <w:t>01/01/</w:t>
            </w:r>
            <w:r>
              <w:rPr>
                <w:rFonts w:cs="Arial"/>
                <w:snapToGrid w:val="0"/>
              </w:rPr>
              <w:t>202</w:t>
            </w:r>
            <w:r w:rsidR="005A6CA4">
              <w:rPr>
                <w:rFonts w:cs="Arial"/>
                <w:snapToGrid w:val="0"/>
              </w:rPr>
              <w:t>5</w:t>
            </w:r>
            <w:r w:rsidRPr="009A5185">
              <w:rPr>
                <w:rFonts w:cs="Arial"/>
                <w:snapToGrid w:val="0"/>
              </w:rPr>
              <w:t xml:space="preserve"> </w:t>
            </w:r>
            <w:r w:rsidR="00B407CB">
              <w:rPr>
                <w:rFonts w:cs="Arial"/>
                <w:snapToGrid w:val="0"/>
              </w:rPr>
              <w:t>–</w:t>
            </w:r>
            <w:r w:rsidRPr="009A5185">
              <w:rPr>
                <w:rFonts w:cs="Arial"/>
                <w:snapToGrid w:val="0"/>
              </w:rPr>
              <w:t xml:space="preserve"> 12/31/</w:t>
            </w:r>
            <w:r>
              <w:rPr>
                <w:rFonts w:cs="Arial"/>
                <w:snapToGrid w:val="0"/>
              </w:rPr>
              <w:t>202</w:t>
            </w:r>
            <w:r w:rsidR="005A6CA4">
              <w:rPr>
                <w:rFonts w:cs="Arial"/>
                <w:snapToGrid w:val="0"/>
              </w:rPr>
              <w:t>5</w:t>
            </w:r>
          </w:p>
          <w:p w14:paraId="2A53AB3E" w14:textId="77777777" w:rsidR="006D1F2C" w:rsidRDefault="006D1F2C" w:rsidP="00AD309C">
            <w:pPr>
              <w:pStyle w:val="ListParagraph"/>
              <w:numPr>
                <w:ilvl w:val="0"/>
                <w:numId w:val="49"/>
              </w:numPr>
              <w:rPr>
                <w:rFonts w:cs="Arial"/>
                <w:snapToGrid w:val="0"/>
              </w:rPr>
            </w:pPr>
            <w:r w:rsidRPr="009A5185">
              <w:rPr>
                <w:rFonts w:cs="Arial"/>
                <w:snapToGrid w:val="0"/>
              </w:rPr>
              <w:t xml:space="preserve">Surveys (re)submitted on or after September 1: </w:t>
            </w:r>
          </w:p>
          <w:p w14:paraId="5D592F80" w14:textId="0E5D617A" w:rsidR="006D1F2C" w:rsidRPr="000C1F1D" w:rsidRDefault="006D1F2C" w:rsidP="00AD309C">
            <w:pPr>
              <w:pStyle w:val="ListParagraph"/>
              <w:numPr>
                <w:ilvl w:val="1"/>
                <w:numId w:val="49"/>
              </w:numPr>
              <w:rPr>
                <w:rFonts w:cs="Arial"/>
                <w:b/>
              </w:rPr>
            </w:pPr>
            <w:r w:rsidRPr="009A5185">
              <w:rPr>
                <w:rFonts w:cs="Arial"/>
                <w:snapToGrid w:val="0"/>
              </w:rPr>
              <w:t>07/01/</w:t>
            </w:r>
            <w:r>
              <w:rPr>
                <w:rFonts w:cs="Arial"/>
                <w:snapToGrid w:val="0"/>
              </w:rPr>
              <w:t>202</w:t>
            </w:r>
            <w:r w:rsidR="005A6CA4">
              <w:rPr>
                <w:rFonts w:cs="Arial"/>
                <w:snapToGrid w:val="0"/>
              </w:rPr>
              <w:t>5</w:t>
            </w:r>
            <w:r w:rsidRPr="009A5185">
              <w:rPr>
                <w:rFonts w:cs="Arial"/>
                <w:snapToGrid w:val="0"/>
              </w:rPr>
              <w:t xml:space="preserve"> </w:t>
            </w:r>
            <w:r w:rsidR="00B407CB">
              <w:rPr>
                <w:rFonts w:cs="Arial"/>
                <w:snapToGrid w:val="0"/>
              </w:rPr>
              <w:t>–</w:t>
            </w:r>
            <w:r w:rsidRPr="009A5185">
              <w:rPr>
                <w:rFonts w:cs="Arial"/>
                <w:snapToGrid w:val="0"/>
              </w:rPr>
              <w:t xml:space="preserve"> 06/30/</w:t>
            </w:r>
            <w:r>
              <w:rPr>
                <w:rFonts w:cs="Arial"/>
                <w:snapToGrid w:val="0"/>
              </w:rPr>
              <w:t>202</w:t>
            </w:r>
            <w:r w:rsidR="005A6CA4">
              <w:rPr>
                <w:rFonts w:cs="Arial"/>
                <w:snapToGrid w:val="0"/>
              </w:rPr>
              <w:t>6</w:t>
            </w:r>
          </w:p>
          <w:p w14:paraId="2A45B19F" w14:textId="77777777" w:rsidR="006E0696" w:rsidRDefault="006E0696" w:rsidP="006E0696">
            <w:pPr>
              <w:rPr>
                <w:rFonts w:cs="Arial"/>
                <w:bCs/>
              </w:rPr>
            </w:pPr>
          </w:p>
          <w:p w14:paraId="516B3896" w14:textId="4473D1D5" w:rsidR="006E0696" w:rsidRPr="000C1F1D" w:rsidRDefault="006E0696" w:rsidP="000C1F1D">
            <w:pPr>
              <w:rPr>
                <w:rFonts w:cs="Arial"/>
                <w:b/>
              </w:rPr>
            </w:pPr>
            <w:r>
              <w:rPr>
                <w:rFonts w:cs="Arial"/>
                <w:bCs/>
              </w:rPr>
              <w:t>Note: The discharge date must be used to determine whether a case falls within the reporting period specified.</w:t>
            </w:r>
          </w:p>
        </w:tc>
      </w:tr>
      <w:tr w:rsidR="006D1F2C" w:rsidRPr="009A5185" w14:paraId="337B5B32" w14:textId="77777777" w:rsidTr="00900F25">
        <w:trPr>
          <w:trHeight w:val="864"/>
          <w:jc w:val="center"/>
        </w:trPr>
        <w:tc>
          <w:tcPr>
            <w:tcW w:w="9562" w:type="dxa"/>
            <w:vAlign w:val="center"/>
          </w:tcPr>
          <w:p w14:paraId="6C91E141" w14:textId="05906140" w:rsidR="006D1F2C" w:rsidRPr="00C20B35" w:rsidRDefault="006D1F2C">
            <w:pPr>
              <w:rPr>
                <w:rFonts w:cs="Arial"/>
              </w:rPr>
            </w:pPr>
            <w:r>
              <w:rPr>
                <w:rFonts w:cs="Arial"/>
              </w:rPr>
              <w:t xml:space="preserve">Hospitals participating in the California Maternal Quality Care Collaborative (CMQCC) Maternal Data Center may use the data provided in CMQCC reports when responding to this subsection of the Survey. </w:t>
            </w:r>
            <w:r w:rsidRPr="009A5185">
              <w:rPr>
                <w:rFonts w:cs="Arial"/>
              </w:rPr>
              <w:t xml:space="preserve">Download instructions for using the </w:t>
            </w:r>
            <w:r>
              <w:rPr>
                <w:rFonts w:cs="Arial"/>
              </w:rPr>
              <w:t>CMQCC reports</w:t>
            </w:r>
            <w:r w:rsidRPr="009A5185">
              <w:rPr>
                <w:rFonts w:cs="Arial"/>
              </w:rPr>
              <w:t xml:space="preserve"> on the </w:t>
            </w:r>
            <w:hyperlink r:id="rId305" w:history="1">
              <w:r w:rsidRPr="009A5185">
                <w:rPr>
                  <w:rStyle w:val="Hyperlink"/>
                  <w:rFonts w:cs="Arial"/>
                </w:rPr>
                <w:t>Survey and CPOE Materials webpage</w:t>
              </w:r>
            </w:hyperlink>
            <w:r w:rsidRPr="009A5185">
              <w:rPr>
                <w:rFonts w:cs="Arial"/>
              </w:rPr>
              <w:t>.</w:t>
            </w:r>
          </w:p>
        </w:tc>
      </w:tr>
      <w:tr w:rsidR="006D1F2C" w:rsidRPr="009A5185" w14:paraId="47BE1384" w14:textId="77777777" w:rsidTr="00900F25">
        <w:trPr>
          <w:trHeight w:val="5184"/>
          <w:jc w:val="center"/>
        </w:trPr>
        <w:tc>
          <w:tcPr>
            <w:tcW w:w="9562" w:type="dxa"/>
            <w:vAlign w:val="center"/>
          </w:tcPr>
          <w:p w14:paraId="1E666C40" w14:textId="6E445819" w:rsidR="006D1F2C" w:rsidRPr="009A5185" w:rsidRDefault="006D1F2C">
            <w:pPr>
              <w:autoSpaceDE w:val="0"/>
              <w:autoSpaceDN w:val="0"/>
              <w:adjustRightInd w:val="0"/>
              <w:rPr>
                <w:rFonts w:cs="Arial"/>
              </w:rPr>
            </w:pPr>
            <w:bookmarkStart w:id="362" w:name="_Hlk59092914"/>
            <w:r w:rsidRPr="009A5185">
              <w:rPr>
                <w:rFonts w:cs="Arial"/>
                <w:b/>
                <w:bCs/>
              </w:rPr>
              <w:t xml:space="preserve">Question </w:t>
            </w:r>
            <w:r w:rsidR="00B407CB">
              <w:rPr>
                <w:rFonts w:cs="Arial"/>
                <w:b/>
                <w:bCs/>
              </w:rPr>
              <w:t>#</w:t>
            </w:r>
            <w:r w:rsidRPr="009A5185">
              <w:rPr>
                <w:rFonts w:cs="Arial"/>
                <w:b/>
                <w:bCs/>
              </w:rPr>
              <w:t xml:space="preserve">2 (denominator): </w:t>
            </w:r>
            <w:r w:rsidRPr="009A5185">
              <w:rPr>
                <w:rFonts w:cs="Arial"/>
              </w:rPr>
              <w:t>Total number of vaginal deliveries during the reporting period, with Excluded Populations removed.</w:t>
            </w:r>
          </w:p>
          <w:p w14:paraId="5A5399FB" w14:textId="77777777" w:rsidR="006D1F2C" w:rsidRPr="009A5185" w:rsidRDefault="006D1F2C">
            <w:pPr>
              <w:autoSpaceDE w:val="0"/>
              <w:autoSpaceDN w:val="0"/>
              <w:adjustRightInd w:val="0"/>
              <w:rPr>
                <w:rFonts w:cs="Arial"/>
              </w:rPr>
            </w:pPr>
          </w:p>
          <w:p w14:paraId="54471E01" w14:textId="77777777" w:rsidR="006D1F2C" w:rsidRPr="009A5185" w:rsidRDefault="006D1F2C">
            <w:pPr>
              <w:autoSpaceDE w:val="0"/>
              <w:autoSpaceDN w:val="0"/>
              <w:adjustRightInd w:val="0"/>
              <w:rPr>
                <w:rFonts w:cs="Arial"/>
              </w:rPr>
            </w:pPr>
            <w:r w:rsidRPr="009A5185">
              <w:rPr>
                <w:rFonts w:cs="Arial"/>
              </w:rPr>
              <w:t>For the purposes of this measure, use the following MS-DRGs to identify a vaginal delivery:</w:t>
            </w:r>
          </w:p>
          <w:p w14:paraId="4756F4D0" w14:textId="77777777" w:rsidR="006D1F2C" w:rsidRPr="00110672" w:rsidRDefault="006D1F2C" w:rsidP="00AD309C">
            <w:pPr>
              <w:pStyle w:val="ListParagraph"/>
              <w:numPr>
                <w:ilvl w:val="0"/>
                <w:numId w:val="47"/>
              </w:numPr>
              <w:autoSpaceDE w:val="0"/>
              <w:autoSpaceDN w:val="0"/>
              <w:adjustRightInd w:val="0"/>
              <w:rPr>
                <w:rFonts w:cs="Arial"/>
              </w:rPr>
            </w:pPr>
            <w:r w:rsidRPr="00110672">
              <w:rPr>
                <w:rFonts w:cs="Arial"/>
              </w:rPr>
              <w:t>768: Vaginal delivery with O.R. procedure except sterilization and/or D&amp;C</w:t>
            </w:r>
          </w:p>
          <w:p w14:paraId="6DFAB157" w14:textId="77777777" w:rsidR="006D1F2C" w:rsidRPr="00110672" w:rsidRDefault="006D1F2C" w:rsidP="00AD309C">
            <w:pPr>
              <w:pStyle w:val="ListParagraph"/>
              <w:numPr>
                <w:ilvl w:val="0"/>
                <w:numId w:val="47"/>
              </w:numPr>
              <w:autoSpaceDE w:val="0"/>
              <w:autoSpaceDN w:val="0"/>
              <w:adjustRightInd w:val="0"/>
              <w:rPr>
                <w:rFonts w:cs="Arial"/>
              </w:rPr>
            </w:pPr>
            <w:r w:rsidRPr="00110672">
              <w:rPr>
                <w:rFonts w:cs="Arial"/>
              </w:rPr>
              <w:t>796: Vaginal delivery with sterilization/D&amp;C with MCC</w:t>
            </w:r>
          </w:p>
          <w:p w14:paraId="45725862" w14:textId="77777777" w:rsidR="006D1F2C" w:rsidRPr="00110672" w:rsidRDefault="006D1F2C" w:rsidP="00AD309C">
            <w:pPr>
              <w:pStyle w:val="ListParagraph"/>
              <w:numPr>
                <w:ilvl w:val="0"/>
                <w:numId w:val="47"/>
              </w:numPr>
              <w:autoSpaceDE w:val="0"/>
              <w:autoSpaceDN w:val="0"/>
              <w:adjustRightInd w:val="0"/>
              <w:rPr>
                <w:rFonts w:cs="Arial"/>
              </w:rPr>
            </w:pPr>
            <w:r w:rsidRPr="00110672">
              <w:rPr>
                <w:rFonts w:cs="Arial"/>
              </w:rPr>
              <w:t>797: Vaginal delivery with sterilization/D&amp;C with CC</w:t>
            </w:r>
          </w:p>
          <w:p w14:paraId="4EB57228" w14:textId="77777777" w:rsidR="006D1F2C" w:rsidRPr="00110672" w:rsidRDefault="006D1F2C" w:rsidP="00AD309C">
            <w:pPr>
              <w:pStyle w:val="ListParagraph"/>
              <w:numPr>
                <w:ilvl w:val="0"/>
                <w:numId w:val="47"/>
              </w:numPr>
              <w:autoSpaceDE w:val="0"/>
              <w:autoSpaceDN w:val="0"/>
              <w:adjustRightInd w:val="0"/>
              <w:rPr>
                <w:rFonts w:cs="Arial"/>
              </w:rPr>
            </w:pPr>
            <w:r w:rsidRPr="00110672">
              <w:rPr>
                <w:rFonts w:cs="Arial"/>
              </w:rPr>
              <w:t>798: Vaginal delivery with sterilization/D&amp;C without CC/MCC</w:t>
            </w:r>
          </w:p>
          <w:p w14:paraId="21E9381B" w14:textId="77777777" w:rsidR="006D1F2C" w:rsidRPr="00110672" w:rsidRDefault="006D1F2C" w:rsidP="00AD309C">
            <w:pPr>
              <w:pStyle w:val="ListParagraph"/>
              <w:numPr>
                <w:ilvl w:val="0"/>
                <w:numId w:val="47"/>
              </w:numPr>
              <w:autoSpaceDE w:val="0"/>
              <w:autoSpaceDN w:val="0"/>
              <w:adjustRightInd w:val="0"/>
              <w:rPr>
                <w:rFonts w:cs="Arial"/>
              </w:rPr>
            </w:pPr>
            <w:r w:rsidRPr="00110672">
              <w:rPr>
                <w:rFonts w:cs="Arial"/>
              </w:rPr>
              <w:t>805: Vaginal delivery without sterilization/D&amp;C with MCC</w:t>
            </w:r>
          </w:p>
          <w:p w14:paraId="0B1A39E8" w14:textId="77777777" w:rsidR="006D1F2C" w:rsidRPr="00110672" w:rsidRDefault="006D1F2C" w:rsidP="00AD309C">
            <w:pPr>
              <w:pStyle w:val="ListParagraph"/>
              <w:numPr>
                <w:ilvl w:val="0"/>
                <w:numId w:val="47"/>
              </w:numPr>
              <w:autoSpaceDE w:val="0"/>
              <w:autoSpaceDN w:val="0"/>
              <w:adjustRightInd w:val="0"/>
              <w:rPr>
                <w:rFonts w:cs="Arial"/>
              </w:rPr>
            </w:pPr>
            <w:r w:rsidRPr="00110672">
              <w:rPr>
                <w:rFonts w:cs="Arial"/>
              </w:rPr>
              <w:t xml:space="preserve">806: </w:t>
            </w:r>
            <w:bookmarkStart w:id="363" w:name="_Hlk58324596"/>
            <w:r w:rsidRPr="00110672">
              <w:rPr>
                <w:rFonts w:cs="Arial"/>
              </w:rPr>
              <w:t>Vaginal delivery without sterilization/D&amp;C with CC</w:t>
            </w:r>
            <w:bookmarkEnd w:id="363"/>
          </w:p>
          <w:p w14:paraId="082C2172" w14:textId="77777777" w:rsidR="006D1F2C" w:rsidRPr="00110672" w:rsidRDefault="006D1F2C" w:rsidP="00AD309C">
            <w:pPr>
              <w:pStyle w:val="ListParagraph"/>
              <w:numPr>
                <w:ilvl w:val="0"/>
                <w:numId w:val="47"/>
              </w:numPr>
              <w:autoSpaceDE w:val="0"/>
              <w:autoSpaceDN w:val="0"/>
              <w:adjustRightInd w:val="0"/>
              <w:rPr>
                <w:rFonts w:cs="Arial"/>
              </w:rPr>
            </w:pPr>
            <w:r w:rsidRPr="00110672">
              <w:rPr>
                <w:rFonts w:cs="Arial"/>
              </w:rPr>
              <w:t>807: Vaginal delivery without sterilization/D&amp;C without CC/MCC</w:t>
            </w:r>
          </w:p>
          <w:p w14:paraId="200BD3AE" w14:textId="77777777" w:rsidR="006D1F2C" w:rsidRDefault="006D1F2C">
            <w:pPr>
              <w:autoSpaceDE w:val="0"/>
              <w:autoSpaceDN w:val="0"/>
              <w:adjustRightInd w:val="0"/>
              <w:rPr>
                <w:rFonts w:cs="Arial"/>
              </w:rPr>
            </w:pPr>
          </w:p>
          <w:p w14:paraId="00C475B5" w14:textId="77777777" w:rsidR="006D1F2C" w:rsidRDefault="006D1F2C">
            <w:pPr>
              <w:autoSpaceDE w:val="0"/>
              <w:autoSpaceDN w:val="0"/>
              <w:adjustRightInd w:val="0"/>
              <w:rPr>
                <w:rFonts w:cs="Arial"/>
              </w:rPr>
            </w:pPr>
            <w:r>
              <w:rPr>
                <w:rFonts w:cs="Arial"/>
              </w:rPr>
              <w:t>The following APR-DRGs should also be used to identify a vaginal delivery if your hospital uses APR-DRG coding:</w:t>
            </w:r>
          </w:p>
          <w:p w14:paraId="0BE45CC6" w14:textId="77777777" w:rsidR="006D1F2C" w:rsidRDefault="006D1F2C" w:rsidP="00AD309C">
            <w:pPr>
              <w:pStyle w:val="ListParagraph"/>
              <w:numPr>
                <w:ilvl w:val="0"/>
                <w:numId w:val="83"/>
              </w:numPr>
              <w:autoSpaceDE w:val="0"/>
              <w:autoSpaceDN w:val="0"/>
              <w:adjustRightInd w:val="0"/>
              <w:rPr>
                <w:rFonts w:cs="Arial"/>
              </w:rPr>
            </w:pPr>
            <w:r w:rsidRPr="006E1DA1">
              <w:rPr>
                <w:rFonts w:cs="Arial"/>
              </w:rPr>
              <w:t>541</w:t>
            </w:r>
            <w:r>
              <w:rPr>
                <w:rFonts w:cs="Arial"/>
              </w:rPr>
              <w:t>: Vaginal delivery with sterilization and</w:t>
            </w:r>
            <w:r w:rsidRPr="006E1DA1">
              <w:rPr>
                <w:rFonts w:cs="Arial"/>
              </w:rPr>
              <w:t>/or D&amp;C</w:t>
            </w:r>
          </w:p>
          <w:p w14:paraId="52C7DE5D" w14:textId="77777777" w:rsidR="006D1F2C" w:rsidRDefault="006D1F2C" w:rsidP="00AD309C">
            <w:pPr>
              <w:pStyle w:val="ListParagraph"/>
              <w:numPr>
                <w:ilvl w:val="0"/>
                <w:numId w:val="83"/>
              </w:numPr>
              <w:autoSpaceDE w:val="0"/>
              <w:autoSpaceDN w:val="0"/>
              <w:adjustRightInd w:val="0"/>
              <w:rPr>
                <w:rFonts w:cs="Arial"/>
              </w:rPr>
            </w:pPr>
            <w:r w:rsidRPr="006E1DA1">
              <w:rPr>
                <w:rFonts w:cs="Arial"/>
              </w:rPr>
              <w:t>542</w:t>
            </w:r>
            <w:r>
              <w:rPr>
                <w:rFonts w:cs="Arial"/>
              </w:rPr>
              <w:t>: Vaginal delivery with complicating procedures excluding sterilization and</w:t>
            </w:r>
            <w:r w:rsidRPr="006E1DA1">
              <w:rPr>
                <w:rFonts w:cs="Arial"/>
              </w:rPr>
              <w:t>/or D&amp;C</w:t>
            </w:r>
          </w:p>
          <w:p w14:paraId="58AA713C" w14:textId="77777777" w:rsidR="006D1F2C" w:rsidRDefault="006D1F2C" w:rsidP="00AD309C">
            <w:pPr>
              <w:pStyle w:val="ListParagraph"/>
              <w:numPr>
                <w:ilvl w:val="0"/>
                <w:numId w:val="83"/>
              </w:numPr>
              <w:autoSpaceDE w:val="0"/>
              <w:autoSpaceDN w:val="0"/>
              <w:adjustRightInd w:val="0"/>
              <w:rPr>
                <w:rFonts w:cs="Arial"/>
              </w:rPr>
            </w:pPr>
            <w:r>
              <w:rPr>
                <w:rFonts w:cs="Arial"/>
              </w:rPr>
              <w:t>560: Vaginal delivery</w:t>
            </w:r>
          </w:p>
          <w:p w14:paraId="185D4D60" w14:textId="77777777" w:rsidR="0042410A" w:rsidRDefault="0042410A" w:rsidP="0042410A">
            <w:pPr>
              <w:autoSpaceDE w:val="0"/>
              <w:autoSpaceDN w:val="0"/>
              <w:adjustRightInd w:val="0"/>
              <w:rPr>
                <w:rFonts w:cs="Arial"/>
              </w:rPr>
            </w:pPr>
          </w:p>
          <w:p w14:paraId="23FE28D7" w14:textId="34F179D7" w:rsidR="0042410A" w:rsidRPr="002C718A" w:rsidRDefault="0042410A" w:rsidP="0042410A">
            <w:pPr>
              <w:autoSpaceDE w:val="0"/>
              <w:autoSpaceDN w:val="0"/>
              <w:adjustRightInd w:val="0"/>
              <w:rPr>
                <w:rFonts w:cs="Arial"/>
              </w:rPr>
            </w:pPr>
            <w:r w:rsidRPr="002C718A">
              <w:rPr>
                <w:rFonts w:cs="Arial"/>
              </w:rPr>
              <w:t xml:space="preserve">The following </w:t>
            </w:r>
            <w:r w:rsidR="00997997" w:rsidRPr="002C718A">
              <w:rPr>
                <w:rFonts w:cs="Arial"/>
              </w:rPr>
              <w:t>Tricare DRGs should also be used to identify a vaginal delivery if your hospitals uses Tricare DRG coding:</w:t>
            </w:r>
          </w:p>
          <w:p w14:paraId="236257C0" w14:textId="5724D188" w:rsidR="00997997" w:rsidRPr="002C718A" w:rsidRDefault="00997997" w:rsidP="00AD309C">
            <w:pPr>
              <w:pStyle w:val="ListParagraph"/>
              <w:numPr>
                <w:ilvl w:val="0"/>
                <w:numId w:val="224"/>
              </w:numPr>
              <w:autoSpaceDE w:val="0"/>
              <w:autoSpaceDN w:val="0"/>
              <w:adjustRightInd w:val="0"/>
              <w:rPr>
                <w:rFonts w:cs="Arial"/>
              </w:rPr>
            </w:pPr>
            <w:r w:rsidRPr="002C718A">
              <w:rPr>
                <w:rFonts w:cs="Arial"/>
              </w:rPr>
              <w:t xml:space="preserve">762 Vaginal delivery with sterilization or </w:t>
            </w:r>
            <w:r w:rsidR="003A09DE" w:rsidRPr="002C718A">
              <w:rPr>
                <w:rFonts w:cs="Arial"/>
              </w:rPr>
              <w:t xml:space="preserve">D&amp;C </w:t>
            </w:r>
            <w:r w:rsidRPr="002C718A">
              <w:rPr>
                <w:rFonts w:cs="Arial"/>
              </w:rPr>
              <w:t xml:space="preserve">with </w:t>
            </w:r>
            <w:r w:rsidR="003A09DE" w:rsidRPr="002C718A">
              <w:rPr>
                <w:rFonts w:cs="Arial"/>
              </w:rPr>
              <w:t>MCC</w:t>
            </w:r>
          </w:p>
          <w:p w14:paraId="0ECD3413" w14:textId="1B34883A" w:rsidR="00997997" w:rsidRPr="002C718A" w:rsidRDefault="00997997" w:rsidP="00AD309C">
            <w:pPr>
              <w:pStyle w:val="ListParagraph"/>
              <w:numPr>
                <w:ilvl w:val="0"/>
                <w:numId w:val="224"/>
              </w:numPr>
              <w:autoSpaceDE w:val="0"/>
              <w:autoSpaceDN w:val="0"/>
              <w:adjustRightInd w:val="0"/>
              <w:rPr>
                <w:rFonts w:cs="Arial"/>
              </w:rPr>
            </w:pPr>
            <w:r w:rsidRPr="002C718A">
              <w:rPr>
                <w:rFonts w:cs="Arial"/>
              </w:rPr>
              <w:t xml:space="preserve">763 Vaginal delivery with sterilization or </w:t>
            </w:r>
            <w:r w:rsidR="003A09DE" w:rsidRPr="002C718A">
              <w:rPr>
                <w:rFonts w:cs="Arial"/>
              </w:rPr>
              <w:t xml:space="preserve">D&amp;C </w:t>
            </w:r>
            <w:r w:rsidRPr="002C718A">
              <w:rPr>
                <w:rFonts w:cs="Arial"/>
              </w:rPr>
              <w:t xml:space="preserve">with </w:t>
            </w:r>
            <w:r w:rsidR="003A09DE" w:rsidRPr="002C718A">
              <w:rPr>
                <w:rFonts w:cs="Arial"/>
              </w:rPr>
              <w:t>CC</w:t>
            </w:r>
          </w:p>
          <w:p w14:paraId="715386C7" w14:textId="4E182226" w:rsidR="00997997" w:rsidRPr="002C718A" w:rsidRDefault="00997997" w:rsidP="00AD309C">
            <w:pPr>
              <w:pStyle w:val="ListParagraph"/>
              <w:numPr>
                <w:ilvl w:val="0"/>
                <w:numId w:val="224"/>
              </w:numPr>
              <w:autoSpaceDE w:val="0"/>
              <w:autoSpaceDN w:val="0"/>
              <w:adjustRightInd w:val="0"/>
              <w:rPr>
                <w:rFonts w:cs="Arial"/>
              </w:rPr>
            </w:pPr>
            <w:r w:rsidRPr="002C718A">
              <w:rPr>
                <w:rFonts w:cs="Arial"/>
              </w:rPr>
              <w:t xml:space="preserve">764 Vaginal delivery with sterilization or </w:t>
            </w:r>
            <w:r w:rsidR="003A09DE" w:rsidRPr="002C718A">
              <w:rPr>
                <w:rFonts w:cs="Arial"/>
              </w:rPr>
              <w:t xml:space="preserve">D&amp;C </w:t>
            </w:r>
            <w:r w:rsidRPr="002C718A">
              <w:rPr>
                <w:rFonts w:cs="Arial"/>
              </w:rPr>
              <w:t xml:space="preserve">without </w:t>
            </w:r>
            <w:r w:rsidR="003A09DE" w:rsidRPr="002C718A">
              <w:rPr>
                <w:rFonts w:cs="Arial"/>
              </w:rPr>
              <w:t>CC/MCC</w:t>
            </w:r>
          </w:p>
          <w:p w14:paraId="2C66843E" w14:textId="36951DB7" w:rsidR="00997997" w:rsidRPr="002C718A" w:rsidRDefault="00997997" w:rsidP="00AD309C">
            <w:pPr>
              <w:pStyle w:val="ListParagraph"/>
              <w:numPr>
                <w:ilvl w:val="0"/>
                <w:numId w:val="224"/>
              </w:numPr>
              <w:autoSpaceDE w:val="0"/>
              <w:autoSpaceDN w:val="0"/>
              <w:adjustRightInd w:val="0"/>
              <w:rPr>
                <w:rFonts w:cs="Arial"/>
              </w:rPr>
            </w:pPr>
            <w:r w:rsidRPr="002C718A">
              <w:rPr>
                <w:rFonts w:cs="Arial"/>
              </w:rPr>
              <w:t xml:space="preserve">768 Vaginal delivery with </w:t>
            </w:r>
            <w:r w:rsidR="003A09DE" w:rsidRPr="002C718A">
              <w:rPr>
                <w:rFonts w:cs="Arial"/>
              </w:rPr>
              <w:t>O.R</w:t>
            </w:r>
            <w:r w:rsidRPr="002C718A">
              <w:rPr>
                <w:rFonts w:cs="Arial"/>
              </w:rPr>
              <w:t xml:space="preserve">. procedure except sterilization and/or </w:t>
            </w:r>
            <w:r w:rsidR="003A09DE" w:rsidRPr="002C718A">
              <w:rPr>
                <w:rFonts w:cs="Arial"/>
              </w:rPr>
              <w:t>D&amp;C</w:t>
            </w:r>
          </w:p>
          <w:p w14:paraId="73EC136A" w14:textId="1901B9EC" w:rsidR="00997997" w:rsidRPr="002C718A" w:rsidRDefault="00997997" w:rsidP="00AD309C">
            <w:pPr>
              <w:pStyle w:val="ListParagraph"/>
              <w:numPr>
                <w:ilvl w:val="0"/>
                <w:numId w:val="224"/>
              </w:numPr>
              <w:autoSpaceDE w:val="0"/>
              <w:autoSpaceDN w:val="0"/>
              <w:adjustRightInd w:val="0"/>
              <w:rPr>
                <w:rFonts w:cs="Arial"/>
              </w:rPr>
            </w:pPr>
            <w:r w:rsidRPr="002C718A">
              <w:rPr>
                <w:rFonts w:cs="Arial"/>
              </w:rPr>
              <w:t>805 Vaginal delivery without sterilization</w:t>
            </w:r>
            <w:r w:rsidR="003A09DE" w:rsidRPr="002C718A">
              <w:rPr>
                <w:rFonts w:cs="Arial"/>
              </w:rPr>
              <w:t xml:space="preserve"> or D&amp;C </w:t>
            </w:r>
            <w:r w:rsidRPr="002C718A">
              <w:rPr>
                <w:rFonts w:cs="Arial"/>
              </w:rPr>
              <w:t xml:space="preserve">with </w:t>
            </w:r>
            <w:r w:rsidR="003A09DE" w:rsidRPr="002C718A">
              <w:rPr>
                <w:rFonts w:cs="Arial"/>
              </w:rPr>
              <w:t>MCC</w:t>
            </w:r>
          </w:p>
          <w:p w14:paraId="42B1C1FE" w14:textId="4C443710" w:rsidR="00997997" w:rsidRPr="002C718A" w:rsidRDefault="00997997" w:rsidP="00AD309C">
            <w:pPr>
              <w:pStyle w:val="ListParagraph"/>
              <w:numPr>
                <w:ilvl w:val="0"/>
                <w:numId w:val="224"/>
              </w:numPr>
              <w:autoSpaceDE w:val="0"/>
              <w:autoSpaceDN w:val="0"/>
              <w:adjustRightInd w:val="0"/>
              <w:rPr>
                <w:rFonts w:cs="Arial"/>
              </w:rPr>
            </w:pPr>
            <w:r w:rsidRPr="002C718A">
              <w:rPr>
                <w:rFonts w:cs="Arial"/>
              </w:rPr>
              <w:t xml:space="preserve">806 Vaginal delivery without sterilization or </w:t>
            </w:r>
            <w:r w:rsidR="003A09DE" w:rsidRPr="002C718A">
              <w:rPr>
                <w:rFonts w:cs="Arial"/>
              </w:rPr>
              <w:t xml:space="preserve">D&amp;C </w:t>
            </w:r>
            <w:r w:rsidRPr="002C718A">
              <w:rPr>
                <w:rFonts w:cs="Arial"/>
              </w:rPr>
              <w:t xml:space="preserve">with </w:t>
            </w:r>
            <w:r w:rsidR="003A09DE" w:rsidRPr="002C718A">
              <w:rPr>
                <w:rFonts w:cs="Arial"/>
              </w:rPr>
              <w:t>CC</w:t>
            </w:r>
          </w:p>
          <w:p w14:paraId="0D109B2A" w14:textId="5D9E9C7D" w:rsidR="00997997" w:rsidRPr="002C718A" w:rsidRDefault="00997997" w:rsidP="00AD309C">
            <w:pPr>
              <w:pStyle w:val="ListParagraph"/>
              <w:numPr>
                <w:ilvl w:val="0"/>
                <w:numId w:val="224"/>
              </w:numPr>
              <w:autoSpaceDE w:val="0"/>
              <w:autoSpaceDN w:val="0"/>
              <w:adjustRightInd w:val="0"/>
              <w:rPr>
                <w:rFonts w:cs="Arial"/>
              </w:rPr>
            </w:pPr>
            <w:r w:rsidRPr="002C718A">
              <w:rPr>
                <w:rFonts w:cs="Arial"/>
              </w:rPr>
              <w:t xml:space="preserve">807 Vaginal delivery without sterilization or </w:t>
            </w:r>
            <w:r w:rsidR="003A09DE" w:rsidRPr="002C718A">
              <w:rPr>
                <w:rFonts w:cs="Arial"/>
              </w:rPr>
              <w:t xml:space="preserve">D&amp;C </w:t>
            </w:r>
            <w:r w:rsidRPr="002C718A">
              <w:rPr>
                <w:rFonts w:cs="Arial"/>
              </w:rPr>
              <w:t xml:space="preserve">without </w:t>
            </w:r>
            <w:r w:rsidR="003A09DE" w:rsidRPr="002C718A">
              <w:rPr>
                <w:rFonts w:cs="Arial"/>
              </w:rPr>
              <w:t>CC/MCC</w:t>
            </w:r>
          </w:p>
          <w:p w14:paraId="1DC6EC0E" w14:textId="77777777" w:rsidR="006D1F2C" w:rsidRPr="009A5185" w:rsidRDefault="006D1F2C">
            <w:pPr>
              <w:pStyle w:val="ListParagraph"/>
              <w:autoSpaceDE w:val="0"/>
              <w:autoSpaceDN w:val="0"/>
              <w:adjustRightInd w:val="0"/>
              <w:rPr>
                <w:rFonts w:cs="Arial"/>
              </w:rPr>
            </w:pPr>
          </w:p>
          <w:p w14:paraId="735AA615" w14:textId="77777777" w:rsidR="006D1F2C" w:rsidRPr="009A5185" w:rsidRDefault="006D1F2C">
            <w:pPr>
              <w:autoSpaceDE w:val="0"/>
              <w:autoSpaceDN w:val="0"/>
              <w:adjustRightInd w:val="0"/>
              <w:rPr>
                <w:rFonts w:cs="Arial"/>
                <w:b/>
                <w:bCs/>
              </w:rPr>
            </w:pPr>
            <w:r w:rsidRPr="009A5185">
              <w:rPr>
                <w:rFonts w:cs="Arial"/>
                <w:b/>
                <w:bCs/>
              </w:rPr>
              <w:t>Excluded Populations:</w:t>
            </w:r>
          </w:p>
          <w:p w14:paraId="77A25B07" w14:textId="77777777" w:rsidR="006D1F2C" w:rsidRPr="009A5185" w:rsidRDefault="006D1F2C">
            <w:pPr>
              <w:autoSpaceDE w:val="0"/>
              <w:autoSpaceDN w:val="0"/>
              <w:adjustRightInd w:val="0"/>
              <w:rPr>
                <w:rFonts w:cs="Arial"/>
              </w:rPr>
            </w:pPr>
            <w:r w:rsidRPr="009A5185">
              <w:rPr>
                <w:rFonts w:cs="Arial"/>
              </w:rPr>
              <w:t>Exclude any cases with the following ICD-10-CM diagnostic code in a</w:t>
            </w:r>
            <w:r>
              <w:rPr>
                <w:rFonts w:cs="Arial"/>
              </w:rPr>
              <w:t xml:space="preserve">ny </w:t>
            </w:r>
            <w:r w:rsidRPr="009A5185">
              <w:rPr>
                <w:rFonts w:cs="Arial"/>
              </w:rPr>
              <w:t>field:</w:t>
            </w:r>
          </w:p>
          <w:p w14:paraId="33C5D661" w14:textId="721A27A2" w:rsidR="006D1F2C" w:rsidRPr="00B407CB" w:rsidRDefault="006D1F2C" w:rsidP="00AD309C">
            <w:pPr>
              <w:pStyle w:val="ListParagraph"/>
              <w:numPr>
                <w:ilvl w:val="0"/>
                <w:numId w:val="48"/>
              </w:numPr>
              <w:autoSpaceDE w:val="0"/>
              <w:autoSpaceDN w:val="0"/>
              <w:adjustRightInd w:val="0"/>
              <w:spacing w:line="276" w:lineRule="auto"/>
              <w:rPr>
                <w:rFonts w:cs="Arial"/>
              </w:rPr>
            </w:pPr>
            <w:r w:rsidRPr="009A5185">
              <w:rPr>
                <w:rFonts w:cs="Arial"/>
              </w:rPr>
              <w:t>O66.0: Obstructed labor due to shoulder dystocia</w:t>
            </w:r>
            <w:bookmarkEnd w:id="362"/>
          </w:p>
        </w:tc>
      </w:tr>
      <w:tr w:rsidR="006D1F2C" w:rsidRPr="009A5185" w14:paraId="41FCA73E" w14:textId="77777777" w:rsidTr="00900F25">
        <w:trPr>
          <w:trHeight w:val="1584"/>
          <w:jc w:val="center"/>
        </w:trPr>
        <w:tc>
          <w:tcPr>
            <w:tcW w:w="9562" w:type="dxa"/>
            <w:vAlign w:val="center"/>
          </w:tcPr>
          <w:p w14:paraId="61FF8558" w14:textId="61891462" w:rsidR="006D1F2C" w:rsidRPr="009A5185" w:rsidRDefault="006D1F2C">
            <w:pPr>
              <w:rPr>
                <w:rFonts w:cs="Arial"/>
                <w:b/>
                <w:bCs/>
              </w:rPr>
            </w:pPr>
            <w:r w:rsidRPr="009A5185">
              <w:rPr>
                <w:rFonts w:cs="Arial"/>
                <w:b/>
                <w:bCs/>
              </w:rPr>
              <w:t xml:space="preserve">Question </w:t>
            </w:r>
            <w:r w:rsidR="00B407CB">
              <w:rPr>
                <w:rFonts w:cs="Arial"/>
                <w:b/>
                <w:bCs/>
              </w:rPr>
              <w:t>#</w:t>
            </w:r>
            <w:r w:rsidRPr="009A5185">
              <w:rPr>
                <w:rFonts w:cs="Arial"/>
                <w:b/>
                <w:bCs/>
              </w:rPr>
              <w:t xml:space="preserve">3 (numerator): </w:t>
            </w:r>
            <w:r w:rsidRPr="009A5185">
              <w:rPr>
                <w:rFonts w:cs="Arial"/>
              </w:rPr>
              <w:t xml:space="preserve">Total number of mothers included in question #2 (the denominator) that had an episiotomy procedure performed. </w:t>
            </w:r>
          </w:p>
          <w:p w14:paraId="22AB6B5E" w14:textId="77777777" w:rsidR="006D1F2C" w:rsidRPr="009A5185" w:rsidRDefault="006D1F2C">
            <w:pPr>
              <w:rPr>
                <w:rFonts w:cs="Arial"/>
              </w:rPr>
            </w:pPr>
          </w:p>
          <w:p w14:paraId="2542CC4B" w14:textId="77777777" w:rsidR="006D1F2C" w:rsidRPr="009A5185" w:rsidRDefault="006D1F2C">
            <w:pPr>
              <w:rPr>
                <w:rFonts w:cs="Arial"/>
              </w:rPr>
            </w:pPr>
            <w:r w:rsidRPr="009A5185">
              <w:rPr>
                <w:rFonts w:cs="Arial"/>
              </w:rPr>
              <w:t>For the purposes of this measure, the following ICD-10-PCS procedure codes should be used for identifying an episiotomy:</w:t>
            </w:r>
          </w:p>
          <w:p w14:paraId="47F5F674" w14:textId="5BC4FB92" w:rsidR="006D1F2C" w:rsidRPr="00F0772B" w:rsidRDefault="006D1F2C" w:rsidP="00AD309C">
            <w:pPr>
              <w:pStyle w:val="ListParagraph"/>
              <w:numPr>
                <w:ilvl w:val="0"/>
                <w:numId w:val="48"/>
              </w:numPr>
              <w:spacing w:line="276" w:lineRule="auto"/>
              <w:rPr>
                <w:rFonts w:cs="Arial"/>
                <w:b/>
                <w:bCs/>
              </w:rPr>
            </w:pPr>
            <w:r w:rsidRPr="009A5185">
              <w:rPr>
                <w:rFonts w:cs="Arial"/>
              </w:rPr>
              <w:t>0W8NXZZ: Division of female perineum, external approach</w:t>
            </w:r>
          </w:p>
        </w:tc>
      </w:tr>
    </w:tbl>
    <w:p w14:paraId="207E9747" w14:textId="52336768" w:rsidR="006E50EF" w:rsidRPr="009A5185" w:rsidRDefault="00B407CB" w:rsidP="00AB5B80">
      <w:pPr>
        <w:pStyle w:val="Heading3"/>
      </w:pPr>
      <w:bookmarkStart w:id="364" w:name="_Maternity_Care_Process"/>
      <w:bookmarkStart w:id="365" w:name="_Process_Measures_of"/>
      <w:bookmarkStart w:id="366" w:name="_Ref123647007"/>
      <w:bookmarkStart w:id="367" w:name="_Toc225877743"/>
      <w:bookmarkStart w:id="368" w:name="MatProcessSpecs"/>
      <w:bookmarkEnd w:id="361"/>
      <w:bookmarkEnd w:id="364"/>
      <w:bookmarkEnd w:id="365"/>
      <w:r>
        <w:lastRenderedPageBreak/>
        <w:t>Process Measures of Quality</w:t>
      </w:r>
      <w:bookmarkEnd w:id="366"/>
      <w:r w:rsidR="00B078B4">
        <w:t xml:space="preserve"> Measure Specifications</w:t>
      </w:r>
      <w:bookmarkEnd w:id="367"/>
    </w:p>
    <w:bookmarkEnd w:id="368"/>
    <w:p w14:paraId="337E5303" w14:textId="77777777" w:rsidR="00C33725" w:rsidRPr="009A5185" w:rsidRDefault="00C33725" w:rsidP="00786A7D">
      <w:pPr>
        <w:rPr>
          <w:rFonts w:cs="Arial"/>
          <w:b/>
          <w:color w:val="FF0000"/>
          <w:lang w:eastAsia="ja-JP"/>
        </w:rPr>
      </w:pPr>
    </w:p>
    <w:p w14:paraId="51258403" w14:textId="77777777" w:rsidR="0035204D" w:rsidRPr="009A5185" w:rsidRDefault="0035204D" w:rsidP="0035204D">
      <w:pPr>
        <w:rPr>
          <w:rFonts w:cs="Arial"/>
          <w:b/>
          <w:color w:val="FF0000"/>
          <w:lang w:eastAsia="ja-JP"/>
        </w:rPr>
      </w:pPr>
      <w:bookmarkStart w:id="369" w:name="_High-Risk_Deliveries_Measure"/>
      <w:bookmarkStart w:id="370" w:name="_Toc233710592"/>
      <w:bookmarkStart w:id="371" w:name="_Toc383775028"/>
      <w:bookmarkEnd w:id="369"/>
      <w:r w:rsidRPr="009A5185">
        <w:rPr>
          <w:rFonts w:cs="Arial"/>
          <w:b/>
          <w:color w:val="FF0000"/>
          <w:lang w:eastAsia="ja-JP"/>
        </w:rPr>
        <w:t xml:space="preserve">Important Notes: </w:t>
      </w:r>
    </w:p>
    <w:p w14:paraId="2746359E" w14:textId="77777777" w:rsidR="0035204D" w:rsidRPr="009A5185" w:rsidRDefault="0035204D" w:rsidP="0035204D">
      <w:pPr>
        <w:rPr>
          <w:rFonts w:cs="Arial"/>
          <w:i/>
          <w:color w:val="FF0000"/>
        </w:rPr>
      </w:pPr>
    </w:p>
    <w:p w14:paraId="4B83AFA9" w14:textId="1508E9D3" w:rsidR="0035204D" w:rsidRPr="009A5185" w:rsidRDefault="0035204D" w:rsidP="0035204D">
      <w:pPr>
        <w:rPr>
          <w:rFonts w:cs="Arial"/>
        </w:rPr>
      </w:pPr>
      <w:r w:rsidRPr="009A5185">
        <w:rPr>
          <w:rFonts w:cs="Arial"/>
        </w:rPr>
        <w:t>Note 1:</w:t>
      </w:r>
      <w:r w:rsidRPr="009A5185">
        <w:rPr>
          <w:rFonts w:cs="Arial"/>
          <w:b/>
          <w:color w:val="FF0000"/>
        </w:rPr>
        <w:t xml:space="preserve"> </w:t>
      </w:r>
      <w:r w:rsidR="00B407CB" w:rsidRPr="009A5185">
        <w:rPr>
          <w:rFonts w:cs="Arial"/>
          <w:snapToGrid w:val="0"/>
        </w:rPr>
        <w:t xml:space="preserve">Hospitals that share a </w:t>
      </w:r>
      <w:r w:rsidR="00B407CB">
        <w:rPr>
          <w:rFonts w:cs="Arial"/>
          <w:snapToGrid w:val="0"/>
        </w:rPr>
        <w:t>CMS Certification Number</w:t>
      </w:r>
      <w:r w:rsidR="00B407CB" w:rsidRPr="009A5185">
        <w:rPr>
          <w:rFonts w:cs="Arial"/>
          <w:snapToGrid w:val="0"/>
        </w:rPr>
        <w:t xml:space="preserve"> are required to report by facility. Please carefully review </w:t>
      </w:r>
      <w:hyperlink r:id="rId306" w:history="1">
        <w:r w:rsidR="00B407CB" w:rsidRPr="009A5185">
          <w:rPr>
            <w:rStyle w:val="Hyperlink"/>
            <w:rFonts w:cs="Arial"/>
            <w:snapToGrid w:val="0"/>
          </w:rPr>
          <w:t>Leapfrog’s Multi-Campus Reporting Policy</w:t>
        </w:r>
      </w:hyperlink>
      <w:r w:rsidR="00B407CB" w:rsidRPr="009A5185">
        <w:rPr>
          <w:rFonts w:cs="Arial"/>
          <w:snapToGrid w:val="0"/>
        </w:rPr>
        <w:t>.</w:t>
      </w:r>
    </w:p>
    <w:p w14:paraId="15F6C841" w14:textId="77777777" w:rsidR="0035204D" w:rsidRPr="009A5185" w:rsidRDefault="0035204D" w:rsidP="0035204D">
      <w:pPr>
        <w:rPr>
          <w:rFonts w:cs="Arial"/>
        </w:rPr>
      </w:pPr>
    </w:p>
    <w:p w14:paraId="376D21A2" w14:textId="17735DB9" w:rsidR="0035204D" w:rsidRPr="009A5185" w:rsidRDefault="0035204D" w:rsidP="0035204D">
      <w:pPr>
        <w:rPr>
          <w:rFonts w:cs="Arial"/>
        </w:rPr>
      </w:pPr>
      <w:r w:rsidRPr="009A5185">
        <w:rPr>
          <w:rFonts w:cs="Arial"/>
        </w:rPr>
        <w:t xml:space="preserve">Note 2: </w:t>
      </w:r>
      <w:r w:rsidR="00B407CB" w:rsidRPr="009A5185">
        <w:rPr>
          <w:rFonts w:cs="Arial"/>
        </w:rPr>
        <w:t>For Maternity Care Process Measures, hospitals with a sufficient sample size (as defined below) can randomly sample for the denominator of each indicator and measure and report adherence based on that sample. Most likely, the numerator criteria for these two measures will require medical chart review if these specific data are not already extracted or coded consistently for other purposes.</w:t>
      </w:r>
    </w:p>
    <w:p w14:paraId="70B00A48" w14:textId="77777777" w:rsidR="0035204D" w:rsidRPr="009A5185" w:rsidRDefault="0035204D" w:rsidP="0035204D">
      <w:pPr>
        <w:rPr>
          <w:rFonts w:cs="Arial"/>
        </w:rPr>
      </w:pPr>
    </w:p>
    <w:p w14:paraId="2C876278" w14:textId="77777777" w:rsidR="0035204D" w:rsidRPr="009A5185" w:rsidRDefault="0035204D" w:rsidP="00F0772B">
      <w:pPr>
        <w:pStyle w:val="Heading44"/>
      </w:pPr>
      <w:bookmarkStart w:id="372" w:name="_Newborn_Bilirubin_Screening"/>
      <w:bookmarkStart w:id="373" w:name="_Toc74562739"/>
      <w:bookmarkEnd w:id="372"/>
      <w:r w:rsidRPr="009A5185">
        <w:t>Newborn Bilirubin Screening Prior to Discharge</w:t>
      </w:r>
      <w:bookmarkEnd w:id="373"/>
    </w:p>
    <w:p w14:paraId="60D9683D" w14:textId="77777777" w:rsidR="0035204D" w:rsidRPr="009A5185" w:rsidRDefault="0035204D" w:rsidP="0035204D">
      <w:pPr>
        <w:rPr>
          <w:rFonts w:cs="Arial"/>
          <w:b/>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2"/>
      </w:tblGrid>
      <w:tr w:rsidR="0035204D" w:rsidRPr="009A5185" w14:paraId="5C3B4885" w14:textId="77777777" w:rsidTr="00900F25">
        <w:trPr>
          <w:trHeight w:val="360"/>
          <w:jc w:val="center"/>
        </w:trPr>
        <w:tc>
          <w:tcPr>
            <w:tcW w:w="9562" w:type="dxa"/>
            <w:vAlign w:val="center"/>
          </w:tcPr>
          <w:p w14:paraId="0F80D36A" w14:textId="77777777" w:rsidR="0035204D" w:rsidRPr="009A5185" w:rsidRDefault="0035204D" w:rsidP="00900F25">
            <w:pPr>
              <w:autoSpaceDE w:val="0"/>
              <w:autoSpaceDN w:val="0"/>
              <w:adjustRightInd w:val="0"/>
              <w:rPr>
                <w:rFonts w:cs="Arial"/>
              </w:rPr>
            </w:pPr>
            <w:r w:rsidRPr="009A5185">
              <w:rPr>
                <w:rFonts w:cs="Arial"/>
                <w:b/>
              </w:rPr>
              <w:t xml:space="preserve">Source: </w:t>
            </w:r>
            <w:r w:rsidRPr="009A5185">
              <w:rPr>
                <w:rFonts w:cs="Arial"/>
              </w:rPr>
              <w:t>Providence Health</w:t>
            </w:r>
          </w:p>
        </w:tc>
      </w:tr>
      <w:tr w:rsidR="0035204D" w:rsidRPr="009A5185" w14:paraId="22554200" w14:textId="77777777" w:rsidTr="00900F25">
        <w:trPr>
          <w:trHeight w:val="1296"/>
          <w:jc w:val="center"/>
        </w:trPr>
        <w:tc>
          <w:tcPr>
            <w:tcW w:w="9562" w:type="dxa"/>
            <w:vAlign w:val="center"/>
          </w:tcPr>
          <w:p w14:paraId="695A0D4D" w14:textId="5EE5B316" w:rsidR="0035204D" w:rsidRPr="009A5185" w:rsidRDefault="0035204D" w:rsidP="00900F25">
            <w:pPr>
              <w:rPr>
                <w:rFonts w:cs="Arial"/>
                <w:snapToGrid w:val="0"/>
              </w:rPr>
            </w:pPr>
            <w:r w:rsidRPr="009A5185">
              <w:rPr>
                <w:rFonts w:cs="Arial"/>
                <w:b/>
                <w:snapToGrid w:val="0"/>
              </w:rPr>
              <w:t>Reporting Period:</w:t>
            </w:r>
            <w:r w:rsidRPr="009A5185">
              <w:rPr>
                <w:rFonts w:cs="Arial"/>
                <w:snapToGrid w:val="0"/>
              </w:rPr>
              <w:t xml:space="preserve"> </w:t>
            </w:r>
            <w:r w:rsidRPr="009A5185">
              <w:rPr>
                <w:rFonts w:cs="Arial"/>
                <w:b/>
                <w:snapToGrid w:val="0"/>
              </w:rPr>
              <w:t>12 months</w:t>
            </w:r>
          </w:p>
          <w:p w14:paraId="3EBD2DE5" w14:textId="77777777" w:rsidR="0035204D" w:rsidRPr="001D20AA" w:rsidRDefault="0035204D" w:rsidP="00AD309C">
            <w:pPr>
              <w:pStyle w:val="ListParagraph"/>
              <w:numPr>
                <w:ilvl w:val="0"/>
                <w:numId w:val="29"/>
              </w:numPr>
              <w:rPr>
                <w:rFonts w:cs="Arial"/>
                <w:i/>
                <w:snapToGrid w:val="0"/>
              </w:rPr>
            </w:pPr>
            <w:r>
              <w:rPr>
                <w:rFonts w:cs="Arial"/>
                <w:iCs/>
                <w:snapToGrid w:val="0"/>
              </w:rPr>
              <w:t>Surveys submitted prior to September 1:</w:t>
            </w:r>
          </w:p>
          <w:p w14:paraId="7A968BBF" w14:textId="3141776C" w:rsidR="0035204D" w:rsidRPr="001D20AA" w:rsidRDefault="0035204D" w:rsidP="00AD309C">
            <w:pPr>
              <w:pStyle w:val="ListParagraph"/>
              <w:numPr>
                <w:ilvl w:val="1"/>
                <w:numId w:val="29"/>
              </w:numPr>
              <w:rPr>
                <w:rFonts w:cs="Arial"/>
                <w:i/>
                <w:snapToGrid w:val="0"/>
              </w:rPr>
            </w:pPr>
            <w:r w:rsidRPr="009A5185">
              <w:rPr>
                <w:rFonts w:cs="Arial"/>
                <w:snapToGrid w:val="0"/>
              </w:rPr>
              <w:t>01/01/</w:t>
            </w:r>
            <w:r>
              <w:rPr>
                <w:rFonts w:cs="Arial"/>
                <w:snapToGrid w:val="0"/>
              </w:rPr>
              <w:t>202</w:t>
            </w:r>
            <w:r w:rsidR="004A646C">
              <w:rPr>
                <w:rFonts w:cs="Arial"/>
                <w:snapToGrid w:val="0"/>
              </w:rPr>
              <w:t>5</w:t>
            </w:r>
            <w:r w:rsidRPr="009A5185">
              <w:rPr>
                <w:rFonts w:cs="Arial"/>
                <w:snapToGrid w:val="0"/>
              </w:rPr>
              <w:t xml:space="preserve"> </w:t>
            </w:r>
            <w:r w:rsidR="00B407CB">
              <w:rPr>
                <w:rFonts w:cs="Arial"/>
                <w:snapToGrid w:val="0"/>
              </w:rPr>
              <w:t>–</w:t>
            </w:r>
            <w:r w:rsidRPr="009A5185">
              <w:rPr>
                <w:rFonts w:cs="Arial"/>
                <w:snapToGrid w:val="0"/>
              </w:rPr>
              <w:t xml:space="preserve"> 12/31/</w:t>
            </w:r>
            <w:r>
              <w:rPr>
                <w:rFonts w:cs="Arial"/>
                <w:snapToGrid w:val="0"/>
              </w:rPr>
              <w:t>202</w:t>
            </w:r>
            <w:r w:rsidR="004A646C">
              <w:rPr>
                <w:rFonts w:cs="Arial"/>
                <w:snapToGrid w:val="0"/>
              </w:rPr>
              <w:t>5</w:t>
            </w:r>
          </w:p>
          <w:p w14:paraId="7C7C0B41" w14:textId="77777777" w:rsidR="0035204D" w:rsidRPr="001D20AA" w:rsidRDefault="0035204D" w:rsidP="00AD309C">
            <w:pPr>
              <w:pStyle w:val="ListParagraph"/>
              <w:numPr>
                <w:ilvl w:val="0"/>
                <w:numId w:val="29"/>
              </w:numPr>
              <w:rPr>
                <w:rFonts w:cs="Arial"/>
                <w:i/>
                <w:snapToGrid w:val="0"/>
              </w:rPr>
            </w:pPr>
            <w:r w:rsidRPr="009A5185">
              <w:rPr>
                <w:rFonts w:cs="Arial"/>
                <w:snapToGrid w:val="0"/>
              </w:rPr>
              <w:t xml:space="preserve">Surveys (re)submitted on or after September 1: </w:t>
            </w:r>
          </w:p>
          <w:p w14:paraId="75627190" w14:textId="0E714970" w:rsidR="0035204D" w:rsidRPr="000C1F1D" w:rsidRDefault="0035204D" w:rsidP="00AD309C">
            <w:pPr>
              <w:pStyle w:val="ListParagraph"/>
              <w:numPr>
                <w:ilvl w:val="1"/>
                <w:numId w:val="29"/>
              </w:numPr>
              <w:rPr>
                <w:rFonts w:cs="Arial"/>
                <w:b/>
              </w:rPr>
            </w:pPr>
            <w:r w:rsidRPr="009A5185">
              <w:rPr>
                <w:rFonts w:cs="Arial"/>
                <w:snapToGrid w:val="0"/>
              </w:rPr>
              <w:t>07/01/</w:t>
            </w:r>
            <w:r>
              <w:rPr>
                <w:rFonts w:cs="Arial"/>
                <w:snapToGrid w:val="0"/>
              </w:rPr>
              <w:t>202</w:t>
            </w:r>
            <w:r w:rsidR="004A646C">
              <w:rPr>
                <w:rFonts w:cs="Arial"/>
                <w:snapToGrid w:val="0"/>
              </w:rPr>
              <w:t>5</w:t>
            </w:r>
            <w:r w:rsidRPr="009A5185">
              <w:rPr>
                <w:rFonts w:cs="Arial"/>
                <w:snapToGrid w:val="0"/>
              </w:rPr>
              <w:t xml:space="preserve"> </w:t>
            </w:r>
            <w:r w:rsidR="00B407CB">
              <w:rPr>
                <w:rFonts w:cs="Arial"/>
                <w:snapToGrid w:val="0"/>
              </w:rPr>
              <w:t>–</w:t>
            </w:r>
            <w:r w:rsidRPr="009A5185">
              <w:rPr>
                <w:rFonts w:cs="Arial"/>
                <w:snapToGrid w:val="0"/>
              </w:rPr>
              <w:t xml:space="preserve"> 06/30/</w:t>
            </w:r>
            <w:r>
              <w:rPr>
                <w:rFonts w:cs="Arial"/>
                <w:snapToGrid w:val="0"/>
              </w:rPr>
              <w:t>202</w:t>
            </w:r>
            <w:r w:rsidR="004A646C">
              <w:rPr>
                <w:rFonts w:cs="Arial"/>
                <w:snapToGrid w:val="0"/>
              </w:rPr>
              <w:t>6</w:t>
            </w:r>
          </w:p>
          <w:p w14:paraId="73F998C1" w14:textId="77777777" w:rsidR="006E0696" w:rsidRDefault="006E0696" w:rsidP="006E0696">
            <w:pPr>
              <w:rPr>
                <w:rFonts w:cs="Arial"/>
                <w:b/>
              </w:rPr>
            </w:pPr>
          </w:p>
          <w:p w14:paraId="58933496" w14:textId="5B43A793" w:rsidR="006E0696" w:rsidRPr="000C1F1D" w:rsidRDefault="006E0696" w:rsidP="000C1F1D">
            <w:pPr>
              <w:rPr>
                <w:rFonts w:cs="Arial"/>
                <w:b/>
              </w:rPr>
            </w:pPr>
            <w:r>
              <w:rPr>
                <w:rFonts w:cs="Arial"/>
                <w:bCs/>
              </w:rPr>
              <w:t>Note: The discharge date must be used to determine whether a case falls within the reporting period specified.</w:t>
            </w:r>
          </w:p>
        </w:tc>
      </w:tr>
      <w:tr w:rsidR="0035204D" w:rsidRPr="009A5185" w14:paraId="295D276B" w14:textId="77777777" w:rsidTr="00900F25">
        <w:trPr>
          <w:trHeight w:val="864"/>
          <w:jc w:val="center"/>
        </w:trPr>
        <w:tc>
          <w:tcPr>
            <w:tcW w:w="9562" w:type="dxa"/>
            <w:vAlign w:val="center"/>
          </w:tcPr>
          <w:p w14:paraId="773AE481" w14:textId="7EE54CF0" w:rsidR="0035204D" w:rsidRPr="009A5185" w:rsidRDefault="0035204D" w:rsidP="00900F25">
            <w:pPr>
              <w:rPr>
                <w:rFonts w:cs="Arial"/>
                <w:b/>
                <w:snapToGrid w:val="0"/>
              </w:rPr>
            </w:pPr>
            <w:r w:rsidRPr="00375B0D">
              <w:rPr>
                <w:rFonts w:cs="Arial"/>
              </w:rPr>
              <w:t>Hospitals participating in the California Maternal Quality Care Collaborative (CMQCC) Maternal Data Center may use the data provided in CMQCC reports when responding to this subsection of the Survey.</w:t>
            </w:r>
            <w:r>
              <w:rPr>
                <w:rFonts w:cs="Arial"/>
              </w:rPr>
              <w:t xml:space="preserve"> </w:t>
            </w:r>
            <w:r w:rsidRPr="009A5185">
              <w:rPr>
                <w:rFonts w:cs="Arial"/>
              </w:rPr>
              <w:t xml:space="preserve">Download instructions for using the </w:t>
            </w:r>
            <w:r>
              <w:rPr>
                <w:rFonts w:cs="Arial"/>
              </w:rPr>
              <w:t>CMQCC reports</w:t>
            </w:r>
            <w:r w:rsidRPr="009A5185">
              <w:rPr>
                <w:rFonts w:cs="Arial"/>
              </w:rPr>
              <w:t xml:space="preserve"> on the </w:t>
            </w:r>
            <w:hyperlink r:id="rId307" w:history="1">
              <w:r w:rsidRPr="009A5185">
                <w:rPr>
                  <w:rStyle w:val="Hyperlink"/>
                  <w:rFonts w:cs="Arial"/>
                </w:rPr>
                <w:t>Survey and CPOE Materials webpage</w:t>
              </w:r>
            </w:hyperlink>
            <w:r w:rsidRPr="009A5185">
              <w:rPr>
                <w:rFonts w:cs="Arial"/>
              </w:rPr>
              <w:t>.</w:t>
            </w:r>
          </w:p>
        </w:tc>
      </w:tr>
      <w:tr w:rsidR="0035204D" w:rsidRPr="009A5185" w14:paraId="1B288D2C" w14:textId="77777777" w:rsidTr="00900F25">
        <w:trPr>
          <w:trHeight w:val="2160"/>
          <w:jc w:val="center"/>
        </w:trPr>
        <w:tc>
          <w:tcPr>
            <w:tcW w:w="9562" w:type="dxa"/>
            <w:vAlign w:val="center"/>
          </w:tcPr>
          <w:p w14:paraId="75BE05C4" w14:textId="5526022E" w:rsidR="0035204D" w:rsidRPr="001D20AA" w:rsidRDefault="0035204D" w:rsidP="00900F25">
            <w:pPr>
              <w:pStyle w:val="EndnoteText"/>
              <w:rPr>
                <w:rFonts w:cs="Arial"/>
              </w:rPr>
            </w:pPr>
            <w:r w:rsidRPr="009A5185">
              <w:rPr>
                <w:rFonts w:cs="Arial"/>
                <w:b/>
              </w:rPr>
              <w:t>Sampling:</w:t>
            </w:r>
            <w:r w:rsidRPr="009A5185">
              <w:rPr>
                <w:rFonts w:cs="Arial"/>
              </w:rPr>
              <w:t xml:space="preserve"> If you have </w:t>
            </w:r>
            <w:r w:rsidRPr="001D20AA">
              <w:rPr>
                <w:rFonts w:cs="Arial"/>
                <w:u w:val="single"/>
              </w:rPr>
              <w:t xml:space="preserve">fewer than </w:t>
            </w:r>
            <w:r>
              <w:rPr>
                <w:rFonts w:cs="Arial"/>
                <w:u w:val="single"/>
              </w:rPr>
              <w:t>30</w:t>
            </w:r>
            <w:r w:rsidRPr="001D20AA">
              <w:rPr>
                <w:rFonts w:cs="Arial"/>
                <w:u w:val="single"/>
              </w:rPr>
              <w:t xml:space="preserve"> cases</w:t>
            </w:r>
            <w:r w:rsidRPr="001D20AA">
              <w:rPr>
                <w:rFonts w:cs="Arial"/>
              </w:rPr>
              <w:t xml:space="preserve"> that meet the criteria for inclusion in the denominator of the process measure during the time period of the medical record audit, include ALL of these cases in measuring adherence to the process guidelines. You need NOT use more than 12 months of historical data to increase the eligible cases beyond </w:t>
            </w:r>
            <w:r>
              <w:rPr>
                <w:rFonts w:cs="Arial"/>
              </w:rPr>
              <w:t>30</w:t>
            </w:r>
            <w:r w:rsidRPr="001D20AA">
              <w:rPr>
                <w:rFonts w:cs="Arial"/>
              </w:rPr>
              <w:t xml:space="preserve">; just measure and report on ALL eligible cases that you have in that reporting period. </w:t>
            </w:r>
          </w:p>
          <w:p w14:paraId="15F01E80" w14:textId="77777777" w:rsidR="0035204D" w:rsidRPr="001D20AA" w:rsidRDefault="0035204D" w:rsidP="00900F25">
            <w:pPr>
              <w:pStyle w:val="EndnoteText"/>
              <w:rPr>
                <w:rFonts w:cs="Arial"/>
              </w:rPr>
            </w:pPr>
          </w:p>
          <w:p w14:paraId="15027AAA" w14:textId="33CFA109" w:rsidR="0035204D" w:rsidRPr="009A5185" w:rsidRDefault="0035204D" w:rsidP="00900F25">
            <w:pPr>
              <w:pStyle w:val="EndnoteText"/>
            </w:pPr>
            <w:r w:rsidRPr="001D20AA">
              <w:rPr>
                <w:rFonts w:cs="Arial"/>
              </w:rPr>
              <w:t xml:space="preserve">If you have </w:t>
            </w:r>
            <w:r w:rsidRPr="001D20AA">
              <w:rPr>
                <w:rFonts w:cs="Arial"/>
                <w:u w:val="single"/>
              </w:rPr>
              <w:t xml:space="preserve">more than </w:t>
            </w:r>
            <w:r>
              <w:rPr>
                <w:rFonts w:cs="Arial"/>
                <w:u w:val="single"/>
              </w:rPr>
              <w:t>30</w:t>
            </w:r>
            <w:r w:rsidRPr="001D20AA">
              <w:rPr>
                <w:rFonts w:cs="Arial"/>
                <w:u w:val="single"/>
              </w:rPr>
              <w:t xml:space="preserve"> cases</w:t>
            </w:r>
            <w:r w:rsidRPr="001D20AA">
              <w:rPr>
                <w:rFonts w:cs="Arial"/>
              </w:rPr>
              <w:t xml:space="preserve"> that meet the criteria for inclusion in the denominator of the process measure during the time period of the medical record audit, you may randomly sample at least </w:t>
            </w:r>
            <w:r>
              <w:rPr>
                <w:rFonts w:cs="Arial"/>
              </w:rPr>
              <w:t>30</w:t>
            </w:r>
            <w:r w:rsidRPr="001D20AA">
              <w:rPr>
                <w:rFonts w:cs="Arial"/>
              </w:rPr>
              <w:t xml:space="preserve"> of them for the denominator of each guideline and measure and report adherence based on that sample.</w:t>
            </w:r>
          </w:p>
        </w:tc>
      </w:tr>
      <w:tr w:rsidR="0035204D" w:rsidRPr="009A5185" w14:paraId="45CB658E" w14:textId="77777777" w:rsidTr="00900F25">
        <w:trPr>
          <w:trHeight w:val="2594"/>
          <w:jc w:val="center"/>
        </w:trPr>
        <w:tc>
          <w:tcPr>
            <w:tcW w:w="9562" w:type="dxa"/>
            <w:vAlign w:val="center"/>
          </w:tcPr>
          <w:p w14:paraId="7DBC9A69" w14:textId="4662E058" w:rsidR="0035204D" w:rsidRPr="009A5185" w:rsidRDefault="0035204D" w:rsidP="00900F25">
            <w:pPr>
              <w:autoSpaceDE w:val="0"/>
              <w:autoSpaceDN w:val="0"/>
              <w:adjustRightInd w:val="0"/>
              <w:rPr>
                <w:rFonts w:cs="Arial"/>
                <w:b/>
                <w:bCs/>
              </w:rPr>
            </w:pPr>
            <w:r w:rsidRPr="009A5185">
              <w:rPr>
                <w:rFonts w:cs="Arial"/>
                <w:b/>
                <w:bCs/>
              </w:rPr>
              <w:t xml:space="preserve">Question </w:t>
            </w:r>
            <w:r w:rsidR="00B407CB">
              <w:rPr>
                <w:rFonts w:cs="Arial"/>
                <w:b/>
                <w:bCs/>
              </w:rPr>
              <w:t>#</w:t>
            </w:r>
            <w:r w:rsidRPr="009A5185">
              <w:rPr>
                <w:rFonts w:cs="Arial"/>
                <w:b/>
                <w:bCs/>
              </w:rPr>
              <w:t xml:space="preserve">3 (denominator): </w:t>
            </w:r>
            <w:r w:rsidRPr="009A5185">
              <w:rPr>
                <w:rFonts w:cs="Arial"/>
                <w:bCs/>
              </w:rPr>
              <w:t>Eligible cases include a</w:t>
            </w:r>
            <w:r w:rsidRPr="009A5185">
              <w:rPr>
                <w:rFonts w:cs="Arial"/>
              </w:rPr>
              <w:t xml:space="preserve">ll normal newborns born at or beyond 35 completed weeks gestation that were delivered in the </w:t>
            </w:r>
            <w:r>
              <w:rPr>
                <w:rFonts w:cs="Arial"/>
              </w:rPr>
              <w:t>hospital</w:t>
            </w:r>
            <w:r w:rsidRPr="009A5185">
              <w:rPr>
                <w:rFonts w:cs="Arial"/>
              </w:rPr>
              <w:t xml:space="preserve"> during the reporting period (all inborns) with </w:t>
            </w:r>
            <w:r w:rsidRPr="009A5185">
              <w:rPr>
                <w:rFonts w:cs="Arial"/>
                <w:b/>
              </w:rPr>
              <w:t>Excluded Populations</w:t>
            </w:r>
            <w:r w:rsidRPr="009A5185">
              <w:rPr>
                <w:rFonts w:cs="Arial"/>
              </w:rPr>
              <w:t xml:space="preserve"> removed. </w:t>
            </w:r>
          </w:p>
          <w:p w14:paraId="477CAEA5" w14:textId="77777777" w:rsidR="0035204D" w:rsidRPr="009A5185" w:rsidRDefault="0035204D" w:rsidP="00900F25">
            <w:pPr>
              <w:autoSpaceDE w:val="0"/>
              <w:autoSpaceDN w:val="0"/>
              <w:adjustRightInd w:val="0"/>
              <w:rPr>
                <w:rFonts w:cs="Arial"/>
                <w:b/>
                <w:bCs/>
              </w:rPr>
            </w:pPr>
          </w:p>
          <w:p w14:paraId="1544DD90" w14:textId="77777777" w:rsidR="0035204D" w:rsidRPr="009A5185" w:rsidRDefault="0035204D" w:rsidP="00900F25">
            <w:pPr>
              <w:autoSpaceDE w:val="0"/>
              <w:autoSpaceDN w:val="0"/>
              <w:adjustRightInd w:val="0"/>
              <w:rPr>
                <w:rFonts w:cs="Arial"/>
                <w:b/>
                <w:bCs/>
              </w:rPr>
            </w:pPr>
            <w:r w:rsidRPr="009A5185">
              <w:rPr>
                <w:rFonts w:cs="Arial"/>
                <w:b/>
                <w:bCs/>
              </w:rPr>
              <w:t>Excluded Populations:</w:t>
            </w:r>
          </w:p>
          <w:p w14:paraId="0DF4AD30" w14:textId="77777777" w:rsidR="0035204D" w:rsidRPr="009A5185" w:rsidRDefault="0035204D" w:rsidP="00AD309C">
            <w:pPr>
              <w:pStyle w:val="ListParagraph"/>
              <w:numPr>
                <w:ilvl w:val="0"/>
                <w:numId w:val="19"/>
              </w:numPr>
              <w:autoSpaceDE w:val="0"/>
              <w:autoSpaceDN w:val="0"/>
              <w:adjustRightInd w:val="0"/>
              <w:contextualSpacing w:val="0"/>
              <w:rPr>
                <w:rFonts w:cs="Arial"/>
              </w:rPr>
            </w:pPr>
            <w:r w:rsidRPr="009A5185">
              <w:rPr>
                <w:rFonts w:cs="Arial"/>
                <w:iCs/>
              </w:rPr>
              <w:t xml:space="preserve">admitted to a </w:t>
            </w:r>
            <w:r>
              <w:rPr>
                <w:rFonts w:cs="Arial"/>
                <w:iCs/>
              </w:rPr>
              <w:t>neonatal ICU</w:t>
            </w:r>
            <w:r w:rsidRPr="009A5185">
              <w:rPr>
                <w:rFonts w:cs="Arial"/>
                <w:iCs/>
              </w:rPr>
              <w:t>, either at your hospital or another hospital;</w:t>
            </w:r>
            <w:r w:rsidRPr="009A5185">
              <w:rPr>
                <w:rFonts w:cs="Arial"/>
              </w:rPr>
              <w:t xml:space="preserve"> or</w:t>
            </w:r>
          </w:p>
          <w:p w14:paraId="7EA4D609" w14:textId="77777777" w:rsidR="0035204D" w:rsidRPr="009A5185" w:rsidRDefault="0035204D" w:rsidP="00AD309C">
            <w:pPr>
              <w:numPr>
                <w:ilvl w:val="0"/>
                <w:numId w:val="15"/>
              </w:numPr>
              <w:autoSpaceDE w:val="0"/>
              <w:autoSpaceDN w:val="0"/>
              <w:rPr>
                <w:rFonts w:cs="Arial"/>
              </w:rPr>
            </w:pPr>
            <w:r w:rsidRPr="009A5185">
              <w:rPr>
                <w:rFonts w:cs="Arial"/>
              </w:rPr>
              <w:t>with parental refusal to test; or</w:t>
            </w:r>
          </w:p>
          <w:p w14:paraId="14B4220A" w14:textId="77777777" w:rsidR="0035204D" w:rsidRPr="009A5185" w:rsidRDefault="0035204D" w:rsidP="00AD309C">
            <w:pPr>
              <w:numPr>
                <w:ilvl w:val="0"/>
                <w:numId w:val="15"/>
              </w:numPr>
              <w:autoSpaceDE w:val="0"/>
              <w:autoSpaceDN w:val="0"/>
              <w:rPr>
                <w:rFonts w:cs="Arial"/>
                <w:iCs/>
              </w:rPr>
            </w:pPr>
            <w:r w:rsidRPr="009A5185">
              <w:rPr>
                <w:rFonts w:cs="Arial"/>
                <w:iCs/>
              </w:rPr>
              <w:t>prenatal documentation of severe congenital anomalies in the newborn and documentation that the newborn will receive comfort care measures only; or</w:t>
            </w:r>
          </w:p>
          <w:p w14:paraId="299EA277" w14:textId="32A8AB00" w:rsidR="0035204D" w:rsidRPr="00B407CB" w:rsidRDefault="0035204D" w:rsidP="00AD309C">
            <w:pPr>
              <w:numPr>
                <w:ilvl w:val="0"/>
                <w:numId w:val="15"/>
              </w:numPr>
              <w:autoSpaceDE w:val="0"/>
              <w:autoSpaceDN w:val="0"/>
              <w:rPr>
                <w:rFonts w:cs="Arial"/>
                <w:i/>
              </w:rPr>
            </w:pPr>
            <w:r w:rsidRPr="009A5185">
              <w:rPr>
                <w:rFonts w:cs="Arial"/>
              </w:rPr>
              <w:t>newborn died prior to discharge</w:t>
            </w:r>
          </w:p>
        </w:tc>
      </w:tr>
      <w:tr w:rsidR="0035204D" w:rsidRPr="009A5185" w14:paraId="6CC678D7" w14:textId="77777777" w:rsidTr="00900F25">
        <w:trPr>
          <w:trHeight w:val="656"/>
          <w:jc w:val="center"/>
        </w:trPr>
        <w:tc>
          <w:tcPr>
            <w:tcW w:w="9562" w:type="dxa"/>
            <w:vAlign w:val="center"/>
          </w:tcPr>
          <w:p w14:paraId="56E365D5" w14:textId="0BB4F060" w:rsidR="0035204D" w:rsidRPr="009A5185" w:rsidRDefault="0035204D" w:rsidP="00900F25">
            <w:pPr>
              <w:autoSpaceDE w:val="0"/>
              <w:autoSpaceDN w:val="0"/>
              <w:adjustRightInd w:val="0"/>
              <w:rPr>
                <w:rFonts w:cs="Arial"/>
              </w:rPr>
            </w:pPr>
            <w:r w:rsidRPr="009A5185">
              <w:rPr>
                <w:rFonts w:cs="Arial"/>
                <w:b/>
                <w:bCs/>
              </w:rPr>
              <w:t xml:space="preserve">Question </w:t>
            </w:r>
            <w:r w:rsidR="00B407CB">
              <w:rPr>
                <w:rFonts w:cs="Arial"/>
                <w:b/>
                <w:bCs/>
              </w:rPr>
              <w:t>#</w:t>
            </w:r>
            <w:r w:rsidRPr="009A5185">
              <w:rPr>
                <w:rFonts w:cs="Arial"/>
                <w:b/>
                <w:bCs/>
              </w:rPr>
              <w:t xml:space="preserve">4 (numerator): </w:t>
            </w:r>
            <w:r w:rsidRPr="009A5185">
              <w:rPr>
                <w:rFonts w:cs="Arial"/>
              </w:rPr>
              <w:t xml:space="preserve">Number of eligible cases included in the denominator who have a serum or transcutaneous bilirubin screen prior to discharge to identify risk of hyperbilirubinemia. </w:t>
            </w:r>
          </w:p>
        </w:tc>
      </w:tr>
    </w:tbl>
    <w:p w14:paraId="1516AF7E" w14:textId="77777777" w:rsidR="0035204D" w:rsidRPr="009A5185" w:rsidRDefault="0035204D" w:rsidP="0035204D">
      <w:pPr>
        <w:rPr>
          <w:rFonts w:cs="Arial"/>
        </w:rPr>
      </w:pPr>
    </w:p>
    <w:p w14:paraId="22573118" w14:textId="77777777" w:rsidR="0035204D" w:rsidRPr="009A5185" w:rsidRDefault="0035204D" w:rsidP="0035204D">
      <w:pPr>
        <w:rPr>
          <w:rFonts w:cs="Arial"/>
        </w:rPr>
      </w:pPr>
    </w:p>
    <w:p w14:paraId="060321AA" w14:textId="77777777" w:rsidR="0035204D" w:rsidRPr="009A5185" w:rsidRDefault="0035204D" w:rsidP="0035204D">
      <w:pPr>
        <w:rPr>
          <w:rFonts w:cs="Arial"/>
        </w:rPr>
      </w:pPr>
    </w:p>
    <w:p w14:paraId="412F3639" w14:textId="77777777" w:rsidR="0035204D" w:rsidRPr="009A5185" w:rsidRDefault="0035204D" w:rsidP="0035204D">
      <w:pPr>
        <w:rPr>
          <w:rFonts w:cs="Arial"/>
        </w:rPr>
      </w:pPr>
    </w:p>
    <w:p w14:paraId="4B3FFCC7" w14:textId="77777777" w:rsidR="0035204D" w:rsidRDefault="0035204D" w:rsidP="0035204D">
      <w:pPr>
        <w:rPr>
          <w:b/>
          <w:i/>
          <w:snapToGrid w:val="0"/>
          <w:sz w:val="24"/>
          <w:szCs w:val="24"/>
          <w:lang w:eastAsia="ja-JP"/>
        </w:rPr>
      </w:pPr>
      <w:r>
        <w:br w:type="page"/>
      </w:r>
    </w:p>
    <w:p w14:paraId="70D1307D" w14:textId="77777777" w:rsidR="0035204D" w:rsidRPr="009A5185" w:rsidRDefault="0035204D" w:rsidP="00F0772B">
      <w:pPr>
        <w:pStyle w:val="Heading44"/>
      </w:pPr>
      <w:bookmarkStart w:id="374" w:name="_Appropriate_DVT_Prophylaxis"/>
      <w:bookmarkStart w:id="375" w:name="_Toc74562740"/>
      <w:bookmarkEnd w:id="374"/>
      <w:r w:rsidRPr="009A5185">
        <w:lastRenderedPageBreak/>
        <w:t>Appropriate DVT Prophylaxis in Women Undergoing Cesarean Delivery</w:t>
      </w:r>
      <w:bookmarkEnd w:id="375"/>
    </w:p>
    <w:p w14:paraId="243E0F37" w14:textId="77777777" w:rsidR="0035204D" w:rsidRPr="000C1F1D" w:rsidRDefault="0035204D" w:rsidP="0035204D">
      <w:pPr>
        <w:rPr>
          <w:rFonts w:cs="Arial"/>
          <w:sz w:val="16"/>
          <w:szCs w:val="16"/>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2"/>
      </w:tblGrid>
      <w:tr w:rsidR="0035204D" w:rsidRPr="009A5185" w14:paraId="09BBEF96" w14:textId="77777777" w:rsidTr="000C1F1D">
        <w:trPr>
          <w:trHeight w:val="288"/>
          <w:jc w:val="center"/>
        </w:trPr>
        <w:tc>
          <w:tcPr>
            <w:tcW w:w="9562" w:type="dxa"/>
            <w:vAlign w:val="center"/>
          </w:tcPr>
          <w:p w14:paraId="7BDA88B8" w14:textId="77777777" w:rsidR="0035204D" w:rsidRPr="009A5185" w:rsidRDefault="0035204D" w:rsidP="00900F25">
            <w:pPr>
              <w:rPr>
                <w:rFonts w:cs="Arial"/>
              </w:rPr>
            </w:pPr>
            <w:r w:rsidRPr="009A5185">
              <w:rPr>
                <w:rFonts w:cs="Arial"/>
                <w:b/>
              </w:rPr>
              <w:t xml:space="preserve">Source: </w:t>
            </w:r>
            <w:r w:rsidRPr="009A5185">
              <w:rPr>
                <w:rFonts w:cs="Arial"/>
              </w:rPr>
              <w:t>National Quality Forum #0473</w:t>
            </w:r>
          </w:p>
        </w:tc>
      </w:tr>
      <w:tr w:rsidR="0035204D" w:rsidRPr="009A5185" w14:paraId="349FA077" w14:textId="77777777" w:rsidTr="00900F25">
        <w:trPr>
          <w:trHeight w:val="1296"/>
          <w:jc w:val="center"/>
        </w:trPr>
        <w:tc>
          <w:tcPr>
            <w:tcW w:w="9562" w:type="dxa"/>
            <w:vAlign w:val="center"/>
          </w:tcPr>
          <w:p w14:paraId="09E300F9" w14:textId="4DB0008D" w:rsidR="0035204D" w:rsidRPr="009A5185" w:rsidRDefault="0035204D" w:rsidP="00900F25">
            <w:pPr>
              <w:rPr>
                <w:rFonts w:cs="Arial"/>
                <w:snapToGrid w:val="0"/>
              </w:rPr>
            </w:pPr>
            <w:r w:rsidRPr="009A5185">
              <w:rPr>
                <w:rFonts w:cs="Arial"/>
                <w:b/>
                <w:snapToGrid w:val="0"/>
              </w:rPr>
              <w:t>Reporting Period:</w:t>
            </w:r>
            <w:r w:rsidRPr="009A5185">
              <w:rPr>
                <w:rFonts w:cs="Arial"/>
                <w:snapToGrid w:val="0"/>
              </w:rPr>
              <w:t xml:space="preserve"> </w:t>
            </w:r>
            <w:r w:rsidRPr="009A5185">
              <w:rPr>
                <w:rFonts w:cs="Arial"/>
                <w:b/>
                <w:snapToGrid w:val="0"/>
              </w:rPr>
              <w:t>12 months</w:t>
            </w:r>
          </w:p>
          <w:p w14:paraId="64A8FBC4" w14:textId="77777777" w:rsidR="0035204D" w:rsidRPr="001D20AA" w:rsidRDefault="0035204D" w:rsidP="00AD309C">
            <w:pPr>
              <w:pStyle w:val="ListParagraph"/>
              <w:numPr>
                <w:ilvl w:val="0"/>
                <w:numId w:val="29"/>
              </w:numPr>
              <w:rPr>
                <w:rFonts w:cs="Arial"/>
                <w:i/>
                <w:snapToGrid w:val="0"/>
              </w:rPr>
            </w:pPr>
            <w:r>
              <w:rPr>
                <w:rFonts w:cs="Arial"/>
                <w:iCs/>
                <w:snapToGrid w:val="0"/>
              </w:rPr>
              <w:t>Surveys submitted prior to September 1:</w:t>
            </w:r>
          </w:p>
          <w:p w14:paraId="41CF6798" w14:textId="0754EB50" w:rsidR="0035204D" w:rsidRPr="001D20AA" w:rsidRDefault="0035204D" w:rsidP="00AD309C">
            <w:pPr>
              <w:pStyle w:val="ListParagraph"/>
              <w:numPr>
                <w:ilvl w:val="1"/>
                <w:numId w:val="29"/>
              </w:numPr>
              <w:rPr>
                <w:rFonts w:cs="Arial"/>
                <w:i/>
                <w:snapToGrid w:val="0"/>
              </w:rPr>
            </w:pPr>
            <w:r w:rsidRPr="009A5185">
              <w:rPr>
                <w:rFonts w:cs="Arial"/>
                <w:snapToGrid w:val="0"/>
              </w:rPr>
              <w:t>01/01/</w:t>
            </w:r>
            <w:r>
              <w:rPr>
                <w:rFonts w:cs="Arial"/>
                <w:snapToGrid w:val="0"/>
              </w:rPr>
              <w:t>202</w:t>
            </w:r>
            <w:r w:rsidR="00E11096">
              <w:rPr>
                <w:rFonts w:cs="Arial"/>
                <w:snapToGrid w:val="0"/>
              </w:rPr>
              <w:t>5</w:t>
            </w:r>
            <w:r w:rsidRPr="009A5185">
              <w:rPr>
                <w:rFonts w:cs="Arial"/>
                <w:snapToGrid w:val="0"/>
              </w:rPr>
              <w:t xml:space="preserve"> </w:t>
            </w:r>
            <w:r w:rsidR="00B407CB">
              <w:rPr>
                <w:rFonts w:cs="Arial"/>
                <w:snapToGrid w:val="0"/>
              </w:rPr>
              <w:t>–</w:t>
            </w:r>
            <w:r w:rsidRPr="009A5185">
              <w:rPr>
                <w:rFonts w:cs="Arial"/>
                <w:snapToGrid w:val="0"/>
              </w:rPr>
              <w:t xml:space="preserve"> 12/31/</w:t>
            </w:r>
            <w:r>
              <w:rPr>
                <w:rFonts w:cs="Arial"/>
                <w:snapToGrid w:val="0"/>
              </w:rPr>
              <w:t>202</w:t>
            </w:r>
            <w:r w:rsidR="00E11096">
              <w:rPr>
                <w:rFonts w:cs="Arial"/>
                <w:snapToGrid w:val="0"/>
              </w:rPr>
              <w:t>5</w:t>
            </w:r>
          </w:p>
          <w:p w14:paraId="4CC60072" w14:textId="77777777" w:rsidR="0035204D" w:rsidRPr="001D20AA" w:rsidRDefault="0035204D" w:rsidP="00AD309C">
            <w:pPr>
              <w:pStyle w:val="ListParagraph"/>
              <w:numPr>
                <w:ilvl w:val="0"/>
                <w:numId w:val="29"/>
              </w:numPr>
              <w:rPr>
                <w:rFonts w:cs="Arial"/>
                <w:i/>
                <w:snapToGrid w:val="0"/>
              </w:rPr>
            </w:pPr>
            <w:r w:rsidRPr="009A5185">
              <w:rPr>
                <w:rFonts w:cs="Arial"/>
                <w:snapToGrid w:val="0"/>
              </w:rPr>
              <w:t xml:space="preserve">Surveys (re)submitted on or after September 1: </w:t>
            </w:r>
          </w:p>
          <w:p w14:paraId="5965FA3D" w14:textId="22FE87C0" w:rsidR="0035204D" w:rsidRPr="000C1F1D" w:rsidRDefault="0035204D" w:rsidP="00AD309C">
            <w:pPr>
              <w:pStyle w:val="ListParagraph"/>
              <w:numPr>
                <w:ilvl w:val="1"/>
                <w:numId w:val="29"/>
              </w:numPr>
              <w:rPr>
                <w:rFonts w:cs="Arial"/>
                <w:b/>
              </w:rPr>
            </w:pPr>
            <w:r w:rsidRPr="009A5185">
              <w:rPr>
                <w:rFonts w:cs="Arial"/>
                <w:snapToGrid w:val="0"/>
              </w:rPr>
              <w:t>07/01/</w:t>
            </w:r>
            <w:r>
              <w:rPr>
                <w:rFonts w:cs="Arial"/>
                <w:snapToGrid w:val="0"/>
              </w:rPr>
              <w:t>202</w:t>
            </w:r>
            <w:r w:rsidR="00E11096">
              <w:rPr>
                <w:rFonts w:cs="Arial"/>
                <w:snapToGrid w:val="0"/>
              </w:rPr>
              <w:t>5</w:t>
            </w:r>
            <w:r w:rsidRPr="009A5185">
              <w:rPr>
                <w:rFonts w:cs="Arial"/>
                <w:snapToGrid w:val="0"/>
              </w:rPr>
              <w:t xml:space="preserve"> </w:t>
            </w:r>
            <w:r w:rsidR="00B407CB">
              <w:rPr>
                <w:rFonts w:cs="Arial"/>
                <w:snapToGrid w:val="0"/>
              </w:rPr>
              <w:t>–</w:t>
            </w:r>
            <w:r w:rsidRPr="009A5185">
              <w:rPr>
                <w:rFonts w:cs="Arial"/>
                <w:snapToGrid w:val="0"/>
              </w:rPr>
              <w:t xml:space="preserve"> 06/30/</w:t>
            </w:r>
            <w:r>
              <w:rPr>
                <w:rFonts w:cs="Arial"/>
                <w:snapToGrid w:val="0"/>
              </w:rPr>
              <w:t>202</w:t>
            </w:r>
            <w:r w:rsidR="00E11096">
              <w:rPr>
                <w:rFonts w:cs="Arial"/>
                <w:snapToGrid w:val="0"/>
              </w:rPr>
              <w:t>6</w:t>
            </w:r>
          </w:p>
          <w:p w14:paraId="7C929B7C" w14:textId="77777777" w:rsidR="006E0696" w:rsidRPr="000C1F1D" w:rsidRDefault="006E0696" w:rsidP="006E0696">
            <w:pPr>
              <w:rPr>
                <w:rFonts w:cs="Arial"/>
                <w:b/>
                <w:sz w:val="16"/>
                <w:szCs w:val="16"/>
              </w:rPr>
            </w:pPr>
          </w:p>
          <w:p w14:paraId="59C9FA99" w14:textId="2F7E076D" w:rsidR="006E0696" w:rsidRPr="002C718A" w:rsidRDefault="006E0696" w:rsidP="000C1F1D">
            <w:pPr>
              <w:rPr>
                <w:rFonts w:cs="Arial"/>
                <w:b/>
              </w:rPr>
            </w:pPr>
            <w:r>
              <w:rPr>
                <w:rFonts w:cs="Arial"/>
                <w:bCs/>
              </w:rPr>
              <w:t>Note: The discharge date must be used to determine whether a case falls within the reporting period specified.</w:t>
            </w:r>
          </w:p>
        </w:tc>
      </w:tr>
      <w:tr w:rsidR="0035204D" w:rsidRPr="009A5185" w14:paraId="47310DD8" w14:textId="77777777" w:rsidTr="000C1F1D">
        <w:trPr>
          <w:trHeight w:val="720"/>
          <w:jc w:val="center"/>
        </w:trPr>
        <w:tc>
          <w:tcPr>
            <w:tcW w:w="9562" w:type="dxa"/>
            <w:vAlign w:val="center"/>
          </w:tcPr>
          <w:p w14:paraId="0CD7A066" w14:textId="6143C32C" w:rsidR="0035204D" w:rsidRPr="009A5185" w:rsidRDefault="0035204D" w:rsidP="00900F25">
            <w:pPr>
              <w:rPr>
                <w:rFonts w:cs="Arial"/>
                <w:b/>
                <w:snapToGrid w:val="0"/>
              </w:rPr>
            </w:pPr>
            <w:r w:rsidRPr="00375B0D">
              <w:rPr>
                <w:rFonts w:cs="Arial"/>
              </w:rPr>
              <w:t>Hospitals participating in the California Maternal Quality Care Collaborative (CMQCC) Maternal Data Center may use the data provided in CMQCC reports when responding to this subsection of the Survey.</w:t>
            </w:r>
            <w:r>
              <w:rPr>
                <w:rFonts w:cs="Arial"/>
              </w:rPr>
              <w:t xml:space="preserve"> </w:t>
            </w:r>
            <w:r w:rsidRPr="009A5185">
              <w:rPr>
                <w:rFonts w:cs="Arial"/>
              </w:rPr>
              <w:t xml:space="preserve">Download instructions for using the </w:t>
            </w:r>
            <w:r>
              <w:rPr>
                <w:rFonts w:cs="Arial"/>
              </w:rPr>
              <w:t>CMQCC reports</w:t>
            </w:r>
            <w:r w:rsidRPr="009A5185">
              <w:rPr>
                <w:rFonts w:cs="Arial"/>
              </w:rPr>
              <w:t xml:space="preserve"> on the </w:t>
            </w:r>
            <w:hyperlink r:id="rId308" w:history="1">
              <w:r w:rsidRPr="009A5185">
                <w:rPr>
                  <w:rStyle w:val="Hyperlink"/>
                  <w:rFonts w:cs="Arial"/>
                </w:rPr>
                <w:t>Survey and CPOE Materials webpage</w:t>
              </w:r>
            </w:hyperlink>
            <w:r w:rsidRPr="009A5185">
              <w:rPr>
                <w:rFonts w:cs="Arial"/>
              </w:rPr>
              <w:t>.</w:t>
            </w:r>
          </w:p>
        </w:tc>
      </w:tr>
      <w:tr w:rsidR="0035204D" w:rsidRPr="009A5185" w14:paraId="54EC10DD" w14:textId="77777777" w:rsidTr="000C1F1D">
        <w:trPr>
          <w:trHeight w:val="2016"/>
          <w:jc w:val="center"/>
        </w:trPr>
        <w:tc>
          <w:tcPr>
            <w:tcW w:w="9562" w:type="dxa"/>
            <w:vAlign w:val="center"/>
          </w:tcPr>
          <w:p w14:paraId="3FECF86D" w14:textId="494F1877" w:rsidR="0035204D" w:rsidRPr="001D20AA" w:rsidRDefault="0035204D" w:rsidP="00900F25">
            <w:pPr>
              <w:pStyle w:val="EndnoteText"/>
              <w:rPr>
                <w:rFonts w:cs="Arial"/>
              </w:rPr>
            </w:pPr>
            <w:r w:rsidRPr="009A5185">
              <w:rPr>
                <w:rFonts w:cs="Arial"/>
                <w:b/>
              </w:rPr>
              <w:t>Sampling:</w:t>
            </w:r>
            <w:r w:rsidRPr="009A5185">
              <w:rPr>
                <w:rFonts w:cs="Arial"/>
              </w:rPr>
              <w:t xml:space="preserve"> If you ha</w:t>
            </w:r>
            <w:r w:rsidRPr="001D20AA">
              <w:rPr>
                <w:rFonts w:cs="Arial"/>
              </w:rPr>
              <w:t xml:space="preserve">ve </w:t>
            </w:r>
            <w:r w:rsidRPr="001D20AA">
              <w:rPr>
                <w:rFonts w:cs="Arial"/>
                <w:u w:val="single"/>
              </w:rPr>
              <w:t xml:space="preserve">fewer than </w:t>
            </w:r>
            <w:r>
              <w:rPr>
                <w:rFonts w:cs="Arial"/>
                <w:u w:val="single"/>
              </w:rPr>
              <w:t>30</w:t>
            </w:r>
            <w:r w:rsidRPr="001D20AA">
              <w:rPr>
                <w:rFonts w:cs="Arial"/>
                <w:u w:val="single"/>
              </w:rPr>
              <w:t xml:space="preserve"> cases</w:t>
            </w:r>
            <w:r w:rsidRPr="001D20AA">
              <w:rPr>
                <w:rFonts w:cs="Arial"/>
              </w:rPr>
              <w:t xml:space="preserve"> that meet the criteria for inclusion in the denominator of the process measure during the time period of the medical record audit, include ALL of these cases in measuring adherence to the process guidelines. You need NOT use more than 12 months of historical data to increase the eligible cases beyond </w:t>
            </w:r>
            <w:r>
              <w:rPr>
                <w:rFonts w:cs="Arial"/>
              </w:rPr>
              <w:t>30</w:t>
            </w:r>
            <w:r w:rsidRPr="001D20AA">
              <w:rPr>
                <w:rFonts w:cs="Arial"/>
              </w:rPr>
              <w:t xml:space="preserve">; just measure and report on ALL eligible cases that you have in that reporting period. </w:t>
            </w:r>
          </w:p>
          <w:p w14:paraId="01034917" w14:textId="77777777" w:rsidR="0035204D" w:rsidRPr="001D20AA" w:rsidRDefault="0035204D" w:rsidP="00900F25">
            <w:pPr>
              <w:pStyle w:val="EndnoteText"/>
              <w:rPr>
                <w:rFonts w:cs="Arial"/>
              </w:rPr>
            </w:pPr>
          </w:p>
          <w:p w14:paraId="03C26D69" w14:textId="615D6822" w:rsidR="0035204D" w:rsidRPr="009A5185" w:rsidRDefault="0035204D" w:rsidP="00900F25">
            <w:pPr>
              <w:pStyle w:val="EndnoteText"/>
            </w:pPr>
            <w:r w:rsidRPr="001D20AA">
              <w:rPr>
                <w:rFonts w:cs="Arial"/>
              </w:rPr>
              <w:t xml:space="preserve">If you have </w:t>
            </w:r>
            <w:r w:rsidRPr="001D20AA">
              <w:rPr>
                <w:rFonts w:cs="Arial"/>
                <w:u w:val="single"/>
              </w:rPr>
              <w:t xml:space="preserve">more than </w:t>
            </w:r>
            <w:r>
              <w:rPr>
                <w:rFonts w:cs="Arial"/>
                <w:u w:val="single"/>
              </w:rPr>
              <w:t>30</w:t>
            </w:r>
            <w:r w:rsidRPr="001D20AA">
              <w:rPr>
                <w:rFonts w:cs="Arial"/>
                <w:u w:val="single"/>
              </w:rPr>
              <w:t xml:space="preserve"> cases</w:t>
            </w:r>
            <w:r w:rsidRPr="001D20AA">
              <w:rPr>
                <w:rFonts w:cs="Arial"/>
              </w:rPr>
              <w:t xml:space="preserve"> that meet the criteria for inclusion in the denominator of the process measure during the time period of the medical record audit, you may randomly sample at least </w:t>
            </w:r>
            <w:r>
              <w:rPr>
                <w:rFonts w:cs="Arial"/>
              </w:rPr>
              <w:t>30</w:t>
            </w:r>
            <w:r w:rsidRPr="001D20AA">
              <w:rPr>
                <w:rFonts w:cs="Arial"/>
              </w:rPr>
              <w:t xml:space="preserve"> of them for the denominator of each guideline and measure and report adherence based on that sample.</w:t>
            </w:r>
          </w:p>
        </w:tc>
      </w:tr>
      <w:tr w:rsidR="0035204D" w:rsidRPr="009A5185" w14:paraId="7A8ECBD6" w14:textId="77777777" w:rsidTr="00900F25">
        <w:trPr>
          <w:trHeight w:val="2880"/>
          <w:jc w:val="center"/>
        </w:trPr>
        <w:tc>
          <w:tcPr>
            <w:tcW w:w="9562" w:type="dxa"/>
            <w:vAlign w:val="center"/>
          </w:tcPr>
          <w:p w14:paraId="7F4FBF34" w14:textId="6C3792E6" w:rsidR="0035204D" w:rsidRPr="009A5185" w:rsidRDefault="0035204D" w:rsidP="00900F25">
            <w:pPr>
              <w:autoSpaceDE w:val="0"/>
              <w:autoSpaceDN w:val="0"/>
              <w:adjustRightInd w:val="0"/>
              <w:rPr>
                <w:rFonts w:cs="Arial"/>
                <w:b/>
                <w:bCs/>
              </w:rPr>
            </w:pPr>
            <w:bookmarkStart w:id="376" w:name="_Hlk59092963"/>
            <w:r>
              <w:rPr>
                <w:rFonts w:cs="Arial"/>
                <w:b/>
                <w:bCs/>
              </w:rPr>
              <w:t>Question</w:t>
            </w:r>
            <w:r w:rsidRPr="009A5185">
              <w:rPr>
                <w:rFonts w:cs="Arial"/>
                <w:b/>
                <w:bCs/>
              </w:rPr>
              <w:t xml:space="preserve"> </w:t>
            </w:r>
            <w:r w:rsidR="00B407CB">
              <w:rPr>
                <w:rFonts w:cs="Arial"/>
                <w:b/>
                <w:bCs/>
              </w:rPr>
              <w:t>#</w:t>
            </w:r>
            <w:r>
              <w:rPr>
                <w:rFonts w:cs="Arial"/>
                <w:b/>
                <w:bCs/>
              </w:rPr>
              <w:t>7</w:t>
            </w:r>
            <w:r w:rsidRPr="009A5185">
              <w:rPr>
                <w:rFonts w:cs="Arial"/>
                <w:b/>
                <w:bCs/>
              </w:rPr>
              <w:t xml:space="preserve"> (denominator): </w:t>
            </w:r>
            <w:r w:rsidRPr="009A5185">
              <w:rPr>
                <w:rFonts w:cs="Arial"/>
                <w:bCs/>
              </w:rPr>
              <w:t>Eligible cases include a</w:t>
            </w:r>
            <w:r w:rsidRPr="009A5185">
              <w:rPr>
                <w:rFonts w:cs="Arial"/>
              </w:rPr>
              <w:t xml:space="preserve">ll women undergoing cesarean delivery during the reporting period. </w:t>
            </w:r>
          </w:p>
          <w:p w14:paraId="316734B0" w14:textId="77777777" w:rsidR="0035204D" w:rsidRPr="000C1F1D" w:rsidRDefault="0035204D" w:rsidP="00900F25">
            <w:pPr>
              <w:autoSpaceDE w:val="0"/>
              <w:autoSpaceDN w:val="0"/>
              <w:adjustRightInd w:val="0"/>
              <w:rPr>
                <w:rFonts w:cs="Arial"/>
                <w:i/>
                <w:sz w:val="16"/>
                <w:szCs w:val="16"/>
              </w:rPr>
            </w:pPr>
            <w:r w:rsidRPr="009A5185">
              <w:rPr>
                <w:rFonts w:cs="Arial"/>
                <w:i/>
              </w:rPr>
              <w:t xml:space="preserve"> </w:t>
            </w:r>
          </w:p>
          <w:p w14:paraId="5F5D1515" w14:textId="77777777" w:rsidR="0035204D" w:rsidRPr="009A5185" w:rsidRDefault="0035204D" w:rsidP="00900F25">
            <w:pPr>
              <w:autoSpaceDE w:val="0"/>
              <w:autoSpaceDN w:val="0"/>
              <w:adjustRightInd w:val="0"/>
              <w:rPr>
                <w:rFonts w:cs="Arial"/>
              </w:rPr>
            </w:pPr>
            <w:r w:rsidRPr="009A5185">
              <w:rPr>
                <w:rFonts w:cs="Arial"/>
              </w:rPr>
              <w:t>Include cases with one of the following MS-DRG codes:</w:t>
            </w:r>
          </w:p>
          <w:p w14:paraId="10FEBBF8" w14:textId="77777777" w:rsidR="0035204D" w:rsidRPr="001651B1" w:rsidRDefault="0035204D" w:rsidP="00AD309C">
            <w:pPr>
              <w:numPr>
                <w:ilvl w:val="0"/>
                <w:numId w:val="16"/>
              </w:numPr>
              <w:autoSpaceDE w:val="0"/>
              <w:autoSpaceDN w:val="0"/>
              <w:adjustRightInd w:val="0"/>
              <w:rPr>
                <w:rFonts w:cs="Arial"/>
                <w:color w:val="000000"/>
              </w:rPr>
            </w:pPr>
            <w:r w:rsidRPr="001651B1">
              <w:rPr>
                <w:rFonts w:cs="Arial"/>
                <w:color w:val="000000"/>
              </w:rPr>
              <w:t>783: Cesarean section with sterilization with MCC</w:t>
            </w:r>
          </w:p>
          <w:p w14:paraId="177DDDCE" w14:textId="77777777" w:rsidR="0035204D" w:rsidRPr="001651B1" w:rsidRDefault="0035204D" w:rsidP="00AD309C">
            <w:pPr>
              <w:numPr>
                <w:ilvl w:val="0"/>
                <w:numId w:val="16"/>
              </w:numPr>
              <w:autoSpaceDE w:val="0"/>
              <w:autoSpaceDN w:val="0"/>
              <w:adjustRightInd w:val="0"/>
              <w:rPr>
                <w:rFonts w:cs="Arial"/>
                <w:color w:val="000000"/>
              </w:rPr>
            </w:pPr>
            <w:r w:rsidRPr="001651B1">
              <w:rPr>
                <w:rFonts w:cs="Arial"/>
                <w:color w:val="000000"/>
              </w:rPr>
              <w:t>784: Cesarean section with sterilization with CC</w:t>
            </w:r>
          </w:p>
          <w:p w14:paraId="52B2F0F7" w14:textId="77777777" w:rsidR="0035204D" w:rsidRPr="001651B1" w:rsidRDefault="0035204D" w:rsidP="00AD309C">
            <w:pPr>
              <w:numPr>
                <w:ilvl w:val="0"/>
                <w:numId w:val="16"/>
              </w:numPr>
              <w:autoSpaceDE w:val="0"/>
              <w:autoSpaceDN w:val="0"/>
              <w:adjustRightInd w:val="0"/>
              <w:rPr>
                <w:rFonts w:cs="Arial"/>
                <w:color w:val="000000"/>
              </w:rPr>
            </w:pPr>
            <w:r w:rsidRPr="001651B1">
              <w:rPr>
                <w:rFonts w:cs="Arial"/>
                <w:color w:val="000000"/>
              </w:rPr>
              <w:t>785: Cesarean section with sterilization without CC/MCC</w:t>
            </w:r>
          </w:p>
          <w:p w14:paraId="35D3185C" w14:textId="77777777" w:rsidR="0035204D" w:rsidRPr="001651B1" w:rsidRDefault="0035204D" w:rsidP="00AD309C">
            <w:pPr>
              <w:numPr>
                <w:ilvl w:val="0"/>
                <w:numId w:val="16"/>
              </w:numPr>
              <w:autoSpaceDE w:val="0"/>
              <w:autoSpaceDN w:val="0"/>
              <w:adjustRightInd w:val="0"/>
              <w:rPr>
                <w:rFonts w:cs="Arial"/>
                <w:color w:val="000000"/>
              </w:rPr>
            </w:pPr>
            <w:r w:rsidRPr="001651B1">
              <w:rPr>
                <w:rFonts w:cs="Arial"/>
                <w:color w:val="000000"/>
              </w:rPr>
              <w:t>786: Cesarean section without sterilization with MCC</w:t>
            </w:r>
          </w:p>
          <w:p w14:paraId="7E5A5916" w14:textId="77777777" w:rsidR="0035204D" w:rsidRPr="001651B1" w:rsidRDefault="0035204D" w:rsidP="00AD309C">
            <w:pPr>
              <w:numPr>
                <w:ilvl w:val="0"/>
                <w:numId w:val="16"/>
              </w:numPr>
              <w:autoSpaceDE w:val="0"/>
              <w:autoSpaceDN w:val="0"/>
              <w:adjustRightInd w:val="0"/>
              <w:rPr>
                <w:rFonts w:cs="Arial"/>
                <w:color w:val="000000"/>
              </w:rPr>
            </w:pPr>
            <w:r w:rsidRPr="001651B1">
              <w:rPr>
                <w:rFonts w:cs="Arial"/>
                <w:color w:val="000000"/>
              </w:rPr>
              <w:t>787: Cesarean section without sterilization with CC</w:t>
            </w:r>
          </w:p>
          <w:p w14:paraId="6B188EC3" w14:textId="77777777" w:rsidR="0035204D" w:rsidRDefault="0035204D" w:rsidP="00AD309C">
            <w:pPr>
              <w:numPr>
                <w:ilvl w:val="0"/>
                <w:numId w:val="16"/>
              </w:numPr>
              <w:autoSpaceDE w:val="0"/>
              <w:autoSpaceDN w:val="0"/>
              <w:adjustRightInd w:val="0"/>
              <w:rPr>
                <w:rFonts w:cs="Arial"/>
                <w:color w:val="000000"/>
              </w:rPr>
            </w:pPr>
            <w:r w:rsidRPr="001651B1">
              <w:rPr>
                <w:rFonts w:cs="Arial"/>
                <w:color w:val="000000"/>
              </w:rPr>
              <w:t>788: Cesarean section without sterilization without CC/MCC</w:t>
            </w:r>
          </w:p>
          <w:p w14:paraId="455A19A2" w14:textId="77777777" w:rsidR="00C41D26" w:rsidRPr="000C1F1D" w:rsidRDefault="00C41D26" w:rsidP="00C41D26">
            <w:pPr>
              <w:autoSpaceDE w:val="0"/>
              <w:autoSpaceDN w:val="0"/>
              <w:adjustRightInd w:val="0"/>
              <w:rPr>
                <w:rFonts w:cs="Arial"/>
                <w:color w:val="000000"/>
                <w:sz w:val="16"/>
                <w:szCs w:val="16"/>
              </w:rPr>
            </w:pPr>
          </w:p>
          <w:p w14:paraId="5C3C74BA" w14:textId="41EFD5C6" w:rsidR="00C41D26" w:rsidRPr="002C718A" w:rsidRDefault="00C41D26" w:rsidP="00C41D26">
            <w:pPr>
              <w:autoSpaceDE w:val="0"/>
              <w:autoSpaceDN w:val="0"/>
              <w:adjustRightInd w:val="0"/>
              <w:rPr>
                <w:rFonts w:cs="Arial"/>
              </w:rPr>
            </w:pPr>
            <w:r w:rsidRPr="002C718A">
              <w:rPr>
                <w:rFonts w:cs="Arial"/>
              </w:rPr>
              <w:t>The following APR-DRGs should also be used to identify a cesarean delivery if your hospital uses APR-DRG coding:</w:t>
            </w:r>
          </w:p>
          <w:p w14:paraId="1656D7DE" w14:textId="31716EB7" w:rsidR="00C41D26" w:rsidRPr="002C718A" w:rsidRDefault="00C41D26" w:rsidP="00AD309C">
            <w:pPr>
              <w:pStyle w:val="ListParagraph"/>
              <w:numPr>
                <w:ilvl w:val="0"/>
                <w:numId w:val="83"/>
              </w:numPr>
              <w:autoSpaceDE w:val="0"/>
              <w:autoSpaceDN w:val="0"/>
              <w:adjustRightInd w:val="0"/>
              <w:rPr>
                <w:rFonts w:cs="Arial"/>
              </w:rPr>
            </w:pPr>
            <w:r w:rsidRPr="002C718A">
              <w:rPr>
                <w:rFonts w:cs="Arial"/>
              </w:rPr>
              <w:t>539: Cesarean section with sterilization</w:t>
            </w:r>
          </w:p>
          <w:p w14:paraId="756A4886" w14:textId="2B24B17E" w:rsidR="00C41D26" w:rsidRPr="002C718A" w:rsidRDefault="00C41D26" w:rsidP="00AD309C">
            <w:pPr>
              <w:pStyle w:val="ListParagraph"/>
              <w:numPr>
                <w:ilvl w:val="0"/>
                <w:numId w:val="83"/>
              </w:numPr>
              <w:autoSpaceDE w:val="0"/>
              <w:autoSpaceDN w:val="0"/>
              <w:adjustRightInd w:val="0"/>
              <w:rPr>
                <w:rFonts w:cs="Arial"/>
              </w:rPr>
            </w:pPr>
            <w:r w:rsidRPr="002C718A">
              <w:rPr>
                <w:rFonts w:cs="Arial"/>
              </w:rPr>
              <w:t>540: Cesarean section without sterilization</w:t>
            </w:r>
          </w:p>
          <w:p w14:paraId="20446CE6" w14:textId="77777777" w:rsidR="003A09DE" w:rsidRPr="002C718A" w:rsidRDefault="003A09DE" w:rsidP="003A09DE">
            <w:pPr>
              <w:autoSpaceDE w:val="0"/>
              <w:autoSpaceDN w:val="0"/>
              <w:adjustRightInd w:val="0"/>
              <w:rPr>
                <w:rFonts w:cs="Arial"/>
                <w:sz w:val="16"/>
                <w:szCs w:val="16"/>
              </w:rPr>
            </w:pPr>
          </w:p>
          <w:p w14:paraId="7FF63F14" w14:textId="68901061" w:rsidR="003A09DE" w:rsidRPr="002C718A" w:rsidRDefault="003A09DE" w:rsidP="003A09DE">
            <w:pPr>
              <w:autoSpaceDE w:val="0"/>
              <w:autoSpaceDN w:val="0"/>
              <w:adjustRightInd w:val="0"/>
              <w:rPr>
                <w:rFonts w:cs="Arial"/>
              </w:rPr>
            </w:pPr>
            <w:r w:rsidRPr="002C718A">
              <w:rPr>
                <w:rFonts w:cs="Arial"/>
              </w:rPr>
              <w:t>The following Tricare DRGs should also be used to identify a cesarean delivery if your hospital uses Tricare DRG coding:</w:t>
            </w:r>
          </w:p>
          <w:p w14:paraId="31F9FB08" w14:textId="18EAD271" w:rsidR="003A09DE" w:rsidRPr="002C718A" w:rsidRDefault="003A09DE" w:rsidP="00AD309C">
            <w:pPr>
              <w:pStyle w:val="ListParagraph"/>
              <w:numPr>
                <w:ilvl w:val="0"/>
                <w:numId w:val="225"/>
              </w:numPr>
              <w:autoSpaceDE w:val="0"/>
              <w:autoSpaceDN w:val="0"/>
              <w:adjustRightInd w:val="0"/>
              <w:rPr>
                <w:rFonts w:cs="Arial"/>
              </w:rPr>
            </w:pPr>
            <w:r w:rsidRPr="002C718A">
              <w:rPr>
                <w:rFonts w:cs="Arial"/>
              </w:rPr>
              <w:t>771 Cesarean section without sterilization with MCC</w:t>
            </w:r>
          </w:p>
          <w:p w14:paraId="5E203E24" w14:textId="32CCE9BD" w:rsidR="003A09DE" w:rsidRPr="002C718A" w:rsidRDefault="003A09DE" w:rsidP="00AD309C">
            <w:pPr>
              <w:pStyle w:val="ListParagraph"/>
              <w:numPr>
                <w:ilvl w:val="0"/>
                <w:numId w:val="225"/>
              </w:numPr>
              <w:autoSpaceDE w:val="0"/>
              <w:autoSpaceDN w:val="0"/>
              <w:adjustRightInd w:val="0"/>
              <w:rPr>
                <w:rFonts w:cs="Arial"/>
              </w:rPr>
            </w:pPr>
            <w:r w:rsidRPr="002C718A">
              <w:rPr>
                <w:rFonts w:cs="Arial"/>
              </w:rPr>
              <w:t>772 Cesarean section without sterilization with CC</w:t>
            </w:r>
          </w:p>
          <w:p w14:paraId="15FCDBEC" w14:textId="3F0941B8" w:rsidR="003A09DE" w:rsidRPr="002C718A" w:rsidRDefault="003A09DE" w:rsidP="00AD309C">
            <w:pPr>
              <w:pStyle w:val="ListParagraph"/>
              <w:numPr>
                <w:ilvl w:val="0"/>
                <w:numId w:val="225"/>
              </w:numPr>
              <w:autoSpaceDE w:val="0"/>
              <w:autoSpaceDN w:val="0"/>
              <w:adjustRightInd w:val="0"/>
              <w:rPr>
                <w:rFonts w:cs="Arial"/>
              </w:rPr>
            </w:pPr>
            <w:r w:rsidRPr="002C718A">
              <w:rPr>
                <w:rFonts w:cs="Arial"/>
              </w:rPr>
              <w:t>773 Cesarean section without sterilization without CC/MCC</w:t>
            </w:r>
          </w:p>
          <w:p w14:paraId="208DB558" w14:textId="3618AA61" w:rsidR="003A09DE" w:rsidRPr="002C718A" w:rsidRDefault="003A09DE" w:rsidP="00AD309C">
            <w:pPr>
              <w:pStyle w:val="ListParagraph"/>
              <w:numPr>
                <w:ilvl w:val="0"/>
                <w:numId w:val="225"/>
              </w:numPr>
              <w:autoSpaceDE w:val="0"/>
              <w:autoSpaceDN w:val="0"/>
              <w:adjustRightInd w:val="0"/>
              <w:rPr>
                <w:rFonts w:cs="Arial"/>
              </w:rPr>
            </w:pPr>
            <w:r w:rsidRPr="002C718A">
              <w:rPr>
                <w:rFonts w:cs="Arial"/>
              </w:rPr>
              <w:t>783 Cesarean section with sterilization with MCC</w:t>
            </w:r>
          </w:p>
          <w:p w14:paraId="7772A4D1" w14:textId="6E08D349" w:rsidR="003A09DE" w:rsidRPr="002C718A" w:rsidRDefault="003A09DE" w:rsidP="00AD309C">
            <w:pPr>
              <w:pStyle w:val="ListParagraph"/>
              <w:numPr>
                <w:ilvl w:val="0"/>
                <w:numId w:val="225"/>
              </w:numPr>
              <w:autoSpaceDE w:val="0"/>
              <w:autoSpaceDN w:val="0"/>
              <w:adjustRightInd w:val="0"/>
              <w:rPr>
                <w:rFonts w:cs="Arial"/>
              </w:rPr>
            </w:pPr>
            <w:r w:rsidRPr="002C718A">
              <w:rPr>
                <w:rFonts w:cs="Arial"/>
              </w:rPr>
              <w:t>784 Cesarean section with sterilization with CC</w:t>
            </w:r>
          </w:p>
          <w:p w14:paraId="3106F5A4" w14:textId="4C7641FD" w:rsidR="003A09DE" w:rsidRPr="002C718A" w:rsidRDefault="003A09DE" w:rsidP="00AD309C">
            <w:pPr>
              <w:pStyle w:val="ListParagraph"/>
              <w:numPr>
                <w:ilvl w:val="0"/>
                <w:numId w:val="225"/>
              </w:numPr>
              <w:autoSpaceDE w:val="0"/>
              <w:autoSpaceDN w:val="0"/>
              <w:adjustRightInd w:val="0"/>
              <w:rPr>
                <w:rFonts w:cs="Arial"/>
              </w:rPr>
            </w:pPr>
            <w:r w:rsidRPr="002C718A">
              <w:rPr>
                <w:rFonts w:cs="Arial"/>
              </w:rPr>
              <w:t>785 Cesarean section with sterilization without CC/MCC</w:t>
            </w:r>
          </w:p>
          <w:bookmarkEnd w:id="376"/>
          <w:p w14:paraId="2829ACBA" w14:textId="77777777" w:rsidR="0035204D" w:rsidRPr="009A5185" w:rsidRDefault="0035204D" w:rsidP="00900F25">
            <w:pPr>
              <w:autoSpaceDE w:val="0"/>
              <w:autoSpaceDN w:val="0"/>
              <w:adjustRightInd w:val="0"/>
              <w:rPr>
                <w:rFonts w:cs="Arial"/>
                <w:sz w:val="16"/>
                <w:szCs w:val="16"/>
              </w:rPr>
            </w:pPr>
          </w:p>
          <w:p w14:paraId="22C1A976" w14:textId="10059D16" w:rsidR="0035204D" w:rsidRPr="009A5185" w:rsidRDefault="0035204D" w:rsidP="00900F25">
            <w:pPr>
              <w:autoSpaceDE w:val="0"/>
              <w:autoSpaceDN w:val="0"/>
              <w:adjustRightInd w:val="0"/>
              <w:rPr>
                <w:rFonts w:cs="Arial"/>
                <w:i/>
              </w:rPr>
            </w:pPr>
            <w:r w:rsidRPr="009A5185">
              <w:rPr>
                <w:rFonts w:cs="Arial"/>
                <w:b/>
                <w:bCs/>
              </w:rPr>
              <w:t xml:space="preserve">Excluded Populations: </w:t>
            </w:r>
            <w:r w:rsidRPr="009A5185">
              <w:rPr>
                <w:rFonts w:cs="Arial"/>
                <w:bCs/>
              </w:rPr>
              <w:t>None.</w:t>
            </w:r>
          </w:p>
        </w:tc>
      </w:tr>
      <w:tr w:rsidR="0035204D" w:rsidRPr="009A5185" w14:paraId="3C9597B7" w14:textId="77777777" w:rsidTr="002C718A">
        <w:trPr>
          <w:trHeight w:val="1728"/>
          <w:jc w:val="center"/>
        </w:trPr>
        <w:tc>
          <w:tcPr>
            <w:tcW w:w="9562" w:type="dxa"/>
            <w:vAlign w:val="center"/>
          </w:tcPr>
          <w:p w14:paraId="532EC4E1" w14:textId="12B3C97A" w:rsidR="0035204D" w:rsidRPr="002C3920" w:rsidRDefault="0035204D" w:rsidP="00AD15CB">
            <w:pPr>
              <w:autoSpaceDE w:val="0"/>
              <w:autoSpaceDN w:val="0"/>
              <w:adjustRightInd w:val="0"/>
            </w:pPr>
            <w:r>
              <w:rPr>
                <w:rFonts w:cs="Arial"/>
                <w:b/>
                <w:bCs/>
              </w:rPr>
              <w:t xml:space="preserve">Question </w:t>
            </w:r>
            <w:r w:rsidR="00B407CB">
              <w:rPr>
                <w:rFonts w:cs="Arial"/>
                <w:b/>
                <w:bCs/>
              </w:rPr>
              <w:t>#</w:t>
            </w:r>
            <w:r>
              <w:rPr>
                <w:rFonts w:cs="Arial"/>
                <w:b/>
                <w:bCs/>
              </w:rPr>
              <w:t>8</w:t>
            </w:r>
            <w:r w:rsidRPr="009A5185">
              <w:rPr>
                <w:rFonts w:cs="Arial"/>
                <w:b/>
                <w:bCs/>
              </w:rPr>
              <w:t xml:space="preserve"> (numerator) </w:t>
            </w:r>
            <w:r w:rsidRPr="009A5185">
              <w:rPr>
                <w:rFonts w:cs="Arial"/>
              </w:rPr>
              <w:t>Number of eligible cases included in the denominator who received</w:t>
            </w:r>
            <w:r w:rsidR="0095552E">
              <w:rPr>
                <w:rFonts w:cs="Arial"/>
              </w:rPr>
              <w:t xml:space="preserve"> </w:t>
            </w:r>
            <w:r w:rsidRPr="002C3920">
              <w:t xml:space="preserve">pneumatic compression devices prior to surgery. </w:t>
            </w:r>
          </w:p>
          <w:p w14:paraId="4443DA8F" w14:textId="77777777" w:rsidR="0035204D" w:rsidRPr="000C1F1D" w:rsidRDefault="0035204D" w:rsidP="00900F25">
            <w:pPr>
              <w:autoSpaceDE w:val="0"/>
              <w:autoSpaceDN w:val="0"/>
              <w:adjustRightInd w:val="0"/>
              <w:rPr>
                <w:rFonts w:cs="Arial"/>
                <w:b/>
                <w:bCs/>
                <w:sz w:val="16"/>
                <w:szCs w:val="16"/>
              </w:rPr>
            </w:pPr>
          </w:p>
          <w:p w14:paraId="7A246C39" w14:textId="367F29E4" w:rsidR="0035204D" w:rsidRDefault="0035204D" w:rsidP="00900F25">
            <w:pPr>
              <w:autoSpaceDE w:val="0"/>
              <w:autoSpaceDN w:val="0"/>
              <w:adjustRightInd w:val="0"/>
              <w:rPr>
                <w:rFonts w:cs="Arial"/>
                <w:bCs/>
              </w:rPr>
            </w:pPr>
            <w:r>
              <w:rPr>
                <w:rFonts w:cs="Arial"/>
                <w:bCs/>
              </w:rPr>
              <w:t>Note</w:t>
            </w:r>
            <w:r w:rsidR="00E91A65">
              <w:rPr>
                <w:rFonts w:cs="Arial"/>
                <w:bCs/>
              </w:rPr>
              <w:t xml:space="preserve"> 1</w:t>
            </w:r>
            <w:r>
              <w:rPr>
                <w:rFonts w:cs="Arial"/>
                <w:bCs/>
              </w:rPr>
              <w:t>: U</w:t>
            </w:r>
            <w:r w:rsidRPr="008566D4">
              <w:rPr>
                <w:rFonts w:cs="Arial"/>
                <w:bCs/>
              </w:rPr>
              <w:t xml:space="preserve">se of a pneumatic compression device may be documented in the OR </w:t>
            </w:r>
            <w:r w:rsidR="00B407CB" w:rsidRPr="008566D4">
              <w:rPr>
                <w:rFonts w:cs="Arial"/>
                <w:bCs/>
              </w:rPr>
              <w:t>log but</w:t>
            </w:r>
            <w:r w:rsidRPr="008566D4">
              <w:rPr>
                <w:rFonts w:cs="Arial"/>
                <w:bCs/>
              </w:rPr>
              <w:t xml:space="preserve"> must be placed pre-operatively to qualify for inclusion in the numerator.</w:t>
            </w:r>
          </w:p>
          <w:p w14:paraId="18AF7821" w14:textId="77777777" w:rsidR="00D40683" w:rsidRDefault="00D40683" w:rsidP="00D40683">
            <w:pPr>
              <w:autoSpaceDE w:val="0"/>
              <w:autoSpaceDN w:val="0"/>
              <w:adjustRightInd w:val="0"/>
              <w:rPr>
                <w:rFonts w:cs="Arial"/>
                <w:bCs/>
              </w:rPr>
            </w:pPr>
          </w:p>
          <w:p w14:paraId="421D38EA" w14:textId="735ED8C8" w:rsidR="00D40683" w:rsidRDefault="00D40683" w:rsidP="00D40683">
            <w:pPr>
              <w:autoSpaceDE w:val="0"/>
              <w:autoSpaceDN w:val="0"/>
              <w:adjustRightInd w:val="0"/>
              <w:rPr>
                <w:rFonts w:cs="Arial"/>
                <w:bCs/>
              </w:rPr>
            </w:pPr>
            <w:r w:rsidRPr="008B4CFE">
              <w:rPr>
                <w:rFonts w:cs="Arial"/>
                <w:bCs/>
              </w:rPr>
              <w:lastRenderedPageBreak/>
              <w:t xml:space="preserve">Note 2: </w:t>
            </w:r>
            <w:hyperlink r:id="rId309" w:history="1">
              <w:r w:rsidRPr="008B4CFE">
                <w:rPr>
                  <w:rStyle w:val="Hyperlink"/>
                  <w:rFonts w:cs="Arial"/>
                </w:rPr>
                <w:t>C</w:t>
              </w:r>
              <w:r w:rsidRPr="008B4CFE">
                <w:rPr>
                  <w:rStyle w:val="Hyperlink"/>
                </w:rPr>
                <w:t>linical guidelines</w:t>
              </w:r>
            </w:hyperlink>
            <w:r w:rsidRPr="008B4CFE">
              <w:t xml:space="preserve"> continue to recommend that patients at high or moderate risk for DVT should also receive appropriate pharmacological prophylaxis in addition to the placement of pneumatic compression devices.</w:t>
            </w:r>
          </w:p>
          <w:p w14:paraId="6258C376" w14:textId="77777777" w:rsidR="0035204D" w:rsidRPr="000C1F1D" w:rsidRDefault="0035204D" w:rsidP="00900F25">
            <w:pPr>
              <w:autoSpaceDE w:val="0"/>
              <w:autoSpaceDN w:val="0"/>
              <w:adjustRightInd w:val="0"/>
              <w:rPr>
                <w:rFonts w:cs="Arial"/>
                <w:bCs/>
                <w:sz w:val="16"/>
                <w:szCs w:val="16"/>
              </w:rPr>
            </w:pPr>
          </w:p>
          <w:p w14:paraId="024F7058" w14:textId="2F44CDFE" w:rsidR="00FF5E78" w:rsidRPr="00B67AD1" w:rsidRDefault="0035204D" w:rsidP="00900F25">
            <w:pPr>
              <w:autoSpaceDE w:val="0"/>
              <w:autoSpaceDN w:val="0"/>
              <w:adjustRightInd w:val="0"/>
              <w:rPr>
                <w:rFonts w:cs="Arial"/>
                <w:bCs/>
              </w:rPr>
            </w:pPr>
            <w:r>
              <w:rPr>
                <w:rFonts w:cs="Arial"/>
                <w:bCs/>
              </w:rPr>
              <w:t xml:space="preserve">For a list of approved pneumatic compression devices, see the devices listed under “Intermittent Pneumatic Compression Device (IPC)” in </w:t>
            </w:r>
            <w:hyperlink r:id="rId310" w:anchor="A_42Table_2.1_VTE_Prophylaxis_Inclusion_Table_42" w:history="1">
              <w:r w:rsidR="00FD60A2" w:rsidRPr="000E2910">
                <w:rPr>
                  <w:rStyle w:val="Hyperlink"/>
                  <w:rFonts w:cs="Arial"/>
                  <w:bCs/>
                </w:rPr>
                <w:t>Table 2.1 VTE Prophylaxis Inclusion Table</w:t>
              </w:r>
            </w:hyperlink>
            <w:r w:rsidR="00FD60A2">
              <w:rPr>
                <w:rFonts w:cs="Arial"/>
                <w:bCs/>
              </w:rPr>
              <w:t>.</w:t>
            </w:r>
          </w:p>
        </w:tc>
      </w:tr>
    </w:tbl>
    <w:p w14:paraId="58BAB3A2" w14:textId="39CC5778" w:rsidR="006E0696" w:rsidRDefault="006E0696">
      <w:pPr>
        <w:rPr>
          <w:rFonts w:cs="Arial"/>
          <w:b/>
          <w:i/>
          <w:snapToGrid w:val="0"/>
          <w:sz w:val="22"/>
          <w:szCs w:val="22"/>
          <w:lang w:eastAsia="ja-JP"/>
        </w:rPr>
      </w:pPr>
      <w:bookmarkStart w:id="377" w:name="_High-Risk_Deliveries"/>
      <w:bookmarkStart w:id="378" w:name="_Ref123647044"/>
      <w:bookmarkStart w:id="379" w:name="_Ref123647058"/>
      <w:bookmarkEnd w:id="377"/>
    </w:p>
    <w:p w14:paraId="3ACDE038" w14:textId="7FF442FC" w:rsidR="004C5CE3" w:rsidRPr="009A5185" w:rsidRDefault="006E50EF" w:rsidP="00AB5B80">
      <w:pPr>
        <w:pStyle w:val="Heading3"/>
      </w:pPr>
      <w:bookmarkStart w:id="380" w:name="_High-Risk_Deliveries_Measure_1"/>
      <w:bookmarkStart w:id="381" w:name="_Toc225877744"/>
      <w:bookmarkEnd w:id="380"/>
      <w:r w:rsidRPr="009A5185">
        <w:t>High-Risk Deliveries</w:t>
      </w:r>
      <w:bookmarkEnd w:id="370"/>
      <w:bookmarkEnd w:id="371"/>
      <w:bookmarkEnd w:id="378"/>
      <w:bookmarkEnd w:id="379"/>
      <w:r w:rsidR="00B078B4">
        <w:t xml:space="preserve"> Measure Specifications</w:t>
      </w:r>
      <w:bookmarkEnd w:id="381"/>
    </w:p>
    <w:p w14:paraId="071F85AF" w14:textId="77777777" w:rsidR="006E50EF" w:rsidRPr="009A5185" w:rsidRDefault="006E50EF" w:rsidP="0065777E">
      <w:pPr>
        <w:rPr>
          <w:rFonts w:cs="Arial"/>
          <w:lang w:eastAsia="ja-JP"/>
        </w:rPr>
      </w:pPr>
    </w:p>
    <w:p w14:paraId="0BA29838" w14:textId="77777777" w:rsidR="00003991" w:rsidRPr="009A5185" w:rsidRDefault="00017A11" w:rsidP="0065777E">
      <w:pPr>
        <w:rPr>
          <w:rFonts w:cs="Arial"/>
          <w:b/>
          <w:color w:val="FF0000"/>
          <w:lang w:eastAsia="ja-JP"/>
        </w:rPr>
      </w:pPr>
      <w:bookmarkStart w:id="382" w:name="_High-Risk_Deliveries_Volume"/>
      <w:bookmarkEnd w:id="382"/>
      <w:r w:rsidRPr="009A5185">
        <w:rPr>
          <w:rFonts w:cs="Arial"/>
          <w:b/>
          <w:color w:val="FF0000"/>
          <w:lang w:eastAsia="ja-JP"/>
        </w:rPr>
        <w:t>Important Note</w:t>
      </w:r>
      <w:r w:rsidR="00003991" w:rsidRPr="009A5185">
        <w:rPr>
          <w:rFonts w:cs="Arial"/>
          <w:b/>
          <w:color w:val="FF0000"/>
          <w:lang w:eastAsia="ja-JP"/>
        </w:rPr>
        <w:t>s</w:t>
      </w:r>
      <w:r w:rsidRPr="009A5185">
        <w:rPr>
          <w:rFonts w:cs="Arial"/>
          <w:b/>
          <w:color w:val="FF0000"/>
          <w:lang w:eastAsia="ja-JP"/>
        </w:rPr>
        <w:t xml:space="preserve">: </w:t>
      </w:r>
    </w:p>
    <w:p w14:paraId="77B64267" w14:textId="77777777" w:rsidR="00003991" w:rsidRPr="009A5185" w:rsidRDefault="00003991" w:rsidP="0065777E">
      <w:pPr>
        <w:rPr>
          <w:rFonts w:cs="Arial"/>
          <w:b/>
          <w:color w:val="FF0000"/>
          <w:lang w:eastAsia="ja-JP"/>
        </w:rPr>
      </w:pPr>
    </w:p>
    <w:p w14:paraId="261E741D" w14:textId="1445BB31" w:rsidR="00BF3DC5" w:rsidRPr="009A5185" w:rsidRDefault="00003991" w:rsidP="0065777E">
      <w:pPr>
        <w:rPr>
          <w:rFonts w:cs="Arial"/>
          <w:lang w:eastAsia="ja-JP"/>
        </w:rPr>
      </w:pPr>
      <w:r w:rsidRPr="009A5185">
        <w:rPr>
          <w:rFonts w:cs="Arial"/>
          <w:lang w:eastAsia="ja-JP"/>
        </w:rPr>
        <w:t xml:space="preserve">Note 1: </w:t>
      </w:r>
      <w:r w:rsidR="00B407CB" w:rsidRPr="009A5185">
        <w:rPr>
          <w:rFonts w:cs="Arial"/>
          <w:snapToGrid w:val="0"/>
        </w:rPr>
        <w:t xml:space="preserve">Hospitals that share a </w:t>
      </w:r>
      <w:r w:rsidR="00B407CB">
        <w:rPr>
          <w:rFonts w:cs="Arial"/>
          <w:snapToGrid w:val="0"/>
        </w:rPr>
        <w:t>CMS Certification Number</w:t>
      </w:r>
      <w:r w:rsidR="00B407CB" w:rsidRPr="009A5185">
        <w:rPr>
          <w:rFonts w:cs="Arial"/>
          <w:snapToGrid w:val="0"/>
        </w:rPr>
        <w:t xml:space="preserve"> are required to report by facility. Please carefully review </w:t>
      </w:r>
      <w:hyperlink r:id="rId311" w:history="1">
        <w:r w:rsidR="00B407CB" w:rsidRPr="009A5185">
          <w:rPr>
            <w:rStyle w:val="Hyperlink"/>
            <w:rFonts w:cs="Arial"/>
            <w:snapToGrid w:val="0"/>
          </w:rPr>
          <w:t>Leapfrog’s Multi-Campus Reporting Policy</w:t>
        </w:r>
      </w:hyperlink>
      <w:r w:rsidR="00B407CB" w:rsidRPr="009A5185">
        <w:rPr>
          <w:rFonts w:cs="Arial"/>
          <w:snapToGrid w:val="0"/>
        </w:rPr>
        <w:t>.</w:t>
      </w:r>
      <w:r w:rsidR="00017A11" w:rsidRPr="009A5185">
        <w:rPr>
          <w:rFonts w:cs="Arial"/>
          <w:lang w:eastAsia="ja-JP"/>
        </w:rPr>
        <w:t xml:space="preserve"> </w:t>
      </w:r>
    </w:p>
    <w:p w14:paraId="79593866" w14:textId="77777777" w:rsidR="00003991" w:rsidRPr="008B4492" w:rsidRDefault="00003991" w:rsidP="0065777E">
      <w:pPr>
        <w:rPr>
          <w:rFonts w:cs="Arial"/>
          <w:sz w:val="16"/>
          <w:szCs w:val="16"/>
          <w:lang w:eastAsia="ja-JP"/>
        </w:rPr>
      </w:pPr>
    </w:p>
    <w:p w14:paraId="0A4F5A30" w14:textId="60E23450" w:rsidR="006E50EF" w:rsidRPr="009A5185" w:rsidRDefault="00003991" w:rsidP="0065777E">
      <w:pPr>
        <w:rPr>
          <w:rFonts w:cs="Arial"/>
        </w:rPr>
      </w:pPr>
      <w:r w:rsidRPr="009A5185">
        <w:rPr>
          <w:rFonts w:cs="Arial"/>
          <w:lang w:eastAsia="ja-JP"/>
        </w:rPr>
        <w:t xml:space="preserve">Note 2: </w:t>
      </w:r>
      <w:r w:rsidR="00B407CB" w:rsidRPr="009A5185">
        <w:rPr>
          <w:rFonts w:cs="Arial"/>
          <w:lang w:eastAsia="ja-JP"/>
        </w:rPr>
        <w:t>Hospitals should re</w:t>
      </w:r>
      <w:r w:rsidR="004C1908">
        <w:rPr>
          <w:rFonts w:cs="Arial"/>
          <w:lang w:eastAsia="ja-JP"/>
        </w:rPr>
        <w:t>port</w:t>
      </w:r>
      <w:r w:rsidR="00B407CB" w:rsidRPr="009A5185">
        <w:rPr>
          <w:rFonts w:cs="Arial"/>
          <w:lang w:eastAsia="ja-JP"/>
        </w:rPr>
        <w:t xml:space="preserve"> on </w:t>
      </w:r>
      <w:r w:rsidR="00875C00">
        <w:rPr>
          <w:rFonts w:cs="Arial"/>
          <w:lang w:eastAsia="ja-JP"/>
        </w:rPr>
        <w:t>the selection from Section 4</w:t>
      </w:r>
      <w:r w:rsidR="0016658F">
        <w:rPr>
          <w:rFonts w:cs="Arial"/>
          <w:lang w:eastAsia="ja-JP"/>
        </w:rPr>
        <w:t>E</w:t>
      </w:r>
      <w:r w:rsidR="00875C00">
        <w:rPr>
          <w:rFonts w:cs="Arial"/>
          <w:lang w:eastAsia="ja-JP"/>
        </w:rPr>
        <w:t xml:space="preserve"> </w:t>
      </w:r>
      <w:r w:rsidR="0069232B">
        <w:rPr>
          <w:rFonts w:cs="Arial"/>
          <w:lang w:eastAsia="ja-JP"/>
        </w:rPr>
        <w:t>q</w:t>
      </w:r>
      <w:r w:rsidR="00875C00">
        <w:rPr>
          <w:rFonts w:cs="Arial"/>
          <w:lang w:eastAsia="ja-JP"/>
        </w:rPr>
        <w:t>uestion #3</w:t>
      </w:r>
      <w:r w:rsidR="00A70E2A">
        <w:rPr>
          <w:rFonts w:cs="Arial"/>
          <w:lang w:eastAsia="ja-JP"/>
        </w:rPr>
        <w:t xml:space="preserve"> (</w:t>
      </w:r>
      <w:r w:rsidR="00B407CB" w:rsidRPr="009A5185">
        <w:rPr>
          <w:rFonts w:cs="Arial"/>
          <w:b/>
          <w:lang w:eastAsia="ja-JP"/>
        </w:rPr>
        <w:t>either</w:t>
      </w:r>
      <w:r w:rsidR="00B407CB" w:rsidRPr="009A5185">
        <w:rPr>
          <w:rFonts w:cs="Arial"/>
          <w:lang w:eastAsia="ja-JP"/>
        </w:rPr>
        <w:t xml:space="preserve"> Volume OR the National Performance Measure</w:t>
      </w:r>
      <w:r w:rsidR="004C1908">
        <w:rPr>
          <w:rFonts w:cs="Arial"/>
          <w:lang w:eastAsia="ja-JP"/>
        </w:rPr>
        <w:t xml:space="preserve"> (VON)</w:t>
      </w:r>
      <w:r w:rsidR="00A70E2A">
        <w:rPr>
          <w:rFonts w:cs="Arial"/>
          <w:lang w:eastAsia="ja-JP"/>
        </w:rPr>
        <w:t>)</w:t>
      </w:r>
      <w:r w:rsidR="00B407CB" w:rsidRPr="009A5185">
        <w:rPr>
          <w:rFonts w:cs="Arial"/>
          <w:lang w:eastAsia="ja-JP"/>
        </w:rPr>
        <w:t xml:space="preserve">. </w:t>
      </w:r>
    </w:p>
    <w:p w14:paraId="2143A321" w14:textId="77777777" w:rsidR="006E50EF" w:rsidRPr="008B4492" w:rsidRDefault="006E50EF" w:rsidP="0065777E">
      <w:pPr>
        <w:rPr>
          <w:rFonts w:cs="Arial"/>
          <w:sz w:val="16"/>
          <w:szCs w:val="16"/>
          <w:lang w:eastAsia="ja-JP"/>
        </w:rPr>
      </w:pPr>
    </w:p>
    <w:p w14:paraId="026D7BE6" w14:textId="77777777" w:rsidR="00C7333E" w:rsidRPr="006922BB" w:rsidRDefault="00C7333E" w:rsidP="00C7333E">
      <w:pPr>
        <w:pStyle w:val="Heading44"/>
      </w:pPr>
      <w:bookmarkStart w:id="383" w:name="_Toc383775030"/>
      <w:r w:rsidRPr="006922BB">
        <w:t xml:space="preserve">Neonatal Intensive Care Unit(s) – Volume </w:t>
      </w:r>
    </w:p>
    <w:p w14:paraId="479C344A" w14:textId="77777777" w:rsidR="00C7333E" w:rsidRDefault="00C7333E" w:rsidP="006922BB">
      <w:pPr>
        <w:rPr>
          <w:b/>
          <w:bCs/>
        </w:rPr>
      </w:pPr>
    </w:p>
    <w:p w14:paraId="7E608C1D" w14:textId="58EC2D3E" w:rsidR="0018754F" w:rsidRDefault="0018754F" w:rsidP="00F0772B">
      <w:pPr>
        <w:rPr>
          <w:rFonts w:cs="Arial"/>
        </w:rPr>
      </w:pPr>
      <w:r w:rsidRPr="009A5185">
        <w:rPr>
          <w:rFonts w:cs="Arial"/>
          <w:lang w:eastAsia="ja-JP"/>
        </w:rPr>
        <w:t xml:space="preserve">Hospitals opting to report on Volume should only </w:t>
      </w:r>
      <w:r w:rsidRPr="009A5185">
        <w:rPr>
          <w:rFonts w:cs="Arial"/>
          <w:color w:val="000000"/>
        </w:rPr>
        <w:t xml:space="preserve">use ICD-10-CM codes as indicated </w:t>
      </w:r>
      <w:r w:rsidRPr="009A5185">
        <w:rPr>
          <w:rFonts w:cs="Arial"/>
          <w:color w:val="000000"/>
          <w:lang w:eastAsia="ja-JP"/>
        </w:rPr>
        <w:t>in the specifications</w:t>
      </w:r>
      <w:r>
        <w:rPr>
          <w:rFonts w:cs="Arial"/>
          <w:color w:val="000000"/>
          <w:lang w:eastAsia="ja-JP"/>
        </w:rPr>
        <w:t xml:space="preserve"> below</w:t>
      </w:r>
      <w:r w:rsidRPr="009A5185">
        <w:rPr>
          <w:rFonts w:cs="Arial"/>
          <w:color w:val="000000"/>
        </w:rPr>
        <w:t>. When calculating hospital volume, count the number of patients with any one or more of the specified diagnosis codes for high-risk deliveries, subject to the other inclusion/exclusion criteria below. The diagnosis codes may be in any field.</w:t>
      </w:r>
      <w:r w:rsidRPr="009A5185">
        <w:rPr>
          <w:rFonts w:cs="Arial"/>
          <w:lang w:eastAsia="ja-JP"/>
        </w:rPr>
        <w:t xml:space="preserve"> </w:t>
      </w:r>
      <w:r w:rsidRPr="009A5185">
        <w:rPr>
          <w:rFonts w:cs="Arial"/>
        </w:rPr>
        <w:t>The count can include inborn as well as transfer cases.</w:t>
      </w:r>
    </w:p>
    <w:p w14:paraId="143C010F" w14:textId="77777777" w:rsidR="0018754F" w:rsidRDefault="0018754F" w:rsidP="00F0772B">
      <w:pPr>
        <w:rPr>
          <w:b/>
          <w:bCs/>
        </w:rPr>
      </w:pPr>
    </w:p>
    <w:tbl>
      <w:tblPr>
        <w:tblStyle w:val="TableGrid"/>
        <w:tblW w:w="0" w:type="auto"/>
        <w:tblLook w:val="04A0" w:firstRow="1" w:lastRow="0" w:firstColumn="1" w:lastColumn="0" w:noHBand="0" w:noVBand="1"/>
      </w:tblPr>
      <w:tblGrid>
        <w:gridCol w:w="9350"/>
      </w:tblGrid>
      <w:tr w:rsidR="00373D03" w14:paraId="14DE5441" w14:textId="77777777" w:rsidTr="00373D03">
        <w:trPr>
          <w:trHeight w:val="288"/>
        </w:trPr>
        <w:tc>
          <w:tcPr>
            <w:tcW w:w="9350" w:type="dxa"/>
          </w:tcPr>
          <w:p w14:paraId="4F554253" w14:textId="6705AE5B" w:rsidR="00373D03" w:rsidRPr="00373D03" w:rsidRDefault="00AB530D" w:rsidP="00373D03">
            <w:pPr>
              <w:rPr>
                <w:bCs/>
              </w:rPr>
            </w:pPr>
            <w:r w:rsidRPr="009A5185">
              <w:rPr>
                <w:rFonts w:cs="Arial"/>
                <w:b/>
              </w:rPr>
              <w:t>Source:</w:t>
            </w:r>
            <w:r w:rsidRPr="009A5185">
              <w:rPr>
                <w:rFonts w:cs="Arial"/>
              </w:rPr>
              <w:t xml:space="preserve"> The Leapfrog Group </w:t>
            </w:r>
          </w:p>
        </w:tc>
      </w:tr>
      <w:tr w:rsidR="00AB530D" w14:paraId="6668EFDA" w14:textId="77777777" w:rsidTr="00373D03">
        <w:trPr>
          <w:trHeight w:val="288"/>
        </w:trPr>
        <w:tc>
          <w:tcPr>
            <w:tcW w:w="9350" w:type="dxa"/>
          </w:tcPr>
          <w:p w14:paraId="62C666DE" w14:textId="77777777" w:rsidR="00AB530D" w:rsidRPr="009A5185" w:rsidRDefault="00AB530D" w:rsidP="00AB530D">
            <w:pPr>
              <w:autoSpaceDE w:val="0"/>
              <w:autoSpaceDN w:val="0"/>
              <w:adjustRightInd w:val="0"/>
              <w:rPr>
                <w:rFonts w:cs="Arial"/>
                <w:b/>
                <w:snapToGrid w:val="0"/>
              </w:rPr>
            </w:pPr>
            <w:r w:rsidRPr="009A5185">
              <w:rPr>
                <w:rFonts w:cs="Arial"/>
                <w:b/>
                <w:snapToGrid w:val="0"/>
              </w:rPr>
              <w:t>Reporting Period: 12 months</w:t>
            </w:r>
          </w:p>
          <w:p w14:paraId="70654955" w14:textId="77777777" w:rsidR="00AB530D" w:rsidRPr="00AE4A45" w:rsidRDefault="00AB530D" w:rsidP="00AD309C">
            <w:pPr>
              <w:pStyle w:val="ListParagraph"/>
              <w:numPr>
                <w:ilvl w:val="0"/>
                <w:numId w:val="12"/>
              </w:numPr>
              <w:rPr>
                <w:rFonts w:cs="Arial"/>
                <w:i/>
                <w:snapToGrid w:val="0"/>
              </w:rPr>
            </w:pPr>
            <w:r w:rsidRPr="00AE4A45">
              <w:rPr>
                <w:rFonts w:cs="Arial"/>
                <w:iCs/>
                <w:snapToGrid w:val="0"/>
              </w:rPr>
              <w:t>Surveys submitted prior to September 1:</w:t>
            </w:r>
          </w:p>
          <w:p w14:paraId="78BB374A" w14:textId="7F0170A1" w:rsidR="00AB530D" w:rsidRPr="00AE4A45" w:rsidRDefault="00AB530D" w:rsidP="00AD309C">
            <w:pPr>
              <w:pStyle w:val="ListParagraph"/>
              <w:numPr>
                <w:ilvl w:val="1"/>
                <w:numId w:val="12"/>
              </w:numPr>
              <w:rPr>
                <w:rFonts w:cs="Arial"/>
                <w:i/>
                <w:snapToGrid w:val="0"/>
              </w:rPr>
            </w:pPr>
            <w:r w:rsidRPr="00AE4A45">
              <w:rPr>
                <w:rFonts w:cs="Arial"/>
                <w:snapToGrid w:val="0"/>
              </w:rPr>
              <w:t>01/01/202</w:t>
            </w:r>
            <w:r w:rsidR="00CC291D">
              <w:rPr>
                <w:rFonts w:cs="Arial"/>
                <w:snapToGrid w:val="0"/>
              </w:rPr>
              <w:t>5</w:t>
            </w:r>
            <w:r w:rsidRPr="00AE4A45">
              <w:rPr>
                <w:rFonts w:cs="Arial"/>
                <w:snapToGrid w:val="0"/>
              </w:rPr>
              <w:t xml:space="preserve"> </w:t>
            </w:r>
            <w:r>
              <w:rPr>
                <w:rFonts w:cs="Arial"/>
                <w:snapToGrid w:val="0"/>
              </w:rPr>
              <w:t>–</w:t>
            </w:r>
            <w:r w:rsidRPr="00AE4A45">
              <w:rPr>
                <w:rFonts w:cs="Arial"/>
                <w:snapToGrid w:val="0"/>
              </w:rPr>
              <w:t xml:space="preserve"> 12/31/202</w:t>
            </w:r>
            <w:r w:rsidR="00CC291D">
              <w:rPr>
                <w:rFonts w:cs="Arial"/>
                <w:snapToGrid w:val="0"/>
              </w:rPr>
              <w:t>5</w:t>
            </w:r>
          </w:p>
          <w:p w14:paraId="30917882" w14:textId="77777777" w:rsidR="00AB530D" w:rsidRPr="00AB530D" w:rsidRDefault="00AB530D" w:rsidP="00AD309C">
            <w:pPr>
              <w:pStyle w:val="ListParagraph"/>
              <w:numPr>
                <w:ilvl w:val="0"/>
                <w:numId w:val="12"/>
              </w:numPr>
              <w:rPr>
                <w:rFonts w:cs="Arial"/>
                <w:i/>
                <w:snapToGrid w:val="0"/>
              </w:rPr>
            </w:pPr>
            <w:r w:rsidRPr="00AE4A45">
              <w:rPr>
                <w:rFonts w:cs="Arial"/>
                <w:snapToGrid w:val="0"/>
              </w:rPr>
              <w:t xml:space="preserve">Surveys (re)submitted on or after September 1: </w:t>
            </w:r>
          </w:p>
          <w:p w14:paraId="0B69A26F" w14:textId="5743AB9D" w:rsidR="00AB530D" w:rsidRPr="000C1F1D" w:rsidRDefault="00AB530D" w:rsidP="00AD309C">
            <w:pPr>
              <w:pStyle w:val="ListParagraph"/>
              <w:numPr>
                <w:ilvl w:val="1"/>
                <w:numId w:val="12"/>
              </w:numPr>
              <w:rPr>
                <w:rFonts w:cs="Arial"/>
                <w:i/>
                <w:snapToGrid w:val="0"/>
              </w:rPr>
            </w:pPr>
            <w:r w:rsidRPr="00AB530D">
              <w:rPr>
                <w:rFonts w:cs="Arial"/>
                <w:snapToGrid w:val="0"/>
              </w:rPr>
              <w:t>07/01/202</w:t>
            </w:r>
            <w:r w:rsidR="00CC291D">
              <w:rPr>
                <w:rFonts w:cs="Arial"/>
                <w:snapToGrid w:val="0"/>
              </w:rPr>
              <w:t>5</w:t>
            </w:r>
            <w:r w:rsidRPr="00AB530D">
              <w:rPr>
                <w:rFonts w:cs="Arial"/>
                <w:snapToGrid w:val="0"/>
              </w:rPr>
              <w:t xml:space="preserve"> – 06/30/202</w:t>
            </w:r>
            <w:r w:rsidR="00CC291D">
              <w:rPr>
                <w:rFonts w:cs="Arial"/>
                <w:snapToGrid w:val="0"/>
              </w:rPr>
              <w:t>6</w:t>
            </w:r>
          </w:p>
          <w:p w14:paraId="5B53E862" w14:textId="77777777" w:rsidR="006E0696" w:rsidRPr="008B4492" w:rsidRDefault="006E0696" w:rsidP="006E0696">
            <w:pPr>
              <w:rPr>
                <w:rFonts w:cs="Arial"/>
                <w:i/>
                <w:snapToGrid w:val="0"/>
                <w:sz w:val="16"/>
                <w:szCs w:val="16"/>
              </w:rPr>
            </w:pPr>
          </w:p>
          <w:p w14:paraId="77E6A586" w14:textId="1C53829D" w:rsidR="006E0696" w:rsidRPr="000C1F1D" w:rsidRDefault="006E0696" w:rsidP="000C1F1D">
            <w:pPr>
              <w:rPr>
                <w:rFonts w:cs="Arial"/>
                <w:i/>
                <w:snapToGrid w:val="0"/>
              </w:rPr>
            </w:pPr>
            <w:r>
              <w:rPr>
                <w:rFonts w:cs="Arial"/>
                <w:bCs/>
              </w:rPr>
              <w:t>Note: The discharge date must be used to determine whether a case falls within the reporting period specified.</w:t>
            </w:r>
          </w:p>
        </w:tc>
      </w:tr>
      <w:tr w:rsidR="008B4492" w14:paraId="4BE46FA2" w14:textId="77777777" w:rsidTr="00373D03">
        <w:trPr>
          <w:trHeight w:val="288"/>
        </w:trPr>
        <w:tc>
          <w:tcPr>
            <w:tcW w:w="9350" w:type="dxa"/>
          </w:tcPr>
          <w:p w14:paraId="328747B2" w14:textId="42B29134" w:rsidR="008B4492" w:rsidRDefault="008B4492" w:rsidP="008B4492">
            <w:pPr>
              <w:rPr>
                <w:rFonts w:cs="Arial"/>
                <w:b/>
              </w:rPr>
            </w:pPr>
            <w:r w:rsidRPr="006922BB">
              <w:rPr>
                <w:b/>
                <w:bCs/>
              </w:rPr>
              <w:t>Question #5</w:t>
            </w:r>
            <w:r>
              <w:rPr>
                <w:b/>
                <w:bCs/>
              </w:rPr>
              <w:t xml:space="preserve"> (</w:t>
            </w:r>
            <w:r w:rsidRPr="006922BB">
              <w:rPr>
                <w:b/>
                <w:bCs/>
              </w:rPr>
              <w:t>Instructions for Volume Reporting</w:t>
            </w:r>
            <w:r>
              <w:rPr>
                <w:b/>
                <w:bCs/>
              </w:rPr>
              <w:t>)</w:t>
            </w:r>
          </w:p>
          <w:p w14:paraId="0AD64A8A" w14:textId="77777777" w:rsidR="008B4492" w:rsidRPr="008B4492" w:rsidRDefault="008B4492" w:rsidP="008B4492">
            <w:pPr>
              <w:rPr>
                <w:rFonts w:cs="Arial"/>
                <w:b/>
                <w:sz w:val="16"/>
                <w:szCs w:val="16"/>
              </w:rPr>
            </w:pPr>
          </w:p>
          <w:p w14:paraId="59F63F90" w14:textId="77777777" w:rsidR="008B4492" w:rsidRPr="00AA1DD2" w:rsidRDefault="008B4492" w:rsidP="008B4492">
            <w:pPr>
              <w:rPr>
                <w:rFonts w:cs="Arial"/>
                <w:b/>
              </w:rPr>
            </w:pPr>
            <w:r>
              <w:rPr>
                <w:rFonts w:cs="Arial"/>
                <w:b/>
              </w:rPr>
              <w:t>Included Populations:</w:t>
            </w:r>
          </w:p>
          <w:p w14:paraId="56F15054" w14:textId="77777777" w:rsidR="008B4492" w:rsidRPr="00AA1DD2" w:rsidRDefault="008B4492" w:rsidP="008B4492">
            <w:pPr>
              <w:rPr>
                <w:rFonts w:cs="Arial"/>
                <w:i/>
              </w:rPr>
            </w:pPr>
            <w:r w:rsidRPr="00AA1DD2">
              <w:rPr>
                <w:rFonts w:cs="Arial"/>
              </w:rPr>
              <w:t>Number of newborns admitted to the neonatal ICU with the following ICD-10-CM codes:</w:t>
            </w:r>
            <w:r w:rsidRPr="00AA1DD2">
              <w:rPr>
                <w:rFonts w:cs="Arial"/>
                <w:i/>
              </w:rPr>
              <w:t xml:space="preserve"> </w:t>
            </w:r>
          </w:p>
          <w:p w14:paraId="02A37844" w14:textId="77777777" w:rsidR="008B4492" w:rsidRPr="008B4492" w:rsidRDefault="008B4492" w:rsidP="008B4492">
            <w:pPr>
              <w:rPr>
                <w:rFonts w:cs="Arial"/>
                <w:sz w:val="16"/>
                <w:szCs w:val="16"/>
                <w:lang w:eastAsia="ja-JP"/>
              </w:rPr>
            </w:pPr>
          </w:p>
          <w:tbl>
            <w:tblPr>
              <w:tblStyle w:val="TableGrid"/>
              <w:tblW w:w="0" w:type="auto"/>
              <w:tblLook w:val="04A0" w:firstRow="1" w:lastRow="0" w:firstColumn="1" w:lastColumn="0" w:noHBand="0" w:noVBand="1"/>
            </w:tblPr>
            <w:tblGrid>
              <w:gridCol w:w="2303"/>
              <w:gridCol w:w="6821"/>
            </w:tblGrid>
            <w:tr w:rsidR="008B4492" w:rsidRPr="009A5185" w14:paraId="4A75167B" w14:textId="77777777" w:rsidTr="00AD15CB">
              <w:trPr>
                <w:trHeight w:val="360"/>
              </w:trPr>
              <w:tc>
                <w:tcPr>
                  <w:tcW w:w="2303" w:type="dxa"/>
                  <w:shd w:val="clear" w:color="auto" w:fill="D9D9D9" w:themeFill="background1" w:themeFillShade="D9"/>
                  <w:vAlign w:val="center"/>
                </w:tcPr>
                <w:p w14:paraId="544982B2" w14:textId="77777777" w:rsidR="008B4492" w:rsidRPr="009A5185" w:rsidRDefault="008B4492" w:rsidP="008B4492">
                  <w:pPr>
                    <w:rPr>
                      <w:rFonts w:cs="Arial"/>
                      <w:b/>
                      <w:lang w:eastAsia="ja-JP"/>
                    </w:rPr>
                  </w:pPr>
                  <w:r w:rsidRPr="009A5185">
                    <w:rPr>
                      <w:rFonts w:cs="Arial"/>
                      <w:b/>
                      <w:lang w:eastAsia="ja-JP"/>
                    </w:rPr>
                    <w:t>ICD-10-CM Code</w:t>
                  </w:r>
                </w:p>
              </w:tc>
              <w:tc>
                <w:tcPr>
                  <w:tcW w:w="6821" w:type="dxa"/>
                  <w:shd w:val="clear" w:color="auto" w:fill="D9D9D9" w:themeFill="background1" w:themeFillShade="D9"/>
                  <w:vAlign w:val="center"/>
                </w:tcPr>
                <w:p w14:paraId="2327D723" w14:textId="77777777" w:rsidR="008B4492" w:rsidRPr="009A5185" w:rsidRDefault="008B4492" w:rsidP="008B4492">
                  <w:pPr>
                    <w:rPr>
                      <w:rFonts w:cs="Arial"/>
                      <w:b/>
                      <w:lang w:eastAsia="ja-JP"/>
                    </w:rPr>
                  </w:pPr>
                  <w:r w:rsidRPr="009A5185">
                    <w:rPr>
                      <w:rFonts w:cs="Arial"/>
                      <w:b/>
                      <w:lang w:eastAsia="ja-JP"/>
                    </w:rPr>
                    <w:t>Description</w:t>
                  </w:r>
                </w:p>
              </w:tc>
            </w:tr>
            <w:tr w:rsidR="008B4492" w:rsidRPr="009A5185" w14:paraId="011E9EB4" w14:textId="77777777" w:rsidTr="00AD15CB">
              <w:trPr>
                <w:trHeight w:val="360"/>
              </w:trPr>
              <w:tc>
                <w:tcPr>
                  <w:tcW w:w="2303" w:type="dxa"/>
                  <w:vAlign w:val="center"/>
                </w:tcPr>
                <w:p w14:paraId="08EC5271" w14:textId="77777777" w:rsidR="008B4492" w:rsidRPr="009A5185" w:rsidRDefault="008B4492" w:rsidP="008B4492">
                  <w:pPr>
                    <w:rPr>
                      <w:rFonts w:cs="Arial"/>
                      <w:lang w:eastAsia="ja-JP"/>
                    </w:rPr>
                  </w:pPr>
                  <w:r w:rsidRPr="009A5185">
                    <w:rPr>
                      <w:rFonts w:cs="Arial"/>
                      <w:lang w:eastAsia="ja-JP"/>
                    </w:rPr>
                    <w:t>P05.02</w:t>
                  </w:r>
                </w:p>
              </w:tc>
              <w:tc>
                <w:tcPr>
                  <w:tcW w:w="6821" w:type="dxa"/>
                  <w:vAlign w:val="center"/>
                </w:tcPr>
                <w:p w14:paraId="6D235FC9" w14:textId="77777777" w:rsidR="008B4492" w:rsidRPr="009A5185" w:rsidRDefault="008B4492" w:rsidP="008B4492">
                  <w:pPr>
                    <w:rPr>
                      <w:rFonts w:cs="Arial"/>
                      <w:lang w:eastAsia="ja-JP"/>
                    </w:rPr>
                  </w:pPr>
                  <w:r w:rsidRPr="009A5185">
                    <w:rPr>
                      <w:rFonts w:cs="Arial"/>
                      <w:lang w:eastAsia="ja-JP"/>
                    </w:rPr>
                    <w:t>Newborn light for gestational age, 500-749 grams</w:t>
                  </w:r>
                </w:p>
              </w:tc>
            </w:tr>
            <w:tr w:rsidR="008B4492" w:rsidRPr="009A5185" w14:paraId="107B40B0" w14:textId="77777777" w:rsidTr="00AD15CB">
              <w:trPr>
                <w:trHeight w:val="360"/>
              </w:trPr>
              <w:tc>
                <w:tcPr>
                  <w:tcW w:w="2303" w:type="dxa"/>
                  <w:vAlign w:val="center"/>
                </w:tcPr>
                <w:p w14:paraId="0EBB1C76" w14:textId="77777777" w:rsidR="008B4492" w:rsidRPr="009A5185" w:rsidRDefault="008B4492" w:rsidP="008B4492">
                  <w:pPr>
                    <w:rPr>
                      <w:rFonts w:cs="Arial"/>
                      <w:lang w:eastAsia="ja-JP"/>
                    </w:rPr>
                  </w:pPr>
                  <w:r w:rsidRPr="009A5185">
                    <w:rPr>
                      <w:rFonts w:cs="Arial"/>
                      <w:lang w:eastAsia="ja-JP"/>
                    </w:rPr>
                    <w:t>P05.03</w:t>
                  </w:r>
                </w:p>
              </w:tc>
              <w:tc>
                <w:tcPr>
                  <w:tcW w:w="6821" w:type="dxa"/>
                  <w:vAlign w:val="center"/>
                </w:tcPr>
                <w:p w14:paraId="3B3F8FC5" w14:textId="77777777" w:rsidR="008B4492" w:rsidRPr="009A5185" w:rsidRDefault="008B4492" w:rsidP="008B4492">
                  <w:pPr>
                    <w:rPr>
                      <w:rFonts w:cs="Arial"/>
                      <w:lang w:eastAsia="ja-JP"/>
                    </w:rPr>
                  </w:pPr>
                  <w:r w:rsidRPr="009A5185">
                    <w:rPr>
                      <w:rFonts w:cs="Arial"/>
                      <w:lang w:eastAsia="ja-JP"/>
                    </w:rPr>
                    <w:t>Newborn light for gestational age, 750-999 grams</w:t>
                  </w:r>
                </w:p>
              </w:tc>
            </w:tr>
            <w:tr w:rsidR="008B4492" w:rsidRPr="009A5185" w14:paraId="37D234A0" w14:textId="77777777" w:rsidTr="00AD15CB">
              <w:trPr>
                <w:trHeight w:val="360"/>
              </w:trPr>
              <w:tc>
                <w:tcPr>
                  <w:tcW w:w="2303" w:type="dxa"/>
                  <w:vAlign w:val="center"/>
                </w:tcPr>
                <w:p w14:paraId="636D6013" w14:textId="77777777" w:rsidR="008B4492" w:rsidRPr="009A5185" w:rsidRDefault="008B4492" w:rsidP="008B4492">
                  <w:pPr>
                    <w:rPr>
                      <w:rFonts w:cs="Arial"/>
                      <w:lang w:eastAsia="ja-JP"/>
                    </w:rPr>
                  </w:pPr>
                  <w:r w:rsidRPr="009A5185">
                    <w:rPr>
                      <w:rFonts w:cs="Arial"/>
                    </w:rPr>
                    <w:t>P05.04</w:t>
                  </w:r>
                </w:p>
              </w:tc>
              <w:tc>
                <w:tcPr>
                  <w:tcW w:w="6821" w:type="dxa"/>
                  <w:vAlign w:val="center"/>
                </w:tcPr>
                <w:p w14:paraId="760BA552" w14:textId="77777777" w:rsidR="008B4492" w:rsidRPr="009A5185" w:rsidRDefault="008B4492" w:rsidP="008B4492">
                  <w:pPr>
                    <w:rPr>
                      <w:rFonts w:cs="Arial"/>
                      <w:lang w:eastAsia="ja-JP"/>
                    </w:rPr>
                  </w:pPr>
                  <w:r w:rsidRPr="009A5185">
                    <w:rPr>
                      <w:rFonts w:cs="Arial"/>
                    </w:rPr>
                    <w:t>Newborn light for gestational age, 1000-1249 grams</w:t>
                  </w:r>
                </w:p>
              </w:tc>
            </w:tr>
            <w:tr w:rsidR="008B4492" w:rsidRPr="009A5185" w14:paraId="76EF051B" w14:textId="77777777" w:rsidTr="00AD15CB">
              <w:trPr>
                <w:trHeight w:val="360"/>
              </w:trPr>
              <w:tc>
                <w:tcPr>
                  <w:tcW w:w="2303" w:type="dxa"/>
                  <w:vAlign w:val="center"/>
                </w:tcPr>
                <w:p w14:paraId="16399F17" w14:textId="77777777" w:rsidR="008B4492" w:rsidRPr="009A5185" w:rsidRDefault="008B4492" w:rsidP="008B4492">
                  <w:pPr>
                    <w:rPr>
                      <w:rFonts w:cs="Arial"/>
                      <w:lang w:eastAsia="ja-JP"/>
                    </w:rPr>
                  </w:pPr>
                  <w:r w:rsidRPr="009A5185">
                    <w:rPr>
                      <w:rFonts w:cs="Arial"/>
                    </w:rPr>
                    <w:t>P05.05</w:t>
                  </w:r>
                </w:p>
              </w:tc>
              <w:tc>
                <w:tcPr>
                  <w:tcW w:w="6821" w:type="dxa"/>
                  <w:vAlign w:val="center"/>
                </w:tcPr>
                <w:p w14:paraId="3B98FB57" w14:textId="77777777" w:rsidR="008B4492" w:rsidRPr="009A5185" w:rsidRDefault="008B4492" w:rsidP="008B4492">
                  <w:pPr>
                    <w:rPr>
                      <w:rFonts w:cs="Arial"/>
                      <w:lang w:eastAsia="ja-JP"/>
                    </w:rPr>
                  </w:pPr>
                  <w:r w:rsidRPr="009A5185">
                    <w:rPr>
                      <w:rFonts w:cs="Arial"/>
                    </w:rPr>
                    <w:t>Newborn light for gestational age, 1250-1499 grams</w:t>
                  </w:r>
                </w:p>
              </w:tc>
            </w:tr>
            <w:tr w:rsidR="008B4492" w:rsidRPr="009A5185" w14:paraId="3027E3BC" w14:textId="77777777" w:rsidTr="00AD15CB">
              <w:trPr>
                <w:trHeight w:val="360"/>
              </w:trPr>
              <w:tc>
                <w:tcPr>
                  <w:tcW w:w="2303" w:type="dxa"/>
                  <w:vAlign w:val="center"/>
                </w:tcPr>
                <w:p w14:paraId="4AA3C81B" w14:textId="77777777" w:rsidR="008B4492" w:rsidRPr="009A5185" w:rsidRDefault="008B4492" w:rsidP="008B4492">
                  <w:pPr>
                    <w:rPr>
                      <w:rFonts w:cs="Arial"/>
                      <w:lang w:eastAsia="ja-JP"/>
                    </w:rPr>
                  </w:pPr>
                  <w:r w:rsidRPr="009A5185">
                    <w:rPr>
                      <w:rFonts w:cs="Arial"/>
                    </w:rPr>
                    <w:t>P05.12</w:t>
                  </w:r>
                </w:p>
              </w:tc>
              <w:tc>
                <w:tcPr>
                  <w:tcW w:w="6821" w:type="dxa"/>
                  <w:vAlign w:val="center"/>
                </w:tcPr>
                <w:p w14:paraId="084091D9" w14:textId="77777777" w:rsidR="008B4492" w:rsidRPr="009A5185" w:rsidRDefault="008B4492" w:rsidP="008B4492">
                  <w:pPr>
                    <w:rPr>
                      <w:rFonts w:cs="Arial"/>
                      <w:lang w:eastAsia="ja-JP"/>
                    </w:rPr>
                  </w:pPr>
                  <w:r w:rsidRPr="009A5185">
                    <w:rPr>
                      <w:rFonts w:cs="Arial"/>
                    </w:rPr>
                    <w:t>Newborn small for gestational age, 500-749 grams</w:t>
                  </w:r>
                </w:p>
              </w:tc>
            </w:tr>
            <w:tr w:rsidR="008B4492" w:rsidRPr="009A5185" w14:paraId="60F4D9E2" w14:textId="77777777" w:rsidTr="00AD15CB">
              <w:trPr>
                <w:trHeight w:val="360"/>
              </w:trPr>
              <w:tc>
                <w:tcPr>
                  <w:tcW w:w="2303" w:type="dxa"/>
                  <w:vAlign w:val="center"/>
                </w:tcPr>
                <w:p w14:paraId="05587C17" w14:textId="77777777" w:rsidR="008B4492" w:rsidRPr="009A5185" w:rsidRDefault="008B4492" w:rsidP="008B4492">
                  <w:pPr>
                    <w:rPr>
                      <w:rFonts w:cs="Arial"/>
                      <w:lang w:eastAsia="ja-JP"/>
                    </w:rPr>
                  </w:pPr>
                  <w:r w:rsidRPr="009A5185">
                    <w:rPr>
                      <w:rFonts w:cs="Arial"/>
                    </w:rPr>
                    <w:t>P05.13</w:t>
                  </w:r>
                </w:p>
              </w:tc>
              <w:tc>
                <w:tcPr>
                  <w:tcW w:w="6821" w:type="dxa"/>
                  <w:vAlign w:val="center"/>
                </w:tcPr>
                <w:p w14:paraId="2E9D3B33" w14:textId="77777777" w:rsidR="008B4492" w:rsidRPr="009A5185" w:rsidRDefault="008B4492" w:rsidP="008B4492">
                  <w:pPr>
                    <w:rPr>
                      <w:rFonts w:cs="Arial"/>
                      <w:lang w:eastAsia="ja-JP"/>
                    </w:rPr>
                  </w:pPr>
                  <w:r w:rsidRPr="009A5185">
                    <w:rPr>
                      <w:rFonts w:cs="Arial"/>
                    </w:rPr>
                    <w:t>Newborn small for gestational age, 750-999 grams</w:t>
                  </w:r>
                </w:p>
              </w:tc>
            </w:tr>
            <w:tr w:rsidR="008B4492" w:rsidRPr="009A5185" w14:paraId="475FD9B7" w14:textId="77777777" w:rsidTr="00AD15CB">
              <w:trPr>
                <w:trHeight w:val="360"/>
              </w:trPr>
              <w:tc>
                <w:tcPr>
                  <w:tcW w:w="2303" w:type="dxa"/>
                  <w:vAlign w:val="center"/>
                </w:tcPr>
                <w:p w14:paraId="2C57A272" w14:textId="77777777" w:rsidR="008B4492" w:rsidRPr="009A5185" w:rsidRDefault="008B4492" w:rsidP="008B4492">
                  <w:pPr>
                    <w:rPr>
                      <w:rFonts w:cs="Arial"/>
                      <w:lang w:eastAsia="ja-JP"/>
                    </w:rPr>
                  </w:pPr>
                  <w:r w:rsidRPr="009A5185">
                    <w:rPr>
                      <w:rFonts w:cs="Arial"/>
                    </w:rPr>
                    <w:t>P05.14</w:t>
                  </w:r>
                </w:p>
              </w:tc>
              <w:tc>
                <w:tcPr>
                  <w:tcW w:w="6821" w:type="dxa"/>
                  <w:vAlign w:val="center"/>
                </w:tcPr>
                <w:p w14:paraId="38FFC61B" w14:textId="77777777" w:rsidR="008B4492" w:rsidRPr="009A5185" w:rsidRDefault="008B4492" w:rsidP="008B4492">
                  <w:pPr>
                    <w:rPr>
                      <w:rFonts w:cs="Arial"/>
                      <w:lang w:eastAsia="ja-JP"/>
                    </w:rPr>
                  </w:pPr>
                  <w:r w:rsidRPr="009A5185">
                    <w:rPr>
                      <w:rFonts w:cs="Arial"/>
                    </w:rPr>
                    <w:t>Newborn small for gestational age, 1000-1249 grams</w:t>
                  </w:r>
                </w:p>
              </w:tc>
            </w:tr>
            <w:tr w:rsidR="008B4492" w:rsidRPr="009A5185" w14:paraId="5D5D6E44" w14:textId="77777777" w:rsidTr="00AD15CB">
              <w:trPr>
                <w:trHeight w:val="360"/>
              </w:trPr>
              <w:tc>
                <w:tcPr>
                  <w:tcW w:w="2303" w:type="dxa"/>
                  <w:vAlign w:val="center"/>
                </w:tcPr>
                <w:p w14:paraId="43302E80" w14:textId="77777777" w:rsidR="008B4492" w:rsidRPr="009A5185" w:rsidRDefault="008B4492" w:rsidP="008B4492">
                  <w:pPr>
                    <w:rPr>
                      <w:rFonts w:cs="Arial"/>
                    </w:rPr>
                  </w:pPr>
                  <w:r w:rsidRPr="009A5185">
                    <w:rPr>
                      <w:rFonts w:cs="Arial"/>
                    </w:rPr>
                    <w:t>P05.15</w:t>
                  </w:r>
                </w:p>
              </w:tc>
              <w:tc>
                <w:tcPr>
                  <w:tcW w:w="6821" w:type="dxa"/>
                  <w:vAlign w:val="center"/>
                </w:tcPr>
                <w:p w14:paraId="2A74C95B" w14:textId="77777777" w:rsidR="008B4492" w:rsidRPr="009A5185" w:rsidRDefault="008B4492" w:rsidP="008B4492">
                  <w:pPr>
                    <w:rPr>
                      <w:rFonts w:cs="Arial"/>
                    </w:rPr>
                  </w:pPr>
                  <w:r w:rsidRPr="009A5185">
                    <w:rPr>
                      <w:rFonts w:cs="Arial"/>
                    </w:rPr>
                    <w:t>Newborn small for gestational age, 1250-1499 grams</w:t>
                  </w:r>
                </w:p>
              </w:tc>
            </w:tr>
            <w:tr w:rsidR="008B4492" w:rsidRPr="009A5185" w14:paraId="4E560D6C" w14:textId="77777777" w:rsidTr="00AD15CB">
              <w:trPr>
                <w:trHeight w:val="360"/>
              </w:trPr>
              <w:tc>
                <w:tcPr>
                  <w:tcW w:w="2303" w:type="dxa"/>
                  <w:vAlign w:val="center"/>
                </w:tcPr>
                <w:p w14:paraId="54A6D56B" w14:textId="77777777" w:rsidR="008B4492" w:rsidRPr="009A5185" w:rsidRDefault="008B4492" w:rsidP="008B4492">
                  <w:pPr>
                    <w:rPr>
                      <w:rFonts w:cs="Arial"/>
                    </w:rPr>
                  </w:pPr>
                  <w:r w:rsidRPr="009A5185">
                    <w:rPr>
                      <w:rFonts w:cs="Arial"/>
                    </w:rPr>
                    <w:t>P07.02</w:t>
                  </w:r>
                </w:p>
              </w:tc>
              <w:tc>
                <w:tcPr>
                  <w:tcW w:w="6821" w:type="dxa"/>
                  <w:vAlign w:val="center"/>
                </w:tcPr>
                <w:p w14:paraId="1F56570B" w14:textId="77777777" w:rsidR="008B4492" w:rsidRPr="009A5185" w:rsidRDefault="008B4492" w:rsidP="008B4492">
                  <w:pPr>
                    <w:rPr>
                      <w:rFonts w:cs="Arial"/>
                    </w:rPr>
                  </w:pPr>
                  <w:r w:rsidRPr="009A5185">
                    <w:rPr>
                      <w:rFonts w:cs="Arial"/>
                    </w:rPr>
                    <w:t>Extremely low birth weight newborn, 500-749 grams</w:t>
                  </w:r>
                </w:p>
              </w:tc>
            </w:tr>
            <w:tr w:rsidR="008B4492" w:rsidRPr="009A5185" w14:paraId="7AD8DD7B" w14:textId="77777777" w:rsidTr="00AD15CB">
              <w:trPr>
                <w:trHeight w:val="360"/>
              </w:trPr>
              <w:tc>
                <w:tcPr>
                  <w:tcW w:w="2303" w:type="dxa"/>
                  <w:vAlign w:val="center"/>
                </w:tcPr>
                <w:p w14:paraId="564DCC90" w14:textId="77777777" w:rsidR="008B4492" w:rsidRPr="009A5185" w:rsidRDefault="008B4492" w:rsidP="008B4492">
                  <w:pPr>
                    <w:rPr>
                      <w:rFonts w:cs="Arial"/>
                    </w:rPr>
                  </w:pPr>
                  <w:r w:rsidRPr="009A5185">
                    <w:rPr>
                      <w:rFonts w:cs="Arial"/>
                    </w:rPr>
                    <w:t>P07.03</w:t>
                  </w:r>
                </w:p>
              </w:tc>
              <w:tc>
                <w:tcPr>
                  <w:tcW w:w="6821" w:type="dxa"/>
                  <w:vAlign w:val="center"/>
                </w:tcPr>
                <w:p w14:paraId="01AD9279" w14:textId="77777777" w:rsidR="008B4492" w:rsidRPr="009A5185" w:rsidRDefault="008B4492" w:rsidP="008B4492">
                  <w:pPr>
                    <w:rPr>
                      <w:rFonts w:cs="Arial"/>
                    </w:rPr>
                  </w:pPr>
                  <w:r w:rsidRPr="009A5185">
                    <w:rPr>
                      <w:rFonts w:cs="Arial"/>
                    </w:rPr>
                    <w:t>Extremely low birth weight newborn, 750-999 grams</w:t>
                  </w:r>
                </w:p>
              </w:tc>
            </w:tr>
            <w:tr w:rsidR="008B4492" w:rsidRPr="009A5185" w14:paraId="352A83BD" w14:textId="77777777" w:rsidTr="00AD15CB">
              <w:trPr>
                <w:trHeight w:val="360"/>
              </w:trPr>
              <w:tc>
                <w:tcPr>
                  <w:tcW w:w="2303" w:type="dxa"/>
                  <w:vAlign w:val="center"/>
                </w:tcPr>
                <w:p w14:paraId="6CB5BA5C" w14:textId="77777777" w:rsidR="008B4492" w:rsidRPr="009A5185" w:rsidRDefault="008B4492" w:rsidP="008B4492">
                  <w:pPr>
                    <w:rPr>
                      <w:rFonts w:cs="Arial"/>
                    </w:rPr>
                  </w:pPr>
                  <w:r w:rsidRPr="009A5185">
                    <w:rPr>
                      <w:rFonts w:cs="Arial"/>
                    </w:rPr>
                    <w:lastRenderedPageBreak/>
                    <w:t>P07.14</w:t>
                  </w:r>
                </w:p>
              </w:tc>
              <w:tc>
                <w:tcPr>
                  <w:tcW w:w="6821" w:type="dxa"/>
                  <w:vAlign w:val="center"/>
                </w:tcPr>
                <w:p w14:paraId="12BB43F3" w14:textId="77777777" w:rsidR="008B4492" w:rsidRPr="009A5185" w:rsidRDefault="008B4492" w:rsidP="008B4492">
                  <w:pPr>
                    <w:rPr>
                      <w:rFonts w:cs="Arial"/>
                    </w:rPr>
                  </w:pPr>
                  <w:r w:rsidRPr="009A5185">
                    <w:rPr>
                      <w:rFonts w:cs="Arial"/>
                    </w:rPr>
                    <w:t>Other low birth weight newborn, 1000-1249 grams</w:t>
                  </w:r>
                </w:p>
              </w:tc>
            </w:tr>
            <w:tr w:rsidR="008B4492" w:rsidRPr="009A5185" w14:paraId="65E9F3EC" w14:textId="77777777" w:rsidTr="00AD15CB">
              <w:trPr>
                <w:trHeight w:val="360"/>
              </w:trPr>
              <w:tc>
                <w:tcPr>
                  <w:tcW w:w="2303" w:type="dxa"/>
                  <w:vAlign w:val="center"/>
                </w:tcPr>
                <w:p w14:paraId="3B0CC7EC" w14:textId="77777777" w:rsidR="008B4492" w:rsidRPr="009A5185" w:rsidRDefault="008B4492" w:rsidP="008B4492">
                  <w:pPr>
                    <w:rPr>
                      <w:rFonts w:cs="Arial"/>
                    </w:rPr>
                  </w:pPr>
                  <w:r w:rsidRPr="009A5185">
                    <w:rPr>
                      <w:rFonts w:cs="Arial"/>
                    </w:rPr>
                    <w:t>P07.15</w:t>
                  </w:r>
                </w:p>
              </w:tc>
              <w:tc>
                <w:tcPr>
                  <w:tcW w:w="6821" w:type="dxa"/>
                  <w:vAlign w:val="center"/>
                </w:tcPr>
                <w:p w14:paraId="745E6F8A" w14:textId="77777777" w:rsidR="008B4492" w:rsidRPr="009A5185" w:rsidRDefault="008B4492" w:rsidP="008B4492">
                  <w:pPr>
                    <w:rPr>
                      <w:rFonts w:cs="Arial"/>
                    </w:rPr>
                  </w:pPr>
                  <w:r w:rsidRPr="009A5185">
                    <w:rPr>
                      <w:rFonts w:cs="Arial"/>
                    </w:rPr>
                    <w:t>Other low birth weight newborn, 1250-1499 grams</w:t>
                  </w:r>
                </w:p>
              </w:tc>
            </w:tr>
          </w:tbl>
          <w:p w14:paraId="5B3F8910" w14:textId="77777777" w:rsidR="008B4492" w:rsidRPr="009A5185" w:rsidRDefault="008B4492" w:rsidP="008B4492">
            <w:pPr>
              <w:rPr>
                <w:rFonts w:cs="Arial"/>
                <w:lang w:eastAsia="ja-JP"/>
              </w:rPr>
            </w:pPr>
          </w:p>
          <w:p w14:paraId="5FCCB90F" w14:textId="2F7A0CF8" w:rsidR="008B4492" w:rsidRPr="009A5185" w:rsidRDefault="008B4492" w:rsidP="008B4492">
            <w:pPr>
              <w:autoSpaceDE w:val="0"/>
              <w:autoSpaceDN w:val="0"/>
              <w:adjustRightInd w:val="0"/>
              <w:rPr>
                <w:rFonts w:cs="Arial"/>
                <w:b/>
                <w:snapToGrid w:val="0"/>
              </w:rPr>
            </w:pPr>
            <w:r>
              <w:rPr>
                <w:rFonts w:cs="Arial"/>
                <w:b/>
              </w:rPr>
              <w:t xml:space="preserve">Excluded Populations: </w:t>
            </w:r>
            <w:r>
              <w:rPr>
                <w:rFonts w:cs="Arial"/>
              </w:rPr>
              <w:t>Newborns admitted to the neonatal ICU weighing 1500 grams or more.</w:t>
            </w:r>
          </w:p>
        </w:tc>
      </w:tr>
    </w:tbl>
    <w:p w14:paraId="3E9EC420" w14:textId="77777777" w:rsidR="00EB259E" w:rsidRDefault="00EB259E" w:rsidP="003437C9">
      <w:pPr>
        <w:pStyle w:val="Heading44"/>
      </w:pPr>
      <w:bookmarkStart w:id="384" w:name="_Toc99642909"/>
      <w:bookmarkStart w:id="385" w:name="_Toc383775031"/>
      <w:bookmarkStart w:id="386" w:name="HighRiskOut"/>
      <w:bookmarkEnd w:id="383"/>
    </w:p>
    <w:p w14:paraId="794EAC45" w14:textId="62E67837" w:rsidR="00B407CB" w:rsidRPr="003437C9" w:rsidRDefault="00B407CB" w:rsidP="003437C9">
      <w:pPr>
        <w:pStyle w:val="Heading44"/>
        <w:rPr>
          <w:rFonts w:cs="Arial"/>
          <w:i/>
          <w:sz w:val="24"/>
          <w:szCs w:val="24"/>
          <w:lang w:eastAsia="ja-JP"/>
        </w:rPr>
      </w:pPr>
      <w:r w:rsidRPr="006922BB">
        <w:t>Neonatal Intensive Care Unit(s) – National Performance Measurement</w:t>
      </w:r>
      <w:bookmarkEnd w:id="384"/>
    </w:p>
    <w:bookmarkEnd w:id="385"/>
    <w:p w14:paraId="568489FF" w14:textId="77777777" w:rsidR="00BF3DC5" w:rsidRPr="00D165E2" w:rsidRDefault="00BF3DC5" w:rsidP="00CA2ADC">
      <w:pPr>
        <w:rPr>
          <w:rFonts w:cs="Arial"/>
          <w:sz w:val="16"/>
          <w:szCs w:val="16"/>
          <w:lang w:eastAsia="ja-JP"/>
        </w:rPr>
      </w:pPr>
    </w:p>
    <w:p w14:paraId="7A0D0D0D" w14:textId="382DCA21" w:rsidR="00CB47DF" w:rsidRDefault="00CB47DF" w:rsidP="00D165E2">
      <w:pPr>
        <w:rPr>
          <w:rFonts w:cs="Arial"/>
        </w:rPr>
      </w:pPr>
      <w:r>
        <w:rPr>
          <w:rFonts w:cs="Arial"/>
        </w:rPr>
        <w:t xml:space="preserve">Hospitals participating in the Vermont Oxford Network (VON) may opt to report on the VON National Performance Measure. In order for Leapfrog to obtain the data from VON, </w:t>
      </w:r>
      <w:r w:rsidR="000E2FAE">
        <w:rPr>
          <w:rFonts w:cs="Arial"/>
        </w:rPr>
        <w:t xml:space="preserve">the VON data must be </w:t>
      </w:r>
      <w:r w:rsidR="00AC7C90">
        <w:rPr>
          <w:rFonts w:cs="Arial"/>
        </w:rPr>
        <w:t>finalized,</w:t>
      </w:r>
      <w:r w:rsidR="000E2FAE">
        <w:rPr>
          <w:rFonts w:cs="Arial"/>
        </w:rPr>
        <w:t xml:space="preserve"> and </w:t>
      </w:r>
      <w:r>
        <w:rPr>
          <w:rFonts w:cs="Arial"/>
        </w:rPr>
        <w:t>hospitals must complete the following steps:</w:t>
      </w:r>
    </w:p>
    <w:p w14:paraId="643DB6F1" w14:textId="5499D56E" w:rsidR="009929CD" w:rsidRPr="00AC7C90" w:rsidRDefault="009929CD" w:rsidP="00AD309C">
      <w:pPr>
        <w:pStyle w:val="ListParagraph"/>
        <w:numPr>
          <w:ilvl w:val="0"/>
          <w:numId w:val="189"/>
        </w:numPr>
        <w:rPr>
          <w:rFonts w:cs="Arial"/>
        </w:rPr>
      </w:pPr>
      <w:r w:rsidRPr="00AC7C90">
        <w:rPr>
          <w:rFonts w:cs="Arial"/>
        </w:rPr>
        <w:t xml:space="preserve">Provide an accurate </w:t>
      </w:r>
      <w:hyperlink r:id="rId312" w:history="1">
        <w:r w:rsidRPr="00AC7C90">
          <w:rPr>
            <w:rStyle w:val="Hyperlink"/>
            <w:rFonts w:cs="Arial"/>
          </w:rPr>
          <w:t>VON Transfer Code</w:t>
        </w:r>
      </w:hyperlink>
      <w:r w:rsidRPr="00AC7C90">
        <w:rPr>
          <w:rFonts w:cs="Arial"/>
        </w:rPr>
        <w:t xml:space="preserve"> in </w:t>
      </w:r>
      <w:r>
        <w:t>the Hospital Profile,</w:t>
      </w:r>
      <w:r w:rsidRPr="00AC7C90">
        <w:rPr>
          <w:rFonts w:cs="Arial"/>
        </w:rPr>
        <w:t xml:space="preserve"> </w:t>
      </w:r>
    </w:p>
    <w:p w14:paraId="2EA02859" w14:textId="17F4ACAF" w:rsidR="009929CD" w:rsidRPr="00AC7C90" w:rsidRDefault="009929CD" w:rsidP="00AD309C">
      <w:pPr>
        <w:pStyle w:val="ListParagraph"/>
        <w:numPr>
          <w:ilvl w:val="0"/>
          <w:numId w:val="189"/>
        </w:numPr>
        <w:rPr>
          <w:rFonts w:cs="Arial"/>
        </w:rPr>
      </w:pPr>
      <w:r w:rsidRPr="00AC7C90">
        <w:rPr>
          <w:rFonts w:cs="Arial"/>
        </w:rPr>
        <w:t xml:space="preserve">Complete a </w:t>
      </w:r>
      <w:hyperlink r:id="rId313" w:history="1">
        <w:r w:rsidRPr="00AC7C90">
          <w:rPr>
            <w:rStyle w:val="Hyperlink"/>
            <w:rFonts w:cs="Arial"/>
          </w:rPr>
          <w:t>Data Sharing Authorization</w:t>
        </w:r>
      </w:hyperlink>
      <w:r w:rsidRPr="00AC7C90">
        <w:rPr>
          <w:rFonts w:cs="Arial"/>
        </w:rPr>
        <w:t xml:space="preserve"> letter and submit it to </w:t>
      </w:r>
      <w:hyperlink r:id="rId314" w:history="1">
        <w:r w:rsidRPr="00AC7C90">
          <w:rPr>
            <w:rStyle w:val="Hyperlink"/>
            <w:rFonts w:cs="Arial"/>
          </w:rPr>
          <w:t>VON</w:t>
        </w:r>
      </w:hyperlink>
      <w:r w:rsidRPr="00AC7C90">
        <w:rPr>
          <w:rFonts w:cs="Arial"/>
        </w:rPr>
        <w:t xml:space="preserve"> by </w:t>
      </w:r>
      <w:r w:rsidRPr="00AC7C90">
        <w:rPr>
          <w:rFonts w:cs="Arial"/>
          <w:b/>
          <w:bCs/>
        </w:rPr>
        <w:t>Jun</w:t>
      </w:r>
      <w:r w:rsidRPr="00AC7C90">
        <w:rPr>
          <w:b/>
        </w:rPr>
        <w:t>e</w:t>
      </w:r>
      <w:r w:rsidRPr="00AC7C90">
        <w:rPr>
          <w:rFonts w:cs="Arial"/>
          <w:b/>
          <w:bCs/>
        </w:rPr>
        <w:t xml:space="preserve"> 1</w:t>
      </w:r>
      <w:r w:rsidR="00EB259E">
        <w:rPr>
          <w:rFonts w:cs="Arial"/>
          <w:b/>
          <w:bCs/>
        </w:rPr>
        <w:t>5</w:t>
      </w:r>
      <w:r>
        <w:t xml:space="preserve"> </w:t>
      </w:r>
      <w:r w:rsidR="00237492">
        <w:t>(</w:t>
      </w:r>
      <w:r w:rsidRPr="00AC7C90">
        <w:rPr>
          <w:rFonts w:cs="Arial"/>
        </w:rPr>
        <w:t xml:space="preserve">Hospitals that submitted their Data Sharing Authorization letter to VON </w:t>
      </w:r>
      <w:r w:rsidR="00822FF4">
        <w:rPr>
          <w:rFonts w:cs="Arial"/>
        </w:rPr>
        <w:t xml:space="preserve">in previous </w:t>
      </w:r>
      <w:r w:rsidR="00822FF4" w:rsidRPr="009A5185">
        <w:rPr>
          <w:rFonts w:cs="Arial"/>
        </w:rPr>
        <w:t>Leapfrog Hospital Survey</w:t>
      </w:r>
      <w:r w:rsidR="00822FF4">
        <w:rPr>
          <w:rFonts w:cs="Arial"/>
        </w:rPr>
        <w:t xml:space="preserve"> Cycles </w:t>
      </w:r>
      <w:r w:rsidR="00157FDB">
        <w:rPr>
          <w:rFonts w:cs="Arial"/>
        </w:rPr>
        <w:t>do</w:t>
      </w:r>
      <w:r w:rsidRPr="00AC7C90">
        <w:rPr>
          <w:rFonts w:cs="Arial"/>
        </w:rPr>
        <w:t xml:space="preserve"> not have to re-submit a new letter in 202</w:t>
      </w:r>
      <w:r w:rsidR="00EB259E">
        <w:rPr>
          <w:rFonts w:cs="Arial"/>
        </w:rPr>
        <w:t>6</w:t>
      </w:r>
      <w:r w:rsidR="00237492">
        <w:rPr>
          <w:rFonts w:cs="Arial"/>
        </w:rPr>
        <w:t>)</w:t>
      </w:r>
      <w:r w:rsidR="003822B4">
        <w:rPr>
          <w:rFonts w:cs="Arial"/>
        </w:rPr>
        <w:t>,</w:t>
      </w:r>
    </w:p>
    <w:p w14:paraId="5138AE48" w14:textId="77777777" w:rsidR="009929CD" w:rsidRPr="00AC7C90" w:rsidRDefault="009929CD" w:rsidP="00AD309C">
      <w:pPr>
        <w:pStyle w:val="ListParagraph"/>
        <w:numPr>
          <w:ilvl w:val="0"/>
          <w:numId w:val="189"/>
        </w:numPr>
        <w:rPr>
          <w:rFonts w:cs="Arial"/>
        </w:rPr>
      </w:pPr>
      <w:r w:rsidRPr="00AC7C90">
        <w:rPr>
          <w:rFonts w:cs="Arial"/>
        </w:rPr>
        <w:t xml:space="preserve">Select “VON National Performance Measure” in question #3, and </w:t>
      </w:r>
    </w:p>
    <w:p w14:paraId="085E1452" w14:textId="16CCD0B5" w:rsidR="00CB47DF" w:rsidRPr="00AC7C90" w:rsidRDefault="009929CD" w:rsidP="00AD309C">
      <w:pPr>
        <w:pStyle w:val="ListParagraph"/>
        <w:numPr>
          <w:ilvl w:val="0"/>
          <w:numId w:val="189"/>
        </w:numPr>
        <w:rPr>
          <w:rFonts w:cs="Arial"/>
        </w:rPr>
      </w:pPr>
      <w:r w:rsidRPr="00AC7C90">
        <w:rPr>
          <w:rFonts w:cs="Arial"/>
        </w:rPr>
        <w:t>Submit</w:t>
      </w:r>
      <w:r w:rsidR="00437687" w:rsidRPr="00AC7C90">
        <w:rPr>
          <w:rFonts w:cs="Arial"/>
        </w:rPr>
        <w:t xml:space="preserve"> the 202</w:t>
      </w:r>
      <w:r w:rsidR="00EB259E">
        <w:rPr>
          <w:rFonts w:cs="Arial"/>
        </w:rPr>
        <w:t>6</w:t>
      </w:r>
      <w:r w:rsidR="00437687" w:rsidRPr="00AC7C90">
        <w:rPr>
          <w:rFonts w:cs="Arial"/>
        </w:rPr>
        <w:t xml:space="preserve"> Leapfrog Hospital Survey</w:t>
      </w:r>
      <w:r w:rsidRPr="00AC7C90">
        <w:rPr>
          <w:rFonts w:cs="Arial"/>
        </w:rPr>
        <w:t xml:space="preserve"> by the June 30 Submission Deadline.</w:t>
      </w:r>
    </w:p>
    <w:p w14:paraId="270165EF" w14:textId="77777777" w:rsidR="009929CD" w:rsidRPr="00D165E2" w:rsidRDefault="009929CD" w:rsidP="00D165E2">
      <w:pPr>
        <w:ind w:left="720"/>
        <w:rPr>
          <w:rFonts w:cs="Arial"/>
          <w:sz w:val="16"/>
          <w:szCs w:val="16"/>
        </w:rPr>
      </w:pPr>
    </w:p>
    <w:p w14:paraId="5991FB63" w14:textId="73A810EB" w:rsidR="00CB47DF" w:rsidRPr="009A5185" w:rsidRDefault="00CB47DF" w:rsidP="00D165E2">
      <w:pPr>
        <w:pStyle w:val="Header"/>
        <w:tabs>
          <w:tab w:val="clear" w:pos="4320"/>
          <w:tab w:val="clear" w:pos="8640"/>
        </w:tabs>
        <w:rPr>
          <w:rFonts w:cs="Arial"/>
        </w:rPr>
      </w:pPr>
      <w:r>
        <w:rPr>
          <w:rFonts w:cs="Arial"/>
        </w:rPr>
        <w:t>Hospitals that select “VON National Performance Measure” in question #3, but do not adhere to the other steps will be scored and publicly reported as “Declined to Re</w:t>
      </w:r>
      <w:r w:rsidR="009679D5">
        <w:rPr>
          <w:rFonts w:cs="Arial"/>
        </w:rPr>
        <w:t>port</w:t>
      </w:r>
      <w:r>
        <w:rPr>
          <w:rFonts w:cs="Arial"/>
        </w:rPr>
        <w:t>” for the High-Risk Deliveries measure.</w:t>
      </w:r>
    </w:p>
    <w:p w14:paraId="5065EC4A" w14:textId="5A77C23D" w:rsidR="00CB47DF" w:rsidRPr="00D165E2" w:rsidRDefault="00CB47DF" w:rsidP="00D165E2">
      <w:pPr>
        <w:pStyle w:val="Header"/>
        <w:tabs>
          <w:tab w:val="clear" w:pos="4320"/>
          <w:tab w:val="clear" w:pos="8640"/>
        </w:tabs>
        <w:rPr>
          <w:rFonts w:cs="Arial"/>
          <w:sz w:val="16"/>
          <w:szCs w:val="16"/>
        </w:rPr>
      </w:pPr>
    </w:p>
    <w:p w14:paraId="5FE751DE" w14:textId="5A2789E1" w:rsidR="008D611A" w:rsidRPr="00D165E2" w:rsidRDefault="00B95438" w:rsidP="00D165E2">
      <w:pPr>
        <w:rPr>
          <w:rFonts w:cs="Arial"/>
          <w:sz w:val="16"/>
          <w:szCs w:val="16"/>
        </w:rPr>
      </w:pPr>
      <w:r w:rsidRPr="00B95438">
        <w:rPr>
          <w:rFonts w:cs="Arial"/>
          <w:lang w:eastAsia="ja-JP"/>
        </w:rPr>
        <w:t>Data will be available for review on the Leapfrog Hospital Survey Hospital Details Page</w:t>
      </w:r>
      <w:r>
        <w:rPr>
          <w:rFonts w:cs="Arial"/>
          <w:lang w:eastAsia="ja-JP"/>
        </w:rPr>
        <w:t xml:space="preserve"> </w:t>
      </w:r>
      <w:r w:rsidRPr="00B95438">
        <w:rPr>
          <w:rFonts w:cs="Arial"/>
          <w:lang w:eastAsia="ja-JP"/>
        </w:rPr>
        <w:t xml:space="preserve">beginning </w:t>
      </w:r>
      <w:r w:rsidR="00283F59">
        <w:rPr>
          <w:rFonts w:cs="Arial"/>
          <w:lang w:eastAsia="ja-JP"/>
        </w:rPr>
        <w:t>on July 12</w:t>
      </w:r>
      <w:r w:rsidRPr="00B95438">
        <w:rPr>
          <w:rFonts w:cs="Arial"/>
          <w:lang w:eastAsia="ja-JP"/>
        </w:rPr>
        <w:t xml:space="preserve">. The VON </w:t>
      </w:r>
      <w:r w:rsidR="00CC23BC">
        <w:rPr>
          <w:rFonts w:cs="Arial"/>
          <w:lang w:eastAsia="ja-JP"/>
        </w:rPr>
        <w:t>data</w:t>
      </w:r>
      <w:r w:rsidRPr="00B95438">
        <w:rPr>
          <w:rFonts w:cs="Arial"/>
          <w:lang w:eastAsia="ja-JP"/>
        </w:rPr>
        <w:t xml:space="preserve"> Leapfrog obtains can be found in the Vermont</w:t>
      </w:r>
      <w:r>
        <w:rPr>
          <w:rFonts w:cs="Arial"/>
          <w:lang w:eastAsia="ja-JP"/>
        </w:rPr>
        <w:t xml:space="preserve"> </w:t>
      </w:r>
      <w:r w:rsidRPr="00B95438">
        <w:rPr>
          <w:rFonts w:cs="Arial"/>
          <w:lang w:eastAsia="ja-JP"/>
        </w:rPr>
        <w:t>Oxford Networ</w:t>
      </w:r>
      <w:r>
        <w:rPr>
          <w:rFonts w:cs="Arial"/>
          <w:lang w:eastAsia="ja-JP"/>
        </w:rPr>
        <w:t xml:space="preserve">k’s Nightingale Internet Reporting System. </w:t>
      </w:r>
      <w:r w:rsidR="00CB47DF">
        <w:rPr>
          <w:rFonts w:cs="Arial"/>
          <w:lang w:eastAsia="ja-JP"/>
        </w:rPr>
        <w:t xml:space="preserve">Leapfrog has provided instructions for </w:t>
      </w:r>
      <w:bookmarkStart w:id="387" w:name="_Toc383775033"/>
      <w:bookmarkEnd w:id="386"/>
      <w:r w:rsidR="00D1050E" w:rsidRPr="009A5185">
        <w:rPr>
          <w:rFonts w:cs="Arial"/>
        </w:rPr>
        <w:t>using th</w:t>
      </w:r>
      <w:r w:rsidR="00221DE6" w:rsidRPr="009A5185">
        <w:rPr>
          <w:rFonts w:cs="Arial"/>
        </w:rPr>
        <w:t xml:space="preserve">e VON Nightingale online tool on the </w:t>
      </w:r>
      <w:hyperlink r:id="rId315" w:history="1">
        <w:r w:rsidR="00C14AFF" w:rsidRPr="009A5185">
          <w:rPr>
            <w:rStyle w:val="Hyperlink"/>
            <w:rFonts w:cs="Arial"/>
          </w:rPr>
          <w:t>Survey</w:t>
        </w:r>
        <w:r w:rsidR="00221DE6" w:rsidRPr="009A5185">
          <w:rPr>
            <w:rStyle w:val="Hyperlink"/>
            <w:rFonts w:cs="Arial"/>
          </w:rPr>
          <w:t xml:space="preserve"> and CPOE Materials webpage</w:t>
        </w:r>
      </w:hyperlink>
      <w:r w:rsidR="005C2B11">
        <w:rPr>
          <w:rFonts w:cs="Arial"/>
        </w:rPr>
        <w:t>.</w:t>
      </w:r>
      <w:r w:rsidR="00B3755C" w:rsidRPr="009A5185">
        <w:rPr>
          <w:rFonts w:cs="Arial"/>
        </w:rPr>
        <w:t xml:space="preserve"> </w:t>
      </w:r>
      <w:r w:rsidR="00CB47DF">
        <w:rPr>
          <w:rFonts w:cs="Arial"/>
        </w:rPr>
        <w:t>These instructions can be used to verify the data that Leapfrog is obtaining from VON, which includes:</w:t>
      </w:r>
      <w:r w:rsidR="00C7333E">
        <w:rPr>
          <w:rFonts w:cs="Arial"/>
        </w:rPr>
        <w:br/>
      </w:r>
    </w:p>
    <w:tbl>
      <w:tblPr>
        <w:tblStyle w:val="TableGrid13"/>
        <w:tblW w:w="0" w:type="auto"/>
        <w:tblLook w:val="01E0" w:firstRow="1" w:lastRow="1" w:firstColumn="1" w:lastColumn="1" w:noHBand="0" w:noVBand="0"/>
      </w:tblPr>
      <w:tblGrid>
        <w:gridCol w:w="1525"/>
        <w:gridCol w:w="7825"/>
      </w:tblGrid>
      <w:tr w:rsidR="00C7333E" w:rsidRPr="009A5185" w14:paraId="69975A70" w14:textId="77777777" w:rsidTr="009128D9">
        <w:trPr>
          <w:trHeight w:val="20"/>
        </w:trPr>
        <w:tc>
          <w:tcPr>
            <w:tcW w:w="1525" w:type="dxa"/>
            <w:vAlign w:val="center"/>
          </w:tcPr>
          <w:p w14:paraId="2B4FAA8A" w14:textId="183CE842" w:rsidR="00C7333E" w:rsidRPr="009A5185" w:rsidRDefault="00F07C5C" w:rsidP="00900F25">
            <w:pPr>
              <w:rPr>
                <w:rFonts w:cs="Arial"/>
                <w:b/>
              </w:rPr>
            </w:pPr>
            <w:r>
              <w:rPr>
                <w:rFonts w:cs="Arial"/>
                <w:b/>
              </w:rPr>
              <w:t>Variable</w:t>
            </w:r>
          </w:p>
        </w:tc>
        <w:tc>
          <w:tcPr>
            <w:tcW w:w="7825" w:type="dxa"/>
            <w:vAlign w:val="center"/>
          </w:tcPr>
          <w:p w14:paraId="18E0227A" w14:textId="72B9ABAC" w:rsidR="00C7333E" w:rsidRPr="009A5185" w:rsidRDefault="00F07C5C" w:rsidP="00900F25">
            <w:pPr>
              <w:rPr>
                <w:rFonts w:cs="Arial"/>
                <w:b/>
                <w:lang w:eastAsia="ja-JP"/>
              </w:rPr>
            </w:pPr>
            <w:r>
              <w:rPr>
                <w:rFonts w:cs="Arial"/>
                <w:b/>
                <w:lang w:eastAsia="ja-JP"/>
              </w:rPr>
              <w:t xml:space="preserve">From the </w:t>
            </w:r>
            <w:r w:rsidR="00C7333E" w:rsidRPr="009A5185">
              <w:rPr>
                <w:rFonts w:cs="Arial"/>
                <w:b/>
                <w:lang w:eastAsia="ja-JP"/>
              </w:rPr>
              <w:t xml:space="preserve">Vermont Oxford Network (SMR Report from Nightingale online tool) </w:t>
            </w:r>
          </w:p>
        </w:tc>
      </w:tr>
      <w:tr w:rsidR="00C7333E" w:rsidRPr="009A5185" w14:paraId="34C8B53B" w14:textId="77777777" w:rsidTr="009128D9">
        <w:trPr>
          <w:trHeight w:val="144"/>
        </w:trPr>
        <w:tc>
          <w:tcPr>
            <w:tcW w:w="1525" w:type="dxa"/>
            <w:vAlign w:val="center"/>
          </w:tcPr>
          <w:p w14:paraId="6E757CC3" w14:textId="77777777" w:rsidR="00C7333E" w:rsidRPr="009A5185" w:rsidRDefault="00C7333E" w:rsidP="00900F25">
            <w:pPr>
              <w:rPr>
                <w:rFonts w:cs="Arial"/>
                <w:lang w:eastAsia="ja-JP"/>
              </w:rPr>
            </w:pPr>
            <w:r w:rsidRPr="009A5185">
              <w:rPr>
                <w:rFonts w:cs="Arial"/>
                <w:lang w:eastAsia="ja-JP"/>
              </w:rPr>
              <w:t xml:space="preserve">Volume </w:t>
            </w:r>
          </w:p>
        </w:tc>
        <w:tc>
          <w:tcPr>
            <w:tcW w:w="7825" w:type="dxa"/>
            <w:vAlign w:val="center"/>
          </w:tcPr>
          <w:p w14:paraId="2C402B45" w14:textId="77777777" w:rsidR="00C7333E" w:rsidRPr="009A5185" w:rsidRDefault="00C7333E" w:rsidP="00900F25">
            <w:pPr>
              <w:rPr>
                <w:rFonts w:cs="Arial"/>
                <w:b/>
                <w:lang w:eastAsia="ja-JP"/>
              </w:rPr>
            </w:pPr>
            <w:r w:rsidRPr="009A5185">
              <w:rPr>
                <w:rFonts w:cs="Arial"/>
              </w:rPr>
              <w:t>Fr</w:t>
            </w:r>
            <w:r>
              <w:rPr>
                <w:rFonts w:cs="Arial"/>
              </w:rPr>
              <w:t>om</w:t>
            </w:r>
            <w:r w:rsidRPr="009A5185">
              <w:rPr>
                <w:rFonts w:cs="Arial"/>
              </w:rPr>
              <w:t xml:space="preserve"> the latest 12-month standardized mortality or morbidity ratio (SMR) report for Death or Morbidity,</w:t>
            </w:r>
            <w:r>
              <w:rPr>
                <w:rFonts w:cs="Arial"/>
              </w:rPr>
              <w:t xml:space="preserve"> the</w:t>
            </w:r>
            <w:r w:rsidRPr="009A5185">
              <w:rPr>
                <w:rFonts w:cs="Arial"/>
              </w:rPr>
              <w:t xml:space="preserve"> hospital’s “N” for the volume of cases for the reporting period</w:t>
            </w:r>
            <w:r>
              <w:rPr>
                <w:rFonts w:cs="Arial"/>
              </w:rPr>
              <w:t>.</w:t>
            </w:r>
          </w:p>
        </w:tc>
      </w:tr>
      <w:tr w:rsidR="00C7333E" w:rsidRPr="009A5185" w14:paraId="669F02F2" w14:textId="77777777" w:rsidTr="009128D9">
        <w:trPr>
          <w:trHeight w:val="20"/>
        </w:trPr>
        <w:tc>
          <w:tcPr>
            <w:tcW w:w="1525" w:type="dxa"/>
            <w:vAlign w:val="center"/>
          </w:tcPr>
          <w:p w14:paraId="12DD76FF" w14:textId="77777777" w:rsidR="00C7333E" w:rsidRPr="009A5185" w:rsidRDefault="00C7333E" w:rsidP="00900F25">
            <w:pPr>
              <w:rPr>
                <w:rFonts w:cs="Arial"/>
              </w:rPr>
            </w:pPr>
            <w:r w:rsidRPr="009A5185">
              <w:rPr>
                <w:rFonts w:cs="Arial"/>
                <w:color w:val="000000"/>
                <w:lang w:eastAsia="ja-JP"/>
              </w:rPr>
              <w:t>SMR 95% (lower bound)</w:t>
            </w:r>
          </w:p>
        </w:tc>
        <w:tc>
          <w:tcPr>
            <w:tcW w:w="7825" w:type="dxa"/>
            <w:vAlign w:val="center"/>
          </w:tcPr>
          <w:p w14:paraId="552AD0F4" w14:textId="77777777" w:rsidR="00C7333E" w:rsidRPr="009A5185" w:rsidRDefault="00C7333E" w:rsidP="00900F25">
            <w:pPr>
              <w:autoSpaceDE w:val="0"/>
              <w:autoSpaceDN w:val="0"/>
              <w:adjustRightInd w:val="0"/>
              <w:rPr>
                <w:rFonts w:cs="Arial"/>
              </w:rPr>
            </w:pPr>
            <w:r w:rsidRPr="009A5185">
              <w:rPr>
                <w:rFonts w:cs="Arial"/>
              </w:rPr>
              <w:t xml:space="preserve">From the same report, </w:t>
            </w:r>
            <w:r>
              <w:rPr>
                <w:rFonts w:cs="Arial"/>
              </w:rPr>
              <w:t>the</w:t>
            </w:r>
            <w:r w:rsidRPr="009A5185">
              <w:rPr>
                <w:rFonts w:cs="Arial"/>
              </w:rPr>
              <w:t xml:space="preserve"> hospital’s “SMR 95% (lower)” for Death or Morbidity. This represents the lower value of your hospital’s 95% confidence interval.</w:t>
            </w:r>
          </w:p>
        </w:tc>
      </w:tr>
      <w:tr w:rsidR="00C7333E" w:rsidRPr="009A5185" w14:paraId="37089F11" w14:textId="77777777" w:rsidTr="009128D9">
        <w:trPr>
          <w:trHeight w:val="144"/>
        </w:trPr>
        <w:tc>
          <w:tcPr>
            <w:tcW w:w="1525" w:type="dxa"/>
            <w:vAlign w:val="center"/>
          </w:tcPr>
          <w:p w14:paraId="7D40E3BD" w14:textId="77777777" w:rsidR="00C7333E" w:rsidRPr="009A5185" w:rsidRDefault="00C7333E" w:rsidP="00900F25">
            <w:pPr>
              <w:rPr>
                <w:rFonts w:cs="Arial"/>
              </w:rPr>
            </w:pPr>
            <w:r w:rsidRPr="009A5185">
              <w:rPr>
                <w:rFonts w:cs="Arial"/>
                <w:snapToGrid w:val="0"/>
                <w:color w:val="000000"/>
              </w:rPr>
              <w:t>SMR (shrunken)</w:t>
            </w:r>
          </w:p>
        </w:tc>
        <w:tc>
          <w:tcPr>
            <w:tcW w:w="7825" w:type="dxa"/>
            <w:vAlign w:val="center"/>
          </w:tcPr>
          <w:p w14:paraId="3D6DC418" w14:textId="77777777" w:rsidR="00C7333E" w:rsidRPr="009A5185" w:rsidRDefault="00C7333E" w:rsidP="00900F25">
            <w:pPr>
              <w:rPr>
                <w:rFonts w:cs="Arial"/>
              </w:rPr>
            </w:pPr>
            <w:r w:rsidRPr="009A5185">
              <w:rPr>
                <w:rFonts w:cs="Arial"/>
              </w:rPr>
              <w:t xml:space="preserve">From the same report, </w:t>
            </w:r>
            <w:r>
              <w:rPr>
                <w:rFonts w:cs="Arial"/>
              </w:rPr>
              <w:t>the</w:t>
            </w:r>
            <w:r w:rsidRPr="009A5185">
              <w:rPr>
                <w:rFonts w:cs="Arial"/>
              </w:rPr>
              <w:t xml:space="preserve"> hospital’s “SMR (shrunken)” for Death or Morbidity. This is the weighted average of the hospital value and the population (Vermont Oxford Network) mean value.</w:t>
            </w:r>
          </w:p>
        </w:tc>
      </w:tr>
      <w:tr w:rsidR="00C7333E" w:rsidRPr="009A5185" w14:paraId="5D85E01D" w14:textId="77777777" w:rsidTr="009128D9">
        <w:trPr>
          <w:trHeight w:val="288"/>
        </w:trPr>
        <w:tc>
          <w:tcPr>
            <w:tcW w:w="1525" w:type="dxa"/>
            <w:vAlign w:val="center"/>
          </w:tcPr>
          <w:p w14:paraId="60CB1A8D" w14:textId="77777777" w:rsidR="00C7333E" w:rsidRPr="009A5185" w:rsidRDefault="00C7333E" w:rsidP="00900F25">
            <w:pPr>
              <w:rPr>
                <w:rFonts w:cs="Arial"/>
                <w:color w:val="000000"/>
                <w:lang w:eastAsia="ja-JP"/>
              </w:rPr>
            </w:pPr>
            <w:r w:rsidRPr="009A5185">
              <w:rPr>
                <w:rFonts w:cs="Arial"/>
                <w:color w:val="000000"/>
                <w:lang w:eastAsia="ja-JP"/>
              </w:rPr>
              <w:t>SMR 95% (upper bound)</w:t>
            </w:r>
          </w:p>
        </w:tc>
        <w:tc>
          <w:tcPr>
            <w:tcW w:w="7825" w:type="dxa"/>
            <w:vAlign w:val="center"/>
          </w:tcPr>
          <w:p w14:paraId="6AC68915" w14:textId="77777777" w:rsidR="00C7333E" w:rsidRPr="009A5185" w:rsidRDefault="00C7333E" w:rsidP="00900F25">
            <w:pPr>
              <w:autoSpaceDE w:val="0"/>
              <w:autoSpaceDN w:val="0"/>
              <w:adjustRightInd w:val="0"/>
              <w:rPr>
                <w:rFonts w:cs="Arial"/>
              </w:rPr>
            </w:pPr>
            <w:r w:rsidRPr="009A5185">
              <w:rPr>
                <w:rFonts w:cs="Arial"/>
              </w:rPr>
              <w:t xml:space="preserve">From the same report, </w:t>
            </w:r>
            <w:r>
              <w:rPr>
                <w:rFonts w:cs="Arial"/>
              </w:rPr>
              <w:t>the</w:t>
            </w:r>
            <w:r w:rsidRPr="009A5185">
              <w:rPr>
                <w:rFonts w:cs="Arial"/>
              </w:rPr>
              <w:t xml:space="preserve"> hospital’s “SMR 95% (upper)” for Death or Morbidity. This represents the upper value of your hospital’s 95% confidence interval.</w:t>
            </w:r>
            <w:r w:rsidRPr="009A5185" w:rsidDel="00EE4363">
              <w:rPr>
                <w:rFonts w:cs="Arial"/>
              </w:rPr>
              <w:t xml:space="preserve"> </w:t>
            </w:r>
          </w:p>
        </w:tc>
      </w:tr>
    </w:tbl>
    <w:p w14:paraId="4DBF7C71" w14:textId="35601DD0" w:rsidR="00C7333E" w:rsidRPr="00D165E2" w:rsidRDefault="00C7333E" w:rsidP="00B95438">
      <w:pPr>
        <w:rPr>
          <w:rFonts w:cs="Arial"/>
          <w:sz w:val="16"/>
          <w:szCs w:val="16"/>
        </w:rPr>
      </w:pPr>
    </w:p>
    <w:p w14:paraId="0C11DFF0" w14:textId="77777777" w:rsidR="00C7333E" w:rsidRPr="00EE7990" w:rsidRDefault="00C7333E" w:rsidP="00C7333E">
      <w:pPr>
        <w:pStyle w:val="Heading6"/>
      </w:pPr>
      <w:bookmarkStart w:id="388" w:name="_Deadlines_and_Reporting_2"/>
      <w:bookmarkStart w:id="389" w:name="_Ref123648670"/>
      <w:bookmarkEnd w:id="388"/>
      <w:r>
        <w:t>Deadlines and Reporting Periods</w:t>
      </w:r>
      <w:bookmarkEnd w:id="389"/>
    </w:p>
    <w:p w14:paraId="24C8A772" w14:textId="77777777" w:rsidR="00C7333E" w:rsidRPr="00D165E2" w:rsidRDefault="00C7333E" w:rsidP="00C7333E">
      <w:pPr>
        <w:rPr>
          <w:sz w:val="16"/>
          <w:szCs w:val="16"/>
        </w:rPr>
      </w:pPr>
    </w:p>
    <w:p w14:paraId="40CC8F2A" w14:textId="77777777" w:rsidR="00C7333E" w:rsidRDefault="00C7333E" w:rsidP="00C7333E">
      <w:pPr>
        <w:rPr>
          <w:rFonts w:cs="Arial"/>
        </w:rPr>
      </w:pPr>
      <w:r w:rsidRPr="00CB47DF">
        <w:rPr>
          <w:rFonts w:cs="Arial"/>
        </w:rPr>
        <w:t>Leapfrog will update the VON data three times per Survey Cycle for all hospitals that have completed the steps noted above</w:t>
      </w:r>
      <w:r>
        <w:rPr>
          <w:rFonts w:cs="Arial"/>
        </w:rPr>
        <w:t xml:space="preserve"> according to the deadlines and reporting periods listed in the following table:</w:t>
      </w:r>
    </w:p>
    <w:p w14:paraId="3F6EED35" w14:textId="77777777" w:rsidR="00D35F11" w:rsidRDefault="00D35F11" w:rsidP="00C7333E">
      <w:pPr>
        <w:rPr>
          <w:rFonts w:cs="Arial"/>
        </w:rPr>
      </w:pPr>
    </w:p>
    <w:tbl>
      <w:tblPr>
        <w:tblW w:w="5000" w:type="pct"/>
        <w:tblCellMar>
          <w:left w:w="0" w:type="dxa"/>
          <w:right w:w="0" w:type="dxa"/>
        </w:tblCellMar>
        <w:tblLook w:val="04A0" w:firstRow="1" w:lastRow="0" w:firstColumn="1" w:lastColumn="0" w:noHBand="0" w:noVBand="1"/>
      </w:tblPr>
      <w:tblGrid>
        <w:gridCol w:w="2398"/>
        <w:gridCol w:w="1855"/>
        <w:gridCol w:w="2763"/>
        <w:gridCol w:w="2324"/>
      </w:tblGrid>
      <w:tr w:rsidR="00D35F11" w:rsidRPr="001A7FD5" w14:paraId="429852AE" w14:textId="77777777" w:rsidTr="003962CE">
        <w:trPr>
          <w:trHeight w:val="619"/>
        </w:trPr>
        <w:tc>
          <w:tcPr>
            <w:tcW w:w="1284" w:type="pct"/>
            <w:tcBorders>
              <w:top w:val="single" w:sz="8" w:space="0" w:color="auto"/>
              <w:left w:val="single" w:sz="8" w:space="0" w:color="auto"/>
              <w:bottom w:val="nil"/>
              <w:right w:val="nil"/>
            </w:tcBorders>
            <w:shd w:val="clear" w:color="auto" w:fill="012E6B"/>
            <w:tcMar>
              <w:top w:w="0" w:type="dxa"/>
              <w:left w:w="108" w:type="dxa"/>
              <w:bottom w:w="0" w:type="dxa"/>
              <w:right w:w="108" w:type="dxa"/>
            </w:tcMar>
            <w:hideMark/>
          </w:tcPr>
          <w:p w14:paraId="30BC995A" w14:textId="77777777" w:rsidR="00D35F11" w:rsidRPr="001A7FD5" w:rsidRDefault="00D35F11" w:rsidP="003962CE">
            <w:pPr>
              <w:pStyle w:val="EndnoteText"/>
              <w:rPr>
                <w:rFonts w:cs="Arial"/>
                <w:color w:val="FFFFFF"/>
              </w:rPr>
            </w:pPr>
            <w:r>
              <w:rPr>
                <w:rFonts w:cs="Arial"/>
                <w:b/>
                <w:bCs/>
                <w:color w:val="FFFFFF"/>
              </w:rPr>
              <w:t>VON Deadline</w:t>
            </w:r>
          </w:p>
        </w:tc>
        <w:tc>
          <w:tcPr>
            <w:tcW w:w="993" w:type="pct"/>
            <w:tcBorders>
              <w:top w:val="single" w:sz="8" w:space="0" w:color="auto"/>
              <w:left w:val="nil"/>
              <w:bottom w:val="nil"/>
              <w:right w:val="nil"/>
            </w:tcBorders>
            <w:shd w:val="clear" w:color="auto" w:fill="012E6B"/>
            <w:tcMar>
              <w:top w:w="0" w:type="dxa"/>
              <w:left w:w="108" w:type="dxa"/>
              <w:bottom w:w="0" w:type="dxa"/>
              <w:right w:w="108" w:type="dxa"/>
            </w:tcMar>
            <w:hideMark/>
          </w:tcPr>
          <w:p w14:paraId="4E53D5E1" w14:textId="77777777" w:rsidR="00D35F11" w:rsidRPr="001A7FD5" w:rsidRDefault="00D35F11" w:rsidP="003962CE">
            <w:pPr>
              <w:pStyle w:val="EndnoteText"/>
              <w:rPr>
                <w:rFonts w:cs="Arial"/>
                <w:color w:val="FFFFFF"/>
              </w:rPr>
            </w:pPr>
            <w:r w:rsidRPr="001A7FD5">
              <w:rPr>
                <w:rFonts w:cs="Arial"/>
                <w:b/>
                <w:bCs/>
                <w:color w:val="FFFFFF"/>
              </w:rPr>
              <w:t xml:space="preserve">VON </w:t>
            </w:r>
            <w:r>
              <w:rPr>
                <w:rFonts w:cs="Arial"/>
                <w:b/>
                <w:bCs/>
                <w:color w:val="FFFFFF"/>
              </w:rPr>
              <w:t>Reporting Period</w:t>
            </w:r>
          </w:p>
        </w:tc>
        <w:tc>
          <w:tcPr>
            <w:tcW w:w="1479" w:type="pct"/>
            <w:tcBorders>
              <w:top w:val="single" w:sz="8" w:space="0" w:color="auto"/>
              <w:left w:val="nil"/>
              <w:bottom w:val="nil"/>
              <w:right w:val="nil"/>
            </w:tcBorders>
            <w:shd w:val="clear" w:color="auto" w:fill="012E6B"/>
            <w:tcMar>
              <w:top w:w="0" w:type="dxa"/>
              <w:left w:w="108" w:type="dxa"/>
              <w:bottom w:w="0" w:type="dxa"/>
              <w:right w:w="108" w:type="dxa"/>
            </w:tcMar>
            <w:hideMark/>
          </w:tcPr>
          <w:p w14:paraId="0140FDD2" w14:textId="77777777" w:rsidR="00D35F11" w:rsidRPr="001A7FD5" w:rsidRDefault="00D35F11" w:rsidP="003962CE">
            <w:pPr>
              <w:pStyle w:val="EndnoteText"/>
              <w:rPr>
                <w:rFonts w:cs="Arial"/>
                <w:color w:val="FFFFFF"/>
              </w:rPr>
            </w:pPr>
            <w:r>
              <w:rPr>
                <w:rFonts w:cs="Arial"/>
                <w:b/>
                <w:bCs/>
                <w:color w:val="FFFFFF"/>
              </w:rPr>
              <w:t>Leapfrog Survey Submission Date</w:t>
            </w:r>
          </w:p>
        </w:tc>
        <w:tc>
          <w:tcPr>
            <w:tcW w:w="1245" w:type="pct"/>
            <w:tcBorders>
              <w:top w:val="single" w:sz="8" w:space="0" w:color="auto"/>
              <w:left w:val="nil"/>
              <w:bottom w:val="nil"/>
              <w:right w:val="single" w:sz="8" w:space="0" w:color="auto"/>
            </w:tcBorders>
            <w:shd w:val="clear" w:color="auto" w:fill="012E6B"/>
            <w:tcMar>
              <w:top w:w="0" w:type="dxa"/>
              <w:left w:w="108" w:type="dxa"/>
              <w:bottom w:w="0" w:type="dxa"/>
              <w:right w:w="108" w:type="dxa"/>
            </w:tcMar>
            <w:hideMark/>
          </w:tcPr>
          <w:p w14:paraId="3556160A" w14:textId="77777777" w:rsidR="00D35F11" w:rsidRPr="001A7FD5" w:rsidRDefault="00D35F11" w:rsidP="003962CE">
            <w:pPr>
              <w:pStyle w:val="EndnoteText"/>
              <w:rPr>
                <w:rFonts w:cs="Arial"/>
                <w:color w:val="FFFFFF"/>
              </w:rPr>
            </w:pPr>
            <w:r>
              <w:rPr>
                <w:rFonts w:cs="Arial"/>
                <w:b/>
                <w:bCs/>
                <w:color w:val="FFFFFF"/>
              </w:rPr>
              <w:t>Review Results</w:t>
            </w:r>
          </w:p>
        </w:tc>
      </w:tr>
      <w:tr w:rsidR="00D35F11" w:rsidRPr="001A7FD5" w14:paraId="301A0D0D" w14:textId="77777777" w:rsidTr="003962CE">
        <w:trPr>
          <w:trHeight w:val="1006"/>
        </w:trPr>
        <w:tc>
          <w:tcPr>
            <w:tcW w:w="1284" w:type="pct"/>
            <w:tcBorders>
              <w:top w:val="single" w:sz="8" w:space="0" w:color="auto"/>
              <w:left w:val="single" w:sz="8" w:space="0" w:color="auto"/>
              <w:bottom w:val="nil"/>
              <w:right w:val="nil"/>
            </w:tcBorders>
            <w:shd w:val="clear" w:color="auto" w:fill="012E6B"/>
            <w:tcMar>
              <w:top w:w="0" w:type="dxa"/>
              <w:left w:w="108" w:type="dxa"/>
              <w:bottom w:w="0" w:type="dxa"/>
              <w:right w:w="108" w:type="dxa"/>
            </w:tcMar>
          </w:tcPr>
          <w:p w14:paraId="68A8A268" w14:textId="77777777" w:rsidR="00D35F11" w:rsidRPr="000850DD" w:rsidRDefault="00D35F11" w:rsidP="003962CE">
            <w:pPr>
              <w:pStyle w:val="EndnoteText"/>
              <w:rPr>
                <w:rFonts w:cs="Arial"/>
                <w:i/>
                <w:iCs/>
                <w:color w:val="FFFFFF"/>
              </w:rPr>
            </w:pPr>
            <w:r w:rsidRPr="000850DD">
              <w:rPr>
                <w:rFonts w:cs="Arial"/>
                <w:i/>
                <w:iCs/>
                <w:color w:val="FFFFFF"/>
              </w:rPr>
              <w:t xml:space="preserve">Hospitals must </w:t>
            </w:r>
            <w:r>
              <w:rPr>
                <w:rFonts w:cs="Arial"/>
                <w:i/>
                <w:iCs/>
                <w:color w:val="FFFFFF"/>
              </w:rPr>
              <w:t xml:space="preserve">complete and submit their Data Sharing Authorization letter to VON </w:t>
            </w:r>
            <w:r w:rsidRPr="000850DD">
              <w:rPr>
                <w:rFonts w:cs="Arial"/>
                <w:i/>
                <w:iCs/>
                <w:color w:val="FFFFFF"/>
              </w:rPr>
              <w:t>before this date</w:t>
            </w:r>
            <w:r>
              <w:rPr>
                <w:rFonts w:cs="Arial"/>
                <w:i/>
                <w:iCs/>
                <w:color w:val="FFFFFF"/>
              </w:rPr>
              <w:t>*</w:t>
            </w:r>
          </w:p>
        </w:tc>
        <w:tc>
          <w:tcPr>
            <w:tcW w:w="993" w:type="pct"/>
            <w:tcBorders>
              <w:top w:val="single" w:sz="8" w:space="0" w:color="auto"/>
              <w:left w:val="nil"/>
              <w:bottom w:val="nil"/>
              <w:right w:val="nil"/>
            </w:tcBorders>
            <w:shd w:val="clear" w:color="auto" w:fill="012E6B"/>
            <w:tcMar>
              <w:top w:w="0" w:type="dxa"/>
              <w:left w:w="108" w:type="dxa"/>
              <w:bottom w:w="0" w:type="dxa"/>
              <w:right w:w="108" w:type="dxa"/>
            </w:tcMar>
          </w:tcPr>
          <w:p w14:paraId="286B52FD" w14:textId="77777777" w:rsidR="00D35F11" w:rsidRPr="001A7FD5" w:rsidRDefault="00D35F11" w:rsidP="003962CE">
            <w:pPr>
              <w:pStyle w:val="EndnoteText"/>
              <w:rPr>
                <w:rFonts w:cs="Arial"/>
                <w:b/>
                <w:bCs/>
                <w:color w:val="FFFFFF"/>
              </w:rPr>
            </w:pPr>
          </w:p>
        </w:tc>
        <w:tc>
          <w:tcPr>
            <w:tcW w:w="1479" w:type="pct"/>
            <w:tcBorders>
              <w:top w:val="single" w:sz="8" w:space="0" w:color="auto"/>
              <w:left w:val="nil"/>
              <w:bottom w:val="nil"/>
              <w:right w:val="nil"/>
            </w:tcBorders>
            <w:shd w:val="clear" w:color="auto" w:fill="012E6B"/>
            <w:tcMar>
              <w:top w:w="0" w:type="dxa"/>
              <w:left w:w="108" w:type="dxa"/>
              <w:bottom w:w="0" w:type="dxa"/>
              <w:right w:w="108" w:type="dxa"/>
            </w:tcMar>
          </w:tcPr>
          <w:p w14:paraId="385B7A45" w14:textId="77777777" w:rsidR="00D35F11" w:rsidRPr="000850DD" w:rsidDel="001A2DF4" w:rsidRDefault="00D35F11" w:rsidP="003962CE">
            <w:pPr>
              <w:pStyle w:val="EndnoteText"/>
              <w:rPr>
                <w:rFonts w:cs="Arial"/>
                <w:i/>
                <w:iCs/>
                <w:color w:val="FFFFFF"/>
              </w:rPr>
            </w:pPr>
            <w:r>
              <w:rPr>
                <w:rFonts w:cs="Arial"/>
                <w:i/>
                <w:iCs/>
                <w:color w:val="FFFFFF"/>
              </w:rPr>
              <w:t>VON data will not be publicly reported if hospitals have not submitted by this date</w:t>
            </w:r>
          </w:p>
        </w:tc>
        <w:tc>
          <w:tcPr>
            <w:tcW w:w="1245" w:type="pct"/>
            <w:tcBorders>
              <w:top w:val="single" w:sz="8" w:space="0" w:color="auto"/>
              <w:left w:val="nil"/>
              <w:bottom w:val="nil"/>
              <w:right w:val="single" w:sz="8" w:space="0" w:color="auto"/>
            </w:tcBorders>
            <w:shd w:val="clear" w:color="auto" w:fill="012E6B"/>
            <w:tcMar>
              <w:top w:w="0" w:type="dxa"/>
              <w:left w:w="108" w:type="dxa"/>
              <w:bottom w:w="0" w:type="dxa"/>
              <w:right w:w="108" w:type="dxa"/>
            </w:tcMar>
          </w:tcPr>
          <w:p w14:paraId="286E720C" w14:textId="77777777" w:rsidR="00D35F11" w:rsidRPr="000850DD" w:rsidRDefault="00D35F11" w:rsidP="003962CE">
            <w:pPr>
              <w:pStyle w:val="EndnoteText"/>
              <w:rPr>
                <w:rFonts w:cs="Arial"/>
                <w:i/>
                <w:iCs/>
                <w:color w:val="FFFFFF"/>
              </w:rPr>
            </w:pPr>
            <w:r>
              <w:rPr>
                <w:rFonts w:cs="Arial"/>
                <w:i/>
                <w:iCs/>
                <w:color w:val="FFFFFF"/>
              </w:rPr>
              <w:t>Data received from VON will be available to review on the Hospital Details Page or Public Reporting Website by these dates</w:t>
            </w:r>
          </w:p>
        </w:tc>
      </w:tr>
      <w:tr w:rsidR="00D35F11" w:rsidRPr="001A7FD5" w14:paraId="0C8BD80B" w14:textId="77777777" w:rsidTr="003962CE">
        <w:trPr>
          <w:trHeight w:val="448"/>
        </w:trPr>
        <w:tc>
          <w:tcPr>
            <w:tcW w:w="1284" w:type="pct"/>
            <w:tcBorders>
              <w:top w:val="nil"/>
              <w:left w:val="single" w:sz="8" w:space="0" w:color="auto"/>
              <w:bottom w:val="nil"/>
              <w:right w:val="nil"/>
            </w:tcBorders>
            <w:shd w:val="clear" w:color="auto" w:fill="F2F2F2"/>
            <w:tcMar>
              <w:top w:w="0" w:type="dxa"/>
              <w:left w:w="108" w:type="dxa"/>
              <w:bottom w:w="0" w:type="dxa"/>
              <w:right w:w="108" w:type="dxa"/>
            </w:tcMar>
            <w:vAlign w:val="center"/>
            <w:hideMark/>
          </w:tcPr>
          <w:p w14:paraId="72738BA1" w14:textId="77777777" w:rsidR="00D35F11" w:rsidRPr="001A7FD5" w:rsidRDefault="00D35F11" w:rsidP="003962CE">
            <w:pPr>
              <w:rPr>
                <w:rFonts w:cs="Arial"/>
                <w:b/>
                <w:bCs/>
              </w:rPr>
            </w:pPr>
            <w:r w:rsidRPr="001A7FD5">
              <w:rPr>
                <w:rFonts w:cs="Arial"/>
                <w:color w:val="000000"/>
              </w:rPr>
              <w:t>June 15, 202</w:t>
            </w:r>
            <w:r>
              <w:rPr>
                <w:rFonts w:cs="Arial"/>
                <w:color w:val="000000"/>
              </w:rPr>
              <w:t>6</w:t>
            </w:r>
          </w:p>
        </w:tc>
        <w:tc>
          <w:tcPr>
            <w:tcW w:w="993" w:type="pct"/>
            <w:shd w:val="clear" w:color="auto" w:fill="F2F2F2"/>
            <w:tcMar>
              <w:top w:w="0" w:type="dxa"/>
              <w:left w:w="108" w:type="dxa"/>
              <w:bottom w:w="0" w:type="dxa"/>
              <w:right w:w="108" w:type="dxa"/>
            </w:tcMar>
            <w:vAlign w:val="center"/>
            <w:hideMark/>
          </w:tcPr>
          <w:p w14:paraId="55C08C82" w14:textId="77777777" w:rsidR="00D35F11" w:rsidRPr="001A7FD5" w:rsidRDefault="00D35F11" w:rsidP="003962CE">
            <w:pPr>
              <w:rPr>
                <w:rFonts w:cs="Arial"/>
              </w:rPr>
            </w:pPr>
            <w:r>
              <w:rPr>
                <w:rFonts w:cs="Arial"/>
                <w:color w:val="000000"/>
              </w:rPr>
              <w:t>2024</w:t>
            </w:r>
          </w:p>
        </w:tc>
        <w:tc>
          <w:tcPr>
            <w:tcW w:w="1479" w:type="pct"/>
            <w:shd w:val="clear" w:color="auto" w:fill="F2F2F2"/>
            <w:tcMar>
              <w:top w:w="0" w:type="dxa"/>
              <w:left w:w="108" w:type="dxa"/>
              <w:bottom w:w="0" w:type="dxa"/>
              <w:right w:w="108" w:type="dxa"/>
            </w:tcMar>
            <w:vAlign w:val="center"/>
            <w:hideMark/>
          </w:tcPr>
          <w:p w14:paraId="56DB3C27" w14:textId="77777777" w:rsidR="00D35F11" w:rsidRPr="001A7FD5" w:rsidRDefault="00D35F11" w:rsidP="003962CE">
            <w:pPr>
              <w:rPr>
                <w:rFonts w:cs="Arial"/>
              </w:rPr>
            </w:pPr>
            <w:r>
              <w:rPr>
                <w:rFonts w:cs="Arial"/>
                <w:color w:val="000000"/>
              </w:rPr>
              <w:t>June 30, 2026</w:t>
            </w:r>
          </w:p>
        </w:tc>
        <w:tc>
          <w:tcPr>
            <w:tcW w:w="1245" w:type="pct"/>
            <w:tcBorders>
              <w:top w:val="nil"/>
              <w:left w:val="nil"/>
              <w:bottom w:val="nil"/>
              <w:right w:val="single" w:sz="8" w:space="0" w:color="auto"/>
            </w:tcBorders>
            <w:shd w:val="clear" w:color="auto" w:fill="F2F2F2"/>
            <w:tcMar>
              <w:top w:w="0" w:type="dxa"/>
              <w:left w:w="108" w:type="dxa"/>
              <w:bottom w:w="0" w:type="dxa"/>
              <w:right w:w="108" w:type="dxa"/>
            </w:tcMar>
            <w:vAlign w:val="center"/>
            <w:hideMark/>
          </w:tcPr>
          <w:p w14:paraId="339F97B5" w14:textId="77777777" w:rsidR="00D35F11" w:rsidRPr="001A7FD5" w:rsidRDefault="00D35F11" w:rsidP="003962CE">
            <w:pPr>
              <w:rPr>
                <w:rFonts w:cs="Arial"/>
              </w:rPr>
            </w:pPr>
            <w:r w:rsidRPr="001A7FD5">
              <w:rPr>
                <w:rFonts w:cs="Arial"/>
                <w:color w:val="000000"/>
              </w:rPr>
              <w:t>July 12, 202</w:t>
            </w:r>
            <w:r>
              <w:rPr>
                <w:rFonts w:cs="Arial"/>
                <w:color w:val="000000"/>
              </w:rPr>
              <w:t>6**</w:t>
            </w:r>
          </w:p>
        </w:tc>
      </w:tr>
      <w:tr w:rsidR="00D35F11" w:rsidRPr="001A7FD5" w14:paraId="32E5D550" w14:textId="77777777" w:rsidTr="003962CE">
        <w:trPr>
          <w:trHeight w:val="431"/>
        </w:trPr>
        <w:tc>
          <w:tcPr>
            <w:tcW w:w="1284" w:type="pct"/>
            <w:tcBorders>
              <w:top w:val="nil"/>
              <w:left w:val="single" w:sz="8" w:space="0" w:color="auto"/>
              <w:bottom w:val="nil"/>
              <w:right w:val="nil"/>
            </w:tcBorders>
            <w:tcMar>
              <w:top w:w="0" w:type="dxa"/>
              <w:left w:w="108" w:type="dxa"/>
              <w:bottom w:w="0" w:type="dxa"/>
              <w:right w:w="108" w:type="dxa"/>
            </w:tcMar>
            <w:vAlign w:val="center"/>
            <w:hideMark/>
          </w:tcPr>
          <w:p w14:paraId="6BEBD6F0" w14:textId="77777777" w:rsidR="00D35F11" w:rsidRPr="001A7FD5" w:rsidRDefault="00D35F11" w:rsidP="003962CE">
            <w:pPr>
              <w:rPr>
                <w:rFonts w:cs="Arial"/>
                <w:b/>
                <w:bCs/>
              </w:rPr>
            </w:pPr>
            <w:r w:rsidRPr="001A7FD5">
              <w:rPr>
                <w:rFonts w:cs="Arial"/>
              </w:rPr>
              <w:t>August 1</w:t>
            </w:r>
            <w:r>
              <w:rPr>
                <w:rFonts w:cs="Arial"/>
              </w:rPr>
              <w:t>4</w:t>
            </w:r>
            <w:r w:rsidRPr="001A7FD5">
              <w:rPr>
                <w:rFonts w:cs="Arial"/>
              </w:rPr>
              <w:t>, 202</w:t>
            </w:r>
            <w:r>
              <w:rPr>
                <w:rFonts w:cs="Arial"/>
              </w:rPr>
              <w:t>6</w:t>
            </w:r>
          </w:p>
        </w:tc>
        <w:tc>
          <w:tcPr>
            <w:tcW w:w="993" w:type="pct"/>
            <w:tcMar>
              <w:top w:w="0" w:type="dxa"/>
              <w:left w:w="108" w:type="dxa"/>
              <w:bottom w:w="0" w:type="dxa"/>
              <w:right w:w="108" w:type="dxa"/>
            </w:tcMar>
            <w:vAlign w:val="center"/>
            <w:hideMark/>
          </w:tcPr>
          <w:p w14:paraId="51A1B730" w14:textId="77777777" w:rsidR="00D35F11" w:rsidRPr="001A7FD5" w:rsidRDefault="00D35F11" w:rsidP="003962CE">
            <w:pPr>
              <w:rPr>
                <w:rFonts w:cs="Arial"/>
              </w:rPr>
            </w:pPr>
            <w:r>
              <w:rPr>
                <w:rFonts w:cs="Arial"/>
              </w:rPr>
              <w:t>2025</w:t>
            </w:r>
            <w:r w:rsidRPr="001A7FD5">
              <w:rPr>
                <w:rFonts w:cs="Arial"/>
              </w:rPr>
              <w:t>**</w:t>
            </w:r>
            <w:r>
              <w:rPr>
                <w:rFonts w:cs="Arial"/>
              </w:rPr>
              <w:t>*</w:t>
            </w:r>
          </w:p>
        </w:tc>
        <w:tc>
          <w:tcPr>
            <w:tcW w:w="1479" w:type="pct"/>
            <w:tcMar>
              <w:top w:w="0" w:type="dxa"/>
              <w:left w:w="108" w:type="dxa"/>
              <w:bottom w:w="0" w:type="dxa"/>
              <w:right w:w="108" w:type="dxa"/>
            </w:tcMar>
            <w:vAlign w:val="center"/>
            <w:hideMark/>
          </w:tcPr>
          <w:p w14:paraId="43FD8BF9" w14:textId="77777777" w:rsidR="00D35F11" w:rsidRPr="001A7FD5" w:rsidRDefault="00D35F11" w:rsidP="003962CE">
            <w:pPr>
              <w:rPr>
                <w:rFonts w:cs="Arial"/>
              </w:rPr>
            </w:pPr>
            <w:r>
              <w:rPr>
                <w:rFonts w:cs="Arial"/>
              </w:rPr>
              <w:t>August 31, 2026</w:t>
            </w:r>
          </w:p>
        </w:tc>
        <w:tc>
          <w:tcPr>
            <w:tcW w:w="1245" w:type="pct"/>
            <w:tcBorders>
              <w:top w:val="nil"/>
              <w:left w:val="nil"/>
              <w:bottom w:val="nil"/>
              <w:right w:val="single" w:sz="8" w:space="0" w:color="auto"/>
            </w:tcBorders>
            <w:tcMar>
              <w:top w:w="0" w:type="dxa"/>
              <w:left w:w="108" w:type="dxa"/>
              <w:bottom w:w="0" w:type="dxa"/>
              <w:right w:w="108" w:type="dxa"/>
            </w:tcMar>
            <w:vAlign w:val="center"/>
            <w:hideMark/>
          </w:tcPr>
          <w:p w14:paraId="70EF99A2" w14:textId="77777777" w:rsidR="00D35F11" w:rsidRPr="001A7FD5" w:rsidRDefault="00D35F11" w:rsidP="003962CE">
            <w:pPr>
              <w:rPr>
                <w:rFonts w:cs="Arial"/>
              </w:rPr>
            </w:pPr>
            <w:r w:rsidRPr="001A7FD5">
              <w:rPr>
                <w:rFonts w:cs="Arial"/>
              </w:rPr>
              <w:t xml:space="preserve">September </w:t>
            </w:r>
            <w:r>
              <w:rPr>
                <w:rFonts w:cs="Arial"/>
              </w:rPr>
              <w:t>10</w:t>
            </w:r>
            <w:r w:rsidRPr="001A7FD5">
              <w:rPr>
                <w:rFonts w:cs="Arial"/>
              </w:rPr>
              <w:t>, 202</w:t>
            </w:r>
            <w:r>
              <w:rPr>
                <w:rFonts w:cs="Arial"/>
              </w:rPr>
              <w:t>6</w:t>
            </w:r>
          </w:p>
        </w:tc>
      </w:tr>
      <w:tr w:rsidR="00D35F11" w:rsidRPr="001A7FD5" w14:paraId="7BF447C0" w14:textId="77777777" w:rsidTr="003962CE">
        <w:trPr>
          <w:trHeight w:val="448"/>
        </w:trPr>
        <w:tc>
          <w:tcPr>
            <w:tcW w:w="1284" w:type="pct"/>
            <w:tcBorders>
              <w:top w:val="nil"/>
              <w:left w:val="single" w:sz="8" w:space="0" w:color="auto"/>
              <w:bottom w:val="single" w:sz="8" w:space="0" w:color="auto"/>
              <w:right w:val="nil"/>
            </w:tcBorders>
            <w:shd w:val="clear" w:color="auto" w:fill="F2F2F2"/>
            <w:tcMar>
              <w:top w:w="0" w:type="dxa"/>
              <w:left w:w="108" w:type="dxa"/>
              <w:bottom w:w="0" w:type="dxa"/>
              <w:right w:w="108" w:type="dxa"/>
            </w:tcMar>
            <w:vAlign w:val="center"/>
            <w:hideMark/>
          </w:tcPr>
          <w:p w14:paraId="36352279" w14:textId="77777777" w:rsidR="00D35F11" w:rsidRPr="001A7FD5" w:rsidRDefault="00D35F11" w:rsidP="003962CE">
            <w:pPr>
              <w:rPr>
                <w:rFonts w:cs="Arial"/>
                <w:b/>
                <w:bCs/>
              </w:rPr>
            </w:pPr>
            <w:r w:rsidRPr="001A7FD5">
              <w:rPr>
                <w:rFonts w:cs="Arial"/>
                <w:color w:val="000000"/>
              </w:rPr>
              <w:t>November 1</w:t>
            </w:r>
            <w:r>
              <w:rPr>
                <w:rFonts w:cs="Arial"/>
                <w:color w:val="000000"/>
              </w:rPr>
              <w:t>6</w:t>
            </w:r>
            <w:r w:rsidRPr="001A7FD5">
              <w:rPr>
                <w:rFonts w:cs="Arial"/>
                <w:color w:val="000000"/>
              </w:rPr>
              <w:t>, 202</w:t>
            </w:r>
            <w:r>
              <w:rPr>
                <w:rFonts w:cs="Arial"/>
                <w:color w:val="000000"/>
              </w:rPr>
              <w:t>6</w:t>
            </w:r>
          </w:p>
        </w:tc>
        <w:tc>
          <w:tcPr>
            <w:tcW w:w="993" w:type="pct"/>
            <w:tcBorders>
              <w:top w:val="nil"/>
              <w:left w:val="nil"/>
              <w:bottom w:val="single" w:sz="8" w:space="0" w:color="auto"/>
              <w:right w:val="nil"/>
            </w:tcBorders>
            <w:shd w:val="clear" w:color="auto" w:fill="F2F2F2"/>
            <w:tcMar>
              <w:top w:w="0" w:type="dxa"/>
              <w:left w:w="108" w:type="dxa"/>
              <w:bottom w:w="0" w:type="dxa"/>
              <w:right w:w="108" w:type="dxa"/>
            </w:tcMar>
            <w:vAlign w:val="center"/>
            <w:hideMark/>
          </w:tcPr>
          <w:p w14:paraId="2F784F94" w14:textId="77777777" w:rsidR="00D35F11" w:rsidRPr="001A7FD5" w:rsidRDefault="00D35F11" w:rsidP="003962CE">
            <w:pPr>
              <w:rPr>
                <w:rFonts w:cs="Arial"/>
              </w:rPr>
            </w:pPr>
            <w:r>
              <w:rPr>
                <w:rFonts w:cs="Arial"/>
                <w:color w:val="000000"/>
              </w:rPr>
              <w:t>2025</w:t>
            </w:r>
          </w:p>
        </w:tc>
        <w:tc>
          <w:tcPr>
            <w:tcW w:w="1479" w:type="pct"/>
            <w:tcBorders>
              <w:top w:val="nil"/>
              <w:left w:val="nil"/>
              <w:bottom w:val="single" w:sz="8" w:space="0" w:color="auto"/>
              <w:right w:val="nil"/>
            </w:tcBorders>
            <w:shd w:val="clear" w:color="auto" w:fill="F2F2F2"/>
            <w:tcMar>
              <w:top w:w="0" w:type="dxa"/>
              <w:left w:w="108" w:type="dxa"/>
              <w:bottom w:w="0" w:type="dxa"/>
              <w:right w:w="108" w:type="dxa"/>
            </w:tcMar>
            <w:vAlign w:val="center"/>
            <w:hideMark/>
          </w:tcPr>
          <w:p w14:paraId="3591AF84" w14:textId="77777777" w:rsidR="00D35F11" w:rsidRPr="001A7FD5" w:rsidRDefault="00D35F11" w:rsidP="003962CE">
            <w:pPr>
              <w:rPr>
                <w:rFonts w:cs="Arial"/>
                <w:highlight w:val="yellow"/>
              </w:rPr>
            </w:pPr>
            <w:r>
              <w:rPr>
                <w:rFonts w:cs="Arial"/>
                <w:color w:val="000000"/>
              </w:rPr>
              <w:t>November 30, 2026</w:t>
            </w:r>
          </w:p>
        </w:tc>
        <w:tc>
          <w:tcPr>
            <w:tcW w:w="1245"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107311F" w14:textId="77777777" w:rsidR="00D35F11" w:rsidRPr="001A7FD5" w:rsidRDefault="00D35F11" w:rsidP="003962CE">
            <w:pPr>
              <w:rPr>
                <w:rFonts w:cs="Arial"/>
              </w:rPr>
            </w:pPr>
            <w:r w:rsidRPr="001A7FD5">
              <w:rPr>
                <w:rFonts w:cs="Arial"/>
                <w:color w:val="000000"/>
              </w:rPr>
              <w:t xml:space="preserve">December </w:t>
            </w:r>
            <w:r>
              <w:rPr>
                <w:rFonts w:cs="Arial"/>
                <w:color w:val="000000"/>
              </w:rPr>
              <w:t>9</w:t>
            </w:r>
            <w:r w:rsidRPr="001A7FD5">
              <w:rPr>
                <w:rFonts w:cs="Arial"/>
                <w:color w:val="000000"/>
              </w:rPr>
              <w:t>, 202</w:t>
            </w:r>
            <w:r>
              <w:rPr>
                <w:rFonts w:cs="Arial"/>
                <w:color w:val="000000"/>
              </w:rPr>
              <w:t>6</w:t>
            </w:r>
          </w:p>
        </w:tc>
      </w:tr>
    </w:tbl>
    <w:p w14:paraId="13265A8B" w14:textId="77777777" w:rsidR="009E25DB" w:rsidRDefault="009128D9" w:rsidP="00C7333E">
      <w:pPr>
        <w:pStyle w:val="NoSpacing"/>
        <w:rPr>
          <w:rFonts w:ascii="Arial" w:hAnsi="Arial" w:cs="Arial"/>
          <w:sz w:val="20"/>
          <w:szCs w:val="20"/>
        </w:rPr>
      </w:pPr>
      <w:r>
        <w:rPr>
          <w:rFonts w:ascii="Arial" w:hAnsi="Arial" w:cs="Arial"/>
          <w:sz w:val="20"/>
          <w:szCs w:val="20"/>
        </w:rPr>
        <w:lastRenderedPageBreak/>
        <w:br/>
      </w:r>
      <w:r w:rsidR="00C7333E" w:rsidRPr="00486EF4">
        <w:rPr>
          <w:rFonts w:ascii="Arial" w:hAnsi="Arial" w:cs="Arial"/>
          <w:sz w:val="20"/>
          <w:szCs w:val="20"/>
        </w:rPr>
        <w:t xml:space="preserve">* Hospitals that successfully submitted a Data Sharing Authorization letter in </w:t>
      </w:r>
      <w:r w:rsidR="002E5A65">
        <w:rPr>
          <w:rFonts w:ascii="Arial" w:hAnsi="Arial" w:cs="Arial"/>
          <w:sz w:val="20"/>
          <w:szCs w:val="20"/>
        </w:rPr>
        <w:t>previous years</w:t>
      </w:r>
      <w:r w:rsidR="002E5A65" w:rsidRPr="00486EF4">
        <w:rPr>
          <w:rFonts w:ascii="Arial" w:hAnsi="Arial" w:cs="Arial"/>
          <w:sz w:val="20"/>
          <w:szCs w:val="20"/>
        </w:rPr>
        <w:t xml:space="preserve"> </w:t>
      </w:r>
      <w:r w:rsidR="00157FDB">
        <w:rPr>
          <w:rFonts w:ascii="Arial" w:hAnsi="Arial" w:cs="Arial"/>
          <w:sz w:val="20"/>
          <w:szCs w:val="20"/>
        </w:rPr>
        <w:t>are</w:t>
      </w:r>
      <w:r w:rsidR="00C7333E" w:rsidRPr="00486EF4">
        <w:rPr>
          <w:rFonts w:ascii="Arial" w:hAnsi="Arial" w:cs="Arial"/>
          <w:sz w:val="20"/>
          <w:szCs w:val="20"/>
        </w:rPr>
        <w:t xml:space="preserve"> not required to submit another letter in 202</w:t>
      </w:r>
      <w:r w:rsidR="00D35F11">
        <w:rPr>
          <w:rFonts w:ascii="Arial" w:hAnsi="Arial" w:cs="Arial"/>
          <w:sz w:val="20"/>
          <w:szCs w:val="20"/>
        </w:rPr>
        <w:t>6</w:t>
      </w:r>
    </w:p>
    <w:p w14:paraId="4D0F46BF" w14:textId="47358AD8" w:rsidR="00C7333E" w:rsidRPr="00486EF4" w:rsidRDefault="009E25DB" w:rsidP="00C7333E">
      <w:pPr>
        <w:pStyle w:val="NoSpacing"/>
        <w:rPr>
          <w:rFonts w:ascii="Arial" w:eastAsia="Times New Roman" w:hAnsi="Arial" w:cs="Arial"/>
          <w:sz w:val="20"/>
          <w:szCs w:val="20"/>
        </w:rPr>
      </w:pPr>
      <w:r w:rsidRPr="000607ED">
        <w:rPr>
          <w:rFonts w:ascii="Arial" w:hAnsi="Arial" w:cs="Arial"/>
          <w:sz w:val="20"/>
          <w:szCs w:val="20"/>
        </w:rPr>
        <w:t>**Data will be published on the Public Reporting Website starting on July 25, 2026</w:t>
      </w:r>
      <w:r w:rsidR="00AD15CB">
        <w:rPr>
          <w:rFonts w:ascii="Arial" w:hAnsi="Arial" w:cs="Arial"/>
          <w:sz w:val="20"/>
          <w:szCs w:val="20"/>
        </w:rPr>
        <w:t>.</w:t>
      </w:r>
      <w:r w:rsidR="00C7333E" w:rsidRPr="00486EF4">
        <w:rPr>
          <w:rFonts w:ascii="Arial" w:hAnsi="Arial" w:cs="Arial"/>
          <w:sz w:val="20"/>
          <w:szCs w:val="20"/>
        </w:rPr>
        <w:t xml:space="preserve"> </w:t>
      </w:r>
    </w:p>
    <w:p w14:paraId="5E19EC0F" w14:textId="05436600" w:rsidR="00C7333E" w:rsidRPr="00486EF4" w:rsidRDefault="00C7333E" w:rsidP="00C7333E">
      <w:pPr>
        <w:pStyle w:val="NoSpacing"/>
        <w:rPr>
          <w:rFonts w:ascii="Arial" w:hAnsi="Arial" w:cs="Arial"/>
          <w:sz w:val="20"/>
          <w:szCs w:val="20"/>
        </w:rPr>
      </w:pPr>
      <w:r w:rsidRPr="00486EF4">
        <w:rPr>
          <w:rFonts w:ascii="Arial" w:hAnsi="Arial" w:cs="Arial"/>
          <w:sz w:val="20"/>
          <w:szCs w:val="20"/>
        </w:rPr>
        <w:t>**</w:t>
      </w:r>
      <w:r w:rsidR="009E25DB">
        <w:rPr>
          <w:rFonts w:ascii="Arial" w:hAnsi="Arial" w:cs="Arial"/>
          <w:sz w:val="20"/>
          <w:szCs w:val="20"/>
        </w:rPr>
        <w:t>*</w:t>
      </w:r>
      <w:r w:rsidRPr="00486EF4">
        <w:rPr>
          <w:rFonts w:ascii="Arial" w:hAnsi="Arial" w:cs="Arial"/>
          <w:sz w:val="20"/>
          <w:szCs w:val="20"/>
        </w:rPr>
        <w:t>Anticipated release of 202</w:t>
      </w:r>
      <w:r w:rsidR="00123B88">
        <w:rPr>
          <w:rFonts w:ascii="Arial" w:hAnsi="Arial" w:cs="Arial"/>
          <w:sz w:val="20"/>
          <w:szCs w:val="20"/>
        </w:rPr>
        <w:t>5</w:t>
      </w:r>
      <w:r w:rsidRPr="00486EF4">
        <w:rPr>
          <w:rFonts w:ascii="Arial" w:hAnsi="Arial" w:cs="Arial"/>
          <w:sz w:val="20"/>
          <w:szCs w:val="20"/>
        </w:rPr>
        <w:t xml:space="preserve"> VON data. </w:t>
      </w:r>
    </w:p>
    <w:p w14:paraId="46E3296D" w14:textId="77777777" w:rsidR="00C7333E" w:rsidRPr="000C1F1D" w:rsidRDefault="00C7333E" w:rsidP="00C7333E">
      <w:pPr>
        <w:pStyle w:val="NoSpacing"/>
        <w:rPr>
          <w:rFonts w:ascii="Arial" w:hAnsi="Arial" w:cs="Arial"/>
          <w:i/>
          <w:iCs/>
          <w:sz w:val="16"/>
          <w:szCs w:val="16"/>
        </w:rPr>
      </w:pPr>
    </w:p>
    <w:p w14:paraId="43647A52" w14:textId="097C53DC" w:rsidR="009E25DB" w:rsidRDefault="00C7333E" w:rsidP="00C7333E">
      <w:pPr>
        <w:rPr>
          <w:rFonts w:cs="Arial"/>
          <w:color w:val="000000"/>
        </w:rPr>
      </w:pPr>
      <w:r w:rsidRPr="009A5185">
        <w:rPr>
          <w:rFonts w:cs="Arial"/>
          <w:color w:val="000000"/>
        </w:rPr>
        <w:t>See</w:t>
      </w:r>
      <w:r>
        <w:rPr>
          <w:rFonts w:cs="Arial"/>
          <w:color w:val="000000"/>
        </w:rPr>
        <w:t xml:space="preserve"> </w:t>
      </w:r>
      <w:hyperlink w:anchor="_Maternity_Care_Frequently" w:history="1">
        <w:r>
          <w:rPr>
            <w:rStyle w:val="Hyperlink"/>
            <w:rFonts w:cs="Arial"/>
          </w:rPr>
          <w:t>FAQs</w:t>
        </w:r>
      </w:hyperlink>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p>
    <w:p w14:paraId="01A9E103" w14:textId="77777777" w:rsidR="009E25DB" w:rsidRDefault="009E25DB">
      <w:pPr>
        <w:rPr>
          <w:rFonts w:cs="Arial"/>
          <w:color w:val="000000"/>
        </w:rPr>
      </w:pPr>
      <w:r>
        <w:rPr>
          <w:rFonts w:cs="Arial"/>
          <w:color w:val="000000"/>
        </w:rPr>
        <w:br w:type="page"/>
      </w:r>
    </w:p>
    <w:p w14:paraId="50AD6AB7" w14:textId="24273549" w:rsidR="008C2231" w:rsidRPr="009A5185" w:rsidRDefault="000E4995" w:rsidP="00CF5A6E">
      <w:pPr>
        <w:pStyle w:val="Heading2"/>
      </w:pPr>
      <w:bookmarkStart w:id="390" w:name="_Antenatal_Steroids_Process"/>
      <w:bookmarkStart w:id="391" w:name="_Maternity_Care_Volume"/>
      <w:bookmarkStart w:id="392" w:name="_Deadlines_and_Reporting"/>
      <w:bookmarkStart w:id="393" w:name="_Maternity_Care_Frequently"/>
      <w:bookmarkStart w:id="394" w:name="_Toc225877745"/>
      <w:bookmarkEnd w:id="387"/>
      <w:bookmarkEnd w:id="390"/>
      <w:bookmarkEnd w:id="391"/>
      <w:bookmarkEnd w:id="392"/>
      <w:bookmarkEnd w:id="393"/>
      <w:r>
        <w:lastRenderedPageBreak/>
        <w:t xml:space="preserve">Section 4: </w:t>
      </w:r>
      <w:r w:rsidR="008C2231" w:rsidRPr="009A5185">
        <w:t>Maternity Care Frequently Asked Questions (FAQs)</w:t>
      </w:r>
      <w:bookmarkEnd w:id="394"/>
      <w:r w:rsidR="008C2231" w:rsidRPr="009A5185">
        <w:t xml:space="preserve"> </w:t>
      </w:r>
    </w:p>
    <w:p w14:paraId="27E3C1CD" w14:textId="77777777" w:rsidR="008C2231" w:rsidRPr="009A5185" w:rsidRDefault="008C2231" w:rsidP="001D0022">
      <w:pPr>
        <w:rPr>
          <w:rFonts w:cs="Arial"/>
          <w:color w:val="A6A6A6" w:themeColor="background1" w:themeShade="A6"/>
        </w:rPr>
      </w:pPr>
      <w:bookmarkStart w:id="395" w:name="_Toc414267279"/>
    </w:p>
    <w:p w14:paraId="678EAEB6" w14:textId="3D4BDF6F" w:rsidR="008C2231" w:rsidRPr="009A5185" w:rsidRDefault="008C2231" w:rsidP="00AD309C">
      <w:pPr>
        <w:numPr>
          <w:ilvl w:val="0"/>
          <w:numId w:val="20"/>
        </w:numPr>
        <w:rPr>
          <w:rFonts w:cs="Arial"/>
          <w:b/>
        </w:rPr>
      </w:pPr>
      <w:r w:rsidRPr="009A5185">
        <w:rPr>
          <w:rFonts w:cs="Arial"/>
          <w:b/>
        </w:rPr>
        <w:t>Under normal circumstances our hospital does not perform newborn deliveries</w:t>
      </w:r>
      <w:r w:rsidR="00B70C0C">
        <w:rPr>
          <w:rFonts w:cs="Arial"/>
          <w:b/>
        </w:rPr>
        <w:t xml:space="preserve">. However, </w:t>
      </w:r>
      <w:r w:rsidRPr="009A5185">
        <w:rPr>
          <w:rFonts w:cs="Arial"/>
          <w:b/>
        </w:rPr>
        <w:t>during the reporting period we had a few emergency situations and/or transfers.</w:t>
      </w:r>
      <w:r w:rsidR="00080756">
        <w:rPr>
          <w:rFonts w:cs="Arial"/>
          <w:b/>
        </w:rPr>
        <w:t xml:space="preserve"> </w:t>
      </w:r>
      <w:r w:rsidRPr="009A5185">
        <w:rPr>
          <w:rFonts w:cs="Arial"/>
          <w:b/>
        </w:rPr>
        <w:t>Should we indicate delivering newborns during the reporting period?</w:t>
      </w:r>
    </w:p>
    <w:p w14:paraId="67D162C4" w14:textId="192DE76A" w:rsidR="008C2231" w:rsidRPr="009A5185" w:rsidRDefault="008C2231" w:rsidP="008C2231">
      <w:pPr>
        <w:ind w:left="720"/>
        <w:rPr>
          <w:rFonts w:cs="Arial"/>
        </w:rPr>
      </w:pPr>
      <w:r w:rsidRPr="009A5185">
        <w:rPr>
          <w:rFonts w:cs="Arial"/>
        </w:rPr>
        <w:t>If your hospital does not electively perform newborn deliveries (</w:t>
      </w:r>
      <w:r w:rsidR="000A554A" w:rsidRPr="009A5185">
        <w:rPr>
          <w:rFonts w:cs="Arial"/>
        </w:rPr>
        <w:t>i.e.,</w:t>
      </w:r>
      <w:r w:rsidRPr="009A5185">
        <w:rPr>
          <w:rFonts w:cs="Arial"/>
        </w:rPr>
        <w:t xml:space="preserve"> no labor/delivery unit, only admit in an emergency situation), you would respond </w:t>
      </w:r>
      <w:r w:rsidR="004F2614">
        <w:rPr>
          <w:rFonts w:cs="Arial"/>
        </w:rPr>
        <w:t>“</w:t>
      </w:r>
      <w:r w:rsidRPr="009A5185">
        <w:rPr>
          <w:rFonts w:cs="Arial"/>
        </w:rPr>
        <w:t>n</w:t>
      </w:r>
      <w:r w:rsidR="004F2614">
        <w:rPr>
          <w:rFonts w:cs="Arial"/>
        </w:rPr>
        <w:t>o”</w:t>
      </w:r>
      <w:r w:rsidR="004417E7" w:rsidRPr="009A5185">
        <w:rPr>
          <w:rFonts w:cs="Arial"/>
        </w:rPr>
        <w:t xml:space="preserve"> to question #2 in Section 4A</w:t>
      </w:r>
      <w:r w:rsidR="00FC6FB9" w:rsidRPr="009A5185">
        <w:rPr>
          <w:rFonts w:cs="Arial"/>
        </w:rPr>
        <w:t>,</w:t>
      </w:r>
      <w:r w:rsidR="004417E7" w:rsidRPr="009A5185">
        <w:rPr>
          <w:rFonts w:cs="Arial"/>
        </w:rPr>
        <w:t xml:space="preserve"> as hospitals are instructed to report inborn</w:t>
      </w:r>
      <w:r w:rsidR="00FC6FB9" w:rsidRPr="009A5185">
        <w:rPr>
          <w:rFonts w:cs="Arial"/>
        </w:rPr>
        <w:t>s</w:t>
      </w:r>
      <w:r w:rsidR="004417E7" w:rsidRPr="009A5185">
        <w:rPr>
          <w:rFonts w:cs="Arial"/>
        </w:rPr>
        <w:t xml:space="preserve"> only. </w:t>
      </w:r>
    </w:p>
    <w:p w14:paraId="66C6F38F" w14:textId="77777777" w:rsidR="008C2231" w:rsidRPr="009A5185" w:rsidRDefault="008C2231" w:rsidP="008C2231">
      <w:pPr>
        <w:ind w:left="720"/>
        <w:rPr>
          <w:rFonts w:cs="Arial"/>
        </w:rPr>
      </w:pPr>
    </w:p>
    <w:p w14:paraId="797AA68A" w14:textId="77777777" w:rsidR="008C2231" w:rsidRPr="009A5185" w:rsidRDefault="008C2231" w:rsidP="00AD309C">
      <w:pPr>
        <w:numPr>
          <w:ilvl w:val="0"/>
          <w:numId w:val="20"/>
        </w:numPr>
        <w:rPr>
          <w:rFonts w:cs="Arial"/>
          <w:b/>
        </w:rPr>
      </w:pPr>
      <w:r w:rsidRPr="009A5185">
        <w:rPr>
          <w:rFonts w:cs="Arial"/>
          <w:b/>
        </w:rPr>
        <w:t>Should newborns that are delivered outside of the hospital that are brought to labor and delivery be included in the total number of live births in Section 4A?</w:t>
      </w:r>
    </w:p>
    <w:p w14:paraId="7153E40E" w14:textId="77777777" w:rsidR="00A956BB" w:rsidRPr="009A5185" w:rsidRDefault="00A956BB" w:rsidP="00A956BB">
      <w:pPr>
        <w:pStyle w:val="ListParagraph"/>
        <w:rPr>
          <w:rFonts w:cs="Arial"/>
        </w:rPr>
      </w:pPr>
      <w:r w:rsidRPr="009A5185">
        <w:rPr>
          <w:rFonts w:cs="Arial"/>
        </w:rPr>
        <w:t>When calculating the total number of live births in Section 4A question #3, refer to the measure specifications for Maternity Care Volume. Only inborns should be included in the total volume.</w:t>
      </w:r>
    </w:p>
    <w:p w14:paraId="2E8519B1" w14:textId="77777777" w:rsidR="00D81DF6" w:rsidRDefault="00D81DF6" w:rsidP="006D0707">
      <w:pPr>
        <w:spacing w:line="264" w:lineRule="auto"/>
        <w:contextualSpacing/>
      </w:pPr>
    </w:p>
    <w:p w14:paraId="332005C5" w14:textId="620C06C2" w:rsidR="00390F2A" w:rsidRDefault="00390F2A" w:rsidP="00AD309C">
      <w:pPr>
        <w:numPr>
          <w:ilvl w:val="0"/>
          <w:numId w:val="20"/>
        </w:numPr>
        <w:rPr>
          <w:rFonts w:cs="Arial"/>
          <w:b/>
        </w:rPr>
      </w:pPr>
      <w:r>
        <w:rPr>
          <w:rFonts w:cs="Arial"/>
          <w:b/>
        </w:rPr>
        <w:t>Should hospitals use delivery date or discharge da</w:t>
      </w:r>
      <w:r w:rsidR="00224056">
        <w:rPr>
          <w:rFonts w:cs="Arial"/>
          <w:b/>
        </w:rPr>
        <w:t>te</w:t>
      </w:r>
      <w:r>
        <w:rPr>
          <w:rFonts w:cs="Arial"/>
          <w:b/>
        </w:rPr>
        <w:t xml:space="preserve"> when including births/cases for </w:t>
      </w:r>
      <w:r w:rsidR="00C72CA4">
        <w:rPr>
          <w:rFonts w:cs="Arial"/>
          <w:b/>
        </w:rPr>
        <w:t xml:space="preserve">the </w:t>
      </w:r>
      <w:r>
        <w:rPr>
          <w:rFonts w:cs="Arial"/>
          <w:b/>
        </w:rPr>
        <w:t>measures reported in Section 4</w:t>
      </w:r>
      <w:r w:rsidR="0079783F">
        <w:rPr>
          <w:rFonts w:cs="Arial"/>
          <w:b/>
        </w:rPr>
        <w:t>:</w:t>
      </w:r>
      <w:r>
        <w:rPr>
          <w:rFonts w:cs="Arial"/>
          <w:b/>
        </w:rPr>
        <w:t xml:space="preserve"> Maternity Care?</w:t>
      </w:r>
    </w:p>
    <w:p w14:paraId="6E8A2158" w14:textId="40D27E9D" w:rsidR="00390F2A" w:rsidRDefault="00390F2A" w:rsidP="00390F2A">
      <w:pPr>
        <w:ind w:left="720"/>
        <w:rPr>
          <w:rFonts w:cs="Arial"/>
        </w:rPr>
      </w:pPr>
      <w:r>
        <w:rPr>
          <w:rFonts w:cs="Arial"/>
        </w:rPr>
        <w:t xml:space="preserve">The discharge date should be used to determine </w:t>
      </w:r>
      <w:r w:rsidR="004E1027">
        <w:rPr>
          <w:rFonts w:cs="Arial"/>
        </w:rPr>
        <w:t>whether</w:t>
      </w:r>
      <w:r w:rsidR="00C72CA4">
        <w:rPr>
          <w:rFonts w:cs="Arial"/>
        </w:rPr>
        <w:t xml:space="preserve"> a case falls within the reporting p</w:t>
      </w:r>
      <w:r>
        <w:rPr>
          <w:rFonts w:cs="Arial"/>
        </w:rPr>
        <w:t>eriod specified.</w:t>
      </w:r>
    </w:p>
    <w:p w14:paraId="339CFC54" w14:textId="77777777" w:rsidR="001A716D" w:rsidRPr="00E05927" w:rsidRDefault="001A716D" w:rsidP="00E05927">
      <w:pPr>
        <w:ind w:left="360"/>
        <w:rPr>
          <w:rFonts w:cs="Arial"/>
          <w:bCs/>
        </w:rPr>
      </w:pPr>
    </w:p>
    <w:p w14:paraId="190F1C09" w14:textId="0894A7CE" w:rsidR="00036AAB" w:rsidRPr="00995B6D" w:rsidRDefault="00036AAB" w:rsidP="00036AAB">
      <w:pPr>
        <w:pStyle w:val="ListParagraph"/>
        <w:numPr>
          <w:ilvl w:val="0"/>
          <w:numId w:val="20"/>
        </w:numPr>
        <w:rPr>
          <w:rFonts w:cs="Arial"/>
          <w:b/>
          <w:bCs/>
        </w:rPr>
      </w:pPr>
      <w:r w:rsidRPr="00995B6D">
        <w:rPr>
          <w:rFonts w:cs="Arial"/>
          <w:b/>
          <w:bCs/>
        </w:rPr>
        <w:t>For the purposes of Section 4A question #</w:t>
      </w:r>
      <w:r>
        <w:rPr>
          <w:rFonts w:cs="Arial"/>
          <w:b/>
          <w:bCs/>
        </w:rPr>
        <w:t>6</w:t>
      </w:r>
      <w:r w:rsidRPr="00995B6D">
        <w:rPr>
          <w:rFonts w:cs="Arial"/>
          <w:b/>
          <w:bCs/>
        </w:rPr>
        <w:t>, what qualifies for the different categories of lactation personnel?</w:t>
      </w:r>
    </w:p>
    <w:p w14:paraId="73B3475A" w14:textId="77777777" w:rsidR="00036AAB" w:rsidRDefault="00036AAB" w:rsidP="00036AAB">
      <w:pPr>
        <w:pStyle w:val="ListParagraph"/>
        <w:rPr>
          <w:rFonts w:cs="Arial"/>
        </w:rPr>
      </w:pPr>
      <w:r w:rsidRPr="008B4CFE">
        <w:rPr>
          <w:rFonts w:cs="Arial"/>
        </w:rPr>
        <w:t>The National Lactation Consultant Alliance has categories for lactation personnel, with specific qualifications based upon the extent of their education and training.</w:t>
      </w:r>
    </w:p>
    <w:p w14:paraId="3FC54FD7" w14:textId="77777777" w:rsidR="00036AAB" w:rsidRPr="00144FA6" w:rsidRDefault="00036AAB" w:rsidP="00036AAB">
      <w:pPr>
        <w:numPr>
          <w:ilvl w:val="0"/>
          <w:numId w:val="438"/>
        </w:numPr>
        <w:spacing w:before="200" w:after="200" w:line="276" w:lineRule="auto"/>
        <w:rPr>
          <w:b/>
          <w:bCs/>
        </w:rPr>
      </w:pPr>
      <w:r w:rsidRPr="00144FA6">
        <w:t xml:space="preserve">International Board Certified Lactation Consultants® (IBCLCs®) are individuals that are board certified by the International Board of Lactation Consultant Examiners® to provide </w:t>
      </w:r>
      <w:r w:rsidRPr="00144FA6">
        <w:rPr>
          <w:b/>
          <w:bCs/>
          <w:i/>
          <w:iCs/>
        </w:rPr>
        <w:t>clinical lactation care</w:t>
      </w:r>
      <w:r w:rsidRPr="00144FA6">
        <w:t xml:space="preserve"> (e.g., clinical assessments, lactation management and feeding plans, referrals to other healthcare practitioners, etc.), as well as education and support to postpartum patients.</w:t>
      </w:r>
    </w:p>
    <w:p w14:paraId="0F94C699" w14:textId="77777777" w:rsidR="00036AAB" w:rsidRDefault="00036AAB" w:rsidP="00036AAB">
      <w:pPr>
        <w:numPr>
          <w:ilvl w:val="0"/>
          <w:numId w:val="438"/>
        </w:numPr>
        <w:spacing w:before="200" w:after="200" w:line="276" w:lineRule="auto"/>
        <w:rPr>
          <w:b/>
          <w:bCs/>
        </w:rPr>
      </w:pPr>
      <w:r w:rsidRPr="00144FA6">
        <w:t xml:space="preserve">Lactation consultants, counselors, educators, and/or specialists are individuals that provide basic breastfeeding and lactation teaching, as well as support to postpartum patients. This would include approximately 20 different designations, with an array of lactation-specific education requirements. </w:t>
      </w:r>
    </w:p>
    <w:p w14:paraId="599386BD" w14:textId="77777777" w:rsidR="00036AAB" w:rsidRDefault="00036AAB" w:rsidP="00036AAB">
      <w:pPr>
        <w:ind w:left="720"/>
      </w:pPr>
      <w:r w:rsidRPr="00144FA6">
        <w:t xml:space="preserve">More information on the differing types of personnel can be found </w:t>
      </w:r>
      <w:hyperlink r:id="rId316" w:history="1">
        <w:r w:rsidRPr="00144FA6">
          <w:rPr>
            <w:rStyle w:val="Hyperlink"/>
          </w:rPr>
          <w:t>here</w:t>
        </w:r>
      </w:hyperlink>
      <w:r w:rsidRPr="00144FA6">
        <w:t>.</w:t>
      </w:r>
    </w:p>
    <w:p w14:paraId="2910B642" w14:textId="77777777" w:rsidR="009B651D" w:rsidRPr="001F2388" w:rsidRDefault="009B651D" w:rsidP="009B651D">
      <w:pPr>
        <w:pStyle w:val="ListParagraph"/>
        <w:rPr>
          <w:rFonts w:cs="Arial"/>
        </w:rPr>
      </w:pPr>
    </w:p>
    <w:p w14:paraId="2888ED4C" w14:textId="6BF11548" w:rsidR="00852942" w:rsidRDefault="00852942" w:rsidP="00AD309C">
      <w:pPr>
        <w:pStyle w:val="ListParagraph"/>
        <w:numPr>
          <w:ilvl w:val="0"/>
          <w:numId w:val="20"/>
        </w:numPr>
        <w:rPr>
          <w:rFonts w:cs="Arial"/>
        </w:rPr>
      </w:pPr>
      <w:r>
        <w:rPr>
          <w:rFonts w:cs="Arial"/>
          <w:b/>
        </w:rPr>
        <w:t>In Section 4</w:t>
      </w:r>
      <w:r w:rsidR="0016658F">
        <w:rPr>
          <w:rFonts w:cs="Arial"/>
          <w:b/>
        </w:rPr>
        <w:t>D</w:t>
      </w:r>
      <w:r>
        <w:rPr>
          <w:rFonts w:cs="Arial"/>
          <w:b/>
        </w:rPr>
        <w:t>, what tools should hospitals use for managing patients that receive a serum or transcutaneous bilirubin screen to assess the risk of hyperbilirubinemia prior to discharge?</w:t>
      </w:r>
    </w:p>
    <w:p w14:paraId="28043ABA" w14:textId="1BBF0826" w:rsidR="00852942" w:rsidRDefault="00852942" w:rsidP="00852942">
      <w:pPr>
        <w:pStyle w:val="ListParagraph"/>
        <w:rPr>
          <w:rFonts w:cs="Arial"/>
        </w:rPr>
      </w:pPr>
      <w:r>
        <w:rPr>
          <w:rFonts w:cs="Arial"/>
        </w:rPr>
        <w:t xml:space="preserve">One example </w:t>
      </w:r>
      <w:r w:rsidR="00AA2767">
        <w:rPr>
          <w:rFonts w:cs="Arial"/>
        </w:rPr>
        <w:t xml:space="preserve">a </w:t>
      </w:r>
      <w:r>
        <w:rPr>
          <w:rFonts w:cs="Arial"/>
        </w:rPr>
        <w:t>hospital can use is the Bhutani Nomogram. For an example, please see:</w:t>
      </w:r>
    </w:p>
    <w:p w14:paraId="454DBB4D" w14:textId="77777777" w:rsidR="00852942" w:rsidRPr="001A716D" w:rsidRDefault="00852942" w:rsidP="00852942">
      <w:pPr>
        <w:pStyle w:val="ListParagraph"/>
        <w:rPr>
          <w:rFonts w:cs="Arial"/>
          <w:i/>
        </w:rPr>
      </w:pPr>
      <w:r w:rsidRPr="001A716D">
        <w:rPr>
          <w:rFonts w:cs="Arial"/>
          <w:i/>
        </w:rPr>
        <w:t>American Academy of Pediatrics Clinical Practice Guidelines: Management of Hyperbilirubinemia in the Newborn Infant 35 or More Weeks of Gestation.</w:t>
      </w:r>
    </w:p>
    <w:p w14:paraId="5217489F" w14:textId="0284866D" w:rsidR="00852942" w:rsidRPr="001A716D" w:rsidRDefault="00852942" w:rsidP="00852942">
      <w:pPr>
        <w:pStyle w:val="ListParagraph"/>
        <w:rPr>
          <w:rFonts w:cs="Arial"/>
        </w:rPr>
      </w:pPr>
      <w:hyperlink r:id="rId317" w:history="1">
        <w:r w:rsidRPr="001A716D">
          <w:rPr>
            <w:rStyle w:val="Hyperlink"/>
            <w:rFonts w:cs="Arial"/>
          </w:rPr>
          <w:t>http://pediatrics.aappublications.org/content/114/1/297.full</w:t>
        </w:r>
      </w:hyperlink>
    </w:p>
    <w:p w14:paraId="6249D8D2" w14:textId="206E93DD" w:rsidR="00852942" w:rsidRDefault="00172374" w:rsidP="00852942">
      <w:pPr>
        <w:pStyle w:val="ListParagraph"/>
        <w:rPr>
          <w:rFonts w:cs="Arial"/>
        </w:rPr>
      </w:pPr>
      <w:r>
        <w:rPr>
          <w:rFonts w:cs="Arial"/>
          <w:b/>
        </w:rPr>
        <w:br/>
      </w:r>
      <w:r w:rsidR="00852942" w:rsidRPr="001A716D">
        <w:rPr>
          <w:rFonts w:cs="Arial"/>
          <w:b/>
        </w:rPr>
        <w:t>Tip</w:t>
      </w:r>
      <w:r w:rsidR="00852942" w:rsidRPr="001A716D">
        <w:rPr>
          <w:rFonts w:cs="Arial"/>
        </w:rPr>
        <w:t>: To view any Figure in the reference, click on it to open, then again to enlarge.</w:t>
      </w:r>
    </w:p>
    <w:p w14:paraId="460FE10E" w14:textId="77777777" w:rsidR="00852942" w:rsidRDefault="00852942" w:rsidP="00852942">
      <w:pPr>
        <w:pStyle w:val="ListParagraph"/>
        <w:rPr>
          <w:rFonts w:cs="Arial"/>
        </w:rPr>
      </w:pPr>
    </w:p>
    <w:p w14:paraId="6A39BE16" w14:textId="122B6212" w:rsidR="00852942" w:rsidRPr="001A716D" w:rsidRDefault="00852942" w:rsidP="00852942">
      <w:pPr>
        <w:pStyle w:val="ListParagraph"/>
        <w:rPr>
          <w:rFonts w:cs="Arial"/>
        </w:rPr>
      </w:pPr>
      <w:r>
        <w:rPr>
          <w:rFonts w:cs="Arial"/>
        </w:rPr>
        <w:t xml:space="preserve">Other tools may also be used </w:t>
      </w:r>
      <w:r w:rsidR="00C60E1B">
        <w:rPr>
          <w:rFonts w:cs="Arial"/>
        </w:rPr>
        <w:t>if</w:t>
      </w:r>
      <w:r>
        <w:rPr>
          <w:rFonts w:cs="Arial"/>
        </w:rPr>
        <w:t xml:space="preserve"> the serum or transcutaneous screen is conducted prior to discharge and risk is managed appropriately.</w:t>
      </w:r>
    </w:p>
    <w:p w14:paraId="443E3054" w14:textId="1107759B" w:rsidR="00A94E56" w:rsidRDefault="00A94E56">
      <w:pPr>
        <w:rPr>
          <w:rFonts w:cs="Arial"/>
        </w:rPr>
      </w:pPr>
      <w:r>
        <w:rPr>
          <w:rFonts w:cs="Arial"/>
        </w:rPr>
        <w:br w:type="page"/>
      </w:r>
    </w:p>
    <w:p w14:paraId="20D0D44B" w14:textId="1BCC7E92" w:rsidR="002E44C6" w:rsidRPr="002E44C6" w:rsidRDefault="002E44C6" w:rsidP="00AD309C">
      <w:pPr>
        <w:pStyle w:val="ListParagraph"/>
        <w:numPr>
          <w:ilvl w:val="0"/>
          <w:numId w:val="20"/>
        </w:numPr>
        <w:rPr>
          <w:rFonts w:cs="Arial"/>
        </w:rPr>
      </w:pPr>
      <w:r>
        <w:rPr>
          <w:rFonts w:cs="Arial"/>
          <w:b/>
        </w:rPr>
        <w:lastRenderedPageBreak/>
        <w:t>In Section 4</w:t>
      </w:r>
      <w:r w:rsidR="0016658F">
        <w:rPr>
          <w:rFonts w:cs="Arial"/>
          <w:b/>
        </w:rPr>
        <w:t>D</w:t>
      </w:r>
      <w:r>
        <w:rPr>
          <w:rFonts w:cs="Arial"/>
          <w:b/>
        </w:rPr>
        <w:t>, what codes or diagnoses should be used to identify severe congenital anomalies for exclusions for newborn bilirubin screening prior to discharge?</w:t>
      </w:r>
    </w:p>
    <w:p w14:paraId="066D098E" w14:textId="77777777" w:rsidR="002E44C6" w:rsidRDefault="002E44C6" w:rsidP="002E44C6">
      <w:pPr>
        <w:pStyle w:val="ListParagraph"/>
      </w:pPr>
      <w:r>
        <w:rPr>
          <w:rFonts w:cs="Arial"/>
        </w:rPr>
        <w:t>Leapfrog’s Maternity Care Exp</w:t>
      </w:r>
      <w:r w:rsidR="0093747F">
        <w:rPr>
          <w:rFonts w:cs="Arial"/>
        </w:rPr>
        <w:t>ert Panel has opted to not over</w:t>
      </w:r>
      <w:r>
        <w:rPr>
          <w:rFonts w:cs="Arial"/>
        </w:rPr>
        <w:t xml:space="preserve">complicate the measure by providing ICD-codes for identifying congenital anomalies in the newborn. </w:t>
      </w:r>
      <w:r>
        <w:t>Instead, we would suggest that you focus on identifying the following exclusions: documentation that the newborn will receive comfort care measures only, which would accompany the prenatal documentation of severe congenital anomalies in the newborn.</w:t>
      </w:r>
    </w:p>
    <w:p w14:paraId="20144AEE" w14:textId="77777777" w:rsidR="002E44C6" w:rsidRDefault="002E44C6" w:rsidP="002E44C6">
      <w:pPr>
        <w:pStyle w:val="ListParagraph"/>
      </w:pPr>
    </w:p>
    <w:p w14:paraId="458B44BB" w14:textId="0F9C7DB1" w:rsidR="002E44C6" w:rsidRPr="002E44C6" w:rsidRDefault="002E44C6" w:rsidP="002E44C6">
      <w:pPr>
        <w:pStyle w:val="ListParagraph"/>
        <w:rPr>
          <w:rFonts w:cs="Arial"/>
        </w:rPr>
      </w:pPr>
      <w:r>
        <w:t xml:space="preserve">If you have concerns about the level of effort required to identify these exclusions, please note that Leapfrog allows hospitals to report on a sample of </w:t>
      </w:r>
      <w:r w:rsidR="00E01119">
        <w:t>30</w:t>
      </w:r>
      <w:r>
        <w:t xml:space="preserve"> cases for those facilities that opt to report on a sample instead of full case reporting. You can </w:t>
      </w:r>
      <w:r w:rsidR="00916650">
        <w:t>find those instructio</w:t>
      </w:r>
      <w:r w:rsidR="00916650" w:rsidRPr="00D92940">
        <w:t xml:space="preserve">ns </w:t>
      </w:r>
      <w:r w:rsidR="00172374">
        <w:t xml:space="preserve">in the </w:t>
      </w:r>
      <w:hyperlink w:anchor="_Newborn_Bilirubin_Screening" w:history="1">
        <w:r w:rsidR="00172374" w:rsidRPr="00172374">
          <w:rPr>
            <w:rStyle w:val="Hyperlink"/>
          </w:rPr>
          <w:t>Maternity Care Process Measure Specifications</w:t>
        </w:r>
      </w:hyperlink>
      <w:r w:rsidR="00172374">
        <w:t xml:space="preserve">. </w:t>
      </w:r>
    </w:p>
    <w:p w14:paraId="3302B72D" w14:textId="77777777" w:rsidR="00691EF7" w:rsidRPr="00FC601A" w:rsidRDefault="00691EF7" w:rsidP="00FC601A">
      <w:pPr>
        <w:rPr>
          <w:rFonts w:cs="Arial"/>
        </w:rPr>
      </w:pPr>
    </w:p>
    <w:p w14:paraId="0A39F8E4" w14:textId="77777777" w:rsidR="00EA301E" w:rsidRPr="009A5185" w:rsidRDefault="00EA301E" w:rsidP="00EA301E">
      <w:pPr>
        <w:ind w:left="720"/>
        <w:rPr>
          <w:rFonts w:cs="Arial"/>
        </w:rPr>
      </w:pPr>
    </w:p>
    <w:p w14:paraId="6D0DF780" w14:textId="77777777" w:rsidR="00592DDC" w:rsidRPr="009A5185" w:rsidRDefault="00592DDC">
      <w:pPr>
        <w:rPr>
          <w:rFonts w:cs="Arial"/>
          <w:b/>
          <w:sz w:val="28"/>
          <w:u w:val="single"/>
          <w:lang w:eastAsia="ja-JP"/>
        </w:rPr>
        <w:sectPr w:rsidR="00592DDC" w:rsidRPr="009A5185" w:rsidSect="00062F69">
          <w:headerReference w:type="default" r:id="rId318"/>
          <w:endnotePr>
            <w:numFmt w:val="decimal"/>
          </w:endnotePr>
          <w:pgSz w:w="12240" w:h="15840"/>
          <w:pgMar w:top="1080" w:right="1440" w:bottom="1080" w:left="1440" w:header="720" w:footer="720" w:gutter="0"/>
          <w:cols w:space="720"/>
          <w:docGrid w:linePitch="272"/>
        </w:sectPr>
      </w:pPr>
      <w:r w:rsidRPr="009A5185">
        <w:rPr>
          <w:rFonts w:cs="Arial"/>
          <w:b/>
          <w:sz w:val="28"/>
          <w:u w:val="single"/>
          <w:lang w:eastAsia="ja-JP"/>
        </w:rPr>
        <w:br w:type="page"/>
      </w:r>
    </w:p>
    <w:p w14:paraId="03AB6259" w14:textId="77777777" w:rsidR="00F750C5" w:rsidRPr="009A5185" w:rsidRDefault="00F750C5" w:rsidP="00F0772B"/>
    <w:p w14:paraId="733B2484" w14:textId="68A58133" w:rsidR="00224E3E" w:rsidRPr="009A5185" w:rsidRDefault="00BB1AF9" w:rsidP="00D32C75">
      <w:pPr>
        <w:pStyle w:val="SectionHeader"/>
      </w:pPr>
      <w:bookmarkStart w:id="396" w:name="_Toc225877746"/>
      <w:r w:rsidRPr="009A5185">
        <w:t>Page Intentionally Left Blank</w:t>
      </w:r>
      <w:bookmarkEnd w:id="395"/>
      <w:bookmarkEnd w:id="396"/>
    </w:p>
    <w:p w14:paraId="3EF4BE1C" w14:textId="77777777" w:rsidR="00BB1AF9" w:rsidRPr="009A5185" w:rsidRDefault="00BB1AF9">
      <w:pPr>
        <w:rPr>
          <w:rFonts w:cs="Arial"/>
          <w:b/>
          <w:snapToGrid w:val="0"/>
          <w:color w:val="A6A6A6" w:themeColor="background1" w:themeShade="A6"/>
          <w:sz w:val="40"/>
          <w:szCs w:val="40"/>
          <w:lang w:eastAsia="ja-JP"/>
        </w:rPr>
      </w:pPr>
      <w:r w:rsidRPr="009A5185">
        <w:rPr>
          <w:rFonts w:cs="Arial"/>
          <w:color w:val="A6A6A6" w:themeColor="background1" w:themeShade="A6"/>
        </w:rPr>
        <w:br w:type="page"/>
      </w:r>
    </w:p>
    <w:p w14:paraId="4E2E1036" w14:textId="77777777" w:rsidR="00920EF6" w:rsidRPr="009A5185" w:rsidRDefault="00920EF6" w:rsidP="00D32C75">
      <w:pPr>
        <w:pStyle w:val="SectionHeader"/>
        <w:sectPr w:rsidR="00920EF6" w:rsidRPr="009A5185" w:rsidSect="00062F69">
          <w:headerReference w:type="default" r:id="rId319"/>
          <w:endnotePr>
            <w:numFmt w:val="decimal"/>
          </w:endnotePr>
          <w:pgSz w:w="12240" w:h="15840"/>
          <w:pgMar w:top="1080" w:right="1440" w:bottom="1080" w:left="1440" w:header="720" w:footer="720" w:gutter="0"/>
          <w:cols w:space="720"/>
          <w:docGrid w:linePitch="272"/>
        </w:sectPr>
      </w:pPr>
    </w:p>
    <w:p w14:paraId="5830D1DD" w14:textId="77777777" w:rsidR="00BB1AF9" w:rsidRPr="009A5185" w:rsidRDefault="00BB1AF9" w:rsidP="0070116C"/>
    <w:p w14:paraId="63EFFADA" w14:textId="77777777" w:rsidR="00224E3E" w:rsidRPr="009A5185" w:rsidRDefault="00224E3E" w:rsidP="0070116C"/>
    <w:p w14:paraId="087768CC" w14:textId="77777777" w:rsidR="00224E3E" w:rsidRPr="009A5185" w:rsidRDefault="00224E3E" w:rsidP="0070116C"/>
    <w:p w14:paraId="67FC074A" w14:textId="77777777" w:rsidR="00224E3E" w:rsidRPr="009A5185" w:rsidRDefault="00224E3E" w:rsidP="0070116C"/>
    <w:p w14:paraId="38A1DF53" w14:textId="77777777" w:rsidR="00E0417A" w:rsidRDefault="00E0417A" w:rsidP="00F750C5"/>
    <w:p w14:paraId="11DC42CE" w14:textId="77777777" w:rsidR="00B43F10" w:rsidRDefault="00B43F10" w:rsidP="00F750C5"/>
    <w:p w14:paraId="548A307B" w14:textId="77777777" w:rsidR="00B43F10" w:rsidRDefault="00B43F10" w:rsidP="00F750C5"/>
    <w:p w14:paraId="1363E924" w14:textId="77777777" w:rsidR="00E0417A" w:rsidRDefault="00E0417A" w:rsidP="00F750C5"/>
    <w:p w14:paraId="226FE6F1" w14:textId="77777777" w:rsidR="00E0417A" w:rsidRDefault="00E0417A" w:rsidP="00F750C5"/>
    <w:p w14:paraId="1CA034E0" w14:textId="77777777" w:rsidR="00E0417A" w:rsidRDefault="00E0417A" w:rsidP="00F750C5"/>
    <w:p w14:paraId="490B24A2" w14:textId="77777777" w:rsidR="00E0417A" w:rsidRDefault="00E0417A" w:rsidP="00F750C5"/>
    <w:p w14:paraId="33E95590" w14:textId="77777777" w:rsidR="00E0417A" w:rsidRDefault="00E0417A" w:rsidP="00F750C5"/>
    <w:p w14:paraId="5B5B1E8E" w14:textId="77777777" w:rsidR="00E0417A" w:rsidRDefault="00E0417A" w:rsidP="00F750C5"/>
    <w:p w14:paraId="518B2E51" w14:textId="77777777" w:rsidR="00E0417A" w:rsidRDefault="00E0417A" w:rsidP="00F750C5"/>
    <w:p w14:paraId="6CECF8A8" w14:textId="77777777" w:rsidR="00E0417A" w:rsidRDefault="00E0417A" w:rsidP="00F750C5"/>
    <w:p w14:paraId="706A5558" w14:textId="77777777" w:rsidR="00E0417A" w:rsidRDefault="00E0417A" w:rsidP="00F750C5"/>
    <w:p w14:paraId="7964E895" w14:textId="77777777" w:rsidR="00E0417A" w:rsidRDefault="00E0417A" w:rsidP="00F750C5"/>
    <w:p w14:paraId="234B2FB3" w14:textId="77777777" w:rsidR="00E0417A" w:rsidRDefault="00E0417A" w:rsidP="00F750C5"/>
    <w:p w14:paraId="331EC8B4" w14:textId="77777777" w:rsidR="00E0417A" w:rsidRDefault="00E0417A" w:rsidP="00F750C5"/>
    <w:p w14:paraId="6EB9C07A" w14:textId="77777777" w:rsidR="00E0417A" w:rsidRDefault="00E0417A" w:rsidP="00F750C5"/>
    <w:p w14:paraId="2C051F92" w14:textId="77777777" w:rsidR="00E0417A" w:rsidRDefault="00E0417A" w:rsidP="00F750C5"/>
    <w:p w14:paraId="529C0ECA" w14:textId="1C9CCC48" w:rsidR="008910AA" w:rsidRPr="009A5185" w:rsidRDefault="00216194" w:rsidP="00D32C75">
      <w:pPr>
        <w:pStyle w:val="SectionHeader"/>
      </w:pPr>
      <w:bookmarkStart w:id="397" w:name="_Toc225877747"/>
      <w:bookmarkStart w:id="398" w:name="Sect5"/>
      <w:r w:rsidRPr="009A5185">
        <w:t xml:space="preserve">SECTION 5: </w:t>
      </w:r>
      <w:r w:rsidR="00A52909">
        <w:t xml:space="preserve">PHYSICIAN AND NURSE </w:t>
      </w:r>
      <w:r w:rsidRPr="009A5185">
        <w:t>STAFFING</w:t>
      </w:r>
      <w:bookmarkEnd w:id="397"/>
    </w:p>
    <w:bookmarkEnd w:id="398"/>
    <w:p w14:paraId="47F0410F" w14:textId="77777777" w:rsidR="00A828BA" w:rsidRPr="009A5185" w:rsidRDefault="00A828BA" w:rsidP="0070116C"/>
    <w:p w14:paraId="66FCC8F1" w14:textId="67E6F5E2" w:rsidR="00A828BA" w:rsidRPr="009A5185" w:rsidRDefault="00A828BA" w:rsidP="00A828BA">
      <w:pPr>
        <w:rPr>
          <w:rFonts w:cs="Arial"/>
        </w:rPr>
      </w:pPr>
      <w:r w:rsidRPr="009A5185">
        <w:rPr>
          <w:rFonts w:cs="Arial"/>
        </w:rPr>
        <w:t>This section includes questions and reference information for Section 5</w:t>
      </w:r>
      <w:r w:rsidR="004A4FD0" w:rsidRPr="009A5185">
        <w:rPr>
          <w:rFonts w:cs="Arial"/>
        </w:rPr>
        <w:t>:</w:t>
      </w:r>
      <w:r w:rsidRPr="009A5185">
        <w:rPr>
          <w:rFonts w:cs="Arial"/>
        </w:rPr>
        <w:t xml:space="preserve"> </w:t>
      </w:r>
      <w:r w:rsidR="00A52909">
        <w:rPr>
          <w:rFonts w:cs="Arial"/>
        </w:rPr>
        <w:t xml:space="preserve">Physician and Nurse </w:t>
      </w:r>
      <w:r w:rsidR="00377AC2">
        <w:rPr>
          <w:rFonts w:cs="Arial"/>
        </w:rPr>
        <w:t>Staffing</w:t>
      </w:r>
      <w:r w:rsidRPr="009A5185">
        <w:rPr>
          <w:rFonts w:cs="Arial"/>
        </w:rPr>
        <w:t xml:space="preserve">. Please carefully review the questions, </w:t>
      </w:r>
      <w:r w:rsidR="00B94757" w:rsidRPr="009A5185">
        <w:rPr>
          <w:rFonts w:cs="Arial"/>
        </w:rPr>
        <w:t>endnotes</w:t>
      </w:r>
      <w:r w:rsidRPr="009A5185">
        <w:rPr>
          <w:rFonts w:cs="Arial"/>
        </w:rPr>
        <w:t>, and reference information (e.g.</w:t>
      </w:r>
      <w:r w:rsidR="00746387" w:rsidRPr="009A5185">
        <w:rPr>
          <w:rFonts w:cs="Arial"/>
        </w:rPr>
        <w:t>,</w:t>
      </w:r>
      <w:r w:rsidRPr="009A5185">
        <w:rPr>
          <w:rFonts w:cs="Arial"/>
        </w:rPr>
        <w:t xml:space="preserve"> measure specifications, notes, and frequen</w:t>
      </w:r>
      <w:r w:rsidR="005008BE" w:rsidRPr="009A5185">
        <w:rPr>
          <w:rFonts w:cs="Arial"/>
        </w:rPr>
        <w:t>tl</w:t>
      </w:r>
      <w:r w:rsidRPr="009A5185">
        <w:rPr>
          <w:rFonts w:cs="Arial"/>
        </w:rPr>
        <w:t xml:space="preserve">y asked questions) before you begin. Failure to review the reference information could result in inaccurate responses. </w:t>
      </w:r>
    </w:p>
    <w:p w14:paraId="0AB5C65B" w14:textId="77777777" w:rsidR="00A828BA" w:rsidRPr="009A5185" w:rsidRDefault="00A828BA" w:rsidP="0070116C"/>
    <w:p w14:paraId="7A874DBF" w14:textId="77777777" w:rsidR="00224E3E" w:rsidRPr="009A5185" w:rsidRDefault="00224E3E" w:rsidP="00224E3E">
      <w:pPr>
        <w:rPr>
          <w:rFonts w:cs="Arial"/>
        </w:rPr>
      </w:pPr>
    </w:p>
    <w:p w14:paraId="33BE9D89" w14:textId="77777777" w:rsidR="00224E3E" w:rsidRPr="009A5185" w:rsidRDefault="00224E3E">
      <w:pPr>
        <w:rPr>
          <w:rFonts w:cs="Arial"/>
        </w:rPr>
      </w:pPr>
      <w:r w:rsidRPr="009A5185">
        <w:rPr>
          <w:rFonts w:cs="Arial"/>
        </w:rPr>
        <w:br w:type="page"/>
      </w:r>
    </w:p>
    <w:p w14:paraId="32AE6211" w14:textId="2273D651" w:rsidR="008910AA" w:rsidRPr="009A5185" w:rsidRDefault="00020513" w:rsidP="00CF5A6E">
      <w:pPr>
        <w:pStyle w:val="Heading2"/>
      </w:pPr>
      <w:bookmarkStart w:id="399" w:name="_Section_5:_ICU"/>
      <w:bookmarkStart w:id="400" w:name="_Section_5:_Staffing"/>
      <w:bookmarkStart w:id="401" w:name="_Toc225877748"/>
      <w:bookmarkEnd w:id="399"/>
      <w:bookmarkEnd w:id="400"/>
      <w:r w:rsidRPr="009A5185">
        <w:lastRenderedPageBreak/>
        <w:t>Section 5:</w:t>
      </w:r>
      <w:r w:rsidR="008910AA" w:rsidRPr="009A5185">
        <w:t xml:space="preserve"> </w:t>
      </w:r>
      <w:r w:rsidR="00A52909">
        <w:t xml:space="preserve">Physician and Nurse </w:t>
      </w:r>
      <w:r w:rsidR="00CF3B7C" w:rsidRPr="009A5185">
        <w:t>Staffing</w:t>
      </w:r>
      <w:bookmarkEnd w:id="401"/>
      <w:r w:rsidR="00CF3B7C" w:rsidRPr="009A5185">
        <w:t xml:space="preserve"> </w:t>
      </w:r>
    </w:p>
    <w:p w14:paraId="66F50316" w14:textId="77777777" w:rsidR="008910AA" w:rsidRPr="009A5185" w:rsidRDefault="008910AA">
      <w:pPr>
        <w:rPr>
          <w:rFonts w:cs="Arial"/>
          <w:b/>
          <w:snapToGrid w:val="0"/>
          <w:color w:val="000000"/>
        </w:rPr>
      </w:pPr>
    </w:p>
    <w:p w14:paraId="608445D2" w14:textId="6BF5397F" w:rsidR="000C3BE1" w:rsidRDefault="007665B6">
      <w:pPr>
        <w:pStyle w:val="BodyText3"/>
      </w:pPr>
      <w:r>
        <w:rPr>
          <w:rFonts w:cs="Arial"/>
          <w:b/>
        </w:rPr>
        <w:t xml:space="preserve">Adult and Pediatric </w:t>
      </w:r>
      <w:r w:rsidR="000C3BE1" w:rsidRPr="009A5185">
        <w:rPr>
          <w:rFonts w:cs="Arial"/>
          <w:b/>
        </w:rPr>
        <w:t>I</w:t>
      </w:r>
      <w:r w:rsidR="00ED1DA5">
        <w:rPr>
          <w:rFonts w:cs="Arial"/>
          <w:b/>
        </w:rPr>
        <w:t xml:space="preserve">CU </w:t>
      </w:r>
      <w:r w:rsidR="000C3BE1" w:rsidRPr="009A5185">
        <w:rPr>
          <w:rFonts w:cs="Arial"/>
          <w:b/>
        </w:rPr>
        <w:t>P</w:t>
      </w:r>
      <w:r w:rsidR="00ED1DA5">
        <w:rPr>
          <w:rFonts w:cs="Arial"/>
          <w:b/>
        </w:rPr>
        <w:t xml:space="preserve">hysician </w:t>
      </w:r>
      <w:r w:rsidR="000C3BE1" w:rsidRPr="009A5185">
        <w:rPr>
          <w:rFonts w:cs="Arial"/>
          <w:b/>
        </w:rPr>
        <w:t>S</w:t>
      </w:r>
      <w:r w:rsidR="00ED1DA5">
        <w:rPr>
          <w:rFonts w:cs="Arial"/>
          <w:b/>
        </w:rPr>
        <w:t>taffing</w:t>
      </w:r>
      <w:r w:rsidR="000C3BE1" w:rsidRPr="009A5185">
        <w:rPr>
          <w:rFonts w:cs="Arial"/>
          <w:b/>
        </w:rPr>
        <w:t xml:space="preserve"> Fact Sheet</w:t>
      </w:r>
      <w:r w:rsidR="009778A5">
        <w:rPr>
          <w:rFonts w:cs="Arial"/>
          <w:b/>
        </w:rPr>
        <w:t xml:space="preserve"> and Bibliography</w:t>
      </w:r>
      <w:r w:rsidR="000C3BE1" w:rsidRPr="009A5185">
        <w:rPr>
          <w:rFonts w:cs="Arial"/>
          <w:b/>
        </w:rPr>
        <w:t>:</w:t>
      </w:r>
      <w:r w:rsidR="00E03E77" w:rsidRPr="009A5185">
        <w:rPr>
          <w:rFonts w:cs="Arial"/>
          <w:b/>
        </w:rPr>
        <w:t xml:space="preserve"> </w:t>
      </w:r>
      <w:hyperlink r:id="rId320" w:history="1">
        <w:r w:rsidR="00040753" w:rsidRPr="00A2752F">
          <w:rPr>
            <w:rStyle w:val="Hyperlink"/>
          </w:rPr>
          <w:t>https://ratings.leapfroggroup.org/measure/hospital/2026/specially-trained-doctors-care-critical-care-patients</w:t>
        </w:r>
      </w:hyperlink>
    </w:p>
    <w:p w14:paraId="4BDA55C1" w14:textId="77777777" w:rsidR="00E5612C" w:rsidRPr="00044D4F" w:rsidRDefault="00E5612C">
      <w:pPr>
        <w:pStyle w:val="BodyText3"/>
        <w:rPr>
          <w:rFonts w:cs="Arial"/>
        </w:rPr>
      </w:pPr>
    </w:p>
    <w:p w14:paraId="6FE7297A" w14:textId="05806079" w:rsidR="00E5612C" w:rsidRDefault="00E5612C" w:rsidP="00E5612C">
      <w:r>
        <w:rPr>
          <w:rFonts w:cs="Arial"/>
          <w:b/>
          <w:bCs/>
          <w:snapToGrid w:val="0"/>
        </w:rPr>
        <w:t>Nursing Workforce Fact Sheet and</w:t>
      </w:r>
      <w:r w:rsidRPr="00332D4F">
        <w:rPr>
          <w:rFonts w:cs="Arial"/>
          <w:b/>
          <w:bCs/>
          <w:snapToGrid w:val="0"/>
        </w:rPr>
        <w:t xml:space="preserve"> Bibliography:</w:t>
      </w:r>
      <w:r>
        <w:rPr>
          <w:rFonts w:cs="Arial"/>
          <w:snapToGrid w:val="0"/>
        </w:rPr>
        <w:t xml:space="preserve"> </w:t>
      </w:r>
      <w:hyperlink r:id="rId321" w:history="1">
        <w:r w:rsidR="00040753" w:rsidRPr="00A2752F">
          <w:rPr>
            <w:rStyle w:val="Hyperlink"/>
          </w:rPr>
          <w:t>https://ratings.leapfroggroup.org/measure/hospital/2026/nursing-workforce</w:t>
        </w:r>
      </w:hyperlink>
      <w:r w:rsidR="00040753">
        <w:t xml:space="preserve"> </w:t>
      </w:r>
    </w:p>
    <w:p w14:paraId="4C5B0926" w14:textId="77777777" w:rsidR="00E5612C" w:rsidRPr="009A5185" w:rsidRDefault="00E5612C">
      <w:pPr>
        <w:pStyle w:val="BodyText3"/>
        <w:rPr>
          <w:rFonts w:cs="Arial"/>
          <w:b/>
        </w:rPr>
      </w:pPr>
    </w:p>
    <w:p w14:paraId="232F049B" w14:textId="5952FD89" w:rsidR="0096619F" w:rsidRDefault="00230915" w:rsidP="00B95DB2">
      <w:pPr>
        <w:pStyle w:val="BodyText3"/>
        <w:rPr>
          <w:rFonts w:cs="Arial"/>
          <w:b/>
          <w:snapToGrid w:val="0"/>
          <w:color w:val="FF0000"/>
        </w:rPr>
      </w:pPr>
      <w:r>
        <w:rPr>
          <w:rFonts w:cs="Arial"/>
          <w:b/>
          <w:snapToGrid w:val="0"/>
          <w:color w:val="FF0000"/>
        </w:rPr>
        <w:t>H</w:t>
      </w:r>
      <w:r w:rsidR="00B95DB2" w:rsidRPr="009A5185">
        <w:rPr>
          <w:rFonts w:cs="Arial"/>
          <w:b/>
          <w:snapToGrid w:val="0"/>
          <w:color w:val="FF0000"/>
        </w:rPr>
        <w:t xml:space="preserve">ospitals </w:t>
      </w:r>
      <w:r w:rsidR="004417E7" w:rsidRPr="009A5185">
        <w:rPr>
          <w:rFonts w:cs="Arial"/>
          <w:b/>
          <w:snapToGrid w:val="0"/>
          <w:color w:val="FF0000"/>
        </w:rPr>
        <w:t xml:space="preserve">that do not </w:t>
      </w:r>
      <w:r w:rsidR="006B451A">
        <w:rPr>
          <w:rFonts w:cs="Arial"/>
          <w:b/>
          <w:snapToGrid w:val="0"/>
          <w:color w:val="FF0000"/>
        </w:rPr>
        <w:t xml:space="preserve">admit </w:t>
      </w:r>
      <w:r w:rsidR="005B7E2D">
        <w:rPr>
          <w:rFonts w:cs="Arial"/>
          <w:b/>
          <w:snapToGrid w:val="0"/>
          <w:color w:val="FF0000"/>
        </w:rPr>
        <w:t xml:space="preserve">adult </w:t>
      </w:r>
      <w:r w:rsidR="006B451A">
        <w:rPr>
          <w:rFonts w:cs="Arial"/>
          <w:b/>
          <w:snapToGrid w:val="0"/>
          <w:color w:val="FF0000"/>
        </w:rPr>
        <w:t xml:space="preserve">critical care patients </w:t>
      </w:r>
      <w:r w:rsidR="00464CD3">
        <w:rPr>
          <w:rFonts w:cs="Arial"/>
          <w:b/>
          <w:snapToGrid w:val="0"/>
          <w:color w:val="FF0000"/>
        </w:rPr>
        <w:t>or</w:t>
      </w:r>
      <w:r w:rsidR="006B451A">
        <w:rPr>
          <w:rFonts w:cs="Arial"/>
          <w:b/>
          <w:snapToGrid w:val="0"/>
          <w:color w:val="FF0000"/>
        </w:rPr>
        <w:t xml:space="preserve"> </w:t>
      </w:r>
      <w:r w:rsidR="00464CD3">
        <w:rPr>
          <w:rFonts w:cs="Arial"/>
          <w:b/>
          <w:snapToGrid w:val="0"/>
          <w:color w:val="FF0000"/>
        </w:rPr>
        <w:t xml:space="preserve">operate an </w:t>
      </w:r>
      <w:r w:rsidR="00B95DB2" w:rsidRPr="009A5185">
        <w:rPr>
          <w:rFonts w:cs="Arial"/>
          <w:b/>
          <w:snapToGrid w:val="0"/>
          <w:color w:val="FF0000"/>
        </w:rPr>
        <w:t>adult general medical</w:t>
      </w:r>
      <w:r w:rsidR="005A3651">
        <w:rPr>
          <w:rFonts w:cs="Arial"/>
          <w:b/>
          <w:snapToGrid w:val="0"/>
          <w:color w:val="FF0000"/>
        </w:rPr>
        <w:t>,</w:t>
      </w:r>
      <w:r w:rsidR="00B95DB2" w:rsidRPr="009A5185">
        <w:rPr>
          <w:rFonts w:cs="Arial"/>
          <w:b/>
          <w:snapToGrid w:val="0"/>
          <w:color w:val="FF0000"/>
        </w:rPr>
        <w:t xml:space="preserve"> </w:t>
      </w:r>
      <w:r w:rsidR="00EC12DB">
        <w:rPr>
          <w:rFonts w:cs="Arial"/>
          <w:b/>
          <w:snapToGrid w:val="0"/>
          <w:color w:val="FF0000"/>
        </w:rPr>
        <w:t xml:space="preserve">surgical, </w:t>
      </w:r>
      <w:r w:rsidR="003E790C">
        <w:rPr>
          <w:rFonts w:cs="Arial"/>
          <w:b/>
          <w:snapToGrid w:val="0"/>
          <w:color w:val="FF0000"/>
        </w:rPr>
        <w:t>medical/</w:t>
      </w:r>
      <w:r w:rsidR="00B95DB2" w:rsidRPr="009A5185">
        <w:rPr>
          <w:rFonts w:cs="Arial"/>
          <w:b/>
          <w:snapToGrid w:val="0"/>
          <w:color w:val="FF0000"/>
        </w:rPr>
        <w:t>surgical</w:t>
      </w:r>
      <w:r w:rsidR="00C90550">
        <w:rPr>
          <w:rFonts w:cs="Arial"/>
          <w:b/>
          <w:snapToGrid w:val="0"/>
          <w:color w:val="FF0000"/>
        </w:rPr>
        <w:t>,</w:t>
      </w:r>
      <w:r w:rsidR="00B95DB2" w:rsidRPr="009A5185">
        <w:rPr>
          <w:rFonts w:cs="Arial"/>
          <w:b/>
          <w:snapToGrid w:val="0"/>
          <w:color w:val="FF0000"/>
        </w:rPr>
        <w:t xml:space="preserve"> or neuro ICU should </w:t>
      </w:r>
      <w:r w:rsidR="00144C7D">
        <w:rPr>
          <w:rFonts w:cs="Arial"/>
          <w:b/>
          <w:snapToGrid w:val="0"/>
          <w:color w:val="FF0000"/>
        </w:rPr>
        <w:t>select</w:t>
      </w:r>
      <w:r w:rsidR="00B95DB2" w:rsidRPr="009A5185">
        <w:rPr>
          <w:rFonts w:cs="Arial"/>
          <w:b/>
          <w:snapToGrid w:val="0"/>
          <w:color w:val="FF0000"/>
        </w:rPr>
        <w:t xml:space="preserve"> “No” </w:t>
      </w:r>
      <w:r w:rsidR="00144C7D">
        <w:rPr>
          <w:rFonts w:cs="Arial"/>
          <w:b/>
          <w:snapToGrid w:val="0"/>
          <w:color w:val="FF0000"/>
        </w:rPr>
        <w:t>in</w:t>
      </w:r>
      <w:r w:rsidR="00B95DB2" w:rsidRPr="009A5185">
        <w:rPr>
          <w:rFonts w:cs="Arial"/>
          <w:b/>
          <w:snapToGrid w:val="0"/>
          <w:color w:val="FF0000"/>
        </w:rPr>
        <w:t xml:space="preserve"> question #2 </w:t>
      </w:r>
      <w:r w:rsidR="00EE2E5D" w:rsidRPr="00EE2E5D">
        <w:rPr>
          <w:rFonts w:cs="Arial"/>
          <w:b/>
          <w:snapToGrid w:val="0"/>
          <w:color w:val="FF0000"/>
        </w:rPr>
        <w:t xml:space="preserve">in Section 5A: Adult ICU Physician Staffing </w:t>
      </w:r>
      <w:r w:rsidR="00B95DB2" w:rsidRPr="009A5185">
        <w:rPr>
          <w:rFonts w:cs="Arial"/>
          <w:b/>
          <w:snapToGrid w:val="0"/>
          <w:color w:val="FF0000"/>
        </w:rPr>
        <w:t xml:space="preserve">and move on to </w:t>
      </w:r>
      <w:r w:rsidR="00EE2E5D" w:rsidRPr="00EE2E5D">
        <w:rPr>
          <w:rFonts w:cs="Arial"/>
          <w:b/>
          <w:snapToGrid w:val="0"/>
          <w:color w:val="FF0000"/>
        </w:rPr>
        <w:t>Section 5B: Pediatric ICU Physician Staffing. Hospitals that do not admit pediatric critical care patients or operate a pediatric general medical</w:t>
      </w:r>
      <w:r w:rsidR="00503728">
        <w:rPr>
          <w:rFonts w:cs="Arial"/>
          <w:b/>
          <w:snapToGrid w:val="0"/>
          <w:color w:val="FF0000"/>
        </w:rPr>
        <w:t xml:space="preserve">, surgical, </w:t>
      </w:r>
      <w:r w:rsidR="001A230D">
        <w:rPr>
          <w:rFonts w:cs="Arial"/>
          <w:b/>
          <w:snapToGrid w:val="0"/>
          <w:color w:val="FF0000"/>
        </w:rPr>
        <w:t>medical/</w:t>
      </w:r>
      <w:r w:rsidR="00EE2E5D" w:rsidRPr="00EE2E5D">
        <w:rPr>
          <w:rFonts w:cs="Arial"/>
          <w:b/>
          <w:snapToGrid w:val="0"/>
          <w:color w:val="FF0000"/>
        </w:rPr>
        <w:t>surgical</w:t>
      </w:r>
      <w:r w:rsidR="001A230D">
        <w:rPr>
          <w:rFonts w:cs="Arial"/>
          <w:b/>
          <w:snapToGrid w:val="0"/>
          <w:color w:val="FF0000"/>
        </w:rPr>
        <w:t xml:space="preserve">, </w:t>
      </w:r>
      <w:r w:rsidR="00EE2E5D" w:rsidRPr="00EE2E5D">
        <w:rPr>
          <w:rFonts w:cs="Arial"/>
          <w:b/>
          <w:snapToGrid w:val="0"/>
          <w:color w:val="FF0000"/>
        </w:rPr>
        <w:t xml:space="preserve">or neuro ICU should select “No” in question #2 in Section 5B: Pediatric ICU Physician Staffing and move on to </w:t>
      </w:r>
      <w:r w:rsidR="00E96FA8">
        <w:rPr>
          <w:rFonts w:cs="Arial"/>
          <w:b/>
          <w:snapToGrid w:val="0"/>
          <w:color w:val="FF0000"/>
        </w:rPr>
        <w:t>Section 5C: Nursing Workforce</w:t>
      </w:r>
      <w:r w:rsidR="00B95DB2" w:rsidRPr="009A5185">
        <w:rPr>
          <w:rFonts w:cs="Arial"/>
          <w:b/>
          <w:snapToGrid w:val="0"/>
          <w:color w:val="FF0000"/>
        </w:rPr>
        <w:t>.</w:t>
      </w:r>
      <w:r w:rsidR="00A4648E">
        <w:rPr>
          <w:rFonts w:cs="Arial"/>
          <w:b/>
          <w:snapToGrid w:val="0"/>
          <w:color w:val="FF0000"/>
        </w:rPr>
        <w:t xml:space="preserve"> </w:t>
      </w:r>
    </w:p>
    <w:p w14:paraId="36FEFD86" w14:textId="77777777" w:rsidR="0096619F" w:rsidRDefault="0096619F" w:rsidP="00B95DB2">
      <w:pPr>
        <w:pStyle w:val="BodyText3"/>
        <w:rPr>
          <w:rFonts w:cs="Arial"/>
          <w:b/>
          <w:snapToGrid w:val="0"/>
          <w:color w:val="FF0000"/>
        </w:rPr>
      </w:pPr>
    </w:p>
    <w:p w14:paraId="3B6586BC" w14:textId="2F680C7B" w:rsidR="00C41286" w:rsidRDefault="00A4648E" w:rsidP="00C41286">
      <w:pPr>
        <w:pStyle w:val="BodyText3"/>
        <w:rPr>
          <w:rFonts w:cs="Arial"/>
          <w:b/>
          <w:snapToGrid w:val="0"/>
          <w:color w:val="FF0000"/>
        </w:rPr>
      </w:pPr>
      <w:r>
        <w:rPr>
          <w:rFonts w:cs="Arial"/>
          <w:b/>
          <w:snapToGrid w:val="0"/>
          <w:color w:val="FF0000"/>
        </w:rPr>
        <w:t xml:space="preserve">Hospitals that regularly admit </w:t>
      </w:r>
      <w:r w:rsidR="003F5FAC">
        <w:rPr>
          <w:rFonts w:cs="Arial"/>
          <w:b/>
          <w:snapToGrid w:val="0"/>
          <w:color w:val="FF0000"/>
        </w:rPr>
        <w:t xml:space="preserve">adult </w:t>
      </w:r>
      <w:r w:rsidR="00E96FA8">
        <w:rPr>
          <w:rFonts w:cs="Arial"/>
          <w:b/>
          <w:snapToGrid w:val="0"/>
          <w:color w:val="FF0000"/>
        </w:rPr>
        <w:t xml:space="preserve">and/or pediatric </w:t>
      </w:r>
      <w:r>
        <w:rPr>
          <w:rFonts w:cs="Arial"/>
          <w:b/>
          <w:snapToGrid w:val="0"/>
          <w:color w:val="FF0000"/>
        </w:rPr>
        <w:t>critical care patients</w:t>
      </w:r>
      <w:r w:rsidR="00A14E5E">
        <w:rPr>
          <w:rFonts w:cs="Arial"/>
          <w:b/>
          <w:snapToGrid w:val="0"/>
          <w:color w:val="FF0000"/>
        </w:rPr>
        <w:t xml:space="preserve"> </w:t>
      </w:r>
      <w:r>
        <w:rPr>
          <w:rFonts w:cs="Arial"/>
          <w:b/>
          <w:snapToGrid w:val="0"/>
          <w:color w:val="FF0000"/>
        </w:rPr>
        <w:t xml:space="preserve">to </w:t>
      </w:r>
      <w:r w:rsidR="005A419B">
        <w:rPr>
          <w:rFonts w:cs="Arial"/>
          <w:b/>
          <w:snapToGrid w:val="0"/>
          <w:color w:val="FF0000"/>
        </w:rPr>
        <w:t xml:space="preserve">a </w:t>
      </w:r>
      <w:r>
        <w:rPr>
          <w:rFonts w:cs="Arial"/>
          <w:b/>
          <w:snapToGrid w:val="0"/>
          <w:color w:val="FF0000"/>
        </w:rPr>
        <w:t xml:space="preserve">mixed acuity unit, should </w:t>
      </w:r>
      <w:r w:rsidR="00144C7D">
        <w:rPr>
          <w:rFonts w:cs="Arial"/>
          <w:b/>
          <w:snapToGrid w:val="0"/>
          <w:color w:val="FF0000"/>
        </w:rPr>
        <w:t>select</w:t>
      </w:r>
      <w:r>
        <w:rPr>
          <w:rFonts w:cs="Arial"/>
          <w:b/>
          <w:snapToGrid w:val="0"/>
          <w:color w:val="FF0000"/>
        </w:rPr>
        <w:t xml:space="preserve"> “Yes” </w:t>
      </w:r>
      <w:r w:rsidR="00144C7D">
        <w:rPr>
          <w:rFonts w:cs="Arial"/>
          <w:b/>
          <w:snapToGrid w:val="0"/>
          <w:color w:val="FF0000"/>
        </w:rPr>
        <w:t>in</w:t>
      </w:r>
      <w:r>
        <w:rPr>
          <w:rFonts w:cs="Arial"/>
          <w:b/>
          <w:snapToGrid w:val="0"/>
          <w:color w:val="FF0000"/>
        </w:rPr>
        <w:t xml:space="preserve"> question #2</w:t>
      </w:r>
      <w:r w:rsidR="00A14E5E">
        <w:rPr>
          <w:rFonts w:cs="Arial"/>
          <w:b/>
          <w:snapToGrid w:val="0"/>
          <w:color w:val="FF0000"/>
        </w:rPr>
        <w:t xml:space="preserve"> </w:t>
      </w:r>
      <w:r w:rsidR="00637C4E" w:rsidRPr="00637C4E">
        <w:rPr>
          <w:rFonts w:cs="Arial"/>
          <w:b/>
          <w:snapToGrid w:val="0"/>
          <w:color w:val="FF0000"/>
        </w:rPr>
        <w:t>in Section 5A: Adult ICU Physician Staffing</w:t>
      </w:r>
      <w:r w:rsidR="00637C4E">
        <w:rPr>
          <w:rFonts w:cs="Arial"/>
          <w:b/>
          <w:snapToGrid w:val="0"/>
          <w:color w:val="FF0000"/>
        </w:rPr>
        <w:t xml:space="preserve"> </w:t>
      </w:r>
      <w:r w:rsidR="003A148C">
        <w:rPr>
          <w:rFonts w:cs="Arial"/>
          <w:b/>
          <w:snapToGrid w:val="0"/>
          <w:color w:val="FF0000"/>
        </w:rPr>
        <w:t>and/or Section 5B: Pediatric ICU Physician Staffin</w:t>
      </w:r>
      <w:r w:rsidR="00D7659E">
        <w:rPr>
          <w:rFonts w:cs="Arial"/>
          <w:b/>
          <w:snapToGrid w:val="0"/>
          <w:color w:val="FF0000"/>
        </w:rPr>
        <w:t>g</w:t>
      </w:r>
      <w:r w:rsidR="003A148C">
        <w:rPr>
          <w:rFonts w:cs="Arial"/>
          <w:b/>
          <w:snapToGrid w:val="0"/>
          <w:color w:val="FF0000"/>
        </w:rPr>
        <w:t xml:space="preserve"> </w:t>
      </w:r>
      <w:r w:rsidR="00A14E5E">
        <w:rPr>
          <w:rFonts w:cs="Arial"/>
          <w:b/>
          <w:snapToGrid w:val="0"/>
          <w:color w:val="FF0000"/>
        </w:rPr>
        <w:t xml:space="preserve">and respond to all applicable questions. </w:t>
      </w:r>
      <w:bookmarkStart w:id="402" w:name="_Hlk128396619"/>
      <w:r w:rsidR="007D09F9" w:rsidRPr="007D09F9">
        <w:rPr>
          <w:rFonts w:cs="Arial"/>
          <w:b/>
          <w:snapToGrid w:val="0"/>
          <w:color w:val="FF0000"/>
        </w:rPr>
        <w:t>The standard applies to all adult and pediatric general medical</w:t>
      </w:r>
      <w:r w:rsidR="004E58FF">
        <w:rPr>
          <w:rFonts w:cs="Arial"/>
          <w:b/>
          <w:snapToGrid w:val="0"/>
          <w:color w:val="FF0000"/>
        </w:rPr>
        <w:t xml:space="preserve">, </w:t>
      </w:r>
      <w:r w:rsidR="007D09F9" w:rsidRPr="007D09F9">
        <w:rPr>
          <w:rFonts w:cs="Arial"/>
          <w:b/>
          <w:snapToGrid w:val="0"/>
          <w:color w:val="FF0000"/>
        </w:rPr>
        <w:t>surgical</w:t>
      </w:r>
      <w:r w:rsidR="006C7E4A">
        <w:rPr>
          <w:rFonts w:cs="Arial"/>
          <w:b/>
          <w:snapToGrid w:val="0"/>
          <w:color w:val="FF0000"/>
        </w:rPr>
        <w:t>, medical/surgical</w:t>
      </w:r>
      <w:r w:rsidR="005E3016">
        <w:rPr>
          <w:rFonts w:cs="Arial"/>
          <w:b/>
          <w:snapToGrid w:val="0"/>
          <w:color w:val="FF0000"/>
        </w:rPr>
        <w:t>,</w:t>
      </w:r>
      <w:r w:rsidR="007D09F9" w:rsidRPr="007D09F9">
        <w:rPr>
          <w:rFonts w:cs="Arial"/>
          <w:b/>
          <w:snapToGrid w:val="0"/>
          <w:color w:val="FF0000"/>
        </w:rPr>
        <w:t xml:space="preserve"> and neuro critical care patients (medical and surgical), including those patients in mixed acuity units.</w:t>
      </w:r>
      <w:bookmarkEnd w:id="402"/>
    </w:p>
    <w:p w14:paraId="4CA7CBFA" w14:textId="77777777" w:rsidR="00D7659E" w:rsidRDefault="00D7659E" w:rsidP="00C41286">
      <w:pPr>
        <w:pStyle w:val="BodyText3"/>
        <w:rPr>
          <w:rFonts w:cs="Arial"/>
          <w:b/>
          <w:snapToGrid w:val="0"/>
          <w:color w:val="FF0000"/>
        </w:rPr>
      </w:pPr>
    </w:p>
    <w:p w14:paraId="569D9EB6" w14:textId="6F20098A" w:rsidR="00995B9D" w:rsidRPr="005A371D" w:rsidRDefault="00995B9D" w:rsidP="00995B9D">
      <w:pPr>
        <w:pStyle w:val="EndnoteText"/>
        <w:rPr>
          <w:rFonts w:cs="Arial"/>
          <w:b/>
          <w:snapToGrid w:val="0"/>
          <w:color w:val="FF0000"/>
        </w:rPr>
      </w:pPr>
      <w:r w:rsidRPr="005A371D">
        <w:rPr>
          <w:rFonts w:cs="Arial"/>
          <w:b/>
          <w:snapToGrid w:val="0"/>
          <w:color w:val="FF0000"/>
        </w:rPr>
        <w:t xml:space="preserve">For hospitals that have more than one type of ICU that applies to either Section 5A or 5B included in the ICU Physician Staffing standard, where the ICU physician staffing structure may differ among </w:t>
      </w:r>
      <w:r w:rsidR="00096D83">
        <w:rPr>
          <w:rFonts w:cs="Arial"/>
          <w:b/>
          <w:snapToGrid w:val="0"/>
          <w:color w:val="FF0000"/>
        </w:rPr>
        <w:t>units</w:t>
      </w:r>
      <w:r w:rsidRPr="005A371D">
        <w:rPr>
          <w:rFonts w:cs="Arial"/>
          <w:b/>
          <w:snapToGrid w:val="0"/>
          <w:color w:val="FF0000"/>
        </w:rPr>
        <w:t>, hospitals are instructed to report on the ICU with the lowest level of staffing by physicians certified in critical care medicine when responding to questions #1-15 in Section 5A: Adult ICU Physician Staffing and Section 5B: Pediatric ICU Physician Staffing. For example, if the adult</w:t>
      </w:r>
      <w:r w:rsidR="0078138B">
        <w:rPr>
          <w:rFonts w:cs="Arial"/>
          <w:b/>
          <w:snapToGrid w:val="0"/>
          <w:color w:val="FF0000"/>
        </w:rPr>
        <w:t xml:space="preserve"> neuro</w:t>
      </w:r>
      <w:r w:rsidRPr="005A371D">
        <w:rPr>
          <w:rFonts w:cs="Arial"/>
          <w:b/>
          <w:snapToGrid w:val="0"/>
          <w:color w:val="FF0000"/>
        </w:rPr>
        <w:t xml:space="preserve"> ICU is staffed by intensivists at least 8 hours/day, 7 days/week, but the adult surgical ICU is not, the hospital would respond to questions #1-15 in Section 5A based on the adult surgical ICU.</w:t>
      </w:r>
    </w:p>
    <w:p w14:paraId="590C9318" w14:textId="77777777" w:rsidR="00D7659E" w:rsidRDefault="00D7659E" w:rsidP="00C41286">
      <w:pPr>
        <w:pStyle w:val="BodyText3"/>
        <w:rPr>
          <w:rFonts w:cs="Arial"/>
          <w:b/>
          <w:snapToGrid w:val="0"/>
          <w:color w:val="FF0000"/>
        </w:rPr>
      </w:pPr>
    </w:p>
    <w:p w14:paraId="2B54BDEF" w14:textId="2F2D8F9A" w:rsidR="00652583" w:rsidRPr="00C41286" w:rsidRDefault="00652583" w:rsidP="00C41286">
      <w:pPr>
        <w:pStyle w:val="BodyText3"/>
        <w:rPr>
          <w:rFonts w:cs="Arial"/>
          <w:b/>
          <w:snapToGrid w:val="0"/>
          <w:color w:val="FF0000"/>
        </w:rPr>
      </w:pPr>
      <w:r w:rsidRPr="009A5185">
        <w:rPr>
          <w:rFonts w:cs="Arial"/>
          <w:snapToGrid w:val="0"/>
        </w:rPr>
        <w:t xml:space="preserve">Section 5 includes questions about the </w:t>
      </w:r>
      <w:r w:rsidR="00D749A5">
        <w:rPr>
          <w:rFonts w:cs="Arial"/>
          <w:snapToGrid w:val="0"/>
        </w:rPr>
        <w:t xml:space="preserve">management of critical care patients and the </w:t>
      </w:r>
      <w:r w:rsidRPr="009A5185">
        <w:rPr>
          <w:rFonts w:cs="Arial"/>
          <w:snapToGrid w:val="0"/>
        </w:rPr>
        <w:t xml:space="preserve">staffing structure of your hospital’s </w:t>
      </w:r>
      <w:r w:rsidR="00450EEA">
        <w:rPr>
          <w:rFonts w:cs="Arial"/>
          <w:snapToGrid w:val="0"/>
        </w:rPr>
        <w:t xml:space="preserve">adult and </w:t>
      </w:r>
      <w:r w:rsidRPr="009A5185">
        <w:rPr>
          <w:rFonts w:cs="Arial"/>
          <w:snapToGrid w:val="0"/>
        </w:rPr>
        <w:t>pediatric general medical</w:t>
      </w:r>
      <w:r w:rsidR="00F37D41">
        <w:rPr>
          <w:rFonts w:cs="Arial"/>
          <w:snapToGrid w:val="0"/>
        </w:rPr>
        <w:t>, surgical, medical/</w:t>
      </w:r>
      <w:r w:rsidRPr="009A5185">
        <w:rPr>
          <w:rFonts w:cs="Arial"/>
          <w:snapToGrid w:val="0"/>
        </w:rPr>
        <w:t>surgical</w:t>
      </w:r>
      <w:r w:rsidR="00F37D41">
        <w:rPr>
          <w:rFonts w:cs="Arial"/>
          <w:snapToGrid w:val="0"/>
        </w:rPr>
        <w:t xml:space="preserve">, </w:t>
      </w:r>
      <w:r w:rsidRPr="009A5185">
        <w:rPr>
          <w:rFonts w:cs="Arial"/>
          <w:snapToGrid w:val="0"/>
        </w:rPr>
        <w:t>and neuro ICUs</w:t>
      </w:r>
      <w:r w:rsidR="0085208E">
        <w:rPr>
          <w:rFonts w:cs="Arial"/>
          <w:snapToGrid w:val="0"/>
        </w:rPr>
        <w:t xml:space="preserve">, and </w:t>
      </w:r>
      <w:r w:rsidR="0085208E" w:rsidRPr="00BD0565">
        <w:rPr>
          <w:rFonts w:cs="Arial"/>
          <w:snapToGrid w:val="0"/>
        </w:rPr>
        <w:t>questions about your hospital’s nursing staffing</w:t>
      </w:r>
      <w:r w:rsidR="00C75C87">
        <w:rPr>
          <w:rFonts w:cs="Arial"/>
          <w:snapToGrid w:val="0"/>
        </w:rPr>
        <w:t>.</w:t>
      </w:r>
    </w:p>
    <w:p w14:paraId="0CA39CD7" w14:textId="77777777" w:rsidR="00DD2598" w:rsidRPr="009A5185" w:rsidRDefault="00DD2598">
      <w:pPr>
        <w:pStyle w:val="BodyText3"/>
        <w:rPr>
          <w:rFonts w:cs="Arial"/>
          <w:b/>
        </w:rPr>
      </w:pPr>
    </w:p>
    <w:p w14:paraId="128D1B96" w14:textId="2F8E9A9D" w:rsidR="00C43880" w:rsidRPr="009A5185" w:rsidRDefault="00F20FF5">
      <w:pPr>
        <w:pStyle w:val="BodyText3"/>
        <w:rPr>
          <w:rFonts w:cs="Arial"/>
        </w:rPr>
      </w:pPr>
      <w:r>
        <w:rPr>
          <w:rFonts w:cs="Arial"/>
          <w:b/>
        </w:rPr>
        <w:t xml:space="preserve">Each </w:t>
      </w:r>
      <w:r w:rsidRPr="009A5185">
        <w:rPr>
          <w:rFonts w:cs="Arial"/>
          <w:b/>
        </w:rPr>
        <w:t xml:space="preserve">hospital </w:t>
      </w:r>
      <w:r>
        <w:rPr>
          <w:rFonts w:cs="Arial"/>
          <w:b/>
        </w:rPr>
        <w:t>achieving</w:t>
      </w:r>
      <w:r w:rsidRPr="009A5185">
        <w:rPr>
          <w:rFonts w:cs="Arial"/>
          <w:b/>
        </w:rPr>
        <w:t xml:space="preserve"> th</w:t>
      </w:r>
      <w:r>
        <w:rPr>
          <w:rFonts w:cs="Arial"/>
          <w:b/>
        </w:rPr>
        <w:t>e</w:t>
      </w:r>
      <w:r w:rsidRPr="009A5185">
        <w:rPr>
          <w:rFonts w:cs="Arial"/>
          <w:b/>
        </w:rPr>
        <w:t xml:space="preserve"> standard</w:t>
      </w:r>
      <w:r w:rsidR="00C43880" w:rsidRPr="009A5185">
        <w:rPr>
          <w:rFonts w:cs="Arial"/>
          <w:b/>
        </w:rPr>
        <w:t xml:space="preserve"> </w:t>
      </w:r>
      <w:r>
        <w:rPr>
          <w:rFonts w:cs="Arial"/>
          <w:b/>
        </w:rPr>
        <w:t xml:space="preserve">for </w:t>
      </w:r>
      <w:r w:rsidR="0080750A">
        <w:rPr>
          <w:rFonts w:cs="Arial"/>
          <w:b/>
        </w:rPr>
        <w:t xml:space="preserve">Adult </w:t>
      </w:r>
      <w:r w:rsidR="00F81D3E">
        <w:rPr>
          <w:rFonts w:cs="Arial"/>
          <w:b/>
        </w:rPr>
        <w:t>and</w:t>
      </w:r>
      <w:r w:rsidR="003A148C">
        <w:rPr>
          <w:rFonts w:cs="Arial"/>
          <w:b/>
        </w:rPr>
        <w:t>/or</w:t>
      </w:r>
      <w:r w:rsidR="00F81D3E">
        <w:rPr>
          <w:rFonts w:cs="Arial"/>
          <w:b/>
        </w:rPr>
        <w:t xml:space="preserve"> Pediatric </w:t>
      </w:r>
      <w:r>
        <w:rPr>
          <w:rFonts w:cs="Arial"/>
          <w:b/>
        </w:rPr>
        <w:t xml:space="preserve">ICU Physician Staffing </w:t>
      </w:r>
      <w:r w:rsidR="00C43880" w:rsidRPr="009A5185">
        <w:rPr>
          <w:rFonts w:cs="Arial"/>
          <w:b/>
        </w:rPr>
        <w:t>assures that</w:t>
      </w:r>
      <w:r w:rsidR="00C43880" w:rsidRPr="009A5185">
        <w:rPr>
          <w:rFonts w:cs="Arial"/>
        </w:rPr>
        <w:t>:</w:t>
      </w:r>
    </w:p>
    <w:p w14:paraId="4A67F4A7" w14:textId="0EFEAE2B" w:rsidR="008910AA" w:rsidRPr="009A5185" w:rsidRDefault="00C43880">
      <w:pPr>
        <w:pStyle w:val="BodyText3"/>
        <w:rPr>
          <w:rFonts w:cs="Arial"/>
        </w:rPr>
      </w:pPr>
      <w:hyperlink w:anchor="Endnote22_CCPatients" w:history="1">
        <w:r w:rsidRPr="009A5185">
          <w:rPr>
            <w:rStyle w:val="Hyperlink"/>
            <w:rFonts w:cs="Arial"/>
          </w:rPr>
          <w:t>A</w:t>
        </w:r>
        <w:r w:rsidR="008910AA" w:rsidRPr="009A5185">
          <w:rPr>
            <w:rStyle w:val="Hyperlink"/>
            <w:rFonts w:cs="Arial"/>
          </w:rPr>
          <w:t xml:space="preserve">ll </w:t>
        </w:r>
        <w:r w:rsidR="006A0604" w:rsidRPr="009A5185">
          <w:rPr>
            <w:rStyle w:val="Hyperlink"/>
            <w:rFonts w:cs="Arial"/>
          </w:rPr>
          <w:t xml:space="preserve">critical care </w:t>
        </w:r>
        <w:r w:rsidR="008910AA" w:rsidRPr="009A5185">
          <w:rPr>
            <w:rStyle w:val="Hyperlink"/>
            <w:rFonts w:cs="Arial"/>
          </w:rPr>
          <w:t>patients</w:t>
        </w:r>
      </w:hyperlink>
      <w:bookmarkStart w:id="403" w:name="_Ref534212310"/>
      <w:r w:rsidR="000F0582">
        <w:rPr>
          <w:rStyle w:val="Hyperlink"/>
          <w:rFonts w:ascii="ZWAdobeF" w:hAnsi="ZWAdobeF" w:cs="ZWAdobeF"/>
          <w:color w:val="auto"/>
          <w:sz w:val="2"/>
          <w:szCs w:val="2"/>
          <w:u w:val="none"/>
        </w:rPr>
        <w:t>32F</w:t>
      </w:r>
      <w:r w:rsidR="00BF053F">
        <w:rPr>
          <w:rStyle w:val="Hyperlink"/>
          <w:rFonts w:ascii="ZWAdobeF" w:hAnsi="ZWAdobeF" w:cs="ZWAdobeF"/>
          <w:color w:val="auto"/>
          <w:sz w:val="2"/>
          <w:szCs w:val="2"/>
          <w:u w:val="none"/>
        </w:rPr>
        <w:t>33F</w:t>
      </w:r>
      <w:r w:rsidR="004C7557">
        <w:rPr>
          <w:rStyle w:val="Hyperlink"/>
          <w:rFonts w:ascii="ZWAdobeF" w:hAnsi="ZWAdobeF" w:cs="ZWAdobeF"/>
          <w:color w:val="auto"/>
          <w:sz w:val="2"/>
          <w:szCs w:val="2"/>
          <w:u w:val="none"/>
        </w:rPr>
        <w:t>33F</w:t>
      </w:r>
      <w:r w:rsidR="00C2087D">
        <w:rPr>
          <w:rStyle w:val="Hyperlink"/>
          <w:rFonts w:ascii="ZWAdobeF" w:hAnsi="ZWAdobeF" w:cs="ZWAdobeF"/>
          <w:color w:val="auto"/>
          <w:sz w:val="2"/>
          <w:szCs w:val="2"/>
          <w:u w:val="none"/>
        </w:rPr>
        <w:t>33F</w:t>
      </w:r>
      <w:r w:rsidR="00B55C41">
        <w:rPr>
          <w:rStyle w:val="Hyperlink"/>
          <w:rFonts w:ascii="ZWAdobeF" w:hAnsi="ZWAdobeF" w:cs="ZWAdobeF"/>
          <w:color w:val="auto"/>
          <w:sz w:val="2"/>
          <w:szCs w:val="2"/>
          <w:u w:val="none"/>
        </w:rPr>
        <w:t>33F</w:t>
      </w:r>
      <w:r w:rsidR="006255A6">
        <w:rPr>
          <w:rStyle w:val="Hyperlink"/>
          <w:rFonts w:ascii="ZWAdobeF" w:hAnsi="ZWAdobeF" w:cs="ZWAdobeF"/>
          <w:color w:val="auto"/>
          <w:sz w:val="2"/>
          <w:szCs w:val="2"/>
          <w:u w:val="none"/>
        </w:rPr>
        <w:t>33F</w:t>
      </w:r>
      <w:r w:rsidR="00E453C7">
        <w:rPr>
          <w:rStyle w:val="Hyperlink"/>
          <w:rFonts w:ascii="ZWAdobeF" w:hAnsi="ZWAdobeF" w:cs="ZWAdobeF"/>
          <w:color w:val="auto"/>
          <w:sz w:val="2"/>
          <w:szCs w:val="2"/>
          <w:u w:val="none"/>
        </w:rPr>
        <w:t>33F</w:t>
      </w:r>
      <w:r w:rsidR="00953060">
        <w:rPr>
          <w:rStyle w:val="Hyperlink"/>
          <w:rFonts w:ascii="ZWAdobeF" w:hAnsi="ZWAdobeF" w:cs="ZWAdobeF"/>
          <w:color w:val="auto"/>
          <w:sz w:val="2"/>
          <w:szCs w:val="2"/>
          <w:u w:val="none"/>
        </w:rPr>
        <w:t>33F</w:t>
      </w:r>
      <w:r w:rsidR="00DD04D6">
        <w:rPr>
          <w:rStyle w:val="Hyperlink"/>
          <w:rFonts w:ascii="ZWAdobeF" w:hAnsi="ZWAdobeF" w:cs="ZWAdobeF"/>
          <w:color w:val="auto"/>
          <w:sz w:val="2"/>
          <w:szCs w:val="2"/>
          <w:u w:val="none"/>
        </w:rPr>
        <w:t>33F</w:t>
      </w:r>
      <w:r w:rsidR="00385598" w:rsidRPr="009A5185">
        <w:rPr>
          <w:rStyle w:val="EndnoteReference"/>
          <w:rFonts w:cs="Arial"/>
        </w:rPr>
        <w:endnoteReference w:id="35"/>
      </w:r>
      <w:bookmarkEnd w:id="403"/>
      <w:r w:rsidR="008910AA" w:rsidRPr="009A5185">
        <w:rPr>
          <w:rFonts w:cs="Arial"/>
        </w:rPr>
        <w:t xml:space="preserve"> in its</w:t>
      </w:r>
      <w:hyperlink w:anchor="generalmedicalsurgicalandneuroicu" w:history="1">
        <w:r w:rsidR="008910AA" w:rsidRPr="00BC45DC">
          <w:rPr>
            <w:rStyle w:val="Hyperlink"/>
            <w:rFonts w:cs="Arial"/>
            <w:u w:val="none"/>
          </w:rPr>
          <w:t xml:space="preserve"> </w:t>
        </w:r>
        <w:r w:rsidR="00B93A35">
          <w:rPr>
            <w:rStyle w:val="Hyperlink"/>
            <w:rFonts w:cs="Arial"/>
          </w:rPr>
          <w:t>G</w:t>
        </w:r>
        <w:r w:rsidR="008910AA" w:rsidRPr="009A5185">
          <w:rPr>
            <w:rStyle w:val="Hyperlink"/>
            <w:rFonts w:cs="Arial"/>
          </w:rPr>
          <w:t xml:space="preserve">eneral </w:t>
        </w:r>
        <w:r w:rsidR="00B93A35">
          <w:rPr>
            <w:rStyle w:val="Hyperlink"/>
            <w:rFonts w:cs="Arial"/>
          </w:rPr>
          <w:t>M</w:t>
        </w:r>
        <w:r w:rsidR="008910AA" w:rsidRPr="009A5185">
          <w:rPr>
            <w:rStyle w:val="Hyperlink"/>
            <w:rFonts w:cs="Arial"/>
          </w:rPr>
          <w:t>edical</w:t>
        </w:r>
        <w:r w:rsidR="00505652">
          <w:rPr>
            <w:rStyle w:val="Hyperlink"/>
            <w:rFonts w:cs="Arial"/>
          </w:rPr>
          <w:t>, Surgical, Medical/</w:t>
        </w:r>
        <w:r w:rsidR="00B93A35">
          <w:rPr>
            <w:rStyle w:val="Hyperlink"/>
            <w:rFonts w:cs="Arial"/>
          </w:rPr>
          <w:t>S</w:t>
        </w:r>
        <w:r w:rsidR="008910AA" w:rsidRPr="009A5185">
          <w:rPr>
            <w:rStyle w:val="Hyperlink"/>
            <w:rFonts w:cs="Arial"/>
          </w:rPr>
          <w:t>urgical</w:t>
        </w:r>
        <w:r w:rsidR="001F39DB">
          <w:rPr>
            <w:rStyle w:val="Hyperlink"/>
            <w:rFonts w:cs="Arial"/>
          </w:rPr>
          <w:t xml:space="preserve">, </w:t>
        </w:r>
        <w:r w:rsidR="008910AA" w:rsidRPr="009A5185">
          <w:rPr>
            <w:rStyle w:val="Hyperlink"/>
            <w:rFonts w:cs="Arial"/>
          </w:rPr>
          <w:t xml:space="preserve">and </w:t>
        </w:r>
        <w:r w:rsidR="00B93A35">
          <w:rPr>
            <w:rStyle w:val="Hyperlink"/>
            <w:rFonts w:cs="Arial"/>
          </w:rPr>
          <w:t>N</w:t>
        </w:r>
        <w:r w:rsidR="008910AA" w:rsidRPr="009A5185">
          <w:rPr>
            <w:rStyle w:val="Hyperlink"/>
            <w:rFonts w:cs="Arial"/>
          </w:rPr>
          <w:t>euro ICUs</w:t>
        </w:r>
      </w:hyperlink>
      <w:r w:rsidR="00F07328" w:rsidRPr="00B93A35">
        <w:rPr>
          <w:rStyle w:val="Hyperlink"/>
          <w:rFonts w:cs="Arial"/>
          <w:color w:val="auto"/>
          <w:u w:val="none"/>
          <w:vertAlign w:val="superscript"/>
        </w:rPr>
        <w:t>14</w:t>
      </w:r>
      <w:r w:rsidR="00F07328" w:rsidRPr="00B93A35">
        <w:rPr>
          <w:rStyle w:val="Hyperlink"/>
          <w:rFonts w:cs="Arial"/>
          <w:color w:val="auto"/>
          <w:u w:val="none"/>
        </w:rPr>
        <w:t xml:space="preserve"> </w:t>
      </w:r>
      <w:r w:rsidR="008910AA" w:rsidRPr="009A5185">
        <w:rPr>
          <w:rFonts w:cs="Arial"/>
        </w:rPr>
        <w:t xml:space="preserve">are </w:t>
      </w:r>
      <w:hyperlink w:anchor="Endnote24_Manage" w:history="1">
        <w:r w:rsidR="008910AA" w:rsidRPr="009A5185">
          <w:rPr>
            <w:rStyle w:val="Hyperlink"/>
            <w:rFonts w:cs="Arial"/>
          </w:rPr>
          <w:t>managed or co-managed</w:t>
        </w:r>
      </w:hyperlink>
      <w:bookmarkStart w:id="405" w:name="_Ref91167015"/>
      <w:r w:rsidR="000F0582">
        <w:rPr>
          <w:rStyle w:val="Hyperlink"/>
          <w:rFonts w:ascii="ZWAdobeF" w:hAnsi="ZWAdobeF" w:cs="ZWAdobeF"/>
          <w:color w:val="auto"/>
          <w:sz w:val="2"/>
          <w:szCs w:val="2"/>
          <w:u w:val="none"/>
        </w:rPr>
        <w:t>34F</w:t>
      </w:r>
      <w:r w:rsidR="00BF053F">
        <w:rPr>
          <w:rStyle w:val="Hyperlink"/>
          <w:rFonts w:ascii="ZWAdobeF" w:hAnsi="ZWAdobeF" w:cs="ZWAdobeF"/>
          <w:color w:val="auto"/>
          <w:sz w:val="2"/>
          <w:szCs w:val="2"/>
          <w:u w:val="none"/>
        </w:rPr>
        <w:t>34F</w:t>
      </w:r>
      <w:r w:rsidR="004C7557">
        <w:rPr>
          <w:rStyle w:val="Hyperlink"/>
          <w:rFonts w:ascii="ZWAdobeF" w:hAnsi="ZWAdobeF" w:cs="ZWAdobeF"/>
          <w:color w:val="auto"/>
          <w:sz w:val="2"/>
          <w:szCs w:val="2"/>
          <w:u w:val="none"/>
        </w:rPr>
        <w:t>34F</w:t>
      </w:r>
      <w:r w:rsidR="00C2087D">
        <w:rPr>
          <w:rStyle w:val="Hyperlink"/>
          <w:rFonts w:ascii="ZWAdobeF" w:hAnsi="ZWAdobeF" w:cs="ZWAdobeF"/>
          <w:color w:val="auto"/>
          <w:sz w:val="2"/>
          <w:szCs w:val="2"/>
          <w:u w:val="none"/>
        </w:rPr>
        <w:t>34F</w:t>
      </w:r>
      <w:r w:rsidR="00B55C41">
        <w:rPr>
          <w:rStyle w:val="Hyperlink"/>
          <w:rFonts w:ascii="ZWAdobeF" w:hAnsi="ZWAdobeF" w:cs="ZWAdobeF"/>
          <w:color w:val="auto"/>
          <w:sz w:val="2"/>
          <w:szCs w:val="2"/>
          <w:u w:val="none"/>
        </w:rPr>
        <w:t>34F</w:t>
      </w:r>
      <w:r w:rsidR="006255A6">
        <w:rPr>
          <w:rStyle w:val="Hyperlink"/>
          <w:rFonts w:ascii="ZWAdobeF" w:hAnsi="ZWAdobeF" w:cs="ZWAdobeF"/>
          <w:color w:val="auto"/>
          <w:sz w:val="2"/>
          <w:szCs w:val="2"/>
          <w:u w:val="none"/>
        </w:rPr>
        <w:t>34F</w:t>
      </w:r>
      <w:r w:rsidR="00E453C7">
        <w:rPr>
          <w:rStyle w:val="Hyperlink"/>
          <w:rFonts w:ascii="ZWAdobeF" w:hAnsi="ZWAdobeF" w:cs="ZWAdobeF"/>
          <w:color w:val="auto"/>
          <w:sz w:val="2"/>
          <w:szCs w:val="2"/>
          <w:u w:val="none"/>
        </w:rPr>
        <w:t>34F</w:t>
      </w:r>
      <w:r w:rsidR="00953060">
        <w:rPr>
          <w:rStyle w:val="Hyperlink"/>
          <w:rFonts w:ascii="ZWAdobeF" w:hAnsi="ZWAdobeF" w:cs="ZWAdobeF"/>
          <w:color w:val="auto"/>
          <w:sz w:val="2"/>
          <w:szCs w:val="2"/>
          <w:u w:val="none"/>
        </w:rPr>
        <w:t>34F</w:t>
      </w:r>
      <w:r w:rsidR="00DD04D6">
        <w:rPr>
          <w:rStyle w:val="Hyperlink"/>
          <w:rFonts w:ascii="ZWAdobeF" w:hAnsi="ZWAdobeF" w:cs="ZWAdobeF"/>
          <w:color w:val="auto"/>
          <w:sz w:val="2"/>
          <w:szCs w:val="2"/>
          <w:u w:val="none"/>
        </w:rPr>
        <w:t>34F</w:t>
      </w:r>
      <w:r w:rsidR="008910AA" w:rsidRPr="009A5185">
        <w:rPr>
          <w:rStyle w:val="EndnoteReference"/>
          <w:rFonts w:cs="Arial"/>
          <w:color w:val="auto"/>
        </w:rPr>
        <w:endnoteReference w:id="36"/>
      </w:r>
      <w:bookmarkEnd w:id="405"/>
      <w:r w:rsidR="008910AA" w:rsidRPr="009A5185">
        <w:rPr>
          <w:rFonts w:cs="Arial"/>
        </w:rPr>
        <w:t xml:space="preserve"> by </w:t>
      </w:r>
      <w:r w:rsidR="008910AA" w:rsidRPr="009A5185">
        <w:rPr>
          <w:rFonts w:cs="Arial"/>
          <w:color w:val="auto"/>
        </w:rPr>
        <w:t xml:space="preserve">physicians </w:t>
      </w:r>
      <w:hyperlink w:anchor="Endnote25_Certified" w:history="1">
        <w:r w:rsidR="008910AA" w:rsidRPr="009A5185">
          <w:rPr>
            <w:rStyle w:val="Hyperlink"/>
            <w:rFonts w:cs="Arial"/>
          </w:rPr>
          <w:t>certified in critical care medicine</w:t>
        </w:r>
      </w:hyperlink>
      <w:bookmarkStart w:id="407" w:name="_Ref534212273"/>
      <w:r w:rsidR="000F0582">
        <w:rPr>
          <w:rStyle w:val="Hyperlink"/>
          <w:rFonts w:ascii="ZWAdobeF" w:hAnsi="ZWAdobeF" w:cs="ZWAdobeF"/>
          <w:color w:val="auto"/>
          <w:sz w:val="2"/>
          <w:szCs w:val="2"/>
          <w:u w:val="none"/>
        </w:rPr>
        <w:t>35F</w:t>
      </w:r>
      <w:r w:rsidR="00BF053F">
        <w:rPr>
          <w:rStyle w:val="Hyperlink"/>
          <w:rFonts w:ascii="ZWAdobeF" w:hAnsi="ZWAdobeF" w:cs="ZWAdobeF"/>
          <w:color w:val="auto"/>
          <w:sz w:val="2"/>
          <w:szCs w:val="2"/>
          <w:u w:val="none"/>
        </w:rPr>
        <w:t>35F</w:t>
      </w:r>
      <w:r w:rsidR="004C7557">
        <w:rPr>
          <w:rStyle w:val="Hyperlink"/>
          <w:rFonts w:ascii="ZWAdobeF" w:hAnsi="ZWAdobeF" w:cs="ZWAdobeF"/>
          <w:color w:val="auto"/>
          <w:sz w:val="2"/>
          <w:szCs w:val="2"/>
          <w:u w:val="none"/>
        </w:rPr>
        <w:t>35F</w:t>
      </w:r>
      <w:r w:rsidR="00C2087D">
        <w:rPr>
          <w:rStyle w:val="Hyperlink"/>
          <w:rFonts w:ascii="ZWAdobeF" w:hAnsi="ZWAdobeF" w:cs="ZWAdobeF"/>
          <w:color w:val="auto"/>
          <w:sz w:val="2"/>
          <w:szCs w:val="2"/>
          <w:u w:val="none"/>
        </w:rPr>
        <w:t>35F</w:t>
      </w:r>
      <w:r w:rsidR="00B55C41">
        <w:rPr>
          <w:rStyle w:val="Hyperlink"/>
          <w:rFonts w:ascii="ZWAdobeF" w:hAnsi="ZWAdobeF" w:cs="ZWAdobeF"/>
          <w:color w:val="auto"/>
          <w:sz w:val="2"/>
          <w:szCs w:val="2"/>
          <w:u w:val="none"/>
        </w:rPr>
        <w:t>35F</w:t>
      </w:r>
      <w:r w:rsidR="006255A6">
        <w:rPr>
          <w:rStyle w:val="Hyperlink"/>
          <w:rFonts w:ascii="ZWAdobeF" w:hAnsi="ZWAdobeF" w:cs="ZWAdobeF"/>
          <w:color w:val="auto"/>
          <w:sz w:val="2"/>
          <w:szCs w:val="2"/>
          <w:u w:val="none"/>
        </w:rPr>
        <w:t>35F</w:t>
      </w:r>
      <w:r w:rsidR="00E453C7">
        <w:rPr>
          <w:rStyle w:val="Hyperlink"/>
          <w:rFonts w:ascii="ZWAdobeF" w:hAnsi="ZWAdobeF" w:cs="ZWAdobeF"/>
          <w:color w:val="auto"/>
          <w:sz w:val="2"/>
          <w:szCs w:val="2"/>
          <w:u w:val="none"/>
        </w:rPr>
        <w:t>35F</w:t>
      </w:r>
      <w:r w:rsidR="00953060">
        <w:rPr>
          <w:rStyle w:val="Hyperlink"/>
          <w:rFonts w:ascii="ZWAdobeF" w:hAnsi="ZWAdobeF" w:cs="ZWAdobeF"/>
          <w:color w:val="auto"/>
          <w:sz w:val="2"/>
          <w:szCs w:val="2"/>
          <w:u w:val="none"/>
        </w:rPr>
        <w:t>35F</w:t>
      </w:r>
      <w:r w:rsidR="00DD04D6">
        <w:rPr>
          <w:rStyle w:val="Hyperlink"/>
          <w:rFonts w:ascii="ZWAdobeF" w:hAnsi="ZWAdobeF" w:cs="ZWAdobeF"/>
          <w:color w:val="auto"/>
          <w:sz w:val="2"/>
          <w:szCs w:val="2"/>
          <w:u w:val="none"/>
        </w:rPr>
        <w:t>35F</w:t>
      </w:r>
      <w:r w:rsidR="008910AA" w:rsidRPr="009A5185">
        <w:rPr>
          <w:rStyle w:val="EndnoteReference"/>
          <w:rFonts w:cs="Arial"/>
        </w:rPr>
        <w:endnoteReference w:id="37"/>
      </w:r>
      <w:bookmarkEnd w:id="407"/>
      <w:r w:rsidR="008910AA" w:rsidRPr="009A5185">
        <w:rPr>
          <w:rFonts w:cs="Arial"/>
        </w:rPr>
        <w:t xml:space="preserve"> who:</w:t>
      </w:r>
    </w:p>
    <w:p w14:paraId="4BF1F601" w14:textId="5B6C5507" w:rsidR="005A5A08" w:rsidRDefault="008910AA">
      <w:pPr>
        <w:numPr>
          <w:ilvl w:val="0"/>
          <w:numId w:val="4"/>
        </w:numPr>
        <w:rPr>
          <w:rFonts w:cs="Arial"/>
          <w:snapToGrid w:val="0"/>
          <w:color w:val="000000"/>
        </w:rPr>
      </w:pPr>
      <w:r w:rsidRPr="009A5185">
        <w:rPr>
          <w:rFonts w:cs="Arial"/>
          <w:snapToGrid w:val="0"/>
          <w:color w:val="000000"/>
        </w:rPr>
        <w:t xml:space="preserve">Are </w:t>
      </w:r>
      <w:hyperlink w:anchor="Endnote26_Present" w:history="1">
        <w:r w:rsidRPr="009A5185">
          <w:rPr>
            <w:rStyle w:val="Hyperlink"/>
            <w:rFonts w:cs="Arial"/>
            <w:snapToGrid w:val="0"/>
          </w:rPr>
          <w:t>ordinarily present in the ICU</w:t>
        </w:r>
      </w:hyperlink>
      <w:bookmarkStart w:id="409" w:name="_Ref91166304"/>
      <w:r w:rsidR="000F0582">
        <w:rPr>
          <w:rStyle w:val="Hyperlink"/>
          <w:rFonts w:ascii="ZWAdobeF" w:hAnsi="ZWAdobeF" w:cs="ZWAdobeF"/>
          <w:snapToGrid w:val="0"/>
          <w:color w:val="auto"/>
          <w:sz w:val="2"/>
          <w:szCs w:val="2"/>
          <w:u w:val="none"/>
        </w:rPr>
        <w:t>36F</w:t>
      </w:r>
      <w:r w:rsidR="00BF053F">
        <w:rPr>
          <w:rStyle w:val="Hyperlink"/>
          <w:rFonts w:ascii="ZWAdobeF" w:hAnsi="ZWAdobeF" w:cs="ZWAdobeF"/>
          <w:snapToGrid w:val="0"/>
          <w:color w:val="auto"/>
          <w:sz w:val="2"/>
          <w:szCs w:val="2"/>
          <w:u w:val="none"/>
        </w:rPr>
        <w:t>36F</w:t>
      </w:r>
      <w:r w:rsidR="004C7557">
        <w:rPr>
          <w:rStyle w:val="Hyperlink"/>
          <w:rFonts w:ascii="ZWAdobeF" w:hAnsi="ZWAdobeF" w:cs="ZWAdobeF"/>
          <w:snapToGrid w:val="0"/>
          <w:color w:val="auto"/>
          <w:sz w:val="2"/>
          <w:szCs w:val="2"/>
          <w:u w:val="none"/>
        </w:rPr>
        <w:t>36F</w:t>
      </w:r>
      <w:r w:rsidR="00C2087D">
        <w:rPr>
          <w:rStyle w:val="Hyperlink"/>
          <w:rFonts w:ascii="ZWAdobeF" w:hAnsi="ZWAdobeF" w:cs="ZWAdobeF"/>
          <w:snapToGrid w:val="0"/>
          <w:color w:val="auto"/>
          <w:sz w:val="2"/>
          <w:szCs w:val="2"/>
          <w:u w:val="none"/>
        </w:rPr>
        <w:t>36F</w:t>
      </w:r>
      <w:r w:rsidR="00B55C41">
        <w:rPr>
          <w:rStyle w:val="Hyperlink"/>
          <w:rFonts w:ascii="ZWAdobeF" w:hAnsi="ZWAdobeF" w:cs="ZWAdobeF"/>
          <w:snapToGrid w:val="0"/>
          <w:color w:val="auto"/>
          <w:sz w:val="2"/>
          <w:szCs w:val="2"/>
          <w:u w:val="none"/>
        </w:rPr>
        <w:t>36F</w:t>
      </w:r>
      <w:r w:rsidR="006255A6">
        <w:rPr>
          <w:rStyle w:val="Hyperlink"/>
          <w:rFonts w:ascii="ZWAdobeF" w:hAnsi="ZWAdobeF" w:cs="ZWAdobeF"/>
          <w:snapToGrid w:val="0"/>
          <w:color w:val="auto"/>
          <w:sz w:val="2"/>
          <w:szCs w:val="2"/>
          <w:u w:val="none"/>
        </w:rPr>
        <w:t>36F</w:t>
      </w:r>
      <w:r w:rsidR="00E453C7">
        <w:rPr>
          <w:rStyle w:val="Hyperlink"/>
          <w:rFonts w:ascii="ZWAdobeF" w:hAnsi="ZWAdobeF" w:cs="ZWAdobeF"/>
          <w:snapToGrid w:val="0"/>
          <w:color w:val="auto"/>
          <w:sz w:val="2"/>
          <w:szCs w:val="2"/>
          <w:u w:val="none"/>
        </w:rPr>
        <w:t>36F</w:t>
      </w:r>
      <w:r w:rsidR="00953060">
        <w:rPr>
          <w:rStyle w:val="Hyperlink"/>
          <w:rFonts w:ascii="ZWAdobeF" w:hAnsi="ZWAdobeF" w:cs="ZWAdobeF"/>
          <w:snapToGrid w:val="0"/>
          <w:color w:val="auto"/>
          <w:sz w:val="2"/>
          <w:szCs w:val="2"/>
          <w:u w:val="none"/>
        </w:rPr>
        <w:t>36F</w:t>
      </w:r>
      <w:r w:rsidR="00DD04D6">
        <w:rPr>
          <w:rStyle w:val="Hyperlink"/>
          <w:rFonts w:ascii="ZWAdobeF" w:hAnsi="ZWAdobeF" w:cs="ZWAdobeF"/>
          <w:snapToGrid w:val="0"/>
          <w:color w:val="auto"/>
          <w:sz w:val="2"/>
          <w:szCs w:val="2"/>
          <w:u w:val="none"/>
        </w:rPr>
        <w:t>36F</w:t>
      </w:r>
      <w:r w:rsidRPr="009A5185">
        <w:rPr>
          <w:rStyle w:val="EndnoteReference"/>
          <w:rFonts w:cs="Arial"/>
          <w:snapToGrid w:val="0"/>
        </w:rPr>
        <w:endnoteReference w:id="38"/>
      </w:r>
      <w:bookmarkEnd w:id="409"/>
      <w:r w:rsidRPr="009A5185">
        <w:rPr>
          <w:rFonts w:cs="Arial"/>
          <w:snapToGrid w:val="0"/>
          <w:color w:val="000000"/>
        </w:rPr>
        <w:t xml:space="preserve"> during daytime hours </w:t>
      </w:r>
      <w:r w:rsidR="00B95DB2" w:rsidRPr="009A5185">
        <w:rPr>
          <w:rFonts w:cs="Arial"/>
          <w:snapToGrid w:val="0"/>
          <w:color w:val="000000"/>
        </w:rPr>
        <w:t xml:space="preserve">for at least </w:t>
      </w:r>
      <w:r w:rsidRPr="009A5185">
        <w:rPr>
          <w:rFonts w:cs="Arial"/>
          <w:snapToGrid w:val="0"/>
          <w:color w:val="000000"/>
        </w:rPr>
        <w:t xml:space="preserve">8 hours per day, 7 days per week, and during this time provide clinical care </w:t>
      </w:r>
      <w:hyperlink w:anchor="Endnote26_Present" w:history="1">
        <w:r w:rsidRPr="009A5185">
          <w:rPr>
            <w:rStyle w:val="Hyperlink"/>
            <w:rFonts w:cs="Arial"/>
            <w:snapToGrid w:val="0"/>
          </w:rPr>
          <w:t>exclusively</w:t>
        </w:r>
      </w:hyperlink>
      <w:r w:rsidR="000F4DD8">
        <w:rPr>
          <w:rFonts w:cs="Arial"/>
          <w:snapToGrid w:val="0"/>
          <w:vertAlign w:val="superscript"/>
        </w:rPr>
        <w:fldChar w:fldCharType="begin"/>
      </w:r>
      <w:r w:rsidR="000F4DD8">
        <w:rPr>
          <w:rFonts w:cs="Arial"/>
          <w:snapToGrid w:val="0"/>
          <w:vertAlign w:val="superscript"/>
        </w:rPr>
        <w:instrText xml:space="preserve"> NOTEREF _Ref91166304 \f \h </w:instrText>
      </w:r>
      <w:r w:rsidR="000F4DD8">
        <w:rPr>
          <w:rFonts w:cs="Arial"/>
          <w:snapToGrid w:val="0"/>
          <w:vertAlign w:val="superscript"/>
        </w:rPr>
      </w:r>
      <w:r w:rsidR="000F4DD8">
        <w:rPr>
          <w:rFonts w:cs="Arial"/>
          <w:snapToGrid w:val="0"/>
          <w:vertAlign w:val="superscript"/>
        </w:rPr>
        <w:fldChar w:fldCharType="separate"/>
      </w:r>
      <w:r w:rsidR="007D53A2" w:rsidRPr="006904F9">
        <w:rPr>
          <w:rStyle w:val="EndnoteReference"/>
        </w:rPr>
        <w:t>37</w:t>
      </w:r>
      <w:r w:rsidR="000F4DD8">
        <w:rPr>
          <w:rFonts w:cs="Arial"/>
          <w:snapToGrid w:val="0"/>
          <w:vertAlign w:val="superscript"/>
        </w:rPr>
        <w:fldChar w:fldCharType="end"/>
      </w:r>
      <w:r w:rsidRPr="009A5185">
        <w:rPr>
          <w:rFonts w:cs="Arial"/>
          <w:snapToGrid w:val="0"/>
          <w:color w:val="000000"/>
        </w:rPr>
        <w:t xml:space="preserve"> in the ICU</w:t>
      </w:r>
    </w:p>
    <w:p w14:paraId="2D17A387" w14:textId="5BF90BB5" w:rsidR="005A5A08" w:rsidRDefault="005A5A08" w:rsidP="005A5A08">
      <w:pPr>
        <w:ind w:left="360"/>
        <w:rPr>
          <w:rFonts w:cs="Arial"/>
          <w:snapToGrid w:val="0"/>
          <w:color w:val="000000"/>
        </w:rPr>
      </w:pPr>
      <w:r>
        <w:rPr>
          <w:rFonts w:cs="Arial"/>
          <w:snapToGrid w:val="0"/>
          <w:color w:val="000000"/>
        </w:rPr>
        <w:t>OR</w:t>
      </w:r>
    </w:p>
    <w:p w14:paraId="11217620" w14:textId="6606CA3A" w:rsidR="008910AA" w:rsidRPr="005A5A08" w:rsidRDefault="005A5A08" w:rsidP="00AD309C">
      <w:pPr>
        <w:pStyle w:val="ListParagraph"/>
        <w:numPr>
          <w:ilvl w:val="0"/>
          <w:numId w:val="156"/>
        </w:numPr>
        <w:rPr>
          <w:rFonts w:cs="Arial"/>
          <w:snapToGrid w:val="0"/>
          <w:color w:val="000000"/>
        </w:rPr>
      </w:pPr>
      <w:r w:rsidRPr="005A5A08">
        <w:rPr>
          <w:rFonts w:cs="Arial"/>
          <w:snapToGrid w:val="0"/>
          <w:color w:val="000000"/>
        </w:rPr>
        <w:t xml:space="preserve">Are present via </w:t>
      </w:r>
      <w:hyperlink w:anchor="Endnote27_Telemedicine" w:history="1">
        <w:r w:rsidRPr="005A5A08">
          <w:rPr>
            <w:rStyle w:val="Hyperlink"/>
            <w:rFonts w:cs="Arial"/>
            <w:snapToGrid w:val="0"/>
          </w:rPr>
          <w:t>telemedicine</w:t>
        </w:r>
      </w:hyperlink>
      <w:bookmarkStart w:id="411" w:name="_Ref534212061"/>
      <w:r w:rsidR="000F0582">
        <w:rPr>
          <w:rStyle w:val="Hyperlink"/>
          <w:rFonts w:ascii="ZWAdobeF" w:hAnsi="ZWAdobeF" w:cs="ZWAdobeF"/>
          <w:snapToGrid w:val="0"/>
          <w:color w:val="auto"/>
          <w:sz w:val="2"/>
          <w:szCs w:val="2"/>
          <w:u w:val="none"/>
        </w:rPr>
        <w:t>37F</w:t>
      </w:r>
      <w:r w:rsidR="00BF053F">
        <w:rPr>
          <w:rStyle w:val="Hyperlink"/>
          <w:rFonts w:ascii="ZWAdobeF" w:hAnsi="ZWAdobeF" w:cs="ZWAdobeF"/>
          <w:snapToGrid w:val="0"/>
          <w:color w:val="auto"/>
          <w:sz w:val="2"/>
          <w:szCs w:val="2"/>
          <w:u w:val="none"/>
        </w:rPr>
        <w:t>37F</w:t>
      </w:r>
      <w:r w:rsidR="004C7557">
        <w:rPr>
          <w:rStyle w:val="Hyperlink"/>
          <w:rFonts w:ascii="ZWAdobeF" w:hAnsi="ZWAdobeF" w:cs="ZWAdobeF"/>
          <w:snapToGrid w:val="0"/>
          <w:color w:val="auto"/>
          <w:sz w:val="2"/>
          <w:szCs w:val="2"/>
          <w:u w:val="none"/>
        </w:rPr>
        <w:t>37F</w:t>
      </w:r>
      <w:r w:rsidR="00C2087D">
        <w:rPr>
          <w:rStyle w:val="Hyperlink"/>
          <w:rFonts w:ascii="ZWAdobeF" w:hAnsi="ZWAdobeF" w:cs="ZWAdobeF"/>
          <w:snapToGrid w:val="0"/>
          <w:color w:val="auto"/>
          <w:sz w:val="2"/>
          <w:szCs w:val="2"/>
          <w:u w:val="none"/>
        </w:rPr>
        <w:t>37F</w:t>
      </w:r>
      <w:r w:rsidR="00B55C41">
        <w:rPr>
          <w:rStyle w:val="Hyperlink"/>
          <w:rFonts w:ascii="ZWAdobeF" w:hAnsi="ZWAdobeF" w:cs="ZWAdobeF"/>
          <w:snapToGrid w:val="0"/>
          <w:color w:val="auto"/>
          <w:sz w:val="2"/>
          <w:szCs w:val="2"/>
          <w:u w:val="none"/>
        </w:rPr>
        <w:t>37F</w:t>
      </w:r>
      <w:r w:rsidR="006255A6">
        <w:rPr>
          <w:rStyle w:val="Hyperlink"/>
          <w:rFonts w:ascii="ZWAdobeF" w:hAnsi="ZWAdobeF" w:cs="ZWAdobeF"/>
          <w:snapToGrid w:val="0"/>
          <w:color w:val="auto"/>
          <w:sz w:val="2"/>
          <w:szCs w:val="2"/>
          <w:u w:val="none"/>
        </w:rPr>
        <w:t>37F</w:t>
      </w:r>
      <w:r w:rsidR="00E453C7">
        <w:rPr>
          <w:rStyle w:val="Hyperlink"/>
          <w:rFonts w:ascii="ZWAdobeF" w:hAnsi="ZWAdobeF" w:cs="ZWAdobeF"/>
          <w:snapToGrid w:val="0"/>
          <w:color w:val="auto"/>
          <w:sz w:val="2"/>
          <w:szCs w:val="2"/>
          <w:u w:val="none"/>
        </w:rPr>
        <w:t>37F</w:t>
      </w:r>
      <w:r w:rsidR="00953060">
        <w:rPr>
          <w:rStyle w:val="Hyperlink"/>
          <w:rFonts w:ascii="ZWAdobeF" w:hAnsi="ZWAdobeF" w:cs="ZWAdobeF"/>
          <w:snapToGrid w:val="0"/>
          <w:color w:val="auto"/>
          <w:sz w:val="2"/>
          <w:szCs w:val="2"/>
          <w:u w:val="none"/>
        </w:rPr>
        <w:t>37F</w:t>
      </w:r>
      <w:r w:rsidR="00DD04D6">
        <w:rPr>
          <w:rStyle w:val="Hyperlink"/>
          <w:rFonts w:ascii="ZWAdobeF" w:hAnsi="ZWAdobeF" w:cs="ZWAdobeF"/>
          <w:snapToGrid w:val="0"/>
          <w:color w:val="auto"/>
          <w:sz w:val="2"/>
          <w:szCs w:val="2"/>
          <w:u w:val="none"/>
        </w:rPr>
        <w:t>37F</w:t>
      </w:r>
      <w:r w:rsidRPr="009A5185">
        <w:rPr>
          <w:rStyle w:val="EndnoteReference"/>
          <w:rFonts w:cs="Arial"/>
          <w:snapToGrid w:val="0"/>
          <w:color w:val="000000"/>
        </w:rPr>
        <w:endnoteReference w:id="39"/>
      </w:r>
      <w:bookmarkEnd w:id="411"/>
      <w:r w:rsidRPr="005A5A08">
        <w:rPr>
          <w:rFonts w:cs="Arial"/>
          <w:snapToGrid w:val="0"/>
          <w:color w:val="000000"/>
        </w:rPr>
        <w:t>, in combination with on-site intensivist coverage, for a total of 24 hours per day, 7 days per week; meet all of Leapfrog’s ICU requirements for intensivist presence in the ICU via telemedicine; and supported by an on-site intensivist who establishes and revises the daily care plan for each ICU patient</w:t>
      </w:r>
      <w:r w:rsidR="00D0291F">
        <w:rPr>
          <w:rFonts w:cs="Arial"/>
          <w:snapToGrid w:val="0"/>
          <w:color w:val="000000"/>
        </w:rPr>
        <w:t>,</w:t>
      </w:r>
      <w:r w:rsidR="008910AA" w:rsidRPr="005A5A08">
        <w:rPr>
          <w:rFonts w:cs="Arial"/>
          <w:snapToGrid w:val="0"/>
          <w:color w:val="000000"/>
        </w:rPr>
        <w:t xml:space="preserve"> </w:t>
      </w:r>
      <w:r w:rsidR="008910AA" w:rsidRPr="005D4733">
        <w:rPr>
          <w:rFonts w:cs="Arial"/>
          <w:b/>
          <w:bCs/>
          <w:snapToGrid w:val="0"/>
          <w:color w:val="000000"/>
        </w:rPr>
        <w:t>and</w:t>
      </w:r>
    </w:p>
    <w:p w14:paraId="4BBD59BB" w14:textId="77777777" w:rsidR="00CF0B69" w:rsidRPr="009A5185" w:rsidRDefault="008910AA">
      <w:pPr>
        <w:numPr>
          <w:ilvl w:val="0"/>
          <w:numId w:val="4"/>
        </w:numPr>
        <w:rPr>
          <w:rFonts w:cs="Arial"/>
          <w:snapToGrid w:val="0"/>
          <w:color w:val="000000"/>
        </w:rPr>
      </w:pPr>
      <w:r w:rsidRPr="009A5185">
        <w:rPr>
          <w:rFonts w:cs="Arial"/>
          <w:snapToGrid w:val="0"/>
          <w:color w:val="000000"/>
        </w:rPr>
        <w:t>At other times</w:t>
      </w:r>
      <w:r w:rsidR="00CF0B69" w:rsidRPr="009A5185">
        <w:rPr>
          <w:rFonts w:cs="Arial"/>
          <w:snapToGrid w:val="0"/>
          <w:color w:val="000000"/>
        </w:rPr>
        <w:t>*</w:t>
      </w:r>
      <w:r w:rsidRPr="009A5185">
        <w:rPr>
          <w:rFonts w:cs="Arial"/>
          <w:snapToGrid w:val="0"/>
          <w:color w:val="000000"/>
        </w:rPr>
        <w:t xml:space="preserve"> </w:t>
      </w:r>
    </w:p>
    <w:p w14:paraId="3A2825F0" w14:textId="2D89075C" w:rsidR="00CF0B69" w:rsidRPr="009A5185" w:rsidRDefault="008910AA">
      <w:pPr>
        <w:numPr>
          <w:ilvl w:val="0"/>
          <w:numId w:val="4"/>
        </w:numPr>
        <w:tabs>
          <w:tab w:val="clear" w:pos="360"/>
          <w:tab w:val="num" w:pos="720"/>
        </w:tabs>
        <w:ind w:left="720"/>
        <w:rPr>
          <w:rFonts w:cs="Arial"/>
          <w:snapToGrid w:val="0"/>
          <w:color w:val="000000"/>
        </w:rPr>
      </w:pPr>
      <w:r w:rsidRPr="009A5185">
        <w:rPr>
          <w:rFonts w:cs="Arial"/>
          <w:snapToGrid w:val="0"/>
          <w:color w:val="000000"/>
        </w:rPr>
        <w:t xml:space="preserve">Return more than 95% of ICU calls within 5 minutes, based on a </w:t>
      </w:r>
      <w:hyperlink w:anchor="Endnote28_ResponseAnalysis" w:history="1">
        <w:r w:rsidRPr="009A5185">
          <w:rPr>
            <w:rStyle w:val="Hyperlink"/>
            <w:rFonts w:cs="Arial"/>
            <w:snapToGrid w:val="0"/>
          </w:rPr>
          <w:t>quantified analysis</w:t>
        </w:r>
      </w:hyperlink>
      <w:bookmarkStart w:id="413" w:name="_Ref534212563"/>
      <w:r w:rsidR="000F0582">
        <w:rPr>
          <w:rStyle w:val="Hyperlink"/>
          <w:rFonts w:ascii="ZWAdobeF" w:hAnsi="ZWAdobeF" w:cs="ZWAdobeF"/>
          <w:snapToGrid w:val="0"/>
          <w:color w:val="auto"/>
          <w:sz w:val="2"/>
          <w:szCs w:val="2"/>
          <w:u w:val="none"/>
        </w:rPr>
        <w:t>38F</w:t>
      </w:r>
      <w:r w:rsidR="00BF053F">
        <w:rPr>
          <w:rStyle w:val="Hyperlink"/>
          <w:rFonts w:ascii="ZWAdobeF" w:hAnsi="ZWAdobeF" w:cs="ZWAdobeF"/>
          <w:snapToGrid w:val="0"/>
          <w:color w:val="auto"/>
          <w:sz w:val="2"/>
          <w:szCs w:val="2"/>
          <w:u w:val="none"/>
        </w:rPr>
        <w:t>38F</w:t>
      </w:r>
      <w:r w:rsidR="004C7557">
        <w:rPr>
          <w:rStyle w:val="Hyperlink"/>
          <w:rFonts w:ascii="ZWAdobeF" w:hAnsi="ZWAdobeF" w:cs="ZWAdobeF"/>
          <w:snapToGrid w:val="0"/>
          <w:color w:val="auto"/>
          <w:sz w:val="2"/>
          <w:szCs w:val="2"/>
          <w:u w:val="none"/>
        </w:rPr>
        <w:t>38F</w:t>
      </w:r>
      <w:r w:rsidR="00C2087D">
        <w:rPr>
          <w:rStyle w:val="Hyperlink"/>
          <w:rFonts w:ascii="ZWAdobeF" w:hAnsi="ZWAdobeF" w:cs="ZWAdobeF"/>
          <w:snapToGrid w:val="0"/>
          <w:color w:val="auto"/>
          <w:sz w:val="2"/>
          <w:szCs w:val="2"/>
          <w:u w:val="none"/>
        </w:rPr>
        <w:t>38F</w:t>
      </w:r>
      <w:r w:rsidR="00B55C41">
        <w:rPr>
          <w:rStyle w:val="Hyperlink"/>
          <w:rFonts w:ascii="ZWAdobeF" w:hAnsi="ZWAdobeF" w:cs="ZWAdobeF"/>
          <w:snapToGrid w:val="0"/>
          <w:color w:val="auto"/>
          <w:sz w:val="2"/>
          <w:szCs w:val="2"/>
          <w:u w:val="none"/>
        </w:rPr>
        <w:t>38F</w:t>
      </w:r>
      <w:r w:rsidR="006255A6">
        <w:rPr>
          <w:rStyle w:val="Hyperlink"/>
          <w:rFonts w:ascii="ZWAdobeF" w:hAnsi="ZWAdobeF" w:cs="ZWAdobeF"/>
          <w:snapToGrid w:val="0"/>
          <w:color w:val="auto"/>
          <w:sz w:val="2"/>
          <w:szCs w:val="2"/>
          <w:u w:val="none"/>
        </w:rPr>
        <w:t>38F</w:t>
      </w:r>
      <w:r w:rsidR="00E453C7">
        <w:rPr>
          <w:rStyle w:val="Hyperlink"/>
          <w:rFonts w:ascii="ZWAdobeF" w:hAnsi="ZWAdobeF" w:cs="ZWAdobeF"/>
          <w:snapToGrid w:val="0"/>
          <w:color w:val="auto"/>
          <w:sz w:val="2"/>
          <w:szCs w:val="2"/>
          <w:u w:val="none"/>
        </w:rPr>
        <w:t>38F</w:t>
      </w:r>
      <w:r w:rsidR="00953060">
        <w:rPr>
          <w:rStyle w:val="Hyperlink"/>
          <w:rFonts w:ascii="ZWAdobeF" w:hAnsi="ZWAdobeF" w:cs="ZWAdobeF"/>
          <w:snapToGrid w:val="0"/>
          <w:color w:val="auto"/>
          <w:sz w:val="2"/>
          <w:szCs w:val="2"/>
          <w:u w:val="none"/>
        </w:rPr>
        <w:t>38F</w:t>
      </w:r>
      <w:r w:rsidR="00DD04D6">
        <w:rPr>
          <w:rStyle w:val="Hyperlink"/>
          <w:rFonts w:ascii="ZWAdobeF" w:hAnsi="ZWAdobeF" w:cs="ZWAdobeF"/>
          <w:snapToGrid w:val="0"/>
          <w:color w:val="auto"/>
          <w:sz w:val="2"/>
          <w:szCs w:val="2"/>
          <w:u w:val="none"/>
        </w:rPr>
        <w:t>38F</w:t>
      </w:r>
      <w:r w:rsidRPr="009A5185">
        <w:rPr>
          <w:rStyle w:val="EndnoteReference"/>
          <w:rFonts w:cs="Arial"/>
          <w:snapToGrid w:val="0"/>
          <w:color w:val="000000"/>
        </w:rPr>
        <w:endnoteReference w:id="40"/>
      </w:r>
      <w:bookmarkEnd w:id="413"/>
      <w:r w:rsidRPr="009A5185">
        <w:rPr>
          <w:rFonts w:cs="Arial"/>
          <w:snapToGrid w:val="0"/>
          <w:color w:val="000000"/>
        </w:rPr>
        <w:t xml:space="preserve"> of notification device response time; and</w:t>
      </w:r>
    </w:p>
    <w:p w14:paraId="31443B36" w14:textId="7CEC2AA9" w:rsidR="008910AA" w:rsidRPr="009A5185" w:rsidRDefault="008910AA">
      <w:pPr>
        <w:numPr>
          <w:ilvl w:val="0"/>
          <w:numId w:val="4"/>
        </w:numPr>
        <w:tabs>
          <w:tab w:val="clear" w:pos="360"/>
          <w:tab w:val="num" w:pos="720"/>
        </w:tabs>
        <w:ind w:left="720"/>
        <w:rPr>
          <w:rFonts w:cs="Arial"/>
          <w:snapToGrid w:val="0"/>
          <w:color w:val="000000"/>
        </w:rPr>
      </w:pPr>
      <w:r w:rsidRPr="009A5185">
        <w:rPr>
          <w:rFonts w:cs="Arial"/>
          <w:snapToGrid w:val="0"/>
          <w:color w:val="000000"/>
        </w:rPr>
        <w:t xml:space="preserve">Can rely on a </w:t>
      </w:r>
      <w:hyperlink w:anchor="Endnote31_OtherEffector" w:history="1">
        <w:r w:rsidRPr="004E468A">
          <w:rPr>
            <w:rStyle w:val="Hyperlink"/>
            <w:rFonts w:cs="Arial"/>
            <w:snapToGrid w:val="0"/>
          </w:rPr>
          <w:t>physician, physician assistant, nurse practitioner</w:t>
        </w:r>
      </w:hyperlink>
      <w:r w:rsidR="000F4DD8">
        <w:rPr>
          <w:rFonts w:cs="Arial"/>
          <w:snapToGrid w:val="0"/>
          <w:color w:val="000000"/>
          <w:vertAlign w:val="superscript"/>
        </w:rPr>
        <w:fldChar w:fldCharType="begin"/>
      </w:r>
      <w:r w:rsidR="000F4DD8">
        <w:rPr>
          <w:rStyle w:val="Hyperlink"/>
          <w:rFonts w:cs="Arial"/>
          <w:snapToGrid w:val="0"/>
        </w:rPr>
        <w:instrText xml:space="preserve"> NOTEREF _Ref91166814 \f \h </w:instrText>
      </w:r>
      <w:r w:rsidR="000F4DD8">
        <w:rPr>
          <w:rFonts w:cs="Arial"/>
          <w:snapToGrid w:val="0"/>
          <w:color w:val="000000"/>
          <w:vertAlign w:val="superscript"/>
        </w:rPr>
      </w:r>
      <w:r w:rsidR="000F4DD8">
        <w:rPr>
          <w:rFonts w:cs="Arial"/>
          <w:snapToGrid w:val="0"/>
          <w:color w:val="000000"/>
          <w:vertAlign w:val="superscript"/>
        </w:rPr>
        <w:fldChar w:fldCharType="separate"/>
      </w:r>
      <w:r w:rsidR="007D53A2" w:rsidRPr="00A012EC">
        <w:rPr>
          <w:rStyle w:val="EndnoteReference"/>
        </w:rPr>
        <w:t>42</w:t>
      </w:r>
      <w:r w:rsidR="000F4DD8">
        <w:rPr>
          <w:rFonts w:cs="Arial"/>
          <w:snapToGrid w:val="0"/>
          <w:color w:val="000000"/>
          <w:vertAlign w:val="superscript"/>
        </w:rPr>
        <w:fldChar w:fldCharType="end"/>
      </w:r>
      <w:r w:rsidRPr="009A5185">
        <w:rPr>
          <w:rFonts w:cs="Arial"/>
          <w:snapToGrid w:val="0"/>
          <w:color w:val="000000"/>
        </w:rPr>
        <w:t xml:space="preserve">, or </w:t>
      </w:r>
      <w:r w:rsidRPr="008306A5">
        <w:rPr>
          <w:rFonts w:cs="Arial"/>
          <w:noProof/>
          <w:snapToGrid w:val="0"/>
          <w:color w:val="000000"/>
        </w:rPr>
        <w:t>a</w:t>
      </w:r>
      <w:r w:rsidR="00F71607">
        <w:rPr>
          <w:rFonts w:cs="Arial"/>
          <w:noProof/>
          <w:snapToGrid w:val="0"/>
          <w:color w:val="000000"/>
        </w:rPr>
        <w:t>n</w:t>
      </w:r>
      <w:r w:rsidRPr="008306A5">
        <w:rPr>
          <w:rFonts w:cs="Arial"/>
          <w:noProof/>
          <w:snapToGrid w:val="0"/>
          <w:color w:val="000000"/>
        </w:rPr>
        <w:t xml:space="preserve"> </w:t>
      </w:r>
      <w:hyperlink w:anchor="Endnote29_NurseEffector" w:history="1">
        <w:r w:rsidRPr="008306A5">
          <w:rPr>
            <w:rStyle w:val="Hyperlink"/>
            <w:rFonts w:cs="Arial"/>
            <w:noProof/>
            <w:snapToGrid w:val="0"/>
          </w:rPr>
          <w:t>FCCS-certified</w:t>
        </w:r>
        <w:r w:rsidRPr="009A5185">
          <w:rPr>
            <w:rStyle w:val="Hyperlink"/>
            <w:rFonts w:cs="Arial"/>
            <w:snapToGrid w:val="0"/>
          </w:rPr>
          <w:t xml:space="preserve"> nurse “effector”</w:t>
        </w:r>
      </w:hyperlink>
      <w:bookmarkStart w:id="415" w:name="_Ref91167163"/>
      <w:r w:rsidR="000F0582">
        <w:rPr>
          <w:rStyle w:val="Hyperlink"/>
          <w:rFonts w:ascii="ZWAdobeF" w:hAnsi="ZWAdobeF" w:cs="ZWAdobeF"/>
          <w:snapToGrid w:val="0"/>
          <w:color w:val="auto"/>
          <w:sz w:val="2"/>
          <w:szCs w:val="2"/>
          <w:u w:val="none"/>
        </w:rPr>
        <w:t>39F</w:t>
      </w:r>
      <w:r w:rsidR="00BF053F">
        <w:rPr>
          <w:rStyle w:val="Hyperlink"/>
          <w:rFonts w:ascii="ZWAdobeF" w:hAnsi="ZWAdobeF" w:cs="ZWAdobeF"/>
          <w:snapToGrid w:val="0"/>
          <w:color w:val="auto"/>
          <w:sz w:val="2"/>
          <w:szCs w:val="2"/>
          <w:u w:val="none"/>
        </w:rPr>
        <w:t>39F</w:t>
      </w:r>
      <w:r w:rsidR="004C7557">
        <w:rPr>
          <w:rStyle w:val="Hyperlink"/>
          <w:rFonts w:ascii="ZWAdobeF" w:hAnsi="ZWAdobeF" w:cs="ZWAdobeF"/>
          <w:snapToGrid w:val="0"/>
          <w:color w:val="auto"/>
          <w:sz w:val="2"/>
          <w:szCs w:val="2"/>
          <w:u w:val="none"/>
        </w:rPr>
        <w:t>39F</w:t>
      </w:r>
      <w:r w:rsidR="00C2087D">
        <w:rPr>
          <w:rStyle w:val="Hyperlink"/>
          <w:rFonts w:ascii="ZWAdobeF" w:hAnsi="ZWAdobeF" w:cs="ZWAdobeF"/>
          <w:snapToGrid w:val="0"/>
          <w:color w:val="auto"/>
          <w:sz w:val="2"/>
          <w:szCs w:val="2"/>
          <w:u w:val="none"/>
        </w:rPr>
        <w:t>39F</w:t>
      </w:r>
      <w:r w:rsidR="00B55C41">
        <w:rPr>
          <w:rStyle w:val="Hyperlink"/>
          <w:rFonts w:ascii="ZWAdobeF" w:hAnsi="ZWAdobeF" w:cs="ZWAdobeF"/>
          <w:snapToGrid w:val="0"/>
          <w:color w:val="auto"/>
          <w:sz w:val="2"/>
          <w:szCs w:val="2"/>
          <w:u w:val="none"/>
        </w:rPr>
        <w:t>39F</w:t>
      </w:r>
      <w:r w:rsidR="006255A6">
        <w:rPr>
          <w:rStyle w:val="Hyperlink"/>
          <w:rFonts w:ascii="ZWAdobeF" w:hAnsi="ZWAdobeF" w:cs="ZWAdobeF"/>
          <w:snapToGrid w:val="0"/>
          <w:color w:val="auto"/>
          <w:sz w:val="2"/>
          <w:szCs w:val="2"/>
          <w:u w:val="none"/>
        </w:rPr>
        <w:t>39F</w:t>
      </w:r>
      <w:r w:rsidR="00E453C7">
        <w:rPr>
          <w:rStyle w:val="Hyperlink"/>
          <w:rFonts w:ascii="ZWAdobeF" w:hAnsi="ZWAdobeF" w:cs="ZWAdobeF"/>
          <w:snapToGrid w:val="0"/>
          <w:color w:val="auto"/>
          <w:sz w:val="2"/>
          <w:szCs w:val="2"/>
          <w:u w:val="none"/>
        </w:rPr>
        <w:t>39F</w:t>
      </w:r>
      <w:r w:rsidR="00953060">
        <w:rPr>
          <w:rStyle w:val="Hyperlink"/>
          <w:rFonts w:ascii="ZWAdobeF" w:hAnsi="ZWAdobeF" w:cs="ZWAdobeF"/>
          <w:snapToGrid w:val="0"/>
          <w:color w:val="auto"/>
          <w:sz w:val="2"/>
          <w:szCs w:val="2"/>
          <w:u w:val="none"/>
        </w:rPr>
        <w:t>39F</w:t>
      </w:r>
      <w:r w:rsidR="00DD04D6">
        <w:rPr>
          <w:rStyle w:val="Hyperlink"/>
          <w:rFonts w:ascii="ZWAdobeF" w:hAnsi="ZWAdobeF" w:cs="ZWAdobeF"/>
          <w:snapToGrid w:val="0"/>
          <w:color w:val="auto"/>
          <w:sz w:val="2"/>
          <w:szCs w:val="2"/>
          <w:u w:val="none"/>
        </w:rPr>
        <w:t>39F</w:t>
      </w:r>
      <w:r w:rsidRPr="009A5185">
        <w:rPr>
          <w:rStyle w:val="EndnoteReference"/>
          <w:rFonts w:cs="Arial"/>
          <w:snapToGrid w:val="0"/>
          <w:color w:val="000000"/>
        </w:rPr>
        <w:endnoteReference w:id="41"/>
      </w:r>
      <w:bookmarkEnd w:id="415"/>
      <w:r w:rsidRPr="009A5185">
        <w:rPr>
          <w:rFonts w:cs="Arial"/>
          <w:snapToGrid w:val="0"/>
          <w:color w:val="000000"/>
        </w:rPr>
        <w:t xml:space="preserve"> who is in the hospital and able to reach ICU patients within 5 minutes in more than 95% of cases, based on a quantified hospital analysis of </w:t>
      </w:r>
      <w:r w:rsidR="00BF6F6C">
        <w:rPr>
          <w:rFonts w:cs="Arial"/>
          <w:snapToGrid w:val="0"/>
          <w:color w:val="000000"/>
        </w:rPr>
        <w:t xml:space="preserve">response time of the effector reaching the patient. </w:t>
      </w:r>
      <w:r w:rsidRPr="009A5185">
        <w:rPr>
          <w:rFonts w:cs="Arial"/>
          <w:snapToGrid w:val="0"/>
          <w:color w:val="000000"/>
          <w:sz w:val="16"/>
          <w:szCs w:val="16"/>
        </w:rPr>
        <w:t xml:space="preserve"> </w:t>
      </w:r>
    </w:p>
    <w:p w14:paraId="21A043FC" w14:textId="77777777" w:rsidR="00CF0B69" w:rsidRPr="009A5185" w:rsidRDefault="00CF0B69">
      <w:pPr>
        <w:rPr>
          <w:rFonts w:cs="Arial"/>
          <w:snapToGrid w:val="0"/>
          <w:color w:val="000000"/>
          <w:sz w:val="16"/>
          <w:szCs w:val="16"/>
        </w:rPr>
      </w:pPr>
    </w:p>
    <w:p w14:paraId="1C5CEB52" w14:textId="77777777" w:rsidR="00CF0B69" w:rsidRDefault="00CF0B69">
      <w:pPr>
        <w:rPr>
          <w:rFonts w:cs="Arial"/>
          <w:snapToGrid w:val="0"/>
          <w:color w:val="000000"/>
          <w:sz w:val="16"/>
          <w:szCs w:val="16"/>
        </w:rPr>
      </w:pPr>
      <w:r w:rsidRPr="009A5185">
        <w:rPr>
          <w:rFonts w:cs="Arial"/>
          <w:snapToGrid w:val="0"/>
          <w:color w:val="000000"/>
          <w:sz w:val="16"/>
          <w:szCs w:val="16"/>
        </w:rPr>
        <w:t>*Not applicable for hospitals with 24/7 intensivist coverage.</w:t>
      </w:r>
    </w:p>
    <w:p w14:paraId="3DA55B79" w14:textId="77777777" w:rsidR="00EE54EF" w:rsidRPr="00332D4F" w:rsidRDefault="00EE54EF" w:rsidP="00EE54EF"/>
    <w:p w14:paraId="42DAA018" w14:textId="77777777" w:rsidR="00040753" w:rsidRDefault="00040753">
      <w:pPr>
        <w:rPr>
          <w:rFonts w:cs="Arial"/>
          <w:b/>
          <w:bCs/>
        </w:rPr>
      </w:pPr>
      <w:r>
        <w:rPr>
          <w:rFonts w:cs="Arial"/>
          <w:b/>
          <w:bCs/>
        </w:rPr>
        <w:br w:type="page"/>
      </w:r>
    </w:p>
    <w:p w14:paraId="19CEB503" w14:textId="2756AA93" w:rsidR="00940C76" w:rsidRPr="006F1F5D" w:rsidRDefault="00940C76" w:rsidP="00940C76">
      <w:pPr>
        <w:rPr>
          <w:rFonts w:cs="Arial"/>
          <w:b/>
          <w:bCs/>
        </w:rPr>
      </w:pPr>
      <w:r w:rsidRPr="006F1F5D">
        <w:rPr>
          <w:rFonts w:cs="Arial"/>
          <w:b/>
          <w:bCs/>
        </w:rPr>
        <w:lastRenderedPageBreak/>
        <w:t>Each hospital achieving the standard for Total Nursing Care Hours per Patient Day:</w:t>
      </w:r>
    </w:p>
    <w:p w14:paraId="2A0301F1" w14:textId="77777777" w:rsidR="00940C76" w:rsidRPr="006F1F5D" w:rsidRDefault="00940C76" w:rsidP="00940C76">
      <w:pPr>
        <w:rPr>
          <w:rFonts w:cs="Arial"/>
        </w:rPr>
      </w:pPr>
      <w:r w:rsidRPr="006F1F5D">
        <w:rPr>
          <w:rFonts w:cs="Arial"/>
        </w:rPr>
        <w:t>Has a ratio of total nursing care hours per patient day that is greater than or equal to the 50th percentile (where higher is better) for that hospital’s cohort (small teaching, large teaching, non-teaching, mixed acuity, pediatric, or critical access hospital).</w:t>
      </w:r>
    </w:p>
    <w:p w14:paraId="506E49D3" w14:textId="77777777" w:rsidR="00940C76" w:rsidRPr="006F1F5D" w:rsidRDefault="00940C76" w:rsidP="00940C76">
      <w:pPr>
        <w:rPr>
          <w:rFonts w:cs="Arial"/>
        </w:rPr>
      </w:pPr>
    </w:p>
    <w:p w14:paraId="3213043C" w14:textId="77777777" w:rsidR="00940C76" w:rsidRPr="006F1F5D" w:rsidRDefault="00940C76" w:rsidP="00940C76">
      <w:pPr>
        <w:rPr>
          <w:rFonts w:cs="Arial"/>
          <w:b/>
          <w:bCs/>
        </w:rPr>
      </w:pPr>
      <w:r w:rsidRPr="006F1F5D">
        <w:rPr>
          <w:rFonts w:cs="Arial"/>
          <w:b/>
          <w:bCs/>
        </w:rPr>
        <w:t>Each hospital achieving the standard for RN Hours per Patient Day:</w:t>
      </w:r>
    </w:p>
    <w:p w14:paraId="391EABC6" w14:textId="707EAB8B" w:rsidR="00940C76" w:rsidRPr="006F1F5D" w:rsidRDefault="00940C76" w:rsidP="00940C76">
      <w:pPr>
        <w:rPr>
          <w:rFonts w:cs="Arial"/>
        </w:rPr>
      </w:pPr>
      <w:r w:rsidRPr="006F1F5D">
        <w:rPr>
          <w:rFonts w:cs="Arial"/>
        </w:rPr>
        <w:t>Has a ratio of RN hours per patient day that is greater than or equal to the 50th percentile (where higher is better) for that hospital’s cohort (small teaching, large teaching, non-teaching, mixed acuity, pediatric, or critical access hospital).</w:t>
      </w:r>
      <w:r w:rsidRPr="006F1F5D">
        <w:rPr>
          <w:rFonts w:cs="Arial"/>
        </w:rPr>
        <w:br/>
      </w:r>
    </w:p>
    <w:p w14:paraId="68B0B03B" w14:textId="77777777" w:rsidR="00940C76" w:rsidRPr="006F1F5D" w:rsidRDefault="00940C76" w:rsidP="00940C76">
      <w:pPr>
        <w:rPr>
          <w:rFonts w:cs="Arial"/>
          <w:b/>
          <w:bCs/>
        </w:rPr>
      </w:pPr>
      <w:r w:rsidRPr="006F1F5D">
        <w:rPr>
          <w:rFonts w:cs="Arial"/>
          <w:b/>
          <w:bCs/>
        </w:rPr>
        <w:t>Each hospital achieving the standard for Percentage of RNs who are BSN-Prepared:</w:t>
      </w:r>
    </w:p>
    <w:p w14:paraId="5D65B773" w14:textId="77777777" w:rsidR="00940C76" w:rsidRPr="001F2388" w:rsidRDefault="00940C76" w:rsidP="00940C76">
      <w:r w:rsidRPr="006F1F5D">
        <w:t>Has a percentage of RNs who are BSN-prepared that is greater than or equal to 80%.</w:t>
      </w:r>
    </w:p>
    <w:p w14:paraId="60D278D5" w14:textId="77777777" w:rsidR="0082085D" w:rsidRPr="009A5185" w:rsidRDefault="0082085D" w:rsidP="0082085D">
      <w:pPr>
        <w:rPr>
          <w:rFonts w:cs="Arial"/>
          <w:b/>
        </w:rPr>
      </w:pPr>
    </w:p>
    <w:p w14:paraId="05727101" w14:textId="3D65EE11" w:rsidR="0082085D" w:rsidRPr="009A5185" w:rsidRDefault="0082085D" w:rsidP="0082085D">
      <w:pPr>
        <w:rPr>
          <w:rFonts w:cs="Arial"/>
          <w:b/>
        </w:rPr>
      </w:pPr>
      <w:r w:rsidRPr="009A5185">
        <w:rPr>
          <w:rFonts w:cs="Arial"/>
          <w:b/>
        </w:rPr>
        <w:t xml:space="preserve">Download the </w:t>
      </w:r>
      <w:r w:rsidR="00A236B1">
        <w:rPr>
          <w:rFonts w:cs="Arial"/>
          <w:b/>
        </w:rPr>
        <w:t>202</w:t>
      </w:r>
      <w:r w:rsidR="00C44113">
        <w:rPr>
          <w:rFonts w:cs="Arial"/>
          <w:b/>
        </w:rPr>
        <w:t>6</w:t>
      </w:r>
      <w:r w:rsidRPr="009A5185">
        <w:rPr>
          <w:rFonts w:cs="Arial"/>
          <w:b/>
        </w:rPr>
        <w:t xml:space="preserve"> Leapfrog Hospital Survey Scoring Algorithm on the </w:t>
      </w:r>
      <w:hyperlink r:id="rId322" w:history="1">
        <w:r w:rsidRPr="009A5185">
          <w:rPr>
            <w:rStyle w:val="Hyperlink"/>
            <w:rFonts w:cs="Arial"/>
            <w:b/>
          </w:rPr>
          <w:t>Scoring and Results webpage</w:t>
        </w:r>
      </w:hyperlink>
      <w:r w:rsidRPr="009A5185">
        <w:rPr>
          <w:rFonts w:cs="Arial"/>
          <w:b/>
        </w:rPr>
        <w:t>.</w:t>
      </w:r>
    </w:p>
    <w:p w14:paraId="1265DCE0" w14:textId="77777777" w:rsidR="008910AA" w:rsidRPr="009A5185" w:rsidRDefault="008910AA" w:rsidP="00F40B63">
      <w:pPr>
        <w:rPr>
          <w:rFonts w:cs="Arial"/>
          <w:b/>
        </w:rPr>
      </w:pPr>
    </w:p>
    <w:p w14:paraId="68D748FA" w14:textId="77777777" w:rsidR="00B90B91" w:rsidRPr="009A5185" w:rsidRDefault="00B90B91">
      <w:pPr>
        <w:rPr>
          <w:rFonts w:cs="Arial"/>
        </w:rPr>
      </w:pPr>
      <w:r w:rsidRPr="009A5185">
        <w:rPr>
          <w:rFonts w:cs="Arial"/>
        </w:rPr>
        <w:br w:type="page"/>
      </w:r>
    </w:p>
    <w:p w14:paraId="1B39CBA5" w14:textId="587E822A" w:rsidR="009E7330" w:rsidRDefault="006922BB" w:rsidP="00CF5A6E">
      <w:pPr>
        <w:pStyle w:val="Heading2"/>
      </w:pPr>
      <w:bookmarkStart w:id="417" w:name="_Toc225877749"/>
      <w:r w:rsidRPr="009A5185">
        <w:lastRenderedPageBreak/>
        <w:t>5</w:t>
      </w:r>
      <w:r w:rsidR="00332AF9">
        <w:t>A</w:t>
      </w:r>
      <w:r w:rsidRPr="009A5185">
        <w:t xml:space="preserve">: </w:t>
      </w:r>
      <w:r w:rsidR="00332AF9">
        <w:t xml:space="preserve">Adult </w:t>
      </w:r>
      <w:r w:rsidRPr="009A5185">
        <w:t>ICU P</w:t>
      </w:r>
      <w:r>
        <w:t>hysician</w:t>
      </w:r>
      <w:r w:rsidRPr="009A5185">
        <w:t xml:space="preserve"> S</w:t>
      </w:r>
      <w:r>
        <w:t>taffing</w:t>
      </w:r>
      <w:bookmarkEnd w:id="417"/>
    </w:p>
    <w:p w14:paraId="709090B7" w14:textId="77777777" w:rsidR="006922BB" w:rsidRPr="001839DB" w:rsidRDefault="006922BB" w:rsidP="008110F5">
      <w:pPr>
        <w:rPr>
          <w:rFonts w:cs="Arial"/>
          <w:lang w:eastAsia="ja-JP"/>
        </w:rPr>
      </w:pPr>
    </w:p>
    <w:p w14:paraId="6784CF4F" w14:textId="43819D39" w:rsidR="006922BB" w:rsidRPr="00174828" w:rsidRDefault="006922BB" w:rsidP="0070116C">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23" w:history="1">
        <w:r w:rsidRPr="009A5185">
          <w:rPr>
            <w:rStyle w:val="Hyperlink"/>
            <w:rFonts w:cs="Arial"/>
            <w:snapToGrid w:val="0"/>
          </w:rPr>
          <w:t>Leapfrog’s Multi-Campus Reporting Policy</w:t>
        </w:r>
      </w:hyperlink>
      <w:r>
        <w:rPr>
          <w:rStyle w:val="Hyperlink"/>
          <w:rFonts w:cs="Arial"/>
          <w:snapToGrid w:val="0"/>
        </w:rPr>
        <w:t>.</w:t>
      </w:r>
    </w:p>
    <w:p w14:paraId="0670730E" w14:textId="77777777" w:rsidR="002442B8" w:rsidRPr="001839DB" w:rsidRDefault="002442B8" w:rsidP="008110F5">
      <w:pPr>
        <w:rPr>
          <w:rFonts w:cs="Arial"/>
          <w:lang w:eastAsia="ja-JP"/>
        </w:rPr>
      </w:pPr>
    </w:p>
    <w:p w14:paraId="22FA96F0" w14:textId="77777777" w:rsidR="002442B8" w:rsidRPr="009A5185" w:rsidRDefault="002442B8" w:rsidP="002442B8">
      <w:pPr>
        <w:rPr>
          <w:rFonts w:cs="Arial"/>
          <w:b/>
          <w:snapToGrid w:val="0"/>
          <w:color w:val="FF0000"/>
        </w:rPr>
      </w:pPr>
      <w:r w:rsidRPr="009A5185">
        <w:rPr>
          <w:rFonts w:cs="Arial"/>
          <w:b/>
          <w:snapToGrid w:val="0"/>
          <w:color w:val="FF0000"/>
        </w:rPr>
        <w:t>Important Notes:</w:t>
      </w:r>
    </w:p>
    <w:p w14:paraId="027D272B" w14:textId="77777777" w:rsidR="00B77CDF" w:rsidRPr="001839DB" w:rsidRDefault="00B77CDF" w:rsidP="002442B8">
      <w:pPr>
        <w:rPr>
          <w:rFonts w:cs="Arial"/>
          <w:b/>
          <w:snapToGrid w:val="0"/>
          <w:color w:val="FF0000"/>
        </w:rPr>
      </w:pPr>
    </w:p>
    <w:p w14:paraId="460A4BB7" w14:textId="530BC2CF" w:rsidR="003475DE" w:rsidRDefault="002442B8" w:rsidP="002442B8">
      <w:pPr>
        <w:rPr>
          <w:rFonts w:cs="Arial"/>
          <w:snapToGrid w:val="0"/>
          <w:color w:val="000000"/>
        </w:rPr>
      </w:pPr>
      <w:r w:rsidRPr="009A5185">
        <w:rPr>
          <w:rFonts w:cs="Arial"/>
          <w:snapToGrid w:val="0"/>
          <w:color w:val="000000"/>
        </w:rPr>
        <w:t xml:space="preserve">Note 1: </w:t>
      </w:r>
      <w:r w:rsidR="003475DE">
        <w:rPr>
          <w:rFonts w:cs="Arial"/>
          <w:lang w:eastAsia="ja-JP"/>
        </w:rPr>
        <w:t>Each</w:t>
      </w:r>
      <w:r w:rsidR="003475DE" w:rsidRPr="009A5185">
        <w:rPr>
          <w:rFonts w:cs="Arial"/>
          <w:lang w:eastAsia="ja-JP"/>
        </w:rPr>
        <w:t xml:space="preserve"> of the endnotes referenced in the questions below </w:t>
      </w:r>
      <w:r w:rsidR="003475DE">
        <w:rPr>
          <w:rFonts w:cs="Arial"/>
          <w:lang w:eastAsia="ja-JP"/>
        </w:rPr>
        <w:t xml:space="preserve">must be reviewed </w:t>
      </w:r>
      <w:r w:rsidR="003475DE" w:rsidRPr="009A5185">
        <w:rPr>
          <w:rFonts w:cs="Arial"/>
          <w:lang w:eastAsia="ja-JP"/>
        </w:rPr>
        <w:t>before responding to each question.</w:t>
      </w:r>
    </w:p>
    <w:p w14:paraId="25280A35" w14:textId="77777777" w:rsidR="003475DE" w:rsidRPr="001839DB" w:rsidRDefault="003475DE" w:rsidP="002442B8">
      <w:pPr>
        <w:rPr>
          <w:rFonts w:cs="Arial"/>
          <w:snapToGrid w:val="0"/>
          <w:color w:val="000000"/>
        </w:rPr>
      </w:pPr>
    </w:p>
    <w:p w14:paraId="16545605" w14:textId="1FF31AAE" w:rsidR="002442B8" w:rsidRPr="001839DB" w:rsidRDefault="003475DE" w:rsidP="002442B8">
      <w:pPr>
        <w:rPr>
          <w:rFonts w:cs="Arial"/>
          <w:snapToGrid w:val="0"/>
          <w:color w:val="000000"/>
        </w:rPr>
      </w:pPr>
      <w:r>
        <w:rPr>
          <w:rFonts w:cs="Arial"/>
          <w:snapToGrid w:val="0"/>
          <w:color w:val="000000"/>
        </w:rPr>
        <w:t xml:space="preserve">Note 2: </w:t>
      </w:r>
      <w:r w:rsidR="002442B8" w:rsidRPr="009A5185">
        <w:rPr>
          <w:rFonts w:cs="Arial"/>
          <w:snapToGrid w:val="0"/>
          <w:color w:val="000000"/>
        </w:rPr>
        <w:t>Some intensivist “presence” may be accomplished via tele</w:t>
      </w:r>
      <w:r w:rsidR="0031377B">
        <w:rPr>
          <w:rFonts w:cs="Arial"/>
          <w:snapToGrid w:val="0"/>
          <w:color w:val="000000"/>
        </w:rPr>
        <w:t>-</w:t>
      </w:r>
      <w:r w:rsidR="002442B8" w:rsidRPr="009A5185">
        <w:rPr>
          <w:rFonts w:cs="Arial"/>
          <w:snapToGrid w:val="0"/>
          <w:color w:val="000000"/>
        </w:rPr>
        <w:t>intensivists per Leapfrog’s specifications (</w:t>
      </w:r>
      <w:hyperlink w:anchor="Endnote27_Telemedicine" w:history="1">
        <w:r w:rsidR="002442B8" w:rsidRPr="009A5185">
          <w:rPr>
            <w:rStyle w:val="Hyperlink"/>
            <w:rFonts w:cs="Arial"/>
            <w:snapToGrid w:val="0"/>
          </w:rPr>
          <w:t>More Information</w:t>
        </w:r>
      </w:hyperlink>
      <w:r w:rsidR="000F4DD8">
        <w:rPr>
          <w:rFonts w:cs="Arial"/>
          <w:snapToGrid w:val="0"/>
          <w:vertAlign w:val="superscript"/>
        </w:rPr>
        <w:fldChar w:fldCharType="begin"/>
      </w:r>
      <w:r w:rsidR="000F4DD8">
        <w:rPr>
          <w:rStyle w:val="Hyperlink"/>
          <w:rFonts w:cs="Arial"/>
          <w:snapToGrid w:val="0"/>
        </w:rPr>
        <w:instrText xml:space="preserve"> NOTEREF _Ref534212061 \f \h </w:instrText>
      </w:r>
      <w:r w:rsidR="000F4DD8">
        <w:rPr>
          <w:rFonts w:cs="Arial"/>
          <w:snapToGrid w:val="0"/>
          <w:vertAlign w:val="superscript"/>
        </w:rPr>
      </w:r>
      <w:r w:rsidR="000F4DD8">
        <w:rPr>
          <w:rFonts w:cs="Arial"/>
          <w:snapToGrid w:val="0"/>
          <w:vertAlign w:val="superscript"/>
        </w:rPr>
        <w:fldChar w:fldCharType="separate"/>
      </w:r>
      <w:r w:rsidR="007D53A2" w:rsidRPr="00A012EC">
        <w:rPr>
          <w:rStyle w:val="EndnoteReference"/>
        </w:rPr>
        <w:t>38</w:t>
      </w:r>
      <w:r w:rsidR="000F4DD8">
        <w:rPr>
          <w:rFonts w:cs="Arial"/>
          <w:snapToGrid w:val="0"/>
          <w:vertAlign w:val="superscript"/>
        </w:rPr>
        <w:fldChar w:fldCharType="end"/>
      </w:r>
      <w:r w:rsidR="00B77CDF" w:rsidRPr="009A5185">
        <w:rPr>
          <w:rFonts w:cs="Arial"/>
          <w:snapToGrid w:val="0"/>
          <w:color w:val="000000"/>
        </w:rPr>
        <w:t xml:space="preserve">). </w:t>
      </w:r>
      <w:r w:rsidR="002442B8" w:rsidRPr="009A5185">
        <w:rPr>
          <w:rFonts w:cs="Arial"/>
          <w:snapToGrid w:val="0"/>
          <w:color w:val="000000"/>
        </w:rPr>
        <w:t xml:space="preserve">However, at this time hospitals cannot </w:t>
      </w:r>
      <w:r w:rsidR="00237CAD">
        <w:rPr>
          <w:rFonts w:cs="Arial"/>
          <w:snapToGrid w:val="0"/>
          <w:color w:val="000000"/>
        </w:rPr>
        <w:t xml:space="preserve">achieve </w:t>
      </w:r>
      <w:r w:rsidR="002442B8" w:rsidRPr="009A5185">
        <w:rPr>
          <w:rFonts w:cs="Arial"/>
          <w:snapToGrid w:val="0"/>
          <w:color w:val="000000"/>
        </w:rPr>
        <w:t xml:space="preserve">the standard through the sole use of </w:t>
      </w:r>
      <w:r w:rsidR="00020513" w:rsidRPr="009A5185">
        <w:rPr>
          <w:rFonts w:cs="Arial"/>
          <w:snapToGrid w:val="0"/>
          <w:color w:val="000000"/>
        </w:rPr>
        <w:t>tele</w:t>
      </w:r>
      <w:r w:rsidR="0031377B">
        <w:rPr>
          <w:rFonts w:cs="Arial"/>
          <w:snapToGrid w:val="0"/>
          <w:color w:val="000000"/>
        </w:rPr>
        <w:t>-</w:t>
      </w:r>
      <w:r w:rsidR="00020513" w:rsidRPr="009A5185">
        <w:rPr>
          <w:rFonts w:cs="Arial"/>
          <w:snapToGrid w:val="0"/>
          <w:color w:val="000000"/>
        </w:rPr>
        <w:t>intensivists.</w:t>
      </w:r>
      <w:r w:rsidR="002442B8" w:rsidRPr="009A5185">
        <w:rPr>
          <w:rFonts w:cs="Arial"/>
          <w:snapToGrid w:val="0"/>
          <w:color w:val="000000"/>
        </w:rPr>
        <w:br/>
      </w:r>
    </w:p>
    <w:p w14:paraId="3C74B68A" w14:textId="31B9B9EB" w:rsidR="002442B8" w:rsidRDefault="002442B8" w:rsidP="002442B8">
      <w:pPr>
        <w:rPr>
          <w:rFonts w:cs="Arial"/>
          <w:snapToGrid w:val="0"/>
          <w:color w:val="000000"/>
        </w:rPr>
      </w:pPr>
      <w:r w:rsidRPr="009A5185">
        <w:rPr>
          <w:rFonts w:cs="Arial"/>
          <w:snapToGrid w:val="0"/>
          <w:color w:val="000000"/>
        </w:rPr>
        <w:t xml:space="preserve">Note </w:t>
      </w:r>
      <w:r w:rsidR="003475DE">
        <w:rPr>
          <w:rFonts w:cs="Arial"/>
          <w:snapToGrid w:val="0"/>
          <w:color w:val="000000"/>
        </w:rPr>
        <w:t>3</w:t>
      </w:r>
      <w:r w:rsidRPr="009A5185">
        <w:rPr>
          <w:rFonts w:cs="Arial"/>
          <w:snapToGrid w:val="0"/>
          <w:color w:val="000000"/>
        </w:rPr>
        <w:t>: On an interim basis, other categories of physicians may be considered by Leapfrog to be “certified in Critical Care Medicine” (</w:t>
      </w:r>
      <w:hyperlink w:anchor="Endnote25_Certified" w:history="1">
        <w:r w:rsidR="003D2251" w:rsidRPr="009A5185">
          <w:rPr>
            <w:rStyle w:val="Hyperlink"/>
            <w:rFonts w:cs="Arial"/>
            <w:snapToGrid w:val="0"/>
          </w:rPr>
          <w:t>More Information</w:t>
        </w:r>
      </w:hyperlink>
      <w:r w:rsidR="000F4DD8">
        <w:rPr>
          <w:rFonts w:cs="Arial"/>
          <w:snapToGrid w:val="0"/>
          <w:vertAlign w:val="superscript"/>
        </w:rPr>
        <w:fldChar w:fldCharType="begin"/>
      </w:r>
      <w:r w:rsidR="000F4DD8">
        <w:rPr>
          <w:rStyle w:val="Hyperlink"/>
          <w:rFonts w:cs="Arial"/>
          <w:snapToGrid w:val="0"/>
        </w:rPr>
        <w:instrText xml:space="preserve"> NOTEREF _Ref534212273 \f \h </w:instrText>
      </w:r>
      <w:r w:rsidR="000F4DD8">
        <w:rPr>
          <w:rFonts w:cs="Arial"/>
          <w:snapToGrid w:val="0"/>
          <w:vertAlign w:val="superscript"/>
        </w:rPr>
      </w:r>
      <w:r w:rsidR="000F4DD8">
        <w:rPr>
          <w:rFonts w:cs="Arial"/>
          <w:snapToGrid w:val="0"/>
          <w:vertAlign w:val="superscript"/>
        </w:rPr>
        <w:fldChar w:fldCharType="separate"/>
      </w:r>
      <w:r w:rsidR="007D53A2" w:rsidRPr="00A012EC">
        <w:rPr>
          <w:rStyle w:val="EndnoteReference"/>
        </w:rPr>
        <w:t>36</w:t>
      </w:r>
      <w:r w:rsidR="000F4DD8">
        <w:rPr>
          <w:rFonts w:cs="Arial"/>
          <w:snapToGrid w:val="0"/>
          <w:vertAlign w:val="superscript"/>
        </w:rPr>
        <w:fldChar w:fldCharType="end"/>
      </w:r>
      <w:r w:rsidRPr="009A5185">
        <w:rPr>
          <w:rFonts w:cs="Arial"/>
          <w:snapToGrid w:val="0"/>
          <w:color w:val="000000"/>
        </w:rPr>
        <w:t>).</w:t>
      </w:r>
    </w:p>
    <w:p w14:paraId="5A2EF034" w14:textId="77777777" w:rsidR="002F6826" w:rsidRPr="001839DB" w:rsidRDefault="002F6826" w:rsidP="002442B8">
      <w:pPr>
        <w:rPr>
          <w:rFonts w:cs="Arial"/>
          <w:snapToGrid w:val="0"/>
          <w:color w:val="000000"/>
        </w:rPr>
      </w:pPr>
    </w:p>
    <w:p w14:paraId="07A8ABC0" w14:textId="555A8121" w:rsidR="002F6826" w:rsidRDefault="002F6826" w:rsidP="002442B8">
      <w:pPr>
        <w:rPr>
          <w:rFonts w:cs="Arial"/>
          <w:snapToGrid w:val="0"/>
          <w:color w:val="000000"/>
        </w:rPr>
      </w:pPr>
      <w:r>
        <w:rPr>
          <w:rFonts w:cs="Arial"/>
          <w:snapToGrid w:val="0"/>
          <w:color w:val="000000"/>
        </w:rPr>
        <w:t xml:space="preserve">Note 4: </w:t>
      </w:r>
      <w:r w:rsidRPr="002F6826">
        <w:rPr>
          <w:rFonts w:cs="Arial"/>
          <w:snapToGrid w:val="0"/>
          <w:color w:val="000000"/>
        </w:rPr>
        <w:t>The standard applies to all adult general medical</w:t>
      </w:r>
      <w:r w:rsidR="000761D6">
        <w:rPr>
          <w:rFonts w:cs="Arial"/>
          <w:snapToGrid w:val="0"/>
          <w:color w:val="000000"/>
        </w:rPr>
        <w:t>, surgical, medical/</w:t>
      </w:r>
      <w:r w:rsidRPr="002F6826">
        <w:rPr>
          <w:rFonts w:cs="Arial"/>
          <w:snapToGrid w:val="0"/>
          <w:color w:val="000000"/>
        </w:rPr>
        <w:t>surgical</w:t>
      </w:r>
      <w:r w:rsidR="00736C1D">
        <w:rPr>
          <w:rFonts w:cs="Arial"/>
          <w:snapToGrid w:val="0"/>
          <w:color w:val="000000"/>
        </w:rPr>
        <w:t>,</w:t>
      </w:r>
      <w:r w:rsidRPr="002F6826">
        <w:rPr>
          <w:rFonts w:cs="Arial"/>
          <w:snapToGrid w:val="0"/>
          <w:color w:val="000000"/>
        </w:rPr>
        <w:t xml:space="preserve"> and neuro critical care patients (medical and surgical), including those patients in mixed acuity units.</w:t>
      </w:r>
    </w:p>
    <w:p w14:paraId="439BFE64" w14:textId="77777777" w:rsidR="00194A02" w:rsidRPr="001839DB" w:rsidRDefault="00194A02" w:rsidP="002442B8">
      <w:pPr>
        <w:rPr>
          <w:rFonts w:cs="Arial"/>
          <w:snapToGrid w:val="0"/>
          <w:color w:val="000000"/>
        </w:rPr>
      </w:pPr>
    </w:p>
    <w:p w14:paraId="5269BD2C" w14:textId="30BB3539" w:rsidR="008B5F08" w:rsidRDefault="00867A75" w:rsidP="00194A02">
      <w:pPr>
        <w:rPr>
          <w:rFonts w:cs="Arial"/>
          <w:lang w:eastAsia="ja-JP"/>
        </w:rPr>
      </w:pPr>
      <w:r w:rsidRPr="00867A75">
        <w:rPr>
          <w:rFonts w:cs="Arial"/>
          <w:noProof/>
          <w:lang w:eastAsia="ja-JP"/>
        </w:rPr>
        <mc:AlternateContent>
          <mc:Choice Requires="wps">
            <w:drawing>
              <wp:inline distT="0" distB="0" distL="0" distR="0" wp14:anchorId="3FA8B3F2" wp14:editId="0B16132D">
                <wp:extent cx="5987332" cy="1381125"/>
                <wp:effectExtent l="0" t="0" r="13970" b="28575"/>
                <wp:docPr id="39" name="Text Box 39" descr="P7265TB2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332" cy="1381125"/>
                        </a:xfrm>
                        <a:prstGeom prst="rect">
                          <a:avLst/>
                        </a:prstGeom>
                        <a:solidFill>
                          <a:srgbClr val="FFFFFF"/>
                        </a:solidFill>
                        <a:ln w="9525">
                          <a:solidFill>
                            <a:srgbClr val="FF0000"/>
                          </a:solidFill>
                          <a:miter lim="800000"/>
                          <a:headEnd/>
                          <a:tailEnd/>
                        </a:ln>
                      </wps:spPr>
                      <wps:txbx>
                        <w:txbxContent>
                          <w:p w14:paraId="37E61A16" w14:textId="4186E87A" w:rsidR="00867A75" w:rsidRDefault="00867A75" w:rsidP="00867A75">
                            <w:pPr>
                              <w:pStyle w:val="Header"/>
                              <w:tabs>
                                <w:tab w:val="clear" w:pos="4320"/>
                                <w:tab w:val="clear" w:pos="8640"/>
                              </w:tabs>
                              <w:spacing w:before="40"/>
                              <w:rPr>
                                <w:rFonts w:cs="Arial"/>
                                <w:b/>
                              </w:rPr>
                            </w:pPr>
                            <w:r w:rsidRPr="009A5185">
                              <w:rPr>
                                <w:rFonts w:cs="Arial"/>
                                <w:b/>
                              </w:rPr>
                              <w:t xml:space="preserve">Reporting Period: </w:t>
                            </w:r>
                            <w:r>
                              <w:rPr>
                                <w:rFonts w:cs="Arial"/>
                                <w:b/>
                              </w:rPr>
                              <w:t>3 months</w:t>
                            </w:r>
                          </w:p>
                          <w:p w14:paraId="11838567" w14:textId="77777777" w:rsidR="00867A75" w:rsidRDefault="00867A75" w:rsidP="00867A75">
                            <w:pPr>
                              <w:pStyle w:val="Header"/>
                              <w:tabs>
                                <w:tab w:val="clear" w:pos="4320"/>
                                <w:tab w:val="clear" w:pos="8640"/>
                              </w:tabs>
                              <w:spacing w:before="40"/>
                              <w:rPr>
                                <w:rFonts w:cs="Arial"/>
                              </w:rPr>
                            </w:pPr>
                            <w:r w:rsidRPr="009A5185">
                              <w:rPr>
                                <w:rFonts w:cs="Arial"/>
                              </w:rPr>
                              <w:t>Answer questions #1-1</w:t>
                            </w:r>
                            <w:r>
                              <w:rPr>
                                <w:rFonts w:cs="Arial"/>
                              </w:rPr>
                              <w:t>5</w:t>
                            </w:r>
                            <w:r w:rsidRPr="009A5185">
                              <w:rPr>
                                <w:rFonts w:cs="Arial"/>
                              </w:rPr>
                              <w:t xml:space="preserve"> based on the staffing structure currently in place at the time that you submit this section of the Survey. The staffing structure should have been in place for at least the past 3 months and reflect the ordinary staffing structure for each applicable ICU.</w:t>
                            </w:r>
                          </w:p>
                          <w:p w14:paraId="7DA177DD" w14:textId="77777777" w:rsidR="00867A75" w:rsidRPr="001839DB" w:rsidRDefault="00867A75" w:rsidP="00867A75">
                            <w:pPr>
                              <w:pStyle w:val="Header"/>
                              <w:tabs>
                                <w:tab w:val="clear" w:pos="4320"/>
                                <w:tab w:val="clear" w:pos="8640"/>
                              </w:tabs>
                              <w:spacing w:before="40"/>
                              <w:rPr>
                                <w:rFonts w:cs="Arial"/>
                                <w:b/>
                              </w:rPr>
                            </w:pPr>
                          </w:p>
                          <w:p w14:paraId="25172680" w14:textId="5400E610" w:rsidR="00867A75" w:rsidRDefault="00867A75" w:rsidP="00867A75">
                            <w:r w:rsidRPr="006547C0">
                              <w:rPr>
                                <w:rFonts w:cs="Arial"/>
                                <w:sz w:val="16"/>
                                <w:szCs w:val="16"/>
                              </w:rPr>
                              <w:t xml:space="preserve">Note: As a reminder, the </w:t>
                            </w:r>
                            <w:hyperlink r:id="rId324"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3FA8B3F2" id="Text Box 39" o:spid="_x0000_s1048" type="#_x0000_t202" alt="P7265TB21#y1" style="width:471.4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" strokecolor="red">
                <v:textbox>
                  <w:txbxContent>
                    <w:p w14:paraId="37E61A16" w14:textId="4186E87A" w:rsidR="00867A75" w:rsidRDefault="00867A75" w:rsidP="00867A75">
                      <w:pPr>
                        <w:pStyle w:val="Header"/>
                        <w:tabs>
                          <w:tab w:val="clear" w:pos="4320"/>
                          <w:tab w:val="clear" w:pos="8640"/>
                        </w:tabs>
                        <w:spacing w:before="40"/>
                        <w:rPr>
                          <w:rFonts w:cs="Arial"/>
                          <w:b/>
                        </w:rPr>
                      </w:pPr>
                      <w:r w:rsidRPr="009A5185">
                        <w:rPr>
                          <w:rFonts w:cs="Arial"/>
                          <w:b/>
                        </w:rPr>
                        <w:t xml:space="preserve">Reporting Period: </w:t>
                      </w:r>
                      <w:r>
                        <w:rPr>
                          <w:rFonts w:cs="Arial"/>
                          <w:b/>
                        </w:rPr>
                        <w:t>3 months</w:t>
                      </w:r>
                    </w:p>
                    <w:p w14:paraId="11838567" w14:textId="77777777" w:rsidR="00867A75" w:rsidRDefault="00867A75" w:rsidP="00867A75">
                      <w:pPr>
                        <w:pStyle w:val="Header"/>
                        <w:tabs>
                          <w:tab w:val="clear" w:pos="4320"/>
                          <w:tab w:val="clear" w:pos="8640"/>
                        </w:tabs>
                        <w:spacing w:before="40"/>
                        <w:rPr>
                          <w:rFonts w:cs="Arial"/>
                        </w:rPr>
                      </w:pPr>
                      <w:r w:rsidRPr="009A5185">
                        <w:rPr>
                          <w:rFonts w:cs="Arial"/>
                        </w:rPr>
                        <w:t>Answer questions #1-1</w:t>
                      </w:r>
                      <w:r>
                        <w:rPr>
                          <w:rFonts w:cs="Arial"/>
                        </w:rPr>
                        <w:t>5</w:t>
                      </w:r>
                      <w:r w:rsidRPr="009A5185">
                        <w:rPr>
                          <w:rFonts w:cs="Arial"/>
                        </w:rPr>
                        <w:t xml:space="preserve"> based on the staffing structure currently in place at the time that you submit this section of the Survey. The staffing structure should have been in place for at least the past 3 months and reflect the ordinary staffing structure for each applicable ICU.</w:t>
                      </w:r>
                    </w:p>
                    <w:p w14:paraId="7DA177DD" w14:textId="77777777" w:rsidR="00867A75" w:rsidRPr="001839DB" w:rsidRDefault="00867A75" w:rsidP="00867A75">
                      <w:pPr>
                        <w:pStyle w:val="Header"/>
                        <w:tabs>
                          <w:tab w:val="clear" w:pos="4320"/>
                          <w:tab w:val="clear" w:pos="8640"/>
                        </w:tabs>
                        <w:spacing w:before="40"/>
                        <w:rPr>
                          <w:rFonts w:cs="Arial"/>
                          <w:b/>
                        </w:rPr>
                      </w:pPr>
                    </w:p>
                    <w:p w14:paraId="25172680" w14:textId="5400E610" w:rsidR="00867A75" w:rsidRDefault="00867A75" w:rsidP="00867A75">
                      <w:r w:rsidRPr="006547C0">
                        <w:rPr>
                          <w:rFonts w:cs="Arial"/>
                          <w:sz w:val="16"/>
                          <w:szCs w:val="16"/>
                        </w:rPr>
                        <w:t xml:space="preserve">Note: As a reminder, the </w:t>
                      </w:r>
                      <w:hyperlink r:id="rId325"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55736C22" w14:textId="77777777" w:rsidR="00194A02" w:rsidRPr="001839DB" w:rsidRDefault="00194A02" w:rsidP="00194A02">
      <w:pPr>
        <w:rPr>
          <w:rFonts w:cs="Arial"/>
          <w:lang w:eastAsia="ja-JP"/>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5"/>
        <w:gridCol w:w="3035"/>
      </w:tblGrid>
      <w:tr w:rsidR="00940EA2" w:rsidRPr="009A5185" w14:paraId="4B57EB82" w14:textId="77777777" w:rsidTr="001839DB">
        <w:trPr>
          <w:trHeight w:val="20"/>
          <w:jc w:val="center"/>
        </w:trPr>
        <w:tc>
          <w:tcPr>
            <w:tcW w:w="6325" w:type="dxa"/>
            <w:vAlign w:val="center"/>
          </w:tcPr>
          <w:p w14:paraId="3D8B0FA9" w14:textId="465416E0" w:rsidR="006F3235" w:rsidRPr="006F3235" w:rsidRDefault="00940EA2" w:rsidP="00AD309C">
            <w:pPr>
              <w:numPr>
                <w:ilvl w:val="0"/>
                <w:numId w:val="31"/>
              </w:numPr>
              <w:spacing w:before="120" w:after="120"/>
              <w:rPr>
                <w:rFonts w:cs="Arial"/>
              </w:rPr>
            </w:pPr>
            <w:r w:rsidRPr="009A5185">
              <w:rPr>
                <w:rFonts w:cs="Arial"/>
              </w:rPr>
              <w:t>W</w:t>
            </w:r>
            <w:r w:rsidRPr="009A5185">
              <w:rPr>
                <w:rFonts w:cs="Arial"/>
                <w:snapToGrid w:val="0"/>
                <w:color w:val="000000"/>
              </w:rPr>
              <w:t>hat is the latest 3-month reporting period for which your hospital is submitting responses to this section? 3 months ending:</w:t>
            </w:r>
          </w:p>
        </w:tc>
        <w:tc>
          <w:tcPr>
            <w:tcW w:w="3035" w:type="dxa"/>
            <w:vAlign w:val="center"/>
          </w:tcPr>
          <w:p w14:paraId="1AE49599" w14:textId="77777777" w:rsidR="00940EA2" w:rsidRPr="009A5185" w:rsidRDefault="00940EA2" w:rsidP="00AE21E5">
            <w:pPr>
              <w:jc w:val="center"/>
              <w:rPr>
                <w:rFonts w:cs="Arial"/>
                <w:i/>
                <w:snapToGrid w:val="0"/>
              </w:rPr>
            </w:pPr>
            <w:r w:rsidRPr="009A5185">
              <w:rPr>
                <w:rFonts w:cs="Arial"/>
                <w:i/>
                <w:snapToGrid w:val="0"/>
              </w:rPr>
              <w:t>______</w:t>
            </w:r>
          </w:p>
          <w:p w14:paraId="4E4BC1D5" w14:textId="654F7A4A" w:rsidR="00940EA2" w:rsidRPr="009A5185" w:rsidRDefault="008F33BA" w:rsidP="00AE21E5">
            <w:pPr>
              <w:jc w:val="center"/>
              <w:rPr>
                <w:rFonts w:cs="Arial"/>
                <w:i/>
                <w:snapToGrid w:val="0"/>
                <w:sz w:val="16"/>
                <w:szCs w:val="16"/>
              </w:rPr>
            </w:pPr>
            <w:r w:rsidRPr="009A5185">
              <w:rPr>
                <w:rFonts w:cs="Arial"/>
                <w:i/>
                <w:snapToGrid w:val="0"/>
                <w:sz w:val="16"/>
                <w:szCs w:val="16"/>
              </w:rPr>
              <w:t xml:space="preserve">Format: </w:t>
            </w:r>
            <w:r w:rsidR="00940EA2" w:rsidRPr="009A5185">
              <w:rPr>
                <w:rFonts w:cs="Arial"/>
                <w:i/>
                <w:snapToGrid w:val="0"/>
                <w:sz w:val="16"/>
                <w:szCs w:val="16"/>
              </w:rPr>
              <w:t>M</w:t>
            </w:r>
            <w:r w:rsidR="00971518">
              <w:rPr>
                <w:rFonts w:cs="Arial"/>
                <w:i/>
                <w:snapToGrid w:val="0"/>
                <w:sz w:val="16"/>
                <w:szCs w:val="16"/>
              </w:rPr>
              <w:t>on</w:t>
            </w:r>
            <w:r w:rsidR="0074456F">
              <w:rPr>
                <w:rFonts w:cs="Arial"/>
                <w:i/>
                <w:snapToGrid w:val="0"/>
                <w:sz w:val="16"/>
                <w:szCs w:val="16"/>
              </w:rPr>
              <w:t>th</w:t>
            </w:r>
            <w:r w:rsidR="00940EA2" w:rsidRPr="009A5185">
              <w:rPr>
                <w:rFonts w:cs="Arial"/>
                <w:i/>
                <w:snapToGrid w:val="0"/>
                <w:sz w:val="16"/>
                <w:szCs w:val="16"/>
              </w:rPr>
              <w:t>/Y</w:t>
            </w:r>
            <w:r w:rsidR="0074456F">
              <w:rPr>
                <w:rFonts w:cs="Arial"/>
                <w:i/>
                <w:snapToGrid w:val="0"/>
                <w:sz w:val="16"/>
                <w:szCs w:val="16"/>
              </w:rPr>
              <w:t>ear</w:t>
            </w:r>
          </w:p>
        </w:tc>
      </w:tr>
      <w:tr w:rsidR="008910AA" w:rsidRPr="009A5185" w14:paraId="3371EB40" w14:textId="77777777" w:rsidTr="001839DB">
        <w:trPr>
          <w:trHeight w:val="3744"/>
          <w:jc w:val="center"/>
        </w:trPr>
        <w:tc>
          <w:tcPr>
            <w:tcW w:w="6325" w:type="dxa"/>
            <w:vAlign w:val="center"/>
          </w:tcPr>
          <w:p w14:paraId="041D191F" w14:textId="05E58AF8" w:rsidR="004C4560" w:rsidRPr="004C4560" w:rsidRDefault="008910AA" w:rsidP="00AD309C">
            <w:pPr>
              <w:numPr>
                <w:ilvl w:val="0"/>
                <w:numId w:val="31"/>
              </w:numPr>
              <w:rPr>
                <w:rFonts w:cs="Arial"/>
              </w:rPr>
            </w:pPr>
            <w:r w:rsidRPr="009A5185">
              <w:rPr>
                <w:rFonts w:cs="Arial"/>
              </w:rPr>
              <w:t>Does your hospital operate any</w:t>
            </w:r>
            <w:r w:rsidR="003B2B0E">
              <w:rPr>
                <w:rFonts w:cs="Arial"/>
              </w:rPr>
              <w:t xml:space="preserve"> adult</w:t>
            </w:r>
            <w:r w:rsidRPr="009A5185">
              <w:rPr>
                <w:rFonts w:cs="Arial"/>
              </w:rPr>
              <w:t xml:space="preserve"> </w:t>
            </w:r>
            <w:hyperlink w:anchor="generalmedicalsurgicalandneuroicu" w:history="1">
              <w:r w:rsidR="007C624A">
                <w:rPr>
                  <w:rStyle w:val="Hyperlink"/>
                  <w:rFonts w:cs="Arial"/>
                </w:rPr>
                <w:t>G</w:t>
              </w:r>
              <w:r w:rsidR="007C624A" w:rsidRPr="009A5185">
                <w:rPr>
                  <w:rStyle w:val="Hyperlink"/>
                  <w:rFonts w:cs="Arial"/>
                </w:rPr>
                <w:t xml:space="preserve">eneral </w:t>
              </w:r>
              <w:r w:rsidR="007C624A">
                <w:rPr>
                  <w:rStyle w:val="Hyperlink"/>
                  <w:rFonts w:cs="Arial"/>
                </w:rPr>
                <w:t>M</w:t>
              </w:r>
              <w:r w:rsidR="007C624A" w:rsidRPr="009A5185">
                <w:rPr>
                  <w:rStyle w:val="Hyperlink"/>
                  <w:rFonts w:cs="Arial"/>
                </w:rPr>
                <w:t>edical</w:t>
              </w:r>
              <w:r w:rsidR="00EE2407">
                <w:rPr>
                  <w:rStyle w:val="Hyperlink"/>
                  <w:rFonts w:cs="Arial"/>
                </w:rPr>
                <w:t xml:space="preserve">, </w:t>
              </w:r>
              <w:r w:rsidR="007C624A">
                <w:rPr>
                  <w:rStyle w:val="Hyperlink"/>
                  <w:rFonts w:cs="Arial"/>
                </w:rPr>
                <w:t>S</w:t>
              </w:r>
              <w:r w:rsidR="007C624A" w:rsidRPr="009A5185">
                <w:rPr>
                  <w:rStyle w:val="Hyperlink"/>
                  <w:rFonts w:cs="Arial"/>
                </w:rPr>
                <w:t>urgical</w:t>
              </w:r>
              <w:r w:rsidR="00EE2407">
                <w:rPr>
                  <w:rStyle w:val="Hyperlink"/>
                  <w:rFonts w:cs="Arial"/>
                </w:rPr>
                <w:t xml:space="preserve">, Medical/Surgical, </w:t>
              </w:r>
              <w:r w:rsidR="00482B41">
                <w:rPr>
                  <w:rStyle w:val="Hyperlink"/>
                  <w:rFonts w:cs="Arial"/>
                </w:rPr>
                <w:t>or</w:t>
              </w:r>
              <w:r w:rsidR="007C624A" w:rsidRPr="009A5185">
                <w:rPr>
                  <w:rStyle w:val="Hyperlink"/>
                  <w:rFonts w:cs="Arial"/>
                </w:rPr>
                <w:t xml:space="preserve"> </w:t>
              </w:r>
              <w:r w:rsidR="007C624A">
                <w:rPr>
                  <w:rStyle w:val="Hyperlink"/>
                  <w:rFonts w:cs="Arial"/>
                </w:rPr>
                <w:t>N</w:t>
              </w:r>
              <w:r w:rsidR="007C624A" w:rsidRPr="009A5185">
                <w:rPr>
                  <w:rStyle w:val="Hyperlink"/>
                  <w:rFonts w:cs="Arial"/>
                </w:rPr>
                <w:t>euro ICUs</w:t>
              </w:r>
            </w:hyperlink>
            <w:r w:rsidR="007C624A" w:rsidRPr="00B93A35">
              <w:rPr>
                <w:rStyle w:val="Hyperlink"/>
                <w:rFonts w:cs="Arial"/>
                <w:color w:val="auto"/>
                <w:u w:val="none"/>
                <w:vertAlign w:val="superscript"/>
              </w:rPr>
              <w:t>14</w:t>
            </w:r>
            <w:r w:rsidR="003B3391" w:rsidRPr="003B3391">
              <w:rPr>
                <w:rStyle w:val="Hyperlink"/>
                <w:rFonts w:cs="Arial"/>
                <w:color w:val="auto"/>
                <w:u w:val="none"/>
              </w:rPr>
              <w:t>?</w:t>
            </w:r>
            <w:r w:rsidR="00221696">
              <w:rPr>
                <w:rFonts w:cs="Arial"/>
              </w:rPr>
              <w:br/>
            </w:r>
            <w:r w:rsidR="00221696">
              <w:rPr>
                <w:rFonts w:cs="Arial"/>
              </w:rPr>
              <w:br/>
            </w:r>
            <w:r w:rsidR="0070116C">
              <w:rPr>
                <w:rFonts w:cs="Arial"/>
                <w:i/>
              </w:rPr>
              <w:t xml:space="preserve">If your hospital has more than one </w:t>
            </w:r>
            <w:r w:rsidR="00A06BB7">
              <w:rPr>
                <w:rFonts w:cs="Arial"/>
                <w:i/>
              </w:rPr>
              <w:t xml:space="preserve">applicable </w:t>
            </w:r>
            <w:r w:rsidR="00666822">
              <w:rPr>
                <w:rFonts w:cs="Arial"/>
                <w:i/>
              </w:rPr>
              <w:t xml:space="preserve">adult </w:t>
            </w:r>
            <w:r w:rsidR="0070116C">
              <w:rPr>
                <w:rFonts w:cs="Arial"/>
                <w:i/>
              </w:rPr>
              <w:t xml:space="preserve">ICU, </w:t>
            </w:r>
            <w:r w:rsidR="00CF31C1">
              <w:rPr>
                <w:rFonts w:cs="Arial"/>
                <w:i/>
              </w:rPr>
              <w:t xml:space="preserve">respond to </w:t>
            </w:r>
            <w:r w:rsidR="0070116C">
              <w:rPr>
                <w:rFonts w:cs="Arial"/>
                <w:i/>
              </w:rPr>
              <w:t xml:space="preserve">all questions </w:t>
            </w:r>
            <w:r w:rsidR="005F62F0">
              <w:rPr>
                <w:rFonts w:cs="Arial"/>
                <w:i/>
              </w:rPr>
              <w:t>in this</w:t>
            </w:r>
            <w:r w:rsidR="0070116C">
              <w:rPr>
                <w:rFonts w:cs="Arial"/>
                <w:i/>
              </w:rPr>
              <w:t xml:space="preserve"> section based on the </w:t>
            </w:r>
            <w:r w:rsidR="00666822">
              <w:rPr>
                <w:rFonts w:cs="Arial"/>
                <w:i/>
              </w:rPr>
              <w:t xml:space="preserve">adult </w:t>
            </w:r>
            <w:r w:rsidR="0070116C">
              <w:rPr>
                <w:rFonts w:cs="Arial"/>
                <w:i/>
              </w:rPr>
              <w:t xml:space="preserve">ICU that has the </w:t>
            </w:r>
            <w:r w:rsidR="00B54EF7">
              <w:rPr>
                <w:rFonts w:cs="Arial"/>
                <w:i/>
              </w:rPr>
              <w:t xml:space="preserve">lowest level of staffing by physicians certified in critical care medicine </w:t>
            </w:r>
            <w:r w:rsidR="0070116C">
              <w:rPr>
                <w:rFonts w:cs="Arial"/>
                <w:i/>
              </w:rPr>
              <w:t>(</w:t>
            </w:r>
            <w:hyperlink w:anchor="generalmedicalsurgicalandneuroicu" w:history="1">
              <w:r w:rsidR="0070116C" w:rsidRPr="00F85627">
                <w:rPr>
                  <w:rStyle w:val="Hyperlink"/>
                  <w:rFonts w:cs="Arial"/>
                  <w:i/>
                </w:rPr>
                <w:t>More Informatio</w:t>
              </w:r>
              <w:r w:rsidR="00F85627" w:rsidRPr="00F85627">
                <w:rPr>
                  <w:rStyle w:val="Hyperlink"/>
                  <w:rFonts w:cs="Arial"/>
                  <w:i/>
                </w:rPr>
                <w:t>n</w:t>
              </w:r>
            </w:hyperlink>
            <w:r w:rsidR="00A87525" w:rsidRPr="00C841D1">
              <w:rPr>
                <w:rFonts w:cs="Arial"/>
                <w:i/>
                <w:vertAlign w:val="superscript"/>
              </w:rPr>
              <w:t>14</w:t>
            </w:r>
            <w:r w:rsidR="00C841D1">
              <w:rPr>
                <w:rFonts w:cs="Arial"/>
                <w:i/>
                <w:vertAlign w:val="superscript"/>
              </w:rPr>
              <w:t>)</w:t>
            </w:r>
            <w:r w:rsidR="0070116C">
              <w:rPr>
                <w:rFonts w:cs="Arial"/>
                <w:i/>
              </w:rPr>
              <w:t>.</w:t>
            </w:r>
            <w:r w:rsidR="004C4560">
              <w:rPr>
                <w:rFonts w:cs="Arial"/>
              </w:rPr>
              <w:br/>
            </w:r>
            <w:r w:rsidR="004C4560">
              <w:rPr>
                <w:rFonts w:cs="Arial"/>
              </w:rPr>
              <w:br/>
            </w:r>
            <w:r w:rsidR="004C4560">
              <w:rPr>
                <w:rFonts w:cs="Arial"/>
                <w:i/>
                <w:iCs/>
              </w:rPr>
              <w:t xml:space="preserve">If your hospital does not operate an </w:t>
            </w:r>
            <w:r w:rsidR="00E542EA">
              <w:rPr>
                <w:rFonts w:cs="Arial"/>
                <w:i/>
                <w:iCs/>
              </w:rPr>
              <w:t xml:space="preserve">applicable </w:t>
            </w:r>
            <w:r w:rsidR="00666822">
              <w:rPr>
                <w:rFonts w:cs="Arial"/>
                <w:i/>
                <w:iCs/>
              </w:rPr>
              <w:t xml:space="preserve">adult </w:t>
            </w:r>
            <w:r w:rsidR="004C4560">
              <w:rPr>
                <w:rFonts w:cs="Arial"/>
                <w:i/>
                <w:iCs/>
              </w:rPr>
              <w:t xml:space="preserve">ICU but regularly admits </w:t>
            </w:r>
            <w:r w:rsidR="00666822">
              <w:rPr>
                <w:rFonts w:cs="Arial"/>
                <w:i/>
                <w:iCs/>
              </w:rPr>
              <w:t xml:space="preserve">adult </w:t>
            </w:r>
            <w:r w:rsidR="004C4560">
              <w:rPr>
                <w:rFonts w:cs="Arial"/>
                <w:i/>
                <w:iCs/>
              </w:rPr>
              <w:t>critical care patients to</w:t>
            </w:r>
            <w:r w:rsidR="00FF3158">
              <w:rPr>
                <w:rFonts w:cs="Arial"/>
                <w:i/>
                <w:iCs/>
              </w:rPr>
              <w:t xml:space="preserve"> </w:t>
            </w:r>
            <w:r w:rsidR="004C4560">
              <w:rPr>
                <w:rFonts w:cs="Arial"/>
                <w:i/>
                <w:iCs/>
              </w:rPr>
              <w:t>mixed acuity units, select “</w:t>
            </w:r>
            <w:r w:rsidR="005F62F0">
              <w:rPr>
                <w:rFonts w:cs="Arial"/>
                <w:i/>
                <w:iCs/>
              </w:rPr>
              <w:t>y</w:t>
            </w:r>
            <w:r w:rsidR="004C4560">
              <w:rPr>
                <w:rFonts w:cs="Arial"/>
                <w:i/>
                <w:iCs/>
              </w:rPr>
              <w:t>es” and respond to the remaining questions in Section 5</w:t>
            </w:r>
            <w:r w:rsidR="00361E28">
              <w:rPr>
                <w:rFonts w:cs="Arial"/>
                <w:i/>
                <w:iCs/>
              </w:rPr>
              <w:t>A</w:t>
            </w:r>
            <w:r w:rsidR="004C4560">
              <w:rPr>
                <w:rFonts w:cs="Arial"/>
                <w:i/>
                <w:iCs/>
              </w:rPr>
              <w:t xml:space="preserve">. </w:t>
            </w:r>
          </w:p>
          <w:p w14:paraId="07BDC448" w14:textId="77777777" w:rsidR="0070116C" w:rsidRPr="0070116C" w:rsidRDefault="0070116C" w:rsidP="0070116C">
            <w:pPr>
              <w:ind w:left="360"/>
              <w:rPr>
                <w:rFonts w:cs="Arial"/>
              </w:rPr>
            </w:pPr>
          </w:p>
          <w:p w14:paraId="29BBCD49" w14:textId="67387668" w:rsidR="006F3235" w:rsidRPr="006F3235" w:rsidRDefault="00221696" w:rsidP="006F3235">
            <w:pPr>
              <w:ind w:left="360"/>
              <w:rPr>
                <w:rFonts w:cs="Arial"/>
                <w:i/>
              </w:rPr>
            </w:pPr>
            <w:r w:rsidRPr="00221696">
              <w:rPr>
                <w:rFonts w:cs="Arial"/>
                <w:i/>
              </w:rPr>
              <w:t>If “no” to question #2, skip the remaining questions in Section 5</w:t>
            </w:r>
            <w:r w:rsidR="004813EF">
              <w:rPr>
                <w:rFonts w:cs="Arial"/>
                <w:i/>
              </w:rPr>
              <w:t>A</w:t>
            </w:r>
            <w:r w:rsidRPr="00221696">
              <w:rPr>
                <w:rFonts w:cs="Arial"/>
                <w:i/>
              </w:rPr>
              <w:t xml:space="preserve"> and </w:t>
            </w:r>
            <w:r w:rsidR="000025FB">
              <w:rPr>
                <w:rFonts w:cs="Arial"/>
                <w:i/>
              </w:rPr>
              <w:t xml:space="preserve">continue </w:t>
            </w:r>
            <w:r w:rsidRPr="00221696">
              <w:rPr>
                <w:rFonts w:cs="Arial"/>
                <w:i/>
              </w:rPr>
              <w:t xml:space="preserve">to </w:t>
            </w:r>
            <w:r w:rsidR="00D61B5D">
              <w:rPr>
                <w:rFonts w:cs="Arial"/>
                <w:i/>
              </w:rPr>
              <w:t>the next subsection</w:t>
            </w:r>
            <w:r w:rsidRPr="00301E2F">
              <w:rPr>
                <w:rFonts w:cs="Arial"/>
                <w:i/>
              </w:rPr>
              <w:t>. The hospital will be scored as “Does Not Apply.”</w:t>
            </w:r>
          </w:p>
        </w:tc>
        <w:tc>
          <w:tcPr>
            <w:tcW w:w="3035" w:type="dxa"/>
            <w:vAlign w:val="center"/>
          </w:tcPr>
          <w:p w14:paraId="24BF3FD7" w14:textId="77777777" w:rsidR="008910AA" w:rsidRPr="000C1F1D" w:rsidRDefault="008910AA" w:rsidP="00AD309C">
            <w:pPr>
              <w:pStyle w:val="ListParagraph"/>
              <w:numPr>
                <w:ilvl w:val="0"/>
                <w:numId w:val="341"/>
              </w:numPr>
              <w:rPr>
                <w:rFonts w:cs="Arial"/>
                <w:iCs/>
              </w:rPr>
            </w:pPr>
            <w:r w:rsidRPr="000C1F1D">
              <w:rPr>
                <w:rFonts w:cs="Arial"/>
                <w:iCs/>
              </w:rPr>
              <w:t>Yes</w:t>
            </w:r>
          </w:p>
          <w:p w14:paraId="5800D82C" w14:textId="77777777" w:rsidR="008910AA" w:rsidRPr="000C1F1D" w:rsidRDefault="008910AA" w:rsidP="00AD309C">
            <w:pPr>
              <w:pStyle w:val="ListParagraph"/>
              <w:numPr>
                <w:ilvl w:val="0"/>
                <w:numId w:val="341"/>
              </w:numPr>
              <w:rPr>
                <w:rFonts w:cs="Arial"/>
                <w:iCs/>
              </w:rPr>
            </w:pPr>
            <w:r w:rsidRPr="000C1F1D">
              <w:rPr>
                <w:rFonts w:cs="Arial"/>
                <w:iCs/>
              </w:rPr>
              <w:t>No</w:t>
            </w:r>
          </w:p>
        </w:tc>
      </w:tr>
      <w:tr w:rsidR="003475DE" w:rsidRPr="009A5185" w14:paraId="0F10D799" w14:textId="77777777" w:rsidTr="001839DB">
        <w:trPr>
          <w:trHeight w:val="1440"/>
          <w:jc w:val="center"/>
        </w:trPr>
        <w:tc>
          <w:tcPr>
            <w:tcW w:w="6325" w:type="dxa"/>
            <w:vAlign w:val="center"/>
          </w:tcPr>
          <w:p w14:paraId="68984875" w14:textId="74D5586E" w:rsidR="003475DE" w:rsidRDefault="003475DE" w:rsidP="00AD309C">
            <w:pPr>
              <w:numPr>
                <w:ilvl w:val="0"/>
                <w:numId w:val="31"/>
              </w:numPr>
              <w:rPr>
                <w:rFonts w:cs="Arial"/>
              </w:rPr>
            </w:pPr>
            <w:r>
              <w:rPr>
                <w:rFonts w:cs="Arial"/>
              </w:rPr>
              <w:t>Is th</w:t>
            </w:r>
            <w:r w:rsidR="009D6CB8">
              <w:rPr>
                <w:rFonts w:cs="Arial"/>
              </w:rPr>
              <w:t>e</w:t>
            </w:r>
            <w:r>
              <w:rPr>
                <w:rFonts w:cs="Arial"/>
              </w:rPr>
              <w:t xml:space="preserve"> ICU staffed with physicians</w:t>
            </w:r>
            <w:r w:rsidRPr="00AA2E10">
              <w:rPr>
                <w:rFonts w:cs="Arial"/>
              </w:rPr>
              <w:t xml:space="preserve"> </w:t>
            </w:r>
            <w:r w:rsidR="009D6CB8">
              <w:rPr>
                <w:rFonts w:cs="Arial"/>
              </w:rPr>
              <w:t xml:space="preserve">who are </w:t>
            </w:r>
            <w:hyperlink w:anchor="Endnote25_Certified" w:history="1">
              <w:r w:rsidRPr="00AA2E10">
                <w:rPr>
                  <w:rStyle w:val="Hyperlink"/>
                  <w:rFonts w:cs="Arial"/>
                </w:rPr>
                <w:t>certified in critical care medicine</w:t>
              </w:r>
            </w:hyperlink>
            <w:r>
              <w:rPr>
                <w:rFonts w:cs="Arial"/>
                <w:vertAlign w:val="superscript"/>
              </w:rPr>
              <w:fldChar w:fldCharType="begin"/>
            </w:r>
            <w:r>
              <w:rPr>
                <w:rStyle w:val="Hyperlink"/>
                <w:rFonts w:cs="Arial"/>
              </w:rPr>
              <w:instrText xml:space="preserve"> NOTEREF _Ref534212273 \f \h </w:instrText>
            </w:r>
            <w:r>
              <w:rPr>
                <w:rFonts w:cs="Arial"/>
                <w:vertAlign w:val="superscript"/>
              </w:rPr>
              <w:instrText xml:space="preserve"> \* MERGEFORMAT </w:instrText>
            </w:r>
            <w:r>
              <w:rPr>
                <w:rFonts w:cs="Arial"/>
                <w:vertAlign w:val="superscript"/>
              </w:rPr>
            </w:r>
            <w:r>
              <w:rPr>
                <w:rFonts w:cs="Arial"/>
                <w:vertAlign w:val="superscript"/>
              </w:rPr>
              <w:fldChar w:fldCharType="separate"/>
            </w:r>
            <w:r w:rsidR="007D53A2" w:rsidRPr="00A012EC">
              <w:rPr>
                <w:rStyle w:val="EndnoteReference"/>
              </w:rPr>
              <w:t>36</w:t>
            </w:r>
            <w:r>
              <w:rPr>
                <w:rFonts w:cs="Arial"/>
                <w:vertAlign w:val="superscript"/>
              </w:rPr>
              <w:fldChar w:fldCharType="end"/>
            </w:r>
            <w:r w:rsidR="009D6CB8">
              <w:rPr>
                <w:rFonts w:cs="Arial"/>
                <w:vertAlign w:val="superscript"/>
              </w:rPr>
              <w:t xml:space="preserve"> </w:t>
            </w:r>
            <w:r w:rsidR="009D6CB8">
              <w:rPr>
                <w:rFonts w:cs="Arial"/>
              </w:rPr>
              <w:t xml:space="preserve">and </w:t>
            </w:r>
            <w:r w:rsidRPr="00AA2E10">
              <w:rPr>
                <w:rFonts w:cs="Arial"/>
              </w:rPr>
              <w:t>present on-site or via telemedicine</w:t>
            </w:r>
            <w:r>
              <w:rPr>
                <w:rFonts w:cs="Arial"/>
              </w:rPr>
              <w:t>?</w:t>
            </w:r>
          </w:p>
          <w:p w14:paraId="3520A013" w14:textId="77777777" w:rsidR="003475DE" w:rsidRDefault="003475DE" w:rsidP="00F233E6">
            <w:pPr>
              <w:ind w:left="360"/>
              <w:rPr>
                <w:rFonts w:cs="Arial"/>
              </w:rPr>
            </w:pPr>
          </w:p>
          <w:p w14:paraId="2957CE4E" w14:textId="7905AD0E" w:rsidR="006F3235" w:rsidRPr="009A5185" w:rsidRDefault="003475DE" w:rsidP="00F233E6">
            <w:pPr>
              <w:ind w:left="360"/>
              <w:rPr>
                <w:rFonts w:cs="Arial"/>
              </w:rPr>
            </w:pPr>
            <w:r w:rsidRPr="00AA2E10">
              <w:rPr>
                <w:rFonts w:cs="Arial"/>
                <w:i/>
              </w:rPr>
              <w:t>If “no</w:t>
            </w:r>
            <w:r w:rsidR="00ED3D17">
              <w:rPr>
                <w:rFonts w:cs="Arial"/>
                <w:i/>
              </w:rPr>
              <w:t xml:space="preserve">, </w:t>
            </w:r>
            <w:r w:rsidR="00ED3D17" w:rsidRPr="00ED3D17">
              <w:rPr>
                <w:rFonts w:cs="Arial"/>
                <w:i/>
              </w:rPr>
              <w:t>the ICU is not staffed with any physicians certified in critical care medicine</w:t>
            </w:r>
            <w:r w:rsidRPr="00AA2E10">
              <w:rPr>
                <w:rFonts w:cs="Arial"/>
                <w:i/>
              </w:rPr>
              <w:t xml:space="preserve">” to question #3, skip </w:t>
            </w:r>
            <w:r>
              <w:rPr>
                <w:rFonts w:cs="Arial"/>
                <w:i/>
              </w:rPr>
              <w:t xml:space="preserve">the remaining </w:t>
            </w:r>
            <w:r w:rsidRPr="00AA2E10">
              <w:rPr>
                <w:rFonts w:cs="Arial"/>
                <w:i/>
              </w:rPr>
              <w:lastRenderedPageBreak/>
              <w:t>questions</w:t>
            </w:r>
            <w:r>
              <w:rPr>
                <w:rFonts w:cs="Arial"/>
                <w:i/>
              </w:rPr>
              <w:t xml:space="preserve"> in Section 5</w:t>
            </w:r>
            <w:r w:rsidR="00CB33E1">
              <w:rPr>
                <w:rFonts w:cs="Arial"/>
                <w:i/>
              </w:rPr>
              <w:t>A</w:t>
            </w:r>
            <w:r w:rsidR="00086A99">
              <w:rPr>
                <w:rFonts w:cs="Arial"/>
                <w:i/>
              </w:rPr>
              <w:t xml:space="preserve"> </w:t>
            </w:r>
            <w:r>
              <w:rPr>
                <w:rFonts w:cs="Arial"/>
                <w:i/>
              </w:rPr>
              <w:t xml:space="preserve">and </w:t>
            </w:r>
            <w:r w:rsidR="00CD2F26">
              <w:rPr>
                <w:rFonts w:cs="Arial"/>
                <w:i/>
              </w:rPr>
              <w:t>continue</w:t>
            </w:r>
            <w:r>
              <w:rPr>
                <w:rFonts w:cs="Arial"/>
                <w:i/>
              </w:rPr>
              <w:t xml:space="preserve"> to </w:t>
            </w:r>
            <w:r w:rsidR="00D61B5D">
              <w:rPr>
                <w:rFonts w:cs="Arial"/>
                <w:i/>
              </w:rPr>
              <w:t>the next subsection</w:t>
            </w:r>
            <w:r w:rsidR="00BA74BB">
              <w:rPr>
                <w:rFonts w:cs="Arial"/>
                <w:i/>
              </w:rPr>
              <w:t xml:space="preserve">. </w:t>
            </w:r>
            <w:r>
              <w:rPr>
                <w:rFonts w:cs="Arial"/>
                <w:i/>
              </w:rPr>
              <w:t>This hospital will be scored as “Limited Achievement</w:t>
            </w:r>
            <w:r w:rsidR="00EE5152">
              <w:rPr>
                <w:rFonts w:cs="Arial"/>
                <w:i/>
              </w:rPr>
              <w:t>.</w:t>
            </w:r>
            <w:r>
              <w:rPr>
                <w:rFonts w:cs="Arial"/>
                <w:i/>
              </w:rPr>
              <w:t>”</w:t>
            </w:r>
          </w:p>
        </w:tc>
        <w:tc>
          <w:tcPr>
            <w:tcW w:w="3035" w:type="dxa"/>
            <w:vAlign w:val="center"/>
          </w:tcPr>
          <w:p w14:paraId="55C23315" w14:textId="77777777" w:rsidR="003475DE" w:rsidRPr="000C1F1D" w:rsidRDefault="003475DE" w:rsidP="00AD309C">
            <w:pPr>
              <w:pStyle w:val="ListParagraph"/>
              <w:numPr>
                <w:ilvl w:val="0"/>
                <w:numId w:val="341"/>
              </w:numPr>
              <w:rPr>
                <w:rFonts w:cs="Arial"/>
                <w:iCs/>
              </w:rPr>
            </w:pPr>
            <w:r w:rsidRPr="000C1F1D">
              <w:rPr>
                <w:rFonts w:cs="Arial"/>
                <w:iCs/>
              </w:rPr>
              <w:lastRenderedPageBreak/>
              <w:t>Yes, the ICU is staffed with physicians certified in critical care medicine</w:t>
            </w:r>
          </w:p>
          <w:p w14:paraId="162E8B6B" w14:textId="77777777" w:rsidR="003475DE" w:rsidRPr="000C1F1D" w:rsidRDefault="003475DE" w:rsidP="00AD309C">
            <w:pPr>
              <w:pStyle w:val="ListParagraph"/>
              <w:numPr>
                <w:ilvl w:val="0"/>
                <w:numId w:val="341"/>
              </w:numPr>
              <w:rPr>
                <w:rFonts w:cs="Arial"/>
                <w:iCs/>
              </w:rPr>
            </w:pPr>
            <w:r w:rsidRPr="000C1F1D">
              <w:rPr>
                <w:rFonts w:cs="Arial"/>
                <w:iCs/>
              </w:rPr>
              <w:t xml:space="preserve">Yes, the ICU is staffed with physicians certified in critical care medicine </w:t>
            </w:r>
            <w:r w:rsidRPr="000C1F1D">
              <w:rPr>
                <w:rFonts w:cs="Arial"/>
                <w:iCs/>
              </w:rPr>
              <w:lastRenderedPageBreak/>
              <w:t>based on Leapfrog’s expanded definition</w:t>
            </w:r>
          </w:p>
          <w:p w14:paraId="28924940" w14:textId="74E4142B" w:rsidR="00AA04E9" w:rsidRPr="000C1F1D" w:rsidRDefault="003475DE" w:rsidP="00AD309C">
            <w:pPr>
              <w:pStyle w:val="ListParagraph"/>
              <w:numPr>
                <w:ilvl w:val="0"/>
                <w:numId w:val="341"/>
              </w:numPr>
              <w:rPr>
                <w:rFonts w:cs="Arial"/>
                <w:iCs/>
              </w:rPr>
            </w:pPr>
            <w:r w:rsidRPr="000C1F1D">
              <w:rPr>
                <w:rFonts w:cs="Arial"/>
                <w:iCs/>
              </w:rPr>
              <w:t>No, the ICU is not staffed with any physicians certified in critical care medicine</w:t>
            </w:r>
          </w:p>
        </w:tc>
      </w:tr>
      <w:tr w:rsidR="003475DE" w:rsidRPr="009A5185" w14:paraId="3ECA3C87" w14:textId="77777777" w:rsidTr="001839DB">
        <w:trPr>
          <w:trHeight w:val="1872"/>
          <w:jc w:val="center"/>
        </w:trPr>
        <w:tc>
          <w:tcPr>
            <w:tcW w:w="6325" w:type="dxa"/>
            <w:vAlign w:val="center"/>
          </w:tcPr>
          <w:p w14:paraId="335205E1" w14:textId="514FB52C" w:rsidR="003475DE" w:rsidRDefault="009D6CB8" w:rsidP="00AD309C">
            <w:pPr>
              <w:numPr>
                <w:ilvl w:val="0"/>
                <w:numId w:val="31"/>
              </w:numPr>
              <w:rPr>
                <w:rFonts w:cs="Arial"/>
              </w:rPr>
            </w:pPr>
            <w:r>
              <w:rPr>
                <w:rFonts w:cs="Arial"/>
              </w:rPr>
              <w:lastRenderedPageBreak/>
              <w:t xml:space="preserve">Do the physicians who </w:t>
            </w:r>
            <w:r w:rsidR="00626299">
              <w:rPr>
                <w:rFonts w:cs="Arial"/>
              </w:rPr>
              <w:t xml:space="preserve">are </w:t>
            </w:r>
            <w:hyperlink w:anchor="Endnote25_Certified" w:history="1">
              <w:r w:rsidRPr="00AA2E10">
                <w:rPr>
                  <w:rStyle w:val="Hyperlink"/>
                  <w:rFonts w:cs="Arial"/>
                </w:rPr>
                <w:t>certified in critical care medicine</w:t>
              </w:r>
            </w:hyperlink>
            <w:r>
              <w:rPr>
                <w:rFonts w:cs="Arial"/>
                <w:vertAlign w:val="superscript"/>
              </w:rPr>
              <w:fldChar w:fldCharType="begin"/>
            </w:r>
            <w:r>
              <w:rPr>
                <w:rStyle w:val="Hyperlink"/>
                <w:rFonts w:cs="Arial"/>
              </w:rPr>
              <w:instrText xml:space="preserve"> NOTEREF _Ref534212273 \f \h </w:instrText>
            </w:r>
            <w:r w:rsidR="0079783F">
              <w:rPr>
                <w:rFonts w:cs="Arial"/>
                <w:vertAlign w:val="superscript"/>
              </w:rPr>
              <w:instrText xml:space="preserve"> \* MERGEFORMAT </w:instrText>
            </w:r>
            <w:r>
              <w:rPr>
                <w:rFonts w:cs="Arial"/>
                <w:vertAlign w:val="superscript"/>
              </w:rPr>
            </w:r>
            <w:r>
              <w:rPr>
                <w:rFonts w:cs="Arial"/>
                <w:vertAlign w:val="superscript"/>
              </w:rPr>
              <w:fldChar w:fldCharType="separate"/>
            </w:r>
            <w:r w:rsidR="007D53A2" w:rsidRPr="00A012EC">
              <w:rPr>
                <w:rStyle w:val="EndnoteReference"/>
              </w:rPr>
              <w:t>36</w:t>
            </w:r>
            <w:r>
              <w:rPr>
                <w:rFonts w:cs="Arial"/>
                <w:vertAlign w:val="superscript"/>
              </w:rPr>
              <w:fldChar w:fldCharType="end"/>
            </w:r>
            <w:r>
              <w:rPr>
                <w:rFonts w:cs="Arial"/>
              </w:rPr>
              <w:t xml:space="preserve"> (whether present on-site or via telemedicine) manage or co-manage </w:t>
            </w:r>
            <w:hyperlink w:anchor="Endnote22_CCPatients" w:history="1">
              <w:r w:rsidR="003475DE" w:rsidRPr="003E062D">
                <w:rPr>
                  <w:rStyle w:val="Hyperlink"/>
                  <w:rFonts w:cs="Arial"/>
                </w:rPr>
                <w:t>all</w:t>
              </w:r>
              <w:r w:rsidR="003475DE" w:rsidRPr="003E062D">
                <w:rPr>
                  <w:rStyle w:val="Hyperlink"/>
                  <w:rFonts w:cs="Arial"/>
                  <w:b/>
                  <w:bCs/>
                </w:rPr>
                <w:t xml:space="preserve"> </w:t>
              </w:r>
              <w:r w:rsidR="003475DE" w:rsidRPr="003E062D">
                <w:rPr>
                  <w:rStyle w:val="Hyperlink"/>
                  <w:rFonts w:cs="Arial"/>
                </w:rPr>
                <w:t>critical care patients</w:t>
              </w:r>
            </w:hyperlink>
            <w:r w:rsidR="003E062D">
              <w:rPr>
                <w:rFonts w:cs="Arial"/>
              </w:rPr>
              <w:fldChar w:fldCharType="begin"/>
            </w:r>
            <w:r w:rsidR="003E062D">
              <w:rPr>
                <w:rFonts w:cs="Arial"/>
              </w:rPr>
              <w:instrText xml:space="preserve"> NOTEREF _Ref534212310 \f \h </w:instrText>
            </w:r>
            <w:r w:rsidR="0079783F">
              <w:rPr>
                <w:rFonts w:cs="Arial"/>
              </w:rPr>
              <w:instrText xml:space="preserve"> \* MERGEFORMAT </w:instrText>
            </w:r>
            <w:r w:rsidR="003E062D">
              <w:rPr>
                <w:rFonts w:cs="Arial"/>
              </w:rPr>
            </w:r>
            <w:r w:rsidR="003E062D">
              <w:rPr>
                <w:rFonts w:cs="Arial"/>
              </w:rPr>
              <w:fldChar w:fldCharType="separate"/>
            </w:r>
            <w:r w:rsidR="007D53A2" w:rsidRPr="00A012EC">
              <w:rPr>
                <w:rStyle w:val="EndnoteReference"/>
              </w:rPr>
              <w:t>34</w:t>
            </w:r>
            <w:r w:rsidR="003E062D">
              <w:rPr>
                <w:rFonts w:cs="Arial"/>
              </w:rPr>
              <w:fldChar w:fldCharType="end"/>
            </w:r>
            <w:r w:rsidR="003475DE">
              <w:rPr>
                <w:rFonts w:cs="Arial"/>
              </w:rPr>
              <w:t xml:space="preserve"> in the ICU?</w:t>
            </w:r>
          </w:p>
          <w:p w14:paraId="6CB84953" w14:textId="77777777" w:rsidR="003475DE" w:rsidRDefault="003475DE" w:rsidP="003475DE">
            <w:pPr>
              <w:ind w:left="360"/>
              <w:rPr>
                <w:rFonts w:cs="Arial"/>
              </w:rPr>
            </w:pPr>
          </w:p>
          <w:p w14:paraId="3D4A92D6" w14:textId="7CA1A55A" w:rsidR="003475DE" w:rsidRPr="009A5185" w:rsidRDefault="003475DE" w:rsidP="0070116C">
            <w:pPr>
              <w:ind w:left="360"/>
              <w:rPr>
                <w:rFonts w:cs="Arial"/>
              </w:rPr>
            </w:pPr>
            <w:r w:rsidRPr="00AA2E10">
              <w:rPr>
                <w:rFonts w:cs="Arial"/>
                <w:i/>
              </w:rPr>
              <w:t>If “no” to question #</w:t>
            </w:r>
            <w:r>
              <w:rPr>
                <w:rFonts w:cs="Arial"/>
                <w:i/>
              </w:rPr>
              <w:t>4</w:t>
            </w:r>
            <w:r w:rsidRPr="00AA2E10">
              <w:rPr>
                <w:rFonts w:cs="Arial"/>
                <w:i/>
              </w:rPr>
              <w:t>, skip questions #</w:t>
            </w:r>
            <w:r>
              <w:rPr>
                <w:rFonts w:cs="Arial"/>
                <w:i/>
              </w:rPr>
              <w:t>5</w:t>
            </w:r>
            <w:r w:rsidRPr="00AA2E10">
              <w:rPr>
                <w:rFonts w:cs="Arial"/>
                <w:i/>
              </w:rPr>
              <w:t>-1</w:t>
            </w:r>
            <w:r>
              <w:rPr>
                <w:rFonts w:cs="Arial"/>
                <w:i/>
              </w:rPr>
              <w:t>1</w:t>
            </w:r>
            <w:r w:rsidRPr="00AA2E10">
              <w:rPr>
                <w:rFonts w:cs="Arial"/>
                <w:i/>
              </w:rPr>
              <w:t xml:space="preserve"> and continue to question #1</w:t>
            </w:r>
            <w:r>
              <w:rPr>
                <w:rFonts w:cs="Arial"/>
                <w:i/>
              </w:rPr>
              <w:t>2</w:t>
            </w:r>
            <w:r w:rsidRPr="00AA2E10">
              <w:rPr>
                <w:rFonts w:cs="Arial"/>
                <w:i/>
              </w:rPr>
              <w:t>.</w:t>
            </w:r>
          </w:p>
        </w:tc>
        <w:tc>
          <w:tcPr>
            <w:tcW w:w="3035" w:type="dxa"/>
            <w:vAlign w:val="center"/>
          </w:tcPr>
          <w:p w14:paraId="191BD200" w14:textId="77777777" w:rsidR="003475DE" w:rsidRPr="000C1F1D" w:rsidRDefault="003475DE" w:rsidP="00AD309C">
            <w:pPr>
              <w:pStyle w:val="ListParagraph"/>
              <w:numPr>
                <w:ilvl w:val="0"/>
                <w:numId w:val="341"/>
              </w:numPr>
              <w:rPr>
                <w:rFonts w:cs="Arial"/>
                <w:iCs/>
              </w:rPr>
            </w:pPr>
            <w:r w:rsidRPr="000C1F1D">
              <w:rPr>
                <w:rFonts w:cs="Arial"/>
                <w:iCs/>
              </w:rPr>
              <w:t>Yes, all patients are managed or co-managed by a physician certified in critical care medicine when the physician is present (on-site or via telemedicine)</w:t>
            </w:r>
          </w:p>
          <w:p w14:paraId="70EFE8FE" w14:textId="11E25782" w:rsidR="003475DE" w:rsidRPr="000C1F1D" w:rsidRDefault="003475DE" w:rsidP="00AD309C">
            <w:pPr>
              <w:pStyle w:val="ListParagraph"/>
              <w:numPr>
                <w:ilvl w:val="0"/>
                <w:numId w:val="341"/>
              </w:numPr>
              <w:rPr>
                <w:rFonts w:cs="Arial"/>
                <w:iCs/>
              </w:rPr>
            </w:pPr>
            <w:r w:rsidRPr="000C1F1D">
              <w:rPr>
                <w:rFonts w:cs="Arial"/>
                <w:iCs/>
              </w:rPr>
              <w:t>No, not all patients are managed or co-managed by a physician certified in critical care medicine when the physician is present (on-site or via telemedicine)</w:t>
            </w:r>
          </w:p>
        </w:tc>
      </w:tr>
      <w:tr w:rsidR="003475DE" w:rsidRPr="009A5185" w14:paraId="168CC678" w14:textId="77777777" w:rsidTr="00183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60" w:type="dxa"/>
            <w:gridSpan w:val="2"/>
          </w:tcPr>
          <w:p w14:paraId="345AB2DE" w14:textId="77777777" w:rsidR="003475DE" w:rsidRPr="009A5185" w:rsidRDefault="003475DE" w:rsidP="003475DE">
            <w:pPr>
              <w:pStyle w:val="Header"/>
              <w:tabs>
                <w:tab w:val="clear" w:pos="4320"/>
                <w:tab w:val="clear" w:pos="8640"/>
              </w:tabs>
              <w:rPr>
                <w:rFonts w:cs="Arial"/>
                <w:i/>
              </w:rPr>
            </w:pPr>
          </w:p>
        </w:tc>
      </w:tr>
    </w:tbl>
    <w:p w14:paraId="52BFF21A" w14:textId="2E162E9C" w:rsidR="005A0EE0" w:rsidRPr="005A0EE0" w:rsidRDefault="005A0EE0">
      <w:pPr>
        <w:rPr>
          <w:rFonts w:cs="Arial"/>
          <w:i/>
          <w:iCs/>
        </w:rPr>
      </w:pPr>
      <w:r w:rsidRPr="005A0EE0">
        <w:rPr>
          <w:rFonts w:cs="Arial"/>
          <w:i/>
          <w:iCs/>
        </w:rPr>
        <w:t xml:space="preserve">There are currently </w:t>
      </w:r>
      <w:hyperlink r:id="rId326" w:history="1">
        <w:r w:rsidRPr="005A0EE0">
          <w:rPr>
            <w:rStyle w:val="Hyperlink"/>
            <w:rFonts w:cs="Arial"/>
            <w:i/>
            <w:iCs/>
          </w:rPr>
          <w:t>two different options</w:t>
        </w:r>
      </w:hyperlink>
      <w:r w:rsidRPr="005A0EE0">
        <w:rPr>
          <w:rFonts w:cs="Arial"/>
          <w:i/>
          <w:iCs/>
        </w:rPr>
        <w:t xml:space="preserve"> to achieve Leapfrog’s ICU Physician </w:t>
      </w:r>
      <w:r w:rsidR="00F22A68">
        <w:rPr>
          <w:rFonts w:cs="Arial"/>
          <w:i/>
          <w:iCs/>
        </w:rPr>
        <w:t xml:space="preserve">Staffing </w:t>
      </w:r>
      <w:r w:rsidRPr="005A0EE0">
        <w:rPr>
          <w:rFonts w:cs="Arial"/>
          <w:i/>
          <w:iCs/>
        </w:rPr>
        <w:t>Standard: on-site intensivist coverage for 8 hours a day/7 days per week or 24/7 tele-intensivist coverage with some daily on-site intensivist coverage. Questions #</w:t>
      </w:r>
      <w:r w:rsidR="00F97F08">
        <w:rPr>
          <w:rFonts w:cs="Arial"/>
          <w:i/>
          <w:iCs/>
        </w:rPr>
        <w:t>5</w:t>
      </w:r>
      <w:r w:rsidRPr="005A0EE0">
        <w:rPr>
          <w:rFonts w:cs="Arial"/>
          <w:i/>
          <w:iCs/>
        </w:rPr>
        <w:t xml:space="preserve"> and #</w:t>
      </w:r>
      <w:r w:rsidR="00F97F08">
        <w:rPr>
          <w:rFonts w:cs="Arial"/>
          <w:i/>
          <w:iCs/>
        </w:rPr>
        <w:t>6</w:t>
      </w:r>
      <w:r w:rsidRPr="005A0EE0">
        <w:rPr>
          <w:rFonts w:cs="Arial"/>
          <w:i/>
          <w:iCs/>
        </w:rPr>
        <w:t xml:space="preserve"> are meant to differentiate between these two options; however, they are both worth the same credit. Hospitals that have 24/7 </w:t>
      </w:r>
      <w:r w:rsidRPr="00D7377F">
        <w:rPr>
          <w:rFonts w:cs="Arial"/>
          <w:b/>
          <w:bCs/>
          <w:i/>
          <w:iCs/>
        </w:rPr>
        <w:t xml:space="preserve">on-site </w:t>
      </w:r>
      <w:r w:rsidRPr="005A0EE0">
        <w:rPr>
          <w:rFonts w:cs="Arial"/>
          <w:i/>
          <w:iCs/>
        </w:rPr>
        <w:t xml:space="preserve">intensivist coverage, and who meet all the criteria listed, should respond </w:t>
      </w:r>
      <w:r w:rsidR="00E93CBB">
        <w:rPr>
          <w:rFonts w:cs="Arial"/>
          <w:i/>
          <w:iCs/>
        </w:rPr>
        <w:t>“</w:t>
      </w:r>
      <w:r w:rsidRPr="005A0EE0">
        <w:rPr>
          <w:rFonts w:cs="Arial"/>
          <w:i/>
          <w:iCs/>
        </w:rPr>
        <w:t>yes</w:t>
      </w:r>
      <w:r w:rsidR="00137C20">
        <w:rPr>
          <w:rFonts w:cs="Arial"/>
          <w:i/>
          <w:iCs/>
        </w:rPr>
        <w:t>”</w:t>
      </w:r>
      <w:r w:rsidRPr="005A0EE0">
        <w:rPr>
          <w:rFonts w:cs="Arial"/>
          <w:i/>
          <w:iCs/>
        </w:rPr>
        <w:t xml:space="preserve"> to question #</w:t>
      </w:r>
      <w:r w:rsidR="00F97F08">
        <w:rPr>
          <w:rFonts w:cs="Arial"/>
          <w:i/>
          <w:iCs/>
        </w:rPr>
        <w:t>5</w:t>
      </w:r>
      <w:r w:rsidRPr="005A0EE0">
        <w:rPr>
          <w:rFonts w:cs="Arial"/>
          <w:i/>
          <w:iCs/>
        </w:rPr>
        <w:t>.</w:t>
      </w:r>
    </w:p>
    <w:p w14:paraId="7FC0C951" w14:textId="77777777" w:rsidR="005A0EE0" w:rsidRPr="009A5185" w:rsidRDefault="005A0EE0">
      <w:pPr>
        <w:rPr>
          <w:rFonts w:cs="Arial"/>
        </w:rPr>
      </w:pP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90"/>
        <w:gridCol w:w="2192"/>
      </w:tblGrid>
      <w:tr w:rsidR="00BC70C2" w:rsidRPr="009A5185" w14:paraId="3981B27E" w14:textId="77777777" w:rsidTr="006047CA">
        <w:trPr>
          <w:trHeight w:val="2016"/>
          <w:jc w:val="center"/>
        </w:trPr>
        <w:tc>
          <w:tcPr>
            <w:tcW w:w="7290" w:type="dxa"/>
            <w:vAlign w:val="center"/>
          </w:tcPr>
          <w:p w14:paraId="4B2C874D" w14:textId="14C6EECD" w:rsidR="00BC70C2" w:rsidRPr="00752A6C" w:rsidRDefault="00BC70C2" w:rsidP="00AD309C">
            <w:pPr>
              <w:pStyle w:val="Header"/>
              <w:numPr>
                <w:ilvl w:val="0"/>
                <w:numId w:val="31"/>
              </w:numPr>
              <w:rPr>
                <w:rFonts w:cs="Arial"/>
              </w:rPr>
            </w:pPr>
            <w:r w:rsidRPr="00752A6C">
              <w:rPr>
                <w:rFonts w:cs="Arial"/>
              </w:rPr>
              <w:t xml:space="preserve">Are </w:t>
            </w:r>
            <w:hyperlink w:anchor="Endnote22_CCPatients" w:history="1">
              <w:r w:rsidRPr="00752A6C">
                <w:rPr>
                  <w:rStyle w:val="Hyperlink"/>
                  <w:rFonts w:cs="Arial"/>
                </w:rPr>
                <w:t>all critical care patients</w:t>
              </w:r>
            </w:hyperlink>
            <w:r w:rsidR="0070116C">
              <w:rPr>
                <w:vertAlign w:val="superscript"/>
              </w:rPr>
              <w:fldChar w:fldCharType="begin"/>
            </w:r>
            <w:r w:rsidR="0070116C">
              <w:rPr>
                <w:rStyle w:val="Hyperlink"/>
                <w:rFonts w:cs="Arial"/>
              </w:rPr>
              <w:instrText xml:space="preserve"> NOTEREF _Ref534212310 \f \h </w:instrText>
            </w:r>
            <w:r w:rsidR="0079783F">
              <w:rPr>
                <w:vertAlign w:val="superscript"/>
              </w:rPr>
              <w:instrText xml:space="preserve"> \* MERGEFORMAT </w:instrText>
            </w:r>
            <w:r w:rsidR="0070116C">
              <w:rPr>
                <w:vertAlign w:val="superscript"/>
              </w:rPr>
            </w:r>
            <w:r w:rsidR="0070116C">
              <w:rPr>
                <w:vertAlign w:val="superscript"/>
              </w:rPr>
              <w:fldChar w:fldCharType="separate"/>
            </w:r>
            <w:r w:rsidR="007D53A2" w:rsidRPr="00A012EC">
              <w:rPr>
                <w:rStyle w:val="EndnoteReference"/>
              </w:rPr>
              <w:t>34</w:t>
            </w:r>
            <w:r w:rsidR="0070116C">
              <w:rPr>
                <w:vertAlign w:val="superscript"/>
              </w:rPr>
              <w:fldChar w:fldCharType="end"/>
            </w:r>
            <w:r w:rsidRPr="00752A6C">
              <w:rPr>
                <w:rFonts w:cs="Arial"/>
              </w:rPr>
              <w:t xml:space="preserve"> in </w:t>
            </w:r>
            <w:r w:rsidR="00F97F08">
              <w:rPr>
                <w:rFonts w:cs="Arial"/>
              </w:rPr>
              <w:t>th</w:t>
            </w:r>
            <w:r w:rsidR="00574C9E">
              <w:rPr>
                <w:rFonts w:cs="Arial"/>
              </w:rPr>
              <w:t>e</w:t>
            </w:r>
            <w:r w:rsidR="00F97F08">
              <w:rPr>
                <w:rFonts w:cs="Arial"/>
              </w:rPr>
              <w:t xml:space="preserve"> ICU</w:t>
            </w:r>
            <w:r w:rsidRPr="00752A6C">
              <w:rPr>
                <w:rFonts w:cs="Arial"/>
              </w:rPr>
              <w:t xml:space="preserve"> </w:t>
            </w:r>
            <w:hyperlink w:anchor="Endnote24_Manage" w:history="1">
              <w:r w:rsidRPr="00752A6C">
                <w:rPr>
                  <w:rStyle w:val="Hyperlink"/>
                  <w:rFonts w:cs="Arial"/>
                </w:rPr>
                <w:t>managed or co-managed</w:t>
              </w:r>
            </w:hyperlink>
            <w:r w:rsidR="000F4DD8">
              <w:rPr>
                <w:rFonts w:cs="Arial"/>
                <w:vertAlign w:val="superscript"/>
              </w:rPr>
              <w:fldChar w:fldCharType="begin"/>
            </w:r>
            <w:r w:rsidR="000F4DD8">
              <w:rPr>
                <w:rStyle w:val="Hyperlink"/>
                <w:rFonts w:cs="Arial"/>
              </w:rPr>
              <w:instrText xml:space="preserve"> NOTEREF _Ref91167015 \f \h </w:instrText>
            </w:r>
            <w:r w:rsidR="0079783F">
              <w:rPr>
                <w:rFonts w:cs="Arial"/>
                <w:vertAlign w:val="superscript"/>
              </w:rPr>
              <w:instrText xml:space="preserve"> \* MERGEFORMAT </w:instrText>
            </w:r>
            <w:r w:rsidR="000F4DD8">
              <w:rPr>
                <w:rFonts w:cs="Arial"/>
                <w:vertAlign w:val="superscript"/>
              </w:rPr>
            </w:r>
            <w:r w:rsidR="000F4DD8">
              <w:rPr>
                <w:rFonts w:cs="Arial"/>
                <w:vertAlign w:val="superscript"/>
              </w:rPr>
              <w:fldChar w:fldCharType="separate"/>
            </w:r>
            <w:r w:rsidR="007D53A2" w:rsidRPr="00A012EC">
              <w:rPr>
                <w:rStyle w:val="EndnoteReference"/>
              </w:rPr>
              <w:t>35</w:t>
            </w:r>
            <w:r w:rsidR="000F4DD8">
              <w:rPr>
                <w:rFonts w:cs="Arial"/>
                <w:vertAlign w:val="superscript"/>
              </w:rPr>
              <w:fldChar w:fldCharType="end"/>
            </w:r>
            <w:r w:rsidRPr="00752A6C">
              <w:rPr>
                <w:rFonts w:cs="Arial"/>
              </w:rPr>
              <w:t xml:space="preserve"> by one or more physicians </w:t>
            </w:r>
            <w:hyperlink w:anchor="Endnote25_Certified" w:history="1">
              <w:r w:rsidRPr="00752A6C">
                <w:rPr>
                  <w:rStyle w:val="Hyperlink"/>
                  <w:rFonts w:cs="Arial"/>
                </w:rPr>
                <w:t>certified in critical care medicine</w:t>
              </w:r>
            </w:hyperlink>
            <w:r w:rsidR="000F4DD8">
              <w:rPr>
                <w:rFonts w:cs="Arial"/>
                <w:vertAlign w:val="superscript"/>
              </w:rPr>
              <w:fldChar w:fldCharType="begin"/>
            </w:r>
            <w:r w:rsidR="000F4DD8">
              <w:rPr>
                <w:rStyle w:val="Hyperlink"/>
                <w:rFonts w:cs="Arial"/>
              </w:rPr>
              <w:instrText xml:space="preserve"> NOTEREF _Ref534212273 \f \h </w:instrText>
            </w:r>
            <w:r w:rsidR="0079783F">
              <w:rPr>
                <w:rFonts w:cs="Arial"/>
                <w:vertAlign w:val="superscript"/>
              </w:rPr>
              <w:instrText xml:space="preserve"> \* MERGEFORMAT </w:instrText>
            </w:r>
            <w:r w:rsidR="000F4DD8">
              <w:rPr>
                <w:rFonts w:cs="Arial"/>
                <w:vertAlign w:val="superscript"/>
              </w:rPr>
            </w:r>
            <w:r w:rsidR="000F4DD8">
              <w:rPr>
                <w:rFonts w:cs="Arial"/>
                <w:vertAlign w:val="superscript"/>
              </w:rPr>
              <w:fldChar w:fldCharType="separate"/>
            </w:r>
            <w:r w:rsidR="007D53A2" w:rsidRPr="00A012EC">
              <w:rPr>
                <w:rStyle w:val="EndnoteReference"/>
              </w:rPr>
              <w:t>36</w:t>
            </w:r>
            <w:r w:rsidR="000F4DD8">
              <w:rPr>
                <w:rFonts w:cs="Arial"/>
                <w:vertAlign w:val="superscript"/>
              </w:rPr>
              <w:fldChar w:fldCharType="end"/>
            </w:r>
            <w:r w:rsidRPr="00752A6C">
              <w:rPr>
                <w:rFonts w:cs="Arial"/>
              </w:rPr>
              <w:t xml:space="preserve"> who meet </w:t>
            </w:r>
            <w:r w:rsidRPr="00752A6C">
              <w:rPr>
                <w:rFonts w:cs="Arial"/>
                <w:b/>
              </w:rPr>
              <w:t>all</w:t>
            </w:r>
            <w:r w:rsidRPr="00752A6C">
              <w:rPr>
                <w:rFonts w:cs="Arial"/>
              </w:rPr>
              <w:t xml:space="preserve"> the following criteria:</w:t>
            </w:r>
          </w:p>
          <w:p w14:paraId="064F763C" w14:textId="51739A57" w:rsidR="00BC70C2" w:rsidRPr="00752A6C" w:rsidRDefault="00BC70C2" w:rsidP="00AD309C">
            <w:pPr>
              <w:pStyle w:val="Header"/>
              <w:numPr>
                <w:ilvl w:val="0"/>
                <w:numId w:val="67"/>
              </w:numPr>
              <w:tabs>
                <w:tab w:val="clear" w:pos="4320"/>
                <w:tab w:val="clear" w:pos="8640"/>
              </w:tabs>
              <w:rPr>
                <w:rFonts w:cs="Arial"/>
              </w:rPr>
            </w:pPr>
            <w:hyperlink w:anchor="Endnote26_Present" w:history="1">
              <w:r w:rsidRPr="00752A6C">
                <w:rPr>
                  <w:rStyle w:val="Hyperlink"/>
                  <w:rFonts w:cs="Arial"/>
                </w:rPr>
                <w:t>ordinarily present</w:t>
              </w:r>
            </w:hyperlink>
            <w:r w:rsidR="000F4DD8">
              <w:rPr>
                <w:vertAlign w:val="superscript"/>
              </w:rPr>
              <w:fldChar w:fldCharType="begin"/>
            </w:r>
            <w:r w:rsidR="000F4DD8">
              <w:rPr>
                <w:rStyle w:val="Hyperlink"/>
                <w:rFonts w:cs="Arial"/>
              </w:rPr>
              <w:instrText xml:space="preserve"> NOTEREF _Ref91166304 \f \h </w:instrText>
            </w:r>
            <w:r w:rsidR="0079783F">
              <w:rPr>
                <w:vertAlign w:val="superscript"/>
              </w:rPr>
              <w:instrText xml:space="preserve"> \* MERGEFORMAT </w:instrText>
            </w:r>
            <w:r w:rsidR="000F4DD8">
              <w:rPr>
                <w:vertAlign w:val="superscript"/>
              </w:rPr>
            </w:r>
            <w:r w:rsidR="000F4DD8">
              <w:rPr>
                <w:vertAlign w:val="superscript"/>
              </w:rPr>
              <w:fldChar w:fldCharType="separate"/>
            </w:r>
            <w:r w:rsidR="007D53A2" w:rsidRPr="00A012EC">
              <w:rPr>
                <w:rStyle w:val="EndnoteReference"/>
              </w:rPr>
              <w:t>37</w:t>
            </w:r>
            <w:r w:rsidR="000F4DD8">
              <w:rPr>
                <w:vertAlign w:val="superscript"/>
              </w:rPr>
              <w:fldChar w:fldCharType="end"/>
            </w:r>
            <w:r w:rsidRPr="00752A6C">
              <w:rPr>
                <w:rFonts w:cs="Arial"/>
              </w:rPr>
              <w:t xml:space="preserve"> </w:t>
            </w:r>
            <w:r w:rsidRPr="00BC70C2">
              <w:rPr>
                <w:rFonts w:cs="Arial"/>
                <w:b/>
                <w:bCs/>
              </w:rPr>
              <w:t>on-site</w:t>
            </w:r>
            <w:r w:rsidRPr="00752A6C">
              <w:rPr>
                <w:rFonts w:cs="Arial"/>
              </w:rPr>
              <w:t xml:space="preserve"> in </w:t>
            </w:r>
            <w:r w:rsidR="00DB7316">
              <w:rPr>
                <w:rFonts w:cs="Arial"/>
              </w:rPr>
              <w:t>the ICU</w:t>
            </w:r>
            <w:r w:rsidRPr="00752A6C">
              <w:rPr>
                <w:rFonts w:cs="Arial"/>
              </w:rPr>
              <w:t xml:space="preserve"> during daytime hours</w:t>
            </w:r>
            <w:r w:rsidR="005E3827">
              <w:rPr>
                <w:rFonts w:cs="Arial"/>
              </w:rPr>
              <w:t>;</w:t>
            </w:r>
          </w:p>
          <w:p w14:paraId="40FB5F1B" w14:textId="3E5BD144" w:rsidR="00BC70C2" w:rsidRDefault="00BC70C2" w:rsidP="00AD309C">
            <w:pPr>
              <w:pStyle w:val="Header"/>
              <w:numPr>
                <w:ilvl w:val="0"/>
                <w:numId w:val="67"/>
              </w:numPr>
              <w:tabs>
                <w:tab w:val="clear" w:pos="4320"/>
                <w:tab w:val="clear" w:pos="8640"/>
              </w:tabs>
              <w:rPr>
                <w:rFonts w:cs="Arial"/>
              </w:rPr>
            </w:pPr>
            <w:r w:rsidRPr="00752A6C">
              <w:rPr>
                <w:rFonts w:cs="Arial"/>
              </w:rPr>
              <w:t>for</w:t>
            </w:r>
            <w:r w:rsidRPr="00253430">
              <w:rPr>
                <w:rFonts w:cs="Arial"/>
              </w:rPr>
              <w:t xml:space="preserve"> at least</w:t>
            </w:r>
            <w:r w:rsidRPr="00752A6C">
              <w:rPr>
                <w:rFonts w:cs="Arial"/>
              </w:rPr>
              <w:t xml:space="preserve"> </w:t>
            </w:r>
            <w:r w:rsidRPr="00752A6C">
              <w:rPr>
                <w:rFonts w:cs="Arial"/>
                <w:b/>
              </w:rPr>
              <w:t>8 hours per day, 7 days per week</w:t>
            </w:r>
            <w:r w:rsidR="005E3827" w:rsidRPr="00D36222">
              <w:rPr>
                <w:rFonts w:cs="Arial"/>
                <w:bCs/>
              </w:rPr>
              <w:t>; and</w:t>
            </w:r>
          </w:p>
          <w:p w14:paraId="3E61F5B2" w14:textId="78EB9375" w:rsidR="00C45A94" w:rsidRDefault="00BC70C2" w:rsidP="00AD309C">
            <w:pPr>
              <w:pStyle w:val="Header"/>
              <w:numPr>
                <w:ilvl w:val="0"/>
                <w:numId w:val="67"/>
              </w:numPr>
              <w:tabs>
                <w:tab w:val="clear" w:pos="4320"/>
                <w:tab w:val="clear" w:pos="8640"/>
              </w:tabs>
              <w:rPr>
                <w:rFonts w:cs="Arial"/>
              </w:rPr>
            </w:pPr>
            <w:r w:rsidRPr="00BC70C2">
              <w:rPr>
                <w:rFonts w:cs="Arial"/>
              </w:rPr>
              <w:t xml:space="preserve">providing clinical care </w:t>
            </w:r>
            <w:hyperlink w:anchor="Endnote26_Present" w:history="1">
              <w:r w:rsidRPr="00BC70C2">
                <w:rPr>
                  <w:rStyle w:val="Hyperlink"/>
                  <w:rFonts w:cs="Arial"/>
                </w:rPr>
                <w:t>exclusively</w:t>
              </w:r>
            </w:hyperlink>
            <w:r w:rsidR="000F4DD8">
              <w:rPr>
                <w:rFonts w:cs="Arial"/>
                <w:vertAlign w:val="superscript"/>
              </w:rPr>
              <w:fldChar w:fldCharType="begin"/>
            </w:r>
            <w:r w:rsidR="000F4DD8">
              <w:rPr>
                <w:rStyle w:val="Hyperlink"/>
                <w:rFonts w:cs="Arial"/>
              </w:rPr>
              <w:instrText xml:space="preserve"> NOTEREF _Ref91166304 \f \h </w:instrText>
            </w:r>
            <w:r w:rsidR="0079783F">
              <w:rPr>
                <w:rFonts w:cs="Arial"/>
                <w:vertAlign w:val="superscript"/>
              </w:rPr>
              <w:instrText xml:space="preserve"> \* MERGEFORMAT </w:instrText>
            </w:r>
            <w:r w:rsidR="000F4DD8">
              <w:rPr>
                <w:rFonts w:cs="Arial"/>
                <w:vertAlign w:val="superscript"/>
              </w:rPr>
            </w:r>
            <w:r w:rsidR="000F4DD8">
              <w:rPr>
                <w:rFonts w:cs="Arial"/>
                <w:vertAlign w:val="superscript"/>
              </w:rPr>
              <w:fldChar w:fldCharType="separate"/>
            </w:r>
            <w:r w:rsidR="007D53A2" w:rsidRPr="00A012EC">
              <w:rPr>
                <w:rStyle w:val="EndnoteReference"/>
              </w:rPr>
              <w:t>37</w:t>
            </w:r>
            <w:r w:rsidR="000F4DD8">
              <w:rPr>
                <w:rFonts w:cs="Arial"/>
                <w:vertAlign w:val="superscript"/>
              </w:rPr>
              <w:fldChar w:fldCharType="end"/>
            </w:r>
            <w:r w:rsidRPr="00BC70C2">
              <w:rPr>
                <w:rFonts w:cs="Arial"/>
                <w:vertAlign w:val="superscript"/>
              </w:rPr>
              <w:t xml:space="preserve"> </w:t>
            </w:r>
            <w:r w:rsidRPr="00BC70C2">
              <w:rPr>
                <w:rFonts w:cs="Arial"/>
              </w:rPr>
              <w:t xml:space="preserve">in </w:t>
            </w:r>
            <w:r w:rsidR="00F12839">
              <w:rPr>
                <w:rFonts w:cs="Arial"/>
              </w:rPr>
              <w:t>the</w:t>
            </w:r>
            <w:r w:rsidR="00F12839" w:rsidRPr="00BC70C2">
              <w:rPr>
                <w:rFonts w:cs="Arial"/>
              </w:rPr>
              <w:t xml:space="preserve"> </w:t>
            </w:r>
            <w:r w:rsidRPr="00BC70C2">
              <w:rPr>
                <w:rFonts w:cs="Arial"/>
              </w:rPr>
              <w:t>ICU during these hours</w:t>
            </w:r>
            <w:r w:rsidR="00D67168">
              <w:rPr>
                <w:rFonts w:cs="Arial"/>
              </w:rPr>
              <w:t>?</w:t>
            </w:r>
          </w:p>
          <w:p w14:paraId="388F77B5" w14:textId="77777777" w:rsidR="00C45A94" w:rsidRDefault="00C45A94" w:rsidP="00C45A94">
            <w:pPr>
              <w:pStyle w:val="Header"/>
              <w:tabs>
                <w:tab w:val="clear" w:pos="4320"/>
                <w:tab w:val="clear" w:pos="8640"/>
              </w:tabs>
              <w:rPr>
                <w:rFonts w:cs="Arial"/>
              </w:rPr>
            </w:pPr>
          </w:p>
          <w:p w14:paraId="17BA9CE3" w14:textId="70C53E9F" w:rsidR="005A6CBE" w:rsidRPr="00C45A94" w:rsidRDefault="00C45A94" w:rsidP="003513DA">
            <w:pPr>
              <w:pStyle w:val="Header"/>
              <w:tabs>
                <w:tab w:val="clear" w:pos="4320"/>
                <w:tab w:val="clear" w:pos="8640"/>
              </w:tabs>
              <w:rPr>
                <w:rFonts w:cs="Arial"/>
              </w:rPr>
            </w:pPr>
            <w:r>
              <w:rPr>
                <w:rFonts w:cs="Arial"/>
                <w:i/>
              </w:rPr>
              <w:t xml:space="preserve">      </w:t>
            </w:r>
            <w:r w:rsidR="005A6CBE" w:rsidRPr="00C45A94">
              <w:rPr>
                <w:rFonts w:cs="Arial"/>
                <w:i/>
              </w:rPr>
              <w:t xml:space="preserve">If “yes” to question #5, skip question #6 and continue to question #7. </w:t>
            </w:r>
          </w:p>
        </w:tc>
        <w:tc>
          <w:tcPr>
            <w:tcW w:w="2192" w:type="dxa"/>
            <w:vAlign w:val="center"/>
          </w:tcPr>
          <w:p w14:paraId="603FE9BC" w14:textId="77777777" w:rsidR="00BC70C2" w:rsidRPr="000C1F1D" w:rsidRDefault="00BC70C2" w:rsidP="00AD309C">
            <w:pPr>
              <w:pStyle w:val="ListParagraph"/>
              <w:numPr>
                <w:ilvl w:val="0"/>
                <w:numId w:val="342"/>
              </w:numPr>
              <w:rPr>
                <w:rFonts w:cs="Arial"/>
                <w:iCs/>
              </w:rPr>
            </w:pPr>
            <w:r w:rsidRPr="000C1F1D">
              <w:rPr>
                <w:rFonts w:cs="Arial"/>
                <w:iCs/>
              </w:rPr>
              <w:t>Yes</w:t>
            </w:r>
          </w:p>
          <w:p w14:paraId="6D2181E9" w14:textId="0EF6C00B" w:rsidR="00BC70C2" w:rsidRPr="000C1F1D" w:rsidRDefault="00BC70C2" w:rsidP="00AD309C">
            <w:pPr>
              <w:pStyle w:val="ListParagraph"/>
              <w:numPr>
                <w:ilvl w:val="0"/>
                <w:numId w:val="342"/>
              </w:numPr>
              <w:rPr>
                <w:rFonts w:cs="Arial"/>
                <w:iCs/>
              </w:rPr>
            </w:pPr>
            <w:r w:rsidRPr="000C1F1D">
              <w:rPr>
                <w:rFonts w:cs="Arial"/>
                <w:iCs/>
              </w:rPr>
              <w:t>No</w:t>
            </w:r>
          </w:p>
        </w:tc>
      </w:tr>
      <w:tr w:rsidR="006047CA" w:rsidRPr="009A5185" w14:paraId="3E184CCE" w14:textId="77777777" w:rsidTr="00996708">
        <w:trPr>
          <w:trHeight w:val="2160"/>
          <w:jc w:val="center"/>
        </w:trPr>
        <w:tc>
          <w:tcPr>
            <w:tcW w:w="7290" w:type="dxa"/>
            <w:vAlign w:val="center"/>
          </w:tcPr>
          <w:p w14:paraId="3F2B9069" w14:textId="4D5E9A74" w:rsidR="006047CA" w:rsidRPr="00752A6C" w:rsidRDefault="006047CA" w:rsidP="00AD309C">
            <w:pPr>
              <w:pStyle w:val="Header"/>
              <w:numPr>
                <w:ilvl w:val="0"/>
                <w:numId w:val="31"/>
              </w:numPr>
              <w:rPr>
                <w:rFonts w:cs="Arial"/>
              </w:rPr>
            </w:pPr>
            <w:r w:rsidRPr="00752A6C">
              <w:rPr>
                <w:rFonts w:cs="Arial"/>
              </w:rPr>
              <w:t xml:space="preserve">Are </w:t>
            </w:r>
            <w:hyperlink w:anchor="Endnote22_CCPatients" w:history="1">
              <w:r w:rsidRPr="00752A6C">
                <w:rPr>
                  <w:rStyle w:val="Hyperlink"/>
                  <w:rFonts w:cs="Arial"/>
                </w:rPr>
                <w:t>all critical care patients</w:t>
              </w:r>
            </w:hyperlink>
            <w:r>
              <w:rPr>
                <w:rFonts w:cs="Arial"/>
                <w:vertAlign w:val="superscript"/>
              </w:rPr>
              <w:fldChar w:fldCharType="begin"/>
            </w:r>
            <w:r>
              <w:rPr>
                <w:rStyle w:val="Hyperlink"/>
                <w:rFonts w:cs="Arial"/>
              </w:rPr>
              <w:instrText xml:space="preserve"> NOTEREF _Ref534212310 \f \h </w:instrText>
            </w:r>
            <w:r>
              <w:rPr>
                <w:rFonts w:cs="Arial"/>
                <w:vertAlign w:val="superscript"/>
              </w:rPr>
              <w:instrText xml:space="preserve"> \* MERGEFORMAT </w:instrText>
            </w:r>
            <w:r>
              <w:rPr>
                <w:rFonts w:cs="Arial"/>
                <w:vertAlign w:val="superscript"/>
              </w:rPr>
            </w:r>
            <w:r>
              <w:rPr>
                <w:rFonts w:cs="Arial"/>
                <w:vertAlign w:val="superscript"/>
              </w:rPr>
              <w:fldChar w:fldCharType="separate"/>
            </w:r>
            <w:r w:rsidR="007D53A2" w:rsidRPr="00A012EC">
              <w:rPr>
                <w:rStyle w:val="EndnoteReference"/>
              </w:rPr>
              <w:t>34</w:t>
            </w:r>
            <w:r>
              <w:rPr>
                <w:rFonts w:cs="Arial"/>
                <w:vertAlign w:val="superscript"/>
              </w:rPr>
              <w:fldChar w:fldCharType="end"/>
            </w:r>
            <w:r w:rsidRPr="00752A6C">
              <w:rPr>
                <w:rFonts w:cs="Arial"/>
              </w:rPr>
              <w:t xml:space="preserve"> in </w:t>
            </w:r>
            <w:r>
              <w:rPr>
                <w:rFonts w:cs="Arial"/>
              </w:rPr>
              <w:t>the ICU</w:t>
            </w:r>
            <w:r w:rsidRPr="00752A6C">
              <w:rPr>
                <w:rFonts w:cs="Arial"/>
              </w:rPr>
              <w:t xml:space="preserve"> </w:t>
            </w:r>
            <w:hyperlink w:anchor="Endnote24_Manage" w:history="1">
              <w:r w:rsidRPr="00752A6C">
                <w:rPr>
                  <w:rStyle w:val="Hyperlink"/>
                  <w:rFonts w:cs="Arial"/>
                </w:rPr>
                <w:t>managed or co-managed</w:t>
              </w:r>
            </w:hyperlink>
            <w:r>
              <w:rPr>
                <w:vertAlign w:val="superscript"/>
              </w:rPr>
              <w:fldChar w:fldCharType="begin"/>
            </w:r>
            <w:r>
              <w:rPr>
                <w:rStyle w:val="Hyperlink"/>
                <w:rFonts w:cs="Arial"/>
              </w:rPr>
              <w:instrText xml:space="preserve"> NOTEREF _Ref91167015 \f \h </w:instrText>
            </w:r>
            <w:r>
              <w:rPr>
                <w:vertAlign w:val="superscript"/>
              </w:rPr>
              <w:instrText xml:space="preserve"> \* MERGEFORMAT </w:instrText>
            </w:r>
            <w:r>
              <w:rPr>
                <w:vertAlign w:val="superscript"/>
              </w:rPr>
            </w:r>
            <w:r>
              <w:rPr>
                <w:vertAlign w:val="superscript"/>
              </w:rPr>
              <w:fldChar w:fldCharType="separate"/>
            </w:r>
            <w:r w:rsidR="007D53A2" w:rsidRPr="00A012EC">
              <w:rPr>
                <w:rStyle w:val="EndnoteReference"/>
              </w:rPr>
              <w:t>35</w:t>
            </w:r>
            <w:r>
              <w:rPr>
                <w:vertAlign w:val="superscript"/>
              </w:rPr>
              <w:fldChar w:fldCharType="end"/>
            </w:r>
            <w:r w:rsidRPr="00752A6C">
              <w:rPr>
                <w:rFonts w:cs="Arial"/>
              </w:rPr>
              <w:t xml:space="preserve"> by one or more physicians </w:t>
            </w:r>
            <w:hyperlink w:anchor="Endnote25_Certified" w:history="1">
              <w:r w:rsidRPr="00752A6C">
                <w:rPr>
                  <w:rStyle w:val="Hyperlink"/>
                  <w:rFonts w:cs="Arial"/>
                </w:rPr>
                <w:t>certified in critical care medicine</w:t>
              </w:r>
            </w:hyperlink>
            <w:r>
              <w:rPr>
                <w:rFonts w:cs="Arial"/>
                <w:vertAlign w:val="superscript"/>
              </w:rPr>
              <w:fldChar w:fldCharType="begin"/>
            </w:r>
            <w:r>
              <w:rPr>
                <w:rStyle w:val="Hyperlink"/>
                <w:rFonts w:cs="Arial"/>
              </w:rPr>
              <w:instrText xml:space="preserve"> NOTEREF _Ref534212273 \f \h </w:instrText>
            </w:r>
            <w:r>
              <w:rPr>
                <w:rFonts w:cs="Arial"/>
                <w:vertAlign w:val="superscript"/>
              </w:rPr>
              <w:instrText xml:space="preserve"> \* MERGEFORMAT </w:instrText>
            </w:r>
            <w:r>
              <w:rPr>
                <w:rFonts w:cs="Arial"/>
                <w:vertAlign w:val="superscript"/>
              </w:rPr>
            </w:r>
            <w:r>
              <w:rPr>
                <w:rFonts w:cs="Arial"/>
                <w:vertAlign w:val="superscript"/>
              </w:rPr>
              <w:fldChar w:fldCharType="separate"/>
            </w:r>
            <w:r w:rsidR="007D53A2" w:rsidRPr="00A012EC">
              <w:rPr>
                <w:rStyle w:val="EndnoteReference"/>
              </w:rPr>
              <w:t>36</w:t>
            </w:r>
            <w:r>
              <w:rPr>
                <w:rFonts w:cs="Arial"/>
                <w:vertAlign w:val="superscript"/>
              </w:rPr>
              <w:fldChar w:fldCharType="end"/>
            </w:r>
            <w:r w:rsidRPr="00752A6C">
              <w:rPr>
                <w:rFonts w:cs="Arial"/>
              </w:rPr>
              <w:t xml:space="preserve"> who meet </w:t>
            </w:r>
            <w:r w:rsidRPr="00752A6C">
              <w:rPr>
                <w:rFonts w:cs="Arial"/>
                <w:b/>
              </w:rPr>
              <w:t>all</w:t>
            </w:r>
            <w:r w:rsidRPr="00752A6C">
              <w:rPr>
                <w:rFonts w:cs="Arial"/>
              </w:rPr>
              <w:t xml:space="preserve"> the following criteria:</w:t>
            </w:r>
          </w:p>
          <w:p w14:paraId="054FDBDF" w14:textId="3F0A9034" w:rsidR="006047CA" w:rsidRPr="00752A6C" w:rsidRDefault="006047CA" w:rsidP="00AD309C">
            <w:pPr>
              <w:pStyle w:val="Header"/>
              <w:numPr>
                <w:ilvl w:val="0"/>
                <w:numId w:val="65"/>
              </w:numPr>
              <w:rPr>
                <w:rFonts w:cs="Arial"/>
              </w:rPr>
            </w:pPr>
            <w:r w:rsidRPr="00752A6C">
              <w:rPr>
                <w:rFonts w:cs="Arial"/>
              </w:rPr>
              <w:t xml:space="preserve">present via telemedicine, in combination with on-site intensivist coverage, for a total of </w:t>
            </w:r>
            <w:r w:rsidRPr="00752A6C">
              <w:rPr>
                <w:rFonts w:cs="Arial"/>
                <w:b/>
              </w:rPr>
              <w:t>24 hours per day, 7 days per week</w:t>
            </w:r>
            <w:r w:rsidR="005E3827">
              <w:rPr>
                <w:rFonts w:cs="Arial"/>
              </w:rPr>
              <w:t>;</w:t>
            </w:r>
          </w:p>
          <w:p w14:paraId="0D75CFC2" w14:textId="6D338B19" w:rsidR="006047CA" w:rsidRDefault="006047CA" w:rsidP="00AD309C">
            <w:pPr>
              <w:pStyle w:val="Header"/>
              <w:numPr>
                <w:ilvl w:val="0"/>
                <w:numId w:val="65"/>
              </w:numPr>
              <w:rPr>
                <w:rFonts w:cs="Arial"/>
              </w:rPr>
            </w:pPr>
            <w:r w:rsidRPr="00752A6C">
              <w:rPr>
                <w:rFonts w:cs="Arial"/>
              </w:rPr>
              <w:t>meet all of Leapfrog’s ICU requirements for intensivist presence in the ICU via telemedicine (</w:t>
            </w:r>
            <w:hyperlink w:anchor="Endnote27_Telemedicine" w:history="1">
              <w:r w:rsidRPr="00752A6C">
                <w:rPr>
                  <w:rStyle w:val="Hyperlink"/>
                  <w:rFonts w:cs="Arial"/>
                </w:rPr>
                <w:t>More Information</w:t>
              </w:r>
            </w:hyperlink>
            <w:r>
              <w:rPr>
                <w:rFonts w:cs="Arial"/>
                <w:vertAlign w:val="superscript"/>
              </w:rPr>
              <w:fldChar w:fldCharType="begin"/>
            </w:r>
            <w:r>
              <w:rPr>
                <w:rStyle w:val="Hyperlink"/>
                <w:rFonts w:cs="Arial"/>
              </w:rPr>
              <w:instrText xml:space="preserve"> NOTEREF _Ref534212061 \f \h </w:instrText>
            </w:r>
            <w:r>
              <w:rPr>
                <w:rFonts w:cs="Arial"/>
                <w:vertAlign w:val="superscript"/>
              </w:rPr>
              <w:instrText xml:space="preserve"> \* MERGEFORMAT </w:instrText>
            </w:r>
            <w:r>
              <w:rPr>
                <w:rFonts w:cs="Arial"/>
                <w:vertAlign w:val="superscript"/>
              </w:rPr>
            </w:r>
            <w:r>
              <w:rPr>
                <w:rFonts w:cs="Arial"/>
                <w:vertAlign w:val="superscript"/>
              </w:rPr>
              <w:fldChar w:fldCharType="separate"/>
            </w:r>
            <w:r w:rsidR="007D53A2" w:rsidRPr="00A012EC">
              <w:rPr>
                <w:rStyle w:val="EndnoteReference"/>
              </w:rPr>
              <w:t>38</w:t>
            </w:r>
            <w:r>
              <w:rPr>
                <w:rFonts w:cs="Arial"/>
                <w:vertAlign w:val="superscript"/>
              </w:rPr>
              <w:fldChar w:fldCharType="end"/>
            </w:r>
            <w:r w:rsidRPr="00752A6C">
              <w:rPr>
                <w:rFonts w:cs="Arial"/>
              </w:rPr>
              <w:t>)</w:t>
            </w:r>
            <w:r w:rsidR="005E3827">
              <w:rPr>
                <w:rFonts w:cs="Arial"/>
              </w:rPr>
              <w:t>; and</w:t>
            </w:r>
          </w:p>
          <w:p w14:paraId="634B3153" w14:textId="6B96A647" w:rsidR="006047CA" w:rsidRPr="006047CA" w:rsidRDefault="006047CA" w:rsidP="00AD309C">
            <w:pPr>
              <w:pStyle w:val="Header"/>
              <w:numPr>
                <w:ilvl w:val="0"/>
                <w:numId w:val="65"/>
              </w:numPr>
              <w:rPr>
                <w:rFonts w:cs="Arial"/>
              </w:rPr>
            </w:pPr>
            <w:r w:rsidRPr="006047CA">
              <w:rPr>
                <w:rFonts w:cs="Arial"/>
              </w:rPr>
              <w:t>supported by an on-site intensivist who establishes and revises the daily care plan for each ICU patient?</w:t>
            </w:r>
          </w:p>
        </w:tc>
        <w:tc>
          <w:tcPr>
            <w:tcW w:w="2192" w:type="dxa"/>
            <w:vAlign w:val="center"/>
          </w:tcPr>
          <w:p w14:paraId="7DDF4E25" w14:textId="77777777" w:rsidR="006047CA" w:rsidRPr="000C1F1D" w:rsidRDefault="006047CA" w:rsidP="00AD309C">
            <w:pPr>
              <w:pStyle w:val="ListParagraph"/>
              <w:numPr>
                <w:ilvl w:val="0"/>
                <w:numId w:val="342"/>
              </w:numPr>
              <w:rPr>
                <w:rFonts w:cs="Arial"/>
                <w:iCs/>
              </w:rPr>
            </w:pPr>
            <w:r w:rsidRPr="000C1F1D">
              <w:rPr>
                <w:rFonts w:cs="Arial"/>
                <w:iCs/>
              </w:rPr>
              <w:t>Yes</w:t>
            </w:r>
          </w:p>
          <w:p w14:paraId="56B02214" w14:textId="7AC5E29D" w:rsidR="006047CA" w:rsidRPr="000C1F1D" w:rsidRDefault="006047CA" w:rsidP="00AD309C">
            <w:pPr>
              <w:pStyle w:val="ListParagraph"/>
              <w:numPr>
                <w:ilvl w:val="0"/>
                <w:numId w:val="342"/>
              </w:numPr>
              <w:rPr>
                <w:rFonts w:cs="Arial"/>
                <w:iCs/>
              </w:rPr>
            </w:pPr>
            <w:r w:rsidRPr="000C1F1D">
              <w:rPr>
                <w:rFonts w:cs="Arial"/>
                <w:iCs/>
              </w:rPr>
              <w:t>No</w:t>
            </w:r>
          </w:p>
        </w:tc>
      </w:tr>
    </w:tbl>
    <w:p w14:paraId="0A6F3635" w14:textId="4DAB87A2" w:rsidR="00FF5E78" w:rsidRPr="009A5185" w:rsidRDefault="00FF5E78">
      <w:pPr>
        <w:rPr>
          <w:rFonts w:cs="Arial"/>
        </w:rPr>
      </w:pPr>
    </w:p>
    <w:p w14:paraId="4DACE8D0" w14:textId="54C81D5B" w:rsidR="00E4126A" w:rsidRPr="009A5185" w:rsidRDefault="00E4126A">
      <w:pPr>
        <w:rPr>
          <w:rFonts w:cs="Arial"/>
          <w:i/>
        </w:rPr>
      </w:pPr>
      <w:r w:rsidRPr="009A5185">
        <w:rPr>
          <w:rFonts w:cs="Arial"/>
          <w:i/>
        </w:rPr>
        <w:t>If “no” to question #</w:t>
      </w:r>
      <w:r w:rsidR="00F97F08">
        <w:rPr>
          <w:rFonts w:cs="Arial"/>
          <w:i/>
        </w:rPr>
        <w:t>5</w:t>
      </w:r>
      <w:r w:rsidRPr="009A5185">
        <w:rPr>
          <w:rFonts w:cs="Arial"/>
          <w:i/>
        </w:rPr>
        <w:t xml:space="preserve"> and question #</w:t>
      </w:r>
      <w:r w:rsidR="00F97F08">
        <w:rPr>
          <w:rFonts w:cs="Arial"/>
          <w:i/>
        </w:rPr>
        <w:t>6</w:t>
      </w:r>
      <w:r w:rsidRPr="009A5185">
        <w:rPr>
          <w:rFonts w:cs="Arial"/>
          <w:i/>
        </w:rPr>
        <w:t>, skip questions #</w:t>
      </w:r>
      <w:r w:rsidR="00F97F08">
        <w:rPr>
          <w:rFonts w:cs="Arial"/>
          <w:i/>
        </w:rPr>
        <w:t>7-8</w:t>
      </w:r>
      <w:r w:rsidRPr="009A5185">
        <w:rPr>
          <w:rFonts w:cs="Arial"/>
          <w:i/>
        </w:rPr>
        <w:t xml:space="preserve"> and continue to question #</w:t>
      </w:r>
      <w:r w:rsidR="00F97F08">
        <w:rPr>
          <w:rFonts w:cs="Arial"/>
          <w:i/>
        </w:rPr>
        <w:t>9</w:t>
      </w:r>
      <w:r w:rsidRPr="009A5185">
        <w:rPr>
          <w:rFonts w:cs="Arial"/>
          <w:i/>
        </w:rPr>
        <w:t>.</w:t>
      </w:r>
    </w:p>
    <w:p w14:paraId="7D6C4E86" w14:textId="77777777" w:rsidR="004417E7" w:rsidRPr="009A5185" w:rsidRDefault="004417E7">
      <w:pPr>
        <w:rPr>
          <w:rFonts w:cs="Arial"/>
          <w:i/>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8"/>
        <w:gridCol w:w="2199"/>
      </w:tblGrid>
      <w:tr w:rsidR="008910AA" w:rsidRPr="009A5185" w14:paraId="57586541" w14:textId="77777777" w:rsidTr="00996708">
        <w:trPr>
          <w:trHeight w:val="1368"/>
          <w:jc w:val="center"/>
        </w:trPr>
        <w:tc>
          <w:tcPr>
            <w:tcW w:w="7368" w:type="dxa"/>
          </w:tcPr>
          <w:p w14:paraId="7DFB922D" w14:textId="0B2D9839" w:rsidR="009C21A9" w:rsidRPr="00F97F08" w:rsidRDefault="008910AA" w:rsidP="00AD309C">
            <w:pPr>
              <w:pStyle w:val="ListParagraph"/>
              <w:numPr>
                <w:ilvl w:val="0"/>
                <w:numId w:val="31"/>
              </w:numPr>
              <w:spacing w:before="120"/>
              <w:rPr>
                <w:rFonts w:cs="Arial"/>
              </w:rPr>
            </w:pPr>
            <w:r w:rsidRPr="00F97F08">
              <w:rPr>
                <w:rFonts w:cs="Arial"/>
              </w:rPr>
              <w:t xml:space="preserve">When the physicians </w:t>
            </w:r>
            <w:r w:rsidR="00ED613C" w:rsidRPr="00F97F08">
              <w:rPr>
                <w:rFonts w:cs="Arial"/>
              </w:rPr>
              <w:t>(</w:t>
            </w:r>
            <w:r w:rsidR="00343721" w:rsidRPr="00F97F08">
              <w:rPr>
                <w:rFonts w:cs="Arial"/>
              </w:rPr>
              <w:t>from question #</w:t>
            </w:r>
            <w:r w:rsidR="004310D9" w:rsidRPr="00F97F08">
              <w:rPr>
                <w:rFonts w:cs="Arial"/>
              </w:rPr>
              <w:t>3</w:t>
            </w:r>
            <w:r w:rsidR="00ED613C" w:rsidRPr="00F97F08">
              <w:rPr>
                <w:rFonts w:cs="Arial"/>
              </w:rPr>
              <w:t>)</w:t>
            </w:r>
            <w:r w:rsidR="00343721" w:rsidRPr="00F97F08">
              <w:rPr>
                <w:rFonts w:cs="Arial"/>
              </w:rPr>
              <w:t xml:space="preserve"> </w:t>
            </w:r>
            <w:r w:rsidRPr="00F97F08">
              <w:rPr>
                <w:rFonts w:cs="Arial"/>
              </w:rPr>
              <w:t xml:space="preserve">are not present in </w:t>
            </w:r>
            <w:r w:rsidR="00F97F08">
              <w:rPr>
                <w:rFonts w:cs="Arial"/>
              </w:rPr>
              <w:t>th</w:t>
            </w:r>
            <w:r w:rsidR="00574C9E">
              <w:rPr>
                <w:rFonts w:cs="Arial"/>
              </w:rPr>
              <w:t xml:space="preserve">e </w:t>
            </w:r>
            <w:r w:rsidR="00F97F08">
              <w:rPr>
                <w:rFonts w:cs="Arial"/>
              </w:rPr>
              <w:t>ICU</w:t>
            </w:r>
            <w:r w:rsidRPr="00F97F08">
              <w:rPr>
                <w:rFonts w:cs="Arial"/>
              </w:rPr>
              <w:t xml:space="preserve"> on-site or via telemedicine, do they return more than 95% of calls/pages</w:t>
            </w:r>
            <w:r w:rsidR="007A7770" w:rsidRPr="00F97F08">
              <w:rPr>
                <w:rFonts w:cs="Arial"/>
              </w:rPr>
              <w:t>/texts</w:t>
            </w:r>
            <w:r w:rsidRPr="00F97F08">
              <w:rPr>
                <w:rFonts w:cs="Arial"/>
              </w:rPr>
              <w:t xml:space="preserve"> from these units within five minutes, </w:t>
            </w:r>
            <w:r w:rsidRPr="00F97F08">
              <w:rPr>
                <w:rFonts w:cs="Arial"/>
                <w:snapToGrid w:val="0"/>
                <w:color w:val="000000"/>
              </w:rPr>
              <w:t xml:space="preserve">based on a </w:t>
            </w:r>
            <w:hyperlink w:anchor="Endnote28_ResponseAnalysis" w:history="1">
              <w:r w:rsidR="001848C0" w:rsidRPr="00F97F08">
                <w:rPr>
                  <w:rStyle w:val="Hyperlink"/>
                  <w:rFonts w:cs="Arial"/>
                  <w:snapToGrid w:val="0"/>
                </w:rPr>
                <w:t>quantified analysis</w:t>
              </w:r>
            </w:hyperlink>
            <w:r w:rsidR="00C534C7" w:rsidRPr="00F97F08">
              <w:rPr>
                <w:vertAlign w:val="superscript"/>
              </w:rPr>
              <w:fldChar w:fldCharType="begin"/>
            </w:r>
            <w:r w:rsidR="00C534C7" w:rsidRPr="00F97F08">
              <w:rPr>
                <w:rStyle w:val="Hyperlink"/>
                <w:rFonts w:cs="Arial"/>
                <w:snapToGrid w:val="0"/>
              </w:rPr>
              <w:instrText xml:space="preserve"> NOTEREF _Ref534212563 \f \h </w:instrText>
            </w:r>
            <w:r w:rsidR="003F6531" w:rsidRPr="00F97F08">
              <w:rPr>
                <w:vertAlign w:val="superscript"/>
              </w:rPr>
              <w:instrText xml:space="preserve"> \* MERGEFORMAT </w:instrText>
            </w:r>
            <w:r w:rsidR="00C534C7" w:rsidRPr="00F97F08">
              <w:rPr>
                <w:vertAlign w:val="superscript"/>
              </w:rPr>
            </w:r>
            <w:r w:rsidR="00C534C7" w:rsidRPr="00F97F08">
              <w:rPr>
                <w:vertAlign w:val="superscript"/>
              </w:rPr>
              <w:fldChar w:fldCharType="separate"/>
            </w:r>
            <w:r w:rsidR="007D53A2" w:rsidRPr="00A012EC">
              <w:rPr>
                <w:rStyle w:val="EndnoteReference"/>
              </w:rPr>
              <w:t>39</w:t>
            </w:r>
            <w:r w:rsidR="00C534C7" w:rsidRPr="00F97F08">
              <w:rPr>
                <w:vertAlign w:val="superscript"/>
              </w:rPr>
              <w:fldChar w:fldCharType="end"/>
            </w:r>
            <w:r w:rsidR="001848C0" w:rsidRPr="00F97F08">
              <w:rPr>
                <w:rFonts w:cs="Arial"/>
                <w:snapToGrid w:val="0"/>
              </w:rPr>
              <w:t xml:space="preserve"> </w:t>
            </w:r>
            <w:r w:rsidRPr="00F97F08">
              <w:rPr>
                <w:rFonts w:cs="Arial"/>
                <w:snapToGrid w:val="0"/>
              </w:rPr>
              <w:t>of notification device response time</w:t>
            </w:r>
            <w:r w:rsidRPr="00F97F08">
              <w:rPr>
                <w:rFonts w:cs="Arial"/>
              </w:rPr>
              <w:t>?</w:t>
            </w:r>
            <w:r w:rsidR="004310D9" w:rsidRPr="00F97F08">
              <w:rPr>
                <w:rFonts w:cs="Arial"/>
              </w:rPr>
              <w:t xml:space="preserve"> (</w:t>
            </w:r>
            <w:hyperlink w:anchor="Endnote30_TeleCoverCalls" w:history="1">
              <w:r w:rsidR="004310D9" w:rsidRPr="00F97F08">
                <w:rPr>
                  <w:rStyle w:val="Hyperlink"/>
                  <w:rFonts w:cs="Arial"/>
                </w:rPr>
                <w:t>More information on the use of telemedicine to cover call</w:t>
              </w:r>
              <w:r w:rsidR="00624047" w:rsidRPr="00F97F08">
                <w:rPr>
                  <w:rStyle w:val="Hyperlink"/>
                  <w:rFonts w:cs="Arial"/>
                </w:rPr>
                <w:t>s</w:t>
              </w:r>
            </w:hyperlink>
            <w:r w:rsidR="000F0582">
              <w:rPr>
                <w:rStyle w:val="Hyperlink"/>
                <w:rFonts w:ascii="ZWAdobeF" w:hAnsi="ZWAdobeF" w:cs="ZWAdobeF"/>
                <w:color w:val="auto"/>
                <w:sz w:val="2"/>
                <w:szCs w:val="2"/>
                <w:u w:val="none"/>
              </w:rPr>
              <w:t>40F</w:t>
            </w:r>
            <w:r w:rsidR="00BF053F">
              <w:rPr>
                <w:rStyle w:val="Hyperlink"/>
                <w:rFonts w:ascii="ZWAdobeF" w:hAnsi="ZWAdobeF" w:cs="ZWAdobeF"/>
                <w:color w:val="auto"/>
                <w:sz w:val="2"/>
                <w:szCs w:val="2"/>
                <w:u w:val="none"/>
              </w:rPr>
              <w:t>40F</w:t>
            </w:r>
            <w:r w:rsidR="004C7557">
              <w:rPr>
                <w:rStyle w:val="Hyperlink"/>
                <w:rFonts w:ascii="ZWAdobeF" w:hAnsi="ZWAdobeF" w:cs="ZWAdobeF"/>
                <w:color w:val="auto"/>
                <w:sz w:val="2"/>
                <w:szCs w:val="2"/>
                <w:u w:val="none"/>
              </w:rPr>
              <w:t>40F</w:t>
            </w:r>
            <w:r w:rsidR="00C2087D">
              <w:rPr>
                <w:rStyle w:val="Hyperlink"/>
                <w:rFonts w:ascii="ZWAdobeF" w:hAnsi="ZWAdobeF" w:cs="ZWAdobeF"/>
                <w:color w:val="auto"/>
                <w:sz w:val="2"/>
                <w:szCs w:val="2"/>
                <w:u w:val="none"/>
              </w:rPr>
              <w:t>40F</w:t>
            </w:r>
            <w:r w:rsidR="00B55C41">
              <w:rPr>
                <w:rStyle w:val="Hyperlink"/>
                <w:rFonts w:ascii="ZWAdobeF" w:hAnsi="ZWAdobeF" w:cs="ZWAdobeF"/>
                <w:color w:val="auto"/>
                <w:sz w:val="2"/>
                <w:szCs w:val="2"/>
                <w:u w:val="none"/>
              </w:rPr>
              <w:t>40F</w:t>
            </w:r>
            <w:r w:rsidR="006255A6">
              <w:rPr>
                <w:rStyle w:val="Hyperlink"/>
                <w:rFonts w:ascii="ZWAdobeF" w:hAnsi="ZWAdobeF" w:cs="ZWAdobeF"/>
                <w:color w:val="auto"/>
                <w:sz w:val="2"/>
                <w:szCs w:val="2"/>
                <w:u w:val="none"/>
              </w:rPr>
              <w:t>40F</w:t>
            </w:r>
            <w:r w:rsidR="00E453C7">
              <w:rPr>
                <w:rStyle w:val="Hyperlink"/>
                <w:rFonts w:ascii="ZWAdobeF" w:hAnsi="ZWAdobeF" w:cs="ZWAdobeF"/>
                <w:color w:val="auto"/>
                <w:sz w:val="2"/>
                <w:szCs w:val="2"/>
                <w:u w:val="none"/>
              </w:rPr>
              <w:t>40F</w:t>
            </w:r>
            <w:r w:rsidR="00953060">
              <w:rPr>
                <w:rStyle w:val="Hyperlink"/>
                <w:rFonts w:ascii="ZWAdobeF" w:hAnsi="ZWAdobeF" w:cs="ZWAdobeF"/>
                <w:color w:val="auto"/>
                <w:sz w:val="2"/>
                <w:szCs w:val="2"/>
                <w:u w:val="none"/>
              </w:rPr>
              <w:t>40F</w:t>
            </w:r>
            <w:r w:rsidR="00DD04D6">
              <w:rPr>
                <w:rStyle w:val="Hyperlink"/>
                <w:rFonts w:ascii="ZWAdobeF" w:hAnsi="ZWAdobeF" w:cs="ZWAdobeF"/>
                <w:color w:val="auto"/>
                <w:sz w:val="2"/>
                <w:szCs w:val="2"/>
                <w:u w:val="none"/>
              </w:rPr>
              <w:t>40F</w:t>
            </w:r>
            <w:r w:rsidR="004310D9" w:rsidRPr="00BD4AEE">
              <w:rPr>
                <w:rStyle w:val="EndnoteReference"/>
                <w:rFonts w:cs="Arial"/>
              </w:rPr>
              <w:endnoteReference w:id="42"/>
            </w:r>
            <w:r w:rsidR="004310D9" w:rsidRPr="00F97F08">
              <w:rPr>
                <w:rFonts w:cs="Arial"/>
              </w:rPr>
              <w:t>)</w:t>
            </w:r>
          </w:p>
        </w:tc>
        <w:tc>
          <w:tcPr>
            <w:tcW w:w="2199" w:type="dxa"/>
            <w:vAlign w:val="center"/>
          </w:tcPr>
          <w:p w14:paraId="72F6F936" w14:textId="18931FD0" w:rsidR="00EA4193" w:rsidRPr="000C1F1D" w:rsidRDefault="008910AA" w:rsidP="00AD309C">
            <w:pPr>
              <w:pStyle w:val="ListParagraph"/>
              <w:numPr>
                <w:ilvl w:val="0"/>
                <w:numId w:val="343"/>
              </w:numPr>
              <w:rPr>
                <w:rFonts w:cs="Arial"/>
                <w:iCs/>
              </w:rPr>
            </w:pPr>
            <w:r w:rsidRPr="000C1F1D">
              <w:rPr>
                <w:rFonts w:cs="Arial"/>
                <w:iCs/>
              </w:rPr>
              <w:t>Yes</w:t>
            </w:r>
          </w:p>
          <w:p w14:paraId="222D1A01" w14:textId="77777777" w:rsidR="005E285A" w:rsidRDefault="008910AA" w:rsidP="00AD309C">
            <w:pPr>
              <w:pStyle w:val="ListParagraph"/>
              <w:numPr>
                <w:ilvl w:val="0"/>
                <w:numId w:val="343"/>
              </w:numPr>
              <w:rPr>
                <w:rFonts w:cs="Arial"/>
                <w:iCs/>
              </w:rPr>
            </w:pPr>
            <w:r w:rsidRPr="000C1F1D">
              <w:rPr>
                <w:rFonts w:cs="Arial"/>
                <w:iCs/>
              </w:rPr>
              <w:t>No</w:t>
            </w:r>
          </w:p>
          <w:p w14:paraId="708C7459" w14:textId="1A17E807" w:rsidR="006F7343" w:rsidRPr="005E285A" w:rsidRDefault="006F7343" w:rsidP="00AD309C">
            <w:pPr>
              <w:pStyle w:val="ListParagraph"/>
              <w:numPr>
                <w:ilvl w:val="0"/>
                <w:numId w:val="343"/>
              </w:numPr>
              <w:rPr>
                <w:rFonts w:cs="Arial"/>
                <w:iCs/>
              </w:rPr>
            </w:pPr>
            <w:r w:rsidRPr="005E285A">
              <w:rPr>
                <w:rFonts w:cs="Arial"/>
                <w:bCs/>
                <w:iCs/>
              </w:rPr>
              <w:t>Not applicable</w:t>
            </w:r>
            <w:r w:rsidR="00AD0B6C" w:rsidRPr="005E285A">
              <w:rPr>
                <w:rFonts w:cs="Arial"/>
                <w:bCs/>
                <w:iCs/>
              </w:rPr>
              <w:t>;</w:t>
            </w:r>
            <w:r w:rsidRPr="005E285A">
              <w:rPr>
                <w:rFonts w:cs="Arial"/>
                <w:bCs/>
                <w:iCs/>
              </w:rPr>
              <w:t xml:space="preserve"> </w:t>
            </w:r>
            <w:r w:rsidR="00C40675" w:rsidRPr="005E285A">
              <w:rPr>
                <w:rFonts w:cs="Arial"/>
                <w:bCs/>
                <w:iCs/>
              </w:rPr>
              <w:t>i</w:t>
            </w:r>
            <w:r w:rsidRPr="005E285A">
              <w:rPr>
                <w:rFonts w:cs="Arial"/>
                <w:bCs/>
                <w:iCs/>
              </w:rPr>
              <w:t>ntensivists are present</w:t>
            </w:r>
            <w:r w:rsidR="007D7B03" w:rsidRPr="005E285A">
              <w:rPr>
                <w:rFonts w:cs="Arial"/>
                <w:bCs/>
                <w:iCs/>
              </w:rPr>
              <w:t xml:space="preserve"> on-site</w:t>
            </w:r>
            <w:r w:rsidRPr="005E285A">
              <w:rPr>
                <w:rFonts w:cs="Arial"/>
                <w:bCs/>
                <w:iCs/>
              </w:rPr>
              <w:t xml:space="preserve"> 24/7</w:t>
            </w:r>
          </w:p>
        </w:tc>
      </w:tr>
      <w:tr w:rsidR="008910AA" w:rsidRPr="009A5185" w14:paraId="1E7370F7" w14:textId="77777777" w:rsidTr="00996708">
        <w:trPr>
          <w:trHeight w:val="1584"/>
          <w:jc w:val="center"/>
        </w:trPr>
        <w:tc>
          <w:tcPr>
            <w:tcW w:w="7368" w:type="dxa"/>
          </w:tcPr>
          <w:p w14:paraId="7531503E" w14:textId="6F357BE0" w:rsidR="008910AA" w:rsidRPr="00F97F08" w:rsidRDefault="008910AA" w:rsidP="00AD309C">
            <w:pPr>
              <w:pStyle w:val="ListParagraph"/>
              <w:numPr>
                <w:ilvl w:val="0"/>
                <w:numId w:val="31"/>
              </w:numPr>
              <w:spacing w:before="120"/>
              <w:rPr>
                <w:rFonts w:cs="Arial"/>
              </w:rPr>
            </w:pPr>
            <w:r w:rsidRPr="00F97F08">
              <w:rPr>
                <w:rFonts w:cs="Arial"/>
              </w:rPr>
              <w:lastRenderedPageBreak/>
              <w:t xml:space="preserve">When the physicians </w:t>
            </w:r>
            <w:r w:rsidR="00343721" w:rsidRPr="00F97F08">
              <w:rPr>
                <w:rFonts w:cs="Arial"/>
              </w:rPr>
              <w:t>(from question #</w:t>
            </w:r>
            <w:r w:rsidR="004310D9" w:rsidRPr="00F97F08">
              <w:rPr>
                <w:rFonts w:cs="Arial"/>
              </w:rPr>
              <w:t>3</w:t>
            </w:r>
            <w:r w:rsidR="00343721" w:rsidRPr="00F97F08">
              <w:rPr>
                <w:rFonts w:cs="Arial"/>
              </w:rPr>
              <w:t xml:space="preserve">) </w:t>
            </w:r>
            <w:r w:rsidRPr="00F97F08">
              <w:rPr>
                <w:rFonts w:cs="Arial"/>
              </w:rPr>
              <w:t xml:space="preserve">are not present on-site in the ICU or not able to </w:t>
            </w:r>
            <w:r w:rsidR="004310D9" w:rsidRPr="00F97F08">
              <w:rPr>
                <w:rFonts w:cs="Arial"/>
              </w:rPr>
              <w:t xml:space="preserve">physically </w:t>
            </w:r>
            <w:r w:rsidRPr="00F97F08">
              <w:rPr>
                <w:rFonts w:cs="Arial"/>
              </w:rPr>
              <w:t xml:space="preserve">reach an ICU patient within 5 minutes, can they rely on a </w:t>
            </w:r>
            <w:hyperlink w:anchor="Endnote31_OtherEffector" w:history="1">
              <w:r w:rsidRPr="00F97F08">
                <w:rPr>
                  <w:rStyle w:val="Hyperlink"/>
                  <w:rFonts w:cs="Arial"/>
                </w:rPr>
                <w:t>physician, physician assistant, nurse practitioner</w:t>
              </w:r>
            </w:hyperlink>
            <w:bookmarkStart w:id="419" w:name="_Ref91166814"/>
            <w:r w:rsidR="000F0582">
              <w:rPr>
                <w:rStyle w:val="Hyperlink"/>
                <w:rFonts w:ascii="ZWAdobeF" w:hAnsi="ZWAdobeF" w:cs="ZWAdobeF"/>
                <w:color w:val="auto"/>
                <w:sz w:val="2"/>
                <w:szCs w:val="2"/>
                <w:u w:val="none"/>
              </w:rPr>
              <w:t>41F</w:t>
            </w:r>
            <w:r w:rsidR="00BF053F">
              <w:rPr>
                <w:rStyle w:val="Hyperlink"/>
                <w:rFonts w:ascii="ZWAdobeF" w:hAnsi="ZWAdobeF" w:cs="ZWAdobeF"/>
                <w:color w:val="auto"/>
                <w:sz w:val="2"/>
                <w:szCs w:val="2"/>
                <w:u w:val="none"/>
              </w:rPr>
              <w:t>41F</w:t>
            </w:r>
            <w:r w:rsidR="004C7557">
              <w:rPr>
                <w:rStyle w:val="Hyperlink"/>
                <w:rFonts w:ascii="ZWAdobeF" w:hAnsi="ZWAdobeF" w:cs="ZWAdobeF"/>
                <w:color w:val="auto"/>
                <w:sz w:val="2"/>
                <w:szCs w:val="2"/>
                <w:u w:val="none"/>
              </w:rPr>
              <w:t>41F</w:t>
            </w:r>
            <w:r w:rsidR="00C2087D">
              <w:rPr>
                <w:rStyle w:val="Hyperlink"/>
                <w:rFonts w:ascii="ZWAdobeF" w:hAnsi="ZWAdobeF" w:cs="ZWAdobeF"/>
                <w:color w:val="auto"/>
                <w:sz w:val="2"/>
                <w:szCs w:val="2"/>
                <w:u w:val="none"/>
              </w:rPr>
              <w:t>41F</w:t>
            </w:r>
            <w:r w:rsidR="00B55C41">
              <w:rPr>
                <w:rStyle w:val="Hyperlink"/>
                <w:rFonts w:ascii="ZWAdobeF" w:hAnsi="ZWAdobeF" w:cs="ZWAdobeF"/>
                <w:color w:val="auto"/>
                <w:sz w:val="2"/>
                <w:szCs w:val="2"/>
                <w:u w:val="none"/>
              </w:rPr>
              <w:t>41F</w:t>
            </w:r>
            <w:r w:rsidR="006255A6">
              <w:rPr>
                <w:rStyle w:val="Hyperlink"/>
                <w:rFonts w:ascii="ZWAdobeF" w:hAnsi="ZWAdobeF" w:cs="ZWAdobeF"/>
                <w:color w:val="auto"/>
                <w:sz w:val="2"/>
                <w:szCs w:val="2"/>
                <w:u w:val="none"/>
              </w:rPr>
              <w:t>41F</w:t>
            </w:r>
            <w:r w:rsidR="00E453C7">
              <w:rPr>
                <w:rStyle w:val="Hyperlink"/>
                <w:rFonts w:ascii="ZWAdobeF" w:hAnsi="ZWAdobeF" w:cs="ZWAdobeF"/>
                <w:color w:val="auto"/>
                <w:sz w:val="2"/>
                <w:szCs w:val="2"/>
                <w:u w:val="none"/>
              </w:rPr>
              <w:t>41F</w:t>
            </w:r>
            <w:r w:rsidR="00953060">
              <w:rPr>
                <w:rStyle w:val="Hyperlink"/>
                <w:rFonts w:ascii="ZWAdobeF" w:hAnsi="ZWAdobeF" w:cs="ZWAdobeF"/>
                <w:color w:val="auto"/>
                <w:sz w:val="2"/>
                <w:szCs w:val="2"/>
                <w:u w:val="none"/>
              </w:rPr>
              <w:t>41F</w:t>
            </w:r>
            <w:r w:rsidR="00DD04D6">
              <w:rPr>
                <w:rStyle w:val="Hyperlink"/>
                <w:rFonts w:ascii="ZWAdobeF" w:hAnsi="ZWAdobeF" w:cs="ZWAdobeF"/>
                <w:color w:val="auto"/>
                <w:sz w:val="2"/>
                <w:szCs w:val="2"/>
                <w:u w:val="none"/>
              </w:rPr>
              <w:t>41F</w:t>
            </w:r>
            <w:r w:rsidR="00FA7D20">
              <w:rPr>
                <w:rStyle w:val="EndnoteReference"/>
              </w:rPr>
              <w:endnoteReference w:id="43"/>
            </w:r>
            <w:bookmarkEnd w:id="419"/>
            <w:r w:rsidRPr="00F97F08">
              <w:rPr>
                <w:rFonts w:cs="Arial"/>
              </w:rPr>
              <w:t xml:space="preserve">, or </w:t>
            </w:r>
            <w:hyperlink w:anchor="Endnote29_NurseEffector" w:history="1">
              <w:r w:rsidRPr="00F97F08">
                <w:rPr>
                  <w:rStyle w:val="Hyperlink"/>
                  <w:rFonts w:cs="Arial"/>
                </w:rPr>
                <w:t xml:space="preserve">FCCS-certified nurse </w:t>
              </w:r>
              <w:r w:rsidR="003061E3" w:rsidRPr="00F97F08">
                <w:rPr>
                  <w:rStyle w:val="Hyperlink"/>
                  <w:rFonts w:cs="Arial"/>
                </w:rPr>
                <w:t xml:space="preserve">or intern </w:t>
              </w:r>
              <w:r w:rsidRPr="00F97F08">
                <w:rPr>
                  <w:rStyle w:val="Hyperlink"/>
                  <w:rFonts w:cs="Arial"/>
                </w:rPr>
                <w:t>“effector</w:t>
              </w:r>
              <w:r w:rsidR="004C3E7B" w:rsidRPr="00F97F08">
                <w:rPr>
                  <w:rStyle w:val="Hyperlink"/>
                  <w:rFonts w:cs="Arial"/>
                </w:rPr>
                <w:t>”</w:t>
              </w:r>
            </w:hyperlink>
            <w:r w:rsidR="000F4DD8" w:rsidRPr="00F97F08">
              <w:rPr>
                <w:vertAlign w:val="superscript"/>
              </w:rPr>
              <w:fldChar w:fldCharType="begin"/>
            </w:r>
            <w:r w:rsidR="000F4DD8" w:rsidRPr="00F97F08">
              <w:rPr>
                <w:rStyle w:val="Hyperlink"/>
                <w:rFonts w:cs="Arial"/>
              </w:rPr>
              <w:instrText xml:space="preserve"> NOTEREF _Ref91167163 \f \h </w:instrText>
            </w:r>
            <w:r w:rsidR="003F6531" w:rsidRPr="00F97F08">
              <w:rPr>
                <w:vertAlign w:val="superscript"/>
              </w:rPr>
              <w:instrText xml:space="preserve"> \* MERGEFORMAT </w:instrText>
            </w:r>
            <w:r w:rsidR="000F4DD8" w:rsidRPr="00F97F08">
              <w:rPr>
                <w:vertAlign w:val="superscript"/>
              </w:rPr>
            </w:r>
            <w:r w:rsidR="000F4DD8" w:rsidRPr="00F97F08">
              <w:rPr>
                <w:vertAlign w:val="superscript"/>
              </w:rPr>
              <w:fldChar w:fldCharType="separate"/>
            </w:r>
            <w:r w:rsidR="007D53A2" w:rsidRPr="00A012EC">
              <w:rPr>
                <w:rStyle w:val="EndnoteReference"/>
              </w:rPr>
              <w:t>40</w:t>
            </w:r>
            <w:r w:rsidR="000F4DD8" w:rsidRPr="00F97F08">
              <w:rPr>
                <w:vertAlign w:val="superscript"/>
              </w:rPr>
              <w:fldChar w:fldCharType="end"/>
            </w:r>
            <w:r w:rsidR="003D2251" w:rsidRPr="00F97F08">
              <w:rPr>
                <w:rFonts w:cs="Arial"/>
              </w:rPr>
              <w:t xml:space="preserve"> </w:t>
            </w:r>
            <w:r w:rsidRPr="00F97F08">
              <w:rPr>
                <w:rFonts w:cs="Arial"/>
              </w:rPr>
              <w:t xml:space="preserve">who is in the hospital and able to reach these ICU patients within five minutes in more than 95% of the cases, </w:t>
            </w:r>
            <w:r w:rsidRPr="00F97F08">
              <w:rPr>
                <w:rFonts w:cs="Arial"/>
                <w:snapToGrid w:val="0"/>
                <w:color w:val="000000"/>
              </w:rPr>
              <w:t xml:space="preserve">based on a </w:t>
            </w:r>
            <w:hyperlink w:anchor="Endnote28_ResponseAnalysis" w:history="1">
              <w:r w:rsidR="003D2251" w:rsidRPr="00F97F08">
                <w:rPr>
                  <w:rStyle w:val="Hyperlink"/>
                  <w:rFonts w:cs="Arial"/>
                  <w:snapToGrid w:val="0"/>
                </w:rPr>
                <w:t>quantified analysis</w:t>
              </w:r>
            </w:hyperlink>
            <w:r w:rsidR="000F4DD8" w:rsidRPr="00F97F08">
              <w:rPr>
                <w:rFonts w:cs="Arial"/>
                <w:vertAlign w:val="superscript"/>
              </w:rPr>
              <w:fldChar w:fldCharType="begin"/>
            </w:r>
            <w:r w:rsidR="000F4DD8" w:rsidRPr="00F97F08">
              <w:rPr>
                <w:rStyle w:val="Hyperlink"/>
                <w:rFonts w:cs="Arial"/>
                <w:snapToGrid w:val="0"/>
              </w:rPr>
              <w:instrText xml:space="preserve"> NOTEREF _Ref534212563 \f \h </w:instrText>
            </w:r>
            <w:r w:rsidR="003F6531" w:rsidRPr="00F97F08">
              <w:rPr>
                <w:rFonts w:cs="Arial"/>
                <w:vertAlign w:val="superscript"/>
              </w:rPr>
              <w:instrText xml:space="preserve"> \* MERGEFORMAT </w:instrText>
            </w:r>
            <w:r w:rsidR="000F4DD8" w:rsidRPr="00F97F08">
              <w:rPr>
                <w:rFonts w:cs="Arial"/>
                <w:vertAlign w:val="superscript"/>
              </w:rPr>
            </w:r>
            <w:r w:rsidR="000F4DD8" w:rsidRPr="00F97F08">
              <w:rPr>
                <w:rFonts w:cs="Arial"/>
                <w:vertAlign w:val="superscript"/>
              </w:rPr>
              <w:fldChar w:fldCharType="separate"/>
            </w:r>
            <w:r w:rsidR="007D53A2" w:rsidRPr="00A012EC">
              <w:rPr>
                <w:rStyle w:val="EndnoteReference"/>
              </w:rPr>
              <w:t>39</w:t>
            </w:r>
            <w:r w:rsidR="000F4DD8" w:rsidRPr="00F97F08">
              <w:rPr>
                <w:rFonts w:cs="Arial"/>
                <w:vertAlign w:val="superscript"/>
              </w:rPr>
              <w:fldChar w:fldCharType="end"/>
            </w:r>
            <w:r w:rsidR="003D2251" w:rsidRPr="00F97F08">
              <w:rPr>
                <w:rFonts w:cs="Arial"/>
                <w:snapToGrid w:val="0"/>
                <w:color w:val="000000"/>
              </w:rPr>
              <w:t xml:space="preserve"> </w:t>
            </w:r>
            <w:r w:rsidRPr="00F97F08">
              <w:rPr>
                <w:rFonts w:cs="Arial"/>
                <w:snapToGrid w:val="0"/>
                <w:color w:val="000000"/>
              </w:rPr>
              <w:t>of response time</w:t>
            </w:r>
            <w:r w:rsidR="009C3014" w:rsidRPr="00F97F08">
              <w:rPr>
                <w:rFonts w:cs="Arial"/>
                <w:snapToGrid w:val="0"/>
                <w:color w:val="000000"/>
              </w:rPr>
              <w:t xml:space="preserve"> </w:t>
            </w:r>
            <w:r w:rsidR="005B7CBC" w:rsidRPr="00F97F08">
              <w:rPr>
                <w:rFonts w:cs="Arial"/>
                <w:snapToGrid w:val="0"/>
                <w:color w:val="000000"/>
              </w:rPr>
              <w:t>of</w:t>
            </w:r>
            <w:r w:rsidR="009C3014" w:rsidRPr="00F97F08">
              <w:rPr>
                <w:rFonts w:cs="Arial"/>
                <w:snapToGrid w:val="0"/>
                <w:color w:val="000000"/>
              </w:rPr>
              <w:t xml:space="preserve"> the effector reaching the patient</w:t>
            </w:r>
            <w:r w:rsidRPr="00F97F08">
              <w:rPr>
                <w:rFonts w:cs="Arial"/>
              </w:rPr>
              <w:t>?</w:t>
            </w:r>
          </w:p>
        </w:tc>
        <w:tc>
          <w:tcPr>
            <w:tcW w:w="2199" w:type="dxa"/>
            <w:vAlign w:val="center"/>
          </w:tcPr>
          <w:p w14:paraId="5B2B18BB" w14:textId="0A9DC75B" w:rsidR="00EA4193" w:rsidRPr="000C1F1D" w:rsidRDefault="008910AA" w:rsidP="00AD309C">
            <w:pPr>
              <w:pStyle w:val="ListParagraph"/>
              <w:numPr>
                <w:ilvl w:val="0"/>
                <w:numId w:val="343"/>
              </w:numPr>
              <w:rPr>
                <w:rFonts w:cs="Arial"/>
                <w:iCs/>
              </w:rPr>
            </w:pPr>
            <w:r w:rsidRPr="000C1F1D">
              <w:rPr>
                <w:rFonts w:cs="Arial"/>
                <w:iCs/>
              </w:rPr>
              <w:t>Yes</w:t>
            </w:r>
          </w:p>
          <w:p w14:paraId="304BEF51" w14:textId="77777777" w:rsidR="00ED42CB" w:rsidRDefault="008910AA" w:rsidP="00AD309C">
            <w:pPr>
              <w:pStyle w:val="ListParagraph"/>
              <w:numPr>
                <w:ilvl w:val="0"/>
                <w:numId w:val="343"/>
              </w:numPr>
              <w:rPr>
                <w:rFonts w:cs="Arial"/>
                <w:iCs/>
              </w:rPr>
            </w:pPr>
            <w:r w:rsidRPr="000C1F1D">
              <w:rPr>
                <w:rFonts w:cs="Arial"/>
                <w:iCs/>
              </w:rPr>
              <w:t>No</w:t>
            </w:r>
          </w:p>
          <w:p w14:paraId="581E536D" w14:textId="48C7B3DD" w:rsidR="008910AA" w:rsidRPr="000C1F1D" w:rsidRDefault="006F7343" w:rsidP="00AD309C">
            <w:pPr>
              <w:pStyle w:val="ListParagraph"/>
              <w:numPr>
                <w:ilvl w:val="0"/>
                <w:numId w:val="343"/>
              </w:numPr>
              <w:rPr>
                <w:rFonts w:cs="Arial"/>
                <w:iCs/>
              </w:rPr>
            </w:pPr>
            <w:r w:rsidRPr="000C1F1D">
              <w:rPr>
                <w:rFonts w:cs="Arial"/>
                <w:bCs/>
                <w:iCs/>
              </w:rPr>
              <w:t xml:space="preserve">Not </w:t>
            </w:r>
            <w:r w:rsidR="0073524E" w:rsidRPr="000C1F1D">
              <w:rPr>
                <w:rFonts w:cs="Arial"/>
                <w:bCs/>
                <w:iCs/>
              </w:rPr>
              <w:t>applicable</w:t>
            </w:r>
            <w:r w:rsidR="00AD0B6C" w:rsidRPr="000C1F1D">
              <w:rPr>
                <w:rFonts w:cs="Arial"/>
                <w:bCs/>
                <w:iCs/>
              </w:rPr>
              <w:t>;</w:t>
            </w:r>
            <w:r w:rsidR="0073524E" w:rsidRPr="000C1F1D">
              <w:rPr>
                <w:rFonts w:cs="Arial"/>
                <w:bCs/>
                <w:iCs/>
              </w:rPr>
              <w:t xml:space="preserve"> intensivists</w:t>
            </w:r>
            <w:r w:rsidRPr="000C1F1D">
              <w:rPr>
                <w:rFonts w:cs="Arial"/>
                <w:bCs/>
                <w:iCs/>
              </w:rPr>
              <w:t xml:space="preserve"> are present </w:t>
            </w:r>
            <w:r w:rsidR="00687845" w:rsidRPr="000C1F1D">
              <w:rPr>
                <w:rFonts w:cs="Arial"/>
                <w:bCs/>
                <w:iCs/>
              </w:rPr>
              <w:t xml:space="preserve">on-site </w:t>
            </w:r>
            <w:r w:rsidRPr="000C1F1D">
              <w:rPr>
                <w:rFonts w:cs="Arial"/>
                <w:bCs/>
                <w:iCs/>
              </w:rPr>
              <w:t>24/7</w:t>
            </w:r>
          </w:p>
        </w:tc>
      </w:tr>
    </w:tbl>
    <w:p w14:paraId="4DC16A94" w14:textId="77777777" w:rsidR="00CC2E61" w:rsidRPr="009A5185" w:rsidRDefault="00CC2E61">
      <w:pPr>
        <w:rPr>
          <w:rFonts w:cs="Arial"/>
          <w:i/>
        </w:rPr>
      </w:pPr>
    </w:p>
    <w:p w14:paraId="1022881C" w14:textId="4655BF39" w:rsidR="008910AA" w:rsidRDefault="008910AA">
      <w:pPr>
        <w:rPr>
          <w:rFonts w:cs="Arial"/>
          <w:i/>
        </w:rPr>
      </w:pPr>
      <w:r w:rsidRPr="00221696">
        <w:rPr>
          <w:rFonts w:cs="Arial"/>
          <w:i/>
        </w:rPr>
        <w:t xml:space="preserve">If </w:t>
      </w:r>
      <w:r w:rsidR="00343721" w:rsidRPr="00221696">
        <w:rPr>
          <w:rFonts w:cs="Arial"/>
          <w:i/>
        </w:rPr>
        <w:t>“no”</w:t>
      </w:r>
      <w:r w:rsidRPr="00221696">
        <w:rPr>
          <w:rFonts w:cs="Arial"/>
          <w:i/>
        </w:rPr>
        <w:t xml:space="preserve"> to </w:t>
      </w:r>
      <w:r w:rsidR="000E602A" w:rsidRPr="00221696">
        <w:rPr>
          <w:rFonts w:cs="Arial"/>
          <w:i/>
        </w:rPr>
        <w:t>either</w:t>
      </w:r>
      <w:r w:rsidRPr="00221696">
        <w:rPr>
          <w:rFonts w:cs="Arial"/>
          <w:i/>
        </w:rPr>
        <w:t xml:space="preserve"> question #</w:t>
      </w:r>
      <w:r w:rsidR="00F97F08">
        <w:rPr>
          <w:rFonts w:cs="Arial"/>
          <w:i/>
        </w:rPr>
        <w:t>7</w:t>
      </w:r>
      <w:r w:rsidR="004539AC" w:rsidRPr="00221696">
        <w:rPr>
          <w:rFonts w:cs="Arial"/>
          <w:i/>
        </w:rPr>
        <w:t xml:space="preserve"> or </w:t>
      </w:r>
      <w:r w:rsidR="004C2130" w:rsidRPr="00221696">
        <w:rPr>
          <w:rFonts w:cs="Arial"/>
          <w:i/>
        </w:rPr>
        <w:t>#</w:t>
      </w:r>
      <w:r w:rsidR="00F97F08">
        <w:rPr>
          <w:rFonts w:cs="Arial"/>
          <w:i/>
        </w:rPr>
        <w:t>8</w:t>
      </w:r>
      <w:r w:rsidR="00624047" w:rsidRPr="00221696">
        <w:rPr>
          <w:rFonts w:cs="Arial"/>
          <w:i/>
        </w:rPr>
        <w:t xml:space="preserve"> </w:t>
      </w:r>
      <w:r w:rsidRPr="00221696">
        <w:rPr>
          <w:rFonts w:cs="Arial"/>
          <w:i/>
        </w:rPr>
        <w:t xml:space="preserve">in this section, </w:t>
      </w:r>
      <w:r w:rsidR="00AB1346">
        <w:rPr>
          <w:rFonts w:cs="Arial"/>
          <w:i/>
        </w:rPr>
        <w:t xml:space="preserve">continue to </w:t>
      </w:r>
      <w:r w:rsidRPr="00221696">
        <w:rPr>
          <w:rFonts w:cs="Arial"/>
          <w:i/>
        </w:rPr>
        <w:t>questions</w:t>
      </w:r>
      <w:r w:rsidR="00343721" w:rsidRPr="00221696">
        <w:rPr>
          <w:rFonts w:cs="Arial"/>
          <w:i/>
        </w:rPr>
        <w:t xml:space="preserve"> #</w:t>
      </w:r>
      <w:r w:rsidR="00F97F08">
        <w:rPr>
          <w:rFonts w:cs="Arial"/>
          <w:i/>
        </w:rPr>
        <w:t>9</w:t>
      </w:r>
      <w:r w:rsidR="00343721" w:rsidRPr="00221696">
        <w:rPr>
          <w:rFonts w:cs="Arial"/>
          <w:i/>
        </w:rPr>
        <w:t>-</w:t>
      </w:r>
      <w:r w:rsidR="00624047" w:rsidRPr="00221696">
        <w:rPr>
          <w:rFonts w:cs="Arial"/>
          <w:i/>
        </w:rPr>
        <w:t>1</w:t>
      </w:r>
      <w:r w:rsidR="00F97F08">
        <w:rPr>
          <w:rFonts w:cs="Arial"/>
          <w:i/>
        </w:rPr>
        <w:t>5</w:t>
      </w:r>
      <w:r w:rsidRPr="00221696">
        <w:rPr>
          <w:rFonts w:cs="Arial"/>
          <w:i/>
        </w:rPr>
        <w:t>.</w:t>
      </w:r>
      <w:r w:rsidR="00566F20" w:rsidRPr="00221696">
        <w:rPr>
          <w:rFonts w:cs="Arial"/>
          <w:i/>
        </w:rPr>
        <w:t xml:space="preserve"> If “yes” </w:t>
      </w:r>
      <w:r w:rsidR="00F125BA" w:rsidRPr="00221696">
        <w:rPr>
          <w:rFonts w:cs="Arial"/>
          <w:i/>
        </w:rPr>
        <w:t>or “</w:t>
      </w:r>
      <w:r w:rsidR="00EE6F78" w:rsidRPr="00221696">
        <w:rPr>
          <w:rFonts w:cs="Arial"/>
          <w:i/>
        </w:rPr>
        <w:t>n</w:t>
      </w:r>
      <w:r w:rsidR="00F125BA" w:rsidRPr="00221696">
        <w:rPr>
          <w:rFonts w:cs="Arial"/>
          <w:i/>
        </w:rPr>
        <w:t>ot applicable</w:t>
      </w:r>
      <w:r w:rsidR="00AD0B6C">
        <w:rPr>
          <w:rFonts w:cs="Arial"/>
          <w:i/>
        </w:rPr>
        <w:t>;</w:t>
      </w:r>
      <w:r w:rsidR="00F125BA" w:rsidRPr="00221696">
        <w:rPr>
          <w:rFonts w:cs="Arial"/>
          <w:i/>
        </w:rPr>
        <w:t xml:space="preserve"> </w:t>
      </w:r>
      <w:r w:rsidR="009251D6" w:rsidRPr="00221696">
        <w:rPr>
          <w:rFonts w:cs="Arial"/>
          <w:i/>
        </w:rPr>
        <w:t>i</w:t>
      </w:r>
      <w:r w:rsidR="00F125BA" w:rsidRPr="00221696">
        <w:rPr>
          <w:rFonts w:cs="Arial"/>
          <w:i/>
        </w:rPr>
        <w:t xml:space="preserve">ntensivists are present </w:t>
      </w:r>
      <w:r w:rsidR="003061E3">
        <w:rPr>
          <w:rFonts w:cs="Arial"/>
          <w:i/>
        </w:rPr>
        <w:t xml:space="preserve">on-site </w:t>
      </w:r>
      <w:r w:rsidR="00F125BA" w:rsidRPr="00221696">
        <w:rPr>
          <w:rFonts w:cs="Arial"/>
          <w:i/>
        </w:rPr>
        <w:t xml:space="preserve">24/7” </w:t>
      </w:r>
      <w:r w:rsidR="00566F20" w:rsidRPr="00221696">
        <w:rPr>
          <w:rFonts w:cs="Arial"/>
          <w:i/>
        </w:rPr>
        <w:t>to questions #</w:t>
      </w:r>
      <w:r w:rsidR="00F97F08">
        <w:rPr>
          <w:rFonts w:cs="Arial"/>
          <w:i/>
        </w:rPr>
        <w:t>7</w:t>
      </w:r>
      <w:r w:rsidR="00566F20" w:rsidRPr="00221696">
        <w:rPr>
          <w:rFonts w:cs="Arial"/>
          <w:i/>
        </w:rPr>
        <w:t xml:space="preserve"> and </w:t>
      </w:r>
      <w:r w:rsidR="00935037">
        <w:rPr>
          <w:rFonts w:cs="Arial"/>
          <w:i/>
        </w:rPr>
        <w:t>#</w:t>
      </w:r>
      <w:r w:rsidR="00F97F08">
        <w:rPr>
          <w:rFonts w:cs="Arial"/>
          <w:i/>
        </w:rPr>
        <w:t>8</w:t>
      </w:r>
      <w:r w:rsidR="00566F20" w:rsidRPr="00221696">
        <w:rPr>
          <w:rFonts w:cs="Arial"/>
          <w:i/>
        </w:rPr>
        <w:t xml:space="preserve">, skip </w:t>
      </w:r>
      <w:r w:rsidR="008978D5" w:rsidRPr="00221696">
        <w:rPr>
          <w:rFonts w:cs="Arial"/>
          <w:i/>
        </w:rPr>
        <w:t xml:space="preserve">the remaining </w:t>
      </w:r>
      <w:r w:rsidR="00566F20" w:rsidRPr="00221696">
        <w:rPr>
          <w:rFonts w:cs="Arial"/>
          <w:i/>
        </w:rPr>
        <w:t>questions</w:t>
      </w:r>
      <w:r w:rsidR="008978D5" w:rsidRPr="00221696">
        <w:rPr>
          <w:rFonts w:cs="Arial"/>
          <w:i/>
        </w:rPr>
        <w:t xml:space="preserve"> in Section 5</w:t>
      </w:r>
      <w:r w:rsidR="00202A3B">
        <w:rPr>
          <w:rFonts w:cs="Arial"/>
          <w:i/>
        </w:rPr>
        <w:t>A</w:t>
      </w:r>
      <w:r w:rsidR="00566F20" w:rsidRPr="00221696">
        <w:rPr>
          <w:rFonts w:cs="Arial"/>
          <w:i/>
        </w:rPr>
        <w:t xml:space="preserve"> and </w:t>
      </w:r>
      <w:r w:rsidR="00CD2F26">
        <w:rPr>
          <w:rFonts w:cs="Arial"/>
          <w:i/>
        </w:rPr>
        <w:t>continue</w:t>
      </w:r>
      <w:r w:rsidR="00CD2F26" w:rsidRPr="00221696">
        <w:rPr>
          <w:rFonts w:cs="Arial"/>
          <w:i/>
        </w:rPr>
        <w:t xml:space="preserve"> </w:t>
      </w:r>
      <w:r w:rsidR="00566F20" w:rsidRPr="00221696">
        <w:rPr>
          <w:rFonts w:cs="Arial"/>
          <w:i/>
        </w:rPr>
        <w:t>to</w:t>
      </w:r>
      <w:r w:rsidR="00FD6529" w:rsidRPr="00FD6529">
        <w:rPr>
          <w:rFonts w:cs="Arial"/>
          <w:i/>
        </w:rPr>
        <w:t xml:space="preserve"> </w:t>
      </w:r>
      <w:r w:rsidR="00D61B5D">
        <w:rPr>
          <w:rFonts w:cs="Arial"/>
          <w:i/>
        </w:rPr>
        <w:t>the next subsection</w:t>
      </w:r>
      <w:r w:rsidR="00566F20" w:rsidRPr="00221696">
        <w:rPr>
          <w:rFonts w:cs="Arial"/>
          <w:i/>
        </w:rPr>
        <w:t>.</w:t>
      </w:r>
    </w:p>
    <w:p w14:paraId="17CC5392" w14:textId="77777777" w:rsidR="008910AA" w:rsidRPr="00C40675" w:rsidRDefault="008910AA">
      <w:pPr>
        <w:rPr>
          <w:rFonts w:cs="Arial"/>
          <w:i/>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gridCol w:w="2233"/>
      </w:tblGrid>
      <w:tr w:rsidR="008910AA" w:rsidRPr="00C40675" w14:paraId="6C7F22F2" w14:textId="77777777" w:rsidTr="00996708">
        <w:trPr>
          <w:trHeight w:val="20"/>
          <w:jc w:val="center"/>
        </w:trPr>
        <w:tc>
          <w:tcPr>
            <w:tcW w:w="7334" w:type="dxa"/>
          </w:tcPr>
          <w:p w14:paraId="14AEC0C3" w14:textId="34064985" w:rsidR="008910AA" w:rsidRPr="00C40675" w:rsidRDefault="008910AA" w:rsidP="00AD309C">
            <w:pPr>
              <w:pStyle w:val="Header"/>
              <w:numPr>
                <w:ilvl w:val="0"/>
                <w:numId w:val="31"/>
              </w:numPr>
              <w:tabs>
                <w:tab w:val="clear" w:pos="4320"/>
                <w:tab w:val="clear" w:pos="8640"/>
              </w:tabs>
              <w:spacing w:before="120"/>
              <w:rPr>
                <w:rFonts w:cs="Arial"/>
              </w:rPr>
            </w:pPr>
            <w:r w:rsidRPr="00C40675">
              <w:rPr>
                <w:rFonts w:cs="Arial"/>
              </w:rPr>
              <w:t xml:space="preserve">Are </w:t>
            </w:r>
            <w:hyperlink w:anchor="Endnote22_CCPatients" w:history="1">
              <w:r w:rsidR="003D2251" w:rsidRPr="00C40675">
                <w:rPr>
                  <w:rStyle w:val="Hyperlink"/>
                  <w:rFonts w:cs="Arial"/>
                </w:rPr>
                <w:t xml:space="preserve">all </w:t>
              </w:r>
              <w:r w:rsidR="004310D9" w:rsidRPr="00C40675">
                <w:rPr>
                  <w:rStyle w:val="Hyperlink"/>
                  <w:rFonts w:cs="Arial"/>
                </w:rPr>
                <w:t xml:space="preserve">critical care </w:t>
              </w:r>
              <w:r w:rsidR="003D2251" w:rsidRPr="00C40675">
                <w:rPr>
                  <w:rStyle w:val="Hyperlink"/>
                  <w:rFonts w:cs="Arial"/>
                </w:rPr>
                <w:t>patients</w:t>
              </w:r>
            </w:hyperlink>
            <w:r w:rsidR="000F4DD8">
              <w:rPr>
                <w:vertAlign w:val="superscript"/>
              </w:rPr>
              <w:fldChar w:fldCharType="begin"/>
            </w:r>
            <w:r w:rsidR="000F4DD8">
              <w:rPr>
                <w:rStyle w:val="Hyperlink"/>
                <w:rFonts w:cs="Arial"/>
              </w:rPr>
              <w:instrText xml:space="preserve"> NOTEREF _Ref534212310 \f \h </w:instrText>
            </w:r>
            <w:r w:rsidR="0079783F">
              <w:rPr>
                <w:vertAlign w:val="superscript"/>
              </w:rPr>
              <w:instrText xml:space="preserve"> \* MERGEFORMAT </w:instrText>
            </w:r>
            <w:r w:rsidR="000F4DD8">
              <w:rPr>
                <w:vertAlign w:val="superscript"/>
              </w:rPr>
            </w:r>
            <w:r w:rsidR="000F4DD8">
              <w:rPr>
                <w:vertAlign w:val="superscript"/>
              </w:rPr>
              <w:fldChar w:fldCharType="separate"/>
            </w:r>
            <w:r w:rsidR="007D53A2" w:rsidRPr="00A012EC">
              <w:rPr>
                <w:rStyle w:val="EndnoteReference"/>
              </w:rPr>
              <w:t>34</w:t>
            </w:r>
            <w:r w:rsidR="000F4DD8">
              <w:rPr>
                <w:vertAlign w:val="superscript"/>
              </w:rPr>
              <w:fldChar w:fldCharType="end"/>
            </w:r>
            <w:r w:rsidR="003D2251" w:rsidRPr="00C40675">
              <w:rPr>
                <w:rFonts w:cs="Arial"/>
              </w:rPr>
              <w:t xml:space="preserve"> </w:t>
            </w:r>
            <w:r w:rsidRPr="00C40675">
              <w:rPr>
                <w:rFonts w:cs="Arial"/>
              </w:rPr>
              <w:t xml:space="preserve">in </w:t>
            </w:r>
            <w:r w:rsidR="00F97F08">
              <w:rPr>
                <w:rFonts w:cs="Arial"/>
              </w:rPr>
              <w:t>th</w:t>
            </w:r>
            <w:r w:rsidR="00574C9E">
              <w:rPr>
                <w:rFonts w:cs="Arial"/>
              </w:rPr>
              <w:t>e</w:t>
            </w:r>
            <w:r w:rsidR="00F97F08">
              <w:rPr>
                <w:rFonts w:cs="Arial"/>
              </w:rPr>
              <w:t xml:space="preserve"> ICU</w:t>
            </w:r>
            <w:r w:rsidRPr="00C40675">
              <w:rPr>
                <w:rFonts w:cs="Arial"/>
              </w:rPr>
              <w:t xml:space="preserve"> </w:t>
            </w:r>
            <w:hyperlink w:anchor="Endnote24_Manage" w:history="1">
              <w:r w:rsidRPr="00C40675">
                <w:rPr>
                  <w:rStyle w:val="Hyperlink"/>
                  <w:rFonts w:cs="Arial"/>
                </w:rPr>
                <w:t>managed or co-managed</w:t>
              </w:r>
            </w:hyperlink>
            <w:r w:rsidR="000F4DD8">
              <w:rPr>
                <w:rFonts w:cs="Arial"/>
                <w:vertAlign w:val="superscript"/>
              </w:rPr>
              <w:fldChar w:fldCharType="begin"/>
            </w:r>
            <w:r w:rsidR="000F4DD8">
              <w:rPr>
                <w:rStyle w:val="Hyperlink"/>
                <w:rFonts w:cs="Arial"/>
              </w:rPr>
              <w:instrText xml:space="preserve"> NOTEREF _Ref91167015 \f \h </w:instrText>
            </w:r>
            <w:r w:rsidR="0079783F">
              <w:rPr>
                <w:rFonts w:cs="Arial"/>
                <w:vertAlign w:val="superscript"/>
              </w:rPr>
              <w:instrText xml:space="preserve"> \* MERGEFORMAT </w:instrText>
            </w:r>
            <w:r w:rsidR="000F4DD8">
              <w:rPr>
                <w:rFonts w:cs="Arial"/>
                <w:vertAlign w:val="superscript"/>
              </w:rPr>
            </w:r>
            <w:r w:rsidR="000F4DD8">
              <w:rPr>
                <w:rFonts w:cs="Arial"/>
                <w:vertAlign w:val="superscript"/>
              </w:rPr>
              <w:fldChar w:fldCharType="separate"/>
            </w:r>
            <w:r w:rsidR="007D53A2" w:rsidRPr="00A012EC">
              <w:rPr>
                <w:rStyle w:val="EndnoteReference"/>
              </w:rPr>
              <w:t>35</w:t>
            </w:r>
            <w:r w:rsidR="000F4DD8">
              <w:rPr>
                <w:rFonts w:cs="Arial"/>
                <w:vertAlign w:val="superscript"/>
              </w:rPr>
              <w:fldChar w:fldCharType="end"/>
            </w:r>
            <w:r w:rsidRPr="00C40675">
              <w:rPr>
                <w:rFonts w:cs="Arial"/>
              </w:rPr>
              <w:t xml:space="preserve"> by one or more physicians </w:t>
            </w:r>
            <w:hyperlink w:anchor="Endnote25_Certified" w:history="1">
              <w:r w:rsidR="003D2251" w:rsidRPr="00C40675">
                <w:rPr>
                  <w:rStyle w:val="Hyperlink"/>
                  <w:rFonts w:cs="Arial"/>
                </w:rPr>
                <w:t>certified in critical care medicine</w:t>
              </w:r>
            </w:hyperlink>
            <w:r w:rsidR="000F4DD8">
              <w:rPr>
                <w:rFonts w:cs="Arial"/>
                <w:vertAlign w:val="superscript"/>
              </w:rPr>
              <w:fldChar w:fldCharType="begin"/>
            </w:r>
            <w:r w:rsidR="000F4DD8">
              <w:rPr>
                <w:rStyle w:val="Hyperlink"/>
                <w:rFonts w:cs="Arial"/>
              </w:rPr>
              <w:instrText xml:space="preserve"> NOTEREF _Ref534212273 \f \h </w:instrText>
            </w:r>
            <w:r w:rsidR="0079783F">
              <w:rPr>
                <w:rFonts w:cs="Arial"/>
                <w:vertAlign w:val="superscript"/>
              </w:rPr>
              <w:instrText xml:space="preserve"> \* MERGEFORMAT </w:instrText>
            </w:r>
            <w:r w:rsidR="000F4DD8">
              <w:rPr>
                <w:rFonts w:cs="Arial"/>
                <w:vertAlign w:val="superscript"/>
              </w:rPr>
            </w:r>
            <w:r w:rsidR="000F4DD8">
              <w:rPr>
                <w:rFonts w:cs="Arial"/>
                <w:vertAlign w:val="superscript"/>
              </w:rPr>
              <w:fldChar w:fldCharType="separate"/>
            </w:r>
            <w:r w:rsidR="007D53A2" w:rsidRPr="00A012EC">
              <w:rPr>
                <w:rStyle w:val="EndnoteReference"/>
              </w:rPr>
              <w:t>36</w:t>
            </w:r>
            <w:r w:rsidR="000F4DD8">
              <w:rPr>
                <w:rFonts w:cs="Arial"/>
                <w:vertAlign w:val="superscript"/>
              </w:rPr>
              <w:fldChar w:fldCharType="end"/>
            </w:r>
            <w:r w:rsidR="003D2251" w:rsidRPr="00C40675">
              <w:rPr>
                <w:rFonts w:cs="Arial"/>
              </w:rPr>
              <w:t xml:space="preserve"> </w:t>
            </w:r>
            <w:r w:rsidRPr="00C40675">
              <w:rPr>
                <w:rFonts w:cs="Arial"/>
              </w:rPr>
              <w:t xml:space="preserve">who </w:t>
            </w:r>
            <w:r w:rsidR="006161E4" w:rsidRPr="00C40675">
              <w:rPr>
                <w:rFonts w:cs="Arial"/>
              </w:rPr>
              <w:t xml:space="preserve">meet </w:t>
            </w:r>
            <w:r w:rsidR="006161E4" w:rsidRPr="00C40675">
              <w:rPr>
                <w:rFonts w:cs="Arial"/>
                <w:b/>
              </w:rPr>
              <w:t>all</w:t>
            </w:r>
            <w:r w:rsidR="006161E4" w:rsidRPr="00C40675">
              <w:rPr>
                <w:rFonts w:cs="Arial"/>
              </w:rPr>
              <w:t xml:space="preserve"> the following criteria</w:t>
            </w:r>
            <w:r w:rsidRPr="00C40675">
              <w:rPr>
                <w:rFonts w:cs="Arial"/>
              </w:rPr>
              <w:t>:</w:t>
            </w:r>
          </w:p>
          <w:p w14:paraId="0F25BF93" w14:textId="703F4FC6" w:rsidR="008910AA" w:rsidRPr="00C40675" w:rsidRDefault="003D2251">
            <w:pPr>
              <w:pStyle w:val="Header"/>
              <w:numPr>
                <w:ilvl w:val="0"/>
                <w:numId w:val="8"/>
              </w:numPr>
              <w:tabs>
                <w:tab w:val="clear" w:pos="4320"/>
                <w:tab w:val="clear" w:pos="8640"/>
              </w:tabs>
              <w:rPr>
                <w:rFonts w:cs="Arial"/>
              </w:rPr>
            </w:pPr>
            <w:hyperlink w:anchor="Endnote26_Present" w:history="1">
              <w:r w:rsidRPr="00C40675">
                <w:rPr>
                  <w:rStyle w:val="Hyperlink"/>
                  <w:rFonts w:cs="Arial"/>
                </w:rPr>
                <w:t>ordinarily present</w:t>
              </w:r>
            </w:hyperlink>
            <w:r w:rsidR="000F4DD8">
              <w:rPr>
                <w:vertAlign w:val="superscript"/>
              </w:rPr>
              <w:fldChar w:fldCharType="begin"/>
            </w:r>
            <w:r w:rsidR="000F4DD8">
              <w:rPr>
                <w:rStyle w:val="Hyperlink"/>
                <w:rFonts w:cs="Arial"/>
              </w:rPr>
              <w:instrText xml:space="preserve"> NOTEREF _Ref91166304 \f \h </w:instrText>
            </w:r>
            <w:r w:rsidR="0079783F">
              <w:rPr>
                <w:vertAlign w:val="superscript"/>
              </w:rPr>
              <w:instrText xml:space="preserve"> \* MERGEFORMAT </w:instrText>
            </w:r>
            <w:r w:rsidR="000F4DD8">
              <w:rPr>
                <w:vertAlign w:val="superscript"/>
              </w:rPr>
            </w:r>
            <w:r w:rsidR="000F4DD8">
              <w:rPr>
                <w:vertAlign w:val="superscript"/>
              </w:rPr>
              <w:fldChar w:fldCharType="separate"/>
            </w:r>
            <w:r w:rsidR="007D53A2" w:rsidRPr="00A012EC">
              <w:rPr>
                <w:rStyle w:val="EndnoteReference"/>
              </w:rPr>
              <w:t>37</w:t>
            </w:r>
            <w:r w:rsidR="000F4DD8">
              <w:rPr>
                <w:vertAlign w:val="superscript"/>
              </w:rPr>
              <w:fldChar w:fldCharType="end"/>
            </w:r>
            <w:r w:rsidRPr="00C40675">
              <w:rPr>
                <w:rFonts w:cs="Arial"/>
              </w:rPr>
              <w:t xml:space="preserve"> </w:t>
            </w:r>
            <w:r w:rsidR="008910AA" w:rsidRPr="00C40675">
              <w:rPr>
                <w:rFonts w:cs="Arial"/>
              </w:rPr>
              <w:t xml:space="preserve">on-site in </w:t>
            </w:r>
            <w:r w:rsidR="00324BE2">
              <w:rPr>
                <w:rFonts w:cs="Arial"/>
              </w:rPr>
              <w:t>the ICU</w:t>
            </w:r>
            <w:r w:rsidR="0060765F" w:rsidRPr="00C40675">
              <w:rPr>
                <w:rFonts w:cs="Arial"/>
              </w:rPr>
              <w:t xml:space="preserve"> during daytime hours</w:t>
            </w:r>
            <w:r w:rsidR="005E3827">
              <w:rPr>
                <w:rFonts w:cs="Arial"/>
              </w:rPr>
              <w:t>;</w:t>
            </w:r>
          </w:p>
          <w:p w14:paraId="36332FDD" w14:textId="68B5042A" w:rsidR="008910AA" w:rsidRPr="00C40675" w:rsidRDefault="008910AA">
            <w:pPr>
              <w:pStyle w:val="Header"/>
              <w:numPr>
                <w:ilvl w:val="0"/>
                <w:numId w:val="8"/>
              </w:numPr>
              <w:tabs>
                <w:tab w:val="clear" w:pos="4320"/>
                <w:tab w:val="clear" w:pos="8640"/>
              </w:tabs>
              <w:rPr>
                <w:rFonts w:cs="Arial"/>
                <w:b/>
                <w:u w:val="single"/>
              </w:rPr>
            </w:pPr>
            <w:r w:rsidRPr="00C40675">
              <w:rPr>
                <w:rFonts w:cs="Arial"/>
              </w:rPr>
              <w:t xml:space="preserve">for at least </w:t>
            </w:r>
            <w:r w:rsidRPr="00C40675">
              <w:rPr>
                <w:rFonts w:cs="Arial"/>
                <w:b/>
              </w:rPr>
              <w:t>8 hours per day, 4 days per week</w:t>
            </w:r>
            <w:r w:rsidR="006613AC" w:rsidRPr="00C40675">
              <w:rPr>
                <w:rFonts w:cs="Arial"/>
                <w:b/>
              </w:rPr>
              <w:t xml:space="preserve"> or 4 hour</w:t>
            </w:r>
            <w:r w:rsidR="00B23683" w:rsidRPr="00C40675">
              <w:rPr>
                <w:rFonts w:cs="Arial"/>
                <w:b/>
              </w:rPr>
              <w:t>s</w:t>
            </w:r>
            <w:r w:rsidR="006613AC" w:rsidRPr="00C40675">
              <w:rPr>
                <w:rFonts w:cs="Arial"/>
                <w:b/>
              </w:rPr>
              <w:t xml:space="preserve"> per day, 7 days per week</w:t>
            </w:r>
            <w:r w:rsidR="005E3827" w:rsidRPr="00D36222">
              <w:rPr>
                <w:rFonts w:cs="Arial"/>
                <w:bCs/>
              </w:rPr>
              <w:t>; and</w:t>
            </w:r>
          </w:p>
          <w:p w14:paraId="64BFF35F" w14:textId="47E464AD" w:rsidR="008910AA" w:rsidRPr="00C40675" w:rsidRDefault="008910AA">
            <w:pPr>
              <w:pStyle w:val="Header"/>
              <w:numPr>
                <w:ilvl w:val="0"/>
                <w:numId w:val="7"/>
              </w:numPr>
              <w:tabs>
                <w:tab w:val="clear" w:pos="4320"/>
                <w:tab w:val="clear" w:pos="8640"/>
              </w:tabs>
              <w:spacing w:after="120"/>
              <w:ind w:left="720"/>
              <w:rPr>
                <w:rFonts w:cs="Arial"/>
              </w:rPr>
            </w:pPr>
            <w:r w:rsidRPr="00C40675">
              <w:rPr>
                <w:rFonts w:cs="Arial"/>
              </w:rPr>
              <w:t xml:space="preserve">providing clinical care </w:t>
            </w:r>
            <w:hyperlink w:anchor="Endnote26_Present" w:history="1">
              <w:r w:rsidR="003D2251" w:rsidRPr="00C40675">
                <w:rPr>
                  <w:rStyle w:val="Hyperlink"/>
                  <w:rFonts w:cs="Arial"/>
                </w:rPr>
                <w:t>exclusively</w:t>
              </w:r>
            </w:hyperlink>
            <w:r w:rsidR="000F4DD8">
              <w:rPr>
                <w:vertAlign w:val="superscript"/>
              </w:rPr>
              <w:fldChar w:fldCharType="begin"/>
            </w:r>
            <w:r w:rsidR="000F4DD8">
              <w:rPr>
                <w:rStyle w:val="Hyperlink"/>
                <w:rFonts w:cs="Arial"/>
              </w:rPr>
              <w:instrText xml:space="preserve"> NOTEREF _Ref91166304 \f \h </w:instrText>
            </w:r>
            <w:r w:rsidR="0079783F">
              <w:rPr>
                <w:vertAlign w:val="superscript"/>
              </w:rPr>
              <w:instrText xml:space="preserve"> \* MERGEFORMAT </w:instrText>
            </w:r>
            <w:r w:rsidR="000F4DD8">
              <w:rPr>
                <w:vertAlign w:val="superscript"/>
              </w:rPr>
            </w:r>
            <w:r w:rsidR="000F4DD8">
              <w:rPr>
                <w:vertAlign w:val="superscript"/>
              </w:rPr>
              <w:fldChar w:fldCharType="separate"/>
            </w:r>
            <w:r w:rsidR="007D53A2" w:rsidRPr="00A012EC">
              <w:rPr>
                <w:rStyle w:val="EndnoteReference"/>
              </w:rPr>
              <w:t>37</w:t>
            </w:r>
            <w:r w:rsidR="000F4DD8">
              <w:rPr>
                <w:vertAlign w:val="superscript"/>
              </w:rPr>
              <w:fldChar w:fldCharType="end"/>
            </w:r>
            <w:r w:rsidR="003D2251" w:rsidRPr="00C40675">
              <w:rPr>
                <w:rFonts w:cs="Arial"/>
              </w:rPr>
              <w:t xml:space="preserve"> </w:t>
            </w:r>
            <w:r w:rsidRPr="00C40675">
              <w:rPr>
                <w:rFonts w:cs="Arial"/>
              </w:rPr>
              <w:t xml:space="preserve">in </w:t>
            </w:r>
            <w:r w:rsidR="00324BE2">
              <w:rPr>
                <w:rFonts w:cs="Arial"/>
              </w:rPr>
              <w:t>the</w:t>
            </w:r>
            <w:r w:rsidRPr="00C40675">
              <w:rPr>
                <w:rFonts w:cs="Arial"/>
              </w:rPr>
              <w:t xml:space="preserve"> ICU during these hours?</w:t>
            </w:r>
          </w:p>
        </w:tc>
        <w:tc>
          <w:tcPr>
            <w:tcW w:w="2233" w:type="dxa"/>
            <w:vAlign w:val="center"/>
          </w:tcPr>
          <w:p w14:paraId="32E8654B" w14:textId="77777777" w:rsidR="008910AA" w:rsidRPr="000C1F1D" w:rsidRDefault="008910AA" w:rsidP="00AD309C">
            <w:pPr>
              <w:pStyle w:val="ListParagraph"/>
              <w:numPr>
                <w:ilvl w:val="0"/>
                <w:numId w:val="344"/>
              </w:numPr>
              <w:rPr>
                <w:rFonts w:cs="Arial"/>
                <w:iCs/>
              </w:rPr>
            </w:pPr>
            <w:r w:rsidRPr="000C1F1D">
              <w:rPr>
                <w:rFonts w:cs="Arial"/>
                <w:iCs/>
              </w:rPr>
              <w:t>Yes</w:t>
            </w:r>
          </w:p>
          <w:p w14:paraId="1882C9A9" w14:textId="77777777" w:rsidR="008910AA" w:rsidRPr="000C1F1D" w:rsidRDefault="008910AA" w:rsidP="00AD309C">
            <w:pPr>
              <w:pStyle w:val="ListParagraph"/>
              <w:numPr>
                <w:ilvl w:val="0"/>
                <w:numId w:val="344"/>
              </w:numPr>
              <w:rPr>
                <w:rFonts w:cs="Arial"/>
                <w:iCs/>
              </w:rPr>
            </w:pPr>
            <w:r w:rsidRPr="000C1F1D">
              <w:rPr>
                <w:rFonts w:cs="Arial"/>
                <w:iCs/>
              </w:rPr>
              <w:t>No</w:t>
            </w:r>
          </w:p>
        </w:tc>
      </w:tr>
      <w:tr w:rsidR="008910AA" w:rsidRPr="00C40675" w14:paraId="7B2E89E6" w14:textId="77777777" w:rsidTr="008C19AC">
        <w:trPr>
          <w:trHeight w:val="2304"/>
          <w:jc w:val="center"/>
        </w:trPr>
        <w:tc>
          <w:tcPr>
            <w:tcW w:w="7334" w:type="dxa"/>
            <w:vAlign w:val="center"/>
          </w:tcPr>
          <w:p w14:paraId="646C93D9" w14:textId="0B51402A" w:rsidR="008910AA" w:rsidRPr="00F97F08" w:rsidRDefault="008910AA" w:rsidP="00AD309C">
            <w:pPr>
              <w:pStyle w:val="ListParagraph"/>
              <w:numPr>
                <w:ilvl w:val="0"/>
                <w:numId w:val="31"/>
              </w:numPr>
              <w:rPr>
                <w:rFonts w:cs="Arial"/>
              </w:rPr>
            </w:pPr>
            <w:r w:rsidRPr="00F97F08">
              <w:rPr>
                <w:rFonts w:cs="Arial"/>
              </w:rPr>
              <w:t xml:space="preserve">Are </w:t>
            </w:r>
            <w:hyperlink w:anchor="Endnote22_CCPatients" w:history="1">
              <w:r w:rsidRPr="00F97F08">
                <w:rPr>
                  <w:rStyle w:val="Hyperlink"/>
                  <w:rFonts w:cs="Arial"/>
                </w:rPr>
                <w:t xml:space="preserve">all </w:t>
              </w:r>
              <w:r w:rsidR="004310D9" w:rsidRPr="00F97F08">
                <w:rPr>
                  <w:rStyle w:val="Hyperlink"/>
                  <w:rFonts w:cs="Arial"/>
                </w:rPr>
                <w:t xml:space="preserve">critical care </w:t>
              </w:r>
              <w:r w:rsidRPr="00F97F08">
                <w:rPr>
                  <w:rStyle w:val="Hyperlink"/>
                  <w:rFonts w:cs="Arial"/>
                </w:rPr>
                <w:t>patients</w:t>
              </w:r>
            </w:hyperlink>
            <w:r w:rsidR="000F4DD8" w:rsidRPr="00F97F08">
              <w:rPr>
                <w:rFonts w:cs="Arial"/>
                <w:vertAlign w:val="superscript"/>
              </w:rPr>
              <w:fldChar w:fldCharType="begin"/>
            </w:r>
            <w:r w:rsidR="000F4DD8" w:rsidRPr="00F97F08">
              <w:rPr>
                <w:rStyle w:val="Hyperlink"/>
                <w:rFonts w:cs="Arial"/>
              </w:rPr>
              <w:instrText xml:space="preserve"> NOTEREF _Ref534212310 \f \h </w:instrText>
            </w:r>
            <w:r w:rsidR="0079783F">
              <w:rPr>
                <w:rFonts w:cs="Arial"/>
                <w:vertAlign w:val="superscript"/>
              </w:rPr>
              <w:instrText xml:space="preserve"> \* MERGEFORMAT </w:instrText>
            </w:r>
            <w:r w:rsidR="000F4DD8" w:rsidRPr="00F97F08">
              <w:rPr>
                <w:rFonts w:cs="Arial"/>
                <w:vertAlign w:val="superscript"/>
              </w:rPr>
            </w:r>
            <w:r w:rsidR="000F4DD8" w:rsidRPr="00F97F08">
              <w:rPr>
                <w:rFonts w:cs="Arial"/>
                <w:vertAlign w:val="superscript"/>
              </w:rPr>
              <w:fldChar w:fldCharType="separate"/>
            </w:r>
            <w:r w:rsidR="007D53A2" w:rsidRPr="00A012EC">
              <w:rPr>
                <w:rStyle w:val="EndnoteReference"/>
              </w:rPr>
              <w:t>34</w:t>
            </w:r>
            <w:r w:rsidR="000F4DD8" w:rsidRPr="00F97F08">
              <w:rPr>
                <w:rFonts w:cs="Arial"/>
                <w:vertAlign w:val="superscript"/>
              </w:rPr>
              <w:fldChar w:fldCharType="end"/>
            </w:r>
            <w:r w:rsidRPr="00F97F08">
              <w:rPr>
                <w:rFonts w:cs="Arial"/>
              </w:rPr>
              <w:t xml:space="preserve"> in </w:t>
            </w:r>
            <w:r w:rsidR="00F97F08">
              <w:rPr>
                <w:rFonts w:cs="Arial"/>
              </w:rPr>
              <w:t>th</w:t>
            </w:r>
            <w:r w:rsidR="00574C9E">
              <w:rPr>
                <w:rFonts w:cs="Arial"/>
              </w:rPr>
              <w:t>e</w:t>
            </w:r>
            <w:r w:rsidR="00F97F08">
              <w:rPr>
                <w:rFonts w:cs="Arial"/>
              </w:rPr>
              <w:t xml:space="preserve"> ICU</w:t>
            </w:r>
            <w:r w:rsidRPr="00F97F08">
              <w:rPr>
                <w:rFonts w:cs="Arial"/>
              </w:rPr>
              <w:t xml:space="preserve"> </w:t>
            </w:r>
            <w:hyperlink w:anchor="Endnote24_Manage" w:history="1">
              <w:r w:rsidRPr="00F97F08">
                <w:rPr>
                  <w:rStyle w:val="Hyperlink"/>
                  <w:rFonts w:cs="Arial"/>
                </w:rPr>
                <w:t>managed or co-managed</w:t>
              </w:r>
            </w:hyperlink>
            <w:r w:rsidR="000F4DD8" w:rsidRPr="00F97F08">
              <w:rPr>
                <w:vertAlign w:val="superscript"/>
              </w:rPr>
              <w:fldChar w:fldCharType="begin"/>
            </w:r>
            <w:r w:rsidR="000F4DD8" w:rsidRPr="00F97F08">
              <w:rPr>
                <w:rStyle w:val="Hyperlink"/>
                <w:rFonts w:cs="Arial"/>
              </w:rPr>
              <w:instrText xml:space="preserve"> NOTEREF _Ref91167015 \f \h </w:instrText>
            </w:r>
            <w:r w:rsidR="0079783F">
              <w:rPr>
                <w:vertAlign w:val="superscript"/>
              </w:rPr>
              <w:instrText xml:space="preserve"> \* MERGEFORMAT </w:instrText>
            </w:r>
            <w:r w:rsidR="000F4DD8" w:rsidRPr="00F97F08">
              <w:rPr>
                <w:vertAlign w:val="superscript"/>
              </w:rPr>
            </w:r>
            <w:r w:rsidR="000F4DD8" w:rsidRPr="00F97F08">
              <w:rPr>
                <w:vertAlign w:val="superscript"/>
              </w:rPr>
              <w:fldChar w:fldCharType="separate"/>
            </w:r>
            <w:r w:rsidR="007D53A2" w:rsidRPr="00A012EC">
              <w:rPr>
                <w:rStyle w:val="EndnoteReference"/>
              </w:rPr>
              <w:t>35</w:t>
            </w:r>
            <w:r w:rsidR="000F4DD8" w:rsidRPr="00F97F08">
              <w:rPr>
                <w:vertAlign w:val="superscript"/>
              </w:rPr>
              <w:fldChar w:fldCharType="end"/>
            </w:r>
            <w:r w:rsidRPr="00F97F08">
              <w:rPr>
                <w:rFonts w:cs="Arial"/>
              </w:rPr>
              <w:t xml:space="preserve"> by one or more physicians </w:t>
            </w:r>
            <w:hyperlink w:anchor="Endnote25_Certified" w:history="1">
              <w:r w:rsidRPr="00F97F08">
                <w:rPr>
                  <w:rStyle w:val="Hyperlink"/>
                  <w:rFonts w:cs="Arial"/>
                </w:rPr>
                <w:t>certified in critical care medicine</w:t>
              </w:r>
            </w:hyperlink>
            <w:r w:rsidR="000F4DD8" w:rsidRPr="00F97F08">
              <w:rPr>
                <w:rFonts w:cs="Arial"/>
                <w:vertAlign w:val="superscript"/>
              </w:rPr>
              <w:fldChar w:fldCharType="begin"/>
            </w:r>
            <w:r w:rsidR="000F4DD8" w:rsidRPr="00F97F08">
              <w:rPr>
                <w:rStyle w:val="Hyperlink"/>
                <w:rFonts w:cs="Arial"/>
              </w:rPr>
              <w:instrText xml:space="preserve"> NOTEREF _Ref534212273 \f \h </w:instrText>
            </w:r>
            <w:r w:rsidR="0079783F">
              <w:rPr>
                <w:rFonts w:cs="Arial"/>
                <w:vertAlign w:val="superscript"/>
              </w:rPr>
              <w:instrText xml:space="preserve"> \* MERGEFORMAT </w:instrText>
            </w:r>
            <w:r w:rsidR="000F4DD8" w:rsidRPr="00F97F08">
              <w:rPr>
                <w:rFonts w:cs="Arial"/>
                <w:vertAlign w:val="superscript"/>
              </w:rPr>
            </w:r>
            <w:r w:rsidR="000F4DD8" w:rsidRPr="00F97F08">
              <w:rPr>
                <w:rFonts w:cs="Arial"/>
                <w:vertAlign w:val="superscript"/>
              </w:rPr>
              <w:fldChar w:fldCharType="separate"/>
            </w:r>
            <w:r w:rsidR="007D53A2" w:rsidRPr="00A012EC">
              <w:rPr>
                <w:rStyle w:val="EndnoteReference"/>
              </w:rPr>
              <w:t>36</w:t>
            </w:r>
            <w:r w:rsidR="000F4DD8" w:rsidRPr="00F97F08">
              <w:rPr>
                <w:rFonts w:cs="Arial"/>
                <w:vertAlign w:val="superscript"/>
              </w:rPr>
              <w:fldChar w:fldCharType="end"/>
            </w:r>
            <w:r w:rsidRPr="00F97F08">
              <w:rPr>
                <w:rFonts w:cs="Arial"/>
              </w:rPr>
              <w:t xml:space="preserve"> who </w:t>
            </w:r>
            <w:r w:rsidR="006161E4" w:rsidRPr="00F97F08">
              <w:rPr>
                <w:rFonts w:cs="Arial"/>
              </w:rPr>
              <w:t xml:space="preserve">meet </w:t>
            </w:r>
            <w:r w:rsidR="006161E4" w:rsidRPr="00F97F08">
              <w:rPr>
                <w:rFonts w:cs="Arial"/>
                <w:b/>
              </w:rPr>
              <w:t>all</w:t>
            </w:r>
            <w:r w:rsidR="006161E4" w:rsidRPr="00F97F08">
              <w:rPr>
                <w:rFonts w:cs="Arial"/>
              </w:rPr>
              <w:t xml:space="preserve"> the following </w:t>
            </w:r>
            <w:r w:rsidR="00B11D4D" w:rsidRPr="00F97F08">
              <w:rPr>
                <w:rFonts w:cs="Arial"/>
              </w:rPr>
              <w:t>criteria</w:t>
            </w:r>
            <w:r w:rsidRPr="00F97F08">
              <w:rPr>
                <w:rFonts w:cs="Arial"/>
              </w:rPr>
              <w:t>:</w:t>
            </w:r>
          </w:p>
          <w:p w14:paraId="3470E870" w14:textId="6981B13E" w:rsidR="008910AA" w:rsidRPr="00C40675" w:rsidRDefault="008910AA">
            <w:pPr>
              <w:pStyle w:val="Header"/>
              <w:numPr>
                <w:ilvl w:val="0"/>
                <w:numId w:val="8"/>
              </w:numPr>
              <w:tabs>
                <w:tab w:val="clear" w:pos="4320"/>
                <w:tab w:val="clear" w:pos="8640"/>
              </w:tabs>
              <w:rPr>
                <w:rFonts w:cs="Arial"/>
              </w:rPr>
            </w:pPr>
            <w:r w:rsidRPr="00C40675">
              <w:rPr>
                <w:rFonts w:cs="Arial"/>
              </w:rPr>
              <w:t xml:space="preserve">present via telemedicine for </w:t>
            </w:r>
            <w:r w:rsidRPr="00C40675">
              <w:rPr>
                <w:rFonts w:cs="Arial"/>
                <w:b/>
              </w:rPr>
              <w:t>24 hours per day, 7 days per week</w:t>
            </w:r>
            <w:r w:rsidR="005E3827">
              <w:rPr>
                <w:rFonts w:cs="Arial"/>
              </w:rPr>
              <w:t>;</w:t>
            </w:r>
          </w:p>
          <w:p w14:paraId="6A91ED26" w14:textId="71DE30EA" w:rsidR="008910AA" w:rsidRPr="00C40675" w:rsidRDefault="00EA6923">
            <w:pPr>
              <w:pStyle w:val="Header"/>
              <w:numPr>
                <w:ilvl w:val="0"/>
                <w:numId w:val="8"/>
              </w:numPr>
              <w:tabs>
                <w:tab w:val="clear" w:pos="4320"/>
                <w:tab w:val="clear" w:pos="8640"/>
              </w:tabs>
              <w:rPr>
                <w:rFonts w:cs="Arial"/>
              </w:rPr>
            </w:pPr>
            <w:r w:rsidRPr="00C40675">
              <w:rPr>
                <w:rFonts w:cs="Arial"/>
              </w:rPr>
              <w:t xml:space="preserve">meet all of </w:t>
            </w:r>
            <w:r w:rsidR="008910AA" w:rsidRPr="00C40675">
              <w:rPr>
                <w:rFonts w:cs="Arial"/>
              </w:rPr>
              <w:t>Leapfrog</w:t>
            </w:r>
            <w:r w:rsidRPr="00C40675">
              <w:rPr>
                <w:rFonts w:cs="Arial"/>
              </w:rPr>
              <w:t>’s modified</w:t>
            </w:r>
            <w:r w:rsidR="008910AA" w:rsidRPr="00C40675">
              <w:rPr>
                <w:rFonts w:cs="Arial"/>
              </w:rPr>
              <w:t xml:space="preserve"> ICU requirements for intensivist presence in the ICU via telemedicine (</w:t>
            </w:r>
            <w:hyperlink w:anchor="Endnote32_ModifiedTelemedicine" w:history="1">
              <w:r w:rsidR="008910AA" w:rsidRPr="00C40675">
                <w:rPr>
                  <w:rStyle w:val="Hyperlink"/>
                  <w:rFonts w:cs="Arial"/>
                  <w:snapToGrid w:val="0"/>
                </w:rPr>
                <w:t>More Information</w:t>
              </w:r>
            </w:hyperlink>
            <w:r w:rsidR="000F0582">
              <w:rPr>
                <w:rStyle w:val="Hyperlink"/>
                <w:rFonts w:ascii="ZWAdobeF" w:hAnsi="ZWAdobeF" w:cs="ZWAdobeF"/>
                <w:snapToGrid w:val="0"/>
                <w:color w:val="auto"/>
                <w:sz w:val="2"/>
                <w:szCs w:val="2"/>
                <w:u w:val="none"/>
              </w:rPr>
              <w:t>42F</w:t>
            </w:r>
            <w:r w:rsidR="00BF053F">
              <w:rPr>
                <w:rStyle w:val="Hyperlink"/>
                <w:rFonts w:ascii="ZWAdobeF" w:hAnsi="ZWAdobeF" w:cs="ZWAdobeF"/>
                <w:snapToGrid w:val="0"/>
                <w:color w:val="auto"/>
                <w:sz w:val="2"/>
                <w:szCs w:val="2"/>
                <w:u w:val="none"/>
              </w:rPr>
              <w:t>42F</w:t>
            </w:r>
            <w:r w:rsidR="004C7557">
              <w:rPr>
                <w:rStyle w:val="Hyperlink"/>
                <w:rFonts w:ascii="ZWAdobeF" w:hAnsi="ZWAdobeF" w:cs="ZWAdobeF"/>
                <w:snapToGrid w:val="0"/>
                <w:color w:val="auto"/>
                <w:sz w:val="2"/>
                <w:szCs w:val="2"/>
                <w:u w:val="none"/>
              </w:rPr>
              <w:t>42F</w:t>
            </w:r>
            <w:r w:rsidR="00C2087D">
              <w:rPr>
                <w:rStyle w:val="Hyperlink"/>
                <w:rFonts w:ascii="ZWAdobeF" w:hAnsi="ZWAdobeF" w:cs="ZWAdobeF"/>
                <w:snapToGrid w:val="0"/>
                <w:color w:val="auto"/>
                <w:sz w:val="2"/>
                <w:szCs w:val="2"/>
                <w:u w:val="none"/>
              </w:rPr>
              <w:t>42F</w:t>
            </w:r>
            <w:r w:rsidR="00B55C41">
              <w:rPr>
                <w:rStyle w:val="Hyperlink"/>
                <w:rFonts w:ascii="ZWAdobeF" w:hAnsi="ZWAdobeF" w:cs="ZWAdobeF"/>
                <w:snapToGrid w:val="0"/>
                <w:color w:val="auto"/>
                <w:sz w:val="2"/>
                <w:szCs w:val="2"/>
                <w:u w:val="none"/>
              </w:rPr>
              <w:t>42F</w:t>
            </w:r>
            <w:r w:rsidR="006255A6">
              <w:rPr>
                <w:rStyle w:val="Hyperlink"/>
                <w:rFonts w:ascii="ZWAdobeF" w:hAnsi="ZWAdobeF" w:cs="ZWAdobeF"/>
                <w:snapToGrid w:val="0"/>
                <w:color w:val="auto"/>
                <w:sz w:val="2"/>
                <w:szCs w:val="2"/>
                <w:u w:val="none"/>
              </w:rPr>
              <w:t>42F</w:t>
            </w:r>
            <w:r w:rsidR="00E453C7">
              <w:rPr>
                <w:rStyle w:val="Hyperlink"/>
                <w:rFonts w:ascii="ZWAdobeF" w:hAnsi="ZWAdobeF" w:cs="ZWAdobeF"/>
                <w:snapToGrid w:val="0"/>
                <w:color w:val="auto"/>
                <w:sz w:val="2"/>
                <w:szCs w:val="2"/>
                <w:u w:val="none"/>
              </w:rPr>
              <w:t>42F</w:t>
            </w:r>
            <w:r w:rsidR="00953060">
              <w:rPr>
                <w:rStyle w:val="Hyperlink"/>
                <w:rFonts w:ascii="ZWAdobeF" w:hAnsi="ZWAdobeF" w:cs="ZWAdobeF"/>
                <w:snapToGrid w:val="0"/>
                <w:color w:val="auto"/>
                <w:sz w:val="2"/>
                <w:szCs w:val="2"/>
                <w:u w:val="none"/>
              </w:rPr>
              <w:t>42F</w:t>
            </w:r>
            <w:r w:rsidR="00DD04D6">
              <w:rPr>
                <w:rStyle w:val="Hyperlink"/>
                <w:rFonts w:ascii="ZWAdobeF" w:hAnsi="ZWAdobeF" w:cs="ZWAdobeF"/>
                <w:snapToGrid w:val="0"/>
                <w:color w:val="auto"/>
                <w:sz w:val="2"/>
                <w:szCs w:val="2"/>
                <w:u w:val="none"/>
              </w:rPr>
              <w:t>42F</w:t>
            </w:r>
            <w:r w:rsidR="008910AA" w:rsidRPr="00C40675">
              <w:rPr>
                <w:rStyle w:val="EndnoteReference"/>
                <w:rFonts w:cs="Arial"/>
                <w:snapToGrid w:val="0"/>
                <w:color w:val="000000"/>
              </w:rPr>
              <w:endnoteReference w:id="44"/>
            </w:r>
            <w:r w:rsidR="008910AA" w:rsidRPr="00C40675">
              <w:rPr>
                <w:rFonts w:cs="Arial"/>
              </w:rPr>
              <w:t>)</w:t>
            </w:r>
            <w:r w:rsidR="005E3827">
              <w:rPr>
                <w:rFonts w:cs="Arial"/>
              </w:rPr>
              <w:t>; and</w:t>
            </w:r>
          </w:p>
          <w:p w14:paraId="7B43AA2F" w14:textId="4A627DCB" w:rsidR="00BC4E89" w:rsidRPr="00BC4E89" w:rsidRDefault="008910AA">
            <w:pPr>
              <w:pStyle w:val="Header"/>
              <w:numPr>
                <w:ilvl w:val="0"/>
                <w:numId w:val="8"/>
              </w:numPr>
              <w:tabs>
                <w:tab w:val="clear" w:pos="4320"/>
                <w:tab w:val="clear" w:pos="8640"/>
              </w:tabs>
              <w:rPr>
                <w:rFonts w:cs="Arial"/>
              </w:rPr>
            </w:pPr>
            <w:r w:rsidRPr="00C40675">
              <w:rPr>
                <w:rFonts w:cs="Arial"/>
              </w:rPr>
              <w:t>supported in the establishment and revision of daily care planning for each ICU patient by an on-site intensivist, hospitalist, anesthesiologist, or physician trained in emergency medicine</w:t>
            </w:r>
            <w:r w:rsidR="00D67168">
              <w:rPr>
                <w:rFonts w:cs="Arial"/>
              </w:rPr>
              <w:t>?</w:t>
            </w:r>
          </w:p>
        </w:tc>
        <w:tc>
          <w:tcPr>
            <w:tcW w:w="2233" w:type="dxa"/>
            <w:vAlign w:val="center"/>
          </w:tcPr>
          <w:p w14:paraId="6DE4D60A" w14:textId="77777777" w:rsidR="008910AA" w:rsidRPr="000C1F1D" w:rsidRDefault="008910AA" w:rsidP="00AD309C">
            <w:pPr>
              <w:pStyle w:val="ListParagraph"/>
              <w:numPr>
                <w:ilvl w:val="0"/>
                <w:numId w:val="344"/>
              </w:numPr>
              <w:rPr>
                <w:rFonts w:cs="Arial"/>
                <w:iCs/>
              </w:rPr>
            </w:pPr>
            <w:r w:rsidRPr="000C1F1D">
              <w:rPr>
                <w:rFonts w:cs="Arial"/>
                <w:iCs/>
              </w:rPr>
              <w:t>Yes</w:t>
            </w:r>
          </w:p>
          <w:p w14:paraId="7EF43F55" w14:textId="77777777" w:rsidR="008910AA" w:rsidRPr="000C1F1D" w:rsidRDefault="008910AA" w:rsidP="00AD309C">
            <w:pPr>
              <w:pStyle w:val="ListParagraph"/>
              <w:numPr>
                <w:ilvl w:val="0"/>
                <w:numId w:val="344"/>
              </w:numPr>
              <w:rPr>
                <w:rFonts w:cs="Arial"/>
                <w:iCs/>
              </w:rPr>
            </w:pPr>
            <w:r w:rsidRPr="000C1F1D">
              <w:rPr>
                <w:rFonts w:cs="Arial"/>
                <w:iCs/>
              </w:rPr>
              <w:t>No</w:t>
            </w:r>
          </w:p>
        </w:tc>
      </w:tr>
      <w:tr w:rsidR="008910AA" w:rsidRPr="00C40675" w14:paraId="7B63A6D9" w14:textId="77777777" w:rsidTr="00535B81">
        <w:trPr>
          <w:trHeight w:val="1008"/>
          <w:jc w:val="center"/>
        </w:trPr>
        <w:tc>
          <w:tcPr>
            <w:tcW w:w="7334" w:type="dxa"/>
            <w:vAlign w:val="center"/>
          </w:tcPr>
          <w:p w14:paraId="436D3DA8" w14:textId="609E988F" w:rsidR="008910AA" w:rsidRPr="00C40675" w:rsidRDefault="008910AA" w:rsidP="00AD309C">
            <w:pPr>
              <w:numPr>
                <w:ilvl w:val="0"/>
                <w:numId w:val="31"/>
              </w:numPr>
              <w:rPr>
                <w:rFonts w:cs="Arial"/>
              </w:rPr>
            </w:pPr>
            <w:r w:rsidRPr="00C40675">
              <w:rPr>
                <w:rFonts w:cs="Arial"/>
              </w:rPr>
              <w:t xml:space="preserve">Are </w:t>
            </w:r>
            <w:hyperlink w:anchor="Endnote22_CCPatients" w:history="1">
              <w:r w:rsidRPr="00C40675">
                <w:rPr>
                  <w:rStyle w:val="Hyperlink"/>
                  <w:rFonts w:cs="Arial"/>
                </w:rPr>
                <w:t xml:space="preserve">all </w:t>
              </w:r>
              <w:r w:rsidR="004310D9" w:rsidRPr="00C40675">
                <w:rPr>
                  <w:rStyle w:val="Hyperlink"/>
                  <w:rFonts w:cs="Arial"/>
                </w:rPr>
                <w:t xml:space="preserve">critical care </w:t>
              </w:r>
              <w:r w:rsidRPr="00C40675">
                <w:rPr>
                  <w:rStyle w:val="Hyperlink"/>
                  <w:rFonts w:cs="Arial"/>
                </w:rPr>
                <w:t>patients</w:t>
              </w:r>
            </w:hyperlink>
            <w:r w:rsidR="0070116C">
              <w:rPr>
                <w:rStyle w:val="Hyperlink"/>
                <w:rFonts w:cs="Arial"/>
              </w:rPr>
              <w:fldChar w:fldCharType="begin"/>
            </w:r>
            <w:r w:rsidR="0070116C">
              <w:rPr>
                <w:rStyle w:val="Hyperlink"/>
                <w:rFonts w:cs="Arial"/>
              </w:rPr>
              <w:instrText xml:space="preserve"> NOTEREF _Ref534212310 \f \h </w:instrText>
            </w:r>
            <w:r w:rsidR="0079783F">
              <w:rPr>
                <w:rStyle w:val="Hyperlink"/>
                <w:rFonts w:cs="Arial"/>
              </w:rPr>
              <w:instrText xml:space="preserve"> \* MERGEFORMAT </w:instrText>
            </w:r>
            <w:r w:rsidR="0070116C">
              <w:rPr>
                <w:rStyle w:val="Hyperlink"/>
                <w:rFonts w:cs="Arial"/>
              </w:rPr>
            </w:r>
            <w:r w:rsidR="0070116C">
              <w:rPr>
                <w:rStyle w:val="Hyperlink"/>
                <w:rFonts w:cs="Arial"/>
              </w:rPr>
              <w:fldChar w:fldCharType="separate"/>
            </w:r>
            <w:r w:rsidR="007D53A2" w:rsidRPr="00A012EC">
              <w:rPr>
                <w:rStyle w:val="EndnoteReference"/>
              </w:rPr>
              <w:t>34</w:t>
            </w:r>
            <w:r w:rsidR="0070116C">
              <w:rPr>
                <w:rStyle w:val="Hyperlink"/>
                <w:rFonts w:cs="Arial"/>
              </w:rPr>
              <w:fldChar w:fldCharType="end"/>
            </w:r>
            <w:r w:rsidRPr="00C40675">
              <w:rPr>
                <w:rFonts w:cs="Arial"/>
              </w:rPr>
              <w:t xml:space="preserve"> in </w:t>
            </w:r>
            <w:r w:rsidR="00F97F08">
              <w:rPr>
                <w:rFonts w:cs="Arial"/>
              </w:rPr>
              <w:t>th</w:t>
            </w:r>
            <w:r w:rsidR="00574C9E">
              <w:rPr>
                <w:rFonts w:cs="Arial"/>
              </w:rPr>
              <w:t>e</w:t>
            </w:r>
            <w:r w:rsidR="00F97F08">
              <w:rPr>
                <w:rFonts w:cs="Arial"/>
              </w:rPr>
              <w:t xml:space="preserve"> ICU</w:t>
            </w:r>
            <w:r w:rsidRPr="00C40675">
              <w:rPr>
                <w:rFonts w:cs="Arial"/>
              </w:rPr>
              <w:t xml:space="preserve"> </w:t>
            </w:r>
            <w:hyperlink w:anchor="Endnote24_Manage" w:history="1">
              <w:r w:rsidRPr="00AB7793">
                <w:rPr>
                  <w:rStyle w:val="Hyperlink"/>
                  <w:rFonts w:cs="Arial"/>
                </w:rPr>
                <w:t>managed or co-managed</w:t>
              </w:r>
              <w:r w:rsidR="000F4DD8" w:rsidRPr="00AB7793">
                <w:rPr>
                  <w:rStyle w:val="Hyperlink"/>
                  <w:vertAlign w:val="superscript"/>
                </w:rPr>
                <w:fldChar w:fldCharType="begin"/>
              </w:r>
              <w:r w:rsidR="000F4DD8" w:rsidRPr="00AB7793">
                <w:rPr>
                  <w:rStyle w:val="Hyperlink"/>
                  <w:rFonts w:cs="Arial"/>
                </w:rPr>
                <w:instrText xml:space="preserve"> NOTEREF _Ref91167015 \f \h </w:instrText>
              </w:r>
              <w:r w:rsidR="0079783F">
                <w:rPr>
                  <w:rStyle w:val="Hyperlink"/>
                  <w:vertAlign w:val="superscript"/>
                </w:rPr>
                <w:instrText xml:space="preserve"> \* MERGEFORMAT </w:instrText>
              </w:r>
              <w:r w:rsidR="000F4DD8" w:rsidRPr="00AB7793">
                <w:rPr>
                  <w:rStyle w:val="Hyperlink"/>
                  <w:vertAlign w:val="superscript"/>
                </w:rPr>
              </w:r>
              <w:r w:rsidR="000F4DD8" w:rsidRPr="00AB7793">
                <w:rPr>
                  <w:rStyle w:val="Hyperlink"/>
                  <w:vertAlign w:val="superscript"/>
                </w:rPr>
                <w:fldChar w:fldCharType="separate"/>
              </w:r>
              <w:r w:rsidR="007D53A2" w:rsidRPr="00A012EC">
                <w:rPr>
                  <w:rStyle w:val="EndnoteReference"/>
                </w:rPr>
                <w:t>35</w:t>
              </w:r>
              <w:r w:rsidR="000F4DD8" w:rsidRPr="00AB7793">
                <w:rPr>
                  <w:rStyle w:val="Hyperlink"/>
                  <w:vertAlign w:val="superscript"/>
                </w:rPr>
                <w:fldChar w:fldCharType="end"/>
              </w:r>
            </w:hyperlink>
            <w:r w:rsidRPr="00C40675">
              <w:rPr>
                <w:rFonts w:cs="Arial"/>
              </w:rPr>
              <w:t xml:space="preserve"> by one or more physicians </w:t>
            </w:r>
            <w:hyperlink w:anchor="Endnote25_Certified" w:history="1">
              <w:r w:rsidRPr="00C40675">
                <w:rPr>
                  <w:rStyle w:val="Hyperlink"/>
                  <w:rFonts w:cs="Arial"/>
                </w:rPr>
                <w:t>certified in critical care medicine</w:t>
              </w:r>
            </w:hyperlink>
            <w:r w:rsidR="000F4DD8">
              <w:rPr>
                <w:vertAlign w:val="superscript"/>
              </w:rPr>
              <w:fldChar w:fldCharType="begin"/>
            </w:r>
            <w:r w:rsidR="000F4DD8">
              <w:rPr>
                <w:rStyle w:val="Hyperlink"/>
                <w:rFonts w:cs="Arial"/>
              </w:rPr>
              <w:instrText xml:space="preserve"> NOTEREF _Ref534212273 \f \h </w:instrText>
            </w:r>
            <w:r w:rsidR="0079783F">
              <w:rPr>
                <w:vertAlign w:val="superscript"/>
              </w:rPr>
              <w:instrText xml:space="preserve"> \* MERGEFORMAT </w:instrText>
            </w:r>
            <w:r w:rsidR="000F4DD8">
              <w:rPr>
                <w:vertAlign w:val="superscript"/>
              </w:rPr>
            </w:r>
            <w:r w:rsidR="000F4DD8">
              <w:rPr>
                <w:vertAlign w:val="superscript"/>
              </w:rPr>
              <w:fldChar w:fldCharType="separate"/>
            </w:r>
            <w:r w:rsidR="007D53A2" w:rsidRPr="00A012EC">
              <w:rPr>
                <w:rStyle w:val="EndnoteReference"/>
              </w:rPr>
              <w:t>36</w:t>
            </w:r>
            <w:r w:rsidR="000F4DD8">
              <w:rPr>
                <w:vertAlign w:val="superscript"/>
              </w:rPr>
              <w:fldChar w:fldCharType="end"/>
            </w:r>
            <w:r w:rsidRPr="00C40675">
              <w:rPr>
                <w:rFonts w:cs="Arial"/>
              </w:rPr>
              <w:t xml:space="preserve"> who are:</w:t>
            </w:r>
          </w:p>
          <w:p w14:paraId="368251C1" w14:textId="460BCC72" w:rsidR="008B5F08" w:rsidRPr="005E3827" w:rsidRDefault="00A03078" w:rsidP="005E3827">
            <w:pPr>
              <w:pStyle w:val="Header"/>
              <w:numPr>
                <w:ilvl w:val="0"/>
                <w:numId w:val="7"/>
              </w:numPr>
              <w:tabs>
                <w:tab w:val="clear" w:pos="4320"/>
                <w:tab w:val="clear" w:pos="8640"/>
              </w:tabs>
              <w:ind w:left="720"/>
              <w:rPr>
                <w:rFonts w:cs="Arial"/>
              </w:rPr>
            </w:pPr>
            <w:r w:rsidRPr="005E3827">
              <w:rPr>
                <w:rFonts w:cs="Arial"/>
              </w:rPr>
              <w:t>on-</w:t>
            </w:r>
            <w:r w:rsidR="008910AA" w:rsidRPr="005E3827">
              <w:rPr>
                <w:rFonts w:cs="Arial"/>
              </w:rPr>
              <w:t xml:space="preserve">site at least </w:t>
            </w:r>
            <w:r w:rsidR="008910AA" w:rsidRPr="005E3827">
              <w:rPr>
                <w:rFonts w:cs="Arial"/>
                <w:b/>
              </w:rPr>
              <w:t>4 days per week</w:t>
            </w:r>
            <w:r w:rsidR="008910AA" w:rsidRPr="005E3827">
              <w:rPr>
                <w:rFonts w:cs="Arial"/>
              </w:rPr>
              <w:t xml:space="preserve"> to establish or revi</w:t>
            </w:r>
            <w:r w:rsidR="00EA6923" w:rsidRPr="005E3827">
              <w:rPr>
                <w:rFonts w:cs="Arial"/>
              </w:rPr>
              <w:t>se daily care plans for each critical care</w:t>
            </w:r>
            <w:r w:rsidR="008910AA" w:rsidRPr="005E3827">
              <w:rPr>
                <w:rFonts w:cs="Arial"/>
              </w:rPr>
              <w:t xml:space="preserve"> patient</w:t>
            </w:r>
            <w:r w:rsidR="00EA6923" w:rsidRPr="005E3827">
              <w:rPr>
                <w:rFonts w:cs="Arial"/>
              </w:rPr>
              <w:t xml:space="preserve"> in the ICU</w:t>
            </w:r>
            <w:r w:rsidR="008910AA" w:rsidRPr="005E3827">
              <w:rPr>
                <w:rFonts w:cs="Arial"/>
              </w:rPr>
              <w:t>?</w:t>
            </w:r>
          </w:p>
        </w:tc>
        <w:tc>
          <w:tcPr>
            <w:tcW w:w="2233" w:type="dxa"/>
            <w:vAlign w:val="center"/>
          </w:tcPr>
          <w:p w14:paraId="408727B7" w14:textId="77777777" w:rsidR="008910AA" w:rsidRPr="000C1F1D" w:rsidRDefault="008910AA" w:rsidP="00AD309C">
            <w:pPr>
              <w:pStyle w:val="ListParagraph"/>
              <w:numPr>
                <w:ilvl w:val="0"/>
                <w:numId w:val="344"/>
              </w:numPr>
              <w:rPr>
                <w:rFonts w:cs="Arial"/>
                <w:iCs/>
              </w:rPr>
            </w:pPr>
            <w:r w:rsidRPr="000C1F1D">
              <w:rPr>
                <w:rFonts w:cs="Arial"/>
                <w:iCs/>
              </w:rPr>
              <w:t>Yes</w:t>
            </w:r>
          </w:p>
          <w:p w14:paraId="1C0B5FB7" w14:textId="77777777" w:rsidR="008910AA" w:rsidRPr="000C1F1D" w:rsidRDefault="008910AA" w:rsidP="00AD309C">
            <w:pPr>
              <w:pStyle w:val="ListParagraph"/>
              <w:numPr>
                <w:ilvl w:val="0"/>
                <w:numId w:val="344"/>
              </w:numPr>
              <w:rPr>
                <w:rFonts w:cs="Arial"/>
                <w:iCs/>
              </w:rPr>
            </w:pPr>
            <w:r w:rsidRPr="000C1F1D">
              <w:rPr>
                <w:rFonts w:cs="Arial"/>
                <w:iCs/>
              </w:rPr>
              <w:t>No</w:t>
            </w:r>
          </w:p>
        </w:tc>
      </w:tr>
    </w:tbl>
    <w:p w14:paraId="3904DBF4" w14:textId="77777777" w:rsidR="00A314D9" w:rsidRPr="00C40675" w:rsidRDefault="00A314D9">
      <w:pPr>
        <w:rPr>
          <w:rFonts w:cs="Arial"/>
          <w:i/>
        </w:rPr>
      </w:pPr>
    </w:p>
    <w:p w14:paraId="0A76E2B4" w14:textId="0C409087" w:rsidR="00A314D9" w:rsidRPr="009A5185" w:rsidRDefault="00A314D9">
      <w:pPr>
        <w:rPr>
          <w:rFonts w:cs="Arial"/>
          <w:i/>
        </w:rPr>
      </w:pPr>
      <w:r w:rsidRPr="00C40675">
        <w:rPr>
          <w:rFonts w:cs="Arial"/>
          <w:i/>
        </w:rPr>
        <w:t xml:space="preserve">If </w:t>
      </w:r>
      <w:r w:rsidR="00010B31" w:rsidRPr="006A6938">
        <w:rPr>
          <w:rFonts w:cs="Arial"/>
          <w:i/>
        </w:rPr>
        <w:t>“</w:t>
      </w:r>
      <w:r w:rsidRPr="006A6938">
        <w:rPr>
          <w:rFonts w:cs="Arial"/>
          <w:i/>
        </w:rPr>
        <w:t>yes</w:t>
      </w:r>
      <w:r w:rsidR="00010B31" w:rsidRPr="006A6938">
        <w:rPr>
          <w:rFonts w:cs="Arial"/>
          <w:i/>
        </w:rPr>
        <w:t>”</w:t>
      </w:r>
      <w:r w:rsidRPr="00C40675">
        <w:rPr>
          <w:rFonts w:cs="Arial"/>
          <w:i/>
        </w:rPr>
        <w:t xml:space="preserve"> to question #</w:t>
      </w:r>
      <w:r w:rsidR="00F97F08">
        <w:rPr>
          <w:rFonts w:cs="Arial"/>
          <w:i/>
        </w:rPr>
        <w:t>9</w:t>
      </w:r>
      <w:r w:rsidRPr="00C40675">
        <w:rPr>
          <w:rFonts w:cs="Arial"/>
          <w:i/>
        </w:rPr>
        <w:t>, #</w:t>
      </w:r>
      <w:r w:rsidR="00F97F08">
        <w:rPr>
          <w:rFonts w:cs="Arial"/>
          <w:i/>
        </w:rPr>
        <w:t>10</w:t>
      </w:r>
      <w:r w:rsidRPr="00C40675">
        <w:rPr>
          <w:rFonts w:cs="Arial"/>
          <w:i/>
        </w:rPr>
        <w:t>, or #1</w:t>
      </w:r>
      <w:r w:rsidR="00F97F08">
        <w:rPr>
          <w:rFonts w:cs="Arial"/>
          <w:i/>
        </w:rPr>
        <w:t>1</w:t>
      </w:r>
      <w:r w:rsidRPr="00C40675">
        <w:rPr>
          <w:rFonts w:cs="Arial"/>
          <w:i/>
        </w:rPr>
        <w:t>, skip question #1</w:t>
      </w:r>
      <w:r w:rsidR="00F97F08">
        <w:rPr>
          <w:rFonts w:cs="Arial"/>
          <w:i/>
        </w:rPr>
        <w:t>2</w:t>
      </w:r>
      <w:r w:rsidR="003B6E9E" w:rsidRPr="00C40675">
        <w:rPr>
          <w:rFonts w:cs="Arial"/>
          <w:i/>
        </w:rPr>
        <w:t xml:space="preserve"> and continue to question #1</w:t>
      </w:r>
      <w:r w:rsidR="00F97F08">
        <w:rPr>
          <w:rFonts w:cs="Arial"/>
          <w:i/>
        </w:rPr>
        <w:t>3</w:t>
      </w:r>
      <w:r w:rsidRPr="00C40675">
        <w:rPr>
          <w:rFonts w:cs="Arial"/>
          <w:i/>
        </w:rPr>
        <w:t>.</w:t>
      </w:r>
    </w:p>
    <w:p w14:paraId="0DE3DCAD" w14:textId="77777777" w:rsidR="00A314D9" w:rsidRPr="009A5185" w:rsidRDefault="00A314D9">
      <w:pPr>
        <w:rPr>
          <w:rFonts w:cs="Arial"/>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gridCol w:w="2233"/>
      </w:tblGrid>
      <w:tr w:rsidR="008910AA" w:rsidRPr="009A5185" w14:paraId="3FE1CC65" w14:textId="77777777" w:rsidTr="00996708">
        <w:trPr>
          <w:trHeight w:val="2016"/>
          <w:jc w:val="center"/>
        </w:trPr>
        <w:tc>
          <w:tcPr>
            <w:tcW w:w="7334" w:type="dxa"/>
            <w:vAlign w:val="center"/>
          </w:tcPr>
          <w:p w14:paraId="62077288" w14:textId="47CA66EF" w:rsidR="008910AA" w:rsidRDefault="008910AA" w:rsidP="00AD309C">
            <w:pPr>
              <w:numPr>
                <w:ilvl w:val="0"/>
                <w:numId w:val="31"/>
              </w:numPr>
              <w:rPr>
                <w:rFonts w:cs="Arial"/>
              </w:rPr>
            </w:pPr>
            <w:r w:rsidRPr="005104AF">
              <w:rPr>
                <w:rFonts w:cs="Arial"/>
              </w:rPr>
              <w:t xml:space="preserve">If not </w:t>
            </w:r>
            <w:hyperlink w:anchor="Endnote22_CCPatients" w:history="1">
              <w:r w:rsidRPr="005104AF">
                <w:rPr>
                  <w:rStyle w:val="Hyperlink"/>
                  <w:rFonts w:cs="Arial"/>
                </w:rPr>
                <w:t>all</w:t>
              </w:r>
              <w:r w:rsidR="001106AB" w:rsidRPr="005104AF">
                <w:rPr>
                  <w:rStyle w:val="Hyperlink"/>
                  <w:rFonts w:cs="Arial"/>
                </w:rPr>
                <w:t xml:space="preserve"> critical care</w:t>
              </w:r>
              <w:r w:rsidRPr="005104AF">
                <w:rPr>
                  <w:rStyle w:val="Hyperlink"/>
                  <w:rFonts w:cs="Arial"/>
                </w:rPr>
                <w:t xml:space="preserve"> patients</w:t>
              </w:r>
            </w:hyperlink>
            <w:r w:rsidR="0070116C">
              <w:rPr>
                <w:vertAlign w:val="superscript"/>
              </w:rPr>
              <w:fldChar w:fldCharType="begin"/>
            </w:r>
            <w:r w:rsidR="0070116C">
              <w:rPr>
                <w:rStyle w:val="Hyperlink"/>
                <w:rFonts w:cs="Arial"/>
              </w:rPr>
              <w:instrText xml:space="preserve"> NOTEREF _Ref534212310 \f \h </w:instrText>
            </w:r>
            <w:r w:rsidR="00C5586F">
              <w:rPr>
                <w:vertAlign w:val="superscript"/>
              </w:rPr>
              <w:instrText xml:space="preserve"> \* MERGEFORMAT </w:instrText>
            </w:r>
            <w:r w:rsidR="0070116C">
              <w:rPr>
                <w:vertAlign w:val="superscript"/>
              </w:rPr>
            </w:r>
            <w:r w:rsidR="0070116C">
              <w:rPr>
                <w:vertAlign w:val="superscript"/>
              </w:rPr>
              <w:fldChar w:fldCharType="separate"/>
            </w:r>
            <w:r w:rsidR="007D53A2" w:rsidRPr="00A012EC">
              <w:rPr>
                <w:rStyle w:val="EndnoteReference"/>
              </w:rPr>
              <w:t>34</w:t>
            </w:r>
            <w:r w:rsidR="0070116C">
              <w:rPr>
                <w:vertAlign w:val="superscript"/>
              </w:rPr>
              <w:fldChar w:fldCharType="end"/>
            </w:r>
            <w:r w:rsidRPr="005104AF">
              <w:rPr>
                <w:rFonts w:cs="Arial"/>
              </w:rPr>
              <w:t xml:space="preserve"> are </w:t>
            </w:r>
            <w:hyperlink w:anchor="Endnote24_Manage" w:history="1">
              <w:r w:rsidRPr="005104AF">
                <w:rPr>
                  <w:rStyle w:val="Hyperlink"/>
                  <w:rFonts w:cs="Arial"/>
                </w:rPr>
                <w:t>managed or co-managed</w:t>
              </w:r>
            </w:hyperlink>
            <w:r w:rsidR="009D22D7">
              <w:rPr>
                <w:vertAlign w:val="superscript"/>
              </w:rPr>
              <w:fldChar w:fldCharType="begin"/>
            </w:r>
            <w:r w:rsidR="009D22D7">
              <w:rPr>
                <w:rStyle w:val="Hyperlink"/>
                <w:rFonts w:cs="Arial"/>
              </w:rPr>
              <w:instrText xml:space="preserve"> NOTEREF _Ref91167015 \f \h </w:instrText>
            </w:r>
            <w:r w:rsidR="00C5586F">
              <w:rPr>
                <w:vertAlign w:val="superscript"/>
              </w:rPr>
              <w:instrText xml:space="preserve"> \* MERGEFORMAT </w:instrText>
            </w:r>
            <w:r w:rsidR="009D22D7">
              <w:rPr>
                <w:vertAlign w:val="superscript"/>
              </w:rPr>
            </w:r>
            <w:r w:rsidR="009D22D7">
              <w:rPr>
                <w:vertAlign w:val="superscript"/>
              </w:rPr>
              <w:fldChar w:fldCharType="separate"/>
            </w:r>
            <w:r w:rsidR="007D53A2" w:rsidRPr="00A012EC">
              <w:rPr>
                <w:rStyle w:val="EndnoteReference"/>
              </w:rPr>
              <w:t>35</w:t>
            </w:r>
            <w:r w:rsidR="009D22D7">
              <w:rPr>
                <w:vertAlign w:val="superscript"/>
              </w:rPr>
              <w:fldChar w:fldCharType="end"/>
            </w:r>
            <w:r w:rsidRPr="005104AF">
              <w:rPr>
                <w:rFonts w:cs="Arial"/>
              </w:rPr>
              <w:t xml:space="preserve"> by physicians </w:t>
            </w:r>
            <w:hyperlink w:anchor="Endnote25_Certified" w:history="1">
              <w:r w:rsidRPr="005104AF">
                <w:rPr>
                  <w:rStyle w:val="Hyperlink"/>
                  <w:rFonts w:cs="Arial"/>
                </w:rPr>
                <w:t>certified in critical care medicine</w:t>
              </w:r>
            </w:hyperlink>
            <w:r w:rsidR="009D22D7">
              <w:rPr>
                <w:vertAlign w:val="superscript"/>
              </w:rPr>
              <w:fldChar w:fldCharType="begin"/>
            </w:r>
            <w:r w:rsidR="009D22D7">
              <w:rPr>
                <w:rStyle w:val="Hyperlink"/>
                <w:rFonts w:cs="Arial"/>
              </w:rPr>
              <w:instrText xml:space="preserve"> NOTEREF _Ref534212273 \f \h </w:instrText>
            </w:r>
            <w:r w:rsidR="00C5586F">
              <w:rPr>
                <w:vertAlign w:val="superscript"/>
              </w:rPr>
              <w:instrText xml:space="preserve"> \* MERGEFORMAT </w:instrText>
            </w:r>
            <w:r w:rsidR="009D22D7">
              <w:rPr>
                <w:vertAlign w:val="superscript"/>
              </w:rPr>
            </w:r>
            <w:r w:rsidR="009D22D7">
              <w:rPr>
                <w:vertAlign w:val="superscript"/>
              </w:rPr>
              <w:fldChar w:fldCharType="separate"/>
            </w:r>
            <w:r w:rsidR="007D53A2" w:rsidRPr="00A012EC">
              <w:rPr>
                <w:rStyle w:val="EndnoteReference"/>
              </w:rPr>
              <w:t>36</w:t>
            </w:r>
            <w:r w:rsidR="009D22D7">
              <w:rPr>
                <w:vertAlign w:val="superscript"/>
              </w:rPr>
              <w:fldChar w:fldCharType="end"/>
            </w:r>
            <w:r w:rsidR="00A87A9D" w:rsidRPr="005104AF">
              <w:rPr>
                <w:rFonts w:cs="Arial"/>
              </w:rPr>
              <w:t xml:space="preserve">, either on-site or via </w:t>
            </w:r>
            <w:hyperlink w:anchor="Endnote27_Telemedicine" w:history="1">
              <w:r w:rsidR="00A87A9D" w:rsidRPr="005104AF">
                <w:rPr>
                  <w:rStyle w:val="Hyperlink"/>
                  <w:rFonts w:cs="Arial"/>
                </w:rPr>
                <w:t>telemedicine</w:t>
              </w:r>
            </w:hyperlink>
            <w:r w:rsidR="006C58EA" w:rsidRPr="005104AF">
              <w:rPr>
                <w:vertAlign w:val="superscript"/>
              </w:rPr>
              <w:fldChar w:fldCharType="begin"/>
            </w:r>
            <w:r w:rsidR="006C58EA" w:rsidRPr="005104AF">
              <w:rPr>
                <w:rStyle w:val="Hyperlink"/>
                <w:rFonts w:cs="Arial"/>
              </w:rPr>
              <w:instrText xml:space="preserve"> NOTEREF _Ref534212061 \f \h </w:instrText>
            </w:r>
            <w:r w:rsidR="006C58EA" w:rsidRPr="005104AF">
              <w:rPr>
                <w:vertAlign w:val="superscript"/>
              </w:rPr>
              <w:instrText xml:space="preserve"> \* MERGEFORMAT </w:instrText>
            </w:r>
            <w:r w:rsidR="006C58EA" w:rsidRPr="005104AF">
              <w:rPr>
                <w:vertAlign w:val="superscript"/>
              </w:rPr>
            </w:r>
            <w:r w:rsidR="006C58EA" w:rsidRPr="005104AF">
              <w:rPr>
                <w:vertAlign w:val="superscript"/>
              </w:rPr>
              <w:fldChar w:fldCharType="separate"/>
            </w:r>
            <w:r w:rsidR="007D53A2" w:rsidRPr="00A012EC">
              <w:rPr>
                <w:rStyle w:val="EndnoteReference"/>
              </w:rPr>
              <w:t>38</w:t>
            </w:r>
            <w:r w:rsidR="006C58EA" w:rsidRPr="005104AF">
              <w:rPr>
                <w:vertAlign w:val="superscript"/>
              </w:rPr>
              <w:fldChar w:fldCharType="end"/>
            </w:r>
            <w:r w:rsidR="00A87A9D" w:rsidRPr="005104AF">
              <w:rPr>
                <w:rFonts w:cs="Arial"/>
              </w:rPr>
              <w:t>,</w:t>
            </w:r>
            <w:r w:rsidR="00484DA9" w:rsidRPr="005104AF">
              <w:rPr>
                <w:rFonts w:cs="Arial"/>
              </w:rPr>
              <w:t xml:space="preserve"> </w:t>
            </w:r>
            <w:r w:rsidRPr="005104AF">
              <w:rPr>
                <w:rFonts w:cs="Arial"/>
              </w:rPr>
              <w:t xml:space="preserve">are </w:t>
            </w:r>
            <w:r w:rsidRPr="005104AF">
              <w:rPr>
                <w:rFonts w:cs="Arial"/>
                <w:b/>
              </w:rPr>
              <w:t xml:space="preserve">some </w:t>
            </w:r>
            <w:r w:rsidR="00294A81">
              <w:rPr>
                <w:rFonts w:cs="Arial"/>
                <w:b/>
              </w:rPr>
              <w:t xml:space="preserve">critical care </w:t>
            </w:r>
            <w:r w:rsidRPr="005104AF">
              <w:rPr>
                <w:rFonts w:cs="Arial"/>
                <w:b/>
              </w:rPr>
              <w:t>patients</w:t>
            </w:r>
            <w:r w:rsidRPr="005104AF">
              <w:rPr>
                <w:rFonts w:cs="Arial"/>
              </w:rPr>
              <w:t xml:space="preserve"> managed </w:t>
            </w:r>
            <w:r w:rsidR="00753E4C" w:rsidRPr="005104AF">
              <w:rPr>
                <w:rFonts w:cs="Arial"/>
              </w:rPr>
              <w:t xml:space="preserve">or co-managed </w:t>
            </w:r>
            <w:r w:rsidRPr="005104AF">
              <w:rPr>
                <w:rFonts w:cs="Arial"/>
              </w:rPr>
              <w:t>by these physicians</w:t>
            </w:r>
            <w:r w:rsidR="00F97F08">
              <w:rPr>
                <w:rFonts w:cs="Arial"/>
              </w:rPr>
              <w:t xml:space="preserve"> who are:</w:t>
            </w:r>
          </w:p>
          <w:p w14:paraId="7F1D9180" w14:textId="3ADBB046" w:rsidR="00F97F08" w:rsidRPr="00C40675" w:rsidRDefault="00F97F08" w:rsidP="00AD309C">
            <w:pPr>
              <w:pStyle w:val="Header"/>
              <w:numPr>
                <w:ilvl w:val="0"/>
                <w:numId w:val="182"/>
              </w:numPr>
              <w:tabs>
                <w:tab w:val="clear" w:pos="4320"/>
                <w:tab w:val="clear" w:pos="8640"/>
              </w:tabs>
              <w:rPr>
                <w:rFonts w:cs="Arial"/>
              </w:rPr>
            </w:pPr>
            <w:hyperlink w:anchor="Endnote26_Present" w:history="1">
              <w:r w:rsidRPr="00C40675">
                <w:rPr>
                  <w:rStyle w:val="Hyperlink"/>
                  <w:rFonts w:cs="Arial"/>
                </w:rPr>
                <w:t>ordinarily present</w:t>
              </w:r>
            </w:hyperlink>
            <w:r>
              <w:rPr>
                <w:vertAlign w:val="superscript"/>
              </w:rPr>
              <w:fldChar w:fldCharType="begin"/>
            </w:r>
            <w:r>
              <w:rPr>
                <w:rStyle w:val="Hyperlink"/>
                <w:rFonts w:cs="Arial"/>
              </w:rPr>
              <w:instrText xml:space="preserve"> NOTEREF _Ref91166304 \f \h </w:instrText>
            </w:r>
            <w:r w:rsidR="00C5586F">
              <w:rPr>
                <w:vertAlign w:val="superscript"/>
              </w:rPr>
              <w:instrText xml:space="preserve"> \* MERGEFORMAT </w:instrText>
            </w:r>
            <w:r>
              <w:rPr>
                <w:vertAlign w:val="superscript"/>
              </w:rPr>
            </w:r>
            <w:r>
              <w:rPr>
                <w:vertAlign w:val="superscript"/>
              </w:rPr>
              <w:fldChar w:fldCharType="separate"/>
            </w:r>
            <w:r w:rsidR="007D53A2" w:rsidRPr="00A012EC">
              <w:rPr>
                <w:rStyle w:val="EndnoteReference"/>
              </w:rPr>
              <w:t>37</w:t>
            </w:r>
            <w:r>
              <w:rPr>
                <w:vertAlign w:val="superscript"/>
              </w:rPr>
              <w:fldChar w:fldCharType="end"/>
            </w:r>
            <w:r w:rsidRPr="00C40675">
              <w:rPr>
                <w:rFonts w:cs="Arial"/>
              </w:rPr>
              <w:t xml:space="preserve"> on-site in </w:t>
            </w:r>
            <w:r w:rsidR="00586E18">
              <w:rPr>
                <w:rFonts w:cs="Arial"/>
              </w:rPr>
              <w:t xml:space="preserve">the ICU </w:t>
            </w:r>
            <w:r w:rsidRPr="00C40675">
              <w:rPr>
                <w:rFonts w:cs="Arial"/>
              </w:rPr>
              <w:t>during daytime hours</w:t>
            </w:r>
            <w:r w:rsidR="005E3827">
              <w:rPr>
                <w:rFonts w:cs="Arial"/>
              </w:rPr>
              <w:t>;</w:t>
            </w:r>
          </w:p>
          <w:p w14:paraId="2C63CD8B" w14:textId="5633692F" w:rsidR="00F97F08" w:rsidRPr="00C40675" w:rsidRDefault="00F97F08" w:rsidP="00AD309C">
            <w:pPr>
              <w:pStyle w:val="Header"/>
              <w:numPr>
                <w:ilvl w:val="0"/>
                <w:numId w:val="182"/>
              </w:numPr>
              <w:tabs>
                <w:tab w:val="clear" w:pos="4320"/>
                <w:tab w:val="clear" w:pos="8640"/>
              </w:tabs>
              <w:rPr>
                <w:rFonts w:cs="Arial"/>
                <w:b/>
                <w:u w:val="single"/>
              </w:rPr>
            </w:pPr>
            <w:r w:rsidRPr="00C40675">
              <w:rPr>
                <w:rFonts w:cs="Arial"/>
              </w:rPr>
              <w:t xml:space="preserve">for at least </w:t>
            </w:r>
            <w:r w:rsidRPr="00C40675">
              <w:rPr>
                <w:rFonts w:cs="Arial"/>
                <w:b/>
              </w:rPr>
              <w:t>8 hours per day, 4 days per week or 4 hours per day, 7 days per week</w:t>
            </w:r>
            <w:r w:rsidR="005E3827" w:rsidRPr="00D36222">
              <w:rPr>
                <w:rFonts w:cs="Arial"/>
                <w:bCs/>
              </w:rPr>
              <w:t>; and</w:t>
            </w:r>
          </w:p>
          <w:p w14:paraId="79957EAF" w14:textId="190631EB" w:rsidR="00F97F08" w:rsidRPr="00F97F08" w:rsidRDefault="00F97F08" w:rsidP="00AD309C">
            <w:pPr>
              <w:pStyle w:val="ListParagraph"/>
              <w:numPr>
                <w:ilvl w:val="0"/>
                <w:numId w:val="182"/>
              </w:numPr>
              <w:rPr>
                <w:rFonts w:cs="Arial"/>
              </w:rPr>
            </w:pPr>
            <w:r w:rsidRPr="00F97F08">
              <w:rPr>
                <w:rFonts w:cs="Arial"/>
              </w:rPr>
              <w:t xml:space="preserve">providing clinical care </w:t>
            </w:r>
            <w:hyperlink w:anchor="Endnote26_Present" w:history="1">
              <w:r w:rsidRPr="00F97F08">
                <w:rPr>
                  <w:rStyle w:val="Hyperlink"/>
                  <w:rFonts w:cs="Arial"/>
                </w:rPr>
                <w:t>exclusively</w:t>
              </w:r>
            </w:hyperlink>
            <w:r w:rsidRPr="00F97F08">
              <w:rPr>
                <w:vertAlign w:val="superscript"/>
              </w:rPr>
              <w:fldChar w:fldCharType="begin"/>
            </w:r>
            <w:r w:rsidRPr="00F97F08">
              <w:rPr>
                <w:rStyle w:val="Hyperlink"/>
                <w:rFonts w:cs="Arial"/>
              </w:rPr>
              <w:instrText xml:space="preserve"> NOTEREF _Ref91166304 \f \h </w:instrText>
            </w:r>
            <w:r w:rsidR="00C5586F">
              <w:rPr>
                <w:vertAlign w:val="superscript"/>
              </w:rPr>
              <w:instrText xml:space="preserve"> \* MERGEFORMAT </w:instrText>
            </w:r>
            <w:r w:rsidRPr="00F97F08">
              <w:rPr>
                <w:vertAlign w:val="superscript"/>
              </w:rPr>
            </w:r>
            <w:r w:rsidRPr="00F97F08">
              <w:rPr>
                <w:vertAlign w:val="superscript"/>
              </w:rPr>
              <w:fldChar w:fldCharType="separate"/>
            </w:r>
            <w:r w:rsidR="007D53A2" w:rsidRPr="00A012EC">
              <w:rPr>
                <w:rStyle w:val="EndnoteReference"/>
              </w:rPr>
              <w:t>37</w:t>
            </w:r>
            <w:r w:rsidRPr="00F97F08">
              <w:rPr>
                <w:vertAlign w:val="superscript"/>
              </w:rPr>
              <w:fldChar w:fldCharType="end"/>
            </w:r>
            <w:r w:rsidRPr="00F97F08">
              <w:rPr>
                <w:rFonts w:cs="Arial"/>
              </w:rPr>
              <w:t xml:space="preserve"> in </w:t>
            </w:r>
            <w:r w:rsidR="00574C9E">
              <w:rPr>
                <w:rFonts w:cs="Arial"/>
              </w:rPr>
              <w:t xml:space="preserve">the </w:t>
            </w:r>
            <w:r w:rsidRPr="00F97F08">
              <w:rPr>
                <w:rFonts w:cs="Arial"/>
              </w:rPr>
              <w:t>ICU during these hours?</w:t>
            </w:r>
          </w:p>
        </w:tc>
        <w:tc>
          <w:tcPr>
            <w:tcW w:w="2233" w:type="dxa"/>
            <w:vAlign w:val="center"/>
          </w:tcPr>
          <w:p w14:paraId="7729F55C" w14:textId="77777777" w:rsidR="008910AA" w:rsidRPr="000C1F1D" w:rsidRDefault="008910AA" w:rsidP="00AD309C">
            <w:pPr>
              <w:pStyle w:val="ListParagraph"/>
              <w:numPr>
                <w:ilvl w:val="0"/>
                <w:numId w:val="345"/>
              </w:numPr>
              <w:rPr>
                <w:rFonts w:cs="Arial"/>
                <w:iCs/>
              </w:rPr>
            </w:pPr>
            <w:r w:rsidRPr="000C1F1D">
              <w:rPr>
                <w:rFonts w:cs="Arial"/>
                <w:iCs/>
              </w:rPr>
              <w:t>Yes</w:t>
            </w:r>
          </w:p>
          <w:p w14:paraId="1FB6B8F2" w14:textId="77777777" w:rsidR="008910AA" w:rsidRPr="0079783F" w:rsidRDefault="008910AA" w:rsidP="00AD309C">
            <w:pPr>
              <w:pStyle w:val="ListParagraph"/>
              <w:numPr>
                <w:ilvl w:val="0"/>
                <w:numId w:val="345"/>
              </w:numPr>
              <w:rPr>
                <w:rFonts w:cs="Arial"/>
                <w:iCs/>
              </w:rPr>
            </w:pPr>
            <w:r w:rsidRPr="000C1F1D">
              <w:rPr>
                <w:rFonts w:cs="Arial"/>
                <w:iCs/>
              </w:rPr>
              <w:t>No</w:t>
            </w:r>
          </w:p>
        </w:tc>
      </w:tr>
      <w:tr w:rsidR="002037CD" w:rsidRPr="009A5185" w14:paraId="6975441C" w14:textId="77777777" w:rsidTr="00535B81">
        <w:trPr>
          <w:trHeight w:val="2160"/>
          <w:jc w:val="center"/>
        </w:trPr>
        <w:tc>
          <w:tcPr>
            <w:tcW w:w="7334" w:type="dxa"/>
            <w:vAlign w:val="center"/>
          </w:tcPr>
          <w:p w14:paraId="546B062C" w14:textId="778E8635" w:rsidR="00693D7F" w:rsidRPr="00F97F08" w:rsidRDefault="002037CD" w:rsidP="00AD309C">
            <w:pPr>
              <w:pStyle w:val="ListParagraph"/>
              <w:numPr>
                <w:ilvl w:val="0"/>
                <w:numId w:val="31"/>
              </w:numPr>
              <w:rPr>
                <w:rFonts w:cs="Arial"/>
              </w:rPr>
            </w:pPr>
            <w:r w:rsidRPr="00F97F08">
              <w:rPr>
                <w:rFonts w:cs="Arial"/>
              </w:rPr>
              <w:t xml:space="preserve">Does an on-site clinical pharmacist </w:t>
            </w:r>
            <w:r w:rsidR="00693D7F" w:rsidRPr="00F97F08">
              <w:rPr>
                <w:rFonts w:cs="Arial"/>
              </w:rPr>
              <w:t xml:space="preserve">do </w:t>
            </w:r>
            <w:r w:rsidR="00FB6DD6" w:rsidRPr="00F97F08">
              <w:rPr>
                <w:rFonts w:cs="Arial"/>
                <w:b/>
              </w:rPr>
              <w:t>all</w:t>
            </w:r>
            <w:r w:rsidR="00693D7F" w:rsidRPr="00F97F08">
              <w:rPr>
                <w:rFonts w:cs="Arial"/>
              </w:rPr>
              <w:t xml:space="preserve"> the following:</w:t>
            </w:r>
          </w:p>
          <w:p w14:paraId="28D8AAC4" w14:textId="173DB210" w:rsidR="00693D7F" w:rsidRPr="000C36A2" w:rsidRDefault="001C7DA2" w:rsidP="00AD309C">
            <w:pPr>
              <w:pStyle w:val="ListParagraph"/>
              <w:numPr>
                <w:ilvl w:val="0"/>
                <w:numId w:val="97"/>
              </w:numPr>
              <w:rPr>
                <w:rFonts w:cs="Arial"/>
              </w:rPr>
            </w:pPr>
            <w:r>
              <w:rPr>
                <w:rFonts w:cs="Arial"/>
              </w:rPr>
              <w:t>a</w:t>
            </w:r>
            <w:r w:rsidR="0073524E" w:rsidRPr="000C36A2">
              <w:rPr>
                <w:rFonts w:cs="Arial"/>
              </w:rPr>
              <w:t xml:space="preserve">t least 5 days per week, </w:t>
            </w:r>
            <w:r w:rsidR="002037CD" w:rsidRPr="000C36A2">
              <w:rPr>
                <w:rFonts w:cs="Arial"/>
              </w:rPr>
              <w:t>make</w:t>
            </w:r>
            <w:r w:rsidR="00693D7F" w:rsidRPr="000C36A2">
              <w:rPr>
                <w:rFonts w:cs="Arial"/>
              </w:rPr>
              <w:t>s</w:t>
            </w:r>
            <w:r w:rsidR="002037CD" w:rsidRPr="000C36A2">
              <w:rPr>
                <w:rFonts w:cs="Arial"/>
              </w:rPr>
              <w:t xml:space="preserve"> daily</w:t>
            </w:r>
            <w:r w:rsidR="000C36A2">
              <w:rPr>
                <w:rFonts w:cs="Arial"/>
              </w:rPr>
              <w:t xml:space="preserve"> </w:t>
            </w:r>
            <w:r w:rsidR="00C72AD2">
              <w:rPr>
                <w:rFonts w:cs="Arial"/>
              </w:rPr>
              <w:t xml:space="preserve">on-site </w:t>
            </w:r>
            <w:r w:rsidR="002037CD" w:rsidRPr="000C36A2">
              <w:rPr>
                <w:rFonts w:cs="Arial"/>
              </w:rPr>
              <w:t xml:space="preserve">rounds on </w:t>
            </w:r>
            <w:hyperlink w:anchor="Endnote22_CCPatients" w:history="1">
              <w:r w:rsidR="00753E4C" w:rsidRPr="000C36A2">
                <w:rPr>
                  <w:rStyle w:val="Hyperlink"/>
                  <w:rFonts w:cs="Arial"/>
                </w:rPr>
                <w:t xml:space="preserve">all critical care </w:t>
              </w:r>
              <w:r w:rsidR="002037CD" w:rsidRPr="000C36A2">
                <w:rPr>
                  <w:rStyle w:val="Hyperlink"/>
                  <w:rFonts w:cs="Arial"/>
                </w:rPr>
                <w:t>patients</w:t>
              </w:r>
            </w:hyperlink>
            <w:r w:rsidR="00693D7F" w:rsidRPr="000C36A2">
              <w:rPr>
                <w:rFonts w:cs="Arial"/>
              </w:rPr>
              <w:fldChar w:fldCharType="begin"/>
            </w:r>
            <w:r w:rsidR="00693D7F" w:rsidRPr="000C36A2">
              <w:rPr>
                <w:rFonts w:cs="Arial"/>
              </w:rPr>
              <w:instrText xml:space="preserve"> NOTEREF _Ref534212310 \f \h  \* MERGEFORMAT </w:instrText>
            </w:r>
            <w:r w:rsidR="00693D7F" w:rsidRPr="000C36A2">
              <w:rPr>
                <w:rFonts w:cs="Arial"/>
              </w:rPr>
            </w:r>
            <w:r w:rsidR="00693D7F" w:rsidRPr="000C36A2">
              <w:rPr>
                <w:rFonts w:cs="Arial"/>
              </w:rPr>
              <w:fldChar w:fldCharType="separate"/>
            </w:r>
            <w:r w:rsidR="007D53A2" w:rsidRPr="00A012EC">
              <w:rPr>
                <w:rStyle w:val="EndnoteReference"/>
              </w:rPr>
              <w:t>34</w:t>
            </w:r>
            <w:r w:rsidR="00693D7F" w:rsidRPr="000C36A2">
              <w:rPr>
                <w:rFonts w:cs="Arial"/>
              </w:rPr>
              <w:fldChar w:fldCharType="end"/>
            </w:r>
            <w:r w:rsidR="002037CD" w:rsidRPr="000C36A2">
              <w:rPr>
                <w:rFonts w:cs="Arial"/>
              </w:rPr>
              <w:t xml:space="preserve"> in t</w:t>
            </w:r>
            <w:r w:rsidR="00574C9E">
              <w:rPr>
                <w:rFonts w:cs="Arial"/>
              </w:rPr>
              <w:t xml:space="preserve">he </w:t>
            </w:r>
            <w:r w:rsidR="004D502B" w:rsidRPr="000C36A2">
              <w:rPr>
                <w:rStyle w:val="Hyperlink"/>
                <w:rFonts w:cs="Arial"/>
                <w:color w:val="auto"/>
                <w:u w:val="none"/>
              </w:rPr>
              <w:t>ICU</w:t>
            </w:r>
            <w:r w:rsidR="005E3827">
              <w:rPr>
                <w:rStyle w:val="Hyperlink"/>
                <w:rFonts w:cs="Arial"/>
                <w:color w:val="auto"/>
                <w:u w:val="none"/>
              </w:rPr>
              <w:t>; and</w:t>
            </w:r>
          </w:p>
          <w:p w14:paraId="177E3495" w14:textId="5C3CE795" w:rsidR="000C36A2" w:rsidRPr="00272AE1" w:rsidRDefault="001C7DA2" w:rsidP="00AD309C">
            <w:pPr>
              <w:pStyle w:val="ListParagraph"/>
              <w:numPr>
                <w:ilvl w:val="0"/>
                <w:numId w:val="97"/>
              </w:numPr>
              <w:rPr>
                <w:rFonts w:cs="Arial"/>
              </w:rPr>
            </w:pPr>
            <w:r>
              <w:rPr>
                <w:rFonts w:cs="Arial"/>
              </w:rPr>
              <w:t>o</w:t>
            </w:r>
            <w:r w:rsidR="0073524E" w:rsidRPr="000C36A2">
              <w:rPr>
                <w:rFonts w:cs="Arial"/>
              </w:rPr>
              <w:t xml:space="preserve">n the other 2 days per week, </w:t>
            </w:r>
            <w:r w:rsidR="00F4382C" w:rsidRPr="000C36A2">
              <w:rPr>
                <w:rFonts w:cs="Arial"/>
              </w:rPr>
              <w:t>return</w:t>
            </w:r>
            <w:r w:rsidR="00693D7F" w:rsidRPr="000C36A2">
              <w:rPr>
                <w:rFonts w:cs="Arial"/>
              </w:rPr>
              <w:t>s</w:t>
            </w:r>
            <w:r w:rsidR="00F4382C" w:rsidRPr="000C36A2">
              <w:rPr>
                <w:rFonts w:cs="Arial"/>
              </w:rPr>
              <w:t xml:space="preserve"> more than 95% of </w:t>
            </w:r>
            <w:r w:rsidR="00F4382C" w:rsidRPr="000E1504">
              <w:rPr>
                <w:rFonts w:cs="Arial"/>
              </w:rPr>
              <w:t>call</w:t>
            </w:r>
            <w:r w:rsidR="00887B2C" w:rsidRPr="000E1504">
              <w:rPr>
                <w:rFonts w:cs="Arial"/>
              </w:rPr>
              <w:t>s</w:t>
            </w:r>
            <w:r w:rsidR="00F4382C" w:rsidRPr="000E1504">
              <w:rPr>
                <w:rFonts w:cs="Arial"/>
              </w:rPr>
              <w:t>/pages/</w:t>
            </w:r>
            <w:r w:rsidR="00F4382C" w:rsidRPr="000C36A2">
              <w:rPr>
                <w:rFonts w:cs="Arial"/>
              </w:rPr>
              <w:t>texts from the</w:t>
            </w:r>
            <w:r w:rsidR="00574C9E">
              <w:rPr>
                <w:rFonts w:cs="Arial"/>
              </w:rPr>
              <w:t xml:space="preserve"> unit</w:t>
            </w:r>
            <w:r w:rsidR="00CC2443" w:rsidRPr="000C36A2">
              <w:rPr>
                <w:rFonts w:cs="Arial"/>
              </w:rPr>
              <w:t xml:space="preserve"> within 5 minutes</w:t>
            </w:r>
            <w:r w:rsidR="00F4382C" w:rsidRPr="000C36A2">
              <w:rPr>
                <w:rFonts w:cs="Arial"/>
              </w:rPr>
              <w:t xml:space="preserve">, based on a </w:t>
            </w:r>
            <w:hyperlink w:anchor="Endnote28_ResponseAnalysis" w:history="1">
              <w:r w:rsidR="00F4382C" w:rsidRPr="000C36A2">
                <w:rPr>
                  <w:rStyle w:val="Hyperlink"/>
                  <w:rFonts w:cs="Arial"/>
                </w:rPr>
                <w:t>quantified analysis</w:t>
              </w:r>
            </w:hyperlink>
            <w:r w:rsidR="00F369EA" w:rsidRPr="000C36A2">
              <w:rPr>
                <w:rFonts w:cs="Arial"/>
              </w:rPr>
              <w:fldChar w:fldCharType="begin"/>
            </w:r>
            <w:r w:rsidR="00F369EA" w:rsidRPr="000C36A2">
              <w:rPr>
                <w:rFonts w:cs="Arial"/>
              </w:rPr>
              <w:instrText xml:space="preserve"> NOTEREF _Ref534212563 \f \h  \* MERGEFORMAT </w:instrText>
            </w:r>
            <w:r w:rsidR="00F369EA" w:rsidRPr="000C36A2">
              <w:rPr>
                <w:rFonts w:cs="Arial"/>
              </w:rPr>
            </w:r>
            <w:r w:rsidR="00F369EA" w:rsidRPr="000C36A2">
              <w:rPr>
                <w:rFonts w:cs="Arial"/>
              </w:rPr>
              <w:fldChar w:fldCharType="separate"/>
            </w:r>
            <w:r w:rsidR="007D53A2" w:rsidRPr="00A012EC">
              <w:rPr>
                <w:rStyle w:val="EndnoteReference"/>
              </w:rPr>
              <w:t>39</w:t>
            </w:r>
            <w:r w:rsidR="00F369EA" w:rsidRPr="000C36A2">
              <w:rPr>
                <w:rFonts w:cs="Arial"/>
              </w:rPr>
              <w:fldChar w:fldCharType="end"/>
            </w:r>
            <w:r w:rsidR="00F4382C" w:rsidRPr="000C36A2">
              <w:rPr>
                <w:rFonts w:cs="Arial"/>
              </w:rPr>
              <w:t xml:space="preserve"> of notification device response time</w:t>
            </w:r>
            <w:r w:rsidR="005E3827">
              <w:rPr>
                <w:rFonts w:cs="Arial"/>
              </w:rPr>
              <w:t>;</w:t>
            </w:r>
          </w:p>
          <w:p w14:paraId="151782D6" w14:textId="2181CAB8" w:rsidR="000C36A2" w:rsidRPr="00272AE1" w:rsidRDefault="000C36A2" w:rsidP="00272AE1">
            <w:pPr>
              <w:rPr>
                <w:rFonts w:cs="Arial"/>
                <w:b/>
              </w:rPr>
            </w:pPr>
            <w:r w:rsidRPr="000C36A2">
              <w:rPr>
                <w:rFonts w:cs="Arial"/>
                <w:b/>
              </w:rPr>
              <w:t>OR</w:t>
            </w:r>
          </w:p>
          <w:p w14:paraId="420307AF" w14:textId="0137A6F3" w:rsidR="002037CD" w:rsidRPr="000C36A2" w:rsidRDefault="001C7DA2" w:rsidP="00AD309C">
            <w:pPr>
              <w:pStyle w:val="ListParagraph"/>
              <w:numPr>
                <w:ilvl w:val="0"/>
                <w:numId w:val="97"/>
              </w:numPr>
              <w:rPr>
                <w:rFonts w:cs="Arial"/>
              </w:rPr>
            </w:pPr>
            <w:r>
              <w:rPr>
                <w:rFonts w:cs="Arial"/>
              </w:rPr>
              <w:t>m</w:t>
            </w:r>
            <w:r w:rsidR="000C36A2" w:rsidRPr="000C36A2">
              <w:rPr>
                <w:rFonts w:cs="Arial"/>
              </w:rPr>
              <w:t>akes daily</w:t>
            </w:r>
            <w:r w:rsidR="000C36A2">
              <w:rPr>
                <w:rFonts w:cs="Arial"/>
              </w:rPr>
              <w:t xml:space="preserve"> </w:t>
            </w:r>
            <w:r w:rsidR="00FD7186">
              <w:rPr>
                <w:rFonts w:cs="Arial"/>
              </w:rPr>
              <w:t xml:space="preserve">on-site </w:t>
            </w:r>
            <w:r w:rsidR="000C36A2" w:rsidRPr="000C36A2">
              <w:rPr>
                <w:rFonts w:cs="Arial"/>
              </w:rPr>
              <w:t xml:space="preserve">rounds on </w:t>
            </w:r>
            <w:hyperlink w:anchor="Endnote22_CCPatients" w:history="1">
              <w:r w:rsidR="00FD7186" w:rsidRPr="00FD7186">
                <w:rPr>
                  <w:rStyle w:val="Hyperlink"/>
                  <w:rFonts w:cs="Arial"/>
                </w:rPr>
                <w:t>all critical care patients</w:t>
              </w:r>
            </w:hyperlink>
            <w:r w:rsidR="00FD7186">
              <w:rPr>
                <w:rStyle w:val="Hyperlink"/>
                <w:rFonts w:cs="Arial"/>
                <w:color w:val="auto"/>
                <w:u w:val="none"/>
              </w:rPr>
              <w:fldChar w:fldCharType="begin"/>
            </w:r>
            <w:r w:rsidR="00FD7186">
              <w:rPr>
                <w:rStyle w:val="Hyperlink"/>
                <w:rFonts w:cs="Arial"/>
                <w:color w:val="auto"/>
                <w:u w:val="none"/>
              </w:rPr>
              <w:instrText xml:space="preserve"> NOTEREF _Ref534212310 \f \h </w:instrText>
            </w:r>
            <w:r w:rsidR="0079783F">
              <w:rPr>
                <w:rStyle w:val="Hyperlink"/>
                <w:rFonts w:cs="Arial"/>
                <w:color w:val="auto"/>
                <w:u w:val="none"/>
              </w:rPr>
              <w:instrText xml:space="preserve"> \* MERGEFORMAT </w:instrText>
            </w:r>
            <w:r w:rsidR="00FD7186">
              <w:rPr>
                <w:rStyle w:val="Hyperlink"/>
                <w:rFonts w:cs="Arial"/>
                <w:color w:val="auto"/>
                <w:u w:val="none"/>
              </w:rPr>
            </w:r>
            <w:r w:rsidR="00FD7186">
              <w:rPr>
                <w:rStyle w:val="Hyperlink"/>
                <w:rFonts w:cs="Arial"/>
                <w:color w:val="auto"/>
                <w:u w:val="none"/>
              </w:rPr>
              <w:fldChar w:fldCharType="separate"/>
            </w:r>
            <w:r w:rsidR="007D53A2" w:rsidRPr="00A012EC">
              <w:rPr>
                <w:rStyle w:val="EndnoteReference"/>
              </w:rPr>
              <w:t>34</w:t>
            </w:r>
            <w:r w:rsidR="00FD7186">
              <w:rPr>
                <w:rStyle w:val="Hyperlink"/>
                <w:rFonts w:cs="Arial"/>
                <w:color w:val="auto"/>
                <w:u w:val="none"/>
              </w:rPr>
              <w:fldChar w:fldCharType="end"/>
            </w:r>
            <w:r w:rsidR="000C36A2" w:rsidRPr="000C36A2">
              <w:rPr>
                <w:rFonts w:cs="Arial"/>
              </w:rPr>
              <w:t xml:space="preserve"> in </w:t>
            </w:r>
            <w:r w:rsidR="0047743F">
              <w:rPr>
                <w:rFonts w:cs="Arial"/>
              </w:rPr>
              <w:t>th</w:t>
            </w:r>
            <w:r w:rsidR="00574C9E">
              <w:rPr>
                <w:rFonts w:cs="Arial"/>
              </w:rPr>
              <w:t>e</w:t>
            </w:r>
            <w:r w:rsidR="0047743F">
              <w:rPr>
                <w:rFonts w:cs="Arial"/>
              </w:rPr>
              <w:t xml:space="preserve"> </w:t>
            </w:r>
            <w:r w:rsidR="000C36A2" w:rsidRPr="000C36A2">
              <w:rPr>
                <w:rStyle w:val="Hyperlink"/>
                <w:rFonts w:cs="Arial"/>
                <w:color w:val="auto"/>
                <w:u w:val="none"/>
              </w:rPr>
              <w:t>ICU</w:t>
            </w:r>
            <w:r w:rsidR="000C36A2">
              <w:rPr>
                <w:rStyle w:val="Hyperlink"/>
                <w:rFonts w:cs="Arial"/>
                <w:color w:val="auto"/>
                <w:u w:val="none"/>
              </w:rPr>
              <w:t xml:space="preserve"> 7 days per week</w:t>
            </w:r>
            <w:r w:rsidR="00D67168">
              <w:rPr>
                <w:rFonts w:cs="Arial"/>
              </w:rPr>
              <w:t>?</w:t>
            </w:r>
            <w:r w:rsidR="002037CD" w:rsidRPr="000C36A2">
              <w:rPr>
                <w:rFonts w:cs="Arial"/>
              </w:rPr>
              <w:t xml:space="preserve"> </w:t>
            </w:r>
          </w:p>
        </w:tc>
        <w:tc>
          <w:tcPr>
            <w:tcW w:w="2233" w:type="dxa"/>
            <w:vAlign w:val="center"/>
          </w:tcPr>
          <w:p w14:paraId="094AAA68" w14:textId="77777777" w:rsidR="002037CD" w:rsidRPr="000C1F1D" w:rsidRDefault="002037CD" w:rsidP="00AD309C">
            <w:pPr>
              <w:pStyle w:val="ListParagraph"/>
              <w:numPr>
                <w:ilvl w:val="0"/>
                <w:numId w:val="345"/>
              </w:numPr>
              <w:rPr>
                <w:rFonts w:cs="Arial"/>
                <w:iCs/>
              </w:rPr>
            </w:pPr>
            <w:r w:rsidRPr="000C1F1D">
              <w:rPr>
                <w:rFonts w:cs="Arial"/>
                <w:iCs/>
              </w:rPr>
              <w:t>Yes</w:t>
            </w:r>
          </w:p>
          <w:p w14:paraId="1078057E" w14:textId="77777777" w:rsidR="00F4382C" w:rsidRPr="000C1F1D" w:rsidRDefault="002037CD" w:rsidP="00AD309C">
            <w:pPr>
              <w:pStyle w:val="ListParagraph"/>
              <w:numPr>
                <w:ilvl w:val="0"/>
                <w:numId w:val="345"/>
              </w:numPr>
              <w:rPr>
                <w:rFonts w:cs="Arial"/>
                <w:iCs/>
              </w:rPr>
            </w:pPr>
            <w:r w:rsidRPr="000C1F1D">
              <w:rPr>
                <w:rFonts w:cs="Arial"/>
                <w:iCs/>
              </w:rPr>
              <w:t>No</w:t>
            </w:r>
          </w:p>
          <w:p w14:paraId="67775E9B" w14:textId="77777777" w:rsidR="0073524E" w:rsidRPr="000C1F1D" w:rsidRDefault="0073524E" w:rsidP="00AD309C">
            <w:pPr>
              <w:pStyle w:val="ListParagraph"/>
              <w:numPr>
                <w:ilvl w:val="0"/>
                <w:numId w:val="345"/>
              </w:numPr>
              <w:rPr>
                <w:rFonts w:cs="Arial"/>
                <w:iCs/>
              </w:rPr>
            </w:pPr>
            <w:r w:rsidRPr="000C1F1D">
              <w:rPr>
                <w:rFonts w:cs="Arial"/>
                <w:iCs/>
              </w:rPr>
              <w:t>Clinical pharmacist rounds 7 days per week</w:t>
            </w:r>
          </w:p>
        </w:tc>
      </w:tr>
      <w:tr w:rsidR="002037CD" w:rsidRPr="009A5185" w14:paraId="3CBDF5CC" w14:textId="77777777" w:rsidTr="001755EF">
        <w:trPr>
          <w:trHeight w:val="1008"/>
          <w:jc w:val="center"/>
        </w:trPr>
        <w:tc>
          <w:tcPr>
            <w:tcW w:w="7334" w:type="dxa"/>
            <w:tcBorders>
              <w:bottom w:val="single" w:sz="4" w:space="0" w:color="auto"/>
            </w:tcBorders>
            <w:vAlign w:val="center"/>
          </w:tcPr>
          <w:p w14:paraId="52C2E446" w14:textId="56014646" w:rsidR="002037CD" w:rsidRPr="00F97F08" w:rsidRDefault="002037CD" w:rsidP="00AD309C">
            <w:pPr>
              <w:pStyle w:val="ListParagraph"/>
              <w:numPr>
                <w:ilvl w:val="0"/>
                <w:numId w:val="31"/>
              </w:numPr>
              <w:rPr>
                <w:rFonts w:cs="Arial"/>
              </w:rPr>
            </w:pPr>
            <w:r w:rsidRPr="00F97F08">
              <w:rPr>
                <w:rFonts w:cs="Arial"/>
              </w:rPr>
              <w:lastRenderedPageBreak/>
              <w:t xml:space="preserve">Does a physician </w:t>
            </w:r>
            <w:hyperlink w:anchor="Endnote25_Certified" w:history="1">
              <w:r w:rsidRPr="00F97F08">
                <w:rPr>
                  <w:rStyle w:val="Hyperlink"/>
                  <w:rFonts w:cs="Arial"/>
                </w:rPr>
                <w:t>certified in critical care medicine</w:t>
              </w:r>
            </w:hyperlink>
            <w:r w:rsidR="006F7D5E" w:rsidRPr="00F97F08">
              <w:rPr>
                <w:vertAlign w:val="superscript"/>
              </w:rPr>
              <w:fldChar w:fldCharType="begin"/>
            </w:r>
            <w:r w:rsidR="006F7D5E" w:rsidRPr="00F97F08">
              <w:rPr>
                <w:rStyle w:val="Hyperlink"/>
                <w:rFonts w:cs="Arial"/>
              </w:rPr>
              <w:instrText xml:space="preserve"> NOTEREF _Ref534212273 \f \h </w:instrText>
            </w:r>
            <w:r w:rsidR="006F7D5E" w:rsidRPr="00F97F08">
              <w:rPr>
                <w:vertAlign w:val="superscript"/>
              </w:rPr>
              <w:instrText xml:space="preserve"> \* MERGEFORMAT </w:instrText>
            </w:r>
            <w:r w:rsidR="006F7D5E" w:rsidRPr="00F97F08">
              <w:rPr>
                <w:vertAlign w:val="superscript"/>
              </w:rPr>
            </w:r>
            <w:r w:rsidR="006F7D5E" w:rsidRPr="00F97F08">
              <w:rPr>
                <w:vertAlign w:val="superscript"/>
              </w:rPr>
              <w:fldChar w:fldCharType="separate"/>
            </w:r>
            <w:r w:rsidR="007D53A2" w:rsidRPr="00A012EC">
              <w:rPr>
                <w:rStyle w:val="EndnoteReference"/>
              </w:rPr>
              <w:t>36</w:t>
            </w:r>
            <w:r w:rsidR="006F7D5E" w:rsidRPr="00F97F08">
              <w:rPr>
                <w:vertAlign w:val="superscript"/>
              </w:rPr>
              <w:fldChar w:fldCharType="end"/>
            </w:r>
            <w:r w:rsidRPr="00F97F08">
              <w:rPr>
                <w:rFonts w:cs="Arial"/>
              </w:rPr>
              <w:t xml:space="preserve"> lead daily </w:t>
            </w:r>
            <w:r w:rsidR="001A1376" w:rsidRPr="00F97F08">
              <w:rPr>
                <w:rFonts w:cs="Arial"/>
              </w:rPr>
              <w:t>interprofessional</w:t>
            </w:r>
            <w:r w:rsidRPr="00F97F08">
              <w:rPr>
                <w:rFonts w:cs="Arial"/>
              </w:rPr>
              <w:t xml:space="preserve"> rounds on</w:t>
            </w:r>
            <w:r w:rsidR="005574F6" w:rsidRPr="00F97F08">
              <w:rPr>
                <w:rFonts w:cs="Arial"/>
              </w:rPr>
              <w:t>-</w:t>
            </w:r>
            <w:r w:rsidRPr="00F97F08">
              <w:rPr>
                <w:rFonts w:cs="Arial"/>
              </w:rPr>
              <w:t xml:space="preserve">site on </w:t>
            </w:r>
            <w:hyperlink w:anchor="Endnote22_CCPatients" w:history="1">
              <w:r w:rsidRPr="00F97F08">
                <w:rPr>
                  <w:rStyle w:val="Hyperlink"/>
                  <w:rFonts w:cs="Arial"/>
                </w:rPr>
                <w:t xml:space="preserve">all </w:t>
              </w:r>
              <w:r w:rsidR="001106AB" w:rsidRPr="00F97F08">
                <w:rPr>
                  <w:rStyle w:val="Hyperlink"/>
                  <w:rFonts w:cs="Arial"/>
                </w:rPr>
                <w:t xml:space="preserve">critical care </w:t>
              </w:r>
              <w:r w:rsidRPr="00F97F08">
                <w:rPr>
                  <w:rStyle w:val="Hyperlink"/>
                  <w:rFonts w:cs="Arial"/>
                </w:rPr>
                <w:t>patients</w:t>
              </w:r>
            </w:hyperlink>
            <w:r w:rsidR="006F7D5E" w:rsidRPr="00F97F08">
              <w:rPr>
                <w:vertAlign w:val="superscript"/>
              </w:rPr>
              <w:fldChar w:fldCharType="begin"/>
            </w:r>
            <w:r w:rsidR="006F7D5E" w:rsidRPr="00F97F08">
              <w:rPr>
                <w:rStyle w:val="Hyperlink"/>
                <w:rFonts w:cs="Arial"/>
              </w:rPr>
              <w:instrText xml:space="preserve"> NOTEREF _Ref534212310 \f \h </w:instrText>
            </w:r>
            <w:r w:rsidR="006F7D5E" w:rsidRPr="00F97F08">
              <w:rPr>
                <w:vertAlign w:val="superscript"/>
              </w:rPr>
              <w:instrText xml:space="preserve"> \* MERGEFORMAT </w:instrText>
            </w:r>
            <w:r w:rsidR="006F7D5E" w:rsidRPr="00F97F08">
              <w:rPr>
                <w:vertAlign w:val="superscript"/>
              </w:rPr>
            </w:r>
            <w:r w:rsidR="006F7D5E" w:rsidRPr="00F97F08">
              <w:rPr>
                <w:vertAlign w:val="superscript"/>
              </w:rPr>
              <w:fldChar w:fldCharType="separate"/>
            </w:r>
            <w:r w:rsidR="007D53A2" w:rsidRPr="00A012EC">
              <w:rPr>
                <w:rStyle w:val="EndnoteReference"/>
              </w:rPr>
              <w:t>34</w:t>
            </w:r>
            <w:r w:rsidR="006F7D5E" w:rsidRPr="00F97F08">
              <w:rPr>
                <w:vertAlign w:val="superscript"/>
              </w:rPr>
              <w:fldChar w:fldCharType="end"/>
            </w:r>
            <w:r w:rsidRPr="00F97F08">
              <w:rPr>
                <w:rFonts w:cs="Arial"/>
              </w:rPr>
              <w:t xml:space="preserve"> in</w:t>
            </w:r>
            <w:r w:rsidR="00753E4C" w:rsidRPr="00F97F08">
              <w:rPr>
                <w:rFonts w:cs="Arial"/>
              </w:rPr>
              <w:t xml:space="preserve"> </w:t>
            </w:r>
            <w:r w:rsidR="0047743F">
              <w:rPr>
                <w:rFonts w:cs="Arial"/>
              </w:rPr>
              <w:t>th</w:t>
            </w:r>
            <w:r w:rsidR="00574C9E">
              <w:rPr>
                <w:rFonts w:cs="Arial"/>
              </w:rPr>
              <w:t xml:space="preserve">e </w:t>
            </w:r>
            <w:r w:rsidR="00CA2525" w:rsidRPr="00F97F08">
              <w:rPr>
                <w:rStyle w:val="Hyperlink"/>
                <w:rFonts w:cs="Arial"/>
                <w:color w:val="auto"/>
                <w:u w:val="none"/>
              </w:rPr>
              <w:t>ICU</w:t>
            </w:r>
            <w:r w:rsidRPr="00F97F08">
              <w:rPr>
                <w:rFonts w:cs="Arial"/>
              </w:rPr>
              <w:t xml:space="preserve"> 7 days per week?</w:t>
            </w:r>
          </w:p>
        </w:tc>
        <w:tc>
          <w:tcPr>
            <w:tcW w:w="2233" w:type="dxa"/>
            <w:vAlign w:val="center"/>
          </w:tcPr>
          <w:p w14:paraId="19BC462C" w14:textId="77777777" w:rsidR="002037CD" w:rsidRPr="000C1F1D" w:rsidRDefault="002037CD" w:rsidP="00AD309C">
            <w:pPr>
              <w:pStyle w:val="ListParagraph"/>
              <w:numPr>
                <w:ilvl w:val="0"/>
                <w:numId w:val="345"/>
              </w:numPr>
              <w:rPr>
                <w:rFonts w:cs="Arial"/>
                <w:iCs/>
              </w:rPr>
            </w:pPr>
            <w:r w:rsidRPr="000C1F1D">
              <w:rPr>
                <w:rFonts w:cs="Arial"/>
                <w:iCs/>
              </w:rPr>
              <w:t>Yes</w:t>
            </w:r>
          </w:p>
          <w:p w14:paraId="66DCB94F" w14:textId="77777777" w:rsidR="002037CD" w:rsidRPr="000C1F1D" w:rsidRDefault="002037CD" w:rsidP="00AD309C">
            <w:pPr>
              <w:pStyle w:val="ListParagraph"/>
              <w:numPr>
                <w:ilvl w:val="0"/>
                <w:numId w:val="345"/>
              </w:numPr>
              <w:rPr>
                <w:rFonts w:cs="Arial"/>
                <w:iCs/>
              </w:rPr>
            </w:pPr>
            <w:r w:rsidRPr="000C1F1D">
              <w:rPr>
                <w:rFonts w:cs="Arial"/>
                <w:iCs/>
              </w:rPr>
              <w:t>No</w:t>
            </w:r>
          </w:p>
        </w:tc>
      </w:tr>
      <w:tr w:rsidR="002037CD" w:rsidRPr="009A5185" w14:paraId="234DC970" w14:textId="77777777" w:rsidTr="001755EF">
        <w:trPr>
          <w:trHeight w:val="1152"/>
          <w:jc w:val="center"/>
        </w:trPr>
        <w:tc>
          <w:tcPr>
            <w:tcW w:w="7334" w:type="dxa"/>
            <w:tcBorders>
              <w:top w:val="single" w:sz="4" w:space="0" w:color="auto"/>
              <w:left w:val="single" w:sz="4" w:space="0" w:color="auto"/>
              <w:bottom w:val="single" w:sz="4" w:space="0" w:color="auto"/>
              <w:right w:val="single" w:sz="4" w:space="0" w:color="auto"/>
            </w:tcBorders>
            <w:vAlign w:val="center"/>
          </w:tcPr>
          <w:p w14:paraId="314FEE91" w14:textId="09F1E0D9" w:rsidR="00F97F08" w:rsidRPr="00F97F08" w:rsidRDefault="00F97F08" w:rsidP="00AD309C">
            <w:pPr>
              <w:pStyle w:val="ListParagraph"/>
              <w:numPr>
                <w:ilvl w:val="0"/>
                <w:numId w:val="31"/>
              </w:numPr>
              <w:rPr>
                <w:rFonts w:cs="Arial"/>
              </w:rPr>
            </w:pPr>
            <w:r w:rsidRPr="00F97F08">
              <w:rPr>
                <w:rFonts w:cs="Arial"/>
              </w:rPr>
              <w:t>Are</w:t>
            </w:r>
            <w:r w:rsidR="002037CD" w:rsidRPr="00F97F08">
              <w:rPr>
                <w:rFonts w:cs="Arial"/>
              </w:rPr>
              <w:t xml:space="preserve"> physicians</w:t>
            </w:r>
            <w:r w:rsidR="009F1739" w:rsidRPr="00F97F08">
              <w:rPr>
                <w:rFonts w:cs="Arial"/>
              </w:rPr>
              <w:t xml:space="preserve"> </w:t>
            </w:r>
            <w:hyperlink w:anchor="Endnote25_Certified" w:history="1">
              <w:r w:rsidR="009F1739" w:rsidRPr="00F97F08">
                <w:rPr>
                  <w:rStyle w:val="Hyperlink"/>
                  <w:rFonts w:cs="Arial"/>
                </w:rPr>
                <w:t>certified in critical care medicine</w:t>
              </w:r>
            </w:hyperlink>
            <w:r w:rsidR="006F7D5E" w:rsidRPr="00F97F08">
              <w:rPr>
                <w:rStyle w:val="Hyperlink"/>
                <w:rFonts w:cs="Arial"/>
              </w:rPr>
              <w:fldChar w:fldCharType="begin"/>
            </w:r>
            <w:r w:rsidR="006F7D5E" w:rsidRPr="00F97F08">
              <w:rPr>
                <w:rStyle w:val="Hyperlink"/>
                <w:rFonts w:cs="Arial"/>
              </w:rPr>
              <w:instrText xml:space="preserve"> NOTEREF _Ref534212273 \f \h  \* MERGEFORMAT </w:instrText>
            </w:r>
            <w:r w:rsidR="006F7D5E" w:rsidRPr="00F97F08">
              <w:rPr>
                <w:rStyle w:val="Hyperlink"/>
                <w:rFonts w:cs="Arial"/>
              </w:rPr>
            </w:r>
            <w:r w:rsidR="006F7D5E" w:rsidRPr="00F97F08">
              <w:rPr>
                <w:rStyle w:val="Hyperlink"/>
                <w:rFonts w:cs="Arial"/>
              </w:rPr>
              <w:fldChar w:fldCharType="separate"/>
            </w:r>
            <w:r w:rsidR="007D53A2" w:rsidRPr="00A012EC">
              <w:rPr>
                <w:rStyle w:val="EndnoteReference"/>
              </w:rPr>
              <w:t>36</w:t>
            </w:r>
            <w:r w:rsidR="006F7D5E" w:rsidRPr="00F97F08">
              <w:rPr>
                <w:rStyle w:val="Hyperlink"/>
                <w:rFonts w:cs="Arial"/>
              </w:rPr>
              <w:fldChar w:fldCharType="end"/>
            </w:r>
            <w:r w:rsidR="002037CD" w:rsidRPr="00F97F08">
              <w:rPr>
                <w:rFonts w:cs="Arial"/>
              </w:rPr>
              <w:t xml:space="preserve"> </w:t>
            </w:r>
            <w:r w:rsidRPr="00F97F08">
              <w:rPr>
                <w:rFonts w:cs="Arial"/>
              </w:rPr>
              <w:t>responsible for all ICU admission and discharge decisions when they are:</w:t>
            </w:r>
          </w:p>
          <w:p w14:paraId="5E8B74BD" w14:textId="6F2DAF60" w:rsidR="002037CD" w:rsidRPr="00693D7F" w:rsidRDefault="001C7DA2" w:rsidP="00AD309C">
            <w:pPr>
              <w:pStyle w:val="ListParagraph"/>
              <w:numPr>
                <w:ilvl w:val="0"/>
                <w:numId w:val="97"/>
              </w:numPr>
              <w:rPr>
                <w:rFonts w:cs="Arial"/>
              </w:rPr>
            </w:pPr>
            <w:r>
              <w:rPr>
                <w:rFonts w:cs="Arial"/>
              </w:rPr>
              <w:t>p</w:t>
            </w:r>
            <w:r w:rsidR="00F97F08">
              <w:rPr>
                <w:rFonts w:cs="Arial"/>
              </w:rPr>
              <w:t xml:space="preserve">resent on-site for at least </w:t>
            </w:r>
            <w:r w:rsidR="00F97F08" w:rsidRPr="001E2A00">
              <w:rPr>
                <w:rFonts w:cs="Arial"/>
                <w:b/>
                <w:bCs/>
              </w:rPr>
              <w:t>8 hours per day, 4 days per week or 4 hours per day, 7 days per week</w:t>
            </w:r>
            <w:r w:rsidR="00D67168" w:rsidRPr="00D67168">
              <w:rPr>
                <w:rFonts w:cs="Arial"/>
              </w:rPr>
              <w:t>?</w:t>
            </w:r>
          </w:p>
        </w:tc>
        <w:tc>
          <w:tcPr>
            <w:tcW w:w="2233" w:type="dxa"/>
            <w:tcBorders>
              <w:left w:val="single" w:sz="4" w:space="0" w:color="auto"/>
            </w:tcBorders>
            <w:vAlign w:val="center"/>
          </w:tcPr>
          <w:p w14:paraId="270A6A80" w14:textId="77777777" w:rsidR="002037CD" w:rsidRPr="000C1F1D" w:rsidRDefault="002037CD" w:rsidP="00AD309C">
            <w:pPr>
              <w:pStyle w:val="ListParagraph"/>
              <w:numPr>
                <w:ilvl w:val="0"/>
                <w:numId w:val="345"/>
              </w:numPr>
              <w:rPr>
                <w:rFonts w:cs="Arial"/>
                <w:iCs/>
              </w:rPr>
            </w:pPr>
            <w:r w:rsidRPr="000C1F1D">
              <w:rPr>
                <w:rFonts w:cs="Arial"/>
                <w:iCs/>
              </w:rPr>
              <w:t>Yes</w:t>
            </w:r>
          </w:p>
          <w:p w14:paraId="55A4834B" w14:textId="77777777" w:rsidR="002037CD" w:rsidRPr="000C1F1D" w:rsidRDefault="002037CD" w:rsidP="00AD309C">
            <w:pPr>
              <w:pStyle w:val="ListParagraph"/>
              <w:numPr>
                <w:ilvl w:val="0"/>
                <w:numId w:val="345"/>
              </w:numPr>
              <w:rPr>
                <w:rFonts w:cs="Arial"/>
                <w:iCs/>
              </w:rPr>
            </w:pPr>
            <w:r w:rsidRPr="000C1F1D">
              <w:rPr>
                <w:rFonts w:cs="Arial"/>
                <w:iCs/>
              </w:rPr>
              <w:t>No</w:t>
            </w:r>
          </w:p>
        </w:tc>
      </w:tr>
    </w:tbl>
    <w:p w14:paraId="285ECFCA" w14:textId="6A6F7A31" w:rsidR="008D5018" w:rsidRPr="008D5018" w:rsidRDefault="003E5C29" w:rsidP="005D5A86">
      <w:pPr>
        <w:pStyle w:val="Heading2"/>
        <w:rPr>
          <w:rFonts w:cs="Arial"/>
          <w:color w:val="000000"/>
        </w:rPr>
      </w:pPr>
      <w:bookmarkStart w:id="422" w:name="_5C:_Nursing_Workforce"/>
      <w:bookmarkEnd w:id="422"/>
      <w:r w:rsidRPr="009A5185">
        <w:rPr>
          <w:rFonts w:cs="Arial"/>
          <w:color w:val="000000"/>
        </w:rPr>
        <w:br w:type="page"/>
      </w:r>
      <w:bookmarkStart w:id="423" w:name="_Toc225877750"/>
      <w:r w:rsidR="00AD2D44" w:rsidRPr="005830D1">
        <w:lastRenderedPageBreak/>
        <w:t>5B: Pediatric ICU Physician Staffing</w:t>
      </w:r>
      <w:bookmarkEnd w:id="423"/>
    </w:p>
    <w:p w14:paraId="5856367F" w14:textId="77777777" w:rsidR="008D5018" w:rsidRPr="008D5018" w:rsidRDefault="008D5018" w:rsidP="008D5018">
      <w:pPr>
        <w:rPr>
          <w:rFonts w:cs="Arial"/>
          <w:color w:val="000000"/>
        </w:rPr>
      </w:pPr>
    </w:p>
    <w:p w14:paraId="7E75963A" w14:textId="77777777" w:rsidR="008D5018" w:rsidRPr="008D5018" w:rsidRDefault="008D5018" w:rsidP="008D5018">
      <w:pPr>
        <w:rPr>
          <w:rFonts w:cs="Arial"/>
          <w:color w:val="000000"/>
        </w:rPr>
      </w:pPr>
      <w:r w:rsidRPr="008D5018">
        <w:rPr>
          <w:rFonts w:cs="Arial"/>
          <w:color w:val="000000"/>
        </w:rPr>
        <w:t xml:space="preserve">Hospitals that share a CMS Certification Number are required to report by facility. Please carefully review </w:t>
      </w:r>
      <w:hyperlink r:id="rId327" w:history="1">
        <w:r w:rsidRPr="008D5018">
          <w:rPr>
            <w:rStyle w:val="Hyperlink"/>
            <w:rFonts w:cs="Arial"/>
          </w:rPr>
          <w:t>Leapfrog’s Multi-Campus Reporting Policy</w:t>
        </w:r>
      </w:hyperlink>
      <w:r w:rsidRPr="008D5018">
        <w:rPr>
          <w:rFonts w:cs="Arial"/>
          <w:color w:val="000000"/>
          <w:u w:val="single"/>
        </w:rPr>
        <w:t>.</w:t>
      </w:r>
    </w:p>
    <w:p w14:paraId="00112516" w14:textId="77777777" w:rsidR="008D5018" w:rsidRPr="008D5018" w:rsidRDefault="008D5018" w:rsidP="008D5018">
      <w:pPr>
        <w:rPr>
          <w:rFonts w:cs="Arial"/>
          <w:color w:val="000000"/>
        </w:rPr>
      </w:pPr>
    </w:p>
    <w:p w14:paraId="2CC873C4" w14:textId="77777777" w:rsidR="008D5018" w:rsidRPr="005830D1" w:rsidRDefault="008D5018" w:rsidP="008D5018">
      <w:pPr>
        <w:rPr>
          <w:rFonts w:cs="Arial"/>
          <w:b/>
          <w:color w:val="FF0000"/>
        </w:rPr>
      </w:pPr>
      <w:r w:rsidRPr="005830D1">
        <w:rPr>
          <w:rFonts w:cs="Arial"/>
          <w:b/>
          <w:color w:val="FF0000"/>
        </w:rPr>
        <w:t>Important Notes:</w:t>
      </w:r>
    </w:p>
    <w:p w14:paraId="210DF794" w14:textId="77777777" w:rsidR="008D5018" w:rsidRPr="008D5018" w:rsidRDefault="008D5018" w:rsidP="008D5018">
      <w:pPr>
        <w:rPr>
          <w:rFonts w:cs="Arial"/>
          <w:b/>
          <w:color w:val="000000"/>
        </w:rPr>
      </w:pPr>
    </w:p>
    <w:p w14:paraId="2FDFB3EC" w14:textId="77777777" w:rsidR="008D5018" w:rsidRPr="008D5018" w:rsidRDefault="008D5018" w:rsidP="008D5018">
      <w:pPr>
        <w:rPr>
          <w:rFonts w:cs="Arial"/>
          <w:color w:val="000000"/>
        </w:rPr>
      </w:pPr>
      <w:r w:rsidRPr="008D5018">
        <w:rPr>
          <w:rFonts w:cs="Arial"/>
          <w:color w:val="000000"/>
        </w:rPr>
        <w:t>Note 1: Each of the endnotes referenced in the questions below must be reviewed before responding to each question.</w:t>
      </w:r>
    </w:p>
    <w:p w14:paraId="34061F54" w14:textId="77777777" w:rsidR="008D5018" w:rsidRPr="008D5018" w:rsidRDefault="008D5018" w:rsidP="008D5018">
      <w:pPr>
        <w:rPr>
          <w:rFonts w:cs="Arial"/>
          <w:color w:val="000000"/>
        </w:rPr>
      </w:pPr>
    </w:p>
    <w:p w14:paraId="69ECB500" w14:textId="36DA974F" w:rsidR="008D5018" w:rsidRPr="008D5018" w:rsidRDefault="008D5018" w:rsidP="008D5018">
      <w:pPr>
        <w:rPr>
          <w:rFonts w:cs="Arial"/>
          <w:color w:val="000000"/>
        </w:rPr>
      </w:pPr>
      <w:r w:rsidRPr="008D5018">
        <w:rPr>
          <w:rFonts w:cs="Arial"/>
          <w:color w:val="000000"/>
        </w:rPr>
        <w:t>Note 2: Some intensivist “presence” may be accomplished via tele-intensivists per Leapfrog’s specifications (</w:t>
      </w:r>
      <w:hyperlink w:anchor="Endnote27_Telemedicine" w:history="1">
        <w:r w:rsidRPr="008D5018">
          <w:rPr>
            <w:rStyle w:val="Hyperlink"/>
            <w:rFonts w:cs="Arial"/>
          </w:rPr>
          <w:t>More Information</w:t>
        </w:r>
      </w:hyperlink>
      <w:r w:rsidRPr="008D5018">
        <w:rPr>
          <w:rFonts w:cs="Arial"/>
          <w:color w:val="000000"/>
          <w:vertAlign w:val="superscript"/>
        </w:rPr>
        <w:fldChar w:fldCharType="begin"/>
      </w:r>
      <w:r w:rsidRPr="008D5018">
        <w:rPr>
          <w:rFonts w:cs="Arial"/>
          <w:color w:val="000000"/>
          <w:u w:val="single"/>
        </w:rPr>
        <w:instrText xml:space="preserve"> NOTEREF _Ref534212061 \f \h </w:instrText>
      </w:r>
      <w:r w:rsidRPr="008D5018">
        <w:rPr>
          <w:rFonts w:cs="Arial"/>
          <w:color w:val="000000"/>
          <w:vertAlign w:val="superscript"/>
        </w:rPr>
      </w:r>
      <w:r w:rsidRPr="008D5018">
        <w:rPr>
          <w:rFonts w:cs="Arial"/>
          <w:color w:val="000000"/>
          <w:vertAlign w:val="superscript"/>
        </w:rPr>
        <w:fldChar w:fldCharType="separate"/>
      </w:r>
      <w:r w:rsidR="007D53A2" w:rsidRPr="00A012EC">
        <w:rPr>
          <w:rStyle w:val="EndnoteReference"/>
        </w:rPr>
        <w:t>38</w:t>
      </w:r>
      <w:r w:rsidRPr="008D5018">
        <w:rPr>
          <w:rFonts w:cs="Arial"/>
          <w:color w:val="000000"/>
        </w:rPr>
        <w:fldChar w:fldCharType="end"/>
      </w:r>
      <w:r w:rsidRPr="008D5018">
        <w:rPr>
          <w:rFonts w:cs="Arial"/>
          <w:color w:val="000000"/>
        </w:rPr>
        <w:t>). However, at this time hospitals cannot achieve the standard through the sole use of tele-intensivists.</w:t>
      </w:r>
      <w:r w:rsidRPr="008D5018">
        <w:rPr>
          <w:rFonts w:cs="Arial"/>
          <w:color w:val="000000"/>
        </w:rPr>
        <w:br/>
      </w:r>
    </w:p>
    <w:p w14:paraId="38E8B8E3" w14:textId="6DEC1DEB" w:rsidR="008D5018" w:rsidRPr="008D5018" w:rsidRDefault="008D5018" w:rsidP="008D5018">
      <w:pPr>
        <w:rPr>
          <w:rFonts w:cs="Arial"/>
          <w:color w:val="000000"/>
        </w:rPr>
      </w:pPr>
      <w:r w:rsidRPr="008D5018">
        <w:rPr>
          <w:rFonts w:cs="Arial"/>
          <w:color w:val="000000"/>
        </w:rPr>
        <w:t>Note 3: On an interim basis, other categories of physicians may be considered by Leapfrog to be “certified in Critical Care Medicine” (</w:t>
      </w:r>
      <w:hyperlink w:anchor="Endnote27_Telemedicine" w:history="1">
        <w:r w:rsidRPr="008D5018">
          <w:rPr>
            <w:rStyle w:val="Hyperlink"/>
            <w:rFonts w:cs="Arial"/>
          </w:rPr>
          <w:t>More Information</w:t>
        </w:r>
      </w:hyperlink>
      <w:r w:rsidRPr="008D5018">
        <w:rPr>
          <w:rFonts w:cs="Arial"/>
          <w:color w:val="000000"/>
          <w:vertAlign w:val="superscript"/>
        </w:rPr>
        <w:fldChar w:fldCharType="begin"/>
      </w:r>
      <w:r w:rsidRPr="008D5018">
        <w:rPr>
          <w:rFonts w:cs="Arial"/>
          <w:color w:val="000000"/>
          <w:u w:val="single"/>
        </w:rPr>
        <w:instrText xml:space="preserve"> NOTEREF _Ref534212273 \f \h </w:instrText>
      </w:r>
      <w:r w:rsidRPr="008D5018">
        <w:rPr>
          <w:rFonts w:cs="Arial"/>
          <w:color w:val="000000"/>
          <w:vertAlign w:val="superscript"/>
        </w:rPr>
      </w:r>
      <w:r w:rsidRPr="008D5018">
        <w:rPr>
          <w:rFonts w:cs="Arial"/>
          <w:color w:val="000000"/>
          <w:vertAlign w:val="superscript"/>
        </w:rPr>
        <w:fldChar w:fldCharType="separate"/>
      </w:r>
      <w:r w:rsidR="007D53A2" w:rsidRPr="00A012EC">
        <w:rPr>
          <w:rStyle w:val="EndnoteReference"/>
        </w:rPr>
        <w:t>36</w:t>
      </w:r>
      <w:r w:rsidRPr="008D5018">
        <w:rPr>
          <w:rFonts w:cs="Arial"/>
          <w:color w:val="000000"/>
        </w:rPr>
        <w:fldChar w:fldCharType="end"/>
      </w:r>
      <w:r w:rsidRPr="008D5018">
        <w:rPr>
          <w:rFonts w:cs="Arial"/>
          <w:color w:val="000000"/>
        </w:rPr>
        <w:t>).</w:t>
      </w:r>
    </w:p>
    <w:p w14:paraId="5309A7EB" w14:textId="77777777" w:rsidR="008D5018" w:rsidRPr="008D5018" w:rsidRDefault="008D5018" w:rsidP="008D5018">
      <w:pPr>
        <w:rPr>
          <w:rFonts w:cs="Arial"/>
          <w:color w:val="000000"/>
        </w:rPr>
      </w:pPr>
    </w:p>
    <w:p w14:paraId="347BB8D7" w14:textId="5CB888B2" w:rsidR="008D5018" w:rsidRPr="008D5018" w:rsidRDefault="008D5018" w:rsidP="008D5018">
      <w:pPr>
        <w:rPr>
          <w:rFonts w:cs="Arial"/>
          <w:color w:val="000000"/>
        </w:rPr>
      </w:pPr>
      <w:r w:rsidRPr="008D5018">
        <w:rPr>
          <w:rFonts w:cs="Arial"/>
          <w:color w:val="000000"/>
        </w:rPr>
        <w:t>Note 4: The standard applies to all pediatric general medical</w:t>
      </w:r>
      <w:r w:rsidR="00E60A3F">
        <w:rPr>
          <w:rFonts w:cs="Arial"/>
          <w:color w:val="000000"/>
        </w:rPr>
        <w:t xml:space="preserve">, </w:t>
      </w:r>
      <w:r w:rsidRPr="008D5018">
        <w:rPr>
          <w:rFonts w:cs="Arial"/>
          <w:color w:val="000000"/>
        </w:rPr>
        <w:t>surgical</w:t>
      </w:r>
      <w:r w:rsidR="00E60A3F">
        <w:rPr>
          <w:rFonts w:cs="Arial"/>
          <w:color w:val="000000"/>
        </w:rPr>
        <w:t xml:space="preserve">, medical/surgical, </w:t>
      </w:r>
      <w:r w:rsidRPr="008D5018">
        <w:rPr>
          <w:rFonts w:cs="Arial"/>
          <w:color w:val="000000"/>
        </w:rPr>
        <w:t>and neuro critical care pediatric patients (medical and surgical), including those pediatric patients in mixed acuity units.</w:t>
      </w:r>
    </w:p>
    <w:p w14:paraId="096EDB1D" w14:textId="77777777" w:rsidR="008D5018" w:rsidRPr="008D5018" w:rsidRDefault="008D5018" w:rsidP="008D5018">
      <w:pPr>
        <w:rPr>
          <w:rFonts w:cs="Arial"/>
          <w:color w:val="000000"/>
        </w:rPr>
      </w:pPr>
    </w:p>
    <w:p w14:paraId="04274C29" w14:textId="77777777" w:rsidR="00B5613E" w:rsidRDefault="00355413">
      <w:pPr>
        <w:rPr>
          <w:rFonts w:cs="Arial"/>
          <w:color w:val="000000"/>
        </w:rPr>
      </w:pPr>
      <w:r>
        <w:rPr>
          <w:noProof/>
        </w:rPr>
        <mc:AlternateContent>
          <mc:Choice Requires="wps">
            <w:drawing>
              <wp:inline distT="0" distB="0" distL="0" distR="0" wp14:anchorId="101ED376" wp14:editId="048623FD">
                <wp:extent cx="5943600" cy="1370965"/>
                <wp:effectExtent l="0" t="0" r="19050" b="19685"/>
                <wp:docPr id="147770111" name="Text Box 41" descr="P7386TB2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70965"/>
                        </a:xfrm>
                        <a:prstGeom prst="rect">
                          <a:avLst/>
                        </a:prstGeom>
                        <a:solidFill>
                          <a:srgbClr val="FFFFFF"/>
                        </a:solidFill>
                        <a:ln w="9525">
                          <a:solidFill>
                            <a:srgbClr val="FF0000"/>
                          </a:solidFill>
                          <a:miter lim="800000"/>
                          <a:headEnd/>
                          <a:tailEnd/>
                        </a:ln>
                      </wps:spPr>
                      <wps:txbx>
                        <w:txbxContent>
                          <w:p w14:paraId="513C8906" w14:textId="77777777" w:rsidR="00355413" w:rsidRDefault="00355413" w:rsidP="00355413">
                            <w:pPr>
                              <w:pStyle w:val="Header"/>
                              <w:tabs>
                                <w:tab w:val="left" w:pos="720"/>
                              </w:tabs>
                              <w:spacing w:before="40"/>
                              <w:rPr>
                                <w:rFonts w:cs="Arial"/>
                                <w:b/>
                              </w:rPr>
                            </w:pPr>
                            <w:r>
                              <w:rPr>
                                <w:rFonts w:cs="Arial"/>
                                <w:b/>
                              </w:rPr>
                              <w:t>Reporting Period: 3 months</w:t>
                            </w:r>
                          </w:p>
                          <w:p w14:paraId="1A6193EF" w14:textId="77777777" w:rsidR="00355413" w:rsidRDefault="00355413" w:rsidP="00355413">
                            <w:pPr>
                              <w:pStyle w:val="Header"/>
                              <w:tabs>
                                <w:tab w:val="left" w:pos="720"/>
                              </w:tabs>
                              <w:spacing w:before="40"/>
                              <w:rPr>
                                <w:rFonts w:cs="Arial"/>
                              </w:rPr>
                            </w:pPr>
                            <w:r>
                              <w:rPr>
                                <w:rFonts w:cs="Arial"/>
                              </w:rPr>
                              <w:t>Answer questions #1-15 based on the staffing structure currently in place at the time that you submit this section of the Survey. The staffing structure should have been in place for at least the past 3 months and reflect the ordinary staffing structure for each applicable ICU.</w:t>
                            </w:r>
                          </w:p>
                          <w:p w14:paraId="2C74E8C1" w14:textId="77777777" w:rsidR="00355413" w:rsidRDefault="00355413" w:rsidP="00355413">
                            <w:pPr>
                              <w:pStyle w:val="Header"/>
                              <w:tabs>
                                <w:tab w:val="left" w:pos="720"/>
                              </w:tabs>
                              <w:spacing w:before="40"/>
                              <w:rPr>
                                <w:rFonts w:cs="Arial"/>
                                <w:b/>
                              </w:rPr>
                            </w:pPr>
                          </w:p>
                          <w:p w14:paraId="1C11FF0B" w14:textId="77777777" w:rsidR="00355413" w:rsidRDefault="00355413" w:rsidP="00355413">
                            <w:r>
                              <w:rPr>
                                <w:rFonts w:cs="Arial"/>
                                <w:sz w:val="16"/>
                                <w:szCs w:val="16"/>
                              </w:rPr>
                              <w:t xml:space="preserve">Note: As a reminder, the </w:t>
                            </w:r>
                            <w:hyperlink r:id="rId328" w:history="1">
                              <w:r>
                                <w:rPr>
                                  <w:rStyle w:val="Hyperlink"/>
                                  <w:rFonts w:cs="Arial"/>
                                  <w:sz w:val="16"/>
                                  <w:szCs w:val="16"/>
                                </w:rPr>
                                <w:t>Corrections Period</w:t>
                              </w:r>
                            </w:hyperlink>
                            <w:r>
                              <w:rPr>
                                <w:rFonts w:cs="Arial"/>
                                <w:sz w:val="16"/>
                                <w:szCs w:val="16"/>
                              </w:rPr>
                              <w:t xml:space="preserve"> (December 1-January 31) is reserved for corrections to previously submitted Surveys only. </w:t>
                            </w:r>
                            <w:r>
                              <w:rPr>
                                <w:rFonts w:cs="Arial"/>
                                <w:bCs/>
                                <w:snapToGrid w:val="0"/>
                                <w:sz w:val="16"/>
                                <w:szCs w:val="16"/>
                              </w:rPr>
                              <w:t>Any updates made to reflect a change in performance must be made prior to the November 30 Late Submission and Performance Update Deadline. Updates made to reflect a change in performance after November 30 will not be scored or publicly reported.</w:t>
                            </w:r>
                          </w:p>
                        </w:txbxContent>
                      </wps:txbx>
                      <wps:bodyPr rot="0" vert="horz" wrap="square" lIns="91440" tIns="45720" rIns="91440" bIns="45720" anchor="t" anchorCtr="0" upright="1">
                        <a:noAutofit/>
                      </wps:bodyPr>
                    </wps:wsp>
                  </a:graphicData>
                </a:graphic>
              </wp:inline>
            </w:drawing>
          </mc:Choice>
          <mc:Fallback>
            <w:pict>
              <v:shape w14:anchorId="101ED376" id="Text Box 41" o:spid="_x0000_s1049" type="#_x0000_t202" alt="P7386TB22#y1" style="width:468pt;height:10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" strokecolor="red">
                <v:textbox>
                  <w:txbxContent>
                    <w:p w14:paraId="513C8906" w14:textId="77777777" w:rsidR="00355413" w:rsidRDefault="00355413" w:rsidP="00355413">
                      <w:pPr>
                        <w:pStyle w:val="Header"/>
                        <w:tabs>
                          <w:tab w:val="left" w:pos="720"/>
                        </w:tabs>
                        <w:spacing w:before="40"/>
                        <w:rPr>
                          <w:rFonts w:cs="Arial"/>
                          <w:b/>
                        </w:rPr>
                      </w:pPr>
                      <w:r>
                        <w:rPr>
                          <w:rFonts w:cs="Arial"/>
                          <w:b/>
                        </w:rPr>
                        <w:t>Reporting Period: 3 months</w:t>
                      </w:r>
                    </w:p>
                    <w:p w14:paraId="1A6193EF" w14:textId="77777777" w:rsidR="00355413" w:rsidRDefault="00355413" w:rsidP="00355413">
                      <w:pPr>
                        <w:pStyle w:val="Header"/>
                        <w:tabs>
                          <w:tab w:val="left" w:pos="720"/>
                        </w:tabs>
                        <w:spacing w:before="40"/>
                        <w:rPr>
                          <w:rFonts w:cs="Arial"/>
                        </w:rPr>
                      </w:pPr>
                      <w:r>
                        <w:rPr>
                          <w:rFonts w:cs="Arial"/>
                        </w:rPr>
                        <w:t>Answer questions #1-15 based on the staffing structure currently in place at the time that you submit this section of the Survey. The staffing structure should have been in place for at least the past 3 months and reflect the ordinary staffing structure for each applicable ICU.</w:t>
                      </w:r>
                    </w:p>
                    <w:p w14:paraId="2C74E8C1" w14:textId="77777777" w:rsidR="00355413" w:rsidRDefault="00355413" w:rsidP="00355413">
                      <w:pPr>
                        <w:pStyle w:val="Header"/>
                        <w:tabs>
                          <w:tab w:val="left" w:pos="720"/>
                        </w:tabs>
                        <w:spacing w:before="40"/>
                        <w:rPr>
                          <w:rFonts w:cs="Arial"/>
                          <w:b/>
                        </w:rPr>
                      </w:pPr>
                    </w:p>
                    <w:p w14:paraId="1C11FF0B" w14:textId="77777777" w:rsidR="00355413" w:rsidRDefault="00355413" w:rsidP="00355413">
                      <w:r>
                        <w:rPr>
                          <w:rFonts w:cs="Arial"/>
                          <w:sz w:val="16"/>
                          <w:szCs w:val="16"/>
                        </w:rPr>
                        <w:t xml:space="preserve">Note: As a reminder, the </w:t>
                      </w:r>
                      <w:hyperlink r:id="rId329" w:history="1">
                        <w:r>
                          <w:rPr>
                            <w:rStyle w:val="Hyperlink"/>
                            <w:rFonts w:cs="Arial"/>
                            <w:sz w:val="16"/>
                            <w:szCs w:val="16"/>
                          </w:rPr>
                          <w:t>Corrections Period</w:t>
                        </w:r>
                      </w:hyperlink>
                      <w:r>
                        <w:rPr>
                          <w:rFonts w:cs="Arial"/>
                          <w:sz w:val="16"/>
                          <w:szCs w:val="16"/>
                        </w:rPr>
                        <w:t xml:space="preserve"> (December 1-January 31) is reserved for corrections to previously submitted Surveys only. </w:t>
                      </w:r>
                      <w:r>
                        <w:rPr>
                          <w:rFonts w:cs="Arial"/>
                          <w:bCs/>
                          <w:snapToGrid w:val="0"/>
                          <w:sz w:val="16"/>
                          <w:szCs w:val="16"/>
                        </w:rPr>
                        <w:t>Any updates made to reflect a change in performance must be made prior to the November 30 Late Submission and Performance Update Deadline. Updates made to reflect a change in performance after November 30 will not be scored or publicly reported.</w:t>
                      </w:r>
                    </w:p>
                  </w:txbxContent>
                </v:textbox>
                <w10:anchorlock/>
              </v:shape>
            </w:pict>
          </mc:Fallback>
        </mc:AlternateContent>
      </w:r>
    </w:p>
    <w:p w14:paraId="5D642F08" w14:textId="77777777" w:rsidR="00B5613E" w:rsidRDefault="00B5613E">
      <w:pPr>
        <w:rPr>
          <w:rFonts w:cs="Arial"/>
          <w:color w:val="000000"/>
        </w:rPr>
      </w:pPr>
    </w:p>
    <w:p w14:paraId="3AF42F0C" w14:textId="77777777" w:rsidR="00FE3125" w:rsidRPr="009A5185" w:rsidRDefault="00FE3125" w:rsidP="00FE3125">
      <w:pPr>
        <w:rPr>
          <w:rFonts w:cs="Arial"/>
          <w:i/>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5"/>
        <w:gridCol w:w="3035"/>
      </w:tblGrid>
      <w:tr w:rsidR="00016179" w:rsidRPr="005830D1" w14:paraId="47E6E690" w14:textId="77777777" w:rsidTr="00D73F6A">
        <w:trPr>
          <w:trHeight w:val="20"/>
          <w:jc w:val="center"/>
        </w:trPr>
        <w:tc>
          <w:tcPr>
            <w:tcW w:w="6325" w:type="dxa"/>
            <w:vAlign w:val="center"/>
          </w:tcPr>
          <w:p w14:paraId="70761087" w14:textId="682645AE" w:rsidR="00016179" w:rsidRPr="005830D1" w:rsidRDefault="00016179" w:rsidP="00AD309C">
            <w:pPr>
              <w:pStyle w:val="ListParagraph"/>
              <w:numPr>
                <w:ilvl w:val="0"/>
                <w:numId w:val="407"/>
              </w:numPr>
              <w:spacing w:before="120" w:after="120"/>
              <w:rPr>
                <w:rFonts w:cs="Arial"/>
              </w:rPr>
            </w:pPr>
            <w:r w:rsidRPr="005830D1">
              <w:rPr>
                <w:rFonts w:cs="Arial"/>
              </w:rPr>
              <w:t>W</w:t>
            </w:r>
            <w:r w:rsidRPr="005830D1">
              <w:rPr>
                <w:rFonts w:cs="Arial"/>
                <w:snapToGrid w:val="0"/>
                <w:color w:val="000000"/>
              </w:rPr>
              <w:t>hat is the latest 3-month reporting period for which your hospital is submitting responses to this section? 3 months ending:</w:t>
            </w:r>
          </w:p>
        </w:tc>
        <w:tc>
          <w:tcPr>
            <w:tcW w:w="3035" w:type="dxa"/>
            <w:vAlign w:val="center"/>
          </w:tcPr>
          <w:p w14:paraId="7C64F24A" w14:textId="77777777" w:rsidR="00016179" w:rsidRPr="005830D1" w:rsidRDefault="00016179" w:rsidP="00D73F6A">
            <w:pPr>
              <w:jc w:val="center"/>
              <w:rPr>
                <w:rFonts w:cs="Arial"/>
                <w:i/>
                <w:snapToGrid w:val="0"/>
              </w:rPr>
            </w:pPr>
            <w:r w:rsidRPr="005830D1">
              <w:rPr>
                <w:rFonts w:cs="Arial"/>
                <w:i/>
                <w:snapToGrid w:val="0"/>
              </w:rPr>
              <w:t>______</w:t>
            </w:r>
          </w:p>
          <w:p w14:paraId="47B00CC6" w14:textId="77777777" w:rsidR="00016179" w:rsidRPr="005830D1" w:rsidRDefault="00016179" w:rsidP="00D73F6A">
            <w:pPr>
              <w:jc w:val="center"/>
              <w:rPr>
                <w:rFonts w:cs="Arial"/>
                <w:i/>
                <w:snapToGrid w:val="0"/>
                <w:sz w:val="16"/>
                <w:szCs w:val="16"/>
              </w:rPr>
            </w:pPr>
            <w:r w:rsidRPr="005830D1">
              <w:rPr>
                <w:rFonts w:cs="Arial"/>
                <w:i/>
                <w:snapToGrid w:val="0"/>
                <w:sz w:val="16"/>
                <w:szCs w:val="16"/>
              </w:rPr>
              <w:t>Format: Month/Year</w:t>
            </w:r>
          </w:p>
        </w:tc>
      </w:tr>
      <w:tr w:rsidR="00016179" w:rsidRPr="005830D1" w14:paraId="0A279988" w14:textId="77777777" w:rsidTr="00D73F6A">
        <w:trPr>
          <w:trHeight w:val="3744"/>
          <w:jc w:val="center"/>
        </w:trPr>
        <w:tc>
          <w:tcPr>
            <w:tcW w:w="6325" w:type="dxa"/>
            <w:vAlign w:val="center"/>
          </w:tcPr>
          <w:p w14:paraId="00280BF7" w14:textId="522E5121" w:rsidR="00016179" w:rsidRPr="005830D1" w:rsidRDefault="00016179" w:rsidP="00AD309C">
            <w:pPr>
              <w:numPr>
                <w:ilvl w:val="0"/>
                <w:numId w:val="407"/>
              </w:numPr>
              <w:rPr>
                <w:rFonts w:cs="Arial"/>
              </w:rPr>
            </w:pPr>
            <w:r w:rsidRPr="005830D1">
              <w:rPr>
                <w:rFonts w:cs="Arial"/>
              </w:rPr>
              <w:t>Does your hospital operate any</w:t>
            </w:r>
            <w:r w:rsidR="00F9658C" w:rsidRPr="005830D1">
              <w:rPr>
                <w:rFonts w:cs="Arial"/>
              </w:rPr>
              <w:t xml:space="preserve"> pediatric</w:t>
            </w:r>
            <w:r w:rsidRPr="005830D1">
              <w:rPr>
                <w:rFonts w:cs="Arial"/>
              </w:rPr>
              <w:t xml:space="preserve"> </w:t>
            </w:r>
            <w:hyperlink w:anchor="generalmedicalsurgicalandneuroicu" w:history="1">
              <w:r w:rsidRPr="005830D1">
                <w:rPr>
                  <w:rStyle w:val="Hyperlink"/>
                  <w:rFonts w:cs="Arial"/>
                </w:rPr>
                <w:t>General Medical</w:t>
              </w:r>
              <w:r w:rsidR="00B72517">
                <w:rPr>
                  <w:rStyle w:val="Hyperlink"/>
                  <w:rFonts w:cs="Arial"/>
                </w:rPr>
                <w:t xml:space="preserve">, </w:t>
              </w:r>
              <w:r w:rsidRPr="005830D1">
                <w:rPr>
                  <w:rStyle w:val="Hyperlink"/>
                  <w:rFonts w:cs="Arial"/>
                </w:rPr>
                <w:t>Surgical</w:t>
              </w:r>
              <w:r w:rsidR="007905C3">
                <w:rPr>
                  <w:rStyle w:val="Hyperlink"/>
                  <w:rFonts w:cs="Arial"/>
                </w:rPr>
                <w:t xml:space="preserve">, Medical/Surgical, </w:t>
              </w:r>
              <w:r w:rsidR="00482B41" w:rsidRPr="005830D1">
                <w:rPr>
                  <w:rStyle w:val="Hyperlink"/>
                  <w:rFonts w:cs="Arial"/>
                </w:rPr>
                <w:t xml:space="preserve">or </w:t>
              </w:r>
              <w:r w:rsidRPr="005830D1">
                <w:rPr>
                  <w:rStyle w:val="Hyperlink"/>
                  <w:rFonts w:cs="Arial"/>
                </w:rPr>
                <w:t>Neuro ICUs</w:t>
              </w:r>
            </w:hyperlink>
            <w:r w:rsidRPr="005830D1">
              <w:rPr>
                <w:rStyle w:val="Hyperlink"/>
                <w:rFonts w:cs="Arial"/>
                <w:color w:val="auto"/>
                <w:u w:val="none"/>
                <w:vertAlign w:val="superscript"/>
              </w:rPr>
              <w:t>14</w:t>
            </w:r>
            <w:r w:rsidRPr="005830D1">
              <w:rPr>
                <w:rStyle w:val="Hyperlink"/>
                <w:rFonts w:cs="Arial"/>
                <w:color w:val="auto"/>
                <w:u w:val="none"/>
              </w:rPr>
              <w:t>?</w:t>
            </w:r>
            <w:r w:rsidRPr="005830D1">
              <w:rPr>
                <w:rFonts w:cs="Arial"/>
              </w:rPr>
              <w:br/>
            </w:r>
            <w:r w:rsidRPr="005830D1">
              <w:rPr>
                <w:rFonts w:cs="Arial"/>
              </w:rPr>
              <w:br/>
            </w:r>
            <w:r w:rsidRPr="005830D1">
              <w:rPr>
                <w:rFonts w:cs="Arial"/>
                <w:i/>
              </w:rPr>
              <w:t xml:space="preserve">If your hospital has more than one applicable </w:t>
            </w:r>
            <w:r w:rsidR="0040567A" w:rsidRPr="005830D1">
              <w:rPr>
                <w:rFonts w:cs="Arial"/>
                <w:i/>
              </w:rPr>
              <w:t xml:space="preserve">pediatric </w:t>
            </w:r>
            <w:r w:rsidRPr="005830D1">
              <w:rPr>
                <w:rFonts w:cs="Arial"/>
                <w:i/>
              </w:rPr>
              <w:t xml:space="preserve">ICU, respond to all questions in this section based on the </w:t>
            </w:r>
            <w:r w:rsidR="0040567A" w:rsidRPr="005830D1">
              <w:rPr>
                <w:rFonts w:cs="Arial"/>
                <w:i/>
              </w:rPr>
              <w:t xml:space="preserve">pediatric </w:t>
            </w:r>
            <w:r w:rsidRPr="005830D1">
              <w:rPr>
                <w:rFonts w:cs="Arial"/>
                <w:i/>
              </w:rPr>
              <w:t>ICU that has the lowest level of staffing by physicians certified in critical care medicine (</w:t>
            </w:r>
            <w:hyperlink w:anchor="generalmedicalsurgicalandneuroicu" w:history="1">
              <w:r w:rsidRPr="005830D1">
                <w:rPr>
                  <w:rStyle w:val="Hyperlink"/>
                  <w:rFonts w:cs="Arial"/>
                  <w:i/>
                </w:rPr>
                <w:t>More Information</w:t>
              </w:r>
            </w:hyperlink>
            <w:r w:rsidRPr="005830D1">
              <w:rPr>
                <w:rFonts w:cs="Arial"/>
                <w:i/>
                <w:vertAlign w:val="superscript"/>
              </w:rPr>
              <w:t>14)</w:t>
            </w:r>
            <w:r w:rsidRPr="005830D1">
              <w:rPr>
                <w:rFonts w:cs="Arial"/>
                <w:i/>
              </w:rPr>
              <w:t>.</w:t>
            </w:r>
            <w:r w:rsidRPr="005830D1">
              <w:rPr>
                <w:rFonts w:cs="Arial"/>
              </w:rPr>
              <w:br/>
            </w:r>
            <w:r w:rsidRPr="005830D1">
              <w:rPr>
                <w:rFonts w:cs="Arial"/>
              </w:rPr>
              <w:br/>
            </w:r>
            <w:r w:rsidRPr="005830D1">
              <w:rPr>
                <w:rFonts w:cs="Arial"/>
                <w:i/>
                <w:iCs/>
              </w:rPr>
              <w:t xml:space="preserve">If your hospital does not operate an applicable </w:t>
            </w:r>
            <w:r w:rsidR="00EE6DA7" w:rsidRPr="005830D1">
              <w:rPr>
                <w:rFonts w:cs="Arial"/>
                <w:i/>
              </w:rPr>
              <w:t xml:space="preserve">pediatric </w:t>
            </w:r>
            <w:r w:rsidRPr="005830D1">
              <w:rPr>
                <w:rFonts w:cs="Arial"/>
                <w:i/>
                <w:iCs/>
              </w:rPr>
              <w:t xml:space="preserve">ICU but regularly admits critical care </w:t>
            </w:r>
            <w:r w:rsidR="0039530E" w:rsidRPr="005830D1">
              <w:rPr>
                <w:rFonts w:cs="Arial"/>
                <w:i/>
              </w:rPr>
              <w:t xml:space="preserve">pediatric </w:t>
            </w:r>
            <w:r w:rsidRPr="005830D1">
              <w:rPr>
                <w:rFonts w:cs="Arial"/>
                <w:i/>
                <w:iCs/>
              </w:rPr>
              <w:t>patients to mixed acuity units, select “yes” and respond to the remaining questions in Section 5</w:t>
            </w:r>
            <w:r w:rsidR="00DB1011">
              <w:rPr>
                <w:rFonts w:cs="Arial"/>
                <w:i/>
                <w:iCs/>
              </w:rPr>
              <w:t>B</w:t>
            </w:r>
            <w:r w:rsidRPr="005830D1">
              <w:rPr>
                <w:rFonts w:cs="Arial"/>
                <w:i/>
                <w:iCs/>
              </w:rPr>
              <w:t xml:space="preserve">. </w:t>
            </w:r>
          </w:p>
          <w:p w14:paraId="1B5FBA8E" w14:textId="77777777" w:rsidR="00016179" w:rsidRPr="005830D1" w:rsidRDefault="00016179" w:rsidP="00D73F6A">
            <w:pPr>
              <w:ind w:left="360"/>
              <w:rPr>
                <w:rFonts w:cs="Arial"/>
              </w:rPr>
            </w:pPr>
          </w:p>
          <w:p w14:paraId="4284996D" w14:textId="26724C58" w:rsidR="00016179" w:rsidRPr="005830D1" w:rsidRDefault="00016179" w:rsidP="00D73F6A">
            <w:pPr>
              <w:ind w:left="360"/>
              <w:rPr>
                <w:rFonts w:cs="Arial"/>
                <w:i/>
              </w:rPr>
            </w:pPr>
            <w:r w:rsidRPr="005830D1">
              <w:rPr>
                <w:rFonts w:cs="Arial"/>
                <w:i/>
              </w:rPr>
              <w:t>If “no” to question #2, skip the remaining questions in Section 5</w:t>
            </w:r>
            <w:r w:rsidR="0039530E" w:rsidRPr="005830D1">
              <w:rPr>
                <w:rFonts w:cs="Arial"/>
                <w:i/>
              </w:rPr>
              <w:t>B</w:t>
            </w:r>
            <w:r w:rsidRPr="005830D1">
              <w:rPr>
                <w:rFonts w:cs="Arial"/>
                <w:i/>
              </w:rPr>
              <w:t xml:space="preserve"> and </w:t>
            </w:r>
            <w:r w:rsidR="00CD2F26" w:rsidRPr="005830D1">
              <w:rPr>
                <w:rFonts w:cs="Arial"/>
                <w:i/>
              </w:rPr>
              <w:t>continue</w:t>
            </w:r>
            <w:r w:rsidRPr="005830D1">
              <w:rPr>
                <w:rFonts w:cs="Arial"/>
                <w:i/>
              </w:rPr>
              <w:t xml:space="preserve"> to </w:t>
            </w:r>
            <w:r w:rsidR="0008359D" w:rsidRPr="005830D1">
              <w:rPr>
                <w:rFonts w:cs="Arial"/>
                <w:i/>
              </w:rPr>
              <w:t>the next subsection</w:t>
            </w:r>
            <w:r w:rsidRPr="005830D1">
              <w:rPr>
                <w:rFonts w:cs="Arial"/>
                <w:i/>
              </w:rPr>
              <w:t>. The hospital will be scored as “Does Not Apply.”</w:t>
            </w:r>
          </w:p>
        </w:tc>
        <w:tc>
          <w:tcPr>
            <w:tcW w:w="3035" w:type="dxa"/>
            <w:vAlign w:val="center"/>
          </w:tcPr>
          <w:p w14:paraId="73FEC987" w14:textId="77777777" w:rsidR="00016179" w:rsidRPr="005830D1" w:rsidRDefault="00016179" w:rsidP="00AD309C">
            <w:pPr>
              <w:pStyle w:val="ListParagraph"/>
              <w:numPr>
                <w:ilvl w:val="0"/>
                <w:numId w:val="341"/>
              </w:numPr>
              <w:rPr>
                <w:rFonts w:cs="Arial"/>
                <w:iCs/>
              </w:rPr>
            </w:pPr>
            <w:r w:rsidRPr="005830D1">
              <w:rPr>
                <w:rFonts w:cs="Arial"/>
                <w:iCs/>
              </w:rPr>
              <w:t>Yes</w:t>
            </w:r>
          </w:p>
          <w:p w14:paraId="10864592" w14:textId="77777777" w:rsidR="00016179" w:rsidRPr="005830D1" w:rsidRDefault="00016179" w:rsidP="00AD309C">
            <w:pPr>
              <w:pStyle w:val="ListParagraph"/>
              <w:numPr>
                <w:ilvl w:val="0"/>
                <w:numId w:val="341"/>
              </w:numPr>
              <w:rPr>
                <w:rFonts w:cs="Arial"/>
                <w:iCs/>
              </w:rPr>
            </w:pPr>
            <w:r w:rsidRPr="005830D1">
              <w:rPr>
                <w:rFonts w:cs="Arial"/>
                <w:iCs/>
              </w:rPr>
              <w:t>No</w:t>
            </w:r>
          </w:p>
        </w:tc>
      </w:tr>
      <w:tr w:rsidR="00016179" w:rsidRPr="005830D1" w14:paraId="67786989" w14:textId="77777777" w:rsidTr="00D73F6A">
        <w:trPr>
          <w:trHeight w:val="1440"/>
          <w:jc w:val="center"/>
        </w:trPr>
        <w:tc>
          <w:tcPr>
            <w:tcW w:w="6325" w:type="dxa"/>
            <w:vAlign w:val="center"/>
          </w:tcPr>
          <w:p w14:paraId="2C399F52" w14:textId="42493083" w:rsidR="00016179" w:rsidRPr="005830D1" w:rsidRDefault="00016179" w:rsidP="00AD309C">
            <w:pPr>
              <w:numPr>
                <w:ilvl w:val="0"/>
                <w:numId w:val="407"/>
              </w:numPr>
              <w:rPr>
                <w:rFonts w:cs="Arial"/>
              </w:rPr>
            </w:pPr>
            <w:r w:rsidRPr="005830D1">
              <w:rPr>
                <w:rFonts w:cs="Arial"/>
              </w:rPr>
              <w:lastRenderedPageBreak/>
              <w:t xml:space="preserve">Is the ICU staffed with physicians who are </w:t>
            </w:r>
            <w:hyperlink w:anchor="Endnote25_Certified" w:history="1">
              <w:r w:rsidRPr="005830D1">
                <w:rPr>
                  <w:rStyle w:val="Hyperlink"/>
                  <w:rFonts w:cs="Arial"/>
                </w:rPr>
                <w:t>certified in critical care medicine</w:t>
              </w:r>
            </w:hyperlink>
            <w:r w:rsidRPr="005830D1">
              <w:rPr>
                <w:rFonts w:cs="Arial"/>
                <w:vertAlign w:val="superscript"/>
              </w:rPr>
              <w:fldChar w:fldCharType="begin"/>
            </w:r>
            <w:r w:rsidRPr="005830D1">
              <w:rPr>
                <w:rStyle w:val="Hyperlink"/>
                <w:rFonts w:cs="Arial"/>
              </w:rPr>
              <w:instrText xml:space="preserve"> NOTEREF _Ref534212273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36</w:t>
            </w:r>
            <w:r w:rsidRPr="005830D1">
              <w:rPr>
                <w:rFonts w:cs="Arial"/>
                <w:vertAlign w:val="superscript"/>
              </w:rPr>
              <w:fldChar w:fldCharType="end"/>
            </w:r>
            <w:r w:rsidRPr="005830D1">
              <w:rPr>
                <w:rFonts w:cs="Arial"/>
                <w:vertAlign w:val="superscript"/>
              </w:rPr>
              <w:t xml:space="preserve"> </w:t>
            </w:r>
            <w:r w:rsidRPr="005830D1">
              <w:rPr>
                <w:rFonts w:cs="Arial"/>
              </w:rPr>
              <w:t>and present on-site or via telemedicine?</w:t>
            </w:r>
          </w:p>
          <w:p w14:paraId="39A1C702" w14:textId="77777777" w:rsidR="00016179" w:rsidRPr="005830D1" w:rsidRDefault="00016179" w:rsidP="00D73F6A">
            <w:pPr>
              <w:ind w:left="360"/>
              <w:rPr>
                <w:rFonts w:cs="Arial"/>
              </w:rPr>
            </w:pPr>
          </w:p>
          <w:p w14:paraId="0E5C76BD" w14:textId="018FBA80" w:rsidR="00016179" w:rsidRPr="005830D1" w:rsidRDefault="00016179" w:rsidP="00D73F6A">
            <w:pPr>
              <w:ind w:left="360"/>
              <w:rPr>
                <w:rFonts w:cs="Arial"/>
              </w:rPr>
            </w:pPr>
            <w:r w:rsidRPr="005830D1">
              <w:rPr>
                <w:rFonts w:cs="Arial"/>
                <w:i/>
              </w:rPr>
              <w:t>If “no</w:t>
            </w:r>
            <w:r w:rsidR="00B70108">
              <w:rPr>
                <w:rFonts w:cs="Arial"/>
                <w:i/>
              </w:rPr>
              <w:t>, the ICU is not staffed with any physicians certified in critical care medicine</w:t>
            </w:r>
            <w:r w:rsidRPr="005830D1">
              <w:rPr>
                <w:rFonts w:cs="Arial"/>
                <w:i/>
              </w:rPr>
              <w:t>” to question #3, skip the remaining questions in Section 5</w:t>
            </w:r>
            <w:r w:rsidR="00A5006A" w:rsidRPr="005830D1">
              <w:rPr>
                <w:rFonts w:cs="Arial"/>
                <w:i/>
              </w:rPr>
              <w:t>B</w:t>
            </w:r>
            <w:r w:rsidRPr="005830D1">
              <w:rPr>
                <w:rFonts w:cs="Arial"/>
                <w:i/>
              </w:rPr>
              <w:t xml:space="preserve"> and </w:t>
            </w:r>
            <w:r w:rsidR="00CD2F26" w:rsidRPr="005830D1">
              <w:rPr>
                <w:rFonts w:cs="Arial"/>
                <w:i/>
              </w:rPr>
              <w:t>continue</w:t>
            </w:r>
            <w:r w:rsidRPr="005830D1">
              <w:rPr>
                <w:rFonts w:cs="Arial"/>
                <w:i/>
              </w:rPr>
              <w:t xml:space="preserve"> to </w:t>
            </w:r>
            <w:r w:rsidR="00CD2F26" w:rsidRPr="005830D1">
              <w:rPr>
                <w:rFonts w:cs="Arial"/>
                <w:i/>
              </w:rPr>
              <w:t>the next subsection</w:t>
            </w:r>
            <w:r w:rsidRPr="005830D1">
              <w:rPr>
                <w:rFonts w:cs="Arial"/>
                <w:i/>
              </w:rPr>
              <w:t>. This hospital will be scored as “Limited Achievement.”</w:t>
            </w:r>
          </w:p>
        </w:tc>
        <w:tc>
          <w:tcPr>
            <w:tcW w:w="3035" w:type="dxa"/>
            <w:vAlign w:val="center"/>
          </w:tcPr>
          <w:p w14:paraId="0C43F06D" w14:textId="77777777" w:rsidR="00016179" w:rsidRPr="005830D1" w:rsidRDefault="00016179" w:rsidP="00AD309C">
            <w:pPr>
              <w:pStyle w:val="ListParagraph"/>
              <w:numPr>
                <w:ilvl w:val="0"/>
                <w:numId w:val="341"/>
              </w:numPr>
              <w:rPr>
                <w:rFonts w:cs="Arial"/>
                <w:iCs/>
              </w:rPr>
            </w:pPr>
            <w:r w:rsidRPr="005830D1">
              <w:rPr>
                <w:rFonts w:cs="Arial"/>
                <w:iCs/>
              </w:rPr>
              <w:t>Yes, the ICU is staffed with physicians certified in critical care medicine</w:t>
            </w:r>
          </w:p>
          <w:p w14:paraId="256B4F2E" w14:textId="77777777" w:rsidR="00016179" w:rsidRPr="005830D1" w:rsidRDefault="00016179" w:rsidP="00AD309C">
            <w:pPr>
              <w:pStyle w:val="ListParagraph"/>
              <w:numPr>
                <w:ilvl w:val="0"/>
                <w:numId w:val="341"/>
              </w:numPr>
              <w:rPr>
                <w:rFonts w:cs="Arial"/>
                <w:iCs/>
              </w:rPr>
            </w:pPr>
            <w:r w:rsidRPr="005830D1">
              <w:rPr>
                <w:rFonts w:cs="Arial"/>
                <w:iCs/>
              </w:rPr>
              <w:t>Yes, the ICU is staffed with physicians certified in critical care medicine based on Leapfrog’s expanded definition</w:t>
            </w:r>
          </w:p>
          <w:p w14:paraId="20C9596D" w14:textId="77777777" w:rsidR="00016179" w:rsidRPr="005830D1" w:rsidRDefault="00016179" w:rsidP="00AD309C">
            <w:pPr>
              <w:pStyle w:val="ListParagraph"/>
              <w:numPr>
                <w:ilvl w:val="0"/>
                <w:numId w:val="341"/>
              </w:numPr>
              <w:rPr>
                <w:rFonts w:cs="Arial"/>
                <w:iCs/>
              </w:rPr>
            </w:pPr>
            <w:r w:rsidRPr="005830D1">
              <w:rPr>
                <w:rFonts w:cs="Arial"/>
                <w:iCs/>
              </w:rPr>
              <w:t>No, the ICU is not staffed with any physicians certified in critical care medicine</w:t>
            </w:r>
          </w:p>
        </w:tc>
      </w:tr>
      <w:tr w:rsidR="00016179" w:rsidRPr="005830D1" w14:paraId="26497FBC" w14:textId="77777777" w:rsidTr="00D73F6A">
        <w:trPr>
          <w:trHeight w:val="1872"/>
          <w:jc w:val="center"/>
        </w:trPr>
        <w:tc>
          <w:tcPr>
            <w:tcW w:w="6325" w:type="dxa"/>
            <w:vAlign w:val="center"/>
          </w:tcPr>
          <w:p w14:paraId="11759CCA" w14:textId="2D3ABF50" w:rsidR="00016179" w:rsidRPr="005830D1" w:rsidRDefault="00016179" w:rsidP="00AD309C">
            <w:pPr>
              <w:numPr>
                <w:ilvl w:val="0"/>
                <w:numId w:val="407"/>
              </w:numPr>
              <w:rPr>
                <w:rFonts w:cs="Arial"/>
              </w:rPr>
            </w:pPr>
            <w:r w:rsidRPr="005830D1">
              <w:rPr>
                <w:rFonts w:cs="Arial"/>
              </w:rPr>
              <w:t xml:space="preserve">Do the physicians who are </w:t>
            </w:r>
            <w:hyperlink w:anchor="Endnote25_Certified" w:history="1">
              <w:r w:rsidRPr="005830D1">
                <w:rPr>
                  <w:rStyle w:val="Hyperlink"/>
                  <w:rFonts w:cs="Arial"/>
                </w:rPr>
                <w:t>certified in critical care medicine</w:t>
              </w:r>
            </w:hyperlink>
            <w:r w:rsidRPr="005830D1">
              <w:rPr>
                <w:rFonts w:cs="Arial"/>
                <w:vertAlign w:val="superscript"/>
              </w:rPr>
              <w:fldChar w:fldCharType="begin"/>
            </w:r>
            <w:r w:rsidRPr="005830D1">
              <w:rPr>
                <w:rStyle w:val="Hyperlink"/>
                <w:rFonts w:cs="Arial"/>
              </w:rPr>
              <w:instrText xml:space="preserve"> NOTEREF _Ref534212273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36</w:t>
            </w:r>
            <w:r w:rsidRPr="005830D1">
              <w:rPr>
                <w:rFonts w:cs="Arial"/>
                <w:vertAlign w:val="superscript"/>
              </w:rPr>
              <w:fldChar w:fldCharType="end"/>
            </w:r>
            <w:r w:rsidRPr="005830D1">
              <w:rPr>
                <w:rFonts w:cs="Arial"/>
              </w:rPr>
              <w:t xml:space="preserve"> (whether present on-site or via telemedicine) manage or co-manage </w:t>
            </w:r>
            <w:hyperlink w:anchor="Endnote22_CCPatients" w:history="1">
              <w:r w:rsidRPr="005830D1">
                <w:rPr>
                  <w:rStyle w:val="Hyperlink"/>
                  <w:rFonts w:cs="Arial"/>
                </w:rPr>
                <w:t>all</w:t>
              </w:r>
              <w:r w:rsidRPr="005830D1">
                <w:rPr>
                  <w:rStyle w:val="Hyperlink"/>
                  <w:rFonts w:cs="Arial"/>
                  <w:b/>
                  <w:bCs/>
                </w:rPr>
                <w:t xml:space="preserve"> </w:t>
              </w:r>
              <w:r w:rsidRPr="005830D1">
                <w:rPr>
                  <w:rStyle w:val="Hyperlink"/>
                  <w:rFonts w:cs="Arial"/>
                </w:rPr>
                <w:t>critical care patients</w:t>
              </w:r>
            </w:hyperlink>
            <w:r w:rsidRPr="005830D1">
              <w:rPr>
                <w:rFonts w:cs="Arial"/>
              </w:rPr>
              <w:fldChar w:fldCharType="begin"/>
            </w:r>
            <w:r w:rsidRPr="005830D1">
              <w:rPr>
                <w:rFonts w:cs="Arial"/>
              </w:rPr>
              <w:instrText xml:space="preserve"> NOTEREF _Ref534212310 \f \h  \* MERGEFORMAT </w:instrText>
            </w:r>
            <w:r w:rsidRPr="005830D1">
              <w:rPr>
                <w:rFonts w:cs="Arial"/>
              </w:rPr>
            </w:r>
            <w:r w:rsidRPr="005830D1">
              <w:rPr>
                <w:rFonts w:cs="Arial"/>
              </w:rPr>
              <w:fldChar w:fldCharType="separate"/>
            </w:r>
            <w:r w:rsidR="007D53A2" w:rsidRPr="00A012EC">
              <w:rPr>
                <w:rStyle w:val="EndnoteReference"/>
              </w:rPr>
              <w:t>34</w:t>
            </w:r>
            <w:r w:rsidRPr="005830D1">
              <w:rPr>
                <w:rFonts w:cs="Arial"/>
              </w:rPr>
              <w:fldChar w:fldCharType="end"/>
            </w:r>
            <w:r w:rsidRPr="005830D1">
              <w:rPr>
                <w:rFonts w:cs="Arial"/>
              </w:rPr>
              <w:t xml:space="preserve"> in the ICU?</w:t>
            </w:r>
          </w:p>
          <w:p w14:paraId="680CBA10" w14:textId="77777777" w:rsidR="00016179" w:rsidRPr="005830D1" w:rsidRDefault="00016179" w:rsidP="00D73F6A">
            <w:pPr>
              <w:ind w:left="360"/>
              <w:rPr>
                <w:rFonts w:cs="Arial"/>
              </w:rPr>
            </w:pPr>
          </w:p>
          <w:p w14:paraId="4B4AD8FE" w14:textId="77777777" w:rsidR="00016179" w:rsidRPr="005830D1" w:rsidRDefault="00016179" w:rsidP="00D73F6A">
            <w:pPr>
              <w:ind w:left="360"/>
              <w:rPr>
                <w:rFonts w:cs="Arial"/>
              </w:rPr>
            </w:pPr>
            <w:r w:rsidRPr="005830D1">
              <w:rPr>
                <w:rFonts w:cs="Arial"/>
                <w:i/>
              </w:rPr>
              <w:t>If “no” to question #4, skip questions #5-11 and continue to question #12.</w:t>
            </w:r>
          </w:p>
        </w:tc>
        <w:tc>
          <w:tcPr>
            <w:tcW w:w="3035" w:type="dxa"/>
            <w:vAlign w:val="center"/>
          </w:tcPr>
          <w:p w14:paraId="117378AB" w14:textId="77777777" w:rsidR="00016179" w:rsidRPr="005830D1" w:rsidRDefault="00016179" w:rsidP="00AD309C">
            <w:pPr>
              <w:pStyle w:val="ListParagraph"/>
              <w:numPr>
                <w:ilvl w:val="0"/>
                <w:numId w:val="341"/>
              </w:numPr>
              <w:rPr>
                <w:rFonts w:cs="Arial"/>
                <w:iCs/>
              </w:rPr>
            </w:pPr>
            <w:r w:rsidRPr="005830D1">
              <w:rPr>
                <w:rFonts w:cs="Arial"/>
                <w:iCs/>
              </w:rPr>
              <w:t>Yes, all patients are managed or co-managed by a physician certified in critical care medicine when the physician is present (on-site or via telemedicine)</w:t>
            </w:r>
          </w:p>
          <w:p w14:paraId="15E8FD48" w14:textId="77777777" w:rsidR="00016179" w:rsidRPr="005830D1" w:rsidRDefault="00016179" w:rsidP="00AD309C">
            <w:pPr>
              <w:pStyle w:val="ListParagraph"/>
              <w:numPr>
                <w:ilvl w:val="0"/>
                <w:numId w:val="341"/>
              </w:numPr>
              <w:rPr>
                <w:rFonts w:cs="Arial"/>
                <w:iCs/>
              </w:rPr>
            </w:pPr>
            <w:r w:rsidRPr="005830D1">
              <w:rPr>
                <w:rFonts w:cs="Arial"/>
                <w:iCs/>
              </w:rPr>
              <w:t>No, not all patients are managed or co-managed by a physician certified in critical care medicine when the physician is present (on-site or via telemedicine)</w:t>
            </w:r>
          </w:p>
        </w:tc>
      </w:tr>
      <w:tr w:rsidR="00016179" w:rsidRPr="005830D1" w14:paraId="213E4D72" w14:textId="77777777" w:rsidTr="00D73F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60" w:type="dxa"/>
            <w:gridSpan w:val="2"/>
          </w:tcPr>
          <w:p w14:paraId="6CB61B32" w14:textId="77777777" w:rsidR="00016179" w:rsidRPr="005830D1" w:rsidRDefault="00016179" w:rsidP="00D73F6A">
            <w:pPr>
              <w:pStyle w:val="Header"/>
              <w:tabs>
                <w:tab w:val="clear" w:pos="4320"/>
                <w:tab w:val="clear" w:pos="8640"/>
              </w:tabs>
              <w:rPr>
                <w:rFonts w:cs="Arial"/>
                <w:i/>
              </w:rPr>
            </w:pPr>
          </w:p>
        </w:tc>
      </w:tr>
    </w:tbl>
    <w:p w14:paraId="6E2DC0B0" w14:textId="77777777" w:rsidR="00016179" w:rsidRPr="005830D1" w:rsidRDefault="00016179" w:rsidP="00016179">
      <w:pPr>
        <w:rPr>
          <w:rFonts w:cs="Arial"/>
          <w:i/>
          <w:iCs/>
        </w:rPr>
      </w:pPr>
      <w:r w:rsidRPr="005830D1">
        <w:rPr>
          <w:rFonts w:cs="Arial"/>
          <w:i/>
          <w:iCs/>
        </w:rPr>
        <w:t xml:space="preserve">There are currently </w:t>
      </w:r>
      <w:hyperlink r:id="rId330" w:history="1">
        <w:r w:rsidRPr="005830D1">
          <w:rPr>
            <w:rStyle w:val="Hyperlink"/>
            <w:rFonts w:cs="Arial"/>
            <w:i/>
            <w:iCs/>
          </w:rPr>
          <w:t>two different options</w:t>
        </w:r>
      </w:hyperlink>
      <w:r w:rsidRPr="005830D1">
        <w:rPr>
          <w:rFonts w:cs="Arial"/>
          <w:i/>
          <w:iCs/>
        </w:rPr>
        <w:t xml:space="preserve"> to achieve Leapfrog’s ICU Physician Staffing Standard: on-site intensivist coverage for 8 hours a day/7 days per week or 24/7 tele-intensivist coverage with some daily on-site intensivist coverage. Questions #5 and #6 are meant to differentiate between these two options; however, they are both worth the same credit. Hospitals that have 24/7 </w:t>
      </w:r>
      <w:r w:rsidRPr="005830D1">
        <w:rPr>
          <w:rFonts w:cs="Arial"/>
          <w:b/>
          <w:bCs/>
          <w:i/>
          <w:iCs/>
        </w:rPr>
        <w:t xml:space="preserve">on-site </w:t>
      </w:r>
      <w:r w:rsidRPr="005830D1">
        <w:rPr>
          <w:rFonts w:cs="Arial"/>
          <w:i/>
          <w:iCs/>
        </w:rPr>
        <w:t>intensivist coverage, and who meet all the criteria listed, should respond “yes” to question #5.</w:t>
      </w:r>
    </w:p>
    <w:p w14:paraId="6C461B91" w14:textId="77777777" w:rsidR="00016179" w:rsidRPr="005830D1" w:rsidRDefault="00016179" w:rsidP="00016179">
      <w:pPr>
        <w:rPr>
          <w:rFonts w:cs="Arial"/>
        </w:rPr>
      </w:pP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90"/>
        <w:gridCol w:w="2192"/>
      </w:tblGrid>
      <w:tr w:rsidR="00016179" w:rsidRPr="005830D1" w14:paraId="2707FD4B" w14:textId="77777777" w:rsidTr="00D73F6A">
        <w:trPr>
          <w:trHeight w:val="2016"/>
          <w:jc w:val="center"/>
        </w:trPr>
        <w:tc>
          <w:tcPr>
            <w:tcW w:w="7290" w:type="dxa"/>
            <w:vAlign w:val="center"/>
          </w:tcPr>
          <w:p w14:paraId="589C7ECA" w14:textId="33FA6C83" w:rsidR="00016179" w:rsidRPr="005830D1" w:rsidRDefault="00016179" w:rsidP="00AD309C">
            <w:pPr>
              <w:pStyle w:val="Header"/>
              <w:numPr>
                <w:ilvl w:val="0"/>
                <w:numId w:val="407"/>
              </w:numPr>
              <w:rPr>
                <w:rFonts w:cs="Arial"/>
              </w:rPr>
            </w:pPr>
            <w:r w:rsidRPr="005830D1">
              <w:rPr>
                <w:rFonts w:cs="Arial"/>
              </w:rPr>
              <w:t xml:space="preserve">Are </w:t>
            </w:r>
            <w:hyperlink w:anchor="Endnote22_CCPatients" w:history="1">
              <w:r w:rsidRPr="005830D1">
                <w:rPr>
                  <w:rStyle w:val="Hyperlink"/>
                  <w:rFonts w:cs="Arial"/>
                </w:rPr>
                <w:t>all critical care patients</w:t>
              </w:r>
            </w:hyperlink>
            <w:r w:rsidRPr="005830D1">
              <w:rPr>
                <w:vertAlign w:val="superscript"/>
              </w:rPr>
              <w:fldChar w:fldCharType="begin"/>
            </w:r>
            <w:r w:rsidRPr="005830D1">
              <w:rPr>
                <w:rStyle w:val="Hyperlink"/>
                <w:rFonts w:cs="Arial"/>
              </w:rPr>
              <w:instrText xml:space="preserve"> NOTEREF _Ref534212310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34</w:t>
            </w:r>
            <w:r w:rsidRPr="005830D1">
              <w:rPr>
                <w:vertAlign w:val="superscript"/>
              </w:rPr>
              <w:fldChar w:fldCharType="end"/>
            </w:r>
            <w:r w:rsidRPr="005830D1">
              <w:rPr>
                <w:rFonts w:cs="Arial"/>
              </w:rPr>
              <w:t xml:space="preserve"> in the ICU </w:t>
            </w:r>
            <w:hyperlink w:anchor="Endnote24_Manage" w:history="1">
              <w:r w:rsidRPr="005830D1">
                <w:rPr>
                  <w:rStyle w:val="Hyperlink"/>
                  <w:rFonts w:cs="Arial"/>
                </w:rPr>
                <w:t>managed or co-managed</w:t>
              </w:r>
            </w:hyperlink>
            <w:r w:rsidRPr="005830D1">
              <w:rPr>
                <w:rFonts w:cs="Arial"/>
                <w:vertAlign w:val="superscript"/>
              </w:rPr>
              <w:fldChar w:fldCharType="begin"/>
            </w:r>
            <w:r w:rsidRPr="005830D1">
              <w:rPr>
                <w:rStyle w:val="Hyperlink"/>
                <w:rFonts w:cs="Arial"/>
              </w:rPr>
              <w:instrText xml:space="preserve"> NOTEREF _Ref91167015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35</w:t>
            </w:r>
            <w:r w:rsidRPr="005830D1">
              <w:rPr>
                <w:rFonts w:cs="Arial"/>
                <w:vertAlign w:val="superscript"/>
              </w:rPr>
              <w:fldChar w:fldCharType="end"/>
            </w:r>
            <w:r w:rsidRPr="005830D1">
              <w:rPr>
                <w:rFonts w:cs="Arial"/>
              </w:rPr>
              <w:t xml:space="preserve"> by one or more physicians </w:t>
            </w:r>
            <w:hyperlink w:anchor="Endnote25_Certified" w:history="1">
              <w:r w:rsidRPr="005830D1">
                <w:rPr>
                  <w:rStyle w:val="Hyperlink"/>
                  <w:rFonts w:cs="Arial"/>
                </w:rPr>
                <w:t>certified in critical care medicine</w:t>
              </w:r>
            </w:hyperlink>
            <w:r w:rsidRPr="005830D1">
              <w:rPr>
                <w:rFonts w:cs="Arial"/>
                <w:vertAlign w:val="superscript"/>
              </w:rPr>
              <w:fldChar w:fldCharType="begin"/>
            </w:r>
            <w:r w:rsidRPr="005830D1">
              <w:rPr>
                <w:rStyle w:val="Hyperlink"/>
                <w:rFonts w:cs="Arial"/>
              </w:rPr>
              <w:instrText xml:space="preserve"> NOTEREF _Ref534212273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36</w:t>
            </w:r>
            <w:r w:rsidRPr="005830D1">
              <w:rPr>
                <w:rFonts w:cs="Arial"/>
                <w:vertAlign w:val="superscript"/>
              </w:rPr>
              <w:fldChar w:fldCharType="end"/>
            </w:r>
            <w:r w:rsidRPr="005830D1">
              <w:rPr>
                <w:rFonts w:cs="Arial"/>
              </w:rPr>
              <w:t xml:space="preserve"> who meet </w:t>
            </w:r>
            <w:r w:rsidRPr="005830D1">
              <w:rPr>
                <w:rFonts w:cs="Arial"/>
                <w:b/>
              </w:rPr>
              <w:t>all</w:t>
            </w:r>
            <w:r w:rsidRPr="005830D1">
              <w:rPr>
                <w:rFonts w:cs="Arial"/>
              </w:rPr>
              <w:t xml:space="preserve"> the following criteria:</w:t>
            </w:r>
          </w:p>
          <w:p w14:paraId="06B8E1A1" w14:textId="29219D35" w:rsidR="00016179" w:rsidRPr="005830D1" w:rsidRDefault="00016179" w:rsidP="00AD309C">
            <w:pPr>
              <w:pStyle w:val="Header"/>
              <w:numPr>
                <w:ilvl w:val="0"/>
                <w:numId w:val="67"/>
              </w:numPr>
              <w:tabs>
                <w:tab w:val="clear" w:pos="4320"/>
                <w:tab w:val="clear" w:pos="8640"/>
              </w:tabs>
              <w:rPr>
                <w:rFonts w:cs="Arial"/>
              </w:rPr>
            </w:pPr>
            <w:hyperlink w:anchor="Endnote26_Present" w:history="1">
              <w:r w:rsidRPr="005830D1">
                <w:rPr>
                  <w:rStyle w:val="Hyperlink"/>
                  <w:rFonts w:cs="Arial"/>
                </w:rPr>
                <w:t>ordinarily present</w:t>
              </w:r>
            </w:hyperlink>
            <w:r w:rsidRPr="005830D1">
              <w:rPr>
                <w:vertAlign w:val="superscript"/>
              </w:rPr>
              <w:fldChar w:fldCharType="begin"/>
            </w:r>
            <w:r w:rsidRPr="005830D1">
              <w:rPr>
                <w:rStyle w:val="Hyperlink"/>
                <w:rFonts w:cs="Arial"/>
              </w:rPr>
              <w:instrText xml:space="preserve"> NOTEREF _Ref91166304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37</w:t>
            </w:r>
            <w:r w:rsidRPr="005830D1">
              <w:rPr>
                <w:vertAlign w:val="superscript"/>
              </w:rPr>
              <w:fldChar w:fldCharType="end"/>
            </w:r>
            <w:r w:rsidRPr="005830D1">
              <w:rPr>
                <w:rFonts w:cs="Arial"/>
              </w:rPr>
              <w:t xml:space="preserve"> </w:t>
            </w:r>
            <w:r w:rsidRPr="005830D1">
              <w:rPr>
                <w:rFonts w:cs="Arial"/>
                <w:b/>
                <w:bCs/>
              </w:rPr>
              <w:t>on-site</w:t>
            </w:r>
            <w:r w:rsidRPr="005830D1">
              <w:rPr>
                <w:rFonts w:cs="Arial"/>
              </w:rPr>
              <w:t xml:space="preserve"> in the ICU during daytime hours;</w:t>
            </w:r>
          </w:p>
          <w:p w14:paraId="7DB49395" w14:textId="77777777" w:rsidR="00016179" w:rsidRPr="005830D1" w:rsidRDefault="00016179" w:rsidP="00AD309C">
            <w:pPr>
              <w:pStyle w:val="Header"/>
              <w:numPr>
                <w:ilvl w:val="0"/>
                <w:numId w:val="67"/>
              </w:numPr>
              <w:tabs>
                <w:tab w:val="clear" w:pos="4320"/>
                <w:tab w:val="clear" w:pos="8640"/>
              </w:tabs>
              <w:rPr>
                <w:rFonts w:cs="Arial"/>
              </w:rPr>
            </w:pPr>
            <w:r w:rsidRPr="005830D1">
              <w:rPr>
                <w:rFonts w:cs="Arial"/>
              </w:rPr>
              <w:t xml:space="preserve">for at least </w:t>
            </w:r>
            <w:r w:rsidRPr="005830D1">
              <w:rPr>
                <w:rFonts w:cs="Arial"/>
                <w:b/>
              </w:rPr>
              <w:t>8 hours per day, 7 days per week</w:t>
            </w:r>
            <w:r w:rsidRPr="005830D1">
              <w:rPr>
                <w:rFonts w:cs="Arial"/>
                <w:bCs/>
              </w:rPr>
              <w:t>; and</w:t>
            </w:r>
          </w:p>
          <w:p w14:paraId="138EC0E1" w14:textId="0998B5E7" w:rsidR="00016179" w:rsidRPr="005830D1" w:rsidRDefault="00016179" w:rsidP="00AD309C">
            <w:pPr>
              <w:pStyle w:val="Header"/>
              <w:numPr>
                <w:ilvl w:val="0"/>
                <w:numId w:val="67"/>
              </w:numPr>
              <w:tabs>
                <w:tab w:val="clear" w:pos="4320"/>
                <w:tab w:val="clear" w:pos="8640"/>
              </w:tabs>
              <w:rPr>
                <w:rFonts w:cs="Arial"/>
              </w:rPr>
            </w:pPr>
            <w:r w:rsidRPr="005830D1">
              <w:rPr>
                <w:rFonts w:cs="Arial"/>
              </w:rPr>
              <w:t xml:space="preserve">providing clinical care </w:t>
            </w:r>
            <w:hyperlink w:anchor="Endnote26_Present" w:history="1">
              <w:r w:rsidRPr="005830D1">
                <w:rPr>
                  <w:rStyle w:val="Hyperlink"/>
                  <w:rFonts w:cs="Arial"/>
                </w:rPr>
                <w:t>exclusively</w:t>
              </w:r>
            </w:hyperlink>
            <w:r w:rsidRPr="005830D1">
              <w:rPr>
                <w:rFonts w:cs="Arial"/>
                <w:vertAlign w:val="superscript"/>
              </w:rPr>
              <w:fldChar w:fldCharType="begin"/>
            </w:r>
            <w:r w:rsidRPr="005830D1">
              <w:rPr>
                <w:rStyle w:val="Hyperlink"/>
                <w:rFonts w:cs="Arial"/>
              </w:rPr>
              <w:instrText xml:space="preserve"> NOTEREF _Ref91166304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37</w:t>
            </w:r>
            <w:r w:rsidRPr="005830D1">
              <w:rPr>
                <w:rFonts w:cs="Arial"/>
                <w:vertAlign w:val="superscript"/>
              </w:rPr>
              <w:fldChar w:fldCharType="end"/>
            </w:r>
            <w:r w:rsidRPr="005830D1">
              <w:rPr>
                <w:rFonts w:cs="Arial"/>
                <w:vertAlign w:val="superscript"/>
              </w:rPr>
              <w:t xml:space="preserve"> </w:t>
            </w:r>
            <w:r w:rsidRPr="005830D1">
              <w:rPr>
                <w:rFonts w:cs="Arial"/>
              </w:rPr>
              <w:t>in the ICU during these hours?</w:t>
            </w:r>
          </w:p>
          <w:p w14:paraId="668A340E" w14:textId="77777777" w:rsidR="00016179" w:rsidRPr="005830D1" w:rsidRDefault="00016179" w:rsidP="00D73F6A">
            <w:pPr>
              <w:pStyle w:val="Header"/>
              <w:tabs>
                <w:tab w:val="clear" w:pos="4320"/>
                <w:tab w:val="clear" w:pos="8640"/>
              </w:tabs>
              <w:rPr>
                <w:rFonts w:cs="Arial"/>
              </w:rPr>
            </w:pPr>
          </w:p>
          <w:p w14:paraId="5EFBDF64" w14:textId="77777777" w:rsidR="00016179" w:rsidRPr="005830D1" w:rsidRDefault="00016179" w:rsidP="00D73F6A">
            <w:pPr>
              <w:pStyle w:val="Header"/>
              <w:tabs>
                <w:tab w:val="clear" w:pos="4320"/>
                <w:tab w:val="clear" w:pos="8640"/>
              </w:tabs>
              <w:rPr>
                <w:rFonts w:cs="Arial"/>
              </w:rPr>
            </w:pPr>
            <w:r w:rsidRPr="005830D1">
              <w:rPr>
                <w:rFonts w:cs="Arial"/>
                <w:i/>
              </w:rPr>
              <w:t xml:space="preserve">      If “yes” to question #5, skip question #6 and continue to question #7. </w:t>
            </w:r>
          </w:p>
        </w:tc>
        <w:tc>
          <w:tcPr>
            <w:tcW w:w="2192" w:type="dxa"/>
            <w:vAlign w:val="center"/>
          </w:tcPr>
          <w:p w14:paraId="7FB5E527" w14:textId="77777777" w:rsidR="00016179" w:rsidRPr="005830D1" w:rsidRDefault="00016179" w:rsidP="00AD309C">
            <w:pPr>
              <w:pStyle w:val="ListParagraph"/>
              <w:numPr>
                <w:ilvl w:val="0"/>
                <w:numId w:val="342"/>
              </w:numPr>
              <w:rPr>
                <w:rFonts w:cs="Arial"/>
                <w:iCs/>
              </w:rPr>
            </w:pPr>
            <w:r w:rsidRPr="005830D1">
              <w:rPr>
                <w:rFonts w:cs="Arial"/>
                <w:iCs/>
              </w:rPr>
              <w:t>Yes</w:t>
            </w:r>
          </w:p>
          <w:p w14:paraId="0025039B" w14:textId="77777777" w:rsidR="00016179" w:rsidRPr="005830D1" w:rsidRDefault="00016179" w:rsidP="00AD309C">
            <w:pPr>
              <w:pStyle w:val="ListParagraph"/>
              <w:numPr>
                <w:ilvl w:val="0"/>
                <w:numId w:val="342"/>
              </w:numPr>
              <w:rPr>
                <w:rFonts w:cs="Arial"/>
                <w:iCs/>
              </w:rPr>
            </w:pPr>
            <w:r w:rsidRPr="005830D1">
              <w:rPr>
                <w:rFonts w:cs="Arial"/>
                <w:iCs/>
              </w:rPr>
              <w:t>No</w:t>
            </w:r>
          </w:p>
        </w:tc>
      </w:tr>
      <w:tr w:rsidR="00016179" w:rsidRPr="005830D1" w14:paraId="1DC611FE" w14:textId="77777777" w:rsidTr="00D73F6A">
        <w:trPr>
          <w:trHeight w:val="2160"/>
          <w:jc w:val="center"/>
        </w:trPr>
        <w:tc>
          <w:tcPr>
            <w:tcW w:w="7290" w:type="dxa"/>
            <w:vAlign w:val="center"/>
          </w:tcPr>
          <w:p w14:paraId="788CF19F" w14:textId="2A81DE5B" w:rsidR="00016179" w:rsidRPr="005830D1" w:rsidRDefault="00016179" w:rsidP="00AD309C">
            <w:pPr>
              <w:pStyle w:val="Header"/>
              <w:numPr>
                <w:ilvl w:val="0"/>
                <w:numId w:val="407"/>
              </w:numPr>
              <w:rPr>
                <w:rFonts w:cs="Arial"/>
              </w:rPr>
            </w:pPr>
            <w:r w:rsidRPr="005830D1">
              <w:rPr>
                <w:rFonts w:cs="Arial"/>
              </w:rPr>
              <w:t xml:space="preserve">Are </w:t>
            </w:r>
            <w:hyperlink w:anchor="Endnote22_CCPatients" w:history="1">
              <w:r w:rsidRPr="005830D1">
                <w:rPr>
                  <w:rStyle w:val="Hyperlink"/>
                  <w:rFonts w:cs="Arial"/>
                </w:rPr>
                <w:t>all critical care patients</w:t>
              </w:r>
            </w:hyperlink>
            <w:r w:rsidRPr="005830D1">
              <w:rPr>
                <w:rFonts w:cs="Arial"/>
                <w:vertAlign w:val="superscript"/>
              </w:rPr>
              <w:fldChar w:fldCharType="begin"/>
            </w:r>
            <w:r w:rsidRPr="005830D1">
              <w:rPr>
                <w:rStyle w:val="Hyperlink"/>
                <w:rFonts w:cs="Arial"/>
              </w:rPr>
              <w:instrText xml:space="preserve"> NOTEREF _Ref534212310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34</w:t>
            </w:r>
            <w:r w:rsidRPr="005830D1">
              <w:rPr>
                <w:rFonts w:cs="Arial"/>
                <w:vertAlign w:val="superscript"/>
              </w:rPr>
              <w:fldChar w:fldCharType="end"/>
            </w:r>
            <w:r w:rsidRPr="005830D1">
              <w:rPr>
                <w:rFonts w:cs="Arial"/>
              </w:rPr>
              <w:t xml:space="preserve"> in the ICU </w:t>
            </w:r>
            <w:hyperlink w:anchor="Endnote24_Manage" w:history="1">
              <w:r w:rsidRPr="005830D1">
                <w:rPr>
                  <w:rStyle w:val="Hyperlink"/>
                  <w:rFonts w:cs="Arial"/>
                </w:rPr>
                <w:t>managed or co-managed</w:t>
              </w:r>
            </w:hyperlink>
            <w:r w:rsidRPr="005830D1">
              <w:rPr>
                <w:vertAlign w:val="superscript"/>
              </w:rPr>
              <w:fldChar w:fldCharType="begin"/>
            </w:r>
            <w:r w:rsidRPr="005830D1">
              <w:rPr>
                <w:rStyle w:val="Hyperlink"/>
                <w:rFonts w:cs="Arial"/>
              </w:rPr>
              <w:instrText xml:space="preserve"> NOTEREF _Ref91167015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35</w:t>
            </w:r>
            <w:r w:rsidRPr="005830D1">
              <w:rPr>
                <w:vertAlign w:val="superscript"/>
              </w:rPr>
              <w:fldChar w:fldCharType="end"/>
            </w:r>
            <w:r w:rsidRPr="005830D1">
              <w:rPr>
                <w:rFonts w:cs="Arial"/>
              </w:rPr>
              <w:t xml:space="preserve"> by one or more physicians </w:t>
            </w:r>
            <w:hyperlink w:anchor="Endnote25_Certified" w:history="1">
              <w:r w:rsidRPr="005830D1">
                <w:rPr>
                  <w:rStyle w:val="Hyperlink"/>
                  <w:rFonts w:cs="Arial"/>
                </w:rPr>
                <w:t>certified in critical care medicine</w:t>
              </w:r>
            </w:hyperlink>
            <w:r w:rsidRPr="005830D1">
              <w:rPr>
                <w:rFonts w:cs="Arial"/>
                <w:vertAlign w:val="superscript"/>
              </w:rPr>
              <w:fldChar w:fldCharType="begin"/>
            </w:r>
            <w:r w:rsidRPr="005830D1">
              <w:rPr>
                <w:rStyle w:val="Hyperlink"/>
                <w:rFonts w:cs="Arial"/>
              </w:rPr>
              <w:instrText xml:space="preserve"> NOTEREF _Ref534212273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36</w:t>
            </w:r>
            <w:r w:rsidRPr="005830D1">
              <w:rPr>
                <w:rFonts w:cs="Arial"/>
                <w:vertAlign w:val="superscript"/>
              </w:rPr>
              <w:fldChar w:fldCharType="end"/>
            </w:r>
            <w:r w:rsidRPr="005830D1">
              <w:rPr>
                <w:rFonts w:cs="Arial"/>
              </w:rPr>
              <w:t xml:space="preserve"> who meet </w:t>
            </w:r>
            <w:r w:rsidRPr="005830D1">
              <w:rPr>
                <w:rFonts w:cs="Arial"/>
                <w:b/>
              </w:rPr>
              <w:t>all</w:t>
            </w:r>
            <w:r w:rsidRPr="005830D1">
              <w:rPr>
                <w:rFonts w:cs="Arial"/>
              </w:rPr>
              <w:t xml:space="preserve"> the following criteria:</w:t>
            </w:r>
          </w:p>
          <w:p w14:paraId="521E6502" w14:textId="77777777" w:rsidR="00016179" w:rsidRPr="005830D1" w:rsidRDefault="00016179" w:rsidP="00AD309C">
            <w:pPr>
              <w:pStyle w:val="Header"/>
              <w:numPr>
                <w:ilvl w:val="0"/>
                <w:numId w:val="65"/>
              </w:numPr>
              <w:rPr>
                <w:rFonts w:cs="Arial"/>
              </w:rPr>
            </w:pPr>
            <w:r w:rsidRPr="005830D1">
              <w:rPr>
                <w:rFonts w:cs="Arial"/>
              </w:rPr>
              <w:t xml:space="preserve">present via telemedicine, in combination with on-site intensivist coverage, for a total of </w:t>
            </w:r>
            <w:r w:rsidRPr="005830D1">
              <w:rPr>
                <w:rFonts w:cs="Arial"/>
                <w:b/>
              </w:rPr>
              <w:t>24 hours per day, 7 days per week</w:t>
            </w:r>
            <w:r w:rsidRPr="005830D1">
              <w:rPr>
                <w:rFonts w:cs="Arial"/>
              </w:rPr>
              <w:t>;</w:t>
            </w:r>
          </w:p>
          <w:p w14:paraId="7315EE7E" w14:textId="533C1496" w:rsidR="00016179" w:rsidRPr="005830D1" w:rsidRDefault="00016179" w:rsidP="00AD309C">
            <w:pPr>
              <w:pStyle w:val="Header"/>
              <w:numPr>
                <w:ilvl w:val="0"/>
                <w:numId w:val="65"/>
              </w:numPr>
              <w:rPr>
                <w:rFonts w:cs="Arial"/>
              </w:rPr>
            </w:pPr>
            <w:r w:rsidRPr="005830D1">
              <w:rPr>
                <w:rFonts w:cs="Arial"/>
              </w:rPr>
              <w:t>meet all of Leapfrog’s ICU requirements for intensivist presence in the ICU via telemedicine (</w:t>
            </w:r>
            <w:hyperlink w:anchor="Endnote27_Telemedicine" w:history="1">
              <w:r w:rsidRPr="005830D1">
                <w:rPr>
                  <w:rStyle w:val="Hyperlink"/>
                  <w:rFonts w:cs="Arial"/>
                </w:rPr>
                <w:t>More Information</w:t>
              </w:r>
            </w:hyperlink>
            <w:r w:rsidRPr="005830D1">
              <w:rPr>
                <w:rFonts w:cs="Arial"/>
                <w:vertAlign w:val="superscript"/>
              </w:rPr>
              <w:fldChar w:fldCharType="begin"/>
            </w:r>
            <w:r w:rsidRPr="005830D1">
              <w:rPr>
                <w:rStyle w:val="Hyperlink"/>
                <w:rFonts w:cs="Arial"/>
              </w:rPr>
              <w:instrText xml:space="preserve"> NOTEREF _Ref534212061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38</w:t>
            </w:r>
            <w:r w:rsidRPr="005830D1">
              <w:rPr>
                <w:rFonts w:cs="Arial"/>
                <w:vertAlign w:val="superscript"/>
              </w:rPr>
              <w:fldChar w:fldCharType="end"/>
            </w:r>
            <w:r w:rsidRPr="005830D1">
              <w:rPr>
                <w:rFonts w:cs="Arial"/>
              </w:rPr>
              <w:t>); and</w:t>
            </w:r>
          </w:p>
          <w:p w14:paraId="2B6B3FC7" w14:textId="77777777" w:rsidR="00016179" w:rsidRPr="005830D1" w:rsidRDefault="00016179" w:rsidP="00AD309C">
            <w:pPr>
              <w:pStyle w:val="Header"/>
              <w:numPr>
                <w:ilvl w:val="0"/>
                <w:numId w:val="65"/>
              </w:numPr>
              <w:rPr>
                <w:rFonts w:cs="Arial"/>
              </w:rPr>
            </w:pPr>
            <w:r w:rsidRPr="005830D1">
              <w:rPr>
                <w:rFonts w:cs="Arial"/>
              </w:rPr>
              <w:t>supported by an on-site intensivist who establishes and revises the daily care plan for each ICU patient?</w:t>
            </w:r>
          </w:p>
        </w:tc>
        <w:tc>
          <w:tcPr>
            <w:tcW w:w="2192" w:type="dxa"/>
            <w:vAlign w:val="center"/>
          </w:tcPr>
          <w:p w14:paraId="4C7A6D44" w14:textId="77777777" w:rsidR="00016179" w:rsidRPr="005830D1" w:rsidRDefault="00016179" w:rsidP="00AD309C">
            <w:pPr>
              <w:pStyle w:val="ListParagraph"/>
              <w:numPr>
                <w:ilvl w:val="0"/>
                <w:numId w:val="342"/>
              </w:numPr>
              <w:rPr>
                <w:rFonts w:cs="Arial"/>
                <w:iCs/>
              </w:rPr>
            </w:pPr>
            <w:r w:rsidRPr="005830D1">
              <w:rPr>
                <w:rFonts w:cs="Arial"/>
                <w:iCs/>
              </w:rPr>
              <w:t>Yes</w:t>
            </w:r>
          </w:p>
          <w:p w14:paraId="0FBE977B" w14:textId="77777777" w:rsidR="00016179" w:rsidRPr="005830D1" w:rsidRDefault="00016179" w:rsidP="00AD309C">
            <w:pPr>
              <w:pStyle w:val="ListParagraph"/>
              <w:numPr>
                <w:ilvl w:val="0"/>
                <w:numId w:val="342"/>
              </w:numPr>
              <w:rPr>
                <w:rFonts w:cs="Arial"/>
                <w:iCs/>
              </w:rPr>
            </w:pPr>
            <w:r w:rsidRPr="005830D1">
              <w:rPr>
                <w:rFonts w:cs="Arial"/>
                <w:iCs/>
              </w:rPr>
              <w:t>No</w:t>
            </w:r>
          </w:p>
        </w:tc>
      </w:tr>
    </w:tbl>
    <w:p w14:paraId="52ACFB9D" w14:textId="5E1D5573" w:rsidR="00016179" w:rsidRPr="005830D1" w:rsidRDefault="00016179" w:rsidP="00016179">
      <w:pPr>
        <w:rPr>
          <w:rFonts w:cs="Arial"/>
        </w:rPr>
      </w:pPr>
    </w:p>
    <w:p w14:paraId="513D94AB" w14:textId="77777777" w:rsidR="00016179" w:rsidRPr="005830D1" w:rsidRDefault="00016179" w:rsidP="00016179">
      <w:pPr>
        <w:rPr>
          <w:rFonts w:cs="Arial"/>
          <w:i/>
        </w:rPr>
      </w:pPr>
      <w:r w:rsidRPr="005830D1">
        <w:rPr>
          <w:rFonts w:cs="Arial"/>
          <w:i/>
        </w:rPr>
        <w:t>If “no” to question #5 and question #6, skip questions #7-8 and continue to question #9.</w:t>
      </w:r>
    </w:p>
    <w:p w14:paraId="427D4DC5" w14:textId="77777777" w:rsidR="00016179" w:rsidRPr="005830D1" w:rsidRDefault="00016179" w:rsidP="00016179">
      <w:pPr>
        <w:rPr>
          <w:rFonts w:cs="Arial"/>
          <w:i/>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8"/>
        <w:gridCol w:w="2199"/>
      </w:tblGrid>
      <w:tr w:rsidR="00016179" w:rsidRPr="005830D1" w14:paraId="244EFEE1" w14:textId="77777777" w:rsidTr="00D73F6A">
        <w:trPr>
          <w:trHeight w:val="1368"/>
          <w:jc w:val="center"/>
        </w:trPr>
        <w:tc>
          <w:tcPr>
            <w:tcW w:w="7368" w:type="dxa"/>
          </w:tcPr>
          <w:p w14:paraId="5C1D5CC0" w14:textId="42EE9BEE" w:rsidR="00016179" w:rsidRPr="005830D1" w:rsidRDefault="00016179" w:rsidP="00AD309C">
            <w:pPr>
              <w:pStyle w:val="ListParagraph"/>
              <w:numPr>
                <w:ilvl w:val="0"/>
                <w:numId w:val="407"/>
              </w:numPr>
              <w:spacing w:before="120"/>
              <w:rPr>
                <w:rFonts w:cs="Arial"/>
              </w:rPr>
            </w:pPr>
            <w:r w:rsidRPr="005830D1">
              <w:rPr>
                <w:rFonts w:cs="Arial"/>
              </w:rPr>
              <w:lastRenderedPageBreak/>
              <w:t xml:space="preserve">When the physicians (from question #3) are not present in the ICU on-site or via telemedicine, do they return more than 95% of calls/pages/texts from these units within five minutes, </w:t>
            </w:r>
            <w:r w:rsidRPr="005830D1">
              <w:rPr>
                <w:rFonts w:cs="Arial"/>
                <w:snapToGrid w:val="0"/>
                <w:color w:val="000000"/>
              </w:rPr>
              <w:t xml:space="preserve">based on a </w:t>
            </w:r>
            <w:hyperlink w:anchor="Endnote28_ResponseAnalysis" w:history="1">
              <w:r w:rsidRPr="005830D1">
                <w:rPr>
                  <w:rStyle w:val="Hyperlink"/>
                  <w:rFonts w:cs="Arial"/>
                  <w:snapToGrid w:val="0"/>
                </w:rPr>
                <w:t>quantified analysis</w:t>
              </w:r>
            </w:hyperlink>
            <w:r w:rsidRPr="005830D1">
              <w:rPr>
                <w:vertAlign w:val="superscript"/>
              </w:rPr>
              <w:fldChar w:fldCharType="begin"/>
            </w:r>
            <w:r w:rsidRPr="005830D1">
              <w:rPr>
                <w:rStyle w:val="Hyperlink"/>
                <w:rFonts w:cs="Arial"/>
                <w:snapToGrid w:val="0"/>
              </w:rPr>
              <w:instrText xml:space="preserve"> NOTEREF _Ref534212563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39</w:t>
            </w:r>
            <w:r w:rsidRPr="005830D1">
              <w:rPr>
                <w:vertAlign w:val="superscript"/>
              </w:rPr>
              <w:fldChar w:fldCharType="end"/>
            </w:r>
            <w:r w:rsidRPr="005830D1">
              <w:rPr>
                <w:rFonts w:cs="Arial"/>
                <w:snapToGrid w:val="0"/>
              </w:rPr>
              <w:t xml:space="preserve"> of notification device response time</w:t>
            </w:r>
            <w:r w:rsidRPr="005830D1">
              <w:rPr>
                <w:rFonts w:cs="Arial"/>
              </w:rPr>
              <w:t>? (</w:t>
            </w:r>
            <w:hyperlink w:anchor="Endnote30_TeleCoverCalls" w:history="1">
              <w:r w:rsidRPr="005830D1">
                <w:rPr>
                  <w:rStyle w:val="Hyperlink"/>
                  <w:rFonts w:cs="Arial"/>
                </w:rPr>
                <w:t>More information on the use of telemedicine to cover calls</w:t>
              </w:r>
            </w:hyperlink>
            <w:r w:rsidRPr="005830D1">
              <w:rPr>
                <w:rStyle w:val="Hyperlink"/>
                <w:rFonts w:ascii="ZWAdobeF" w:hAnsi="ZWAdobeF" w:cs="ZWAdobeF"/>
                <w:color w:val="auto"/>
                <w:sz w:val="2"/>
                <w:szCs w:val="2"/>
                <w:u w:val="none"/>
              </w:rPr>
              <w:t>40F</w:t>
            </w:r>
            <w:r w:rsidR="005F559C" w:rsidRPr="005830D1">
              <w:rPr>
                <w:rFonts w:cs="Arial"/>
                <w:vertAlign w:val="superscript"/>
              </w:rPr>
              <w:t>41</w:t>
            </w:r>
            <w:r w:rsidRPr="005830D1">
              <w:rPr>
                <w:rFonts w:cs="Arial"/>
              </w:rPr>
              <w:t>)</w:t>
            </w:r>
          </w:p>
        </w:tc>
        <w:tc>
          <w:tcPr>
            <w:tcW w:w="2199" w:type="dxa"/>
            <w:vAlign w:val="center"/>
          </w:tcPr>
          <w:p w14:paraId="6D7C17F3" w14:textId="77777777" w:rsidR="00016179" w:rsidRPr="005830D1" w:rsidRDefault="00016179" w:rsidP="00AD309C">
            <w:pPr>
              <w:pStyle w:val="ListParagraph"/>
              <w:numPr>
                <w:ilvl w:val="0"/>
                <w:numId w:val="343"/>
              </w:numPr>
              <w:rPr>
                <w:rFonts w:cs="Arial"/>
                <w:iCs/>
              </w:rPr>
            </w:pPr>
            <w:r w:rsidRPr="005830D1">
              <w:rPr>
                <w:rFonts w:cs="Arial"/>
                <w:iCs/>
              </w:rPr>
              <w:t>Yes</w:t>
            </w:r>
          </w:p>
          <w:p w14:paraId="18474738" w14:textId="77777777" w:rsidR="005E285A" w:rsidRPr="005830D1" w:rsidRDefault="00016179" w:rsidP="00AD309C">
            <w:pPr>
              <w:pStyle w:val="ListParagraph"/>
              <w:numPr>
                <w:ilvl w:val="0"/>
                <w:numId w:val="343"/>
              </w:numPr>
              <w:rPr>
                <w:rFonts w:cs="Arial"/>
                <w:iCs/>
              </w:rPr>
            </w:pPr>
            <w:r w:rsidRPr="005830D1">
              <w:rPr>
                <w:rFonts w:cs="Arial"/>
                <w:iCs/>
              </w:rPr>
              <w:t>No</w:t>
            </w:r>
          </w:p>
          <w:p w14:paraId="0CD36178" w14:textId="35D3C55D" w:rsidR="00016179" w:rsidRPr="005830D1" w:rsidRDefault="00016179" w:rsidP="00AD309C">
            <w:pPr>
              <w:pStyle w:val="ListParagraph"/>
              <w:numPr>
                <w:ilvl w:val="0"/>
                <w:numId w:val="343"/>
              </w:numPr>
              <w:rPr>
                <w:rFonts w:cs="Arial"/>
                <w:iCs/>
              </w:rPr>
            </w:pPr>
            <w:r w:rsidRPr="005830D1">
              <w:rPr>
                <w:rFonts w:cs="Arial"/>
                <w:bCs/>
                <w:iCs/>
              </w:rPr>
              <w:t>Not applicable; intensivists are present on-site 24/7</w:t>
            </w:r>
          </w:p>
        </w:tc>
      </w:tr>
      <w:tr w:rsidR="00016179" w:rsidRPr="005830D1" w14:paraId="40B17103" w14:textId="77777777" w:rsidTr="00D73F6A">
        <w:trPr>
          <w:trHeight w:val="1584"/>
          <w:jc w:val="center"/>
        </w:trPr>
        <w:tc>
          <w:tcPr>
            <w:tcW w:w="7368" w:type="dxa"/>
          </w:tcPr>
          <w:p w14:paraId="0594BFC1" w14:textId="073FC35E" w:rsidR="00016179" w:rsidRPr="005830D1" w:rsidRDefault="00016179" w:rsidP="00AD309C">
            <w:pPr>
              <w:pStyle w:val="ListParagraph"/>
              <w:numPr>
                <w:ilvl w:val="0"/>
                <w:numId w:val="407"/>
              </w:numPr>
              <w:spacing w:before="120"/>
              <w:rPr>
                <w:rFonts w:cs="Arial"/>
              </w:rPr>
            </w:pPr>
            <w:r w:rsidRPr="005830D1">
              <w:rPr>
                <w:rFonts w:cs="Arial"/>
              </w:rPr>
              <w:t xml:space="preserve">When the physicians (from question #3) are not present on-site in the ICU or not able to physically reach an ICU patient within 5 minutes, can they rely on a </w:t>
            </w:r>
            <w:hyperlink w:anchor="Endnote31_OtherEffector" w:history="1">
              <w:r w:rsidRPr="005830D1">
                <w:rPr>
                  <w:rStyle w:val="Hyperlink"/>
                  <w:rFonts w:cs="Arial"/>
                </w:rPr>
                <w:t>physician, physician assistant, nurse practitioner</w:t>
              </w:r>
            </w:hyperlink>
            <w:r w:rsidRPr="005830D1">
              <w:rPr>
                <w:rStyle w:val="Hyperlink"/>
                <w:rFonts w:ascii="ZWAdobeF" w:hAnsi="ZWAdobeF" w:cs="ZWAdobeF"/>
                <w:color w:val="auto"/>
                <w:sz w:val="2"/>
                <w:szCs w:val="2"/>
                <w:u w:val="none"/>
              </w:rPr>
              <w:t>41F</w:t>
            </w:r>
            <w:r w:rsidR="00422FE2" w:rsidRPr="005830D1">
              <w:rPr>
                <w:vertAlign w:val="superscript"/>
              </w:rPr>
              <w:t>42</w:t>
            </w:r>
            <w:r w:rsidRPr="005830D1">
              <w:rPr>
                <w:rFonts w:cs="Arial"/>
              </w:rPr>
              <w:t xml:space="preserve">, or </w:t>
            </w:r>
            <w:hyperlink w:anchor="Endnote29_NurseEffector" w:history="1">
              <w:r w:rsidRPr="005830D1">
                <w:rPr>
                  <w:rStyle w:val="Hyperlink"/>
                  <w:rFonts w:cs="Arial"/>
                </w:rPr>
                <w:t>FCCS-certified nurse or intern “effector”</w:t>
              </w:r>
            </w:hyperlink>
            <w:r w:rsidRPr="005830D1">
              <w:rPr>
                <w:vertAlign w:val="superscript"/>
              </w:rPr>
              <w:fldChar w:fldCharType="begin"/>
            </w:r>
            <w:r w:rsidRPr="005830D1">
              <w:rPr>
                <w:rStyle w:val="Hyperlink"/>
                <w:rFonts w:cs="Arial"/>
              </w:rPr>
              <w:instrText xml:space="preserve"> NOTEREF _Ref91167163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40</w:t>
            </w:r>
            <w:r w:rsidRPr="005830D1">
              <w:rPr>
                <w:vertAlign w:val="superscript"/>
              </w:rPr>
              <w:fldChar w:fldCharType="end"/>
            </w:r>
            <w:r w:rsidRPr="005830D1">
              <w:rPr>
                <w:rFonts w:cs="Arial"/>
              </w:rPr>
              <w:t xml:space="preserve"> who is in the hospital and able to reach these ICU patients within five minutes in more than 95% of the cases, </w:t>
            </w:r>
            <w:r w:rsidRPr="005830D1">
              <w:rPr>
                <w:rFonts w:cs="Arial"/>
                <w:snapToGrid w:val="0"/>
                <w:color w:val="000000"/>
              </w:rPr>
              <w:t xml:space="preserve">based on a </w:t>
            </w:r>
            <w:hyperlink w:anchor="Endnote28_ResponseAnalysis" w:history="1">
              <w:r w:rsidRPr="005830D1">
                <w:rPr>
                  <w:rStyle w:val="Hyperlink"/>
                  <w:rFonts w:cs="Arial"/>
                  <w:snapToGrid w:val="0"/>
                </w:rPr>
                <w:t>quantified analysis</w:t>
              </w:r>
            </w:hyperlink>
            <w:r w:rsidRPr="005830D1">
              <w:rPr>
                <w:rFonts w:cs="Arial"/>
                <w:vertAlign w:val="superscript"/>
              </w:rPr>
              <w:fldChar w:fldCharType="begin"/>
            </w:r>
            <w:r w:rsidRPr="005830D1">
              <w:rPr>
                <w:rStyle w:val="Hyperlink"/>
                <w:rFonts w:cs="Arial"/>
                <w:snapToGrid w:val="0"/>
              </w:rPr>
              <w:instrText xml:space="preserve"> NOTEREF _Ref534212563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39</w:t>
            </w:r>
            <w:r w:rsidRPr="005830D1">
              <w:rPr>
                <w:rFonts w:cs="Arial"/>
                <w:vertAlign w:val="superscript"/>
              </w:rPr>
              <w:fldChar w:fldCharType="end"/>
            </w:r>
            <w:r w:rsidRPr="005830D1">
              <w:rPr>
                <w:rFonts w:cs="Arial"/>
                <w:snapToGrid w:val="0"/>
                <w:color w:val="000000"/>
              </w:rPr>
              <w:t xml:space="preserve"> of response time of the effector reaching the patient</w:t>
            </w:r>
            <w:r w:rsidRPr="005830D1">
              <w:rPr>
                <w:rFonts w:cs="Arial"/>
              </w:rPr>
              <w:t>?</w:t>
            </w:r>
          </w:p>
        </w:tc>
        <w:tc>
          <w:tcPr>
            <w:tcW w:w="2199" w:type="dxa"/>
            <w:vAlign w:val="center"/>
          </w:tcPr>
          <w:p w14:paraId="368D0390" w14:textId="77777777" w:rsidR="00016179" w:rsidRPr="005830D1" w:rsidRDefault="00016179" w:rsidP="00AD309C">
            <w:pPr>
              <w:pStyle w:val="ListParagraph"/>
              <w:numPr>
                <w:ilvl w:val="0"/>
                <w:numId w:val="343"/>
              </w:numPr>
              <w:rPr>
                <w:rFonts w:cs="Arial"/>
                <w:iCs/>
              </w:rPr>
            </w:pPr>
            <w:r w:rsidRPr="005830D1">
              <w:rPr>
                <w:rFonts w:cs="Arial"/>
                <w:iCs/>
              </w:rPr>
              <w:t>Yes</w:t>
            </w:r>
          </w:p>
          <w:p w14:paraId="47C9B7B8" w14:textId="77777777" w:rsidR="00ED42CB" w:rsidRPr="005830D1" w:rsidRDefault="00016179" w:rsidP="00AD309C">
            <w:pPr>
              <w:pStyle w:val="ListParagraph"/>
              <w:numPr>
                <w:ilvl w:val="0"/>
                <w:numId w:val="343"/>
              </w:numPr>
              <w:rPr>
                <w:rFonts w:cs="Arial"/>
                <w:iCs/>
              </w:rPr>
            </w:pPr>
            <w:r w:rsidRPr="005830D1">
              <w:rPr>
                <w:rFonts w:cs="Arial"/>
                <w:iCs/>
              </w:rPr>
              <w:t>No</w:t>
            </w:r>
          </w:p>
          <w:p w14:paraId="5ACE8AD8" w14:textId="5663A54F" w:rsidR="00016179" w:rsidRPr="005830D1" w:rsidRDefault="00016179" w:rsidP="00AD309C">
            <w:pPr>
              <w:pStyle w:val="ListParagraph"/>
              <w:numPr>
                <w:ilvl w:val="0"/>
                <w:numId w:val="343"/>
              </w:numPr>
              <w:rPr>
                <w:rFonts w:cs="Arial"/>
                <w:iCs/>
              </w:rPr>
            </w:pPr>
            <w:r w:rsidRPr="005830D1">
              <w:rPr>
                <w:rFonts w:cs="Arial"/>
                <w:bCs/>
                <w:iCs/>
              </w:rPr>
              <w:t>Not applicable; intensivists are present on-site 24/7</w:t>
            </w:r>
          </w:p>
        </w:tc>
      </w:tr>
    </w:tbl>
    <w:p w14:paraId="7249532F" w14:textId="77777777" w:rsidR="00016179" w:rsidRPr="005830D1" w:rsidRDefault="00016179" w:rsidP="00016179">
      <w:pPr>
        <w:rPr>
          <w:rFonts w:cs="Arial"/>
          <w:i/>
        </w:rPr>
      </w:pPr>
    </w:p>
    <w:p w14:paraId="02091CC7" w14:textId="67450311" w:rsidR="00016179" w:rsidRPr="005830D1" w:rsidRDefault="00016179" w:rsidP="00016179">
      <w:pPr>
        <w:rPr>
          <w:rFonts w:cs="Arial"/>
          <w:i/>
        </w:rPr>
      </w:pPr>
      <w:r w:rsidRPr="005830D1">
        <w:rPr>
          <w:rFonts w:cs="Arial"/>
          <w:i/>
        </w:rPr>
        <w:t>If “no” to either question #7 or #8 in this section, continue to questions #9-15. If “yes” or “not applicable; intensivists are present on-site 24/7” to questions #7 and #8, skip the remaining questions in Section 5</w:t>
      </w:r>
      <w:r w:rsidR="00066202" w:rsidRPr="005830D1">
        <w:rPr>
          <w:rFonts w:cs="Arial"/>
          <w:i/>
        </w:rPr>
        <w:t>B</w:t>
      </w:r>
      <w:r w:rsidRPr="005830D1">
        <w:rPr>
          <w:rFonts w:cs="Arial"/>
          <w:i/>
        </w:rPr>
        <w:t xml:space="preserve"> and </w:t>
      </w:r>
      <w:r w:rsidR="004E6FE0" w:rsidRPr="005830D1">
        <w:rPr>
          <w:rFonts w:cs="Arial"/>
          <w:i/>
        </w:rPr>
        <w:t xml:space="preserve">continue </w:t>
      </w:r>
      <w:r w:rsidRPr="005830D1">
        <w:rPr>
          <w:rFonts w:cs="Arial"/>
          <w:i/>
        </w:rPr>
        <w:t xml:space="preserve">to the </w:t>
      </w:r>
      <w:r w:rsidR="004E6FE0" w:rsidRPr="005830D1">
        <w:rPr>
          <w:rFonts w:cs="Arial"/>
          <w:i/>
        </w:rPr>
        <w:t>next subsection</w:t>
      </w:r>
      <w:r w:rsidRPr="005830D1">
        <w:rPr>
          <w:rFonts w:cs="Arial"/>
          <w:i/>
        </w:rPr>
        <w:t>.</w:t>
      </w:r>
    </w:p>
    <w:p w14:paraId="32A1A495" w14:textId="77777777" w:rsidR="00016179" w:rsidRPr="005830D1" w:rsidRDefault="00016179" w:rsidP="00016179">
      <w:pPr>
        <w:rPr>
          <w:rFonts w:cs="Arial"/>
          <w:i/>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gridCol w:w="2233"/>
      </w:tblGrid>
      <w:tr w:rsidR="00016179" w:rsidRPr="005830D1" w14:paraId="0E6AE762" w14:textId="77777777" w:rsidTr="00D73F6A">
        <w:trPr>
          <w:trHeight w:val="20"/>
          <w:jc w:val="center"/>
        </w:trPr>
        <w:tc>
          <w:tcPr>
            <w:tcW w:w="7334" w:type="dxa"/>
          </w:tcPr>
          <w:p w14:paraId="7E33BB00" w14:textId="3E0FF335" w:rsidR="00016179" w:rsidRPr="005830D1" w:rsidRDefault="00016179" w:rsidP="00AD309C">
            <w:pPr>
              <w:pStyle w:val="Header"/>
              <w:numPr>
                <w:ilvl w:val="0"/>
                <w:numId w:val="407"/>
              </w:numPr>
              <w:tabs>
                <w:tab w:val="clear" w:pos="4320"/>
                <w:tab w:val="clear" w:pos="8640"/>
              </w:tabs>
              <w:spacing w:before="120"/>
              <w:rPr>
                <w:rFonts w:cs="Arial"/>
              </w:rPr>
            </w:pPr>
            <w:r w:rsidRPr="005830D1">
              <w:rPr>
                <w:rFonts w:cs="Arial"/>
              </w:rPr>
              <w:t xml:space="preserve">Are </w:t>
            </w:r>
            <w:hyperlink w:anchor="Endnote22_CCPatients" w:history="1">
              <w:r w:rsidRPr="005830D1">
                <w:rPr>
                  <w:rStyle w:val="Hyperlink"/>
                  <w:rFonts w:cs="Arial"/>
                </w:rPr>
                <w:t>all critical care patients</w:t>
              </w:r>
            </w:hyperlink>
            <w:r w:rsidRPr="005830D1">
              <w:rPr>
                <w:vertAlign w:val="superscript"/>
              </w:rPr>
              <w:fldChar w:fldCharType="begin"/>
            </w:r>
            <w:r w:rsidRPr="005830D1">
              <w:rPr>
                <w:rStyle w:val="Hyperlink"/>
                <w:rFonts w:cs="Arial"/>
              </w:rPr>
              <w:instrText xml:space="preserve"> NOTEREF _Ref534212310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34</w:t>
            </w:r>
            <w:r w:rsidRPr="005830D1">
              <w:rPr>
                <w:vertAlign w:val="superscript"/>
              </w:rPr>
              <w:fldChar w:fldCharType="end"/>
            </w:r>
            <w:r w:rsidRPr="005830D1">
              <w:rPr>
                <w:rFonts w:cs="Arial"/>
              </w:rPr>
              <w:t xml:space="preserve"> in the ICU </w:t>
            </w:r>
            <w:hyperlink w:anchor="Endnote24_Manage" w:history="1">
              <w:r w:rsidRPr="005830D1">
                <w:rPr>
                  <w:rStyle w:val="Hyperlink"/>
                  <w:rFonts w:cs="Arial"/>
                </w:rPr>
                <w:t>managed or co-managed</w:t>
              </w:r>
            </w:hyperlink>
            <w:r w:rsidRPr="005830D1">
              <w:rPr>
                <w:rFonts w:cs="Arial"/>
                <w:vertAlign w:val="superscript"/>
              </w:rPr>
              <w:fldChar w:fldCharType="begin"/>
            </w:r>
            <w:r w:rsidRPr="005830D1">
              <w:rPr>
                <w:rStyle w:val="Hyperlink"/>
                <w:rFonts w:cs="Arial"/>
              </w:rPr>
              <w:instrText xml:space="preserve"> NOTEREF _Ref91167015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35</w:t>
            </w:r>
            <w:r w:rsidRPr="005830D1">
              <w:rPr>
                <w:rFonts w:cs="Arial"/>
                <w:vertAlign w:val="superscript"/>
              </w:rPr>
              <w:fldChar w:fldCharType="end"/>
            </w:r>
            <w:r w:rsidRPr="005830D1">
              <w:rPr>
                <w:rFonts w:cs="Arial"/>
              </w:rPr>
              <w:t xml:space="preserve"> by one or more physicians </w:t>
            </w:r>
            <w:hyperlink w:anchor="Endnote25_Certified" w:history="1">
              <w:r w:rsidRPr="005830D1">
                <w:rPr>
                  <w:rStyle w:val="Hyperlink"/>
                  <w:rFonts w:cs="Arial"/>
                </w:rPr>
                <w:t>certified in critical care medicine</w:t>
              </w:r>
            </w:hyperlink>
            <w:r w:rsidRPr="005830D1">
              <w:rPr>
                <w:rFonts w:cs="Arial"/>
                <w:vertAlign w:val="superscript"/>
              </w:rPr>
              <w:fldChar w:fldCharType="begin"/>
            </w:r>
            <w:r w:rsidRPr="005830D1">
              <w:rPr>
                <w:rStyle w:val="Hyperlink"/>
                <w:rFonts w:cs="Arial"/>
              </w:rPr>
              <w:instrText xml:space="preserve"> NOTEREF _Ref534212273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36</w:t>
            </w:r>
            <w:r w:rsidRPr="005830D1">
              <w:rPr>
                <w:rFonts w:cs="Arial"/>
                <w:vertAlign w:val="superscript"/>
              </w:rPr>
              <w:fldChar w:fldCharType="end"/>
            </w:r>
            <w:r w:rsidRPr="005830D1">
              <w:rPr>
                <w:rFonts w:cs="Arial"/>
              </w:rPr>
              <w:t xml:space="preserve"> who meet </w:t>
            </w:r>
            <w:r w:rsidRPr="005830D1">
              <w:rPr>
                <w:rFonts w:cs="Arial"/>
                <w:b/>
              </w:rPr>
              <w:t>all</w:t>
            </w:r>
            <w:r w:rsidRPr="005830D1">
              <w:rPr>
                <w:rFonts w:cs="Arial"/>
              </w:rPr>
              <w:t xml:space="preserve"> the following criteria:</w:t>
            </w:r>
          </w:p>
          <w:p w14:paraId="2199DBCC" w14:textId="04F1FFF7" w:rsidR="00016179" w:rsidRPr="005830D1" w:rsidRDefault="00016179" w:rsidP="00016179">
            <w:pPr>
              <w:pStyle w:val="Header"/>
              <w:numPr>
                <w:ilvl w:val="0"/>
                <w:numId w:val="8"/>
              </w:numPr>
              <w:tabs>
                <w:tab w:val="clear" w:pos="4320"/>
                <w:tab w:val="clear" w:pos="8640"/>
              </w:tabs>
              <w:rPr>
                <w:rFonts w:cs="Arial"/>
              </w:rPr>
            </w:pPr>
            <w:hyperlink w:anchor="Endnote26_Present" w:history="1">
              <w:r w:rsidRPr="005830D1">
                <w:rPr>
                  <w:rStyle w:val="Hyperlink"/>
                  <w:rFonts w:cs="Arial"/>
                </w:rPr>
                <w:t>ordinarily present</w:t>
              </w:r>
            </w:hyperlink>
            <w:r w:rsidRPr="005830D1">
              <w:rPr>
                <w:vertAlign w:val="superscript"/>
              </w:rPr>
              <w:fldChar w:fldCharType="begin"/>
            </w:r>
            <w:r w:rsidRPr="005830D1">
              <w:rPr>
                <w:rStyle w:val="Hyperlink"/>
                <w:rFonts w:cs="Arial"/>
              </w:rPr>
              <w:instrText xml:space="preserve"> NOTEREF _Ref91166304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37</w:t>
            </w:r>
            <w:r w:rsidRPr="005830D1">
              <w:rPr>
                <w:vertAlign w:val="superscript"/>
              </w:rPr>
              <w:fldChar w:fldCharType="end"/>
            </w:r>
            <w:r w:rsidRPr="005830D1">
              <w:rPr>
                <w:rFonts w:cs="Arial"/>
              </w:rPr>
              <w:t xml:space="preserve"> on-site in the ICU during daytime hours;</w:t>
            </w:r>
          </w:p>
          <w:p w14:paraId="2691F10F" w14:textId="77777777" w:rsidR="00016179" w:rsidRPr="005830D1" w:rsidRDefault="00016179" w:rsidP="00016179">
            <w:pPr>
              <w:pStyle w:val="Header"/>
              <w:numPr>
                <w:ilvl w:val="0"/>
                <w:numId w:val="8"/>
              </w:numPr>
              <w:tabs>
                <w:tab w:val="clear" w:pos="4320"/>
                <w:tab w:val="clear" w:pos="8640"/>
              </w:tabs>
              <w:rPr>
                <w:rFonts w:cs="Arial"/>
                <w:b/>
                <w:u w:val="single"/>
              </w:rPr>
            </w:pPr>
            <w:r w:rsidRPr="005830D1">
              <w:rPr>
                <w:rFonts w:cs="Arial"/>
              </w:rPr>
              <w:t xml:space="preserve">for at least </w:t>
            </w:r>
            <w:r w:rsidRPr="005830D1">
              <w:rPr>
                <w:rFonts w:cs="Arial"/>
                <w:b/>
              </w:rPr>
              <w:t>8 hours per day, 4 days per week or 4 hours per day, 7 days per week</w:t>
            </w:r>
            <w:r w:rsidRPr="005830D1">
              <w:rPr>
                <w:rFonts w:cs="Arial"/>
                <w:bCs/>
              </w:rPr>
              <w:t>; and</w:t>
            </w:r>
          </w:p>
          <w:p w14:paraId="47D99F05" w14:textId="52F553B0" w:rsidR="00016179" w:rsidRPr="005830D1" w:rsidRDefault="00016179" w:rsidP="00016179">
            <w:pPr>
              <w:pStyle w:val="Header"/>
              <w:numPr>
                <w:ilvl w:val="0"/>
                <w:numId w:val="7"/>
              </w:numPr>
              <w:tabs>
                <w:tab w:val="clear" w:pos="4320"/>
                <w:tab w:val="clear" w:pos="8640"/>
              </w:tabs>
              <w:spacing w:after="120"/>
              <w:ind w:left="720"/>
              <w:rPr>
                <w:rFonts w:cs="Arial"/>
              </w:rPr>
            </w:pPr>
            <w:r w:rsidRPr="005830D1">
              <w:rPr>
                <w:rFonts w:cs="Arial"/>
              </w:rPr>
              <w:t xml:space="preserve">providing clinical care </w:t>
            </w:r>
            <w:hyperlink w:anchor="Endnote26_Present" w:history="1">
              <w:r w:rsidRPr="005830D1">
                <w:rPr>
                  <w:rStyle w:val="Hyperlink"/>
                  <w:rFonts w:cs="Arial"/>
                </w:rPr>
                <w:t>exclusively</w:t>
              </w:r>
            </w:hyperlink>
            <w:r w:rsidRPr="005830D1">
              <w:rPr>
                <w:vertAlign w:val="superscript"/>
              </w:rPr>
              <w:fldChar w:fldCharType="begin"/>
            </w:r>
            <w:r w:rsidRPr="005830D1">
              <w:rPr>
                <w:rStyle w:val="Hyperlink"/>
                <w:rFonts w:cs="Arial"/>
              </w:rPr>
              <w:instrText xml:space="preserve"> NOTEREF _Ref91166304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37</w:t>
            </w:r>
            <w:r w:rsidRPr="005830D1">
              <w:rPr>
                <w:vertAlign w:val="superscript"/>
              </w:rPr>
              <w:fldChar w:fldCharType="end"/>
            </w:r>
            <w:r w:rsidRPr="005830D1">
              <w:rPr>
                <w:rFonts w:cs="Arial"/>
              </w:rPr>
              <w:t xml:space="preserve"> in the ICU during these hours?</w:t>
            </w:r>
          </w:p>
        </w:tc>
        <w:tc>
          <w:tcPr>
            <w:tcW w:w="2233" w:type="dxa"/>
            <w:vAlign w:val="center"/>
          </w:tcPr>
          <w:p w14:paraId="02B6631A" w14:textId="77777777" w:rsidR="00016179" w:rsidRPr="005830D1" w:rsidRDefault="00016179" w:rsidP="00AD309C">
            <w:pPr>
              <w:pStyle w:val="ListParagraph"/>
              <w:numPr>
                <w:ilvl w:val="0"/>
                <w:numId w:val="344"/>
              </w:numPr>
              <w:rPr>
                <w:rFonts w:cs="Arial"/>
                <w:iCs/>
              </w:rPr>
            </w:pPr>
            <w:r w:rsidRPr="005830D1">
              <w:rPr>
                <w:rFonts w:cs="Arial"/>
                <w:iCs/>
              </w:rPr>
              <w:t>Yes</w:t>
            </w:r>
          </w:p>
          <w:p w14:paraId="2A049F95" w14:textId="77777777" w:rsidR="00016179" w:rsidRPr="005830D1" w:rsidRDefault="00016179" w:rsidP="00AD309C">
            <w:pPr>
              <w:pStyle w:val="ListParagraph"/>
              <w:numPr>
                <w:ilvl w:val="0"/>
                <w:numId w:val="344"/>
              </w:numPr>
              <w:rPr>
                <w:rFonts w:cs="Arial"/>
                <w:iCs/>
              </w:rPr>
            </w:pPr>
            <w:r w:rsidRPr="005830D1">
              <w:rPr>
                <w:rFonts w:cs="Arial"/>
                <w:iCs/>
              </w:rPr>
              <w:t>No</w:t>
            </w:r>
          </w:p>
        </w:tc>
      </w:tr>
      <w:tr w:rsidR="00016179" w:rsidRPr="005830D1" w14:paraId="2BAE26AA" w14:textId="77777777" w:rsidTr="00D73F6A">
        <w:trPr>
          <w:trHeight w:val="2304"/>
          <w:jc w:val="center"/>
        </w:trPr>
        <w:tc>
          <w:tcPr>
            <w:tcW w:w="7334" w:type="dxa"/>
            <w:vAlign w:val="center"/>
          </w:tcPr>
          <w:p w14:paraId="363B5353" w14:textId="66B7E502" w:rsidR="00016179" w:rsidRPr="005830D1" w:rsidRDefault="00016179" w:rsidP="00AD309C">
            <w:pPr>
              <w:pStyle w:val="ListParagraph"/>
              <w:numPr>
                <w:ilvl w:val="0"/>
                <w:numId w:val="407"/>
              </w:numPr>
              <w:rPr>
                <w:rFonts w:cs="Arial"/>
              </w:rPr>
            </w:pPr>
            <w:r w:rsidRPr="005830D1">
              <w:rPr>
                <w:rFonts w:cs="Arial"/>
              </w:rPr>
              <w:t xml:space="preserve">Are </w:t>
            </w:r>
            <w:hyperlink w:anchor="Endnote22_CCPatients" w:history="1">
              <w:r w:rsidRPr="005830D1">
                <w:rPr>
                  <w:rStyle w:val="Hyperlink"/>
                  <w:rFonts w:cs="Arial"/>
                </w:rPr>
                <w:t>all critical care patients</w:t>
              </w:r>
            </w:hyperlink>
            <w:r w:rsidRPr="005830D1">
              <w:rPr>
                <w:rFonts w:cs="Arial"/>
                <w:vertAlign w:val="superscript"/>
              </w:rPr>
              <w:fldChar w:fldCharType="begin"/>
            </w:r>
            <w:r w:rsidRPr="005830D1">
              <w:rPr>
                <w:rStyle w:val="Hyperlink"/>
                <w:rFonts w:cs="Arial"/>
              </w:rPr>
              <w:instrText xml:space="preserve"> NOTEREF _Ref534212310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34</w:t>
            </w:r>
            <w:r w:rsidRPr="005830D1">
              <w:rPr>
                <w:rFonts w:cs="Arial"/>
                <w:vertAlign w:val="superscript"/>
              </w:rPr>
              <w:fldChar w:fldCharType="end"/>
            </w:r>
            <w:r w:rsidRPr="005830D1">
              <w:rPr>
                <w:rFonts w:cs="Arial"/>
              </w:rPr>
              <w:t xml:space="preserve"> in the ICU </w:t>
            </w:r>
            <w:hyperlink w:anchor="Endnote24_Manage" w:history="1">
              <w:r w:rsidRPr="005830D1">
                <w:rPr>
                  <w:rStyle w:val="Hyperlink"/>
                  <w:rFonts w:cs="Arial"/>
                </w:rPr>
                <w:t>managed or co-managed</w:t>
              </w:r>
            </w:hyperlink>
            <w:r w:rsidRPr="005830D1">
              <w:rPr>
                <w:vertAlign w:val="superscript"/>
              </w:rPr>
              <w:fldChar w:fldCharType="begin"/>
            </w:r>
            <w:r w:rsidRPr="005830D1">
              <w:rPr>
                <w:rStyle w:val="Hyperlink"/>
                <w:rFonts w:cs="Arial"/>
              </w:rPr>
              <w:instrText xml:space="preserve"> NOTEREF _Ref91167015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35</w:t>
            </w:r>
            <w:r w:rsidRPr="005830D1">
              <w:rPr>
                <w:vertAlign w:val="superscript"/>
              </w:rPr>
              <w:fldChar w:fldCharType="end"/>
            </w:r>
            <w:r w:rsidRPr="005830D1">
              <w:rPr>
                <w:rFonts w:cs="Arial"/>
              </w:rPr>
              <w:t xml:space="preserve"> by one or more physicians </w:t>
            </w:r>
            <w:hyperlink w:anchor="Endnote25_Certified" w:history="1">
              <w:r w:rsidRPr="005830D1">
                <w:rPr>
                  <w:rStyle w:val="Hyperlink"/>
                  <w:rFonts w:cs="Arial"/>
                </w:rPr>
                <w:t>certified in critical care medicine</w:t>
              </w:r>
            </w:hyperlink>
            <w:r w:rsidRPr="005830D1">
              <w:rPr>
                <w:rFonts w:cs="Arial"/>
                <w:vertAlign w:val="superscript"/>
              </w:rPr>
              <w:fldChar w:fldCharType="begin"/>
            </w:r>
            <w:r w:rsidRPr="005830D1">
              <w:rPr>
                <w:rStyle w:val="Hyperlink"/>
                <w:rFonts w:cs="Arial"/>
              </w:rPr>
              <w:instrText xml:space="preserve"> NOTEREF _Ref534212273 \f \h </w:instrText>
            </w:r>
            <w:r w:rsidRPr="005830D1">
              <w:rPr>
                <w:rFonts w:cs="Arial"/>
                <w:vertAlign w:val="superscript"/>
              </w:rPr>
              <w:instrText xml:space="preserve"> \* MERGEFORMAT </w:instrText>
            </w:r>
            <w:r w:rsidRPr="005830D1">
              <w:rPr>
                <w:rFonts w:cs="Arial"/>
                <w:vertAlign w:val="superscript"/>
              </w:rPr>
            </w:r>
            <w:r w:rsidRPr="005830D1">
              <w:rPr>
                <w:rFonts w:cs="Arial"/>
                <w:vertAlign w:val="superscript"/>
              </w:rPr>
              <w:fldChar w:fldCharType="separate"/>
            </w:r>
            <w:r w:rsidR="007D53A2" w:rsidRPr="00A012EC">
              <w:rPr>
                <w:rStyle w:val="EndnoteReference"/>
              </w:rPr>
              <w:t>36</w:t>
            </w:r>
            <w:r w:rsidRPr="005830D1">
              <w:rPr>
                <w:rFonts w:cs="Arial"/>
                <w:vertAlign w:val="superscript"/>
              </w:rPr>
              <w:fldChar w:fldCharType="end"/>
            </w:r>
            <w:r w:rsidRPr="005830D1">
              <w:rPr>
                <w:rFonts w:cs="Arial"/>
              </w:rPr>
              <w:t xml:space="preserve"> who meet </w:t>
            </w:r>
            <w:r w:rsidRPr="005830D1">
              <w:rPr>
                <w:rFonts w:cs="Arial"/>
                <w:b/>
              </w:rPr>
              <w:t>all</w:t>
            </w:r>
            <w:r w:rsidRPr="005830D1">
              <w:rPr>
                <w:rFonts w:cs="Arial"/>
              </w:rPr>
              <w:t xml:space="preserve"> the following criteria:</w:t>
            </w:r>
          </w:p>
          <w:p w14:paraId="1CF85DE3" w14:textId="77777777" w:rsidR="00016179" w:rsidRPr="005830D1" w:rsidRDefault="00016179" w:rsidP="00016179">
            <w:pPr>
              <w:pStyle w:val="Header"/>
              <w:numPr>
                <w:ilvl w:val="0"/>
                <w:numId w:val="8"/>
              </w:numPr>
              <w:tabs>
                <w:tab w:val="clear" w:pos="4320"/>
                <w:tab w:val="clear" w:pos="8640"/>
              </w:tabs>
              <w:rPr>
                <w:rFonts w:cs="Arial"/>
              </w:rPr>
            </w:pPr>
            <w:r w:rsidRPr="005830D1">
              <w:rPr>
                <w:rFonts w:cs="Arial"/>
              </w:rPr>
              <w:t xml:space="preserve">present via telemedicine for </w:t>
            </w:r>
            <w:r w:rsidRPr="005830D1">
              <w:rPr>
                <w:rFonts w:cs="Arial"/>
                <w:b/>
              </w:rPr>
              <w:t>24 hours per day, 7 days per week</w:t>
            </w:r>
            <w:r w:rsidRPr="005830D1">
              <w:rPr>
                <w:rFonts w:cs="Arial"/>
              </w:rPr>
              <w:t>;</w:t>
            </w:r>
          </w:p>
          <w:p w14:paraId="7F3692EB" w14:textId="5E9F6570" w:rsidR="00016179" w:rsidRPr="005830D1" w:rsidRDefault="00016179" w:rsidP="00016179">
            <w:pPr>
              <w:pStyle w:val="Header"/>
              <w:numPr>
                <w:ilvl w:val="0"/>
                <w:numId w:val="8"/>
              </w:numPr>
              <w:tabs>
                <w:tab w:val="clear" w:pos="4320"/>
                <w:tab w:val="clear" w:pos="8640"/>
              </w:tabs>
              <w:rPr>
                <w:rFonts w:cs="Arial"/>
              </w:rPr>
            </w:pPr>
            <w:r w:rsidRPr="005830D1">
              <w:rPr>
                <w:rFonts w:cs="Arial"/>
              </w:rPr>
              <w:t>meet all of Leapfrog’s modified ICU requirements for intensivist presence in the ICU via telemedicine (</w:t>
            </w:r>
            <w:hyperlink w:anchor="Endnote32_ModifiedTelemedicine" w:history="1">
              <w:r w:rsidRPr="005830D1">
                <w:rPr>
                  <w:rStyle w:val="Hyperlink"/>
                  <w:rFonts w:cs="Arial"/>
                  <w:snapToGrid w:val="0"/>
                </w:rPr>
                <w:t>More Information</w:t>
              </w:r>
            </w:hyperlink>
            <w:r w:rsidR="00C31E4A" w:rsidRPr="005830D1">
              <w:rPr>
                <w:rStyle w:val="Hyperlink"/>
                <w:rFonts w:cs="Arial"/>
                <w:snapToGrid w:val="0"/>
                <w:color w:val="auto"/>
                <w:u w:val="none"/>
                <w:vertAlign w:val="superscript"/>
              </w:rPr>
              <w:t>43</w:t>
            </w:r>
            <w:r w:rsidRPr="005830D1">
              <w:rPr>
                <w:rFonts w:cs="Arial"/>
              </w:rPr>
              <w:t>); and</w:t>
            </w:r>
          </w:p>
          <w:p w14:paraId="6BAF502F" w14:textId="77777777" w:rsidR="00016179" w:rsidRPr="005830D1" w:rsidRDefault="00016179" w:rsidP="00016179">
            <w:pPr>
              <w:pStyle w:val="Header"/>
              <w:numPr>
                <w:ilvl w:val="0"/>
                <w:numId w:val="8"/>
              </w:numPr>
              <w:tabs>
                <w:tab w:val="clear" w:pos="4320"/>
                <w:tab w:val="clear" w:pos="8640"/>
              </w:tabs>
              <w:rPr>
                <w:rFonts w:cs="Arial"/>
              </w:rPr>
            </w:pPr>
            <w:r w:rsidRPr="005830D1">
              <w:rPr>
                <w:rFonts w:cs="Arial"/>
              </w:rPr>
              <w:t>supported in the establishment and revision of daily care planning for each ICU patient by an on-site intensivist, hospitalist, anesthesiologist, or physician trained in emergency medicine?</w:t>
            </w:r>
          </w:p>
        </w:tc>
        <w:tc>
          <w:tcPr>
            <w:tcW w:w="2233" w:type="dxa"/>
            <w:vAlign w:val="center"/>
          </w:tcPr>
          <w:p w14:paraId="3FA3FD01" w14:textId="77777777" w:rsidR="00016179" w:rsidRPr="005830D1" w:rsidRDefault="00016179" w:rsidP="00AD309C">
            <w:pPr>
              <w:pStyle w:val="ListParagraph"/>
              <w:numPr>
                <w:ilvl w:val="0"/>
                <w:numId w:val="344"/>
              </w:numPr>
              <w:rPr>
                <w:rFonts w:cs="Arial"/>
                <w:iCs/>
              </w:rPr>
            </w:pPr>
            <w:r w:rsidRPr="005830D1">
              <w:rPr>
                <w:rFonts w:cs="Arial"/>
                <w:iCs/>
              </w:rPr>
              <w:t>Yes</w:t>
            </w:r>
          </w:p>
          <w:p w14:paraId="112DF8CA" w14:textId="77777777" w:rsidR="00016179" w:rsidRPr="005830D1" w:rsidRDefault="00016179" w:rsidP="00AD309C">
            <w:pPr>
              <w:pStyle w:val="ListParagraph"/>
              <w:numPr>
                <w:ilvl w:val="0"/>
                <w:numId w:val="344"/>
              </w:numPr>
              <w:rPr>
                <w:rFonts w:cs="Arial"/>
                <w:iCs/>
              </w:rPr>
            </w:pPr>
            <w:r w:rsidRPr="005830D1">
              <w:rPr>
                <w:rFonts w:cs="Arial"/>
                <w:iCs/>
              </w:rPr>
              <w:t>No</w:t>
            </w:r>
          </w:p>
        </w:tc>
      </w:tr>
      <w:tr w:rsidR="00016179" w:rsidRPr="005830D1" w14:paraId="3FA92E73" w14:textId="77777777" w:rsidTr="00D73F6A">
        <w:trPr>
          <w:trHeight w:val="1008"/>
          <w:jc w:val="center"/>
        </w:trPr>
        <w:tc>
          <w:tcPr>
            <w:tcW w:w="7334" w:type="dxa"/>
            <w:vAlign w:val="center"/>
          </w:tcPr>
          <w:p w14:paraId="530E13F6" w14:textId="01E935B3" w:rsidR="00016179" w:rsidRPr="005830D1" w:rsidRDefault="00016179" w:rsidP="00AD309C">
            <w:pPr>
              <w:numPr>
                <w:ilvl w:val="0"/>
                <w:numId w:val="407"/>
              </w:numPr>
              <w:rPr>
                <w:rFonts w:cs="Arial"/>
              </w:rPr>
            </w:pPr>
            <w:r w:rsidRPr="005830D1">
              <w:rPr>
                <w:rFonts w:cs="Arial"/>
              </w:rPr>
              <w:t xml:space="preserve">Are </w:t>
            </w:r>
            <w:hyperlink w:anchor="Endnote22_CCPatients" w:history="1">
              <w:r w:rsidRPr="005830D1">
                <w:rPr>
                  <w:rStyle w:val="Hyperlink"/>
                  <w:rFonts w:cs="Arial"/>
                </w:rPr>
                <w:t>all critical care patients</w:t>
              </w:r>
            </w:hyperlink>
            <w:r w:rsidRPr="005830D1">
              <w:rPr>
                <w:rStyle w:val="Hyperlink"/>
                <w:rFonts w:cs="Arial"/>
              </w:rPr>
              <w:fldChar w:fldCharType="begin"/>
            </w:r>
            <w:r w:rsidRPr="005830D1">
              <w:rPr>
                <w:rStyle w:val="Hyperlink"/>
                <w:rFonts w:cs="Arial"/>
              </w:rPr>
              <w:instrText xml:space="preserve"> NOTEREF _Ref534212310 \f \h  \* MERGEFORMAT </w:instrText>
            </w:r>
            <w:r w:rsidRPr="005830D1">
              <w:rPr>
                <w:rStyle w:val="Hyperlink"/>
                <w:rFonts w:cs="Arial"/>
              </w:rPr>
            </w:r>
            <w:r w:rsidRPr="005830D1">
              <w:rPr>
                <w:rStyle w:val="Hyperlink"/>
                <w:rFonts w:cs="Arial"/>
              </w:rPr>
              <w:fldChar w:fldCharType="separate"/>
            </w:r>
            <w:r w:rsidR="007D53A2" w:rsidRPr="00A012EC">
              <w:rPr>
                <w:rStyle w:val="EndnoteReference"/>
              </w:rPr>
              <w:t>34</w:t>
            </w:r>
            <w:r w:rsidRPr="005830D1">
              <w:rPr>
                <w:rStyle w:val="Hyperlink"/>
                <w:rFonts w:cs="Arial"/>
              </w:rPr>
              <w:fldChar w:fldCharType="end"/>
            </w:r>
            <w:r w:rsidRPr="005830D1">
              <w:rPr>
                <w:rFonts w:cs="Arial"/>
              </w:rPr>
              <w:t xml:space="preserve"> in the ICU </w:t>
            </w:r>
            <w:hyperlink w:anchor="Endnote24_Manage" w:history="1">
              <w:r w:rsidRPr="005830D1">
                <w:rPr>
                  <w:rStyle w:val="Hyperlink"/>
                  <w:rFonts w:cs="Arial"/>
                </w:rPr>
                <w:t>managed or co-managed</w:t>
              </w:r>
              <w:r w:rsidRPr="005830D1">
                <w:rPr>
                  <w:rStyle w:val="Hyperlink"/>
                  <w:vertAlign w:val="superscript"/>
                </w:rPr>
                <w:fldChar w:fldCharType="begin"/>
              </w:r>
              <w:r w:rsidRPr="005830D1">
                <w:rPr>
                  <w:rStyle w:val="Hyperlink"/>
                  <w:rFonts w:cs="Arial"/>
                </w:rPr>
                <w:instrText xml:space="preserve"> NOTEREF _Ref91167015 \f \h </w:instrText>
              </w:r>
              <w:r w:rsidRPr="005830D1">
                <w:rPr>
                  <w:rStyle w:val="Hyperlink"/>
                  <w:vertAlign w:val="superscript"/>
                </w:rPr>
                <w:instrText xml:space="preserve"> \* MERGEFORMAT </w:instrText>
              </w:r>
              <w:r w:rsidRPr="005830D1">
                <w:rPr>
                  <w:rStyle w:val="Hyperlink"/>
                  <w:vertAlign w:val="superscript"/>
                </w:rPr>
              </w:r>
              <w:r w:rsidRPr="005830D1">
                <w:rPr>
                  <w:rStyle w:val="Hyperlink"/>
                  <w:vertAlign w:val="superscript"/>
                </w:rPr>
                <w:fldChar w:fldCharType="separate"/>
              </w:r>
              <w:r w:rsidR="007D53A2" w:rsidRPr="00A012EC">
                <w:rPr>
                  <w:rStyle w:val="EndnoteReference"/>
                </w:rPr>
                <w:t>35</w:t>
              </w:r>
              <w:r w:rsidRPr="005830D1">
                <w:rPr>
                  <w:rStyle w:val="Hyperlink"/>
                  <w:vertAlign w:val="superscript"/>
                </w:rPr>
                <w:fldChar w:fldCharType="end"/>
              </w:r>
            </w:hyperlink>
            <w:r w:rsidRPr="005830D1">
              <w:rPr>
                <w:rFonts w:cs="Arial"/>
              </w:rPr>
              <w:t xml:space="preserve"> by one or more physicians </w:t>
            </w:r>
            <w:hyperlink w:anchor="Endnote25_Certified" w:history="1">
              <w:r w:rsidRPr="005830D1">
                <w:rPr>
                  <w:rStyle w:val="Hyperlink"/>
                  <w:rFonts w:cs="Arial"/>
                </w:rPr>
                <w:t>certified in critical care medicine</w:t>
              </w:r>
            </w:hyperlink>
            <w:r w:rsidRPr="005830D1">
              <w:rPr>
                <w:vertAlign w:val="superscript"/>
              </w:rPr>
              <w:fldChar w:fldCharType="begin"/>
            </w:r>
            <w:r w:rsidRPr="005830D1">
              <w:rPr>
                <w:rStyle w:val="Hyperlink"/>
                <w:rFonts w:cs="Arial"/>
              </w:rPr>
              <w:instrText xml:space="preserve"> NOTEREF _Ref534212273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36</w:t>
            </w:r>
            <w:r w:rsidRPr="005830D1">
              <w:rPr>
                <w:vertAlign w:val="superscript"/>
              </w:rPr>
              <w:fldChar w:fldCharType="end"/>
            </w:r>
            <w:r w:rsidRPr="005830D1">
              <w:rPr>
                <w:rFonts w:cs="Arial"/>
              </w:rPr>
              <w:t xml:space="preserve"> who are:</w:t>
            </w:r>
          </w:p>
          <w:p w14:paraId="5E2093CA" w14:textId="77777777" w:rsidR="00016179" w:rsidRPr="005830D1" w:rsidRDefault="00016179" w:rsidP="00016179">
            <w:pPr>
              <w:pStyle w:val="Header"/>
              <w:numPr>
                <w:ilvl w:val="0"/>
                <w:numId w:val="7"/>
              </w:numPr>
              <w:tabs>
                <w:tab w:val="clear" w:pos="4320"/>
                <w:tab w:val="clear" w:pos="8640"/>
              </w:tabs>
              <w:ind w:left="720"/>
              <w:rPr>
                <w:rFonts w:cs="Arial"/>
              </w:rPr>
            </w:pPr>
            <w:r w:rsidRPr="005830D1">
              <w:rPr>
                <w:rFonts w:cs="Arial"/>
              </w:rPr>
              <w:t xml:space="preserve">on-site at least </w:t>
            </w:r>
            <w:r w:rsidRPr="005830D1">
              <w:rPr>
                <w:rFonts w:cs="Arial"/>
                <w:b/>
              </w:rPr>
              <w:t>4 days per week</w:t>
            </w:r>
            <w:r w:rsidRPr="005830D1">
              <w:rPr>
                <w:rFonts w:cs="Arial"/>
              </w:rPr>
              <w:t xml:space="preserve"> to establish or revise daily care plans for each critical care patient in the ICU?</w:t>
            </w:r>
          </w:p>
        </w:tc>
        <w:tc>
          <w:tcPr>
            <w:tcW w:w="2233" w:type="dxa"/>
            <w:vAlign w:val="center"/>
          </w:tcPr>
          <w:p w14:paraId="22D29AE7" w14:textId="77777777" w:rsidR="00016179" w:rsidRPr="005830D1" w:rsidRDefault="00016179" w:rsidP="00AD309C">
            <w:pPr>
              <w:pStyle w:val="ListParagraph"/>
              <w:numPr>
                <w:ilvl w:val="0"/>
                <w:numId w:val="344"/>
              </w:numPr>
              <w:rPr>
                <w:rFonts w:cs="Arial"/>
                <w:iCs/>
              </w:rPr>
            </w:pPr>
            <w:r w:rsidRPr="005830D1">
              <w:rPr>
                <w:rFonts w:cs="Arial"/>
                <w:iCs/>
              </w:rPr>
              <w:t>Yes</w:t>
            </w:r>
          </w:p>
          <w:p w14:paraId="048D66B0" w14:textId="77777777" w:rsidR="00016179" w:rsidRPr="005830D1" w:rsidRDefault="00016179" w:rsidP="00AD309C">
            <w:pPr>
              <w:pStyle w:val="ListParagraph"/>
              <w:numPr>
                <w:ilvl w:val="0"/>
                <w:numId w:val="344"/>
              </w:numPr>
              <w:rPr>
                <w:rFonts w:cs="Arial"/>
                <w:iCs/>
              </w:rPr>
            </w:pPr>
            <w:r w:rsidRPr="005830D1">
              <w:rPr>
                <w:rFonts w:cs="Arial"/>
                <w:iCs/>
              </w:rPr>
              <w:t>No</w:t>
            </w:r>
          </w:p>
        </w:tc>
      </w:tr>
    </w:tbl>
    <w:p w14:paraId="5867DAAD" w14:textId="77777777" w:rsidR="00016179" w:rsidRPr="005830D1" w:rsidRDefault="00016179" w:rsidP="00016179">
      <w:pPr>
        <w:rPr>
          <w:rFonts w:cs="Arial"/>
          <w:i/>
        </w:rPr>
      </w:pPr>
    </w:p>
    <w:p w14:paraId="233D0414" w14:textId="77777777" w:rsidR="00016179" w:rsidRPr="005830D1" w:rsidRDefault="00016179" w:rsidP="00016179">
      <w:pPr>
        <w:rPr>
          <w:rFonts w:cs="Arial"/>
          <w:i/>
        </w:rPr>
      </w:pPr>
      <w:r w:rsidRPr="005830D1">
        <w:rPr>
          <w:rFonts w:cs="Arial"/>
          <w:i/>
        </w:rPr>
        <w:t>If “yes” to question #9, #10, or #11, skip question #12 and continue to question #13.</w:t>
      </w:r>
    </w:p>
    <w:p w14:paraId="76D235F3" w14:textId="77777777" w:rsidR="00016179" w:rsidRPr="005830D1" w:rsidRDefault="00016179" w:rsidP="00016179">
      <w:pPr>
        <w:rPr>
          <w:rFonts w:cs="Arial"/>
        </w:rPr>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4"/>
        <w:gridCol w:w="2233"/>
      </w:tblGrid>
      <w:tr w:rsidR="00016179" w:rsidRPr="005830D1" w14:paraId="149736A9" w14:textId="77777777" w:rsidTr="00D73F6A">
        <w:trPr>
          <w:trHeight w:val="2016"/>
          <w:jc w:val="center"/>
        </w:trPr>
        <w:tc>
          <w:tcPr>
            <w:tcW w:w="7334" w:type="dxa"/>
            <w:vAlign w:val="center"/>
          </w:tcPr>
          <w:p w14:paraId="796C9E70" w14:textId="7C96AF21" w:rsidR="00016179" w:rsidRPr="005830D1" w:rsidRDefault="00016179" w:rsidP="00AD309C">
            <w:pPr>
              <w:numPr>
                <w:ilvl w:val="0"/>
                <w:numId w:val="407"/>
              </w:numPr>
              <w:rPr>
                <w:rFonts w:cs="Arial"/>
              </w:rPr>
            </w:pPr>
            <w:r w:rsidRPr="005830D1">
              <w:rPr>
                <w:rFonts w:cs="Arial"/>
              </w:rPr>
              <w:t xml:space="preserve">If not </w:t>
            </w:r>
            <w:hyperlink w:anchor="Endnote22_CCPatients" w:history="1">
              <w:r w:rsidRPr="005830D1">
                <w:rPr>
                  <w:rStyle w:val="Hyperlink"/>
                  <w:rFonts w:cs="Arial"/>
                </w:rPr>
                <w:t>all critical care patients</w:t>
              </w:r>
            </w:hyperlink>
            <w:r w:rsidRPr="005830D1">
              <w:rPr>
                <w:vertAlign w:val="superscript"/>
              </w:rPr>
              <w:fldChar w:fldCharType="begin"/>
            </w:r>
            <w:r w:rsidRPr="005830D1">
              <w:rPr>
                <w:rStyle w:val="Hyperlink"/>
                <w:rFonts w:cs="Arial"/>
              </w:rPr>
              <w:instrText xml:space="preserve"> NOTEREF _Ref534212310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34</w:t>
            </w:r>
            <w:r w:rsidRPr="005830D1">
              <w:rPr>
                <w:vertAlign w:val="superscript"/>
              </w:rPr>
              <w:fldChar w:fldCharType="end"/>
            </w:r>
            <w:r w:rsidRPr="005830D1">
              <w:rPr>
                <w:rFonts w:cs="Arial"/>
              </w:rPr>
              <w:t xml:space="preserve"> are </w:t>
            </w:r>
            <w:hyperlink w:anchor="Endnote24_Manage" w:history="1">
              <w:r w:rsidRPr="005830D1">
                <w:rPr>
                  <w:rStyle w:val="Hyperlink"/>
                  <w:rFonts w:cs="Arial"/>
                </w:rPr>
                <w:t>managed or co-managed</w:t>
              </w:r>
            </w:hyperlink>
            <w:r w:rsidRPr="005830D1">
              <w:rPr>
                <w:vertAlign w:val="superscript"/>
              </w:rPr>
              <w:fldChar w:fldCharType="begin"/>
            </w:r>
            <w:r w:rsidRPr="005830D1">
              <w:rPr>
                <w:rStyle w:val="Hyperlink"/>
                <w:rFonts w:cs="Arial"/>
              </w:rPr>
              <w:instrText xml:space="preserve"> NOTEREF _Ref91167015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35</w:t>
            </w:r>
            <w:r w:rsidRPr="005830D1">
              <w:rPr>
                <w:vertAlign w:val="superscript"/>
              </w:rPr>
              <w:fldChar w:fldCharType="end"/>
            </w:r>
            <w:r w:rsidRPr="005830D1">
              <w:rPr>
                <w:rFonts w:cs="Arial"/>
              </w:rPr>
              <w:t xml:space="preserve"> by physicians </w:t>
            </w:r>
            <w:hyperlink w:anchor="Endnote25_Certified" w:history="1">
              <w:r w:rsidRPr="005830D1">
                <w:rPr>
                  <w:rStyle w:val="Hyperlink"/>
                  <w:rFonts w:cs="Arial"/>
                </w:rPr>
                <w:t>certified in critical care medicine</w:t>
              </w:r>
            </w:hyperlink>
            <w:r w:rsidRPr="005830D1">
              <w:rPr>
                <w:vertAlign w:val="superscript"/>
              </w:rPr>
              <w:fldChar w:fldCharType="begin"/>
            </w:r>
            <w:r w:rsidRPr="005830D1">
              <w:rPr>
                <w:rStyle w:val="Hyperlink"/>
                <w:rFonts w:cs="Arial"/>
              </w:rPr>
              <w:instrText xml:space="preserve"> NOTEREF _Ref534212273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36</w:t>
            </w:r>
            <w:r w:rsidRPr="005830D1">
              <w:rPr>
                <w:vertAlign w:val="superscript"/>
              </w:rPr>
              <w:fldChar w:fldCharType="end"/>
            </w:r>
            <w:r w:rsidRPr="005830D1">
              <w:rPr>
                <w:rFonts w:cs="Arial"/>
              </w:rPr>
              <w:t xml:space="preserve">, either on-site or via </w:t>
            </w:r>
            <w:hyperlink w:anchor="Endnote27_Telemedicine" w:history="1">
              <w:r w:rsidRPr="005830D1">
                <w:rPr>
                  <w:rStyle w:val="Hyperlink"/>
                  <w:rFonts w:cs="Arial"/>
                </w:rPr>
                <w:t>telemedicine</w:t>
              </w:r>
            </w:hyperlink>
            <w:r w:rsidRPr="005830D1">
              <w:rPr>
                <w:vertAlign w:val="superscript"/>
              </w:rPr>
              <w:fldChar w:fldCharType="begin"/>
            </w:r>
            <w:r w:rsidRPr="005830D1">
              <w:rPr>
                <w:rStyle w:val="Hyperlink"/>
                <w:rFonts w:cs="Arial"/>
              </w:rPr>
              <w:instrText xml:space="preserve"> NOTEREF _Ref534212061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38</w:t>
            </w:r>
            <w:r w:rsidRPr="005830D1">
              <w:rPr>
                <w:vertAlign w:val="superscript"/>
              </w:rPr>
              <w:fldChar w:fldCharType="end"/>
            </w:r>
            <w:r w:rsidRPr="005830D1">
              <w:rPr>
                <w:rFonts w:cs="Arial"/>
              </w:rPr>
              <w:t xml:space="preserve">, are </w:t>
            </w:r>
            <w:r w:rsidRPr="005830D1">
              <w:rPr>
                <w:rFonts w:cs="Arial"/>
                <w:b/>
              </w:rPr>
              <w:t>some critical care patients</w:t>
            </w:r>
            <w:r w:rsidRPr="005830D1">
              <w:rPr>
                <w:rFonts w:cs="Arial"/>
              </w:rPr>
              <w:t xml:space="preserve"> managed or co-managed by these physicians who are:</w:t>
            </w:r>
          </w:p>
          <w:p w14:paraId="570735EF" w14:textId="2B8208A7" w:rsidR="00016179" w:rsidRPr="005830D1" w:rsidRDefault="00016179" w:rsidP="00AD309C">
            <w:pPr>
              <w:pStyle w:val="Header"/>
              <w:numPr>
                <w:ilvl w:val="0"/>
                <w:numId w:val="182"/>
              </w:numPr>
              <w:tabs>
                <w:tab w:val="clear" w:pos="4320"/>
                <w:tab w:val="clear" w:pos="8640"/>
              </w:tabs>
              <w:rPr>
                <w:rFonts w:cs="Arial"/>
              </w:rPr>
            </w:pPr>
            <w:hyperlink w:anchor="Endnote26_Present" w:history="1">
              <w:r w:rsidRPr="005830D1">
                <w:rPr>
                  <w:rStyle w:val="Hyperlink"/>
                  <w:rFonts w:cs="Arial"/>
                </w:rPr>
                <w:t>ordinarily present</w:t>
              </w:r>
            </w:hyperlink>
            <w:r w:rsidRPr="005830D1">
              <w:rPr>
                <w:vertAlign w:val="superscript"/>
              </w:rPr>
              <w:fldChar w:fldCharType="begin"/>
            </w:r>
            <w:r w:rsidRPr="005830D1">
              <w:rPr>
                <w:rStyle w:val="Hyperlink"/>
                <w:rFonts w:cs="Arial"/>
              </w:rPr>
              <w:instrText xml:space="preserve"> NOTEREF _Ref91166304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37</w:t>
            </w:r>
            <w:r w:rsidRPr="005830D1">
              <w:rPr>
                <w:vertAlign w:val="superscript"/>
              </w:rPr>
              <w:fldChar w:fldCharType="end"/>
            </w:r>
            <w:r w:rsidRPr="005830D1">
              <w:rPr>
                <w:rFonts w:cs="Arial"/>
              </w:rPr>
              <w:t xml:space="preserve"> on-site in the ICU during daytime hours;</w:t>
            </w:r>
          </w:p>
          <w:p w14:paraId="4AACE66B" w14:textId="77777777" w:rsidR="00016179" w:rsidRPr="005830D1" w:rsidRDefault="00016179" w:rsidP="00AD309C">
            <w:pPr>
              <w:pStyle w:val="Header"/>
              <w:numPr>
                <w:ilvl w:val="0"/>
                <w:numId w:val="182"/>
              </w:numPr>
              <w:tabs>
                <w:tab w:val="clear" w:pos="4320"/>
                <w:tab w:val="clear" w:pos="8640"/>
              </w:tabs>
              <w:rPr>
                <w:rFonts w:cs="Arial"/>
                <w:b/>
                <w:u w:val="single"/>
              </w:rPr>
            </w:pPr>
            <w:r w:rsidRPr="005830D1">
              <w:rPr>
                <w:rFonts w:cs="Arial"/>
              </w:rPr>
              <w:t xml:space="preserve">for at least </w:t>
            </w:r>
            <w:r w:rsidRPr="005830D1">
              <w:rPr>
                <w:rFonts w:cs="Arial"/>
                <w:b/>
              </w:rPr>
              <w:t>8 hours per day, 4 days per week or 4 hours per day, 7 days per week</w:t>
            </w:r>
            <w:r w:rsidRPr="005830D1">
              <w:rPr>
                <w:rFonts w:cs="Arial"/>
                <w:bCs/>
              </w:rPr>
              <w:t>; and</w:t>
            </w:r>
          </w:p>
          <w:p w14:paraId="6610737B" w14:textId="3FCCFB49" w:rsidR="00016179" w:rsidRPr="005830D1" w:rsidRDefault="00016179" w:rsidP="00AD309C">
            <w:pPr>
              <w:pStyle w:val="ListParagraph"/>
              <w:numPr>
                <w:ilvl w:val="0"/>
                <w:numId w:val="182"/>
              </w:numPr>
              <w:rPr>
                <w:rFonts w:cs="Arial"/>
              </w:rPr>
            </w:pPr>
            <w:r w:rsidRPr="005830D1">
              <w:rPr>
                <w:rFonts w:cs="Arial"/>
              </w:rPr>
              <w:t xml:space="preserve">providing clinical care </w:t>
            </w:r>
            <w:hyperlink w:anchor="Endnote26_Present" w:history="1">
              <w:r w:rsidRPr="005830D1">
                <w:rPr>
                  <w:rStyle w:val="Hyperlink"/>
                  <w:rFonts w:cs="Arial"/>
                </w:rPr>
                <w:t>exclusively</w:t>
              </w:r>
            </w:hyperlink>
            <w:r w:rsidRPr="005830D1">
              <w:rPr>
                <w:vertAlign w:val="superscript"/>
              </w:rPr>
              <w:fldChar w:fldCharType="begin"/>
            </w:r>
            <w:r w:rsidRPr="005830D1">
              <w:rPr>
                <w:rStyle w:val="Hyperlink"/>
                <w:rFonts w:cs="Arial"/>
              </w:rPr>
              <w:instrText xml:space="preserve"> NOTEREF _Ref91166304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37</w:t>
            </w:r>
            <w:r w:rsidRPr="005830D1">
              <w:rPr>
                <w:vertAlign w:val="superscript"/>
              </w:rPr>
              <w:fldChar w:fldCharType="end"/>
            </w:r>
            <w:r w:rsidRPr="005830D1">
              <w:rPr>
                <w:rFonts w:cs="Arial"/>
              </w:rPr>
              <w:t xml:space="preserve"> in the ICU during these hours?</w:t>
            </w:r>
          </w:p>
        </w:tc>
        <w:tc>
          <w:tcPr>
            <w:tcW w:w="2233" w:type="dxa"/>
            <w:vAlign w:val="center"/>
          </w:tcPr>
          <w:p w14:paraId="202B2302" w14:textId="77777777" w:rsidR="00016179" w:rsidRPr="005830D1" w:rsidRDefault="00016179" w:rsidP="00AD309C">
            <w:pPr>
              <w:pStyle w:val="ListParagraph"/>
              <w:numPr>
                <w:ilvl w:val="0"/>
                <w:numId w:val="345"/>
              </w:numPr>
              <w:rPr>
                <w:rFonts w:cs="Arial"/>
                <w:iCs/>
              </w:rPr>
            </w:pPr>
            <w:r w:rsidRPr="005830D1">
              <w:rPr>
                <w:rFonts w:cs="Arial"/>
                <w:iCs/>
              </w:rPr>
              <w:t>Yes</w:t>
            </w:r>
          </w:p>
          <w:p w14:paraId="31EAB7BA" w14:textId="77777777" w:rsidR="00016179" w:rsidRPr="005830D1" w:rsidRDefault="00016179" w:rsidP="00AD309C">
            <w:pPr>
              <w:pStyle w:val="ListParagraph"/>
              <w:numPr>
                <w:ilvl w:val="0"/>
                <w:numId w:val="345"/>
              </w:numPr>
              <w:rPr>
                <w:rFonts w:cs="Arial"/>
                <w:iCs/>
              </w:rPr>
            </w:pPr>
            <w:r w:rsidRPr="005830D1">
              <w:rPr>
                <w:rFonts w:cs="Arial"/>
                <w:iCs/>
              </w:rPr>
              <w:t>No</w:t>
            </w:r>
          </w:p>
        </w:tc>
      </w:tr>
      <w:tr w:rsidR="00016179" w:rsidRPr="005830D1" w14:paraId="27163A36" w14:textId="77777777" w:rsidTr="00D73F6A">
        <w:trPr>
          <w:trHeight w:val="2160"/>
          <w:jc w:val="center"/>
        </w:trPr>
        <w:tc>
          <w:tcPr>
            <w:tcW w:w="7334" w:type="dxa"/>
            <w:vAlign w:val="center"/>
          </w:tcPr>
          <w:p w14:paraId="0818ADF1" w14:textId="77777777" w:rsidR="00016179" w:rsidRPr="005830D1" w:rsidRDefault="00016179" w:rsidP="00AD309C">
            <w:pPr>
              <w:pStyle w:val="ListParagraph"/>
              <w:numPr>
                <w:ilvl w:val="0"/>
                <w:numId w:val="407"/>
              </w:numPr>
              <w:rPr>
                <w:rFonts w:cs="Arial"/>
              </w:rPr>
            </w:pPr>
            <w:r w:rsidRPr="005830D1">
              <w:rPr>
                <w:rFonts w:cs="Arial"/>
              </w:rPr>
              <w:lastRenderedPageBreak/>
              <w:t xml:space="preserve">Does an on-site clinical pharmacist do </w:t>
            </w:r>
            <w:r w:rsidRPr="005830D1">
              <w:rPr>
                <w:rFonts w:cs="Arial"/>
                <w:b/>
              </w:rPr>
              <w:t>all</w:t>
            </w:r>
            <w:r w:rsidRPr="005830D1">
              <w:rPr>
                <w:rFonts w:cs="Arial"/>
              </w:rPr>
              <w:t xml:space="preserve"> the following:</w:t>
            </w:r>
          </w:p>
          <w:p w14:paraId="35D5A109" w14:textId="541DB7A9" w:rsidR="00016179" w:rsidRPr="005830D1" w:rsidRDefault="00016179" w:rsidP="00AD309C">
            <w:pPr>
              <w:pStyle w:val="ListParagraph"/>
              <w:numPr>
                <w:ilvl w:val="0"/>
                <w:numId w:val="97"/>
              </w:numPr>
              <w:rPr>
                <w:rFonts w:cs="Arial"/>
              </w:rPr>
            </w:pPr>
            <w:r w:rsidRPr="005830D1">
              <w:rPr>
                <w:rFonts w:cs="Arial"/>
              </w:rPr>
              <w:t xml:space="preserve">at least 5 days per week, makes daily on-site rounds on </w:t>
            </w:r>
            <w:hyperlink w:anchor="Endnote22_CCPatients" w:history="1">
              <w:r w:rsidRPr="005830D1">
                <w:rPr>
                  <w:rStyle w:val="Hyperlink"/>
                  <w:rFonts w:cs="Arial"/>
                </w:rPr>
                <w:t>all critical care patients</w:t>
              </w:r>
            </w:hyperlink>
            <w:r w:rsidRPr="005830D1">
              <w:rPr>
                <w:rFonts w:cs="Arial"/>
              </w:rPr>
              <w:fldChar w:fldCharType="begin"/>
            </w:r>
            <w:r w:rsidRPr="005830D1">
              <w:rPr>
                <w:rFonts w:cs="Arial"/>
              </w:rPr>
              <w:instrText xml:space="preserve"> NOTEREF _Ref534212310 \f \h  \* MERGEFORMAT </w:instrText>
            </w:r>
            <w:r w:rsidRPr="005830D1">
              <w:rPr>
                <w:rFonts w:cs="Arial"/>
              </w:rPr>
            </w:r>
            <w:r w:rsidRPr="005830D1">
              <w:rPr>
                <w:rFonts w:cs="Arial"/>
              </w:rPr>
              <w:fldChar w:fldCharType="separate"/>
            </w:r>
            <w:r w:rsidR="007D53A2" w:rsidRPr="00A012EC">
              <w:rPr>
                <w:rStyle w:val="EndnoteReference"/>
              </w:rPr>
              <w:t>34</w:t>
            </w:r>
            <w:r w:rsidRPr="005830D1">
              <w:rPr>
                <w:rFonts w:cs="Arial"/>
              </w:rPr>
              <w:fldChar w:fldCharType="end"/>
            </w:r>
            <w:r w:rsidRPr="005830D1">
              <w:rPr>
                <w:rFonts w:cs="Arial"/>
              </w:rPr>
              <w:t xml:space="preserve"> in the </w:t>
            </w:r>
            <w:r w:rsidRPr="005830D1">
              <w:rPr>
                <w:rStyle w:val="Hyperlink"/>
                <w:rFonts w:cs="Arial"/>
                <w:color w:val="auto"/>
                <w:u w:val="none"/>
              </w:rPr>
              <w:t>ICU; and</w:t>
            </w:r>
          </w:p>
          <w:p w14:paraId="5F8FAFBB" w14:textId="131BA7F0" w:rsidR="00016179" w:rsidRPr="005830D1" w:rsidRDefault="00016179" w:rsidP="00AD309C">
            <w:pPr>
              <w:pStyle w:val="ListParagraph"/>
              <w:numPr>
                <w:ilvl w:val="0"/>
                <w:numId w:val="97"/>
              </w:numPr>
              <w:rPr>
                <w:rFonts w:cs="Arial"/>
              </w:rPr>
            </w:pPr>
            <w:r w:rsidRPr="005830D1">
              <w:rPr>
                <w:rFonts w:cs="Arial"/>
              </w:rPr>
              <w:t xml:space="preserve">on the other 2 days per week, returns more than 95% of calls/pages/texts from the unit within 5 minutes, based on a </w:t>
            </w:r>
            <w:hyperlink w:anchor="Endnote28_ResponseAnalysis" w:history="1">
              <w:r w:rsidRPr="005830D1">
                <w:rPr>
                  <w:rStyle w:val="Hyperlink"/>
                  <w:rFonts w:cs="Arial"/>
                </w:rPr>
                <w:t>quantified analysis</w:t>
              </w:r>
            </w:hyperlink>
            <w:r w:rsidRPr="005830D1">
              <w:rPr>
                <w:rFonts w:cs="Arial"/>
              </w:rPr>
              <w:fldChar w:fldCharType="begin"/>
            </w:r>
            <w:r w:rsidRPr="005830D1">
              <w:rPr>
                <w:rFonts w:cs="Arial"/>
              </w:rPr>
              <w:instrText xml:space="preserve"> NOTEREF _Ref534212563 \f \h  \* MERGEFORMAT </w:instrText>
            </w:r>
            <w:r w:rsidRPr="005830D1">
              <w:rPr>
                <w:rFonts w:cs="Arial"/>
              </w:rPr>
            </w:r>
            <w:r w:rsidRPr="005830D1">
              <w:rPr>
                <w:rFonts w:cs="Arial"/>
              </w:rPr>
              <w:fldChar w:fldCharType="separate"/>
            </w:r>
            <w:r w:rsidR="007D53A2" w:rsidRPr="00A012EC">
              <w:rPr>
                <w:rStyle w:val="EndnoteReference"/>
              </w:rPr>
              <w:t>39</w:t>
            </w:r>
            <w:r w:rsidRPr="005830D1">
              <w:rPr>
                <w:rFonts w:cs="Arial"/>
              </w:rPr>
              <w:fldChar w:fldCharType="end"/>
            </w:r>
            <w:r w:rsidRPr="005830D1">
              <w:rPr>
                <w:rFonts w:cs="Arial"/>
              </w:rPr>
              <w:t xml:space="preserve"> of notification device response time;</w:t>
            </w:r>
          </w:p>
          <w:p w14:paraId="2655947E" w14:textId="77777777" w:rsidR="00016179" w:rsidRPr="005830D1" w:rsidRDefault="00016179" w:rsidP="00D73F6A">
            <w:pPr>
              <w:rPr>
                <w:rFonts w:cs="Arial"/>
                <w:b/>
              </w:rPr>
            </w:pPr>
            <w:r w:rsidRPr="005830D1">
              <w:rPr>
                <w:rFonts w:cs="Arial"/>
                <w:b/>
              </w:rPr>
              <w:t>OR</w:t>
            </w:r>
          </w:p>
          <w:p w14:paraId="3C2E6D68" w14:textId="270657FD" w:rsidR="00016179" w:rsidRPr="005830D1" w:rsidRDefault="00016179" w:rsidP="00AD309C">
            <w:pPr>
              <w:pStyle w:val="ListParagraph"/>
              <w:numPr>
                <w:ilvl w:val="0"/>
                <w:numId w:val="97"/>
              </w:numPr>
              <w:rPr>
                <w:rFonts w:cs="Arial"/>
              </w:rPr>
            </w:pPr>
            <w:r w:rsidRPr="005830D1">
              <w:rPr>
                <w:rFonts w:cs="Arial"/>
              </w:rPr>
              <w:t xml:space="preserve">makes daily on-site rounds on </w:t>
            </w:r>
            <w:hyperlink w:anchor="Endnote22_CCPatients" w:history="1">
              <w:r w:rsidRPr="005830D1">
                <w:rPr>
                  <w:rStyle w:val="Hyperlink"/>
                  <w:rFonts w:cs="Arial"/>
                </w:rPr>
                <w:t>all critical care patients</w:t>
              </w:r>
            </w:hyperlink>
            <w:r w:rsidRPr="005830D1">
              <w:rPr>
                <w:rStyle w:val="Hyperlink"/>
                <w:rFonts w:cs="Arial"/>
                <w:color w:val="auto"/>
                <w:u w:val="none"/>
              </w:rPr>
              <w:fldChar w:fldCharType="begin"/>
            </w:r>
            <w:r w:rsidRPr="005830D1">
              <w:rPr>
                <w:rStyle w:val="Hyperlink"/>
                <w:rFonts w:cs="Arial"/>
                <w:color w:val="auto"/>
                <w:u w:val="none"/>
              </w:rPr>
              <w:instrText xml:space="preserve"> NOTEREF _Ref534212310 \f \h  \* MERGEFORMAT </w:instrText>
            </w:r>
            <w:r w:rsidRPr="005830D1">
              <w:rPr>
                <w:rStyle w:val="Hyperlink"/>
                <w:rFonts w:cs="Arial"/>
                <w:color w:val="auto"/>
                <w:u w:val="none"/>
              </w:rPr>
            </w:r>
            <w:r w:rsidRPr="005830D1">
              <w:rPr>
                <w:rStyle w:val="Hyperlink"/>
                <w:rFonts w:cs="Arial"/>
                <w:color w:val="auto"/>
                <w:u w:val="none"/>
              </w:rPr>
              <w:fldChar w:fldCharType="separate"/>
            </w:r>
            <w:r w:rsidR="007D53A2" w:rsidRPr="00A012EC">
              <w:rPr>
                <w:rStyle w:val="EndnoteReference"/>
              </w:rPr>
              <w:t>34</w:t>
            </w:r>
            <w:r w:rsidRPr="005830D1">
              <w:rPr>
                <w:rStyle w:val="Hyperlink"/>
                <w:rFonts w:cs="Arial"/>
                <w:color w:val="auto"/>
                <w:u w:val="none"/>
              </w:rPr>
              <w:fldChar w:fldCharType="end"/>
            </w:r>
            <w:r w:rsidRPr="005830D1">
              <w:rPr>
                <w:rFonts w:cs="Arial"/>
              </w:rPr>
              <w:t xml:space="preserve"> in the </w:t>
            </w:r>
            <w:r w:rsidRPr="005830D1">
              <w:rPr>
                <w:rStyle w:val="Hyperlink"/>
                <w:rFonts w:cs="Arial"/>
                <w:color w:val="auto"/>
                <w:u w:val="none"/>
              </w:rPr>
              <w:t>ICU 7 days per week</w:t>
            </w:r>
            <w:r w:rsidRPr="005830D1">
              <w:rPr>
                <w:rFonts w:cs="Arial"/>
              </w:rPr>
              <w:t xml:space="preserve">? </w:t>
            </w:r>
          </w:p>
        </w:tc>
        <w:tc>
          <w:tcPr>
            <w:tcW w:w="2233" w:type="dxa"/>
            <w:vAlign w:val="center"/>
          </w:tcPr>
          <w:p w14:paraId="5C27FB22" w14:textId="77777777" w:rsidR="00016179" w:rsidRPr="005830D1" w:rsidRDefault="00016179" w:rsidP="00AD309C">
            <w:pPr>
              <w:pStyle w:val="ListParagraph"/>
              <w:numPr>
                <w:ilvl w:val="0"/>
                <w:numId w:val="345"/>
              </w:numPr>
              <w:rPr>
                <w:rFonts w:cs="Arial"/>
                <w:iCs/>
              </w:rPr>
            </w:pPr>
            <w:r w:rsidRPr="005830D1">
              <w:rPr>
                <w:rFonts w:cs="Arial"/>
                <w:iCs/>
              </w:rPr>
              <w:t>Yes</w:t>
            </w:r>
          </w:p>
          <w:p w14:paraId="04DA24B7" w14:textId="77777777" w:rsidR="00016179" w:rsidRPr="005830D1" w:rsidRDefault="00016179" w:rsidP="00AD309C">
            <w:pPr>
              <w:pStyle w:val="ListParagraph"/>
              <w:numPr>
                <w:ilvl w:val="0"/>
                <w:numId w:val="345"/>
              </w:numPr>
              <w:rPr>
                <w:rFonts w:cs="Arial"/>
                <w:iCs/>
              </w:rPr>
            </w:pPr>
            <w:r w:rsidRPr="005830D1">
              <w:rPr>
                <w:rFonts w:cs="Arial"/>
                <w:iCs/>
              </w:rPr>
              <w:t>No</w:t>
            </w:r>
          </w:p>
          <w:p w14:paraId="3FBF4065" w14:textId="77777777" w:rsidR="00016179" w:rsidRPr="005830D1" w:rsidRDefault="00016179" w:rsidP="00AD309C">
            <w:pPr>
              <w:pStyle w:val="ListParagraph"/>
              <w:numPr>
                <w:ilvl w:val="0"/>
                <w:numId w:val="345"/>
              </w:numPr>
              <w:rPr>
                <w:rFonts w:cs="Arial"/>
                <w:iCs/>
              </w:rPr>
            </w:pPr>
            <w:r w:rsidRPr="005830D1">
              <w:rPr>
                <w:rFonts w:cs="Arial"/>
                <w:iCs/>
              </w:rPr>
              <w:t>Clinical pharmacist rounds 7 days per week</w:t>
            </w:r>
          </w:p>
        </w:tc>
      </w:tr>
      <w:tr w:rsidR="00016179" w:rsidRPr="005830D1" w14:paraId="435C5D4A" w14:textId="77777777" w:rsidTr="00D73F6A">
        <w:trPr>
          <w:trHeight w:val="1008"/>
          <w:jc w:val="center"/>
        </w:trPr>
        <w:tc>
          <w:tcPr>
            <w:tcW w:w="7334" w:type="dxa"/>
            <w:tcBorders>
              <w:bottom w:val="single" w:sz="4" w:space="0" w:color="auto"/>
            </w:tcBorders>
            <w:vAlign w:val="center"/>
          </w:tcPr>
          <w:p w14:paraId="1AC3E317" w14:textId="38D6BE38" w:rsidR="00016179" w:rsidRPr="005830D1" w:rsidRDefault="00016179" w:rsidP="00AD309C">
            <w:pPr>
              <w:pStyle w:val="ListParagraph"/>
              <w:numPr>
                <w:ilvl w:val="0"/>
                <w:numId w:val="407"/>
              </w:numPr>
              <w:rPr>
                <w:rFonts w:cs="Arial"/>
              </w:rPr>
            </w:pPr>
            <w:r w:rsidRPr="005830D1">
              <w:rPr>
                <w:rFonts w:cs="Arial"/>
              </w:rPr>
              <w:t xml:space="preserve">Does a physician </w:t>
            </w:r>
            <w:hyperlink w:anchor="Endnote25_Certified" w:history="1">
              <w:r w:rsidRPr="005830D1">
                <w:rPr>
                  <w:rStyle w:val="Hyperlink"/>
                  <w:rFonts w:cs="Arial"/>
                </w:rPr>
                <w:t>certified in critical care medicine</w:t>
              </w:r>
            </w:hyperlink>
            <w:r w:rsidRPr="005830D1">
              <w:rPr>
                <w:vertAlign w:val="superscript"/>
              </w:rPr>
              <w:fldChar w:fldCharType="begin"/>
            </w:r>
            <w:r w:rsidRPr="005830D1">
              <w:rPr>
                <w:rStyle w:val="Hyperlink"/>
                <w:rFonts w:cs="Arial"/>
              </w:rPr>
              <w:instrText xml:space="preserve"> NOTEREF _Ref534212273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36</w:t>
            </w:r>
            <w:r w:rsidRPr="005830D1">
              <w:rPr>
                <w:vertAlign w:val="superscript"/>
              </w:rPr>
              <w:fldChar w:fldCharType="end"/>
            </w:r>
            <w:r w:rsidRPr="005830D1">
              <w:rPr>
                <w:rFonts w:cs="Arial"/>
              </w:rPr>
              <w:t xml:space="preserve"> lead daily interprofessional rounds on-site on </w:t>
            </w:r>
            <w:hyperlink w:anchor="Endnote22_CCPatients" w:history="1">
              <w:r w:rsidRPr="005830D1">
                <w:rPr>
                  <w:rStyle w:val="Hyperlink"/>
                  <w:rFonts w:cs="Arial"/>
                </w:rPr>
                <w:t>all critical care patients</w:t>
              </w:r>
            </w:hyperlink>
            <w:r w:rsidRPr="005830D1">
              <w:rPr>
                <w:vertAlign w:val="superscript"/>
              </w:rPr>
              <w:fldChar w:fldCharType="begin"/>
            </w:r>
            <w:r w:rsidRPr="005830D1">
              <w:rPr>
                <w:rStyle w:val="Hyperlink"/>
                <w:rFonts w:cs="Arial"/>
              </w:rPr>
              <w:instrText xml:space="preserve"> NOTEREF _Ref534212310 \f \h </w:instrText>
            </w:r>
            <w:r w:rsidRPr="005830D1">
              <w:rPr>
                <w:vertAlign w:val="superscript"/>
              </w:rPr>
              <w:instrText xml:space="preserve"> \* MERGEFORMAT </w:instrText>
            </w:r>
            <w:r w:rsidRPr="005830D1">
              <w:rPr>
                <w:vertAlign w:val="superscript"/>
              </w:rPr>
            </w:r>
            <w:r w:rsidRPr="005830D1">
              <w:rPr>
                <w:vertAlign w:val="superscript"/>
              </w:rPr>
              <w:fldChar w:fldCharType="separate"/>
            </w:r>
            <w:r w:rsidR="007D53A2" w:rsidRPr="00A012EC">
              <w:rPr>
                <w:rStyle w:val="EndnoteReference"/>
              </w:rPr>
              <w:t>34</w:t>
            </w:r>
            <w:r w:rsidRPr="005830D1">
              <w:rPr>
                <w:vertAlign w:val="superscript"/>
              </w:rPr>
              <w:fldChar w:fldCharType="end"/>
            </w:r>
            <w:r w:rsidRPr="005830D1">
              <w:rPr>
                <w:rFonts w:cs="Arial"/>
              </w:rPr>
              <w:t xml:space="preserve"> in the </w:t>
            </w:r>
            <w:r w:rsidRPr="005830D1">
              <w:rPr>
                <w:rStyle w:val="Hyperlink"/>
                <w:rFonts w:cs="Arial"/>
                <w:color w:val="auto"/>
                <w:u w:val="none"/>
              </w:rPr>
              <w:t>ICU</w:t>
            </w:r>
            <w:r w:rsidRPr="005830D1">
              <w:rPr>
                <w:rFonts w:cs="Arial"/>
              </w:rPr>
              <w:t xml:space="preserve"> 7 days per week?</w:t>
            </w:r>
          </w:p>
        </w:tc>
        <w:tc>
          <w:tcPr>
            <w:tcW w:w="2233" w:type="dxa"/>
            <w:vAlign w:val="center"/>
          </w:tcPr>
          <w:p w14:paraId="67EBA90B" w14:textId="77777777" w:rsidR="00016179" w:rsidRPr="005830D1" w:rsidRDefault="00016179" w:rsidP="00AD309C">
            <w:pPr>
              <w:pStyle w:val="ListParagraph"/>
              <w:numPr>
                <w:ilvl w:val="0"/>
                <w:numId w:val="345"/>
              </w:numPr>
              <w:rPr>
                <w:rFonts w:cs="Arial"/>
                <w:iCs/>
              </w:rPr>
            </w:pPr>
            <w:r w:rsidRPr="005830D1">
              <w:rPr>
                <w:rFonts w:cs="Arial"/>
                <w:iCs/>
              </w:rPr>
              <w:t>Yes</w:t>
            </w:r>
          </w:p>
          <w:p w14:paraId="56C0F3F8" w14:textId="77777777" w:rsidR="00016179" w:rsidRPr="005830D1" w:rsidRDefault="00016179" w:rsidP="00AD309C">
            <w:pPr>
              <w:pStyle w:val="ListParagraph"/>
              <w:numPr>
                <w:ilvl w:val="0"/>
                <w:numId w:val="345"/>
              </w:numPr>
              <w:rPr>
                <w:rFonts w:cs="Arial"/>
                <w:iCs/>
              </w:rPr>
            </w:pPr>
            <w:r w:rsidRPr="005830D1">
              <w:rPr>
                <w:rFonts w:cs="Arial"/>
                <w:iCs/>
              </w:rPr>
              <w:t>No</w:t>
            </w:r>
          </w:p>
        </w:tc>
      </w:tr>
      <w:tr w:rsidR="00016179" w:rsidRPr="009A5185" w14:paraId="6827C036" w14:textId="77777777" w:rsidTr="00D73F6A">
        <w:trPr>
          <w:trHeight w:val="1152"/>
          <w:jc w:val="center"/>
        </w:trPr>
        <w:tc>
          <w:tcPr>
            <w:tcW w:w="7334" w:type="dxa"/>
            <w:tcBorders>
              <w:top w:val="single" w:sz="4" w:space="0" w:color="auto"/>
              <w:left w:val="single" w:sz="4" w:space="0" w:color="auto"/>
              <w:bottom w:val="single" w:sz="4" w:space="0" w:color="auto"/>
              <w:right w:val="single" w:sz="4" w:space="0" w:color="auto"/>
            </w:tcBorders>
            <w:vAlign w:val="center"/>
          </w:tcPr>
          <w:p w14:paraId="4973C4D0" w14:textId="20FCC142" w:rsidR="00016179" w:rsidRPr="005830D1" w:rsidRDefault="00016179" w:rsidP="00AD309C">
            <w:pPr>
              <w:pStyle w:val="ListParagraph"/>
              <w:numPr>
                <w:ilvl w:val="0"/>
                <w:numId w:val="407"/>
              </w:numPr>
              <w:rPr>
                <w:rFonts w:cs="Arial"/>
              </w:rPr>
            </w:pPr>
            <w:r w:rsidRPr="005830D1">
              <w:rPr>
                <w:rFonts w:cs="Arial"/>
              </w:rPr>
              <w:t xml:space="preserve">Are physicians </w:t>
            </w:r>
            <w:hyperlink w:anchor="Endnote25_Certified" w:history="1">
              <w:r w:rsidRPr="005830D1">
                <w:rPr>
                  <w:rStyle w:val="Hyperlink"/>
                  <w:rFonts w:cs="Arial"/>
                </w:rPr>
                <w:t>certified in critical care medicine</w:t>
              </w:r>
            </w:hyperlink>
            <w:r w:rsidRPr="005830D1">
              <w:rPr>
                <w:rStyle w:val="Hyperlink"/>
                <w:rFonts w:cs="Arial"/>
              </w:rPr>
              <w:fldChar w:fldCharType="begin"/>
            </w:r>
            <w:r w:rsidRPr="005830D1">
              <w:rPr>
                <w:rStyle w:val="Hyperlink"/>
                <w:rFonts w:cs="Arial"/>
              </w:rPr>
              <w:instrText xml:space="preserve"> NOTEREF _Ref534212273 \f \h  \* MERGEFORMAT </w:instrText>
            </w:r>
            <w:r w:rsidRPr="005830D1">
              <w:rPr>
                <w:rStyle w:val="Hyperlink"/>
                <w:rFonts w:cs="Arial"/>
              </w:rPr>
            </w:r>
            <w:r w:rsidRPr="005830D1">
              <w:rPr>
                <w:rStyle w:val="Hyperlink"/>
                <w:rFonts w:cs="Arial"/>
              </w:rPr>
              <w:fldChar w:fldCharType="separate"/>
            </w:r>
            <w:r w:rsidR="007D53A2" w:rsidRPr="00A012EC">
              <w:rPr>
                <w:rStyle w:val="EndnoteReference"/>
              </w:rPr>
              <w:t>36</w:t>
            </w:r>
            <w:r w:rsidRPr="005830D1">
              <w:rPr>
                <w:rStyle w:val="Hyperlink"/>
                <w:rFonts w:cs="Arial"/>
              </w:rPr>
              <w:fldChar w:fldCharType="end"/>
            </w:r>
            <w:r w:rsidRPr="005830D1">
              <w:rPr>
                <w:rFonts w:cs="Arial"/>
              </w:rPr>
              <w:t xml:space="preserve"> responsible for all ICU admission and discharge decisions when they are:</w:t>
            </w:r>
          </w:p>
          <w:p w14:paraId="79522CBC" w14:textId="77777777" w:rsidR="00016179" w:rsidRPr="005830D1" w:rsidRDefault="00016179" w:rsidP="00AD309C">
            <w:pPr>
              <w:pStyle w:val="ListParagraph"/>
              <w:numPr>
                <w:ilvl w:val="0"/>
                <w:numId w:val="97"/>
              </w:numPr>
              <w:rPr>
                <w:rFonts w:cs="Arial"/>
              </w:rPr>
            </w:pPr>
            <w:r w:rsidRPr="005830D1">
              <w:rPr>
                <w:rFonts w:cs="Arial"/>
              </w:rPr>
              <w:t xml:space="preserve">present on-site for at least </w:t>
            </w:r>
            <w:r w:rsidRPr="005830D1">
              <w:rPr>
                <w:rFonts w:cs="Arial"/>
                <w:b/>
                <w:bCs/>
              </w:rPr>
              <w:t>8 hours per day, 4 days per week or 4 hours per day, 7 days per week</w:t>
            </w:r>
            <w:r w:rsidRPr="005830D1">
              <w:rPr>
                <w:rFonts w:cs="Arial"/>
              </w:rPr>
              <w:t>?</w:t>
            </w:r>
          </w:p>
        </w:tc>
        <w:tc>
          <w:tcPr>
            <w:tcW w:w="2233" w:type="dxa"/>
            <w:tcBorders>
              <w:left w:val="single" w:sz="4" w:space="0" w:color="auto"/>
            </w:tcBorders>
            <w:vAlign w:val="center"/>
          </w:tcPr>
          <w:p w14:paraId="608B2BF2" w14:textId="77777777" w:rsidR="00016179" w:rsidRPr="005830D1" w:rsidRDefault="00016179" w:rsidP="00AD309C">
            <w:pPr>
              <w:pStyle w:val="ListParagraph"/>
              <w:numPr>
                <w:ilvl w:val="0"/>
                <w:numId w:val="345"/>
              </w:numPr>
              <w:rPr>
                <w:rFonts w:cs="Arial"/>
                <w:iCs/>
              </w:rPr>
            </w:pPr>
            <w:r w:rsidRPr="005830D1">
              <w:rPr>
                <w:rFonts w:cs="Arial"/>
                <w:iCs/>
              </w:rPr>
              <w:t>Yes</w:t>
            </w:r>
          </w:p>
          <w:p w14:paraId="5621C24C" w14:textId="77777777" w:rsidR="00016179" w:rsidRPr="005830D1" w:rsidRDefault="00016179" w:rsidP="00AD309C">
            <w:pPr>
              <w:pStyle w:val="ListParagraph"/>
              <w:numPr>
                <w:ilvl w:val="0"/>
                <w:numId w:val="345"/>
              </w:numPr>
              <w:rPr>
                <w:rFonts w:cs="Arial"/>
                <w:iCs/>
              </w:rPr>
            </w:pPr>
            <w:r w:rsidRPr="005830D1">
              <w:rPr>
                <w:rFonts w:cs="Arial"/>
                <w:iCs/>
              </w:rPr>
              <w:t>No</w:t>
            </w:r>
          </w:p>
        </w:tc>
      </w:tr>
    </w:tbl>
    <w:p w14:paraId="49BCB392" w14:textId="13BEB97A" w:rsidR="00FE3125" w:rsidRPr="00016179" w:rsidRDefault="00FE3125" w:rsidP="00FE3125">
      <w:pPr>
        <w:rPr>
          <w:rFonts w:cs="Arial"/>
          <w:i/>
        </w:rPr>
      </w:pPr>
    </w:p>
    <w:p w14:paraId="1D36D704" w14:textId="0FF24C42" w:rsidR="00EF302F" w:rsidRDefault="00EF302F">
      <w:pPr>
        <w:rPr>
          <w:rFonts w:cs="Arial"/>
          <w:b/>
          <w:snapToGrid w:val="0"/>
          <w:color w:val="000000"/>
          <w:sz w:val="28"/>
          <w:szCs w:val="24"/>
          <w:u w:val="single"/>
          <w:lang w:eastAsia="ja-JP"/>
        </w:rPr>
      </w:pPr>
      <w:r>
        <w:rPr>
          <w:rFonts w:cs="Arial"/>
          <w:color w:val="000000"/>
        </w:rPr>
        <w:br w:type="page"/>
      </w:r>
    </w:p>
    <w:p w14:paraId="57869A9A" w14:textId="5D9385A1" w:rsidR="00C64192" w:rsidRPr="00F01A72" w:rsidRDefault="00E81025" w:rsidP="00C64192">
      <w:pPr>
        <w:pStyle w:val="Heading2"/>
      </w:pPr>
      <w:bookmarkStart w:id="424" w:name="_Toc225877751"/>
      <w:r w:rsidRPr="00991451">
        <w:lastRenderedPageBreak/>
        <w:t>5</w:t>
      </w:r>
      <w:r w:rsidR="00C64192" w:rsidRPr="00991451">
        <w:t>C: Nursing Workforce</w:t>
      </w:r>
      <w:bookmarkEnd w:id="424"/>
    </w:p>
    <w:p w14:paraId="61E5E062" w14:textId="77777777" w:rsidR="00C64192" w:rsidRPr="00357E20" w:rsidRDefault="00C64192" w:rsidP="00C64192">
      <w:pPr>
        <w:rPr>
          <w:b/>
          <w:bCs/>
          <w:color w:val="FF0000"/>
          <w:sz w:val="16"/>
          <w:szCs w:val="16"/>
        </w:rPr>
      </w:pPr>
    </w:p>
    <w:p w14:paraId="4ADDF2A8" w14:textId="77777777" w:rsidR="00C64192" w:rsidRDefault="00C64192" w:rsidP="00C64192">
      <w:pPr>
        <w:rPr>
          <w:rStyle w:val="Hyperlink"/>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31" w:history="1">
        <w:r w:rsidRPr="009A5185">
          <w:rPr>
            <w:rStyle w:val="Hyperlink"/>
            <w:rFonts w:cs="Arial"/>
            <w:snapToGrid w:val="0"/>
          </w:rPr>
          <w:t>Leapfrog’s Multi-Campus Reporting Policy</w:t>
        </w:r>
      </w:hyperlink>
      <w:r>
        <w:rPr>
          <w:rStyle w:val="Hyperlink"/>
          <w:rFonts w:cs="Arial"/>
          <w:snapToGrid w:val="0"/>
        </w:rPr>
        <w:t>.</w:t>
      </w:r>
    </w:p>
    <w:p w14:paraId="3FB2F5D1" w14:textId="77777777" w:rsidR="00C64192" w:rsidRPr="00357E20" w:rsidRDefault="00C64192" w:rsidP="00C64192">
      <w:pPr>
        <w:rPr>
          <w:rStyle w:val="Hyperlink"/>
          <w:rFonts w:cs="Arial"/>
          <w:snapToGrid w:val="0"/>
          <w:sz w:val="16"/>
          <w:szCs w:val="16"/>
        </w:rPr>
      </w:pPr>
    </w:p>
    <w:p w14:paraId="4F8D2426" w14:textId="2B67F13A" w:rsidR="00C64192" w:rsidRPr="00375777" w:rsidRDefault="00C64192" w:rsidP="00AB5B80">
      <w:pPr>
        <w:pStyle w:val="Heading3"/>
      </w:pPr>
      <w:bookmarkStart w:id="425" w:name="_Toc225877752"/>
      <w:r w:rsidRPr="00942F13">
        <w:t>Total Nursing Care Hours per Patient Day</w:t>
      </w:r>
      <w:r w:rsidR="00127308">
        <w:t xml:space="preserve"> and </w:t>
      </w:r>
      <w:r w:rsidRPr="00942F13">
        <w:t>RN Hours per Patient Day</w:t>
      </w:r>
      <w:bookmarkEnd w:id="425"/>
    </w:p>
    <w:p w14:paraId="74B09BBF" w14:textId="77777777" w:rsidR="00C64192" w:rsidRPr="00357E20" w:rsidRDefault="00C64192" w:rsidP="00C64192">
      <w:pPr>
        <w:rPr>
          <w:rStyle w:val="Hyperlink"/>
          <w:rFonts w:cs="Arial"/>
          <w:snapToGrid w:val="0"/>
          <w:sz w:val="16"/>
          <w:szCs w:val="16"/>
        </w:rPr>
      </w:pPr>
    </w:p>
    <w:p w14:paraId="3653D557" w14:textId="77777777" w:rsidR="00C64192" w:rsidRPr="007F62C1" w:rsidRDefault="00C64192" w:rsidP="00C64192">
      <w:pPr>
        <w:rPr>
          <w:rFonts w:cs="Arial"/>
          <w:b/>
          <w:snapToGrid w:val="0"/>
          <w:color w:val="FF0000"/>
        </w:rPr>
      </w:pPr>
      <w:r w:rsidRPr="007F62C1">
        <w:rPr>
          <w:rFonts w:cs="Arial"/>
          <w:b/>
          <w:snapToGrid w:val="0"/>
          <w:color w:val="FF0000"/>
        </w:rPr>
        <w:t xml:space="preserve">Important Notes:  </w:t>
      </w:r>
    </w:p>
    <w:p w14:paraId="492C3442" w14:textId="77777777" w:rsidR="00C64192" w:rsidRPr="00357E20" w:rsidRDefault="00C64192" w:rsidP="00C64192">
      <w:pPr>
        <w:rPr>
          <w:rFonts w:cs="Arial"/>
          <w:b/>
          <w:snapToGrid w:val="0"/>
          <w:sz w:val="16"/>
          <w:szCs w:val="16"/>
        </w:rPr>
      </w:pPr>
    </w:p>
    <w:p w14:paraId="7A64B9FA" w14:textId="77777777" w:rsidR="00B05FE7" w:rsidRPr="00BB3760" w:rsidRDefault="00C64192" w:rsidP="00B05FE7">
      <w:pPr>
        <w:rPr>
          <w:rFonts w:cs="Arial"/>
          <w:bCs/>
          <w:snapToGrid w:val="0"/>
        </w:rPr>
      </w:pPr>
      <w:r w:rsidRPr="00BB3760">
        <w:rPr>
          <w:rFonts w:cs="Arial"/>
          <w:bCs/>
          <w:snapToGrid w:val="0"/>
        </w:rPr>
        <w:t xml:space="preserve">Note </w:t>
      </w:r>
      <w:r w:rsidR="00156643">
        <w:rPr>
          <w:rFonts w:cs="Arial"/>
          <w:bCs/>
          <w:snapToGrid w:val="0"/>
        </w:rPr>
        <w:t>1</w:t>
      </w:r>
      <w:r w:rsidRPr="00BB3760">
        <w:rPr>
          <w:rFonts w:cs="Arial"/>
          <w:bCs/>
          <w:snapToGrid w:val="0"/>
        </w:rPr>
        <w:t xml:space="preserve">: </w:t>
      </w:r>
      <w:r w:rsidR="00B05FE7">
        <w:rPr>
          <w:rFonts w:cs="Arial"/>
          <w:bCs/>
          <w:snapToGrid w:val="0"/>
        </w:rPr>
        <w:t>If a hospital operates single acuity Medical, Surgical, or Med-Surg units, but all of these units had fewer than 15 patient days per month for all 3 months of any quarter of the reporting period, then the hospital should respond “y</w:t>
      </w:r>
      <w:r w:rsidR="00B05FE7" w:rsidRPr="00835388">
        <w:rPr>
          <w:rFonts w:cs="Arial"/>
          <w:bCs/>
          <w:snapToGrid w:val="0"/>
        </w:rPr>
        <w:t>es, but had fewer than 15 patient days per month for all 3 months of any quarter of the reporting period</w:t>
      </w:r>
      <w:r w:rsidR="00B05FE7">
        <w:rPr>
          <w:rFonts w:cs="Arial"/>
          <w:bCs/>
          <w:snapToGrid w:val="0"/>
        </w:rPr>
        <w:t>” in questions #4, #6 and #8, and then report on mixed acuity Medical, Surgical and Med-Surg units, if applicable, in questions #10-12.</w:t>
      </w:r>
    </w:p>
    <w:p w14:paraId="0584C785" w14:textId="77777777" w:rsidR="00127308" w:rsidRDefault="00127308" w:rsidP="00C64192">
      <w:pPr>
        <w:rPr>
          <w:rFonts w:cs="Arial"/>
          <w:bCs/>
          <w:snapToGrid w:val="0"/>
        </w:rPr>
      </w:pPr>
    </w:p>
    <w:p w14:paraId="13307215" w14:textId="6E1E3CF6" w:rsidR="00127308" w:rsidRDefault="00E94BF3" w:rsidP="00C64192">
      <w:pPr>
        <w:rPr>
          <w:rFonts w:cs="Arial"/>
          <w:bCs/>
          <w:snapToGrid w:val="0"/>
        </w:rPr>
      </w:pPr>
      <w:r w:rsidRPr="00E94BF3">
        <w:rPr>
          <w:rFonts w:cs="Arial"/>
          <w:bCs/>
          <w:snapToGrid w:val="0"/>
        </w:rPr>
        <w:t>Note 2</w:t>
      </w:r>
      <w:r w:rsidR="006B53CC">
        <w:rPr>
          <w:rFonts w:cs="Arial"/>
          <w:bCs/>
          <w:snapToGrid w:val="0"/>
        </w:rPr>
        <w:t xml:space="preserve">: </w:t>
      </w:r>
      <w:r w:rsidR="006B53CC" w:rsidRPr="00F7308C">
        <w:rPr>
          <w:rFonts w:cs="Arial"/>
          <w:bCs/>
          <w:snapToGrid w:val="0"/>
        </w:rPr>
        <w:t xml:space="preserve">Hospitals that </w:t>
      </w:r>
      <w:r w:rsidR="006B53CC">
        <w:rPr>
          <w:rFonts w:cs="Arial"/>
          <w:bCs/>
          <w:snapToGrid w:val="0"/>
        </w:rPr>
        <w:t>o</w:t>
      </w:r>
      <w:r w:rsidR="006B53CC" w:rsidRPr="00F7308C">
        <w:rPr>
          <w:rFonts w:cs="Arial"/>
          <w:bCs/>
          <w:snapToGrid w:val="0"/>
        </w:rPr>
        <w:t>perate</w:t>
      </w:r>
      <w:r w:rsidR="006B53CC">
        <w:rPr>
          <w:rFonts w:cs="Arial"/>
          <w:bCs/>
          <w:snapToGrid w:val="0"/>
        </w:rPr>
        <w:t xml:space="preserve"> at least one</w:t>
      </w:r>
      <w:r w:rsidR="006B53CC" w:rsidRPr="00F7308C">
        <w:rPr>
          <w:rFonts w:cs="Arial"/>
          <w:bCs/>
          <w:snapToGrid w:val="0"/>
        </w:rPr>
        <w:t xml:space="preserve"> </w:t>
      </w:r>
      <w:r w:rsidR="006B53CC">
        <w:rPr>
          <w:rFonts w:cs="Arial"/>
          <w:bCs/>
          <w:snapToGrid w:val="0"/>
        </w:rPr>
        <w:t>s</w:t>
      </w:r>
      <w:r w:rsidR="006B53CC" w:rsidRPr="00F7308C">
        <w:rPr>
          <w:rFonts w:cs="Arial"/>
          <w:bCs/>
          <w:snapToGrid w:val="0"/>
        </w:rPr>
        <w:t xml:space="preserve">ingle </w:t>
      </w:r>
      <w:r w:rsidR="006B53CC">
        <w:rPr>
          <w:rFonts w:cs="Arial"/>
          <w:bCs/>
          <w:snapToGrid w:val="0"/>
        </w:rPr>
        <w:t>a</w:t>
      </w:r>
      <w:r w:rsidR="006B53CC" w:rsidRPr="00F7308C">
        <w:rPr>
          <w:rFonts w:cs="Arial"/>
          <w:bCs/>
          <w:snapToGrid w:val="0"/>
        </w:rPr>
        <w:t xml:space="preserve">cuity </w:t>
      </w:r>
      <w:r w:rsidR="006B53CC">
        <w:rPr>
          <w:rFonts w:cs="Arial"/>
          <w:bCs/>
          <w:snapToGrid w:val="0"/>
        </w:rPr>
        <w:t>M</w:t>
      </w:r>
      <w:r w:rsidR="006B53CC" w:rsidRPr="00F7308C">
        <w:rPr>
          <w:rFonts w:cs="Arial"/>
          <w:bCs/>
          <w:snapToGrid w:val="0"/>
        </w:rPr>
        <w:t xml:space="preserve">edical, </w:t>
      </w:r>
      <w:r w:rsidR="006B53CC">
        <w:rPr>
          <w:rFonts w:cs="Arial"/>
          <w:bCs/>
          <w:snapToGrid w:val="0"/>
        </w:rPr>
        <w:t>S</w:t>
      </w:r>
      <w:r w:rsidR="006B53CC" w:rsidRPr="00F7308C">
        <w:rPr>
          <w:rFonts w:cs="Arial"/>
          <w:bCs/>
          <w:snapToGrid w:val="0"/>
        </w:rPr>
        <w:t xml:space="preserve">urgical, or </w:t>
      </w:r>
      <w:r w:rsidR="006B53CC">
        <w:rPr>
          <w:rFonts w:cs="Arial"/>
          <w:bCs/>
          <w:snapToGrid w:val="0"/>
        </w:rPr>
        <w:t>M</w:t>
      </w:r>
      <w:r w:rsidR="006B53CC" w:rsidRPr="00F7308C">
        <w:rPr>
          <w:rFonts w:cs="Arial"/>
          <w:bCs/>
          <w:snapToGrid w:val="0"/>
        </w:rPr>
        <w:t>ed-</w:t>
      </w:r>
      <w:r w:rsidR="006B53CC">
        <w:rPr>
          <w:rFonts w:cs="Arial"/>
          <w:bCs/>
          <w:snapToGrid w:val="0"/>
        </w:rPr>
        <w:t>S</w:t>
      </w:r>
      <w:r w:rsidR="006B53CC" w:rsidRPr="00F7308C">
        <w:rPr>
          <w:rFonts w:cs="Arial"/>
          <w:bCs/>
          <w:snapToGrid w:val="0"/>
        </w:rPr>
        <w:t xml:space="preserve">urg </w:t>
      </w:r>
      <w:r w:rsidR="006B53CC">
        <w:rPr>
          <w:rFonts w:cs="Arial"/>
          <w:bCs/>
          <w:snapToGrid w:val="0"/>
        </w:rPr>
        <w:t>u</w:t>
      </w:r>
      <w:r w:rsidR="006B53CC" w:rsidRPr="00F7308C">
        <w:rPr>
          <w:rFonts w:cs="Arial"/>
          <w:bCs/>
          <w:snapToGrid w:val="0"/>
        </w:rPr>
        <w:t xml:space="preserve">nit </w:t>
      </w:r>
      <w:r w:rsidR="006B53CC" w:rsidRPr="003041BC">
        <w:rPr>
          <w:rFonts w:cs="Arial"/>
          <w:b/>
          <w:snapToGrid w:val="0"/>
        </w:rPr>
        <w:t>AND</w:t>
      </w:r>
      <w:r w:rsidR="006B53CC" w:rsidRPr="00F7308C">
        <w:rPr>
          <w:rFonts w:cs="Arial"/>
          <w:bCs/>
          <w:snapToGrid w:val="0"/>
        </w:rPr>
        <w:t xml:space="preserve"> </w:t>
      </w:r>
      <w:r w:rsidR="006B53CC">
        <w:rPr>
          <w:rFonts w:cs="Arial"/>
          <w:bCs/>
          <w:snapToGrid w:val="0"/>
        </w:rPr>
        <w:t>at least one m</w:t>
      </w:r>
      <w:r w:rsidR="006B53CC" w:rsidRPr="00F7308C">
        <w:rPr>
          <w:rFonts w:cs="Arial"/>
          <w:bCs/>
          <w:snapToGrid w:val="0"/>
        </w:rPr>
        <w:t xml:space="preserve">ixed </w:t>
      </w:r>
      <w:r w:rsidR="006B53CC">
        <w:rPr>
          <w:rFonts w:cs="Arial"/>
          <w:bCs/>
          <w:snapToGrid w:val="0"/>
        </w:rPr>
        <w:t>a</w:t>
      </w:r>
      <w:r w:rsidR="006B53CC" w:rsidRPr="00F7308C">
        <w:rPr>
          <w:rFonts w:cs="Arial"/>
          <w:bCs/>
          <w:snapToGrid w:val="0"/>
        </w:rPr>
        <w:t xml:space="preserve">cuity </w:t>
      </w:r>
      <w:r w:rsidR="006B53CC">
        <w:rPr>
          <w:rFonts w:cs="Arial"/>
          <w:bCs/>
          <w:snapToGrid w:val="0"/>
        </w:rPr>
        <w:t>M</w:t>
      </w:r>
      <w:r w:rsidR="006B53CC" w:rsidRPr="00F7308C">
        <w:rPr>
          <w:rFonts w:cs="Arial"/>
          <w:bCs/>
          <w:snapToGrid w:val="0"/>
        </w:rPr>
        <w:t xml:space="preserve">edical, </w:t>
      </w:r>
      <w:r w:rsidR="006B53CC">
        <w:rPr>
          <w:rFonts w:cs="Arial"/>
          <w:bCs/>
          <w:snapToGrid w:val="0"/>
        </w:rPr>
        <w:t>S</w:t>
      </w:r>
      <w:r w:rsidR="006B53CC" w:rsidRPr="00F7308C">
        <w:rPr>
          <w:rFonts w:cs="Arial"/>
          <w:bCs/>
          <w:snapToGrid w:val="0"/>
        </w:rPr>
        <w:t xml:space="preserve">urgical, or </w:t>
      </w:r>
      <w:r w:rsidR="006B53CC">
        <w:rPr>
          <w:rFonts w:cs="Arial"/>
          <w:bCs/>
          <w:snapToGrid w:val="0"/>
        </w:rPr>
        <w:t>M</w:t>
      </w:r>
      <w:r w:rsidR="006B53CC" w:rsidRPr="00F7308C">
        <w:rPr>
          <w:rFonts w:cs="Arial"/>
          <w:bCs/>
          <w:snapToGrid w:val="0"/>
        </w:rPr>
        <w:t>ed-</w:t>
      </w:r>
      <w:r w:rsidR="006B53CC">
        <w:rPr>
          <w:rFonts w:cs="Arial"/>
          <w:bCs/>
          <w:snapToGrid w:val="0"/>
        </w:rPr>
        <w:t>S</w:t>
      </w:r>
      <w:r w:rsidR="006B53CC" w:rsidRPr="00F7308C">
        <w:rPr>
          <w:rFonts w:cs="Arial"/>
          <w:bCs/>
          <w:snapToGrid w:val="0"/>
        </w:rPr>
        <w:t xml:space="preserve">urg </w:t>
      </w:r>
      <w:r w:rsidR="006B53CC">
        <w:rPr>
          <w:rFonts w:cs="Arial"/>
          <w:bCs/>
          <w:snapToGrid w:val="0"/>
        </w:rPr>
        <w:t>U</w:t>
      </w:r>
      <w:r w:rsidR="006B53CC" w:rsidRPr="00F7308C">
        <w:rPr>
          <w:rFonts w:cs="Arial"/>
          <w:bCs/>
          <w:snapToGrid w:val="0"/>
        </w:rPr>
        <w:t>nit</w:t>
      </w:r>
      <w:r w:rsidR="006B53CC">
        <w:rPr>
          <w:rFonts w:cs="Arial"/>
          <w:bCs/>
          <w:snapToGrid w:val="0"/>
        </w:rPr>
        <w:t xml:space="preserve"> have the option to respond to question #1</w:t>
      </w:r>
      <w:r w:rsidR="00582BE9">
        <w:rPr>
          <w:rFonts w:cs="Arial"/>
          <w:bCs/>
          <w:snapToGrid w:val="0"/>
        </w:rPr>
        <w:t>4</w:t>
      </w:r>
      <w:r w:rsidR="006B53CC">
        <w:rPr>
          <w:rFonts w:cs="Arial"/>
          <w:bCs/>
          <w:snapToGrid w:val="0"/>
        </w:rPr>
        <w:t xml:space="preserve"> to report on their mixed acuity units. Responses to these questions </w:t>
      </w:r>
      <w:r w:rsidR="006B53CC" w:rsidRPr="00B90F11">
        <w:rPr>
          <w:rFonts w:cs="Arial"/>
          <w:bCs/>
          <w:snapToGrid w:val="0"/>
        </w:rPr>
        <w:t>are optional and will not be scored or publicly reported</w:t>
      </w:r>
      <w:r w:rsidR="006B53CC">
        <w:rPr>
          <w:rFonts w:cs="Arial"/>
          <w:bCs/>
          <w:snapToGrid w:val="0"/>
        </w:rPr>
        <w:t>.</w:t>
      </w:r>
    </w:p>
    <w:p w14:paraId="766CCA78" w14:textId="77777777" w:rsidR="00C64192" w:rsidRPr="00357E20" w:rsidRDefault="00C64192" w:rsidP="00C64192">
      <w:pPr>
        <w:rPr>
          <w:rFonts w:cs="Arial"/>
          <w:bCs/>
          <w:snapToGrid w:val="0"/>
          <w:sz w:val="16"/>
          <w:szCs w:val="16"/>
        </w:rPr>
      </w:pPr>
    </w:p>
    <w:p w14:paraId="46A048AB" w14:textId="552BB9E9" w:rsidR="00C64192" w:rsidRDefault="00C64192" w:rsidP="00C64192">
      <w:pPr>
        <w:rPr>
          <w:bCs/>
        </w:rPr>
      </w:pPr>
      <w:r>
        <w:rPr>
          <w:rFonts w:cs="Arial"/>
          <w:b/>
          <w:snapToGrid w:val="0"/>
        </w:rPr>
        <w:t>Specifications:</w:t>
      </w:r>
      <w:r>
        <w:rPr>
          <w:rFonts w:cs="Arial"/>
          <w:snapToGrid w:val="0"/>
        </w:rPr>
        <w:t xml:space="preserve"> See </w:t>
      </w:r>
      <w:hyperlink w:anchor="_Nursing_Workforce_Measure_1" w:history="1">
        <w:r>
          <w:rPr>
            <w:rStyle w:val="Hyperlink"/>
            <w:rFonts w:cs="Arial"/>
            <w:b/>
            <w:i/>
          </w:rPr>
          <w:t>Nursing Workforce Measure Specifications</w:t>
        </w:r>
      </w:hyperlink>
      <w:r>
        <w:rPr>
          <w:rFonts w:cs="Arial"/>
        </w:rPr>
        <w:t xml:space="preserve"> </w:t>
      </w:r>
      <w:r>
        <w:rPr>
          <w:rFonts w:cs="Arial"/>
          <w:snapToGrid w:val="0"/>
        </w:rPr>
        <w:t xml:space="preserve">in the Reference Information </w:t>
      </w:r>
      <w:r>
        <w:rPr>
          <w:rFonts w:cs="Arial"/>
        </w:rPr>
        <w:t xml:space="preserve">beginning on page </w:t>
      </w:r>
      <w:r w:rsidR="00075833">
        <w:rPr>
          <w:rFonts w:cs="Arial"/>
        </w:rPr>
        <w:t>198</w:t>
      </w:r>
      <w:r>
        <w:rPr>
          <w:rFonts w:cs="Arial"/>
        </w:rPr>
        <w:t>.</w:t>
      </w:r>
    </w:p>
    <w:p w14:paraId="0E109154" w14:textId="77777777" w:rsidR="00C64192" w:rsidRPr="00357E20" w:rsidRDefault="00C64192" w:rsidP="00C64192">
      <w:pPr>
        <w:rPr>
          <w:sz w:val="16"/>
          <w:szCs w:val="16"/>
          <w:lang w:eastAsia="ja-JP"/>
        </w:rPr>
      </w:pPr>
    </w:p>
    <w:p w14:paraId="2CA408C0" w14:textId="77777777" w:rsidR="00C64192" w:rsidRDefault="00C64192" w:rsidP="00C64192">
      <w:r>
        <w:rPr>
          <w:noProof/>
        </w:rPr>
        <mc:AlternateContent>
          <mc:Choice Requires="wps">
            <w:drawing>
              <wp:inline distT="0" distB="0" distL="0" distR="0" wp14:anchorId="3EAB8264" wp14:editId="30D2D8B3">
                <wp:extent cx="5924550" cy="1423283"/>
                <wp:effectExtent l="0" t="0" r="19050" b="24765"/>
                <wp:docPr id="1775493576" name="Text Box 1775493576" descr="P7511TB2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23283"/>
                        </a:xfrm>
                        <a:prstGeom prst="rect">
                          <a:avLst/>
                        </a:prstGeom>
                        <a:solidFill>
                          <a:srgbClr val="FFFFFF"/>
                        </a:solidFill>
                        <a:ln w="9525">
                          <a:solidFill>
                            <a:srgbClr val="FF0000"/>
                          </a:solidFill>
                          <a:miter lim="800000"/>
                          <a:headEnd/>
                          <a:tailEnd/>
                        </a:ln>
                      </wps:spPr>
                      <wps:txbx>
                        <w:txbxContent>
                          <w:p w14:paraId="0419934A" w14:textId="77777777" w:rsidR="00C64192" w:rsidRDefault="00C64192" w:rsidP="00C64192">
                            <w:pPr>
                              <w:rPr>
                                <w:b/>
                              </w:rPr>
                            </w:pPr>
                            <w:r w:rsidRPr="00DF6A41">
                              <w:rPr>
                                <w:b/>
                              </w:rPr>
                              <w:t>Reporting Period</w:t>
                            </w:r>
                            <w:r>
                              <w:rPr>
                                <w:b/>
                              </w:rPr>
                              <w:t>: 12 months</w:t>
                            </w:r>
                          </w:p>
                          <w:p w14:paraId="643431BB" w14:textId="77777777" w:rsidR="00C64192" w:rsidRDefault="00C64192" w:rsidP="00AD309C">
                            <w:pPr>
                              <w:pStyle w:val="ListParagraph"/>
                              <w:numPr>
                                <w:ilvl w:val="0"/>
                                <w:numId w:val="150"/>
                              </w:numPr>
                              <w:rPr>
                                <w:bCs/>
                              </w:rPr>
                            </w:pPr>
                            <w:r>
                              <w:rPr>
                                <w:bCs/>
                              </w:rPr>
                              <w:t>Survey submitted prior to September 1:</w:t>
                            </w:r>
                          </w:p>
                          <w:p w14:paraId="4164C773" w14:textId="664C920D" w:rsidR="00C64192" w:rsidRDefault="00C64192" w:rsidP="00AD309C">
                            <w:pPr>
                              <w:pStyle w:val="ListParagraph"/>
                              <w:numPr>
                                <w:ilvl w:val="1"/>
                                <w:numId w:val="150"/>
                              </w:numPr>
                              <w:rPr>
                                <w:bCs/>
                              </w:rPr>
                            </w:pPr>
                            <w:r w:rsidRPr="00335DE2">
                              <w:rPr>
                                <w:bCs/>
                              </w:rPr>
                              <w:t>01/01/202</w:t>
                            </w:r>
                            <w:r w:rsidR="006B53CC">
                              <w:rPr>
                                <w:bCs/>
                              </w:rPr>
                              <w:t>5</w:t>
                            </w:r>
                            <w:r w:rsidRPr="00335DE2">
                              <w:rPr>
                                <w:bCs/>
                              </w:rPr>
                              <w:t xml:space="preserve"> </w:t>
                            </w:r>
                            <w:r>
                              <w:rPr>
                                <w:bCs/>
                              </w:rPr>
                              <w:t>–</w:t>
                            </w:r>
                            <w:r w:rsidRPr="00335DE2">
                              <w:rPr>
                                <w:bCs/>
                              </w:rPr>
                              <w:t xml:space="preserve"> 12/31/202</w:t>
                            </w:r>
                            <w:r w:rsidR="006B53CC">
                              <w:rPr>
                                <w:bCs/>
                              </w:rPr>
                              <w:t>5</w:t>
                            </w:r>
                          </w:p>
                          <w:p w14:paraId="52444B90" w14:textId="77777777" w:rsidR="00C64192" w:rsidRDefault="00C64192" w:rsidP="00AD309C">
                            <w:pPr>
                              <w:pStyle w:val="ListParagraph"/>
                              <w:numPr>
                                <w:ilvl w:val="0"/>
                                <w:numId w:val="150"/>
                              </w:numPr>
                              <w:rPr>
                                <w:bCs/>
                              </w:rPr>
                            </w:pPr>
                            <w:r>
                              <w:rPr>
                                <w:bCs/>
                              </w:rPr>
                              <w:t>Surveys submitted on or after September 1:</w:t>
                            </w:r>
                          </w:p>
                          <w:p w14:paraId="2113A36A" w14:textId="6D4AFA99" w:rsidR="00C64192" w:rsidRPr="00335DE2" w:rsidRDefault="00C64192" w:rsidP="00AD309C">
                            <w:pPr>
                              <w:pStyle w:val="ListParagraph"/>
                              <w:numPr>
                                <w:ilvl w:val="1"/>
                                <w:numId w:val="150"/>
                              </w:numPr>
                              <w:rPr>
                                <w:bCs/>
                              </w:rPr>
                            </w:pPr>
                            <w:r>
                              <w:rPr>
                                <w:bCs/>
                              </w:rPr>
                              <w:t>07/01/202</w:t>
                            </w:r>
                            <w:r w:rsidR="006B53CC">
                              <w:rPr>
                                <w:bCs/>
                              </w:rPr>
                              <w:t>5</w:t>
                            </w:r>
                            <w:r>
                              <w:rPr>
                                <w:bCs/>
                              </w:rPr>
                              <w:t xml:space="preserve"> – 06/30/202</w:t>
                            </w:r>
                            <w:r w:rsidR="006B53CC">
                              <w:rPr>
                                <w:bCs/>
                              </w:rPr>
                              <w:t>6</w:t>
                            </w:r>
                          </w:p>
                          <w:p w14:paraId="0970D3A8" w14:textId="77777777" w:rsidR="00C64192" w:rsidRPr="00612B8F" w:rsidRDefault="00C64192" w:rsidP="00C64192">
                            <w:pPr>
                              <w:pStyle w:val="ListParagraph"/>
                              <w:ind w:left="1440"/>
                              <w:rPr>
                                <w:bCs/>
                                <w:sz w:val="16"/>
                                <w:szCs w:val="16"/>
                              </w:rPr>
                            </w:pPr>
                          </w:p>
                          <w:p w14:paraId="487485B5" w14:textId="77777777" w:rsidR="00C64192" w:rsidRPr="00D20A90" w:rsidRDefault="00C64192" w:rsidP="00C64192">
                            <w:pPr>
                              <w:rPr>
                                <w:b/>
                              </w:rPr>
                            </w:pPr>
                            <w:r w:rsidRPr="006547C0">
                              <w:rPr>
                                <w:rFonts w:cs="Arial"/>
                                <w:sz w:val="16"/>
                                <w:szCs w:val="16"/>
                              </w:rPr>
                              <w:t xml:space="preserve">Note: As a reminder, the </w:t>
                            </w:r>
                            <w:hyperlink r:id="rId332"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3EAB8264" id="Text Box 1775493576" o:spid="_x0000_s1050" type="#_x0000_t202" alt="P7511TB23#y1" style="width:466.5pt;height:11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" strokecolor="red">
                <v:textbox>
                  <w:txbxContent>
                    <w:p w14:paraId="0419934A" w14:textId="77777777" w:rsidR="00C64192" w:rsidRDefault="00C64192" w:rsidP="00C64192">
                      <w:pPr>
                        <w:rPr>
                          <w:b/>
                        </w:rPr>
                      </w:pPr>
                      <w:r w:rsidRPr="00DF6A41">
                        <w:rPr>
                          <w:b/>
                        </w:rPr>
                        <w:t>Reporting Period</w:t>
                      </w:r>
                      <w:r>
                        <w:rPr>
                          <w:b/>
                        </w:rPr>
                        <w:t>: 12 months</w:t>
                      </w:r>
                    </w:p>
                    <w:p w14:paraId="643431BB" w14:textId="77777777" w:rsidR="00C64192" w:rsidRDefault="00C64192" w:rsidP="00AD309C">
                      <w:pPr>
                        <w:pStyle w:val="ListParagraph"/>
                        <w:numPr>
                          <w:ilvl w:val="0"/>
                          <w:numId w:val="150"/>
                        </w:numPr>
                        <w:rPr>
                          <w:bCs/>
                        </w:rPr>
                      </w:pPr>
                      <w:r>
                        <w:rPr>
                          <w:bCs/>
                        </w:rPr>
                        <w:t>Survey submitted prior to September 1:</w:t>
                      </w:r>
                    </w:p>
                    <w:p w14:paraId="4164C773" w14:textId="664C920D" w:rsidR="00C64192" w:rsidRDefault="00C64192" w:rsidP="00AD309C">
                      <w:pPr>
                        <w:pStyle w:val="ListParagraph"/>
                        <w:numPr>
                          <w:ilvl w:val="1"/>
                          <w:numId w:val="150"/>
                        </w:numPr>
                        <w:rPr>
                          <w:bCs/>
                        </w:rPr>
                      </w:pPr>
                      <w:r w:rsidRPr="00335DE2">
                        <w:rPr>
                          <w:bCs/>
                        </w:rPr>
                        <w:t>01/01/202</w:t>
                      </w:r>
                      <w:r w:rsidR="006B53CC">
                        <w:rPr>
                          <w:bCs/>
                        </w:rPr>
                        <w:t>5</w:t>
                      </w:r>
                      <w:r w:rsidRPr="00335DE2">
                        <w:rPr>
                          <w:bCs/>
                        </w:rPr>
                        <w:t xml:space="preserve"> </w:t>
                      </w:r>
                      <w:r>
                        <w:rPr>
                          <w:bCs/>
                        </w:rPr>
                        <w:t>–</w:t>
                      </w:r>
                      <w:r w:rsidRPr="00335DE2">
                        <w:rPr>
                          <w:bCs/>
                        </w:rPr>
                        <w:t xml:space="preserve"> 12/31/202</w:t>
                      </w:r>
                      <w:r w:rsidR="006B53CC">
                        <w:rPr>
                          <w:bCs/>
                        </w:rPr>
                        <w:t>5</w:t>
                      </w:r>
                    </w:p>
                    <w:p w14:paraId="52444B90" w14:textId="77777777" w:rsidR="00C64192" w:rsidRDefault="00C64192" w:rsidP="00AD309C">
                      <w:pPr>
                        <w:pStyle w:val="ListParagraph"/>
                        <w:numPr>
                          <w:ilvl w:val="0"/>
                          <w:numId w:val="150"/>
                        </w:numPr>
                        <w:rPr>
                          <w:bCs/>
                        </w:rPr>
                      </w:pPr>
                      <w:r>
                        <w:rPr>
                          <w:bCs/>
                        </w:rPr>
                        <w:t>Surveys submitted on or after September 1:</w:t>
                      </w:r>
                    </w:p>
                    <w:p w14:paraId="2113A36A" w14:textId="6D4AFA99" w:rsidR="00C64192" w:rsidRPr="00335DE2" w:rsidRDefault="00C64192" w:rsidP="00AD309C">
                      <w:pPr>
                        <w:pStyle w:val="ListParagraph"/>
                        <w:numPr>
                          <w:ilvl w:val="1"/>
                          <w:numId w:val="150"/>
                        </w:numPr>
                        <w:rPr>
                          <w:bCs/>
                        </w:rPr>
                      </w:pPr>
                      <w:r>
                        <w:rPr>
                          <w:bCs/>
                        </w:rPr>
                        <w:t>07/01/202</w:t>
                      </w:r>
                      <w:r w:rsidR="006B53CC">
                        <w:rPr>
                          <w:bCs/>
                        </w:rPr>
                        <w:t>5</w:t>
                      </w:r>
                      <w:r>
                        <w:rPr>
                          <w:bCs/>
                        </w:rPr>
                        <w:t xml:space="preserve"> – 06/30/202</w:t>
                      </w:r>
                      <w:r w:rsidR="006B53CC">
                        <w:rPr>
                          <w:bCs/>
                        </w:rPr>
                        <w:t>6</w:t>
                      </w:r>
                    </w:p>
                    <w:p w14:paraId="0970D3A8" w14:textId="77777777" w:rsidR="00C64192" w:rsidRPr="00612B8F" w:rsidRDefault="00C64192" w:rsidP="00C64192">
                      <w:pPr>
                        <w:pStyle w:val="ListParagraph"/>
                        <w:ind w:left="1440"/>
                        <w:rPr>
                          <w:bCs/>
                          <w:sz w:val="16"/>
                          <w:szCs w:val="16"/>
                        </w:rPr>
                      </w:pPr>
                    </w:p>
                    <w:p w14:paraId="487485B5" w14:textId="77777777" w:rsidR="00C64192" w:rsidRPr="00D20A90" w:rsidRDefault="00C64192" w:rsidP="00C64192">
                      <w:pPr>
                        <w:rPr>
                          <w:b/>
                        </w:rPr>
                      </w:pPr>
                      <w:r w:rsidRPr="006547C0">
                        <w:rPr>
                          <w:rFonts w:cs="Arial"/>
                          <w:sz w:val="16"/>
                          <w:szCs w:val="16"/>
                        </w:rPr>
                        <w:t xml:space="preserve">Note: As a reminder, the </w:t>
                      </w:r>
                      <w:hyperlink r:id="rId333"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2BF0814C" w14:textId="77777777" w:rsidR="00C64192" w:rsidRPr="00332C4D" w:rsidRDefault="00C64192" w:rsidP="00C64192"/>
    <w:tbl>
      <w:tblPr>
        <w:tblStyle w:val="TableGrid"/>
        <w:tblW w:w="0" w:type="auto"/>
        <w:tblLook w:val="04A0" w:firstRow="1" w:lastRow="0" w:firstColumn="1" w:lastColumn="0" w:noHBand="0" w:noVBand="1"/>
      </w:tblPr>
      <w:tblGrid>
        <w:gridCol w:w="6115"/>
        <w:gridCol w:w="3235"/>
      </w:tblGrid>
      <w:tr w:rsidR="00C64192" w:rsidRPr="00C645E0" w14:paraId="7FDA16FA" w14:textId="77777777" w:rsidTr="00D73F6A">
        <w:trPr>
          <w:trHeight w:val="20"/>
        </w:trPr>
        <w:tc>
          <w:tcPr>
            <w:tcW w:w="6115" w:type="dxa"/>
            <w:vAlign w:val="center"/>
          </w:tcPr>
          <w:p w14:paraId="449D0864" w14:textId="77777777" w:rsidR="00C64192" w:rsidRDefault="00C64192" w:rsidP="00AD309C">
            <w:pPr>
              <w:pStyle w:val="ListParagraph"/>
              <w:numPr>
                <w:ilvl w:val="0"/>
                <w:numId w:val="147"/>
              </w:numPr>
            </w:pPr>
            <w:r>
              <w:t>12-month reporting period used:</w:t>
            </w:r>
          </w:p>
        </w:tc>
        <w:tc>
          <w:tcPr>
            <w:tcW w:w="3235" w:type="dxa"/>
            <w:vAlign w:val="center"/>
          </w:tcPr>
          <w:p w14:paraId="5757BE9E" w14:textId="7A9D2D5F" w:rsidR="00C64192" w:rsidRPr="00C06753" w:rsidRDefault="00C64192" w:rsidP="00AD309C">
            <w:pPr>
              <w:pStyle w:val="ListParagraph"/>
              <w:numPr>
                <w:ilvl w:val="0"/>
                <w:numId w:val="347"/>
              </w:numPr>
              <w:spacing w:line="276" w:lineRule="auto"/>
              <w:rPr>
                <w:iCs/>
              </w:rPr>
            </w:pPr>
            <w:r w:rsidRPr="00C8246A">
              <w:rPr>
                <w:iCs/>
              </w:rPr>
              <w:t>01/01/202</w:t>
            </w:r>
            <w:r w:rsidR="006B53CC">
              <w:rPr>
                <w:iCs/>
              </w:rPr>
              <w:t>5</w:t>
            </w:r>
            <w:r w:rsidRPr="00C06753">
              <w:rPr>
                <w:iCs/>
              </w:rPr>
              <w:t xml:space="preserve"> – 12/31/202</w:t>
            </w:r>
            <w:r w:rsidR="006B53CC">
              <w:rPr>
                <w:iCs/>
              </w:rPr>
              <w:t>5</w:t>
            </w:r>
          </w:p>
          <w:p w14:paraId="5C388884" w14:textId="5E604437" w:rsidR="00C64192" w:rsidRPr="00375777" w:rsidRDefault="00C64192" w:rsidP="00AD309C">
            <w:pPr>
              <w:pStyle w:val="ListParagraph"/>
              <w:numPr>
                <w:ilvl w:val="0"/>
                <w:numId w:val="347"/>
              </w:numPr>
              <w:spacing w:line="276" w:lineRule="auto"/>
              <w:rPr>
                <w:iCs/>
              </w:rPr>
            </w:pPr>
            <w:r w:rsidRPr="00C06753">
              <w:rPr>
                <w:iCs/>
              </w:rPr>
              <w:t>07/01/202</w:t>
            </w:r>
            <w:r w:rsidR="006B53CC">
              <w:rPr>
                <w:iCs/>
              </w:rPr>
              <w:t>5</w:t>
            </w:r>
            <w:r w:rsidRPr="00C06753">
              <w:rPr>
                <w:iCs/>
              </w:rPr>
              <w:t xml:space="preserve"> – 06/30/202</w:t>
            </w:r>
            <w:r w:rsidR="006B53CC">
              <w:rPr>
                <w:iCs/>
              </w:rPr>
              <w:t>6</w:t>
            </w:r>
          </w:p>
        </w:tc>
      </w:tr>
      <w:tr w:rsidR="00C64192" w:rsidRPr="00C645E0" w14:paraId="63EF064F" w14:textId="77777777" w:rsidTr="00D73F6A">
        <w:trPr>
          <w:trHeight w:val="720"/>
        </w:trPr>
        <w:tc>
          <w:tcPr>
            <w:tcW w:w="6115" w:type="dxa"/>
            <w:vAlign w:val="center"/>
          </w:tcPr>
          <w:p w14:paraId="571CB4E1" w14:textId="252D6572" w:rsidR="00C64192" w:rsidRPr="00BB2FA4" w:rsidRDefault="00C64192" w:rsidP="00AD309C">
            <w:pPr>
              <w:pStyle w:val="ListParagraph"/>
              <w:numPr>
                <w:ilvl w:val="0"/>
                <w:numId w:val="147"/>
              </w:numPr>
              <w:rPr>
                <w:rFonts w:cs="Arial"/>
              </w:rPr>
            </w:pPr>
            <w:r w:rsidRPr="00BB2FA4">
              <w:rPr>
                <w:rFonts w:cs="Arial"/>
              </w:rPr>
              <w:t>Did your hospital calculate</w:t>
            </w:r>
            <w:r>
              <w:rPr>
                <w:rFonts w:cs="Arial"/>
              </w:rPr>
              <w:t xml:space="preserve"> total number of patient days,</w:t>
            </w:r>
            <w:r w:rsidRPr="00BB2FA4">
              <w:rPr>
                <w:rFonts w:cs="Arial"/>
              </w:rPr>
              <w:t xml:space="preserve"> </w:t>
            </w:r>
            <w:r>
              <w:rPr>
                <w:rFonts w:cs="Arial"/>
              </w:rPr>
              <w:t>total number of productive hours worked by employed and contracted nursing staff with direct patient care responsibilities (RN, LPN/LVN, and UAP), and total number of productive hours worked by RN nursing staff with direct patient care responsibilities</w:t>
            </w:r>
            <w:r w:rsidRPr="00BB2FA4">
              <w:rPr>
                <w:rFonts w:cs="Arial"/>
              </w:rPr>
              <w:t xml:space="preserve"> for the reporting period</w:t>
            </w:r>
            <w:r w:rsidR="00232E44">
              <w:rPr>
                <w:rFonts w:cs="Arial"/>
              </w:rPr>
              <w:t xml:space="preserve"> in </w:t>
            </w:r>
            <w:r w:rsidR="00232E44">
              <w:rPr>
                <w:rFonts w:cs="Arial"/>
                <w:bCs/>
                <w:snapToGrid w:val="0"/>
              </w:rPr>
              <w:t>s</w:t>
            </w:r>
            <w:r w:rsidR="00232E44" w:rsidRPr="000873A5">
              <w:rPr>
                <w:rFonts w:cs="Arial"/>
                <w:bCs/>
                <w:snapToGrid w:val="0"/>
              </w:rPr>
              <w:t xml:space="preserve">ingle or mixed acuity Medical, Surgical, </w:t>
            </w:r>
            <w:r w:rsidR="00232E44">
              <w:rPr>
                <w:rFonts w:cs="Arial"/>
                <w:bCs/>
                <w:snapToGrid w:val="0"/>
              </w:rPr>
              <w:t>and/</w:t>
            </w:r>
            <w:r w:rsidR="00232E44" w:rsidRPr="000873A5">
              <w:rPr>
                <w:rFonts w:cs="Arial"/>
                <w:bCs/>
                <w:snapToGrid w:val="0"/>
              </w:rPr>
              <w:t>or Med-Surg Units</w:t>
            </w:r>
            <w:r w:rsidRPr="00BB2FA4">
              <w:rPr>
                <w:rFonts w:cs="Arial"/>
              </w:rPr>
              <w:t>, and do you choose to report those data to this Survey?</w:t>
            </w:r>
          </w:p>
          <w:p w14:paraId="0353FF66" w14:textId="77777777" w:rsidR="00C64192" w:rsidRPr="00E56A49" w:rsidRDefault="00C64192" w:rsidP="00D73F6A">
            <w:pPr>
              <w:rPr>
                <w:rFonts w:cs="Arial"/>
              </w:rPr>
            </w:pPr>
          </w:p>
          <w:p w14:paraId="1D220CC7" w14:textId="14479615" w:rsidR="00C64192" w:rsidRDefault="00C64192" w:rsidP="00D73F6A">
            <w:pPr>
              <w:pStyle w:val="ListParagraph"/>
              <w:ind w:left="360"/>
              <w:rPr>
                <w:rFonts w:cs="Arial"/>
                <w:i/>
              </w:rPr>
            </w:pPr>
            <w:r w:rsidRPr="00E56A49">
              <w:rPr>
                <w:rFonts w:cs="Arial"/>
                <w:i/>
              </w:rPr>
              <w:t>If “no” to question #</w:t>
            </w:r>
            <w:r w:rsidR="00E35B29">
              <w:rPr>
                <w:rFonts w:cs="Arial"/>
                <w:i/>
              </w:rPr>
              <w:t>2</w:t>
            </w:r>
            <w:r w:rsidRPr="00E56A49">
              <w:rPr>
                <w:rFonts w:cs="Arial"/>
                <w:i/>
              </w:rPr>
              <w:t>, skip question</w:t>
            </w:r>
            <w:r w:rsidR="00482DAC">
              <w:rPr>
                <w:rFonts w:cs="Arial"/>
                <w:i/>
              </w:rPr>
              <w:t>s</w:t>
            </w:r>
            <w:r w:rsidRPr="00E56A49">
              <w:rPr>
                <w:rFonts w:cs="Arial"/>
                <w:i/>
              </w:rPr>
              <w:t xml:space="preserve"> </w:t>
            </w:r>
            <w:r>
              <w:rPr>
                <w:rFonts w:cs="Arial"/>
                <w:i/>
              </w:rPr>
              <w:t>#</w:t>
            </w:r>
            <w:r w:rsidR="00310092">
              <w:rPr>
                <w:rFonts w:cs="Arial"/>
                <w:i/>
              </w:rPr>
              <w:t>3</w:t>
            </w:r>
            <w:r w:rsidR="00482DAC">
              <w:rPr>
                <w:rFonts w:cs="Arial"/>
                <w:i/>
              </w:rPr>
              <w:t>-16</w:t>
            </w:r>
            <w:r>
              <w:rPr>
                <w:rFonts w:cs="Arial"/>
                <w:i/>
              </w:rPr>
              <w:t xml:space="preserve"> and continue to question #1</w:t>
            </w:r>
            <w:r w:rsidR="00AF59F3">
              <w:rPr>
                <w:rFonts w:cs="Arial"/>
                <w:i/>
              </w:rPr>
              <w:t>7</w:t>
            </w:r>
            <w:r>
              <w:rPr>
                <w:rFonts w:cs="Arial"/>
                <w:i/>
              </w:rPr>
              <w:t xml:space="preserve">. </w:t>
            </w:r>
            <w:r w:rsidRPr="00127403">
              <w:rPr>
                <w:rFonts w:cs="Arial"/>
                <w:i/>
              </w:rPr>
              <w:t>The hospital will be scored as “</w:t>
            </w:r>
            <w:r w:rsidR="003233F9">
              <w:rPr>
                <w:rFonts w:cs="Arial"/>
                <w:i/>
              </w:rPr>
              <w:t>Did Not Measure</w:t>
            </w:r>
            <w:r w:rsidRPr="00127403">
              <w:rPr>
                <w:rFonts w:cs="Arial"/>
                <w:i/>
              </w:rPr>
              <w:t>.”</w:t>
            </w:r>
          </w:p>
          <w:p w14:paraId="77781FB0" w14:textId="77777777" w:rsidR="00225E35" w:rsidRDefault="00225E35" w:rsidP="00D73F6A">
            <w:pPr>
              <w:pStyle w:val="ListParagraph"/>
              <w:ind w:left="360"/>
              <w:rPr>
                <w:i/>
              </w:rPr>
            </w:pPr>
          </w:p>
          <w:p w14:paraId="57D98426" w14:textId="5AE0D5B8" w:rsidR="00CE59E8" w:rsidRDefault="00CE59E8" w:rsidP="00D73F6A">
            <w:pPr>
              <w:pStyle w:val="ListParagraph"/>
              <w:ind w:left="360"/>
              <w:rPr>
                <w:i/>
              </w:rPr>
            </w:pPr>
            <w:r w:rsidRPr="00CE59E8">
              <w:rPr>
                <w:i/>
              </w:rPr>
              <w:t>If “does not apply</w:t>
            </w:r>
            <w:r w:rsidR="00392207">
              <w:rPr>
                <w:i/>
              </w:rPr>
              <w:t>;</w:t>
            </w:r>
            <w:r w:rsidRPr="00CE59E8">
              <w:rPr>
                <w:i/>
              </w:rPr>
              <w:t xml:space="preserve"> hospital does not operate applicable units,” skip questions #3-16 and continue to question #17. The hospital will be scored as “Does Not Apply.”</w:t>
            </w:r>
          </w:p>
          <w:p w14:paraId="48798F7F" w14:textId="4A368F4C" w:rsidR="00225E35" w:rsidRDefault="00225E35" w:rsidP="00D73F6A">
            <w:pPr>
              <w:pStyle w:val="ListParagraph"/>
              <w:ind w:left="360"/>
            </w:pPr>
          </w:p>
        </w:tc>
        <w:tc>
          <w:tcPr>
            <w:tcW w:w="3235" w:type="dxa"/>
            <w:vAlign w:val="center"/>
          </w:tcPr>
          <w:p w14:paraId="7A82D1C1" w14:textId="77777777" w:rsidR="00C64192" w:rsidRPr="00C8246A" w:rsidRDefault="00C64192" w:rsidP="00AD309C">
            <w:pPr>
              <w:pStyle w:val="ListParagraph"/>
              <w:numPr>
                <w:ilvl w:val="0"/>
                <w:numId w:val="349"/>
              </w:numPr>
              <w:rPr>
                <w:rFonts w:cs="Arial"/>
                <w:iCs/>
              </w:rPr>
            </w:pPr>
            <w:r w:rsidRPr="00C8246A">
              <w:rPr>
                <w:rFonts w:cs="Arial"/>
                <w:iCs/>
              </w:rPr>
              <w:t>Yes</w:t>
            </w:r>
          </w:p>
          <w:p w14:paraId="3383F33E" w14:textId="77777777" w:rsidR="00C64192" w:rsidRDefault="00C64192" w:rsidP="00AD309C">
            <w:pPr>
              <w:pStyle w:val="ListParagraph"/>
              <w:numPr>
                <w:ilvl w:val="0"/>
                <w:numId w:val="349"/>
              </w:numPr>
              <w:rPr>
                <w:rFonts w:cs="Arial"/>
                <w:iCs/>
              </w:rPr>
            </w:pPr>
            <w:r w:rsidRPr="00C8246A">
              <w:rPr>
                <w:rFonts w:cs="Arial"/>
                <w:iCs/>
              </w:rPr>
              <w:t>No</w:t>
            </w:r>
          </w:p>
          <w:p w14:paraId="07B5C90F" w14:textId="4B9AAF8A" w:rsidR="00225E35" w:rsidRPr="00375777" w:rsidRDefault="00225E35" w:rsidP="00AD309C">
            <w:pPr>
              <w:pStyle w:val="ListParagraph"/>
              <w:numPr>
                <w:ilvl w:val="0"/>
                <w:numId w:val="349"/>
              </w:numPr>
              <w:rPr>
                <w:rFonts w:cs="Arial"/>
                <w:iCs/>
              </w:rPr>
            </w:pPr>
            <w:r>
              <w:rPr>
                <w:rFonts w:cs="Arial"/>
                <w:iCs/>
              </w:rPr>
              <w:t>Does not apply</w:t>
            </w:r>
            <w:r w:rsidR="00BF2A68">
              <w:rPr>
                <w:rFonts w:cs="Arial"/>
                <w:iCs/>
              </w:rPr>
              <w:t>;</w:t>
            </w:r>
            <w:r>
              <w:rPr>
                <w:rFonts w:cs="Arial"/>
                <w:iCs/>
              </w:rPr>
              <w:t xml:space="preserve"> hospital does not operate applicable units</w:t>
            </w:r>
          </w:p>
        </w:tc>
      </w:tr>
      <w:tr w:rsidR="00C64192" w:rsidRPr="00C645E0" w14:paraId="114AEC0D" w14:textId="77777777" w:rsidTr="00D73F6A">
        <w:trPr>
          <w:trHeight w:val="20"/>
        </w:trPr>
        <w:tc>
          <w:tcPr>
            <w:tcW w:w="6115" w:type="dxa"/>
            <w:vAlign w:val="center"/>
          </w:tcPr>
          <w:p w14:paraId="63D1F7F0" w14:textId="77777777" w:rsidR="00C64192" w:rsidRPr="00F74A72" w:rsidRDefault="00C64192" w:rsidP="00AD309C">
            <w:pPr>
              <w:pStyle w:val="ListParagraph"/>
              <w:numPr>
                <w:ilvl w:val="0"/>
                <w:numId w:val="147"/>
              </w:numPr>
              <w:rPr>
                <w:rFonts w:cs="Arial"/>
              </w:rPr>
            </w:pPr>
            <w:r w:rsidRPr="00DB5E31">
              <w:rPr>
                <w:rFonts w:cs="Arial"/>
              </w:rPr>
              <w:t xml:space="preserve">Which method did your hospital use to </w:t>
            </w:r>
            <w:r>
              <w:rPr>
                <w:rFonts w:cs="Arial"/>
              </w:rPr>
              <w:t xml:space="preserve">calculate </w:t>
            </w:r>
            <w:r w:rsidRPr="00DB5E31">
              <w:rPr>
                <w:rFonts w:cs="Arial"/>
              </w:rPr>
              <w:t xml:space="preserve">the total number of patient days for each </w:t>
            </w:r>
            <w:r>
              <w:rPr>
                <w:rFonts w:cs="Arial"/>
              </w:rPr>
              <w:t>single acuity</w:t>
            </w:r>
            <w:r w:rsidRPr="00DB5E31">
              <w:rPr>
                <w:rFonts w:cs="Arial"/>
              </w:rPr>
              <w:t xml:space="preserve"> </w:t>
            </w:r>
            <w:r>
              <w:rPr>
                <w:rFonts w:cs="Arial"/>
              </w:rPr>
              <w:t>M</w:t>
            </w:r>
            <w:r w:rsidRPr="00DB5E31">
              <w:rPr>
                <w:rFonts w:cs="Arial"/>
              </w:rPr>
              <w:t xml:space="preserve">edical, </w:t>
            </w:r>
            <w:r>
              <w:rPr>
                <w:rFonts w:cs="Arial"/>
              </w:rPr>
              <w:t>S</w:t>
            </w:r>
            <w:r w:rsidRPr="00DB5E31">
              <w:rPr>
                <w:rFonts w:cs="Arial"/>
              </w:rPr>
              <w:t>urgical</w:t>
            </w:r>
            <w:r>
              <w:rPr>
                <w:rFonts w:cs="Arial"/>
              </w:rPr>
              <w:t>,</w:t>
            </w:r>
            <w:r w:rsidRPr="00DB5E31">
              <w:rPr>
                <w:rFonts w:cs="Arial"/>
              </w:rPr>
              <w:t xml:space="preserve"> </w:t>
            </w:r>
            <w:r>
              <w:rPr>
                <w:rFonts w:cs="Arial"/>
              </w:rPr>
              <w:t>M</w:t>
            </w:r>
            <w:r w:rsidRPr="00DB5E31">
              <w:rPr>
                <w:rFonts w:cs="Arial"/>
              </w:rPr>
              <w:t>ed-</w:t>
            </w:r>
            <w:r>
              <w:rPr>
                <w:rFonts w:cs="Arial"/>
              </w:rPr>
              <w:t>S</w:t>
            </w:r>
            <w:r w:rsidRPr="00DB5E31">
              <w:rPr>
                <w:rFonts w:cs="Arial"/>
              </w:rPr>
              <w:t>urg</w:t>
            </w:r>
            <w:r>
              <w:rPr>
                <w:rFonts w:cs="Arial"/>
              </w:rPr>
              <w:t xml:space="preserve"> or mixed acuity </w:t>
            </w:r>
            <w:r>
              <w:t>Medical, Surgical or Med-Surg</w:t>
            </w:r>
            <w:r w:rsidRPr="00DB5E31">
              <w:rPr>
                <w:rFonts w:cs="Arial"/>
              </w:rPr>
              <w:t xml:space="preserve"> </w:t>
            </w:r>
            <w:r>
              <w:rPr>
                <w:rFonts w:cs="Arial"/>
              </w:rPr>
              <w:t>U</w:t>
            </w:r>
            <w:r w:rsidRPr="00DB5E31">
              <w:rPr>
                <w:rFonts w:cs="Arial"/>
              </w:rPr>
              <w:t>nit?</w:t>
            </w:r>
          </w:p>
        </w:tc>
        <w:tc>
          <w:tcPr>
            <w:tcW w:w="3235" w:type="dxa"/>
            <w:vAlign w:val="center"/>
          </w:tcPr>
          <w:p w14:paraId="1E7CEE8D" w14:textId="77777777" w:rsidR="00913B43" w:rsidRPr="0004565D" w:rsidRDefault="00C64192" w:rsidP="00AD309C">
            <w:pPr>
              <w:pStyle w:val="ListParagraph"/>
              <w:numPr>
                <w:ilvl w:val="0"/>
                <w:numId w:val="350"/>
              </w:numPr>
              <w:rPr>
                <w:rFonts w:cs="Arial"/>
                <w:iCs/>
              </w:rPr>
            </w:pPr>
            <w:r w:rsidRPr="00C8246A">
              <w:rPr>
                <w:rFonts w:cs="Arial"/>
                <w:iCs/>
              </w:rPr>
              <w:t>Midnight census</w:t>
            </w:r>
            <w:r w:rsidR="00913B43">
              <w:rPr>
                <w:rFonts w:cs="Arial"/>
                <w:iCs/>
              </w:rPr>
              <w:t xml:space="preserve"> </w:t>
            </w:r>
            <w:r w:rsidR="00913B43" w:rsidRPr="0004565D">
              <w:rPr>
                <w:rFonts w:cs="Arial"/>
                <w:iCs/>
              </w:rPr>
              <w:t>(including observation patients)</w:t>
            </w:r>
          </w:p>
          <w:p w14:paraId="39D868AC" w14:textId="77777777" w:rsidR="00913B43" w:rsidRPr="0004565D" w:rsidRDefault="00913B43" w:rsidP="00AD309C">
            <w:pPr>
              <w:pStyle w:val="ListParagraph"/>
              <w:numPr>
                <w:ilvl w:val="0"/>
                <w:numId w:val="350"/>
              </w:numPr>
              <w:rPr>
                <w:rFonts w:cs="Arial"/>
                <w:iCs/>
              </w:rPr>
            </w:pPr>
            <w:r w:rsidRPr="0004565D">
              <w:rPr>
                <w:rFonts w:cs="Arial"/>
                <w:iCs/>
              </w:rPr>
              <w:t>Midnight census and patient days from actual hours for short stay patients</w:t>
            </w:r>
          </w:p>
          <w:p w14:paraId="691C6228" w14:textId="77777777" w:rsidR="00C64192" w:rsidRPr="00C8246A" w:rsidRDefault="00C64192" w:rsidP="00AD309C">
            <w:pPr>
              <w:pStyle w:val="ListParagraph"/>
              <w:numPr>
                <w:ilvl w:val="0"/>
                <w:numId w:val="350"/>
              </w:numPr>
              <w:rPr>
                <w:rFonts w:cs="Arial"/>
                <w:iCs/>
              </w:rPr>
            </w:pPr>
            <w:r w:rsidRPr="00C8246A">
              <w:rPr>
                <w:rFonts w:cs="Arial"/>
                <w:iCs/>
              </w:rPr>
              <w:lastRenderedPageBreak/>
              <w:t>Patient days from actual hours</w:t>
            </w:r>
          </w:p>
          <w:p w14:paraId="5C71B573" w14:textId="79F1FE5D" w:rsidR="00C64192" w:rsidRPr="00901BC5" w:rsidRDefault="00C64192" w:rsidP="00AD309C">
            <w:pPr>
              <w:pStyle w:val="ListParagraph"/>
              <w:numPr>
                <w:ilvl w:val="0"/>
                <w:numId w:val="350"/>
              </w:numPr>
              <w:rPr>
                <w:rFonts w:cs="Arial"/>
                <w:i/>
              </w:rPr>
            </w:pPr>
            <w:r w:rsidRPr="00C8246A">
              <w:rPr>
                <w:rFonts w:cs="Arial"/>
                <w:iCs/>
              </w:rPr>
              <w:t>Patient days from multiple census reports</w:t>
            </w:r>
          </w:p>
        </w:tc>
      </w:tr>
    </w:tbl>
    <w:p w14:paraId="2E769C46" w14:textId="77777777" w:rsidR="00C64192" w:rsidRPr="00332C4D" w:rsidRDefault="00C64192" w:rsidP="00C64192">
      <w:pPr>
        <w:pStyle w:val="Heading44"/>
        <w:rPr>
          <w:sz w:val="20"/>
        </w:rPr>
      </w:pPr>
    </w:p>
    <w:tbl>
      <w:tblPr>
        <w:tblStyle w:val="TableGrid"/>
        <w:tblW w:w="0" w:type="auto"/>
        <w:tblLook w:val="04A0" w:firstRow="1" w:lastRow="0" w:firstColumn="1" w:lastColumn="0" w:noHBand="0" w:noVBand="1"/>
      </w:tblPr>
      <w:tblGrid>
        <w:gridCol w:w="6115"/>
        <w:gridCol w:w="3235"/>
      </w:tblGrid>
      <w:tr w:rsidR="00C64192" w:rsidRPr="00C645E0" w14:paraId="4A6E73A1" w14:textId="77777777" w:rsidTr="00D73F6A">
        <w:trPr>
          <w:trHeight w:val="1224"/>
        </w:trPr>
        <w:tc>
          <w:tcPr>
            <w:tcW w:w="6115" w:type="dxa"/>
          </w:tcPr>
          <w:p w14:paraId="175602F9" w14:textId="4DB26E7C" w:rsidR="00C64192" w:rsidRDefault="00C64192" w:rsidP="00AD309C">
            <w:pPr>
              <w:pStyle w:val="ListParagraph"/>
              <w:numPr>
                <w:ilvl w:val="0"/>
                <w:numId w:val="147"/>
              </w:numPr>
            </w:pPr>
            <w:r>
              <w:t xml:space="preserve">Does your hospital operate any adult or pediatric single acuity </w:t>
            </w:r>
            <w:hyperlink w:anchor="_Nursing_Workforce_Measure_1" w:history="1">
              <w:r>
                <w:rPr>
                  <w:rStyle w:val="Hyperlink"/>
                  <w:rFonts w:cs="Arial"/>
                </w:rPr>
                <w:t>Medical Units</w:t>
              </w:r>
            </w:hyperlink>
            <w:r>
              <w:t>?</w:t>
            </w:r>
          </w:p>
          <w:p w14:paraId="59BCC041" w14:textId="77777777" w:rsidR="00C64192" w:rsidRDefault="00C64192" w:rsidP="00D73F6A"/>
          <w:p w14:paraId="3928677D" w14:textId="77777777" w:rsidR="00C64192" w:rsidRPr="00236F28" w:rsidRDefault="00C64192" w:rsidP="00D73F6A">
            <w:pPr>
              <w:pStyle w:val="ListParagraph"/>
              <w:ind w:left="360"/>
              <w:rPr>
                <w:i/>
                <w:iCs/>
              </w:rPr>
            </w:pPr>
            <w:r>
              <w:rPr>
                <w:i/>
                <w:iCs/>
              </w:rPr>
              <w:t>A single acuity unit is defined as a unit where at least 90% of the patients receive the same level of care.</w:t>
            </w:r>
          </w:p>
          <w:p w14:paraId="5E16F323" w14:textId="77777777" w:rsidR="00C64192" w:rsidRDefault="00C64192" w:rsidP="00D73F6A"/>
          <w:p w14:paraId="317A5F8E" w14:textId="78B63C9D" w:rsidR="00C64192" w:rsidRPr="00F1322F" w:rsidRDefault="00C64192" w:rsidP="00D73F6A">
            <w:pPr>
              <w:ind w:left="360"/>
              <w:rPr>
                <w:i/>
                <w:iCs/>
              </w:rPr>
            </w:pPr>
            <w:r w:rsidRPr="00F1322F">
              <w:rPr>
                <w:i/>
                <w:iCs/>
              </w:rPr>
              <w:t>If “no” or “y</w:t>
            </w:r>
            <w:r w:rsidRPr="00F1322F">
              <w:rPr>
                <w:rFonts w:cs="Arial"/>
                <w:i/>
                <w:iCs/>
                <w:snapToGrid w:val="0"/>
              </w:rPr>
              <w:t xml:space="preserve">es, </w:t>
            </w:r>
            <w:r w:rsidRPr="00B44C7B">
              <w:rPr>
                <w:rFonts w:cs="Arial"/>
                <w:i/>
                <w:iCs/>
                <w:snapToGrid w:val="0"/>
              </w:rPr>
              <w:t>but had fewer than 15 patient days per month for all 3 months of any quarter of the reporting period</w:t>
            </w:r>
            <w:r w:rsidRPr="00F1322F">
              <w:rPr>
                <w:i/>
                <w:iCs/>
              </w:rPr>
              <w:t>” to question #</w:t>
            </w:r>
            <w:r w:rsidR="009C365C">
              <w:rPr>
                <w:i/>
                <w:iCs/>
              </w:rPr>
              <w:t>4</w:t>
            </w:r>
            <w:r w:rsidRPr="00F1322F">
              <w:rPr>
                <w:i/>
                <w:iCs/>
              </w:rPr>
              <w:t>, skip question #</w:t>
            </w:r>
            <w:r w:rsidR="00F84EAC">
              <w:rPr>
                <w:i/>
                <w:iCs/>
              </w:rPr>
              <w:t>5</w:t>
            </w:r>
            <w:r w:rsidRPr="00F1322F">
              <w:rPr>
                <w:i/>
                <w:iCs/>
              </w:rPr>
              <w:t xml:space="preserve"> and continue to question #</w:t>
            </w:r>
            <w:r w:rsidR="00881DA7">
              <w:rPr>
                <w:i/>
                <w:iCs/>
              </w:rPr>
              <w:t>6</w:t>
            </w:r>
            <w:r w:rsidRPr="00F1322F">
              <w:rPr>
                <w:i/>
                <w:iCs/>
              </w:rPr>
              <w:t>.</w:t>
            </w:r>
          </w:p>
        </w:tc>
        <w:tc>
          <w:tcPr>
            <w:tcW w:w="3235" w:type="dxa"/>
            <w:vAlign w:val="center"/>
          </w:tcPr>
          <w:p w14:paraId="3EB09C42" w14:textId="77777777" w:rsidR="00C64192" w:rsidRPr="00375777" w:rsidRDefault="00C64192" w:rsidP="00AD309C">
            <w:pPr>
              <w:pStyle w:val="ListParagraph"/>
              <w:numPr>
                <w:ilvl w:val="0"/>
                <w:numId w:val="351"/>
              </w:numPr>
              <w:rPr>
                <w:rFonts w:cs="Arial"/>
                <w:iCs/>
                <w:snapToGrid w:val="0"/>
              </w:rPr>
            </w:pPr>
            <w:r w:rsidRPr="00C8246A">
              <w:rPr>
                <w:rFonts w:cs="Arial"/>
                <w:iCs/>
                <w:snapToGrid w:val="0"/>
              </w:rPr>
              <w:t>Yes</w:t>
            </w:r>
          </w:p>
          <w:p w14:paraId="1867695E" w14:textId="77777777" w:rsidR="00C64192" w:rsidRDefault="00C64192" w:rsidP="00AD309C">
            <w:pPr>
              <w:pStyle w:val="ListParagraph"/>
              <w:numPr>
                <w:ilvl w:val="0"/>
                <w:numId w:val="351"/>
              </w:numPr>
              <w:rPr>
                <w:rFonts w:cs="Arial"/>
                <w:iCs/>
                <w:snapToGrid w:val="0"/>
              </w:rPr>
            </w:pPr>
            <w:r w:rsidRPr="00C8246A">
              <w:rPr>
                <w:rFonts w:cs="Arial"/>
                <w:iCs/>
                <w:snapToGrid w:val="0"/>
              </w:rPr>
              <w:t>No</w:t>
            </w:r>
          </w:p>
          <w:p w14:paraId="5242095F" w14:textId="77777777" w:rsidR="00C64192" w:rsidRPr="009A5185" w:rsidRDefault="00C64192" w:rsidP="00AD309C">
            <w:pPr>
              <w:pStyle w:val="ListParagraph"/>
              <w:numPr>
                <w:ilvl w:val="0"/>
                <w:numId w:val="351"/>
              </w:numPr>
              <w:rPr>
                <w:i/>
                <w:snapToGrid w:val="0"/>
              </w:rPr>
            </w:pPr>
            <w:r w:rsidRPr="00F62669">
              <w:rPr>
                <w:rFonts w:cs="Arial"/>
                <w:iCs/>
                <w:snapToGrid w:val="0"/>
              </w:rPr>
              <w:t>Yes, but had fewer than 15 patient days per month for all 3 months of any quarter of the reporting period</w:t>
            </w:r>
          </w:p>
        </w:tc>
      </w:tr>
    </w:tbl>
    <w:p w14:paraId="0A56B378" w14:textId="77777777" w:rsidR="00C64192" w:rsidRPr="00265265" w:rsidRDefault="00C64192" w:rsidP="00C64192"/>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2340"/>
        <w:gridCol w:w="2790"/>
        <w:gridCol w:w="2790"/>
      </w:tblGrid>
      <w:tr w:rsidR="00C64192" w:rsidRPr="009A5185" w14:paraId="3176D60E" w14:textId="77777777" w:rsidTr="00D73F6A">
        <w:trPr>
          <w:trHeight w:val="504"/>
          <w:jc w:val="center"/>
        </w:trPr>
        <w:tc>
          <w:tcPr>
            <w:tcW w:w="9355" w:type="dxa"/>
            <w:gridSpan w:val="4"/>
            <w:vAlign w:val="center"/>
          </w:tcPr>
          <w:p w14:paraId="3B2FBD1D" w14:textId="066FC589" w:rsidR="00C64192" w:rsidRPr="003B0F77" w:rsidRDefault="00C64192" w:rsidP="00AD309C">
            <w:pPr>
              <w:pStyle w:val="ListParagraph"/>
              <w:numPr>
                <w:ilvl w:val="0"/>
                <w:numId w:val="147"/>
              </w:numPr>
              <w:rPr>
                <w:rFonts w:cs="Arial"/>
                <w:i/>
                <w:snapToGrid w:val="0"/>
              </w:rPr>
            </w:pPr>
            <w:r w:rsidRPr="0048640F">
              <w:rPr>
                <w:rFonts w:cs="Arial"/>
              </w:rPr>
              <w:t xml:space="preserve">Enter your </w:t>
            </w:r>
            <w:r>
              <w:rPr>
                <w:rFonts w:cs="Arial"/>
              </w:rPr>
              <w:t xml:space="preserve">hospital’s responses for each quarter for all adult and pediatric single acuity </w:t>
            </w:r>
            <w:hyperlink w:anchor="_Nursing_Workforce_Measure_1" w:history="1">
              <w:r>
                <w:rPr>
                  <w:rStyle w:val="Hyperlink"/>
                  <w:rFonts w:cs="Arial"/>
                </w:rPr>
                <w:t>Medical Units</w:t>
              </w:r>
            </w:hyperlink>
            <w:r>
              <w:t xml:space="preserve"> for the reporting period selected in question #1: </w:t>
            </w:r>
          </w:p>
        </w:tc>
      </w:tr>
      <w:tr w:rsidR="00C64192" w:rsidRPr="009A5185" w14:paraId="68CB29A7" w14:textId="77777777" w:rsidTr="00D73F6A">
        <w:trPr>
          <w:trHeight w:val="576"/>
          <w:jc w:val="center"/>
        </w:trPr>
        <w:tc>
          <w:tcPr>
            <w:tcW w:w="1435" w:type="dxa"/>
            <w:vAlign w:val="center"/>
          </w:tcPr>
          <w:p w14:paraId="36FEACBB" w14:textId="77777777" w:rsidR="00C64192" w:rsidRPr="009C1180" w:rsidRDefault="00C64192" w:rsidP="00D73F6A">
            <w:pPr>
              <w:contextualSpacing/>
              <w:rPr>
                <w:rFonts w:cs="Arial"/>
                <w:bCs/>
              </w:rPr>
            </w:pPr>
          </w:p>
        </w:tc>
        <w:tc>
          <w:tcPr>
            <w:tcW w:w="2340" w:type="dxa"/>
          </w:tcPr>
          <w:p w14:paraId="63354D03" w14:textId="77777777" w:rsidR="00C64192" w:rsidRPr="004B4271" w:rsidRDefault="00C64192" w:rsidP="00D73F6A">
            <w:r w:rsidRPr="000B1FFB">
              <w:rPr>
                <w:rFonts w:cs="Arial"/>
                <w:b/>
              </w:rPr>
              <w:t xml:space="preserve">(a) </w:t>
            </w:r>
            <w:r w:rsidRPr="00046E22">
              <w:t xml:space="preserve">Total number of </w:t>
            </w:r>
            <w:r w:rsidRPr="000B1FFB">
              <w:rPr>
                <w:rFonts w:cstheme="minorHAnsi"/>
                <w:bCs/>
                <w:iCs/>
              </w:rPr>
              <w:t>patient days</w:t>
            </w:r>
            <w:r>
              <w:rPr>
                <w:rFonts w:cstheme="minorHAnsi"/>
                <w:bCs/>
                <w:iCs/>
              </w:rPr>
              <w:t>:</w:t>
            </w:r>
          </w:p>
          <w:p w14:paraId="0ED84615" w14:textId="77777777" w:rsidR="00C64192" w:rsidRPr="009A5185" w:rsidRDefault="00C64192" w:rsidP="00D73F6A">
            <w:pPr>
              <w:contextualSpacing/>
              <w:rPr>
                <w:rFonts w:cs="Arial"/>
                <w:b/>
              </w:rPr>
            </w:pPr>
          </w:p>
        </w:tc>
        <w:tc>
          <w:tcPr>
            <w:tcW w:w="2790" w:type="dxa"/>
          </w:tcPr>
          <w:p w14:paraId="1A054CE0" w14:textId="77777777" w:rsidR="00C64192" w:rsidRPr="009A5185" w:rsidRDefault="00C64192" w:rsidP="00D73F6A">
            <w:pPr>
              <w:contextualSpacing/>
              <w:rPr>
                <w:rFonts w:cs="Arial"/>
                <w:b/>
              </w:rPr>
            </w:pPr>
            <w:r w:rsidRPr="00137990">
              <w:rPr>
                <w:rFonts w:cs="Arial"/>
                <w:b/>
              </w:rPr>
              <w:t>(</w:t>
            </w:r>
            <w:r>
              <w:rPr>
                <w:rFonts w:cs="Arial"/>
                <w:b/>
              </w:rPr>
              <w:t>b</w:t>
            </w:r>
            <w:r w:rsidRPr="00137990">
              <w:rPr>
                <w:rFonts w:cs="Arial"/>
                <w:b/>
              </w:rPr>
              <w:t xml:space="preserve">) </w:t>
            </w:r>
            <w:r w:rsidRPr="00046E22">
              <w:t>Total number of productive hours worked by employe</w:t>
            </w:r>
            <w:r>
              <w:t>d</w:t>
            </w:r>
            <w:r w:rsidRPr="00046E22">
              <w:t xml:space="preserve"> </w:t>
            </w:r>
            <w:r>
              <w:t>and</w:t>
            </w:r>
            <w:r w:rsidRPr="00046E22">
              <w:t xml:space="preserve"> contract</w:t>
            </w:r>
            <w:r>
              <w:t xml:space="preserve">ed </w:t>
            </w:r>
            <w:r w:rsidRPr="00C06753">
              <w:rPr>
                <w:b/>
                <w:bCs/>
              </w:rPr>
              <w:t>nursing staff (RN, LPN/LVN, and UAP)</w:t>
            </w:r>
            <w:r>
              <w:t xml:space="preserve"> </w:t>
            </w:r>
            <w:r w:rsidRPr="00046E22">
              <w:t>with direct patient care responsibilities</w:t>
            </w:r>
            <w:r>
              <w:t>:</w:t>
            </w:r>
          </w:p>
        </w:tc>
        <w:tc>
          <w:tcPr>
            <w:tcW w:w="2790" w:type="dxa"/>
          </w:tcPr>
          <w:p w14:paraId="5862FE85" w14:textId="77777777" w:rsidR="00C64192" w:rsidRPr="009A5185" w:rsidRDefault="00C64192" w:rsidP="00D73F6A">
            <w:pPr>
              <w:contextualSpacing/>
              <w:rPr>
                <w:rFonts w:cs="Arial"/>
                <w:b/>
              </w:rPr>
            </w:pPr>
            <w:r w:rsidRPr="009A5185">
              <w:rPr>
                <w:rFonts w:cs="Arial"/>
                <w:b/>
              </w:rPr>
              <w:t>(</w:t>
            </w:r>
            <w:r>
              <w:rPr>
                <w:rFonts w:cs="Arial"/>
                <w:b/>
              </w:rPr>
              <w:t>c</w:t>
            </w:r>
            <w:r w:rsidRPr="009A5185">
              <w:rPr>
                <w:rFonts w:cs="Arial"/>
                <w:b/>
              </w:rPr>
              <w:t>)</w:t>
            </w:r>
            <w:r>
              <w:rPr>
                <w:rFonts w:cs="Arial"/>
                <w:b/>
              </w:rPr>
              <w:t xml:space="preserve"> </w:t>
            </w:r>
            <w:r w:rsidRPr="0014347B">
              <w:t xml:space="preserve">Total number of productive hours </w:t>
            </w:r>
            <w:r w:rsidRPr="00C06753">
              <w:t>worked by</w:t>
            </w:r>
            <w:r w:rsidRPr="0014347B">
              <w:rPr>
                <w:b/>
                <w:bCs/>
              </w:rPr>
              <w:t xml:space="preserve"> RN</w:t>
            </w:r>
            <w:r>
              <w:rPr>
                <w:b/>
                <w:bCs/>
              </w:rPr>
              <w:t xml:space="preserve"> nursing staff</w:t>
            </w:r>
            <w:r w:rsidRPr="0014347B">
              <w:t xml:space="preserve"> with direct patient care responsibilities</w:t>
            </w:r>
            <w:r>
              <w:t>:</w:t>
            </w:r>
          </w:p>
        </w:tc>
      </w:tr>
      <w:tr w:rsidR="00C64192" w:rsidRPr="009A5185" w14:paraId="118A3A93" w14:textId="77777777" w:rsidTr="00D73F6A">
        <w:trPr>
          <w:jc w:val="center"/>
        </w:trPr>
        <w:tc>
          <w:tcPr>
            <w:tcW w:w="1435" w:type="dxa"/>
          </w:tcPr>
          <w:p w14:paraId="5509D6BD" w14:textId="77777777" w:rsidR="00C64192" w:rsidRPr="009A5185" w:rsidRDefault="00C64192" w:rsidP="00D73F6A">
            <w:pPr>
              <w:jc w:val="center"/>
              <w:rPr>
                <w:rFonts w:cs="Arial"/>
              </w:rPr>
            </w:pPr>
            <w:r>
              <w:rPr>
                <w:rFonts w:cs="Arial"/>
              </w:rPr>
              <w:t xml:space="preserve">Quarter 1 </w:t>
            </w:r>
          </w:p>
        </w:tc>
        <w:tc>
          <w:tcPr>
            <w:tcW w:w="2340" w:type="dxa"/>
            <w:vAlign w:val="center"/>
          </w:tcPr>
          <w:p w14:paraId="75800027" w14:textId="77777777" w:rsidR="00C64192" w:rsidRPr="009A5185" w:rsidRDefault="00C64192" w:rsidP="00D73F6A">
            <w:pPr>
              <w:ind w:left="360"/>
              <w:contextualSpacing/>
              <w:rPr>
                <w:rFonts w:cs="Arial"/>
                <w:b/>
              </w:rPr>
            </w:pPr>
          </w:p>
        </w:tc>
        <w:tc>
          <w:tcPr>
            <w:tcW w:w="2790" w:type="dxa"/>
            <w:vAlign w:val="center"/>
          </w:tcPr>
          <w:p w14:paraId="4A92BCCC" w14:textId="77777777" w:rsidR="00C64192" w:rsidRPr="009A5185" w:rsidRDefault="00C64192" w:rsidP="00D73F6A">
            <w:pPr>
              <w:ind w:left="360"/>
              <w:contextualSpacing/>
              <w:rPr>
                <w:rFonts w:cs="Arial"/>
                <w:b/>
              </w:rPr>
            </w:pPr>
          </w:p>
        </w:tc>
        <w:tc>
          <w:tcPr>
            <w:tcW w:w="2790" w:type="dxa"/>
          </w:tcPr>
          <w:p w14:paraId="7A61B5D9" w14:textId="77777777" w:rsidR="00C64192" w:rsidRPr="009A5185" w:rsidRDefault="00C64192" w:rsidP="00D73F6A">
            <w:pPr>
              <w:ind w:left="360"/>
              <w:contextualSpacing/>
              <w:rPr>
                <w:rFonts w:cs="Arial"/>
                <w:b/>
              </w:rPr>
            </w:pPr>
          </w:p>
        </w:tc>
      </w:tr>
      <w:tr w:rsidR="00C64192" w:rsidRPr="009A5185" w14:paraId="2D9BED2C" w14:textId="77777777" w:rsidTr="00D73F6A">
        <w:trPr>
          <w:jc w:val="center"/>
        </w:trPr>
        <w:tc>
          <w:tcPr>
            <w:tcW w:w="1435" w:type="dxa"/>
          </w:tcPr>
          <w:p w14:paraId="7EF5CCE0" w14:textId="77777777" w:rsidR="00C64192" w:rsidRPr="009A5185" w:rsidRDefault="00C64192" w:rsidP="00D73F6A">
            <w:pPr>
              <w:jc w:val="center"/>
              <w:rPr>
                <w:rFonts w:cs="Arial"/>
              </w:rPr>
            </w:pPr>
            <w:r>
              <w:rPr>
                <w:rFonts w:cs="Arial"/>
              </w:rPr>
              <w:t xml:space="preserve">Quarter 2 </w:t>
            </w:r>
          </w:p>
        </w:tc>
        <w:tc>
          <w:tcPr>
            <w:tcW w:w="2340" w:type="dxa"/>
            <w:vAlign w:val="center"/>
          </w:tcPr>
          <w:p w14:paraId="36C1A569" w14:textId="77777777" w:rsidR="00C64192" w:rsidRPr="009A5185" w:rsidRDefault="00C64192" w:rsidP="00D73F6A">
            <w:pPr>
              <w:ind w:left="360"/>
              <w:contextualSpacing/>
              <w:rPr>
                <w:rFonts w:cs="Arial"/>
                <w:b/>
              </w:rPr>
            </w:pPr>
          </w:p>
        </w:tc>
        <w:tc>
          <w:tcPr>
            <w:tcW w:w="2790" w:type="dxa"/>
            <w:vAlign w:val="center"/>
          </w:tcPr>
          <w:p w14:paraId="3DF386AF" w14:textId="77777777" w:rsidR="00C64192" w:rsidRPr="009A5185" w:rsidRDefault="00C64192" w:rsidP="00D73F6A">
            <w:pPr>
              <w:ind w:left="360"/>
              <w:contextualSpacing/>
              <w:rPr>
                <w:rFonts w:cs="Arial"/>
                <w:b/>
              </w:rPr>
            </w:pPr>
          </w:p>
        </w:tc>
        <w:tc>
          <w:tcPr>
            <w:tcW w:w="2790" w:type="dxa"/>
          </w:tcPr>
          <w:p w14:paraId="4282C3BC" w14:textId="77777777" w:rsidR="00C64192" w:rsidRPr="009A5185" w:rsidRDefault="00C64192" w:rsidP="00D73F6A">
            <w:pPr>
              <w:ind w:left="360"/>
              <w:contextualSpacing/>
              <w:rPr>
                <w:rFonts w:cs="Arial"/>
                <w:b/>
              </w:rPr>
            </w:pPr>
          </w:p>
        </w:tc>
      </w:tr>
      <w:tr w:rsidR="00C64192" w:rsidRPr="009A5185" w14:paraId="43535063" w14:textId="77777777" w:rsidTr="00D73F6A">
        <w:trPr>
          <w:jc w:val="center"/>
        </w:trPr>
        <w:tc>
          <w:tcPr>
            <w:tcW w:w="1435" w:type="dxa"/>
          </w:tcPr>
          <w:p w14:paraId="51E67DB6" w14:textId="77777777" w:rsidR="00C64192" w:rsidRPr="009A5185" w:rsidRDefault="00C64192" w:rsidP="00D73F6A">
            <w:pPr>
              <w:jc w:val="center"/>
              <w:rPr>
                <w:rFonts w:cs="Arial"/>
              </w:rPr>
            </w:pPr>
            <w:r>
              <w:rPr>
                <w:rFonts w:cs="Arial"/>
              </w:rPr>
              <w:t xml:space="preserve">Quarter 3 </w:t>
            </w:r>
          </w:p>
        </w:tc>
        <w:tc>
          <w:tcPr>
            <w:tcW w:w="2340" w:type="dxa"/>
            <w:vAlign w:val="center"/>
          </w:tcPr>
          <w:p w14:paraId="127188F6" w14:textId="77777777" w:rsidR="00C64192" w:rsidRPr="009A5185" w:rsidRDefault="00C64192" w:rsidP="00D73F6A">
            <w:pPr>
              <w:ind w:left="360"/>
              <w:contextualSpacing/>
              <w:rPr>
                <w:rFonts w:cs="Arial"/>
                <w:b/>
              </w:rPr>
            </w:pPr>
          </w:p>
        </w:tc>
        <w:tc>
          <w:tcPr>
            <w:tcW w:w="2790" w:type="dxa"/>
            <w:vAlign w:val="center"/>
          </w:tcPr>
          <w:p w14:paraId="289FF0AD" w14:textId="77777777" w:rsidR="00C64192" w:rsidRPr="009A5185" w:rsidRDefault="00C64192" w:rsidP="00D73F6A">
            <w:pPr>
              <w:ind w:left="360"/>
              <w:contextualSpacing/>
              <w:rPr>
                <w:rFonts w:cs="Arial"/>
                <w:b/>
              </w:rPr>
            </w:pPr>
          </w:p>
        </w:tc>
        <w:tc>
          <w:tcPr>
            <w:tcW w:w="2790" w:type="dxa"/>
          </w:tcPr>
          <w:p w14:paraId="1AE0F63D" w14:textId="77777777" w:rsidR="00C64192" w:rsidRPr="009A5185" w:rsidRDefault="00C64192" w:rsidP="00D73F6A">
            <w:pPr>
              <w:ind w:left="360"/>
              <w:contextualSpacing/>
              <w:rPr>
                <w:rFonts w:cs="Arial"/>
                <w:b/>
              </w:rPr>
            </w:pPr>
          </w:p>
        </w:tc>
      </w:tr>
      <w:tr w:rsidR="00C64192" w:rsidRPr="009A5185" w14:paraId="77BA7249" w14:textId="77777777" w:rsidTr="00D73F6A">
        <w:trPr>
          <w:jc w:val="center"/>
        </w:trPr>
        <w:tc>
          <w:tcPr>
            <w:tcW w:w="1435" w:type="dxa"/>
            <w:tcBorders>
              <w:bottom w:val="single" w:sz="4" w:space="0" w:color="auto"/>
            </w:tcBorders>
          </w:tcPr>
          <w:p w14:paraId="6E3FB1B7" w14:textId="77777777" w:rsidR="00C64192" w:rsidRPr="009A5185" w:rsidRDefault="00C64192" w:rsidP="00D73F6A">
            <w:pPr>
              <w:jc w:val="center"/>
              <w:rPr>
                <w:rFonts w:cs="Arial"/>
              </w:rPr>
            </w:pPr>
            <w:r>
              <w:rPr>
                <w:rFonts w:cs="Arial"/>
              </w:rPr>
              <w:t xml:space="preserve">Quarter 4 </w:t>
            </w:r>
          </w:p>
        </w:tc>
        <w:tc>
          <w:tcPr>
            <w:tcW w:w="2340" w:type="dxa"/>
            <w:vAlign w:val="center"/>
          </w:tcPr>
          <w:p w14:paraId="1C91ABD3" w14:textId="77777777" w:rsidR="00C64192" w:rsidRPr="009A5185" w:rsidRDefault="00C64192" w:rsidP="00D73F6A">
            <w:pPr>
              <w:ind w:left="360"/>
              <w:contextualSpacing/>
              <w:rPr>
                <w:rFonts w:cs="Arial"/>
                <w:b/>
              </w:rPr>
            </w:pPr>
          </w:p>
        </w:tc>
        <w:tc>
          <w:tcPr>
            <w:tcW w:w="2790" w:type="dxa"/>
            <w:vAlign w:val="center"/>
          </w:tcPr>
          <w:p w14:paraId="1B797853" w14:textId="77777777" w:rsidR="00C64192" w:rsidRPr="009A5185" w:rsidRDefault="00C64192" w:rsidP="00D73F6A">
            <w:pPr>
              <w:ind w:left="360"/>
              <w:contextualSpacing/>
              <w:rPr>
                <w:rFonts w:cs="Arial"/>
                <w:b/>
              </w:rPr>
            </w:pPr>
          </w:p>
        </w:tc>
        <w:tc>
          <w:tcPr>
            <w:tcW w:w="2790" w:type="dxa"/>
          </w:tcPr>
          <w:p w14:paraId="1E09C43F" w14:textId="77777777" w:rsidR="00C64192" w:rsidRPr="009A5185" w:rsidRDefault="00C64192" w:rsidP="00D73F6A">
            <w:pPr>
              <w:ind w:left="360"/>
              <w:contextualSpacing/>
              <w:rPr>
                <w:rFonts w:cs="Arial"/>
                <w:b/>
              </w:rPr>
            </w:pPr>
          </w:p>
        </w:tc>
      </w:tr>
    </w:tbl>
    <w:p w14:paraId="46BF4CB6" w14:textId="77777777" w:rsidR="00C64192" w:rsidRDefault="00C64192" w:rsidP="00C64192"/>
    <w:tbl>
      <w:tblPr>
        <w:tblStyle w:val="TableGrid"/>
        <w:tblW w:w="0" w:type="auto"/>
        <w:tblLook w:val="04A0" w:firstRow="1" w:lastRow="0" w:firstColumn="1" w:lastColumn="0" w:noHBand="0" w:noVBand="1"/>
      </w:tblPr>
      <w:tblGrid>
        <w:gridCol w:w="6115"/>
        <w:gridCol w:w="3235"/>
      </w:tblGrid>
      <w:tr w:rsidR="00C64192" w:rsidRPr="00C645E0" w14:paraId="7E931790" w14:textId="77777777" w:rsidTr="00D73F6A">
        <w:trPr>
          <w:trHeight w:val="1296"/>
        </w:trPr>
        <w:tc>
          <w:tcPr>
            <w:tcW w:w="6115" w:type="dxa"/>
            <w:vAlign w:val="center"/>
          </w:tcPr>
          <w:p w14:paraId="33EEB510" w14:textId="682AC9CA" w:rsidR="00C64192" w:rsidRDefault="00C64192" w:rsidP="00AD309C">
            <w:pPr>
              <w:pStyle w:val="ListParagraph"/>
              <w:numPr>
                <w:ilvl w:val="0"/>
                <w:numId w:val="147"/>
              </w:numPr>
            </w:pPr>
            <w:r>
              <w:t xml:space="preserve">Does your hospital operate any adult or pediatric single acuity </w:t>
            </w:r>
            <w:hyperlink w:anchor="_Nursing_Workforce_Measure_1" w:history="1">
              <w:r>
                <w:rPr>
                  <w:rStyle w:val="Hyperlink"/>
                  <w:rFonts w:cs="Arial"/>
                </w:rPr>
                <w:t>Surgical Units</w:t>
              </w:r>
            </w:hyperlink>
            <w:r>
              <w:t>?</w:t>
            </w:r>
          </w:p>
          <w:p w14:paraId="67A50392" w14:textId="77777777" w:rsidR="00C64192" w:rsidRDefault="00C64192" w:rsidP="00D73F6A"/>
          <w:p w14:paraId="4086F34C" w14:textId="77777777" w:rsidR="00C64192" w:rsidRPr="00236F28" w:rsidRDefault="00C64192" w:rsidP="00D73F6A">
            <w:pPr>
              <w:pStyle w:val="ListParagraph"/>
              <w:ind w:left="360"/>
              <w:rPr>
                <w:i/>
                <w:iCs/>
              </w:rPr>
            </w:pPr>
            <w:r>
              <w:rPr>
                <w:i/>
                <w:iCs/>
              </w:rPr>
              <w:t>A single acuity unit is defined as a unit where at least 90% of the patients receive the same level of care.</w:t>
            </w:r>
          </w:p>
          <w:p w14:paraId="14307CBC" w14:textId="77777777" w:rsidR="00C64192" w:rsidRDefault="00C64192" w:rsidP="00D73F6A"/>
          <w:p w14:paraId="232DEEC6" w14:textId="5E1E11B2" w:rsidR="00C64192" w:rsidRPr="00F1322F" w:rsidRDefault="00C64192" w:rsidP="00D73F6A">
            <w:pPr>
              <w:ind w:left="360"/>
              <w:rPr>
                <w:i/>
                <w:iCs/>
              </w:rPr>
            </w:pPr>
            <w:r w:rsidRPr="00F1322F">
              <w:rPr>
                <w:i/>
                <w:iCs/>
              </w:rPr>
              <w:t>If “no” or “y</w:t>
            </w:r>
            <w:r w:rsidRPr="00F1322F">
              <w:rPr>
                <w:rFonts w:cs="Arial"/>
                <w:i/>
                <w:iCs/>
                <w:snapToGrid w:val="0"/>
              </w:rPr>
              <w:t xml:space="preserve">es, </w:t>
            </w:r>
            <w:r w:rsidRPr="00B44C7B">
              <w:rPr>
                <w:rFonts w:cs="Arial"/>
                <w:i/>
                <w:iCs/>
                <w:snapToGrid w:val="0"/>
              </w:rPr>
              <w:t>but had fewer than 15 patient days per month for all 3 months of any quarter of the reporting period</w:t>
            </w:r>
            <w:r w:rsidR="000C14DA">
              <w:rPr>
                <w:rFonts w:cs="Arial"/>
                <w:i/>
                <w:iCs/>
                <w:snapToGrid w:val="0"/>
              </w:rPr>
              <w:t>,</w:t>
            </w:r>
            <w:r w:rsidRPr="00F1322F">
              <w:rPr>
                <w:i/>
                <w:iCs/>
              </w:rPr>
              <w:t>” skip question #</w:t>
            </w:r>
            <w:r w:rsidR="001B0A79">
              <w:rPr>
                <w:i/>
                <w:iCs/>
              </w:rPr>
              <w:t>7</w:t>
            </w:r>
            <w:r w:rsidRPr="00F1322F">
              <w:rPr>
                <w:i/>
                <w:iCs/>
              </w:rPr>
              <w:t xml:space="preserve"> and continue to question #</w:t>
            </w:r>
            <w:r w:rsidR="001B0A79">
              <w:rPr>
                <w:i/>
                <w:iCs/>
              </w:rPr>
              <w:t>8</w:t>
            </w:r>
            <w:r w:rsidRPr="00F1322F">
              <w:rPr>
                <w:i/>
                <w:iCs/>
              </w:rPr>
              <w:t>.</w:t>
            </w:r>
          </w:p>
        </w:tc>
        <w:tc>
          <w:tcPr>
            <w:tcW w:w="3235" w:type="dxa"/>
            <w:vAlign w:val="center"/>
          </w:tcPr>
          <w:p w14:paraId="342DD76E" w14:textId="77777777" w:rsidR="00C64192" w:rsidRPr="00C8246A" w:rsidRDefault="00C64192" w:rsidP="00AD309C">
            <w:pPr>
              <w:pStyle w:val="ListParagraph"/>
              <w:numPr>
                <w:ilvl w:val="0"/>
                <w:numId w:val="353"/>
              </w:numPr>
              <w:ind w:left="360"/>
              <w:rPr>
                <w:rFonts w:cs="Arial"/>
                <w:iCs/>
                <w:snapToGrid w:val="0"/>
              </w:rPr>
            </w:pPr>
            <w:r w:rsidRPr="00C8246A">
              <w:rPr>
                <w:rFonts w:cs="Arial"/>
                <w:iCs/>
                <w:snapToGrid w:val="0"/>
              </w:rPr>
              <w:t>Yes</w:t>
            </w:r>
          </w:p>
          <w:p w14:paraId="5DAE64F6" w14:textId="77777777" w:rsidR="00C64192" w:rsidRDefault="00C64192" w:rsidP="00AD309C">
            <w:pPr>
              <w:pStyle w:val="ListParagraph"/>
              <w:numPr>
                <w:ilvl w:val="0"/>
                <w:numId w:val="353"/>
              </w:numPr>
              <w:ind w:left="360"/>
              <w:rPr>
                <w:rFonts w:cs="Arial"/>
                <w:iCs/>
                <w:snapToGrid w:val="0"/>
              </w:rPr>
            </w:pPr>
            <w:r w:rsidRPr="00C8246A">
              <w:rPr>
                <w:rFonts w:cs="Arial"/>
                <w:iCs/>
                <w:snapToGrid w:val="0"/>
              </w:rPr>
              <w:t>No</w:t>
            </w:r>
          </w:p>
          <w:p w14:paraId="06640E95" w14:textId="77777777" w:rsidR="00C64192" w:rsidRPr="00C8246A" w:rsidRDefault="00C64192" w:rsidP="00AD309C">
            <w:pPr>
              <w:pStyle w:val="ListParagraph"/>
              <w:numPr>
                <w:ilvl w:val="0"/>
                <w:numId w:val="353"/>
              </w:numPr>
              <w:ind w:left="360"/>
              <w:rPr>
                <w:rFonts w:cs="Arial"/>
                <w:iCs/>
                <w:snapToGrid w:val="0"/>
              </w:rPr>
            </w:pPr>
            <w:r w:rsidRPr="003215C1">
              <w:rPr>
                <w:rFonts w:cs="Arial"/>
                <w:iCs/>
                <w:snapToGrid w:val="0"/>
              </w:rPr>
              <w:t xml:space="preserve">Yes, </w:t>
            </w:r>
            <w:r w:rsidRPr="00F62669">
              <w:rPr>
                <w:rFonts w:cs="Arial"/>
                <w:iCs/>
                <w:snapToGrid w:val="0"/>
              </w:rPr>
              <w:t>but had fewer than 15 patient days per month for all 3 months of any quarter of the reporting period</w:t>
            </w:r>
          </w:p>
          <w:p w14:paraId="47901C1B" w14:textId="77777777" w:rsidR="00C64192" w:rsidRPr="009A5185" w:rsidRDefault="00C64192" w:rsidP="00D73F6A">
            <w:pPr>
              <w:rPr>
                <w:rFonts w:cs="Arial"/>
                <w:i/>
                <w:snapToGrid w:val="0"/>
              </w:rPr>
            </w:pPr>
          </w:p>
        </w:tc>
      </w:tr>
    </w:tbl>
    <w:p w14:paraId="6BFBF4C2" w14:textId="77777777" w:rsidR="00C64192" w:rsidRPr="00265265" w:rsidRDefault="00C64192" w:rsidP="00C64192"/>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2241"/>
        <w:gridCol w:w="2647"/>
        <w:gridCol w:w="3032"/>
      </w:tblGrid>
      <w:tr w:rsidR="00C64192" w:rsidRPr="009A5185" w14:paraId="0D37E3CF" w14:textId="77777777" w:rsidTr="00D73F6A">
        <w:trPr>
          <w:trHeight w:val="576"/>
          <w:jc w:val="center"/>
        </w:trPr>
        <w:tc>
          <w:tcPr>
            <w:tcW w:w="9355" w:type="dxa"/>
            <w:gridSpan w:val="4"/>
            <w:vAlign w:val="center"/>
          </w:tcPr>
          <w:p w14:paraId="3BE9A3A6" w14:textId="4C6D1CCA" w:rsidR="00C64192" w:rsidRPr="003B0F77" w:rsidRDefault="00C64192" w:rsidP="00AD309C">
            <w:pPr>
              <w:pStyle w:val="ListParagraph"/>
              <w:numPr>
                <w:ilvl w:val="0"/>
                <w:numId w:val="147"/>
              </w:numPr>
              <w:rPr>
                <w:rFonts w:cs="Arial"/>
                <w:i/>
                <w:snapToGrid w:val="0"/>
              </w:rPr>
            </w:pPr>
            <w:r w:rsidRPr="0048640F">
              <w:rPr>
                <w:rFonts w:cs="Arial"/>
              </w:rPr>
              <w:t xml:space="preserve">Enter your </w:t>
            </w:r>
            <w:r>
              <w:rPr>
                <w:rFonts w:cs="Arial"/>
              </w:rPr>
              <w:t xml:space="preserve">hospital’s responses for each quarter for all adult and pediatric single acuity </w:t>
            </w:r>
            <w:hyperlink w:anchor="_Nursing_Workforce_Measure_1" w:history="1">
              <w:r>
                <w:rPr>
                  <w:rStyle w:val="Hyperlink"/>
                  <w:rFonts w:cs="Arial"/>
                </w:rPr>
                <w:t>Surgical Units</w:t>
              </w:r>
            </w:hyperlink>
            <w:r>
              <w:t xml:space="preserve"> for the reporting period selected in question</w:t>
            </w:r>
            <w:r w:rsidRPr="005C4F15">
              <w:t xml:space="preserve"> #</w:t>
            </w:r>
            <w:r>
              <w:t>1:</w:t>
            </w:r>
          </w:p>
        </w:tc>
      </w:tr>
      <w:tr w:rsidR="00C64192" w:rsidRPr="009A5185" w14:paraId="7692BD04" w14:textId="77777777" w:rsidTr="00D73F6A">
        <w:trPr>
          <w:trHeight w:val="576"/>
          <w:jc w:val="center"/>
        </w:trPr>
        <w:tc>
          <w:tcPr>
            <w:tcW w:w="1435" w:type="dxa"/>
            <w:vAlign w:val="center"/>
          </w:tcPr>
          <w:p w14:paraId="342B4122" w14:textId="77777777" w:rsidR="00C64192" w:rsidRPr="009C1180" w:rsidRDefault="00C64192" w:rsidP="00D73F6A">
            <w:pPr>
              <w:contextualSpacing/>
              <w:rPr>
                <w:rFonts w:cs="Arial"/>
                <w:bCs/>
              </w:rPr>
            </w:pPr>
          </w:p>
        </w:tc>
        <w:tc>
          <w:tcPr>
            <w:tcW w:w="2241" w:type="dxa"/>
            <w:vAlign w:val="center"/>
          </w:tcPr>
          <w:p w14:paraId="7A6E9362" w14:textId="77777777" w:rsidR="00C64192" w:rsidRPr="004B4271" w:rsidRDefault="00C64192" w:rsidP="00D73F6A">
            <w:r w:rsidRPr="000B1FFB">
              <w:rPr>
                <w:rFonts w:cs="Arial"/>
                <w:b/>
              </w:rPr>
              <w:t xml:space="preserve">(a) </w:t>
            </w:r>
            <w:r w:rsidRPr="00046E22">
              <w:t xml:space="preserve">Total number of </w:t>
            </w:r>
            <w:r w:rsidRPr="000B1FFB">
              <w:rPr>
                <w:rFonts w:cstheme="minorHAnsi"/>
                <w:bCs/>
                <w:iCs/>
              </w:rPr>
              <w:t>patient days</w:t>
            </w:r>
            <w:r>
              <w:rPr>
                <w:rFonts w:cstheme="minorHAnsi"/>
                <w:bCs/>
                <w:iCs/>
              </w:rPr>
              <w:t>:</w:t>
            </w:r>
          </w:p>
          <w:p w14:paraId="7F19153A" w14:textId="77777777" w:rsidR="00C64192" w:rsidRPr="009A5185" w:rsidRDefault="00C64192" w:rsidP="00D73F6A">
            <w:pPr>
              <w:contextualSpacing/>
              <w:rPr>
                <w:rFonts w:cs="Arial"/>
                <w:b/>
              </w:rPr>
            </w:pPr>
          </w:p>
        </w:tc>
        <w:tc>
          <w:tcPr>
            <w:tcW w:w="2647" w:type="dxa"/>
            <w:vAlign w:val="center"/>
          </w:tcPr>
          <w:p w14:paraId="00505161" w14:textId="77777777" w:rsidR="00C64192" w:rsidRPr="009A5185" w:rsidRDefault="00C64192" w:rsidP="00D73F6A">
            <w:pPr>
              <w:contextualSpacing/>
              <w:rPr>
                <w:rFonts w:cs="Arial"/>
                <w:b/>
              </w:rPr>
            </w:pPr>
            <w:r w:rsidRPr="00137990">
              <w:rPr>
                <w:rFonts w:cs="Arial"/>
                <w:b/>
              </w:rPr>
              <w:t>(</w:t>
            </w:r>
            <w:r>
              <w:rPr>
                <w:rFonts w:cs="Arial"/>
                <w:b/>
              </w:rPr>
              <w:t>b</w:t>
            </w:r>
            <w:r w:rsidRPr="00137990">
              <w:rPr>
                <w:rFonts w:cs="Arial"/>
                <w:b/>
              </w:rPr>
              <w:t xml:space="preserve">) </w:t>
            </w:r>
            <w:r w:rsidRPr="00046E22">
              <w:t>Total number of productive hours worked by employe</w:t>
            </w:r>
            <w:r>
              <w:t>d</w:t>
            </w:r>
            <w:r w:rsidRPr="00046E22">
              <w:t xml:space="preserve"> </w:t>
            </w:r>
            <w:r>
              <w:t>and</w:t>
            </w:r>
            <w:r w:rsidRPr="00046E22">
              <w:t xml:space="preserve"> contract</w:t>
            </w:r>
            <w:r>
              <w:t xml:space="preserve">ed </w:t>
            </w:r>
            <w:r w:rsidRPr="003215C1">
              <w:rPr>
                <w:b/>
                <w:bCs/>
              </w:rPr>
              <w:t>nursing staff (RN, LPN/LVN, and UAP)</w:t>
            </w:r>
            <w:r>
              <w:t xml:space="preserve"> </w:t>
            </w:r>
            <w:r w:rsidRPr="00046E22">
              <w:t>with direct patient care responsibilities</w:t>
            </w:r>
            <w:r>
              <w:t>:</w:t>
            </w:r>
          </w:p>
        </w:tc>
        <w:tc>
          <w:tcPr>
            <w:tcW w:w="3032" w:type="dxa"/>
          </w:tcPr>
          <w:p w14:paraId="244E9ABB" w14:textId="77777777" w:rsidR="00C64192" w:rsidRPr="009A5185" w:rsidRDefault="00C64192" w:rsidP="00D73F6A">
            <w:pPr>
              <w:contextualSpacing/>
              <w:rPr>
                <w:rFonts w:cs="Arial"/>
                <w:b/>
              </w:rPr>
            </w:pPr>
            <w:r w:rsidRPr="009A5185">
              <w:rPr>
                <w:rFonts w:cs="Arial"/>
                <w:b/>
              </w:rPr>
              <w:t>(</w:t>
            </w:r>
            <w:r>
              <w:rPr>
                <w:rFonts w:cs="Arial"/>
                <w:b/>
              </w:rPr>
              <w:t>c</w:t>
            </w:r>
            <w:r w:rsidRPr="009A5185">
              <w:rPr>
                <w:rFonts w:cs="Arial"/>
                <w:b/>
              </w:rPr>
              <w:t>)</w:t>
            </w:r>
            <w:r>
              <w:rPr>
                <w:rFonts w:cs="Arial"/>
                <w:b/>
              </w:rPr>
              <w:t xml:space="preserve"> </w:t>
            </w:r>
            <w:r w:rsidRPr="0014347B">
              <w:t xml:space="preserve">Total number of productive hours </w:t>
            </w:r>
            <w:r w:rsidRPr="00C06753">
              <w:t>worked by</w:t>
            </w:r>
            <w:r w:rsidRPr="0014347B">
              <w:rPr>
                <w:b/>
                <w:bCs/>
              </w:rPr>
              <w:t xml:space="preserve"> RN</w:t>
            </w:r>
            <w:r>
              <w:rPr>
                <w:b/>
                <w:bCs/>
              </w:rPr>
              <w:t xml:space="preserve"> nursing staff</w:t>
            </w:r>
            <w:r w:rsidRPr="0014347B">
              <w:t xml:space="preserve"> with direct patient care responsibilities</w:t>
            </w:r>
            <w:r>
              <w:t>:</w:t>
            </w:r>
          </w:p>
        </w:tc>
      </w:tr>
      <w:tr w:rsidR="00C64192" w:rsidRPr="009A5185" w14:paraId="63776D2A" w14:textId="77777777" w:rsidTr="00D73F6A">
        <w:trPr>
          <w:jc w:val="center"/>
        </w:trPr>
        <w:tc>
          <w:tcPr>
            <w:tcW w:w="1435" w:type="dxa"/>
          </w:tcPr>
          <w:p w14:paraId="766A3CCF" w14:textId="77777777" w:rsidR="00C64192" w:rsidRPr="009A5185" w:rsidRDefault="00C64192" w:rsidP="00D73F6A">
            <w:pPr>
              <w:jc w:val="center"/>
              <w:rPr>
                <w:rFonts w:cs="Arial"/>
              </w:rPr>
            </w:pPr>
            <w:r>
              <w:rPr>
                <w:rFonts w:cs="Arial"/>
              </w:rPr>
              <w:t xml:space="preserve">Quarter 1 </w:t>
            </w:r>
          </w:p>
        </w:tc>
        <w:tc>
          <w:tcPr>
            <w:tcW w:w="2241" w:type="dxa"/>
            <w:vAlign w:val="center"/>
          </w:tcPr>
          <w:p w14:paraId="64ABC2DD" w14:textId="77777777" w:rsidR="00C64192" w:rsidRPr="009A5185" w:rsidRDefault="00C64192" w:rsidP="00D73F6A">
            <w:pPr>
              <w:ind w:left="360"/>
              <w:contextualSpacing/>
              <w:rPr>
                <w:rFonts w:cs="Arial"/>
                <w:b/>
              </w:rPr>
            </w:pPr>
          </w:p>
        </w:tc>
        <w:tc>
          <w:tcPr>
            <w:tcW w:w="2647" w:type="dxa"/>
            <w:vAlign w:val="center"/>
          </w:tcPr>
          <w:p w14:paraId="2C5F8741" w14:textId="77777777" w:rsidR="00C64192" w:rsidRPr="009A5185" w:rsidRDefault="00C64192" w:rsidP="00D73F6A">
            <w:pPr>
              <w:ind w:left="360"/>
              <w:contextualSpacing/>
              <w:rPr>
                <w:rFonts w:cs="Arial"/>
                <w:b/>
              </w:rPr>
            </w:pPr>
          </w:p>
        </w:tc>
        <w:tc>
          <w:tcPr>
            <w:tcW w:w="3032" w:type="dxa"/>
          </w:tcPr>
          <w:p w14:paraId="67D4A2D3" w14:textId="77777777" w:rsidR="00C64192" w:rsidRPr="009A5185" w:rsidRDefault="00C64192" w:rsidP="00D73F6A">
            <w:pPr>
              <w:ind w:left="360"/>
              <w:contextualSpacing/>
              <w:rPr>
                <w:rFonts w:cs="Arial"/>
                <w:b/>
              </w:rPr>
            </w:pPr>
          </w:p>
        </w:tc>
      </w:tr>
      <w:tr w:rsidR="00C64192" w:rsidRPr="009A5185" w14:paraId="3F87503D" w14:textId="77777777" w:rsidTr="00D73F6A">
        <w:trPr>
          <w:jc w:val="center"/>
        </w:trPr>
        <w:tc>
          <w:tcPr>
            <w:tcW w:w="1435" w:type="dxa"/>
          </w:tcPr>
          <w:p w14:paraId="77A3CF67" w14:textId="77777777" w:rsidR="00C64192" w:rsidRPr="009A5185" w:rsidRDefault="00C64192" w:rsidP="00D73F6A">
            <w:pPr>
              <w:jc w:val="center"/>
              <w:rPr>
                <w:rFonts w:cs="Arial"/>
              </w:rPr>
            </w:pPr>
            <w:r>
              <w:rPr>
                <w:rFonts w:cs="Arial"/>
              </w:rPr>
              <w:t xml:space="preserve">Quarter 2 </w:t>
            </w:r>
          </w:p>
        </w:tc>
        <w:tc>
          <w:tcPr>
            <w:tcW w:w="2241" w:type="dxa"/>
            <w:vAlign w:val="center"/>
          </w:tcPr>
          <w:p w14:paraId="625898E1" w14:textId="77777777" w:rsidR="00C64192" w:rsidRPr="009A5185" w:rsidRDefault="00C64192" w:rsidP="00D73F6A">
            <w:pPr>
              <w:ind w:left="360"/>
              <w:contextualSpacing/>
              <w:rPr>
                <w:rFonts w:cs="Arial"/>
                <w:b/>
              </w:rPr>
            </w:pPr>
          </w:p>
        </w:tc>
        <w:tc>
          <w:tcPr>
            <w:tcW w:w="2647" w:type="dxa"/>
            <w:vAlign w:val="center"/>
          </w:tcPr>
          <w:p w14:paraId="7BEDD051" w14:textId="77777777" w:rsidR="00C64192" w:rsidRPr="009A5185" w:rsidRDefault="00C64192" w:rsidP="00D73F6A">
            <w:pPr>
              <w:ind w:left="360"/>
              <w:contextualSpacing/>
              <w:rPr>
                <w:rFonts w:cs="Arial"/>
                <w:b/>
              </w:rPr>
            </w:pPr>
          </w:p>
        </w:tc>
        <w:tc>
          <w:tcPr>
            <w:tcW w:w="3032" w:type="dxa"/>
          </w:tcPr>
          <w:p w14:paraId="6D5DB8CC" w14:textId="77777777" w:rsidR="00C64192" w:rsidRPr="009A5185" w:rsidRDefault="00C64192" w:rsidP="00D73F6A">
            <w:pPr>
              <w:ind w:left="360"/>
              <w:contextualSpacing/>
              <w:rPr>
                <w:rFonts w:cs="Arial"/>
                <w:b/>
              </w:rPr>
            </w:pPr>
          </w:p>
        </w:tc>
      </w:tr>
      <w:tr w:rsidR="00C64192" w:rsidRPr="009A5185" w14:paraId="4DCA04FF" w14:textId="77777777" w:rsidTr="00D73F6A">
        <w:trPr>
          <w:jc w:val="center"/>
        </w:trPr>
        <w:tc>
          <w:tcPr>
            <w:tcW w:w="1435" w:type="dxa"/>
          </w:tcPr>
          <w:p w14:paraId="451DFDD1" w14:textId="77777777" w:rsidR="00C64192" w:rsidRPr="009A5185" w:rsidRDefault="00C64192" w:rsidP="00D73F6A">
            <w:pPr>
              <w:jc w:val="center"/>
              <w:rPr>
                <w:rFonts w:cs="Arial"/>
              </w:rPr>
            </w:pPr>
            <w:r>
              <w:rPr>
                <w:rFonts w:cs="Arial"/>
              </w:rPr>
              <w:t xml:space="preserve">Quarter 3 </w:t>
            </w:r>
          </w:p>
        </w:tc>
        <w:tc>
          <w:tcPr>
            <w:tcW w:w="2241" w:type="dxa"/>
            <w:vAlign w:val="center"/>
          </w:tcPr>
          <w:p w14:paraId="2A9F039C" w14:textId="77777777" w:rsidR="00C64192" w:rsidRPr="009A5185" w:rsidRDefault="00C64192" w:rsidP="00D73F6A">
            <w:pPr>
              <w:ind w:left="360"/>
              <w:contextualSpacing/>
              <w:rPr>
                <w:rFonts w:cs="Arial"/>
                <w:b/>
              </w:rPr>
            </w:pPr>
          </w:p>
        </w:tc>
        <w:tc>
          <w:tcPr>
            <w:tcW w:w="2647" w:type="dxa"/>
            <w:vAlign w:val="center"/>
          </w:tcPr>
          <w:p w14:paraId="315A327E" w14:textId="77777777" w:rsidR="00C64192" w:rsidRPr="009A5185" w:rsidRDefault="00C64192" w:rsidP="00D73F6A">
            <w:pPr>
              <w:ind w:left="360"/>
              <w:contextualSpacing/>
              <w:rPr>
                <w:rFonts w:cs="Arial"/>
                <w:b/>
              </w:rPr>
            </w:pPr>
          </w:p>
        </w:tc>
        <w:tc>
          <w:tcPr>
            <w:tcW w:w="3032" w:type="dxa"/>
          </w:tcPr>
          <w:p w14:paraId="6C4FD5CD" w14:textId="77777777" w:rsidR="00C64192" w:rsidRPr="009A5185" w:rsidRDefault="00C64192" w:rsidP="00D73F6A">
            <w:pPr>
              <w:ind w:left="360"/>
              <w:contextualSpacing/>
              <w:rPr>
                <w:rFonts w:cs="Arial"/>
                <w:b/>
              </w:rPr>
            </w:pPr>
          </w:p>
        </w:tc>
      </w:tr>
      <w:tr w:rsidR="00C64192" w:rsidRPr="009A5185" w14:paraId="25477B5C" w14:textId="77777777" w:rsidTr="00D73F6A">
        <w:trPr>
          <w:jc w:val="center"/>
        </w:trPr>
        <w:tc>
          <w:tcPr>
            <w:tcW w:w="1435" w:type="dxa"/>
            <w:tcBorders>
              <w:bottom w:val="single" w:sz="4" w:space="0" w:color="auto"/>
            </w:tcBorders>
          </w:tcPr>
          <w:p w14:paraId="5A2E7749" w14:textId="77777777" w:rsidR="00C64192" w:rsidRPr="009A5185" w:rsidRDefault="00C64192" w:rsidP="00D73F6A">
            <w:pPr>
              <w:jc w:val="center"/>
              <w:rPr>
                <w:rFonts w:cs="Arial"/>
              </w:rPr>
            </w:pPr>
            <w:r>
              <w:rPr>
                <w:rFonts w:cs="Arial"/>
              </w:rPr>
              <w:t xml:space="preserve">Quarter 4 </w:t>
            </w:r>
          </w:p>
        </w:tc>
        <w:tc>
          <w:tcPr>
            <w:tcW w:w="2241" w:type="dxa"/>
            <w:vAlign w:val="center"/>
          </w:tcPr>
          <w:p w14:paraId="43A324C1" w14:textId="77777777" w:rsidR="00C64192" w:rsidRPr="009A5185" w:rsidRDefault="00C64192" w:rsidP="00D73F6A">
            <w:pPr>
              <w:ind w:left="360"/>
              <w:contextualSpacing/>
              <w:rPr>
                <w:rFonts w:cs="Arial"/>
                <w:b/>
              </w:rPr>
            </w:pPr>
          </w:p>
        </w:tc>
        <w:tc>
          <w:tcPr>
            <w:tcW w:w="2647" w:type="dxa"/>
            <w:vAlign w:val="center"/>
          </w:tcPr>
          <w:p w14:paraId="64C5D5E7" w14:textId="77777777" w:rsidR="00C64192" w:rsidRPr="009A5185" w:rsidRDefault="00C64192" w:rsidP="00D73F6A">
            <w:pPr>
              <w:ind w:left="360"/>
              <w:contextualSpacing/>
              <w:rPr>
                <w:rFonts w:cs="Arial"/>
                <w:b/>
              </w:rPr>
            </w:pPr>
          </w:p>
        </w:tc>
        <w:tc>
          <w:tcPr>
            <w:tcW w:w="3032" w:type="dxa"/>
          </w:tcPr>
          <w:p w14:paraId="14ABFE4D" w14:textId="77777777" w:rsidR="00C64192" w:rsidRPr="009A5185" w:rsidRDefault="00C64192" w:rsidP="00D73F6A">
            <w:pPr>
              <w:ind w:left="360"/>
              <w:contextualSpacing/>
              <w:rPr>
                <w:rFonts w:cs="Arial"/>
                <w:b/>
              </w:rPr>
            </w:pPr>
          </w:p>
        </w:tc>
      </w:tr>
    </w:tbl>
    <w:p w14:paraId="4254326B" w14:textId="77777777" w:rsidR="00C64192" w:rsidRPr="00357E20" w:rsidRDefault="00C64192" w:rsidP="00C64192">
      <w:pPr>
        <w:rPr>
          <w:sz w:val="16"/>
          <w:szCs w:val="16"/>
        </w:rPr>
      </w:pPr>
    </w:p>
    <w:tbl>
      <w:tblPr>
        <w:tblStyle w:val="TableGrid"/>
        <w:tblW w:w="0" w:type="auto"/>
        <w:tblLook w:val="04A0" w:firstRow="1" w:lastRow="0" w:firstColumn="1" w:lastColumn="0" w:noHBand="0" w:noVBand="1"/>
      </w:tblPr>
      <w:tblGrid>
        <w:gridCol w:w="6115"/>
        <w:gridCol w:w="3235"/>
      </w:tblGrid>
      <w:tr w:rsidR="00C64192" w:rsidRPr="00C645E0" w14:paraId="1DC19E43" w14:textId="77777777" w:rsidTr="00911B51">
        <w:trPr>
          <w:trHeight w:val="2231"/>
        </w:trPr>
        <w:tc>
          <w:tcPr>
            <w:tcW w:w="6115" w:type="dxa"/>
          </w:tcPr>
          <w:p w14:paraId="331EFCFA" w14:textId="14531C38" w:rsidR="00C64192" w:rsidRDefault="00C64192" w:rsidP="00911B51">
            <w:pPr>
              <w:pStyle w:val="ListParagraph"/>
              <w:numPr>
                <w:ilvl w:val="0"/>
                <w:numId w:val="147"/>
              </w:numPr>
            </w:pPr>
            <w:r>
              <w:lastRenderedPageBreak/>
              <w:t xml:space="preserve">Does your hospital operate any adult or pediatric single acuity </w:t>
            </w:r>
            <w:hyperlink w:anchor="_Nursing_Workforce_Measure_1" w:history="1">
              <w:r>
                <w:rPr>
                  <w:rStyle w:val="Hyperlink"/>
                  <w:rFonts w:cs="Arial"/>
                </w:rPr>
                <w:t>Med-Surg Units</w:t>
              </w:r>
            </w:hyperlink>
            <w:r>
              <w:t>?</w:t>
            </w:r>
          </w:p>
          <w:p w14:paraId="46DBCEF3" w14:textId="77777777" w:rsidR="00C64192" w:rsidRDefault="00C64192" w:rsidP="00911B51"/>
          <w:p w14:paraId="799F08BB" w14:textId="77777777" w:rsidR="00C64192" w:rsidRDefault="00C64192" w:rsidP="00911B51">
            <w:pPr>
              <w:ind w:left="360"/>
              <w:rPr>
                <w:i/>
                <w:iCs/>
              </w:rPr>
            </w:pPr>
            <w:r w:rsidRPr="003215C1">
              <w:rPr>
                <w:i/>
                <w:iCs/>
              </w:rPr>
              <w:t>A single acuity unit is defined as a unit where at least 90% of the patients receive the same level of care.</w:t>
            </w:r>
          </w:p>
          <w:p w14:paraId="651EE092" w14:textId="77777777" w:rsidR="00C64192" w:rsidRDefault="00C64192" w:rsidP="00911B51">
            <w:pPr>
              <w:ind w:left="360"/>
              <w:rPr>
                <w:i/>
                <w:iCs/>
              </w:rPr>
            </w:pPr>
          </w:p>
          <w:p w14:paraId="6C445983" w14:textId="1C8BC252" w:rsidR="00C64192" w:rsidRPr="00EC7E25" w:rsidRDefault="00C64192" w:rsidP="00911B51">
            <w:pPr>
              <w:ind w:left="360"/>
              <w:rPr>
                <w:i/>
                <w:iCs/>
              </w:rPr>
            </w:pPr>
            <w:r w:rsidRPr="00F1322F">
              <w:rPr>
                <w:i/>
                <w:iCs/>
              </w:rPr>
              <w:t>If “no” or “y</w:t>
            </w:r>
            <w:r w:rsidRPr="00F1322F">
              <w:rPr>
                <w:rFonts w:cs="Arial"/>
                <w:i/>
                <w:iCs/>
                <w:snapToGrid w:val="0"/>
              </w:rPr>
              <w:t xml:space="preserve">es, </w:t>
            </w:r>
            <w:r w:rsidRPr="00B44C7B">
              <w:rPr>
                <w:rFonts w:cs="Arial"/>
                <w:i/>
                <w:iCs/>
                <w:snapToGrid w:val="0"/>
              </w:rPr>
              <w:t>but had fewer than 15 patient days per month for all 3 months of any quarter of the reporting period</w:t>
            </w:r>
            <w:r w:rsidR="006A6BC1">
              <w:rPr>
                <w:rFonts w:cs="Arial"/>
                <w:i/>
                <w:iCs/>
                <w:snapToGrid w:val="0"/>
              </w:rPr>
              <w:t>,</w:t>
            </w:r>
            <w:r w:rsidRPr="00F1322F">
              <w:rPr>
                <w:i/>
                <w:iCs/>
              </w:rPr>
              <w:t>” skip question #</w:t>
            </w:r>
            <w:r w:rsidR="00A0227C">
              <w:rPr>
                <w:i/>
                <w:iCs/>
              </w:rPr>
              <w:t>9</w:t>
            </w:r>
            <w:r w:rsidRPr="00F1322F">
              <w:rPr>
                <w:i/>
                <w:iCs/>
              </w:rPr>
              <w:t xml:space="preserve"> and continue to question #1</w:t>
            </w:r>
            <w:r w:rsidR="00A0227C">
              <w:rPr>
                <w:i/>
                <w:iCs/>
              </w:rPr>
              <w:t>0</w:t>
            </w:r>
            <w:r w:rsidRPr="00F1322F">
              <w:rPr>
                <w:i/>
                <w:iCs/>
              </w:rPr>
              <w:t>.</w:t>
            </w:r>
          </w:p>
        </w:tc>
        <w:tc>
          <w:tcPr>
            <w:tcW w:w="3235" w:type="dxa"/>
            <w:vAlign w:val="center"/>
          </w:tcPr>
          <w:p w14:paraId="152AE8B5" w14:textId="77777777" w:rsidR="00C64192" w:rsidRPr="00C8246A" w:rsidRDefault="00C64192" w:rsidP="00911B51">
            <w:pPr>
              <w:pStyle w:val="ListParagraph"/>
              <w:numPr>
                <w:ilvl w:val="0"/>
                <w:numId w:val="352"/>
              </w:numPr>
              <w:ind w:left="360"/>
              <w:rPr>
                <w:rFonts w:cs="Arial"/>
                <w:iCs/>
                <w:snapToGrid w:val="0"/>
              </w:rPr>
            </w:pPr>
            <w:r w:rsidRPr="00C8246A">
              <w:rPr>
                <w:rFonts w:cs="Arial"/>
                <w:iCs/>
                <w:snapToGrid w:val="0"/>
              </w:rPr>
              <w:t>Yes</w:t>
            </w:r>
          </w:p>
          <w:p w14:paraId="2A2E33CF" w14:textId="77777777" w:rsidR="00C64192" w:rsidRDefault="00C64192" w:rsidP="00911B51">
            <w:pPr>
              <w:pStyle w:val="ListParagraph"/>
              <w:numPr>
                <w:ilvl w:val="0"/>
                <w:numId w:val="352"/>
              </w:numPr>
              <w:ind w:left="360"/>
              <w:rPr>
                <w:rFonts w:cs="Arial"/>
                <w:iCs/>
                <w:snapToGrid w:val="0"/>
              </w:rPr>
            </w:pPr>
            <w:r w:rsidRPr="00C8246A">
              <w:rPr>
                <w:rFonts w:cs="Arial"/>
                <w:iCs/>
                <w:snapToGrid w:val="0"/>
              </w:rPr>
              <w:t>No</w:t>
            </w:r>
          </w:p>
          <w:p w14:paraId="405F2956" w14:textId="3E68D74C" w:rsidR="00C64192" w:rsidRPr="009A5185" w:rsidRDefault="00C64192" w:rsidP="00911B51">
            <w:pPr>
              <w:pStyle w:val="ListParagraph"/>
              <w:numPr>
                <w:ilvl w:val="0"/>
                <w:numId w:val="352"/>
              </w:numPr>
              <w:ind w:left="360"/>
              <w:rPr>
                <w:rFonts w:cs="Arial"/>
                <w:i/>
                <w:snapToGrid w:val="0"/>
              </w:rPr>
            </w:pPr>
            <w:r w:rsidRPr="003215C1">
              <w:rPr>
                <w:rFonts w:cs="Arial"/>
                <w:iCs/>
                <w:snapToGrid w:val="0"/>
              </w:rPr>
              <w:t xml:space="preserve">Yes, </w:t>
            </w:r>
            <w:r w:rsidRPr="00F62669">
              <w:rPr>
                <w:rFonts w:cs="Arial"/>
                <w:iCs/>
                <w:snapToGrid w:val="0"/>
              </w:rPr>
              <w:t>but had fewer than 15 patient days per month for all 3 months of any quarter of the reporting period</w:t>
            </w:r>
          </w:p>
        </w:tc>
      </w:tr>
    </w:tbl>
    <w:p w14:paraId="27E137E6" w14:textId="77777777" w:rsidR="00C64192" w:rsidRPr="00332C4D" w:rsidRDefault="00C64192" w:rsidP="00C64192"/>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2241"/>
        <w:gridCol w:w="2647"/>
        <w:gridCol w:w="3032"/>
      </w:tblGrid>
      <w:tr w:rsidR="00C64192" w:rsidRPr="0048640F" w14:paraId="1CB0D3AC" w14:textId="77777777" w:rsidTr="00D73F6A">
        <w:trPr>
          <w:trHeight w:val="576"/>
          <w:jc w:val="center"/>
        </w:trPr>
        <w:tc>
          <w:tcPr>
            <w:tcW w:w="9355" w:type="dxa"/>
            <w:gridSpan w:val="4"/>
            <w:vAlign w:val="center"/>
          </w:tcPr>
          <w:p w14:paraId="062A37F1" w14:textId="00716F2F" w:rsidR="00C64192" w:rsidRPr="003B0F77" w:rsidRDefault="00C64192" w:rsidP="00AD309C">
            <w:pPr>
              <w:pStyle w:val="ListParagraph"/>
              <w:numPr>
                <w:ilvl w:val="0"/>
                <w:numId w:val="147"/>
              </w:numPr>
              <w:rPr>
                <w:rFonts w:cs="Arial"/>
                <w:i/>
                <w:snapToGrid w:val="0"/>
              </w:rPr>
            </w:pPr>
            <w:r w:rsidRPr="0048640F">
              <w:rPr>
                <w:rFonts w:cs="Arial"/>
              </w:rPr>
              <w:t xml:space="preserve">Enter your </w:t>
            </w:r>
            <w:r>
              <w:rPr>
                <w:rFonts w:cs="Arial"/>
              </w:rPr>
              <w:t xml:space="preserve">hospital’s responses for each quarter for all adult and pediatric single acuity </w:t>
            </w:r>
            <w:hyperlink w:anchor="_Nursing_Workforce_Measure_1" w:history="1">
              <w:r>
                <w:rPr>
                  <w:rStyle w:val="Hyperlink"/>
                  <w:rFonts w:cs="Arial"/>
                </w:rPr>
                <w:t>Med-Surg Units</w:t>
              </w:r>
            </w:hyperlink>
            <w:r>
              <w:t xml:space="preserve"> for the reporting period selected in question #1:</w:t>
            </w:r>
          </w:p>
        </w:tc>
      </w:tr>
      <w:tr w:rsidR="00C64192" w:rsidRPr="009A5185" w14:paraId="3CC434AF" w14:textId="77777777" w:rsidTr="00D73F6A">
        <w:trPr>
          <w:jc w:val="center"/>
        </w:trPr>
        <w:tc>
          <w:tcPr>
            <w:tcW w:w="1435" w:type="dxa"/>
            <w:vAlign w:val="center"/>
          </w:tcPr>
          <w:p w14:paraId="46B52D06" w14:textId="77777777" w:rsidR="00C64192" w:rsidRPr="009C1180" w:rsidRDefault="00C64192" w:rsidP="00D73F6A">
            <w:pPr>
              <w:contextualSpacing/>
              <w:rPr>
                <w:rFonts w:cs="Arial"/>
                <w:bCs/>
              </w:rPr>
            </w:pPr>
          </w:p>
        </w:tc>
        <w:tc>
          <w:tcPr>
            <w:tcW w:w="2241" w:type="dxa"/>
            <w:vAlign w:val="center"/>
          </w:tcPr>
          <w:p w14:paraId="2F8D1A38" w14:textId="77777777" w:rsidR="00C64192" w:rsidRPr="004B4271" w:rsidRDefault="00C64192" w:rsidP="00D73F6A">
            <w:r w:rsidRPr="000B1FFB">
              <w:rPr>
                <w:rFonts w:cs="Arial"/>
                <w:b/>
              </w:rPr>
              <w:t xml:space="preserve">(a) </w:t>
            </w:r>
            <w:r w:rsidRPr="00046E22">
              <w:t xml:space="preserve">Total number of </w:t>
            </w:r>
            <w:r w:rsidRPr="000B1FFB">
              <w:rPr>
                <w:rFonts w:cstheme="minorHAnsi"/>
                <w:bCs/>
                <w:iCs/>
              </w:rPr>
              <w:t>patient days</w:t>
            </w:r>
            <w:r>
              <w:rPr>
                <w:rFonts w:cstheme="minorHAnsi"/>
                <w:bCs/>
                <w:iCs/>
              </w:rPr>
              <w:t>:</w:t>
            </w:r>
          </w:p>
          <w:p w14:paraId="5333A46B" w14:textId="77777777" w:rsidR="00C64192" w:rsidRPr="009A5185" w:rsidRDefault="00C64192" w:rsidP="00D73F6A">
            <w:pPr>
              <w:contextualSpacing/>
              <w:rPr>
                <w:rFonts w:cs="Arial"/>
                <w:b/>
              </w:rPr>
            </w:pPr>
          </w:p>
        </w:tc>
        <w:tc>
          <w:tcPr>
            <w:tcW w:w="2647" w:type="dxa"/>
            <w:vAlign w:val="center"/>
          </w:tcPr>
          <w:p w14:paraId="7F37810C" w14:textId="77777777" w:rsidR="00C64192" w:rsidRPr="009A5185" w:rsidRDefault="00C64192" w:rsidP="00D73F6A">
            <w:pPr>
              <w:contextualSpacing/>
              <w:rPr>
                <w:rFonts w:cs="Arial"/>
                <w:b/>
              </w:rPr>
            </w:pPr>
            <w:r w:rsidRPr="00137990">
              <w:rPr>
                <w:rFonts w:cs="Arial"/>
                <w:b/>
              </w:rPr>
              <w:t>(</w:t>
            </w:r>
            <w:r>
              <w:rPr>
                <w:rFonts w:cs="Arial"/>
                <w:b/>
              </w:rPr>
              <w:t>b</w:t>
            </w:r>
            <w:r w:rsidRPr="00137990">
              <w:rPr>
                <w:rFonts w:cs="Arial"/>
                <w:b/>
              </w:rPr>
              <w:t xml:space="preserve">) </w:t>
            </w:r>
            <w:r w:rsidRPr="00046E22">
              <w:t>Total number of productive hours worked by employe</w:t>
            </w:r>
            <w:r>
              <w:t>d</w:t>
            </w:r>
            <w:r w:rsidRPr="00046E22">
              <w:t xml:space="preserve"> </w:t>
            </w:r>
            <w:r>
              <w:t>and</w:t>
            </w:r>
            <w:r w:rsidRPr="00046E22">
              <w:t xml:space="preserve"> contract</w:t>
            </w:r>
            <w:r>
              <w:t xml:space="preserve">ed </w:t>
            </w:r>
            <w:r w:rsidRPr="003215C1">
              <w:rPr>
                <w:b/>
                <w:bCs/>
              </w:rPr>
              <w:t>nursing staff (RN, LPN/LVN, and UAP)</w:t>
            </w:r>
            <w:r>
              <w:t xml:space="preserve"> </w:t>
            </w:r>
            <w:r w:rsidRPr="00046E22">
              <w:t>with direct patient care responsibilities</w:t>
            </w:r>
            <w:r>
              <w:t>:</w:t>
            </w:r>
          </w:p>
        </w:tc>
        <w:tc>
          <w:tcPr>
            <w:tcW w:w="3032" w:type="dxa"/>
          </w:tcPr>
          <w:p w14:paraId="0F5EA3F2" w14:textId="77777777" w:rsidR="00C64192" w:rsidRPr="009A5185" w:rsidRDefault="00C64192" w:rsidP="00D73F6A">
            <w:pPr>
              <w:contextualSpacing/>
              <w:rPr>
                <w:rFonts w:cs="Arial"/>
                <w:b/>
              </w:rPr>
            </w:pPr>
            <w:r w:rsidRPr="009A5185">
              <w:rPr>
                <w:rFonts w:cs="Arial"/>
                <w:b/>
              </w:rPr>
              <w:t>(</w:t>
            </w:r>
            <w:r>
              <w:rPr>
                <w:rFonts w:cs="Arial"/>
                <w:b/>
              </w:rPr>
              <w:t>c</w:t>
            </w:r>
            <w:r w:rsidRPr="009A5185">
              <w:rPr>
                <w:rFonts w:cs="Arial"/>
                <w:b/>
              </w:rPr>
              <w:t>)</w:t>
            </w:r>
            <w:r>
              <w:rPr>
                <w:rFonts w:cs="Arial"/>
                <w:b/>
              </w:rPr>
              <w:t xml:space="preserve"> </w:t>
            </w:r>
            <w:r w:rsidRPr="0014347B">
              <w:t xml:space="preserve">Total number of productive hours </w:t>
            </w:r>
            <w:r w:rsidRPr="00C06753">
              <w:t>worked by</w:t>
            </w:r>
            <w:r w:rsidRPr="0014347B">
              <w:rPr>
                <w:b/>
                <w:bCs/>
              </w:rPr>
              <w:t xml:space="preserve"> RN</w:t>
            </w:r>
            <w:r>
              <w:rPr>
                <w:b/>
                <w:bCs/>
              </w:rPr>
              <w:t xml:space="preserve"> nursing staff</w:t>
            </w:r>
            <w:r w:rsidRPr="0014347B">
              <w:t xml:space="preserve"> with direct patient care responsibilities</w:t>
            </w:r>
            <w:r>
              <w:t>:</w:t>
            </w:r>
          </w:p>
        </w:tc>
      </w:tr>
      <w:tr w:rsidR="00C64192" w:rsidRPr="009A5185" w14:paraId="5E924BB9" w14:textId="77777777" w:rsidTr="00D73F6A">
        <w:trPr>
          <w:jc w:val="center"/>
        </w:trPr>
        <w:tc>
          <w:tcPr>
            <w:tcW w:w="1435" w:type="dxa"/>
          </w:tcPr>
          <w:p w14:paraId="4E25F923" w14:textId="77777777" w:rsidR="00C64192" w:rsidRPr="009A5185" w:rsidRDefault="00C64192" w:rsidP="00D73F6A">
            <w:pPr>
              <w:jc w:val="center"/>
              <w:rPr>
                <w:rFonts w:cs="Arial"/>
              </w:rPr>
            </w:pPr>
            <w:r>
              <w:rPr>
                <w:rFonts w:cs="Arial"/>
              </w:rPr>
              <w:t xml:space="preserve">Quarter 1 </w:t>
            </w:r>
          </w:p>
        </w:tc>
        <w:tc>
          <w:tcPr>
            <w:tcW w:w="2241" w:type="dxa"/>
            <w:vAlign w:val="center"/>
          </w:tcPr>
          <w:p w14:paraId="21D38C35" w14:textId="77777777" w:rsidR="00C64192" w:rsidRPr="009A5185" w:rsidRDefault="00C64192" w:rsidP="00D73F6A">
            <w:pPr>
              <w:ind w:left="360"/>
              <w:contextualSpacing/>
              <w:rPr>
                <w:rFonts w:cs="Arial"/>
                <w:b/>
              </w:rPr>
            </w:pPr>
          </w:p>
        </w:tc>
        <w:tc>
          <w:tcPr>
            <w:tcW w:w="2647" w:type="dxa"/>
            <w:vAlign w:val="center"/>
          </w:tcPr>
          <w:p w14:paraId="4BB69496" w14:textId="77777777" w:rsidR="00C64192" w:rsidRPr="009A5185" w:rsidRDefault="00C64192" w:rsidP="00D73F6A">
            <w:pPr>
              <w:ind w:left="360"/>
              <w:contextualSpacing/>
              <w:rPr>
                <w:rFonts w:cs="Arial"/>
                <w:b/>
              </w:rPr>
            </w:pPr>
          </w:p>
        </w:tc>
        <w:tc>
          <w:tcPr>
            <w:tcW w:w="3032" w:type="dxa"/>
          </w:tcPr>
          <w:p w14:paraId="366F1556" w14:textId="77777777" w:rsidR="00C64192" w:rsidRPr="009A5185" w:rsidRDefault="00C64192" w:rsidP="00D73F6A">
            <w:pPr>
              <w:ind w:left="360"/>
              <w:contextualSpacing/>
              <w:rPr>
                <w:rFonts w:cs="Arial"/>
                <w:b/>
              </w:rPr>
            </w:pPr>
          </w:p>
        </w:tc>
      </w:tr>
      <w:tr w:rsidR="00C64192" w:rsidRPr="009A5185" w14:paraId="655C725E" w14:textId="77777777" w:rsidTr="00D73F6A">
        <w:trPr>
          <w:jc w:val="center"/>
        </w:trPr>
        <w:tc>
          <w:tcPr>
            <w:tcW w:w="1435" w:type="dxa"/>
          </w:tcPr>
          <w:p w14:paraId="2D6FDCFD" w14:textId="77777777" w:rsidR="00C64192" w:rsidRPr="009A5185" w:rsidRDefault="00C64192" w:rsidP="00D73F6A">
            <w:pPr>
              <w:jc w:val="center"/>
              <w:rPr>
                <w:rFonts w:cs="Arial"/>
              </w:rPr>
            </w:pPr>
            <w:r>
              <w:rPr>
                <w:rFonts w:cs="Arial"/>
              </w:rPr>
              <w:t xml:space="preserve">Quarter 2 </w:t>
            </w:r>
          </w:p>
        </w:tc>
        <w:tc>
          <w:tcPr>
            <w:tcW w:w="2241" w:type="dxa"/>
            <w:vAlign w:val="center"/>
          </w:tcPr>
          <w:p w14:paraId="377D9527" w14:textId="77777777" w:rsidR="00C64192" w:rsidRPr="009A5185" w:rsidRDefault="00C64192" w:rsidP="00D73F6A">
            <w:pPr>
              <w:ind w:left="360"/>
              <w:contextualSpacing/>
              <w:rPr>
                <w:rFonts w:cs="Arial"/>
                <w:b/>
              </w:rPr>
            </w:pPr>
          </w:p>
        </w:tc>
        <w:tc>
          <w:tcPr>
            <w:tcW w:w="2647" w:type="dxa"/>
            <w:vAlign w:val="center"/>
          </w:tcPr>
          <w:p w14:paraId="67CFB855" w14:textId="77777777" w:rsidR="00C64192" w:rsidRPr="009A5185" w:rsidRDefault="00C64192" w:rsidP="00D73F6A">
            <w:pPr>
              <w:ind w:left="360"/>
              <w:contextualSpacing/>
              <w:rPr>
                <w:rFonts w:cs="Arial"/>
                <w:b/>
              </w:rPr>
            </w:pPr>
          </w:p>
        </w:tc>
        <w:tc>
          <w:tcPr>
            <w:tcW w:w="3032" w:type="dxa"/>
          </w:tcPr>
          <w:p w14:paraId="26DF7371" w14:textId="77777777" w:rsidR="00C64192" w:rsidRPr="009A5185" w:rsidRDefault="00C64192" w:rsidP="00D73F6A">
            <w:pPr>
              <w:ind w:left="360"/>
              <w:contextualSpacing/>
              <w:rPr>
                <w:rFonts w:cs="Arial"/>
                <w:b/>
              </w:rPr>
            </w:pPr>
          </w:p>
        </w:tc>
      </w:tr>
      <w:tr w:rsidR="00C64192" w:rsidRPr="009A5185" w14:paraId="714DA1F1" w14:textId="77777777" w:rsidTr="00D73F6A">
        <w:trPr>
          <w:jc w:val="center"/>
        </w:trPr>
        <w:tc>
          <w:tcPr>
            <w:tcW w:w="1435" w:type="dxa"/>
          </w:tcPr>
          <w:p w14:paraId="269C6275" w14:textId="77777777" w:rsidR="00C64192" w:rsidRPr="009A5185" w:rsidRDefault="00C64192" w:rsidP="00D73F6A">
            <w:pPr>
              <w:jc w:val="center"/>
              <w:rPr>
                <w:rFonts w:cs="Arial"/>
              </w:rPr>
            </w:pPr>
            <w:r>
              <w:rPr>
                <w:rFonts w:cs="Arial"/>
              </w:rPr>
              <w:t xml:space="preserve">Quarter 3 </w:t>
            </w:r>
          </w:p>
        </w:tc>
        <w:tc>
          <w:tcPr>
            <w:tcW w:w="2241" w:type="dxa"/>
            <w:vAlign w:val="center"/>
          </w:tcPr>
          <w:p w14:paraId="5879E1F8" w14:textId="77777777" w:rsidR="00C64192" w:rsidRPr="009A5185" w:rsidRDefault="00C64192" w:rsidP="00D73F6A">
            <w:pPr>
              <w:ind w:left="360"/>
              <w:contextualSpacing/>
              <w:rPr>
                <w:rFonts w:cs="Arial"/>
                <w:b/>
              </w:rPr>
            </w:pPr>
          </w:p>
        </w:tc>
        <w:tc>
          <w:tcPr>
            <w:tcW w:w="2647" w:type="dxa"/>
            <w:vAlign w:val="center"/>
          </w:tcPr>
          <w:p w14:paraId="56DEBB2A" w14:textId="77777777" w:rsidR="00C64192" w:rsidRPr="009A5185" w:rsidRDefault="00C64192" w:rsidP="00D73F6A">
            <w:pPr>
              <w:ind w:left="360"/>
              <w:contextualSpacing/>
              <w:rPr>
                <w:rFonts w:cs="Arial"/>
                <w:b/>
              </w:rPr>
            </w:pPr>
          </w:p>
        </w:tc>
        <w:tc>
          <w:tcPr>
            <w:tcW w:w="3032" w:type="dxa"/>
          </w:tcPr>
          <w:p w14:paraId="39BF0C74" w14:textId="77777777" w:rsidR="00C64192" w:rsidRPr="009A5185" w:rsidRDefault="00C64192" w:rsidP="00D73F6A">
            <w:pPr>
              <w:ind w:left="360"/>
              <w:contextualSpacing/>
              <w:rPr>
                <w:rFonts w:cs="Arial"/>
                <w:b/>
              </w:rPr>
            </w:pPr>
          </w:p>
        </w:tc>
      </w:tr>
      <w:tr w:rsidR="00C64192" w:rsidRPr="009A5185" w14:paraId="65D50F22" w14:textId="77777777" w:rsidTr="00D73F6A">
        <w:trPr>
          <w:jc w:val="center"/>
        </w:trPr>
        <w:tc>
          <w:tcPr>
            <w:tcW w:w="1435" w:type="dxa"/>
          </w:tcPr>
          <w:p w14:paraId="4A4A98A8" w14:textId="77777777" w:rsidR="00C64192" w:rsidRPr="009A5185" w:rsidRDefault="00C64192" w:rsidP="00D73F6A">
            <w:pPr>
              <w:jc w:val="center"/>
              <w:rPr>
                <w:rFonts w:cs="Arial"/>
              </w:rPr>
            </w:pPr>
            <w:r>
              <w:rPr>
                <w:rFonts w:cs="Arial"/>
              </w:rPr>
              <w:t xml:space="preserve">Quarter 4 </w:t>
            </w:r>
          </w:p>
        </w:tc>
        <w:tc>
          <w:tcPr>
            <w:tcW w:w="2241" w:type="dxa"/>
            <w:vAlign w:val="center"/>
          </w:tcPr>
          <w:p w14:paraId="2ACF337C" w14:textId="77777777" w:rsidR="00C64192" w:rsidRPr="009A5185" w:rsidRDefault="00C64192" w:rsidP="00D73F6A">
            <w:pPr>
              <w:ind w:left="360"/>
              <w:contextualSpacing/>
              <w:rPr>
                <w:rFonts w:cs="Arial"/>
                <w:b/>
              </w:rPr>
            </w:pPr>
          </w:p>
        </w:tc>
        <w:tc>
          <w:tcPr>
            <w:tcW w:w="2647" w:type="dxa"/>
            <w:vAlign w:val="center"/>
          </w:tcPr>
          <w:p w14:paraId="69F6D657" w14:textId="77777777" w:rsidR="00C64192" w:rsidRPr="009A5185" w:rsidRDefault="00C64192" w:rsidP="00D73F6A">
            <w:pPr>
              <w:ind w:left="360"/>
              <w:contextualSpacing/>
              <w:rPr>
                <w:rFonts w:cs="Arial"/>
                <w:b/>
              </w:rPr>
            </w:pPr>
          </w:p>
        </w:tc>
        <w:tc>
          <w:tcPr>
            <w:tcW w:w="3032" w:type="dxa"/>
          </w:tcPr>
          <w:p w14:paraId="3D89AD95" w14:textId="77777777" w:rsidR="00C64192" w:rsidRPr="009A5185" w:rsidRDefault="00C64192" w:rsidP="00D73F6A">
            <w:pPr>
              <w:ind w:left="360"/>
              <w:contextualSpacing/>
              <w:rPr>
                <w:rFonts w:cs="Arial"/>
                <w:b/>
              </w:rPr>
            </w:pPr>
          </w:p>
        </w:tc>
      </w:tr>
    </w:tbl>
    <w:p w14:paraId="54D1938D" w14:textId="277128B3" w:rsidR="00265265" w:rsidRPr="00332C4D" w:rsidRDefault="00265265" w:rsidP="00C64192">
      <w:pPr>
        <w:rPr>
          <w:rFonts w:cs="Arial"/>
          <w:bCs/>
          <w:i/>
          <w:iCs/>
          <w:snapToGrid w:val="0"/>
        </w:rPr>
      </w:pPr>
    </w:p>
    <w:tbl>
      <w:tblPr>
        <w:tblStyle w:val="TableGrid"/>
        <w:tblW w:w="0" w:type="auto"/>
        <w:tblLook w:val="04A0" w:firstRow="1" w:lastRow="0" w:firstColumn="1" w:lastColumn="0" w:noHBand="0" w:noVBand="1"/>
      </w:tblPr>
      <w:tblGrid>
        <w:gridCol w:w="6115"/>
        <w:gridCol w:w="3235"/>
      </w:tblGrid>
      <w:tr w:rsidR="00EF7D29" w:rsidRPr="00C645E0" w14:paraId="28D3972E" w14:textId="77777777" w:rsidTr="00D73F6A">
        <w:trPr>
          <w:trHeight w:val="1224"/>
        </w:trPr>
        <w:tc>
          <w:tcPr>
            <w:tcW w:w="6115" w:type="dxa"/>
          </w:tcPr>
          <w:p w14:paraId="64BD72D1" w14:textId="77777777" w:rsidR="009A2560" w:rsidRDefault="009A2560" w:rsidP="009A2560">
            <w:pPr>
              <w:pStyle w:val="ListParagraph"/>
              <w:numPr>
                <w:ilvl w:val="0"/>
                <w:numId w:val="147"/>
              </w:numPr>
            </w:pPr>
            <w:r>
              <w:t xml:space="preserve">Does your hospital operate at least one adult or pediatric </w:t>
            </w:r>
            <w:r w:rsidRPr="007F7D26">
              <w:t>mixed acuity</w:t>
            </w:r>
            <w:r>
              <w:t xml:space="preserve"> Medical, Surgical or Med-Surg Unit?</w:t>
            </w:r>
            <w:r>
              <w:br/>
            </w:r>
            <w:r>
              <w:br/>
            </w:r>
            <w:r w:rsidRPr="00601A33">
              <w:rPr>
                <w:i/>
                <w:iCs/>
              </w:rPr>
              <w:t>A mixed acuity unit is defined as a unit where more than 10% of patients receive varying levels of care.</w:t>
            </w:r>
          </w:p>
          <w:p w14:paraId="526A5F19" w14:textId="77777777" w:rsidR="00EF7D29" w:rsidRDefault="00EF7D29" w:rsidP="009A2560">
            <w:pPr>
              <w:pStyle w:val="ListParagraph"/>
              <w:ind w:left="360"/>
            </w:pPr>
          </w:p>
          <w:p w14:paraId="56D6E623" w14:textId="40BA42A7" w:rsidR="00C20319" w:rsidRDefault="00C20319" w:rsidP="00C20319">
            <w:pPr>
              <w:ind w:left="360"/>
              <w:contextualSpacing/>
              <w:rPr>
                <w:i/>
                <w:iCs/>
              </w:rPr>
            </w:pPr>
            <w:r w:rsidRPr="00D64551">
              <w:rPr>
                <w:i/>
                <w:iCs/>
              </w:rPr>
              <w:t>If “no”</w:t>
            </w:r>
            <w:r>
              <w:rPr>
                <w:i/>
                <w:iCs/>
              </w:rPr>
              <w:t xml:space="preserve"> or “yes</w:t>
            </w:r>
            <w:r w:rsidR="00922C79">
              <w:rPr>
                <w:i/>
                <w:iCs/>
              </w:rPr>
              <w:t xml:space="preserve">, </w:t>
            </w:r>
            <w:r>
              <w:rPr>
                <w:i/>
                <w:iCs/>
              </w:rPr>
              <w:t xml:space="preserve">but had fewer than 15 patients days per month for all 3 months of any quarter of the reporting period,” </w:t>
            </w:r>
            <w:r w:rsidRPr="00D64551">
              <w:rPr>
                <w:i/>
                <w:iCs/>
              </w:rPr>
              <w:t>skip questions #</w:t>
            </w:r>
            <w:r>
              <w:rPr>
                <w:i/>
                <w:iCs/>
              </w:rPr>
              <w:t>11</w:t>
            </w:r>
            <w:r w:rsidRPr="00D64551">
              <w:rPr>
                <w:i/>
                <w:iCs/>
              </w:rPr>
              <w:t>-</w:t>
            </w:r>
            <w:r>
              <w:rPr>
                <w:i/>
                <w:iCs/>
              </w:rPr>
              <w:t>1</w:t>
            </w:r>
            <w:r w:rsidR="004D4FDD">
              <w:rPr>
                <w:i/>
                <w:iCs/>
              </w:rPr>
              <w:t>2</w:t>
            </w:r>
            <w:r>
              <w:rPr>
                <w:i/>
                <w:iCs/>
              </w:rPr>
              <w:t>.</w:t>
            </w:r>
          </w:p>
          <w:p w14:paraId="545BA672" w14:textId="1BBF3DDC" w:rsidR="00C20319" w:rsidRDefault="00C20319" w:rsidP="00F970A2">
            <w:pPr>
              <w:pStyle w:val="ListParagraph"/>
              <w:ind w:left="360"/>
            </w:pPr>
          </w:p>
        </w:tc>
        <w:tc>
          <w:tcPr>
            <w:tcW w:w="3235" w:type="dxa"/>
            <w:vAlign w:val="center"/>
          </w:tcPr>
          <w:p w14:paraId="3891ECDD" w14:textId="77777777" w:rsidR="00E974B9" w:rsidRPr="00D64551" w:rsidRDefault="00E974B9" w:rsidP="00E974B9">
            <w:pPr>
              <w:numPr>
                <w:ilvl w:val="0"/>
                <w:numId w:val="349"/>
              </w:numPr>
              <w:contextualSpacing/>
              <w:rPr>
                <w:rFonts w:cs="Arial"/>
                <w:iCs/>
              </w:rPr>
            </w:pPr>
            <w:r w:rsidRPr="00D64551">
              <w:rPr>
                <w:iCs/>
              </w:rPr>
              <w:t>Yes</w:t>
            </w:r>
          </w:p>
          <w:p w14:paraId="73D1F045" w14:textId="77777777" w:rsidR="00E974B9" w:rsidRPr="00E974B9" w:rsidRDefault="00E974B9" w:rsidP="00E974B9">
            <w:pPr>
              <w:numPr>
                <w:ilvl w:val="0"/>
                <w:numId w:val="349"/>
              </w:numPr>
              <w:contextualSpacing/>
              <w:rPr>
                <w:rFonts w:cs="Arial"/>
                <w:iCs/>
              </w:rPr>
            </w:pPr>
            <w:r w:rsidRPr="00D64551">
              <w:rPr>
                <w:iCs/>
              </w:rPr>
              <w:t>No</w:t>
            </w:r>
          </w:p>
          <w:p w14:paraId="5B0D506F" w14:textId="5325FFC4" w:rsidR="00EF7D29" w:rsidRPr="00F970A2" w:rsidRDefault="00E974B9" w:rsidP="007F7D26">
            <w:pPr>
              <w:numPr>
                <w:ilvl w:val="0"/>
                <w:numId w:val="349"/>
              </w:numPr>
              <w:contextualSpacing/>
              <w:rPr>
                <w:rFonts w:cs="Arial"/>
                <w:iCs/>
              </w:rPr>
            </w:pPr>
            <w:r w:rsidRPr="00E974B9">
              <w:rPr>
                <w:rFonts w:cs="Arial"/>
                <w:iCs/>
                <w:snapToGrid w:val="0"/>
              </w:rPr>
              <w:t>Yes, but had fewer than 15 patient days per month for all 3 months of any quarter of the reporting period</w:t>
            </w:r>
          </w:p>
        </w:tc>
      </w:tr>
    </w:tbl>
    <w:p w14:paraId="2288622D" w14:textId="4307ED14" w:rsidR="00FD512C" w:rsidRDefault="00FD512C"/>
    <w:p w14:paraId="18CD122D" w14:textId="341229F0" w:rsidR="00FD512C" w:rsidRDefault="00FD512C" w:rsidP="00FD512C">
      <w:pPr>
        <w:rPr>
          <w:rFonts w:cs="Arial"/>
          <w:bCs/>
          <w:i/>
          <w:iCs/>
          <w:snapToGrid w:val="0"/>
        </w:rPr>
      </w:pPr>
      <w:r w:rsidRPr="00BD16A9">
        <w:rPr>
          <w:rFonts w:cs="Arial"/>
          <w:bCs/>
          <w:i/>
          <w:iCs/>
          <w:snapToGrid w:val="0"/>
        </w:rPr>
        <w:t>If “yes, but had fewer than 15 patient days per month for all 3 months of any quarter of the reporting period” to questions #4, #6, and #8 and “yes” to question #10, continue to question</w:t>
      </w:r>
      <w:r w:rsidR="00E2662B">
        <w:rPr>
          <w:rFonts w:cs="Arial"/>
          <w:bCs/>
          <w:i/>
          <w:iCs/>
          <w:snapToGrid w:val="0"/>
        </w:rPr>
        <w:t>s</w:t>
      </w:r>
      <w:r w:rsidRPr="00BD16A9">
        <w:rPr>
          <w:rFonts w:cs="Arial"/>
          <w:bCs/>
          <w:i/>
          <w:iCs/>
          <w:snapToGrid w:val="0"/>
        </w:rPr>
        <w:t xml:space="preserve"> #11</w:t>
      </w:r>
      <w:r w:rsidR="005B471C" w:rsidRPr="00BD16A9">
        <w:rPr>
          <w:rFonts w:cs="Arial"/>
          <w:bCs/>
          <w:i/>
          <w:iCs/>
          <w:snapToGrid w:val="0"/>
        </w:rPr>
        <w:t>-12</w:t>
      </w:r>
      <w:r w:rsidRPr="00BD16A9">
        <w:rPr>
          <w:rFonts w:cs="Arial"/>
          <w:bCs/>
          <w:i/>
          <w:iCs/>
          <w:snapToGrid w:val="0"/>
        </w:rPr>
        <w:t xml:space="preserve"> and report on your mixed acuity unit(s).</w:t>
      </w:r>
    </w:p>
    <w:p w14:paraId="57CEC309" w14:textId="77777777" w:rsidR="00E2662B" w:rsidRDefault="00E2662B" w:rsidP="00FD512C">
      <w:pPr>
        <w:rPr>
          <w:rFonts w:cs="Arial"/>
          <w:bCs/>
          <w:i/>
          <w:iCs/>
          <w:snapToGrid w:val="0"/>
        </w:rPr>
      </w:pPr>
    </w:p>
    <w:p w14:paraId="222A157F" w14:textId="2DFFB164" w:rsidR="00FD512C" w:rsidRDefault="00E222D5" w:rsidP="00FD512C">
      <w:pPr>
        <w:rPr>
          <w:i/>
          <w:iCs/>
        </w:rPr>
      </w:pPr>
      <w:r>
        <w:rPr>
          <w:rFonts w:cs="Arial"/>
          <w:bCs/>
          <w:i/>
          <w:iCs/>
          <w:snapToGrid w:val="0"/>
        </w:rPr>
        <w:t>Hospitals that operate both single and mixed acuity units can optionally report on their mixed acuity units in question #1</w:t>
      </w:r>
      <w:r w:rsidR="002E34F1">
        <w:rPr>
          <w:rFonts w:cs="Arial"/>
          <w:bCs/>
          <w:i/>
          <w:iCs/>
          <w:snapToGrid w:val="0"/>
        </w:rPr>
        <w:t>4</w:t>
      </w:r>
      <w:r>
        <w:rPr>
          <w:rFonts w:cs="Arial"/>
          <w:bCs/>
          <w:i/>
          <w:iCs/>
          <w:snapToGrid w:val="0"/>
        </w:rPr>
        <w:t xml:space="preserve">. </w:t>
      </w:r>
    </w:p>
    <w:p w14:paraId="2FA0C77C" w14:textId="77777777" w:rsidR="00E2662B" w:rsidRPr="00BD16A9" w:rsidRDefault="00E2662B" w:rsidP="00FD512C">
      <w:pPr>
        <w:rPr>
          <w:i/>
          <w:iCs/>
        </w:rPr>
      </w:pPr>
    </w:p>
    <w:tbl>
      <w:tblPr>
        <w:tblStyle w:val="TableGrid"/>
        <w:tblW w:w="0" w:type="auto"/>
        <w:tblLook w:val="04A0" w:firstRow="1" w:lastRow="0" w:firstColumn="1" w:lastColumn="0" w:noHBand="0" w:noVBand="1"/>
      </w:tblPr>
      <w:tblGrid>
        <w:gridCol w:w="6115"/>
        <w:gridCol w:w="3235"/>
      </w:tblGrid>
      <w:tr w:rsidR="00C64192" w:rsidRPr="00C645E0" w14:paraId="7EB1829B" w14:textId="77777777" w:rsidTr="00D73F6A">
        <w:trPr>
          <w:trHeight w:val="1224"/>
        </w:trPr>
        <w:tc>
          <w:tcPr>
            <w:tcW w:w="6115" w:type="dxa"/>
          </w:tcPr>
          <w:p w14:paraId="232B51B1" w14:textId="419D68CD" w:rsidR="00C64192" w:rsidRDefault="00C64192" w:rsidP="0031621B">
            <w:pPr>
              <w:pStyle w:val="ListParagraph"/>
              <w:numPr>
                <w:ilvl w:val="0"/>
                <w:numId w:val="147"/>
              </w:numPr>
            </w:pPr>
            <w:r>
              <w:t>What type(s) of adult or pediatric mixed acuity Medical, Surgical, or Med-Surg Units does your hospital operate?</w:t>
            </w:r>
          </w:p>
          <w:p w14:paraId="4FE9AD25" w14:textId="77777777" w:rsidR="00C64192" w:rsidRDefault="00C64192" w:rsidP="00D73F6A">
            <w:pPr>
              <w:pStyle w:val="ListParagraph"/>
              <w:ind w:left="360"/>
            </w:pPr>
          </w:p>
          <w:p w14:paraId="52A446F9" w14:textId="77777777" w:rsidR="00C64192" w:rsidRDefault="00C64192" w:rsidP="00D73F6A">
            <w:pPr>
              <w:pStyle w:val="ListParagraph"/>
              <w:ind w:left="360"/>
              <w:rPr>
                <w:i/>
                <w:iCs/>
              </w:rPr>
            </w:pPr>
            <w:r>
              <w:rPr>
                <w:i/>
                <w:iCs/>
              </w:rPr>
              <w:t>Select</w:t>
            </w:r>
            <w:r w:rsidRPr="002823A3">
              <w:rPr>
                <w:i/>
                <w:iCs/>
              </w:rPr>
              <w:t xml:space="preserve"> all that apply.</w:t>
            </w:r>
          </w:p>
          <w:p w14:paraId="034392D5" w14:textId="77777777" w:rsidR="00C64192" w:rsidRDefault="00C64192" w:rsidP="00D73F6A">
            <w:pPr>
              <w:pStyle w:val="ListParagraph"/>
              <w:ind w:left="360"/>
              <w:rPr>
                <w:i/>
                <w:iCs/>
              </w:rPr>
            </w:pPr>
          </w:p>
          <w:p w14:paraId="526496B9" w14:textId="77777777" w:rsidR="00C64192" w:rsidRPr="00BB3760" w:rsidRDefault="00C64192" w:rsidP="00D73F6A">
            <w:pPr>
              <w:ind w:left="360"/>
              <w:rPr>
                <w:rFonts w:cs="Arial"/>
                <w:i/>
                <w:snapToGrid w:val="0"/>
              </w:rPr>
            </w:pPr>
            <w:r w:rsidRPr="00BB3760">
              <w:rPr>
                <w:rFonts w:cs="Arial"/>
                <w:i/>
                <w:snapToGrid w:val="0"/>
              </w:rPr>
              <w:t xml:space="preserve">A </w:t>
            </w:r>
            <w:r w:rsidRPr="00BB3760">
              <w:rPr>
                <w:rFonts w:cs="Arial"/>
                <w:i/>
                <w:snapToGrid w:val="0"/>
                <w:u w:val="single"/>
              </w:rPr>
              <w:t>High Acuity Unit</w:t>
            </w:r>
            <w:r w:rsidRPr="00BB3760">
              <w:rPr>
                <w:rFonts w:cs="Arial"/>
                <w:i/>
                <w:snapToGrid w:val="0"/>
              </w:rPr>
              <w:t xml:space="preserve"> is a mixed acuity unit in which 50-89% of the patients are critical care </w:t>
            </w:r>
            <w:r w:rsidRPr="00BB3760">
              <w:rPr>
                <w:rFonts w:cs="Arial"/>
                <w:b/>
                <w:bCs/>
                <w:i/>
                <w:snapToGrid w:val="0"/>
              </w:rPr>
              <w:t>and</w:t>
            </w:r>
            <w:r w:rsidRPr="00BB3760">
              <w:rPr>
                <w:rFonts w:cs="Arial"/>
                <w:i/>
                <w:snapToGrid w:val="0"/>
              </w:rPr>
              <w:t xml:space="preserve"> the remaining 11-49% can be any other acuity level. </w:t>
            </w:r>
          </w:p>
          <w:p w14:paraId="77F70A87" w14:textId="77777777" w:rsidR="00C64192" w:rsidRPr="00BB3760" w:rsidRDefault="00C64192" w:rsidP="00D73F6A">
            <w:pPr>
              <w:rPr>
                <w:rFonts w:cs="Arial"/>
                <w:i/>
                <w:snapToGrid w:val="0"/>
              </w:rPr>
            </w:pPr>
          </w:p>
          <w:p w14:paraId="5B5BCD49" w14:textId="77777777" w:rsidR="00C64192" w:rsidRPr="00BB3760" w:rsidRDefault="00C64192" w:rsidP="00D73F6A">
            <w:pPr>
              <w:ind w:left="360"/>
              <w:rPr>
                <w:rFonts w:cs="Arial"/>
                <w:i/>
                <w:snapToGrid w:val="0"/>
              </w:rPr>
            </w:pPr>
            <w:r w:rsidRPr="00BB3760">
              <w:rPr>
                <w:rFonts w:cs="Arial"/>
                <w:i/>
                <w:snapToGrid w:val="0"/>
              </w:rPr>
              <w:t xml:space="preserve">A </w:t>
            </w:r>
            <w:r w:rsidRPr="00BB3760">
              <w:rPr>
                <w:rFonts w:cs="Arial"/>
                <w:i/>
                <w:snapToGrid w:val="0"/>
                <w:u w:val="single"/>
              </w:rPr>
              <w:t>Moderate Acuity Unit</w:t>
            </w:r>
            <w:r w:rsidRPr="00BB3760">
              <w:rPr>
                <w:rFonts w:cs="Arial"/>
                <w:i/>
                <w:snapToGrid w:val="0"/>
              </w:rPr>
              <w:t xml:space="preserve"> is a mixed acuity unit in which 25-49% of the patients are critical care </w:t>
            </w:r>
            <w:r w:rsidRPr="00BB3760">
              <w:rPr>
                <w:rFonts w:cs="Arial"/>
                <w:b/>
                <w:bCs/>
                <w:i/>
                <w:snapToGrid w:val="0"/>
              </w:rPr>
              <w:t>OR</w:t>
            </w:r>
            <w:r w:rsidRPr="00BB3760">
              <w:rPr>
                <w:rFonts w:cs="Arial"/>
                <w:i/>
                <w:snapToGrid w:val="0"/>
              </w:rPr>
              <w:t xml:space="preserve"> 50-89% of the patients are step down care. The remaining percentage can be any other acuity level.</w:t>
            </w:r>
          </w:p>
          <w:p w14:paraId="6BDF4741" w14:textId="77777777" w:rsidR="00C64192" w:rsidRPr="00BB3760" w:rsidRDefault="00C64192" w:rsidP="00D73F6A">
            <w:pPr>
              <w:rPr>
                <w:rFonts w:cs="Arial"/>
                <w:i/>
                <w:snapToGrid w:val="0"/>
              </w:rPr>
            </w:pPr>
          </w:p>
          <w:p w14:paraId="6FBD6B5E" w14:textId="77777777" w:rsidR="00C64192" w:rsidRPr="002823A3" w:rsidRDefault="00C64192" w:rsidP="00D73F6A">
            <w:pPr>
              <w:autoSpaceDE w:val="0"/>
              <w:autoSpaceDN w:val="0"/>
              <w:adjustRightInd w:val="0"/>
              <w:ind w:left="360"/>
              <w:rPr>
                <w:rFonts w:cs="Arial"/>
                <w:i/>
                <w:snapToGrid w:val="0"/>
              </w:rPr>
            </w:pPr>
            <w:r w:rsidRPr="00BB3760">
              <w:rPr>
                <w:rFonts w:cs="Arial"/>
                <w:i/>
                <w:snapToGrid w:val="0"/>
              </w:rPr>
              <w:lastRenderedPageBreak/>
              <w:t xml:space="preserve">A </w:t>
            </w:r>
            <w:r w:rsidRPr="00BB3760">
              <w:rPr>
                <w:rFonts w:cs="Arial"/>
                <w:i/>
                <w:snapToGrid w:val="0"/>
                <w:u w:val="single"/>
              </w:rPr>
              <w:t>Blended Acuity Unit</w:t>
            </w:r>
            <w:r w:rsidRPr="00BB3760">
              <w:rPr>
                <w:rFonts w:cs="Arial"/>
                <w:i/>
                <w:snapToGrid w:val="0"/>
              </w:rPr>
              <w:t xml:space="preserve"> is a mixed acuity acute care unit in which less than 90% of the patients receive a single acuity level of care, less than 50% receive step down care, </w:t>
            </w:r>
            <w:r w:rsidRPr="00BB3760">
              <w:rPr>
                <w:rFonts w:cs="Arial"/>
                <w:b/>
                <w:bCs/>
                <w:i/>
                <w:snapToGrid w:val="0"/>
              </w:rPr>
              <w:t xml:space="preserve">and </w:t>
            </w:r>
            <w:r w:rsidRPr="00BB3760">
              <w:rPr>
                <w:rFonts w:cs="Arial"/>
                <w:i/>
                <w:snapToGrid w:val="0"/>
              </w:rPr>
              <w:t>less than 25% receive critical care.</w:t>
            </w:r>
          </w:p>
        </w:tc>
        <w:tc>
          <w:tcPr>
            <w:tcW w:w="3235" w:type="dxa"/>
            <w:vAlign w:val="center"/>
          </w:tcPr>
          <w:p w14:paraId="50CCDE92" w14:textId="77777777" w:rsidR="00C64192" w:rsidRDefault="00C64192" w:rsidP="00AD309C">
            <w:pPr>
              <w:pStyle w:val="ListParagraph"/>
              <w:numPr>
                <w:ilvl w:val="0"/>
                <w:numId w:val="358"/>
              </w:numPr>
              <w:rPr>
                <w:rFonts w:cs="Arial"/>
                <w:iCs/>
                <w:snapToGrid w:val="0"/>
              </w:rPr>
            </w:pPr>
            <w:r>
              <w:rPr>
                <w:rFonts w:cs="Arial"/>
                <w:iCs/>
                <w:snapToGrid w:val="0"/>
              </w:rPr>
              <w:lastRenderedPageBreak/>
              <w:t>High Acuity</w:t>
            </w:r>
          </w:p>
          <w:p w14:paraId="5E8376C1" w14:textId="77777777" w:rsidR="00C64192" w:rsidRDefault="00C64192" w:rsidP="00AD309C">
            <w:pPr>
              <w:pStyle w:val="ListParagraph"/>
              <w:numPr>
                <w:ilvl w:val="0"/>
                <w:numId w:val="358"/>
              </w:numPr>
              <w:rPr>
                <w:rFonts w:cs="Arial"/>
                <w:iCs/>
                <w:snapToGrid w:val="0"/>
              </w:rPr>
            </w:pPr>
            <w:r>
              <w:rPr>
                <w:rFonts w:cs="Arial"/>
                <w:iCs/>
                <w:snapToGrid w:val="0"/>
              </w:rPr>
              <w:t>Moderate Acuity</w:t>
            </w:r>
          </w:p>
          <w:p w14:paraId="746FC3A5" w14:textId="77777777" w:rsidR="00C64192" w:rsidRPr="00C8246A" w:rsidRDefault="00C64192" w:rsidP="00AD309C">
            <w:pPr>
              <w:pStyle w:val="ListParagraph"/>
              <w:numPr>
                <w:ilvl w:val="0"/>
                <w:numId w:val="358"/>
              </w:numPr>
              <w:rPr>
                <w:rFonts w:cs="Arial"/>
                <w:iCs/>
                <w:snapToGrid w:val="0"/>
              </w:rPr>
            </w:pPr>
            <w:r>
              <w:rPr>
                <w:rFonts w:cs="Arial"/>
                <w:iCs/>
                <w:snapToGrid w:val="0"/>
              </w:rPr>
              <w:t>Blended Acuity</w:t>
            </w:r>
          </w:p>
        </w:tc>
      </w:tr>
    </w:tbl>
    <w:p w14:paraId="062F3A2D" w14:textId="77777777" w:rsidR="00D35A71" w:rsidRPr="00357E20" w:rsidRDefault="00D35A71" w:rsidP="00C64192">
      <w:pPr>
        <w:rPr>
          <w:sz w:val="16"/>
          <w:szCs w:val="16"/>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2340"/>
        <w:gridCol w:w="2790"/>
        <w:gridCol w:w="2790"/>
      </w:tblGrid>
      <w:tr w:rsidR="00C64192" w:rsidRPr="009A5185" w14:paraId="54FD7BD2" w14:textId="77777777" w:rsidTr="00D73F6A">
        <w:trPr>
          <w:trHeight w:val="576"/>
          <w:jc w:val="center"/>
        </w:trPr>
        <w:tc>
          <w:tcPr>
            <w:tcW w:w="9355" w:type="dxa"/>
            <w:gridSpan w:val="4"/>
            <w:vAlign w:val="center"/>
          </w:tcPr>
          <w:p w14:paraId="59A97515" w14:textId="31BB845E" w:rsidR="00C64192" w:rsidRPr="00B33806" w:rsidRDefault="00C64192" w:rsidP="0031621B">
            <w:pPr>
              <w:pStyle w:val="ListParagraph"/>
              <w:numPr>
                <w:ilvl w:val="0"/>
                <w:numId w:val="147"/>
              </w:numPr>
              <w:rPr>
                <w:rFonts w:cs="Arial"/>
                <w:i/>
                <w:snapToGrid w:val="0"/>
              </w:rPr>
            </w:pPr>
            <w:r w:rsidRPr="00B33806">
              <w:rPr>
                <w:rFonts w:cs="Arial"/>
              </w:rPr>
              <w:t xml:space="preserve">Enter your hospital’s responses </w:t>
            </w:r>
            <w:r>
              <w:rPr>
                <w:rFonts w:cs="Arial"/>
              </w:rPr>
              <w:t>for each</w:t>
            </w:r>
            <w:r w:rsidRPr="00B33806">
              <w:rPr>
                <w:rFonts w:cs="Arial"/>
              </w:rPr>
              <w:t xml:space="preserve"> quarter </w:t>
            </w:r>
            <w:r>
              <w:rPr>
                <w:rFonts w:cs="Arial"/>
              </w:rPr>
              <w:t>for</w:t>
            </w:r>
            <w:r w:rsidRPr="00B33806">
              <w:rPr>
                <w:rFonts w:cs="Arial"/>
              </w:rPr>
              <w:t xml:space="preserve"> all adult and pediatric</w:t>
            </w:r>
            <w:r>
              <w:t xml:space="preserve"> </w:t>
            </w:r>
            <w:hyperlink w:anchor="mixedacuityspecs" w:history="1">
              <w:r w:rsidRPr="0005258B">
                <w:rPr>
                  <w:rStyle w:val="Hyperlink"/>
                </w:rPr>
                <w:t>mixed acuity Medical, Surgical, and Med-Surg Units</w:t>
              </w:r>
            </w:hyperlink>
            <w:r>
              <w:t xml:space="preserve"> for the reporting period selected in question #1: </w:t>
            </w:r>
          </w:p>
        </w:tc>
      </w:tr>
      <w:tr w:rsidR="00C64192" w:rsidRPr="009A5185" w14:paraId="5394DE17" w14:textId="77777777" w:rsidTr="00D73F6A">
        <w:trPr>
          <w:trHeight w:val="576"/>
          <w:jc w:val="center"/>
        </w:trPr>
        <w:tc>
          <w:tcPr>
            <w:tcW w:w="1435" w:type="dxa"/>
            <w:vAlign w:val="center"/>
          </w:tcPr>
          <w:p w14:paraId="1B841549" w14:textId="77777777" w:rsidR="00C64192" w:rsidRPr="009C1180" w:rsidRDefault="00C64192" w:rsidP="00D73F6A">
            <w:pPr>
              <w:contextualSpacing/>
              <w:rPr>
                <w:rFonts w:cs="Arial"/>
                <w:bCs/>
              </w:rPr>
            </w:pPr>
          </w:p>
        </w:tc>
        <w:tc>
          <w:tcPr>
            <w:tcW w:w="2340" w:type="dxa"/>
          </w:tcPr>
          <w:p w14:paraId="35315DDF" w14:textId="77777777" w:rsidR="00C64192" w:rsidRPr="00383748" w:rsidRDefault="00C64192" w:rsidP="00D73F6A">
            <w:pPr>
              <w:rPr>
                <w:rFonts w:cstheme="minorHAnsi"/>
                <w:bCs/>
                <w:iCs/>
              </w:rPr>
            </w:pPr>
            <w:r w:rsidRPr="00383748">
              <w:rPr>
                <w:rFonts w:cs="Arial"/>
                <w:b/>
              </w:rPr>
              <w:t xml:space="preserve">(a) </w:t>
            </w:r>
            <w:r w:rsidRPr="00046E22">
              <w:t xml:space="preserve">Total number of </w:t>
            </w:r>
            <w:r w:rsidRPr="00383748">
              <w:rPr>
                <w:rFonts w:cstheme="minorHAnsi"/>
                <w:bCs/>
                <w:iCs/>
              </w:rPr>
              <w:t>patient days:</w:t>
            </w:r>
          </w:p>
          <w:p w14:paraId="41EB115F" w14:textId="77777777" w:rsidR="00C64192" w:rsidRPr="004B4271" w:rsidRDefault="00C64192" w:rsidP="00D73F6A"/>
          <w:p w14:paraId="72064FC9" w14:textId="77777777" w:rsidR="00C64192" w:rsidRPr="00A1499F" w:rsidRDefault="00C64192" w:rsidP="00D73F6A">
            <w:pPr>
              <w:contextualSpacing/>
              <w:rPr>
                <w:rFonts w:cs="Arial"/>
                <w:bCs/>
              </w:rPr>
            </w:pPr>
          </w:p>
        </w:tc>
        <w:tc>
          <w:tcPr>
            <w:tcW w:w="2790" w:type="dxa"/>
          </w:tcPr>
          <w:p w14:paraId="772FCFE5" w14:textId="77777777" w:rsidR="00C64192" w:rsidRPr="009A5185" w:rsidRDefault="00C64192" w:rsidP="00D73F6A">
            <w:pPr>
              <w:contextualSpacing/>
              <w:rPr>
                <w:rFonts w:cs="Arial"/>
                <w:b/>
              </w:rPr>
            </w:pPr>
            <w:r w:rsidRPr="00137990">
              <w:rPr>
                <w:rFonts w:cs="Arial"/>
                <w:b/>
              </w:rPr>
              <w:t>(</w:t>
            </w:r>
            <w:r>
              <w:rPr>
                <w:rFonts w:cs="Arial"/>
                <w:b/>
              </w:rPr>
              <w:t>b</w:t>
            </w:r>
            <w:r w:rsidRPr="00137990">
              <w:rPr>
                <w:rFonts w:cs="Arial"/>
                <w:b/>
              </w:rPr>
              <w:t xml:space="preserve">) </w:t>
            </w:r>
            <w:r w:rsidRPr="00046E22">
              <w:t>Total number of productive hours worked by employe</w:t>
            </w:r>
            <w:r>
              <w:t>d</w:t>
            </w:r>
            <w:r w:rsidRPr="00046E22">
              <w:t xml:space="preserve"> </w:t>
            </w:r>
            <w:r>
              <w:t>and</w:t>
            </w:r>
            <w:r w:rsidRPr="00046E22">
              <w:t xml:space="preserve"> contract</w:t>
            </w:r>
            <w:r>
              <w:t xml:space="preserve">ed </w:t>
            </w:r>
            <w:r w:rsidRPr="003215C1">
              <w:rPr>
                <w:b/>
                <w:bCs/>
              </w:rPr>
              <w:t>nursing staff (RN, LPN/LVN, and UAP)</w:t>
            </w:r>
            <w:r w:rsidRPr="00046E22">
              <w:t xml:space="preserve"> with direct patient care responsibilities</w:t>
            </w:r>
            <w:r>
              <w:t>:</w:t>
            </w:r>
          </w:p>
        </w:tc>
        <w:tc>
          <w:tcPr>
            <w:tcW w:w="2790" w:type="dxa"/>
          </w:tcPr>
          <w:p w14:paraId="00478A64" w14:textId="77777777" w:rsidR="00C64192" w:rsidRPr="009A5185" w:rsidRDefault="00C64192" w:rsidP="00D73F6A">
            <w:pPr>
              <w:contextualSpacing/>
              <w:rPr>
                <w:rFonts w:cs="Arial"/>
                <w:b/>
              </w:rPr>
            </w:pPr>
            <w:r w:rsidRPr="009A5185">
              <w:rPr>
                <w:rFonts w:cs="Arial"/>
                <w:b/>
              </w:rPr>
              <w:t>(</w:t>
            </w:r>
            <w:r>
              <w:rPr>
                <w:rFonts w:cs="Arial"/>
                <w:b/>
              </w:rPr>
              <w:t>c</w:t>
            </w:r>
            <w:r w:rsidRPr="009A5185">
              <w:rPr>
                <w:rFonts w:cs="Arial"/>
                <w:b/>
              </w:rPr>
              <w:t>)</w:t>
            </w:r>
            <w:r>
              <w:rPr>
                <w:rFonts w:cs="Arial"/>
                <w:b/>
              </w:rPr>
              <w:t xml:space="preserve"> </w:t>
            </w:r>
            <w:r w:rsidRPr="0014347B">
              <w:t xml:space="preserve">Total number of productive hours </w:t>
            </w:r>
            <w:r w:rsidRPr="003215C1">
              <w:t>worked by</w:t>
            </w:r>
            <w:r w:rsidRPr="0014347B">
              <w:rPr>
                <w:b/>
                <w:bCs/>
              </w:rPr>
              <w:t xml:space="preserve"> RN</w:t>
            </w:r>
            <w:r>
              <w:rPr>
                <w:b/>
                <w:bCs/>
              </w:rPr>
              <w:t xml:space="preserve"> nursing staff</w:t>
            </w:r>
            <w:r w:rsidRPr="0014347B">
              <w:t xml:space="preserve"> with direct patient care responsibilities</w:t>
            </w:r>
            <w:r>
              <w:t>:</w:t>
            </w:r>
          </w:p>
        </w:tc>
      </w:tr>
      <w:tr w:rsidR="00C64192" w:rsidRPr="009A5185" w14:paraId="4AF87C61" w14:textId="77777777" w:rsidTr="00D73F6A">
        <w:trPr>
          <w:jc w:val="center"/>
        </w:trPr>
        <w:tc>
          <w:tcPr>
            <w:tcW w:w="1435" w:type="dxa"/>
          </w:tcPr>
          <w:p w14:paraId="1119084E" w14:textId="77777777" w:rsidR="00C64192" w:rsidRPr="009A5185" w:rsidRDefault="00C64192" w:rsidP="00D73F6A">
            <w:pPr>
              <w:jc w:val="center"/>
              <w:rPr>
                <w:rFonts w:cs="Arial"/>
              </w:rPr>
            </w:pPr>
            <w:r>
              <w:rPr>
                <w:rFonts w:cs="Arial"/>
              </w:rPr>
              <w:t xml:space="preserve">Quarter 1 </w:t>
            </w:r>
          </w:p>
        </w:tc>
        <w:tc>
          <w:tcPr>
            <w:tcW w:w="2340" w:type="dxa"/>
            <w:vAlign w:val="center"/>
          </w:tcPr>
          <w:p w14:paraId="08604213" w14:textId="77777777" w:rsidR="00C64192" w:rsidRPr="009A5185" w:rsidRDefault="00C64192" w:rsidP="00D73F6A">
            <w:pPr>
              <w:ind w:left="360"/>
              <w:contextualSpacing/>
              <w:rPr>
                <w:rFonts w:cs="Arial"/>
                <w:b/>
              </w:rPr>
            </w:pPr>
          </w:p>
        </w:tc>
        <w:tc>
          <w:tcPr>
            <w:tcW w:w="2790" w:type="dxa"/>
            <w:vAlign w:val="center"/>
          </w:tcPr>
          <w:p w14:paraId="6FD38D0B" w14:textId="77777777" w:rsidR="00C64192" w:rsidRPr="009A5185" w:rsidRDefault="00C64192" w:rsidP="00D73F6A">
            <w:pPr>
              <w:ind w:left="360"/>
              <w:contextualSpacing/>
              <w:rPr>
                <w:rFonts w:cs="Arial"/>
                <w:b/>
              </w:rPr>
            </w:pPr>
          </w:p>
        </w:tc>
        <w:tc>
          <w:tcPr>
            <w:tcW w:w="2790" w:type="dxa"/>
          </w:tcPr>
          <w:p w14:paraId="21D6DD67" w14:textId="77777777" w:rsidR="00C64192" w:rsidRPr="009A5185" w:rsidRDefault="00C64192" w:rsidP="00D73F6A">
            <w:pPr>
              <w:ind w:left="360"/>
              <w:contextualSpacing/>
              <w:rPr>
                <w:rFonts w:cs="Arial"/>
                <w:b/>
              </w:rPr>
            </w:pPr>
          </w:p>
        </w:tc>
      </w:tr>
      <w:tr w:rsidR="00C64192" w:rsidRPr="009A5185" w14:paraId="671B836C" w14:textId="77777777" w:rsidTr="00D73F6A">
        <w:trPr>
          <w:jc w:val="center"/>
        </w:trPr>
        <w:tc>
          <w:tcPr>
            <w:tcW w:w="1435" w:type="dxa"/>
          </w:tcPr>
          <w:p w14:paraId="39C8656A" w14:textId="77777777" w:rsidR="00C64192" w:rsidRPr="009A5185" w:rsidRDefault="00C64192" w:rsidP="00D73F6A">
            <w:pPr>
              <w:jc w:val="center"/>
              <w:rPr>
                <w:rFonts w:cs="Arial"/>
              </w:rPr>
            </w:pPr>
            <w:r>
              <w:rPr>
                <w:rFonts w:cs="Arial"/>
              </w:rPr>
              <w:t xml:space="preserve">Quarter 2 </w:t>
            </w:r>
          </w:p>
        </w:tc>
        <w:tc>
          <w:tcPr>
            <w:tcW w:w="2340" w:type="dxa"/>
            <w:vAlign w:val="center"/>
          </w:tcPr>
          <w:p w14:paraId="57E7549F" w14:textId="77777777" w:rsidR="00C64192" w:rsidRPr="009A5185" w:rsidRDefault="00C64192" w:rsidP="00D73F6A">
            <w:pPr>
              <w:ind w:left="360"/>
              <w:contextualSpacing/>
              <w:rPr>
                <w:rFonts w:cs="Arial"/>
                <w:b/>
              </w:rPr>
            </w:pPr>
          </w:p>
        </w:tc>
        <w:tc>
          <w:tcPr>
            <w:tcW w:w="2790" w:type="dxa"/>
            <w:vAlign w:val="center"/>
          </w:tcPr>
          <w:p w14:paraId="60A62BAE" w14:textId="77777777" w:rsidR="00C64192" w:rsidRPr="009A5185" w:rsidRDefault="00C64192" w:rsidP="00D73F6A">
            <w:pPr>
              <w:ind w:left="360"/>
              <w:contextualSpacing/>
              <w:rPr>
                <w:rFonts w:cs="Arial"/>
                <w:b/>
              </w:rPr>
            </w:pPr>
          </w:p>
        </w:tc>
        <w:tc>
          <w:tcPr>
            <w:tcW w:w="2790" w:type="dxa"/>
          </w:tcPr>
          <w:p w14:paraId="61E69CD5" w14:textId="77777777" w:rsidR="00C64192" w:rsidRPr="009A5185" w:rsidRDefault="00C64192" w:rsidP="00D73F6A">
            <w:pPr>
              <w:ind w:left="360"/>
              <w:contextualSpacing/>
              <w:rPr>
                <w:rFonts w:cs="Arial"/>
                <w:b/>
              </w:rPr>
            </w:pPr>
          </w:p>
        </w:tc>
      </w:tr>
      <w:tr w:rsidR="00C64192" w:rsidRPr="009A5185" w14:paraId="5E0A681D" w14:textId="77777777" w:rsidTr="00D73F6A">
        <w:trPr>
          <w:jc w:val="center"/>
        </w:trPr>
        <w:tc>
          <w:tcPr>
            <w:tcW w:w="1435" w:type="dxa"/>
          </w:tcPr>
          <w:p w14:paraId="258DC397" w14:textId="77777777" w:rsidR="00C64192" w:rsidRPr="009A5185" w:rsidRDefault="00C64192" w:rsidP="00D73F6A">
            <w:pPr>
              <w:jc w:val="center"/>
              <w:rPr>
                <w:rFonts w:cs="Arial"/>
              </w:rPr>
            </w:pPr>
            <w:r>
              <w:rPr>
                <w:rFonts w:cs="Arial"/>
              </w:rPr>
              <w:t xml:space="preserve">Quarter 3 </w:t>
            </w:r>
          </w:p>
        </w:tc>
        <w:tc>
          <w:tcPr>
            <w:tcW w:w="2340" w:type="dxa"/>
            <w:vAlign w:val="center"/>
          </w:tcPr>
          <w:p w14:paraId="4A954D46" w14:textId="77777777" w:rsidR="00C64192" w:rsidRPr="009A5185" w:rsidRDefault="00C64192" w:rsidP="00D73F6A">
            <w:pPr>
              <w:ind w:left="360"/>
              <w:contextualSpacing/>
              <w:rPr>
                <w:rFonts w:cs="Arial"/>
                <w:b/>
              </w:rPr>
            </w:pPr>
          </w:p>
        </w:tc>
        <w:tc>
          <w:tcPr>
            <w:tcW w:w="2790" w:type="dxa"/>
            <w:vAlign w:val="center"/>
          </w:tcPr>
          <w:p w14:paraId="5CC252F7" w14:textId="77777777" w:rsidR="00C64192" w:rsidRPr="009A5185" w:rsidRDefault="00C64192" w:rsidP="00D73F6A">
            <w:pPr>
              <w:ind w:left="360"/>
              <w:contextualSpacing/>
              <w:rPr>
                <w:rFonts w:cs="Arial"/>
                <w:b/>
              </w:rPr>
            </w:pPr>
          </w:p>
        </w:tc>
        <w:tc>
          <w:tcPr>
            <w:tcW w:w="2790" w:type="dxa"/>
          </w:tcPr>
          <w:p w14:paraId="25F5B416" w14:textId="77777777" w:rsidR="00C64192" w:rsidRPr="009A5185" w:rsidRDefault="00C64192" w:rsidP="00D73F6A">
            <w:pPr>
              <w:ind w:left="360"/>
              <w:contextualSpacing/>
              <w:rPr>
                <w:rFonts w:cs="Arial"/>
                <w:b/>
              </w:rPr>
            </w:pPr>
          </w:p>
        </w:tc>
      </w:tr>
      <w:tr w:rsidR="00C64192" w:rsidRPr="009A5185" w14:paraId="2A5A5F4D" w14:textId="77777777" w:rsidTr="00D73F6A">
        <w:trPr>
          <w:jc w:val="center"/>
        </w:trPr>
        <w:tc>
          <w:tcPr>
            <w:tcW w:w="1435" w:type="dxa"/>
            <w:tcBorders>
              <w:bottom w:val="single" w:sz="4" w:space="0" w:color="auto"/>
            </w:tcBorders>
          </w:tcPr>
          <w:p w14:paraId="5048FC3F" w14:textId="77777777" w:rsidR="00C64192" w:rsidRPr="009A5185" w:rsidRDefault="00C64192" w:rsidP="00D73F6A">
            <w:pPr>
              <w:jc w:val="center"/>
              <w:rPr>
                <w:rFonts w:cs="Arial"/>
              </w:rPr>
            </w:pPr>
            <w:r>
              <w:rPr>
                <w:rFonts w:cs="Arial"/>
              </w:rPr>
              <w:t xml:space="preserve">Quarter 4 </w:t>
            </w:r>
          </w:p>
        </w:tc>
        <w:tc>
          <w:tcPr>
            <w:tcW w:w="2340" w:type="dxa"/>
            <w:vAlign w:val="center"/>
          </w:tcPr>
          <w:p w14:paraId="1B01E351" w14:textId="77777777" w:rsidR="00C64192" w:rsidRPr="009A5185" w:rsidRDefault="00C64192" w:rsidP="00D73F6A">
            <w:pPr>
              <w:ind w:left="360"/>
              <w:contextualSpacing/>
              <w:rPr>
                <w:rFonts w:cs="Arial"/>
                <w:b/>
              </w:rPr>
            </w:pPr>
          </w:p>
        </w:tc>
        <w:tc>
          <w:tcPr>
            <w:tcW w:w="2790" w:type="dxa"/>
            <w:vAlign w:val="center"/>
          </w:tcPr>
          <w:p w14:paraId="327A5984" w14:textId="77777777" w:rsidR="00C64192" w:rsidRPr="009A5185" w:rsidRDefault="00C64192" w:rsidP="00D73F6A">
            <w:pPr>
              <w:ind w:left="360"/>
              <w:contextualSpacing/>
              <w:rPr>
                <w:rFonts w:cs="Arial"/>
                <w:b/>
              </w:rPr>
            </w:pPr>
          </w:p>
        </w:tc>
        <w:tc>
          <w:tcPr>
            <w:tcW w:w="2790" w:type="dxa"/>
          </w:tcPr>
          <w:p w14:paraId="1AC8F48C" w14:textId="77777777" w:rsidR="00C64192" w:rsidRPr="009A5185" w:rsidRDefault="00C64192" w:rsidP="00D73F6A">
            <w:pPr>
              <w:ind w:left="360"/>
              <w:contextualSpacing/>
              <w:rPr>
                <w:rFonts w:cs="Arial"/>
                <w:b/>
              </w:rPr>
            </w:pPr>
          </w:p>
        </w:tc>
      </w:tr>
    </w:tbl>
    <w:p w14:paraId="67483F7B" w14:textId="77777777" w:rsidR="00C64192" w:rsidRDefault="00C64192" w:rsidP="00C64192"/>
    <w:p w14:paraId="1D7ABD9A" w14:textId="77777777" w:rsidR="0036420C" w:rsidRDefault="0036420C">
      <w:pPr>
        <w:rPr>
          <w:rFonts w:cs="Arial"/>
          <w:b/>
          <w:snapToGrid w:val="0"/>
          <w:u w:val="single"/>
        </w:rPr>
      </w:pPr>
      <w:r>
        <w:rPr>
          <w:rFonts w:cs="Arial"/>
          <w:b/>
          <w:snapToGrid w:val="0"/>
          <w:u w:val="single"/>
        </w:rPr>
        <w:br w:type="page"/>
      </w:r>
    </w:p>
    <w:p w14:paraId="6193470F" w14:textId="754970D6" w:rsidR="00246335" w:rsidRPr="00F32E47" w:rsidRDefault="00246335" w:rsidP="00246335">
      <w:pPr>
        <w:rPr>
          <w:rFonts w:cs="Arial"/>
          <w:b/>
          <w:i/>
          <w:iCs/>
          <w:snapToGrid w:val="0"/>
        </w:rPr>
      </w:pPr>
      <w:r w:rsidRPr="00F32E47">
        <w:rPr>
          <w:rFonts w:cs="Arial"/>
          <w:b/>
          <w:i/>
          <w:iCs/>
          <w:snapToGrid w:val="0"/>
        </w:rPr>
        <w:lastRenderedPageBreak/>
        <w:t>Additional Questions (Optional – Fact-Finding Only)</w:t>
      </w:r>
    </w:p>
    <w:p w14:paraId="613B46CE" w14:textId="77777777" w:rsidR="00856A72" w:rsidRDefault="00856A72" w:rsidP="00856A72"/>
    <w:tbl>
      <w:tblPr>
        <w:tblStyle w:val="TableGrid"/>
        <w:tblW w:w="0" w:type="auto"/>
        <w:tblLook w:val="04A0" w:firstRow="1" w:lastRow="0" w:firstColumn="1" w:lastColumn="0" w:noHBand="0" w:noVBand="1"/>
      </w:tblPr>
      <w:tblGrid>
        <w:gridCol w:w="6115"/>
        <w:gridCol w:w="3235"/>
      </w:tblGrid>
      <w:tr w:rsidR="00856A72" w14:paraId="384F8DE1" w14:textId="77777777" w:rsidTr="003D4E7F">
        <w:tc>
          <w:tcPr>
            <w:tcW w:w="6115" w:type="dxa"/>
          </w:tcPr>
          <w:p w14:paraId="3A1833DD" w14:textId="04BBE145" w:rsidR="00856A72" w:rsidRDefault="00856A72" w:rsidP="003D4E7F">
            <w:pPr>
              <w:pStyle w:val="ListParagraph"/>
              <w:numPr>
                <w:ilvl w:val="0"/>
                <w:numId w:val="147"/>
              </w:numPr>
            </w:pPr>
            <w:r w:rsidRPr="00D4708D">
              <w:t xml:space="preserve">Does your hospital currently </w:t>
            </w:r>
            <w:r>
              <w:t>utilize</w:t>
            </w:r>
            <w:r w:rsidRPr="00D4708D">
              <w:t xml:space="preserve"> </w:t>
            </w:r>
            <w:hyperlink w:anchor="virtualnursingFAQ" w:history="1">
              <w:r w:rsidRPr="00695713">
                <w:rPr>
                  <w:rStyle w:val="Hyperlink"/>
                </w:rPr>
                <w:t>virtual nursing</w:t>
              </w:r>
            </w:hyperlink>
            <w:r>
              <w:t xml:space="preserve"> to perform direct patient care responsibilities in the units from questions </w:t>
            </w:r>
            <w:r w:rsidR="00020BD8">
              <w:t>#</w:t>
            </w:r>
            <w:r>
              <w:t>4-1</w:t>
            </w:r>
            <w:r w:rsidR="00020BD8">
              <w:t>1</w:t>
            </w:r>
            <w:r w:rsidRPr="00D4708D">
              <w:t>?</w:t>
            </w:r>
          </w:p>
          <w:p w14:paraId="4D8A75C2" w14:textId="77777777" w:rsidR="00856A72" w:rsidRPr="000629B5" w:rsidRDefault="00856A72" w:rsidP="003D4E7F">
            <w:pPr>
              <w:rPr>
                <w:i/>
                <w:iCs/>
              </w:rPr>
            </w:pPr>
          </w:p>
        </w:tc>
        <w:tc>
          <w:tcPr>
            <w:tcW w:w="3235" w:type="dxa"/>
          </w:tcPr>
          <w:p w14:paraId="53D47076" w14:textId="77777777" w:rsidR="00856A72" w:rsidRPr="00586186" w:rsidRDefault="00856A72" w:rsidP="003D4E7F">
            <w:pPr>
              <w:pStyle w:val="ListParagraph"/>
              <w:numPr>
                <w:ilvl w:val="0"/>
                <w:numId w:val="357"/>
              </w:numPr>
              <w:rPr>
                <w:rFonts w:cs="Arial"/>
                <w:iCs/>
              </w:rPr>
            </w:pPr>
            <w:r w:rsidRPr="00586186">
              <w:rPr>
                <w:rFonts w:cs="Arial"/>
                <w:iCs/>
              </w:rPr>
              <w:t>Yes</w:t>
            </w:r>
          </w:p>
          <w:p w14:paraId="17EB48AB" w14:textId="77777777" w:rsidR="00856A72" w:rsidRDefault="00856A72" w:rsidP="003D4E7F">
            <w:pPr>
              <w:pStyle w:val="ListParagraph"/>
              <w:numPr>
                <w:ilvl w:val="0"/>
                <w:numId w:val="357"/>
              </w:numPr>
            </w:pPr>
            <w:r w:rsidRPr="00A0211B">
              <w:rPr>
                <w:rFonts w:cs="Arial"/>
                <w:iCs/>
              </w:rPr>
              <w:t>No</w:t>
            </w:r>
          </w:p>
        </w:tc>
      </w:tr>
    </w:tbl>
    <w:p w14:paraId="6A19F645" w14:textId="77777777" w:rsidR="00246335" w:rsidRDefault="00246335" w:rsidP="00246335">
      <w:pPr>
        <w:rPr>
          <w:rFonts w:cs="Arial"/>
          <w:b/>
          <w:snapToGrid w:val="0"/>
          <w:u w:val="single"/>
        </w:rPr>
      </w:pPr>
    </w:p>
    <w:p w14:paraId="27230A02" w14:textId="77777777" w:rsidR="00387813" w:rsidRDefault="00D373C5" w:rsidP="00D373C5">
      <w:pPr>
        <w:rPr>
          <w:rFonts w:cs="Arial"/>
          <w:bCs/>
          <w:snapToGrid w:val="0"/>
        </w:rPr>
      </w:pPr>
      <w:r w:rsidRPr="00B43438">
        <w:rPr>
          <w:rFonts w:cs="Arial"/>
          <w:bCs/>
          <w:snapToGrid w:val="0"/>
        </w:rPr>
        <w:t xml:space="preserve">Hospitals </w:t>
      </w:r>
      <w:r>
        <w:rPr>
          <w:rFonts w:cs="Arial"/>
          <w:bCs/>
          <w:snapToGrid w:val="0"/>
        </w:rPr>
        <w:t>that operate</w:t>
      </w:r>
      <w:r w:rsidRPr="00B43438">
        <w:rPr>
          <w:rFonts w:cs="Arial"/>
          <w:bCs/>
          <w:snapToGrid w:val="0"/>
        </w:rPr>
        <w:t xml:space="preserve"> Adult or Pediatric </w:t>
      </w:r>
      <w:r w:rsidRPr="00C51EE9">
        <w:rPr>
          <w:rFonts w:cs="Arial"/>
          <w:b/>
          <w:snapToGrid w:val="0"/>
          <w:u w:val="single"/>
        </w:rPr>
        <w:t>Single</w:t>
      </w:r>
      <w:r w:rsidRPr="00B43438">
        <w:rPr>
          <w:rFonts w:cs="Arial"/>
          <w:bCs/>
          <w:snapToGrid w:val="0"/>
        </w:rPr>
        <w:t xml:space="preserve"> Acuity Medical, Surgical, or Med-Surg Units will be scored and publicly reported based on questions #4, #6, and/or #8. </w:t>
      </w:r>
    </w:p>
    <w:p w14:paraId="44BA1370" w14:textId="77777777" w:rsidR="00387813" w:rsidRDefault="00387813" w:rsidP="00D373C5">
      <w:pPr>
        <w:rPr>
          <w:rFonts w:cs="Arial"/>
          <w:bCs/>
          <w:snapToGrid w:val="0"/>
        </w:rPr>
      </w:pPr>
    </w:p>
    <w:p w14:paraId="795CE62B" w14:textId="7C9E07ED" w:rsidR="00D373C5" w:rsidRPr="00B43438" w:rsidRDefault="00D373C5" w:rsidP="00D373C5">
      <w:pPr>
        <w:rPr>
          <w:rFonts w:cs="Arial"/>
          <w:bCs/>
          <w:snapToGrid w:val="0"/>
        </w:rPr>
      </w:pPr>
      <w:r w:rsidRPr="00B43438">
        <w:rPr>
          <w:rFonts w:cs="Arial"/>
          <w:bCs/>
          <w:snapToGrid w:val="0"/>
        </w:rPr>
        <w:t>Reporting on Mixed Acuity units in question #1</w:t>
      </w:r>
      <w:r w:rsidR="00387813">
        <w:rPr>
          <w:rFonts w:cs="Arial"/>
          <w:bCs/>
          <w:snapToGrid w:val="0"/>
        </w:rPr>
        <w:t>4</w:t>
      </w:r>
      <w:r w:rsidRPr="00B43438">
        <w:rPr>
          <w:rFonts w:cs="Arial"/>
          <w:bCs/>
          <w:snapToGrid w:val="0"/>
        </w:rPr>
        <w:t xml:space="preserve"> is optional and</w:t>
      </w:r>
      <w:r w:rsidR="00032821">
        <w:rPr>
          <w:rFonts w:cs="Arial"/>
          <w:bCs/>
          <w:snapToGrid w:val="0"/>
        </w:rPr>
        <w:t xml:space="preserve"> responses</w:t>
      </w:r>
      <w:r w:rsidRPr="00B43438">
        <w:rPr>
          <w:rFonts w:cs="Arial"/>
          <w:bCs/>
          <w:snapToGrid w:val="0"/>
        </w:rPr>
        <w:t xml:space="preserve"> will not be scored or publicly reported in 2026</w:t>
      </w:r>
      <w:r>
        <w:rPr>
          <w:rFonts w:cs="Arial"/>
          <w:bCs/>
          <w:snapToGrid w:val="0"/>
        </w:rPr>
        <w:t>; however, responses will be used</w:t>
      </w:r>
      <w:r w:rsidRPr="00B43438">
        <w:rPr>
          <w:rFonts w:cs="Arial"/>
          <w:bCs/>
          <w:snapToGrid w:val="0"/>
        </w:rPr>
        <w:t xml:space="preserve"> </w:t>
      </w:r>
      <w:r>
        <w:rPr>
          <w:rFonts w:cs="Arial"/>
          <w:bCs/>
          <w:snapToGrid w:val="0"/>
        </w:rPr>
        <w:t xml:space="preserve">to inform </w:t>
      </w:r>
      <w:r w:rsidRPr="00B43438">
        <w:rPr>
          <w:rFonts w:cs="Arial"/>
          <w:bCs/>
          <w:snapToGrid w:val="0"/>
        </w:rPr>
        <w:t xml:space="preserve">potential updates for 2027. </w:t>
      </w:r>
    </w:p>
    <w:p w14:paraId="5B91B1B6" w14:textId="77777777" w:rsidR="00246335" w:rsidRPr="00D373C5" w:rsidRDefault="00246335" w:rsidP="00246335"/>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2340"/>
        <w:gridCol w:w="2790"/>
        <w:gridCol w:w="2790"/>
      </w:tblGrid>
      <w:tr w:rsidR="00246335" w:rsidRPr="00D64551" w14:paraId="40157EA1" w14:textId="77777777" w:rsidTr="003962CE">
        <w:trPr>
          <w:trHeight w:val="576"/>
          <w:jc w:val="center"/>
        </w:trPr>
        <w:tc>
          <w:tcPr>
            <w:tcW w:w="9355" w:type="dxa"/>
            <w:gridSpan w:val="4"/>
            <w:vAlign w:val="center"/>
          </w:tcPr>
          <w:p w14:paraId="6EF4CAD0" w14:textId="480C1910" w:rsidR="00246335" w:rsidRPr="00D64551" w:rsidRDefault="00246335" w:rsidP="0031621B">
            <w:pPr>
              <w:numPr>
                <w:ilvl w:val="0"/>
                <w:numId w:val="147"/>
              </w:numPr>
              <w:contextualSpacing/>
              <w:rPr>
                <w:rFonts w:cs="Arial"/>
                <w:i/>
                <w:snapToGrid w:val="0"/>
              </w:rPr>
            </w:pPr>
            <w:r w:rsidRPr="00D64551">
              <w:rPr>
                <w:rFonts w:cs="Arial"/>
              </w:rPr>
              <w:t>Enter your hospital’s responses for each quarter for all adult and pediatric</w:t>
            </w:r>
            <w:r w:rsidRPr="00D64551">
              <w:t xml:space="preserve"> </w:t>
            </w:r>
            <w:hyperlink w:anchor="mixedacuityspecs" w:history="1">
              <w:r w:rsidRPr="00902076">
                <w:rPr>
                  <w:rStyle w:val="Hyperlink"/>
                </w:rPr>
                <w:t>mixed acuity Medical, Surgical, and Med-Surg Units</w:t>
              </w:r>
            </w:hyperlink>
            <w:r w:rsidRPr="00D64551">
              <w:t xml:space="preserve"> for the reporting period selected in question #1: </w:t>
            </w:r>
          </w:p>
        </w:tc>
      </w:tr>
      <w:tr w:rsidR="00246335" w:rsidRPr="00D64551" w14:paraId="492A982C" w14:textId="77777777" w:rsidTr="003962CE">
        <w:trPr>
          <w:trHeight w:val="576"/>
          <w:jc w:val="center"/>
        </w:trPr>
        <w:tc>
          <w:tcPr>
            <w:tcW w:w="1435" w:type="dxa"/>
            <w:vAlign w:val="center"/>
          </w:tcPr>
          <w:p w14:paraId="13A7C414" w14:textId="77777777" w:rsidR="00246335" w:rsidRPr="00D64551" w:rsidRDefault="00246335" w:rsidP="003962CE">
            <w:pPr>
              <w:contextualSpacing/>
              <w:rPr>
                <w:rFonts w:cs="Arial"/>
                <w:bCs/>
              </w:rPr>
            </w:pPr>
          </w:p>
        </w:tc>
        <w:tc>
          <w:tcPr>
            <w:tcW w:w="2340" w:type="dxa"/>
          </w:tcPr>
          <w:p w14:paraId="2619E1B9" w14:textId="77777777" w:rsidR="00246335" w:rsidRPr="00D64551" w:rsidRDefault="00246335" w:rsidP="003962CE">
            <w:pPr>
              <w:rPr>
                <w:rFonts w:cs="Calibri"/>
                <w:bCs/>
                <w:iCs/>
              </w:rPr>
            </w:pPr>
            <w:r w:rsidRPr="00D64551">
              <w:rPr>
                <w:rFonts w:cs="Arial"/>
                <w:b/>
              </w:rPr>
              <w:t xml:space="preserve">(a) </w:t>
            </w:r>
            <w:r w:rsidRPr="00D64551">
              <w:t xml:space="preserve">Total number of </w:t>
            </w:r>
            <w:r w:rsidRPr="00D64551">
              <w:rPr>
                <w:rFonts w:cs="Calibri"/>
                <w:bCs/>
                <w:iCs/>
              </w:rPr>
              <w:t>patient days:</w:t>
            </w:r>
          </w:p>
          <w:p w14:paraId="49F5415C" w14:textId="77777777" w:rsidR="00246335" w:rsidRPr="00D64551" w:rsidRDefault="00246335" w:rsidP="003962CE"/>
          <w:p w14:paraId="60D94761" w14:textId="77777777" w:rsidR="00246335" w:rsidRPr="00D64551" w:rsidRDefault="00246335" w:rsidP="003962CE">
            <w:pPr>
              <w:contextualSpacing/>
              <w:rPr>
                <w:rFonts w:cs="Arial"/>
                <w:bCs/>
              </w:rPr>
            </w:pPr>
          </w:p>
        </w:tc>
        <w:tc>
          <w:tcPr>
            <w:tcW w:w="2790" w:type="dxa"/>
          </w:tcPr>
          <w:p w14:paraId="0A942FBB" w14:textId="77777777" w:rsidR="00246335" w:rsidRPr="00D64551" w:rsidRDefault="00246335" w:rsidP="003962CE">
            <w:pPr>
              <w:contextualSpacing/>
              <w:rPr>
                <w:rFonts w:cs="Arial"/>
                <w:b/>
              </w:rPr>
            </w:pPr>
            <w:r w:rsidRPr="00D64551">
              <w:rPr>
                <w:rFonts w:cs="Arial"/>
                <w:b/>
              </w:rPr>
              <w:t xml:space="preserve">(b) </w:t>
            </w:r>
            <w:r w:rsidRPr="00D64551">
              <w:t xml:space="preserve">Total number of productive hours worked by employed and contracted </w:t>
            </w:r>
            <w:r w:rsidRPr="00D64551">
              <w:rPr>
                <w:b/>
                <w:bCs/>
              </w:rPr>
              <w:t>nursing staff (RN, LPN/LVN, and UAP)</w:t>
            </w:r>
            <w:r w:rsidRPr="00D64551">
              <w:t xml:space="preserve"> with direct patient care responsibilities:</w:t>
            </w:r>
          </w:p>
        </w:tc>
        <w:tc>
          <w:tcPr>
            <w:tcW w:w="2790" w:type="dxa"/>
          </w:tcPr>
          <w:p w14:paraId="71F7C417" w14:textId="77777777" w:rsidR="00246335" w:rsidRPr="00D64551" w:rsidRDefault="00246335" w:rsidP="003962CE">
            <w:pPr>
              <w:contextualSpacing/>
              <w:rPr>
                <w:rFonts w:cs="Arial"/>
                <w:b/>
              </w:rPr>
            </w:pPr>
            <w:r w:rsidRPr="00D64551">
              <w:rPr>
                <w:rFonts w:cs="Arial"/>
                <w:b/>
              </w:rPr>
              <w:t xml:space="preserve">(c) </w:t>
            </w:r>
            <w:r w:rsidRPr="00D64551">
              <w:t>Total number of productive hours worked by</w:t>
            </w:r>
            <w:r w:rsidRPr="00D64551">
              <w:rPr>
                <w:b/>
                <w:bCs/>
              </w:rPr>
              <w:t xml:space="preserve"> RN nursing staff</w:t>
            </w:r>
            <w:r w:rsidRPr="00D64551">
              <w:t xml:space="preserve"> with direct patient care responsibilities:</w:t>
            </w:r>
          </w:p>
        </w:tc>
      </w:tr>
      <w:tr w:rsidR="00246335" w:rsidRPr="00D64551" w14:paraId="2DBC4D06" w14:textId="77777777" w:rsidTr="003962CE">
        <w:trPr>
          <w:jc w:val="center"/>
        </w:trPr>
        <w:tc>
          <w:tcPr>
            <w:tcW w:w="1435" w:type="dxa"/>
          </w:tcPr>
          <w:p w14:paraId="021CA688" w14:textId="77777777" w:rsidR="00246335" w:rsidRPr="00D64551" w:rsidRDefault="00246335" w:rsidP="003962CE">
            <w:pPr>
              <w:jc w:val="center"/>
              <w:rPr>
                <w:rFonts w:cs="Arial"/>
              </w:rPr>
            </w:pPr>
            <w:r w:rsidRPr="00D64551">
              <w:rPr>
                <w:rFonts w:cs="Arial"/>
              </w:rPr>
              <w:t xml:space="preserve">Quarter 1 </w:t>
            </w:r>
          </w:p>
        </w:tc>
        <w:tc>
          <w:tcPr>
            <w:tcW w:w="2340" w:type="dxa"/>
            <w:vAlign w:val="center"/>
          </w:tcPr>
          <w:p w14:paraId="202D5B04" w14:textId="77777777" w:rsidR="00246335" w:rsidRPr="00D64551" w:rsidRDefault="00246335" w:rsidP="003962CE">
            <w:pPr>
              <w:ind w:left="360"/>
              <w:contextualSpacing/>
              <w:rPr>
                <w:rFonts w:cs="Arial"/>
                <w:b/>
              </w:rPr>
            </w:pPr>
          </w:p>
        </w:tc>
        <w:tc>
          <w:tcPr>
            <w:tcW w:w="2790" w:type="dxa"/>
            <w:vAlign w:val="center"/>
          </w:tcPr>
          <w:p w14:paraId="0709775C" w14:textId="77777777" w:rsidR="00246335" w:rsidRPr="00D64551" w:rsidRDefault="00246335" w:rsidP="003962CE">
            <w:pPr>
              <w:ind w:left="360"/>
              <w:contextualSpacing/>
              <w:rPr>
                <w:rFonts w:cs="Arial"/>
                <w:b/>
              </w:rPr>
            </w:pPr>
          </w:p>
        </w:tc>
        <w:tc>
          <w:tcPr>
            <w:tcW w:w="2790" w:type="dxa"/>
          </w:tcPr>
          <w:p w14:paraId="1134B2CE" w14:textId="77777777" w:rsidR="00246335" w:rsidRPr="00D64551" w:rsidRDefault="00246335" w:rsidP="003962CE">
            <w:pPr>
              <w:ind w:left="360"/>
              <w:contextualSpacing/>
              <w:rPr>
                <w:rFonts w:cs="Arial"/>
                <w:b/>
              </w:rPr>
            </w:pPr>
          </w:p>
        </w:tc>
      </w:tr>
      <w:tr w:rsidR="00246335" w:rsidRPr="00D64551" w14:paraId="505ED334" w14:textId="77777777" w:rsidTr="003962CE">
        <w:trPr>
          <w:jc w:val="center"/>
        </w:trPr>
        <w:tc>
          <w:tcPr>
            <w:tcW w:w="1435" w:type="dxa"/>
          </w:tcPr>
          <w:p w14:paraId="2BE39DE5" w14:textId="77777777" w:rsidR="00246335" w:rsidRPr="00D64551" w:rsidRDefault="00246335" w:rsidP="003962CE">
            <w:pPr>
              <w:jc w:val="center"/>
              <w:rPr>
                <w:rFonts w:cs="Arial"/>
              </w:rPr>
            </w:pPr>
            <w:r w:rsidRPr="00D64551">
              <w:rPr>
                <w:rFonts w:cs="Arial"/>
              </w:rPr>
              <w:t xml:space="preserve">Quarter 2 </w:t>
            </w:r>
          </w:p>
        </w:tc>
        <w:tc>
          <w:tcPr>
            <w:tcW w:w="2340" w:type="dxa"/>
            <w:vAlign w:val="center"/>
          </w:tcPr>
          <w:p w14:paraId="562D354E" w14:textId="77777777" w:rsidR="00246335" w:rsidRPr="00D64551" w:rsidRDefault="00246335" w:rsidP="003962CE">
            <w:pPr>
              <w:ind w:left="360"/>
              <w:contextualSpacing/>
              <w:rPr>
                <w:rFonts w:cs="Arial"/>
                <w:b/>
              </w:rPr>
            </w:pPr>
          </w:p>
        </w:tc>
        <w:tc>
          <w:tcPr>
            <w:tcW w:w="2790" w:type="dxa"/>
            <w:vAlign w:val="center"/>
          </w:tcPr>
          <w:p w14:paraId="1F62C662" w14:textId="77777777" w:rsidR="00246335" w:rsidRPr="00D64551" w:rsidRDefault="00246335" w:rsidP="003962CE">
            <w:pPr>
              <w:ind w:left="360"/>
              <w:contextualSpacing/>
              <w:rPr>
                <w:rFonts w:cs="Arial"/>
                <w:b/>
              </w:rPr>
            </w:pPr>
          </w:p>
        </w:tc>
        <w:tc>
          <w:tcPr>
            <w:tcW w:w="2790" w:type="dxa"/>
          </w:tcPr>
          <w:p w14:paraId="2B61574C" w14:textId="77777777" w:rsidR="00246335" w:rsidRPr="00D64551" w:rsidRDefault="00246335" w:rsidP="003962CE">
            <w:pPr>
              <w:ind w:left="360"/>
              <w:contextualSpacing/>
              <w:rPr>
                <w:rFonts w:cs="Arial"/>
                <w:b/>
              </w:rPr>
            </w:pPr>
          </w:p>
        </w:tc>
      </w:tr>
      <w:tr w:rsidR="00246335" w:rsidRPr="00D64551" w14:paraId="71528004" w14:textId="77777777" w:rsidTr="003962CE">
        <w:trPr>
          <w:jc w:val="center"/>
        </w:trPr>
        <w:tc>
          <w:tcPr>
            <w:tcW w:w="1435" w:type="dxa"/>
          </w:tcPr>
          <w:p w14:paraId="60D94E80" w14:textId="77777777" w:rsidR="00246335" w:rsidRPr="00D64551" w:rsidRDefault="00246335" w:rsidP="003962CE">
            <w:pPr>
              <w:jc w:val="center"/>
              <w:rPr>
                <w:rFonts w:cs="Arial"/>
              </w:rPr>
            </w:pPr>
            <w:r w:rsidRPr="00D64551">
              <w:rPr>
                <w:rFonts w:cs="Arial"/>
              </w:rPr>
              <w:t xml:space="preserve">Quarter 3 </w:t>
            </w:r>
          </w:p>
        </w:tc>
        <w:tc>
          <w:tcPr>
            <w:tcW w:w="2340" w:type="dxa"/>
            <w:vAlign w:val="center"/>
          </w:tcPr>
          <w:p w14:paraId="0BA571D3" w14:textId="77777777" w:rsidR="00246335" w:rsidRPr="00D64551" w:rsidRDefault="00246335" w:rsidP="003962CE">
            <w:pPr>
              <w:ind w:left="360"/>
              <w:contextualSpacing/>
              <w:rPr>
                <w:rFonts w:cs="Arial"/>
                <w:b/>
              </w:rPr>
            </w:pPr>
          </w:p>
        </w:tc>
        <w:tc>
          <w:tcPr>
            <w:tcW w:w="2790" w:type="dxa"/>
            <w:vAlign w:val="center"/>
          </w:tcPr>
          <w:p w14:paraId="650C5FA7" w14:textId="77777777" w:rsidR="00246335" w:rsidRPr="00D64551" w:rsidRDefault="00246335" w:rsidP="003962CE">
            <w:pPr>
              <w:ind w:left="360"/>
              <w:contextualSpacing/>
              <w:rPr>
                <w:rFonts w:cs="Arial"/>
                <w:b/>
              </w:rPr>
            </w:pPr>
          </w:p>
        </w:tc>
        <w:tc>
          <w:tcPr>
            <w:tcW w:w="2790" w:type="dxa"/>
          </w:tcPr>
          <w:p w14:paraId="26BE65C2" w14:textId="77777777" w:rsidR="00246335" w:rsidRPr="00D64551" w:rsidRDefault="00246335" w:rsidP="003962CE">
            <w:pPr>
              <w:ind w:left="360"/>
              <w:contextualSpacing/>
              <w:rPr>
                <w:rFonts w:cs="Arial"/>
                <w:b/>
              </w:rPr>
            </w:pPr>
          </w:p>
        </w:tc>
      </w:tr>
      <w:tr w:rsidR="00246335" w:rsidRPr="00D64551" w14:paraId="5F8934C7" w14:textId="77777777" w:rsidTr="003962CE">
        <w:trPr>
          <w:jc w:val="center"/>
        </w:trPr>
        <w:tc>
          <w:tcPr>
            <w:tcW w:w="1435" w:type="dxa"/>
            <w:tcBorders>
              <w:bottom w:val="single" w:sz="4" w:space="0" w:color="auto"/>
            </w:tcBorders>
          </w:tcPr>
          <w:p w14:paraId="050610AB" w14:textId="77777777" w:rsidR="00246335" w:rsidRPr="00D64551" w:rsidRDefault="00246335" w:rsidP="003962CE">
            <w:pPr>
              <w:jc w:val="center"/>
              <w:rPr>
                <w:rFonts w:cs="Arial"/>
              </w:rPr>
            </w:pPr>
            <w:r w:rsidRPr="00D64551">
              <w:rPr>
                <w:rFonts w:cs="Arial"/>
              </w:rPr>
              <w:t xml:space="preserve">Quarter 4 </w:t>
            </w:r>
          </w:p>
        </w:tc>
        <w:tc>
          <w:tcPr>
            <w:tcW w:w="2340" w:type="dxa"/>
            <w:vAlign w:val="center"/>
          </w:tcPr>
          <w:p w14:paraId="54BA234C" w14:textId="77777777" w:rsidR="00246335" w:rsidRPr="00D64551" w:rsidRDefault="00246335" w:rsidP="003962CE">
            <w:pPr>
              <w:ind w:left="360"/>
              <w:contextualSpacing/>
              <w:rPr>
                <w:rFonts w:cs="Arial"/>
                <w:b/>
              </w:rPr>
            </w:pPr>
          </w:p>
        </w:tc>
        <w:tc>
          <w:tcPr>
            <w:tcW w:w="2790" w:type="dxa"/>
            <w:vAlign w:val="center"/>
          </w:tcPr>
          <w:p w14:paraId="03E8F6C6" w14:textId="77777777" w:rsidR="00246335" w:rsidRPr="00D64551" w:rsidRDefault="00246335" w:rsidP="003962CE">
            <w:pPr>
              <w:ind w:left="360"/>
              <w:contextualSpacing/>
              <w:rPr>
                <w:rFonts w:cs="Arial"/>
                <w:b/>
              </w:rPr>
            </w:pPr>
          </w:p>
        </w:tc>
        <w:tc>
          <w:tcPr>
            <w:tcW w:w="2790" w:type="dxa"/>
          </w:tcPr>
          <w:p w14:paraId="1B4FCD71" w14:textId="77777777" w:rsidR="00246335" w:rsidRPr="00D64551" w:rsidRDefault="00246335" w:rsidP="003962CE">
            <w:pPr>
              <w:ind w:left="360"/>
              <w:contextualSpacing/>
              <w:rPr>
                <w:rFonts w:cs="Arial"/>
                <w:b/>
              </w:rPr>
            </w:pPr>
          </w:p>
        </w:tc>
      </w:tr>
    </w:tbl>
    <w:p w14:paraId="2242A1F3" w14:textId="77777777" w:rsidR="0020086B" w:rsidRDefault="0020086B" w:rsidP="00C64192"/>
    <w:p w14:paraId="374617C2" w14:textId="21D17839" w:rsidR="003C1B1C" w:rsidRDefault="003C1B1C">
      <w:pPr>
        <w:rPr>
          <w:rFonts w:cs="Arial"/>
          <w:b/>
          <w:snapToGrid w:val="0"/>
          <w:color w:val="000000"/>
        </w:rPr>
      </w:pPr>
      <w:r>
        <w:rPr>
          <w:rFonts w:cs="Arial"/>
          <w:b/>
          <w:snapToGrid w:val="0"/>
          <w:color w:val="000000"/>
        </w:rPr>
        <w:br w:type="page"/>
      </w:r>
    </w:p>
    <w:p w14:paraId="7BFDE311" w14:textId="77777777" w:rsidR="00BD4BA0" w:rsidRPr="009A5185" w:rsidRDefault="00BD4BA0" w:rsidP="00AE0EA7">
      <w:pPr>
        <w:rPr>
          <w:rFonts w:cs="Arial"/>
          <w:b/>
          <w:snapToGrid w:val="0"/>
          <w:color w:val="000000"/>
        </w:rPr>
      </w:pPr>
    </w:p>
    <w:p w14:paraId="5299D82C" w14:textId="77777777" w:rsidR="00C64192" w:rsidRDefault="00C64192" w:rsidP="00AB5B80">
      <w:pPr>
        <w:pStyle w:val="Heading3"/>
      </w:pPr>
      <w:bookmarkStart w:id="426" w:name="_Toc225877753"/>
      <w:r>
        <w:t>NQF Safe Practice #9 – Nursing Workforce</w:t>
      </w:r>
      <w:bookmarkEnd w:id="426"/>
      <w:r>
        <w:t xml:space="preserve"> </w:t>
      </w:r>
    </w:p>
    <w:p w14:paraId="7306EFAA" w14:textId="77777777" w:rsidR="00C64192" w:rsidRPr="00357E20" w:rsidRDefault="00C64192" w:rsidP="00C64192">
      <w:pPr>
        <w:rPr>
          <w:b/>
          <w:snapToGrid w:val="0"/>
          <w:color w:val="000000"/>
          <w:sz w:val="16"/>
          <w:szCs w:val="16"/>
        </w:rPr>
      </w:pPr>
    </w:p>
    <w:p w14:paraId="6C254B3C" w14:textId="0B4A78E9" w:rsidR="00C64192" w:rsidRDefault="00C64192" w:rsidP="00C64192">
      <w:pPr>
        <w:rPr>
          <w:bCs/>
        </w:rPr>
      </w:pPr>
      <w:r w:rsidRPr="00722F1B">
        <w:rPr>
          <w:b/>
          <w:bCs/>
          <w:color w:val="FF0000"/>
        </w:rPr>
        <w:t>Important Note:</w:t>
      </w:r>
      <w:r>
        <w:rPr>
          <w:b/>
          <w:bCs/>
          <w:color w:val="FF0000"/>
        </w:rPr>
        <w:t xml:space="preserve"> </w:t>
      </w:r>
      <w:r w:rsidRPr="00722F1B">
        <w:rPr>
          <w:bCs/>
        </w:rPr>
        <w:t xml:space="preserve">Hyperlinks </w:t>
      </w:r>
      <w:r>
        <w:rPr>
          <w:bCs/>
        </w:rPr>
        <w:t>in</w:t>
      </w:r>
      <w:r w:rsidRPr="00722F1B">
        <w:rPr>
          <w:bCs/>
        </w:rPr>
        <w:t xml:space="preserve"> </w:t>
      </w:r>
      <w:r>
        <w:rPr>
          <w:bCs/>
        </w:rPr>
        <w:t>question #16</w:t>
      </w:r>
      <w:r w:rsidRPr="00722F1B">
        <w:rPr>
          <w:bCs/>
        </w:rPr>
        <w:t xml:space="preserve"> refer to </w:t>
      </w:r>
      <w:r>
        <w:rPr>
          <w:bCs/>
        </w:rPr>
        <w:t xml:space="preserve">the </w:t>
      </w:r>
      <w:hyperlink w:anchor="_Patient_Safety_Practices_2" w:history="1">
        <w:r>
          <w:rPr>
            <w:rStyle w:val="Hyperlink"/>
            <w:bCs/>
          </w:rPr>
          <w:t>Patient Safety Practices FAQs</w:t>
        </w:r>
      </w:hyperlink>
      <w:r>
        <w:rPr>
          <w:bCs/>
        </w:rPr>
        <w:t xml:space="preserve"> </w:t>
      </w:r>
      <w:r>
        <w:rPr>
          <w:rFonts w:cs="Arial"/>
        </w:rPr>
        <w:t>beginning on page</w:t>
      </w:r>
      <w:r w:rsidR="00230744">
        <w:rPr>
          <w:rFonts w:cs="Arial"/>
        </w:rPr>
        <w:t xml:space="preserve"> 2</w:t>
      </w:r>
      <w:r w:rsidR="00923BFC">
        <w:rPr>
          <w:rFonts w:cs="Arial"/>
        </w:rPr>
        <w:t>50</w:t>
      </w:r>
      <w:r>
        <w:rPr>
          <w:rFonts w:cs="Arial"/>
        </w:rPr>
        <w:t xml:space="preserve">, </w:t>
      </w:r>
      <w:r w:rsidRPr="00722F1B">
        <w:rPr>
          <w:bCs/>
        </w:rPr>
        <w:t>not to endnotes. These hyperlinks are not include</w:t>
      </w:r>
      <w:r>
        <w:rPr>
          <w:bCs/>
        </w:rPr>
        <w:t>d in the Online Survey Tool</w:t>
      </w:r>
      <w:r w:rsidRPr="004A60F9">
        <w:rPr>
          <w:bCs/>
        </w:rPr>
        <w:t>.</w:t>
      </w:r>
    </w:p>
    <w:p w14:paraId="6DC42E03" w14:textId="77777777" w:rsidR="00C64192" w:rsidRPr="00357E20" w:rsidRDefault="00C64192" w:rsidP="00C64192">
      <w:pPr>
        <w:rPr>
          <w:bCs/>
          <w:sz w:val="16"/>
          <w:szCs w:val="16"/>
        </w:rPr>
      </w:pPr>
    </w:p>
    <w:p w14:paraId="1A26149D" w14:textId="2B88B9E9" w:rsidR="00C64192" w:rsidRPr="00B22B26" w:rsidRDefault="00C64192" w:rsidP="00C64192">
      <w:pPr>
        <w:rPr>
          <w:b/>
          <w:bCs/>
          <w:color w:val="FF0000"/>
        </w:rPr>
      </w:pPr>
      <w:r>
        <w:rPr>
          <w:rFonts w:cs="Arial"/>
          <w:b/>
          <w:snapToGrid w:val="0"/>
        </w:rPr>
        <w:t>Specifications:</w:t>
      </w:r>
      <w:r>
        <w:rPr>
          <w:rFonts w:cs="Arial"/>
          <w:snapToGrid w:val="0"/>
        </w:rPr>
        <w:t xml:space="preserve"> See </w:t>
      </w:r>
      <w:hyperlink w:anchor="_NQF_Safe_Practice" w:history="1">
        <w:r>
          <w:rPr>
            <w:rStyle w:val="Hyperlink"/>
            <w:rFonts w:cs="Arial"/>
            <w:b/>
            <w:i/>
          </w:rPr>
          <w:t>NQF Safe Practice Measure Specifications</w:t>
        </w:r>
      </w:hyperlink>
      <w:r>
        <w:rPr>
          <w:rFonts w:cs="Arial"/>
        </w:rPr>
        <w:t xml:space="preserve"> </w:t>
      </w:r>
      <w:r>
        <w:rPr>
          <w:rFonts w:cs="Arial"/>
          <w:snapToGrid w:val="0"/>
        </w:rPr>
        <w:t xml:space="preserve">in the Reference Information </w:t>
      </w:r>
      <w:r>
        <w:rPr>
          <w:rFonts w:cs="Arial"/>
        </w:rPr>
        <w:t>beginning on page</w:t>
      </w:r>
      <w:r w:rsidR="00121131">
        <w:rPr>
          <w:rFonts w:cs="Arial"/>
        </w:rPr>
        <w:t xml:space="preserve"> 2</w:t>
      </w:r>
      <w:r w:rsidR="003C22ED">
        <w:rPr>
          <w:rFonts w:cs="Arial"/>
        </w:rPr>
        <w:t>12</w:t>
      </w:r>
      <w:r>
        <w:rPr>
          <w:rFonts w:cs="Arial"/>
        </w:rPr>
        <w:t>.</w:t>
      </w:r>
    </w:p>
    <w:p w14:paraId="41F197B0" w14:textId="77777777" w:rsidR="00C64192" w:rsidRPr="00357E20" w:rsidRDefault="00C64192" w:rsidP="00C64192">
      <w:pPr>
        <w:rPr>
          <w:sz w:val="16"/>
          <w:szCs w:val="16"/>
        </w:rPr>
      </w:pPr>
    </w:p>
    <w:tbl>
      <w:tblPr>
        <w:tblStyle w:val="TableGrid"/>
        <w:tblW w:w="0" w:type="auto"/>
        <w:tblLook w:val="04A0" w:firstRow="1" w:lastRow="0" w:firstColumn="1" w:lastColumn="0" w:noHBand="0" w:noVBand="1"/>
      </w:tblPr>
      <w:tblGrid>
        <w:gridCol w:w="4855"/>
        <w:gridCol w:w="4495"/>
      </w:tblGrid>
      <w:tr w:rsidR="00C64192" w:rsidRPr="00C645E0" w14:paraId="2928B630" w14:textId="77777777" w:rsidTr="00D73F6A">
        <w:trPr>
          <w:trHeight w:val="3456"/>
        </w:trPr>
        <w:tc>
          <w:tcPr>
            <w:tcW w:w="4855" w:type="dxa"/>
            <w:vAlign w:val="center"/>
          </w:tcPr>
          <w:p w14:paraId="6C550DCE" w14:textId="04001ECB" w:rsidR="00C64192" w:rsidRPr="00761677" w:rsidRDefault="00C64192" w:rsidP="00F3455B">
            <w:pPr>
              <w:pStyle w:val="ListParagraph"/>
              <w:numPr>
                <w:ilvl w:val="0"/>
                <w:numId w:val="147"/>
              </w:numPr>
              <w:rPr>
                <w:bCs/>
              </w:rPr>
            </w:pPr>
            <w:r w:rsidRPr="00761677">
              <w:rPr>
                <w:bCs/>
              </w:rPr>
              <w:t>Is your hospital currently recognized as an American Nurses Credentialing Center (ANCC) Magnet</w:t>
            </w:r>
            <w:r w:rsidRPr="00761677">
              <w:rPr>
                <w:bCs/>
                <w:vertAlign w:val="superscript"/>
              </w:rPr>
              <w:t>®</w:t>
            </w:r>
            <w:r w:rsidRPr="00761677">
              <w:rPr>
                <w:bCs/>
              </w:rPr>
              <w:t xml:space="preserve"> organization or a 2020 </w:t>
            </w:r>
            <w:r w:rsidR="000C4D22">
              <w:rPr>
                <w:bCs/>
              </w:rPr>
              <w:t xml:space="preserve">or 2024 </w:t>
            </w:r>
            <w:r w:rsidRPr="00761677">
              <w:rPr>
                <w:bCs/>
              </w:rPr>
              <w:t>Pathway to Excellence</w:t>
            </w:r>
            <w:r w:rsidRPr="00761677">
              <w:rPr>
                <w:bCs/>
                <w:vertAlign w:val="superscript"/>
              </w:rPr>
              <w:t>®</w:t>
            </w:r>
            <w:r w:rsidRPr="00761677">
              <w:rPr>
                <w:bCs/>
              </w:rPr>
              <w:t xml:space="preserve"> organization? </w:t>
            </w:r>
          </w:p>
          <w:p w14:paraId="15FF93FF" w14:textId="77777777" w:rsidR="00C64192" w:rsidRPr="00761677" w:rsidRDefault="00C64192" w:rsidP="00D73F6A">
            <w:pPr>
              <w:pStyle w:val="ListParagraph"/>
              <w:ind w:left="360"/>
              <w:rPr>
                <w:bCs/>
              </w:rPr>
            </w:pPr>
          </w:p>
          <w:p w14:paraId="08DD505E" w14:textId="6514BB14" w:rsidR="00C64192" w:rsidRDefault="00C64192" w:rsidP="00D73F6A">
            <w:pPr>
              <w:ind w:left="420"/>
              <w:rPr>
                <w:bCs/>
                <w:i/>
              </w:rPr>
            </w:pPr>
            <w:r w:rsidRPr="00761677">
              <w:rPr>
                <w:bCs/>
                <w:i/>
              </w:rPr>
              <w:t>If “yes,</w:t>
            </w:r>
            <w:r w:rsidRPr="00761677">
              <w:rPr>
                <w:rFonts w:cs="Arial"/>
                <w:bCs/>
                <w:i/>
                <w:iCs/>
              </w:rPr>
              <w:t xml:space="preserve"> our hospital is a current American Nurses Credentialing Center (ANCC) Magnet</w:t>
            </w:r>
            <w:r w:rsidRPr="00761677">
              <w:rPr>
                <w:rFonts w:cs="Arial"/>
                <w:bCs/>
                <w:i/>
                <w:iCs/>
                <w:vertAlign w:val="superscript"/>
              </w:rPr>
              <w:t xml:space="preserve">® </w:t>
            </w:r>
            <w:r w:rsidRPr="00761677">
              <w:rPr>
                <w:rFonts w:cs="Arial"/>
                <w:bCs/>
                <w:i/>
                <w:iCs/>
              </w:rPr>
              <w:t>organization</w:t>
            </w:r>
            <w:r w:rsidRPr="00761677">
              <w:rPr>
                <w:bCs/>
                <w:i/>
              </w:rPr>
              <w:t xml:space="preserve">” or “yes, </w:t>
            </w:r>
            <w:r w:rsidRPr="00761677">
              <w:rPr>
                <w:rFonts w:cs="Arial"/>
                <w:bCs/>
                <w:i/>
                <w:iCs/>
              </w:rPr>
              <w:t>our hospital is a 2020</w:t>
            </w:r>
            <w:r w:rsidR="000C4D22">
              <w:rPr>
                <w:rFonts w:cs="Arial"/>
                <w:bCs/>
                <w:i/>
                <w:iCs/>
              </w:rPr>
              <w:t xml:space="preserve"> or 2024</w:t>
            </w:r>
            <w:r>
              <w:rPr>
                <w:rFonts w:cs="Arial"/>
                <w:bCs/>
                <w:i/>
                <w:iCs/>
              </w:rPr>
              <w:t xml:space="preserve"> </w:t>
            </w:r>
            <w:r w:rsidRPr="00761677">
              <w:rPr>
                <w:rFonts w:cs="Arial"/>
                <w:bCs/>
                <w:i/>
                <w:iCs/>
              </w:rPr>
              <w:t>Pathway to Excellence</w:t>
            </w:r>
            <w:r w:rsidRPr="00761677">
              <w:rPr>
                <w:rFonts w:cs="Arial"/>
                <w:bCs/>
                <w:i/>
                <w:iCs/>
                <w:vertAlign w:val="superscript"/>
              </w:rPr>
              <w:t>®</w:t>
            </w:r>
            <w:r w:rsidRPr="00761677">
              <w:rPr>
                <w:rFonts w:cs="Arial"/>
                <w:bCs/>
                <w:i/>
                <w:iCs/>
              </w:rPr>
              <w:t xml:space="preserve"> organization</w:t>
            </w:r>
            <w:r>
              <w:rPr>
                <w:rFonts w:cs="Arial"/>
                <w:bCs/>
                <w:i/>
                <w:iCs/>
              </w:rPr>
              <w:t>,</w:t>
            </w:r>
            <w:r w:rsidRPr="00761677">
              <w:rPr>
                <w:rFonts w:cs="Arial"/>
                <w:bCs/>
                <w:i/>
                <w:iCs/>
              </w:rPr>
              <w:t>”</w:t>
            </w:r>
            <w:r w:rsidRPr="00761677">
              <w:rPr>
                <w:bCs/>
                <w:i/>
              </w:rPr>
              <w:t xml:space="preserve"> skip question </w:t>
            </w:r>
            <w:r>
              <w:rPr>
                <w:bCs/>
                <w:i/>
              </w:rPr>
              <w:t>#</w:t>
            </w:r>
            <w:r w:rsidRPr="00761677">
              <w:rPr>
                <w:bCs/>
                <w:i/>
              </w:rPr>
              <w:t>1</w:t>
            </w:r>
            <w:r>
              <w:rPr>
                <w:bCs/>
                <w:i/>
              </w:rPr>
              <w:t>6</w:t>
            </w:r>
            <w:r w:rsidRPr="00761677">
              <w:rPr>
                <w:bCs/>
                <w:i/>
              </w:rPr>
              <w:t>, and</w:t>
            </w:r>
            <w:r w:rsidRPr="00761677">
              <w:rPr>
                <w:i/>
                <w:iCs/>
              </w:rPr>
              <w:t xml:space="preserve"> continue to </w:t>
            </w:r>
            <w:r>
              <w:rPr>
                <w:i/>
                <w:iCs/>
              </w:rPr>
              <w:t>question #17.</w:t>
            </w:r>
          </w:p>
          <w:p w14:paraId="2D60D880" w14:textId="77777777" w:rsidR="00C64192" w:rsidRDefault="00C64192" w:rsidP="00D73F6A">
            <w:pPr>
              <w:ind w:left="420"/>
              <w:rPr>
                <w:bCs/>
                <w:i/>
              </w:rPr>
            </w:pPr>
          </w:p>
          <w:p w14:paraId="775E82BC" w14:textId="288DD143" w:rsidR="00C64192" w:rsidRPr="007F6335" w:rsidRDefault="00C64192" w:rsidP="00D73F6A">
            <w:pPr>
              <w:ind w:left="420"/>
              <w:rPr>
                <w:bCs/>
                <w:i/>
              </w:rPr>
            </w:pPr>
            <w:r>
              <w:rPr>
                <w:bCs/>
                <w:i/>
              </w:rPr>
              <w:t>Pathway to Excellence</w:t>
            </w:r>
            <w:r w:rsidRPr="00C66B2E">
              <w:rPr>
                <w:bCs/>
                <w:i/>
                <w:vertAlign w:val="superscript"/>
              </w:rPr>
              <w:t>®</w:t>
            </w:r>
            <w:r>
              <w:rPr>
                <w:bCs/>
                <w:i/>
              </w:rPr>
              <w:t xml:space="preserve"> h</w:t>
            </w:r>
            <w:r w:rsidRPr="000E506A">
              <w:rPr>
                <w:bCs/>
                <w:i/>
              </w:rPr>
              <w:t xml:space="preserve">ospitals that </w:t>
            </w:r>
            <w:r>
              <w:rPr>
                <w:bCs/>
                <w:i/>
              </w:rPr>
              <w:t>have not received either the 2020</w:t>
            </w:r>
            <w:r w:rsidR="00703EAD">
              <w:rPr>
                <w:bCs/>
                <w:i/>
              </w:rPr>
              <w:t xml:space="preserve"> or 2024</w:t>
            </w:r>
            <w:r>
              <w:rPr>
                <w:bCs/>
                <w:i/>
              </w:rPr>
              <w:t xml:space="preserve"> designation must select “no.” </w:t>
            </w:r>
          </w:p>
        </w:tc>
        <w:tc>
          <w:tcPr>
            <w:tcW w:w="4495" w:type="dxa"/>
            <w:tcBorders>
              <w:bottom w:val="single" w:sz="4" w:space="0" w:color="auto"/>
            </w:tcBorders>
            <w:vAlign w:val="center"/>
          </w:tcPr>
          <w:p w14:paraId="7FCA5723" w14:textId="77777777" w:rsidR="00C64192" w:rsidRPr="00C8246A" w:rsidRDefault="00C64192" w:rsidP="00AD309C">
            <w:pPr>
              <w:pStyle w:val="ListParagraph"/>
              <w:numPr>
                <w:ilvl w:val="0"/>
                <w:numId w:val="356"/>
              </w:numPr>
              <w:rPr>
                <w:rFonts w:cs="Arial"/>
                <w:bCs/>
              </w:rPr>
            </w:pPr>
            <w:r w:rsidRPr="00C8246A">
              <w:t>Yes</w:t>
            </w:r>
            <w:r w:rsidRPr="00C8246A">
              <w:rPr>
                <w:rFonts w:cs="Arial"/>
                <w:bCs/>
              </w:rPr>
              <w:t>, our hospital is a current American Nurses Credentialing Center (ANCC) Magnet</w:t>
            </w:r>
            <w:r w:rsidRPr="00C8246A">
              <w:rPr>
                <w:rFonts w:cs="Arial"/>
                <w:bCs/>
                <w:vertAlign w:val="superscript"/>
              </w:rPr>
              <w:t xml:space="preserve">® </w:t>
            </w:r>
            <w:r w:rsidRPr="00C8246A">
              <w:rPr>
                <w:rFonts w:cs="Arial"/>
                <w:bCs/>
              </w:rPr>
              <w:t>organization</w:t>
            </w:r>
          </w:p>
          <w:p w14:paraId="107DC8D6" w14:textId="62049544" w:rsidR="00C64192" w:rsidRPr="004B1BBF" w:rsidRDefault="00C64192" w:rsidP="00AD309C">
            <w:pPr>
              <w:pStyle w:val="ListParagraph"/>
              <w:numPr>
                <w:ilvl w:val="0"/>
                <w:numId w:val="356"/>
              </w:numPr>
              <w:rPr>
                <w:rFonts w:cs="Arial"/>
                <w:bCs/>
              </w:rPr>
            </w:pPr>
            <w:r w:rsidRPr="00C8246A">
              <w:rPr>
                <w:rFonts w:cs="Arial"/>
                <w:bCs/>
              </w:rPr>
              <w:t>Yes, our hospital is a 2020</w:t>
            </w:r>
            <w:r>
              <w:rPr>
                <w:rFonts w:cs="Arial"/>
                <w:bCs/>
              </w:rPr>
              <w:t xml:space="preserve"> </w:t>
            </w:r>
            <w:r w:rsidR="000C4D22">
              <w:rPr>
                <w:rFonts w:cs="Arial"/>
                <w:bCs/>
              </w:rPr>
              <w:t xml:space="preserve">or 2024 </w:t>
            </w:r>
            <w:r w:rsidRPr="00C8246A">
              <w:rPr>
                <w:rFonts w:cs="Arial"/>
                <w:bCs/>
              </w:rPr>
              <w:t>Pathway to Excellence</w:t>
            </w:r>
            <w:r w:rsidRPr="00C8246A">
              <w:rPr>
                <w:rFonts w:cs="Arial"/>
                <w:bCs/>
                <w:vertAlign w:val="superscript"/>
              </w:rPr>
              <w:t>®</w:t>
            </w:r>
            <w:r w:rsidRPr="00C8246A">
              <w:rPr>
                <w:rFonts w:cs="Arial"/>
                <w:bCs/>
              </w:rPr>
              <w:t xml:space="preserve"> organization</w:t>
            </w:r>
          </w:p>
          <w:p w14:paraId="448E7B9B" w14:textId="77777777" w:rsidR="00C64192" w:rsidRPr="00C8246A" w:rsidRDefault="00C64192" w:rsidP="00AD309C">
            <w:pPr>
              <w:pStyle w:val="ListParagraph"/>
              <w:numPr>
                <w:ilvl w:val="0"/>
                <w:numId w:val="356"/>
              </w:numPr>
              <w:rPr>
                <w:rFonts w:cs="Arial"/>
                <w:bCs/>
              </w:rPr>
            </w:pPr>
            <w:r w:rsidRPr="00C8246A">
              <w:t>No</w:t>
            </w:r>
          </w:p>
        </w:tc>
      </w:tr>
      <w:tr w:rsidR="00C64192" w:rsidRPr="00C645E0" w14:paraId="10AD44A1" w14:textId="77777777" w:rsidTr="00D73F6A">
        <w:trPr>
          <w:trHeight w:val="576"/>
        </w:trPr>
        <w:tc>
          <w:tcPr>
            <w:tcW w:w="9350" w:type="dxa"/>
            <w:gridSpan w:val="2"/>
            <w:tcBorders>
              <w:right w:val="single" w:sz="4" w:space="0" w:color="auto"/>
            </w:tcBorders>
            <w:vAlign w:val="center"/>
          </w:tcPr>
          <w:p w14:paraId="19E210DA" w14:textId="77777777" w:rsidR="00C64192" w:rsidRPr="007F6335" w:rsidRDefault="00C64192" w:rsidP="00F3455B">
            <w:pPr>
              <w:pStyle w:val="ListParagraph"/>
              <w:numPr>
                <w:ilvl w:val="0"/>
                <w:numId w:val="147"/>
              </w:numPr>
              <w:rPr>
                <w:bCs/>
              </w:rPr>
            </w:pPr>
            <w:r w:rsidRPr="00761677">
              <w:rPr>
                <w:bCs/>
              </w:rPr>
              <w:t xml:space="preserve">Within the last 12 months, </w:t>
            </w:r>
            <w:r>
              <w:rPr>
                <w:bCs/>
              </w:rPr>
              <w:t>to ensure</w:t>
            </w:r>
            <w:r w:rsidRPr="00761677">
              <w:rPr>
                <w:bCs/>
              </w:rPr>
              <w:t xml:space="preserve"> adequate and competent nursing staff service and nursing leadership at all levels, our organization has: </w:t>
            </w:r>
          </w:p>
        </w:tc>
      </w:tr>
      <w:tr w:rsidR="00C64192" w:rsidRPr="00C645E0" w14:paraId="4D151C3C" w14:textId="77777777" w:rsidTr="00D73F6A">
        <w:trPr>
          <w:trHeight w:val="1008"/>
        </w:trPr>
        <w:tc>
          <w:tcPr>
            <w:tcW w:w="4855" w:type="dxa"/>
            <w:vAlign w:val="center"/>
          </w:tcPr>
          <w:p w14:paraId="622E8843" w14:textId="77777777" w:rsidR="00C64192" w:rsidRPr="00761677" w:rsidRDefault="00C64192" w:rsidP="00F3455B">
            <w:pPr>
              <w:pStyle w:val="ListParagraph"/>
              <w:numPr>
                <w:ilvl w:val="1"/>
                <w:numId w:val="147"/>
              </w:numPr>
              <w:rPr>
                <w:bCs/>
              </w:rPr>
            </w:pPr>
            <w:r w:rsidRPr="00761677">
              <w:rPr>
                <w:bCs/>
              </w:rPr>
              <w:t xml:space="preserve">held </w:t>
            </w:r>
            <w:hyperlink w:anchor="NursingLeadership" w:history="1">
              <w:r w:rsidRPr="001016AE">
                <w:rPr>
                  <w:rStyle w:val="Hyperlink"/>
                  <w:bCs/>
                </w:rPr>
                <w:t>nursing leadership</w:t>
              </w:r>
            </w:hyperlink>
            <w:r w:rsidRPr="00761677">
              <w:rPr>
                <w:bCs/>
              </w:rPr>
              <w:t xml:space="preserve"> directly accountable for improvements in performance through performance reviews or compensation.</w:t>
            </w:r>
          </w:p>
        </w:tc>
        <w:tc>
          <w:tcPr>
            <w:tcW w:w="4495" w:type="dxa"/>
            <w:tcBorders>
              <w:top w:val="single" w:sz="4" w:space="0" w:color="auto"/>
              <w:bottom w:val="single" w:sz="4" w:space="0" w:color="auto"/>
            </w:tcBorders>
            <w:vAlign w:val="center"/>
          </w:tcPr>
          <w:p w14:paraId="2E2E5FE3"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Yes</w:t>
            </w:r>
          </w:p>
          <w:p w14:paraId="4421505F"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No</w:t>
            </w:r>
          </w:p>
        </w:tc>
      </w:tr>
      <w:tr w:rsidR="00C64192" w:rsidRPr="00C645E0" w14:paraId="7A75415B" w14:textId="77777777" w:rsidTr="00D73F6A">
        <w:trPr>
          <w:trHeight w:val="720"/>
        </w:trPr>
        <w:tc>
          <w:tcPr>
            <w:tcW w:w="4855" w:type="dxa"/>
            <w:vAlign w:val="center"/>
          </w:tcPr>
          <w:p w14:paraId="3DE90DD4" w14:textId="77777777" w:rsidR="00C64192" w:rsidRPr="00761677" w:rsidRDefault="00C64192" w:rsidP="00F3455B">
            <w:pPr>
              <w:pStyle w:val="ListParagraph"/>
              <w:numPr>
                <w:ilvl w:val="1"/>
                <w:numId w:val="147"/>
              </w:numPr>
              <w:rPr>
                <w:bCs/>
              </w:rPr>
            </w:pPr>
            <w:r w:rsidRPr="00761677">
              <w:rPr>
                <w:bCs/>
              </w:rPr>
              <w:t xml:space="preserve">included </w:t>
            </w:r>
            <w:hyperlink w:anchor="NursingLeadership" w:history="1">
              <w:r w:rsidRPr="00761677">
                <w:rPr>
                  <w:rStyle w:val="Hyperlink"/>
                  <w:bCs/>
                </w:rPr>
                <w:t>nursing leadership</w:t>
              </w:r>
            </w:hyperlink>
            <w:r w:rsidRPr="00761677">
              <w:rPr>
                <w:bCs/>
              </w:rPr>
              <w:t xml:space="preserve"> as part of the hospital </w:t>
            </w:r>
            <w:hyperlink w:anchor="SeniorAdministrativeLeadership" w:history="1">
              <w:r w:rsidRPr="00761677">
                <w:rPr>
                  <w:rStyle w:val="Hyperlink"/>
                  <w:bCs/>
                </w:rPr>
                <w:t>senior administrative leadership team</w:t>
              </w:r>
            </w:hyperlink>
            <w:r w:rsidRPr="00761677">
              <w:rPr>
                <w:rStyle w:val="Hyperlink"/>
                <w:bCs/>
              </w:rPr>
              <w:t>.</w:t>
            </w:r>
          </w:p>
        </w:tc>
        <w:tc>
          <w:tcPr>
            <w:tcW w:w="4495" w:type="dxa"/>
            <w:tcBorders>
              <w:bottom w:val="single" w:sz="4" w:space="0" w:color="auto"/>
            </w:tcBorders>
            <w:vAlign w:val="center"/>
          </w:tcPr>
          <w:p w14:paraId="30C4444D"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Yes</w:t>
            </w:r>
          </w:p>
          <w:p w14:paraId="747CFFFB"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No</w:t>
            </w:r>
          </w:p>
        </w:tc>
      </w:tr>
      <w:tr w:rsidR="00C64192" w:rsidRPr="00C645E0" w14:paraId="1149EE15" w14:textId="77777777" w:rsidTr="00D73F6A">
        <w:trPr>
          <w:trHeight w:val="1296"/>
        </w:trPr>
        <w:tc>
          <w:tcPr>
            <w:tcW w:w="4855" w:type="dxa"/>
            <w:vAlign w:val="center"/>
          </w:tcPr>
          <w:p w14:paraId="7F5945F4" w14:textId="77777777" w:rsidR="00C64192" w:rsidRPr="00761677" w:rsidRDefault="00C64192" w:rsidP="00F3455B">
            <w:pPr>
              <w:pStyle w:val="ListParagraph"/>
              <w:numPr>
                <w:ilvl w:val="1"/>
                <w:numId w:val="147"/>
              </w:numPr>
              <w:rPr>
                <w:bCs/>
              </w:rPr>
            </w:pPr>
            <w:r w:rsidRPr="00761677">
              <w:rPr>
                <w:bCs/>
              </w:rPr>
              <w:t xml:space="preserve">held the </w:t>
            </w:r>
            <w:hyperlink w:anchor="Board" w:history="1">
              <w:r w:rsidRPr="00761677">
                <w:rPr>
                  <w:rStyle w:val="Hyperlink"/>
                  <w:bCs/>
                </w:rPr>
                <w:t>board</w:t>
              </w:r>
            </w:hyperlink>
            <w:r w:rsidRPr="00761677">
              <w:rPr>
                <w:bCs/>
              </w:rPr>
              <w:t xml:space="preserve"> (governance) and </w:t>
            </w:r>
            <w:hyperlink w:anchor="SeniorAdministrativeLeadership" w:history="1">
              <w:r w:rsidRPr="00761677">
                <w:rPr>
                  <w:rStyle w:val="Hyperlink"/>
                  <w:bCs/>
                </w:rPr>
                <w:t>senior administrative leadership</w:t>
              </w:r>
            </w:hyperlink>
            <w:r w:rsidRPr="00761677">
              <w:rPr>
                <w:bCs/>
              </w:rPr>
              <w:t xml:space="preserve"> accountable for the provision of financial resources to ensure adequate nurse staffing levels.</w:t>
            </w:r>
          </w:p>
        </w:tc>
        <w:tc>
          <w:tcPr>
            <w:tcW w:w="4495" w:type="dxa"/>
            <w:tcBorders>
              <w:top w:val="single" w:sz="4" w:space="0" w:color="auto"/>
            </w:tcBorders>
            <w:vAlign w:val="center"/>
          </w:tcPr>
          <w:p w14:paraId="1EDD9243"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Yes</w:t>
            </w:r>
          </w:p>
          <w:p w14:paraId="3540C81E"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No</w:t>
            </w:r>
          </w:p>
        </w:tc>
      </w:tr>
      <w:tr w:rsidR="00C64192" w:rsidRPr="00C645E0" w14:paraId="3FB9791E" w14:textId="77777777" w:rsidTr="00D73F6A">
        <w:trPr>
          <w:trHeight w:val="720"/>
        </w:trPr>
        <w:tc>
          <w:tcPr>
            <w:tcW w:w="4855" w:type="dxa"/>
            <w:vAlign w:val="center"/>
          </w:tcPr>
          <w:p w14:paraId="5C3F6488" w14:textId="77777777" w:rsidR="00C64192" w:rsidRPr="00761677" w:rsidRDefault="00C64192" w:rsidP="00F3455B">
            <w:pPr>
              <w:pStyle w:val="ListParagraph"/>
              <w:numPr>
                <w:ilvl w:val="1"/>
                <w:numId w:val="147"/>
              </w:numPr>
            </w:pPr>
            <w:hyperlink w:anchor="Budget" w:history="1">
              <w:r w:rsidRPr="00761677">
                <w:rPr>
                  <w:rStyle w:val="Hyperlink"/>
                </w:rPr>
                <w:t>budgeted</w:t>
              </w:r>
            </w:hyperlink>
            <w:r w:rsidRPr="00761677">
              <w:t xml:space="preserve"> financial resources for balancing staffing levels and skill levels to improve performance.</w:t>
            </w:r>
          </w:p>
        </w:tc>
        <w:tc>
          <w:tcPr>
            <w:tcW w:w="4495" w:type="dxa"/>
            <w:vAlign w:val="center"/>
          </w:tcPr>
          <w:p w14:paraId="0700AB7F"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Yes</w:t>
            </w:r>
          </w:p>
          <w:p w14:paraId="3FBFE4CE"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No</w:t>
            </w:r>
          </w:p>
        </w:tc>
      </w:tr>
      <w:tr w:rsidR="00C64192" w:rsidRPr="00C645E0" w14:paraId="308E2FA1" w14:textId="77777777" w:rsidTr="00D73F6A">
        <w:trPr>
          <w:trHeight w:val="1008"/>
        </w:trPr>
        <w:tc>
          <w:tcPr>
            <w:tcW w:w="4855" w:type="dxa"/>
            <w:vAlign w:val="center"/>
          </w:tcPr>
          <w:p w14:paraId="49685C46" w14:textId="50E080AE" w:rsidR="00C64192" w:rsidRPr="00761677" w:rsidRDefault="00C64192" w:rsidP="00F3455B">
            <w:pPr>
              <w:pStyle w:val="ListParagraph"/>
              <w:numPr>
                <w:ilvl w:val="1"/>
                <w:numId w:val="147"/>
              </w:numPr>
              <w:rPr>
                <w:bCs/>
              </w:rPr>
            </w:pPr>
            <w:r w:rsidRPr="00761677">
              <w:rPr>
                <w:bCs/>
              </w:rPr>
              <w:t xml:space="preserve">developed a </w:t>
            </w:r>
            <w:hyperlink w:anchor="staffingplan_5cfaq" w:history="1">
              <w:r w:rsidRPr="00761677">
                <w:rPr>
                  <w:rStyle w:val="Hyperlink"/>
                  <w:bCs/>
                </w:rPr>
                <w:t>staffing plan</w:t>
              </w:r>
            </w:hyperlink>
            <w:r w:rsidRPr="00761677">
              <w:rPr>
                <w:bCs/>
              </w:rPr>
              <w:t>, with input from nurses, to ensure that adequate nursing staff-to-patient ratios are achieved.</w:t>
            </w:r>
          </w:p>
        </w:tc>
        <w:tc>
          <w:tcPr>
            <w:tcW w:w="4495" w:type="dxa"/>
            <w:vAlign w:val="center"/>
          </w:tcPr>
          <w:p w14:paraId="43A8C43E"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Yes</w:t>
            </w:r>
          </w:p>
          <w:p w14:paraId="3C7D5E0F" w14:textId="77777777" w:rsidR="00C64192" w:rsidRPr="00C8246A" w:rsidRDefault="00C64192" w:rsidP="00AD309C">
            <w:pPr>
              <w:pStyle w:val="ListParagraph"/>
              <w:numPr>
                <w:ilvl w:val="0"/>
                <w:numId w:val="355"/>
              </w:numPr>
              <w:rPr>
                <w:rFonts w:cs="Arial"/>
                <w:iCs/>
                <w:snapToGrid w:val="0"/>
              </w:rPr>
            </w:pPr>
            <w:r w:rsidRPr="00C8246A">
              <w:rPr>
                <w:rFonts w:cs="Arial"/>
                <w:iCs/>
                <w:snapToGrid w:val="0"/>
              </w:rPr>
              <w:t>No</w:t>
            </w:r>
          </w:p>
        </w:tc>
      </w:tr>
    </w:tbl>
    <w:p w14:paraId="59C60695" w14:textId="77777777" w:rsidR="00C64192" w:rsidRDefault="00C64192" w:rsidP="00C64192"/>
    <w:p w14:paraId="1CF76CD4" w14:textId="77777777" w:rsidR="00C64192" w:rsidRDefault="00C64192" w:rsidP="00C64192"/>
    <w:p w14:paraId="5B16CDAA" w14:textId="77777777" w:rsidR="00C64192" w:rsidRDefault="00C64192" w:rsidP="00C64192"/>
    <w:p w14:paraId="14DCEBFF" w14:textId="77777777" w:rsidR="00C64192" w:rsidRDefault="00C64192" w:rsidP="00C64192"/>
    <w:p w14:paraId="7A564510" w14:textId="77777777" w:rsidR="00C64192" w:rsidRDefault="00C64192" w:rsidP="00C64192"/>
    <w:p w14:paraId="5AA47630" w14:textId="77777777" w:rsidR="00C64192" w:rsidRDefault="00C64192" w:rsidP="00C64192"/>
    <w:p w14:paraId="7257078B" w14:textId="77777777" w:rsidR="00C64192" w:rsidRDefault="00C64192" w:rsidP="00C64192"/>
    <w:p w14:paraId="0FC96638" w14:textId="77777777" w:rsidR="00C64192" w:rsidRDefault="00C64192" w:rsidP="00C64192"/>
    <w:p w14:paraId="3C633C99" w14:textId="77777777" w:rsidR="00C64192" w:rsidRDefault="00C64192" w:rsidP="00C64192"/>
    <w:p w14:paraId="461893A5" w14:textId="77777777" w:rsidR="00C64192" w:rsidRDefault="00C64192" w:rsidP="00C64192"/>
    <w:p w14:paraId="37E50785" w14:textId="619E02DC" w:rsidR="00A267E4" w:rsidRDefault="00A267E4">
      <w:r>
        <w:br w:type="page"/>
      </w:r>
    </w:p>
    <w:p w14:paraId="05E099A0" w14:textId="77777777" w:rsidR="00C64192" w:rsidRDefault="00C64192" w:rsidP="00C64192"/>
    <w:p w14:paraId="685E4657" w14:textId="77777777" w:rsidR="00C64192" w:rsidRDefault="00C64192" w:rsidP="00AB5B80">
      <w:pPr>
        <w:pStyle w:val="Heading3"/>
      </w:pPr>
      <w:bookmarkStart w:id="427" w:name="_Toc225877754"/>
      <w:r>
        <w:t>Percentage of RNs who are BSN-Prepared</w:t>
      </w:r>
      <w:bookmarkEnd w:id="427"/>
    </w:p>
    <w:p w14:paraId="03BD6D52" w14:textId="77777777" w:rsidR="00C64192" w:rsidRDefault="00C64192" w:rsidP="00C64192"/>
    <w:p w14:paraId="1517A3FB" w14:textId="0E078CB0" w:rsidR="00C64192" w:rsidRDefault="00C64192" w:rsidP="00C64192">
      <w:r>
        <w:rPr>
          <w:rFonts w:cs="Arial"/>
          <w:b/>
          <w:snapToGrid w:val="0"/>
        </w:rPr>
        <w:t>Specifications:</w:t>
      </w:r>
      <w:r>
        <w:rPr>
          <w:rFonts w:cs="Arial"/>
          <w:snapToGrid w:val="0"/>
        </w:rPr>
        <w:t xml:space="preserve"> See </w:t>
      </w:r>
      <w:hyperlink w:anchor="bsnspecs" w:history="1">
        <w:r>
          <w:rPr>
            <w:rStyle w:val="Hyperlink"/>
            <w:rFonts w:cs="Arial"/>
            <w:b/>
            <w:i/>
          </w:rPr>
          <w:t>Nursing Workforce Measure Specifications</w:t>
        </w:r>
      </w:hyperlink>
      <w:r>
        <w:rPr>
          <w:rFonts w:cs="Arial"/>
        </w:rPr>
        <w:t xml:space="preserve"> </w:t>
      </w:r>
      <w:r>
        <w:rPr>
          <w:rFonts w:cs="Arial"/>
          <w:snapToGrid w:val="0"/>
        </w:rPr>
        <w:t xml:space="preserve">in the Reference Information </w:t>
      </w:r>
      <w:r>
        <w:rPr>
          <w:rFonts w:cs="Arial"/>
        </w:rPr>
        <w:t xml:space="preserve">beginning on page </w:t>
      </w:r>
      <w:r>
        <w:rPr>
          <w:rFonts w:cs="Arial"/>
        </w:rPr>
        <w:fldChar w:fldCharType="begin"/>
      </w:r>
      <w:r>
        <w:rPr>
          <w:rFonts w:cs="Arial"/>
        </w:rPr>
        <w:instrText xml:space="preserve"> PAGEREF _Ref123647404 \h </w:instrText>
      </w:r>
      <w:r>
        <w:rPr>
          <w:rFonts w:cs="Arial"/>
        </w:rPr>
      </w:r>
      <w:r>
        <w:rPr>
          <w:rFonts w:cs="Arial"/>
        </w:rPr>
        <w:fldChar w:fldCharType="separate"/>
      </w:r>
      <w:r w:rsidR="00923BFC">
        <w:rPr>
          <w:rFonts w:cs="Arial"/>
          <w:noProof/>
        </w:rPr>
        <w:t>208</w:t>
      </w:r>
      <w:r>
        <w:rPr>
          <w:rFonts w:cs="Arial"/>
        </w:rPr>
        <w:fldChar w:fldCharType="end"/>
      </w:r>
      <w:r>
        <w:rPr>
          <w:rFonts w:cs="Arial"/>
        </w:rPr>
        <w:t>.</w:t>
      </w:r>
    </w:p>
    <w:p w14:paraId="46FA88B5" w14:textId="77777777" w:rsidR="00C64192" w:rsidRDefault="00C64192" w:rsidP="00C64192"/>
    <w:p w14:paraId="145B6E42" w14:textId="77777777" w:rsidR="00C64192" w:rsidRPr="002531CE" w:rsidRDefault="00C64192" w:rsidP="00C64192">
      <w:r>
        <w:rPr>
          <w:noProof/>
        </w:rPr>
        <mc:AlternateContent>
          <mc:Choice Requires="wps">
            <w:drawing>
              <wp:inline distT="0" distB="0" distL="0" distR="0" wp14:anchorId="65E506D2" wp14:editId="0234950F">
                <wp:extent cx="5924550" cy="1176793"/>
                <wp:effectExtent l="0" t="0" r="19050" b="23495"/>
                <wp:docPr id="474659784" name="Text Box 474659784" descr="P7807TB2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76793"/>
                        </a:xfrm>
                        <a:prstGeom prst="rect">
                          <a:avLst/>
                        </a:prstGeom>
                        <a:solidFill>
                          <a:srgbClr val="FFFFFF"/>
                        </a:solidFill>
                        <a:ln w="9525">
                          <a:solidFill>
                            <a:srgbClr val="FF0000"/>
                          </a:solidFill>
                          <a:miter lim="800000"/>
                          <a:headEnd/>
                          <a:tailEnd/>
                        </a:ln>
                      </wps:spPr>
                      <wps:txbx>
                        <w:txbxContent>
                          <w:p w14:paraId="393A5B01" w14:textId="77777777" w:rsidR="00C64192" w:rsidRDefault="00C64192" w:rsidP="00C64192">
                            <w:pPr>
                              <w:rPr>
                                <w:b/>
                              </w:rPr>
                            </w:pPr>
                            <w:r w:rsidRPr="00DF6A41">
                              <w:rPr>
                                <w:b/>
                              </w:rPr>
                              <w:t>Reporting Period</w:t>
                            </w:r>
                            <w:r>
                              <w:rPr>
                                <w:b/>
                              </w:rPr>
                              <w:t>: 12 months</w:t>
                            </w:r>
                          </w:p>
                          <w:p w14:paraId="0EC1FE92" w14:textId="642A357F" w:rsidR="00C64192" w:rsidRDefault="00C64192" w:rsidP="00C64192">
                            <w:r>
                              <w:t>Answer questions #1</w:t>
                            </w:r>
                            <w:r w:rsidR="002A1A0B">
                              <w:t>7</w:t>
                            </w:r>
                            <w:r>
                              <w:t>-</w:t>
                            </w:r>
                            <w:r w:rsidR="002A1A0B">
                              <w:t>19</w:t>
                            </w:r>
                            <w:r>
                              <w:t xml:space="preserve"> based on the most recent day within the last 12-months for which you have complete data.</w:t>
                            </w:r>
                          </w:p>
                          <w:p w14:paraId="434FEC46" w14:textId="77777777" w:rsidR="00C64192" w:rsidRPr="00D8052E" w:rsidRDefault="00C64192" w:rsidP="00C64192">
                            <w:pPr>
                              <w:rPr>
                                <w:bCs/>
                              </w:rPr>
                            </w:pPr>
                          </w:p>
                          <w:p w14:paraId="6C280CF9" w14:textId="77777777" w:rsidR="00C64192" w:rsidRPr="00D20A90" w:rsidRDefault="00C64192" w:rsidP="00C64192">
                            <w:pPr>
                              <w:rPr>
                                <w:b/>
                              </w:rPr>
                            </w:pPr>
                            <w:r w:rsidRPr="006547C0">
                              <w:rPr>
                                <w:rFonts w:cs="Arial"/>
                                <w:sz w:val="16"/>
                                <w:szCs w:val="16"/>
                              </w:rPr>
                              <w:t xml:space="preserve">Note: As a reminder, the </w:t>
                            </w:r>
                            <w:hyperlink r:id="rId334" w:history="1">
                              <w:r w:rsidRPr="006547C0">
                                <w:rPr>
                                  <w:rStyle w:val="Hyperlink"/>
                                  <w:rFonts w:cs="Arial"/>
                                  <w:sz w:val="16"/>
                                  <w:szCs w:val="16"/>
                                </w:rPr>
                                <w:t>Corrections Period</w:t>
                              </w:r>
                            </w:hyperlink>
                            <w:r w:rsidRPr="006547C0">
                              <w:rPr>
                                <w:rFonts w:cs="Arial"/>
                                <w:sz w:val="16"/>
                                <w:szCs w:val="16"/>
                              </w:rPr>
                              <w:t xml:space="preserve"> </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65E506D2" id="Text Box 474659784" o:spid="_x0000_s1051" type="#_x0000_t202" alt="P7807TB24#y1" style="width:466.5pt;height:9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" strokecolor="red">
                <v:textbox>
                  <w:txbxContent>
                    <w:p w14:paraId="393A5B01" w14:textId="77777777" w:rsidR="00C64192" w:rsidRDefault="00C64192" w:rsidP="00C64192">
                      <w:pPr>
                        <w:rPr>
                          <w:b/>
                        </w:rPr>
                      </w:pPr>
                      <w:r w:rsidRPr="00DF6A41">
                        <w:rPr>
                          <w:b/>
                        </w:rPr>
                        <w:t>Reporting Period</w:t>
                      </w:r>
                      <w:r>
                        <w:rPr>
                          <w:b/>
                        </w:rPr>
                        <w:t>: 12 months</w:t>
                      </w:r>
                    </w:p>
                    <w:p w14:paraId="0EC1FE92" w14:textId="642A357F" w:rsidR="00C64192" w:rsidRDefault="00C64192" w:rsidP="00C64192">
                      <w:r>
                        <w:t>Answer questions #1</w:t>
                      </w:r>
                      <w:r w:rsidR="002A1A0B">
                        <w:t>7</w:t>
                      </w:r>
                      <w:r>
                        <w:t>-</w:t>
                      </w:r>
                      <w:r w:rsidR="002A1A0B">
                        <w:t>19</w:t>
                      </w:r>
                      <w:r>
                        <w:t xml:space="preserve"> based on the most recent day within the last 12-months for which you have complete data.</w:t>
                      </w:r>
                    </w:p>
                    <w:p w14:paraId="434FEC46" w14:textId="77777777" w:rsidR="00C64192" w:rsidRPr="00D8052E" w:rsidRDefault="00C64192" w:rsidP="00C64192">
                      <w:pPr>
                        <w:rPr>
                          <w:bCs/>
                        </w:rPr>
                      </w:pPr>
                    </w:p>
                    <w:p w14:paraId="6C280CF9" w14:textId="77777777" w:rsidR="00C64192" w:rsidRPr="00D20A90" w:rsidRDefault="00C64192" w:rsidP="00C64192">
                      <w:pPr>
                        <w:rPr>
                          <w:b/>
                        </w:rPr>
                      </w:pPr>
                      <w:r w:rsidRPr="006547C0">
                        <w:rPr>
                          <w:rFonts w:cs="Arial"/>
                          <w:sz w:val="16"/>
                          <w:szCs w:val="16"/>
                        </w:rPr>
                        <w:t xml:space="preserve">Note: As a reminder, the </w:t>
                      </w:r>
                      <w:hyperlink r:id="rId335" w:history="1">
                        <w:r w:rsidRPr="006547C0">
                          <w:rPr>
                            <w:rStyle w:val="Hyperlink"/>
                            <w:rFonts w:cs="Arial"/>
                            <w:sz w:val="16"/>
                            <w:szCs w:val="16"/>
                          </w:rPr>
                          <w:t>Corrections Period</w:t>
                        </w:r>
                      </w:hyperlink>
                      <w:r w:rsidRPr="006547C0">
                        <w:rPr>
                          <w:rFonts w:cs="Arial"/>
                          <w:sz w:val="16"/>
                          <w:szCs w:val="16"/>
                        </w:rPr>
                        <w:t xml:space="preserve"> </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r>
        <w:br/>
      </w:r>
    </w:p>
    <w:tbl>
      <w:tblPr>
        <w:tblStyle w:val="TableGrid"/>
        <w:tblW w:w="0" w:type="auto"/>
        <w:tblLook w:val="04A0" w:firstRow="1" w:lastRow="0" w:firstColumn="1" w:lastColumn="0" w:noHBand="0" w:noVBand="1"/>
      </w:tblPr>
      <w:tblGrid>
        <w:gridCol w:w="6115"/>
        <w:gridCol w:w="3235"/>
      </w:tblGrid>
      <w:tr w:rsidR="00C64192" w:rsidRPr="00660D6C" w14:paraId="7CB5EA30" w14:textId="77777777" w:rsidTr="00D73F6A">
        <w:trPr>
          <w:trHeight w:val="864"/>
        </w:trPr>
        <w:tc>
          <w:tcPr>
            <w:tcW w:w="6115" w:type="dxa"/>
            <w:vAlign w:val="center"/>
          </w:tcPr>
          <w:p w14:paraId="12A1A00A" w14:textId="0FD35E01" w:rsidR="00C64192" w:rsidRPr="001A0CD3" w:rsidRDefault="00C64192" w:rsidP="00FE2B16">
            <w:pPr>
              <w:pStyle w:val="ListParagraph"/>
              <w:numPr>
                <w:ilvl w:val="0"/>
                <w:numId w:val="147"/>
              </w:numPr>
              <w:rPr>
                <w:rFonts w:cstheme="minorHAnsi"/>
              </w:rPr>
            </w:pPr>
            <w:r w:rsidRPr="001A0CD3">
              <w:rPr>
                <w:rFonts w:cstheme="minorHAnsi"/>
              </w:rPr>
              <w:t>Did your hospital calculate the Percentage of RNs who are BSN-Prepared measure for the reporting period, and do you choose to report those data to this Survey?</w:t>
            </w:r>
          </w:p>
          <w:p w14:paraId="5D854CBD" w14:textId="77777777" w:rsidR="00C64192" w:rsidRDefault="00C64192" w:rsidP="00D73F6A">
            <w:pPr>
              <w:pStyle w:val="ListParagraph"/>
              <w:ind w:left="360"/>
              <w:rPr>
                <w:rFonts w:cs="Arial"/>
              </w:rPr>
            </w:pPr>
          </w:p>
          <w:p w14:paraId="5DDDD5D6" w14:textId="5ED5615F" w:rsidR="00C64192" w:rsidRPr="0078478A" w:rsidRDefault="00C64192" w:rsidP="00D73F6A">
            <w:pPr>
              <w:pStyle w:val="ListParagraph"/>
              <w:ind w:left="360"/>
              <w:rPr>
                <w:rFonts w:cs="Arial"/>
              </w:rPr>
            </w:pPr>
            <w:r w:rsidRPr="00F3183F">
              <w:rPr>
                <w:i/>
                <w:iCs/>
              </w:rPr>
              <w:t>If “no”</w:t>
            </w:r>
            <w:r>
              <w:rPr>
                <w:i/>
                <w:iCs/>
              </w:rPr>
              <w:t xml:space="preserve"> to question #17</w:t>
            </w:r>
            <w:r w:rsidRPr="00F3183F">
              <w:rPr>
                <w:i/>
                <w:iCs/>
              </w:rPr>
              <w:t xml:space="preserve">, skip </w:t>
            </w:r>
            <w:r w:rsidR="0038382F">
              <w:rPr>
                <w:i/>
                <w:iCs/>
              </w:rPr>
              <w:t xml:space="preserve">the remaining </w:t>
            </w:r>
            <w:r w:rsidRPr="00F3183F">
              <w:rPr>
                <w:i/>
                <w:iCs/>
              </w:rPr>
              <w:t>question</w:t>
            </w:r>
            <w:r>
              <w:rPr>
                <w:i/>
                <w:iCs/>
              </w:rPr>
              <w:t xml:space="preserve">s </w:t>
            </w:r>
            <w:r w:rsidR="0038382F">
              <w:rPr>
                <w:i/>
                <w:iCs/>
              </w:rPr>
              <w:t>in Section 5C</w:t>
            </w:r>
            <w:r w:rsidR="00CA0573">
              <w:rPr>
                <w:i/>
                <w:iCs/>
              </w:rPr>
              <w:t xml:space="preserve"> and go to the Affirmation of Accuracy. </w:t>
            </w:r>
            <w:r w:rsidRPr="00127403">
              <w:rPr>
                <w:rFonts w:cs="Arial"/>
                <w:i/>
              </w:rPr>
              <w:t>The hospital will be scored as “</w:t>
            </w:r>
            <w:r w:rsidR="008B0B03">
              <w:rPr>
                <w:rFonts w:cs="Arial"/>
                <w:i/>
              </w:rPr>
              <w:t>Did Not Measure</w:t>
            </w:r>
            <w:r w:rsidRPr="00127403">
              <w:rPr>
                <w:rFonts w:cs="Arial"/>
                <w:i/>
              </w:rPr>
              <w:t>.”</w:t>
            </w:r>
          </w:p>
        </w:tc>
        <w:tc>
          <w:tcPr>
            <w:tcW w:w="3235" w:type="dxa"/>
            <w:vAlign w:val="center"/>
          </w:tcPr>
          <w:p w14:paraId="22615127" w14:textId="77777777" w:rsidR="00C64192" w:rsidRPr="00A0211B" w:rsidRDefault="00C64192" w:rsidP="00AD309C">
            <w:pPr>
              <w:pStyle w:val="ListParagraph"/>
              <w:numPr>
                <w:ilvl w:val="0"/>
                <w:numId w:val="357"/>
              </w:numPr>
              <w:rPr>
                <w:rFonts w:cs="Arial"/>
                <w:iCs/>
              </w:rPr>
            </w:pPr>
            <w:r w:rsidRPr="00A0211B">
              <w:rPr>
                <w:rFonts w:cs="Arial"/>
                <w:iCs/>
              </w:rPr>
              <w:t>Yes</w:t>
            </w:r>
          </w:p>
          <w:p w14:paraId="0A7319EA" w14:textId="77777777" w:rsidR="00C64192" w:rsidRPr="004B1BBF" w:rsidRDefault="00C64192" w:rsidP="00AD309C">
            <w:pPr>
              <w:pStyle w:val="ListParagraph"/>
              <w:numPr>
                <w:ilvl w:val="0"/>
                <w:numId w:val="357"/>
              </w:numPr>
              <w:rPr>
                <w:rFonts w:cs="Arial"/>
                <w:i/>
              </w:rPr>
            </w:pPr>
            <w:r w:rsidRPr="00A0211B">
              <w:rPr>
                <w:rFonts w:cs="Arial"/>
                <w:iCs/>
              </w:rPr>
              <w:t>No</w:t>
            </w:r>
          </w:p>
        </w:tc>
      </w:tr>
      <w:tr w:rsidR="00C64192" w:rsidRPr="00C645E0" w14:paraId="4854181C" w14:textId="77777777" w:rsidTr="00D73F6A">
        <w:trPr>
          <w:trHeight w:val="20"/>
        </w:trPr>
        <w:tc>
          <w:tcPr>
            <w:tcW w:w="6115" w:type="dxa"/>
            <w:vAlign w:val="center"/>
          </w:tcPr>
          <w:p w14:paraId="69E63EE0" w14:textId="77777777" w:rsidR="00C64192" w:rsidRPr="00C645E0" w:rsidRDefault="00C64192" w:rsidP="00FE2B16">
            <w:pPr>
              <w:numPr>
                <w:ilvl w:val="0"/>
                <w:numId w:val="147"/>
              </w:numPr>
            </w:pPr>
            <w:r w:rsidRPr="00AA36B7">
              <w:rPr>
                <w:rFonts w:cstheme="minorHAnsi"/>
              </w:rPr>
              <w:t xml:space="preserve">Total number </w:t>
            </w:r>
            <w:r>
              <w:rPr>
                <w:rFonts w:cstheme="minorHAnsi"/>
              </w:rPr>
              <w:t>of employed RN nursing staff</w:t>
            </w:r>
            <w:r w:rsidRPr="00AA36B7">
              <w:rPr>
                <w:rFonts w:cstheme="minorHAnsi"/>
              </w:rPr>
              <w:t xml:space="preserve"> at the </w:t>
            </w:r>
            <w:r>
              <w:rPr>
                <w:rFonts w:cstheme="minorHAnsi"/>
              </w:rPr>
              <w:t xml:space="preserve">hospital </w:t>
            </w:r>
            <w:r w:rsidRPr="00AA36B7">
              <w:rPr>
                <w:rFonts w:cstheme="minorHAnsi"/>
              </w:rPr>
              <w:t>with direct patient care responsibilities</w:t>
            </w:r>
            <w:r>
              <w:rPr>
                <w:rFonts w:cstheme="minorHAnsi"/>
              </w:rPr>
              <w:t>:</w:t>
            </w:r>
          </w:p>
        </w:tc>
        <w:tc>
          <w:tcPr>
            <w:tcW w:w="3235" w:type="dxa"/>
            <w:vAlign w:val="center"/>
          </w:tcPr>
          <w:p w14:paraId="410718ED" w14:textId="77777777" w:rsidR="00C64192" w:rsidRPr="00C645E0" w:rsidRDefault="00C64192" w:rsidP="00D73F6A">
            <w:pPr>
              <w:jc w:val="center"/>
              <w:rPr>
                <w:i/>
              </w:rPr>
            </w:pPr>
            <w:r w:rsidRPr="009A5185">
              <w:rPr>
                <w:rFonts w:cs="Arial"/>
                <w:i/>
                <w:snapToGrid w:val="0"/>
              </w:rPr>
              <w:t>______</w:t>
            </w:r>
          </w:p>
        </w:tc>
      </w:tr>
      <w:tr w:rsidR="00C64192" w:rsidRPr="00C645E0" w14:paraId="256A3F2B" w14:textId="77777777" w:rsidTr="00D73F6A">
        <w:trPr>
          <w:trHeight w:val="20"/>
        </w:trPr>
        <w:tc>
          <w:tcPr>
            <w:tcW w:w="6115" w:type="dxa"/>
            <w:vAlign w:val="center"/>
          </w:tcPr>
          <w:p w14:paraId="5D2DC61C" w14:textId="77777777" w:rsidR="00C64192" w:rsidRPr="00C645E0" w:rsidRDefault="00C64192" w:rsidP="00FE2B16">
            <w:pPr>
              <w:numPr>
                <w:ilvl w:val="0"/>
                <w:numId w:val="147"/>
              </w:numPr>
            </w:pPr>
            <w:r w:rsidRPr="00AA36B7">
              <w:rPr>
                <w:rFonts w:cstheme="minorHAnsi"/>
              </w:rPr>
              <w:t>Total number of</w:t>
            </w:r>
            <w:r>
              <w:rPr>
                <w:rFonts w:cstheme="minorHAnsi"/>
              </w:rPr>
              <w:t xml:space="preserve"> employed RN nursing staff</w:t>
            </w:r>
            <w:r w:rsidRPr="00AA36B7">
              <w:rPr>
                <w:rFonts w:cstheme="minorHAnsi"/>
              </w:rPr>
              <w:t xml:space="preserve"> at the </w:t>
            </w:r>
            <w:r>
              <w:rPr>
                <w:rFonts w:cstheme="minorHAnsi"/>
              </w:rPr>
              <w:t xml:space="preserve">hospital </w:t>
            </w:r>
            <w:r w:rsidRPr="00AA36B7">
              <w:rPr>
                <w:rFonts w:cstheme="minorHAnsi"/>
              </w:rPr>
              <w:t xml:space="preserve">with direct patient care responsibilities </w:t>
            </w:r>
            <w:r>
              <w:rPr>
                <w:rFonts w:cstheme="minorHAnsi"/>
              </w:rPr>
              <w:t>who</w:t>
            </w:r>
            <w:r w:rsidRPr="00AA36B7">
              <w:rPr>
                <w:rFonts w:cstheme="minorHAnsi"/>
              </w:rPr>
              <w:t xml:space="preserve"> have a BSN degree or higher (e.g., MSN, DNP</w:t>
            </w:r>
            <w:r>
              <w:rPr>
                <w:rFonts w:cstheme="minorHAnsi"/>
              </w:rPr>
              <w:t>, PhD</w:t>
            </w:r>
            <w:r w:rsidRPr="00AA36B7">
              <w:rPr>
                <w:rFonts w:cstheme="minorHAnsi"/>
              </w:rPr>
              <w:t>)</w:t>
            </w:r>
            <w:r>
              <w:rPr>
                <w:rFonts w:cstheme="minorHAnsi"/>
              </w:rPr>
              <w:t>:</w:t>
            </w:r>
          </w:p>
        </w:tc>
        <w:tc>
          <w:tcPr>
            <w:tcW w:w="3235" w:type="dxa"/>
            <w:vAlign w:val="center"/>
          </w:tcPr>
          <w:p w14:paraId="4015F524" w14:textId="77777777" w:rsidR="00C64192" w:rsidRPr="00C645E0" w:rsidRDefault="00C64192" w:rsidP="00D73F6A">
            <w:pPr>
              <w:jc w:val="center"/>
              <w:rPr>
                <w:i/>
              </w:rPr>
            </w:pPr>
            <w:r w:rsidRPr="009A5185">
              <w:rPr>
                <w:rFonts w:cs="Arial"/>
                <w:i/>
                <w:snapToGrid w:val="0"/>
              </w:rPr>
              <w:t>______</w:t>
            </w:r>
          </w:p>
        </w:tc>
      </w:tr>
    </w:tbl>
    <w:p w14:paraId="2006187B" w14:textId="77777777" w:rsidR="00C64192" w:rsidRDefault="00C64192" w:rsidP="00C64192">
      <w:pPr>
        <w:rPr>
          <w:b/>
          <w:snapToGrid w:val="0"/>
          <w:sz w:val="28"/>
          <w:szCs w:val="24"/>
          <w:u w:val="single"/>
          <w:lang w:eastAsia="ja-JP"/>
        </w:rPr>
      </w:pPr>
    </w:p>
    <w:p w14:paraId="39EE3CF1" w14:textId="282B49CF" w:rsidR="003E5C29" w:rsidRPr="009A5185" w:rsidRDefault="00C64192">
      <w:pPr>
        <w:rPr>
          <w:rFonts w:cs="Arial"/>
          <w:b/>
          <w:snapToGrid w:val="0"/>
          <w:color w:val="000000"/>
        </w:rPr>
      </w:pPr>
      <w:r>
        <w:br w:type="page"/>
      </w:r>
    </w:p>
    <w:p w14:paraId="7227743D" w14:textId="77777777" w:rsidR="008910AA" w:rsidRPr="009A5185" w:rsidRDefault="008910AA">
      <w:pPr>
        <w:rPr>
          <w:rFonts w:cs="Arial"/>
          <w:b/>
          <w:snapToGrid w:val="0"/>
          <w:color w:val="000000"/>
        </w:rPr>
      </w:pPr>
      <w:r w:rsidRPr="009A5185">
        <w:rPr>
          <w:rFonts w:cs="Arial"/>
          <w:b/>
          <w:snapToGrid w:val="0"/>
          <w:color w:val="000000"/>
        </w:rPr>
        <w:lastRenderedPageBreak/>
        <w:t>Affirmation of Accuracy:</w:t>
      </w:r>
    </w:p>
    <w:p w14:paraId="6EA32C30" w14:textId="77777777" w:rsidR="008910AA" w:rsidRPr="009A5185" w:rsidRDefault="008910AA">
      <w:pPr>
        <w:rPr>
          <w:rFonts w:cs="Arial"/>
          <w:snapToGrid w:val="0"/>
          <w:color w:val="000000"/>
        </w:rPr>
      </w:pPr>
    </w:p>
    <w:p w14:paraId="04E31A2A" w14:textId="7E3820CD" w:rsidR="001871E9" w:rsidRPr="009A5185" w:rsidRDefault="001871E9" w:rsidP="001871E9">
      <w:pPr>
        <w:rPr>
          <w:rFonts w:cs="Arial"/>
          <w:color w:val="000000"/>
        </w:rPr>
      </w:pPr>
      <w:r w:rsidRPr="009A5185">
        <w:rPr>
          <w:rFonts w:cs="Arial"/>
          <w:color w:val="000000"/>
        </w:rPr>
        <w:t xml:space="preserve">As the hospital CEO or as an employee of the hospital to whom the hospital CEO has delegated responsibility, I have reviewed this information pertaining to the </w:t>
      </w:r>
      <w:r w:rsidR="00A52909">
        <w:rPr>
          <w:rFonts w:cs="Arial"/>
          <w:color w:val="000000"/>
        </w:rPr>
        <w:t xml:space="preserve">Physician and Nurse </w:t>
      </w:r>
      <w:r w:rsidRPr="009A5185">
        <w:rPr>
          <w:rFonts w:cs="Arial"/>
          <w:color w:val="000000"/>
        </w:rPr>
        <w:t xml:space="preserve">Staffing Section at our hospital, and I hereby </w:t>
      </w:r>
      <w:r w:rsidR="00564519">
        <w:rPr>
          <w:rFonts w:cs="Arial"/>
          <w:color w:val="000000"/>
        </w:rPr>
        <w:t>affirm</w:t>
      </w:r>
      <w:r w:rsidRPr="009A5185">
        <w:rPr>
          <w:rFonts w:cs="Arial"/>
          <w:color w:val="000000"/>
        </w:rPr>
        <w:t xml:space="preserve"> that this information is true, accurate, and reflect</w:t>
      </w:r>
      <w:r w:rsidR="00B7608D" w:rsidRPr="009A5185">
        <w:rPr>
          <w:rFonts w:cs="Arial"/>
          <w:color w:val="000000"/>
        </w:rPr>
        <w:t>s</w:t>
      </w:r>
      <w:r w:rsidRPr="009A5185">
        <w:rPr>
          <w:rFonts w:cs="Arial"/>
          <w:color w:val="000000"/>
        </w:rPr>
        <w:t xml:space="preserve"> the current, normal operating circumstances at our hospital. I am authorized to make this </w:t>
      </w:r>
      <w:r w:rsidR="00564519">
        <w:rPr>
          <w:rFonts w:cs="Arial"/>
          <w:color w:val="000000"/>
        </w:rPr>
        <w:t xml:space="preserve">affirmation </w:t>
      </w:r>
      <w:r w:rsidRPr="009A5185">
        <w:rPr>
          <w:rFonts w:cs="Arial"/>
          <w:color w:val="000000"/>
        </w:rPr>
        <w:t xml:space="preserve">on behalf of our hospital. </w:t>
      </w:r>
    </w:p>
    <w:p w14:paraId="176F5FF4" w14:textId="77777777" w:rsidR="001871E9" w:rsidRPr="009A5185" w:rsidRDefault="001871E9" w:rsidP="001871E9">
      <w:pPr>
        <w:rPr>
          <w:rFonts w:cs="Arial"/>
          <w:color w:val="000000"/>
        </w:rPr>
      </w:pPr>
    </w:p>
    <w:p w14:paraId="4D3634F9" w14:textId="41AECF82" w:rsidR="008910AA" w:rsidRDefault="00B01F4D">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53D62D7A" w14:textId="77777777" w:rsidR="00B01F4D" w:rsidRPr="00B01F4D" w:rsidRDefault="00B01F4D">
      <w:pPr>
        <w:rPr>
          <w:rFonts w:cs="Arial"/>
          <w:sz w:val="22"/>
          <w:szCs w:val="22"/>
        </w:rPr>
      </w:pPr>
    </w:p>
    <w:p w14:paraId="339B21DA" w14:textId="77777777" w:rsidR="008910AA" w:rsidRPr="009A5185" w:rsidRDefault="008910AA">
      <w:pPr>
        <w:rPr>
          <w:rFonts w:cs="Arial"/>
          <w:snapToGrid w:val="0"/>
          <w:color w:val="000000"/>
        </w:rPr>
      </w:pPr>
    </w:p>
    <w:p w14:paraId="616E8987" w14:textId="77777777" w:rsidR="008910AA" w:rsidRPr="009A5185" w:rsidRDefault="008910AA">
      <w:pPr>
        <w:rPr>
          <w:rFonts w:cs="Arial"/>
          <w:snapToGrid w:val="0"/>
          <w:color w:val="000000"/>
        </w:rPr>
      </w:pPr>
      <w:r w:rsidRPr="009A5185">
        <w:rPr>
          <w:rFonts w:cs="Arial"/>
          <w:snapToGrid w:val="0"/>
          <w:color w:val="000000"/>
        </w:rPr>
        <w:t>Affirmed by _____________________, the hospital’s ___________________________,</w:t>
      </w:r>
    </w:p>
    <w:p w14:paraId="689ED802" w14:textId="77777777" w:rsidR="008A631A" w:rsidRPr="009A5185" w:rsidRDefault="008A631A" w:rsidP="008A631A">
      <w:pPr>
        <w:pStyle w:val="BodyText2"/>
        <w:spacing w:line="240" w:lineRule="exact"/>
        <w:rPr>
          <w:rFonts w:cs="Arial"/>
        </w:rPr>
      </w:pPr>
      <w:r w:rsidRPr="009A5185">
        <w:rPr>
          <w:rFonts w:cs="Arial"/>
        </w:rPr>
        <w:tab/>
        <w:t xml:space="preserve"> </w:t>
      </w:r>
      <w:r>
        <w:rPr>
          <w:rFonts w:cs="Arial"/>
        </w:rPr>
        <w:t xml:space="preserve">    </w:t>
      </w:r>
      <w:r w:rsidRPr="009A5185">
        <w:rPr>
          <w:rFonts w:cs="Arial"/>
        </w:rPr>
        <w:t>(</w:t>
      </w:r>
      <w:r>
        <w:rPr>
          <w:rFonts w:cs="Arial"/>
        </w:rPr>
        <w:t xml:space="preserve">first </w:t>
      </w:r>
      <w:r w:rsidRPr="009A5185">
        <w:rPr>
          <w:rFonts w:cs="Arial"/>
        </w:rPr>
        <w:t>name</w:t>
      </w:r>
      <w:r>
        <w:rPr>
          <w:rFonts w:cs="Arial"/>
        </w:rPr>
        <w:t xml:space="preserve"> and last name)</w:t>
      </w:r>
      <w:r>
        <w:rPr>
          <w:rFonts w:cs="Arial"/>
        </w:rPr>
        <w:tab/>
      </w:r>
      <w:r>
        <w:rPr>
          <w:rFonts w:cs="Arial"/>
        </w:rPr>
        <w:tab/>
      </w:r>
      <w:r>
        <w:rPr>
          <w:rFonts w:cs="Arial"/>
        </w:rPr>
        <w:tab/>
      </w:r>
      <w:r>
        <w:rPr>
          <w:rFonts w:cs="Arial"/>
        </w:rPr>
        <w:tab/>
      </w:r>
      <w:r w:rsidRPr="009A5185">
        <w:rPr>
          <w:rFonts w:cs="Arial"/>
        </w:rPr>
        <w:t>(title)</w:t>
      </w:r>
    </w:p>
    <w:p w14:paraId="30D1A802" w14:textId="77777777" w:rsidR="008910AA" w:rsidRPr="009A5185" w:rsidRDefault="008910AA">
      <w:pPr>
        <w:rPr>
          <w:rFonts w:cs="Arial"/>
          <w:snapToGrid w:val="0"/>
          <w:color w:val="000000"/>
        </w:rPr>
      </w:pPr>
      <w:r w:rsidRPr="009A5185">
        <w:rPr>
          <w:rFonts w:cs="Arial"/>
          <w:snapToGrid w:val="0"/>
          <w:color w:val="000000"/>
        </w:rPr>
        <w:t>on _______________________.</w:t>
      </w:r>
    </w:p>
    <w:p w14:paraId="7627220D" w14:textId="77777777" w:rsidR="008910AA" w:rsidRPr="009A5185" w:rsidRDefault="008910AA">
      <w:pPr>
        <w:pStyle w:val="BodyText2"/>
        <w:rPr>
          <w:rFonts w:cs="Arial"/>
        </w:rPr>
      </w:pPr>
      <w:r w:rsidRPr="009A5185">
        <w:rPr>
          <w:rFonts w:cs="Arial"/>
        </w:rPr>
        <w:t xml:space="preserve">                    (date)</w:t>
      </w:r>
    </w:p>
    <w:p w14:paraId="565237F2" w14:textId="77777777" w:rsidR="0003003B" w:rsidRPr="009A5185" w:rsidRDefault="0003003B">
      <w:pPr>
        <w:pStyle w:val="BodyText2"/>
        <w:rPr>
          <w:rFonts w:cs="Arial"/>
        </w:rPr>
      </w:pPr>
    </w:p>
    <w:p w14:paraId="2B39160F" w14:textId="77777777" w:rsidR="008910AA" w:rsidRPr="009A5185" w:rsidRDefault="00453994">
      <w:pPr>
        <w:rPr>
          <w:rFonts w:cs="Arial"/>
        </w:rPr>
      </w:pPr>
      <w:r w:rsidRPr="009A5185">
        <w:rPr>
          <w:rFonts w:cs="Arial"/>
        </w:rPr>
        <w:br w:type="page"/>
      </w:r>
    </w:p>
    <w:p w14:paraId="480FFA71" w14:textId="51DD3922" w:rsidR="0003003B" w:rsidRPr="009A5185" w:rsidRDefault="0003003B" w:rsidP="00CF5A6E">
      <w:pPr>
        <w:pStyle w:val="Heading2"/>
      </w:pPr>
      <w:bookmarkStart w:id="428" w:name="_Toc383775054"/>
      <w:bookmarkStart w:id="429" w:name="_Toc225877755"/>
      <w:r w:rsidRPr="009A5185">
        <w:lastRenderedPageBreak/>
        <w:t xml:space="preserve">Section 5: </w:t>
      </w:r>
      <w:r w:rsidR="00A52909">
        <w:t xml:space="preserve">Physician and Nurse </w:t>
      </w:r>
      <w:bookmarkEnd w:id="428"/>
      <w:r w:rsidR="00D55BF8">
        <w:t>Staffing</w:t>
      </w:r>
      <w:r w:rsidRPr="009A5185">
        <w:t xml:space="preserve"> Reference Information</w:t>
      </w:r>
      <w:bookmarkEnd w:id="429"/>
    </w:p>
    <w:p w14:paraId="28079559" w14:textId="77777777" w:rsidR="0003003B" w:rsidRPr="009A5185" w:rsidRDefault="0003003B" w:rsidP="0003003B">
      <w:pPr>
        <w:rPr>
          <w:rFonts w:cs="Arial"/>
          <w:bCs/>
          <w:lang w:eastAsia="ja-JP"/>
        </w:rPr>
      </w:pPr>
    </w:p>
    <w:p w14:paraId="45F93812" w14:textId="4E37D08C" w:rsidR="0003003B" w:rsidRPr="009A5185" w:rsidRDefault="0003003B" w:rsidP="00AB5B80">
      <w:pPr>
        <w:pStyle w:val="Heading3"/>
      </w:pPr>
      <w:bookmarkStart w:id="430" w:name="_Toc236212808"/>
      <w:bookmarkStart w:id="431" w:name="_Toc383775055"/>
      <w:bookmarkStart w:id="432" w:name="_Toc225877756"/>
      <w:r w:rsidRPr="009A5185">
        <w:t xml:space="preserve">What’s New </w:t>
      </w:r>
      <w:bookmarkEnd w:id="430"/>
      <w:r w:rsidRPr="009A5185">
        <w:t xml:space="preserve">in the </w:t>
      </w:r>
      <w:bookmarkEnd w:id="431"/>
      <w:r w:rsidR="00A236B1">
        <w:t>202</w:t>
      </w:r>
      <w:r w:rsidR="001D70C8">
        <w:t>6</w:t>
      </w:r>
      <w:r w:rsidR="006F5EB2" w:rsidRPr="009A5185">
        <w:t xml:space="preserve"> </w:t>
      </w:r>
      <w:r w:rsidR="004F68CC" w:rsidRPr="009A5185">
        <w:t>Survey</w:t>
      </w:r>
      <w:bookmarkEnd w:id="432"/>
    </w:p>
    <w:p w14:paraId="04E8E1FC" w14:textId="77777777" w:rsidR="00890BD4" w:rsidRDefault="00890BD4" w:rsidP="0036506E">
      <w:pPr>
        <w:rPr>
          <w:rFonts w:cs="Arial"/>
        </w:rPr>
      </w:pPr>
    </w:p>
    <w:p w14:paraId="001BE177" w14:textId="60955DF4" w:rsidR="00001324" w:rsidRDefault="00001324" w:rsidP="00001324">
      <w:pPr>
        <w:pStyle w:val="Heading44"/>
      </w:pPr>
      <w:r w:rsidRPr="00AD46BD">
        <w:t xml:space="preserve">Section </w:t>
      </w:r>
      <w:r>
        <w:t>5A</w:t>
      </w:r>
      <w:r w:rsidR="00570EDB">
        <w:t>: Adult ICU Physician Staffing</w:t>
      </w:r>
      <w:r w:rsidR="00BC7A87">
        <w:t xml:space="preserve"> </w:t>
      </w:r>
      <w:r w:rsidR="00570EDB">
        <w:t>and Section 5B: Pediatric ICU Physician Staffing</w:t>
      </w:r>
      <w:r w:rsidR="00BC7A87">
        <w:t xml:space="preserve"> </w:t>
      </w:r>
    </w:p>
    <w:p w14:paraId="5CEE848F" w14:textId="769C2407" w:rsidR="005018CA" w:rsidRPr="005018CA" w:rsidRDefault="005018CA" w:rsidP="00001324">
      <w:pPr>
        <w:pStyle w:val="Heading44"/>
        <w:rPr>
          <w:b w:val="0"/>
          <w:bCs/>
          <w:sz w:val="20"/>
        </w:rPr>
      </w:pPr>
      <w:r w:rsidRPr="005018CA">
        <w:rPr>
          <w:b w:val="0"/>
          <w:bCs/>
          <w:sz w:val="20"/>
        </w:rPr>
        <w:t>There are no changes to these subsections.</w:t>
      </w:r>
    </w:p>
    <w:p w14:paraId="444EE3C3" w14:textId="77777777" w:rsidR="00001324" w:rsidRDefault="00001324" w:rsidP="0036506E">
      <w:pPr>
        <w:rPr>
          <w:rFonts w:cs="Arial"/>
        </w:rPr>
      </w:pPr>
    </w:p>
    <w:p w14:paraId="3624632D" w14:textId="2CD106BF" w:rsidR="00001324" w:rsidRDefault="00001324" w:rsidP="00001324">
      <w:pPr>
        <w:pStyle w:val="Heading44"/>
      </w:pPr>
      <w:r w:rsidRPr="00AD46BD">
        <w:t xml:space="preserve">Section </w:t>
      </w:r>
      <w:r>
        <w:t>5</w:t>
      </w:r>
      <w:r w:rsidRPr="00AD46BD">
        <w:t>C: Nursing Workforce</w:t>
      </w:r>
    </w:p>
    <w:p w14:paraId="62A99390" w14:textId="69BC862A" w:rsidR="00A3764C" w:rsidRDefault="00A3764C" w:rsidP="00001324">
      <w:pPr>
        <w:pStyle w:val="Heading44"/>
        <w:rPr>
          <w:b w:val="0"/>
          <w:bCs/>
          <w:sz w:val="20"/>
        </w:rPr>
      </w:pPr>
      <w:r w:rsidRPr="00A3764C">
        <w:rPr>
          <w:b w:val="0"/>
          <w:bCs/>
          <w:sz w:val="20"/>
        </w:rPr>
        <w:t>There are three major changes planned for 2026 and additional clarifications to the measure specifications regarding applicable units.</w:t>
      </w:r>
    </w:p>
    <w:p w14:paraId="02E01148" w14:textId="77777777" w:rsidR="00700B92" w:rsidRDefault="00700B92" w:rsidP="00001324">
      <w:pPr>
        <w:pStyle w:val="Heading44"/>
        <w:rPr>
          <w:b w:val="0"/>
          <w:bCs/>
          <w:sz w:val="20"/>
        </w:rPr>
      </w:pPr>
    </w:p>
    <w:p w14:paraId="4C935C14" w14:textId="78FC050A" w:rsidR="00700B92" w:rsidRPr="00427740" w:rsidRDefault="00700B92" w:rsidP="00001324">
      <w:pPr>
        <w:pStyle w:val="Heading44"/>
        <w:rPr>
          <w:b w:val="0"/>
          <w:bCs/>
          <w:sz w:val="20"/>
        </w:rPr>
      </w:pPr>
      <w:r w:rsidRPr="00427740">
        <w:rPr>
          <w:b w:val="0"/>
          <w:bCs/>
          <w:sz w:val="20"/>
        </w:rPr>
        <w:t xml:space="preserve">First, all hospitals will be required to report on whether they operate any mixed acuity medical, surgical and/or med-surg units, and if they do, the types of mixed acuity units (high, moderate and/or blended). Hospitals that operate </w:t>
      </w:r>
      <w:r w:rsidRPr="00427740">
        <w:rPr>
          <w:sz w:val="20"/>
          <w:u w:val="single"/>
        </w:rPr>
        <w:t>both</w:t>
      </w:r>
      <w:r w:rsidRPr="00427740">
        <w:rPr>
          <w:b w:val="0"/>
          <w:bCs/>
          <w:sz w:val="20"/>
        </w:rPr>
        <w:t xml:space="preserve"> single and mixed acuity units can then </w:t>
      </w:r>
      <w:r w:rsidRPr="00427740">
        <w:rPr>
          <w:sz w:val="20"/>
          <w:u w:val="single"/>
        </w:rPr>
        <w:t>optionally</w:t>
      </w:r>
      <w:r w:rsidRPr="00427740">
        <w:rPr>
          <w:b w:val="0"/>
          <w:bCs/>
          <w:sz w:val="20"/>
        </w:rPr>
        <w:t xml:space="preserve"> report on nursing hours in their mixed acuity unit(s) but will continue to ONLY be scored on the </w:t>
      </w:r>
      <w:r w:rsidRPr="00427740">
        <w:rPr>
          <w:sz w:val="20"/>
          <w:u w:val="single"/>
        </w:rPr>
        <w:t>single</w:t>
      </w:r>
      <w:r w:rsidRPr="00427740">
        <w:rPr>
          <w:b w:val="0"/>
          <w:bCs/>
          <w:sz w:val="20"/>
        </w:rPr>
        <w:t xml:space="preserve"> acuity units. An analysis of the data collected in 2026 and anticipated key informant interviews with Survey participants will help determine if additional updates to scoring and public reporting should be proposed for 2027. This change is the first step in responding to hospital requests to earn credit for their staffing of both single and mixed acuity units.</w:t>
      </w:r>
    </w:p>
    <w:p w14:paraId="57F2D6A0" w14:textId="77777777" w:rsidR="00700B92" w:rsidRDefault="00700B92" w:rsidP="00001324">
      <w:pPr>
        <w:pStyle w:val="Heading44"/>
        <w:rPr>
          <w:b w:val="0"/>
          <w:bCs/>
          <w:sz w:val="20"/>
        </w:rPr>
      </w:pPr>
    </w:p>
    <w:p w14:paraId="148B4C4E" w14:textId="53B63247" w:rsidR="00427740" w:rsidRPr="00A3764C" w:rsidRDefault="00427740" w:rsidP="00001324">
      <w:pPr>
        <w:pStyle w:val="Heading44"/>
        <w:rPr>
          <w:b w:val="0"/>
          <w:bCs/>
          <w:sz w:val="20"/>
        </w:rPr>
      </w:pPr>
      <w:r w:rsidRPr="00427740">
        <w:rPr>
          <w:b w:val="0"/>
          <w:bCs/>
          <w:sz w:val="20"/>
        </w:rPr>
        <w:t>Hospitals that operate only one single acuity unit, but had fewer than 15 patient days per month for all 3 months of any quarter of the reporting period will be asked to report on their mixed acuity medical, surgical and/or medsurg units (if applicable) and will be scored and publicly reported on those units</w:t>
      </w:r>
      <w:r>
        <w:rPr>
          <w:b w:val="0"/>
          <w:bCs/>
          <w:sz w:val="20"/>
        </w:rPr>
        <w:t>.</w:t>
      </w:r>
    </w:p>
    <w:p w14:paraId="4F87A6BC" w14:textId="77777777" w:rsidR="00427740" w:rsidRDefault="00427740" w:rsidP="00001324">
      <w:pPr>
        <w:shd w:val="clear" w:color="auto" w:fill="FFFFFF"/>
        <w:contextualSpacing/>
      </w:pPr>
    </w:p>
    <w:p w14:paraId="1695C5A3" w14:textId="3F6AC326" w:rsidR="00427740" w:rsidRDefault="00427740" w:rsidP="00427740">
      <w:pPr>
        <w:shd w:val="clear" w:color="auto" w:fill="FFFFFF"/>
        <w:contextualSpacing/>
      </w:pPr>
      <w:r w:rsidRPr="00BA2DA0">
        <w:t xml:space="preserve">Second, Leapfrog </w:t>
      </w:r>
      <w:r>
        <w:t>is</w:t>
      </w:r>
      <w:r w:rsidRPr="00BA2DA0">
        <w:t xml:space="preserve"> temporarily paus</w:t>
      </w:r>
      <w:r w:rsidR="00B238B5">
        <w:t>ing</w:t>
      </w:r>
      <w:r w:rsidRPr="00BA2DA0">
        <w:t xml:space="preserve"> public reporting of the Nursing Skill Mix measure (the proportion of total nursing hours worked by registered nurses), as the </w:t>
      </w:r>
      <w:hyperlink r:id="rId336" w:history="1">
        <w:r w:rsidRPr="004A58FC">
          <w:rPr>
            <w:rStyle w:val="Hyperlink"/>
          </w:rPr>
          <w:t>Nursing Workforce Expert Panel</w:t>
        </w:r>
      </w:hyperlink>
      <w:r>
        <w:t xml:space="preserve"> </w:t>
      </w:r>
      <w:r w:rsidRPr="00BA2DA0">
        <w:t xml:space="preserve">further examines the relationship between this measure and the Total Nursing Care Hours Per Patient Day and Total RN Hours Per Patient Day measures. </w:t>
      </w:r>
    </w:p>
    <w:p w14:paraId="03D512E5" w14:textId="77777777" w:rsidR="00427740" w:rsidRDefault="00427740" w:rsidP="00001324">
      <w:pPr>
        <w:shd w:val="clear" w:color="auto" w:fill="FFFFFF"/>
        <w:contextualSpacing/>
      </w:pPr>
    </w:p>
    <w:p w14:paraId="355C5CCD" w14:textId="2619BF98" w:rsidR="00427740" w:rsidRDefault="00894C1D" w:rsidP="00001324">
      <w:pPr>
        <w:shd w:val="clear" w:color="auto" w:fill="FFFFFF"/>
        <w:contextualSpacing/>
      </w:pPr>
      <w:r>
        <w:t>Third,</w:t>
      </w:r>
      <w:r w:rsidRPr="00894C1D">
        <w:t xml:space="preserve"> Leapfrog is adding a new optional fact-finding question to assess hospital’s use of virtual nursing models, which will not be scored or publicly reported in 2026.</w:t>
      </w:r>
    </w:p>
    <w:p w14:paraId="2D7CAC7E" w14:textId="77777777" w:rsidR="00894C1D" w:rsidRDefault="00894C1D" w:rsidP="00001324">
      <w:pPr>
        <w:shd w:val="clear" w:color="auto" w:fill="FFFFFF"/>
        <w:contextualSpacing/>
      </w:pPr>
    </w:p>
    <w:p w14:paraId="5107CDF7" w14:textId="77777777" w:rsidR="00894C1D" w:rsidRDefault="00894C1D" w:rsidP="00001324">
      <w:pPr>
        <w:shd w:val="clear" w:color="auto" w:fill="FFFFFF"/>
        <w:contextualSpacing/>
      </w:pPr>
      <w:r>
        <w:t>L</w:t>
      </w:r>
      <w:r w:rsidRPr="00894C1D">
        <w:t xml:space="preserve">eapfrog has also added a clarification to the measure specifications for hospitals that operate Single Acuity MedSurg Units: OB and Med-Surg Units, which are defined as combination units in which greater than 50% of the patients are obstetric and the remaining percent are adult acute med-surg such as gynecological and/or pediatric acute med-surg, should be excluded. </w:t>
      </w:r>
    </w:p>
    <w:p w14:paraId="37059688" w14:textId="77777777" w:rsidR="00894C1D" w:rsidRDefault="00894C1D" w:rsidP="00001324">
      <w:pPr>
        <w:shd w:val="clear" w:color="auto" w:fill="FFFFFF"/>
        <w:contextualSpacing/>
      </w:pPr>
    </w:p>
    <w:p w14:paraId="744415DF" w14:textId="33755333" w:rsidR="00BA2DA0" w:rsidRDefault="00894C1D" w:rsidP="00001324">
      <w:pPr>
        <w:shd w:val="clear" w:color="auto" w:fill="FFFFFF"/>
        <w:contextualSpacing/>
      </w:pPr>
      <w:r w:rsidRPr="00894C1D">
        <w:t>For the 2027 Leapfrog Hospital Survey, Leapfrog and the National Database of Nursing Quality Indicators (NDNQI) are exploring options that would allow active NDNQI clients to authorize Leapfrog to access their data directly from the NDNQI database, eliminating the need for clients to request reports from NDNQI.</w:t>
      </w:r>
    </w:p>
    <w:p w14:paraId="5CA24418" w14:textId="77777777" w:rsidR="00CE0A03" w:rsidRDefault="00CE0A03" w:rsidP="00001324">
      <w:pPr>
        <w:shd w:val="clear" w:color="auto" w:fill="FFFFFF"/>
        <w:contextualSpacing/>
      </w:pPr>
    </w:p>
    <w:p w14:paraId="63F97ECF" w14:textId="7357C0AC" w:rsidR="00CE0A03" w:rsidRDefault="00CE0A03" w:rsidP="00001324">
      <w:pPr>
        <w:shd w:val="clear" w:color="auto" w:fill="FFFFFF"/>
        <w:contextualSpacing/>
      </w:pPr>
      <w:r w:rsidRPr="00CE0A03">
        <w:t>There are no changes to the scoring algorithm for Section 5C: Nursing Workforce.</w:t>
      </w:r>
    </w:p>
    <w:p w14:paraId="7080B579" w14:textId="77777777" w:rsidR="004A58FC" w:rsidRPr="00174C5A" w:rsidRDefault="004A58FC" w:rsidP="00001324">
      <w:pPr>
        <w:shd w:val="clear" w:color="auto" w:fill="FFFFFF"/>
        <w:contextualSpacing/>
      </w:pPr>
    </w:p>
    <w:p w14:paraId="56E1BCF3" w14:textId="0DAA53A3" w:rsidR="0003003B" w:rsidRPr="009A5185" w:rsidRDefault="0003003B" w:rsidP="00AB5B80">
      <w:pPr>
        <w:pStyle w:val="Heading3"/>
      </w:pPr>
      <w:bookmarkStart w:id="433" w:name="_Toc236212809"/>
      <w:bookmarkStart w:id="434" w:name="_Toc383775056"/>
      <w:bookmarkStart w:id="435" w:name="_Toc225877757"/>
      <w:r w:rsidRPr="009A5185">
        <w:t>Change Summary</w:t>
      </w:r>
      <w:bookmarkEnd w:id="433"/>
      <w:r w:rsidRPr="009A5185">
        <w:t xml:space="preserve"> </w:t>
      </w:r>
      <w:r w:rsidR="0070116C">
        <w:t>S</w:t>
      </w:r>
      <w:r w:rsidRPr="009A5185">
        <w:t>ince Release</w:t>
      </w:r>
      <w:bookmarkEnd w:id="434"/>
      <w:bookmarkEnd w:id="435"/>
    </w:p>
    <w:p w14:paraId="2D1AABB1" w14:textId="77777777" w:rsidR="0003003B" w:rsidRPr="009A5185" w:rsidRDefault="0003003B" w:rsidP="0003003B">
      <w:pPr>
        <w:rPr>
          <w:rFonts w:cs="Arial"/>
          <w:lang w:eastAsia="ja-JP"/>
        </w:rPr>
      </w:pPr>
    </w:p>
    <w:p w14:paraId="6A8CB1F0" w14:textId="27E88A97" w:rsidR="00D0444E" w:rsidRDefault="00F46E03" w:rsidP="003440FB">
      <w:pPr>
        <w:pStyle w:val="BodyText3"/>
        <w:rPr>
          <w:rFonts w:cs="Arial"/>
        </w:rPr>
      </w:pPr>
      <w:r w:rsidRPr="003A50A0">
        <w:rPr>
          <w:rFonts w:cs="Arial"/>
        </w:rPr>
        <w:t xml:space="preserve">None. If substantive changes are made to this section of the Survey after release on April 1, </w:t>
      </w:r>
      <w:r>
        <w:rPr>
          <w:rFonts w:cs="Arial"/>
        </w:rPr>
        <w:t>202</w:t>
      </w:r>
      <w:r w:rsidR="00CC4DF1">
        <w:rPr>
          <w:rFonts w:cs="Arial"/>
        </w:rPr>
        <w:t>6</w:t>
      </w:r>
      <w:r w:rsidRPr="003A50A0">
        <w:rPr>
          <w:rFonts w:cs="Arial"/>
        </w:rPr>
        <w:t>, they will be documented in this Change Summary section.</w:t>
      </w:r>
    </w:p>
    <w:p w14:paraId="5485DB17" w14:textId="77777777" w:rsidR="00D0444E" w:rsidRDefault="00D0444E">
      <w:pPr>
        <w:rPr>
          <w:rFonts w:cs="Arial"/>
          <w:color w:val="000000"/>
        </w:rPr>
      </w:pPr>
      <w:r>
        <w:rPr>
          <w:rFonts w:cs="Arial"/>
        </w:rPr>
        <w:br w:type="page"/>
      </w:r>
    </w:p>
    <w:p w14:paraId="272FA66D" w14:textId="77777777" w:rsidR="00D0444E" w:rsidRPr="00E752F9" w:rsidRDefault="00D0444E" w:rsidP="00AB5B80">
      <w:pPr>
        <w:pStyle w:val="Heading3"/>
      </w:pPr>
      <w:bookmarkStart w:id="436" w:name="_Nursing_Workforce_Measure_1"/>
      <w:bookmarkStart w:id="437" w:name="_Toc225877758"/>
      <w:bookmarkEnd w:id="436"/>
      <w:r>
        <w:lastRenderedPageBreak/>
        <w:t>Nursing Workforce Measure Specifications</w:t>
      </w:r>
      <w:bookmarkEnd w:id="437"/>
    </w:p>
    <w:p w14:paraId="6A105C8A" w14:textId="77777777" w:rsidR="00D0444E" w:rsidRPr="00D832F9" w:rsidRDefault="00D0444E" w:rsidP="00D0444E">
      <w:pPr>
        <w:rPr>
          <w:sz w:val="16"/>
          <w:szCs w:val="16"/>
        </w:rPr>
      </w:pPr>
    </w:p>
    <w:p w14:paraId="10BB1C23" w14:textId="77777777" w:rsidR="00D0444E" w:rsidRPr="009A5185" w:rsidRDefault="00D0444E" w:rsidP="00D0444E">
      <w:pPr>
        <w:rPr>
          <w:rFonts w:cs="Arial"/>
          <w:b/>
        </w:rPr>
      </w:pPr>
      <w:r w:rsidRPr="009A5185">
        <w:rPr>
          <w:rFonts w:cs="Arial"/>
          <w:b/>
          <w:color w:val="FF0000"/>
        </w:rPr>
        <w:t>Important Note:</w:t>
      </w:r>
      <w:r w:rsidRPr="009A5185">
        <w:rPr>
          <w:rFonts w:cs="Arial"/>
          <w:b/>
        </w:rPr>
        <w:t xml:space="preserve"> </w:t>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37" w:history="1">
        <w:r w:rsidRPr="009A5185">
          <w:rPr>
            <w:rStyle w:val="Hyperlink"/>
            <w:rFonts w:cs="Arial"/>
          </w:rPr>
          <w:t>Leapfrog’s Multi-Campus Reporting Policy</w:t>
        </w:r>
      </w:hyperlink>
      <w:r w:rsidRPr="009A5185">
        <w:rPr>
          <w:rFonts w:cs="Arial"/>
          <w:snapToGrid w:val="0"/>
        </w:rPr>
        <w:t>.</w:t>
      </w:r>
    </w:p>
    <w:p w14:paraId="753323CF" w14:textId="77777777" w:rsidR="00D0444E" w:rsidRPr="004D26B9" w:rsidRDefault="00D0444E" w:rsidP="00D0444E">
      <w:pPr>
        <w:pStyle w:val="Heading44"/>
      </w:pPr>
    </w:p>
    <w:p w14:paraId="45F1A5C6" w14:textId="1731EEF8" w:rsidR="00D0444E" w:rsidRPr="004D26B9" w:rsidRDefault="00D0444E" w:rsidP="00D0444E">
      <w:pPr>
        <w:pStyle w:val="Heading44"/>
      </w:pPr>
      <w:r w:rsidRPr="004D26B9">
        <w:t xml:space="preserve">Total Nursing Care Hours per Patient Day </w:t>
      </w:r>
      <w:r w:rsidR="00A31093">
        <w:t xml:space="preserve">and </w:t>
      </w:r>
      <w:r w:rsidRPr="004D26B9">
        <w:t xml:space="preserve">RN Hours per Patient Day Measure Specifications </w:t>
      </w:r>
    </w:p>
    <w:p w14:paraId="62717438" w14:textId="77777777" w:rsidR="00D0444E" w:rsidRPr="00BB3760" w:rsidRDefault="00D0444E" w:rsidP="00D0444E">
      <w:pPr>
        <w:rPr>
          <w:rFonts w:cs="Arial"/>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7"/>
      </w:tblGrid>
      <w:tr w:rsidR="00D0444E" w:rsidRPr="00BB3760" w14:paraId="363B2E45" w14:textId="77777777" w:rsidTr="00D73F6A">
        <w:trPr>
          <w:trHeight w:val="360"/>
          <w:jc w:val="center"/>
        </w:trPr>
        <w:tc>
          <w:tcPr>
            <w:tcW w:w="9387" w:type="dxa"/>
            <w:vAlign w:val="center"/>
          </w:tcPr>
          <w:p w14:paraId="358479A3" w14:textId="178BC504" w:rsidR="00D0444E" w:rsidRPr="00BB3760" w:rsidRDefault="00D0444E" w:rsidP="00D73F6A">
            <w:pPr>
              <w:autoSpaceDE w:val="0"/>
              <w:autoSpaceDN w:val="0"/>
              <w:adjustRightInd w:val="0"/>
              <w:rPr>
                <w:rFonts w:cs="Arial"/>
                <w:b/>
              </w:rPr>
            </w:pPr>
            <w:r w:rsidRPr="00BB3760">
              <w:rPr>
                <w:rFonts w:cs="Arial"/>
                <w:b/>
              </w:rPr>
              <w:t xml:space="preserve">Source: </w:t>
            </w:r>
            <w:r w:rsidRPr="00BB3760">
              <w:rPr>
                <w:rFonts w:cs="Arial"/>
              </w:rPr>
              <w:t>American Nurses Association (ANA) (National Quality Forum #0205)</w:t>
            </w:r>
          </w:p>
        </w:tc>
      </w:tr>
      <w:tr w:rsidR="00D0444E" w:rsidRPr="00BB3760" w14:paraId="7CC6090F" w14:textId="77777777" w:rsidTr="00D73F6A">
        <w:trPr>
          <w:trHeight w:val="1296"/>
          <w:jc w:val="center"/>
        </w:trPr>
        <w:tc>
          <w:tcPr>
            <w:tcW w:w="9387" w:type="dxa"/>
            <w:vAlign w:val="center"/>
          </w:tcPr>
          <w:p w14:paraId="176ACE8E" w14:textId="77777777" w:rsidR="00D0444E" w:rsidRPr="00BB3760" w:rsidRDefault="00D0444E" w:rsidP="00D73F6A">
            <w:pPr>
              <w:rPr>
                <w:rFonts w:cs="Arial"/>
                <w:bCs/>
                <w:snapToGrid w:val="0"/>
              </w:rPr>
            </w:pPr>
            <w:r w:rsidRPr="00BB3760">
              <w:rPr>
                <w:rFonts w:cs="Arial"/>
                <w:b/>
                <w:snapToGrid w:val="0"/>
              </w:rPr>
              <w:t>Reporting Period: 12 months</w:t>
            </w:r>
          </w:p>
          <w:p w14:paraId="7782EDFB" w14:textId="77777777" w:rsidR="00D0444E" w:rsidRPr="00BB3760" w:rsidRDefault="00D0444E" w:rsidP="00AD309C">
            <w:pPr>
              <w:pStyle w:val="ListParagraph"/>
              <w:numPr>
                <w:ilvl w:val="0"/>
                <w:numId w:val="151"/>
              </w:numPr>
              <w:rPr>
                <w:rFonts w:cs="Arial"/>
                <w:bCs/>
              </w:rPr>
            </w:pPr>
            <w:r w:rsidRPr="00BB3760">
              <w:rPr>
                <w:rFonts w:cs="Arial"/>
                <w:bCs/>
              </w:rPr>
              <w:t>Survey submitted prior to September 1:</w:t>
            </w:r>
          </w:p>
          <w:p w14:paraId="74F0B290" w14:textId="59431883" w:rsidR="00D0444E" w:rsidRPr="00BB3760" w:rsidRDefault="00D0444E" w:rsidP="00AD309C">
            <w:pPr>
              <w:pStyle w:val="ListParagraph"/>
              <w:numPr>
                <w:ilvl w:val="1"/>
                <w:numId w:val="151"/>
              </w:numPr>
              <w:rPr>
                <w:rFonts w:cs="Arial"/>
                <w:bCs/>
              </w:rPr>
            </w:pPr>
            <w:r w:rsidRPr="00BB3760">
              <w:rPr>
                <w:rFonts w:cs="Arial"/>
                <w:bCs/>
              </w:rPr>
              <w:t>01/01/202</w:t>
            </w:r>
            <w:r w:rsidR="001A6F91">
              <w:rPr>
                <w:rFonts w:cs="Arial"/>
                <w:bCs/>
              </w:rPr>
              <w:t>5</w:t>
            </w:r>
            <w:r w:rsidRPr="00BB3760">
              <w:rPr>
                <w:rFonts w:cs="Arial"/>
                <w:bCs/>
              </w:rPr>
              <w:t xml:space="preserve"> – 12/31/202</w:t>
            </w:r>
            <w:r w:rsidR="001A6F91">
              <w:rPr>
                <w:rFonts w:cs="Arial"/>
                <w:bCs/>
              </w:rPr>
              <w:t>5</w:t>
            </w:r>
          </w:p>
          <w:p w14:paraId="50FF2C3B" w14:textId="77777777" w:rsidR="00D0444E" w:rsidRPr="00BB3760" w:rsidRDefault="00D0444E" w:rsidP="00AD309C">
            <w:pPr>
              <w:pStyle w:val="ListParagraph"/>
              <w:numPr>
                <w:ilvl w:val="0"/>
                <w:numId w:val="151"/>
              </w:numPr>
              <w:rPr>
                <w:rFonts w:cs="Arial"/>
                <w:bCs/>
              </w:rPr>
            </w:pPr>
            <w:r w:rsidRPr="00BB3760">
              <w:rPr>
                <w:rFonts w:cs="Arial"/>
                <w:bCs/>
              </w:rPr>
              <w:t>Surveys submitted on or after September 1:</w:t>
            </w:r>
          </w:p>
          <w:p w14:paraId="6850BF41" w14:textId="088A4478" w:rsidR="00D0444E" w:rsidRPr="00BB3760" w:rsidRDefault="00D0444E" w:rsidP="00AD309C">
            <w:pPr>
              <w:pStyle w:val="ListParagraph"/>
              <w:numPr>
                <w:ilvl w:val="1"/>
                <w:numId w:val="151"/>
              </w:numPr>
              <w:rPr>
                <w:rFonts w:cs="Arial"/>
                <w:b/>
              </w:rPr>
            </w:pPr>
            <w:r w:rsidRPr="00BB3760">
              <w:rPr>
                <w:rFonts w:cs="Arial"/>
                <w:bCs/>
              </w:rPr>
              <w:t>07/01/202</w:t>
            </w:r>
            <w:r w:rsidR="001A6F91">
              <w:rPr>
                <w:rFonts w:cs="Arial"/>
                <w:bCs/>
              </w:rPr>
              <w:t>5</w:t>
            </w:r>
            <w:r w:rsidRPr="00BB3760">
              <w:rPr>
                <w:rFonts w:cs="Arial"/>
                <w:bCs/>
              </w:rPr>
              <w:t xml:space="preserve"> – 06/30/202</w:t>
            </w:r>
            <w:r w:rsidR="001A6F91">
              <w:rPr>
                <w:rFonts w:cs="Arial"/>
                <w:bCs/>
              </w:rPr>
              <w:t>6</w:t>
            </w:r>
          </w:p>
        </w:tc>
      </w:tr>
    </w:tbl>
    <w:p w14:paraId="54568C98" w14:textId="77777777" w:rsidR="00D0444E" w:rsidRDefault="00D0444E" w:rsidP="00D0444E"/>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7"/>
      </w:tblGrid>
      <w:tr w:rsidR="00D0444E" w:rsidRPr="00BB3760" w14:paraId="0904EA40" w14:textId="77777777" w:rsidTr="00D73F6A">
        <w:trPr>
          <w:trHeight w:val="576"/>
          <w:jc w:val="center"/>
        </w:trPr>
        <w:tc>
          <w:tcPr>
            <w:tcW w:w="9387" w:type="dxa"/>
            <w:shd w:val="clear" w:color="auto" w:fill="BFBFBF" w:themeFill="background1" w:themeFillShade="BF"/>
            <w:vAlign w:val="center"/>
          </w:tcPr>
          <w:p w14:paraId="175C7EB6" w14:textId="77777777" w:rsidR="00D0444E" w:rsidRPr="00BB3760" w:rsidRDefault="00D0444E" w:rsidP="00D73F6A">
            <w:pPr>
              <w:rPr>
                <w:rFonts w:cs="Arial"/>
                <w:b/>
                <w:snapToGrid w:val="0"/>
              </w:rPr>
            </w:pPr>
            <w:r w:rsidRPr="00BB3760">
              <w:rPr>
                <w:rFonts w:cs="Arial"/>
                <w:b/>
                <w:snapToGrid w:val="0"/>
              </w:rPr>
              <w:t>Hospitals that report this data to NDNQI</w:t>
            </w:r>
            <w:r w:rsidRPr="00C211DD">
              <w:rPr>
                <w:rFonts w:cs="Arial"/>
                <w:b/>
                <w:snapToGrid w:val="0"/>
                <w:vertAlign w:val="superscript"/>
              </w:rPr>
              <w:t>®</w:t>
            </w:r>
            <w:r w:rsidRPr="00BB3760">
              <w:rPr>
                <w:rFonts w:cs="Arial"/>
                <w:b/>
                <w:snapToGrid w:val="0"/>
              </w:rPr>
              <w:t xml:space="preserve"> (National Database of Nursing Quality Indicators</w:t>
            </w:r>
            <w:r w:rsidRPr="00C211DD">
              <w:rPr>
                <w:rFonts w:cs="Arial"/>
                <w:b/>
                <w:snapToGrid w:val="0"/>
                <w:vertAlign w:val="superscript"/>
              </w:rPr>
              <w:t>®</w:t>
            </w:r>
            <w:r w:rsidRPr="00BB3760">
              <w:rPr>
                <w:rFonts w:cs="Arial"/>
                <w:b/>
                <w:snapToGrid w:val="0"/>
              </w:rPr>
              <w:t>):</w:t>
            </w:r>
          </w:p>
          <w:p w14:paraId="5275B746" w14:textId="77777777" w:rsidR="00D0444E" w:rsidRPr="00BB3760" w:rsidRDefault="00D0444E" w:rsidP="00D73F6A">
            <w:pPr>
              <w:rPr>
                <w:rFonts w:cs="Arial"/>
                <w:b/>
                <w:snapToGrid w:val="0"/>
              </w:rPr>
            </w:pPr>
            <w:r w:rsidRPr="00BB3760">
              <w:rPr>
                <w:rFonts w:cs="Arial"/>
                <w:bCs/>
                <w:snapToGrid w:val="0"/>
              </w:rPr>
              <w:t>Data for this measure can be obtained directly from NDNQI. See details below.</w:t>
            </w:r>
          </w:p>
        </w:tc>
      </w:tr>
      <w:tr w:rsidR="00D0444E" w:rsidRPr="00BB3760" w14:paraId="0C59F311" w14:textId="77777777" w:rsidTr="00D73F6A">
        <w:trPr>
          <w:trHeight w:val="720"/>
          <w:jc w:val="center"/>
        </w:trPr>
        <w:tc>
          <w:tcPr>
            <w:tcW w:w="9387" w:type="dxa"/>
            <w:vAlign w:val="center"/>
          </w:tcPr>
          <w:p w14:paraId="75FADC94" w14:textId="4AA503AA" w:rsidR="00EC57EF" w:rsidRDefault="00D0444E" w:rsidP="00EC57EF">
            <w:pPr>
              <w:autoSpaceDE w:val="0"/>
              <w:autoSpaceDN w:val="0"/>
              <w:adjustRightInd w:val="0"/>
              <w:rPr>
                <w:rFonts w:cs="Arial"/>
                <w:bCs/>
                <w:snapToGrid w:val="0"/>
              </w:rPr>
            </w:pPr>
            <w:r>
              <w:rPr>
                <w:rFonts w:cs="Arial"/>
                <w:bCs/>
                <w:snapToGrid w:val="0"/>
              </w:rPr>
              <w:t>Hospitals</w:t>
            </w:r>
            <w:r w:rsidRPr="00FE0FF7">
              <w:rPr>
                <w:rFonts w:cs="Arial"/>
                <w:bCs/>
                <w:snapToGrid w:val="0"/>
              </w:rPr>
              <w:t xml:space="preserve"> that submit nursing care hours and patient days to NDNQI will be able to respond to questions #</w:t>
            </w:r>
            <w:r w:rsidR="0093002F">
              <w:rPr>
                <w:rFonts w:cs="Arial"/>
                <w:bCs/>
                <w:snapToGrid w:val="0"/>
              </w:rPr>
              <w:t>2</w:t>
            </w:r>
            <w:r w:rsidRPr="00FE0FF7">
              <w:rPr>
                <w:rFonts w:cs="Arial"/>
                <w:bCs/>
                <w:snapToGrid w:val="0"/>
              </w:rPr>
              <w:t xml:space="preserve"> - 1</w:t>
            </w:r>
            <w:r w:rsidR="00D60AF6">
              <w:rPr>
                <w:rFonts w:cs="Arial"/>
                <w:bCs/>
                <w:snapToGrid w:val="0"/>
              </w:rPr>
              <w:t>3</w:t>
            </w:r>
            <w:r w:rsidRPr="00FE0FF7">
              <w:rPr>
                <w:rFonts w:cs="Arial"/>
                <w:bCs/>
                <w:snapToGrid w:val="0"/>
              </w:rPr>
              <w:t xml:space="preserve"> in Section </w:t>
            </w:r>
            <w:r w:rsidR="00842EE0">
              <w:rPr>
                <w:rFonts w:cs="Arial"/>
                <w:bCs/>
                <w:snapToGrid w:val="0"/>
              </w:rPr>
              <w:t>5</w:t>
            </w:r>
            <w:r w:rsidRPr="00FE0FF7">
              <w:rPr>
                <w:rFonts w:cs="Arial"/>
                <w:bCs/>
                <w:snapToGrid w:val="0"/>
              </w:rPr>
              <w:t xml:space="preserve">C. </w:t>
            </w:r>
            <w:r w:rsidR="00EC57EF" w:rsidRPr="0004565D">
              <w:rPr>
                <w:rFonts w:cs="Arial"/>
                <w:bCs/>
                <w:snapToGrid w:val="0"/>
              </w:rPr>
              <w:t xml:space="preserve">Active NDNQI clients should email </w:t>
            </w:r>
            <w:hyperlink r:id="rId338" w:history="1">
              <w:r w:rsidR="00A746BA" w:rsidRPr="003262D6">
                <w:rPr>
                  <w:rStyle w:val="Hyperlink"/>
                  <w:rFonts w:cs="Arial"/>
                  <w:bCs/>
                  <w:snapToGrid w:val="0"/>
                </w:rPr>
                <w:t>NDNQISupport@PressGaney.com</w:t>
              </w:r>
            </w:hyperlink>
            <w:r w:rsidR="00A746BA">
              <w:rPr>
                <w:rFonts w:cs="Arial"/>
                <w:bCs/>
                <w:snapToGrid w:val="0"/>
              </w:rPr>
              <w:t xml:space="preserve"> </w:t>
            </w:r>
            <w:r w:rsidR="00EC57EF" w:rsidRPr="0004565D">
              <w:rPr>
                <w:rFonts w:cs="Arial"/>
                <w:bCs/>
                <w:snapToGrid w:val="0"/>
              </w:rPr>
              <w:t xml:space="preserve"> or call 855-304-9788 to connect with one of NDNQI’s team members and specify that they are requesting support for the purposes of Leapfrog Hospital Survey reporting on Total Nursing Care Hours per Patient Day</w:t>
            </w:r>
            <w:r w:rsidR="00B907F2">
              <w:rPr>
                <w:rFonts w:cs="Arial"/>
                <w:bCs/>
                <w:snapToGrid w:val="0"/>
              </w:rPr>
              <w:t xml:space="preserve"> and</w:t>
            </w:r>
            <w:r w:rsidR="00EC57EF" w:rsidRPr="0004565D">
              <w:rPr>
                <w:rFonts w:cs="Arial"/>
                <w:bCs/>
                <w:snapToGrid w:val="0"/>
              </w:rPr>
              <w:t xml:space="preserve"> RN Hours per Patient Day</w:t>
            </w:r>
            <w:r w:rsidR="00B907F2">
              <w:rPr>
                <w:rFonts w:cs="Arial"/>
                <w:bCs/>
                <w:snapToGrid w:val="0"/>
              </w:rPr>
              <w:t xml:space="preserve">. </w:t>
            </w:r>
            <w:r w:rsidR="00EC57EF" w:rsidRPr="0004565D">
              <w:rPr>
                <w:rFonts w:cs="Arial"/>
                <w:bCs/>
                <w:snapToGrid w:val="0"/>
              </w:rPr>
              <w:t>For 202</w:t>
            </w:r>
            <w:r w:rsidR="00CC4939">
              <w:rPr>
                <w:rFonts w:cs="Arial"/>
                <w:bCs/>
                <w:snapToGrid w:val="0"/>
              </w:rPr>
              <w:t>6</w:t>
            </w:r>
            <w:r w:rsidR="00EC57EF" w:rsidRPr="0004565D">
              <w:rPr>
                <w:rFonts w:cs="Arial"/>
                <w:bCs/>
                <w:snapToGrid w:val="0"/>
              </w:rPr>
              <w:t>, additional support for these calculations for active NDNQI clients with eligible data will be provided at no additional cost.</w:t>
            </w:r>
          </w:p>
          <w:p w14:paraId="33ED16AC" w14:textId="77777777" w:rsidR="00EC57EF" w:rsidRDefault="00EC57EF" w:rsidP="00EC57EF">
            <w:pPr>
              <w:autoSpaceDE w:val="0"/>
              <w:autoSpaceDN w:val="0"/>
              <w:adjustRightInd w:val="0"/>
              <w:rPr>
                <w:rFonts w:cs="Arial"/>
                <w:bCs/>
                <w:snapToGrid w:val="0"/>
              </w:rPr>
            </w:pPr>
          </w:p>
          <w:p w14:paraId="1C9B495B" w14:textId="466C2626" w:rsidR="00D0444E" w:rsidRPr="0045571D" w:rsidRDefault="00EC57EF" w:rsidP="00EC57EF">
            <w:pPr>
              <w:autoSpaceDE w:val="0"/>
              <w:autoSpaceDN w:val="0"/>
              <w:adjustRightInd w:val="0"/>
              <w:rPr>
                <w:rFonts w:cs="Arial"/>
                <w:bCs/>
                <w:snapToGrid w:val="0"/>
              </w:rPr>
            </w:pPr>
            <w:r w:rsidRPr="00D845A5">
              <w:rPr>
                <w:rFonts w:cs="Arial"/>
                <w:bCs/>
                <w:snapToGrid w:val="0"/>
              </w:rPr>
              <w:t xml:space="preserve">For NDNQI units to include, please reach out directly to </w:t>
            </w:r>
            <w:hyperlink r:id="rId339" w:history="1">
              <w:r w:rsidR="004214B1" w:rsidRPr="00A2752F">
                <w:rPr>
                  <w:rStyle w:val="Hyperlink"/>
                  <w:rFonts w:cs="Arial"/>
                  <w:bCs/>
                  <w:snapToGrid w:val="0"/>
                </w:rPr>
                <w:t>ndnqisupport@pressganey.com</w:t>
              </w:r>
            </w:hyperlink>
            <w:r>
              <w:rPr>
                <w:rFonts w:cs="Arial"/>
                <w:bCs/>
                <w:snapToGrid w:val="0"/>
              </w:rPr>
              <w:t>.</w:t>
            </w:r>
            <w:r w:rsidR="004214B1">
              <w:rPr>
                <w:rFonts w:cs="Arial"/>
                <w:bCs/>
                <w:snapToGrid w:val="0"/>
              </w:rPr>
              <w:t xml:space="preserve"> </w:t>
            </w:r>
          </w:p>
        </w:tc>
      </w:tr>
    </w:tbl>
    <w:p w14:paraId="71CE7FD5" w14:textId="77777777" w:rsidR="00D0444E" w:rsidRDefault="00D0444E" w:rsidP="00D0444E"/>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7"/>
      </w:tblGrid>
      <w:tr w:rsidR="00D0444E" w:rsidRPr="00BB3760" w14:paraId="0BEFB249" w14:textId="77777777" w:rsidTr="00D73F6A">
        <w:trPr>
          <w:trHeight w:val="576"/>
          <w:jc w:val="center"/>
        </w:trPr>
        <w:tc>
          <w:tcPr>
            <w:tcW w:w="9387" w:type="dxa"/>
            <w:shd w:val="clear" w:color="auto" w:fill="BFBFBF" w:themeFill="background1" w:themeFillShade="BF"/>
            <w:vAlign w:val="center"/>
          </w:tcPr>
          <w:p w14:paraId="1A0AF21C" w14:textId="77777777" w:rsidR="00D0444E" w:rsidRPr="00BB3760" w:rsidRDefault="00D0444E" w:rsidP="00D73F6A">
            <w:pPr>
              <w:rPr>
                <w:rFonts w:cs="Arial"/>
                <w:b/>
                <w:snapToGrid w:val="0"/>
              </w:rPr>
            </w:pPr>
            <w:r w:rsidRPr="00BB3760">
              <w:rPr>
                <w:rFonts w:cs="Arial"/>
                <w:b/>
                <w:snapToGrid w:val="0"/>
              </w:rPr>
              <w:t>Hospitals that do not report this data to NDNQI:</w:t>
            </w:r>
          </w:p>
          <w:p w14:paraId="30F6ED05" w14:textId="77777777" w:rsidR="00D0444E" w:rsidRPr="00BB3760" w:rsidRDefault="00D0444E" w:rsidP="00D73F6A">
            <w:pPr>
              <w:rPr>
                <w:rFonts w:cs="Arial"/>
              </w:rPr>
            </w:pPr>
            <w:r w:rsidRPr="00BB3760">
              <w:rPr>
                <w:rFonts w:cs="Arial"/>
                <w:bCs/>
                <w:snapToGrid w:val="0"/>
              </w:rPr>
              <w:t>Data for this measure can be obtained using the measure specifications below.</w:t>
            </w:r>
          </w:p>
        </w:tc>
      </w:tr>
      <w:tr w:rsidR="00D0444E" w:rsidRPr="00BB3760" w14:paraId="0A0A9069" w14:textId="77777777" w:rsidTr="00D73F6A">
        <w:trPr>
          <w:trHeight w:val="890"/>
          <w:jc w:val="center"/>
        </w:trPr>
        <w:tc>
          <w:tcPr>
            <w:tcW w:w="9387" w:type="dxa"/>
            <w:vAlign w:val="center"/>
          </w:tcPr>
          <w:p w14:paraId="77E10601" w14:textId="7D024706" w:rsidR="00D0444E" w:rsidRDefault="00D0444E" w:rsidP="00D73F6A">
            <w:pPr>
              <w:autoSpaceDE w:val="0"/>
              <w:autoSpaceDN w:val="0"/>
              <w:adjustRightInd w:val="0"/>
              <w:rPr>
                <w:rFonts w:cs="Arial"/>
                <w:b/>
                <w:bCs/>
              </w:rPr>
            </w:pPr>
            <w:r w:rsidRPr="00372553">
              <w:rPr>
                <w:rFonts w:cs="Arial"/>
                <w:b/>
                <w:bCs/>
              </w:rPr>
              <w:t>Question #</w:t>
            </w:r>
            <w:r w:rsidR="00623B54">
              <w:rPr>
                <w:rFonts w:cs="Arial"/>
                <w:b/>
                <w:bCs/>
              </w:rPr>
              <w:t>3</w:t>
            </w:r>
            <w:r w:rsidRPr="00372553">
              <w:rPr>
                <w:rFonts w:cs="Arial"/>
                <w:b/>
                <w:bCs/>
              </w:rPr>
              <w:t xml:space="preserve">: </w:t>
            </w:r>
            <w:r w:rsidRPr="0011200A">
              <w:rPr>
                <w:rFonts w:cs="Arial"/>
                <w:b/>
                <w:bCs/>
              </w:rPr>
              <w:t>Which method did your hospital use to calculate the total number of patient days for each single acuity Medical, Surgical, Med-Surg or mixed acuity Medical, Surgical or Med-Surg Unit?</w:t>
            </w:r>
          </w:p>
          <w:p w14:paraId="0EB04369" w14:textId="77777777" w:rsidR="00D0444E" w:rsidRPr="00372553" w:rsidRDefault="00D0444E" w:rsidP="00D73F6A">
            <w:pPr>
              <w:autoSpaceDE w:val="0"/>
              <w:autoSpaceDN w:val="0"/>
              <w:adjustRightInd w:val="0"/>
              <w:rPr>
                <w:rFonts w:cs="Arial"/>
                <w:b/>
                <w:bCs/>
              </w:rPr>
            </w:pPr>
          </w:p>
          <w:p w14:paraId="1B16CE1E" w14:textId="6A4AC731" w:rsidR="00D0444E" w:rsidRPr="00372553" w:rsidRDefault="00D0444E" w:rsidP="00AD309C">
            <w:pPr>
              <w:pStyle w:val="ListParagraph"/>
              <w:numPr>
                <w:ilvl w:val="0"/>
                <w:numId w:val="379"/>
              </w:numPr>
              <w:autoSpaceDE w:val="0"/>
              <w:autoSpaceDN w:val="0"/>
              <w:adjustRightInd w:val="0"/>
              <w:rPr>
                <w:rFonts w:cs="Arial"/>
                <w:b/>
                <w:bCs/>
              </w:rPr>
            </w:pPr>
            <w:r w:rsidRPr="00372553">
              <w:rPr>
                <w:rFonts w:cs="Arial"/>
                <w:b/>
                <w:bCs/>
              </w:rPr>
              <w:t>Midnight Census</w:t>
            </w:r>
            <w:r w:rsidR="00956DFD">
              <w:rPr>
                <w:rFonts w:cs="Arial"/>
                <w:b/>
                <w:bCs/>
              </w:rPr>
              <w:t xml:space="preserve"> (including observation patients)</w:t>
            </w:r>
            <w:r>
              <w:rPr>
                <w:rFonts w:cs="Arial"/>
                <w:b/>
                <w:bCs/>
              </w:rPr>
              <w:t xml:space="preserve">: </w:t>
            </w:r>
            <w:r>
              <w:rPr>
                <w:rFonts w:cs="Arial"/>
              </w:rPr>
              <w:t>The</w:t>
            </w:r>
            <w:r w:rsidRPr="00372553">
              <w:rPr>
                <w:rFonts w:cs="Arial"/>
              </w:rPr>
              <w:t xml:space="preserve"> sum </w:t>
            </w:r>
            <w:r>
              <w:rPr>
                <w:rFonts w:cs="Arial"/>
              </w:rPr>
              <w:t xml:space="preserve">of </w:t>
            </w:r>
            <w:r w:rsidRPr="00372553">
              <w:rPr>
                <w:rFonts w:cs="Arial"/>
              </w:rPr>
              <w:t xml:space="preserve">the daily midnight census counts (the number of </w:t>
            </w:r>
            <w:r w:rsidR="003B08E4">
              <w:rPr>
                <w:rFonts w:cs="Arial"/>
                <w:b/>
                <w:bCs/>
                <w:i/>
                <w:iCs/>
              </w:rPr>
              <w:t xml:space="preserve">all </w:t>
            </w:r>
            <w:r w:rsidRPr="00372553">
              <w:rPr>
                <w:rFonts w:cs="Arial"/>
              </w:rPr>
              <w:t>patients on the unit at midnight each day) during the reporting period.</w:t>
            </w:r>
            <w:r w:rsidR="00D15CE5">
              <w:rPr>
                <w:rFonts w:cs="Arial"/>
              </w:rPr>
              <w:t xml:space="preserve"> </w:t>
            </w:r>
            <w:r w:rsidR="00D15CE5" w:rsidRPr="0004565D">
              <w:rPr>
                <w:rFonts w:cs="Arial"/>
              </w:rPr>
              <w:t>Short stay patients (who are in and out of the unit before the census count is taken) should be included; otherwise, this method cannot be used.</w:t>
            </w:r>
          </w:p>
          <w:p w14:paraId="3F07A032" w14:textId="77777777" w:rsidR="00E07D8E" w:rsidRPr="0004565D" w:rsidRDefault="00E07D8E" w:rsidP="00AD309C">
            <w:pPr>
              <w:pStyle w:val="ListParagraph"/>
              <w:numPr>
                <w:ilvl w:val="0"/>
                <w:numId w:val="379"/>
              </w:numPr>
              <w:autoSpaceDE w:val="0"/>
              <w:autoSpaceDN w:val="0"/>
              <w:adjustRightInd w:val="0"/>
              <w:rPr>
                <w:rFonts w:cs="Arial"/>
                <w:b/>
                <w:bCs/>
              </w:rPr>
            </w:pPr>
            <w:r w:rsidRPr="0004565D">
              <w:rPr>
                <w:rFonts w:cs="Arial"/>
                <w:b/>
                <w:bCs/>
              </w:rPr>
              <w:t xml:space="preserve">Midnight Census and Patient Days from Actual Hours for Short Stay Patients: </w:t>
            </w:r>
            <w:r w:rsidRPr="0004565D">
              <w:rPr>
                <w:rFonts w:cs="Arial"/>
              </w:rPr>
              <w:t>A combination of Midnight Census and Patient Days from Actual Hours collected during the reporting period.</w:t>
            </w:r>
          </w:p>
          <w:p w14:paraId="54EE0680" w14:textId="77777777" w:rsidR="00D0444E" w:rsidRPr="00372553" w:rsidRDefault="00D0444E" w:rsidP="00AD309C">
            <w:pPr>
              <w:pStyle w:val="ListParagraph"/>
              <w:numPr>
                <w:ilvl w:val="0"/>
                <w:numId w:val="379"/>
              </w:numPr>
              <w:autoSpaceDE w:val="0"/>
              <w:autoSpaceDN w:val="0"/>
              <w:adjustRightInd w:val="0"/>
              <w:rPr>
                <w:rFonts w:cs="Arial"/>
                <w:b/>
                <w:bCs/>
              </w:rPr>
            </w:pPr>
            <w:r w:rsidRPr="00372553">
              <w:rPr>
                <w:rFonts w:cs="Arial"/>
                <w:b/>
                <w:bCs/>
              </w:rPr>
              <w:t>Patient Days from Actual Hours</w:t>
            </w:r>
            <w:r>
              <w:rPr>
                <w:rFonts w:cs="Arial"/>
                <w:b/>
                <w:bCs/>
              </w:rPr>
              <w:t xml:space="preserve">: </w:t>
            </w:r>
            <w:r w:rsidRPr="00194120">
              <w:rPr>
                <w:rFonts w:cs="Arial"/>
              </w:rPr>
              <w:t>The</w:t>
            </w:r>
            <w:r w:rsidRPr="00372553">
              <w:rPr>
                <w:rFonts w:cs="Arial"/>
              </w:rPr>
              <w:t xml:space="preserve"> sum </w:t>
            </w:r>
            <w:r>
              <w:rPr>
                <w:rFonts w:cs="Arial"/>
              </w:rPr>
              <w:t xml:space="preserve">of </w:t>
            </w:r>
            <w:r w:rsidRPr="00372553">
              <w:rPr>
                <w:rFonts w:cs="Arial"/>
              </w:rPr>
              <w:t>the actual hours for all patients during the reporting period divide</w:t>
            </w:r>
            <w:r>
              <w:rPr>
                <w:rFonts w:cs="Arial"/>
              </w:rPr>
              <w:t>d</w:t>
            </w:r>
            <w:r w:rsidRPr="00372553">
              <w:rPr>
                <w:rFonts w:cs="Arial"/>
              </w:rPr>
              <w:t xml:space="preserve"> by 24</w:t>
            </w:r>
            <w:r>
              <w:rPr>
                <w:rFonts w:cs="Arial"/>
              </w:rPr>
              <w:t>; typically obtained from an accounting system that tracks the actual time spent in the hospital by each patient</w:t>
            </w:r>
            <w:r w:rsidRPr="00372553">
              <w:rPr>
                <w:rFonts w:cs="Arial"/>
              </w:rPr>
              <w:t>.</w:t>
            </w:r>
          </w:p>
          <w:p w14:paraId="34289023" w14:textId="61949A67" w:rsidR="00B71135" w:rsidRPr="00372553" w:rsidRDefault="00D0444E" w:rsidP="00AD309C">
            <w:pPr>
              <w:pStyle w:val="ListParagraph"/>
              <w:numPr>
                <w:ilvl w:val="0"/>
                <w:numId w:val="379"/>
              </w:numPr>
              <w:autoSpaceDE w:val="0"/>
              <w:autoSpaceDN w:val="0"/>
              <w:adjustRightInd w:val="0"/>
              <w:rPr>
                <w:rFonts w:cs="Arial"/>
                <w:b/>
                <w:bCs/>
              </w:rPr>
            </w:pPr>
            <w:r w:rsidRPr="00372553">
              <w:rPr>
                <w:rFonts w:cs="Arial"/>
                <w:b/>
                <w:bCs/>
              </w:rPr>
              <w:t>Patient Days from Multiple Census Reports</w:t>
            </w:r>
            <w:r>
              <w:rPr>
                <w:rFonts w:cs="Arial"/>
                <w:b/>
                <w:bCs/>
              </w:rPr>
              <w:t xml:space="preserve">: </w:t>
            </w:r>
            <w:r>
              <w:rPr>
                <w:rFonts w:cs="Arial"/>
              </w:rPr>
              <w:t xml:space="preserve">The </w:t>
            </w:r>
            <w:r w:rsidRPr="00372553">
              <w:rPr>
                <w:rFonts w:cs="Arial"/>
              </w:rPr>
              <w:t xml:space="preserve">sum </w:t>
            </w:r>
            <w:r>
              <w:rPr>
                <w:rFonts w:cs="Arial"/>
              </w:rPr>
              <w:t xml:space="preserve">of </w:t>
            </w:r>
            <w:r w:rsidRPr="00372553">
              <w:rPr>
                <w:rFonts w:cs="Arial"/>
              </w:rPr>
              <w:t xml:space="preserve">the daily average censuses </w:t>
            </w:r>
            <w:r>
              <w:rPr>
                <w:rFonts w:cs="Arial"/>
              </w:rPr>
              <w:t xml:space="preserve">collected during the reporting period; typically collected multiple times per day (e.g., every 4 hours or each shift). </w:t>
            </w:r>
          </w:p>
          <w:p w14:paraId="4C636821" w14:textId="77777777" w:rsidR="00B71135" w:rsidRDefault="00B71135" w:rsidP="00B71135">
            <w:pPr>
              <w:autoSpaceDE w:val="0"/>
              <w:autoSpaceDN w:val="0"/>
              <w:adjustRightInd w:val="0"/>
              <w:rPr>
                <w:rFonts w:cs="Arial"/>
              </w:rPr>
            </w:pPr>
          </w:p>
          <w:p w14:paraId="1BA7A8FC" w14:textId="60950484" w:rsidR="00D0444E" w:rsidRPr="00B71135" w:rsidRDefault="00B71135" w:rsidP="003A5BED">
            <w:pPr>
              <w:autoSpaceDE w:val="0"/>
              <w:autoSpaceDN w:val="0"/>
              <w:adjustRightInd w:val="0"/>
              <w:rPr>
                <w:rFonts w:cs="Arial"/>
                <w:b/>
                <w:bCs/>
              </w:rPr>
            </w:pPr>
            <w:r w:rsidRPr="0004565D">
              <w:rPr>
                <w:rFonts w:cs="Arial"/>
              </w:rPr>
              <w:t>Note: Patient days should be calculated to include all patients in adult and pediatric single acuity Medical, Surgical, Med-Surg or mixed acuity Medical, Surgical or Med-Surg Units. This includes patients that do not have inpatient status (i.e., observation patients).</w:t>
            </w:r>
          </w:p>
        </w:tc>
      </w:tr>
    </w:tbl>
    <w:p w14:paraId="5252BCD9" w14:textId="77777777" w:rsidR="00D0444E" w:rsidRDefault="00D0444E" w:rsidP="00D0444E">
      <w:pPr>
        <w:rPr>
          <w:rFonts w:cs="Arial"/>
        </w:rPr>
      </w:pPr>
    </w:p>
    <w:p w14:paraId="571C97DA" w14:textId="32666950" w:rsidR="00290399" w:rsidRDefault="00290399">
      <w:r>
        <w:br w:type="page"/>
      </w:r>
    </w:p>
    <w:tbl>
      <w:tblPr>
        <w:tblStyle w:val="TableGrid"/>
        <w:tblW w:w="0" w:type="auto"/>
        <w:tblLook w:val="04A0" w:firstRow="1" w:lastRow="0" w:firstColumn="1" w:lastColumn="0" w:noHBand="0" w:noVBand="1"/>
      </w:tblPr>
      <w:tblGrid>
        <w:gridCol w:w="9350"/>
      </w:tblGrid>
      <w:tr w:rsidR="00D0444E" w14:paraId="69343485" w14:textId="77777777" w:rsidTr="00D73F6A">
        <w:trPr>
          <w:trHeight w:val="288"/>
        </w:trPr>
        <w:tc>
          <w:tcPr>
            <w:tcW w:w="9350" w:type="dxa"/>
            <w:shd w:val="clear" w:color="auto" w:fill="BFBFBF" w:themeFill="background1" w:themeFillShade="BF"/>
            <w:vAlign w:val="center"/>
          </w:tcPr>
          <w:p w14:paraId="7EFA73AA" w14:textId="6C2EB627" w:rsidR="00D0444E" w:rsidRPr="0001518E" w:rsidDel="00750EA2" w:rsidRDefault="00DD04D6" w:rsidP="00D73F6A">
            <w:pPr>
              <w:pStyle w:val="Heading6"/>
            </w:pPr>
            <w:r>
              <w:rPr>
                <w:rFonts w:ascii="ZWAdobeF" w:hAnsi="ZWAdobeF" w:cs="ZWAdobeF"/>
                <w:b w:val="0"/>
                <w:color w:val="auto"/>
                <w:sz w:val="2"/>
                <w:szCs w:val="2"/>
              </w:rPr>
              <w:lastRenderedPageBreak/>
              <w:t>0B</w:t>
            </w:r>
            <w:r w:rsidR="00953060">
              <w:rPr>
                <w:rFonts w:ascii="ZWAdobeF" w:hAnsi="ZWAdobeF" w:cs="ZWAdobeF"/>
                <w:b w:val="0"/>
                <w:color w:val="auto"/>
                <w:sz w:val="2"/>
                <w:szCs w:val="2"/>
              </w:rPr>
              <w:t>0B</w:t>
            </w:r>
            <w:r w:rsidR="00E453C7">
              <w:rPr>
                <w:rFonts w:ascii="ZWAdobeF" w:hAnsi="ZWAdobeF" w:cs="ZWAdobeF"/>
                <w:b w:val="0"/>
                <w:color w:val="auto"/>
                <w:sz w:val="2"/>
                <w:szCs w:val="2"/>
              </w:rPr>
              <w:t>0B</w:t>
            </w:r>
            <w:r w:rsidR="006255A6">
              <w:rPr>
                <w:rFonts w:ascii="ZWAdobeF" w:hAnsi="ZWAdobeF" w:cs="ZWAdobeF"/>
                <w:b w:val="0"/>
                <w:color w:val="auto"/>
                <w:sz w:val="2"/>
                <w:szCs w:val="2"/>
              </w:rPr>
              <w:t>0B</w:t>
            </w:r>
            <w:r w:rsidR="00B55C41">
              <w:rPr>
                <w:rFonts w:ascii="ZWAdobeF" w:hAnsi="ZWAdobeF" w:cs="ZWAdobeF"/>
                <w:b w:val="0"/>
                <w:color w:val="auto"/>
                <w:sz w:val="2"/>
                <w:szCs w:val="2"/>
              </w:rPr>
              <w:t>0B</w:t>
            </w:r>
            <w:r w:rsidR="00C2087D">
              <w:rPr>
                <w:rFonts w:ascii="ZWAdobeF" w:hAnsi="ZWAdobeF" w:cs="ZWAdobeF"/>
                <w:b w:val="0"/>
                <w:color w:val="auto"/>
                <w:sz w:val="2"/>
                <w:szCs w:val="2"/>
              </w:rPr>
              <w:t>0B</w:t>
            </w:r>
            <w:r w:rsidR="004C7557">
              <w:rPr>
                <w:rFonts w:ascii="ZWAdobeF" w:hAnsi="ZWAdobeF" w:cs="ZWAdobeF"/>
                <w:b w:val="0"/>
                <w:color w:val="auto"/>
                <w:sz w:val="2"/>
                <w:szCs w:val="2"/>
              </w:rPr>
              <w:t>0B</w:t>
            </w:r>
            <w:r w:rsidR="00BF053F">
              <w:rPr>
                <w:rFonts w:ascii="ZWAdobeF" w:hAnsi="ZWAdobeF" w:cs="ZWAdobeF"/>
                <w:b w:val="0"/>
                <w:color w:val="auto"/>
                <w:sz w:val="2"/>
                <w:szCs w:val="2"/>
              </w:rPr>
              <w:t>0B</w:t>
            </w:r>
            <w:r w:rsidR="00D0444E" w:rsidRPr="0001518E">
              <w:t>Single Acuity Adult or Pediatric Medical, Surgical, or Med-Surg Units (questions #</w:t>
            </w:r>
            <w:r w:rsidR="00290399">
              <w:t>4</w:t>
            </w:r>
            <w:r w:rsidR="00D0444E" w:rsidRPr="0001518E">
              <w:t>-</w:t>
            </w:r>
            <w:r w:rsidR="00290399">
              <w:t>9</w:t>
            </w:r>
            <w:r w:rsidR="00D0444E" w:rsidRPr="0001518E">
              <w:t>)</w:t>
            </w:r>
          </w:p>
        </w:tc>
      </w:tr>
      <w:tr w:rsidR="00D0444E" w14:paraId="5BC2C4E2" w14:textId="77777777" w:rsidTr="00D73F6A">
        <w:tc>
          <w:tcPr>
            <w:tcW w:w="9350" w:type="dxa"/>
            <w:vAlign w:val="center"/>
          </w:tcPr>
          <w:p w14:paraId="12CFC496" w14:textId="008F6B04" w:rsidR="00D0444E" w:rsidRPr="00E9620C" w:rsidRDefault="00D0444E" w:rsidP="00D73F6A">
            <w:pPr>
              <w:rPr>
                <w:rFonts w:cs="Arial"/>
                <w:b/>
                <w:bCs/>
              </w:rPr>
            </w:pPr>
            <w:r w:rsidRPr="00E9620C">
              <w:rPr>
                <w:rFonts w:cs="Arial"/>
                <w:b/>
                <w:bCs/>
              </w:rPr>
              <w:t>Question #</w:t>
            </w:r>
            <w:r w:rsidR="00290399">
              <w:rPr>
                <w:rFonts w:cs="Arial"/>
                <w:b/>
                <w:bCs/>
              </w:rPr>
              <w:t>4</w:t>
            </w:r>
            <w:r w:rsidRPr="00E9620C">
              <w:rPr>
                <w:rFonts w:cs="Arial"/>
                <w:b/>
                <w:bCs/>
              </w:rPr>
              <w:t>: Does your hospital operate any adult or pediatric single acuity Medical Units?</w:t>
            </w:r>
          </w:p>
          <w:p w14:paraId="47B5620B" w14:textId="77777777" w:rsidR="00D0444E" w:rsidRPr="006162E2" w:rsidRDefault="00D0444E" w:rsidP="00D73F6A">
            <w:pPr>
              <w:rPr>
                <w:rFonts w:cs="Arial"/>
              </w:rPr>
            </w:pPr>
          </w:p>
          <w:p w14:paraId="147F18A4" w14:textId="77777777" w:rsidR="00D0444E" w:rsidRPr="007A5E80" w:rsidRDefault="00D0444E" w:rsidP="00D73F6A">
            <w:pPr>
              <w:autoSpaceDE w:val="0"/>
              <w:autoSpaceDN w:val="0"/>
              <w:adjustRightInd w:val="0"/>
              <w:rPr>
                <w:rFonts w:cs="Arial"/>
                <w:b/>
                <w:bCs/>
              </w:rPr>
            </w:pPr>
            <w:r>
              <w:rPr>
                <w:rFonts w:cs="Arial"/>
                <w:b/>
                <w:bCs/>
              </w:rPr>
              <w:t xml:space="preserve">Single Acuity </w:t>
            </w:r>
            <w:r w:rsidRPr="007A5E80">
              <w:rPr>
                <w:rFonts w:cs="Arial"/>
                <w:b/>
                <w:bCs/>
              </w:rPr>
              <w:t xml:space="preserve">Medical Unit (adult </w:t>
            </w:r>
            <w:r>
              <w:rPr>
                <w:rFonts w:cs="Arial"/>
                <w:b/>
                <w:bCs/>
              </w:rPr>
              <w:t xml:space="preserve">and </w:t>
            </w:r>
            <w:r w:rsidRPr="007A5E80">
              <w:rPr>
                <w:rFonts w:cs="Arial"/>
                <w:b/>
                <w:bCs/>
              </w:rPr>
              <w:t>pediatric)</w:t>
            </w:r>
            <w:r>
              <w:rPr>
                <w:rFonts w:cs="Arial"/>
                <w:b/>
                <w:bCs/>
              </w:rPr>
              <w:t>:</w:t>
            </w:r>
          </w:p>
          <w:p w14:paraId="6AE0FA7B" w14:textId="77777777" w:rsidR="00D0444E" w:rsidRDefault="00D0444E" w:rsidP="00D73F6A">
            <w:pPr>
              <w:autoSpaceDE w:val="0"/>
              <w:autoSpaceDN w:val="0"/>
              <w:adjustRightInd w:val="0"/>
              <w:rPr>
                <w:rFonts w:cs="Arial"/>
              </w:rPr>
            </w:pPr>
            <w:r w:rsidRPr="00BB3760">
              <w:rPr>
                <w:rFonts w:cs="Arial"/>
              </w:rPr>
              <w:t xml:space="preserve">A single acuity general care unit in which at least 90% of the patients are admitted to medical services, such as internal medicine, oncology, or cardiology. Medical specialty units such as Cardiac Medical, GI Medical, Infectious Disease Medical, Neurology Medical, Hematology/Oncology Medical, Renal Medical, and Respiratory Medical, are also included. </w:t>
            </w:r>
          </w:p>
          <w:p w14:paraId="4E890B8B" w14:textId="77777777" w:rsidR="00F850F2" w:rsidRDefault="00F850F2" w:rsidP="00D73F6A">
            <w:pPr>
              <w:autoSpaceDE w:val="0"/>
              <w:autoSpaceDN w:val="0"/>
              <w:adjustRightInd w:val="0"/>
              <w:rPr>
                <w:rFonts w:cs="Arial"/>
              </w:rPr>
            </w:pPr>
          </w:p>
          <w:p w14:paraId="2E2814BE" w14:textId="77777777" w:rsidR="00F850F2" w:rsidRPr="00BB3760" w:rsidRDefault="00F850F2" w:rsidP="00F850F2">
            <w:pPr>
              <w:autoSpaceDE w:val="0"/>
              <w:autoSpaceDN w:val="0"/>
              <w:adjustRightInd w:val="0"/>
              <w:rPr>
                <w:rFonts w:cs="Arial"/>
              </w:rPr>
            </w:pPr>
            <w:r>
              <w:rPr>
                <w:rFonts w:cs="Arial"/>
              </w:rPr>
              <w:t xml:space="preserve">Note: </w:t>
            </w:r>
            <w:r w:rsidRPr="00967917">
              <w:rPr>
                <w:rFonts w:cs="Arial"/>
              </w:rPr>
              <w:t>For the purposes of these measures, Leapfrog has aligned with NDNQI, which defines units based on the acuity of the patients being cared for in the unit, and not the equipment being used. Telemetry is considered a monitoring tool rather than an evaluation of a patient’s level of acuity. For example, a unit that has all telemetry patients may still have a general population level of patients that would meet NDNQI’s definition of a medical, surgical, or med-surg unit. Hospitals should evaluate the actual acuity of the patients in each unit to determine the appropriate unit designation.</w:t>
            </w:r>
          </w:p>
          <w:p w14:paraId="53F635A5" w14:textId="77777777" w:rsidR="00D0444E" w:rsidRDefault="00D0444E" w:rsidP="00D73F6A">
            <w:pPr>
              <w:rPr>
                <w:rFonts w:cs="Arial"/>
              </w:rPr>
            </w:pPr>
          </w:p>
          <w:p w14:paraId="2774E99D" w14:textId="77777777" w:rsidR="00D0444E" w:rsidRPr="00A90AE6" w:rsidRDefault="00D0444E" w:rsidP="00D73F6A">
            <w:pPr>
              <w:autoSpaceDE w:val="0"/>
              <w:autoSpaceDN w:val="0"/>
              <w:adjustRightInd w:val="0"/>
              <w:rPr>
                <w:rFonts w:cs="Arial"/>
                <w:b/>
                <w:bCs/>
              </w:rPr>
            </w:pPr>
            <w:r w:rsidRPr="00A90AE6">
              <w:rPr>
                <w:rFonts w:cs="Arial"/>
                <w:b/>
                <w:bCs/>
              </w:rPr>
              <w:t xml:space="preserve">Excluded units: </w:t>
            </w:r>
          </w:p>
          <w:p w14:paraId="4B32EA60"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Labor and Delivery</w:t>
            </w:r>
          </w:p>
          <w:p w14:paraId="7B564382" w14:textId="77777777" w:rsidR="00D0444E" w:rsidRDefault="00D0444E" w:rsidP="00AD309C">
            <w:pPr>
              <w:pStyle w:val="ListParagraph"/>
              <w:numPr>
                <w:ilvl w:val="0"/>
                <w:numId w:val="372"/>
              </w:numPr>
              <w:autoSpaceDE w:val="0"/>
              <w:autoSpaceDN w:val="0"/>
              <w:adjustRightInd w:val="0"/>
              <w:rPr>
                <w:rFonts w:cs="Arial"/>
              </w:rPr>
            </w:pPr>
            <w:r w:rsidRPr="00C41528">
              <w:rPr>
                <w:rFonts w:cs="Arial"/>
              </w:rPr>
              <w:t>Neonatal</w:t>
            </w:r>
          </w:p>
          <w:p w14:paraId="2466300C" w14:textId="77777777" w:rsidR="00782E94" w:rsidRPr="009E0CC7" w:rsidRDefault="00782E94" w:rsidP="00AD309C">
            <w:pPr>
              <w:pStyle w:val="ListParagraph"/>
              <w:numPr>
                <w:ilvl w:val="0"/>
                <w:numId w:val="372"/>
              </w:numPr>
              <w:autoSpaceDE w:val="0"/>
              <w:autoSpaceDN w:val="0"/>
              <w:adjustRightInd w:val="0"/>
              <w:rPr>
                <w:rFonts w:cs="Arial"/>
              </w:rPr>
            </w:pPr>
            <w:r w:rsidRPr="0004565D">
              <w:rPr>
                <w:rFonts w:cs="Arial"/>
              </w:rPr>
              <w:t>Critical Access</w:t>
            </w:r>
            <w:r>
              <w:rPr>
                <w:rFonts w:cs="Arial"/>
              </w:rPr>
              <w:t xml:space="preserve"> (</w:t>
            </w:r>
            <w:r w:rsidRPr="0004565D">
              <w:rPr>
                <w:rFonts w:cs="Arial"/>
              </w:rPr>
              <w:t>a unit where more than 10% of beds are for skilled nursing (swing beds)</w:t>
            </w:r>
            <w:r>
              <w:rPr>
                <w:rFonts w:cs="Arial"/>
              </w:rPr>
              <w:t>)</w:t>
            </w:r>
          </w:p>
          <w:p w14:paraId="3768BBE0"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Rehabilitation</w:t>
            </w:r>
          </w:p>
          <w:p w14:paraId="47FC5EB6"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Psychiatric</w:t>
            </w:r>
          </w:p>
          <w:p w14:paraId="37CA39E5"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Perioperative</w:t>
            </w:r>
          </w:p>
          <w:p w14:paraId="641BCE7F"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Critical Care</w:t>
            </w:r>
          </w:p>
          <w:p w14:paraId="19CDC2D8"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Step Down/Progressive</w:t>
            </w:r>
          </w:p>
          <w:p w14:paraId="05B890BE"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Hospice</w:t>
            </w:r>
          </w:p>
          <w:p w14:paraId="14958C50" w14:textId="574FC9F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Mixed Acuity Units: a unit where more than 10% of the patients in the unit receive varying levels of care (e.g., general medical care and progressive care or intensive care)</w:t>
            </w:r>
          </w:p>
          <w:p w14:paraId="483490E2"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 xml:space="preserve">Units with fewer </w:t>
            </w:r>
            <w:r w:rsidRPr="00F62669">
              <w:rPr>
                <w:rFonts w:cs="Arial"/>
                <w:iCs/>
                <w:snapToGrid w:val="0"/>
              </w:rPr>
              <w:t>than 15 patient days per month for all 3 months of any quarter of the reporting period</w:t>
            </w:r>
          </w:p>
          <w:p w14:paraId="23A7144E" w14:textId="77777777" w:rsidR="00D0444E" w:rsidRPr="00400018" w:rsidRDefault="00D0444E" w:rsidP="00AD309C">
            <w:pPr>
              <w:pStyle w:val="ListParagraph"/>
              <w:numPr>
                <w:ilvl w:val="0"/>
                <w:numId w:val="372"/>
              </w:numPr>
              <w:autoSpaceDE w:val="0"/>
              <w:autoSpaceDN w:val="0"/>
              <w:adjustRightInd w:val="0"/>
              <w:rPr>
                <w:rFonts w:cs="Arial"/>
              </w:rPr>
            </w:pPr>
            <w:r w:rsidRPr="007E72F2">
              <w:rPr>
                <w:rFonts w:cs="Arial"/>
              </w:rPr>
              <w:t>Units that transitioned to an excluded unit type during the reporting period (e.g., a single acuity Medical Unit transitioned to a critical care unit during the reporting period)</w:t>
            </w:r>
          </w:p>
        </w:tc>
      </w:tr>
      <w:tr w:rsidR="00D0444E" w14:paraId="442E9156" w14:textId="77777777" w:rsidTr="00D73F6A">
        <w:tc>
          <w:tcPr>
            <w:tcW w:w="9350" w:type="dxa"/>
            <w:vAlign w:val="center"/>
          </w:tcPr>
          <w:p w14:paraId="5A07F60E" w14:textId="77FDC115" w:rsidR="00D0444E" w:rsidRDefault="00D0444E" w:rsidP="00D73F6A">
            <w:pPr>
              <w:rPr>
                <w:rFonts w:cs="Arial"/>
                <w:b/>
                <w:bCs/>
              </w:rPr>
            </w:pPr>
            <w:r>
              <w:rPr>
                <w:rFonts w:cs="Arial"/>
                <w:b/>
                <w:bCs/>
              </w:rPr>
              <w:t>Question #</w:t>
            </w:r>
            <w:r w:rsidR="00095E9C">
              <w:rPr>
                <w:rFonts w:cs="Arial"/>
                <w:b/>
                <w:bCs/>
              </w:rPr>
              <w:t>5</w:t>
            </w:r>
            <w:r>
              <w:rPr>
                <w:rFonts w:cs="Arial"/>
                <w:b/>
                <w:bCs/>
              </w:rPr>
              <w:t>: Single Acuity Medical Units</w:t>
            </w:r>
          </w:p>
          <w:p w14:paraId="7E775CC3" w14:textId="77777777" w:rsidR="00D0444E" w:rsidRPr="00E9620C" w:rsidRDefault="00D0444E" w:rsidP="00D73F6A">
            <w:pPr>
              <w:rPr>
                <w:rFonts w:cs="Arial"/>
                <w:b/>
                <w:bCs/>
              </w:rPr>
            </w:pPr>
            <w:r w:rsidRPr="00BB3760">
              <w:rPr>
                <w:rFonts w:cs="Arial"/>
              </w:rPr>
              <w:t xml:space="preserve">Enter your hospital’s responses for each quarter for all adult and pediatric single acuity </w:t>
            </w:r>
            <w:r w:rsidRPr="00C41959">
              <w:rPr>
                <w:b/>
                <w:bCs/>
              </w:rPr>
              <w:t>Medical Units</w:t>
            </w:r>
            <w:r w:rsidRPr="00BB3760">
              <w:rPr>
                <w:rFonts w:cs="Arial"/>
              </w:rPr>
              <w:t xml:space="preserve"> for the reporting period selected in question #1</w:t>
            </w:r>
            <w:r>
              <w:rPr>
                <w:rFonts w:cs="Arial"/>
              </w:rPr>
              <w:t>.</w:t>
            </w:r>
          </w:p>
        </w:tc>
      </w:tr>
      <w:tr w:rsidR="00D0444E" w14:paraId="6E7337A1" w14:textId="77777777" w:rsidTr="00D73F6A">
        <w:tc>
          <w:tcPr>
            <w:tcW w:w="9350" w:type="dxa"/>
          </w:tcPr>
          <w:p w14:paraId="498A6AAE" w14:textId="4B1D22F0" w:rsidR="00D0444E" w:rsidRPr="00BB3760" w:rsidRDefault="00D0444E" w:rsidP="00D73F6A">
            <w:pPr>
              <w:rPr>
                <w:rFonts w:cs="Arial"/>
              </w:rPr>
            </w:pPr>
            <w:r w:rsidRPr="001521B8">
              <w:rPr>
                <w:rFonts w:cs="Arial"/>
                <w:b/>
                <w:bCs/>
              </w:rPr>
              <w:t xml:space="preserve">Question </w:t>
            </w:r>
            <w:r>
              <w:rPr>
                <w:rFonts w:cs="Arial"/>
                <w:b/>
                <w:bCs/>
              </w:rPr>
              <w:t>#</w:t>
            </w:r>
            <w:r w:rsidR="00095E9C">
              <w:rPr>
                <w:rFonts w:cs="Arial"/>
                <w:b/>
                <w:bCs/>
              </w:rPr>
              <w:t>5</w:t>
            </w:r>
            <w:r w:rsidRPr="001521B8">
              <w:rPr>
                <w:rFonts w:cs="Arial"/>
                <w:b/>
                <w:bCs/>
              </w:rPr>
              <w:t>(a):</w:t>
            </w:r>
            <w:r w:rsidRPr="00670605">
              <w:rPr>
                <w:rFonts w:cs="Arial"/>
                <w:b/>
                <w:bCs/>
              </w:rPr>
              <w:t xml:space="preserve"> </w:t>
            </w:r>
            <w:r w:rsidRPr="00BB3760">
              <w:rPr>
                <w:rFonts w:cs="Arial"/>
              </w:rPr>
              <w:t>Total number of patient days</w:t>
            </w:r>
            <w:r>
              <w:rPr>
                <w:rFonts w:cs="Arial"/>
              </w:rPr>
              <w:t xml:space="preserve"> across</w:t>
            </w:r>
            <w:r w:rsidRPr="00BB3760">
              <w:rPr>
                <w:rFonts w:cs="Arial"/>
              </w:rPr>
              <w:t xml:space="preserve"> all </w:t>
            </w:r>
            <w:r>
              <w:rPr>
                <w:rFonts w:cs="Arial"/>
              </w:rPr>
              <w:t xml:space="preserve">adult and pediatric </w:t>
            </w:r>
            <w:r w:rsidRPr="00BB3760">
              <w:rPr>
                <w:rFonts w:cs="Arial"/>
              </w:rPr>
              <w:t xml:space="preserve">single acuity </w:t>
            </w:r>
            <w:r w:rsidRPr="00C41959">
              <w:rPr>
                <w:rFonts w:cs="Arial"/>
                <w:b/>
                <w:bCs/>
              </w:rPr>
              <w:t>Medical Units</w:t>
            </w:r>
            <w:r w:rsidRPr="00BB3760">
              <w:rPr>
                <w:rFonts w:cs="Arial"/>
              </w:rPr>
              <w:t xml:space="preserve"> </w:t>
            </w:r>
            <w:r>
              <w:rPr>
                <w:rFonts w:cs="Arial"/>
              </w:rPr>
              <w:t xml:space="preserve">during each quarter of the reporting period </w:t>
            </w:r>
            <w:r w:rsidRPr="00BB3760">
              <w:rPr>
                <w:rFonts w:cs="Arial"/>
              </w:rPr>
              <w:t xml:space="preserve">based on your hospital’s method for counting patient days. </w:t>
            </w:r>
          </w:p>
          <w:p w14:paraId="5E2B7844" w14:textId="77777777" w:rsidR="00D0444E" w:rsidRPr="00BB3760" w:rsidRDefault="00D0444E" w:rsidP="00D73F6A">
            <w:pPr>
              <w:autoSpaceDE w:val="0"/>
              <w:autoSpaceDN w:val="0"/>
              <w:adjustRightInd w:val="0"/>
              <w:rPr>
                <w:rFonts w:cs="Arial"/>
              </w:rPr>
            </w:pPr>
          </w:p>
          <w:p w14:paraId="44B1A77D" w14:textId="77777777" w:rsidR="00D0444E" w:rsidRPr="00CA7146" w:rsidRDefault="00D0444E" w:rsidP="00D73F6A">
            <w:pPr>
              <w:rPr>
                <w:rFonts w:cs="Arial"/>
              </w:rPr>
            </w:pPr>
            <w:r w:rsidRPr="00BB3760">
              <w:rPr>
                <w:rFonts w:cs="Arial"/>
              </w:rPr>
              <w:t xml:space="preserve">Patient days should be calculated to include all patients in </w:t>
            </w:r>
            <w:r w:rsidRPr="00331343">
              <w:rPr>
                <w:rFonts w:cs="Arial"/>
              </w:rPr>
              <w:t xml:space="preserve">adult </w:t>
            </w:r>
            <w:r>
              <w:rPr>
                <w:rFonts w:cs="Arial"/>
              </w:rPr>
              <w:t>and</w:t>
            </w:r>
            <w:r w:rsidRPr="00331343">
              <w:rPr>
                <w:rFonts w:cs="Arial"/>
              </w:rPr>
              <w:t xml:space="preserve"> pediatric single acuity Medical Unit</w:t>
            </w:r>
            <w:r>
              <w:rPr>
                <w:rFonts w:cs="Arial"/>
              </w:rPr>
              <w:t>s</w:t>
            </w:r>
            <w:r w:rsidRPr="00BB3760">
              <w:rPr>
                <w:rFonts w:cs="Arial"/>
              </w:rPr>
              <w:t>. This includes patients that do not have inpatient status (i.e., observation patients).</w:t>
            </w:r>
          </w:p>
        </w:tc>
      </w:tr>
      <w:tr w:rsidR="00D0444E" w14:paraId="0C7F8BC7" w14:textId="77777777" w:rsidTr="00D73F6A">
        <w:tc>
          <w:tcPr>
            <w:tcW w:w="9350" w:type="dxa"/>
          </w:tcPr>
          <w:p w14:paraId="552A17CB" w14:textId="671C0613" w:rsidR="00D0444E" w:rsidRDefault="00D0444E" w:rsidP="00D73F6A">
            <w:pPr>
              <w:autoSpaceDE w:val="0"/>
              <w:autoSpaceDN w:val="0"/>
              <w:adjustRightInd w:val="0"/>
              <w:rPr>
                <w:rFonts w:cs="Arial"/>
              </w:rPr>
            </w:pPr>
            <w:r w:rsidRPr="00632627">
              <w:rPr>
                <w:rFonts w:cs="Arial"/>
                <w:b/>
                <w:bCs/>
              </w:rPr>
              <w:t xml:space="preserve">Question </w:t>
            </w:r>
            <w:r>
              <w:rPr>
                <w:rFonts w:cs="Arial"/>
                <w:b/>
                <w:bCs/>
              </w:rPr>
              <w:t>#</w:t>
            </w:r>
            <w:r w:rsidR="00095E9C">
              <w:rPr>
                <w:rFonts w:cs="Arial"/>
                <w:b/>
                <w:bCs/>
              </w:rPr>
              <w:t>5</w:t>
            </w:r>
            <w:r w:rsidRPr="00632627">
              <w:rPr>
                <w:rFonts w:cs="Arial"/>
                <w:b/>
                <w:bCs/>
              </w:rPr>
              <w:t>(b):</w:t>
            </w:r>
            <w:r w:rsidRPr="00670605">
              <w:rPr>
                <w:rFonts w:cs="Arial"/>
                <w:b/>
                <w:bCs/>
              </w:rPr>
              <w:t xml:space="preserve"> </w:t>
            </w:r>
            <w:r w:rsidRPr="00BB3760">
              <w:rPr>
                <w:rFonts w:cs="Arial"/>
              </w:rPr>
              <w:t>Total number of productive hours worked by employe</w:t>
            </w:r>
            <w:r>
              <w:rPr>
                <w:rFonts w:cs="Arial"/>
              </w:rPr>
              <w:t>d</w:t>
            </w:r>
            <w:r w:rsidRPr="00BB3760">
              <w:rPr>
                <w:rFonts w:cs="Arial"/>
              </w:rPr>
              <w:t xml:space="preserve"> and contract</w:t>
            </w:r>
            <w:r>
              <w:rPr>
                <w:rFonts w:cs="Arial"/>
              </w:rPr>
              <w:t>ed</w:t>
            </w:r>
            <w:r w:rsidRPr="00BB3760">
              <w:rPr>
                <w:rFonts w:cs="Arial"/>
              </w:rPr>
              <w:t xml:space="preserve"> </w:t>
            </w:r>
            <w:r w:rsidRPr="007E2D99">
              <w:rPr>
                <w:rFonts w:cs="Arial"/>
                <w:b/>
                <w:bCs/>
              </w:rPr>
              <w:t>nursing staff (RN, LPN/LVN, and UAP)</w:t>
            </w:r>
            <w:r w:rsidRPr="00BB3760">
              <w:rPr>
                <w:rFonts w:cs="Arial"/>
              </w:rPr>
              <w:t xml:space="preserve"> with direct patient care responsibilities in all </w:t>
            </w:r>
            <w:r>
              <w:rPr>
                <w:rFonts w:cs="Arial"/>
              </w:rPr>
              <w:t xml:space="preserve">adult and pediatric single acuity </w:t>
            </w:r>
            <w:r w:rsidRPr="00A831FC">
              <w:rPr>
                <w:rFonts w:cs="Arial"/>
                <w:b/>
                <w:bCs/>
              </w:rPr>
              <w:t>Medical Units</w:t>
            </w:r>
            <w:r w:rsidRPr="00BB3760">
              <w:rPr>
                <w:rFonts w:cs="Arial"/>
              </w:rPr>
              <w:t xml:space="preserve"> </w:t>
            </w:r>
            <w:r>
              <w:rPr>
                <w:rFonts w:cs="Arial"/>
              </w:rPr>
              <w:t xml:space="preserve">during </w:t>
            </w:r>
            <w:r w:rsidRPr="00BB3760">
              <w:rPr>
                <w:rFonts w:cs="Arial"/>
              </w:rPr>
              <w:t>each quarter</w:t>
            </w:r>
            <w:r>
              <w:rPr>
                <w:rFonts w:cs="Arial"/>
              </w:rPr>
              <w:t xml:space="preserve"> of the reporting period</w:t>
            </w:r>
            <w:r w:rsidRPr="00BB3760">
              <w:rPr>
                <w:rFonts w:cs="Arial"/>
              </w:rPr>
              <w:t>.</w:t>
            </w:r>
          </w:p>
          <w:p w14:paraId="4ADFADC6" w14:textId="77777777" w:rsidR="00D0444E" w:rsidRDefault="00D0444E" w:rsidP="00D73F6A">
            <w:pPr>
              <w:autoSpaceDE w:val="0"/>
              <w:autoSpaceDN w:val="0"/>
              <w:adjustRightInd w:val="0"/>
              <w:rPr>
                <w:rFonts w:cs="Arial"/>
              </w:rPr>
            </w:pPr>
          </w:p>
          <w:p w14:paraId="021A5568" w14:textId="77777777" w:rsidR="00D0444E" w:rsidRPr="007E0D9D" w:rsidRDefault="00D0444E" w:rsidP="00D73F6A">
            <w:pPr>
              <w:autoSpaceDE w:val="0"/>
              <w:autoSpaceDN w:val="0"/>
              <w:adjustRightInd w:val="0"/>
              <w:rPr>
                <w:rFonts w:cs="Arial"/>
                <w:b/>
                <w:bCs/>
                <w:u w:val="single"/>
              </w:rPr>
            </w:pPr>
            <w:r w:rsidRPr="007E0D9D">
              <w:rPr>
                <w:rFonts w:cs="Arial"/>
                <w:b/>
                <w:bCs/>
                <w:u w:val="single"/>
              </w:rPr>
              <w:t>Productive Hours</w:t>
            </w:r>
          </w:p>
          <w:p w14:paraId="474B2D67" w14:textId="77777777" w:rsidR="00D0444E" w:rsidRPr="00BB3760" w:rsidRDefault="00D0444E" w:rsidP="00D73F6A">
            <w:pPr>
              <w:autoSpaceDE w:val="0"/>
              <w:autoSpaceDN w:val="0"/>
              <w:adjustRightInd w:val="0"/>
              <w:rPr>
                <w:rFonts w:cs="Arial"/>
              </w:rPr>
            </w:pPr>
          </w:p>
          <w:p w14:paraId="2A19B239" w14:textId="77777777" w:rsidR="00D0444E" w:rsidRPr="00BB370E" w:rsidRDefault="00D0444E" w:rsidP="00D73F6A">
            <w:pPr>
              <w:autoSpaceDE w:val="0"/>
              <w:autoSpaceDN w:val="0"/>
              <w:adjustRightInd w:val="0"/>
              <w:rPr>
                <w:rFonts w:cs="Arial"/>
              </w:rPr>
            </w:pPr>
            <w:r w:rsidRPr="00A831FC">
              <w:rPr>
                <w:rFonts w:cs="Arial"/>
                <w:b/>
                <w:bCs/>
              </w:rPr>
              <w:t>Include</w:t>
            </w:r>
            <w:r w:rsidRPr="00A831FC">
              <w:rPr>
                <w:rFonts w:cs="Arial"/>
              </w:rPr>
              <w:t xml:space="preserve"> the following hours worked by </w:t>
            </w:r>
            <w:r w:rsidRPr="00BB3760">
              <w:rPr>
                <w:rFonts w:cs="Arial"/>
              </w:rPr>
              <w:t>employe</w:t>
            </w:r>
            <w:r>
              <w:rPr>
                <w:rFonts w:cs="Arial"/>
              </w:rPr>
              <w:t>d</w:t>
            </w:r>
            <w:r w:rsidRPr="00BB3760">
              <w:rPr>
                <w:rFonts w:cs="Arial"/>
              </w:rPr>
              <w:t xml:space="preserve"> and contract</w:t>
            </w:r>
            <w:r>
              <w:rPr>
                <w:rFonts w:cs="Arial"/>
              </w:rPr>
              <w:t>ed</w:t>
            </w:r>
            <w:r w:rsidRPr="00BB3760">
              <w:rPr>
                <w:rFonts w:cs="Arial"/>
              </w:rPr>
              <w:t xml:space="preserve"> </w:t>
            </w:r>
            <w:r w:rsidRPr="00A831FC">
              <w:rPr>
                <w:rFonts w:cs="Arial"/>
              </w:rPr>
              <w:t>RNs, LPN/LVNs, and UAPs</w:t>
            </w:r>
            <w:r w:rsidRPr="00BB370E">
              <w:rPr>
                <w:rFonts w:cs="Arial"/>
              </w:rPr>
              <w:t>:</w:t>
            </w:r>
          </w:p>
          <w:p w14:paraId="36D6EB1B" w14:textId="77777777" w:rsidR="00D0444E" w:rsidRDefault="00D0444E" w:rsidP="00AD309C">
            <w:pPr>
              <w:pStyle w:val="ListParagraph"/>
              <w:numPr>
                <w:ilvl w:val="0"/>
                <w:numId w:val="373"/>
              </w:numPr>
              <w:autoSpaceDE w:val="0"/>
              <w:autoSpaceDN w:val="0"/>
              <w:adjustRightInd w:val="0"/>
              <w:rPr>
                <w:rFonts w:cs="Arial"/>
              </w:rPr>
            </w:pPr>
            <w:r>
              <w:rPr>
                <w:rFonts w:cs="Arial"/>
              </w:rPr>
              <w:t>A</w:t>
            </w:r>
            <w:r w:rsidRPr="00153B88">
              <w:rPr>
                <w:rFonts w:cs="Arial"/>
              </w:rPr>
              <w:t xml:space="preserve">ctual </w:t>
            </w:r>
            <w:r w:rsidRPr="005F5019">
              <w:t>direct patient care</w:t>
            </w:r>
            <w:r w:rsidRPr="00153B88">
              <w:rPr>
                <w:rFonts w:cs="Arial"/>
              </w:rPr>
              <w:t xml:space="preserve"> hours worked by nursing staff</w:t>
            </w:r>
          </w:p>
          <w:p w14:paraId="6E063FB3" w14:textId="77777777" w:rsidR="00D0444E" w:rsidRPr="0008544D" w:rsidRDefault="00D0444E" w:rsidP="00AD309C">
            <w:pPr>
              <w:pStyle w:val="ListParagraph"/>
              <w:numPr>
                <w:ilvl w:val="0"/>
                <w:numId w:val="373"/>
              </w:numPr>
              <w:autoSpaceDE w:val="0"/>
              <w:autoSpaceDN w:val="0"/>
              <w:adjustRightInd w:val="0"/>
              <w:rPr>
                <w:rFonts w:cs="Arial"/>
              </w:rPr>
            </w:pPr>
            <w:r>
              <w:rPr>
                <w:rFonts w:cs="Arial"/>
              </w:rPr>
              <w:t>O</w:t>
            </w:r>
            <w:r w:rsidRPr="0008544D">
              <w:rPr>
                <w:rFonts w:cs="Arial"/>
              </w:rPr>
              <w:t>vertime</w:t>
            </w:r>
            <w:r>
              <w:rPr>
                <w:rFonts w:cs="Arial"/>
              </w:rPr>
              <w:t xml:space="preserve"> spent performing direct patient care</w:t>
            </w:r>
          </w:p>
          <w:p w14:paraId="00C6AE84" w14:textId="77777777" w:rsidR="00D0444E" w:rsidRPr="0008544D" w:rsidRDefault="00D0444E" w:rsidP="00AD309C">
            <w:pPr>
              <w:pStyle w:val="ListParagraph"/>
              <w:numPr>
                <w:ilvl w:val="0"/>
                <w:numId w:val="373"/>
              </w:numPr>
              <w:autoSpaceDE w:val="0"/>
              <w:autoSpaceDN w:val="0"/>
              <w:adjustRightInd w:val="0"/>
              <w:rPr>
                <w:rFonts w:cs="Arial"/>
              </w:rPr>
            </w:pPr>
            <w:r w:rsidRPr="0008544D">
              <w:rPr>
                <w:rFonts w:cs="Arial"/>
              </w:rPr>
              <w:t>Orientation hours for new hires that are considered part of the unit’s staffing matrix, whose work hours are charged to the unit’s cost center, and</w:t>
            </w:r>
            <w:r>
              <w:rPr>
                <w:rFonts w:cs="Arial"/>
              </w:rPr>
              <w:t xml:space="preserve"> who</w:t>
            </w:r>
            <w:r w:rsidRPr="0008544D">
              <w:rPr>
                <w:rFonts w:cs="Arial"/>
              </w:rPr>
              <w:t xml:space="preserve"> would be replaced if they call</w:t>
            </w:r>
            <w:r>
              <w:rPr>
                <w:rFonts w:cs="Arial"/>
              </w:rPr>
              <w:t>ed out</w:t>
            </w:r>
            <w:r w:rsidRPr="0008544D">
              <w:rPr>
                <w:rFonts w:cs="Arial"/>
              </w:rPr>
              <w:t xml:space="preserve"> sick</w:t>
            </w:r>
          </w:p>
          <w:p w14:paraId="0AE355FA" w14:textId="77777777" w:rsidR="00C32632" w:rsidRPr="0008544D" w:rsidRDefault="00C32632" w:rsidP="00AD309C">
            <w:pPr>
              <w:pStyle w:val="ListParagraph"/>
              <w:numPr>
                <w:ilvl w:val="0"/>
                <w:numId w:val="373"/>
              </w:numPr>
              <w:autoSpaceDE w:val="0"/>
              <w:autoSpaceDN w:val="0"/>
              <w:adjustRightInd w:val="0"/>
              <w:rPr>
                <w:rFonts w:cs="Arial"/>
              </w:rPr>
            </w:pPr>
            <w:r w:rsidRPr="007F5727">
              <w:rPr>
                <w:rFonts w:cs="Arial"/>
              </w:rPr>
              <w:t>Sitter hours authorized for both physical touch and direct patient care intervention</w:t>
            </w:r>
          </w:p>
          <w:p w14:paraId="65139575" w14:textId="402D8810" w:rsidR="00D0444E" w:rsidRPr="00BB370E" w:rsidRDefault="00D0444E" w:rsidP="00D73F6A">
            <w:pPr>
              <w:autoSpaceDE w:val="0"/>
              <w:autoSpaceDN w:val="0"/>
              <w:adjustRightInd w:val="0"/>
              <w:rPr>
                <w:rFonts w:cs="Arial"/>
              </w:rPr>
            </w:pPr>
          </w:p>
          <w:p w14:paraId="3B59A955" w14:textId="77777777" w:rsidR="00D0444E" w:rsidRPr="00153B88" w:rsidRDefault="00D0444E" w:rsidP="00D73F6A">
            <w:pPr>
              <w:autoSpaceDE w:val="0"/>
              <w:autoSpaceDN w:val="0"/>
              <w:adjustRightInd w:val="0"/>
              <w:rPr>
                <w:rFonts w:cs="Arial"/>
              </w:rPr>
            </w:pPr>
            <w:r w:rsidRPr="00A831FC">
              <w:rPr>
                <w:rFonts w:cs="Arial"/>
                <w:b/>
                <w:bCs/>
              </w:rPr>
              <w:t>Exclude</w:t>
            </w:r>
            <w:r>
              <w:rPr>
                <w:rFonts w:cs="Arial"/>
              </w:rPr>
              <w:t xml:space="preserve"> the following </w:t>
            </w:r>
            <w:r w:rsidRPr="00A831FC">
              <w:rPr>
                <w:rFonts w:cs="Arial"/>
              </w:rPr>
              <w:t xml:space="preserve">hours worked by </w:t>
            </w:r>
            <w:r w:rsidRPr="00BB3760">
              <w:rPr>
                <w:rFonts w:cs="Arial"/>
              </w:rPr>
              <w:t>employe</w:t>
            </w:r>
            <w:r>
              <w:rPr>
                <w:rFonts w:cs="Arial"/>
              </w:rPr>
              <w:t>d</w:t>
            </w:r>
            <w:r w:rsidRPr="00BB3760">
              <w:rPr>
                <w:rFonts w:cs="Arial"/>
              </w:rPr>
              <w:t xml:space="preserve"> and contract</w:t>
            </w:r>
            <w:r>
              <w:rPr>
                <w:rFonts w:cs="Arial"/>
              </w:rPr>
              <w:t>ed</w:t>
            </w:r>
            <w:r w:rsidRPr="00BB3760">
              <w:rPr>
                <w:rFonts w:cs="Arial"/>
              </w:rPr>
              <w:t xml:space="preserve"> </w:t>
            </w:r>
            <w:r w:rsidRPr="00A831FC">
              <w:rPr>
                <w:rFonts w:cs="Arial"/>
              </w:rPr>
              <w:t>RN, LPN/LVN, and UAP</w:t>
            </w:r>
            <w:r w:rsidRPr="00153B88">
              <w:rPr>
                <w:rFonts w:cs="Arial"/>
              </w:rPr>
              <w:t>:</w:t>
            </w:r>
          </w:p>
          <w:p w14:paraId="79C1F712"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lastRenderedPageBreak/>
              <w:t>Budgeted or scheduled hours</w:t>
            </w:r>
          </w:p>
          <w:p w14:paraId="21305B89"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Vacation time, sick time, education leave, or committee time</w:t>
            </w:r>
          </w:p>
          <w:p w14:paraId="5734631F"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 xml:space="preserve">Orientation hours for new hires that are not considered part of the unit’s staffing matrix, whose work hours are not charged to the unit’s cost center, and would not be replaced if they call </w:t>
            </w:r>
            <w:r>
              <w:rPr>
                <w:rFonts w:cs="Arial"/>
              </w:rPr>
              <w:t>out</w:t>
            </w:r>
            <w:r w:rsidRPr="00173884">
              <w:rPr>
                <w:rFonts w:cs="Arial"/>
              </w:rPr>
              <w:t xml:space="preserve"> sick</w:t>
            </w:r>
          </w:p>
          <w:p w14:paraId="0FCB79A0"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Hours from when the unit was staffed but there were no patients in the unit</w:t>
            </w:r>
          </w:p>
          <w:p w14:paraId="0C05AF0B" w14:textId="77777777" w:rsidR="00D0444E" w:rsidRPr="00173884" w:rsidRDefault="00D0444E" w:rsidP="00AD309C">
            <w:pPr>
              <w:pStyle w:val="ListParagraph"/>
              <w:numPr>
                <w:ilvl w:val="1"/>
                <w:numId w:val="374"/>
              </w:numPr>
              <w:autoSpaceDE w:val="0"/>
              <w:autoSpaceDN w:val="0"/>
              <w:adjustRightInd w:val="0"/>
              <w:rPr>
                <w:rFonts w:cs="Arial"/>
              </w:rPr>
            </w:pPr>
            <w:r w:rsidRPr="00173884">
              <w:rPr>
                <w:rFonts w:cs="Arial"/>
              </w:rPr>
              <w:t>If these nursing hours cannot be removed, then the unit should not be included.</w:t>
            </w:r>
          </w:p>
          <w:p w14:paraId="5118EA26" w14:textId="77777777" w:rsidR="00D0444E" w:rsidRDefault="00D0444E" w:rsidP="00AD309C">
            <w:pPr>
              <w:pStyle w:val="ListParagraph"/>
              <w:numPr>
                <w:ilvl w:val="0"/>
                <w:numId w:val="374"/>
              </w:numPr>
              <w:autoSpaceDE w:val="0"/>
              <w:autoSpaceDN w:val="0"/>
              <w:adjustRightInd w:val="0"/>
              <w:rPr>
                <w:rFonts w:cs="Arial"/>
              </w:rPr>
            </w:pPr>
            <w:r w:rsidRPr="00173884">
              <w:rPr>
                <w:rFonts w:cs="Arial"/>
              </w:rPr>
              <w:t>Virtual or remote hours</w:t>
            </w:r>
          </w:p>
          <w:p w14:paraId="6C83A6CF" w14:textId="57532B22" w:rsidR="006F0E0C" w:rsidRPr="006F0E0C" w:rsidRDefault="00746E15" w:rsidP="00AD309C">
            <w:pPr>
              <w:pStyle w:val="ListParagraph"/>
              <w:numPr>
                <w:ilvl w:val="0"/>
                <w:numId w:val="374"/>
              </w:numPr>
              <w:autoSpaceDE w:val="0"/>
              <w:autoSpaceDN w:val="0"/>
              <w:adjustRightInd w:val="0"/>
              <w:rPr>
                <w:rFonts w:cs="Arial"/>
              </w:rPr>
            </w:pPr>
            <w:r w:rsidRPr="00E40281">
              <w:rPr>
                <w:rFonts w:cs="Arial"/>
              </w:rPr>
              <w:t>Sitter hours without authorization for both physical touch and direct patient care intervention</w:t>
            </w:r>
          </w:p>
          <w:p w14:paraId="43DB93A3" w14:textId="77777777" w:rsidR="00D0444E" w:rsidRDefault="00D0444E" w:rsidP="00D73F6A">
            <w:pPr>
              <w:autoSpaceDE w:val="0"/>
              <w:autoSpaceDN w:val="0"/>
              <w:adjustRightInd w:val="0"/>
              <w:rPr>
                <w:rFonts w:eastAsiaTheme="minorHAnsi" w:cs="Arial"/>
                <w:b/>
                <w:bCs/>
                <w:kern w:val="2"/>
                <w:u w:val="single"/>
                <w14:ligatures w14:val="standardContextual"/>
              </w:rPr>
            </w:pPr>
          </w:p>
          <w:p w14:paraId="59BBBA44" w14:textId="77777777" w:rsidR="00D0444E" w:rsidRPr="00591EAA" w:rsidRDefault="00D0444E" w:rsidP="00D73F6A">
            <w:pPr>
              <w:autoSpaceDE w:val="0"/>
              <w:autoSpaceDN w:val="0"/>
              <w:adjustRightInd w:val="0"/>
              <w:rPr>
                <w:rFonts w:eastAsiaTheme="minorHAnsi" w:cs="Arial"/>
                <w:b/>
                <w:bCs/>
                <w:kern w:val="2"/>
                <w:u w:val="single"/>
                <w14:ligatures w14:val="standardContextual"/>
              </w:rPr>
            </w:pPr>
            <w:r w:rsidRPr="00591EAA">
              <w:rPr>
                <w:rFonts w:eastAsiaTheme="minorHAnsi" w:cs="Arial"/>
                <w:b/>
                <w:bCs/>
                <w:kern w:val="2"/>
                <w:u w:val="single"/>
                <w14:ligatures w14:val="standardContextual"/>
              </w:rPr>
              <w:t>Employe</w:t>
            </w:r>
            <w:r>
              <w:rPr>
                <w:rFonts w:eastAsiaTheme="minorHAnsi" w:cs="Arial"/>
                <w:b/>
                <w:bCs/>
                <w:kern w:val="2"/>
                <w:u w:val="single"/>
                <w14:ligatures w14:val="standardContextual"/>
              </w:rPr>
              <w:t>d</w:t>
            </w:r>
            <w:r w:rsidRPr="00591EAA">
              <w:rPr>
                <w:rFonts w:eastAsiaTheme="minorHAnsi" w:cs="Arial"/>
                <w:b/>
                <w:bCs/>
                <w:kern w:val="2"/>
                <w:u w:val="single"/>
                <w14:ligatures w14:val="standardContextual"/>
              </w:rPr>
              <w:t xml:space="preserve"> and Contract</w:t>
            </w:r>
            <w:r>
              <w:rPr>
                <w:rFonts w:eastAsiaTheme="minorHAnsi" w:cs="Arial"/>
                <w:b/>
                <w:bCs/>
                <w:kern w:val="2"/>
                <w:u w:val="single"/>
                <w14:ligatures w14:val="standardContextual"/>
              </w:rPr>
              <w:t>ed</w:t>
            </w:r>
            <w:r w:rsidRPr="00591EAA">
              <w:rPr>
                <w:rFonts w:eastAsiaTheme="minorHAnsi" w:cs="Arial"/>
                <w:b/>
                <w:bCs/>
                <w:kern w:val="2"/>
                <w:u w:val="single"/>
                <w14:ligatures w14:val="standardContextual"/>
              </w:rPr>
              <w:t xml:space="preserve"> Nursing Staff</w:t>
            </w:r>
          </w:p>
          <w:p w14:paraId="11E5ABAE" w14:textId="77777777" w:rsidR="00D0444E" w:rsidRPr="00BB3760" w:rsidRDefault="00D0444E" w:rsidP="00D73F6A">
            <w:pPr>
              <w:autoSpaceDE w:val="0"/>
              <w:autoSpaceDN w:val="0"/>
              <w:adjustRightInd w:val="0"/>
              <w:rPr>
                <w:rFonts w:cs="Arial"/>
              </w:rPr>
            </w:pPr>
          </w:p>
          <w:p w14:paraId="32F7F80C" w14:textId="77777777" w:rsidR="00D0444E" w:rsidRPr="00153B88" w:rsidRDefault="00D0444E" w:rsidP="00D73F6A">
            <w:pPr>
              <w:autoSpaceDE w:val="0"/>
              <w:autoSpaceDN w:val="0"/>
              <w:adjustRightInd w:val="0"/>
              <w:rPr>
                <w:rFonts w:cs="Arial"/>
              </w:rPr>
            </w:pPr>
            <w:r w:rsidRPr="00A831FC">
              <w:rPr>
                <w:rFonts w:cs="Arial"/>
                <w:b/>
                <w:bCs/>
              </w:rPr>
              <w:t>Includ</w:t>
            </w:r>
            <w:r w:rsidRPr="006B5CC5">
              <w:rPr>
                <w:rFonts w:cs="Arial"/>
                <w:b/>
                <w:bCs/>
              </w:rPr>
              <w:t>e</w:t>
            </w:r>
            <w:r w:rsidRPr="00A831FC">
              <w:rPr>
                <w:rFonts w:cs="Arial"/>
              </w:rPr>
              <w:t xml:space="preserve"> </w:t>
            </w:r>
            <w:r>
              <w:rPr>
                <w:rFonts w:cs="Arial"/>
              </w:rPr>
              <w:t xml:space="preserve">the following </w:t>
            </w:r>
            <w:r w:rsidRPr="00A831FC">
              <w:rPr>
                <w:rFonts w:cs="Arial"/>
              </w:rPr>
              <w:t>RN, LPN/LVN, and UAP nursing staff</w:t>
            </w:r>
            <w:r w:rsidRPr="00153B88">
              <w:rPr>
                <w:rFonts w:cs="Arial"/>
              </w:rPr>
              <w:t>:</w:t>
            </w:r>
          </w:p>
          <w:p w14:paraId="6DF3A2EC" w14:textId="77777777" w:rsidR="00D0444E" w:rsidRPr="00F94E13" w:rsidRDefault="00D0444E" w:rsidP="00AD309C">
            <w:pPr>
              <w:pStyle w:val="ListParagraph"/>
              <w:numPr>
                <w:ilvl w:val="0"/>
                <w:numId w:val="375"/>
              </w:numPr>
              <w:autoSpaceDE w:val="0"/>
              <w:autoSpaceDN w:val="0"/>
              <w:adjustRightInd w:val="0"/>
              <w:rPr>
                <w:rFonts w:cs="Arial"/>
              </w:rPr>
            </w:pPr>
            <w:r>
              <w:rPr>
                <w:rFonts w:cs="Arial"/>
              </w:rPr>
              <w:t>Staff e</w:t>
            </w:r>
            <w:r w:rsidRPr="00F94E13">
              <w:rPr>
                <w:rFonts w:cs="Arial"/>
              </w:rPr>
              <w:t>mployed by the hospital</w:t>
            </w:r>
          </w:p>
          <w:p w14:paraId="36BE2B46"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Temporary staff who are not employed by the hospital (i.e., contracted/agency staff)</w:t>
            </w:r>
          </w:p>
          <w:p w14:paraId="388EF9DE"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Float staff who are assigned to a unit other than their unit of employment on an as-needed basis if they are assigned direct patient care responsibilities</w:t>
            </w:r>
          </w:p>
          <w:p w14:paraId="60148087"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 xml:space="preserve">Staff who are counted in the unit’s staffing matrix, are replaced if they call </w:t>
            </w:r>
            <w:r>
              <w:rPr>
                <w:rFonts w:cs="Arial"/>
              </w:rPr>
              <w:t>out</w:t>
            </w:r>
            <w:r w:rsidRPr="00F94E13">
              <w:rPr>
                <w:rFonts w:cs="Arial"/>
              </w:rPr>
              <w:t xml:space="preserve"> sick, and whose work hours are charged to the unit’s cost center</w:t>
            </w:r>
          </w:p>
          <w:p w14:paraId="0D93B4CE" w14:textId="77777777" w:rsidR="00D0444E" w:rsidRPr="00153B88" w:rsidRDefault="00D0444E" w:rsidP="00D73F6A">
            <w:pPr>
              <w:autoSpaceDE w:val="0"/>
              <w:autoSpaceDN w:val="0"/>
              <w:adjustRightInd w:val="0"/>
              <w:rPr>
                <w:rFonts w:cs="Arial"/>
              </w:rPr>
            </w:pPr>
          </w:p>
          <w:p w14:paraId="768BFCAD" w14:textId="77777777" w:rsidR="00D0444E" w:rsidRPr="00153B88" w:rsidRDefault="00D0444E" w:rsidP="00D73F6A">
            <w:pPr>
              <w:autoSpaceDE w:val="0"/>
              <w:autoSpaceDN w:val="0"/>
              <w:adjustRightInd w:val="0"/>
              <w:rPr>
                <w:rFonts w:cs="Arial"/>
              </w:rPr>
            </w:pPr>
            <w:r w:rsidRPr="00A831FC">
              <w:rPr>
                <w:rFonts w:cs="Arial"/>
                <w:b/>
                <w:bCs/>
              </w:rPr>
              <w:t>Exclude</w:t>
            </w:r>
            <w:r w:rsidRPr="00A831FC">
              <w:rPr>
                <w:rFonts w:cs="Arial"/>
              </w:rPr>
              <w:t xml:space="preserve"> </w:t>
            </w:r>
            <w:r>
              <w:rPr>
                <w:rFonts w:cs="Arial"/>
              </w:rPr>
              <w:t xml:space="preserve">the following </w:t>
            </w:r>
            <w:r w:rsidRPr="00A831FC">
              <w:rPr>
                <w:rFonts w:cs="Arial"/>
              </w:rPr>
              <w:t>RN, LPN/LVN, and UAP nursing staff</w:t>
            </w:r>
            <w:r w:rsidRPr="00153B88">
              <w:rPr>
                <w:rFonts w:cs="Arial"/>
              </w:rPr>
              <w:t>:</w:t>
            </w:r>
          </w:p>
          <w:p w14:paraId="736981BD" w14:textId="77777777" w:rsidR="00D0444E" w:rsidRPr="00E92A29" w:rsidRDefault="00D0444E" w:rsidP="00AD309C">
            <w:pPr>
              <w:pStyle w:val="ListParagraph"/>
              <w:numPr>
                <w:ilvl w:val="0"/>
                <w:numId w:val="376"/>
              </w:numPr>
              <w:autoSpaceDE w:val="0"/>
              <w:autoSpaceDN w:val="0"/>
              <w:adjustRightInd w:val="0"/>
              <w:rPr>
                <w:rFonts w:cs="Arial"/>
              </w:rPr>
            </w:pPr>
            <w:r>
              <w:rPr>
                <w:rFonts w:cs="Arial"/>
              </w:rPr>
              <w:t xml:space="preserve">Nursing staff </w:t>
            </w:r>
            <w:r w:rsidRPr="00E92A29">
              <w:rPr>
                <w:rFonts w:cs="Arial"/>
              </w:rPr>
              <w:t>whose primary responsibility is administrative in nature (at least 50% of their time is administrative)</w:t>
            </w:r>
          </w:p>
          <w:p w14:paraId="31A32A78" w14:textId="77777777" w:rsidR="00D0444E" w:rsidRPr="00E92A29" w:rsidRDefault="00D0444E" w:rsidP="00AD309C">
            <w:pPr>
              <w:pStyle w:val="ListParagraph"/>
              <w:numPr>
                <w:ilvl w:val="0"/>
                <w:numId w:val="376"/>
              </w:numPr>
              <w:autoSpaceDE w:val="0"/>
              <w:autoSpaceDN w:val="0"/>
              <w:adjustRightInd w:val="0"/>
              <w:rPr>
                <w:rFonts w:cs="Arial"/>
              </w:rPr>
            </w:pPr>
            <w:r w:rsidRPr="00E92A29">
              <w:rPr>
                <w:rFonts w:cs="Arial"/>
              </w:rPr>
              <w:t>Specialty teams, patient educators, or case managers who are not assigned to a specific unit</w:t>
            </w:r>
          </w:p>
          <w:p w14:paraId="5BA10C58" w14:textId="77777777" w:rsidR="00D0444E" w:rsidRPr="00E92A29" w:rsidRDefault="00D0444E" w:rsidP="00AD309C">
            <w:pPr>
              <w:pStyle w:val="ListParagraph"/>
              <w:numPr>
                <w:ilvl w:val="0"/>
                <w:numId w:val="376"/>
              </w:numPr>
              <w:autoSpaceDE w:val="0"/>
              <w:autoSpaceDN w:val="0"/>
              <w:adjustRightInd w:val="0"/>
              <w:rPr>
                <w:rFonts w:cs="Arial"/>
              </w:rPr>
            </w:pPr>
            <w:r w:rsidRPr="00E92A29">
              <w:rPr>
                <w:rFonts w:cs="Arial"/>
              </w:rPr>
              <w:t>Unit secretaries or clerks, monitor technicians, and others with no direct patient care responsibilities</w:t>
            </w:r>
          </w:p>
          <w:p w14:paraId="4C636223" w14:textId="77777777" w:rsidR="00D0444E" w:rsidRDefault="00D0444E" w:rsidP="00AD309C">
            <w:pPr>
              <w:pStyle w:val="ListParagraph"/>
              <w:numPr>
                <w:ilvl w:val="0"/>
                <w:numId w:val="376"/>
              </w:numPr>
              <w:autoSpaceDE w:val="0"/>
              <w:autoSpaceDN w:val="0"/>
              <w:adjustRightInd w:val="0"/>
              <w:rPr>
                <w:rFonts w:cs="Arial"/>
              </w:rPr>
            </w:pPr>
            <w:r w:rsidRPr="00E92A29">
              <w:rPr>
                <w:rFonts w:cs="Arial"/>
              </w:rPr>
              <w:t>Advanced Practice Registered Nurses (APRNs), including certified nurse-midwife (CNM), clinical nurse specialist (CNS), certified nurse practitioner (CNP), and certified registered nurse anesthetist (CRNA)</w:t>
            </w:r>
          </w:p>
          <w:p w14:paraId="1BB8AE36" w14:textId="77777777" w:rsidR="00D0444E" w:rsidRDefault="00D0444E" w:rsidP="00D73F6A">
            <w:pPr>
              <w:autoSpaceDE w:val="0"/>
              <w:autoSpaceDN w:val="0"/>
              <w:adjustRightInd w:val="0"/>
              <w:rPr>
                <w:rFonts w:cs="Arial"/>
              </w:rPr>
            </w:pPr>
          </w:p>
          <w:p w14:paraId="17000AC3" w14:textId="3CF05D0E" w:rsidR="00D0444E" w:rsidRPr="003A5BED" w:rsidRDefault="00DD04D6" w:rsidP="00D73F6A">
            <w:pPr>
              <w:pStyle w:val="Heading6"/>
              <w:rPr>
                <w:rFonts w:eastAsiaTheme="minorHAnsi"/>
                <w:b w:val="0"/>
                <w:bCs/>
                <w:i/>
                <w:iCs/>
              </w:rPr>
            </w:pPr>
            <w:r>
              <w:rPr>
                <w:rFonts w:ascii="ZWAdobeF" w:eastAsiaTheme="minorHAnsi" w:hAnsi="ZWAdobeF" w:cs="ZWAdobeF"/>
                <w:b w:val="0"/>
                <w:bCs/>
                <w:iCs/>
                <w:color w:val="auto"/>
                <w:sz w:val="2"/>
                <w:szCs w:val="2"/>
              </w:rPr>
              <w:t>1B</w:t>
            </w:r>
            <w:r w:rsidR="00953060">
              <w:rPr>
                <w:rFonts w:ascii="ZWAdobeF" w:eastAsiaTheme="minorHAnsi" w:hAnsi="ZWAdobeF" w:cs="ZWAdobeF"/>
                <w:b w:val="0"/>
                <w:bCs/>
                <w:iCs/>
                <w:color w:val="auto"/>
                <w:sz w:val="2"/>
                <w:szCs w:val="2"/>
              </w:rPr>
              <w:t>1B</w:t>
            </w:r>
            <w:r w:rsidR="00E453C7">
              <w:rPr>
                <w:rFonts w:ascii="ZWAdobeF" w:eastAsiaTheme="minorHAnsi" w:hAnsi="ZWAdobeF" w:cs="ZWAdobeF"/>
                <w:b w:val="0"/>
                <w:bCs/>
                <w:iCs/>
                <w:color w:val="auto"/>
                <w:sz w:val="2"/>
                <w:szCs w:val="2"/>
              </w:rPr>
              <w:t>1B</w:t>
            </w:r>
            <w:r w:rsidR="006255A6">
              <w:rPr>
                <w:rFonts w:ascii="ZWAdobeF" w:eastAsiaTheme="minorHAnsi" w:hAnsi="ZWAdobeF" w:cs="ZWAdobeF"/>
                <w:b w:val="0"/>
                <w:bCs/>
                <w:iCs/>
                <w:color w:val="auto"/>
                <w:sz w:val="2"/>
                <w:szCs w:val="2"/>
              </w:rPr>
              <w:t>1B</w:t>
            </w:r>
            <w:r w:rsidR="00B55C41">
              <w:rPr>
                <w:rFonts w:ascii="ZWAdobeF" w:eastAsiaTheme="minorHAnsi" w:hAnsi="ZWAdobeF" w:cs="ZWAdobeF"/>
                <w:b w:val="0"/>
                <w:bCs/>
                <w:iCs/>
                <w:color w:val="auto"/>
                <w:sz w:val="2"/>
                <w:szCs w:val="2"/>
              </w:rPr>
              <w:t>1B</w:t>
            </w:r>
            <w:r w:rsidR="00C2087D">
              <w:rPr>
                <w:rFonts w:ascii="ZWAdobeF" w:eastAsiaTheme="minorHAnsi" w:hAnsi="ZWAdobeF" w:cs="ZWAdobeF"/>
                <w:b w:val="0"/>
                <w:bCs/>
                <w:iCs/>
                <w:color w:val="auto"/>
                <w:sz w:val="2"/>
                <w:szCs w:val="2"/>
              </w:rPr>
              <w:t>1B</w:t>
            </w:r>
            <w:r w:rsidR="004C7557">
              <w:rPr>
                <w:rFonts w:ascii="ZWAdobeF" w:eastAsiaTheme="minorHAnsi" w:hAnsi="ZWAdobeF" w:cs="ZWAdobeF"/>
                <w:b w:val="0"/>
                <w:bCs/>
                <w:iCs/>
                <w:color w:val="auto"/>
                <w:sz w:val="2"/>
                <w:szCs w:val="2"/>
              </w:rPr>
              <w:t>1B</w:t>
            </w:r>
            <w:r w:rsidR="00BF053F">
              <w:rPr>
                <w:rFonts w:ascii="ZWAdobeF" w:eastAsiaTheme="minorHAnsi" w:hAnsi="ZWAdobeF" w:cs="ZWAdobeF"/>
                <w:b w:val="0"/>
                <w:bCs/>
                <w:iCs/>
                <w:color w:val="auto"/>
                <w:sz w:val="2"/>
                <w:szCs w:val="2"/>
              </w:rPr>
              <w:t>1B</w:t>
            </w:r>
            <w:r w:rsidR="00D0444E" w:rsidRPr="003A5BED">
              <w:rPr>
                <w:rFonts w:eastAsiaTheme="minorHAnsi"/>
                <w:b w:val="0"/>
                <w:bCs/>
                <w:i/>
                <w:iCs/>
              </w:rPr>
              <w:t>A UAP is any unlicensed person, regardless of title, who performs tasks delegated by a nurse. This includes certified nursing aides/assistants (CNAs), patient care assistants (PCAs), patient care technicians (PCTs), state-tested nursing assistants (STNA), nursing assistants-registered (NA/Rs) or certified medication aides/assistants (MA-Cs).</w:t>
            </w:r>
          </w:p>
          <w:p w14:paraId="77A996B4" w14:textId="77777777" w:rsidR="00D0444E" w:rsidRDefault="00D0444E" w:rsidP="00D73F6A">
            <w:pPr>
              <w:autoSpaceDE w:val="0"/>
              <w:autoSpaceDN w:val="0"/>
              <w:adjustRightInd w:val="0"/>
              <w:rPr>
                <w:rFonts w:cs="Arial"/>
              </w:rPr>
            </w:pPr>
          </w:p>
          <w:p w14:paraId="40077C9D" w14:textId="64982C82" w:rsidR="00D0444E" w:rsidRPr="00C41959" w:rsidRDefault="00DD04D6" w:rsidP="00D73F6A">
            <w:pPr>
              <w:pStyle w:val="Heading6"/>
              <w:rPr>
                <w:rFonts w:eastAsiaTheme="minorHAnsi"/>
                <w:u w:val="single"/>
              </w:rPr>
            </w:pPr>
            <w:r>
              <w:rPr>
                <w:rFonts w:ascii="ZWAdobeF" w:eastAsiaTheme="minorHAnsi" w:hAnsi="ZWAdobeF" w:cs="ZWAdobeF"/>
                <w:b w:val="0"/>
                <w:color w:val="auto"/>
                <w:sz w:val="2"/>
                <w:szCs w:val="2"/>
              </w:rPr>
              <w:t>2B</w:t>
            </w:r>
            <w:r w:rsidR="00953060">
              <w:rPr>
                <w:rFonts w:ascii="ZWAdobeF" w:eastAsiaTheme="minorHAnsi" w:hAnsi="ZWAdobeF" w:cs="ZWAdobeF"/>
                <w:b w:val="0"/>
                <w:color w:val="auto"/>
                <w:sz w:val="2"/>
                <w:szCs w:val="2"/>
              </w:rPr>
              <w:t>2B</w:t>
            </w:r>
            <w:r w:rsidR="00E453C7">
              <w:rPr>
                <w:rFonts w:ascii="ZWAdobeF" w:eastAsiaTheme="minorHAnsi" w:hAnsi="ZWAdobeF" w:cs="ZWAdobeF"/>
                <w:b w:val="0"/>
                <w:color w:val="auto"/>
                <w:sz w:val="2"/>
                <w:szCs w:val="2"/>
              </w:rPr>
              <w:t>2B</w:t>
            </w:r>
            <w:r w:rsidR="006255A6">
              <w:rPr>
                <w:rFonts w:ascii="ZWAdobeF" w:eastAsiaTheme="minorHAnsi" w:hAnsi="ZWAdobeF" w:cs="ZWAdobeF"/>
                <w:b w:val="0"/>
                <w:color w:val="auto"/>
                <w:sz w:val="2"/>
                <w:szCs w:val="2"/>
              </w:rPr>
              <w:t>2B</w:t>
            </w:r>
            <w:r w:rsidR="00B55C41">
              <w:rPr>
                <w:rFonts w:ascii="ZWAdobeF" w:eastAsiaTheme="minorHAnsi" w:hAnsi="ZWAdobeF" w:cs="ZWAdobeF"/>
                <w:b w:val="0"/>
                <w:color w:val="auto"/>
                <w:sz w:val="2"/>
                <w:szCs w:val="2"/>
              </w:rPr>
              <w:t>2B</w:t>
            </w:r>
            <w:r w:rsidR="00C2087D">
              <w:rPr>
                <w:rFonts w:ascii="ZWAdobeF" w:eastAsiaTheme="minorHAnsi" w:hAnsi="ZWAdobeF" w:cs="ZWAdobeF"/>
                <w:b w:val="0"/>
                <w:color w:val="auto"/>
                <w:sz w:val="2"/>
                <w:szCs w:val="2"/>
              </w:rPr>
              <w:t>2B</w:t>
            </w:r>
            <w:r w:rsidR="004C7557">
              <w:rPr>
                <w:rFonts w:ascii="ZWAdobeF" w:eastAsiaTheme="minorHAnsi" w:hAnsi="ZWAdobeF" w:cs="ZWAdobeF"/>
                <w:b w:val="0"/>
                <w:color w:val="auto"/>
                <w:sz w:val="2"/>
                <w:szCs w:val="2"/>
              </w:rPr>
              <w:t>2B</w:t>
            </w:r>
            <w:r w:rsidR="00BF053F">
              <w:rPr>
                <w:rFonts w:ascii="ZWAdobeF" w:eastAsiaTheme="minorHAnsi" w:hAnsi="ZWAdobeF" w:cs="ZWAdobeF"/>
                <w:b w:val="0"/>
                <w:color w:val="auto"/>
                <w:sz w:val="2"/>
                <w:szCs w:val="2"/>
              </w:rPr>
              <w:t>2B</w:t>
            </w:r>
            <w:r w:rsidR="00D0444E" w:rsidRPr="00C41959">
              <w:rPr>
                <w:rFonts w:eastAsiaTheme="minorHAnsi"/>
                <w:u w:val="single"/>
              </w:rPr>
              <w:t xml:space="preserve">Direct Patient Care Responsibilities </w:t>
            </w:r>
          </w:p>
          <w:p w14:paraId="7A446B5F" w14:textId="77777777" w:rsidR="00D0444E" w:rsidRPr="00BB3760" w:rsidRDefault="00D0444E" w:rsidP="00D73F6A">
            <w:pPr>
              <w:autoSpaceDE w:val="0"/>
              <w:autoSpaceDN w:val="0"/>
              <w:adjustRightInd w:val="0"/>
              <w:rPr>
                <w:rFonts w:cs="Arial"/>
              </w:rPr>
            </w:pPr>
          </w:p>
          <w:p w14:paraId="2DD821A3" w14:textId="77777777" w:rsidR="00D0444E" w:rsidRPr="00BB3760" w:rsidRDefault="00D0444E" w:rsidP="00D73F6A">
            <w:pPr>
              <w:autoSpaceDE w:val="0"/>
              <w:autoSpaceDN w:val="0"/>
              <w:adjustRightInd w:val="0"/>
              <w:rPr>
                <w:rFonts w:cs="Arial"/>
              </w:rPr>
            </w:pPr>
            <w:r w:rsidRPr="00A831FC">
              <w:rPr>
                <w:rFonts w:cs="Arial"/>
                <w:b/>
                <w:bCs/>
              </w:rPr>
              <w:t>Direct Patient Care Responsibilities</w:t>
            </w:r>
            <w:r w:rsidRPr="00BB3760">
              <w:rPr>
                <w:rFonts w:cs="Arial"/>
              </w:rPr>
              <w:t xml:space="preserve"> are defined as patient centered nursing activities by hospital unit-based staff in the presence of the patient and activities that occur away from the patient that are patient related:</w:t>
            </w:r>
          </w:p>
          <w:p w14:paraId="578F2316"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Medication administration</w:t>
            </w:r>
          </w:p>
          <w:p w14:paraId="2941D7AA"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Nursing treatments</w:t>
            </w:r>
          </w:p>
          <w:p w14:paraId="5DFB51F9"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Nursing rounds</w:t>
            </w:r>
          </w:p>
          <w:p w14:paraId="0D84A6A9"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Admission, transfer, discharge activities</w:t>
            </w:r>
          </w:p>
          <w:p w14:paraId="34FA55C5"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Patient teaching</w:t>
            </w:r>
          </w:p>
          <w:p w14:paraId="02B93F23"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Patient communication</w:t>
            </w:r>
          </w:p>
          <w:p w14:paraId="17B7C9A8"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Coordination of patient care</w:t>
            </w:r>
          </w:p>
          <w:p w14:paraId="00BFDE65"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Documentation time</w:t>
            </w:r>
          </w:p>
          <w:p w14:paraId="5BC38130" w14:textId="77777777" w:rsidR="00D0444E" w:rsidRDefault="00D0444E" w:rsidP="00AD309C">
            <w:pPr>
              <w:pStyle w:val="ListParagraph"/>
              <w:numPr>
                <w:ilvl w:val="0"/>
                <w:numId w:val="377"/>
              </w:numPr>
              <w:autoSpaceDE w:val="0"/>
              <w:autoSpaceDN w:val="0"/>
              <w:adjustRightInd w:val="0"/>
              <w:rPr>
                <w:rFonts w:cs="Arial"/>
              </w:rPr>
            </w:pPr>
            <w:r w:rsidRPr="00CE79E2">
              <w:rPr>
                <w:rFonts w:cs="Arial"/>
              </w:rPr>
              <w:t>Treatment planning</w:t>
            </w:r>
          </w:p>
          <w:p w14:paraId="763FE6A0" w14:textId="77777777" w:rsidR="00D0444E" w:rsidRPr="00CA7146" w:rsidRDefault="00D0444E" w:rsidP="00AD309C">
            <w:pPr>
              <w:pStyle w:val="ListParagraph"/>
              <w:numPr>
                <w:ilvl w:val="0"/>
                <w:numId w:val="377"/>
              </w:numPr>
              <w:autoSpaceDE w:val="0"/>
              <w:autoSpaceDN w:val="0"/>
              <w:adjustRightInd w:val="0"/>
              <w:rPr>
                <w:rFonts w:cs="Arial"/>
              </w:rPr>
            </w:pPr>
            <w:r w:rsidRPr="00CA7146">
              <w:rPr>
                <w:rFonts w:cs="Arial"/>
              </w:rPr>
              <w:t>Patient screening (e.g., fall risk) and assessment</w:t>
            </w:r>
          </w:p>
        </w:tc>
      </w:tr>
      <w:tr w:rsidR="00D0444E" w14:paraId="6CFF6A86" w14:textId="77777777" w:rsidTr="00D73F6A">
        <w:trPr>
          <w:trHeight w:val="144"/>
        </w:trPr>
        <w:tc>
          <w:tcPr>
            <w:tcW w:w="9350" w:type="dxa"/>
          </w:tcPr>
          <w:p w14:paraId="14220A51" w14:textId="4BDBF8FF" w:rsidR="00D0444E" w:rsidRPr="00BB3760" w:rsidRDefault="00D0444E" w:rsidP="00D73F6A">
            <w:pPr>
              <w:autoSpaceDE w:val="0"/>
              <w:autoSpaceDN w:val="0"/>
              <w:adjustRightInd w:val="0"/>
              <w:rPr>
                <w:rFonts w:cs="Arial"/>
              </w:rPr>
            </w:pPr>
            <w:r w:rsidRPr="00632627">
              <w:rPr>
                <w:rFonts w:cs="Arial"/>
                <w:b/>
                <w:bCs/>
              </w:rPr>
              <w:lastRenderedPageBreak/>
              <w:t>Questions #</w:t>
            </w:r>
            <w:r w:rsidR="00BF0AD9">
              <w:rPr>
                <w:rFonts w:cs="Arial"/>
                <w:b/>
                <w:bCs/>
              </w:rPr>
              <w:t>5</w:t>
            </w:r>
            <w:r w:rsidRPr="00632627">
              <w:rPr>
                <w:rFonts w:cs="Arial"/>
                <w:b/>
                <w:bCs/>
              </w:rPr>
              <w:t>(c):</w:t>
            </w:r>
            <w:r w:rsidRPr="00BB3760">
              <w:rPr>
                <w:rFonts w:cs="Arial"/>
              </w:rPr>
              <w:t xml:space="preserve"> Total number of productive hours worked by </w:t>
            </w:r>
            <w:r w:rsidRPr="003E08DF">
              <w:rPr>
                <w:rFonts w:cs="Arial"/>
                <w:b/>
                <w:bCs/>
              </w:rPr>
              <w:t>RN nursing staff</w:t>
            </w:r>
            <w:r w:rsidRPr="00BB3760">
              <w:rPr>
                <w:rFonts w:cs="Arial"/>
              </w:rPr>
              <w:t xml:space="preserve"> with direct patient care responsibilities in all </w:t>
            </w:r>
            <w:r>
              <w:rPr>
                <w:rFonts w:cs="Arial"/>
              </w:rPr>
              <w:t>adult and pediatric single acuity</w:t>
            </w:r>
            <w:r w:rsidRPr="00BB3760">
              <w:rPr>
                <w:rFonts w:cs="Arial"/>
              </w:rPr>
              <w:t xml:space="preserve"> </w:t>
            </w:r>
            <w:r w:rsidRPr="0052798E">
              <w:rPr>
                <w:rFonts w:cs="Arial"/>
                <w:b/>
                <w:bCs/>
              </w:rPr>
              <w:t>Medical Units</w:t>
            </w:r>
            <w:r>
              <w:rPr>
                <w:rFonts w:cs="Arial"/>
              </w:rPr>
              <w:t xml:space="preserve"> </w:t>
            </w:r>
            <w:r w:rsidRPr="00BB3760">
              <w:rPr>
                <w:rFonts w:cs="Arial"/>
              </w:rPr>
              <w:t>in each quarter.</w:t>
            </w:r>
          </w:p>
          <w:p w14:paraId="78F281AA" w14:textId="77777777" w:rsidR="00D0444E" w:rsidRPr="00BB3760" w:rsidRDefault="00D0444E" w:rsidP="00D73F6A">
            <w:pPr>
              <w:autoSpaceDE w:val="0"/>
              <w:autoSpaceDN w:val="0"/>
              <w:adjustRightInd w:val="0"/>
              <w:rPr>
                <w:rFonts w:cs="Arial"/>
              </w:rPr>
            </w:pPr>
          </w:p>
          <w:p w14:paraId="0A655876" w14:textId="32EFCD2E" w:rsidR="00D0444E" w:rsidRPr="00A831FC" w:rsidRDefault="00D0444E" w:rsidP="00D73F6A">
            <w:pPr>
              <w:autoSpaceDE w:val="0"/>
              <w:autoSpaceDN w:val="0"/>
              <w:adjustRightInd w:val="0"/>
              <w:rPr>
                <w:rFonts w:cs="Arial"/>
              </w:rPr>
            </w:pPr>
            <w:r w:rsidRPr="00A831FC">
              <w:rPr>
                <w:rFonts w:cs="Arial"/>
                <w:b/>
                <w:bCs/>
              </w:rPr>
              <w:t>Include</w:t>
            </w:r>
            <w:r>
              <w:rPr>
                <w:rFonts w:cs="Arial"/>
              </w:rPr>
              <w:t xml:space="preserve"> t</w:t>
            </w:r>
            <w:r w:rsidRPr="00612120">
              <w:rPr>
                <w:rFonts w:cs="Arial"/>
              </w:rPr>
              <w:t xml:space="preserve">he </w:t>
            </w:r>
            <w:r>
              <w:rPr>
                <w:rFonts w:cs="Arial"/>
              </w:rPr>
              <w:t xml:space="preserve">total </w:t>
            </w:r>
            <w:r w:rsidRPr="00612120">
              <w:rPr>
                <w:rFonts w:cs="Arial"/>
              </w:rPr>
              <w:t>number of</w:t>
            </w:r>
            <w:r>
              <w:rPr>
                <w:rFonts w:cs="Arial"/>
              </w:rPr>
              <w:t xml:space="preserve"> productive work hours worked by </w:t>
            </w:r>
            <w:r w:rsidRPr="00612120">
              <w:rPr>
                <w:rFonts w:cs="Arial"/>
              </w:rPr>
              <w:t>employe</w:t>
            </w:r>
            <w:r>
              <w:rPr>
                <w:rFonts w:cs="Arial"/>
              </w:rPr>
              <w:t>d</w:t>
            </w:r>
            <w:r w:rsidRPr="00612120">
              <w:rPr>
                <w:rFonts w:cs="Arial"/>
              </w:rPr>
              <w:t xml:space="preserve"> and contract</w:t>
            </w:r>
            <w:r>
              <w:rPr>
                <w:rFonts w:cs="Arial"/>
              </w:rPr>
              <w:t>ed</w:t>
            </w:r>
            <w:r w:rsidRPr="00612120">
              <w:rPr>
                <w:rFonts w:cs="Arial"/>
              </w:rPr>
              <w:t xml:space="preserve"> </w:t>
            </w:r>
            <w:r w:rsidRPr="00A90AE6">
              <w:rPr>
                <w:rFonts w:cs="Arial"/>
                <w:b/>
                <w:bCs/>
              </w:rPr>
              <w:t>RN nursing staff ONLY</w:t>
            </w:r>
            <w:r>
              <w:rPr>
                <w:rFonts w:cs="Arial"/>
              </w:rPr>
              <w:t xml:space="preserve"> from question </w:t>
            </w:r>
            <w:r w:rsidR="00A7005B">
              <w:rPr>
                <w:rFonts w:cs="Arial"/>
              </w:rPr>
              <w:t>5b</w:t>
            </w:r>
            <w:r>
              <w:rPr>
                <w:rFonts w:cs="Arial"/>
              </w:rPr>
              <w:t>.</w:t>
            </w:r>
          </w:p>
        </w:tc>
      </w:tr>
      <w:tr w:rsidR="00D0444E" w14:paraId="77418C60" w14:textId="77777777" w:rsidTr="00D73F6A">
        <w:trPr>
          <w:trHeight w:val="432"/>
        </w:trPr>
        <w:tc>
          <w:tcPr>
            <w:tcW w:w="9350" w:type="dxa"/>
          </w:tcPr>
          <w:p w14:paraId="1DA697B5" w14:textId="4D79B085" w:rsidR="00D0444E" w:rsidRPr="00C41959" w:rsidRDefault="00D0444E" w:rsidP="00D73F6A">
            <w:pPr>
              <w:rPr>
                <w:rFonts w:cs="Arial"/>
                <w:b/>
                <w:bCs/>
              </w:rPr>
            </w:pPr>
            <w:r w:rsidRPr="00C41959">
              <w:rPr>
                <w:rFonts w:cs="Arial"/>
                <w:b/>
                <w:bCs/>
              </w:rPr>
              <w:lastRenderedPageBreak/>
              <w:t>Question #</w:t>
            </w:r>
            <w:r w:rsidR="00BF0AD9">
              <w:rPr>
                <w:rFonts w:cs="Arial"/>
                <w:b/>
                <w:bCs/>
              </w:rPr>
              <w:t>6</w:t>
            </w:r>
            <w:r w:rsidRPr="00C41959">
              <w:rPr>
                <w:rFonts w:cs="Arial"/>
                <w:b/>
                <w:bCs/>
              </w:rPr>
              <w:t>: Does your hospital operate any adult or pediatric single acuity Surgical Units?</w:t>
            </w:r>
          </w:p>
          <w:p w14:paraId="1B16CC81" w14:textId="77777777" w:rsidR="00D0444E" w:rsidRPr="00F83C07" w:rsidRDefault="00D0444E" w:rsidP="00D73F6A">
            <w:pPr>
              <w:rPr>
                <w:rFonts w:cs="Arial"/>
                <w:sz w:val="16"/>
                <w:szCs w:val="16"/>
              </w:rPr>
            </w:pPr>
          </w:p>
          <w:p w14:paraId="54B02ADB" w14:textId="77777777" w:rsidR="00D0444E" w:rsidRPr="007A5E80" w:rsidRDefault="00D0444E" w:rsidP="00D73F6A">
            <w:pPr>
              <w:autoSpaceDE w:val="0"/>
              <w:autoSpaceDN w:val="0"/>
              <w:adjustRightInd w:val="0"/>
              <w:rPr>
                <w:rFonts w:cs="Arial"/>
                <w:b/>
                <w:bCs/>
              </w:rPr>
            </w:pPr>
            <w:r>
              <w:rPr>
                <w:rFonts w:cs="Arial"/>
                <w:b/>
                <w:bCs/>
              </w:rPr>
              <w:t xml:space="preserve">Single Acuity </w:t>
            </w:r>
            <w:r w:rsidRPr="007A5E80">
              <w:rPr>
                <w:rFonts w:cs="Arial"/>
                <w:b/>
                <w:bCs/>
              </w:rPr>
              <w:t xml:space="preserve">Surgical Unit (adult </w:t>
            </w:r>
            <w:r>
              <w:rPr>
                <w:rFonts w:cs="Arial"/>
                <w:b/>
                <w:bCs/>
              </w:rPr>
              <w:t xml:space="preserve">and </w:t>
            </w:r>
            <w:r w:rsidRPr="007A5E80">
              <w:rPr>
                <w:rFonts w:cs="Arial"/>
                <w:b/>
                <w:bCs/>
              </w:rPr>
              <w:t xml:space="preserve">pediatric): </w:t>
            </w:r>
          </w:p>
          <w:p w14:paraId="05690408" w14:textId="77777777" w:rsidR="00D0444E" w:rsidRDefault="00D0444E" w:rsidP="00D73F6A">
            <w:pPr>
              <w:autoSpaceDE w:val="0"/>
              <w:autoSpaceDN w:val="0"/>
              <w:adjustRightInd w:val="0"/>
              <w:rPr>
                <w:rFonts w:cs="Arial"/>
              </w:rPr>
            </w:pPr>
            <w:r w:rsidRPr="00BB3760">
              <w:rPr>
                <w:rFonts w:cs="Arial"/>
              </w:rPr>
              <w:t xml:space="preserve">A single acuity general care unit in which at least 90% of the patients are admitted to surgical services, such as general surgery, neurosurgery, or orthopedics. Surgical specialty units such as Bariatric Surgery, Cardio-thoracic Surgery, Gynecologic Surgery, Neurosurgery, Orthopedic Surgery, Plastic Surgery, Transplant Surgery, and Trauma Surgery, are also included. </w:t>
            </w:r>
          </w:p>
          <w:p w14:paraId="4099EBAC" w14:textId="77777777" w:rsidR="005F522B" w:rsidRDefault="005F522B" w:rsidP="00D73F6A">
            <w:pPr>
              <w:autoSpaceDE w:val="0"/>
              <w:autoSpaceDN w:val="0"/>
              <w:adjustRightInd w:val="0"/>
              <w:rPr>
                <w:rFonts w:cs="Arial"/>
              </w:rPr>
            </w:pPr>
          </w:p>
          <w:p w14:paraId="41473F4B" w14:textId="77777777" w:rsidR="005F522B" w:rsidRDefault="005F522B" w:rsidP="005F522B">
            <w:pPr>
              <w:autoSpaceDE w:val="0"/>
              <w:autoSpaceDN w:val="0"/>
              <w:adjustRightInd w:val="0"/>
              <w:rPr>
                <w:rFonts w:cs="Arial"/>
              </w:rPr>
            </w:pPr>
            <w:r>
              <w:rPr>
                <w:rFonts w:cs="Arial"/>
              </w:rPr>
              <w:t xml:space="preserve">Note: </w:t>
            </w:r>
            <w:r w:rsidRPr="00967917">
              <w:rPr>
                <w:rFonts w:cs="Arial"/>
              </w:rPr>
              <w:t>For the purposes of these measures, Leapfrog has aligned with NDNQI, which defines units based on the acuity of the patients being cared for in the unit, and not the equipment being used. Telemetry is considered a monitoring tool rather than an evaluation of a patient’s level of acuity. For example, a unit that has all telemetry patients may still have a general population level of patients that would meet NDNQI’s definition of a medical, surgical, or med-surg unit. Hospitals should evaluate the actual acuity of the patients in each unit to determine the appropriate unit designation.</w:t>
            </w:r>
          </w:p>
          <w:p w14:paraId="28CC4CAC" w14:textId="77777777" w:rsidR="00D0444E" w:rsidRDefault="00D0444E" w:rsidP="00D73F6A">
            <w:pPr>
              <w:autoSpaceDE w:val="0"/>
              <w:autoSpaceDN w:val="0"/>
              <w:adjustRightInd w:val="0"/>
              <w:rPr>
                <w:rFonts w:cs="Arial"/>
              </w:rPr>
            </w:pPr>
          </w:p>
          <w:p w14:paraId="40A62AF1" w14:textId="77777777" w:rsidR="00D0444E" w:rsidRPr="00A90AE6" w:rsidRDefault="00D0444E" w:rsidP="00D73F6A">
            <w:pPr>
              <w:autoSpaceDE w:val="0"/>
              <w:autoSpaceDN w:val="0"/>
              <w:adjustRightInd w:val="0"/>
              <w:rPr>
                <w:rFonts w:cs="Arial"/>
                <w:b/>
                <w:bCs/>
              </w:rPr>
            </w:pPr>
            <w:r w:rsidRPr="00A90AE6">
              <w:rPr>
                <w:rFonts w:cs="Arial"/>
                <w:b/>
                <w:bCs/>
              </w:rPr>
              <w:t xml:space="preserve">Excluded units: </w:t>
            </w:r>
          </w:p>
          <w:p w14:paraId="41CA2BD4"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Labor and Delivery</w:t>
            </w:r>
          </w:p>
          <w:p w14:paraId="04003A69" w14:textId="77777777" w:rsidR="00D0444E" w:rsidRDefault="00D0444E" w:rsidP="00AD309C">
            <w:pPr>
              <w:pStyle w:val="ListParagraph"/>
              <w:numPr>
                <w:ilvl w:val="0"/>
                <w:numId w:val="372"/>
              </w:numPr>
              <w:autoSpaceDE w:val="0"/>
              <w:autoSpaceDN w:val="0"/>
              <w:adjustRightInd w:val="0"/>
              <w:rPr>
                <w:rFonts w:cs="Arial"/>
              </w:rPr>
            </w:pPr>
            <w:r w:rsidRPr="00C41528">
              <w:rPr>
                <w:rFonts w:cs="Arial"/>
              </w:rPr>
              <w:t>Neonatal</w:t>
            </w:r>
          </w:p>
          <w:p w14:paraId="037224E6" w14:textId="3EBF9A34" w:rsidR="00B1103E" w:rsidRPr="00E461ED" w:rsidRDefault="00E461ED" w:rsidP="00AD309C">
            <w:pPr>
              <w:pStyle w:val="ListParagraph"/>
              <w:numPr>
                <w:ilvl w:val="0"/>
                <w:numId w:val="372"/>
              </w:numPr>
              <w:autoSpaceDE w:val="0"/>
              <w:autoSpaceDN w:val="0"/>
              <w:adjustRightInd w:val="0"/>
              <w:rPr>
                <w:rFonts w:cs="Arial"/>
              </w:rPr>
            </w:pPr>
            <w:r w:rsidRPr="0004565D">
              <w:rPr>
                <w:rFonts w:cs="Arial"/>
              </w:rPr>
              <w:t>Critical Access</w:t>
            </w:r>
            <w:r>
              <w:rPr>
                <w:rFonts w:cs="Arial"/>
              </w:rPr>
              <w:t xml:space="preserve"> (</w:t>
            </w:r>
            <w:r w:rsidRPr="0004565D">
              <w:rPr>
                <w:rFonts w:cs="Arial"/>
              </w:rPr>
              <w:t>a unit where more than 10% of beds are for skilled nursing (swing beds)</w:t>
            </w:r>
            <w:r w:rsidR="00B1103E" w:rsidRPr="00E461ED">
              <w:rPr>
                <w:rFonts w:cs="Arial"/>
              </w:rPr>
              <w:t>)</w:t>
            </w:r>
          </w:p>
          <w:p w14:paraId="17CD922F"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Rehabilitation</w:t>
            </w:r>
          </w:p>
          <w:p w14:paraId="446DC5DA"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Psychiatric</w:t>
            </w:r>
          </w:p>
          <w:p w14:paraId="424C1F8D"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Perioperative</w:t>
            </w:r>
          </w:p>
          <w:p w14:paraId="7D633883"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Critical Care</w:t>
            </w:r>
          </w:p>
          <w:p w14:paraId="627C070D"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Step Down/Progressive</w:t>
            </w:r>
          </w:p>
          <w:p w14:paraId="4B277B87"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Hospice</w:t>
            </w:r>
          </w:p>
          <w:p w14:paraId="44BAC2E8" w14:textId="16680CBB"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Mixed Acuity Units: a unit where more than 10% of the patients in the unit receive varying levels of care (e.g., general medical care and progressive care or intensive care)</w:t>
            </w:r>
          </w:p>
          <w:p w14:paraId="4BD42874"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 xml:space="preserve">Units with fewer </w:t>
            </w:r>
            <w:r w:rsidRPr="00F62669">
              <w:rPr>
                <w:rFonts w:cs="Arial"/>
                <w:iCs/>
                <w:snapToGrid w:val="0"/>
              </w:rPr>
              <w:t>than 15 patient days per month for all 3 months of any quarter of the reporting period</w:t>
            </w:r>
          </w:p>
          <w:p w14:paraId="2520D2BE" w14:textId="77777777" w:rsidR="00D0444E" w:rsidRPr="00C41959" w:rsidRDefault="00D0444E" w:rsidP="00AD309C">
            <w:pPr>
              <w:pStyle w:val="ListParagraph"/>
              <w:numPr>
                <w:ilvl w:val="0"/>
                <w:numId w:val="372"/>
              </w:numPr>
              <w:autoSpaceDE w:val="0"/>
              <w:autoSpaceDN w:val="0"/>
              <w:adjustRightInd w:val="0"/>
              <w:rPr>
                <w:rFonts w:cs="Arial"/>
              </w:rPr>
            </w:pPr>
            <w:r w:rsidRPr="00C41959">
              <w:rPr>
                <w:rFonts w:cs="Arial"/>
              </w:rPr>
              <w:t>Units that transitioned to an excluded unit type during the reporting period (e.g., a single acuity Medical Unit transitioned to a critical care unit during the reporting period)</w:t>
            </w:r>
          </w:p>
        </w:tc>
      </w:tr>
      <w:tr w:rsidR="00D0444E" w14:paraId="3D99C70D" w14:textId="77777777" w:rsidTr="00D73F6A">
        <w:tc>
          <w:tcPr>
            <w:tcW w:w="9350" w:type="dxa"/>
          </w:tcPr>
          <w:p w14:paraId="28B33869" w14:textId="486A7AC8" w:rsidR="00D0444E" w:rsidRDefault="00D0444E" w:rsidP="00D73F6A">
            <w:pPr>
              <w:rPr>
                <w:rFonts w:cs="Arial"/>
                <w:b/>
                <w:bCs/>
              </w:rPr>
            </w:pPr>
            <w:r>
              <w:rPr>
                <w:rFonts w:cs="Arial"/>
                <w:b/>
                <w:bCs/>
              </w:rPr>
              <w:t>Question #</w:t>
            </w:r>
            <w:r w:rsidR="00823C75">
              <w:rPr>
                <w:rFonts w:cs="Arial"/>
                <w:b/>
                <w:bCs/>
              </w:rPr>
              <w:t>7</w:t>
            </w:r>
            <w:r>
              <w:rPr>
                <w:rFonts w:cs="Arial"/>
                <w:b/>
                <w:bCs/>
              </w:rPr>
              <w:t>: Single Acuity Surgical Units</w:t>
            </w:r>
          </w:p>
          <w:p w14:paraId="7E87DF98" w14:textId="77777777" w:rsidR="00D0444E" w:rsidRPr="00C41959" w:rsidRDefault="00D0444E" w:rsidP="00D73F6A">
            <w:pPr>
              <w:rPr>
                <w:rFonts w:cs="Arial"/>
                <w:b/>
                <w:bCs/>
              </w:rPr>
            </w:pPr>
            <w:r w:rsidRPr="001E285B">
              <w:rPr>
                <w:rFonts w:cs="Arial"/>
              </w:rPr>
              <w:t xml:space="preserve">Enter your hospital’s responses for each quarter for all adult and pediatric single acuity </w:t>
            </w:r>
            <w:r w:rsidRPr="0052798E">
              <w:rPr>
                <w:rFonts w:cs="Arial"/>
                <w:b/>
                <w:bCs/>
              </w:rPr>
              <w:t>Surgical Units</w:t>
            </w:r>
            <w:r w:rsidRPr="001E285B">
              <w:rPr>
                <w:rFonts w:cs="Arial"/>
              </w:rPr>
              <w:t xml:space="preserve"> for the reporting period selected in question #1</w:t>
            </w:r>
            <w:r>
              <w:rPr>
                <w:rFonts w:cs="Arial"/>
              </w:rPr>
              <w:t>.</w:t>
            </w:r>
          </w:p>
        </w:tc>
      </w:tr>
      <w:tr w:rsidR="00D0444E" w14:paraId="4B26C9BF" w14:textId="77777777" w:rsidTr="00D73F6A">
        <w:tc>
          <w:tcPr>
            <w:tcW w:w="9350" w:type="dxa"/>
          </w:tcPr>
          <w:p w14:paraId="4F7608E0" w14:textId="2009351D" w:rsidR="00D0444E" w:rsidRPr="00BB3760" w:rsidRDefault="00D0444E" w:rsidP="00D73F6A">
            <w:pPr>
              <w:rPr>
                <w:rFonts w:cs="Arial"/>
              </w:rPr>
            </w:pPr>
            <w:r w:rsidRPr="00632627">
              <w:rPr>
                <w:rFonts w:cs="Arial"/>
                <w:b/>
                <w:bCs/>
              </w:rPr>
              <w:t xml:space="preserve">Question </w:t>
            </w:r>
            <w:r>
              <w:rPr>
                <w:rFonts w:cs="Arial"/>
                <w:b/>
                <w:bCs/>
              </w:rPr>
              <w:t>#</w:t>
            </w:r>
            <w:r w:rsidR="00A21532">
              <w:rPr>
                <w:rFonts w:cs="Arial"/>
                <w:b/>
                <w:bCs/>
              </w:rPr>
              <w:t>7</w:t>
            </w:r>
            <w:r w:rsidRPr="00632627">
              <w:rPr>
                <w:rFonts w:cs="Arial"/>
                <w:b/>
                <w:bCs/>
              </w:rPr>
              <w:t>(a):</w:t>
            </w:r>
            <w:r>
              <w:rPr>
                <w:rFonts w:cs="Arial"/>
                <w:b/>
                <w:bCs/>
              </w:rPr>
              <w:t xml:space="preserve"> </w:t>
            </w:r>
            <w:r w:rsidRPr="00BB3760">
              <w:rPr>
                <w:rFonts w:cs="Arial"/>
              </w:rPr>
              <w:t xml:space="preserve">Total number of patient days </w:t>
            </w:r>
            <w:r>
              <w:rPr>
                <w:rFonts w:cs="Arial"/>
              </w:rPr>
              <w:t>across</w:t>
            </w:r>
            <w:r w:rsidRPr="00BB3760">
              <w:rPr>
                <w:rFonts w:cs="Arial"/>
              </w:rPr>
              <w:t xml:space="preserve"> all </w:t>
            </w:r>
            <w:r>
              <w:rPr>
                <w:rFonts w:cs="Arial"/>
              </w:rPr>
              <w:t xml:space="preserve">adult and pediatric </w:t>
            </w:r>
            <w:r w:rsidRPr="00BB3760">
              <w:rPr>
                <w:rFonts w:cs="Arial"/>
              </w:rPr>
              <w:t xml:space="preserve">single acuity </w:t>
            </w:r>
            <w:r w:rsidRPr="00C41959">
              <w:rPr>
                <w:rFonts w:cs="Arial"/>
                <w:b/>
                <w:bCs/>
              </w:rPr>
              <w:t>Surgical Units</w:t>
            </w:r>
            <w:r w:rsidRPr="00BB3760">
              <w:rPr>
                <w:rFonts w:cs="Arial"/>
              </w:rPr>
              <w:t xml:space="preserve"> </w:t>
            </w:r>
            <w:r>
              <w:rPr>
                <w:rFonts w:cs="Arial"/>
              </w:rPr>
              <w:t xml:space="preserve">during </w:t>
            </w:r>
            <w:r w:rsidRPr="00BB3760">
              <w:rPr>
                <w:rFonts w:cs="Arial"/>
              </w:rPr>
              <w:t>each quarter</w:t>
            </w:r>
            <w:r>
              <w:rPr>
                <w:rFonts w:cs="Arial"/>
              </w:rPr>
              <w:t xml:space="preserve"> of the reporting period</w:t>
            </w:r>
            <w:r w:rsidRPr="00BB3760">
              <w:rPr>
                <w:rFonts w:cs="Arial"/>
              </w:rPr>
              <w:t xml:space="preserve"> based on your hospital’s method for counting patient days. </w:t>
            </w:r>
          </w:p>
          <w:p w14:paraId="7E3F5A54" w14:textId="77777777" w:rsidR="00D0444E" w:rsidRPr="00F83C07" w:rsidRDefault="00D0444E" w:rsidP="00D73F6A">
            <w:pPr>
              <w:autoSpaceDE w:val="0"/>
              <w:autoSpaceDN w:val="0"/>
              <w:adjustRightInd w:val="0"/>
              <w:rPr>
                <w:rFonts w:cs="Arial"/>
                <w:sz w:val="16"/>
                <w:szCs w:val="16"/>
              </w:rPr>
            </w:pPr>
          </w:p>
          <w:p w14:paraId="5F794A5D" w14:textId="77777777" w:rsidR="00D0444E" w:rsidRPr="00632627" w:rsidRDefault="00D0444E" w:rsidP="00D73F6A">
            <w:pPr>
              <w:autoSpaceDE w:val="0"/>
              <w:autoSpaceDN w:val="0"/>
              <w:adjustRightInd w:val="0"/>
              <w:rPr>
                <w:rFonts w:cs="Arial"/>
                <w:b/>
                <w:bCs/>
              </w:rPr>
            </w:pPr>
            <w:r w:rsidRPr="00BB3760">
              <w:rPr>
                <w:rFonts w:cs="Arial"/>
              </w:rPr>
              <w:t xml:space="preserve">Patient days should be calculated to include all patients in </w:t>
            </w:r>
            <w:r w:rsidRPr="00331343">
              <w:rPr>
                <w:rFonts w:cs="Arial"/>
              </w:rPr>
              <w:t xml:space="preserve">adult </w:t>
            </w:r>
            <w:r>
              <w:rPr>
                <w:rFonts w:cs="Arial"/>
              </w:rPr>
              <w:t>and</w:t>
            </w:r>
            <w:r w:rsidRPr="00331343">
              <w:rPr>
                <w:rFonts w:cs="Arial"/>
              </w:rPr>
              <w:t xml:space="preserve"> pediatric single acuity </w:t>
            </w:r>
            <w:r>
              <w:rPr>
                <w:rFonts w:cs="Arial"/>
              </w:rPr>
              <w:t>Surg</w:t>
            </w:r>
            <w:r w:rsidRPr="00331343">
              <w:rPr>
                <w:rFonts w:cs="Arial"/>
              </w:rPr>
              <w:t>ical Unit</w:t>
            </w:r>
            <w:r>
              <w:rPr>
                <w:rFonts w:cs="Arial"/>
              </w:rPr>
              <w:t>s</w:t>
            </w:r>
            <w:r w:rsidRPr="00BB3760">
              <w:rPr>
                <w:rFonts w:cs="Arial"/>
              </w:rPr>
              <w:t>. This includes patients that do not have inpatient status (i.e., observation patients).</w:t>
            </w:r>
          </w:p>
        </w:tc>
      </w:tr>
      <w:tr w:rsidR="00D0444E" w14:paraId="3044EEF2" w14:textId="77777777" w:rsidTr="00D73F6A">
        <w:tc>
          <w:tcPr>
            <w:tcW w:w="9350" w:type="dxa"/>
          </w:tcPr>
          <w:p w14:paraId="2A1676CF" w14:textId="4D2D9278" w:rsidR="00D0444E" w:rsidRDefault="00D0444E" w:rsidP="00D73F6A">
            <w:pPr>
              <w:autoSpaceDE w:val="0"/>
              <w:autoSpaceDN w:val="0"/>
              <w:adjustRightInd w:val="0"/>
              <w:rPr>
                <w:rFonts w:cs="Arial"/>
              </w:rPr>
            </w:pPr>
            <w:r w:rsidRPr="00632627">
              <w:rPr>
                <w:rFonts w:cs="Arial"/>
                <w:b/>
                <w:bCs/>
              </w:rPr>
              <w:t xml:space="preserve">Question </w:t>
            </w:r>
            <w:r>
              <w:rPr>
                <w:rFonts w:cs="Arial"/>
                <w:b/>
                <w:bCs/>
              </w:rPr>
              <w:t>#</w:t>
            </w:r>
            <w:r w:rsidR="00A21532">
              <w:rPr>
                <w:rFonts w:cs="Arial"/>
                <w:b/>
                <w:bCs/>
              </w:rPr>
              <w:t>7</w:t>
            </w:r>
            <w:r w:rsidRPr="00632627">
              <w:rPr>
                <w:rFonts w:cs="Arial"/>
                <w:b/>
                <w:bCs/>
              </w:rPr>
              <w:t>(b):</w:t>
            </w:r>
            <w:r w:rsidRPr="00670605">
              <w:rPr>
                <w:rFonts w:cs="Arial"/>
                <w:b/>
                <w:bCs/>
              </w:rPr>
              <w:t xml:space="preserve"> </w:t>
            </w:r>
            <w:r w:rsidRPr="00BB3760">
              <w:rPr>
                <w:rFonts w:cs="Arial"/>
              </w:rPr>
              <w:t xml:space="preserve">Total number of productive hours worked by </w:t>
            </w:r>
            <w:r w:rsidRPr="00612120">
              <w:rPr>
                <w:rFonts w:cs="Arial"/>
              </w:rPr>
              <w:t>employe</w:t>
            </w:r>
            <w:r>
              <w:rPr>
                <w:rFonts w:cs="Arial"/>
              </w:rPr>
              <w:t>d</w:t>
            </w:r>
            <w:r w:rsidRPr="00612120">
              <w:rPr>
                <w:rFonts w:cs="Arial"/>
              </w:rPr>
              <w:t xml:space="preserve"> and contract</w:t>
            </w:r>
            <w:r>
              <w:rPr>
                <w:rFonts w:cs="Arial"/>
              </w:rPr>
              <w:t>ed</w:t>
            </w:r>
            <w:r w:rsidRPr="00612120">
              <w:rPr>
                <w:rFonts w:cs="Arial"/>
              </w:rPr>
              <w:t xml:space="preserve"> </w:t>
            </w:r>
            <w:r w:rsidRPr="007E2D99">
              <w:rPr>
                <w:rFonts w:cs="Arial"/>
                <w:b/>
                <w:bCs/>
              </w:rPr>
              <w:t>nursing staff (RN, LPN/LVN, and UAP)</w:t>
            </w:r>
            <w:r w:rsidRPr="00BB3760">
              <w:rPr>
                <w:rFonts w:cs="Arial"/>
              </w:rPr>
              <w:t xml:space="preserve"> with direct patient care responsibilities in all </w:t>
            </w:r>
            <w:r>
              <w:rPr>
                <w:rFonts w:cs="Arial"/>
              </w:rPr>
              <w:t xml:space="preserve">single acuity adult and pediatric </w:t>
            </w:r>
            <w:r w:rsidRPr="0050685B">
              <w:rPr>
                <w:rFonts w:cs="Arial"/>
                <w:b/>
                <w:bCs/>
              </w:rPr>
              <w:t>Surgical Units</w:t>
            </w:r>
            <w:r w:rsidRPr="00BB3760">
              <w:rPr>
                <w:rFonts w:cs="Arial"/>
              </w:rPr>
              <w:t xml:space="preserve"> in each quarter.</w:t>
            </w:r>
          </w:p>
          <w:p w14:paraId="3AD8B58C" w14:textId="77777777" w:rsidR="00D0444E" w:rsidRPr="00F83C07" w:rsidRDefault="00D0444E" w:rsidP="00D73F6A">
            <w:pPr>
              <w:autoSpaceDE w:val="0"/>
              <w:autoSpaceDN w:val="0"/>
              <w:adjustRightInd w:val="0"/>
              <w:rPr>
                <w:rFonts w:cs="Arial"/>
                <w:sz w:val="16"/>
                <w:szCs w:val="16"/>
              </w:rPr>
            </w:pPr>
          </w:p>
          <w:p w14:paraId="26B9873D" w14:textId="77777777" w:rsidR="00D0444E" w:rsidRPr="007E0D9D" w:rsidRDefault="00D0444E" w:rsidP="00D73F6A">
            <w:pPr>
              <w:autoSpaceDE w:val="0"/>
              <w:autoSpaceDN w:val="0"/>
              <w:adjustRightInd w:val="0"/>
              <w:rPr>
                <w:rFonts w:cs="Arial"/>
                <w:b/>
                <w:bCs/>
                <w:u w:val="single"/>
              </w:rPr>
            </w:pPr>
            <w:r w:rsidRPr="007E0D9D">
              <w:rPr>
                <w:rFonts w:cs="Arial"/>
                <w:b/>
                <w:bCs/>
                <w:u w:val="single"/>
              </w:rPr>
              <w:t>Productive Hours</w:t>
            </w:r>
          </w:p>
          <w:p w14:paraId="3685FEA9" w14:textId="77777777" w:rsidR="00D0444E" w:rsidRPr="00F83C07" w:rsidRDefault="00D0444E" w:rsidP="00D73F6A">
            <w:pPr>
              <w:autoSpaceDE w:val="0"/>
              <w:autoSpaceDN w:val="0"/>
              <w:adjustRightInd w:val="0"/>
              <w:rPr>
                <w:rFonts w:cs="Arial"/>
                <w:sz w:val="16"/>
                <w:szCs w:val="16"/>
              </w:rPr>
            </w:pPr>
          </w:p>
          <w:p w14:paraId="4D876885" w14:textId="4668BF96" w:rsidR="00D0444E" w:rsidRPr="00BB370E" w:rsidRDefault="00D0444E" w:rsidP="00D73F6A">
            <w:pPr>
              <w:autoSpaceDE w:val="0"/>
              <w:autoSpaceDN w:val="0"/>
              <w:adjustRightInd w:val="0"/>
              <w:rPr>
                <w:rFonts w:cs="Arial"/>
              </w:rPr>
            </w:pPr>
            <w:r w:rsidRPr="00A831FC">
              <w:rPr>
                <w:rFonts w:cs="Arial"/>
                <w:b/>
                <w:bCs/>
              </w:rPr>
              <w:t>Include</w:t>
            </w:r>
            <w:r w:rsidRPr="00A831FC">
              <w:rPr>
                <w:rFonts w:cs="Arial"/>
              </w:rPr>
              <w:t xml:space="preserve"> the following hours worked by employe</w:t>
            </w:r>
            <w:r w:rsidR="003B710F">
              <w:rPr>
                <w:rFonts w:cs="Arial"/>
              </w:rPr>
              <w:t>d</w:t>
            </w:r>
            <w:r w:rsidRPr="00A831FC">
              <w:rPr>
                <w:rFonts w:cs="Arial"/>
              </w:rPr>
              <w:t xml:space="preserve"> and contract RNs, LPN/LVNs, and UAPs</w:t>
            </w:r>
            <w:r w:rsidRPr="00BB370E">
              <w:rPr>
                <w:rFonts w:cs="Arial"/>
              </w:rPr>
              <w:t>:</w:t>
            </w:r>
          </w:p>
          <w:p w14:paraId="5EC188F6" w14:textId="77777777" w:rsidR="00D0444E" w:rsidRDefault="00D0444E" w:rsidP="00AD309C">
            <w:pPr>
              <w:pStyle w:val="ListParagraph"/>
              <w:numPr>
                <w:ilvl w:val="0"/>
                <w:numId w:val="373"/>
              </w:numPr>
              <w:autoSpaceDE w:val="0"/>
              <w:autoSpaceDN w:val="0"/>
              <w:adjustRightInd w:val="0"/>
              <w:rPr>
                <w:rFonts w:cs="Arial"/>
              </w:rPr>
            </w:pPr>
            <w:r>
              <w:rPr>
                <w:rFonts w:cs="Arial"/>
              </w:rPr>
              <w:t>A</w:t>
            </w:r>
            <w:r w:rsidRPr="00153B88">
              <w:rPr>
                <w:rFonts w:cs="Arial"/>
              </w:rPr>
              <w:t>ctual direct patient care hours worked by nursing staff</w:t>
            </w:r>
          </w:p>
          <w:p w14:paraId="41B02C9E" w14:textId="77777777" w:rsidR="00D0444E" w:rsidRPr="0008544D" w:rsidRDefault="00D0444E" w:rsidP="00AD309C">
            <w:pPr>
              <w:pStyle w:val="ListParagraph"/>
              <w:numPr>
                <w:ilvl w:val="0"/>
                <w:numId w:val="373"/>
              </w:numPr>
              <w:autoSpaceDE w:val="0"/>
              <w:autoSpaceDN w:val="0"/>
              <w:adjustRightInd w:val="0"/>
              <w:rPr>
                <w:rFonts w:cs="Arial"/>
              </w:rPr>
            </w:pPr>
            <w:r>
              <w:rPr>
                <w:rFonts w:cs="Arial"/>
              </w:rPr>
              <w:t>O</w:t>
            </w:r>
            <w:r w:rsidRPr="0008544D">
              <w:rPr>
                <w:rFonts w:cs="Arial"/>
              </w:rPr>
              <w:t>vertime</w:t>
            </w:r>
            <w:r>
              <w:rPr>
                <w:rFonts w:cs="Arial"/>
              </w:rPr>
              <w:t xml:space="preserve"> spent performing direct patient care</w:t>
            </w:r>
          </w:p>
          <w:p w14:paraId="1EAC8EC7" w14:textId="77777777" w:rsidR="00D0444E" w:rsidRPr="0008544D" w:rsidRDefault="00D0444E" w:rsidP="00AD309C">
            <w:pPr>
              <w:pStyle w:val="ListParagraph"/>
              <w:numPr>
                <w:ilvl w:val="0"/>
                <w:numId w:val="373"/>
              </w:numPr>
              <w:autoSpaceDE w:val="0"/>
              <w:autoSpaceDN w:val="0"/>
              <w:adjustRightInd w:val="0"/>
              <w:rPr>
                <w:rFonts w:cs="Arial"/>
              </w:rPr>
            </w:pPr>
            <w:r w:rsidRPr="0008544D">
              <w:rPr>
                <w:rFonts w:cs="Arial"/>
              </w:rPr>
              <w:t>Orientation hours for new hires that are considered part of the unit’s staffing matrix, whose work hours are charged to the unit’s cost center, and</w:t>
            </w:r>
            <w:r>
              <w:rPr>
                <w:rFonts w:cs="Arial"/>
              </w:rPr>
              <w:t xml:space="preserve"> who</w:t>
            </w:r>
            <w:r w:rsidRPr="0008544D">
              <w:rPr>
                <w:rFonts w:cs="Arial"/>
              </w:rPr>
              <w:t xml:space="preserve"> would be replaced if they call</w:t>
            </w:r>
            <w:r>
              <w:rPr>
                <w:rFonts w:cs="Arial"/>
              </w:rPr>
              <w:t>ed out</w:t>
            </w:r>
            <w:r w:rsidRPr="0008544D">
              <w:rPr>
                <w:rFonts w:cs="Arial"/>
              </w:rPr>
              <w:t xml:space="preserve"> sick</w:t>
            </w:r>
          </w:p>
          <w:p w14:paraId="5CEE38EA" w14:textId="2BBE5A74" w:rsidR="00D0444E" w:rsidRPr="00A51964" w:rsidRDefault="00A51964" w:rsidP="00AD309C">
            <w:pPr>
              <w:pStyle w:val="ListParagraph"/>
              <w:numPr>
                <w:ilvl w:val="0"/>
                <w:numId w:val="373"/>
              </w:numPr>
              <w:autoSpaceDE w:val="0"/>
              <w:autoSpaceDN w:val="0"/>
              <w:adjustRightInd w:val="0"/>
              <w:rPr>
                <w:rFonts w:cs="Arial"/>
              </w:rPr>
            </w:pPr>
            <w:r w:rsidRPr="00B16AB6">
              <w:rPr>
                <w:rFonts w:cs="Arial"/>
              </w:rPr>
              <w:t>Sitter hours authorized for both physical touch and direct patient care intervention</w:t>
            </w:r>
          </w:p>
          <w:p w14:paraId="3A0A53EE" w14:textId="77777777" w:rsidR="00D0444E" w:rsidRPr="00F83C07" w:rsidRDefault="00D0444E" w:rsidP="00D73F6A">
            <w:pPr>
              <w:autoSpaceDE w:val="0"/>
              <w:autoSpaceDN w:val="0"/>
              <w:adjustRightInd w:val="0"/>
              <w:rPr>
                <w:rFonts w:cs="Arial"/>
                <w:sz w:val="16"/>
                <w:szCs w:val="16"/>
              </w:rPr>
            </w:pPr>
          </w:p>
          <w:p w14:paraId="3942B305" w14:textId="77777777" w:rsidR="00D0444E" w:rsidRPr="00153B88" w:rsidRDefault="00D0444E" w:rsidP="00D73F6A">
            <w:pPr>
              <w:autoSpaceDE w:val="0"/>
              <w:autoSpaceDN w:val="0"/>
              <w:adjustRightInd w:val="0"/>
              <w:rPr>
                <w:rFonts w:cs="Arial"/>
              </w:rPr>
            </w:pPr>
            <w:r w:rsidRPr="00A831FC">
              <w:rPr>
                <w:rFonts w:cs="Arial"/>
                <w:b/>
                <w:bCs/>
              </w:rPr>
              <w:t>Exclude</w:t>
            </w:r>
            <w:r>
              <w:rPr>
                <w:rFonts w:cs="Arial"/>
              </w:rPr>
              <w:t xml:space="preserve"> the following </w:t>
            </w:r>
            <w:r w:rsidRPr="00A831FC">
              <w:rPr>
                <w:rFonts w:cs="Arial"/>
              </w:rPr>
              <w:t xml:space="preserve">hours worked by </w:t>
            </w:r>
            <w:r w:rsidRPr="00612120">
              <w:rPr>
                <w:rFonts w:cs="Arial"/>
              </w:rPr>
              <w:t>employe</w:t>
            </w:r>
            <w:r>
              <w:rPr>
                <w:rFonts w:cs="Arial"/>
              </w:rPr>
              <w:t>d</w:t>
            </w:r>
            <w:r w:rsidRPr="00612120">
              <w:rPr>
                <w:rFonts w:cs="Arial"/>
              </w:rPr>
              <w:t xml:space="preserve"> and contract</w:t>
            </w:r>
            <w:r>
              <w:rPr>
                <w:rFonts w:cs="Arial"/>
              </w:rPr>
              <w:t>ed</w:t>
            </w:r>
            <w:r w:rsidRPr="00612120">
              <w:rPr>
                <w:rFonts w:cs="Arial"/>
              </w:rPr>
              <w:t xml:space="preserve"> </w:t>
            </w:r>
            <w:r w:rsidRPr="00A831FC">
              <w:rPr>
                <w:rFonts w:cs="Arial"/>
              </w:rPr>
              <w:t>RN, LPN/LVN, and UAP</w:t>
            </w:r>
            <w:r w:rsidRPr="00153B88">
              <w:rPr>
                <w:rFonts w:cs="Arial"/>
              </w:rPr>
              <w:t>:</w:t>
            </w:r>
          </w:p>
          <w:p w14:paraId="4EDA8D53"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Budgeted or scheduled hours</w:t>
            </w:r>
          </w:p>
          <w:p w14:paraId="316C8012"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Vacation time, sick time, education leave, or committee time</w:t>
            </w:r>
          </w:p>
          <w:p w14:paraId="2A7A00FE"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lastRenderedPageBreak/>
              <w:t xml:space="preserve">Orientation hours for new hires that are not considered part of the unit’s staffing matrix, whose work hours are not charged to the unit’s cost center, and would not be replaced if they call </w:t>
            </w:r>
            <w:r>
              <w:rPr>
                <w:rFonts w:cs="Arial"/>
              </w:rPr>
              <w:t>out</w:t>
            </w:r>
            <w:r w:rsidRPr="00173884">
              <w:rPr>
                <w:rFonts w:cs="Arial"/>
              </w:rPr>
              <w:t xml:space="preserve"> sick</w:t>
            </w:r>
          </w:p>
          <w:p w14:paraId="2584CA92"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Hours from when the unit was staffed but there were no patients in the unit</w:t>
            </w:r>
          </w:p>
          <w:p w14:paraId="725C02A7" w14:textId="77777777" w:rsidR="00D0444E" w:rsidRPr="00173884" w:rsidRDefault="00D0444E" w:rsidP="00AD309C">
            <w:pPr>
              <w:pStyle w:val="ListParagraph"/>
              <w:numPr>
                <w:ilvl w:val="1"/>
                <w:numId w:val="374"/>
              </w:numPr>
              <w:autoSpaceDE w:val="0"/>
              <w:autoSpaceDN w:val="0"/>
              <w:adjustRightInd w:val="0"/>
              <w:rPr>
                <w:rFonts w:cs="Arial"/>
              </w:rPr>
            </w:pPr>
            <w:r w:rsidRPr="00173884">
              <w:rPr>
                <w:rFonts w:cs="Arial"/>
              </w:rPr>
              <w:t>If these nursing hours cannot be removed, then the unit should not be included.</w:t>
            </w:r>
          </w:p>
          <w:p w14:paraId="530C9AB4" w14:textId="77777777" w:rsidR="00A9559B" w:rsidRPr="003A5BED" w:rsidRDefault="00D0444E" w:rsidP="00AD309C">
            <w:pPr>
              <w:pStyle w:val="ListParagraph"/>
              <w:numPr>
                <w:ilvl w:val="0"/>
                <w:numId w:val="374"/>
              </w:numPr>
              <w:autoSpaceDE w:val="0"/>
              <w:autoSpaceDN w:val="0"/>
              <w:adjustRightInd w:val="0"/>
              <w:rPr>
                <w:rFonts w:eastAsiaTheme="minorHAnsi" w:cs="Arial"/>
                <w:b/>
                <w:bCs/>
                <w:kern w:val="2"/>
                <w:u w:val="single"/>
                <w14:ligatures w14:val="standardContextual"/>
              </w:rPr>
            </w:pPr>
            <w:r w:rsidRPr="00173884">
              <w:rPr>
                <w:rFonts w:cs="Arial"/>
              </w:rPr>
              <w:t>Virtual or remote hours</w:t>
            </w:r>
          </w:p>
          <w:p w14:paraId="4EDEA2AC" w14:textId="4B17351D" w:rsidR="00D0444E" w:rsidRPr="00A90AE6" w:rsidRDefault="0095552A" w:rsidP="00AD309C">
            <w:pPr>
              <w:pStyle w:val="ListParagraph"/>
              <w:numPr>
                <w:ilvl w:val="0"/>
                <w:numId w:val="374"/>
              </w:numPr>
              <w:autoSpaceDE w:val="0"/>
              <w:autoSpaceDN w:val="0"/>
              <w:adjustRightInd w:val="0"/>
              <w:rPr>
                <w:rFonts w:eastAsiaTheme="minorHAnsi" w:cs="Arial"/>
                <w:b/>
                <w:bCs/>
                <w:kern w:val="2"/>
                <w:u w:val="single"/>
                <w14:ligatures w14:val="standardContextual"/>
              </w:rPr>
            </w:pPr>
            <w:bookmarkStart w:id="438" w:name="_Hlk184129370"/>
            <w:r w:rsidRPr="00C83974">
              <w:rPr>
                <w:rFonts w:cs="Arial"/>
              </w:rPr>
              <w:t>Sitter hours without authorization for both physical touch and direct patient care intervention</w:t>
            </w:r>
            <w:bookmarkEnd w:id="438"/>
            <w:r w:rsidR="00D0444E">
              <w:rPr>
                <w:rFonts w:cs="Arial"/>
              </w:rPr>
              <w:br/>
            </w:r>
          </w:p>
          <w:p w14:paraId="4E1390CD" w14:textId="77777777" w:rsidR="00D0444E" w:rsidRDefault="00D0444E" w:rsidP="00D73F6A">
            <w:pPr>
              <w:autoSpaceDE w:val="0"/>
              <w:autoSpaceDN w:val="0"/>
              <w:adjustRightInd w:val="0"/>
              <w:rPr>
                <w:rFonts w:eastAsiaTheme="minorHAnsi" w:cs="Arial"/>
                <w:b/>
                <w:bCs/>
                <w:kern w:val="2"/>
                <w:u w:val="single"/>
                <w14:ligatures w14:val="standardContextual"/>
              </w:rPr>
            </w:pPr>
            <w:r w:rsidRPr="00591EAA">
              <w:rPr>
                <w:rFonts w:eastAsiaTheme="minorHAnsi" w:cs="Arial"/>
                <w:b/>
                <w:bCs/>
                <w:kern w:val="2"/>
                <w:u w:val="single"/>
                <w14:ligatures w14:val="standardContextual"/>
              </w:rPr>
              <w:t>Employe</w:t>
            </w:r>
            <w:r>
              <w:rPr>
                <w:rFonts w:eastAsiaTheme="minorHAnsi" w:cs="Arial"/>
                <w:b/>
                <w:bCs/>
                <w:kern w:val="2"/>
                <w:u w:val="single"/>
                <w14:ligatures w14:val="standardContextual"/>
              </w:rPr>
              <w:t>d</w:t>
            </w:r>
            <w:r w:rsidRPr="00591EAA">
              <w:rPr>
                <w:rFonts w:eastAsiaTheme="minorHAnsi" w:cs="Arial"/>
                <w:b/>
                <w:bCs/>
                <w:kern w:val="2"/>
                <w:u w:val="single"/>
                <w14:ligatures w14:val="standardContextual"/>
              </w:rPr>
              <w:t xml:space="preserve"> and Contract</w:t>
            </w:r>
            <w:r>
              <w:rPr>
                <w:rFonts w:eastAsiaTheme="minorHAnsi" w:cs="Arial"/>
                <w:b/>
                <w:bCs/>
                <w:kern w:val="2"/>
                <w:u w:val="single"/>
                <w14:ligatures w14:val="standardContextual"/>
              </w:rPr>
              <w:t>ed</w:t>
            </w:r>
            <w:r w:rsidRPr="00591EAA">
              <w:rPr>
                <w:rFonts w:eastAsiaTheme="minorHAnsi" w:cs="Arial"/>
                <w:b/>
                <w:bCs/>
                <w:kern w:val="2"/>
                <w:u w:val="single"/>
                <w14:ligatures w14:val="standardContextual"/>
              </w:rPr>
              <w:t xml:space="preserve"> Nursing Staff</w:t>
            </w:r>
          </w:p>
          <w:p w14:paraId="5FA6ED06" w14:textId="77777777" w:rsidR="00D0444E" w:rsidRPr="00F83C07" w:rsidRDefault="00D0444E" w:rsidP="00D73F6A">
            <w:pPr>
              <w:autoSpaceDE w:val="0"/>
              <w:autoSpaceDN w:val="0"/>
              <w:adjustRightInd w:val="0"/>
              <w:rPr>
                <w:rFonts w:eastAsiaTheme="minorHAnsi" w:cs="Arial"/>
                <w:b/>
                <w:bCs/>
                <w:kern w:val="2"/>
                <w:sz w:val="16"/>
                <w:szCs w:val="16"/>
                <w:u w:val="single"/>
                <w14:ligatures w14:val="standardContextual"/>
              </w:rPr>
            </w:pPr>
          </w:p>
          <w:p w14:paraId="21DFF63E" w14:textId="77777777" w:rsidR="00D0444E" w:rsidRPr="00153B88" w:rsidRDefault="00D0444E" w:rsidP="00D73F6A">
            <w:pPr>
              <w:autoSpaceDE w:val="0"/>
              <w:autoSpaceDN w:val="0"/>
              <w:adjustRightInd w:val="0"/>
              <w:rPr>
                <w:rFonts w:cs="Arial"/>
              </w:rPr>
            </w:pPr>
            <w:r w:rsidRPr="00A831FC">
              <w:rPr>
                <w:rFonts w:cs="Arial"/>
                <w:b/>
                <w:bCs/>
              </w:rPr>
              <w:t>Includ</w:t>
            </w:r>
            <w:r w:rsidRPr="006B5CC5">
              <w:rPr>
                <w:rFonts w:cs="Arial"/>
                <w:b/>
                <w:bCs/>
              </w:rPr>
              <w:t>e</w:t>
            </w:r>
            <w:r w:rsidRPr="00A831FC">
              <w:rPr>
                <w:rFonts w:cs="Arial"/>
              </w:rPr>
              <w:t xml:space="preserve"> </w:t>
            </w:r>
            <w:r>
              <w:rPr>
                <w:rFonts w:cs="Arial"/>
              </w:rPr>
              <w:t xml:space="preserve">the following </w:t>
            </w:r>
            <w:r w:rsidRPr="00A831FC">
              <w:rPr>
                <w:rFonts w:cs="Arial"/>
              </w:rPr>
              <w:t>RN, LPN/LVN, and UAP nursing staff</w:t>
            </w:r>
            <w:r w:rsidRPr="00153B88">
              <w:rPr>
                <w:rFonts w:cs="Arial"/>
              </w:rPr>
              <w:t>:</w:t>
            </w:r>
          </w:p>
          <w:p w14:paraId="27F6740E" w14:textId="77777777" w:rsidR="00D0444E" w:rsidRPr="00F94E13" w:rsidRDefault="00D0444E" w:rsidP="00AD309C">
            <w:pPr>
              <w:pStyle w:val="ListParagraph"/>
              <w:numPr>
                <w:ilvl w:val="0"/>
                <w:numId w:val="375"/>
              </w:numPr>
              <w:autoSpaceDE w:val="0"/>
              <w:autoSpaceDN w:val="0"/>
              <w:adjustRightInd w:val="0"/>
              <w:rPr>
                <w:rFonts w:cs="Arial"/>
              </w:rPr>
            </w:pPr>
            <w:r>
              <w:rPr>
                <w:rFonts w:cs="Arial"/>
              </w:rPr>
              <w:t>Staff e</w:t>
            </w:r>
            <w:r w:rsidRPr="00F94E13">
              <w:rPr>
                <w:rFonts w:cs="Arial"/>
              </w:rPr>
              <w:t>mployed by the hospital</w:t>
            </w:r>
          </w:p>
          <w:p w14:paraId="34CEF429"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Temporary staff who are not employed by the hospital (i.e., contracted/agency staff)</w:t>
            </w:r>
          </w:p>
          <w:p w14:paraId="02798FC8"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Float staff who are assigned to a unit other than their unit of employment on an as-needed basis if they are assigned direct patient care responsibilities</w:t>
            </w:r>
          </w:p>
          <w:p w14:paraId="0C8D98B1"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 xml:space="preserve">Staff who are counted in the unit’s staffing matrix, are replaced if they call </w:t>
            </w:r>
            <w:r>
              <w:rPr>
                <w:rFonts w:cs="Arial"/>
              </w:rPr>
              <w:t>out</w:t>
            </w:r>
            <w:r w:rsidRPr="00F94E13">
              <w:rPr>
                <w:rFonts w:cs="Arial"/>
              </w:rPr>
              <w:t xml:space="preserve"> sick, and whose work hours are charged to the unit’s cost center</w:t>
            </w:r>
          </w:p>
          <w:p w14:paraId="2F277826" w14:textId="77777777" w:rsidR="00D0444E" w:rsidRPr="00153B88" w:rsidRDefault="00D0444E" w:rsidP="00D73F6A">
            <w:pPr>
              <w:autoSpaceDE w:val="0"/>
              <w:autoSpaceDN w:val="0"/>
              <w:adjustRightInd w:val="0"/>
              <w:rPr>
                <w:rFonts w:cs="Arial"/>
              </w:rPr>
            </w:pPr>
          </w:p>
          <w:p w14:paraId="18391CF8" w14:textId="77777777" w:rsidR="00D0444E" w:rsidRPr="00153B88" w:rsidRDefault="00D0444E" w:rsidP="00D73F6A">
            <w:pPr>
              <w:autoSpaceDE w:val="0"/>
              <w:autoSpaceDN w:val="0"/>
              <w:adjustRightInd w:val="0"/>
              <w:rPr>
                <w:rFonts w:cs="Arial"/>
              </w:rPr>
            </w:pPr>
            <w:r w:rsidRPr="00A831FC">
              <w:rPr>
                <w:rFonts w:cs="Arial"/>
                <w:b/>
                <w:bCs/>
              </w:rPr>
              <w:t>Exclude</w:t>
            </w:r>
            <w:r w:rsidRPr="00A831FC">
              <w:rPr>
                <w:rFonts w:cs="Arial"/>
              </w:rPr>
              <w:t xml:space="preserve"> </w:t>
            </w:r>
            <w:r>
              <w:rPr>
                <w:rFonts w:cs="Arial"/>
              </w:rPr>
              <w:t xml:space="preserve">the following </w:t>
            </w:r>
            <w:r w:rsidRPr="00A831FC">
              <w:rPr>
                <w:rFonts w:cs="Arial"/>
              </w:rPr>
              <w:t>RN, LPN/LVN, and UAP nursing staff</w:t>
            </w:r>
            <w:r w:rsidRPr="00153B88">
              <w:rPr>
                <w:rFonts w:cs="Arial"/>
              </w:rPr>
              <w:t>:</w:t>
            </w:r>
          </w:p>
          <w:p w14:paraId="62191226" w14:textId="77777777" w:rsidR="00D0444E" w:rsidRPr="00E92A29" w:rsidRDefault="00D0444E" w:rsidP="00AD309C">
            <w:pPr>
              <w:pStyle w:val="ListParagraph"/>
              <w:numPr>
                <w:ilvl w:val="0"/>
                <w:numId w:val="376"/>
              </w:numPr>
              <w:autoSpaceDE w:val="0"/>
              <w:autoSpaceDN w:val="0"/>
              <w:adjustRightInd w:val="0"/>
              <w:rPr>
                <w:rFonts w:cs="Arial"/>
              </w:rPr>
            </w:pPr>
            <w:r>
              <w:rPr>
                <w:rFonts w:cs="Arial"/>
              </w:rPr>
              <w:t xml:space="preserve">Nursing staff </w:t>
            </w:r>
            <w:r w:rsidRPr="00E92A29">
              <w:rPr>
                <w:rFonts w:cs="Arial"/>
              </w:rPr>
              <w:t>whose primary responsibility is administrative in nature (at least 50% of their time is administrative)</w:t>
            </w:r>
          </w:p>
          <w:p w14:paraId="76DA18E6" w14:textId="77777777" w:rsidR="00D0444E" w:rsidRPr="00E92A29" w:rsidRDefault="00D0444E" w:rsidP="00AD309C">
            <w:pPr>
              <w:pStyle w:val="ListParagraph"/>
              <w:numPr>
                <w:ilvl w:val="0"/>
                <w:numId w:val="376"/>
              </w:numPr>
              <w:autoSpaceDE w:val="0"/>
              <w:autoSpaceDN w:val="0"/>
              <w:adjustRightInd w:val="0"/>
              <w:rPr>
                <w:rFonts w:cs="Arial"/>
              </w:rPr>
            </w:pPr>
            <w:r w:rsidRPr="00E92A29">
              <w:rPr>
                <w:rFonts w:cs="Arial"/>
              </w:rPr>
              <w:t>Specialty teams, patient educators, or case managers who are not assigned to a specific unit</w:t>
            </w:r>
          </w:p>
          <w:p w14:paraId="27FA3707" w14:textId="77777777" w:rsidR="00D0444E" w:rsidRPr="00E92A29" w:rsidRDefault="00D0444E" w:rsidP="00AD309C">
            <w:pPr>
              <w:pStyle w:val="ListParagraph"/>
              <w:numPr>
                <w:ilvl w:val="0"/>
                <w:numId w:val="376"/>
              </w:numPr>
              <w:autoSpaceDE w:val="0"/>
              <w:autoSpaceDN w:val="0"/>
              <w:adjustRightInd w:val="0"/>
              <w:rPr>
                <w:rFonts w:cs="Arial"/>
              </w:rPr>
            </w:pPr>
            <w:r w:rsidRPr="00E92A29">
              <w:rPr>
                <w:rFonts w:cs="Arial"/>
              </w:rPr>
              <w:t>Unit secretaries or clerks, monitor technicians, and others with no direct patient care responsibilities</w:t>
            </w:r>
          </w:p>
          <w:p w14:paraId="451DCA9B" w14:textId="77777777" w:rsidR="00D0444E" w:rsidRDefault="00D0444E" w:rsidP="00AD309C">
            <w:pPr>
              <w:pStyle w:val="ListParagraph"/>
              <w:numPr>
                <w:ilvl w:val="0"/>
                <w:numId w:val="376"/>
              </w:numPr>
              <w:autoSpaceDE w:val="0"/>
              <w:autoSpaceDN w:val="0"/>
              <w:adjustRightInd w:val="0"/>
              <w:rPr>
                <w:rFonts w:cs="Arial"/>
              </w:rPr>
            </w:pPr>
            <w:r w:rsidRPr="00E92A29">
              <w:rPr>
                <w:rFonts w:cs="Arial"/>
              </w:rPr>
              <w:t>Advanced Practice Registered Nurses (APRNs), including certified nurse-midwife (CNM), clinical nurse specialist (CNS), certified nurse practitioner (CNP), and certified registered nurse anesthetist (CRNA)</w:t>
            </w:r>
          </w:p>
          <w:p w14:paraId="22F26597" w14:textId="77777777" w:rsidR="00D0444E" w:rsidRPr="003A5BED" w:rsidRDefault="00D0444E" w:rsidP="00D73F6A">
            <w:pPr>
              <w:autoSpaceDE w:val="0"/>
              <w:autoSpaceDN w:val="0"/>
              <w:adjustRightInd w:val="0"/>
              <w:rPr>
                <w:rFonts w:cs="Arial"/>
                <w:i/>
                <w:iCs/>
              </w:rPr>
            </w:pPr>
          </w:p>
          <w:p w14:paraId="48301E0F" w14:textId="6EBD05E6" w:rsidR="00D0444E" w:rsidRPr="003A5BED" w:rsidRDefault="00DD04D6" w:rsidP="00D73F6A">
            <w:pPr>
              <w:pStyle w:val="Heading6"/>
              <w:rPr>
                <w:rFonts w:eastAsiaTheme="minorHAnsi"/>
                <w:b w:val="0"/>
                <w:bCs/>
                <w:i/>
                <w:iCs/>
              </w:rPr>
            </w:pPr>
            <w:r>
              <w:rPr>
                <w:rFonts w:ascii="ZWAdobeF" w:eastAsiaTheme="minorHAnsi" w:hAnsi="ZWAdobeF" w:cs="ZWAdobeF"/>
                <w:b w:val="0"/>
                <w:bCs/>
                <w:iCs/>
                <w:color w:val="auto"/>
                <w:sz w:val="2"/>
                <w:szCs w:val="2"/>
              </w:rPr>
              <w:t>3B</w:t>
            </w:r>
            <w:r w:rsidR="00953060">
              <w:rPr>
                <w:rFonts w:ascii="ZWAdobeF" w:eastAsiaTheme="minorHAnsi" w:hAnsi="ZWAdobeF" w:cs="ZWAdobeF"/>
                <w:b w:val="0"/>
                <w:bCs/>
                <w:iCs/>
                <w:color w:val="auto"/>
                <w:sz w:val="2"/>
                <w:szCs w:val="2"/>
              </w:rPr>
              <w:t>3B</w:t>
            </w:r>
            <w:r w:rsidR="00E453C7">
              <w:rPr>
                <w:rFonts w:ascii="ZWAdobeF" w:eastAsiaTheme="minorHAnsi" w:hAnsi="ZWAdobeF" w:cs="ZWAdobeF"/>
                <w:b w:val="0"/>
                <w:bCs/>
                <w:iCs/>
                <w:color w:val="auto"/>
                <w:sz w:val="2"/>
                <w:szCs w:val="2"/>
              </w:rPr>
              <w:t>3B</w:t>
            </w:r>
            <w:r w:rsidR="006255A6">
              <w:rPr>
                <w:rFonts w:ascii="ZWAdobeF" w:eastAsiaTheme="minorHAnsi" w:hAnsi="ZWAdobeF" w:cs="ZWAdobeF"/>
                <w:b w:val="0"/>
                <w:bCs/>
                <w:iCs/>
                <w:color w:val="auto"/>
                <w:sz w:val="2"/>
                <w:szCs w:val="2"/>
              </w:rPr>
              <w:t>3B</w:t>
            </w:r>
            <w:r w:rsidR="00B55C41">
              <w:rPr>
                <w:rFonts w:ascii="ZWAdobeF" w:eastAsiaTheme="minorHAnsi" w:hAnsi="ZWAdobeF" w:cs="ZWAdobeF"/>
                <w:b w:val="0"/>
                <w:bCs/>
                <w:iCs/>
                <w:color w:val="auto"/>
                <w:sz w:val="2"/>
                <w:szCs w:val="2"/>
              </w:rPr>
              <w:t>3B</w:t>
            </w:r>
            <w:r w:rsidR="00C2087D">
              <w:rPr>
                <w:rFonts w:ascii="ZWAdobeF" w:eastAsiaTheme="minorHAnsi" w:hAnsi="ZWAdobeF" w:cs="ZWAdobeF"/>
                <w:b w:val="0"/>
                <w:bCs/>
                <w:iCs/>
                <w:color w:val="auto"/>
                <w:sz w:val="2"/>
                <w:szCs w:val="2"/>
              </w:rPr>
              <w:t>3B</w:t>
            </w:r>
            <w:r w:rsidR="004C7557">
              <w:rPr>
                <w:rFonts w:ascii="ZWAdobeF" w:eastAsiaTheme="minorHAnsi" w:hAnsi="ZWAdobeF" w:cs="ZWAdobeF"/>
                <w:b w:val="0"/>
                <w:bCs/>
                <w:iCs/>
                <w:color w:val="auto"/>
                <w:sz w:val="2"/>
                <w:szCs w:val="2"/>
              </w:rPr>
              <w:t>3B</w:t>
            </w:r>
            <w:r w:rsidR="00BF053F">
              <w:rPr>
                <w:rFonts w:ascii="ZWAdobeF" w:eastAsiaTheme="minorHAnsi" w:hAnsi="ZWAdobeF" w:cs="ZWAdobeF"/>
                <w:b w:val="0"/>
                <w:bCs/>
                <w:iCs/>
                <w:color w:val="auto"/>
                <w:sz w:val="2"/>
                <w:szCs w:val="2"/>
              </w:rPr>
              <w:t>3B</w:t>
            </w:r>
            <w:r w:rsidR="00D0444E" w:rsidRPr="003A5BED">
              <w:rPr>
                <w:rFonts w:eastAsiaTheme="minorHAnsi"/>
                <w:b w:val="0"/>
                <w:bCs/>
                <w:i/>
                <w:iCs/>
              </w:rPr>
              <w:t>A UAP is any unlicensed person, regardless of title, who performs tasks delegated by a nurse. This includes certified nursing aides/assistants (CNAs), patient care assistants (PCAs), patient care technicians (PCTs), state-tested nursing assistants (STNA), nursing assistants-registered (NA/Rs) or certified medication aides/assistants (MA-Cs).</w:t>
            </w:r>
          </w:p>
          <w:p w14:paraId="78FDF4DF" w14:textId="77777777" w:rsidR="00D0444E" w:rsidRDefault="00D0444E" w:rsidP="00D73F6A">
            <w:pPr>
              <w:autoSpaceDE w:val="0"/>
              <w:autoSpaceDN w:val="0"/>
              <w:adjustRightInd w:val="0"/>
              <w:rPr>
                <w:rFonts w:cs="Arial"/>
              </w:rPr>
            </w:pPr>
          </w:p>
          <w:p w14:paraId="41A7FD88" w14:textId="77777777" w:rsidR="00D0444E" w:rsidRPr="00591EAA" w:rsidRDefault="00D0444E" w:rsidP="00D73F6A">
            <w:pPr>
              <w:autoSpaceDE w:val="0"/>
              <w:autoSpaceDN w:val="0"/>
              <w:adjustRightInd w:val="0"/>
              <w:rPr>
                <w:rFonts w:eastAsiaTheme="minorHAnsi" w:cs="Arial"/>
                <w:b/>
                <w:bCs/>
                <w:kern w:val="2"/>
                <w:u w:val="single"/>
                <w14:ligatures w14:val="standardContextual"/>
              </w:rPr>
            </w:pPr>
            <w:r w:rsidRPr="00591EAA">
              <w:rPr>
                <w:rFonts w:eastAsiaTheme="minorHAnsi" w:cs="Arial"/>
                <w:b/>
                <w:bCs/>
                <w:kern w:val="2"/>
                <w:u w:val="single"/>
                <w14:ligatures w14:val="standardContextual"/>
              </w:rPr>
              <w:t xml:space="preserve">Direct Patient Care Responsibilities </w:t>
            </w:r>
          </w:p>
          <w:p w14:paraId="64B6213F" w14:textId="77777777" w:rsidR="00D0444E" w:rsidRPr="00BB3760" w:rsidRDefault="00D0444E" w:rsidP="00D73F6A">
            <w:pPr>
              <w:autoSpaceDE w:val="0"/>
              <w:autoSpaceDN w:val="0"/>
              <w:adjustRightInd w:val="0"/>
              <w:rPr>
                <w:rFonts w:cs="Arial"/>
              </w:rPr>
            </w:pPr>
          </w:p>
          <w:p w14:paraId="3A265BBB" w14:textId="77777777" w:rsidR="00D0444E" w:rsidRPr="00BB3760" w:rsidRDefault="00D0444E" w:rsidP="00D73F6A">
            <w:pPr>
              <w:autoSpaceDE w:val="0"/>
              <w:autoSpaceDN w:val="0"/>
              <w:adjustRightInd w:val="0"/>
              <w:rPr>
                <w:rFonts w:cs="Arial"/>
              </w:rPr>
            </w:pPr>
            <w:r w:rsidRPr="00A831FC">
              <w:rPr>
                <w:rFonts w:cs="Arial"/>
                <w:b/>
                <w:bCs/>
              </w:rPr>
              <w:t>Direct Patient Care Responsibilities</w:t>
            </w:r>
            <w:r w:rsidRPr="00BB3760">
              <w:rPr>
                <w:rFonts w:cs="Arial"/>
              </w:rPr>
              <w:t xml:space="preserve"> are defined as patient centered nursing activities by hospital unit-based staff in the presence of the patient and activities that occur away from the patient that are patient related:</w:t>
            </w:r>
          </w:p>
          <w:p w14:paraId="6C99F9B6"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Medication administration</w:t>
            </w:r>
          </w:p>
          <w:p w14:paraId="6A0DA0B8"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Nursing treatments</w:t>
            </w:r>
          </w:p>
          <w:p w14:paraId="27DB9860"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Nursing rounds</w:t>
            </w:r>
          </w:p>
          <w:p w14:paraId="2E715313"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Admission, transfer, discharge activities</w:t>
            </w:r>
          </w:p>
          <w:p w14:paraId="4C8CBC38"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Patient teaching</w:t>
            </w:r>
          </w:p>
          <w:p w14:paraId="4E1D92A6"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Patient communication</w:t>
            </w:r>
          </w:p>
          <w:p w14:paraId="5F8FD021"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Coordination of patient care</w:t>
            </w:r>
          </w:p>
          <w:p w14:paraId="2B307C6C"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Documentation time</w:t>
            </w:r>
          </w:p>
          <w:p w14:paraId="7E220D6D" w14:textId="77777777" w:rsidR="00D0444E" w:rsidRDefault="00D0444E" w:rsidP="00AD309C">
            <w:pPr>
              <w:pStyle w:val="ListParagraph"/>
              <w:numPr>
                <w:ilvl w:val="0"/>
                <w:numId w:val="377"/>
              </w:numPr>
              <w:autoSpaceDE w:val="0"/>
              <w:autoSpaceDN w:val="0"/>
              <w:adjustRightInd w:val="0"/>
              <w:rPr>
                <w:rFonts w:cs="Arial"/>
              </w:rPr>
            </w:pPr>
            <w:r w:rsidRPr="00CE79E2">
              <w:rPr>
                <w:rFonts w:cs="Arial"/>
              </w:rPr>
              <w:t>Treatment planning</w:t>
            </w:r>
          </w:p>
          <w:p w14:paraId="7B6A18C3" w14:textId="77777777" w:rsidR="00D0444E" w:rsidRPr="00C41959" w:rsidRDefault="00D0444E" w:rsidP="00AD309C">
            <w:pPr>
              <w:pStyle w:val="ListParagraph"/>
              <w:numPr>
                <w:ilvl w:val="0"/>
                <w:numId w:val="377"/>
              </w:numPr>
              <w:autoSpaceDE w:val="0"/>
              <w:autoSpaceDN w:val="0"/>
              <w:adjustRightInd w:val="0"/>
              <w:rPr>
                <w:rFonts w:cs="Arial"/>
              </w:rPr>
            </w:pPr>
            <w:r w:rsidRPr="00C41959">
              <w:rPr>
                <w:rFonts w:cs="Arial"/>
              </w:rPr>
              <w:t>Patient screening (e.g., fall risk) and assessment</w:t>
            </w:r>
          </w:p>
        </w:tc>
      </w:tr>
      <w:tr w:rsidR="00D0444E" w14:paraId="3E2D478D" w14:textId="77777777" w:rsidTr="00D73F6A">
        <w:tc>
          <w:tcPr>
            <w:tcW w:w="9350" w:type="dxa"/>
          </w:tcPr>
          <w:p w14:paraId="5F8F885D" w14:textId="5270B0AD" w:rsidR="00D0444E" w:rsidRPr="00BB3760" w:rsidRDefault="00D0444E" w:rsidP="00D73F6A">
            <w:pPr>
              <w:autoSpaceDE w:val="0"/>
              <w:autoSpaceDN w:val="0"/>
              <w:adjustRightInd w:val="0"/>
              <w:rPr>
                <w:rFonts w:cs="Arial"/>
              </w:rPr>
            </w:pPr>
            <w:r w:rsidRPr="0086796B">
              <w:rPr>
                <w:rFonts w:cs="Arial"/>
                <w:b/>
                <w:bCs/>
              </w:rPr>
              <w:lastRenderedPageBreak/>
              <w:t xml:space="preserve">Questions </w:t>
            </w:r>
            <w:r w:rsidR="006B5B60">
              <w:rPr>
                <w:rFonts w:cs="Arial"/>
                <w:b/>
                <w:bCs/>
              </w:rPr>
              <w:t>7</w:t>
            </w:r>
            <w:r w:rsidRPr="0086796B">
              <w:rPr>
                <w:rFonts w:cs="Arial"/>
                <w:b/>
                <w:bCs/>
              </w:rPr>
              <w:t>(c):</w:t>
            </w:r>
            <w:r w:rsidRPr="00BB3760">
              <w:rPr>
                <w:rFonts w:cs="Arial"/>
              </w:rPr>
              <w:t xml:space="preserve"> Total number of productive hours worked by </w:t>
            </w:r>
            <w:r w:rsidRPr="003E08DF">
              <w:rPr>
                <w:rFonts w:cs="Arial"/>
                <w:b/>
                <w:bCs/>
              </w:rPr>
              <w:t>RN nursing staff</w:t>
            </w:r>
            <w:r w:rsidRPr="00BB3760">
              <w:rPr>
                <w:rFonts w:cs="Arial"/>
              </w:rPr>
              <w:t xml:space="preserve"> with direct patient care responsibilities in all </w:t>
            </w:r>
            <w:r>
              <w:rPr>
                <w:rFonts w:cs="Arial"/>
              </w:rPr>
              <w:t>adult and pediatric single acuity</w:t>
            </w:r>
            <w:r w:rsidRPr="00BB3760">
              <w:rPr>
                <w:rFonts w:cs="Arial"/>
              </w:rPr>
              <w:t xml:space="preserve"> </w:t>
            </w:r>
            <w:r w:rsidRPr="004B699E">
              <w:rPr>
                <w:rFonts w:cs="Arial"/>
                <w:b/>
                <w:bCs/>
              </w:rPr>
              <w:t>Surgical Units</w:t>
            </w:r>
            <w:r>
              <w:rPr>
                <w:rFonts w:cs="Arial"/>
              </w:rPr>
              <w:t xml:space="preserve"> </w:t>
            </w:r>
            <w:r w:rsidRPr="00BB3760">
              <w:rPr>
                <w:rFonts w:cs="Arial"/>
              </w:rPr>
              <w:t>in each quarter.</w:t>
            </w:r>
          </w:p>
          <w:p w14:paraId="206F3872" w14:textId="77777777" w:rsidR="00D0444E" w:rsidRPr="00BB3760" w:rsidRDefault="00D0444E" w:rsidP="00D73F6A">
            <w:pPr>
              <w:autoSpaceDE w:val="0"/>
              <w:autoSpaceDN w:val="0"/>
              <w:adjustRightInd w:val="0"/>
              <w:rPr>
                <w:rFonts w:cs="Arial"/>
              </w:rPr>
            </w:pPr>
          </w:p>
          <w:p w14:paraId="53267B6E" w14:textId="77777777" w:rsidR="00D0444E" w:rsidRDefault="00D0444E" w:rsidP="00D73F6A">
            <w:pPr>
              <w:autoSpaceDE w:val="0"/>
              <w:autoSpaceDN w:val="0"/>
              <w:adjustRightInd w:val="0"/>
              <w:rPr>
                <w:rFonts w:cs="Arial"/>
              </w:rPr>
            </w:pPr>
            <w:r w:rsidRPr="00A831FC">
              <w:rPr>
                <w:rFonts w:cs="Arial"/>
                <w:b/>
                <w:bCs/>
              </w:rPr>
              <w:t>Include</w:t>
            </w:r>
            <w:r>
              <w:rPr>
                <w:rFonts w:cs="Arial"/>
              </w:rPr>
              <w:t xml:space="preserve"> t</w:t>
            </w:r>
            <w:r w:rsidRPr="00612120">
              <w:rPr>
                <w:rFonts w:cs="Arial"/>
              </w:rPr>
              <w:t xml:space="preserve">he </w:t>
            </w:r>
            <w:r>
              <w:rPr>
                <w:rFonts w:cs="Arial"/>
              </w:rPr>
              <w:t xml:space="preserve">total </w:t>
            </w:r>
            <w:r w:rsidRPr="00612120">
              <w:rPr>
                <w:rFonts w:cs="Arial"/>
              </w:rPr>
              <w:t>number of</w:t>
            </w:r>
            <w:r>
              <w:rPr>
                <w:rFonts w:cs="Arial"/>
              </w:rPr>
              <w:t xml:space="preserve"> productive work hours worked by </w:t>
            </w:r>
            <w:r w:rsidRPr="00612120">
              <w:rPr>
                <w:rFonts w:cs="Arial"/>
              </w:rPr>
              <w:t>employe</w:t>
            </w:r>
            <w:r>
              <w:rPr>
                <w:rFonts w:cs="Arial"/>
              </w:rPr>
              <w:t>d</w:t>
            </w:r>
            <w:r w:rsidRPr="00612120">
              <w:rPr>
                <w:rFonts w:cs="Arial"/>
              </w:rPr>
              <w:t xml:space="preserve"> and contract</w:t>
            </w:r>
            <w:r>
              <w:rPr>
                <w:rFonts w:cs="Arial"/>
              </w:rPr>
              <w:t xml:space="preserve">ed </w:t>
            </w:r>
            <w:r w:rsidRPr="00A90AE6">
              <w:rPr>
                <w:rFonts w:cs="Arial"/>
                <w:b/>
                <w:bCs/>
              </w:rPr>
              <w:t>RN nursing staff ONLY</w:t>
            </w:r>
            <w:r>
              <w:rPr>
                <w:rFonts w:cs="Arial"/>
              </w:rPr>
              <w:t xml:space="preserve"> from question </w:t>
            </w:r>
            <w:r w:rsidR="00E207EE">
              <w:rPr>
                <w:rFonts w:cs="Arial"/>
              </w:rPr>
              <w:t>7</w:t>
            </w:r>
            <w:r>
              <w:rPr>
                <w:rFonts w:cs="Arial"/>
              </w:rPr>
              <w:t>b.</w:t>
            </w:r>
          </w:p>
          <w:p w14:paraId="47687348" w14:textId="77777777" w:rsidR="00A94E56" w:rsidRDefault="00A94E56" w:rsidP="00D73F6A">
            <w:pPr>
              <w:autoSpaceDE w:val="0"/>
              <w:autoSpaceDN w:val="0"/>
              <w:adjustRightInd w:val="0"/>
              <w:rPr>
                <w:rFonts w:cs="Arial"/>
              </w:rPr>
            </w:pPr>
          </w:p>
          <w:p w14:paraId="6FB0CCA2" w14:textId="77777777" w:rsidR="00A94E56" w:rsidRDefault="00A94E56" w:rsidP="00D73F6A">
            <w:pPr>
              <w:autoSpaceDE w:val="0"/>
              <w:autoSpaceDN w:val="0"/>
              <w:adjustRightInd w:val="0"/>
              <w:rPr>
                <w:rFonts w:cs="Arial"/>
              </w:rPr>
            </w:pPr>
          </w:p>
          <w:p w14:paraId="65D52D07" w14:textId="55740CDB" w:rsidR="00A94E56" w:rsidRPr="00632627" w:rsidRDefault="00A94E56" w:rsidP="00D73F6A">
            <w:pPr>
              <w:autoSpaceDE w:val="0"/>
              <w:autoSpaceDN w:val="0"/>
              <w:adjustRightInd w:val="0"/>
              <w:rPr>
                <w:rFonts w:cs="Arial"/>
                <w:b/>
                <w:bCs/>
              </w:rPr>
            </w:pPr>
          </w:p>
        </w:tc>
      </w:tr>
      <w:tr w:rsidR="00D0444E" w14:paraId="509CDB17" w14:textId="77777777" w:rsidTr="00D73F6A">
        <w:tc>
          <w:tcPr>
            <w:tcW w:w="9350" w:type="dxa"/>
          </w:tcPr>
          <w:p w14:paraId="6A1EB62D" w14:textId="1B1EECEE" w:rsidR="00D0444E" w:rsidRPr="00C41959" w:rsidRDefault="00D0444E" w:rsidP="00D73F6A">
            <w:pPr>
              <w:rPr>
                <w:rFonts w:cs="Arial"/>
                <w:b/>
                <w:bCs/>
              </w:rPr>
            </w:pPr>
            <w:r w:rsidRPr="00C41959">
              <w:rPr>
                <w:rFonts w:cs="Arial"/>
                <w:b/>
                <w:bCs/>
              </w:rPr>
              <w:lastRenderedPageBreak/>
              <w:t>Question #</w:t>
            </w:r>
            <w:r w:rsidR="005F4FC0">
              <w:rPr>
                <w:rFonts w:cs="Arial"/>
                <w:b/>
                <w:bCs/>
              </w:rPr>
              <w:t>8</w:t>
            </w:r>
            <w:r w:rsidRPr="00C41959">
              <w:rPr>
                <w:rFonts w:cs="Arial"/>
                <w:b/>
                <w:bCs/>
              </w:rPr>
              <w:t>: Does your hospital operate any adult or pediatric single acuity Med-Surg Units?</w:t>
            </w:r>
          </w:p>
          <w:p w14:paraId="373FC0E7" w14:textId="77777777" w:rsidR="00D0444E" w:rsidRPr="006162E2" w:rsidRDefault="00D0444E" w:rsidP="00D73F6A">
            <w:pPr>
              <w:rPr>
                <w:rFonts w:cs="Arial"/>
              </w:rPr>
            </w:pPr>
          </w:p>
          <w:p w14:paraId="23D82E9E" w14:textId="77777777" w:rsidR="00D0444E" w:rsidRPr="007A5E80" w:rsidRDefault="00D0444E" w:rsidP="00D73F6A">
            <w:pPr>
              <w:autoSpaceDE w:val="0"/>
              <w:autoSpaceDN w:val="0"/>
              <w:adjustRightInd w:val="0"/>
              <w:rPr>
                <w:rFonts w:cs="Arial"/>
                <w:b/>
                <w:bCs/>
              </w:rPr>
            </w:pPr>
            <w:r>
              <w:rPr>
                <w:rFonts w:cs="Arial"/>
                <w:b/>
                <w:bCs/>
              </w:rPr>
              <w:t xml:space="preserve">Single Acuity </w:t>
            </w:r>
            <w:r w:rsidRPr="007A5E80">
              <w:rPr>
                <w:rFonts w:cs="Arial"/>
                <w:b/>
                <w:bCs/>
              </w:rPr>
              <w:t>Med-Surg Combined Unit (adult</w:t>
            </w:r>
            <w:r>
              <w:rPr>
                <w:rFonts w:cs="Arial"/>
                <w:b/>
                <w:bCs/>
              </w:rPr>
              <w:t xml:space="preserve"> and </w:t>
            </w:r>
            <w:r w:rsidRPr="007A5E80">
              <w:rPr>
                <w:rFonts w:cs="Arial"/>
                <w:b/>
                <w:bCs/>
              </w:rPr>
              <w:t xml:space="preserve">pediatric): </w:t>
            </w:r>
          </w:p>
          <w:p w14:paraId="37812EED" w14:textId="77777777" w:rsidR="00D0444E" w:rsidRPr="00BB3760" w:rsidRDefault="00D0444E" w:rsidP="00D73F6A">
            <w:pPr>
              <w:autoSpaceDE w:val="0"/>
              <w:autoSpaceDN w:val="0"/>
              <w:adjustRightInd w:val="0"/>
              <w:rPr>
                <w:rFonts w:cs="Arial"/>
              </w:rPr>
            </w:pPr>
            <w:r w:rsidRPr="00BB3760">
              <w:rPr>
                <w:rFonts w:cs="Arial"/>
              </w:rPr>
              <w:t xml:space="preserve">A single acuity general care unit that cares for patients admitted for medical, surgical, or family practice services and does not meet the 90% criteria for Medical or Surgical unit type. Specialty med-surg units such as Cardiac Med-Surg, Neuro/Neurosurgery Med-Surg, and Hematology/Oncology Med-Surg, are also included. </w:t>
            </w:r>
          </w:p>
          <w:p w14:paraId="71F21788" w14:textId="77777777" w:rsidR="00D0444E" w:rsidRDefault="00D0444E" w:rsidP="00D73F6A">
            <w:pPr>
              <w:rPr>
                <w:rFonts w:cs="Arial"/>
              </w:rPr>
            </w:pPr>
          </w:p>
          <w:p w14:paraId="764D2CC2" w14:textId="77777777" w:rsidR="000371A7" w:rsidRPr="00DB2BEC" w:rsidRDefault="000371A7" w:rsidP="000371A7">
            <w:pPr>
              <w:autoSpaceDE w:val="0"/>
              <w:autoSpaceDN w:val="0"/>
              <w:adjustRightInd w:val="0"/>
              <w:rPr>
                <w:rFonts w:cs="Arial"/>
              </w:rPr>
            </w:pPr>
            <w:r>
              <w:rPr>
                <w:rFonts w:cs="Arial"/>
              </w:rPr>
              <w:t xml:space="preserve">Note: </w:t>
            </w:r>
            <w:r w:rsidRPr="00967917">
              <w:rPr>
                <w:rFonts w:cs="Arial"/>
              </w:rPr>
              <w:t>For the purposes of these measures, Leapfrog has aligned with NDNQI, which defines units based on the acuity of the patients being cared for in the unit, and not the equipment being used. Telemetry is considered a monitoring tool rather than an evaluation of a patient’s level of acuity. For example, a unit that has all telemetry patients may still have a general population level of patients that would meet NDNQI’s definition of a medical, surgical, or med-surg unit. Hospitals should evaluate the actual acuity of the patients in each unit to determine the appropriate unit designation.</w:t>
            </w:r>
          </w:p>
          <w:p w14:paraId="052FCE1E" w14:textId="77777777" w:rsidR="000371A7" w:rsidRDefault="000371A7" w:rsidP="00D73F6A">
            <w:pPr>
              <w:rPr>
                <w:rFonts w:cs="Arial"/>
              </w:rPr>
            </w:pPr>
          </w:p>
          <w:p w14:paraId="6F7DA9A6" w14:textId="77777777" w:rsidR="00D0444E" w:rsidRPr="00A90AE6" w:rsidRDefault="00D0444E" w:rsidP="00D73F6A">
            <w:pPr>
              <w:autoSpaceDE w:val="0"/>
              <w:autoSpaceDN w:val="0"/>
              <w:adjustRightInd w:val="0"/>
              <w:rPr>
                <w:rFonts w:cs="Arial"/>
                <w:b/>
                <w:bCs/>
              </w:rPr>
            </w:pPr>
            <w:r w:rsidRPr="00A90AE6">
              <w:rPr>
                <w:rFonts w:cs="Arial"/>
                <w:b/>
                <w:bCs/>
              </w:rPr>
              <w:t xml:space="preserve">Excluded units: </w:t>
            </w:r>
          </w:p>
          <w:p w14:paraId="42E23F37" w14:textId="77777777" w:rsidR="00D0444E" w:rsidRDefault="00D0444E" w:rsidP="00AD309C">
            <w:pPr>
              <w:pStyle w:val="ListParagraph"/>
              <w:numPr>
                <w:ilvl w:val="0"/>
                <w:numId w:val="372"/>
              </w:numPr>
              <w:autoSpaceDE w:val="0"/>
              <w:autoSpaceDN w:val="0"/>
              <w:adjustRightInd w:val="0"/>
              <w:rPr>
                <w:rFonts w:cs="Arial"/>
              </w:rPr>
            </w:pPr>
            <w:r w:rsidRPr="00C41528">
              <w:rPr>
                <w:rFonts w:cs="Arial"/>
              </w:rPr>
              <w:t>Labor and Delivery</w:t>
            </w:r>
          </w:p>
          <w:p w14:paraId="0758B388" w14:textId="77C645F1" w:rsidR="00EF28B2" w:rsidRPr="00C41528" w:rsidRDefault="00EF28B2" w:rsidP="00EF28B2">
            <w:pPr>
              <w:pStyle w:val="ListParagraph"/>
              <w:numPr>
                <w:ilvl w:val="0"/>
                <w:numId w:val="372"/>
              </w:numPr>
              <w:autoSpaceDE w:val="0"/>
              <w:autoSpaceDN w:val="0"/>
              <w:adjustRightInd w:val="0"/>
              <w:rPr>
                <w:rFonts w:cs="Arial"/>
              </w:rPr>
            </w:pPr>
            <w:r>
              <w:rPr>
                <w:rFonts w:cs="Arial"/>
              </w:rPr>
              <w:t>OB and Med-Surg (a combination unit in which greater than 50% of the patients are obstetric and the remaining percent are adult acute med-surg such as gynecological and/or pediatric acute med-surg</w:t>
            </w:r>
            <w:r w:rsidR="00943ED0">
              <w:rPr>
                <w:rFonts w:cs="Arial"/>
              </w:rPr>
              <w:t>)</w:t>
            </w:r>
          </w:p>
          <w:p w14:paraId="7C9FE8D5" w14:textId="77777777" w:rsidR="00D0444E" w:rsidRDefault="00D0444E" w:rsidP="00AD309C">
            <w:pPr>
              <w:pStyle w:val="ListParagraph"/>
              <w:numPr>
                <w:ilvl w:val="0"/>
                <w:numId w:val="372"/>
              </w:numPr>
              <w:autoSpaceDE w:val="0"/>
              <w:autoSpaceDN w:val="0"/>
              <w:adjustRightInd w:val="0"/>
              <w:rPr>
                <w:rFonts w:cs="Arial"/>
              </w:rPr>
            </w:pPr>
            <w:r w:rsidRPr="00C41528">
              <w:rPr>
                <w:rFonts w:cs="Arial"/>
              </w:rPr>
              <w:t>Neonatal</w:t>
            </w:r>
          </w:p>
          <w:p w14:paraId="129F0D36" w14:textId="77777777" w:rsidR="00BB4320" w:rsidRPr="00E461ED" w:rsidRDefault="00BB4320" w:rsidP="00AD309C">
            <w:pPr>
              <w:pStyle w:val="ListParagraph"/>
              <w:numPr>
                <w:ilvl w:val="0"/>
                <w:numId w:val="372"/>
              </w:numPr>
              <w:autoSpaceDE w:val="0"/>
              <w:autoSpaceDN w:val="0"/>
              <w:adjustRightInd w:val="0"/>
              <w:rPr>
                <w:rFonts w:cs="Arial"/>
              </w:rPr>
            </w:pPr>
            <w:r w:rsidRPr="0004565D">
              <w:rPr>
                <w:rFonts w:cs="Arial"/>
              </w:rPr>
              <w:t>Critical Access</w:t>
            </w:r>
            <w:r>
              <w:rPr>
                <w:rFonts w:cs="Arial"/>
              </w:rPr>
              <w:t xml:space="preserve"> (</w:t>
            </w:r>
            <w:r w:rsidRPr="0004565D">
              <w:rPr>
                <w:rFonts w:cs="Arial"/>
              </w:rPr>
              <w:t>a unit where more than 10% of beds are for skilled nursing (swing beds)</w:t>
            </w:r>
            <w:r w:rsidRPr="00E461ED">
              <w:rPr>
                <w:rFonts w:cs="Arial"/>
              </w:rPr>
              <w:t>)</w:t>
            </w:r>
          </w:p>
          <w:p w14:paraId="1DB43B00"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Rehabilitation</w:t>
            </w:r>
          </w:p>
          <w:p w14:paraId="26484026"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Psychiatric</w:t>
            </w:r>
          </w:p>
          <w:p w14:paraId="3CD1C0C8"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Perioperative</w:t>
            </w:r>
          </w:p>
          <w:p w14:paraId="55DD7D5D"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Critical Care</w:t>
            </w:r>
          </w:p>
          <w:p w14:paraId="2D1F4848"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Step Down/Progressive</w:t>
            </w:r>
          </w:p>
          <w:p w14:paraId="2424B06C"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Hospice</w:t>
            </w:r>
          </w:p>
          <w:p w14:paraId="2E90F6E7" w14:textId="114C5DB2"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Mixed Acuity Units: a unit where more than 10% of the patients in the unit receive varying levels of care (e.g., general medical care and progressive care or intensive care)</w:t>
            </w:r>
          </w:p>
          <w:p w14:paraId="0A5CC354" w14:textId="77777777" w:rsidR="00D0444E" w:rsidRPr="00C41528" w:rsidRDefault="00D0444E" w:rsidP="00AD309C">
            <w:pPr>
              <w:pStyle w:val="ListParagraph"/>
              <w:numPr>
                <w:ilvl w:val="0"/>
                <w:numId w:val="372"/>
              </w:numPr>
              <w:autoSpaceDE w:val="0"/>
              <w:autoSpaceDN w:val="0"/>
              <w:adjustRightInd w:val="0"/>
              <w:rPr>
                <w:rFonts w:cs="Arial"/>
              </w:rPr>
            </w:pPr>
            <w:r w:rsidRPr="00C41528">
              <w:rPr>
                <w:rFonts w:cs="Arial"/>
              </w:rPr>
              <w:t xml:space="preserve">Units with fewer </w:t>
            </w:r>
            <w:r w:rsidRPr="00F62669">
              <w:rPr>
                <w:rFonts w:cs="Arial"/>
                <w:iCs/>
                <w:snapToGrid w:val="0"/>
              </w:rPr>
              <w:t>than 15 patient days per month for all 3 months of any quarter of the reporting period</w:t>
            </w:r>
          </w:p>
          <w:p w14:paraId="23BE24F7" w14:textId="77777777" w:rsidR="00D0444E" w:rsidRPr="00C41959" w:rsidRDefault="00D0444E" w:rsidP="00AD309C">
            <w:pPr>
              <w:pStyle w:val="ListParagraph"/>
              <w:numPr>
                <w:ilvl w:val="0"/>
                <w:numId w:val="372"/>
              </w:numPr>
              <w:autoSpaceDE w:val="0"/>
              <w:autoSpaceDN w:val="0"/>
              <w:adjustRightInd w:val="0"/>
              <w:rPr>
                <w:rFonts w:cs="Arial"/>
              </w:rPr>
            </w:pPr>
            <w:r w:rsidRPr="00C41959">
              <w:rPr>
                <w:rFonts w:cs="Arial"/>
              </w:rPr>
              <w:t>Units that transitioned to an excluded unit type during the reporting period (e.g., a single acuity Medical Unit transitioned to a critical care unit during the reporting period)</w:t>
            </w:r>
          </w:p>
        </w:tc>
      </w:tr>
      <w:tr w:rsidR="00D0444E" w14:paraId="1BE006A0" w14:textId="77777777" w:rsidTr="00D73F6A">
        <w:tc>
          <w:tcPr>
            <w:tcW w:w="9350" w:type="dxa"/>
          </w:tcPr>
          <w:p w14:paraId="2C8DE683" w14:textId="55CE99F5" w:rsidR="00D0444E" w:rsidRDefault="00D0444E" w:rsidP="00D73F6A">
            <w:pPr>
              <w:rPr>
                <w:rFonts w:cs="Arial"/>
                <w:b/>
                <w:bCs/>
              </w:rPr>
            </w:pPr>
            <w:r>
              <w:rPr>
                <w:rFonts w:cs="Arial"/>
                <w:b/>
                <w:bCs/>
              </w:rPr>
              <w:t>Question #</w:t>
            </w:r>
            <w:r w:rsidR="00CE3ED1">
              <w:rPr>
                <w:rFonts w:cs="Arial"/>
                <w:b/>
                <w:bCs/>
              </w:rPr>
              <w:t>9</w:t>
            </w:r>
            <w:r>
              <w:rPr>
                <w:rFonts w:cs="Arial"/>
                <w:b/>
                <w:bCs/>
              </w:rPr>
              <w:t>: Single Acuity Med-Surg Units</w:t>
            </w:r>
          </w:p>
          <w:p w14:paraId="5AD0EB4E" w14:textId="77777777" w:rsidR="00D0444E" w:rsidRPr="00C41959" w:rsidRDefault="00D0444E" w:rsidP="00D73F6A">
            <w:pPr>
              <w:rPr>
                <w:rFonts w:cs="Arial"/>
                <w:b/>
                <w:bCs/>
              </w:rPr>
            </w:pPr>
            <w:r w:rsidRPr="001E285B">
              <w:rPr>
                <w:rFonts w:cs="Arial"/>
              </w:rPr>
              <w:t xml:space="preserve">Enter your hospital’s responses for each quarter for all adult and pediatric single acuity </w:t>
            </w:r>
            <w:r w:rsidRPr="0052798E">
              <w:rPr>
                <w:rFonts w:cs="Arial"/>
                <w:b/>
                <w:bCs/>
              </w:rPr>
              <w:t>Med-Surg Units</w:t>
            </w:r>
            <w:r w:rsidRPr="001E285B">
              <w:rPr>
                <w:rFonts w:cs="Arial"/>
              </w:rPr>
              <w:t xml:space="preserve"> for the reporting period selected in question #1</w:t>
            </w:r>
            <w:r>
              <w:rPr>
                <w:rFonts w:cs="Arial"/>
              </w:rPr>
              <w:t>.</w:t>
            </w:r>
          </w:p>
        </w:tc>
      </w:tr>
      <w:tr w:rsidR="00D0444E" w14:paraId="1A032732" w14:textId="77777777" w:rsidTr="00D73F6A">
        <w:tc>
          <w:tcPr>
            <w:tcW w:w="9350" w:type="dxa"/>
          </w:tcPr>
          <w:p w14:paraId="7C6AE231" w14:textId="5C933DB6" w:rsidR="00D0444E" w:rsidRPr="00BB3760" w:rsidRDefault="00D0444E" w:rsidP="00D73F6A">
            <w:pPr>
              <w:rPr>
                <w:rFonts w:cs="Arial"/>
              </w:rPr>
            </w:pPr>
            <w:r w:rsidRPr="0086796B">
              <w:rPr>
                <w:rFonts w:cs="Arial"/>
                <w:b/>
                <w:bCs/>
              </w:rPr>
              <w:t xml:space="preserve">Question </w:t>
            </w:r>
            <w:r>
              <w:rPr>
                <w:rFonts w:cs="Arial"/>
                <w:b/>
                <w:bCs/>
              </w:rPr>
              <w:t>#</w:t>
            </w:r>
            <w:r w:rsidR="00CE3ED1">
              <w:rPr>
                <w:rFonts w:cs="Arial"/>
                <w:b/>
                <w:bCs/>
              </w:rPr>
              <w:t>9</w:t>
            </w:r>
            <w:r w:rsidRPr="0086796B">
              <w:rPr>
                <w:rFonts w:cs="Arial"/>
                <w:b/>
                <w:bCs/>
              </w:rPr>
              <w:t>(a):</w:t>
            </w:r>
            <w:r w:rsidRPr="00670605">
              <w:rPr>
                <w:rFonts w:cs="Arial"/>
                <w:b/>
                <w:bCs/>
              </w:rPr>
              <w:t xml:space="preserve"> </w:t>
            </w:r>
            <w:r w:rsidRPr="00BB3760">
              <w:rPr>
                <w:rFonts w:cs="Arial"/>
              </w:rPr>
              <w:t xml:space="preserve">Total number of patient days </w:t>
            </w:r>
            <w:r>
              <w:rPr>
                <w:rFonts w:cs="Arial"/>
              </w:rPr>
              <w:t>across</w:t>
            </w:r>
            <w:r w:rsidRPr="00BB3760">
              <w:rPr>
                <w:rFonts w:cs="Arial"/>
              </w:rPr>
              <w:t xml:space="preserve"> all </w:t>
            </w:r>
            <w:r>
              <w:rPr>
                <w:rFonts w:cs="Arial"/>
              </w:rPr>
              <w:t xml:space="preserve">adult and pediatric </w:t>
            </w:r>
            <w:r w:rsidRPr="00BB3760">
              <w:rPr>
                <w:rFonts w:cs="Arial"/>
              </w:rPr>
              <w:t xml:space="preserve">single acuity </w:t>
            </w:r>
            <w:r w:rsidRPr="00C41959">
              <w:rPr>
                <w:rFonts w:cs="Arial"/>
                <w:b/>
                <w:bCs/>
              </w:rPr>
              <w:t>Med-Surg Units</w:t>
            </w:r>
            <w:r w:rsidRPr="00BB3760">
              <w:rPr>
                <w:rFonts w:cs="Arial"/>
              </w:rPr>
              <w:t xml:space="preserve"> </w:t>
            </w:r>
            <w:r>
              <w:rPr>
                <w:rFonts w:cs="Arial"/>
              </w:rPr>
              <w:t xml:space="preserve">for </w:t>
            </w:r>
            <w:r w:rsidRPr="00BB3760">
              <w:rPr>
                <w:rFonts w:cs="Arial"/>
              </w:rPr>
              <w:t>each quarter</w:t>
            </w:r>
            <w:r>
              <w:rPr>
                <w:rFonts w:cs="Arial"/>
              </w:rPr>
              <w:t xml:space="preserve"> included in the reporting period</w:t>
            </w:r>
            <w:r w:rsidRPr="00BB3760">
              <w:rPr>
                <w:rFonts w:cs="Arial"/>
              </w:rPr>
              <w:t xml:space="preserve"> based on your hospital’</w:t>
            </w:r>
            <w:r>
              <w:rPr>
                <w:rFonts w:cs="Arial"/>
              </w:rPr>
              <w:t>s</w:t>
            </w:r>
            <w:r w:rsidRPr="00BB3760">
              <w:rPr>
                <w:rFonts w:cs="Arial"/>
              </w:rPr>
              <w:t xml:space="preserve"> method for counting patient days. </w:t>
            </w:r>
          </w:p>
          <w:p w14:paraId="2B74693D" w14:textId="77777777" w:rsidR="00D0444E" w:rsidRPr="00BB3760" w:rsidRDefault="00D0444E" w:rsidP="00D73F6A">
            <w:pPr>
              <w:autoSpaceDE w:val="0"/>
              <w:autoSpaceDN w:val="0"/>
              <w:adjustRightInd w:val="0"/>
              <w:rPr>
                <w:rFonts w:cs="Arial"/>
              </w:rPr>
            </w:pPr>
          </w:p>
          <w:p w14:paraId="2BF61151" w14:textId="77777777" w:rsidR="00D0444E" w:rsidRPr="0086796B" w:rsidRDefault="00D0444E" w:rsidP="00D73F6A">
            <w:pPr>
              <w:autoSpaceDE w:val="0"/>
              <w:autoSpaceDN w:val="0"/>
              <w:adjustRightInd w:val="0"/>
              <w:rPr>
                <w:rFonts w:cs="Arial"/>
                <w:b/>
                <w:bCs/>
              </w:rPr>
            </w:pPr>
            <w:r w:rsidRPr="00BB3760">
              <w:rPr>
                <w:rFonts w:cs="Arial"/>
              </w:rPr>
              <w:t xml:space="preserve">Patient days should be calculated to include all patients in </w:t>
            </w:r>
            <w:r w:rsidRPr="00331343">
              <w:rPr>
                <w:rFonts w:cs="Arial"/>
              </w:rPr>
              <w:t xml:space="preserve">adult </w:t>
            </w:r>
            <w:r>
              <w:rPr>
                <w:rFonts w:cs="Arial"/>
              </w:rPr>
              <w:t>and</w:t>
            </w:r>
            <w:r w:rsidRPr="00331343">
              <w:rPr>
                <w:rFonts w:cs="Arial"/>
              </w:rPr>
              <w:t xml:space="preserve"> pediatric single acuity </w:t>
            </w:r>
            <w:r>
              <w:rPr>
                <w:rFonts w:cs="Arial"/>
              </w:rPr>
              <w:t>Med-Surg</w:t>
            </w:r>
            <w:r w:rsidRPr="00331343">
              <w:rPr>
                <w:rFonts w:cs="Arial"/>
              </w:rPr>
              <w:t xml:space="preserve"> Unit</w:t>
            </w:r>
            <w:r>
              <w:rPr>
                <w:rFonts w:cs="Arial"/>
              </w:rPr>
              <w:t>s</w:t>
            </w:r>
            <w:r w:rsidRPr="00BB3760">
              <w:rPr>
                <w:rFonts w:cs="Arial"/>
              </w:rPr>
              <w:t>. This includes patients that do not have inpatient status (i.e., observation patients).</w:t>
            </w:r>
          </w:p>
        </w:tc>
      </w:tr>
      <w:tr w:rsidR="00D0444E" w14:paraId="1A595A46" w14:textId="77777777" w:rsidTr="00D73F6A">
        <w:tc>
          <w:tcPr>
            <w:tcW w:w="9350" w:type="dxa"/>
          </w:tcPr>
          <w:p w14:paraId="060369AE" w14:textId="0DB5EFDF" w:rsidR="00D0444E" w:rsidRDefault="00D0444E" w:rsidP="00D73F6A">
            <w:pPr>
              <w:autoSpaceDE w:val="0"/>
              <w:autoSpaceDN w:val="0"/>
              <w:adjustRightInd w:val="0"/>
              <w:rPr>
                <w:rFonts w:cs="Arial"/>
              </w:rPr>
            </w:pPr>
            <w:r w:rsidRPr="0086796B">
              <w:rPr>
                <w:rFonts w:cs="Arial"/>
                <w:b/>
                <w:bCs/>
              </w:rPr>
              <w:t xml:space="preserve">Question </w:t>
            </w:r>
            <w:r>
              <w:rPr>
                <w:rFonts w:cs="Arial"/>
                <w:b/>
                <w:bCs/>
              </w:rPr>
              <w:t>#</w:t>
            </w:r>
            <w:r w:rsidR="00CE3ED1">
              <w:rPr>
                <w:rFonts w:cs="Arial"/>
                <w:b/>
                <w:bCs/>
              </w:rPr>
              <w:t>9</w:t>
            </w:r>
            <w:r w:rsidRPr="0086796B">
              <w:rPr>
                <w:rFonts w:cs="Arial"/>
                <w:b/>
                <w:bCs/>
              </w:rPr>
              <w:t>(b):</w:t>
            </w:r>
            <w:r w:rsidRPr="00670605">
              <w:rPr>
                <w:rFonts w:cs="Arial"/>
                <w:b/>
                <w:bCs/>
              </w:rPr>
              <w:t xml:space="preserve"> </w:t>
            </w:r>
            <w:r w:rsidRPr="00BB3760">
              <w:rPr>
                <w:rFonts w:cs="Arial"/>
              </w:rPr>
              <w:t>Total number of productive hours worked by employe</w:t>
            </w:r>
            <w:r>
              <w:rPr>
                <w:rFonts w:cs="Arial"/>
              </w:rPr>
              <w:t>d</w:t>
            </w:r>
            <w:r w:rsidRPr="00BB3760">
              <w:rPr>
                <w:rFonts w:cs="Arial"/>
              </w:rPr>
              <w:t xml:space="preserve"> and contract</w:t>
            </w:r>
            <w:r>
              <w:rPr>
                <w:rFonts w:cs="Arial"/>
              </w:rPr>
              <w:t>ed</w:t>
            </w:r>
            <w:r w:rsidRPr="00BB3760">
              <w:rPr>
                <w:rFonts w:cs="Arial"/>
              </w:rPr>
              <w:t xml:space="preserve"> </w:t>
            </w:r>
            <w:r w:rsidRPr="007E2D99">
              <w:rPr>
                <w:rFonts w:cs="Arial"/>
                <w:b/>
                <w:bCs/>
              </w:rPr>
              <w:t>nursing staff (RN, LPN/LVN, and UAP)</w:t>
            </w:r>
            <w:r w:rsidRPr="00BB3760">
              <w:rPr>
                <w:rFonts w:cs="Arial"/>
              </w:rPr>
              <w:t xml:space="preserve"> with direct patient care responsibilities in all </w:t>
            </w:r>
            <w:r>
              <w:rPr>
                <w:rFonts w:cs="Arial"/>
              </w:rPr>
              <w:t xml:space="preserve">single acuity adult and pediatric </w:t>
            </w:r>
            <w:r w:rsidRPr="0052798E">
              <w:rPr>
                <w:rFonts w:cs="Arial"/>
                <w:b/>
                <w:bCs/>
              </w:rPr>
              <w:t>Med-Surg Units</w:t>
            </w:r>
            <w:r w:rsidRPr="00BB3760">
              <w:rPr>
                <w:rFonts w:cs="Arial"/>
              </w:rPr>
              <w:t xml:space="preserve"> in each quarter.</w:t>
            </w:r>
          </w:p>
          <w:p w14:paraId="4BF9FABF" w14:textId="77777777" w:rsidR="00D0444E" w:rsidRDefault="00D0444E" w:rsidP="00D73F6A">
            <w:pPr>
              <w:autoSpaceDE w:val="0"/>
              <w:autoSpaceDN w:val="0"/>
              <w:adjustRightInd w:val="0"/>
              <w:rPr>
                <w:rFonts w:cs="Arial"/>
              </w:rPr>
            </w:pPr>
          </w:p>
          <w:p w14:paraId="5015569D" w14:textId="77777777" w:rsidR="00D0444E" w:rsidRPr="007E0D9D" w:rsidRDefault="00D0444E" w:rsidP="00D73F6A">
            <w:pPr>
              <w:autoSpaceDE w:val="0"/>
              <w:autoSpaceDN w:val="0"/>
              <w:adjustRightInd w:val="0"/>
              <w:rPr>
                <w:rFonts w:cs="Arial"/>
                <w:b/>
                <w:bCs/>
                <w:u w:val="single"/>
              </w:rPr>
            </w:pPr>
            <w:r w:rsidRPr="007E0D9D">
              <w:rPr>
                <w:rFonts w:cs="Arial"/>
                <w:b/>
                <w:bCs/>
                <w:u w:val="single"/>
              </w:rPr>
              <w:t>Productive Hours</w:t>
            </w:r>
          </w:p>
          <w:p w14:paraId="5DA8AE15" w14:textId="77777777" w:rsidR="00D0444E" w:rsidRPr="00BB3760" w:rsidRDefault="00D0444E" w:rsidP="00D73F6A">
            <w:pPr>
              <w:autoSpaceDE w:val="0"/>
              <w:autoSpaceDN w:val="0"/>
              <w:adjustRightInd w:val="0"/>
              <w:rPr>
                <w:rFonts w:cs="Arial"/>
              </w:rPr>
            </w:pPr>
          </w:p>
          <w:p w14:paraId="2B2B4ECC" w14:textId="77777777" w:rsidR="00D0444E" w:rsidRPr="00BB370E" w:rsidRDefault="00D0444E" w:rsidP="00D73F6A">
            <w:pPr>
              <w:autoSpaceDE w:val="0"/>
              <w:autoSpaceDN w:val="0"/>
              <w:adjustRightInd w:val="0"/>
              <w:rPr>
                <w:rFonts w:cs="Arial"/>
              </w:rPr>
            </w:pPr>
            <w:r w:rsidRPr="00A831FC">
              <w:rPr>
                <w:rFonts w:cs="Arial"/>
                <w:b/>
                <w:bCs/>
              </w:rPr>
              <w:t>Include</w:t>
            </w:r>
            <w:r w:rsidRPr="00A831FC">
              <w:rPr>
                <w:rFonts w:cs="Arial"/>
              </w:rPr>
              <w:t xml:space="preserve"> the following hours worked by </w:t>
            </w:r>
            <w:r w:rsidRPr="00BB3760">
              <w:rPr>
                <w:rFonts w:cs="Arial"/>
              </w:rPr>
              <w:t>employe</w:t>
            </w:r>
            <w:r>
              <w:rPr>
                <w:rFonts w:cs="Arial"/>
              </w:rPr>
              <w:t>d</w:t>
            </w:r>
            <w:r w:rsidRPr="00BB3760">
              <w:rPr>
                <w:rFonts w:cs="Arial"/>
              </w:rPr>
              <w:t xml:space="preserve"> and contract</w:t>
            </w:r>
            <w:r>
              <w:rPr>
                <w:rFonts w:cs="Arial"/>
              </w:rPr>
              <w:t>ed</w:t>
            </w:r>
            <w:r w:rsidRPr="00BB3760">
              <w:rPr>
                <w:rFonts w:cs="Arial"/>
              </w:rPr>
              <w:t xml:space="preserve"> </w:t>
            </w:r>
            <w:r w:rsidRPr="00A831FC">
              <w:rPr>
                <w:rFonts w:cs="Arial"/>
              </w:rPr>
              <w:t>RNs, LPN/LVNs, and UAPs</w:t>
            </w:r>
            <w:r w:rsidRPr="00BB370E">
              <w:rPr>
                <w:rFonts w:cs="Arial"/>
              </w:rPr>
              <w:t>:</w:t>
            </w:r>
          </w:p>
          <w:p w14:paraId="377AA28E" w14:textId="77777777" w:rsidR="00D0444E" w:rsidRDefault="00D0444E" w:rsidP="00AD309C">
            <w:pPr>
              <w:pStyle w:val="ListParagraph"/>
              <w:numPr>
                <w:ilvl w:val="0"/>
                <w:numId w:val="373"/>
              </w:numPr>
              <w:autoSpaceDE w:val="0"/>
              <w:autoSpaceDN w:val="0"/>
              <w:adjustRightInd w:val="0"/>
              <w:rPr>
                <w:rFonts w:cs="Arial"/>
              </w:rPr>
            </w:pPr>
            <w:r>
              <w:rPr>
                <w:rFonts w:cs="Arial"/>
              </w:rPr>
              <w:t>A</w:t>
            </w:r>
            <w:r w:rsidRPr="00153B88">
              <w:rPr>
                <w:rFonts w:cs="Arial"/>
              </w:rPr>
              <w:t>ctual direct patient care hours worked by nursing staff</w:t>
            </w:r>
          </w:p>
          <w:p w14:paraId="76BAEF22" w14:textId="77777777" w:rsidR="00D0444E" w:rsidRPr="0008544D" w:rsidRDefault="00D0444E" w:rsidP="00AD309C">
            <w:pPr>
              <w:pStyle w:val="ListParagraph"/>
              <w:numPr>
                <w:ilvl w:val="0"/>
                <w:numId w:val="373"/>
              </w:numPr>
              <w:autoSpaceDE w:val="0"/>
              <w:autoSpaceDN w:val="0"/>
              <w:adjustRightInd w:val="0"/>
              <w:rPr>
                <w:rFonts w:cs="Arial"/>
              </w:rPr>
            </w:pPr>
            <w:r>
              <w:rPr>
                <w:rFonts w:cs="Arial"/>
              </w:rPr>
              <w:t>O</w:t>
            </w:r>
            <w:r w:rsidRPr="0008544D">
              <w:rPr>
                <w:rFonts w:cs="Arial"/>
              </w:rPr>
              <w:t>vertime</w:t>
            </w:r>
            <w:r>
              <w:rPr>
                <w:rFonts w:cs="Arial"/>
              </w:rPr>
              <w:t xml:space="preserve"> spent performing direct patient care</w:t>
            </w:r>
          </w:p>
          <w:p w14:paraId="7C74EB7A" w14:textId="77777777" w:rsidR="00D0444E" w:rsidRPr="0008544D" w:rsidRDefault="00D0444E" w:rsidP="00AD309C">
            <w:pPr>
              <w:pStyle w:val="ListParagraph"/>
              <w:numPr>
                <w:ilvl w:val="0"/>
                <w:numId w:val="373"/>
              </w:numPr>
              <w:autoSpaceDE w:val="0"/>
              <w:autoSpaceDN w:val="0"/>
              <w:adjustRightInd w:val="0"/>
              <w:rPr>
                <w:rFonts w:cs="Arial"/>
              </w:rPr>
            </w:pPr>
            <w:r w:rsidRPr="0008544D">
              <w:rPr>
                <w:rFonts w:cs="Arial"/>
              </w:rPr>
              <w:t>Orientation hours for new hires that are considered part of the unit’s staffing matrix, whose work hours are charged to the unit’s cost center, and</w:t>
            </w:r>
            <w:r>
              <w:rPr>
                <w:rFonts w:cs="Arial"/>
              </w:rPr>
              <w:t xml:space="preserve"> who</w:t>
            </w:r>
            <w:r w:rsidRPr="0008544D">
              <w:rPr>
                <w:rFonts w:cs="Arial"/>
              </w:rPr>
              <w:t xml:space="preserve"> would be replaced if they call</w:t>
            </w:r>
            <w:r>
              <w:rPr>
                <w:rFonts w:cs="Arial"/>
              </w:rPr>
              <w:t>ed out</w:t>
            </w:r>
            <w:r w:rsidRPr="0008544D">
              <w:rPr>
                <w:rFonts w:cs="Arial"/>
              </w:rPr>
              <w:t xml:space="preserve"> sick</w:t>
            </w:r>
          </w:p>
          <w:p w14:paraId="2C7A988A" w14:textId="5443FDDF" w:rsidR="00D0444E" w:rsidRPr="0008544D" w:rsidRDefault="00C95A16" w:rsidP="00AD309C">
            <w:pPr>
              <w:pStyle w:val="ListParagraph"/>
              <w:numPr>
                <w:ilvl w:val="0"/>
                <w:numId w:val="373"/>
              </w:numPr>
              <w:autoSpaceDE w:val="0"/>
              <w:autoSpaceDN w:val="0"/>
              <w:adjustRightInd w:val="0"/>
              <w:rPr>
                <w:rFonts w:cs="Arial"/>
              </w:rPr>
            </w:pPr>
            <w:r w:rsidRPr="00824910">
              <w:rPr>
                <w:rFonts w:cs="Arial"/>
              </w:rPr>
              <w:t>Sitter hours authorized for both physical touch and direct patient care intervention</w:t>
            </w:r>
          </w:p>
          <w:p w14:paraId="763AAB4A" w14:textId="77777777" w:rsidR="00D0444E" w:rsidRPr="00BB370E" w:rsidRDefault="00D0444E" w:rsidP="00D73F6A">
            <w:pPr>
              <w:autoSpaceDE w:val="0"/>
              <w:autoSpaceDN w:val="0"/>
              <w:adjustRightInd w:val="0"/>
              <w:rPr>
                <w:rFonts w:cs="Arial"/>
              </w:rPr>
            </w:pPr>
          </w:p>
          <w:p w14:paraId="43CA28D3" w14:textId="77777777" w:rsidR="00D0444E" w:rsidRPr="00153B88" w:rsidRDefault="00D0444E" w:rsidP="00D73F6A">
            <w:pPr>
              <w:autoSpaceDE w:val="0"/>
              <w:autoSpaceDN w:val="0"/>
              <w:adjustRightInd w:val="0"/>
              <w:rPr>
                <w:rFonts w:cs="Arial"/>
              </w:rPr>
            </w:pPr>
            <w:r w:rsidRPr="00A831FC">
              <w:rPr>
                <w:rFonts w:cs="Arial"/>
                <w:b/>
                <w:bCs/>
              </w:rPr>
              <w:lastRenderedPageBreak/>
              <w:t>Exclude</w:t>
            </w:r>
            <w:r>
              <w:rPr>
                <w:rFonts w:cs="Arial"/>
              </w:rPr>
              <w:t xml:space="preserve"> the following </w:t>
            </w:r>
            <w:r w:rsidRPr="00A831FC">
              <w:rPr>
                <w:rFonts w:cs="Arial"/>
              </w:rPr>
              <w:t xml:space="preserve">hours worked by </w:t>
            </w:r>
            <w:r w:rsidRPr="00BB3760">
              <w:rPr>
                <w:rFonts w:cs="Arial"/>
              </w:rPr>
              <w:t>employe</w:t>
            </w:r>
            <w:r>
              <w:rPr>
                <w:rFonts w:cs="Arial"/>
              </w:rPr>
              <w:t>d</w:t>
            </w:r>
            <w:r w:rsidRPr="00BB3760">
              <w:rPr>
                <w:rFonts w:cs="Arial"/>
              </w:rPr>
              <w:t xml:space="preserve"> and contract</w:t>
            </w:r>
            <w:r>
              <w:rPr>
                <w:rFonts w:cs="Arial"/>
              </w:rPr>
              <w:t>ed</w:t>
            </w:r>
            <w:r w:rsidRPr="00BB3760">
              <w:rPr>
                <w:rFonts w:cs="Arial"/>
              </w:rPr>
              <w:t xml:space="preserve"> </w:t>
            </w:r>
            <w:r w:rsidRPr="00A831FC">
              <w:rPr>
                <w:rFonts w:cs="Arial"/>
              </w:rPr>
              <w:t>RN, LPN/LVN, and UA</w:t>
            </w:r>
            <w:r>
              <w:rPr>
                <w:rFonts w:cs="Arial"/>
              </w:rPr>
              <w:t>P</w:t>
            </w:r>
            <w:r w:rsidRPr="00153B88">
              <w:rPr>
                <w:rFonts w:cs="Arial"/>
              </w:rPr>
              <w:t>:</w:t>
            </w:r>
          </w:p>
          <w:p w14:paraId="3D8CF2B4"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Budgeted or scheduled hours</w:t>
            </w:r>
          </w:p>
          <w:p w14:paraId="6347CB3D"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Vacation time, sick time, education leave, or committee time</w:t>
            </w:r>
          </w:p>
          <w:p w14:paraId="544CD9EC"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 xml:space="preserve">Orientation hours for new hires that are not considered part of the unit’s staffing matrix, whose work hours are not charged to the unit’s cost center, and would not be replaced if they call </w:t>
            </w:r>
            <w:r>
              <w:rPr>
                <w:rFonts w:cs="Arial"/>
              </w:rPr>
              <w:t>out</w:t>
            </w:r>
            <w:r w:rsidRPr="00173884">
              <w:rPr>
                <w:rFonts w:cs="Arial"/>
              </w:rPr>
              <w:t xml:space="preserve"> sick</w:t>
            </w:r>
          </w:p>
          <w:p w14:paraId="235108C1" w14:textId="77777777" w:rsidR="00D0444E" w:rsidRPr="00173884" w:rsidRDefault="00D0444E" w:rsidP="00AD309C">
            <w:pPr>
              <w:pStyle w:val="ListParagraph"/>
              <w:numPr>
                <w:ilvl w:val="0"/>
                <w:numId w:val="374"/>
              </w:numPr>
              <w:autoSpaceDE w:val="0"/>
              <w:autoSpaceDN w:val="0"/>
              <w:adjustRightInd w:val="0"/>
              <w:rPr>
                <w:rFonts w:cs="Arial"/>
              </w:rPr>
            </w:pPr>
            <w:r w:rsidRPr="00173884">
              <w:rPr>
                <w:rFonts w:cs="Arial"/>
              </w:rPr>
              <w:t>Hours from when the unit was staffed but there were no patients in the unit</w:t>
            </w:r>
          </w:p>
          <w:p w14:paraId="76C99BAB" w14:textId="77777777" w:rsidR="00D0444E" w:rsidRPr="00173884" w:rsidRDefault="00D0444E" w:rsidP="00AD309C">
            <w:pPr>
              <w:pStyle w:val="ListParagraph"/>
              <w:numPr>
                <w:ilvl w:val="1"/>
                <w:numId w:val="374"/>
              </w:numPr>
              <w:autoSpaceDE w:val="0"/>
              <w:autoSpaceDN w:val="0"/>
              <w:adjustRightInd w:val="0"/>
              <w:rPr>
                <w:rFonts w:cs="Arial"/>
              </w:rPr>
            </w:pPr>
            <w:r w:rsidRPr="00173884">
              <w:rPr>
                <w:rFonts w:cs="Arial"/>
              </w:rPr>
              <w:t>If these nursing hours cannot be removed, then the unit should not be included.</w:t>
            </w:r>
          </w:p>
          <w:p w14:paraId="2F65DADF" w14:textId="77777777" w:rsidR="00D0444E" w:rsidRDefault="00D0444E" w:rsidP="00AD309C">
            <w:pPr>
              <w:pStyle w:val="ListParagraph"/>
              <w:numPr>
                <w:ilvl w:val="0"/>
                <w:numId w:val="374"/>
              </w:numPr>
              <w:autoSpaceDE w:val="0"/>
              <w:autoSpaceDN w:val="0"/>
              <w:adjustRightInd w:val="0"/>
              <w:rPr>
                <w:rFonts w:cs="Arial"/>
              </w:rPr>
            </w:pPr>
            <w:r w:rsidRPr="00173884">
              <w:rPr>
                <w:rFonts w:cs="Arial"/>
              </w:rPr>
              <w:t>Virtual or remote hours</w:t>
            </w:r>
          </w:p>
          <w:p w14:paraId="70500152" w14:textId="78C014E5" w:rsidR="000E1853" w:rsidRPr="00B12BA7" w:rsidRDefault="00EC1481" w:rsidP="00AD309C">
            <w:pPr>
              <w:pStyle w:val="ListParagraph"/>
              <w:numPr>
                <w:ilvl w:val="0"/>
                <w:numId w:val="374"/>
              </w:numPr>
              <w:autoSpaceDE w:val="0"/>
              <w:autoSpaceDN w:val="0"/>
              <w:adjustRightInd w:val="0"/>
              <w:rPr>
                <w:rFonts w:cs="Arial"/>
              </w:rPr>
            </w:pPr>
            <w:r w:rsidRPr="00FA188F">
              <w:rPr>
                <w:rFonts w:cs="Arial"/>
              </w:rPr>
              <w:t>Sitter hours without authorization for both physical touch and direct patient care intervention</w:t>
            </w:r>
          </w:p>
          <w:p w14:paraId="718A5847" w14:textId="77777777" w:rsidR="00D0444E" w:rsidRDefault="00D0444E" w:rsidP="00D73F6A">
            <w:pPr>
              <w:autoSpaceDE w:val="0"/>
              <w:autoSpaceDN w:val="0"/>
              <w:adjustRightInd w:val="0"/>
              <w:rPr>
                <w:rFonts w:cs="Arial"/>
              </w:rPr>
            </w:pPr>
          </w:p>
          <w:p w14:paraId="63698FA1" w14:textId="77777777" w:rsidR="00D0444E" w:rsidRPr="00591EAA" w:rsidRDefault="00D0444E" w:rsidP="00D73F6A">
            <w:pPr>
              <w:autoSpaceDE w:val="0"/>
              <w:autoSpaceDN w:val="0"/>
              <w:adjustRightInd w:val="0"/>
              <w:rPr>
                <w:rFonts w:eastAsiaTheme="minorHAnsi" w:cs="Arial"/>
                <w:b/>
                <w:bCs/>
                <w:kern w:val="2"/>
                <w:u w:val="single"/>
                <w14:ligatures w14:val="standardContextual"/>
              </w:rPr>
            </w:pPr>
            <w:r w:rsidRPr="00591EAA">
              <w:rPr>
                <w:rFonts w:eastAsiaTheme="minorHAnsi" w:cs="Arial"/>
                <w:b/>
                <w:bCs/>
                <w:kern w:val="2"/>
                <w:u w:val="single"/>
                <w14:ligatures w14:val="standardContextual"/>
              </w:rPr>
              <w:t>Employe</w:t>
            </w:r>
            <w:r>
              <w:rPr>
                <w:rFonts w:eastAsiaTheme="minorHAnsi" w:cs="Arial"/>
                <w:b/>
                <w:bCs/>
                <w:kern w:val="2"/>
                <w:u w:val="single"/>
                <w14:ligatures w14:val="standardContextual"/>
              </w:rPr>
              <w:t>d</w:t>
            </w:r>
            <w:r w:rsidRPr="00591EAA">
              <w:rPr>
                <w:rFonts w:eastAsiaTheme="minorHAnsi" w:cs="Arial"/>
                <w:b/>
                <w:bCs/>
                <w:kern w:val="2"/>
                <w:u w:val="single"/>
                <w14:ligatures w14:val="standardContextual"/>
              </w:rPr>
              <w:t xml:space="preserve"> and Contract</w:t>
            </w:r>
            <w:r>
              <w:rPr>
                <w:rFonts w:eastAsiaTheme="minorHAnsi" w:cs="Arial"/>
                <w:b/>
                <w:bCs/>
                <w:kern w:val="2"/>
                <w:u w:val="single"/>
                <w14:ligatures w14:val="standardContextual"/>
              </w:rPr>
              <w:t>ed</w:t>
            </w:r>
            <w:r w:rsidRPr="00591EAA">
              <w:rPr>
                <w:rFonts w:eastAsiaTheme="minorHAnsi" w:cs="Arial"/>
                <w:b/>
                <w:bCs/>
                <w:kern w:val="2"/>
                <w:u w:val="single"/>
                <w14:ligatures w14:val="standardContextual"/>
              </w:rPr>
              <w:t xml:space="preserve"> Nursing Staff</w:t>
            </w:r>
          </w:p>
          <w:p w14:paraId="63B80CCC" w14:textId="77777777" w:rsidR="00D0444E" w:rsidRPr="00BB3760" w:rsidRDefault="00D0444E" w:rsidP="00D73F6A">
            <w:pPr>
              <w:autoSpaceDE w:val="0"/>
              <w:autoSpaceDN w:val="0"/>
              <w:adjustRightInd w:val="0"/>
              <w:rPr>
                <w:rFonts w:cs="Arial"/>
              </w:rPr>
            </w:pPr>
          </w:p>
          <w:p w14:paraId="26CFCADF" w14:textId="77777777" w:rsidR="00D0444E" w:rsidRPr="00153B88" w:rsidRDefault="00D0444E" w:rsidP="00D73F6A">
            <w:pPr>
              <w:autoSpaceDE w:val="0"/>
              <w:autoSpaceDN w:val="0"/>
              <w:adjustRightInd w:val="0"/>
              <w:rPr>
                <w:rFonts w:cs="Arial"/>
              </w:rPr>
            </w:pPr>
            <w:r w:rsidRPr="00A831FC">
              <w:rPr>
                <w:rFonts w:cs="Arial"/>
                <w:b/>
                <w:bCs/>
              </w:rPr>
              <w:t>Includ</w:t>
            </w:r>
            <w:r w:rsidRPr="006B5CC5">
              <w:rPr>
                <w:rFonts w:cs="Arial"/>
                <w:b/>
                <w:bCs/>
              </w:rPr>
              <w:t>e</w:t>
            </w:r>
            <w:r w:rsidRPr="00A831FC">
              <w:rPr>
                <w:rFonts w:cs="Arial"/>
              </w:rPr>
              <w:t xml:space="preserve"> </w:t>
            </w:r>
            <w:r>
              <w:rPr>
                <w:rFonts w:cs="Arial"/>
              </w:rPr>
              <w:t xml:space="preserve">the following </w:t>
            </w:r>
            <w:r w:rsidRPr="00A831FC">
              <w:rPr>
                <w:rFonts w:cs="Arial"/>
              </w:rPr>
              <w:t>RN, LPN/LVN, and UAP nursing staff</w:t>
            </w:r>
            <w:r w:rsidRPr="00153B88">
              <w:rPr>
                <w:rFonts w:cs="Arial"/>
              </w:rPr>
              <w:t>:</w:t>
            </w:r>
          </w:p>
          <w:p w14:paraId="0CA6A1E9" w14:textId="77777777" w:rsidR="00D0444E" w:rsidRPr="00F94E13" w:rsidRDefault="00D0444E" w:rsidP="00AD309C">
            <w:pPr>
              <w:pStyle w:val="ListParagraph"/>
              <w:numPr>
                <w:ilvl w:val="0"/>
                <w:numId w:val="375"/>
              </w:numPr>
              <w:autoSpaceDE w:val="0"/>
              <w:autoSpaceDN w:val="0"/>
              <w:adjustRightInd w:val="0"/>
              <w:rPr>
                <w:rFonts w:cs="Arial"/>
              </w:rPr>
            </w:pPr>
            <w:r>
              <w:rPr>
                <w:rFonts w:cs="Arial"/>
              </w:rPr>
              <w:t>Staff e</w:t>
            </w:r>
            <w:r w:rsidRPr="00F94E13">
              <w:rPr>
                <w:rFonts w:cs="Arial"/>
              </w:rPr>
              <w:t>mployed by the hospital</w:t>
            </w:r>
          </w:p>
          <w:p w14:paraId="6F9E1366"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Temporary staff who are not employed by the hospital (i.e., contracted/agency staff)</w:t>
            </w:r>
          </w:p>
          <w:p w14:paraId="1E5B3342"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Float staff who are assigned to a unit other than their unit of employment on an as-needed basis if they are assigned direct patient care responsibilities</w:t>
            </w:r>
          </w:p>
          <w:p w14:paraId="2BCA208D" w14:textId="77777777" w:rsidR="00D0444E" w:rsidRPr="00F94E13" w:rsidRDefault="00D0444E" w:rsidP="00AD309C">
            <w:pPr>
              <w:pStyle w:val="ListParagraph"/>
              <w:numPr>
                <w:ilvl w:val="0"/>
                <w:numId w:val="375"/>
              </w:numPr>
              <w:autoSpaceDE w:val="0"/>
              <w:autoSpaceDN w:val="0"/>
              <w:adjustRightInd w:val="0"/>
              <w:rPr>
                <w:rFonts w:cs="Arial"/>
              </w:rPr>
            </w:pPr>
            <w:r w:rsidRPr="00F94E13">
              <w:rPr>
                <w:rFonts w:cs="Arial"/>
              </w:rPr>
              <w:t xml:space="preserve">Staff who are counted in the unit’s staffing matrix, are replaced if they call </w:t>
            </w:r>
            <w:r>
              <w:rPr>
                <w:rFonts w:cs="Arial"/>
              </w:rPr>
              <w:t>out</w:t>
            </w:r>
            <w:r w:rsidRPr="00F94E13">
              <w:rPr>
                <w:rFonts w:cs="Arial"/>
              </w:rPr>
              <w:t xml:space="preserve"> sick, and whose work hours are charged to the unit’s cost center</w:t>
            </w:r>
          </w:p>
          <w:p w14:paraId="044F9632" w14:textId="77777777" w:rsidR="00D0444E" w:rsidRPr="00153B88" w:rsidRDefault="00D0444E" w:rsidP="00D73F6A">
            <w:pPr>
              <w:autoSpaceDE w:val="0"/>
              <w:autoSpaceDN w:val="0"/>
              <w:adjustRightInd w:val="0"/>
              <w:rPr>
                <w:rFonts w:cs="Arial"/>
              </w:rPr>
            </w:pPr>
          </w:p>
          <w:p w14:paraId="7C41AEE3" w14:textId="77777777" w:rsidR="00D0444E" w:rsidRPr="00153B88" w:rsidRDefault="00D0444E" w:rsidP="00D73F6A">
            <w:pPr>
              <w:autoSpaceDE w:val="0"/>
              <w:autoSpaceDN w:val="0"/>
              <w:adjustRightInd w:val="0"/>
              <w:rPr>
                <w:rFonts w:cs="Arial"/>
              </w:rPr>
            </w:pPr>
            <w:r w:rsidRPr="00A831FC">
              <w:rPr>
                <w:rFonts w:cs="Arial"/>
                <w:b/>
                <w:bCs/>
              </w:rPr>
              <w:t>Exclude</w:t>
            </w:r>
            <w:r w:rsidRPr="00A831FC">
              <w:rPr>
                <w:rFonts w:cs="Arial"/>
              </w:rPr>
              <w:t xml:space="preserve"> </w:t>
            </w:r>
            <w:r>
              <w:rPr>
                <w:rFonts w:cs="Arial"/>
              </w:rPr>
              <w:t xml:space="preserve">the following </w:t>
            </w:r>
            <w:r w:rsidRPr="00A831FC">
              <w:rPr>
                <w:rFonts w:cs="Arial"/>
              </w:rPr>
              <w:t>RN, LPN/LVN, and UAP nursing staff</w:t>
            </w:r>
            <w:r w:rsidRPr="00153B88">
              <w:rPr>
                <w:rFonts w:cs="Arial"/>
              </w:rPr>
              <w:t>:</w:t>
            </w:r>
          </w:p>
          <w:p w14:paraId="7EDF398A" w14:textId="77777777" w:rsidR="00D0444E" w:rsidRPr="00E92A29" w:rsidRDefault="00D0444E" w:rsidP="00AD309C">
            <w:pPr>
              <w:pStyle w:val="ListParagraph"/>
              <w:numPr>
                <w:ilvl w:val="0"/>
                <w:numId w:val="376"/>
              </w:numPr>
              <w:autoSpaceDE w:val="0"/>
              <w:autoSpaceDN w:val="0"/>
              <w:adjustRightInd w:val="0"/>
              <w:rPr>
                <w:rFonts w:cs="Arial"/>
              </w:rPr>
            </w:pPr>
            <w:r>
              <w:rPr>
                <w:rFonts w:cs="Arial"/>
              </w:rPr>
              <w:t xml:space="preserve">Nursing staff </w:t>
            </w:r>
            <w:r w:rsidRPr="00E92A29">
              <w:rPr>
                <w:rFonts w:cs="Arial"/>
              </w:rPr>
              <w:t>whose primary responsibility is administrative in nature (at least 50% of their time is administrative)</w:t>
            </w:r>
          </w:p>
          <w:p w14:paraId="54AF65BB" w14:textId="77777777" w:rsidR="00D0444E" w:rsidRPr="00E92A29" w:rsidRDefault="00D0444E" w:rsidP="00AD309C">
            <w:pPr>
              <w:pStyle w:val="ListParagraph"/>
              <w:numPr>
                <w:ilvl w:val="0"/>
                <w:numId w:val="376"/>
              </w:numPr>
              <w:autoSpaceDE w:val="0"/>
              <w:autoSpaceDN w:val="0"/>
              <w:adjustRightInd w:val="0"/>
              <w:rPr>
                <w:rFonts w:cs="Arial"/>
              </w:rPr>
            </w:pPr>
            <w:r w:rsidRPr="00E92A29">
              <w:rPr>
                <w:rFonts w:cs="Arial"/>
              </w:rPr>
              <w:t>Specialty teams, patient educators, or case managers who are not assigned to a specific unit</w:t>
            </w:r>
          </w:p>
          <w:p w14:paraId="67DEA7D9" w14:textId="77777777" w:rsidR="00D0444E" w:rsidRPr="00E92A29" w:rsidRDefault="00D0444E" w:rsidP="00AD309C">
            <w:pPr>
              <w:pStyle w:val="ListParagraph"/>
              <w:numPr>
                <w:ilvl w:val="0"/>
                <w:numId w:val="376"/>
              </w:numPr>
              <w:autoSpaceDE w:val="0"/>
              <w:autoSpaceDN w:val="0"/>
              <w:adjustRightInd w:val="0"/>
              <w:rPr>
                <w:rFonts w:cs="Arial"/>
              </w:rPr>
            </w:pPr>
            <w:r w:rsidRPr="00E92A29">
              <w:rPr>
                <w:rFonts w:cs="Arial"/>
              </w:rPr>
              <w:t>Unit secretaries or clerks, monitor technicians, and others with no direct patient care responsibilities</w:t>
            </w:r>
          </w:p>
          <w:p w14:paraId="63DA25C4" w14:textId="77777777" w:rsidR="00D0444E" w:rsidRDefault="00D0444E" w:rsidP="00AD309C">
            <w:pPr>
              <w:pStyle w:val="ListParagraph"/>
              <w:numPr>
                <w:ilvl w:val="0"/>
                <w:numId w:val="376"/>
              </w:numPr>
              <w:autoSpaceDE w:val="0"/>
              <w:autoSpaceDN w:val="0"/>
              <w:adjustRightInd w:val="0"/>
              <w:rPr>
                <w:rFonts w:cs="Arial"/>
              </w:rPr>
            </w:pPr>
            <w:r w:rsidRPr="00E92A29">
              <w:rPr>
                <w:rFonts w:cs="Arial"/>
              </w:rPr>
              <w:t>Advanced Practice Registered Nurses (APRNs), including certified nurse-midwife (CNM), clinical nurse specialist (CNS), certified nurse practitioner (CNP), and certified registered nurse anesthetist (CRNA)</w:t>
            </w:r>
          </w:p>
          <w:p w14:paraId="42E7CCA9" w14:textId="77777777" w:rsidR="00D0444E" w:rsidRPr="003A5BED" w:rsidRDefault="00D0444E" w:rsidP="00D73F6A">
            <w:pPr>
              <w:autoSpaceDE w:val="0"/>
              <w:autoSpaceDN w:val="0"/>
              <w:adjustRightInd w:val="0"/>
              <w:rPr>
                <w:rFonts w:cs="Arial"/>
                <w:i/>
                <w:iCs/>
              </w:rPr>
            </w:pPr>
          </w:p>
          <w:p w14:paraId="51A33DEB" w14:textId="47CBC122" w:rsidR="00D0444E" w:rsidRPr="003A5BED" w:rsidRDefault="00DD04D6" w:rsidP="00D73F6A">
            <w:pPr>
              <w:pStyle w:val="Heading6"/>
              <w:rPr>
                <w:rFonts w:eastAsiaTheme="minorHAnsi"/>
                <w:bCs/>
                <w:i/>
                <w:iCs/>
              </w:rPr>
            </w:pPr>
            <w:r>
              <w:rPr>
                <w:rFonts w:ascii="ZWAdobeF" w:eastAsiaTheme="minorHAnsi" w:hAnsi="ZWAdobeF" w:cs="ZWAdobeF"/>
                <w:b w:val="0"/>
                <w:bCs/>
                <w:iCs/>
                <w:color w:val="auto"/>
                <w:sz w:val="2"/>
                <w:szCs w:val="2"/>
              </w:rPr>
              <w:t>4B</w:t>
            </w:r>
            <w:r w:rsidR="00953060">
              <w:rPr>
                <w:rFonts w:ascii="ZWAdobeF" w:eastAsiaTheme="minorHAnsi" w:hAnsi="ZWAdobeF" w:cs="ZWAdobeF"/>
                <w:b w:val="0"/>
                <w:bCs/>
                <w:iCs/>
                <w:color w:val="auto"/>
                <w:sz w:val="2"/>
                <w:szCs w:val="2"/>
              </w:rPr>
              <w:t>4B</w:t>
            </w:r>
            <w:r w:rsidR="00E453C7">
              <w:rPr>
                <w:rFonts w:ascii="ZWAdobeF" w:eastAsiaTheme="minorHAnsi" w:hAnsi="ZWAdobeF" w:cs="ZWAdobeF"/>
                <w:b w:val="0"/>
                <w:bCs/>
                <w:iCs/>
                <w:color w:val="auto"/>
                <w:sz w:val="2"/>
                <w:szCs w:val="2"/>
              </w:rPr>
              <w:t>4B</w:t>
            </w:r>
            <w:r w:rsidR="006255A6">
              <w:rPr>
                <w:rFonts w:ascii="ZWAdobeF" w:eastAsiaTheme="minorHAnsi" w:hAnsi="ZWAdobeF" w:cs="ZWAdobeF"/>
                <w:b w:val="0"/>
                <w:bCs/>
                <w:iCs/>
                <w:color w:val="auto"/>
                <w:sz w:val="2"/>
                <w:szCs w:val="2"/>
              </w:rPr>
              <w:t>4B</w:t>
            </w:r>
            <w:r w:rsidR="00B55C41">
              <w:rPr>
                <w:rFonts w:ascii="ZWAdobeF" w:eastAsiaTheme="minorHAnsi" w:hAnsi="ZWAdobeF" w:cs="ZWAdobeF"/>
                <w:b w:val="0"/>
                <w:bCs/>
                <w:iCs/>
                <w:color w:val="auto"/>
                <w:sz w:val="2"/>
                <w:szCs w:val="2"/>
              </w:rPr>
              <w:t>4B</w:t>
            </w:r>
            <w:r w:rsidR="00C2087D">
              <w:rPr>
                <w:rFonts w:ascii="ZWAdobeF" w:eastAsiaTheme="minorHAnsi" w:hAnsi="ZWAdobeF" w:cs="ZWAdobeF"/>
                <w:b w:val="0"/>
                <w:bCs/>
                <w:iCs/>
                <w:color w:val="auto"/>
                <w:sz w:val="2"/>
                <w:szCs w:val="2"/>
              </w:rPr>
              <w:t>4B</w:t>
            </w:r>
            <w:r w:rsidR="004C7557">
              <w:rPr>
                <w:rFonts w:ascii="ZWAdobeF" w:eastAsiaTheme="minorHAnsi" w:hAnsi="ZWAdobeF" w:cs="ZWAdobeF"/>
                <w:b w:val="0"/>
                <w:bCs/>
                <w:iCs/>
                <w:color w:val="auto"/>
                <w:sz w:val="2"/>
                <w:szCs w:val="2"/>
              </w:rPr>
              <w:t>4B</w:t>
            </w:r>
            <w:r w:rsidR="00BF053F">
              <w:rPr>
                <w:rFonts w:ascii="ZWAdobeF" w:eastAsiaTheme="minorHAnsi" w:hAnsi="ZWAdobeF" w:cs="ZWAdobeF"/>
                <w:b w:val="0"/>
                <w:bCs/>
                <w:iCs/>
                <w:color w:val="auto"/>
                <w:sz w:val="2"/>
                <w:szCs w:val="2"/>
              </w:rPr>
              <w:t>4B</w:t>
            </w:r>
            <w:r w:rsidR="00D0444E" w:rsidRPr="003A5BED">
              <w:rPr>
                <w:rFonts w:eastAsiaTheme="minorHAnsi"/>
                <w:b w:val="0"/>
                <w:bCs/>
                <w:i/>
                <w:iCs/>
              </w:rPr>
              <w:t>A UAP is any unlicensed person, regardless of title, who performs tasks delegated by a nurse. This includes certified nursing aides/assistants (CNAs), patient care assistants (PCAs), patient care technicians (PCTs), state-tested nursing assistants (STNA), nursing assistants-registered (NA/Rs) or certified medication aides/assistants (MA-Cs).</w:t>
            </w:r>
          </w:p>
          <w:p w14:paraId="7E8B47FE" w14:textId="77777777" w:rsidR="00D0444E" w:rsidRDefault="00D0444E" w:rsidP="00D73F6A">
            <w:pPr>
              <w:autoSpaceDE w:val="0"/>
              <w:autoSpaceDN w:val="0"/>
              <w:adjustRightInd w:val="0"/>
              <w:rPr>
                <w:rFonts w:cs="Arial"/>
              </w:rPr>
            </w:pPr>
          </w:p>
          <w:p w14:paraId="4055E37E" w14:textId="77777777" w:rsidR="00D0444E" w:rsidRPr="00591EAA" w:rsidRDefault="00D0444E" w:rsidP="00D73F6A">
            <w:pPr>
              <w:autoSpaceDE w:val="0"/>
              <w:autoSpaceDN w:val="0"/>
              <w:adjustRightInd w:val="0"/>
              <w:rPr>
                <w:rFonts w:eastAsiaTheme="minorHAnsi" w:cs="Arial"/>
                <w:b/>
                <w:bCs/>
                <w:kern w:val="2"/>
                <w:u w:val="single"/>
                <w14:ligatures w14:val="standardContextual"/>
              </w:rPr>
            </w:pPr>
            <w:r w:rsidRPr="00591EAA">
              <w:rPr>
                <w:rFonts w:eastAsiaTheme="minorHAnsi" w:cs="Arial"/>
                <w:b/>
                <w:bCs/>
                <w:kern w:val="2"/>
                <w:u w:val="single"/>
                <w14:ligatures w14:val="standardContextual"/>
              </w:rPr>
              <w:t xml:space="preserve">Direct Patient Care Responsibilities </w:t>
            </w:r>
          </w:p>
          <w:p w14:paraId="3A053B4E" w14:textId="77777777" w:rsidR="00D0444E" w:rsidRPr="00BB3760" w:rsidRDefault="00D0444E" w:rsidP="00D73F6A">
            <w:pPr>
              <w:autoSpaceDE w:val="0"/>
              <w:autoSpaceDN w:val="0"/>
              <w:adjustRightInd w:val="0"/>
              <w:rPr>
                <w:rFonts w:cs="Arial"/>
              </w:rPr>
            </w:pPr>
          </w:p>
          <w:p w14:paraId="75C0F3B4" w14:textId="77777777" w:rsidR="00D0444E" w:rsidRPr="00BB3760" w:rsidRDefault="00D0444E" w:rsidP="00D73F6A">
            <w:pPr>
              <w:autoSpaceDE w:val="0"/>
              <w:autoSpaceDN w:val="0"/>
              <w:adjustRightInd w:val="0"/>
              <w:rPr>
                <w:rFonts w:cs="Arial"/>
              </w:rPr>
            </w:pPr>
            <w:r w:rsidRPr="00A831FC">
              <w:rPr>
                <w:rFonts w:cs="Arial"/>
                <w:b/>
                <w:bCs/>
              </w:rPr>
              <w:t>Direct Patient Care Responsibilities</w:t>
            </w:r>
            <w:r w:rsidRPr="00BB3760">
              <w:rPr>
                <w:rFonts w:cs="Arial"/>
              </w:rPr>
              <w:t xml:space="preserve"> are defined as patient centered nursing activities by hospital unit-based staff in the presence of the patient and activities that occur away from the patient that are patient related:</w:t>
            </w:r>
          </w:p>
          <w:p w14:paraId="06522E77"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Medication administration</w:t>
            </w:r>
          </w:p>
          <w:p w14:paraId="19CD3844"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Nursing treatments</w:t>
            </w:r>
          </w:p>
          <w:p w14:paraId="70F4428C"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Nursing rounds</w:t>
            </w:r>
          </w:p>
          <w:p w14:paraId="65A9D763"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Admission, transfer, discharge activities</w:t>
            </w:r>
          </w:p>
          <w:p w14:paraId="3FB8EBC6"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Patient teaching</w:t>
            </w:r>
          </w:p>
          <w:p w14:paraId="3439D99B"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Patient communication</w:t>
            </w:r>
          </w:p>
          <w:p w14:paraId="2A5DDE82"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Coordination of patient care</w:t>
            </w:r>
          </w:p>
          <w:p w14:paraId="6E2DFAD7" w14:textId="77777777" w:rsidR="00D0444E" w:rsidRPr="00CE79E2" w:rsidRDefault="00D0444E" w:rsidP="00AD309C">
            <w:pPr>
              <w:pStyle w:val="ListParagraph"/>
              <w:numPr>
                <w:ilvl w:val="0"/>
                <w:numId w:val="377"/>
              </w:numPr>
              <w:autoSpaceDE w:val="0"/>
              <w:autoSpaceDN w:val="0"/>
              <w:adjustRightInd w:val="0"/>
              <w:rPr>
                <w:rFonts w:cs="Arial"/>
              </w:rPr>
            </w:pPr>
            <w:r w:rsidRPr="00CE79E2">
              <w:rPr>
                <w:rFonts w:cs="Arial"/>
              </w:rPr>
              <w:t>Documentation time</w:t>
            </w:r>
          </w:p>
          <w:p w14:paraId="74FCED3C" w14:textId="77777777" w:rsidR="00D0444E" w:rsidRDefault="00D0444E" w:rsidP="00AD309C">
            <w:pPr>
              <w:pStyle w:val="ListParagraph"/>
              <w:numPr>
                <w:ilvl w:val="0"/>
                <w:numId w:val="377"/>
              </w:numPr>
              <w:autoSpaceDE w:val="0"/>
              <w:autoSpaceDN w:val="0"/>
              <w:adjustRightInd w:val="0"/>
              <w:rPr>
                <w:rFonts w:cs="Arial"/>
              </w:rPr>
            </w:pPr>
            <w:r w:rsidRPr="00CE79E2">
              <w:rPr>
                <w:rFonts w:cs="Arial"/>
              </w:rPr>
              <w:t>Treatment planning</w:t>
            </w:r>
          </w:p>
          <w:p w14:paraId="2625FCA0" w14:textId="77777777" w:rsidR="00D0444E" w:rsidRPr="00C41959" w:rsidRDefault="00D0444E" w:rsidP="00AD309C">
            <w:pPr>
              <w:pStyle w:val="ListParagraph"/>
              <w:numPr>
                <w:ilvl w:val="0"/>
                <w:numId w:val="377"/>
              </w:numPr>
              <w:autoSpaceDE w:val="0"/>
              <w:autoSpaceDN w:val="0"/>
              <w:adjustRightInd w:val="0"/>
              <w:rPr>
                <w:rFonts w:cs="Arial"/>
              </w:rPr>
            </w:pPr>
            <w:r w:rsidRPr="00C41959">
              <w:rPr>
                <w:rFonts w:cs="Arial"/>
              </w:rPr>
              <w:t>Patient screening (e.g., fall risk) and assessment</w:t>
            </w:r>
          </w:p>
        </w:tc>
      </w:tr>
      <w:tr w:rsidR="00D0444E" w14:paraId="438AF82D" w14:textId="77777777" w:rsidTr="00D73F6A">
        <w:tc>
          <w:tcPr>
            <w:tcW w:w="9350" w:type="dxa"/>
          </w:tcPr>
          <w:p w14:paraId="70E8E23A" w14:textId="634FEF72" w:rsidR="00D0444E" w:rsidRPr="00BB3760" w:rsidRDefault="00D0444E" w:rsidP="00D73F6A">
            <w:pPr>
              <w:autoSpaceDE w:val="0"/>
              <w:autoSpaceDN w:val="0"/>
              <w:adjustRightInd w:val="0"/>
              <w:rPr>
                <w:rFonts w:cs="Arial"/>
              </w:rPr>
            </w:pPr>
            <w:r w:rsidRPr="0086796B">
              <w:rPr>
                <w:rFonts w:cs="Arial"/>
                <w:b/>
                <w:bCs/>
              </w:rPr>
              <w:lastRenderedPageBreak/>
              <w:t>Questions #</w:t>
            </w:r>
            <w:r w:rsidR="00F34434">
              <w:rPr>
                <w:rFonts w:cs="Arial"/>
                <w:b/>
                <w:bCs/>
              </w:rPr>
              <w:t>9</w:t>
            </w:r>
            <w:r w:rsidRPr="0086796B">
              <w:rPr>
                <w:rFonts w:cs="Arial"/>
                <w:b/>
                <w:bCs/>
              </w:rPr>
              <w:t>(c):</w:t>
            </w:r>
            <w:r w:rsidRPr="00BB3760">
              <w:rPr>
                <w:rFonts w:cs="Arial"/>
              </w:rPr>
              <w:t xml:space="preserve"> Total number of productive hours worked by </w:t>
            </w:r>
            <w:r w:rsidRPr="003E08DF">
              <w:rPr>
                <w:rFonts w:cs="Arial"/>
                <w:b/>
                <w:bCs/>
              </w:rPr>
              <w:t>RN nursing staff</w:t>
            </w:r>
            <w:r w:rsidRPr="00BB3760">
              <w:rPr>
                <w:rFonts w:cs="Arial"/>
              </w:rPr>
              <w:t xml:space="preserve"> with direct patient care responsibilities in all </w:t>
            </w:r>
            <w:r>
              <w:rPr>
                <w:rFonts w:cs="Arial"/>
              </w:rPr>
              <w:t>adult and pediatric single acuity</w:t>
            </w:r>
            <w:r w:rsidRPr="00BB3760">
              <w:rPr>
                <w:rFonts w:cs="Arial"/>
              </w:rPr>
              <w:t xml:space="preserve"> </w:t>
            </w:r>
            <w:r w:rsidRPr="0052798E">
              <w:rPr>
                <w:rFonts w:cs="Arial"/>
                <w:b/>
                <w:bCs/>
              </w:rPr>
              <w:t>Med-Surg Units</w:t>
            </w:r>
            <w:r>
              <w:rPr>
                <w:rFonts w:cs="Arial"/>
              </w:rPr>
              <w:t xml:space="preserve"> </w:t>
            </w:r>
            <w:r w:rsidRPr="00BB3760">
              <w:rPr>
                <w:rFonts w:cs="Arial"/>
              </w:rPr>
              <w:t>in each quarter.</w:t>
            </w:r>
          </w:p>
          <w:p w14:paraId="313BD11E" w14:textId="77777777" w:rsidR="00D0444E" w:rsidRPr="00BB3760" w:rsidRDefault="00D0444E" w:rsidP="00D73F6A">
            <w:pPr>
              <w:autoSpaceDE w:val="0"/>
              <w:autoSpaceDN w:val="0"/>
              <w:adjustRightInd w:val="0"/>
              <w:rPr>
                <w:rFonts w:cs="Arial"/>
              </w:rPr>
            </w:pPr>
          </w:p>
          <w:p w14:paraId="5ED24416" w14:textId="0991D656" w:rsidR="00D0444E" w:rsidRPr="0086796B" w:rsidRDefault="00D0444E" w:rsidP="00D73F6A">
            <w:pPr>
              <w:autoSpaceDE w:val="0"/>
              <w:autoSpaceDN w:val="0"/>
              <w:adjustRightInd w:val="0"/>
              <w:rPr>
                <w:rFonts w:cs="Arial"/>
                <w:b/>
                <w:bCs/>
              </w:rPr>
            </w:pPr>
            <w:r w:rsidRPr="00A831FC">
              <w:rPr>
                <w:rFonts w:cs="Arial"/>
                <w:b/>
                <w:bCs/>
              </w:rPr>
              <w:t>Include</w:t>
            </w:r>
            <w:r>
              <w:rPr>
                <w:rFonts w:cs="Arial"/>
              </w:rPr>
              <w:t xml:space="preserve"> t</w:t>
            </w:r>
            <w:r w:rsidRPr="00612120">
              <w:rPr>
                <w:rFonts w:cs="Arial"/>
              </w:rPr>
              <w:t xml:space="preserve">he </w:t>
            </w:r>
            <w:r>
              <w:rPr>
                <w:rFonts w:cs="Arial"/>
              </w:rPr>
              <w:t xml:space="preserve">total </w:t>
            </w:r>
            <w:r w:rsidRPr="00612120">
              <w:rPr>
                <w:rFonts w:cs="Arial"/>
              </w:rPr>
              <w:t>number of</w:t>
            </w:r>
            <w:r>
              <w:rPr>
                <w:rFonts w:cs="Arial"/>
              </w:rPr>
              <w:t xml:space="preserve"> productive work hours worked by RN nursing staff ONLY from question </w:t>
            </w:r>
            <w:r w:rsidR="00F34434">
              <w:rPr>
                <w:rFonts w:cs="Arial"/>
              </w:rPr>
              <w:t>9</w:t>
            </w:r>
            <w:r>
              <w:rPr>
                <w:rFonts w:cs="Arial"/>
              </w:rPr>
              <w:t xml:space="preserve">b. </w:t>
            </w:r>
          </w:p>
        </w:tc>
      </w:tr>
    </w:tbl>
    <w:p w14:paraId="455FBDAC" w14:textId="77777777" w:rsidR="00D0444E" w:rsidRDefault="00D0444E" w:rsidP="00D0444E"/>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7"/>
      </w:tblGrid>
      <w:tr w:rsidR="00D0444E" w:rsidRPr="00BB3760" w14:paraId="605BC6E1" w14:textId="77777777" w:rsidTr="00D73F6A">
        <w:trPr>
          <w:trHeight w:val="288"/>
          <w:jc w:val="center"/>
        </w:trPr>
        <w:tc>
          <w:tcPr>
            <w:tcW w:w="9387" w:type="dxa"/>
            <w:shd w:val="clear" w:color="auto" w:fill="BFBFBF" w:themeFill="background1" w:themeFillShade="BF"/>
            <w:vAlign w:val="center"/>
          </w:tcPr>
          <w:p w14:paraId="04FC5BD6" w14:textId="2AD4FBC7" w:rsidR="00D0444E" w:rsidRPr="0001518E" w:rsidRDefault="00DD04D6" w:rsidP="00D73F6A">
            <w:pPr>
              <w:pStyle w:val="Heading6"/>
            </w:pPr>
            <w:r>
              <w:rPr>
                <w:rFonts w:ascii="ZWAdobeF" w:hAnsi="ZWAdobeF" w:cs="ZWAdobeF"/>
                <w:b w:val="0"/>
                <w:color w:val="auto"/>
                <w:sz w:val="2"/>
                <w:szCs w:val="2"/>
              </w:rPr>
              <w:lastRenderedPageBreak/>
              <w:t>5B</w:t>
            </w:r>
            <w:r w:rsidR="00953060">
              <w:rPr>
                <w:rFonts w:ascii="ZWAdobeF" w:hAnsi="ZWAdobeF" w:cs="ZWAdobeF"/>
                <w:b w:val="0"/>
                <w:color w:val="auto"/>
                <w:sz w:val="2"/>
                <w:szCs w:val="2"/>
              </w:rPr>
              <w:t>5B</w:t>
            </w:r>
            <w:r w:rsidR="00E453C7">
              <w:rPr>
                <w:rFonts w:ascii="ZWAdobeF" w:hAnsi="ZWAdobeF" w:cs="ZWAdobeF"/>
                <w:b w:val="0"/>
                <w:color w:val="auto"/>
                <w:sz w:val="2"/>
                <w:szCs w:val="2"/>
              </w:rPr>
              <w:t>5B</w:t>
            </w:r>
            <w:r w:rsidR="006255A6">
              <w:rPr>
                <w:rFonts w:ascii="ZWAdobeF" w:hAnsi="ZWAdobeF" w:cs="ZWAdobeF"/>
                <w:b w:val="0"/>
                <w:color w:val="auto"/>
                <w:sz w:val="2"/>
                <w:szCs w:val="2"/>
              </w:rPr>
              <w:t>5B</w:t>
            </w:r>
            <w:r w:rsidR="00B55C41">
              <w:rPr>
                <w:rFonts w:ascii="ZWAdobeF" w:hAnsi="ZWAdobeF" w:cs="ZWAdobeF"/>
                <w:b w:val="0"/>
                <w:color w:val="auto"/>
                <w:sz w:val="2"/>
                <w:szCs w:val="2"/>
              </w:rPr>
              <w:t>5B</w:t>
            </w:r>
            <w:r w:rsidR="00C2087D">
              <w:rPr>
                <w:rFonts w:ascii="ZWAdobeF" w:hAnsi="ZWAdobeF" w:cs="ZWAdobeF"/>
                <w:b w:val="0"/>
                <w:color w:val="auto"/>
                <w:sz w:val="2"/>
                <w:szCs w:val="2"/>
              </w:rPr>
              <w:t>5B</w:t>
            </w:r>
            <w:r w:rsidR="004C7557">
              <w:rPr>
                <w:rFonts w:ascii="ZWAdobeF" w:hAnsi="ZWAdobeF" w:cs="ZWAdobeF"/>
                <w:b w:val="0"/>
                <w:color w:val="auto"/>
                <w:sz w:val="2"/>
                <w:szCs w:val="2"/>
              </w:rPr>
              <w:t>5B</w:t>
            </w:r>
            <w:r w:rsidR="00BF053F">
              <w:rPr>
                <w:rFonts w:ascii="ZWAdobeF" w:hAnsi="ZWAdobeF" w:cs="ZWAdobeF"/>
                <w:b w:val="0"/>
                <w:color w:val="auto"/>
                <w:sz w:val="2"/>
                <w:szCs w:val="2"/>
              </w:rPr>
              <w:t>5B</w:t>
            </w:r>
            <w:bookmarkStart w:id="439" w:name="mixedacuityspecs"/>
            <w:bookmarkEnd w:id="439"/>
            <w:r w:rsidR="00D0444E" w:rsidRPr="0001518E">
              <w:t>Mixed Acuity Adult or Pediatric Medical, Surgical, or Med-Surg Units (questions #1</w:t>
            </w:r>
            <w:r w:rsidR="00DB0BB1">
              <w:t>0</w:t>
            </w:r>
            <w:r w:rsidR="00D0444E" w:rsidRPr="0001518E">
              <w:t>-1</w:t>
            </w:r>
            <w:r w:rsidR="00DB0BB1">
              <w:t>2</w:t>
            </w:r>
            <w:r w:rsidR="00D0444E" w:rsidRPr="0001518E">
              <w:t>)</w:t>
            </w:r>
          </w:p>
        </w:tc>
      </w:tr>
      <w:tr w:rsidR="00010550" w:rsidRPr="00BB3760" w14:paraId="1CA66B03" w14:textId="77777777" w:rsidTr="00D73F6A">
        <w:trPr>
          <w:jc w:val="center"/>
        </w:trPr>
        <w:tc>
          <w:tcPr>
            <w:tcW w:w="9387" w:type="dxa"/>
            <w:vAlign w:val="center"/>
          </w:tcPr>
          <w:p w14:paraId="3B14C632" w14:textId="77777777" w:rsidR="00DB0BB1" w:rsidRDefault="00DB0BB1" w:rsidP="00DB0BB1">
            <w:pPr>
              <w:rPr>
                <w:rFonts w:cs="Arial"/>
                <w:b/>
                <w:bCs/>
              </w:rPr>
            </w:pPr>
            <w:r>
              <w:rPr>
                <w:rFonts w:cs="Arial"/>
                <w:b/>
                <w:bCs/>
              </w:rPr>
              <w:t>Question #10: D</w:t>
            </w:r>
            <w:r w:rsidRPr="00B67426">
              <w:rPr>
                <w:rFonts w:cs="Arial"/>
                <w:b/>
                <w:bCs/>
              </w:rPr>
              <w:t xml:space="preserve">oes your hospital operate at least one adult or pediatric mixed acuity Medical, Surgical, or Med-Surg Unit? </w:t>
            </w:r>
          </w:p>
          <w:p w14:paraId="27044448" w14:textId="77777777" w:rsidR="00DB0BB1" w:rsidRDefault="00DB0BB1" w:rsidP="00DB0BB1">
            <w:pPr>
              <w:rPr>
                <w:rFonts w:cs="Arial"/>
                <w:b/>
                <w:bCs/>
              </w:rPr>
            </w:pPr>
          </w:p>
          <w:p w14:paraId="69BC4902" w14:textId="77777777" w:rsidR="00DB0BB1" w:rsidRPr="00F51B1C" w:rsidRDefault="00DB0BB1" w:rsidP="00DB0BB1">
            <w:pPr>
              <w:rPr>
                <w:rFonts w:cs="Arial"/>
              </w:rPr>
            </w:pPr>
            <w:r w:rsidRPr="00F51B1C">
              <w:rPr>
                <w:rFonts w:cs="Arial"/>
              </w:rPr>
              <w:t xml:space="preserve">Leapfrog has aligned with the National Database of Nursing Quality Indicators’ (NDNQI) unit definitions below.   </w:t>
            </w:r>
          </w:p>
          <w:p w14:paraId="7749BD2C" w14:textId="77777777" w:rsidR="00DB0BB1" w:rsidRDefault="00DB0BB1" w:rsidP="00DB0BB1">
            <w:pPr>
              <w:rPr>
                <w:rFonts w:cs="Arial"/>
                <w:b/>
                <w:bCs/>
              </w:rPr>
            </w:pPr>
          </w:p>
          <w:p w14:paraId="62EB2CF4" w14:textId="77777777" w:rsidR="00DB0BB1" w:rsidRDefault="00DB0BB1" w:rsidP="00DB0BB1">
            <w:pPr>
              <w:rPr>
                <w:rFonts w:cs="Arial"/>
                <w:b/>
                <w:bCs/>
              </w:rPr>
            </w:pPr>
            <w:r w:rsidRPr="00B67426">
              <w:rPr>
                <w:rFonts w:cs="Arial"/>
                <w:b/>
                <w:bCs/>
              </w:rPr>
              <w:t xml:space="preserve">Mixed Acuity Medical, Surgical and Med-Surg Units (adult and pediatric): </w:t>
            </w:r>
          </w:p>
          <w:p w14:paraId="73288319" w14:textId="77777777" w:rsidR="00DB0BB1" w:rsidRDefault="00DB0BB1" w:rsidP="00DB0BB1">
            <w:pPr>
              <w:rPr>
                <w:rFonts w:cs="Arial"/>
              </w:rPr>
            </w:pPr>
            <w:r w:rsidRPr="00F51B1C">
              <w:rPr>
                <w:rFonts w:cs="Arial"/>
              </w:rPr>
              <w:t xml:space="preserve">A unit where more than 10% of patients receive varying levels of care.  </w:t>
            </w:r>
          </w:p>
          <w:p w14:paraId="743A5CF3" w14:textId="77777777" w:rsidR="00DB0BB1" w:rsidRDefault="00DB0BB1" w:rsidP="00DB0BB1">
            <w:pPr>
              <w:rPr>
                <w:rFonts w:cs="Arial"/>
                <w:b/>
                <w:bCs/>
              </w:rPr>
            </w:pPr>
          </w:p>
          <w:p w14:paraId="7E0CD4AE" w14:textId="77777777" w:rsidR="00DB0BB1" w:rsidRPr="00D404B5" w:rsidRDefault="00DB0BB1" w:rsidP="00DB0BB1">
            <w:pPr>
              <w:rPr>
                <w:rFonts w:cs="Arial"/>
                <w:b/>
                <w:bCs/>
              </w:rPr>
            </w:pPr>
            <w:r w:rsidRPr="00D404B5">
              <w:rPr>
                <w:rFonts w:cs="Arial"/>
                <w:b/>
                <w:bCs/>
              </w:rPr>
              <w:t xml:space="preserve">Excluded units: </w:t>
            </w:r>
          </w:p>
          <w:p w14:paraId="4D480189" w14:textId="77777777" w:rsidR="00DB0BB1" w:rsidRPr="00F51B1C" w:rsidRDefault="00DB0BB1" w:rsidP="00DB0BB1">
            <w:pPr>
              <w:rPr>
                <w:rFonts w:cs="Arial"/>
              </w:rPr>
            </w:pPr>
            <w:r w:rsidRPr="00F51B1C">
              <w:rPr>
                <w:rFonts w:cs="Arial"/>
              </w:rPr>
              <w:t xml:space="preserve">• Cardiac </w:t>
            </w:r>
          </w:p>
          <w:p w14:paraId="5E6FB504" w14:textId="77777777" w:rsidR="00DB0BB1" w:rsidRPr="00F51B1C" w:rsidRDefault="00DB0BB1" w:rsidP="00DB0BB1">
            <w:pPr>
              <w:rPr>
                <w:rFonts w:cs="Arial"/>
              </w:rPr>
            </w:pPr>
            <w:r w:rsidRPr="00F51B1C">
              <w:rPr>
                <w:rFonts w:cs="Arial"/>
              </w:rPr>
              <w:t xml:space="preserve">• Neurology </w:t>
            </w:r>
          </w:p>
          <w:p w14:paraId="29F1B6AD" w14:textId="77777777" w:rsidR="00834070" w:rsidRDefault="00DB0BB1" w:rsidP="00834070">
            <w:pPr>
              <w:rPr>
                <w:rFonts w:cs="Arial"/>
              </w:rPr>
            </w:pPr>
            <w:r w:rsidRPr="00F51B1C">
              <w:rPr>
                <w:rFonts w:cs="Arial"/>
              </w:rPr>
              <w:t xml:space="preserve">• Hematology/Oncology </w:t>
            </w:r>
          </w:p>
          <w:p w14:paraId="7D9E3A5F" w14:textId="7E7D6FD9" w:rsidR="00834070" w:rsidRPr="00834070" w:rsidRDefault="00834070" w:rsidP="00C51EE9">
            <w:pPr>
              <w:rPr>
                <w:rFonts w:cs="Arial"/>
              </w:rPr>
            </w:pPr>
            <w:r w:rsidRPr="00F51B1C">
              <w:rPr>
                <w:rFonts w:cs="Arial"/>
              </w:rPr>
              <w:t>•</w:t>
            </w:r>
            <w:r>
              <w:rPr>
                <w:rFonts w:cs="Arial"/>
              </w:rPr>
              <w:t xml:space="preserve"> </w:t>
            </w:r>
            <w:r w:rsidRPr="00834070">
              <w:rPr>
                <w:rFonts w:cs="Arial"/>
              </w:rPr>
              <w:t>Neonatal</w:t>
            </w:r>
          </w:p>
          <w:p w14:paraId="3A32517D" w14:textId="2AF2BB01" w:rsidR="00834070" w:rsidRPr="00834070" w:rsidRDefault="00834070" w:rsidP="00C51EE9">
            <w:pPr>
              <w:rPr>
                <w:rFonts w:cs="Arial"/>
              </w:rPr>
            </w:pPr>
            <w:r w:rsidRPr="00F51B1C">
              <w:rPr>
                <w:rFonts w:cs="Arial"/>
              </w:rPr>
              <w:t>•</w:t>
            </w:r>
            <w:r>
              <w:rPr>
                <w:rFonts w:cs="Arial"/>
              </w:rPr>
              <w:t xml:space="preserve"> </w:t>
            </w:r>
            <w:r w:rsidRPr="00834070">
              <w:rPr>
                <w:rFonts w:cs="Arial"/>
              </w:rPr>
              <w:t>Critical Care</w:t>
            </w:r>
          </w:p>
          <w:p w14:paraId="1A796F5B" w14:textId="77777777" w:rsidR="00DB0BB1" w:rsidRPr="00F51B1C" w:rsidRDefault="00DB0BB1" w:rsidP="00DB0BB1">
            <w:pPr>
              <w:rPr>
                <w:rFonts w:cs="Arial"/>
              </w:rPr>
            </w:pPr>
            <w:r w:rsidRPr="00F51B1C">
              <w:rPr>
                <w:rFonts w:cs="Arial"/>
              </w:rPr>
              <w:t xml:space="preserve">• Critical Access (a unit where more than 10% of beds are for skilled nursing (swing beds)) </w:t>
            </w:r>
          </w:p>
          <w:p w14:paraId="3FB1BAC5" w14:textId="77777777" w:rsidR="00DB0BB1" w:rsidRPr="00F51B1C" w:rsidRDefault="00DB0BB1" w:rsidP="00DB0BB1">
            <w:pPr>
              <w:rPr>
                <w:rFonts w:cs="Arial"/>
              </w:rPr>
            </w:pPr>
            <w:r w:rsidRPr="00F51B1C">
              <w:rPr>
                <w:rFonts w:cs="Arial"/>
              </w:rPr>
              <w:t xml:space="preserve">• Units with fewer than 15 patient days per month for all 3 months of any quarter of the reporting period </w:t>
            </w:r>
          </w:p>
          <w:p w14:paraId="546E0AF0" w14:textId="2056E0B3" w:rsidR="00010550" w:rsidRPr="00C41959" w:rsidRDefault="00DB0BB1" w:rsidP="00DB0BB1">
            <w:pPr>
              <w:rPr>
                <w:rFonts w:cs="Arial"/>
                <w:b/>
                <w:bCs/>
              </w:rPr>
            </w:pPr>
            <w:r w:rsidRPr="00F51B1C">
              <w:rPr>
                <w:rFonts w:cs="Arial"/>
              </w:rPr>
              <w:t>• Units that transitioned to an excluded unit type during the reporting period (e.g., a mixed acuity Medical Unit transitioned to a critical care unit during the reporting period)</w:t>
            </w:r>
          </w:p>
        </w:tc>
      </w:tr>
      <w:tr w:rsidR="00D0444E" w:rsidRPr="00BB3760" w14:paraId="045294AF" w14:textId="77777777" w:rsidTr="00D73F6A">
        <w:trPr>
          <w:jc w:val="center"/>
        </w:trPr>
        <w:tc>
          <w:tcPr>
            <w:tcW w:w="9387" w:type="dxa"/>
            <w:vAlign w:val="center"/>
          </w:tcPr>
          <w:p w14:paraId="27D8419B" w14:textId="1DDDB9C1" w:rsidR="00D0444E" w:rsidRPr="00C41959" w:rsidRDefault="00D0444E" w:rsidP="00D73F6A">
            <w:pPr>
              <w:rPr>
                <w:rFonts w:cs="Arial"/>
                <w:b/>
                <w:bCs/>
              </w:rPr>
            </w:pPr>
            <w:r w:rsidRPr="00C41959">
              <w:rPr>
                <w:rFonts w:cs="Arial"/>
                <w:b/>
                <w:bCs/>
              </w:rPr>
              <w:t>Question #1</w:t>
            </w:r>
            <w:r w:rsidR="00DB4CE9">
              <w:rPr>
                <w:rFonts w:cs="Arial"/>
                <w:b/>
                <w:bCs/>
              </w:rPr>
              <w:t>1</w:t>
            </w:r>
            <w:r w:rsidRPr="00C41959">
              <w:rPr>
                <w:rFonts w:cs="Arial"/>
                <w:b/>
                <w:bCs/>
              </w:rPr>
              <w:t>: What type(s) of adult and/or pediatric mixed acuity Medical, Surgical or Med-Surg Units does your hospital operate?</w:t>
            </w:r>
          </w:p>
          <w:p w14:paraId="2E59B259" w14:textId="77777777" w:rsidR="00D0444E" w:rsidRDefault="00D0444E" w:rsidP="00D73F6A">
            <w:pPr>
              <w:rPr>
                <w:rFonts w:cs="Arial"/>
              </w:rPr>
            </w:pPr>
          </w:p>
          <w:p w14:paraId="421BCE68" w14:textId="77777777" w:rsidR="00D0444E" w:rsidRDefault="00D0444E" w:rsidP="00D73F6A">
            <w:pPr>
              <w:autoSpaceDE w:val="0"/>
              <w:autoSpaceDN w:val="0"/>
              <w:adjustRightInd w:val="0"/>
              <w:rPr>
                <w:rFonts w:cs="Arial"/>
              </w:rPr>
            </w:pPr>
            <w:r w:rsidRPr="00B35777">
              <w:rPr>
                <w:rFonts w:cs="Arial"/>
              </w:rPr>
              <w:t xml:space="preserve">Leapfrog has aligned with the National Database of Nursing Quality Indicators’ (NDNQI) unit definitions below. </w:t>
            </w:r>
          </w:p>
          <w:p w14:paraId="3FCA4FF6" w14:textId="77777777" w:rsidR="00D0444E" w:rsidRPr="00B35777" w:rsidRDefault="00D0444E" w:rsidP="00D73F6A">
            <w:pPr>
              <w:autoSpaceDE w:val="0"/>
              <w:autoSpaceDN w:val="0"/>
              <w:adjustRightInd w:val="0"/>
              <w:rPr>
                <w:rFonts w:cs="Arial"/>
              </w:rPr>
            </w:pPr>
          </w:p>
          <w:p w14:paraId="4F6A6496" w14:textId="77777777" w:rsidR="00D0444E" w:rsidRPr="008E03C7" w:rsidRDefault="00D0444E" w:rsidP="00D73F6A">
            <w:pPr>
              <w:autoSpaceDE w:val="0"/>
              <w:autoSpaceDN w:val="0"/>
              <w:adjustRightInd w:val="0"/>
              <w:rPr>
                <w:rFonts w:cs="Arial"/>
                <w:b/>
                <w:bCs/>
              </w:rPr>
            </w:pPr>
            <w:r w:rsidRPr="008E03C7">
              <w:rPr>
                <w:rFonts w:cs="Arial"/>
                <w:b/>
                <w:bCs/>
              </w:rPr>
              <w:t>High Acuity Medical, Surgical and Med-Surg Units:</w:t>
            </w:r>
          </w:p>
          <w:p w14:paraId="3FA1AEA0" w14:textId="77777777" w:rsidR="00D0444E" w:rsidRDefault="00D0444E" w:rsidP="00D73F6A">
            <w:pPr>
              <w:autoSpaceDE w:val="0"/>
              <w:autoSpaceDN w:val="0"/>
              <w:adjustRightInd w:val="0"/>
              <w:rPr>
                <w:rFonts w:cs="Arial"/>
              </w:rPr>
            </w:pPr>
            <w:r w:rsidRPr="00451533">
              <w:rPr>
                <w:rFonts w:cs="Arial"/>
              </w:rPr>
              <w:t>A mixed acuity unit in which 50-89% of the patients are critical care and the remaining 11-49% can be any other acuity level.</w:t>
            </w:r>
          </w:p>
          <w:p w14:paraId="38B50BB0" w14:textId="77777777" w:rsidR="00D0444E" w:rsidRDefault="00D0444E" w:rsidP="00D73F6A">
            <w:pPr>
              <w:autoSpaceDE w:val="0"/>
              <w:autoSpaceDN w:val="0"/>
              <w:adjustRightInd w:val="0"/>
              <w:rPr>
                <w:rFonts w:cs="Arial"/>
              </w:rPr>
            </w:pPr>
          </w:p>
          <w:p w14:paraId="2EF13E4B" w14:textId="77777777" w:rsidR="00D0444E" w:rsidRPr="008E03C7" w:rsidRDefault="00D0444E" w:rsidP="00D73F6A">
            <w:pPr>
              <w:autoSpaceDE w:val="0"/>
              <w:autoSpaceDN w:val="0"/>
              <w:adjustRightInd w:val="0"/>
              <w:rPr>
                <w:rFonts w:cs="Arial"/>
                <w:b/>
                <w:bCs/>
              </w:rPr>
            </w:pPr>
            <w:r w:rsidRPr="008E03C7">
              <w:rPr>
                <w:rFonts w:cs="Arial"/>
                <w:b/>
                <w:bCs/>
              </w:rPr>
              <w:t>Moderate Acuity Medical, Surgical and Med-Surg Units:</w:t>
            </w:r>
          </w:p>
          <w:p w14:paraId="77EF9A16" w14:textId="7B500C4B" w:rsidR="00D0444E" w:rsidRPr="00451533" w:rsidRDefault="00D0444E" w:rsidP="00D73F6A">
            <w:pPr>
              <w:autoSpaceDE w:val="0"/>
              <w:autoSpaceDN w:val="0"/>
              <w:adjustRightInd w:val="0"/>
              <w:rPr>
                <w:rFonts w:cs="Arial"/>
              </w:rPr>
            </w:pPr>
            <w:r w:rsidRPr="00451533">
              <w:rPr>
                <w:rFonts w:cs="Arial"/>
              </w:rPr>
              <w:t>A mixed acuity unit in which 25-49% of the patients are critical care OR 50-89% of the patients are step down care. The remaining percent</w:t>
            </w:r>
            <w:r w:rsidR="006B768E">
              <w:rPr>
                <w:rFonts w:cs="Arial"/>
              </w:rPr>
              <w:t>age</w:t>
            </w:r>
            <w:r w:rsidRPr="00451533">
              <w:rPr>
                <w:rFonts w:cs="Arial"/>
              </w:rPr>
              <w:t xml:space="preserve"> can be any other acuity level.</w:t>
            </w:r>
          </w:p>
          <w:p w14:paraId="3DF72BD6" w14:textId="77777777" w:rsidR="00D0444E" w:rsidRPr="00451533" w:rsidRDefault="00D0444E" w:rsidP="00D73F6A">
            <w:pPr>
              <w:autoSpaceDE w:val="0"/>
              <w:autoSpaceDN w:val="0"/>
              <w:adjustRightInd w:val="0"/>
              <w:rPr>
                <w:rFonts w:cs="Arial"/>
              </w:rPr>
            </w:pPr>
          </w:p>
          <w:p w14:paraId="4E5995AC" w14:textId="77777777" w:rsidR="00D0444E" w:rsidRPr="008E03C7" w:rsidRDefault="00D0444E" w:rsidP="00D73F6A">
            <w:pPr>
              <w:autoSpaceDE w:val="0"/>
              <w:autoSpaceDN w:val="0"/>
              <w:adjustRightInd w:val="0"/>
              <w:rPr>
                <w:rFonts w:cs="Arial"/>
                <w:b/>
                <w:bCs/>
              </w:rPr>
            </w:pPr>
            <w:r w:rsidRPr="008E03C7">
              <w:rPr>
                <w:rFonts w:cs="Arial"/>
                <w:b/>
                <w:bCs/>
              </w:rPr>
              <w:t>Blended Acuity Medical, Surgical and Med-Surg Units:</w:t>
            </w:r>
          </w:p>
          <w:p w14:paraId="5DCFB4A9" w14:textId="77777777" w:rsidR="00D0444E" w:rsidRPr="00366E5A" w:rsidRDefault="00D0444E" w:rsidP="00D73F6A">
            <w:pPr>
              <w:autoSpaceDE w:val="0"/>
              <w:autoSpaceDN w:val="0"/>
              <w:adjustRightInd w:val="0"/>
            </w:pPr>
            <w:r w:rsidRPr="00451533">
              <w:rPr>
                <w:rFonts w:cs="Arial"/>
              </w:rPr>
              <w:t xml:space="preserve">A mixed acuity acute care unit in which less than 90% of the patients receive a single acuity level of care, less than 50% receive step down care, and less than 25% receive critical care. </w:t>
            </w:r>
          </w:p>
        </w:tc>
      </w:tr>
      <w:tr w:rsidR="00D0444E" w:rsidRPr="00BB3760" w14:paraId="096B5B2E" w14:textId="77777777" w:rsidTr="00D73F6A">
        <w:trPr>
          <w:jc w:val="center"/>
        </w:trPr>
        <w:tc>
          <w:tcPr>
            <w:tcW w:w="9387" w:type="dxa"/>
            <w:vAlign w:val="center"/>
          </w:tcPr>
          <w:p w14:paraId="6F1EB684" w14:textId="42E7D6C8" w:rsidR="00D0444E" w:rsidRDefault="00D0444E" w:rsidP="00D73F6A">
            <w:pPr>
              <w:rPr>
                <w:rFonts w:cs="Arial"/>
                <w:b/>
                <w:bCs/>
              </w:rPr>
            </w:pPr>
            <w:r>
              <w:rPr>
                <w:rFonts w:cs="Arial"/>
                <w:b/>
                <w:bCs/>
              </w:rPr>
              <w:t>Question #1</w:t>
            </w:r>
            <w:r w:rsidR="00DB0BB1">
              <w:rPr>
                <w:rFonts w:cs="Arial"/>
                <w:b/>
                <w:bCs/>
              </w:rPr>
              <w:t>2 or</w:t>
            </w:r>
            <w:r w:rsidR="00CA4B7D">
              <w:rPr>
                <w:rFonts w:cs="Arial"/>
                <w:b/>
                <w:bCs/>
              </w:rPr>
              <w:t xml:space="preserve"> Question #1</w:t>
            </w:r>
            <w:r w:rsidR="00016E28">
              <w:rPr>
                <w:rFonts w:cs="Arial"/>
                <w:b/>
                <w:bCs/>
              </w:rPr>
              <w:t>4</w:t>
            </w:r>
            <w:r>
              <w:rPr>
                <w:rFonts w:cs="Arial"/>
                <w:b/>
                <w:bCs/>
              </w:rPr>
              <w:t xml:space="preserve">: </w:t>
            </w:r>
            <w:r w:rsidRPr="00C41959">
              <w:rPr>
                <w:rFonts w:cs="Arial"/>
                <w:b/>
                <w:bCs/>
              </w:rPr>
              <w:t>Mixed Acuity Medical, Surgical and Med-Surg Units</w:t>
            </w:r>
          </w:p>
          <w:p w14:paraId="084CE7F5" w14:textId="77777777" w:rsidR="00D0444E" w:rsidRPr="00C41959" w:rsidRDefault="00D0444E" w:rsidP="00D73F6A">
            <w:pPr>
              <w:rPr>
                <w:rFonts w:cs="Arial"/>
                <w:b/>
                <w:bCs/>
              </w:rPr>
            </w:pPr>
            <w:r w:rsidRPr="00BB3760">
              <w:rPr>
                <w:rFonts w:cs="Arial"/>
              </w:rPr>
              <w:t>Enter your hospital’s responses for each quarter for all adult and pediatric mixed acuity Medical, Surgical and Med-Surg Units for the reporting period selected in question #1</w:t>
            </w:r>
            <w:r>
              <w:rPr>
                <w:rFonts w:cs="Arial"/>
              </w:rPr>
              <w:t>.</w:t>
            </w:r>
          </w:p>
        </w:tc>
      </w:tr>
      <w:tr w:rsidR="00D0444E" w:rsidRPr="00BB3760" w14:paraId="6CFC6507" w14:textId="77777777" w:rsidTr="00D73F6A">
        <w:trPr>
          <w:jc w:val="center"/>
        </w:trPr>
        <w:tc>
          <w:tcPr>
            <w:tcW w:w="9387" w:type="dxa"/>
            <w:vAlign w:val="center"/>
          </w:tcPr>
          <w:p w14:paraId="76959786" w14:textId="3220EFD1" w:rsidR="00D0444E" w:rsidRPr="004A2859" w:rsidRDefault="00D0444E" w:rsidP="00D73F6A">
            <w:pPr>
              <w:autoSpaceDE w:val="0"/>
              <w:autoSpaceDN w:val="0"/>
              <w:adjustRightInd w:val="0"/>
              <w:rPr>
                <w:rFonts w:cs="Arial"/>
              </w:rPr>
            </w:pPr>
            <w:r w:rsidRPr="0086796B">
              <w:rPr>
                <w:rFonts w:cs="Arial"/>
                <w:b/>
                <w:bCs/>
              </w:rPr>
              <w:t>Question #1</w:t>
            </w:r>
            <w:r w:rsidR="0077336B">
              <w:rPr>
                <w:rFonts w:cs="Arial"/>
                <w:b/>
                <w:bCs/>
              </w:rPr>
              <w:t>2</w:t>
            </w:r>
            <w:r w:rsidRPr="0086796B">
              <w:rPr>
                <w:rFonts w:cs="Arial"/>
                <w:b/>
                <w:bCs/>
              </w:rPr>
              <w:t>(a)</w:t>
            </w:r>
            <w:r w:rsidR="004F1E09">
              <w:rPr>
                <w:rFonts w:cs="Arial"/>
                <w:b/>
                <w:bCs/>
              </w:rPr>
              <w:t xml:space="preserve"> or </w:t>
            </w:r>
            <w:r w:rsidR="004F1E09" w:rsidRPr="0086796B">
              <w:rPr>
                <w:rFonts w:cs="Arial"/>
                <w:b/>
                <w:bCs/>
              </w:rPr>
              <w:t>Question #1</w:t>
            </w:r>
            <w:r w:rsidR="00016E28">
              <w:rPr>
                <w:rFonts w:cs="Arial"/>
                <w:b/>
                <w:bCs/>
              </w:rPr>
              <w:t>4</w:t>
            </w:r>
            <w:r w:rsidR="004F1E09" w:rsidRPr="0086796B">
              <w:rPr>
                <w:rFonts w:cs="Arial"/>
                <w:b/>
                <w:bCs/>
              </w:rPr>
              <w:t>(a)</w:t>
            </w:r>
            <w:r w:rsidRPr="0086796B">
              <w:rPr>
                <w:rFonts w:cs="Arial"/>
                <w:b/>
                <w:bCs/>
              </w:rPr>
              <w:t>:</w:t>
            </w:r>
            <w:r w:rsidRPr="00445CB7">
              <w:rPr>
                <w:rFonts w:cs="Arial"/>
              </w:rPr>
              <w:t xml:space="preserve"> Total number of patient days </w:t>
            </w:r>
            <w:r>
              <w:rPr>
                <w:rFonts w:cs="Arial"/>
              </w:rPr>
              <w:t>across</w:t>
            </w:r>
            <w:r w:rsidRPr="00445CB7">
              <w:rPr>
                <w:rFonts w:cs="Arial"/>
              </w:rPr>
              <w:t xml:space="preserve"> all </w:t>
            </w:r>
            <w:r>
              <w:rPr>
                <w:rFonts w:cs="Arial"/>
              </w:rPr>
              <w:t xml:space="preserve">adult and pediatric </w:t>
            </w:r>
            <w:r w:rsidRPr="001F0B72">
              <w:rPr>
                <w:rFonts w:cs="Arial"/>
                <w:b/>
                <w:bCs/>
              </w:rPr>
              <w:t>mixed acuity Medical, Surgical and Med-Surg Units</w:t>
            </w:r>
            <w:r w:rsidRPr="00445CB7">
              <w:rPr>
                <w:rFonts w:cs="Arial"/>
              </w:rPr>
              <w:t xml:space="preserve"> </w:t>
            </w:r>
            <w:r>
              <w:rPr>
                <w:rFonts w:cs="Arial"/>
              </w:rPr>
              <w:t>for</w:t>
            </w:r>
            <w:r w:rsidRPr="00445CB7">
              <w:rPr>
                <w:rFonts w:cs="Arial"/>
              </w:rPr>
              <w:t xml:space="preserve"> each quarter </w:t>
            </w:r>
            <w:r>
              <w:rPr>
                <w:rFonts w:cs="Arial"/>
              </w:rPr>
              <w:t xml:space="preserve">included in the reporting period </w:t>
            </w:r>
            <w:r w:rsidRPr="00445CB7">
              <w:rPr>
                <w:rFonts w:cs="Arial"/>
              </w:rPr>
              <w:t>based on your hospital’s method for counting patient days.</w:t>
            </w:r>
          </w:p>
          <w:p w14:paraId="63E2E923" w14:textId="77777777" w:rsidR="00D0444E" w:rsidRPr="00BB3760" w:rsidRDefault="00D0444E" w:rsidP="00D73F6A">
            <w:pPr>
              <w:autoSpaceDE w:val="0"/>
              <w:autoSpaceDN w:val="0"/>
              <w:adjustRightInd w:val="0"/>
              <w:rPr>
                <w:rFonts w:cs="Arial"/>
              </w:rPr>
            </w:pPr>
          </w:p>
          <w:p w14:paraId="1316CE7E" w14:textId="77777777" w:rsidR="00D0444E" w:rsidRPr="004A2859" w:rsidRDefault="00D0444E" w:rsidP="00D73F6A">
            <w:pPr>
              <w:autoSpaceDE w:val="0"/>
              <w:autoSpaceDN w:val="0"/>
              <w:adjustRightInd w:val="0"/>
              <w:rPr>
                <w:rFonts w:cs="Arial"/>
              </w:rPr>
            </w:pPr>
            <w:r w:rsidRPr="00BB3760">
              <w:rPr>
                <w:rFonts w:cs="Arial"/>
              </w:rPr>
              <w:t xml:space="preserve">Patient days should be calculated to include all patients in </w:t>
            </w:r>
            <w:r>
              <w:rPr>
                <w:rFonts w:cs="Arial"/>
              </w:rPr>
              <w:t xml:space="preserve">all </w:t>
            </w:r>
            <w:r w:rsidRPr="00F83852">
              <w:rPr>
                <w:rFonts w:cs="Arial"/>
              </w:rPr>
              <w:t xml:space="preserve">adult </w:t>
            </w:r>
            <w:r>
              <w:rPr>
                <w:rFonts w:cs="Arial"/>
              </w:rPr>
              <w:t>and</w:t>
            </w:r>
            <w:r w:rsidRPr="00F83852">
              <w:rPr>
                <w:rFonts w:cs="Arial"/>
              </w:rPr>
              <w:t xml:space="preserve"> pediatric </w:t>
            </w:r>
            <w:r w:rsidRPr="00B8679E">
              <w:rPr>
                <w:rFonts w:cs="Arial"/>
              </w:rPr>
              <w:t>mixed acuity Medical, Surgical or Med-Surg Units</w:t>
            </w:r>
            <w:r w:rsidRPr="00BB3760">
              <w:rPr>
                <w:rFonts w:cs="Arial"/>
              </w:rPr>
              <w:t>. This includes patients that do not have inpatient status (i.e., observation patients).</w:t>
            </w:r>
          </w:p>
        </w:tc>
      </w:tr>
      <w:tr w:rsidR="00D0444E" w:rsidRPr="00BB3760" w14:paraId="7D42203C" w14:textId="77777777" w:rsidTr="00D73F6A">
        <w:trPr>
          <w:trHeight w:val="144"/>
          <w:jc w:val="center"/>
        </w:trPr>
        <w:tc>
          <w:tcPr>
            <w:tcW w:w="9387" w:type="dxa"/>
            <w:tcBorders>
              <w:bottom w:val="single" w:sz="4" w:space="0" w:color="auto"/>
            </w:tcBorders>
            <w:vAlign w:val="center"/>
          </w:tcPr>
          <w:p w14:paraId="29BCB2A8" w14:textId="026E3ED7" w:rsidR="00D0444E" w:rsidRPr="00BB3760" w:rsidRDefault="00D0444E" w:rsidP="00D73F6A">
            <w:pPr>
              <w:autoSpaceDE w:val="0"/>
              <w:autoSpaceDN w:val="0"/>
              <w:adjustRightInd w:val="0"/>
              <w:rPr>
                <w:rFonts w:cs="Arial"/>
              </w:rPr>
            </w:pPr>
            <w:r w:rsidRPr="0086796B">
              <w:rPr>
                <w:rFonts w:cs="Arial"/>
                <w:b/>
                <w:bCs/>
              </w:rPr>
              <w:t>Question #1</w:t>
            </w:r>
            <w:r w:rsidR="0077336B">
              <w:rPr>
                <w:rFonts w:cs="Arial"/>
                <w:b/>
                <w:bCs/>
              </w:rPr>
              <w:t>2</w:t>
            </w:r>
            <w:r w:rsidRPr="0086796B">
              <w:rPr>
                <w:rFonts w:cs="Arial"/>
                <w:b/>
                <w:bCs/>
              </w:rPr>
              <w:t>(b)</w:t>
            </w:r>
            <w:r w:rsidR="00CE0D43">
              <w:rPr>
                <w:rFonts w:cs="Arial"/>
                <w:b/>
                <w:bCs/>
              </w:rPr>
              <w:t xml:space="preserve"> or </w:t>
            </w:r>
            <w:r w:rsidR="00CE0D43" w:rsidRPr="0086796B">
              <w:rPr>
                <w:rFonts w:cs="Arial"/>
                <w:b/>
                <w:bCs/>
              </w:rPr>
              <w:t>Question #1</w:t>
            </w:r>
            <w:r w:rsidR="00016E28">
              <w:rPr>
                <w:rFonts w:cs="Arial"/>
                <w:b/>
                <w:bCs/>
              </w:rPr>
              <w:t>4</w:t>
            </w:r>
            <w:r w:rsidR="00CE0D43" w:rsidRPr="0086796B">
              <w:rPr>
                <w:rFonts w:cs="Arial"/>
                <w:b/>
                <w:bCs/>
              </w:rPr>
              <w:t>(</w:t>
            </w:r>
            <w:r w:rsidR="00CE0D43">
              <w:rPr>
                <w:rFonts w:cs="Arial"/>
                <w:b/>
                <w:bCs/>
              </w:rPr>
              <w:t>b</w:t>
            </w:r>
            <w:r w:rsidR="00CE0D43" w:rsidRPr="0086796B">
              <w:rPr>
                <w:rFonts w:cs="Arial"/>
                <w:b/>
                <w:bCs/>
              </w:rPr>
              <w:t>)</w:t>
            </w:r>
            <w:r w:rsidRPr="0086796B">
              <w:rPr>
                <w:rFonts w:cs="Arial"/>
                <w:b/>
                <w:bCs/>
              </w:rPr>
              <w:t>:</w:t>
            </w:r>
            <w:r w:rsidRPr="00BB3760">
              <w:rPr>
                <w:rFonts w:cs="Arial"/>
              </w:rPr>
              <w:t xml:space="preserve"> Total number of productive hours worked by employe</w:t>
            </w:r>
            <w:r>
              <w:rPr>
                <w:rFonts w:cs="Arial"/>
              </w:rPr>
              <w:t>d</w:t>
            </w:r>
            <w:r w:rsidRPr="00BB3760">
              <w:rPr>
                <w:rFonts w:cs="Arial"/>
              </w:rPr>
              <w:t xml:space="preserve"> and contract</w:t>
            </w:r>
            <w:r>
              <w:rPr>
                <w:rFonts w:cs="Arial"/>
              </w:rPr>
              <w:t>ed</w:t>
            </w:r>
            <w:r w:rsidRPr="00BB3760">
              <w:rPr>
                <w:rFonts w:cs="Arial"/>
              </w:rPr>
              <w:t xml:space="preserve"> </w:t>
            </w:r>
            <w:r w:rsidRPr="00BB3760">
              <w:rPr>
                <w:rFonts w:cs="Arial"/>
                <w:b/>
                <w:bCs/>
              </w:rPr>
              <w:t>nursing staff (RN, LPN/LVN, and UAP)</w:t>
            </w:r>
            <w:r w:rsidRPr="00BB3760">
              <w:rPr>
                <w:rFonts w:cs="Arial"/>
              </w:rPr>
              <w:t xml:space="preserve"> with direct patient care responsibilities in all</w:t>
            </w:r>
            <w:r>
              <w:rPr>
                <w:rFonts w:cs="Arial"/>
              </w:rPr>
              <w:t xml:space="preserve"> adult and pediatric</w:t>
            </w:r>
            <w:r w:rsidRPr="00BB3760">
              <w:rPr>
                <w:rFonts w:cs="Arial"/>
              </w:rPr>
              <w:t xml:space="preserve"> </w:t>
            </w:r>
            <w:r w:rsidRPr="0002250C">
              <w:rPr>
                <w:rFonts w:cs="Arial"/>
                <w:b/>
                <w:bCs/>
              </w:rPr>
              <w:t>mixed acuity Medical, Surgical, and Med-Surg Units</w:t>
            </w:r>
            <w:r w:rsidRPr="00BB3760">
              <w:rPr>
                <w:rFonts w:cs="Arial"/>
              </w:rPr>
              <w:t xml:space="preserve"> in each quarter.</w:t>
            </w:r>
          </w:p>
          <w:p w14:paraId="471EAD46" w14:textId="77777777" w:rsidR="00D0444E" w:rsidRPr="00BB3760" w:rsidRDefault="00D0444E" w:rsidP="00D73F6A">
            <w:pPr>
              <w:autoSpaceDE w:val="0"/>
              <w:autoSpaceDN w:val="0"/>
              <w:adjustRightInd w:val="0"/>
              <w:rPr>
                <w:rFonts w:cs="Arial"/>
              </w:rPr>
            </w:pPr>
          </w:p>
          <w:p w14:paraId="7EEA32E3" w14:textId="77777777" w:rsidR="00D0444E" w:rsidRPr="006230B8" w:rsidRDefault="00D0444E" w:rsidP="00D73F6A">
            <w:pPr>
              <w:autoSpaceDE w:val="0"/>
              <w:autoSpaceDN w:val="0"/>
              <w:adjustRightInd w:val="0"/>
              <w:rPr>
                <w:rFonts w:cs="Arial"/>
                <w:b/>
                <w:bCs/>
                <w:u w:val="single"/>
              </w:rPr>
            </w:pPr>
            <w:r w:rsidRPr="006230B8">
              <w:rPr>
                <w:rFonts w:cs="Arial"/>
                <w:b/>
                <w:bCs/>
                <w:u w:val="single"/>
              </w:rPr>
              <w:t>Productive Hours</w:t>
            </w:r>
          </w:p>
          <w:p w14:paraId="79AF3435" w14:textId="77777777" w:rsidR="00D0444E" w:rsidRPr="006230B8" w:rsidRDefault="00D0444E" w:rsidP="00D73F6A">
            <w:pPr>
              <w:autoSpaceDE w:val="0"/>
              <w:autoSpaceDN w:val="0"/>
              <w:adjustRightInd w:val="0"/>
              <w:rPr>
                <w:rFonts w:cs="Arial"/>
              </w:rPr>
            </w:pPr>
          </w:p>
          <w:p w14:paraId="5172DE4C" w14:textId="77777777" w:rsidR="00D0444E" w:rsidRPr="006230B8" w:rsidRDefault="00D0444E" w:rsidP="00D73F6A">
            <w:pPr>
              <w:autoSpaceDE w:val="0"/>
              <w:autoSpaceDN w:val="0"/>
              <w:adjustRightInd w:val="0"/>
              <w:rPr>
                <w:rFonts w:cs="Arial"/>
              </w:rPr>
            </w:pPr>
            <w:r w:rsidRPr="006230B8">
              <w:rPr>
                <w:rFonts w:cs="Arial"/>
                <w:b/>
                <w:bCs/>
              </w:rPr>
              <w:t>Include</w:t>
            </w:r>
            <w:r w:rsidRPr="006230B8">
              <w:rPr>
                <w:rFonts w:cs="Arial"/>
              </w:rPr>
              <w:t xml:space="preserve"> the following hours worked by employe</w:t>
            </w:r>
            <w:r>
              <w:rPr>
                <w:rFonts w:cs="Arial"/>
              </w:rPr>
              <w:t>d</w:t>
            </w:r>
            <w:r w:rsidRPr="006230B8">
              <w:rPr>
                <w:rFonts w:cs="Arial"/>
              </w:rPr>
              <w:t xml:space="preserve"> and contract</w:t>
            </w:r>
            <w:r>
              <w:rPr>
                <w:rFonts w:cs="Arial"/>
              </w:rPr>
              <w:t>ed</w:t>
            </w:r>
            <w:r w:rsidRPr="006230B8">
              <w:rPr>
                <w:rFonts w:cs="Arial"/>
              </w:rPr>
              <w:t xml:space="preserve"> RNs, LPN/LVNs, and UAPs:</w:t>
            </w:r>
          </w:p>
          <w:p w14:paraId="3EC6EBFE" w14:textId="77777777" w:rsidR="00D0444E" w:rsidRPr="006230B8" w:rsidRDefault="00D0444E" w:rsidP="00AD309C">
            <w:pPr>
              <w:pStyle w:val="ListParagraph"/>
              <w:numPr>
                <w:ilvl w:val="0"/>
                <w:numId w:val="373"/>
              </w:numPr>
              <w:autoSpaceDE w:val="0"/>
              <w:autoSpaceDN w:val="0"/>
              <w:adjustRightInd w:val="0"/>
              <w:rPr>
                <w:rFonts w:cs="Arial"/>
              </w:rPr>
            </w:pPr>
            <w:r w:rsidRPr="006230B8">
              <w:rPr>
                <w:rFonts w:cs="Arial"/>
              </w:rPr>
              <w:t>Actual direct patient care hours worked by nursing staff</w:t>
            </w:r>
          </w:p>
          <w:p w14:paraId="705835B4" w14:textId="77777777" w:rsidR="00D0444E" w:rsidRPr="006230B8" w:rsidRDefault="00D0444E" w:rsidP="00AD309C">
            <w:pPr>
              <w:pStyle w:val="ListParagraph"/>
              <w:numPr>
                <w:ilvl w:val="0"/>
                <w:numId w:val="373"/>
              </w:numPr>
              <w:autoSpaceDE w:val="0"/>
              <w:autoSpaceDN w:val="0"/>
              <w:adjustRightInd w:val="0"/>
              <w:rPr>
                <w:rFonts w:cs="Arial"/>
              </w:rPr>
            </w:pPr>
            <w:r w:rsidRPr="006230B8">
              <w:rPr>
                <w:rFonts w:cs="Arial"/>
              </w:rPr>
              <w:t>Overtime spent performing direct patient care</w:t>
            </w:r>
          </w:p>
          <w:p w14:paraId="031130B5" w14:textId="77777777" w:rsidR="00D0444E" w:rsidRPr="006230B8" w:rsidRDefault="00D0444E" w:rsidP="00AD309C">
            <w:pPr>
              <w:pStyle w:val="ListParagraph"/>
              <w:numPr>
                <w:ilvl w:val="0"/>
                <w:numId w:val="373"/>
              </w:numPr>
              <w:autoSpaceDE w:val="0"/>
              <w:autoSpaceDN w:val="0"/>
              <w:adjustRightInd w:val="0"/>
              <w:rPr>
                <w:rFonts w:cs="Arial"/>
              </w:rPr>
            </w:pPr>
            <w:r w:rsidRPr="006230B8">
              <w:rPr>
                <w:rFonts w:cs="Arial"/>
              </w:rPr>
              <w:lastRenderedPageBreak/>
              <w:t>Orientation hours for new hires that are considered part of the unit’s staffing matrix, whose work hours are charged to the unit’s cost center, and who would be replaced if they called out sick</w:t>
            </w:r>
          </w:p>
          <w:p w14:paraId="45863C09" w14:textId="16A76768" w:rsidR="00D0444E" w:rsidRPr="006230B8" w:rsidRDefault="00B46857" w:rsidP="00AD309C">
            <w:pPr>
              <w:pStyle w:val="ListParagraph"/>
              <w:numPr>
                <w:ilvl w:val="0"/>
                <w:numId w:val="373"/>
              </w:numPr>
              <w:autoSpaceDE w:val="0"/>
              <w:autoSpaceDN w:val="0"/>
              <w:adjustRightInd w:val="0"/>
              <w:rPr>
                <w:rFonts w:cs="Arial"/>
              </w:rPr>
            </w:pPr>
            <w:r w:rsidRPr="002B788A">
              <w:rPr>
                <w:rFonts w:cs="Arial"/>
              </w:rPr>
              <w:t>Sitter hours authorized for both physical touch and direct patient care intervention</w:t>
            </w:r>
          </w:p>
          <w:p w14:paraId="49BA0C86" w14:textId="77777777" w:rsidR="00D0444E" w:rsidRPr="006230B8" w:rsidRDefault="00D0444E" w:rsidP="00D73F6A">
            <w:pPr>
              <w:autoSpaceDE w:val="0"/>
              <w:autoSpaceDN w:val="0"/>
              <w:adjustRightInd w:val="0"/>
              <w:rPr>
                <w:rFonts w:cs="Arial"/>
              </w:rPr>
            </w:pPr>
          </w:p>
          <w:p w14:paraId="017F46B4" w14:textId="77777777" w:rsidR="00D0444E" w:rsidRPr="006230B8" w:rsidRDefault="00D0444E" w:rsidP="00D73F6A">
            <w:pPr>
              <w:autoSpaceDE w:val="0"/>
              <w:autoSpaceDN w:val="0"/>
              <w:adjustRightInd w:val="0"/>
              <w:rPr>
                <w:rFonts w:cs="Arial"/>
              </w:rPr>
            </w:pPr>
            <w:r w:rsidRPr="006230B8">
              <w:rPr>
                <w:rFonts w:cs="Arial"/>
                <w:b/>
                <w:bCs/>
              </w:rPr>
              <w:t>Exclude</w:t>
            </w:r>
            <w:r w:rsidRPr="006230B8">
              <w:rPr>
                <w:rFonts w:cs="Arial"/>
              </w:rPr>
              <w:t xml:space="preserve"> the following hours worked by employe</w:t>
            </w:r>
            <w:r>
              <w:rPr>
                <w:rFonts w:cs="Arial"/>
              </w:rPr>
              <w:t>d</w:t>
            </w:r>
            <w:r w:rsidRPr="006230B8">
              <w:rPr>
                <w:rFonts w:cs="Arial"/>
              </w:rPr>
              <w:t xml:space="preserve"> and contract</w:t>
            </w:r>
            <w:r>
              <w:rPr>
                <w:rFonts w:cs="Arial"/>
              </w:rPr>
              <w:t>ed</w:t>
            </w:r>
            <w:r w:rsidRPr="006230B8">
              <w:rPr>
                <w:rFonts w:cs="Arial"/>
              </w:rPr>
              <w:t xml:space="preserve"> RN, LPN/LVN, and UAP:</w:t>
            </w:r>
          </w:p>
          <w:p w14:paraId="0AC80896" w14:textId="77777777" w:rsidR="00D0444E" w:rsidRPr="006230B8" w:rsidRDefault="00D0444E" w:rsidP="00AD309C">
            <w:pPr>
              <w:pStyle w:val="ListParagraph"/>
              <w:numPr>
                <w:ilvl w:val="0"/>
                <w:numId w:val="374"/>
              </w:numPr>
              <w:autoSpaceDE w:val="0"/>
              <w:autoSpaceDN w:val="0"/>
              <w:adjustRightInd w:val="0"/>
              <w:rPr>
                <w:rFonts w:cs="Arial"/>
              </w:rPr>
            </w:pPr>
            <w:r w:rsidRPr="006230B8">
              <w:rPr>
                <w:rFonts w:cs="Arial"/>
              </w:rPr>
              <w:t>Budgeted or scheduled hours</w:t>
            </w:r>
          </w:p>
          <w:p w14:paraId="36FE27E1" w14:textId="77777777" w:rsidR="00D0444E" w:rsidRPr="006230B8" w:rsidRDefault="00D0444E" w:rsidP="00AD309C">
            <w:pPr>
              <w:pStyle w:val="ListParagraph"/>
              <w:numPr>
                <w:ilvl w:val="0"/>
                <w:numId w:val="374"/>
              </w:numPr>
              <w:autoSpaceDE w:val="0"/>
              <w:autoSpaceDN w:val="0"/>
              <w:adjustRightInd w:val="0"/>
              <w:rPr>
                <w:rFonts w:cs="Arial"/>
              </w:rPr>
            </w:pPr>
            <w:r w:rsidRPr="006230B8">
              <w:rPr>
                <w:rFonts w:cs="Arial"/>
              </w:rPr>
              <w:t>Vacation time, sick time, education leave, or committee time</w:t>
            </w:r>
          </w:p>
          <w:p w14:paraId="4F4CA95C" w14:textId="77777777" w:rsidR="00D0444E" w:rsidRPr="006230B8" w:rsidRDefault="00D0444E" w:rsidP="00AD309C">
            <w:pPr>
              <w:pStyle w:val="ListParagraph"/>
              <w:numPr>
                <w:ilvl w:val="0"/>
                <w:numId w:val="374"/>
              </w:numPr>
              <w:autoSpaceDE w:val="0"/>
              <w:autoSpaceDN w:val="0"/>
              <w:adjustRightInd w:val="0"/>
              <w:rPr>
                <w:rFonts w:cs="Arial"/>
              </w:rPr>
            </w:pPr>
            <w:r w:rsidRPr="006230B8">
              <w:rPr>
                <w:rFonts w:cs="Arial"/>
              </w:rPr>
              <w:t>Orientation hours for new hires that are not considered part of the unit’s staffing matrix, whose work hours are not charged to the unit’s cost center, and would not be replaced if they call out sick</w:t>
            </w:r>
          </w:p>
          <w:p w14:paraId="4B09FCA6" w14:textId="77777777" w:rsidR="00D0444E" w:rsidRPr="006230B8" w:rsidRDefault="00D0444E" w:rsidP="00AD309C">
            <w:pPr>
              <w:pStyle w:val="ListParagraph"/>
              <w:numPr>
                <w:ilvl w:val="0"/>
                <w:numId w:val="374"/>
              </w:numPr>
              <w:autoSpaceDE w:val="0"/>
              <w:autoSpaceDN w:val="0"/>
              <w:adjustRightInd w:val="0"/>
              <w:rPr>
                <w:rFonts w:cs="Arial"/>
              </w:rPr>
            </w:pPr>
            <w:r w:rsidRPr="006230B8">
              <w:rPr>
                <w:rFonts w:cs="Arial"/>
              </w:rPr>
              <w:t>Hours from when the unit was staffed but there were no patients in the unit</w:t>
            </w:r>
          </w:p>
          <w:p w14:paraId="592E380E" w14:textId="77777777" w:rsidR="00D0444E" w:rsidRPr="006230B8" w:rsidRDefault="00D0444E" w:rsidP="00AD309C">
            <w:pPr>
              <w:pStyle w:val="ListParagraph"/>
              <w:numPr>
                <w:ilvl w:val="1"/>
                <w:numId w:val="374"/>
              </w:numPr>
              <w:autoSpaceDE w:val="0"/>
              <w:autoSpaceDN w:val="0"/>
              <w:adjustRightInd w:val="0"/>
              <w:rPr>
                <w:rFonts w:cs="Arial"/>
              </w:rPr>
            </w:pPr>
            <w:r w:rsidRPr="006230B8">
              <w:rPr>
                <w:rFonts w:cs="Arial"/>
              </w:rPr>
              <w:t>If these nursing hours cannot be removed, then the unit should not be included.</w:t>
            </w:r>
          </w:p>
          <w:p w14:paraId="5D29636D" w14:textId="77777777" w:rsidR="00D0444E" w:rsidRDefault="00D0444E" w:rsidP="00AD309C">
            <w:pPr>
              <w:pStyle w:val="ListParagraph"/>
              <w:numPr>
                <w:ilvl w:val="0"/>
                <w:numId w:val="374"/>
              </w:numPr>
              <w:autoSpaceDE w:val="0"/>
              <w:autoSpaceDN w:val="0"/>
              <w:adjustRightInd w:val="0"/>
              <w:rPr>
                <w:rFonts w:cs="Arial"/>
              </w:rPr>
            </w:pPr>
            <w:r w:rsidRPr="006230B8">
              <w:rPr>
                <w:rFonts w:cs="Arial"/>
              </w:rPr>
              <w:t>Virtual or remote hours</w:t>
            </w:r>
          </w:p>
          <w:p w14:paraId="6D81A258" w14:textId="121342B7" w:rsidR="00F76C34" w:rsidRDefault="003D0EF6" w:rsidP="00AD309C">
            <w:pPr>
              <w:pStyle w:val="ListParagraph"/>
              <w:numPr>
                <w:ilvl w:val="0"/>
                <w:numId w:val="374"/>
              </w:numPr>
              <w:autoSpaceDE w:val="0"/>
              <w:autoSpaceDN w:val="0"/>
              <w:adjustRightInd w:val="0"/>
              <w:rPr>
                <w:rFonts w:cs="Arial"/>
              </w:rPr>
            </w:pPr>
            <w:r w:rsidRPr="00467DAF">
              <w:rPr>
                <w:rFonts w:cs="Arial"/>
              </w:rPr>
              <w:t>Sitter hours without authorization for both physical touch and direct patient care intervention</w:t>
            </w:r>
          </w:p>
          <w:p w14:paraId="2CCB52D2" w14:textId="77777777" w:rsidR="006C39A3" w:rsidRPr="00DE088C" w:rsidRDefault="006C39A3" w:rsidP="0020604E">
            <w:pPr>
              <w:pStyle w:val="ListParagraph"/>
              <w:autoSpaceDE w:val="0"/>
              <w:autoSpaceDN w:val="0"/>
              <w:adjustRightInd w:val="0"/>
              <w:rPr>
                <w:rFonts w:cs="Arial"/>
              </w:rPr>
            </w:pPr>
          </w:p>
          <w:p w14:paraId="5B559C34" w14:textId="77777777" w:rsidR="00D0444E" w:rsidRPr="006230B8" w:rsidRDefault="00D0444E" w:rsidP="00D73F6A">
            <w:pPr>
              <w:autoSpaceDE w:val="0"/>
              <w:autoSpaceDN w:val="0"/>
              <w:adjustRightInd w:val="0"/>
              <w:rPr>
                <w:rFonts w:cs="Arial"/>
                <w:b/>
                <w:bCs/>
                <w:u w:val="single"/>
              </w:rPr>
            </w:pPr>
            <w:r w:rsidRPr="006230B8">
              <w:rPr>
                <w:rFonts w:cs="Arial"/>
                <w:b/>
                <w:bCs/>
                <w:u w:val="single"/>
              </w:rPr>
              <w:t>Employe</w:t>
            </w:r>
            <w:r>
              <w:rPr>
                <w:rFonts w:cs="Arial"/>
                <w:b/>
                <w:bCs/>
                <w:u w:val="single"/>
              </w:rPr>
              <w:t>d</w:t>
            </w:r>
            <w:r w:rsidRPr="006230B8">
              <w:rPr>
                <w:rFonts w:cs="Arial"/>
                <w:b/>
                <w:bCs/>
                <w:u w:val="single"/>
              </w:rPr>
              <w:t xml:space="preserve"> and Contract</w:t>
            </w:r>
            <w:r>
              <w:rPr>
                <w:rFonts w:cs="Arial"/>
                <w:b/>
                <w:bCs/>
                <w:u w:val="single"/>
              </w:rPr>
              <w:t>ed</w:t>
            </w:r>
            <w:r w:rsidRPr="006230B8">
              <w:rPr>
                <w:rFonts w:cs="Arial"/>
                <w:b/>
                <w:bCs/>
                <w:u w:val="single"/>
              </w:rPr>
              <w:t xml:space="preserve"> Nursing Staff</w:t>
            </w:r>
          </w:p>
          <w:p w14:paraId="7E564C88" w14:textId="77777777" w:rsidR="00D0444E" w:rsidRPr="006230B8" w:rsidRDefault="00D0444E" w:rsidP="00D73F6A">
            <w:pPr>
              <w:autoSpaceDE w:val="0"/>
              <w:autoSpaceDN w:val="0"/>
              <w:adjustRightInd w:val="0"/>
              <w:rPr>
                <w:rFonts w:cs="Arial"/>
              </w:rPr>
            </w:pPr>
          </w:p>
          <w:p w14:paraId="4FC2EED9" w14:textId="77777777" w:rsidR="00D0444E" w:rsidRPr="006230B8" w:rsidRDefault="00D0444E" w:rsidP="00D73F6A">
            <w:pPr>
              <w:autoSpaceDE w:val="0"/>
              <w:autoSpaceDN w:val="0"/>
              <w:adjustRightInd w:val="0"/>
              <w:rPr>
                <w:rFonts w:cs="Arial"/>
              </w:rPr>
            </w:pPr>
            <w:r w:rsidRPr="006230B8">
              <w:rPr>
                <w:rFonts w:cs="Arial"/>
                <w:b/>
                <w:bCs/>
              </w:rPr>
              <w:t>Include</w:t>
            </w:r>
            <w:r w:rsidRPr="006230B8">
              <w:rPr>
                <w:rFonts w:cs="Arial"/>
              </w:rPr>
              <w:t xml:space="preserve"> the following RN, LPN/LVN, and UAP nursing staff:</w:t>
            </w:r>
          </w:p>
          <w:p w14:paraId="0451D4FA" w14:textId="77777777" w:rsidR="00D0444E" w:rsidRPr="006230B8" w:rsidRDefault="00D0444E" w:rsidP="00AD309C">
            <w:pPr>
              <w:pStyle w:val="ListParagraph"/>
              <w:numPr>
                <w:ilvl w:val="0"/>
                <w:numId w:val="375"/>
              </w:numPr>
              <w:autoSpaceDE w:val="0"/>
              <w:autoSpaceDN w:val="0"/>
              <w:adjustRightInd w:val="0"/>
              <w:rPr>
                <w:rFonts w:cs="Arial"/>
              </w:rPr>
            </w:pPr>
            <w:r w:rsidRPr="006230B8">
              <w:rPr>
                <w:rFonts w:cs="Arial"/>
              </w:rPr>
              <w:t>Staff employed by the hospital</w:t>
            </w:r>
          </w:p>
          <w:p w14:paraId="52641BA3" w14:textId="77777777" w:rsidR="00D0444E" w:rsidRPr="006230B8" w:rsidRDefault="00D0444E" w:rsidP="00AD309C">
            <w:pPr>
              <w:pStyle w:val="ListParagraph"/>
              <w:numPr>
                <w:ilvl w:val="0"/>
                <w:numId w:val="375"/>
              </w:numPr>
              <w:autoSpaceDE w:val="0"/>
              <w:autoSpaceDN w:val="0"/>
              <w:adjustRightInd w:val="0"/>
              <w:rPr>
                <w:rFonts w:cs="Arial"/>
              </w:rPr>
            </w:pPr>
            <w:r w:rsidRPr="006230B8">
              <w:rPr>
                <w:rFonts w:cs="Arial"/>
              </w:rPr>
              <w:t>Temporary staff who are not employed by the hospital (i.e., contracted/agency staff)</w:t>
            </w:r>
          </w:p>
          <w:p w14:paraId="65852B7B" w14:textId="77777777" w:rsidR="00D0444E" w:rsidRPr="006230B8" w:rsidRDefault="00D0444E" w:rsidP="00AD309C">
            <w:pPr>
              <w:pStyle w:val="ListParagraph"/>
              <w:numPr>
                <w:ilvl w:val="0"/>
                <w:numId w:val="375"/>
              </w:numPr>
              <w:autoSpaceDE w:val="0"/>
              <w:autoSpaceDN w:val="0"/>
              <w:adjustRightInd w:val="0"/>
              <w:rPr>
                <w:rFonts w:cs="Arial"/>
              </w:rPr>
            </w:pPr>
            <w:r w:rsidRPr="006230B8">
              <w:rPr>
                <w:rFonts w:cs="Arial"/>
              </w:rPr>
              <w:t>Float staff who are assigned to a unit other than their unit of employment on an as-needed basis if they are assigned direct patient care responsibilities</w:t>
            </w:r>
          </w:p>
          <w:p w14:paraId="40E203C5" w14:textId="77777777" w:rsidR="00D0444E" w:rsidRPr="006230B8" w:rsidRDefault="00D0444E" w:rsidP="00AD309C">
            <w:pPr>
              <w:pStyle w:val="ListParagraph"/>
              <w:numPr>
                <w:ilvl w:val="0"/>
                <w:numId w:val="375"/>
              </w:numPr>
              <w:autoSpaceDE w:val="0"/>
              <w:autoSpaceDN w:val="0"/>
              <w:adjustRightInd w:val="0"/>
              <w:rPr>
                <w:rFonts w:cs="Arial"/>
              </w:rPr>
            </w:pPr>
            <w:r w:rsidRPr="006230B8">
              <w:rPr>
                <w:rFonts w:cs="Arial"/>
              </w:rPr>
              <w:t>Staff who are counted in the unit’s staffing matrix, are replaced if they call out sick, and whose work hours are charged to the unit’s cost center</w:t>
            </w:r>
          </w:p>
          <w:p w14:paraId="39B78099" w14:textId="77777777" w:rsidR="00D0444E" w:rsidRPr="006230B8" w:rsidRDefault="00D0444E" w:rsidP="00D73F6A">
            <w:pPr>
              <w:autoSpaceDE w:val="0"/>
              <w:autoSpaceDN w:val="0"/>
              <w:adjustRightInd w:val="0"/>
              <w:rPr>
                <w:rFonts w:cs="Arial"/>
              </w:rPr>
            </w:pPr>
          </w:p>
          <w:p w14:paraId="4FCD33DD" w14:textId="77777777" w:rsidR="00D0444E" w:rsidRPr="006230B8" w:rsidRDefault="00D0444E" w:rsidP="00D73F6A">
            <w:pPr>
              <w:autoSpaceDE w:val="0"/>
              <w:autoSpaceDN w:val="0"/>
              <w:adjustRightInd w:val="0"/>
              <w:rPr>
                <w:rFonts w:cs="Arial"/>
              </w:rPr>
            </w:pPr>
            <w:r w:rsidRPr="006230B8">
              <w:rPr>
                <w:rFonts w:cs="Arial"/>
                <w:b/>
                <w:bCs/>
              </w:rPr>
              <w:t>Exclude</w:t>
            </w:r>
            <w:r w:rsidRPr="006230B8">
              <w:rPr>
                <w:rFonts w:cs="Arial"/>
              </w:rPr>
              <w:t xml:space="preserve"> the following RN, LPN/LVN, and UAP nursing staff:</w:t>
            </w:r>
          </w:p>
          <w:p w14:paraId="0E4B8DAA" w14:textId="77777777" w:rsidR="00D0444E" w:rsidRPr="006230B8" w:rsidRDefault="00D0444E" w:rsidP="00AD309C">
            <w:pPr>
              <w:pStyle w:val="ListParagraph"/>
              <w:numPr>
                <w:ilvl w:val="0"/>
                <w:numId w:val="376"/>
              </w:numPr>
              <w:autoSpaceDE w:val="0"/>
              <w:autoSpaceDN w:val="0"/>
              <w:adjustRightInd w:val="0"/>
              <w:rPr>
                <w:rFonts w:cs="Arial"/>
              </w:rPr>
            </w:pPr>
            <w:r w:rsidRPr="006230B8">
              <w:rPr>
                <w:rFonts w:cs="Arial"/>
              </w:rPr>
              <w:t>Nursing staff whose primary responsibility is administrative in nature (at least 50% of their time is administrative)</w:t>
            </w:r>
          </w:p>
          <w:p w14:paraId="03866736" w14:textId="77777777" w:rsidR="00D0444E" w:rsidRPr="006230B8" w:rsidRDefault="00D0444E" w:rsidP="00AD309C">
            <w:pPr>
              <w:pStyle w:val="ListParagraph"/>
              <w:numPr>
                <w:ilvl w:val="0"/>
                <w:numId w:val="376"/>
              </w:numPr>
              <w:autoSpaceDE w:val="0"/>
              <w:autoSpaceDN w:val="0"/>
              <w:adjustRightInd w:val="0"/>
              <w:rPr>
                <w:rFonts w:cs="Arial"/>
              </w:rPr>
            </w:pPr>
            <w:r w:rsidRPr="006230B8">
              <w:rPr>
                <w:rFonts w:cs="Arial"/>
              </w:rPr>
              <w:t>Specialty teams, patient educators, or case managers who are not assigned to a specific unit</w:t>
            </w:r>
          </w:p>
          <w:p w14:paraId="56323BC9" w14:textId="77777777" w:rsidR="00D0444E" w:rsidRPr="006230B8" w:rsidRDefault="00D0444E" w:rsidP="00AD309C">
            <w:pPr>
              <w:pStyle w:val="ListParagraph"/>
              <w:numPr>
                <w:ilvl w:val="0"/>
                <w:numId w:val="376"/>
              </w:numPr>
              <w:autoSpaceDE w:val="0"/>
              <w:autoSpaceDN w:val="0"/>
              <w:adjustRightInd w:val="0"/>
              <w:rPr>
                <w:rFonts w:cs="Arial"/>
              </w:rPr>
            </w:pPr>
            <w:r w:rsidRPr="006230B8">
              <w:rPr>
                <w:rFonts w:cs="Arial"/>
              </w:rPr>
              <w:t>Unit secretaries or clerks, monitor technicians, and others with no direct patient care responsibilities</w:t>
            </w:r>
          </w:p>
          <w:p w14:paraId="602C7E8F" w14:textId="77777777" w:rsidR="00D0444E" w:rsidRPr="006230B8" w:rsidRDefault="00D0444E" w:rsidP="00AD309C">
            <w:pPr>
              <w:pStyle w:val="ListParagraph"/>
              <w:numPr>
                <w:ilvl w:val="0"/>
                <w:numId w:val="376"/>
              </w:numPr>
              <w:autoSpaceDE w:val="0"/>
              <w:autoSpaceDN w:val="0"/>
              <w:adjustRightInd w:val="0"/>
              <w:rPr>
                <w:rFonts w:cs="Arial"/>
              </w:rPr>
            </w:pPr>
            <w:r w:rsidRPr="006230B8">
              <w:rPr>
                <w:rFonts w:cs="Arial"/>
              </w:rPr>
              <w:t>Advanced Practice Registered Nurses (APRNs), including certified nurse-midwife (CNM), clinical nurse specialist (CNS), certified nurse practitioner (CNP), and certified registered nurse anesthetist (CRNA)</w:t>
            </w:r>
          </w:p>
          <w:p w14:paraId="26002D69" w14:textId="77777777" w:rsidR="00D0444E" w:rsidRPr="003A5BED" w:rsidRDefault="00D0444E" w:rsidP="00D73F6A">
            <w:pPr>
              <w:autoSpaceDE w:val="0"/>
              <w:autoSpaceDN w:val="0"/>
              <w:adjustRightInd w:val="0"/>
              <w:rPr>
                <w:rFonts w:cs="Arial"/>
                <w:i/>
                <w:iCs/>
              </w:rPr>
            </w:pPr>
          </w:p>
          <w:p w14:paraId="6FDAD97A" w14:textId="52C6AC83" w:rsidR="00D0444E" w:rsidRPr="003A5BED" w:rsidRDefault="00DD04D6" w:rsidP="00D73F6A">
            <w:pPr>
              <w:pStyle w:val="Heading6"/>
              <w:rPr>
                <w:rFonts w:eastAsiaTheme="minorHAnsi"/>
                <w:b w:val="0"/>
                <w:bCs/>
                <w:i/>
                <w:iCs/>
              </w:rPr>
            </w:pPr>
            <w:r>
              <w:rPr>
                <w:rFonts w:ascii="ZWAdobeF" w:eastAsiaTheme="minorHAnsi" w:hAnsi="ZWAdobeF" w:cs="ZWAdobeF"/>
                <w:b w:val="0"/>
                <w:bCs/>
                <w:iCs/>
                <w:color w:val="auto"/>
                <w:sz w:val="2"/>
                <w:szCs w:val="2"/>
              </w:rPr>
              <w:t>6B</w:t>
            </w:r>
            <w:r w:rsidR="00953060">
              <w:rPr>
                <w:rFonts w:ascii="ZWAdobeF" w:eastAsiaTheme="minorHAnsi" w:hAnsi="ZWAdobeF" w:cs="ZWAdobeF"/>
                <w:b w:val="0"/>
                <w:bCs/>
                <w:iCs/>
                <w:color w:val="auto"/>
                <w:sz w:val="2"/>
                <w:szCs w:val="2"/>
              </w:rPr>
              <w:t>6B</w:t>
            </w:r>
            <w:r w:rsidR="00E453C7">
              <w:rPr>
                <w:rFonts w:ascii="ZWAdobeF" w:eastAsiaTheme="minorHAnsi" w:hAnsi="ZWAdobeF" w:cs="ZWAdobeF"/>
                <w:b w:val="0"/>
                <w:bCs/>
                <w:iCs/>
                <w:color w:val="auto"/>
                <w:sz w:val="2"/>
                <w:szCs w:val="2"/>
              </w:rPr>
              <w:t>6B</w:t>
            </w:r>
            <w:r w:rsidR="006255A6">
              <w:rPr>
                <w:rFonts w:ascii="ZWAdobeF" w:eastAsiaTheme="minorHAnsi" w:hAnsi="ZWAdobeF" w:cs="ZWAdobeF"/>
                <w:b w:val="0"/>
                <w:bCs/>
                <w:iCs/>
                <w:color w:val="auto"/>
                <w:sz w:val="2"/>
                <w:szCs w:val="2"/>
              </w:rPr>
              <w:t>6B</w:t>
            </w:r>
            <w:r w:rsidR="00B55C41">
              <w:rPr>
                <w:rFonts w:ascii="ZWAdobeF" w:eastAsiaTheme="minorHAnsi" w:hAnsi="ZWAdobeF" w:cs="ZWAdobeF"/>
                <w:b w:val="0"/>
                <w:bCs/>
                <w:iCs/>
                <w:color w:val="auto"/>
                <w:sz w:val="2"/>
                <w:szCs w:val="2"/>
              </w:rPr>
              <w:t>6B</w:t>
            </w:r>
            <w:r w:rsidR="00C2087D">
              <w:rPr>
                <w:rFonts w:ascii="ZWAdobeF" w:eastAsiaTheme="minorHAnsi" w:hAnsi="ZWAdobeF" w:cs="ZWAdobeF"/>
                <w:b w:val="0"/>
                <w:bCs/>
                <w:iCs/>
                <w:color w:val="auto"/>
                <w:sz w:val="2"/>
                <w:szCs w:val="2"/>
              </w:rPr>
              <w:t>6B</w:t>
            </w:r>
            <w:r w:rsidR="004C7557">
              <w:rPr>
                <w:rFonts w:ascii="ZWAdobeF" w:eastAsiaTheme="minorHAnsi" w:hAnsi="ZWAdobeF" w:cs="ZWAdobeF"/>
                <w:b w:val="0"/>
                <w:bCs/>
                <w:iCs/>
                <w:color w:val="auto"/>
                <w:sz w:val="2"/>
                <w:szCs w:val="2"/>
              </w:rPr>
              <w:t>6B</w:t>
            </w:r>
            <w:r w:rsidR="00BF053F">
              <w:rPr>
                <w:rFonts w:ascii="ZWAdobeF" w:eastAsiaTheme="minorHAnsi" w:hAnsi="ZWAdobeF" w:cs="ZWAdobeF"/>
                <w:b w:val="0"/>
                <w:bCs/>
                <w:iCs/>
                <w:color w:val="auto"/>
                <w:sz w:val="2"/>
                <w:szCs w:val="2"/>
              </w:rPr>
              <w:t>6B</w:t>
            </w:r>
            <w:r w:rsidR="00D0444E" w:rsidRPr="003A5BED">
              <w:rPr>
                <w:rFonts w:eastAsiaTheme="minorHAnsi"/>
                <w:b w:val="0"/>
                <w:bCs/>
                <w:i/>
                <w:iCs/>
              </w:rPr>
              <w:t>A UAP is any unlicensed person, regardless of title, who performs tasks delegated by a nurse. This includes certified nursing aides/assistants (CNAs), patient care assistants (PCAs), patient care technicians (PCTs), state-tested nursing assistants (STNA), nursing assistants-registered (NA/Rs) or certified medication aides/assistants (MA-Cs).</w:t>
            </w:r>
          </w:p>
          <w:p w14:paraId="39D61056" w14:textId="77777777" w:rsidR="00D0444E" w:rsidRPr="006230B8" w:rsidRDefault="00D0444E" w:rsidP="00D73F6A">
            <w:pPr>
              <w:autoSpaceDE w:val="0"/>
              <w:autoSpaceDN w:val="0"/>
              <w:adjustRightInd w:val="0"/>
              <w:rPr>
                <w:rFonts w:cs="Arial"/>
              </w:rPr>
            </w:pPr>
          </w:p>
          <w:p w14:paraId="643D8630" w14:textId="77777777" w:rsidR="00D0444E" w:rsidRPr="006230B8" w:rsidRDefault="00D0444E" w:rsidP="00D73F6A">
            <w:pPr>
              <w:autoSpaceDE w:val="0"/>
              <w:autoSpaceDN w:val="0"/>
              <w:adjustRightInd w:val="0"/>
              <w:rPr>
                <w:rFonts w:cs="Arial"/>
                <w:b/>
                <w:bCs/>
                <w:u w:val="single"/>
              </w:rPr>
            </w:pPr>
            <w:r w:rsidRPr="006230B8">
              <w:rPr>
                <w:rFonts w:cs="Arial"/>
                <w:b/>
                <w:bCs/>
                <w:u w:val="single"/>
              </w:rPr>
              <w:t xml:space="preserve">Direct Patient Care Responsibilities </w:t>
            </w:r>
          </w:p>
          <w:p w14:paraId="2751BC33" w14:textId="77777777" w:rsidR="00D0444E" w:rsidRPr="006230B8" w:rsidRDefault="00D0444E" w:rsidP="00D73F6A">
            <w:pPr>
              <w:autoSpaceDE w:val="0"/>
              <w:autoSpaceDN w:val="0"/>
              <w:adjustRightInd w:val="0"/>
              <w:rPr>
                <w:rFonts w:cs="Arial"/>
              </w:rPr>
            </w:pPr>
          </w:p>
          <w:p w14:paraId="05ADC56D" w14:textId="77777777" w:rsidR="00D0444E" w:rsidRPr="006230B8" w:rsidRDefault="00D0444E" w:rsidP="00D73F6A">
            <w:pPr>
              <w:autoSpaceDE w:val="0"/>
              <w:autoSpaceDN w:val="0"/>
              <w:adjustRightInd w:val="0"/>
              <w:rPr>
                <w:rFonts w:cs="Arial"/>
              </w:rPr>
            </w:pPr>
            <w:r w:rsidRPr="006230B8">
              <w:rPr>
                <w:rFonts w:cs="Arial"/>
                <w:b/>
                <w:bCs/>
              </w:rPr>
              <w:t>Direct Patient Care Responsibilities</w:t>
            </w:r>
            <w:r w:rsidRPr="006230B8">
              <w:rPr>
                <w:rFonts w:cs="Arial"/>
              </w:rPr>
              <w:t xml:space="preserve"> are defined as patient centered nursing activities by hospital unit-based staff in the presence of the patient and activities that occur away from the patient that are patient related:</w:t>
            </w:r>
          </w:p>
          <w:p w14:paraId="767B925A"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Medication administration</w:t>
            </w:r>
          </w:p>
          <w:p w14:paraId="7DAA89E4"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Nursing treatments</w:t>
            </w:r>
          </w:p>
          <w:p w14:paraId="1278F222"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Nursing rounds</w:t>
            </w:r>
          </w:p>
          <w:p w14:paraId="44EDB108"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Admission, transfer, discharge activities</w:t>
            </w:r>
          </w:p>
          <w:p w14:paraId="6DAD5FF6"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Patient teaching</w:t>
            </w:r>
          </w:p>
          <w:p w14:paraId="2F475B53"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Patient communication</w:t>
            </w:r>
          </w:p>
          <w:p w14:paraId="5F875BD6"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Coordination of patient care</w:t>
            </w:r>
          </w:p>
          <w:p w14:paraId="66DB1507"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Documentation time</w:t>
            </w:r>
          </w:p>
          <w:p w14:paraId="7DC2AA25" w14:textId="77777777" w:rsidR="00D0444E" w:rsidRDefault="00D0444E" w:rsidP="00AD309C">
            <w:pPr>
              <w:pStyle w:val="ListParagraph"/>
              <w:numPr>
                <w:ilvl w:val="0"/>
                <w:numId w:val="377"/>
              </w:numPr>
              <w:autoSpaceDE w:val="0"/>
              <w:autoSpaceDN w:val="0"/>
              <w:adjustRightInd w:val="0"/>
              <w:rPr>
                <w:rFonts w:cs="Arial"/>
              </w:rPr>
            </w:pPr>
            <w:r w:rsidRPr="006230B8">
              <w:rPr>
                <w:rFonts w:cs="Arial"/>
              </w:rPr>
              <w:t>Treatment planning</w:t>
            </w:r>
          </w:p>
          <w:p w14:paraId="30065044" w14:textId="77777777" w:rsidR="00D0444E" w:rsidRPr="006230B8" w:rsidRDefault="00D0444E" w:rsidP="00AD309C">
            <w:pPr>
              <w:pStyle w:val="ListParagraph"/>
              <w:numPr>
                <w:ilvl w:val="0"/>
                <w:numId w:val="377"/>
              </w:numPr>
              <w:autoSpaceDE w:val="0"/>
              <w:autoSpaceDN w:val="0"/>
              <w:adjustRightInd w:val="0"/>
              <w:rPr>
                <w:rFonts w:cs="Arial"/>
              </w:rPr>
            </w:pPr>
            <w:r w:rsidRPr="006230B8">
              <w:rPr>
                <w:rFonts w:cs="Arial"/>
              </w:rPr>
              <w:t>Patient screening (e.g., fall risk) and assessment</w:t>
            </w:r>
          </w:p>
        </w:tc>
      </w:tr>
      <w:tr w:rsidR="00D0444E" w:rsidRPr="00BB3760" w14:paraId="6F298ADF" w14:textId="77777777" w:rsidTr="00D73F6A">
        <w:trPr>
          <w:trHeight w:val="432"/>
          <w:jc w:val="center"/>
        </w:trPr>
        <w:tc>
          <w:tcPr>
            <w:tcW w:w="9387" w:type="dxa"/>
            <w:tcBorders>
              <w:bottom w:val="single" w:sz="4" w:space="0" w:color="auto"/>
            </w:tcBorders>
            <w:vAlign w:val="center"/>
          </w:tcPr>
          <w:p w14:paraId="6CDB8E56" w14:textId="7BDAC8E7" w:rsidR="00D0444E" w:rsidRPr="00BB3760" w:rsidRDefault="00D0444E" w:rsidP="00D73F6A">
            <w:pPr>
              <w:autoSpaceDE w:val="0"/>
              <w:autoSpaceDN w:val="0"/>
              <w:adjustRightInd w:val="0"/>
              <w:rPr>
                <w:rFonts w:cs="Arial"/>
              </w:rPr>
            </w:pPr>
            <w:r w:rsidRPr="0086796B">
              <w:rPr>
                <w:rFonts w:cs="Arial"/>
                <w:b/>
                <w:bCs/>
              </w:rPr>
              <w:lastRenderedPageBreak/>
              <w:t>Question #1</w:t>
            </w:r>
            <w:r w:rsidR="001B2F0C">
              <w:rPr>
                <w:rFonts w:cs="Arial"/>
                <w:b/>
                <w:bCs/>
              </w:rPr>
              <w:t>2</w:t>
            </w:r>
            <w:r w:rsidRPr="0086796B">
              <w:rPr>
                <w:rFonts w:cs="Arial"/>
                <w:b/>
                <w:bCs/>
              </w:rPr>
              <w:t>(c)</w:t>
            </w:r>
            <w:r w:rsidR="00DE0ABF">
              <w:rPr>
                <w:rFonts w:cs="Arial"/>
                <w:b/>
                <w:bCs/>
              </w:rPr>
              <w:t xml:space="preserve"> or </w:t>
            </w:r>
            <w:r w:rsidR="00DE0ABF" w:rsidRPr="0086796B">
              <w:rPr>
                <w:rFonts w:cs="Arial"/>
                <w:b/>
                <w:bCs/>
              </w:rPr>
              <w:t>Question #1</w:t>
            </w:r>
            <w:r w:rsidR="00182F18">
              <w:rPr>
                <w:rFonts w:cs="Arial"/>
                <w:b/>
                <w:bCs/>
              </w:rPr>
              <w:t>4</w:t>
            </w:r>
            <w:r w:rsidR="00DE0ABF" w:rsidRPr="0086796B">
              <w:rPr>
                <w:rFonts w:cs="Arial"/>
                <w:b/>
                <w:bCs/>
              </w:rPr>
              <w:t>(</w:t>
            </w:r>
            <w:r w:rsidR="00DE0ABF">
              <w:rPr>
                <w:rFonts w:cs="Arial"/>
                <w:b/>
                <w:bCs/>
              </w:rPr>
              <w:t>c</w:t>
            </w:r>
            <w:r w:rsidR="00DE0ABF" w:rsidRPr="0086796B">
              <w:rPr>
                <w:rFonts w:cs="Arial"/>
                <w:b/>
                <w:bCs/>
              </w:rPr>
              <w:t>)</w:t>
            </w:r>
            <w:r w:rsidRPr="0086796B">
              <w:rPr>
                <w:rFonts w:cs="Arial"/>
                <w:b/>
                <w:bCs/>
              </w:rPr>
              <w:t>:</w:t>
            </w:r>
            <w:r w:rsidRPr="00BB3760">
              <w:rPr>
                <w:rFonts w:cs="Arial"/>
                <w:b/>
                <w:bCs/>
              </w:rPr>
              <w:t xml:space="preserve"> </w:t>
            </w:r>
            <w:r w:rsidRPr="00BB3760">
              <w:rPr>
                <w:rFonts w:cs="Arial"/>
              </w:rPr>
              <w:t xml:space="preserve">Total number of productive hours worked by </w:t>
            </w:r>
            <w:r w:rsidRPr="00BB3760">
              <w:rPr>
                <w:rFonts w:cs="Arial"/>
                <w:b/>
                <w:bCs/>
              </w:rPr>
              <w:t>RN nursing staff</w:t>
            </w:r>
            <w:r w:rsidRPr="00BB3760">
              <w:rPr>
                <w:rFonts w:cs="Arial"/>
              </w:rPr>
              <w:t xml:space="preserve"> with direct patient care responsibilities in all </w:t>
            </w:r>
            <w:r>
              <w:rPr>
                <w:rFonts w:cs="Arial"/>
              </w:rPr>
              <w:t xml:space="preserve">adult and pediatric </w:t>
            </w:r>
            <w:r w:rsidRPr="00C3477E">
              <w:rPr>
                <w:rFonts w:cs="Arial"/>
                <w:b/>
                <w:bCs/>
              </w:rPr>
              <w:t>mixed acuity Medical, Surgical, and Med-Surg Units</w:t>
            </w:r>
            <w:r w:rsidRPr="00BB3760">
              <w:rPr>
                <w:rFonts w:cs="Arial"/>
              </w:rPr>
              <w:t xml:space="preserve"> in each quarter.</w:t>
            </w:r>
          </w:p>
          <w:p w14:paraId="3DF072DA" w14:textId="77777777" w:rsidR="00D0444E" w:rsidRPr="00BB3760" w:rsidRDefault="00D0444E" w:rsidP="00D73F6A">
            <w:pPr>
              <w:autoSpaceDE w:val="0"/>
              <w:autoSpaceDN w:val="0"/>
              <w:adjustRightInd w:val="0"/>
              <w:rPr>
                <w:rFonts w:cs="Arial"/>
              </w:rPr>
            </w:pPr>
          </w:p>
          <w:p w14:paraId="4C72E78B" w14:textId="098BA1A6" w:rsidR="00D0444E" w:rsidRPr="00ED6698" w:rsidRDefault="00D0444E" w:rsidP="00D73F6A">
            <w:pPr>
              <w:autoSpaceDE w:val="0"/>
              <w:autoSpaceDN w:val="0"/>
              <w:adjustRightInd w:val="0"/>
              <w:rPr>
                <w:rFonts w:cs="Arial"/>
              </w:rPr>
            </w:pPr>
            <w:r w:rsidRPr="00ED6698">
              <w:rPr>
                <w:rFonts w:cs="Arial"/>
                <w:b/>
                <w:bCs/>
              </w:rPr>
              <w:t>Include</w:t>
            </w:r>
            <w:r w:rsidRPr="00ED6698">
              <w:rPr>
                <w:rFonts w:cs="Arial"/>
              </w:rPr>
              <w:t xml:space="preserve"> the total number of productive work hours worked by employe</w:t>
            </w:r>
            <w:r>
              <w:rPr>
                <w:rFonts w:cs="Arial"/>
              </w:rPr>
              <w:t>d</w:t>
            </w:r>
            <w:r w:rsidRPr="00ED6698">
              <w:rPr>
                <w:rFonts w:cs="Arial"/>
              </w:rPr>
              <w:t xml:space="preserve"> and contract</w:t>
            </w:r>
            <w:r>
              <w:rPr>
                <w:rFonts w:cs="Arial"/>
              </w:rPr>
              <w:t>ed</w:t>
            </w:r>
            <w:r w:rsidRPr="00ED6698">
              <w:rPr>
                <w:rFonts w:cs="Arial"/>
              </w:rPr>
              <w:t xml:space="preserve"> </w:t>
            </w:r>
            <w:r>
              <w:rPr>
                <w:rFonts w:cs="Arial"/>
              </w:rPr>
              <w:t xml:space="preserve">RN </w:t>
            </w:r>
            <w:r w:rsidRPr="00ED6698">
              <w:rPr>
                <w:rFonts w:cs="Arial"/>
              </w:rPr>
              <w:t>nursing staff</w:t>
            </w:r>
            <w:r>
              <w:rPr>
                <w:rFonts w:cs="Arial"/>
              </w:rPr>
              <w:t xml:space="preserve"> ONLY from question 1</w:t>
            </w:r>
            <w:r w:rsidR="001B2F0C">
              <w:rPr>
                <w:rFonts w:cs="Arial"/>
              </w:rPr>
              <w:t>2</w:t>
            </w:r>
            <w:r>
              <w:rPr>
                <w:rFonts w:cs="Arial"/>
              </w:rPr>
              <w:t>b</w:t>
            </w:r>
            <w:r w:rsidR="003351F6">
              <w:rPr>
                <w:rFonts w:cs="Arial"/>
              </w:rPr>
              <w:t xml:space="preserve"> or </w:t>
            </w:r>
            <w:r w:rsidR="00932333">
              <w:rPr>
                <w:rFonts w:cs="Arial"/>
              </w:rPr>
              <w:t>question 1</w:t>
            </w:r>
            <w:r w:rsidR="00182F18">
              <w:rPr>
                <w:rFonts w:cs="Arial"/>
              </w:rPr>
              <w:t>4</w:t>
            </w:r>
            <w:r w:rsidR="00932333">
              <w:rPr>
                <w:rFonts w:cs="Arial"/>
              </w:rPr>
              <w:t>b</w:t>
            </w:r>
            <w:r>
              <w:rPr>
                <w:rFonts w:cs="Arial"/>
              </w:rPr>
              <w:t>.</w:t>
            </w:r>
          </w:p>
        </w:tc>
      </w:tr>
    </w:tbl>
    <w:p w14:paraId="27C182E0" w14:textId="77777777" w:rsidR="00D0444E" w:rsidRDefault="00D0444E" w:rsidP="00D0444E">
      <w:pPr>
        <w:rPr>
          <w:rFonts w:cs="Arial"/>
        </w:rPr>
      </w:pPr>
    </w:p>
    <w:p w14:paraId="45C69A93" w14:textId="476522AC" w:rsidR="00D0444E" w:rsidRPr="00BB3760" w:rsidRDefault="00D0444E" w:rsidP="00D0444E">
      <w:pPr>
        <w:rPr>
          <w:rFonts w:cs="Arial"/>
        </w:rPr>
      </w:pPr>
      <w:r w:rsidRPr="009A5185">
        <w:rPr>
          <w:rFonts w:cs="Arial"/>
          <w:color w:val="000000"/>
        </w:rPr>
        <w:t>See</w:t>
      </w:r>
      <w:r>
        <w:rPr>
          <w:rFonts w:cs="Arial"/>
          <w:color w:val="000000"/>
        </w:rPr>
        <w:t xml:space="preserve"> </w:t>
      </w:r>
      <w:hyperlink w:anchor="_Total_Nursing_Care_1" w:history="1">
        <w:r w:rsidRPr="001F0B72">
          <w:rPr>
            <w:rStyle w:val="Hyperlink"/>
            <w:rFonts w:cs="Arial"/>
          </w:rPr>
          <w:t>FAQs</w:t>
        </w:r>
      </w:hyperlink>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p>
    <w:p w14:paraId="6F24D304" w14:textId="77777777" w:rsidR="00D0444E" w:rsidRDefault="00D0444E" w:rsidP="00D0444E">
      <w:pPr>
        <w:rPr>
          <w:b/>
          <w:color w:val="000000"/>
          <w:sz w:val="22"/>
        </w:rPr>
      </w:pPr>
      <w:r>
        <w:br w:type="page"/>
      </w:r>
    </w:p>
    <w:p w14:paraId="72C02395" w14:textId="77777777" w:rsidR="00D0444E" w:rsidRPr="004D26B9" w:rsidRDefault="00D0444E" w:rsidP="00D0444E">
      <w:pPr>
        <w:pStyle w:val="Heading44"/>
      </w:pPr>
      <w:bookmarkStart w:id="440" w:name="bsnspecs"/>
      <w:bookmarkEnd w:id="440"/>
      <w:r w:rsidRPr="004D26B9">
        <w:lastRenderedPageBreak/>
        <w:t xml:space="preserve">Percentage of RNs who are BSN-Prepared Specifications </w:t>
      </w:r>
    </w:p>
    <w:p w14:paraId="5021F0F5" w14:textId="77777777" w:rsidR="00D0444E" w:rsidRPr="00BB3760" w:rsidRDefault="00D0444E" w:rsidP="00D0444E">
      <w:pPr>
        <w:rPr>
          <w:rFonts w:cs="Arial"/>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7"/>
      </w:tblGrid>
      <w:tr w:rsidR="00D0444E" w:rsidRPr="00BB3760" w14:paraId="5F8979F8" w14:textId="77777777" w:rsidTr="00D73F6A">
        <w:trPr>
          <w:trHeight w:val="288"/>
          <w:jc w:val="center"/>
        </w:trPr>
        <w:tc>
          <w:tcPr>
            <w:tcW w:w="9477" w:type="dxa"/>
            <w:vAlign w:val="center"/>
          </w:tcPr>
          <w:p w14:paraId="4125BB26" w14:textId="77777777" w:rsidR="00D0444E" w:rsidRPr="00BB3760" w:rsidRDefault="00D0444E" w:rsidP="00D73F6A">
            <w:pPr>
              <w:autoSpaceDE w:val="0"/>
              <w:autoSpaceDN w:val="0"/>
              <w:adjustRightInd w:val="0"/>
              <w:rPr>
                <w:rFonts w:cs="Arial"/>
                <w:b/>
              </w:rPr>
            </w:pPr>
            <w:r w:rsidRPr="00BB3760">
              <w:rPr>
                <w:rFonts w:cs="Arial"/>
                <w:b/>
              </w:rPr>
              <w:t xml:space="preserve">Source: </w:t>
            </w:r>
            <w:r w:rsidRPr="00BB3760">
              <w:rPr>
                <w:rFonts w:cs="Arial"/>
                <w:bCs/>
              </w:rPr>
              <w:t>The Leapfrog Group</w:t>
            </w:r>
            <w:r w:rsidRPr="00BB3760">
              <w:rPr>
                <w:rFonts w:cs="Arial"/>
                <w:b/>
              </w:rPr>
              <w:t xml:space="preserve"> </w:t>
            </w:r>
          </w:p>
        </w:tc>
      </w:tr>
      <w:tr w:rsidR="00D0444E" w:rsidRPr="00BB3760" w14:paraId="31F2F069" w14:textId="77777777" w:rsidTr="00D73F6A">
        <w:trPr>
          <w:trHeight w:val="576"/>
          <w:jc w:val="center"/>
        </w:trPr>
        <w:tc>
          <w:tcPr>
            <w:tcW w:w="9477" w:type="dxa"/>
            <w:vAlign w:val="center"/>
          </w:tcPr>
          <w:p w14:paraId="3818FEC7" w14:textId="6560494B" w:rsidR="00D0444E" w:rsidRPr="00BB3760" w:rsidRDefault="00D0444E" w:rsidP="00D73F6A">
            <w:pPr>
              <w:rPr>
                <w:rFonts w:cs="Arial"/>
                <w:b/>
              </w:rPr>
            </w:pPr>
            <w:r w:rsidRPr="00BB3760">
              <w:rPr>
                <w:rFonts w:cs="Arial"/>
                <w:b/>
                <w:snapToGrid w:val="0"/>
              </w:rPr>
              <w:t xml:space="preserve">Reporting Period: </w:t>
            </w:r>
            <w:r w:rsidRPr="00BB3760">
              <w:rPr>
                <w:rFonts w:cs="Arial"/>
              </w:rPr>
              <w:t>Answer questions #17-19 based on the most recent day within the last 12-months for which you have complete data.</w:t>
            </w:r>
          </w:p>
        </w:tc>
      </w:tr>
      <w:tr w:rsidR="00D0444E" w:rsidRPr="00BB3760" w14:paraId="39C3564C" w14:textId="77777777" w:rsidTr="00D73F6A">
        <w:trPr>
          <w:trHeight w:val="980"/>
          <w:jc w:val="center"/>
        </w:trPr>
        <w:tc>
          <w:tcPr>
            <w:tcW w:w="9477" w:type="dxa"/>
          </w:tcPr>
          <w:p w14:paraId="4FFDB6FF" w14:textId="232FBBBB" w:rsidR="00D0444E" w:rsidRPr="00BB3760" w:rsidRDefault="00D0444E" w:rsidP="00D73F6A">
            <w:pPr>
              <w:autoSpaceDE w:val="0"/>
              <w:autoSpaceDN w:val="0"/>
              <w:adjustRightInd w:val="0"/>
              <w:rPr>
                <w:rFonts w:cs="Arial"/>
              </w:rPr>
            </w:pPr>
            <w:r w:rsidRPr="00BB3760">
              <w:rPr>
                <w:rFonts w:cs="Arial"/>
                <w:b/>
                <w:bCs/>
              </w:rPr>
              <w:t xml:space="preserve">Question #18 (denominator): </w:t>
            </w:r>
            <w:r w:rsidRPr="00BB3760">
              <w:rPr>
                <w:rFonts w:cs="Arial"/>
              </w:rPr>
              <w:t>Total number of employed RN nursing staff at the hospital with direct patient care responsibilities.</w:t>
            </w:r>
          </w:p>
          <w:p w14:paraId="53624015" w14:textId="77777777" w:rsidR="00D0444E" w:rsidRPr="00BB3760" w:rsidRDefault="00D0444E" w:rsidP="00D73F6A">
            <w:pPr>
              <w:autoSpaceDE w:val="0"/>
              <w:autoSpaceDN w:val="0"/>
              <w:adjustRightInd w:val="0"/>
              <w:rPr>
                <w:rFonts w:cs="Arial"/>
              </w:rPr>
            </w:pPr>
          </w:p>
          <w:p w14:paraId="7B415199" w14:textId="77777777" w:rsidR="00D0444E" w:rsidRPr="00BB3760" w:rsidRDefault="00D0444E" w:rsidP="00D73F6A">
            <w:pPr>
              <w:autoSpaceDE w:val="0"/>
              <w:autoSpaceDN w:val="0"/>
              <w:adjustRightInd w:val="0"/>
              <w:rPr>
                <w:rFonts w:cs="Arial"/>
              </w:rPr>
            </w:pPr>
            <w:r w:rsidRPr="00BB3760">
              <w:rPr>
                <w:rFonts w:cs="Arial"/>
                <w:u w:val="single"/>
              </w:rPr>
              <w:t>Included RN Nursing Staff</w:t>
            </w:r>
            <w:r w:rsidRPr="00BB3760">
              <w:rPr>
                <w:rFonts w:cs="Arial"/>
              </w:rPr>
              <w:t>:</w:t>
            </w:r>
          </w:p>
          <w:p w14:paraId="13E450F9" w14:textId="160F96CD" w:rsidR="00D0444E" w:rsidRPr="00BB3760" w:rsidRDefault="00D0444E" w:rsidP="00AD309C">
            <w:pPr>
              <w:pStyle w:val="ListParagraph"/>
              <w:numPr>
                <w:ilvl w:val="0"/>
                <w:numId w:val="359"/>
              </w:numPr>
              <w:rPr>
                <w:rFonts w:cs="Arial"/>
              </w:rPr>
            </w:pPr>
            <w:r w:rsidRPr="00BB3760">
              <w:rPr>
                <w:rFonts w:cs="Arial"/>
              </w:rPr>
              <w:t>Staff employed by the hospital in most hospital units, including observation,</w:t>
            </w:r>
            <w:r w:rsidR="00743916">
              <w:rPr>
                <w:rFonts w:cs="Arial"/>
              </w:rPr>
              <w:t xml:space="preserve"> </w:t>
            </w:r>
            <w:hyperlink w:anchor="colocatedendnote" w:history="1">
              <w:r w:rsidR="00743916" w:rsidRPr="00C84595">
                <w:rPr>
                  <w:rStyle w:val="Hyperlink"/>
                </w:rPr>
                <w:t>co-located</w:t>
              </w:r>
            </w:hyperlink>
            <w:r w:rsidR="00E81025" w:rsidRPr="003A5BED">
              <w:rPr>
                <w:vertAlign w:val="superscript"/>
              </w:rPr>
              <w:t>31</w:t>
            </w:r>
            <w:r w:rsidR="00E81025">
              <w:t xml:space="preserve"> </w:t>
            </w:r>
            <w:r w:rsidR="0009510E">
              <w:t xml:space="preserve"> o</w:t>
            </w:r>
            <w:r w:rsidRPr="00BB3760">
              <w:rPr>
                <w:rFonts w:cs="Arial"/>
              </w:rPr>
              <w:t>utpatient units, and emergency departments who:</w:t>
            </w:r>
          </w:p>
          <w:p w14:paraId="390313A2" w14:textId="77777777" w:rsidR="00D0444E" w:rsidRPr="00BB3760" w:rsidRDefault="00D0444E" w:rsidP="00AD309C">
            <w:pPr>
              <w:pStyle w:val="ListParagraph"/>
              <w:numPr>
                <w:ilvl w:val="1"/>
                <w:numId w:val="359"/>
              </w:numPr>
              <w:rPr>
                <w:rFonts w:cs="Arial"/>
              </w:rPr>
            </w:pPr>
            <w:r w:rsidRPr="00BB3760">
              <w:rPr>
                <w:rFonts w:cs="Arial"/>
              </w:rPr>
              <w:t xml:space="preserve">Are counted in the unit’s staffing matrix, </w:t>
            </w:r>
            <w:r w:rsidRPr="00BB3760">
              <w:rPr>
                <w:rFonts w:cs="Arial"/>
                <w:b/>
                <w:bCs/>
              </w:rPr>
              <w:t>and</w:t>
            </w:r>
          </w:p>
          <w:p w14:paraId="46150A03" w14:textId="77777777" w:rsidR="00D0444E" w:rsidRPr="00BB3760" w:rsidRDefault="00D0444E" w:rsidP="00AD309C">
            <w:pPr>
              <w:pStyle w:val="ListParagraph"/>
              <w:numPr>
                <w:ilvl w:val="1"/>
                <w:numId w:val="359"/>
              </w:numPr>
              <w:rPr>
                <w:rFonts w:cs="Arial"/>
              </w:rPr>
            </w:pPr>
            <w:r w:rsidRPr="00BB3760">
              <w:rPr>
                <w:rFonts w:cs="Arial"/>
              </w:rPr>
              <w:t xml:space="preserve">Are replaced if they call in sick, </w:t>
            </w:r>
            <w:r w:rsidRPr="00BB3760">
              <w:rPr>
                <w:rFonts w:cs="Arial"/>
                <w:b/>
                <w:bCs/>
              </w:rPr>
              <w:t>and</w:t>
            </w:r>
          </w:p>
          <w:p w14:paraId="302DFEF7" w14:textId="77777777" w:rsidR="00D0444E" w:rsidRPr="00BB3760" w:rsidRDefault="00D0444E" w:rsidP="00AD309C">
            <w:pPr>
              <w:pStyle w:val="ListParagraph"/>
              <w:numPr>
                <w:ilvl w:val="1"/>
                <w:numId w:val="359"/>
              </w:numPr>
              <w:rPr>
                <w:rFonts w:cs="Arial"/>
              </w:rPr>
            </w:pPr>
            <w:r w:rsidRPr="00BB3760">
              <w:rPr>
                <w:rFonts w:cs="Arial"/>
              </w:rPr>
              <w:t>Whose work hours are charged to the unit’s cost center</w:t>
            </w:r>
          </w:p>
          <w:p w14:paraId="6F9B1674" w14:textId="77777777" w:rsidR="00D0444E" w:rsidRPr="00BB3760" w:rsidRDefault="00D0444E" w:rsidP="00AD309C">
            <w:pPr>
              <w:pStyle w:val="ListParagraph"/>
              <w:numPr>
                <w:ilvl w:val="0"/>
                <w:numId w:val="359"/>
              </w:numPr>
              <w:autoSpaceDE w:val="0"/>
              <w:autoSpaceDN w:val="0"/>
              <w:adjustRightInd w:val="0"/>
              <w:rPr>
                <w:rFonts w:cs="Arial"/>
              </w:rPr>
            </w:pPr>
            <w:r w:rsidRPr="00BB3760">
              <w:rPr>
                <w:rFonts w:cs="Arial"/>
              </w:rPr>
              <w:t xml:space="preserve">Float staff who are assigned to a unit other than their unit of employment on an as-needed basis if they are assigned direct patient care responsibilities </w:t>
            </w:r>
          </w:p>
          <w:p w14:paraId="2BB96058" w14:textId="77777777" w:rsidR="00D0444E" w:rsidRPr="00BB3760" w:rsidRDefault="00D0444E" w:rsidP="00D73F6A">
            <w:pPr>
              <w:autoSpaceDE w:val="0"/>
              <w:autoSpaceDN w:val="0"/>
              <w:adjustRightInd w:val="0"/>
              <w:rPr>
                <w:rFonts w:cs="Arial"/>
              </w:rPr>
            </w:pPr>
          </w:p>
          <w:p w14:paraId="01B1E1B8" w14:textId="77777777" w:rsidR="00D0444E" w:rsidRPr="00BB3760" w:rsidRDefault="00D0444E" w:rsidP="00D73F6A">
            <w:pPr>
              <w:autoSpaceDE w:val="0"/>
              <w:autoSpaceDN w:val="0"/>
              <w:adjustRightInd w:val="0"/>
              <w:rPr>
                <w:rFonts w:cs="Arial"/>
              </w:rPr>
            </w:pPr>
            <w:r w:rsidRPr="00BB370E">
              <w:rPr>
                <w:rFonts w:cs="Arial"/>
                <w:u w:val="single"/>
              </w:rPr>
              <w:t>Excluded RN Nursing staff</w:t>
            </w:r>
            <w:r w:rsidRPr="00BB3760">
              <w:rPr>
                <w:rFonts w:cs="Arial"/>
              </w:rPr>
              <w:t>:</w:t>
            </w:r>
          </w:p>
          <w:p w14:paraId="202D09D7"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Staff that are not employed by the hospital (i.e., contracted/agency staff)</w:t>
            </w:r>
          </w:p>
          <w:p w14:paraId="7ADF4735"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Staff that are exclusively assigned to skilled nursing units or mixed acuity neonatal units</w:t>
            </w:r>
          </w:p>
          <w:p w14:paraId="62BBC5BF"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Staff that are part of specialty teams or are patient educators or case managers who are not assigned to a specific unit</w:t>
            </w:r>
          </w:p>
          <w:p w14:paraId="589E1637"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Unit secretaries or clerks or others with no direct patient care responsibilities</w:t>
            </w:r>
          </w:p>
          <w:p w14:paraId="43C7100D"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Staff that are primarily responsible for administrative tasks (at least 50% of their time is administrative)</w:t>
            </w:r>
          </w:p>
          <w:p w14:paraId="46BF94EB"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Advanced Practice Registered Nurses (APRNs), including certified nurse-midwife (CNM), clinical nurse specialist (CNS), certified nurse practitioner (CNP), and certified registered nurse anesthetist (CRNA)</w:t>
            </w:r>
          </w:p>
          <w:p w14:paraId="3EC0DF2D" w14:textId="77777777" w:rsidR="00D0444E" w:rsidRPr="00BB3760" w:rsidRDefault="00D0444E" w:rsidP="00D73F6A">
            <w:pPr>
              <w:autoSpaceDE w:val="0"/>
              <w:autoSpaceDN w:val="0"/>
              <w:adjustRightInd w:val="0"/>
              <w:rPr>
                <w:rFonts w:cs="Arial"/>
              </w:rPr>
            </w:pPr>
          </w:p>
          <w:p w14:paraId="083E9918" w14:textId="77777777" w:rsidR="00D0444E" w:rsidRPr="00BB3760" w:rsidRDefault="00D0444E" w:rsidP="00D73F6A">
            <w:pPr>
              <w:autoSpaceDE w:val="0"/>
              <w:autoSpaceDN w:val="0"/>
              <w:adjustRightInd w:val="0"/>
              <w:rPr>
                <w:rFonts w:cs="Arial"/>
                <w:u w:val="single"/>
              </w:rPr>
            </w:pPr>
            <w:r w:rsidRPr="00BB3760">
              <w:rPr>
                <w:rFonts w:cs="Arial"/>
                <w:u w:val="single"/>
              </w:rPr>
              <w:t>Direct Patient Care Responsibilities</w:t>
            </w:r>
            <w:r w:rsidRPr="00BB3760">
              <w:rPr>
                <w:rFonts w:cs="Arial"/>
              </w:rPr>
              <w:t xml:space="preserve"> are defined as patient centered nursing activities by hospital unit-based staff in the presence of the patient and activities that occur away from the patient that are patient related:</w:t>
            </w:r>
          </w:p>
          <w:p w14:paraId="6483D5BB"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Medication administration</w:t>
            </w:r>
          </w:p>
          <w:p w14:paraId="30AB40A0"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Nursing treatments</w:t>
            </w:r>
          </w:p>
          <w:p w14:paraId="34DAFDDC"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Nursing rounds</w:t>
            </w:r>
          </w:p>
          <w:p w14:paraId="5049C28E"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Admission, transfer, discharge activities</w:t>
            </w:r>
          </w:p>
          <w:p w14:paraId="38B98F10"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Patient teaching</w:t>
            </w:r>
          </w:p>
          <w:p w14:paraId="41B22B9C"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Patient communication</w:t>
            </w:r>
          </w:p>
          <w:p w14:paraId="6B3FCE7E"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Coordination of patient care</w:t>
            </w:r>
          </w:p>
          <w:p w14:paraId="09E1BB47"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Documentation time</w:t>
            </w:r>
          </w:p>
          <w:p w14:paraId="33DA3DE1"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Treatment planning</w:t>
            </w:r>
          </w:p>
          <w:p w14:paraId="5684A539" w14:textId="77777777" w:rsidR="00D0444E" w:rsidRPr="00BB3760" w:rsidRDefault="00D0444E" w:rsidP="00AD309C">
            <w:pPr>
              <w:pStyle w:val="ListParagraph"/>
              <w:numPr>
                <w:ilvl w:val="0"/>
                <w:numId w:val="148"/>
              </w:numPr>
              <w:autoSpaceDE w:val="0"/>
              <w:autoSpaceDN w:val="0"/>
              <w:adjustRightInd w:val="0"/>
              <w:rPr>
                <w:rFonts w:cs="Arial"/>
              </w:rPr>
            </w:pPr>
            <w:r w:rsidRPr="00BB3760">
              <w:rPr>
                <w:rFonts w:cs="Arial"/>
              </w:rPr>
              <w:t>Patient screening (e.g., fall risk) and assessment</w:t>
            </w:r>
          </w:p>
        </w:tc>
      </w:tr>
      <w:tr w:rsidR="00D0444E" w:rsidRPr="00BB3760" w14:paraId="375EAB73" w14:textId="77777777" w:rsidTr="00D73F6A">
        <w:trPr>
          <w:trHeight w:val="1728"/>
          <w:jc w:val="center"/>
        </w:trPr>
        <w:tc>
          <w:tcPr>
            <w:tcW w:w="9477" w:type="dxa"/>
            <w:vAlign w:val="center"/>
          </w:tcPr>
          <w:p w14:paraId="15D26C3E" w14:textId="5C0AFF92" w:rsidR="00D0444E" w:rsidRPr="00BB3760" w:rsidRDefault="00D0444E" w:rsidP="00D73F6A">
            <w:pPr>
              <w:rPr>
                <w:rFonts w:cs="Arial"/>
              </w:rPr>
            </w:pPr>
            <w:r w:rsidRPr="00BB3760">
              <w:rPr>
                <w:rFonts w:cs="Arial"/>
                <w:b/>
                <w:bCs/>
              </w:rPr>
              <w:t xml:space="preserve">Question #19 (numerator): </w:t>
            </w:r>
            <w:r w:rsidRPr="00BB3760">
              <w:rPr>
                <w:rFonts w:cs="Arial"/>
              </w:rPr>
              <w:t>Total number of employed RN nursing staff at the hospital with direct patient care responsibilities who have a BSN degree or higher (e.g., MSN, DNP, and PhD).</w:t>
            </w:r>
          </w:p>
          <w:p w14:paraId="448F36B4" w14:textId="77777777" w:rsidR="00D0444E" w:rsidRPr="00BB3760" w:rsidRDefault="00D0444E" w:rsidP="00D73F6A">
            <w:pPr>
              <w:rPr>
                <w:rFonts w:cs="Arial"/>
              </w:rPr>
            </w:pPr>
          </w:p>
          <w:p w14:paraId="4532695D" w14:textId="77777777" w:rsidR="00D0444E" w:rsidRPr="00BB3760" w:rsidRDefault="00D0444E" w:rsidP="00D73F6A">
            <w:pPr>
              <w:rPr>
                <w:rFonts w:cs="Arial"/>
              </w:rPr>
            </w:pPr>
            <w:r w:rsidRPr="00BB3760">
              <w:rPr>
                <w:rFonts w:cs="Arial"/>
              </w:rPr>
              <w:t>Note: Hospitals can use any method to identify RN nursing staff who have a BSN degree or higher, including:</w:t>
            </w:r>
          </w:p>
          <w:p w14:paraId="3A00E3AF" w14:textId="77777777" w:rsidR="00D0444E" w:rsidRPr="00BB3760" w:rsidRDefault="00D0444E" w:rsidP="00AD309C">
            <w:pPr>
              <w:numPr>
                <w:ilvl w:val="0"/>
                <w:numId w:val="184"/>
              </w:numPr>
              <w:rPr>
                <w:rFonts w:cs="Arial"/>
              </w:rPr>
            </w:pPr>
            <w:r w:rsidRPr="00BB3760">
              <w:rPr>
                <w:rFonts w:cs="Arial"/>
              </w:rPr>
              <w:t>NDNQI Annual RN Survey</w:t>
            </w:r>
          </w:p>
          <w:p w14:paraId="4F2B94AE" w14:textId="7284D5D9" w:rsidR="00D0444E" w:rsidRPr="00BB3760" w:rsidRDefault="00D0444E" w:rsidP="00AD309C">
            <w:pPr>
              <w:numPr>
                <w:ilvl w:val="0"/>
                <w:numId w:val="184"/>
              </w:numPr>
              <w:rPr>
                <w:rFonts w:cs="Arial"/>
              </w:rPr>
            </w:pPr>
            <w:r w:rsidRPr="00BB3760">
              <w:rPr>
                <w:rFonts w:cs="Arial"/>
              </w:rPr>
              <w:t xml:space="preserve">Data collected by the nurse managers at the </w:t>
            </w:r>
            <w:r w:rsidR="00B96808">
              <w:rPr>
                <w:rFonts w:cs="Arial"/>
              </w:rPr>
              <w:t>hospital</w:t>
            </w:r>
          </w:p>
          <w:p w14:paraId="55F3A476" w14:textId="77777777" w:rsidR="00D0444E" w:rsidRPr="00BB3760" w:rsidRDefault="00D0444E" w:rsidP="00AD309C">
            <w:pPr>
              <w:pStyle w:val="ListParagraph"/>
              <w:numPr>
                <w:ilvl w:val="0"/>
                <w:numId w:val="184"/>
              </w:numPr>
              <w:rPr>
                <w:rFonts w:cs="Arial"/>
              </w:rPr>
            </w:pPr>
            <w:r w:rsidRPr="00BB3760">
              <w:rPr>
                <w:rFonts w:cs="Arial"/>
              </w:rPr>
              <w:t>Information from HR or credentialing office, or</w:t>
            </w:r>
          </w:p>
          <w:p w14:paraId="7EF9271E" w14:textId="77777777" w:rsidR="00D0444E" w:rsidRPr="00BB3760" w:rsidRDefault="00D0444E" w:rsidP="00AD309C">
            <w:pPr>
              <w:pStyle w:val="ListParagraph"/>
              <w:numPr>
                <w:ilvl w:val="0"/>
                <w:numId w:val="184"/>
              </w:numPr>
              <w:rPr>
                <w:rFonts w:cs="Arial"/>
              </w:rPr>
            </w:pPr>
            <w:r w:rsidRPr="00BB3760">
              <w:rPr>
                <w:rFonts w:cs="Arial"/>
              </w:rPr>
              <w:t>Staff survey via SurveyMonkey or other free data collection tool.</w:t>
            </w:r>
          </w:p>
        </w:tc>
      </w:tr>
    </w:tbl>
    <w:p w14:paraId="45E436DD" w14:textId="77777777" w:rsidR="00D0444E" w:rsidRPr="00213A7F" w:rsidRDefault="00D0444E" w:rsidP="00D0444E">
      <w:pPr>
        <w:rPr>
          <w:b/>
          <w:color w:val="000000"/>
          <w:sz w:val="22"/>
        </w:rPr>
      </w:pPr>
    </w:p>
    <w:p w14:paraId="74FCEBA5" w14:textId="7FC2A450" w:rsidR="00D0444E" w:rsidRDefault="00D0444E" w:rsidP="00D0444E">
      <w:pPr>
        <w:rPr>
          <w:rFonts w:cs="Arial"/>
          <w:b/>
          <w:i/>
          <w:snapToGrid w:val="0"/>
          <w:sz w:val="22"/>
          <w:szCs w:val="22"/>
          <w:lang w:eastAsia="ja-JP"/>
        </w:rPr>
      </w:pPr>
      <w:r w:rsidRPr="009A5185">
        <w:rPr>
          <w:rFonts w:cs="Arial"/>
          <w:color w:val="000000"/>
        </w:rPr>
        <w:t>See</w:t>
      </w:r>
      <w:r>
        <w:rPr>
          <w:rFonts w:cs="Arial"/>
          <w:color w:val="000000"/>
        </w:rPr>
        <w:t xml:space="preserve"> </w:t>
      </w:r>
      <w:hyperlink w:anchor="_Total_Nursing_Care" w:history="1">
        <w:r w:rsidRPr="001F0B72">
          <w:rPr>
            <w:rStyle w:val="Hyperlink"/>
            <w:rFonts w:cs="Arial"/>
          </w:rPr>
          <w:t>FAQs</w:t>
        </w:r>
      </w:hyperlink>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r>
        <w:br w:type="page"/>
      </w:r>
    </w:p>
    <w:p w14:paraId="7DB01230" w14:textId="23E74D53" w:rsidR="00AF7112" w:rsidRPr="009A5185" w:rsidRDefault="00AF7112" w:rsidP="003440FB">
      <w:pPr>
        <w:pStyle w:val="BodyText3"/>
        <w:rPr>
          <w:rFonts w:cs="Arial"/>
          <w:lang w:eastAsia="ja-JP"/>
        </w:rPr>
      </w:pPr>
      <w:bookmarkStart w:id="441" w:name="_Toc236212810"/>
    </w:p>
    <w:p w14:paraId="66B6C6E1" w14:textId="7D50164B" w:rsidR="0003003B" w:rsidRPr="009A5185" w:rsidRDefault="00674415" w:rsidP="00CF5A6E">
      <w:pPr>
        <w:pStyle w:val="Heading2"/>
      </w:pPr>
      <w:bookmarkStart w:id="442" w:name="_Toc383775057"/>
      <w:bookmarkStart w:id="443" w:name="_Toc225877759"/>
      <w:r>
        <w:t xml:space="preserve">Section 5: </w:t>
      </w:r>
      <w:r w:rsidR="001708CD">
        <w:t>Physician and Nu</w:t>
      </w:r>
      <w:r w:rsidR="007C6D4E">
        <w:t>r</w:t>
      </w:r>
      <w:r w:rsidR="001708CD">
        <w:t xml:space="preserve">se </w:t>
      </w:r>
      <w:bookmarkEnd w:id="441"/>
      <w:r w:rsidR="00D55BF8">
        <w:t>Staffing</w:t>
      </w:r>
      <w:r w:rsidR="00474DDE">
        <w:t xml:space="preserve"> </w:t>
      </w:r>
      <w:r w:rsidR="0003003B" w:rsidRPr="009A5185">
        <w:t>Frequently Asked Questions (FAQs)</w:t>
      </w:r>
      <w:bookmarkEnd w:id="442"/>
      <w:bookmarkEnd w:id="443"/>
    </w:p>
    <w:p w14:paraId="0CF880EE" w14:textId="77777777" w:rsidR="00B125A3" w:rsidRDefault="00B125A3" w:rsidP="00B125A3">
      <w:pPr>
        <w:rPr>
          <w:rFonts w:cs="Arial"/>
          <w:lang w:eastAsia="ja-JP"/>
        </w:rPr>
      </w:pPr>
    </w:p>
    <w:p w14:paraId="6D903175" w14:textId="27030461" w:rsidR="00CE04EC" w:rsidRPr="009B5300" w:rsidRDefault="00CE04EC" w:rsidP="00B125A3">
      <w:pPr>
        <w:rPr>
          <w:rFonts w:cs="Arial"/>
          <w:b/>
          <w:i/>
          <w:snapToGrid w:val="0"/>
          <w:sz w:val="22"/>
          <w:szCs w:val="22"/>
          <w:lang w:eastAsia="ja-JP"/>
        </w:rPr>
      </w:pPr>
      <w:r w:rsidRPr="009B5300">
        <w:rPr>
          <w:rFonts w:cs="Arial"/>
          <w:b/>
          <w:i/>
          <w:snapToGrid w:val="0"/>
          <w:sz w:val="22"/>
          <w:szCs w:val="22"/>
          <w:lang w:eastAsia="ja-JP"/>
        </w:rPr>
        <w:t xml:space="preserve">Adult and Pediatric ICU </w:t>
      </w:r>
      <w:r>
        <w:rPr>
          <w:rFonts w:cs="Arial"/>
          <w:b/>
          <w:i/>
          <w:snapToGrid w:val="0"/>
          <w:sz w:val="22"/>
          <w:szCs w:val="22"/>
          <w:lang w:eastAsia="ja-JP"/>
        </w:rPr>
        <w:t>P</w:t>
      </w:r>
      <w:r w:rsidRPr="009B5300">
        <w:rPr>
          <w:rFonts w:cs="Arial"/>
          <w:b/>
          <w:i/>
          <w:snapToGrid w:val="0"/>
          <w:sz w:val="22"/>
          <w:szCs w:val="22"/>
          <w:lang w:eastAsia="ja-JP"/>
        </w:rPr>
        <w:t>hysician Staffing FAQs</w:t>
      </w:r>
    </w:p>
    <w:p w14:paraId="0381ED2B" w14:textId="77777777" w:rsidR="00CE04EC" w:rsidRPr="009A5185" w:rsidRDefault="00CE04EC" w:rsidP="00B125A3">
      <w:pPr>
        <w:rPr>
          <w:rFonts w:cs="Arial"/>
          <w:lang w:eastAsia="ja-JP"/>
        </w:rPr>
      </w:pPr>
    </w:p>
    <w:p w14:paraId="3476E01C" w14:textId="60EEC262" w:rsidR="00B125A3" w:rsidRPr="009A5185" w:rsidRDefault="0065217D" w:rsidP="00AB5B80">
      <w:pPr>
        <w:pStyle w:val="Heading3"/>
      </w:pPr>
      <w:bookmarkStart w:id="444" w:name="_Toc225877760"/>
      <w:r>
        <w:t xml:space="preserve">ICU </w:t>
      </w:r>
      <w:r w:rsidR="00B125A3" w:rsidRPr="009A5185">
        <w:t xml:space="preserve">General </w:t>
      </w:r>
      <w:r w:rsidR="00841087">
        <w:t>Questions</w:t>
      </w:r>
      <w:bookmarkEnd w:id="444"/>
    </w:p>
    <w:p w14:paraId="4F806E1C" w14:textId="687D4D8C" w:rsidR="0003003B" w:rsidRPr="009A5185" w:rsidRDefault="0003003B" w:rsidP="008D611A"/>
    <w:p w14:paraId="0D0CFD25" w14:textId="3B34788F" w:rsidR="00E4689D" w:rsidRPr="009A5185" w:rsidRDefault="00E4689D" w:rsidP="00AD309C">
      <w:pPr>
        <w:numPr>
          <w:ilvl w:val="0"/>
          <w:numId w:val="82"/>
        </w:numPr>
        <w:rPr>
          <w:rFonts w:cs="Arial"/>
          <w:b/>
        </w:rPr>
      </w:pPr>
      <w:r w:rsidRPr="009A5185">
        <w:rPr>
          <w:rFonts w:cs="Arial"/>
          <w:b/>
        </w:rPr>
        <w:t xml:space="preserve">What is the reporting period for </w:t>
      </w:r>
      <w:r w:rsidR="006B77DC" w:rsidRPr="009A5185">
        <w:rPr>
          <w:rFonts w:cs="Arial"/>
          <w:b/>
        </w:rPr>
        <w:t>th</w:t>
      </w:r>
      <w:r w:rsidR="006B77DC">
        <w:rPr>
          <w:rFonts w:cs="Arial"/>
          <w:b/>
        </w:rPr>
        <w:t>e ICU</w:t>
      </w:r>
      <w:r w:rsidR="006B77DC" w:rsidRPr="009A5185">
        <w:rPr>
          <w:rFonts w:cs="Arial"/>
          <w:b/>
        </w:rPr>
        <w:t xml:space="preserve"> </w:t>
      </w:r>
      <w:r w:rsidRPr="009A5185">
        <w:rPr>
          <w:rFonts w:cs="Arial"/>
          <w:b/>
        </w:rPr>
        <w:t>measure?</w:t>
      </w:r>
    </w:p>
    <w:p w14:paraId="4658272B" w14:textId="3F7979A7" w:rsidR="00E4689D" w:rsidRPr="009A5185" w:rsidRDefault="00E4689D" w:rsidP="00E4689D">
      <w:pPr>
        <w:ind w:left="720"/>
        <w:rPr>
          <w:rFonts w:cs="Arial"/>
        </w:rPr>
      </w:pPr>
      <w:r w:rsidRPr="009A5185">
        <w:rPr>
          <w:rFonts w:cs="Arial"/>
        </w:rPr>
        <w:t>Hospitals should report on Section 5</w:t>
      </w:r>
      <w:r w:rsidR="006B77DC">
        <w:rPr>
          <w:rFonts w:cs="Arial"/>
        </w:rPr>
        <w:t>A and 5B</w:t>
      </w:r>
      <w:r w:rsidRPr="009A5185">
        <w:rPr>
          <w:rFonts w:cs="Arial"/>
        </w:rPr>
        <w:t xml:space="preserve"> based on their staffing structure </w:t>
      </w:r>
      <w:r w:rsidR="00F256E3">
        <w:rPr>
          <w:rFonts w:cs="Arial"/>
          <w:u w:val="single"/>
        </w:rPr>
        <w:t>at the time they submit this section of the</w:t>
      </w:r>
      <w:r w:rsidRPr="009A5185">
        <w:rPr>
          <w:rFonts w:cs="Arial"/>
          <w:u w:val="single"/>
        </w:rPr>
        <w:t xml:space="preserve"> </w:t>
      </w:r>
      <w:r w:rsidR="00C14AFF" w:rsidRPr="009A5185">
        <w:rPr>
          <w:rFonts w:cs="Arial"/>
          <w:u w:val="single"/>
        </w:rPr>
        <w:t>Survey</w:t>
      </w:r>
      <w:r w:rsidRPr="009A5185">
        <w:rPr>
          <w:rFonts w:cs="Arial"/>
        </w:rPr>
        <w:t xml:space="preserve">. The staffing structure </w:t>
      </w:r>
      <w:r w:rsidR="002D207C">
        <w:rPr>
          <w:rFonts w:cs="Arial"/>
        </w:rPr>
        <w:t xml:space="preserve">must have </w:t>
      </w:r>
      <w:r w:rsidRPr="009A5185">
        <w:rPr>
          <w:rFonts w:cs="Arial"/>
        </w:rPr>
        <w:t>been in place for at least the past 3 months and should reflect the ordinary staffing structure for the ICU.</w:t>
      </w:r>
    </w:p>
    <w:p w14:paraId="3EE37556" w14:textId="77777777" w:rsidR="00E4689D" w:rsidRPr="009A5185" w:rsidRDefault="00E4689D" w:rsidP="00E4689D">
      <w:pPr>
        <w:ind w:left="720"/>
        <w:rPr>
          <w:rFonts w:cs="Arial"/>
        </w:rPr>
      </w:pPr>
    </w:p>
    <w:p w14:paraId="3719407B" w14:textId="77777777" w:rsidR="00E4689D" w:rsidRPr="009A5185" w:rsidRDefault="00E4689D" w:rsidP="00AD309C">
      <w:pPr>
        <w:numPr>
          <w:ilvl w:val="0"/>
          <w:numId w:val="82"/>
        </w:numPr>
        <w:rPr>
          <w:rFonts w:cs="Arial"/>
          <w:b/>
        </w:rPr>
      </w:pPr>
      <w:r w:rsidRPr="009A5185">
        <w:rPr>
          <w:rFonts w:cs="Arial"/>
          <w:b/>
        </w:rPr>
        <w:t>How should hospitals report if they have more than one type of qualifying ICU?</w:t>
      </w:r>
    </w:p>
    <w:p w14:paraId="5ECB7929" w14:textId="6A71EE64" w:rsidR="00E4689D" w:rsidRPr="00E211BE" w:rsidRDefault="005F2BA1" w:rsidP="000F510F">
      <w:pPr>
        <w:ind w:left="720"/>
        <w:rPr>
          <w:rFonts w:cs="Arial"/>
          <w:iCs/>
        </w:rPr>
      </w:pPr>
      <w:r w:rsidRPr="00E211BE">
        <w:rPr>
          <w:rFonts w:cs="Arial"/>
          <w:iCs/>
        </w:rPr>
        <w:t>If your hospital has more than one applicable ICU</w:t>
      </w:r>
      <w:r w:rsidR="00786DF6">
        <w:rPr>
          <w:rFonts w:cs="Arial"/>
          <w:iCs/>
        </w:rPr>
        <w:t xml:space="preserve"> </w:t>
      </w:r>
      <w:r w:rsidR="00786DF6" w:rsidRPr="00786DF6">
        <w:rPr>
          <w:rFonts w:cs="Arial"/>
          <w:iCs/>
        </w:rPr>
        <w:t>(i.e., multiple adult ICUs or multiple pediatric ICUs)</w:t>
      </w:r>
      <w:r w:rsidRPr="00E211BE">
        <w:rPr>
          <w:rFonts w:cs="Arial"/>
          <w:iCs/>
        </w:rPr>
        <w:t xml:space="preserve">, respond to all questions </w:t>
      </w:r>
      <w:r w:rsidR="00F7083E">
        <w:rPr>
          <w:rFonts w:cs="Arial"/>
          <w:iCs/>
        </w:rPr>
        <w:t xml:space="preserve">in </w:t>
      </w:r>
      <w:r w:rsidR="00786DF6">
        <w:rPr>
          <w:rFonts w:cs="Arial"/>
          <w:iCs/>
        </w:rPr>
        <w:t>each</w:t>
      </w:r>
      <w:r w:rsidR="00786DF6" w:rsidRPr="00E211BE">
        <w:rPr>
          <w:rFonts w:cs="Arial"/>
          <w:iCs/>
        </w:rPr>
        <w:t xml:space="preserve"> </w:t>
      </w:r>
      <w:r w:rsidRPr="00E211BE">
        <w:rPr>
          <w:rFonts w:cs="Arial"/>
          <w:iCs/>
        </w:rPr>
        <w:t>section based on the ICU that has the lowest level of staffing by physicians certified in critical care medicine</w:t>
      </w:r>
      <w:r w:rsidR="0070116C" w:rsidRPr="00E211BE">
        <w:rPr>
          <w:rFonts w:cs="Arial"/>
          <w:iCs/>
        </w:rPr>
        <w:t>.</w:t>
      </w:r>
      <w:r w:rsidR="00E211BE" w:rsidRPr="00E211BE">
        <w:rPr>
          <w:rFonts w:cs="Arial"/>
          <w:iCs/>
        </w:rPr>
        <w:t xml:space="preserve"> Review </w:t>
      </w:r>
      <w:hyperlink w:anchor="Endnote22_CCPatients" w:history="1">
        <w:r w:rsidR="00E211BE" w:rsidRPr="00987CCC">
          <w:rPr>
            <w:rStyle w:val="Hyperlink"/>
            <w:rFonts w:cs="Arial"/>
            <w:iCs/>
          </w:rPr>
          <w:t>endnote 34</w:t>
        </w:r>
      </w:hyperlink>
      <w:r w:rsidR="00E211BE" w:rsidRPr="00E211BE">
        <w:rPr>
          <w:rFonts w:cs="Arial"/>
          <w:iCs/>
        </w:rPr>
        <w:t xml:space="preserve"> for more information. </w:t>
      </w:r>
    </w:p>
    <w:p w14:paraId="3EF408DD" w14:textId="77777777" w:rsidR="00770A88" w:rsidRPr="009A5185" w:rsidRDefault="00770A88" w:rsidP="000F510F">
      <w:pPr>
        <w:ind w:left="720"/>
        <w:rPr>
          <w:rFonts w:cs="Arial"/>
        </w:rPr>
      </w:pPr>
    </w:p>
    <w:p w14:paraId="6EFC31DC" w14:textId="2AE1D998" w:rsidR="007A0378" w:rsidRPr="0086266E" w:rsidRDefault="00770A88" w:rsidP="00AD309C">
      <w:pPr>
        <w:pStyle w:val="ListParagraph"/>
        <w:numPr>
          <w:ilvl w:val="0"/>
          <w:numId w:val="82"/>
        </w:numPr>
        <w:spacing w:after="200"/>
        <w:rPr>
          <w:rFonts w:cs="Arial"/>
          <w:b/>
        </w:rPr>
      </w:pPr>
      <w:r w:rsidRPr="009A5185">
        <w:rPr>
          <w:rFonts w:cs="Arial"/>
          <w:b/>
        </w:rPr>
        <w:t xml:space="preserve">Does Leapfrog’s </w:t>
      </w:r>
      <w:r w:rsidR="003D274E">
        <w:rPr>
          <w:rFonts w:cs="Arial"/>
          <w:b/>
        </w:rPr>
        <w:t>ICU</w:t>
      </w:r>
      <w:r w:rsidR="003D274E" w:rsidRPr="009A5185">
        <w:rPr>
          <w:rFonts w:cs="Arial"/>
          <w:b/>
        </w:rPr>
        <w:t xml:space="preserve"> </w:t>
      </w:r>
      <w:r w:rsidRPr="009A5185">
        <w:rPr>
          <w:rFonts w:cs="Arial"/>
          <w:b/>
        </w:rPr>
        <w:t>standard apply to mixed acuity units? A multi-organizational service unit (MOSU) unit?</w:t>
      </w:r>
      <w:r w:rsidRPr="009A5185">
        <w:rPr>
          <w:rFonts w:cs="Arial"/>
          <w:b/>
        </w:rPr>
        <w:br/>
      </w:r>
      <w:r w:rsidRPr="009A5185">
        <w:rPr>
          <w:rFonts w:cs="Arial"/>
        </w:rPr>
        <w:t xml:space="preserve">The standard applies to </w:t>
      </w:r>
      <w:r w:rsidR="00570756">
        <w:rPr>
          <w:rFonts w:cs="Arial"/>
        </w:rPr>
        <w:t>all adult and pediatric general medical</w:t>
      </w:r>
      <w:r w:rsidR="00D12CDC">
        <w:rPr>
          <w:rFonts w:cs="Arial"/>
        </w:rPr>
        <w:t>, surgical, medical/</w:t>
      </w:r>
      <w:r w:rsidR="00570756">
        <w:rPr>
          <w:rFonts w:cs="Arial"/>
        </w:rPr>
        <w:t>surgical</w:t>
      </w:r>
      <w:r w:rsidR="009D7EF1">
        <w:rPr>
          <w:rFonts w:cs="Arial"/>
        </w:rPr>
        <w:t>,</w:t>
      </w:r>
      <w:r w:rsidR="00570756">
        <w:rPr>
          <w:rFonts w:cs="Arial"/>
        </w:rPr>
        <w:t xml:space="preserve"> and neuro critical care patients (medical and surgical), including those patients in mixed acuity units</w:t>
      </w:r>
      <w:r w:rsidR="00975F4E">
        <w:rPr>
          <w:rFonts w:cs="Arial"/>
        </w:rPr>
        <w:t xml:space="preserve"> and other </w:t>
      </w:r>
      <w:r w:rsidR="00732AC2">
        <w:rPr>
          <w:rFonts w:cs="Arial"/>
        </w:rPr>
        <w:t xml:space="preserve">non-critical care </w:t>
      </w:r>
      <w:r w:rsidR="00975F4E">
        <w:rPr>
          <w:rFonts w:cs="Arial"/>
        </w:rPr>
        <w:t>units</w:t>
      </w:r>
      <w:r w:rsidR="00570756">
        <w:rPr>
          <w:rFonts w:cs="Arial"/>
        </w:rPr>
        <w:t xml:space="preserve">. </w:t>
      </w:r>
    </w:p>
    <w:p w14:paraId="11AD3360" w14:textId="77777777" w:rsidR="007A0378" w:rsidRDefault="007A0378" w:rsidP="007A0378">
      <w:pPr>
        <w:pStyle w:val="ListParagraph"/>
        <w:spacing w:after="200"/>
        <w:rPr>
          <w:rFonts w:cs="Arial"/>
          <w:b/>
        </w:rPr>
      </w:pPr>
    </w:p>
    <w:p w14:paraId="0DEB7FF6" w14:textId="65A426DD" w:rsidR="002D210D" w:rsidRPr="0062341E" w:rsidRDefault="002D210D" w:rsidP="00AD309C">
      <w:pPr>
        <w:pStyle w:val="ListParagraph"/>
        <w:numPr>
          <w:ilvl w:val="0"/>
          <w:numId w:val="82"/>
        </w:numPr>
        <w:spacing w:after="200"/>
        <w:rPr>
          <w:rFonts w:cs="Arial"/>
          <w:b/>
        </w:rPr>
      </w:pPr>
      <w:r w:rsidRPr="0062341E">
        <w:rPr>
          <w:rFonts w:cs="Arial"/>
          <w:b/>
        </w:rPr>
        <w:t>Are cardiac critical care patients in a general medical</w:t>
      </w:r>
      <w:r w:rsidR="006C47CF">
        <w:rPr>
          <w:rFonts w:cs="Arial"/>
          <w:b/>
        </w:rPr>
        <w:t xml:space="preserve">, </w:t>
      </w:r>
      <w:r w:rsidRPr="0062341E">
        <w:rPr>
          <w:rFonts w:cs="Arial"/>
          <w:b/>
        </w:rPr>
        <w:t>surgical</w:t>
      </w:r>
      <w:r w:rsidR="006C47CF">
        <w:rPr>
          <w:rFonts w:cs="Arial"/>
          <w:b/>
        </w:rPr>
        <w:t xml:space="preserve">, </w:t>
      </w:r>
      <w:r w:rsidR="00452888">
        <w:rPr>
          <w:rFonts w:cs="Arial"/>
          <w:b/>
        </w:rPr>
        <w:t xml:space="preserve">and </w:t>
      </w:r>
      <w:r w:rsidR="006C47CF">
        <w:rPr>
          <w:rFonts w:cs="Arial"/>
          <w:b/>
        </w:rPr>
        <w:t xml:space="preserve">medical/surgical </w:t>
      </w:r>
      <w:r w:rsidRPr="0062341E">
        <w:rPr>
          <w:rFonts w:cs="Arial"/>
          <w:b/>
        </w:rPr>
        <w:t xml:space="preserve"> ICU required to be co-managed by an intensivist? </w:t>
      </w:r>
    </w:p>
    <w:p w14:paraId="5C882616" w14:textId="0D035F55" w:rsidR="00242B29" w:rsidRDefault="002D210D" w:rsidP="005A0935">
      <w:pPr>
        <w:pStyle w:val="ListParagraph"/>
        <w:spacing w:after="200"/>
        <w:rPr>
          <w:rFonts w:cs="Arial"/>
          <w:bCs/>
        </w:rPr>
      </w:pPr>
      <w:r w:rsidRPr="0062341E">
        <w:rPr>
          <w:rFonts w:cs="Arial"/>
          <w:bCs/>
        </w:rPr>
        <w:t xml:space="preserve">Cardiac critical care patients in a general </w:t>
      </w:r>
      <w:r w:rsidR="00374E03">
        <w:rPr>
          <w:rFonts w:cs="Arial"/>
          <w:bCs/>
        </w:rPr>
        <w:t>medical</w:t>
      </w:r>
      <w:r w:rsidR="00CC1230">
        <w:rPr>
          <w:rFonts w:cs="Arial"/>
          <w:bCs/>
        </w:rPr>
        <w:t xml:space="preserve">, </w:t>
      </w:r>
      <w:r w:rsidRPr="0062341E">
        <w:rPr>
          <w:rFonts w:cs="Arial"/>
          <w:bCs/>
        </w:rPr>
        <w:t>surgical</w:t>
      </w:r>
      <w:r w:rsidR="00CC1230">
        <w:rPr>
          <w:rFonts w:cs="Arial"/>
          <w:bCs/>
        </w:rPr>
        <w:t xml:space="preserve">, </w:t>
      </w:r>
      <w:r w:rsidR="005B29BE">
        <w:rPr>
          <w:rFonts w:cs="Arial"/>
          <w:bCs/>
        </w:rPr>
        <w:t xml:space="preserve">or </w:t>
      </w:r>
      <w:r w:rsidR="00CC1230">
        <w:rPr>
          <w:rFonts w:cs="Arial"/>
          <w:bCs/>
        </w:rPr>
        <w:t>medical/surgical</w:t>
      </w:r>
      <w:r w:rsidRPr="0062341E">
        <w:rPr>
          <w:rFonts w:cs="Arial"/>
          <w:bCs/>
        </w:rPr>
        <w:t xml:space="preserve"> ICU that</w:t>
      </w:r>
      <w:r w:rsidR="00374E03">
        <w:rPr>
          <w:rFonts w:cs="Arial"/>
          <w:bCs/>
        </w:rPr>
        <w:t xml:space="preserve"> are in</w:t>
      </w:r>
      <w:r w:rsidRPr="0062341E">
        <w:rPr>
          <w:rFonts w:cs="Arial"/>
          <w:bCs/>
        </w:rPr>
        <w:t xml:space="preserve"> beds</w:t>
      </w:r>
      <w:r w:rsidR="00374E03">
        <w:rPr>
          <w:rFonts w:cs="Arial"/>
          <w:bCs/>
        </w:rPr>
        <w:t xml:space="preserve"> </w:t>
      </w:r>
      <w:r w:rsidR="00374E03" w:rsidRPr="00A52EAE">
        <w:rPr>
          <w:rFonts w:cs="Arial"/>
          <w:bCs/>
          <w:u w:val="single"/>
        </w:rPr>
        <w:t>dedicated</w:t>
      </w:r>
      <w:r w:rsidR="00374E03">
        <w:rPr>
          <w:rFonts w:cs="Arial"/>
          <w:bCs/>
        </w:rPr>
        <w:t xml:space="preserve"> to cardiac critical care patients</w:t>
      </w:r>
      <w:r w:rsidRPr="0062341E">
        <w:rPr>
          <w:rFonts w:cs="Arial"/>
          <w:bCs/>
        </w:rPr>
        <w:t xml:space="preserve"> and</w:t>
      </w:r>
      <w:r w:rsidR="00374E03">
        <w:rPr>
          <w:rFonts w:cs="Arial"/>
          <w:bCs/>
        </w:rPr>
        <w:t xml:space="preserve"> being cared for by </w:t>
      </w:r>
      <w:r w:rsidR="00374E03" w:rsidRPr="00A52EAE">
        <w:rPr>
          <w:rFonts w:cs="Arial"/>
          <w:bCs/>
          <w:u w:val="single"/>
        </w:rPr>
        <w:t xml:space="preserve">dedicated </w:t>
      </w:r>
      <w:r w:rsidR="00374E03">
        <w:rPr>
          <w:rFonts w:cs="Arial"/>
          <w:bCs/>
        </w:rPr>
        <w:t xml:space="preserve">cardiac physicians </w:t>
      </w:r>
      <w:r w:rsidR="0015193A">
        <w:rPr>
          <w:rFonts w:cs="Arial"/>
          <w:bCs/>
        </w:rPr>
        <w:t xml:space="preserve">(e.g., cardiologist or cardiac surgeon) </w:t>
      </w:r>
      <w:r w:rsidR="00374E03">
        <w:rPr>
          <w:rFonts w:cs="Arial"/>
          <w:bCs/>
        </w:rPr>
        <w:t xml:space="preserve">and </w:t>
      </w:r>
      <w:r w:rsidRPr="0062341E">
        <w:rPr>
          <w:rFonts w:cs="Arial"/>
          <w:bCs/>
        </w:rPr>
        <w:t xml:space="preserve">nursing staff are not included in Leapfrog's ICU Physician Staffing standard and do not need to be managed/co-managed by </w:t>
      </w:r>
      <w:r w:rsidR="00374E03">
        <w:rPr>
          <w:rFonts w:cs="Arial"/>
          <w:bCs/>
        </w:rPr>
        <w:t>the</w:t>
      </w:r>
      <w:r w:rsidRPr="0062341E">
        <w:rPr>
          <w:rFonts w:cs="Arial"/>
          <w:bCs/>
        </w:rPr>
        <w:t xml:space="preserve"> intensivist.</w:t>
      </w:r>
      <w:r w:rsidR="00374E03">
        <w:rPr>
          <w:rFonts w:cs="Arial"/>
          <w:bCs/>
        </w:rPr>
        <w:t xml:space="preserve"> </w:t>
      </w:r>
      <w:r w:rsidR="00AC6D00">
        <w:rPr>
          <w:rFonts w:cs="Arial"/>
          <w:bCs/>
        </w:rPr>
        <w:t>However, c</w:t>
      </w:r>
      <w:r w:rsidR="00374E03">
        <w:rPr>
          <w:rFonts w:cs="Arial"/>
          <w:bCs/>
        </w:rPr>
        <w:t>ardiac critical care patients in a general medical</w:t>
      </w:r>
      <w:r w:rsidR="00666C80">
        <w:rPr>
          <w:rFonts w:cs="Arial"/>
          <w:bCs/>
        </w:rPr>
        <w:t xml:space="preserve">, </w:t>
      </w:r>
      <w:r w:rsidR="00374E03">
        <w:rPr>
          <w:rFonts w:cs="Arial"/>
          <w:bCs/>
        </w:rPr>
        <w:t>surgical</w:t>
      </w:r>
      <w:r w:rsidR="008B43FC">
        <w:rPr>
          <w:rFonts w:cs="Arial"/>
          <w:bCs/>
        </w:rPr>
        <w:t>, or medical/surgical</w:t>
      </w:r>
      <w:r w:rsidR="00374E03">
        <w:rPr>
          <w:rFonts w:cs="Arial"/>
          <w:bCs/>
        </w:rPr>
        <w:t xml:space="preserve"> ICU bed being cared for by general medical or surgical critical care physicians and nursing staff are included in the standard and do need to be managed/co-managed by the intensivist. </w:t>
      </w:r>
      <w:r w:rsidR="0070116C">
        <w:rPr>
          <w:rFonts w:cs="Arial"/>
          <w:bCs/>
        </w:rPr>
        <w:t>Additional</w:t>
      </w:r>
      <w:r w:rsidR="00AC6D00" w:rsidRPr="00AC6D00">
        <w:rPr>
          <w:rFonts w:cs="Arial"/>
          <w:bCs/>
        </w:rPr>
        <w:t xml:space="preserve"> clarification </w:t>
      </w:r>
      <w:r w:rsidR="0070116C">
        <w:rPr>
          <w:rFonts w:cs="Arial"/>
          <w:bCs/>
        </w:rPr>
        <w:t xml:space="preserve">is available </w:t>
      </w:r>
      <w:hyperlink w:anchor="generalmedicalsurgicalandneuroicu" w:history="1">
        <w:r w:rsidR="0070116C" w:rsidRPr="0070116C">
          <w:rPr>
            <w:rStyle w:val="Hyperlink"/>
            <w:rFonts w:cs="Arial"/>
            <w:bCs/>
          </w:rPr>
          <w:t>here</w:t>
        </w:r>
      </w:hyperlink>
      <w:r w:rsidR="0070116C">
        <w:rPr>
          <w:rFonts w:cs="Arial"/>
          <w:bCs/>
        </w:rPr>
        <w:t xml:space="preserve">. </w:t>
      </w:r>
    </w:p>
    <w:p w14:paraId="3DB70870" w14:textId="77777777" w:rsidR="00D40873" w:rsidRDefault="00D40873" w:rsidP="005A0935">
      <w:pPr>
        <w:pStyle w:val="ListParagraph"/>
        <w:spacing w:after="200"/>
        <w:rPr>
          <w:rFonts w:cs="Arial"/>
          <w:bCs/>
        </w:rPr>
      </w:pPr>
    </w:p>
    <w:p w14:paraId="73CC4A2E" w14:textId="2311A095" w:rsidR="00D40873" w:rsidRDefault="003D274E" w:rsidP="00AD309C">
      <w:pPr>
        <w:pStyle w:val="ListParagraph"/>
        <w:numPr>
          <w:ilvl w:val="0"/>
          <w:numId w:val="82"/>
        </w:numPr>
        <w:spacing w:after="200"/>
        <w:rPr>
          <w:rFonts w:cs="Arial"/>
          <w:b/>
        </w:rPr>
      </w:pPr>
      <w:r w:rsidRPr="003D274E">
        <w:rPr>
          <w:rFonts w:cs="Arial"/>
          <w:b/>
        </w:rPr>
        <w:t xml:space="preserve">Does Leapfrog’s ICU Physician Staffing standard include cardiac critical care patients? </w:t>
      </w:r>
    </w:p>
    <w:p w14:paraId="027053BB" w14:textId="7088344A" w:rsidR="003D274E" w:rsidRPr="00F52FB6" w:rsidRDefault="00F52FB6" w:rsidP="00F52FB6">
      <w:pPr>
        <w:pStyle w:val="ListParagraph"/>
        <w:spacing w:after="200"/>
      </w:pPr>
      <w:r w:rsidRPr="00F52FB6">
        <w:rPr>
          <w:rFonts w:cs="Arial"/>
          <w:bCs/>
        </w:rPr>
        <w:t>For the purposes of reporting on Section 5</w:t>
      </w:r>
      <w:r w:rsidR="007B57A7">
        <w:rPr>
          <w:rFonts w:cs="Arial"/>
          <w:bCs/>
        </w:rPr>
        <w:t>A and 5B</w:t>
      </w:r>
      <w:r w:rsidRPr="00F52FB6">
        <w:rPr>
          <w:rFonts w:cs="Arial"/>
          <w:bCs/>
        </w:rPr>
        <w:t>, cardiac critical care patients in general</w:t>
      </w:r>
      <w:r w:rsidRPr="001F2388">
        <w:t xml:space="preserve"> medical</w:t>
      </w:r>
      <w:r w:rsidR="00BC33DF">
        <w:t>, surgical,</w:t>
      </w:r>
      <w:r w:rsidR="00FF7B38">
        <w:t xml:space="preserve"> or medical/</w:t>
      </w:r>
      <w:r w:rsidRPr="001F2388">
        <w:t xml:space="preserve">surgical ICU beds being cared for by general medical </w:t>
      </w:r>
      <w:r w:rsidR="00A90134">
        <w:t>and/</w:t>
      </w:r>
      <w:r w:rsidRPr="001F2388">
        <w:t>or surgical critical care physicians and nursing staff are included in the standard and need to be managed/co-managed by the intensivist. Cardiac critical care patients in a general medical</w:t>
      </w:r>
      <w:r w:rsidR="00D14E74">
        <w:t xml:space="preserve">, </w:t>
      </w:r>
      <w:r w:rsidRPr="001F2388">
        <w:t>surgical</w:t>
      </w:r>
      <w:r w:rsidR="00D14E74">
        <w:t>, or medical/surgical</w:t>
      </w:r>
      <w:r w:rsidRPr="001F2388">
        <w:t xml:space="preserve"> ICU that are in beds dedicated to cardiac critical care patients and being cared for by dedicated cardiac physicians (e.g., cardiologist or cardiac surgeon) and nursing staff are not included in Leapfrog's ICU Physician Staffing standard and do not need to be managed/co-managed by the intensivist.</w:t>
      </w:r>
    </w:p>
    <w:p w14:paraId="1B58F6D8" w14:textId="03363771" w:rsidR="0002306E" w:rsidRPr="009A5185" w:rsidRDefault="00786DF6" w:rsidP="00AB5B80">
      <w:pPr>
        <w:pStyle w:val="Heading3"/>
      </w:pPr>
      <w:bookmarkStart w:id="445" w:name="_Toc225877761"/>
      <w:r>
        <w:t xml:space="preserve">ICU </w:t>
      </w:r>
      <w:r w:rsidR="0002306E" w:rsidRPr="009A5185">
        <w:t>Certification</w:t>
      </w:r>
      <w:bookmarkEnd w:id="445"/>
      <w:r w:rsidR="0002306E" w:rsidRPr="009A5185">
        <w:t xml:space="preserve"> </w:t>
      </w:r>
    </w:p>
    <w:p w14:paraId="3F027AA9" w14:textId="77777777" w:rsidR="0002306E" w:rsidRPr="009A5185" w:rsidRDefault="0002306E" w:rsidP="0002306E">
      <w:pPr>
        <w:ind w:left="720"/>
        <w:rPr>
          <w:rFonts w:cs="Arial"/>
          <w:b/>
        </w:rPr>
      </w:pPr>
    </w:p>
    <w:p w14:paraId="5D287617" w14:textId="1F59E258" w:rsidR="0002306E" w:rsidRPr="00D17229" w:rsidRDefault="0002306E" w:rsidP="00AD309C">
      <w:pPr>
        <w:pStyle w:val="ListParagraph"/>
        <w:numPr>
          <w:ilvl w:val="0"/>
          <w:numId w:val="82"/>
        </w:numPr>
        <w:rPr>
          <w:rFonts w:cs="Arial"/>
          <w:b/>
        </w:rPr>
      </w:pPr>
      <w:r w:rsidRPr="00D17229">
        <w:rPr>
          <w:rFonts w:cs="Arial"/>
          <w:b/>
        </w:rPr>
        <w:t>Is there any empirical basis for specifying a minimum annual number of days of ICU experience for each board-eligible physician providing ICU care?</w:t>
      </w:r>
    </w:p>
    <w:p w14:paraId="7447423E" w14:textId="77777777" w:rsidR="0002306E" w:rsidRPr="009A5185" w:rsidRDefault="0002306E" w:rsidP="0002306E">
      <w:pPr>
        <w:ind w:left="720"/>
        <w:rPr>
          <w:rFonts w:cs="Arial"/>
        </w:rPr>
      </w:pPr>
      <w:r w:rsidRPr="009A5185">
        <w:rPr>
          <w:rFonts w:cs="Arial"/>
        </w:rPr>
        <w:t>No. Accordingly, if it is added to the Leapfrog standard in the future, it will be based on newly published research and expert advice.</w:t>
      </w:r>
    </w:p>
    <w:p w14:paraId="6CC54852" w14:textId="77777777" w:rsidR="0002306E" w:rsidRPr="009A5185" w:rsidRDefault="0002306E" w:rsidP="0002306E">
      <w:pPr>
        <w:rPr>
          <w:rFonts w:cs="Arial"/>
        </w:rPr>
      </w:pPr>
    </w:p>
    <w:p w14:paraId="67745F1B" w14:textId="77777777" w:rsidR="0002306E" w:rsidRPr="009A5185" w:rsidRDefault="0002306E" w:rsidP="00AD309C">
      <w:pPr>
        <w:pStyle w:val="ListParagraph"/>
        <w:numPr>
          <w:ilvl w:val="0"/>
          <w:numId w:val="82"/>
        </w:numPr>
        <w:rPr>
          <w:rFonts w:cs="Arial"/>
          <w:b/>
        </w:rPr>
      </w:pPr>
      <w:r w:rsidRPr="009A5185">
        <w:rPr>
          <w:rFonts w:cs="Arial"/>
          <w:b/>
        </w:rPr>
        <w:t>Do all intensivists serving as tele-intensivists need to meet Leapfrog’s definition of “certified in critical care medicine”?</w:t>
      </w:r>
    </w:p>
    <w:p w14:paraId="76718F9B" w14:textId="77777777" w:rsidR="0002306E" w:rsidRPr="009A5185" w:rsidRDefault="0002306E" w:rsidP="0002306E">
      <w:pPr>
        <w:pStyle w:val="ListParagraph"/>
        <w:rPr>
          <w:rFonts w:cs="Arial"/>
        </w:rPr>
      </w:pPr>
      <w:r w:rsidRPr="009A5185">
        <w:rPr>
          <w:rFonts w:cs="Arial"/>
        </w:rPr>
        <w:t xml:space="preserve">Yes. All intensivists who serve as tele-intensivists do need to meet </w:t>
      </w:r>
      <w:hyperlink w:anchor="Endnote25_Certified" w:history="1">
        <w:r w:rsidRPr="0070116C">
          <w:rPr>
            <w:rStyle w:val="Hyperlink"/>
            <w:rFonts w:cs="Arial"/>
          </w:rPr>
          <w:t>Leapfrog’s definition</w:t>
        </w:r>
      </w:hyperlink>
      <w:r w:rsidRPr="009A5185">
        <w:rPr>
          <w:rFonts w:cs="Arial"/>
        </w:rPr>
        <w:t xml:space="preserve"> of “certified in critical care medicine</w:t>
      </w:r>
      <w:r>
        <w:rPr>
          <w:rFonts w:cs="Arial"/>
        </w:rPr>
        <w:t>.”</w:t>
      </w:r>
    </w:p>
    <w:p w14:paraId="7D9F36B9" w14:textId="77777777" w:rsidR="0002306E" w:rsidRPr="009A5185" w:rsidRDefault="0002306E" w:rsidP="0002306E">
      <w:pPr>
        <w:ind w:left="720"/>
        <w:rPr>
          <w:rFonts w:cs="Arial"/>
        </w:rPr>
      </w:pPr>
    </w:p>
    <w:p w14:paraId="60035C81" w14:textId="77777777" w:rsidR="0002306E" w:rsidRDefault="0002306E" w:rsidP="00AD309C">
      <w:pPr>
        <w:numPr>
          <w:ilvl w:val="0"/>
          <w:numId w:val="82"/>
        </w:numPr>
        <w:rPr>
          <w:rFonts w:cs="Arial"/>
          <w:b/>
        </w:rPr>
      </w:pPr>
      <w:r w:rsidRPr="004C590A">
        <w:rPr>
          <w:rFonts w:cs="Arial"/>
          <w:b/>
        </w:rPr>
        <w:lastRenderedPageBreak/>
        <w:t xml:space="preserve">Is a physician who is awaiting the results of the certification test considered “certified in critical care medicine”? </w:t>
      </w:r>
    </w:p>
    <w:p w14:paraId="7C00A018" w14:textId="77777777" w:rsidR="0002306E" w:rsidRDefault="0002306E" w:rsidP="0002306E">
      <w:pPr>
        <w:pStyle w:val="ListParagraph"/>
        <w:rPr>
          <w:rFonts w:cs="Arial"/>
        </w:rPr>
      </w:pPr>
      <w:r w:rsidRPr="0093747F">
        <w:rPr>
          <w:rFonts w:cs="Arial"/>
        </w:rPr>
        <w:t>A physician is considered certified in critical care medicine as long as the board that originally certified the physician in critical care medicine deems that physician certified. Intensivists that are close to having their certification lapse should check with the board that certified them to see how exactly that board defines a lapsed certification.</w:t>
      </w:r>
    </w:p>
    <w:p w14:paraId="339C0056" w14:textId="77777777" w:rsidR="00AB05C1" w:rsidRDefault="00AB05C1" w:rsidP="0002306E">
      <w:pPr>
        <w:pStyle w:val="ListParagraph"/>
        <w:rPr>
          <w:rFonts w:cs="Arial"/>
        </w:rPr>
      </w:pPr>
    </w:p>
    <w:p w14:paraId="09A7A731" w14:textId="7E3ADD15" w:rsidR="00E364E4" w:rsidRPr="00E364E4" w:rsidRDefault="00E364E4" w:rsidP="00AD309C">
      <w:pPr>
        <w:pStyle w:val="ListParagraph"/>
        <w:numPr>
          <w:ilvl w:val="0"/>
          <w:numId w:val="82"/>
        </w:numPr>
        <w:rPr>
          <w:rFonts w:cs="Arial"/>
          <w:b/>
          <w:bCs/>
        </w:rPr>
      </w:pPr>
      <w:r w:rsidRPr="00E364E4">
        <w:rPr>
          <w:rFonts w:cs="Arial"/>
          <w:b/>
          <w:bCs/>
        </w:rPr>
        <w:t xml:space="preserve">Are physicians board certified in critical care medicine from the American Osteopathic Association (AOA) considered “certified in </w:t>
      </w:r>
      <w:r w:rsidR="003B2D33">
        <w:rPr>
          <w:rFonts w:cs="Arial"/>
          <w:b/>
          <w:bCs/>
        </w:rPr>
        <w:t>c</w:t>
      </w:r>
      <w:r w:rsidRPr="00E364E4">
        <w:rPr>
          <w:rFonts w:cs="Arial"/>
          <w:b/>
          <w:bCs/>
        </w:rPr>
        <w:t xml:space="preserve">ritical </w:t>
      </w:r>
      <w:r w:rsidR="003B2D33">
        <w:rPr>
          <w:rFonts w:cs="Arial"/>
          <w:b/>
          <w:bCs/>
        </w:rPr>
        <w:t>c</w:t>
      </w:r>
      <w:r w:rsidRPr="00E364E4">
        <w:rPr>
          <w:rFonts w:cs="Arial"/>
          <w:b/>
          <w:bCs/>
        </w:rPr>
        <w:t xml:space="preserve">are </w:t>
      </w:r>
      <w:r w:rsidR="003B2D33">
        <w:rPr>
          <w:rFonts w:cs="Arial"/>
          <w:b/>
          <w:bCs/>
        </w:rPr>
        <w:t>m</w:t>
      </w:r>
      <w:r w:rsidRPr="00E364E4">
        <w:rPr>
          <w:rFonts w:cs="Arial"/>
          <w:b/>
          <w:bCs/>
        </w:rPr>
        <w:t>edicine” for Leapfrog’s ICU Physician Staffing Standard?</w:t>
      </w:r>
    </w:p>
    <w:p w14:paraId="61B1B3A6" w14:textId="5831A5D9" w:rsidR="00E364E4" w:rsidRPr="00E364E4" w:rsidRDefault="00E364E4" w:rsidP="00E364E4">
      <w:pPr>
        <w:pStyle w:val="ListParagraph"/>
        <w:rPr>
          <w:rFonts w:cs="Arial"/>
        </w:rPr>
      </w:pPr>
      <w:r w:rsidRPr="00E364E4">
        <w:rPr>
          <w:rFonts w:cs="Arial"/>
        </w:rPr>
        <w:t xml:space="preserve">Yes. Physicians with a board certification in critical care from American Osteopathic Association (AOA) are considered “certified in </w:t>
      </w:r>
      <w:r w:rsidR="003B2D33">
        <w:rPr>
          <w:rFonts w:cs="Arial"/>
        </w:rPr>
        <w:t>c</w:t>
      </w:r>
      <w:r w:rsidRPr="00E364E4">
        <w:rPr>
          <w:rFonts w:cs="Arial"/>
        </w:rPr>
        <w:t xml:space="preserve">ritical </w:t>
      </w:r>
      <w:r w:rsidR="003B2D33">
        <w:rPr>
          <w:rFonts w:cs="Arial"/>
        </w:rPr>
        <w:t>c</w:t>
      </w:r>
      <w:r w:rsidRPr="00E364E4">
        <w:rPr>
          <w:rFonts w:cs="Arial"/>
        </w:rPr>
        <w:t>are</w:t>
      </w:r>
      <w:r w:rsidR="003B2D33">
        <w:rPr>
          <w:rFonts w:cs="Arial"/>
        </w:rPr>
        <w:t xml:space="preserve"> m</w:t>
      </w:r>
      <w:r w:rsidRPr="00E364E4">
        <w:rPr>
          <w:rFonts w:cs="Arial"/>
        </w:rPr>
        <w:t>edicine.”</w:t>
      </w:r>
    </w:p>
    <w:p w14:paraId="3F0AB3C0" w14:textId="77777777" w:rsidR="0002306E" w:rsidRDefault="0002306E" w:rsidP="0002306E">
      <w:pPr>
        <w:rPr>
          <w:rFonts w:cs="Arial"/>
          <w:b/>
        </w:rPr>
      </w:pPr>
    </w:p>
    <w:p w14:paraId="189EB07B" w14:textId="77777777" w:rsidR="0002306E" w:rsidRPr="0093747F" w:rsidRDefault="0002306E" w:rsidP="00AD309C">
      <w:pPr>
        <w:pStyle w:val="ListParagraph"/>
        <w:numPr>
          <w:ilvl w:val="0"/>
          <w:numId w:val="82"/>
        </w:numPr>
        <w:rPr>
          <w:rFonts w:cs="Arial"/>
        </w:rPr>
      </w:pPr>
      <w:r w:rsidRPr="0093747F">
        <w:rPr>
          <w:rFonts w:cs="Arial"/>
          <w:b/>
        </w:rPr>
        <w:t xml:space="preserve">How should intensivists trained in critical medicine in a foreign country be treated for purposes of meeting the ICU Physician Staffing (IPS) Standard? </w:t>
      </w:r>
    </w:p>
    <w:p w14:paraId="1AE52F75" w14:textId="55D6C8B7" w:rsidR="0002306E" w:rsidRPr="0093747F" w:rsidRDefault="0002306E" w:rsidP="0002306E">
      <w:pPr>
        <w:pStyle w:val="ListParagraph"/>
        <w:rPr>
          <w:rFonts w:cs="Arial"/>
          <w:b/>
        </w:rPr>
      </w:pPr>
      <w:r w:rsidRPr="0093747F">
        <w:rPr>
          <w:rFonts w:cs="Arial"/>
        </w:rPr>
        <w:t xml:space="preserve">Foreign trained physicians who were certified in critical care medicine in the country in which they trained would be considered certified for the purposes of the ICU Physician </w:t>
      </w:r>
      <w:r>
        <w:rPr>
          <w:rFonts w:cs="Arial"/>
        </w:rPr>
        <w:t>S</w:t>
      </w:r>
      <w:r w:rsidRPr="0093747F">
        <w:rPr>
          <w:rFonts w:cs="Arial"/>
        </w:rPr>
        <w:t>taffing (IPS) standard.</w:t>
      </w:r>
    </w:p>
    <w:p w14:paraId="66978CA4" w14:textId="77777777" w:rsidR="008101DD" w:rsidRDefault="008101DD" w:rsidP="0086266E">
      <w:pPr>
        <w:rPr>
          <w:rFonts w:cs="Arial"/>
        </w:rPr>
      </w:pPr>
    </w:p>
    <w:p w14:paraId="5E5AC700" w14:textId="4E9C980E" w:rsidR="00F256E3" w:rsidRDefault="007B679A" w:rsidP="00AB5B80">
      <w:pPr>
        <w:pStyle w:val="Heading3"/>
      </w:pPr>
      <w:bookmarkStart w:id="446" w:name="_Toc225877762"/>
      <w:r>
        <w:t xml:space="preserve">ICU </w:t>
      </w:r>
      <w:r w:rsidR="00F256E3">
        <w:t>Telemedicine</w:t>
      </w:r>
      <w:bookmarkEnd w:id="446"/>
      <w:r w:rsidR="00F256E3">
        <w:t xml:space="preserve"> </w:t>
      </w:r>
    </w:p>
    <w:p w14:paraId="5B912D28" w14:textId="77777777" w:rsidR="00F256E3" w:rsidRPr="00F256E3" w:rsidRDefault="00F256E3" w:rsidP="00F256E3">
      <w:pPr>
        <w:rPr>
          <w:lang w:eastAsia="ja-JP"/>
        </w:rPr>
      </w:pPr>
    </w:p>
    <w:p w14:paraId="6B7E2F6B" w14:textId="62D14C46" w:rsidR="00F43B6B" w:rsidRPr="00F256E3" w:rsidRDefault="00F43B6B" w:rsidP="00AD309C">
      <w:pPr>
        <w:numPr>
          <w:ilvl w:val="0"/>
          <w:numId w:val="82"/>
        </w:numPr>
        <w:rPr>
          <w:rFonts w:cs="Arial"/>
          <w:b/>
        </w:rPr>
      </w:pPr>
      <w:r w:rsidRPr="00F256E3">
        <w:rPr>
          <w:rFonts w:cs="Arial"/>
          <w:b/>
        </w:rPr>
        <w:t>Can you clarify what you mean by combined presence of tele-intensivists and on-site intensivist</w:t>
      </w:r>
      <w:r w:rsidR="00F71607">
        <w:rPr>
          <w:rFonts w:cs="Arial"/>
          <w:b/>
        </w:rPr>
        <w:t>s</w:t>
      </w:r>
      <w:r w:rsidRPr="00F256E3">
        <w:rPr>
          <w:rFonts w:cs="Arial"/>
          <w:b/>
        </w:rPr>
        <w:t>, as needed, for 24 hours per day</w:t>
      </w:r>
      <w:r w:rsidR="00761763">
        <w:rPr>
          <w:rFonts w:cs="Arial"/>
          <w:b/>
        </w:rPr>
        <w:t>/</w:t>
      </w:r>
      <w:r w:rsidRPr="00F256E3">
        <w:rPr>
          <w:rFonts w:cs="Arial"/>
          <w:b/>
        </w:rPr>
        <w:t xml:space="preserve">7 days per week in </w:t>
      </w:r>
      <w:r w:rsidR="006C184E">
        <w:rPr>
          <w:rFonts w:cs="Arial"/>
          <w:b/>
        </w:rPr>
        <w:t>question #</w:t>
      </w:r>
      <w:r w:rsidR="008802E2">
        <w:rPr>
          <w:rFonts w:cs="Arial"/>
          <w:b/>
        </w:rPr>
        <w:t>6</w:t>
      </w:r>
      <w:r w:rsidR="007B679A">
        <w:rPr>
          <w:rFonts w:cs="Arial"/>
          <w:b/>
        </w:rPr>
        <w:t xml:space="preserve"> for Sections 5A and 5B</w:t>
      </w:r>
      <w:r w:rsidRPr="00F256E3">
        <w:rPr>
          <w:rFonts w:cs="Arial"/>
          <w:b/>
        </w:rPr>
        <w:t>?</w:t>
      </w:r>
    </w:p>
    <w:p w14:paraId="62EE1E8B" w14:textId="58D7A30A" w:rsidR="00F43B6B" w:rsidRPr="00075EB0" w:rsidRDefault="00F43B6B" w:rsidP="00F43B6B">
      <w:pPr>
        <w:ind w:left="720"/>
        <w:rPr>
          <w:rFonts w:cs="Arial"/>
        </w:rPr>
      </w:pPr>
      <w:r w:rsidRPr="00F256E3">
        <w:rPr>
          <w:rFonts w:cs="Arial"/>
        </w:rPr>
        <w:t xml:space="preserve">Hospitals can </w:t>
      </w:r>
      <w:r w:rsidR="00A15CAD">
        <w:rPr>
          <w:rFonts w:cs="Arial"/>
        </w:rPr>
        <w:t>achieve</w:t>
      </w:r>
      <w:r w:rsidRPr="00F256E3">
        <w:rPr>
          <w:rFonts w:cs="Arial"/>
        </w:rPr>
        <w:t xml:space="preserve"> Leapfrog’s IPS Standard by having </w:t>
      </w:r>
      <w:r w:rsidR="00232EEC">
        <w:rPr>
          <w:rFonts w:cs="Arial"/>
        </w:rPr>
        <w:t xml:space="preserve">daily on-site intensivist coverage combined with </w:t>
      </w:r>
      <w:r w:rsidRPr="00F256E3">
        <w:rPr>
          <w:rFonts w:cs="Arial"/>
        </w:rPr>
        <w:t xml:space="preserve">a </w:t>
      </w:r>
      <w:r w:rsidR="00F0668C">
        <w:rPr>
          <w:rFonts w:cs="Arial"/>
        </w:rPr>
        <w:t xml:space="preserve">telemedicine service that meets all ten of </w:t>
      </w:r>
      <w:hyperlink w:anchor="Endnote27_Telemedicine" w:history="1">
        <w:r w:rsidR="0070116C" w:rsidRPr="0070116C">
          <w:rPr>
            <w:rStyle w:val="Hyperlink"/>
            <w:rFonts w:cs="Arial"/>
          </w:rPr>
          <w:t>the Leapfrog requirements</w:t>
        </w:r>
      </w:hyperlink>
      <w:r w:rsidR="003D6923">
        <w:rPr>
          <w:rStyle w:val="Hyperlink"/>
          <w:rFonts w:cs="Arial"/>
        </w:rPr>
        <w:t xml:space="preserve">. </w:t>
      </w:r>
      <w:r w:rsidRPr="00075EB0">
        <w:rPr>
          <w:rFonts w:cs="Arial"/>
        </w:rPr>
        <w:t xml:space="preserve">For example, an </w:t>
      </w:r>
      <w:r w:rsidR="0077560F" w:rsidRPr="0077560F">
        <w:rPr>
          <w:rFonts w:cs="Arial"/>
        </w:rPr>
        <w:t xml:space="preserve">on-site intensivist </w:t>
      </w:r>
      <w:r w:rsidR="0077560F">
        <w:rPr>
          <w:rFonts w:cs="Arial"/>
        </w:rPr>
        <w:t xml:space="preserve">takes two hours in the morning to </w:t>
      </w:r>
      <w:r w:rsidR="0077560F" w:rsidRPr="0077560F">
        <w:rPr>
          <w:rFonts w:cs="Arial"/>
        </w:rPr>
        <w:t>establish and revise the daily care plan for each ICU patient</w:t>
      </w:r>
      <w:r w:rsidR="00B67A5E">
        <w:rPr>
          <w:rFonts w:cs="Arial"/>
        </w:rPr>
        <w:t xml:space="preserve">, then </w:t>
      </w:r>
      <w:r w:rsidRPr="00075EB0">
        <w:rPr>
          <w:rFonts w:cs="Arial"/>
        </w:rPr>
        <w:t xml:space="preserve">a tele-intensivist </w:t>
      </w:r>
      <w:r w:rsidR="00B67A5E">
        <w:rPr>
          <w:rFonts w:cs="Arial"/>
        </w:rPr>
        <w:t xml:space="preserve">picks up management or co-management of the ICU patients and </w:t>
      </w:r>
      <w:r w:rsidRPr="00075EB0">
        <w:rPr>
          <w:rFonts w:cs="Arial"/>
        </w:rPr>
        <w:t>is continually monitoring</w:t>
      </w:r>
      <w:r w:rsidR="00B67A5E">
        <w:rPr>
          <w:rFonts w:cs="Arial"/>
        </w:rPr>
        <w:t xml:space="preserve"> all</w:t>
      </w:r>
      <w:r w:rsidRPr="00075EB0">
        <w:rPr>
          <w:rFonts w:cs="Arial"/>
        </w:rPr>
        <w:t xml:space="preserve"> critical care patients for the remaining 22 hours, for a combined total of 24 hours per day</w:t>
      </w:r>
      <w:r w:rsidR="00761763" w:rsidRPr="00075EB0">
        <w:rPr>
          <w:rFonts w:cs="Arial"/>
        </w:rPr>
        <w:t>/</w:t>
      </w:r>
      <w:r w:rsidRPr="00075EB0">
        <w:rPr>
          <w:rFonts w:cs="Arial"/>
        </w:rPr>
        <w:t>7 days per week</w:t>
      </w:r>
      <w:r w:rsidR="000B3C8A">
        <w:rPr>
          <w:rFonts w:cs="Arial"/>
        </w:rPr>
        <w:t>.</w:t>
      </w:r>
    </w:p>
    <w:p w14:paraId="6416B24E" w14:textId="77777777" w:rsidR="00F43B6B" w:rsidRPr="00075EB0" w:rsidRDefault="00F43B6B" w:rsidP="00F43B6B">
      <w:pPr>
        <w:ind w:left="720"/>
        <w:rPr>
          <w:rFonts w:cs="Arial"/>
        </w:rPr>
      </w:pPr>
    </w:p>
    <w:p w14:paraId="55C3452F" w14:textId="23BFDECD" w:rsidR="00341319" w:rsidRPr="00D645C9" w:rsidRDefault="00A45E07" w:rsidP="0071447E">
      <w:pPr>
        <w:ind w:left="720"/>
        <w:rPr>
          <w:rFonts w:cs="Arial"/>
        </w:rPr>
      </w:pPr>
      <w:r>
        <w:rPr>
          <w:rFonts w:cs="Arial"/>
        </w:rPr>
        <w:t>H</w:t>
      </w:r>
      <w:r w:rsidR="00F43B6B" w:rsidRPr="00075EB0">
        <w:rPr>
          <w:rFonts w:cs="Arial"/>
        </w:rPr>
        <w:t xml:space="preserve">ospitals should minimize </w:t>
      </w:r>
      <w:hyperlink w:anchor="Endnote27_Telemedicine" w:history="1">
        <w:r w:rsidR="00F43B6B" w:rsidRPr="0070116C">
          <w:rPr>
            <w:rStyle w:val="Hyperlink"/>
            <w:rFonts w:cs="Arial"/>
          </w:rPr>
          <w:t>the number of hand-offs</w:t>
        </w:r>
      </w:hyperlink>
      <w:r w:rsidR="00F43B6B" w:rsidRPr="00075EB0">
        <w:rPr>
          <w:rFonts w:cs="Arial"/>
        </w:rPr>
        <w:t xml:space="preserve"> between the on-site intensivist and the tele-intensivist during a 24-hour period and maximize the continuous time that one type of intensivist is caring for critical care patients</w:t>
      </w:r>
      <w:r w:rsidR="00D645C9" w:rsidRPr="00075EB0">
        <w:rPr>
          <w:rFonts w:cs="Arial"/>
        </w:rPr>
        <w:t xml:space="preserve">. </w:t>
      </w:r>
      <w:r w:rsidR="00F43B6B" w:rsidRPr="00075EB0">
        <w:rPr>
          <w:rFonts w:cs="Arial"/>
          <w:b/>
        </w:rPr>
        <w:t>Leapfrog does not recommend more than 4 hand-offs per 24 hours.</w:t>
      </w:r>
      <w:r w:rsidR="00D645C9" w:rsidRPr="00075EB0">
        <w:rPr>
          <w:rFonts w:cs="Arial"/>
          <w:b/>
        </w:rPr>
        <w:t xml:space="preserve"> </w:t>
      </w:r>
    </w:p>
    <w:p w14:paraId="3F41F6AA" w14:textId="77777777" w:rsidR="00632F31" w:rsidRPr="009A5185" w:rsidRDefault="00632F31" w:rsidP="00F256E3">
      <w:pPr>
        <w:rPr>
          <w:rFonts w:cs="Arial"/>
        </w:rPr>
      </w:pPr>
    </w:p>
    <w:p w14:paraId="60A0A262" w14:textId="2239A932" w:rsidR="00632F31" w:rsidRPr="009A5185" w:rsidRDefault="00632F31" w:rsidP="00AD309C">
      <w:pPr>
        <w:numPr>
          <w:ilvl w:val="0"/>
          <w:numId w:val="82"/>
        </w:numPr>
        <w:rPr>
          <w:rFonts w:cs="Arial"/>
          <w:b/>
        </w:rPr>
      </w:pPr>
      <w:r w:rsidRPr="009A5185">
        <w:rPr>
          <w:rFonts w:cs="Arial"/>
          <w:b/>
        </w:rPr>
        <w:t xml:space="preserve">Our hospital uses a telemedicine service to provide coverage in our ICU for 16 hours/7 days </w:t>
      </w:r>
      <w:r w:rsidR="009E3C22">
        <w:rPr>
          <w:rFonts w:cs="Arial"/>
          <w:b/>
        </w:rPr>
        <w:t>per</w:t>
      </w:r>
      <w:r w:rsidRPr="009A5185">
        <w:rPr>
          <w:rFonts w:cs="Arial"/>
          <w:b/>
        </w:rPr>
        <w:t xml:space="preserve"> week coverage when the on-site intensivist is not present at the hospital. Can our hospital still fully meet Leapfrog’s standard?</w:t>
      </w:r>
    </w:p>
    <w:p w14:paraId="0D828683" w14:textId="476CDD0D" w:rsidR="00632F31" w:rsidRPr="009A5185" w:rsidRDefault="00632F31" w:rsidP="00632F31">
      <w:pPr>
        <w:ind w:left="720"/>
        <w:rPr>
          <w:rFonts w:cs="Arial"/>
        </w:rPr>
      </w:pPr>
      <w:r w:rsidRPr="009A5185">
        <w:rPr>
          <w:rFonts w:cs="Arial"/>
        </w:rPr>
        <w:t xml:space="preserve">Hospitals that </w:t>
      </w:r>
      <w:r w:rsidR="00C50228">
        <w:rPr>
          <w:rFonts w:cs="Arial"/>
        </w:rPr>
        <w:t>use telemedicine to cover “call”</w:t>
      </w:r>
      <w:r w:rsidRPr="009A5185">
        <w:rPr>
          <w:rFonts w:cs="Arial"/>
        </w:rPr>
        <w:t xml:space="preserve"> for the on-site intensivist are able to fully meet Leapfrog’s standard if: (1) the telemedicine service meets all ten of </w:t>
      </w:r>
      <w:hyperlink w:anchor="Endnote27_Telemedicine" w:history="1">
        <w:r w:rsidR="0070116C" w:rsidRPr="0070116C">
          <w:rPr>
            <w:rStyle w:val="Hyperlink"/>
            <w:rFonts w:cs="Arial"/>
          </w:rPr>
          <w:t>the Leapfrog requirements</w:t>
        </w:r>
      </w:hyperlink>
      <w:r w:rsidRPr="00C46A47">
        <w:rPr>
          <w:rFonts w:cs="Arial"/>
        </w:rPr>
        <w:t>; a</w:t>
      </w:r>
      <w:r w:rsidRPr="009A5185">
        <w:rPr>
          <w:rFonts w:cs="Arial"/>
        </w:rPr>
        <w:t>nd (2</w:t>
      </w:r>
      <w:r w:rsidR="00C50228">
        <w:rPr>
          <w:rFonts w:cs="Arial"/>
        </w:rPr>
        <w:t>) the hospital has an “effector”</w:t>
      </w:r>
      <w:r w:rsidR="00567776">
        <w:rPr>
          <w:rFonts w:cs="Arial"/>
        </w:rPr>
        <w:t xml:space="preserve"> (physician/PA/NP/FCCS-</w:t>
      </w:r>
      <w:r w:rsidRPr="009A5185">
        <w:rPr>
          <w:rFonts w:cs="Arial"/>
        </w:rPr>
        <w:t>certified nurse</w:t>
      </w:r>
      <w:r w:rsidR="00DF7F9D">
        <w:rPr>
          <w:rFonts w:cs="Arial"/>
        </w:rPr>
        <w:t xml:space="preserve"> or </w:t>
      </w:r>
      <w:r w:rsidR="00FA1DF4">
        <w:rPr>
          <w:rFonts w:cs="Arial"/>
        </w:rPr>
        <w:t>intern</w:t>
      </w:r>
      <w:r w:rsidR="00C50228">
        <w:rPr>
          <w:rFonts w:cs="Arial"/>
        </w:rPr>
        <w:t xml:space="preserve">) </w:t>
      </w:r>
      <w:r w:rsidRPr="009A5185">
        <w:rPr>
          <w:rFonts w:cs="Arial"/>
        </w:rPr>
        <w:t>on-site during that time period to carry out the tele</w:t>
      </w:r>
      <w:r w:rsidR="0031377B">
        <w:rPr>
          <w:rFonts w:cs="Arial"/>
        </w:rPr>
        <w:t>-</w:t>
      </w:r>
      <w:r w:rsidRPr="009A5185">
        <w:rPr>
          <w:rFonts w:cs="Arial"/>
        </w:rPr>
        <w:t>intensivist’s orders and can reach the ICU patient within 5 minutes, 95% of the time.</w:t>
      </w:r>
    </w:p>
    <w:p w14:paraId="6F5F99F8" w14:textId="77777777" w:rsidR="004635B5" w:rsidRPr="009A5185" w:rsidRDefault="004635B5" w:rsidP="00B125A3">
      <w:pPr>
        <w:rPr>
          <w:rFonts w:cs="Arial"/>
        </w:rPr>
      </w:pPr>
    </w:p>
    <w:p w14:paraId="79629505" w14:textId="3085595C" w:rsidR="00B125A3" w:rsidRPr="009A5185" w:rsidRDefault="007B679A" w:rsidP="00AB5B80">
      <w:pPr>
        <w:pStyle w:val="Heading3"/>
      </w:pPr>
      <w:bookmarkStart w:id="447" w:name="_Toc225877763"/>
      <w:r>
        <w:t xml:space="preserve">ICU </w:t>
      </w:r>
      <w:r w:rsidR="00B125A3" w:rsidRPr="009A5185">
        <w:t>Response Time</w:t>
      </w:r>
      <w:bookmarkEnd w:id="447"/>
      <w:r w:rsidR="00B125A3" w:rsidRPr="009A5185">
        <w:t xml:space="preserve"> </w:t>
      </w:r>
    </w:p>
    <w:p w14:paraId="55FBCE5C" w14:textId="77777777" w:rsidR="00E4689D" w:rsidRPr="009A5185" w:rsidRDefault="00E4689D" w:rsidP="00C50228">
      <w:pPr>
        <w:rPr>
          <w:rFonts w:cs="Arial"/>
          <w:lang w:eastAsia="ja-JP"/>
        </w:rPr>
      </w:pPr>
    </w:p>
    <w:p w14:paraId="38288ED7" w14:textId="77777777" w:rsidR="00E4689D" w:rsidRPr="009A5185" w:rsidRDefault="007C2746" w:rsidP="00AD309C">
      <w:pPr>
        <w:numPr>
          <w:ilvl w:val="0"/>
          <w:numId w:val="82"/>
        </w:numPr>
        <w:rPr>
          <w:rFonts w:cs="Arial"/>
        </w:rPr>
      </w:pPr>
      <w:r w:rsidRPr="009A5185">
        <w:rPr>
          <w:rFonts w:cs="Arial"/>
          <w:b/>
        </w:rPr>
        <w:t xml:space="preserve">Does Leapfrog </w:t>
      </w:r>
      <w:r w:rsidR="00E4689D" w:rsidRPr="009A5185">
        <w:rPr>
          <w:rFonts w:cs="Arial"/>
          <w:b/>
        </w:rPr>
        <w:t xml:space="preserve">specify standards for second tier calls (e.g., the initial call to a physician is not answered within </w:t>
      </w:r>
      <w:r w:rsidR="00C50228">
        <w:rPr>
          <w:rFonts w:cs="Arial"/>
          <w:b/>
        </w:rPr>
        <w:t>5 minutes</w:t>
      </w:r>
      <w:r w:rsidR="00E4689D" w:rsidRPr="009A5185">
        <w:rPr>
          <w:rFonts w:cs="Arial"/>
          <w:b/>
        </w:rPr>
        <w:t>)?</w:t>
      </w:r>
      <w:r w:rsidR="00E4689D" w:rsidRPr="009A5185">
        <w:rPr>
          <w:rFonts w:cs="Arial"/>
          <w:b/>
        </w:rPr>
        <w:br/>
      </w:r>
      <w:r w:rsidR="00E4689D" w:rsidRPr="009A5185">
        <w:rPr>
          <w:rFonts w:cs="Arial"/>
        </w:rPr>
        <w:t>No. We do not intend to reach this level of detail in our specifications, absent a compelling case that the gain would offset its added complexity.</w:t>
      </w:r>
    </w:p>
    <w:p w14:paraId="06FCABC5" w14:textId="77777777" w:rsidR="00E4689D" w:rsidRPr="009A5185" w:rsidRDefault="00E4689D" w:rsidP="00E4689D">
      <w:pPr>
        <w:rPr>
          <w:rFonts w:cs="Arial"/>
          <w:b/>
        </w:rPr>
      </w:pPr>
    </w:p>
    <w:p w14:paraId="2455147F" w14:textId="016B71F9" w:rsidR="008101DD" w:rsidRPr="008101DD" w:rsidRDefault="00C50228" w:rsidP="00AD309C">
      <w:pPr>
        <w:numPr>
          <w:ilvl w:val="0"/>
          <w:numId w:val="82"/>
        </w:numPr>
        <w:rPr>
          <w:rFonts w:cs="Arial"/>
          <w:lang w:eastAsia="ja-JP"/>
        </w:rPr>
      </w:pPr>
      <w:r w:rsidRPr="00C50228">
        <w:rPr>
          <w:rFonts w:cs="Arial"/>
          <w:b/>
        </w:rPr>
        <w:t>A</w:t>
      </w:r>
      <w:r w:rsidR="00E4689D" w:rsidRPr="00C50228">
        <w:rPr>
          <w:rFonts w:cs="Arial"/>
          <w:b/>
        </w:rPr>
        <w:t>re there definitions for what constitutes high and low urgency calls/pages</w:t>
      </w:r>
      <w:r w:rsidR="0069528D" w:rsidRPr="00C50228">
        <w:rPr>
          <w:rFonts w:cs="Arial"/>
          <w:b/>
        </w:rPr>
        <w:t>/texts</w:t>
      </w:r>
      <w:r w:rsidR="00E4689D" w:rsidRPr="00C50228">
        <w:rPr>
          <w:rFonts w:cs="Arial"/>
          <w:b/>
        </w:rPr>
        <w:t>?</w:t>
      </w:r>
      <w:r w:rsidR="00E4689D" w:rsidRPr="00C50228">
        <w:rPr>
          <w:rFonts w:cs="Arial"/>
          <w:b/>
        </w:rPr>
        <w:br/>
      </w:r>
      <w:r>
        <w:rPr>
          <w:rFonts w:cs="Arial"/>
        </w:rPr>
        <w:t xml:space="preserve">No, and hospitals </w:t>
      </w:r>
      <w:r w:rsidR="00E4689D" w:rsidRPr="00C50228">
        <w:rPr>
          <w:rFonts w:cs="Arial"/>
        </w:rPr>
        <w:t>don’t have to focus only on high urgency calls/pages</w:t>
      </w:r>
      <w:r w:rsidR="0069528D" w:rsidRPr="00C50228">
        <w:rPr>
          <w:rFonts w:cs="Arial"/>
        </w:rPr>
        <w:t>/texts</w:t>
      </w:r>
      <w:r>
        <w:rPr>
          <w:rFonts w:cs="Arial"/>
        </w:rPr>
        <w:t xml:space="preserve">, </w:t>
      </w:r>
      <w:r w:rsidR="00E4689D" w:rsidRPr="00C50228">
        <w:rPr>
          <w:rFonts w:cs="Arial"/>
        </w:rPr>
        <w:t xml:space="preserve">but some notification device systems can make this </w:t>
      </w:r>
      <w:r w:rsidR="000A554A" w:rsidRPr="00C50228">
        <w:rPr>
          <w:rFonts w:cs="Arial"/>
        </w:rPr>
        <w:t>differentiation,</w:t>
      </w:r>
      <w:r w:rsidR="00E4689D" w:rsidRPr="00C50228">
        <w:rPr>
          <w:rFonts w:cs="Arial"/>
        </w:rPr>
        <w:t xml:space="preserve"> and, in these instances, low urgency calls/pages</w:t>
      </w:r>
      <w:r w:rsidR="0069528D" w:rsidRPr="00C50228">
        <w:rPr>
          <w:rFonts w:cs="Arial"/>
        </w:rPr>
        <w:t>/texts</w:t>
      </w:r>
      <w:r w:rsidR="00E4689D" w:rsidRPr="00C50228">
        <w:rPr>
          <w:rFonts w:cs="Arial"/>
        </w:rPr>
        <w:t xml:space="preserve"> can be </w:t>
      </w:r>
      <w:r w:rsidR="009E3C22">
        <w:rPr>
          <w:rFonts w:cs="Arial"/>
        </w:rPr>
        <w:t>excluded from</w:t>
      </w:r>
      <w:r w:rsidR="00E4689D" w:rsidRPr="00C50228">
        <w:rPr>
          <w:rFonts w:cs="Arial"/>
        </w:rPr>
        <w:t xml:space="preserve"> t</w:t>
      </w:r>
      <w:r w:rsidRPr="00C50228">
        <w:rPr>
          <w:rFonts w:cs="Arial"/>
        </w:rPr>
        <w:t>he analysis of response times.</w:t>
      </w:r>
      <w:r w:rsidRPr="00C50228">
        <w:rPr>
          <w:rFonts w:cs="Arial"/>
        </w:rPr>
        <w:br/>
      </w:r>
    </w:p>
    <w:p w14:paraId="59C72C4E" w14:textId="040EC9CB" w:rsidR="00BB741A" w:rsidRPr="009A5185" w:rsidRDefault="00BB741A" w:rsidP="00AD309C">
      <w:pPr>
        <w:numPr>
          <w:ilvl w:val="0"/>
          <w:numId w:val="82"/>
        </w:numPr>
        <w:rPr>
          <w:rFonts w:cs="Arial"/>
          <w:b/>
        </w:rPr>
      </w:pPr>
      <w:r w:rsidRPr="009A5185">
        <w:rPr>
          <w:rFonts w:cs="Arial"/>
          <w:b/>
        </w:rPr>
        <w:lastRenderedPageBreak/>
        <w:t xml:space="preserve">If my hospital has </w:t>
      </w:r>
      <w:r w:rsidR="00FA1DF4">
        <w:rPr>
          <w:rFonts w:cs="Arial"/>
          <w:b/>
        </w:rPr>
        <w:t>few</w:t>
      </w:r>
      <w:r w:rsidRPr="009A5185">
        <w:rPr>
          <w:rFonts w:cs="Arial"/>
          <w:b/>
        </w:rPr>
        <w:t xml:space="preserve"> instances where there is no intensivist coverage, how should we conduct the </w:t>
      </w:r>
      <w:r w:rsidR="007545B5" w:rsidRPr="009A5185">
        <w:rPr>
          <w:rFonts w:cs="Arial"/>
          <w:b/>
        </w:rPr>
        <w:t>response</w:t>
      </w:r>
      <w:r w:rsidR="00431091">
        <w:rPr>
          <w:rFonts w:cs="Arial"/>
          <w:b/>
        </w:rPr>
        <w:t xml:space="preserve"> </w:t>
      </w:r>
      <w:r w:rsidR="007545B5" w:rsidRPr="009A5185">
        <w:rPr>
          <w:rFonts w:cs="Arial"/>
          <w:b/>
        </w:rPr>
        <w:t>time</w:t>
      </w:r>
      <w:r w:rsidRPr="009A5185">
        <w:rPr>
          <w:rFonts w:cs="Arial"/>
          <w:b/>
        </w:rPr>
        <w:t xml:space="preserve"> audit? Can we perform mock pages to satisfy the intent?</w:t>
      </w:r>
    </w:p>
    <w:p w14:paraId="48FB8DAB" w14:textId="1200010D" w:rsidR="00BB741A" w:rsidRDefault="007545B5" w:rsidP="005652A9">
      <w:pPr>
        <w:ind w:left="720"/>
        <w:rPr>
          <w:rFonts w:cs="Arial"/>
        </w:rPr>
      </w:pPr>
      <w:r w:rsidRPr="009A5185">
        <w:rPr>
          <w:rFonts w:cs="Arial"/>
        </w:rPr>
        <w:t>U</w:t>
      </w:r>
      <w:r w:rsidR="00BB741A" w:rsidRPr="009A5185">
        <w:rPr>
          <w:rFonts w:cs="Arial"/>
        </w:rPr>
        <w:t>nannounced</w:t>
      </w:r>
      <w:r w:rsidRPr="009A5185">
        <w:rPr>
          <w:rFonts w:cs="Arial"/>
        </w:rPr>
        <w:t xml:space="preserve"> mock</w:t>
      </w:r>
      <w:r w:rsidR="00BB741A" w:rsidRPr="009A5185">
        <w:rPr>
          <w:rFonts w:cs="Arial"/>
        </w:rPr>
        <w:t xml:space="preserve"> pages would meet the intent. </w:t>
      </w:r>
      <w:r w:rsidR="0083355C" w:rsidRPr="009A5185">
        <w:rPr>
          <w:rFonts w:cs="Arial"/>
        </w:rPr>
        <w:t>For</w:t>
      </w:r>
      <w:r w:rsidR="00BB741A" w:rsidRPr="009A5185">
        <w:rPr>
          <w:rFonts w:cs="Arial"/>
        </w:rPr>
        <w:t xml:space="preserve"> the audit to be reliable, 20</w:t>
      </w:r>
      <w:r w:rsidRPr="009A5185">
        <w:rPr>
          <w:rFonts w:cs="Arial"/>
        </w:rPr>
        <w:t xml:space="preserve"> unannounced</w:t>
      </w:r>
      <w:r w:rsidR="00BB741A" w:rsidRPr="009A5185">
        <w:rPr>
          <w:rFonts w:cs="Arial"/>
        </w:rPr>
        <w:t xml:space="preserve"> mock pages over 90 days should be evaluated.</w:t>
      </w:r>
    </w:p>
    <w:p w14:paraId="139FF536" w14:textId="77777777" w:rsidR="00AF2B23" w:rsidRPr="00AF2B23" w:rsidRDefault="00AF2B23" w:rsidP="00C50228">
      <w:pPr>
        <w:rPr>
          <w:rFonts w:cs="Arial"/>
        </w:rPr>
      </w:pPr>
    </w:p>
    <w:p w14:paraId="7A8EC532" w14:textId="77777777" w:rsidR="007E37A7" w:rsidRPr="009A5185" w:rsidRDefault="007E37A7" w:rsidP="00AD309C">
      <w:pPr>
        <w:numPr>
          <w:ilvl w:val="0"/>
          <w:numId w:val="82"/>
        </w:numPr>
        <w:rPr>
          <w:rFonts w:cs="Arial"/>
          <w:b/>
        </w:rPr>
      </w:pPr>
      <w:r w:rsidRPr="009A5185">
        <w:rPr>
          <w:rFonts w:cs="Arial"/>
          <w:b/>
          <w:bCs/>
        </w:rPr>
        <w:t>When an intensivist is not on-site in the ICU, can hospitals use a non-FCCS-cer</w:t>
      </w:r>
      <w:r w:rsidR="00C50228">
        <w:rPr>
          <w:rFonts w:cs="Arial"/>
          <w:b/>
          <w:bCs/>
        </w:rPr>
        <w:t xml:space="preserve">tified CRNA as the “effector?” </w:t>
      </w:r>
    </w:p>
    <w:p w14:paraId="5230124A" w14:textId="77777777" w:rsidR="00C50228" w:rsidRDefault="00C50228" w:rsidP="00C50228">
      <w:pPr>
        <w:pStyle w:val="ListParagraph"/>
        <w:rPr>
          <w:rFonts w:cs="Arial"/>
          <w:highlight w:val="yellow"/>
        </w:rPr>
      </w:pPr>
      <w:r>
        <w:rPr>
          <w:rFonts w:cs="Arial"/>
        </w:rPr>
        <w:t>No. To serve as the “effector,”</w:t>
      </w:r>
      <w:r w:rsidR="007E37A7" w:rsidRPr="009A5185">
        <w:rPr>
          <w:rFonts w:cs="Arial"/>
        </w:rPr>
        <w:t xml:space="preserve"> CRN</w:t>
      </w:r>
      <w:r>
        <w:rPr>
          <w:rFonts w:cs="Arial"/>
        </w:rPr>
        <w:t xml:space="preserve">As require FCCS-certification. </w:t>
      </w:r>
    </w:p>
    <w:p w14:paraId="193A75EE" w14:textId="77777777" w:rsidR="00C50228" w:rsidRDefault="00C50228" w:rsidP="00C50228">
      <w:pPr>
        <w:pStyle w:val="ListParagraph"/>
        <w:rPr>
          <w:rFonts w:cs="Arial"/>
          <w:highlight w:val="yellow"/>
        </w:rPr>
      </w:pPr>
    </w:p>
    <w:p w14:paraId="72CAE527" w14:textId="77777777" w:rsidR="007E37A7" w:rsidRDefault="00C50228" w:rsidP="00AD309C">
      <w:pPr>
        <w:pStyle w:val="ListParagraph"/>
        <w:numPr>
          <w:ilvl w:val="0"/>
          <w:numId w:val="82"/>
        </w:numPr>
        <w:rPr>
          <w:rFonts w:cs="Arial"/>
          <w:b/>
        </w:rPr>
      </w:pPr>
      <w:r>
        <w:rPr>
          <w:rFonts w:cs="Arial"/>
          <w:b/>
        </w:rPr>
        <w:t>When an intensivist is not on-site in the ICU, can hospitals use FCCS-certified interns as the “effector?”</w:t>
      </w:r>
    </w:p>
    <w:p w14:paraId="2A8C2643" w14:textId="77777777" w:rsidR="005A0935" w:rsidRDefault="00C50228" w:rsidP="00483109">
      <w:pPr>
        <w:pStyle w:val="ListParagraph"/>
        <w:rPr>
          <w:rFonts w:cs="Arial"/>
        </w:rPr>
      </w:pPr>
      <w:r>
        <w:rPr>
          <w:rFonts w:cs="Arial"/>
        </w:rPr>
        <w:t>Yes. An FCCS-certified intern can serve as the “effector.”</w:t>
      </w:r>
    </w:p>
    <w:p w14:paraId="6579A630" w14:textId="77777777" w:rsidR="005A0935" w:rsidRDefault="005A0935" w:rsidP="00483109">
      <w:pPr>
        <w:pStyle w:val="ListParagraph"/>
        <w:rPr>
          <w:rFonts w:cs="Arial"/>
        </w:rPr>
      </w:pPr>
    </w:p>
    <w:p w14:paraId="6F167269" w14:textId="54BC3F82" w:rsidR="005A0935" w:rsidRPr="005A0935" w:rsidRDefault="007B679A" w:rsidP="00AB5B80">
      <w:pPr>
        <w:pStyle w:val="Heading3"/>
      </w:pPr>
      <w:bookmarkStart w:id="448" w:name="_Toc225877764"/>
      <w:r>
        <w:t xml:space="preserve">ICU </w:t>
      </w:r>
      <w:r w:rsidR="005A0935">
        <w:t>Rounding</w:t>
      </w:r>
      <w:bookmarkEnd w:id="448"/>
      <w:r w:rsidR="0002306E">
        <w:t xml:space="preserve"> </w:t>
      </w:r>
      <w:r w:rsidR="005A0935">
        <w:br/>
      </w:r>
    </w:p>
    <w:p w14:paraId="4B300E12" w14:textId="37E2E4FC" w:rsidR="005A0935" w:rsidRPr="00BA0301" w:rsidRDefault="005A0935" w:rsidP="00AD309C">
      <w:pPr>
        <w:pStyle w:val="ListParagraph"/>
        <w:numPr>
          <w:ilvl w:val="0"/>
          <w:numId w:val="82"/>
        </w:numPr>
        <w:rPr>
          <w:rFonts w:cs="Arial"/>
          <w:b/>
        </w:rPr>
      </w:pPr>
      <w:r w:rsidRPr="00BA0301">
        <w:rPr>
          <w:rFonts w:cs="Arial"/>
          <w:b/>
        </w:rPr>
        <w:t>How does Leapfrog define “makes on-site daily round</w:t>
      </w:r>
      <w:r>
        <w:rPr>
          <w:rFonts w:cs="Arial"/>
          <w:b/>
        </w:rPr>
        <w:t>s” for clinical pharmacists in question #13</w:t>
      </w:r>
      <w:r w:rsidR="003C708E">
        <w:rPr>
          <w:rFonts w:cs="Arial"/>
          <w:b/>
        </w:rPr>
        <w:t xml:space="preserve"> </w:t>
      </w:r>
      <w:r w:rsidR="003C708E" w:rsidRPr="003C708E">
        <w:rPr>
          <w:rFonts w:cs="Arial"/>
          <w:b/>
        </w:rPr>
        <w:t>within Sections 5A and 5B</w:t>
      </w:r>
      <w:r>
        <w:rPr>
          <w:rFonts w:cs="Arial"/>
          <w:b/>
        </w:rPr>
        <w:t>?</w:t>
      </w:r>
    </w:p>
    <w:p w14:paraId="0D989FFC" w14:textId="2FC35DBA" w:rsidR="005A0935" w:rsidRPr="00BA0301" w:rsidRDefault="005A0935" w:rsidP="005A0935">
      <w:pPr>
        <w:ind w:left="720"/>
        <w:rPr>
          <w:rFonts w:cs="Arial"/>
        </w:rPr>
      </w:pPr>
      <w:r w:rsidRPr="00BA0301">
        <w:rPr>
          <w:rFonts w:cs="Arial"/>
        </w:rPr>
        <w:t xml:space="preserve">A clinical pharmacist would need to make on-site daily rounds (5 or 7 days </w:t>
      </w:r>
      <w:r w:rsidR="009E3C22">
        <w:rPr>
          <w:rFonts w:cs="Arial"/>
        </w:rPr>
        <w:t>per</w:t>
      </w:r>
      <w:r w:rsidRPr="00BA0301">
        <w:rPr>
          <w:rFonts w:cs="Arial"/>
        </w:rPr>
        <w:t xml:space="preserve"> week) on </w:t>
      </w:r>
      <w:r w:rsidRPr="008A3324">
        <w:rPr>
          <w:rFonts w:cs="Arial"/>
          <w:b/>
        </w:rPr>
        <w:t>all</w:t>
      </w:r>
      <w:r>
        <w:rPr>
          <w:rFonts w:cs="Arial"/>
        </w:rPr>
        <w:t xml:space="preserve"> </w:t>
      </w:r>
      <w:r w:rsidR="00E30B2F">
        <w:rPr>
          <w:rFonts w:cs="Arial"/>
        </w:rPr>
        <w:t xml:space="preserve">critical care </w:t>
      </w:r>
      <w:r w:rsidRPr="00BA0301">
        <w:rPr>
          <w:rFonts w:cs="Arial"/>
        </w:rPr>
        <w:t xml:space="preserve">patients </w:t>
      </w:r>
      <w:r>
        <w:rPr>
          <w:rFonts w:cs="Arial"/>
        </w:rPr>
        <w:t xml:space="preserve">(not some or most </w:t>
      </w:r>
      <w:r w:rsidR="00E30B2F">
        <w:rPr>
          <w:rFonts w:cs="Arial"/>
        </w:rPr>
        <w:t>critical care</w:t>
      </w:r>
      <w:r>
        <w:rPr>
          <w:rFonts w:cs="Arial"/>
        </w:rPr>
        <w:t xml:space="preserve"> patients) in </w:t>
      </w:r>
      <w:r w:rsidRPr="008A3324">
        <w:rPr>
          <w:rFonts w:cs="Arial"/>
          <w:b/>
        </w:rPr>
        <w:t>all</w:t>
      </w:r>
      <w:r>
        <w:rPr>
          <w:rFonts w:cs="Arial"/>
        </w:rPr>
        <w:t xml:space="preserve"> applicable</w:t>
      </w:r>
      <w:r w:rsidRPr="00BA0301">
        <w:rPr>
          <w:rFonts w:cs="Arial"/>
        </w:rPr>
        <w:t xml:space="preserve"> ICU</w:t>
      </w:r>
      <w:r>
        <w:rPr>
          <w:rFonts w:cs="Arial"/>
        </w:rPr>
        <w:t>s</w:t>
      </w:r>
      <w:r w:rsidRPr="00BA0301">
        <w:rPr>
          <w:rFonts w:cs="Arial"/>
        </w:rPr>
        <w:t xml:space="preserve"> (adult or pediatric general medical</w:t>
      </w:r>
      <w:r w:rsidR="00B00CA6">
        <w:rPr>
          <w:rFonts w:cs="Arial"/>
        </w:rPr>
        <w:t xml:space="preserve">, surgical, </w:t>
      </w:r>
      <w:r w:rsidR="00511B84">
        <w:rPr>
          <w:rFonts w:cs="Arial"/>
        </w:rPr>
        <w:t>medical/</w:t>
      </w:r>
      <w:r>
        <w:rPr>
          <w:rFonts w:cs="Arial"/>
        </w:rPr>
        <w:t>surgical</w:t>
      </w:r>
      <w:r w:rsidR="00511B84">
        <w:rPr>
          <w:rFonts w:cs="Arial"/>
        </w:rPr>
        <w:t>,</w:t>
      </w:r>
      <w:r>
        <w:rPr>
          <w:rFonts w:cs="Arial"/>
        </w:rPr>
        <w:t xml:space="preserve"> and neuro ICUs)</w:t>
      </w:r>
      <w:r w:rsidRPr="00BA0301">
        <w:rPr>
          <w:rFonts w:cs="Arial"/>
        </w:rPr>
        <w:t>.</w:t>
      </w:r>
    </w:p>
    <w:p w14:paraId="333E390D" w14:textId="77777777" w:rsidR="005A0935" w:rsidRPr="00BA0301" w:rsidRDefault="005A0935" w:rsidP="005A0935">
      <w:pPr>
        <w:ind w:left="720"/>
        <w:rPr>
          <w:rFonts w:cs="Arial"/>
        </w:rPr>
      </w:pPr>
    </w:p>
    <w:p w14:paraId="751F6B88" w14:textId="77777777" w:rsidR="005A0935" w:rsidRDefault="005A0935" w:rsidP="005A0935">
      <w:pPr>
        <w:ind w:left="720"/>
        <w:rPr>
          <w:rFonts w:cs="Arial"/>
        </w:rPr>
      </w:pPr>
      <w:r w:rsidRPr="00BA0301">
        <w:rPr>
          <w:rFonts w:cs="Arial"/>
        </w:rPr>
        <w:t xml:space="preserve">Please note that if your clinical pharmacist is rounding 5 days per week, then, during </w:t>
      </w:r>
      <w:r>
        <w:rPr>
          <w:rFonts w:cs="Arial"/>
        </w:rPr>
        <w:t>the other 2 days per week</w:t>
      </w:r>
      <w:r w:rsidRPr="00BA0301">
        <w:rPr>
          <w:rFonts w:cs="Arial"/>
        </w:rPr>
        <w:t>, a clinical pharmacist still needs to respond to calls/texts/pages withi</w:t>
      </w:r>
      <w:r>
        <w:rPr>
          <w:rFonts w:cs="Arial"/>
        </w:rPr>
        <w:t>n 5 minutes, as determined by a response time</w:t>
      </w:r>
      <w:r w:rsidRPr="00BA0301">
        <w:rPr>
          <w:rFonts w:cs="Arial"/>
        </w:rPr>
        <w:t xml:space="preserve"> audit.</w:t>
      </w:r>
    </w:p>
    <w:p w14:paraId="516D2901" w14:textId="77777777" w:rsidR="005A0935" w:rsidRDefault="005A0935" w:rsidP="005A0935">
      <w:pPr>
        <w:rPr>
          <w:rFonts w:cs="Arial"/>
        </w:rPr>
      </w:pPr>
    </w:p>
    <w:p w14:paraId="63CAFB14" w14:textId="48478E01" w:rsidR="005A0935" w:rsidRDefault="005A0935" w:rsidP="00AD309C">
      <w:pPr>
        <w:pStyle w:val="ListParagraph"/>
        <w:numPr>
          <w:ilvl w:val="0"/>
          <w:numId w:val="82"/>
        </w:numPr>
        <w:rPr>
          <w:rFonts w:cs="Arial"/>
          <w:b/>
        </w:rPr>
      </w:pPr>
      <w:r>
        <w:rPr>
          <w:rFonts w:cs="Arial"/>
          <w:b/>
        </w:rPr>
        <w:t>Are pharmacy residents considered clinical pharmacists in question #13</w:t>
      </w:r>
      <w:r w:rsidR="003C708E">
        <w:rPr>
          <w:rFonts w:cs="Arial"/>
          <w:b/>
        </w:rPr>
        <w:t xml:space="preserve"> </w:t>
      </w:r>
      <w:r w:rsidR="003C708E" w:rsidRPr="003C708E">
        <w:rPr>
          <w:rFonts w:cs="Arial"/>
          <w:b/>
        </w:rPr>
        <w:t>within Sections 5A and 5B</w:t>
      </w:r>
      <w:r>
        <w:rPr>
          <w:rFonts w:cs="Arial"/>
          <w:b/>
        </w:rPr>
        <w:t>?</w:t>
      </w:r>
    </w:p>
    <w:p w14:paraId="6027983C" w14:textId="77777777" w:rsidR="00AD5731" w:rsidRDefault="005A0935" w:rsidP="005A0935">
      <w:pPr>
        <w:pStyle w:val="ListParagraph"/>
        <w:rPr>
          <w:rFonts w:cs="Arial"/>
          <w:bCs/>
          <w:color w:val="202124"/>
          <w:shd w:val="clear" w:color="auto" w:fill="FFFFFF"/>
        </w:rPr>
      </w:pPr>
      <w:r w:rsidRPr="000F6E49">
        <w:rPr>
          <w:rFonts w:cs="Arial"/>
          <w:bCs/>
        </w:rPr>
        <w:t xml:space="preserve">To be considered a clinical pharmacist, Leapfrog only requires that the pharmacist have a </w:t>
      </w:r>
      <w:r w:rsidRPr="000F6E49">
        <w:rPr>
          <w:rFonts w:cs="Arial"/>
          <w:bCs/>
          <w:color w:val="202124"/>
          <w:shd w:val="clear" w:color="auto" w:fill="FFFFFF"/>
        </w:rPr>
        <w:t>Doctor of Pharmacy (PharmD) degree. Therefore, a PharmD graduate completing a residency would meet Leapfrog’s criteri</w:t>
      </w:r>
      <w:r w:rsidR="00B54C53">
        <w:rPr>
          <w:rFonts w:cs="Arial"/>
          <w:bCs/>
          <w:color w:val="202124"/>
          <w:shd w:val="clear" w:color="auto" w:fill="FFFFFF"/>
        </w:rPr>
        <w:t>on</w:t>
      </w:r>
      <w:r w:rsidRPr="000F6E49">
        <w:rPr>
          <w:rFonts w:cs="Arial"/>
          <w:bCs/>
          <w:color w:val="202124"/>
          <w:shd w:val="clear" w:color="auto" w:fill="FFFFFF"/>
        </w:rPr>
        <w:t xml:space="preserve"> to be considered a clinical pharmacist.</w:t>
      </w:r>
    </w:p>
    <w:p w14:paraId="4976AEC6" w14:textId="41948137" w:rsidR="005A0935" w:rsidRDefault="005A0935" w:rsidP="00B44C7B">
      <w:pPr>
        <w:pStyle w:val="ListParagraph"/>
      </w:pPr>
      <w:r w:rsidRPr="000F6E49">
        <w:rPr>
          <w:rFonts w:cs="Arial"/>
          <w:bCs/>
          <w:color w:val="202124"/>
          <w:shd w:val="clear" w:color="auto" w:fill="FFFFFF"/>
        </w:rPr>
        <w:t xml:space="preserve"> </w:t>
      </w:r>
    </w:p>
    <w:p w14:paraId="691BD0E5" w14:textId="35DCC573" w:rsidR="005A0935" w:rsidRPr="008D611A" w:rsidRDefault="005A0935" w:rsidP="00AD309C">
      <w:pPr>
        <w:numPr>
          <w:ilvl w:val="0"/>
          <w:numId w:val="82"/>
        </w:numPr>
        <w:rPr>
          <w:rFonts w:cs="Arial"/>
        </w:rPr>
      </w:pPr>
      <w:r w:rsidRPr="009A5185">
        <w:rPr>
          <w:rFonts w:cs="Arial"/>
          <w:b/>
        </w:rPr>
        <w:t xml:space="preserve">What roles should be included in </w:t>
      </w:r>
      <w:r>
        <w:rPr>
          <w:rFonts w:cs="Arial"/>
          <w:b/>
        </w:rPr>
        <w:t>interprofessional</w:t>
      </w:r>
      <w:r w:rsidRPr="009A5185">
        <w:rPr>
          <w:rFonts w:cs="Arial"/>
          <w:b/>
        </w:rPr>
        <w:t xml:space="preserve"> rounds</w:t>
      </w:r>
      <w:r>
        <w:rPr>
          <w:rFonts w:cs="Arial"/>
          <w:b/>
        </w:rPr>
        <w:t xml:space="preserve"> in question #14</w:t>
      </w:r>
      <w:r w:rsidR="003C708E">
        <w:rPr>
          <w:rFonts w:cs="Arial"/>
          <w:b/>
        </w:rPr>
        <w:t xml:space="preserve"> </w:t>
      </w:r>
      <w:r w:rsidR="003C708E" w:rsidRPr="003C708E">
        <w:rPr>
          <w:rFonts w:cs="Arial"/>
          <w:b/>
        </w:rPr>
        <w:t>within Sections 5A and 5B</w:t>
      </w:r>
      <w:r w:rsidRPr="009A5185">
        <w:rPr>
          <w:rFonts w:cs="Arial"/>
          <w:b/>
        </w:rPr>
        <w:t>?</w:t>
      </w:r>
      <w:r w:rsidRPr="009A5185">
        <w:rPr>
          <w:rFonts w:cs="Arial"/>
          <w:b/>
        </w:rPr>
        <w:br/>
      </w:r>
      <w:r w:rsidRPr="009A5185">
        <w:rPr>
          <w:rFonts w:cs="Arial"/>
        </w:rPr>
        <w:t xml:space="preserve">For rounds to be considered </w:t>
      </w:r>
      <w:r>
        <w:rPr>
          <w:rFonts w:cs="Arial"/>
        </w:rPr>
        <w:t>interprofessional</w:t>
      </w:r>
      <w:r w:rsidRPr="009A5185">
        <w:rPr>
          <w:rFonts w:cs="Arial"/>
        </w:rPr>
        <w:t>, the team should include 3 or more persons. Typical personnel that would be part of the rounding team include physician, nurse, pharmacist, physical and/or occupational therapist, and nutritionist.</w:t>
      </w:r>
    </w:p>
    <w:p w14:paraId="72D07042" w14:textId="77777777" w:rsidR="007E2B42" w:rsidRDefault="007E2B42" w:rsidP="007E2B42">
      <w:pPr>
        <w:rPr>
          <w:b/>
          <w:sz w:val="24"/>
        </w:rPr>
      </w:pPr>
    </w:p>
    <w:p w14:paraId="416F771B" w14:textId="07886184" w:rsidR="007E2B42" w:rsidRPr="009A5185" w:rsidRDefault="007E2B42" w:rsidP="00AB5B80">
      <w:pPr>
        <w:pStyle w:val="Heading3"/>
      </w:pPr>
      <w:bookmarkStart w:id="449" w:name="_Total_Nursing_Care_1"/>
      <w:bookmarkStart w:id="450" w:name="_Toc225877765"/>
      <w:bookmarkEnd w:id="449"/>
      <w:r>
        <w:t xml:space="preserve">Total Nursing Care Hours per Patient Day </w:t>
      </w:r>
      <w:r w:rsidR="00CB6105">
        <w:t xml:space="preserve">and </w:t>
      </w:r>
      <w:r>
        <w:t>RN Hours per Patient Day FAQs</w:t>
      </w:r>
      <w:bookmarkEnd w:id="450"/>
    </w:p>
    <w:p w14:paraId="6C392CA2" w14:textId="77777777" w:rsidR="007E2B42" w:rsidRDefault="007E2B42" w:rsidP="007E2B42"/>
    <w:p w14:paraId="68723D48" w14:textId="3E2B0DD2" w:rsidR="007E2B42" w:rsidRPr="009B3E96" w:rsidRDefault="007E2B42" w:rsidP="00AD309C">
      <w:pPr>
        <w:numPr>
          <w:ilvl w:val="0"/>
          <w:numId w:val="82"/>
        </w:numPr>
        <w:rPr>
          <w:rFonts w:cs="Arial"/>
          <w:b/>
        </w:rPr>
      </w:pPr>
      <w:r w:rsidRPr="009B3E96">
        <w:rPr>
          <w:rFonts w:cs="Arial"/>
          <w:b/>
        </w:rPr>
        <w:t>Why has Leapfrog aligned their unit type definitions with NDNQI?</w:t>
      </w:r>
    </w:p>
    <w:p w14:paraId="01A5EBDF" w14:textId="40C626AB" w:rsidR="007E2B42" w:rsidRPr="009B3E96" w:rsidRDefault="007E2B42" w:rsidP="00D17229">
      <w:pPr>
        <w:ind w:left="720"/>
        <w:rPr>
          <w:rFonts w:cs="Arial"/>
          <w:bCs/>
        </w:rPr>
      </w:pPr>
      <w:r w:rsidRPr="009B3E96">
        <w:rPr>
          <w:rFonts w:cs="Arial"/>
          <w:bCs/>
        </w:rPr>
        <w:t>Though NDNQI participation is not required to report on the Total Nursing Care Hours per Patient Day</w:t>
      </w:r>
      <w:r w:rsidR="00AC5848">
        <w:rPr>
          <w:rFonts w:cs="Arial"/>
          <w:bCs/>
        </w:rPr>
        <w:t xml:space="preserve"> and</w:t>
      </w:r>
      <w:r w:rsidRPr="009B3E96">
        <w:rPr>
          <w:rFonts w:cs="Arial"/>
          <w:bCs/>
        </w:rPr>
        <w:t xml:space="preserve"> RN Hours per Patient Day, a number of hospitals participate in NDNQI and have data available to report to the Leapfrog Hospital Survey.</w:t>
      </w:r>
    </w:p>
    <w:p w14:paraId="2141BDB1" w14:textId="77777777" w:rsidR="00B4282C" w:rsidRDefault="00B4282C" w:rsidP="007E2B42">
      <w:pPr>
        <w:pStyle w:val="ListParagraph"/>
        <w:ind w:left="576"/>
      </w:pPr>
    </w:p>
    <w:p w14:paraId="25BF0195" w14:textId="0347FAFB" w:rsidR="0093129C" w:rsidRPr="001F2388" w:rsidRDefault="0093129C" w:rsidP="00AD309C">
      <w:pPr>
        <w:pStyle w:val="ListParagraph"/>
        <w:numPr>
          <w:ilvl w:val="0"/>
          <w:numId w:val="82"/>
        </w:numPr>
        <w:rPr>
          <w:rFonts w:cs="Arial"/>
          <w:b/>
          <w:bCs/>
        </w:rPr>
      </w:pPr>
      <w:r w:rsidRPr="001F2388">
        <w:rPr>
          <w:rFonts w:cs="Arial"/>
          <w:b/>
          <w:bCs/>
        </w:rPr>
        <w:t>How is patient acuity defined?</w:t>
      </w:r>
    </w:p>
    <w:p w14:paraId="2BAC66B4" w14:textId="77777777" w:rsidR="0093129C" w:rsidRPr="009B3E96" w:rsidRDefault="0093129C" w:rsidP="00D17229">
      <w:pPr>
        <w:ind w:left="720"/>
        <w:rPr>
          <w:rFonts w:cs="Arial"/>
          <w:bCs/>
        </w:rPr>
      </w:pPr>
      <w:r w:rsidRPr="009B3E96">
        <w:rPr>
          <w:rFonts w:cs="Arial"/>
          <w:bCs/>
        </w:rPr>
        <w:t>Patient acuity is the level of care that patients are receiving. The three levels of care are:</w:t>
      </w:r>
    </w:p>
    <w:p w14:paraId="0FECDC5D" w14:textId="77777777" w:rsidR="0093129C" w:rsidRPr="005E6D8A" w:rsidRDefault="0093129C" w:rsidP="00AD309C">
      <w:pPr>
        <w:pStyle w:val="ListParagraph"/>
        <w:numPr>
          <w:ilvl w:val="0"/>
          <w:numId w:val="409"/>
        </w:numPr>
        <w:rPr>
          <w:rFonts w:cs="Arial"/>
          <w:bCs/>
        </w:rPr>
      </w:pPr>
      <w:r w:rsidRPr="005E6D8A">
        <w:rPr>
          <w:rFonts w:cs="Arial"/>
          <w:bCs/>
        </w:rPr>
        <w:t>critical care (highest level of acuity)</w:t>
      </w:r>
    </w:p>
    <w:p w14:paraId="0CCE8E84" w14:textId="77777777" w:rsidR="0093129C" w:rsidRPr="005E6D8A" w:rsidRDefault="0093129C" w:rsidP="00AD309C">
      <w:pPr>
        <w:pStyle w:val="ListParagraph"/>
        <w:numPr>
          <w:ilvl w:val="0"/>
          <w:numId w:val="409"/>
        </w:numPr>
        <w:rPr>
          <w:rFonts w:cs="Arial"/>
          <w:bCs/>
        </w:rPr>
      </w:pPr>
      <w:r w:rsidRPr="005E6D8A">
        <w:rPr>
          <w:rFonts w:cs="Arial"/>
          <w:bCs/>
        </w:rPr>
        <w:t xml:space="preserve">step down (lower level of acuity that patients in a critical care unit yet a higher level of acuity than is provided on a general care unit) </w:t>
      </w:r>
    </w:p>
    <w:p w14:paraId="6B3E104D" w14:textId="77777777" w:rsidR="0093129C" w:rsidRPr="005E6D8A" w:rsidRDefault="0093129C" w:rsidP="00AD309C">
      <w:pPr>
        <w:pStyle w:val="ListParagraph"/>
        <w:numPr>
          <w:ilvl w:val="0"/>
          <w:numId w:val="409"/>
        </w:numPr>
        <w:rPr>
          <w:rFonts w:cs="Arial"/>
          <w:bCs/>
        </w:rPr>
      </w:pPr>
      <w:r w:rsidRPr="005E6D8A">
        <w:rPr>
          <w:rFonts w:cs="Arial"/>
          <w:bCs/>
        </w:rPr>
        <w:t>general care</w:t>
      </w:r>
    </w:p>
    <w:p w14:paraId="47045C93" w14:textId="77777777" w:rsidR="0093129C" w:rsidRPr="0004565D" w:rsidRDefault="0093129C" w:rsidP="0093129C">
      <w:pPr>
        <w:ind w:left="576"/>
        <w:rPr>
          <w:rFonts w:cs="Arial"/>
        </w:rPr>
      </w:pPr>
    </w:p>
    <w:p w14:paraId="0D603DF6" w14:textId="1D86B5BD" w:rsidR="0093129C" w:rsidRPr="0004565D" w:rsidRDefault="0093129C" w:rsidP="00D17229">
      <w:pPr>
        <w:ind w:left="720"/>
        <w:rPr>
          <w:rFonts w:cs="Arial"/>
        </w:rPr>
      </w:pPr>
      <w:r w:rsidRPr="0004565D">
        <w:rPr>
          <w:rFonts w:cs="Arial"/>
        </w:rPr>
        <w:t>Single acuity medical, surgical and med-surg units are units where at least 90% of the patients receive general care. Mixed acuity medical, surgical and med-surg units are units where less than 90% of the patients receive a single acuity level of care (more than 10% of patient</w:t>
      </w:r>
      <w:r w:rsidR="00370F6C">
        <w:rPr>
          <w:rFonts w:cs="Arial"/>
        </w:rPr>
        <w:t>s</w:t>
      </w:r>
      <w:r w:rsidRPr="0004565D">
        <w:rPr>
          <w:rFonts w:cs="Arial"/>
        </w:rPr>
        <w:t xml:space="preserve"> receive varying levels of care).</w:t>
      </w:r>
    </w:p>
    <w:p w14:paraId="7FDCFF26" w14:textId="43047C56" w:rsidR="0012042A" w:rsidRDefault="0012042A">
      <w:r>
        <w:br w:type="page"/>
      </w:r>
    </w:p>
    <w:p w14:paraId="54D02332" w14:textId="57793E8C" w:rsidR="0012042A" w:rsidRDefault="0012042A" w:rsidP="0012042A">
      <w:pPr>
        <w:pStyle w:val="ListParagraph"/>
        <w:numPr>
          <w:ilvl w:val="0"/>
          <w:numId w:val="82"/>
        </w:numPr>
      </w:pPr>
      <w:bookmarkStart w:id="451" w:name="virtualnursingFAQ"/>
      <w:bookmarkEnd w:id="451"/>
      <w:r w:rsidRPr="000B3776">
        <w:rPr>
          <w:b/>
          <w:bCs/>
        </w:rPr>
        <w:lastRenderedPageBreak/>
        <w:t>What is the definition of virtual nursing?</w:t>
      </w:r>
      <w:r w:rsidRPr="00E73ED4">
        <w:t xml:space="preserve"> </w:t>
      </w:r>
    </w:p>
    <w:p w14:paraId="30CDA3B5" w14:textId="7D88152D" w:rsidR="00CA0835" w:rsidRPr="00971EE5" w:rsidRDefault="0012042A" w:rsidP="00CA0835">
      <w:pPr>
        <w:ind w:left="720"/>
      </w:pPr>
      <w:r w:rsidRPr="00E73ED4">
        <w:t xml:space="preserve">Virtual nursing is defined using the </w:t>
      </w:r>
      <w:hyperlink r:id="rId340" w:history="1">
        <w:r w:rsidRPr="00BE5C5E">
          <w:rPr>
            <w:rStyle w:val="Hyperlink"/>
          </w:rPr>
          <w:t>American Nursing Association (ANA)’s definition</w:t>
        </w:r>
      </w:hyperlink>
      <w:r w:rsidRPr="00E73ED4">
        <w:t>: leveraging remote technology and tools to provide safe and quality patient care through application of the nursing process by emphasizing communication, compassion, and collaboration throughout the continuum of care.</w:t>
      </w:r>
      <w:r w:rsidR="00CA0835" w:rsidRPr="00CA0835">
        <w:t xml:space="preserve"> </w:t>
      </w:r>
      <w:r w:rsidR="00CA0835">
        <w:t>Leapfrog is specifically asking if virtual nurses are used to perform</w:t>
      </w:r>
      <w:r w:rsidR="00CA0835" w:rsidRPr="00971EE5">
        <w:rPr>
          <w:b/>
          <w:bCs/>
        </w:rPr>
        <w:t xml:space="preserve"> </w:t>
      </w:r>
      <w:r w:rsidR="00832830" w:rsidRPr="00C51EE9">
        <w:t xml:space="preserve">direct </w:t>
      </w:r>
      <w:r w:rsidR="00CA0835">
        <w:t>p</w:t>
      </w:r>
      <w:r w:rsidR="00CA0835" w:rsidRPr="00D12299">
        <w:t xml:space="preserve">atient </w:t>
      </w:r>
      <w:r w:rsidR="00CA0835">
        <w:t>c</w:t>
      </w:r>
      <w:r w:rsidR="00CA0835" w:rsidRPr="00D12299">
        <w:t xml:space="preserve">are </w:t>
      </w:r>
      <w:r w:rsidR="00CA0835">
        <w:t>r</w:t>
      </w:r>
      <w:r w:rsidR="00CA0835" w:rsidRPr="00D12299">
        <w:t>esponsibilities, which</w:t>
      </w:r>
      <w:r w:rsidR="00CA0835" w:rsidRPr="005B597E">
        <w:t xml:space="preserve"> are</w:t>
      </w:r>
      <w:r w:rsidR="00CA0835" w:rsidRPr="00971EE5">
        <w:t xml:space="preserve"> defined as patient centered nursing activities by hospital unit-based staff in the presence of the patient and activities that occur away from the patient that are patient related:</w:t>
      </w:r>
    </w:p>
    <w:p w14:paraId="5C0E226E" w14:textId="77777777" w:rsidR="00CA0835" w:rsidRPr="00971EE5" w:rsidRDefault="00CA0835" w:rsidP="00C5453C">
      <w:pPr>
        <w:pStyle w:val="EndnoteText"/>
        <w:numPr>
          <w:ilvl w:val="1"/>
          <w:numId w:val="149"/>
        </w:numPr>
      </w:pPr>
      <w:r w:rsidRPr="00971EE5">
        <w:t>Medication administration</w:t>
      </w:r>
    </w:p>
    <w:p w14:paraId="254BC156" w14:textId="77777777" w:rsidR="00CA0835" w:rsidRPr="00971EE5" w:rsidRDefault="00CA0835" w:rsidP="00C5453C">
      <w:pPr>
        <w:pStyle w:val="EndnoteText"/>
        <w:numPr>
          <w:ilvl w:val="1"/>
          <w:numId w:val="149"/>
        </w:numPr>
      </w:pPr>
      <w:r w:rsidRPr="00971EE5">
        <w:t>Nursing treatments</w:t>
      </w:r>
    </w:p>
    <w:p w14:paraId="6644BEE1" w14:textId="77777777" w:rsidR="00CA0835" w:rsidRPr="00971EE5" w:rsidRDefault="00CA0835" w:rsidP="00C5453C">
      <w:pPr>
        <w:pStyle w:val="EndnoteText"/>
        <w:numPr>
          <w:ilvl w:val="1"/>
          <w:numId w:val="149"/>
        </w:numPr>
      </w:pPr>
      <w:r w:rsidRPr="00971EE5">
        <w:t>Nursing rounds</w:t>
      </w:r>
    </w:p>
    <w:p w14:paraId="765BB83E" w14:textId="77777777" w:rsidR="00CA0835" w:rsidRPr="00971EE5" w:rsidRDefault="00CA0835" w:rsidP="00C5453C">
      <w:pPr>
        <w:pStyle w:val="EndnoteText"/>
        <w:numPr>
          <w:ilvl w:val="1"/>
          <w:numId w:val="149"/>
        </w:numPr>
      </w:pPr>
      <w:r w:rsidRPr="00971EE5">
        <w:t>Admission, transfer, discharge activities</w:t>
      </w:r>
    </w:p>
    <w:p w14:paraId="37B8220D" w14:textId="77777777" w:rsidR="00CA0835" w:rsidRPr="00971EE5" w:rsidRDefault="00CA0835" w:rsidP="00C5453C">
      <w:pPr>
        <w:pStyle w:val="EndnoteText"/>
        <w:numPr>
          <w:ilvl w:val="1"/>
          <w:numId w:val="149"/>
        </w:numPr>
      </w:pPr>
      <w:r w:rsidRPr="00971EE5">
        <w:t>Patient teaching</w:t>
      </w:r>
    </w:p>
    <w:p w14:paraId="2DFF2C8F" w14:textId="77777777" w:rsidR="00CA0835" w:rsidRPr="00971EE5" w:rsidRDefault="00CA0835" w:rsidP="00C5453C">
      <w:pPr>
        <w:pStyle w:val="EndnoteText"/>
        <w:numPr>
          <w:ilvl w:val="1"/>
          <w:numId w:val="149"/>
        </w:numPr>
      </w:pPr>
      <w:r w:rsidRPr="00971EE5">
        <w:t>Patient communication</w:t>
      </w:r>
    </w:p>
    <w:p w14:paraId="315D29A4" w14:textId="77777777" w:rsidR="00CA0835" w:rsidRPr="00971EE5" w:rsidRDefault="00CA0835" w:rsidP="00C5453C">
      <w:pPr>
        <w:pStyle w:val="EndnoteText"/>
        <w:numPr>
          <w:ilvl w:val="1"/>
          <w:numId w:val="149"/>
        </w:numPr>
      </w:pPr>
      <w:r w:rsidRPr="00971EE5">
        <w:t>Coordination of patient care</w:t>
      </w:r>
    </w:p>
    <w:p w14:paraId="5E133B30" w14:textId="77777777" w:rsidR="00CA0835" w:rsidRPr="00971EE5" w:rsidRDefault="00CA0835" w:rsidP="00C5453C">
      <w:pPr>
        <w:pStyle w:val="EndnoteText"/>
        <w:numPr>
          <w:ilvl w:val="1"/>
          <w:numId w:val="149"/>
        </w:numPr>
      </w:pPr>
      <w:r w:rsidRPr="00971EE5">
        <w:t>Documentation time</w:t>
      </w:r>
    </w:p>
    <w:p w14:paraId="22D28CA3" w14:textId="77777777" w:rsidR="00CA0835" w:rsidRDefault="00CA0835" w:rsidP="00C5453C">
      <w:pPr>
        <w:pStyle w:val="EndnoteText"/>
        <w:numPr>
          <w:ilvl w:val="1"/>
          <w:numId w:val="149"/>
        </w:numPr>
      </w:pPr>
      <w:r w:rsidRPr="00971EE5">
        <w:t>Treatment planning</w:t>
      </w:r>
    </w:p>
    <w:p w14:paraId="55566F06" w14:textId="2D190006" w:rsidR="007E2B42" w:rsidRDefault="00CA0835" w:rsidP="00A94E56">
      <w:pPr>
        <w:pStyle w:val="EndnoteText"/>
        <w:numPr>
          <w:ilvl w:val="1"/>
          <w:numId w:val="149"/>
        </w:numPr>
      </w:pPr>
      <w:r w:rsidRPr="00971EE5">
        <w:t>Patient screening (e.g., fall risk) and assessment</w:t>
      </w:r>
    </w:p>
    <w:p w14:paraId="0000D028" w14:textId="77777777" w:rsidR="0012042A" w:rsidRDefault="0012042A" w:rsidP="007803C2">
      <w:pPr>
        <w:ind w:left="360"/>
      </w:pPr>
    </w:p>
    <w:p w14:paraId="6FEE2F0A" w14:textId="77777777" w:rsidR="007E2B42" w:rsidRPr="003F7FFA" w:rsidRDefault="007E2B42" w:rsidP="00AB5B80">
      <w:pPr>
        <w:pStyle w:val="Heading3"/>
      </w:pPr>
      <w:bookmarkStart w:id="452" w:name="_Toc225877766"/>
      <w:r>
        <w:t>NQF Safe Practice #9 – Nursing Workforce FAQs</w:t>
      </w:r>
      <w:bookmarkEnd w:id="452"/>
    </w:p>
    <w:p w14:paraId="1F8F9396" w14:textId="77777777" w:rsidR="007E2B42" w:rsidRPr="00691017" w:rsidRDefault="007E2B42" w:rsidP="007E2B42">
      <w:pPr>
        <w:tabs>
          <w:tab w:val="left" w:pos="0"/>
        </w:tabs>
      </w:pPr>
    </w:p>
    <w:p w14:paraId="2130F535" w14:textId="658741C6" w:rsidR="008B3CBF" w:rsidRPr="001F2388" w:rsidRDefault="008B3CBF" w:rsidP="00AD309C">
      <w:pPr>
        <w:numPr>
          <w:ilvl w:val="0"/>
          <w:numId w:val="82"/>
        </w:numPr>
        <w:rPr>
          <w:rFonts w:cs="Arial"/>
          <w:b/>
          <w:bCs/>
        </w:rPr>
      </w:pPr>
      <w:r w:rsidRPr="001F2388">
        <w:rPr>
          <w:rFonts w:cs="Arial"/>
          <w:b/>
          <w:bCs/>
        </w:rPr>
        <w:t xml:space="preserve">How </w:t>
      </w:r>
      <w:r w:rsidR="00237D74">
        <w:rPr>
          <w:rFonts w:cs="Arial"/>
          <w:b/>
          <w:bCs/>
        </w:rPr>
        <w:t>do I know if my hospital is eligible to report it has a current Pathways to Excellence designation?</w:t>
      </w:r>
    </w:p>
    <w:p w14:paraId="12F1ACA5" w14:textId="77777777" w:rsidR="003D12A1" w:rsidRPr="003D12A1" w:rsidRDefault="003D12A1" w:rsidP="00D17229">
      <w:pPr>
        <w:ind w:left="720"/>
        <w:rPr>
          <w:rFonts w:cs="Arial"/>
        </w:rPr>
      </w:pPr>
      <w:r w:rsidRPr="003D12A1">
        <w:rPr>
          <w:rFonts w:cs="Arial"/>
        </w:rPr>
        <w:t xml:space="preserve">Hospitals that applied for Pathway to Excellence designation beginning in January 2021 and onward were certified using the 2020 or 2024 Pathways to Excellence® criteria and are eligible to report that they have a current designation. </w:t>
      </w:r>
    </w:p>
    <w:p w14:paraId="5C79031E" w14:textId="77777777" w:rsidR="003D12A1" w:rsidRPr="003D12A1" w:rsidRDefault="003D12A1" w:rsidP="003D12A1">
      <w:pPr>
        <w:ind w:left="576"/>
        <w:rPr>
          <w:rFonts w:cs="Arial"/>
        </w:rPr>
      </w:pPr>
    </w:p>
    <w:p w14:paraId="3A133DDC" w14:textId="6E927BB1" w:rsidR="003D12A1" w:rsidRPr="0004565D" w:rsidRDefault="003D12A1" w:rsidP="00D17229">
      <w:pPr>
        <w:ind w:left="720"/>
        <w:rPr>
          <w:rFonts w:cs="Arial"/>
        </w:rPr>
      </w:pPr>
      <w:r w:rsidRPr="003D12A1">
        <w:rPr>
          <w:rFonts w:cs="Arial"/>
        </w:rPr>
        <w:t xml:space="preserve">Hospitals can check the Designation Year or Redesignation Year on the </w:t>
      </w:r>
      <w:hyperlink r:id="rId341" w:history="1">
        <w:r w:rsidRPr="009A5EB5">
          <w:rPr>
            <w:rStyle w:val="Hyperlink"/>
            <w:rFonts w:cs="Arial"/>
          </w:rPr>
          <w:t>American Nurses Credentialing Center website</w:t>
        </w:r>
      </w:hyperlink>
      <w:r w:rsidRPr="003D12A1">
        <w:rPr>
          <w:rFonts w:cs="Arial"/>
        </w:rPr>
        <w:t>. If the year is 2021 or later, the hospital meets the Pathways to Excellence® criteria.</w:t>
      </w:r>
    </w:p>
    <w:p w14:paraId="027960D9" w14:textId="176A9173" w:rsidR="00A36888" w:rsidRPr="0004565D" w:rsidRDefault="00A36888" w:rsidP="00440F7D">
      <w:pPr>
        <w:rPr>
          <w:rFonts w:cs="Arial"/>
        </w:rPr>
      </w:pPr>
    </w:p>
    <w:p w14:paraId="621DAC32" w14:textId="77777777" w:rsidR="007E2B42" w:rsidRPr="00125826" w:rsidRDefault="007E2B42" w:rsidP="00AD309C">
      <w:pPr>
        <w:numPr>
          <w:ilvl w:val="0"/>
          <w:numId w:val="82"/>
        </w:numPr>
        <w:tabs>
          <w:tab w:val="left" w:pos="0"/>
        </w:tabs>
      </w:pPr>
      <w:r>
        <w:rPr>
          <w:b/>
        </w:rPr>
        <w:t>15e: If the state has set minimum nurse to patient staffing ratios, do hospitals in that state automatically meet the intent of this element?</w:t>
      </w:r>
    </w:p>
    <w:p w14:paraId="2763D7AD" w14:textId="77777777" w:rsidR="007E2B42" w:rsidRDefault="007E2B42" w:rsidP="00D17229">
      <w:pPr>
        <w:tabs>
          <w:tab w:val="left" w:pos="0"/>
        </w:tabs>
        <w:ind w:left="720"/>
      </w:pPr>
      <w:r>
        <w:t xml:space="preserve">No. Minimum ratios do not necessarily address the “adequacy” issue, as </w:t>
      </w:r>
      <w:r w:rsidRPr="00443AB4">
        <w:rPr>
          <w:noProof/>
        </w:rPr>
        <w:t>the</w:t>
      </w:r>
      <w:r>
        <w:t xml:space="preserve"> make-up of your hospital’s patient population may require more intensive staffing </w:t>
      </w:r>
      <w:r w:rsidRPr="00443AB4">
        <w:rPr>
          <w:noProof/>
        </w:rPr>
        <w:t>than</w:t>
      </w:r>
      <w:r>
        <w:t xml:space="preserve"> is prescribed by the state’s minimum.</w:t>
      </w:r>
    </w:p>
    <w:p w14:paraId="3C55D5B3" w14:textId="77777777" w:rsidR="007E2B42" w:rsidRDefault="007E2B42" w:rsidP="007E2B42">
      <w:pPr>
        <w:pStyle w:val="ListParagraph"/>
        <w:ind w:left="576"/>
        <w:rPr>
          <w:b/>
        </w:rPr>
      </w:pPr>
    </w:p>
    <w:p w14:paraId="43F4034D" w14:textId="77777777" w:rsidR="007E2B42" w:rsidRPr="000A3BCF" w:rsidRDefault="007E2B42" w:rsidP="00AD309C">
      <w:pPr>
        <w:pStyle w:val="ListParagraph"/>
        <w:numPr>
          <w:ilvl w:val="0"/>
          <w:numId w:val="82"/>
        </w:numPr>
        <w:rPr>
          <w:b/>
        </w:rPr>
      </w:pPr>
      <w:bookmarkStart w:id="453" w:name="staffingplan_5cfaq"/>
      <w:bookmarkEnd w:id="453"/>
      <w:r>
        <w:rPr>
          <w:b/>
        </w:rPr>
        <w:t>15e</w:t>
      </w:r>
      <w:r w:rsidRPr="000A3BCF">
        <w:rPr>
          <w:b/>
        </w:rPr>
        <w:t xml:space="preserve">: What </w:t>
      </w:r>
      <w:r>
        <w:rPr>
          <w:b/>
        </w:rPr>
        <w:t xml:space="preserve">are the minimum requirements </w:t>
      </w:r>
      <w:r w:rsidRPr="00443AB4">
        <w:rPr>
          <w:b/>
          <w:noProof/>
        </w:rPr>
        <w:t>to</w:t>
      </w:r>
      <w:r>
        <w:rPr>
          <w:b/>
        </w:rPr>
        <w:t xml:space="preserve"> </w:t>
      </w:r>
      <w:r w:rsidRPr="00443AB4">
        <w:rPr>
          <w:b/>
          <w:noProof/>
        </w:rPr>
        <w:t>quali</w:t>
      </w:r>
      <w:r>
        <w:rPr>
          <w:b/>
          <w:noProof/>
        </w:rPr>
        <w:t>f</w:t>
      </w:r>
      <w:r w:rsidRPr="00443AB4">
        <w:rPr>
          <w:b/>
          <w:noProof/>
        </w:rPr>
        <w:t>y</w:t>
      </w:r>
      <w:r>
        <w:rPr>
          <w:b/>
        </w:rPr>
        <w:t xml:space="preserve"> as a “</w:t>
      </w:r>
      <w:r w:rsidRPr="000A3BCF">
        <w:rPr>
          <w:b/>
        </w:rPr>
        <w:t>staffing plan?</w:t>
      </w:r>
      <w:r>
        <w:rPr>
          <w:b/>
        </w:rPr>
        <w:t>”</w:t>
      </w:r>
    </w:p>
    <w:p w14:paraId="032F818F" w14:textId="77777777" w:rsidR="007E2B42" w:rsidRDefault="007E2B42" w:rsidP="00D17229">
      <w:pPr>
        <w:pStyle w:val="EndnoteText"/>
        <w:ind w:left="720"/>
      </w:pPr>
      <w:r w:rsidRPr="006B32BE">
        <w:t>“A staffing plan” refers to nursing policies and procedures or a specific process used by the organization to pre-determine appropriate staffing patterns based on usual patient mix and nursing qualifications. A hospital must demon</w:t>
      </w:r>
      <w:r>
        <w:t>strate full achievement of its</w:t>
      </w:r>
      <w:r w:rsidRPr="006B32BE">
        <w:t xml:space="preserve"> targets.</w:t>
      </w:r>
      <w:r>
        <w:t xml:space="preserve"> </w:t>
      </w:r>
    </w:p>
    <w:p w14:paraId="508A0398" w14:textId="77777777" w:rsidR="007E2B42" w:rsidRDefault="007E2B42" w:rsidP="007E2B42">
      <w:pPr>
        <w:pStyle w:val="EndnoteText"/>
        <w:ind w:left="576"/>
      </w:pPr>
    </w:p>
    <w:p w14:paraId="59B8C459" w14:textId="77777777" w:rsidR="007E2B42" w:rsidRDefault="007E2B42" w:rsidP="00D17229">
      <w:pPr>
        <w:pStyle w:val="EndnoteText"/>
        <w:ind w:left="720"/>
      </w:pPr>
      <w:r>
        <w:t xml:space="preserve">Organizations must integrate several data sets into a staffing system that predefines and quantifies appropriate staffing targets. These data sets include: </w:t>
      </w:r>
    </w:p>
    <w:p w14:paraId="20516AEB" w14:textId="77777777" w:rsidR="007E2B42" w:rsidRDefault="007E2B42" w:rsidP="00AD309C">
      <w:pPr>
        <w:pStyle w:val="EndnoteText"/>
        <w:numPr>
          <w:ilvl w:val="1"/>
          <w:numId w:val="149"/>
        </w:numPr>
      </w:pPr>
      <w:r>
        <w:t xml:space="preserve">Historical Data (e.g., patient volumes, acuity levels, and staff volumes of direct caregivers) </w:t>
      </w:r>
    </w:p>
    <w:p w14:paraId="6E7F7204" w14:textId="77777777" w:rsidR="007E2B42" w:rsidRDefault="007E2B42" w:rsidP="00AD309C">
      <w:pPr>
        <w:pStyle w:val="EndnoteText"/>
        <w:numPr>
          <w:ilvl w:val="1"/>
          <w:numId w:val="149"/>
        </w:numPr>
      </w:pPr>
      <w:r>
        <w:t xml:space="preserve">Comparative Data (e.g., comparisons between similar units internally and comparative external data from hospitals of like size and geographic location) </w:t>
      </w:r>
    </w:p>
    <w:p w14:paraId="2A45E995" w14:textId="77777777" w:rsidR="007E2B42" w:rsidRDefault="007E2B42" w:rsidP="00AD309C">
      <w:pPr>
        <w:pStyle w:val="EndnoteText"/>
        <w:numPr>
          <w:ilvl w:val="1"/>
          <w:numId w:val="149"/>
        </w:numPr>
      </w:pPr>
      <w:r>
        <w:t xml:space="preserve">Clinical Outcomes </w:t>
      </w:r>
    </w:p>
    <w:p w14:paraId="571EC2C8" w14:textId="77777777" w:rsidR="007E2B42" w:rsidRDefault="007E2B42" w:rsidP="00AD309C">
      <w:pPr>
        <w:pStyle w:val="EndnoteText"/>
        <w:numPr>
          <w:ilvl w:val="1"/>
          <w:numId w:val="149"/>
        </w:numPr>
      </w:pPr>
      <w:r>
        <w:t xml:space="preserve">Skill Mix of Staff (e.g., licensing levels and educational training, years of experience, and volume of new graduates on a unit) </w:t>
      </w:r>
    </w:p>
    <w:p w14:paraId="522361B3" w14:textId="77777777" w:rsidR="007E2B42" w:rsidRDefault="007E2B42" w:rsidP="00AD309C">
      <w:pPr>
        <w:pStyle w:val="EndnoteText"/>
        <w:numPr>
          <w:ilvl w:val="1"/>
          <w:numId w:val="149"/>
        </w:numPr>
      </w:pPr>
      <w:r>
        <w:t xml:space="preserve">Physical environment (e.g., distance staff have to travel to access support equipment, visibility of patients, locations of nursing stations to patient rooms, etc.) </w:t>
      </w:r>
    </w:p>
    <w:p w14:paraId="3267F136" w14:textId="77777777" w:rsidR="007E2B42" w:rsidRDefault="007E2B42" w:rsidP="00AD309C">
      <w:pPr>
        <w:pStyle w:val="EndnoteText"/>
        <w:numPr>
          <w:ilvl w:val="1"/>
          <w:numId w:val="149"/>
        </w:numPr>
      </w:pPr>
      <w:r>
        <w:t xml:space="preserve">Type of patient care needs </w:t>
      </w:r>
    </w:p>
    <w:p w14:paraId="589D6EA5" w14:textId="77777777" w:rsidR="007E2B42" w:rsidRDefault="007E2B42" w:rsidP="00AD309C">
      <w:pPr>
        <w:pStyle w:val="EndnoteText"/>
        <w:numPr>
          <w:ilvl w:val="1"/>
          <w:numId w:val="149"/>
        </w:numPr>
      </w:pPr>
      <w:r>
        <w:t xml:space="preserve">Support services available </w:t>
      </w:r>
    </w:p>
    <w:p w14:paraId="2AAA9B77" w14:textId="77777777" w:rsidR="007E2B42" w:rsidRDefault="007E2B42" w:rsidP="007E2B42">
      <w:pPr>
        <w:pStyle w:val="EndnoteText"/>
        <w:ind w:left="576"/>
      </w:pPr>
    </w:p>
    <w:p w14:paraId="5738D0F8" w14:textId="77777777" w:rsidR="00A94E56" w:rsidRDefault="00A94E56" w:rsidP="00D17229">
      <w:pPr>
        <w:pStyle w:val="EndnoteText"/>
        <w:ind w:left="720"/>
      </w:pPr>
    </w:p>
    <w:p w14:paraId="6E1AF0CE" w14:textId="3322C052" w:rsidR="007E2B42" w:rsidRDefault="007E2B42" w:rsidP="00D17229">
      <w:pPr>
        <w:pStyle w:val="EndnoteText"/>
        <w:ind w:left="720"/>
      </w:pPr>
      <w:r>
        <w:lastRenderedPageBreak/>
        <w:t>Daily monitoring should take place to determine variances between predetermined staffing patterns and actual staffing patterns. If necessary, corrective action should be taken. Regular monitoring should take place to determine the accuracy of targets established and determine adjustments as needed.</w:t>
      </w:r>
    </w:p>
    <w:p w14:paraId="1A95011B" w14:textId="77777777" w:rsidR="007E2B42" w:rsidRDefault="007E2B42" w:rsidP="007E2B42">
      <w:pPr>
        <w:pStyle w:val="EndnoteText"/>
      </w:pPr>
    </w:p>
    <w:p w14:paraId="61581C6F" w14:textId="77777777" w:rsidR="007E2B42" w:rsidRPr="009A5185" w:rsidRDefault="007E2B42" w:rsidP="00AB5B80">
      <w:pPr>
        <w:pStyle w:val="Heading3"/>
      </w:pPr>
      <w:bookmarkStart w:id="454" w:name="_Toc225877767"/>
      <w:r>
        <w:t>Percentage of RNs who are BSN-Prepared FAQs</w:t>
      </w:r>
      <w:bookmarkEnd w:id="454"/>
    </w:p>
    <w:p w14:paraId="0C47ADF0" w14:textId="77777777" w:rsidR="007E2B42" w:rsidRDefault="007E2B42" w:rsidP="007E2B42"/>
    <w:p w14:paraId="34E87AF9" w14:textId="77777777" w:rsidR="007E2B42" w:rsidRDefault="007E2B42" w:rsidP="00AD309C">
      <w:pPr>
        <w:pStyle w:val="ListParagraph"/>
        <w:numPr>
          <w:ilvl w:val="0"/>
          <w:numId w:val="82"/>
        </w:numPr>
        <w:rPr>
          <w:b/>
          <w:bCs/>
        </w:rPr>
      </w:pPr>
      <w:r w:rsidRPr="3481D933">
        <w:rPr>
          <w:b/>
          <w:bCs/>
        </w:rPr>
        <w:t xml:space="preserve">Should </w:t>
      </w:r>
      <w:r>
        <w:rPr>
          <w:b/>
          <w:bCs/>
        </w:rPr>
        <w:t>RNs</w:t>
      </w:r>
      <w:r w:rsidRPr="3481D933">
        <w:rPr>
          <w:b/>
          <w:bCs/>
        </w:rPr>
        <w:t xml:space="preserve"> with direct patient care responsibilities exclusively assigned to outpatient units or hospital clinics be included </w:t>
      </w:r>
      <w:r>
        <w:rPr>
          <w:b/>
          <w:bCs/>
        </w:rPr>
        <w:t>when reporting on the P</w:t>
      </w:r>
      <w:r w:rsidRPr="00B22B26">
        <w:rPr>
          <w:b/>
          <w:bCs/>
        </w:rPr>
        <w:t xml:space="preserve">ercentage </w:t>
      </w:r>
      <w:r w:rsidRPr="3481D933">
        <w:rPr>
          <w:b/>
          <w:bCs/>
        </w:rPr>
        <w:t xml:space="preserve">of </w:t>
      </w:r>
      <w:r>
        <w:rPr>
          <w:b/>
          <w:bCs/>
        </w:rPr>
        <w:t>RNs</w:t>
      </w:r>
      <w:r w:rsidRPr="3481D933">
        <w:rPr>
          <w:b/>
          <w:bCs/>
        </w:rPr>
        <w:t xml:space="preserve"> </w:t>
      </w:r>
      <w:r>
        <w:rPr>
          <w:b/>
          <w:bCs/>
        </w:rPr>
        <w:t>who</w:t>
      </w:r>
      <w:r w:rsidRPr="3481D933">
        <w:rPr>
          <w:b/>
          <w:bCs/>
        </w:rPr>
        <w:t xml:space="preserve"> are BSN-</w:t>
      </w:r>
      <w:r>
        <w:rPr>
          <w:b/>
          <w:bCs/>
        </w:rPr>
        <w:t>P</w:t>
      </w:r>
      <w:r w:rsidRPr="3481D933">
        <w:rPr>
          <w:b/>
          <w:bCs/>
        </w:rPr>
        <w:t>repared</w:t>
      </w:r>
      <w:r>
        <w:rPr>
          <w:b/>
          <w:bCs/>
        </w:rPr>
        <w:t xml:space="preserve"> measure</w:t>
      </w:r>
      <w:r w:rsidRPr="3481D933">
        <w:rPr>
          <w:b/>
          <w:bCs/>
        </w:rPr>
        <w:t>?</w:t>
      </w:r>
    </w:p>
    <w:p w14:paraId="302986DA" w14:textId="3ACB64A4" w:rsidR="00E73ED4" w:rsidRDefault="007E2B42" w:rsidP="00E73ED4">
      <w:pPr>
        <w:ind w:left="720"/>
      </w:pPr>
      <w:r>
        <w:t xml:space="preserve">Yes. The total number of RN nursing staff employed at the hospital should include nurses with direct care responsibilities in most hospital units, including observation, </w:t>
      </w:r>
      <w:hyperlink w:anchor="colocatedendnote" w:history="1">
        <w:r w:rsidRPr="00C84595">
          <w:rPr>
            <w:rStyle w:val="Hyperlink"/>
          </w:rPr>
          <w:t>co-located</w:t>
        </w:r>
      </w:hyperlink>
      <w:r>
        <w:fldChar w:fldCharType="begin"/>
      </w:r>
      <w:r>
        <w:instrText xml:space="preserve"> NOTEREF _Ref134616250 \f \h </w:instrText>
      </w:r>
      <w:r>
        <w:fldChar w:fldCharType="separate"/>
      </w:r>
      <w:r w:rsidR="007D53A2" w:rsidRPr="001D1E3A">
        <w:rPr>
          <w:rStyle w:val="EndnoteReference"/>
        </w:rPr>
        <w:t>31</w:t>
      </w:r>
      <w:r>
        <w:fldChar w:fldCharType="end"/>
      </w:r>
      <w:r>
        <w:t xml:space="preserve"> outpatient units, and emergency departments. Only employed RNs exclusively assigned to Skilled Nursing units or Mixed Acuity Neonatal units should be excluded when reporting on the measure. </w:t>
      </w:r>
    </w:p>
    <w:p w14:paraId="6CC6041F" w14:textId="36873A4E" w:rsidR="00C10B93" w:rsidRPr="00E73ED4" w:rsidRDefault="00C10B93" w:rsidP="004554BC">
      <w:pPr>
        <w:pStyle w:val="ListParagraph"/>
      </w:pPr>
      <w:r w:rsidRPr="00E73ED4">
        <w:rPr>
          <w:rFonts w:cs="Arial"/>
          <w:lang w:eastAsia="ja-JP"/>
        </w:rPr>
        <w:br w:type="page"/>
      </w:r>
    </w:p>
    <w:p w14:paraId="38229A19" w14:textId="1A6A4B0F" w:rsidR="00920EF6" w:rsidRPr="009A5185" w:rsidRDefault="00920EF6" w:rsidP="00082F78">
      <w:pPr>
        <w:sectPr w:rsidR="00920EF6" w:rsidRPr="009A5185" w:rsidSect="00062F69">
          <w:headerReference w:type="default" r:id="rId342"/>
          <w:endnotePr>
            <w:numFmt w:val="decimal"/>
          </w:endnotePr>
          <w:type w:val="continuous"/>
          <w:pgSz w:w="12240" w:h="15840"/>
          <w:pgMar w:top="1080" w:right="1440" w:bottom="1080" w:left="1440" w:header="720" w:footer="720" w:gutter="0"/>
          <w:cols w:space="720"/>
          <w:docGrid w:linePitch="272"/>
        </w:sectPr>
      </w:pPr>
      <w:bookmarkStart w:id="455" w:name="_Toc414267287"/>
    </w:p>
    <w:p w14:paraId="23DFF711" w14:textId="77777777" w:rsidR="00046B33" w:rsidRPr="009A5185" w:rsidRDefault="00046B33" w:rsidP="00764EEA"/>
    <w:p w14:paraId="6215FE06" w14:textId="1D8E6A5E" w:rsidR="00C10B93" w:rsidRPr="009A5185" w:rsidRDefault="00CC2E61" w:rsidP="00D32C75">
      <w:pPr>
        <w:pStyle w:val="SectionHeader"/>
      </w:pPr>
      <w:bookmarkStart w:id="456" w:name="_Toc225877768"/>
      <w:r w:rsidRPr="009A5185">
        <w:t>Page Intentionally Left Blank</w:t>
      </w:r>
      <w:bookmarkEnd w:id="455"/>
      <w:bookmarkEnd w:id="456"/>
    </w:p>
    <w:p w14:paraId="00BF0486" w14:textId="77777777" w:rsidR="00CC2E61" w:rsidRPr="009A5185" w:rsidRDefault="00CC2E61">
      <w:pPr>
        <w:rPr>
          <w:rFonts w:cs="Arial"/>
          <w:b/>
          <w:snapToGrid w:val="0"/>
          <w:color w:val="A6A6A6" w:themeColor="background1" w:themeShade="A6"/>
          <w:sz w:val="40"/>
          <w:szCs w:val="40"/>
          <w:lang w:eastAsia="ja-JP"/>
        </w:rPr>
      </w:pPr>
      <w:r w:rsidRPr="009A5185">
        <w:rPr>
          <w:rFonts w:cs="Arial"/>
          <w:color w:val="A6A6A6" w:themeColor="background1" w:themeShade="A6"/>
        </w:rPr>
        <w:br w:type="page"/>
      </w:r>
    </w:p>
    <w:p w14:paraId="3B1D4213" w14:textId="77777777" w:rsidR="00920EF6" w:rsidRPr="009A5185" w:rsidRDefault="00920EF6" w:rsidP="0011459E">
      <w:pPr>
        <w:rPr>
          <w:b/>
          <w:i/>
        </w:rPr>
        <w:sectPr w:rsidR="00920EF6" w:rsidRPr="009A5185" w:rsidSect="00062F69">
          <w:headerReference w:type="default" r:id="rId343"/>
          <w:endnotePr>
            <w:numFmt w:val="decimal"/>
          </w:endnotePr>
          <w:type w:val="continuous"/>
          <w:pgSz w:w="12240" w:h="15840"/>
          <w:pgMar w:top="1080" w:right="1440" w:bottom="1080" w:left="1440" w:header="720" w:footer="720" w:gutter="0"/>
          <w:cols w:space="720"/>
          <w:docGrid w:linePitch="272"/>
        </w:sectPr>
      </w:pPr>
    </w:p>
    <w:p w14:paraId="6C7CB1FC" w14:textId="77777777" w:rsidR="00CC2E61" w:rsidRPr="009A5185" w:rsidRDefault="00CC2E61" w:rsidP="00764EEA"/>
    <w:p w14:paraId="0E22C308" w14:textId="7E307460" w:rsidR="00E0417A" w:rsidRDefault="00E0417A"/>
    <w:p w14:paraId="7EE67C4D" w14:textId="77777777" w:rsidR="00F750C5" w:rsidRDefault="00F750C5" w:rsidP="00F750C5"/>
    <w:p w14:paraId="55120CBB" w14:textId="77777777" w:rsidR="00E0417A" w:rsidRDefault="00E0417A" w:rsidP="00F750C5"/>
    <w:p w14:paraId="477E5390" w14:textId="77777777" w:rsidR="00E0417A" w:rsidRDefault="00E0417A" w:rsidP="00F750C5"/>
    <w:p w14:paraId="5CAD8326" w14:textId="77777777" w:rsidR="00E0417A" w:rsidRDefault="00E0417A" w:rsidP="00F750C5"/>
    <w:p w14:paraId="466069DE" w14:textId="77777777" w:rsidR="00E0417A" w:rsidRDefault="00E0417A" w:rsidP="00F750C5"/>
    <w:p w14:paraId="5BC53EA6" w14:textId="77777777" w:rsidR="00E0417A" w:rsidRDefault="00E0417A" w:rsidP="00F750C5"/>
    <w:p w14:paraId="2D287D34" w14:textId="77777777" w:rsidR="00E0417A" w:rsidRDefault="00E0417A" w:rsidP="00F750C5"/>
    <w:p w14:paraId="48D6CE4A" w14:textId="77777777" w:rsidR="00E0417A" w:rsidRDefault="00E0417A" w:rsidP="00F750C5"/>
    <w:p w14:paraId="240F5C3F" w14:textId="77777777" w:rsidR="00E0417A" w:rsidRDefault="00E0417A" w:rsidP="00F750C5"/>
    <w:p w14:paraId="0731092F" w14:textId="77777777" w:rsidR="00E0417A" w:rsidRDefault="00E0417A" w:rsidP="00F750C5"/>
    <w:p w14:paraId="70538222" w14:textId="77777777" w:rsidR="00E0417A" w:rsidRDefault="00E0417A" w:rsidP="00F750C5"/>
    <w:p w14:paraId="74350155" w14:textId="77777777" w:rsidR="00E0417A" w:rsidRDefault="00E0417A" w:rsidP="00F750C5"/>
    <w:p w14:paraId="77BE9758" w14:textId="77777777" w:rsidR="00E0417A" w:rsidRDefault="00E0417A" w:rsidP="00F750C5"/>
    <w:p w14:paraId="5F552BE3" w14:textId="77777777" w:rsidR="00E0417A" w:rsidRDefault="00E0417A" w:rsidP="00F750C5"/>
    <w:p w14:paraId="1B334FCF" w14:textId="77777777" w:rsidR="00E0417A" w:rsidRDefault="00E0417A" w:rsidP="00F750C5"/>
    <w:p w14:paraId="03E6980B" w14:textId="77777777" w:rsidR="00E0417A" w:rsidRDefault="00E0417A" w:rsidP="00F750C5"/>
    <w:p w14:paraId="25894217" w14:textId="19121127" w:rsidR="00C10B93" w:rsidRPr="009A5185" w:rsidRDefault="004B7F4F" w:rsidP="00D32C75">
      <w:pPr>
        <w:pStyle w:val="SectionHeader"/>
      </w:pPr>
      <w:bookmarkStart w:id="457" w:name="Sect6"/>
      <w:bookmarkStart w:id="458" w:name="_Toc225877769"/>
      <w:r w:rsidRPr="009A5185">
        <w:t xml:space="preserve">SECTION 6: </w:t>
      </w:r>
      <w:r w:rsidR="00573739">
        <w:t>PATIENT</w:t>
      </w:r>
      <w:r w:rsidR="0069528D" w:rsidRPr="009A5185">
        <w:t xml:space="preserve"> </w:t>
      </w:r>
      <w:r w:rsidR="00AE4B4C" w:rsidRPr="009A5185">
        <w:t>SAFE</w:t>
      </w:r>
      <w:r w:rsidR="00C32BB5">
        <w:t>TY</w:t>
      </w:r>
      <w:r w:rsidR="00AE4B4C" w:rsidRPr="009A5185">
        <w:t xml:space="preserve"> PRACTICES</w:t>
      </w:r>
      <w:bookmarkEnd w:id="457"/>
      <w:bookmarkEnd w:id="458"/>
    </w:p>
    <w:p w14:paraId="1DB932B7" w14:textId="77777777" w:rsidR="00C10B93" w:rsidRPr="009A5185" w:rsidRDefault="00C10B93" w:rsidP="00764EEA"/>
    <w:p w14:paraId="64DB5F75" w14:textId="77777777" w:rsidR="00C10B93" w:rsidRPr="009A5185" w:rsidRDefault="00C10B93" w:rsidP="00C10B93">
      <w:pPr>
        <w:rPr>
          <w:rFonts w:cs="Arial"/>
        </w:rPr>
      </w:pPr>
      <w:r w:rsidRPr="009A5185">
        <w:rPr>
          <w:rFonts w:cs="Arial"/>
        </w:rPr>
        <w:t>This section includes questions and reference information for Section 6</w:t>
      </w:r>
      <w:r w:rsidR="004A4FD0" w:rsidRPr="009A5185">
        <w:rPr>
          <w:rFonts w:cs="Arial"/>
        </w:rPr>
        <w:t xml:space="preserve">: </w:t>
      </w:r>
      <w:r w:rsidR="00C32BB5">
        <w:rPr>
          <w:rFonts w:cs="Arial"/>
        </w:rPr>
        <w:t>Patient</w:t>
      </w:r>
      <w:r w:rsidR="004A4FD0" w:rsidRPr="009A5185">
        <w:rPr>
          <w:rFonts w:cs="Arial"/>
        </w:rPr>
        <w:t xml:space="preserve"> Safe</w:t>
      </w:r>
      <w:r w:rsidR="00C32BB5">
        <w:rPr>
          <w:rFonts w:cs="Arial"/>
        </w:rPr>
        <w:t>ty</w:t>
      </w:r>
      <w:r w:rsidR="004A4FD0" w:rsidRPr="009A5185">
        <w:rPr>
          <w:rFonts w:cs="Arial"/>
        </w:rPr>
        <w:t xml:space="preserve"> Practices</w:t>
      </w:r>
      <w:r w:rsidRPr="009A5185">
        <w:rPr>
          <w:rFonts w:cs="Arial"/>
        </w:rPr>
        <w:t xml:space="preserve">. Please carefully review the questions, </w:t>
      </w:r>
      <w:r w:rsidR="00B94757" w:rsidRPr="009A5185">
        <w:rPr>
          <w:rFonts w:cs="Arial"/>
        </w:rPr>
        <w:t>endnotes</w:t>
      </w:r>
      <w:r w:rsidRPr="009A5185">
        <w:rPr>
          <w:rFonts w:cs="Arial"/>
        </w:rPr>
        <w:t>, and reference information (e.g.</w:t>
      </w:r>
      <w:r w:rsidR="00BD221E" w:rsidRPr="009A5185">
        <w:rPr>
          <w:rFonts w:cs="Arial"/>
        </w:rPr>
        <w:t>,</w:t>
      </w:r>
      <w:r w:rsidRPr="009A5185">
        <w:rPr>
          <w:rFonts w:cs="Arial"/>
        </w:rPr>
        <w:t xml:space="preserve"> measure specifications, notes, and frequen</w:t>
      </w:r>
      <w:r w:rsidR="007179BA" w:rsidRPr="009A5185">
        <w:rPr>
          <w:rFonts w:cs="Arial"/>
        </w:rPr>
        <w:t>tl</w:t>
      </w:r>
      <w:r w:rsidRPr="009A5185">
        <w:rPr>
          <w:rFonts w:cs="Arial"/>
        </w:rPr>
        <w:t xml:space="preserve">y asked questions) before you begin. Failure to review the reference information could result in inaccurate responses. </w:t>
      </w:r>
    </w:p>
    <w:p w14:paraId="4EEA088F" w14:textId="77777777" w:rsidR="00C10B93" w:rsidRPr="009A5185" w:rsidRDefault="00C10B93" w:rsidP="00C10B93">
      <w:pPr>
        <w:rPr>
          <w:rFonts w:cs="Arial"/>
          <w:b/>
          <w:snapToGrid w:val="0"/>
          <w:sz w:val="40"/>
          <w:szCs w:val="40"/>
          <w:lang w:eastAsia="ja-JP"/>
        </w:rPr>
      </w:pPr>
      <w:r w:rsidRPr="009A5185">
        <w:rPr>
          <w:rFonts w:cs="Arial"/>
        </w:rPr>
        <w:br w:type="page"/>
      </w:r>
    </w:p>
    <w:p w14:paraId="035735DD" w14:textId="410BD521" w:rsidR="000C3BE1" w:rsidRPr="009A5185" w:rsidRDefault="00C10B93" w:rsidP="00CF5A6E">
      <w:pPr>
        <w:pStyle w:val="Heading2"/>
      </w:pPr>
      <w:bookmarkStart w:id="459" w:name="_Section_6:_Patient"/>
      <w:bookmarkStart w:id="460" w:name="_Toc225877770"/>
      <w:bookmarkEnd w:id="459"/>
      <w:r w:rsidRPr="009A5185">
        <w:lastRenderedPageBreak/>
        <w:t xml:space="preserve">Section 6: </w:t>
      </w:r>
      <w:r w:rsidR="0081227A">
        <w:t>Patient</w:t>
      </w:r>
      <w:r w:rsidR="00F42AE4" w:rsidRPr="009A5185">
        <w:t xml:space="preserve"> </w:t>
      </w:r>
      <w:r w:rsidR="003E5C29" w:rsidRPr="009A5185">
        <w:t>Safe</w:t>
      </w:r>
      <w:r w:rsidR="0081227A">
        <w:t>ty</w:t>
      </w:r>
      <w:r w:rsidR="003E5C29" w:rsidRPr="009A5185">
        <w:t xml:space="preserve"> Practices</w:t>
      </w:r>
      <w:bookmarkEnd w:id="460"/>
    </w:p>
    <w:p w14:paraId="43B9FF94" w14:textId="77777777" w:rsidR="003E5C29" w:rsidRPr="00332D4F" w:rsidRDefault="003E5C29">
      <w:pPr>
        <w:rPr>
          <w:rFonts w:cs="Arial"/>
        </w:rPr>
      </w:pPr>
    </w:p>
    <w:p w14:paraId="1E69C198" w14:textId="77777777" w:rsidR="00025555" w:rsidRDefault="001A0894">
      <w:pPr>
        <w:rPr>
          <w:rFonts w:cs="Arial"/>
        </w:rPr>
      </w:pPr>
      <w:r w:rsidRPr="00332D4F">
        <w:rPr>
          <w:rFonts w:cs="Arial"/>
          <w:b/>
        </w:rPr>
        <w:t>NQF</w:t>
      </w:r>
      <w:r w:rsidR="0041452B" w:rsidRPr="00332D4F">
        <w:rPr>
          <w:rFonts w:cs="Arial"/>
          <w:b/>
        </w:rPr>
        <w:t xml:space="preserve"> </w:t>
      </w:r>
      <w:r w:rsidRPr="00332D4F">
        <w:rPr>
          <w:rFonts w:cs="Arial"/>
          <w:b/>
        </w:rPr>
        <w:t xml:space="preserve">Safe </w:t>
      </w:r>
      <w:r w:rsidR="0041452B" w:rsidRPr="00332D4F">
        <w:rPr>
          <w:rFonts w:cs="Arial"/>
          <w:b/>
        </w:rPr>
        <w:t>Practices Fact Sheet</w:t>
      </w:r>
      <w:r w:rsidR="009B0C05">
        <w:rPr>
          <w:rFonts w:cs="Arial"/>
          <w:b/>
        </w:rPr>
        <w:t>s</w:t>
      </w:r>
      <w:r w:rsidR="00870411" w:rsidRPr="00332D4F">
        <w:rPr>
          <w:rFonts w:cs="Arial"/>
          <w:b/>
        </w:rPr>
        <w:t>:</w:t>
      </w:r>
      <w:r w:rsidR="00870411" w:rsidRPr="00332D4F">
        <w:rPr>
          <w:rFonts w:cs="Arial"/>
        </w:rPr>
        <w:t xml:space="preserve"> </w:t>
      </w:r>
    </w:p>
    <w:bookmarkStart w:id="461" w:name="_Tips_for_Reporting"/>
    <w:bookmarkEnd w:id="461"/>
    <w:p w14:paraId="5155DC04" w14:textId="4099AB88" w:rsidR="006D1A8F" w:rsidRDefault="005F5439" w:rsidP="00C14AFF">
      <w:r>
        <w:fldChar w:fldCharType="begin"/>
      </w:r>
      <w:r>
        <w:instrText>HYPERLINK "</w:instrText>
      </w:r>
      <w:r w:rsidRPr="005F5439">
        <w:instrText>https://ratings.leapfroggroup.org/measure/hospital/2026/effective-leadership-prevent-errors</w:instrText>
      </w:r>
      <w:r>
        <w:instrText>"</w:instrText>
      </w:r>
      <w:r>
        <w:fldChar w:fldCharType="separate"/>
      </w:r>
      <w:r w:rsidRPr="00A2752F">
        <w:rPr>
          <w:rStyle w:val="Hyperlink"/>
        </w:rPr>
        <w:t>https://ratings.leapfroggroup.org/measure/hospital/2026/effective-leadership-prevent-errors</w:t>
      </w:r>
      <w:r>
        <w:fldChar w:fldCharType="end"/>
      </w:r>
    </w:p>
    <w:p w14:paraId="419C260C" w14:textId="77777777" w:rsidR="005F5439" w:rsidRPr="00332D4F" w:rsidRDefault="005F5439" w:rsidP="00C14AFF">
      <w:pPr>
        <w:rPr>
          <w:rFonts w:cs="Arial"/>
          <w:b/>
          <w:bCs/>
          <w:snapToGrid w:val="0"/>
        </w:rPr>
      </w:pPr>
    </w:p>
    <w:p w14:paraId="308EB5D9" w14:textId="0936D9A5" w:rsidR="00854543" w:rsidRPr="00854543" w:rsidRDefault="003B5159" w:rsidP="00C14AFF">
      <w:r w:rsidRPr="00760C43">
        <w:rPr>
          <w:rFonts w:cs="Arial"/>
          <w:b/>
        </w:rPr>
        <w:t xml:space="preserve">Hand Hygiene Fact Sheet and Bibliography: </w:t>
      </w:r>
      <w:hyperlink r:id="rId344" w:history="1">
        <w:r w:rsidR="00854543" w:rsidRPr="00A2752F">
          <w:rPr>
            <w:rStyle w:val="Hyperlink"/>
          </w:rPr>
          <w:t>https://ratings.leapfroggroup.org/measure/hospital/2026/handwashing</w:t>
        </w:r>
      </w:hyperlink>
      <w:r w:rsidR="00854543">
        <w:t xml:space="preserve"> </w:t>
      </w:r>
    </w:p>
    <w:p w14:paraId="58456F03" w14:textId="77777777" w:rsidR="00C62199" w:rsidRDefault="00C62199" w:rsidP="00C14AFF"/>
    <w:p w14:paraId="3704559E" w14:textId="50AB7F8E" w:rsidR="00C62199" w:rsidRDefault="00C62199" w:rsidP="00C14AFF">
      <w:pPr>
        <w:rPr>
          <w:rFonts w:cs="Arial"/>
          <w:snapToGrid w:val="0"/>
        </w:rPr>
      </w:pPr>
      <w:r w:rsidRPr="000C1F1D">
        <w:rPr>
          <w:b/>
          <w:bCs/>
        </w:rPr>
        <w:t>Diagnostic Excellence Bibliography:</w:t>
      </w:r>
      <w:r>
        <w:rPr>
          <w:rFonts w:cs="Arial"/>
          <w:snapToGrid w:val="0"/>
        </w:rPr>
        <w:t xml:space="preserve"> </w:t>
      </w:r>
      <w:r w:rsidR="00746388">
        <w:rPr>
          <w:rFonts w:cs="Arial"/>
          <w:snapToGrid w:val="0"/>
        </w:rPr>
        <w:br/>
      </w:r>
      <w:hyperlink r:id="rId345" w:history="1">
        <w:r w:rsidR="000D3ABA" w:rsidRPr="00A2752F">
          <w:rPr>
            <w:rStyle w:val="Hyperlink"/>
          </w:rPr>
          <w:t>https://ratings.leapfroggroup.org/measure/hospital/2026/whats-new-2026</w:t>
        </w:r>
      </w:hyperlink>
      <w:r w:rsidR="000D3ABA">
        <w:t xml:space="preserve"> </w:t>
      </w:r>
    </w:p>
    <w:p w14:paraId="02B48910" w14:textId="77777777" w:rsidR="00CC2D9E" w:rsidRDefault="00CC2D9E" w:rsidP="00C14AFF">
      <w:pPr>
        <w:rPr>
          <w:rFonts w:cs="Arial"/>
          <w:snapToGrid w:val="0"/>
        </w:rPr>
      </w:pPr>
    </w:p>
    <w:p w14:paraId="36768E87" w14:textId="5993B8EC" w:rsidR="00CC2D9E" w:rsidRDefault="007D209C" w:rsidP="00C14AFF">
      <w:pPr>
        <w:rPr>
          <w:rFonts w:cs="Arial"/>
          <w:b/>
          <w:bCs/>
          <w:snapToGrid w:val="0"/>
        </w:rPr>
      </w:pPr>
      <w:r>
        <w:rPr>
          <w:rFonts w:cs="Arial"/>
          <w:b/>
          <w:bCs/>
          <w:snapToGrid w:val="0"/>
        </w:rPr>
        <w:t>Hospital Boarding in the Emergency Department</w:t>
      </w:r>
      <w:r w:rsidR="00CF521B">
        <w:rPr>
          <w:rFonts w:cs="Arial"/>
          <w:b/>
          <w:bCs/>
          <w:snapToGrid w:val="0"/>
        </w:rPr>
        <w:t xml:space="preserve"> (ED)</w:t>
      </w:r>
      <w:r>
        <w:rPr>
          <w:rFonts w:cs="Arial"/>
          <w:b/>
          <w:bCs/>
          <w:snapToGrid w:val="0"/>
        </w:rPr>
        <w:t xml:space="preserve"> </w:t>
      </w:r>
      <w:r w:rsidR="00CC2D9E" w:rsidRPr="00BC45DC">
        <w:rPr>
          <w:rFonts w:cs="Arial"/>
          <w:b/>
          <w:bCs/>
          <w:snapToGrid w:val="0"/>
        </w:rPr>
        <w:t xml:space="preserve">Bibliography: </w:t>
      </w:r>
    </w:p>
    <w:p w14:paraId="203E93F0" w14:textId="5B93C4BC" w:rsidR="00A01D96" w:rsidRDefault="000D3ABA" w:rsidP="00C14AFF">
      <w:hyperlink r:id="rId346" w:history="1">
        <w:r w:rsidRPr="00A2752F">
          <w:rPr>
            <w:rStyle w:val="Hyperlink"/>
          </w:rPr>
          <w:t>https://ratings.leapfroggroup.org/measure/hospital/2026/whats-new-2026</w:t>
        </w:r>
      </w:hyperlink>
      <w:r>
        <w:t xml:space="preserve"> </w:t>
      </w:r>
    </w:p>
    <w:p w14:paraId="12A0A510" w14:textId="77777777" w:rsidR="000D3ABA" w:rsidRPr="00332D4F" w:rsidRDefault="000D3ABA" w:rsidP="00C14AFF">
      <w:pPr>
        <w:rPr>
          <w:rFonts w:cs="Arial"/>
          <w:snapToGrid w:val="0"/>
        </w:rPr>
      </w:pPr>
    </w:p>
    <w:p w14:paraId="26B97870" w14:textId="172C25D9" w:rsidR="00DD2598" w:rsidRPr="00332D4F" w:rsidRDefault="00652583" w:rsidP="00C14AFF">
      <w:pPr>
        <w:rPr>
          <w:rFonts w:cs="Arial"/>
          <w:snapToGrid w:val="0"/>
        </w:rPr>
      </w:pPr>
      <w:r w:rsidRPr="00332D4F">
        <w:rPr>
          <w:rFonts w:cs="Arial"/>
          <w:snapToGrid w:val="0"/>
        </w:rPr>
        <w:t xml:space="preserve">Section 6 includes questions about your hospital’s adherence to two National Quality Forum-endorsed Safe Practices, </w:t>
      </w:r>
      <w:r w:rsidR="008F4050">
        <w:rPr>
          <w:rFonts w:cs="Arial"/>
          <w:snapToGrid w:val="0"/>
        </w:rPr>
        <w:t xml:space="preserve">and </w:t>
      </w:r>
      <w:r w:rsidRPr="00332D4F">
        <w:rPr>
          <w:rFonts w:cs="Arial"/>
          <w:snapToGrid w:val="0"/>
        </w:rPr>
        <w:t xml:space="preserve">questions about your hospital’s hand hygiene practices. </w:t>
      </w:r>
      <w:r w:rsidR="002A1C18">
        <w:rPr>
          <w:rFonts w:cs="Arial"/>
          <w:snapToGrid w:val="0"/>
        </w:rPr>
        <w:t>It also include</w:t>
      </w:r>
      <w:r w:rsidR="002F3C8F">
        <w:rPr>
          <w:rFonts w:cs="Arial"/>
          <w:snapToGrid w:val="0"/>
        </w:rPr>
        <w:t>s</w:t>
      </w:r>
      <w:r w:rsidR="002A1C18">
        <w:rPr>
          <w:rFonts w:cs="Arial"/>
          <w:snapToGrid w:val="0"/>
        </w:rPr>
        <w:t xml:space="preserve"> </w:t>
      </w:r>
      <w:r w:rsidR="00E0467E">
        <w:rPr>
          <w:rFonts w:cs="Arial"/>
          <w:snapToGrid w:val="0"/>
        </w:rPr>
        <w:t xml:space="preserve">a </w:t>
      </w:r>
      <w:r w:rsidR="002A1C18">
        <w:rPr>
          <w:rFonts w:cs="Arial"/>
          <w:snapToGrid w:val="0"/>
        </w:rPr>
        <w:t>sub</w:t>
      </w:r>
      <w:r w:rsidR="00E0467E">
        <w:rPr>
          <w:rFonts w:cs="Arial"/>
          <w:snapToGrid w:val="0"/>
        </w:rPr>
        <w:t>section on diagnostic excellence (6</w:t>
      </w:r>
      <w:r w:rsidR="002C7FE7">
        <w:rPr>
          <w:rFonts w:cs="Arial"/>
          <w:snapToGrid w:val="0"/>
        </w:rPr>
        <w:t>D</w:t>
      </w:r>
      <w:r w:rsidR="00E0467E">
        <w:rPr>
          <w:rFonts w:cs="Arial"/>
          <w:snapToGrid w:val="0"/>
        </w:rPr>
        <w:t xml:space="preserve">) </w:t>
      </w:r>
      <w:r w:rsidR="00BF729B">
        <w:rPr>
          <w:rFonts w:cs="Arial"/>
          <w:snapToGrid w:val="0"/>
        </w:rPr>
        <w:t xml:space="preserve">and a new subsection on </w:t>
      </w:r>
      <w:r w:rsidR="0020206D">
        <w:rPr>
          <w:rFonts w:cs="Arial"/>
          <w:snapToGrid w:val="0"/>
        </w:rPr>
        <w:t xml:space="preserve">Hospital Boarding in the </w:t>
      </w:r>
      <w:r w:rsidR="00BF729B">
        <w:rPr>
          <w:rFonts w:cs="Arial"/>
          <w:snapToGrid w:val="0"/>
        </w:rPr>
        <w:t>Emergency Department (ED) (6E)</w:t>
      </w:r>
      <w:r w:rsidR="006B6B7B">
        <w:rPr>
          <w:rFonts w:cs="Arial"/>
          <w:snapToGrid w:val="0"/>
        </w:rPr>
        <w:t>. Section 6D is required while Section 6E is optional. These subsections will not be scored or publicly reported.</w:t>
      </w:r>
    </w:p>
    <w:p w14:paraId="56F3F46B" w14:textId="77777777" w:rsidR="00652583" w:rsidRPr="00332D4F" w:rsidRDefault="00652583" w:rsidP="00C14AFF">
      <w:pPr>
        <w:rPr>
          <w:rFonts w:cs="Arial"/>
          <w:snapToGrid w:val="0"/>
        </w:rPr>
      </w:pPr>
    </w:p>
    <w:p w14:paraId="4F6840ED" w14:textId="2785D14A" w:rsidR="003607BB" w:rsidRPr="00332D4F" w:rsidRDefault="003607BB" w:rsidP="003607BB">
      <w:pPr>
        <w:rPr>
          <w:rFonts w:cs="Arial"/>
          <w:b/>
          <w:bCs/>
        </w:rPr>
      </w:pPr>
      <w:r w:rsidRPr="00332D4F">
        <w:rPr>
          <w:rFonts w:cs="Arial"/>
          <w:b/>
          <w:bCs/>
        </w:rPr>
        <w:t xml:space="preserve">Each hospital achieving the standard for NQF </w:t>
      </w:r>
      <w:r w:rsidR="00F51DD6" w:rsidRPr="00332D4F">
        <w:rPr>
          <w:rFonts w:cs="Arial"/>
          <w:b/>
          <w:bCs/>
        </w:rPr>
        <w:t>Safe Practice #1 – Culture of Safety Leadership Structures and Systems</w:t>
      </w:r>
      <w:r w:rsidR="00F6040D" w:rsidRPr="00332D4F">
        <w:rPr>
          <w:rFonts w:cs="Arial"/>
          <w:b/>
          <w:bCs/>
        </w:rPr>
        <w:t xml:space="preserve"> and</w:t>
      </w:r>
      <w:r w:rsidR="00F51DD6" w:rsidRPr="00332D4F">
        <w:rPr>
          <w:rFonts w:cs="Arial"/>
          <w:b/>
          <w:bCs/>
        </w:rPr>
        <w:t xml:space="preserve"> </w:t>
      </w:r>
      <w:r w:rsidR="00F51DD6" w:rsidRPr="00332D4F">
        <w:rPr>
          <w:b/>
          <w:bCs/>
        </w:rPr>
        <w:t>NQF Safe Practice #2 – Culture Measurement, Feedback, and Intervention</w:t>
      </w:r>
      <w:r w:rsidR="00F6040D" w:rsidRPr="00332D4F">
        <w:rPr>
          <w:b/>
          <w:bCs/>
        </w:rPr>
        <w:t xml:space="preserve">: </w:t>
      </w:r>
    </w:p>
    <w:p w14:paraId="75B789E5" w14:textId="77CFABDC" w:rsidR="0060455A" w:rsidRPr="00332D4F" w:rsidRDefault="003607BB" w:rsidP="00C92071">
      <w:r w:rsidRPr="00332D4F">
        <w:t>Has earned 100% of points (adopted all elements) for the NQF Safe Practice.</w:t>
      </w:r>
      <w:r w:rsidR="0060455A" w:rsidRPr="00332D4F">
        <w:br/>
      </w:r>
    </w:p>
    <w:p w14:paraId="210E0FED" w14:textId="3420C721" w:rsidR="003607BB" w:rsidRPr="00332D4F" w:rsidRDefault="003607BB" w:rsidP="003607BB">
      <w:pPr>
        <w:rPr>
          <w:rFonts w:cs="Arial"/>
          <w:b/>
          <w:bCs/>
        </w:rPr>
      </w:pPr>
      <w:bookmarkStart w:id="462" w:name="_Hlk36413673"/>
      <w:r w:rsidRPr="00332D4F">
        <w:rPr>
          <w:rFonts w:cs="Arial"/>
          <w:b/>
          <w:bCs/>
        </w:rPr>
        <w:t>Each hospital achieving the standard for Hand Hygiene:</w:t>
      </w:r>
    </w:p>
    <w:bookmarkEnd w:id="462"/>
    <w:p w14:paraId="0C013355" w14:textId="29037CA1" w:rsidR="008B7280" w:rsidRPr="00332D4F" w:rsidRDefault="008B7280" w:rsidP="0032751A">
      <w:pPr>
        <w:spacing w:after="120"/>
        <w:rPr>
          <w:rFonts w:ascii="Calibri" w:hAnsi="Calibri"/>
        </w:rPr>
      </w:pPr>
      <w:r w:rsidRPr="00332D4F">
        <w:t xml:space="preserve">Has met all elements for the Monitoring domain </w:t>
      </w:r>
      <w:r w:rsidR="000025A0" w:rsidRPr="00332D4F">
        <w:t>including</w:t>
      </w:r>
      <w:r w:rsidRPr="00332D4F">
        <w:t xml:space="preserve"> collecting compliance data on at least 200 hand hygiene opportunities* each month in each patient care unit. Has also met all elements for the Feedback domain, as well as </w:t>
      </w:r>
      <w:r w:rsidRPr="00332D4F">
        <w:rPr>
          <w:b/>
          <w:bCs/>
        </w:rPr>
        <w:t>2 of the 3</w:t>
      </w:r>
      <w:r w:rsidRPr="00332D4F">
        <w:t xml:space="preserve"> remaining domains for hand hygiene:</w:t>
      </w:r>
    </w:p>
    <w:p w14:paraId="251B0DE9" w14:textId="77777777" w:rsidR="008B7280" w:rsidRPr="00332D4F" w:rsidRDefault="008B7280" w:rsidP="00AD309C">
      <w:pPr>
        <w:pStyle w:val="ListParagraph"/>
        <w:numPr>
          <w:ilvl w:val="0"/>
          <w:numId w:val="173"/>
        </w:numPr>
        <w:spacing w:after="120"/>
      </w:pPr>
      <w:r w:rsidRPr="00332D4F">
        <w:t>Training and Education Domain</w:t>
      </w:r>
    </w:p>
    <w:p w14:paraId="19F168CE" w14:textId="77777777" w:rsidR="008B7280" w:rsidRPr="00332D4F" w:rsidRDefault="008B7280" w:rsidP="00AD309C">
      <w:pPr>
        <w:pStyle w:val="ListParagraph"/>
        <w:numPr>
          <w:ilvl w:val="0"/>
          <w:numId w:val="173"/>
        </w:numPr>
        <w:spacing w:after="120"/>
      </w:pPr>
      <w:r w:rsidRPr="00332D4F">
        <w:t>Infrastructure Domain</w:t>
      </w:r>
    </w:p>
    <w:p w14:paraId="5D4E7369" w14:textId="623117F5" w:rsidR="008B7280" w:rsidRPr="00332D4F" w:rsidRDefault="008B7280" w:rsidP="00AD309C">
      <w:pPr>
        <w:pStyle w:val="ListParagraph"/>
        <w:numPr>
          <w:ilvl w:val="0"/>
          <w:numId w:val="173"/>
        </w:numPr>
        <w:spacing w:after="120"/>
      </w:pPr>
      <w:r w:rsidRPr="00332D4F">
        <w:t>Culture Domain</w:t>
      </w:r>
    </w:p>
    <w:p w14:paraId="30DB170F" w14:textId="4A3D52DD" w:rsidR="008B7280" w:rsidRPr="00332D4F" w:rsidRDefault="008B7280" w:rsidP="009165F8">
      <w:pPr>
        <w:spacing w:after="120" w:line="264" w:lineRule="auto"/>
        <w:rPr>
          <w:i/>
          <w:iCs/>
        </w:rPr>
      </w:pPr>
      <w:r w:rsidRPr="00332D4F">
        <w:t>OR</w:t>
      </w:r>
    </w:p>
    <w:p w14:paraId="60107316" w14:textId="411D8828" w:rsidR="008B7280" w:rsidRPr="00332D4F" w:rsidRDefault="008B7280" w:rsidP="0032751A">
      <w:pPr>
        <w:spacing w:after="120"/>
      </w:pPr>
      <w:r w:rsidRPr="00332D4F">
        <w:t xml:space="preserve">Has met all elements for the Monitoring domain </w:t>
      </w:r>
      <w:r w:rsidR="000025A0" w:rsidRPr="00332D4F">
        <w:t>including</w:t>
      </w:r>
      <w:r w:rsidRPr="00332D4F">
        <w:t xml:space="preserve"> collecting compliance data on at least 100 hand hygiene opportunities* each month in each patient care unit, as well as </w:t>
      </w:r>
      <w:r w:rsidRPr="00332D4F">
        <w:rPr>
          <w:b/>
          <w:bCs/>
        </w:rPr>
        <w:t>all 4</w:t>
      </w:r>
      <w:r w:rsidRPr="00332D4F">
        <w:t xml:space="preserve"> remaining domains for hand hygiene:</w:t>
      </w:r>
    </w:p>
    <w:p w14:paraId="721C0E9F" w14:textId="77777777" w:rsidR="008B7280" w:rsidRPr="00332D4F" w:rsidRDefault="008B7280" w:rsidP="00AD309C">
      <w:pPr>
        <w:pStyle w:val="ListParagraph"/>
        <w:numPr>
          <w:ilvl w:val="0"/>
          <w:numId w:val="173"/>
        </w:numPr>
        <w:spacing w:after="120"/>
      </w:pPr>
      <w:r w:rsidRPr="00332D4F">
        <w:t>Feedback Domain</w:t>
      </w:r>
    </w:p>
    <w:p w14:paraId="3969DEBA" w14:textId="77777777" w:rsidR="008B7280" w:rsidRPr="00332D4F" w:rsidRDefault="008B7280" w:rsidP="00AD309C">
      <w:pPr>
        <w:pStyle w:val="ListParagraph"/>
        <w:numPr>
          <w:ilvl w:val="0"/>
          <w:numId w:val="173"/>
        </w:numPr>
        <w:spacing w:after="120"/>
      </w:pPr>
      <w:r w:rsidRPr="00332D4F">
        <w:t>Training and Education Domain</w:t>
      </w:r>
    </w:p>
    <w:p w14:paraId="2D924DE1" w14:textId="77777777" w:rsidR="008B7280" w:rsidRPr="00332D4F" w:rsidRDefault="008B7280" w:rsidP="00AD309C">
      <w:pPr>
        <w:pStyle w:val="ListParagraph"/>
        <w:numPr>
          <w:ilvl w:val="0"/>
          <w:numId w:val="173"/>
        </w:numPr>
        <w:spacing w:after="120"/>
      </w:pPr>
      <w:r w:rsidRPr="00332D4F">
        <w:t>Infrastructure Domain</w:t>
      </w:r>
    </w:p>
    <w:p w14:paraId="1E2C30E7" w14:textId="59DF415D" w:rsidR="008B7280" w:rsidRPr="00332D4F" w:rsidRDefault="008B7280" w:rsidP="00AD309C">
      <w:pPr>
        <w:pStyle w:val="ListParagraph"/>
        <w:numPr>
          <w:ilvl w:val="0"/>
          <w:numId w:val="173"/>
        </w:numPr>
        <w:spacing w:after="120"/>
      </w:pPr>
      <w:r w:rsidRPr="00332D4F">
        <w:t>Culture Domain</w:t>
      </w:r>
    </w:p>
    <w:p w14:paraId="50968139" w14:textId="77777777" w:rsidR="000D3ABA" w:rsidRDefault="008B7280" w:rsidP="000D3ABA">
      <w:pPr>
        <w:spacing w:after="120"/>
        <w:contextualSpacing/>
      </w:pPr>
      <w:r w:rsidRPr="00332D4F">
        <w:rPr>
          <w:i/>
          <w:iCs/>
        </w:rPr>
        <w:t xml:space="preserve">*or at least the number of hand hygiene opportunities outlined based on the unit type in </w:t>
      </w:r>
      <w:hyperlink w:anchor="_Hand_Hygiene_Measure" w:history="1">
        <w:r w:rsidR="00C221DF" w:rsidRPr="0017596B">
          <w:rPr>
            <w:rStyle w:val="Hyperlink"/>
            <w:i/>
            <w:iCs/>
          </w:rPr>
          <w:t xml:space="preserve">Tables 1-3 or </w:t>
        </w:r>
        <w:r w:rsidR="007228B3" w:rsidRPr="0017596B">
          <w:rPr>
            <w:rStyle w:val="Hyperlink"/>
            <w:i/>
            <w:iCs/>
          </w:rPr>
          <w:t>Tables 4-6</w:t>
        </w:r>
        <w:r w:rsidR="00C221DF" w:rsidRPr="0017596B">
          <w:rPr>
            <w:rStyle w:val="Hyperlink"/>
            <w:i/>
            <w:iCs/>
          </w:rPr>
          <w:t>.</w:t>
        </w:r>
      </w:hyperlink>
    </w:p>
    <w:p w14:paraId="76C3021F" w14:textId="77777777" w:rsidR="000D3ABA" w:rsidRDefault="000D3ABA" w:rsidP="000D3ABA">
      <w:pPr>
        <w:spacing w:after="120"/>
        <w:contextualSpacing/>
      </w:pPr>
    </w:p>
    <w:p w14:paraId="409AD1C0" w14:textId="798724AA" w:rsidR="008B7280" w:rsidRPr="00C17B7F" w:rsidRDefault="008D7445" w:rsidP="000D3ABA">
      <w:pPr>
        <w:spacing w:after="120"/>
        <w:contextualSpacing/>
        <w:rPr>
          <w:i/>
          <w:iCs/>
        </w:rPr>
      </w:pPr>
      <w:r w:rsidRPr="00332D4F">
        <w:rPr>
          <w:rFonts w:cs="Arial"/>
          <w:b/>
        </w:rPr>
        <w:t xml:space="preserve">Download the </w:t>
      </w:r>
      <w:r w:rsidR="00A236B1" w:rsidRPr="00332D4F">
        <w:rPr>
          <w:rFonts w:cs="Arial"/>
          <w:b/>
        </w:rPr>
        <w:t>202</w:t>
      </w:r>
      <w:r w:rsidR="0042462F">
        <w:rPr>
          <w:rFonts w:cs="Arial"/>
          <w:b/>
        </w:rPr>
        <w:t>6</w:t>
      </w:r>
      <w:r w:rsidR="00C14AFF" w:rsidRPr="00332D4F">
        <w:rPr>
          <w:rFonts w:cs="Arial"/>
          <w:b/>
        </w:rPr>
        <w:t xml:space="preserve"> Leapfrog Hospital Survey Scoring Algorithm on the </w:t>
      </w:r>
      <w:hyperlink r:id="rId347" w:history="1">
        <w:r w:rsidR="00C14AFF" w:rsidRPr="00332D4F">
          <w:rPr>
            <w:rStyle w:val="Hyperlink"/>
            <w:rFonts w:cs="Arial"/>
            <w:b/>
          </w:rPr>
          <w:t>Scoring and Results webpage</w:t>
        </w:r>
      </w:hyperlink>
      <w:r w:rsidR="00C14AFF" w:rsidRPr="00332D4F">
        <w:rPr>
          <w:rFonts w:cs="Arial"/>
          <w:b/>
        </w:rPr>
        <w:t>.</w:t>
      </w:r>
      <w:r w:rsidR="008B7280">
        <w:br w:type="page"/>
      </w:r>
    </w:p>
    <w:p w14:paraId="6095A5B7" w14:textId="7DDC1FA5" w:rsidR="00563CD7" w:rsidRDefault="00563CD7" w:rsidP="00CF5A6E">
      <w:pPr>
        <w:pStyle w:val="Heading2"/>
      </w:pPr>
      <w:bookmarkStart w:id="463" w:name="SP1"/>
      <w:bookmarkStart w:id="464" w:name="_Toc510001892"/>
      <w:bookmarkStart w:id="465" w:name="_Toc225877771"/>
      <w:r>
        <w:lastRenderedPageBreak/>
        <w:t xml:space="preserve">6A: </w:t>
      </w:r>
      <w:r w:rsidR="006045D9">
        <w:t>NQF Safe</w:t>
      </w:r>
      <w:r w:rsidR="00474DDE">
        <w:t xml:space="preserve"> </w:t>
      </w:r>
      <w:r>
        <w:t xml:space="preserve">Practice #1 </w:t>
      </w:r>
      <w:r w:rsidR="006045D9">
        <w:t>–</w:t>
      </w:r>
      <w:r>
        <w:t xml:space="preserve"> </w:t>
      </w:r>
      <w:r w:rsidRPr="009007C4">
        <w:t>Culture of Safety Leadership Structures and Systems</w:t>
      </w:r>
      <w:bookmarkEnd w:id="463"/>
      <w:bookmarkEnd w:id="464"/>
      <w:bookmarkEnd w:id="465"/>
    </w:p>
    <w:p w14:paraId="5CC23472" w14:textId="515DB142" w:rsidR="006045D9" w:rsidRPr="00C15F23" w:rsidRDefault="006045D9" w:rsidP="006045D9">
      <w:pPr>
        <w:rPr>
          <w:sz w:val="16"/>
          <w:szCs w:val="16"/>
          <w:lang w:eastAsia="ja-JP"/>
        </w:rPr>
      </w:pPr>
    </w:p>
    <w:p w14:paraId="12662438" w14:textId="18A7501C" w:rsidR="006045D9" w:rsidRPr="00174828" w:rsidRDefault="006045D9" w:rsidP="0060455A">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48" w:history="1">
        <w:r w:rsidRPr="009A5185">
          <w:rPr>
            <w:rStyle w:val="Hyperlink"/>
            <w:rFonts w:cs="Arial"/>
            <w:snapToGrid w:val="0"/>
          </w:rPr>
          <w:t>Leapfrog’s Multi-Campus Reporting Policy</w:t>
        </w:r>
      </w:hyperlink>
      <w:r>
        <w:rPr>
          <w:rStyle w:val="Hyperlink"/>
          <w:rFonts w:cs="Arial"/>
          <w:snapToGrid w:val="0"/>
        </w:rPr>
        <w:t>.</w:t>
      </w:r>
    </w:p>
    <w:p w14:paraId="68034434" w14:textId="77777777" w:rsidR="00563CD7" w:rsidRPr="00EA684D" w:rsidRDefault="00563CD7" w:rsidP="00563CD7">
      <w:pPr>
        <w:rPr>
          <w:bCs/>
          <w:i/>
          <w:sz w:val="16"/>
          <w:szCs w:val="16"/>
        </w:rPr>
      </w:pPr>
    </w:p>
    <w:p w14:paraId="605C8037" w14:textId="77777777" w:rsidR="00563CD7" w:rsidRPr="00722F1B" w:rsidRDefault="00563CD7" w:rsidP="00563CD7">
      <w:pPr>
        <w:rPr>
          <w:b/>
          <w:bCs/>
          <w:color w:val="FF0000"/>
        </w:rPr>
      </w:pPr>
      <w:r w:rsidRPr="00722F1B">
        <w:rPr>
          <w:b/>
          <w:bCs/>
          <w:color w:val="FF0000"/>
        </w:rPr>
        <w:t>Important Notes:</w:t>
      </w:r>
    </w:p>
    <w:p w14:paraId="57AFAB73" w14:textId="77777777" w:rsidR="00563CD7" w:rsidRPr="00EA684D" w:rsidRDefault="00563CD7" w:rsidP="00563CD7">
      <w:pPr>
        <w:rPr>
          <w:b/>
          <w:bCs/>
          <w:color w:val="FF0000"/>
          <w:sz w:val="16"/>
          <w:szCs w:val="16"/>
        </w:rPr>
      </w:pPr>
    </w:p>
    <w:p w14:paraId="09514315" w14:textId="0D14B535" w:rsidR="00563CD7" w:rsidRPr="00722F1B" w:rsidRDefault="00563CD7" w:rsidP="00563CD7">
      <w:pPr>
        <w:rPr>
          <w:bCs/>
        </w:rPr>
      </w:pPr>
      <w:r w:rsidRPr="00722F1B">
        <w:rPr>
          <w:bCs/>
        </w:rPr>
        <w:t xml:space="preserve">Note 1: Page numbers </w:t>
      </w:r>
      <w:r w:rsidR="0060148F">
        <w:rPr>
          <w:bCs/>
        </w:rPr>
        <w:t>throughout</w:t>
      </w:r>
      <w:r w:rsidR="009C0C21">
        <w:rPr>
          <w:bCs/>
        </w:rPr>
        <w:t xml:space="preserve"> </w:t>
      </w:r>
      <w:r w:rsidR="009C0C21" w:rsidRPr="009C0C21">
        <w:rPr>
          <w:bCs/>
        </w:rPr>
        <w:t xml:space="preserve">this subsection refer to the NQF Safe Practices for Better Healthcare – 2010 Update report, which is available for download here: </w:t>
      </w:r>
      <w:hyperlink r:id="rId349" w:history="1">
        <w:r w:rsidR="009C0C21" w:rsidRPr="009C0C21">
          <w:rPr>
            <w:rStyle w:val="Hyperlink"/>
            <w:bCs/>
          </w:rPr>
          <w:t>http://www.leapfroggroup.org/survey-materials/survey-and-cpoe-materials</w:t>
        </w:r>
      </w:hyperlink>
      <w:r w:rsidR="009C0C21" w:rsidRPr="009C0C21">
        <w:rPr>
          <w:bCs/>
        </w:rPr>
        <w:t>.</w:t>
      </w:r>
    </w:p>
    <w:p w14:paraId="0D872A1D" w14:textId="77777777" w:rsidR="00563CD7" w:rsidRPr="00EA684D" w:rsidRDefault="00563CD7" w:rsidP="00563CD7">
      <w:pPr>
        <w:rPr>
          <w:bCs/>
          <w:sz w:val="16"/>
          <w:szCs w:val="16"/>
        </w:rPr>
      </w:pPr>
    </w:p>
    <w:p w14:paraId="156757D4" w14:textId="3320E1EF" w:rsidR="00563CD7" w:rsidRDefault="00563CD7" w:rsidP="00563CD7">
      <w:pPr>
        <w:rPr>
          <w:bCs/>
        </w:rPr>
      </w:pPr>
      <w:r w:rsidRPr="00722F1B">
        <w:rPr>
          <w:bCs/>
        </w:rPr>
        <w:t xml:space="preserve">Note 2: Hyperlinks throughout this subsection </w:t>
      </w:r>
      <w:r w:rsidR="008F143B" w:rsidRPr="00722F1B">
        <w:rPr>
          <w:bCs/>
        </w:rPr>
        <w:t>refer</w:t>
      </w:r>
      <w:r w:rsidR="001E2464">
        <w:rPr>
          <w:bCs/>
        </w:rPr>
        <w:t xml:space="preserve"> to</w:t>
      </w:r>
      <w:r w:rsidRPr="00722F1B">
        <w:rPr>
          <w:bCs/>
        </w:rPr>
        <w:t xml:space="preserve"> </w:t>
      </w:r>
      <w:r w:rsidR="0023417A">
        <w:rPr>
          <w:bCs/>
        </w:rPr>
        <w:t xml:space="preserve">the </w:t>
      </w:r>
      <w:hyperlink w:anchor="_Patient_Safety_Practices_2" w:history="1">
        <w:r w:rsidR="00E7380B">
          <w:rPr>
            <w:rStyle w:val="Hyperlink"/>
            <w:bCs/>
          </w:rPr>
          <w:t>Patient Safety Practices FAQs</w:t>
        </w:r>
      </w:hyperlink>
      <w:r w:rsidR="0023417A">
        <w:rPr>
          <w:bCs/>
        </w:rPr>
        <w:t xml:space="preserve"> </w:t>
      </w:r>
      <w:r w:rsidR="001E2464">
        <w:rPr>
          <w:bCs/>
        </w:rPr>
        <w:t>beginning on pag</w:t>
      </w:r>
      <w:r w:rsidR="00583976">
        <w:rPr>
          <w:bCs/>
        </w:rPr>
        <w:t>e</w:t>
      </w:r>
      <w:r w:rsidR="009015B9">
        <w:rPr>
          <w:bCs/>
        </w:rPr>
        <w:t xml:space="preserve"> 25</w:t>
      </w:r>
      <w:r w:rsidR="00BF1511">
        <w:rPr>
          <w:bCs/>
        </w:rPr>
        <w:t>0</w:t>
      </w:r>
      <w:r w:rsidR="005E7694">
        <w:rPr>
          <w:bCs/>
        </w:rPr>
        <w:t>,</w:t>
      </w:r>
      <w:r w:rsidRPr="004A60F9">
        <w:rPr>
          <w:bCs/>
        </w:rPr>
        <w:t xml:space="preserve"> not to endnotes. These hyperlinks are not include</w:t>
      </w:r>
      <w:r w:rsidR="007C2D2D">
        <w:rPr>
          <w:bCs/>
        </w:rPr>
        <w:t xml:space="preserve">d in the </w:t>
      </w:r>
      <w:r w:rsidR="005B7CBC">
        <w:rPr>
          <w:bCs/>
        </w:rPr>
        <w:t>Online Survey Tool</w:t>
      </w:r>
      <w:r w:rsidRPr="004A60F9">
        <w:rPr>
          <w:bCs/>
        </w:rPr>
        <w:t>.</w:t>
      </w:r>
      <w:r w:rsidRPr="00722F1B">
        <w:rPr>
          <w:bCs/>
        </w:rPr>
        <w:t xml:space="preserve"> </w:t>
      </w:r>
    </w:p>
    <w:p w14:paraId="4FF8C168" w14:textId="77777777" w:rsidR="004A10F5" w:rsidRPr="00EA684D" w:rsidRDefault="004A10F5" w:rsidP="00563CD7">
      <w:pPr>
        <w:rPr>
          <w:bCs/>
          <w:sz w:val="16"/>
          <w:szCs w:val="16"/>
        </w:rPr>
      </w:pPr>
    </w:p>
    <w:p w14:paraId="3FDE2309" w14:textId="6887E415" w:rsidR="004A10F5" w:rsidRPr="00722F1B" w:rsidRDefault="004A10F5" w:rsidP="00563CD7">
      <w:pPr>
        <w:rPr>
          <w:bCs/>
        </w:rPr>
      </w:pPr>
      <w:r>
        <w:rPr>
          <w:rFonts w:cs="Arial"/>
          <w:b/>
          <w:snapToGrid w:val="0"/>
        </w:rPr>
        <w:t>Specifications:</w:t>
      </w:r>
      <w:r>
        <w:rPr>
          <w:rFonts w:cs="Arial"/>
          <w:snapToGrid w:val="0"/>
        </w:rPr>
        <w:t xml:space="preserve"> See </w:t>
      </w:r>
      <w:hyperlink w:anchor="_NQF_Safe_Practice" w:history="1">
        <w:r>
          <w:rPr>
            <w:rStyle w:val="Hyperlink"/>
            <w:rFonts w:cs="Arial"/>
            <w:b/>
            <w:i/>
          </w:rPr>
          <w:t>NQF Safe Practice Measure Specifications</w:t>
        </w:r>
      </w:hyperlink>
      <w:r>
        <w:rPr>
          <w:rFonts w:cs="Arial"/>
        </w:rPr>
        <w:t xml:space="preserve"> </w:t>
      </w:r>
      <w:r>
        <w:rPr>
          <w:rFonts w:cs="Arial"/>
          <w:snapToGrid w:val="0"/>
        </w:rPr>
        <w:t xml:space="preserve">in the Reference Information </w:t>
      </w:r>
      <w:r>
        <w:rPr>
          <w:rFonts w:cs="Arial"/>
        </w:rPr>
        <w:t>beginning on page</w:t>
      </w:r>
      <w:r w:rsidR="00947A96">
        <w:rPr>
          <w:rFonts w:cs="Arial"/>
        </w:rPr>
        <w:t xml:space="preserve"> 23</w:t>
      </w:r>
      <w:r w:rsidR="00610589">
        <w:rPr>
          <w:rFonts w:cs="Arial"/>
        </w:rPr>
        <w:t>7</w:t>
      </w:r>
      <w:r>
        <w:rPr>
          <w:rFonts w:cs="Arial"/>
        </w:rPr>
        <w:t>.</w:t>
      </w:r>
    </w:p>
    <w:p w14:paraId="6ACE61BA" w14:textId="77777777" w:rsidR="00E01307" w:rsidRPr="00EA684D" w:rsidRDefault="00E01307" w:rsidP="00563CD7">
      <w:pPr>
        <w:rPr>
          <w:b/>
          <w:bCs/>
          <w:i/>
          <w:sz w:val="16"/>
          <w:szCs w:val="16"/>
        </w:rPr>
      </w:pPr>
    </w:p>
    <w:p w14:paraId="6469C85D" w14:textId="1028CEE7" w:rsidR="00E01307" w:rsidRDefault="00E01307" w:rsidP="00AB5B80">
      <w:pPr>
        <w:pStyle w:val="Heading3"/>
      </w:pPr>
      <w:bookmarkStart w:id="466" w:name="_Toc225877772"/>
      <w:r>
        <w:t>Awareness</w:t>
      </w:r>
      <w:bookmarkEnd w:id="466"/>
    </w:p>
    <w:p w14:paraId="16AA2439" w14:textId="77777777" w:rsidR="00563CD7" w:rsidRPr="00A94E56" w:rsidRDefault="00563CD7" w:rsidP="00563CD7">
      <w:pPr>
        <w:rPr>
          <w:i/>
          <w:sz w:val="16"/>
          <w:szCs w:val="16"/>
        </w:rPr>
      </w:pPr>
    </w:p>
    <w:tbl>
      <w:tblPr>
        <w:tblStyle w:val="TableGrid19"/>
        <w:tblW w:w="9625" w:type="dxa"/>
        <w:tblLook w:val="0000" w:firstRow="0" w:lastRow="0" w:firstColumn="0" w:lastColumn="0" w:noHBand="0" w:noVBand="0"/>
      </w:tblPr>
      <w:tblGrid>
        <w:gridCol w:w="8429"/>
        <w:gridCol w:w="1196"/>
      </w:tblGrid>
      <w:tr w:rsidR="00225892" w14:paraId="6201FD94" w14:textId="07D085D5" w:rsidTr="00B74BD8">
        <w:trPr>
          <w:trHeight w:val="692"/>
        </w:trPr>
        <w:tc>
          <w:tcPr>
            <w:tcW w:w="9625" w:type="dxa"/>
            <w:gridSpan w:val="2"/>
            <w:vAlign w:val="center"/>
          </w:tcPr>
          <w:p w14:paraId="65AB0342" w14:textId="00D8AB94" w:rsidR="00225892" w:rsidRPr="00C15F23" w:rsidRDefault="00225892" w:rsidP="00AD309C">
            <w:pPr>
              <w:pStyle w:val="ListParagraph"/>
              <w:numPr>
                <w:ilvl w:val="1"/>
                <w:numId w:val="252"/>
              </w:numPr>
              <w:rPr>
                <w:sz w:val="16"/>
              </w:rPr>
            </w:pPr>
            <w:r w:rsidRPr="000B7447">
              <w:rPr>
                <w:b/>
              </w:rPr>
              <w:t xml:space="preserve">Within the last 12 months, in regard to raising the awareness of key stakeholders to our organization’s efforts to improve patient safety, the following actions related to the identification and mitigation of risks and hazards have been taken: </w:t>
            </w:r>
          </w:p>
        </w:tc>
      </w:tr>
      <w:tr w:rsidR="006163F9" w14:paraId="084B2A8A" w14:textId="299D2765" w:rsidTr="00B74BD8">
        <w:trPr>
          <w:trHeight w:val="20"/>
        </w:trPr>
        <w:tc>
          <w:tcPr>
            <w:tcW w:w="0" w:type="auto"/>
            <w:vAlign w:val="center"/>
          </w:tcPr>
          <w:p w14:paraId="19400F16" w14:textId="77777777" w:rsidR="000B7447" w:rsidRDefault="006163F9" w:rsidP="00AD309C">
            <w:pPr>
              <w:pStyle w:val="ListParagraph"/>
              <w:numPr>
                <w:ilvl w:val="0"/>
                <w:numId w:val="248"/>
              </w:numPr>
            </w:pPr>
            <w:hyperlink w:anchor="Board" w:history="1">
              <w:r w:rsidRPr="004E58E4">
                <w:rPr>
                  <w:rStyle w:val="Hyperlink"/>
                </w:rPr>
                <w:t>board</w:t>
              </w:r>
            </w:hyperlink>
            <w:r w:rsidRPr="004E58E4">
              <w:t xml:space="preserve"> (governance) minutes reflect</w:t>
            </w:r>
            <w:r>
              <w:t xml:space="preserve"> </w:t>
            </w:r>
            <w:hyperlink w:anchor="SP1_RegularCommunication" w:history="1">
              <w:r w:rsidRPr="00471326">
                <w:rPr>
                  <w:rStyle w:val="Hyperlink"/>
                </w:rPr>
                <w:t>regular communication</w:t>
              </w:r>
            </w:hyperlink>
            <w:r w:rsidRPr="004E58E4">
              <w:t xml:space="preserve"> regarding </w:t>
            </w:r>
            <w:r w:rsidRPr="00BD7E26">
              <w:rPr>
                <w:b/>
              </w:rPr>
              <w:t>all</w:t>
            </w:r>
            <w:r w:rsidRPr="004E58E4">
              <w:t xml:space="preserve"> three of the following:</w:t>
            </w:r>
          </w:p>
          <w:p w14:paraId="3FCC420D" w14:textId="745BE392" w:rsidR="000B7447" w:rsidRDefault="006163F9" w:rsidP="00AD309C">
            <w:pPr>
              <w:pStyle w:val="ListParagraph"/>
              <w:numPr>
                <w:ilvl w:val="2"/>
                <w:numId w:val="248"/>
              </w:numPr>
            </w:pPr>
            <w:hyperlink w:anchor="SP1_1a" w:history="1">
              <w:r w:rsidRPr="000B7447">
                <w:rPr>
                  <w:rStyle w:val="Hyperlink"/>
                </w:rPr>
                <w:t>risks and hazards</w:t>
              </w:r>
            </w:hyperlink>
            <w:r w:rsidRPr="000B7447">
              <w:t xml:space="preserve"> (as defined by</w:t>
            </w:r>
            <w:r w:rsidRPr="000B7447">
              <w:rPr>
                <w:i/>
                <w:iCs/>
              </w:rPr>
              <w:t xml:space="preserve"> </w:t>
            </w:r>
            <w:hyperlink r:id="rId350" w:history="1">
              <w:r w:rsidR="00730EEA" w:rsidRPr="00041BB8">
                <w:rPr>
                  <w:rStyle w:val="Hyperlink"/>
                  <w:i/>
                </w:rPr>
                <w:t>NQF Safe Practice #4 – Identification and Mitigation of Risks and Hazards</w:t>
              </w:r>
              <w:r w:rsidRPr="00A6172D">
                <w:rPr>
                  <w:rStyle w:val="Hyperlink"/>
                  <w:i/>
                  <w:color w:val="auto"/>
                  <w:u w:val="none"/>
                </w:rPr>
                <w:t>)</w:t>
              </w:r>
              <w:r w:rsidRPr="00A6172D">
                <w:rPr>
                  <w:rStyle w:val="Hyperlink"/>
                  <w:color w:val="auto"/>
                  <w:u w:val="none"/>
                </w:rPr>
                <w:t>;</w:t>
              </w:r>
            </w:hyperlink>
          </w:p>
          <w:p w14:paraId="0F9A9DDB" w14:textId="2D948B98" w:rsidR="000B7447" w:rsidRDefault="006163F9" w:rsidP="00AD309C">
            <w:pPr>
              <w:pStyle w:val="ListParagraph"/>
              <w:numPr>
                <w:ilvl w:val="2"/>
                <w:numId w:val="248"/>
              </w:numPr>
            </w:pPr>
            <w:r w:rsidRPr="000B7447">
              <w:t xml:space="preserve">culture measurement (as defined by </w:t>
            </w:r>
            <w:r w:rsidRPr="000B7447">
              <w:rPr>
                <w:i/>
                <w:iCs/>
              </w:rPr>
              <w:t xml:space="preserve">NQF </w:t>
            </w:r>
            <w:r w:rsidRPr="000B7447">
              <w:rPr>
                <w:i/>
              </w:rPr>
              <w:t>Safe Practice #2 – Culture Measurement</w:t>
            </w:r>
            <w:r w:rsidRPr="000B7447">
              <w:t xml:space="preserve">, </w:t>
            </w:r>
            <w:r w:rsidRPr="000B7447">
              <w:rPr>
                <w:i/>
              </w:rPr>
              <w:t>Feedback, and Intervention</w:t>
            </w:r>
            <w:r w:rsidRPr="000B7447">
              <w:t>); and</w:t>
            </w:r>
          </w:p>
          <w:p w14:paraId="343265B6" w14:textId="41F07316" w:rsidR="006163F9" w:rsidRPr="00B74BD8" w:rsidRDefault="006163F9" w:rsidP="00AD309C">
            <w:pPr>
              <w:pStyle w:val="ListParagraph"/>
              <w:numPr>
                <w:ilvl w:val="2"/>
                <w:numId w:val="248"/>
              </w:numPr>
              <w:rPr>
                <w:sz w:val="16"/>
              </w:rPr>
            </w:pPr>
            <w:r w:rsidRPr="000B7447">
              <w:t>progress towards resolution of safety and quality problems. (p.75)</w:t>
            </w:r>
          </w:p>
        </w:tc>
        <w:tc>
          <w:tcPr>
            <w:tcW w:w="1196" w:type="dxa"/>
            <w:vAlign w:val="center"/>
          </w:tcPr>
          <w:p w14:paraId="4BCB0685" w14:textId="77777777" w:rsidR="006163F9" w:rsidRDefault="006163F9" w:rsidP="00AD309C">
            <w:pPr>
              <w:pStyle w:val="ListParagraph"/>
              <w:numPr>
                <w:ilvl w:val="0"/>
                <w:numId w:val="246"/>
              </w:numPr>
            </w:pPr>
            <w:r>
              <w:t>Yes</w:t>
            </w:r>
          </w:p>
          <w:p w14:paraId="0CFD2210" w14:textId="3150A76C" w:rsidR="006163F9" w:rsidRDefault="006163F9" w:rsidP="00AD309C">
            <w:pPr>
              <w:pStyle w:val="ListParagraph"/>
              <w:numPr>
                <w:ilvl w:val="0"/>
                <w:numId w:val="246"/>
              </w:numPr>
            </w:pPr>
            <w:r>
              <w:t>No</w:t>
            </w:r>
          </w:p>
        </w:tc>
      </w:tr>
      <w:tr w:rsidR="006163F9" w14:paraId="34A0F5EB" w14:textId="62566274" w:rsidTr="00B74BD8">
        <w:trPr>
          <w:trHeight w:val="20"/>
        </w:trPr>
        <w:tc>
          <w:tcPr>
            <w:tcW w:w="0" w:type="auto"/>
            <w:vAlign w:val="center"/>
          </w:tcPr>
          <w:p w14:paraId="141118E8" w14:textId="35F32568" w:rsidR="006163F9" w:rsidRPr="00B74BD8" w:rsidRDefault="006163F9" w:rsidP="00AD309C">
            <w:pPr>
              <w:pStyle w:val="ListParagraph"/>
              <w:numPr>
                <w:ilvl w:val="0"/>
                <w:numId w:val="248"/>
              </w:numPr>
              <w:rPr>
                <w:sz w:val="16"/>
              </w:rPr>
            </w:pPr>
            <w:hyperlink w:anchor="SP1_1b_ActiveParticipants" w:history="1">
              <w:r w:rsidRPr="004E58E4">
                <w:rPr>
                  <w:rStyle w:val="Hyperlink"/>
                </w:rPr>
                <w:t>patients</w:t>
              </w:r>
            </w:hyperlink>
            <w:r w:rsidRPr="004E58E4">
              <w:t xml:space="preserve"> </w:t>
            </w:r>
            <w:r w:rsidRPr="007E31B4">
              <w:t xml:space="preserve">and/or </w:t>
            </w:r>
            <w:r w:rsidR="007F383C">
              <w:t>care partners</w:t>
            </w:r>
            <w:r w:rsidRPr="004E58E4">
              <w:t xml:space="preserve"> are active participants in </w:t>
            </w:r>
            <w:r>
              <w:t xml:space="preserve">the hospital-wide </w:t>
            </w:r>
            <w:r w:rsidRPr="004E58E4">
              <w:t xml:space="preserve">safety and quality </w:t>
            </w:r>
            <w:hyperlink w:anchor="SP1_1b_ActiveParticipants" w:history="1">
              <w:r>
                <w:rPr>
                  <w:rStyle w:val="Hyperlink"/>
                </w:rPr>
                <w:t>committee</w:t>
              </w:r>
            </w:hyperlink>
            <w:r w:rsidRPr="004E58E4">
              <w:t xml:space="preserve"> that meet</w:t>
            </w:r>
            <w:r>
              <w:t>s</w:t>
            </w:r>
            <w:r w:rsidRPr="004E58E4">
              <w:t xml:space="preserve"> on a regularly scheduled basis (e.g., biannually or quarterly). (p.75) </w:t>
            </w:r>
          </w:p>
        </w:tc>
        <w:tc>
          <w:tcPr>
            <w:tcW w:w="1196" w:type="dxa"/>
            <w:vAlign w:val="center"/>
          </w:tcPr>
          <w:p w14:paraId="12C3ED4A" w14:textId="77777777" w:rsidR="005F0AAA" w:rsidRDefault="005F0AAA" w:rsidP="00AD309C">
            <w:pPr>
              <w:pStyle w:val="ListParagraph"/>
              <w:numPr>
                <w:ilvl w:val="0"/>
                <w:numId w:val="247"/>
              </w:numPr>
            </w:pPr>
            <w:r>
              <w:t>Yes</w:t>
            </w:r>
          </w:p>
          <w:p w14:paraId="270BE2CB" w14:textId="0172DF64" w:rsidR="006163F9" w:rsidRDefault="005F0AAA" w:rsidP="00AD309C">
            <w:pPr>
              <w:pStyle w:val="ListParagraph"/>
              <w:numPr>
                <w:ilvl w:val="0"/>
                <w:numId w:val="247"/>
              </w:numPr>
            </w:pPr>
            <w:r>
              <w:t>No</w:t>
            </w:r>
          </w:p>
        </w:tc>
      </w:tr>
      <w:tr w:rsidR="006163F9" w14:paraId="0C37574A" w14:textId="2E6F142D" w:rsidTr="00B74BD8">
        <w:trPr>
          <w:trHeight w:val="576"/>
        </w:trPr>
        <w:tc>
          <w:tcPr>
            <w:tcW w:w="0" w:type="auto"/>
            <w:vAlign w:val="center"/>
          </w:tcPr>
          <w:p w14:paraId="0701324B" w14:textId="60ABD22A" w:rsidR="006163F9" w:rsidRPr="00B74BD8" w:rsidRDefault="006163F9" w:rsidP="00AD309C">
            <w:pPr>
              <w:pStyle w:val="ListParagraph"/>
              <w:numPr>
                <w:ilvl w:val="0"/>
                <w:numId w:val="248"/>
              </w:numPr>
              <w:rPr>
                <w:sz w:val="16"/>
              </w:rPr>
            </w:pPr>
            <w:r w:rsidRPr="004E58E4">
              <w:t xml:space="preserve">steps have been taken to </w:t>
            </w:r>
            <w:hyperlink w:anchor="SP1_1c" w:history="1">
              <w:r w:rsidRPr="004E58E4">
                <w:rPr>
                  <w:rStyle w:val="Hyperlink"/>
                </w:rPr>
                <w:t>report</w:t>
              </w:r>
            </w:hyperlink>
            <w:r w:rsidRPr="004E58E4">
              <w:t xml:space="preserve"> ongoing efforts to improve safety and quality in the organization and the results of these efforts</w:t>
            </w:r>
            <w:r>
              <w:t xml:space="preserve"> to the community</w:t>
            </w:r>
            <w:r w:rsidRPr="004E58E4">
              <w:t>. (p.75)</w:t>
            </w:r>
          </w:p>
        </w:tc>
        <w:tc>
          <w:tcPr>
            <w:tcW w:w="1196" w:type="dxa"/>
            <w:vAlign w:val="center"/>
          </w:tcPr>
          <w:p w14:paraId="0EF58EAA" w14:textId="77777777" w:rsidR="005F0AAA" w:rsidRDefault="005F0AAA" w:rsidP="00AD309C">
            <w:pPr>
              <w:pStyle w:val="ListParagraph"/>
              <w:numPr>
                <w:ilvl w:val="0"/>
                <w:numId w:val="247"/>
              </w:numPr>
            </w:pPr>
            <w:r>
              <w:t>Yes</w:t>
            </w:r>
          </w:p>
          <w:p w14:paraId="7665D9C9" w14:textId="7D6EB6A4" w:rsidR="006163F9" w:rsidRPr="004E58E4" w:rsidRDefault="005F0AAA" w:rsidP="00AD309C">
            <w:pPr>
              <w:pStyle w:val="ListParagraph"/>
              <w:numPr>
                <w:ilvl w:val="0"/>
                <w:numId w:val="247"/>
              </w:numPr>
            </w:pPr>
            <w:r>
              <w:t>No</w:t>
            </w:r>
          </w:p>
        </w:tc>
      </w:tr>
      <w:tr w:rsidR="006163F9" w14:paraId="6C3575AA" w14:textId="0C3BC1CB" w:rsidTr="00B74BD8">
        <w:trPr>
          <w:trHeight w:val="60"/>
        </w:trPr>
        <w:tc>
          <w:tcPr>
            <w:tcW w:w="0" w:type="auto"/>
            <w:vAlign w:val="center"/>
          </w:tcPr>
          <w:p w14:paraId="0B327F08" w14:textId="2925D5CD" w:rsidR="006163F9" w:rsidRPr="00EC02B7" w:rsidRDefault="006163F9" w:rsidP="00AD309C">
            <w:pPr>
              <w:pStyle w:val="ListParagraph"/>
              <w:numPr>
                <w:ilvl w:val="0"/>
                <w:numId w:val="248"/>
              </w:numPr>
              <w:rPr>
                <w:sz w:val="16"/>
              </w:rPr>
            </w:pPr>
            <w:r w:rsidRPr="004E58E4">
              <w:t xml:space="preserve">all staff and independent practitioners were made </w:t>
            </w:r>
            <w:r w:rsidRPr="005A3781">
              <w:t>aware</w:t>
            </w:r>
            <w:r w:rsidRPr="004E58E4">
              <w:t xml:space="preserve"> of ongoing efforts to reduce risks and hazards and to improve patient safety and quality in the organization. (p.75)</w:t>
            </w:r>
          </w:p>
        </w:tc>
        <w:tc>
          <w:tcPr>
            <w:tcW w:w="1196" w:type="dxa"/>
            <w:vAlign w:val="center"/>
          </w:tcPr>
          <w:p w14:paraId="0BF33866" w14:textId="77777777" w:rsidR="00D73697" w:rsidRDefault="00D73697" w:rsidP="00AD309C">
            <w:pPr>
              <w:pStyle w:val="ListParagraph"/>
              <w:numPr>
                <w:ilvl w:val="0"/>
                <w:numId w:val="247"/>
              </w:numPr>
            </w:pPr>
            <w:r>
              <w:t>Yes</w:t>
            </w:r>
          </w:p>
          <w:p w14:paraId="6B864A02" w14:textId="0CC761B9" w:rsidR="006163F9" w:rsidRPr="004E58E4" w:rsidRDefault="00D73697" w:rsidP="00AD309C">
            <w:pPr>
              <w:pStyle w:val="ListParagraph"/>
              <w:numPr>
                <w:ilvl w:val="0"/>
                <w:numId w:val="247"/>
              </w:numPr>
            </w:pPr>
            <w:r>
              <w:t>No</w:t>
            </w:r>
          </w:p>
        </w:tc>
      </w:tr>
    </w:tbl>
    <w:p w14:paraId="321AC6AA" w14:textId="77777777" w:rsidR="000B7447" w:rsidRPr="00A94E56" w:rsidRDefault="000B7447" w:rsidP="00563CD7">
      <w:pPr>
        <w:rPr>
          <w:sz w:val="16"/>
          <w:szCs w:val="16"/>
        </w:rPr>
      </w:pPr>
    </w:p>
    <w:p w14:paraId="122777D1" w14:textId="5DB17C03" w:rsidR="00E01307" w:rsidRDefault="00E01307" w:rsidP="00AB5B80">
      <w:pPr>
        <w:pStyle w:val="Heading3"/>
      </w:pPr>
      <w:bookmarkStart w:id="467" w:name="_Toc225877773"/>
      <w:r>
        <w:t>Accountability</w:t>
      </w:r>
      <w:bookmarkEnd w:id="467"/>
    </w:p>
    <w:p w14:paraId="0DBAA723" w14:textId="77777777" w:rsidR="00E01307" w:rsidRPr="00C15F23" w:rsidRDefault="00E01307" w:rsidP="00563CD7">
      <w:pPr>
        <w:rPr>
          <w:sz w:val="16"/>
          <w:szCs w:val="16"/>
        </w:rPr>
      </w:pPr>
    </w:p>
    <w:tbl>
      <w:tblPr>
        <w:tblStyle w:val="TableGrid"/>
        <w:tblW w:w="9625" w:type="dxa"/>
        <w:tblLook w:val="04A0" w:firstRow="1" w:lastRow="0" w:firstColumn="1" w:lastColumn="0" w:noHBand="0" w:noVBand="1"/>
      </w:tblPr>
      <w:tblGrid>
        <w:gridCol w:w="8338"/>
        <w:gridCol w:w="1287"/>
      </w:tblGrid>
      <w:tr w:rsidR="000B7447" w14:paraId="4DD21EF3" w14:textId="77777777" w:rsidTr="00EC4DCE">
        <w:tc>
          <w:tcPr>
            <w:tcW w:w="9625" w:type="dxa"/>
            <w:gridSpan w:val="2"/>
          </w:tcPr>
          <w:p w14:paraId="7896D764" w14:textId="7A4ECD07" w:rsidR="000B7447" w:rsidRDefault="000B7447" w:rsidP="00AD309C">
            <w:pPr>
              <w:pStyle w:val="ListParagraph"/>
              <w:numPr>
                <w:ilvl w:val="1"/>
                <w:numId w:val="252"/>
              </w:numPr>
              <w:jc w:val="both"/>
            </w:pPr>
            <w:r w:rsidRPr="000B7447">
              <w:rPr>
                <w:b/>
              </w:rPr>
              <w:t xml:space="preserve">Within the last 12 months, in regard to holding the </w:t>
            </w:r>
            <w:hyperlink w:anchor="ForthepurposesofreportingonSection6" w:history="1">
              <w:r w:rsidRPr="000B7447">
                <w:rPr>
                  <w:rStyle w:val="Hyperlink"/>
                  <w:b/>
                </w:rPr>
                <w:t>board, senior administrative leadership, midlevel management, nursing leadership, physician leadership, and frontline caregivers</w:t>
              </w:r>
            </w:hyperlink>
            <w:r w:rsidRPr="000B7447">
              <w:rPr>
                <w:b/>
              </w:rPr>
              <w:t xml:space="preserve"> directly accountable for results related to the identification and mitigation of risks and hazards, the organization has done the following:</w:t>
            </w:r>
          </w:p>
        </w:tc>
      </w:tr>
      <w:tr w:rsidR="000B7447" w14:paraId="65D1C91C" w14:textId="77777777" w:rsidTr="000B7447">
        <w:tc>
          <w:tcPr>
            <w:tcW w:w="8338" w:type="dxa"/>
          </w:tcPr>
          <w:p w14:paraId="10FA216E" w14:textId="0C76C8CE" w:rsidR="000B7447" w:rsidRDefault="000B7447" w:rsidP="00AD309C">
            <w:pPr>
              <w:pStyle w:val="ListParagraph"/>
              <w:numPr>
                <w:ilvl w:val="0"/>
                <w:numId w:val="251"/>
              </w:numPr>
            </w:pPr>
            <w:r w:rsidRPr="004E58E4">
              <w:t xml:space="preserve">an integrated </w:t>
            </w:r>
            <w:hyperlink w:anchor="PatientSafetyProgram" w:history="1">
              <w:r w:rsidRPr="004E58E4">
                <w:rPr>
                  <w:rStyle w:val="Hyperlink"/>
                </w:rPr>
                <w:t>patient safety program</w:t>
              </w:r>
            </w:hyperlink>
            <w:r w:rsidRPr="004E58E4">
              <w:t xml:space="preserve"> has been in place for the</w:t>
            </w:r>
            <w:r>
              <w:t xml:space="preserve"> entire reporting period,</w:t>
            </w:r>
            <w:r w:rsidRPr="004E58E4">
              <w:t xml:space="preserve"> providing oversight and alignment of safe practice activities. (p.76)</w:t>
            </w:r>
          </w:p>
        </w:tc>
        <w:tc>
          <w:tcPr>
            <w:tcW w:w="1287" w:type="dxa"/>
            <w:vAlign w:val="center"/>
          </w:tcPr>
          <w:p w14:paraId="7E3A3334" w14:textId="77777777" w:rsidR="000B7447" w:rsidRDefault="000B7447" w:rsidP="00AD309C">
            <w:pPr>
              <w:pStyle w:val="ListParagraph"/>
              <w:numPr>
                <w:ilvl w:val="0"/>
                <w:numId w:val="249"/>
              </w:numPr>
              <w:jc w:val="both"/>
            </w:pPr>
            <w:r>
              <w:t>Yes</w:t>
            </w:r>
          </w:p>
          <w:p w14:paraId="66E12192" w14:textId="19CB485B" w:rsidR="000B7447" w:rsidRDefault="000B7447" w:rsidP="00AD309C">
            <w:pPr>
              <w:pStyle w:val="ListParagraph"/>
              <w:numPr>
                <w:ilvl w:val="0"/>
                <w:numId w:val="249"/>
              </w:numPr>
              <w:jc w:val="both"/>
            </w:pPr>
            <w:r>
              <w:t>No</w:t>
            </w:r>
          </w:p>
        </w:tc>
      </w:tr>
      <w:tr w:rsidR="000B7447" w14:paraId="3BF0A9A2" w14:textId="77777777" w:rsidTr="000B7447">
        <w:tc>
          <w:tcPr>
            <w:tcW w:w="8338" w:type="dxa"/>
          </w:tcPr>
          <w:p w14:paraId="3C1D26AA" w14:textId="0C2654CF" w:rsidR="000B7447" w:rsidRDefault="000B7447" w:rsidP="00AD309C">
            <w:pPr>
              <w:pStyle w:val="ListParagraph"/>
              <w:numPr>
                <w:ilvl w:val="0"/>
                <w:numId w:val="251"/>
              </w:numPr>
            </w:pPr>
            <w:r w:rsidRPr="004E58E4">
              <w:t xml:space="preserve">a </w:t>
            </w:r>
            <w:hyperlink w:anchor="PatientSafetyOfficer" w:history="1">
              <w:r w:rsidRPr="00E54DD1">
                <w:rPr>
                  <w:rStyle w:val="Hyperlink"/>
                </w:rPr>
                <w:t>Patient Safety Officer</w:t>
              </w:r>
            </w:hyperlink>
            <w:r w:rsidRPr="00E54DD1">
              <w:t xml:space="preserve"> (PSO)</w:t>
            </w:r>
            <w:r w:rsidRPr="004E58E4">
              <w:t xml:space="preserve"> has been appointed and </w:t>
            </w:r>
            <w:hyperlink w:anchor="SP1_RegularCommunication" w:history="1">
              <w:r w:rsidRPr="00471326">
                <w:rPr>
                  <w:rStyle w:val="Hyperlink"/>
                </w:rPr>
                <w:t>communicates regularly</w:t>
              </w:r>
            </w:hyperlink>
            <w:r w:rsidRPr="004E58E4">
              <w:t xml:space="preserve"> with the </w:t>
            </w:r>
            <w:hyperlink w:anchor="Board" w:history="1">
              <w:r w:rsidRPr="004E58E4">
                <w:rPr>
                  <w:rStyle w:val="Hyperlink"/>
                </w:rPr>
                <w:t>board</w:t>
              </w:r>
            </w:hyperlink>
            <w:r w:rsidRPr="004E58E4">
              <w:t xml:space="preserve"> (governance) and </w:t>
            </w:r>
            <w:hyperlink w:anchor="SeniorAdministrativeLeadership" w:history="1">
              <w:r w:rsidRPr="004E58E4">
                <w:rPr>
                  <w:rStyle w:val="Hyperlink"/>
                </w:rPr>
                <w:t>senior administrative leadership</w:t>
              </w:r>
            </w:hyperlink>
            <w:r w:rsidRPr="004E58E4">
              <w:t>; the PSO is the primary point of contact of the integrated patient safety program. (p.76</w:t>
            </w:r>
            <w:r>
              <w:t>)</w:t>
            </w:r>
          </w:p>
        </w:tc>
        <w:tc>
          <w:tcPr>
            <w:tcW w:w="1287" w:type="dxa"/>
            <w:vAlign w:val="center"/>
          </w:tcPr>
          <w:p w14:paraId="26A38548" w14:textId="77777777" w:rsidR="000B7447" w:rsidRDefault="000B7447" w:rsidP="00AD309C">
            <w:pPr>
              <w:pStyle w:val="ListParagraph"/>
              <w:numPr>
                <w:ilvl w:val="0"/>
                <w:numId w:val="249"/>
              </w:numPr>
              <w:jc w:val="both"/>
            </w:pPr>
            <w:r>
              <w:t>Yes</w:t>
            </w:r>
          </w:p>
          <w:p w14:paraId="45612C63" w14:textId="6A3CD3CD" w:rsidR="000B7447" w:rsidRDefault="000B7447" w:rsidP="00AD309C">
            <w:pPr>
              <w:pStyle w:val="ListParagraph"/>
              <w:numPr>
                <w:ilvl w:val="0"/>
                <w:numId w:val="249"/>
              </w:numPr>
              <w:jc w:val="both"/>
            </w:pPr>
            <w:r>
              <w:t>No</w:t>
            </w:r>
          </w:p>
        </w:tc>
      </w:tr>
      <w:tr w:rsidR="000B7447" w14:paraId="6B3E70BE" w14:textId="77777777" w:rsidTr="000B7447">
        <w:tc>
          <w:tcPr>
            <w:tcW w:w="8338" w:type="dxa"/>
          </w:tcPr>
          <w:p w14:paraId="1AA87343" w14:textId="158E4970" w:rsidR="000B7447" w:rsidRDefault="000B7447" w:rsidP="00AD309C">
            <w:pPr>
              <w:pStyle w:val="ListParagraph"/>
              <w:numPr>
                <w:ilvl w:val="0"/>
                <w:numId w:val="251"/>
              </w:numPr>
            </w:pPr>
            <w:r w:rsidRPr="000B7447">
              <w:rPr>
                <w:rFonts w:eastAsia="Yu Mincho"/>
                <w:szCs w:val="24"/>
              </w:rPr>
              <w:t xml:space="preserve">performance has been documented in </w:t>
            </w:r>
            <w:hyperlink w:anchor="PerformanceReviewsorCompensation" w:history="1">
              <w:r w:rsidRPr="000B7447">
                <w:rPr>
                  <w:rStyle w:val="Hyperlink"/>
                  <w:rFonts w:eastAsia="Yu Mincho"/>
                  <w:szCs w:val="24"/>
                </w:rPr>
                <w:t>performance reviews and/or compensation incentives</w:t>
              </w:r>
            </w:hyperlink>
            <w:r w:rsidRPr="000B7447">
              <w:rPr>
                <w:rFonts w:eastAsia="Yu Mincho"/>
                <w:szCs w:val="24"/>
              </w:rPr>
              <w:t xml:space="preserve"> for all levels of hospital management and hospital-employed caregivers noted above. (p.76) </w:t>
            </w:r>
          </w:p>
        </w:tc>
        <w:tc>
          <w:tcPr>
            <w:tcW w:w="1287" w:type="dxa"/>
            <w:vAlign w:val="center"/>
          </w:tcPr>
          <w:p w14:paraId="61180B7D" w14:textId="77777777" w:rsidR="000B7447" w:rsidRDefault="000B7447" w:rsidP="00AD309C">
            <w:pPr>
              <w:pStyle w:val="ListParagraph"/>
              <w:numPr>
                <w:ilvl w:val="0"/>
                <w:numId w:val="249"/>
              </w:numPr>
              <w:jc w:val="both"/>
            </w:pPr>
            <w:r>
              <w:t>Yes</w:t>
            </w:r>
          </w:p>
          <w:p w14:paraId="4B5A88C9" w14:textId="727DA70E" w:rsidR="000B7447" w:rsidRDefault="000B7447" w:rsidP="00AD309C">
            <w:pPr>
              <w:pStyle w:val="ListParagraph"/>
              <w:numPr>
                <w:ilvl w:val="0"/>
                <w:numId w:val="249"/>
              </w:numPr>
              <w:jc w:val="both"/>
            </w:pPr>
            <w:r>
              <w:t>No</w:t>
            </w:r>
          </w:p>
        </w:tc>
      </w:tr>
      <w:tr w:rsidR="000B7447" w14:paraId="0A9D2AA1" w14:textId="77777777" w:rsidTr="000B7447">
        <w:tc>
          <w:tcPr>
            <w:tcW w:w="8338" w:type="dxa"/>
          </w:tcPr>
          <w:p w14:paraId="5D14EF1E" w14:textId="77777777" w:rsidR="000B7447" w:rsidRDefault="000B7447" w:rsidP="00AD309C">
            <w:pPr>
              <w:pStyle w:val="ListParagraph"/>
              <w:numPr>
                <w:ilvl w:val="0"/>
                <w:numId w:val="251"/>
              </w:numPr>
              <w:rPr>
                <w:rFonts w:eastAsia="Yu Mincho"/>
                <w:szCs w:val="24"/>
              </w:rPr>
            </w:pPr>
            <w:r w:rsidRPr="000B7447">
              <w:rPr>
                <w:rFonts w:eastAsia="Yu Mincho"/>
                <w:szCs w:val="24"/>
              </w:rPr>
              <w:t xml:space="preserve">the interdisciplinary patient safety </w:t>
            </w:r>
            <w:hyperlink w:anchor="SP1_2d" w:history="1">
              <w:r w:rsidRPr="000B7447">
                <w:rPr>
                  <w:rStyle w:val="Hyperlink"/>
                  <w:rFonts w:eastAsia="Yu Mincho"/>
                  <w:szCs w:val="24"/>
                </w:rPr>
                <w:t>team</w:t>
              </w:r>
            </w:hyperlink>
            <w:r w:rsidRPr="000B7447">
              <w:rPr>
                <w:rFonts w:eastAsia="Yu Mincho"/>
                <w:szCs w:val="24"/>
              </w:rPr>
              <w:t xml:space="preserve"> </w:t>
            </w:r>
            <w:hyperlink w:anchor="SP1_RegularCommunication" w:history="1">
              <w:r w:rsidRPr="000B7447">
                <w:rPr>
                  <w:rStyle w:val="Hyperlink"/>
                  <w:rFonts w:eastAsia="Yu Mincho"/>
                  <w:szCs w:val="24"/>
                </w:rPr>
                <w:t>communicated regularly</w:t>
              </w:r>
            </w:hyperlink>
            <w:r w:rsidRPr="000B7447">
              <w:rPr>
                <w:rFonts w:eastAsia="Yu Mincho"/>
                <w:szCs w:val="24"/>
              </w:rPr>
              <w:t xml:space="preserve"> with </w:t>
            </w:r>
            <w:hyperlink w:anchor="SeniorAdministrativeLeadership" w:history="1">
              <w:r w:rsidRPr="000B7447">
                <w:rPr>
                  <w:rStyle w:val="Hyperlink"/>
                  <w:rFonts w:eastAsia="Yu Mincho"/>
                  <w:szCs w:val="24"/>
                </w:rPr>
                <w:t>senior administrative leadership</w:t>
              </w:r>
            </w:hyperlink>
            <w:r w:rsidRPr="000B7447">
              <w:rPr>
                <w:rFonts w:eastAsia="Yu Mincho"/>
                <w:szCs w:val="24"/>
              </w:rPr>
              <w:t xml:space="preserve"> regarding </w:t>
            </w:r>
            <w:r w:rsidRPr="000B7447">
              <w:rPr>
                <w:rFonts w:eastAsia="Yu Mincho"/>
                <w:b/>
                <w:bCs/>
                <w:szCs w:val="24"/>
              </w:rPr>
              <w:t>both</w:t>
            </w:r>
            <w:r w:rsidRPr="000B7447">
              <w:rPr>
                <w:rFonts w:eastAsia="Yu Mincho"/>
                <w:szCs w:val="24"/>
              </w:rPr>
              <w:t xml:space="preserve"> of the following and documented these communications in meeting minutes (pp. 76-77):</w:t>
            </w:r>
          </w:p>
          <w:p w14:paraId="7F328DD3" w14:textId="36BC1DBC" w:rsidR="000B7447" w:rsidRPr="000B7447" w:rsidRDefault="000B7447" w:rsidP="00AD309C">
            <w:pPr>
              <w:pStyle w:val="ListParagraph"/>
              <w:numPr>
                <w:ilvl w:val="2"/>
                <w:numId w:val="251"/>
              </w:numPr>
              <w:rPr>
                <w:rFonts w:eastAsia="Yu Mincho"/>
                <w:szCs w:val="24"/>
              </w:rPr>
            </w:pPr>
            <w:r w:rsidRPr="004E58E4">
              <w:t>progress in meeting safety goals</w:t>
            </w:r>
            <w:r w:rsidR="00DB05C1">
              <w:t>,</w:t>
            </w:r>
            <w:r>
              <w:t xml:space="preserve"> and</w:t>
            </w:r>
          </w:p>
          <w:p w14:paraId="55780E2D" w14:textId="7DB1CB46" w:rsidR="000B7447" w:rsidRPr="000B7447" w:rsidRDefault="000B7447" w:rsidP="00AD309C">
            <w:pPr>
              <w:pStyle w:val="ListParagraph"/>
              <w:numPr>
                <w:ilvl w:val="2"/>
                <w:numId w:val="251"/>
              </w:numPr>
              <w:rPr>
                <w:rFonts w:eastAsia="Yu Mincho"/>
                <w:szCs w:val="24"/>
              </w:rPr>
            </w:pPr>
            <w:r w:rsidRPr="004E58E4">
              <w:t>provide</w:t>
            </w:r>
            <w:r w:rsidR="00BE2EF2">
              <w:t>d</w:t>
            </w:r>
            <w:r w:rsidRPr="004E58E4">
              <w:t xml:space="preserve"> </w:t>
            </w:r>
            <w:hyperlink w:anchor="TeamTraining" w:history="1">
              <w:r w:rsidRPr="004E58E4">
                <w:rPr>
                  <w:rStyle w:val="Hyperlink"/>
                </w:rPr>
                <w:t>team training</w:t>
              </w:r>
            </w:hyperlink>
            <w:r w:rsidRPr="004E58E4">
              <w:t xml:space="preserve"> to caregivers</w:t>
            </w:r>
            <w:r>
              <w:t>.</w:t>
            </w:r>
          </w:p>
        </w:tc>
        <w:tc>
          <w:tcPr>
            <w:tcW w:w="1287" w:type="dxa"/>
            <w:vAlign w:val="center"/>
          </w:tcPr>
          <w:p w14:paraId="597EAC76" w14:textId="77777777" w:rsidR="000B7447" w:rsidRDefault="000B7447" w:rsidP="00AD309C">
            <w:pPr>
              <w:pStyle w:val="ListParagraph"/>
              <w:numPr>
                <w:ilvl w:val="0"/>
                <w:numId w:val="249"/>
              </w:numPr>
              <w:jc w:val="both"/>
            </w:pPr>
            <w:r>
              <w:t>Yes</w:t>
            </w:r>
          </w:p>
          <w:p w14:paraId="79C4B693" w14:textId="6BAB05C1" w:rsidR="000B7447" w:rsidRDefault="000B7447" w:rsidP="00AD309C">
            <w:pPr>
              <w:pStyle w:val="ListParagraph"/>
              <w:numPr>
                <w:ilvl w:val="0"/>
                <w:numId w:val="249"/>
              </w:numPr>
              <w:jc w:val="both"/>
            </w:pPr>
            <w:r>
              <w:t>No</w:t>
            </w:r>
          </w:p>
        </w:tc>
      </w:tr>
      <w:tr w:rsidR="000B7447" w14:paraId="4CE6E0FE" w14:textId="77777777" w:rsidTr="000B7447">
        <w:tc>
          <w:tcPr>
            <w:tcW w:w="8338" w:type="dxa"/>
          </w:tcPr>
          <w:p w14:paraId="4A791477" w14:textId="60FCB0E6" w:rsidR="000B7447" w:rsidRDefault="000B7447" w:rsidP="00AD309C">
            <w:pPr>
              <w:pStyle w:val="ListParagraph"/>
              <w:numPr>
                <w:ilvl w:val="0"/>
                <w:numId w:val="251"/>
              </w:numPr>
            </w:pPr>
            <w:r w:rsidRPr="000B7447">
              <w:rPr>
                <w:rFonts w:eastAsia="Yu Mincho"/>
                <w:szCs w:val="24"/>
              </w:rPr>
              <w:lastRenderedPageBreak/>
              <w:t xml:space="preserve">the hospital </w:t>
            </w:r>
            <w:hyperlink w:anchor="SP1_2e" w:history="1">
              <w:r w:rsidRPr="000B7447">
                <w:rPr>
                  <w:rStyle w:val="Hyperlink"/>
                  <w:rFonts w:eastAsia="Yu Mincho"/>
                  <w:szCs w:val="24"/>
                </w:rPr>
                <w:t>reported</w:t>
              </w:r>
            </w:hyperlink>
            <w:r w:rsidRPr="000B7447">
              <w:rPr>
                <w:rFonts w:eastAsia="Yu Mincho"/>
                <w:szCs w:val="24"/>
              </w:rPr>
              <w:t xml:space="preserve"> adverse events to external mandatory or voluntary programs. (p.77)</w:t>
            </w:r>
          </w:p>
        </w:tc>
        <w:tc>
          <w:tcPr>
            <w:tcW w:w="1287" w:type="dxa"/>
          </w:tcPr>
          <w:p w14:paraId="274B6335" w14:textId="77777777" w:rsidR="000B7447" w:rsidRDefault="000B7447" w:rsidP="00AD309C">
            <w:pPr>
              <w:pStyle w:val="ListParagraph"/>
              <w:numPr>
                <w:ilvl w:val="0"/>
                <w:numId w:val="249"/>
              </w:numPr>
              <w:jc w:val="both"/>
            </w:pPr>
            <w:r>
              <w:t>Yes</w:t>
            </w:r>
          </w:p>
          <w:p w14:paraId="2212F8FE" w14:textId="1229A52C" w:rsidR="000B7447" w:rsidRDefault="000B7447" w:rsidP="00AD309C">
            <w:pPr>
              <w:pStyle w:val="ListParagraph"/>
              <w:numPr>
                <w:ilvl w:val="0"/>
                <w:numId w:val="249"/>
              </w:numPr>
              <w:jc w:val="both"/>
            </w:pPr>
            <w:r>
              <w:t>No</w:t>
            </w:r>
          </w:p>
        </w:tc>
      </w:tr>
    </w:tbl>
    <w:p w14:paraId="65E6E813" w14:textId="39519193" w:rsidR="00E01307" w:rsidRDefault="004A10F5" w:rsidP="00AB5B80">
      <w:pPr>
        <w:pStyle w:val="Heading3"/>
      </w:pPr>
      <w:r>
        <w:br/>
      </w:r>
      <w:bookmarkStart w:id="468" w:name="_Toc225877774"/>
      <w:r w:rsidR="00E01307">
        <w:t>Ability</w:t>
      </w:r>
      <w:bookmarkEnd w:id="468"/>
    </w:p>
    <w:p w14:paraId="784B9FDD" w14:textId="77777777" w:rsidR="00E01307" w:rsidRDefault="00E01307" w:rsidP="00563CD7"/>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5"/>
        <w:gridCol w:w="1645"/>
      </w:tblGrid>
      <w:tr w:rsidR="000B7447" w14:paraId="70EDBB29" w14:textId="77A9258F" w:rsidTr="00C15F23">
        <w:trPr>
          <w:cantSplit/>
        </w:trPr>
        <w:tc>
          <w:tcPr>
            <w:tcW w:w="9630" w:type="dxa"/>
            <w:gridSpan w:val="2"/>
            <w:tcBorders>
              <w:bottom w:val="nil"/>
            </w:tcBorders>
          </w:tcPr>
          <w:p w14:paraId="2F12CDD8" w14:textId="609014BF" w:rsidR="000B7447" w:rsidRPr="000B7447" w:rsidRDefault="000B7447" w:rsidP="00AD309C">
            <w:pPr>
              <w:pStyle w:val="ListParagraph"/>
              <w:numPr>
                <w:ilvl w:val="1"/>
                <w:numId w:val="252"/>
              </w:numPr>
              <w:rPr>
                <w:b/>
              </w:rPr>
            </w:pPr>
            <w:r w:rsidRPr="000B7447">
              <w:rPr>
                <w:b/>
              </w:rPr>
              <w:t xml:space="preserve">Within the last 12 months, in regard to </w:t>
            </w:r>
            <w:r w:rsidRPr="000B7447">
              <w:rPr>
                <w:b/>
                <w:noProof/>
              </w:rPr>
              <w:t>implementation</w:t>
            </w:r>
            <w:r w:rsidRPr="000B7447">
              <w:rPr>
                <w:b/>
              </w:rPr>
              <w:t xml:space="preserve"> of the patient safety program, the </w:t>
            </w:r>
            <w:hyperlink w:anchor="Board" w:history="1">
              <w:r w:rsidRPr="000B7447">
                <w:rPr>
                  <w:rStyle w:val="Hyperlink"/>
                  <w:b/>
                </w:rPr>
                <w:t>board</w:t>
              </w:r>
            </w:hyperlink>
            <w:r w:rsidRPr="000B7447">
              <w:rPr>
                <w:b/>
              </w:rPr>
              <w:t xml:space="preserve"> (governance) and </w:t>
            </w:r>
            <w:hyperlink w:anchor="SeniorAdministrativeLeadership" w:history="1">
              <w:r w:rsidRPr="000B7447">
                <w:rPr>
                  <w:rStyle w:val="Hyperlink"/>
                  <w:b/>
                </w:rPr>
                <w:t>senior administrative leadership</w:t>
              </w:r>
            </w:hyperlink>
            <w:r w:rsidRPr="000B7447">
              <w:rPr>
                <w:b/>
              </w:rPr>
              <w:t xml:space="preserve"> have provided resources to cover the implementation</w:t>
            </w:r>
            <w:r w:rsidR="002820B2">
              <w:rPr>
                <w:b/>
              </w:rPr>
              <w:t>,</w:t>
            </w:r>
            <w:r w:rsidRPr="000B7447">
              <w:rPr>
                <w:b/>
              </w:rPr>
              <w:t xml:space="preserve"> as evidenced by: </w:t>
            </w:r>
          </w:p>
        </w:tc>
      </w:tr>
      <w:tr w:rsidR="000B7447" w14:paraId="7CC95F4D" w14:textId="77777777" w:rsidTr="00C15F23">
        <w:trPr>
          <w:cantSplit/>
        </w:trPr>
        <w:tc>
          <w:tcPr>
            <w:tcW w:w="7985" w:type="dxa"/>
            <w:tcBorders>
              <w:bottom w:val="single" w:sz="4" w:space="0" w:color="auto"/>
            </w:tcBorders>
          </w:tcPr>
          <w:p w14:paraId="0E612945" w14:textId="6744B733" w:rsidR="000B7447" w:rsidRPr="000B7447" w:rsidRDefault="000B7447" w:rsidP="00AD309C">
            <w:pPr>
              <w:pStyle w:val="ListParagraph"/>
              <w:numPr>
                <w:ilvl w:val="0"/>
                <w:numId w:val="253"/>
              </w:numPr>
              <w:rPr>
                <w:b/>
              </w:rPr>
            </w:pPr>
            <w:r w:rsidRPr="004E58E4">
              <w:t xml:space="preserve">dedicated patient safety program </w:t>
            </w:r>
            <w:hyperlink w:anchor="Budget" w:history="1">
              <w:r w:rsidRPr="004E58E4">
                <w:rPr>
                  <w:rStyle w:val="Hyperlink"/>
                </w:rPr>
                <w:t>budgets</w:t>
              </w:r>
            </w:hyperlink>
            <w:r w:rsidRPr="004E58E4">
              <w:t xml:space="preserve"> </w:t>
            </w:r>
            <w:r>
              <w:t xml:space="preserve">to </w:t>
            </w:r>
            <w:r w:rsidRPr="004E58E4">
              <w:t>support the program, staffing, and technology investment. (p.77)</w:t>
            </w:r>
          </w:p>
        </w:tc>
        <w:tc>
          <w:tcPr>
            <w:tcW w:w="1645" w:type="dxa"/>
            <w:tcBorders>
              <w:bottom w:val="single" w:sz="4" w:space="0" w:color="auto"/>
            </w:tcBorders>
          </w:tcPr>
          <w:p w14:paraId="081AB7EC" w14:textId="77777777" w:rsidR="000B7447" w:rsidRDefault="000B7447" w:rsidP="00AD309C">
            <w:pPr>
              <w:pStyle w:val="ListParagraph"/>
              <w:numPr>
                <w:ilvl w:val="0"/>
                <w:numId w:val="254"/>
              </w:numPr>
            </w:pPr>
            <w:r>
              <w:t>Yes</w:t>
            </w:r>
          </w:p>
          <w:p w14:paraId="4078FE87" w14:textId="040E98CD" w:rsidR="000B7447" w:rsidRPr="000B7447" w:rsidRDefault="000B7447" w:rsidP="00AD309C">
            <w:pPr>
              <w:pStyle w:val="ListParagraph"/>
              <w:numPr>
                <w:ilvl w:val="0"/>
                <w:numId w:val="254"/>
              </w:numPr>
              <w:rPr>
                <w:b/>
              </w:rPr>
            </w:pPr>
            <w:r>
              <w:t>No</w:t>
            </w:r>
          </w:p>
        </w:tc>
      </w:tr>
    </w:tbl>
    <w:p w14:paraId="54D3C583" w14:textId="77777777" w:rsidR="00E01307" w:rsidRDefault="00E01307" w:rsidP="00C15F23"/>
    <w:p w14:paraId="20D5F41A" w14:textId="2E4E006C" w:rsidR="00E01307" w:rsidRDefault="00E01307" w:rsidP="00AB5B80">
      <w:pPr>
        <w:pStyle w:val="Heading3"/>
      </w:pPr>
      <w:bookmarkStart w:id="469" w:name="_Toc225877775"/>
      <w:r>
        <w:t>Action</w:t>
      </w:r>
      <w:bookmarkEnd w:id="469"/>
      <w:r>
        <w:br/>
      </w:r>
    </w:p>
    <w:tbl>
      <w:tblPr>
        <w:tblStyle w:val="TableGrid"/>
        <w:tblW w:w="9625" w:type="dxa"/>
        <w:tblLook w:val="04A0" w:firstRow="1" w:lastRow="0" w:firstColumn="1" w:lastColumn="0" w:noHBand="0" w:noVBand="1"/>
      </w:tblPr>
      <w:tblGrid>
        <w:gridCol w:w="8005"/>
        <w:gridCol w:w="1620"/>
      </w:tblGrid>
      <w:tr w:rsidR="00E01307" w14:paraId="7E6AFEA1" w14:textId="77777777" w:rsidTr="00B74BD8">
        <w:tc>
          <w:tcPr>
            <w:tcW w:w="9625" w:type="dxa"/>
            <w:gridSpan w:val="2"/>
          </w:tcPr>
          <w:p w14:paraId="454836CC" w14:textId="41E67F6E" w:rsidR="00E01307" w:rsidRDefault="00E01307" w:rsidP="00AD309C">
            <w:pPr>
              <w:pStyle w:val="ListParagraph"/>
              <w:numPr>
                <w:ilvl w:val="1"/>
                <w:numId w:val="252"/>
              </w:numPr>
            </w:pPr>
            <w:r w:rsidRPr="00B74BD8">
              <w:rPr>
                <w:b/>
              </w:rPr>
              <w:t xml:space="preserve">Within the last 12 months, structures and systems have been in place to ensure that </w:t>
            </w:r>
            <w:hyperlink w:anchor="SeniorAdministrativeLeadership" w:history="1">
              <w:r w:rsidRPr="00E01307">
                <w:rPr>
                  <w:rStyle w:val="Hyperlink"/>
                  <w:b/>
                </w:rPr>
                <w:t>senior administrative leadership</w:t>
              </w:r>
            </w:hyperlink>
            <w:r w:rsidRPr="00C15F23">
              <w:rPr>
                <w:b/>
              </w:rPr>
              <w:t xml:space="preserve"> is taking direct action, as evidenced by:</w:t>
            </w:r>
          </w:p>
        </w:tc>
      </w:tr>
      <w:tr w:rsidR="00E01307" w14:paraId="1352D69A" w14:textId="77777777" w:rsidTr="00B74BD8">
        <w:tc>
          <w:tcPr>
            <w:tcW w:w="8005" w:type="dxa"/>
            <w:tcBorders>
              <w:top w:val="single" w:sz="4" w:space="0" w:color="auto"/>
            </w:tcBorders>
            <w:vAlign w:val="center"/>
          </w:tcPr>
          <w:p w14:paraId="69B7747A" w14:textId="0C58AA42" w:rsidR="00E01307" w:rsidRDefault="00E01307" w:rsidP="00AD309C">
            <w:pPr>
              <w:pStyle w:val="ListParagraph"/>
              <w:numPr>
                <w:ilvl w:val="0"/>
                <w:numId w:val="273"/>
              </w:numPr>
            </w:pPr>
            <w:r w:rsidRPr="004E58E4">
              <w:t xml:space="preserve">CEO and </w:t>
            </w:r>
            <w:hyperlink w:anchor="SeniorAdministrativeLeadership" w:history="1">
              <w:r w:rsidRPr="004E58E4">
                <w:rPr>
                  <w:rStyle w:val="Hyperlink"/>
                </w:rPr>
                <w:t>senior administrative leadership</w:t>
              </w:r>
            </w:hyperlink>
            <w:r w:rsidRPr="004E58E4">
              <w:t xml:space="preserve"> are personally </w:t>
            </w:r>
            <w:hyperlink w:anchor="SP1_4a_PersonallyEngaged" w:history="1">
              <w:r w:rsidRPr="004E58E4">
                <w:rPr>
                  <w:rStyle w:val="Hyperlink"/>
                </w:rPr>
                <w:t>engaged</w:t>
              </w:r>
            </w:hyperlink>
            <w:r w:rsidRPr="004E58E4">
              <w:t xml:space="preserve"> in reinforcing patient safety improvements, e.g., “</w:t>
            </w:r>
            <w:r w:rsidRPr="008306A5">
              <w:rPr>
                <w:noProof/>
              </w:rPr>
              <w:t>walk-arounds</w:t>
            </w:r>
            <w:r>
              <w:rPr>
                <w:noProof/>
              </w:rPr>
              <w:t>,</w:t>
            </w:r>
            <w:r w:rsidRPr="004E58E4">
              <w:t xml:space="preserve">” and reporting to the </w:t>
            </w:r>
            <w:hyperlink w:anchor="Board" w:history="1">
              <w:r w:rsidRPr="004E58E4">
                <w:rPr>
                  <w:rStyle w:val="Hyperlink"/>
                </w:rPr>
                <w:t>board</w:t>
              </w:r>
            </w:hyperlink>
            <w:r w:rsidRPr="004E58E4">
              <w:t xml:space="preserve"> (governance). Calendars reflect allocated time. (p.78)</w:t>
            </w:r>
          </w:p>
        </w:tc>
        <w:tc>
          <w:tcPr>
            <w:tcW w:w="1620" w:type="dxa"/>
            <w:tcBorders>
              <w:top w:val="single" w:sz="4" w:space="0" w:color="auto"/>
              <w:left w:val="nil"/>
            </w:tcBorders>
            <w:vAlign w:val="center"/>
          </w:tcPr>
          <w:p w14:paraId="5B31FEDF" w14:textId="77777777" w:rsidR="00E01307" w:rsidRDefault="00E01307" w:rsidP="00AD309C">
            <w:pPr>
              <w:pStyle w:val="ListParagraph"/>
              <w:numPr>
                <w:ilvl w:val="0"/>
                <w:numId w:val="274"/>
              </w:numPr>
            </w:pPr>
            <w:r w:rsidRPr="00A042E8">
              <w:t>Yes</w:t>
            </w:r>
          </w:p>
          <w:p w14:paraId="3DFC4E41" w14:textId="280B86E2" w:rsidR="00E01307" w:rsidRDefault="00E01307" w:rsidP="00AD309C">
            <w:pPr>
              <w:pStyle w:val="ListParagraph"/>
              <w:numPr>
                <w:ilvl w:val="0"/>
                <w:numId w:val="274"/>
              </w:numPr>
            </w:pPr>
            <w:r>
              <w:t>No</w:t>
            </w:r>
          </w:p>
        </w:tc>
      </w:tr>
      <w:tr w:rsidR="00E01307" w14:paraId="38FEF106" w14:textId="77777777" w:rsidTr="00B74BD8">
        <w:tc>
          <w:tcPr>
            <w:tcW w:w="8005" w:type="dxa"/>
            <w:tcBorders>
              <w:top w:val="single" w:sz="4" w:space="0" w:color="auto"/>
            </w:tcBorders>
            <w:vAlign w:val="center"/>
          </w:tcPr>
          <w:p w14:paraId="6BFF9441" w14:textId="25BB9F95" w:rsidR="00E01307" w:rsidRDefault="00E01307" w:rsidP="00AD309C">
            <w:pPr>
              <w:pStyle w:val="ListParagraph"/>
              <w:numPr>
                <w:ilvl w:val="0"/>
                <w:numId w:val="273"/>
              </w:numPr>
            </w:pPr>
            <w:r w:rsidRPr="004E58E4">
              <w:t xml:space="preserve">CEO has actively </w:t>
            </w:r>
            <w:hyperlink w:anchor="SP1_4b_ActivelyEngaged" w:history="1">
              <w:r w:rsidRPr="004E58E4">
                <w:rPr>
                  <w:rStyle w:val="Hyperlink"/>
                </w:rPr>
                <w:t>engaged</w:t>
              </w:r>
            </w:hyperlink>
            <w:r w:rsidRPr="004E58E4">
              <w:t xml:space="preserve"> leaders from </w:t>
            </w:r>
            <w:hyperlink w:anchor="ForthepurposesofreportingonSection6" w:history="1">
              <w:r w:rsidRPr="004E58E4">
                <w:rPr>
                  <w:rStyle w:val="Hyperlink"/>
                </w:rPr>
                <w:t>service lines, midlevel management, nursing leadership, and physician leadership</w:t>
              </w:r>
            </w:hyperlink>
            <w:r w:rsidRPr="004E58E4">
              <w:t xml:space="preserve"> in patient safety improvement actions. (p.79)</w:t>
            </w:r>
          </w:p>
        </w:tc>
        <w:tc>
          <w:tcPr>
            <w:tcW w:w="1620" w:type="dxa"/>
            <w:tcBorders>
              <w:top w:val="single" w:sz="4" w:space="0" w:color="auto"/>
              <w:left w:val="nil"/>
            </w:tcBorders>
            <w:vAlign w:val="center"/>
          </w:tcPr>
          <w:p w14:paraId="527997D5" w14:textId="77777777" w:rsidR="00E01307" w:rsidRDefault="00E01307" w:rsidP="00AD309C">
            <w:pPr>
              <w:pStyle w:val="ListParagraph"/>
              <w:numPr>
                <w:ilvl w:val="0"/>
                <w:numId w:val="274"/>
              </w:numPr>
            </w:pPr>
            <w:r>
              <w:t>Yes</w:t>
            </w:r>
          </w:p>
          <w:p w14:paraId="46E7784D" w14:textId="1DC2A71D" w:rsidR="00E01307" w:rsidRDefault="00E01307" w:rsidP="00AD309C">
            <w:pPr>
              <w:pStyle w:val="ListParagraph"/>
              <w:numPr>
                <w:ilvl w:val="0"/>
                <w:numId w:val="274"/>
              </w:numPr>
            </w:pPr>
            <w:r w:rsidRPr="00A042E8">
              <w:t>No</w:t>
            </w:r>
          </w:p>
        </w:tc>
      </w:tr>
      <w:tr w:rsidR="00E01307" w14:paraId="19658978" w14:textId="77777777" w:rsidTr="00B74BD8">
        <w:tc>
          <w:tcPr>
            <w:tcW w:w="8005" w:type="dxa"/>
            <w:tcBorders>
              <w:top w:val="single" w:sz="4" w:space="0" w:color="auto"/>
            </w:tcBorders>
            <w:vAlign w:val="center"/>
          </w:tcPr>
          <w:p w14:paraId="27713EDC" w14:textId="4DA1A69F" w:rsidR="00E01307" w:rsidRDefault="00E01307" w:rsidP="00AD309C">
            <w:pPr>
              <w:pStyle w:val="ListParagraph"/>
              <w:numPr>
                <w:ilvl w:val="0"/>
                <w:numId w:val="273"/>
              </w:numPr>
            </w:pPr>
            <w:r w:rsidRPr="004E58E4">
              <w:t xml:space="preserve">hospital has established a </w:t>
            </w:r>
            <w:hyperlink w:anchor="SP1_4c_StructureforInput" w:history="1">
              <w:r w:rsidRPr="004E58E4">
                <w:rPr>
                  <w:rStyle w:val="Hyperlink"/>
                </w:rPr>
                <w:t>structure</w:t>
              </w:r>
            </w:hyperlink>
            <w:r w:rsidRPr="004E58E4">
              <w:t xml:space="preserve"> for input into the patient safety program by licensed independent practitioners and the organized medical staff and physician leadership. Input documented in meeting minutes or materials. (p.79)</w:t>
            </w:r>
          </w:p>
        </w:tc>
        <w:tc>
          <w:tcPr>
            <w:tcW w:w="1620" w:type="dxa"/>
            <w:tcBorders>
              <w:top w:val="single" w:sz="4" w:space="0" w:color="auto"/>
              <w:left w:val="nil"/>
            </w:tcBorders>
            <w:vAlign w:val="center"/>
          </w:tcPr>
          <w:p w14:paraId="2703BEC9" w14:textId="77777777" w:rsidR="00E01307" w:rsidRDefault="00E01307" w:rsidP="00AD309C">
            <w:pPr>
              <w:pStyle w:val="ListParagraph"/>
              <w:numPr>
                <w:ilvl w:val="0"/>
                <w:numId w:val="274"/>
              </w:numPr>
            </w:pPr>
            <w:r w:rsidRPr="00A042E8">
              <w:t>Yes</w:t>
            </w:r>
          </w:p>
          <w:p w14:paraId="3E8542EE" w14:textId="55BAEF59" w:rsidR="00E01307" w:rsidRDefault="00E01307" w:rsidP="00AD309C">
            <w:pPr>
              <w:pStyle w:val="ListParagraph"/>
              <w:numPr>
                <w:ilvl w:val="0"/>
                <w:numId w:val="274"/>
              </w:numPr>
            </w:pPr>
            <w:r>
              <w:t>No</w:t>
            </w:r>
          </w:p>
        </w:tc>
      </w:tr>
    </w:tbl>
    <w:p w14:paraId="0B45B9A2" w14:textId="6530EBE1" w:rsidR="00563CD7" w:rsidRDefault="00563CD7" w:rsidP="00CF5A6E">
      <w:pPr>
        <w:pStyle w:val="Heading2"/>
      </w:pPr>
      <w:r>
        <w:br w:type="page"/>
      </w:r>
      <w:bookmarkStart w:id="470" w:name="SP2"/>
      <w:bookmarkStart w:id="471" w:name="_Toc510001893"/>
      <w:bookmarkStart w:id="472" w:name="_Toc225877776"/>
      <w:r>
        <w:lastRenderedPageBreak/>
        <w:t xml:space="preserve">6B: </w:t>
      </w:r>
      <w:r w:rsidR="006045D9">
        <w:t xml:space="preserve">NQF Safe </w:t>
      </w:r>
      <w:r>
        <w:t xml:space="preserve">Practice #2 </w:t>
      </w:r>
      <w:r w:rsidR="006045D9">
        <w:t>–</w:t>
      </w:r>
      <w:r>
        <w:t xml:space="preserve"> </w:t>
      </w:r>
      <w:r w:rsidRPr="0076466C">
        <w:t>Culture Measurement, Feedback, and Intervention</w:t>
      </w:r>
      <w:bookmarkEnd w:id="470"/>
      <w:bookmarkEnd w:id="471"/>
      <w:bookmarkEnd w:id="472"/>
    </w:p>
    <w:p w14:paraId="4299F6E2" w14:textId="22010347" w:rsidR="006045D9" w:rsidRDefault="006045D9" w:rsidP="006045D9">
      <w:pPr>
        <w:rPr>
          <w:lang w:eastAsia="ja-JP"/>
        </w:rPr>
      </w:pPr>
    </w:p>
    <w:p w14:paraId="1BE78653" w14:textId="3F62C55A" w:rsidR="006045D9" w:rsidRPr="00174828" w:rsidRDefault="006045D9" w:rsidP="0060455A">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51" w:history="1">
        <w:r w:rsidRPr="009A5185">
          <w:rPr>
            <w:rStyle w:val="Hyperlink"/>
            <w:rFonts w:cs="Arial"/>
            <w:snapToGrid w:val="0"/>
          </w:rPr>
          <w:t>Leapfrog’s Multi-Campus Reporting Policy</w:t>
        </w:r>
      </w:hyperlink>
      <w:r>
        <w:rPr>
          <w:rStyle w:val="Hyperlink"/>
          <w:rFonts w:cs="Arial"/>
          <w:snapToGrid w:val="0"/>
        </w:rPr>
        <w:t>.</w:t>
      </w:r>
    </w:p>
    <w:p w14:paraId="0CEF2045" w14:textId="77777777" w:rsidR="00563CD7" w:rsidRDefault="00563CD7" w:rsidP="00563CD7">
      <w:pPr>
        <w:rPr>
          <w:b/>
          <w:bCs/>
          <w:color w:val="FF0000"/>
        </w:rPr>
      </w:pPr>
    </w:p>
    <w:p w14:paraId="4CB5B52E" w14:textId="77777777" w:rsidR="00563CD7" w:rsidRPr="00722F1B" w:rsidRDefault="00563CD7" w:rsidP="00563CD7">
      <w:pPr>
        <w:rPr>
          <w:b/>
          <w:bCs/>
          <w:color w:val="FF0000"/>
        </w:rPr>
      </w:pPr>
      <w:r w:rsidRPr="00722F1B">
        <w:rPr>
          <w:b/>
          <w:bCs/>
          <w:color w:val="FF0000"/>
        </w:rPr>
        <w:t>Important Notes:</w:t>
      </w:r>
    </w:p>
    <w:p w14:paraId="71F495CD" w14:textId="77777777" w:rsidR="00563CD7" w:rsidRPr="00722F1B" w:rsidRDefault="00563CD7" w:rsidP="00563CD7">
      <w:pPr>
        <w:rPr>
          <w:b/>
          <w:bCs/>
          <w:color w:val="FF0000"/>
        </w:rPr>
      </w:pPr>
    </w:p>
    <w:p w14:paraId="4F23CF7C" w14:textId="1C75B62B" w:rsidR="00563CD7" w:rsidRPr="00722F1B" w:rsidRDefault="00563CD7" w:rsidP="00563CD7">
      <w:pPr>
        <w:rPr>
          <w:bCs/>
        </w:rPr>
      </w:pPr>
      <w:r w:rsidRPr="00722F1B">
        <w:rPr>
          <w:bCs/>
        </w:rPr>
        <w:t xml:space="preserve">Note 1: </w:t>
      </w:r>
      <w:r w:rsidR="00675684" w:rsidRPr="00722F1B">
        <w:rPr>
          <w:bCs/>
        </w:rPr>
        <w:t xml:space="preserve">Page numbers </w:t>
      </w:r>
      <w:r w:rsidR="009C0C21" w:rsidRPr="009C0C21">
        <w:rPr>
          <w:bCs/>
        </w:rPr>
        <w:t xml:space="preserve">throughout this subsection refer to the NQF Safe Practices for Better Healthcare – 2010 Update report, which is available for download here: </w:t>
      </w:r>
      <w:hyperlink r:id="rId352" w:history="1">
        <w:r w:rsidR="009C0C21" w:rsidRPr="009C0C21">
          <w:rPr>
            <w:rStyle w:val="Hyperlink"/>
            <w:bCs/>
          </w:rPr>
          <w:t>http://www.leapfroggroup.org/survey-materials/survey-and-cpoe-materials</w:t>
        </w:r>
      </w:hyperlink>
      <w:r w:rsidR="009C0C21" w:rsidRPr="009C0C21">
        <w:rPr>
          <w:bCs/>
        </w:rPr>
        <w:t>.</w:t>
      </w:r>
    </w:p>
    <w:p w14:paraId="2BDBA52F" w14:textId="77777777" w:rsidR="00563CD7" w:rsidRPr="00722F1B" w:rsidRDefault="00563CD7" w:rsidP="00563CD7">
      <w:pPr>
        <w:rPr>
          <w:bCs/>
        </w:rPr>
      </w:pPr>
    </w:p>
    <w:p w14:paraId="1C4DEF12" w14:textId="283CE3EF" w:rsidR="00790740" w:rsidRDefault="00563CD7" w:rsidP="00563CD7">
      <w:pPr>
        <w:rPr>
          <w:bCs/>
        </w:rPr>
      </w:pPr>
      <w:r w:rsidRPr="004A60F9">
        <w:rPr>
          <w:bCs/>
        </w:rPr>
        <w:t xml:space="preserve">Note 2: Hyperlinks throughout this subsection refer to </w:t>
      </w:r>
      <w:r w:rsidR="0023417A">
        <w:rPr>
          <w:bCs/>
        </w:rPr>
        <w:t xml:space="preserve">the </w:t>
      </w:r>
      <w:hyperlink w:anchor="_Patient_Safety_Practices" w:history="1">
        <w:r w:rsidR="00E7380B">
          <w:rPr>
            <w:rStyle w:val="Hyperlink"/>
            <w:bCs/>
          </w:rPr>
          <w:t>Patient Safety Practices FAQs</w:t>
        </w:r>
      </w:hyperlink>
      <w:r w:rsidR="0023417A">
        <w:rPr>
          <w:bCs/>
        </w:rPr>
        <w:t xml:space="preserve"> </w:t>
      </w:r>
      <w:r w:rsidR="00393E94">
        <w:rPr>
          <w:rFonts w:cs="Arial"/>
        </w:rPr>
        <w:t>beginning on page</w:t>
      </w:r>
      <w:r w:rsidR="00610589">
        <w:rPr>
          <w:rFonts w:cs="Arial"/>
        </w:rPr>
        <w:t xml:space="preserve"> 250</w:t>
      </w:r>
      <w:r w:rsidR="00393E94">
        <w:rPr>
          <w:rFonts w:cs="Arial"/>
        </w:rPr>
        <w:t xml:space="preserve">, </w:t>
      </w:r>
      <w:r w:rsidRPr="004A60F9">
        <w:rPr>
          <w:bCs/>
        </w:rPr>
        <w:t>not to endnotes. These hyperlinks are not include</w:t>
      </w:r>
      <w:r w:rsidR="007C2D2D">
        <w:rPr>
          <w:bCs/>
        </w:rPr>
        <w:t xml:space="preserve">d in the </w:t>
      </w:r>
      <w:r w:rsidR="005B7CBC">
        <w:rPr>
          <w:bCs/>
        </w:rPr>
        <w:t>Online Survey Tool</w:t>
      </w:r>
      <w:r w:rsidR="005B7CBC" w:rsidRPr="004A60F9">
        <w:rPr>
          <w:bCs/>
        </w:rPr>
        <w:t>.</w:t>
      </w:r>
    </w:p>
    <w:p w14:paraId="50F66BE0" w14:textId="77777777" w:rsidR="00790740" w:rsidRDefault="00790740" w:rsidP="00563CD7">
      <w:pPr>
        <w:rPr>
          <w:bCs/>
        </w:rPr>
      </w:pPr>
    </w:p>
    <w:p w14:paraId="1742724C" w14:textId="0EA02FE5" w:rsidR="00563CD7" w:rsidRDefault="00790740" w:rsidP="00563CD7">
      <w:pPr>
        <w:rPr>
          <w:bCs/>
        </w:rPr>
      </w:pPr>
      <w:r w:rsidRPr="00B6120F">
        <w:rPr>
          <w:bCs/>
        </w:rPr>
        <w:t>Note 3:</w:t>
      </w:r>
      <w:r w:rsidR="00563CD7" w:rsidRPr="00B6120F">
        <w:rPr>
          <w:bCs/>
        </w:rPr>
        <w:t xml:space="preserve"> </w:t>
      </w:r>
      <w:r w:rsidR="004F430C" w:rsidRPr="004F430C">
        <w:rPr>
          <w:bCs/>
        </w:rPr>
        <w:t xml:space="preserve">Throughout this subsection, the culture of safety survey referenced in each practice element refers to one administered in the last </w:t>
      </w:r>
      <w:r w:rsidR="00E725B5">
        <w:rPr>
          <w:bCs/>
        </w:rPr>
        <w:t>24</w:t>
      </w:r>
      <w:r w:rsidR="004F430C" w:rsidRPr="004F430C">
        <w:rPr>
          <w:bCs/>
        </w:rPr>
        <w:t xml:space="preserve"> months as indicated in 2.1a. This means that the same culture of safety survey should be used when responding to each practice element.</w:t>
      </w:r>
    </w:p>
    <w:p w14:paraId="092F75D2" w14:textId="77777777" w:rsidR="004A10F5" w:rsidRDefault="004A10F5" w:rsidP="00563CD7">
      <w:pPr>
        <w:rPr>
          <w:bCs/>
        </w:rPr>
      </w:pPr>
    </w:p>
    <w:p w14:paraId="301CD56C" w14:textId="541BB9C1" w:rsidR="004A10F5" w:rsidRDefault="004A10F5" w:rsidP="00563CD7">
      <w:pPr>
        <w:rPr>
          <w:bCs/>
        </w:rPr>
      </w:pPr>
      <w:r>
        <w:rPr>
          <w:rFonts w:cs="Arial"/>
          <w:b/>
          <w:snapToGrid w:val="0"/>
        </w:rPr>
        <w:t>Specifications:</w:t>
      </w:r>
      <w:r>
        <w:rPr>
          <w:rFonts w:cs="Arial"/>
          <w:snapToGrid w:val="0"/>
        </w:rPr>
        <w:t xml:space="preserve"> See </w:t>
      </w:r>
      <w:hyperlink w:anchor="_NQF_Safe_Practice" w:history="1">
        <w:r>
          <w:rPr>
            <w:rStyle w:val="Hyperlink"/>
            <w:rFonts w:cs="Arial"/>
            <w:b/>
            <w:i/>
          </w:rPr>
          <w:t>NQF Safe Practice Measure Specifications</w:t>
        </w:r>
      </w:hyperlink>
      <w:r>
        <w:rPr>
          <w:rFonts w:cs="Arial"/>
        </w:rPr>
        <w:t xml:space="preserve"> </w:t>
      </w:r>
      <w:r>
        <w:rPr>
          <w:rFonts w:cs="Arial"/>
          <w:snapToGrid w:val="0"/>
        </w:rPr>
        <w:t xml:space="preserve">in the Reference Information </w:t>
      </w:r>
      <w:r>
        <w:rPr>
          <w:rFonts w:cs="Arial"/>
        </w:rPr>
        <w:t>beginning on page</w:t>
      </w:r>
      <w:r w:rsidR="00B0491B">
        <w:rPr>
          <w:rFonts w:cs="Arial"/>
        </w:rPr>
        <w:t xml:space="preserve"> 23</w:t>
      </w:r>
      <w:r w:rsidR="00610589">
        <w:rPr>
          <w:rFonts w:cs="Arial"/>
        </w:rPr>
        <w:t>7</w:t>
      </w:r>
      <w:r>
        <w:rPr>
          <w:rFonts w:cs="Arial"/>
        </w:rPr>
        <w:t>.</w:t>
      </w:r>
    </w:p>
    <w:p w14:paraId="3E7D138A" w14:textId="77777777" w:rsidR="00AD5731" w:rsidRDefault="00AD5731" w:rsidP="00563CD7">
      <w:pPr>
        <w:rPr>
          <w:bCs/>
        </w:rPr>
      </w:pPr>
    </w:p>
    <w:p w14:paraId="6F44D7F3" w14:textId="63C77EDF" w:rsidR="00AD5731" w:rsidRDefault="00AD5731" w:rsidP="00AB5B80">
      <w:pPr>
        <w:pStyle w:val="Heading3"/>
      </w:pPr>
      <w:bookmarkStart w:id="473" w:name="_Toc225877777"/>
      <w:r>
        <w:t>Awareness</w:t>
      </w:r>
      <w:bookmarkEnd w:id="473"/>
    </w:p>
    <w:p w14:paraId="35011948" w14:textId="77777777" w:rsidR="00AD5731" w:rsidRDefault="00AD5731" w:rsidP="00563CD7">
      <w:pPr>
        <w:rPr>
          <w:b/>
          <w:bCs/>
          <w:i/>
        </w:rPr>
      </w:pPr>
    </w:p>
    <w:tbl>
      <w:tblPr>
        <w:tblStyle w:val="TableGrid"/>
        <w:tblW w:w="9625" w:type="dxa"/>
        <w:tblLook w:val="04A0" w:firstRow="1" w:lastRow="0" w:firstColumn="1" w:lastColumn="0" w:noHBand="0" w:noVBand="1"/>
      </w:tblPr>
      <w:tblGrid>
        <w:gridCol w:w="8338"/>
        <w:gridCol w:w="1287"/>
      </w:tblGrid>
      <w:tr w:rsidR="00AD5731" w14:paraId="6AAB6AD0" w14:textId="77777777" w:rsidTr="00EC4DCE">
        <w:tc>
          <w:tcPr>
            <w:tcW w:w="9625" w:type="dxa"/>
            <w:gridSpan w:val="2"/>
          </w:tcPr>
          <w:p w14:paraId="1258907B" w14:textId="091DA46D" w:rsidR="00AD5731" w:rsidRDefault="00AD5731" w:rsidP="00AD309C">
            <w:pPr>
              <w:pStyle w:val="ListParagraph"/>
              <w:numPr>
                <w:ilvl w:val="1"/>
                <w:numId w:val="275"/>
              </w:numPr>
              <w:jc w:val="both"/>
            </w:pPr>
            <w:r w:rsidRPr="00C15F23">
              <w:rPr>
                <w:b/>
              </w:rPr>
              <w:t>Within the last 24 months, in regard to culture measurement, our organization has done the following:</w:t>
            </w:r>
          </w:p>
        </w:tc>
      </w:tr>
      <w:tr w:rsidR="00AD5731" w14:paraId="59488F28" w14:textId="77777777" w:rsidTr="00C15F23">
        <w:tc>
          <w:tcPr>
            <w:tcW w:w="8338" w:type="dxa"/>
            <w:vAlign w:val="center"/>
          </w:tcPr>
          <w:p w14:paraId="2D67133E" w14:textId="6E351F80" w:rsidR="00AD5731" w:rsidRPr="00AD5731" w:rsidRDefault="00AD5731" w:rsidP="00AD309C">
            <w:pPr>
              <w:pStyle w:val="ListParagraph"/>
              <w:numPr>
                <w:ilvl w:val="0"/>
                <w:numId w:val="276"/>
              </w:numPr>
              <w:rPr>
                <w:i/>
                <w:sz w:val="16"/>
                <w:szCs w:val="16"/>
              </w:rPr>
            </w:pPr>
            <w:r w:rsidRPr="004E58E4">
              <w:t xml:space="preserve">conducted a </w:t>
            </w:r>
            <w:hyperlink w:anchor="SP2_1a_CultureSurvey" w:history="1">
              <w:r w:rsidRPr="004E58E4">
                <w:rPr>
                  <w:rStyle w:val="Hyperlink"/>
                </w:rPr>
                <w:t>culture of safety survey</w:t>
              </w:r>
            </w:hyperlink>
            <w:r w:rsidRPr="004E58E4">
              <w:t xml:space="preserve"> of our employees using a nationally recognized tool that has demonstrated validity, consistency, and reliability. The units surveyed account for at least 50% of the aggregated care delivered to patients within the </w:t>
            </w:r>
            <w:r>
              <w:rPr>
                <w:noProof/>
              </w:rPr>
              <w:t>hospital</w:t>
            </w:r>
            <w:r w:rsidRPr="004E58E4">
              <w:t xml:space="preserve"> and include the high patient safety risk units or departments</w:t>
            </w:r>
            <w:r w:rsidRPr="00AD5731">
              <w:rPr>
                <w:i/>
                <w:noProof/>
                <w:sz w:val="16"/>
                <w:szCs w:val="16"/>
              </w:rPr>
              <w:t xml:space="preserve">. </w:t>
            </w:r>
            <w:r w:rsidRPr="008306A5">
              <w:rPr>
                <w:noProof/>
              </w:rPr>
              <w:t>(</w:t>
            </w:r>
            <w:r w:rsidRPr="004E58E4">
              <w:t>p.88)</w:t>
            </w:r>
            <w:r w:rsidRPr="00AD5731">
              <w:rPr>
                <w:i/>
                <w:sz w:val="16"/>
                <w:szCs w:val="16"/>
              </w:rPr>
              <w:t xml:space="preserve"> </w:t>
            </w:r>
          </w:p>
          <w:p w14:paraId="6659EF30" w14:textId="77777777" w:rsidR="00AD5731" w:rsidRPr="004E58E4" w:rsidRDefault="00AD5731" w:rsidP="00AD5731">
            <w:pPr>
              <w:rPr>
                <w:i/>
                <w:sz w:val="16"/>
                <w:szCs w:val="16"/>
              </w:rPr>
            </w:pPr>
          </w:p>
          <w:p w14:paraId="4D2DAD3D" w14:textId="161B1A25" w:rsidR="00AD5731" w:rsidRPr="00C15F23" w:rsidRDefault="00AD5731" w:rsidP="00C15F23">
            <w:pPr>
              <w:pStyle w:val="ListParagraph"/>
              <w:rPr>
                <w:bCs/>
                <w:i/>
              </w:rPr>
            </w:pPr>
            <w:r w:rsidRPr="00C15F23">
              <w:rPr>
                <w:bCs/>
                <w:i/>
              </w:rPr>
              <w:t>If “no” to question 2.1a, skip the remaining questions in Section 6B and continue to the next subsection.</w:t>
            </w:r>
            <w:r w:rsidRPr="00AD5731">
              <w:rPr>
                <w:bCs/>
                <w:i/>
              </w:rPr>
              <w:t xml:space="preserve"> The hospital will be scored as “Limited Achievement.”</w:t>
            </w:r>
          </w:p>
        </w:tc>
        <w:tc>
          <w:tcPr>
            <w:tcW w:w="1287" w:type="dxa"/>
            <w:vAlign w:val="center"/>
          </w:tcPr>
          <w:p w14:paraId="6C5BEAC7" w14:textId="77777777" w:rsidR="00AD5731" w:rsidRDefault="00AD5731" w:rsidP="00AD309C">
            <w:pPr>
              <w:pStyle w:val="ListParagraph"/>
              <w:numPr>
                <w:ilvl w:val="0"/>
                <w:numId w:val="249"/>
              </w:numPr>
            </w:pPr>
            <w:r>
              <w:t>Yes</w:t>
            </w:r>
          </w:p>
          <w:p w14:paraId="1D4ACA88" w14:textId="77777777" w:rsidR="00AD5731" w:rsidRDefault="00AD5731" w:rsidP="00AD309C">
            <w:pPr>
              <w:pStyle w:val="ListParagraph"/>
              <w:numPr>
                <w:ilvl w:val="0"/>
                <w:numId w:val="249"/>
              </w:numPr>
            </w:pPr>
            <w:r>
              <w:t>No</w:t>
            </w:r>
          </w:p>
        </w:tc>
      </w:tr>
      <w:tr w:rsidR="00AD5731" w14:paraId="0D22DEC3" w14:textId="77777777" w:rsidTr="00C15F23">
        <w:tc>
          <w:tcPr>
            <w:tcW w:w="8338" w:type="dxa"/>
            <w:vAlign w:val="center"/>
          </w:tcPr>
          <w:p w14:paraId="4FA8E3DF" w14:textId="06308CB8" w:rsidR="00AD5731" w:rsidRDefault="00AD5731" w:rsidP="00AD309C">
            <w:pPr>
              <w:pStyle w:val="ListParagraph"/>
              <w:numPr>
                <w:ilvl w:val="0"/>
                <w:numId w:val="276"/>
              </w:numPr>
            </w:pPr>
            <w:r w:rsidRPr="004E58E4">
              <w:t xml:space="preserve">portrayed the results of the culture </w:t>
            </w:r>
            <w:r>
              <w:t xml:space="preserve">of safety </w:t>
            </w:r>
            <w:r w:rsidRPr="004E58E4">
              <w:t>survey in a report, which reflects both hospital-wide and individual unit level results, as applicable. (p.88)</w:t>
            </w:r>
          </w:p>
        </w:tc>
        <w:tc>
          <w:tcPr>
            <w:tcW w:w="1287" w:type="dxa"/>
            <w:vAlign w:val="center"/>
          </w:tcPr>
          <w:p w14:paraId="1D3AC2E5" w14:textId="77777777" w:rsidR="00AD5731" w:rsidRDefault="00AD5731" w:rsidP="00AD309C">
            <w:pPr>
              <w:pStyle w:val="ListParagraph"/>
              <w:numPr>
                <w:ilvl w:val="0"/>
                <w:numId w:val="249"/>
              </w:numPr>
            </w:pPr>
            <w:r>
              <w:t>Yes</w:t>
            </w:r>
          </w:p>
          <w:p w14:paraId="72539FB5" w14:textId="77777777" w:rsidR="00AD5731" w:rsidRDefault="00AD5731" w:rsidP="00AD309C">
            <w:pPr>
              <w:pStyle w:val="ListParagraph"/>
              <w:numPr>
                <w:ilvl w:val="0"/>
                <w:numId w:val="249"/>
              </w:numPr>
            </w:pPr>
            <w:r>
              <w:t>No</w:t>
            </w:r>
          </w:p>
        </w:tc>
      </w:tr>
      <w:tr w:rsidR="00AD5731" w14:paraId="445D5F42" w14:textId="77777777" w:rsidTr="00C15F23">
        <w:tc>
          <w:tcPr>
            <w:tcW w:w="8338" w:type="dxa"/>
            <w:vAlign w:val="center"/>
          </w:tcPr>
          <w:p w14:paraId="0DC8A9FF" w14:textId="1EBBCEEF" w:rsidR="00AD5731" w:rsidRDefault="00AD5731" w:rsidP="00AD309C">
            <w:pPr>
              <w:pStyle w:val="ListParagraph"/>
              <w:numPr>
                <w:ilvl w:val="0"/>
                <w:numId w:val="276"/>
              </w:numPr>
            </w:pPr>
            <w:hyperlink w:anchor="SP2_1c" w:history="1">
              <w:r w:rsidRPr="004E58E4">
                <w:rPr>
                  <w:rStyle w:val="Hyperlink"/>
                </w:rPr>
                <w:t>benchmarked</w:t>
              </w:r>
            </w:hyperlink>
            <w:r>
              <w:t xml:space="preserve"> </w:t>
            </w:r>
            <w:r w:rsidRPr="004E58E4">
              <w:t xml:space="preserve">results of the culture </w:t>
            </w:r>
            <w:r>
              <w:t xml:space="preserve">of safety </w:t>
            </w:r>
            <w:r w:rsidRPr="004E58E4">
              <w:t>survey against external organizations, such as “like” hospitals or other hospitals within the same health system.</w:t>
            </w:r>
          </w:p>
        </w:tc>
        <w:tc>
          <w:tcPr>
            <w:tcW w:w="1287" w:type="dxa"/>
            <w:vAlign w:val="center"/>
          </w:tcPr>
          <w:p w14:paraId="662E563B" w14:textId="77777777" w:rsidR="00AD5731" w:rsidRDefault="00AD5731" w:rsidP="00AD309C">
            <w:pPr>
              <w:pStyle w:val="ListParagraph"/>
              <w:numPr>
                <w:ilvl w:val="0"/>
                <w:numId w:val="249"/>
              </w:numPr>
            </w:pPr>
            <w:r>
              <w:t>Yes</w:t>
            </w:r>
          </w:p>
          <w:p w14:paraId="1AAEF0EC" w14:textId="77777777" w:rsidR="00AD5731" w:rsidRDefault="00AD5731" w:rsidP="00AD309C">
            <w:pPr>
              <w:pStyle w:val="ListParagraph"/>
              <w:numPr>
                <w:ilvl w:val="0"/>
                <w:numId w:val="249"/>
              </w:numPr>
            </w:pPr>
            <w:r>
              <w:t>No</w:t>
            </w:r>
          </w:p>
        </w:tc>
      </w:tr>
      <w:tr w:rsidR="00AD5731" w14:paraId="52794475" w14:textId="77777777" w:rsidTr="00C15F23">
        <w:tc>
          <w:tcPr>
            <w:tcW w:w="8338" w:type="dxa"/>
            <w:vAlign w:val="center"/>
          </w:tcPr>
          <w:p w14:paraId="78FD52F6" w14:textId="79988299" w:rsidR="00AD5731" w:rsidRPr="00C15F23" w:rsidRDefault="00AD5731" w:rsidP="00AD309C">
            <w:pPr>
              <w:pStyle w:val="ListParagraph"/>
              <w:numPr>
                <w:ilvl w:val="0"/>
                <w:numId w:val="276"/>
              </w:numPr>
            </w:pPr>
            <w:r w:rsidRPr="004E58E4">
              <w:t xml:space="preserve">compared results of the culture </w:t>
            </w:r>
            <w:r>
              <w:t xml:space="preserve">of safety </w:t>
            </w:r>
            <w:r w:rsidRPr="004E58E4">
              <w:t xml:space="preserve">surveys across </w:t>
            </w:r>
            <w:hyperlink w:anchor="SP2_1d" w:history="1">
              <w:r w:rsidRPr="004E58E4">
                <w:rPr>
                  <w:rStyle w:val="Hyperlink"/>
                </w:rPr>
                <w:t>roles and staff levels</w:t>
              </w:r>
            </w:hyperlink>
            <w:r w:rsidRPr="004E58E4">
              <w:t>.</w:t>
            </w:r>
          </w:p>
        </w:tc>
        <w:tc>
          <w:tcPr>
            <w:tcW w:w="1287" w:type="dxa"/>
            <w:vAlign w:val="center"/>
          </w:tcPr>
          <w:p w14:paraId="2964A0C1" w14:textId="77777777" w:rsidR="00AD5731" w:rsidRDefault="00AD5731" w:rsidP="00AD309C">
            <w:pPr>
              <w:pStyle w:val="ListParagraph"/>
              <w:numPr>
                <w:ilvl w:val="0"/>
                <w:numId w:val="249"/>
              </w:numPr>
            </w:pPr>
            <w:r>
              <w:t>Yes</w:t>
            </w:r>
          </w:p>
          <w:p w14:paraId="1477C97C" w14:textId="77777777" w:rsidR="00AD5731" w:rsidRDefault="00AD5731" w:rsidP="00AD309C">
            <w:pPr>
              <w:pStyle w:val="ListParagraph"/>
              <w:numPr>
                <w:ilvl w:val="0"/>
                <w:numId w:val="249"/>
              </w:numPr>
            </w:pPr>
            <w:r>
              <w:t>No</w:t>
            </w:r>
          </w:p>
        </w:tc>
      </w:tr>
      <w:tr w:rsidR="00AD5731" w14:paraId="2547B786" w14:textId="77777777" w:rsidTr="00C15F23">
        <w:tc>
          <w:tcPr>
            <w:tcW w:w="8338" w:type="dxa"/>
            <w:vAlign w:val="center"/>
          </w:tcPr>
          <w:p w14:paraId="11440F01" w14:textId="662E12FA" w:rsidR="00AD5731" w:rsidRDefault="00AD5731" w:rsidP="00AD309C">
            <w:pPr>
              <w:pStyle w:val="ListParagraph"/>
              <w:numPr>
                <w:ilvl w:val="0"/>
                <w:numId w:val="276"/>
              </w:numPr>
            </w:pPr>
            <w:hyperlink w:anchor="ForthepurposesofreportingonSection6" w:history="1">
              <w:r>
                <w:rPr>
                  <w:rStyle w:val="Hyperlink"/>
                </w:rPr>
                <w:t>service line, midlevel managers, or senior administrative leaders</w:t>
              </w:r>
            </w:hyperlink>
            <w:r>
              <w:t xml:space="preserve"> </w:t>
            </w:r>
            <w:r w:rsidRPr="004E58E4">
              <w:t>used the results of the culture</w:t>
            </w:r>
            <w:r>
              <w:t xml:space="preserve"> of safety</w:t>
            </w:r>
            <w:r w:rsidRPr="004E58E4">
              <w:t xml:space="preserve"> survey to </w:t>
            </w:r>
            <w:hyperlink w:anchor="SP2_1e_vs_2_4b" w:history="1">
              <w:r w:rsidRPr="004E58E4">
                <w:rPr>
                  <w:rStyle w:val="Hyperlink"/>
                </w:rPr>
                <w:t>debrief</w:t>
              </w:r>
            </w:hyperlink>
            <w:r w:rsidRPr="004E58E4">
              <w:t xml:space="preserve"> at the relevant unit level, using semi-structured approaches for the debriefings and presenting results in aggregate form to ensure the anonymity of survey respondents.</w:t>
            </w:r>
          </w:p>
        </w:tc>
        <w:tc>
          <w:tcPr>
            <w:tcW w:w="1287" w:type="dxa"/>
            <w:vAlign w:val="center"/>
          </w:tcPr>
          <w:p w14:paraId="7B004C50" w14:textId="77777777" w:rsidR="00AD5731" w:rsidRDefault="00AD5731" w:rsidP="00AD309C">
            <w:pPr>
              <w:pStyle w:val="ListParagraph"/>
              <w:numPr>
                <w:ilvl w:val="0"/>
                <w:numId w:val="249"/>
              </w:numPr>
            </w:pPr>
            <w:r>
              <w:t>Yes</w:t>
            </w:r>
          </w:p>
          <w:p w14:paraId="557C86AE" w14:textId="77777777" w:rsidR="00AD5731" w:rsidRDefault="00AD5731" w:rsidP="00AD309C">
            <w:pPr>
              <w:pStyle w:val="ListParagraph"/>
              <w:numPr>
                <w:ilvl w:val="0"/>
                <w:numId w:val="249"/>
              </w:numPr>
            </w:pPr>
            <w:r>
              <w:t>No</w:t>
            </w:r>
          </w:p>
        </w:tc>
      </w:tr>
    </w:tbl>
    <w:p w14:paraId="7336A4AE" w14:textId="77777777" w:rsidR="00AD5731" w:rsidRDefault="00AD5731" w:rsidP="00563CD7">
      <w:pPr>
        <w:rPr>
          <w:b/>
          <w:bCs/>
          <w:i/>
        </w:rPr>
      </w:pPr>
    </w:p>
    <w:p w14:paraId="1E66FA36" w14:textId="05E6CF03" w:rsidR="00AD5731" w:rsidRDefault="00AD5731" w:rsidP="00AB5B80">
      <w:pPr>
        <w:pStyle w:val="Heading3"/>
      </w:pPr>
      <w:bookmarkStart w:id="474" w:name="_Toc225877778"/>
      <w:r>
        <w:t>Accountability</w:t>
      </w:r>
      <w:bookmarkEnd w:id="474"/>
      <w:r>
        <w:t xml:space="preserve"> </w:t>
      </w:r>
    </w:p>
    <w:p w14:paraId="4EA96A9D" w14:textId="77777777" w:rsidR="00AD5731" w:rsidRDefault="00AD5731" w:rsidP="00563CD7">
      <w:pPr>
        <w:rPr>
          <w:b/>
          <w:bCs/>
          <w:i/>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5"/>
        <w:gridCol w:w="1645"/>
      </w:tblGrid>
      <w:tr w:rsidR="00AD5731" w14:paraId="5333F0DC" w14:textId="77777777" w:rsidTr="00EC4DCE">
        <w:trPr>
          <w:cantSplit/>
        </w:trPr>
        <w:tc>
          <w:tcPr>
            <w:tcW w:w="9630" w:type="dxa"/>
            <w:gridSpan w:val="2"/>
            <w:tcBorders>
              <w:bottom w:val="nil"/>
            </w:tcBorders>
          </w:tcPr>
          <w:p w14:paraId="6452AFED" w14:textId="13118D55" w:rsidR="00AD5731" w:rsidRPr="00AD5731" w:rsidRDefault="00AD5731" w:rsidP="00AD309C">
            <w:pPr>
              <w:pStyle w:val="ListParagraph"/>
              <w:numPr>
                <w:ilvl w:val="1"/>
                <w:numId w:val="275"/>
              </w:numPr>
              <w:rPr>
                <w:b/>
              </w:rPr>
            </w:pPr>
            <w:r>
              <w:rPr>
                <w:b/>
              </w:rPr>
              <w:t>Within the last 24 months, i</w:t>
            </w:r>
            <w:r w:rsidRPr="006E5009">
              <w:rPr>
                <w:b/>
              </w:rPr>
              <w:t xml:space="preserve">n regard to accountability for improvements in </w:t>
            </w:r>
            <w:r w:rsidRPr="007E31B4">
              <w:rPr>
                <w:b/>
              </w:rPr>
              <w:t>culture measurement,</w:t>
            </w:r>
            <w:r w:rsidRPr="006E5009">
              <w:rPr>
                <w:b/>
              </w:rPr>
              <w:t xml:space="preserve"> our organization has done the following</w:t>
            </w:r>
            <w:r>
              <w:rPr>
                <w:b/>
              </w:rPr>
              <w:t>:</w:t>
            </w:r>
          </w:p>
        </w:tc>
      </w:tr>
      <w:tr w:rsidR="00AD5731" w14:paraId="030BBB45" w14:textId="77777777" w:rsidTr="00AD5731">
        <w:trPr>
          <w:cantSplit/>
        </w:trPr>
        <w:tc>
          <w:tcPr>
            <w:tcW w:w="7985" w:type="dxa"/>
          </w:tcPr>
          <w:p w14:paraId="0AAC18FE" w14:textId="31738A55" w:rsidR="00AD5731" w:rsidRPr="00AD5731" w:rsidRDefault="00AD5731" w:rsidP="00AD309C">
            <w:pPr>
              <w:pStyle w:val="ListParagraph"/>
              <w:numPr>
                <w:ilvl w:val="0"/>
                <w:numId w:val="277"/>
              </w:numPr>
            </w:pPr>
            <w:r w:rsidRPr="004E58E4">
              <w:t xml:space="preserve">shared the results of the culture </w:t>
            </w:r>
            <w:r>
              <w:t>of safety</w:t>
            </w:r>
            <w:r w:rsidRPr="004E58E4">
              <w:t xml:space="preserve"> survey with the </w:t>
            </w:r>
            <w:hyperlink w:anchor="Board" w:history="1">
              <w:r w:rsidRPr="004E58E4">
                <w:rPr>
                  <w:rStyle w:val="Hyperlink"/>
                </w:rPr>
                <w:t>board</w:t>
              </w:r>
            </w:hyperlink>
            <w:r w:rsidRPr="004E58E4">
              <w:t xml:space="preserve"> (governance) and </w:t>
            </w:r>
            <w:hyperlink w:anchor="SeniorAdministrativeLeadership" w:history="1">
              <w:r w:rsidRPr="004E58E4">
                <w:rPr>
                  <w:rStyle w:val="Hyperlink"/>
                </w:rPr>
                <w:t>senior administrative leadership</w:t>
              </w:r>
            </w:hyperlink>
            <w:r w:rsidRPr="004E58E4">
              <w:t xml:space="preserve"> in a formal report and discussion. (p.88)</w:t>
            </w:r>
          </w:p>
        </w:tc>
        <w:tc>
          <w:tcPr>
            <w:tcW w:w="1645" w:type="dxa"/>
            <w:vAlign w:val="center"/>
          </w:tcPr>
          <w:p w14:paraId="07477F6D" w14:textId="77777777" w:rsidR="00AD5731" w:rsidRDefault="00AD5731" w:rsidP="00AD309C">
            <w:pPr>
              <w:pStyle w:val="ListParagraph"/>
              <w:numPr>
                <w:ilvl w:val="0"/>
                <w:numId w:val="254"/>
              </w:numPr>
            </w:pPr>
            <w:r>
              <w:t>Yes</w:t>
            </w:r>
          </w:p>
          <w:p w14:paraId="5CF02015" w14:textId="77777777" w:rsidR="00AD5731" w:rsidRPr="000B7447" w:rsidRDefault="00AD5731" w:rsidP="00AD309C">
            <w:pPr>
              <w:pStyle w:val="ListParagraph"/>
              <w:numPr>
                <w:ilvl w:val="0"/>
                <w:numId w:val="254"/>
              </w:numPr>
              <w:rPr>
                <w:b/>
              </w:rPr>
            </w:pPr>
            <w:r>
              <w:t>No</w:t>
            </w:r>
          </w:p>
        </w:tc>
      </w:tr>
      <w:tr w:rsidR="00AD5731" w14:paraId="5E52917B" w14:textId="77777777" w:rsidTr="00AD5731">
        <w:trPr>
          <w:cantSplit/>
        </w:trPr>
        <w:tc>
          <w:tcPr>
            <w:tcW w:w="7985" w:type="dxa"/>
            <w:tcBorders>
              <w:bottom w:val="single" w:sz="4" w:space="0" w:color="auto"/>
            </w:tcBorders>
          </w:tcPr>
          <w:p w14:paraId="158BD679" w14:textId="0149FD38" w:rsidR="00AD5731" w:rsidRPr="004E58E4" w:rsidRDefault="00AD5731" w:rsidP="00AD309C">
            <w:pPr>
              <w:pStyle w:val="ListParagraph"/>
              <w:numPr>
                <w:ilvl w:val="0"/>
                <w:numId w:val="277"/>
              </w:numPr>
            </w:pPr>
            <w:r w:rsidRPr="004E58E4">
              <w:t xml:space="preserve">included in </w:t>
            </w:r>
            <w:hyperlink w:anchor="SP2_2c" w:history="1">
              <w:r w:rsidRPr="004E58E4">
                <w:rPr>
                  <w:rStyle w:val="Hyperlink"/>
                </w:rPr>
                <w:t>performance evaluation criteria</w:t>
              </w:r>
            </w:hyperlink>
            <w:r w:rsidRPr="004E58E4">
              <w:t xml:space="preserve"> for </w:t>
            </w:r>
            <w:hyperlink w:anchor="SeniorAdministrativeLeadership" w:history="1">
              <w:r w:rsidRPr="004E58E4">
                <w:rPr>
                  <w:rStyle w:val="Hyperlink"/>
                </w:rPr>
                <w:t>senior administrative leadership</w:t>
              </w:r>
            </w:hyperlink>
            <w:r w:rsidRPr="004E58E4">
              <w:t xml:space="preserve"> both the response rates to the </w:t>
            </w:r>
            <w:r>
              <w:t xml:space="preserve">culture of safety </w:t>
            </w:r>
            <w:r w:rsidRPr="004E58E4">
              <w:t xml:space="preserve">survey and the use of the </w:t>
            </w:r>
            <w:r>
              <w:t xml:space="preserve">culture of safety </w:t>
            </w:r>
            <w:r w:rsidRPr="004E58E4">
              <w:t>survey results in the improvement efforts.</w:t>
            </w:r>
          </w:p>
        </w:tc>
        <w:tc>
          <w:tcPr>
            <w:tcW w:w="1645" w:type="dxa"/>
            <w:tcBorders>
              <w:bottom w:val="single" w:sz="4" w:space="0" w:color="auto"/>
            </w:tcBorders>
            <w:vAlign w:val="center"/>
          </w:tcPr>
          <w:p w14:paraId="5C2A77DE" w14:textId="77777777" w:rsidR="00AD5731" w:rsidRDefault="00AD5731" w:rsidP="00AD309C">
            <w:pPr>
              <w:pStyle w:val="ListParagraph"/>
              <w:numPr>
                <w:ilvl w:val="0"/>
                <w:numId w:val="254"/>
              </w:numPr>
            </w:pPr>
            <w:r>
              <w:t>Yes</w:t>
            </w:r>
          </w:p>
          <w:p w14:paraId="30AFAB7C" w14:textId="64457668" w:rsidR="00AD5731" w:rsidRDefault="00AD5731" w:rsidP="00AD309C">
            <w:pPr>
              <w:pStyle w:val="ListParagraph"/>
              <w:numPr>
                <w:ilvl w:val="0"/>
                <w:numId w:val="254"/>
              </w:numPr>
            </w:pPr>
            <w:r>
              <w:t>No</w:t>
            </w:r>
          </w:p>
        </w:tc>
      </w:tr>
    </w:tbl>
    <w:p w14:paraId="751F00B2" w14:textId="77777777" w:rsidR="00AD5731" w:rsidRDefault="00AD5731" w:rsidP="00AD5731"/>
    <w:p w14:paraId="252A39C3" w14:textId="77777777" w:rsidR="00AD5731" w:rsidRDefault="00AD5731" w:rsidP="00AD5731"/>
    <w:p w14:paraId="4ECBB20C" w14:textId="77777777" w:rsidR="00AD5731" w:rsidRDefault="00AD5731" w:rsidP="00563CD7">
      <w:pPr>
        <w:rPr>
          <w:b/>
          <w:bCs/>
          <w:i/>
        </w:rPr>
      </w:pPr>
    </w:p>
    <w:p w14:paraId="0F20E87F" w14:textId="19986DDF" w:rsidR="00AD5731" w:rsidRDefault="00AD5731" w:rsidP="00AB5B80">
      <w:pPr>
        <w:pStyle w:val="Heading3"/>
      </w:pPr>
      <w:bookmarkStart w:id="475" w:name="_Toc225877779"/>
      <w:r>
        <w:t>Ability</w:t>
      </w:r>
      <w:bookmarkEnd w:id="475"/>
      <w:r>
        <w:t xml:space="preserve"> </w:t>
      </w:r>
    </w:p>
    <w:p w14:paraId="3D63EB14" w14:textId="77777777" w:rsidR="00AD5731" w:rsidRDefault="00AD5731" w:rsidP="00563CD7">
      <w:pPr>
        <w:rPr>
          <w:b/>
          <w:bCs/>
          <w:i/>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5"/>
        <w:gridCol w:w="1645"/>
      </w:tblGrid>
      <w:tr w:rsidR="00AD5731" w14:paraId="16852619" w14:textId="77777777" w:rsidTr="00EC4DCE">
        <w:trPr>
          <w:cantSplit/>
        </w:trPr>
        <w:tc>
          <w:tcPr>
            <w:tcW w:w="9630" w:type="dxa"/>
            <w:gridSpan w:val="2"/>
            <w:tcBorders>
              <w:bottom w:val="nil"/>
            </w:tcBorders>
          </w:tcPr>
          <w:p w14:paraId="3EE29BF0" w14:textId="69F59111" w:rsidR="00AD5731" w:rsidRPr="00AD5731" w:rsidRDefault="00AD5731" w:rsidP="00AD309C">
            <w:pPr>
              <w:pStyle w:val="ListParagraph"/>
              <w:numPr>
                <w:ilvl w:val="1"/>
                <w:numId w:val="275"/>
              </w:numPr>
              <w:rPr>
                <w:b/>
              </w:rPr>
            </w:pPr>
            <w:r>
              <w:rPr>
                <w:b/>
              </w:rPr>
              <w:t xml:space="preserve">Within the last 12 months, in regard to </w:t>
            </w:r>
            <w:r w:rsidRPr="007E31B4">
              <w:rPr>
                <w:b/>
              </w:rPr>
              <w:t>culture measurement,</w:t>
            </w:r>
            <w:r>
              <w:rPr>
                <w:b/>
              </w:rPr>
              <w:t xml:space="preserve"> the organization has done the following (or has had the following in place):</w:t>
            </w:r>
          </w:p>
        </w:tc>
      </w:tr>
      <w:tr w:rsidR="00AD5731" w14:paraId="582A6A4D" w14:textId="77777777" w:rsidTr="00EC4DCE">
        <w:trPr>
          <w:cantSplit/>
        </w:trPr>
        <w:tc>
          <w:tcPr>
            <w:tcW w:w="7985" w:type="dxa"/>
          </w:tcPr>
          <w:p w14:paraId="0D1353BE" w14:textId="2CEC8502" w:rsidR="00AD5731" w:rsidRPr="00AD5731" w:rsidRDefault="00AD5731" w:rsidP="00AD309C">
            <w:pPr>
              <w:pStyle w:val="ListParagraph"/>
              <w:numPr>
                <w:ilvl w:val="0"/>
                <w:numId w:val="278"/>
              </w:numPr>
            </w:pPr>
            <w:r w:rsidRPr="004E58E4">
              <w:t xml:space="preserve">conducted staff </w:t>
            </w:r>
            <w:hyperlink w:anchor="SP2_3a" w:history="1">
              <w:r w:rsidRPr="004E58E4">
                <w:rPr>
                  <w:rStyle w:val="Hyperlink"/>
                </w:rPr>
                <w:t>education program</w:t>
              </w:r>
            </w:hyperlink>
            <w:r w:rsidRPr="004E58E4">
              <w:t>(s) on methods to improve the culture of safety, tailored to the organization’s</w:t>
            </w:r>
            <w:r>
              <w:t xml:space="preserve"> culture of safety</w:t>
            </w:r>
            <w:r w:rsidRPr="004E58E4">
              <w:t xml:space="preserve"> survey results.</w:t>
            </w:r>
          </w:p>
        </w:tc>
        <w:tc>
          <w:tcPr>
            <w:tcW w:w="1645" w:type="dxa"/>
            <w:vAlign w:val="center"/>
          </w:tcPr>
          <w:p w14:paraId="39805E84" w14:textId="77777777" w:rsidR="00AD5731" w:rsidRDefault="00AD5731" w:rsidP="00AD309C">
            <w:pPr>
              <w:pStyle w:val="ListParagraph"/>
              <w:numPr>
                <w:ilvl w:val="0"/>
                <w:numId w:val="254"/>
              </w:numPr>
            </w:pPr>
            <w:r>
              <w:t>Yes</w:t>
            </w:r>
          </w:p>
          <w:p w14:paraId="0CB6B42A" w14:textId="77777777" w:rsidR="00AD5731" w:rsidRPr="000B7447" w:rsidRDefault="00AD5731" w:rsidP="00AD309C">
            <w:pPr>
              <w:pStyle w:val="ListParagraph"/>
              <w:numPr>
                <w:ilvl w:val="0"/>
                <w:numId w:val="254"/>
              </w:numPr>
              <w:rPr>
                <w:b/>
              </w:rPr>
            </w:pPr>
            <w:r>
              <w:t>No</w:t>
            </w:r>
          </w:p>
        </w:tc>
      </w:tr>
      <w:tr w:rsidR="00AD5731" w14:paraId="1BA34632" w14:textId="77777777" w:rsidTr="00EC4DCE">
        <w:trPr>
          <w:cantSplit/>
        </w:trPr>
        <w:tc>
          <w:tcPr>
            <w:tcW w:w="7985" w:type="dxa"/>
            <w:tcBorders>
              <w:bottom w:val="single" w:sz="4" w:space="0" w:color="auto"/>
            </w:tcBorders>
          </w:tcPr>
          <w:p w14:paraId="6E3CEAE8" w14:textId="21520F16" w:rsidR="00AD5731" w:rsidRPr="004E58E4" w:rsidRDefault="00AD5731" w:rsidP="00AD309C">
            <w:pPr>
              <w:pStyle w:val="ListParagraph"/>
              <w:numPr>
                <w:ilvl w:val="0"/>
                <w:numId w:val="278"/>
              </w:numPr>
            </w:pPr>
            <w:r w:rsidRPr="00E725B5">
              <w:t xml:space="preserve">included the costs of culture measurement/follow-up activities in the patient safety program </w:t>
            </w:r>
            <w:hyperlink w:anchor="Budget" w:history="1">
              <w:r w:rsidRPr="00E725B5">
                <w:rPr>
                  <w:rStyle w:val="Hyperlink"/>
                </w:rPr>
                <w:t>budget</w:t>
              </w:r>
            </w:hyperlink>
            <w:r w:rsidRPr="00E725B5">
              <w:t>.</w:t>
            </w:r>
          </w:p>
        </w:tc>
        <w:tc>
          <w:tcPr>
            <w:tcW w:w="1645" w:type="dxa"/>
            <w:tcBorders>
              <w:bottom w:val="single" w:sz="4" w:space="0" w:color="auto"/>
            </w:tcBorders>
            <w:vAlign w:val="center"/>
          </w:tcPr>
          <w:p w14:paraId="320CA571" w14:textId="77777777" w:rsidR="00AD5731" w:rsidRDefault="00AD5731" w:rsidP="00AD309C">
            <w:pPr>
              <w:pStyle w:val="ListParagraph"/>
              <w:numPr>
                <w:ilvl w:val="0"/>
                <w:numId w:val="254"/>
              </w:numPr>
            </w:pPr>
            <w:r>
              <w:t>Yes</w:t>
            </w:r>
          </w:p>
          <w:p w14:paraId="2A33ADE7" w14:textId="77777777" w:rsidR="00AD5731" w:rsidRDefault="00AD5731" w:rsidP="00AD309C">
            <w:pPr>
              <w:pStyle w:val="ListParagraph"/>
              <w:numPr>
                <w:ilvl w:val="0"/>
                <w:numId w:val="254"/>
              </w:numPr>
            </w:pPr>
            <w:r>
              <w:t>No</w:t>
            </w:r>
          </w:p>
        </w:tc>
      </w:tr>
    </w:tbl>
    <w:p w14:paraId="480B1044" w14:textId="77777777" w:rsidR="00AD5731" w:rsidRDefault="00AD5731" w:rsidP="00563CD7">
      <w:pPr>
        <w:rPr>
          <w:b/>
          <w:bCs/>
          <w:i/>
        </w:rPr>
      </w:pPr>
    </w:p>
    <w:p w14:paraId="2B988017" w14:textId="35BEEA1D" w:rsidR="00AD5731" w:rsidRDefault="00AD5731" w:rsidP="00AB5B80">
      <w:pPr>
        <w:pStyle w:val="Heading3"/>
      </w:pPr>
      <w:bookmarkStart w:id="476" w:name="_Action"/>
      <w:bookmarkStart w:id="477" w:name="_Toc225877780"/>
      <w:bookmarkEnd w:id="476"/>
      <w:r>
        <w:t>Action</w:t>
      </w:r>
      <w:bookmarkEnd w:id="477"/>
    </w:p>
    <w:p w14:paraId="3E0FA80F" w14:textId="77777777" w:rsidR="00AD5731" w:rsidRDefault="00AD5731" w:rsidP="00563CD7">
      <w:pPr>
        <w:rPr>
          <w:b/>
          <w:bCs/>
          <w:i/>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5"/>
        <w:gridCol w:w="1645"/>
      </w:tblGrid>
      <w:tr w:rsidR="00AD5731" w14:paraId="1F366E89" w14:textId="77777777" w:rsidTr="00EC4DCE">
        <w:trPr>
          <w:cantSplit/>
        </w:trPr>
        <w:tc>
          <w:tcPr>
            <w:tcW w:w="9630" w:type="dxa"/>
            <w:gridSpan w:val="2"/>
            <w:tcBorders>
              <w:bottom w:val="nil"/>
            </w:tcBorders>
          </w:tcPr>
          <w:p w14:paraId="469D64F2" w14:textId="29ED1724" w:rsidR="00AD5731" w:rsidRPr="00AD5731" w:rsidRDefault="00AD5731" w:rsidP="00AD309C">
            <w:pPr>
              <w:pStyle w:val="ListParagraph"/>
              <w:numPr>
                <w:ilvl w:val="1"/>
                <w:numId w:val="275"/>
              </w:numPr>
              <w:rPr>
                <w:b/>
              </w:rPr>
            </w:pPr>
            <w:r w:rsidRPr="00AD5731">
              <w:rPr>
                <w:b/>
              </w:rPr>
              <w:t xml:space="preserve">Within the </w:t>
            </w:r>
            <w:r w:rsidRPr="00DA16D9">
              <w:rPr>
                <w:b/>
              </w:rPr>
              <w:t xml:space="preserve">last </w:t>
            </w:r>
            <w:r w:rsidR="005852C4" w:rsidRPr="001C4783">
              <w:rPr>
                <w:b/>
              </w:rPr>
              <w:t>12</w:t>
            </w:r>
            <w:r w:rsidRPr="001C4783">
              <w:rPr>
                <w:b/>
              </w:rPr>
              <w:t xml:space="preserve"> months</w:t>
            </w:r>
            <w:r w:rsidRPr="00DA16D9">
              <w:rPr>
                <w:b/>
              </w:rPr>
              <w:t>, in</w:t>
            </w:r>
            <w:r w:rsidRPr="00AD5731">
              <w:rPr>
                <w:b/>
              </w:rPr>
              <w:t xml:space="preserve"> regard to accountability for improvements in culture measurement, our organization has done the following:</w:t>
            </w:r>
          </w:p>
        </w:tc>
      </w:tr>
      <w:tr w:rsidR="00AD5731" w14:paraId="1727A766" w14:textId="77777777" w:rsidTr="00EC4DCE">
        <w:trPr>
          <w:cantSplit/>
        </w:trPr>
        <w:tc>
          <w:tcPr>
            <w:tcW w:w="7985" w:type="dxa"/>
          </w:tcPr>
          <w:p w14:paraId="063B305A" w14:textId="4251402C" w:rsidR="00AD5731" w:rsidRPr="00AD5731" w:rsidRDefault="00AD5731" w:rsidP="00AD309C">
            <w:pPr>
              <w:pStyle w:val="ListParagraph"/>
              <w:numPr>
                <w:ilvl w:val="0"/>
                <w:numId w:val="279"/>
              </w:numPr>
            </w:pPr>
            <w:r>
              <w:t xml:space="preserve">developed or implemented explicit, hospital-wide organizational policies and procedures for regular culture </w:t>
            </w:r>
            <w:r w:rsidRPr="007E31B4">
              <w:t>measurement.</w:t>
            </w:r>
            <w:r>
              <w:t xml:space="preserve"> (p.88)</w:t>
            </w:r>
          </w:p>
        </w:tc>
        <w:tc>
          <w:tcPr>
            <w:tcW w:w="1645" w:type="dxa"/>
            <w:vAlign w:val="center"/>
          </w:tcPr>
          <w:p w14:paraId="27BA911D" w14:textId="77777777" w:rsidR="00AD5731" w:rsidRDefault="00AD5731" w:rsidP="00AD309C">
            <w:pPr>
              <w:pStyle w:val="ListParagraph"/>
              <w:numPr>
                <w:ilvl w:val="0"/>
                <w:numId w:val="254"/>
              </w:numPr>
            </w:pPr>
            <w:r>
              <w:t>Yes</w:t>
            </w:r>
          </w:p>
          <w:p w14:paraId="3B5DC3A7" w14:textId="77777777" w:rsidR="00AD5731" w:rsidRPr="000B7447" w:rsidRDefault="00AD5731" w:rsidP="00AD309C">
            <w:pPr>
              <w:pStyle w:val="ListParagraph"/>
              <w:numPr>
                <w:ilvl w:val="0"/>
                <w:numId w:val="254"/>
              </w:numPr>
              <w:rPr>
                <w:b/>
              </w:rPr>
            </w:pPr>
            <w:r>
              <w:t>No</w:t>
            </w:r>
          </w:p>
        </w:tc>
      </w:tr>
      <w:tr w:rsidR="00AD5731" w14:paraId="52C18D7F" w14:textId="77777777" w:rsidTr="00AD5731">
        <w:trPr>
          <w:cantSplit/>
        </w:trPr>
        <w:tc>
          <w:tcPr>
            <w:tcW w:w="7985" w:type="dxa"/>
          </w:tcPr>
          <w:p w14:paraId="674DC3B4" w14:textId="3385E177" w:rsidR="00AD5731" w:rsidRPr="004E58E4" w:rsidRDefault="00AD5731" w:rsidP="00AD309C">
            <w:pPr>
              <w:pStyle w:val="ListParagraph"/>
              <w:numPr>
                <w:ilvl w:val="0"/>
                <w:numId w:val="279"/>
              </w:numPr>
            </w:pPr>
            <w:hyperlink w:anchor="SP2_1e_vs_2_4b" w:history="1">
              <w:r w:rsidRPr="004E58E4">
                <w:rPr>
                  <w:rStyle w:val="Hyperlink"/>
                </w:rPr>
                <w:t>disseminated</w:t>
              </w:r>
            </w:hyperlink>
            <w:r w:rsidRPr="004E58E4">
              <w:t xml:space="preserve"> the results of the </w:t>
            </w:r>
            <w:r>
              <w:t xml:space="preserve">culture of safety </w:t>
            </w:r>
            <w:r w:rsidRPr="004E58E4">
              <w:t xml:space="preserve">survey widely across the institution, and </w:t>
            </w:r>
            <w:hyperlink w:anchor="SeniorAdministrativeLeadership" w:history="1">
              <w:r w:rsidRPr="004E58E4">
                <w:rPr>
                  <w:rStyle w:val="Hyperlink"/>
                </w:rPr>
                <w:t>senior administrative leadership</w:t>
              </w:r>
            </w:hyperlink>
            <w:r w:rsidRPr="004E58E4">
              <w:t xml:space="preserve"> held follow-up meetings with the sampled units to discuss the unit’s results and concerns.</w:t>
            </w:r>
            <w:r w:rsidRPr="004E58E4" w:rsidDel="006B32BE">
              <w:t xml:space="preserve"> </w:t>
            </w:r>
            <w:r w:rsidRPr="004E58E4">
              <w:t>(p.88)</w:t>
            </w:r>
          </w:p>
        </w:tc>
        <w:tc>
          <w:tcPr>
            <w:tcW w:w="1645" w:type="dxa"/>
            <w:vAlign w:val="center"/>
          </w:tcPr>
          <w:p w14:paraId="2D59AD74" w14:textId="77777777" w:rsidR="00AD5731" w:rsidRDefault="00AD5731" w:rsidP="00AD309C">
            <w:pPr>
              <w:pStyle w:val="ListParagraph"/>
              <w:numPr>
                <w:ilvl w:val="0"/>
                <w:numId w:val="254"/>
              </w:numPr>
            </w:pPr>
            <w:r>
              <w:t>Yes</w:t>
            </w:r>
          </w:p>
          <w:p w14:paraId="6460058B" w14:textId="77777777" w:rsidR="00AD5731" w:rsidRDefault="00AD5731" w:rsidP="00AD309C">
            <w:pPr>
              <w:pStyle w:val="ListParagraph"/>
              <w:numPr>
                <w:ilvl w:val="0"/>
                <w:numId w:val="254"/>
              </w:numPr>
            </w:pPr>
            <w:r>
              <w:t>No</w:t>
            </w:r>
          </w:p>
        </w:tc>
      </w:tr>
      <w:tr w:rsidR="00AD5731" w14:paraId="6C26F80A" w14:textId="77777777" w:rsidTr="00EC4DCE">
        <w:trPr>
          <w:cantSplit/>
        </w:trPr>
        <w:tc>
          <w:tcPr>
            <w:tcW w:w="7985" w:type="dxa"/>
            <w:tcBorders>
              <w:bottom w:val="single" w:sz="4" w:space="0" w:color="auto"/>
            </w:tcBorders>
          </w:tcPr>
          <w:p w14:paraId="1A101C52" w14:textId="7DFCCD97" w:rsidR="00AD5731" w:rsidRPr="004E58E4" w:rsidRDefault="00AD5731" w:rsidP="00AD309C">
            <w:pPr>
              <w:pStyle w:val="ListParagraph"/>
              <w:numPr>
                <w:ilvl w:val="0"/>
                <w:numId w:val="279"/>
              </w:numPr>
            </w:pPr>
            <w:r w:rsidRPr="004E58E4">
              <w:t xml:space="preserve">identified performance improvement interventions based on the </w:t>
            </w:r>
            <w:r>
              <w:t xml:space="preserve">culture of safety </w:t>
            </w:r>
            <w:r w:rsidRPr="004E58E4">
              <w:t xml:space="preserve">survey results, which were shared with </w:t>
            </w:r>
            <w:hyperlink w:anchor="SeniorAdministrativeLeadership" w:history="1">
              <w:r w:rsidRPr="004E58E4">
                <w:rPr>
                  <w:rStyle w:val="Hyperlink"/>
                </w:rPr>
                <w:t>senior administrative leadership</w:t>
              </w:r>
            </w:hyperlink>
            <w:r w:rsidRPr="004E58E4">
              <w:t xml:space="preserve"> and subsequently measured and monitored. (p.88)</w:t>
            </w:r>
          </w:p>
        </w:tc>
        <w:tc>
          <w:tcPr>
            <w:tcW w:w="1645" w:type="dxa"/>
            <w:tcBorders>
              <w:bottom w:val="single" w:sz="4" w:space="0" w:color="auto"/>
            </w:tcBorders>
            <w:vAlign w:val="center"/>
          </w:tcPr>
          <w:p w14:paraId="540A815B" w14:textId="77777777" w:rsidR="00AD5731" w:rsidRDefault="00AD5731" w:rsidP="00AD309C">
            <w:pPr>
              <w:pStyle w:val="ListParagraph"/>
              <w:numPr>
                <w:ilvl w:val="0"/>
                <w:numId w:val="254"/>
              </w:numPr>
            </w:pPr>
            <w:r>
              <w:t>Yes</w:t>
            </w:r>
          </w:p>
          <w:p w14:paraId="771B44AF" w14:textId="32115B06" w:rsidR="00AD5731" w:rsidRDefault="00AD5731" w:rsidP="00AD309C">
            <w:pPr>
              <w:pStyle w:val="ListParagraph"/>
              <w:numPr>
                <w:ilvl w:val="0"/>
                <w:numId w:val="254"/>
              </w:numPr>
            </w:pPr>
            <w:r>
              <w:t>No</w:t>
            </w:r>
          </w:p>
        </w:tc>
      </w:tr>
    </w:tbl>
    <w:p w14:paraId="664AD241" w14:textId="77777777" w:rsidR="00563CD7" w:rsidRPr="004400AA" w:rsidRDefault="00563CD7" w:rsidP="00563CD7">
      <w:pPr>
        <w:rPr>
          <w:b/>
          <w:i/>
        </w:rPr>
      </w:pPr>
    </w:p>
    <w:p w14:paraId="495F97C2" w14:textId="77777777" w:rsidR="00563CD7" w:rsidRDefault="00563CD7" w:rsidP="0060455A"/>
    <w:p w14:paraId="734DD2A0" w14:textId="77777777" w:rsidR="00563CD7" w:rsidRDefault="00563CD7" w:rsidP="00563CD7">
      <w:pPr>
        <w:rPr>
          <w:b/>
          <w:i/>
          <w:sz w:val="24"/>
          <w:szCs w:val="24"/>
          <w:lang w:eastAsia="ja-JP"/>
        </w:rPr>
      </w:pPr>
      <w:r>
        <w:br w:type="page"/>
      </w:r>
    </w:p>
    <w:p w14:paraId="67DC4120" w14:textId="16B1ED71" w:rsidR="00D70E33" w:rsidRDefault="001C45DD" w:rsidP="00CF5A6E">
      <w:pPr>
        <w:pStyle w:val="Heading2"/>
      </w:pPr>
      <w:bookmarkStart w:id="478" w:name="_6C:_Nursing_Workforce"/>
      <w:bookmarkStart w:id="479" w:name="_Toc225877781"/>
      <w:bookmarkEnd w:id="478"/>
      <w:r>
        <w:lastRenderedPageBreak/>
        <w:t>6</w:t>
      </w:r>
      <w:r w:rsidR="00363DAE">
        <w:t>C</w:t>
      </w:r>
      <w:r>
        <w:t>: Hand Hygiene</w:t>
      </w:r>
      <w:bookmarkEnd w:id="479"/>
    </w:p>
    <w:p w14:paraId="07BB5E31" w14:textId="77777777" w:rsidR="00D70E33" w:rsidRDefault="00D70E33" w:rsidP="00D70E33">
      <w:pPr>
        <w:rPr>
          <w:b/>
          <w:bCs/>
          <w:color w:val="FF0000"/>
        </w:rPr>
      </w:pPr>
      <w:bookmarkStart w:id="480" w:name="_Hlk36205293"/>
    </w:p>
    <w:p w14:paraId="0D1DEC5F" w14:textId="6A3A456D" w:rsidR="00832DC8" w:rsidRDefault="00832DC8" w:rsidP="00D70E33">
      <w:pPr>
        <w:rPr>
          <w:b/>
          <w:bCs/>
          <w:color w:val="FF000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53" w:history="1">
        <w:r w:rsidRPr="009A5185">
          <w:rPr>
            <w:rStyle w:val="Hyperlink"/>
            <w:rFonts w:cs="Arial"/>
          </w:rPr>
          <w:t>Leapfrog’s Multi-Campus Reporting Policy</w:t>
        </w:r>
      </w:hyperlink>
      <w:r w:rsidRPr="009A5185">
        <w:rPr>
          <w:rFonts w:cs="Arial"/>
          <w:snapToGrid w:val="0"/>
        </w:rPr>
        <w:t>.</w:t>
      </w:r>
    </w:p>
    <w:p w14:paraId="69C5AAE0" w14:textId="77777777" w:rsidR="00832DC8" w:rsidRDefault="00832DC8" w:rsidP="00D70E33">
      <w:pPr>
        <w:rPr>
          <w:b/>
          <w:bCs/>
          <w:color w:val="FF0000"/>
        </w:rPr>
      </w:pPr>
    </w:p>
    <w:p w14:paraId="3A19310D" w14:textId="5001A28C" w:rsidR="00D70E33" w:rsidRPr="00722F1B" w:rsidRDefault="00D70E33" w:rsidP="00D70E33">
      <w:pPr>
        <w:rPr>
          <w:b/>
          <w:bCs/>
          <w:color w:val="FF0000"/>
        </w:rPr>
      </w:pPr>
      <w:r w:rsidRPr="00722F1B">
        <w:rPr>
          <w:b/>
          <w:bCs/>
          <w:color w:val="FF0000"/>
        </w:rPr>
        <w:t>Important Notes:</w:t>
      </w:r>
    </w:p>
    <w:p w14:paraId="1320C261" w14:textId="77777777" w:rsidR="00940AE7" w:rsidRDefault="00940AE7" w:rsidP="00D70E33">
      <w:pPr>
        <w:rPr>
          <w:bCs/>
        </w:rPr>
      </w:pPr>
    </w:p>
    <w:p w14:paraId="123C544D" w14:textId="3620159B" w:rsidR="00B2468E" w:rsidRDefault="00940AE7" w:rsidP="00D70E33">
      <w:pPr>
        <w:rPr>
          <w:bCs/>
        </w:rPr>
      </w:pPr>
      <w:r>
        <w:rPr>
          <w:bCs/>
        </w:rPr>
        <w:t xml:space="preserve">Note </w:t>
      </w:r>
      <w:r w:rsidR="0003125F">
        <w:rPr>
          <w:bCs/>
        </w:rPr>
        <w:t>1</w:t>
      </w:r>
      <w:r>
        <w:rPr>
          <w:bCs/>
        </w:rPr>
        <w:t xml:space="preserve">: </w:t>
      </w:r>
      <w:r w:rsidR="00B2468E" w:rsidRPr="00B2468E">
        <w:rPr>
          <w:bCs/>
        </w:rPr>
        <w:t xml:space="preserve">Hyperlinks not followed by a superscript throughout this subsection refer to </w:t>
      </w:r>
      <w:r w:rsidR="0023417A">
        <w:rPr>
          <w:bCs/>
        </w:rPr>
        <w:t xml:space="preserve">the </w:t>
      </w:r>
      <w:hyperlink w:anchor="_Patient_Safety_Practices" w:history="1">
        <w:r w:rsidR="00E7380B">
          <w:rPr>
            <w:rStyle w:val="Hyperlink"/>
            <w:bCs/>
          </w:rPr>
          <w:t>Patient Safety Practices FAQs</w:t>
        </w:r>
      </w:hyperlink>
      <w:r w:rsidR="0023417A">
        <w:rPr>
          <w:bCs/>
        </w:rPr>
        <w:t xml:space="preserve"> </w:t>
      </w:r>
      <w:r w:rsidR="00BD32AD">
        <w:rPr>
          <w:rFonts w:cs="Arial"/>
        </w:rPr>
        <w:t>beginning on page</w:t>
      </w:r>
      <w:r w:rsidR="003172AF">
        <w:rPr>
          <w:rFonts w:cs="Arial"/>
        </w:rPr>
        <w:t xml:space="preserve"> </w:t>
      </w:r>
      <w:r w:rsidR="007B5BB0">
        <w:rPr>
          <w:rFonts w:cs="Arial"/>
        </w:rPr>
        <w:t>25</w:t>
      </w:r>
      <w:r w:rsidR="00B82F68">
        <w:rPr>
          <w:rFonts w:cs="Arial"/>
        </w:rPr>
        <w:t>0</w:t>
      </w:r>
      <w:r w:rsidR="00B2468E" w:rsidRPr="0023417A">
        <w:rPr>
          <w:bCs/>
        </w:rPr>
        <w:t>.</w:t>
      </w:r>
      <w:r w:rsidR="00B2468E" w:rsidRPr="00B2468E">
        <w:rPr>
          <w:bCs/>
        </w:rPr>
        <w:t xml:space="preserve"> These hyperlinks are not included in the </w:t>
      </w:r>
      <w:r w:rsidR="005B7CBC">
        <w:rPr>
          <w:bCs/>
        </w:rPr>
        <w:t>Online Survey Tool</w:t>
      </w:r>
      <w:r w:rsidR="005B7CBC" w:rsidRPr="004A60F9">
        <w:rPr>
          <w:bCs/>
        </w:rPr>
        <w:t>.</w:t>
      </w:r>
    </w:p>
    <w:p w14:paraId="2F7AC2CC" w14:textId="77777777" w:rsidR="00B2468E" w:rsidRDefault="00B2468E" w:rsidP="00D70E33">
      <w:pPr>
        <w:rPr>
          <w:bCs/>
        </w:rPr>
      </w:pPr>
    </w:p>
    <w:p w14:paraId="138FE820" w14:textId="09EFD39D" w:rsidR="00D70E33" w:rsidRDefault="00D70E33" w:rsidP="00D70E33">
      <w:pPr>
        <w:rPr>
          <w:rFonts w:cs="Arial"/>
        </w:rPr>
      </w:pPr>
      <w:r w:rsidRPr="00722F1B">
        <w:rPr>
          <w:bCs/>
        </w:rPr>
        <w:t xml:space="preserve">Note </w:t>
      </w:r>
      <w:r w:rsidR="0003125F">
        <w:rPr>
          <w:bCs/>
        </w:rPr>
        <w:t>2</w:t>
      </w:r>
      <w:r w:rsidRPr="00722F1B">
        <w:rPr>
          <w:bCs/>
        </w:rPr>
        <w:t xml:space="preserve">: </w:t>
      </w:r>
      <w:r>
        <w:rPr>
          <w:rFonts w:cs="Arial"/>
        </w:rPr>
        <w:t>The framework and questions</w:t>
      </w:r>
      <w:r w:rsidR="00C645E0">
        <w:rPr>
          <w:rFonts w:cs="Arial"/>
        </w:rPr>
        <w:t xml:space="preserve"> in </w:t>
      </w:r>
      <w:r w:rsidR="00B34039">
        <w:rPr>
          <w:rFonts w:cs="Arial"/>
        </w:rPr>
        <w:t>this subsection</w:t>
      </w:r>
      <w:r>
        <w:rPr>
          <w:rFonts w:cs="Arial"/>
        </w:rPr>
        <w:t xml:space="preserve"> are modeled after the World Health Organization’s </w:t>
      </w:r>
      <w:hyperlink r:id="rId354" w:history="1">
        <w:r w:rsidRPr="00402D7F">
          <w:rPr>
            <w:rStyle w:val="Hyperlink"/>
            <w:rFonts w:cs="Arial"/>
          </w:rPr>
          <w:t>Hand Hygiene Self-Assessment Framework</w:t>
        </w:r>
      </w:hyperlink>
      <w:r>
        <w:rPr>
          <w:rFonts w:cs="Arial"/>
        </w:rPr>
        <w:t>.</w:t>
      </w:r>
    </w:p>
    <w:p w14:paraId="12C8C934" w14:textId="77777777" w:rsidR="00D70E33" w:rsidRDefault="00D70E33" w:rsidP="00D70E33">
      <w:pPr>
        <w:rPr>
          <w:bCs/>
        </w:rPr>
      </w:pPr>
    </w:p>
    <w:p w14:paraId="3BDB7E7F" w14:textId="355853EF" w:rsidR="00C645E0" w:rsidRDefault="00B2468E" w:rsidP="00D70E33">
      <w:pPr>
        <w:rPr>
          <w:rFonts w:cs="Arial"/>
        </w:rPr>
      </w:pPr>
      <w:bookmarkStart w:id="481" w:name="HH_Note4"/>
      <w:bookmarkStart w:id="482" w:name="_Hlk43154054"/>
      <w:r>
        <w:rPr>
          <w:bCs/>
        </w:rPr>
        <w:t xml:space="preserve">Note </w:t>
      </w:r>
      <w:bookmarkEnd w:id="481"/>
      <w:r w:rsidR="0003125F">
        <w:rPr>
          <w:bCs/>
        </w:rPr>
        <w:t>3</w:t>
      </w:r>
      <w:r w:rsidR="00D70E33">
        <w:rPr>
          <w:bCs/>
        </w:rPr>
        <w:t xml:space="preserve">: </w:t>
      </w:r>
      <w:r w:rsidR="008F5721" w:rsidRPr="008F5721">
        <w:rPr>
          <w:bCs/>
        </w:rPr>
        <w:t xml:space="preserve">Hospital responses should reflect </w:t>
      </w:r>
      <w:hyperlink w:anchor="_Hand_Hygiene_Measure" w:history="1">
        <w:r w:rsidR="008F5721" w:rsidRPr="00016004">
          <w:rPr>
            <w:rStyle w:val="Hyperlink"/>
            <w:bCs/>
          </w:rPr>
          <w:t xml:space="preserve">patient care </w:t>
        </w:r>
        <w:r w:rsidR="00222553" w:rsidRPr="00016004">
          <w:rPr>
            <w:rStyle w:val="Hyperlink"/>
            <w:bCs/>
          </w:rPr>
          <w:t>units</w:t>
        </w:r>
      </w:hyperlink>
      <w:r w:rsidR="00222553" w:rsidRPr="008F5721">
        <w:rPr>
          <w:bCs/>
        </w:rPr>
        <w:t xml:space="preserve"> </w:t>
      </w:r>
      <w:r w:rsidR="00222553" w:rsidRPr="00222553">
        <w:rPr>
          <w:bCs/>
        </w:rPr>
        <w:t xml:space="preserve">only, including all </w:t>
      </w:r>
      <w:r w:rsidR="00703597">
        <w:rPr>
          <w:bCs/>
        </w:rPr>
        <w:t xml:space="preserve">adult and pediatric </w:t>
      </w:r>
      <w:r w:rsidR="00E13394">
        <w:rPr>
          <w:bCs/>
        </w:rPr>
        <w:t>medical</w:t>
      </w:r>
      <w:r w:rsidR="00866255">
        <w:rPr>
          <w:bCs/>
        </w:rPr>
        <w:t>,</w:t>
      </w:r>
      <w:r w:rsidR="00002804">
        <w:rPr>
          <w:bCs/>
        </w:rPr>
        <w:t xml:space="preserve"> </w:t>
      </w:r>
      <w:r w:rsidR="00E13394">
        <w:rPr>
          <w:bCs/>
        </w:rPr>
        <w:t>surgical</w:t>
      </w:r>
      <w:r w:rsidR="0075561F">
        <w:rPr>
          <w:bCs/>
        </w:rPr>
        <w:t>, and medical/surgical</w:t>
      </w:r>
      <w:r w:rsidR="00E13394">
        <w:rPr>
          <w:bCs/>
        </w:rPr>
        <w:t xml:space="preserve"> units (including telemetry</w:t>
      </w:r>
      <w:r w:rsidR="00745634">
        <w:rPr>
          <w:bCs/>
        </w:rPr>
        <w:t xml:space="preserve"> units</w:t>
      </w:r>
      <w:r w:rsidR="00E13394">
        <w:rPr>
          <w:bCs/>
        </w:rPr>
        <w:t>), step-down/progressive units, obstetrical units, intensive care units</w:t>
      </w:r>
      <w:r w:rsidR="00703597">
        <w:rPr>
          <w:bCs/>
        </w:rPr>
        <w:t xml:space="preserve"> (including neonatal units)</w:t>
      </w:r>
      <w:r w:rsidR="00E13394">
        <w:rPr>
          <w:bCs/>
        </w:rPr>
        <w:t>,</w:t>
      </w:r>
      <w:r w:rsidR="00E13394" w:rsidRPr="00222553" w:rsidDel="00E13394">
        <w:rPr>
          <w:bCs/>
        </w:rPr>
        <w:t xml:space="preserve"> </w:t>
      </w:r>
      <w:r w:rsidR="00222553" w:rsidRPr="00222553">
        <w:rPr>
          <w:bCs/>
        </w:rPr>
        <w:t>pre-operative</w:t>
      </w:r>
      <w:r w:rsidR="0035197E">
        <w:rPr>
          <w:bCs/>
        </w:rPr>
        <w:t xml:space="preserve"> </w:t>
      </w:r>
      <w:r w:rsidR="00222553" w:rsidRPr="00222553">
        <w:rPr>
          <w:bCs/>
        </w:rPr>
        <w:t>and post-</w:t>
      </w:r>
      <w:r w:rsidR="00251235">
        <w:rPr>
          <w:bCs/>
        </w:rPr>
        <w:t>anesthesia</w:t>
      </w:r>
      <w:r w:rsidR="00386EAA">
        <w:rPr>
          <w:bCs/>
        </w:rPr>
        <w:t xml:space="preserve"> care units,</w:t>
      </w:r>
      <w:r w:rsidR="00222553" w:rsidRPr="00222553">
        <w:rPr>
          <w:bCs/>
        </w:rPr>
        <w:t xml:space="preserve"> </w:t>
      </w:r>
      <w:r w:rsidR="00A73565">
        <w:rPr>
          <w:bCs/>
        </w:rPr>
        <w:t xml:space="preserve">observation units, </w:t>
      </w:r>
      <w:r w:rsidR="00222553" w:rsidRPr="00222553">
        <w:rPr>
          <w:bCs/>
        </w:rPr>
        <w:t xml:space="preserve">and </w:t>
      </w:r>
      <w:r w:rsidR="00F337B3">
        <w:rPr>
          <w:bCs/>
        </w:rPr>
        <w:t xml:space="preserve">dedicated </w:t>
      </w:r>
      <w:r w:rsidR="00222553" w:rsidRPr="00222553">
        <w:rPr>
          <w:bCs/>
        </w:rPr>
        <w:t>emergency department units</w:t>
      </w:r>
      <w:r w:rsidR="008F5721" w:rsidRPr="008F5721">
        <w:rPr>
          <w:bCs/>
        </w:rPr>
        <w:t>.</w:t>
      </w:r>
      <w:r w:rsidR="0088433D">
        <w:rPr>
          <w:bCs/>
        </w:rPr>
        <w:t xml:space="preserve"> </w:t>
      </w:r>
    </w:p>
    <w:p w14:paraId="12B5F64A" w14:textId="77777777" w:rsidR="00AC20C8" w:rsidRDefault="00AC20C8" w:rsidP="00AC20C8">
      <w:pPr>
        <w:rPr>
          <w:rFonts w:cs="Arial"/>
        </w:rPr>
      </w:pPr>
    </w:p>
    <w:p w14:paraId="60B1D157" w14:textId="0BB78F96" w:rsidR="00AC20C8" w:rsidRDefault="00AC20C8" w:rsidP="00AC20C8">
      <w:pPr>
        <w:rPr>
          <w:rFonts w:cs="Arial"/>
        </w:rPr>
      </w:pPr>
      <w:r>
        <w:rPr>
          <w:rFonts w:cs="Arial"/>
        </w:rPr>
        <w:t xml:space="preserve">Note 4: </w:t>
      </w:r>
      <w:r w:rsidR="00703597">
        <w:t>Only include units that were open for the entire reporting period</w:t>
      </w:r>
      <w:r>
        <w:t xml:space="preserve"> (i.e., most recent month or past three months based on responses selected in monitoring questions #8-10)</w:t>
      </w:r>
      <w:r w:rsidR="00703597">
        <w:t xml:space="preserve"> and that remain currently open</w:t>
      </w:r>
      <w:r>
        <w:t>.</w:t>
      </w:r>
    </w:p>
    <w:p w14:paraId="694BDC3B" w14:textId="77777777" w:rsidR="00AC20C8" w:rsidRDefault="00AC20C8" w:rsidP="00D70E33">
      <w:pPr>
        <w:rPr>
          <w:rFonts w:cs="Arial"/>
        </w:rPr>
      </w:pPr>
    </w:p>
    <w:p w14:paraId="1A053720" w14:textId="6F5BCB35" w:rsidR="004E7C04" w:rsidRDefault="00F16AC7" w:rsidP="00D70E33">
      <w:pPr>
        <w:rPr>
          <w:bCs/>
        </w:rPr>
      </w:pPr>
      <w:r>
        <w:rPr>
          <w:rFonts w:cs="Arial"/>
          <w:b/>
          <w:snapToGrid w:val="0"/>
        </w:rPr>
        <w:t>Specifications:</w:t>
      </w:r>
      <w:r>
        <w:rPr>
          <w:rFonts w:cs="Arial"/>
          <w:snapToGrid w:val="0"/>
        </w:rPr>
        <w:t xml:space="preserve"> See </w:t>
      </w:r>
      <w:hyperlink w:anchor="_Hand_Hygiene_Measure" w:history="1">
        <w:r>
          <w:rPr>
            <w:rStyle w:val="Hyperlink"/>
            <w:rFonts w:cs="Arial"/>
            <w:b/>
            <w:i/>
          </w:rPr>
          <w:t>Hand Hygiene Measure Specifications</w:t>
        </w:r>
      </w:hyperlink>
      <w:r>
        <w:rPr>
          <w:rFonts w:cs="Arial"/>
        </w:rPr>
        <w:t xml:space="preserve"> </w:t>
      </w:r>
      <w:r>
        <w:rPr>
          <w:rFonts w:cs="Arial"/>
          <w:snapToGrid w:val="0"/>
        </w:rPr>
        <w:t xml:space="preserve">in the Reference Information </w:t>
      </w:r>
      <w:r>
        <w:rPr>
          <w:rFonts w:cs="Arial"/>
        </w:rPr>
        <w:t>beginning on page</w:t>
      </w:r>
      <w:r w:rsidR="00B82F68">
        <w:rPr>
          <w:rFonts w:cs="Arial"/>
        </w:rPr>
        <w:t xml:space="preserve"> 238</w:t>
      </w:r>
      <w:r w:rsidR="003B0F77">
        <w:rPr>
          <w:rFonts w:cs="Arial"/>
        </w:rPr>
        <w:t>.</w:t>
      </w:r>
    </w:p>
    <w:bookmarkEnd w:id="482"/>
    <w:p w14:paraId="6E90A739" w14:textId="77777777" w:rsidR="00222553" w:rsidRDefault="00222553" w:rsidP="00D70E33">
      <w:pPr>
        <w:rPr>
          <w:bCs/>
        </w:rPr>
      </w:pPr>
    </w:p>
    <w:p w14:paraId="3E6C34C9" w14:textId="77777777" w:rsidR="00C645E0" w:rsidRDefault="00C645E0" w:rsidP="00D70E33">
      <w:r>
        <w:rPr>
          <w:noProof/>
        </w:rPr>
        <mc:AlternateContent>
          <mc:Choice Requires="wps">
            <w:drawing>
              <wp:inline distT="0" distB="0" distL="0" distR="0" wp14:anchorId="59647D58" wp14:editId="5F47631B">
                <wp:extent cx="5924550" cy="1733106"/>
                <wp:effectExtent l="0" t="0" r="19050" b="19685"/>
                <wp:docPr id="217" name="Text Box 217" descr="P8664TB2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733106"/>
                        </a:xfrm>
                        <a:prstGeom prst="rect">
                          <a:avLst/>
                        </a:prstGeom>
                        <a:solidFill>
                          <a:srgbClr val="FFFFFF"/>
                        </a:solidFill>
                        <a:ln w="9525">
                          <a:solidFill>
                            <a:srgbClr val="FF0000"/>
                          </a:solidFill>
                          <a:miter lim="800000"/>
                          <a:headEnd/>
                          <a:tailEnd/>
                        </a:ln>
                      </wps:spPr>
                      <wps:txbx>
                        <w:txbxContent>
                          <w:p w14:paraId="4FBD307F" w14:textId="5C752FA6" w:rsidR="00322A3C" w:rsidRDefault="00322A3C" w:rsidP="00C645E0">
                            <w:r w:rsidRPr="00DF6A41">
                              <w:rPr>
                                <w:b/>
                              </w:rPr>
                              <w:t>Reporting</w:t>
                            </w:r>
                            <w:r w:rsidR="000D5FED">
                              <w:rPr>
                                <w:b/>
                              </w:rPr>
                              <w:t xml:space="preserve"> </w:t>
                            </w:r>
                            <w:r w:rsidRPr="00DF6A41">
                              <w:rPr>
                                <w:b/>
                              </w:rPr>
                              <w:t>Period</w:t>
                            </w:r>
                            <w:r>
                              <w:rPr>
                                <w:b/>
                              </w:rPr>
                              <w:t xml:space="preserve">: </w:t>
                            </w:r>
                            <w:r>
                              <w:t>Answer questions #1-2</w:t>
                            </w:r>
                            <w:r w:rsidR="00021B3B">
                              <w:t>1</w:t>
                            </w:r>
                            <w:r>
                              <w:t xml:space="preserve"> based on the practices currently in place at the time you submit this section of the Survey.</w:t>
                            </w:r>
                          </w:p>
                          <w:p w14:paraId="304222F2" w14:textId="77777777" w:rsidR="006B4EF8" w:rsidRDefault="006B4EF8" w:rsidP="00C645E0"/>
                          <w:p w14:paraId="002BFD54" w14:textId="77777777" w:rsidR="00410850" w:rsidRPr="00775498" w:rsidRDefault="00410850" w:rsidP="00410850">
                            <w:pPr>
                              <w:pStyle w:val="EndnoteText"/>
                              <w:rPr>
                                <w:bCs/>
                              </w:rPr>
                            </w:pPr>
                            <w:r>
                              <w:rPr>
                                <w:rFonts w:cs="Arial"/>
                                <w:bCs/>
                                <w:snapToGrid w:val="0"/>
                              </w:rPr>
                              <w:t xml:space="preserve">Note: </w:t>
                            </w:r>
                            <w:r w:rsidRPr="00775498">
                              <w:rPr>
                                <w:bCs/>
                              </w:rPr>
                              <w:t>For monitoring, this means that the monthly sample size (or quarterly sample size if answering question #10) would need to be met at least once in each patient care unit the month (or quarter) preceding the time of the submission of the Survey and there must be a process in place to meet the monthly (or quarterly) sample size thereafter in each patient care unit every month/quarter.</w:t>
                            </w:r>
                          </w:p>
                          <w:p w14:paraId="5E1DB81A" w14:textId="77777777" w:rsidR="00410850" w:rsidRPr="00CD4A97" w:rsidRDefault="00410850" w:rsidP="00C645E0">
                            <w:pPr>
                              <w:rPr>
                                <w:b/>
                              </w:rPr>
                            </w:pPr>
                          </w:p>
                          <w:p w14:paraId="6C9C0A16" w14:textId="5195A51B" w:rsidR="00322A3C" w:rsidRPr="00D20A90" w:rsidRDefault="00322A3C" w:rsidP="00E65E68">
                            <w:pPr>
                              <w:rPr>
                                <w:b/>
                              </w:rPr>
                            </w:pPr>
                            <w:r w:rsidRPr="006547C0">
                              <w:rPr>
                                <w:rFonts w:cs="Arial"/>
                                <w:sz w:val="16"/>
                                <w:szCs w:val="16"/>
                              </w:rPr>
                              <w:t xml:space="preserve">Note: As a reminder, the </w:t>
                            </w:r>
                            <w:hyperlink r:id="rId355"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00AE38C7">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59647D58" id="Text Box 217" o:spid="_x0000_s1052" type="#_x0000_t202" alt="P8664TB25#y1" style="width:466.5pt;height:1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" strokecolor="red">
                <v:textbox>
                  <w:txbxContent>
                    <w:p w14:paraId="4FBD307F" w14:textId="5C752FA6" w:rsidR="00322A3C" w:rsidRDefault="00322A3C" w:rsidP="00C645E0">
                      <w:r w:rsidRPr="00DF6A41">
                        <w:rPr>
                          <w:b/>
                        </w:rPr>
                        <w:t>Reporting</w:t>
                      </w:r>
                      <w:r w:rsidR="000D5FED">
                        <w:rPr>
                          <w:b/>
                        </w:rPr>
                        <w:t xml:space="preserve"> </w:t>
                      </w:r>
                      <w:r w:rsidRPr="00DF6A41">
                        <w:rPr>
                          <w:b/>
                        </w:rPr>
                        <w:t>Period</w:t>
                      </w:r>
                      <w:r>
                        <w:rPr>
                          <w:b/>
                        </w:rPr>
                        <w:t xml:space="preserve">: </w:t>
                      </w:r>
                      <w:r>
                        <w:t>Answer questions #1-2</w:t>
                      </w:r>
                      <w:r w:rsidR="00021B3B">
                        <w:t>1</w:t>
                      </w:r>
                      <w:r>
                        <w:t xml:space="preserve"> based on the practices currently in place at the time you submit this section of the Survey.</w:t>
                      </w:r>
                    </w:p>
                    <w:p w14:paraId="304222F2" w14:textId="77777777" w:rsidR="006B4EF8" w:rsidRDefault="006B4EF8" w:rsidP="00C645E0"/>
                    <w:p w14:paraId="002BFD54" w14:textId="77777777" w:rsidR="00410850" w:rsidRPr="00775498" w:rsidRDefault="00410850" w:rsidP="00410850">
                      <w:pPr>
                        <w:pStyle w:val="EndnoteText"/>
                        <w:rPr>
                          <w:bCs/>
                        </w:rPr>
                      </w:pPr>
                      <w:r>
                        <w:rPr>
                          <w:rFonts w:cs="Arial"/>
                          <w:bCs/>
                          <w:snapToGrid w:val="0"/>
                        </w:rPr>
                        <w:t xml:space="preserve">Note: </w:t>
                      </w:r>
                      <w:r w:rsidRPr="00775498">
                        <w:rPr>
                          <w:bCs/>
                        </w:rPr>
                        <w:t>For monitoring, this means that the monthly sample size (or quarterly sample size if answering question #10) would need to be met at least once in each patient care unit the month (or quarter) preceding the time of the submission of the Survey and there must be a process in place to meet the monthly (or quarterly) sample size thereafter in each patient care unit every month/quarter.</w:t>
                      </w:r>
                    </w:p>
                    <w:p w14:paraId="5E1DB81A" w14:textId="77777777" w:rsidR="00410850" w:rsidRPr="00CD4A97" w:rsidRDefault="00410850" w:rsidP="00C645E0">
                      <w:pPr>
                        <w:rPr>
                          <w:b/>
                        </w:rPr>
                      </w:pPr>
                    </w:p>
                    <w:p w14:paraId="6C9C0A16" w14:textId="5195A51B" w:rsidR="00322A3C" w:rsidRPr="00D20A90" w:rsidRDefault="00322A3C" w:rsidP="00E65E68">
                      <w:pPr>
                        <w:rPr>
                          <w:b/>
                        </w:rPr>
                      </w:pPr>
                      <w:r w:rsidRPr="006547C0">
                        <w:rPr>
                          <w:rFonts w:cs="Arial"/>
                          <w:sz w:val="16"/>
                          <w:szCs w:val="16"/>
                        </w:rPr>
                        <w:t xml:space="preserve">Note: As a reminder, the </w:t>
                      </w:r>
                      <w:hyperlink r:id="rId356"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00AE38C7">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5831DF41" w14:textId="77777777" w:rsidR="00C645E0" w:rsidRDefault="00C645E0" w:rsidP="00D70E33"/>
    <w:p w14:paraId="0C4EB175" w14:textId="0146E3C1" w:rsidR="00C91B69" w:rsidRPr="000F5420" w:rsidRDefault="00C91B69" w:rsidP="00AB5B80">
      <w:pPr>
        <w:pStyle w:val="Heading3"/>
        <w:rPr>
          <w:sz w:val="20"/>
          <w:szCs w:val="20"/>
        </w:rPr>
      </w:pPr>
      <w:bookmarkStart w:id="483" w:name="_Toc131159860"/>
      <w:bookmarkStart w:id="484" w:name="_Toc225877782"/>
      <w:r w:rsidRPr="00C645E0">
        <w:t>Training and Education</w:t>
      </w:r>
      <w:bookmarkEnd w:id="483"/>
      <w:bookmarkEnd w:id="484"/>
      <w:r w:rsidR="00AC5B93">
        <w:br/>
      </w:r>
    </w:p>
    <w:tbl>
      <w:tblPr>
        <w:tblStyle w:val="TableGrid"/>
        <w:tblW w:w="0" w:type="auto"/>
        <w:tblLook w:val="04A0" w:firstRow="1" w:lastRow="0" w:firstColumn="1" w:lastColumn="0" w:noHBand="0" w:noVBand="1"/>
      </w:tblPr>
      <w:tblGrid>
        <w:gridCol w:w="6115"/>
        <w:gridCol w:w="3235"/>
      </w:tblGrid>
      <w:tr w:rsidR="00C91B69" w:rsidRPr="00C645E0" w14:paraId="2AC6D56B" w14:textId="77777777" w:rsidTr="00B74BD8">
        <w:trPr>
          <w:trHeight w:val="2160"/>
        </w:trPr>
        <w:tc>
          <w:tcPr>
            <w:tcW w:w="6115" w:type="dxa"/>
          </w:tcPr>
          <w:p w14:paraId="41FA9E1C" w14:textId="5DF7D1BE" w:rsidR="00C91B69" w:rsidRPr="002B108D" w:rsidRDefault="00C91B69" w:rsidP="00AD309C">
            <w:pPr>
              <w:numPr>
                <w:ilvl w:val="0"/>
                <w:numId w:val="144"/>
              </w:numPr>
            </w:pPr>
            <w:r w:rsidRPr="00C645E0">
              <w:t>Do</w:t>
            </w:r>
            <w:r w:rsidR="002B108D">
              <w:t xml:space="preserve"> </w:t>
            </w:r>
            <w:hyperlink w:anchor="HHtouchpatientsendnote" w:history="1">
              <w:r w:rsidR="007E6EEA">
                <w:rPr>
                  <w:rStyle w:val="Hyperlink"/>
                </w:rPr>
                <w:t>individuals who touch patients or who touch items that will be used by patients</w:t>
              </w:r>
            </w:hyperlink>
            <w:bookmarkStart w:id="485" w:name="_Ref25671414"/>
            <w:r w:rsidR="000F0582">
              <w:rPr>
                <w:rStyle w:val="Hyperlink"/>
                <w:rFonts w:ascii="ZWAdobeF" w:hAnsi="ZWAdobeF" w:cs="ZWAdobeF"/>
                <w:color w:val="auto"/>
                <w:sz w:val="2"/>
                <w:szCs w:val="2"/>
                <w:u w:val="none"/>
              </w:rPr>
              <w:t>43F</w:t>
            </w:r>
            <w:bookmarkStart w:id="486" w:name="_Ref131591135"/>
            <w:r w:rsidR="00BF053F">
              <w:rPr>
                <w:rStyle w:val="Hyperlink"/>
                <w:rFonts w:ascii="ZWAdobeF" w:hAnsi="ZWAdobeF" w:cs="ZWAdobeF"/>
                <w:color w:val="auto"/>
                <w:sz w:val="2"/>
                <w:szCs w:val="2"/>
                <w:u w:val="none"/>
              </w:rPr>
              <w:t>43F</w:t>
            </w:r>
            <w:r w:rsidR="004C7557">
              <w:rPr>
                <w:rStyle w:val="Hyperlink"/>
                <w:rFonts w:ascii="ZWAdobeF" w:hAnsi="ZWAdobeF" w:cs="ZWAdobeF"/>
                <w:color w:val="auto"/>
                <w:sz w:val="2"/>
                <w:szCs w:val="2"/>
                <w:u w:val="none"/>
              </w:rPr>
              <w:t>43F</w:t>
            </w:r>
            <w:r w:rsidR="00C2087D">
              <w:rPr>
                <w:rStyle w:val="Hyperlink"/>
                <w:rFonts w:ascii="ZWAdobeF" w:hAnsi="ZWAdobeF" w:cs="ZWAdobeF"/>
                <w:color w:val="auto"/>
                <w:sz w:val="2"/>
                <w:szCs w:val="2"/>
                <w:u w:val="none"/>
              </w:rPr>
              <w:t>43F</w:t>
            </w:r>
            <w:r w:rsidR="00B55C41">
              <w:rPr>
                <w:rStyle w:val="Hyperlink"/>
                <w:rFonts w:ascii="ZWAdobeF" w:hAnsi="ZWAdobeF" w:cs="ZWAdobeF"/>
                <w:color w:val="auto"/>
                <w:sz w:val="2"/>
                <w:szCs w:val="2"/>
                <w:u w:val="none"/>
              </w:rPr>
              <w:t>43F</w:t>
            </w:r>
            <w:r w:rsidR="006255A6">
              <w:rPr>
                <w:rStyle w:val="Hyperlink"/>
                <w:rFonts w:ascii="ZWAdobeF" w:hAnsi="ZWAdobeF" w:cs="ZWAdobeF"/>
                <w:color w:val="auto"/>
                <w:sz w:val="2"/>
                <w:szCs w:val="2"/>
                <w:u w:val="none"/>
              </w:rPr>
              <w:t>43F</w:t>
            </w:r>
            <w:r w:rsidR="00E453C7">
              <w:rPr>
                <w:rStyle w:val="Hyperlink"/>
                <w:rFonts w:ascii="ZWAdobeF" w:hAnsi="ZWAdobeF" w:cs="ZWAdobeF"/>
                <w:color w:val="auto"/>
                <w:sz w:val="2"/>
                <w:szCs w:val="2"/>
                <w:u w:val="none"/>
              </w:rPr>
              <w:t>43F</w:t>
            </w:r>
            <w:r w:rsidR="00953060">
              <w:rPr>
                <w:rStyle w:val="Hyperlink"/>
                <w:rFonts w:ascii="ZWAdobeF" w:hAnsi="ZWAdobeF" w:cs="ZWAdobeF"/>
                <w:color w:val="auto"/>
                <w:sz w:val="2"/>
                <w:szCs w:val="2"/>
                <w:u w:val="none"/>
              </w:rPr>
              <w:t>43F</w:t>
            </w:r>
            <w:r w:rsidR="00DD04D6">
              <w:rPr>
                <w:rStyle w:val="Hyperlink"/>
                <w:rFonts w:ascii="ZWAdobeF" w:hAnsi="ZWAdobeF" w:cs="ZWAdobeF"/>
                <w:color w:val="auto"/>
                <w:sz w:val="2"/>
                <w:szCs w:val="2"/>
                <w:u w:val="none"/>
              </w:rPr>
              <w:t>43F</w:t>
            </w:r>
            <w:r w:rsidR="002B108D">
              <w:rPr>
                <w:rStyle w:val="EndnoteReference"/>
              </w:rPr>
              <w:endnoteReference w:id="45"/>
            </w:r>
            <w:bookmarkEnd w:id="485"/>
            <w:bookmarkEnd w:id="486"/>
            <w:r w:rsidR="002B108D">
              <w:t xml:space="preserve"> in your patient care units receive hand hygiene training from a</w:t>
            </w:r>
            <w:r w:rsidRPr="00C645E0">
              <w:t xml:space="preserve"> </w:t>
            </w:r>
            <w:hyperlink w:anchor="profwapproptrainandskill" w:history="1">
              <w:r w:rsidRPr="00C645E0">
                <w:rPr>
                  <w:rStyle w:val="Hyperlink"/>
                </w:rPr>
                <w:t>professional with appropriate training and skills</w:t>
              </w:r>
            </w:hyperlink>
            <w:bookmarkStart w:id="488" w:name="_Ref36149163"/>
            <w:r w:rsidR="000F0582">
              <w:rPr>
                <w:rStyle w:val="Hyperlink"/>
                <w:rFonts w:ascii="ZWAdobeF" w:hAnsi="ZWAdobeF" w:cs="ZWAdobeF"/>
                <w:color w:val="auto"/>
                <w:sz w:val="2"/>
                <w:szCs w:val="2"/>
                <w:u w:val="none"/>
              </w:rPr>
              <w:t>44F</w:t>
            </w:r>
            <w:r w:rsidR="00BF053F">
              <w:rPr>
                <w:rStyle w:val="Hyperlink"/>
                <w:rFonts w:ascii="ZWAdobeF" w:hAnsi="ZWAdobeF" w:cs="ZWAdobeF"/>
                <w:color w:val="auto"/>
                <w:sz w:val="2"/>
                <w:szCs w:val="2"/>
                <w:u w:val="none"/>
              </w:rPr>
              <w:t>44F</w:t>
            </w:r>
            <w:r w:rsidR="004C7557">
              <w:rPr>
                <w:rStyle w:val="Hyperlink"/>
                <w:rFonts w:ascii="ZWAdobeF" w:hAnsi="ZWAdobeF" w:cs="ZWAdobeF"/>
                <w:color w:val="auto"/>
                <w:sz w:val="2"/>
                <w:szCs w:val="2"/>
                <w:u w:val="none"/>
              </w:rPr>
              <w:t>44F</w:t>
            </w:r>
            <w:r w:rsidR="00C2087D">
              <w:rPr>
                <w:rStyle w:val="Hyperlink"/>
                <w:rFonts w:ascii="ZWAdobeF" w:hAnsi="ZWAdobeF" w:cs="ZWAdobeF"/>
                <w:color w:val="auto"/>
                <w:sz w:val="2"/>
                <w:szCs w:val="2"/>
                <w:u w:val="none"/>
              </w:rPr>
              <w:t>44F</w:t>
            </w:r>
            <w:r w:rsidR="00B55C41">
              <w:rPr>
                <w:rStyle w:val="Hyperlink"/>
                <w:rFonts w:ascii="ZWAdobeF" w:hAnsi="ZWAdobeF" w:cs="ZWAdobeF"/>
                <w:color w:val="auto"/>
                <w:sz w:val="2"/>
                <w:szCs w:val="2"/>
                <w:u w:val="none"/>
              </w:rPr>
              <w:t>44F</w:t>
            </w:r>
            <w:r w:rsidR="006255A6">
              <w:rPr>
                <w:rStyle w:val="Hyperlink"/>
                <w:rFonts w:ascii="ZWAdobeF" w:hAnsi="ZWAdobeF" w:cs="ZWAdobeF"/>
                <w:color w:val="auto"/>
                <w:sz w:val="2"/>
                <w:szCs w:val="2"/>
                <w:u w:val="none"/>
              </w:rPr>
              <w:t>44F</w:t>
            </w:r>
            <w:r w:rsidR="00E453C7">
              <w:rPr>
                <w:rStyle w:val="Hyperlink"/>
                <w:rFonts w:ascii="ZWAdobeF" w:hAnsi="ZWAdobeF" w:cs="ZWAdobeF"/>
                <w:color w:val="auto"/>
                <w:sz w:val="2"/>
                <w:szCs w:val="2"/>
                <w:u w:val="none"/>
              </w:rPr>
              <w:t>44F</w:t>
            </w:r>
            <w:r w:rsidR="00953060">
              <w:rPr>
                <w:rStyle w:val="Hyperlink"/>
                <w:rFonts w:ascii="ZWAdobeF" w:hAnsi="ZWAdobeF" w:cs="ZWAdobeF"/>
                <w:color w:val="auto"/>
                <w:sz w:val="2"/>
                <w:szCs w:val="2"/>
                <w:u w:val="none"/>
              </w:rPr>
              <w:t>44F</w:t>
            </w:r>
            <w:r w:rsidR="00DD04D6">
              <w:rPr>
                <w:rStyle w:val="Hyperlink"/>
                <w:rFonts w:ascii="ZWAdobeF" w:hAnsi="ZWAdobeF" w:cs="ZWAdobeF"/>
                <w:color w:val="auto"/>
                <w:sz w:val="2"/>
                <w:szCs w:val="2"/>
                <w:u w:val="none"/>
              </w:rPr>
              <w:t>44F</w:t>
            </w:r>
            <w:r w:rsidRPr="00C645E0">
              <w:rPr>
                <w:vertAlign w:val="superscript"/>
              </w:rPr>
              <w:endnoteReference w:id="46"/>
            </w:r>
            <w:bookmarkEnd w:id="488"/>
            <w:r w:rsidRPr="00C645E0">
              <w:t xml:space="preserve"> </w:t>
            </w:r>
            <w:r w:rsidR="002B108D">
              <w:t xml:space="preserve">at </w:t>
            </w:r>
            <w:r w:rsidR="002B108D">
              <w:rPr>
                <w:b/>
              </w:rPr>
              <w:t>both:</w:t>
            </w:r>
          </w:p>
          <w:p w14:paraId="46907263" w14:textId="602CE5B8" w:rsidR="002B108D" w:rsidRDefault="002B108D" w:rsidP="00AD309C">
            <w:pPr>
              <w:pStyle w:val="ListParagraph"/>
              <w:numPr>
                <w:ilvl w:val="0"/>
                <w:numId w:val="124"/>
              </w:numPr>
            </w:pPr>
            <w:r>
              <w:t>the time of onboarding</w:t>
            </w:r>
            <w:r w:rsidR="0002601E">
              <w:t>,</w:t>
            </w:r>
            <w:r>
              <w:t xml:space="preserve"> and</w:t>
            </w:r>
          </w:p>
          <w:p w14:paraId="2E810E1E" w14:textId="77777777" w:rsidR="002B108D" w:rsidRPr="002B108D" w:rsidRDefault="002B108D" w:rsidP="00AD309C">
            <w:pPr>
              <w:pStyle w:val="ListParagraph"/>
              <w:numPr>
                <w:ilvl w:val="0"/>
                <w:numId w:val="124"/>
              </w:numPr>
            </w:pPr>
            <w:r>
              <w:t>annually thereafter?</w:t>
            </w:r>
          </w:p>
          <w:p w14:paraId="280759AF" w14:textId="77777777" w:rsidR="002B108D" w:rsidRDefault="002B108D" w:rsidP="00B96CDF"/>
          <w:p w14:paraId="0524CCFF" w14:textId="3575A8B3" w:rsidR="00C91B69" w:rsidRPr="00C645E0" w:rsidRDefault="002B108D" w:rsidP="00B96CDF">
            <w:pPr>
              <w:ind w:left="360"/>
            </w:pPr>
            <w:r w:rsidRPr="002B108D">
              <w:rPr>
                <w:i/>
              </w:rPr>
              <w:t>If “no” to question #1, skip questions #2-3 and continue to question #4.</w:t>
            </w:r>
          </w:p>
        </w:tc>
        <w:tc>
          <w:tcPr>
            <w:tcW w:w="3235" w:type="dxa"/>
            <w:vAlign w:val="center"/>
          </w:tcPr>
          <w:p w14:paraId="6FD90450" w14:textId="77777777" w:rsidR="00C91B69" w:rsidRPr="00B74BD8" w:rsidRDefault="00C91B69" w:rsidP="00AD309C">
            <w:pPr>
              <w:pStyle w:val="ListParagraph"/>
              <w:numPr>
                <w:ilvl w:val="0"/>
                <w:numId w:val="299"/>
              </w:numPr>
              <w:rPr>
                <w:iCs/>
              </w:rPr>
            </w:pPr>
            <w:r w:rsidRPr="00B74BD8">
              <w:rPr>
                <w:iCs/>
              </w:rPr>
              <w:t>Yes</w:t>
            </w:r>
          </w:p>
          <w:p w14:paraId="73875B4F" w14:textId="77777777" w:rsidR="00C91B69" w:rsidRPr="00B74BD8" w:rsidRDefault="00C91B69" w:rsidP="00AD309C">
            <w:pPr>
              <w:pStyle w:val="ListParagraph"/>
              <w:numPr>
                <w:ilvl w:val="0"/>
                <w:numId w:val="299"/>
              </w:numPr>
              <w:rPr>
                <w:iCs/>
              </w:rPr>
            </w:pPr>
            <w:r w:rsidRPr="00B74BD8">
              <w:rPr>
                <w:iCs/>
              </w:rPr>
              <w:t>No</w:t>
            </w:r>
          </w:p>
        </w:tc>
      </w:tr>
      <w:tr w:rsidR="00C91B69" w:rsidRPr="00C645E0" w14:paraId="4115C7D0" w14:textId="77777777" w:rsidTr="00B74BD8">
        <w:trPr>
          <w:trHeight w:val="1296"/>
        </w:trPr>
        <w:tc>
          <w:tcPr>
            <w:tcW w:w="6115" w:type="dxa"/>
            <w:vAlign w:val="center"/>
          </w:tcPr>
          <w:p w14:paraId="09937A2C" w14:textId="121E5F99" w:rsidR="00C91B69" w:rsidRPr="0002601E" w:rsidRDefault="004B4271" w:rsidP="00AD309C">
            <w:pPr>
              <w:pStyle w:val="ListParagraph"/>
              <w:numPr>
                <w:ilvl w:val="0"/>
                <w:numId w:val="144"/>
              </w:numPr>
              <w:rPr>
                <w:i/>
              </w:rPr>
            </w:pPr>
            <w:r w:rsidRPr="004B4271">
              <w:t xml:space="preserve">In order to pass the </w:t>
            </w:r>
            <w:r w:rsidRPr="001550F9">
              <w:rPr>
                <w:b/>
                <w:bCs/>
              </w:rPr>
              <w:t>initial</w:t>
            </w:r>
            <w:r w:rsidRPr="004B4271">
              <w:t xml:space="preserve"> hand hygiene training, do </w:t>
            </w:r>
            <w:hyperlink w:anchor="HHtouchpatientsendnote" w:history="1">
              <w:r w:rsidRPr="004B4271">
                <w:rPr>
                  <w:rStyle w:val="Hyperlink"/>
                </w:rPr>
                <w:t>individuals who touch patients or who touch items that will be used by patients</w:t>
              </w:r>
            </w:hyperlink>
            <w:r>
              <w:fldChar w:fldCharType="begin"/>
            </w:r>
            <w:r>
              <w:instrText xml:space="preserve"> NOTEREF _Ref25671414 \f \h </w:instrText>
            </w:r>
            <w:r w:rsidR="00B96CDF">
              <w:instrText xml:space="preserve"> \* MERGEFORMAT </w:instrText>
            </w:r>
            <w:r>
              <w:fldChar w:fldCharType="separate"/>
            </w:r>
            <w:r w:rsidR="007D53A2" w:rsidRPr="00EE0B9E">
              <w:rPr>
                <w:rStyle w:val="EndnoteReference"/>
              </w:rPr>
              <w:t>44</w:t>
            </w:r>
            <w:r>
              <w:fldChar w:fldCharType="end"/>
            </w:r>
            <w:r w:rsidRPr="004B4271">
              <w:t xml:space="preserve"> </w:t>
            </w:r>
            <w:r w:rsidR="00403B90">
              <w:t xml:space="preserve">in your patient care units </w:t>
            </w:r>
            <w:r w:rsidRPr="004B4271">
              <w:t xml:space="preserve">need to </w:t>
            </w:r>
            <w:hyperlink w:anchor="HH_demonstrate" w:history="1">
              <w:r w:rsidRPr="00393457">
                <w:rPr>
                  <w:rStyle w:val="Hyperlink"/>
                </w:rPr>
                <w:t>physically demonstrate</w:t>
              </w:r>
            </w:hyperlink>
            <w:r w:rsidRPr="004B4271">
              <w:t xml:space="preserve"> proper hand hygiene with soap and water and alcohol-based hand sanitizer?</w:t>
            </w:r>
          </w:p>
        </w:tc>
        <w:tc>
          <w:tcPr>
            <w:tcW w:w="3235" w:type="dxa"/>
            <w:vAlign w:val="center"/>
          </w:tcPr>
          <w:p w14:paraId="79C2AE64" w14:textId="77777777" w:rsidR="004B4271" w:rsidRPr="00B74BD8" w:rsidRDefault="004B4271" w:rsidP="00AD309C">
            <w:pPr>
              <w:pStyle w:val="ListParagraph"/>
              <w:numPr>
                <w:ilvl w:val="0"/>
                <w:numId w:val="299"/>
              </w:numPr>
              <w:rPr>
                <w:iCs/>
              </w:rPr>
            </w:pPr>
            <w:r w:rsidRPr="00B74BD8">
              <w:rPr>
                <w:iCs/>
              </w:rPr>
              <w:t>Yes</w:t>
            </w:r>
          </w:p>
          <w:p w14:paraId="3CA92C50" w14:textId="77777777" w:rsidR="00C91B69" w:rsidRPr="00B74BD8" w:rsidRDefault="004B4271" w:rsidP="00AD309C">
            <w:pPr>
              <w:pStyle w:val="ListParagraph"/>
              <w:numPr>
                <w:ilvl w:val="0"/>
                <w:numId w:val="299"/>
              </w:numPr>
              <w:rPr>
                <w:b/>
                <w:iCs/>
              </w:rPr>
            </w:pPr>
            <w:r w:rsidRPr="00B74BD8">
              <w:rPr>
                <w:iCs/>
              </w:rPr>
              <w:t>No</w:t>
            </w:r>
          </w:p>
        </w:tc>
      </w:tr>
      <w:tr w:rsidR="00654FC2" w:rsidRPr="00C645E0" w14:paraId="17D91A6C" w14:textId="77777777" w:rsidTr="00B74BD8">
        <w:trPr>
          <w:trHeight w:val="2376"/>
        </w:trPr>
        <w:tc>
          <w:tcPr>
            <w:tcW w:w="6115" w:type="dxa"/>
          </w:tcPr>
          <w:p w14:paraId="013E12BE" w14:textId="1B5CFC00" w:rsidR="00654FC2" w:rsidRDefault="00654FC2" w:rsidP="00AD309C">
            <w:pPr>
              <w:pStyle w:val="ListParagraph"/>
              <w:numPr>
                <w:ilvl w:val="0"/>
                <w:numId w:val="144"/>
              </w:numPr>
            </w:pPr>
            <w:r w:rsidRPr="00393457">
              <w:lastRenderedPageBreak/>
              <w:t xml:space="preserve">Are </w:t>
            </w:r>
            <w:r w:rsidRPr="00393457">
              <w:rPr>
                <w:b/>
              </w:rPr>
              <w:t>all</w:t>
            </w:r>
            <w:r w:rsidRPr="00393457">
              <w:t xml:space="preserve"> six of the following topics included in your hospital’s initial and a</w:t>
            </w:r>
            <w:r>
              <w:t>nnual hand hygiene training</w:t>
            </w:r>
            <w:r w:rsidR="00C92582">
              <w:t>:</w:t>
            </w:r>
          </w:p>
          <w:p w14:paraId="4561B0F4" w14:textId="7BDF4442" w:rsidR="00654FC2" w:rsidRDefault="00654FC2" w:rsidP="00AD309C">
            <w:pPr>
              <w:pStyle w:val="ListParagraph"/>
              <w:numPr>
                <w:ilvl w:val="0"/>
                <w:numId w:val="125"/>
              </w:numPr>
            </w:pPr>
            <w:r w:rsidRPr="00393457">
              <w:t>Evidence linking hand hygiene and infection prevention</w:t>
            </w:r>
            <w:r w:rsidR="00C92582">
              <w:t>;</w:t>
            </w:r>
          </w:p>
          <w:p w14:paraId="4FCE67BE" w14:textId="468C1241" w:rsidR="00654FC2" w:rsidRDefault="00654FC2" w:rsidP="00AD309C">
            <w:pPr>
              <w:pStyle w:val="ListParagraph"/>
              <w:numPr>
                <w:ilvl w:val="0"/>
                <w:numId w:val="125"/>
              </w:numPr>
            </w:pPr>
            <w:r w:rsidRPr="00393457">
              <w:t xml:space="preserve">When </w:t>
            </w:r>
            <w:hyperlink w:anchor="HHtouchpatientsendnote" w:history="1">
              <w:r w:rsidRPr="00393457">
                <w:rPr>
                  <w:rStyle w:val="Hyperlink"/>
                </w:rPr>
                <w:t>individuals who touch patients or who touch items that will be used by patients</w:t>
              </w:r>
            </w:hyperlink>
            <w:r>
              <w:fldChar w:fldCharType="begin"/>
            </w:r>
            <w:r>
              <w:instrText xml:space="preserve"> NOTEREF _Ref25671414 \f \h </w:instrText>
            </w:r>
            <w:r w:rsidR="00B96CDF">
              <w:instrText xml:space="preserve"> \* MERGEFORMAT </w:instrText>
            </w:r>
            <w:r>
              <w:fldChar w:fldCharType="separate"/>
            </w:r>
            <w:r w:rsidR="007D53A2" w:rsidRPr="00EE0B9E">
              <w:rPr>
                <w:rStyle w:val="EndnoteReference"/>
              </w:rPr>
              <w:t>44</w:t>
            </w:r>
            <w:r>
              <w:fldChar w:fldCharType="end"/>
            </w:r>
            <w:r w:rsidRPr="00393457">
              <w:t xml:space="preserve"> should perform hand hygiene</w:t>
            </w:r>
            <w:r>
              <w:t xml:space="preserve"> </w:t>
            </w:r>
            <w:r w:rsidRPr="00393457">
              <w:t xml:space="preserve">(e.g., </w:t>
            </w:r>
            <w:hyperlink r:id="rId357" w:history="1">
              <w:r w:rsidRPr="009E0751">
                <w:rPr>
                  <w:rStyle w:val="Hyperlink"/>
                </w:rPr>
                <w:t>WHO's 5 Moments for Hand Hygiene,</w:t>
              </w:r>
            </w:hyperlink>
            <w:r w:rsidRPr="00393457">
              <w:t xml:space="preserve"> </w:t>
            </w:r>
            <w:hyperlink r:id="rId358" w:history="1">
              <w:r w:rsidRPr="00393457">
                <w:rPr>
                  <w:rStyle w:val="Hyperlink"/>
                </w:rPr>
                <w:t>CDC’s Guideline for Hand Hygiene</w:t>
              </w:r>
            </w:hyperlink>
            <w:r w:rsidRPr="00393457">
              <w:t>)</w:t>
            </w:r>
            <w:r w:rsidR="00C92582">
              <w:t>;</w:t>
            </w:r>
          </w:p>
          <w:p w14:paraId="3C6EC6EE" w14:textId="7FAA0A3B" w:rsidR="00654FC2" w:rsidRPr="00393457" w:rsidRDefault="00654FC2" w:rsidP="00AD309C">
            <w:pPr>
              <w:pStyle w:val="ListParagraph"/>
              <w:numPr>
                <w:ilvl w:val="0"/>
                <w:numId w:val="125"/>
              </w:numPr>
            </w:pPr>
            <w:r w:rsidRPr="00393457">
              <w:t xml:space="preserve">How </w:t>
            </w:r>
            <w:hyperlink w:anchor="HHtouchpatientsendnote" w:history="1">
              <w:r w:rsidRPr="00393457">
                <w:rPr>
                  <w:rStyle w:val="Hyperlink"/>
                </w:rPr>
                <w:t>individuals who touch patients or who touch items that will be used by patients</w:t>
              </w:r>
            </w:hyperlink>
            <w:r>
              <w:fldChar w:fldCharType="begin"/>
            </w:r>
            <w:r>
              <w:instrText xml:space="preserve"> NOTEREF _Ref25671414 \f \h </w:instrText>
            </w:r>
            <w:r w:rsidR="00B96CDF">
              <w:instrText xml:space="preserve"> \* MERGEFORMAT </w:instrText>
            </w:r>
            <w:r>
              <w:fldChar w:fldCharType="separate"/>
            </w:r>
            <w:r w:rsidR="007D53A2" w:rsidRPr="00EE0B9E">
              <w:rPr>
                <w:rStyle w:val="EndnoteReference"/>
              </w:rPr>
              <w:t>44</w:t>
            </w:r>
            <w:r>
              <w:fldChar w:fldCharType="end"/>
            </w:r>
            <w:r w:rsidRPr="00393457">
              <w:t xml:space="preserve"> should clean their hands with alcohol-based hand sanitizer and soap and water as to ensure they cover all surfaces of hands and fingers, including thumbs and fingernails</w:t>
            </w:r>
            <w:r w:rsidR="00C92582">
              <w:t>;</w:t>
            </w:r>
          </w:p>
          <w:p w14:paraId="00D26950" w14:textId="67755AD7" w:rsidR="00654FC2" w:rsidRDefault="00654FC2" w:rsidP="00AD309C">
            <w:pPr>
              <w:pStyle w:val="ListParagraph"/>
              <w:numPr>
                <w:ilvl w:val="0"/>
                <w:numId w:val="125"/>
              </w:numPr>
            </w:pPr>
            <w:r>
              <w:t xml:space="preserve">When gloves should be used in addition to hand washing (e.g., caring for </w:t>
            </w:r>
            <w:r w:rsidRPr="00A26D23">
              <w:rPr>
                <w:i/>
                <w:iCs/>
              </w:rPr>
              <w:t>C. diff</w:t>
            </w:r>
            <w:r>
              <w:rPr>
                <w:i/>
                <w:iCs/>
              </w:rPr>
              <w:t>.</w:t>
            </w:r>
            <w:r>
              <w:t xml:space="preserve"> patients) and how hand hygiene should be performed when gloves are used</w:t>
            </w:r>
            <w:r w:rsidR="00C92582">
              <w:t>;</w:t>
            </w:r>
          </w:p>
          <w:p w14:paraId="32294C0C" w14:textId="2D6053C0" w:rsidR="00654FC2" w:rsidRDefault="00654FC2" w:rsidP="00AD309C">
            <w:pPr>
              <w:pStyle w:val="ListParagraph"/>
              <w:numPr>
                <w:ilvl w:val="0"/>
                <w:numId w:val="125"/>
              </w:numPr>
            </w:pPr>
            <w:r>
              <w:t>The minimum time that should be spent performing hand hygiene with soap and water and alcohol-based hand sanitizer</w:t>
            </w:r>
            <w:r w:rsidR="00C92582">
              <w:t>; and</w:t>
            </w:r>
          </w:p>
          <w:p w14:paraId="55C04B16" w14:textId="02B5A739" w:rsidR="00654FC2" w:rsidRPr="004B4271" w:rsidRDefault="00654FC2" w:rsidP="00AD309C">
            <w:pPr>
              <w:pStyle w:val="ListParagraph"/>
              <w:numPr>
                <w:ilvl w:val="0"/>
                <w:numId w:val="125"/>
              </w:numPr>
            </w:pPr>
            <w:r>
              <w:t>How hand hygiene compliance is monitored</w:t>
            </w:r>
            <w:r w:rsidR="00C92582">
              <w:t>?</w:t>
            </w:r>
          </w:p>
        </w:tc>
        <w:tc>
          <w:tcPr>
            <w:tcW w:w="3235" w:type="dxa"/>
            <w:vAlign w:val="center"/>
          </w:tcPr>
          <w:p w14:paraId="09471247" w14:textId="77777777" w:rsidR="00654FC2" w:rsidRPr="00B74BD8" w:rsidRDefault="00654FC2" w:rsidP="00AD309C">
            <w:pPr>
              <w:pStyle w:val="ListParagraph"/>
              <w:numPr>
                <w:ilvl w:val="0"/>
                <w:numId w:val="299"/>
              </w:numPr>
              <w:rPr>
                <w:iCs/>
              </w:rPr>
            </w:pPr>
            <w:r w:rsidRPr="00B74BD8">
              <w:rPr>
                <w:iCs/>
              </w:rPr>
              <w:t>Yes</w:t>
            </w:r>
          </w:p>
          <w:p w14:paraId="4D0D71F1" w14:textId="0694E279" w:rsidR="00654FC2" w:rsidRPr="00B74BD8" w:rsidRDefault="00654FC2" w:rsidP="00AD309C">
            <w:pPr>
              <w:pStyle w:val="ListParagraph"/>
              <w:numPr>
                <w:ilvl w:val="0"/>
                <w:numId w:val="299"/>
              </w:numPr>
              <w:rPr>
                <w:iCs/>
              </w:rPr>
            </w:pPr>
            <w:r w:rsidRPr="00B74BD8">
              <w:rPr>
                <w:iCs/>
              </w:rPr>
              <w:t>No</w:t>
            </w:r>
          </w:p>
        </w:tc>
      </w:tr>
    </w:tbl>
    <w:p w14:paraId="41B5B2CB" w14:textId="77777777" w:rsidR="00C91B69" w:rsidRPr="00C645E0" w:rsidRDefault="00C91B69" w:rsidP="00C91B69">
      <w:pPr>
        <w:rPr>
          <w:b/>
          <w:u w:val="single"/>
        </w:rPr>
      </w:pPr>
    </w:p>
    <w:p w14:paraId="7298EC6F" w14:textId="179C01B0" w:rsidR="00376548" w:rsidRPr="000F5420" w:rsidRDefault="00C645E0" w:rsidP="00AB5B80">
      <w:pPr>
        <w:pStyle w:val="Heading3"/>
        <w:rPr>
          <w:sz w:val="20"/>
          <w:szCs w:val="20"/>
        </w:rPr>
      </w:pPr>
      <w:bookmarkStart w:id="490" w:name="_Toc131159861"/>
      <w:bookmarkStart w:id="491" w:name="_Toc225877783"/>
      <w:r w:rsidRPr="00C645E0">
        <w:t>Infrastructure</w:t>
      </w:r>
      <w:bookmarkEnd w:id="490"/>
      <w:bookmarkEnd w:id="491"/>
      <w:r w:rsidR="00AC5B93">
        <w:br/>
      </w:r>
    </w:p>
    <w:tbl>
      <w:tblPr>
        <w:tblStyle w:val="TableGrid"/>
        <w:tblW w:w="0" w:type="auto"/>
        <w:tblLook w:val="04A0" w:firstRow="1" w:lastRow="0" w:firstColumn="1" w:lastColumn="0" w:noHBand="0" w:noVBand="1"/>
      </w:tblPr>
      <w:tblGrid>
        <w:gridCol w:w="6115"/>
        <w:gridCol w:w="3235"/>
      </w:tblGrid>
      <w:tr w:rsidR="00C645E0" w:rsidRPr="00C645E0" w14:paraId="797C772D" w14:textId="77777777" w:rsidTr="00D36222">
        <w:trPr>
          <w:trHeight w:val="2304"/>
        </w:trPr>
        <w:tc>
          <w:tcPr>
            <w:tcW w:w="6115" w:type="dxa"/>
          </w:tcPr>
          <w:p w14:paraId="6FB36498" w14:textId="51012180" w:rsidR="00C645E0" w:rsidRPr="00C645E0" w:rsidRDefault="00C645E0" w:rsidP="00AD309C">
            <w:pPr>
              <w:numPr>
                <w:ilvl w:val="0"/>
                <w:numId w:val="144"/>
              </w:numPr>
            </w:pPr>
            <w:r w:rsidRPr="00C645E0">
              <w:t xml:space="preserve">Does your hospital </w:t>
            </w:r>
            <w:r w:rsidR="007071C0">
              <w:t>conduct</w:t>
            </w:r>
            <w:r w:rsidRPr="00B30D9A">
              <w:t xml:space="preserve"> </w:t>
            </w:r>
            <w:r w:rsidRPr="00EF421A">
              <w:t>quarterly audits</w:t>
            </w:r>
            <w:r w:rsidRPr="00C645E0">
              <w:t xml:space="preserve"> </w:t>
            </w:r>
            <w:r w:rsidR="00A26D23">
              <w:t>on a sample of dispensers</w:t>
            </w:r>
            <w:r w:rsidRPr="00C645E0">
              <w:t xml:space="preserve"> </w:t>
            </w:r>
            <w:r w:rsidR="00403B90">
              <w:t xml:space="preserve">in your patient care units </w:t>
            </w:r>
            <w:r w:rsidRPr="00C645E0">
              <w:t xml:space="preserve">to ensure </w:t>
            </w:r>
            <w:r w:rsidR="007071C0">
              <w:t>all the following:</w:t>
            </w:r>
          </w:p>
          <w:p w14:paraId="5027083D" w14:textId="4711AA6F" w:rsidR="00AD65E4" w:rsidRDefault="007071C0" w:rsidP="00AD309C">
            <w:pPr>
              <w:numPr>
                <w:ilvl w:val="0"/>
                <w:numId w:val="84"/>
              </w:numPr>
            </w:pPr>
            <w:r>
              <w:t>P</w:t>
            </w:r>
            <w:r w:rsidR="00AD65E4">
              <w:t xml:space="preserve">aper towels, soap dispensers, and alcohol-based hand sanitizer dispensers </w:t>
            </w:r>
            <w:r>
              <w:t xml:space="preserve">are refilled </w:t>
            </w:r>
            <w:r w:rsidR="00AD65E4">
              <w:t>when they are empty or near empty</w:t>
            </w:r>
            <w:r w:rsidR="00E003AE">
              <w:t>,</w:t>
            </w:r>
            <w:r w:rsidR="00C92582">
              <w:t xml:space="preserve"> and</w:t>
            </w:r>
          </w:p>
          <w:p w14:paraId="6EF4CC87" w14:textId="45240CAA" w:rsidR="00C26849" w:rsidRPr="00C645E0" w:rsidRDefault="007071C0" w:rsidP="00AD309C">
            <w:pPr>
              <w:numPr>
                <w:ilvl w:val="0"/>
                <w:numId w:val="84"/>
              </w:numPr>
            </w:pPr>
            <w:r>
              <w:t>B</w:t>
            </w:r>
            <w:r w:rsidR="00AD65E4">
              <w:t>atteries in automated paper towel dispensers, soap dispensers, and alcohol-based hand sanitizer dispensers (if automated d</w:t>
            </w:r>
            <w:r w:rsidR="00C26849">
              <w:t>ispensers are used in the patient care units</w:t>
            </w:r>
            <w:r w:rsidR="00AD65E4">
              <w:t>)</w:t>
            </w:r>
            <w:r>
              <w:t xml:space="preserve"> are replaced</w:t>
            </w:r>
            <w:r w:rsidR="00C92582">
              <w:t>?</w:t>
            </w:r>
          </w:p>
        </w:tc>
        <w:tc>
          <w:tcPr>
            <w:tcW w:w="3235" w:type="dxa"/>
            <w:vAlign w:val="center"/>
          </w:tcPr>
          <w:p w14:paraId="40575AB1" w14:textId="77777777" w:rsidR="00C645E0" w:rsidRPr="00B74BD8" w:rsidRDefault="00C645E0" w:rsidP="00AD309C">
            <w:pPr>
              <w:pStyle w:val="ListParagraph"/>
              <w:numPr>
                <w:ilvl w:val="0"/>
                <w:numId w:val="298"/>
              </w:numPr>
              <w:rPr>
                <w:iCs/>
              </w:rPr>
            </w:pPr>
            <w:r w:rsidRPr="00B74BD8">
              <w:rPr>
                <w:iCs/>
              </w:rPr>
              <w:t>Yes</w:t>
            </w:r>
          </w:p>
          <w:p w14:paraId="723F17AF" w14:textId="77777777" w:rsidR="00C645E0" w:rsidRPr="00B74BD8" w:rsidRDefault="00C645E0" w:rsidP="00AD309C">
            <w:pPr>
              <w:pStyle w:val="ListParagraph"/>
              <w:numPr>
                <w:ilvl w:val="0"/>
                <w:numId w:val="298"/>
              </w:numPr>
              <w:rPr>
                <w:iCs/>
              </w:rPr>
            </w:pPr>
            <w:r w:rsidRPr="00B74BD8">
              <w:rPr>
                <w:iCs/>
              </w:rPr>
              <w:t>No</w:t>
            </w:r>
          </w:p>
        </w:tc>
      </w:tr>
      <w:tr w:rsidR="00C645E0" w:rsidRPr="00C645E0" w14:paraId="1B6B6DD2" w14:textId="77777777" w:rsidTr="00B74BD8">
        <w:trPr>
          <w:trHeight w:val="1728"/>
        </w:trPr>
        <w:tc>
          <w:tcPr>
            <w:tcW w:w="6115" w:type="dxa"/>
          </w:tcPr>
          <w:p w14:paraId="1ACB7AA2" w14:textId="73B0534A" w:rsidR="003578D4" w:rsidRDefault="00A26D23" w:rsidP="00AD309C">
            <w:pPr>
              <w:pStyle w:val="ListParagraph"/>
              <w:numPr>
                <w:ilvl w:val="0"/>
                <w:numId w:val="144"/>
              </w:numPr>
            </w:pPr>
            <w:r w:rsidRPr="00A26D23">
              <w:t xml:space="preserve">Do </w:t>
            </w:r>
            <w:r w:rsidRPr="004B0897">
              <w:rPr>
                <w:b/>
                <w:bCs/>
              </w:rPr>
              <w:t xml:space="preserve">all </w:t>
            </w:r>
            <w:r w:rsidRPr="00A26D23">
              <w:t xml:space="preserve">rooms </w:t>
            </w:r>
            <w:r w:rsidR="004B0897">
              <w:t>and</w:t>
            </w:r>
            <w:r w:rsidRPr="00A26D23">
              <w:t xml:space="preserve"> bed spaces in your patient care units have</w:t>
            </w:r>
            <w:r w:rsidR="003578D4">
              <w:t>:</w:t>
            </w:r>
          </w:p>
          <w:p w14:paraId="3A0BCC6C" w14:textId="7DD5A13B" w:rsidR="003578D4" w:rsidRDefault="00A26D23" w:rsidP="00AD309C">
            <w:pPr>
              <w:pStyle w:val="ListParagraph"/>
              <w:numPr>
                <w:ilvl w:val="0"/>
                <w:numId w:val="145"/>
              </w:numPr>
            </w:pPr>
            <w:r w:rsidRPr="00A26D23">
              <w:t xml:space="preserve">an alcohol-based hand sanitizer </w:t>
            </w:r>
            <w:r w:rsidR="003578D4">
              <w:t xml:space="preserve">dispenser located </w:t>
            </w:r>
            <w:r w:rsidR="00A65D19">
              <w:t>at the entrance to</w:t>
            </w:r>
            <w:r w:rsidR="003578D4">
              <w:t xml:space="preserve"> the room or bed space</w:t>
            </w:r>
            <w:r w:rsidR="0002601E">
              <w:t>,</w:t>
            </w:r>
            <w:r w:rsidR="003578D4">
              <w:t xml:space="preserve"> and</w:t>
            </w:r>
          </w:p>
          <w:p w14:paraId="671FBB43" w14:textId="14442AD6" w:rsidR="00AC5B93" w:rsidRPr="00C645E0" w:rsidRDefault="003578D4" w:rsidP="00AD309C">
            <w:pPr>
              <w:pStyle w:val="ListParagraph"/>
              <w:numPr>
                <w:ilvl w:val="0"/>
                <w:numId w:val="145"/>
              </w:numPr>
            </w:pPr>
            <w:r>
              <w:t>alcohol-based hand sanitizer</w:t>
            </w:r>
            <w:r w:rsidR="00A26D23" w:rsidRPr="00A26D23">
              <w:t xml:space="preserve"> </w:t>
            </w:r>
            <w:r>
              <w:t xml:space="preserve">dispenser(s) located inside the room or bed space that are equally </w:t>
            </w:r>
            <w:r w:rsidR="00A26D23" w:rsidRPr="00A26D23">
              <w:t>accessible to</w:t>
            </w:r>
            <w:r>
              <w:t xml:space="preserve"> </w:t>
            </w:r>
            <w:r w:rsidR="00155177">
              <w:t xml:space="preserve">the location of </w:t>
            </w:r>
            <w:r>
              <w:t>all patients</w:t>
            </w:r>
            <w:r w:rsidR="00155177">
              <w:t xml:space="preserve"> in the room or bed space</w:t>
            </w:r>
            <w:r w:rsidR="00D5601C">
              <w:t>?</w:t>
            </w:r>
          </w:p>
        </w:tc>
        <w:tc>
          <w:tcPr>
            <w:tcW w:w="3235" w:type="dxa"/>
            <w:vAlign w:val="center"/>
          </w:tcPr>
          <w:p w14:paraId="475FF173" w14:textId="77777777" w:rsidR="00C645E0" w:rsidRPr="00B74BD8" w:rsidRDefault="003F5475" w:rsidP="00AD309C">
            <w:pPr>
              <w:pStyle w:val="ListParagraph"/>
              <w:numPr>
                <w:ilvl w:val="0"/>
                <w:numId w:val="298"/>
              </w:numPr>
              <w:rPr>
                <w:iCs/>
              </w:rPr>
            </w:pPr>
            <w:r w:rsidRPr="00B74BD8">
              <w:rPr>
                <w:iCs/>
              </w:rPr>
              <w:t>Yes</w:t>
            </w:r>
          </w:p>
          <w:p w14:paraId="46BEA923" w14:textId="77777777" w:rsidR="003F5475" w:rsidRPr="00B74BD8" w:rsidRDefault="003F5475" w:rsidP="00AD309C">
            <w:pPr>
              <w:pStyle w:val="ListParagraph"/>
              <w:numPr>
                <w:ilvl w:val="0"/>
                <w:numId w:val="298"/>
              </w:numPr>
              <w:rPr>
                <w:iCs/>
              </w:rPr>
            </w:pPr>
            <w:r w:rsidRPr="00B74BD8">
              <w:rPr>
                <w:iCs/>
              </w:rPr>
              <w:t>No</w:t>
            </w:r>
          </w:p>
        </w:tc>
      </w:tr>
      <w:tr w:rsidR="00C645E0" w:rsidRPr="00C645E0" w14:paraId="0A1890CB" w14:textId="77777777" w:rsidTr="00B74BD8">
        <w:trPr>
          <w:trHeight w:val="4752"/>
        </w:trPr>
        <w:tc>
          <w:tcPr>
            <w:tcW w:w="6115" w:type="dxa"/>
          </w:tcPr>
          <w:p w14:paraId="0360DD6C" w14:textId="2BBD24C1" w:rsidR="00376548" w:rsidRDefault="00125DCD" w:rsidP="00AD309C">
            <w:pPr>
              <w:pStyle w:val="ListParagraph"/>
              <w:numPr>
                <w:ilvl w:val="0"/>
                <w:numId w:val="144"/>
              </w:numPr>
            </w:pPr>
            <w:r w:rsidRPr="00125DCD">
              <w:lastRenderedPageBreak/>
              <w:t>Does your hospital conduct</w:t>
            </w:r>
            <w:r w:rsidR="00C645E0" w:rsidRPr="00C645E0">
              <w:t xml:space="preserve"> </w:t>
            </w:r>
            <w:r w:rsidR="00C645E0" w:rsidRPr="00EF421A">
              <w:t>audits</w:t>
            </w:r>
            <w:r w:rsidR="00376548" w:rsidRPr="00EF421A">
              <w:t xml:space="preserve"> of the volume of alcohol-based hand sanitizer</w:t>
            </w:r>
            <w:r w:rsidR="00C645E0" w:rsidRPr="00C645E0">
              <w:t xml:space="preserve"> </w:t>
            </w:r>
            <w:r w:rsidR="00376548" w:rsidRPr="00125DCD">
              <w:t xml:space="preserve">that is delivered with each activation of a wall-mounted dispenser (manual and automated) </w:t>
            </w:r>
            <w:r w:rsidR="00A26D23">
              <w:t xml:space="preserve">on a sample of dispensers </w:t>
            </w:r>
            <w:r w:rsidR="00403B90">
              <w:t xml:space="preserve">in your patient care units </w:t>
            </w:r>
            <w:r w:rsidR="00376548">
              <w:t xml:space="preserve">at </w:t>
            </w:r>
            <w:r w:rsidR="00376548" w:rsidRPr="00820338">
              <w:rPr>
                <w:b/>
              </w:rPr>
              <w:t>all</w:t>
            </w:r>
            <w:r w:rsidR="00376548">
              <w:t xml:space="preserve"> the following times:</w:t>
            </w:r>
          </w:p>
          <w:p w14:paraId="361B1A54" w14:textId="07975C35" w:rsidR="00376548" w:rsidRDefault="00376548" w:rsidP="00AD309C">
            <w:pPr>
              <w:pStyle w:val="ListParagraph"/>
              <w:numPr>
                <w:ilvl w:val="0"/>
                <w:numId w:val="105"/>
              </w:numPr>
            </w:pPr>
            <w:r w:rsidRPr="00125DCD">
              <w:t>upon installation</w:t>
            </w:r>
            <w:r w:rsidR="0002601E">
              <w:t>,</w:t>
            </w:r>
          </w:p>
          <w:p w14:paraId="48CDD4CB" w14:textId="54B915D3" w:rsidR="00376548" w:rsidRDefault="00376548" w:rsidP="00AD309C">
            <w:pPr>
              <w:pStyle w:val="ListParagraph"/>
              <w:numPr>
                <w:ilvl w:val="0"/>
                <w:numId w:val="105"/>
              </w:numPr>
            </w:pPr>
            <w:r>
              <w:t xml:space="preserve">whenever the brand of product </w:t>
            </w:r>
            <w:r w:rsidR="00A26D23">
              <w:t xml:space="preserve">or system </w:t>
            </w:r>
            <w:r>
              <w:t>changes</w:t>
            </w:r>
            <w:r w:rsidR="0002601E">
              <w:t xml:space="preserve">, </w:t>
            </w:r>
            <w:r>
              <w:t>and</w:t>
            </w:r>
          </w:p>
          <w:p w14:paraId="51835A3D" w14:textId="2541E006" w:rsidR="00AF17B5" w:rsidRDefault="00A26D23" w:rsidP="00AD309C">
            <w:pPr>
              <w:pStyle w:val="ListParagraph"/>
              <w:numPr>
                <w:ilvl w:val="0"/>
                <w:numId w:val="105"/>
              </w:numPr>
            </w:pPr>
            <w:r w:rsidRPr="00A26D23">
              <w:t>whenever adjustments are made to the dispensers</w:t>
            </w:r>
            <w:r w:rsidR="00AE36BC">
              <w:t>?</w:t>
            </w:r>
            <w:r w:rsidR="00AF17B5">
              <w:t xml:space="preserve"> </w:t>
            </w:r>
          </w:p>
          <w:p w14:paraId="121F055F" w14:textId="77777777" w:rsidR="0002601E" w:rsidRDefault="0002601E" w:rsidP="00AF17B5">
            <w:pPr>
              <w:ind w:left="360"/>
              <w:rPr>
                <w:b/>
                <w:bCs/>
              </w:rPr>
            </w:pPr>
          </w:p>
          <w:p w14:paraId="23C2D22C" w14:textId="199F5F7D" w:rsidR="00080808" w:rsidRPr="00080808" w:rsidRDefault="00AF17B5" w:rsidP="00AF17B5">
            <w:pPr>
              <w:ind w:left="360"/>
            </w:pPr>
            <w:r w:rsidRPr="00080808">
              <w:rPr>
                <w:b/>
                <w:bCs/>
              </w:rPr>
              <w:t>OR</w:t>
            </w:r>
          </w:p>
          <w:p w14:paraId="6D999D5F" w14:textId="77777777" w:rsidR="0002601E" w:rsidRDefault="0002601E" w:rsidP="00AF17B5">
            <w:pPr>
              <w:ind w:left="360"/>
            </w:pPr>
          </w:p>
          <w:p w14:paraId="1B694624" w14:textId="75B1111F" w:rsidR="00376548" w:rsidRDefault="00080808" w:rsidP="00AF17B5">
            <w:pPr>
              <w:ind w:left="360"/>
            </w:pPr>
            <w:r>
              <w:t xml:space="preserve">Has your hospital conducted an </w:t>
            </w:r>
            <w:r w:rsidRPr="00EF421A">
              <w:t>audit of the volume of alcohol-based hand sanitizer</w:t>
            </w:r>
            <w:r w:rsidR="00AF17B5">
              <w:t xml:space="preserve"> </w:t>
            </w:r>
            <w:r>
              <w:t xml:space="preserve">that is delivered with each activation of a wall-mounted dispenser (manual and automated) on a sample of your hospital’s </w:t>
            </w:r>
            <w:r>
              <w:rPr>
                <w:u w:val="single"/>
              </w:rPr>
              <w:t>existing</w:t>
            </w:r>
            <w:r>
              <w:t xml:space="preserve"> dispensers </w:t>
            </w:r>
            <w:r w:rsidR="00AF17B5">
              <w:t>if there have been no</w:t>
            </w:r>
            <w:r w:rsidR="00B67017">
              <w:t xml:space="preserve"> </w:t>
            </w:r>
            <w:r w:rsidR="00AF17B5">
              <w:t>changes to any dispensers?</w:t>
            </w:r>
          </w:p>
          <w:p w14:paraId="45D9480C" w14:textId="77777777" w:rsidR="0086322F" w:rsidRPr="00C645E0" w:rsidRDefault="0086322F" w:rsidP="00376548">
            <w:pPr>
              <w:pStyle w:val="ListParagraph"/>
              <w:ind w:left="360"/>
            </w:pPr>
          </w:p>
          <w:p w14:paraId="1B160AAE" w14:textId="69B5DF43" w:rsidR="00AC5B93" w:rsidRPr="00C645E0" w:rsidRDefault="00376548" w:rsidP="000D5FED">
            <w:pPr>
              <w:ind w:left="360"/>
              <w:rPr>
                <w:i/>
              </w:rPr>
            </w:pPr>
            <w:r>
              <w:rPr>
                <w:i/>
              </w:rPr>
              <w:t>If “no” or “does not apply, wall-mounted dispensers are not used</w:t>
            </w:r>
            <w:r w:rsidRPr="00C645E0">
              <w:rPr>
                <w:i/>
              </w:rPr>
              <w:t>,</w:t>
            </w:r>
            <w:r>
              <w:rPr>
                <w:i/>
              </w:rPr>
              <w:t>”</w:t>
            </w:r>
            <w:r w:rsidRPr="00C645E0">
              <w:rPr>
                <w:i/>
              </w:rPr>
              <w:t xml:space="preserve"> skip question #</w:t>
            </w:r>
            <w:r w:rsidR="00E765A0">
              <w:rPr>
                <w:i/>
              </w:rPr>
              <w:t>7</w:t>
            </w:r>
            <w:r w:rsidRPr="00C645E0">
              <w:rPr>
                <w:i/>
              </w:rPr>
              <w:t xml:space="preserve"> and continue to question #</w:t>
            </w:r>
            <w:r w:rsidR="00E765A0">
              <w:rPr>
                <w:i/>
              </w:rPr>
              <w:t>8</w:t>
            </w:r>
            <w:r>
              <w:rPr>
                <w:i/>
              </w:rPr>
              <w:t>.</w:t>
            </w:r>
          </w:p>
        </w:tc>
        <w:tc>
          <w:tcPr>
            <w:tcW w:w="3235" w:type="dxa"/>
            <w:vAlign w:val="center"/>
          </w:tcPr>
          <w:p w14:paraId="37A47234" w14:textId="0016CBEE" w:rsidR="00C645E0" w:rsidRPr="00B74BD8" w:rsidRDefault="00C645E0" w:rsidP="00AD309C">
            <w:pPr>
              <w:pStyle w:val="ListParagraph"/>
              <w:numPr>
                <w:ilvl w:val="0"/>
                <w:numId w:val="298"/>
              </w:numPr>
              <w:rPr>
                <w:iCs/>
              </w:rPr>
            </w:pPr>
            <w:r w:rsidRPr="00B74BD8">
              <w:rPr>
                <w:iCs/>
              </w:rPr>
              <w:t>Yes</w:t>
            </w:r>
          </w:p>
          <w:p w14:paraId="143228DC" w14:textId="501CE8AB" w:rsidR="007B4D63" w:rsidRPr="00B74BD8" w:rsidRDefault="00C645E0" w:rsidP="00AD309C">
            <w:pPr>
              <w:pStyle w:val="ListParagraph"/>
              <w:numPr>
                <w:ilvl w:val="0"/>
                <w:numId w:val="298"/>
              </w:numPr>
              <w:rPr>
                <w:iCs/>
              </w:rPr>
            </w:pPr>
            <w:r w:rsidRPr="00B74BD8">
              <w:rPr>
                <w:iCs/>
              </w:rPr>
              <w:t>No</w:t>
            </w:r>
          </w:p>
          <w:p w14:paraId="2773372D" w14:textId="3D857579" w:rsidR="00C03D67" w:rsidRPr="00B74BD8" w:rsidRDefault="00C03D67" w:rsidP="00AD309C">
            <w:pPr>
              <w:pStyle w:val="ListParagraph"/>
              <w:numPr>
                <w:ilvl w:val="0"/>
                <w:numId w:val="298"/>
              </w:numPr>
              <w:rPr>
                <w:iCs/>
              </w:rPr>
            </w:pPr>
            <w:r w:rsidRPr="00B74BD8">
              <w:rPr>
                <w:iCs/>
              </w:rPr>
              <w:t>Does not apply</w:t>
            </w:r>
            <w:r w:rsidR="00BF2A68">
              <w:rPr>
                <w:iCs/>
              </w:rPr>
              <w:t>;</w:t>
            </w:r>
            <w:r w:rsidRPr="00B74BD8">
              <w:rPr>
                <w:iCs/>
              </w:rPr>
              <w:t xml:space="preserve"> wall-mounted dispensers are not used</w:t>
            </w:r>
          </w:p>
        </w:tc>
      </w:tr>
      <w:tr w:rsidR="00C645E0" w:rsidRPr="00C645E0" w14:paraId="5E518553" w14:textId="77777777" w:rsidTr="00B74BD8">
        <w:trPr>
          <w:trHeight w:val="1296"/>
        </w:trPr>
        <w:tc>
          <w:tcPr>
            <w:tcW w:w="6115" w:type="dxa"/>
            <w:vAlign w:val="center"/>
          </w:tcPr>
          <w:p w14:paraId="5FCD510F" w14:textId="1306BB83" w:rsidR="002274A4" w:rsidRPr="00C645E0" w:rsidRDefault="002274A4" w:rsidP="00AD309C">
            <w:pPr>
              <w:numPr>
                <w:ilvl w:val="0"/>
                <w:numId w:val="144"/>
              </w:numPr>
            </w:pPr>
            <w:r w:rsidRPr="002274A4">
              <w:t>Do all the audited dispensers deliver</w:t>
            </w:r>
            <w:r w:rsidR="00A26D23">
              <w:t>, with one activation,</w:t>
            </w:r>
            <w:r w:rsidRPr="002274A4">
              <w:t xml:space="preserve"> </w:t>
            </w:r>
            <w:r w:rsidR="003F209C">
              <w:t xml:space="preserve">1.0 mL </w:t>
            </w:r>
            <w:r w:rsidRPr="002274A4">
              <w:t xml:space="preserve">of alcohol-based hand sanitizer </w:t>
            </w:r>
            <w:r w:rsidR="003F209C">
              <w:t xml:space="preserve">OR </w:t>
            </w:r>
            <w:r w:rsidR="008527BA">
              <w:t>a volume of alcohol-based hand sanitizer</w:t>
            </w:r>
            <w:r w:rsidR="00080756">
              <w:t xml:space="preserve"> </w:t>
            </w:r>
            <w:r w:rsidR="008527BA">
              <w:t>that covers the hands completely and</w:t>
            </w:r>
            <w:r w:rsidRPr="002274A4">
              <w:t xml:space="preserve"> requires 15 or more seconds for hands to dry</w:t>
            </w:r>
            <w:r w:rsidR="000C1E2D">
              <w:t xml:space="preserve"> (on average)</w:t>
            </w:r>
            <w:r w:rsidRPr="002274A4">
              <w:t>?</w:t>
            </w:r>
          </w:p>
        </w:tc>
        <w:tc>
          <w:tcPr>
            <w:tcW w:w="3235" w:type="dxa"/>
            <w:vAlign w:val="center"/>
          </w:tcPr>
          <w:p w14:paraId="62AB951F" w14:textId="77777777" w:rsidR="00C645E0" w:rsidRPr="00B74BD8" w:rsidRDefault="00C645E0" w:rsidP="00AD309C">
            <w:pPr>
              <w:pStyle w:val="ListParagraph"/>
              <w:numPr>
                <w:ilvl w:val="0"/>
                <w:numId w:val="298"/>
              </w:numPr>
              <w:rPr>
                <w:iCs/>
              </w:rPr>
            </w:pPr>
            <w:r w:rsidRPr="00B74BD8">
              <w:rPr>
                <w:iCs/>
              </w:rPr>
              <w:t>Yes</w:t>
            </w:r>
          </w:p>
          <w:p w14:paraId="6B84BCF2" w14:textId="77777777" w:rsidR="00C645E0" w:rsidRPr="00B74BD8" w:rsidRDefault="00C645E0" w:rsidP="00AD309C">
            <w:pPr>
              <w:pStyle w:val="ListParagraph"/>
              <w:numPr>
                <w:ilvl w:val="0"/>
                <w:numId w:val="298"/>
              </w:numPr>
              <w:rPr>
                <w:iCs/>
              </w:rPr>
            </w:pPr>
            <w:r w:rsidRPr="00B74BD8">
              <w:rPr>
                <w:iCs/>
              </w:rPr>
              <w:t>No</w:t>
            </w:r>
          </w:p>
        </w:tc>
      </w:tr>
    </w:tbl>
    <w:p w14:paraId="1BF3EC92" w14:textId="2651428A" w:rsidR="00BF21C4" w:rsidRDefault="00BF21C4" w:rsidP="00C75799">
      <w:bookmarkStart w:id="492" w:name="_Toc131159862"/>
    </w:p>
    <w:p w14:paraId="300E2A0C" w14:textId="799D207A" w:rsidR="00C645E0" w:rsidRPr="00C8246A" w:rsidRDefault="003F5475" w:rsidP="00AB5B80">
      <w:pPr>
        <w:pStyle w:val="Heading3"/>
        <w:rPr>
          <w:sz w:val="20"/>
          <w:szCs w:val="20"/>
        </w:rPr>
      </w:pPr>
      <w:bookmarkStart w:id="493" w:name="_Toc225877784"/>
      <w:r>
        <w:t>Monitoring</w:t>
      </w:r>
      <w:bookmarkEnd w:id="492"/>
      <w:bookmarkEnd w:id="493"/>
      <w:r w:rsidR="00AC5B93">
        <w:br/>
      </w:r>
    </w:p>
    <w:tbl>
      <w:tblPr>
        <w:tblStyle w:val="TableGrid"/>
        <w:tblW w:w="0" w:type="auto"/>
        <w:tblLook w:val="04A0" w:firstRow="1" w:lastRow="0" w:firstColumn="1" w:lastColumn="0" w:noHBand="0" w:noVBand="1"/>
      </w:tblPr>
      <w:tblGrid>
        <w:gridCol w:w="6127"/>
        <w:gridCol w:w="3223"/>
      </w:tblGrid>
      <w:tr w:rsidR="00C4320C" w14:paraId="227679E1" w14:textId="3F93229C" w:rsidTr="00E43A51">
        <w:trPr>
          <w:trHeight w:val="1872"/>
        </w:trPr>
        <w:tc>
          <w:tcPr>
            <w:tcW w:w="6127" w:type="dxa"/>
            <w:vAlign w:val="center"/>
          </w:tcPr>
          <w:p w14:paraId="689653F2" w14:textId="0026488C" w:rsidR="00C4320C" w:rsidRDefault="00C4320C" w:rsidP="00AD309C">
            <w:pPr>
              <w:numPr>
                <w:ilvl w:val="0"/>
                <w:numId w:val="144"/>
              </w:numPr>
            </w:pPr>
            <w:r>
              <w:t xml:space="preserve">Does your hospital collect hand hygiene compliance data on at least </w:t>
            </w:r>
            <w:r w:rsidRPr="00093B90">
              <w:rPr>
                <w:b/>
                <w:bCs/>
              </w:rPr>
              <w:t>200</w:t>
            </w:r>
            <w:r w:rsidRPr="003F363F">
              <w:t xml:space="preserve"> </w:t>
            </w:r>
            <w:r w:rsidRPr="00DC0C88">
              <w:rPr>
                <w:b/>
                <w:bCs/>
              </w:rPr>
              <w:t>hand hygiene opportunities</w:t>
            </w:r>
            <w:r w:rsidRPr="003F363F">
              <w:t xml:space="preserve">, or </w:t>
            </w:r>
            <w:r w:rsidR="00FE21EC">
              <w:t xml:space="preserve">at least the number of hand hygiene opportunities outlined based on the unit type in </w:t>
            </w:r>
            <w:r w:rsidR="00FE21EC" w:rsidRPr="00DC0C88">
              <w:t>Tables 1-3</w:t>
            </w:r>
            <w:r>
              <w:t xml:space="preserve">, </w:t>
            </w:r>
            <w:r w:rsidRPr="00740D37">
              <w:rPr>
                <w:b/>
                <w:bCs/>
              </w:rPr>
              <w:t xml:space="preserve">each </w:t>
            </w:r>
            <w:r w:rsidRPr="00230353">
              <w:rPr>
                <w:b/>
                <w:bCs/>
                <w:u w:val="single"/>
              </w:rPr>
              <w:t>month</w:t>
            </w:r>
            <w:r w:rsidRPr="00230353">
              <w:rPr>
                <w:b/>
                <w:bCs/>
              </w:rPr>
              <w:t xml:space="preserve"> in each patient care unit</w:t>
            </w:r>
            <w:r>
              <w:t>?</w:t>
            </w:r>
          </w:p>
          <w:p w14:paraId="6A1F5982" w14:textId="5486EE11" w:rsidR="00C4320C" w:rsidRDefault="00C4320C" w:rsidP="00CA75AB">
            <w:pPr>
              <w:ind w:left="360"/>
            </w:pPr>
          </w:p>
          <w:p w14:paraId="4FB9ADF6" w14:textId="0142F50B" w:rsidR="00C4320C" w:rsidRPr="009E0198" w:rsidRDefault="00C4320C" w:rsidP="00CA75AB">
            <w:pPr>
              <w:ind w:left="360"/>
              <w:rPr>
                <w:i/>
                <w:iCs/>
              </w:rPr>
            </w:pPr>
            <w:r>
              <w:rPr>
                <w:i/>
                <w:iCs/>
              </w:rPr>
              <w:t>If “yes” to question #8, skip question</w:t>
            </w:r>
            <w:r w:rsidR="00D40215">
              <w:rPr>
                <w:i/>
                <w:iCs/>
              </w:rPr>
              <w:t>s</w:t>
            </w:r>
            <w:r>
              <w:rPr>
                <w:i/>
                <w:iCs/>
              </w:rPr>
              <w:t xml:space="preserve"> #9</w:t>
            </w:r>
            <w:r w:rsidR="00467127">
              <w:rPr>
                <w:i/>
                <w:iCs/>
              </w:rPr>
              <w:t>-10</w:t>
            </w:r>
            <w:r>
              <w:rPr>
                <w:i/>
                <w:iCs/>
              </w:rPr>
              <w:t xml:space="preserve"> and continue to question #1</w:t>
            </w:r>
            <w:r w:rsidR="00467127">
              <w:rPr>
                <w:i/>
                <w:iCs/>
              </w:rPr>
              <w:t>1</w:t>
            </w:r>
            <w:r>
              <w:rPr>
                <w:i/>
                <w:iCs/>
              </w:rPr>
              <w:t>.</w:t>
            </w:r>
          </w:p>
        </w:tc>
        <w:tc>
          <w:tcPr>
            <w:tcW w:w="3223" w:type="dxa"/>
            <w:vAlign w:val="center"/>
          </w:tcPr>
          <w:p w14:paraId="21539920" w14:textId="5530B21A" w:rsidR="00C4320C" w:rsidRPr="00B74BD8" w:rsidRDefault="00C4320C" w:rsidP="00AD309C">
            <w:pPr>
              <w:pStyle w:val="ListParagraph"/>
              <w:numPr>
                <w:ilvl w:val="0"/>
                <w:numId w:val="297"/>
              </w:numPr>
              <w:rPr>
                <w:iCs/>
              </w:rPr>
            </w:pPr>
            <w:r w:rsidRPr="00B74BD8">
              <w:rPr>
                <w:iCs/>
              </w:rPr>
              <w:t>Yes, using an electronic compliance monitoring system</w:t>
            </w:r>
            <w:r w:rsidR="00C33FA2" w:rsidRPr="00B74BD8">
              <w:rPr>
                <w:iCs/>
              </w:rPr>
              <w:t xml:space="preserve"> throughout all patient care units</w:t>
            </w:r>
          </w:p>
          <w:p w14:paraId="319EB1D1" w14:textId="63AD5689" w:rsidR="00C33FA2" w:rsidRPr="00B74BD8" w:rsidRDefault="00C33FA2" w:rsidP="00AD309C">
            <w:pPr>
              <w:pStyle w:val="ListParagraph"/>
              <w:numPr>
                <w:ilvl w:val="0"/>
                <w:numId w:val="297"/>
              </w:numPr>
              <w:rPr>
                <w:iCs/>
              </w:rPr>
            </w:pPr>
            <w:r w:rsidRPr="00B74BD8">
              <w:rPr>
                <w:iCs/>
              </w:rPr>
              <w:t>Yes, using an electronic compliance monitoring system throughout some patient care units and only direct observation in all other patient care units</w:t>
            </w:r>
          </w:p>
          <w:p w14:paraId="1F26238A" w14:textId="51BD3DB3" w:rsidR="00C4320C" w:rsidRPr="00B74BD8" w:rsidRDefault="00C4320C" w:rsidP="00AD309C">
            <w:pPr>
              <w:pStyle w:val="ListParagraph"/>
              <w:numPr>
                <w:ilvl w:val="0"/>
                <w:numId w:val="297"/>
              </w:numPr>
              <w:rPr>
                <w:iCs/>
              </w:rPr>
            </w:pPr>
            <w:r w:rsidRPr="00B74BD8">
              <w:rPr>
                <w:iCs/>
              </w:rPr>
              <w:t>Yes, using only direct observation</w:t>
            </w:r>
            <w:r w:rsidR="00C33FA2" w:rsidRPr="00B74BD8">
              <w:rPr>
                <w:iCs/>
              </w:rPr>
              <w:t xml:space="preserve"> </w:t>
            </w:r>
            <w:r w:rsidR="000C55D5" w:rsidRPr="00B74BD8">
              <w:rPr>
                <w:iCs/>
              </w:rPr>
              <w:t>throughout</w:t>
            </w:r>
            <w:r w:rsidR="00C33FA2" w:rsidRPr="00B74BD8">
              <w:rPr>
                <w:iCs/>
              </w:rPr>
              <w:t xml:space="preserve"> all patient care units</w:t>
            </w:r>
          </w:p>
          <w:p w14:paraId="25A0BCC4" w14:textId="60C6A41F" w:rsidR="00C4320C" w:rsidRPr="00B74BD8" w:rsidRDefault="00C4320C" w:rsidP="00AD309C">
            <w:pPr>
              <w:pStyle w:val="ListParagraph"/>
              <w:numPr>
                <w:ilvl w:val="0"/>
                <w:numId w:val="297"/>
              </w:numPr>
              <w:rPr>
                <w:iCs/>
              </w:rPr>
            </w:pPr>
            <w:r w:rsidRPr="00B74BD8">
              <w:rPr>
                <w:iCs/>
              </w:rPr>
              <w:t>No</w:t>
            </w:r>
          </w:p>
        </w:tc>
      </w:tr>
      <w:tr w:rsidR="00C4320C" w14:paraId="0296F878" w14:textId="1C1BC515" w:rsidTr="00E43A51">
        <w:trPr>
          <w:trHeight w:val="1872"/>
        </w:trPr>
        <w:tc>
          <w:tcPr>
            <w:tcW w:w="6127" w:type="dxa"/>
            <w:vAlign w:val="center"/>
          </w:tcPr>
          <w:p w14:paraId="362E7BF0" w14:textId="155A4D88" w:rsidR="00C4320C" w:rsidRDefault="00C4320C" w:rsidP="00AD309C">
            <w:pPr>
              <w:numPr>
                <w:ilvl w:val="0"/>
                <w:numId w:val="144"/>
              </w:numPr>
            </w:pPr>
            <w:r>
              <w:t xml:space="preserve">Does your hospital collect hand hygiene compliance data on at least </w:t>
            </w:r>
            <w:r w:rsidR="005B6CCF" w:rsidRPr="00093B90">
              <w:rPr>
                <w:b/>
                <w:bCs/>
              </w:rPr>
              <w:t>100</w:t>
            </w:r>
            <w:r>
              <w:t xml:space="preserve"> </w:t>
            </w:r>
            <w:r w:rsidRPr="00DC0C88">
              <w:rPr>
                <w:b/>
                <w:bCs/>
              </w:rPr>
              <w:t>hand hygiene opportunities</w:t>
            </w:r>
            <w:r w:rsidR="00D40215" w:rsidRPr="00A20F4B">
              <w:rPr>
                <w:rStyle w:val="Hyperlink"/>
                <w:color w:val="auto"/>
                <w:u w:val="none"/>
              </w:rPr>
              <w:t xml:space="preserve">, or at least the number of </w:t>
            </w:r>
            <w:r w:rsidR="00D40215" w:rsidRPr="00A20F4B">
              <w:t>hand hygiene opportunities</w:t>
            </w:r>
            <w:r w:rsidR="00D40215" w:rsidRPr="00A20F4B">
              <w:rPr>
                <w:rStyle w:val="Hyperlink"/>
                <w:color w:val="auto"/>
                <w:u w:val="none"/>
              </w:rPr>
              <w:t xml:space="preserve"> outlined based on the unit type in</w:t>
            </w:r>
            <w:r w:rsidR="00D406B6">
              <w:rPr>
                <w:rStyle w:val="Hyperlink"/>
                <w:color w:val="auto"/>
                <w:u w:val="none"/>
              </w:rPr>
              <w:t xml:space="preserve"> </w:t>
            </w:r>
            <w:r w:rsidR="00D40215" w:rsidRPr="00DC0C88">
              <w:t>Tables 4-6</w:t>
            </w:r>
            <w:r w:rsidR="00D40215" w:rsidRPr="00A20F4B">
              <w:rPr>
                <w:rStyle w:val="Hyperlink"/>
                <w:color w:val="auto"/>
                <w:u w:val="none"/>
              </w:rPr>
              <w:t>,</w:t>
            </w:r>
            <w:r>
              <w:t xml:space="preserve"> </w:t>
            </w:r>
            <w:r w:rsidRPr="00CE4346">
              <w:rPr>
                <w:b/>
                <w:bCs/>
              </w:rPr>
              <w:t>each</w:t>
            </w:r>
            <w:r>
              <w:rPr>
                <w:b/>
                <w:bCs/>
              </w:rPr>
              <w:t xml:space="preserve"> </w:t>
            </w:r>
            <w:r w:rsidR="00467127">
              <w:rPr>
                <w:b/>
                <w:bCs/>
                <w:u w:val="single"/>
              </w:rPr>
              <w:t>month</w:t>
            </w:r>
            <w:r w:rsidRPr="00230353">
              <w:rPr>
                <w:b/>
                <w:bCs/>
              </w:rPr>
              <w:t xml:space="preserve"> in each patient care unit</w:t>
            </w:r>
            <w:r>
              <w:t>?</w:t>
            </w:r>
          </w:p>
          <w:p w14:paraId="30557FCE" w14:textId="2DBBBEC7" w:rsidR="00C4320C" w:rsidRDefault="00C4320C" w:rsidP="00CA75AB">
            <w:pPr>
              <w:ind w:left="360"/>
            </w:pPr>
          </w:p>
          <w:p w14:paraId="5B14BE9A" w14:textId="00BF6976" w:rsidR="00C4320C" w:rsidRDefault="00C4320C" w:rsidP="00CA75AB">
            <w:pPr>
              <w:ind w:left="360"/>
            </w:pPr>
            <w:r>
              <w:rPr>
                <w:i/>
                <w:iCs/>
              </w:rPr>
              <w:t>If “</w:t>
            </w:r>
            <w:r w:rsidR="00467127">
              <w:rPr>
                <w:i/>
                <w:iCs/>
              </w:rPr>
              <w:t>yes</w:t>
            </w:r>
            <w:r>
              <w:rPr>
                <w:i/>
                <w:iCs/>
              </w:rPr>
              <w:t>” to question #9, skip question #10 and continue to question #1</w:t>
            </w:r>
            <w:r w:rsidR="00467127">
              <w:rPr>
                <w:i/>
                <w:iCs/>
              </w:rPr>
              <w:t>1</w:t>
            </w:r>
            <w:r>
              <w:rPr>
                <w:i/>
                <w:iCs/>
              </w:rPr>
              <w:t>.</w:t>
            </w:r>
          </w:p>
        </w:tc>
        <w:tc>
          <w:tcPr>
            <w:tcW w:w="3223" w:type="dxa"/>
            <w:vAlign w:val="center"/>
          </w:tcPr>
          <w:p w14:paraId="45E0FFB3" w14:textId="145D4277" w:rsidR="00C4320C" w:rsidRPr="00B74BD8" w:rsidRDefault="00C4320C" w:rsidP="00AD309C">
            <w:pPr>
              <w:pStyle w:val="ListParagraph"/>
              <w:numPr>
                <w:ilvl w:val="0"/>
                <w:numId w:val="297"/>
              </w:numPr>
              <w:rPr>
                <w:iCs/>
              </w:rPr>
            </w:pPr>
            <w:r w:rsidRPr="00B74BD8">
              <w:rPr>
                <w:iCs/>
              </w:rPr>
              <w:t>Yes, using an electronic compliance monitoring system</w:t>
            </w:r>
            <w:r w:rsidR="00C33FA2" w:rsidRPr="00B74BD8">
              <w:rPr>
                <w:iCs/>
              </w:rPr>
              <w:t xml:space="preserve"> throughout all patient care units</w:t>
            </w:r>
          </w:p>
          <w:p w14:paraId="209FDBB0" w14:textId="5DF5B919" w:rsidR="00C33FA2" w:rsidRPr="00B74BD8" w:rsidRDefault="00C33FA2" w:rsidP="00AD309C">
            <w:pPr>
              <w:pStyle w:val="ListParagraph"/>
              <w:numPr>
                <w:ilvl w:val="0"/>
                <w:numId w:val="297"/>
              </w:numPr>
              <w:rPr>
                <w:iCs/>
              </w:rPr>
            </w:pPr>
            <w:r w:rsidRPr="00B74BD8">
              <w:rPr>
                <w:iCs/>
              </w:rPr>
              <w:t>Yes, using an electronic compliance monitoring system throughout some patient care units and only direct observation in all other patient care units</w:t>
            </w:r>
          </w:p>
          <w:p w14:paraId="63BE4320" w14:textId="63F4D02C" w:rsidR="00C4320C" w:rsidRPr="00B74BD8" w:rsidRDefault="00C4320C" w:rsidP="00AD309C">
            <w:pPr>
              <w:pStyle w:val="ListParagraph"/>
              <w:numPr>
                <w:ilvl w:val="0"/>
                <w:numId w:val="297"/>
              </w:numPr>
              <w:rPr>
                <w:iCs/>
              </w:rPr>
            </w:pPr>
            <w:r w:rsidRPr="00B74BD8">
              <w:rPr>
                <w:iCs/>
              </w:rPr>
              <w:t>Yes, using only direct observation</w:t>
            </w:r>
            <w:r w:rsidR="00C33FA2" w:rsidRPr="00B74BD8">
              <w:rPr>
                <w:iCs/>
              </w:rPr>
              <w:t xml:space="preserve"> </w:t>
            </w:r>
            <w:r w:rsidR="000C55D5" w:rsidRPr="00B74BD8">
              <w:rPr>
                <w:iCs/>
              </w:rPr>
              <w:t>throughout</w:t>
            </w:r>
            <w:r w:rsidR="00C33FA2" w:rsidRPr="00B74BD8">
              <w:rPr>
                <w:iCs/>
              </w:rPr>
              <w:t xml:space="preserve"> all patient care units</w:t>
            </w:r>
          </w:p>
          <w:p w14:paraId="5917D6C4" w14:textId="42BE5DA8" w:rsidR="00C4320C" w:rsidRPr="00B74BD8" w:rsidRDefault="00C4320C" w:rsidP="00AD309C">
            <w:pPr>
              <w:pStyle w:val="ListParagraph"/>
              <w:numPr>
                <w:ilvl w:val="0"/>
                <w:numId w:val="297"/>
              </w:numPr>
              <w:rPr>
                <w:iCs/>
              </w:rPr>
            </w:pPr>
            <w:r w:rsidRPr="00B74BD8">
              <w:rPr>
                <w:iCs/>
              </w:rPr>
              <w:t>No</w:t>
            </w:r>
          </w:p>
        </w:tc>
      </w:tr>
      <w:tr w:rsidR="00467127" w14:paraId="4EE4458D" w14:textId="77777777" w:rsidTr="00E43A51">
        <w:trPr>
          <w:trHeight w:val="1008"/>
        </w:trPr>
        <w:tc>
          <w:tcPr>
            <w:tcW w:w="6127" w:type="dxa"/>
            <w:vAlign w:val="center"/>
          </w:tcPr>
          <w:p w14:paraId="3FE88FAB" w14:textId="6E7763D0" w:rsidR="00467127" w:rsidRDefault="00467127" w:rsidP="00AD309C">
            <w:pPr>
              <w:numPr>
                <w:ilvl w:val="0"/>
                <w:numId w:val="144"/>
              </w:numPr>
            </w:pPr>
            <w:r>
              <w:lastRenderedPageBreak/>
              <w:t xml:space="preserve">Does your hospital collect hand hygiene compliance data on at least </w:t>
            </w:r>
            <w:r w:rsidRPr="00093B90">
              <w:rPr>
                <w:b/>
                <w:bCs/>
              </w:rPr>
              <w:t xml:space="preserve">100 </w:t>
            </w:r>
            <w:r w:rsidRPr="00DC0C88">
              <w:rPr>
                <w:b/>
                <w:bCs/>
              </w:rPr>
              <w:t>hand hygiene opportunities</w:t>
            </w:r>
            <w:r w:rsidR="00D40215" w:rsidRPr="00DC0C88">
              <w:rPr>
                <w:rStyle w:val="Hyperlink"/>
                <w:u w:val="none"/>
              </w:rPr>
              <w:t xml:space="preserve"> </w:t>
            </w:r>
            <w:r w:rsidRPr="00CE4346">
              <w:rPr>
                <w:b/>
                <w:bCs/>
              </w:rPr>
              <w:t>each</w:t>
            </w:r>
            <w:r>
              <w:rPr>
                <w:b/>
                <w:bCs/>
              </w:rPr>
              <w:t xml:space="preserve"> </w:t>
            </w:r>
            <w:r w:rsidRPr="00230353">
              <w:rPr>
                <w:b/>
                <w:bCs/>
                <w:u w:val="single"/>
              </w:rPr>
              <w:t>quarter</w:t>
            </w:r>
            <w:r w:rsidRPr="00230353">
              <w:rPr>
                <w:b/>
                <w:bCs/>
              </w:rPr>
              <w:t xml:space="preserve"> in each patient care unit</w:t>
            </w:r>
            <w:r>
              <w:t>?</w:t>
            </w:r>
          </w:p>
          <w:p w14:paraId="57DC6C36" w14:textId="77777777" w:rsidR="00467127" w:rsidRDefault="00467127" w:rsidP="00467127">
            <w:pPr>
              <w:ind w:left="360"/>
            </w:pPr>
          </w:p>
          <w:p w14:paraId="06BF5170" w14:textId="4A3D8BC4" w:rsidR="00467127" w:rsidRDefault="00467127" w:rsidP="00EE018B">
            <w:pPr>
              <w:ind w:left="360"/>
            </w:pPr>
            <w:r>
              <w:rPr>
                <w:i/>
                <w:iCs/>
              </w:rPr>
              <w:t>If “no” to question #10, skip questions #11-19 and continue to question #20.</w:t>
            </w:r>
          </w:p>
        </w:tc>
        <w:tc>
          <w:tcPr>
            <w:tcW w:w="3223" w:type="dxa"/>
            <w:vAlign w:val="center"/>
          </w:tcPr>
          <w:p w14:paraId="01D6F66A" w14:textId="77777777" w:rsidR="00467127" w:rsidRPr="00B74BD8" w:rsidRDefault="00467127" w:rsidP="00AD309C">
            <w:pPr>
              <w:pStyle w:val="ListParagraph"/>
              <w:numPr>
                <w:ilvl w:val="0"/>
                <w:numId w:val="297"/>
              </w:numPr>
              <w:rPr>
                <w:iCs/>
              </w:rPr>
            </w:pPr>
            <w:r w:rsidRPr="00B74BD8">
              <w:rPr>
                <w:iCs/>
              </w:rPr>
              <w:t>Yes, using an electronic compliance monitoring system throughout all patient care units</w:t>
            </w:r>
          </w:p>
          <w:p w14:paraId="2EB7F6E8" w14:textId="77777777" w:rsidR="00467127" w:rsidRPr="00B74BD8" w:rsidRDefault="00467127" w:rsidP="00AD309C">
            <w:pPr>
              <w:pStyle w:val="ListParagraph"/>
              <w:numPr>
                <w:ilvl w:val="0"/>
                <w:numId w:val="297"/>
              </w:numPr>
              <w:rPr>
                <w:iCs/>
              </w:rPr>
            </w:pPr>
            <w:r w:rsidRPr="00B74BD8">
              <w:rPr>
                <w:iCs/>
              </w:rPr>
              <w:t>Yes, using an electronic compliance monitoring system throughout some patient care units and only direct observation in all other patient care units</w:t>
            </w:r>
          </w:p>
          <w:p w14:paraId="6287F72D" w14:textId="77777777" w:rsidR="00467127" w:rsidRPr="00B74BD8" w:rsidRDefault="00467127" w:rsidP="00AD309C">
            <w:pPr>
              <w:pStyle w:val="ListParagraph"/>
              <w:numPr>
                <w:ilvl w:val="0"/>
                <w:numId w:val="297"/>
              </w:numPr>
              <w:rPr>
                <w:iCs/>
              </w:rPr>
            </w:pPr>
            <w:r w:rsidRPr="00B74BD8">
              <w:rPr>
                <w:iCs/>
              </w:rPr>
              <w:t>Yes, using only direct observation throughout all patient care units</w:t>
            </w:r>
          </w:p>
          <w:p w14:paraId="74A3E710" w14:textId="1522627A" w:rsidR="00467127" w:rsidRPr="00B74BD8" w:rsidRDefault="00467127" w:rsidP="00AD309C">
            <w:pPr>
              <w:pStyle w:val="ListParagraph"/>
              <w:numPr>
                <w:ilvl w:val="0"/>
                <w:numId w:val="297"/>
              </w:numPr>
              <w:rPr>
                <w:iCs/>
              </w:rPr>
            </w:pPr>
            <w:r w:rsidRPr="00B74BD8">
              <w:rPr>
                <w:iCs/>
              </w:rPr>
              <w:t>No</w:t>
            </w:r>
          </w:p>
        </w:tc>
      </w:tr>
      <w:tr w:rsidR="00C4320C" w14:paraId="7ABEA95D" w14:textId="2C0719F9" w:rsidTr="00B74BD8">
        <w:trPr>
          <w:trHeight w:val="1296"/>
        </w:trPr>
        <w:tc>
          <w:tcPr>
            <w:tcW w:w="6127" w:type="dxa"/>
            <w:vAlign w:val="center"/>
          </w:tcPr>
          <w:p w14:paraId="61531BBC" w14:textId="2B532E54" w:rsidR="00AC5B93" w:rsidRDefault="00C4320C" w:rsidP="00AD309C">
            <w:pPr>
              <w:numPr>
                <w:ilvl w:val="0"/>
                <w:numId w:val="144"/>
              </w:numPr>
            </w:pPr>
            <w:r w:rsidRPr="00C4320C">
              <w:t xml:space="preserve">Does your hospital use hand hygiene coaches or compliance observers to provide </w:t>
            </w:r>
            <w:hyperlink w:anchor="HHtouchpatientsendnote" w:history="1">
              <w:r w:rsidRPr="00D5601C">
                <w:rPr>
                  <w:rStyle w:val="Hyperlink"/>
                </w:rPr>
                <w:t>individuals who touch patients or who touch items that will be used by patients</w:t>
              </w:r>
            </w:hyperlink>
            <w:r>
              <w:fldChar w:fldCharType="begin"/>
            </w:r>
            <w:r>
              <w:instrText xml:space="preserve"> NOTEREF _Ref25671414 \f \h </w:instrText>
            </w:r>
            <w:r w:rsidR="0088152A">
              <w:instrText xml:space="preserve"> \* MERGEFORMAT </w:instrText>
            </w:r>
            <w:r>
              <w:fldChar w:fldCharType="separate"/>
            </w:r>
            <w:r w:rsidR="007D53A2" w:rsidRPr="00EE0B9E">
              <w:rPr>
                <w:rStyle w:val="EndnoteReference"/>
              </w:rPr>
              <w:t>44</w:t>
            </w:r>
            <w:r>
              <w:fldChar w:fldCharType="end"/>
            </w:r>
            <w:r w:rsidRPr="00C4320C">
              <w:t xml:space="preserve"> </w:t>
            </w:r>
            <w:r w:rsidR="0068645C">
              <w:t xml:space="preserve">in your patient care units </w:t>
            </w:r>
            <w:r w:rsidRPr="00C4320C">
              <w:t>with feedback on both when they are and are not compliant with performing hand hygiene?</w:t>
            </w:r>
          </w:p>
        </w:tc>
        <w:tc>
          <w:tcPr>
            <w:tcW w:w="3223" w:type="dxa"/>
            <w:vAlign w:val="center"/>
          </w:tcPr>
          <w:p w14:paraId="7B7E8B27" w14:textId="2A9FEC55" w:rsidR="00C4320C" w:rsidRPr="00B74BD8" w:rsidRDefault="00C4320C" w:rsidP="00AD309C">
            <w:pPr>
              <w:pStyle w:val="ListParagraph"/>
              <w:numPr>
                <w:ilvl w:val="0"/>
                <w:numId w:val="297"/>
              </w:numPr>
              <w:rPr>
                <w:iCs/>
              </w:rPr>
            </w:pPr>
            <w:r w:rsidRPr="00B74BD8">
              <w:rPr>
                <w:iCs/>
              </w:rPr>
              <w:t>Yes</w:t>
            </w:r>
          </w:p>
          <w:p w14:paraId="4C5BD9C8" w14:textId="151043D6" w:rsidR="00C4320C" w:rsidRPr="00B74BD8" w:rsidRDefault="00C4320C" w:rsidP="00AD309C">
            <w:pPr>
              <w:pStyle w:val="ListParagraph"/>
              <w:numPr>
                <w:ilvl w:val="0"/>
                <w:numId w:val="297"/>
              </w:numPr>
              <w:rPr>
                <w:iCs/>
              </w:rPr>
            </w:pPr>
            <w:r w:rsidRPr="00B74BD8">
              <w:rPr>
                <w:iCs/>
              </w:rPr>
              <w:t>No</w:t>
            </w:r>
          </w:p>
        </w:tc>
      </w:tr>
    </w:tbl>
    <w:p w14:paraId="6418BB33" w14:textId="77777777" w:rsidR="0088152A" w:rsidRDefault="0088152A" w:rsidP="00C645E0">
      <w:pPr>
        <w:rPr>
          <w:b/>
          <w:i/>
        </w:rPr>
      </w:pPr>
    </w:p>
    <w:p w14:paraId="2A6FC908" w14:textId="0F3D8211" w:rsidR="00CA7511" w:rsidRPr="00AC5B93" w:rsidRDefault="00CA7511" w:rsidP="0002601E">
      <w:pPr>
        <w:pStyle w:val="Heading44"/>
      </w:pPr>
      <w:r w:rsidRPr="00AC5B93">
        <w:t>Direct Monitoring – Electronic Compliance Monitoring System</w:t>
      </w:r>
    </w:p>
    <w:p w14:paraId="02433062" w14:textId="77777777" w:rsidR="00832DC8" w:rsidRDefault="00832DC8" w:rsidP="00543A6E">
      <w:pPr>
        <w:rPr>
          <w:bCs/>
          <w:i/>
          <w:iCs/>
        </w:rPr>
      </w:pPr>
    </w:p>
    <w:p w14:paraId="2337BDA8" w14:textId="730E2F8D" w:rsidR="00543A6E" w:rsidRDefault="00543A6E" w:rsidP="00543A6E">
      <w:pPr>
        <w:rPr>
          <w:bCs/>
          <w:i/>
          <w:iCs/>
        </w:rPr>
      </w:pPr>
      <w:r>
        <w:rPr>
          <w:bCs/>
          <w:i/>
          <w:iCs/>
        </w:rPr>
        <w:t>If “yes, using an electronic compliance monitoring system</w:t>
      </w:r>
      <w:r w:rsidR="00C33FA2">
        <w:rPr>
          <w:bCs/>
          <w:i/>
          <w:iCs/>
        </w:rPr>
        <w:t xml:space="preserve"> throughout all patient care units</w:t>
      </w:r>
      <w:r>
        <w:rPr>
          <w:bCs/>
          <w:i/>
          <w:iCs/>
        </w:rPr>
        <w:t xml:space="preserve">” or “yes, using an electronic compliance monitoring system </w:t>
      </w:r>
      <w:r w:rsidR="00C33FA2">
        <w:rPr>
          <w:bCs/>
          <w:i/>
          <w:iCs/>
        </w:rPr>
        <w:t xml:space="preserve">throughout some patient care units </w:t>
      </w:r>
      <w:r>
        <w:rPr>
          <w:bCs/>
          <w:i/>
          <w:iCs/>
        </w:rPr>
        <w:t xml:space="preserve">and </w:t>
      </w:r>
      <w:r w:rsidR="00C33FA2">
        <w:rPr>
          <w:bCs/>
          <w:i/>
          <w:iCs/>
        </w:rPr>
        <w:t xml:space="preserve">only </w:t>
      </w:r>
      <w:r>
        <w:rPr>
          <w:bCs/>
          <w:i/>
          <w:iCs/>
        </w:rPr>
        <w:t>direct observation</w:t>
      </w:r>
      <w:r w:rsidR="00C33FA2">
        <w:rPr>
          <w:bCs/>
          <w:i/>
          <w:iCs/>
        </w:rPr>
        <w:t xml:space="preserve"> in all other patient care units</w:t>
      </w:r>
      <w:r>
        <w:rPr>
          <w:bCs/>
          <w:i/>
          <w:iCs/>
        </w:rPr>
        <w:t>” to question #8</w:t>
      </w:r>
      <w:r w:rsidR="006B7972">
        <w:rPr>
          <w:bCs/>
          <w:i/>
          <w:iCs/>
        </w:rPr>
        <w:t>,</w:t>
      </w:r>
      <w:r>
        <w:rPr>
          <w:bCs/>
          <w:i/>
          <w:iCs/>
        </w:rPr>
        <w:t xml:space="preserve"> question #9</w:t>
      </w:r>
      <w:r w:rsidR="006B7972">
        <w:rPr>
          <w:bCs/>
          <w:i/>
          <w:iCs/>
        </w:rPr>
        <w:t>, or question #10</w:t>
      </w:r>
      <w:r>
        <w:rPr>
          <w:bCs/>
          <w:i/>
          <w:iCs/>
        </w:rPr>
        <w:t>, answer questions #1</w:t>
      </w:r>
      <w:r w:rsidR="006B7972">
        <w:rPr>
          <w:bCs/>
          <w:i/>
          <w:iCs/>
        </w:rPr>
        <w:t>2</w:t>
      </w:r>
      <w:r>
        <w:rPr>
          <w:bCs/>
          <w:i/>
          <w:iCs/>
        </w:rPr>
        <w:t>-1</w:t>
      </w:r>
      <w:r w:rsidR="006B7972">
        <w:rPr>
          <w:bCs/>
          <w:i/>
          <w:iCs/>
        </w:rPr>
        <w:t>3</w:t>
      </w:r>
      <w:r w:rsidR="00137C20">
        <w:rPr>
          <w:bCs/>
          <w:i/>
          <w:iCs/>
        </w:rPr>
        <w:t xml:space="preserve"> based on the units that use an electronic compliance monitoring system</w:t>
      </w:r>
      <w:r>
        <w:rPr>
          <w:bCs/>
          <w:i/>
          <w:iCs/>
        </w:rPr>
        <w:t>.</w:t>
      </w:r>
    </w:p>
    <w:p w14:paraId="0E16FEC0" w14:textId="77777777" w:rsidR="00543A6E" w:rsidRPr="00CB083F" w:rsidRDefault="00543A6E" w:rsidP="00CA7511">
      <w:pPr>
        <w:rPr>
          <w:b/>
        </w:rPr>
      </w:pPr>
    </w:p>
    <w:tbl>
      <w:tblPr>
        <w:tblStyle w:val="TableGrid"/>
        <w:tblW w:w="0" w:type="auto"/>
        <w:tblLook w:val="04A0" w:firstRow="1" w:lastRow="0" w:firstColumn="1" w:lastColumn="0" w:noHBand="0" w:noVBand="1"/>
      </w:tblPr>
      <w:tblGrid>
        <w:gridCol w:w="6127"/>
        <w:gridCol w:w="3223"/>
      </w:tblGrid>
      <w:tr w:rsidR="00CA7511" w:rsidRPr="00CB083F" w14:paraId="67786800" w14:textId="77777777" w:rsidTr="00B74BD8">
        <w:trPr>
          <w:trHeight w:val="2016"/>
        </w:trPr>
        <w:tc>
          <w:tcPr>
            <w:tcW w:w="6127" w:type="dxa"/>
            <w:vAlign w:val="center"/>
          </w:tcPr>
          <w:p w14:paraId="024AC69B" w14:textId="339B259F" w:rsidR="00CA7511" w:rsidRDefault="00A77251" w:rsidP="00AD309C">
            <w:pPr>
              <w:pStyle w:val="ListParagraph"/>
              <w:numPr>
                <w:ilvl w:val="0"/>
                <w:numId w:val="144"/>
              </w:numPr>
            </w:pPr>
            <w:r w:rsidRPr="00A77251">
              <w:t xml:space="preserve">In those patient care units where an electronic compliance monitoring system is used, does the monitoring system used meet </w:t>
            </w:r>
            <w:r w:rsidRPr="00A77251">
              <w:rPr>
                <w:b/>
              </w:rPr>
              <w:t>both</w:t>
            </w:r>
            <w:r w:rsidRPr="00A77251">
              <w:t xml:space="preserve"> of the following criteria</w:t>
            </w:r>
            <w:r w:rsidR="00C92582">
              <w:t>:</w:t>
            </w:r>
          </w:p>
          <w:p w14:paraId="09B1CA68" w14:textId="02E3D3BD" w:rsidR="00A77251" w:rsidRDefault="00A77251" w:rsidP="00AD309C">
            <w:pPr>
              <w:pStyle w:val="ListParagraph"/>
              <w:numPr>
                <w:ilvl w:val="0"/>
                <w:numId w:val="126"/>
              </w:numPr>
            </w:pPr>
            <w:r>
              <w:t xml:space="preserve">The system can </w:t>
            </w:r>
            <w:r w:rsidRPr="00DC0C88">
              <w:t>identify both opportunities for hand hygiene and that hand hygiene was performed</w:t>
            </w:r>
            <w:r w:rsidR="00C92582">
              <w:t>, and</w:t>
            </w:r>
          </w:p>
          <w:p w14:paraId="39E4A30D" w14:textId="4C6D5F2F" w:rsidR="00A77251" w:rsidRPr="00A77251" w:rsidRDefault="00A77251" w:rsidP="00AD309C">
            <w:pPr>
              <w:pStyle w:val="ListParagraph"/>
              <w:numPr>
                <w:ilvl w:val="0"/>
                <w:numId w:val="126"/>
              </w:numPr>
            </w:pPr>
            <w:r>
              <w:t xml:space="preserve">The hospital itself has </w:t>
            </w:r>
            <w:r w:rsidRPr="00DC0C88">
              <w:t>validated the accuracy</w:t>
            </w:r>
            <w:r>
              <w:t xml:space="preserve"> of the data collected by the electronic compliance monitoring system</w:t>
            </w:r>
            <w:r w:rsidR="00C92582">
              <w:t>?</w:t>
            </w:r>
          </w:p>
        </w:tc>
        <w:tc>
          <w:tcPr>
            <w:tcW w:w="3223" w:type="dxa"/>
            <w:vAlign w:val="center"/>
          </w:tcPr>
          <w:p w14:paraId="134FFBCD" w14:textId="77777777" w:rsidR="00CA7511" w:rsidRPr="00B74BD8" w:rsidRDefault="00A77251" w:rsidP="00AD309C">
            <w:pPr>
              <w:pStyle w:val="ListParagraph"/>
              <w:numPr>
                <w:ilvl w:val="0"/>
                <w:numId w:val="300"/>
              </w:numPr>
              <w:rPr>
                <w:iCs/>
              </w:rPr>
            </w:pPr>
            <w:r w:rsidRPr="00B74BD8">
              <w:rPr>
                <w:iCs/>
              </w:rPr>
              <w:t>Yes</w:t>
            </w:r>
          </w:p>
          <w:p w14:paraId="7E7B9E64" w14:textId="77777777" w:rsidR="00A77251" w:rsidRPr="00B74BD8" w:rsidRDefault="00A77251" w:rsidP="00AD309C">
            <w:pPr>
              <w:pStyle w:val="ListParagraph"/>
              <w:numPr>
                <w:ilvl w:val="0"/>
                <w:numId w:val="300"/>
              </w:numPr>
              <w:rPr>
                <w:iCs/>
              </w:rPr>
            </w:pPr>
            <w:r w:rsidRPr="00B74BD8">
              <w:rPr>
                <w:iCs/>
              </w:rPr>
              <w:t>No</w:t>
            </w:r>
          </w:p>
        </w:tc>
      </w:tr>
      <w:tr w:rsidR="00A77251" w:rsidRPr="00CB083F" w14:paraId="78EF2E10" w14:textId="77777777" w:rsidTr="00B74BD8">
        <w:trPr>
          <w:trHeight w:val="5184"/>
        </w:trPr>
        <w:tc>
          <w:tcPr>
            <w:tcW w:w="6127" w:type="dxa"/>
          </w:tcPr>
          <w:p w14:paraId="113AA3A4" w14:textId="61FF01D4" w:rsidR="00A77251" w:rsidRDefault="00A77251" w:rsidP="00AD309C">
            <w:pPr>
              <w:pStyle w:val="ListParagraph"/>
              <w:numPr>
                <w:ilvl w:val="0"/>
                <w:numId w:val="144"/>
              </w:numPr>
            </w:pPr>
            <w:r w:rsidRPr="00A77251">
              <w:lastRenderedPageBreak/>
              <w:t xml:space="preserve">In those patient care units where an electronic compliance monitoring system is used, are direct observations also conducted for coaching and intervention purposes that meet </w:t>
            </w:r>
            <w:r w:rsidRPr="00A77251">
              <w:rPr>
                <w:b/>
              </w:rPr>
              <w:t>all</w:t>
            </w:r>
            <w:r w:rsidRPr="00A77251">
              <w:t xml:space="preserve"> the following criteria</w:t>
            </w:r>
            <w:r w:rsidR="00C92582">
              <w:t>:</w:t>
            </w:r>
          </w:p>
          <w:p w14:paraId="11A483AD" w14:textId="2B7052E2" w:rsidR="00A77251" w:rsidRDefault="00A77251" w:rsidP="00AD309C">
            <w:pPr>
              <w:pStyle w:val="ListParagraph"/>
              <w:numPr>
                <w:ilvl w:val="0"/>
                <w:numId w:val="127"/>
              </w:numPr>
            </w:pPr>
            <w:r>
              <w:t>Observers immediately intervene prior to any harm occurring to provide non-compliant individuals with immediate feedback</w:t>
            </w:r>
            <w:r w:rsidR="00C92582">
              <w:t>;</w:t>
            </w:r>
          </w:p>
          <w:p w14:paraId="6F5C470E" w14:textId="0E4A6EA0" w:rsidR="00A77251" w:rsidRDefault="00A77251" w:rsidP="00AD309C">
            <w:pPr>
              <w:pStyle w:val="ListParagraph"/>
              <w:numPr>
                <w:ilvl w:val="0"/>
                <w:numId w:val="127"/>
              </w:numPr>
            </w:pPr>
            <w:r>
              <w:t>Observations identify both opportunities for hand hygiene and compliance with those opportunities</w:t>
            </w:r>
            <w:r w:rsidR="00975256">
              <w:t>;</w:t>
            </w:r>
          </w:p>
          <w:p w14:paraId="421EE1AA" w14:textId="79020137" w:rsidR="00A77251" w:rsidRDefault="00A77251" w:rsidP="00AD309C">
            <w:pPr>
              <w:pStyle w:val="ListParagraph"/>
              <w:numPr>
                <w:ilvl w:val="0"/>
                <w:numId w:val="127"/>
              </w:numPr>
            </w:pPr>
            <w:r>
              <w:t>Observations determine who practiced hand hygiene, verify when they practiced it, and whether their technique was correct</w:t>
            </w:r>
            <w:r w:rsidR="00C92582">
              <w:t>;</w:t>
            </w:r>
          </w:p>
          <w:p w14:paraId="35C42115" w14:textId="4552FB0C" w:rsidR="00A77251" w:rsidRDefault="00A77251" w:rsidP="00AD309C">
            <w:pPr>
              <w:pStyle w:val="ListParagraph"/>
              <w:numPr>
                <w:ilvl w:val="0"/>
                <w:numId w:val="127"/>
              </w:numPr>
            </w:pPr>
            <w:r>
              <w:t>Observations within a unit are conducted weekly or monthly across all shifts and on all days of the week proportional to the</w:t>
            </w:r>
            <w:r w:rsidR="00F56E7B">
              <w:t xml:space="preserve"> number of</w:t>
            </w:r>
            <w:r>
              <w:t xml:space="preserve"> </w:t>
            </w:r>
            <w:hyperlink w:anchor="HHtouchpatientsendnote" w:history="1">
              <w:r w:rsidRPr="001A5CC5">
                <w:rPr>
                  <w:rStyle w:val="Hyperlink"/>
                </w:rPr>
                <w:t>individuals who touch patients or who touch items that will be used by patients</w:t>
              </w:r>
            </w:hyperlink>
            <w:r w:rsidR="001A5CC5">
              <w:fldChar w:fldCharType="begin"/>
            </w:r>
            <w:r w:rsidR="001A5CC5">
              <w:instrText xml:space="preserve"> NOTEREF _Ref25671414 \f \h </w:instrText>
            </w:r>
            <w:r w:rsidR="0088152A">
              <w:instrText xml:space="preserve"> \* MERGEFORMAT </w:instrText>
            </w:r>
            <w:r w:rsidR="001A5CC5">
              <w:fldChar w:fldCharType="separate"/>
            </w:r>
            <w:r w:rsidR="007D53A2" w:rsidRPr="00EE0B9E">
              <w:rPr>
                <w:rStyle w:val="EndnoteReference"/>
              </w:rPr>
              <w:t>44</w:t>
            </w:r>
            <w:r w:rsidR="001A5CC5">
              <w:fldChar w:fldCharType="end"/>
            </w:r>
            <w:r>
              <w:t xml:space="preserve"> on duty for that shift</w:t>
            </w:r>
            <w:r w:rsidR="00C92582">
              <w:t>; and</w:t>
            </w:r>
          </w:p>
          <w:p w14:paraId="70B089F2" w14:textId="266BB51E" w:rsidR="00A77251" w:rsidRPr="00A77251" w:rsidRDefault="00A77251" w:rsidP="00AD309C">
            <w:pPr>
              <w:pStyle w:val="ListParagraph"/>
              <w:numPr>
                <w:ilvl w:val="0"/>
                <w:numId w:val="127"/>
              </w:numPr>
            </w:pPr>
            <w:r>
              <w:t xml:space="preserve">Observations capture a representative sample of the different roles of </w:t>
            </w:r>
            <w:hyperlink w:anchor="HHtouchpatientsendnote" w:history="1">
              <w:r w:rsidRPr="001A5CC5">
                <w:rPr>
                  <w:rStyle w:val="Hyperlink"/>
                </w:rPr>
                <w:t>individuals who touch patients or who touch item</w:t>
              </w:r>
              <w:r w:rsidR="001A5CC5" w:rsidRPr="001A5CC5">
                <w:rPr>
                  <w:rStyle w:val="Hyperlink"/>
                </w:rPr>
                <w:t>s that will be used by patients</w:t>
              </w:r>
            </w:hyperlink>
            <w:r w:rsidR="001A5CC5">
              <w:fldChar w:fldCharType="begin"/>
            </w:r>
            <w:r w:rsidR="001A5CC5">
              <w:instrText xml:space="preserve"> NOTEREF _Ref25671414 \f \h </w:instrText>
            </w:r>
            <w:r w:rsidR="0088152A">
              <w:instrText xml:space="preserve"> \* MERGEFORMAT </w:instrText>
            </w:r>
            <w:r w:rsidR="001A5CC5">
              <w:fldChar w:fldCharType="separate"/>
            </w:r>
            <w:r w:rsidR="007D53A2" w:rsidRPr="001D29D4">
              <w:rPr>
                <w:rStyle w:val="EndnoteReference"/>
              </w:rPr>
              <w:t>44</w:t>
            </w:r>
            <w:r w:rsidR="001A5CC5">
              <w:fldChar w:fldCharType="end"/>
            </w:r>
            <w:r>
              <w:t xml:space="preserve"> (e.g., nurses, physicians, techs, environmental services workers)</w:t>
            </w:r>
            <w:r w:rsidR="00C92582">
              <w:t>?</w:t>
            </w:r>
          </w:p>
        </w:tc>
        <w:tc>
          <w:tcPr>
            <w:tcW w:w="3223" w:type="dxa"/>
            <w:vAlign w:val="center"/>
          </w:tcPr>
          <w:p w14:paraId="3FA90333" w14:textId="77777777" w:rsidR="00A77251" w:rsidRPr="00B74BD8" w:rsidRDefault="00986B04" w:rsidP="00AD309C">
            <w:pPr>
              <w:pStyle w:val="ListParagraph"/>
              <w:numPr>
                <w:ilvl w:val="0"/>
                <w:numId w:val="300"/>
              </w:numPr>
              <w:rPr>
                <w:iCs/>
              </w:rPr>
            </w:pPr>
            <w:r w:rsidRPr="00B74BD8">
              <w:rPr>
                <w:iCs/>
              </w:rPr>
              <w:t>Yes</w:t>
            </w:r>
          </w:p>
          <w:p w14:paraId="51EC7FC9" w14:textId="77777777" w:rsidR="00986B04" w:rsidRPr="00B74BD8" w:rsidRDefault="00986B04" w:rsidP="00AD309C">
            <w:pPr>
              <w:pStyle w:val="ListParagraph"/>
              <w:numPr>
                <w:ilvl w:val="0"/>
                <w:numId w:val="300"/>
              </w:numPr>
              <w:rPr>
                <w:iCs/>
              </w:rPr>
            </w:pPr>
            <w:r w:rsidRPr="00B74BD8">
              <w:rPr>
                <w:iCs/>
              </w:rPr>
              <w:t>No</w:t>
            </w:r>
          </w:p>
        </w:tc>
      </w:tr>
    </w:tbl>
    <w:p w14:paraId="6863A80A" w14:textId="77777777" w:rsidR="00CA7511" w:rsidRDefault="00CA7511" w:rsidP="00CA7511"/>
    <w:p w14:paraId="523269DD" w14:textId="77777777" w:rsidR="00CA7511" w:rsidRPr="000F5420" w:rsidRDefault="00CA7511" w:rsidP="0002601E">
      <w:pPr>
        <w:pStyle w:val="Heading44"/>
        <w:rPr>
          <w:sz w:val="20"/>
          <w:szCs w:val="18"/>
        </w:rPr>
      </w:pPr>
      <w:r w:rsidRPr="00AC5B93">
        <w:t>Direct Monitoring – Direct Observation</w:t>
      </w:r>
      <w:r w:rsidR="00474DDE">
        <w:br/>
      </w:r>
    </w:p>
    <w:p w14:paraId="3ADB7874" w14:textId="44C78888" w:rsidR="005F0F65" w:rsidRDefault="00F56E7B" w:rsidP="00C33FA2">
      <w:pPr>
        <w:rPr>
          <w:bCs/>
          <w:i/>
          <w:iCs/>
        </w:rPr>
      </w:pPr>
      <w:r>
        <w:rPr>
          <w:bCs/>
          <w:i/>
          <w:iCs/>
        </w:rPr>
        <w:t xml:space="preserve">If </w:t>
      </w:r>
      <w:r w:rsidR="00C33FA2">
        <w:rPr>
          <w:bCs/>
          <w:i/>
          <w:iCs/>
        </w:rPr>
        <w:t xml:space="preserve">“yes, </w:t>
      </w:r>
      <w:r w:rsidR="00C33FA2" w:rsidRPr="00C33FA2">
        <w:rPr>
          <w:bCs/>
          <w:i/>
          <w:iCs/>
        </w:rPr>
        <w:t>using an electronic compliance monitoring system throughout some patient care units and only direct observation in all other patient care units</w:t>
      </w:r>
      <w:r w:rsidR="00C33FA2">
        <w:rPr>
          <w:bCs/>
          <w:i/>
          <w:iCs/>
        </w:rPr>
        <w:t xml:space="preserve">” or </w:t>
      </w:r>
      <w:r>
        <w:rPr>
          <w:bCs/>
          <w:i/>
          <w:iCs/>
        </w:rPr>
        <w:t>“yes, using only direct observation” to question #8</w:t>
      </w:r>
      <w:r w:rsidR="006B7972">
        <w:rPr>
          <w:bCs/>
          <w:i/>
          <w:iCs/>
        </w:rPr>
        <w:t>,</w:t>
      </w:r>
      <w:r>
        <w:rPr>
          <w:bCs/>
          <w:i/>
          <w:iCs/>
        </w:rPr>
        <w:t xml:space="preserve"> question #9, </w:t>
      </w:r>
      <w:r w:rsidR="006B7972">
        <w:rPr>
          <w:bCs/>
          <w:i/>
          <w:iCs/>
        </w:rPr>
        <w:t xml:space="preserve">or question #10 </w:t>
      </w:r>
      <w:r>
        <w:rPr>
          <w:bCs/>
          <w:i/>
          <w:iCs/>
        </w:rPr>
        <w:t>answer questions #1</w:t>
      </w:r>
      <w:r w:rsidR="006B7972">
        <w:rPr>
          <w:bCs/>
          <w:i/>
          <w:iCs/>
        </w:rPr>
        <w:t>4</w:t>
      </w:r>
      <w:r>
        <w:rPr>
          <w:bCs/>
          <w:i/>
          <w:iCs/>
        </w:rPr>
        <w:t>-1</w:t>
      </w:r>
      <w:r w:rsidR="006B7972">
        <w:rPr>
          <w:bCs/>
          <w:i/>
          <w:iCs/>
        </w:rPr>
        <w:t>5</w:t>
      </w:r>
      <w:r w:rsidR="005F0F65">
        <w:rPr>
          <w:bCs/>
          <w:i/>
          <w:iCs/>
        </w:rPr>
        <w:t xml:space="preserve"> based on the units that do NOT use an electronic compliance monitoring system</w:t>
      </w:r>
      <w:r>
        <w:rPr>
          <w:bCs/>
          <w:i/>
          <w:iCs/>
        </w:rPr>
        <w:t>.</w:t>
      </w:r>
    </w:p>
    <w:tbl>
      <w:tblPr>
        <w:tblStyle w:val="TableGrid"/>
        <w:tblpPr w:leftFromText="180" w:rightFromText="180" w:vertAnchor="text" w:horzAnchor="margin" w:tblpY="254"/>
        <w:tblW w:w="0" w:type="auto"/>
        <w:tblLook w:val="04A0" w:firstRow="1" w:lastRow="0" w:firstColumn="1" w:lastColumn="0" w:noHBand="0" w:noVBand="1"/>
      </w:tblPr>
      <w:tblGrid>
        <w:gridCol w:w="6127"/>
        <w:gridCol w:w="3223"/>
      </w:tblGrid>
      <w:tr w:rsidR="00233969" w:rsidRPr="00C645E0" w14:paraId="039FF31C" w14:textId="77777777" w:rsidTr="00B74BD8">
        <w:trPr>
          <w:trHeight w:val="1728"/>
        </w:trPr>
        <w:tc>
          <w:tcPr>
            <w:tcW w:w="6127" w:type="dxa"/>
            <w:tcBorders>
              <w:top w:val="single" w:sz="4" w:space="0" w:color="auto"/>
            </w:tcBorders>
            <w:vAlign w:val="center"/>
          </w:tcPr>
          <w:p w14:paraId="45311B81" w14:textId="0E026FC7" w:rsidR="00B96CDF" w:rsidRPr="00CE58DD" w:rsidRDefault="00B96CDF" w:rsidP="00AD309C">
            <w:pPr>
              <w:pStyle w:val="ListParagraph"/>
              <w:numPr>
                <w:ilvl w:val="0"/>
                <w:numId w:val="144"/>
              </w:numPr>
            </w:pPr>
            <w:r w:rsidRPr="00CE58DD">
              <w:t xml:space="preserve">In those patient care units where an electronic compliance monitoring system is NOT used, do the direct observations meet </w:t>
            </w:r>
            <w:r w:rsidRPr="001777D8">
              <w:rPr>
                <w:b/>
                <w:bCs/>
              </w:rPr>
              <w:t>all</w:t>
            </w:r>
            <w:r w:rsidRPr="00CE58DD">
              <w:t xml:space="preserve"> the following criteria</w:t>
            </w:r>
            <w:r w:rsidR="00C92582">
              <w:t>:</w:t>
            </w:r>
          </w:p>
          <w:p w14:paraId="07F90772" w14:textId="4FE96025" w:rsidR="00B96CDF" w:rsidRPr="00A46A82" w:rsidRDefault="00B96CDF" w:rsidP="00AD309C">
            <w:pPr>
              <w:pStyle w:val="ListParagraph"/>
              <w:numPr>
                <w:ilvl w:val="0"/>
                <w:numId w:val="128"/>
              </w:numPr>
            </w:pPr>
            <w:bookmarkStart w:id="494" w:name="_Hlk36135872"/>
            <w:r w:rsidRPr="00A46A82">
              <w:t>Observations identify both opportunities for hand hygiene and compliance with those opportunities</w:t>
            </w:r>
            <w:r w:rsidR="00975256">
              <w:t>;</w:t>
            </w:r>
          </w:p>
          <w:p w14:paraId="779F633F" w14:textId="1B6CC6E8" w:rsidR="00B96CDF" w:rsidRPr="00A46A82" w:rsidRDefault="00B96CDF" w:rsidP="00AD309C">
            <w:pPr>
              <w:pStyle w:val="ListParagraph"/>
              <w:numPr>
                <w:ilvl w:val="0"/>
                <w:numId w:val="128"/>
              </w:numPr>
            </w:pPr>
            <w:r w:rsidRPr="00A46A82">
              <w:t>Observations determine who practiced hand hygiene, verify when they practiced it, and whether their technique was correct</w:t>
            </w:r>
            <w:r w:rsidR="00C92582">
              <w:t>;</w:t>
            </w:r>
          </w:p>
          <w:p w14:paraId="38AF68FD" w14:textId="4B07E04B" w:rsidR="00B96CDF" w:rsidRPr="00A46A82" w:rsidRDefault="00B96CDF" w:rsidP="00AD309C">
            <w:pPr>
              <w:pStyle w:val="ListParagraph"/>
              <w:numPr>
                <w:ilvl w:val="0"/>
                <w:numId w:val="128"/>
              </w:numPr>
            </w:pPr>
            <w:r w:rsidRPr="00A46A82">
              <w:t>Observations within a unit are conducted weekly or monthly across all shifts and on all days of the week proportional to</w:t>
            </w:r>
            <w:r>
              <w:t xml:space="preserve"> the number of</w:t>
            </w:r>
            <w:r w:rsidRPr="00A46A82">
              <w:t xml:space="preserve"> </w:t>
            </w:r>
            <w:hyperlink w:anchor="HHtouchpatientsendnote" w:history="1">
              <w:r w:rsidRPr="00A46A82">
                <w:rPr>
                  <w:rStyle w:val="Hyperlink"/>
                </w:rPr>
                <w:t>individuals who touch patients or who touch items that will be used by patients</w:t>
              </w:r>
            </w:hyperlink>
            <w:r>
              <w:fldChar w:fldCharType="begin"/>
            </w:r>
            <w:r>
              <w:instrText xml:space="preserve"> NOTEREF _Ref25671414 \f \h  \* MERGEFORMAT </w:instrText>
            </w:r>
            <w:r>
              <w:fldChar w:fldCharType="separate"/>
            </w:r>
            <w:r w:rsidR="007D53A2" w:rsidRPr="001D29D4">
              <w:rPr>
                <w:rStyle w:val="EndnoteReference"/>
              </w:rPr>
              <w:t>44</w:t>
            </w:r>
            <w:r>
              <w:fldChar w:fldCharType="end"/>
            </w:r>
            <w:r w:rsidRPr="00A46A82">
              <w:t xml:space="preserve"> on duty for that shift</w:t>
            </w:r>
            <w:r w:rsidR="00C92582">
              <w:t>; and</w:t>
            </w:r>
          </w:p>
          <w:p w14:paraId="3C5B8A8D" w14:textId="239AE1E6" w:rsidR="00B96CDF" w:rsidRPr="0002601E" w:rsidRDefault="00B96CDF" w:rsidP="00AD309C">
            <w:pPr>
              <w:pStyle w:val="ListParagraph"/>
              <w:numPr>
                <w:ilvl w:val="0"/>
                <w:numId w:val="128"/>
              </w:numPr>
              <w:rPr>
                <w:i/>
              </w:rPr>
            </w:pPr>
            <w:r w:rsidRPr="00A46A82">
              <w:t xml:space="preserve">Observations are conducted to capture a representative sample of the different roles of </w:t>
            </w:r>
            <w:hyperlink w:anchor="HHtouchpatientsendnote" w:history="1">
              <w:r w:rsidRPr="00A46A82">
                <w:rPr>
                  <w:rStyle w:val="Hyperlink"/>
                </w:rPr>
                <w:t>individuals who touch patients or who touch items that will be used by patients</w:t>
              </w:r>
            </w:hyperlink>
            <w:r>
              <w:fldChar w:fldCharType="begin"/>
            </w:r>
            <w:r>
              <w:instrText xml:space="preserve"> NOTEREF _Ref25671414 \f \h  \* MERGEFORMAT </w:instrText>
            </w:r>
            <w:r>
              <w:fldChar w:fldCharType="separate"/>
            </w:r>
            <w:r w:rsidR="007D53A2" w:rsidRPr="001D29D4">
              <w:rPr>
                <w:rStyle w:val="EndnoteReference"/>
              </w:rPr>
              <w:t>44</w:t>
            </w:r>
            <w:r>
              <w:fldChar w:fldCharType="end"/>
            </w:r>
            <w:r w:rsidRPr="00A46A82">
              <w:t xml:space="preserve"> (e.g., nurses, physicians, techs, environmental services workers)</w:t>
            </w:r>
            <w:bookmarkEnd w:id="494"/>
            <w:r w:rsidR="00C92582">
              <w:t>?</w:t>
            </w:r>
          </w:p>
        </w:tc>
        <w:tc>
          <w:tcPr>
            <w:tcW w:w="3223" w:type="dxa"/>
            <w:tcBorders>
              <w:top w:val="single" w:sz="4" w:space="0" w:color="auto"/>
            </w:tcBorders>
            <w:vAlign w:val="center"/>
          </w:tcPr>
          <w:p w14:paraId="1EDF187E" w14:textId="77777777" w:rsidR="00B96CDF" w:rsidRPr="00B74BD8" w:rsidRDefault="00B96CDF" w:rsidP="00AD309C">
            <w:pPr>
              <w:pStyle w:val="ListParagraph"/>
              <w:numPr>
                <w:ilvl w:val="0"/>
                <w:numId w:val="303"/>
              </w:numPr>
              <w:rPr>
                <w:iCs/>
              </w:rPr>
            </w:pPr>
            <w:r w:rsidRPr="00B74BD8">
              <w:rPr>
                <w:iCs/>
              </w:rPr>
              <w:t>Yes</w:t>
            </w:r>
          </w:p>
          <w:p w14:paraId="6FBB685F" w14:textId="77777777" w:rsidR="00B96CDF" w:rsidRPr="00B74BD8" w:rsidRDefault="00B96CDF" w:rsidP="00AD309C">
            <w:pPr>
              <w:pStyle w:val="ListParagraph"/>
              <w:numPr>
                <w:ilvl w:val="0"/>
                <w:numId w:val="303"/>
              </w:numPr>
              <w:rPr>
                <w:iCs/>
              </w:rPr>
            </w:pPr>
            <w:r w:rsidRPr="00B74BD8">
              <w:rPr>
                <w:iCs/>
              </w:rPr>
              <w:t>No</w:t>
            </w:r>
          </w:p>
        </w:tc>
      </w:tr>
      <w:tr w:rsidR="00233969" w:rsidRPr="00C645E0" w14:paraId="7C981562" w14:textId="77777777" w:rsidTr="00B74BD8">
        <w:trPr>
          <w:trHeight w:val="792"/>
        </w:trPr>
        <w:tc>
          <w:tcPr>
            <w:tcW w:w="6127" w:type="dxa"/>
            <w:vAlign w:val="center"/>
          </w:tcPr>
          <w:p w14:paraId="2A3E308C" w14:textId="109F2FE8" w:rsidR="00B96CDF" w:rsidRPr="00A46A82" w:rsidRDefault="00B96CDF" w:rsidP="00AD309C">
            <w:pPr>
              <w:numPr>
                <w:ilvl w:val="0"/>
                <w:numId w:val="144"/>
              </w:numPr>
            </w:pPr>
            <w:r w:rsidRPr="00422FF2">
              <w:t xml:space="preserve">Does your hospital have </w:t>
            </w:r>
            <w:bookmarkStart w:id="495" w:name="_Hlk36135925"/>
            <w:r w:rsidRPr="00422FF2">
              <w:t>a system in place for both the initial and recurrent training and</w:t>
            </w:r>
            <w:r>
              <w:t xml:space="preserve"> </w:t>
            </w:r>
            <w:r w:rsidRPr="00DC0C88">
              <w:t>validation of hand hygiene compliance observers</w:t>
            </w:r>
            <w:r w:rsidRPr="00422FF2">
              <w:t>?</w:t>
            </w:r>
            <w:bookmarkEnd w:id="495"/>
          </w:p>
        </w:tc>
        <w:tc>
          <w:tcPr>
            <w:tcW w:w="3223" w:type="dxa"/>
            <w:vAlign w:val="center"/>
          </w:tcPr>
          <w:p w14:paraId="2ED92741" w14:textId="77777777" w:rsidR="00B96CDF" w:rsidRPr="00B74BD8" w:rsidRDefault="00B96CDF" w:rsidP="00AD309C">
            <w:pPr>
              <w:pStyle w:val="ListParagraph"/>
              <w:numPr>
                <w:ilvl w:val="0"/>
                <w:numId w:val="303"/>
              </w:numPr>
              <w:rPr>
                <w:iCs/>
              </w:rPr>
            </w:pPr>
            <w:r w:rsidRPr="00B74BD8">
              <w:rPr>
                <w:iCs/>
              </w:rPr>
              <w:t>Yes</w:t>
            </w:r>
          </w:p>
          <w:p w14:paraId="5BC3AB86" w14:textId="77777777" w:rsidR="00B96CDF" w:rsidRPr="00B74BD8" w:rsidRDefault="00B96CDF" w:rsidP="00AD309C">
            <w:pPr>
              <w:pStyle w:val="ListParagraph"/>
              <w:numPr>
                <w:ilvl w:val="0"/>
                <w:numId w:val="303"/>
              </w:numPr>
              <w:rPr>
                <w:iCs/>
              </w:rPr>
            </w:pPr>
            <w:r w:rsidRPr="00B74BD8">
              <w:rPr>
                <w:iCs/>
              </w:rPr>
              <w:t>No</w:t>
            </w:r>
          </w:p>
        </w:tc>
      </w:tr>
    </w:tbl>
    <w:p w14:paraId="30B4B5B8" w14:textId="1FAC1A81" w:rsidR="00AC5B93" w:rsidRDefault="00AC5B93" w:rsidP="00CA7511">
      <w:pPr>
        <w:rPr>
          <w:b/>
        </w:rPr>
      </w:pPr>
    </w:p>
    <w:p w14:paraId="4F67C26E" w14:textId="762F97B9" w:rsidR="00CA7511" w:rsidRPr="000F5420" w:rsidRDefault="00CA7511" w:rsidP="00AB5B80">
      <w:pPr>
        <w:pStyle w:val="Heading3"/>
        <w:rPr>
          <w:sz w:val="20"/>
          <w:szCs w:val="20"/>
        </w:rPr>
      </w:pPr>
      <w:bookmarkStart w:id="496" w:name="_Toc131159863"/>
      <w:bookmarkStart w:id="497" w:name="_Toc225877785"/>
      <w:r w:rsidRPr="00AC5B93">
        <w:lastRenderedPageBreak/>
        <w:t>Feedback</w:t>
      </w:r>
      <w:bookmarkEnd w:id="496"/>
      <w:bookmarkEnd w:id="497"/>
      <w:r w:rsidR="00AC5B93" w:rsidRPr="00AC5B93">
        <w:br/>
      </w:r>
    </w:p>
    <w:tbl>
      <w:tblPr>
        <w:tblStyle w:val="TableGrid"/>
        <w:tblW w:w="0" w:type="auto"/>
        <w:tblLook w:val="04A0" w:firstRow="1" w:lastRow="0" w:firstColumn="1" w:lastColumn="0" w:noHBand="0" w:noVBand="1"/>
      </w:tblPr>
      <w:tblGrid>
        <w:gridCol w:w="6127"/>
        <w:gridCol w:w="3223"/>
      </w:tblGrid>
      <w:tr w:rsidR="00CA7511" w:rsidRPr="00C645E0" w14:paraId="3B1CACA1" w14:textId="77777777" w:rsidTr="00B74BD8">
        <w:trPr>
          <w:trHeight w:val="864"/>
        </w:trPr>
        <w:tc>
          <w:tcPr>
            <w:tcW w:w="6127" w:type="dxa"/>
            <w:vAlign w:val="center"/>
          </w:tcPr>
          <w:p w14:paraId="011CD1E6" w14:textId="3CAC623A" w:rsidR="00912EB9" w:rsidRPr="00C645E0" w:rsidRDefault="00912EB9" w:rsidP="00AD309C">
            <w:pPr>
              <w:pStyle w:val="ListParagraph"/>
              <w:numPr>
                <w:ilvl w:val="0"/>
                <w:numId w:val="144"/>
              </w:numPr>
            </w:pPr>
            <w:r w:rsidRPr="00912EB9">
              <w:t xml:space="preserve">Are unit-level hand hygiene compliance data fed back to </w:t>
            </w:r>
            <w:hyperlink w:anchor="HHtouchpatientsendnote" w:history="1">
              <w:r w:rsidRPr="00FB6CA9">
                <w:rPr>
                  <w:rStyle w:val="Hyperlink"/>
                </w:rPr>
                <w:t>individuals who touch patients or who touch items that will be used by patients</w:t>
              </w:r>
            </w:hyperlink>
            <w:r w:rsidR="00FB6CA9">
              <w:fldChar w:fldCharType="begin"/>
            </w:r>
            <w:r w:rsidR="00FB6CA9">
              <w:instrText xml:space="preserve"> NOTEREF _Ref25671414 \f \h </w:instrText>
            </w:r>
            <w:r w:rsidR="001777D8">
              <w:instrText xml:space="preserve"> \* MERGEFORMAT </w:instrText>
            </w:r>
            <w:r w:rsidR="00FB6CA9">
              <w:fldChar w:fldCharType="separate"/>
            </w:r>
            <w:r w:rsidR="007D53A2" w:rsidRPr="001D29D4">
              <w:rPr>
                <w:rStyle w:val="EndnoteReference"/>
              </w:rPr>
              <w:t>44</w:t>
            </w:r>
            <w:r w:rsidR="00FB6CA9">
              <w:fldChar w:fldCharType="end"/>
            </w:r>
            <w:r w:rsidRPr="00912EB9">
              <w:t xml:space="preserve"> at least monthly for improvement work?</w:t>
            </w:r>
          </w:p>
        </w:tc>
        <w:tc>
          <w:tcPr>
            <w:tcW w:w="3223" w:type="dxa"/>
            <w:vAlign w:val="center"/>
          </w:tcPr>
          <w:p w14:paraId="49AD0A51" w14:textId="77777777" w:rsidR="00CA7511" w:rsidRPr="00B74BD8" w:rsidRDefault="00CA7511" w:rsidP="00AD309C">
            <w:pPr>
              <w:pStyle w:val="ListParagraph"/>
              <w:numPr>
                <w:ilvl w:val="0"/>
                <w:numId w:val="301"/>
              </w:numPr>
              <w:rPr>
                <w:iCs/>
              </w:rPr>
            </w:pPr>
            <w:r w:rsidRPr="00B74BD8">
              <w:rPr>
                <w:iCs/>
              </w:rPr>
              <w:t>Yes</w:t>
            </w:r>
          </w:p>
          <w:p w14:paraId="0E71B440" w14:textId="77777777" w:rsidR="00CA7511" w:rsidRPr="00233969" w:rsidRDefault="00CA7511" w:rsidP="00AD309C">
            <w:pPr>
              <w:pStyle w:val="ListParagraph"/>
              <w:numPr>
                <w:ilvl w:val="0"/>
                <w:numId w:val="301"/>
              </w:numPr>
              <w:rPr>
                <w:iCs/>
              </w:rPr>
            </w:pPr>
            <w:r w:rsidRPr="00B74BD8">
              <w:rPr>
                <w:iCs/>
              </w:rPr>
              <w:t>No</w:t>
            </w:r>
          </w:p>
        </w:tc>
      </w:tr>
      <w:tr w:rsidR="00CA7511" w:rsidRPr="00C645E0" w14:paraId="3876FDD2" w14:textId="77777777" w:rsidTr="00B74BD8">
        <w:trPr>
          <w:trHeight w:val="576"/>
        </w:trPr>
        <w:tc>
          <w:tcPr>
            <w:tcW w:w="6127" w:type="dxa"/>
            <w:vAlign w:val="center"/>
          </w:tcPr>
          <w:p w14:paraId="5B6B79F9" w14:textId="6C78C24E" w:rsidR="00D62526" w:rsidRDefault="00912EB9" w:rsidP="00AD309C">
            <w:pPr>
              <w:pStyle w:val="ListParagraph"/>
              <w:numPr>
                <w:ilvl w:val="0"/>
                <w:numId w:val="144"/>
              </w:numPr>
            </w:pPr>
            <w:r w:rsidRPr="00912EB9">
              <w:t>Are unit-level hand hygiene compliance data used for creating unit-level action plans?</w:t>
            </w:r>
          </w:p>
        </w:tc>
        <w:tc>
          <w:tcPr>
            <w:tcW w:w="3223" w:type="dxa"/>
            <w:vAlign w:val="center"/>
          </w:tcPr>
          <w:p w14:paraId="45332F8E" w14:textId="77777777" w:rsidR="00CA7511" w:rsidRPr="00B74BD8" w:rsidRDefault="00CA7511" w:rsidP="00AD309C">
            <w:pPr>
              <w:pStyle w:val="ListParagraph"/>
              <w:numPr>
                <w:ilvl w:val="0"/>
                <w:numId w:val="301"/>
              </w:numPr>
              <w:rPr>
                <w:iCs/>
              </w:rPr>
            </w:pPr>
            <w:r w:rsidRPr="00B74BD8">
              <w:rPr>
                <w:iCs/>
              </w:rPr>
              <w:t>Yes</w:t>
            </w:r>
          </w:p>
          <w:p w14:paraId="57B43C37" w14:textId="77777777" w:rsidR="00CA7511" w:rsidRPr="00B74BD8" w:rsidRDefault="00CA7511" w:rsidP="00AD309C">
            <w:pPr>
              <w:pStyle w:val="ListParagraph"/>
              <w:numPr>
                <w:ilvl w:val="0"/>
                <w:numId w:val="301"/>
              </w:numPr>
              <w:rPr>
                <w:iCs/>
              </w:rPr>
            </w:pPr>
            <w:r w:rsidRPr="00B74BD8">
              <w:rPr>
                <w:iCs/>
              </w:rPr>
              <w:t>No</w:t>
            </w:r>
          </w:p>
        </w:tc>
      </w:tr>
      <w:tr w:rsidR="006F4738" w:rsidRPr="00C645E0" w14:paraId="60085733" w14:textId="77777777" w:rsidTr="00B74BD8">
        <w:trPr>
          <w:trHeight w:val="2448"/>
        </w:trPr>
        <w:tc>
          <w:tcPr>
            <w:tcW w:w="6127" w:type="dxa"/>
            <w:vAlign w:val="center"/>
          </w:tcPr>
          <w:p w14:paraId="47F43416" w14:textId="4BBEEB03" w:rsidR="00B0490E" w:rsidRDefault="006F4738" w:rsidP="00AD309C">
            <w:pPr>
              <w:pStyle w:val="ListParagraph"/>
              <w:numPr>
                <w:ilvl w:val="0"/>
                <w:numId w:val="144"/>
              </w:numPr>
            </w:pPr>
            <w:r w:rsidRPr="006F4738">
              <w:t xml:space="preserve">Is regular (at least every </w:t>
            </w:r>
            <w:r w:rsidR="009753C2">
              <w:t>6</w:t>
            </w:r>
            <w:r w:rsidRPr="006F4738">
              <w:t xml:space="preserve"> months) feedback of hand hygiene compliance data, with demonstration of trends over time, given to: </w:t>
            </w:r>
          </w:p>
          <w:p w14:paraId="7E7EFED0" w14:textId="7E5E984C" w:rsidR="00B0490E" w:rsidRDefault="00B0490E" w:rsidP="00AD309C">
            <w:pPr>
              <w:pStyle w:val="ListParagraph"/>
              <w:numPr>
                <w:ilvl w:val="0"/>
                <w:numId w:val="129"/>
              </w:numPr>
            </w:pPr>
            <w:hyperlink w:anchor="SeniorAdministrativeLeadership" w:history="1">
              <w:r>
                <w:rPr>
                  <w:rStyle w:val="Hyperlink"/>
                </w:rPr>
                <w:t>senior administrative leadership</w:t>
              </w:r>
            </w:hyperlink>
            <w:r>
              <w:t xml:space="preserve">, </w:t>
            </w:r>
            <w:hyperlink w:anchor="PhysicianLeadership" w:history="1">
              <w:r>
                <w:rPr>
                  <w:rStyle w:val="Hyperlink"/>
                </w:rPr>
                <w:t>physician leadership</w:t>
              </w:r>
            </w:hyperlink>
            <w:r>
              <w:t xml:space="preserve">, and </w:t>
            </w:r>
            <w:hyperlink w:anchor="NursingLeadership" w:history="1">
              <w:r>
                <w:rPr>
                  <w:rStyle w:val="Hyperlink"/>
                </w:rPr>
                <w:t>nursing leadership</w:t>
              </w:r>
            </w:hyperlink>
            <w:r w:rsidR="0087107E">
              <w:rPr>
                <w:rStyle w:val="Hyperlink"/>
              </w:rPr>
              <w:t>,</w:t>
            </w:r>
          </w:p>
          <w:p w14:paraId="6902750F" w14:textId="0E058988" w:rsidR="00B0490E" w:rsidRDefault="00B0490E" w:rsidP="00AD309C">
            <w:pPr>
              <w:pStyle w:val="ListParagraph"/>
              <w:numPr>
                <w:ilvl w:val="0"/>
                <w:numId w:val="129"/>
              </w:numPr>
            </w:pPr>
            <w:r>
              <w:t xml:space="preserve">the </w:t>
            </w:r>
            <w:hyperlink w:anchor="Board" w:history="1">
              <w:r w:rsidRPr="00ED3FCE">
                <w:rPr>
                  <w:rStyle w:val="Hyperlink"/>
                </w:rPr>
                <w:t>board</w:t>
              </w:r>
            </w:hyperlink>
            <w:r>
              <w:t xml:space="preserve"> (governance)</w:t>
            </w:r>
            <w:r w:rsidR="0087107E">
              <w:t>,</w:t>
            </w:r>
            <w:r>
              <w:t xml:space="preserve"> and</w:t>
            </w:r>
          </w:p>
          <w:p w14:paraId="1E51B843" w14:textId="5E906E0E" w:rsidR="00B0490E" w:rsidRDefault="00B0490E" w:rsidP="00AD309C">
            <w:pPr>
              <w:pStyle w:val="ListParagraph"/>
              <w:numPr>
                <w:ilvl w:val="0"/>
                <w:numId w:val="129"/>
              </w:numPr>
            </w:pPr>
            <w:r>
              <w:t xml:space="preserve">the </w:t>
            </w:r>
            <w:hyperlink w:anchor="MEC" w:history="1">
              <w:r w:rsidRPr="006F4738">
                <w:rPr>
                  <w:rStyle w:val="Hyperlink"/>
                </w:rPr>
                <w:t>medical executive committee</w:t>
              </w:r>
            </w:hyperlink>
            <w:r>
              <w:t>?</w:t>
            </w:r>
          </w:p>
          <w:p w14:paraId="4016A6D3" w14:textId="77777777" w:rsidR="00B0490E" w:rsidRDefault="00B0490E" w:rsidP="0003125F"/>
          <w:p w14:paraId="788A6026" w14:textId="3627B083" w:rsidR="006F4738" w:rsidRPr="00912EB9" w:rsidRDefault="004C47B2" w:rsidP="0003125F">
            <w:pPr>
              <w:pStyle w:val="ListParagraph"/>
              <w:ind w:left="360"/>
            </w:pPr>
            <w:r w:rsidRPr="00B0490E">
              <w:rPr>
                <w:i/>
              </w:rPr>
              <w:t>If “no” to question #1</w:t>
            </w:r>
            <w:r w:rsidR="006B7972">
              <w:rPr>
                <w:i/>
              </w:rPr>
              <w:t>8</w:t>
            </w:r>
            <w:r w:rsidRPr="00B0490E">
              <w:rPr>
                <w:i/>
              </w:rPr>
              <w:t>, skip question #</w:t>
            </w:r>
            <w:r>
              <w:rPr>
                <w:i/>
              </w:rPr>
              <w:t>1</w:t>
            </w:r>
            <w:r w:rsidR="006B7972">
              <w:rPr>
                <w:i/>
              </w:rPr>
              <w:t>9</w:t>
            </w:r>
            <w:r w:rsidRPr="00B0490E">
              <w:rPr>
                <w:i/>
              </w:rPr>
              <w:t xml:space="preserve"> and continue to question #</w:t>
            </w:r>
            <w:r w:rsidR="006B7972">
              <w:rPr>
                <w:i/>
              </w:rPr>
              <w:t>20</w:t>
            </w:r>
            <w:r w:rsidRPr="00B0490E">
              <w:rPr>
                <w:i/>
              </w:rPr>
              <w:t>.</w:t>
            </w:r>
          </w:p>
        </w:tc>
        <w:tc>
          <w:tcPr>
            <w:tcW w:w="3223" w:type="dxa"/>
            <w:vAlign w:val="center"/>
          </w:tcPr>
          <w:p w14:paraId="6F978EB5" w14:textId="77777777" w:rsidR="006F4738" w:rsidRPr="00B74BD8" w:rsidRDefault="006F4738" w:rsidP="00AD309C">
            <w:pPr>
              <w:pStyle w:val="ListParagraph"/>
              <w:numPr>
                <w:ilvl w:val="0"/>
                <w:numId w:val="301"/>
              </w:numPr>
              <w:rPr>
                <w:iCs/>
              </w:rPr>
            </w:pPr>
            <w:r w:rsidRPr="00B74BD8">
              <w:rPr>
                <w:iCs/>
              </w:rPr>
              <w:t>Yes</w:t>
            </w:r>
          </w:p>
          <w:p w14:paraId="244AAE2A" w14:textId="77777777" w:rsidR="006F4738" w:rsidRPr="00B74BD8" w:rsidRDefault="006F4738" w:rsidP="00AD309C">
            <w:pPr>
              <w:pStyle w:val="ListParagraph"/>
              <w:numPr>
                <w:ilvl w:val="0"/>
                <w:numId w:val="301"/>
              </w:numPr>
              <w:rPr>
                <w:iCs/>
              </w:rPr>
            </w:pPr>
            <w:r w:rsidRPr="00B74BD8">
              <w:rPr>
                <w:iCs/>
              </w:rPr>
              <w:t>No</w:t>
            </w:r>
          </w:p>
        </w:tc>
      </w:tr>
      <w:tr w:rsidR="00E83288" w:rsidRPr="00C645E0" w14:paraId="77371003" w14:textId="77777777" w:rsidTr="00B74BD8">
        <w:trPr>
          <w:trHeight w:val="1008"/>
        </w:trPr>
        <w:tc>
          <w:tcPr>
            <w:tcW w:w="6127" w:type="dxa"/>
            <w:vAlign w:val="center"/>
          </w:tcPr>
          <w:p w14:paraId="75FF062F" w14:textId="4EA4929E" w:rsidR="00AC5B93" w:rsidRPr="006F4738" w:rsidRDefault="00E83288" w:rsidP="00AD309C">
            <w:pPr>
              <w:pStyle w:val="ListParagraph"/>
              <w:numPr>
                <w:ilvl w:val="0"/>
                <w:numId w:val="144"/>
              </w:numPr>
            </w:pPr>
            <w:r w:rsidRPr="00E83288">
              <w:t>If “yes” to question #</w:t>
            </w:r>
            <w:r w:rsidR="004C47B2">
              <w:t>1</w:t>
            </w:r>
            <w:r w:rsidR="006B7972">
              <w:t>8</w:t>
            </w:r>
            <w:r w:rsidR="004C47B2">
              <w:t>, is</w:t>
            </w:r>
            <w:r w:rsidRPr="00E83288">
              <w:t xml:space="preserve"> </w:t>
            </w:r>
            <w:hyperlink w:anchor="SeniorAdministrativeLeadership" w:history="1">
              <w:r>
                <w:rPr>
                  <w:rStyle w:val="Hyperlink"/>
                </w:rPr>
                <w:t>senior administrative leadership</w:t>
              </w:r>
            </w:hyperlink>
            <w:r>
              <w:t xml:space="preserve">, </w:t>
            </w:r>
            <w:hyperlink w:anchor="PhysicianLeadership" w:history="1">
              <w:r>
                <w:rPr>
                  <w:rStyle w:val="Hyperlink"/>
                </w:rPr>
                <w:t>physician leadership</w:t>
              </w:r>
            </w:hyperlink>
            <w:r>
              <w:t xml:space="preserve">, and </w:t>
            </w:r>
            <w:hyperlink w:anchor="NursingLeadership" w:history="1">
              <w:r>
                <w:rPr>
                  <w:rStyle w:val="Hyperlink"/>
                </w:rPr>
                <w:t>nursing leadership</w:t>
              </w:r>
            </w:hyperlink>
            <w:r w:rsidRPr="00E83288">
              <w:t xml:space="preserve"> held </w:t>
            </w:r>
            <w:r w:rsidRPr="00752FB8">
              <w:t>directly accountable</w:t>
            </w:r>
            <w:r w:rsidRPr="00E83288">
              <w:t xml:space="preserve"> for hand hygiene performance through </w:t>
            </w:r>
            <w:hyperlink w:anchor="HH_accountability" w:history="1">
              <w:r w:rsidRPr="00752FB8">
                <w:rPr>
                  <w:rStyle w:val="Hyperlink"/>
                </w:rPr>
                <w:t>performance reviews or compensation</w:t>
              </w:r>
            </w:hyperlink>
            <w:r w:rsidRPr="00E83288">
              <w:t>?</w:t>
            </w:r>
          </w:p>
        </w:tc>
        <w:tc>
          <w:tcPr>
            <w:tcW w:w="3223" w:type="dxa"/>
            <w:vAlign w:val="center"/>
          </w:tcPr>
          <w:p w14:paraId="539D408B" w14:textId="77777777" w:rsidR="00E83288" w:rsidRPr="00B74BD8" w:rsidRDefault="00E83288" w:rsidP="00AD309C">
            <w:pPr>
              <w:pStyle w:val="ListParagraph"/>
              <w:numPr>
                <w:ilvl w:val="0"/>
                <w:numId w:val="301"/>
              </w:numPr>
              <w:rPr>
                <w:iCs/>
              </w:rPr>
            </w:pPr>
            <w:r w:rsidRPr="00B74BD8">
              <w:rPr>
                <w:iCs/>
              </w:rPr>
              <w:t>Yes</w:t>
            </w:r>
          </w:p>
          <w:p w14:paraId="52C1FDEB" w14:textId="77777777" w:rsidR="00E83288" w:rsidRPr="00B74BD8" w:rsidRDefault="00E83288" w:rsidP="00AD309C">
            <w:pPr>
              <w:pStyle w:val="ListParagraph"/>
              <w:numPr>
                <w:ilvl w:val="0"/>
                <w:numId w:val="301"/>
              </w:numPr>
              <w:rPr>
                <w:iCs/>
              </w:rPr>
            </w:pPr>
            <w:r w:rsidRPr="00B74BD8">
              <w:rPr>
                <w:iCs/>
              </w:rPr>
              <w:t>No</w:t>
            </w:r>
          </w:p>
        </w:tc>
      </w:tr>
    </w:tbl>
    <w:p w14:paraId="166E35A8" w14:textId="77777777" w:rsidR="00C4117F" w:rsidRDefault="00C4117F" w:rsidP="00563CD7">
      <w:pPr>
        <w:rPr>
          <w:b/>
          <w:snapToGrid w:val="0"/>
          <w:color w:val="000000"/>
        </w:rPr>
      </w:pPr>
    </w:p>
    <w:p w14:paraId="1D0D3D88" w14:textId="19A293E6" w:rsidR="005214B6" w:rsidRPr="000F5420" w:rsidRDefault="00862908" w:rsidP="00AB5B80">
      <w:pPr>
        <w:pStyle w:val="Heading3"/>
        <w:rPr>
          <w:sz w:val="20"/>
          <w:szCs w:val="20"/>
        </w:rPr>
      </w:pPr>
      <w:bookmarkStart w:id="498" w:name="_Toc131159864"/>
      <w:bookmarkStart w:id="499" w:name="_Toc225877786"/>
      <w:r>
        <w:t>Culture</w:t>
      </w:r>
      <w:bookmarkEnd w:id="498"/>
      <w:bookmarkEnd w:id="499"/>
      <w:r w:rsidR="00AC5B93">
        <w:br/>
      </w:r>
    </w:p>
    <w:tbl>
      <w:tblPr>
        <w:tblStyle w:val="TableGrid"/>
        <w:tblW w:w="0" w:type="auto"/>
        <w:tblLook w:val="04A0" w:firstRow="1" w:lastRow="0" w:firstColumn="1" w:lastColumn="0" w:noHBand="0" w:noVBand="1"/>
      </w:tblPr>
      <w:tblGrid>
        <w:gridCol w:w="6115"/>
        <w:gridCol w:w="3235"/>
      </w:tblGrid>
      <w:tr w:rsidR="005214B6" w:rsidRPr="00C645E0" w14:paraId="74E6F11A" w14:textId="77777777" w:rsidTr="00B44C7B">
        <w:trPr>
          <w:trHeight w:val="864"/>
        </w:trPr>
        <w:tc>
          <w:tcPr>
            <w:tcW w:w="6115" w:type="dxa"/>
            <w:tcBorders>
              <w:bottom w:val="single" w:sz="4" w:space="0" w:color="auto"/>
            </w:tcBorders>
            <w:vAlign w:val="center"/>
          </w:tcPr>
          <w:p w14:paraId="7BBD890D" w14:textId="722B9D1A" w:rsidR="005214B6" w:rsidRPr="008D4A9D" w:rsidRDefault="00862908" w:rsidP="00AD309C">
            <w:pPr>
              <w:pStyle w:val="ListParagraph"/>
              <w:numPr>
                <w:ilvl w:val="0"/>
                <w:numId w:val="144"/>
              </w:numPr>
            </w:pPr>
            <w:r w:rsidRPr="00862908">
              <w:t xml:space="preserve">Are patients and visitors </w:t>
            </w:r>
            <w:hyperlink w:anchor="HH_remind" w:history="1">
              <w:r w:rsidRPr="00752FB8">
                <w:rPr>
                  <w:rStyle w:val="Hyperlink"/>
                </w:rPr>
                <w:t>invited to remind</w:t>
              </w:r>
            </w:hyperlink>
            <w:hyperlink w:anchor="HHtouchpatientsendnote" w:history="1">
              <w:r w:rsidRPr="00752FB8">
                <w:rPr>
                  <w:rStyle w:val="Hyperlink"/>
                  <w:u w:val="none"/>
                </w:rPr>
                <w:t xml:space="preserve"> </w:t>
              </w:r>
              <w:r w:rsidRPr="007E5A4C">
                <w:rPr>
                  <w:rStyle w:val="Hyperlink"/>
                </w:rPr>
                <w:t>individuals who touch patients or who touch items that will be used by patients</w:t>
              </w:r>
            </w:hyperlink>
            <w:r w:rsidR="007E5A4C">
              <w:fldChar w:fldCharType="begin"/>
            </w:r>
            <w:r w:rsidR="007E5A4C">
              <w:instrText xml:space="preserve"> NOTEREF _Ref25671414 \f \h </w:instrText>
            </w:r>
            <w:r w:rsidR="001777D8">
              <w:instrText xml:space="preserve"> \* MERGEFORMAT </w:instrText>
            </w:r>
            <w:r w:rsidR="007E5A4C">
              <w:fldChar w:fldCharType="separate"/>
            </w:r>
            <w:r w:rsidR="007D53A2" w:rsidRPr="001D29D4">
              <w:rPr>
                <w:rStyle w:val="EndnoteReference"/>
              </w:rPr>
              <w:t>44</w:t>
            </w:r>
            <w:r w:rsidR="007E5A4C">
              <w:fldChar w:fldCharType="end"/>
            </w:r>
            <w:r w:rsidRPr="00862908">
              <w:t xml:space="preserve"> to perform hand hygiene?</w:t>
            </w:r>
          </w:p>
        </w:tc>
        <w:tc>
          <w:tcPr>
            <w:tcW w:w="3235" w:type="dxa"/>
            <w:vAlign w:val="center"/>
          </w:tcPr>
          <w:p w14:paraId="313F9EFA" w14:textId="77777777" w:rsidR="005214B6" w:rsidRPr="00B74BD8" w:rsidRDefault="00862908" w:rsidP="00AD309C">
            <w:pPr>
              <w:pStyle w:val="ListParagraph"/>
              <w:numPr>
                <w:ilvl w:val="0"/>
                <w:numId w:val="302"/>
              </w:numPr>
              <w:rPr>
                <w:iCs/>
              </w:rPr>
            </w:pPr>
            <w:r w:rsidRPr="00B74BD8">
              <w:rPr>
                <w:iCs/>
              </w:rPr>
              <w:t>Yes</w:t>
            </w:r>
          </w:p>
          <w:p w14:paraId="70C29BFB" w14:textId="77777777" w:rsidR="00862908" w:rsidRPr="00B74BD8" w:rsidRDefault="00862908" w:rsidP="00AD309C">
            <w:pPr>
              <w:pStyle w:val="ListParagraph"/>
              <w:numPr>
                <w:ilvl w:val="0"/>
                <w:numId w:val="302"/>
              </w:numPr>
              <w:rPr>
                <w:iCs/>
              </w:rPr>
            </w:pPr>
            <w:r w:rsidRPr="00B74BD8">
              <w:rPr>
                <w:iCs/>
              </w:rPr>
              <w:t>No</w:t>
            </w:r>
          </w:p>
        </w:tc>
      </w:tr>
      <w:tr w:rsidR="005214B6" w:rsidRPr="00C645E0" w14:paraId="06349DF4" w14:textId="77777777" w:rsidTr="00B44C7B">
        <w:trPr>
          <w:trHeight w:val="2016"/>
        </w:trPr>
        <w:tc>
          <w:tcPr>
            <w:tcW w:w="6115" w:type="dxa"/>
            <w:tcBorders>
              <w:bottom w:val="single" w:sz="4" w:space="0" w:color="auto"/>
            </w:tcBorders>
          </w:tcPr>
          <w:p w14:paraId="5ABC7BA3" w14:textId="5B1D5BEB" w:rsidR="005214B6" w:rsidRDefault="00862908" w:rsidP="00AD309C">
            <w:pPr>
              <w:pStyle w:val="ListParagraph"/>
              <w:numPr>
                <w:ilvl w:val="0"/>
                <w:numId w:val="144"/>
              </w:numPr>
            </w:pPr>
            <w:r w:rsidRPr="00862908">
              <w:t xml:space="preserve">Have </w:t>
            </w:r>
            <w:r w:rsidRPr="001E0DDE">
              <w:rPr>
                <w:b/>
              </w:rPr>
              <w:t>all</w:t>
            </w:r>
            <w:r w:rsidRPr="00862908">
              <w:t xml:space="preserve"> the following individuals (or their equivalents) </w:t>
            </w:r>
            <w:hyperlink w:anchor="HH_commitment" w:history="1">
              <w:r w:rsidRPr="00752FB8">
                <w:rPr>
                  <w:rStyle w:val="Hyperlink"/>
                </w:rPr>
                <w:t>demonstrated a commitment</w:t>
              </w:r>
            </w:hyperlink>
            <w:r w:rsidRPr="00862908">
              <w:t xml:space="preserve"> to support hand hygiene improvement in the last year (e.g., a written or verbal commitment delivered to those </w:t>
            </w:r>
            <w:hyperlink w:anchor="HHtouchpatientsendnote" w:history="1">
              <w:r w:rsidRPr="007E5A4C">
                <w:rPr>
                  <w:rStyle w:val="Hyperlink"/>
                </w:rPr>
                <w:t>individuals who touch patients or who touch item</w:t>
              </w:r>
              <w:r w:rsidR="007E5A4C" w:rsidRPr="007E5A4C">
                <w:rPr>
                  <w:rStyle w:val="Hyperlink"/>
                </w:rPr>
                <w:t>s that will be used by patients</w:t>
              </w:r>
            </w:hyperlink>
            <w:r w:rsidR="007E5A4C">
              <w:fldChar w:fldCharType="begin"/>
            </w:r>
            <w:r w:rsidR="007E5A4C">
              <w:instrText xml:space="preserve"> NOTEREF _Ref25671414 \f \h </w:instrText>
            </w:r>
            <w:r w:rsidR="001777D8">
              <w:instrText xml:space="preserve"> \* MERGEFORMAT </w:instrText>
            </w:r>
            <w:r w:rsidR="007E5A4C">
              <w:fldChar w:fldCharType="separate"/>
            </w:r>
            <w:r w:rsidR="007D53A2" w:rsidRPr="001D29D4">
              <w:rPr>
                <w:rStyle w:val="EndnoteReference"/>
              </w:rPr>
              <w:t>44</w:t>
            </w:r>
            <w:r w:rsidR="007E5A4C">
              <w:fldChar w:fldCharType="end"/>
            </w:r>
            <w:r w:rsidRPr="00862908">
              <w:t>)</w:t>
            </w:r>
            <w:r w:rsidR="00C92582">
              <w:t>:</w:t>
            </w:r>
          </w:p>
          <w:p w14:paraId="0BE00C89" w14:textId="6BC62400" w:rsidR="00862908" w:rsidRDefault="00862908" w:rsidP="00AD309C">
            <w:pPr>
              <w:pStyle w:val="ListParagraph"/>
              <w:numPr>
                <w:ilvl w:val="0"/>
                <w:numId w:val="130"/>
              </w:numPr>
            </w:pPr>
            <w:r>
              <w:t>Chief Executive Officer</w:t>
            </w:r>
            <w:r w:rsidR="00C92582">
              <w:t>,</w:t>
            </w:r>
          </w:p>
          <w:p w14:paraId="2D4DA1F6" w14:textId="45B6A07A" w:rsidR="00862908" w:rsidRDefault="00862908" w:rsidP="00AD309C">
            <w:pPr>
              <w:pStyle w:val="ListParagraph"/>
              <w:numPr>
                <w:ilvl w:val="0"/>
                <w:numId w:val="130"/>
              </w:numPr>
            </w:pPr>
            <w:r>
              <w:t>Chief Medical Officer</w:t>
            </w:r>
            <w:r w:rsidR="00C92582">
              <w:t>, and</w:t>
            </w:r>
          </w:p>
          <w:p w14:paraId="5CBFF6B4" w14:textId="0DCA16EA" w:rsidR="00862908" w:rsidRPr="00544A77" w:rsidRDefault="00862908" w:rsidP="00AD309C">
            <w:pPr>
              <w:pStyle w:val="ListParagraph"/>
              <w:numPr>
                <w:ilvl w:val="0"/>
                <w:numId w:val="130"/>
              </w:numPr>
            </w:pPr>
            <w:r>
              <w:t>Chief Nursing Officer</w:t>
            </w:r>
            <w:r w:rsidR="00C92582">
              <w:t>?</w:t>
            </w:r>
          </w:p>
        </w:tc>
        <w:tc>
          <w:tcPr>
            <w:tcW w:w="3235" w:type="dxa"/>
            <w:vAlign w:val="center"/>
          </w:tcPr>
          <w:p w14:paraId="4B6834D3" w14:textId="77777777" w:rsidR="005214B6" w:rsidRPr="00B74BD8" w:rsidRDefault="00862908" w:rsidP="00AD309C">
            <w:pPr>
              <w:pStyle w:val="ListParagraph"/>
              <w:numPr>
                <w:ilvl w:val="0"/>
                <w:numId w:val="302"/>
              </w:numPr>
              <w:rPr>
                <w:iCs/>
              </w:rPr>
            </w:pPr>
            <w:r w:rsidRPr="00B74BD8">
              <w:rPr>
                <w:iCs/>
              </w:rPr>
              <w:t>Yes</w:t>
            </w:r>
          </w:p>
          <w:p w14:paraId="77BF6FE5" w14:textId="77777777" w:rsidR="00862908" w:rsidRPr="00B74BD8" w:rsidRDefault="00862908" w:rsidP="00AD309C">
            <w:pPr>
              <w:pStyle w:val="ListParagraph"/>
              <w:numPr>
                <w:ilvl w:val="0"/>
                <w:numId w:val="302"/>
              </w:numPr>
              <w:rPr>
                <w:b/>
                <w:iCs/>
              </w:rPr>
            </w:pPr>
            <w:r w:rsidRPr="00B74BD8">
              <w:rPr>
                <w:iCs/>
              </w:rPr>
              <w:t>No</w:t>
            </w:r>
          </w:p>
        </w:tc>
      </w:tr>
    </w:tbl>
    <w:p w14:paraId="60A4A99B" w14:textId="77777777" w:rsidR="00CE3245" w:rsidRDefault="00CE3245" w:rsidP="00940AE7">
      <w:bookmarkStart w:id="500" w:name="_Hlk57720921"/>
      <w:bookmarkEnd w:id="480"/>
    </w:p>
    <w:p w14:paraId="162FA9F8" w14:textId="77777777" w:rsidR="00CE3245" w:rsidRDefault="00CE3245" w:rsidP="00940AE7"/>
    <w:p w14:paraId="15478D1B" w14:textId="3F26346B" w:rsidR="0002601E" w:rsidRDefault="0002601E" w:rsidP="00563CD7">
      <w:pPr>
        <w:rPr>
          <w:b/>
          <w:i/>
        </w:rPr>
      </w:pPr>
    </w:p>
    <w:p w14:paraId="7C102120" w14:textId="77777777" w:rsidR="00165BD9" w:rsidRDefault="00165BD9">
      <w:pPr>
        <w:rPr>
          <w:b/>
          <w:i/>
        </w:rPr>
      </w:pPr>
    </w:p>
    <w:p w14:paraId="0E8E1526" w14:textId="77777777" w:rsidR="00165BD9" w:rsidRDefault="00165BD9">
      <w:pPr>
        <w:rPr>
          <w:b/>
          <w:i/>
        </w:rPr>
      </w:pPr>
    </w:p>
    <w:p w14:paraId="665E7BE2" w14:textId="77777777" w:rsidR="00165BD9" w:rsidRDefault="00165BD9">
      <w:pPr>
        <w:rPr>
          <w:b/>
          <w:i/>
        </w:rPr>
      </w:pPr>
    </w:p>
    <w:p w14:paraId="3983AE90" w14:textId="77777777" w:rsidR="00165BD9" w:rsidRDefault="00165BD9">
      <w:pPr>
        <w:rPr>
          <w:b/>
          <w:i/>
        </w:rPr>
      </w:pPr>
      <w:r>
        <w:rPr>
          <w:b/>
          <w:i/>
        </w:rPr>
        <w:br w:type="page"/>
      </w:r>
    </w:p>
    <w:p w14:paraId="47AC9C8F" w14:textId="2F906781" w:rsidR="001A5656" w:rsidRDefault="00165BD9" w:rsidP="00CF5A6E">
      <w:pPr>
        <w:pStyle w:val="Heading2"/>
      </w:pPr>
      <w:bookmarkStart w:id="501" w:name="_Toc225877787"/>
      <w:r>
        <w:lastRenderedPageBreak/>
        <w:t>6</w:t>
      </w:r>
      <w:r w:rsidR="00AA1BEF">
        <w:t>D</w:t>
      </w:r>
      <w:r>
        <w:t>: Diagnostic Excellence</w:t>
      </w:r>
      <w:bookmarkEnd w:id="501"/>
    </w:p>
    <w:p w14:paraId="528BDF0E" w14:textId="77777777" w:rsidR="00DC69D9" w:rsidRDefault="00DC69D9" w:rsidP="00B74BD8"/>
    <w:p w14:paraId="1F446B8E" w14:textId="77777777" w:rsidR="00DC69D9" w:rsidRDefault="00DC69D9" w:rsidP="00DC69D9">
      <w:pPr>
        <w:rPr>
          <w:b/>
          <w:bCs/>
          <w:color w:val="FF000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59" w:history="1">
        <w:r w:rsidRPr="009A5185">
          <w:rPr>
            <w:rStyle w:val="Hyperlink"/>
            <w:rFonts w:cs="Arial"/>
          </w:rPr>
          <w:t>Leapfrog’s Multi-Campus Reporting Policy</w:t>
        </w:r>
      </w:hyperlink>
      <w:r w:rsidRPr="009A5185">
        <w:rPr>
          <w:rFonts w:cs="Arial"/>
          <w:snapToGrid w:val="0"/>
        </w:rPr>
        <w:t>.</w:t>
      </w:r>
    </w:p>
    <w:p w14:paraId="1EDEECCC" w14:textId="77777777" w:rsidR="00DC69D9" w:rsidRDefault="00DC69D9" w:rsidP="00DC69D9">
      <w:pPr>
        <w:rPr>
          <w:b/>
          <w:bCs/>
          <w:color w:val="FF0000"/>
        </w:rPr>
      </w:pPr>
    </w:p>
    <w:p w14:paraId="692F0927" w14:textId="77777777" w:rsidR="00DC69D9" w:rsidRPr="00722F1B" w:rsidRDefault="00DC69D9" w:rsidP="00DC69D9">
      <w:pPr>
        <w:rPr>
          <w:b/>
          <w:bCs/>
          <w:color w:val="FF0000"/>
        </w:rPr>
      </w:pPr>
      <w:r w:rsidRPr="00722F1B">
        <w:rPr>
          <w:b/>
          <w:bCs/>
          <w:color w:val="FF0000"/>
        </w:rPr>
        <w:t>Important Notes:</w:t>
      </w:r>
    </w:p>
    <w:p w14:paraId="41131802" w14:textId="77777777" w:rsidR="00DC69D9" w:rsidRDefault="00DC69D9" w:rsidP="00DC69D9">
      <w:pPr>
        <w:rPr>
          <w:bCs/>
        </w:rPr>
      </w:pPr>
    </w:p>
    <w:p w14:paraId="0A4815F4" w14:textId="271605A2" w:rsidR="00EF0FC3" w:rsidRDefault="00EF0FC3" w:rsidP="00A84A2E">
      <w:pPr>
        <w:rPr>
          <w:bCs/>
        </w:rPr>
      </w:pPr>
      <w:r>
        <w:rPr>
          <w:bCs/>
        </w:rPr>
        <w:t xml:space="preserve">Note 1: </w:t>
      </w:r>
      <w:r w:rsidR="000612AC">
        <w:rPr>
          <w:bCs/>
        </w:rPr>
        <w:t>This subsection</w:t>
      </w:r>
      <w:r w:rsidR="007B6DC1">
        <w:rPr>
          <w:bCs/>
        </w:rPr>
        <w:t xml:space="preserve"> </w:t>
      </w:r>
      <w:r>
        <w:rPr>
          <w:bCs/>
        </w:rPr>
        <w:t>will not be scored or publicly reported.</w:t>
      </w:r>
    </w:p>
    <w:p w14:paraId="1AB0D32A" w14:textId="77777777" w:rsidR="00EF0FC3" w:rsidRDefault="00EF0FC3" w:rsidP="00A84A2E">
      <w:pPr>
        <w:rPr>
          <w:bCs/>
        </w:rPr>
      </w:pPr>
    </w:p>
    <w:p w14:paraId="6330B302" w14:textId="29BA25DC" w:rsidR="00A84A2E" w:rsidRPr="0095373E" w:rsidRDefault="00A84A2E" w:rsidP="00A84A2E">
      <w:pPr>
        <w:rPr>
          <w:bCs/>
        </w:rPr>
      </w:pPr>
      <w:r>
        <w:rPr>
          <w:bCs/>
        </w:rPr>
        <w:t xml:space="preserve">Note </w:t>
      </w:r>
      <w:r w:rsidR="00EF0FC3">
        <w:rPr>
          <w:bCs/>
        </w:rPr>
        <w:t>2</w:t>
      </w:r>
      <w:r>
        <w:rPr>
          <w:bCs/>
        </w:rPr>
        <w:t xml:space="preserve">: </w:t>
      </w:r>
      <w:r w:rsidRPr="0095373E">
        <w:rPr>
          <w:bCs/>
        </w:rPr>
        <w:t>A</w:t>
      </w:r>
      <w:r w:rsidR="00596973">
        <w:rPr>
          <w:bCs/>
        </w:rPr>
        <w:t>n error in the diagnostic process</w:t>
      </w:r>
      <w:r w:rsidRPr="0095373E">
        <w:rPr>
          <w:bCs/>
        </w:rPr>
        <w:t xml:space="preserve"> is an event where one or both of the following occurred, with harm or high potential of harm to the patient: </w:t>
      </w:r>
    </w:p>
    <w:p w14:paraId="5E502CF7" w14:textId="77777777" w:rsidR="00A84A2E" w:rsidRPr="0095373E" w:rsidRDefault="00A84A2E" w:rsidP="00AD309C">
      <w:pPr>
        <w:numPr>
          <w:ilvl w:val="0"/>
          <w:numId w:val="310"/>
        </w:numPr>
        <w:rPr>
          <w:bCs/>
        </w:rPr>
      </w:pPr>
      <w:r w:rsidRPr="0095373E">
        <w:rPr>
          <w:bCs/>
        </w:rPr>
        <w:t>Delayed, wrong, or missed diagnosis: At least one missed opportunity to pursue or identify an accurate and timely diagnosis based on the information that existed at the time.</w:t>
      </w:r>
    </w:p>
    <w:p w14:paraId="44D9E662" w14:textId="49069A99" w:rsidR="00A84A2E" w:rsidRDefault="00A84A2E" w:rsidP="00AD309C">
      <w:pPr>
        <w:numPr>
          <w:ilvl w:val="0"/>
          <w:numId w:val="310"/>
        </w:numPr>
        <w:rPr>
          <w:bCs/>
        </w:rPr>
      </w:pPr>
      <w:r w:rsidRPr="0095373E">
        <w:rPr>
          <w:bCs/>
        </w:rPr>
        <w:t>Diagnosis not communicated to the patient: An accurate diagnosis was available but was not effectively communi</w:t>
      </w:r>
      <w:r w:rsidR="00236924">
        <w:rPr>
          <w:bCs/>
        </w:rPr>
        <w:t>cate</w:t>
      </w:r>
      <w:r w:rsidR="00F83C07">
        <w:rPr>
          <w:bCs/>
        </w:rPr>
        <w:t>d</w:t>
      </w:r>
      <w:r w:rsidRPr="0095373E">
        <w:rPr>
          <w:bCs/>
        </w:rPr>
        <w:t xml:space="preserve"> to the patient or family caregiver.  </w:t>
      </w:r>
    </w:p>
    <w:p w14:paraId="76681198" w14:textId="77777777" w:rsidR="00A84A2E" w:rsidRDefault="00A84A2E" w:rsidP="00A84A2E">
      <w:pPr>
        <w:rPr>
          <w:bCs/>
        </w:rPr>
      </w:pPr>
    </w:p>
    <w:p w14:paraId="1177E5D0" w14:textId="31F674E1" w:rsidR="00A84A2E" w:rsidRDefault="00A84A2E" w:rsidP="00A84A2E">
      <w:pPr>
        <w:rPr>
          <w:bCs/>
        </w:rPr>
      </w:pPr>
      <w:r w:rsidRPr="0095373E">
        <w:rPr>
          <w:bCs/>
        </w:rPr>
        <w:t xml:space="preserve">All references to “errors in </w:t>
      </w:r>
      <w:r w:rsidR="00AB76C6">
        <w:rPr>
          <w:bCs/>
        </w:rPr>
        <w:t xml:space="preserve">the </w:t>
      </w:r>
      <w:r w:rsidR="00AB76C6" w:rsidRPr="0095373E">
        <w:rPr>
          <w:bCs/>
        </w:rPr>
        <w:t>diagnos</w:t>
      </w:r>
      <w:r w:rsidR="00AB76C6">
        <w:rPr>
          <w:bCs/>
        </w:rPr>
        <w:t>tic process</w:t>
      </w:r>
      <w:r w:rsidRPr="0095373E">
        <w:rPr>
          <w:bCs/>
        </w:rPr>
        <w:t xml:space="preserve">” refer to both types of events. </w:t>
      </w:r>
    </w:p>
    <w:p w14:paraId="3FB81E20" w14:textId="77777777" w:rsidR="00A84A2E" w:rsidRDefault="00A84A2E" w:rsidP="00A84A2E">
      <w:pPr>
        <w:rPr>
          <w:bCs/>
        </w:rPr>
      </w:pPr>
    </w:p>
    <w:p w14:paraId="156888FF" w14:textId="23FF1FA5" w:rsidR="00A84A2E" w:rsidRDefault="00A84A2E" w:rsidP="00A84A2E">
      <w:pPr>
        <w:rPr>
          <w:bCs/>
        </w:rPr>
      </w:pPr>
      <w:r>
        <w:rPr>
          <w:bCs/>
        </w:rPr>
        <w:t xml:space="preserve">Note </w:t>
      </w:r>
      <w:r w:rsidR="001D2C88">
        <w:rPr>
          <w:bCs/>
        </w:rPr>
        <w:t>3</w:t>
      </w:r>
      <w:r>
        <w:rPr>
          <w:bCs/>
        </w:rPr>
        <w:t xml:space="preserve">: </w:t>
      </w:r>
      <w:r w:rsidRPr="006951DB">
        <w:rPr>
          <w:bCs/>
        </w:rPr>
        <w:t>Diagnosis excellence means making and communicating a correct and timely diagnosis using appropriate resources while maximizing patient experience and managing uncertainty.</w:t>
      </w:r>
    </w:p>
    <w:p w14:paraId="7D56FA6B" w14:textId="77777777" w:rsidR="00DC69D9" w:rsidRDefault="00DC69D9" w:rsidP="00DC69D9">
      <w:pPr>
        <w:rPr>
          <w:bCs/>
        </w:rPr>
      </w:pPr>
    </w:p>
    <w:p w14:paraId="0CD1DF7F" w14:textId="77777777" w:rsidR="00DC69D9" w:rsidRDefault="00DC69D9" w:rsidP="00DC69D9">
      <w:r>
        <w:rPr>
          <w:noProof/>
        </w:rPr>
        <mc:AlternateContent>
          <mc:Choice Requires="wps">
            <w:drawing>
              <wp:inline distT="0" distB="0" distL="0" distR="0" wp14:anchorId="17BC7B05" wp14:editId="574FE597">
                <wp:extent cx="5924550" cy="1025719"/>
                <wp:effectExtent l="0" t="0" r="19050" b="22225"/>
                <wp:docPr id="908883035" name="Text Box 908883035" descr="P8845TB2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025719"/>
                        </a:xfrm>
                        <a:prstGeom prst="rect">
                          <a:avLst/>
                        </a:prstGeom>
                        <a:solidFill>
                          <a:srgbClr val="FFFFFF"/>
                        </a:solidFill>
                        <a:ln w="9525">
                          <a:solidFill>
                            <a:srgbClr val="FF0000"/>
                          </a:solidFill>
                          <a:miter lim="800000"/>
                          <a:headEnd/>
                          <a:tailEnd/>
                        </a:ln>
                      </wps:spPr>
                      <wps:txbx>
                        <w:txbxContent>
                          <w:p w14:paraId="2339B649" w14:textId="06B46D77" w:rsidR="00DC69D9" w:rsidRPr="00CD4A97" w:rsidRDefault="00DC69D9" w:rsidP="00DC69D9">
                            <w:pPr>
                              <w:rPr>
                                <w:b/>
                              </w:rPr>
                            </w:pPr>
                            <w:r w:rsidRPr="00DF6A41">
                              <w:rPr>
                                <w:b/>
                              </w:rPr>
                              <w:t>Reporting</w:t>
                            </w:r>
                            <w:r>
                              <w:rPr>
                                <w:b/>
                              </w:rPr>
                              <w:t xml:space="preserve"> </w:t>
                            </w:r>
                            <w:r w:rsidRPr="00DF6A41">
                              <w:rPr>
                                <w:b/>
                              </w:rPr>
                              <w:t>Period</w:t>
                            </w:r>
                            <w:r>
                              <w:rPr>
                                <w:b/>
                              </w:rPr>
                              <w:t xml:space="preserve">: </w:t>
                            </w:r>
                            <w:r>
                              <w:t>Answer questions #</w:t>
                            </w:r>
                            <w:r w:rsidR="004F2BE4">
                              <w:t>1-</w:t>
                            </w:r>
                            <w:r w:rsidR="00F8472D">
                              <w:t>8</w:t>
                            </w:r>
                            <w:r>
                              <w:t xml:space="preserve"> based on the </w:t>
                            </w:r>
                            <w:r w:rsidR="000F3286">
                              <w:t>l</w:t>
                            </w:r>
                            <w:r w:rsidR="000F3286" w:rsidRPr="00AA1E71">
                              <w:rPr>
                                <w:rFonts w:cstheme="minorHAnsi"/>
                              </w:rPr>
                              <w:t xml:space="preserve">atest </w:t>
                            </w:r>
                            <w:r w:rsidR="000F3286" w:rsidRPr="00627DE4">
                              <w:rPr>
                                <w:rFonts w:cstheme="minorHAnsi"/>
                                <w:b/>
                                <w:bCs/>
                              </w:rPr>
                              <w:t>24 or 36 months</w:t>
                            </w:r>
                            <w:r w:rsidR="000F3286" w:rsidRPr="00AA1E71">
                              <w:rPr>
                                <w:rFonts w:cstheme="minorHAnsi"/>
                              </w:rPr>
                              <w:t xml:space="preserve"> prior to Survey submission (see individual </w:t>
                            </w:r>
                            <w:r w:rsidR="000F3286">
                              <w:rPr>
                                <w:rFonts w:cstheme="minorHAnsi"/>
                              </w:rPr>
                              <w:t xml:space="preserve">question </w:t>
                            </w:r>
                            <w:r w:rsidR="000F3286" w:rsidRPr="00AA1E71">
                              <w:rPr>
                                <w:rFonts w:cstheme="minorHAnsi"/>
                              </w:rPr>
                              <w:t>for specific reporting period)</w:t>
                            </w:r>
                            <w:r w:rsidR="008457AB">
                              <w:rPr>
                                <w:rFonts w:cstheme="minorHAnsi"/>
                              </w:rPr>
                              <w:t>.</w:t>
                            </w:r>
                          </w:p>
                          <w:p w14:paraId="7812D313" w14:textId="77777777" w:rsidR="00DC69D9" w:rsidRDefault="00DC69D9" w:rsidP="00DC69D9"/>
                          <w:p w14:paraId="053887D4" w14:textId="77777777" w:rsidR="00DC69D9" w:rsidRPr="00D20A90" w:rsidRDefault="00DC69D9" w:rsidP="00DC69D9">
                            <w:pPr>
                              <w:rPr>
                                <w:b/>
                              </w:rPr>
                            </w:pPr>
                            <w:r w:rsidRPr="006547C0">
                              <w:rPr>
                                <w:rFonts w:cs="Arial"/>
                                <w:sz w:val="16"/>
                                <w:szCs w:val="16"/>
                              </w:rPr>
                              <w:t xml:space="preserve">Note: As a reminder, the </w:t>
                            </w:r>
                            <w:hyperlink r:id="rId360"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17BC7B05" id="Text Box 908883035" o:spid="_x0000_s1053" type="#_x0000_t202" alt="P8845TB26#y1" style="width:466.5pt;height: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" strokecolor="red">
                <v:textbox>
                  <w:txbxContent>
                    <w:p w14:paraId="2339B649" w14:textId="06B46D77" w:rsidR="00DC69D9" w:rsidRPr="00CD4A97" w:rsidRDefault="00DC69D9" w:rsidP="00DC69D9">
                      <w:pPr>
                        <w:rPr>
                          <w:b/>
                        </w:rPr>
                      </w:pPr>
                      <w:r w:rsidRPr="00DF6A41">
                        <w:rPr>
                          <w:b/>
                        </w:rPr>
                        <w:t>Reporting</w:t>
                      </w:r>
                      <w:r>
                        <w:rPr>
                          <w:b/>
                        </w:rPr>
                        <w:t xml:space="preserve"> </w:t>
                      </w:r>
                      <w:r w:rsidRPr="00DF6A41">
                        <w:rPr>
                          <w:b/>
                        </w:rPr>
                        <w:t>Period</w:t>
                      </w:r>
                      <w:r>
                        <w:rPr>
                          <w:b/>
                        </w:rPr>
                        <w:t xml:space="preserve">: </w:t>
                      </w:r>
                      <w:r>
                        <w:t>Answer questions #</w:t>
                      </w:r>
                      <w:r w:rsidR="004F2BE4">
                        <w:t>1-</w:t>
                      </w:r>
                      <w:r w:rsidR="00F8472D">
                        <w:t>8</w:t>
                      </w:r>
                      <w:r>
                        <w:t xml:space="preserve"> based on the </w:t>
                      </w:r>
                      <w:r w:rsidR="000F3286">
                        <w:t>l</w:t>
                      </w:r>
                      <w:r w:rsidR="000F3286" w:rsidRPr="00AA1E71">
                        <w:rPr>
                          <w:rFonts w:cstheme="minorHAnsi"/>
                        </w:rPr>
                        <w:t xml:space="preserve">atest </w:t>
                      </w:r>
                      <w:r w:rsidR="000F3286" w:rsidRPr="00627DE4">
                        <w:rPr>
                          <w:rFonts w:cstheme="minorHAnsi"/>
                          <w:b/>
                          <w:bCs/>
                        </w:rPr>
                        <w:t>24 or 36 months</w:t>
                      </w:r>
                      <w:r w:rsidR="000F3286" w:rsidRPr="00AA1E71">
                        <w:rPr>
                          <w:rFonts w:cstheme="minorHAnsi"/>
                        </w:rPr>
                        <w:t xml:space="preserve"> prior to Survey submission (see individual </w:t>
                      </w:r>
                      <w:r w:rsidR="000F3286">
                        <w:rPr>
                          <w:rFonts w:cstheme="minorHAnsi"/>
                        </w:rPr>
                        <w:t xml:space="preserve">question </w:t>
                      </w:r>
                      <w:r w:rsidR="000F3286" w:rsidRPr="00AA1E71">
                        <w:rPr>
                          <w:rFonts w:cstheme="minorHAnsi"/>
                        </w:rPr>
                        <w:t>for specific reporting period)</w:t>
                      </w:r>
                      <w:r w:rsidR="008457AB">
                        <w:rPr>
                          <w:rFonts w:cstheme="minorHAnsi"/>
                        </w:rPr>
                        <w:t>.</w:t>
                      </w:r>
                    </w:p>
                    <w:p w14:paraId="7812D313" w14:textId="77777777" w:rsidR="00DC69D9" w:rsidRDefault="00DC69D9" w:rsidP="00DC69D9"/>
                    <w:p w14:paraId="053887D4" w14:textId="77777777" w:rsidR="00DC69D9" w:rsidRPr="00D20A90" w:rsidRDefault="00DC69D9" w:rsidP="00DC69D9">
                      <w:pPr>
                        <w:rPr>
                          <w:b/>
                        </w:rPr>
                      </w:pPr>
                      <w:r w:rsidRPr="006547C0">
                        <w:rPr>
                          <w:rFonts w:cs="Arial"/>
                          <w:sz w:val="16"/>
                          <w:szCs w:val="16"/>
                        </w:rPr>
                        <w:t xml:space="preserve">Note: As a reminder, the </w:t>
                      </w:r>
                      <w:hyperlink r:id="rId361"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67BB7BE2" w14:textId="3554FD6D" w:rsidR="00DC69D9" w:rsidRPr="007A049F" w:rsidRDefault="00A84A2E" w:rsidP="00AB5B80">
      <w:pPr>
        <w:pStyle w:val="Heading3"/>
      </w:pPr>
      <w:r>
        <w:br/>
      </w:r>
      <w:bookmarkStart w:id="502" w:name="_Toc225877788"/>
      <w:r w:rsidR="00DC69D9" w:rsidRPr="00D66BB6">
        <w:t>Convening a Multidisciplinary Team Focused on Diagnostic Excellence</w:t>
      </w:r>
      <w:bookmarkEnd w:id="502"/>
      <w:r w:rsidR="00B07236">
        <w:br/>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7"/>
        <w:gridCol w:w="2908"/>
      </w:tblGrid>
      <w:tr w:rsidR="00DC69D9" w:rsidRPr="008559B9" w14:paraId="13758C3E" w14:textId="77777777" w:rsidTr="00B74BD8">
        <w:trPr>
          <w:trHeight w:val="3600"/>
        </w:trPr>
        <w:tc>
          <w:tcPr>
            <w:tcW w:w="7067" w:type="dxa"/>
            <w:vAlign w:val="center"/>
          </w:tcPr>
          <w:p w14:paraId="1E8C6B10" w14:textId="6EF2D666" w:rsidR="00DC69D9" w:rsidRPr="00D66BB6" w:rsidRDefault="004801F0" w:rsidP="00AD309C">
            <w:pPr>
              <w:numPr>
                <w:ilvl w:val="0"/>
                <w:numId w:val="259"/>
              </w:numPr>
              <w:rPr>
                <w:rFonts w:cstheme="minorHAnsi"/>
              </w:rPr>
            </w:pPr>
            <w:r>
              <w:rPr>
                <w:rFonts w:cstheme="minorHAnsi"/>
              </w:rPr>
              <w:t>Does your hospital have a</w:t>
            </w:r>
            <w:r w:rsidR="00DC69D9" w:rsidRPr="00D66BB6">
              <w:rPr>
                <w:rFonts w:cstheme="minorHAnsi"/>
              </w:rPr>
              <w:t xml:space="preserve"> multidisciplinary team that meets all the following requirements</w:t>
            </w:r>
            <w:r w:rsidR="00AA302B">
              <w:rPr>
                <w:rFonts w:cstheme="minorHAnsi"/>
              </w:rPr>
              <w:t>:</w:t>
            </w:r>
          </w:p>
          <w:p w14:paraId="0BF4161D" w14:textId="525F479B" w:rsidR="00DC69D9" w:rsidRPr="00D66BB6" w:rsidRDefault="009D6489" w:rsidP="00AD309C">
            <w:pPr>
              <w:pStyle w:val="ListParagraph"/>
              <w:numPr>
                <w:ilvl w:val="0"/>
                <w:numId w:val="258"/>
              </w:numPr>
              <w:rPr>
                <w:rFonts w:cstheme="minorHAnsi"/>
              </w:rPr>
            </w:pPr>
            <w:r>
              <w:rPr>
                <w:rFonts w:cstheme="minorHAnsi"/>
              </w:rPr>
              <w:t>F</w:t>
            </w:r>
            <w:r w:rsidR="00DC69D9" w:rsidRPr="00D66BB6">
              <w:rPr>
                <w:rFonts w:cstheme="minorHAnsi"/>
              </w:rPr>
              <w:t xml:space="preserve">ocused on reducing harm to patients from errors in </w:t>
            </w:r>
            <w:r w:rsidR="00AB082A">
              <w:rPr>
                <w:rFonts w:cstheme="minorHAnsi"/>
              </w:rPr>
              <w:t xml:space="preserve">the </w:t>
            </w:r>
            <w:r w:rsidR="00DC69D9" w:rsidRPr="00D66BB6">
              <w:rPr>
                <w:rFonts w:cstheme="minorHAnsi"/>
              </w:rPr>
              <w:t>diagnos</w:t>
            </w:r>
            <w:r w:rsidR="00AB082A">
              <w:rPr>
                <w:rFonts w:cstheme="minorHAnsi"/>
              </w:rPr>
              <w:t>ti</w:t>
            </w:r>
            <w:r w:rsidR="00F717A3">
              <w:rPr>
                <w:rFonts w:cstheme="minorHAnsi"/>
              </w:rPr>
              <w:t>c</w:t>
            </w:r>
            <w:r w:rsidR="00AB082A">
              <w:rPr>
                <w:rFonts w:cstheme="minorHAnsi"/>
              </w:rPr>
              <w:t xml:space="preserve"> process</w:t>
            </w:r>
            <w:r w:rsidR="00AA302B">
              <w:rPr>
                <w:rFonts w:cstheme="minorHAnsi"/>
              </w:rPr>
              <w:t>;</w:t>
            </w:r>
          </w:p>
          <w:p w14:paraId="2E010D16" w14:textId="3C5F3379" w:rsidR="00DC69D9" w:rsidRPr="00D66BB6" w:rsidRDefault="00DC69D9" w:rsidP="00AD309C">
            <w:pPr>
              <w:pStyle w:val="ListParagraph"/>
              <w:numPr>
                <w:ilvl w:val="0"/>
                <w:numId w:val="258"/>
              </w:numPr>
              <w:rPr>
                <w:rFonts w:cstheme="minorHAnsi"/>
              </w:rPr>
            </w:pPr>
            <w:r w:rsidRPr="00D66BB6">
              <w:rPr>
                <w:rFonts w:cstheme="minorHAnsi"/>
              </w:rPr>
              <w:t>Sponsored by either the CEO or CMO</w:t>
            </w:r>
            <w:r w:rsidR="00AA302B">
              <w:rPr>
                <w:rFonts w:cstheme="minorHAnsi"/>
              </w:rPr>
              <w:t>;</w:t>
            </w:r>
          </w:p>
          <w:p w14:paraId="795FC175" w14:textId="642BFF33" w:rsidR="00DC69D9" w:rsidRPr="00D66BB6" w:rsidRDefault="00DC69D9" w:rsidP="00AD309C">
            <w:pPr>
              <w:pStyle w:val="ListParagraph"/>
              <w:numPr>
                <w:ilvl w:val="0"/>
                <w:numId w:val="258"/>
              </w:numPr>
              <w:rPr>
                <w:rFonts w:cstheme="minorHAnsi"/>
              </w:rPr>
            </w:pPr>
            <w:r w:rsidRPr="00D66BB6">
              <w:rPr>
                <w:rFonts w:cstheme="minorHAnsi"/>
              </w:rPr>
              <w:t>Includes, at a minimum, representatives from nursing, pharmacy, laboratory medicine, radiology, pathology, hospital medicine or inpatient care specialists, emergency medicine, and quality or risk management</w:t>
            </w:r>
            <w:r w:rsidR="00AA302B">
              <w:rPr>
                <w:rFonts w:cstheme="minorHAnsi"/>
              </w:rPr>
              <w:t>;</w:t>
            </w:r>
          </w:p>
          <w:p w14:paraId="698D95BF" w14:textId="7996EF13" w:rsidR="00DC69D9" w:rsidRPr="00D66BB6" w:rsidRDefault="00DC69D9" w:rsidP="00AD309C">
            <w:pPr>
              <w:pStyle w:val="ListParagraph"/>
              <w:numPr>
                <w:ilvl w:val="0"/>
                <w:numId w:val="258"/>
              </w:numPr>
              <w:rPr>
                <w:rFonts w:cstheme="minorHAnsi"/>
              </w:rPr>
            </w:pPr>
            <w:r w:rsidRPr="00D66BB6">
              <w:rPr>
                <w:rFonts w:cstheme="minorHAnsi"/>
              </w:rPr>
              <w:t>Meets at least quarterly</w:t>
            </w:r>
            <w:r w:rsidR="00AA302B">
              <w:rPr>
                <w:rFonts w:cstheme="minorHAnsi"/>
              </w:rPr>
              <w:t>;</w:t>
            </w:r>
          </w:p>
          <w:p w14:paraId="77B69E1E" w14:textId="73947CC5" w:rsidR="00DC69D9" w:rsidRPr="00D66BB6" w:rsidRDefault="00DC69D9" w:rsidP="00AD309C">
            <w:pPr>
              <w:pStyle w:val="ListParagraph"/>
              <w:numPr>
                <w:ilvl w:val="0"/>
                <w:numId w:val="258"/>
              </w:numPr>
              <w:rPr>
                <w:rFonts w:cstheme="minorHAnsi"/>
              </w:rPr>
            </w:pPr>
            <w:r w:rsidRPr="00D66BB6">
              <w:rPr>
                <w:rFonts w:cstheme="minorHAnsi"/>
              </w:rPr>
              <w:t>Reports to senior leaders quarterly</w:t>
            </w:r>
            <w:r w:rsidR="00AA302B">
              <w:rPr>
                <w:rFonts w:cstheme="minorHAnsi"/>
              </w:rPr>
              <w:t>;</w:t>
            </w:r>
            <w:r w:rsidRPr="00D66BB6">
              <w:rPr>
                <w:rFonts w:cstheme="minorHAnsi"/>
              </w:rPr>
              <w:t xml:space="preserve"> </w:t>
            </w:r>
          </w:p>
          <w:p w14:paraId="33DCEE05" w14:textId="7A6B0961" w:rsidR="00DC69D9" w:rsidRDefault="00DC69D9" w:rsidP="00AD309C">
            <w:pPr>
              <w:pStyle w:val="ListParagraph"/>
              <w:numPr>
                <w:ilvl w:val="0"/>
                <w:numId w:val="258"/>
              </w:numPr>
              <w:rPr>
                <w:rFonts w:cstheme="minorHAnsi"/>
              </w:rPr>
            </w:pPr>
            <w:r w:rsidRPr="00D66BB6">
              <w:rPr>
                <w:rFonts w:cstheme="minorHAnsi"/>
              </w:rPr>
              <w:t>Reports to the Board annually</w:t>
            </w:r>
            <w:r w:rsidR="000F21B7">
              <w:rPr>
                <w:rFonts w:cstheme="minorHAnsi"/>
              </w:rPr>
              <w:t>; and</w:t>
            </w:r>
          </w:p>
          <w:p w14:paraId="6FF51571" w14:textId="34A0EB6E" w:rsidR="0094228F" w:rsidRPr="0094228F" w:rsidRDefault="0094228F" w:rsidP="0094228F">
            <w:pPr>
              <w:pStyle w:val="ListParagraph"/>
              <w:numPr>
                <w:ilvl w:val="0"/>
                <w:numId w:val="258"/>
              </w:numPr>
              <w:rPr>
                <w:rFonts w:cstheme="minorHAnsi"/>
              </w:rPr>
            </w:pPr>
            <w:r w:rsidRPr="00243616">
              <w:rPr>
                <w:rFonts w:cstheme="minorHAnsi"/>
              </w:rPr>
              <w:t>Includes at least one patient and/or care partner</w:t>
            </w:r>
            <w:r w:rsidR="000F21B7">
              <w:rPr>
                <w:rFonts w:cstheme="minorHAnsi"/>
              </w:rPr>
              <w:t>?</w:t>
            </w:r>
          </w:p>
          <w:p w14:paraId="0DE95B55" w14:textId="77777777" w:rsidR="00B07236" w:rsidRDefault="00B07236" w:rsidP="00EC4DCE">
            <w:pPr>
              <w:ind w:left="720"/>
              <w:rPr>
                <w:rFonts w:cstheme="minorHAnsi"/>
                <w:i/>
              </w:rPr>
            </w:pPr>
          </w:p>
          <w:p w14:paraId="7AEA2DE9" w14:textId="4BF5625F" w:rsidR="008B4E6E" w:rsidRDefault="00957380" w:rsidP="008B4E6E">
            <w:pPr>
              <w:ind w:left="720"/>
              <w:rPr>
                <w:rFonts w:cs="Aptos"/>
                <w:i/>
                <w:iCs/>
              </w:rPr>
            </w:pPr>
            <w:r w:rsidRPr="001F2388">
              <w:rPr>
                <w:rFonts w:cstheme="minorHAnsi"/>
                <w:i/>
                <w:iCs/>
              </w:rPr>
              <w:t>The multidisciplinary team</w:t>
            </w:r>
            <w:r w:rsidR="00EB6550">
              <w:rPr>
                <w:rFonts w:cs="Aptos"/>
                <w:i/>
                <w:iCs/>
              </w:rPr>
              <w:t xml:space="preserve"> </w:t>
            </w:r>
            <w:r w:rsidR="00EB6550" w:rsidRPr="003041BC">
              <w:rPr>
                <w:rFonts w:cs="Aptos"/>
                <w:i/>
                <w:iCs/>
              </w:rPr>
              <w:t xml:space="preserve">can be the established </w:t>
            </w:r>
            <w:r w:rsidR="00EA50CE">
              <w:rPr>
                <w:rFonts w:cs="Aptos"/>
                <w:i/>
                <w:iCs/>
              </w:rPr>
              <w:t>hospital-wide safety and quality</w:t>
            </w:r>
            <w:r w:rsidR="00EA50CE" w:rsidRPr="003041BC">
              <w:rPr>
                <w:rFonts w:cs="Aptos"/>
                <w:i/>
                <w:iCs/>
              </w:rPr>
              <w:t xml:space="preserve"> </w:t>
            </w:r>
            <w:r w:rsidR="00EB6550" w:rsidRPr="003041BC">
              <w:rPr>
                <w:rFonts w:cs="Aptos"/>
                <w:i/>
                <w:iCs/>
              </w:rPr>
              <w:t xml:space="preserve">committee if the committee has a dedicated agenda item at least quarterly to review </w:t>
            </w:r>
            <w:r w:rsidR="008B4E6E">
              <w:rPr>
                <w:rFonts w:cs="Aptos"/>
                <w:i/>
                <w:iCs/>
              </w:rPr>
              <w:t>efforts focused on reducing harm to patients from errors in the diagnostic process.</w:t>
            </w:r>
          </w:p>
          <w:p w14:paraId="4B48E8D3" w14:textId="77777777" w:rsidR="001B46AE" w:rsidRDefault="001B46AE" w:rsidP="008B4E6E">
            <w:pPr>
              <w:ind w:left="720"/>
              <w:rPr>
                <w:rFonts w:cs="Aptos"/>
                <w:i/>
                <w:iCs/>
              </w:rPr>
            </w:pPr>
          </w:p>
          <w:p w14:paraId="3DA3F8E1" w14:textId="1F2BD178" w:rsidR="00DC69D9" w:rsidRPr="00D66BB6" w:rsidRDefault="001B46AE" w:rsidP="000013C7">
            <w:pPr>
              <w:ind w:left="720"/>
              <w:rPr>
                <w:rFonts w:cstheme="minorHAnsi"/>
                <w:i/>
              </w:rPr>
            </w:pPr>
            <w:r w:rsidRPr="001B46AE">
              <w:rPr>
                <w:rFonts w:cs="Aptos"/>
                <w:i/>
                <w:iCs/>
              </w:rPr>
              <w:t>If “no” to question #1, skip questions #2-</w:t>
            </w:r>
            <w:r w:rsidR="002D6BC8">
              <w:rPr>
                <w:rFonts w:cs="Aptos"/>
                <w:i/>
                <w:iCs/>
              </w:rPr>
              <w:t>5</w:t>
            </w:r>
            <w:r w:rsidRPr="001B46AE">
              <w:rPr>
                <w:rFonts w:cs="Aptos"/>
                <w:i/>
                <w:iCs/>
              </w:rPr>
              <w:t xml:space="preserve"> and continue to question #</w:t>
            </w:r>
            <w:r w:rsidR="002D6BC8">
              <w:rPr>
                <w:rFonts w:cs="Aptos"/>
                <w:i/>
                <w:iCs/>
              </w:rPr>
              <w:t>6</w:t>
            </w:r>
            <w:r w:rsidRPr="001B46AE">
              <w:rPr>
                <w:rFonts w:cs="Aptos"/>
                <w:i/>
                <w:iCs/>
              </w:rPr>
              <w:t>.</w:t>
            </w:r>
          </w:p>
        </w:tc>
        <w:tc>
          <w:tcPr>
            <w:tcW w:w="2908" w:type="dxa"/>
            <w:vAlign w:val="center"/>
          </w:tcPr>
          <w:p w14:paraId="568F9904" w14:textId="77777777" w:rsidR="00DC69D9" w:rsidRPr="00B74BD8" w:rsidRDefault="00DC69D9" w:rsidP="00314941">
            <w:pPr>
              <w:pStyle w:val="ListParagraph"/>
              <w:numPr>
                <w:ilvl w:val="0"/>
                <w:numId w:val="262"/>
              </w:numPr>
              <w:rPr>
                <w:rFonts w:cstheme="minorHAnsi"/>
                <w:iCs/>
              </w:rPr>
            </w:pPr>
            <w:r w:rsidRPr="00B74BD8">
              <w:rPr>
                <w:rFonts w:cstheme="minorHAnsi"/>
                <w:iCs/>
              </w:rPr>
              <w:t>Yes</w:t>
            </w:r>
          </w:p>
          <w:p w14:paraId="12F8C0A7" w14:textId="77777777" w:rsidR="00DC69D9" w:rsidRDefault="00DC69D9" w:rsidP="00314941">
            <w:pPr>
              <w:pStyle w:val="ListParagraph"/>
              <w:numPr>
                <w:ilvl w:val="0"/>
                <w:numId w:val="262"/>
              </w:numPr>
              <w:rPr>
                <w:rFonts w:cstheme="minorHAnsi"/>
                <w:iCs/>
              </w:rPr>
            </w:pPr>
            <w:r w:rsidRPr="00B74BD8">
              <w:rPr>
                <w:rFonts w:cstheme="minorHAnsi"/>
                <w:iCs/>
              </w:rPr>
              <w:t>No</w:t>
            </w:r>
          </w:p>
          <w:p w14:paraId="5DEE2104" w14:textId="19716B59" w:rsidR="00314941" w:rsidRPr="00314941" w:rsidRDefault="00314941" w:rsidP="00314941">
            <w:pPr>
              <w:pStyle w:val="ListParagraph"/>
              <w:numPr>
                <w:ilvl w:val="0"/>
                <w:numId w:val="262"/>
              </w:numPr>
              <w:rPr>
                <w:rFonts w:cstheme="minorHAnsi"/>
                <w:iCs/>
              </w:rPr>
            </w:pPr>
            <w:r w:rsidRPr="004211D9">
              <w:rPr>
                <w:rFonts w:cstheme="minorHAnsi"/>
                <w:iCs/>
              </w:rPr>
              <w:t>Yes, but our multidisciplinary team does not yet include a patient and/or care partner</w:t>
            </w:r>
          </w:p>
        </w:tc>
      </w:tr>
      <w:tr w:rsidR="00236924" w:rsidRPr="008559B9" w14:paraId="6DBAE92E" w14:textId="77777777" w:rsidTr="003618E3">
        <w:trPr>
          <w:trHeight w:val="431"/>
        </w:trPr>
        <w:tc>
          <w:tcPr>
            <w:tcW w:w="7067" w:type="dxa"/>
            <w:vAlign w:val="center"/>
          </w:tcPr>
          <w:p w14:paraId="1F91EEAF" w14:textId="42F5259C" w:rsidR="00236924" w:rsidRPr="00D66BB6" w:rsidRDefault="003F6102" w:rsidP="00AD309C">
            <w:pPr>
              <w:numPr>
                <w:ilvl w:val="0"/>
                <w:numId w:val="259"/>
              </w:numPr>
              <w:rPr>
                <w:rFonts w:cstheme="minorHAnsi"/>
              </w:rPr>
            </w:pPr>
            <w:r>
              <w:rPr>
                <w:rFonts w:eastAsiaTheme="minorHAnsi" w:cstheme="minorHAnsi"/>
                <w:kern w:val="2"/>
                <w14:ligatures w14:val="standardContextual"/>
              </w:rPr>
              <w:t xml:space="preserve">As a standing agenda item of </w:t>
            </w:r>
            <w:r w:rsidR="00021C31">
              <w:rPr>
                <w:rFonts w:eastAsiaTheme="minorHAnsi" w:cstheme="minorHAnsi"/>
                <w:kern w:val="2"/>
                <w14:ligatures w14:val="standardContextual"/>
              </w:rPr>
              <w:t>at least quarterly</w:t>
            </w:r>
            <w:r>
              <w:rPr>
                <w:rFonts w:eastAsiaTheme="minorHAnsi" w:cstheme="minorHAnsi"/>
                <w:kern w:val="2"/>
                <w14:ligatures w14:val="standardContextual"/>
              </w:rPr>
              <w:t xml:space="preserve"> meetings, </w:t>
            </w:r>
            <w:r w:rsidR="003423ED">
              <w:rPr>
                <w:rFonts w:eastAsiaTheme="minorHAnsi" w:cstheme="minorHAnsi"/>
                <w:kern w:val="2"/>
                <w14:ligatures w14:val="standardContextual"/>
              </w:rPr>
              <w:t>h</w:t>
            </w:r>
            <w:r w:rsidR="00236924" w:rsidRPr="00D66BB6">
              <w:rPr>
                <w:rFonts w:cstheme="minorHAnsi"/>
              </w:rPr>
              <w:t xml:space="preserve">as the multidisciplinary team reviewed any clinical or administrative data, patient experience or patient reported data, or incident reports to identify or track errors in </w:t>
            </w:r>
            <w:r w:rsidR="00286552">
              <w:rPr>
                <w:rFonts w:cstheme="minorHAnsi"/>
              </w:rPr>
              <w:t>the diagnostic process</w:t>
            </w:r>
            <w:r w:rsidR="00236924" w:rsidRPr="00D66BB6">
              <w:rPr>
                <w:rFonts w:cstheme="minorHAnsi"/>
              </w:rPr>
              <w:t>?</w:t>
            </w:r>
          </w:p>
          <w:p w14:paraId="3C7E5FFA" w14:textId="77777777" w:rsidR="00236924" w:rsidRPr="00D66BB6" w:rsidRDefault="00236924" w:rsidP="00236924">
            <w:pPr>
              <w:ind w:left="360"/>
              <w:rPr>
                <w:rFonts w:cstheme="minorHAnsi"/>
              </w:rPr>
            </w:pPr>
          </w:p>
          <w:p w14:paraId="5734E0B2" w14:textId="39B025BC" w:rsidR="00236924" w:rsidRPr="00D66BB6" w:rsidRDefault="00236924" w:rsidP="00236924">
            <w:pPr>
              <w:ind w:left="360"/>
              <w:rPr>
                <w:rFonts w:cstheme="minorHAnsi"/>
                <w:i/>
              </w:rPr>
            </w:pPr>
          </w:p>
        </w:tc>
        <w:tc>
          <w:tcPr>
            <w:tcW w:w="2908" w:type="dxa"/>
            <w:vAlign w:val="center"/>
          </w:tcPr>
          <w:p w14:paraId="229CF591" w14:textId="77777777" w:rsidR="00236924" w:rsidRPr="00B74BD8" w:rsidRDefault="00236924" w:rsidP="00AD309C">
            <w:pPr>
              <w:pStyle w:val="ListParagraph"/>
              <w:numPr>
                <w:ilvl w:val="0"/>
                <w:numId w:val="262"/>
              </w:numPr>
              <w:rPr>
                <w:rFonts w:cstheme="minorHAnsi"/>
                <w:iCs/>
              </w:rPr>
            </w:pPr>
            <w:r w:rsidRPr="00B74BD8">
              <w:rPr>
                <w:rFonts w:cstheme="minorHAnsi"/>
                <w:iCs/>
              </w:rPr>
              <w:lastRenderedPageBreak/>
              <w:t>Yes</w:t>
            </w:r>
          </w:p>
          <w:p w14:paraId="7A857A8A" w14:textId="2E49595D" w:rsidR="00DA0282" w:rsidRPr="001074C2" w:rsidRDefault="00236924" w:rsidP="001074C2">
            <w:pPr>
              <w:pStyle w:val="ListParagraph"/>
              <w:numPr>
                <w:ilvl w:val="0"/>
                <w:numId w:val="262"/>
              </w:numPr>
              <w:rPr>
                <w:rFonts w:cstheme="minorHAnsi"/>
                <w:iCs/>
              </w:rPr>
            </w:pPr>
            <w:r w:rsidRPr="00B74BD8">
              <w:rPr>
                <w:rFonts w:cstheme="minorHAnsi"/>
                <w:iCs/>
              </w:rPr>
              <w:t>No</w:t>
            </w:r>
          </w:p>
        </w:tc>
      </w:tr>
      <w:tr w:rsidR="00BF1FBE" w:rsidRPr="008559B9" w14:paraId="156EF909" w14:textId="77777777" w:rsidTr="003618E3">
        <w:trPr>
          <w:trHeight w:val="431"/>
        </w:trPr>
        <w:tc>
          <w:tcPr>
            <w:tcW w:w="7067" w:type="dxa"/>
            <w:vAlign w:val="center"/>
          </w:tcPr>
          <w:p w14:paraId="6479B009" w14:textId="09A2B300" w:rsidR="00BF1FBE" w:rsidRDefault="00BF1FBE" w:rsidP="00BF1FBE">
            <w:pPr>
              <w:numPr>
                <w:ilvl w:val="0"/>
                <w:numId w:val="259"/>
              </w:numPr>
              <w:rPr>
                <w:rFonts w:eastAsiaTheme="minorHAnsi" w:cstheme="minorHAnsi"/>
                <w:kern w:val="2"/>
                <w14:ligatures w14:val="standardContextual"/>
              </w:rPr>
            </w:pPr>
            <w:r>
              <w:rPr>
                <w:rFonts w:cstheme="minorHAnsi"/>
              </w:rPr>
              <w:t>In the past 24 months, h</w:t>
            </w:r>
            <w:r w:rsidRPr="00D66BB6">
              <w:rPr>
                <w:rFonts w:cstheme="minorHAnsi"/>
              </w:rPr>
              <w:t xml:space="preserve">as the multidisciplinary team </w:t>
            </w:r>
            <w:r>
              <w:rPr>
                <w:rFonts w:cstheme="minorHAnsi"/>
              </w:rPr>
              <w:t>convened</w:t>
            </w:r>
            <w:r w:rsidRPr="00D66BB6">
              <w:rPr>
                <w:rFonts w:cstheme="minorHAnsi"/>
              </w:rPr>
              <w:t xml:space="preserve"> the emergency medicine staff to develop or implement any initiatives aimed at improving accurate and timely diagnosis of commonly misdiagnosed conditions? </w:t>
            </w:r>
          </w:p>
        </w:tc>
        <w:tc>
          <w:tcPr>
            <w:tcW w:w="2908" w:type="dxa"/>
            <w:vAlign w:val="center"/>
          </w:tcPr>
          <w:p w14:paraId="41B9CD5C" w14:textId="77777777" w:rsidR="00BF1FBE" w:rsidRPr="00257CBD" w:rsidRDefault="00BF1FBE" w:rsidP="00BF1FBE">
            <w:pPr>
              <w:pStyle w:val="ListParagraph"/>
              <w:numPr>
                <w:ilvl w:val="0"/>
                <w:numId w:val="262"/>
              </w:numPr>
              <w:rPr>
                <w:rFonts w:cstheme="minorHAnsi"/>
                <w:iCs/>
              </w:rPr>
            </w:pPr>
            <w:r w:rsidRPr="00257CBD">
              <w:rPr>
                <w:rFonts w:cstheme="minorHAnsi"/>
                <w:iCs/>
              </w:rPr>
              <w:t>Yes</w:t>
            </w:r>
          </w:p>
          <w:p w14:paraId="10080B68" w14:textId="77777777" w:rsidR="00BF1FBE" w:rsidRPr="00257CBD" w:rsidRDefault="00BF1FBE" w:rsidP="00BF1FBE">
            <w:pPr>
              <w:pStyle w:val="ListParagraph"/>
              <w:numPr>
                <w:ilvl w:val="0"/>
                <w:numId w:val="262"/>
              </w:numPr>
              <w:rPr>
                <w:rFonts w:cstheme="minorHAnsi"/>
                <w:iCs/>
              </w:rPr>
            </w:pPr>
            <w:r w:rsidRPr="00257CBD">
              <w:rPr>
                <w:rFonts w:cstheme="minorHAnsi"/>
                <w:iCs/>
              </w:rPr>
              <w:t>No</w:t>
            </w:r>
          </w:p>
          <w:p w14:paraId="2B632429" w14:textId="1FAA451D" w:rsidR="00BF1FBE" w:rsidRPr="00B74BD8" w:rsidRDefault="00BF1FBE" w:rsidP="00BF1FBE">
            <w:pPr>
              <w:pStyle w:val="ListParagraph"/>
              <w:numPr>
                <w:ilvl w:val="0"/>
                <w:numId w:val="262"/>
              </w:numPr>
              <w:rPr>
                <w:rFonts w:cstheme="minorHAnsi"/>
                <w:iCs/>
              </w:rPr>
            </w:pPr>
            <w:r w:rsidRPr="00257CBD">
              <w:rPr>
                <w:rFonts w:cstheme="minorHAnsi"/>
                <w:iCs/>
              </w:rPr>
              <w:t>No, but the emergency medicine staff have independently implemented at least one such initiative</w:t>
            </w:r>
            <w:r w:rsidRPr="00C85AC0">
              <w:rPr>
                <w:rFonts w:eastAsia="Avenir" w:cs="Aptos"/>
                <w:iCs/>
              </w:rPr>
              <w:t>, and presented their initiative to the multidisciplinary team</w:t>
            </w:r>
          </w:p>
        </w:tc>
      </w:tr>
      <w:tr w:rsidR="00BF1FBE" w:rsidRPr="008559B9" w14:paraId="3D4BC472" w14:textId="77777777" w:rsidTr="003618E3">
        <w:trPr>
          <w:trHeight w:val="431"/>
        </w:trPr>
        <w:tc>
          <w:tcPr>
            <w:tcW w:w="7067" w:type="dxa"/>
            <w:vAlign w:val="center"/>
          </w:tcPr>
          <w:p w14:paraId="40CB5BC8" w14:textId="622A2314" w:rsidR="00BF1FBE" w:rsidRDefault="00BF1FBE" w:rsidP="00BF1FBE">
            <w:pPr>
              <w:numPr>
                <w:ilvl w:val="0"/>
                <w:numId w:val="259"/>
              </w:numPr>
              <w:rPr>
                <w:rFonts w:eastAsiaTheme="minorHAnsi" w:cstheme="minorHAnsi"/>
                <w:kern w:val="2"/>
                <w14:ligatures w14:val="standardContextual"/>
              </w:rPr>
            </w:pPr>
            <w:r>
              <w:rPr>
                <w:rFonts w:cstheme="minorHAnsi"/>
              </w:rPr>
              <w:t>In the past 24 months, h</w:t>
            </w:r>
            <w:r w:rsidRPr="00D66BB6">
              <w:rPr>
                <w:rFonts w:cstheme="minorHAnsi"/>
              </w:rPr>
              <w:t xml:space="preserve">as the multidisciplinary team </w:t>
            </w:r>
            <w:r>
              <w:rPr>
                <w:rFonts w:cstheme="minorHAnsi"/>
              </w:rPr>
              <w:t xml:space="preserve">convened </w:t>
            </w:r>
            <w:r w:rsidRPr="00D66BB6">
              <w:rPr>
                <w:rFonts w:cstheme="minorHAnsi"/>
              </w:rPr>
              <w:t>pathologists and radiologists to develop or implement</w:t>
            </w:r>
            <w:r>
              <w:rPr>
                <w:rFonts w:cstheme="minorHAnsi"/>
              </w:rPr>
              <w:t xml:space="preserve"> </w:t>
            </w:r>
            <w:r w:rsidRPr="00D66BB6">
              <w:rPr>
                <w:rFonts w:cstheme="minorHAnsi"/>
              </w:rPr>
              <w:t xml:space="preserve">protocols to ensure timely review and resolution of discrepancies, </w:t>
            </w:r>
            <w:r>
              <w:rPr>
                <w:rFonts w:cstheme="minorHAnsi"/>
              </w:rPr>
              <w:t>and timely communication of diagnoses to patients and their families</w:t>
            </w:r>
            <w:r w:rsidRPr="00D66BB6">
              <w:rPr>
                <w:rFonts w:cstheme="minorHAnsi"/>
              </w:rPr>
              <w:t>?</w:t>
            </w:r>
          </w:p>
        </w:tc>
        <w:tc>
          <w:tcPr>
            <w:tcW w:w="2908" w:type="dxa"/>
            <w:vAlign w:val="center"/>
          </w:tcPr>
          <w:p w14:paraId="0590A34A" w14:textId="77777777" w:rsidR="00BF1FBE" w:rsidRPr="00257CBD" w:rsidRDefault="00BF1FBE" w:rsidP="00BF1FBE">
            <w:pPr>
              <w:pStyle w:val="ListParagraph"/>
              <w:numPr>
                <w:ilvl w:val="0"/>
                <w:numId w:val="262"/>
              </w:numPr>
              <w:rPr>
                <w:rFonts w:cstheme="minorHAnsi"/>
                <w:iCs/>
              </w:rPr>
            </w:pPr>
            <w:r w:rsidRPr="00257CBD">
              <w:rPr>
                <w:rFonts w:cstheme="minorHAnsi"/>
                <w:iCs/>
              </w:rPr>
              <w:t>Yes</w:t>
            </w:r>
          </w:p>
          <w:p w14:paraId="18D50C60" w14:textId="77777777" w:rsidR="00BF1FBE" w:rsidRPr="00257CBD" w:rsidRDefault="00BF1FBE" w:rsidP="00BF1FBE">
            <w:pPr>
              <w:pStyle w:val="ListParagraph"/>
              <w:numPr>
                <w:ilvl w:val="0"/>
                <w:numId w:val="262"/>
              </w:numPr>
              <w:rPr>
                <w:rFonts w:cstheme="minorHAnsi"/>
                <w:iCs/>
              </w:rPr>
            </w:pPr>
            <w:r w:rsidRPr="00257CBD">
              <w:rPr>
                <w:rFonts w:cstheme="minorHAnsi"/>
                <w:iCs/>
              </w:rPr>
              <w:t>No</w:t>
            </w:r>
          </w:p>
          <w:p w14:paraId="548CEC22" w14:textId="40488515" w:rsidR="00BF1FBE" w:rsidRPr="00B74BD8" w:rsidRDefault="00BF1FBE" w:rsidP="00BF1FBE">
            <w:pPr>
              <w:pStyle w:val="ListParagraph"/>
              <w:numPr>
                <w:ilvl w:val="0"/>
                <w:numId w:val="262"/>
              </w:numPr>
              <w:rPr>
                <w:rFonts w:cstheme="minorHAnsi"/>
                <w:iCs/>
              </w:rPr>
            </w:pPr>
            <w:r w:rsidRPr="00257CBD">
              <w:rPr>
                <w:rFonts w:cstheme="minorHAnsi"/>
                <w:iCs/>
              </w:rPr>
              <w:t xml:space="preserve">No, but radiologists and pathologists independently developed or implemented at least one such protocol, </w:t>
            </w:r>
            <w:r w:rsidRPr="003041BC">
              <w:rPr>
                <w:rFonts w:eastAsia="Avenir" w:cs="Aptos"/>
                <w:iCs/>
              </w:rPr>
              <w:t>and presented their protocol to the multidisciplinary team</w:t>
            </w:r>
          </w:p>
        </w:tc>
      </w:tr>
      <w:tr w:rsidR="00DA0282" w:rsidRPr="008559B9" w14:paraId="4545B546" w14:textId="77777777" w:rsidTr="00B74BD8">
        <w:trPr>
          <w:trHeight w:val="1296"/>
        </w:trPr>
        <w:tc>
          <w:tcPr>
            <w:tcW w:w="7067" w:type="dxa"/>
            <w:vAlign w:val="center"/>
          </w:tcPr>
          <w:p w14:paraId="31246A97" w14:textId="0D1939DE" w:rsidR="00DA0282" w:rsidRPr="00D66BB6" w:rsidRDefault="0053444B" w:rsidP="00AD309C">
            <w:pPr>
              <w:numPr>
                <w:ilvl w:val="0"/>
                <w:numId w:val="259"/>
              </w:numPr>
              <w:rPr>
                <w:rFonts w:cstheme="minorHAnsi"/>
              </w:rPr>
            </w:pPr>
            <w:r>
              <w:rPr>
                <w:rFonts w:cstheme="minorHAnsi"/>
              </w:rPr>
              <w:t xml:space="preserve">In the past 24 months, </w:t>
            </w:r>
            <w:r>
              <w:rPr>
                <w:rFonts w:eastAsiaTheme="minorHAnsi" w:cstheme="minorHAnsi"/>
                <w:kern w:val="2"/>
                <w14:ligatures w14:val="standardContextual"/>
              </w:rPr>
              <w:t>h</w:t>
            </w:r>
            <w:r w:rsidR="00DA0282" w:rsidRPr="00D66BB6">
              <w:rPr>
                <w:rFonts w:eastAsiaTheme="minorHAnsi" w:cstheme="minorHAnsi"/>
                <w:kern w:val="2"/>
                <w14:ligatures w14:val="standardContextual"/>
              </w:rPr>
              <w:t xml:space="preserve">as the multidisciplinary team encouraged all staff (verbally or in writing), including all clinicians who participate in the diagnostic process, to report errors in </w:t>
            </w:r>
            <w:r w:rsidR="00E447A6">
              <w:rPr>
                <w:rFonts w:eastAsiaTheme="minorHAnsi" w:cstheme="minorHAnsi"/>
                <w:kern w:val="2"/>
                <w14:ligatures w14:val="standardContextual"/>
              </w:rPr>
              <w:t>the diagnostic process</w:t>
            </w:r>
            <w:r w:rsidR="00DA0282" w:rsidRPr="00D66BB6">
              <w:rPr>
                <w:rFonts w:eastAsiaTheme="minorHAnsi" w:cstheme="minorHAnsi"/>
                <w:kern w:val="2"/>
                <w14:ligatures w14:val="standardContextual"/>
              </w:rPr>
              <w:t xml:space="preserve"> via the hospital’s incident or event reporting system? </w:t>
            </w:r>
          </w:p>
        </w:tc>
        <w:tc>
          <w:tcPr>
            <w:tcW w:w="2908" w:type="dxa"/>
            <w:vAlign w:val="center"/>
          </w:tcPr>
          <w:p w14:paraId="4A5C9C80" w14:textId="77777777" w:rsidR="00DA0282" w:rsidRDefault="00DA0282" w:rsidP="00AD309C">
            <w:pPr>
              <w:pStyle w:val="ListParagraph"/>
              <w:numPr>
                <w:ilvl w:val="0"/>
                <w:numId w:val="311"/>
              </w:numPr>
              <w:rPr>
                <w:rFonts w:cstheme="minorHAnsi"/>
                <w:iCs/>
              </w:rPr>
            </w:pPr>
            <w:r w:rsidRPr="0029141C">
              <w:rPr>
                <w:rFonts w:cstheme="minorHAnsi"/>
                <w:iCs/>
              </w:rPr>
              <w:t>Yes</w:t>
            </w:r>
          </w:p>
          <w:p w14:paraId="5D19E3D1" w14:textId="65F413FE" w:rsidR="00DA0282" w:rsidRPr="00D55D98" w:rsidRDefault="00DA0282" w:rsidP="00D55D98">
            <w:pPr>
              <w:pStyle w:val="ListParagraph"/>
              <w:numPr>
                <w:ilvl w:val="0"/>
                <w:numId w:val="262"/>
              </w:numPr>
              <w:rPr>
                <w:rFonts w:cstheme="minorHAnsi"/>
                <w:iCs/>
              </w:rPr>
            </w:pPr>
            <w:r w:rsidRPr="00A84A2E">
              <w:rPr>
                <w:rFonts w:cstheme="minorHAnsi"/>
                <w:iCs/>
              </w:rPr>
              <w:t>No</w:t>
            </w:r>
          </w:p>
        </w:tc>
      </w:tr>
      <w:tr w:rsidR="00214061" w:rsidRPr="008559B9" w14:paraId="684E3848" w14:textId="77777777" w:rsidTr="00B74BD8">
        <w:trPr>
          <w:trHeight w:val="1296"/>
        </w:trPr>
        <w:tc>
          <w:tcPr>
            <w:tcW w:w="7067" w:type="dxa"/>
            <w:vAlign w:val="center"/>
          </w:tcPr>
          <w:p w14:paraId="0B9D2C7C" w14:textId="5BC7AEFD" w:rsidR="00214061" w:rsidRPr="00D66BB6" w:rsidRDefault="00214061" w:rsidP="00214061">
            <w:pPr>
              <w:pStyle w:val="ListParagraph"/>
              <w:numPr>
                <w:ilvl w:val="0"/>
                <w:numId w:val="259"/>
              </w:numPr>
              <w:spacing w:after="160" w:line="259" w:lineRule="auto"/>
              <w:rPr>
                <w:rFonts w:cstheme="minorHAnsi"/>
              </w:rPr>
            </w:pPr>
            <w:r>
              <w:rPr>
                <w:rFonts w:cstheme="minorHAnsi"/>
              </w:rPr>
              <w:t>In the past 36 months, h</w:t>
            </w:r>
            <w:r w:rsidRPr="00D66BB6">
              <w:rPr>
                <w:rFonts w:cstheme="minorHAnsi"/>
              </w:rPr>
              <w:t xml:space="preserve">as your </w:t>
            </w:r>
            <w:r>
              <w:rPr>
                <w:rFonts w:cstheme="minorHAnsi"/>
              </w:rPr>
              <w:t xml:space="preserve">hospital used the </w:t>
            </w:r>
            <w:hyperlink r:id="rId362" w:history="1">
              <w:r w:rsidRPr="006C2288">
                <w:rPr>
                  <w:rStyle w:val="Hyperlink"/>
                  <w:rFonts w:cstheme="minorHAnsi"/>
                </w:rPr>
                <w:t>Safer Dx Checklist</w:t>
              </w:r>
            </w:hyperlink>
            <w:r>
              <w:rPr>
                <w:rFonts w:cstheme="minorHAnsi"/>
              </w:rPr>
              <w:t xml:space="preserve"> to identify at least one high-priority practice that is not currently at “Full” implementation</w:t>
            </w:r>
            <w:r w:rsidRPr="00D66BB6">
              <w:rPr>
                <w:rFonts w:cstheme="minorHAnsi"/>
              </w:rPr>
              <w:t>?</w:t>
            </w:r>
          </w:p>
          <w:p w14:paraId="0F6B5E1A" w14:textId="009EC504" w:rsidR="00214061" w:rsidRPr="00D66BB6" w:rsidRDefault="00214061" w:rsidP="00214061">
            <w:pPr>
              <w:ind w:left="360"/>
              <w:rPr>
                <w:rFonts w:cstheme="minorHAnsi"/>
                <w:i/>
              </w:rPr>
            </w:pPr>
            <w:r w:rsidRPr="00D66BB6">
              <w:rPr>
                <w:rFonts w:cstheme="minorHAnsi"/>
                <w:i/>
              </w:rPr>
              <w:t>If</w:t>
            </w:r>
            <w:r w:rsidR="00D643A4">
              <w:rPr>
                <w:rFonts w:cstheme="minorHAnsi"/>
                <w:i/>
              </w:rPr>
              <w:t xml:space="preserve"> “</w:t>
            </w:r>
            <w:r w:rsidR="00695A0E">
              <w:rPr>
                <w:rFonts w:cstheme="minorHAnsi"/>
                <w:i/>
              </w:rPr>
              <w:t>y</w:t>
            </w:r>
            <w:r w:rsidR="00D643A4" w:rsidRPr="00D643A4">
              <w:rPr>
                <w:rFonts w:cstheme="minorHAnsi"/>
                <w:i/>
              </w:rPr>
              <w:t>es, but all practices are currently fully implemented</w:t>
            </w:r>
            <w:r w:rsidR="009566B1">
              <w:rPr>
                <w:rFonts w:cstheme="minorHAnsi"/>
                <w:i/>
              </w:rPr>
              <w:t>,</w:t>
            </w:r>
            <w:r w:rsidR="006B4889">
              <w:rPr>
                <w:rFonts w:cstheme="minorHAnsi"/>
                <w:i/>
              </w:rPr>
              <w:t>”</w:t>
            </w:r>
            <w:r w:rsidR="008064E6">
              <w:rPr>
                <w:rFonts w:cstheme="minorHAnsi"/>
                <w:i/>
              </w:rPr>
              <w:t xml:space="preserve"> </w:t>
            </w:r>
            <w:r w:rsidR="00D643A4">
              <w:rPr>
                <w:rFonts w:cstheme="minorHAnsi"/>
                <w:i/>
              </w:rPr>
              <w:t>or</w:t>
            </w:r>
            <w:r w:rsidRPr="00D66BB6">
              <w:rPr>
                <w:rFonts w:cstheme="minorHAnsi"/>
                <w:i/>
              </w:rPr>
              <w:t xml:space="preserve"> “no” to question #</w:t>
            </w:r>
            <w:r w:rsidR="008270B9">
              <w:rPr>
                <w:rFonts w:cstheme="minorHAnsi"/>
                <w:i/>
              </w:rPr>
              <w:t>6</w:t>
            </w:r>
            <w:r w:rsidRPr="00D66BB6">
              <w:rPr>
                <w:rFonts w:cstheme="minorHAnsi"/>
                <w:i/>
              </w:rPr>
              <w:t>, skip question #</w:t>
            </w:r>
            <w:r w:rsidR="008270B9">
              <w:rPr>
                <w:rFonts w:cstheme="minorHAnsi"/>
                <w:i/>
              </w:rPr>
              <w:t>7</w:t>
            </w:r>
            <w:r w:rsidRPr="00D66BB6">
              <w:rPr>
                <w:rFonts w:cstheme="minorHAnsi"/>
                <w:i/>
              </w:rPr>
              <w:t xml:space="preserve"> and continue to </w:t>
            </w:r>
            <w:r w:rsidR="004E03B6">
              <w:rPr>
                <w:rFonts w:cstheme="minorHAnsi"/>
                <w:i/>
              </w:rPr>
              <w:t>question #8</w:t>
            </w:r>
            <w:r w:rsidRPr="00D66BB6">
              <w:rPr>
                <w:rFonts w:cstheme="minorHAnsi"/>
                <w:i/>
              </w:rPr>
              <w:t>.</w:t>
            </w:r>
          </w:p>
        </w:tc>
        <w:tc>
          <w:tcPr>
            <w:tcW w:w="2908" w:type="dxa"/>
            <w:vAlign w:val="center"/>
          </w:tcPr>
          <w:p w14:paraId="131C15F0" w14:textId="77777777" w:rsidR="00214061" w:rsidRPr="00D66BB6" w:rsidRDefault="00214061" w:rsidP="00214061">
            <w:pPr>
              <w:pStyle w:val="ListParagraph"/>
              <w:numPr>
                <w:ilvl w:val="0"/>
                <w:numId w:val="337"/>
              </w:numPr>
              <w:rPr>
                <w:rFonts w:cstheme="minorHAnsi"/>
              </w:rPr>
            </w:pPr>
            <w:r w:rsidRPr="00D66BB6">
              <w:rPr>
                <w:rFonts w:cstheme="minorHAnsi"/>
              </w:rPr>
              <w:t>Yes, led by our multidisciplinary team</w:t>
            </w:r>
          </w:p>
          <w:p w14:paraId="37824A17" w14:textId="28AE728B" w:rsidR="00214061" w:rsidRDefault="00214061" w:rsidP="00214061">
            <w:pPr>
              <w:pStyle w:val="ListParagraph"/>
              <w:numPr>
                <w:ilvl w:val="0"/>
                <w:numId w:val="337"/>
              </w:numPr>
              <w:rPr>
                <w:rFonts w:cstheme="minorHAnsi"/>
              </w:rPr>
            </w:pPr>
            <w:r w:rsidRPr="00D66BB6">
              <w:rPr>
                <w:rFonts w:cstheme="minorHAnsi"/>
              </w:rPr>
              <w:t xml:space="preserve">Yes, led by a different </w:t>
            </w:r>
            <w:r w:rsidR="004B552D">
              <w:rPr>
                <w:rFonts w:cstheme="minorHAnsi"/>
              </w:rPr>
              <w:t>team</w:t>
            </w:r>
            <w:r w:rsidR="004B552D" w:rsidRPr="00D66BB6">
              <w:rPr>
                <w:rFonts w:cstheme="minorHAnsi"/>
              </w:rPr>
              <w:t xml:space="preserve"> </w:t>
            </w:r>
            <w:r w:rsidRPr="00D66BB6">
              <w:rPr>
                <w:rFonts w:cstheme="minorHAnsi"/>
              </w:rPr>
              <w:t>at the hospital</w:t>
            </w:r>
          </w:p>
          <w:p w14:paraId="776652C4" w14:textId="03ACD0CE" w:rsidR="00F76231" w:rsidRPr="00F76231" w:rsidRDefault="00F76231" w:rsidP="00F76231">
            <w:pPr>
              <w:pStyle w:val="ListParagraph"/>
              <w:numPr>
                <w:ilvl w:val="0"/>
                <w:numId w:val="337"/>
              </w:numPr>
              <w:rPr>
                <w:rFonts w:cstheme="minorHAnsi"/>
              </w:rPr>
            </w:pPr>
            <w:r w:rsidRPr="00F76231">
              <w:rPr>
                <w:rFonts w:cstheme="minorHAnsi"/>
              </w:rPr>
              <w:t>Yes, but all practices are currently fully implemented</w:t>
            </w:r>
          </w:p>
          <w:p w14:paraId="69E744FB" w14:textId="55CD5B48" w:rsidR="00214061" w:rsidRPr="00B74BD8" w:rsidRDefault="00214061" w:rsidP="00214061">
            <w:pPr>
              <w:pStyle w:val="ListParagraph"/>
              <w:numPr>
                <w:ilvl w:val="0"/>
                <w:numId w:val="262"/>
              </w:numPr>
              <w:rPr>
                <w:rFonts w:cstheme="minorHAnsi"/>
                <w:iCs/>
              </w:rPr>
            </w:pPr>
            <w:r w:rsidRPr="00D66BB6">
              <w:rPr>
                <w:rFonts w:cstheme="minorHAnsi"/>
              </w:rPr>
              <w:t>No</w:t>
            </w:r>
          </w:p>
        </w:tc>
      </w:tr>
      <w:tr w:rsidR="00214061" w:rsidRPr="008559B9" w14:paraId="4469C0E9" w14:textId="77777777" w:rsidTr="00B65144">
        <w:trPr>
          <w:trHeight w:val="720"/>
        </w:trPr>
        <w:tc>
          <w:tcPr>
            <w:tcW w:w="7067" w:type="dxa"/>
            <w:vAlign w:val="center"/>
          </w:tcPr>
          <w:p w14:paraId="0D33CFBE" w14:textId="7F8D4E32" w:rsidR="00214061" w:rsidRDefault="00214061" w:rsidP="00214061">
            <w:pPr>
              <w:pStyle w:val="ListParagraph"/>
              <w:numPr>
                <w:ilvl w:val="0"/>
                <w:numId w:val="259"/>
              </w:numPr>
              <w:spacing w:after="160" w:line="259" w:lineRule="auto"/>
              <w:rPr>
                <w:rFonts w:cstheme="minorHAnsi"/>
              </w:rPr>
            </w:pPr>
            <w:r w:rsidRPr="00D66BB6">
              <w:rPr>
                <w:rFonts w:cstheme="minorHAnsi"/>
              </w:rPr>
              <w:t xml:space="preserve">What steps has your hospital taken to </w:t>
            </w:r>
            <w:r w:rsidR="005A36BB" w:rsidRPr="005A36BB">
              <w:rPr>
                <w:rFonts w:cstheme="minorHAnsi"/>
              </w:rPr>
              <w:t xml:space="preserve">implement one or more practices listed in the </w:t>
            </w:r>
            <w:hyperlink r:id="rId363" w:history="1">
              <w:r w:rsidR="005A36BB" w:rsidRPr="00C253E2">
                <w:rPr>
                  <w:rStyle w:val="Hyperlink"/>
                  <w:rFonts w:cstheme="minorHAnsi"/>
                </w:rPr>
                <w:t>Safer Dx Checklist</w:t>
              </w:r>
            </w:hyperlink>
            <w:r w:rsidRPr="00D66BB6">
              <w:rPr>
                <w:rFonts w:cstheme="minorHAnsi"/>
              </w:rPr>
              <w:t>?</w:t>
            </w:r>
          </w:p>
          <w:p w14:paraId="17B55C5B" w14:textId="77777777" w:rsidR="00214061" w:rsidRDefault="00214061" w:rsidP="00214061">
            <w:pPr>
              <w:pStyle w:val="ListParagraph"/>
              <w:spacing w:after="160" w:line="259" w:lineRule="auto"/>
              <w:ind w:left="360"/>
              <w:rPr>
                <w:rFonts w:cstheme="minorHAnsi"/>
              </w:rPr>
            </w:pPr>
          </w:p>
          <w:p w14:paraId="1BD21FF7" w14:textId="1778BF65" w:rsidR="00214061" w:rsidRPr="00D66BB6" w:rsidRDefault="00214061" w:rsidP="00720518">
            <w:pPr>
              <w:ind w:left="360"/>
              <w:rPr>
                <w:rFonts w:cstheme="minorHAnsi"/>
              </w:rPr>
            </w:pPr>
            <w:r w:rsidRPr="00B74BD8">
              <w:rPr>
                <w:rFonts w:cstheme="minorHAnsi"/>
                <w:i/>
                <w:iCs/>
              </w:rPr>
              <w:t xml:space="preserve">Select all that apply. </w:t>
            </w:r>
          </w:p>
        </w:tc>
        <w:tc>
          <w:tcPr>
            <w:tcW w:w="2908" w:type="dxa"/>
            <w:vAlign w:val="center"/>
          </w:tcPr>
          <w:p w14:paraId="4AD26A35" w14:textId="77777777" w:rsidR="00214061" w:rsidRPr="00D66BB6" w:rsidRDefault="00214061" w:rsidP="00214061">
            <w:pPr>
              <w:pStyle w:val="ListParagraph"/>
              <w:numPr>
                <w:ilvl w:val="0"/>
                <w:numId w:val="53"/>
              </w:numPr>
              <w:rPr>
                <w:rFonts w:cstheme="minorHAnsi"/>
              </w:rPr>
            </w:pPr>
            <w:r w:rsidRPr="00D66BB6">
              <w:rPr>
                <w:rFonts w:cstheme="minorHAnsi"/>
              </w:rPr>
              <w:t>Allocated budget</w:t>
            </w:r>
          </w:p>
          <w:p w14:paraId="05415C15" w14:textId="77777777" w:rsidR="00214061" w:rsidRDefault="00214061" w:rsidP="00214061">
            <w:pPr>
              <w:pStyle w:val="ListParagraph"/>
              <w:numPr>
                <w:ilvl w:val="0"/>
                <w:numId w:val="53"/>
              </w:numPr>
              <w:rPr>
                <w:rFonts w:cstheme="minorHAnsi"/>
              </w:rPr>
            </w:pPr>
            <w:r>
              <w:rPr>
                <w:rFonts w:cstheme="minorHAnsi"/>
              </w:rPr>
              <w:t>Appointed an individual or team responsible for implementation</w:t>
            </w:r>
          </w:p>
          <w:p w14:paraId="075EA721" w14:textId="77777777" w:rsidR="00720518" w:rsidRDefault="00214061" w:rsidP="00720518">
            <w:pPr>
              <w:pStyle w:val="ListParagraph"/>
              <w:numPr>
                <w:ilvl w:val="0"/>
                <w:numId w:val="53"/>
              </w:numPr>
              <w:rPr>
                <w:rFonts w:cstheme="minorHAnsi"/>
              </w:rPr>
            </w:pPr>
            <w:r>
              <w:rPr>
                <w:rFonts w:cstheme="minorHAnsi"/>
              </w:rPr>
              <w:t>Set a date for full implementation</w:t>
            </w:r>
          </w:p>
          <w:p w14:paraId="7706369B" w14:textId="431B3F78" w:rsidR="00214061" w:rsidRPr="00720518" w:rsidRDefault="00214061" w:rsidP="004D5A94">
            <w:pPr>
              <w:pStyle w:val="ListParagraph"/>
              <w:numPr>
                <w:ilvl w:val="0"/>
                <w:numId w:val="53"/>
              </w:numPr>
              <w:rPr>
                <w:rFonts w:cstheme="minorHAnsi"/>
              </w:rPr>
            </w:pPr>
            <w:r w:rsidRPr="00720518">
              <w:rPr>
                <w:rFonts w:cstheme="minorHAnsi"/>
              </w:rPr>
              <w:t>None of the above</w:t>
            </w:r>
          </w:p>
        </w:tc>
      </w:tr>
    </w:tbl>
    <w:p w14:paraId="57BB3AA7" w14:textId="77777777" w:rsidR="00DC69D9" w:rsidRDefault="00DC69D9" w:rsidP="00DC69D9">
      <w:pPr>
        <w:rPr>
          <w:rFonts w:cs="Arial"/>
          <w:b/>
          <w:i/>
          <w:iCs/>
        </w:rPr>
      </w:pPr>
    </w:p>
    <w:p w14:paraId="44C5F2BB" w14:textId="7975E5C0" w:rsidR="00DC69D9" w:rsidRPr="00D66BB6" w:rsidRDefault="00DC69D9" w:rsidP="00AB5B80">
      <w:pPr>
        <w:pStyle w:val="Heading3"/>
      </w:pPr>
      <w:bookmarkStart w:id="503" w:name="_Toc225877789"/>
      <w:r w:rsidRPr="00D66BB6">
        <w:t xml:space="preserve">Training </w:t>
      </w:r>
      <w:r w:rsidR="002C716D">
        <w:t>on Communication to Reduce Errors in the Diagnostic Process</w:t>
      </w:r>
      <w:bookmarkEnd w:id="503"/>
      <w:r w:rsidR="000F1F31">
        <w:br/>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7"/>
        <w:gridCol w:w="2908"/>
      </w:tblGrid>
      <w:tr w:rsidR="00B65144" w:rsidRPr="008559B9" w14:paraId="3FA41EF0" w14:textId="77777777" w:rsidTr="00B74BD8">
        <w:trPr>
          <w:trHeight w:val="1296"/>
        </w:trPr>
        <w:tc>
          <w:tcPr>
            <w:tcW w:w="7067" w:type="dxa"/>
            <w:vAlign w:val="center"/>
          </w:tcPr>
          <w:p w14:paraId="78FDD682" w14:textId="360FF2C6" w:rsidR="00B65144" w:rsidRPr="00D66BB6" w:rsidRDefault="001C44BF" w:rsidP="00AD309C">
            <w:pPr>
              <w:pStyle w:val="ListParagraph"/>
              <w:numPr>
                <w:ilvl w:val="0"/>
                <w:numId w:val="259"/>
              </w:numPr>
              <w:rPr>
                <w:rFonts w:eastAsiaTheme="minorHAnsi" w:cstheme="minorHAnsi"/>
                <w:kern w:val="2"/>
                <w14:ligatures w14:val="standardContextual"/>
              </w:rPr>
            </w:pPr>
            <w:r>
              <w:rPr>
                <w:rFonts w:eastAsiaTheme="minorHAnsi" w:cstheme="minorHAnsi"/>
                <w:kern w:val="2"/>
                <w14:ligatures w14:val="standardContextual"/>
              </w:rPr>
              <w:t>In the past 36 months, h</w:t>
            </w:r>
            <w:r w:rsidR="00B65144" w:rsidRPr="00D66BB6">
              <w:rPr>
                <w:rFonts w:eastAsiaTheme="minorHAnsi" w:cstheme="minorHAnsi"/>
                <w:kern w:val="2"/>
                <w14:ligatures w14:val="standardContextual"/>
              </w:rPr>
              <w:t xml:space="preserve">as your hospital </w:t>
            </w:r>
            <w:hyperlink w:anchor="teamstepps" w:history="1">
              <w:r w:rsidR="00B65144" w:rsidRPr="004A68FE">
                <w:rPr>
                  <w:rStyle w:val="Hyperlink"/>
                  <w:rFonts w:eastAsiaTheme="minorHAnsi" w:cstheme="minorHAnsi"/>
                  <w:kern w:val="2"/>
                  <w14:ligatures w14:val="standardContextual"/>
                </w:rPr>
                <w:t>trained any staff</w:t>
              </w:r>
            </w:hyperlink>
            <w:r w:rsidR="00B65144" w:rsidRPr="00D66BB6">
              <w:rPr>
                <w:rFonts w:eastAsiaTheme="minorHAnsi" w:cstheme="minorHAnsi"/>
                <w:kern w:val="2"/>
                <w14:ligatures w14:val="standardContextual"/>
              </w:rPr>
              <w:t xml:space="preserve"> </w:t>
            </w:r>
            <w:r w:rsidR="00434E74">
              <w:rPr>
                <w:rFonts w:eastAsiaTheme="minorHAnsi" w:cstheme="minorHAnsi"/>
                <w:kern w:val="2"/>
                <w14:ligatures w14:val="standardContextual"/>
              </w:rPr>
              <w:t xml:space="preserve">using </w:t>
            </w:r>
            <w:hyperlink r:id="rId364" w:history="1">
              <w:r w:rsidR="00434E74" w:rsidRPr="00206F98">
                <w:rPr>
                  <w:rStyle w:val="Hyperlink"/>
                  <w:rFonts w:eastAsiaTheme="minorHAnsi" w:cstheme="minorHAnsi"/>
                  <w:kern w:val="2"/>
                  <w14:ligatures w14:val="standardContextual"/>
                </w:rPr>
                <w:t>AHRQ’s TeamSTEPPS for Diagnosis Improvement</w:t>
              </w:r>
            </w:hyperlink>
            <w:r w:rsidR="00434E74" w:rsidRPr="003A516F">
              <w:rPr>
                <w:rStyle w:val="Hyperlink"/>
                <w:rFonts w:eastAsiaTheme="minorHAnsi" w:cstheme="minorHAnsi"/>
                <w:kern w:val="2"/>
                <w:u w:val="none"/>
                <w14:ligatures w14:val="standardContextual"/>
              </w:rPr>
              <w:t xml:space="preserve"> </w:t>
            </w:r>
            <w:r w:rsidR="00B65144" w:rsidRPr="00D66BB6">
              <w:rPr>
                <w:rFonts w:eastAsiaTheme="minorHAnsi" w:cstheme="minorHAnsi"/>
                <w:kern w:val="2"/>
                <w14:ligatures w14:val="standardContextual"/>
              </w:rPr>
              <w:t xml:space="preserve">program to improve communication among members of the care team (including nurses, pharmacists, and other allied health professionals), </w:t>
            </w:r>
            <w:r w:rsidR="00B65144">
              <w:rPr>
                <w:rFonts w:eastAsiaTheme="minorHAnsi" w:cstheme="minorHAnsi"/>
                <w:kern w:val="2"/>
                <w14:ligatures w14:val="standardContextual"/>
              </w:rPr>
              <w:t>within the context of</w:t>
            </w:r>
            <w:r w:rsidR="00B65144" w:rsidRPr="00D66BB6">
              <w:rPr>
                <w:rFonts w:eastAsiaTheme="minorHAnsi" w:cstheme="minorHAnsi"/>
                <w:kern w:val="2"/>
                <w14:ligatures w14:val="standardContextual"/>
              </w:rPr>
              <w:t xml:space="preserve"> the diagnostic process or in reducing errors in </w:t>
            </w:r>
            <w:r w:rsidR="00866358">
              <w:rPr>
                <w:rFonts w:cstheme="minorHAnsi"/>
                <w:iCs/>
              </w:rPr>
              <w:t>the diagnostic process</w:t>
            </w:r>
            <w:r w:rsidR="00B65144" w:rsidRPr="00D66BB6">
              <w:rPr>
                <w:rFonts w:eastAsiaTheme="minorHAnsi" w:cstheme="minorHAnsi"/>
                <w:kern w:val="2"/>
                <w14:ligatures w14:val="standardContextual"/>
              </w:rPr>
              <w:t>?</w:t>
            </w:r>
          </w:p>
        </w:tc>
        <w:tc>
          <w:tcPr>
            <w:tcW w:w="2908" w:type="dxa"/>
            <w:vAlign w:val="center"/>
          </w:tcPr>
          <w:p w14:paraId="3D1B2C9E" w14:textId="77777777" w:rsidR="00B65144" w:rsidRPr="00B74BD8" w:rsidRDefault="00B65144" w:rsidP="00AD309C">
            <w:pPr>
              <w:pStyle w:val="ListParagraph"/>
              <w:numPr>
                <w:ilvl w:val="0"/>
                <w:numId w:val="263"/>
              </w:numPr>
              <w:rPr>
                <w:rFonts w:cstheme="minorHAnsi"/>
                <w:iCs/>
              </w:rPr>
            </w:pPr>
            <w:r w:rsidRPr="00B74BD8">
              <w:rPr>
                <w:rFonts w:cstheme="minorHAnsi"/>
                <w:iCs/>
              </w:rPr>
              <w:t>Yes</w:t>
            </w:r>
          </w:p>
          <w:p w14:paraId="568B78BF" w14:textId="77777777" w:rsidR="00B65144" w:rsidRPr="00B74BD8" w:rsidRDefault="00B65144" w:rsidP="00AD309C">
            <w:pPr>
              <w:pStyle w:val="ListParagraph"/>
              <w:numPr>
                <w:ilvl w:val="0"/>
                <w:numId w:val="263"/>
              </w:numPr>
              <w:rPr>
                <w:rFonts w:cstheme="minorHAnsi"/>
                <w:iCs/>
              </w:rPr>
            </w:pPr>
            <w:r w:rsidRPr="00B74BD8">
              <w:rPr>
                <w:rFonts w:cstheme="minorHAnsi"/>
                <w:iCs/>
              </w:rPr>
              <w:t>No</w:t>
            </w:r>
          </w:p>
        </w:tc>
      </w:tr>
    </w:tbl>
    <w:p w14:paraId="251B0FA1" w14:textId="77777777" w:rsidR="00DC69D9" w:rsidRDefault="00DC69D9" w:rsidP="00DC69D9">
      <w:pPr>
        <w:rPr>
          <w:rFonts w:cs="Arial"/>
          <w:b/>
        </w:rPr>
      </w:pPr>
    </w:p>
    <w:p w14:paraId="6E772565" w14:textId="20E8E088" w:rsidR="003D79C4" w:rsidRDefault="003D79C4">
      <w:pPr>
        <w:rPr>
          <w:b/>
        </w:rPr>
      </w:pPr>
      <w:r>
        <w:rPr>
          <w:b/>
        </w:rPr>
        <w:br w:type="page"/>
      </w:r>
    </w:p>
    <w:p w14:paraId="20FA97F3" w14:textId="77777777" w:rsidR="00A616BC" w:rsidRDefault="00A616BC" w:rsidP="00DC69D9">
      <w:pPr>
        <w:rPr>
          <w:b/>
        </w:rPr>
      </w:pPr>
    </w:p>
    <w:p w14:paraId="3E2433A1" w14:textId="3AE2C0E7" w:rsidR="00954EFB" w:rsidRDefault="008F5010" w:rsidP="00954EFB">
      <w:pPr>
        <w:pStyle w:val="Heading2"/>
      </w:pPr>
      <w:bookmarkStart w:id="504" w:name="_Toc225877790"/>
      <w:r w:rsidRPr="00A73031">
        <w:t xml:space="preserve">6E: </w:t>
      </w:r>
      <w:r w:rsidR="00C00435">
        <w:t xml:space="preserve">Hospital Boarding in the </w:t>
      </w:r>
      <w:r w:rsidRPr="00A73031">
        <w:t>Emergency Department (ED) (Optional – Fact-Finding Only)</w:t>
      </w:r>
      <w:bookmarkEnd w:id="504"/>
    </w:p>
    <w:p w14:paraId="0DDD8886" w14:textId="77777777" w:rsidR="00954EFB" w:rsidRDefault="00954EFB" w:rsidP="00954EFB">
      <w:pPr>
        <w:rPr>
          <w:rFonts w:cs="Arial"/>
          <w:b/>
          <w:snapToGrid w:val="0"/>
          <w:color w:val="000000"/>
        </w:rPr>
      </w:pPr>
    </w:p>
    <w:p w14:paraId="06CB38C7" w14:textId="77777777" w:rsidR="00954EFB" w:rsidRDefault="00954EFB" w:rsidP="00954EFB">
      <w:pPr>
        <w:rPr>
          <w:rFonts w:cs="Arial"/>
          <w:snapToGrid w:val="0"/>
        </w:rPr>
      </w:pPr>
      <w:r w:rsidRPr="009A5185">
        <w:rPr>
          <w:rFonts w:cs="Arial"/>
          <w:snapToGrid w:val="0"/>
        </w:rPr>
        <w:t xml:space="preserve">Hospitals that share a </w:t>
      </w:r>
      <w:r>
        <w:rPr>
          <w:rFonts w:cs="Arial"/>
          <w:snapToGrid w:val="0"/>
        </w:rPr>
        <w:t xml:space="preserve">CMS Certification Number </w:t>
      </w:r>
      <w:r w:rsidRPr="009A5185">
        <w:rPr>
          <w:rFonts w:cs="Arial"/>
          <w:snapToGrid w:val="0"/>
        </w:rPr>
        <w:t xml:space="preserve">are required to report by facility. Please carefully review </w:t>
      </w:r>
      <w:hyperlink r:id="rId365" w:history="1">
        <w:r w:rsidRPr="009A5185">
          <w:rPr>
            <w:rStyle w:val="Hyperlink"/>
            <w:rFonts w:cs="Arial"/>
            <w:snapToGrid w:val="0"/>
          </w:rPr>
          <w:t>Leapfrog’s Multi-Campus Reporting Policy</w:t>
        </w:r>
      </w:hyperlink>
      <w:r w:rsidRPr="009A5185">
        <w:rPr>
          <w:rFonts w:cs="Arial"/>
          <w:snapToGrid w:val="0"/>
        </w:rPr>
        <w:t>.</w:t>
      </w:r>
    </w:p>
    <w:p w14:paraId="3D4DD155" w14:textId="77777777" w:rsidR="00954EFB" w:rsidRDefault="00954EFB" w:rsidP="00954EFB">
      <w:pPr>
        <w:rPr>
          <w:rFonts w:cs="Arial"/>
          <w:snapToGrid w:val="0"/>
        </w:rPr>
      </w:pPr>
    </w:p>
    <w:p w14:paraId="6D6475B4" w14:textId="77777777" w:rsidR="00954EFB" w:rsidRPr="00722F1B" w:rsidRDefault="00954EFB" w:rsidP="00954EFB">
      <w:pPr>
        <w:rPr>
          <w:b/>
          <w:bCs/>
          <w:color w:val="FF0000"/>
        </w:rPr>
      </w:pPr>
      <w:r w:rsidRPr="00722F1B">
        <w:rPr>
          <w:b/>
          <w:bCs/>
          <w:color w:val="FF0000"/>
        </w:rPr>
        <w:t>Important Notes:</w:t>
      </w:r>
    </w:p>
    <w:p w14:paraId="420473B3" w14:textId="77777777" w:rsidR="00954EFB" w:rsidRDefault="00954EFB" w:rsidP="00954EFB">
      <w:pPr>
        <w:rPr>
          <w:rFonts w:cs="Arial"/>
          <w:snapToGrid w:val="0"/>
        </w:rPr>
      </w:pPr>
    </w:p>
    <w:p w14:paraId="3FD776DD" w14:textId="6C8FCE2C" w:rsidR="00954EFB" w:rsidRDefault="00954EFB" w:rsidP="00954EFB">
      <w:pPr>
        <w:rPr>
          <w:rFonts w:cs="Arial"/>
          <w:snapToGrid w:val="0"/>
        </w:rPr>
      </w:pPr>
      <w:r>
        <w:rPr>
          <w:rFonts w:cs="Arial"/>
          <w:snapToGrid w:val="0"/>
        </w:rPr>
        <w:t>Note 1: This subsection will not be scor</w:t>
      </w:r>
      <w:r w:rsidR="000612AC">
        <w:rPr>
          <w:rFonts w:cs="Arial"/>
          <w:snapToGrid w:val="0"/>
        </w:rPr>
        <w:t>ed</w:t>
      </w:r>
      <w:r>
        <w:rPr>
          <w:rFonts w:cs="Arial"/>
          <w:snapToGrid w:val="0"/>
        </w:rPr>
        <w:t xml:space="preserve"> or public</w:t>
      </w:r>
      <w:r w:rsidR="000612AC">
        <w:rPr>
          <w:rFonts w:cs="Arial"/>
          <w:snapToGrid w:val="0"/>
        </w:rPr>
        <w:t>ly</w:t>
      </w:r>
      <w:r>
        <w:rPr>
          <w:rFonts w:cs="Arial"/>
          <w:snapToGrid w:val="0"/>
        </w:rPr>
        <w:t xml:space="preserve"> report</w:t>
      </w:r>
      <w:r w:rsidR="000612AC">
        <w:rPr>
          <w:rFonts w:cs="Arial"/>
          <w:snapToGrid w:val="0"/>
        </w:rPr>
        <w:t>ed</w:t>
      </w:r>
      <w:r>
        <w:rPr>
          <w:rFonts w:cs="Arial"/>
          <w:snapToGrid w:val="0"/>
        </w:rPr>
        <w:t>.</w:t>
      </w:r>
    </w:p>
    <w:p w14:paraId="143BDFFC" w14:textId="77777777" w:rsidR="0014006C" w:rsidRDefault="0014006C" w:rsidP="00954EFB">
      <w:pPr>
        <w:rPr>
          <w:rFonts w:cs="Arial"/>
          <w:snapToGrid w:val="0"/>
        </w:rPr>
      </w:pPr>
    </w:p>
    <w:p w14:paraId="5D1ECE85" w14:textId="6104B2C0" w:rsidR="0014006C" w:rsidRDefault="0014006C" w:rsidP="00954EFB">
      <w:pPr>
        <w:rPr>
          <w:rFonts w:cs="Arial"/>
          <w:snapToGrid w:val="0"/>
        </w:rPr>
      </w:pPr>
      <w:r>
        <w:rPr>
          <w:rFonts w:cs="Arial"/>
          <w:snapToGrid w:val="0"/>
        </w:rPr>
        <w:t xml:space="preserve">Note 2: </w:t>
      </w:r>
      <w:r w:rsidR="000443E5">
        <w:rPr>
          <w:rFonts w:cs="Arial"/>
          <w:snapToGrid w:val="0"/>
        </w:rPr>
        <w:t>Only include units that were open for the entire reporting period and that remain currently open.</w:t>
      </w:r>
    </w:p>
    <w:p w14:paraId="1C435994" w14:textId="77777777" w:rsidR="00FC20FD" w:rsidRDefault="00FC20FD" w:rsidP="00FC20FD">
      <w:pPr>
        <w:rPr>
          <w:rFonts w:cs="Arial"/>
          <w:snapToGrid w:val="0"/>
        </w:rPr>
      </w:pPr>
    </w:p>
    <w:p w14:paraId="0BD17135" w14:textId="56D1D06D" w:rsidR="00782F6D" w:rsidRPr="002E5960" w:rsidRDefault="00782F6D" w:rsidP="00FC20FD">
      <w:pPr>
        <w:rPr>
          <w:rFonts w:cs="Arial"/>
          <w:snapToGrid w:val="0"/>
        </w:rPr>
      </w:pPr>
      <w:r w:rsidRPr="00782F6D">
        <w:rPr>
          <w:rFonts w:cs="Arial"/>
          <w:snapToGrid w:val="0"/>
        </w:rPr>
        <w:t xml:space="preserve">Note </w:t>
      </w:r>
      <w:r w:rsidR="00640D88">
        <w:rPr>
          <w:rFonts w:cs="Arial"/>
          <w:snapToGrid w:val="0"/>
        </w:rPr>
        <w:t>3</w:t>
      </w:r>
      <w:r w:rsidRPr="00782F6D">
        <w:rPr>
          <w:rFonts w:cs="Arial"/>
          <w:snapToGrid w:val="0"/>
        </w:rPr>
        <w:t xml:space="preserve">: When reporting on questions #4 and/or #5, pediatric patients admitted to an adult bed should </w:t>
      </w:r>
      <w:r w:rsidR="00806A16">
        <w:rPr>
          <w:rFonts w:cs="Arial"/>
          <w:snapToGrid w:val="0"/>
        </w:rPr>
        <w:t>be included</w:t>
      </w:r>
      <w:r w:rsidR="00806A16" w:rsidRPr="00782F6D">
        <w:rPr>
          <w:rFonts w:cs="Arial"/>
          <w:snapToGrid w:val="0"/>
        </w:rPr>
        <w:t xml:space="preserve"> </w:t>
      </w:r>
      <w:r w:rsidRPr="00782F6D">
        <w:rPr>
          <w:rFonts w:cs="Arial"/>
          <w:snapToGrid w:val="0"/>
        </w:rPr>
        <w:t xml:space="preserve">in question #4. Pediatric patients admitted to a pediatric bed should be </w:t>
      </w:r>
      <w:r w:rsidR="006B42F7">
        <w:rPr>
          <w:rFonts w:cs="Arial"/>
          <w:snapToGrid w:val="0"/>
        </w:rPr>
        <w:t>included</w:t>
      </w:r>
      <w:r w:rsidR="006B42F7" w:rsidRPr="00782F6D">
        <w:rPr>
          <w:rFonts w:cs="Arial"/>
          <w:snapToGrid w:val="0"/>
        </w:rPr>
        <w:t xml:space="preserve"> </w:t>
      </w:r>
      <w:r w:rsidRPr="00782F6D">
        <w:rPr>
          <w:rFonts w:cs="Arial"/>
          <w:snapToGrid w:val="0"/>
        </w:rPr>
        <w:t xml:space="preserve">in question #5. </w:t>
      </w:r>
      <w:r w:rsidR="006B42F7">
        <w:rPr>
          <w:rFonts w:cs="Arial"/>
          <w:snapToGrid w:val="0"/>
        </w:rPr>
        <w:t>H</w:t>
      </w:r>
      <w:r w:rsidRPr="00782F6D">
        <w:rPr>
          <w:rFonts w:cs="Arial"/>
          <w:snapToGrid w:val="0"/>
        </w:rPr>
        <w:t>ospitals that do</w:t>
      </w:r>
      <w:r w:rsidR="006B42F7">
        <w:rPr>
          <w:rFonts w:cs="Arial"/>
          <w:snapToGrid w:val="0"/>
        </w:rPr>
        <w:t xml:space="preserve"> </w:t>
      </w:r>
      <w:r w:rsidRPr="00782F6D">
        <w:rPr>
          <w:rFonts w:cs="Arial"/>
          <w:snapToGrid w:val="0"/>
        </w:rPr>
        <w:t>n</w:t>
      </w:r>
      <w:r w:rsidR="006B42F7">
        <w:rPr>
          <w:rFonts w:cs="Arial"/>
          <w:snapToGrid w:val="0"/>
        </w:rPr>
        <w:t>o</w:t>
      </w:r>
      <w:r w:rsidRPr="00782F6D">
        <w:rPr>
          <w:rFonts w:cs="Arial"/>
          <w:snapToGrid w:val="0"/>
        </w:rPr>
        <w:t xml:space="preserve">t operate dedicated pediatric </w:t>
      </w:r>
      <w:r w:rsidR="00663624">
        <w:rPr>
          <w:rFonts w:cs="Arial"/>
          <w:snapToGrid w:val="0"/>
        </w:rPr>
        <w:t xml:space="preserve">inpatient or observation </w:t>
      </w:r>
      <w:r w:rsidRPr="00782F6D">
        <w:rPr>
          <w:rFonts w:cs="Arial"/>
          <w:snapToGrid w:val="0"/>
        </w:rPr>
        <w:t xml:space="preserve">units, but admit pediatric patients, should only </w:t>
      </w:r>
      <w:r w:rsidR="00663624">
        <w:rPr>
          <w:rFonts w:cs="Arial"/>
          <w:snapToGrid w:val="0"/>
        </w:rPr>
        <w:t xml:space="preserve">respond to question </w:t>
      </w:r>
      <w:r w:rsidRPr="00782F6D">
        <w:rPr>
          <w:rFonts w:cs="Arial"/>
          <w:snapToGrid w:val="0"/>
        </w:rPr>
        <w:t>#4.</w:t>
      </w:r>
    </w:p>
    <w:p w14:paraId="62A7936E" w14:textId="77777777" w:rsidR="00FC20FD" w:rsidRPr="002E5960" w:rsidRDefault="00FC20FD" w:rsidP="00954EFB">
      <w:pPr>
        <w:rPr>
          <w:rFonts w:cs="Arial"/>
          <w:snapToGrid w:val="0"/>
        </w:rPr>
      </w:pPr>
    </w:p>
    <w:p w14:paraId="4D1AB647" w14:textId="68B76BB9" w:rsidR="00885B79" w:rsidRDefault="00954EFB" w:rsidP="00DC69D9">
      <w:pPr>
        <w:rPr>
          <w:rFonts w:cs="Arial"/>
          <w:snapToGrid w:val="0"/>
        </w:rPr>
      </w:pPr>
      <w:r w:rsidRPr="009A5185">
        <w:rPr>
          <w:rFonts w:cs="Arial"/>
          <w:b/>
          <w:snapToGrid w:val="0"/>
        </w:rPr>
        <w:t xml:space="preserve">Specifications: </w:t>
      </w:r>
      <w:r w:rsidRPr="009A5185">
        <w:rPr>
          <w:rFonts w:cs="Arial"/>
          <w:snapToGrid w:val="0"/>
        </w:rPr>
        <w:t xml:space="preserve">See </w:t>
      </w:r>
      <w:hyperlink w:anchor="_Hospital_Boarding_in" w:history="1">
        <w:r w:rsidR="0011328F">
          <w:rPr>
            <w:rStyle w:val="Hyperlink"/>
            <w:rFonts w:cs="Arial"/>
            <w:b/>
            <w:i/>
            <w:snapToGrid w:val="0"/>
          </w:rPr>
          <w:t>Hospital Boarding in the Emergency Department (ED) Measure Specifications</w:t>
        </w:r>
      </w:hyperlink>
      <w:r>
        <w:rPr>
          <w:rStyle w:val="Hyperlink"/>
          <w:rFonts w:cs="Arial"/>
          <w:b/>
          <w:i/>
          <w:snapToGrid w:val="0"/>
        </w:rPr>
        <w:t xml:space="preserve"> </w:t>
      </w:r>
      <w:r w:rsidRPr="009A5185">
        <w:rPr>
          <w:rFonts w:cs="Arial"/>
          <w:snapToGrid w:val="0"/>
        </w:rPr>
        <w:t xml:space="preserve">in the Reference Information </w:t>
      </w:r>
      <w:r>
        <w:rPr>
          <w:rFonts w:cs="Arial"/>
          <w:snapToGrid w:val="0"/>
        </w:rPr>
        <w:t xml:space="preserve">beginning on page </w:t>
      </w:r>
      <w:r w:rsidR="00F353CA">
        <w:rPr>
          <w:rFonts w:cs="Arial"/>
          <w:snapToGrid w:val="0"/>
        </w:rPr>
        <w:t>24</w:t>
      </w:r>
      <w:r w:rsidR="00D70B5E">
        <w:rPr>
          <w:rFonts w:cs="Arial"/>
          <w:snapToGrid w:val="0"/>
        </w:rPr>
        <w:t>6</w:t>
      </w:r>
      <w:r>
        <w:rPr>
          <w:rFonts w:cs="Arial"/>
          <w:snapToGrid w:val="0"/>
        </w:rPr>
        <w:t>.</w:t>
      </w:r>
    </w:p>
    <w:p w14:paraId="7867FBF3" w14:textId="77777777" w:rsidR="00885B79" w:rsidRDefault="00885B79" w:rsidP="00DC69D9">
      <w:pPr>
        <w:rPr>
          <w:rFonts w:cs="Arial"/>
          <w:snapToGrid w:val="0"/>
        </w:rPr>
      </w:pPr>
    </w:p>
    <w:p w14:paraId="37B5CA02" w14:textId="674A9D42" w:rsidR="0002601E" w:rsidRDefault="00885B79" w:rsidP="00DC69D9">
      <w:pPr>
        <w:rPr>
          <w:b/>
        </w:rPr>
      </w:pPr>
      <w:r w:rsidRPr="004C3107">
        <w:rPr>
          <w:rFonts w:cs="Arial"/>
          <w:noProof/>
          <w:snapToGrid w:val="0"/>
        </w:rPr>
        <mc:AlternateContent>
          <mc:Choice Requires="wps">
            <w:drawing>
              <wp:inline distT="0" distB="0" distL="0" distR="0" wp14:anchorId="7ADC8661" wp14:editId="20D2D340">
                <wp:extent cx="5943600" cy="1458334"/>
                <wp:effectExtent l="0" t="0" r="19050" b="18415"/>
                <wp:docPr id="1076003227" name="Text Box 1076003227" descr="P8921TB2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58334"/>
                        </a:xfrm>
                        <a:prstGeom prst="rect">
                          <a:avLst/>
                        </a:prstGeom>
                        <a:solidFill>
                          <a:srgbClr val="FFFFFF"/>
                        </a:solidFill>
                        <a:ln w="9525">
                          <a:solidFill>
                            <a:srgbClr val="FF0000"/>
                          </a:solidFill>
                          <a:miter lim="800000"/>
                          <a:headEnd/>
                          <a:tailEnd/>
                        </a:ln>
                      </wps:spPr>
                      <wps:txbx>
                        <w:txbxContent>
                          <w:p w14:paraId="1AC44DE8" w14:textId="77777777" w:rsidR="00885B79" w:rsidRPr="009A5185" w:rsidRDefault="00885B79" w:rsidP="00885B79">
                            <w:pPr>
                              <w:spacing w:before="40"/>
                              <w:rPr>
                                <w:rFonts w:cs="Arial"/>
                                <w:b/>
                                <w:snapToGrid w:val="0"/>
                              </w:rPr>
                            </w:pPr>
                            <w:r w:rsidRPr="00533B1D">
                              <w:rPr>
                                <w:rFonts w:cs="Arial"/>
                                <w:b/>
                                <w:snapToGrid w:val="0"/>
                              </w:rPr>
                              <w:t xml:space="preserve"> </w:t>
                            </w:r>
                            <w:r w:rsidRPr="009A5185">
                              <w:rPr>
                                <w:rFonts w:cs="Arial"/>
                                <w:b/>
                                <w:snapToGrid w:val="0"/>
                              </w:rPr>
                              <w:t>Reporting Period: 12 months</w:t>
                            </w:r>
                          </w:p>
                          <w:p w14:paraId="77ED76E6" w14:textId="77777777" w:rsidR="00885B79" w:rsidRPr="00BE1D22" w:rsidRDefault="00885B79" w:rsidP="00AD309C">
                            <w:pPr>
                              <w:pStyle w:val="ListParagraph"/>
                              <w:numPr>
                                <w:ilvl w:val="0"/>
                                <w:numId w:val="36"/>
                              </w:numPr>
                              <w:rPr>
                                <w:rFonts w:cs="Arial"/>
                                <w:i/>
                                <w:snapToGrid w:val="0"/>
                              </w:rPr>
                            </w:pPr>
                            <w:r>
                              <w:rPr>
                                <w:rFonts w:cs="Arial"/>
                                <w:iCs/>
                                <w:snapToGrid w:val="0"/>
                              </w:rPr>
                              <w:t>Surveys submitted prior to September 1:</w:t>
                            </w:r>
                          </w:p>
                          <w:p w14:paraId="6BF7498B" w14:textId="01572CC9" w:rsidR="00885B79" w:rsidRPr="009A5185" w:rsidRDefault="00885B79" w:rsidP="00AD309C">
                            <w:pPr>
                              <w:pStyle w:val="ListParagraph"/>
                              <w:numPr>
                                <w:ilvl w:val="1"/>
                                <w:numId w:val="36"/>
                              </w:numPr>
                              <w:rPr>
                                <w:rFonts w:cs="Arial"/>
                                <w:i/>
                                <w:snapToGrid w:val="0"/>
                              </w:rPr>
                            </w:pPr>
                            <w:r>
                              <w:rPr>
                                <w:rFonts w:cs="Arial"/>
                                <w:iCs/>
                                <w:snapToGrid w:val="0"/>
                              </w:rPr>
                              <w:t>01/01/202</w:t>
                            </w:r>
                            <w:r w:rsidR="00030DA9">
                              <w:rPr>
                                <w:rFonts w:cs="Arial"/>
                                <w:iCs/>
                                <w:snapToGrid w:val="0"/>
                              </w:rPr>
                              <w:t>5</w:t>
                            </w:r>
                            <w:r>
                              <w:rPr>
                                <w:rFonts w:cs="Arial"/>
                                <w:iCs/>
                                <w:snapToGrid w:val="0"/>
                              </w:rPr>
                              <w:t xml:space="preserve"> – 12/31/202</w:t>
                            </w:r>
                            <w:r w:rsidR="00030DA9">
                              <w:rPr>
                                <w:rFonts w:cs="Arial"/>
                                <w:iCs/>
                                <w:snapToGrid w:val="0"/>
                              </w:rPr>
                              <w:t>5</w:t>
                            </w:r>
                          </w:p>
                          <w:p w14:paraId="08CD3A3B" w14:textId="77777777" w:rsidR="00885B79" w:rsidRPr="00BE1D22" w:rsidRDefault="00885B79"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443FB017" w14:textId="6168DF8F" w:rsidR="00885B79" w:rsidRPr="00FD4BD9" w:rsidRDefault="00885B79"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030DA9">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030DA9">
                              <w:rPr>
                                <w:rFonts w:cs="Arial"/>
                                <w:snapToGrid w:val="0"/>
                              </w:rPr>
                              <w:t>6</w:t>
                            </w:r>
                          </w:p>
                          <w:p w14:paraId="5A534735" w14:textId="77777777" w:rsidR="00885B79" w:rsidRDefault="00885B79" w:rsidP="00885B79">
                            <w:pPr>
                              <w:rPr>
                                <w:rFonts w:cs="Arial"/>
                                <w:i/>
                                <w:snapToGrid w:val="0"/>
                              </w:rPr>
                            </w:pPr>
                          </w:p>
                          <w:p w14:paraId="47DFA8D3" w14:textId="77777777" w:rsidR="00885B79" w:rsidRDefault="00885B79" w:rsidP="00885B79">
                            <w:r w:rsidRPr="006547C0">
                              <w:rPr>
                                <w:rFonts w:cs="Arial"/>
                                <w:sz w:val="16"/>
                                <w:szCs w:val="16"/>
                              </w:rPr>
                              <w:t xml:space="preserve">Note: As a reminder, the </w:t>
                            </w:r>
                            <w:hyperlink r:id="rId366"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7ADC8661" id="Text Box 1076003227" o:spid="_x0000_s1054" type="#_x0000_t202" alt="P8921TB27#y1" style="width:468pt;height:1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" strokecolor="red">
                <v:textbox style="mso-fit-shape-to-text:t">
                  <w:txbxContent>
                    <w:p w14:paraId="1AC44DE8" w14:textId="77777777" w:rsidR="00885B79" w:rsidRPr="009A5185" w:rsidRDefault="00885B79" w:rsidP="00885B79">
                      <w:pPr>
                        <w:spacing w:before="40"/>
                        <w:rPr>
                          <w:rFonts w:cs="Arial"/>
                          <w:b/>
                          <w:snapToGrid w:val="0"/>
                        </w:rPr>
                      </w:pPr>
                      <w:r w:rsidRPr="00533B1D">
                        <w:rPr>
                          <w:rFonts w:cs="Arial"/>
                          <w:b/>
                          <w:snapToGrid w:val="0"/>
                        </w:rPr>
                        <w:t xml:space="preserve"> </w:t>
                      </w:r>
                      <w:r w:rsidRPr="009A5185">
                        <w:rPr>
                          <w:rFonts w:cs="Arial"/>
                          <w:b/>
                          <w:snapToGrid w:val="0"/>
                        </w:rPr>
                        <w:t>Reporting Period: 12 months</w:t>
                      </w:r>
                    </w:p>
                    <w:p w14:paraId="77ED76E6" w14:textId="77777777" w:rsidR="00885B79" w:rsidRPr="00BE1D22" w:rsidRDefault="00885B79" w:rsidP="00AD309C">
                      <w:pPr>
                        <w:pStyle w:val="ListParagraph"/>
                        <w:numPr>
                          <w:ilvl w:val="0"/>
                          <w:numId w:val="36"/>
                        </w:numPr>
                        <w:rPr>
                          <w:rFonts w:cs="Arial"/>
                          <w:i/>
                          <w:snapToGrid w:val="0"/>
                        </w:rPr>
                      </w:pPr>
                      <w:r>
                        <w:rPr>
                          <w:rFonts w:cs="Arial"/>
                          <w:iCs/>
                          <w:snapToGrid w:val="0"/>
                        </w:rPr>
                        <w:t>Surveys submitted prior to September 1:</w:t>
                      </w:r>
                    </w:p>
                    <w:p w14:paraId="6BF7498B" w14:textId="01572CC9" w:rsidR="00885B79" w:rsidRPr="009A5185" w:rsidRDefault="00885B79" w:rsidP="00AD309C">
                      <w:pPr>
                        <w:pStyle w:val="ListParagraph"/>
                        <w:numPr>
                          <w:ilvl w:val="1"/>
                          <w:numId w:val="36"/>
                        </w:numPr>
                        <w:rPr>
                          <w:rFonts w:cs="Arial"/>
                          <w:i/>
                          <w:snapToGrid w:val="0"/>
                        </w:rPr>
                      </w:pPr>
                      <w:r>
                        <w:rPr>
                          <w:rFonts w:cs="Arial"/>
                          <w:iCs/>
                          <w:snapToGrid w:val="0"/>
                        </w:rPr>
                        <w:t>01/01/202</w:t>
                      </w:r>
                      <w:r w:rsidR="00030DA9">
                        <w:rPr>
                          <w:rFonts w:cs="Arial"/>
                          <w:iCs/>
                          <w:snapToGrid w:val="0"/>
                        </w:rPr>
                        <w:t>5</w:t>
                      </w:r>
                      <w:r>
                        <w:rPr>
                          <w:rFonts w:cs="Arial"/>
                          <w:iCs/>
                          <w:snapToGrid w:val="0"/>
                        </w:rPr>
                        <w:t xml:space="preserve"> – 12/31/202</w:t>
                      </w:r>
                      <w:r w:rsidR="00030DA9">
                        <w:rPr>
                          <w:rFonts w:cs="Arial"/>
                          <w:iCs/>
                          <w:snapToGrid w:val="0"/>
                        </w:rPr>
                        <w:t>5</w:t>
                      </w:r>
                    </w:p>
                    <w:p w14:paraId="08CD3A3B" w14:textId="77777777" w:rsidR="00885B79" w:rsidRPr="00BE1D22" w:rsidRDefault="00885B79"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443FB017" w14:textId="6168DF8F" w:rsidR="00885B79" w:rsidRPr="00FD4BD9" w:rsidRDefault="00885B79"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030DA9">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030DA9">
                        <w:rPr>
                          <w:rFonts w:cs="Arial"/>
                          <w:snapToGrid w:val="0"/>
                        </w:rPr>
                        <w:t>6</w:t>
                      </w:r>
                    </w:p>
                    <w:p w14:paraId="5A534735" w14:textId="77777777" w:rsidR="00885B79" w:rsidRDefault="00885B79" w:rsidP="00885B79">
                      <w:pPr>
                        <w:rPr>
                          <w:rFonts w:cs="Arial"/>
                          <w:i/>
                          <w:snapToGrid w:val="0"/>
                        </w:rPr>
                      </w:pPr>
                    </w:p>
                    <w:p w14:paraId="47DFA8D3" w14:textId="77777777" w:rsidR="00885B79" w:rsidRDefault="00885B79" w:rsidP="00885B79">
                      <w:r w:rsidRPr="006547C0">
                        <w:rPr>
                          <w:rFonts w:cs="Arial"/>
                          <w:sz w:val="16"/>
                          <w:szCs w:val="16"/>
                        </w:rPr>
                        <w:t xml:space="preserve">Note: As a reminder, the </w:t>
                      </w:r>
                      <w:hyperlink r:id="rId367"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3D7E1CC0" w14:textId="77777777" w:rsidR="00885B79" w:rsidRPr="00B74BD8" w:rsidRDefault="00885B79" w:rsidP="00DC69D9">
      <w:pPr>
        <w:rPr>
          <w:b/>
          <w:i/>
        </w:rPr>
      </w:pPr>
    </w:p>
    <w:tbl>
      <w:tblPr>
        <w:tblStyle w:val="TableGrid"/>
        <w:tblW w:w="9547" w:type="dxa"/>
        <w:tblLook w:val="04A0" w:firstRow="1" w:lastRow="0" w:firstColumn="1" w:lastColumn="0" w:noHBand="0" w:noVBand="1"/>
      </w:tblPr>
      <w:tblGrid>
        <w:gridCol w:w="6638"/>
        <w:gridCol w:w="2909"/>
      </w:tblGrid>
      <w:tr w:rsidR="00AE4D8B" w:rsidRPr="0012358C" w14:paraId="7B6C209B" w14:textId="77777777" w:rsidTr="00D73F6A">
        <w:trPr>
          <w:trHeight w:val="432"/>
        </w:trPr>
        <w:tc>
          <w:tcPr>
            <w:tcW w:w="6638" w:type="dxa"/>
            <w:vAlign w:val="center"/>
          </w:tcPr>
          <w:p w14:paraId="72CF15F7" w14:textId="77777777" w:rsidR="00AE4D8B" w:rsidRPr="00A73031" w:rsidRDefault="00AE4D8B" w:rsidP="00AD309C">
            <w:pPr>
              <w:pStyle w:val="ListParagraph"/>
              <w:numPr>
                <w:ilvl w:val="0"/>
                <w:numId w:val="405"/>
              </w:numPr>
              <w:rPr>
                <w:rFonts w:cs="Arial"/>
                <w:snapToGrid w:val="0"/>
                <w:color w:val="000000"/>
              </w:rPr>
            </w:pPr>
            <w:bookmarkStart w:id="505" w:name="_Hlk182565511"/>
            <w:bookmarkEnd w:id="500"/>
            <w:r w:rsidRPr="00A73031">
              <w:rPr>
                <w:rFonts w:cs="Arial"/>
                <w:snapToGrid w:val="0"/>
                <w:color w:val="000000"/>
              </w:rPr>
              <w:t>12-month reporting period used:</w:t>
            </w:r>
          </w:p>
        </w:tc>
        <w:tc>
          <w:tcPr>
            <w:tcW w:w="2909" w:type="dxa"/>
            <w:vAlign w:val="center"/>
          </w:tcPr>
          <w:p w14:paraId="0D8A9666" w14:textId="5B1C5FC3" w:rsidR="00AE4D8B" w:rsidRPr="00A73031" w:rsidRDefault="00AE4D8B" w:rsidP="00AD309C">
            <w:pPr>
              <w:pStyle w:val="ListParagraph"/>
              <w:numPr>
                <w:ilvl w:val="0"/>
                <w:numId w:val="286"/>
              </w:numPr>
              <w:rPr>
                <w:rFonts w:cs="Arial"/>
                <w:iCs/>
              </w:rPr>
            </w:pPr>
            <w:r w:rsidRPr="00A73031">
              <w:rPr>
                <w:rFonts w:cs="Arial"/>
                <w:iCs/>
              </w:rPr>
              <w:t>01/01/202</w:t>
            </w:r>
            <w:r w:rsidR="00CB5407">
              <w:rPr>
                <w:rFonts w:cs="Arial"/>
                <w:iCs/>
              </w:rPr>
              <w:t>5</w:t>
            </w:r>
            <w:r w:rsidRPr="00A73031">
              <w:rPr>
                <w:rFonts w:cs="Arial"/>
                <w:iCs/>
              </w:rPr>
              <w:t xml:space="preserve"> – 12/31/202</w:t>
            </w:r>
            <w:r w:rsidR="00CB5407">
              <w:rPr>
                <w:rFonts w:cs="Arial"/>
                <w:iCs/>
              </w:rPr>
              <w:t>5</w:t>
            </w:r>
          </w:p>
          <w:p w14:paraId="18B88FAA" w14:textId="16D24B60" w:rsidR="00AE4D8B" w:rsidRPr="00A73031" w:rsidRDefault="00AE4D8B" w:rsidP="00AD309C">
            <w:pPr>
              <w:pStyle w:val="ListParagraph"/>
              <w:numPr>
                <w:ilvl w:val="0"/>
                <w:numId w:val="286"/>
              </w:numPr>
              <w:rPr>
                <w:rFonts w:cs="Arial"/>
                <w:i/>
              </w:rPr>
            </w:pPr>
            <w:r w:rsidRPr="00A73031">
              <w:rPr>
                <w:rFonts w:cs="Arial"/>
                <w:iCs/>
              </w:rPr>
              <w:t>07/01/202</w:t>
            </w:r>
            <w:r w:rsidR="00CB5407">
              <w:rPr>
                <w:rFonts w:cs="Arial"/>
                <w:iCs/>
              </w:rPr>
              <w:t>5</w:t>
            </w:r>
            <w:r w:rsidRPr="00A73031">
              <w:rPr>
                <w:rFonts w:cs="Arial"/>
                <w:iCs/>
              </w:rPr>
              <w:t xml:space="preserve"> – 06/30/202</w:t>
            </w:r>
            <w:r w:rsidR="00CB5407">
              <w:rPr>
                <w:rFonts w:cs="Arial"/>
                <w:iCs/>
              </w:rPr>
              <w:t>6</w:t>
            </w:r>
          </w:p>
        </w:tc>
      </w:tr>
      <w:tr w:rsidR="00AE4D8B" w:rsidRPr="0012358C" w14:paraId="5B63216C" w14:textId="77777777" w:rsidTr="00D73F6A">
        <w:trPr>
          <w:trHeight w:val="1872"/>
        </w:trPr>
        <w:tc>
          <w:tcPr>
            <w:tcW w:w="6638" w:type="dxa"/>
            <w:vAlign w:val="center"/>
          </w:tcPr>
          <w:p w14:paraId="7E2BCED2" w14:textId="073657D8" w:rsidR="00AE4D8B" w:rsidRPr="00A73031" w:rsidRDefault="00AE4D8B" w:rsidP="00AD309C">
            <w:pPr>
              <w:pStyle w:val="ListParagraph"/>
              <w:numPr>
                <w:ilvl w:val="0"/>
                <w:numId w:val="405"/>
              </w:numPr>
              <w:rPr>
                <w:rFonts w:cs="Arial"/>
                <w:snapToGrid w:val="0"/>
                <w:color w:val="000000"/>
              </w:rPr>
            </w:pPr>
            <w:r w:rsidRPr="00A73031">
              <w:rPr>
                <w:rFonts w:cs="Arial"/>
                <w:snapToGrid w:val="0"/>
                <w:color w:val="000000"/>
              </w:rPr>
              <w:t xml:space="preserve">Did your hospital operate a </w:t>
            </w:r>
            <w:hyperlink w:anchor="emergencydepartment_endnote" w:history="1">
              <w:r w:rsidRPr="00A73031">
                <w:rPr>
                  <w:rStyle w:val="Hyperlink"/>
                  <w:rFonts w:cs="Arial"/>
                  <w:snapToGrid w:val="0"/>
                </w:rPr>
                <w:t>dedicated emergency department (ED)</w:t>
              </w:r>
            </w:hyperlink>
            <w:r w:rsidR="00C2087D">
              <w:rPr>
                <w:rFonts w:ascii="ZWAdobeF" w:hAnsi="ZWAdobeF" w:cs="ZWAdobeF"/>
                <w:sz w:val="2"/>
                <w:szCs w:val="2"/>
              </w:rPr>
              <w:t>45F</w:t>
            </w:r>
            <w:r w:rsidR="00B55C41">
              <w:rPr>
                <w:rFonts w:ascii="ZWAdobeF" w:hAnsi="ZWAdobeF" w:cs="ZWAdobeF"/>
                <w:sz w:val="2"/>
                <w:szCs w:val="2"/>
              </w:rPr>
              <w:t>45F</w:t>
            </w:r>
            <w:r w:rsidR="006255A6">
              <w:rPr>
                <w:rFonts w:ascii="ZWAdobeF" w:hAnsi="ZWAdobeF" w:cs="ZWAdobeF"/>
                <w:sz w:val="2"/>
                <w:szCs w:val="2"/>
              </w:rPr>
              <w:t>45F</w:t>
            </w:r>
            <w:r w:rsidR="00E453C7">
              <w:rPr>
                <w:rFonts w:ascii="ZWAdobeF" w:hAnsi="ZWAdobeF" w:cs="ZWAdobeF"/>
                <w:sz w:val="2"/>
                <w:szCs w:val="2"/>
              </w:rPr>
              <w:t>45F</w:t>
            </w:r>
            <w:r w:rsidR="00953060">
              <w:rPr>
                <w:rFonts w:ascii="ZWAdobeF" w:hAnsi="ZWAdobeF" w:cs="ZWAdobeF"/>
                <w:sz w:val="2"/>
                <w:szCs w:val="2"/>
              </w:rPr>
              <w:t>45F</w:t>
            </w:r>
            <w:r w:rsidR="00DD04D6">
              <w:rPr>
                <w:rFonts w:ascii="ZWAdobeF" w:hAnsi="ZWAdobeF" w:cs="ZWAdobeF"/>
                <w:sz w:val="2"/>
                <w:szCs w:val="2"/>
              </w:rPr>
              <w:t>45F</w:t>
            </w:r>
            <w:r w:rsidRPr="00A73031">
              <w:rPr>
                <w:rStyle w:val="EndnoteReference"/>
                <w:snapToGrid w:val="0"/>
                <w:color w:val="000000"/>
              </w:rPr>
              <w:endnoteReference w:id="47"/>
            </w:r>
            <w:r w:rsidRPr="00A443D2">
              <w:rPr>
                <w:rFonts w:cs="Arial"/>
                <w:snapToGrid w:val="0"/>
                <w:color w:val="000000"/>
              </w:rPr>
              <w:t xml:space="preserve"> </w:t>
            </w:r>
            <w:r w:rsidRPr="00A73031">
              <w:rPr>
                <w:rFonts w:cs="Arial"/>
                <w:snapToGrid w:val="0"/>
                <w:color w:val="000000"/>
              </w:rPr>
              <w:t>during the reporting period?</w:t>
            </w:r>
          </w:p>
          <w:p w14:paraId="71AA3982" w14:textId="77777777" w:rsidR="00AE4D8B" w:rsidRPr="00A73031" w:rsidRDefault="00AE4D8B" w:rsidP="00D73F6A">
            <w:pPr>
              <w:pStyle w:val="ListParagraph"/>
              <w:ind w:left="360"/>
              <w:rPr>
                <w:rFonts w:cs="Arial"/>
                <w:snapToGrid w:val="0"/>
                <w:color w:val="000000"/>
              </w:rPr>
            </w:pPr>
          </w:p>
          <w:p w14:paraId="2A6D2DBC" w14:textId="6403686E" w:rsidR="00AE4D8B" w:rsidRPr="00A73031" w:rsidRDefault="00AE4D8B" w:rsidP="00D73F6A">
            <w:pPr>
              <w:pStyle w:val="ListParagraph"/>
              <w:ind w:left="360"/>
              <w:rPr>
                <w:rFonts w:cs="Arial"/>
                <w:snapToGrid w:val="0"/>
                <w:color w:val="000000"/>
              </w:rPr>
            </w:pPr>
            <w:r w:rsidRPr="00A73031">
              <w:rPr>
                <w:rFonts w:cs="Arial"/>
                <w:i/>
                <w:snapToGrid w:val="0"/>
              </w:rPr>
              <w:t>If “no” or “yes, but ED is now closed or wasn’t open for the entire reporting period,” skip questions #3-</w:t>
            </w:r>
            <w:r w:rsidR="00E10394">
              <w:rPr>
                <w:rFonts w:cs="Arial"/>
                <w:i/>
                <w:snapToGrid w:val="0"/>
              </w:rPr>
              <w:t>5</w:t>
            </w:r>
            <w:r w:rsidRPr="00A73031">
              <w:rPr>
                <w:rFonts w:cs="Arial"/>
                <w:i/>
                <w:snapToGrid w:val="0"/>
              </w:rPr>
              <w:t xml:space="preserve"> and </w:t>
            </w:r>
            <w:r w:rsidR="00AF00AC">
              <w:rPr>
                <w:rFonts w:cs="Arial"/>
                <w:i/>
                <w:snapToGrid w:val="0"/>
              </w:rPr>
              <w:t>go to the Affirmation of Accuracy</w:t>
            </w:r>
            <w:r w:rsidRPr="00A73031">
              <w:rPr>
                <w:rFonts w:cs="Arial"/>
                <w:i/>
                <w:snapToGrid w:val="0"/>
              </w:rPr>
              <w:t>.</w:t>
            </w:r>
          </w:p>
        </w:tc>
        <w:tc>
          <w:tcPr>
            <w:tcW w:w="2909" w:type="dxa"/>
            <w:vAlign w:val="center"/>
          </w:tcPr>
          <w:p w14:paraId="3980425D" w14:textId="77777777" w:rsidR="00AE4D8B" w:rsidRPr="00A73031" w:rsidRDefault="00AE4D8B" w:rsidP="00AD309C">
            <w:pPr>
              <w:pStyle w:val="ListParagraph"/>
              <w:numPr>
                <w:ilvl w:val="0"/>
                <w:numId w:val="287"/>
              </w:numPr>
              <w:rPr>
                <w:rFonts w:cs="Arial"/>
                <w:iCs/>
                <w:snapToGrid w:val="0"/>
                <w:color w:val="000000"/>
              </w:rPr>
            </w:pPr>
            <w:r w:rsidRPr="00A73031">
              <w:rPr>
                <w:rFonts w:cs="Arial"/>
                <w:iCs/>
                <w:snapToGrid w:val="0"/>
                <w:color w:val="000000"/>
              </w:rPr>
              <w:t>Yes</w:t>
            </w:r>
          </w:p>
          <w:p w14:paraId="087EC50D" w14:textId="77777777" w:rsidR="00AE4D8B" w:rsidRPr="00A73031" w:rsidRDefault="00AE4D8B" w:rsidP="00AD309C">
            <w:pPr>
              <w:pStyle w:val="ListParagraph"/>
              <w:numPr>
                <w:ilvl w:val="0"/>
                <w:numId w:val="287"/>
              </w:numPr>
              <w:rPr>
                <w:rFonts w:cs="Arial"/>
                <w:iCs/>
                <w:snapToGrid w:val="0"/>
                <w:color w:val="000000"/>
              </w:rPr>
            </w:pPr>
            <w:r w:rsidRPr="00A73031">
              <w:rPr>
                <w:rFonts w:cs="Arial"/>
                <w:iCs/>
                <w:snapToGrid w:val="0"/>
                <w:color w:val="000000"/>
              </w:rPr>
              <w:t>No</w:t>
            </w:r>
          </w:p>
          <w:p w14:paraId="025A4058" w14:textId="77777777" w:rsidR="00AE4D8B" w:rsidRPr="00A73031" w:rsidRDefault="00AE4D8B" w:rsidP="00AD309C">
            <w:pPr>
              <w:pStyle w:val="ListParagraph"/>
              <w:numPr>
                <w:ilvl w:val="0"/>
                <w:numId w:val="287"/>
              </w:numPr>
              <w:rPr>
                <w:rFonts w:cs="Arial"/>
                <w:iCs/>
                <w:snapToGrid w:val="0"/>
                <w:color w:val="000000"/>
              </w:rPr>
            </w:pPr>
            <w:r w:rsidRPr="00A73031">
              <w:rPr>
                <w:rFonts w:cs="Arial"/>
                <w:iCs/>
                <w:snapToGrid w:val="0"/>
                <w:color w:val="000000"/>
              </w:rPr>
              <w:t>Yes, but ED is now closed or wasn’t open for the entire reporting period</w:t>
            </w:r>
          </w:p>
        </w:tc>
      </w:tr>
      <w:tr w:rsidR="0060144B" w:rsidRPr="0012358C" w14:paraId="21629D52" w14:textId="77777777" w:rsidTr="00D73F6A">
        <w:trPr>
          <w:trHeight w:hRule="exact" w:val="1387"/>
        </w:trPr>
        <w:tc>
          <w:tcPr>
            <w:tcW w:w="6638" w:type="dxa"/>
            <w:vAlign w:val="center"/>
          </w:tcPr>
          <w:p w14:paraId="21CCF1EA" w14:textId="4F05C522" w:rsidR="0060144B" w:rsidRDefault="0060144B" w:rsidP="00AD309C">
            <w:pPr>
              <w:pStyle w:val="ListParagraph"/>
              <w:numPr>
                <w:ilvl w:val="0"/>
                <w:numId w:val="405"/>
              </w:numPr>
              <w:rPr>
                <w:rFonts w:cs="Arial"/>
                <w:snapToGrid w:val="0"/>
                <w:color w:val="000000"/>
              </w:rPr>
            </w:pPr>
            <w:r>
              <w:rPr>
                <w:rFonts w:cs="Arial"/>
                <w:snapToGrid w:val="0"/>
                <w:color w:val="000000"/>
              </w:rPr>
              <w:t>What type(s)</w:t>
            </w:r>
            <w:r w:rsidR="005F0350">
              <w:rPr>
                <w:rFonts w:cs="Arial"/>
                <w:snapToGrid w:val="0"/>
                <w:color w:val="000000"/>
              </w:rPr>
              <w:t xml:space="preserve"> of</w:t>
            </w:r>
            <w:r>
              <w:rPr>
                <w:rFonts w:cs="Arial"/>
                <w:snapToGrid w:val="0"/>
                <w:color w:val="000000"/>
              </w:rPr>
              <w:t xml:space="preserve"> </w:t>
            </w:r>
            <w:hyperlink w:anchor="emergencydepartment_endnote" w:history="1">
              <w:r w:rsidRPr="002F7BE6">
                <w:rPr>
                  <w:rStyle w:val="Hyperlink"/>
                  <w:rFonts w:cs="Arial"/>
                  <w:snapToGrid w:val="0"/>
                </w:rPr>
                <w:t>dedicated emergency department</w:t>
              </w:r>
              <w:r w:rsidR="0002161F" w:rsidRPr="002F7BE6">
                <w:rPr>
                  <w:rStyle w:val="Hyperlink"/>
                  <w:rFonts w:cs="Arial"/>
                  <w:snapToGrid w:val="0"/>
                </w:rPr>
                <w:t>(s)</w:t>
              </w:r>
            </w:hyperlink>
            <w:r w:rsidR="00CD6F6B">
              <w:rPr>
                <w:snapToGrid w:val="0"/>
                <w:color w:val="000000"/>
                <w:vertAlign w:val="superscript"/>
              </w:rPr>
              <w:t>46</w:t>
            </w:r>
            <w:r w:rsidRPr="00A73031">
              <w:rPr>
                <w:rFonts w:cs="Arial"/>
                <w:snapToGrid w:val="0"/>
                <w:color w:val="000000"/>
              </w:rPr>
              <w:t xml:space="preserve"> </w:t>
            </w:r>
            <w:r>
              <w:rPr>
                <w:rFonts w:cs="Arial"/>
                <w:snapToGrid w:val="0"/>
                <w:color w:val="000000"/>
              </w:rPr>
              <w:t>d</w:t>
            </w:r>
            <w:r w:rsidR="00FF4E60">
              <w:rPr>
                <w:rFonts w:cs="Arial"/>
                <w:snapToGrid w:val="0"/>
                <w:color w:val="000000"/>
              </w:rPr>
              <w:t>id</w:t>
            </w:r>
            <w:r>
              <w:rPr>
                <w:rFonts w:cs="Arial"/>
                <w:snapToGrid w:val="0"/>
                <w:color w:val="000000"/>
              </w:rPr>
              <w:t xml:space="preserve"> you</w:t>
            </w:r>
            <w:r w:rsidR="00FF4E60">
              <w:rPr>
                <w:rFonts w:cs="Arial"/>
                <w:snapToGrid w:val="0"/>
                <w:color w:val="000000"/>
              </w:rPr>
              <w:t>r</w:t>
            </w:r>
            <w:r>
              <w:rPr>
                <w:rFonts w:cs="Arial"/>
                <w:snapToGrid w:val="0"/>
                <w:color w:val="000000"/>
              </w:rPr>
              <w:t xml:space="preserve"> </w:t>
            </w:r>
            <w:r w:rsidR="004F73B9">
              <w:rPr>
                <w:rFonts w:cs="Arial"/>
                <w:snapToGrid w:val="0"/>
                <w:color w:val="000000"/>
              </w:rPr>
              <w:t xml:space="preserve">hospital </w:t>
            </w:r>
            <w:r>
              <w:rPr>
                <w:rFonts w:cs="Arial"/>
                <w:snapToGrid w:val="0"/>
                <w:color w:val="000000"/>
              </w:rPr>
              <w:t>operate?</w:t>
            </w:r>
          </w:p>
          <w:p w14:paraId="4E6953BB" w14:textId="77777777" w:rsidR="0060144B" w:rsidRDefault="0060144B" w:rsidP="0060144B">
            <w:pPr>
              <w:rPr>
                <w:rFonts w:cs="Arial"/>
                <w:snapToGrid w:val="0"/>
                <w:color w:val="000000"/>
              </w:rPr>
            </w:pPr>
          </w:p>
          <w:p w14:paraId="05060195" w14:textId="2F0EB754" w:rsidR="0060144B" w:rsidRPr="00A73031" w:rsidRDefault="0060144B" w:rsidP="00B226ED">
            <w:pPr>
              <w:pStyle w:val="ListParagraph"/>
              <w:ind w:left="360"/>
              <w:rPr>
                <w:rFonts w:cs="Arial"/>
                <w:snapToGrid w:val="0"/>
              </w:rPr>
            </w:pPr>
            <w:r>
              <w:rPr>
                <w:rFonts w:cs="Arial"/>
                <w:i/>
                <w:iCs/>
                <w:snapToGrid w:val="0"/>
                <w:color w:val="000000"/>
              </w:rPr>
              <w:t>Select all that apply.</w:t>
            </w:r>
          </w:p>
        </w:tc>
        <w:tc>
          <w:tcPr>
            <w:tcW w:w="2909" w:type="dxa"/>
            <w:vAlign w:val="center"/>
          </w:tcPr>
          <w:p w14:paraId="782B58FD" w14:textId="77777777" w:rsidR="0060144B" w:rsidRPr="006119D1" w:rsidRDefault="0060144B" w:rsidP="00AD309C">
            <w:pPr>
              <w:numPr>
                <w:ilvl w:val="0"/>
                <w:numId w:val="143"/>
              </w:numPr>
              <w:contextualSpacing/>
              <w:rPr>
                <w:rFonts w:cs="Arial"/>
                <w:iCs/>
              </w:rPr>
            </w:pPr>
            <w:r w:rsidRPr="006119D1">
              <w:rPr>
                <w:rFonts w:cs="Arial"/>
                <w:iCs/>
              </w:rPr>
              <w:t>Adult only</w:t>
            </w:r>
          </w:p>
          <w:p w14:paraId="67BECE04" w14:textId="4F796E03" w:rsidR="00B226ED" w:rsidRDefault="0060144B" w:rsidP="00AD309C">
            <w:pPr>
              <w:pStyle w:val="ListParagraph"/>
              <w:numPr>
                <w:ilvl w:val="0"/>
                <w:numId w:val="412"/>
              </w:numPr>
              <w:rPr>
                <w:rFonts w:cs="Arial"/>
                <w:iCs/>
              </w:rPr>
            </w:pPr>
            <w:r w:rsidRPr="00A32F53">
              <w:rPr>
                <w:rFonts w:cs="Arial"/>
                <w:iCs/>
              </w:rPr>
              <w:t>Pediatric only</w:t>
            </w:r>
          </w:p>
          <w:p w14:paraId="0241623E" w14:textId="1251D0AA" w:rsidR="0060144B" w:rsidRPr="006810DB" w:rsidRDefault="002D06C9" w:rsidP="00AD309C">
            <w:pPr>
              <w:pStyle w:val="ListParagraph"/>
              <w:numPr>
                <w:ilvl w:val="0"/>
                <w:numId w:val="412"/>
              </w:numPr>
              <w:rPr>
                <w:rFonts w:cs="Arial"/>
                <w:iCs/>
              </w:rPr>
            </w:pPr>
            <w:r w:rsidRPr="00B226ED">
              <w:rPr>
                <w:rFonts w:cs="Arial"/>
                <w:iCs/>
              </w:rPr>
              <w:t>Adu</w:t>
            </w:r>
            <w:r w:rsidR="00A32F53" w:rsidRPr="00B226ED">
              <w:rPr>
                <w:rFonts w:cs="Arial"/>
                <w:iCs/>
              </w:rPr>
              <w:t>lt/Pediatric combined</w:t>
            </w:r>
          </w:p>
        </w:tc>
      </w:tr>
    </w:tbl>
    <w:p w14:paraId="0251554F" w14:textId="77777777" w:rsidR="00873915" w:rsidRDefault="00873915"/>
    <w:p w14:paraId="3EC097F2" w14:textId="3C2AF0E7" w:rsidR="0011263C" w:rsidRPr="008D0477" w:rsidRDefault="0052620A" w:rsidP="0011263C">
      <w:r>
        <w:rPr>
          <w:bCs/>
          <w:i/>
          <w:iCs/>
        </w:rPr>
        <w:t xml:space="preserve">If “Adult only” or “Adult/Pediatric combined” to question #3, </w:t>
      </w:r>
      <w:r w:rsidRPr="008D0477">
        <w:rPr>
          <w:bCs/>
          <w:i/>
          <w:iCs/>
        </w:rPr>
        <w:t xml:space="preserve">answer question #4 based on the </w:t>
      </w:r>
      <w:r w:rsidRPr="00BA2C0A">
        <w:rPr>
          <w:bCs/>
          <w:i/>
          <w:iCs/>
        </w:rPr>
        <w:t>patients</w:t>
      </w:r>
      <w:r w:rsidRPr="001718CF">
        <w:rPr>
          <w:bCs/>
          <w:i/>
          <w:iCs/>
        </w:rPr>
        <w:t xml:space="preserve"> </w:t>
      </w:r>
      <w:r w:rsidRPr="008D0477">
        <w:rPr>
          <w:bCs/>
          <w:i/>
          <w:iCs/>
        </w:rPr>
        <w:t xml:space="preserve">admitted to </w:t>
      </w:r>
      <w:r w:rsidR="00827C86">
        <w:rPr>
          <w:bCs/>
          <w:i/>
          <w:iCs/>
        </w:rPr>
        <w:t xml:space="preserve">adult </w:t>
      </w:r>
      <w:r w:rsidRPr="008D0477">
        <w:rPr>
          <w:bCs/>
          <w:i/>
          <w:iCs/>
        </w:rPr>
        <w:t>inpatient non-psychiatric and psychiatric beds</w:t>
      </w:r>
      <w:r w:rsidR="0011263C" w:rsidRPr="008D0477">
        <w:rPr>
          <w:bCs/>
          <w:i/>
          <w:iCs/>
        </w:rPr>
        <w:t xml:space="preserve"> (</w:t>
      </w:r>
      <w:r w:rsidR="00A037B2" w:rsidRPr="008D0477">
        <w:rPr>
          <w:bCs/>
          <w:i/>
          <w:iCs/>
        </w:rPr>
        <w:t xml:space="preserve">including </w:t>
      </w:r>
      <w:r w:rsidR="00A037B2" w:rsidRPr="008D0477">
        <w:rPr>
          <w:rFonts w:cs="Arial"/>
          <w:i/>
          <w:iCs/>
        </w:rPr>
        <w:t>ED visits where the patient was placed in</w:t>
      </w:r>
      <w:r w:rsidR="00A037B2" w:rsidRPr="008D0477">
        <w:rPr>
          <w:bCs/>
          <w:i/>
          <w:iCs/>
        </w:rPr>
        <w:t xml:space="preserve"> </w:t>
      </w:r>
      <w:r w:rsidR="0011263C" w:rsidRPr="008D0477">
        <w:rPr>
          <w:bCs/>
          <w:i/>
          <w:iCs/>
        </w:rPr>
        <w:t>hospital observation status).</w:t>
      </w:r>
    </w:p>
    <w:p w14:paraId="6BF56538" w14:textId="7D9207E3" w:rsidR="0052620A" w:rsidRPr="008D0477" w:rsidRDefault="0052620A" w:rsidP="0052620A"/>
    <w:p w14:paraId="119DC342" w14:textId="77777777" w:rsidR="0052620A" w:rsidRPr="008D0477" w:rsidRDefault="0052620A"/>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2"/>
        <w:gridCol w:w="1629"/>
        <w:gridCol w:w="1629"/>
        <w:gridCol w:w="1574"/>
        <w:gridCol w:w="1574"/>
        <w:gridCol w:w="1687"/>
      </w:tblGrid>
      <w:tr w:rsidR="005A2026" w:rsidRPr="008D0477" w14:paraId="5F2CDFE7" w14:textId="77777777" w:rsidTr="005A2026">
        <w:trPr>
          <w:trHeight w:val="1410"/>
        </w:trPr>
        <w:tc>
          <w:tcPr>
            <w:tcW w:w="10265" w:type="dxa"/>
            <w:gridSpan w:val="6"/>
          </w:tcPr>
          <w:bookmarkEnd w:id="505"/>
          <w:p w14:paraId="31D2AAD4" w14:textId="53744C76" w:rsidR="005A2026" w:rsidRPr="008D0477" w:rsidRDefault="00631BAA" w:rsidP="00AD309C">
            <w:pPr>
              <w:numPr>
                <w:ilvl w:val="0"/>
                <w:numId w:val="405"/>
              </w:numPr>
              <w:contextualSpacing/>
              <w:rPr>
                <w:rFonts w:cs="Arial"/>
                <w:i/>
                <w:snapToGrid w:val="0"/>
              </w:rPr>
            </w:pPr>
            <w:r>
              <w:rPr>
                <w:rFonts w:cs="Arial"/>
              </w:rPr>
              <w:lastRenderedPageBreak/>
              <w:t>E</w:t>
            </w:r>
            <w:r w:rsidR="005A2026" w:rsidRPr="008D0477">
              <w:rPr>
                <w:rFonts w:cs="Arial"/>
              </w:rPr>
              <w:t xml:space="preserve">nter your hospital’s total number of emergency department (ED) visits with an admission to an </w:t>
            </w:r>
            <w:r w:rsidR="00E3616F">
              <w:rPr>
                <w:rFonts w:cs="Arial"/>
              </w:rPr>
              <w:t xml:space="preserve">adult </w:t>
            </w:r>
            <w:r w:rsidR="005A2026" w:rsidRPr="008D0477">
              <w:rPr>
                <w:rFonts w:cs="Arial"/>
              </w:rPr>
              <w:t>inpatient non-psychiatric or psychiatric bed (</w:t>
            </w:r>
            <w:r w:rsidR="005A2026" w:rsidRPr="008D0477">
              <w:rPr>
                <w:bCs/>
              </w:rPr>
              <w:t xml:space="preserve">including </w:t>
            </w:r>
            <w:r w:rsidR="005A2026" w:rsidRPr="008D0477">
              <w:rPr>
                <w:rFonts w:cs="Arial"/>
              </w:rPr>
              <w:t>ED visits where the patient was placed in</w:t>
            </w:r>
            <w:r w:rsidR="005A2026" w:rsidRPr="008D0477">
              <w:rPr>
                <w:bCs/>
                <w:i/>
                <w:iCs/>
              </w:rPr>
              <w:t xml:space="preserve"> </w:t>
            </w:r>
            <w:r w:rsidR="005A2026" w:rsidRPr="008D0477">
              <w:rPr>
                <w:rFonts w:cs="Arial"/>
              </w:rPr>
              <w:t>hospital observation status)</w:t>
            </w:r>
            <w:r w:rsidR="009659EC">
              <w:rPr>
                <w:rFonts w:cs="Arial"/>
              </w:rPr>
              <w:t xml:space="preserve"> in column </w:t>
            </w:r>
            <w:r w:rsidR="00FA2040">
              <w:rPr>
                <w:rFonts w:cs="Arial"/>
              </w:rPr>
              <w:t>(</w:t>
            </w:r>
            <w:r w:rsidR="009659EC">
              <w:rPr>
                <w:rFonts w:cs="Arial"/>
              </w:rPr>
              <w:t>a</w:t>
            </w:r>
            <w:r w:rsidR="00FA2040">
              <w:rPr>
                <w:rFonts w:cs="Arial"/>
              </w:rPr>
              <w:t>)</w:t>
            </w:r>
            <w:r w:rsidR="005A2026" w:rsidRPr="008D0477">
              <w:rPr>
                <w:rFonts w:cs="Arial"/>
              </w:rPr>
              <w:t xml:space="preserve">, the number of those ED visits </w:t>
            </w:r>
            <w:r w:rsidR="00FA2040">
              <w:rPr>
                <w:rFonts w:cs="Arial"/>
              </w:rPr>
              <w:t xml:space="preserve">indicated in column (a) </w:t>
            </w:r>
            <w:r w:rsidR="005A2026" w:rsidRPr="008D0477">
              <w:rPr>
                <w:rFonts w:cs="Arial"/>
              </w:rPr>
              <w:t>with a boarding time greater than 4 hours,</w:t>
            </w:r>
            <w:r w:rsidR="005A2026">
              <w:rPr>
                <w:rFonts w:cs="Arial"/>
              </w:rPr>
              <w:t xml:space="preserve"> the total boarding time (</w:t>
            </w:r>
            <w:r w:rsidR="00BA73E2">
              <w:rPr>
                <w:rFonts w:cs="Arial"/>
              </w:rPr>
              <w:t xml:space="preserve">in </w:t>
            </w:r>
            <w:r w:rsidR="005A2026">
              <w:rPr>
                <w:rFonts w:cs="Arial"/>
              </w:rPr>
              <w:t xml:space="preserve">hours) for </w:t>
            </w:r>
            <w:r w:rsidR="00FA2040">
              <w:rPr>
                <w:rFonts w:cs="Arial"/>
              </w:rPr>
              <w:t>ED visits indicated in column (a)</w:t>
            </w:r>
            <w:r w:rsidR="005A2026">
              <w:rPr>
                <w:rFonts w:cs="Arial"/>
              </w:rPr>
              <w:t xml:space="preserve">, </w:t>
            </w:r>
            <w:r w:rsidR="005A2026" w:rsidRPr="008D0477">
              <w:rPr>
                <w:rFonts w:cs="Arial"/>
              </w:rPr>
              <w:t xml:space="preserve">the median number of hours spent in the ED </w:t>
            </w:r>
            <w:r w:rsidR="006F75E8">
              <w:rPr>
                <w:rFonts w:cs="Arial"/>
              </w:rPr>
              <w:t>for ED visits indicated in column (a)</w:t>
            </w:r>
            <w:r w:rsidR="005A2026" w:rsidRPr="008D0477">
              <w:rPr>
                <w:rFonts w:cs="Arial"/>
              </w:rPr>
              <w:t>, and the 90</w:t>
            </w:r>
            <w:r w:rsidR="005A2026" w:rsidRPr="008D0477">
              <w:rPr>
                <w:rFonts w:cs="Arial"/>
                <w:vertAlign w:val="superscript"/>
              </w:rPr>
              <w:t>th</w:t>
            </w:r>
            <w:r w:rsidR="005A2026" w:rsidRPr="008D0477">
              <w:rPr>
                <w:rFonts w:cs="Arial"/>
              </w:rPr>
              <w:t xml:space="preserve"> percentile of hours spent in the ED for </w:t>
            </w:r>
            <w:r w:rsidR="006F75E8">
              <w:rPr>
                <w:rFonts w:cs="Arial"/>
              </w:rPr>
              <w:t>ED visits indicated in column (a)</w:t>
            </w:r>
            <w:r w:rsidR="005A2026" w:rsidRPr="008D0477">
              <w:rPr>
                <w:rFonts w:cs="Arial"/>
              </w:rPr>
              <w:t>.</w:t>
            </w:r>
          </w:p>
          <w:p w14:paraId="6796A480" w14:textId="77777777" w:rsidR="005A2026" w:rsidRPr="008D0477" w:rsidRDefault="005A2026" w:rsidP="00AB5FC0">
            <w:pPr>
              <w:ind w:left="360"/>
              <w:contextualSpacing/>
              <w:rPr>
                <w:rFonts w:cs="Arial"/>
                <w:i/>
                <w:snapToGrid w:val="0"/>
              </w:rPr>
            </w:pPr>
          </w:p>
          <w:p w14:paraId="5A6B6D97" w14:textId="04C2A105" w:rsidR="005A2026" w:rsidRPr="008D0477" w:rsidRDefault="005A2026" w:rsidP="00F843FE">
            <w:pPr>
              <w:ind w:left="360"/>
              <w:contextualSpacing/>
              <w:rPr>
                <w:rFonts w:cs="Arial"/>
                <w:i/>
                <w:snapToGrid w:val="0"/>
              </w:rPr>
            </w:pPr>
            <w:r w:rsidRPr="008D0477">
              <w:rPr>
                <w:rFonts w:cs="Arial"/>
                <w:i/>
                <w:snapToGrid w:val="0"/>
              </w:rPr>
              <w:t xml:space="preserve">If the number of visits for an adult admission type is less than 10 (in column a), skip columns b, c, </w:t>
            </w:r>
            <w:r>
              <w:rPr>
                <w:rFonts w:cs="Arial"/>
                <w:i/>
                <w:snapToGrid w:val="0"/>
              </w:rPr>
              <w:t xml:space="preserve">d, </w:t>
            </w:r>
            <w:r w:rsidRPr="008D0477">
              <w:rPr>
                <w:rFonts w:cs="Arial"/>
                <w:i/>
                <w:snapToGrid w:val="0"/>
              </w:rPr>
              <w:t xml:space="preserve">and </w:t>
            </w:r>
            <w:r>
              <w:rPr>
                <w:rFonts w:cs="Arial"/>
                <w:i/>
                <w:snapToGrid w:val="0"/>
              </w:rPr>
              <w:t>e</w:t>
            </w:r>
            <w:r w:rsidRPr="008D0477">
              <w:rPr>
                <w:rFonts w:cs="Arial"/>
                <w:i/>
                <w:snapToGrid w:val="0"/>
              </w:rPr>
              <w:t xml:space="preserve"> and then move to the next admission type. </w:t>
            </w:r>
          </w:p>
          <w:p w14:paraId="4ED586C9" w14:textId="77777777" w:rsidR="005A2026" w:rsidRPr="008D0477" w:rsidRDefault="005A2026" w:rsidP="00F843FE">
            <w:pPr>
              <w:ind w:left="360"/>
              <w:contextualSpacing/>
              <w:rPr>
                <w:rFonts w:cs="Arial"/>
                <w:i/>
                <w:snapToGrid w:val="0"/>
              </w:rPr>
            </w:pPr>
          </w:p>
          <w:p w14:paraId="76BB74E5" w14:textId="39A7EC8C" w:rsidR="005A2026" w:rsidRPr="008D0477" w:rsidRDefault="005A2026" w:rsidP="00F843FE">
            <w:pPr>
              <w:ind w:left="360"/>
              <w:contextualSpacing/>
              <w:rPr>
                <w:rFonts w:cs="Arial"/>
                <w:i/>
                <w:snapToGrid w:val="0"/>
              </w:rPr>
            </w:pPr>
            <w:r w:rsidRPr="008D0477">
              <w:rPr>
                <w:rFonts w:cs="Arial"/>
                <w:i/>
                <w:snapToGrid w:val="0"/>
              </w:rPr>
              <w:t>For columns c</w:t>
            </w:r>
            <w:r>
              <w:rPr>
                <w:rFonts w:cs="Arial"/>
                <w:i/>
                <w:snapToGrid w:val="0"/>
              </w:rPr>
              <w:t>,</w:t>
            </w:r>
            <w:r w:rsidRPr="008D0477">
              <w:rPr>
                <w:rFonts w:cs="Arial"/>
                <w:i/>
                <w:snapToGrid w:val="0"/>
              </w:rPr>
              <w:t xml:space="preserve"> </w:t>
            </w:r>
            <w:r>
              <w:rPr>
                <w:rFonts w:cs="Arial"/>
                <w:i/>
                <w:snapToGrid w:val="0"/>
              </w:rPr>
              <w:t xml:space="preserve">d, </w:t>
            </w:r>
            <w:r w:rsidRPr="008D0477">
              <w:rPr>
                <w:rFonts w:cs="Arial"/>
                <w:i/>
                <w:snapToGrid w:val="0"/>
              </w:rPr>
              <w:t xml:space="preserve">and </w:t>
            </w:r>
            <w:r>
              <w:rPr>
                <w:rFonts w:cs="Arial"/>
                <w:i/>
                <w:snapToGrid w:val="0"/>
              </w:rPr>
              <w:t>e</w:t>
            </w:r>
            <w:r w:rsidRPr="008D0477">
              <w:rPr>
                <w:rFonts w:cs="Arial"/>
                <w:i/>
                <w:snapToGrid w:val="0"/>
              </w:rPr>
              <w:t>, enter hours and minutes up to one decimal place (e.g., enter 1.5 to denote 1 hour and 30 minutes).</w:t>
            </w:r>
          </w:p>
          <w:p w14:paraId="44E34DCF" w14:textId="5E12AACD" w:rsidR="005A2026" w:rsidRPr="008D0477" w:rsidRDefault="005A2026" w:rsidP="00F843FE">
            <w:pPr>
              <w:ind w:left="360"/>
              <w:contextualSpacing/>
              <w:rPr>
                <w:rFonts w:cs="Arial"/>
                <w:i/>
                <w:snapToGrid w:val="0"/>
              </w:rPr>
            </w:pPr>
          </w:p>
        </w:tc>
      </w:tr>
      <w:tr w:rsidR="005A2026" w:rsidRPr="008D0477" w14:paraId="1D602917" w14:textId="77777777" w:rsidTr="00786FF3">
        <w:trPr>
          <w:trHeight w:val="223"/>
        </w:trPr>
        <w:tc>
          <w:tcPr>
            <w:tcW w:w="2172" w:type="dxa"/>
            <w:vMerge w:val="restart"/>
            <w:vAlign w:val="center"/>
          </w:tcPr>
          <w:p w14:paraId="57969BB9" w14:textId="2D0DEDA9" w:rsidR="005A2026" w:rsidRPr="008D0477" w:rsidRDefault="005A2026" w:rsidP="00B32532">
            <w:pPr>
              <w:contextualSpacing/>
              <w:rPr>
                <w:rFonts w:cs="Arial"/>
                <w:b/>
              </w:rPr>
            </w:pPr>
            <w:bookmarkStart w:id="507" w:name="_Hlk190864625"/>
            <w:r w:rsidRPr="008D0477">
              <w:rPr>
                <w:rFonts w:cs="Arial"/>
                <w:b/>
              </w:rPr>
              <w:t>Admission Type</w:t>
            </w:r>
          </w:p>
        </w:tc>
        <w:tc>
          <w:tcPr>
            <w:tcW w:w="8092" w:type="dxa"/>
            <w:gridSpan w:val="5"/>
            <w:shd w:val="clear" w:color="auto" w:fill="D9D9D9" w:themeFill="background1" w:themeFillShade="D9"/>
          </w:tcPr>
          <w:p w14:paraId="47E0FD3F" w14:textId="5499D3F9" w:rsidR="005A2026" w:rsidRPr="008D0477" w:rsidRDefault="005A2026">
            <w:pPr>
              <w:ind w:left="360"/>
              <w:contextualSpacing/>
              <w:jc w:val="center"/>
              <w:rPr>
                <w:rFonts w:cs="Arial"/>
                <w:b/>
              </w:rPr>
            </w:pPr>
            <w:r w:rsidRPr="008D0477">
              <w:rPr>
                <w:rFonts w:cs="Arial"/>
                <w:b/>
              </w:rPr>
              <w:t>ED Visits, Boarding Time, and Time Spent in the ED</w:t>
            </w:r>
          </w:p>
        </w:tc>
      </w:tr>
      <w:tr w:rsidR="005A2026" w:rsidRPr="008D0477" w14:paraId="219C81C4" w14:textId="77777777" w:rsidTr="003D7FDF">
        <w:trPr>
          <w:trHeight w:val="141"/>
        </w:trPr>
        <w:tc>
          <w:tcPr>
            <w:tcW w:w="2172" w:type="dxa"/>
            <w:vMerge/>
            <w:vAlign w:val="center"/>
          </w:tcPr>
          <w:p w14:paraId="0D150A9C" w14:textId="77777777" w:rsidR="005A2026" w:rsidRPr="008D0477" w:rsidRDefault="005A2026">
            <w:pPr>
              <w:ind w:left="360"/>
              <w:contextualSpacing/>
              <w:rPr>
                <w:rFonts w:cs="Arial"/>
                <w:b/>
              </w:rPr>
            </w:pPr>
          </w:p>
        </w:tc>
        <w:tc>
          <w:tcPr>
            <w:tcW w:w="1629" w:type="dxa"/>
            <w:vAlign w:val="center"/>
          </w:tcPr>
          <w:p w14:paraId="7B44BF6F" w14:textId="77777777" w:rsidR="005A2026" w:rsidRPr="008D0477" w:rsidRDefault="005A2026">
            <w:pPr>
              <w:contextualSpacing/>
              <w:rPr>
                <w:rFonts w:cs="Arial"/>
                <w:b/>
              </w:rPr>
            </w:pPr>
            <w:r w:rsidRPr="008D0477">
              <w:rPr>
                <w:rFonts w:cs="Arial"/>
                <w:b/>
              </w:rPr>
              <w:t>(a)</w:t>
            </w:r>
          </w:p>
          <w:p w14:paraId="17711171" w14:textId="4C34AB8D" w:rsidR="005A2026" w:rsidRPr="008D0477" w:rsidRDefault="005A2026">
            <w:pPr>
              <w:contextualSpacing/>
              <w:rPr>
                <w:rFonts w:cs="Arial"/>
                <w:b/>
              </w:rPr>
            </w:pPr>
            <w:r w:rsidRPr="008D0477">
              <w:rPr>
                <w:rFonts w:cs="Arial"/>
                <w:b/>
              </w:rPr>
              <w:t xml:space="preserve">Total number of ED </w:t>
            </w:r>
            <w:r w:rsidRPr="008D0477">
              <w:rPr>
                <w:rFonts w:cs="Arial"/>
                <w:b/>
                <w:u w:val="single"/>
              </w:rPr>
              <w:t>visits</w:t>
            </w:r>
            <w:r w:rsidRPr="008D0477">
              <w:rPr>
                <w:rFonts w:cs="Arial"/>
                <w:b/>
              </w:rPr>
              <w:t xml:space="preserve"> with an inpatient admission or </w:t>
            </w:r>
            <w:r w:rsidRPr="008D0477">
              <w:rPr>
                <w:rFonts w:cs="Arial"/>
                <w:b/>
                <w:bCs/>
              </w:rPr>
              <w:t>where the patient was placed in</w:t>
            </w:r>
            <w:r w:rsidRPr="008D0477">
              <w:rPr>
                <w:bCs/>
                <w:i/>
                <w:iCs/>
              </w:rPr>
              <w:t xml:space="preserve"> </w:t>
            </w:r>
            <w:r w:rsidRPr="008D0477">
              <w:rPr>
                <w:rFonts w:cs="Arial"/>
                <w:b/>
              </w:rPr>
              <w:t>hospital observation status</w:t>
            </w:r>
          </w:p>
        </w:tc>
        <w:tc>
          <w:tcPr>
            <w:tcW w:w="1629" w:type="dxa"/>
          </w:tcPr>
          <w:p w14:paraId="67B6E94D" w14:textId="49EFBFD3" w:rsidR="005A2026" w:rsidRPr="008D0477" w:rsidRDefault="005A2026" w:rsidP="00AB4CC0">
            <w:pPr>
              <w:contextualSpacing/>
              <w:rPr>
                <w:rFonts w:cs="Arial"/>
                <w:b/>
              </w:rPr>
            </w:pPr>
            <w:r w:rsidRPr="008D0477">
              <w:rPr>
                <w:rFonts w:cs="Arial"/>
                <w:b/>
              </w:rPr>
              <w:t>(b)</w:t>
            </w:r>
          </w:p>
          <w:p w14:paraId="6F211339" w14:textId="77777777" w:rsidR="005A2026" w:rsidRPr="008D0477" w:rsidRDefault="005A2026" w:rsidP="00AB4CC0">
            <w:pPr>
              <w:contextualSpacing/>
              <w:rPr>
                <w:rFonts w:cs="Arial"/>
                <w:b/>
              </w:rPr>
            </w:pPr>
            <w:r w:rsidRPr="008D0477">
              <w:rPr>
                <w:rFonts w:cs="Arial"/>
                <w:b/>
              </w:rPr>
              <w:t xml:space="preserve">Number of ED </w:t>
            </w:r>
            <w:r w:rsidRPr="008D0477">
              <w:rPr>
                <w:rFonts w:cs="Arial"/>
                <w:b/>
                <w:u w:val="single"/>
              </w:rPr>
              <w:t>visits</w:t>
            </w:r>
            <w:r w:rsidRPr="008D0477">
              <w:rPr>
                <w:rFonts w:cs="Arial"/>
                <w:b/>
              </w:rPr>
              <w:t xml:space="preserve"> indicated in column (a) with a boarding time greater than 4 hours</w:t>
            </w:r>
          </w:p>
        </w:tc>
        <w:tc>
          <w:tcPr>
            <w:tcW w:w="1574" w:type="dxa"/>
          </w:tcPr>
          <w:p w14:paraId="70270081" w14:textId="6246E648" w:rsidR="00226A35" w:rsidRPr="00AE0D23" w:rsidRDefault="00226A35" w:rsidP="00AB4CC0">
            <w:pPr>
              <w:contextualSpacing/>
              <w:rPr>
                <w:rFonts w:cs="Arial"/>
                <w:b/>
              </w:rPr>
            </w:pPr>
            <w:r w:rsidRPr="00AE0D23">
              <w:rPr>
                <w:rFonts w:cs="Arial"/>
                <w:b/>
              </w:rPr>
              <w:t xml:space="preserve">(c) </w:t>
            </w:r>
          </w:p>
          <w:p w14:paraId="169570FB" w14:textId="6F1DD34B" w:rsidR="005A2026" w:rsidRPr="008D0477" w:rsidRDefault="00226A35" w:rsidP="00AB4CC0">
            <w:pPr>
              <w:contextualSpacing/>
              <w:rPr>
                <w:rFonts w:cs="Arial"/>
                <w:b/>
              </w:rPr>
            </w:pPr>
            <w:r w:rsidRPr="00AE0D23">
              <w:rPr>
                <w:rFonts w:cs="Arial"/>
                <w:b/>
              </w:rPr>
              <w:t xml:space="preserve">Total </w:t>
            </w:r>
            <w:r w:rsidR="0030507E">
              <w:rPr>
                <w:rFonts w:cs="Arial"/>
                <w:b/>
              </w:rPr>
              <w:t>b</w:t>
            </w:r>
            <w:r w:rsidRPr="00AE0D23">
              <w:rPr>
                <w:rFonts w:cs="Arial"/>
                <w:b/>
              </w:rPr>
              <w:t xml:space="preserve">oarding </w:t>
            </w:r>
            <w:r w:rsidR="00960CA5">
              <w:rPr>
                <w:rFonts w:cs="Arial"/>
                <w:b/>
              </w:rPr>
              <w:t>t</w:t>
            </w:r>
            <w:r w:rsidRPr="00AE0D23">
              <w:rPr>
                <w:rFonts w:cs="Arial"/>
                <w:b/>
              </w:rPr>
              <w:t>ime (</w:t>
            </w:r>
            <w:r w:rsidR="001B2535">
              <w:rPr>
                <w:rFonts w:cs="Arial"/>
                <w:b/>
              </w:rPr>
              <w:t xml:space="preserve">in </w:t>
            </w:r>
            <w:r w:rsidRPr="00AE0D23">
              <w:rPr>
                <w:rFonts w:cs="Arial"/>
                <w:b/>
              </w:rPr>
              <w:t>hours) for ED visits indicated in column (a)</w:t>
            </w:r>
          </w:p>
        </w:tc>
        <w:tc>
          <w:tcPr>
            <w:tcW w:w="1574" w:type="dxa"/>
          </w:tcPr>
          <w:p w14:paraId="62EB7342" w14:textId="0EFB3373" w:rsidR="005A2026" w:rsidRPr="008D0477" w:rsidRDefault="005A2026" w:rsidP="00AB4CC0">
            <w:pPr>
              <w:contextualSpacing/>
              <w:rPr>
                <w:rFonts w:cs="Arial"/>
                <w:b/>
              </w:rPr>
            </w:pPr>
            <w:r w:rsidRPr="008D0477">
              <w:rPr>
                <w:rFonts w:cs="Arial"/>
                <w:b/>
              </w:rPr>
              <w:t>(</w:t>
            </w:r>
            <w:r w:rsidR="00226A35">
              <w:rPr>
                <w:rFonts w:cs="Arial"/>
                <w:b/>
              </w:rPr>
              <w:t>d</w:t>
            </w:r>
            <w:r w:rsidRPr="008D0477">
              <w:rPr>
                <w:rFonts w:cs="Arial"/>
                <w:b/>
              </w:rPr>
              <w:t xml:space="preserve">) </w:t>
            </w:r>
          </w:p>
          <w:p w14:paraId="7DB1870F" w14:textId="77777777" w:rsidR="005A2026" w:rsidRPr="008D0477" w:rsidRDefault="005A2026" w:rsidP="00AB4CC0">
            <w:pPr>
              <w:contextualSpacing/>
              <w:rPr>
                <w:rFonts w:cs="Arial"/>
                <w:b/>
              </w:rPr>
            </w:pPr>
            <w:r w:rsidRPr="008D0477">
              <w:rPr>
                <w:rFonts w:cs="Arial"/>
                <w:b/>
              </w:rPr>
              <w:t xml:space="preserve">Median number of </w:t>
            </w:r>
            <w:r w:rsidRPr="008D0477">
              <w:rPr>
                <w:rFonts w:cs="Arial"/>
                <w:b/>
                <w:u w:val="single"/>
              </w:rPr>
              <w:t>hours</w:t>
            </w:r>
            <w:r w:rsidRPr="008D0477">
              <w:rPr>
                <w:rFonts w:cs="Arial"/>
                <w:b/>
              </w:rPr>
              <w:t xml:space="preserve"> spent in the ED for ED visits indicated in column (a)</w:t>
            </w:r>
          </w:p>
        </w:tc>
        <w:tc>
          <w:tcPr>
            <w:tcW w:w="1684" w:type="dxa"/>
          </w:tcPr>
          <w:p w14:paraId="1E9753B8" w14:textId="55F18CA8" w:rsidR="005A2026" w:rsidRPr="008D0477" w:rsidRDefault="005A2026" w:rsidP="00AB4CC0">
            <w:pPr>
              <w:contextualSpacing/>
              <w:rPr>
                <w:rFonts w:cs="Arial"/>
                <w:b/>
              </w:rPr>
            </w:pPr>
            <w:r w:rsidRPr="008D0477">
              <w:rPr>
                <w:rFonts w:cs="Arial"/>
                <w:b/>
              </w:rPr>
              <w:t>(</w:t>
            </w:r>
            <w:r w:rsidR="00226A35">
              <w:rPr>
                <w:rFonts w:cs="Arial"/>
                <w:b/>
              </w:rPr>
              <w:t>e</w:t>
            </w:r>
            <w:r w:rsidRPr="008D0477">
              <w:rPr>
                <w:rFonts w:cs="Arial"/>
                <w:b/>
              </w:rPr>
              <w:t xml:space="preserve">) </w:t>
            </w:r>
          </w:p>
          <w:p w14:paraId="2E738AB1" w14:textId="77777777" w:rsidR="005A2026" w:rsidRPr="008D0477" w:rsidRDefault="005A2026" w:rsidP="00AB4CC0">
            <w:pPr>
              <w:contextualSpacing/>
              <w:rPr>
                <w:rFonts w:cs="Arial"/>
                <w:b/>
              </w:rPr>
            </w:pPr>
            <w:r w:rsidRPr="008D0477">
              <w:rPr>
                <w:rFonts w:cs="Arial"/>
                <w:b/>
              </w:rPr>
              <w:t>90</w:t>
            </w:r>
            <w:r w:rsidRPr="008D0477">
              <w:rPr>
                <w:rFonts w:cs="Arial"/>
                <w:b/>
                <w:vertAlign w:val="superscript"/>
              </w:rPr>
              <w:t>th</w:t>
            </w:r>
            <w:r w:rsidRPr="008D0477">
              <w:rPr>
                <w:rFonts w:cs="Arial"/>
                <w:b/>
              </w:rPr>
              <w:t xml:space="preserve"> percentile of </w:t>
            </w:r>
            <w:r w:rsidRPr="008D0477">
              <w:rPr>
                <w:rFonts w:cs="Arial"/>
                <w:b/>
                <w:u w:val="single"/>
              </w:rPr>
              <w:t>hours</w:t>
            </w:r>
            <w:r w:rsidRPr="008D0477">
              <w:rPr>
                <w:rFonts w:cs="Arial"/>
                <w:b/>
              </w:rPr>
              <w:t xml:space="preserve"> spent in the ED for ED visits indicated in column (a)</w:t>
            </w:r>
          </w:p>
        </w:tc>
      </w:tr>
      <w:tr w:rsidR="005A2026" w:rsidRPr="008D0477" w14:paraId="716BA6E0" w14:textId="77777777" w:rsidTr="003D7FDF">
        <w:trPr>
          <w:trHeight w:val="670"/>
        </w:trPr>
        <w:tc>
          <w:tcPr>
            <w:tcW w:w="2172" w:type="dxa"/>
          </w:tcPr>
          <w:p w14:paraId="0C2B1166" w14:textId="6094589A" w:rsidR="005A2026" w:rsidRPr="008D0477" w:rsidRDefault="005A2026">
            <w:pPr>
              <w:rPr>
                <w:rFonts w:cs="Arial"/>
              </w:rPr>
            </w:pPr>
            <w:r w:rsidRPr="008D0477">
              <w:rPr>
                <w:rFonts w:cs="Arial"/>
              </w:rPr>
              <w:t xml:space="preserve">Admitted to an </w:t>
            </w:r>
            <w:r>
              <w:rPr>
                <w:rFonts w:cs="Arial"/>
              </w:rPr>
              <w:t xml:space="preserve">adult </w:t>
            </w:r>
            <w:r w:rsidRPr="008D0477">
              <w:rPr>
                <w:rFonts w:cs="Arial"/>
              </w:rPr>
              <w:t xml:space="preserve">inpatient </w:t>
            </w:r>
            <w:r w:rsidRPr="008D0477">
              <w:rPr>
                <w:rFonts w:cs="Arial"/>
                <w:b/>
                <w:bCs/>
              </w:rPr>
              <w:t>non-psychiatric bed</w:t>
            </w:r>
          </w:p>
        </w:tc>
        <w:tc>
          <w:tcPr>
            <w:tcW w:w="1629" w:type="dxa"/>
            <w:vAlign w:val="center"/>
          </w:tcPr>
          <w:p w14:paraId="6B473DAF" w14:textId="77777777" w:rsidR="005A2026" w:rsidRPr="008D0477" w:rsidRDefault="005A2026">
            <w:pPr>
              <w:ind w:left="360"/>
              <w:contextualSpacing/>
              <w:rPr>
                <w:rFonts w:cs="Arial"/>
                <w:b/>
              </w:rPr>
            </w:pPr>
          </w:p>
        </w:tc>
        <w:tc>
          <w:tcPr>
            <w:tcW w:w="1629" w:type="dxa"/>
            <w:vAlign w:val="center"/>
          </w:tcPr>
          <w:p w14:paraId="2716554B" w14:textId="77777777" w:rsidR="005A2026" w:rsidRPr="008D0477" w:rsidRDefault="005A2026">
            <w:pPr>
              <w:ind w:left="360"/>
              <w:contextualSpacing/>
              <w:rPr>
                <w:rFonts w:cs="Arial"/>
                <w:b/>
              </w:rPr>
            </w:pPr>
          </w:p>
        </w:tc>
        <w:tc>
          <w:tcPr>
            <w:tcW w:w="1574" w:type="dxa"/>
          </w:tcPr>
          <w:p w14:paraId="6BDC7B49" w14:textId="77777777" w:rsidR="005A2026" w:rsidRPr="008D0477" w:rsidRDefault="005A2026">
            <w:pPr>
              <w:ind w:left="360"/>
              <w:contextualSpacing/>
              <w:rPr>
                <w:rFonts w:cs="Arial"/>
                <w:b/>
              </w:rPr>
            </w:pPr>
          </w:p>
        </w:tc>
        <w:tc>
          <w:tcPr>
            <w:tcW w:w="1574" w:type="dxa"/>
            <w:vAlign w:val="center"/>
          </w:tcPr>
          <w:p w14:paraId="1ED2D552" w14:textId="31FDACD7" w:rsidR="005A2026" w:rsidRPr="008D0477" w:rsidRDefault="005A2026">
            <w:pPr>
              <w:ind w:left="360"/>
              <w:contextualSpacing/>
              <w:rPr>
                <w:rFonts w:cs="Arial"/>
                <w:b/>
              </w:rPr>
            </w:pPr>
          </w:p>
        </w:tc>
        <w:tc>
          <w:tcPr>
            <w:tcW w:w="1684" w:type="dxa"/>
            <w:vAlign w:val="center"/>
          </w:tcPr>
          <w:p w14:paraId="194E71AD" w14:textId="77777777" w:rsidR="005A2026" w:rsidRPr="008D0477" w:rsidRDefault="005A2026">
            <w:pPr>
              <w:ind w:left="360"/>
              <w:contextualSpacing/>
              <w:rPr>
                <w:rFonts w:cs="Arial"/>
                <w:b/>
              </w:rPr>
            </w:pPr>
          </w:p>
        </w:tc>
      </w:tr>
      <w:tr w:rsidR="005A2026" w:rsidRPr="008D0477" w14:paraId="1350D812" w14:textId="77777777" w:rsidTr="003D7FDF">
        <w:trPr>
          <w:trHeight w:val="492"/>
        </w:trPr>
        <w:tc>
          <w:tcPr>
            <w:tcW w:w="2172" w:type="dxa"/>
          </w:tcPr>
          <w:p w14:paraId="49EDE5F2" w14:textId="7DA18955" w:rsidR="005A2026" w:rsidRPr="008D0477" w:rsidRDefault="005A2026">
            <w:pPr>
              <w:rPr>
                <w:rFonts w:cs="Arial"/>
                <w:b/>
                <w:bCs/>
              </w:rPr>
            </w:pPr>
            <w:r w:rsidRPr="008D0477">
              <w:rPr>
                <w:rFonts w:cs="Arial"/>
              </w:rPr>
              <w:t xml:space="preserve">Admitted to an </w:t>
            </w:r>
            <w:r>
              <w:rPr>
                <w:rFonts w:cs="Arial"/>
              </w:rPr>
              <w:t xml:space="preserve">adult </w:t>
            </w:r>
            <w:r w:rsidRPr="008D0477">
              <w:rPr>
                <w:rFonts w:cs="Arial"/>
              </w:rPr>
              <w:t xml:space="preserve">inpatient </w:t>
            </w:r>
            <w:r w:rsidRPr="008D0477">
              <w:rPr>
                <w:rFonts w:cs="Arial"/>
                <w:b/>
                <w:bCs/>
              </w:rPr>
              <w:t>psychiatric bed</w:t>
            </w:r>
          </w:p>
        </w:tc>
        <w:tc>
          <w:tcPr>
            <w:tcW w:w="1629" w:type="dxa"/>
            <w:vAlign w:val="center"/>
          </w:tcPr>
          <w:p w14:paraId="469B5772" w14:textId="77777777" w:rsidR="005A2026" w:rsidRPr="008D0477" w:rsidRDefault="005A2026">
            <w:pPr>
              <w:ind w:left="360"/>
              <w:contextualSpacing/>
              <w:rPr>
                <w:rFonts w:cs="Arial"/>
                <w:b/>
              </w:rPr>
            </w:pPr>
          </w:p>
        </w:tc>
        <w:tc>
          <w:tcPr>
            <w:tcW w:w="1629" w:type="dxa"/>
            <w:vAlign w:val="center"/>
          </w:tcPr>
          <w:p w14:paraId="507684C8" w14:textId="77777777" w:rsidR="005A2026" w:rsidRPr="008D0477" w:rsidRDefault="005A2026">
            <w:pPr>
              <w:ind w:left="360"/>
              <w:contextualSpacing/>
              <w:rPr>
                <w:rFonts w:cs="Arial"/>
                <w:b/>
              </w:rPr>
            </w:pPr>
          </w:p>
        </w:tc>
        <w:tc>
          <w:tcPr>
            <w:tcW w:w="1574" w:type="dxa"/>
          </w:tcPr>
          <w:p w14:paraId="4F957E47" w14:textId="77777777" w:rsidR="005A2026" w:rsidRPr="008D0477" w:rsidRDefault="005A2026">
            <w:pPr>
              <w:ind w:left="360"/>
              <w:contextualSpacing/>
              <w:rPr>
                <w:rFonts w:cs="Arial"/>
                <w:b/>
              </w:rPr>
            </w:pPr>
          </w:p>
        </w:tc>
        <w:tc>
          <w:tcPr>
            <w:tcW w:w="1574" w:type="dxa"/>
            <w:vAlign w:val="center"/>
          </w:tcPr>
          <w:p w14:paraId="6DD0DAB9" w14:textId="619FEEB5" w:rsidR="005A2026" w:rsidRPr="008D0477" w:rsidRDefault="005A2026">
            <w:pPr>
              <w:ind w:left="360"/>
              <w:contextualSpacing/>
              <w:rPr>
                <w:rFonts w:cs="Arial"/>
                <w:b/>
              </w:rPr>
            </w:pPr>
          </w:p>
        </w:tc>
        <w:tc>
          <w:tcPr>
            <w:tcW w:w="1684" w:type="dxa"/>
            <w:vAlign w:val="center"/>
          </w:tcPr>
          <w:p w14:paraId="0063E4E5" w14:textId="77777777" w:rsidR="005A2026" w:rsidRPr="008D0477" w:rsidRDefault="005A2026">
            <w:pPr>
              <w:ind w:left="360"/>
              <w:contextualSpacing/>
              <w:rPr>
                <w:rFonts w:cs="Arial"/>
                <w:b/>
              </w:rPr>
            </w:pPr>
          </w:p>
        </w:tc>
      </w:tr>
      <w:bookmarkEnd w:id="507"/>
    </w:tbl>
    <w:p w14:paraId="068F0B40" w14:textId="77777777" w:rsidR="00CA7E7D" w:rsidRPr="008D0477" w:rsidRDefault="00CA7E7D">
      <w:pPr>
        <w:rPr>
          <w:b/>
          <w:snapToGrid w:val="0"/>
          <w:color w:val="000000"/>
        </w:rPr>
      </w:pPr>
    </w:p>
    <w:p w14:paraId="64490DA1" w14:textId="4F74A63C" w:rsidR="000C5F0A" w:rsidRPr="008D0477" w:rsidRDefault="000C5F0A" w:rsidP="000C5F0A">
      <w:r w:rsidRPr="008D0477">
        <w:rPr>
          <w:bCs/>
          <w:i/>
          <w:iCs/>
        </w:rPr>
        <w:t xml:space="preserve">If “Pediatric only” or “Adult/Pediatric combined” to question #3, answer question #5 based on the </w:t>
      </w:r>
      <w:r w:rsidRPr="002A52C4">
        <w:rPr>
          <w:bCs/>
          <w:i/>
          <w:iCs/>
        </w:rPr>
        <w:t>patients</w:t>
      </w:r>
      <w:r w:rsidRPr="001718CF">
        <w:rPr>
          <w:bCs/>
          <w:i/>
          <w:iCs/>
        </w:rPr>
        <w:t xml:space="preserve"> </w:t>
      </w:r>
      <w:r w:rsidRPr="008D0477">
        <w:rPr>
          <w:bCs/>
          <w:i/>
          <w:iCs/>
        </w:rPr>
        <w:t>admitted to</w:t>
      </w:r>
      <w:r w:rsidR="00EE715A">
        <w:rPr>
          <w:bCs/>
          <w:i/>
          <w:iCs/>
        </w:rPr>
        <w:t xml:space="preserve"> pediatric</w:t>
      </w:r>
      <w:r w:rsidRPr="008D0477">
        <w:rPr>
          <w:bCs/>
          <w:i/>
          <w:iCs/>
        </w:rPr>
        <w:t xml:space="preserve"> inpatient non-psychiatric and psychiatric beds</w:t>
      </w:r>
      <w:r w:rsidR="00602AD9" w:rsidRPr="008D0477">
        <w:rPr>
          <w:bCs/>
          <w:i/>
          <w:iCs/>
        </w:rPr>
        <w:t xml:space="preserve"> (</w:t>
      </w:r>
      <w:r w:rsidR="00FF3D38" w:rsidRPr="008D0477">
        <w:rPr>
          <w:bCs/>
          <w:i/>
          <w:iCs/>
        </w:rPr>
        <w:t xml:space="preserve">including </w:t>
      </w:r>
      <w:r w:rsidR="00FF3D38" w:rsidRPr="008D0477">
        <w:rPr>
          <w:rFonts w:cs="Arial"/>
          <w:i/>
          <w:iCs/>
        </w:rPr>
        <w:t>ED visits where the patient was placed in</w:t>
      </w:r>
      <w:r w:rsidR="00FF3D38" w:rsidRPr="008D0477">
        <w:rPr>
          <w:bCs/>
          <w:i/>
          <w:iCs/>
        </w:rPr>
        <w:t xml:space="preserve"> </w:t>
      </w:r>
      <w:r w:rsidR="00602AD9" w:rsidRPr="008D0477">
        <w:rPr>
          <w:bCs/>
          <w:i/>
          <w:iCs/>
        </w:rPr>
        <w:t>hospital observation status).</w:t>
      </w:r>
    </w:p>
    <w:p w14:paraId="01F0CAD3" w14:textId="77777777" w:rsidR="005E0132" w:rsidRPr="008D0477" w:rsidRDefault="005E0132">
      <w:pPr>
        <w:rPr>
          <w:b/>
          <w:snapToGrid w:val="0"/>
          <w:color w:val="000000"/>
        </w:rPr>
      </w:pP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6"/>
        <w:gridCol w:w="1631"/>
        <w:gridCol w:w="1631"/>
        <w:gridCol w:w="1576"/>
        <w:gridCol w:w="1576"/>
        <w:gridCol w:w="1687"/>
        <w:gridCol w:w="8"/>
      </w:tblGrid>
      <w:tr w:rsidR="00DD3734" w:rsidRPr="008D0477" w14:paraId="2C85E42D" w14:textId="77777777" w:rsidTr="00DD3734">
        <w:trPr>
          <w:trHeight w:val="1459"/>
        </w:trPr>
        <w:tc>
          <w:tcPr>
            <w:tcW w:w="10285" w:type="dxa"/>
            <w:gridSpan w:val="7"/>
          </w:tcPr>
          <w:p w14:paraId="0DA1AF90" w14:textId="47D367ED" w:rsidR="00DD3734" w:rsidRPr="008D0477" w:rsidRDefault="00CA6006" w:rsidP="00AD309C">
            <w:pPr>
              <w:numPr>
                <w:ilvl w:val="0"/>
                <w:numId w:val="405"/>
              </w:numPr>
              <w:contextualSpacing/>
              <w:rPr>
                <w:rFonts w:cs="Arial"/>
                <w:i/>
                <w:snapToGrid w:val="0"/>
              </w:rPr>
            </w:pPr>
            <w:r>
              <w:rPr>
                <w:rFonts w:cs="Arial"/>
              </w:rPr>
              <w:t>E</w:t>
            </w:r>
            <w:r w:rsidR="00DD3734" w:rsidRPr="008D0477">
              <w:rPr>
                <w:rFonts w:cs="Arial"/>
              </w:rPr>
              <w:t>nter your hospital’s total number of emergency department (ED) visits with an admission to a</w:t>
            </w:r>
            <w:r w:rsidR="00BD6B50">
              <w:rPr>
                <w:rFonts w:cs="Arial"/>
              </w:rPr>
              <w:t xml:space="preserve"> pediatric </w:t>
            </w:r>
            <w:r w:rsidR="00DD3734" w:rsidRPr="008D0477">
              <w:rPr>
                <w:rFonts w:cs="Arial"/>
              </w:rPr>
              <w:t>inpatient non-psychiatric or psychiatric bed (</w:t>
            </w:r>
            <w:r w:rsidR="00DD3734" w:rsidRPr="008D0477">
              <w:rPr>
                <w:bCs/>
              </w:rPr>
              <w:t xml:space="preserve">including </w:t>
            </w:r>
            <w:r w:rsidR="00DD3734" w:rsidRPr="008D0477">
              <w:rPr>
                <w:rFonts w:cs="Arial"/>
              </w:rPr>
              <w:t>ED visits where the patient was placed in</w:t>
            </w:r>
            <w:r w:rsidR="00DD3734" w:rsidRPr="008D0477">
              <w:rPr>
                <w:bCs/>
                <w:i/>
                <w:iCs/>
              </w:rPr>
              <w:t xml:space="preserve"> </w:t>
            </w:r>
            <w:r w:rsidR="00DD3734" w:rsidRPr="008D0477">
              <w:rPr>
                <w:rFonts w:cs="Arial"/>
              </w:rPr>
              <w:t>hospital observation status)</w:t>
            </w:r>
            <w:r w:rsidR="005C134F">
              <w:rPr>
                <w:rFonts w:cs="Arial"/>
              </w:rPr>
              <w:t xml:space="preserve"> in column (a)</w:t>
            </w:r>
            <w:r w:rsidR="00DD3734" w:rsidRPr="008D0477">
              <w:rPr>
                <w:rFonts w:cs="Arial"/>
              </w:rPr>
              <w:t xml:space="preserve">, the number of those ED visits </w:t>
            </w:r>
            <w:r w:rsidR="005C134F">
              <w:rPr>
                <w:rFonts w:cs="Arial"/>
              </w:rPr>
              <w:t xml:space="preserve">indicated in column (a) </w:t>
            </w:r>
            <w:r w:rsidR="00DD3734" w:rsidRPr="008D0477">
              <w:rPr>
                <w:rFonts w:cs="Arial"/>
              </w:rPr>
              <w:t xml:space="preserve">with a boarding time greater than 4 hours, </w:t>
            </w:r>
            <w:r w:rsidR="00A817CC" w:rsidRPr="003A03BA">
              <w:rPr>
                <w:rFonts w:cs="Arial"/>
              </w:rPr>
              <w:t>the total boarding time (</w:t>
            </w:r>
            <w:r w:rsidR="00167577">
              <w:rPr>
                <w:rFonts w:cs="Arial"/>
              </w:rPr>
              <w:t xml:space="preserve">in </w:t>
            </w:r>
            <w:r w:rsidR="00A817CC" w:rsidRPr="003A03BA">
              <w:rPr>
                <w:rFonts w:cs="Arial"/>
              </w:rPr>
              <w:t>hours</w:t>
            </w:r>
            <w:r w:rsidR="00960CA5">
              <w:rPr>
                <w:rFonts w:cs="Arial"/>
              </w:rPr>
              <w:t>)</w:t>
            </w:r>
            <w:r w:rsidR="00A817CC" w:rsidRPr="003A03BA">
              <w:rPr>
                <w:rFonts w:cs="Arial"/>
              </w:rPr>
              <w:t xml:space="preserve"> for </w:t>
            </w:r>
            <w:r w:rsidR="005C134F">
              <w:rPr>
                <w:rFonts w:cs="Arial"/>
              </w:rPr>
              <w:t>ED visits indicated in column (a)</w:t>
            </w:r>
            <w:r w:rsidR="00A817CC" w:rsidRPr="00DF3D4F">
              <w:rPr>
                <w:rFonts w:cs="Arial"/>
              </w:rPr>
              <w:t xml:space="preserve">, </w:t>
            </w:r>
            <w:r w:rsidR="00DD3734" w:rsidRPr="008D0477">
              <w:rPr>
                <w:rFonts w:cs="Arial"/>
              </w:rPr>
              <w:t>the median number of hours spent in the ED for</w:t>
            </w:r>
            <w:r w:rsidR="005C134F">
              <w:rPr>
                <w:rFonts w:cs="Arial"/>
              </w:rPr>
              <w:t xml:space="preserve"> ED visits indicated in column (a)</w:t>
            </w:r>
            <w:r w:rsidR="00DD3734" w:rsidRPr="008D0477">
              <w:rPr>
                <w:rFonts w:cs="Arial"/>
              </w:rPr>
              <w:t>, and the 90</w:t>
            </w:r>
            <w:r w:rsidR="00DD3734" w:rsidRPr="008D0477">
              <w:rPr>
                <w:rFonts w:cs="Arial"/>
                <w:vertAlign w:val="superscript"/>
              </w:rPr>
              <w:t>th</w:t>
            </w:r>
            <w:r w:rsidR="00DD3734" w:rsidRPr="008D0477">
              <w:rPr>
                <w:rFonts w:cs="Arial"/>
              </w:rPr>
              <w:t xml:space="preserve"> percentile of hours spent in the ED for</w:t>
            </w:r>
            <w:r w:rsidR="005C134F">
              <w:rPr>
                <w:rFonts w:cs="Arial"/>
              </w:rPr>
              <w:t xml:space="preserve"> ED visits indicated in column (a)</w:t>
            </w:r>
            <w:r w:rsidR="00DD3734" w:rsidRPr="008D0477">
              <w:rPr>
                <w:rFonts w:cs="Arial"/>
              </w:rPr>
              <w:t>.</w:t>
            </w:r>
          </w:p>
          <w:p w14:paraId="0ED8CF8E" w14:textId="77777777" w:rsidR="00DD3734" w:rsidRPr="008D0477" w:rsidRDefault="00DD3734" w:rsidP="00BF053F">
            <w:pPr>
              <w:contextualSpacing/>
              <w:rPr>
                <w:rFonts w:cs="Arial"/>
                <w:i/>
                <w:snapToGrid w:val="0"/>
              </w:rPr>
            </w:pPr>
          </w:p>
          <w:p w14:paraId="486ED4F5" w14:textId="0E531321" w:rsidR="00DD3734" w:rsidRPr="008D0477" w:rsidRDefault="00DD3734" w:rsidP="00BF053F">
            <w:pPr>
              <w:ind w:left="360"/>
              <w:contextualSpacing/>
              <w:rPr>
                <w:rFonts w:cs="Arial"/>
                <w:i/>
                <w:snapToGrid w:val="0"/>
              </w:rPr>
            </w:pPr>
            <w:r w:rsidRPr="008D0477">
              <w:rPr>
                <w:rFonts w:cs="Arial"/>
                <w:i/>
                <w:snapToGrid w:val="0"/>
              </w:rPr>
              <w:t xml:space="preserve">If the number of visits for a pediatric admission type is less than 10 (in column a), skip columns b, c, </w:t>
            </w:r>
            <w:r w:rsidR="00D02F95">
              <w:rPr>
                <w:rFonts w:cs="Arial"/>
                <w:i/>
                <w:snapToGrid w:val="0"/>
              </w:rPr>
              <w:t xml:space="preserve">d, </w:t>
            </w:r>
            <w:r w:rsidRPr="008D0477">
              <w:rPr>
                <w:rFonts w:cs="Arial"/>
                <w:i/>
                <w:snapToGrid w:val="0"/>
              </w:rPr>
              <w:t xml:space="preserve">and </w:t>
            </w:r>
            <w:r w:rsidR="00D02F95">
              <w:rPr>
                <w:rFonts w:cs="Arial"/>
                <w:i/>
                <w:snapToGrid w:val="0"/>
              </w:rPr>
              <w:t>e</w:t>
            </w:r>
            <w:r w:rsidRPr="008D0477">
              <w:rPr>
                <w:rFonts w:cs="Arial"/>
                <w:i/>
                <w:snapToGrid w:val="0"/>
              </w:rPr>
              <w:t xml:space="preserve"> and then move to the next admission type. </w:t>
            </w:r>
          </w:p>
          <w:p w14:paraId="34229F22" w14:textId="77777777" w:rsidR="00DD3734" w:rsidRPr="008D0477" w:rsidRDefault="00DD3734" w:rsidP="00BF053F">
            <w:pPr>
              <w:ind w:left="360"/>
              <w:contextualSpacing/>
              <w:rPr>
                <w:rFonts w:cs="Arial"/>
                <w:i/>
                <w:snapToGrid w:val="0"/>
              </w:rPr>
            </w:pPr>
          </w:p>
          <w:p w14:paraId="2F3FB9C3" w14:textId="2411A006" w:rsidR="00DD3734" w:rsidRPr="008D0477" w:rsidRDefault="00DD3734" w:rsidP="00DB35B9">
            <w:pPr>
              <w:ind w:left="360"/>
              <w:contextualSpacing/>
              <w:rPr>
                <w:rFonts w:cs="Arial"/>
                <w:i/>
                <w:snapToGrid w:val="0"/>
              </w:rPr>
            </w:pPr>
            <w:r w:rsidRPr="008D0477">
              <w:rPr>
                <w:rFonts w:cs="Arial"/>
                <w:i/>
                <w:snapToGrid w:val="0"/>
              </w:rPr>
              <w:t>For columns c</w:t>
            </w:r>
            <w:r w:rsidR="00D02F95">
              <w:rPr>
                <w:rFonts w:cs="Arial"/>
                <w:i/>
                <w:snapToGrid w:val="0"/>
              </w:rPr>
              <w:t>,</w:t>
            </w:r>
            <w:r w:rsidRPr="008D0477">
              <w:rPr>
                <w:rFonts w:cs="Arial"/>
                <w:i/>
                <w:snapToGrid w:val="0"/>
              </w:rPr>
              <w:t xml:space="preserve"> </w:t>
            </w:r>
            <w:r w:rsidR="00D02F95">
              <w:rPr>
                <w:rFonts w:cs="Arial"/>
                <w:i/>
                <w:snapToGrid w:val="0"/>
              </w:rPr>
              <w:t xml:space="preserve">d, </w:t>
            </w:r>
            <w:r w:rsidRPr="008D0477">
              <w:rPr>
                <w:rFonts w:cs="Arial"/>
                <w:i/>
                <w:snapToGrid w:val="0"/>
              </w:rPr>
              <w:t xml:space="preserve">and </w:t>
            </w:r>
            <w:r w:rsidR="00D02F95">
              <w:rPr>
                <w:rFonts w:cs="Arial"/>
                <w:i/>
                <w:snapToGrid w:val="0"/>
              </w:rPr>
              <w:t>e</w:t>
            </w:r>
            <w:r w:rsidRPr="008D0477">
              <w:rPr>
                <w:rFonts w:cs="Arial"/>
                <w:i/>
                <w:snapToGrid w:val="0"/>
              </w:rPr>
              <w:t>, enter hours and minutes up to one decimal place (e.g., enter 1.5 to denote 1 hour and 30 minutes).</w:t>
            </w:r>
          </w:p>
          <w:p w14:paraId="2E9F3375" w14:textId="58432A78" w:rsidR="00DD3734" w:rsidRPr="008D0477" w:rsidRDefault="00DD3734" w:rsidP="00BF053F">
            <w:pPr>
              <w:ind w:left="360"/>
              <w:contextualSpacing/>
              <w:rPr>
                <w:rFonts w:cs="Arial"/>
                <w:i/>
                <w:snapToGrid w:val="0"/>
              </w:rPr>
            </w:pPr>
          </w:p>
        </w:tc>
      </w:tr>
      <w:tr w:rsidR="00DD3734" w:rsidRPr="008D0477" w14:paraId="630DEC54" w14:textId="77777777" w:rsidTr="00DD3734">
        <w:trPr>
          <w:trHeight w:val="224"/>
        </w:trPr>
        <w:tc>
          <w:tcPr>
            <w:tcW w:w="2176" w:type="dxa"/>
            <w:vMerge w:val="restart"/>
            <w:vAlign w:val="center"/>
          </w:tcPr>
          <w:p w14:paraId="278F4F91" w14:textId="3D5145C7" w:rsidR="00DD3734" w:rsidRPr="008D0477" w:rsidRDefault="00DD3734" w:rsidP="00F5785C">
            <w:pPr>
              <w:contextualSpacing/>
              <w:rPr>
                <w:rFonts w:cs="Arial"/>
                <w:b/>
              </w:rPr>
            </w:pPr>
            <w:r w:rsidRPr="008D0477">
              <w:rPr>
                <w:rFonts w:cs="Arial"/>
                <w:b/>
              </w:rPr>
              <w:t>Admission Type</w:t>
            </w:r>
          </w:p>
        </w:tc>
        <w:tc>
          <w:tcPr>
            <w:tcW w:w="8109" w:type="dxa"/>
            <w:gridSpan w:val="6"/>
            <w:shd w:val="clear" w:color="auto" w:fill="D9D9D9" w:themeFill="background1" w:themeFillShade="D9"/>
          </w:tcPr>
          <w:p w14:paraId="3FEC3083" w14:textId="3D7A17E5" w:rsidR="00DD3734" w:rsidRPr="008D0477" w:rsidRDefault="00DD3734" w:rsidP="00BF053F">
            <w:pPr>
              <w:ind w:left="360"/>
              <w:contextualSpacing/>
              <w:jc w:val="center"/>
              <w:rPr>
                <w:rFonts w:cs="Arial"/>
                <w:b/>
              </w:rPr>
            </w:pPr>
            <w:r w:rsidRPr="008D0477">
              <w:rPr>
                <w:rFonts w:cs="Arial"/>
                <w:b/>
              </w:rPr>
              <w:t>ED Visits, Boarding Time, and Time Spent in the ED</w:t>
            </w:r>
          </w:p>
        </w:tc>
      </w:tr>
      <w:tr w:rsidR="00DD3734" w:rsidRPr="008D0477" w14:paraId="6BAB287B" w14:textId="77777777" w:rsidTr="00E173D0">
        <w:trPr>
          <w:gridAfter w:val="1"/>
          <w:wAfter w:w="8" w:type="dxa"/>
          <w:trHeight w:val="145"/>
        </w:trPr>
        <w:tc>
          <w:tcPr>
            <w:tcW w:w="2176" w:type="dxa"/>
            <w:vMerge/>
            <w:vAlign w:val="center"/>
          </w:tcPr>
          <w:p w14:paraId="28302B15" w14:textId="77777777" w:rsidR="00DD3734" w:rsidRPr="008D0477" w:rsidRDefault="00DD3734" w:rsidP="00BF053F">
            <w:pPr>
              <w:ind w:left="360"/>
              <w:contextualSpacing/>
              <w:rPr>
                <w:rFonts w:cs="Arial"/>
                <w:b/>
              </w:rPr>
            </w:pPr>
          </w:p>
        </w:tc>
        <w:tc>
          <w:tcPr>
            <w:tcW w:w="1631" w:type="dxa"/>
          </w:tcPr>
          <w:p w14:paraId="5AF192ED" w14:textId="77777777" w:rsidR="00DD3734" w:rsidRPr="008D0477" w:rsidRDefault="00DD3734" w:rsidP="00AB4CC0">
            <w:pPr>
              <w:contextualSpacing/>
              <w:rPr>
                <w:rFonts w:cs="Arial"/>
                <w:b/>
              </w:rPr>
            </w:pPr>
            <w:r w:rsidRPr="008D0477">
              <w:rPr>
                <w:rFonts w:cs="Arial"/>
                <w:b/>
              </w:rPr>
              <w:t>(a)</w:t>
            </w:r>
          </w:p>
          <w:p w14:paraId="009E8730" w14:textId="26220BB2" w:rsidR="00DD3734" w:rsidRPr="008D0477" w:rsidRDefault="00DD3734" w:rsidP="00AB4CC0">
            <w:pPr>
              <w:contextualSpacing/>
              <w:rPr>
                <w:rFonts w:cs="Arial"/>
                <w:b/>
              </w:rPr>
            </w:pPr>
            <w:r w:rsidRPr="008D0477">
              <w:rPr>
                <w:rFonts w:cs="Arial"/>
                <w:b/>
              </w:rPr>
              <w:t xml:space="preserve">Total number of ED </w:t>
            </w:r>
            <w:r w:rsidRPr="008D0477">
              <w:rPr>
                <w:rFonts w:cs="Arial"/>
                <w:b/>
                <w:u w:val="single"/>
              </w:rPr>
              <w:t>visits</w:t>
            </w:r>
            <w:r w:rsidRPr="008D0477">
              <w:rPr>
                <w:rFonts w:cs="Arial"/>
                <w:b/>
              </w:rPr>
              <w:t xml:space="preserve"> with an inpatient admission or </w:t>
            </w:r>
            <w:r w:rsidRPr="008D0477">
              <w:rPr>
                <w:rFonts w:cs="Arial"/>
                <w:b/>
                <w:bCs/>
              </w:rPr>
              <w:lastRenderedPageBreak/>
              <w:t>where the patient was placed in hospital</w:t>
            </w:r>
            <w:r w:rsidRPr="008D0477">
              <w:rPr>
                <w:bCs/>
                <w:i/>
                <w:iCs/>
              </w:rPr>
              <w:t xml:space="preserve"> </w:t>
            </w:r>
            <w:r w:rsidRPr="008D0477">
              <w:rPr>
                <w:rFonts w:cs="Arial"/>
                <w:b/>
              </w:rPr>
              <w:t>observation status</w:t>
            </w:r>
          </w:p>
        </w:tc>
        <w:tc>
          <w:tcPr>
            <w:tcW w:w="1631" w:type="dxa"/>
          </w:tcPr>
          <w:p w14:paraId="5CB4DDEE" w14:textId="77777777" w:rsidR="00DD3734" w:rsidRPr="008D0477" w:rsidRDefault="00DD3734" w:rsidP="00AB4CC0">
            <w:pPr>
              <w:contextualSpacing/>
              <w:rPr>
                <w:rFonts w:cs="Arial"/>
                <w:b/>
              </w:rPr>
            </w:pPr>
            <w:r w:rsidRPr="008D0477">
              <w:rPr>
                <w:rFonts w:cs="Arial"/>
                <w:b/>
              </w:rPr>
              <w:lastRenderedPageBreak/>
              <w:t>(b)</w:t>
            </w:r>
          </w:p>
          <w:p w14:paraId="21B2D4B9" w14:textId="77777777" w:rsidR="00DD3734" w:rsidRPr="008D0477" w:rsidRDefault="00DD3734" w:rsidP="00AB4CC0">
            <w:pPr>
              <w:contextualSpacing/>
              <w:rPr>
                <w:rFonts w:cs="Arial"/>
                <w:b/>
              </w:rPr>
            </w:pPr>
            <w:r w:rsidRPr="008D0477">
              <w:rPr>
                <w:rFonts w:cs="Arial"/>
                <w:b/>
              </w:rPr>
              <w:t xml:space="preserve">Number of ED </w:t>
            </w:r>
            <w:r w:rsidRPr="008D0477">
              <w:rPr>
                <w:rFonts w:cs="Arial"/>
                <w:b/>
                <w:u w:val="single"/>
              </w:rPr>
              <w:t>visits</w:t>
            </w:r>
            <w:r w:rsidRPr="008D0477">
              <w:rPr>
                <w:rFonts w:cs="Arial"/>
                <w:b/>
              </w:rPr>
              <w:t xml:space="preserve"> indicated in column (a) with a </w:t>
            </w:r>
            <w:r w:rsidRPr="008D0477">
              <w:rPr>
                <w:rFonts w:cs="Arial"/>
                <w:b/>
              </w:rPr>
              <w:lastRenderedPageBreak/>
              <w:t>boarding time greater than 4 hours</w:t>
            </w:r>
          </w:p>
        </w:tc>
        <w:tc>
          <w:tcPr>
            <w:tcW w:w="1576" w:type="dxa"/>
          </w:tcPr>
          <w:p w14:paraId="65FB3C9D" w14:textId="717BE139" w:rsidR="00FC0A4D" w:rsidRPr="003A03BA" w:rsidRDefault="00FC0A4D" w:rsidP="00AB4CC0">
            <w:pPr>
              <w:contextualSpacing/>
              <w:rPr>
                <w:rFonts w:cs="Arial"/>
                <w:b/>
              </w:rPr>
            </w:pPr>
            <w:r w:rsidRPr="003A03BA">
              <w:rPr>
                <w:rFonts w:cs="Arial"/>
                <w:b/>
              </w:rPr>
              <w:lastRenderedPageBreak/>
              <w:t>(c)</w:t>
            </w:r>
          </w:p>
          <w:p w14:paraId="56AE7F33" w14:textId="71FFCBBF" w:rsidR="00DD3734" w:rsidRPr="008D0477" w:rsidRDefault="00FC0A4D" w:rsidP="00AB4CC0">
            <w:pPr>
              <w:contextualSpacing/>
              <w:rPr>
                <w:rFonts w:cs="Arial"/>
                <w:b/>
              </w:rPr>
            </w:pPr>
            <w:r w:rsidRPr="003A03BA">
              <w:rPr>
                <w:rFonts w:cs="Arial"/>
                <w:b/>
              </w:rPr>
              <w:t xml:space="preserve">Total </w:t>
            </w:r>
            <w:r w:rsidR="00960CA5">
              <w:rPr>
                <w:rFonts w:cs="Arial"/>
                <w:b/>
              </w:rPr>
              <w:t>b</w:t>
            </w:r>
            <w:r w:rsidR="0030507E">
              <w:rPr>
                <w:rFonts w:cs="Arial"/>
                <w:b/>
              </w:rPr>
              <w:t xml:space="preserve">oarding </w:t>
            </w:r>
            <w:r w:rsidR="00960CA5">
              <w:rPr>
                <w:rFonts w:cs="Arial"/>
                <w:b/>
              </w:rPr>
              <w:t xml:space="preserve">time </w:t>
            </w:r>
            <w:r w:rsidR="00BE53D1">
              <w:rPr>
                <w:rFonts w:cs="Arial"/>
                <w:b/>
              </w:rPr>
              <w:t>(</w:t>
            </w:r>
            <w:r w:rsidR="00960CA5">
              <w:rPr>
                <w:rFonts w:cs="Arial"/>
                <w:b/>
              </w:rPr>
              <w:t xml:space="preserve">in </w:t>
            </w:r>
            <w:r w:rsidR="00BE53D1">
              <w:rPr>
                <w:rFonts w:cs="Arial"/>
                <w:b/>
              </w:rPr>
              <w:t>hours)</w:t>
            </w:r>
            <w:r w:rsidRPr="003A03BA">
              <w:rPr>
                <w:rFonts w:cs="Arial"/>
                <w:b/>
              </w:rPr>
              <w:t xml:space="preserve"> for ED visits </w:t>
            </w:r>
            <w:r w:rsidRPr="003A03BA">
              <w:rPr>
                <w:rFonts w:cs="Arial"/>
                <w:b/>
              </w:rPr>
              <w:lastRenderedPageBreak/>
              <w:t>indicated in column (a)</w:t>
            </w:r>
          </w:p>
        </w:tc>
        <w:tc>
          <w:tcPr>
            <w:tcW w:w="1576" w:type="dxa"/>
          </w:tcPr>
          <w:p w14:paraId="6497734E" w14:textId="3C3579E4" w:rsidR="00DD3734" w:rsidRPr="008D0477" w:rsidRDefault="00DD3734" w:rsidP="00AB4CC0">
            <w:pPr>
              <w:contextualSpacing/>
              <w:rPr>
                <w:rFonts w:cs="Arial"/>
                <w:b/>
              </w:rPr>
            </w:pPr>
            <w:r w:rsidRPr="008D0477">
              <w:rPr>
                <w:rFonts w:cs="Arial"/>
                <w:b/>
              </w:rPr>
              <w:lastRenderedPageBreak/>
              <w:t>(</w:t>
            </w:r>
            <w:r w:rsidR="00FC0A4D">
              <w:rPr>
                <w:rFonts w:cs="Arial"/>
                <w:b/>
              </w:rPr>
              <w:t>d</w:t>
            </w:r>
            <w:r w:rsidRPr="008D0477">
              <w:rPr>
                <w:rFonts w:cs="Arial"/>
                <w:b/>
              </w:rPr>
              <w:t>)</w:t>
            </w:r>
          </w:p>
          <w:p w14:paraId="212F56B9" w14:textId="77777777" w:rsidR="00DD3734" w:rsidRPr="008D0477" w:rsidRDefault="00DD3734" w:rsidP="00AB4CC0">
            <w:pPr>
              <w:contextualSpacing/>
              <w:rPr>
                <w:rFonts w:cs="Arial"/>
                <w:b/>
              </w:rPr>
            </w:pPr>
            <w:r w:rsidRPr="008D0477">
              <w:rPr>
                <w:rFonts w:cs="Arial"/>
                <w:b/>
              </w:rPr>
              <w:t xml:space="preserve">Median number of </w:t>
            </w:r>
            <w:r w:rsidRPr="008D0477">
              <w:rPr>
                <w:rFonts w:cs="Arial"/>
                <w:b/>
                <w:u w:val="single"/>
              </w:rPr>
              <w:t>hours</w:t>
            </w:r>
            <w:r w:rsidRPr="008D0477">
              <w:rPr>
                <w:rFonts w:cs="Arial"/>
                <w:b/>
              </w:rPr>
              <w:t xml:space="preserve"> spent in the ED for ED visits </w:t>
            </w:r>
            <w:r w:rsidRPr="008D0477">
              <w:rPr>
                <w:rFonts w:cs="Arial"/>
                <w:b/>
              </w:rPr>
              <w:lastRenderedPageBreak/>
              <w:t>indicated in column (a)</w:t>
            </w:r>
          </w:p>
        </w:tc>
        <w:tc>
          <w:tcPr>
            <w:tcW w:w="1687" w:type="dxa"/>
          </w:tcPr>
          <w:p w14:paraId="301EB373" w14:textId="6A91FE76" w:rsidR="00DD3734" w:rsidRPr="008D0477" w:rsidRDefault="00DD3734" w:rsidP="00AB4CC0">
            <w:pPr>
              <w:contextualSpacing/>
              <w:rPr>
                <w:rFonts w:cs="Arial"/>
                <w:b/>
              </w:rPr>
            </w:pPr>
            <w:r w:rsidRPr="008D0477">
              <w:rPr>
                <w:rFonts w:cs="Arial"/>
                <w:b/>
              </w:rPr>
              <w:lastRenderedPageBreak/>
              <w:t>(</w:t>
            </w:r>
            <w:r w:rsidR="00FC0A4D">
              <w:rPr>
                <w:rFonts w:cs="Arial"/>
                <w:b/>
              </w:rPr>
              <w:t>e</w:t>
            </w:r>
            <w:r w:rsidRPr="008D0477">
              <w:rPr>
                <w:rFonts w:cs="Arial"/>
                <w:b/>
              </w:rPr>
              <w:t>)</w:t>
            </w:r>
          </w:p>
          <w:p w14:paraId="24D71E1E" w14:textId="77777777" w:rsidR="00DD3734" w:rsidRPr="008D0477" w:rsidRDefault="00DD3734" w:rsidP="00AB4CC0">
            <w:pPr>
              <w:contextualSpacing/>
              <w:rPr>
                <w:rFonts w:cs="Arial"/>
                <w:b/>
              </w:rPr>
            </w:pPr>
            <w:r w:rsidRPr="008D0477">
              <w:rPr>
                <w:rFonts w:cs="Arial"/>
                <w:b/>
              </w:rPr>
              <w:t>90</w:t>
            </w:r>
            <w:r w:rsidRPr="008D0477">
              <w:rPr>
                <w:rFonts w:cs="Arial"/>
                <w:b/>
                <w:vertAlign w:val="superscript"/>
              </w:rPr>
              <w:t>th</w:t>
            </w:r>
            <w:r w:rsidRPr="008D0477">
              <w:rPr>
                <w:rFonts w:cs="Arial"/>
                <w:b/>
              </w:rPr>
              <w:t xml:space="preserve"> percentile of </w:t>
            </w:r>
            <w:r w:rsidRPr="008D0477">
              <w:rPr>
                <w:rFonts w:cs="Arial"/>
                <w:b/>
                <w:u w:val="single"/>
              </w:rPr>
              <w:t>hours</w:t>
            </w:r>
            <w:r w:rsidRPr="008D0477">
              <w:rPr>
                <w:rFonts w:cs="Arial"/>
                <w:b/>
              </w:rPr>
              <w:t xml:space="preserve"> spent in the ED for ED visits </w:t>
            </w:r>
            <w:r w:rsidRPr="008D0477">
              <w:rPr>
                <w:rFonts w:cs="Arial"/>
                <w:b/>
              </w:rPr>
              <w:lastRenderedPageBreak/>
              <w:t>indicated in column (a)</w:t>
            </w:r>
          </w:p>
        </w:tc>
      </w:tr>
      <w:tr w:rsidR="00DD3734" w:rsidRPr="008D0477" w14:paraId="42478212" w14:textId="77777777" w:rsidTr="00DD3734">
        <w:trPr>
          <w:gridAfter w:val="1"/>
          <w:wAfter w:w="8" w:type="dxa"/>
          <w:trHeight w:val="458"/>
        </w:trPr>
        <w:tc>
          <w:tcPr>
            <w:tcW w:w="2176" w:type="dxa"/>
          </w:tcPr>
          <w:p w14:paraId="203CF0BE" w14:textId="7DDBDE83" w:rsidR="00DD3734" w:rsidRPr="008D0477" w:rsidRDefault="00DD3734" w:rsidP="00BF053F">
            <w:pPr>
              <w:rPr>
                <w:rFonts w:cs="Arial"/>
              </w:rPr>
            </w:pPr>
            <w:r w:rsidRPr="008D0477">
              <w:rPr>
                <w:rFonts w:cs="Arial"/>
              </w:rPr>
              <w:lastRenderedPageBreak/>
              <w:t>Admitted to a</w:t>
            </w:r>
            <w:r w:rsidR="007C324C">
              <w:rPr>
                <w:rFonts w:cs="Arial"/>
              </w:rPr>
              <w:t xml:space="preserve"> pediatric</w:t>
            </w:r>
            <w:r w:rsidRPr="008D0477">
              <w:rPr>
                <w:rFonts w:cs="Arial"/>
              </w:rPr>
              <w:t xml:space="preserve"> inpatient </w:t>
            </w:r>
            <w:r w:rsidRPr="008D0477">
              <w:rPr>
                <w:rFonts w:cs="Arial"/>
                <w:b/>
                <w:bCs/>
              </w:rPr>
              <w:t>non-psychiatric bed</w:t>
            </w:r>
          </w:p>
        </w:tc>
        <w:tc>
          <w:tcPr>
            <w:tcW w:w="1631" w:type="dxa"/>
            <w:vAlign w:val="center"/>
          </w:tcPr>
          <w:p w14:paraId="5CEC7ED1" w14:textId="77777777" w:rsidR="00DD3734" w:rsidRPr="008D0477" w:rsidRDefault="00DD3734" w:rsidP="00BF053F">
            <w:pPr>
              <w:ind w:left="360"/>
              <w:contextualSpacing/>
              <w:rPr>
                <w:rFonts w:cs="Arial"/>
                <w:b/>
              </w:rPr>
            </w:pPr>
          </w:p>
        </w:tc>
        <w:tc>
          <w:tcPr>
            <w:tcW w:w="1631" w:type="dxa"/>
            <w:vAlign w:val="center"/>
          </w:tcPr>
          <w:p w14:paraId="77C9F0F0" w14:textId="77777777" w:rsidR="00DD3734" w:rsidRPr="008D0477" w:rsidRDefault="00DD3734" w:rsidP="00BF053F">
            <w:pPr>
              <w:ind w:left="360"/>
              <w:contextualSpacing/>
              <w:rPr>
                <w:rFonts w:cs="Arial"/>
                <w:b/>
              </w:rPr>
            </w:pPr>
          </w:p>
        </w:tc>
        <w:tc>
          <w:tcPr>
            <w:tcW w:w="1576" w:type="dxa"/>
          </w:tcPr>
          <w:p w14:paraId="6430332C" w14:textId="77777777" w:rsidR="00DD3734" w:rsidRPr="008D0477" w:rsidRDefault="00DD3734" w:rsidP="00BF053F">
            <w:pPr>
              <w:ind w:left="360"/>
              <w:contextualSpacing/>
              <w:rPr>
                <w:rFonts w:cs="Arial"/>
                <w:b/>
              </w:rPr>
            </w:pPr>
          </w:p>
        </w:tc>
        <w:tc>
          <w:tcPr>
            <w:tcW w:w="1576" w:type="dxa"/>
            <w:vAlign w:val="center"/>
          </w:tcPr>
          <w:p w14:paraId="192D1F4D" w14:textId="5A435567" w:rsidR="00DD3734" w:rsidRPr="008D0477" w:rsidRDefault="00DD3734" w:rsidP="00BF053F">
            <w:pPr>
              <w:ind w:left="360"/>
              <w:contextualSpacing/>
              <w:rPr>
                <w:rFonts w:cs="Arial"/>
                <w:b/>
              </w:rPr>
            </w:pPr>
          </w:p>
        </w:tc>
        <w:tc>
          <w:tcPr>
            <w:tcW w:w="1687" w:type="dxa"/>
            <w:vAlign w:val="center"/>
          </w:tcPr>
          <w:p w14:paraId="7316870A" w14:textId="77777777" w:rsidR="00DD3734" w:rsidRPr="008D0477" w:rsidRDefault="00DD3734" w:rsidP="00BF053F">
            <w:pPr>
              <w:ind w:left="360"/>
              <w:contextualSpacing/>
              <w:rPr>
                <w:rFonts w:cs="Arial"/>
                <w:b/>
              </w:rPr>
            </w:pPr>
          </w:p>
        </w:tc>
      </w:tr>
      <w:tr w:rsidR="00DD3734" w:rsidRPr="009A5185" w14:paraId="3F1C2AE3" w14:textId="77777777" w:rsidTr="00DD3734">
        <w:trPr>
          <w:gridAfter w:val="1"/>
          <w:wAfter w:w="8" w:type="dxa"/>
          <w:trHeight w:val="820"/>
        </w:trPr>
        <w:tc>
          <w:tcPr>
            <w:tcW w:w="2176" w:type="dxa"/>
          </w:tcPr>
          <w:p w14:paraId="4C55B4B2" w14:textId="657047E8" w:rsidR="00DD3734" w:rsidRPr="006119D1" w:rsidRDefault="00DD3734" w:rsidP="00BF053F">
            <w:pPr>
              <w:rPr>
                <w:rFonts w:cs="Arial"/>
                <w:b/>
                <w:bCs/>
              </w:rPr>
            </w:pPr>
            <w:r w:rsidRPr="008D0477">
              <w:rPr>
                <w:rFonts w:cs="Arial"/>
              </w:rPr>
              <w:t>Admitted to a</w:t>
            </w:r>
            <w:r w:rsidR="007C324C">
              <w:rPr>
                <w:rFonts w:cs="Arial"/>
              </w:rPr>
              <w:t xml:space="preserve"> pediatric</w:t>
            </w:r>
            <w:r w:rsidRPr="008D0477">
              <w:rPr>
                <w:rFonts w:cs="Arial"/>
              </w:rPr>
              <w:t xml:space="preserve"> inpatient </w:t>
            </w:r>
            <w:r w:rsidRPr="008D0477">
              <w:rPr>
                <w:rFonts w:cs="Arial"/>
                <w:b/>
                <w:bCs/>
              </w:rPr>
              <w:t>psychiatric bed</w:t>
            </w:r>
          </w:p>
        </w:tc>
        <w:tc>
          <w:tcPr>
            <w:tcW w:w="1631" w:type="dxa"/>
            <w:vAlign w:val="center"/>
          </w:tcPr>
          <w:p w14:paraId="0F01E76F" w14:textId="77777777" w:rsidR="00DD3734" w:rsidRPr="009A5185" w:rsidRDefault="00DD3734" w:rsidP="00BF053F">
            <w:pPr>
              <w:ind w:left="360"/>
              <w:contextualSpacing/>
              <w:rPr>
                <w:rFonts w:cs="Arial"/>
                <w:b/>
              </w:rPr>
            </w:pPr>
          </w:p>
        </w:tc>
        <w:tc>
          <w:tcPr>
            <w:tcW w:w="1631" w:type="dxa"/>
            <w:vAlign w:val="center"/>
          </w:tcPr>
          <w:p w14:paraId="57184DD6" w14:textId="77777777" w:rsidR="00DD3734" w:rsidRPr="009A5185" w:rsidRDefault="00DD3734" w:rsidP="00BF053F">
            <w:pPr>
              <w:ind w:left="360"/>
              <w:contextualSpacing/>
              <w:rPr>
                <w:rFonts w:cs="Arial"/>
                <w:b/>
              </w:rPr>
            </w:pPr>
          </w:p>
        </w:tc>
        <w:tc>
          <w:tcPr>
            <w:tcW w:w="1576" w:type="dxa"/>
          </w:tcPr>
          <w:p w14:paraId="7AAB797D" w14:textId="77777777" w:rsidR="00DD3734" w:rsidRPr="009A5185" w:rsidRDefault="00DD3734" w:rsidP="00BF053F">
            <w:pPr>
              <w:ind w:left="360"/>
              <w:contextualSpacing/>
              <w:rPr>
                <w:rFonts w:cs="Arial"/>
                <w:b/>
              </w:rPr>
            </w:pPr>
          </w:p>
        </w:tc>
        <w:tc>
          <w:tcPr>
            <w:tcW w:w="1576" w:type="dxa"/>
            <w:vAlign w:val="center"/>
          </w:tcPr>
          <w:p w14:paraId="5A6EF3A4" w14:textId="6100E704" w:rsidR="00DD3734" w:rsidRPr="009A5185" w:rsidRDefault="00DD3734" w:rsidP="00BF053F">
            <w:pPr>
              <w:ind w:left="360"/>
              <w:contextualSpacing/>
              <w:rPr>
                <w:rFonts w:cs="Arial"/>
                <w:b/>
              </w:rPr>
            </w:pPr>
          </w:p>
        </w:tc>
        <w:tc>
          <w:tcPr>
            <w:tcW w:w="1687" w:type="dxa"/>
            <w:vAlign w:val="center"/>
          </w:tcPr>
          <w:p w14:paraId="6D85BFCE" w14:textId="77777777" w:rsidR="00DD3734" w:rsidRPr="009A5185" w:rsidRDefault="00DD3734" w:rsidP="00BF053F">
            <w:pPr>
              <w:ind w:left="360"/>
              <w:contextualSpacing/>
              <w:rPr>
                <w:rFonts w:cs="Arial"/>
                <w:b/>
              </w:rPr>
            </w:pPr>
          </w:p>
        </w:tc>
      </w:tr>
    </w:tbl>
    <w:p w14:paraId="559CA4E6" w14:textId="10345399" w:rsidR="00885B79" w:rsidRDefault="00885B79">
      <w:pPr>
        <w:rPr>
          <w:b/>
          <w:snapToGrid w:val="0"/>
          <w:color w:val="000000"/>
        </w:rPr>
      </w:pPr>
      <w:r>
        <w:rPr>
          <w:b/>
          <w:snapToGrid w:val="0"/>
          <w:color w:val="000000"/>
        </w:rPr>
        <w:br w:type="page"/>
      </w:r>
    </w:p>
    <w:p w14:paraId="2385D207" w14:textId="44E66424" w:rsidR="00563CD7" w:rsidRDefault="00563CD7" w:rsidP="00563CD7">
      <w:pPr>
        <w:rPr>
          <w:b/>
          <w:snapToGrid w:val="0"/>
          <w:color w:val="000000"/>
        </w:rPr>
      </w:pPr>
      <w:r>
        <w:rPr>
          <w:b/>
          <w:snapToGrid w:val="0"/>
          <w:color w:val="000000"/>
        </w:rPr>
        <w:lastRenderedPageBreak/>
        <w:t>Affirmation of Accuracy</w:t>
      </w:r>
    </w:p>
    <w:p w14:paraId="5FD71E9F" w14:textId="77777777" w:rsidR="00563CD7" w:rsidRDefault="00563CD7" w:rsidP="00563CD7">
      <w:pPr>
        <w:rPr>
          <w:rFonts w:cs="Arial"/>
          <w:snapToGrid w:val="0"/>
          <w:color w:val="000000"/>
        </w:rPr>
      </w:pPr>
    </w:p>
    <w:p w14:paraId="5ABEAFEC" w14:textId="74614C5B" w:rsidR="00563CD7" w:rsidRPr="00362B11" w:rsidRDefault="00563CD7" w:rsidP="00563CD7">
      <w:pPr>
        <w:rPr>
          <w:rFonts w:cs="Arial"/>
          <w:color w:val="000000"/>
        </w:rPr>
      </w:pPr>
      <w:r w:rsidRPr="00362B11">
        <w:rPr>
          <w:rFonts w:cs="Arial"/>
          <w:color w:val="000000"/>
        </w:rPr>
        <w:t xml:space="preserve">As the hospital CEO or as an employee of the hospital to whom the hospital CEO has delegated responsibility, </w:t>
      </w:r>
      <w:r>
        <w:rPr>
          <w:rFonts w:cs="Arial"/>
          <w:color w:val="000000"/>
        </w:rPr>
        <w:t>I have reviewed this information</w:t>
      </w:r>
      <w:r w:rsidRPr="00362B11">
        <w:rPr>
          <w:rFonts w:cs="Arial"/>
          <w:color w:val="000000"/>
        </w:rPr>
        <w:t xml:space="preserve"> </w:t>
      </w:r>
      <w:r>
        <w:rPr>
          <w:rFonts w:cs="Arial"/>
          <w:color w:val="000000"/>
        </w:rPr>
        <w:t xml:space="preserve">pertaining to the </w:t>
      </w:r>
      <w:r w:rsidR="00790F36">
        <w:rPr>
          <w:rFonts w:cs="Arial"/>
          <w:color w:val="000000"/>
        </w:rPr>
        <w:t xml:space="preserve">Patient </w:t>
      </w:r>
      <w:r>
        <w:rPr>
          <w:rFonts w:cs="Arial"/>
          <w:color w:val="000000"/>
        </w:rPr>
        <w:t>Safe</w:t>
      </w:r>
      <w:r w:rsidR="00790F36">
        <w:rPr>
          <w:rFonts w:cs="Arial"/>
          <w:color w:val="000000"/>
        </w:rPr>
        <w:t>ty</w:t>
      </w:r>
      <w:r>
        <w:rPr>
          <w:rFonts w:cs="Arial"/>
          <w:color w:val="000000"/>
        </w:rPr>
        <w:t xml:space="preserve"> Practices Section</w:t>
      </w:r>
      <w:r w:rsidRPr="00362B11">
        <w:rPr>
          <w:rFonts w:cs="Arial"/>
          <w:color w:val="000000"/>
        </w:rPr>
        <w:t xml:space="preserve"> at our hospital, and I here</w:t>
      </w:r>
      <w:r>
        <w:rPr>
          <w:rFonts w:cs="Arial"/>
          <w:color w:val="000000"/>
        </w:rPr>
        <w:t xml:space="preserve">by </w:t>
      </w:r>
      <w:r w:rsidR="00B01F4D">
        <w:rPr>
          <w:rFonts w:cs="Arial"/>
          <w:color w:val="000000"/>
        </w:rPr>
        <w:t>affirm</w:t>
      </w:r>
      <w:r>
        <w:rPr>
          <w:rFonts w:cs="Arial"/>
          <w:color w:val="000000"/>
        </w:rPr>
        <w:t xml:space="preserve"> that this information is</w:t>
      </w:r>
      <w:r w:rsidRPr="00362B11">
        <w:rPr>
          <w:rFonts w:cs="Arial"/>
          <w:color w:val="000000"/>
        </w:rPr>
        <w:t xml:space="preserve"> true, accurate, and reflect</w:t>
      </w:r>
      <w:r>
        <w:rPr>
          <w:rFonts w:cs="Arial"/>
          <w:color w:val="000000"/>
        </w:rPr>
        <w:t>s</w:t>
      </w:r>
      <w:r w:rsidRPr="00362B11">
        <w:rPr>
          <w:rFonts w:cs="Arial"/>
          <w:color w:val="000000"/>
        </w:rPr>
        <w:t xml:space="preserve"> the current, normal operating circumstances at our hospital. I am authorized to make this </w:t>
      </w:r>
      <w:r w:rsidR="00B01F4D">
        <w:rPr>
          <w:rFonts w:cs="Arial"/>
          <w:color w:val="000000"/>
        </w:rPr>
        <w:t>affirmation</w:t>
      </w:r>
      <w:r w:rsidRPr="00362B11">
        <w:rPr>
          <w:rFonts w:cs="Arial"/>
          <w:color w:val="000000"/>
        </w:rPr>
        <w:t xml:space="preserve"> on behalf of our hospital. </w:t>
      </w:r>
    </w:p>
    <w:p w14:paraId="606FDBBB" w14:textId="77777777" w:rsidR="00563CD7" w:rsidRPr="00362B11" w:rsidRDefault="00563CD7" w:rsidP="00563CD7">
      <w:pPr>
        <w:rPr>
          <w:rFonts w:cs="Arial"/>
          <w:color w:val="000000"/>
        </w:rPr>
      </w:pPr>
    </w:p>
    <w:p w14:paraId="39415DFC" w14:textId="77777777" w:rsidR="00C26134" w:rsidRPr="009A5185" w:rsidRDefault="00C26134" w:rsidP="00C26134">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3DD2DA41" w14:textId="52439CF9" w:rsidR="00563CD7" w:rsidRDefault="00563CD7" w:rsidP="00563CD7">
      <w:pPr>
        <w:rPr>
          <w:snapToGrid w:val="0"/>
          <w:color w:val="000000"/>
        </w:rPr>
      </w:pPr>
    </w:p>
    <w:p w14:paraId="5D0BC6E7" w14:textId="77777777" w:rsidR="00563CD7" w:rsidRDefault="00563CD7" w:rsidP="00563CD7">
      <w:pPr>
        <w:rPr>
          <w:snapToGrid w:val="0"/>
          <w:color w:val="000000"/>
        </w:rPr>
      </w:pPr>
    </w:p>
    <w:p w14:paraId="27DA7D36" w14:textId="77777777" w:rsidR="00563CD7" w:rsidRDefault="00563CD7" w:rsidP="00563CD7">
      <w:pPr>
        <w:spacing w:line="240" w:lineRule="exact"/>
        <w:rPr>
          <w:snapToGrid w:val="0"/>
          <w:color w:val="000000"/>
        </w:rPr>
      </w:pPr>
      <w:r>
        <w:rPr>
          <w:snapToGrid w:val="0"/>
          <w:color w:val="000000"/>
        </w:rPr>
        <w:t>Affirmed by _____________________, the hospital’s ___________________________,</w:t>
      </w:r>
    </w:p>
    <w:p w14:paraId="04024CAC" w14:textId="77777777" w:rsidR="008A631A" w:rsidRPr="009A5185" w:rsidRDefault="008A631A" w:rsidP="008A631A">
      <w:pPr>
        <w:pStyle w:val="BodyText2"/>
        <w:spacing w:line="240" w:lineRule="exact"/>
        <w:rPr>
          <w:rFonts w:cs="Arial"/>
        </w:rPr>
      </w:pPr>
      <w:r w:rsidRPr="009A5185">
        <w:rPr>
          <w:rFonts w:cs="Arial"/>
        </w:rPr>
        <w:tab/>
        <w:t xml:space="preserve"> </w:t>
      </w:r>
      <w:r>
        <w:rPr>
          <w:rFonts w:cs="Arial"/>
        </w:rPr>
        <w:t xml:space="preserve">    </w:t>
      </w:r>
      <w:r w:rsidRPr="009A5185">
        <w:rPr>
          <w:rFonts w:cs="Arial"/>
        </w:rPr>
        <w:t>(</w:t>
      </w:r>
      <w:r>
        <w:rPr>
          <w:rFonts w:cs="Arial"/>
        </w:rPr>
        <w:t xml:space="preserve">first </w:t>
      </w:r>
      <w:r w:rsidRPr="009A5185">
        <w:rPr>
          <w:rFonts w:cs="Arial"/>
        </w:rPr>
        <w:t>name</w:t>
      </w:r>
      <w:r>
        <w:rPr>
          <w:rFonts w:cs="Arial"/>
        </w:rPr>
        <w:t xml:space="preserve"> and last name)</w:t>
      </w:r>
      <w:r>
        <w:rPr>
          <w:rFonts w:cs="Arial"/>
        </w:rPr>
        <w:tab/>
      </w:r>
      <w:r>
        <w:rPr>
          <w:rFonts w:cs="Arial"/>
        </w:rPr>
        <w:tab/>
      </w:r>
      <w:r>
        <w:rPr>
          <w:rFonts w:cs="Arial"/>
        </w:rPr>
        <w:tab/>
      </w:r>
      <w:r>
        <w:rPr>
          <w:rFonts w:cs="Arial"/>
        </w:rPr>
        <w:tab/>
      </w:r>
      <w:r w:rsidRPr="009A5185">
        <w:rPr>
          <w:rFonts w:cs="Arial"/>
        </w:rPr>
        <w:t>(title)</w:t>
      </w:r>
    </w:p>
    <w:p w14:paraId="674423F8" w14:textId="77777777" w:rsidR="00563CD7" w:rsidRDefault="00563CD7" w:rsidP="00563CD7">
      <w:pPr>
        <w:spacing w:line="240" w:lineRule="exact"/>
        <w:rPr>
          <w:snapToGrid w:val="0"/>
          <w:color w:val="000000"/>
        </w:rPr>
      </w:pPr>
      <w:r>
        <w:rPr>
          <w:snapToGrid w:val="0"/>
          <w:color w:val="000000"/>
        </w:rPr>
        <w:t>on _______________________.</w:t>
      </w:r>
    </w:p>
    <w:p w14:paraId="3C24D7DB" w14:textId="77777777" w:rsidR="00563CD7" w:rsidRDefault="00563CD7" w:rsidP="00563CD7">
      <w:pPr>
        <w:pStyle w:val="BodyText2"/>
        <w:spacing w:line="240" w:lineRule="exact"/>
      </w:pPr>
      <w:r>
        <w:t xml:space="preserve">                    (date)</w:t>
      </w:r>
    </w:p>
    <w:p w14:paraId="6C79C293" w14:textId="77777777" w:rsidR="00563CD7" w:rsidRDefault="00563CD7" w:rsidP="00563CD7"/>
    <w:p w14:paraId="162A6F53" w14:textId="77777777" w:rsidR="00563CD7" w:rsidRDefault="00563CD7" w:rsidP="00563CD7">
      <w:pPr>
        <w:rPr>
          <w:lang w:eastAsia="ja-JP"/>
        </w:rPr>
      </w:pPr>
    </w:p>
    <w:p w14:paraId="74FD889C" w14:textId="77777777" w:rsidR="00563CD7" w:rsidRPr="00F279EA" w:rsidRDefault="00563CD7" w:rsidP="00563CD7">
      <w:pPr>
        <w:rPr>
          <w:lang w:eastAsia="ja-JP"/>
        </w:rPr>
      </w:pPr>
    </w:p>
    <w:p w14:paraId="3D6EB11F" w14:textId="77777777" w:rsidR="00563CD7" w:rsidRDefault="00563CD7" w:rsidP="00563CD7">
      <w:pPr>
        <w:rPr>
          <w:b/>
          <w:sz w:val="24"/>
        </w:rPr>
      </w:pPr>
      <w:bookmarkStart w:id="508" w:name="_Toc383775059"/>
      <w:r>
        <w:br w:type="page"/>
      </w:r>
    </w:p>
    <w:p w14:paraId="5A8DD431" w14:textId="36C14D50" w:rsidR="00563CD7" w:rsidRPr="007849B0" w:rsidRDefault="00563CD7" w:rsidP="00CF5A6E">
      <w:pPr>
        <w:pStyle w:val="Heading2"/>
      </w:pPr>
      <w:bookmarkStart w:id="509" w:name="_Toc510001897"/>
      <w:bookmarkStart w:id="510" w:name="_Toc225877791"/>
      <w:r w:rsidRPr="007849B0">
        <w:lastRenderedPageBreak/>
        <w:t xml:space="preserve">Section 6: </w:t>
      </w:r>
      <w:bookmarkEnd w:id="508"/>
      <w:r w:rsidR="00600EE7">
        <w:t>Patient</w:t>
      </w:r>
      <w:r>
        <w:t xml:space="preserve"> Safe</w:t>
      </w:r>
      <w:r w:rsidR="00600EE7">
        <w:t>ty</w:t>
      </w:r>
      <w:r>
        <w:t xml:space="preserve"> Practices</w:t>
      </w:r>
      <w:r w:rsidRPr="007849B0">
        <w:t xml:space="preserve"> Reference Information</w:t>
      </w:r>
      <w:bookmarkEnd w:id="509"/>
      <w:bookmarkEnd w:id="510"/>
    </w:p>
    <w:p w14:paraId="4A4B7649" w14:textId="77777777" w:rsidR="00764EEA" w:rsidRDefault="00764EEA" w:rsidP="00764EEA">
      <w:bookmarkStart w:id="511" w:name="_Toc236215446"/>
      <w:bookmarkStart w:id="512" w:name="_Toc383775060"/>
      <w:bookmarkStart w:id="513" w:name="_Toc510001898"/>
    </w:p>
    <w:p w14:paraId="6DF3AB7A" w14:textId="3ECF91E6" w:rsidR="00563CD7" w:rsidRPr="00764EEA" w:rsidRDefault="00563CD7" w:rsidP="00AB5B80">
      <w:pPr>
        <w:pStyle w:val="Heading3"/>
      </w:pPr>
      <w:bookmarkStart w:id="514" w:name="_Toc225877792"/>
      <w:r w:rsidRPr="007849B0">
        <w:rPr>
          <w:rFonts w:hint="eastAsia"/>
        </w:rPr>
        <w:t>What</w:t>
      </w:r>
      <w:r w:rsidRPr="007849B0">
        <w:t>’</w:t>
      </w:r>
      <w:r w:rsidRPr="007849B0">
        <w:rPr>
          <w:rFonts w:hint="eastAsia"/>
        </w:rPr>
        <w:t xml:space="preserve">s New </w:t>
      </w:r>
      <w:bookmarkEnd w:id="511"/>
      <w:r w:rsidRPr="007849B0">
        <w:rPr>
          <w:rFonts w:hint="eastAsia"/>
        </w:rPr>
        <w:t xml:space="preserve">in the </w:t>
      </w:r>
      <w:bookmarkEnd w:id="512"/>
      <w:r w:rsidR="00A236B1">
        <w:t>202</w:t>
      </w:r>
      <w:r w:rsidR="001D70C8">
        <w:t>6</w:t>
      </w:r>
      <w:r>
        <w:t xml:space="preserve"> Survey</w:t>
      </w:r>
      <w:bookmarkEnd w:id="513"/>
      <w:bookmarkEnd w:id="514"/>
    </w:p>
    <w:p w14:paraId="5D38EAA9" w14:textId="77777777" w:rsidR="00D20722" w:rsidRPr="000C6570" w:rsidRDefault="00D20722" w:rsidP="00D20722">
      <w:pPr>
        <w:pStyle w:val="Heading44"/>
        <w:rPr>
          <w:sz w:val="20"/>
        </w:rPr>
      </w:pPr>
      <w:bookmarkStart w:id="515" w:name="_Toc236215447"/>
      <w:bookmarkStart w:id="516" w:name="_Toc383775061"/>
    </w:p>
    <w:p w14:paraId="5FC358B5" w14:textId="24DA13DE" w:rsidR="00D20722" w:rsidRDefault="00D20722" w:rsidP="00D20722">
      <w:pPr>
        <w:pStyle w:val="Heading44"/>
      </w:pPr>
      <w:r w:rsidRPr="00AD46BD">
        <w:t>Section 6A: NQF Safe Practice #1 – Culture of Safety Leadership Structures and Systems</w:t>
      </w:r>
    </w:p>
    <w:p w14:paraId="31B48597" w14:textId="77777777" w:rsidR="003C64C1" w:rsidRDefault="00894C1D" w:rsidP="00D20722">
      <w:pPr>
        <w:pStyle w:val="Heading44"/>
        <w:rPr>
          <w:b w:val="0"/>
          <w:bCs/>
          <w:sz w:val="20"/>
        </w:rPr>
      </w:pPr>
      <w:r>
        <w:rPr>
          <w:b w:val="0"/>
          <w:bCs/>
          <w:sz w:val="20"/>
        </w:rPr>
        <w:t>In</w:t>
      </w:r>
      <w:r w:rsidR="000F1DB4" w:rsidRPr="000F1DB4">
        <w:rPr>
          <w:b w:val="0"/>
          <w:bCs/>
          <w:sz w:val="20"/>
        </w:rPr>
        <w:t xml:space="preserve"> consultation with Leapfrog’s </w:t>
      </w:r>
      <w:hyperlink r:id="rId368" w:history="1">
        <w:r w:rsidR="000F1DB4" w:rsidRPr="000F1DB4">
          <w:rPr>
            <w:rStyle w:val="Hyperlink"/>
            <w:b w:val="0"/>
            <w:bCs/>
            <w:sz w:val="20"/>
          </w:rPr>
          <w:t>Patient and Family Caregiver Expert Panel</w:t>
        </w:r>
      </w:hyperlink>
      <w:r w:rsidR="000F1DB4" w:rsidRPr="000F1DB4">
        <w:rPr>
          <w:b w:val="0"/>
          <w:bCs/>
          <w:sz w:val="20"/>
        </w:rPr>
        <w:t xml:space="preserve">, </w:t>
      </w:r>
      <w:r w:rsidR="003C64C1" w:rsidRPr="003C64C1">
        <w:rPr>
          <w:b w:val="0"/>
          <w:bCs/>
          <w:sz w:val="20"/>
        </w:rPr>
        <w:t>Leapfrog is updating the term used in Safe Practice 1.1b, from “patients and/or families of patients” to “patients and/or care partners,” to be inclusive of a broader population of potential active participants to consider for inclusion in the hospital-wide safety and quality committee.</w:t>
      </w:r>
    </w:p>
    <w:p w14:paraId="3F9365B0" w14:textId="77777777" w:rsidR="003C64C1" w:rsidRDefault="003C64C1" w:rsidP="00D20722">
      <w:pPr>
        <w:pStyle w:val="Heading44"/>
        <w:rPr>
          <w:b w:val="0"/>
          <w:bCs/>
          <w:sz w:val="20"/>
        </w:rPr>
      </w:pPr>
    </w:p>
    <w:p w14:paraId="330B748C" w14:textId="14B0D7E6" w:rsidR="003C64C1" w:rsidRDefault="003C64C1" w:rsidP="00D20722">
      <w:pPr>
        <w:pStyle w:val="Heading44"/>
        <w:rPr>
          <w:b w:val="0"/>
          <w:bCs/>
          <w:sz w:val="20"/>
        </w:rPr>
      </w:pPr>
      <w:r w:rsidRPr="003C64C1">
        <w:rPr>
          <w:b w:val="0"/>
          <w:bCs/>
          <w:sz w:val="20"/>
        </w:rPr>
        <w:t>Leapfrog is updating FAQ #9 in Section 1.1b to define a “patient and/or care partner” as any patient who has currently, or in the past, received care at the hospital campus, as well as their family members or other trusted individuals navigating or participating in a patient’s care at the hospital (e.g., facilitate communication, participate in consent process).</w:t>
      </w:r>
    </w:p>
    <w:p w14:paraId="10D39978" w14:textId="77777777" w:rsidR="003C64C1" w:rsidRDefault="003C64C1" w:rsidP="00D20722">
      <w:pPr>
        <w:pStyle w:val="Heading44"/>
        <w:rPr>
          <w:b w:val="0"/>
          <w:bCs/>
          <w:sz w:val="20"/>
        </w:rPr>
      </w:pPr>
    </w:p>
    <w:p w14:paraId="1A04C42B" w14:textId="0D623ECF" w:rsidR="003C64C1" w:rsidRDefault="003C64C1" w:rsidP="00D20722">
      <w:pPr>
        <w:pStyle w:val="Heading44"/>
        <w:rPr>
          <w:b w:val="0"/>
          <w:bCs/>
          <w:sz w:val="20"/>
        </w:rPr>
      </w:pPr>
      <w:r w:rsidRPr="003C64C1">
        <w:rPr>
          <w:b w:val="0"/>
          <w:bCs/>
          <w:sz w:val="20"/>
        </w:rPr>
        <w:t>Leapfrog received extensive public comments regarding a potential update to the 2027 Hospital Survey to strengthen the participation of patients and/or care partners on the hospital-wide quality and safety committee by</w:t>
      </w:r>
      <w:r>
        <w:rPr>
          <w:b w:val="0"/>
          <w:color w:val="auto"/>
          <w:sz w:val="20"/>
        </w:rPr>
        <w:t xml:space="preserve"> r</w:t>
      </w:r>
      <w:r w:rsidRPr="003C64C1">
        <w:rPr>
          <w:b w:val="0"/>
          <w:bCs/>
          <w:sz w:val="20"/>
        </w:rPr>
        <w:t>equiring two or more patients and/or care partners on committees. Commenters across stakeholder groups consistently support incorporating patients and their care partners in quality and safety committees and specifically cite the valuable feedback they have provided to hospitals in that context and the role they’ve played as partners in improving clinical care delivery. However, hospitals cited obstacles to increasing the number of representative participants and recommended that Leapfrog pursue a standard to further incorporate patients’ perspectives in quality and safety efforts that goes beyond participation in a specific committee, but instead reflects participation through other venues, including PFACs, structured post-care interviews, or other targeted ways to solicit patient feedback.</w:t>
      </w:r>
    </w:p>
    <w:p w14:paraId="171EF232" w14:textId="77777777" w:rsidR="003C64C1" w:rsidRDefault="003C64C1" w:rsidP="00D20722">
      <w:pPr>
        <w:pStyle w:val="Heading44"/>
        <w:rPr>
          <w:b w:val="0"/>
          <w:bCs/>
          <w:sz w:val="20"/>
        </w:rPr>
      </w:pPr>
    </w:p>
    <w:p w14:paraId="02016E5D" w14:textId="2E21CEB2" w:rsidR="003C64C1" w:rsidRDefault="008672E7" w:rsidP="00D20722">
      <w:pPr>
        <w:pStyle w:val="Heading44"/>
        <w:rPr>
          <w:b w:val="0"/>
          <w:bCs/>
          <w:sz w:val="20"/>
        </w:rPr>
      </w:pPr>
      <w:r w:rsidRPr="008672E7">
        <w:rPr>
          <w:b w:val="0"/>
          <w:bCs/>
          <w:sz w:val="20"/>
        </w:rPr>
        <w:t xml:space="preserve">Finally, hospitals in a health system noted that because they convene individual hospital committees at each campus, they are already hearing from numbers of patients and families, including at network committees that already will have the benefit of multiple participating patients. All comments will be reviewed with Leapfrog’s </w:t>
      </w:r>
      <w:hyperlink r:id="rId369" w:history="1">
        <w:r w:rsidRPr="008672E7">
          <w:rPr>
            <w:rStyle w:val="Hyperlink"/>
            <w:b w:val="0"/>
            <w:bCs/>
            <w:sz w:val="20"/>
          </w:rPr>
          <w:t>Expert Panel</w:t>
        </w:r>
      </w:hyperlink>
      <w:r w:rsidRPr="008672E7">
        <w:rPr>
          <w:b w:val="0"/>
          <w:bCs/>
          <w:sz w:val="20"/>
        </w:rPr>
        <w:t xml:space="preserve"> as part of Leapfrog’s regular standard review process prior to announcing any potential changes for the 2027 Leapfrog Hospital Survey.</w:t>
      </w:r>
    </w:p>
    <w:p w14:paraId="1425C31F" w14:textId="77777777" w:rsidR="00D20722" w:rsidRPr="000F1DB4" w:rsidRDefault="00D20722" w:rsidP="00D20722">
      <w:pPr>
        <w:rPr>
          <w:bCs/>
        </w:rPr>
      </w:pPr>
    </w:p>
    <w:p w14:paraId="07BB37D5" w14:textId="77777777" w:rsidR="00D20722" w:rsidRDefault="00D20722" w:rsidP="00D20722">
      <w:pPr>
        <w:pStyle w:val="Heading44"/>
      </w:pPr>
      <w:r w:rsidRPr="00AD46BD">
        <w:t>Section 6B: NQF Safe Practice #2 – Culture Measurement, Feedback, and Intervention</w:t>
      </w:r>
    </w:p>
    <w:p w14:paraId="3459A95E" w14:textId="77CA8858" w:rsidR="00D20722" w:rsidRPr="00B41AE9" w:rsidRDefault="00B41AE9" w:rsidP="00D20722">
      <w:r w:rsidRPr="00B41AE9">
        <w:t>There are no changes to this subsection</w:t>
      </w:r>
      <w:r w:rsidR="008C404D">
        <w:t xml:space="preserve">. </w:t>
      </w:r>
      <w:r w:rsidR="008C404D" w:rsidRPr="008C404D">
        <w:t xml:space="preserve">As a reminder, the AHRQ Hospital Survey on Patient Safety Culture Version 1.0 can no longer be used for the purposes of reporting on the 2026 Leapfrog Hospital Survey. Only Version 2.0 may be used. Similarly, SCORE can no longer be used for the purposes of reporting on the 2026 Leapfrog Hospital Survey. Only SCORE II may be used. Please reference the Guidelines for a Culture of Safety Survey document available on our </w:t>
      </w:r>
      <w:hyperlink r:id="rId370" w:history="1">
        <w:r w:rsidR="008C404D" w:rsidRPr="008C404D">
          <w:rPr>
            <w:rStyle w:val="Hyperlink"/>
          </w:rPr>
          <w:t>website</w:t>
        </w:r>
      </w:hyperlink>
      <w:r w:rsidR="008C404D" w:rsidRPr="008C404D">
        <w:t>.</w:t>
      </w:r>
    </w:p>
    <w:p w14:paraId="2FFFAFB4" w14:textId="77777777" w:rsidR="00B41AE9" w:rsidRPr="00AD46BD" w:rsidRDefault="00B41AE9" w:rsidP="00D20722">
      <w:pPr>
        <w:rPr>
          <w:b/>
          <w:bCs/>
        </w:rPr>
      </w:pPr>
    </w:p>
    <w:p w14:paraId="6B5D3F7D" w14:textId="256C130F" w:rsidR="00D20722" w:rsidRDefault="00D20722" w:rsidP="00E53A63">
      <w:pPr>
        <w:pStyle w:val="Heading44"/>
      </w:pPr>
      <w:r>
        <w:t>Section 6</w:t>
      </w:r>
      <w:r w:rsidR="00AA1BEF">
        <w:t>C</w:t>
      </w:r>
      <w:r>
        <w:t xml:space="preserve">: Hand Hygiene </w:t>
      </w:r>
    </w:p>
    <w:p w14:paraId="411D808D" w14:textId="1FFC0DAC" w:rsidR="005A54FF" w:rsidRPr="00C8561F" w:rsidRDefault="005A54FF" w:rsidP="00E53A63">
      <w:pPr>
        <w:pStyle w:val="Heading44"/>
        <w:rPr>
          <w:b w:val="0"/>
          <w:bCs/>
          <w:sz w:val="20"/>
        </w:rPr>
      </w:pPr>
      <w:r w:rsidRPr="00C8561F">
        <w:rPr>
          <w:b w:val="0"/>
          <w:bCs/>
          <w:sz w:val="20"/>
        </w:rPr>
        <w:t>There are no changes to this subsection.</w:t>
      </w:r>
    </w:p>
    <w:p w14:paraId="08DA0684" w14:textId="77777777" w:rsidR="00D20722" w:rsidRDefault="00D20722" w:rsidP="00552119">
      <w:pPr>
        <w:shd w:val="clear" w:color="auto" w:fill="FFFFFF"/>
        <w:contextualSpacing/>
      </w:pPr>
    </w:p>
    <w:p w14:paraId="3FE4AC54" w14:textId="77777777" w:rsidR="00620881" w:rsidRDefault="00620881" w:rsidP="00552119">
      <w:pPr>
        <w:shd w:val="clear" w:color="auto" w:fill="FFFFFF"/>
        <w:contextualSpacing/>
      </w:pPr>
      <w:r w:rsidRPr="00620881">
        <w:rPr>
          <w:b/>
          <w:bCs/>
        </w:rPr>
        <w:t>Request for Information</w:t>
      </w:r>
      <w:r w:rsidRPr="00620881">
        <w:t xml:space="preserve"> </w:t>
      </w:r>
    </w:p>
    <w:p w14:paraId="5A75A27E" w14:textId="77777777" w:rsidR="00620881" w:rsidRDefault="00620881" w:rsidP="00552119">
      <w:pPr>
        <w:shd w:val="clear" w:color="auto" w:fill="FFFFFF"/>
        <w:contextualSpacing/>
      </w:pPr>
      <w:r w:rsidRPr="00620881">
        <w:t xml:space="preserve">As part of our request for public comments, Leapfrog included a request for information and recommendations on strengthening all elements of the Hand Hygiene standard, prompted by ongoing dialogue with the Association for Professionals in Infection Control and Epidemiology (APIC). Leapfrog appreciates the over one hundred commenters that submitted information. Some comments supported APIC’s perspective that 50 observations are sufficient for monitoring. Several comments requested that Leapfrog consider alternatives to the monitoring requirements due to current burden and potential for reporting bias such as cumulative sampling and point prevalence models. Many also added that they encourage Leapfrog to maintain its current multimodal approach to hand hygiene and the five domains included while revisiting the monitoring requirements. Some commenters supported maintaining Leapfrog’s standard as is. One commenter suggested that the hand hygiene measure be removed entirely given the inclusion of associated outcomes like the healthcare-associated infections. </w:t>
      </w:r>
    </w:p>
    <w:p w14:paraId="6C31EDDD" w14:textId="77777777" w:rsidR="00620881" w:rsidRDefault="00620881" w:rsidP="00552119">
      <w:pPr>
        <w:shd w:val="clear" w:color="auto" w:fill="FFFFFF"/>
        <w:contextualSpacing/>
      </w:pPr>
    </w:p>
    <w:p w14:paraId="6D2DB345" w14:textId="7D66DD5C" w:rsidR="00620881" w:rsidRDefault="00620881" w:rsidP="00552119">
      <w:pPr>
        <w:shd w:val="clear" w:color="auto" w:fill="FFFFFF"/>
        <w:contextualSpacing/>
      </w:pPr>
      <w:r w:rsidRPr="00620881">
        <w:t xml:space="preserve">Leapfrog and its </w:t>
      </w:r>
      <w:hyperlink r:id="rId371" w:history="1">
        <w:r w:rsidRPr="00620881">
          <w:rPr>
            <w:rStyle w:val="Hyperlink"/>
          </w:rPr>
          <w:t>Hand Hygiene Expert Panel</w:t>
        </w:r>
      </w:hyperlink>
      <w:r w:rsidRPr="00620881">
        <w:t xml:space="preserve"> continue to conclude that the current monitoring standard is necessary to ensure hospitals are using reliable data on both hand hygiene compliance and changes in </w:t>
      </w:r>
      <w:r w:rsidRPr="00620881">
        <w:lastRenderedPageBreak/>
        <w:t>compliance levels. This is based on a comprehensive literature review and statistical analysis. However, given the relatively limited body of literature available on this topic and the compelling comments, Leapfrog will continue working with APIC, World Health Organization, and others to test the standard and determine if changes are merited for the 2027 Leapfrog Surveys.</w:t>
      </w:r>
    </w:p>
    <w:p w14:paraId="6C61D05D" w14:textId="77777777" w:rsidR="00620881" w:rsidRDefault="00620881" w:rsidP="00552119">
      <w:pPr>
        <w:shd w:val="clear" w:color="auto" w:fill="FFFFFF"/>
        <w:contextualSpacing/>
      </w:pPr>
    </w:p>
    <w:p w14:paraId="5908BCB9" w14:textId="3B5EAA7E" w:rsidR="004F2BE4" w:rsidRDefault="004F2BE4" w:rsidP="00C37A8D">
      <w:pPr>
        <w:pStyle w:val="Heading44"/>
      </w:pPr>
      <w:r>
        <w:t>Section 6</w:t>
      </w:r>
      <w:r w:rsidR="00AA1BEF">
        <w:t>D</w:t>
      </w:r>
      <w:r>
        <w:t>: Diagnostic Excellence</w:t>
      </w:r>
    </w:p>
    <w:p w14:paraId="27086169" w14:textId="665D397C" w:rsidR="00BE1F8C" w:rsidRDefault="00BE1F8C" w:rsidP="00C37A8D">
      <w:pPr>
        <w:pStyle w:val="Heading44"/>
        <w:rPr>
          <w:b w:val="0"/>
          <w:bCs/>
          <w:sz w:val="20"/>
        </w:rPr>
      </w:pPr>
      <w:r w:rsidRPr="00BE1F8C">
        <w:rPr>
          <w:b w:val="0"/>
          <w:bCs/>
          <w:sz w:val="20"/>
        </w:rPr>
        <w:t>To better assess overall national performance in this emerging area of patient safety, Leapfrog is requiring hospitals to report on Section 6D: Diagnostic Excellence beginning with the 2026 Leapfrog Hospital Survey. However, responses will not be scored or publicly reported.</w:t>
      </w:r>
    </w:p>
    <w:p w14:paraId="24FEF078" w14:textId="77777777" w:rsidR="00BE1F8C" w:rsidRDefault="00BE1F8C" w:rsidP="00C37A8D">
      <w:pPr>
        <w:pStyle w:val="Heading44"/>
        <w:rPr>
          <w:b w:val="0"/>
          <w:bCs/>
          <w:sz w:val="20"/>
        </w:rPr>
      </w:pPr>
    </w:p>
    <w:p w14:paraId="35AAD1D1" w14:textId="765B97D3" w:rsidR="00B41AE9" w:rsidRDefault="00BE1F8C" w:rsidP="00C37A8D">
      <w:pPr>
        <w:pStyle w:val="Heading44"/>
        <w:rPr>
          <w:b w:val="0"/>
          <w:bCs/>
          <w:sz w:val="20"/>
        </w:rPr>
      </w:pPr>
      <w:r w:rsidRPr="00BE1F8C">
        <w:rPr>
          <w:b w:val="0"/>
          <w:bCs/>
          <w:sz w:val="20"/>
        </w:rPr>
        <w:t>Leapfrog is removing several questions in this subsection to focus on the most effective evidence-based practices to reduce diagnostic errors, including convening a multidisciplinary team; leveraging that team to collect and review data, encourage data submission, assess progress on the Safer Dx Checklist; training staff using AHRQ’s TeamSTEPPS for Diagnosis Improvement, and convening emergency medicine staff, radiologists, and pathologists, to develop and implement protocols to reduce the incidence of diagnostic errors.</w:t>
      </w:r>
      <w:r w:rsidR="00B41AE9" w:rsidRPr="00B41AE9">
        <w:rPr>
          <w:b w:val="0"/>
          <w:bCs/>
          <w:sz w:val="20"/>
        </w:rPr>
        <w:t xml:space="preserve">. </w:t>
      </w:r>
    </w:p>
    <w:p w14:paraId="33D28D9B" w14:textId="77777777" w:rsidR="00B41AE9" w:rsidRDefault="00B41AE9" w:rsidP="00C37A8D">
      <w:pPr>
        <w:pStyle w:val="Heading44"/>
        <w:rPr>
          <w:b w:val="0"/>
          <w:bCs/>
          <w:sz w:val="20"/>
        </w:rPr>
      </w:pPr>
    </w:p>
    <w:p w14:paraId="71F1483E" w14:textId="7540037B" w:rsidR="00B41AE9" w:rsidRDefault="00B41AE9" w:rsidP="00C37A8D">
      <w:pPr>
        <w:pStyle w:val="Heading44"/>
        <w:rPr>
          <w:b w:val="0"/>
          <w:bCs/>
          <w:sz w:val="20"/>
        </w:rPr>
      </w:pPr>
      <w:r w:rsidRPr="00B41AE9">
        <w:rPr>
          <w:b w:val="0"/>
          <w:bCs/>
          <w:sz w:val="20"/>
        </w:rPr>
        <w:t>Progress on implementing these best practices will be assessed by eight questions, compared to 22 questions from the 2025 Hospital Survey.</w:t>
      </w:r>
    </w:p>
    <w:p w14:paraId="2D69B4C6" w14:textId="77777777" w:rsidR="006659EB" w:rsidRDefault="006659EB" w:rsidP="00C37A8D">
      <w:pPr>
        <w:pStyle w:val="Heading44"/>
        <w:rPr>
          <w:b w:val="0"/>
          <w:bCs/>
          <w:sz w:val="20"/>
        </w:rPr>
      </w:pPr>
    </w:p>
    <w:p w14:paraId="3278827D" w14:textId="77777777" w:rsidR="001F4F03" w:rsidRDefault="001F4F03" w:rsidP="001F4F03">
      <w:pPr>
        <w:pStyle w:val="Heading44"/>
        <w:rPr>
          <w:b w:val="0"/>
          <w:bCs/>
          <w:sz w:val="20"/>
        </w:rPr>
      </w:pPr>
      <w:r w:rsidRPr="001F4F03">
        <w:rPr>
          <w:b w:val="0"/>
          <w:bCs/>
          <w:sz w:val="20"/>
        </w:rPr>
        <w:t>We removed the following questions:</w:t>
      </w:r>
    </w:p>
    <w:p w14:paraId="74512A99" w14:textId="77777777" w:rsidR="00DB2035" w:rsidRDefault="00DB2035" w:rsidP="00DB2035">
      <w:pPr>
        <w:pStyle w:val="Heading44"/>
        <w:numPr>
          <w:ilvl w:val="0"/>
          <w:numId w:val="464"/>
        </w:numPr>
        <w:rPr>
          <w:b w:val="0"/>
          <w:bCs/>
          <w:sz w:val="20"/>
        </w:rPr>
      </w:pPr>
      <w:r w:rsidRPr="00DB2035">
        <w:rPr>
          <w:b w:val="0"/>
          <w:bCs/>
          <w:sz w:val="20"/>
        </w:rPr>
        <w:t xml:space="preserve">Questions #1 and #2, concerning hospital CEO or CMO commitment to reducing harm to patients due to diagnostic error and communicating specific actions as part of that commitment. </w:t>
      </w:r>
    </w:p>
    <w:p w14:paraId="47DA993B" w14:textId="5E2E314A" w:rsidR="00DB2035" w:rsidRDefault="00DB2035" w:rsidP="00DB2035">
      <w:pPr>
        <w:pStyle w:val="Heading44"/>
        <w:numPr>
          <w:ilvl w:val="1"/>
          <w:numId w:val="464"/>
        </w:numPr>
        <w:rPr>
          <w:b w:val="0"/>
          <w:bCs/>
          <w:sz w:val="20"/>
        </w:rPr>
      </w:pPr>
      <w:r w:rsidRPr="00DB2035">
        <w:rPr>
          <w:b w:val="0"/>
          <w:bCs/>
          <w:sz w:val="20"/>
        </w:rPr>
        <w:t xml:space="preserve">Note: The hospital’s CEO or CMO is still required to formally sponsor the multidisciplinary team, as well as review quarterly reports from the team and facilitate a report-out to the hospital board every year. As such, the hospital CEO and CMO are still required to meaningfully and publicly engage with staff to reduce harm to patients from diagnostic error; this question is being removed to streamline reporting. </w:t>
      </w:r>
    </w:p>
    <w:p w14:paraId="1BD2550C" w14:textId="77777777" w:rsidR="00DB2035" w:rsidRDefault="00DB2035" w:rsidP="00DB2035">
      <w:pPr>
        <w:pStyle w:val="Heading44"/>
        <w:numPr>
          <w:ilvl w:val="0"/>
          <w:numId w:val="464"/>
        </w:numPr>
        <w:rPr>
          <w:b w:val="0"/>
          <w:bCs/>
          <w:sz w:val="20"/>
        </w:rPr>
      </w:pPr>
      <w:r w:rsidRPr="00DB2035">
        <w:rPr>
          <w:b w:val="0"/>
          <w:bCs/>
          <w:sz w:val="20"/>
        </w:rPr>
        <w:t xml:space="preserve">Questions #3 and #4, concerning engaging with Patient and Family Advisory Councils (PFACs) on initiatives aimed at reducing errors in diagnosis. </w:t>
      </w:r>
    </w:p>
    <w:p w14:paraId="57B3309D" w14:textId="21EEA664" w:rsidR="0081747C" w:rsidRDefault="00DB2035" w:rsidP="00DB2035">
      <w:pPr>
        <w:pStyle w:val="Heading44"/>
        <w:numPr>
          <w:ilvl w:val="1"/>
          <w:numId w:val="464"/>
        </w:numPr>
        <w:rPr>
          <w:b w:val="0"/>
          <w:bCs/>
          <w:sz w:val="20"/>
        </w:rPr>
      </w:pPr>
      <w:r w:rsidRPr="00DB2035">
        <w:rPr>
          <w:b w:val="0"/>
          <w:bCs/>
          <w:sz w:val="20"/>
        </w:rPr>
        <w:t>Note: Leapfrog is adding a new requirement, that the hospital’s multidisciplinary team must include at least one patient and/or care partner (for example, the patient and/or care partner currently serving on the patient safety committee). The Agency for Healthcare Research and Quality has specifically cited including patients as members of quality and safety committees as a “next step” beyond convening a patient and family advisory council, representing a progressive incremental step in patient and care partner engagement (AHRQ Working with Patients and Families as Advisors Implementation Handbook). A majority of hospitals that report to the Leapfrog Hospital Survey have incorporated patients and care partners in their hospital-wide quality and safety committees; hospitals that elect to use these committees as an opportunity to prioritize diagnosis work by dedicating specific time on their agenda to diagnosis can continue to use the same patient and/or care partners, or use this opportunity to engage additional individuals.</w:t>
      </w:r>
    </w:p>
    <w:p w14:paraId="17B5E84E" w14:textId="77777777" w:rsidR="00790C31" w:rsidRDefault="00BB5567" w:rsidP="00BB5567">
      <w:pPr>
        <w:pStyle w:val="Heading44"/>
        <w:numPr>
          <w:ilvl w:val="0"/>
          <w:numId w:val="464"/>
        </w:numPr>
        <w:rPr>
          <w:b w:val="0"/>
          <w:bCs/>
          <w:sz w:val="20"/>
        </w:rPr>
      </w:pPr>
      <w:r w:rsidRPr="00BB5567">
        <w:rPr>
          <w:b w:val="0"/>
          <w:bCs/>
          <w:sz w:val="20"/>
        </w:rPr>
        <w:t xml:space="preserve">Question #8, concerning whether the multidisciplinary team focused on diagnostic excellence has educated staff on their efforts to reduce errors in diagnosis. </w:t>
      </w:r>
    </w:p>
    <w:p w14:paraId="2866F4DA" w14:textId="77777777" w:rsidR="00790C31" w:rsidRDefault="00790C31" w:rsidP="00BB5567">
      <w:pPr>
        <w:pStyle w:val="Heading44"/>
        <w:numPr>
          <w:ilvl w:val="0"/>
          <w:numId w:val="464"/>
        </w:numPr>
        <w:rPr>
          <w:b w:val="0"/>
          <w:bCs/>
          <w:sz w:val="20"/>
        </w:rPr>
      </w:pPr>
      <w:r>
        <w:rPr>
          <w:b w:val="0"/>
          <w:bCs/>
          <w:sz w:val="20"/>
        </w:rPr>
        <w:t>Q</w:t>
      </w:r>
      <w:r w:rsidR="00BB5567" w:rsidRPr="00BB5567">
        <w:rPr>
          <w:b w:val="0"/>
          <w:bCs/>
          <w:sz w:val="20"/>
        </w:rPr>
        <w:t xml:space="preserve">uestion #10, concerning whether the multidisciplinary team conducted any analyses or case reviews within four weeks of a diagnostic error being identified and ensured the findings were communicated to the individuals involved in the patient’s care and hospital leadership. </w:t>
      </w:r>
    </w:p>
    <w:p w14:paraId="192EDB32" w14:textId="031E3225" w:rsidR="00DB2035" w:rsidRDefault="00BB5567" w:rsidP="00BB5567">
      <w:pPr>
        <w:pStyle w:val="Heading44"/>
        <w:numPr>
          <w:ilvl w:val="0"/>
          <w:numId w:val="464"/>
        </w:numPr>
        <w:rPr>
          <w:b w:val="0"/>
          <w:bCs/>
          <w:sz w:val="20"/>
        </w:rPr>
      </w:pPr>
      <w:r w:rsidRPr="00BB5567">
        <w:rPr>
          <w:b w:val="0"/>
          <w:bCs/>
          <w:sz w:val="20"/>
        </w:rPr>
        <w:t>Questions #12 and #14, concerning the multidisciplinary team convening emergency medicine staff to identify commonly misdiagnosed conditions in the emergency department, as well as convening radiologists and pathologists to discuss diagnosis related issues. Instead, questions #13 and #15 are updated to capture this information.</w:t>
      </w:r>
    </w:p>
    <w:p w14:paraId="3716F8C3" w14:textId="5FADE7FE" w:rsidR="00DB2035" w:rsidRPr="00790C31" w:rsidRDefault="00790C31" w:rsidP="00DB2035">
      <w:pPr>
        <w:pStyle w:val="Heading44"/>
        <w:numPr>
          <w:ilvl w:val="0"/>
          <w:numId w:val="464"/>
        </w:numPr>
        <w:rPr>
          <w:b w:val="0"/>
          <w:bCs/>
          <w:sz w:val="20"/>
        </w:rPr>
      </w:pPr>
      <w:r w:rsidRPr="00790C31">
        <w:rPr>
          <w:b w:val="0"/>
          <w:bCs/>
          <w:sz w:val="20"/>
        </w:rPr>
        <w:t>Questions #17-22, assessing hospitals’ processes for assessing whether certain cancer diagnoses were communicated to patients or the ordering provider of the diagnostic test (closing the loop on cancer diagnosis).</w:t>
      </w:r>
    </w:p>
    <w:p w14:paraId="766FE48D" w14:textId="77777777" w:rsidR="00DB2035" w:rsidRDefault="00DB2035" w:rsidP="00DB2035">
      <w:pPr>
        <w:pStyle w:val="Heading44"/>
        <w:rPr>
          <w:b w:val="0"/>
          <w:bCs/>
          <w:sz w:val="20"/>
        </w:rPr>
      </w:pPr>
    </w:p>
    <w:p w14:paraId="3CE7A4B9" w14:textId="77777777" w:rsidR="00DB2035" w:rsidRDefault="00DB2035" w:rsidP="00DB2035">
      <w:pPr>
        <w:pStyle w:val="Heading44"/>
        <w:rPr>
          <w:b w:val="0"/>
          <w:bCs/>
          <w:sz w:val="20"/>
        </w:rPr>
      </w:pPr>
    </w:p>
    <w:p w14:paraId="19E71124" w14:textId="5CFC9271" w:rsidR="0081747C" w:rsidRDefault="0081747C" w:rsidP="0081747C">
      <w:pPr>
        <w:pStyle w:val="Heading44"/>
        <w:rPr>
          <w:b w:val="0"/>
          <w:bCs/>
          <w:sz w:val="20"/>
        </w:rPr>
      </w:pPr>
      <w:r w:rsidRPr="0081747C">
        <w:rPr>
          <w:b w:val="0"/>
          <w:bCs/>
          <w:sz w:val="20"/>
        </w:rPr>
        <w:lastRenderedPageBreak/>
        <w:t xml:space="preserve">In addition, </w:t>
      </w:r>
      <w:r w:rsidR="00337E47" w:rsidRPr="00337E47">
        <w:rPr>
          <w:b w:val="0"/>
          <w:bCs/>
          <w:sz w:val="20"/>
        </w:rPr>
        <w:t>Leapfrog is updating the current question #1, regarding whether a hospital has convened a multidisciplinary team focused on diagnostic excellence, in two key aspects:</w:t>
      </w:r>
    </w:p>
    <w:p w14:paraId="349BE2E0" w14:textId="77777777" w:rsidR="00337E47" w:rsidRDefault="00337E47" w:rsidP="0081747C">
      <w:pPr>
        <w:pStyle w:val="Heading44"/>
        <w:rPr>
          <w:b w:val="0"/>
          <w:bCs/>
          <w:sz w:val="20"/>
        </w:rPr>
      </w:pPr>
    </w:p>
    <w:p w14:paraId="70A6C969" w14:textId="77777777" w:rsidR="000A1580" w:rsidRDefault="000A1580" w:rsidP="000A1580">
      <w:pPr>
        <w:pStyle w:val="Heading44"/>
        <w:numPr>
          <w:ilvl w:val="0"/>
          <w:numId w:val="466"/>
        </w:numPr>
        <w:rPr>
          <w:b w:val="0"/>
          <w:bCs/>
          <w:sz w:val="20"/>
        </w:rPr>
      </w:pPr>
      <w:r w:rsidRPr="000A1580">
        <w:rPr>
          <w:b w:val="0"/>
          <w:bCs/>
          <w:sz w:val="20"/>
        </w:rPr>
        <w:t xml:space="preserve">First, Leapfrog is revising the guidance embedded in the question to read: “The multidisciplinary team can be the established hospital-wide safety and quality committee if the committee has a dedicated agenda item at least quarterly to review efforts focused on reducing harm to patients from errors in the diagnostic process.” </w:t>
      </w:r>
    </w:p>
    <w:p w14:paraId="402DDA28" w14:textId="77777777" w:rsidR="000A1580" w:rsidRDefault="000A1580" w:rsidP="000A1580">
      <w:pPr>
        <w:pStyle w:val="Heading44"/>
        <w:ind w:left="720"/>
        <w:rPr>
          <w:b w:val="0"/>
          <w:bCs/>
          <w:sz w:val="20"/>
        </w:rPr>
      </w:pPr>
    </w:p>
    <w:p w14:paraId="6976E42E" w14:textId="77777777" w:rsidR="00114D75" w:rsidRDefault="000A1580" w:rsidP="00114D75">
      <w:pPr>
        <w:pStyle w:val="Heading44"/>
        <w:ind w:left="720"/>
        <w:rPr>
          <w:b w:val="0"/>
          <w:bCs/>
          <w:sz w:val="20"/>
        </w:rPr>
      </w:pPr>
      <w:r w:rsidRPr="000A1580">
        <w:rPr>
          <w:b w:val="0"/>
          <w:bCs/>
          <w:sz w:val="20"/>
        </w:rPr>
        <w:t xml:space="preserve">In prior years, the guidance indicated that the multidisciplinary team should be a distinct entity and separate from the established hospital-wide safety and quality committee. However, in response to hospital feedback and in consultation with our </w:t>
      </w:r>
      <w:hyperlink r:id="rId372" w:history="1">
        <w:r w:rsidRPr="000A1580">
          <w:rPr>
            <w:rStyle w:val="Hyperlink"/>
            <w:b w:val="0"/>
            <w:bCs/>
            <w:sz w:val="20"/>
          </w:rPr>
          <w:t>Diagnostic Excellence Expert Panel</w:t>
        </w:r>
      </w:hyperlink>
      <w:r w:rsidRPr="000A1580">
        <w:rPr>
          <w:b w:val="0"/>
          <w:bCs/>
          <w:sz w:val="20"/>
        </w:rPr>
        <w:t xml:space="preserve">, Leapfrog determined that a safety and quality committee with dedicated time for discussion meets the intent of the question. </w:t>
      </w:r>
      <w:r w:rsidR="0081747C" w:rsidRPr="0081747C">
        <w:rPr>
          <w:b w:val="0"/>
          <w:bCs/>
          <w:sz w:val="20"/>
        </w:rPr>
        <w:t xml:space="preserve"> </w:t>
      </w:r>
    </w:p>
    <w:p w14:paraId="586721BA" w14:textId="77777777" w:rsidR="00114D75" w:rsidRDefault="00114D75" w:rsidP="00114D75">
      <w:pPr>
        <w:pStyle w:val="Heading44"/>
        <w:ind w:left="720"/>
        <w:rPr>
          <w:b w:val="0"/>
          <w:bCs/>
          <w:sz w:val="20"/>
        </w:rPr>
      </w:pPr>
    </w:p>
    <w:p w14:paraId="6F59B4D2" w14:textId="65D9A409" w:rsidR="002A1378" w:rsidRDefault="00114D75" w:rsidP="00114D75">
      <w:pPr>
        <w:pStyle w:val="Heading44"/>
        <w:numPr>
          <w:ilvl w:val="0"/>
          <w:numId w:val="466"/>
        </w:numPr>
        <w:rPr>
          <w:b w:val="0"/>
          <w:bCs/>
          <w:sz w:val="20"/>
        </w:rPr>
      </w:pPr>
      <w:r w:rsidRPr="00114D75">
        <w:rPr>
          <w:b w:val="0"/>
          <w:bCs/>
          <w:sz w:val="20"/>
        </w:rPr>
        <w:t>Second, Leapfrog is updating the wording of question #1 to read “does your hospital have a multidisciplinary team,” a change from the previous “does your hospital convene a multidisciplinary team,” to allow hospitals who belong to a system that has convened a system-level committee focused on diagnostic excellence to use that team to guide efforts at both a system level and on individual campuses.</w:t>
      </w:r>
    </w:p>
    <w:p w14:paraId="2768F585" w14:textId="77777777" w:rsidR="00C833AB" w:rsidRDefault="00C833AB" w:rsidP="00C833AB">
      <w:pPr>
        <w:pStyle w:val="Heading44"/>
        <w:ind w:left="720"/>
        <w:rPr>
          <w:b w:val="0"/>
          <w:bCs/>
          <w:sz w:val="20"/>
        </w:rPr>
      </w:pPr>
    </w:p>
    <w:p w14:paraId="3F20A78E" w14:textId="077A1451" w:rsidR="00114D75" w:rsidRDefault="00C833AB" w:rsidP="00114D75">
      <w:pPr>
        <w:pStyle w:val="Heading44"/>
        <w:numPr>
          <w:ilvl w:val="0"/>
          <w:numId w:val="466"/>
        </w:numPr>
        <w:rPr>
          <w:b w:val="0"/>
          <w:bCs/>
          <w:sz w:val="20"/>
        </w:rPr>
      </w:pPr>
      <w:r w:rsidRPr="00C833AB">
        <w:rPr>
          <w:b w:val="0"/>
          <w:bCs/>
          <w:sz w:val="20"/>
        </w:rPr>
        <w:t>Third and finally, as indicated above, Leapfrog now requires that the multidisciplinary team include at least one patient and/or care partner.</w:t>
      </w:r>
    </w:p>
    <w:p w14:paraId="603AA8B9" w14:textId="77777777" w:rsidR="00165BD9" w:rsidRDefault="00165BD9" w:rsidP="00237089"/>
    <w:p w14:paraId="60566BA6" w14:textId="15EBCB9E" w:rsidR="000B2069" w:rsidRDefault="002A1378" w:rsidP="00237089">
      <w:r w:rsidRPr="002A1378">
        <w:t xml:space="preserve">Furthermore, Leapfrog </w:t>
      </w:r>
      <w:r w:rsidR="00C833AB">
        <w:t>is updating</w:t>
      </w:r>
      <w:r w:rsidRPr="002A1378">
        <w:t xml:space="preserve"> the response options to indicate that if a different team at the hospital met the requirements of questions #</w:t>
      </w:r>
      <w:r w:rsidR="00C833AB">
        <w:t>3 and #4</w:t>
      </w:r>
      <w:r w:rsidRPr="002A1378">
        <w:t xml:space="preserve">, that team must also present their findings to the multidisciplinary team. </w:t>
      </w:r>
    </w:p>
    <w:p w14:paraId="5B32A476" w14:textId="77777777" w:rsidR="000B2069" w:rsidRDefault="000B2069" w:rsidP="00237089"/>
    <w:p w14:paraId="376E0460" w14:textId="7A7C09BA" w:rsidR="00CC1108" w:rsidRDefault="00CC1108" w:rsidP="00237089">
      <w:r w:rsidRPr="00CC1108">
        <w:t xml:space="preserve">To clarify the current question #6 and question #7, Leapfrog is adding a response option “Yes, but all practices are currently fully implemented” to question #6, and rephrasing question #7 to read “What steps has your hospital taken to implement one or more practices listed in the </w:t>
      </w:r>
      <w:hyperlink r:id="rId373" w:history="1">
        <w:r w:rsidRPr="00CC1108">
          <w:rPr>
            <w:rStyle w:val="Hyperlink"/>
          </w:rPr>
          <w:t>Safer Dx Checklist</w:t>
        </w:r>
      </w:hyperlink>
      <w:r w:rsidRPr="00CC1108">
        <w:t xml:space="preserve">?”. </w:t>
      </w:r>
    </w:p>
    <w:p w14:paraId="3AD9BC2D" w14:textId="77777777" w:rsidR="00CC1108" w:rsidRDefault="00CC1108" w:rsidP="00237089"/>
    <w:p w14:paraId="5D6324DE" w14:textId="12AABB22" w:rsidR="00CC1108" w:rsidRDefault="00CC1108" w:rsidP="00237089">
      <w:r w:rsidRPr="00CC1108">
        <w:t>To further clarify terminology used throughout this section, Leapfrog is replacing the term “errors in diagnosis” with “errors in the diagnostic process”, where applicable.</w:t>
      </w:r>
    </w:p>
    <w:p w14:paraId="363AFA80" w14:textId="77777777" w:rsidR="00CC1108" w:rsidRDefault="00CC1108" w:rsidP="00237089"/>
    <w:p w14:paraId="645A834E" w14:textId="5CFE0C35" w:rsidR="002E757E" w:rsidRDefault="002A1378" w:rsidP="00CC1108">
      <w:r w:rsidRPr="002A1378">
        <w:t xml:space="preserve">Finally, although Leapfrog </w:t>
      </w:r>
      <w:r w:rsidR="00CC1108">
        <w:t>is removing former</w:t>
      </w:r>
      <w:r w:rsidRPr="002A1378">
        <w:t xml:space="preserve"> questions #3, #4, and #10 in this subsection, the underlying diagnostic safety concepts associated with these questions remain important and addressable by hospitals using resources created by Leapfrog as part of our </w:t>
      </w:r>
      <w:hyperlink r:id="rId374" w:history="1">
        <w:r w:rsidRPr="000B2069">
          <w:rPr>
            <w:rStyle w:val="Hyperlink"/>
          </w:rPr>
          <w:t>Diagnostic Excellence initiative</w:t>
        </w:r>
      </w:hyperlink>
      <w:r w:rsidRPr="002A1378">
        <w:t xml:space="preserve">. As such, Leapfrog </w:t>
      </w:r>
      <w:r w:rsidR="004616D4">
        <w:t xml:space="preserve">is adding </w:t>
      </w:r>
      <w:r w:rsidRPr="002A1378">
        <w:t>two new FAQs to Section 6D: Diagnostic Excellence to direct hospitals to these resources:</w:t>
      </w:r>
      <w:r>
        <w:t xml:space="preserve"> </w:t>
      </w:r>
    </w:p>
    <w:p w14:paraId="49592183" w14:textId="77777777" w:rsidR="002A1378" w:rsidRDefault="002A1378" w:rsidP="00237089"/>
    <w:p w14:paraId="76035B9E" w14:textId="5ECB0C1E" w:rsidR="007B6C72" w:rsidRPr="00A851D1" w:rsidRDefault="007B6C72" w:rsidP="006B04C2">
      <w:pPr>
        <w:shd w:val="clear" w:color="auto" w:fill="FFFFFF"/>
        <w:contextualSpacing/>
        <w:rPr>
          <w:b/>
          <w:bCs/>
        </w:rPr>
      </w:pPr>
      <w:bookmarkStart w:id="517" w:name="_Toc510001899"/>
      <w:r w:rsidRPr="00A851D1">
        <w:rPr>
          <w:b/>
          <w:bCs/>
        </w:rPr>
        <w:t xml:space="preserve">Section 6E: </w:t>
      </w:r>
      <w:r w:rsidR="00E05CA0" w:rsidRPr="00A851D1">
        <w:rPr>
          <w:b/>
          <w:bCs/>
        </w:rPr>
        <w:t xml:space="preserve">Hospital Boarding in the </w:t>
      </w:r>
      <w:r w:rsidRPr="00A851D1">
        <w:rPr>
          <w:b/>
          <w:bCs/>
        </w:rPr>
        <w:t>Emergency Department (ED)</w:t>
      </w:r>
    </w:p>
    <w:p w14:paraId="0E79414D" w14:textId="026E2352" w:rsidR="00A851D1" w:rsidRDefault="00A851D1" w:rsidP="006B04C2">
      <w:pPr>
        <w:shd w:val="clear" w:color="auto" w:fill="FFFFFF"/>
        <w:contextualSpacing/>
      </w:pPr>
      <w:r w:rsidRPr="00A851D1">
        <w:t>In 2025, Leapfrog announced the decision to begin reporting on Emergency Department (ED) safety, recognizing the ED’s essential role in patient outcomes and importance to consumers and purchasers. As the first step in that</w:t>
      </w:r>
      <w:r w:rsidR="00887672" w:rsidRPr="00887672">
        <w:t xml:space="preserve"> reporting, the 2025 Leapfrog Hospital Survey introduced three fact-finding measures on hospital boarding in the ED. These included: the percentage of ED patients that are admitted to the hospital or for observation that had a boarding time greater than four hours, the median length of stay in the ED for patients admitted to the hospital or for observation, and the 90th percentile length of stay in the ED for patients admitted to the hospital or for observation. These measures excluded patients that were placed in ED observation status or transferred to another hospital.</w:t>
      </w:r>
    </w:p>
    <w:p w14:paraId="21CFD489" w14:textId="77777777" w:rsidR="00887672" w:rsidRDefault="00887672" w:rsidP="006B04C2">
      <w:pPr>
        <w:shd w:val="clear" w:color="auto" w:fill="FFFFFF"/>
        <w:contextualSpacing/>
      </w:pPr>
    </w:p>
    <w:p w14:paraId="113C7048" w14:textId="4790385D" w:rsidR="00887672" w:rsidRPr="00A851D1" w:rsidRDefault="00887672" w:rsidP="006B04C2">
      <w:pPr>
        <w:shd w:val="clear" w:color="auto" w:fill="FFFFFF"/>
        <w:contextualSpacing/>
      </w:pPr>
      <w:r w:rsidRPr="00887672">
        <w:t>Leapfrog is making several refinements to last year’s questions and measure specifications and will add one new question for the 2026 Leapfrog Hospital Survey, aimed at standardizing data collection, improving clarity, and strengthening the foundation for future benchmarking and public reporting.</w:t>
      </w:r>
      <w:r>
        <w:t xml:space="preserve"> </w:t>
      </w:r>
    </w:p>
    <w:p w14:paraId="1E493E1E" w14:textId="77777777" w:rsidR="006B04C2" w:rsidRDefault="006B04C2" w:rsidP="006B04C2">
      <w:pPr>
        <w:shd w:val="clear" w:color="auto" w:fill="FFFFFF"/>
        <w:contextualSpacing/>
      </w:pPr>
    </w:p>
    <w:p w14:paraId="1EE917EC" w14:textId="6A67FDF4" w:rsidR="00707FAB" w:rsidRDefault="006B04C2" w:rsidP="006B04C2">
      <w:pPr>
        <w:shd w:val="clear" w:color="auto" w:fill="FFFFFF"/>
        <w:contextualSpacing/>
      </w:pPr>
      <w:r w:rsidRPr="006B04C2">
        <w:t xml:space="preserve">First, based on feedback from Leapfrog’s </w:t>
      </w:r>
      <w:hyperlink r:id="rId375" w:history="1">
        <w:r w:rsidRPr="00694F51">
          <w:rPr>
            <w:rStyle w:val="Hyperlink"/>
          </w:rPr>
          <w:t>Emergency Department Boarding Expert Panel</w:t>
        </w:r>
      </w:hyperlink>
      <w:r w:rsidRPr="006B04C2">
        <w:t xml:space="preserve">, </w:t>
      </w:r>
      <w:r w:rsidR="00887672" w:rsidRPr="00887672">
        <w:t xml:space="preserve">we are updating questions #4 and #5 and asking hospitals to additionally report the </w:t>
      </w:r>
      <w:r w:rsidR="00887672" w:rsidRPr="00005079">
        <w:rPr>
          <w:u w:val="single"/>
        </w:rPr>
        <w:t>total boarding time (in hours)</w:t>
      </w:r>
      <w:r w:rsidR="00887672" w:rsidRPr="00887672">
        <w:t xml:space="preserve"> for all ED visits with an inpatient admission or where the patient was placed in hospital observation status. This will allow Leapfrog to understand the average hours patients admitted to the hospital boarded in the </w:t>
      </w:r>
      <w:r w:rsidR="00887672" w:rsidRPr="00887672">
        <w:lastRenderedPageBreak/>
        <w:t>ED</w:t>
      </w:r>
      <w:r w:rsidR="00005079">
        <w:t xml:space="preserve">. </w:t>
      </w:r>
      <w:r w:rsidR="00887672" w:rsidRPr="00887672">
        <w:t>This information will complement the existing data collected about patients that board for four or more hours.</w:t>
      </w:r>
    </w:p>
    <w:p w14:paraId="513C38E0" w14:textId="77777777" w:rsidR="00887672" w:rsidRDefault="00887672" w:rsidP="006B04C2">
      <w:pPr>
        <w:shd w:val="clear" w:color="auto" w:fill="FFFFFF"/>
        <w:contextualSpacing/>
      </w:pPr>
    </w:p>
    <w:p w14:paraId="6E877079" w14:textId="77777777" w:rsidR="00005079" w:rsidRDefault="00005079" w:rsidP="006B04C2">
      <w:r w:rsidRPr="00005079">
        <w:t xml:space="preserve">Second, the notes and measure specifications will be updated for clarity and to support standardized data collection. Specifically, the definitions for boarding time, guidance for hospitals operating a single general ED that are admitting pediatric patients to adult inpatient beds or adult observation beds, and guidance for hospitals admitting patients to licensed detox beds. </w:t>
      </w:r>
    </w:p>
    <w:p w14:paraId="668CEDA5" w14:textId="77777777" w:rsidR="00005079" w:rsidRDefault="00005079" w:rsidP="006B04C2"/>
    <w:p w14:paraId="716FC1BA" w14:textId="77777777" w:rsidR="00005079" w:rsidRDefault="00005079" w:rsidP="006B04C2">
      <w:r w:rsidRPr="00005079">
        <w:t xml:space="preserve">Finally, four new FAQs will be added to provide additional clarification regarding reporting expectations and definitions. </w:t>
      </w:r>
    </w:p>
    <w:p w14:paraId="18FA84E4" w14:textId="77777777" w:rsidR="00005079" w:rsidRDefault="00005079" w:rsidP="006B04C2"/>
    <w:p w14:paraId="5FBE84B8" w14:textId="6767ECF6" w:rsidR="006B04C2" w:rsidRDefault="00005079" w:rsidP="006B04C2">
      <w:r w:rsidRPr="00005079">
        <w:t>These questions will remain optional and will not be used in scoring or public reporting in 2026.</w:t>
      </w:r>
    </w:p>
    <w:p w14:paraId="085F3150" w14:textId="77777777" w:rsidR="00005079" w:rsidRPr="006B04C2" w:rsidRDefault="00005079" w:rsidP="006B04C2">
      <w:pPr>
        <w:rPr>
          <w:lang w:eastAsia="ja-JP"/>
        </w:rPr>
      </w:pPr>
    </w:p>
    <w:p w14:paraId="41458768" w14:textId="2F65F8B7" w:rsidR="00563CD7" w:rsidRDefault="00563CD7" w:rsidP="00AB5B80">
      <w:pPr>
        <w:pStyle w:val="Heading3"/>
      </w:pPr>
      <w:bookmarkStart w:id="518" w:name="_Toc225877793"/>
      <w:r w:rsidRPr="00BC2D78">
        <w:rPr>
          <w:rFonts w:hint="eastAsia"/>
        </w:rPr>
        <w:t>Change Summary</w:t>
      </w:r>
      <w:bookmarkEnd w:id="515"/>
      <w:r w:rsidRPr="00BC2D78">
        <w:rPr>
          <w:rFonts w:hint="eastAsia"/>
        </w:rPr>
        <w:t xml:space="preserve"> </w:t>
      </w:r>
      <w:r w:rsidR="00764EEA">
        <w:t>S</w:t>
      </w:r>
      <w:r w:rsidRPr="00BC2D78">
        <w:rPr>
          <w:rFonts w:hint="eastAsia"/>
        </w:rPr>
        <w:t>ince Release</w:t>
      </w:r>
      <w:bookmarkEnd w:id="516"/>
      <w:bookmarkEnd w:id="517"/>
      <w:bookmarkEnd w:id="518"/>
    </w:p>
    <w:p w14:paraId="6B2801DE" w14:textId="77777777" w:rsidR="00C26E31" w:rsidRPr="00C26E31" w:rsidRDefault="00C26E31" w:rsidP="00C26E31">
      <w:pPr>
        <w:rPr>
          <w:lang w:eastAsia="ja-JP"/>
        </w:rPr>
      </w:pPr>
    </w:p>
    <w:p w14:paraId="4CE87D12" w14:textId="047D46E6" w:rsidR="00345F52" w:rsidRPr="00C26E31" w:rsidRDefault="008609DB" w:rsidP="00C26E31">
      <w:pPr>
        <w:pStyle w:val="BodyText3"/>
        <w:rPr>
          <w:rFonts w:cs="Arial"/>
        </w:rPr>
      </w:pPr>
      <w:r w:rsidRPr="00572F61">
        <w:rPr>
          <w:rFonts w:cs="Arial"/>
          <w:highlight w:val="yellow"/>
        </w:rPr>
        <w:t xml:space="preserve">June 23, 2026 – Added Psychological Safety Culture Survey as an approved Option 3 Culture of Safety Survey. All approved Culture of Safety Surveys are available in Guidelines for a Culture of Safety Survey available on the </w:t>
      </w:r>
      <w:hyperlink r:id="rId376" w:history="1">
        <w:r w:rsidRPr="00572F61">
          <w:rPr>
            <w:rStyle w:val="Hyperlink"/>
            <w:rFonts w:cs="Arial"/>
            <w:highlight w:val="yellow"/>
          </w:rPr>
          <w:t>Survey and CPOE Materials webpage</w:t>
        </w:r>
      </w:hyperlink>
      <w:r w:rsidRPr="00572F61">
        <w:rPr>
          <w:rFonts w:cs="Arial"/>
          <w:highlight w:val="yellow"/>
        </w:rPr>
        <w:t>.</w:t>
      </w:r>
    </w:p>
    <w:p w14:paraId="3F63AE78" w14:textId="5AEB1EB6" w:rsidR="00080756" w:rsidRPr="00080756" w:rsidRDefault="005B7CBC" w:rsidP="00080756">
      <w:pPr>
        <w:rPr>
          <w:lang w:eastAsia="ja-JP"/>
        </w:rPr>
      </w:pPr>
      <w:bookmarkStart w:id="519" w:name="_Hlk71041196"/>
      <w:r>
        <w:rPr>
          <w:lang w:eastAsia="ja-JP"/>
        </w:rPr>
        <w:br w:type="page"/>
      </w:r>
    </w:p>
    <w:p w14:paraId="6F5E71F4" w14:textId="2749FFAB" w:rsidR="006F27F2" w:rsidRDefault="00AD5731" w:rsidP="00CF5A6E">
      <w:pPr>
        <w:pStyle w:val="Heading2"/>
      </w:pPr>
      <w:bookmarkStart w:id="520" w:name="_Safe_Practices_Frequently"/>
      <w:bookmarkStart w:id="521" w:name="_Section_6E:_Nurse"/>
      <w:bookmarkStart w:id="522" w:name="_Toc89330977"/>
      <w:bookmarkStart w:id="523" w:name="_Ref123647404"/>
      <w:bookmarkStart w:id="524" w:name="_Toc225877794"/>
      <w:bookmarkStart w:id="525" w:name="_Toc510001900"/>
      <w:bookmarkStart w:id="526" w:name="SPFAQs"/>
      <w:bookmarkEnd w:id="519"/>
      <w:bookmarkEnd w:id="520"/>
      <w:bookmarkEnd w:id="521"/>
      <w:r>
        <w:lastRenderedPageBreak/>
        <w:t xml:space="preserve">Section 6: </w:t>
      </w:r>
      <w:r w:rsidR="00CC0F5D">
        <w:t>Patient Safety Practices</w:t>
      </w:r>
      <w:r w:rsidR="006F27F2">
        <w:t xml:space="preserve"> Measure Specifications</w:t>
      </w:r>
      <w:bookmarkEnd w:id="522"/>
      <w:bookmarkEnd w:id="523"/>
      <w:bookmarkEnd w:id="524"/>
    </w:p>
    <w:p w14:paraId="46ADDEC5" w14:textId="77777777" w:rsidR="00C414E2" w:rsidRDefault="00C414E2" w:rsidP="00C414E2">
      <w:pPr>
        <w:rPr>
          <w:lang w:eastAsia="ja-JP"/>
        </w:rPr>
      </w:pPr>
    </w:p>
    <w:p w14:paraId="7AB5977B" w14:textId="0333644D" w:rsidR="00C414E2" w:rsidRDefault="00C414E2" w:rsidP="00AB5B80">
      <w:pPr>
        <w:pStyle w:val="Heading3"/>
      </w:pPr>
      <w:bookmarkStart w:id="527" w:name="_NQF_Safe_Practice"/>
      <w:bookmarkStart w:id="528" w:name="_Toc225877795"/>
      <w:bookmarkEnd w:id="527"/>
      <w:r>
        <w:t>NQF Safe Practice Measure Specifications</w:t>
      </w:r>
      <w:bookmarkEnd w:id="528"/>
      <w:r>
        <w:t xml:space="preserve"> </w:t>
      </w:r>
    </w:p>
    <w:p w14:paraId="471C8FD1" w14:textId="77777777" w:rsidR="00C414E2" w:rsidRDefault="00C414E2" w:rsidP="00C414E2">
      <w:pPr>
        <w:rPr>
          <w:lang w:eastAsia="ja-JP"/>
        </w:rPr>
      </w:pPr>
    </w:p>
    <w:p w14:paraId="0A8BD448" w14:textId="3BD53ACE" w:rsidR="00C414E2" w:rsidRPr="00E53A63" w:rsidRDefault="00825F2C" w:rsidP="00E53A63">
      <w:pPr>
        <w:pStyle w:val="Heading44"/>
        <w:rPr>
          <w:sz w:val="20"/>
          <w:szCs w:val="18"/>
        </w:rPr>
      </w:pPr>
      <w:r w:rsidRPr="00E53A63">
        <w:rPr>
          <w:sz w:val="20"/>
          <w:szCs w:val="18"/>
          <w:lang w:eastAsia="ja-JP"/>
        </w:rPr>
        <w:t>Instructions</w:t>
      </w:r>
      <w:r w:rsidR="00C414E2" w:rsidRPr="00E53A63">
        <w:rPr>
          <w:sz w:val="20"/>
          <w:szCs w:val="18"/>
          <w:lang w:eastAsia="ja-JP"/>
        </w:rPr>
        <w:t xml:space="preserve"> for Reporting on NQF Safe Practices:</w:t>
      </w:r>
    </w:p>
    <w:p w14:paraId="23815158" w14:textId="77777777" w:rsidR="00C414E2" w:rsidRPr="009A5185" w:rsidRDefault="00C414E2" w:rsidP="00C414E2">
      <w:pPr>
        <w:rPr>
          <w:rFonts w:cs="Arial"/>
          <w:b/>
          <w:bCs/>
        </w:rPr>
      </w:pPr>
    </w:p>
    <w:p w14:paraId="331A5E62" w14:textId="77777777" w:rsidR="00C414E2" w:rsidRPr="009A5185" w:rsidRDefault="00C414E2" w:rsidP="00AD309C">
      <w:pPr>
        <w:pStyle w:val="ListParagraph"/>
        <w:numPr>
          <w:ilvl w:val="0"/>
          <w:numId w:val="193"/>
        </w:numPr>
        <w:ind w:left="360"/>
        <w:rPr>
          <w:rFonts w:cs="Arial"/>
        </w:rPr>
      </w:pPr>
      <w:r w:rsidRPr="009A5185">
        <w:rPr>
          <w:rFonts w:cs="Arial"/>
          <w:b/>
          <w:bCs/>
        </w:rPr>
        <w:t>Prepare</w:t>
      </w:r>
      <w:r>
        <w:rPr>
          <w:rFonts w:cs="Arial"/>
          <w:b/>
          <w:bCs/>
        </w:rPr>
        <w:t>:</w:t>
      </w:r>
    </w:p>
    <w:p w14:paraId="15A39F09" w14:textId="1789D20D" w:rsidR="00C414E2" w:rsidRPr="009A5185" w:rsidRDefault="00C414E2" w:rsidP="00AD309C">
      <w:pPr>
        <w:pStyle w:val="ListParagraph"/>
        <w:numPr>
          <w:ilvl w:val="1"/>
          <w:numId w:val="193"/>
        </w:numPr>
        <w:ind w:left="1080"/>
        <w:rPr>
          <w:rFonts w:cs="Arial"/>
        </w:rPr>
      </w:pPr>
      <w:r w:rsidRPr="009A5185">
        <w:rPr>
          <w:rFonts w:cs="Arial"/>
          <w:bCs/>
        </w:rPr>
        <w:t>Download and review a copy</w:t>
      </w:r>
      <w:r w:rsidRPr="009A5185">
        <w:rPr>
          <w:rFonts w:cs="Arial"/>
        </w:rPr>
        <w:t xml:space="preserve"> of the National Quality Forum’s </w:t>
      </w:r>
      <w:r w:rsidRPr="009A5185">
        <w:rPr>
          <w:rFonts w:cs="Arial"/>
          <w:i/>
        </w:rPr>
        <w:t>Safe Practices for Better Healthcare – 2010 Update</w:t>
      </w:r>
      <w:r w:rsidRPr="009A5185">
        <w:rPr>
          <w:rFonts w:cs="Arial"/>
        </w:rPr>
        <w:t xml:space="preserve"> report </w:t>
      </w:r>
      <w:r>
        <w:rPr>
          <w:rFonts w:cs="Arial"/>
        </w:rPr>
        <w:t xml:space="preserve">for reporting on subsections 6A </w:t>
      </w:r>
      <w:r w:rsidR="0074256B">
        <w:rPr>
          <w:rFonts w:cs="Arial"/>
        </w:rPr>
        <w:t xml:space="preserve">and </w:t>
      </w:r>
      <w:r>
        <w:rPr>
          <w:rFonts w:cs="Arial"/>
        </w:rPr>
        <w:t>6B</w:t>
      </w:r>
      <w:r w:rsidR="0074256B">
        <w:rPr>
          <w:rFonts w:cs="Arial"/>
        </w:rPr>
        <w:t xml:space="preserve"> </w:t>
      </w:r>
      <w:r>
        <w:rPr>
          <w:rFonts w:cs="Arial"/>
        </w:rPr>
        <w:t xml:space="preserve">available at </w:t>
      </w:r>
      <w:hyperlink r:id="rId377" w:history="1">
        <w:r w:rsidRPr="009A5185">
          <w:rPr>
            <w:rStyle w:val="Hyperlink"/>
            <w:rFonts w:cs="Arial"/>
          </w:rPr>
          <w:t>http://leapfroggroup.org/survey-materials/survey-and-cpoe-materials</w:t>
        </w:r>
      </w:hyperlink>
      <w:r>
        <w:rPr>
          <w:rFonts w:cs="Arial"/>
        </w:rPr>
        <w:t>.</w:t>
      </w:r>
    </w:p>
    <w:p w14:paraId="4118D00C" w14:textId="77777777" w:rsidR="00C414E2" w:rsidRDefault="00C414E2" w:rsidP="00AD309C">
      <w:pPr>
        <w:pStyle w:val="ListParagraph"/>
        <w:numPr>
          <w:ilvl w:val="1"/>
          <w:numId w:val="193"/>
        </w:numPr>
        <w:ind w:left="1080"/>
        <w:rPr>
          <w:rFonts w:cs="Arial"/>
        </w:rPr>
      </w:pPr>
      <w:r w:rsidRPr="009A5185">
        <w:rPr>
          <w:rFonts w:cs="Arial"/>
        </w:rPr>
        <w:t xml:space="preserve">Print and review a hard copy of (1) the Survey questions, (2) </w:t>
      </w:r>
      <w:r>
        <w:rPr>
          <w:rFonts w:cs="Arial"/>
        </w:rPr>
        <w:t xml:space="preserve">the </w:t>
      </w:r>
      <w:r w:rsidRPr="009A5185">
        <w:rPr>
          <w:rFonts w:cs="Arial"/>
        </w:rPr>
        <w:t>practice-specific FAQs, and (3) the scoring algorithm</w:t>
      </w:r>
      <w:r>
        <w:rPr>
          <w:rFonts w:cs="Arial"/>
        </w:rPr>
        <w:t>.</w:t>
      </w:r>
    </w:p>
    <w:p w14:paraId="6FF2238A" w14:textId="77777777" w:rsidR="00C414E2" w:rsidRPr="007E6ACF" w:rsidRDefault="00C414E2" w:rsidP="00C414E2">
      <w:pPr>
        <w:pStyle w:val="ListParagraph"/>
        <w:rPr>
          <w:rFonts w:cs="Arial"/>
        </w:rPr>
      </w:pPr>
    </w:p>
    <w:p w14:paraId="374A5467" w14:textId="77777777" w:rsidR="00C414E2" w:rsidRPr="007E6ACF" w:rsidRDefault="00C414E2" w:rsidP="00AD309C">
      <w:pPr>
        <w:pStyle w:val="ListParagraph"/>
        <w:numPr>
          <w:ilvl w:val="0"/>
          <w:numId w:val="193"/>
        </w:numPr>
        <w:ind w:left="360"/>
        <w:rPr>
          <w:rFonts w:cs="Arial"/>
        </w:rPr>
      </w:pPr>
      <w:r w:rsidRPr="007E6ACF">
        <w:rPr>
          <w:rFonts w:cs="Arial"/>
          <w:b/>
        </w:rPr>
        <w:t xml:space="preserve">Identify Individuals to Assist: </w:t>
      </w:r>
      <w:r w:rsidRPr="007E6ACF">
        <w:rPr>
          <w:rFonts w:cs="Arial"/>
        </w:rPr>
        <w:t xml:space="preserve">Decide who should participate on your team to assist in </w:t>
      </w:r>
      <w:r w:rsidRPr="007E6ACF">
        <w:rPr>
          <w:rFonts w:cs="Arial"/>
          <w:noProof/>
        </w:rPr>
        <w:t>collection</w:t>
      </w:r>
      <w:r w:rsidRPr="007E6ACF">
        <w:rPr>
          <w:rFonts w:cs="Arial"/>
        </w:rPr>
        <w:t xml:space="preserve"> of the documentation for assessment. </w:t>
      </w:r>
    </w:p>
    <w:p w14:paraId="3994C338" w14:textId="77777777" w:rsidR="00C414E2" w:rsidRPr="009A5185" w:rsidRDefault="00C414E2" w:rsidP="00C414E2">
      <w:pPr>
        <w:pStyle w:val="ListParagraph"/>
        <w:ind w:left="0"/>
        <w:rPr>
          <w:rFonts w:cs="Arial"/>
        </w:rPr>
      </w:pPr>
    </w:p>
    <w:p w14:paraId="1B11FFFB" w14:textId="77777777" w:rsidR="00C414E2" w:rsidRPr="009A5185" w:rsidRDefault="00C414E2" w:rsidP="00AD309C">
      <w:pPr>
        <w:pStyle w:val="ListParagraph"/>
        <w:numPr>
          <w:ilvl w:val="0"/>
          <w:numId w:val="193"/>
        </w:numPr>
        <w:ind w:left="360"/>
        <w:rPr>
          <w:rFonts w:cs="Arial"/>
        </w:rPr>
      </w:pPr>
      <w:r w:rsidRPr="009A5185">
        <w:rPr>
          <w:rFonts w:cs="Arial"/>
          <w:b/>
          <w:bCs/>
        </w:rPr>
        <w:t>Plan:</w:t>
      </w:r>
      <w:r w:rsidRPr="009A5185">
        <w:rPr>
          <w:rFonts w:cs="Arial"/>
        </w:rPr>
        <w:t xml:space="preserve"> The team should be briefed and assigned duties to help capture the key information necessary for submission of this section.</w:t>
      </w:r>
    </w:p>
    <w:p w14:paraId="1C960259" w14:textId="77777777" w:rsidR="00C414E2" w:rsidRPr="004025CC" w:rsidRDefault="00C414E2" w:rsidP="00C414E2">
      <w:pPr>
        <w:rPr>
          <w:rFonts w:cs="Arial"/>
          <w:b/>
          <w:bCs/>
        </w:rPr>
      </w:pPr>
    </w:p>
    <w:p w14:paraId="41E4D2B8" w14:textId="42405E7A" w:rsidR="00C414E2" w:rsidRPr="00916CA8" w:rsidRDefault="00C414E2" w:rsidP="00AD309C">
      <w:pPr>
        <w:pStyle w:val="ListParagraph"/>
        <w:numPr>
          <w:ilvl w:val="0"/>
          <w:numId w:val="193"/>
        </w:numPr>
        <w:ind w:left="360"/>
        <w:rPr>
          <w:rFonts w:cs="Arial"/>
        </w:rPr>
      </w:pPr>
      <w:r w:rsidRPr="009A5185">
        <w:rPr>
          <w:rFonts w:cs="Arial"/>
          <w:b/>
        </w:rPr>
        <w:t>Collect and Maintain</w:t>
      </w:r>
      <w:r w:rsidRPr="009A5185">
        <w:rPr>
          <w:rFonts w:cs="Arial"/>
        </w:rPr>
        <w:t xml:space="preserve">: Key documentation must be collected to support answering the questions in this section of the Survey. </w:t>
      </w:r>
      <w:r>
        <w:rPr>
          <w:rFonts w:cs="Arial"/>
        </w:rPr>
        <w:t xml:space="preserve">Please refer to the </w:t>
      </w:r>
      <w:hyperlink r:id="rId378" w:history="1">
        <w:r w:rsidRPr="000639C2">
          <w:rPr>
            <w:rStyle w:val="Hyperlink"/>
            <w:rFonts w:cs="Arial"/>
          </w:rPr>
          <w:t>Survey Binder</w:t>
        </w:r>
      </w:hyperlink>
      <w:r>
        <w:rPr>
          <w:rFonts w:cs="Arial"/>
        </w:rPr>
        <w:t xml:space="preserve"> for examples of acceptable documentation. </w:t>
      </w:r>
      <w:r w:rsidRPr="009A5185">
        <w:rPr>
          <w:rFonts w:cs="Arial"/>
        </w:rPr>
        <w:t>Documentation should be maintained to ensure that your hospital can respond to Leapfrog’s request</w:t>
      </w:r>
      <w:r>
        <w:rPr>
          <w:rFonts w:cs="Arial"/>
        </w:rPr>
        <w:t xml:space="preserve"> for documentation should you be</w:t>
      </w:r>
      <w:r w:rsidRPr="009A5185">
        <w:rPr>
          <w:rFonts w:cs="Arial"/>
        </w:rPr>
        <w:t xml:space="preserve"> selected for our </w:t>
      </w:r>
      <w:hyperlink r:id="rId379" w:history="1">
        <w:r w:rsidRPr="009858BE">
          <w:rPr>
            <w:rStyle w:val="Hyperlink"/>
            <w:rFonts w:cs="Arial"/>
          </w:rPr>
          <w:t>Monthly Documentation Requirements.</w:t>
        </w:r>
      </w:hyperlink>
      <w:r w:rsidRPr="009A5185">
        <w:rPr>
          <w:rFonts w:cs="Arial"/>
        </w:rPr>
        <w:t xml:space="preserve"> Reviews are performed every month during the </w:t>
      </w:r>
      <w:r>
        <w:rPr>
          <w:rFonts w:cs="Arial"/>
        </w:rPr>
        <w:t>Survey Cycle</w:t>
      </w:r>
      <w:r w:rsidRPr="009A5185">
        <w:rPr>
          <w:rFonts w:cs="Arial"/>
        </w:rPr>
        <w:t xml:space="preserve"> </w:t>
      </w:r>
      <w:r>
        <w:rPr>
          <w:rFonts w:cs="Arial"/>
        </w:rPr>
        <w:t>(April 1 to November 30</w:t>
      </w:r>
      <w:r w:rsidRPr="00916CA8">
        <w:rPr>
          <w:rFonts w:cs="Arial"/>
        </w:rPr>
        <w:t xml:space="preserve">) and throughout the Corrections Period. In addition, the documentation can be helpful if your hospital is planning to update and resubmit this section of the Survey prior to </w:t>
      </w:r>
      <w:r>
        <w:rPr>
          <w:rFonts w:cs="Arial"/>
        </w:rPr>
        <w:t>November 30</w:t>
      </w:r>
      <w:r w:rsidRPr="00916CA8">
        <w:rPr>
          <w:rFonts w:cs="Arial"/>
        </w:rPr>
        <w:t xml:space="preserve">. </w:t>
      </w:r>
    </w:p>
    <w:p w14:paraId="0274B424" w14:textId="77777777" w:rsidR="00C414E2" w:rsidRPr="004025CC" w:rsidRDefault="00C414E2" w:rsidP="00C414E2">
      <w:pPr>
        <w:rPr>
          <w:rFonts w:cs="Arial"/>
          <w:b/>
          <w:bCs/>
        </w:rPr>
      </w:pPr>
    </w:p>
    <w:p w14:paraId="522F6DA4" w14:textId="77777777" w:rsidR="00C414E2" w:rsidRPr="00916CA8" w:rsidRDefault="00C414E2" w:rsidP="00AD309C">
      <w:pPr>
        <w:pStyle w:val="ListParagraph"/>
        <w:numPr>
          <w:ilvl w:val="0"/>
          <w:numId w:val="193"/>
        </w:numPr>
        <w:ind w:left="360"/>
        <w:rPr>
          <w:rFonts w:cs="Arial"/>
        </w:rPr>
      </w:pPr>
      <w:r w:rsidRPr="009A5185">
        <w:rPr>
          <w:rFonts w:cs="Arial"/>
          <w:b/>
          <w:bCs/>
        </w:rPr>
        <w:t>Assess:</w:t>
      </w:r>
      <w:r w:rsidRPr="009A5185">
        <w:rPr>
          <w:rFonts w:cs="Arial"/>
        </w:rPr>
        <w:t xml:space="preserve"> When all the supporting documents are assembled, it is recommended that hospitals review their final responses to Section 6 with the CEO and/or responsible leadership. Hospitals should update their answers online as they adopt additional practices throughout the </w:t>
      </w:r>
      <w:r>
        <w:rPr>
          <w:rFonts w:cs="Arial"/>
        </w:rPr>
        <w:t>Survey Cycle</w:t>
      </w:r>
      <w:r w:rsidRPr="009A5185">
        <w:rPr>
          <w:rFonts w:cs="Arial"/>
        </w:rPr>
        <w:t xml:space="preserve"> (</w:t>
      </w:r>
      <w:r>
        <w:rPr>
          <w:rFonts w:cs="Arial"/>
        </w:rPr>
        <w:t>April 1 to November 30</w:t>
      </w:r>
      <w:r w:rsidRPr="00916CA8">
        <w:rPr>
          <w:rFonts w:cs="Arial"/>
        </w:rPr>
        <w:t xml:space="preserve">). As a reminder, the </w:t>
      </w:r>
      <w:hyperlink r:id="rId380" w:history="1">
        <w:r w:rsidRPr="00916CA8">
          <w:rPr>
            <w:rStyle w:val="Hyperlink"/>
            <w:rFonts w:cs="Arial"/>
          </w:rPr>
          <w:t>Corrections Period</w:t>
        </w:r>
      </w:hyperlink>
      <w:r w:rsidRPr="00916CA8">
        <w:rPr>
          <w:rFonts w:cs="Arial"/>
        </w:rPr>
        <w:t xml:space="preserve"> (</w:t>
      </w:r>
      <w:r>
        <w:rPr>
          <w:rFonts w:cs="Arial"/>
        </w:rPr>
        <w:t>December</w:t>
      </w:r>
      <w:r w:rsidRPr="00916CA8">
        <w:rPr>
          <w:rFonts w:cs="Arial"/>
        </w:rPr>
        <w:t xml:space="preserve"> 1-January 31) is reserved for corrections to previously submitted Surveys only. </w:t>
      </w:r>
      <w:r w:rsidRPr="00916CA8">
        <w:rPr>
          <w:rFonts w:cs="Arial"/>
          <w:bCs/>
          <w:snapToGrid w:val="0"/>
        </w:rPr>
        <w:t xml:space="preserve">Any updates made to reflect a change in performance must be made prior to the </w:t>
      </w:r>
      <w:r>
        <w:rPr>
          <w:rFonts w:cs="Arial"/>
        </w:rPr>
        <w:t>November 30</w:t>
      </w:r>
      <w:r w:rsidRPr="00916CA8">
        <w:rPr>
          <w:rFonts w:cs="Arial"/>
          <w:bCs/>
          <w:snapToGrid w:val="0"/>
        </w:rPr>
        <w:t xml:space="preserve"> Late Submission </w:t>
      </w:r>
      <w:r>
        <w:rPr>
          <w:rFonts w:cs="Arial"/>
          <w:bCs/>
          <w:snapToGrid w:val="0"/>
        </w:rPr>
        <w:t xml:space="preserve">and Performance Update </w:t>
      </w:r>
      <w:r w:rsidRPr="00916CA8">
        <w:rPr>
          <w:rFonts w:cs="Arial"/>
          <w:bCs/>
          <w:snapToGrid w:val="0"/>
        </w:rPr>
        <w:t xml:space="preserve">Deadline. Updates made to reflect a change in performance after </w:t>
      </w:r>
      <w:r>
        <w:rPr>
          <w:rFonts w:cs="Arial"/>
        </w:rPr>
        <w:t>November 30</w:t>
      </w:r>
      <w:r w:rsidRPr="00916CA8">
        <w:rPr>
          <w:rFonts w:cs="Arial"/>
          <w:bCs/>
          <w:snapToGrid w:val="0"/>
        </w:rPr>
        <w:t xml:space="preserve"> will not be scored or publicly reported.</w:t>
      </w:r>
    </w:p>
    <w:p w14:paraId="008E1F00" w14:textId="77777777" w:rsidR="00C414E2" w:rsidRPr="004025CC" w:rsidRDefault="00C414E2" w:rsidP="00C414E2">
      <w:pPr>
        <w:rPr>
          <w:rFonts w:cs="Arial"/>
          <w:b/>
          <w:bCs/>
        </w:rPr>
      </w:pPr>
    </w:p>
    <w:p w14:paraId="71B1F10A" w14:textId="54C14A42" w:rsidR="00C414E2" w:rsidRPr="008263FB" w:rsidRDefault="00C414E2" w:rsidP="00AD309C">
      <w:pPr>
        <w:pStyle w:val="ListParagraph"/>
        <w:numPr>
          <w:ilvl w:val="0"/>
          <w:numId w:val="193"/>
        </w:numPr>
        <w:ind w:left="360"/>
      </w:pPr>
      <w:r w:rsidRPr="009A5185">
        <w:rPr>
          <w:rFonts w:cs="Arial"/>
          <w:b/>
          <w:bCs/>
        </w:rPr>
        <w:t>Submit:</w:t>
      </w:r>
      <w:r w:rsidRPr="009A5185">
        <w:rPr>
          <w:rFonts w:cs="Arial"/>
        </w:rPr>
        <w:t xml:space="preserve"> Section 6 must be completed and affirmed before it can be submitted with the Survey. </w:t>
      </w:r>
    </w:p>
    <w:p w14:paraId="2C999109" w14:textId="77777777" w:rsidR="00E752F9" w:rsidRPr="00365263" w:rsidRDefault="00E752F9" w:rsidP="00E752F9">
      <w:pPr>
        <w:rPr>
          <w:sz w:val="16"/>
          <w:szCs w:val="16"/>
          <w:lang w:eastAsia="ja-JP"/>
        </w:rPr>
      </w:pPr>
    </w:p>
    <w:p w14:paraId="49F15A16" w14:textId="77777777" w:rsidR="00C414E2" w:rsidRDefault="00C414E2">
      <w:pPr>
        <w:rPr>
          <w:rFonts w:cs="Arial"/>
          <w:b/>
          <w:i/>
          <w:snapToGrid w:val="0"/>
          <w:sz w:val="22"/>
          <w:szCs w:val="22"/>
          <w:lang w:eastAsia="ja-JP"/>
        </w:rPr>
      </w:pPr>
      <w:bookmarkStart w:id="529" w:name="_Nursing_Workforce"/>
      <w:bookmarkEnd w:id="529"/>
      <w:r>
        <w:br w:type="page"/>
      </w:r>
    </w:p>
    <w:p w14:paraId="4CF9BF14" w14:textId="3923C5D2" w:rsidR="00760C43" w:rsidRDefault="00760C43">
      <w:pPr>
        <w:rPr>
          <w:rFonts w:cs="Arial"/>
          <w:b/>
          <w:i/>
          <w:snapToGrid w:val="0"/>
          <w:sz w:val="22"/>
          <w:szCs w:val="22"/>
          <w:lang w:eastAsia="ja-JP"/>
        </w:rPr>
      </w:pPr>
      <w:bookmarkStart w:id="530" w:name="_Nursing_Workforce_Measure"/>
      <w:bookmarkStart w:id="531" w:name="_Single_Acuity_Adult"/>
      <w:bookmarkStart w:id="532" w:name="_Adult_or_Pediatric"/>
      <w:bookmarkEnd w:id="530"/>
      <w:bookmarkEnd w:id="531"/>
      <w:bookmarkEnd w:id="532"/>
    </w:p>
    <w:p w14:paraId="0509FA7F" w14:textId="1C1F324D" w:rsidR="00823FED" w:rsidRDefault="00823FED" w:rsidP="00AB5B80">
      <w:pPr>
        <w:pStyle w:val="Heading3"/>
      </w:pPr>
      <w:bookmarkStart w:id="533" w:name="_Hand_Hygiene_Measure"/>
      <w:bookmarkStart w:id="534" w:name="_Hand_Hygiene"/>
      <w:bookmarkStart w:id="535" w:name="_Toc123908016"/>
      <w:bookmarkStart w:id="536" w:name="_Ref124154766"/>
      <w:bookmarkStart w:id="537" w:name="_Toc225877796"/>
      <w:bookmarkStart w:id="538" w:name="_Ref123647346"/>
      <w:bookmarkStart w:id="539" w:name="_Ref123647369"/>
      <w:bookmarkStart w:id="540" w:name="_Ref123647646"/>
      <w:bookmarkStart w:id="541" w:name="_Ref123647715"/>
      <w:bookmarkEnd w:id="533"/>
      <w:bookmarkEnd w:id="534"/>
      <w:r>
        <w:t>Hand Hygiene</w:t>
      </w:r>
      <w:bookmarkEnd w:id="535"/>
      <w:bookmarkEnd w:id="536"/>
      <w:r w:rsidR="00B078B4">
        <w:t xml:space="preserve"> Measure Specifications</w:t>
      </w:r>
      <w:bookmarkEnd w:id="537"/>
    </w:p>
    <w:p w14:paraId="6ADB7D93" w14:textId="77777777" w:rsidR="00823FED" w:rsidRPr="00481148" w:rsidRDefault="00823FED" w:rsidP="00823FED">
      <w:pPr>
        <w:rPr>
          <w:sz w:val="16"/>
          <w:szCs w:val="16"/>
        </w:rPr>
      </w:pPr>
    </w:p>
    <w:p w14:paraId="016D6D63" w14:textId="77777777" w:rsidR="00823FED" w:rsidRPr="009A5185" w:rsidRDefault="00823FED" w:rsidP="00823FED">
      <w:pPr>
        <w:rPr>
          <w:rFonts w:cs="Arial"/>
          <w:b/>
        </w:rPr>
      </w:pPr>
      <w:r w:rsidRPr="009A5185">
        <w:rPr>
          <w:rFonts w:cs="Arial"/>
          <w:b/>
          <w:color w:val="FF0000"/>
        </w:rPr>
        <w:t>Important Note:</w:t>
      </w:r>
      <w:r w:rsidRPr="009A5185">
        <w:rPr>
          <w:rFonts w:cs="Arial"/>
          <w:b/>
        </w:rPr>
        <w:t xml:space="preserve"> </w:t>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81" w:history="1">
        <w:r w:rsidRPr="009A5185">
          <w:rPr>
            <w:rStyle w:val="Hyperlink"/>
            <w:rFonts w:cs="Arial"/>
          </w:rPr>
          <w:t>Leapfrog’s Multi-Campus Reporting Policy</w:t>
        </w:r>
      </w:hyperlink>
      <w:r w:rsidRPr="009A5185">
        <w:rPr>
          <w:rFonts w:cs="Arial"/>
          <w:snapToGrid w:val="0"/>
        </w:rPr>
        <w:t>.</w:t>
      </w:r>
    </w:p>
    <w:p w14:paraId="5E0A218A" w14:textId="77777777" w:rsidR="00823FED" w:rsidRPr="00481148" w:rsidRDefault="00823FED" w:rsidP="00823FED">
      <w:pPr>
        <w:rPr>
          <w:sz w:val="16"/>
          <w:szCs w:val="16"/>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7"/>
      </w:tblGrid>
      <w:tr w:rsidR="00823FED" w:rsidRPr="009A5185" w14:paraId="6339195F" w14:textId="77777777" w:rsidTr="00AF07E8">
        <w:trPr>
          <w:trHeight w:val="593"/>
          <w:jc w:val="center"/>
        </w:trPr>
        <w:tc>
          <w:tcPr>
            <w:tcW w:w="9387" w:type="dxa"/>
            <w:vAlign w:val="center"/>
          </w:tcPr>
          <w:p w14:paraId="45B59C47" w14:textId="77777777" w:rsidR="00823FED" w:rsidRPr="003E00DE" w:rsidRDefault="00823FED" w:rsidP="00EC4DCE">
            <w:pPr>
              <w:rPr>
                <w:rFonts w:cs="Arial"/>
              </w:rPr>
            </w:pPr>
            <w:r>
              <w:rPr>
                <w:rFonts w:cs="Arial"/>
                <w:b/>
                <w:snapToGrid w:val="0"/>
              </w:rPr>
              <w:t xml:space="preserve">Source: </w:t>
            </w:r>
            <w:r>
              <w:rPr>
                <w:rFonts w:cs="Arial"/>
              </w:rPr>
              <w:t xml:space="preserve">The framework and questions in this subsection are modeled after the World Health Organization’s </w:t>
            </w:r>
            <w:hyperlink r:id="rId382" w:history="1">
              <w:r w:rsidRPr="00402D7F">
                <w:rPr>
                  <w:rStyle w:val="Hyperlink"/>
                  <w:rFonts w:cs="Arial"/>
                </w:rPr>
                <w:t>Hand Hygiene Self-Assessment Framework</w:t>
              </w:r>
            </w:hyperlink>
            <w:r>
              <w:rPr>
                <w:rFonts w:cs="Arial"/>
              </w:rPr>
              <w:t>.</w:t>
            </w:r>
          </w:p>
        </w:tc>
      </w:tr>
      <w:tr w:rsidR="00823FED" w:rsidRPr="009A5185" w14:paraId="00B1D92F" w14:textId="77777777" w:rsidTr="00C37D4D">
        <w:trPr>
          <w:trHeight w:val="3600"/>
          <w:jc w:val="center"/>
        </w:trPr>
        <w:tc>
          <w:tcPr>
            <w:tcW w:w="9387" w:type="dxa"/>
            <w:vAlign w:val="center"/>
          </w:tcPr>
          <w:p w14:paraId="208F3997" w14:textId="2C68DC89" w:rsidR="00823FED" w:rsidRDefault="00823FED" w:rsidP="00EC4DCE">
            <w:pPr>
              <w:rPr>
                <w:rFonts w:cs="Arial"/>
                <w:bCs/>
                <w:snapToGrid w:val="0"/>
              </w:rPr>
            </w:pPr>
            <w:r w:rsidRPr="009A5185">
              <w:rPr>
                <w:rFonts w:cs="Arial"/>
                <w:b/>
                <w:snapToGrid w:val="0"/>
              </w:rPr>
              <w:t>Reporting Period:</w:t>
            </w:r>
            <w:r>
              <w:rPr>
                <w:rFonts w:cs="Arial"/>
                <w:b/>
                <w:snapToGrid w:val="0"/>
              </w:rPr>
              <w:t xml:space="preserve"> </w:t>
            </w:r>
            <w:r w:rsidRPr="00E9541D">
              <w:rPr>
                <w:rFonts w:cs="Arial"/>
                <w:bCs/>
                <w:snapToGrid w:val="0"/>
              </w:rPr>
              <w:t>Answer questions #1-2</w:t>
            </w:r>
            <w:r w:rsidR="00021B3B">
              <w:rPr>
                <w:rFonts w:cs="Arial"/>
                <w:bCs/>
                <w:snapToGrid w:val="0"/>
              </w:rPr>
              <w:t>1</w:t>
            </w:r>
            <w:r w:rsidRPr="00E9541D">
              <w:rPr>
                <w:rFonts w:cs="Arial"/>
                <w:bCs/>
                <w:snapToGrid w:val="0"/>
              </w:rPr>
              <w:t xml:space="preserve"> based on the practices currently in place at the time you submit this section of the Survey.</w:t>
            </w:r>
          </w:p>
          <w:p w14:paraId="31A114CC" w14:textId="77777777" w:rsidR="00823FED" w:rsidRPr="00481148" w:rsidRDefault="00823FED" w:rsidP="00EC4DCE">
            <w:pPr>
              <w:rPr>
                <w:rFonts w:cs="Arial"/>
                <w:bCs/>
                <w:snapToGrid w:val="0"/>
                <w:sz w:val="16"/>
                <w:szCs w:val="16"/>
              </w:rPr>
            </w:pPr>
          </w:p>
          <w:p w14:paraId="0BA79FC4" w14:textId="77777777" w:rsidR="00823FED" w:rsidRPr="00775498" w:rsidRDefault="00823FED" w:rsidP="00EC4DCE">
            <w:pPr>
              <w:pStyle w:val="EndnoteText"/>
              <w:rPr>
                <w:bCs/>
              </w:rPr>
            </w:pPr>
            <w:r>
              <w:rPr>
                <w:rFonts w:cs="Arial"/>
                <w:bCs/>
                <w:snapToGrid w:val="0"/>
              </w:rPr>
              <w:t xml:space="preserve">Note: </w:t>
            </w:r>
            <w:r w:rsidRPr="00775498">
              <w:rPr>
                <w:bCs/>
              </w:rPr>
              <w:t>For monitoring, this means that the monthly sample size (or quarterly sample size if answering question #10) would need to be met at least once in each patient care unit the month (or quarter) preceding the time of the submission of the Survey and there must be a process in place to meet the monthly (or quarterly) sample size thereafter in each patient care unit every month/quarter.</w:t>
            </w:r>
          </w:p>
          <w:p w14:paraId="38A8EAE2" w14:textId="77777777" w:rsidR="00823FED" w:rsidRPr="00481148" w:rsidRDefault="00823FED" w:rsidP="00EC4DCE">
            <w:pPr>
              <w:pStyle w:val="EndnoteText"/>
              <w:rPr>
                <w:bCs/>
                <w:sz w:val="16"/>
                <w:szCs w:val="16"/>
              </w:rPr>
            </w:pPr>
          </w:p>
          <w:p w14:paraId="4347C149" w14:textId="70BF9751" w:rsidR="00823FED" w:rsidRDefault="00823FED" w:rsidP="00EC4DCE">
            <w:pPr>
              <w:pStyle w:val="EndnoteText"/>
              <w:rPr>
                <w:bCs/>
              </w:rPr>
            </w:pPr>
            <w:r w:rsidRPr="00775498">
              <w:rPr>
                <w:bCs/>
              </w:rPr>
              <w:t xml:space="preserve">If the monitoring sample size is not met at any point after submission, the Survey </w:t>
            </w:r>
            <w:r w:rsidR="00CE4452">
              <w:rPr>
                <w:bCs/>
              </w:rPr>
              <w:t xml:space="preserve">must </w:t>
            </w:r>
            <w:r w:rsidRPr="00775498">
              <w:rPr>
                <w:bCs/>
              </w:rPr>
              <w:t xml:space="preserve">be updated and re-submitted. More information about updating a Survey can be found at </w:t>
            </w:r>
            <w:hyperlink r:id="rId383" w:history="1">
              <w:r w:rsidRPr="00F431A2">
                <w:rPr>
                  <w:rStyle w:val="Hyperlink"/>
                  <w:bCs/>
                </w:rPr>
                <w:t>https://www.leapfroggroup.org/survey-materials/updating-your-hospital-survey</w:t>
              </w:r>
            </w:hyperlink>
            <w:r w:rsidRPr="00775498">
              <w:rPr>
                <w:bCs/>
              </w:rPr>
              <w:t>.</w:t>
            </w:r>
          </w:p>
          <w:p w14:paraId="32CED78D" w14:textId="77777777" w:rsidR="00823FED" w:rsidRPr="00481148" w:rsidRDefault="00823FED" w:rsidP="00EC4DCE">
            <w:pPr>
              <w:pStyle w:val="EndnoteText"/>
              <w:rPr>
                <w:rFonts w:cs="Arial"/>
                <w:bCs/>
                <w:snapToGrid w:val="0"/>
                <w:sz w:val="16"/>
                <w:szCs w:val="16"/>
              </w:rPr>
            </w:pPr>
          </w:p>
          <w:p w14:paraId="44300162" w14:textId="77777777" w:rsidR="00823FED" w:rsidRPr="003E00DE" w:rsidRDefault="00823FED" w:rsidP="00EC4DCE">
            <w:pPr>
              <w:pStyle w:val="EndnoteText"/>
              <w:rPr>
                <w:rFonts w:cs="Arial"/>
                <w:bCs/>
                <w:snapToGrid w:val="0"/>
              </w:rPr>
            </w:pPr>
            <w:r>
              <w:rPr>
                <w:rFonts w:cs="Arial"/>
                <w:bCs/>
                <w:snapToGrid w:val="0"/>
              </w:rPr>
              <w:t xml:space="preserve">As a reminder, Leapfrog randomly requests </w:t>
            </w:r>
            <w:hyperlink r:id="rId384" w:history="1">
              <w:r w:rsidRPr="001446F9">
                <w:rPr>
                  <w:rStyle w:val="Hyperlink"/>
                  <w:rFonts w:cs="Arial"/>
                  <w:bCs/>
                  <w:snapToGrid w:val="0"/>
                </w:rPr>
                <w:t>documentation</w:t>
              </w:r>
            </w:hyperlink>
            <w:r>
              <w:rPr>
                <w:rFonts w:cs="Arial"/>
                <w:bCs/>
                <w:snapToGrid w:val="0"/>
              </w:rPr>
              <w:t xml:space="preserve"> on a monthly basis and key documentation must be collected and maintained to support responses to all questions. Hospitals are urged to regularly review their documentation, including reports supporting their monitoring of hand hygiene, and maintain copies throughout the Survey Cycle. Please refer to the </w:t>
            </w:r>
            <w:hyperlink r:id="rId385" w:history="1">
              <w:r w:rsidRPr="001446F9">
                <w:rPr>
                  <w:rStyle w:val="Hyperlink"/>
                  <w:rFonts w:cs="Arial"/>
                  <w:bCs/>
                  <w:snapToGrid w:val="0"/>
                </w:rPr>
                <w:t>Survey Binder</w:t>
              </w:r>
            </w:hyperlink>
            <w:r>
              <w:rPr>
                <w:rFonts w:cs="Arial"/>
                <w:bCs/>
                <w:snapToGrid w:val="0"/>
              </w:rPr>
              <w:t xml:space="preserve"> for examples.</w:t>
            </w:r>
          </w:p>
        </w:tc>
      </w:tr>
      <w:tr w:rsidR="00823FED" w:rsidRPr="009A5185" w14:paraId="00C57E8A" w14:textId="77777777" w:rsidTr="00C37D4D">
        <w:trPr>
          <w:trHeight w:val="3888"/>
          <w:jc w:val="center"/>
        </w:trPr>
        <w:tc>
          <w:tcPr>
            <w:tcW w:w="9387" w:type="dxa"/>
            <w:vAlign w:val="center"/>
          </w:tcPr>
          <w:p w14:paraId="41E5859D" w14:textId="1681F741" w:rsidR="00823FED" w:rsidRDefault="00823FED" w:rsidP="00EC4DCE">
            <w:pPr>
              <w:tabs>
                <w:tab w:val="left" w:pos="0"/>
              </w:tabs>
            </w:pPr>
            <w:r>
              <w:rPr>
                <w:rFonts w:cs="Arial"/>
                <w:b/>
                <w:bCs/>
              </w:rPr>
              <w:t xml:space="preserve">Patient Care Units: </w:t>
            </w:r>
            <w:r w:rsidR="004242DB">
              <w:rPr>
                <w:bCs/>
              </w:rPr>
              <w:t>Include only the following</w:t>
            </w:r>
            <w:r>
              <w:rPr>
                <w:bCs/>
              </w:rPr>
              <w:t xml:space="preserve"> </w:t>
            </w:r>
            <w:r w:rsidRPr="00D53AF3">
              <w:rPr>
                <w:bCs/>
              </w:rPr>
              <w:t xml:space="preserve">patient care units </w:t>
            </w:r>
            <w:r w:rsidR="004242DB">
              <w:rPr>
                <w:bCs/>
              </w:rPr>
              <w:t>when reporting on the questions in this subsection</w:t>
            </w:r>
            <w:r w:rsidRPr="00F35D30">
              <w:t xml:space="preserve">: </w:t>
            </w:r>
          </w:p>
          <w:p w14:paraId="490E9B62" w14:textId="07DBB20F" w:rsidR="00823FED" w:rsidRDefault="00577BEF" w:rsidP="00AD309C">
            <w:pPr>
              <w:pStyle w:val="ListParagraph"/>
              <w:numPr>
                <w:ilvl w:val="0"/>
                <w:numId w:val="138"/>
              </w:numPr>
              <w:tabs>
                <w:tab w:val="left" w:pos="0"/>
              </w:tabs>
            </w:pPr>
            <w:hyperlink w:anchor="MedicalandorSurgicalUnits" w:history="1">
              <w:r w:rsidRPr="009657C9">
                <w:rPr>
                  <w:rStyle w:val="Hyperlink"/>
                </w:rPr>
                <w:t>Medical</w:t>
              </w:r>
              <w:r w:rsidR="0074612B">
                <w:rPr>
                  <w:rStyle w:val="Hyperlink"/>
                </w:rPr>
                <w:t>,</w:t>
              </w:r>
              <w:r w:rsidRPr="009657C9">
                <w:rPr>
                  <w:rStyle w:val="Hyperlink"/>
                </w:rPr>
                <w:t xml:space="preserve"> Surgical</w:t>
              </w:r>
              <w:r w:rsidR="00F26839">
                <w:rPr>
                  <w:rStyle w:val="Hyperlink"/>
                </w:rPr>
                <w:t>, and Medical/Surgical</w:t>
              </w:r>
              <w:r w:rsidRPr="009657C9">
                <w:rPr>
                  <w:rStyle w:val="Hyperlink"/>
                </w:rPr>
                <w:t xml:space="preserve"> </w:t>
              </w:r>
              <w:r w:rsidR="00917DF5">
                <w:rPr>
                  <w:rStyle w:val="Hyperlink"/>
                </w:rPr>
                <w:t>U</w:t>
              </w:r>
              <w:r w:rsidRPr="009657C9">
                <w:rPr>
                  <w:rStyle w:val="Hyperlink"/>
                </w:rPr>
                <w:t>nits (including telemetry units)</w:t>
              </w:r>
            </w:hyperlink>
            <w:r w:rsidR="00823FED">
              <w:fldChar w:fldCharType="begin"/>
            </w:r>
            <w:r w:rsidR="00823FED">
              <w:instrText xml:space="preserve"> NOTEREF _Ref57907818 \f \h  \* MERGEFORMAT </w:instrText>
            </w:r>
            <w:r w:rsidR="00823FED">
              <w:fldChar w:fldCharType="separate"/>
            </w:r>
            <w:r w:rsidR="007D53A2" w:rsidRPr="000E4F8B">
              <w:rPr>
                <w:rStyle w:val="EndnoteReference"/>
              </w:rPr>
              <w:t>19</w:t>
            </w:r>
            <w:r w:rsidR="00823FED">
              <w:fldChar w:fldCharType="end"/>
            </w:r>
            <w:r w:rsidR="0019474A">
              <w:t xml:space="preserve"> (adult and</w:t>
            </w:r>
            <w:r w:rsidR="005A1735">
              <w:t>/or</w:t>
            </w:r>
            <w:r w:rsidR="0019474A">
              <w:t xml:space="preserve"> pediatric)</w:t>
            </w:r>
          </w:p>
          <w:p w14:paraId="2EB2963E" w14:textId="61BEC1E9" w:rsidR="00786E08" w:rsidRDefault="00786E08" w:rsidP="00AD309C">
            <w:pPr>
              <w:pStyle w:val="ListParagraph"/>
              <w:numPr>
                <w:ilvl w:val="0"/>
                <w:numId w:val="138"/>
              </w:numPr>
              <w:tabs>
                <w:tab w:val="left" w:pos="0"/>
              </w:tabs>
            </w:pPr>
            <w:hyperlink w:anchor="stepdown_progressiveunits_endnote20" w:history="1">
              <w:r w:rsidRPr="00016D78">
                <w:rPr>
                  <w:rStyle w:val="Hyperlink"/>
                </w:rPr>
                <w:t>Step-down/progressive Units</w:t>
              </w:r>
            </w:hyperlink>
            <w:r w:rsidR="00016D78" w:rsidRPr="00016D78">
              <w:rPr>
                <w:vertAlign w:val="superscript"/>
              </w:rPr>
              <w:t xml:space="preserve">20 </w:t>
            </w:r>
            <w:r w:rsidR="00AB682C">
              <w:t>(adult and/or pediatric)</w:t>
            </w:r>
          </w:p>
          <w:p w14:paraId="52784E73" w14:textId="5A0D6CF2" w:rsidR="00823FED" w:rsidRDefault="00A50BFC" w:rsidP="00AD309C">
            <w:pPr>
              <w:pStyle w:val="ListParagraph"/>
              <w:numPr>
                <w:ilvl w:val="0"/>
                <w:numId w:val="138"/>
              </w:numPr>
              <w:tabs>
                <w:tab w:val="left" w:pos="0"/>
              </w:tabs>
            </w:pPr>
            <w:r>
              <w:t>Obstetr</w:t>
            </w:r>
            <w:r w:rsidR="00EA7392">
              <w:t>i</w:t>
            </w:r>
            <w:r>
              <w:t>cal Units (</w:t>
            </w:r>
            <w:hyperlink w:anchor="LaborandDeliveryUnits" w:history="1">
              <w:r w:rsidRPr="00BD6114">
                <w:rPr>
                  <w:rStyle w:val="Hyperlink"/>
                </w:rPr>
                <w:t>L</w:t>
              </w:r>
              <w:r w:rsidR="00823FED" w:rsidRPr="00BD6114">
                <w:rPr>
                  <w:rStyle w:val="Hyperlink"/>
                </w:rPr>
                <w:t xml:space="preserve">abor and </w:t>
              </w:r>
              <w:r w:rsidRPr="00BD6114">
                <w:rPr>
                  <w:rStyle w:val="Hyperlink"/>
                </w:rPr>
                <w:t>D</w:t>
              </w:r>
              <w:r w:rsidR="00823FED" w:rsidRPr="00BD6114">
                <w:rPr>
                  <w:rStyle w:val="Hyperlink"/>
                </w:rPr>
                <w:t xml:space="preserve">elivery </w:t>
              </w:r>
              <w:r w:rsidRPr="00BD6114">
                <w:rPr>
                  <w:rStyle w:val="Hyperlink"/>
                </w:rPr>
                <w:t>U</w:t>
              </w:r>
              <w:r w:rsidR="00823FED" w:rsidRPr="00BD6114">
                <w:rPr>
                  <w:rStyle w:val="Hyperlink"/>
                </w:rPr>
                <w:t>nits</w:t>
              </w:r>
            </w:hyperlink>
            <w:r w:rsidR="00BD6114">
              <w:rPr>
                <w:vertAlign w:val="superscript"/>
              </w:rPr>
              <w:t>21</w:t>
            </w:r>
            <w:r w:rsidR="00B745A6">
              <w:t>,</w:t>
            </w:r>
            <w:r w:rsidR="00B745A6" w:rsidRPr="00E75BD3">
              <w:t xml:space="preserve"> nursery, etc., excluding procedural areas)</w:t>
            </w:r>
          </w:p>
          <w:p w14:paraId="23AF6909" w14:textId="5FD9157E" w:rsidR="00F51814" w:rsidRPr="00532D0A" w:rsidRDefault="00F51814" w:rsidP="00AD309C">
            <w:pPr>
              <w:pStyle w:val="ListParagraph"/>
              <w:numPr>
                <w:ilvl w:val="0"/>
                <w:numId w:val="138"/>
              </w:numPr>
              <w:rPr>
                <w:rStyle w:val="Hyperlink"/>
                <w:rFonts w:cs="Arial"/>
              </w:rPr>
            </w:pPr>
            <w:hyperlink w:anchor="generalmedicalsurgicalandneuroicu" w:history="1">
              <w:r w:rsidRPr="00BC1024">
                <w:rPr>
                  <w:rStyle w:val="Hyperlink"/>
                </w:rPr>
                <w:t>General Medical</w:t>
              </w:r>
              <w:r w:rsidR="009C4D09">
                <w:rPr>
                  <w:rStyle w:val="Hyperlink"/>
                </w:rPr>
                <w:t>,</w:t>
              </w:r>
              <w:r w:rsidR="00FC1246">
                <w:rPr>
                  <w:rStyle w:val="Hyperlink"/>
                </w:rPr>
                <w:t xml:space="preserve"> </w:t>
              </w:r>
              <w:r w:rsidRPr="00BC1024">
                <w:rPr>
                  <w:rStyle w:val="Hyperlink"/>
                </w:rPr>
                <w:t>Surgical</w:t>
              </w:r>
              <w:r w:rsidR="009C4D09">
                <w:rPr>
                  <w:rStyle w:val="Hyperlink"/>
                </w:rPr>
                <w:t xml:space="preserve">, Medical/Surgical, </w:t>
              </w:r>
              <w:r w:rsidRPr="00BC1024">
                <w:rPr>
                  <w:rStyle w:val="Hyperlink"/>
                </w:rPr>
                <w:t>and Neuro ICUs</w:t>
              </w:r>
            </w:hyperlink>
            <w:r w:rsidR="00BC1024" w:rsidRPr="00BC1024">
              <w:rPr>
                <w:vertAlign w:val="superscript"/>
              </w:rPr>
              <w:t>14</w:t>
            </w:r>
            <w:r w:rsidRPr="00ED0D69">
              <w:rPr>
                <w:rStyle w:val="Hyperlink"/>
                <w:rFonts w:ascii="ZWAdobeF" w:hAnsi="ZWAdobeF" w:cs="ZWAdobeF"/>
                <w:snapToGrid w:val="0"/>
                <w:sz w:val="2"/>
                <w:szCs w:val="2"/>
                <w:vertAlign w:val="superscript"/>
              </w:rPr>
              <w:t xml:space="preserve"> </w:t>
            </w:r>
            <w:r>
              <w:rPr>
                <w:rStyle w:val="Hyperlink"/>
                <w:rFonts w:ascii="ZWAdobeF" w:hAnsi="ZWAdobeF" w:cs="ZWAdobeF"/>
                <w:snapToGrid w:val="0"/>
                <w:sz w:val="2"/>
                <w:szCs w:val="2"/>
                <w:vertAlign w:val="superscript"/>
              </w:rPr>
              <w:t xml:space="preserve"> </w:t>
            </w:r>
            <w:r>
              <w:rPr>
                <w:rFonts w:cstheme="minorHAnsi"/>
              </w:rPr>
              <w:t>(adult and/or pediatric)</w:t>
            </w:r>
          </w:p>
          <w:p w14:paraId="1B5D4D3F" w14:textId="14698C33" w:rsidR="00F51814" w:rsidRPr="001F2388" w:rsidRDefault="00F20F57" w:rsidP="00AD309C">
            <w:pPr>
              <w:pStyle w:val="ListParagraph"/>
              <w:numPr>
                <w:ilvl w:val="0"/>
                <w:numId w:val="138"/>
              </w:numPr>
              <w:rPr>
                <w:rFonts w:cs="Arial"/>
                <w:color w:val="0000FF"/>
                <w:u w:val="single"/>
              </w:rPr>
            </w:pPr>
            <w:hyperlink w:anchor="neonatalICU" w:history="1">
              <w:r w:rsidRPr="00F20F57">
                <w:rPr>
                  <w:rStyle w:val="Hyperlink"/>
                </w:rPr>
                <w:t>Level II/III, Level III, or Level IV Neonatal ICU</w:t>
              </w:r>
            </w:hyperlink>
            <w:r w:rsidR="00BC1024" w:rsidRPr="00BC1024">
              <w:rPr>
                <w:vertAlign w:val="superscript"/>
              </w:rPr>
              <w:t>17</w:t>
            </w:r>
          </w:p>
          <w:p w14:paraId="65692E98" w14:textId="77777777" w:rsidR="00F51814" w:rsidRPr="003A39FC" w:rsidRDefault="00F51814" w:rsidP="00AD309C">
            <w:pPr>
              <w:pStyle w:val="ListParagraph"/>
              <w:numPr>
                <w:ilvl w:val="0"/>
                <w:numId w:val="138"/>
              </w:numPr>
              <w:rPr>
                <w:rStyle w:val="Hyperlink"/>
                <w:rFonts w:cs="Arial"/>
              </w:rPr>
            </w:pPr>
            <w:r w:rsidRPr="00E75BD3">
              <w:rPr>
                <w:rStyle w:val="Hyperlink"/>
                <w:rFonts w:cs="Arial"/>
                <w:snapToGrid w:val="0"/>
                <w:color w:val="auto"/>
                <w:u w:val="none"/>
              </w:rPr>
              <w:t>Specialty ICUs</w:t>
            </w:r>
            <w:r w:rsidRPr="003053D3">
              <w:rPr>
                <w:rStyle w:val="Hyperlink"/>
                <w:rFonts w:cs="Arial"/>
                <w:snapToGrid w:val="0"/>
                <w:color w:val="auto"/>
                <w:u w:val="none"/>
              </w:rPr>
              <w:t xml:space="preserve"> </w:t>
            </w:r>
            <w:r>
              <w:rPr>
                <w:rFonts w:cstheme="minorHAnsi"/>
              </w:rPr>
              <w:t>(adult and/or pediatric)</w:t>
            </w:r>
          </w:p>
          <w:p w14:paraId="5F4DE155" w14:textId="2985553F" w:rsidR="00823FED" w:rsidRDefault="00A90FCA" w:rsidP="00AD309C">
            <w:pPr>
              <w:pStyle w:val="ListParagraph"/>
              <w:numPr>
                <w:ilvl w:val="0"/>
                <w:numId w:val="201"/>
              </w:numPr>
              <w:tabs>
                <w:tab w:val="left" w:pos="0"/>
              </w:tabs>
            </w:pPr>
            <w:hyperlink w:anchor="pacusendnote" w:history="1">
              <w:r w:rsidRPr="009851EB">
                <w:rPr>
                  <w:rStyle w:val="Hyperlink"/>
                </w:rPr>
                <w:t>P</w:t>
              </w:r>
              <w:r w:rsidR="00823FED" w:rsidRPr="009851EB">
                <w:rPr>
                  <w:rStyle w:val="Hyperlink"/>
                </w:rPr>
                <w:t xml:space="preserve">re-operative and </w:t>
              </w:r>
              <w:r w:rsidR="00557FDF" w:rsidRPr="009851EB">
                <w:rPr>
                  <w:rStyle w:val="Hyperlink"/>
                </w:rPr>
                <w:t>P</w:t>
              </w:r>
              <w:r w:rsidR="000F04AC" w:rsidRPr="009851EB">
                <w:rPr>
                  <w:rStyle w:val="Hyperlink"/>
                </w:rPr>
                <w:t>ost</w:t>
              </w:r>
              <w:r w:rsidR="00823FED" w:rsidRPr="009851EB">
                <w:rPr>
                  <w:rStyle w:val="Hyperlink"/>
                </w:rPr>
                <w:t>-</w:t>
              </w:r>
              <w:r w:rsidR="000F04AC" w:rsidRPr="009851EB">
                <w:rPr>
                  <w:rStyle w:val="Hyperlink"/>
                </w:rPr>
                <w:t xml:space="preserve">anesthesia </w:t>
              </w:r>
              <w:r w:rsidR="007D61F9">
                <w:rPr>
                  <w:rStyle w:val="Hyperlink"/>
                </w:rPr>
                <w:t>C</w:t>
              </w:r>
              <w:r w:rsidR="000F04AC" w:rsidRPr="009851EB">
                <w:rPr>
                  <w:rStyle w:val="Hyperlink"/>
                </w:rPr>
                <w:t>are</w:t>
              </w:r>
              <w:r w:rsidR="00823FED" w:rsidRPr="009851EB">
                <w:rPr>
                  <w:rStyle w:val="Hyperlink"/>
                </w:rPr>
                <w:t xml:space="preserve"> </w:t>
              </w:r>
              <w:r w:rsidR="00E73964" w:rsidRPr="009851EB">
                <w:rPr>
                  <w:rStyle w:val="Hyperlink"/>
                </w:rPr>
                <w:t>U</w:t>
              </w:r>
              <w:r w:rsidR="00823FED" w:rsidRPr="009851EB">
                <w:rPr>
                  <w:rStyle w:val="Hyperlink"/>
                </w:rPr>
                <w:t>nit</w:t>
              </w:r>
              <w:r w:rsidR="00E73964" w:rsidRPr="009851EB">
                <w:rPr>
                  <w:rStyle w:val="Hyperlink"/>
                </w:rPr>
                <w:t>s</w:t>
              </w:r>
            </w:hyperlink>
            <w:r w:rsidR="009851EB" w:rsidRPr="009851EB">
              <w:rPr>
                <w:vertAlign w:val="superscript"/>
              </w:rPr>
              <w:t>22</w:t>
            </w:r>
            <w:r w:rsidR="00687066">
              <w:t xml:space="preserve"> </w:t>
            </w:r>
            <w:r w:rsidR="006319A2">
              <w:t>(adult and/or pediatric)</w:t>
            </w:r>
          </w:p>
          <w:p w14:paraId="62829752" w14:textId="4D529CFF" w:rsidR="0073002A" w:rsidRDefault="00657E00" w:rsidP="00AD309C">
            <w:pPr>
              <w:pStyle w:val="ListParagraph"/>
              <w:numPr>
                <w:ilvl w:val="0"/>
                <w:numId w:val="201"/>
              </w:numPr>
              <w:tabs>
                <w:tab w:val="left" w:pos="0"/>
              </w:tabs>
            </w:pPr>
            <w:r>
              <w:t>O</w:t>
            </w:r>
            <w:r w:rsidR="00823FED" w:rsidRPr="00F35D30">
              <w:t xml:space="preserve">bservation </w:t>
            </w:r>
            <w:r>
              <w:t>U</w:t>
            </w:r>
            <w:r w:rsidR="00823FED" w:rsidRPr="00F35D30">
              <w:t xml:space="preserve">nits </w:t>
            </w:r>
            <w:r w:rsidR="003F4DD8">
              <w:t>(adult and/or pediatric)</w:t>
            </w:r>
          </w:p>
          <w:p w14:paraId="49992EDC" w14:textId="6E9E8D5F" w:rsidR="00823FED" w:rsidRPr="00450934" w:rsidRDefault="0008758E" w:rsidP="00AD309C">
            <w:pPr>
              <w:pStyle w:val="ListParagraph"/>
              <w:numPr>
                <w:ilvl w:val="0"/>
                <w:numId w:val="201"/>
              </w:numPr>
              <w:tabs>
                <w:tab w:val="left" w:pos="0"/>
              </w:tabs>
            </w:pPr>
            <w:hyperlink w:anchor="emergencydepartment_endnote" w:history="1">
              <w:r>
                <w:rPr>
                  <w:rStyle w:val="Hyperlink"/>
                </w:rPr>
                <w:t>Dedicated Emergency Departments</w:t>
              </w:r>
            </w:hyperlink>
            <w:r w:rsidR="008C12AF" w:rsidRPr="008C12AF">
              <w:rPr>
                <w:vertAlign w:val="superscript"/>
              </w:rPr>
              <w:t>47</w:t>
            </w:r>
            <w:r w:rsidR="00687066">
              <w:rPr>
                <w:vertAlign w:val="superscript"/>
              </w:rPr>
              <w:t xml:space="preserve"> </w:t>
            </w:r>
            <w:r w:rsidR="00687066">
              <w:t>(adult and/or pediatric)</w:t>
            </w:r>
          </w:p>
          <w:p w14:paraId="5A981712" w14:textId="77777777" w:rsidR="00E74CD8" w:rsidRDefault="00E74CD8" w:rsidP="00E74CD8">
            <w:pPr>
              <w:tabs>
                <w:tab w:val="left" w:pos="0"/>
              </w:tabs>
            </w:pPr>
          </w:p>
          <w:p w14:paraId="601A97DB" w14:textId="6009CCAD" w:rsidR="00E74CD8" w:rsidRDefault="00E74CD8" w:rsidP="00E74CD8">
            <w:pPr>
              <w:tabs>
                <w:tab w:val="left" w:pos="0"/>
              </w:tabs>
            </w:pPr>
            <w:r>
              <w:t>Other units that are not denoted above would be excluded for the purposes of reporting on Section 6</w:t>
            </w:r>
            <w:r w:rsidR="00871D77">
              <w:t>C</w:t>
            </w:r>
            <w:r>
              <w:t xml:space="preserve"> Hand Hygiene. The following units would be excluded:</w:t>
            </w:r>
          </w:p>
          <w:p w14:paraId="74FF281A" w14:textId="786ECC92" w:rsidR="00D20722" w:rsidRDefault="00E5743C" w:rsidP="00AD309C">
            <w:pPr>
              <w:pStyle w:val="ListParagraph"/>
              <w:numPr>
                <w:ilvl w:val="0"/>
                <w:numId w:val="304"/>
              </w:numPr>
              <w:tabs>
                <w:tab w:val="left" w:pos="0"/>
              </w:tabs>
            </w:pPr>
            <w:r>
              <w:t>B</w:t>
            </w:r>
            <w:r w:rsidR="00D20722">
              <w:t xml:space="preserve">ehavioral </w:t>
            </w:r>
            <w:r w:rsidR="00155B1D">
              <w:t>H</w:t>
            </w:r>
            <w:r w:rsidR="00D20722">
              <w:t xml:space="preserve">ealth </w:t>
            </w:r>
            <w:r w:rsidR="00155B1D">
              <w:t>U</w:t>
            </w:r>
            <w:r w:rsidR="00D20722">
              <w:t>nits</w:t>
            </w:r>
          </w:p>
          <w:p w14:paraId="7BB25C7C" w14:textId="34B09A9D" w:rsidR="00D20722" w:rsidRDefault="00E5743C" w:rsidP="00AD309C">
            <w:pPr>
              <w:pStyle w:val="ListParagraph"/>
              <w:numPr>
                <w:ilvl w:val="0"/>
                <w:numId w:val="304"/>
              </w:numPr>
              <w:tabs>
                <w:tab w:val="left" w:pos="0"/>
              </w:tabs>
            </w:pPr>
            <w:r>
              <w:t>P</w:t>
            </w:r>
            <w:r w:rsidR="00D20722">
              <w:t xml:space="preserve">sychiatric </w:t>
            </w:r>
            <w:r w:rsidR="00155B1D">
              <w:t>U</w:t>
            </w:r>
            <w:r w:rsidR="00D20722">
              <w:t>nits</w:t>
            </w:r>
          </w:p>
          <w:p w14:paraId="049308BF" w14:textId="3B322F40" w:rsidR="00D20722" w:rsidRDefault="00E5743C" w:rsidP="00AD309C">
            <w:pPr>
              <w:pStyle w:val="ListParagraph"/>
              <w:numPr>
                <w:ilvl w:val="0"/>
                <w:numId w:val="304"/>
              </w:numPr>
              <w:tabs>
                <w:tab w:val="left" w:pos="0"/>
              </w:tabs>
            </w:pPr>
            <w:r>
              <w:t>P</w:t>
            </w:r>
            <w:r w:rsidR="00D20722">
              <w:t xml:space="preserve">alliative </w:t>
            </w:r>
            <w:r w:rsidR="00155B1D">
              <w:t>C</w:t>
            </w:r>
            <w:r w:rsidR="00D20722">
              <w:t xml:space="preserve">are and </w:t>
            </w:r>
            <w:r w:rsidR="00155B1D">
              <w:t>H</w:t>
            </w:r>
            <w:r w:rsidR="00D20722">
              <w:t xml:space="preserve">ospice </w:t>
            </w:r>
            <w:r w:rsidR="00155B1D">
              <w:t>U</w:t>
            </w:r>
            <w:r w:rsidR="00D20722">
              <w:t>nits</w:t>
            </w:r>
          </w:p>
          <w:p w14:paraId="17C33911" w14:textId="5B6132CE" w:rsidR="00D20722" w:rsidRDefault="00E5743C" w:rsidP="00AD309C">
            <w:pPr>
              <w:pStyle w:val="ListParagraph"/>
              <w:numPr>
                <w:ilvl w:val="0"/>
                <w:numId w:val="304"/>
              </w:numPr>
              <w:tabs>
                <w:tab w:val="left" w:pos="0"/>
              </w:tabs>
            </w:pPr>
            <w:r>
              <w:t>R</w:t>
            </w:r>
            <w:r w:rsidR="00D20722">
              <w:t xml:space="preserve">ehabilitation </w:t>
            </w:r>
            <w:r w:rsidR="005111BE">
              <w:t>U</w:t>
            </w:r>
            <w:r w:rsidR="00D20722">
              <w:t>nits</w:t>
            </w:r>
          </w:p>
          <w:p w14:paraId="37710510" w14:textId="49EB71FB" w:rsidR="00D20722" w:rsidRDefault="00E5743C" w:rsidP="00AD309C">
            <w:pPr>
              <w:pStyle w:val="ListParagraph"/>
              <w:numPr>
                <w:ilvl w:val="0"/>
                <w:numId w:val="304"/>
              </w:numPr>
              <w:tabs>
                <w:tab w:val="left" w:pos="0"/>
              </w:tabs>
            </w:pPr>
            <w:r>
              <w:t>O</w:t>
            </w:r>
            <w:r w:rsidR="00D20722">
              <w:t xml:space="preserve">perating </w:t>
            </w:r>
            <w:r w:rsidR="005111BE">
              <w:t>R</w:t>
            </w:r>
            <w:r w:rsidR="00D20722">
              <w:t>ooms</w:t>
            </w:r>
          </w:p>
          <w:p w14:paraId="5871715A" w14:textId="5AADFB2B" w:rsidR="00335C3D" w:rsidRDefault="00E5743C" w:rsidP="00AD309C">
            <w:pPr>
              <w:pStyle w:val="ListParagraph"/>
              <w:numPr>
                <w:ilvl w:val="0"/>
                <w:numId w:val="304"/>
              </w:numPr>
              <w:tabs>
                <w:tab w:val="left" w:pos="0"/>
              </w:tabs>
            </w:pPr>
            <w:r>
              <w:t>P</w:t>
            </w:r>
            <w:r w:rsidR="00D20722">
              <w:t xml:space="preserve">rocedural and </w:t>
            </w:r>
            <w:r w:rsidR="006A4E9E">
              <w:t>D</w:t>
            </w:r>
            <w:r w:rsidR="00D20722">
              <w:t xml:space="preserve">iagnostic </w:t>
            </w:r>
            <w:r w:rsidR="006A4E9E">
              <w:t>A</w:t>
            </w:r>
            <w:r w:rsidR="00D20722">
              <w:t xml:space="preserve">reas, such as </w:t>
            </w:r>
            <w:r w:rsidR="008A3148">
              <w:t>R</w:t>
            </w:r>
            <w:r w:rsidR="00D20722">
              <w:t>adiology</w:t>
            </w:r>
            <w:r w:rsidR="00335C3D">
              <w:t>, Endoscopy, Dialysis, and Radiation Units</w:t>
            </w:r>
          </w:p>
          <w:p w14:paraId="13166380" w14:textId="77777777" w:rsidR="00335C3D" w:rsidRDefault="00335C3D" w:rsidP="00AD309C">
            <w:pPr>
              <w:pStyle w:val="ListParagraph"/>
              <w:numPr>
                <w:ilvl w:val="0"/>
                <w:numId w:val="304"/>
              </w:numPr>
              <w:tabs>
                <w:tab w:val="left" w:pos="0"/>
              </w:tabs>
            </w:pPr>
            <w:r>
              <w:t>Admission Units that don’t hold patients overnight</w:t>
            </w:r>
          </w:p>
          <w:p w14:paraId="5CF3E08B" w14:textId="77777777" w:rsidR="00335C3D" w:rsidRDefault="00335C3D" w:rsidP="00AD309C">
            <w:pPr>
              <w:pStyle w:val="ListParagraph"/>
              <w:numPr>
                <w:ilvl w:val="0"/>
                <w:numId w:val="304"/>
              </w:numPr>
              <w:tabs>
                <w:tab w:val="left" w:pos="0"/>
              </w:tabs>
            </w:pPr>
            <w:r>
              <w:t>Primary Care Clinics</w:t>
            </w:r>
          </w:p>
          <w:p w14:paraId="643B9F9E" w14:textId="77777777" w:rsidR="00E74CD8" w:rsidRDefault="00335C3D" w:rsidP="00AD309C">
            <w:pPr>
              <w:pStyle w:val="ListParagraph"/>
              <w:numPr>
                <w:ilvl w:val="0"/>
                <w:numId w:val="304"/>
              </w:numPr>
              <w:tabs>
                <w:tab w:val="left" w:pos="0"/>
              </w:tabs>
            </w:pPr>
            <w:r>
              <w:t>Units that are not currently open and/or were not open consistently throughout the entire reporting period (i.e., most recent month or past three months based on responses selected in monitoring questions #8-10)</w:t>
            </w:r>
          </w:p>
          <w:p w14:paraId="75CAD11F" w14:textId="12FA136F" w:rsidR="00335C3D" w:rsidRPr="003E00DE" w:rsidRDefault="00335C3D" w:rsidP="00786E08">
            <w:pPr>
              <w:pStyle w:val="ListParagraph"/>
              <w:tabs>
                <w:tab w:val="left" w:pos="0"/>
              </w:tabs>
            </w:pPr>
          </w:p>
        </w:tc>
      </w:tr>
      <w:tr w:rsidR="00823FED" w:rsidRPr="009A5185" w14:paraId="52B84043" w14:textId="77777777" w:rsidTr="00C37D4D">
        <w:trPr>
          <w:trHeight w:val="288"/>
          <w:jc w:val="center"/>
        </w:trPr>
        <w:tc>
          <w:tcPr>
            <w:tcW w:w="9387" w:type="dxa"/>
            <w:vAlign w:val="center"/>
          </w:tcPr>
          <w:p w14:paraId="33941361" w14:textId="77777777" w:rsidR="00823FED" w:rsidRPr="00C811AB" w:rsidRDefault="00823FED" w:rsidP="00EC4DCE">
            <w:pPr>
              <w:tabs>
                <w:tab w:val="left" w:pos="0"/>
              </w:tabs>
              <w:rPr>
                <w:rFonts w:cs="Arial"/>
                <w:b/>
                <w:bCs/>
                <w:i/>
                <w:iCs/>
              </w:rPr>
            </w:pPr>
            <w:r w:rsidRPr="00C811AB">
              <w:rPr>
                <w:rFonts w:cs="Arial"/>
                <w:b/>
                <w:bCs/>
                <w:i/>
                <w:iCs/>
              </w:rPr>
              <w:t>Infrastructure</w:t>
            </w:r>
          </w:p>
        </w:tc>
      </w:tr>
      <w:tr w:rsidR="00823FED" w:rsidRPr="009A5185" w14:paraId="6915FBFA" w14:textId="77777777" w:rsidTr="00AF07E8">
        <w:trPr>
          <w:jc w:val="center"/>
        </w:trPr>
        <w:tc>
          <w:tcPr>
            <w:tcW w:w="9387" w:type="dxa"/>
            <w:vAlign w:val="center"/>
          </w:tcPr>
          <w:p w14:paraId="01862F63" w14:textId="7004518A" w:rsidR="00823FED" w:rsidRDefault="00823FED" w:rsidP="00EC4DCE">
            <w:pPr>
              <w:rPr>
                <w:rFonts w:cs="Arial"/>
              </w:rPr>
            </w:pPr>
            <w:r>
              <w:rPr>
                <w:rFonts w:cs="Arial"/>
                <w:b/>
                <w:bCs/>
              </w:rPr>
              <w:t>Question #4:</w:t>
            </w:r>
            <w:r w:rsidR="00F52B99">
              <w:rPr>
                <w:rFonts w:cs="Arial"/>
                <w:b/>
                <w:bCs/>
              </w:rPr>
              <w:t xml:space="preserve"> </w:t>
            </w:r>
            <w:r w:rsidRPr="001446F9">
              <w:rPr>
                <w:rFonts w:cs="Arial"/>
              </w:rPr>
              <w:t xml:space="preserve">Does your hospital have a process in place to ensure that </w:t>
            </w:r>
            <w:r w:rsidRPr="00083F4E">
              <w:rPr>
                <w:rFonts w:cs="Arial"/>
                <w:b/>
                <w:bCs/>
              </w:rPr>
              <w:t>all</w:t>
            </w:r>
            <w:r w:rsidRPr="001446F9">
              <w:rPr>
                <w:rFonts w:cs="Arial"/>
              </w:rPr>
              <w:t xml:space="preserve"> the following are done, as necessary, and quarterly audits are conducted on a sample of dispensers in your patient care units to ensure that the process is followed? </w:t>
            </w:r>
          </w:p>
          <w:p w14:paraId="13D48717" w14:textId="77777777" w:rsidR="00823FED" w:rsidRPr="001446F9" w:rsidRDefault="00823FED" w:rsidP="00AD309C">
            <w:pPr>
              <w:pStyle w:val="ListParagraph"/>
              <w:numPr>
                <w:ilvl w:val="0"/>
                <w:numId w:val="196"/>
              </w:numPr>
              <w:rPr>
                <w:rFonts w:cs="Arial"/>
                <w:b/>
                <w:bCs/>
              </w:rPr>
            </w:pPr>
            <w:r w:rsidRPr="001446F9">
              <w:rPr>
                <w:rFonts w:cs="Arial"/>
              </w:rPr>
              <w:lastRenderedPageBreak/>
              <w:t>Refill paper towels, soap dispensers, and alcohol</w:t>
            </w:r>
            <w:r>
              <w:rPr>
                <w:rFonts w:cs="Arial"/>
              </w:rPr>
              <w:t>-</w:t>
            </w:r>
            <w:r w:rsidRPr="001446F9">
              <w:rPr>
                <w:rFonts w:cs="Arial"/>
              </w:rPr>
              <w:t>based hand sanitizer dispensers when they are empty or near empty</w:t>
            </w:r>
          </w:p>
          <w:p w14:paraId="5B4F3195" w14:textId="77777777" w:rsidR="00823FED" w:rsidRPr="009F6D09" w:rsidRDefault="00823FED" w:rsidP="00AD309C">
            <w:pPr>
              <w:pStyle w:val="ListParagraph"/>
              <w:numPr>
                <w:ilvl w:val="0"/>
                <w:numId w:val="196"/>
              </w:numPr>
              <w:rPr>
                <w:rFonts w:cs="Arial"/>
                <w:b/>
                <w:bCs/>
              </w:rPr>
            </w:pPr>
            <w:r w:rsidRPr="001446F9">
              <w:rPr>
                <w:rFonts w:cs="Arial"/>
              </w:rPr>
              <w:t>Replace batteries in automated paper towel dispensers, soap dispensers, and alcohol-based hand sanitizer dispensers (if automated dispensers are used in the patient care units)</w:t>
            </w:r>
          </w:p>
          <w:p w14:paraId="4F59FFBA" w14:textId="77777777" w:rsidR="009F6D09" w:rsidRPr="001446F9" w:rsidRDefault="009F6D09" w:rsidP="009F6D09">
            <w:pPr>
              <w:pStyle w:val="ListParagraph"/>
              <w:rPr>
                <w:rFonts w:cs="Arial"/>
                <w:b/>
                <w:bCs/>
              </w:rPr>
            </w:pPr>
          </w:p>
          <w:p w14:paraId="78A0C811" w14:textId="7A0D6A91" w:rsidR="00823FED" w:rsidRDefault="00B72F05" w:rsidP="00EC4DCE">
            <w:pPr>
              <w:rPr>
                <w:rFonts w:cs="Arial"/>
              </w:rPr>
            </w:pPr>
            <w:r>
              <w:rPr>
                <w:rFonts w:cs="Arial"/>
              </w:rPr>
              <w:t>In order to respond “yes” to question #4, a</w:t>
            </w:r>
            <w:r w:rsidR="00823FED">
              <w:rPr>
                <w:rFonts w:cs="Arial"/>
              </w:rPr>
              <w:t xml:space="preserve"> process </w:t>
            </w:r>
            <w:r w:rsidR="00737469">
              <w:rPr>
                <w:rFonts w:cs="Arial"/>
              </w:rPr>
              <w:t xml:space="preserve">must </w:t>
            </w:r>
            <w:r w:rsidR="00823FED">
              <w:rPr>
                <w:rFonts w:cs="Arial"/>
              </w:rPr>
              <w:t xml:space="preserve">be in place to ensure that paper towel, soap, and alcohol-based hand sanitizer dispensers are refilled when they are empty or near empty and batteries are replaced in automated paper towel, soap, and alcohol-based hand sanitizer dispensers (if automated dispensers are used in patient care units). </w:t>
            </w:r>
          </w:p>
          <w:p w14:paraId="4B282B76" w14:textId="77777777" w:rsidR="00823FED" w:rsidRPr="00481148" w:rsidRDefault="00823FED" w:rsidP="00EC4DCE">
            <w:pPr>
              <w:rPr>
                <w:rFonts w:cs="Arial"/>
                <w:sz w:val="16"/>
                <w:szCs w:val="16"/>
              </w:rPr>
            </w:pPr>
          </w:p>
          <w:p w14:paraId="5F182E4C" w14:textId="2DD4375D" w:rsidR="00823FED" w:rsidRDefault="00823FED" w:rsidP="00EC4DCE">
            <w:pPr>
              <w:rPr>
                <w:rFonts w:cs="Arial"/>
              </w:rPr>
            </w:pPr>
            <w:r>
              <w:rPr>
                <w:rFonts w:cs="Arial"/>
              </w:rPr>
              <w:t xml:space="preserve">In addition, a quarterly audit must be conducted on a sample of paper towel, soap, and alcohol-based hand sanitizer dispensers to include checking that dispensers are refilled and that batteries in automated dispensers are replaced. </w:t>
            </w:r>
            <w:r w:rsidRPr="00D37A5F">
              <w:rPr>
                <w:rFonts w:cs="Arial"/>
              </w:rPr>
              <w:t xml:space="preserve">The quarterly audit should be a supplement to a system that checks these supplies on a routine basis (e.g., environmental services </w:t>
            </w:r>
            <w:r w:rsidR="0076627B" w:rsidRPr="00D37A5F">
              <w:rPr>
                <w:rFonts w:cs="Arial"/>
              </w:rPr>
              <w:t>check</w:t>
            </w:r>
            <w:r w:rsidRPr="00D37A5F">
              <w:rPr>
                <w:rFonts w:cs="Arial"/>
              </w:rPr>
              <w:t xml:space="preserve"> with their regular cleaning). </w:t>
            </w:r>
          </w:p>
          <w:p w14:paraId="3DB5110C" w14:textId="77777777" w:rsidR="00823FED" w:rsidRPr="00481148" w:rsidRDefault="00823FED" w:rsidP="00EC4DCE">
            <w:pPr>
              <w:tabs>
                <w:tab w:val="left" w:pos="0"/>
              </w:tabs>
              <w:rPr>
                <w:rFonts w:cs="Arial"/>
                <w:sz w:val="16"/>
                <w:szCs w:val="16"/>
              </w:rPr>
            </w:pPr>
          </w:p>
          <w:p w14:paraId="665BC15D" w14:textId="67194DD2" w:rsidR="00823FED" w:rsidRPr="004974B8" w:rsidRDefault="00823FED" w:rsidP="00EC4DCE">
            <w:pPr>
              <w:tabs>
                <w:tab w:val="left" w:pos="0"/>
              </w:tabs>
              <w:rPr>
                <w:rFonts w:cs="Arial"/>
                <w:sz w:val="10"/>
                <w:szCs w:val="10"/>
              </w:rPr>
            </w:pPr>
            <w:r>
              <w:rPr>
                <w:rFonts w:cs="Arial"/>
                <w:b/>
                <w:bCs/>
              </w:rPr>
              <w:t>Sampling Instructions:</w:t>
            </w:r>
            <w:r>
              <w:rPr>
                <w:rFonts w:cs="Arial"/>
              </w:rPr>
              <w:t xml:space="preserve"> </w:t>
            </w:r>
            <w:r w:rsidRPr="00893060">
              <w:t xml:space="preserve">The sample </w:t>
            </w:r>
            <w:r w:rsidR="004242DB">
              <w:t xml:space="preserve">must </w:t>
            </w:r>
            <w:r w:rsidRPr="00893060">
              <w:t>be based on a random or systematic sampling procedure, where the sampling plan assures wide sampling (i.e., the same places would not always be monitored)</w:t>
            </w:r>
            <w:r>
              <w:t xml:space="preserve"> and includes at least </w:t>
            </w:r>
            <w:r w:rsidRPr="00893060">
              <w:t xml:space="preserve">5% of the dispensers in 20% of the </w:t>
            </w:r>
            <w:r>
              <w:t xml:space="preserve">patient care </w:t>
            </w:r>
            <w:r w:rsidRPr="00893060">
              <w:t>units.</w:t>
            </w:r>
            <w:r>
              <w:br/>
            </w:r>
          </w:p>
        </w:tc>
      </w:tr>
      <w:tr w:rsidR="00F4327A" w:rsidRPr="009A5185" w14:paraId="7D58D7F4" w14:textId="77777777" w:rsidTr="00E53A63">
        <w:trPr>
          <w:trHeight w:val="576"/>
          <w:jc w:val="center"/>
        </w:trPr>
        <w:tc>
          <w:tcPr>
            <w:tcW w:w="9387" w:type="dxa"/>
          </w:tcPr>
          <w:p w14:paraId="0B7094F1" w14:textId="607C98DF" w:rsidR="00823FED" w:rsidRDefault="00823FED" w:rsidP="00EC4DCE">
            <w:pPr>
              <w:autoSpaceDE w:val="0"/>
              <w:autoSpaceDN w:val="0"/>
              <w:adjustRightInd w:val="0"/>
              <w:rPr>
                <w:rFonts w:cs="Arial"/>
              </w:rPr>
            </w:pPr>
            <w:r>
              <w:rPr>
                <w:rFonts w:cs="Arial"/>
                <w:b/>
                <w:bCs/>
              </w:rPr>
              <w:lastRenderedPageBreak/>
              <w:t xml:space="preserve">Question #6: </w:t>
            </w:r>
            <w:r w:rsidRPr="001446F9">
              <w:rPr>
                <w:rFonts w:cs="Arial"/>
              </w:rPr>
              <w:t>Does your hospital conduct audits of the volume of alcohol</w:t>
            </w:r>
            <w:r>
              <w:rPr>
                <w:rFonts w:cs="Arial"/>
              </w:rPr>
              <w:t>-</w:t>
            </w:r>
            <w:r w:rsidRPr="001446F9">
              <w:rPr>
                <w:rFonts w:cs="Arial"/>
              </w:rPr>
              <w:t xml:space="preserve">based hand sanitizer that is delivered with each activation of a wall-mounted dispenser (manual and automated) on a sample of dispensers in your patient care units at </w:t>
            </w:r>
            <w:r w:rsidRPr="00083F4E">
              <w:rPr>
                <w:rFonts w:cs="Arial"/>
                <w:b/>
                <w:bCs/>
              </w:rPr>
              <w:t>all</w:t>
            </w:r>
            <w:r w:rsidRPr="001446F9">
              <w:rPr>
                <w:rFonts w:cs="Arial"/>
              </w:rPr>
              <w:t xml:space="preserve"> the following times: </w:t>
            </w:r>
          </w:p>
          <w:p w14:paraId="790EA356" w14:textId="77777777" w:rsidR="00823FED" w:rsidRPr="001446F9" w:rsidRDefault="00823FED" w:rsidP="00AD309C">
            <w:pPr>
              <w:pStyle w:val="ListParagraph"/>
              <w:numPr>
                <w:ilvl w:val="0"/>
                <w:numId w:val="197"/>
              </w:numPr>
              <w:autoSpaceDE w:val="0"/>
              <w:autoSpaceDN w:val="0"/>
              <w:adjustRightInd w:val="0"/>
              <w:rPr>
                <w:rFonts w:cs="Arial"/>
                <w:b/>
                <w:bCs/>
              </w:rPr>
            </w:pPr>
            <w:r w:rsidRPr="001446F9">
              <w:rPr>
                <w:rFonts w:cs="Arial"/>
              </w:rPr>
              <w:t>upon installation;</w:t>
            </w:r>
          </w:p>
          <w:p w14:paraId="419D0684" w14:textId="77777777" w:rsidR="00823FED" w:rsidRPr="001446F9" w:rsidRDefault="00823FED" w:rsidP="00AD309C">
            <w:pPr>
              <w:pStyle w:val="ListParagraph"/>
              <w:numPr>
                <w:ilvl w:val="0"/>
                <w:numId w:val="197"/>
              </w:numPr>
              <w:autoSpaceDE w:val="0"/>
              <w:autoSpaceDN w:val="0"/>
              <w:adjustRightInd w:val="0"/>
              <w:rPr>
                <w:rFonts w:cs="Arial"/>
                <w:b/>
                <w:bCs/>
              </w:rPr>
            </w:pPr>
            <w:r w:rsidRPr="001446F9">
              <w:rPr>
                <w:rFonts w:cs="Arial"/>
              </w:rPr>
              <w:t>whenever the brand of product or system changes; and</w:t>
            </w:r>
          </w:p>
          <w:p w14:paraId="400FBB90" w14:textId="77777777" w:rsidR="00823FED" w:rsidRPr="001446F9" w:rsidRDefault="00823FED" w:rsidP="00AD309C">
            <w:pPr>
              <w:pStyle w:val="ListParagraph"/>
              <w:numPr>
                <w:ilvl w:val="0"/>
                <w:numId w:val="197"/>
              </w:numPr>
              <w:autoSpaceDE w:val="0"/>
              <w:autoSpaceDN w:val="0"/>
              <w:adjustRightInd w:val="0"/>
              <w:rPr>
                <w:rFonts w:cs="Arial"/>
                <w:b/>
                <w:bCs/>
              </w:rPr>
            </w:pPr>
            <w:r w:rsidRPr="001446F9">
              <w:rPr>
                <w:rFonts w:cs="Arial"/>
              </w:rPr>
              <w:t xml:space="preserve">whenever adjustments are made to the dispensers;  </w:t>
            </w:r>
          </w:p>
          <w:p w14:paraId="0183DE98" w14:textId="77777777" w:rsidR="005D3242" w:rsidRDefault="005D3242" w:rsidP="00EC4DCE">
            <w:pPr>
              <w:autoSpaceDE w:val="0"/>
              <w:autoSpaceDN w:val="0"/>
              <w:adjustRightInd w:val="0"/>
              <w:rPr>
                <w:rFonts w:cs="Arial"/>
              </w:rPr>
            </w:pPr>
          </w:p>
          <w:p w14:paraId="369B5356" w14:textId="5EEB3CAF" w:rsidR="00823FED" w:rsidRDefault="00823FED" w:rsidP="00EC4DCE">
            <w:pPr>
              <w:autoSpaceDE w:val="0"/>
              <w:autoSpaceDN w:val="0"/>
              <w:adjustRightInd w:val="0"/>
              <w:rPr>
                <w:rFonts w:cs="Arial"/>
              </w:rPr>
            </w:pPr>
            <w:r w:rsidRPr="001446F9">
              <w:rPr>
                <w:rFonts w:cs="Arial"/>
              </w:rPr>
              <w:t xml:space="preserve">OR </w:t>
            </w:r>
          </w:p>
          <w:p w14:paraId="50DFBD2D" w14:textId="77777777" w:rsidR="005D3242" w:rsidRDefault="005D3242" w:rsidP="00EC4DCE">
            <w:pPr>
              <w:autoSpaceDE w:val="0"/>
              <w:autoSpaceDN w:val="0"/>
              <w:adjustRightInd w:val="0"/>
              <w:rPr>
                <w:rFonts w:cs="Arial"/>
              </w:rPr>
            </w:pPr>
          </w:p>
          <w:p w14:paraId="7FD8E3C7" w14:textId="7BA70109" w:rsidR="00823FED" w:rsidRDefault="00823FED" w:rsidP="00EC4DCE">
            <w:pPr>
              <w:autoSpaceDE w:val="0"/>
              <w:autoSpaceDN w:val="0"/>
              <w:adjustRightInd w:val="0"/>
              <w:rPr>
                <w:rFonts w:cs="Arial"/>
              </w:rPr>
            </w:pPr>
            <w:r w:rsidRPr="001446F9">
              <w:rPr>
                <w:rFonts w:cs="Arial"/>
              </w:rPr>
              <w:t>Has your hospital conducted an audit of the volume of alcohol</w:t>
            </w:r>
            <w:r>
              <w:rPr>
                <w:rFonts w:cs="Arial"/>
              </w:rPr>
              <w:t>-</w:t>
            </w:r>
            <w:r w:rsidRPr="001446F9">
              <w:rPr>
                <w:rFonts w:cs="Arial"/>
              </w:rPr>
              <w:t xml:space="preserve">based hand sanitizer that is delivered with each activation of a wall-mounted dispenser (manual and automated) on a sample of your hospital’s existing dispensers if there have been no changes to any dispensers?  </w:t>
            </w:r>
          </w:p>
          <w:p w14:paraId="33147AF3" w14:textId="77777777" w:rsidR="00823FED" w:rsidRPr="00481148" w:rsidRDefault="00823FED" w:rsidP="00EC4DCE">
            <w:pPr>
              <w:autoSpaceDE w:val="0"/>
              <w:autoSpaceDN w:val="0"/>
              <w:adjustRightInd w:val="0"/>
              <w:rPr>
                <w:rFonts w:cs="Arial"/>
                <w:b/>
                <w:bCs/>
                <w:sz w:val="16"/>
                <w:szCs w:val="16"/>
              </w:rPr>
            </w:pPr>
          </w:p>
          <w:p w14:paraId="33BD96F1" w14:textId="0DFA2360" w:rsidR="00823FED" w:rsidRDefault="00B72F05" w:rsidP="00EC4DCE">
            <w:pPr>
              <w:autoSpaceDE w:val="0"/>
              <w:autoSpaceDN w:val="0"/>
              <w:adjustRightInd w:val="0"/>
              <w:rPr>
                <w:rFonts w:cs="Arial"/>
              </w:rPr>
            </w:pPr>
            <w:r>
              <w:rPr>
                <w:rFonts w:cs="Arial"/>
              </w:rPr>
              <w:t>In order to respond “yes” to question #6, a</w:t>
            </w:r>
            <w:r w:rsidR="00823FED">
              <w:rPr>
                <w:rFonts w:cs="Arial"/>
              </w:rPr>
              <w:t xml:space="preserve"> volume audit on a sample of wall-mounted alcohol-based hand sanitizer dispensers (manual and automated) in your patient care units must be conducted </w:t>
            </w:r>
            <w:r w:rsidR="00823FED">
              <w:rPr>
                <w:rFonts w:cs="Arial"/>
                <w:b/>
                <w:bCs/>
              </w:rPr>
              <w:t xml:space="preserve">at least </w:t>
            </w:r>
            <w:r w:rsidR="00823FED" w:rsidRPr="00CC3F0A">
              <w:rPr>
                <w:rFonts w:cs="Arial"/>
              </w:rPr>
              <w:t>once</w:t>
            </w:r>
            <w:r w:rsidR="00823FED">
              <w:rPr>
                <w:rFonts w:cs="Arial"/>
              </w:rPr>
              <w:t xml:space="preserve"> (upon installation, whenever the brand of product or system changes, and whenever adjustments are made to the dispensers) </w:t>
            </w:r>
            <w:r w:rsidR="00823FED" w:rsidRPr="00CC3F0A">
              <w:rPr>
                <w:rFonts w:cs="Arial"/>
              </w:rPr>
              <w:t>using</w:t>
            </w:r>
            <w:r w:rsidR="00823FED">
              <w:rPr>
                <w:rFonts w:cs="Arial"/>
              </w:rPr>
              <w:t xml:space="preserve"> one of the below methods. Prior volume audits are acceptable if they were conducted using the instructions in Leapfrog’s 2019-202</w:t>
            </w:r>
            <w:r w:rsidR="00E828E7">
              <w:rPr>
                <w:rFonts w:cs="Arial"/>
              </w:rPr>
              <w:t>5</w:t>
            </w:r>
            <w:r w:rsidR="00823FED">
              <w:rPr>
                <w:rFonts w:cs="Arial"/>
              </w:rPr>
              <w:t xml:space="preserve"> Surveys, documentation has been maintained, and no changes have been made to the dispensers since the audit.</w:t>
            </w:r>
          </w:p>
          <w:p w14:paraId="0B546D27" w14:textId="77777777" w:rsidR="00823FED" w:rsidRPr="00481148" w:rsidRDefault="00823FED" w:rsidP="00EC4DCE">
            <w:pPr>
              <w:autoSpaceDE w:val="0"/>
              <w:autoSpaceDN w:val="0"/>
              <w:adjustRightInd w:val="0"/>
              <w:rPr>
                <w:rFonts w:cs="Arial"/>
                <w:sz w:val="16"/>
                <w:szCs w:val="16"/>
              </w:rPr>
            </w:pPr>
          </w:p>
          <w:p w14:paraId="40EC1D3A" w14:textId="14F7F05A" w:rsidR="00823FED" w:rsidRDefault="00823FED" w:rsidP="00EC4DCE">
            <w:pPr>
              <w:autoSpaceDE w:val="0"/>
              <w:autoSpaceDN w:val="0"/>
              <w:adjustRightInd w:val="0"/>
            </w:pPr>
            <w:r>
              <w:rPr>
                <w:rFonts w:cs="Arial"/>
                <w:b/>
                <w:bCs/>
              </w:rPr>
              <w:t xml:space="preserve">Sampling Instructions: </w:t>
            </w:r>
            <w:r w:rsidRPr="00893060">
              <w:t xml:space="preserve">The sample </w:t>
            </w:r>
            <w:r w:rsidR="004242DB">
              <w:t>must</w:t>
            </w:r>
            <w:r w:rsidRPr="00893060">
              <w:t xml:space="preserve"> be based on a random or systematic sampling procedure, where the sampling plan assures wide sampling (i.e., the same places would not always be monitored)</w:t>
            </w:r>
            <w:r>
              <w:t xml:space="preserve"> and includes at least </w:t>
            </w:r>
            <w:r w:rsidRPr="00893060">
              <w:t>5% of the dispensers.</w:t>
            </w:r>
          </w:p>
          <w:p w14:paraId="3D2A0C6B" w14:textId="77777777" w:rsidR="00823FED" w:rsidRPr="00481148" w:rsidRDefault="00823FED" w:rsidP="00EC4DCE">
            <w:pPr>
              <w:autoSpaceDE w:val="0"/>
              <w:autoSpaceDN w:val="0"/>
              <w:adjustRightInd w:val="0"/>
              <w:rPr>
                <w:sz w:val="16"/>
                <w:szCs w:val="16"/>
              </w:rPr>
            </w:pPr>
          </w:p>
          <w:p w14:paraId="112B3041" w14:textId="77777777" w:rsidR="00823FED" w:rsidRPr="006D3828" w:rsidRDefault="00823FED" w:rsidP="00EC4DCE">
            <w:pPr>
              <w:autoSpaceDE w:val="0"/>
              <w:autoSpaceDN w:val="0"/>
              <w:adjustRightInd w:val="0"/>
              <w:rPr>
                <w:b/>
                <w:bCs/>
              </w:rPr>
            </w:pPr>
            <w:r>
              <w:rPr>
                <w:b/>
                <w:bCs/>
              </w:rPr>
              <w:t xml:space="preserve">Method #1 - Auditing Liquid Volume: </w:t>
            </w:r>
            <w:r w:rsidRPr="00B55BEE">
              <w:rPr>
                <w:bCs/>
              </w:rPr>
              <w:t xml:space="preserve">To audit the </w:t>
            </w:r>
            <w:r w:rsidRPr="00A81A4C">
              <w:rPr>
                <w:b/>
                <w:i/>
                <w:iCs/>
              </w:rPr>
              <w:t>liquid volume</w:t>
            </w:r>
            <w:r w:rsidRPr="00B55BEE">
              <w:rPr>
                <w:bCs/>
              </w:rPr>
              <w:t xml:space="preserve"> of alcohol-based hand sanitizer that is delivered with each activation of a wall-mounted dispenser (manual and automated), </w:t>
            </w:r>
            <w:r>
              <w:rPr>
                <w:bCs/>
              </w:rPr>
              <w:t>use</w:t>
            </w:r>
            <w:r w:rsidRPr="00B55BEE">
              <w:rPr>
                <w:bCs/>
              </w:rPr>
              <w:t xml:space="preserve"> the following process:</w:t>
            </w:r>
          </w:p>
          <w:p w14:paraId="40E6D6C0" w14:textId="77777777" w:rsidR="00823FED" w:rsidRDefault="00823FED" w:rsidP="00AD309C">
            <w:pPr>
              <w:pStyle w:val="EndnoteText"/>
              <w:numPr>
                <w:ilvl w:val="0"/>
                <w:numId w:val="190"/>
              </w:numPr>
              <w:ind w:left="360"/>
              <w:rPr>
                <w:bCs/>
              </w:rPr>
            </w:pPr>
            <w:r w:rsidRPr="00B55BEE">
              <w:rPr>
                <w:bCs/>
              </w:rPr>
              <w:t>Select a sample of dispensers based on a random or systematic sampling procedure</w:t>
            </w:r>
            <w:r>
              <w:rPr>
                <w:bCs/>
              </w:rPr>
              <w:t>.</w:t>
            </w:r>
          </w:p>
          <w:p w14:paraId="72C952DF" w14:textId="77777777" w:rsidR="00823FED" w:rsidRDefault="00823FED" w:rsidP="00AD309C">
            <w:pPr>
              <w:pStyle w:val="EndnoteText"/>
              <w:numPr>
                <w:ilvl w:val="0"/>
                <w:numId w:val="190"/>
              </w:numPr>
              <w:ind w:left="360"/>
              <w:rPr>
                <w:bCs/>
              </w:rPr>
            </w:pPr>
            <w:r w:rsidRPr="003051E2">
              <w:rPr>
                <w:bCs/>
              </w:rPr>
              <w:t>Take a small, graduated plastic medicine cup and have the dispenser deliver 10 doses of alcohol-based hand sanitizer.</w:t>
            </w:r>
          </w:p>
          <w:p w14:paraId="307D2E06" w14:textId="77777777" w:rsidR="00823FED" w:rsidRPr="003051E2" w:rsidRDefault="00823FED" w:rsidP="00AD309C">
            <w:pPr>
              <w:pStyle w:val="EndnoteText"/>
              <w:numPr>
                <w:ilvl w:val="0"/>
                <w:numId w:val="190"/>
              </w:numPr>
              <w:ind w:left="360"/>
              <w:rPr>
                <w:bCs/>
              </w:rPr>
            </w:pPr>
            <w:r w:rsidRPr="003051E2">
              <w:rPr>
                <w:bCs/>
              </w:rPr>
              <w:t>Divide the total volume dispensed by 10 to get an average of the amount dispensed.</w:t>
            </w:r>
          </w:p>
          <w:p w14:paraId="419CDDC7" w14:textId="61406B00" w:rsidR="00FC258A" w:rsidRPr="00B55BEE" w:rsidRDefault="00823FED" w:rsidP="00EC4DCE">
            <w:pPr>
              <w:pStyle w:val="EndnoteText"/>
              <w:rPr>
                <w:bCs/>
              </w:rPr>
            </w:pPr>
            <w:r>
              <w:rPr>
                <w:bCs/>
              </w:rPr>
              <w:br/>
            </w:r>
            <w:r w:rsidRPr="00C26A4A">
              <w:rPr>
                <w:bCs/>
              </w:rPr>
              <w:t>NOTE: Hospitals using foam alcohol-based hand sanitizer will need to follow the steps above, but will instead need to weigh the sample, divide the results by 10 to obtain the average output of the sample, and then convert the weight in grams to milliliters by dividing the weight by the density (which can be provided by your vendor for your specific product).</w:t>
            </w:r>
          </w:p>
          <w:p w14:paraId="08516E62" w14:textId="77777777" w:rsidR="00823FED" w:rsidRPr="00481148" w:rsidRDefault="00823FED" w:rsidP="00EC4DCE">
            <w:pPr>
              <w:autoSpaceDE w:val="0"/>
              <w:autoSpaceDN w:val="0"/>
              <w:adjustRightInd w:val="0"/>
              <w:rPr>
                <w:rFonts w:cs="Arial"/>
                <w:sz w:val="16"/>
                <w:szCs w:val="16"/>
              </w:rPr>
            </w:pPr>
          </w:p>
          <w:p w14:paraId="37045D46" w14:textId="77777777" w:rsidR="00823FED" w:rsidRPr="00B55BEE" w:rsidRDefault="00823FED" w:rsidP="00EC4DCE">
            <w:pPr>
              <w:pStyle w:val="EndnoteText"/>
              <w:rPr>
                <w:bCs/>
              </w:rPr>
            </w:pPr>
            <w:r>
              <w:rPr>
                <w:rFonts w:cs="Arial"/>
                <w:b/>
                <w:bCs/>
              </w:rPr>
              <w:lastRenderedPageBreak/>
              <w:t xml:space="preserve">Method #2 - Auditing Average Hand Rubbing Time: </w:t>
            </w:r>
            <w:r w:rsidRPr="00B55BEE">
              <w:rPr>
                <w:bCs/>
              </w:rPr>
              <w:t xml:space="preserve">To audit the </w:t>
            </w:r>
            <w:r w:rsidRPr="00A81A4C">
              <w:rPr>
                <w:b/>
                <w:i/>
                <w:iCs/>
              </w:rPr>
              <w:t>average hand rubbing time</w:t>
            </w:r>
            <w:r w:rsidRPr="00B55BEE">
              <w:rPr>
                <w:bCs/>
              </w:rPr>
              <w:t xml:space="preserve"> of alcohol-based hand sanitizer that is delivered with each activation of a wall-mounted dispenser (manual and automated), </w:t>
            </w:r>
            <w:r>
              <w:rPr>
                <w:bCs/>
              </w:rPr>
              <w:t>use</w:t>
            </w:r>
            <w:r w:rsidRPr="00B55BEE">
              <w:rPr>
                <w:bCs/>
              </w:rPr>
              <w:t xml:space="preserve"> the following process: </w:t>
            </w:r>
          </w:p>
          <w:p w14:paraId="3D7B1EB2" w14:textId="77777777" w:rsidR="00823FED" w:rsidRDefault="00823FED" w:rsidP="00AD309C">
            <w:pPr>
              <w:pStyle w:val="EndnoteText"/>
              <w:numPr>
                <w:ilvl w:val="0"/>
                <w:numId w:val="191"/>
              </w:numPr>
              <w:ind w:left="360"/>
              <w:rPr>
                <w:bCs/>
              </w:rPr>
            </w:pPr>
            <w:r w:rsidRPr="00B55BEE">
              <w:rPr>
                <w:bCs/>
              </w:rPr>
              <w:t>Select a sample of dispensers based on a random or systematic sampling procedure</w:t>
            </w:r>
            <w:r>
              <w:rPr>
                <w:bCs/>
              </w:rPr>
              <w:t>.</w:t>
            </w:r>
          </w:p>
          <w:p w14:paraId="37556B74" w14:textId="77777777" w:rsidR="00823FED" w:rsidRDefault="00823FED" w:rsidP="00AD309C">
            <w:pPr>
              <w:pStyle w:val="EndnoteText"/>
              <w:numPr>
                <w:ilvl w:val="0"/>
                <w:numId w:val="191"/>
              </w:numPr>
              <w:ind w:left="360"/>
              <w:rPr>
                <w:bCs/>
              </w:rPr>
            </w:pPr>
            <w:r w:rsidRPr="003051E2">
              <w:rPr>
                <w:bCs/>
              </w:rPr>
              <w:t>Identify multiple individuals (at least 10) with varying hand sizes (by quick observation).</w:t>
            </w:r>
          </w:p>
          <w:p w14:paraId="63082458" w14:textId="7A85657B" w:rsidR="00823FED" w:rsidRDefault="00823FED" w:rsidP="00AD309C">
            <w:pPr>
              <w:pStyle w:val="EndnoteText"/>
              <w:numPr>
                <w:ilvl w:val="0"/>
                <w:numId w:val="191"/>
              </w:numPr>
              <w:ind w:left="360"/>
              <w:rPr>
                <w:bCs/>
              </w:rPr>
            </w:pPr>
            <w:r w:rsidRPr="003051E2">
              <w:rPr>
                <w:bCs/>
              </w:rPr>
              <w:t>For each sampled dispenser, have each of the individuals identified in step #1 dispense a volume of alcohol-based hand sanitizer.</w:t>
            </w:r>
          </w:p>
          <w:p w14:paraId="4A6730B0" w14:textId="77777777" w:rsidR="00823FED" w:rsidRDefault="00823FED" w:rsidP="00AD309C">
            <w:pPr>
              <w:pStyle w:val="EndnoteText"/>
              <w:numPr>
                <w:ilvl w:val="0"/>
                <w:numId w:val="191"/>
              </w:numPr>
              <w:ind w:left="360"/>
              <w:rPr>
                <w:bCs/>
              </w:rPr>
            </w:pPr>
            <w:r w:rsidRPr="003051E2">
              <w:rPr>
                <w:bCs/>
              </w:rPr>
              <w:t>For each individual, have a separate individual time the amount of hand rubbing time required for hands to dry completely.</w:t>
            </w:r>
          </w:p>
          <w:p w14:paraId="73C3BF47" w14:textId="77777777" w:rsidR="00823FED" w:rsidRDefault="00823FED" w:rsidP="00AD309C">
            <w:pPr>
              <w:pStyle w:val="EndnoteText"/>
              <w:numPr>
                <w:ilvl w:val="0"/>
                <w:numId w:val="191"/>
              </w:numPr>
              <w:ind w:left="360"/>
              <w:rPr>
                <w:bCs/>
              </w:rPr>
            </w:pPr>
            <w:r w:rsidRPr="003051E2">
              <w:rPr>
                <w:bCs/>
              </w:rPr>
              <w:t xml:space="preserve">Repeat this process for each individual and calculate an </w:t>
            </w:r>
            <w:r w:rsidRPr="003051E2">
              <w:rPr>
                <w:b/>
              </w:rPr>
              <w:t>average</w:t>
            </w:r>
            <w:r w:rsidRPr="003051E2">
              <w:rPr>
                <w:bCs/>
              </w:rPr>
              <w:t xml:space="preserve"> time based on the ten observations conducted.</w:t>
            </w:r>
          </w:p>
          <w:p w14:paraId="6B38CE8D" w14:textId="1C9CB3F9" w:rsidR="00823FED" w:rsidRPr="00FC258A" w:rsidRDefault="00823FED" w:rsidP="00AD309C">
            <w:pPr>
              <w:pStyle w:val="EndnoteText"/>
              <w:numPr>
                <w:ilvl w:val="0"/>
                <w:numId w:val="191"/>
              </w:numPr>
              <w:ind w:left="360"/>
              <w:rPr>
                <w:bCs/>
              </w:rPr>
            </w:pPr>
            <w:r w:rsidRPr="003051E2">
              <w:rPr>
                <w:bCs/>
              </w:rPr>
              <w:t>Repeat this process for each sampled dispenser.</w:t>
            </w:r>
          </w:p>
        </w:tc>
      </w:tr>
      <w:tr w:rsidR="00823FED" w:rsidRPr="009A5185" w14:paraId="2F548CCD" w14:textId="77777777" w:rsidTr="00481148">
        <w:trPr>
          <w:trHeight w:val="432"/>
          <w:jc w:val="center"/>
        </w:trPr>
        <w:tc>
          <w:tcPr>
            <w:tcW w:w="9387" w:type="dxa"/>
          </w:tcPr>
          <w:p w14:paraId="3F411161" w14:textId="1D238F2B" w:rsidR="00481148" w:rsidRDefault="00823FED" w:rsidP="00EC4DCE">
            <w:pPr>
              <w:autoSpaceDE w:val="0"/>
              <w:autoSpaceDN w:val="0"/>
              <w:adjustRightInd w:val="0"/>
              <w:rPr>
                <w:rFonts w:cs="Arial"/>
              </w:rPr>
            </w:pPr>
            <w:r>
              <w:rPr>
                <w:rFonts w:cs="Arial"/>
                <w:b/>
                <w:bCs/>
              </w:rPr>
              <w:lastRenderedPageBreak/>
              <w:t xml:space="preserve">Question #7: </w:t>
            </w:r>
            <w:r w:rsidRPr="001446F9">
              <w:rPr>
                <w:rFonts w:cs="Arial"/>
              </w:rPr>
              <w:t>Do all the audited dispensers deliver, with one activation, 1.0 mL of alcohol-based hand sanitizer OR a volume of alcohol-based hand sanitizer that covers the hands completely and requires 15 or more seconds for hands to dry (on average)?</w:t>
            </w:r>
          </w:p>
          <w:p w14:paraId="4A5E3443" w14:textId="77777777" w:rsidR="009F6D09" w:rsidRPr="00C17B7F" w:rsidRDefault="009F6D09" w:rsidP="00EC4DCE">
            <w:pPr>
              <w:autoSpaceDE w:val="0"/>
              <w:autoSpaceDN w:val="0"/>
              <w:adjustRightInd w:val="0"/>
              <w:rPr>
                <w:rFonts w:cs="Arial"/>
              </w:rPr>
            </w:pPr>
          </w:p>
          <w:p w14:paraId="5A23ED54" w14:textId="77777777" w:rsidR="00823FED" w:rsidRPr="001446F9" w:rsidRDefault="00823FED" w:rsidP="00EC4DCE">
            <w:pPr>
              <w:pStyle w:val="EndnoteText"/>
              <w:rPr>
                <w:bCs/>
              </w:rPr>
            </w:pPr>
            <w:r w:rsidRPr="00B55BEE">
              <w:rPr>
                <w:bCs/>
              </w:rPr>
              <w:t xml:space="preserve">In order to </w:t>
            </w:r>
            <w:r>
              <w:rPr>
                <w:bCs/>
              </w:rPr>
              <w:t xml:space="preserve">respond </w:t>
            </w:r>
            <w:r w:rsidRPr="00B55BEE">
              <w:rPr>
                <w:bCs/>
              </w:rPr>
              <w:t xml:space="preserve">“yes” to question #7, the </w:t>
            </w:r>
            <w:r w:rsidRPr="00A81A4C">
              <w:rPr>
                <w:b/>
              </w:rPr>
              <w:t>average</w:t>
            </w:r>
            <w:r w:rsidRPr="00B55BEE">
              <w:rPr>
                <w:bCs/>
              </w:rPr>
              <w:t xml:space="preserve"> liquid volume for </w:t>
            </w:r>
            <w:r w:rsidRPr="00A81A4C">
              <w:rPr>
                <w:b/>
              </w:rPr>
              <w:t>each</w:t>
            </w:r>
            <w:r w:rsidRPr="00B55BEE">
              <w:rPr>
                <w:bCs/>
              </w:rPr>
              <w:t xml:space="preserve"> sampled dispenser needs to be at least 1.0 mL</w:t>
            </w:r>
            <w:r>
              <w:rPr>
                <w:bCs/>
              </w:rPr>
              <w:t xml:space="preserve"> (if using method #1) or the </w:t>
            </w:r>
            <w:r w:rsidRPr="00A81A4C">
              <w:rPr>
                <w:b/>
              </w:rPr>
              <w:t>average</w:t>
            </w:r>
            <w:r w:rsidRPr="00B55BEE">
              <w:rPr>
                <w:bCs/>
              </w:rPr>
              <w:t xml:space="preserve"> hand rubbing time for </w:t>
            </w:r>
            <w:r w:rsidRPr="00A81A4C">
              <w:rPr>
                <w:b/>
              </w:rPr>
              <w:t xml:space="preserve">each </w:t>
            </w:r>
            <w:r w:rsidRPr="00B55BEE">
              <w:rPr>
                <w:bCs/>
              </w:rPr>
              <w:t>sampled dispenser needs to be at least 15 seconds</w:t>
            </w:r>
            <w:r>
              <w:rPr>
                <w:bCs/>
              </w:rPr>
              <w:t xml:space="preserve"> (if using method #2).</w:t>
            </w:r>
          </w:p>
        </w:tc>
      </w:tr>
      <w:tr w:rsidR="00823FED" w:rsidRPr="009A5185" w14:paraId="7B289B4A" w14:textId="77777777" w:rsidTr="00C37D4D">
        <w:trPr>
          <w:trHeight w:val="288"/>
          <w:jc w:val="center"/>
        </w:trPr>
        <w:tc>
          <w:tcPr>
            <w:tcW w:w="9387" w:type="dxa"/>
            <w:vAlign w:val="center"/>
          </w:tcPr>
          <w:p w14:paraId="59AA73C8" w14:textId="77777777" w:rsidR="00823FED" w:rsidRPr="00C37F96" w:rsidRDefault="00823FED" w:rsidP="00EC4DCE">
            <w:pPr>
              <w:autoSpaceDE w:val="0"/>
              <w:autoSpaceDN w:val="0"/>
              <w:adjustRightInd w:val="0"/>
              <w:rPr>
                <w:rFonts w:cs="Arial"/>
                <w:b/>
                <w:bCs/>
                <w:i/>
                <w:iCs/>
              </w:rPr>
            </w:pPr>
            <w:r w:rsidRPr="00C37F96">
              <w:rPr>
                <w:rFonts w:cs="Arial"/>
                <w:b/>
                <w:bCs/>
                <w:i/>
                <w:iCs/>
              </w:rPr>
              <w:t>Monitoring</w:t>
            </w:r>
          </w:p>
        </w:tc>
      </w:tr>
      <w:tr w:rsidR="00823FED" w:rsidRPr="009A5185" w14:paraId="5962C21D" w14:textId="77777777" w:rsidTr="00C37D4D">
        <w:trPr>
          <w:trHeight w:val="2304"/>
          <w:jc w:val="center"/>
        </w:trPr>
        <w:tc>
          <w:tcPr>
            <w:tcW w:w="9387" w:type="dxa"/>
            <w:vAlign w:val="center"/>
          </w:tcPr>
          <w:p w14:paraId="74348A50" w14:textId="38D6283C" w:rsidR="00862551" w:rsidRDefault="00134A05" w:rsidP="00EC4DCE">
            <w:pPr>
              <w:pStyle w:val="EndnoteText"/>
              <w:rPr>
                <w:bCs/>
              </w:rPr>
            </w:pPr>
            <w:r w:rsidRPr="00FC258A">
              <w:rPr>
                <w:b/>
              </w:rPr>
              <w:t>H</w:t>
            </w:r>
            <w:r w:rsidR="00823FED">
              <w:rPr>
                <w:b/>
              </w:rPr>
              <w:t>and hygiene opportunities</w:t>
            </w:r>
            <w:r>
              <w:rPr>
                <w:b/>
              </w:rPr>
              <w:t xml:space="preserve">: </w:t>
            </w:r>
            <w:r w:rsidR="00823FED" w:rsidRPr="00893060">
              <w:rPr>
                <w:bCs/>
              </w:rPr>
              <w:t xml:space="preserve">Hand hygiene opportunities are the number of times that an individual who touches patients or who touches items used by patients should have cleaned </w:t>
            </w:r>
            <w:r w:rsidR="00823FED">
              <w:rPr>
                <w:bCs/>
              </w:rPr>
              <w:t>their</w:t>
            </w:r>
            <w:r w:rsidR="00823FED" w:rsidRPr="00893060">
              <w:rPr>
                <w:bCs/>
              </w:rPr>
              <w:t xml:space="preserve"> hands given the hand hygiene framework your hospital has adopted (e.g., WHO’s “5 moments</w:t>
            </w:r>
            <w:r w:rsidR="00455BA8">
              <w:rPr>
                <w:bCs/>
              </w:rPr>
              <w:t>,</w:t>
            </w:r>
            <w:r w:rsidR="00823FED" w:rsidRPr="00893060">
              <w:rPr>
                <w:bCs/>
              </w:rPr>
              <w:t>” Ontario’s 4 moments, CDC’s guidelines</w:t>
            </w:r>
            <w:r w:rsidR="00823FED">
              <w:rPr>
                <w:bCs/>
              </w:rPr>
              <w:t>, etc.</w:t>
            </w:r>
            <w:r w:rsidR="00823FED" w:rsidRPr="00893060">
              <w:rPr>
                <w:bCs/>
              </w:rPr>
              <w:t xml:space="preserve">). In terms of determining opportunities to monitor, this would depend on the guidelines </w:t>
            </w:r>
            <w:r w:rsidR="00823FED">
              <w:rPr>
                <w:bCs/>
              </w:rPr>
              <w:t>the</w:t>
            </w:r>
            <w:r w:rsidR="00823FED" w:rsidRPr="00893060">
              <w:rPr>
                <w:bCs/>
              </w:rPr>
              <w:t xml:space="preserve"> hospital chooses to follow. </w:t>
            </w:r>
          </w:p>
          <w:p w14:paraId="5C762009" w14:textId="77777777" w:rsidR="00862551" w:rsidRPr="00481148" w:rsidRDefault="00862551" w:rsidP="00EC4DCE">
            <w:pPr>
              <w:pStyle w:val="EndnoteText"/>
              <w:rPr>
                <w:bCs/>
                <w:sz w:val="16"/>
                <w:szCs w:val="16"/>
              </w:rPr>
            </w:pPr>
          </w:p>
          <w:p w14:paraId="1D9523B6" w14:textId="77777777" w:rsidR="00823FED" w:rsidRDefault="00823FED" w:rsidP="00EC4DCE">
            <w:pPr>
              <w:pStyle w:val="EndnoteText"/>
              <w:rPr>
                <w:bCs/>
              </w:rPr>
            </w:pPr>
            <w:r w:rsidRPr="00893060">
              <w:rPr>
                <w:bCs/>
              </w:rPr>
              <w:t xml:space="preserve">For example, many facilities choose to audit before and after patient contact or room entry and exit because this is operationally the </w:t>
            </w:r>
            <w:r w:rsidRPr="006F54F0">
              <w:rPr>
                <w:bCs/>
              </w:rPr>
              <w:t>simplest method.</w:t>
            </w:r>
            <w:r w:rsidRPr="00893060">
              <w:rPr>
                <w:bCs/>
              </w:rPr>
              <w:t xml:space="preserve"> Auditing opportunities before and after dirty tasks is operationally difficult. There is some evidence that measuring adherence on room entry and exit may be an acceptable stand-in for other opportunities within the patient encounter.</w:t>
            </w:r>
          </w:p>
          <w:p w14:paraId="64E30F52" w14:textId="77777777" w:rsidR="006771DE" w:rsidRDefault="006771DE" w:rsidP="00EC4DCE">
            <w:pPr>
              <w:pStyle w:val="EndnoteText"/>
              <w:rPr>
                <w:bCs/>
              </w:rPr>
            </w:pPr>
          </w:p>
          <w:p w14:paraId="5FDA6BB4" w14:textId="0B79A052" w:rsidR="006771DE" w:rsidRPr="004974B8" w:rsidRDefault="006771DE" w:rsidP="0078309C">
            <w:pPr>
              <w:pStyle w:val="EndnoteText"/>
              <w:rPr>
                <w:bCs/>
              </w:rPr>
            </w:pPr>
            <w:r>
              <w:rPr>
                <w:b/>
              </w:rPr>
              <w:t xml:space="preserve">Electronic compliance monitoring system: </w:t>
            </w:r>
            <w:r w:rsidRPr="00E75BD3">
              <w:rPr>
                <w:bCs/>
              </w:rPr>
              <w:t>Electronic compliance monitoring systems would include door minder or activity monitoring systems, systems that include the wearing of electronic badges, and camera-based systems</w:t>
            </w:r>
            <w:r>
              <w:rPr>
                <w:bCs/>
              </w:rPr>
              <w:t xml:space="preserve"> that are used to monitor hand hygiene compliance.</w:t>
            </w:r>
          </w:p>
        </w:tc>
      </w:tr>
      <w:tr w:rsidR="00823FED" w:rsidRPr="009A5185" w14:paraId="7E1C05C5" w14:textId="77777777" w:rsidTr="00481148">
        <w:trPr>
          <w:trHeight w:val="20"/>
          <w:jc w:val="center"/>
        </w:trPr>
        <w:tc>
          <w:tcPr>
            <w:tcW w:w="9387" w:type="dxa"/>
          </w:tcPr>
          <w:p w14:paraId="3CBDB7B0" w14:textId="77777777" w:rsidR="00823FED" w:rsidRPr="001446F9" w:rsidRDefault="00823FED" w:rsidP="00EC4DCE">
            <w:pPr>
              <w:autoSpaceDE w:val="0"/>
              <w:autoSpaceDN w:val="0"/>
              <w:adjustRightInd w:val="0"/>
              <w:rPr>
                <w:rFonts w:cs="Arial"/>
              </w:rPr>
            </w:pPr>
            <w:r>
              <w:rPr>
                <w:rFonts w:cs="Arial"/>
                <w:b/>
                <w:bCs/>
              </w:rPr>
              <w:t xml:space="preserve">Question #8: </w:t>
            </w:r>
            <w:r w:rsidRPr="001446F9">
              <w:rPr>
                <w:rFonts w:cs="Arial"/>
              </w:rPr>
              <w:t xml:space="preserve">Does your hospital collect hand hygiene compliance data on at least </w:t>
            </w:r>
            <w:r w:rsidRPr="008B7FFE">
              <w:rPr>
                <w:rFonts w:cs="Arial"/>
                <w:b/>
                <w:bCs/>
              </w:rPr>
              <w:t>200 hand hygiene opportunities</w:t>
            </w:r>
            <w:r w:rsidRPr="001446F9">
              <w:rPr>
                <w:rFonts w:cs="Arial"/>
              </w:rPr>
              <w:t xml:space="preserve">, or at least the number of hand hygiene opportunities outlined based on the unit type in Tables 1-3, </w:t>
            </w:r>
            <w:r w:rsidRPr="008B7FFE">
              <w:rPr>
                <w:rFonts w:cs="Arial"/>
                <w:b/>
                <w:bCs/>
              </w:rPr>
              <w:t xml:space="preserve">each </w:t>
            </w:r>
            <w:r w:rsidRPr="008B7FFE">
              <w:rPr>
                <w:rFonts w:cs="Arial"/>
                <w:b/>
                <w:bCs/>
                <w:u w:val="single"/>
              </w:rPr>
              <w:t>month</w:t>
            </w:r>
            <w:r w:rsidRPr="008B7FFE">
              <w:rPr>
                <w:rFonts w:cs="Arial"/>
                <w:b/>
                <w:bCs/>
              </w:rPr>
              <w:t xml:space="preserve"> in each </w:t>
            </w:r>
            <w:r w:rsidRPr="008B7FFE">
              <w:rPr>
                <w:rFonts w:cs="Arial"/>
                <w:b/>
                <w:bCs/>
                <w:u w:val="single"/>
              </w:rPr>
              <w:t>patient care unit</w:t>
            </w:r>
            <w:r w:rsidRPr="001446F9">
              <w:rPr>
                <w:rFonts w:cs="Arial"/>
              </w:rPr>
              <w:t>?</w:t>
            </w:r>
          </w:p>
          <w:p w14:paraId="301D99FA" w14:textId="77777777" w:rsidR="00AC6B98" w:rsidRPr="00481148" w:rsidRDefault="00AC6B98" w:rsidP="00EC4DCE">
            <w:pPr>
              <w:autoSpaceDE w:val="0"/>
              <w:autoSpaceDN w:val="0"/>
              <w:adjustRightInd w:val="0"/>
              <w:rPr>
                <w:rFonts w:cs="Arial"/>
                <w:b/>
                <w:sz w:val="16"/>
                <w:szCs w:val="16"/>
              </w:rPr>
            </w:pPr>
          </w:p>
          <w:p w14:paraId="39AFE818" w14:textId="4670E00A" w:rsidR="00823FED" w:rsidRDefault="00AC6B98" w:rsidP="00EC4DCE">
            <w:pPr>
              <w:autoSpaceDE w:val="0"/>
              <w:autoSpaceDN w:val="0"/>
              <w:adjustRightInd w:val="0"/>
              <w:rPr>
                <w:rFonts w:cs="Arial"/>
              </w:rPr>
            </w:pPr>
            <w:r>
              <w:rPr>
                <w:rFonts w:cs="Arial"/>
              </w:rPr>
              <w:t>In order t</w:t>
            </w:r>
            <w:r w:rsidR="00440F2D">
              <w:rPr>
                <w:rFonts w:cs="Arial"/>
              </w:rPr>
              <w:t>o respond “yes”</w:t>
            </w:r>
            <w:r>
              <w:rPr>
                <w:rFonts w:cs="Arial"/>
              </w:rPr>
              <w:t xml:space="preserve"> to question #8,</w:t>
            </w:r>
            <w:r w:rsidR="00440F2D">
              <w:rPr>
                <w:rFonts w:cs="Arial"/>
              </w:rPr>
              <w:t xml:space="preserve"> </w:t>
            </w:r>
            <w:r w:rsidR="00B72F05">
              <w:rPr>
                <w:rFonts w:cs="Arial"/>
              </w:rPr>
              <w:t>your</w:t>
            </w:r>
            <w:r w:rsidR="003515E9">
              <w:rPr>
                <w:rFonts w:cs="Arial"/>
              </w:rPr>
              <w:t xml:space="preserve"> </w:t>
            </w:r>
            <w:r w:rsidR="00440F2D">
              <w:rPr>
                <w:rFonts w:cs="Arial"/>
              </w:rPr>
              <w:t>h</w:t>
            </w:r>
            <w:r w:rsidR="00823FED">
              <w:rPr>
                <w:rFonts w:cs="Arial"/>
              </w:rPr>
              <w:t>ospital</w:t>
            </w:r>
            <w:r w:rsidR="003515E9">
              <w:rPr>
                <w:rFonts w:cs="Arial"/>
              </w:rPr>
              <w:t xml:space="preserve"> must</w:t>
            </w:r>
            <w:r w:rsidR="00823FED">
              <w:rPr>
                <w:rFonts w:cs="Arial"/>
              </w:rPr>
              <w:t xml:space="preserve"> monitor at least </w:t>
            </w:r>
            <w:r w:rsidR="00823FED" w:rsidRPr="00DC502B">
              <w:rPr>
                <w:rFonts w:cs="Arial"/>
                <w:b/>
                <w:bCs/>
              </w:rPr>
              <w:t>200 hand hygiene opportunities</w:t>
            </w:r>
            <w:r w:rsidR="00823FED">
              <w:rPr>
                <w:rFonts w:cs="Arial"/>
              </w:rPr>
              <w:t xml:space="preserve">, or at least the number of hand hygiene opportunities outlined based on the unit type in Tables 1-3, </w:t>
            </w:r>
            <w:r w:rsidR="00823FED" w:rsidRPr="00DC502B">
              <w:rPr>
                <w:rFonts w:cs="Arial"/>
                <w:b/>
                <w:bCs/>
              </w:rPr>
              <w:t xml:space="preserve">each </w:t>
            </w:r>
            <w:r w:rsidR="00823FED" w:rsidRPr="00DC502B">
              <w:rPr>
                <w:rFonts w:cs="Arial"/>
                <w:b/>
                <w:bCs/>
                <w:u w:val="single"/>
              </w:rPr>
              <w:t>month</w:t>
            </w:r>
            <w:r w:rsidR="00823FED" w:rsidRPr="00DC502B">
              <w:rPr>
                <w:rFonts w:cs="Arial"/>
                <w:b/>
                <w:bCs/>
              </w:rPr>
              <w:t xml:space="preserve"> in each </w:t>
            </w:r>
            <w:r w:rsidR="00823FED" w:rsidRPr="00FC258A">
              <w:rPr>
                <w:rFonts w:cs="Arial"/>
                <w:b/>
                <w:bCs/>
                <w:u w:val="single"/>
              </w:rPr>
              <w:t>patient care unit</w:t>
            </w:r>
            <w:r w:rsidR="00823FED">
              <w:rPr>
                <w:rFonts w:cs="Arial"/>
                <w:b/>
                <w:bCs/>
              </w:rPr>
              <w:t xml:space="preserve"> </w:t>
            </w:r>
            <w:r w:rsidR="00823FED">
              <w:rPr>
                <w:rFonts w:cs="Arial"/>
              </w:rPr>
              <w:t>using either:</w:t>
            </w:r>
          </w:p>
          <w:p w14:paraId="5F472261" w14:textId="5BD4C0C3" w:rsidR="00EF5CAF" w:rsidRPr="00EF5CAF" w:rsidRDefault="00823FED" w:rsidP="00AD309C">
            <w:pPr>
              <w:pStyle w:val="ListParagraph"/>
              <w:numPr>
                <w:ilvl w:val="0"/>
                <w:numId w:val="202"/>
              </w:numPr>
              <w:autoSpaceDE w:val="0"/>
              <w:autoSpaceDN w:val="0"/>
              <w:adjustRightInd w:val="0"/>
              <w:rPr>
                <w:rFonts w:cs="Arial"/>
              </w:rPr>
            </w:pPr>
            <w:r w:rsidRPr="00EF5CAF">
              <w:rPr>
                <w:rFonts w:cs="Arial"/>
              </w:rPr>
              <w:t>An electronic compliance monitoring system throughout all patient care units</w:t>
            </w:r>
          </w:p>
          <w:p w14:paraId="2FC75A68" w14:textId="472A8319" w:rsidR="00EF5CAF" w:rsidRPr="00EF5CAF" w:rsidRDefault="00823FED" w:rsidP="00AD309C">
            <w:pPr>
              <w:pStyle w:val="ListParagraph"/>
              <w:numPr>
                <w:ilvl w:val="0"/>
                <w:numId w:val="202"/>
              </w:numPr>
              <w:autoSpaceDE w:val="0"/>
              <w:autoSpaceDN w:val="0"/>
              <w:adjustRightInd w:val="0"/>
              <w:rPr>
                <w:rFonts w:cs="Arial"/>
              </w:rPr>
            </w:pPr>
            <w:r w:rsidRPr="00EF5CAF">
              <w:rPr>
                <w:rFonts w:cs="Arial"/>
              </w:rPr>
              <w:t>An electronic compliance monitoring system throughout some patient care units and only direct observation in all other patient care units</w:t>
            </w:r>
          </w:p>
          <w:p w14:paraId="5D8434F1" w14:textId="77777777" w:rsidR="00823FED" w:rsidRPr="00EF5CAF" w:rsidRDefault="00823FED" w:rsidP="00AD309C">
            <w:pPr>
              <w:pStyle w:val="ListParagraph"/>
              <w:numPr>
                <w:ilvl w:val="0"/>
                <w:numId w:val="202"/>
              </w:numPr>
              <w:autoSpaceDE w:val="0"/>
              <w:autoSpaceDN w:val="0"/>
              <w:adjustRightInd w:val="0"/>
              <w:rPr>
                <w:rFonts w:cs="Arial"/>
              </w:rPr>
            </w:pPr>
            <w:r w:rsidRPr="00EF5CAF">
              <w:rPr>
                <w:rFonts w:cs="Arial"/>
              </w:rPr>
              <w:t>Only direct observation throughout all patient care units</w:t>
            </w:r>
          </w:p>
          <w:p w14:paraId="33EFF0AC" w14:textId="77777777" w:rsidR="00823FED" w:rsidRPr="00481148" w:rsidRDefault="00823FED" w:rsidP="00EC4DCE">
            <w:pPr>
              <w:pStyle w:val="CommentText"/>
              <w:rPr>
                <w:sz w:val="16"/>
                <w:szCs w:val="16"/>
              </w:rPr>
            </w:pPr>
          </w:p>
          <w:p w14:paraId="16F0B846" w14:textId="52D36573" w:rsidR="00823FED" w:rsidRDefault="000A781D" w:rsidP="00EC4DCE">
            <w:pPr>
              <w:pStyle w:val="CommentText"/>
            </w:pPr>
            <w:r>
              <w:t>R</w:t>
            </w:r>
            <w:r w:rsidR="00823FED">
              <w:t xml:space="preserve">efer to the following tables to determine how many hand hygiene opportunities </w:t>
            </w:r>
            <w:r w:rsidR="004242DB">
              <w:t>must</w:t>
            </w:r>
            <w:r w:rsidR="00823FED">
              <w:t xml:space="preserve"> be monitored in each patient care unit monthly for question #8. </w:t>
            </w:r>
            <w:r w:rsidR="00823FED" w:rsidRPr="008B7FFE">
              <w:rPr>
                <w:b/>
                <w:bCs/>
              </w:rPr>
              <w:t>Historical data</w:t>
            </w:r>
            <w:r w:rsidR="00823FED">
              <w:t xml:space="preserve"> (e.g., past 3 months, 6 months, 12 months, etc.) on the monthly occupancy rates or procedure/patient volumes should be used. </w:t>
            </w:r>
          </w:p>
          <w:p w14:paraId="0C667ACD" w14:textId="77777777" w:rsidR="00E74CD8" w:rsidRDefault="00E74CD8" w:rsidP="00EC4DCE">
            <w:pPr>
              <w:pStyle w:val="CommentText"/>
            </w:pPr>
          </w:p>
          <w:p w14:paraId="730451FC" w14:textId="5FE21F9E" w:rsidR="00E74CD8" w:rsidRDefault="00E74CD8" w:rsidP="00EC4DCE">
            <w:pPr>
              <w:pStyle w:val="CommentText"/>
            </w:pPr>
            <w:r>
              <w:t>Units/areas c</w:t>
            </w:r>
            <w:r w:rsidR="00157FDB">
              <w:t>an</w:t>
            </w:r>
            <w:r>
              <w:t xml:space="preserve"> be combined </w:t>
            </w:r>
            <w:r w:rsidRPr="00915847">
              <w:t xml:space="preserve">for the purposes of determining if you have met the monthly or quarterly monitoring sample size </w:t>
            </w:r>
            <w:r>
              <w:t>if</w:t>
            </w:r>
            <w:r w:rsidRPr="00915847">
              <w:t xml:space="preserve"> they share a common group of staff</w:t>
            </w:r>
            <w:r>
              <w:t xml:space="preserve"> (</w:t>
            </w:r>
            <w:r w:rsidRPr="00915847">
              <w:t xml:space="preserve">i.e., staff are scheduled to work in the broader area and float between units </w:t>
            </w:r>
            <w:r>
              <w:t>or</w:t>
            </w:r>
            <w:r w:rsidRPr="00915847">
              <w:t xml:space="preserve"> staff may be scheduled to work either unit on any given day</w:t>
            </w:r>
            <w:r>
              <w:t>)</w:t>
            </w:r>
            <w:r w:rsidRPr="00915847">
              <w:t>.</w:t>
            </w:r>
            <w:r>
              <w:t xml:space="preserve"> Hand hygiene opportunities would still need to be monitored throughout both units/areas.</w:t>
            </w:r>
          </w:p>
          <w:p w14:paraId="2BDA1B57" w14:textId="77777777" w:rsidR="00823FED" w:rsidRDefault="00823FED" w:rsidP="00EC4DCE">
            <w:pPr>
              <w:pStyle w:val="CommentText"/>
              <w:rPr>
                <w:sz w:val="16"/>
                <w:szCs w:val="16"/>
              </w:rPr>
            </w:pPr>
          </w:p>
          <w:p w14:paraId="39FB5F2D" w14:textId="77777777" w:rsidR="00AB3334" w:rsidRDefault="00AB3334" w:rsidP="00EC4DCE">
            <w:pPr>
              <w:pStyle w:val="CommentText"/>
              <w:rPr>
                <w:sz w:val="16"/>
                <w:szCs w:val="16"/>
              </w:rPr>
            </w:pPr>
          </w:p>
          <w:p w14:paraId="4EF5571C" w14:textId="77777777" w:rsidR="00AB3334" w:rsidRDefault="00AB3334" w:rsidP="00EC4DCE">
            <w:pPr>
              <w:pStyle w:val="CommentText"/>
              <w:rPr>
                <w:sz w:val="16"/>
                <w:szCs w:val="16"/>
              </w:rPr>
            </w:pPr>
          </w:p>
          <w:p w14:paraId="032795A4" w14:textId="77777777" w:rsidR="00AB3334" w:rsidRPr="00481148" w:rsidRDefault="00AB3334" w:rsidP="00EC4DCE">
            <w:pPr>
              <w:pStyle w:val="CommentText"/>
              <w:rPr>
                <w:sz w:val="16"/>
                <w:szCs w:val="16"/>
              </w:rPr>
            </w:pPr>
          </w:p>
          <w:p w14:paraId="69579E23" w14:textId="77777777" w:rsidR="00823FED" w:rsidRDefault="00823FED" w:rsidP="00EC4DCE">
            <w:pPr>
              <w:contextualSpacing/>
              <w:rPr>
                <w:b/>
              </w:rPr>
            </w:pPr>
            <w:r>
              <w:rPr>
                <w:b/>
              </w:rPr>
              <w:lastRenderedPageBreak/>
              <w:t>Table 1: Units where the monthly occupancy rate can be calculated</w:t>
            </w:r>
          </w:p>
          <w:tbl>
            <w:tblPr>
              <w:tblStyle w:val="TableGrid"/>
              <w:tblW w:w="8689" w:type="dxa"/>
              <w:tblLook w:val="04A0" w:firstRow="1" w:lastRow="0" w:firstColumn="1" w:lastColumn="0" w:noHBand="0" w:noVBand="1"/>
            </w:tblPr>
            <w:tblGrid>
              <w:gridCol w:w="4344"/>
              <w:gridCol w:w="4345"/>
            </w:tblGrid>
            <w:tr w:rsidR="00823FED" w14:paraId="5679E0E0"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615A9422" w14:textId="77777777" w:rsidR="00823FED" w:rsidRDefault="00823FED" w:rsidP="00EC4DCE">
                  <w:pPr>
                    <w:contextualSpacing/>
                    <w:rPr>
                      <w:b/>
                    </w:rPr>
                  </w:pPr>
                  <w:r>
                    <w:rPr>
                      <w:b/>
                    </w:rPr>
                    <w:t>If your unit’s average daily census is…</w:t>
                  </w:r>
                </w:p>
              </w:tc>
              <w:tc>
                <w:tcPr>
                  <w:tcW w:w="4345" w:type="dxa"/>
                  <w:tcBorders>
                    <w:top w:val="single" w:sz="4" w:space="0" w:color="auto"/>
                    <w:left w:val="single" w:sz="4" w:space="0" w:color="auto"/>
                    <w:bottom w:val="single" w:sz="4" w:space="0" w:color="auto"/>
                    <w:right w:val="single" w:sz="4" w:space="0" w:color="auto"/>
                  </w:tcBorders>
                  <w:hideMark/>
                </w:tcPr>
                <w:p w14:paraId="6AF1BA02" w14:textId="77777777" w:rsidR="00823FED" w:rsidRDefault="00823FED" w:rsidP="00EC4DCE">
                  <w:pPr>
                    <w:contextualSpacing/>
                    <w:rPr>
                      <w:b/>
                    </w:rPr>
                  </w:pPr>
                  <w:r>
                    <w:rPr>
                      <w:b/>
                    </w:rPr>
                    <w:t>Your</w:t>
                  </w:r>
                  <w:r>
                    <w:rPr>
                      <w:b/>
                      <w:color w:val="FF0000"/>
                    </w:rPr>
                    <w:t xml:space="preserve"> patient care unit </w:t>
                  </w:r>
                  <w:r>
                    <w:rPr>
                      <w:b/>
                    </w:rPr>
                    <w:t xml:space="preserve">needs to collect hand hygiene compliance data for </w:t>
                  </w:r>
                  <w:r>
                    <w:rPr>
                      <w:b/>
                      <w:u w:val="single"/>
                    </w:rPr>
                    <w:t>at least</w:t>
                  </w:r>
                  <w:r>
                    <w:rPr>
                      <w:b/>
                    </w:rPr>
                    <w:t xml:space="preserve"> this number of </w:t>
                  </w:r>
                  <w:r>
                    <w:rPr>
                      <w:b/>
                      <w:u w:val="single"/>
                    </w:rPr>
                    <w:t xml:space="preserve">hand hygiene opportunities </w:t>
                  </w:r>
                  <w:r>
                    <w:rPr>
                      <w:b/>
                      <w:color w:val="FF0000"/>
                      <w:u w:val="single"/>
                    </w:rPr>
                    <w:t>per month</w:t>
                  </w:r>
                  <w:r w:rsidRPr="001B37FD">
                    <w:rPr>
                      <w:b/>
                    </w:rPr>
                    <w:t xml:space="preserve"> for question #8</w:t>
                  </w:r>
                  <w:r>
                    <w:rPr>
                      <w:b/>
                    </w:rPr>
                    <w:t>…</w:t>
                  </w:r>
                </w:p>
              </w:tc>
            </w:tr>
            <w:tr w:rsidR="00823FED" w14:paraId="66E91569"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1CB4DED9" w14:textId="77777777" w:rsidR="00823FED" w:rsidRDefault="00823FED" w:rsidP="00EC4DCE">
                  <w:pPr>
                    <w:contextualSpacing/>
                  </w:pPr>
                  <w:r>
                    <w:t>13 patients or higher</w:t>
                  </w:r>
                </w:p>
              </w:tc>
              <w:tc>
                <w:tcPr>
                  <w:tcW w:w="4345" w:type="dxa"/>
                  <w:tcBorders>
                    <w:top w:val="single" w:sz="4" w:space="0" w:color="auto"/>
                    <w:left w:val="single" w:sz="4" w:space="0" w:color="auto"/>
                    <w:bottom w:val="single" w:sz="4" w:space="0" w:color="auto"/>
                    <w:right w:val="single" w:sz="4" w:space="0" w:color="auto"/>
                  </w:tcBorders>
                  <w:hideMark/>
                </w:tcPr>
                <w:p w14:paraId="61D5ECC4" w14:textId="77777777" w:rsidR="00823FED" w:rsidRDefault="00823FED" w:rsidP="00EC4DCE">
                  <w:pPr>
                    <w:contextualSpacing/>
                  </w:pPr>
                  <w:r>
                    <w:t>200</w:t>
                  </w:r>
                </w:p>
              </w:tc>
            </w:tr>
            <w:tr w:rsidR="00823FED" w14:paraId="6502F468"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16E740CD" w14:textId="77777777" w:rsidR="00823FED" w:rsidRDefault="00823FED" w:rsidP="00EC4DCE">
                  <w:pPr>
                    <w:contextualSpacing/>
                  </w:pPr>
                  <w:r>
                    <w:t>10-12 patients</w:t>
                  </w:r>
                </w:p>
              </w:tc>
              <w:tc>
                <w:tcPr>
                  <w:tcW w:w="4345" w:type="dxa"/>
                  <w:tcBorders>
                    <w:top w:val="single" w:sz="4" w:space="0" w:color="auto"/>
                    <w:left w:val="single" w:sz="4" w:space="0" w:color="auto"/>
                    <w:bottom w:val="single" w:sz="4" w:space="0" w:color="auto"/>
                    <w:right w:val="single" w:sz="4" w:space="0" w:color="auto"/>
                  </w:tcBorders>
                  <w:hideMark/>
                </w:tcPr>
                <w:p w14:paraId="40ADC247" w14:textId="77777777" w:rsidR="00823FED" w:rsidRDefault="00823FED" w:rsidP="00EC4DCE">
                  <w:pPr>
                    <w:contextualSpacing/>
                  </w:pPr>
                  <w:r>
                    <w:t>150</w:t>
                  </w:r>
                </w:p>
              </w:tc>
            </w:tr>
            <w:tr w:rsidR="00823FED" w14:paraId="4567290C"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3D673916" w14:textId="609DD207" w:rsidR="00823FED" w:rsidRDefault="00823FED" w:rsidP="00FC258A">
                  <w:pPr>
                    <w:tabs>
                      <w:tab w:val="left" w:pos="1505"/>
                    </w:tabs>
                    <w:contextualSpacing/>
                    <w:jc w:val="both"/>
                  </w:pPr>
                  <w:r>
                    <w:t>7-9 patients</w:t>
                  </w:r>
                </w:p>
              </w:tc>
              <w:tc>
                <w:tcPr>
                  <w:tcW w:w="4345" w:type="dxa"/>
                  <w:tcBorders>
                    <w:top w:val="single" w:sz="4" w:space="0" w:color="auto"/>
                    <w:left w:val="single" w:sz="4" w:space="0" w:color="auto"/>
                    <w:bottom w:val="single" w:sz="4" w:space="0" w:color="auto"/>
                    <w:right w:val="single" w:sz="4" w:space="0" w:color="auto"/>
                  </w:tcBorders>
                  <w:hideMark/>
                </w:tcPr>
                <w:p w14:paraId="3C05CBC5" w14:textId="77777777" w:rsidR="00823FED" w:rsidRDefault="00823FED" w:rsidP="00EC4DCE">
                  <w:pPr>
                    <w:contextualSpacing/>
                  </w:pPr>
                  <w:r>
                    <w:t>100</w:t>
                  </w:r>
                </w:p>
              </w:tc>
            </w:tr>
            <w:tr w:rsidR="00823FED" w14:paraId="04FE906E"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219E7B17" w14:textId="77777777" w:rsidR="00823FED" w:rsidRDefault="00823FED" w:rsidP="00EC4DCE">
                  <w:pPr>
                    <w:contextualSpacing/>
                  </w:pPr>
                  <w:r>
                    <w:t>5-6 patients</w:t>
                  </w:r>
                </w:p>
              </w:tc>
              <w:tc>
                <w:tcPr>
                  <w:tcW w:w="4345" w:type="dxa"/>
                  <w:tcBorders>
                    <w:top w:val="single" w:sz="4" w:space="0" w:color="auto"/>
                    <w:left w:val="single" w:sz="4" w:space="0" w:color="auto"/>
                    <w:bottom w:val="single" w:sz="4" w:space="0" w:color="auto"/>
                    <w:right w:val="single" w:sz="4" w:space="0" w:color="auto"/>
                  </w:tcBorders>
                  <w:hideMark/>
                </w:tcPr>
                <w:p w14:paraId="57E4F101" w14:textId="77777777" w:rsidR="00823FED" w:rsidRDefault="00823FED" w:rsidP="00EC4DCE">
                  <w:pPr>
                    <w:contextualSpacing/>
                  </w:pPr>
                  <w:r>
                    <w:t>75</w:t>
                  </w:r>
                </w:p>
              </w:tc>
            </w:tr>
            <w:tr w:rsidR="00823FED" w14:paraId="2D241656"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34F77001" w14:textId="77777777" w:rsidR="00823FED" w:rsidRDefault="00823FED" w:rsidP="00EC4DCE">
                  <w:pPr>
                    <w:contextualSpacing/>
                  </w:pPr>
                  <w:r>
                    <w:t>3-4 patients</w:t>
                  </w:r>
                </w:p>
              </w:tc>
              <w:tc>
                <w:tcPr>
                  <w:tcW w:w="4345" w:type="dxa"/>
                  <w:tcBorders>
                    <w:top w:val="single" w:sz="4" w:space="0" w:color="auto"/>
                    <w:left w:val="single" w:sz="4" w:space="0" w:color="auto"/>
                    <w:bottom w:val="single" w:sz="4" w:space="0" w:color="auto"/>
                    <w:right w:val="single" w:sz="4" w:space="0" w:color="auto"/>
                  </w:tcBorders>
                  <w:hideMark/>
                </w:tcPr>
                <w:p w14:paraId="13909801" w14:textId="77777777" w:rsidR="00823FED" w:rsidRDefault="00823FED" w:rsidP="00EC4DCE">
                  <w:pPr>
                    <w:contextualSpacing/>
                  </w:pPr>
                  <w:r>
                    <w:t>45</w:t>
                  </w:r>
                </w:p>
              </w:tc>
            </w:tr>
            <w:tr w:rsidR="00823FED" w14:paraId="73E958F6"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5C79AF04" w14:textId="77777777" w:rsidR="00823FED" w:rsidRDefault="00823FED" w:rsidP="00EC4DCE">
                  <w:pPr>
                    <w:contextualSpacing/>
                  </w:pPr>
                  <w:r>
                    <w:t>1-2 patients</w:t>
                  </w:r>
                </w:p>
              </w:tc>
              <w:tc>
                <w:tcPr>
                  <w:tcW w:w="4345" w:type="dxa"/>
                  <w:tcBorders>
                    <w:top w:val="single" w:sz="4" w:space="0" w:color="auto"/>
                    <w:left w:val="single" w:sz="4" w:space="0" w:color="auto"/>
                    <w:bottom w:val="single" w:sz="4" w:space="0" w:color="auto"/>
                    <w:right w:val="single" w:sz="4" w:space="0" w:color="auto"/>
                  </w:tcBorders>
                  <w:hideMark/>
                </w:tcPr>
                <w:p w14:paraId="433C1B1F" w14:textId="77777777" w:rsidR="00823FED" w:rsidRDefault="00823FED" w:rsidP="00EC4DCE">
                  <w:pPr>
                    <w:contextualSpacing/>
                  </w:pPr>
                  <w:r>
                    <w:t>15</w:t>
                  </w:r>
                </w:p>
              </w:tc>
            </w:tr>
          </w:tbl>
          <w:p w14:paraId="5A06DA5D" w14:textId="77777777" w:rsidR="00823FED" w:rsidRPr="00481148" w:rsidRDefault="00823FED" w:rsidP="00EC4DCE">
            <w:pPr>
              <w:contextualSpacing/>
              <w:rPr>
                <w:sz w:val="16"/>
                <w:szCs w:val="16"/>
              </w:rPr>
            </w:pPr>
          </w:p>
          <w:p w14:paraId="53F40B82" w14:textId="77777777" w:rsidR="00823FED" w:rsidRDefault="00823FED" w:rsidP="00EC4DCE">
            <w:pPr>
              <w:contextualSpacing/>
              <w:rPr>
                <w:b/>
              </w:rPr>
            </w:pPr>
            <w:r>
              <w:rPr>
                <w:b/>
              </w:rPr>
              <w:t>Table 2: Units where the monthly occupancy rate cannot be calculated (e.g., PACU, labor and delivery, outpatient units)</w:t>
            </w:r>
          </w:p>
          <w:tbl>
            <w:tblPr>
              <w:tblStyle w:val="TableGrid"/>
              <w:tblW w:w="8689" w:type="dxa"/>
              <w:tblLook w:val="04A0" w:firstRow="1" w:lastRow="0" w:firstColumn="1" w:lastColumn="0" w:noHBand="0" w:noVBand="1"/>
            </w:tblPr>
            <w:tblGrid>
              <w:gridCol w:w="4344"/>
              <w:gridCol w:w="4345"/>
            </w:tblGrid>
            <w:tr w:rsidR="00823FED" w14:paraId="369890B6"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546A5F61" w14:textId="777B32C9" w:rsidR="00823FED" w:rsidRDefault="00823FED" w:rsidP="00EC4DCE">
                  <w:pPr>
                    <w:contextualSpacing/>
                    <w:rPr>
                      <w:b/>
                    </w:rPr>
                  </w:pPr>
                  <w:r>
                    <w:rPr>
                      <w:b/>
                    </w:rPr>
                    <w:t>If your unit’s average number of procedures</w:t>
                  </w:r>
                  <w:r w:rsidR="009672D0">
                    <w:rPr>
                      <w:b/>
                    </w:rPr>
                    <w:t>/patient volume</w:t>
                  </w:r>
                  <w:r>
                    <w:rPr>
                      <w:b/>
                    </w:rPr>
                    <w:t xml:space="preserve"> in a month is…</w:t>
                  </w:r>
                </w:p>
              </w:tc>
              <w:tc>
                <w:tcPr>
                  <w:tcW w:w="4345" w:type="dxa"/>
                  <w:tcBorders>
                    <w:top w:val="single" w:sz="4" w:space="0" w:color="auto"/>
                    <w:left w:val="single" w:sz="4" w:space="0" w:color="auto"/>
                    <w:bottom w:val="single" w:sz="4" w:space="0" w:color="auto"/>
                    <w:right w:val="single" w:sz="4" w:space="0" w:color="auto"/>
                  </w:tcBorders>
                  <w:hideMark/>
                </w:tcPr>
                <w:p w14:paraId="0FD9EE53" w14:textId="77777777" w:rsidR="00823FED" w:rsidRDefault="00823FED" w:rsidP="00EC4DCE">
                  <w:pPr>
                    <w:contextualSpacing/>
                    <w:rPr>
                      <w:b/>
                    </w:rPr>
                  </w:pPr>
                  <w:r>
                    <w:rPr>
                      <w:b/>
                    </w:rPr>
                    <w:t>Your</w:t>
                  </w:r>
                  <w:r>
                    <w:rPr>
                      <w:b/>
                      <w:color w:val="FF0000"/>
                    </w:rPr>
                    <w:t xml:space="preserve"> patient care unit </w:t>
                  </w:r>
                  <w:r>
                    <w:rPr>
                      <w:b/>
                    </w:rPr>
                    <w:t xml:space="preserve">needs to collect hand hygiene compliance data for </w:t>
                  </w:r>
                  <w:r>
                    <w:rPr>
                      <w:b/>
                      <w:u w:val="single"/>
                    </w:rPr>
                    <w:t>at least</w:t>
                  </w:r>
                  <w:r>
                    <w:rPr>
                      <w:b/>
                    </w:rPr>
                    <w:t xml:space="preserve"> this number of </w:t>
                  </w:r>
                  <w:r>
                    <w:rPr>
                      <w:b/>
                      <w:u w:val="single"/>
                    </w:rPr>
                    <w:t xml:space="preserve">hand hygiene opportunities </w:t>
                  </w:r>
                  <w:r>
                    <w:rPr>
                      <w:b/>
                      <w:color w:val="FF0000"/>
                      <w:u w:val="single"/>
                    </w:rPr>
                    <w:t>per month</w:t>
                  </w:r>
                  <w:r w:rsidRPr="001B37FD">
                    <w:rPr>
                      <w:b/>
                    </w:rPr>
                    <w:t xml:space="preserve"> for question #8</w:t>
                  </w:r>
                  <w:r>
                    <w:rPr>
                      <w:b/>
                    </w:rPr>
                    <w:t>…</w:t>
                  </w:r>
                </w:p>
              </w:tc>
            </w:tr>
            <w:tr w:rsidR="00823FED" w14:paraId="4267BB9E"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15F4768E" w14:textId="4DC1168B" w:rsidR="00823FED" w:rsidRDefault="00823FED" w:rsidP="00EC4DCE">
                  <w:pPr>
                    <w:contextualSpacing/>
                  </w:pPr>
                  <w:r>
                    <w:t>400 procedures</w:t>
                  </w:r>
                  <w:r w:rsidR="00F26AA9">
                    <w:t>/patients</w:t>
                  </w:r>
                  <w:r>
                    <w:t xml:space="preserve"> or greater</w:t>
                  </w:r>
                </w:p>
              </w:tc>
              <w:tc>
                <w:tcPr>
                  <w:tcW w:w="4345" w:type="dxa"/>
                  <w:tcBorders>
                    <w:top w:val="single" w:sz="4" w:space="0" w:color="auto"/>
                    <w:left w:val="single" w:sz="4" w:space="0" w:color="auto"/>
                    <w:bottom w:val="single" w:sz="4" w:space="0" w:color="auto"/>
                    <w:right w:val="single" w:sz="4" w:space="0" w:color="auto"/>
                  </w:tcBorders>
                  <w:hideMark/>
                </w:tcPr>
                <w:p w14:paraId="5E74D04B" w14:textId="77777777" w:rsidR="00823FED" w:rsidRDefault="00823FED" w:rsidP="00EC4DCE">
                  <w:pPr>
                    <w:contextualSpacing/>
                  </w:pPr>
                  <w:r>
                    <w:t>200</w:t>
                  </w:r>
                </w:p>
              </w:tc>
            </w:tr>
            <w:tr w:rsidR="00823FED" w14:paraId="638C8696"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2095653B" w14:textId="18168F2D" w:rsidR="00823FED" w:rsidRDefault="00823FED" w:rsidP="00EC4DCE">
                  <w:pPr>
                    <w:contextualSpacing/>
                  </w:pPr>
                  <w:r>
                    <w:t>320-399 procedures</w:t>
                  </w:r>
                  <w:r w:rsidR="00F26AA9">
                    <w:t>/patients</w:t>
                  </w:r>
                </w:p>
              </w:tc>
              <w:tc>
                <w:tcPr>
                  <w:tcW w:w="4345" w:type="dxa"/>
                  <w:tcBorders>
                    <w:top w:val="single" w:sz="4" w:space="0" w:color="auto"/>
                    <w:left w:val="single" w:sz="4" w:space="0" w:color="auto"/>
                    <w:bottom w:val="single" w:sz="4" w:space="0" w:color="auto"/>
                    <w:right w:val="single" w:sz="4" w:space="0" w:color="auto"/>
                  </w:tcBorders>
                  <w:hideMark/>
                </w:tcPr>
                <w:p w14:paraId="1E595131" w14:textId="77777777" w:rsidR="00823FED" w:rsidRDefault="00823FED" w:rsidP="00EC4DCE">
                  <w:pPr>
                    <w:contextualSpacing/>
                  </w:pPr>
                  <w:r>
                    <w:t>150</w:t>
                  </w:r>
                </w:p>
              </w:tc>
            </w:tr>
            <w:tr w:rsidR="00823FED" w14:paraId="7257E3B6"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211414C4" w14:textId="4BB6C9DA" w:rsidR="00823FED" w:rsidRDefault="00823FED" w:rsidP="00EC4DCE">
                  <w:pPr>
                    <w:tabs>
                      <w:tab w:val="left" w:pos="1505"/>
                    </w:tabs>
                    <w:contextualSpacing/>
                  </w:pPr>
                  <w:r>
                    <w:t>240-319 procedures</w:t>
                  </w:r>
                  <w:r w:rsidR="00F26AA9">
                    <w:t>/patients</w:t>
                  </w:r>
                </w:p>
              </w:tc>
              <w:tc>
                <w:tcPr>
                  <w:tcW w:w="4345" w:type="dxa"/>
                  <w:tcBorders>
                    <w:top w:val="single" w:sz="4" w:space="0" w:color="auto"/>
                    <w:left w:val="single" w:sz="4" w:space="0" w:color="auto"/>
                    <w:bottom w:val="single" w:sz="4" w:space="0" w:color="auto"/>
                    <w:right w:val="single" w:sz="4" w:space="0" w:color="auto"/>
                  </w:tcBorders>
                  <w:hideMark/>
                </w:tcPr>
                <w:p w14:paraId="1A6D68BD" w14:textId="77777777" w:rsidR="00823FED" w:rsidRDefault="00823FED" w:rsidP="00EC4DCE">
                  <w:pPr>
                    <w:contextualSpacing/>
                  </w:pPr>
                  <w:r>
                    <w:t>100</w:t>
                  </w:r>
                </w:p>
              </w:tc>
            </w:tr>
            <w:tr w:rsidR="00823FED" w14:paraId="6BA8946B"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30C7C124" w14:textId="65B6825E" w:rsidR="00823FED" w:rsidRDefault="00823FED" w:rsidP="00EC4DCE">
                  <w:pPr>
                    <w:contextualSpacing/>
                  </w:pPr>
                  <w:r>
                    <w:t>160-239 procedures</w:t>
                  </w:r>
                  <w:r w:rsidR="00F26AA9">
                    <w:t>/patients</w:t>
                  </w:r>
                </w:p>
              </w:tc>
              <w:tc>
                <w:tcPr>
                  <w:tcW w:w="4345" w:type="dxa"/>
                  <w:tcBorders>
                    <w:top w:val="single" w:sz="4" w:space="0" w:color="auto"/>
                    <w:left w:val="single" w:sz="4" w:space="0" w:color="auto"/>
                    <w:bottom w:val="single" w:sz="4" w:space="0" w:color="auto"/>
                    <w:right w:val="single" w:sz="4" w:space="0" w:color="auto"/>
                  </w:tcBorders>
                  <w:hideMark/>
                </w:tcPr>
                <w:p w14:paraId="7A495E03" w14:textId="77777777" w:rsidR="00823FED" w:rsidRDefault="00823FED" w:rsidP="00EC4DCE">
                  <w:pPr>
                    <w:contextualSpacing/>
                  </w:pPr>
                  <w:r>
                    <w:t>75</w:t>
                  </w:r>
                </w:p>
              </w:tc>
            </w:tr>
            <w:tr w:rsidR="00823FED" w14:paraId="0B3B288A" w14:textId="77777777" w:rsidTr="00EC4DCE">
              <w:trPr>
                <w:trHeight w:val="54"/>
              </w:trPr>
              <w:tc>
                <w:tcPr>
                  <w:tcW w:w="4344" w:type="dxa"/>
                  <w:tcBorders>
                    <w:top w:val="single" w:sz="4" w:space="0" w:color="auto"/>
                    <w:left w:val="single" w:sz="4" w:space="0" w:color="auto"/>
                    <w:bottom w:val="single" w:sz="4" w:space="0" w:color="auto"/>
                    <w:right w:val="single" w:sz="4" w:space="0" w:color="auto"/>
                  </w:tcBorders>
                  <w:hideMark/>
                </w:tcPr>
                <w:p w14:paraId="3D52CC79" w14:textId="646D9A33" w:rsidR="00823FED" w:rsidRDefault="00823FED" w:rsidP="00EC4DCE">
                  <w:pPr>
                    <w:contextualSpacing/>
                  </w:pPr>
                  <w:r>
                    <w:t>120-159 procedures</w:t>
                  </w:r>
                  <w:r w:rsidR="00F26AA9">
                    <w:t>/patients</w:t>
                  </w:r>
                </w:p>
              </w:tc>
              <w:tc>
                <w:tcPr>
                  <w:tcW w:w="4345" w:type="dxa"/>
                  <w:tcBorders>
                    <w:top w:val="single" w:sz="4" w:space="0" w:color="auto"/>
                    <w:left w:val="single" w:sz="4" w:space="0" w:color="auto"/>
                    <w:bottom w:val="single" w:sz="4" w:space="0" w:color="auto"/>
                    <w:right w:val="single" w:sz="4" w:space="0" w:color="auto"/>
                  </w:tcBorders>
                  <w:hideMark/>
                </w:tcPr>
                <w:p w14:paraId="2C7B24AF" w14:textId="77777777" w:rsidR="00823FED" w:rsidRDefault="00823FED" w:rsidP="00EC4DCE">
                  <w:pPr>
                    <w:contextualSpacing/>
                  </w:pPr>
                  <w:r>
                    <w:t>50</w:t>
                  </w:r>
                </w:p>
              </w:tc>
            </w:tr>
            <w:tr w:rsidR="00823FED" w14:paraId="6AF683B6"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778EFD3D" w14:textId="2DE6C01F" w:rsidR="00823FED" w:rsidRDefault="00823FED" w:rsidP="00EC4DCE">
                  <w:pPr>
                    <w:contextualSpacing/>
                  </w:pPr>
                  <w:r>
                    <w:t>60-119 procedures</w:t>
                  </w:r>
                  <w:r w:rsidR="00F26AA9">
                    <w:t>/patients</w:t>
                  </w:r>
                </w:p>
              </w:tc>
              <w:tc>
                <w:tcPr>
                  <w:tcW w:w="4345" w:type="dxa"/>
                  <w:tcBorders>
                    <w:top w:val="single" w:sz="4" w:space="0" w:color="auto"/>
                    <w:left w:val="single" w:sz="4" w:space="0" w:color="auto"/>
                    <w:bottom w:val="single" w:sz="4" w:space="0" w:color="auto"/>
                    <w:right w:val="single" w:sz="4" w:space="0" w:color="auto"/>
                  </w:tcBorders>
                  <w:hideMark/>
                </w:tcPr>
                <w:p w14:paraId="4395F576" w14:textId="77777777" w:rsidR="00823FED" w:rsidRDefault="00823FED" w:rsidP="00EC4DCE">
                  <w:pPr>
                    <w:contextualSpacing/>
                  </w:pPr>
                  <w:r>
                    <w:t>30</w:t>
                  </w:r>
                </w:p>
              </w:tc>
            </w:tr>
            <w:tr w:rsidR="00823FED" w14:paraId="7CEF03A7"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0E27C0C6" w14:textId="5F8976C9" w:rsidR="00823FED" w:rsidRDefault="00823FED" w:rsidP="00EC4DCE">
                  <w:pPr>
                    <w:contextualSpacing/>
                  </w:pPr>
                  <w:r>
                    <w:t>30-59 procedures</w:t>
                  </w:r>
                  <w:r w:rsidR="00F26AA9">
                    <w:t>/patients</w:t>
                  </w:r>
                </w:p>
              </w:tc>
              <w:tc>
                <w:tcPr>
                  <w:tcW w:w="4345" w:type="dxa"/>
                  <w:tcBorders>
                    <w:top w:val="single" w:sz="4" w:space="0" w:color="auto"/>
                    <w:left w:val="single" w:sz="4" w:space="0" w:color="auto"/>
                    <w:bottom w:val="single" w:sz="4" w:space="0" w:color="auto"/>
                    <w:right w:val="single" w:sz="4" w:space="0" w:color="auto"/>
                  </w:tcBorders>
                  <w:hideMark/>
                </w:tcPr>
                <w:p w14:paraId="261B35E3" w14:textId="77777777" w:rsidR="00823FED" w:rsidRDefault="00823FED" w:rsidP="00EC4DCE">
                  <w:pPr>
                    <w:contextualSpacing/>
                  </w:pPr>
                  <w:r>
                    <w:t>15</w:t>
                  </w:r>
                </w:p>
              </w:tc>
            </w:tr>
            <w:tr w:rsidR="00823FED" w14:paraId="4B9B0D3F"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786C14BA" w14:textId="7A74D808" w:rsidR="00823FED" w:rsidRDefault="00823FED" w:rsidP="00EC4DCE">
                  <w:pPr>
                    <w:contextualSpacing/>
                  </w:pPr>
                  <w:r>
                    <w:t>&lt;30 procedures</w:t>
                  </w:r>
                  <w:r w:rsidR="00F26AA9">
                    <w:t>/patients</w:t>
                  </w:r>
                </w:p>
              </w:tc>
              <w:tc>
                <w:tcPr>
                  <w:tcW w:w="4345" w:type="dxa"/>
                  <w:tcBorders>
                    <w:top w:val="single" w:sz="4" w:space="0" w:color="auto"/>
                    <w:left w:val="single" w:sz="4" w:space="0" w:color="auto"/>
                    <w:bottom w:val="single" w:sz="4" w:space="0" w:color="auto"/>
                    <w:right w:val="single" w:sz="4" w:space="0" w:color="auto"/>
                  </w:tcBorders>
                  <w:hideMark/>
                </w:tcPr>
                <w:p w14:paraId="65641589" w14:textId="77777777" w:rsidR="00823FED" w:rsidRDefault="00823FED" w:rsidP="00EC4DCE">
                  <w:pPr>
                    <w:contextualSpacing/>
                  </w:pPr>
                  <w:r>
                    <w:t>5</w:t>
                  </w:r>
                </w:p>
              </w:tc>
            </w:tr>
          </w:tbl>
          <w:p w14:paraId="7C33659E" w14:textId="77777777" w:rsidR="00C37D4D" w:rsidRDefault="00C37D4D" w:rsidP="00C37D4D">
            <w:pPr>
              <w:contextualSpacing/>
              <w:rPr>
                <w:b/>
              </w:rPr>
            </w:pPr>
          </w:p>
          <w:p w14:paraId="51669254" w14:textId="5ACE6139" w:rsidR="00C37D4D" w:rsidRDefault="00C37D4D" w:rsidP="00C37D4D">
            <w:pPr>
              <w:contextualSpacing/>
              <w:rPr>
                <w:b/>
              </w:rPr>
            </w:pPr>
            <w:r>
              <w:rPr>
                <w:b/>
              </w:rPr>
              <w:t>Table 3: Emergency department units</w:t>
            </w:r>
          </w:p>
          <w:tbl>
            <w:tblPr>
              <w:tblStyle w:val="TableGrid"/>
              <w:tblW w:w="8689" w:type="dxa"/>
              <w:tblLook w:val="04A0" w:firstRow="1" w:lastRow="0" w:firstColumn="1" w:lastColumn="0" w:noHBand="0" w:noVBand="1"/>
            </w:tblPr>
            <w:tblGrid>
              <w:gridCol w:w="4344"/>
              <w:gridCol w:w="4345"/>
            </w:tblGrid>
            <w:tr w:rsidR="00C37D4D" w14:paraId="43863855"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670888BD" w14:textId="77777777" w:rsidR="00C37D4D" w:rsidRDefault="00C37D4D" w:rsidP="00C37D4D">
                  <w:pPr>
                    <w:contextualSpacing/>
                    <w:rPr>
                      <w:b/>
                    </w:rPr>
                  </w:pPr>
                  <w:r>
                    <w:rPr>
                      <w:b/>
                    </w:rPr>
                    <w:t>If your emergency department’s average number of visits in a month is…</w:t>
                  </w:r>
                </w:p>
              </w:tc>
              <w:tc>
                <w:tcPr>
                  <w:tcW w:w="4345" w:type="dxa"/>
                  <w:tcBorders>
                    <w:top w:val="single" w:sz="4" w:space="0" w:color="auto"/>
                    <w:left w:val="single" w:sz="4" w:space="0" w:color="auto"/>
                    <w:bottom w:val="single" w:sz="4" w:space="0" w:color="auto"/>
                    <w:right w:val="single" w:sz="4" w:space="0" w:color="auto"/>
                  </w:tcBorders>
                  <w:hideMark/>
                </w:tcPr>
                <w:p w14:paraId="4D72ADE6" w14:textId="77777777" w:rsidR="00C37D4D" w:rsidRDefault="00C37D4D" w:rsidP="00C37D4D">
                  <w:pPr>
                    <w:contextualSpacing/>
                    <w:rPr>
                      <w:b/>
                    </w:rPr>
                  </w:pPr>
                  <w:r>
                    <w:rPr>
                      <w:b/>
                    </w:rPr>
                    <w:t>Your</w:t>
                  </w:r>
                  <w:r>
                    <w:rPr>
                      <w:b/>
                      <w:color w:val="FF0000"/>
                    </w:rPr>
                    <w:t xml:space="preserve"> patient care unit </w:t>
                  </w:r>
                  <w:r>
                    <w:rPr>
                      <w:b/>
                    </w:rPr>
                    <w:t xml:space="preserve">needs to collect hand hygiene compliance data for </w:t>
                  </w:r>
                  <w:r>
                    <w:rPr>
                      <w:b/>
                      <w:u w:val="single"/>
                    </w:rPr>
                    <w:t>at least</w:t>
                  </w:r>
                  <w:r>
                    <w:rPr>
                      <w:b/>
                    </w:rPr>
                    <w:t xml:space="preserve"> this number of </w:t>
                  </w:r>
                  <w:r>
                    <w:rPr>
                      <w:b/>
                      <w:u w:val="single"/>
                    </w:rPr>
                    <w:t xml:space="preserve">hand hygiene opportunities </w:t>
                  </w:r>
                  <w:r>
                    <w:rPr>
                      <w:b/>
                      <w:color w:val="FF0000"/>
                      <w:u w:val="single"/>
                    </w:rPr>
                    <w:t>per month</w:t>
                  </w:r>
                  <w:r w:rsidRPr="001B37FD">
                    <w:rPr>
                      <w:b/>
                    </w:rPr>
                    <w:t xml:space="preserve"> for question #8</w:t>
                  </w:r>
                  <w:r>
                    <w:rPr>
                      <w:b/>
                    </w:rPr>
                    <w:t>…</w:t>
                  </w:r>
                </w:p>
              </w:tc>
            </w:tr>
            <w:tr w:rsidR="00C37D4D" w14:paraId="0B9C3D4A"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0F2BDE50" w14:textId="77777777" w:rsidR="00C37D4D" w:rsidRDefault="00C37D4D" w:rsidP="00C37D4D">
                  <w:pPr>
                    <w:contextualSpacing/>
                  </w:pPr>
                  <w:r>
                    <w:t>2000 visits or greater</w:t>
                  </w:r>
                </w:p>
              </w:tc>
              <w:tc>
                <w:tcPr>
                  <w:tcW w:w="4345" w:type="dxa"/>
                  <w:tcBorders>
                    <w:top w:val="single" w:sz="4" w:space="0" w:color="auto"/>
                    <w:left w:val="single" w:sz="4" w:space="0" w:color="auto"/>
                    <w:bottom w:val="single" w:sz="4" w:space="0" w:color="auto"/>
                    <w:right w:val="single" w:sz="4" w:space="0" w:color="auto"/>
                  </w:tcBorders>
                  <w:hideMark/>
                </w:tcPr>
                <w:p w14:paraId="20FC56D7" w14:textId="77777777" w:rsidR="00C37D4D" w:rsidRDefault="00C37D4D" w:rsidP="00C37D4D">
                  <w:pPr>
                    <w:contextualSpacing/>
                  </w:pPr>
                  <w:r>
                    <w:t>200</w:t>
                  </w:r>
                </w:p>
              </w:tc>
            </w:tr>
            <w:tr w:rsidR="00C37D4D" w14:paraId="35EBD8D7"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03E808CB" w14:textId="77777777" w:rsidR="00C37D4D" w:rsidRDefault="00C37D4D" w:rsidP="00C37D4D">
                  <w:pPr>
                    <w:contextualSpacing/>
                  </w:pPr>
                  <w:r>
                    <w:t>1500-1999 visits</w:t>
                  </w:r>
                </w:p>
              </w:tc>
              <w:tc>
                <w:tcPr>
                  <w:tcW w:w="4345" w:type="dxa"/>
                  <w:tcBorders>
                    <w:top w:val="single" w:sz="4" w:space="0" w:color="auto"/>
                    <w:left w:val="single" w:sz="4" w:space="0" w:color="auto"/>
                    <w:bottom w:val="single" w:sz="4" w:space="0" w:color="auto"/>
                    <w:right w:val="single" w:sz="4" w:space="0" w:color="auto"/>
                  </w:tcBorders>
                  <w:hideMark/>
                </w:tcPr>
                <w:p w14:paraId="77A5FD1A" w14:textId="77777777" w:rsidR="00C37D4D" w:rsidRDefault="00C37D4D" w:rsidP="00C37D4D">
                  <w:pPr>
                    <w:contextualSpacing/>
                  </w:pPr>
                  <w:r>
                    <w:t>150</w:t>
                  </w:r>
                </w:p>
              </w:tc>
            </w:tr>
            <w:tr w:rsidR="00C37D4D" w14:paraId="66DCFA4F"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33EA7677" w14:textId="77777777" w:rsidR="00C37D4D" w:rsidRDefault="00C37D4D" w:rsidP="00C37D4D">
                  <w:pPr>
                    <w:tabs>
                      <w:tab w:val="left" w:pos="1505"/>
                    </w:tabs>
                    <w:contextualSpacing/>
                  </w:pPr>
                  <w:r>
                    <w:t>1000-1499 visits</w:t>
                  </w:r>
                </w:p>
              </w:tc>
              <w:tc>
                <w:tcPr>
                  <w:tcW w:w="4345" w:type="dxa"/>
                  <w:tcBorders>
                    <w:top w:val="single" w:sz="4" w:space="0" w:color="auto"/>
                    <w:left w:val="single" w:sz="4" w:space="0" w:color="auto"/>
                    <w:bottom w:val="single" w:sz="4" w:space="0" w:color="auto"/>
                    <w:right w:val="single" w:sz="4" w:space="0" w:color="auto"/>
                  </w:tcBorders>
                  <w:hideMark/>
                </w:tcPr>
                <w:p w14:paraId="44CF7C36" w14:textId="77777777" w:rsidR="00C37D4D" w:rsidRDefault="00C37D4D" w:rsidP="00C37D4D">
                  <w:pPr>
                    <w:contextualSpacing/>
                  </w:pPr>
                  <w:r>
                    <w:t>100</w:t>
                  </w:r>
                </w:p>
              </w:tc>
            </w:tr>
            <w:tr w:rsidR="00C37D4D" w14:paraId="576B6E5E"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467B889B" w14:textId="77777777" w:rsidR="00C37D4D" w:rsidRDefault="00C37D4D" w:rsidP="00C37D4D">
                  <w:pPr>
                    <w:contextualSpacing/>
                  </w:pPr>
                  <w:r>
                    <w:t>750-999 visits</w:t>
                  </w:r>
                </w:p>
              </w:tc>
              <w:tc>
                <w:tcPr>
                  <w:tcW w:w="4345" w:type="dxa"/>
                  <w:tcBorders>
                    <w:top w:val="single" w:sz="4" w:space="0" w:color="auto"/>
                    <w:left w:val="single" w:sz="4" w:space="0" w:color="auto"/>
                    <w:bottom w:val="single" w:sz="4" w:space="0" w:color="auto"/>
                    <w:right w:val="single" w:sz="4" w:space="0" w:color="auto"/>
                  </w:tcBorders>
                  <w:hideMark/>
                </w:tcPr>
                <w:p w14:paraId="0C348F55" w14:textId="77777777" w:rsidR="00C37D4D" w:rsidRDefault="00C37D4D" w:rsidP="00C37D4D">
                  <w:pPr>
                    <w:contextualSpacing/>
                  </w:pPr>
                  <w:r>
                    <w:t>75</w:t>
                  </w:r>
                </w:p>
              </w:tc>
            </w:tr>
            <w:tr w:rsidR="00C37D4D" w14:paraId="7DB8522E" w14:textId="77777777" w:rsidTr="00EC4DCE">
              <w:trPr>
                <w:trHeight w:val="54"/>
              </w:trPr>
              <w:tc>
                <w:tcPr>
                  <w:tcW w:w="4344" w:type="dxa"/>
                  <w:tcBorders>
                    <w:top w:val="single" w:sz="4" w:space="0" w:color="auto"/>
                    <w:left w:val="single" w:sz="4" w:space="0" w:color="auto"/>
                    <w:bottom w:val="single" w:sz="4" w:space="0" w:color="auto"/>
                    <w:right w:val="single" w:sz="4" w:space="0" w:color="auto"/>
                  </w:tcBorders>
                  <w:hideMark/>
                </w:tcPr>
                <w:p w14:paraId="4F75F8B8" w14:textId="77777777" w:rsidR="00C37D4D" w:rsidRDefault="00C37D4D" w:rsidP="00C37D4D">
                  <w:pPr>
                    <w:contextualSpacing/>
                  </w:pPr>
                  <w:r>
                    <w:t>500-749 visits</w:t>
                  </w:r>
                </w:p>
              </w:tc>
              <w:tc>
                <w:tcPr>
                  <w:tcW w:w="4345" w:type="dxa"/>
                  <w:tcBorders>
                    <w:top w:val="single" w:sz="4" w:space="0" w:color="auto"/>
                    <w:left w:val="single" w:sz="4" w:space="0" w:color="auto"/>
                    <w:bottom w:val="single" w:sz="4" w:space="0" w:color="auto"/>
                    <w:right w:val="single" w:sz="4" w:space="0" w:color="auto"/>
                  </w:tcBorders>
                  <w:hideMark/>
                </w:tcPr>
                <w:p w14:paraId="7BD38C3F" w14:textId="77777777" w:rsidR="00C37D4D" w:rsidRDefault="00C37D4D" w:rsidP="00C37D4D">
                  <w:pPr>
                    <w:contextualSpacing/>
                  </w:pPr>
                  <w:r>
                    <w:t>50</w:t>
                  </w:r>
                </w:p>
              </w:tc>
            </w:tr>
            <w:tr w:rsidR="00C37D4D" w14:paraId="33844C9A"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2335B44F" w14:textId="77777777" w:rsidR="00C37D4D" w:rsidRDefault="00C37D4D" w:rsidP="00C37D4D">
                  <w:pPr>
                    <w:contextualSpacing/>
                  </w:pPr>
                  <w:r>
                    <w:t>250-499 visits</w:t>
                  </w:r>
                </w:p>
              </w:tc>
              <w:tc>
                <w:tcPr>
                  <w:tcW w:w="4345" w:type="dxa"/>
                  <w:tcBorders>
                    <w:top w:val="single" w:sz="4" w:space="0" w:color="auto"/>
                    <w:left w:val="single" w:sz="4" w:space="0" w:color="auto"/>
                    <w:bottom w:val="single" w:sz="4" w:space="0" w:color="auto"/>
                    <w:right w:val="single" w:sz="4" w:space="0" w:color="auto"/>
                  </w:tcBorders>
                  <w:hideMark/>
                </w:tcPr>
                <w:p w14:paraId="5E530F71" w14:textId="77777777" w:rsidR="00C37D4D" w:rsidRDefault="00C37D4D" w:rsidP="00C37D4D">
                  <w:pPr>
                    <w:contextualSpacing/>
                  </w:pPr>
                  <w:r>
                    <w:t>25</w:t>
                  </w:r>
                </w:p>
              </w:tc>
            </w:tr>
            <w:tr w:rsidR="00C37D4D" w14:paraId="12F26446" w14:textId="77777777" w:rsidTr="00EC4DCE">
              <w:trPr>
                <w:trHeight w:val="54"/>
              </w:trPr>
              <w:tc>
                <w:tcPr>
                  <w:tcW w:w="4344" w:type="dxa"/>
                  <w:tcBorders>
                    <w:top w:val="single" w:sz="4" w:space="0" w:color="auto"/>
                    <w:left w:val="single" w:sz="4" w:space="0" w:color="auto"/>
                    <w:bottom w:val="single" w:sz="4" w:space="0" w:color="auto"/>
                    <w:right w:val="single" w:sz="4" w:space="0" w:color="auto"/>
                  </w:tcBorders>
                  <w:hideMark/>
                </w:tcPr>
                <w:p w14:paraId="757B6EA8" w14:textId="77777777" w:rsidR="00C37D4D" w:rsidRDefault="00C37D4D" w:rsidP="00C37D4D">
                  <w:pPr>
                    <w:contextualSpacing/>
                  </w:pPr>
                  <w:r>
                    <w:t>150-249 visits</w:t>
                  </w:r>
                </w:p>
              </w:tc>
              <w:tc>
                <w:tcPr>
                  <w:tcW w:w="4345" w:type="dxa"/>
                  <w:tcBorders>
                    <w:top w:val="single" w:sz="4" w:space="0" w:color="auto"/>
                    <w:left w:val="single" w:sz="4" w:space="0" w:color="auto"/>
                    <w:bottom w:val="single" w:sz="4" w:space="0" w:color="auto"/>
                    <w:right w:val="single" w:sz="4" w:space="0" w:color="auto"/>
                  </w:tcBorders>
                  <w:hideMark/>
                </w:tcPr>
                <w:p w14:paraId="1B512483" w14:textId="77777777" w:rsidR="00C37D4D" w:rsidRDefault="00C37D4D" w:rsidP="00C37D4D">
                  <w:pPr>
                    <w:contextualSpacing/>
                  </w:pPr>
                  <w:r>
                    <w:t>15</w:t>
                  </w:r>
                </w:p>
              </w:tc>
            </w:tr>
            <w:tr w:rsidR="00C37D4D" w14:paraId="28ED8408" w14:textId="77777777" w:rsidTr="00EC4DCE">
              <w:trPr>
                <w:trHeight w:val="144"/>
              </w:trPr>
              <w:tc>
                <w:tcPr>
                  <w:tcW w:w="4344" w:type="dxa"/>
                  <w:tcBorders>
                    <w:top w:val="single" w:sz="4" w:space="0" w:color="auto"/>
                    <w:left w:val="single" w:sz="4" w:space="0" w:color="auto"/>
                    <w:bottom w:val="single" w:sz="4" w:space="0" w:color="auto"/>
                    <w:right w:val="single" w:sz="4" w:space="0" w:color="auto"/>
                  </w:tcBorders>
                  <w:hideMark/>
                </w:tcPr>
                <w:p w14:paraId="77FD8B1F" w14:textId="77777777" w:rsidR="00C37D4D" w:rsidRDefault="00C37D4D" w:rsidP="00C37D4D">
                  <w:pPr>
                    <w:contextualSpacing/>
                  </w:pPr>
                  <w:r>
                    <w:t>&lt;150 visits</w:t>
                  </w:r>
                </w:p>
              </w:tc>
              <w:tc>
                <w:tcPr>
                  <w:tcW w:w="4345" w:type="dxa"/>
                  <w:tcBorders>
                    <w:top w:val="single" w:sz="4" w:space="0" w:color="auto"/>
                    <w:left w:val="single" w:sz="4" w:space="0" w:color="auto"/>
                    <w:bottom w:val="single" w:sz="4" w:space="0" w:color="auto"/>
                    <w:right w:val="single" w:sz="4" w:space="0" w:color="auto"/>
                  </w:tcBorders>
                  <w:hideMark/>
                </w:tcPr>
                <w:p w14:paraId="54CF1F38" w14:textId="77777777" w:rsidR="00C37D4D" w:rsidRDefault="00C37D4D" w:rsidP="00C37D4D">
                  <w:pPr>
                    <w:contextualSpacing/>
                  </w:pPr>
                  <w:r>
                    <w:t>5</w:t>
                  </w:r>
                </w:p>
              </w:tc>
            </w:tr>
          </w:tbl>
          <w:p w14:paraId="210CAB80" w14:textId="637D136E" w:rsidR="00823FED" w:rsidRPr="00790BCB" w:rsidRDefault="00823FED" w:rsidP="00C37D4D">
            <w:pPr>
              <w:pStyle w:val="EndnoteText"/>
              <w:rPr>
                <w:bCs/>
                <w:sz w:val="8"/>
                <w:szCs w:val="8"/>
              </w:rPr>
            </w:pPr>
            <w:r>
              <w:rPr>
                <w:bCs/>
                <w:sz w:val="18"/>
                <w:szCs w:val="18"/>
              </w:rPr>
              <w:br/>
            </w:r>
          </w:p>
        </w:tc>
      </w:tr>
      <w:tr w:rsidR="00823FED" w:rsidRPr="009A5185" w14:paraId="03EAB4E4" w14:textId="77777777" w:rsidTr="00481148">
        <w:trPr>
          <w:trHeight w:val="3024"/>
          <w:jc w:val="center"/>
        </w:trPr>
        <w:tc>
          <w:tcPr>
            <w:tcW w:w="9387" w:type="dxa"/>
          </w:tcPr>
          <w:p w14:paraId="14164038" w14:textId="77777777" w:rsidR="00823FED" w:rsidRPr="00A00D74" w:rsidRDefault="00823FED" w:rsidP="00EC4DCE">
            <w:pPr>
              <w:autoSpaceDE w:val="0"/>
              <w:autoSpaceDN w:val="0"/>
              <w:adjustRightInd w:val="0"/>
              <w:rPr>
                <w:rFonts w:cs="Arial"/>
              </w:rPr>
            </w:pPr>
            <w:r>
              <w:rPr>
                <w:rFonts w:cs="Arial"/>
                <w:b/>
                <w:bCs/>
              </w:rPr>
              <w:lastRenderedPageBreak/>
              <w:t xml:space="preserve">Question #9: </w:t>
            </w:r>
            <w:r w:rsidRPr="00A00D74">
              <w:rPr>
                <w:rFonts w:cs="Arial"/>
              </w:rPr>
              <w:t xml:space="preserve">Does your hospital collect hand hygiene compliance data on at least </w:t>
            </w:r>
            <w:r w:rsidRPr="008B7FFE">
              <w:rPr>
                <w:rFonts w:cs="Arial"/>
                <w:b/>
                <w:bCs/>
              </w:rPr>
              <w:t>100 hand hygiene opportunities</w:t>
            </w:r>
            <w:r w:rsidRPr="00A00D74">
              <w:rPr>
                <w:rFonts w:cs="Arial"/>
              </w:rPr>
              <w:t xml:space="preserve">, or at least the number of hand hygiene opportunities outlined based on the unit type in Tables 4-6, </w:t>
            </w:r>
            <w:r w:rsidRPr="008B7FFE">
              <w:rPr>
                <w:rFonts w:cs="Arial"/>
                <w:b/>
                <w:bCs/>
              </w:rPr>
              <w:t xml:space="preserve">each </w:t>
            </w:r>
            <w:r w:rsidRPr="008B7FFE">
              <w:rPr>
                <w:rFonts w:cs="Arial"/>
                <w:b/>
                <w:bCs/>
                <w:u w:val="single"/>
              </w:rPr>
              <w:t>month</w:t>
            </w:r>
            <w:r w:rsidRPr="008B7FFE">
              <w:rPr>
                <w:rFonts w:cs="Arial"/>
                <w:b/>
                <w:bCs/>
              </w:rPr>
              <w:t xml:space="preserve"> in each </w:t>
            </w:r>
            <w:r w:rsidRPr="008B7FFE">
              <w:rPr>
                <w:rFonts w:cs="Arial"/>
                <w:b/>
                <w:bCs/>
                <w:u w:val="single"/>
              </w:rPr>
              <w:t>patient care unit</w:t>
            </w:r>
            <w:r w:rsidRPr="00A00D74">
              <w:rPr>
                <w:rFonts w:cs="Arial"/>
              </w:rPr>
              <w:t>?</w:t>
            </w:r>
          </w:p>
          <w:p w14:paraId="34AA5C51" w14:textId="77777777" w:rsidR="00823FED" w:rsidRPr="00481148" w:rsidRDefault="00823FED" w:rsidP="00EC4DCE">
            <w:pPr>
              <w:autoSpaceDE w:val="0"/>
              <w:autoSpaceDN w:val="0"/>
              <w:adjustRightInd w:val="0"/>
              <w:rPr>
                <w:rFonts w:cs="Arial"/>
                <w:b/>
                <w:bCs/>
                <w:sz w:val="16"/>
                <w:szCs w:val="16"/>
              </w:rPr>
            </w:pPr>
          </w:p>
          <w:p w14:paraId="06A45D35" w14:textId="21AEEB2B" w:rsidR="00823FED" w:rsidRDefault="00AC6B98" w:rsidP="00EC4DCE">
            <w:pPr>
              <w:autoSpaceDE w:val="0"/>
              <w:autoSpaceDN w:val="0"/>
              <w:adjustRightInd w:val="0"/>
              <w:rPr>
                <w:rFonts w:cs="Arial"/>
              </w:rPr>
            </w:pPr>
            <w:r>
              <w:rPr>
                <w:rFonts w:cs="Arial"/>
              </w:rPr>
              <w:t xml:space="preserve">In order to respond “yes” to question #9, </w:t>
            </w:r>
            <w:r w:rsidR="00B72F05">
              <w:rPr>
                <w:rFonts w:cs="Arial"/>
              </w:rPr>
              <w:t>your</w:t>
            </w:r>
            <w:r>
              <w:rPr>
                <w:rFonts w:cs="Arial"/>
              </w:rPr>
              <w:t xml:space="preserve"> h</w:t>
            </w:r>
            <w:r w:rsidR="00823FED">
              <w:rPr>
                <w:rFonts w:cs="Arial"/>
              </w:rPr>
              <w:t>ospital</w:t>
            </w:r>
            <w:r>
              <w:rPr>
                <w:rFonts w:cs="Arial"/>
              </w:rPr>
              <w:t xml:space="preserve"> must</w:t>
            </w:r>
            <w:r w:rsidR="00823FED">
              <w:rPr>
                <w:rFonts w:cs="Arial"/>
              </w:rPr>
              <w:t xml:space="preserve"> monitor at least </w:t>
            </w:r>
            <w:r w:rsidR="00823FED" w:rsidRPr="00BC0D3C">
              <w:rPr>
                <w:rFonts w:cs="Arial"/>
                <w:b/>
                <w:bCs/>
              </w:rPr>
              <w:t xml:space="preserve">100 </w:t>
            </w:r>
            <w:r w:rsidR="00823FED" w:rsidRPr="00DC502B">
              <w:rPr>
                <w:rFonts w:cs="Arial"/>
                <w:b/>
                <w:bCs/>
              </w:rPr>
              <w:t>hand hygiene opportunities</w:t>
            </w:r>
            <w:r w:rsidR="00823FED">
              <w:rPr>
                <w:rFonts w:cs="Arial"/>
              </w:rPr>
              <w:t xml:space="preserve">, or at least the number of hand hygiene opportunities outlined based on the unit type in Tables 4-6, </w:t>
            </w:r>
            <w:r w:rsidR="00823FED" w:rsidRPr="00DC502B">
              <w:rPr>
                <w:rFonts w:cs="Arial"/>
                <w:b/>
                <w:bCs/>
              </w:rPr>
              <w:t xml:space="preserve">each </w:t>
            </w:r>
            <w:r w:rsidR="00823FED" w:rsidRPr="00DC502B">
              <w:rPr>
                <w:rFonts w:cs="Arial"/>
                <w:b/>
                <w:bCs/>
                <w:u w:val="single"/>
              </w:rPr>
              <w:t>month</w:t>
            </w:r>
            <w:r w:rsidR="00823FED" w:rsidRPr="00DC502B">
              <w:rPr>
                <w:rFonts w:cs="Arial"/>
                <w:b/>
                <w:bCs/>
              </w:rPr>
              <w:t xml:space="preserve"> in each </w:t>
            </w:r>
            <w:r w:rsidR="00823FED" w:rsidRPr="00FC258A">
              <w:rPr>
                <w:rFonts w:cs="Arial"/>
                <w:b/>
                <w:bCs/>
                <w:u w:val="single"/>
              </w:rPr>
              <w:t>patient care unit</w:t>
            </w:r>
            <w:r w:rsidR="00823FED">
              <w:rPr>
                <w:rFonts w:cs="Arial"/>
                <w:b/>
                <w:bCs/>
              </w:rPr>
              <w:t xml:space="preserve"> </w:t>
            </w:r>
            <w:r w:rsidR="00823FED">
              <w:rPr>
                <w:rFonts w:cs="Arial"/>
              </w:rPr>
              <w:t>using either:</w:t>
            </w:r>
          </w:p>
          <w:p w14:paraId="40159CF2" w14:textId="085A810E" w:rsidR="001E32D3" w:rsidRPr="001E32D3" w:rsidRDefault="00823FED" w:rsidP="00AD309C">
            <w:pPr>
              <w:pStyle w:val="ListParagraph"/>
              <w:numPr>
                <w:ilvl w:val="0"/>
                <w:numId w:val="203"/>
              </w:numPr>
              <w:autoSpaceDE w:val="0"/>
              <w:autoSpaceDN w:val="0"/>
              <w:adjustRightInd w:val="0"/>
              <w:rPr>
                <w:rFonts w:cs="Arial"/>
              </w:rPr>
            </w:pPr>
            <w:r w:rsidRPr="001E32D3">
              <w:rPr>
                <w:rFonts w:cs="Arial"/>
              </w:rPr>
              <w:t>An electronic compliance monitoring system throughout all patient care units</w:t>
            </w:r>
          </w:p>
          <w:p w14:paraId="42EF6DFC" w14:textId="3C4ABE1B" w:rsidR="001E32D3" w:rsidRPr="001E32D3" w:rsidRDefault="00823FED" w:rsidP="00AD309C">
            <w:pPr>
              <w:pStyle w:val="ListParagraph"/>
              <w:numPr>
                <w:ilvl w:val="0"/>
                <w:numId w:val="203"/>
              </w:numPr>
              <w:autoSpaceDE w:val="0"/>
              <w:autoSpaceDN w:val="0"/>
              <w:adjustRightInd w:val="0"/>
              <w:rPr>
                <w:rFonts w:cs="Arial"/>
              </w:rPr>
            </w:pPr>
            <w:r w:rsidRPr="001E32D3">
              <w:rPr>
                <w:rFonts w:cs="Arial"/>
              </w:rPr>
              <w:t>An electronic compliance monitoring system throughout some patient care units and only direct observation in all other patient care units</w:t>
            </w:r>
          </w:p>
          <w:p w14:paraId="49ADF948" w14:textId="77777777" w:rsidR="00823FED" w:rsidRPr="001E32D3" w:rsidRDefault="00823FED" w:rsidP="00AD309C">
            <w:pPr>
              <w:pStyle w:val="ListParagraph"/>
              <w:numPr>
                <w:ilvl w:val="0"/>
                <w:numId w:val="203"/>
              </w:numPr>
              <w:autoSpaceDE w:val="0"/>
              <w:autoSpaceDN w:val="0"/>
              <w:adjustRightInd w:val="0"/>
              <w:rPr>
                <w:rFonts w:cs="Arial"/>
              </w:rPr>
            </w:pPr>
            <w:r w:rsidRPr="001E32D3">
              <w:rPr>
                <w:rFonts w:cs="Arial"/>
              </w:rPr>
              <w:t>Only direct observation throughout all patient care units</w:t>
            </w:r>
          </w:p>
          <w:p w14:paraId="324128E2" w14:textId="77777777" w:rsidR="00823FED" w:rsidRPr="00481148" w:rsidRDefault="00823FED" w:rsidP="00EC4DCE">
            <w:pPr>
              <w:autoSpaceDE w:val="0"/>
              <w:autoSpaceDN w:val="0"/>
              <w:adjustRightInd w:val="0"/>
              <w:rPr>
                <w:rFonts w:cs="Arial"/>
                <w:b/>
                <w:bCs/>
                <w:sz w:val="16"/>
                <w:szCs w:val="16"/>
              </w:rPr>
            </w:pPr>
          </w:p>
          <w:p w14:paraId="4DF620E9" w14:textId="64430A47" w:rsidR="00823FED" w:rsidRDefault="00AC6B98" w:rsidP="00EC4DCE">
            <w:pPr>
              <w:pStyle w:val="CommentText"/>
            </w:pPr>
            <w:r>
              <w:t>R</w:t>
            </w:r>
            <w:r w:rsidR="00823FED">
              <w:t xml:space="preserve">efer to the following tables to determine how many hand hygiene opportunities </w:t>
            </w:r>
            <w:r w:rsidR="00A77239">
              <w:t>must</w:t>
            </w:r>
            <w:r w:rsidR="00823FED">
              <w:t xml:space="preserve"> be monitored in each patient care unit monthly for question #9. </w:t>
            </w:r>
            <w:r w:rsidR="00823FED" w:rsidRPr="00BC0D3C">
              <w:rPr>
                <w:b/>
                <w:bCs/>
              </w:rPr>
              <w:t>Historical data</w:t>
            </w:r>
            <w:r w:rsidR="00823FED">
              <w:t xml:space="preserve"> (e.g., past 3 months, 6 months, 12 months, etc.) on the monthly occupancy rates or procedure/patient volumes should be used.</w:t>
            </w:r>
          </w:p>
          <w:p w14:paraId="62F0E984" w14:textId="77777777" w:rsidR="00E74CD8" w:rsidRDefault="00E74CD8" w:rsidP="00EC4DCE">
            <w:pPr>
              <w:pStyle w:val="CommentText"/>
            </w:pPr>
          </w:p>
          <w:p w14:paraId="65ECCDB3" w14:textId="099F4368" w:rsidR="00EC7E25" w:rsidRDefault="00E74CD8" w:rsidP="00EC4DCE">
            <w:pPr>
              <w:pStyle w:val="CommentText"/>
              <w:rPr>
                <w:sz w:val="16"/>
                <w:szCs w:val="16"/>
              </w:rPr>
            </w:pPr>
            <w:r>
              <w:lastRenderedPageBreak/>
              <w:t>Units/areas c</w:t>
            </w:r>
            <w:r w:rsidR="00157FDB">
              <w:t>an</w:t>
            </w:r>
            <w:r>
              <w:t xml:space="preserve"> be combined </w:t>
            </w:r>
            <w:r w:rsidRPr="00915847">
              <w:t xml:space="preserve">for the purposes of determining if you have met the monthly or quarterly monitoring sample size </w:t>
            </w:r>
            <w:r>
              <w:t>if</w:t>
            </w:r>
            <w:r w:rsidRPr="00915847">
              <w:t xml:space="preserve"> they share a common group of staff</w:t>
            </w:r>
            <w:r>
              <w:t xml:space="preserve"> (</w:t>
            </w:r>
            <w:r w:rsidRPr="00915847">
              <w:t xml:space="preserve">i.e., staff are scheduled to work in the broader area and float between units </w:t>
            </w:r>
            <w:r>
              <w:t>or</w:t>
            </w:r>
            <w:r w:rsidRPr="00915847">
              <w:t xml:space="preserve"> staff may be scheduled to work either unit on any given day</w:t>
            </w:r>
            <w:r>
              <w:t>)</w:t>
            </w:r>
            <w:r w:rsidRPr="00915847">
              <w:t>.</w:t>
            </w:r>
            <w:r>
              <w:t xml:space="preserve"> Hand hygiene opportunities would still need to be monitored throughout both units/areas.</w:t>
            </w:r>
          </w:p>
          <w:p w14:paraId="152C9F21" w14:textId="77777777" w:rsidR="00EC7E25" w:rsidRPr="00481148" w:rsidRDefault="00EC7E25" w:rsidP="00EC4DCE">
            <w:pPr>
              <w:pStyle w:val="CommentText"/>
              <w:rPr>
                <w:sz w:val="16"/>
                <w:szCs w:val="16"/>
              </w:rPr>
            </w:pPr>
          </w:p>
          <w:p w14:paraId="76595B90" w14:textId="77777777" w:rsidR="00823FED" w:rsidRDefault="00823FED" w:rsidP="00EC4DCE">
            <w:pPr>
              <w:contextualSpacing/>
              <w:rPr>
                <w:b/>
              </w:rPr>
            </w:pPr>
            <w:r>
              <w:rPr>
                <w:b/>
              </w:rPr>
              <w:t>Table 4: Units where the monthly occupancy rate can be calculated</w:t>
            </w:r>
          </w:p>
          <w:tbl>
            <w:tblPr>
              <w:tblStyle w:val="TableGrid"/>
              <w:tblW w:w="8689" w:type="dxa"/>
              <w:tblLook w:val="04A0" w:firstRow="1" w:lastRow="0" w:firstColumn="1" w:lastColumn="0" w:noHBand="0" w:noVBand="1"/>
            </w:tblPr>
            <w:tblGrid>
              <w:gridCol w:w="4344"/>
              <w:gridCol w:w="4345"/>
            </w:tblGrid>
            <w:tr w:rsidR="00823FED" w14:paraId="162AA9C4"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5D1AAA1B" w14:textId="77777777" w:rsidR="00823FED" w:rsidRDefault="00823FED" w:rsidP="00EC4DCE">
                  <w:pPr>
                    <w:contextualSpacing/>
                    <w:rPr>
                      <w:b/>
                    </w:rPr>
                  </w:pPr>
                  <w:r>
                    <w:rPr>
                      <w:b/>
                    </w:rPr>
                    <w:t>If your unit’s average daily census is…</w:t>
                  </w:r>
                </w:p>
              </w:tc>
              <w:tc>
                <w:tcPr>
                  <w:tcW w:w="4345" w:type="dxa"/>
                  <w:tcBorders>
                    <w:top w:val="single" w:sz="4" w:space="0" w:color="auto"/>
                    <w:left w:val="single" w:sz="4" w:space="0" w:color="auto"/>
                    <w:bottom w:val="single" w:sz="4" w:space="0" w:color="auto"/>
                    <w:right w:val="single" w:sz="4" w:space="0" w:color="auto"/>
                  </w:tcBorders>
                  <w:hideMark/>
                </w:tcPr>
                <w:p w14:paraId="62FCC551" w14:textId="77777777" w:rsidR="00823FED" w:rsidRDefault="00823FED" w:rsidP="00EC4DCE">
                  <w:pPr>
                    <w:contextualSpacing/>
                    <w:rPr>
                      <w:b/>
                    </w:rPr>
                  </w:pPr>
                  <w:r>
                    <w:rPr>
                      <w:b/>
                    </w:rPr>
                    <w:t>Your</w:t>
                  </w:r>
                  <w:r>
                    <w:rPr>
                      <w:b/>
                      <w:color w:val="FF0000"/>
                    </w:rPr>
                    <w:t xml:space="preserve"> patient care unit </w:t>
                  </w:r>
                  <w:r>
                    <w:rPr>
                      <w:b/>
                    </w:rPr>
                    <w:t xml:space="preserve">needs to collect hand hygiene compliance data for </w:t>
                  </w:r>
                  <w:r>
                    <w:rPr>
                      <w:b/>
                      <w:u w:val="single"/>
                    </w:rPr>
                    <w:t>at least</w:t>
                  </w:r>
                  <w:r>
                    <w:rPr>
                      <w:b/>
                    </w:rPr>
                    <w:t xml:space="preserve"> this number of </w:t>
                  </w:r>
                  <w:r>
                    <w:rPr>
                      <w:b/>
                      <w:u w:val="single"/>
                    </w:rPr>
                    <w:t xml:space="preserve">hand hygiene opportunities </w:t>
                  </w:r>
                  <w:r>
                    <w:rPr>
                      <w:b/>
                      <w:color w:val="FF0000"/>
                      <w:u w:val="single"/>
                    </w:rPr>
                    <w:t>per month</w:t>
                  </w:r>
                  <w:r w:rsidRPr="001B37FD">
                    <w:rPr>
                      <w:b/>
                    </w:rPr>
                    <w:t xml:space="preserve"> for question #</w:t>
                  </w:r>
                  <w:r>
                    <w:rPr>
                      <w:b/>
                    </w:rPr>
                    <w:t>9…</w:t>
                  </w:r>
                </w:p>
              </w:tc>
            </w:tr>
            <w:tr w:rsidR="00823FED" w14:paraId="309A1D58"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7DBF88E9" w14:textId="77777777" w:rsidR="00823FED" w:rsidRDefault="00823FED" w:rsidP="00EC4DCE">
                  <w:pPr>
                    <w:contextualSpacing/>
                  </w:pPr>
                  <w:r>
                    <w:t>13 patients or higher</w:t>
                  </w:r>
                </w:p>
              </w:tc>
              <w:tc>
                <w:tcPr>
                  <w:tcW w:w="4345" w:type="dxa"/>
                  <w:tcBorders>
                    <w:top w:val="single" w:sz="4" w:space="0" w:color="auto"/>
                    <w:left w:val="single" w:sz="4" w:space="0" w:color="auto"/>
                    <w:bottom w:val="single" w:sz="4" w:space="0" w:color="auto"/>
                    <w:right w:val="single" w:sz="4" w:space="0" w:color="auto"/>
                  </w:tcBorders>
                  <w:hideMark/>
                </w:tcPr>
                <w:p w14:paraId="37F44223" w14:textId="77777777" w:rsidR="00823FED" w:rsidRDefault="00823FED" w:rsidP="00EC4DCE">
                  <w:pPr>
                    <w:contextualSpacing/>
                  </w:pPr>
                  <w:r>
                    <w:t>100</w:t>
                  </w:r>
                </w:p>
              </w:tc>
            </w:tr>
            <w:tr w:rsidR="00823FED" w14:paraId="75A5A592"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236490A3" w14:textId="77777777" w:rsidR="00823FED" w:rsidRDefault="00823FED" w:rsidP="00EC4DCE">
                  <w:pPr>
                    <w:contextualSpacing/>
                  </w:pPr>
                  <w:r>
                    <w:t>10-12 patients</w:t>
                  </w:r>
                </w:p>
              </w:tc>
              <w:tc>
                <w:tcPr>
                  <w:tcW w:w="4345" w:type="dxa"/>
                  <w:tcBorders>
                    <w:top w:val="single" w:sz="4" w:space="0" w:color="auto"/>
                    <w:left w:val="single" w:sz="4" w:space="0" w:color="auto"/>
                    <w:bottom w:val="single" w:sz="4" w:space="0" w:color="auto"/>
                    <w:right w:val="single" w:sz="4" w:space="0" w:color="auto"/>
                  </w:tcBorders>
                  <w:hideMark/>
                </w:tcPr>
                <w:p w14:paraId="640D849F" w14:textId="77777777" w:rsidR="00823FED" w:rsidRDefault="00823FED" w:rsidP="00EC4DCE">
                  <w:pPr>
                    <w:contextualSpacing/>
                  </w:pPr>
                  <w:r>
                    <w:t>75</w:t>
                  </w:r>
                </w:p>
              </w:tc>
            </w:tr>
            <w:tr w:rsidR="00823FED" w14:paraId="21672E4D"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6ECDBBC3" w14:textId="07D39E54" w:rsidR="00823FED" w:rsidRDefault="00823FED" w:rsidP="00EC4DCE">
                  <w:pPr>
                    <w:tabs>
                      <w:tab w:val="left" w:pos="1505"/>
                    </w:tabs>
                    <w:contextualSpacing/>
                  </w:pPr>
                  <w:r>
                    <w:t>7-9 patients</w:t>
                  </w:r>
                </w:p>
              </w:tc>
              <w:tc>
                <w:tcPr>
                  <w:tcW w:w="4345" w:type="dxa"/>
                  <w:tcBorders>
                    <w:top w:val="single" w:sz="4" w:space="0" w:color="auto"/>
                    <w:left w:val="single" w:sz="4" w:space="0" w:color="auto"/>
                    <w:bottom w:val="single" w:sz="4" w:space="0" w:color="auto"/>
                    <w:right w:val="single" w:sz="4" w:space="0" w:color="auto"/>
                  </w:tcBorders>
                  <w:hideMark/>
                </w:tcPr>
                <w:p w14:paraId="65A90D11" w14:textId="77777777" w:rsidR="00823FED" w:rsidRDefault="00823FED" w:rsidP="00EC4DCE">
                  <w:pPr>
                    <w:contextualSpacing/>
                  </w:pPr>
                  <w:r>
                    <w:t>50</w:t>
                  </w:r>
                </w:p>
              </w:tc>
            </w:tr>
            <w:tr w:rsidR="00823FED" w14:paraId="6E87E00A"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0E6813BF" w14:textId="77777777" w:rsidR="00823FED" w:rsidRDefault="00823FED" w:rsidP="00EC4DCE">
                  <w:pPr>
                    <w:contextualSpacing/>
                  </w:pPr>
                  <w:r>
                    <w:t>5-6 patients</w:t>
                  </w:r>
                </w:p>
              </w:tc>
              <w:tc>
                <w:tcPr>
                  <w:tcW w:w="4345" w:type="dxa"/>
                  <w:tcBorders>
                    <w:top w:val="single" w:sz="4" w:space="0" w:color="auto"/>
                    <w:left w:val="single" w:sz="4" w:space="0" w:color="auto"/>
                    <w:bottom w:val="single" w:sz="4" w:space="0" w:color="auto"/>
                    <w:right w:val="single" w:sz="4" w:space="0" w:color="auto"/>
                  </w:tcBorders>
                  <w:hideMark/>
                </w:tcPr>
                <w:p w14:paraId="49CA3CB6" w14:textId="77777777" w:rsidR="00823FED" w:rsidRDefault="00823FED" w:rsidP="00EC4DCE">
                  <w:pPr>
                    <w:contextualSpacing/>
                  </w:pPr>
                  <w:r>
                    <w:t>37</w:t>
                  </w:r>
                </w:p>
              </w:tc>
            </w:tr>
            <w:tr w:rsidR="00823FED" w14:paraId="19B84F18"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6DAADC3C" w14:textId="77777777" w:rsidR="00823FED" w:rsidRDefault="00823FED" w:rsidP="00EC4DCE">
                  <w:pPr>
                    <w:contextualSpacing/>
                  </w:pPr>
                  <w:r>
                    <w:t>3-4 patients</w:t>
                  </w:r>
                </w:p>
              </w:tc>
              <w:tc>
                <w:tcPr>
                  <w:tcW w:w="4345" w:type="dxa"/>
                  <w:tcBorders>
                    <w:top w:val="single" w:sz="4" w:space="0" w:color="auto"/>
                    <w:left w:val="single" w:sz="4" w:space="0" w:color="auto"/>
                    <w:bottom w:val="single" w:sz="4" w:space="0" w:color="auto"/>
                    <w:right w:val="single" w:sz="4" w:space="0" w:color="auto"/>
                  </w:tcBorders>
                  <w:hideMark/>
                </w:tcPr>
                <w:p w14:paraId="4ECFECB2" w14:textId="77777777" w:rsidR="00823FED" w:rsidRDefault="00823FED" w:rsidP="00EC4DCE">
                  <w:pPr>
                    <w:contextualSpacing/>
                  </w:pPr>
                  <w:r>
                    <w:t>22</w:t>
                  </w:r>
                </w:p>
              </w:tc>
            </w:tr>
            <w:tr w:rsidR="00823FED" w14:paraId="5122F22F"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4EBF0ACF" w14:textId="77777777" w:rsidR="00823FED" w:rsidRDefault="00823FED" w:rsidP="00EC4DCE">
                  <w:pPr>
                    <w:contextualSpacing/>
                  </w:pPr>
                  <w:r>
                    <w:t>1-2 patients</w:t>
                  </w:r>
                </w:p>
              </w:tc>
              <w:tc>
                <w:tcPr>
                  <w:tcW w:w="4345" w:type="dxa"/>
                  <w:tcBorders>
                    <w:top w:val="single" w:sz="4" w:space="0" w:color="auto"/>
                    <w:left w:val="single" w:sz="4" w:space="0" w:color="auto"/>
                    <w:bottom w:val="single" w:sz="4" w:space="0" w:color="auto"/>
                    <w:right w:val="single" w:sz="4" w:space="0" w:color="auto"/>
                  </w:tcBorders>
                  <w:hideMark/>
                </w:tcPr>
                <w:p w14:paraId="120E7ECB" w14:textId="77777777" w:rsidR="00823FED" w:rsidRDefault="00823FED" w:rsidP="00EC4DCE">
                  <w:pPr>
                    <w:contextualSpacing/>
                  </w:pPr>
                  <w:r>
                    <w:t>7</w:t>
                  </w:r>
                </w:p>
              </w:tc>
            </w:tr>
          </w:tbl>
          <w:p w14:paraId="44B1D701" w14:textId="77777777" w:rsidR="00823FED" w:rsidRPr="00481148" w:rsidRDefault="00823FED" w:rsidP="00EC4DCE">
            <w:pPr>
              <w:contextualSpacing/>
              <w:rPr>
                <w:sz w:val="16"/>
                <w:szCs w:val="16"/>
              </w:rPr>
            </w:pPr>
          </w:p>
          <w:p w14:paraId="75922AB6" w14:textId="77777777" w:rsidR="00823FED" w:rsidRDefault="00823FED" w:rsidP="00EC4DCE">
            <w:pPr>
              <w:contextualSpacing/>
              <w:rPr>
                <w:b/>
              </w:rPr>
            </w:pPr>
            <w:r>
              <w:rPr>
                <w:b/>
              </w:rPr>
              <w:t>Table 5: Units where the monthly occupancy rate cannot be calculated (e.g., PACU, labor and delivery, outpatient units)</w:t>
            </w:r>
          </w:p>
          <w:tbl>
            <w:tblPr>
              <w:tblStyle w:val="TableGrid"/>
              <w:tblW w:w="8689" w:type="dxa"/>
              <w:tblLook w:val="04A0" w:firstRow="1" w:lastRow="0" w:firstColumn="1" w:lastColumn="0" w:noHBand="0" w:noVBand="1"/>
            </w:tblPr>
            <w:tblGrid>
              <w:gridCol w:w="4344"/>
              <w:gridCol w:w="4345"/>
            </w:tblGrid>
            <w:tr w:rsidR="00823FED" w14:paraId="4DDC1D75"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037D70CC" w14:textId="6CB7E86C" w:rsidR="00823FED" w:rsidRDefault="00823FED" w:rsidP="00EC4DCE">
                  <w:pPr>
                    <w:contextualSpacing/>
                    <w:rPr>
                      <w:b/>
                    </w:rPr>
                  </w:pPr>
                  <w:r>
                    <w:rPr>
                      <w:b/>
                    </w:rPr>
                    <w:t>If your unit’s average number of procedures</w:t>
                  </w:r>
                  <w:r w:rsidR="006B4260">
                    <w:t>/patient volume</w:t>
                  </w:r>
                  <w:r>
                    <w:rPr>
                      <w:b/>
                    </w:rPr>
                    <w:t xml:space="preserve"> in a month is…</w:t>
                  </w:r>
                </w:p>
              </w:tc>
              <w:tc>
                <w:tcPr>
                  <w:tcW w:w="4345" w:type="dxa"/>
                  <w:tcBorders>
                    <w:top w:val="single" w:sz="4" w:space="0" w:color="auto"/>
                    <w:left w:val="single" w:sz="4" w:space="0" w:color="auto"/>
                    <w:bottom w:val="single" w:sz="4" w:space="0" w:color="auto"/>
                    <w:right w:val="single" w:sz="4" w:space="0" w:color="auto"/>
                  </w:tcBorders>
                  <w:hideMark/>
                </w:tcPr>
                <w:p w14:paraId="7E5CEC24" w14:textId="77777777" w:rsidR="00823FED" w:rsidRDefault="00823FED" w:rsidP="00EC4DCE">
                  <w:pPr>
                    <w:contextualSpacing/>
                    <w:rPr>
                      <w:b/>
                    </w:rPr>
                  </w:pPr>
                  <w:r>
                    <w:rPr>
                      <w:b/>
                    </w:rPr>
                    <w:t>Your</w:t>
                  </w:r>
                  <w:r>
                    <w:rPr>
                      <w:b/>
                      <w:color w:val="FF0000"/>
                    </w:rPr>
                    <w:t xml:space="preserve"> patient care unit </w:t>
                  </w:r>
                  <w:r>
                    <w:rPr>
                      <w:b/>
                    </w:rPr>
                    <w:t xml:space="preserve">needs to collect hand hygiene compliance data for </w:t>
                  </w:r>
                  <w:r>
                    <w:rPr>
                      <w:b/>
                      <w:u w:val="single"/>
                    </w:rPr>
                    <w:t>at least</w:t>
                  </w:r>
                  <w:r>
                    <w:rPr>
                      <w:b/>
                    </w:rPr>
                    <w:t xml:space="preserve"> this number of </w:t>
                  </w:r>
                  <w:r>
                    <w:rPr>
                      <w:b/>
                      <w:u w:val="single"/>
                    </w:rPr>
                    <w:t xml:space="preserve">hand hygiene opportunities </w:t>
                  </w:r>
                  <w:r>
                    <w:rPr>
                      <w:b/>
                      <w:color w:val="FF0000"/>
                      <w:u w:val="single"/>
                    </w:rPr>
                    <w:t>per month</w:t>
                  </w:r>
                  <w:r w:rsidRPr="001B37FD">
                    <w:rPr>
                      <w:b/>
                    </w:rPr>
                    <w:t xml:space="preserve"> for question #</w:t>
                  </w:r>
                  <w:r>
                    <w:rPr>
                      <w:b/>
                    </w:rPr>
                    <w:t>9…</w:t>
                  </w:r>
                </w:p>
              </w:tc>
            </w:tr>
            <w:tr w:rsidR="00823FED" w14:paraId="7B9E27A9"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1062FF6D" w14:textId="394BBAAC" w:rsidR="00823FED" w:rsidRDefault="00823FED" w:rsidP="00EC4DCE">
                  <w:pPr>
                    <w:contextualSpacing/>
                  </w:pPr>
                  <w:r>
                    <w:t>400 procedures</w:t>
                  </w:r>
                  <w:r w:rsidR="007D76EA">
                    <w:t>/patients</w:t>
                  </w:r>
                  <w:r>
                    <w:t xml:space="preserve"> or greater</w:t>
                  </w:r>
                </w:p>
              </w:tc>
              <w:tc>
                <w:tcPr>
                  <w:tcW w:w="4345" w:type="dxa"/>
                  <w:tcBorders>
                    <w:top w:val="single" w:sz="4" w:space="0" w:color="auto"/>
                    <w:left w:val="single" w:sz="4" w:space="0" w:color="auto"/>
                    <w:bottom w:val="single" w:sz="4" w:space="0" w:color="auto"/>
                    <w:right w:val="single" w:sz="4" w:space="0" w:color="auto"/>
                  </w:tcBorders>
                  <w:hideMark/>
                </w:tcPr>
                <w:p w14:paraId="40EDBDFB" w14:textId="77777777" w:rsidR="00823FED" w:rsidRDefault="00823FED" w:rsidP="00EC4DCE">
                  <w:pPr>
                    <w:contextualSpacing/>
                  </w:pPr>
                  <w:r>
                    <w:t>100</w:t>
                  </w:r>
                </w:p>
              </w:tc>
            </w:tr>
            <w:tr w:rsidR="00823FED" w14:paraId="46A28079"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7D648AA8" w14:textId="44D967B3" w:rsidR="00823FED" w:rsidRDefault="00823FED" w:rsidP="00EC4DCE">
                  <w:pPr>
                    <w:contextualSpacing/>
                  </w:pPr>
                  <w:r>
                    <w:t>320-399 procedures</w:t>
                  </w:r>
                  <w:r w:rsidR="007D76EA">
                    <w:t>/patients</w:t>
                  </w:r>
                </w:p>
              </w:tc>
              <w:tc>
                <w:tcPr>
                  <w:tcW w:w="4345" w:type="dxa"/>
                  <w:tcBorders>
                    <w:top w:val="single" w:sz="4" w:space="0" w:color="auto"/>
                    <w:left w:val="single" w:sz="4" w:space="0" w:color="auto"/>
                    <w:bottom w:val="single" w:sz="4" w:space="0" w:color="auto"/>
                    <w:right w:val="single" w:sz="4" w:space="0" w:color="auto"/>
                  </w:tcBorders>
                  <w:hideMark/>
                </w:tcPr>
                <w:p w14:paraId="1528506F" w14:textId="77777777" w:rsidR="00823FED" w:rsidRDefault="00823FED" w:rsidP="00EC4DCE">
                  <w:pPr>
                    <w:contextualSpacing/>
                  </w:pPr>
                  <w:r>
                    <w:t>75</w:t>
                  </w:r>
                </w:p>
              </w:tc>
            </w:tr>
            <w:tr w:rsidR="00823FED" w14:paraId="30F7E8CA"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63278D1A" w14:textId="74088743" w:rsidR="00823FED" w:rsidRDefault="00823FED" w:rsidP="00EC4DCE">
                  <w:pPr>
                    <w:tabs>
                      <w:tab w:val="left" w:pos="1505"/>
                    </w:tabs>
                    <w:contextualSpacing/>
                  </w:pPr>
                  <w:r>
                    <w:t>240-319 procedures</w:t>
                  </w:r>
                  <w:r w:rsidR="007D76EA">
                    <w:t>/patients</w:t>
                  </w:r>
                </w:p>
              </w:tc>
              <w:tc>
                <w:tcPr>
                  <w:tcW w:w="4345" w:type="dxa"/>
                  <w:tcBorders>
                    <w:top w:val="single" w:sz="4" w:space="0" w:color="auto"/>
                    <w:left w:val="single" w:sz="4" w:space="0" w:color="auto"/>
                    <w:bottom w:val="single" w:sz="4" w:space="0" w:color="auto"/>
                    <w:right w:val="single" w:sz="4" w:space="0" w:color="auto"/>
                  </w:tcBorders>
                  <w:hideMark/>
                </w:tcPr>
                <w:p w14:paraId="7F5D14E7" w14:textId="77777777" w:rsidR="00823FED" w:rsidRDefault="00823FED" w:rsidP="00EC4DCE">
                  <w:pPr>
                    <w:contextualSpacing/>
                  </w:pPr>
                  <w:r>
                    <w:t>50</w:t>
                  </w:r>
                </w:p>
              </w:tc>
            </w:tr>
            <w:tr w:rsidR="00823FED" w14:paraId="6CC1C040"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31AA656D" w14:textId="74960743" w:rsidR="00823FED" w:rsidRDefault="00823FED" w:rsidP="00EC4DCE">
                  <w:pPr>
                    <w:contextualSpacing/>
                  </w:pPr>
                  <w:r>
                    <w:t>160-239 procedures</w:t>
                  </w:r>
                  <w:r w:rsidR="007D76EA">
                    <w:t>/patients</w:t>
                  </w:r>
                </w:p>
              </w:tc>
              <w:tc>
                <w:tcPr>
                  <w:tcW w:w="4345" w:type="dxa"/>
                  <w:tcBorders>
                    <w:top w:val="single" w:sz="4" w:space="0" w:color="auto"/>
                    <w:left w:val="single" w:sz="4" w:space="0" w:color="auto"/>
                    <w:bottom w:val="single" w:sz="4" w:space="0" w:color="auto"/>
                    <w:right w:val="single" w:sz="4" w:space="0" w:color="auto"/>
                  </w:tcBorders>
                  <w:hideMark/>
                </w:tcPr>
                <w:p w14:paraId="7101CA7B" w14:textId="77777777" w:rsidR="00823FED" w:rsidRDefault="00823FED" w:rsidP="00EC4DCE">
                  <w:pPr>
                    <w:contextualSpacing/>
                  </w:pPr>
                  <w:r>
                    <w:t>37</w:t>
                  </w:r>
                </w:p>
              </w:tc>
            </w:tr>
            <w:tr w:rsidR="00823FED" w14:paraId="425C64C8" w14:textId="77777777" w:rsidTr="00EC4DCE">
              <w:trPr>
                <w:trHeight w:val="54"/>
              </w:trPr>
              <w:tc>
                <w:tcPr>
                  <w:tcW w:w="4344" w:type="dxa"/>
                  <w:tcBorders>
                    <w:top w:val="single" w:sz="4" w:space="0" w:color="auto"/>
                    <w:left w:val="single" w:sz="4" w:space="0" w:color="auto"/>
                    <w:bottom w:val="single" w:sz="4" w:space="0" w:color="auto"/>
                    <w:right w:val="single" w:sz="4" w:space="0" w:color="auto"/>
                  </w:tcBorders>
                  <w:hideMark/>
                </w:tcPr>
                <w:p w14:paraId="5FF942EC" w14:textId="67F4B959" w:rsidR="00823FED" w:rsidRDefault="00823FED" w:rsidP="00EC4DCE">
                  <w:pPr>
                    <w:contextualSpacing/>
                  </w:pPr>
                  <w:r>
                    <w:t>120-159 procedures</w:t>
                  </w:r>
                  <w:r w:rsidR="007D76EA">
                    <w:t>/patients</w:t>
                  </w:r>
                </w:p>
              </w:tc>
              <w:tc>
                <w:tcPr>
                  <w:tcW w:w="4345" w:type="dxa"/>
                  <w:tcBorders>
                    <w:top w:val="single" w:sz="4" w:space="0" w:color="auto"/>
                    <w:left w:val="single" w:sz="4" w:space="0" w:color="auto"/>
                    <w:bottom w:val="single" w:sz="4" w:space="0" w:color="auto"/>
                    <w:right w:val="single" w:sz="4" w:space="0" w:color="auto"/>
                  </w:tcBorders>
                  <w:hideMark/>
                </w:tcPr>
                <w:p w14:paraId="78893252" w14:textId="77777777" w:rsidR="00823FED" w:rsidRDefault="00823FED" w:rsidP="00EC4DCE">
                  <w:pPr>
                    <w:contextualSpacing/>
                  </w:pPr>
                  <w:r>
                    <w:t>25</w:t>
                  </w:r>
                </w:p>
              </w:tc>
            </w:tr>
            <w:tr w:rsidR="00823FED" w14:paraId="4170568D"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6D932332" w14:textId="4DCF6E80" w:rsidR="00823FED" w:rsidRDefault="00823FED" w:rsidP="00EC4DCE">
                  <w:pPr>
                    <w:contextualSpacing/>
                  </w:pPr>
                  <w:r>
                    <w:t>60-119 procedures</w:t>
                  </w:r>
                  <w:r w:rsidR="007D76EA">
                    <w:t>/patients</w:t>
                  </w:r>
                </w:p>
              </w:tc>
              <w:tc>
                <w:tcPr>
                  <w:tcW w:w="4345" w:type="dxa"/>
                  <w:tcBorders>
                    <w:top w:val="single" w:sz="4" w:space="0" w:color="auto"/>
                    <w:left w:val="single" w:sz="4" w:space="0" w:color="auto"/>
                    <w:bottom w:val="single" w:sz="4" w:space="0" w:color="auto"/>
                    <w:right w:val="single" w:sz="4" w:space="0" w:color="auto"/>
                  </w:tcBorders>
                  <w:hideMark/>
                </w:tcPr>
                <w:p w14:paraId="40BA2D80" w14:textId="77777777" w:rsidR="00823FED" w:rsidRDefault="00823FED" w:rsidP="00EC4DCE">
                  <w:pPr>
                    <w:contextualSpacing/>
                  </w:pPr>
                  <w:r>
                    <w:t>15</w:t>
                  </w:r>
                </w:p>
              </w:tc>
            </w:tr>
            <w:tr w:rsidR="00823FED" w14:paraId="5D32FD19"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0DB52AE7" w14:textId="379EF8E0" w:rsidR="00823FED" w:rsidRDefault="00823FED" w:rsidP="00EC4DCE">
                  <w:pPr>
                    <w:contextualSpacing/>
                  </w:pPr>
                  <w:r>
                    <w:t>30-59 procedures</w:t>
                  </w:r>
                  <w:r w:rsidR="007D76EA">
                    <w:t>/patients</w:t>
                  </w:r>
                </w:p>
              </w:tc>
              <w:tc>
                <w:tcPr>
                  <w:tcW w:w="4345" w:type="dxa"/>
                  <w:tcBorders>
                    <w:top w:val="single" w:sz="4" w:space="0" w:color="auto"/>
                    <w:left w:val="single" w:sz="4" w:space="0" w:color="auto"/>
                    <w:bottom w:val="single" w:sz="4" w:space="0" w:color="auto"/>
                    <w:right w:val="single" w:sz="4" w:space="0" w:color="auto"/>
                  </w:tcBorders>
                  <w:hideMark/>
                </w:tcPr>
                <w:p w14:paraId="7A3BA4EC" w14:textId="77777777" w:rsidR="00823FED" w:rsidRDefault="00823FED" w:rsidP="00EC4DCE">
                  <w:pPr>
                    <w:contextualSpacing/>
                  </w:pPr>
                  <w:r>
                    <w:t>7</w:t>
                  </w:r>
                </w:p>
              </w:tc>
            </w:tr>
            <w:tr w:rsidR="00823FED" w14:paraId="096A2381"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0824A298" w14:textId="699C3F3A" w:rsidR="00823FED" w:rsidRDefault="00823FED" w:rsidP="00EC4DCE">
                  <w:pPr>
                    <w:contextualSpacing/>
                  </w:pPr>
                  <w:r>
                    <w:t>&lt;30 procedures</w:t>
                  </w:r>
                  <w:r w:rsidR="007D76EA">
                    <w:t>/patients</w:t>
                  </w:r>
                </w:p>
              </w:tc>
              <w:tc>
                <w:tcPr>
                  <w:tcW w:w="4345" w:type="dxa"/>
                  <w:tcBorders>
                    <w:top w:val="single" w:sz="4" w:space="0" w:color="auto"/>
                    <w:left w:val="single" w:sz="4" w:space="0" w:color="auto"/>
                    <w:bottom w:val="single" w:sz="4" w:space="0" w:color="auto"/>
                    <w:right w:val="single" w:sz="4" w:space="0" w:color="auto"/>
                  </w:tcBorders>
                  <w:hideMark/>
                </w:tcPr>
                <w:p w14:paraId="007E5406" w14:textId="77777777" w:rsidR="00823FED" w:rsidRDefault="00823FED" w:rsidP="00EC4DCE">
                  <w:pPr>
                    <w:contextualSpacing/>
                  </w:pPr>
                  <w:r>
                    <w:t>2</w:t>
                  </w:r>
                </w:p>
              </w:tc>
            </w:tr>
          </w:tbl>
          <w:p w14:paraId="12E7FD5C" w14:textId="77777777" w:rsidR="00C37D4D" w:rsidRDefault="00C37D4D" w:rsidP="00EC4DCE">
            <w:pPr>
              <w:contextualSpacing/>
              <w:rPr>
                <w:b/>
              </w:rPr>
            </w:pPr>
          </w:p>
          <w:p w14:paraId="13D72CC2" w14:textId="7E9E1DBE" w:rsidR="00823FED" w:rsidRDefault="00823FED" w:rsidP="00EC4DCE">
            <w:pPr>
              <w:contextualSpacing/>
              <w:rPr>
                <w:b/>
              </w:rPr>
            </w:pPr>
            <w:r>
              <w:rPr>
                <w:b/>
              </w:rPr>
              <w:t>Table 6: Emergency department units</w:t>
            </w:r>
          </w:p>
          <w:tbl>
            <w:tblPr>
              <w:tblStyle w:val="TableGrid"/>
              <w:tblW w:w="8689" w:type="dxa"/>
              <w:tblLook w:val="04A0" w:firstRow="1" w:lastRow="0" w:firstColumn="1" w:lastColumn="0" w:noHBand="0" w:noVBand="1"/>
            </w:tblPr>
            <w:tblGrid>
              <w:gridCol w:w="4344"/>
              <w:gridCol w:w="4345"/>
            </w:tblGrid>
            <w:tr w:rsidR="00823FED" w14:paraId="531E784F"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40DCBBE2" w14:textId="77777777" w:rsidR="00823FED" w:rsidRDefault="00823FED" w:rsidP="00EC4DCE">
                  <w:pPr>
                    <w:contextualSpacing/>
                    <w:rPr>
                      <w:b/>
                    </w:rPr>
                  </w:pPr>
                  <w:r>
                    <w:rPr>
                      <w:b/>
                    </w:rPr>
                    <w:t>If your emergency department’s average number of visits in a month is…</w:t>
                  </w:r>
                </w:p>
              </w:tc>
              <w:tc>
                <w:tcPr>
                  <w:tcW w:w="4345" w:type="dxa"/>
                  <w:tcBorders>
                    <w:top w:val="single" w:sz="4" w:space="0" w:color="auto"/>
                    <w:left w:val="single" w:sz="4" w:space="0" w:color="auto"/>
                    <w:bottom w:val="single" w:sz="4" w:space="0" w:color="auto"/>
                    <w:right w:val="single" w:sz="4" w:space="0" w:color="auto"/>
                  </w:tcBorders>
                  <w:hideMark/>
                </w:tcPr>
                <w:p w14:paraId="6F20A9C9" w14:textId="77777777" w:rsidR="00823FED" w:rsidRDefault="00823FED" w:rsidP="00EC4DCE">
                  <w:pPr>
                    <w:contextualSpacing/>
                    <w:rPr>
                      <w:b/>
                    </w:rPr>
                  </w:pPr>
                  <w:r>
                    <w:rPr>
                      <w:b/>
                    </w:rPr>
                    <w:t>Your</w:t>
                  </w:r>
                  <w:r>
                    <w:rPr>
                      <w:b/>
                      <w:color w:val="FF0000"/>
                    </w:rPr>
                    <w:t xml:space="preserve"> patient care unit </w:t>
                  </w:r>
                  <w:r>
                    <w:rPr>
                      <w:b/>
                    </w:rPr>
                    <w:t xml:space="preserve">needs to collect hand hygiene compliance data for </w:t>
                  </w:r>
                  <w:r>
                    <w:rPr>
                      <w:b/>
                      <w:u w:val="single"/>
                    </w:rPr>
                    <w:t>at least</w:t>
                  </w:r>
                  <w:r>
                    <w:rPr>
                      <w:b/>
                    </w:rPr>
                    <w:t xml:space="preserve"> this number of </w:t>
                  </w:r>
                  <w:r>
                    <w:rPr>
                      <w:b/>
                      <w:u w:val="single"/>
                    </w:rPr>
                    <w:t xml:space="preserve">hand hygiene opportunities </w:t>
                  </w:r>
                  <w:r>
                    <w:rPr>
                      <w:b/>
                      <w:color w:val="FF0000"/>
                      <w:u w:val="single"/>
                    </w:rPr>
                    <w:t>per month</w:t>
                  </w:r>
                  <w:r w:rsidRPr="001B37FD">
                    <w:rPr>
                      <w:b/>
                    </w:rPr>
                    <w:t xml:space="preserve"> for question #</w:t>
                  </w:r>
                  <w:r>
                    <w:rPr>
                      <w:b/>
                    </w:rPr>
                    <w:t>9…</w:t>
                  </w:r>
                </w:p>
              </w:tc>
            </w:tr>
            <w:tr w:rsidR="00823FED" w14:paraId="67A78879"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52FA44F1" w14:textId="77777777" w:rsidR="00823FED" w:rsidRDefault="00823FED" w:rsidP="00EC4DCE">
                  <w:pPr>
                    <w:contextualSpacing/>
                  </w:pPr>
                  <w:r>
                    <w:t>2000 visits or greater</w:t>
                  </w:r>
                </w:p>
              </w:tc>
              <w:tc>
                <w:tcPr>
                  <w:tcW w:w="4345" w:type="dxa"/>
                  <w:tcBorders>
                    <w:top w:val="single" w:sz="4" w:space="0" w:color="auto"/>
                    <w:left w:val="single" w:sz="4" w:space="0" w:color="auto"/>
                    <w:bottom w:val="single" w:sz="4" w:space="0" w:color="auto"/>
                    <w:right w:val="single" w:sz="4" w:space="0" w:color="auto"/>
                  </w:tcBorders>
                  <w:hideMark/>
                </w:tcPr>
                <w:p w14:paraId="6633AE03" w14:textId="77777777" w:rsidR="00823FED" w:rsidRDefault="00823FED" w:rsidP="00EC4DCE">
                  <w:pPr>
                    <w:contextualSpacing/>
                  </w:pPr>
                  <w:r>
                    <w:t>100</w:t>
                  </w:r>
                </w:p>
              </w:tc>
            </w:tr>
            <w:tr w:rsidR="00823FED" w14:paraId="40F5E941"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212B6C91" w14:textId="77777777" w:rsidR="00823FED" w:rsidRDefault="00823FED" w:rsidP="00EC4DCE">
                  <w:pPr>
                    <w:contextualSpacing/>
                  </w:pPr>
                  <w:r>
                    <w:t>1500-1999 visits</w:t>
                  </w:r>
                </w:p>
              </w:tc>
              <w:tc>
                <w:tcPr>
                  <w:tcW w:w="4345" w:type="dxa"/>
                  <w:tcBorders>
                    <w:top w:val="single" w:sz="4" w:space="0" w:color="auto"/>
                    <w:left w:val="single" w:sz="4" w:space="0" w:color="auto"/>
                    <w:bottom w:val="single" w:sz="4" w:space="0" w:color="auto"/>
                    <w:right w:val="single" w:sz="4" w:space="0" w:color="auto"/>
                  </w:tcBorders>
                  <w:hideMark/>
                </w:tcPr>
                <w:p w14:paraId="19F0ABA7" w14:textId="77777777" w:rsidR="00823FED" w:rsidRDefault="00823FED" w:rsidP="00EC4DCE">
                  <w:pPr>
                    <w:contextualSpacing/>
                  </w:pPr>
                  <w:r>
                    <w:t>75</w:t>
                  </w:r>
                </w:p>
              </w:tc>
            </w:tr>
            <w:tr w:rsidR="00823FED" w14:paraId="2735BCEB"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3502364F" w14:textId="77777777" w:rsidR="00823FED" w:rsidRDefault="00823FED" w:rsidP="00EC4DCE">
                  <w:pPr>
                    <w:tabs>
                      <w:tab w:val="left" w:pos="1505"/>
                    </w:tabs>
                    <w:contextualSpacing/>
                  </w:pPr>
                  <w:r>
                    <w:t>1000-1499 visits</w:t>
                  </w:r>
                </w:p>
              </w:tc>
              <w:tc>
                <w:tcPr>
                  <w:tcW w:w="4345" w:type="dxa"/>
                  <w:tcBorders>
                    <w:top w:val="single" w:sz="4" w:space="0" w:color="auto"/>
                    <w:left w:val="single" w:sz="4" w:space="0" w:color="auto"/>
                    <w:bottom w:val="single" w:sz="4" w:space="0" w:color="auto"/>
                    <w:right w:val="single" w:sz="4" w:space="0" w:color="auto"/>
                  </w:tcBorders>
                  <w:hideMark/>
                </w:tcPr>
                <w:p w14:paraId="30EA4A6B" w14:textId="77777777" w:rsidR="00823FED" w:rsidRDefault="00823FED" w:rsidP="00EC4DCE">
                  <w:pPr>
                    <w:contextualSpacing/>
                  </w:pPr>
                  <w:r>
                    <w:t>50</w:t>
                  </w:r>
                </w:p>
              </w:tc>
            </w:tr>
            <w:tr w:rsidR="00823FED" w14:paraId="6EE9AE11"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539D593D" w14:textId="77777777" w:rsidR="00823FED" w:rsidRDefault="00823FED" w:rsidP="00EC4DCE">
                  <w:pPr>
                    <w:contextualSpacing/>
                  </w:pPr>
                  <w:r>
                    <w:t>750-999 visits</w:t>
                  </w:r>
                </w:p>
              </w:tc>
              <w:tc>
                <w:tcPr>
                  <w:tcW w:w="4345" w:type="dxa"/>
                  <w:tcBorders>
                    <w:top w:val="single" w:sz="4" w:space="0" w:color="auto"/>
                    <w:left w:val="single" w:sz="4" w:space="0" w:color="auto"/>
                    <w:bottom w:val="single" w:sz="4" w:space="0" w:color="auto"/>
                    <w:right w:val="single" w:sz="4" w:space="0" w:color="auto"/>
                  </w:tcBorders>
                  <w:hideMark/>
                </w:tcPr>
                <w:p w14:paraId="56755924" w14:textId="77777777" w:rsidR="00823FED" w:rsidRDefault="00823FED" w:rsidP="00EC4DCE">
                  <w:pPr>
                    <w:contextualSpacing/>
                  </w:pPr>
                  <w:r>
                    <w:t>37</w:t>
                  </w:r>
                </w:p>
              </w:tc>
            </w:tr>
            <w:tr w:rsidR="00823FED" w14:paraId="6A09EDD3" w14:textId="77777777" w:rsidTr="00EC4DCE">
              <w:trPr>
                <w:trHeight w:val="54"/>
              </w:trPr>
              <w:tc>
                <w:tcPr>
                  <w:tcW w:w="4344" w:type="dxa"/>
                  <w:tcBorders>
                    <w:top w:val="single" w:sz="4" w:space="0" w:color="auto"/>
                    <w:left w:val="single" w:sz="4" w:space="0" w:color="auto"/>
                    <w:bottom w:val="single" w:sz="4" w:space="0" w:color="auto"/>
                    <w:right w:val="single" w:sz="4" w:space="0" w:color="auto"/>
                  </w:tcBorders>
                  <w:hideMark/>
                </w:tcPr>
                <w:p w14:paraId="15C7A2E9" w14:textId="77777777" w:rsidR="00823FED" w:rsidRDefault="00823FED" w:rsidP="00EC4DCE">
                  <w:pPr>
                    <w:contextualSpacing/>
                  </w:pPr>
                  <w:r>
                    <w:t>500-749 visits</w:t>
                  </w:r>
                </w:p>
              </w:tc>
              <w:tc>
                <w:tcPr>
                  <w:tcW w:w="4345" w:type="dxa"/>
                  <w:tcBorders>
                    <w:top w:val="single" w:sz="4" w:space="0" w:color="auto"/>
                    <w:left w:val="single" w:sz="4" w:space="0" w:color="auto"/>
                    <w:bottom w:val="single" w:sz="4" w:space="0" w:color="auto"/>
                    <w:right w:val="single" w:sz="4" w:space="0" w:color="auto"/>
                  </w:tcBorders>
                  <w:hideMark/>
                </w:tcPr>
                <w:p w14:paraId="26C18B4E" w14:textId="77777777" w:rsidR="00823FED" w:rsidRDefault="00823FED" w:rsidP="00EC4DCE">
                  <w:pPr>
                    <w:contextualSpacing/>
                  </w:pPr>
                  <w:r>
                    <w:t>25</w:t>
                  </w:r>
                </w:p>
              </w:tc>
            </w:tr>
            <w:tr w:rsidR="00823FED" w14:paraId="37D33778" w14:textId="77777777" w:rsidTr="00EC4DCE">
              <w:tc>
                <w:tcPr>
                  <w:tcW w:w="4344" w:type="dxa"/>
                  <w:tcBorders>
                    <w:top w:val="single" w:sz="4" w:space="0" w:color="auto"/>
                    <w:left w:val="single" w:sz="4" w:space="0" w:color="auto"/>
                    <w:bottom w:val="single" w:sz="4" w:space="0" w:color="auto"/>
                    <w:right w:val="single" w:sz="4" w:space="0" w:color="auto"/>
                  </w:tcBorders>
                  <w:hideMark/>
                </w:tcPr>
                <w:p w14:paraId="19F5A43A" w14:textId="77777777" w:rsidR="00823FED" w:rsidRDefault="00823FED" w:rsidP="00EC4DCE">
                  <w:pPr>
                    <w:contextualSpacing/>
                  </w:pPr>
                  <w:r>
                    <w:t>250-499 visits</w:t>
                  </w:r>
                </w:p>
              </w:tc>
              <w:tc>
                <w:tcPr>
                  <w:tcW w:w="4345" w:type="dxa"/>
                  <w:tcBorders>
                    <w:top w:val="single" w:sz="4" w:space="0" w:color="auto"/>
                    <w:left w:val="single" w:sz="4" w:space="0" w:color="auto"/>
                    <w:bottom w:val="single" w:sz="4" w:space="0" w:color="auto"/>
                    <w:right w:val="single" w:sz="4" w:space="0" w:color="auto"/>
                  </w:tcBorders>
                  <w:hideMark/>
                </w:tcPr>
                <w:p w14:paraId="7FAA001C" w14:textId="77777777" w:rsidR="00823FED" w:rsidRDefault="00823FED" w:rsidP="00EC4DCE">
                  <w:pPr>
                    <w:contextualSpacing/>
                  </w:pPr>
                  <w:r>
                    <w:t>15</w:t>
                  </w:r>
                </w:p>
              </w:tc>
            </w:tr>
            <w:tr w:rsidR="00823FED" w14:paraId="4053EF27" w14:textId="77777777" w:rsidTr="00E53A63">
              <w:trPr>
                <w:trHeight w:val="144"/>
              </w:trPr>
              <w:tc>
                <w:tcPr>
                  <w:tcW w:w="4344" w:type="dxa"/>
                  <w:tcBorders>
                    <w:top w:val="single" w:sz="4" w:space="0" w:color="auto"/>
                    <w:left w:val="single" w:sz="4" w:space="0" w:color="auto"/>
                    <w:bottom w:val="single" w:sz="4" w:space="0" w:color="auto"/>
                    <w:right w:val="single" w:sz="4" w:space="0" w:color="auto"/>
                  </w:tcBorders>
                  <w:hideMark/>
                </w:tcPr>
                <w:p w14:paraId="3D03D5D4" w14:textId="77777777" w:rsidR="00823FED" w:rsidRDefault="00823FED" w:rsidP="00EC4DCE">
                  <w:pPr>
                    <w:contextualSpacing/>
                  </w:pPr>
                  <w:r>
                    <w:t>150-249 visits</w:t>
                  </w:r>
                </w:p>
              </w:tc>
              <w:tc>
                <w:tcPr>
                  <w:tcW w:w="4345" w:type="dxa"/>
                  <w:tcBorders>
                    <w:top w:val="single" w:sz="4" w:space="0" w:color="auto"/>
                    <w:left w:val="single" w:sz="4" w:space="0" w:color="auto"/>
                    <w:bottom w:val="single" w:sz="4" w:space="0" w:color="auto"/>
                    <w:right w:val="single" w:sz="4" w:space="0" w:color="auto"/>
                  </w:tcBorders>
                  <w:hideMark/>
                </w:tcPr>
                <w:p w14:paraId="572EFAAF" w14:textId="77777777" w:rsidR="00823FED" w:rsidRDefault="00823FED" w:rsidP="00EC4DCE">
                  <w:pPr>
                    <w:contextualSpacing/>
                  </w:pPr>
                  <w:r>
                    <w:t>7</w:t>
                  </w:r>
                </w:p>
              </w:tc>
            </w:tr>
            <w:tr w:rsidR="007C65AA" w14:paraId="35F4D360" w14:textId="77777777" w:rsidTr="00E53A63">
              <w:trPr>
                <w:trHeight w:val="144"/>
              </w:trPr>
              <w:tc>
                <w:tcPr>
                  <w:tcW w:w="4344" w:type="dxa"/>
                  <w:tcBorders>
                    <w:top w:val="single" w:sz="4" w:space="0" w:color="auto"/>
                    <w:left w:val="single" w:sz="4" w:space="0" w:color="auto"/>
                    <w:bottom w:val="single" w:sz="4" w:space="0" w:color="auto"/>
                    <w:right w:val="single" w:sz="4" w:space="0" w:color="auto"/>
                  </w:tcBorders>
                </w:tcPr>
                <w:p w14:paraId="7623B178" w14:textId="3A2D382B" w:rsidR="007C65AA" w:rsidRDefault="00B402FC" w:rsidP="00EC4DCE">
                  <w:pPr>
                    <w:contextualSpacing/>
                  </w:pPr>
                  <w:r>
                    <w:t>&lt;</w:t>
                  </w:r>
                  <w:r w:rsidR="007C65AA">
                    <w:t>150</w:t>
                  </w:r>
                  <w:r>
                    <w:t xml:space="preserve"> visits</w:t>
                  </w:r>
                </w:p>
              </w:tc>
              <w:tc>
                <w:tcPr>
                  <w:tcW w:w="4345" w:type="dxa"/>
                  <w:tcBorders>
                    <w:top w:val="single" w:sz="4" w:space="0" w:color="auto"/>
                    <w:left w:val="single" w:sz="4" w:space="0" w:color="auto"/>
                    <w:bottom w:val="single" w:sz="4" w:space="0" w:color="auto"/>
                    <w:right w:val="single" w:sz="4" w:space="0" w:color="auto"/>
                  </w:tcBorders>
                </w:tcPr>
                <w:p w14:paraId="525C31F1" w14:textId="73D0AEEC" w:rsidR="007C65AA" w:rsidRDefault="00B402FC" w:rsidP="00EC4DCE">
                  <w:pPr>
                    <w:contextualSpacing/>
                  </w:pPr>
                  <w:r>
                    <w:t>2</w:t>
                  </w:r>
                </w:p>
              </w:tc>
            </w:tr>
          </w:tbl>
          <w:p w14:paraId="646B1FF7" w14:textId="77777777" w:rsidR="00823FED" w:rsidRDefault="00823FED" w:rsidP="00EC4DCE">
            <w:pPr>
              <w:autoSpaceDE w:val="0"/>
              <w:autoSpaceDN w:val="0"/>
              <w:adjustRightInd w:val="0"/>
              <w:rPr>
                <w:rFonts w:cs="Arial"/>
                <w:b/>
                <w:bCs/>
                <w:sz w:val="16"/>
                <w:szCs w:val="16"/>
              </w:rPr>
            </w:pPr>
          </w:p>
          <w:p w14:paraId="6F0A945D" w14:textId="5C99E68D" w:rsidR="00B402FC" w:rsidRPr="00E53A63" w:rsidRDefault="00B402FC" w:rsidP="00EC4DCE">
            <w:pPr>
              <w:autoSpaceDE w:val="0"/>
              <w:autoSpaceDN w:val="0"/>
              <w:adjustRightInd w:val="0"/>
              <w:rPr>
                <w:rFonts w:cs="Arial"/>
                <w:b/>
                <w:bCs/>
                <w:sz w:val="16"/>
                <w:szCs w:val="16"/>
              </w:rPr>
            </w:pPr>
          </w:p>
        </w:tc>
      </w:tr>
      <w:tr w:rsidR="00823FED" w:rsidRPr="009A5185" w14:paraId="47E2CA96" w14:textId="77777777" w:rsidTr="00450934">
        <w:trPr>
          <w:trHeight w:val="521"/>
          <w:jc w:val="center"/>
        </w:trPr>
        <w:tc>
          <w:tcPr>
            <w:tcW w:w="9387" w:type="dxa"/>
            <w:vAlign w:val="center"/>
          </w:tcPr>
          <w:p w14:paraId="5E2A411A" w14:textId="77777777" w:rsidR="00823FED" w:rsidRDefault="00823FED" w:rsidP="00EC4DCE">
            <w:pPr>
              <w:autoSpaceDE w:val="0"/>
              <w:autoSpaceDN w:val="0"/>
              <w:adjustRightInd w:val="0"/>
              <w:rPr>
                <w:rFonts w:cs="Arial"/>
              </w:rPr>
            </w:pPr>
            <w:r>
              <w:rPr>
                <w:rFonts w:cs="Arial"/>
                <w:b/>
                <w:bCs/>
              </w:rPr>
              <w:lastRenderedPageBreak/>
              <w:t>Question #10:</w:t>
            </w:r>
            <w:r>
              <w:rPr>
                <w:rFonts w:cs="Arial"/>
              </w:rPr>
              <w:t xml:space="preserve"> </w:t>
            </w:r>
            <w:r w:rsidRPr="00A00D74">
              <w:rPr>
                <w:rFonts w:cs="Arial"/>
              </w:rPr>
              <w:t xml:space="preserve">Does your hospital collect hand hygiene compliance data on at least </w:t>
            </w:r>
            <w:r w:rsidRPr="00BC0D3C">
              <w:rPr>
                <w:rFonts w:cs="Arial"/>
                <w:b/>
                <w:bCs/>
              </w:rPr>
              <w:t xml:space="preserve">100 hand hygiene opportunities each </w:t>
            </w:r>
            <w:r w:rsidRPr="00BC0D3C">
              <w:rPr>
                <w:rFonts w:cs="Arial"/>
                <w:b/>
                <w:bCs/>
                <w:u w:val="single"/>
              </w:rPr>
              <w:t xml:space="preserve">quarter </w:t>
            </w:r>
            <w:r w:rsidRPr="00BC0D3C">
              <w:rPr>
                <w:rFonts w:cs="Arial"/>
                <w:b/>
                <w:bCs/>
              </w:rPr>
              <w:t xml:space="preserve">in each </w:t>
            </w:r>
            <w:r w:rsidRPr="00BC0D3C">
              <w:rPr>
                <w:rFonts w:cs="Arial"/>
                <w:b/>
                <w:bCs/>
                <w:u w:val="single"/>
              </w:rPr>
              <w:t>patient care unit</w:t>
            </w:r>
            <w:r w:rsidRPr="00A00D74">
              <w:rPr>
                <w:rFonts w:cs="Arial"/>
              </w:rPr>
              <w:t>?</w:t>
            </w:r>
          </w:p>
          <w:p w14:paraId="16107E14" w14:textId="77777777" w:rsidR="00823FED" w:rsidRPr="00481148" w:rsidRDefault="00823FED" w:rsidP="00EC4DCE">
            <w:pPr>
              <w:autoSpaceDE w:val="0"/>
              <w:autoSpaceDN w:val="0"/>
              <w:adjustRightInd w:val="0"/>
              <w:rPr>
                <w:rFonts w:cs="Arial"/>
                <w:sz w:val="16"/>
                <w:szCs w:val="16"/>
              </w:rPr>
            </w:pPr>
          </w:p>
          <w:p w14:paraId="11C193DE" w14:textId="402E4BF1" w:rsidR="00823FED" w:rsidRDefault="002D479A" w:rsidP="00EC4DCE">
            <w:pPr>
              <w:autoSpaceDE w:val="0"/>
              <w:autoSpaceDN w:val="0"/>
              <w:adjustRightInd w:val="0"/>
              <w:rPr>
                <w:rFonts w:cs="Arial"/>
              </w:rPr>
            </w:pPr>
            <w:r>
              <w:rPr>
                <w:rFonts w:cs="Arial"/>
              </w:rPr>
              <w:t xml:space="preserve">In order to </w:t>
            </w:r>
            <w:r w:rsidR="003C66B3">
              <w:rPr>
                <w:rFonts w:cs="Arial"/>
              </w:rPr>
              <w:t>respond</w:t>
            </w:r>
            <w:r>
              <w:rPr>
                <w:rFonts w:cs="Arial"/>
              </w:rPr>
              <w:t xml:space="preserve"> “yes” to question #10,</w:t>
            </w:r>
            <w:r w:rsidR="00B72F05">
              <w:rPr>
                <w:rFonts w:cs="Arial"/>
              </w:rPr>
              <w:t xml:space="preserve"> your</w:t>
            </w:r>
            <w:r>
              <w:rPr>
                <w:rFonts w:cs="Arial"/>
              </w:rPr>
              <w:t xml:space="preserve"> h</w:t>
            </w:r>
            <w:r w:rsidR="00823FED">
              <w:rPr>
                <w:rFonts w:cs="Arial"/>
              </w:rPr>
              <w:t>ospital</w:t>
            </w:r>
            <w:r>
              <w:rPr>
                <w:rFonts w:cs="Arial"/>
              </w:rPr>
              <w:t xml:space="preserve"> must</w:t>
            </w:r>
            <w:r w:rsidR="00823FED">
              <w:rPr>
                <w:rFonts w:cs="Arial"/>
              </w:rPr>
              <w:t xml:space="preserve"> monitor at least </w:t>
            </w:r>
            <w:r w:rsidR="00823FED">
              <w:rPr>
                <w:rFonts w:cs="Arial"/>
                <w:b/>
                <w:bCs/>
              </w:rPr>
              <w:t>1</w:t>
            </w:r>
            <w:r w:rsidR="00823FED" w:rsidRPr="00DC502B">
              <w:rPr>
                <w:rFonts w:cs="Arial"/>
                <w:b/>
                <w:bCs/>
              </w:rPr>
              <w:t>00 hand hygiene opportunities</w:t>
            </w:r>
            <w:r w:rsidR="00823FED">
              <w:rPr>
                <w:rFonts w:cs="Arial"/>
                <w:b/>
                <w:bCs/>
              </w:rPr>
              <w:t xml:space="preserve"> </w:t>
            </w:r>
            <w:r w:rsidR="00823FED" w:rsidRPr="00DC502B">
              <w:rPr>
                <w:rFonts w:cs="Arial"/>
                <w:b/>
                <w:bCs/>
              </w:rPr>
              <w:t xml:space="preserve">each </w:t>
            </w:r>
            <w:r w:rsidR="00823FED">
              <w:rPr>
                <w:rFonts w:cs="Arial"/>
                <w:b/>
                <w:bCs/>
                <w:u w:val="single"/>
              </w:rPr>
              <w:t>quarter</w:t>
            </w:r>
            <w:r w:rsidR="00823FED" w:rsidRPr="00DC502B">
              <w:rPr>
                <w:rFonts w:cs="Arial"/>
                <w:b/>
                <w:bCs/>
              </w:rPr>
              <w:t xml:space="preserve"> in each </w:t>
            </w:r>
            <w:r w:rsidR="00823FED" w:rsidRPr="00FC258A">
              <w:rPr>
                <w:rFonts w:cs="Arial"/>
                <w:b/>
                <w:bCs/>
                <w:u w:val="single"/>
              </w:rPr>
              <w:t>patient care unit</w:t>
            </w:r>
            <w:r w:rsidR="00823FED">
              <w:rPr>
                <w:rFonts w:cs="Arial"/>
                <w:b/>
                <w:bCs/>
              </w:rPr>
              <w:t xml:space="preserve"> </w:t>
            </w:r>
            <w:r w:rsidR="00823FED">
              <w:rPr>
                <w:rFonts w:cs="Arial"/>
              </w:rPr>
              <w:t>using either:</w:t>
            </w:r>
          </w:p>
          <w:p w14:paraId="13FE9060" w14:textId="216B2F21" w:rsidR="00440F2D" w:rsidRPr="00440F2D" w:rsidRDefault="00823FED" w:rsidP="00AD309C">
            <w:pPr>
              <w:pStyle w:val="ListParagraph"/>
              <w:numPr>
                <w:ilvl w:val="0"/>
                <w:numId w:val="204"/>
              </w:numPr>
              <w:autoSpaceDE w:val="0"/>
              <w:autoSpaceDN w:val="0"/>
              <w:adjustRightInd w:val="0"/>
              <w:rPr>
                <w:rFonts w:cs="Arial"/>
              </w:rPr>
            </w:pPr>
            <w:r w:rsidRPr="00440F2D">
              <w:rPr>
                <w:rFonts w:cs="Arial"/>
              </w:rPr>
              <w:t>An electronic compliance monitoring system throughout all patient care units</w:t>
            </w:r>
          </w:p>
          <w:p w14:paraId="7C86A80C" w14:textId="4F85EB79" w:rsidR="00440F2D" w:rsidRPr="00440F2D" w:rsidRDefault="00823FED" w:rsidP="00AD309C">
            <w:pPr>
              <w:pStyle w:val="ListParagraph"/>
              <w:numPr>
                <w:ilvl w:val="0"/>
                <w:numId w:val="204"/>
              </w:numPr>
              <w:autoSpaceDE w:val="0"/>
              <w:autoSpaceDN w:val="0"/>
              <w:adjustRightInd w:val="0"/>
              <w:rPr>
                <w:rFonts w:cs="Arial"/>
              </w:rPr>
            </w:pPr>
            <w:r w:rsidRPr="00440F2D">
              <w:rPr>
                <w:rFonts w:cs="Arial"/>
              </w:rPr>
              <w:t>An electronic compliance monitoring system throughout some patient care units and only direct observation in all other patient care units</w:t>
            </w:r>
          </w:p>
          <w:p w14:paraId="6BCC70B6" w14:textId="77777777" w:rsidR="00823FED" w:rsidRPr="00440F2D" w:rsidRDefault="00823FED" w:rsidP="00AD309C">
            <w:pPr>
              <w:pStyle w:val="ListParagraph"/>
              <w:numPr>
                <w:ilvl w:val="0"/>
                <w:numId w:val="204"/>
              </w:numPr>
              <w:autoSpaceDE w:val="0"/>
              <w:autoSpaceDN w:val="0"/>
              <w:adjustRightInd w:val="0"/>
              <w:rPr>
                <w:rFonts w:cs="Arial"/>
              </w:rPr>
            </w:pPr>
            <w:r w:rsidRPr="00440F2D">
              <w:rPr>
                <w:rFonts w:cs="Arial"/>
              </w:rPr>
              <w:t>Only direct observation throughout all patient care units</w:t>
            </w:r>
          </w:p>
          <w:p w14:paraId="1D0CDF65" w14:textId="77777777" w:rsidR="00823FED" w:rsidRPr="00481148" w:rsidRDefault="00823FED" w:rsidP="00EC4DCE">
            <w:pPr>
              <w:autoSpaceDE w:val="0"/>
              <w:autoSpaceDN w:val="0"/>
              <w:adjustRightInd w:val="0"/>
              <w:rPr>
                <w:rFonts w:cs="Arial"/>
                <w:sz w:val="16"/>
                <w:szCs w:val="16"/>
              </w:rPr>
            </w:pPr>
          </w:p>
          <w:p w14:paraId="1CD6A227" w14:textId="77777777" w:rsidR="00823FED" w:rsidRDefault="00823FED" w:rsidP="00EC4DCE">
            <w:pPr>
              <w:pStyle w:val="CommentText"/>
            </w:pPr>
            <w:r w:rsidRPr="00CB7625">
              <w:lastRenderedPageBreak/>
              <w:t>There are no alternate sample sizes for the quarterly requirement. Hospitals trying to meet the quarterly requirement in question #10 will need to monitor 100 hand hygiene opportunities a quarter.</w:t>
            </w:r>
          </w:p>
          <w:p w14:paraId="29DCBA07" w14:textId="77777777" w:rsidR="00E74CD8" w:rsidRDefault="00E74CD8" w:rsidP="00EC4DCE">
            <w:pPr>
              <w:pStyle w:val="CommentText"/>
            </w:pPr>
          </w:p>
          <w:p w14:paraId="11E2E11D" w14:textId="3EE99BD0" w:rsidR="00E74CD8" w:rsidRPr="00790BCB" w:rsidRDefault="00E74CD8" w:rsidP="00EC4DCE">
            <w:pPr>
              <w:pStyle w:val="CommentText"/>
            </w:pPr>
            <w:r>
              <w:t>Units/areas c</w:t>
            </w:r>
            <w:r w:rsidR="00157FDB">
              <w:t>an</w:t>
            </w:r>
            <w:r>
              <w:t xml:space="preserve"> be combined </w:t>
            </w:r>
            <w:r w:rsidRPr="00915847">
              <w:t xml:space="preserve">for the purposes of determining if you have met the monthly or quarterly monitoring sample size </w:t>
            </w:r>
            <w:r>
              <w:t>if</w:t>
            </w:r>
            <w:r w:rsidRPr="00915847">
              <w:t xml:space="preserve"> they share a common group of staff</w:t>
            </w:r>
            <w:r>
              <w:t xml:space="preserve"> (</w:t>
            </w:r>
            <w:r w:rsidRPr="00915847">
              <w:t xml:space="preserve">i.e., staff are scheduled to work in the broader area and float between units </w:t>
            </w:r>
            <w:r>
              <w:t>or</w:t>
            </w:r>
            <w:r w:rsidRPr="00915847">
              <w:t xml:space="preserve"> staff may be scheduled to work either unit on any given day</w:t>
            </w:r>
            <w:r>
              <w:t>)</w:t>
            </w:r>
            <w:r w:rsidRPr="00915847">
              <w:t>.</w:t>
            </w:r>
            <w:r>
              <w:t xml:space="preserve"> Hand hygiene opportunities would still need to be monitored throughout both units/areas.</w:t>
            </w:r>
          </w:p>
        </w:tc>
      </w:tr>
      <w:tr w:rsidR="00823FED" w:rsidRPr="009A5185" w14:paraId="42A87541" w14:textId="77777777" w:rsidTr="00481148">
        <w:trPr>
          <w:trHeight w:val="20"/>
          <w:jc w:val="center"/>
        </w:trPr>
        <w:tc>
          <w:tcPr>
            <w:tcW w:w="9387" w:type="dxa"/>
          </w:tcPr>
          <w:p w14:paraId="6282A70B" w14:textId="77777777" w:rsidR="00823FED" w:rsidRDefault="00823FED" w:rsidP="00EC4DCE">
            <w:pPr>
              <w:autoSpaceDE w:val="0"/>
              <w:autoSpaceDN w:val="0"/>
              <w:adjustRightInd w:val="0"/>
              <w:rPr>
                <w:rFonts w:cs="Arial"/>
              </w:rPr>
            </w:pPr>
            <w:r>
              <w:rPr>
                <w:rFonts w:cs="Arial"/>
                <w:b/>
                <w:bCs/>
              </w:rPr>
              <w:lastRenderedPageBreak/>
              <w:t>Question #12:</w:t>
            </w:r>
            <w:r>
              <w:rPr>
                <w:rFonts w:cs="Arial"/>
              </w:rPr>
              <w:t xml:space="preserve"> </w:t>
            </w:r>
            <w:r w:rsidRPr="00A00D74">
              <w:rPr>
                <w:rFonts w:cs="Arial"/>
              </w:rPr>
              <w:t>In those patient care units where an electronic compliance monitoring system is used, does the monitoring system used meet both of the following criteria?</w:t>
            </w:r>
          </w:p>
          <w:p w14:paraId="494F46EF" w14:textId="77777777" w:rsidR="00823FED" w:rsidRDefault="00823FED" w:rsidP="00AD309C">
            <w:pPr>
              <w:pStyle w:val="ListParagraph"/>
              <w:numPr>
                <w:ilvl w:val="0"/>
                <w:numId w:val="198"/>
              </w:numPr>
              <w:autoSpaceDE w:val="0"/>
              <w:autoSpaceDN w:val="0"/>
              <w:adjustRightInd w:val="0"/>
              <w:rPr>
                <w:rFonts w:cs="Arial"/>
              </w:rPr>
            </w:pPr>
            <w:r w:rsidRPr="00A00D74">
              <w:rPr>
                <w:rFonts w:cs="Arial"/>
              </w:rPr>
              <w:t>The system can identify both opportunities for hand hygiene and that hand hygiene was performed</w:t>
            </w:r>
          </w:p>
          <w:p w14:paraId="495BBDD1" w14:textId="4FE7B205" w:rsidR="00823FED" w:rsidRPr="00E53A63" w:rsidRDefault="00823FED" w:rsidP="00AD309C">
            <w:pPr>
              <w:pStyle w:val="ListParagraph"/>
              <w:numPr>
                <w:ilvl w:val="0"/>
                <w:numId w:val="198"/>
              </w:numPr>
              <w:autoSpaceDE w:val="0"/>
              <w:autoSpaceDN w:val="0"/>
              <w:adjustRightInd w:val="0"/>
              <w:rPr>
                <w:rFonts w:cs="Arial"/>
                <w:sz w:val="16"/>
                <w:szCs w:val="16"/>
              </w:rPr>
            </w:pPr>
            <w:r w:rsidRPr="00A00D74">
              <w:rPr>
                <w:rFonts w:cs="Arial"/>
              </w:rPr>
              <w:t>The hospital itself has validated the accuracy of the data collected by the electronic compliance monitoring system</w:t>
            </w:r>
          </w:p>
          <w:p w14:paraId="7D9C1F32" w14:textId="6E8B2B1C" w:rsidR="00887651" w:rsidRDefault="00B72F05" w:rsidP="00EC4DCE">
            <w:pPr>
              <w:autoSpaceDE w:val="0"/>
              <w:autoSpaceDN w:val="0"/>
              <w:adjustRightInd w:val="0"/>
              <w:rPr>
                <w:rFonts w:cs="Arial"/>
              </w:rPr>
            </w:pPr>
            <w:r>
              <w:rPr>
                <w:rFonts w:cs="Arial"/>
              </w:rPr>
              <w:t>In order to respond “yes” to question #12, the e</w:t>
            </w:r>
            <w:r w:rsidR="00823FED">
              <w:rPr>
                <w:rFonts w:cs="Arial"/>
              </w:rPr>
              <w:t>lectronic monitoring system</w:t>
            </w:r>
            <w:r>
              <w:rPr>
                <w:rFonts w:cs="Arial"/>
              </w:rPr>
              <w:t xml:space="preserve"> in use </w:t>
            </w:r>
            <w:r w:rsidR="00823FED">
              <w:rPr>
                <w:rFonts w:cs="Arial"/>
              </w:rPr>
              <w:t>must identify both opportunities and that hand hygiene was performed, which could include both g</w:t>
            </w:r>
            <w:r w:rsidR="00823FED" w:rsidRPr="003E3AFA">
              <w:rPr>
                <w:rFonts w:cs="Arial"/>
              </w:rPr>
              <w:t xml:space="preserve">roup monitoring systems and badge-based systems. </w:t>
            </w:r>
          </w:p>
          <w:p w14:paraId="6EEC4277" w14:textId="77777777" w:rsidR="00887651" w:rsidRPr="00481148" w:rsidRDefault="00887651" w:rsidP="00EC4DCE">
            <w:pPr>
              <w:autoSpaceDE w:val="0"/>
              <w:autoSpaceDN w:val="0"/>
              <w:adjustRightInd w:val="0"/>
              <w:rPr>
                <w:rFonts w:cs="Arial"/>
                <w:sz w:val="16"/>
                <w:szCs w:val="16"/>
              </w:rPr>
            </w:pPr>
          </w:p>
          <w:p w14:paraId="5F8DE847" w14:textId="6DE46B10" w:rsidR="00823FED" w:rsidRDefault="00823FED" w:rsidP="00EC4DCE">
            <w:pPr>
              <w:autoSpaceDE w:val="0"/>
              <w:autoSpaceDN w:val="0"/>
              <w:adjustRightInd w:val="0"/>
              <w:rPr>
                <w:rFonts w:cs="Arial"/>
              </w:rPr>
            </w:pPr>
            <w:r w:rsidRPr="003E3AFA">
              <w:rPr>
                <w:rFonts w:cs="Arial"/>
              </w:rPr>
              <w:t>For example, an electronic monitoring system that records when an individual (not identified) enters and exits a room and also records if a dispenser was used within the same time frame, would qualify as the entry and exit is used as a proxy for a hand hygiene opportunity (before and after touching a patient) and the dispenser use is used as a proxy for a hand hygiene event. This data can be adjusted to take visitors into account and used to estimate hand hygiene compliance. Another example would be a badge-based system where individuals or their roles can be identified.</w:t>
            </w:r>
          </w:p>
          <w:p w14:paraId="6214D537" w14:textId="77777777" w:rsidR="00823FED" w:rsidRPr="00481148" w:rsidRDefault="00823FED" w:rsidP="00EC4DCE">
            <w:pPr>
              <w:autoSpaceDE w:val="0"/>
              <w:autoSpaceDN w:val="0"/>
              <w:adjustRightInd w:val="0"/>
              <w:rPr>
                <w:rFonts w:cs="Arial"/>
                <w:sz w:val="16"/>
                <w:szCs w:val="16"/>
              </w:rPr>
            </w:pPr>
          </w:p>
          <w:p w14:paraId="0E5DE1B4" w14:textId="07EBAB6E" w:rsidR="00823FED" w:rsidRPr="00790BCB" w:rsidRDefault="000F2E52" w:rsidP="00FC258A">
            <w:pPr>
              <w:pStyle w:val="ListParagraph"/>
              <w:ind w:left="0"/>
              <w:rPr>
                <w:sz w:val="10"/>
                <w:szCs w:val="10"/>
              </w:rPr>
            </w:pPr>
            <w:r>
              <w:rPr>
                <w:rFonts w:cs="Arial"/>
              </w:rPr>
              <w:t>In addition, v</w:t>
            </w:r>
            <w:r w:rsidR="00823FED">
              <w:rPr>
                <w:rFonts w:cs="Arial"/>
              </w:rPr>
              <w:t>alidation of the accuracy of the data collected by the electronic compliance monitoring syste</w:t>
            </w:r>
            <w:r w:rsidR="00FC258A">
              <w:rPr>
                <w:rFonts w:cs="Arial"/>
              </w:rPr>
              <w:t xml:space="preserve">m must </w:t>
            </w:r>
            <w:r w:rsidR="00823FED" w:rsidRPr="00FA6B75">
              <w:t xml:space="preserve">be performed by hospital personnel or independent </w:t>
            </w:r>
            <w:r w:rsidR="00823FED">
              <w:t>third</w:t>
            </w:r>
            <w:r w:rsidR="00823FED" w:rsidRPr="00FA6B75">
              <w:t xml:space="preserve">-party personnel, in addition to any validation conducted by the manufacturer. It </w:t>
            </w:r>
            <w:r w:rsidR="00FC258A">
              <w:t>needs to</w:t>
            </w:r>
            <w:r w:rsidR="00823FED" w:rsidRPr="00FA6B75">
              <w:t xml:space="preserve"> include both a "planned path</w:t>
            </w:r>
            <w:r w:rsidR="00823FED">
              <w:t>”</w:t>
            </w:r>
            <w:r w:rsidR="00823FED" w:rsidRPr="00FA6B75">
              <w:t xml:space="preserve"> phase where the researcher(s) make timed observations of room entries and exits and use of dispensers and compare their results to data recorded by the </w:t>
            </w:r>
            <w:r w:rsidR="00823FED">
              <w:t>electronic compliance monitoring</w:t>
            </w:r>
            <w:r w:rsidR="00823FED" w:rsidRPr="00FA6B75">
              <w:t xml:space="preserve"> system. Followed by a "behavioral path" </w:t>
            </w:r>
            <w:r w:rsidR="00823FED">
              <w:t xml:space="preserve">phase </w:t>
            </w:r>
            <w:r w:rsidR="00823FED" w:rsidRPr="00FA6B75">
              <w:t>where observers record the same variables when</w:t>
            </w:r>
            <w:r w:rsidR="00823FED">
              <w:t xml:space="preserve"> individuals who touch patients or who touch items that will be used by patients</w:t>
            </w:r>
            <w:r w:rsidR="00823FED" w:rsidRPr="00FA6B75">
              <w:t xml:space="preserve"> are performing their usual duties, as this tends to be more chaotic and variable. A general validation protocol that can be used for both group monitoring systems and badge-based systems has been described in a fair amount of detail</w:t>
            </w:r>
            <w:r w:rsidR="00823FED">
              <w:t xml:space="preserve"> in</w:t>
            </w:r>
            <w:r w:rsidR="00823FED" w:rsidRPr="00FA6B75">
              <w:t xml:space="preserve"> the 2016 article by Limper H et al. Similar methods for conducting validation studies of badge-based system have been described by Pineles LL, et al</w:t>
            </w:r>
            <w:r w:rsidR="003701F1">
              <w:t>.</w:t>
            </w:r>
            <w:r w:rsidR="00823FED" w:rsidRPr="00FA6B75">
              <w:t xml:space="preserve"> in 2014, and by Doll ME et al. in 2019.</w:t>
            </w:r>
            <w:r w:rsidR="005D628A">
              <w:t xml:space="preserve"> The 2023 article from Parker et al. regarding sample sizes for the validation can also be referenced.</w:t>
            </w:r>
            <w:r w:rsidR="00823FED">
              <w:rPr>
                <w:sz w:val="18"/>
                <w:szCs w:val="18"/>
              </w:rPr>
              <w:br/>
            </w:r>
          </w:p>
        </w:tc>
      </w:tr>
      <w:tr w:rsidR="00823FED" w:rsidRPr="009A5185" w14:paraId="5056DE7F" w14:textId="77777777" w:rsidTr="00C37D4D">
        <w:trPr>
          <w:trHeight w:val="864"/>
          <w:jc w:val="center"/>
        </w:trPr>
        <w:tc>
          <w:tcPr>
            <w:tcW w:w="9387" w:type="dxa"/>
          </w:tcPr>
          <w:p w14:paraId="53A727A9" w14:textId="3DE99A7D" w:rsidR="00823FED" w:rsidRDefault="00823FED" w:rsidP="00EC4DCE">
            <w:pPr>
              <w:autoSpaceDE w:val="0"/>
              <w:autoSpaceDN w:val="0"/>
              <w:adjustRightInd w:val="0"/>
              <w:rPr>
                <w:rFonts w:cs="Arial"/>
              </w:rPr>
            </w:pPr>
            <w:r>
              <w:rPr>
                <w:rFonts w:cs="Arial"/>
                <w:b/>
                <w:bCs/>
              </w:rPr>
              <w:t xml:space="preserve">Question #13: </w:t>
            </w:r>
            <w:r w:rsidRPr="00A00D74">
              <w:rPr>
                <w:rFonts w:cs="Arial"/>
              </w:rPr>
              <w:t>In those patient care units where an electronic compliance monitoring system is used, are direct observations also conducted for coaching and intervention purposes that meet all the following criteria?</w:t>
            </w:r>
          </w:p>
          <w:p w14:paraId="4EA9718F" w14:textId="77777777" w:rsidR="00823FED" w:rsidRPr="00A00D74" w:rsidRDefault="00823FED" w:rsidP="00AD309C">
            <w:pPr>
              <w:pStyle w:val="ListParagraph"/>
              <w:numPr>
                <w:ilvl w:val="0"/>
                <w:numId w:val="199"/>
              </w:numPr>
              <w:autoSpaceDE w:val="0"/>
              <w:autoSpaceDN w:val="0"/>
              <w:adjustRightInd w:val="0"/>
              <w:rPr>
                <w:rFonts w:cs="Arial"/>
              </w:rPr>
            </w:pPr>
            <w:r w:rsidRPr="00A00D74">
              <w:rPr>
                <w:rFonts w:cs="Arial"/>
              </w:rPr>
              <w:t>Observers immediately intervene prior to any harm occurring to provide non-compliant individuals with immediate feedback</w:t>
            </w:r>
          </w:p>
          <w:p w14:paraId="55765BC1" w14:textId="77777777" w:rsidR="00823FED" w:rsidRPr="00A00D74" w:rsidRDefault="00823FED" w:rsidP="00AD309C">
            <w:pPr>
              <w:pStyle w:val="ListParagraph"/>
              <w:numPr>
                <w:ilvl w:val="0"/>
                <w:numId w:val="199"/>
              </w:numPr>
              <w:autoSpaceDE w:val="0"/>
              <w:autoSpaceDN w:val="0"/>
              <w:adjustRightInd w:val="0"/>
              <w:rPr>
                <w:rFonts w:cs="Arial"/>
              </w:rPr>
            </w:pPr>
            <w:r w:rsidRPr="00A00D74">
              <w:rPr>
                <w:rFonts w:cs="Arial"/>
              </w:rPr>
              <w:t>Observations identify both opportunities for hand hygiene and compliance with those opportunities</w:t>
            </w:r>
          </w:p>
          <w:p w14:paraId="38AAEF07" w14:textId="77777777" w:rsidR="00823FED" w:rsidRPr="00A00D74" w:rsidRDefault="00823FED" w:rsidP="00AD309C">
            <w:pPr>
              <w:pStyle w:val="ListParagraph"/>
              <w:numPr>
                <w:ilvl w:val="0"/>
                <w:numId w:val="199"/>
              </w:numPr>
              <w:autoSpaceDE w:val="0"/>
              <w:autoSpaceDN w:val="0"/>
              <w:adjustRightInd w:val="0"/>
              <w:rPr>
                <w:rFonts w:cs="Arial"/>
              </w:rPr>
            </w:pPr>
            <w:r w:rsidRPr="00A00D74">
              <w:rPr>
                <w:rFonts w:cs="Arial"/>
              </w:rPr>
              <w:t>Observations determine who practiced hand hygiene, verify when they practiced it, and whether their technique was correct</w:t>
            </w:r>
          </w:p>
          <w:p w14:paraId="10A0B94F" w14:textId="6D8CA6D8" w:rsidR="00823FED" w:rsidRPr="00A00D74" w:rsidRDefault="00823FED" w:rsidP="00AD309C">
            <w:pPr>
              <w:pStyle w:val="ListParagraph"/>
              <w:numPr>
                <w:ilvl w:val="0"/>
                <w:numId w:val="199"/>
              </w:numPr>
              <w:autoSpaceDE w:val="0"/>
              <w:autoSpaceDN w:val="0"/>
              <w:adjustRightInd w:val="0"/>
              <w:rPr>
                <w:rFonts w:cs="Arial"/>
              </w:rPr>
            </w:pPr>
            <w:r w:rsidRPr="00A00D74">
              <w:rPr>
                <w:rFonts w:cs="Arial"/>
              </w:rPr>
              <w:t xml:space="preserve">Observations within a unit are conducted weekly or monthly across all shifts and on all days of the week proportional to the number of </w:t>
            </w:r>
            <w:hyperlink w:anchor="HHtouchpatientsendnote" w:history="1">
              <w:r w:rsidRPr="00A00D74">
                <w:rPr>
                  <w:rStyle w:val="Hyperlink"/>
                  <w:rFonts w:cs="Arial"/>
                </w:rPr>
                <w:t>individuals who touch patients or who touch items that will be used by patients</w:t>
              </w:r>
            </w:hyperlink>
            <w:r w:rsidR="00C24018">
              <w:fldChar w:fldCharType="begin"/>
            </w:r>
            <w:r w:rsidR="00C24018">
              <w:rPr>
                <w:rStyle w:val="Hyperlink"/>
                <w:rFonts w:cs="Arial"/>
              </w:rPr>
              <w:instrText xml:space="preserve"> NOTEREF _Ref131591135 \f \h </w:instrText>
            </w:r>
            <w:r w:rsidR="00C24018">
              <w:fldChar w:fldCharType="separate"/>
            </w:r>
            <w:r w:rsidR="007D53A2" w:rsidRPr="000E4F8B">
              <w:rPr>
                <w:rStyle w:val="EndnoteReference"/>
              </w:rPr>
              <w:t>44</w:t>
            </w:r>
            <w:r w:rsidR="00C24018">
              <w:fldChar w:fldCharType="end"/>
            </w:r>
            <w:r w:rsidRPr="00A00D74">
              <w:rPr>
                <w:rFonts w:cs="Arial"/>
              </w:rPr>
              <w:t xml:space="preserve"> on duty for that shift</w:t>
            </w:r>
          </w:p>
          <w:p w14:paraId="00F1D668" w14:textId="47E9A3E8" w:rsidR="00823FED" w:rsidRPr="00A00D74" w:rsidRDefault="00823FED" w:rsidP="00AD309C">
            <w:pPr>
              <w:pStyle w:val="ListParagraph"/>
              <w:numPr>
                <w:ilvl w:val="0"/>
                <w:numId w:val="199"/>
              </w:numPr>
              <w:autoSpaceDE w:val="0"/>
              <w:autoSpaceDN w:val="0"/>
              <w:adjustRightInd w:val="0"/>
              <w:rPr>
                <w:rFonts w:cs="Arial"/>
              </w:rPr>
            </w:pPr>
            <w:r w:rsidRPr="00A00D74">
              <w:rPr>
                <w:rFonts w:cs="Arial"/>
              </w:rPr>
              <w:t xml:space="preserve">Observations capture a representative sample of the different roles of </w:t>
            </w:r>
            <w:hyperlink w:anchor="HHtouchpatientsendnote" w:history="1">
              <w:r w:rsidRPr="00A00D74">
                <w:rPr>
                  <w:rStyle w:val="Hyperlink"/>
                  <w:rFonts w:cs="Arial"/>
                </w:rPr>
                <w:t>individuals who touch patients or who touch items that will be used by patients</w:t>
              </w:r>
            </w:hyperlink>
            <w:r w:rsidR="00E82AD0">
              <w:fldChar w:fldCharType="begin"/>
            </w:r>
            <w:r w:rsidR="00E82AD0">
              <w:rPr>
                <w:rStyle w:val="Hyperlink"/>
                <w:rFonts w:cs="Arial"/>
              </w:rPr>
              <w:instrText xml:space="preserve"> NOTEREF _Ref131591135 \f \h </w:instrText>
            </w:r>
            <w:r w:rsidR="00E82AD0">
              <w:fldChar w:fldCharType="separate"/>
            </w:r>
            <w:r w:rsidR="007D53A2" w:rsidRPr="000E4F8B">
              <w:rPr>
                <w:rStyle w:val="EndnoteReference"/>
              </w:rPr>
              <w:t>44</w:t>
            </w:r>
            <w:r w:rsidR="00E82AD0">
              <w:fldChar w:fldCharType="end"/>
            </w:r>
            <w:r w:rsidRPr="00A00D74">
              <w:rPr>
                <w:rFonts w:cs="Arial"/>
              </w:rPr>
              <w:t xml:space="preserve"> (e.g., nurses, physicians, techs, environmental services workers)</w:t>
            </w:r>
          </w:p>
          <w:p w14:paraId="1A9F1A51" w14:textId="77777777" w:rsidR="00823FED" w:rsidRPr="00481148" w:rsidRDefault="00823FED" w:rsidP="00EC4DCE">
            <w:pPr>
              <w:autoSpaceDE w:val="0"/>
              <w:autoSpaceDN w:val="0"/>
              <w:adjustRightInd w:val="0"/>
              <w:rPr>
                <w:rFonts w:cs="Arial"/>
                <w:b/>
                <w:bCs/>
                <w:sz w:val="16"/>
                <w:szCs w:val="16"/>
              </w:rPr>
            </w:pPr>
          </w:p>
          <w:p w14:paraId="66391609" w14:textId="7BA4F508" w:rsidR="00823FED" w:rsidRDefault="005F0A97" w:rsidP="00EC4DCE">
            <w:pPr>
              <w:autoSpaceDE w:val="0"/>
              <w:autoSpaceDN w:val="0"/>
              <w:adjustRightInd w:val="0"/>
              <w:rPr>
                <w:rFonts w:cs="Arial"/>
              </w:rPr>
            </w:pPr>
            <w:r>
              <w:rPr>
                <w:rFonts w:cs="Arial"/>
              </w:rPr>
              <w:t>In order to respond “yes</w:t>
            </w:r>
            <w:r w:rsidR="00E724B9">
              <w:rPr>
                <w:rFonts w:cs="Arial"/>
              </w:rPr>
              <w:t>”</w:t>
            </w:r>
            <w:r>
              <w:rPr>
                <w:rFonts w:cs="Arial"/>
              </w:rPr>
              <w:t xml:space="preserve"> to question #13, </w:t>
            </w:r>
            <w:r w:rsidR="00823FED">
              <w:rPr>
                <w:rFonts w:cs="Arial"/>
              </w:rPr>
              <w:t>direct observations must be conducted for coaching and intervention purposes an</w:t>
            </w:r>
            <w:r w:rsidR="003A3BA8">
              <w:rPr>
                <w:rFonts w:cs="Arial"/>
              </w:rPr>
              <w:t>d</w:t>
            </w:r>
            <w:r w:rsidR="00823FED">
              <w:rPr>
                <w:rFonts w:cs="Arial"/>
              </w:rPr>
              <w:t xml:space="preserve"> meet the following sample size</w:t>
            </w:r>
            <w:r w:rsidR="003A3BA8">
              <w:rPr>
                <w:rFonts w:cs="Arial"/>
              </w:rPr>
              <w:t>s</w:t>
            </w:r>
            <w:r w:rsidR="00823FED">
              <w:rPr>
                <w:rFonts w:cs="Arial"/>
              </w:rPr>
              <w:t xml:space="preserve"> at a minimum:</w:t>
            </w:r>
          </w:p>
          <w:p w14:paraId="23578F15" w14:textId="77777777" w:rsidR="00AF07E8" w:rsidRPr="00481148" w:rsidRDefault="00AF07E8" w:rsidP="00EC4DCE">
            <w:pPr>
              <w:autoSpaceDE w:val="0"/>
              <w:autoSpaceDN w:val="0"/>
              <w:adjustRightInd w:val="0"/>
              <w:rPr>
                <w:rFonts w:cs="Arial"/>
                <w:sz w:val="16"/>
                <w:szCs w:val="16"/>
              </w:rPr>
            </w:pPr>
          </w:p>
          <w:p w14:paraId="370F4BEF" w14:textId="19B8AE2D" w:rsidR="00823FED" w:rsidRPr="004B06A4" w:rsidRDefault="00823FED" w:rsidP="00EC4DCE">
            <w:pPr>
              <w:autoSpaceDE w:val="0"/>
              <w:autoSpaceDN w:val="0"/>
              <w:adjustRightInd w:val="0"/>
              <w:rPr>
                <w:rFonts w:cs="Arial"/>
                <w:b/>
                <w:bCs/>
              </w:rPr>
            </w:pPr>
            <w:r w:rsidRPr="001B37FD">
              <w:rPr>
                <w:b/>
                <w:bCs/>
              </w:rPr>
              <w:t xml:space="preserve">In units with </w:t>
            </w:r>
            <w:r w:rsidR="000D7158">
              <w:rPr>
                <w:b/>
                <w:bCs/>
              </w:rPr>
              <w:t xml:space="preserve">either </w:t>
            </w:r>
            <w:r w:rsidRPr="001B37FD">
              <w:rPr>
                <w:b/>
                <w:bCs/>
              </w:rPr>
              <w:t>low hand hygiene compliance</w:t>
            </w:r>
            <w:r w:rsidR="00E52EF1">
              <w:rPr>
                <w:b/>
                <w:bCs/>
              </w:rPr>
              <w:t>*</w:t>
            </w:r>
            <w:r w:rsidRPr="001B37FD">
              <w:rPr>
                <w:b/>
                <w:bCs/>
              </w:rPr>
              <w:t xml:space="preserve"> and/or units with high infection rates</w:t>
            </w:r>
            <w:r w:rsidR="00B279E6">
              <w:rPr>
                <w:b/>
                <w:bCs/>
              </w:rPr>
              <w:t>**</w:t>
            </w:r>
            <w:r w:rsidR="00EF456F">
              <w:rPr>
                <w:b/>
                <w:bCs/>
              </w:rPr>
              <w:t>:</w:t>
            </w:r>
          </w:p>
          <w:p w14:paraId="099B6762" w14:textId="2834AA6F" w:rsidR="003A3BA8" w:rsidRPr="00E527A5" w:rsidRDefault="00823FED" w:rsidP="00AD309C">
            <w:pPr>
              <w:pStyle w:val="EndnoteText"/>
              <w:numPr>
                <w:ilvl w:val="0"/>
                <w:numId w:val="205"/>
              </w:numPr>
              <w:spacing w:before="120"/>
              <w:rPr>
                <w:bCs/>
              </w:rPr>
            </w:pPr>
            <w:r w:rsidRPr="00E527A5">
              <w:rPr>
                <w:bCs/>
              </w:rPr>
              <w:t>On a </w:t>
            </w:r>
            <w:r w:rsidRPr="00E527A5">
              <w:rPr>
                <w:bCs/>
                <w:u w:val="single"/>
              </w:rPr>
              <w:t>monthly</w:t>
            </w:r>
            <w:r w:rsidRPr="00E527A5">
              <w:rPr>
                <w:bCs/>
              </w:rPr>
              <w:t> basis, hospitals will need to perform 20 direct observations.</w:t>
            </w:r>
          </w:p>
          <w:p w14:paraId="26BA4AD5" w14:textId="29DDF7E7" w:rsidR="003A3BA8" w:rsidRPr="003A3BA8" w:rsidRDefault="00823FED" w:rsidP="00AD309C">
            <w:pPr>
              <w:pStyle w:val="EndnoteText"/>
              <w:numPr>
                <w:ilvl w:val="0"/>
                <w:numId w:val="205"/>
              </w:numPr>
              <w:spacing w:before="120"/>
              <w:rPr>
                <w:bCs/>
              </w:rPr>
            </w:pPr>
            <w:r w:rsidRPr="003A3BA8">
              <w:rPr>
                <w:bCs/>
              </w:rPr>
              <w:lastRenderedPageBreak/>
              <w:t>If after collecting those observations, </w:t>
            </w:r>
            <w:r w:rsidRPr="003A3BA8">
              <w:rPr>
                <w:bCs/>
                <w:u w:val="single"/>
              </w:rPr>
              <w:t>more than 50%</w:t>
            </w:r>
            <w:r w:rsidRPr="003A3BA8">
              <w:rPr>
                <w:bCs/>
              </w:rPr>
              <w:t> of the observations were NOT compliant and/or did NOT demonstrate proper technique, the hospital will need to perform an additional 20 observations the following month (40 total observations per unit with low hand hygiene compliance or high infection rates). </w:t>
            </w:r>
          </w:p>
          <w:p w14:paraId="2EA339BD" w14:textId="21B5FFFB" w:rsidR="00823FED" w:rsidRPr="003A3BA8" w:rsidRDefault="00823FED" w:rsidP="00AD309C">
            <w:pPr>
              <w:pStyle w:val="EndnoteText"/>
              <w:numPr>
                <w:ilvl w:val="0"/>
                <w:numId w:val="205"/>
              </w:numPr>
              <w:spacing w:before="120"/>
              <w:rPr>
                <w:bCs/>
              </w:rPr>
            </w:pPr>
            <w:r w:rsidRPr="003A3BA8">
              <w:rPr>
                <w:bCs/>
              </w:rPr>
              <w:t xml:space="preserve">The hospital </w:t>
            </w:r>
            <w:r w:rsidR="00A77239">
              <w:rPr>
                <w:bCs/>
              </w:rPr>
              <w:t>must</w:t>
            </w:r>
            <w:r w:rsidRPr="003A3BA8">
              <w:rPr>
                <w:bCs/>
              </w:rPr>
              <w:t xml:space="preserve"> continue to collect 40 observations per month until the number of observations that are NOT compliant and/or did not demonstrate proper technique is reduced to </w:t>
            </w:r>
            <w:r w:rsidRPr="003A3BA8">
              <w:rPr>
                <w:bCs/>
                <w:u w:val="single"/>
              </w:rPr>
              <w:t>less than 50%</w:t>
            </w:r>
            <w:r w:rsidRPr="003A3BA8">
              <w:rPr>
                <w:bCs/>
              </w:rPr>
              <w:t>.</w:t>
            </w:r>
          </w:p>
          <w:p w14:paraId="46EAD8A8" w14:textId="04FA8583" w:rsidR="00823FED" w:rsidRDefault="00823FED" w:rsidP="00EC4DCE">
            <w:pPr>
              <w:pStyle w:val="EndnoteText"/>
              <w:spacing w:before="120"/>
              <w:rPr>
                <w:bCs/>
              </w:rPr>
            </w:pPr>
            <w:r>
              <w:rPr>
                <w:bCs/>
              </w:rPr>
              <w:t xml:space="preserve">Compliance and infection rates </w:t>
            </w:r>
            <w:r w:rsidR="00A77239">
              <w:rPr>
                <w:bCs/>
              </w:rPr>
              <w:t>must</w:t>
            </w:r>
            <w:r>
              <w:rPr>
                <w:bCs/>
              </w:rPr>
              <w:t xml:space="preserve"> be assessed at least quarterly and additional observations </w:t>
            </w:r>
            <w:r w:rsidR="00A77239">
              <w:rPr>
                <w:bCs/>
              </w:rPr>
              <w:t>need to</w:t>
            </w:r>
            <w:r>
              <w:rPr>
                <w:bCs/>
              </w:rPr>
              <w:t xml:space="preserve"> be collected on a monthly basis for the entire quarter if warranted based on the above rules. If a standardized infection ratio cannot be calculated for the quarter, units with 2 or more observed infections should do the additional collection of direct observations.</w:t>
            </w:r>
          </w:p>
          <w:p w14:paraId="7083690E" w14:textId="77777777" w:rsidR="00EF456F" w:rsidRPr="00EF456F" w:rsidRDefault="00EF456F" w:rsidP="00EF456F">
            <w:pPr>
              <w:pStyle w:val="EndnoteText"/>
              <w:spacing w:before="120"/>
              <w:rPr>
                <w:bCs/>
                <w:i/>
                <w:iCs/>
              </w:rPr>
            </w:pPr>
            <w:r w:rsidRPr="00EF456F">
              <w:rPr>
                <w:bCs/>
                <w:i/>
                <w:iCs/>
              </w:rPr>
              <w:t xml:space="preserve">*Low hand hygiene compliance is defined as two or more standard deviations below the hospital's overall mean hand hygiene compliance rate.  </w:t>
            </w:r>
          </w:p>
          <w:p w14:paraId="4E592B79" w14:textId="6DB588C9" w:rsidR="00EF456F" w:rsidRPr="00EF456F" w:rsidRDefault="00EF456F" w:rsidP="00EF456F">
            <w:pPr>
              <w:pStyle w:val="EndnoteText"/>
              <w:spacing w:before="120"/>
              <w:rPr>
                <w:bCs/>
                <w:i/>
                <w:iCs/>
              </w:rPr>
            </w:pPr>
            <w:r w:rsidRPr="00EF456F">
              <w:rPr>
                <w:bCs/>
                <w:i/>
                <w:iCs/>
              </w:rPr>
              <w:t xml:space="preserve">**High infection rates </w:t>
            </w:r>
            <w:r w:rsidR="005C2640" w:rsidRPr="00EF456F">
              <w:rPr>
                <w:bCs/>
                <w:i/>
                <w:iCs/>
              </w:rPr>
              <w:t>are</w:t>
            </w:r>
            <w:r w:rsidRPr="00EF456F">
              <w:rPr>
                <w:bCs/>
                <w:i/>
                <w:iCs/>
              </w:rPr>
              <w:t xml:space="preserve"> defined as two or more standard deviations above the hospital's standardized infection ratio for any of the following healthcare-associated infection measures: CLABSI, CAUTI, MRSA, and C.diff.</w:t>
            </w:r>
          </w:p>
          <w:p w14:paraId="3A868C6F" w14:textId="77777777" w:rsidR="00823FED" w:rsidRPr="001B37FD" w:rsidRDefault="00823FED" w:rsidP="00EC4DCE">
            <w:pPr>
              <w:pStyle w:val="EndnoteText"/>
              <w:spacing w:before="120"/>
              <w:rPr>
                <w:b/>
                <w:bCs/>
              </w:rPr>
            </w:pPr>
            <w:r w:rsidRPr="001B37FD">
              <w:rPr>
                <w:b/>
                <w:bCs/>
              </w:rPr>
              <w:t>In all other units: </w:t>
            </w:r>
          </w:p>
          <w:p w14:paraId="55315A9F" w14:textId="6EABD200" w:rsidR="003A3BA8" w:rsidRPr="00E527A5" w:rsidRDefault="00823FED" w:rsidP="00AD309C">
            <w:pPr>
              <w:pStyle w:val="EndnoteText"/>
              <w:numPr>
                <w:ilvl w:val="0"/>
                <w:numId w:val="206"/>
              </w:numPr>
              <w:spacing w:before="120"/>
              <w:rPr>
                <w:bCs/>
              </w:rPr>
            </w:pPr>
            <w:r w:rsidRPr="00E527A5">
              <w:rPr>
                <w:bCs/>
              </w:rPr>
              <w:t>On a </w:t>
            </w:r>
            <w:r w:rsidRPr="00E527A5">
              <w:rPr>
                <w:bCs/>
                <w:u w:val="single"/>
              </w:rPr>
              <w:t>quarterly</w:t>
            </w:r>
            <w:r w:rsidRPr="00E527A5">
              <w:rPr>
                <w:bCs/>
              </w:rPr>
              <w:t> basis, hospitals using ECM need to perform 10% of the observations noted in Tables 1-3 in ALL patient care units included in Leapfrog’s Hand Hygiene Standard (e.g., if the unit would require 200 direct observations without ECM, then with the use of ECM, they need to collect 20 direct observations).  </w:t>
            </w:r>
          </w:p>
          <w:p w14:paraId="1042AB2D" w14:textId="77777777" w:rsidR="00823FED" w:rsidRPr="003A3BA8" w:rsidRDefault="00823FED" w:rsidP="00AD309C">
            <w:pPr>
              <w:pStyle w:val="EndnoteText"/>
              <w:numPr>
                <w:ilvl w:val="0"/>
                <w:numId w:val="206"/>
              </w:numPr>
              <w:spacing w:before="120"/>
              <w:rPr>
                <w:bCs/>
              </w:rPr>
            </w:pPr>
            <w:r w:rsidRPr="003A3BA8">
              <w:rPr>
                <w:bCs/>
              </w:rPr>
              <w:t>Units in which direct observation data is being collected monthly (i.e., units with low hand hygiene compliance and/or high infection rates) do not require the additional quarterly data collection.</w:t>
            </w:r>
          </w:p>
          <w:p w14:paraId="68ADA2A7" w14:textId="77777777" w:rsidR="00823FED" w:rsidRPr="00481148" w:rsidRDefault="00823FED" w:rsidP="00EC4DCE">
            <w:pPr>
              <w:autoSpaceDE w:val="0"/>
              <w:autoSpaceDN w:val="0"/>
              <w:adjustRightInd w:val="0"/>
              <w:rPr>
                <w:rFonts w:cs="Arial"/>
                <w:b/>
                <w:bCs/>
                <w:sz w:val="16"/>
                <w:szCs w:val="16"/>
              </w:rPr>
            </w:pPr>
          </w:p>
          <w:p w14:paraId="6845E18B" w14:textId="77777777" w:rsidR="00823FED" w:rsidRDefault="00823FED" w:rsidP="00EC4DCE">
            <w:pPr>
              <w:autoSpaceDE w:val="0"/>
              <w:autoSpaceDN w:val="0"/>
              <w:adjustRightInd w:val="0"/>
              <w:rPr>
                <w:rFonts w:cs="Arial"/>
              </w:rPr>
            </w:pPr>
            <w:r>
              <w:rPr>
                <w:rFonts w:cs="Arial"/>
              </w:rPr>
              <w:t>All direct observations conducted must meet the following criteria:</w:t>
            </w:r>
          </w:p>
          <w:p w14:paraId="0F0C1C38" w14:textId="1DEA8A39" w:rsidR="003A3BA8" w:rsidRDefault="00823FED" w:rsidP="00AD309C">
            <w:pPr>
              <w:pStyle w:val="ListParagraph"/>
              <w:numPr>
                <w:ilvl w:val="0"/>
                <w:numId w:val="207"/>
              </w:numPr>
            </w:pPr>
            <w:r>
              <w:t>Observers immediately intervene prior to any harm occurring to provide non-compliant individuals with immediate feedback</w:t>
            </w:r>
          </w:p>
          <w:p w14:paraId="25DAAB44" w14:textId="2BAA9344" w:rsidR="003A3BA8" w:rsidRDefault="00823FED" w:rsidP="00AD309C">
            <w:pPr>
              <w:pStyle w:val="ListParagraph"/>
              <w:numPr>
                <w:ilvl w:val="0"/>
                <w:numId w:val="207"/>
              </w:numPr>
            </w:pPr>
            <w:r>
              <w:t xml:space="preserve">Observations identify both opportunities for hand hygiene and compliance with those </w:t>
            </w:r>
            <w:r w:rsidR="005C0485">
              <w:t>opportunities</w:t>
            </w:r>
          </w:p>
          <w:p w14:paraId="785A23C9" w14:textId="4428D23C" w:rsidR="003A3BA8" w:rsidRDefault="00823FED" w:rsidP="00AD309C">
            <w:pPr>
              <w:pStyle w:val="ListParagraph"/>
              <w:numPr>
                <w:ilvl w:val="0"/>
                <w:numId w:val="207"/>
              </w:numPr>
            </w:pPr>
            <w:r>
              <w:t xml:space="preserve">Observations determine who practiced hand hygiene, verify when they practiced it, and whether their technique was </w:t>
            </w:r>
            <w:r w:rsidR="005C0485">
              <w:t>correct</w:t>
            </w:r>
          </w:p>
          <w:p w14:paraId="26E219B5" w14:textId="77777777" w:rsidR="00752112" w:rsidRDefault="00823FED" w:rsidP="00752112">
            <w:pPr>
              <w:pStyle w:val="ListParagraph"/>
              <w:numPr>
                <w:ilvl w:val="0"/>
                <w:numId w:val="207"/>
              </w:numPr>
            </w:pPr>
            <w:r>
              <w:t xml:space="preserve">Observations within a unit are conducted weekly or monthly across all shifts and on all days of the week proportional to the number of </w:t>
            </w:r>
            <w:hyperlink w:anchor="HHtouchpatientsendnote" w:history="1">
              <w:r w:rsidRPr="001A5CC5">
                <w:rPr>
                  <w:rStyle w:val="Hyperlink"/>
                </w:rPr>
                <w:t>individuals who touch patients or who touch items that will be used by patients</w:t>
              </w:r>
            </w:hyperlink>
            <w:r>
              <w:fldChar w:fldCharType="begin"/>
            </w:r>
            <w:r>
              <w:instrText xml:space="preserve"> NOTEREF _Ref25671414 \f \h  \* MERGEFORMAT </w:instrText>
            </w:r>
            <w:r>
              <w:fldChar w:fldCharType="separate"/>
            </w:r>
            <w:r w:rsidR="007D53A2" w:rsidRPr="000E4F8B">
              <w:rPr>
                <w:rStyle w:val="EndnoteReference"/>
              </w:rPr>
              <w:t>44</w:t>
            </w:r>
            <w:r>
              <w:fldChar w:fldCharType="end"/>
            </w:r>
            <w:r>
              <w:t xml:space="preserve"> on duty for that shift</w:t>
            </w:r>
          </w:p>
          <w:p w14:paraId="1DA79B21" w14:textId="3A248A80" w:rsidR="009C0D49" w:rsidRPr="00F43FAB" w:rsidRDefault="00823FED" w:rsidP="00752112">
            <w:pPr>
              <w:pStyle w:val="ListParagraph"/>
              <w:numPr>
                <w:ilvl w:val="0"/>
                <w:numId w:val="207"/>
              </w:numPr>
            </w:pPr>
            <w:r>
              <w:t xml:space="preserve">Observations capture a representative sample of the different roles of </w:t>
            </w:r>
            <w:hyperlink w:anchor="HHtouchpatientsendnote" w:history="1">
              <w:r w:rsidRPr="001A5CC5">
                <w:rPr>
                  <w:rStyle w:val="Hyperlink"/>
                </w:rPr>
                <w:t>individuals who touch patients or who touch items that will be used by patients</w:t>
              </w:r>
            </w:hyperlink>
            <w:r>
              <w:fldChar w:fldCharType="begin"/>
            </w:r>
            <w:r>
              <w:instrText xml:space="preserve"> NOTEREF _Ref25671414 \f \h  \* MERGEFORMAT </w:instrText>
            </w:r>
            <w:r>
              <w:fldChar w:fldCharType="separate"/>
            </w:r>
            <w:r w:rsidR="007D53A2" w:rsidRPr="000E4F8B">
              <w:rPr>
                <w:rStyle w:val="EndnoteReference"/>
              </w:rPr>
              <w:t>44</w:t>
            </w:r>
            <w:r>
              <w:fldChar w:fldCharType="end"/>
            </w:r>
            <w:r>
              <w:t xml:space="preserve"> (e.g., nurses, physicians, techs, environmental services workers)</w:t>
            </w:r>
          </w:p>
          <w:p w14:paraId="12007B90" w14:textId="77777777" w:rsidR="009C0D49" w:rsidRPr="00481148" w:rsidRDefault="009C0D49" w:rsidP="009C0D49">
            <w:pPr>
              <w:autoSpaceDE w:val="0"/>
              <w:autoSpaceDN w:val="0"/>
              <w:adjustRightInd w:val="0"/>
              <w:rPr>
                <w:rFonts w:cs="Arial"/>
                <w:b/>
                <w:bCs/>
                <w:sz w:val="16"/>
                <w:szCs w:val="16"/>
              </w:rPr>
            </w:pPr>
          </w:p>
          <w:p w14:paraId="01846CEE" w14:textId="7DEFE3D9" w:rsidR="00823FED" w:rsidRPr="00F331CD" w:rsidRDefault="00823FED" w:rsidP="00FC258A">
            <w:r>
              <w:t xml:space="preserve">Observers </w:t>
            </w:r>
            <w:r w:rsidR="004242DB">
              <w:t xml:space="preserve">must record </w:t>
            </w:r>
            <w:r w:rsidRPr="00F331CD">
              <w:t>at least the following:</w:t>
            </w:r>
          </w:p>
          <w:p w14:paraId="404B665E" w14:textId="27A935AF" w:rsidR="00A00586" w:rsidRPr="00F331CD" w:rsidRDefault="00823FED" w:rsidP="00AD309C">
            <w:pPr>
              <w:pStyle w:val="EndnoteText"/>
              <w:numPr>
                <w:ilvl w:val="0"/>
                <w:numId w:val="208"/>
              </w:numPr>
              <w:rPr>
                <w:bCs/>
              </w:rPr>
            </w:pPr>
            <w:r w:rsidRPr="00F331CD">
              <w:rPr>
                <w:bCs/>
              </w:rPr>
              <w:t xml:space="preserve">The date as well as the start and end time </w:t>
            </w:r>
            <w:r>
              <w:rPr>
                <w:bCs/>
              </w:rPr>
              <w:t>of</w:t>
            </w:r>
            <w:r w:rsidRPr="00F331CD">
              <w:rPr>
                <w:bCs/>
              </w:rPr>
              <w:t xml:space="preserve"> the observation session</w:t>
            </w:r>
            <w:r>
              <w:rPr>
                <w:bCs/>
              </w:rPr>
              <w:t xml:space="preserve"> (or the date and shift being observed</w:t>
            </w:r>
            <w:r w:rsidR="000C5C0B">
              <w:rPr>
                <w:bCs/>
              </w:rPr>
              <w:t>)</w:t>
            </w:r>
          </w:p>
          <w:p w14:paraId="55A3A9AB" w14:textId="4B498BD5" w:rsidR="00A00586" w:rsidRPr="009C0D49" w:rsidRDefault="00823FED" w:rsidP="00AD309C">
            <w:pPr>
              <w:pStyle w:val="EndnoteText"/>
              <w:numPr>
                <w:ilvl w:val="0"/>
                <w:numId w:val="208"/>
              </w:numPr>
              <w:rPr>
                <w:bCs/>
              </w:rPr>
            </w:pPr>
            <w:r w:rsidRPr="009C0D49">
              <w:rPr>
                <w:bCs/>
              </w:rPr>
              <w:t xml:space="preserve">The unit </w:t>
            </w:r>
            <w:r>
              <w:t>where the observation session is being conducte</w:t>
            </w:r>
            <w:r w:rsidR="00EF5B7A">
              <w:t>d</w:t>
            </w:r>
          </w:p>
          <w:p w14:paraId="1F646F1C" w14:textId="3D50D131" w:rsidR="00A00586" w:rsidRPr="00A00586" w:rsidRDefault="00823FED" w:rsidP="00AD309C">
            <w:pPr>
              <w:pStyle w:val="EndnoteText"/>
              <w:numPr>
                <w:ilvl w:val="0"/>
                <w:numId w:val="208"/>
              </w:numPr>
              <w:rPr>
                <w:bCs/>
              </w:rPr>
            </w:pPr>
            <w:r w:rsidRPr="00A00586">
              <w:rPr>
                <w:bCs/>
              </w:rPr>
              <w:t>The role of the individual being observed (e.g., nurse, physician, etc.)</w:t>
            </w:r>
          </w:p>
          <w:p w14:paraId="37CFD208" w14:textId="3D3209D3" w:rsidR="00A00586" w:rsidRPr="00A00586" w:rsidRDefault="00823FED" w:rsidP="00AD309C">
            <w:pPr>
              <w:pStyle w:val="EndnoteText"/>
              <w:numPr>
                <w:ilvl w:val="0"/>
                <w:numId w:val="208"/>
              </w:numPr>
              <w:rPr>
                <w:bCs/>
              </w:rPr>
            </w:pPr>
            <w:r w:rsidRPr="00A00586">
              <w:rPr>
                <w:bCs/>
              </w:rPr>
              <w:t>The indication (or moment) for performing hand hygiene (e.g., before/after touching a patient, before/after a procedure, before/after touching patient surroundings, etc.)</w:t>
            </w:r>
          </w:p>
          <w:p w14:paraId="61B74ECC" w14:textId="20EDD132" w:rsidR="00AF07E8" w:rsidRPr="00A00586" w:rsidRDefault="00823FED" w:rsidP="00AD309C">
            <w:pPr>
              <w:pStyle w:val="EndnoteText"/>
              <w:numPr>
                <w:ilvl w:val="0"/>
                <w:numId w:val="208"/>
              </w:numPr>
              <w:rPr>
                <w:bCs/>
              </w:rPr>
            </w:pPr>
            <w:r w:rsidRPr="00A00586">
              <w:rPr>
                <w:bCs/>
              </w:rPr>
              <w:t>Whether hand hygiene was performed or not performed based on the indication noted and if the technique was correct</w:t>
            </w:r>
          </w:p>
        </w:tc>
      </w:tr>
      <w:tr w:rsidR="00823FED" w:rsidRPr="009A5185" w14:paraId="6A1B9C6D" w14:textId="77777777" w:rsidTr="00E53A63">
        <w:trPr>
          <w:trHeight w:val="4032"/>
          <w:jc w:val="center"/>
        </w:trPr>
        <w:tc>
          <w:tcPr>
            <w:tcW w:w="9387" w:type="dxa"/>
            <w:vAlign w:val="center"/>
          </w:tcPr>
          <w:p w14:paraId="2FA287AD" w14:textId="286FAA50" w:rsidR="00823FED" w:rsidRDefault="00823FED" w:rsidP="00EC4DCE">
            <w:pPr>
              <w:autoSpaceDE w:val="0"/>
              <w:autoSpaceDN w:val="0"/>
              <w:adjustRightInd w:val="0"/>
              <w:rPr>
                <w:rFonts w:cs="Arial"/>
              </w:rPr>
            </w:pPr>
            <w:r>
              <w:rPr>
                <w:rFonts w:cs="Arial"/>
                <w:b/>
                <w:bCs/>
              </w:rPr>
              <w:lastRenderedPageBreak/>
              <w:t xml:space="preserve">Question #14: </w:t>
            </w:r>
            <w:r w:rsidRPr="00A00D74">
              <w:rPr>
                <w:rFonts w:cs="Arial"/>
              </w:rPr>
              <w:t>In those patient care units where an electronic compliance monitoring system is NOT used, do the direct observations meet all the following criteria?</w:t>
            </w:r>
          </w:p>
          <w:p w14:paraId="093BD403" w14:textId="77777777" w:rsidR="00823FED" w:rsidRDefault="00823FED" w:rsidP="00AD309C">
            <w:pPr>
              <w:pStyle w:val="ListParagraph"/>
              <w:numPr>
                <w:ilvl w:val="0"/>
                <w:numId w:val="200"/>
              </w:numPr>
            </w:pPr>
            <w:r>
              <w:t>Observations identify both opportunities for hand hygiene and compliance with those opportunities</w:t>
            </w:r>
          </w:p>
          <w:p w14:paraId="57413A99" w14:textId="77777777" w:rsidR="00823FED" w:rsidRDefault="00823FED" w:rsidP="00AD309C">
            <w:pPr>
              <w:pStyle w:val="ListParagraph"/>
              <w:numPr>
                <w:ilvl w:val="0"/>
                <w:numId w:val="200"/>
              </w:numPr>
            </w:pPr>
            <w:r>
              <w:t>Observations determine who practiced hand hygiene, verify when they practiced it, and whether their technique was correct</w:t>
            </w:r>
          </w:p>
          <w:p w14:paraId="7C71F2AB" w14:textId="1E9C0152" w:rsidR="00823FED" w:rsidRDefault="00823FED" w:rsidP="00AD309C">
            <w:pPr>
              <w:pStyle w:val="ListParagraph"/>
              <w:numPr>
                <w:ilvl w:val="0"/>
                <w:numId w:val="200"/>
              </w:numPr>
            </w:pPr>
            <w:r>
              <w:t xml:space="preserve">Observations within a unit are conducted weekly or monthly across all shifts and on all days of the week proportional to the number of </w:t>
            </w:r>
            <w:hyperlink w:anchor="HHtouchpatientsendnote" w:history="1">
              <w:r w:rsidRPr="001A5CC5">
                <w:rPr>
                  <w:rStyle w:val="Hyperlink"/>
                </w:rPr>
                <w:t>individuals who touch patients or who touch items that will be used by patients</w:t>
              </w:r>
            </w:hyperlink>
            <w:r>
              <w:fldChar w:fldCharType="begin"/>
            </w:r>
            <w:r>
              <w:instrText xml:space="preserve"> NOTEREF _Ref25671414 \f \h  \* MERGEFORMAT </w:instrText>
            </w:r>
            <w:r>
              <w:fldChar w:fldCharType="separate"/>
            </w:r>
            <w:r w:rsidR="007D53A2" w:rsidRPr="000E4F8B">
              <w:rPr>
                <w:rStyle w:val="EndnoteReference"/>
              </w:rPr>
              <w:t>44</w:t>
            </w:r>
            <w:r>
              <w:fldChar w:fldCharType="end"/>
            </w:r>
            <w:r>
              <w:t xml:space="preserve"> on duty for that shift</w:t>
            </w:r>
          </w:p>
          <w:p w14:paraId="3A778A53" w14:textId="0CA2899C" w:rsidR="00823FED" w:rsidRPr="00A00D74" w:rsidRDefault="00823FED" w:rsidP="00AD309C">
            <w:pPr>
              <w:pStyle w:val="ListParagraph"/>
              <w:numPr>
                <w:ilvl w:val="0"/>
                <w:numId w:val="200"/>
              </w:numPr>
            </w:pPr>
            <w:r>
              <w:t xml:space="preserve">Observations capture a representative sample of the different roles of </w:t>
            </w:r>
            <w:hyperlink w:anchor="HHtouchpatientsendnote" w:history="1">
              <w:r w:rsidRPr="001A5CC5">
                <w:rPr>
                  <w:rStyle w:val="Hyperlink"/>
                </w:rPr>
                <w:t>individuals who touch patients or who touch items that will be used by patients</w:t>
              </w:r>
            </w:hyperlink>
            <w:r>
              <w:fldChar w:fldCharType="begin"/>
            </w:r>
            <w:r>
              <w:instrText xml:space="preserve"> NOTEREF _Ref25671414 \f \h  \* MERGEFORMAT </w:instrText>
            </w:r>
            <w:r>
              <w:fldChar w:fldCharType="separate"/>
            </w:r>
            <w:r w:rsidR="007D53A2" w:rsidRPr="000E4F8B">
              <w:rPr>
                <w:rStyle w:val="EndnoteReference"/>
              </w:rPr>
              <w:t>44</w:t>
            </w:r>
            <w:r>
              <w:fldChar w:fldCharType="end"/>
            </w:r>
            <w:r>
              <w:t xml:space="preserve"> (e.g., nurses, physicians, techs, environmental services workers)</w:t>
            </w:r>
          </w:p>
          <w:p w14:paraId="51BF4EE9" w14:textId="77777777" w:rsidR="00823FED" w:rsidRDefault="00823FED" w:rsidP="00EC4DCE">
            <w:pPr>
              <w:autoSpaceDE w:val="0"/>
              <w:autoSpaceDN w:val="0"/>
              <w:adjustRightInd w:val="0"/>
              <w:rPr>
                <w:rFonts w:cs="Arial"/>
                <w:b/>
                <w:bCs/>
              </w:rPr>
            </w:pPr>
          </w:p>
          <w:p w14:paraId="29B3DB90" w14:textId="77777777" w:rsidR="000748AA" w:rsidRDefault="000748AA" w:rsidP="000748AA">
            <w:pPr>
              <w:pStyle w:val="EndnoteText"/>
              <w:rPr>
                <w:bCs/>
              </w:rPr>
            </w:pPr>
            <w:r>
              <w:rPr>
                <w:bCs/>
              </w:rPr>
              <w:t>In order to respond “yes” to question #14, direct observations must be conducted in patient care units that do not use an electronic compliance monitoring system and must meet the following criteria:</w:t>
            </w:r>
          </w:p>
          <w:p w14:paraId="73FAE7B8" w14:textId="77777777" w:rsidR="000748AA" w:rsidRDefault="000748AA" w:rsidP="00AD309C">
            <w:pPr>
              <w:pStyle w:val="ListParagraph"/>
              <w:numPr>
                <w:ilvl w:val="0"/>
                <w:numId w:val="200"/>
              </w:numPr>
            </w:pPr>
            <w:r>
              <w:t>Observations identify both opportunities for hand hygiene and compliance with those opportunities</w:t>
            </w:r>
          </w:p>
          <w:p w14:paraId="7B9877D3" w14:textId="77777777" w:rsidR="000748AA" w:rsidRDefault="000748AA" w:rsidP="00AD309C">
            <w:pPr>
              <w:pStyle w:val="ListParagraph"/>
              <w:numPr>
                <w:ilvl w:val="0"/>
                <w:numId w:val="200"/>
              </w:numPr>
            </w:pPr>
            <w:r>
              <w:t>Observations determine who practiced hand hygiene, verify when they practiced it, and whether their technique was correct</w:t>
            </w:r>
          </w:p>
          <w:p w14:paraId="2339CEC4" w14:textId="575E8A26" w:rsidR="000748AA" w:rsidRDefault="000748AA" w:rsidP="00AD309C">
            <w:pPr>
              <w:pStyle w:val="ListParagraph"/>
              <w:numPr>
                <w:ilvl w:val="0"/>
                <w:numId w:val="200"/>
              </w:numPr>
            </w:pPr>
            <w:r>
              <w:t xml:space="preserve">Observations within a unit are conducted weekly or monthly across all shifts and on all days of the week proportional to the number of </w:t>
            </w:r>
            <w:hyperlink w:anchor="HHtouchpatientsendnote" w:history="1">
              <w:r w:rsidRPr="001A5CC5">
                <w:rPr>
                  <w:rStyle w:val="Hyperlink"/>
                </w:rPr>
                <w:t>individuals who touch patients or who touch items that will be used by patients</w:t>
              </w:r>
            </w:hyperlink>
            <w:r>
              <w:fldChar w:fldCharType="begin"/>
            </w:r>
            <w:r>
              <w:instrText xml:space="preserve"> NOTEREF _Ref25671414 \f \h  \* MERGEFORMAT </w:instrText>
            </w:r>
            <w:r>
              <w:fldChar w:fldCharType="separate"/>
            </w:r>
            <w:r w:rsidR="007D53A2" w:rsidRPr="000E4F8B">
              <w:rPr>
                <w:rStyle w:val="EndnoteReference"/>
              </w:rPr>
              <w:t>44</w:t>
            </w:r>
            <w:r>
              <w:fldChar w:fldCharType="end"/>
            </w:r>
            <w:r>
              <w:t xml:space="preserve"> on duty for that shift</w:t>
            </w:r>
          </w:p>
          <w:p w14:paraId="7BBE0B71" w14:textId="1879CE5E" w:rsidR="000748AA" w:rsidRPr="00A00D74" w:rsidRDefault="000748AA" w:rsidP="00AD309C">
            <w:pPr>
              <w:pStyle w:val="ListParagraph"/>
              <w:numPr>
                <w:ilvl w:val="0"/>
                <w:numId w:val="200"/>
              </w:numPr>
            </w:pPr>
            <w:r>
              <w:t xml:space="preserve">Observations capture a representative sample of the different roles of </w:t>
            </w:r>
            <w:hyperlink w:anchor="HHtouchpatientsendnote" w:history="1">
              <w:r w:rsidRPr="001A5CC5">
                <w:rPr>
                  <w:rStyle w:val="Hyperlink"/>
                </w:rPr>
                <w:t>individuals who touch patients or who touch items that will be used by patients</w:t>
              </w:r>
            </w:hyperlink>
            <w:r>
              <w:fldChar w:fldCharType="begin"/>
            </w:r>
            <w:r>
              <w:instrText xml:space="preserve"> NOTEREF _Ref25671414 \f \h  \* MERGEFORMAT </w:instrText>
            </w:r>
            <w:r>
              <w:fldChar w:fldCharType="separate"/>
            </w:r>
            <w:r w:rsidR="007D53A2" w:rsidRPr="000E4F8B">
              <w:rPr>
                <w:rStyle w:val="EndnoteReference"/>
              </w:rPr>
              <w:t>44</w:t>
            </w:r>
            <w:r>
              <w:fldChar w:fldCharType="end"/>
            </w:r>
            <w:r>
              <w:t xml:space="preserve"> (e.g., nurses, physicians, techs, environmental services workers)</w:t>
            </w:r>
          </w:p>
          <w:p w14:paraId="60EAC5D1" w14:textId="77777777" w:rsidR="000748AA" w:rsidRDefault="000748AA" w:rsidP="00EC4DCE">
            <w:pPr>
              <w:autoSpaceDE w:val="0"/>
              <w:autoSpaceDN w:val="0"/>
              <w:adjustRightInd w:val="0"/>
              <w:rPr>
                <w:rFonts w:cs="Arial"/>
                <w:b/>
                <w:bCs/>
              </w:rPr>
            </w:pPr>
          </w:p>
          <w:p w14:paraId="33BFF1AA" w14:textId="0FDFD167" w:rsidR="00823FED" w:rsidRPr="00F331CD" w:rsidRDefault="00823FED" w:rsidP="00EC4DCE">
            <w:pPr>
              <w:pStyle w:val="EndnoteText"/>
              <w:rPr>
                <w:bCs/>
              </w:rPr>
            </w:pPr>
            <w:r>
              <w:rPr>
                <w:bCs/>
              </w:rPr>
              <w:t xml:space="preserve">Observers </w:t>
            </w:r>
            <w:r w:rsidR="004242DB">
              <w:rPr>
                <w:bCs/>
              </w:rPr>
              <w:t xml:space="preserve">must </w:t>
            </w:r>
            <w:r w:rsidRPr="00F331CD">
              <w:rPr>
                <w:bCs/>
              </w:rPr>
              <w:t>record at least the following:</w:t>
            </w:r>
          </w:p>
          <w:p w14:paraId="65A6CF36" w14:textId="77777777" w:rsidR="00823FED" w:rsidRPr="00F331CD" w:rsidRDefault="00823FED" w:rsidP="00AD309C">
            <w:pPr>
              <w:pStyle w:val="EndnoteText"/>
              <w:numPr>
                <w:ilvl w:val="0"/>
                <w:numId w:val="200"/>
              </w:numPr>
              <w:rPr>
                <w:bCs/>
              </w:rPr>
            </w:pPr>
            <w:r w:rsidRPr="00F331CD">
              <w:rPr>
                <w:bCs/>
              </w:rPr>
              <w:t xml:space="preserve">The date as well as the start and end time </w:t>
            </w:r>
            <w:r>
              <w:rPr>
                <w:bCs/>
              </w:rPr>
              <w:t>of</w:t>
            </w:r>
            <w:r w:rsidRPr="00F331CD">
              <w:rPr>
                <w:bCs/>
              </w:rPr>
              <w:t xml:space="preserve"> the observation session</w:t>
            </w:r>
            <w:r>
              <w:rPr>
                <w:bCs/>
              </w:rPr>
              <w:t xml:space="preserve"> (or the date and shift being observed)</w:t>
            </w:r>
          </w:p>
          <w:p w14:paraId="4B683D42" w14:textId="77777777" w:rsidR="00823FED" w:rsidRPr="00085FB4" w:rsidRDefault="00823FED" w:rsidP="00AD309C">
            <w:pPr>
              <w:pStyle w:val="EndnoteText"/>
              <w:numPr>
                <w:ilvl w:val="0"/>
                <w:numId w:val="200"/>
              </w:numPr>
              <w:rPr>
                <w:bCs/>
              </w:rPr>
            </w:pPr>
            <w:r w:rsidRPr="00F331CD">
              <w:rPr>
                <w:bCs/>
              </w:rPr>
              <w:t xml:space="preserve">The unit </w:t>
            </w:r>
            <w:r>
              <w:t>where the observation session is being conducted</w:t>
            </w:r>
          </w:p>
          <w:p w14:paraId="7902E35E" w14:textId="77777777" w:rsidR="00823FED" w:rsidRDefault="00823FED" w:rsidP="00AD309C">
            <w:pPr>
              <w:pStyle w:val="EndnoteText"/>
              <w:numPr>
                <w:ilvl w:val="0"/>
                <w:numId w:val="200"/>
              </w:numPr>
              <w:rPr>
                <w:bCs/>
              </w:rPr>
            </w:pPr>
            <w:r w:rsidRPr="00F331CD">
              <w:rPr>
                <w:bCs/>
              </w:rPr>
              <w:t>The role of the individual being observed (e.g., nurse, physician, etc.)</w:t>
            </w:r>
          </w:p>
          <w:p w14:paraId="7ED9778B" w14:textId="77777777" w:rsidR="00823FED" w:rsidRPr="00A00D74" w:rsidRDefault="00823FED" w:rsidP="00AD309C">
            <w:pPr>
              <w:pStyle w:val="EndnoteText"/>
              <w:numPr>
                <w:ilvl w:val="0"/>
                <w:numId w:val="200"/>
              </w:numPr>
              <w:rPr>
                <w:bCs/>
              </w:rPr>
            </w:pPr>
            <w:r w:rsidRPr="00A00D74">
              <w:rPr>
                <w:bCs/>
              </w:rPr>
              <w:t>The indication (or moment) for performing hand hygiene (e.g., before/after touching a patient, before/after a procedure, before/after touching patient surroundings, etc.)</w:t>
            </w:r>
          </w:p>
          <w:p w14:paraId="77CC0CFF" w14:textId="77777777" w:rsidR="00823FED" w:rsidRPr="00790BCB" w:rsidRDefault="00823FED" w:rsidP="00AD309C">
            <w:pPr>
              <w:pStyle w:val="EndnoteText"/>
              <w:numPr>
                <w:ilvl w:val="0"/>
                <w:numId w:val="200"/>
              </w:numPr>
              <w:rPr>
                <w:bCs/>
              </w:rPr>
            </w:pPr>
            <w:r w:rsidRPr="00F331CD">
              <w:rPr>
                <w:bCs/>
              </w:rPr>
              <w:t>Whether hand hygiene was performed or not performed based on the indication noted and if the technique was correct</w:t>
            </w:r>
          </w:p>
        </w:tc>
      </w:tr>
      <w:tr w:rsidR="00823FED" w:rsidRPr="009A5185" w14:paraId="1B03B0A9" w14:textId="77777777" w:rsidTr="004242DB">
        <w:trPr>
          <w:trHeight w:val="620"/>
          <w:jc w:val="center"/>
        </w:trPr>
        <w:tc>
          <w:tcPr>
            <w:tcW w:w="9387" w:type="dxa"/>
            <w:vAlign w:val="center"/>
          </w:tcPr>
          <w:p w14:paraId="404D034D" w14:textId="77777777" w:rsidR="00823FED" w:rsidRDefault="00823FED" w:rsidP="00EC4DCE">
            <w:pPr>
              <w:pStyle w:val="EndnoteText"/>
              <w:rPr>
                <w:rFonts w:cs="Arial"/>
              </w:rPr>
            </w:pPr>
            <w:r>
              <w:rPr>
                <w:rFonts w:cs="Arial"/>
                <w:b/>
                <w:bCs/>
              </w:rPr>
              <w:t>Question #15</w:t>
            </w:r>
            <w:r>
              <w:rPr>
                <w:rFonts w:cs="Arial"/>
              </w:rPr>
              <w:t xml:space="preserve">: </w:t>
            </w:r>
            <w:r w:rsidRPr="00A00D74">
              <w:rPr>
                <w:rFonts w:cs="Arial"/>
              </w:rPr>
              <w:t>Does your hospital have a system in place for both the initial and recurrent training and validation of hand hygiene compliance observers?</w:t>
            </w:r>
          </w:p>
          <w:p w14:paraId="6584648E" w14:textId="77777777" w:rsidR="00823FED" w:rsidRPr="00481148" w:rsidRDefault="00823FED" w:rsidP="00EC4DCE">
            <w:pPr>
              <w:pStyle w:val="EndnoteText"/>
              <w:rPr>
                <w:rFonts w:cs="Arial"/>
                <w:sz w:val="16"/>
                <w:szCs w:val="16"/>
              </w:rPr>
            </w:pPr>
          </w:p>
          <w:p w14:paraId="231295A5" w14:textId="0B364812" w:rsidR="00823FED" w:rsidRPr="00790BCB" w:rsidRDefault="003926AE" w:rsidP="00EC4DCE">
            <w:pPr>
              <w:pStyle w:val="EndnoteText"/>
            </w:pPr>
            <w:bookmarkStart w:id="542" w:name="_Hlk129358469"/>
            <w:r>
              <w:rPr>
                <w:rFonts w:cs="Arial"/>
              </w:rPr>
              <w:t xml:space="preserve">In order to respond “yes” to question #15, your hospital must </w:t>
            </w:r>
            <w:r w:rsidR="00823FED">
              <w:rPr>
                <w:rFonts w:cs="Arial"/>
              </w:rPr>
              <w:t>regular</w:t>
            </w:r>
            <w:r w:rsidR="004F52B6">
              <w:rPr>
                <w:rFonts w:cs="Arial"/>
              </w:rPr>
              <w:t xml:space="preserve">ly monitor the </w:t>
            </w:r>
            <w:r w:rsidR="00823FED">
              <w:rPr>
                <w:rFonts w:cs="Arial"/>
              </w:rPr>
              <w:t xml:space="preserve">quality </w:t>
            </w:r>
            <w:r w:rsidR="004F52B6">
              <w:rPr>
                <w:rFonts w:cs="Arial"/>
              </w:rPr>
              <w:t xml:space="preserve">and </w:t>
            </w:r>
            <w:r w:rsidR="00823FED">
              <w:rPr>
                <w:rFonts w:cs="Arial"/>
              </w:rPr>
              <w:t xml:space="preserve">accuracy of observations that are collected by each observer </w:t>
            </w:r>
            <w:r w:rsidR="00344592">
              <w:rPr>
                <w:rFonts w:cs="Arial"/>
              </w:rPr>
              <w:t xml:space="preserve">through </w:t>
            </w:r>
            <w:r w:rsidR="00823FED">
              <w:rPr>
                <w:rFonts w:cs="Arial"/>
              </w:rPr>
              <w:t xml:space="preserve">initial and recurrent validation (at least once a year) of hand hygiene compliance observers. </w:t>
            </w:r>
            <w:r w:rsidR="00823FED" w:rsidRPr="00B41400">
              <w:t xml:space="preserve">This would include having an individual </w:t>
            </w:r>
            <w:r w:rsidR="00823FED">
              <w:t>trained in i</w:t>
            </w:r>
            <w:r w:rsidR="00823FED" w:rsidRPr="00B41400">
              <w:t xml:space="preserve">nfection </w:t>
            </w:r>
            <w:r w:rsidR="00823FED">
              <w:t>c</w:t>
            </w:r>
            <w:r w:rsidR="00823FED" w:rsidRPr="00B41400">
              <w:t>ontrol simultaneously collecting data with the hand hygiene compliance observers and comparing results.</w:t>
            </w:r>
            <w:r w:rsidR="00823FED">
              <w:t xml:space="preserve"> Alternatively,</w:t>
            </w:r>
            <w:r w:rsidR="00823FED" w:rsidRPr="009B4891">
              <w:t xml:space="preserve"> videos which include an interactive assessment and completion of an observation form, such as the</w:t>
            </w:r>
            <w:r w:rsidR="00823FED">
              <w:t xml:space="preserve"> </w:t>
            </w:r>
            <w:hyperlink r:id="rId386" w:history="1">
              <w:r w:rsidR="00823FED" w:rsidRPr="00F630DD">
                <w:rPr>
                  <w:rStyle w:val="Hyperlink"/>
                </w:rPr>
                <w:t>WHO Hand Hygiene Training Film</w:t>
              </w:r>
            </w:hyperlink>
            <w:r w:rsidR="00823FED" w:rsidRPr="009B4891">
              <w:t xml:space="preserve"> </w:t>
            </w:r>
            <w:r w:rsidR="00823FED">
              <w:t xml:space="preserve">and </w:t>
            </w:r>
            <w:hyperlink r:id="rId387" w:history="1">
              <w:r w:rsidR="00823FED">
                <w:rPr>
                  <w:rStyle w:val="Hyperlink"/>
                </w:rPr>
                <w:t>Slides Accompanying the Training Films</w:t>
              </w:r>
            </w:hyperlink>
            <w:r w:rsidR="00823FED" w:rsidRPr="009B4891">
              <w:t xml:space="preserve">, </w:t>
            </w:r>
            <w:hyperlink r:id="rId388" w:history="1">
              <w:r w:rsidR="00823FED" w:rsidRPr="00F630DD">
                <w:rPr>
                  <w:rStyle w:val="Hyperlink"/>
                </w:rPr>
                <w:t>Videos from Han</w:t>
              </w:r>
              <w:r w:rsidR="00823FED">
                <w:rPr>
                  <w:rStyle w:val="Hyperlink"/>
                </w:rPr>
                <w:t>d</w:t>
              </w:r>
              <w:r w:rsidR="00823FED" w:rsidRPr="00F630DD">
                <w:rPr>
                  <w:rStyle w:val="Hyperlink"/>
                </w:rPr>
                <w:t xml:space="preserve"> Hygiene Australia</w:t>
              </w:r>
            </w:hyperlink>
            <w:r w:rsidR="00823FED">
              <w:t xml:space="preserve">, or internally developed videos with assessment, </w:t>
            </w:r>
            <w:r w:rsidR="00823FED" w:rsidRPr="009B4891">
              <w:t xml:space="preserve">would also be sufficient </w:t>
            </w:r>
            <w:r w:rsidR="00823FED">
              <w:t xml:space="preserve">for </w:t>
            </w:r>
            <w:r w:rsidR="00823FED" w:rsidRPr="009B4891">
              <w:t>validating hand hygiene compliance observers</w:t>
            </w:r>
            <w:r w:rsidR="00823FED">
              <w:t>. H</w:t>
            </w:r>
            <w:r w:rsidR="00823FED" w:rsidRPr="009B4891">
              <w:t xml:space="preserve">ospitals </w:t>
            </w:r>
            <w:r w:rsidR="004242DB">
              <w:t>must</w:t>
            </w:r>
            <w:r w:rsidR="00823FED" w:rsidRPr="009B4891">
              <w:t xml:space="preserve"> expand the testing scenarios that are included in the</w:t>
            </w:r>
            <w:r w:rsidR="00823FED">
              <w:t xml:space="preserve"> </w:t>
            </w:r>
            <w:r w:rsidR="00823FED" w:rsidRPr="009B4891">
              <w:t>videos (i.e., the videos should be expanded to include: various types of individuals who touch patients or who touch items that will be used by patients, a larger number of scenarios where individuals are adherent and non-adherent, the inclusion of all moments observed, etc.)</w:t>
            </w:r>
            <w:r w:rsidR="00823FED">
              <w:t>.</w:t>
            </w:r>
            <w:bookmarkEnd w:id="542"/>
          </w:p>
        </w:tc>
      </w:tr>
    </w:tbl>
    <w:p w14:paraId="779D1570" w14:textId="77777777" w:rsidR="00823FED" w:rsidRDefault="00823FED" w:rsidP="00823FED"/>
    <w:p w14:paraId="604C65EB" w14:textId="0CAFB756" w:rsidR="00823FED" w:rsidRPr="009A5185" w:rsidRDefault="00823FED" w:rsidP="00823FED">
      <w:pPr>
        <w:rPr>
          <w:rFonts w:cs="Arial"/>
        </w:rPr>
      </w:pPr>
      <w:r w:rsidRPr="009A5185">
        <w:rPr>
          <w:rFonts w:cs="Arial"/>
          <w:color w:val="000000"/>
        </w:rPr>
        <w:t>See</w:t>
      </w:r>
      <w:r>
        <w:rPr>
          <w:rFonts w:cs="Arial"/>
          <w:color w:val="000000"/>
        </w:rPr>
        <w:t xml:space="preserve"> </w:t>
      </w:r>
      <w:hyperlink w:anchor="_Hand_Hygiene_1" w:history="1">
        <w:r>
          <w:rPr>
            <w:rStyle w:val="Hyperlink"/>
            <w:rFonts w:cs="Arial"/>
          </w:rPr>
          <w:t>FAQs</w:t>
        </w:r>
      </w:hyperlink>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p>
    <w:p w14:paraId="6DEEC880" w14:textId="77777777" w:rsidR="00823FED" w:rsidRPr="008147F3" w:rsidRDefault="00823FED" w:rsidP="00823FED">
      <w:pPr>
        <w:rPr>
          <w:b/>
          <w:snapToGrid w:val="0"/>
          <w:sz w:val="28"/>
          <w:szCs w:val="24"/>
          <w:u w:val="single"/>
          <w:lang w:eastAsia="ja-JP"/>
        </w:rPr>
      </w:pPr>
    </w:p>
    <w:p w14:paraId="26CE141D" w14:textId="572E71FF" w:rsidR="00C0336A" w:rsidRDefault="00745DD7">
      <w:bookmarkStart w:id="543" w:name="_Patient_Safety_Practices"/>
      <w:bookmarkEnd w:id="543"/>
      <w:r>
        <w:br w:type="page"/>
      </w:r>
    </w:p>
    <w:p w14:paraId="013FB492" w14:textId="2C597B0B" w:rsidR="00617ECE" w:rsidRPr="000C2C54" w:rsidRDefault="00786120" w:rsidP="00AB5B80">
      <w:pPr>
        <w:pStyle w:val="Heading3"/>
      </w:pPr>
      <w:bookmarkStart w:id="544" w:name="_Closing_the_Loop"/>
      <w:bookmarkStart w:id="545" w:name="_Emergency_Department_(ED)"/>
      <w:bookmarkStart w:id="546" w:name="_Hospital_Boarding_in"/>
      <w:bookmarkStart w:id="547" w:name="_Toc225877797"/>
      <w:bookmarkEnd w:id="544"/>
      <w:bookmarkEnd w:id="545"/>
      <w:bookmarkEnd w:id="546"/>
      <w:r>
        <w:lastRenderedPageBreak/>
        <w:t xml:space="preserve">Hospital Boarding in the </w:t>
      </w:r>
      <w:r w:rsidR="00617ECE">
        <w:t>Emergency Department (ED) Boarding Measure Specifications</w:t>
      </w:r>
      <w:bookmarkEnd w:id="547"/>
    </w:p>
    <w:p w14:paraId="03FF08EE" w14:textId="77777777" w:rsidR="00617ECE" w:rsidRPr="00371FEA" w:rsidRDefault="00617ECE" w:rsidP="00617ECE">
      <w:pPr>
        <w:rPr>
          <w:rFonts w:cs="Arial"/>
          <w:b/>
          <w:color w:val="FF0000"/>
          <w:lang w:eastAsia="ja-JP"/>
        </w:rPr>
      </w:pPr>
    </w:p>
    <w:p w14:paraId="0B37C212" w14:textId="509C8DF4" w:rsidR="00617ECE" w:rsidRDefault="00617ECE" w:rsidP="00440F7D">
      <w:pPr>
        <w:spacing w:after="120"/>
        <w:rPr>
          <w:rFonts w:cs="Arial"/>
          <w:snapToGrid w:val="0"/>
        </w:rPr>
      </w:pPr>
      <w:r w:rsidRPr="009A5185">
        <w:rPr>
          <w:rFonts w:cs="Arial"/>
          <w:b/>
          <w:color w:val="FF0000"/>
          <w:lang w:eastAsia="ja-JP"/>
        </w:rPr>
        <w:t>Important Note</w:t>
      </w:r>
      <w:r w:rsidR="002E5479">
        <w:rPr>
          <w:rFonts w:cs="Arial"/>
          <w:b/>
          <w:color w:val="FF0000"/>
          <w:lang w:eastAsia="ja-JP"/>
        </w:rPr>
        <w:t xml:space="preserve">: </w:t>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389" w:history="1">
        <w:r w:rsidRPr="009A5185">
          <w:rPr>
            <w:rStyle w:val="Hyperlink"/>
            <w:rFonts w:cs="Arial"/>
            <w:snapToGrid w:val="0"/>
          </w:rPr>
          <w:t>Leapfrog’s Multi-Campus Reporting Policy</w:t>
        </w:r>
      </w:hyperlink>
      <w:r w:rsidRPr="009A5185">
        <w:rPr>
          <w:rFonts w:cs="Arial"/>
          <w:snapToGrid w:val="0"/>
        </w:rPr>
        <w:t>.</w:t>
      </w:r>
    </w:p>
    <w:p w14:paraId="751CE0C3" w14:textId="77777777" w:rsidR="00617ECE" w:rsidRPr="007A60D4" w:rsidRDefault="00617ECE" w:rsidP="00617ECE">
      <w:pPr>
        <w:rPr>
          <w:rFonts w:cs="Arial"/>
          <w:snapToGrid w:val="0"/>
          <w:sz w:val="16"/>
          <w:szCs w:val="16"/>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2"/>
      </w:tblGrid>
      <w:tr w:rsidR="00617ECE" w:rsidRPr="009A5185" w14:paraId="209F86EC" w14:textId="77777777" w:rsidTr="00D73F6A">
        <w:trPr>
          <w:trHeight w:val="360"/>
          <w:jc w:val="center"/>
        </w:trPr>
        <w:tc>
          <w:tcPr>
            <w:tcW w:w="9562" w:type="dxa"/>
            <w:vAlign w:val="center"/>
          </w:tcPr>
          <w:p w14:paraId="6FE789D4" w14:textId="77777777" w:rsidR="00617ECE" w:rsidRPr="009A5185" w:rsidRDefault="00617ECE" w:rsidP="00D73F6A">
            <w:pPr>
              <w:rPr>
                <w:rFonts w:cs="Arial"/>
                <w:b/>
                <w:snapToGrid w:val="0"/>
              </w:rPr>
            </w:pPr>
            <w:bookmarkStart w:id="548" w:name="_Hlk182565468"/>
            <w:r>
              <w:rPr>
                <w:rFonts w:cs="Arial"/>
                <w:b/>
                <w:snapToGrid w:val="0"/>
              </w:rPr>
              <w:t xml:space="preserve">Source: </w:t>
            </w:r>
            <w:r w:rsidRPr="002F0E9F">
              <w:rPr>
                <w:rFonts w:cs="Arial"/>
                <w:bCs/>
                <w:snapToGrid w:val="0"/>
              </w:rPr>
              <w:t>The Leapfrog Group</w:t>
            </w:r>
          </w:p>
        </w:tc>
      </w:tr>
      <w:tr w:rsidR="00617ECE" w:rsidRPr="009A5185" w14:paraId="79E8ADB6" w14:textId="77777777" w:rsidTr="00D73F6A">
        <w:trPr>
          <w:trHeight w:val="360"/>
          <w:jc w:val="center"/>
        </w:trPr>
        <w:tc>
          <w:tcPr>
            <w:tcW w:w="9562" w:type="dxa"/>
            <w:vAlign w:val="center"/>
          </w:tcPr>
          <w:p w14:paraId="2307DDC8" w14:textId="77777777" w:rsidR="00617ECE" w:rsidRPr="00BB3760" w:rsidRDefault="00617ECE" w:rsidP="00D73F6A">
            <w:pPr>
              <w:rPr>
                <w:rFonts w:cs="Arial"/>
                <w:bCs/>
                <w:snapToGrid w:val="0"/>
              </w:rPr>
            </w:pPr>
            <w:r w:rsidRPr="00BB3760">
              <w:rPr>
                <w:rFonts w:cs="Arial"/>
                <w:b/>
                <w:snapToGrid w:val="0"/>
              </w:rPr>
              <w:t>Reporting Period: 12 months</w:t>
            </w:r>
          </w:p>
          <w:p w14:paraId="7FD41785" w14:textId="77777777" w:rsidR="00617ECE" w:rsidRPr="00BB3760" w:rsidRDefault="00617ECE" w:rsidP="00AD309C">
            <w:pPr>
              <w:pStyle w:val="ListParagraph"/>
              <w:numPr>
                <w:ilvl w:val="0"/>
                <w:numId w:val="151"/>
              </w:numPr>
              <w:rPr>
                <w:rFonts w:cs="Arial"/>
                <w:bCs/>
              </w:rPr>
            </w:pPr>
            <w:r w:rsidRPr="00BB3760">
              <w:rPr>
                <w:rFonts w:cs="Arial"/>
                <w:bCs/>
              </w:rPr>
              <w:t>Survey submitted prior to September 1:</w:t>
            </w:r>
          </w:p>
          <w:p w14:paraId="06974FAB" w14:textId="0E895174" w:rsidR="00617ECE" w:rsidRPr="00BB3760" w:rsidRDefault="00617ECE" w:rsidP="00AD309C">
            <w:pPr>
              <w:pStyle w:val="ListParagraph"/>
              <w:numPr>
                <w:ilvl w:val="1"/>
                <w:numId w:val="151"/>
              </w:numPr>
              <w:rPr>
                <w:rFonts w:cs="Arial"/>
                <w:bCs/>
              </w:rPr>
            </w:pPr>
            <w:r w:rsidRPr="00BB3760">
              <w:rPr>
                <w:rFonts w:cs="Arial"/>
                <w:bCs/>
              </w:rPr>
              <w:t>01/01/202</w:t>
            </w:r>
            <w:r w:rsidR="007D696C">
              <w:rPr>
                <w:rFonts w:cs="Arial"/>
                <w:bCs/>
              </w:rPr>
              <w:t>5</w:t>
            </w:r>
            <w:r w:rsidRPr="00BB3760">
              <w:rPr>
                <w:rFonts w:cs="Arial"/>
                <w:bCs/>
              </w:rPr>
              <w:t xml:space="preserve"> – 12/31/202</w:t>
            </w:r>
            <w:r w:rsidR="007D696C">
              <w:rPr>
                <w:rFonts w:cs="Arial"/>
                <w:bCs/>
              </w:rPr>
              <w:t>5</w:t>
            </w:r>
          </w:p>
          <w:p w14:paraId="75D7FA75" w14:textId="77777777" w:rsidR="00617ECE" w:rsidRDefault="00617ECE" w:rsidP="00AD309C">
            <w:pPr>
              <w:pStyle w:val="ListParagraph"/>
              <w:numPr>
                <w:ilvl w:val="0"/>
                <w:numId w:val="151"/>
              </w:numPr>
              <w:rPr>
                <w:rFonts w:cs="Arial"/>
                <w:bCs/>
              </w:rPr>
            </w:pPr>
            <w:r w:rsidRPr="00BB3760">
              <w:rPr>
                <w:rFonts w:cs="Arial"/>
                <w:bCs/>
              </w:rPr>
              <w:t>Surveys submitted on or after September 1:</w:t>
            </w:r>
          </w:p>
          <w:p w14:paraId="79B04234" w14:textId="7C099C04" w:rsidR="00617ECE" w:rsidRPr="001F2388" w:rsidRDefault="00617ECE" w:rsidP="00AD309C">
            <w:pPr>
              <w:pStyle w:val="ListParagraph"/>
              <w:numPr>
                <w:ilvl w:val="1"/>
                <w:numId w:val="151"/>
              </w:numPr>
              <w:rPr>
                <w:rFonts w:cs="Arial"/>
                <w:bCs/>
              </w:rPr>
            </w:pPr>
            <w:r w:rsidRPr="007411DF">
              <w:rPr>
                <w:rFonts w:cs="Arial"/>
                <w:bCs/>
              </w:rPr>
              <w:t>07/01/202</w:t>
            </w:r>
            <w:r w:rsidR="007D696C">
              <w:rPr>
                <w:rFonts w:cs="Arial"/>
                <w:bCs/>
              </w:rPr>
              <w:t>5</w:t>
            </w:r>
            <w:r w:rsidRPr="007411DF">
              <w:rPr>
                <w:rFonts w:cs="Arial"/>
                <w:bCs/>
              </w:rPr>
              <w:t xml:space="preserve"> – 06/30/202</w:t>
            </w:r>
            <w:r w:rsidR="007D696C">
              <w:rPr>
                <w:rFonts w:cs="Arial"/>
                <w:bCs/>
              </w:rPr>
              <w:t>6</w:t>
            </w:r>
          </w:p>
        </w:tc>
      </w:tr>
      <w:tr w:rsidR="00E506B4" w:rsidRPr="009A5185" w14:paraId="103FC3A9" w14:textId="77777777" w:rsidTr="00D73F6A">
        <w:trPr>
          <w:trHeight w:val="360"/>
          <w:jc w:val="center"/>
        </w:trPr>
        <w:tc>
          <w:tcPr>
            <w:tcW w:w="9562" w:type="dxa"/>
            <w:vAlign w:val="center"/>
          </w:tcPr>
          <w:p w14:paraId="676AFE86" w14:textId="0A26061C" w:rsidR="00E506B4" w:rsidRDefault="001D39C7" w:rsidP="00D73F6A">
            <w:pPr>
              <w:rPr>
                <w:rFonts w:cs="Arial"/>
                <w:b/>
                <w:snapToGrid w:val="0"/>
              </w:rPr>
            </w:pPr>
            <w:r>
              <w:rPr>
                <w:rFonts w:cs="Arial"/>
                <w:b/>
                <w:snapToGrid w:val="0"/>
              </w:rPr>
              <w:t xml:space="preserve">Hospital Boarding in the ED </w:t>
            </w:r>
            <w:r w:rsidRPr="00D75A1C">
              <w:rPr>
                <w:rFonts w:cs="Arial"/>
                <w:b/>
                <w:snapToGrid w:val="0"/>
              </w:rPr>
              <w:t>Workbook (Excel)</w:t>
            </w:r>
            <w:r>
              <w:rPr>
                <w:rFonts w:cs="Arial"/>
                <w:b/>
                <w:snapToGrid w:val="0"/>
              </w:rPr>
              <w:t xml:space="preserve">: </w:t>
            </w:r>
          </w:p>
          <w:p w14:paraId="2F5064B6" w14:textId="77777777" w:rsidR="00732E39" w:rsidRDefault="00732E39" w:rsidP="00732E39">
            <w:pPr>
              <w:rPr>
                <w:rFonts w:cs="Arial"/>
                <w:bCs/>
                <w:snapToGrid w:val="0"/>
              </w:rPr>
            </w:pPr>
          </w:p>
          <w:p w14:paraId="0AB1E383" w14:textId="482C0397" w:rsidR="00C52D7A" w:rsidRDefault="00732E39" w:rsidP="00732E39">
            <w:pPr>
              <w:rPr>
                <w:rFonts w:cs="Arial"/>
                <w:bCs/>
                <w:snapToGrid w:val="0"/>
              </w:rPr>
            </w:pPr>
            <w:r w:rsidRPr="00732E39">
              <w:rPr>
                <w:rFonts w:cs="Arial"/>
                <w:bCs/>
                <w:snapToGrid w:val="0"/>
              </w:rPr>
              <w:t xml:space="preserve">To complete the data collection and respond to questions #4-5, hospitals should download the Hospital Boarding in the Emergency Department Workbook (Excel). This workbook includes five tabs: Instructions, Adult Inpatient Non-Psychiatric, Adult Psychiatric, Pediatric Inpatient Non-Psychiatric, Pediatric Psychiatric. </w:t>
            </w:r>
            <w:r w:rsidR="003E1E9B">
              <w:rPr>
                <w:rFonts w:cs="Arial"/>
                <w:bCs/>
                <w:snapToGrid w:val="0"/>
              </w:rPr>
              <w:t xml:space="preserve">The workbook can be used to calculate the </w:t>
            </w:r>
            <w:r w:rsidRPr="00732E39">
              <w:rPr>
                <w:rFonts w:cs="Arial"/>
                <w:bCs/>
                <w:snapToGrid w:val="0"/>
              </w:rPr>
              <w:t>responses to questions #4</w:t>
            </w:r>
            <w:r w:rsidR="00C52D7A">
              <w:rPr>
                <w:rFonts w:cs="Arial"/>
                <w:bCs/>
                <w:snapToGrid w:val="0"/>
              </w:rPr>
              <w:t xml:space="preserve"> and #5:</w:t>
            </w:r>
          </w:p>
          <w:p w14:paraId="44B6FCAD" w14:textId="77777777" w:rsidR="00E76094" w:rsidRPr="00E76094" w:rsidRDefault="00E76094" w:rsidP="00E76094">
            <w:pPr>
              <w:pStyle w:val="ListParagraph"/>
              <w:numPr>
                <w:ilvl w:val="0"/>
                <w:numId w:val="458"/>
              </w:numPr>
              <w:rPr>
                <w:rFonts w:cs="Arial"/>
                <w:bCs/>
                <w:snapToGrid w:val="0"/>
              </w:rPr>
            </w:pPr>
            <w:r w:rsidRPr="00E76094">
              <w:rPr>
                <w:rFonts w:cs="Arial"/>
                <w:bCs/>
                <w:snapToGrid w:val="0"/>
              </w:rPr>
              <w:t>(b) Number of ED visits indicated in column (a) with a boarding time greater than 4 hours</w:t>
            </w:r>
          </w:p>
          <w:p w14:paraId="3B085C81" w14:textId="77777777" w:rsidR="00E76094" w:rsidRPr="00E76094" w:rsidRDefault="00E76094" w:rsidP="00E76094">
            <w:pPr>
              <w:pStyle w:val="ListParagraph"/>
              <w:numPr>
                <w:ilvl w:val="0"/>
                <w:numId w:val="458"/>
              </w:numPr>
              <w:rPr>
                <w:rFonts w:cs="Arial"/>
                <w:bCs/>
                <w:snapToGrid w:val="0"/>
              </w:rPr>
            </w:pPr>
            <w:r w:rsidRPr="00E76094">
              <w:rPr>
                <w:rFonts w:cs="Arial"/>
                <w:bCs/>
                <w:snapToGrid w:val="0"/>
              </w:rPr>
              <w:t>(c) Total boarding time (in hours) for ED visits indicated in column (a)</w:t>
            </w:r>
          </w:p>
          <w:p w14:paraId="4AD18AAB" w14:textId="77777777" w:rsidR="00E76094" w:rsidRPr="00E76094" w:rsidRDefault="00E76094" w:rsidP="00E76094">
            <w:pPr>
              <w:pStyle w:val="ListParagraph"/>
              <w:numPr>
                <w:ilvl w:val="0"/>
                <w:numId w:val="458"/>
              </w:numPr>
              <w:rPr>
                <w:rFonts w:cs="Arial"/>
                <w:bCs/>
                <w:snapToGrid w:val="0"/>
              </w:rPr>
            </w:pPr>
            <w:r w:rsidRPr="00E76094">
              <w:rPr>
                <w:rFonts w:cs="Arial"/>
                <w:bCs/>
                <w:snapToGrid w:val="0"/>
              </w:rPr>
              <w:t>(d) Median number of hours spent in the ED for ED visits indicated in column (a)</w:t>
            </w:r>
          </w:p>
          <w:p w14:paraId="13AD8A15" w14:textId="1F4AFE2F" w:rsidR="00CF41B4" w:rsidRPr="00CF41B4" w:rsidRDefault="00E76094" w:rsidP="005A1909">
            <w:pPr>
              <w:pStyle w:val="ListParagraph"/>
              <w:numPr>
                <w:ilvl w:val="0"/>
                <w:numId w:val="458"/>
              </w:numPr>
              <w:rPr>
                <w:rFonts w:cs="Arial"/>
                <w:bCs/>
                <w:snapToGrid w:val="0"/>
              </w:rPr>
            </w:pPr>
            <w:r w:rsidRPr="00E76094">
              <w:rPr>
                <w:rFonts w:cs="Arial"/>
                <w:bCs/>
                <w:snapToGrid w:val="0"/>
              </w:rPr>
              <w:t>(e) 90th percentile of hours spent in the ED for ED visits indicated in column (a)</w:t>
            </w:r>
          </w:p>
          <w:p w14:paraId="260F1CDC" w14:textId="77777777" w:rsidR="00732E39" w:rsidRDefault="00732E39" w:rsidP="005A1909">
            <w:pPr>
              <w:pStyle w:val="ListParagraph"/>
              <w:rPr>
                <w:b/>
                <w:snapToGrid w:val="0"/>
              </w:rPr>
            </w:pPr>
          </w:p>
          <w:p w14:paraId="63E2D62F" w14:textId="0D4BD6EB" w:rsidR="00732E39" w:rsidRPr="00BB3760" w:rsidRDefault="00732E39" w:rsidP="00D73F6A">
            <w:pPr>
              <w:rPr>
                <w:rFonts w:cs="Arial"/>
                <w:b/>
                <w:snapToGrid w:val="0"/>
              </w:rPr>
            </w:pPr>
            <w:r>
              <w:t xml:space="preserve">The workbook is available on the </w:t>
            </w:r>
            <w:hyperlink r:id="rId390" w:history="1">
              <w:r w:rsidRPr="00AD5B49">
                <w:rPr>
                  <w:rStyle w:val="Hyperlink"/>
                </w:rPr>
                <w:t>Survey Materials Webpage</w:t>
              </w:r>
            </w:hyperlink>
            <w:r>
              <w:t xml:space="preserve">. </w:t>
            </w:r>
          </w:p>
        </w:tc>
      </w:tr>
      <w:tr w:rsidR="00617ECE" w:rsidRPr="009A5185" w14:paraId="0DC35FA5" w14:textId="77777777" w:rsidTr="00D73F6A">
        <w:trPr>
          <w:trHeight w:val="467"/>
          <w:jc w:val="center"/>
        </w:trPr>
        <w:tc>
          <w:tcPr>
            <w:tcW w:w="9562" w:type="dxa"/>
            <w:vAlign w:val="center"/>
          </w:tcPr>
          <w:p w14:paraId="6E5D23D0" w14:textId="77777777" w:rsidR="00617ECE" w:rsidRPr="008820E0" w:rsidRDefault="00617ECE" w:rsidP="00D73F6A">
            <w:pPr>
              <w:rPr>
                <w:rFonts w:cs="Arial"/>
                <w:bCs/>
              </w:rPr>
            </w:pPr>
            <w:r w:rsidRPr="008820E0">
              <w:rPr>
                <w:rFonts w:cs="Arial"/>
                <w:b/>
              </w:rPr>
              <w:t xml:space="preserve">Included Units: </w:t>
            </w:r>
          </w:p>
          <w:p w14:paraId="0633D6C8" w14:textId="508A6E5E" w:rsidR="00617ECE" w:rsidRPr="005C4D4C" w:rsidRDefault="00617ECE" w:rsidP="005C4D4C">
            <w:pPr>
              <w:pStyle w:val="ListParagraph"/>
              <w:numPr>
                <w:ilvl w:val="0"/>
                <w:numId w:val="458"/>
              </w:numPr>
              <w:rPr>
                <w:rFonts w:cs="Arial"/>
                <w:bCs/>
              </w:rPr>
            </w:pPr>
            <w:hyperlink w:anchor="emergencydepartment_endnote" w:history="1">
              <w:r w:rsidRPr="005C4D4C">
                <w:rPr>
                  <w:rStyle w:val="Hyperlink"/>
                  <w:rFonts w:cs="Arial"/>
                  <w:bCs/>
                </w:rPr>
                <w:t>Dedicated Emergency Department</w:t>
              </w:r>
            </w:hyperlink>
            <w:r w:rsidR="00763439" w:rsidRPr="005C4D4C">
              <w:rPr>
                <w:rFonts w:cs="Arial"/>
                <w:bCs/>
                <w:vertAlign w:val="superscript"/>
              </w:rPr>
              <w:t>4</w:t>
            </w:r>
            <w:r w:rsidR="00CD6F6B" w:rsidRPr="005C4D4C">
              <w:rPr>
                <w:rFonts w:cs="Arial"/>
                <w:bCs/>
                <w:vertAlign w:val="superscript"/>
              </w:rPr>
              <w:t>6</w:t>
            </w:r>
            <w:r w:rsidR="00FA48A3" w:rsidRPr="005C4D4C">
              <w:rPr>
                <w:rFonts w:cs="Arial"/>
                <w:bCs/>
                <w:vertAlign w:val="superscript"/>
              </w:rPr>
              <w:t xml:space="preserve"> </w:t>
            </w:r>
            <w:r w:rsidR="00FA48A3" w:rsidRPr="005C4D4C">
              <w:rPr>
                <w:rFonts w:cs="Arial"/>
                <w:bCs/>
              </w:rPr>
              <w:t>(adult, pediatric, and adult/pediatric)</w:t>
            </w:r>
          </w:p>
        </w:tc>
      </w:tr>
      <w:tr w:rsidR="000F1C53" w:rsidRPr="009A5185" w14:paraId="61A36BEC" w14:textId="77777777" w:rsidTr="00D73F6A">
        <w:trPr>
          <w:trHeight w:val="20"/>
          <w:jc w:val="center"/>
        </w:trPr>
        <w:tc>
          <w:tcPr>
            <w:tcW w:w="9562" w:type="dxa"/>
            <w:vAlign w:val="center"/>
          </w:tcPr>
          <w:p w14:paraId="337E6C70" w14:textId="7987C125" w:rsidR="000F1C53" w:rsidRPr="008820E0" w:rsidRDefault="000F1C53" w:rsidP="000F1C53">
            <w:pPr>
              <w:rPr>
                <w:rFonts w:cs="Arial"/>
              </w:rPr>
            </w:pPr>
            <w:r w:rsidRPr="008820E0">
              <w:rPr>
                <w:rFonts w:cs="Arial"/>
                <w:b/>
                <w:bCs/>
              </w:rPr>
              <w:t xml:space="preserve">Question #4, column </w:t>
            </w:r>
            <w:r w:rsidR="00083AAA" w:rsidRPr="008820E0">
              <w:rPr>
                <w:rFonts w:cs="Arial"/>
                <w:b/>
                <w:bCs/>
              </w:rPr>
              <w:t>a</w:t>
            </w:r>
            <w:r w:rsidRPr="008820E0">
              <w:rPr>
                <w:rFonts w:cs="Arial"/>
                <w:b/>
                <w:bCs/>
              </w:rPr>
              <w:t xml:space="preserve">: </w:t>
            </w:r>
            <w:r w:rsidRPr="008820E0">
              <w:rPr>
                <w:rFonts w:cs="Arial"/>
              </w:rPr>
              <w:t xml:space="preserve">Total number of ED </w:t>
            </w:r>
            <w:r w:rsidRPr="008820E0">
              <w:rPr>
                <w:rFonts w:cs="Arial"/>
                <w:b/>
                <w:bCs/>
                <w:u w:val="single"/>
              </w:rPr>
              <w:t>visits</w:t>
            </w:r>
            <w:r w:rsidRPr="008820E0">
              <w:rPr>
                <w:rFonts w:cs="Arial"/>
              </w:rPr>
              <w:t xml:space="preserve"> with an inpatient admission or </w:t>
            </w:r>
            <w:r w:rsidR="002D41F9" w:rsidRPr="008820E0">
              <w:rPr>
                <w:rFonts w:cs="Arial"/>
              </w:rPr>
              <w:t>where the patient was placed in</w:t>
            </w:r>
            <w:r w:rsidR="00CA2231" w:rsidRPr="008820E0">
              <w:rPr>
                <w:rFonts w:cs="Arial"/>
              </w:rPr>
              <w:t xml:space="preserve"> hospital</w:t>
            </w:r>
            <w:r w:rsidR="002D41F9" w:rsidRPr="008820E0">
              <w:rPr>
                <w:bCs/>
              </w:rPr>
              <w:t xml:space="preserve"> </w:t>
            </w:r>
            <w:r w:rsidRPr="008820E0">
              <w:rPr>
                <w:rFonts w:cs="Arial"/>
              </w:rPr>
              <w:t>observation status.</w:t>
            </w:r>
          </w:p>
          <w:p w14:paraId="1412CF78" w14:textId="77777777" w:rsidR="000F1C53" w:rsidRPr="008820E0" w:rsidRDefault="000F1C53" w:rsidP="000F1C53">
            <w:pPr>
              <w:rPr>
                <w:rFonts w:cs="Arial"/>
                <w:b/>
                <w:bCs/>
              </w:rPr>
            </w:pPr>
          </w:p>
          <w:p w14:paraId="30ADECB6" w14:textId="77777777" w:rsidR="000F1C53" w:rsidRDefault="000F1C53" w:rsidP="000F1C53">
            <w:pPr>
              <w:rPr>
                <w:rFonts w:cs="Arial"/>
                <w:bCs/>
              </w:rPr>
            </w:pPr>
            <w:r w:rsidRPr="008820E0">
              <w:rPr>
                <w:rFonts w:cs="Arial"/>
              </w:rPr>
              <w:t xml:space="preserve">Enter the total </w:t>
            </w:r>
            <w:r w:rsidRPr="008820E0">
              <w:rPr>
                <w:rFonts w:cs="Arial"/>
                <w:bCs/>
              </w:rPr>
              <w:t>number of emergency department (ED) visits during the reporting period for each of the following admission types:</w:t>
            </w:r>
          </w:p>
          <w:p w14:paraId="1B5ECBD9" w14:textId="4B5283E4" w:rsidR="000F1C53" w:rsidRPr="008820E0" w:rsidRDefault="00B42501" w:rsidP="000F1C53">
            <w:pPr>
              <w:ind w:left="720"/>
              <w:rPr>
                <w:b/>
                <w:bCs/>
              </w:rPr>
            </w:pPr>
            <w:r w:rsidRPr="007F2F8A">
              <w:t>P</w:t>
            </w:r>
            <w:r w:rsidR="000F1C53" w:rsidRPr="008820E0">
              <w:t xml:space="preserve">atients admitted to an </w:t>
            </w:r>
            <w:r w:rsidR="00F878B6">
              <w:t xml:space="preserve">adult </w:t>
            </w:r>
            <w:r w:rsidR="000F1C53" w:rsidRPr="008820E0">
              <w:t xml:space="preserve">inpatient </w:t>
            </w:r>
            <w:r w:rsidR="000F1C53" w:rsidRPr="008820E0">
              <w:rPr>
                <w:b/>
                <w:bCs/>
              </w:rPr>
              <w:t>non-psychiatric bed</w:t>
            </w:r>
          </w:p>
          <w:p w14:paraId="1EBF137C" w14:textId="4467732B" w:rsidR="000F1C53" w:rsidRPr="008820E0" w:rsidRDefault="00B42501" w:rsidP="000F1C53">
            <w:pPr>
              <w:ind w:left="720"/>
              <w:rPr>
                <w:b/>
                <w:bCs/>
              </w:rPr>
            </w:pPr>
            <w:r>
              <w:t>P</w:t>
            </w:r>
            <w:r w:rsidR="000F1C53" w:rsidRPr="008820E0">
              <w:t xml:space="preserve">atients admitted to an </w:t>
            </w:r>
            <w:r w:rsidR="00F878B6">
              <w:t xml:space="preserve">adult </w:t>
            </w:r>
            <w:r w:rsidR="000F1C53" w:rsidRPr="008820E0">
              <w:t xml:space="preserve">inpatient </w:t>
            </w:r>
            <w:r w:rsidR="000F1C53" w:rsidRPr="008820E0">
              <w:rPr>
                <w:b/>
                <w:bCs/>
              </w:rPr>
              <w:t>psychiatric bed</w:t>
            </w:r>
          </w:p>
          <w:p w14:paraId="235B32BF" w14:textId="77777777" w:rsidR="000F1C53" w:rsidRPr="008820E0" w:rsidRDefault="000F1C53" w:rsidP="000F1C53">
            <w:pPr>
              <w:rPr>
                <w:rFonts w:cs="Arial"/>
                <w:snapToGrid w:val="0"/>
                <w:sz w:val="16"/>
                <w:szCs w:val="16"/>
              </w:rPr>
            </w:pPr>
          </w:p>
          <w:p w14:paraId="7CB693CA" w14:textId="77777777" w:rsidR="000F1C53" w:rsidRPr="008820E0" w:rsidRDefault="000F1C53" w:rsidP="000F1C53">
            <w:pPr>
              <w:rPr>
                <w:rFonts w:cs="Arial"/>
                <w:snapToGrid w:val="0"/>
              </w:rPr>
            </w:pPr>
            <w:r w:rsidRPr="008820E0">
              <w:rPr>
                <w:rFonts w:cs="Arial"/>
                <w:b/>
                <w:snapToGrid w:val="0"/>
              </w:rPr>
              <w:t>Include:</w:t>
            </w:r>
          </w:p>
          <w:p w14:paraId="03509463" w14:textId="5A087EFB" w:rsidR="000F1C53" w:rsidRPr="001C4D9F" w:rsidRDefault="000F1C53" w:rsidP="00AD309C">
            <w:pPr>
              <w:pStyle w:val="ListParagraph"/>
              <w:numPr>
                <w:ilvl w:val="0"/>
                <w:numId w:val="85"/>
              </w:numPr>
              <w:rPr>
                <w:rFonts w:cs="Arial"/>
                <w:lang w:eastAsia="ja-JP"/>
              </w:rPr>
            </w:pPr>
            <w:r w:rsidRPr="008820E0">
              <w:rPr>
                <w:rFonts w:cs="Arial"/>
                <w:snapToGrid w:val="0"/>
              </w:rPr>
              <w:t xml:space="preserve">Patients with an ED visit that were admitted to the hospital’s inpatient setting or </w:t>
            </w:r>
            <w:r w:rsidR="00E96D79" w:rsidRPr="008820E0">
              <w:rPr>
                <w:rFonts w:cs="Arial"/>
                <w:snapToGrid w:val="0"/>
              </w:rPr>
              <w:t>placed in</w:t>
            </w:r>
            <w:r w:rsidRPr="008820E0">
              <w:rPr>
                <w:rFonts w:cs="Arial"/>
                <w:snapToGrid w:val="0"/>
              </w:rPr>
              <w:t xml:space="preserve"> hospital observation status.</w:t>
            </w:r>
          </w:p>
          <w:p w14:paraId="15DBA5CC" w14:textId="59CE1E40" w:rsidR="00A95B48" w:rsidRPr="001C4D9F" w:rsidRDefault="00E904E2" w:rsidP="00A95B48">
            <w:pPr>
              <w:pStyle w:val="ListParagraph"/>
              <w:numPr>
                <w:ilvl w:val="0"/>
                <w:numId w:val="85"/>
              </w:numPr>
              <w:rPr>
                <w:rFonts w:cs="Arial"/>
                <w:lang w:eastAsia="ja-JP"/>
              </w:rPr>
            </w:pPr>
            <w:r w:rsidRPr="00E904E2">
              <w:rPr>
                <w:rFonts w:cs="Arial"/>
                <w:snapToGrid w:val="0"/>
                <w:lang w:eastAsia="ja-JP"/>
              </w:rPr>
              <w:t xml:space="preserve">Patients with an ED visit that were admitted to the hospital’s </w:t>
            </w:r>
            <w:r w:rsidR="00A95B48" w:rsidRPr="00A95B48">
              <w:rPr>
                <w:rFonts w:cs="Arial"/>
                <w:snapToGrid w:val="0"/>
                <w:lang w:eastAsia="ja-JP"/>
              </w:rPr>
              <w:t xml:space="preserve">licensed detoxification beds should be included in this </w:t>
            </w:r>
            <w:r w:rsidR="0026086B">
              <w:rPr>
                <w:rFonts w:cs="Arial"/>
                <w:snapToGrid w:val="0"/>
                <w:lang w:eastAsia="ja-JP"/>
              </w:rPr>
              <w:t>question’</w:t>
            </w:r>
            <w:r w:rsidR="00A95B48" w:rsidRPr="00A95B48">
              <w:rPr>
                <w:rFonts w:cs="Arial"/>
                <w:snapToGrid w:val="0"/>
                <w:lang w:eastAsia="ja-JP"/>
              </w:rPr>
              <w:t xml:space="preserve">s </w:t>
            </w:r>
            <w:r w:rsidR="0038394E">
              <w:rPr>
                <w:rFonts w:cs="Arial"/>
                <w:snapToGrid w:val="0"/>
                <w:lang w:eastAsia="ja-JP"/>
              </w:rPr>
              <w:t xml:space="preserve">count of </w:t>
            </w:r>
            <w:r w:rsidR="001E4DDD">
              <w:rPr>
                <w:rFonts w:cs="Arial"/>
                <w:snapToGrid w:val="0"/>
                <w:lang w:eastAsia="ja-JP"/>
              </w:rPr>
              <w:t xml:space="preserve">patients admitted to inpatient </w:t>
            </w:r>
            <w:r w:rsidR="00A95B48" w:rsidRPr="00A95B48">
              <w:rPr>
                <w:rFonts w:cs="Arial"/>
                <w:snapToGrid w:val="0"/>
                <w:lang w:eastAsia="ja-JP"/>
              </w:rPr>
              <w:t>psychiatric beds</w:t>
            </w:r>
          </w:p>
          <w:p w14:paraId="5E3EB947" w14:textId="3D72C3A3" w:rsidR="00AC78AA" w:rsidRPr="00AC78AA" w:rsidRDefault="00AC78AA" w:rsidP="00AC78AA">
            <w:pPr>
              <w:pStyle w:val="ListParagraph"/>
              <w:numPr>
                <w:ilvl w:val="0"/>
                <w:numId w:val="85"/>
              </w:numPr>
              <w:rPr>
                <w:rFonts w:cs="Arial"/>
                <w:lang w:eastAsia="ja-JP"/>
              </w:rPr>
            </w:pPr>
            <w:r w:rsidRPr="00AC78AA">
              <w:rPr>
                <w:rFonts w:cs="Arial"/>
                <w:lang w:eastAsia="ja-JP"/>
              </w:rPr>
              <w:t>Patients with an ED visit that were admitted to a psychiatric unit located or co-located with the hospital, even if that unit operates under a separate CCN.</w:t>
            </w:r>
          </w:p>
          <w:p w14:paraId="455951F0" w14:textId="77777777" w:rsidR="000F1C53" w:rsidRPr="008820E0" w:rsidRDefault="000F1C53" w:rsidP="000F1C53">
            <w:pPr>
              <w:rPr>
                <w:rFonts w:cs="Arial"/>
                <w:lang w:eastAsia="ja-JP"/>
              </w:rPr>
            </w:pPr>
          </w:p>
          <w:p w14:paraId="0EA931F8" w14:textId="77777777" w:rsidR="000F1C53" w:rsidRPr="008820E0" w:rsidRDefault="000F1C53" w:rsidP="000F1C53">
            <w:pPr>
              <w:rPr>
                <w:rFonts w:cs="Arial"/>
                <w:b/>
                <w:bCs/>
                <w:lang w:eastAsia="ja-JP"/>
              </w:rPr>
            </w:pPr>
            <w:r w:rsidRPr="008820E0">
              <w:rPr>
                <w:rFonts w:cs="Arial"/>
                <w:b/>
                <w:bCs/>
                <w:lang w:eastAsia="ja-JP"/>
              </w:rPr>
              <w:t>Exclude:</w:t>
            </w:r>
          </w:p>
          <w:p w14:paraId="0BEEB00B" w14:textId="5728A411" w:rsidR="000F1C53" w:rsidRPr="008820E0" w:rsidRDefault="000F1C53" w:rsidP="00AD309C">
            <w:pPr>
              <w:pStyle w:val="ListParagraph"/>
              <w:numPr>
                <w:ilvl w:val="0"/>
                <w:numId w:val="85"/>
              </w:numPr>
              <w:rPr>
                <w:rFonts w:cs="Arial"/>
                <w:lang w:eastAsia="ja-JP"/>
              </w:rPr>
            </w:pPr>
            <w:r w:rsidRPr="008820E0">
              <w:rPr>
                <w:rFonts w:cs="Arial"/>
                <w:lang w:eastAsia="ja-JP"/>
              </w:rPr>
              <w:t xml:space="preserve">Patients with an ED visit that were </w:t>
            </w:r>
            <w:r w:rsidR="008A7A80" w:rsidRPr="008820E0">
              <w:rPr>
                <w:rFonts w:cs="Arial"/>
                <w:lang w:eastAsia="ja-JP"/>
              </w:rPr>
              <w:t>placed in</w:t>
            </w:r>
            <w:r w:rsidRPr="008820E0">
              <w:rPr>
                <w:rFonts w:cs="Arial"/>
                <w:lang w:eastAsia="ja-JP"/>
              </w:rPr>
              <w:t xml:space="preserve"> ED observation status.</w:t>
            </w:r>
          </w:p>
          <w:p w14:paraId="5EE44B45" w14:textId="04CE7A34" w:rsidR="000F1C53" w:rsidRPr="008820E0" w:rsidRDefault="00A536BD" w:rsidP="00A536BD">
            <w:pPr>
              <w:pStyle w:val="ListParagraph"/>
              <w:numPr>
                <w:ilvl w:val="0"/>
                <w:numId w:val="85"/>
              </w:numPr>
              <w:rPr>
                <w:rFonts w:cs="Arial"/>
                <w:lang w:eastAsia="ja-JP"/>
              </w:rPr>
            </w:pPr>
            <w:r w:rsidRPr="008820E0">
              <w:rPr>
                <w:rFonts w:cs="Arial"/>
                <w:lang w:eastAsia="ja-JP"/>
              </w:rPr>
              <w:t xml:space="preserve">Patients transferred to another hospital. </w:t>
            </w:r>
          </w:p>
          <w:p w14:paraId="372026F4" w14:textId="77777777" w:rsidR="00A536BD" w:rsidRPr="008820E0" w:rsidRDefault="00A536BD" w:rsidP="00A536BD">
            <w:pPr>
              <w:pStyle w:val="ListParagraph"/>
              <w:rPr>
                <w:rFonts w:cs="Arial"/>
                <w:lang w:eastAsia="ja-JP"/>
              </w:rPr>
            </w:pPr>
          </w:p>
          <w:p w14:paraId="77287586" w14:textId="6774D800" w:rsidR="000F1C53" w:rsidRPr="008820E0" w:rsidRDefault="000F1C53" w:rsidP="000F1C53">
            <w:pPr>
              <w:rPr>
                <w:rFonts w:cs="Arial"/>
              </w:rPr>
            </w:pPr>
            <w:r w:rsidRPr="008820E0">
              <w:rPr>
                <w:rFonts w:cs="Arial"/>
              </w:rPr>
              <w:t xml:space="preserve">Note: A patient can have multiple ED visits with a hospital admission </w:t>
            </w:r>
            <w:r w:rsidR="00EA1597" w:rsidRPr="008820E0">
              <w:rPr>
                <w:rFonts w:cs="Arial"/>
              </w:rPr>
              <w:t xml:space="preserve">and/or placed in hospital observation status </w:t>
            </w:r>
            <w:r w:rsidRPr="008820E0">
              <w:rPr>
                <w:rFonts w:cs="Arial"/>
              </w:rPr>
              <w:t xml:space="preserve">during the performance period so each patient ED visit with an inpatient admission </w:t>
            </w:r>
            <w:r w:rsidR="00F36236" w:rsidRPr="008820E0">
              <w:rPr>
                <w:rFonts w:cs="Arial"/>
              </w:rPr>
              <w:t>or</w:t>
            </w:r>
            <w:r w:rsidR="00E117B9" w:rsidRPr="008820E0">
              <w:rPr>
                <w:rFonts w:cs="Arial"/>
              </w:rPr>
              <w:t xml:space="preserve"> placement into hospital observation status is includ</w:t>
            </w:r>
            <w:r w:rsidRPr="008820E0">
              <w:rPr>
                <w:rFonts w:cs="Arial"/>
              </w:rPr>
              <w:t>ed in the denominator (question #4a).</w:t>
            </w:r>
          </w:p>
          <w:p w14:paraId="66317F40" w14:textId="77777777" w:rsidR="000F1C53" w:rsidRPr="008820E0" w:rsidRDefault="000F1C53" w:rsidP="000F1C53">
            <w:pPr>
              <w:rPr>
                <w:rFonts w:cs="Arial"/>
              </w:rPr>
            </w:pPr>
          </w:p>
          <w:p w14:paraId="0C4F84B9" w14:textId="6562E80A" w:rsidR="000F1C53" w:rsidRPr="008820E0" w:rsidRDefault="000F1C53" w:rsidP="000F1C53">
            <w:pPr>
              <w:rPr>
                <w:rFonts w:cs="Arial"/>
              </w:rPr>
            </w:pPr>
            <w:r w:rsidRPr="008820E0">
              <w:rPr>
                <w:rFonts w:cs="Arial"/>
                <w:b/>
                <w:bCs/>
                <w:i/>
                <w:iCs/>
              </w:rPr>
              <w:t xml:space="preserve">If the number of visits for an adult admission type is less than 10 (in column a), skip columns b, c, </w:t>
            </w:r>
            <w:r w:rsidR="00926F8B">
              <w:rPr>
                <w:rFonts w:cs="Arial"/>
                <w:b/>
                <w:bCs/>
                <w:i/>
                <w:iCs/>
              </w:rPr>
              <w:t xml:space="preserve">d, </w:t>
            </w:r>
            <w:r w:rsidRPr="008820E0">
              <w:rPr>
                <w:rFonts w:cs="Arial"/>
                <w:b/>
                <w:bCs/>
                <w:i/>
                <w:iCs/>
              </w:rPr>
              <w:t xml:space="preserve">and </w:t>
            </w:r>
            <w:r w:rsidR="00926F8B">
              <w:rPr>
                <w:rFonts w:cs="Arial"/>
                <w:b/>
                <w:bCs/>
                <w:i/>
                <w:iCs/>
              </w:rPr>
              <w:t>e</w:t>
            </w:r>
            <w:r w:rsidRPr="008820E0">
              <w:rPr>
                <w:rFonts w:cs="Arial"/>
                <w:b/>
                <w:bCs/>
                <w:i/>
                <w:iCs/>
              </w:rPr>
              <w:t xml:space="preserve"> and then move to the next admission type. </w:t>
            </w:r>
          </w:p>
        </w:tc>
      </w:tr>
      <w:tr w:rsidR="000F1C53" w:rsidRPr="009A5185" w14:paraId="20DC6F3B" w14:textId="77777777" w:rsidTr="006A35F6">
        <w:trPr>
          <w:trHeight w:val="1331"/>
          <w:jc w:val="center"/>
        </w:trPr>
        <w:tc>
          <w:tcPr>
            <w:tcW w:w="9562" w:type="dxa"/>
            <w:vAlign w:val="center"/>
          </w:tcPr>
          <w:p w14:paraId="3DC385AB" w14:textId="77777777" w:rsidR="000F1C53" w:rsidRPr="008820E0" w:rsidRDefault="000F1C53" w:rsidP="000F1C53">
            <w:pPr>
              <w:rPr>
                <w:rFonts w:cs="Arial"/>
              </w:rPr>
            </w:pPr>
            <w:r w:rsidRPr="008820E0">
              <w:rPr>
                <w:rFonts w:cs="Arial"/>
                <w:b/>
                <w:bCs/>
              </w:rPr>
              <w:lastRenderedPageBreak/>
              <w:t xml:space="preserve">Question #4, column b: </w:t>
            </w:r>
            <w:r w:rsidRPr="008820E0">
              <w:rPr>
                <w:rFonts w:cs="Arial"/>
              </w:rPr>
              <w:t xml:space="preserve">Number of ED </w:t>
            </w:r>
            <w:r w:rsidRPr="008820E0">
              <w:rPr>
                <w:rFonts w:cs="Arial"/>
                <w:b/>
                <w:bCs/>
                <w:u w:val="single"/>
              </w:rPr>
              <w:t>visits</w:t>
            </w:r>
            <w:r w:rsidRPr="008820E0">
              <w:rPr>
                <w:rFonts w:cs="Arial"/>
              </w:rPr>
              <w:t xml:space="preserve"> indicated in column (a) with a boarding time greater than 4 hours.</w:t>
            </w:r>
          </w:p>
          <w:p w14:paraId="10EBD8FA" w14:textId="77777777" w:rsidR="000F1C53" w:rsidRPr="008820E0" w:rsidRDefault="000F1C53" w:rsidP="000F1C53">
            <w:pPr>
              <w:rPr>
                <w:rFonts w:cs="Arial"/>
                <w:snapToGrid w:val="0"/>
              </w:rPr>
            </w:pPr>
          </w:p>
          <w:p w14:paraId="32EA39DF" w14:textId="32451832" w:rsidR="001633C9" w:rsidRPr="008820E0" w:rsidRDefault="000F1C53" w:rsidP="000F1C53">
            <w:pPr>
              <w:rPr>
                <w:rFonts w:cs="Arial"/>
                <w:bCs/>
              </w:rPr>
            </w:pPr>
            <w:r w:rsidRPr="008820E0">
              <w:rPr>
                <w:rFonts w:cs="Arial"/>
                <w:bCs/>
              </w:rPr>
              <w:t xml:space="preserve">Enter the total number of emergency department (ED) </w:t>
            </w:r>
            <w:r w:rsidRPr="008820E0">
              <w:rPr>
                <w:rFonts w:cs="Arial"/>
                <w:b/>
                <w:u w:val="single"/>
              </w:rPr>
              <w:t>visits</w:t>
            </w:r>
            <w:r w:rsidRPr="008820E0">
              <w:rPr>
                <w:rFonts w:cs="Arial"/>
                <w:bCs/>
              </w:rPr>
              <w:t xml:space="preserve"> indicated in column (a) with a boarding time greater than 4 hours for each of the following admission types:</w:t>
            </w:r>
          </w:p>
          <w:p w14:paraId="7CC7DF93" w14:textId="208E463D" w:rsidR="000F1C53" w:rsidRPr="008820E0" w:rsidRDefault="009573FA" w:rsidP="000F1C53">
            <w:pPr>
              <w:ind w:left="720"/>
              <w:rPr>
                <w:b/>
                <w:bCs/>
              </w:rPr>
            </w:pPr>
            <w:r>
              <w:t>P</w:t>
            </w:r>
            <w:r w:rsidR="000F1C53" w:rsidRPr="008820E0">
              <w:t xml:space="preserve">atients admitted to an </w:t>
            </w:r>
            <w:r w:rsidR="000C2CAF">
              <w:t xml:space="preserve">adult </w:t>
            </w:r>
            <w:r w:rsidR="000F1C53" w:rsidRPr="008820E0">
              <w:t xml:space="preserve">inpatient </w:t>
            </w:r>
            <w:r w:rsidR="000F1C53" w:rsidRPr="008820E0">
              <w:rPr>
                <w:b/>
                <w:bCs/>
              </w:rPr>
              <w:t>non-psychiatric bed</w:t>
            </w:r>
          </w:p>
          <w:p w14:paraId="1AD8F853" w14:textId="116C7C34" w:rsidR="000F1C53" w:rsidRPr="008820E0" w:rsidRDefault="009573FA" w:rsidP="000F1C53">
            <w:pPr>
              <w:ind w:left="720"/>
              <w:rPr>
                <w:b/>
                <w:bCs/>
              </w:rPr>
            </w:pPr>
            <w:r>
              <w:t>P</w:t>
            </w:r>
            <w:r w:rsidR="000F1C53" w:rsidRPr="008820E0">
              <w:t xml:space="preserve">atients admitted to an </w:t>
            </w:r>
            <w:r w:rsidR="000C2CAF">
              <w:t xml:space="preserve">adult </w:t>
            </w:r>
            <w:r w:rsidR="000F1C53" w:rsidRPr="008820E0">
              <w:t xml:space="preserve">inpatient </w:t>
            </w:r>
            <w:r w:rsidR="000F1C53" w:rsidRPr="008820E0">
              <w:rPr>
                <w:b/>
                <w:bCs/>
              </w:rPr>
              <w:t>psychiatric bed</w:t>
            </w:r>
          </w:p>
          <w:p w14:paraId="10BB4D9D" w14:textId="77777777" w:rsidR="000F1C53" w:rsidRPr="008820E0" w:rsidRDefault="000F1C53" w:rsidP="000F1C53">
            <w:pPr>
              <w:rPr>
                <w:rFonts w:cs="Arial"/>
                <w:snapToGrid w:val="0"/>
              </w:rPr>
            </w:pPr>
          </w:p>
          <w:p w14:paraId="7C9D421E" w14:textId="1AD96213" w:rsidR="000F1C53" w:rsidRPr="008820E0" w:rsidRDefault="000F1C53" w:rsidP="000F1C53">
            <w:pPr>
              <w:rPr>
                <w:rFonts w:cs="Arial"/>
                <w:b/>
                <w:snapToGrid w:val="0"/>
              </w:rPr>
            </w:pPr>
            <w:r w:rsidRPr="008820E0">
              <w:rPr>
                <w:rFonts w:cs="Arial"/>
                <w:b/>
                <w:snapToGrid w:val="0"/>
              </w:rPr>
              <w:t>Include:</w:t>
            </w:r>
          </w:p>
          <w:p w14:paraId="37FE810B" w14:textId="7E2B3464" w:rsidR="000F1C53" w:rsidRPr="008820E0" w:rsidRDefault="000F1C53" w:rsidP="00AD309C">
            <w:pPr>
              <w:pStyle w:val="ListParagraph"/>
              <w:numPr>
                <w:ilvl w:val="0"/>
                <w:numId w:val="87"/>
              </w:numPr>
              <w:rPr>
                <w:rFonts w:cs="Arial"/>
                <w:lang w:eastAsia="ja-JP"/>
              </w:rPr>
            </w:pPr>
            <w:r w:rsidRPr="008820E0">
              <w:rPr>
                <w:rFonts w:cs="Arial"/>
                <w:lang w:eastAsia="ja-JP"/>
              </w:rPr>
              <w:t xml:space="preserve">Patients with an ED visit that </w:t>
            </w:r>
            <w:r w:rsidR="00FD4099" w:rsidRPr="008820E0">
              <w:rPr>
                <w:rFonts w:cs="Arial"/>
                <w:lang w:eastAsia="ja-JP"/>
              </w:rPr>
              <w:t xml:space="preserve">were </w:t>
            </w:r>
            <w:r w:rsidRPr="008820E0">
              <w:rPr>
                <w:rFonts w:cs="Arial"/>
                <w:lang w:eastAsia="ja-JP"/>
              </w:rPr>
              <w:t xml:space="preserve">admitted to the hospital’s inpatient setting or </w:t>
            </w:r>
            <w:r w:rsidR="00FD4099" w:rsidRPr="008820E0">
              <w:rPr>
                <w:rFonts w:cs="Arial"/>
                <w:lang w:eastAsia="ja-JP"/>
              </w:rPr>
              <w:t>placed in</w:t>
            </w:r>
            <w:r w:rsidRPr="008820E0">
              <w:rPr>
                <w:rFonts w:cs="Arial"/>
                <w:lang w:eastAsia="ja-JP"/>
              </w:rPr>
              <w:t xml:space="preserve"> hospital observation status with an ED boarding time that was longer than 4 hours.</w:t>
            </w:r>
          </w:p>
          <w:p w14:paraId="39A95E7C" w14:textId="77777777" w:rsidR="000F1C53" w:rsidRPr="008820E0" w:rsidRDefault="000F1C53" w:rsidP="000F1C53">
            <w:pPr>
              <w:rPr>
                <w:rFonts w:cs="Arial"/>
                <w:lang w:eastAsia="ja-JP"/>
              </w:rPr>
            </w:pPr>
          </w:p>
          <w:p w14:paraId="40694081" w14:textId="61BF7173" w:rsidR="000F1C53" w:rsidRPr="008820E0" w:rsidRDefault="000F1C53" w:rsidP="000F1C53">
            <w:pPr>
              <w:rPr>
                <w:rFonts w:cs="Arial"/>
              </w:rPr>
            </w:pPr>
            <w:r w:rsidRPr="008820E0">
              <w:rPr>
                <w:rFonts w:cs="Arial"/>
                <w:b/>
                <w:bCs/>
                <w:lang w:eastAsia="ja-JP"/>
              </w:rPr>
              <w:t>Boarding time</w:t>
            </w:r>
            <w:r w:rsidRPr="008820E0">
              <w:rPr>
                <w:rFonts w:cs="Arial"/>
                <w:lang w:eastAsia="ja-JP"/>
              </w:rPr>
              <w:t xml:space="preserve"> is defined as the </w:t>
            </w:r>
            <w:r w:rsidR="00177D1B">
              <w:rPr>
                <w:rFonts w:cs="Arial"/>
                <w:lang w:eastAsia="ja-JP"/>
              </w:rPr>
              <w:t xml:space="preserve">time </w:t>
            </w:r>
            <w:r w:rsidR="001A6885">
              <w:rPr>
                <w:rFonts w:cs="Arial"/>
                <w:lang w:eastAsia="ja-JP"/>
              </w:rPr>
              <w:t xml:space="preserve">from </w:t>
            </w:r>
            <w:r w:rsidRPr="008820E0">
              <w:rPr>
                <w:rFonts w:cs="Arial"/>
                <w:lang w:eastAsia="ja-JP"/>
              </w:rPr>
              <w:t xml:space="preserve">the </w:t>
            </w:r>
            <w:r w:rsidR="001A6885">
              <w:rPr>
                <w:rFonts w:cs="Arial"/>
                <w:lang w:eastAsia="ja-JP"/>
              </w:rPr>
              <w:t xml:space="preserve">decision to admit (e.g., </w:t>
            </w:r>
            <w:r w:rsidRPr="008820E0">
              <w:rPr>
                <w:rFonts w:cs="Arial"/>
                <w:lang w:eastAsia="ja-JP"/>
              </w:rPr>
              <w:t>admission order</w:t>
            </w:r>
            <w:r w:rsidR="001A6885">
              <w:rPr>
                <w:rFonts w:cs="Arial"/>
                <w:lang w:eastAsia="ja-JP"/>
              </w:rPr>
              <w:t>)</w:t>
            </w:r>
            <w:r w:rsidRPr="008820E0">
              <w:rPr>
                <w:rFonts w:cs="Arial"/>
                <w:lang w:eastAsia="ja-JP"/>
              </w:rPr>
              <w:t xml:space="preserve"> to </w:t>
            </w:r>
            <w:r w:rsidR="001A6885">
              <w:rPr>
                <w:rFonts w:cs="Arial"/>
                <w:lang w:eastAsia="ja-JP"/>
              </w:rPr>
              <w:t xml:space="preserve">the patient’s </w:t>
            </w:r>
            <w:r w:rsidR="009937BD">
              <w:rPr>
                <w:rFonts w:cs="Arial"/>
                <w:lang w:eastAsia="ja-JP"/>
              </w:rPr>
              <w:t>final</w:t>
            </w:r>
            <w:r w:rsidR="00773C15">
              <w:rPr>
                <w:rFonts w:cs="Arial"/>
                <w:lang w:eastAsia="ja-JP"/>
              </w:rPr>
              <w:t xml:space="preserve"> </w:t>
            </w:r>
            <w:r w:rsidRPr="008820E0">
              <w:rPr>
                <w:rFonts w:cs="Arial"/>
                <w:lang w:eastAsia="ja-JP"/>
              </w:rPr>
              <w:t>departure from the ED</w:t>
            </w:r>
            <w:r w:rsidR="006A35F6" w:rsidRPr="008820E0">
              <w:rPr>
                <w:rFonts w:cs="Arial"/>
                <w:lang w:eastAsia="ja-JP"/>
              </w:rPr>
              <w:t>.”</w:t>
            </w:r>
            <w:r w:rsidRPr="008820E0">
              <w:rPr>
                <w:rFonts w:cs="Arial"/>
                <w:lang w:eastAsia="ja-JP"/>
              </w:rPr>
              <w:t xml:space="preserve"> </w:t>
            </w:r>
          </w:p>
        </w:tc>
      </w:tr>
      <w:tr w:rsidR="008613B1" w:rsidRPr="009A5185" w14:paraId="05607B0F" w14:textId="77777777" w:rsidTr="006A35F6">
        <w:trPr>
          <w:trHeight w:val="1331"/>
          <w:jc w:val="center"/>
        </w:trPr>
        <w:tc>
          <w:tcPr>
            <w:tcW w:w="9562" w:type="dxa"/>
            <w:vAlign w:val="center"/>
          </w:tcPr>
          <w:p w14:paraId="04B2FF88" w14:textId="41C29177" w:rsidR="002F2F1C" w:rsidRPr="004F7C13" w:rsidRDefault="002F2F1C" w:rsidP="002F2F1C">
            <w:pPr>
              <w:rPr>
                <w:rFonts w:cs="Arial"/>
              </w:rPr>
            </w:pPr>
            <w:r w:rsidRPr="004F7C13">
              <w:rPr>
                <w:rFonts w:cs="Arial"/>
                <w:b/>
                <w:bCs/>
              </w:rPr>
              <w:t xml:space="preserve">Question #4, column c: </w:t>
            </w:r>
            <w:r w:rsidRPr="004F7C13">
              <w:rPr>
                <w:rFonts w:cs="Arial"/>
                <w:bCs/>
              </w:rPr>
              <w:t xml:space="preserve">Total </w:t>
            </w:r>
            <w:r w:rsidR="00B57F28">
              <w:rPr>
                <w:rFonts w:cs="Arial"/>
                <w:bCs/>
              </w:rPr>
              <w:t>b</w:t>
            </w:r>
            <w:r w:rsidRPr="004F7C13">
              <w:rPr>
                <w:rFonts w:cs="Arial"/>
                <w:bCs/>
              </w:rPr>
              <w:t xml:space="preserve">oarding </w:t>
            </w:r>
            <w:r w:rsidR="00B57F28">
              <w:rPr>
                <w:rFonts w:cs="Arial"/>
                <w:bCs/>
              </w:rPr>
              <w:t>t</w:t>
            </w:r>
            <w:r w:rsidRPr="004F7C13">
              <w:rPr>
                <w:rFonts w:cs="Arial"/>
                <w:bCs/>
              </w:rPr>
              <w:t>ime</w:t>
            </w:r>
            <w:r w:rsidR="00B96D63">
              <w:rPr>
                <w:rFonts w:cs="Arial"/>
                <w:bCs/>
              </w:rPr>
              <w:t xml:space="preserve"> (</w:t>
            </w:r>
            <w:r w:rsidR="00223654">
              <w:rPr>
                <w:rFonts w:cs="Arial"/>
                <w:bCs/>
              </w:rPr>
              <w:t xml:space="preserve">in </w:t>
            </w:r>
            <w:r w:rsidR="00B96D63">
              <w:rPr>
                <w:rFonts w:cs="Arial"/>
                <w:bCs/>
              </w:rPr>
              <w:t>hours)</w:t>
            </w:r>
            <w:r w:rsidRPr="004F7C13">
              <w:rPr>
                <w:rFonts w:cs="Arial"/>
                <w:bCs/>
              </w:rPr>
              <w:t xml:space="preserve"> </w:t>
            </w:r>
            <w:r w:rsidR="00DC3778">
              <w:rPr>
                <w:rFonts w:cs="Arial"/>
                <w:bCs/>
              </w:rPr>
              <w:t>for ED visits indicated in column (a)</w:t>
            </w:r>
            <w:r w:rsidR="00926F21">
              <w:rPr>
                <w:rFonts w:cs="Arial"/>
                <w:bCs/>
              </w:rPr>
              <w:t>.</w:t>
            </w:r>
          </w:p>
          <w:p w14:paraId="6201A599" w14:textId="77777777" w:rsidR="002F2F1C" w:rsidRPr="004F7C13" w:rsidRDefault="002F2F1C" w:rsidP="002F2F1C">
            <w:pPr>
              <w:rPr>
                <w:rFonts w:cs="Arial"/>
                <w:snapToGrid w:val="0"/>
              </w:rPr>
            </w:pPr>
          </w:p>
          <w:p w14:paraId="743ACA53" w14:textId="41DE5066" w:rsidR="002F2F1C" w:rsidRPr="004F7C13" w:rsidRDefault="00674274" w:rsidP="002F2F1C">
            <w:pPr>
              <w:rPr>
                <w:rFonts w:cs="Arial"/>
                <w:bCs/>
              </w:rPr>
            </w:pPr>
            <w:r>
              <w:rPr>
                <w:rFonts w:cs="Arial"/>
                <w:bCs/>
              </w:rPr>
              <w:t>Enter</w:t>
            </w:r>
            <w:r w:rsidR="004C4CC5">
              <w:rPr>
                <w:rFonts w:cs="Arial"/>
                <w:bCs/>
              </w:rPr>
              <w:t xml:space="preserve"> the</w:t>
            </w:r>
            <w:r>
              <w:rPr>
                <w:rFonts w:cs="Arial"/>
                <w:bCs/>
              </w:rPr>
              <w:t xml:space="preserve"> t</w:t>
            </w:r>
            <w:r w:rsidR="00F34636" w:rsidRPr="00F34636">
              <w:rPr>
                <w:rFonts w:cs="Arial"/>
                <w:bCs/>
              </w:rPr>
              <w:t xml:space="preserve">otal </w:t>
            </w:r>
            <w:r w:rsidR="00223654">
              <w:rPr>
                <w:rFonts w:cs="Arial"/>
                <w:bCs/>
              </w:rPr>
              <w:t>boarding time</w:t>
            </w:r>
            <w:r w:rsidR="00F34636" w:rsidRPr="00F34636">
              <w:rPr>
                <w:rFonts w:cs="Arial"/>
                <w:bCs/>
              </w:rPr>
              <w:t xml:space="preserve"> </w:t>
            </w:r>
            <w:r w:rsidR="00223654">
              <w:rPr>
                <w:rFonts w:cs="Arial"/>
                <w:bCs/>
              </w:rPr>
              <w:t xml:space="preserve">(in </w:t>
            </w:r>
            <w:r w:rsidR="00F34636" w:rsidRPr="00F34636">
              <w:rPr>
                <w:rFonts w:cs="Arial"/>
                <w:bCs/>
              </w:rPr>
              <w:t>hours</w:t>
            </w:r>
            <w:r w:rsidR="00223654">
              <w:rPr>
                <w:rFonts w:cs="Arial"/>
                <w:bCs/>
              </w:rPr>
              <w:t>)</w:t>
            </w:r>
            <w:r w:rsidR="00F34636" w:rsidRPr="00F34636">
              <w:rPr>
                <w:rFonts w:cs="Arial"/>
                <w:bCs/>
              </w:rPr>
              <w:t xml:space="preserve"> for ED</w:t>
            </w:r>
            <w:r w:rsidR="007C41D4">
              <w:rPr>
                <w:rFonts w:cs="Arial"/>
                <w:bCs/>
              </w:rPr>
              <w:t xml:space="preserve"> </w:t>
            </w:r>
            <w:r w:rsidR="002F2F1C" w:rsidRPr="004F7C13">
              <w:rPr>
                <w:rFonts w:cs="Arial"/>
                <w:bCs/>
              </w:rPr>
              <w:t>visits indicated in column (a) for each of the following admission types:</w:t>
            </w:r>
          </w:p>
          <w:p w14:paraId="0E70DA00" w14:textId="75B2E6DD" w:rsidR="002F2F1C" w:rsidRPr="004F7C13" w:rsidRDefault="00A60AFF" w:rsidP="002F2F1C">
            <w:pPr>
              <w:ind w:left="720"/>
              <w:rPr>
                <w:b/>
                <w:bCs/>
              </w:rPr>
            </w:pPr>
            <w:r w:rsidRPr="005A1909">
              <w:t>P</w:t>
            </w:r>
            <w:r w:rsidR="002F2F1C" w:rsidRPr="004F7C13">
              <w:t xml:space="preserve">atients admitted to an </w:t>
            </w:r>
            <w:r w:rsidR="00E05B0F">
              <w:t xml:space="preserve">adult </w:t>
            </w:r>
            <w:r w:rsidR="002F2F1C" w:rsidRPr="004F7C13">
              <w:t xml:space="preserve">inpatient </w:t>
            </w:r>
            <w:r w:rsidR="002F2F1C" w:rsidRPr="004F7C13">
              <w:rPr>
                <w:b/>
                <w:bCs/>
              </w:rPr>
              <w:t>non-psychiatric bed</w:t>
            </w:r>
          </w:p>
          <w:p w14:paraId="1A67F19E" w14:textId="0AEB0999" w:rsidR="002F2F1C" w:rsidRPr="004F7C13" w:rsidRDefault="00A60AFF" w:rsidP="002F2F1C">
            <w:pPr>
              <w:ind w:left="720"/>
              <w:rPr>
                <w:b/>
                <w:bCs/>
              </w:rPr>
            </w:pPr>
            <w:r>
              <w:t>P</w:t>
            </w:r>
            <w:r w:rsidR="002F2F1C" w:rsidRPr="004F7C13">
              <w:t xml:space="preserve">atients admitted to an </w:t>
            </w:r>
            <w:r w:rsidR="00E05B0F">
              <w:t xml:space="preserve">adult </w:t>
            </w:r>
            <w:r w:rsidR="002F2F1C" w:rsidRPr="004F7C13">
              <w:t xml:space="preserve">inpatient </w:t>
            </w:r>
            <w:r w:rsidR="002F2F1C" w:rsidRPr="004F7C13">
              <w:rPr>
                <w:b/>
                <w:bCs/>
              </w:rPr>
              <w:t>psychiatric bed</w:t>
            </w:r>
          </w:p>
          <w:p w14:paraId="20ACF60B" w14:textId="77777777" w:rsidR="002F2F1C" w:rsidRPr="004F7C13" w:rsidRDefault="002F2F1C" w:rsidP="002F2F1C">
            <w:pPr>
              <w:rPr>
                <w:rFonts w:cs="Arial"/>
                <w:snapToGrid w:val="0"/>
              </w:rPr>
            </w:pPr>
          </w:p>
          <w:p w14:paraId="2667CDF4" w14:textId="77777777" w:rsidR="002F2F1C" w:rsidRPr="004F7C13" w:rsidRDefault="002F2F1C" w:rsidP="002F2F1C">
            <w:pPr>
              <w:rPr>
                <w:rFonts w:cs="Arial"/>
                <w:b/>
                <w:snapToGrid w:val="0"/>
              </w:rPr>
            </w:pPr>
            <w:r w:rsidRPr="004F7C13">
              <w:rPr>
                <w:rFonts w:cs="Arial"/>
                <w:b/>
                <w:snapToGrid w:val="0"/>
              </w:rPr>
              <w:t>Include:</w:t>
            </w:r>
          </w:p>
          <w:p w14:paraId="7754C7D4" w14:textId="2424FFCC" w:rsidR="002F2F1C" w:rsidRPr="004F7C13" w:rsidRDefault="00141E0A" w:rsidP="002F2F1C">
            <w:pPr>
              <w:pStyle w:val="ListParagraph"/>
              <w:numPr>
                <w:ilvl w:val="0"/>
                <w:numId w:val="87"/>
              </w:numPr>
              <w:rPr>
                <w:rFonts w:cs="Arial"/>
                <w:lang w:eastAsia="ja-JP"/>
              </w:rPr>
            </w:pPr>
            <w:r>
              <w:rPr>
                <w:rFonts w:cs="Arial"/>
                <w:lang w:eastAsia="ja-JP"/>
              </w:rPr>
              <w:t xml:space="preserve">Total number of </w:t>
            </w:r>
            <w:r w:rsidR="00970E45">
              <w:rPr>
                <w:rFonts w:cs="Arial"/>
                <w:lang w:eastAsia="ja-JP"/>
              </w:rPr>
              <w:t>h</w:t>
            </w:r>
            <w:r w:rsidR="002F2F1C" w:rsidRPr="004F7C13">
              <w:rPr>
                <w:rFonts w:cs="Arial"/>
                <w:lang w:eastAsia="ja-JP"/>
              </w:rPr>
              <w:t>ours spent in the ED for patients with an ED visit that were admitted to the hospital’s inpatient setting or placed in hospital observation status.</w:t>
            </w:r>
          </w:p>
          <w:p w14:paraId="0A830715" w14:textId="77777777" w:rsidR="002F2F1C" w:rsidRPr="004F7C13" w:rsidRDefault="002F2F1C" w:rsidP="002F2F1C">
            <w:pPr>
              <w:pStyle w:val="ListParagraph"/>
              <w:rPr>
                <w:rFonts w:cs="Arial"/>
                <w:lang w:eastAsia="ja-JP"/>
              </w:rPr>
            </w:pPr>
          </w:p>
          <w:p w14:paraId="7D140DC0" w14:textId="47B528F0" w:rsidR="008613B1" w:rsidRPr="008820E0" w:rsidRDefault="00141E0A" w:rsidP="002F2F1C">
            <w:pPr>
              <w:rPr>
                <w:rFonts w:cs="Arial"/>
                <w:b/>
                <w:bCs/>
              </w:rPr>
            </w:pPr>
            <w:r w:rsidRPr="008820E0">
              <w:rPr>
                <w:rFonts w:cs="Arial"/>
                <w:b/>
                <w:bCs/>
                <w:lang w:eastAsia="ja-JP"/>
              </w:rPr>
              <w:t>Boarding time</w:t>
            </w:r>
            <w:r w:rsidRPr="008820E0">
              <w:rPr>
                <w:rFonts w:cs="Arial"/>
                <w:lang w:eastAsia="ja-JP"/>
              </w:rPr>
              <w:t xml:space="preserve"> is defined as the</w:t>
            </w:r>
            <w:r>
              <w:rPr>
                <w:rFonts w:cs="Arial"/>
                <w:lang w:eastAsia="ja-JP"/>
              </w:rPr>
              <w:t xml:space="preserve"> time from</w:t>
            </w:r>
            <w:r w:rsidRPr="008820E0">
              <w:rPr>
                <w:rFonts w:cs="Arial"/>
                <w:lang w:eastAsia="ja-JP"/>
              </w:rPr>
              <w:t xml:space="preserve"> the </w:t>
            </w:r>
            <w:r>
              <w:rPr>
                <w:rFonts w:cs="Arial"/>
                <w:lang w:eastAsia="ja-JP"/>
              </w:rPr>
              <w:t xml:space="preserve">decision to admit (e.g., </w:t>
            </w:r>
            <w:r w:rsidRPr="008820E0">
              <w:rPr>
                <w:rFonts w:cs="Arial"/>
                <w:lang w:eastAsia="ja-JP"/>
              </w:rPr>
              <w:t>admission order</w:t>
            </w:r>
            <w:r>
              <w:rPr>
                <w:rFonts w:cs="Arial"/>
                <w:lang w:eastAsia="ja-JP"/>
              </w:rPr>
              <w:t>)</w:t>
            </w:r>
            <w:r w:rsidRPr="008820E0">
              <w:rPr>
                <w:rFonts w:cs="Arial"/>
                <w:lang w:eastAsia="ja-JP"/>
              </w:rPr>
              <w:t xml:space="preserve"> to </w:t>
            </w:r>
            <w:r>
              <w:rPr>
                <w:rFonts w:cs="Arial"/>
                <w:lang w:eastAsia="ja-JP"/>
              </w:rPr>
              <w:t xml:space="preserve">the </w:t>
            </w:r>
            <w:r w:rsidRPr="008820E0">
              <w:rPr>
                <w:rFonts w:cs="Arial"/>
                <w:lang w:eastAsia="ja-JP"/>
              </w:rPr>
              <w:t>patient</w:t>
            </w:r>
            <w:r>
              <w:rPr>
                <w:rFonts w:cs="Arial"/>
                <w:lang w:eastAsia="ja-JP"/>
              </w:rPr>
              <w:t>’s final</w:t>
            </w:r>
            <w:r w:rsidRPr="008820E0">
              <w:rPr>
                <w:rFonts w:cs="Arial"/>
                <w:lang w:eastAsia="ja-JP"/>
              </w:rPr>
              <w:t xml:space="preserve"> departure from the ED.</w:t>
            </w:r>
          </w:p>
        </w:tc>
      </w:tr>
      <w:tr w:rsidR="000F1C53" w:rsidRPr="009A5185" w14:paraId="23F83BCC" w14:textId="77777777" w:rsidTr="00450934">
        <w:trPr>
          <w:trHeight w:val="1511"/>
          <w:jc w:val="center"/>
        </w:trPr>
        <w:tc>
          <w:tcPr>
            <w:tcW w:w="9562" w:type="dxa"/>
            <w:vAlign w:val="center"/>
          </w:tcPr>
          <w:p w14:paraId="1BF4203E" w14:textId="295176A6" w:rsidR="000F1C53" w:rsidRPr="008820E0" w:rsidRDefault="000F1C53" w:rsidP="000F1C53">
            <w:pPr>
              <w:rPr>
                <w:rFonts w:cs="Arial"/>
              </w:rPr>
            </w:pPr>
            <w:r w:rsidRPr="008820E0">
              <w:rPr>
                <w:rFonts w:cs="Arial"/>
                <w:b/>
                <w:bCs/>
              </w:rPr>
              <w:t xml:space="preserve">Question #4, column </w:t>
            </w:r>
            <w:r w:rsidR="00185B12">
              <w:rPr>
                <w:rFonts w:cs="Arial"/>
                <w:b/>
                <w:bCs/>
              </w:rPr>
              <w:t>d</w:t>
            </w:r>
            <w:r w:rsidRPr="008820E0">
              <w:rPr>
                <w:rFonts w:cs="Arial"/>
                <w:b/>
                <w:bCs/>
              </w:rPr>
              <w:t xml:space="preserve">: </w:t>
            </w:r>
            <w:r w:rsidRPr="008820E0">
              <w:rPr>
                <w:rFonts w:cs="Arial"/>
              </w:rPr>
              <w:t xml:space="preserve">Median number of </w:t>
            </w:r>
            <w:r w:rsidRPr="008820E0">
              <w:rPr>
                <w:rFonts w:cs="Arial"/>
                <w:b/>
                <w:bCs/>
                <w:u w:val="single"/>
              </w:rPr>
              <w:t>hours</w:t>
            </w:r>
            <w:r w:rsidRPr="008820E0">
              <w:rPr>
                <w:rFonts w:cs="Arial"/>
              </w:rPr>
              <w:t xml:space="preserve"> spent in the ED for ED visits indicated in column (a).</w:t>
            </w:r>
          </w:p>
          <w:p w14:paraId="7F85B586" w14:textId="77777777" w:rsidR="000F1C53" w:rsidRPr="008820E0" w:rsidRDefault="000F1C53" w:rsidP="000F1C53">
            <w:pPr>
              <w:rPr>
                <w:rFonts w:cs="Arial"/>
                <w:snapToGrid w:val="0"/>
              </w:rPr>
            </w:pPr>
          </w:p>
          <w:p w14:paraId="4791CF10" w14:textId="77777777" w:rsidR="000F1C53" w:rsidRPr="008820E0" w:rsidRDefault="000F1C53" w:rsidP="000F1C53">
            <w:pPr>
              <w:rPr>
                <w:rFonts w:cs="Arial"/>
                <w:bCs/>
              </w:rPr>
            </w:pPr>
            <w:r w:rsidRPr="008820E0">
              <w:rPr>
                <w:rFonts w:cs="Arial"/>
                <w:bCs/>
              </w:rPr>
              <w:t>Enter the median number of hours spent in the ED for ED visits indicated in column (a) for each of the following admission types:</w:t>
            </w:r>
          </w:p>
          <w:p w14:paraId="3FC17C8B" w14:textId="30AA52C9" w:rsidR="000F1C53" w:rsidRPr="008820E0" w:rsidRDefault="008702C1" w:rsidP="000F1C53">
            <w:pPr>
              <w:ind w:left="720"/>
              <w:rPr>
                <w:b/>
                <w:bCs/>
              </w:rPr>
            </w:pPr>
            <w:r w:rsidRPr="007F2F8A">
              <w:t>P</w:t>
            </w:r>
            <w:r w:rsidR="000F1C53" w:rsidRPr="008820E0">
              <w:t xml:space="preserve">atients admitted to an </w:t>
            </w:r>
            <w:r w:rsidR="00D742BA">
              <w:t xml:space="preserve">adult </w:t>
            </w:r>
            <w:r w:rsidR="000F1C53" w:rsidRPr="008820E0">
              <w:t xml:space="preserve">inpatient </w:t>
            </w:r>
            <w:r w:rsidR="000F1C53" w:rsidRPr="008820E0">
              <w:rPr>
                <w:b/>
                <w:bCs/>
              </w:rPr>
              <w:t>non-psychiatric bed</w:t>
            </w:r>
          </w:p>
          <w:p w14:paraId="7CD3B144" w14:textId="21F499D4" w:rsidR="000F1C53" w:rsidRPr="008820E0" w:rsidRDefault="008702C1" w:rsidP="000F1C53">
            <w:pPr>
              <w:ind w:left="720"/>
              <w:rPr>
                <w:b/>
                <w:bCs/>
              </w:rPr>
            </w:pPr>
            <w:r w:rsidRPr="007F2F8A">
              <w:t>P</w:t>
            </w:r>
            <w:r w:rsidR="000F1C53" w:rsidRPr="008820E0">
              <w:t xml:space="preserve">atients admitted to an </w:t>
            </w:r>
            <w:r w:rsidR="00D742BA">
              <w:t xml:space="preserve">adult </w:t>
            </w:r>
            <w:r w:rsidR="000F1C53" w:rsidRPr="008820E0">
              <w:t xml:space="preserve">inpatient </w:t>
            </w:r>
            <w:r w:rsidR="000F1C53" w:rsidRPr="008820E0">
              <w:rPr>
                <w:b/>
                <w:bCs/>
              </w:rPr>
              <w:t>psychiatric bed</w:t>
            </w:r>
          </w:p>
          <w:p w14:paraId="60447690" w14:textId="77777777" w:rsidR="000F1C53" w:rsidRPr="008820E0" w:rsidRDefault="000F1C53" w:rsidP="000F1C53">
            <w:pPr>
              <w:rPr>
                <w:rFonts w:cs="Arial"/>
                <w:snapToGrid w:val="0"/>
              </w:rPr>
            </w:pPr>
          </w:p>
          <w:p w14:paraId="3D854BB4" w14:textId="77777777" w:rsidR="000F1C53" w:rsidRPr="008820E0" w:rsidRDefault="000F1C53" w:rsidP="000F1C53">
            <w:pPr>
              <w:rPr>
                <w:rFonts w:cs="Arial"/>
                <w:b/>
                <w:snapToGrid w:val="0"/>
              </w:rPr>
            </w:pPr>
            <w:r w:rsidRPr="008820E0">
              <w:rPr>
                <w:rFonts w:cs="Arial"/>
                <w:b/>
                <w:snapToGrid w:val="0"/>
              </w:rPr>
              <w:t>Include:</w:t>
            </w:r>
          </w:p>
          <w:p w14:paraId="3DB6069E" w14:textId="022CEAF3" w:rsidR="000F1C53" w:rsidRPr="008820E0" w:rsidRDefault="000F1C53" w:rsidP="00AD309C">
            <w:pPr>
              <w:pStyle w:val="ListParagraph"/>
              <w:numPr>
                <w:ilvl w:val="0"/>
                <w:numId w:val="87"/>
              </w:numPr>
              <w:rPr>
                <w:rFonts w:cs="Arial"/>
                <w:lang w:eastAsia="ja-JP"/>
              </w:rPr>
            </w:pPr>
            <w:r w:rsidRPr="008820E0">
              <w:rPr>
                <w:rFonts w:cs="Arial"/>
                <w:lang w:eastAsia="ja-JP"/>
              </w:rPr>
              <w:t xml:space="preserve">Hours spent in the ED for patients with an ED visit that </w:t>
            </w:r>
            <w:r w:rsidR="00584A4F" w:rsidRPr="008820E0">
              <w:rPr>
                <w:rFonts w:cs="Arial"/>
                <w:lang w:eastAsia="ja-JP"/>
              </w:rPr>
              <w:t>were</w:t>
            </w:r>
            <w:r w:rsidRPr="008820E0">
              <w:rPr>
                <w:rFonts w:cs="Arial"/>
                <w:lang w:eastAsia="ja-JP"/>
              </w:rPr>
              <w:t xml:space="preserve"> admitted to the hospital’s inpatient setting or </w:t>
            </w:r>
            <w:r w:rsidR="007946BF" w:rsidRPr="008820E0">
              <w:rPr>
                <w:rFonts w:cs="Arial"/>
                <w:lang w:eastAsia="ja-JP"/>
              </w:rPr>
              <w:t xml:space="preserve">placed in </w:t>
            </w:r>
            <w:r w:rsidRPr="008820E0">
              <w:rPr>
                <w:rFonts w:cs="Arial"/>
                <w:lang w:eastAsia="ja-JP"/>
              </w:rPr>
              <w:t>hospital observation status.</w:t>
            </w:r>
          </w:p>
          <w:p w14:paraId="0B28A728" w14:textId="77777777" w:rsidR="000F1C53" w:rsidRPr="008820E0" w:rsidRDefault="000F1C53" w:rsidP="000F1C53">
            <w:pPr>
              <w:pStyle w:val="ListParagraph"/>
              <w:rPr>
                <w:rFonts w:cs="Arial"/>
                <w:lang w:eastAsia="ja-JP"/>
              </w:rPr>
            </w:pPr>
          </w:p>
          <w:p w14:paraId="4E1C04FD" w14:textId="54AEFD2A" w:rsidR="000F1C53" w:rsidRPr="008820E0" w:rsidRDefault="000F1C53" w:rsidP="000F1C53">
            <w:pPr>
              <w:rPr>
                <w:rFonts w:cs="Arial"/>
              </w:rPr>
            </w:pPr>
            <w:r w:rsidRPr="008820E0">
              <w:rPr>
                <w:rFonts w:cs="Arial"/>
                <w:b/>
                <w:bCs/>
                <w:lang w:eastAsia="ja-JP"/>
              </w:rPr>
              <w:t>Hours spent in the ED</w:t>
            </w:r>
            <w:r w:rsidRPr="008820E0">
              <w:rPr>
                <w:rFonts w:cs="Arial"/>
                <w:lang w:eastAsia="ja-JP"/>
              </w:rPr>
              <w:t xml:space="preserve"> is defined as the difference between the “patient arrival time at the ED” to “</w:t>
            </w:r>
            <w:r w:rsidR="00926F21">
              <w:rPr>
                <w:rFonts w:cs="Arial"/>
                <w:lang w:eastAsia="ja-JP"/>
              </w:rPr>
              <w:t xml:space="preserve">final </w:t>
            </w:r>
            <w:r w:rsidRPr="008820E0">
              <w:rPr>
                <w:rFonts w:cs="Arial"/>
                <w:lang w:eastAsia="ja-JP"/>
              </w:rPr>
              <w:t xml:space="preserve">patient departure from the </w:t>
            </w:r>
            <w:r w:rsidR="007946BF" w:rsidRPr="008820E0">
              <w:rPr>
                <w:rFonts w:cs="Arial"/>
                <w:lang w:eastAsia="ja-JP"/>
              </w:rPr>
              <w:t>ED.</w:t>
            </w:r>
            <w:r w:rsidR="0086493B" w:rsidRPr="008820E0">
              <w:rPr>
                <w:rFonts w:cs="Arial"/>
                <w:lang w:eastAsia="ja-JP"/>
              </w:rPr>
              <w:t>”</w:t>
            </w:r>
          </w:p>
        </w:tc>
      </w:tr>
      <w:tr w:rsidR="000F1C53" w:rsidRPr="009A5185" w14:paraId="6E9CFA33" w14:textId="77777777" w:rsidTr="00D73F6A">
        <w:trPr>
          <w:trHeight w:val="1970"/>
          <w:jc w:val="center"/>
        </w:trPr>
        <w:tc>
          <w:tcPr>
            <w:tcW w:w="9562" w:type="dxa"/>
            <w:vAlign w:val="center"/>
          </w:tcPr>
          <w:p w14:paraId="2CCC87AC" w14:textId="78EF709B" w:rsidR="000F1C53" w:rsidRPr="008820E0" w:rsidRDefault="000F1C53" w:rsidP="000F1C53">
            <w:pPr>
              <w:rPr>
                <w:rFonts w:cs="Arial"/>
              </w:rPr>
            </w:pPr>
            <w:r w:rsidRPr="008820E0">
              <w:rPr>
                <w:rFonts w:cs="Arial"/>
                <w:b/>
                <w:bCs/>
              </w:rPr>
              <w:t xml:space="preserve">Question #4, column </w:t>
            </w:r>
            <w:r w:rsidR="00185B12">
              <w:rPr>
                <w:rFonts w:cs="Arial"/>
                <w:b/>
                <w:bCs/>
              </w:rPr>
              <w:t>e</w:t>
            </w:r>
            <w:r w:rsidRPr="008820E0">
              <w:rPr>
                <w:rFonts w:cs="Arial"/>
                <w:b/>
                <w:bCs/>
              </w:rPr>
              <w:t xml:space="preserve">: </w:t>
            </w:r>
            <w:r w:rsidRPr="008820E0">
              <w:rPr>
                <w:rFonts w:cs="Arial"/>
              </w:rPr>
              <w:t>90</w:t>
            </w:r>
            <w:r w:rsidRPr="008820E0">
              <w:rPr>
                <w:rFonts w:cs="Arial"/>
                <w:vertAlign w:val="superscript"/>
              </w:rPr>
              <w:t>th</w:t>
            </w:r>
            <w:r w:rsidRPr="008820E0">
              <w:rPr>
                <w:rFonts w:cs="Arial"/>
              </w:rPr>
              <w:t xml:space="preserve"> percentile of </w:t>
            </w:r>
            <w:r w:rsidRPr="008820E0">
              <w:rPr>
                <w:rFonts w:cs="Arial"/>
                <w:b/>
                <w:bCs/>
                <w:u w:val="single"/>
              </w:rPr>
              <w:t>hours</w:t>
            </w:r>
            <w:r w:rsidRPr="008820E0">
              <w:rPr>
                <w:rFonts w:cs="Arial"/>
              </w:rPr>
              <w:t xml:space="preserve"> spent in the ED for ED visits indicated in column (a).</w:t>
            </w:r>
          </w:p>
          <w:p w14:paraId="3D7DA721" w14:textId="77777777" w:rsidR="000F1C53" w:rsidRPr="008820E0" w:rsidRDefault="000F1C53" w:rsidP="000F1C53">
            <w:pPr>
              <w:rPr>
                <w:rFonts w:cs="Arial"/>
                <w:snapToGrid w:val="0"/>
              </w:rPr>
            </w:pPr>
          </w:p>
          <w:p w14:paraId="18816812" w14:textId="77777777" w:rsidR="000F1C53" w:rsidRPr="008820E0" w:rsidRDefault="000F1C53" w:rsidP="000F1C53">
            <w:pPr>
              <w:rPr>
                <w:rFonts w:cs="Arial"/>
                <w:bCs/>
              </w:rPr>
            </w:pPr>
            <w:r w:rsidRPr="008820E0">
              <w:rPr>
                <w:rFonts w:cs="Arial"/>
                <w:bCs/>
              </w:rPr>
              <w:t>Enter the 90</w:t>
            </w:r>
            <w:r w:rsidRPr="008820E0">
              <w:rPr>
                <w:rFonts w:cs="Arial"/>
                <w:bCs/>
                <w:vertAlign w:val="superscript"/>
              </w:rPr>
              <w:t>th</w:t>
            </w:r>
            <w:r w:rsidRPr="008820E0">
              <w:rPr>
                <w:rFonts w:cs="Arial"/>
                <w:bCs/>
              </w:rPr>
              <w:t xml:space="preserve"> percentile of hours spent in the ED for ED visits indicated in column (a) for each of the following admission types:</w:t>
            </w:r>
          </w:p>
          <w:p w14:paraId="37822E2A" w14:textId="04A0B090" w:rsidR="000F1C53" w:rsidRPr="008820E0" w:rsidRDefault="00070E63" w:rsidP="000F1C53">
            <w:pPr>
              <w:ind w:left="720"/>
              <w:rPr>
                <w:b/>
                <w:bCs/>
              </w:rPr>
            </w:pPr>
            <w:r w:rsidRPr="007F2F8A">
              <w:t>P</w:t>
            </w:r>
            <w:r w:rsidR="000F1C53" w:rsidRPr="008820E0">
              <w:t xml:space="preserve">atients admitted to an </w:t>
            </w:r>
            <w:r w:rsidR="00537FB6">
              <w:t xml:space="preserve">adult </w:t>
            </w:r>
            <w:r w:rsidR="000F1C53" w:rsidRPr="008820E0">
              <w:t xml:space="preserve">inpatient </w:t>
            </w:r>
            <w:r w:rsidR="000F1C53" w:rsidRPr="008820E0">
              <w:rPr>
                <w:b/>
                <w:bCs/>
              </w:rPr>
              <w:t>non-psychiatric bed</w:t>
            </w:r>
          </w:p>
          <w:p w14:paraId="1831E0DE" w14:textId="3F995049" w:rsidR="000F1C53" w:rsidRPr="008820E0" w:rsidRDefault="00070E63" w:rsidP="000F1C53">
            <w:pPr>
              <w:ind w:left="720"/>
              <w:rPr>
                <w:b/>
                <w:bCs/>
              </w:rPr>
            </w:pPr>
            <w:r w:rsidRPr="007F2F8A">
              <w:t>P</w:t>
            </w:r>
            <w:r w:rsidR="000F1C53" w:rsidRPr="008820E0">
              <w:t xml:space="preserve">atients admitted to an </w:t>
            </w:r>
            <w:r w:rsidR="00537FB6">
              <w:t xml:space="preserve">adult </w:t>
            </w:r>
            <w:r w:rsidR="000F1C53" w:rsidRPr="008820E0">
              <w:t xml:space="preserve">inpatient </w:t>
            </w:r>
            <w:r w:rsidR="000F1C53" w:rsidRPr="008820E0">
              <w:rPr>
                <w:b/>
                <w:bCs/>
              </w:rPr>
              <w:t>psychiatric bed</w:t>
            </w:r>
          </w:p>
          <w:p w14:paraId="6B57FD93" w14:textId="77777777" w:rsidR="00E07178" w:rsidRDefault="00E07178" w:rsidP="000F1C53">
            <w:bookmarkStart w:id="549" w:name="_Hlk213843622"/>
          </w:p>
          <w:p w14:paraId="4C8C75CC" w14:textId="327C664A" w:rsidR="000F1C53" w:rsidRDefault="00E07178" w:rsidP="000F1C53">
            <w:r w:rsidRPr="004F7C13">
              <w:t xml:space="preserve">The </w:t>
            </w:r>
            <w:r w:rsidRPr="004F7C13">
              <w:rPr>
                <w:b/>
                <w:bCs/>
              </w:rPr>
              <w:t>90th percentile</w:t>
            </w:r>
            <w:r w:rsidRPr="004F7C13">
              <w:t xml:space="preserve"> </w:t>
            </w:r>
            <w:bookmarkEnd w:id="549"/>
            <w:r w:rsidR="007C1FBB" w:rsidRPr="007C1FBB">
              <w:t>represents the amount of time in which 90% of the patients fall below that value. For example, if your hospital’s 90th percentile of hours spent in the ED is 36.5 hours, it means that 90% of your ED patients who were admitted to the hospital were in the ED for 36.5 hours or less.</w:t>
            </w:r>
          </w:p>
          <w:p w14:paraId="18FDEEDF" w14:textId="77777777" w:rsidR="00E07178" w:rsidRPr="008820E0" w:rsidRDefault="00E07178" w:rsidP="000F1C53">
            <w:pPr>
              <w:rPr>
                <w:rFonts w:cs="Arial"/>
                <w:snapToGrid w:val="0"/>
              </w:rPr>
            </w:pPr>
          </w:p>
          <w:p w14:paraId="438FE215" w14:textId="77777777" w:rsidR="000F1C53" w:rsidRPr="008820E0" w:rsidRDefault="000F1C53" w:rsidP="000F1C53">
            <w:pPr>
              <w:rPr>
                <w:rFonts w:cs="Arial"/>
                <w:b/>
                <w:snapToGrid w:val="0"/>
              </w:rPr>
            </w:pPr>
            <w:r w:rsidRPr="008820E0">
              <w:rPr>
                <w:rFonts w:cs="Arial"/>
                <w:b/>
                <w:snapToGrid w:val="0"/>
              </w:rPr>
              <w:t>Include:</w:t>
            </w:r>
          </w:p>
          <w:p w14:paraId="01E12AB5" w14:textId="17E19683" w:rsidR="000F1C53" w:rsidRPr="008820E0" w:rsidRDefault="000F1C53" w:rsidP="00AD309C">
            <w:pPr>
              <w:pStyle w:val="ListParagraph"/>
              <w:numPr>
                <w:ilvl w:val="0"/>
                <w:numId w:val="87"/>
              </w:numPr>
              <w:rPr>
                <w:rFonts w:cs="Arial"/>
                <w:lang w:eastAsia="ja-JP"/>
              </w:rPr>
            </w:pPr>
            <w:r w:rsidRPr="008820E0">
              <w:rPr>
                <w:rFonts w:cs="Arial"/>
                <w:lang w:eastAsia="ja-JP"/>
              </w:rPr>
              <w:t xml:space="preserve">Hours spent in the ED for patients with an ED visit that </w:t>
            </w:r>
            <w:r w:rsidR="00AA4B2E" w:rsidRPr="008820E0">
              <w:rPr>
                <w:rFonts w:cs="Arial"/>
                <w:lang w:eastAsia="ja-JP"/>
              </w:rPr>
              <w:t>were</w:t>
            </w:r>
            <w:r w:rsidRPr="008820E0">
              <w:rPr>
                <w:rFonts w:cs="Arial"/>
                <w:lang w:eastAsia="ja-JP"/>
              </w:rPr>
              <w:t xml:space="preserve"> admitted to the hospital’s inpatient setting or </w:t>
            </w:r>
            <w:r w:rsidR="0070675C" w:rsidRPr="008820E0">
              <w:rPr>
                <w:rFonts w:cs="Arial"/>
                <w:lang w:eastAsia="ja-JP"/>
              </w:rPr>
              <w:t>placed in</w:t>
            </w:r>
            <w:r w:rsidRPr="008820E0">
              <w:rPr>
                <w:rFonts w:cs="Arial"/>
                <w:lang w:eastAsia="ja-JP"/>
              </w:rPr>
              <w:t xml:space="preserve"> hospital observation status.</w:t>
            </w:r>
          </w:p>
          <w:p w14:paraId="36300486" w14:textId="77777777" w:rsidR="000F1C53" w:rsidRPr="008820E0" w:rsidRDefault="000F1C53" w:rsidP="000F1C53">
            <w:pPr>
              <w:pStyle w:val="ListParagraph"/>
              <w:rPr>
                <w:rFonts w:cs="Arial"/>
                <w:lang w:eastAsia="ja-JP"/>
              </w:rPr>
            </w:pPr>
          </w:p>
          <w:p w14:paraId="7AE642C8" w14:textId="525DF4A3" w:rsidR="000F1C53" w:rsidRPr="008820E0" w:rsidRDefault="000F1C53" w:rsidP="000F1C53">
            <w:pPr>
              <w:rPr>
                <w:rFonts w:cs="Arial"/>
                <w:b/>
                <w:bCs/>
              </w:rPr>
            </w:pPr>
            <w:r w:rsidRPr="008820E0">
              <w:rPr>
                <w:rFonts w:cs="Arial"/>
                <w:b/>
                <w:bCs/>
                <w:lang w:eastAsia="ja-JP"/>
              </w:rPr>
              <w:t>Hours spent in the ED</w:t>
            </w:r>
            <w:r w:rsidRPr="008820E0">
              <w:rPr>
                <w:rFonts w:cs="Arial"/>
                <w:lang w:eastAsia="ja-JP"/>
              </w:rPr>
              <w:t xml:space="preserve"> is defined as the difference between the “patient arrival time at the ED” to “</w:t>
            </w:r>
            <w:r w:rsidR="00926F21">
              <w:rPr>
                <w:rFonts w:cs="Arial"/>
                <w:lang w:eastAsia="ja-JP"/>
              </w:rPr>
              <w:t xml:space="preserve">final </w:t>
            </w:r>
            <w:r w:rsidRPr="008820E0">
              <w:rPr>
                <w:rFonts w:cs="Arial"/>
                <w:lang w:eastAsia="ja-JP"/>
              </w:rPr>
              <w:t>patient departure from the ED</w:t>
            </w:r>
            <w:r w:rsidR="00484456" w:rsidRPr="008820E0">
              <w:rPr>
                <w:rFonts w:cs="Arial"/>
                <w:lang w:eastAsia="ja-JP"/>
              </w:rPr>
              <w:t>.</w:t>
            </w:r>
            <w:r w:rsidR="0086493B" w:rsidRPr="008820E0">
              <w:rPr>
                <w:rFonts w:cs="Arial"/>
                <w:lang w:eastAsia="ja-JP"/>
              </w:rPr>
              <w:t>”</w:t>
            </w:r>
          </w:p>
        </w:tc>
      </w:tr>
      <w:tr w:rsidR="00C11556" w:rsidRPr="009A5185" w14:paraId="69FB9E44" w14:textId="77777777" w:rsidTr="00D73F6A">
        <w:trPr>
          <w:trHeight w:val="1970"/>
          <w:jc w:val="center"/>
        </w:trPr>
        <w:tc>
          <w:tcPr>
            <w:tcW w:w="9562" w:type="dxa"/>
            <w:vAlign w:val="center"/>
          </w:tcPr>
          <w:p w14:paraId="4D14EAF9" w14:textId="02645270" w:rsidR="00C11556" w:rsidRPr="008820E0" w:rsidRDefault="00C11556" w:rsidP="00C11556">
            <w:pPr>
              <w:rPr>
                <w:rFonts w:cs="Arial"/>
              </w:rPr>
            </w:pPr>
            <w:r w:rsidRPr="008820E0">
              <w:rPr>
                <w:rFonts w:cs="Arial"/>
                <w:b/>
                <w:bCs/>
              </w:rPr>
              <w:lastRenderedPageBreak/>
              <w:t xml:space="preserve">Question #5, column </w:t>
            </w:r>
            <w:r w:rsidR="00083AAA" w:rsidRPr="008820E0">
              <w:rPr>
                <w:rFonts w:cs="Arial"/>
                <w:b/>
                <w:bCs/>
              </w:rPr>
              <w:t>a</w:t>
            </w:r>
            <w:r w:rsidRPr="008820E0">
              <w:rPr>
                <w:rFonts w:cs="Arial"/>
                <w:b/>
                <w:bCs/>
              </w:rPr>
              <w:t xml:space="preserve">: </w:t>
            </w:r>
            <w:r w:rsidRPr="008820E0">
              <w:rPr>
                <w:rFonts w:cs="Arial"/>
              </w:rPr>
              <w:t xml:space="preserve">Total number of ED </w:t>
            </w:r>
            <w:r w:rsidRPr="008820E0">
              <w:rPr>
                <w:rFonts w:cs="Arial"/>
                <w:b/>
                <w:bCs/>
                <w:u w:val="single"/>
              </w:rPr>
              <w:t>visits</w:t>
            </w:r>
            <w:r w:rsidRPr="008820E0">
              <w:rPr>
                <w:rFonts w:cs="Arial"/>
              </w:rPr>
              <w:t xml:space="preserve"> with an inpatient admission or </w:t>
            </w:r>
            <w:r w:rsidR="0086493B" w:rsidRPr="008820E0">
              <w:rPr>
                <w:rFonts w:cs="Arial"/>
              </w:rPr>
              <w:t xml:space="preserve">where the patient was placed in hospital </w:t>
            </w:r>
            <w:r w:rsidRPr="008820E0">
              <w:rPr>
                <w:rFonts w:cs="Arial"/>
              </w:rPr>
              <w:t>observation status.</w:t>
            </w:r>
          </w:p>
          <w:p w14:paraId="36872C26" w14:textId="77777777" w:rsidR="00C11556" w:rsidRPr="008820E0" w:rsidRDefault="00C11556" w:rsidP="00C11556">
            <w:pPr>
              <w:rPr>
                <w:rFonts w:cs="Arial"/>
                <w:b/>
                <w:bCs/>
              </w:rPr>
            </w:pPr>
          </w:p>
          <w:p w14:paraId="7AB57189" w14:textId="77777777" w:rsidR="00C11556" w:rsidRPr="008820E0" w:rsidRDefault="00C11556" w:rsidP="00C11556">
            <w:pPr>
              <w:rPr>
                <w:rFonts w:cs="Arial"/>
                <w:bCs/>
              </w:rPr>
            </w:pPr>
            <w:r w:rsidRPr="008820E0">
              <w:rPr>
                <w:rFonts w:cs="Arial"/>
              </w:rPr>
              <w:t xml:space="preserve">Enter the total </w:t>
            </w:r>
            <w:r w:rsidRPr="008820E0">
              <w:rPr>
                <w:rFonts w:cs="Arial"/>
                <w:bCs/>
              </w:rPr>
              <w:t>number of emergency department (ED) visits during the reporting period for each of the following admission types:</w:t>
            </w:r>
          </w:p>
          <w:p w14:paraId="1DD19CC4" w14:textId="27158593" w:rsidR="00C11556" w:rsidRPr="008820E0" w:rsidRDefault="00724231" w:rsidP="00C11556">
            <w:pPr>
              <w:ind w:left="720"/>
              <w:rPr>
                <w:b/>
                <w:bCs/>
              </w:rPr>
            </w:pPr>
            <w:r w:rsidRPr="007F2F8A">
              <w:t>P</w:t>
            </w:r>
            <w:r w:rsidR="00C11556" w:rsidRPr="008820E0">
              <w:t xml:space="preserve">atients admitted to a </w:t>
            </w:r>
            <w:r>
              <w:t xml:space="preserve">pediatric </w:t>
            </w:r>
            <w:r w:rsidR="00C11556" w:rsidRPr="008820E0">
              <w:t xml:space="preserve">inpatient </w:t>
            </w:r>
            <w:r w:rsidR="00C11556" w:rsidRPr="008820E0">
              <w:rPr>
                <w:b/>
                <w:bCs/>
              </w:rPr>
              <w:t>non-psychiatric bed</w:t>
            </w:r>
          </w:p>
          <w:p w14:paraId="0D77D8C2" w14:textId="062D4A77" w:rsidR="00C11556" w:rsidRPr="008820E0" w:rsidRDefault="00724231" w:rsidP="00C11556">
            <w:pPr>
              <w:ind w:left="720"/>
              <w:rPr>
                <w:b/>
                <w:bCs/>
              </w:rPr>
            </w:pPr>
            <w:r w:rsidRPr="007F2F8A">
              <w:t>P</w:t>
            </w:r>
            <w:r w:rsidR="00C11556" w:rsidRPr="008820E0">
              <w:t xml:space="preserve">atients admitted to a </w:t>
            </w:r>
            <w:r>
              <w:t xml:space="preserve">pediatric </w:t>
            </w:r>
            <w:r w:rsidR="00C11556" w:rsidRPr="008820E0">
              <w:t xml:space="preserve">inpatient </w:t>
            </w:r>
            <w:r w:rsidR="00C11556" w:rsidRPr="008820E0">
              <w:rPr>
                <w:b/>
                <w:bCs/>
              </w:rPr>
              <w:t>psychiatric bed</w:t>
            </w:r>
          </w:p>
          <w:p w14:paraId="49C33DE1" w14:textId="77777777" w:rsidR="00C11556" w:rsidRPr="008820E0" w:rsidRDefault="00C11556" w:rsidP="00C11556">
            <w:pPr>
              <w:rPr>
                <w:rFonts w:cs="Arial"/>
                <w:snapToGrid w:val="0"/>
                <w:sz w:val="16"/>
                <w:szCs w:val="16"/>
              </w:rPr>
            </w:pPr>
          </w:p>
          <w:p w14:paraId="6229AB71" w14:textId="77777777" w:rsidR="00C11556" w:rsidRPr="008820E0" w:rsidRDefault="00C11556" w:rsidP="00C11556">
            <w:pPr>
              <w:rPr>
                <w:rFonts w:cs="Arial"/>
                <w:snapToGrid w:val="0"/>
              </w:rPr>
            </w:pPr>
            <w:r w:rsidRPr="008820E0">
              <w:rPr>
                <w:rFonts w:cs="Arial"/>
                <w:b/>
                <w:snapToGrid w:val="0"/>
              </w:rPr>
              <w:t>Include:</w:t>
            </w:r>
          </w:p>
          <w:p w14:paraId="73A2EB8F" w14:textId="518E0EAC" w:rsidR="00C11556" w:rsidRPr="001C4D9F" w:rsidRDefault="00C11556" w:rsidP="00AD309C">
            <w:pPr>
              <w:pStyle w:val="ListParagraph"/>
              <w:numPr>
                <w:ilvl w:val="0"/>
                <w:numId w:val="85"/>
              </w:numPr>
              <w:rPr>
                <w:rFonts w:cs="Arial"/>
                <w:lang w:eastAsia="ja-JP"/>
              </w:rPr>
            </w:pPr>
            <w:r w:rsidRPr="008820E0">
              <w:rPr>
                <w:rFonts w:cs="Arial"/>
                <w:snapToGrid w:val="0"/>
              </w:rPr>
              <w:t xml:space="preserve">Patients with an ED visit that </w:t>
            </w:r>
            <w:r w:rsidR="00AA4B2E" w:rsidRPr="008820E0">
              <w:rPr>
                <w:rFonts w:cs="Arial"/>
                <w:snapToGrid w:val="0"/>
              </w:rPr>
              <w:t>were</w:t>
            </w:r>
            <w:r w:rsidRPr="008820E0">
              <w:rPr>
                <w:rFonts w:cs="Arial"/>
                <w:snapToGrid w:val="0"/>
              </w:rPr>
              <w:t xml:space="preserve"> admitted to the hospital’s inpatient setting or </w:t>
            </w:r>
            <w:r w:rsidR="004F6D6B" w:rsidRPr="008820E0">
              <w:rPr>
                <w:rFonts w:cs="Arial"/>
                <w:snapToGrid w:val="0"/>
              </w:rPr>
              <w:t>placed in</w:t>
            </w:r>
            <w:r w:rsidRPr="008820E0">
              <w:rPr>
                <w:rFonts w:cs="Arial"/>
                <w:snapToGrid w:val="0"/>
              </w:rPr>
              <w:t xml:space="preserve"> hospital observation status.</w:t>
            </w:r>
          </w:p>
          <w:p w14:paraId="06A4E200" w14:textId="63DD3F35" w:rsidR="007B215D" w:rsidRPr="001C4D9F" w:rsidRDefault="000E7A62" w:rsidP="007B215D">
            <w:pPr>
              <w:pStyle w:val="ListParagraph"/>
              <w:numPr>
                <w:ilvl w:val="0"/>
                <w:numId w:val="85"/>
              </w:numPr>
              <w:rPr>
                <w:rFonts w:cs="Arial"/>
                <w:lang w:eastAsia="ja-JP"/>
              </w:rPr>
            </w:pPr>
            <w:r w:rsidRPr="000E7A62">
              <w:rPr>
                <w:rFonts w:cs="Arial"/>
                <w:snapToGrid w:val="0"/>
                <w:lang w:eastAsia="ja-JP"/>
              </w:rPr>
              <w:t xml:space="preserve">Patients with an ED visit that were admitted to the hospital’s </w:t>
            </w:r>
            <w:r w:rsidR="007B215D" w:rsidRPr="007B215D">
              <w:rPr>
                <w:rFonts w:cs="Arial"/>
                <w:snapToGrid w:val="0"/>
                <w:lang w:eastAsia="ja-JP"/>
              </w:rPr>
              <w:t xml:space="preserve">licensed detoxification beds should be included in this </w:t>
            </w:r>
            <w:r w:rsidR="00EA6BDB">
              <w:rPr>
                <w:rFonts w:cs="Arial"/>
                <w:snapToGrid w:val="0"/>
                <w:lang w:eastAsia="ja-JP"/>
              </w:rPr>
              <w:t>question’</w:t>
            </w:r>
            <w:r w:rsidR="007B215D" w:rsidRPr="007B215D">
              <w:rPr>
                <w:rFonts w:cs="Arial"/>
                <w:snapToGrid w:val="0"/>
                <w:lang w:eastAsia="ja-JP"/>
              </w:rPr>
              <w:t xml:space="preserve">s </w:t>
            </w:r>
            <w:r w:rsidR="00EA6BDB">
              <w:rPr>
                <w:rFonts w:cs="Arial"/>
                <w:snapToGrid w:val="0"/>
                <w:lang w:eastAsia="ja-JP"/>
              </w:rPr>
              <w:t xml:space="preserve">count of </w:t>
            </w:r>
            <w:r w:rsidR="0080164E">
              <w:rPr>
                <w:rFonts w:cs="Arial"/>
                <w:snapToGrid w:val="0"/>
                <w:lang w:eastAsia="ja-JP"/>
              </w:rPr>
              <w:t xml:space="preserve">patients admitted to inpatient </w:t>
            </w:r>
            <w:r w:rsidR="007B215D" w:rsidRPr="007B215D">
              <w:rPr>
                <w:rFonts w:cs="Arial"/>
                <w:snapToGrid w:val="0"/>
                <w:lang w:eastAsia="ja-JP"/>
              </w:rPr>
              <w:t>psychiatric beds</w:t>
            </w:r>
          </w:p>
          <w:p w14:paraId="285801D0" w14:textId="3F9038BE" w:rsidR="003957A3" w:rsidRPr="003957A3" w:rsidRDefault="003957A3" w:rsidP="003957A3">
            <w:pPr>
              <w:pStyle w:val="ListParagraph"/>
              <w:numPr>
                <w:ilvl w:val="0"/>
                <w:numId w:val="85"/>
              </w:numPr>
              <w:rPr>
                <w:rFonts w:cs="Arial"/>
                <w:lang w:eastAsia="ja-JP"/>
              </w:rPr>
            </w:pPr>
            <w:r w:rsidRPr="003957A3">
              <w:rPr>
                <w:rFonts w:cs="Arial"/>
                <w:lang w:eastAsia="ja-JP"/>
              </w:rPr>
              <w:t>Patients with an ED visit that were admitted to a psychiatric unit located or co-located with the hospital, even if that unit operates under a separate CCN.</w:t>
            </w:r>
          </w:p>
          <w:p w14:paraId="0DE62A1D" w14:textId="77777777" w:rsidR="005F1CA5" w:rsidRPr="008820E0" w:rsidRDefault="005F1CA5" w:rsidP="005F1CA5">
            <w:pPr>
              <w:rPr>
                <w:rFonts w:cs="Arial"/>
                <w:lang w:eastAsia="ja-JP"/>
              </w:rPr>
            </w:pPr>
          </w:p>
          <w:p w14:paraId="6B66A83A" w14:textId="77777777" w:rsidR="005F1CA5" w:rsidRPr="008820E0" w:rsidRDefault="005F1CA5" w:rsidP="005F1CA5">
            <w:pPr>
              <w:rPr>
                <w:rFonts w:cs="Arial"/>
                <w:b/>
                <w:bCs/>
                <w:lang w:eastAsia="ja-JP"/>
              </w:rPr>
            </w:pPr>
            <w:r w:rsidRPr="008820E0">
              <w:rPr>
                <w:rFonts w:cs="Arial"/>
                <w:b/>
                <w:bCs/>
                <w:lang w:eastAsia="ja-JP"/>
              </w:rPr>
              <w:t xml:space="preserve">Exclude: </w:t>
            </w:r>
          </w:p>
          <w:p w14:paraId="228D21A8" w14:textId="66B435B7" w:rsidR="005F1CA5" w:rsidRPr="008820E0" w:rsidRDefault="005F1CA5" w:rsidP="00AD309C">
            <w:pPr>
              <w:pStyle w:val="ListParagraph"/>
              <w:numPr>
                <w:ilvl w:val="0"/>
                <w:numId w:val="85"/>
              </w:numPr>
              <w:rPr>
                <w:rFonts w:cs="Arial"/>
                <w:lang w:eastAsia="ja-JP"/>
              </w:rPr>
            </w:pPr>
            <w:r w:rsidRPr="008820E0">
              <w:rPr>
                <w:rFonts w:cs="Arial"/>
                <w:lang w:eastAsia="ja-JP"/>
              </w:rPr>
              <w:t xml:space="preserve">Patients with an ED visit that were </w:t>
            </w:r>
            <w:r w:rsidR="00DB4FCB" w:rsidRPr="008820E0">
              <w:rPr>
                <w:rFonts w:cs="Arial"/>
                <w:lang w:eastAsia="ja-JP"/>
              </w:rPr>
              <w:t xml:space="preserve">placed </w:t>
            </w:r>
            <w:r w:rsidRPr="008820E0">
              <w:rPr>
                <w:rFonts w:cs="Arial"/>
                <w:lang w:eastAsia="ja-JP"/>
              </w:rPr>
              <w:t>in ED observation status.</w:t>
            </w:r>
          </w:p>
          <w:p w14:paraId="4F32379E" w14:textId="76B8AC74" w:rsidR="00DB4FCB" w:rsidRPr="008820E0" w:rsidRDefault="00DB4FCB" w:rsidP="00DB4FCB">
            <w:pPr>
              <w:pStyle w:val="ListParagraph"/>
              <w:numPr>
                <w:ilvl w:val="0"/>
                <w:numId w:val="85"/>
              </w:numPr>
              <w:rPr>
                <w:rFonts w:cs="Arial"/>
                <w:lang w:eastAsia="ja-JP"/>
              </w:rPr>
            </w:pPr>
            <w:r w:rsidRPr="008820E0">
              <w:rPr>
                <w:rFonts w:cs="Arial"/>
                <w:lang w:eastAsia="ja-JP"/>
              </w:rPr>
              <w:t xml:space="preserve">Patients transferred to another hospital. </w:t>
            </w:r>
          </w:p>
          <w:p w14:paraId="4C33C12A" w14:textId="77777777" w:rsidR="00C11556" w:rsidRPr="008820E0" w:rsidRDefault="00C11556" w:rsidP="00C11556">
            <w:pPr>
              <w:rPr>
                <w:rFonts w:cs="Arial"/>
              </w:rPr>
            </w:pPr>
          </w:p>
          <w:p w14:paraId="7886379B" w14:textId="52E5B0F1" w:rsidR="00C11556" w:rsidRPr="008820E0" w:rsidRDefault="00C11556" w:rsidP="00C11556">
            <w:pPr>
              <w:rPr>
                <w:rFonts w:cs="Arial"/>
              </w:rPr>
            </w:pPr>
            <w:r w:rsidRPr="008820E0">
              <w:rPr>
                <w:rFonts w:cs="Arial"/>
              </w:rPr>
              <w:t xml:space="preserve">Note: A patient can have multiple ED visits with a hospital admission </w:t>
            </w:r>
            <w:r w:rsidR="001444EA" w:rsidRPr="008820E0">
              <w:rPr>
                <w:rFonts w:cs="Arial"/>
              </w:rPr>
              <w:t xml:space="preserve">and/or placed in hospital observation status </w:t>
            </w:r>
            <w:r w:rsidRPr="008820E0">
              <w:rPr>
                <w:rFonts w:cs="Arial"/>
              </w:rPr>
              <w:t xml:space="preserve">during the performance period so each patient ED visit with an inpatient admission </w:t>
            </w:r>
            <w:r w:rsidR="00E66443" w:rsidRPr="008820E0">
              <w:rPr>
                <w:rFonts w:cs="Arial"/>
              </w:rPr>
              <w:t>or placement into hospital observation status is</w:t>
            </w:r>
            <w:r w:rsidRPr="008820E0">
              <w:rPr>
                <w:rFonts w:cs="Arial"/>
              </w:rPr>
              <w:t xml:space="preserve"> included in the denominator (question #</w:t>
            </w:r>
            <w:r w:rsidR="00806ECD">
              <w:rPr>
                <w:rFonts w:cs="Arial"/>
              </w:rPr>
              <w:t>5</w:t>
            </w:r>
            <w:r w:rsidRPr="008820E0">
              <w:rPr>
                <w:rFonts w:cs="Arial"/>
              </w:rPr>
              <w:t>a).</w:t>
            </w:r>
          </w:p>
          <w:p w14:paraId="50101CDC" w14:textId="77777777" w:rsidR="00C11556" w:rsidRPr="008820E0" w:rsidRDefault="00C11556" w:rsidP="00C11556">
            <w:pPr>
              <w:rPr>
                <w:rFonts w:cs="Arial"/>
              </w:rPr>
            </w:pPr>
          </w:p>
          <w:p w14:paraId="4A34E32A" w14:textId="003C56BB" w:rsidR="00F92E61" w:rsidRPr="008820E0" w:rsidRDefault="00C11556" w:rsidP="00C11556">
            <w:pPr>
              <w:rPr>
                <w:rFonts w:cs="Arial"/>
                <w:b/>
                <w:bCs/>
              </w:rPr>
            </w:pPr>
            <w:r w:rsidRPr="008820E0">
              <w:rPr>
                <w:rFonts w:cs="Arial"/>
                <w:b/>
                <w:bCs/>
                <w:i/>
                <w:iCs/>
              </w:rPr>
              <w:t xml:space="preserve">If the number of visits for a pediatric admission type is less than 10 (in column a), skip columns b, c, </w:t>
            </w:r>
            <w:r w:rsidR="00036208">
              <w:rPr>
                <w:rFonts w:cs="Arial"/>
                <w:b/>
                <w:bCs/>
                <w:i/>
                <w:iCs/>
              </w:rPr>
              <w:t xml:space="preserve">d, </w:t>
            </w:r>
            <w:r w:rsidRPr="008820E0">
              <w:rPr>
                <w:rFonts w:cs="Arial"/>
                <w:b/>
                <w:bCs/>
                <w:i/>
                <w:iCs/>
              </w:rPr>
              <w:t xml:space="preserve">and </w:t>
            </w:r>
            <w:r w:rsidR="00036208">
              <w:rPr>
                <w:rFonts w:cs="Arial"/>
                <w:b/>
                <w:bCs/>
                <w:i/>
                <w:iCs/>
              </w:rPr>
              <w:t>e</w:t>
            </w:r>
            <w:r w:rsidR="00492A6E">
              <w:rPr>
                <w:rFonts w:cs="Arial"/>
                <w:b/>
                <w:bCs/>
                <w:i/>
                <w:iCs/>
              </w:rPr>
              <w:t xml:space="preserve"> and then move to the next admission type</w:t>
            </w:r>
            <w:r w:rsidRPr="008820E0">
              <w:rPr>
                <w:rFonts w:cs="Arial"/>
                <w:b/>
                <w:bCs/>
                <w:i/>
                <w:iCs/>
              </w:rPr>
              <w:t>.</w:t>
            </w:r>
          </w:p>
        </w:tc>
      </w:tr>
      <w:tr w:rsidR="00C11556" w:rsidRPr="009A5185" w14:paraId="318DEEDA" w14:textId="77777777" w:rsidTr="00300531">
        <w:trPr>
          <w:trHeight w:val="611"/>
          <w:jc w:val="center"/>
        </w:trPr>
        <w:tc>
          <w:tcPr>
            <w:tcW w:w="9562" w:type="dxa"/>
            <w:vAlign w:val="center"/>
          </w:tcPr>
          <w:p w14:paraId="6D54F171" w14:textId="77777777" w:rsidR="00C11556" w:rsidRPr="008820E0" w:rsidRDefault="00C11556" w:rsidP="00C11556">
            <w:pPr>
              <w:rPr>
                <w:rFonts w:cs="Arial"/>
              </w:rPr>
            </w:pPr>
            <w:r w:rsidRPr="008820E0">
              <w:rPr>
                <w:rFonts w:cs="Arial"/>
                <w:b/>
                <w:bCs/>
              </w:rPr>
              <w:t xml:space="preserve">Question #5, column b: </w:t>
            </w:r>
            <w:r w:rsidRPr="008820E0">
              <w:rPr>
                <w:rFonts w:cs="Arial"/>
              </w:rPr>
              <w:t xml:space="preserve">Number of ED </w:t>
            </w:r>
            <w:r w:rsidRPr="008820E0">
              <w:rPr>
                <w:rFonts w:cs="Arial"/>
                <w:b/>
                <w:bCs/>
                <w:u w:val="single"/>
              </w:rPr>
              <w:t>visits</w:t>
            </w:r>
            <w:r w:rsidRPr="008820E0">
              <w:rPr>
                <w:rFonts w:cs="Arial"/>
              </w:rPr>
              <w:t xml:space="preserve"> indicated in column (a) with a boarding time greater than 4 hours.</w:t>
            </w:r>
          </w:p>
          <w:p w14:paraId="6EBF603A" w14:textId="77777777" w:rsidR="00C11556" w:rsidRPr="008820E0" w:rsidRDefault="00C11556" w:rsidP="00C11556">
            <w:pPr>
              <w:rPr>
                <w:rFonts w:cs="Arial"/>
                <w:snapToGrid w:val="0"/>
              </w:rPr>
            </w:pPr>
          </w:p>
          <w:p w14:paraId="3EDB8BBA" w14:textId="77777777" w:rsidR="00C11556" w:rsidRPr="008820E0" w:rsidRDefault="00C11556" w:rsidP="00C11556">
            <w:pPr>
              <w:rPr>
                <w:rFonts w:cs="Arial"/>
                <w:bCs/>
              </w:rPr>
            </w:pPr>
            <w:r w:rsidRPr="008820E0">
              <w:rPr>
                <w:rFonts w:cs="Arial"/>
                <w:bCs/>
              </w:rPr>
              <w:t xml:space="preserve">Enter the total number of emergency department (ED) </w:t>
            </w:r>
            <w:r w:rsidRPr="008820E0">
              <w:rPr>
                <w:rFonts w:cs="Arial"/>
                <w:b/>
                <w:u w:val="single"/>
              </w:rPr>
              <w:t>visits</w:t>
            </w:r>
            <w:r w:rsidRPr="008820E0">
              <w:rPr>
                <w:rFonts w:cs="Arial"/>
                <w:bCs/>
              </w:rPr>
              <w:t xml:space="preserve"> indicated in column (a) with a boarding time greater than 4 hours for each of the following admission types:</w:t>
            </w:r>
          </w:p>
          <w:p w14:paraId="078C45C0" w14:textId="40621BF1" w:rsidR="00C11556" w:rsidRPr="008820E0" w:rsidRDefault="005D1416" w:rsidP="00C11556">
            <w:pPr>
              <w:ind w:left="720"/>
              <w:rPr>
                <w:b/>
                <w:bCs/>
              </w:rPr>
            </w:pPr>
            <w:r w:rsidRPr="001C4D9F">
              <w:t>Patients</w:t>
            </w:r>
            <w:r w:rsidR="00C11556" w:rsidRPr="008820E0">
              <w:t xml:space="preserve"> admitted to a</w:t>
            </w:r>
            <w:r>
              <w:t xml:space="preserve"> pediatric </w:t>
            </w:r>
            <w:r w:rsidR="00C11556" w:rsidRPr="008820E0">
              <w:t xml:space="preserve">inpatient </w:t>
            </w:r>
            <w:r w:rsidR="00C11556" w:rsidRPr="008820E0">
              <w:rPr>
                <w:b/>
                <w:bCs/>
              </w:rPr>
              <w:t>non-psychiatric bed</w:t>
            </w:r>
          </w:p>
          <w:p w14:paraId="2B5C8ECC" w14:textId="630B7F0F" w:rsidR="00C11556" w:rsidRPr="008820E0" w:rsidRDefault="005D1416" w:rsidP="00C11556">
            <w:pPr>
              <w:ind w:left="720"/>
              <w:rPr>
                <w:b/>
                <w:bCs/>
              </w:rPr>
            </w:pPr>
            <w:r>
              <w:t>P</w:t>
            </w:r>
            <w:r w:rsidR="00C11556" w:rsidRPr="008820E0">
              <w:t>atients admitted to a</w:t>
            </w:r>
            <w:r>
              <w:t xml:space="preserve"> pediatric</w:t>
            </w:r>
            <w:r w:rsidR="00C11556" w:rsidRPr="008820E0">
              <w:t xml:space="preserve"> inpatient </w:t>
            </w:r>
            <w:r w:rsidR="00C11556" w:rsidRPr="008820E0">
              <w:rPr>
                <w:b/>
                <w:bCs/>
              </w:rPr>
              <w:t>psychiatric bed</w:t>
            </w:r>
          </w:p>
          <w:p w14:paraId="18DEFCDB" w14:textId="77777777" w:rsidR="00C11556" w:rsidRPr="008820E0" w:rsidRDefault="00C11556" w:rsidP="00C11556">
            <w:pPr>
              <w:rPr>
                <w:rFonts w:cs="Arial"/>
                <w:snapToGrid w:val="0"/>
              </w:rPr>
            </w:pPr>
          </w:p>
          <w:p w14:paraId="3D9721BE" w14:textId="77777777" w:rsidR="00C11556" w:rsidRPr="008820E0" w:rsidRDefault="00C11556" w:rsidP="00C11556">
            <w:pPr>
              <w:rPr>
                <w:rFonts w:cs="Arial"/>
                <w:b/>
                <w:snapToGrid w:val="0"/>
              </w:rPr>
            </w:pPr>
            <w:r w:rsidRPr="008820E0">
              <w:rPr>
                <w:rFonts w:cs="Arial"/>
                <w:b/>
                <w:snapToGrid w:val="0"/>
              </w:rPr>
              <w:t>Include:</w:t>
            </w:r>
          </w:p>
          <w:p w14:paraId="69F65B19" w14:textId="610402D8" w:rsidR="00C11556" w:rsidRPr="008820E0" w:rsidRDefault="00C11556" w:rsidP="00AD309C">
            <w:pPr>
              <w:pStyle w:val="ListParagraph"/>
              <w:numPr>
                <w:ilvl w:val="0"/>
                <w:numId w:val="87"/>
              </w:numPr>
              <w:rPr>
                <w:rFonts w:cs="Arial"/>
                <w:lang w:eastAsia="ja-JP"/>
              </w:rPr>
            </w:pPr>
            <w:r w:rsidRPr="008820E0">
              <w:rPr>
                <w:rFonts w:cs="Arial"/>
                <w:lang w:eastAsia="ja-JP"/>
              </w:rPr>
              <w:t xml:space="preserve">Patients with an ED visit that </w:t>
            </w:r>
            <w:r w:rsidR="001E7C79" w:rsidRPr="008820E0">
              <w:rPr>
                <w:rFonts w:cs="Arial"/>
                <w:lang w:eastAsia="ja-JP"/>
              </w:rPr>
              <w:t>were</w:t>
            </w:r>
            <w:r w:rsidRPr="008820E0">
              <w:rPr>
                <w:rFonts w:cs="Arial"/>
                <w:lang w:eastAsia="ja-JP"/>
              </w:rPr>
              <w:t xml:space="preserve"> admitted to the hospital’s inpatient setting or </w:t>
            </w:r>
            <w:r w:rsidR="00DE431B" w:rsidRPr="008820E0">
              <w:rPr>
                <w:rFonts w:cs="Arial"/>
                <w:lang w:eastAsia="ja-JP"/>
              </w:rPr>
              <w:t>placed in</w:t>
            </w:r>
            <w:r w:rsidR="00C86A15" w:rsidRPr="008820E0">
              <w:rPr>
                <w:rFonts w:cs="Arial"/>
                <w:lang w:eastAsia="ja-JP"/>
              </w:rPr>
              <w:t xml:space="preserve"> </w:t>
            </w:r>
            <w:r w:rsidRPr="008820E0">
              <w:rPr>
                <w:rFonts w:cs="Arial"/>
                <w:lang w:eastAsia="ja-JP"/>
              </w:rPr>
              <w:t>hospital observation status with an ED boarding time that was longer than 4 hours.</w:t>
            </w:r>
          </w:p>
          <w:p w14:paraId="2B11CF8F" w14:textId="77777777" w:rsidR="00C11556" w:rsidRPr="008820E0" w:rsidRDefault="00C11556" w:rsidP="00C11556">
            <w:pPr>
              <w:rPr>
                <w:rFonts w:cs="Arial"/>
                <w:lang w:eastAsia="ja-JP"/>
              </w:rPr>
            </w:pPr>
          </w:p>
          <w:p w14:paraId="0000962D" w14:textId="470530F1" w:rsidR="00C11556" w:rsidRPr="008820E0" w:rsidRDefault="00C11556" w:rsidP="00C11556">
            <w:pPr>
              <w:rPr>
                <w:rFonts w:cs="Arial"/>
                <w:b/>
                <w:bCs/>
              </w:rPr>
            </w:pPr>
            <w:r w:rsidRPr="008820E0">
              <w:rPr>
                <w:rFonts w:cs="Arial"/>
                <w:b/>
                <w:bCs/>
                <w:lang w:eastAsia="ja-JP"/>
              </w:rPr>
              <w:t>Boarding time</w:t>
            </w:r>
            <w:r w:rsidRPr="008820E0">
              <w:rPr>
                <w:rFonts w:cs="Arial"/>
                <w:lang w:eastAsia="ja-JP"/>
              </w:rPr>
              <w:t xml:space="preserve"> is defined as the </w:t>
            </w:r>
            <w:r w:rsidR="00C143BF">
              <w:rPr>
                <w:rFonts w:cs="Arial"/>
                <w:lang w:eastAsia="ja-JP"/>
              </w:rPr>
              <w:t xml:space="preserve">time from </w:t>
            </w:r>
            <w:r w:rsidRPr="008820E0">
              <w:rPr>
                <w:rFonts w:cs="Arial"/>
                <w:lang w:eastAsia="ja-JP"/>
              </w:rPr>
              <w:t xml:space="preserve">the </w:t>
            </w:r>
            <w:r w:rsidR="00C143BF">
              <w:rPr>
                <w:rFonts w:cs="Arial"/>
                <w:lang w:eastAsia="ja-JP"/>
              </w:rPr>
              <w:t xml:space="preserve">decision to admit (e.g., </w:t>
            </w:r>
            <w:r w:rsidRPr="008820E0">
              <w:rPr>
                <w:rFonts w:cs="Arial"/>
                <w:lang w:eastAsia="ja-JP"/>
              </w:rPr>
              <w:t>admission order</w:t>
            </w:r>
            <w:r w:rsidR="00C143BF">
              <w:rPr>
                <w:rFonts w:cs="Arial"/>
                <w:lang w:eastAsia="ja-JP"/>
              </w:rPr>
              <w:t>)</w:t>
            </w:r>
            <w:r w:rsidRPr="008820E0">
              <w:rPr>
                <w:rFonts w:cs="Arial"/>
                <w:lang w:eastAsia="ja-JP"/>
              </w:rPr>
              <w:t xml:space="preserve"> to </w:t>
            </w:r>
            <w:r w:rsidR="00C143BF">
              <w:rPr>
                <w:rFonts w:cs="Arial"/>
                <w:lang w:eastAsia="ja-JP"/>
              </w:rPr>
              <w:t xml:space="preserve">the patient’s final </w:t>
            </w:r>
            <w:r w:rsidRPr="008820E0">
              <w:rPr>
                <w:rFonts w:cs="Arial"/>
                <w:lang w:eastAsia="ja-JP"/>
              </w:rPr>
              <w:t>departure from the ED</w:t>
            </w:r>
            <w:r w:rsidR="001E7C79" w:rsidRPr="008820E0">
              <w:rPr>
                <w:rFonts w:cs="Arial"/>
                <w:lang w:eastAsia="ja-JP"/>
              </w:rPr>
              <w:t>.</w:t>
            </w:r>
          </w:p>
        </w:tc>
      </w:tr>
      <w:tr w:rsidR="005D2693" w:rsidRPr="009A5185" w14:paraId="324C0C99" w14:textId="77777777" w:rsidTr="00300531">
        <w:trPr>
          <w:trHeight w:val="611"/>
          <w:jc w:val="center"/>
        </w:trPr>
        <w:tc>
          <w:tcPr>
            <w:tcW w:w="9562" w:type="dxa"/>
            <w:vAlign w:val="center"/>
          </w:tcPr>
          <w:p w14:paraId="33EFF66F" w14:textId="318F46F9" w:rsidR="001F2EBB" w:rsidRPr="004F7C13" w:rsidRDefault="001F2EBB" w:rsidP="001F2EBB">
            <w:pPr>
              <w:rPr>
                <w:rFonts w:cs="Arial"/>
              </w:rPr>
            </w:pPr>
            <w:r w:rsidRPr="004F7C13">
              <w:rPr>
                <w:rFonts w:cs="Arial"/>
                <w:b/>
                <w:bCs/>
              </w:rPr>
              <w:t xml:space="preserve">Question #5, column c: </w:t>
            </w:r>
            <w:r w:rsidRPr="004F7C13">
              <w:rPr>
                <w:rFonts w:cs="Arial"/>
                <w:bCs/>
              </w:rPr>
              <w:t xml:space="preserve">Total </w:t>
            </w:r>
            <w:r w:rsidR="00C01F1A">
              <w:rPr>
                <w:rFonts w:cs="Arial"/>
                <w:bCs/>
              </w:rPr>
              <w:t>b</w:t>
            </w:r>
            <w:r w:rsidRPr="004F7C13">
              <w:rPr>
                <w:rFonts w:cs="Arial"/>
                <w:bCs/>
              </w:rPr>
              <w:t xml:space="preserve">oarding </w:t>
            </w:r>
            <w:r w:rsidR="00C01F1A">
              <w:rPr>
                <w:rFonts w:cs="Arial"/>
                <w:bCs/>
              </w:rPr>
              <w:t>t</w:t>
            </w:r>
            <w:r w:rsidRPr="004F7C13">
              <w:rPr>
                <w:rFonts w:cs="Arial"/>
                <w:bCs/>
              </w:rPr>
              <w:t>ime</w:t>
            </w:r>
            <w:r w:rsidR="004151EC">
              <w:rPr>
                <w:rFonts w:cs="Arial"/>
                <w:bCs/>
              </w:rPr>
              <w:t xml:space="preserve"> (</w:t>
            </w:r>
            <w:r w:rsidR="00911150">
              <w:rPr>
                <w:rFonts w:cs="Arial"/>
                <w:bCs/>
              </w:rPr>
              <w:t xml:space="preserve">in </w:t>
            </w:r>
            <w:r w:rsidR="004151EC">
              <w:rPr>
                <w:rFonts w:cs="Arial"/>
                <w:bCs/>
              </w:rPr>
              <w:t xml:space="preserve">hours) for ED visits </w:t>
            </w:r>
            <w:r w:rsidR="00BA1C92">
              <w:rPr>
                <w:rFonts w:cs="Arial"/>
                <w:bCs/>
              </w:rPr>
              <w:t xml:space="preserve">indicated </w:t>
            </w:r>
            <w:r w:rsidRPr="004F7C13">
              <w:rPr>
                <w:rFonts w:cs="Arial"/>
                <w:bCs/>
              </w:rPr>
              <w:t>in column (a)</w:t>
            </w:r>
            <w:r w:rsidR="00926F21">
              <w:rPr>
                <w:rFonts w:cs="Arial"/>
                <w:bCs/>
              </w:rPr>
              <w:t>.</w:t>
            </w:r>
          </w:p>
          <w:p w14:paraId="17CDD5AC" w14:textId="77777777" w:rsidR="001F2EBB" w:rsidRPr="004F7C13" w:rsidRDefault="001F2EBB" w:rsidP="001F2EBB">
            <w:pPr>
              <w:rPr>
                <w:rFonts w:cs="Arial"/>
                <w:snapToGrid w:val="0"/>
              </w:rPr>
            </w:pPr>
          </w:p>
          <w:p w14:paraId="4E8AD6B0" w14:textId="213918DD" w:rsidR="001F2EBB" w:rsidRPr="004F7C13" w:rsidRDefault="00E527D0" w:rsidP="001F2EBB">
            <w:pPr>
              <w:rPr>
                <w:rFonts w:cs="Arial"/>
                <w:bCs/>
              </w:rPr>
            </w:pPr>
            <w:r>
              <w:rPr>
                <w:rFonts w:cs="Arial"/>
                <w:bCs/>
              </w:rPr>
              <w:t>Enter the t</w:t>
            </w:r>
            <w:r w:rsidR="004E65A5" w:rsidRPr="005A1909">
              <w:rPr>
                <w:rFonts w:cs="Arial"/>
                <w:bCs/>
              </w:rPr>
              <w:t xml:space="preserve">otal </w:t>
            </w:r>
            <w:r w:rsidR="00911150">
              <w:rPr>
                <w:rFonts w:cs="Arial"/>
                <w:bCs/>
              </w:rPr>
              <w:t>boarding time (in</w:t>
            </w:r>
            <w:r w:rsidR="004E65A5" w:rsidRPr="005A1909">
              <w:rPr>
                <w:rFonts w:cs="Arial"/>
                <w:bCs/>
              </w:rPr>
              <w:t xml:space="preserve"> hours</w:t>
            </w:r>
            <w:r w:rsidR="00911150">
              <w:rPr>
                <w:rFonts w:cs="Arial"/>
                <w:bCs/>
              </w:rPr>
              <w:t xml:space="preserve">) </w:t>
            </w:r>
            <w:r w:rsidR="004E65A5" w:rsidRPr="005A1909">
              <w:rPr>
                <w:rFonts w:cs="Arial"/>
                <w:bCs/>
              </w:rPr>
              <w:t xml:space="preserve">for ED </w:t>
            </w:r>
            <w:r w:rsidR="001F2EBB" w:rsidRPr="004F7C13">
              <w:rPr>
                <w:rFonts w:cs="Arial"/>
                <w:bCs/>
              </w:rPr>
              <w:t>visits indicated in column (a) for each of the following admission types:</w:t>
            </w:r>
          </w:p>
          <w:p w14:paraId="3F5B0869" w14:textId="682BF7C1" w:rsidR="001F2EBB" w:rsidRPr="004F7C13" w:rsidRDefault="000F5309" w:rsidP="001F2EBB">
            <w:pPr>
              <w:ind w:left="720"/>
              <w:rPr>
                <w:b/>
                <w:bCs/>
              </w:rPr>
            </w:pPr>
            <w:r w:rsidRPr="007F2F8A">
              <w:t>P</w:t>
            </w:r>
            <w:r w:rsidR="001F2EBB" w:rsidRPr="004F7C13">
              <w:t xml:space="preserve">atients admitted to </w:t>
            </w:r>
            <w:r>
              <w:t>a pediatric</w:t>
            </w:r>
            <w:r w:rsidR="001F2EBB" w:rsidRPr="004F7C13">
              <w:t xml:space="preserve"> inpatient </w:t>
            </w:r>
            <w:r w:rsidR="001F2EBB" w:rsidRPr="004F7C13">
              <w:rPr>
                <w:b/>
                <w:bCs/>
              </w:rPr>
              <w:t>non-psychiatric bed</w:t>
            </w:r>
          </w:p>
          <w:p w14:paraId="225E8242" w14:textId="614F6BE7" w:rsidR="001F2EBB" w:rsidRPr="004F7C13" w:rsidRDefault="000F5309" w:rsidP="001F2EBB">
            <w:pPr>
              <w:ind w:left="720"/>
              <w:rPr>
                <w:b/>
                <w:bCs/>
              </w:rPr>
            </w:pPr>
            <w:r w:rsidRPr="007F2F8A">
              <w:t>P</w:t>
            </w:r>
            <w:r w:rsidR="001F2EBB" w:rsidRPr="004F7C13">
              <w:t>atients admitted to a</w:t>
            </w:r>
            <w:r>
              <w:t xml:space="preserve"> pediatric </w:t>
            </w:r>
            <w:r w:rsidR="001F2EBB" w:rsidRPr="004F7C13">
              <w:t xml:space="preserve">inpatient </w:t>
            </w:r>
            <w:r w:rsidR="001F2EBB" w:rsidRPr="004F7C13">
              <w:rPr>
                <w:b/>
                <w:bCs/>
              </w:rPr>
              <w:t>psychiatric bed</w:t>
            </w:r>
          </w:p>
          <w:p w14:paraId="1EB7D6D9" w14:textId="77777777" w:rsidR="001F2EBB" w:rsidRPr="004F7C13" w:rsidRDefault="001F2EBB" w:rsidP="001F2EBB">
            <w:pPr>
              <w:rPr>
                <w:rFonts w:cs="Arial"/>
                <w:snapToGrid w:val="0"/>
              </w:rPr>
            </w:pPr>
          </w:p>
          <w:p w14:paraId="0DBA1781" w14:textId="77777777" w:rsidR="001F2EBB" w:rsidRPr="004F7C13" w:rsidRDefault="001F2EBB" w:rsidP="001F2EBB">
            <w:pPr>
              <w:rPr>
                <w:rFonts w:cs="Arial"/>
                <w:b/>
                <w:snapToGrid w:val="0"/>
              </w:rPr>
            </w:pPr>
            <w:r w:rsidRPr="004F7C13">
              <w:rPr>
                <w:rFonts w:cs="Arial"/>
                <w:b/>
                <w:snapToGrid w:val="0"/>
              </w:rPr>
              <w:t>Include:</w:t>
            </w:r>
          </w:p>
          <w:p w14:paraId="37246D15" w14:textId="2AD29F73" w:rsidR="001F2EBB" w:rsidRPr="004F7C13" w:rsidRDefault="00970E45" w:rsidP="001F2EBB">
            <w:pPr>
              <w:pStyle w:val="ListParagraph"/>
              <w:numPr>
                <w:ilvl w:val="0"/>
                <w:numId w:val="87"/>
              </w:numPr>
              <w:rPr>
                <w:rFonts w:cs="Arial"/>
                <w:lang w:eastAsia="ja-JP"/>
              </w:rPr>
            </w:pPr>
            <w:r>
              <w:rPr>
                <w:rFonts w:cs="Arial"/>
                <w:lang w:eastAsia="ja-JP"/>
              </w:rPr>
              <w:t>Total number of h</w:t>
            </w:r>
            <w:r w:rsidR="001F2EBB" w:rsidRPr="004F7C13">
              <w:rPr>
                <w:rFonts w:cs="Arial"/>
                <w:lang w:eastAsia="ja-JP"/>
              </w:rPr>
              <w:t>ours spent in the ED for patients with an ED visit that were admitted to the hospital’s inpatient setting or placed in hospital observation status.</w:t>
            </w:r>
          </w:p>
          <w:p w14:paraId="0B798178" w14:textId="77777777" w:rsidR="001F2EBB" w:rsidRPr="004F7C13" w:rsidRDefault="001F2EBB" w:rsidP="001F2EBB">
            <w:pPr>
              <w:pStyle w:val="ListParagraph"/>
              <w:rPr>
                <w:rFonts w:cs="Arial"/>
                <w:lang w:eastAsia="ja-JP"/>
              </w:rPr>
            </w:pPr>
          </w:p>
          <w:p w14:paraId="2AA90C5D" w14:textId="30D509E1" w:rsidR="005D2693" w:rsidRPr="008820E0" w:rsidRDefault="00773C15" w:rsidP="001F2EBB">
            <w:pPr>
              <w:rPr>
                <w:rFonts w:cs="Arial"/>
                <w:b/>
                <w:bCs/>
              </w:rPr>
            </w:pPr>
            <w:r w:rsidRPr="008820E0">
              <w:rPr>
                <w:rFonts w:cs="Arial"/>
                <w:b/>
                <w:bCs/>
                <w:lang w:eastAsia="ja-JP"/>
              </w:rPr>
              <w:t>Boarding time</w:t>
            </w:r>
            <w:r w:rsidRPr="008820E0">
              <w:rPr>
                <w:rFonts w:cs="Arial"/>
                <w:lang w:eastAsia="ja-JP"/>
              </w:rPr>
              <w:t xml:space="preserve"> is defined as the</w:t>
            </w:r>
            <w:r>
              <w:rPr>
                <w:rFonts w:cs="Arial"/>
                <w:lang w:eastAsia="ja-JP"/>
              </w:rPr>
              <w:t xml:space="preserve"> time from</w:t>
            </w:r>
            <w:r w:rsidRPr="008820E0">
              <w:rPr>
                <w:rFonts w:cs="Arial"/>
                <w:lang w:eastAsia="ja-JP"/>
              </w:rPr>
              <w:t xml:space="preserve"> the </w:t>
            </w:r>
            <w:r>
              <w:rPr>
                <w:rFonts w:cs="Arial"/>
                <w:lang w:eastAsia="ja-JP"/>
              </w:rPr>
              <w:t xml:space="preserve">decision to admit (e.g., </w:t>
            </w:r>
            <w:r w:rsidRPr="008820E0">
              <w:rPr>
                <w:rFonts w:cs="Arial"/>
                <w:lang w:eastAsia="ja-JP"/>
              </w:rPr>
              <w:t>admission order</w:t>
            </w:r>
            <w:r>
              <w:rPr>
                <w:rFonts w:cs="Arial"/>
                <w:lang w:eastAsia="ja-JP"/>
              </w:rPr>
              <w:t>)</w:t>
            </w:r>
            <w:r w:rsidRPr="008820E0">
              <w:rPr>
                <w:rFonts w:cs="Arial"/>
                <w:lang w:eastAsia="ja-JP"/>
              </w:rPr>
              <w:t xml:space="preserve"> to </w:t>
            </w:r>
            <w:r>
              <w:rPr>
                <w:rFonts w:cs="Arial"/>
                <w:lang w:eastAsia="ja-JP"/>
              </w:rPr>
              <w:t xml:space="preserve">the </w:t>
            </w:r>
            <w:r w:rsidRPr="008820E0">
              <w:rPr>
                <w:rFonts w:cs="Arial"/>
                <w:lang w:eastAsia="ja-JP"/>
              </w:rPr>
              <w:t>patient</w:t>
            </w:r>
            <w:r>
              <w:rPr>
                <w:rFonts w:cs="Arial"/>
                <w:lang w:eastAsia="ja-JP"/>
              </w:rPr>
              <w:t>’s final</w:t>
            </w:r>
            <w:r w:rsidRPr="008820E0">
              <w:rPr>
                <w:rFonts w:cs="Arial"/>
                <w:lang w:eastAsia="ja-JP"/>
              </w:rPr>
              <w:t xml:space="preserve"> departure from the ED.</w:t>
            </w:r>
          </w:p>
        </w:tc>
      </w:tr>
      <w:tr w:rsidR="00C11556" w:rsidRPr="009A5185" w14:paraId="7F4E391E" w14:textId="77777777" w:rsidTr="00D73F6A">
        <w:trPr>
          <w:trHeight w:val="1970"/>
          <w:jc w:val="center"/>
        </w:trPr>
        <w:tc>
          <w:tcPr>
            <w:tcW w:w="9562" w:type="dxa"/>
            <w:vAlign w:val="center"/>
          </w:tcPr>
          <w:p w14:paraId="743F7154" w14:textId="42687519" w:rsidR="00C11556" w:rsidRPr="008820E0" w:rsidRDefault="00C11556" w:rsidP="00C11556">
            <w:pPr>
              <w:rPr>
                <w:rFonts w:cs="Arial"/>
              </w:rPr>
            </w:pPr>
            <w:r w:rsidRPr="008820E0">
              <w:rPr>
                <w:rFonts w:cs="Arial"/>
                <w:b/>
                <w:bCs/>
              </w:rPr>
              <w:lastRenderedPageBreak/>
              <w:t xml:space="preserve">Question #5, column </w:t>
            </w:r>
            <w:r w:rsidR="005D2693">
              <w:rPr>
                <w:rFonts w:cs="Arial"/>
                <w:b/>
                <w:bCs/>
              </w:rPr>
              <w:t>d</w:t>
            </w:r>
            <w:r w:rsidRPr="008820E0">
              <w:rPr>
                <w:rFonts w:cs="Arial"/>
                <w:b/>
                <w:bCs/>
              </w:rPr>
              <w:t xml:space="preserve">: </w:t>
            </w:r>
            <w:r w:rsidRPr="008820E0">
              <w:rPr>
                <w:rFonts w:cs="Arial"/>
              </w:rPr>
              <w:t xml:space="preserve">Median number of </w:t>
            </w:r>
            <w:r w:rsidRPr="008820E0">
              <w:rPr>
                <w:rFonts w:cs="Arial"/>
                <w:b/>
                <w:bCs/>
                <w:u w:val="single"/>
              </w:rPr>
              <w:t>hours</w:t>
            </w:r>
            <w:r w:rsidRPr="008820E0">
              <w:rPr>
                <w:rFonts w:cs="Arial"/>
              </w:rPr>
              <w:t xml:space="preserve"> spent in the ED for ED visits indicated in column (a).</w:t>
            </w:r>
          </w:p>
          <w:p w14:paraId="40EB9E79" w14:textId="77777777" w:rsidR="00C11556" w:rsidRPr="008820E0" w:rsidRDefault="00C11556" w:rsidP="00C11556">
            <w:pPr>
              <w:rPr>
                <w:rFonts w:cs="Arial"/>
                <w:snapToGrid w:val="0"/>
              </w:rPr>
            </w:pPr>
          </w:p>
          <w:p w14:paraId="2A2B64A5" w14:textId="77777777" w:rsidR="00C11556" w:rsidRPr="008820E0" w:rsidRDefault="00C11556" w:rsidP="00C11556">
            <w:pPr>
              <w:rPr>
                <w:rFonts w:cs="Arial"/>
                <w:bCs/>
              </w:rPr>
            </w:pPr>
            <w:r w:rsidRPr="008820E0">
              <w:rPr>
                <w:rFonts w:cs="Arial"/>
                <w:bCs/>
              </w:rPr>
              <w:t>Enter the median number of hours spent in the ED for ED visits indicated in column (a) for each of the following admission types:</w:t>
            </w:r>
          </w:p>
          <w:p w14:paraId="5DC0DBDE" w14:textId="72C47F10" w:rsidR="00C11556" w:rsidRPr="008820E0" w:rsidRDefault="000A6C8F" w:rsidP="00C11556">
            <w:pPr>
              <w:ind w:left="720"/>
              <w:rPr>
                <w:b/>
                <w:bCs/>
              </w:rPr>
            </w:pPr>
            <w:r w:rsidRPr="001C4D9F">
              <w:t>P</w:t>
            </w:r>
            <w:r w:rsidR="00C11556" w:rsidRPr="008820E0">
              <w:t>atients admitted to a</w:t>
            </w:r>
            <w:r>
              <w:t xml:space="preserve"> pediatric</w:t>
            </w:r>
            <w:r w:rsidR="00C11556" w:rsidRPr="008820E0">
              <w:t xml:space="preserve"> inpatient </w:t>
            </w:r>
            <w:r w:rsidR="00C11556" w:rsidRPr="008820E0">
              <w:rPr>
                <w:b/>
                <w:bCs/>
              </w:rPr>
              <w:t>non-psychiatric bed</w:t>
            </w:r>
          </w:p>
          <w:p w14:paraId="4ABFA9E4" w14:textId="74C9AF25" w:rsidR="00C11556" w:rsidRPr="008820E0" w:rsidRDefault="000A6C8F" w:rsidP="00C11556">
            <w:pPr>
              <w:ind w:left="720"/>
              <w:rPr>
                <w:b/>
                <w:bCs/>
              </w:rPr>
            </w:pPr>
            <w:r>
              <w:t>P</w:t>
            </w:r>
            <w:r w:rsidR="00C11556" w:rsidRPr="008820E0">
              <w:t>atients admitted to a</w:t>
            </w:r>
            <w:r>
              <w:t xml:space="preserve"> pediatric</w:t>
            </w:r>
            <w:r w:rsidR="00C11556" w:rsidRPr="008820E0">
              <w:t xml:space="preserve"> inpatient </w:t>
            </w:r>
            <w:r w:rsidR="00C11556" w:rsidRPr="008820E0">
              <w:rPr>
                <w:b/>
                <w:bCs/>
              </w:rPr>
              <w:t>psychiatric bed</w:t>
            </w:r>
          </w:p>
          <w:p w14:paraId="35E56C4A" w14:textId="77777777" w:rsidR="00C11556" w:rsidRPr="008820E0" w:rsidRDefault="00C11556" w:rsidP="00C11556">
            <w:pPr>
              <w:rPr>
                <w:rFonts w:cs="Arial"/>
                <w:snapToGrid w:val="0"/>
              </w:rPr>
            </w:pPr>
          </w:p>
          <w:p w14:paraId="3D783244" w14:textId="77777777" w:rsidR="00C11556" w:rsidRPr="008820E0" w:rsidRDefault="00C11556" w:rsidP="00C11556">
            <w:pPr>
              <w:rPr>
                <w:rFonts w:cs="Arial"/>
                <w:b/>
                <w:snapToGrid w:val="0"/>
              </w:rPr>
            </w:pPr>
            <w:r w:rsidRPr="008820E0">
              <w:rPr>
                <w:rFonts w:cs="Arial"/>
                <w:b/>
                <w:snapToGrid w:val="0"/>
              </w:rPr>
              <w:t>Include:</w:t>
            </w:r>
          </w:p>
          <w:p w14:paraId="472D3D4F" w14:textId="5AC07A53" w:rsidR="00C11556" w:rsidRPr="008820E0" w:rsidRDefault="00C11556" w:rsidP="00AD309C">
            <w:pPr>
              <w:pStyle w:val="ListParagraph"/>
              <w:numPr>
                <w:ilvl w:val="0"/>
                <w:numId w:val="87"/>
              </w:numPr>
              <w:rPr>
                <w:rFonts w:cs="Arial"/>
                <w:lang w:eastAsia="ja-JP"/>
              </w:rPr>
            </w:pPr>
            <w:r w:rsidRPr="008820E0">
              <w:rPr>
                <w:rFonts w:cs="Arial"/>
                <w:lang w:eastAsia="ja-JP"/>
              </w:rPr>
              <w:t xml:space="preserve">Hours spent in the ED for patients with an ED visit that </w:t>
            </w:r>
            <w:r w:rsidR="005D79A8" w:rsidRPr="008820E0">
              <w:rPr>
                <w:rFonts w:cs="Arial"/>
                <w:lang w:eastAsia="ja-JP"/>
              </w:rPr>
              <w:t>were</w:t>
            </w:r>
            <w:r w:rsidRPr="008820E0">
              <w:rPr>
                <w:rFonts w:cs="Arial"/>
                <w:lang w:eastAsia="ja-JP"/>
              </w:rPr>
              <w:t xml:space="preserve"> admitted to the hospital’s inpatient setting or </w:t>
            </w:r>
            <w:r w:rsidR="002F2473" w:rsidRPr="008820E0">
              <w:rPr>
                <w:rFonts w:cs="Arial"/>
                <w:lang w:eastAsia="ja-JP"/>
              </w:rPr>
              <w:t>placed in</w:t>
            </w:r>
            <w:r w:rsidRPr="008820E0">
              <w:rPr>
                <w:rFonts w:cs="Arial"/>
                <w:lang w:eastAsia="ja-JP"/>
              </w:rPr>
              <w:t xml:space="preserve"> hospital observation status.</w:t>
            </w:r>
          </w:p>
          <w:p w14:paraId="2D95DB0A" w14:textId="77777777" w:rsidR="00C11556" w:rsidRPr="008820E0" w:rsidRDefault="00C11556" w:rsidP="00C11556">
            <w:pPr>
              <w:pStyle w:val="ListParagraph"/>
              <w:rPr>
                <w:rFonts w:cs="Arial"/>
                <w:lang w:eastAsia="ja-JP"/>
              </w:rPr>
            </w:pPr>
          </w:p>
          <w:p w14:paraId="25065742" w14:textId="156F137D" w:rsidR="00C11556" w:rsidRPr="008820E0" w:rsidRDefault="00C11556" w:rsidP="00C11556">
            <w:pPr>
              <w:rPr>
                <w:rFonts w:cs="Arial"/>
                <w:b/>
                <w:bCs/>
              </w:rPr>
            </w:pPr>
            <w:r w:rsidRPr="008820E0">
              <w:rPr>
                <w:rFonts w:cs="Arial"/>
                <w:b/>
                <w:bCs/>
                <w:lang w:eastAsia="ja-JP"/>
              </w:rPr>
              <w:t>Hours spent in the ED</w:t>
            </w:r>
            <w:r w:rsidRPr="008820E0">
              <w:rPr>
                <w:rFonts w:cs="Arial"/>
                <w:lang w:eastAsia="ja-JP"/>
              </w:rPr>
              <w:t xml:space="preserve"> is defined as the difference between the “patient arrival time at the ED” to “</w:t>
            </w:r>
            <w:r w:rsidR="00DE757A">
              <w:rPr>
                <w:rFonts w:cs="Arial"/>
                <w:lang w:eastAsia="ja-JP"/>
              </w:rPr>
              <w:t xml:space="preserve">final </w:t>
            </w:r>
            <w:r w:rsidRPr="008820E0">
              <w:rPr>
                <w:rFonts w:cs="Arial"/>
                <w:lang w:eastAsia="ja-JP"/>
              </w:rPr>
              <w:t>patient departure from the ED</w:t>
            </w:r>
            <w:r w:rsidR="004B610C" w:rsidRPr="008820E0">
              <w:rPr>
                <w:rFonts w:cs="Arial"/>
                <w:lang w:eastAsia="ja-JP"/>
              </w:rPr>
              <w:t>.”</w:t>
            </w:r>
          </w:p>
        </w:tc>
      </w:tr>
      <w:tr w:rsidR="00C11556" w:rsidRPr="009A5185" w14:paraId="2A9CF93D" w14:textId="77777777" w:rsidTr="00D73F6A">
        <w:trPr>
          <w:trHeight w:val="1970"/>
          <w:jc w:val="center"/>
        </w:trPr>
        <w:tc>
          <w:tcPr>
            <w:tcW w:w="9562" w:type="dxa"/>
            <w:vAlign w:val="center"/>
          </w:tcPr>
          <w:p w14:paraId="5F8D8209" w14:textId="78510E62" w:rsidR="00C11556" w:rsidRPr="008820E0" w:rsidRDefault="00C11556" w:rsidP="00C11556">
            <w:pPr>
              <w:rPr>
                <w:rFonts w:cs="Arial"/>
              </w:rPr>
            </w:pPr>
            <w:r w:rsidRPr="008820E0">
              <w:rPr>
                <w:rFonts w:cs="Arial"/>
                <w:b/>
                <w:bCs/>
              </w:rPr>
              <w:t xml:space="preserve">Question #5, column </w:t>
            </w:r>
            <w:r w:rsidR="009E3A4E">
              <w:rPr>
                <w:rFonts w:cs="Arial"/>
                <w:b/>
                <w:bCs/>
              </w:rPr>
              <w:t>e</w:t>
            </w:r>
            <w:r w:rsidRPr="008820E0">
              <w:rPr>
                <w:rFonts w:cs="Arial"/>
                <w:b/>
                <w:bCs/>
              </w:rPr>
              <w:t xml:space="preserve">: </w:t>
            </w:r>
            <w:r w:rsidRPr="008820E0">
              <w:rPr>
                <w:rFonts w:cs="Arial"/>
              </w:rPr>
              <w:t>90</w:t>
            </w:r>
            <w:r w:rsidRPr="008820E0">
              <w:rPr>
                <w:rFonts w:cs="Arial"/>
                <w:vertAlign w:val="superscript"/>
              </w:rPr>
              <w:t>th</w:t>
            </w:r>
            <w:r w:rsidRPr="008820E0">
              <w:rPr>
                <w:rFonts w:cs="Arial"/>
              </w:rPr>
              <w:t xml:space="preserve"> percentile of </w:t>
            </w:r>
            <w:r w:rsidRPr="008820E0">
              <w:rPr>
                <w:rFonts w:cs="Arial"/>
                <w:b/>
                <w:bCs/>
                <w:u w:val="single"/>
              </w:rPr>
              <w:t>hours</w:t>
            </w:r>
            <w:r w:rsidRPr="008820E0">
              <w:rPr>
                <w:rFonts w:cs="Arial"/>
              </w:rPr>
              <w:t xml:space="preserve"> spent in the ED for ED visits indicated in column (a).</w:t>
            </w:r>
          </w:p>
          <w:p w14:paraId="52C28F5A" w14:textId="77777777" w:rsidR="00C11556" w:rsidRPr="008820E0" w:rsidRDefault="00C11556" w:rsidP="00C11556">
            <w:pPr>
              <w:rPr>
                <w:rFonts w:cs="Arial"/>
                <w:snapToGrid w:val="0"/>
              </w:rPr>
            </w:pPr>
          </w:p>
          <w:p w14:paraId="0D0241BF" w14:textId="77777777" w:rsidR="00C11556" w:rsidRPr="008820E0" w:rsidRDefault="00C11556" w:rsidP="00C11556">
            <w:pPr>
              <w:rPr>
                <w:rFonts w:cs="Arial"/>
                <w:bCs/>
              </w:rPr>
            </w:pPr>
            <w:r w:rsidRPr="008820E0">
              <w:rPr>
                <w:rFonts w:cs="Arial"/>
                <w:bCs/>
              </w:rPr>
              <w:t>Enter the 90</w:t>
            </w:r>
            <w:r w:rsidRPr="008820E0">
              <w:rPr>
                <w:rFonts w:cs="Arial"/>
                <w:bCs/>
                <w:vertAlign w:val="superscript"/>
              </w:rPr>
              <w:t>th</w:t>
            </w:r>
            <w:r w:rsidRPr="008820E0">
              <w:rPr>
                <w:rFonts w:cs="Arial"/>
                <w:bCs/>
              </w:rPr>
              <w:t xml:space="preserve"> percentile of hours spent in the ED for ED visits indicated in column (a) for each of the following admission types:</w:t>
            </w:r>
          </w:p>
          <w:p w14:paraId="2AA0EBE5" w14:textId="1CC3B7F3" w:rsidR="00C11556" w:rsidRPr="008820E0" w:rsidRDefault="00C47F6F" w:rsidP="00C11556">
            <w:pPr>
              <w:ind w:left="720"/>
              <w:rPr>
                <w:b/>
                <w:bCs/>
              </w:rPr>
            </w:pPr>
            <w:r>
              <w:t>P</w:t>
            </w:r>
            <w:r w:rsidR="00C11556" w:rsidRPr="008820E0">
              <w:t>atients admitted to a</w:t>
            </w:r>
            <w:r w:rsidR="003C652D">
              <w:t xml:space="preserve"> pediatric</w:t>
            </w:r>
            <w:r w:rsidR="00C11556" w:rsidRPr="008820E0">
              <w:t xml:space="preserve"> inpatient </w:t>
            </w:r>
            <w:r w:rsidR="00C11556" w:rsidRPr="008820E0">
              <w:rPr>
                <w:b/>
                <w:bCs/>
              </w:rPr>
              <w:t>non-psychiatric bed</w:t>
            </w:r>
          </w:p>
          <w:p w14:paraId="7A8669CF" w14:textId="6AB6B14F" w:rsidR="00C11556" w:rsidRPr="008820E0" w:rsidRDefault="00C47F6F" w:rsidP="00C11556">
            <w:pPr>
              <w:ind w:left="720"/>
              <w:rPr>
                <w:b/>
                <w:bCs/>
              </w:rPr>
            </w:pPr>
            <w:r>
              <w:t>P</w:t>
            </w:r>
            <w:r w:rsidR="00C11556" w:rsidRPr="008820E0">
              <w:t>atients admitted to a</w:t>
            </w:r>
            <w:r w:rsidR="003C652D">
              <w:t xml:space="preserve"> pediatric</w:t>
            </w:r>
            <w:r w:rsidR="00C11556" w:rsidRPr="008820E0">
              <w:t xml:space="preserve"> inpatient </w:t>
            </w:r>
            <w:r w:rsidR="00C11556" w:rsidRPr="008820E0">
              <w:rPr>
                <w:b/>
                <w:bCs/>
              </w:rPr>
              <w:t>psychiatric bed</w:t>
            </w:r>
          </w:p>
          <w:p w14:paraId="6DCD292D" w14:textId="77777777" w:rsidR="0077309D" w:rsidRDefault="0077309D" w:rsidP="0077309D"/>
          <w:p w14:paraId="5EEF8E65" w14:textId="0EF515A7" w:rsidR="0077309D" w:rsidRPr="00A25B79" w:rsidRDefault="0077309D" w:rsidP="0077309D">
            <w:pPr>
              <w:rPr>
                <w:rFonts w:cs="Arial"/>
                <w:snapToGrid w:val="0"/>
              </w:rPr>
            </w:pPr>
            <w:r w:rsidRPr="004F7C13">
              <w:t xml:space="preserve">The </w:t>
            </w:r>
            <w:r w:rsidRPr="004F7C13">
              <w:rPr>
                <w:b/>
                <w:bCs/>
              </w:rPr>
              <w:t xml:space="preserve">90th percentile </w:t>
            </w:r>
            <w:r w:rsidR="006D3894" w:rsidRPr="006D3894">
              <w:t>represents the amount of time in which 90% of the patients fall below that value. For example, if your hospital’s 90th percentile of hours spent in the ED is 36.5 hours, it means that 90% of your ED patients who were admitted to the hospital were in the ED for 36.5 hours or less.</w:t>
            </w:r>
          </w:p>
          <w:p w14:paraId="2736AB8F" w14:textId="77777777" w:rsidR="0077309D" w:rsidRPr="00A25B79" w:rsidRDefault="0077309D" w:rsidP="0077309D">
            <w:pPr>
              <w:rPr>
                <w:rFonts w:cs="Arial"/>
                <w:snapToGrid w:val="0"/>
              </w:rPr>
            </w:pPr>
          </w:p>
          <w:p w14:paraId="710D7690" w14:textId="77777777" w:rsidR="00C11556" w:rsidRPr="008820E0" w:rsidRDefault="00C11556" w:rsidP="00C11556">
            <w:pPr>
              <w:rPr>
                <w:rFonts w:cs="Arial"/>
                <w:b/>
                <w:snapToGrid w:val="0"/>
              </w:rPr>
            </w:pPr>
            <w:r w:rsidRPr="008820E0">
              <w:rPr>
                <w:rFonts w:cs="Arial"/>
                <w:b/>
                <w:snapToGrid w:val="0"/>
              </w:rPr>
              <w:t>Include:</w:t>
            </w:r>
          </w:p>
          <w:p w14:paraId="2C8A7690" w14:textId="75E1B7A7" w:rsidR="00C11556" w:rsidRPr="008820E0" w:rsidRDefault="00C11556" w:rsidP="00AD309C">
            <w:pPr>
              <w:pStyle w:val="ListParagraph"/>
              <w:numPr>
                <w:ilvl w:val="0"/>
                <w:numId w:val="87"/>
              </w:numPr>
              <w:rPr>
                <w:rFonts w:cs="Arial"/>
                <w:lang w:eastAsia="ja-JP"/>
              </w:rPr>
            </w:pPr>
            <w:r w:rsidRPr="008820E0">
              <w:rPr>
                <w:rFonts w:cs="Arial"/>
                <w:lang w:eastAsia="ja-JP"/>
              </w:rPr>
              <w:t xml:space="preserve">Hours spent in the ED for patients with an ED visit that </w:t>
            </w:r>
            <w:r w:rsidR="005D79A8" w:rsidRPr="008820E0">
              <w:rPr>
                <w:rFonts w:cs="Arial"/>
                <w:lang w:eastAsia="ja-JP"/>
              </w:rPr>
              <w:t>were</w:t>
            </w:r>
            <w:r w:rsidRPr="008820E0">
              <w:rPr>
                <w:rFonts w:cs="Arial"/>
                <w:lang w:eastAsia="ja-JP"/>
              </w:rPr>
              <w:t xml:space="preserve"> admitted to the hospital’s inpatient setting or </w:t>
            </w:r>
            <w:r w:rsidR="00474B5A" w:rsidRPr="008820E0">
              <w:rPr>
                <w:rFonts w:cs="Arial"/>
                <w:lang w:eastAsia="ja-JP"/>
              </w:rPr>
              <w:t>placed in</w:t>
            </w:r>
            <w:r w:rsidRPr="008820E0">
              <w:rPr>
                <w:rFonts w:cs="Arial"/>
                <w:lang w:eastAsia="ja-JP"/>
              </w:rPr>
              <w:t xml:space="preserve"> hospital observation status.</w:t>
            </w:r>
          </w:p>
          <w:p w14:paraId="56F33CB7" w14:textId="77777777" w:rsidR="00C11556" w:rsidRPr="008820E0" w:rsidRDefault="00C11556" w:rsidP="00C11556">
            <w:pPr>
              <w:pStyle w:val="ListParagraph"/>
              <w:rPr>
                <w:rFonts w:cs="Arial"/>
                <w:lang w:eastAsia="ja-JP"/>
              </w:rPr>
            </w:pPr>
          </w:p>
          <w:p w14:paraId="26587569" w14:textId="18D8928A" w:rsidR="00C11556" w:rsidRPr="008820E0" w:rsidRDefault="00C11556" w:rsidP="00C11556">
            <w:pPr>
              <w:rPr>
                <w:rFonts w:cs="Arial"/>
                <w:b/>
                <w:bCs/>
              </w:rPr>
            </w:pPr>
            <w:r w:rsidRPr="008820E0">
              <w:rPr>
                <w:rFonts w:cs="Arial"/>
                <w:b/>
                <w:bCs/>
                <w:lang w:eastAsia="ja-JP"/>
              </w:rPr>
              <w:t>Hours spent in the ED</w:t>
            </w:r>
            <w:r w:rsidRPr="008820E0">
              <w:rPr>
                <w:rFonts w:cs="Arial"/>
                <w:lang w:eastAsia="ja-JP"/>
              </w:rPr>
              <w:t xml:space="preserve"> is defined as the difference between the “patient arrival time at the ED” to “</w:t>
            </w:r>
            <w:r w:rsidR="00DE757A">
              <w:rPr>
                <w:rFonts w:cs="Arial"/>
                <w:lang w:eastAsia="ja-JP"/>
              </w:rPr>
              <w:t xml:space="preserve">final </w:t>
            </w:r>
            <w:r w:rsidRPr="008820E0">
              <w:rPr>
                <w:rFonts w:cs="Arial"/>
                <w:lang w:eastAsia="ja-JP"/>
              </w:rPr>
              <w:t>patient departure from the ED</w:t>
            </w:r>
            <w:r w:rsidR="00474B5A" w:rsidRPr="008820E0">
              <w:rPr>
                <w:rFonts w:cs="Arial"/>
                <w:lang w:eastAsia="ja-JP"/>
              </w:rPr>
              <w:t>.”</w:t>
            </w:r>
          </w:p>
        </w:tc>
      </w:tr>
      <w:bookmarkEnd w:id="548"/>
    </w:tbl>
    <w:p w14:paraId="051ACB71" w14:textId="60BD8A4A" w:rsidR="00617ECE" w:rsidRDefault="00617ECE" w:rsidP="00617ECE">
      <w:pPr>
        <w:rPr>
          <w:b/>
          <w:snapToGrid w:val="0"/>
          <w:sz w:val="28"/>
          <w:szCs w:val="24"/>
          <w:u w:val="single"/>
          <w:lang w:eastAsia="ja-JP"/>
        </w:rPr>
      </w:pPr>
    </w:p>
    <w:p w14:paraId="7C8ED86C" w14:textId="61D69F37" w:rsidR="00823FED" w:rsidRDefault="00823FED" w:rsidP="00823FED">
      <w:pPr>
        <w:rPr>
          <w:b/>
          <w:snapToGrid w:val="0"/>
          <w:sz w:val="28"/>
          <w:szCs w:val="24"/>
          <w:u w:val="single"/>
          <w:lang w:eastAsia="ja-JP"/>
        </w:rPr>
      </w:pPr>
    </w:p>
    <w:p w14:paraId="42BEFCC1" w14:textId="77777777" w:rsidR="00AE47DC" w:rsidRDefault="00AE47DC">
      <w:pPr>
        <w:rPr>
          <w:b/>
          <w:snapToGrid w:val="0"/>
          <w:sz w:val="28"/>
          <w:szCs w:val="24"/>
          <w:u w:val="single"/>
          <w:lang w:eastAsia="ja-JP"/>
        </w:rPr>
      </w:pPr>
      <w:bookmarkStart w:id="550" w:name="_Patient_Safety_Practices_1"/>
      <w:bookmarkStart w:id="551" w:name="_Ref130479276"/>
      <w:bookmarkStart w:id="552" w:name="_Ref130479337"/>
      <w:bookmarkStart w:id="553" w:name="_Ref130479382"/>
      <w:bookmarkStart w:id="554" w:name="_Ref130479446"/>
      <w:bookmarkEnd w:id="550"/>
      <w:r>
        <w:br w:type="page"/>
      </w:r>
    </w:p>
    <w:p w14:paraId="472B73B6" w14:textId="6DDDF7FC" w:rsidR="00563CD7" w:rsidRDefault="005735C3" w:rsidP="00CF5A6E">
      <w:pPr>
        <w:pStyle w:val="Heading2"/>
      </w:pPr>
      <w:bookmarkStart w:id="555" w:name="_Patient_Safety_Practices_2"/>
      <w:bookmarkStart w:id="556" w:name="_Toc225877798"/>
      <w:bookmarkEnd w:id="555"/>
      <w:r>
        <w:lastRenderedPageBreak/>
        <w:t xml:space="preserve">Section 6: </w:t>
      </w:r>
      <w:r w:rsidR="00600EE7">
        <w:t xml:space="preserve">Patient </w:t>
      </w:r>
      <w:r w:rsidR="00563CD7">
        <w:t>Safe</w:t>
      </w:r>
      <w:r w:rsidR="00600EE7">
        <w:t>ty</w:t>
      </w:r>
      <w:r w:rsidR="00563CD7">
        <w:t xml:space="preserve"> Practices Frequently Asked Questions (FAQs)</w:t>
      </w:r>
      <w:bookmarkEnd w:id="525"/>
      <w:bookmarkEnd w:id="526"/>
      <w:bookmarkEnd w:id="538"/>
      <w:bookmarkEnd w:id="539"/>
      <w:bookmarkEnd w:id="540"/>
      <w:bookmarkEnd w:id="541"/>
      <w:bookmarkEnd w:id="551"/>
      <w:bookmarkEnd w:id="552"/>
      <w:bookmarkEnd w:id="553"/>
      <w:bookmarkEnd w:id="554"/>
      <w:bookmarkEnd w:id="556"/>
    </w:p>
    <w:p w14:paraId="6902D86B" w14:textId="77777777" w:rsidR="00563CD7" w:rsidRDefault="00563CD7" w:rsidP="0002601E"/>
    <w:p w14:paraId="2D357B3B" w14:textId="54723A02" w:rsidR="00563CD7" w:rsidRPr="00EC77C5" w:rsidRDefault="00563CD7" w:rsidP="00AB5B80">
      <w:pPr>
        <w:pStyle w:val="Heading3"/>
      </w:pPr>
      <w:bookmarkStart w:id="557" w:name="_Toc502828414"/>
      <w:bookmarkStart w:id="558" w:name="_Toc225877799"/>
      <w:r w:rsidRPr="00EC77C5">
        <w:t xml:space="preserve">General </w:t>
      </w:r>
      <w:r w:rsidR="00211AF2">
        <w:t>Questions</w:t>
      </w:r>
      <w:bookmarkEnd w:id="557"/>
      <w:bookmarkEnd w:id="558"/>
    </w:p>
    <w:p w14:paraId="77C551A9" w14:textId="77777777" w:rsidR="00563CD7" w:rsidRDefault="00563CD7" w:rsidP="0002601E"/>
    <w:p w14:paraId="67DAA851" w14:textId="4F03F416" w:rsidR="00563CD7" w:rsidRPr="00A63676" w:rsidRDefault="00563CD7" w:rsidP="00AD309C">
      <w:pPr>
        <w:pStyle w:val="ListParagraph"/>
        <w:numPr>
          <w:ilvl w:val="0"/>
          <w:numId w:val="410"/>
        </w:numPr>
      </w:pPr>
      <w:bookmarkStart w:id="559" w:name="ForthepurposesofreportingonSection6"/>
      <w:r w:rsidRPr="00616AEC">
        <w:rPr>
          <w:rFonts w:cs="Arial"/>
          <w:b/>
        </w:rPr>
        <w:t>For the purposes of reporting on Section 6 of the Leapfrog Hospital Survey:</w:t>
      </w:r>
      <w:r w:rsidR="00592852" w:rsidRPr="00616AEC">
        <w:rPr>
          <w:b/>
        </w:rPr>
        <w:br/>
      </w:r>
    </w:p>
    <w:p w14:paraId="4A78293B" w14:textId="20D64C81" w:rsidR="00563CD7" w:rsidRDefault="00563CD7" w:rsidP="00AD309C">
      <w:pPr>
        <w:numPr>
          <w:ilvl w:val="1"/>
          <w:numId w:val="410"/>
        </w:numPr>
        <w:spacing w:after="120"/>
        <w:ind w:left="936"/>
      </w:pPr>
      <w:bookmarkStart w:id="560" w:name="FrontlineCaregivers"/>
      <w:bookmarkEnd w:id="559"/>
      <w:r>
        <w:rPr>
          <w:b/>
        </w:rPr>
        <w:t>Frontline caregivers</w:t>
      </w:r>
      <w:r w:rsidRPr="00716B66">
        <w:t xml:space="preserve"> </w:t>
      </w:r>
      <w:bookmarkEnd w:id="560"/>
      <w:r w:rsidRPr="00716B66">
        <w:t xml:space="preserve">include, but are </w:t>
      </w:r>
      <w:r w:rsidR="00D23F6F">
        <w:t xml:space="preserve">not </w:t>
      </w:r>
      <w:r w:rsidR="00881BED">
        <w:t>necessarily limited to</w:t>
      </w:r>
      <w:r w:rsidRPr="00716B66">
        <w:t xml:space="preserve"> employed physicians, mid-levels (NPs, PAs), nurses, environmental services staff, allied health professionals, and occupational and physical therapists. </w:t>
      </w:r>
    </w:p>
    <w:p w14:paraId="7ED2954C" w14:textId="77777777" w:rsidR="002B5372" w:rsidRDefault="002B5372" w:rsidP="00AD309C">
      <w:pPr>
        <w:numPr>
          <w:ilvl w:val="1"/>
          <w:numId w:val="410"/>
        </w:numPr>
        <w:spacing w:after="120"/>
        <w:ind w:left="936"/>
      </w:pPr>
      <w:bookmarkStart w:id="561" w:name="ServiceLineManagement"/>
      <w:r>
        <w:rPr>
          <w:b/>
        </w:rPr>
        <w:t xml:space="preserve">Service line management </w:t>
      </w:r>
      <w:bookmarkEnd w:id="561"/>
      <w:r>
        <w:t xml:space="preserve">refers to those who </w:t>
      </w:r>
      <w:r>
        <w:rPr>
          <w:color w:val="222222"/>
          <w:shd w:val="clear" w:color="auto" w:fill="FFFFFF"/>
        </w:rPr>
        <w:t xml:space="preserve">manage </w:t>
      </w:r>
      <w:r>
        <w:rPr>
          <w:color w:val="000000"/>
          <w:shd w:val="clear" w:color="auto" w:fill="FFFFFF"/>
        </w:rPr>
        <w:t xml:space="preserve">all functions within a specific service line (e.g., oncology, cardiac, women's, orthopedics). These individuals may be managing a departmental sub-function within a broader department (e.g., cardiac care within the </w:t>
      </w:r>
      <w:r w:rsidR="00B342C9">
        <w:rPr>
          <w:color w:val="000000"/>
          <w:shd w:val="clear" w:color="auto" w:fill="FFFFFF"/>
        </w:rPr>
        <w:t>D</w:t>
      </w:r>
      <w:r w:rsidRPr="008306A5">
        <w:rPr>
          <w:noProof/>
          <w:color w:val="000000"/>
          <w:shd w:val="clear" w:color="auto" w:fill="FFFFFF"/>
        </w:rPr>
        <w:t>epartment</w:t>
      </w:r>
      <w:r>
        <w:rPr>
          <w:color w:val="000000"/>
          <w:shd w:val="clear" w:color="auto" w:fill="FFFFFF"/>
        </w:rPr>
        <w:t xml:space="preserve"> of Medicine).</w:t>
      </w:r>
    </w:p>
    <w:p w14:paraId="6FB66EC8" w14:textId="77777777" w:rsidR="00563CD7" w:rsidRDefault="00563CD7" w:rsidP="00AD309C">
      <w:pPr>
        <w:numPr>
          <w:ilvl w:val="1"/>
          <w:numId w:val="410"/>
        </w:numPr>
        <w:spacing w:after="120"/>
        <w:ind w:left="936"/>
      </w:pPr>
      <w:bookmarkStart w:id="562" w:name="MidlevelManagement"/>
      <w:r>
        <w:rPr>
          <w:b/>
        </w:rPr>
        <w:t>Midlevel management</w:t>
      </w:r>
      <w:r>
        <w:t xml:space="preserve"> </w:t>
      </w:r>
      <w:bookmarkEnd w:id="562"/>
      <w:r w:rsidRPr="007507F3">
        <w:t>includes the intermediate management of an organization that is subordinate to the executive management and responsible for at least two low</w:t>
      </w:r>
      <w:r>
        <w:t>er levels of staff below them. </w:t>
      </w:r>
      <w:r w:rsidRPr="007507F3">
        <w:t>An example would include a Director of Nursing, who might oversee Nursing Managers, who oversee the nurses who care directly for patients.</w:t>
      </w:r>
    </w:p>
    <w:p w14:paraId="44C4D755" w14:textId="77777777" w:rsidR="00563CD7" w:rsidRPr="002B5372" w:rsidRDefault="00563CD7" w:rsidP="00AD309C">
      <w:pPr>
        <w:numPr>
          <w:ilvl w:val="1"/>
          <w:numId w:val="410"/>
        </w:numPr>
        <w:spacing w:after="120"/>
        <w:ind w:left="936"/>
      </w:pPr>
      <w:bookmarkStart w:id="563" w:name="PhysicianLeadership"/>
      <w:r w:rsidRPr="002B5372">
        <w:rPr>
          <w:b/>
        </w:rPr>
        <w:t>Physician leadership</w:t>
      </w:r>
      <w:r w:rsidRPr="002B5372">
        <w:t xml:space="preserve"> </w:t>
      </w:r>
      <w:bookmarkEnd w:id="563"/>
      <w:r w:rsidRPr="002B5372">
        <w:t xml:space="preserve">refers to physicians who serve in a leadership role in the organization. Titles may include positions such as Chief Medical Officer, Vice President for Medical Affairs, </w:t>
      </w:r>
      <w:r w:rsidRPr="002B5372">
        <w:rPr>
          <w:shd w:val="clear" w:color="auto" w:fill="FFFFFF"/>
        </w:rPr>
        <w:t>Medical Director, and/or Department Chair</w:t>
      </w:r>
      <w:r w:rsidRPr="002B5372">
        <w:rPr>
          <w:color w:val="545454"/>
          <w:shd w:val="clear" w:color="auto" w:fill="FFFFFF"/>
        </w:rPr>
        <w:t>.</w:t>
      </w:r>
    </w:p>
    <w:p w14:paraId="4E85A847" w14:textId="77777777" w:rsidR="002B5372" w:rsidRPr="002B5372" w:rsidRDefault="00BB2CFC" w:rsidP="00AD309C">
      <w:pPr>
        <w:numPr>
          <w:ilvl w:val="1"/>
          <w:numId w:val="410"/>
        </w:numPr>
        <w:spacing w:after="120"/>
        <w:ind w:left="936"/>
      </w:pPr>
      <w:bookmarkStart w:id="564" w:name="NursingLeadership"/>
      <w:r>
        <w:rPr>
          <w:b/>
        </w:rPr>
        <w:t>Nursing</w:t>
      </w:r>
      <w:r w:rsidR="002B5372" w:rsidRPr="002B5372">
        <w:rPr>
          <w:b/>
        </w:rPr>
        <w:t xml:space="preserve"> leadership</w:t>
      </w:r>
      <w:r w:rsidR="002B5372" w:rsidRPr="002B5372">
        <w:t xml:space="preserve"> </w:t>
      </w:r>
      <w:bookmarkEnd w:id="564"/>
      <w:r w:rsidR="002B5372" w:rsidRPr="002B5372">
        <w:t xml:space="preserve">refers to nurses who serve in a leadership role (e.g., Chief </w:t>
      </w:r>
      <w:r>
        <w:t xml:space="preserve">Nursing Officer, Vice President/Assistant Vice President </w:t>
      </w:r>
      <w:r w:rsidR="002B5372" w:rsidRPr="002B5372">
        <w:t>of Nursing, Vice President</w:t>
      </w:r>
      <w:r>
        <w:t>/Assistant Vice President</w:t>
      </w:r>
      <w:r w:rsidR="002B5372" w:rsidRPr="002B5372">
        <w:t xml:space="preserve"> for Clinical Operations, etc.)</w:t>
      </w:r>
    </w:p>
    <w:p w14:paraId="789581CF" w14:textId="77777777" w:rsidR="002B5372" w:rsidRPr="002B5372" w:rsidRDefault="002B5372" w:rsidP="00AD309C">
      <w:pPr>
        <w:numPr>
          <w:ilvl w:val="1"/>
          <w:numId w:val="410"/>
        </w:numPr>
        <w:spacing w:after="120"/>
        <w:ind w:left="936"/>
      </w:pPr>
      <w:bookmarkStart w:id="565" w:name="SeniorAdministrativeLeadership"/>
      <w:r w:rsidRPr="002B5372">
        <w:rPr>
          <w:b/>
        </w:rPr>
        <w:t>Senior administrative leadership</w:t>
      </w:r>
      <w:r w:rsidRPr="002B5372">
        <w:t xml:space="preserve"> </w:t>
      </w:r>
      <w:bookmarkEnd w:id="565"/>
      <w:r w:rsidRPr="002B5372">
        <w:t>refers to administrators who are responsible for hospital-wide departments or services (e.g., Chief Executive Officer, Chief Administrative Officer, Chief Nursing Officer, Chief Medical Officer, etc.).</w:t>
      </w:r>
    </w:p>
    <w:p w14:paraId="1AA1D01F" w14:textId="4D617DA6" w:rsidR="00BB2CFC" w:rsidRDefault="00563CD7" w:rsidP="00AD309C">
      <w:pPr>
        <w:numPr>
          <w:ilvl w:val="1"/>
          <w:numId w:val="410"/>
        </w:numPr>
        <w:spacing w:after="120"/>
        <w:ind w:left="936"/>
      </w:pPr>
      <w:r w:rsidRPr="00222580">
        <w:rPr>
          <w:b/>
        </w:rPr>
        <w:t>Patient</w:t>
      </w:r>
      <w:bookmarkStart w:id="566" w:name="PatientSafetyOfficer"/>
      <w:bookmarkEnd w:id="566"/>
      <w:r w:rsidRPr="00222580">
        <w:rPr>
          <w:b/>
        </w:rPr>
        <w:t xml:space="preserve"> Safety Officer</w:t>
      </w:r>
      <w:r w:rsidR="002B5372">
        <w:t xml:space="preserve"> refers to the patient safety leader </w:t>
      </w:r>
      <w:r w:rsidRPr="00A63676">
        <w:t xml:space="preserve">(who may or may not have the title “Patient Safety Officer”) </w:t>
      </w:r>
      <w:r>
        <w:t>who</w:t>
      </w:r>
      <w:r w:rsidRPr="00A63676">
        <w:t xml:space="preserve"> has responsibility for multiple and integrated areas of patient safety. The organization may appoint an officer who may have other assigned duties or may specifically employ a </w:t>
      </w:r>
      <w:r w:rsidR="00104C85">
        <w:t>P</w:t>
      </w:r>
      <w:r w:rsidRPr="00A63676">
        <w:t xml:space="preserve">atient </w:t>
      </w:r>
      <w:r w:rsidR="00104C85">
        <w:t>S</w:t>
      </w:r>
      <w:r w:rsidRPr="00A63676">
        <w:t xml:space="preserve">afety </w:t>
      </w:r>
      <w:r w:rsidR="00104C85">
        <w:t>O</w:t>
      </w:r>
      <w:r w:rsidRPr="00A63676">
        <w:t>fficer des</w:t>
      </w:r>
      <w:r w:rsidR="002B5372">
        <w:t>ignated with this responsibility</w:t>
      </w:r>
      <w:r>
        <w:t xml:space="preserve">. </w:t>
      </w:r>
      <w:r w:rsidRPr="00A63676">
        <w:t xml:space="preserve">Multiple executives who </w:t>
      </w:r>
      <w:r w:rsidR="002B5372">
        <w:t xml:space="preserve">are </w:t>
      </w:r>
      <w:r w:rsidR="007614E4">
        <w:t>responsible for individual areas (</w:t>
      </w:r>
      <w:r w:rsidR="000A554A">
        <w:t>i.e.,</w:t>
      </w:r>
      <w:r w:rsidR="007614E4">
        <w:t xml:space="preserve"> risk, quality, infection prevention, etc.)</w:t>
      </w:r>
      <w:r w:rsidR="002B5372">
        <w:t xml:space="preserve">, but do not </w:t>
      </w:r>
      <w:r w:rsidRPr="00A63676">
        <w:t xml:space="preserve">assess the integrated safety issues, would not qualify. </w:t>
      </w:r>
    </w:p>
    <w:p w14:paraId="38AB23BB" w14:textId="531E9417" w:rsidR="00F83C07" w:rsidRDefault="00563CD7" w:rsidP="00AD309C">
      <w:pPr>
        <w:numPr>
          <w:ilvl w:val="1"/>
          <w:numId w:val="410"/>
        </w:numPr>
        <w:ind w:left="936"/>
      </w:pPr>
      <w:bookmarkStart w:id="567" w:name="Board"/>
      <w:r w:rsidRPr="00B71EB1">
        <w:rPr>
          <w:b/>
        </w:rPr>
        <w:t>Board (governance)</w:t>
      </w:r>
      <w:r w:rsidRPr="00B71EB1">
        <w:t xml:space="preserve"> </w:t>
      </w:r>
      <w:bookmarkEnd w:id="567"/>
      <w:r w:rsidRPr="00B71EB1">
        <w:t xml:space="preserve">refers to the </w:t>
      </w:r>
      <w:r w:rsidR="007614E4" w:rsidRPr="00B71EB1">
        <w:t xml:space="preserve">individual </w:t>
      </w:r>
      <w:r w:rsidRPr="00B71EB1">
        <w:t xml:space="preserve">hospital’s board of </w:t>
      </w:r>
      <w:r w:rsidRPr="00B71EB1">
        <w:rPr>
          <w:noProof/>
        </w:rPr>
        <w:t>directors,</w:t>
      </w:r>
      <w:r w:rsidRPr="00B71EB1">
        <w:t xml:space="preserve"> or the board that governs the hospital and </w:t>
      </w:r>
      <w:r w:rsidR="006671F0">
        <w:t>can</w:t>
      </w:r>
      <w:r w:rsidRPr="00B71EB1">
        <w:t xml:space="preserve"> pass policies that impact the hospital</w:t>
      </w:r>
      <w:r w:rsidR="00B71EB1" w:rsidRPr="00B71EB1">
        <w:t xml:space="preserve">, </w:t>
      </w:r>
      <w:r w:rsidR="001D49B7" w:rsidRPr="00E321D5">
        <w:rPr>
          <w:rFonts w:cs="Arial"/>
        </w:rPr>
        <w:t>or a system-wide board that governs hospitals in the system</w:t>
      </w:r>
      <w:r w:rsidR="001D49B7">
        <w:rPr>
          <w:rFonts w:cs="Arial"/>
        </w:rPr>
        <w:t xml:space="preserve">, </w:t>
      </w:r>
      <w:r w:rsidR="00B71EB1" w:rsidRPr="00B71EB1">
        <w:t xml:space="preserve">or </w:t>
      </w:r>
      <w:r w:rsidR="008A5717">
        <w:t xml:space="preserve">a </w:t>
      </w:r>
      <w:r w:rsidR="00B71EB1" w:rsidRPr="00B71EB1">
        <w:t xml:space="preserve">committee of the board (such as a board-appointed, </w:t>
      </w:r>
      <w:r w:rsidR="00C939C0" w:rsidRPr="00B71EB1">
        <w:t>hospital</w:t>
      </w:r>
      <w:r w:rsidR="00B71EB1" w:rsidRPr="00B71EB1">
        <w:t>-wide Patient Safety and Quality Committee</w:t>
      </w:r>
      <w:r w:rsidR="008A5717">
        <w:t>, which includes board members</w:t>
      </w:r>
      <w:r w:rsidR="00B71EB1" w:rsidRPr="00B71EB1">
        <w:t>)</w:t>
      </w:r>
      <w:r w:rsidRPr="00B71EB1">
        <w:t>.</w:t>
      </w:r>
      <w:bookmarkStart w:id="568" w:name="MEC"/>
    </w:p>
    <w:p w14:paraId="0E9FB891" w14:textId="77777777" w:rsidR="00751E5F" w:rsidRDefault="00751E5F" w:rsidP="00751E5F">
      <w:pPr>
        <w:ind w:left="936"/>
      </w:pPr>
    </w:p>
    <w:p w14:paraId="0CA61808" w14:textId="0F75E3A6" w:rsidR="00E55358" w:rsidRPr="00E55358" w:rsidRDefault="00E55358" w:rsidP="00AD309C">
      <w:pPr>
        <w:numPr>
          <w:ilvl w:val="1"/>
          <w:numId w:val="410"/>
        </w:numPr>
        <w:ind w:left="936"/>
      </w:pPr>
      <w:r w:rsidRPr="00F83C07">
        <w:rPr>
          <w:b/>
        </w:rPr>
        <w:t>Medical executive committee</w:t>
      </w:r>
      <w:bookmarkEnd w:id="568"/>
      <w:r>
        <w:t xml:space="preserve"> refers to a primary governance committee for medical staff. The medical executive committee makes leadership decisions related to medical staff policies, procedures, and rules, with an emphasis on quality control and quality improvement. They also adopt and implemen</w:t>
      </w:r>
      <w:r w:rsidR="00881BED">
        <w:t>t these policies and procedures</w:t>
      </w:r>
      <w:r>
        <w:t xml:space="preserve"> and are responsible for medical staff appointment and reappointment.</w:t>
      </w:r>
    </w:p>
    <w:p w14:paraId="5AF49FF4" w14:textId="61A9745C" w:rsidR="00563CD7" w:rsidRPr="00E41076" w:rsidRDefault="00563CD7" w:rsidP="00B71EB1"/>
    <w:p w14:paraId="68643CCA" w14:textId="22F22AFD" w:rsidR="004E5FA1" w:rsidRDefault="00563CD7" w:rsidP="00AD309C">
      <w:pPr>
        <w:pStyle w:val="ListParagraph"/>
        <w:numPr>
          <w:ilvl w:val="0"/>
          <w:numId w:val="410"/>
        </w:numPr>
      </w:pPr>
      <w:r w:rsidRPr="001902B0">
        <w:rPr>
          <w:b/>
        </w:rPr>
        <w:t>Why is it necessary to continue to review a safe practice once it has been implemented?</w:t>
      </w:r>
      <w:r w:rsidRPr="001902B0">
        <w:rPr>
          <w:b/>
        </w:rPr>
        <w:br/>
      </w:r>
      <w:r w:rsidRPr="00AB547D">
        <w:t>All too often in the hectic pace of providing patient care in a hospital, with frequent staff turnover and lots of part-time employees, it is difficult to get a change in practice well</w:t>
      </w:r>
      <w:r w:rsidR="00D23F6F">
        <w:t>-</w:t>
      </w:r>
      <w:r w:rsidRPr="00AB547D">
        <w:t>established. Annual review with monitoring and tracking of the safe practices will ensure that they are embedded in the operations of the hospital and not lost in the transition of new staff coming in or part-t</w:t>
      </w:r>
      <w:r>
        <w:t>ime employees coming and going.</w:t>
      </w:r>
      <w:r>
        <w:br/>
      </w:r>
    </w:p>
    <w:p w14:paraId="3F67DE0A" w14:textId="77777777" w:rsidR="004E5FA1" w:rsidRDefault="004E5FA1">
      <w:r>
        <w:br w:type="page"/>
      </w:r>
    </w:p>
    <w:p w14:paraId="79B7F185" w14:textId="77777777" w:rsidR="00563CD7" w:rsidRDefault="00563CD7" w:rsidP="00AD309C">
      <w:pPr>
        <w:numPr>
          <w:ilvl w:val="0"/>
          <w:numId w:val="410"/>
        </w:numPr>
      </w:pPr>
      <w:bookmarkStart w:id="569" w:name="PerformanceReviewsorCompensation"/>
      <w:r w:rsidRPr="00FB1445">
        <w:rPr>
          <w:b/>
        </w:rPr>
        <w:lastRenderedPageBreak/>
        <w:t>The phrase</w:t>
      </w:r>
      <w:r>
        <w:rPr>
          <w:b/>
        </w:rPr>
        <w:t xml:space="preserve"> </w:t>
      </w:r>
      <w:r w:rsidRPr="00FB1445">
        <w:rPr>
          <w:b/>
        </w:rPr>
        <w:t>“performance reviews</w:t>
      </w:r>
      <w:r>
        <w:rPr>
          <w:b/>
        </w:rPr>
        <w:t xml:space="preserve"> or compensation</w:t>
      </w:r>
      <w:r w:rsidRPr="00FB1445">
        <w:rPr>
          <w:b/>
        </w:rPr>
        <w:t xml:space="preserve">” </w:t>
      </w:r>
      <w:r>
        <w:rPr>
          <w:b/>
        </w:rPr>
        <w:t>is used throughout Section 6</w:t>
      </w:r>
      <w:r w:rsidRPr="00FB1445">
        <w:rPr>
          <w:b/>
        </w:rPr>
        <w:t xml:space="preserve"> within many </w:t>
      </w:r>
      <w:r w:rsidRPr="00FB1445">
        <w:rPr>
          <w:b/>
          <w:i/>
        </w:rPr>
        <w:t>Accountable</w:t>
      </w:r>
      <w:r>
        <w:rPr>
          <w:b/>
        </w:rPr>
        <w:t xml:space="preserve"> elements</w:t>
      </w:r>
      <w:r w:rsidRPr="00FB1445">
        <w:rPr>
          <w:b/>
        </w:rPr>
        <w:t>.</w:t>
      </w:r>
      <w:r>
        <w:rPr>
          <w:b/>
        </w:rPr>
        <w:t xml:space="preserve"> Do performance reviews and compensation plans</w:t>
      </w:r>
      <w:r w:rsidRPr="00FB1445">
        <w:rPr>
          <w:b/>
        </w:rPr>
        <w:t xml:space="preserve"> need to </w:t>
      </w:r>
      <w:r>
        <w:rPr>
          <w:b/>
        </w:rPr>
        <w:t>have specific language about the Safe Practice</w:t>
      </w:r>
      <w:r w:rsidRPr="00FB1445">
        <w:rPr>
          <w:b/>
        </w:rPr>
        <w:t xml:space="preserve"> or can a set of patient safety goals</w:t>
      </w:r>
      <w:r>
        <w:rPr>
          <w:b/>
        </w:rPr>
        <w:t xml:space="preserve"> related to the specific Safe Practice</w:t>
      </w:r>
      <w:r w:rsidRPr="00FB1445">
        <w:rPr>
          <w:b/>
        </w:rPr>
        <w:t xml:space="preserve"> be attached?</w:t>
      </w:r>
      <w:bookmarkEnd w:id="569"/>
      <w:r>
        <w:rPr>
          <w:b/>
        </w:rPr>
        <w:br/>
      </w:r>
      <w:r w:rsidRPr="00FB1445">
        <w:t>A</w:t>
      </w:r>
      <w:r>
        <w:t xml:space="preserve"> performance review or compensation</w:t>
      </w:r>
      <w:r w:rsidRPr="00FB1445">
        <w:t xml:space="preserve"> plan should include specifi</w:t>
      </w:r>
      <w:r>
        <w:t>c language about a Safe Practice</w:t>
      </w:r>
      <w:r w:rsidRPr="00FB1445">
        <w:t>.</w:t>
      </w:r>
      <w:r>
        <w:t xml:space="preserve"> A list of Safe P</w:t>
      </w:r>
      <w:r w:rsidRPr="00FB1445">
        <w:t>ractices and related goals may be incorporated into the per</w:t>
      </w:r>
      <w:r>
        <w:t>formance review and/or compensation</w:t>
      </w:r>
      <w:r w:rsidRPr="00FB1445">
        <w:t xml:space="preserve"> plan</w:t>
      </w:r>
      <w:r>
        <w:t xml:space="preserve"> or</w:t>
      </w:r>
      <w:r w:rsidRPr="00D5209E">
        <w:rPr>
          <w:b/>
        </w:rPr>
        <w:t xml:space="preserve"> </w:t>
      </w:r>
      <w:r>
        <w:t xml:space="preserve">formalized programs whereby a measure of </w:t>
      </w:r>
      <w:r w:rsidRPr="008306A5">
        <w:rPr>
          <w:noProof/>
        </w:rPr>
        <w:t>success</w:t>
      </w:r>
      <w:r>
        <w:t xml:space="preserve"> of those activities or programs is tied to individual performance reviews or compensation incentive plans of executives.</w:t>
      </w:r>
    </w:p>
    <w:p w14:paraId="20B977ED" w14:textId="77777777" w:rsidR="00563CD7" w:rsidRDefault="00563CD7" w:rsidP="00563CD7">
      <w:pPr>
        <w:pStyle w:val="ListParagraph"/>
        <w:ind w:left="576"/>
      </w:pPr>
    </w:p>
    <w:p w14:paraId="063A7546" w14:textId="448A3CFC" w:rsidR="00563CD7" w:rsidRDefault="00563CD7" w:rsidP="004E5FA1">
      <w:pPr>
        <w:pStyle w:val="ListParagraph"/>
      </w:pPr>
      <w:r>
        <w:t xml:space="preserve">Every employee should have a patient safety component </w:t>
      </w:r>
      <w:r w:rsidR="00B342C9">
        <w:t>included in</w:t>
      </w:r>
      <w:r>
        <w:t xml:space="preserve"> their annual review. Another option is to include in the employee’s competency review (</w:t>
      </w:r>
      <w:r w:rsidR="00E90805">
        <w:t>Ongoing Professional Practice Evaluation, Focused Professional Practice Evaluation</w:t>
      </w:r>
      <w:r>
        <w:t>).</w:t>
      </w:r>
    </w:p>
    <w:p w14:paraId="0BB1BE6C" w14:textId="77777777" w:rsidR="00563CD7" w:rsidRPr="008C51CB" w:rsidRDefault="00563CD7" w:rsidP="00563CD7">
      <w:pPr>
        <w:pStyle w:val="Heading44"/>
        <w:rPr>
          <w:sz w:val="20"/>
        </w:rPr>
      </w:pPr>
    </w:p>
    <w:p w14:paraId="3CE2ED5B" w14:textId="77777777" w:rsidR="00563CD7" w:rsidRDefault="00563CD7" w:rsidP="00AD309C">
      <w:pPr>
        <w:pStyle w:val="ListParagraph"/>
        <w:numPr>
          <w:ilvl w:val="0"/>
          <w:numId w:val="410"/>
        </w:numPr>
        <w:rPr>
          <w:b/>
        </w:rPr>
      </w:pPr>
      <w:bookmarkStart w:id="570" w:name="Budget"/>
      <w:bookmarkEnd w:id="570"/>
      <w:r>
        <w:rPr>
          <w:b/>
        </w:rPr>
        <w:t xml:space="preserve">There are several references to hospital budgets throughout Section 6 within many </w:t>
      </w:r>
      <w:r w:rsidRPr="003D0AE3">
        <w:rPr>
          <w:b/>
          <w:i/>
        </w:rPr>
        <w:t>Ability</w:t>
      </w:r>
      <w:r>
        <w:rPr>
          <w:b/>
        </w:rPr>
        <w:t xml:space="preserve"> elements. How can hospitals meet the intent of these elements? </w:t>
      </w:r>
    </w:p>
    <w:p w14:paraId="68B897C5" w14:textId="77777777" w:rsidR="00563CD7" w:rsidRDefault="00563CD7" w:rsidP="004E5FA1">
      <w:pPr>
        <w:pStyle w:val="ListParagraph"/>
      </w:pPr>
      <w:r>
        <w:t xml:space="preserve">The intent of these elements is to </w:t>
      </w:r>
      <w:r w:rsidRPr="00FF6BCE">
        <w:t>verify</w:t>
      </w:r>
      <w:r>
        <w:t xml:space="preserve"> </w:t>
      </w:r>
      <w:r w:rsidRPr="0089561A">
        <w:t xml:space="preserve">that </w:t>
      </w:r>
      <w:r>
        <w:t xml:space="preserve">actions specific to the Safe Practices have been included in hospital budgets. To meet the intent of these elements, hospitals should ensure that these actions can be identified within a department budget or hospital budget. If the </w:t>
      </w:r>
      <w:r w:rsidR="00B342C9">
        <w:t>budget includes categories that</w:t>
      </w:r>
      <w:r>
        <w:t xml:space="preserve"> address the Safe </w:t>
      </w:r>
      <w:r w:rsidR="00B342C9">
        <w:rPr>
          <w:noProof/>
        </w:rPr>
        <w:t>Practice</w:t>
      </w:r>
      <w:r>
        <w:t xml:space="preserve"> but do not specifically name the Safe Practice, then the intent of the element is met. </w:t>
      </w:r>
    </w:p>
    <w:p w14:paraId="0CA346FF" w14:textId="77777777" w:rsidR="00563CD7" w:rsidRPr="002E6AC5" w:rsidRDefault="00563CD7" w:rsidP="00563CD7">
      <w:pPr>
        <w:rPr>
          <w:b/>
        </w:rPr>
      </w:pPr>
    </w:p>
    <w:p w14:paraId="6EE763B9" w14:textId="77777777" w:rsidR="00563CD7" w:rsidRPr="006B1516" w:rsidRDefault="00563CD7" w:rsidP="005859F8">
      <w:pPr>
        <w:pStyle w:val="ListParagraph"/>
        <w:rPr>
          <w:b/>
        </w:rPr>
      </w:pPr>
      <w:r>
        <w:t>Further, if</w:t>
      </w:r>
      <w:r w:rsidRPr="000B316F">
        <w:t xml:space="preserve"> a hospital has not allocated budget dollars for </w:t>
      </w:r>
      <w:r>
        <w:t xml:space="preserve">activities </w:t>
      </w:r>
      <w:r w:rsidRPr="000B316F">
        <w:t xml:space="preserve">tied </w:t>
      </w:r>
      <w:r>
        <w:t>to a Safe P</w:t>
      </w:r>
      <w:r w:rsidRPr="000B316F">
        <w:t>ractice</w:t>
      </w:r>
      <w:r>
        <w:t xml:space="preserve"> but can document </w:t>
      </w:r>
      <w:r w:rsidRPr="000B316F">
        <w:t xml:space="preserve">expenses </w:t>
      </w:r>
      <w:r>
        <w:t>specific to the Safe Practice during the reporting period, the intent of the element is met. P</w:t>
      </w:r>
      <w:r w:rsidRPr="000B316F">
        <w:t xml:space="preserve">lans to allocate specific budget dollars </w:t>
      </w:r>
      <w:r>
        <w:t>for a Safe P</w:t>
      </w:r>
      <w:r w:rsidRPr="000B316F">
        <w:t>ractice should be incorporated into the next upcoming budget year as an ongoing process</w:t>
      </w:r>
      <w:r>
        <w:t>.</w:t>
      </w:r>
    </w:p>
    <w:p w14:paraId="3DE9AE29" w14:textId="77777777" w:rsidR="00563CD7" w:rsidRDefault="00563CD7" w:rsidP="00563CD7">
      <w:pPr>
        <w:ind w:left="576"/>
      </w:pPr>
    </w:p>
    <w:p w14:paraId="48CB41C5" w14:textId="77777777" w:rsidR="00563CD7" w:rsidRDefault="00563CD7" w:rsidP="005859F8">
      <w:pPr>
        <w:ind w:left="720"/>
      </w:pPr>
      <w:r>
        <w:t>Hospitals may also document training or education expenditure</w:t>
      </w:r>
      <w:r w:rsidR="006B60C8">
        <w:t>s specific to the Safe Practice</w:t>
      </w:r>
      <w:r>
        <w:t xml:space="preserve"> or expenditures on educational materials that </w:t>
      </w:r>
      <w:r w:rsidR="006B60C8">
        <w:t xml:space="preserve">are </w:t>
      </w:r>
      <w:r>
        <w:t xml:space="preserve">specific to the Safe Practice. </w:t>
      </w:r>
    </w:p>
    <w:p w14:paraId="38A70B77" w14:textId="77777777" w:rsidR="00563CD7" w:rsidRDefault="00563CD7" w:rsidP="005859F8">
      <w:pPr>
        <w:ind w:left="720"/>
      </w:pPr>
    </w:p>
    <w:p w14:paraId="7B6FB975" w14:textId="142464C8" w:rsidR="00563CD7" w:rsidRPr="00267E35" w:rsidRDefault="00563CD7" w:rsidP="005859F8">
      <w:pPr>
        <w:ind w:left="720"/>
      </w:pPr>
      <w:r>
        <w:t>Hospitals that have invested in in-house staff educator</w:t>
      </w:r>
      <w:r w:rsidRPr="00FB1445">
        <w:t>s</w:t>
      </w:r>
      <w:r>
        <w:t xml:space="preserve"> and who include in their </w:t>
      </w:r>
      <w:r w:rsidRPr="00FB1445">
        <w:t>job descr</w:t>
      </w:r>
      <w:r>
        <w:t xml:space="preserve">iptions the coordination and delivery of training and education to appropriate hospital staff on specific Safe Practices meet the </w:t>
      </w:r>
      <w:r w:rsidRPr="00FB1445">
        <w:t>inten</w:t>
      </w:r>
      <w:r>
        <w:t>t of this element.</w:t>
      </w:r>
      <w:r w:rsidR="00113D1F" w:rsidRPr="00113D1F">
        <w:t xml:space="preserve"> </w:t>
      </w:r>
      <w:r w:rsidR="00113D1F">
        <w:t>For example, if the position description</w:t>
      </w:r>
      <w:r w:rsidR="0024401D">
        <w:t xml:space="preserve"> for an in-house educator, such as the Quality Director, includes the coordination and delivery of in-service training and educational sessions related to improving the culture of safety based on the organization’s culture of safety survey results, then the intent of this practice is met.</w:t>
      </w:r>
      <w:r>
        <w:t xml:space="preserve"> S</w:t>
      </w:r>
      <w:r w:rsidRPr="00FB1445">
        <w:t xml:space="preserve">pecific </w:t>
      </w:r>
      <w:r>
        <w:t>t</w:t>
      </w:r>
      <w:r w:rsidRPr="00FB1445">
        <w:t xml:space="preserve">ime allocations are not required as long as there is documentation of staff participation through </w:t>
      </w:r>
      <w:r>
        <w:t xml:space="preserve">dated </w:t>
      </w:r>
      <w:r w:rsidRPr="00FB1445">
        <w:t>meeting minutes</w:t>
      </w:r>
      <w:r>
        <w:t xml:space="preserve"> or </w:t>
      </w:r>
      <w:r w:rsidRPr="00FB1445">
        <w:t>attendance records.</w:t>
      </w:r>
      <w:r w:rsidR="006F55E1">
        <w:t xml:space="preserve"> Training can be in-person or virtual/ computer-based.</w:t>
      </w:r>
    </w:p>
    <w:p w14:paraId="082AA68F" w14:textId="77777777" w:rsidR="00563CD7" w:rsidRPr="00AF7578" w:rsidRDefault="00563CD7" w:rsidP="00563CD7">
      <w:pPr>
        <w:rPr>
          <w:b/>
        </w:rPr>
      </w:pPr>
      <w:bookmarkStart w:id="571" w:name="Education"/>
      <w:bookmarkEnd w:id="571"/>
    </w:p>
    <w:p w14:paraId="67446289" w14:textId="77777777" w:rsidR="00563CD7" w:rsidRPr="001C5C4F" w:rsidRDefault="00563CD7" w:rsidP="00AD309C">
      <w:pPr>
        <w:numPr>
          <w:ilvl w:val="0"/>
          <w:numId w:val="410"/>
        </w:numPr>
        <w:rPr>
          <w:b/>
        </w:rPr>
      </w:pPr>
      <w:bookmarkStart w:id="572" w:name="StaffEducation"/>
      <w:r w:rsidRPr="001C5C4F">
        <w:rPr>
          <w:b/>
        </w:rPr>
        <w:t>How should staff education be measured?</w:t>
      </w:r>
    </w:p>
    <w:bookmarkEnd w:id="572"/>
    <w:p w14:paraId="45851083" w14:textId="5D99237F" w:rsidR="00563CD7" w:rsidRPr="00112B98" w:rsidRDefault="00563CD7" w:rsidP="005859F8">
      <w:pPr>
        <w:ind w:left="720"/>
        <w:rPr>
          <w:b/>
        </w:rPr>
      </w:pPr>
      <w:r w:rsidRPr="001C5C4F">
        <w:t xml:space="preserve">Educational meetings should clearly address the subject matter pertinent to adverse events and performance improvement targeted by the specific Safe Practice. Hospitals should track meeting dates, </w:t>
      </w:r>
      <w:r w:rsidRPr="001C5C4F">
        <w:rPr>
          <w:noProof/>
        </w:rPr>
        <w:t>frequency</w:t>
      </w:r>
      <w:r w:rsidRPr="001C5C4F">
        <w:t xml:space="preserve"> of training sessions provided, attendance records or completion records, and the percentage of the total staff who received the information.</w:t>
      </w:r>
      <w:r w:rsidR="006F55E1">
        <w:t xml:space="preserve"> Training can be in-person or virtual/ computer-based.</w:t>
      </w:r>
      <w:r>
        <w:br/>
      </w:r>
    </w:p>
    <w:p w14:paraId="1CD75D44" w14:textId="747FD7C3" w:rsidR="00563CD7" w:rsidRPr="0068079E" w:rsidRDefault="00563CD7" w:rsidP="00AD309C">
      <w:pPr>
        <w:numPr>
          <w:ilvl w:val="0"/>
          <w:numId w:val="410"/>
        </w:numPr>
        <w:rPr>
          <w:b/>
        </w:rPr>
      </w:pPr>
      <w:bookmarkStart w:id="573" w:name="PerformanceImprovementPrograms"/>
      <w:r>
        <w:rPr>
          <w:b/>
        </w:rPr>
        <w:t xml:space="preserve">There are several references to developing or implementing Performance Improvement Programs throughout Section 6 within many </w:t>
      </w:r>
      <w:r w:rsidRPr="006C1C1E">
        <w:rPr>
          <w:b/>
          <w:i/>
        </w:rPr>
        <w:t>Action</w:t>
      </w:r>
      <w:r>
        <w:rPr>
          <w:b/>
        </w:rPr>
        <w:t xml:space="preserve"> elements. How can hospitals meet the intent of these elements? </w:t>
      </w:r>
      <w:bookmarkEnd w:id="573"/>
      <w:r>
        <w:rPr>
          <w:b/>
        </w:rPr>
        <w:br/>
      </w:r>
      <w:r>
        <w:t xml:space="preserve">At a minimum, performance improvement programs should include </w:t>
      </w:r>
      <w:r w:rsidR="00A3620A" w:rsidRPr="00F771C0">
        <w:rPr>
          <w:b/>
        </w:rPr>
        <w:t>all</w:t>
      </w:r>
      <w:r>
        <w:t xml:space="preserve"> the following five criteria: </w:t>
      </w:r>
    </w:p>
    <w:p w14:paraId="62FC8FDB" w14:textId="77777777" w:rsidR="0068079E" w:rsidRPr="00F771C0" w:rsidRDefault="0068079E" w:rsidP="0068079E">
      <w:pPr>
        <w:ind w:left="720"/>
        <w:rPr>
          <w:b/>
        </w:rPr>
      </w:pPr>
    </w:p>
    <w:p w14:paraId="0D21ADDB" w14:textId="77777777" w:rsidR="00563CD7" w:rsidRPr="00F771C0" w:rsidRDefault="00563CD7" w:rsidP="00AD309C">
      <w:pPr>
        <w:pStyle w:val="ListParagraph"/>
        <w:numPr>
          <w:ilvl w:val="0"/>
          <w:numId w:val="58"/>
        </w:numPr>
        <w:rPr>
          <w:b/>
        </w:rPr>
      </w:pPr>
      <w:r w:rsidRPr="00F771C0">
        <w:rPr>
          <w:b/>
        </w:rPr>
        <w:t>E</w:t>
      </w:r>
      <w:r w:rsidRPr="00F771C0">
        <w:rPr>
          <w:b/>
          <w:bCs/>
        </w:rPr>
        <w:t>ducation</w:t>
      </w:r>
      <w:r>
        <w:t xml:space="preserve"> regarding the pertinent adverse event frequency, severity, and/or impact of best practices. These expenses should be budgeted and tracked to meet the budget elements of the Safe Practices. </w:t>
      </w:r>
    </w:p>
    <w:p w14:paraId="60176E38" w14:textId="77777777" w:rsidR="00563CD7" w:rsidRPr="006C1C1E" w:rsidRDefault="00563CD7" w:rsidP="00AD309C">
      <w:pPr>
        <w:pStyle w:val="ListParagraph"/>
        <w:numPr>
          <w:ilvl w:val="0"/>
          <w:numId w:val="58"/>
        </w:numPr>
        <w:rPr>
          <w:b/>
        </w:rPr>
      </w:pPr>
      <w:r>
        <w:rPr>
          <w:b/>
        </w:rPr>
        <w:t>S</w:t>
      </w:r>
      <w:r w:rsidRPr="00F771C0">
        <w:rPr>
          <w:b/>
          <w:bCs/>
        </w:rPr>
        <w:t>kill building</w:t>
      </w:r>
      <w:r>
        <w:t xml:space="preserve"> in use of performance improvement tools. These expenses should be budgeted and tracked to meet the budget elements of the Safe Practices. </w:t>
      </w:r>
    </w:p>
    <w:p w14:paraId="359116FF" w14:textId="049A0FF8" w:rsidR="00F27CC8" w:rsidRPr="00F27CC8" w:rsidRDefault="00563CD7" w:rsidP="00F27CC8">
      <w:pPr>
        <w:pStyle w:val="ListParagraph"/>
        <w:numPr>
          <w:ilvl w:val="0"/>
          <w:numId w:val="58"/>
        </w:numPr>
      </w:pPr>
      <w:r w:rsidRPr="006C1C1E">
        <w:rPr>
          <w:b/>
          <w:bCs/>
        </w:rPr>
        <w:t>Measurement</w:t>
      </w:r>
      <w:r>
        <w:t xml:space="preserve"> of process measures or outcomes measures. The “Outcome, Process, Structure, and Patient-Centered Measures” section at the end of each Safe Practice in</w:t>
      </w:r>
      <w:r w:rsidRPr="00B62984">
        <w:t xml:space="preserve"> the </w:t>
      </w:r>
      <w:r w:rsidRPr="006A5F1D">
        <w:lastRenderedPageBreak/>
        <w:t>NQF Safe Practices for Better Healthcare 2010 Update</w:t>
      </w:r>
      <w:r>
        <w:t xml:space="preserve"> suggests performance measures that can be used to support measuring and monitoring quality improvement efforts</w:t>
      </w:r>
      <w:r w:rsidR="00F27CC8">
        <w:t xml:space="preserve">. </w:t>
      </w:r>
      <w:r w:rsidR="00F27CC8" w:rsidRPr="00F27CC8">
        <w:t xml:space="preserve">The </w:t>
      </w:r>
      <w:r w:rsidR="00F27CC8">
        <w:t>N</w:t>
      </w:r>
      <w:r w:rsidR="00F27CC8" w:rsidRPr="00F27CC8">
        <w:t xml:space="preserve">QF Safe Practices for Better Healthcare – 2010 Update report is available for download here: </w:t>
      </w:r>
      <w:hyperlink r:id="rId391" w:history="1">
        <w:r w:rsidR="00F27CC8" w:rsidRPr="00F27CC8">
          <w:rPr>
            <w:rStyle w:val="Hyperlink"/>
          </w:rPr>
          <w:t>http://www.leapfroggroup.org/survey-materials/survey-and-cpoe-materials</w:t>
        </w:r>
      </w:hyperlink>
      <w:r w:rsidR="00F27CC8" w:rsidRPr="00F27CC8">
        <w:t>.</w:t>
      </w:r>
    </w:p>
    <w:p w14:paraId="69BA5F52" w14:textId="77777777" w:rsidR="00563CD7" w:rsidRPr="00F771C0" w:rsidRDefault="00563CD7" w:rsidP="00AD309C">
      <w:pPr>
        <w:pStyle w:val="ListParagraph"/>
        <w:numPr>
          <w:ilvl w:val="0"/>
          <w:numId w:val="58"/>
        </w:numPr>
        <w:rPr>
          <w:b/>
        </w:rPr>
      </w:pPr>
      <w:r>
        <w:rPr>
          <w:b/>
          <w:bCs/>
        </w:rPr>
        <w:t>P</w:t>
      </w:r>
      <w:r w:rsidRPr="00F771C0">
        <w:rPr>
          <w:b/>
          <w:bCs/>
        </w:rPr>
        <w:t>rocess improvement</w:t>
      </w:r>
      <w:r>
        <w:t xml:space="preserve"> and interventions. </w:t>
      </w:r>
    </w:p>
    <w:p w14:paraId="2DE7C5A6" w14:textId="77777777" w:rsidR="00563CD7" w:rsidRPr="002F249D" w:rsidRDefault="00563CD7" w:rsidP="00AD309C">
      <w:pPr>
        <w:pStyle w:val="ListParagraph"/>
        <w:numPr>
          <w:ilvl w:val="0"/>
          <w:numId w:val="58"/>
        </w:numPr>
        <w:rPr>
          <w:b/>
        </w:rPr>
      </w:pPr>
      <w:r>
        <w:rPr>
          <w:b/>
          <w:bCs/>
        </w:rPr>
        <w:t>R</w:t>
      </w:r>
      <w:r w:rsidRPr="00F771C0">
        <w:rPr>
          <w:b/>
          <w:bCs/>
        </w:rPr>
        <w:t>eporting</w:t>
      </w:r>
      <w:r>
        <w:t xml:space="preserve"> of performance outcomes. </w:t>
      </w:r>
    </w:p>
    <w:p w14:paraId="2F964A9F" w14:textId="77777777" w:rsidR="00563CD7" w:rsidRDefault="00563CD7" w:rsidP="00563CD7">
      <w:pPr>
        <w:ind w:left="576"/>
      </w:pPr>
    </w:p>
    <w:p w14:paraId="33B97D05" w14:textId="77777777" w:rsidR="00563CD7" w:rsidRDefault="00563CD7" w:rsidP="005859F8">
      <w:pPr>
        <w:ind w:left="720"/>
      </w:pPr>
      <w:r>
        <w:t>A</w:t>
      </w:r>
      <w:r w:rsidRPr="002F249D">
        <w:t xml:space="preserve"> </w:t>
      </w:r>
      <w:r>
        <w:t xml:space="preserve">“campaign” such as an awareness </w:t>
      </w:r>
      <w:r w:rsidRPr="002F249D">
        <w:t>campaign would not mee</w:t>
      </w:r>
      <w:r>
        <w:t xml:space="preserve">t the intent of these elements. </w:t>
      </w:r>
      <w:bookmarkStart w:id="574" w:name="_Toc502828415"/>
    </w:p>
    <w:p w14:paraId="6DFDF8B0" w14:textId="77777777" w:rsidR="00563CD7" w:rsidRPr="00417A53" w:rsidRDefault="00563CD7" w:rsidP="00563CD7">
      <w:pPr>
        <w:rPr>
          <w:lang w:eastAsia="ja-JP"/>
        </w:rPr>
      </w:pPr>
    </w:p>
    <w:p w14:paraId="433A69E7" w14:textId="3D94E7F1" w:rsidR="00563CD7" w:rsidRDefault="0053750F" w:rsidP="00AB5B80">
      <w:pPr>
        <w:pStyle w:val="Heading3"/>
      </w:pPr>
      <w:bookmarkStart w:id="575" w:name="_FAQs_Specific_to"/>
      <w:bookmarkStart w:id="576" w:name="_Toc225877800"/>
      <w:bookmarkEnd w:id="575"/>
      <w:r>
        <w:t xml:space="preserve">NQF </w:t>
      </w:r>
      <w:r w:rsidR="00341A49" w:rsidRPr="003F7FFA">
        <w:t>Safe P</w:t>
      </w:r>
      <w:r w:rsidR="00341A49">
        <w:t xml:space="preserve">ractice </w:t>
      </w:r>
      <w:r w:rsidR="00DB7F48">
        <w:t>#</w:t>
      </w:r>
      <w:r w:rsidR="00341A49" w:rsidRPr="003F7FFA">
        <w:t xml:space="preserve">1 </w:t>
      </w:r>
      <w:r w:rsidR="00211AF2">
        <w:t xml:space="preserve">– </w:t>
      </w:r>
      <w:r w:rsidR="00341A49" w:rsidRPr="003F7FFA">
        <w:t>Leadership Structures and Systems</w:t>
      </w:r>
      <w:bookmarkEnd w:id="574"/>
      <w:r w:rsidR="00B078B4">
        <w:t xml:space="preserve"> FAQs</w:t>
      </w:r>
      <w:bookmarkEnd w:id="576"/>
    </w:p>
    <w:p w14:paraId="057C97AC" w14:textId="77777777" w:rsidR="00563CD7" w:rsidRDefault="00563CD7" w:rsidP="00563CD7"/>
    <w:p w14:paraId="17D3582F" w14:textId="6EAFC2BD" w:rsidR="00563CD7" w:rsidRPr="004C06CE" w:rsidRDefault="00563CD7" w:rsidP="00AD309C">
      <w:pPr>
        <w:pStyle w:val="CommentText"/>
        <w:numPr>
          <w:ilvl w:val="0"/>
          <w:numId w:val="410"/>
        </w:numPr>
        <w:rPr>
          <w:b/>
        </w:rPr>
      </w:pPr>
      <w:r w:rsidRPr="004C06CE">
        <w:rPr>
          <w:b/>
        </w:rPr>
        <w:t>1.1</w:t>
      </w:r>
      <w:bookmarkStart w:id="577" w:name="SP1_RegularCommunication"/>
      <w:bookmarkEnd w:id="577"/>
      <w:r w:rsidRPr="004C06CE">
        <w:rPr>
          <w:b/>
        </w:rPr>
        <w:t xml:space="preserve">a, 1.2b, and 1.2d: Several elements within </w:t>
      </w:r>
      <w:r w:rsidR="0053750F">
        <w:rPr>
          <w:b/>
        </w:rPr>
        <w:t xml:space="preserve">NQF </w:t>
      </w:r>
      <w:r w:rsidRPr="004C06CE">
        <w:rPr>
          <w:b/>
        </w:rPr>
        <w:t xml:space="preserve">Safe Practice </w:t>
      </w:r>
      <w:r w:rsidR="00DB7F48">
        <w:rPr>
          <w:b/>
        </w:rPr>
        <w:t>#</w:t>
      </w:r>
      <w:r w:rsidRPr="004C06CE">
        <w:rPr>
          <w:b/>
        </w:rPr>
        <w:t xml:space="preserve">1 mention that “regular communication” is required. How does Leapfrog define </w:t>
      </w:r>
      <w:r w:rsidR="00D23F6F">
        <w:rPr>
          <w:b/>
        </w:rPr>
        <w:t>“</w:t>
      </w:r>
      <w:r w:rsidRPr="004C06CE">
        <w:rPr>
          <w:b/>
        </w:rPr>
        <w:t>regular communication</w:t>
      </w:r>
      <w:r w:rsidR="00D23F6F">
        <w:rPr>
          <w:b/>
        </w:rPr>
        <w:t>”</w:t>
      </w:r>
      <w:r w:rsidR="008E6024">
        <w:rPr>
          <w:b/>
        </w:rPr>
        <w:t>?</w:t>
      </w:r>
    </w:p>
    <w:p w14:paraId="21EACD7B" w14:textId="576AFE4C" w:rsidR="00563CD7" w:rsidRPr="004C06CE" w:rsidRDefault="00563CD7" w:rsidP="005859F8">
      <w:pPr>
        <w:pStyle w:val="CommentText"/>
        <w:ind w:left="720"/>
      </w:pPr>
      <w:r w:rsidRPr="004C06CE">
        <w:t xml:space="preserve">Regular communication means more than once a year. Some hospitals may discuss these items quarterly or even monthly. Hospitals can document </w:t>
      </w:r>
      <w:r w:rsidR="00B342C9">
        <w:t xml:space="preserve">that </w:t>
      </w:r>
      <w:r w:rsidRPr="004C06CE">
        <w:t>these communications took place through dated meeting minutes. We would urge hospitals to improve the detail</w:t>
      </w:r>
      <w:r w:rsidR="009A4DD7">
        <w:t>s</w:t>
      </w:r>
      <w:r w:rsidRPr="004C06CE">
        <w:t xml:space="preserve"> of their board and other meeting minutes to ensure they are able to clearly document that the issues were discussed. </w:t>
      </w:r>
    </w:p>
    <w:p w14:paraId="47D9A952" w14:textId="77777777" w:rsidR="00563CD7" w:rsidRPr="004C06CE" w:rsidRDefault="00563CD7" w:rsidP="00563CD7">
      <w:pPr>
        <w:pStyle w:val="CommentText"/>
        <w:ind w:left="576"/>
      </w:pPr>
    </w:p>
    <w:p w14:paraId="04418D21" w14:textId="0AEA1745" w:rsidR="00563CD7" w:rsidRPr="004C06CE" w:rsidRDefault="00563CD7" w:rsidP="005859F8">
      <w:pPr>
        <w:pStyle w:val="CommentText"/>
        <w:ind w:left="720"/>
      </w:pPr>
      <w:r w:rsidRPr="004C06CE">
        <w:t xml:space="preserve">The discussion of these items can be a general note in the minutes, without specific details. However, hospitals should maintain copies of dated presentations and reports related to these agenda items in order to document </w:t>
      </w:r>
      <w:r w:rsidRPr="008306A5">
        <w:rPr>
          <w:noProof/>
        </w:rPr>
        <w:t>adherence</w:t>
      </w:r>
      <w:r w:rsidRPr="004C06CE">
        <w:t xml:space="preserve"> </w:t>
      </w:r>
      <w:r w:rsidR="00B342C9">
        <w:t xml:space="preserve">to </w:t>
      </w:r>
      <w:r w:rsidRPr="004C06CE">
        <w:t xml:space="preserve">these elements. </w:t>
      </w:r>
      <w:r w:rsidR="006F55E1">
        <w:t>Meetings can be in-person or virtual.</w:t>
      </w:r>
    </w:p>
    <w:p w14:paraId="61CFD266" w14:textId="77777777" w:rsidR="00563CD7" w:rsidRPr="00125826" w:rsidRDefault="00563CD7" w:rsidP="00563CD7">
      <w:pPr>
        <w:pStyle w:val="CommentText"/>
        <w:ind w:left="576"/>
      </w:pPr>
    </w:p>
    <w:p w14:paraId="49A14305" w14:textId="5B5BE263" w:rsidR="005D1457" w:rsidRPr="001C5C4F" w:rsidRDefault="005D1457" w:rsidP="00AD309C">
      <w:pPr>
        <w:pStyle w:val="CommentText"/>
        <w:numPr>
          <w:ilvl w:val="0"/>
          <w:numId w:val="410"/>
        </w:numPr>
        <w:rPr>
          <w:b/>
        </w:rPr>
      </w:pPr>
      <w:bookmarkStart w:id="578" w:name="SP1_1a"/>
      <w:bookmarkEnd w:id="578"/>
      <w:r w:rsidRPr="001C5C4F">
        <w:rPr>
          <w:b/>
        </w:rPr>
        <w:t xml:space="preserve">1.1a: If </w:t>
      </w:r>
      <w:r w:rsidR="0053750F" w:rsidRPr="0002601E">
        <w:rPr>
          <w:b/>
          <w:bCs/>
          <w:lang w:eastAsia="ja-JP"/>
        </w:rPr>
        <w:t xml:space="preserve">NQF </w:t>
      </w:r>
      <w:r w:rsidRPr="001C5C4F">
        <w:rPr>
          <w:b/>
        </w:rPr>
        <w:t>Safe Practice #4</w:t>
      </w:r>
      <w:r w:rsidR="00E53C8F">
        <w:rPr>
          <w:b/>
        </w:rPr>
        <w:t xml:space="preserve"> – </w:t>
      </w:r>
      <w:r w:rsidRPr="001C5C4F">
        <w:rPr>
          <w:b/>
        </w:rPr>
        <w:t>Identification and Mitigation of Risks and Hazards has been removed from the Leapfrog Hospital Survey, are hospital boards still expected to communicate regularly regarding risks and hazards?</w:t>
      </w:r>
    </w:p>
    <w:p w14:paraId="4A94E7BD" w14:textId="78621ACD" w:rsidR="005D1457" w:rsidRPr="0037002D" w:rsidRDefault="005D1457" w:rsidP="005859F8">
      <w:pPr>
        <w:pStyle w:val="CommentText"/>
        <w:ind w:left="720"/>
        <w:rPr>
          <w:bCs/>
        </w:rPr>
      </w:pPr>
      <w:r w:rsidRPr="001C5C4F">
        <w:rPr>
          <w:bCs/>
        </w:rPr>
        <w:t xml:space="preserve">Though we are not </w:t>
      </w:r>
      <w:r w:rsidR="00323791" w:rsidRPr="001C5C4F">
        <w:rPr>
          <w:bCs/>
        </w:rPr>
        <w:t>asking hospitals to report</w:t>
      </w:r>
      <w:r w:rsidR="008911FE" w:rsidRPr="001C5C4F">
        <w:rPr>
          <w:bCs/>
        </w:rPr>
        <w:t xml:space="preserve"> </w:t>
      </w:r>
      <w:r w:rsidRPr="001C5C4F">
        <w:rPr>
          <w:bCs/>
        </w:rPr>
        <w:t xml:space="preserve">on this </w:t>
      </w:r>
      <w:r w:rsidR="00323791" w:rsidRPr="001C5C4F">
        <w:rPr>
          <w:bCs/>
        </w:rPr>
        <w:t>S</w:t>
      </w:r>
      <w:r w:rsidRPr="001C5C4F">
        <w:rPr>
          <w:bCs/>
        </w:rPr>
        <w:t xml:space="preserve">afe </w:t>
      </w:r>
      <w:r w:rsidR="00323791" w:rsidRPr="001C5C4F">
        <w:rPr>
          <w:bCs/>
        </w:rPr>
        <w:t>P</w:t>
      </w:r>
      <w:r w:rsidRPr="001C5C4F">
        <w:rPr>
          <w:bCs/>
        </w:rPr>
        <w:t>ractice, it remains important to communicate the actions you are taking to identify and mitigate risks and hazards to patients</w:t>
      </w:r>
      <w:r w:rsidR="00323791" w:rsidRPr="001C5C4F">
        <w:rPr>
          <w:bCs/>
        </w:rPr>
        <w:t xml:space="preserve"> to your board</w:t>
      </w:r>
      <w:r w:rsidRPr="001C5C4F">
        <w:rPr>
          <w:bCs/>
        </w:rPr>
        <w:t>.</w:t>
      </w:r>
    </w:p>
    <w:p w14:paraId="0BA47B36" w14:textId="4D8B1E18" w:rsidR="005D1457" w:rsidRDefault="005D1457" w:rsidP="005D1457">
      <w:pPr>
        <w:pStyle w:val="CommentText"/>
        <w:ind w:left="576"/>
        <w:rPr>
          <w:b/>
        </w:rPr>
      </w:pPr>
    </w:p>
    <w:p w14:paraId="7CC781B8" w14:textId="32B07A39" w:rsidR="00563CD7" w:rsidRPr="00C05C88" w:rsidRDefault="00563CD7" w:rsidP="00AD309C">
      <w:pPr>
        <w:pStyle w:val="CommentText"/>
        <w:numPr>
          <w:ilvl w:val="0"/>
          <w:numId w:val="410"/>
        </w:numPr>
        <w:rPr>
          <w:b/>
        </w:rPr>
      </w:pPr>
      <w:r w:rsidRPr="00C05C88">
        <w:rPr>
          <w:b/>
        </w:rPr>
        <w:t>1</w:t>
      </w:r>
      <w:bookmarkStart w:id="579" w:name="SP1_1b_ActiveParticipants"/>
      <w:bookmarkEnd w:id="579"/>
      <w:r w:rsidRPr="00C05C88">
        <w:rPr>
          <w:b/>
        </w:rPr>
        <w:t>.1b: What is meant by “patients and</w:t>
      </w:r>
      <w:r w:rsidR="007A5D35">
        <w:rPr>
          <w:b/>
        </w:rPr>
        <w:t>/or</w:t>
      </w:r>
      <w:r w:rsidRPr="00C05C88">
        <w:rPr>
          <w:b/>
        </w:rPr>
        <w:t xml:space="preserve"> </w:t>
      </w:r>
      <w:r w:rsidR="00FA710E">
        <w:rPr>
          <w:b/>
        </w:rPr>
        <w:t>care partners</w:t>
      </w:r>
      <w:r w:rsidRPr="00C05C88">
        <w:rPr>
          <w:b/>
        </w:rPr>
        <w:t xml:space="preserve"> are active participants in</w:t>
      </w:r>
      <w:r w:rsidR="00D8573E">
        <w:rPr>
          <w:b/>
        </w:rPr>
        <w:t xml:space="preserve"> the hospital-wide</w:t>
      </w:r>
      <w:r w:rsidRPr="00C05C88">
        <w:rPr>
          <w:b/>
        </w:rPr>
        <w:t xml:space="preserve"> safety and quality committee?”</w:t>
      </w:r>
    </w:p>
    <w:p w14:paraId="5D0423BC" w14:textId="7E9C86A8" w:rsidR="00C2074A" w:rsidRPr="00C2074A" w:rsidRDefault="00563CD7" w:rsidP="00C2074A">
      <w:pPr>
        <w:pStyle w:val="ListParagraph"/>
      </w:pPr>
      <w:r>
        <w:t xml:space="preserve">To meet the intent of this element, hospitals must have </w:t>
      </w:r>
      <w:r w:rsidRPr="001314B0">
        <w:t xml:space="preserve">patients and/or </w:t>
      </w:r>
      <w:r w:rsidR="006912B5">
        <w:t>care partners</w:t>
      </w:r>
      <w:r w:rsidRPr="001314B0">
        <w:t xml:space="preserve"> participate </w:t>
      </w:r>
      <w:r w:rsidRPr="001314B0">
        <w:rPr>
          <w:noProof/>
        </w:rPr>
        <w:t>on</w:t>
      </w:r>
      <w:r w:rsidRPr="001314B0">
        <w:t xml:space="preserve"> the hospital-wide safety and quality committee.</w:t>
      </w:r>
      <w:r w:rsidR="00F93AB7">
        <w:t xml:space="preserve"> A patient and/or care partner can be any patient who </w:t>
      </w:r>
      <w:r w:rsidR="00BE5641">
        <w:t xml:space="preserve">has </w:t>
      </w:r>
      <w:r w:rsidR="00F93AB7">
        <w:t>currently, or in the past, received care at the hospital campus, as we</w:t>
      </w:r>
      <w:r w:rsidR="00BE5641">
        <w:t>ll as</w:t>
      </w:r>
      <w:r w:rsidR="00944CD3">
        <w:t xml:space="preserve"> </w:t>
      </w:r>
      <w:r w:rsidR="00F93AB7">
        <w:t>their family members</w:t>
      </w:r>
      <w:r w:rsidR="00C2074A">
        <w:t xml:space="preserve"> </w:t>
      </w:r>
      <w:r w:rsidR="00C2074A" w:rsidRPr="00C2074A">
        <w:t>or other trusted individuals navigating or participating in a patient’s care at the hospital (e.g., facilitate communication, participate in consent process).</w:t>
      </w:r>
    </w:p>
    <w:p w14:paraId="364FAF67" w14:textId="77777777" w:rsidR="00F93AB7" w:rsidRDefault="00F93AB7" w:rsidP="005859F8">
      <w:pPr>
        <w:pStyle w:val="ListParagraph"/>
      </w:pPr>
    </w:p>
    <w:p w14:paraId="1379EFE5" w14:textId="7FEEFC20" w:rsidR="00A07632" w:rsidRDefault="00D8573E" w:rsidP="005859F8">
      <w:pPr>
        <w:pStyle w:val="ListParagraph"/>
        <w:rPr>
          <w:rFonts w:cs="Arial"/>
        </w:rPr>
      </w:pPr>
      <w:r>
        <w:t>The s</w:t>
      </w:r>
      <w:r w:rsidR="0097088C" w:rsidRPr="001314B0">
        <w:t>afety and quality c</w:t>
      </w:r>
      <w:r w:rsidR="00563CD7" w:rsidRPr="001314B0">
        <w:t>ommittee should have influence over hospital-wide quality and safety issues, not jus</w:t>
      </w:r>
      <w:r w:rsidR="00563CD7" w:rsidRPr="001C5C4F">
        <w:t>t a particular department or service line.</w:t>
      </w:r>
      <w:r w:rsidR="00A07632">
        <w:t xml:space="preserve"> </w:t>
      </w:r>
      <w:r w:rsidR="00A07632" w:rsidRPr="00E321D5">
        <w:rPr>
          <w:rFonts w:cs="Arial"/>
        </w:rPr>
        <w:t>Hospitals with a system-wide safety and quality committee must have one patient representative per campus on the system-wide safety and quality committee.</w:t>
      </w:r>
    </w:p>
    <w:p w14:paraId="6CE5FA67" w14:textId="77777777" w:rsidR="00A07632" w:rsidRDefault="00A07632" w:rsidP="00563CD7">
      <w:pPr>
        <w:pStyle w:val="ListParagraph"/>
        <w:ind w:left="576"/>
        <w:rPr>
          <w:rFonts w:cs="Arial"/>
        </w:rPr>
      </w:pPr>
    </w:p>
    <w:p w14:paraId="0043F2E0" w14:textId="5724142A" w:rsidR="00232979" w:rsidRDefault="00563CD7" w:rsidP="005859F8">
      <w:pPr>
        <w:pStyle w:val="ListParagraph"/>
      </w:pPr>
      <w:r w:rsidRPr="001C5C4F">
        <w:t>Meetings should be formal</w:t>
      </w:r>
      <w:r w:rsidR="00881BED" w:rsidRPr="001C5C4F">
        <w:t>,</w:t>
      </w:r>
      <w:r w:rsidRPr="001C5C4F">
        <w:t xml:space="preserve"> and minutes should be taken.</w:t>
      </w:r>
      <w:r w:rsidR="001524C1" w:rsidRPr="001C5C4F">
        <w:t xml:space="preserve"> </w:t>
      </w:r>
      <w:r w:rsidR="005D1457" w:rsidRPr="001C5C4F">
        <w:t xml:space="preserve">Topics covered should be related to broad oversight of hospital-wide patient safety and quality issues and what is being done to effect changes. An example would be tracking and preventing adverse events. </w:t>
      </w:r>
    </w:p>
    <w:p w14:paraId="478A022F" w14:textId="77777777" w:rsidR="00232979" w:rsidRDefault="00232979" w:rsidP="005859F8">
      <w:pPr>
        <w:pStyle w:val="ListParagraph"/>
      </w:pPr>
    </w:p>
    <w:p w14:paraId="0CC87AEA" w14:textId="11F44AB1" w:rsidR="00563CD7" w:rsidRDefault="001524C1" w:rsidP="005859F8">
      <w:pPr>
        <w:pStyle w:val="ListParagraph"/>
      </w:pPr>
      <w:r w:rsidRPr="001C5C4F">
        <w:t>In most hospitals, due to the scope of issues discussed at Patient and Family Advisory Council (PFAC) meetings, having a PFAC would not meet the criteria for a safety and quality committee.</w:t>
      </w:r>
      <w:r w:rsidR="00232979">
        <w:t xml:space="preserve"> </w:t>
      </w:r>
      <w:r w:rsidR="00232979" w:rsidRPr="00232979">
        <w:t>If your hospital has a PFAC member on the hospital-wide patient safety and quality committee, then your hospital is meeting the intent of this safe practice.</w:t>
      </w:r>
    </w:p>
    <w:p w14:paraId="02201B48" w14:textId="77777777" w:rsidR="00563CD7" w:rsidRDefault="00563CD7" w:rsidP="005859F8">
      <w:pPr>
        <w:pStyle w:val="ListParagraph"/>
      </w:pPr>
    </w:p>
    <w:p w14:paraId="24C35C72" w14:textId="39948556" w:rsidR="00563CD7" w:rsidRDefault="00563CD7" w:rsidP="005859F8">
      <w:pPr>
        <w:pStyle w:val="ListParagraph"/>
      </w:pPr>
      <w:r>
        <w:t xml:space="preserve">Patients and/or </w:t>
      </w:r>
      <w:r w:rsidR="003A50AA">
        <w:t>care partners</w:t>
      </w:r>
      <w:r>
        <w:t xml:space="preserve"> can participate in these meetings in</w:t>
      </w:r>
      <w:r w:rsidR="00D23F6F">
        <w:t xml:space="preserve"> </w:t>
      </w:r>
      <w:r>
        <w:t>person, via conference call, or via video conference. Hospitals do not meet the intent of this element if the patient</w:t>
      </w:r>
      <w:r w:rsidR="009A5764">
        <w:t>s</w:t>
      </w:r>
      <w:r>
        <w:t xml:space="preserve"> and/or </w:t>
      </w:r>
      <w:r w:rsidR="006D3116">
        <w:t>care partners</w:t>
      </w:r>
      <w:r w:rsidR="00881BED">
        <w:t xml:space="preserve"> </w:t>
      </w:r>
      <w:r w:rsidR="007A5D35">
        <w:t>are</w:t>
      </w:r>
      <w:r w:rsidR="00881BED">
        <w:t xml:space="preserve"> invited</w:t>
      </w:r>
      <w:r>
        <w:t xml:space="preserve"> but do not regularly attend. It is the responsibility of the hospital to ensure that patients and/or </w:t>
      </w:r>
      <w:r w:rsidR="005C33B3">
        <w:t>care partners</w:t>
      </w:r>
      <w:r>
        <w:t xml:space="preserve"> can provide their perspectives to other committee members during meetings. </w:t>
      </w:r>
      <w:r w:rsidR="007203C0">
        <w:t>T</w:t>
      </w:r>
      <w:r w:rsidR="007203C0" w:rsidRPr="00FB3F1C">
        <w:t>he patient serving on that committee should have the experience, orientation or training needed to understand and effectively contribute to safety and quality committee issues.</w:t>
      </w:r>
      <w:r w:rsidR="007203C0">
        <w:t xml:space="preserve"> </w:t>
      </w:r>
      <w:r w:rsidR="008911FE">
        <w:lastRenderedPageBreak/>
        <w:t>Hospitals should</w:t>
      </w:r>
      <w:r>
        <w:t xml:space="preserve"> identify </w:t>
      </w:r>
      <w:r w:rsidR="00ED52BB">
        <w:t>people who are not Board members or employees</w:t>
      </w:r>
      <w:r>
        <w:t xml:space="preserve"> to serve on the committee so the participant can represent the views of patients and without conflict. Board members have a fiduciary responsibility to the organization, and therefore may have a potential conflict representing the views of patients and/or </w:t>
      </w:r>
      <w:r w:rsidR="008C75C3">
        <w:t>care partners</w:t>
      </w:r>
      <w:r>
        <w:t>.</w:t>
      </w:r>
    </w:p>
    <w:p w14:paraId="75BE393C" w14:textId="77777777" w:rsidR="00563CD7" w:rsidRDefault="00563CD7" w:rsidP="005859F8">
      <w:pPr>
        <w:ind w:left="144"/>
      </w:pPr>
    </w:p>
    <w:p w14:paraId="75AF3DC5" w14:textId="57CC3CA0" w:rsidR="005D1457" w:rsidRPr="001C5C4F" w:rsidRDefault="00563CD7" w:rsidP="005859F8">
      <w:pPr>
        <w:pStyle w:val="ListParagraph"/>
      </w:pPr>
      <w:r>
        <w:t xml:space="preserve">Hospitals can document adherence to this element by maintaining committee rosters and meeting minutes with attendance and participation noted. Patients and/or </w:t>
      </w:r>
      <w:r w:rsidR="00587948">
        <w:t xml:space="preserve">care partners </w:t>
      </w:r>
      <w:r>
        <w:t xml:space="preserve">should have the opportunity to present or co-present a </w:t>
      </w:r>
      <w:r w:rsidRPr="001C5C4F">
        <w:t>topic, lead or co-lead a discussion, or co-chair the committee</w:t>
      </w:r>
      <w:r w:rsidR="00D23F6F" w:rsidRPr="001C5C4F">
        <w:t>,</w:t>
      </w:r>
      <w:r w:rsidRPr="001C5C4F">
        <w:t xml:space="preserve"> and this should be noted in the meeting minutes. </w:t>
      </w:r>
      <w:r w:rsidR="005D1457" w:rsidRPr="001C5C4F">
        <w:t xml:space="preserve">Patients and/or </w:t>
      </w:r>
      <w:r w:rsidR="00C12B2F">
        <w:t>care partners</w:t>
      </w:r>
      <w:r w:rsidR="005D1457" w:rsidRPr="001C5C4F">
        <w:t xml:space="preserve"> should have attended at least one meeting prior to Survey submission.</w:t>
      </w:r>
    </w:p>
    <w:p w14:paraId="3EF27563" w14:textId="77777777" w:rsidR="007A42F9" w:rsidRPr="001C5C4F" w:rsidRDefault="007A42F9" w:rsidP="005D1457">
      <w:pPr>
        <w:pStyle w:val="ListParagraph"/>
        <w:ind w:left="576"/>
      </w:pPr>
    </w:p>
    <w:p w14:paraId="1170BF1C" w14:textId="513EBAA3" w:rsidR="005D1457" w:rsidRDefault="00323791" w:rsidP="005859F8">
      <w:pPr>
        <w:pStyle w:val="ListParagraph"/>
      </w:pPr>
      <w:r w:rsidRPr="001C5C4F">
        <w:t xml:space="preserve">Hospitals </w:t>
      </w:r>
      <w:r w:rsidR="005D1457" w:rsidRPr="001C5C4F">
        <w:t>in the process of adding patients/</w:t>
      </w:r>
      <w:r w:rsidR="003D16CD">
        <w:t xml:space="preserve">care partners </w:t>
      </w:r>
      <w:r w:rsidR="005D1457" w:rsidRPr="001C5C4F">
        <w:t xml:space="preserve">to </w:t>
      </w:r>
      <w:r w:rsidRPr="001C5C4F">
        <w:t xml:space="preserve">the </w:t>
      </w:r>
      <w:r w:rsidR="005D1457" w:rsidRPr="001C5C4F">
        <w:t xml:space="preserve">hospital-wide safety and quality committee </w:t>
      </w:r>
      <w:r w:rsidRPr="001C5C4F">
        <w:t xml:space="preserve">can refer to </w:t>
      </w:r>
      <w:r w:rsidR="005D1457" w:rsidRPr="001C5C4F">
        <w:t>AHRQ’s toolkit for engaging patients and families in hospital improvement work</w:t>
      </w:r>
      <w:r w:rsidRPr="001C5C4F">
        <w:t xml:space="preserve"> for more information at </w:t>
      </w:r>
      <w:hyperlink r:id="rId392" w:history="1">
        <w:r w:rsidR="00CC72B7" w:rsidRPr="00AD647D">
          <w:rPr>
            <w:rStyle w:val="Hyperlink"/>
          </w:rPr>
          <w:t>https://www.ahrq.gov/patient-safety/patients-families/engagingfamilies/index.html</w:t>
        </w:r>
      </w:hyperlink>
      <w:r w:rsidR="005D1457" w:rsidRPr="001C5C4F">
        <w:t>.</w:t>
      </w:r>
    </w:p>
    <w:p w14:paraId="1EBADDEC" w14:textId="77777777" w:rsidR="00563CD7" w:rsidRDefault="00563CD7" w:rsidP="00563CD7"/>
    <w:p w14:paraId="01E06C1F" w14:textId="70098043" w:rsidR="00563CD7" w:rsidRPr="001C5C4F" w:rsidRDefault="00563CD7" w:rsidP="00AD309C">
      <w:pPr>
        <w:pStyle w:val="ListParagraph"/>
        <w:numPr>
          <w:ilvl w:val="0"/>
          <w:numId w:val="410"/>
        </w:numPr>
      </w:pPr>
      <w:r w:rsidRPr="001C5C4F">
        <w:rPr>
          <w:b/>
        </w:rPr>
        <w:t>1.</w:t>
      </w:r>
      <w:bookmarkStart w:id="580" w:name="SP1_1c"/>
      <w:bookmarkEnd w:id="580"/>
      <w:r w:rsidRPr="001C5C4F">
        <w:rPr>
          <w:b/>
        </w:rPr>
        <w:t xml:space="preserve">1c: </w:t>
      </w:r>
      <w:r w:rsidR="001C5C4F" w:rsidRPr="001C5C4F">
        <w:rPr>
          <w:b/>
        </w:rPr>
        <w:t xml:space="preserve">What are some examples of how a hospital can report </w:t>
      </w:r>
      <w:r w:rsidRPr="001C5C4F">
        <w:rPr>
          <w:b/>
        </w:rPr>
        <w:t xml:space="preserve">to the community ongoing efforts </w:t>
      </w:r>
      <w:r w:rsidRPr="001C5C4F">
        <w:rPr>
          <w:b/>
          <w:u w:val="single"/>
        </w:rPr>
        <w:t>and</w:t>
      </w:r>
      <w:r w:rsidRPr="001C5C4F">
        <w:rPr>
          <w:b/>
        </w:rPr>
        <w:t xml:space="preserve"> results of these efforts to improve safety and quality?</w:t>
      </w:r>
    </w:p>
    <w:p w14:paraId="19A09C62" w14:textId="1C8EFF01" w:rsidR="00607C6B" w:rsidRPr="001C5C4F" w:rsidRDefault="00563CD7" w:rsidP="005859F8">
      <w:pPr>
        <w:pStyle w:val="EndnoteText"/>
        <w:ind w:left="720"/>
      </w:pPr>
      <w:r w:rsidRPr="001C5C4F">
        <w:t>Hospitals can utilize several communication vehicles</w:t>
      </w:r>
      <w:r w:rsidR="005D1457" w:rsidRPr="001C5C4F">
        <w:t xml:space="preserve"> to reach the broader community</w:t>
      </w:r>
      <w:r w:rsidR="00B342C9" w:rsidRPr="001C5C4F">
        <w:t>, including</w:t>
      </w:r>
      <w:r w:rsidRPr="001C5C4F">
        <w:t xml:space="preserve"> webpages that are prominent from the organization’s homepage, electronic newsletters, mailings or annual reports, or an ad in the local paper. The communication must include </w:t>
      </w:r>
      <w:r w:rsidRPr="001C5C4F">
        <w:rPr>
          <w:b/>
          <w:u w:val="single"/>
        </w:rPr>
        <w:t>both</w:t>
      </w:r>
      <w:r w:rsidRPr="001C5C4F">
        <w:t xml:space="preserve"> efforts the hospital is taking to improve</w:t>
      </w:r>
      <w:r w:rsidR="00C92C0C" w:rsidRPr="001C5C4F">
        <w:t xml:space="preserve"> safety and quality</w:t>
      </w:r>
      <w:r w:rsidRPr="001C5C4F">
        <w:t xml:space="preserve"> and the results of those efforts.</w:t>
      </w:r>
      <w:r w:rsidR="00C92C0C" w:rsidRPr="001C5C4F">
        <w:t xml:space="preserve"> As the sole focus of the NQF Safe Practices for Better Health Care report is reducing or preventing adverse events (refer to NQF list of adverse events at</w:t>
      </w:r>
      <w:r w:rsidR="006B581F">
        <w:t xml:space="preserve"> </w:t>
      </w:r>
      <w:hyperlink r:id="rId393" w:history="1">
        <w:r w:rsidR="006B581F" w:rsidRPr="004103A9">
          <w:rPr>
            <w:rStyle w:val="Hyperlink"/>
          </w:rPr>
          <w:t>https://digitalassets.jointcommission.org/api/public/content/4534bbaaee4f4bd280c2054765f37f4b?v=a60f8f9a</w:t>
        </w:r>
      </w:hyperlink>
      <w:r w:rsidR="00C92C0C" w:rsidRPr="001C5C4F">
        <w:t xml:space="preserve">), patient safety and quality efforts </w:t>
      </w:r>
      <w:r w:rsidR="00C92C0C" w:rsidRPr="001C5C4F">
        <w:rPr>
          <w:b/>
          <w:u w:val="single"/>
        </w:rPr>
        <w:t>reported to the community</w:t>
      </w:r>
      <w:r w:rsidR="00C92C0C" w:rsidRPr="001C5C4F">
        <w:t xml:space="preserve"> must have this focus as well.</w:t>
      </w:r>
      <w:r w:rsidR="00607C6B" w:rsidRPr="001C5C4F">
        <w:t xml:space="preserve"> In other words, efforts the hospital is taking to improve safety and quality should be related to reducing or preventing these adverse events and the results of those efforts would be the measurable outcomes.</w:t>
      </w:r>
    </w:p>
    <w:p w14:paraId="419C1B25" w14:textId="77777777" w:rsidR="00607C6B" w:rsidRPr="001C5C4F" w:rsidRDefault="00607C6B" w:rsidP="00607C6B">
      <w:pPr>
        <w:pStyle w:val="EndnoteText"/>
        <w:ind w:left="576"/>
      </w:pPr>
    </w:p>
    <w:p w14:paraId="1CCA261F" w14:textId="77777777" w:rsidR="00607C6B" w:rsidRPr="001C5C4F" w:rsidRDefault="00607C6B" w:rsidP="005859F8">
      <w:pPr>
        <w:pStyle w:val="EndnoteText"/>
        <w:ind w:left="720"/>
      </w:pPr>
      <w:r w:rsidRPr="001C5C4F">
        <w:t>Meetings where a few community members are present would not meet the intent of this practice as the intent is to reach a larger audience.</w:t>
      </w:r>
    </w:p>
    <w:p w14:paraId="12253846" w14:textId="7A5B6F84" w:rsidR="00563CD7" w:rsidRPr="001C5C4F" w:rsidRDefault="00563CD7" w:rsidP="005859F8">
      <w:pPr>
        <w:pStyle w:val="EndnoteText"/>
        <w:ind w:left="720"/>
      </w:pPr>
    </w:p>
    <w:p w14:paraId="20D2049B" w14:textId="34076648" w:rsidR="005D1457" w:rsidRPr="00C92C0C" w:rsidRDefault="005D1457" w:rsidP="005859F8">
      <w:pPr>
        <w:pStyle w:val="EndnoteText"/>
        <w:ind w:left="720"/>
      </w:pPr>
      <w:r w:rsidRPr="001C5C4F">
        <w:t>Each hospital within the same health care system would need to report the results to the community for each hospital in the system because the results of efforts to improve safety and quality would be different at each hospital.</w:t>
      </w:r>
    </w:p>
    <w:p w14:paraId="38EC9412" w14:textId="77777777" w:rsidR="00563CD7" w:rsidRDefault="00563CD7" w:rsidP="005859F8">
      <w:pPr>
        <w:pStyle w:val="EndnoteText"/>
        <w:ind w:left="144"/>
      </w:pPr>
    </w:p>
    <w:p w14:paraId="7122C615" w14:textId="77777777" w:rsidR="00563CD7" w:rsidRPr="00AD3AD8" w:rsidRDefault="00563CD7" w:rsidP="00AD309C">
      <w:pPr>
        <w:pStyle w:val="ListParagraph"/>
        <w:numPr>
          <w:ilvl w:val="0"/>
          <w:numId w:val="410"/>
        </w:numPr>
        <w:rPr>
          <w:b/>
        </w:rPr>
      </w:pPr>
      <w:r w:rsidRPr="00AD3AD8">
        <w:rPr>
          <w:b/>
        </w:rPr>
        <w:t>1</w:t>
      </w:r>
      <w:bookmarkStart w:id="581" w:name="SP1_PatientSafetyProgram"/>
      <w:bookmarkEnd w:id="581"/>
      <w:r w:rsidRPr="00AD3AD8">
        <w:rPr>
          <w:b/>
        </w:rPr>
        <w:t>.2a, 1.3a, 1.4c: What are the minimum requirements to qualif</w:t>
      </w:r>
      <w:r>
        <w:rPr>
          <w:b/>
        </w:rPr>
        <w:t>y as a “</w:t>
      </w:r>
      <w:bookmarkStart w:id="582" w:name="PatientSafetyProgram"/>
      <w:r>
        <w:rPr>
          <w:b/>
        </w:rPr>
        <w:t>patient safety program</w:t>
      </w:r>
      <w:bookmarkEnd w:id="582"/>
      <w:r>
        <w:rPr>
          <w:b/>
        </w:rPr>
        <w:t>?”</w:t>
      </w:r>
    </w:p>
    <w:p w14:paraId="5E1604D8" w14:textId="46269C4D" w:rsidR="00563CD7" w:rsidRPr="004C4797" w:rsidRDefault="00563CD7" w:rsidP="005859F8">
      <w:pPr>
        <w:pStyle w:val="ListParagraph"/>
      </w:pPr>
      <w:r>
        <w:t>As part of accreditation through The Joint Commission, hospitals are required to meet standard LD.0</w:t>
      </w:r>
      <w:r w:rsidR="00AA0F9B">
        <w:t>3</w:t>
      </w:r>
      <w:r>
        <w:t>.0</w:t>
      </w:r>
      <w:r w:rsidR="00AA0F9B">
        <w:t>9</w:t>
      </w:r>
      <w:r>
        <w:t>.0</w:t>
      </w:r>
      <w:r w:rsidR="00AA0F9B">
        <w:t>1</w:t>
      </w:r>
      <w:r>
        <w:t xml:space="preserve">, which identifies the elements that must be included in an integrated patient safety program (see pages </w:t>
      </w:r>
      <w:r w:rsidR="00462A6B">
        <w:rPr>
          <w:rFonts w:cs="Arial"/>
        </w:rPr>
        <w:t xml:space="preserve">57 – 62 </w:t>
      </w:r>
      <w:r w:rsidR="00462A6B" w:rsidRPr="00E321D5">
        <w:rPr>
          <w:rFonts w:cs="Arial"/>
        </w:rPr>
        <w:t>in</w:t>
      </w:r>
      <w:r w:rsidR="00462A6B">
        <w:rPr>
          <w:rFonts w:cs="Arial"/>
        </w:rPr>
        <w:t xml:space="preserve"> the</w:t>
      </w:r>
      <w:r w:rsidR="00462A6B" w:rsidRPr="00E321D5">
        <w:rPr>
          <w:rFonts w:cs="Arial"/>
        </w:rPr>
        <w:t xml:space="preserve"> </w:t>
      </w:r>
      <w:r w:rsidR="00462A6B">
        <w:rPr>
          <w:rFonts w:cs="Arial"/>
        </w:rPr>
        <w:t>Organization Culture and System Performance Expectations</w:t>
      </w:r>
      <w:r w:rsidR="00462A6B" w:rsidRPr="00E321D5">
        <w:rPr>
          <w:rFonts w:cs="Arial"/>
        </w:rPr>
        <w:t xml:space="preserve"> chapter of </w:t>
      </w:r>
      <w:hyperlink r:id="rId394" w:history="1">
        <w:r w:rsidR="00462A6B" w:rsidRPr="000566C6">
          <w:rPr>
            <w:rStyle w:val="Hyperlink"/>
            <w:rFonts w:cs="Arial"/>
          </w:rPr>
          <w:t>The Joint Commission E-dition</w:t>
        </w:r>
      </w:hyperlink>
      <w:r w:rsidR="00462A6B" w:rsidRPr="00E321D5">
        <w:rPr>
          <w:rFonts w:cs="Arial"/>
        </w:rPr>
        <w:t xml:space="preserve">). </w:t>
      </w:r>
      <w:r>
        <w:t>Hospitals that are not accredited by The Joint Commission can use these elements as a guide as well.</w:t>
      </w:r>
      <w:r w:rsidRPr="00FD07E4">
        <w:rPr>
          <w:b/>
        </w:rPr>
        <w:br/>
      </w:r>
    </w:p>
    <w:p w14:paraId="0DC4BDFF" w14:textId="6C73ECB8" w:rsidR="00563CD7" w:rsidRDefault="00563CD7" w:rsidP="00AD309C">
      <w:pPr>
        <w:numPr>
          <w:ilvl w:val="0"/>
          <w:numId w:val="410"/>
        </w:numPr>
        <w:tabs>
          <w:tab w:val="num" w:pos="576"/>
        </w:tabs>
      </w:pPr>
      <w:r w:rsidRPr="00417A53">
        <w:rPr>
          <w:b/>
        </w:rPr>
        <w:t>1.</w:t>
      </w:r>
      <w:bookmarkStart w:id="583" w:name="SP1_2d"/>
      <w:bookmarkEnd w:id="583"/>
      <w:r w:rsidRPr="00417A53">
        <w:rPr>
          <w:b/>
        </w:rPr>
        <w:t>2d:</w:t>
      </w:r>
      <w:r w:rsidR="001C6BC8">
        <w:rPr>
          <w:b/>
        </w:rPr>
        <w:t xml:space="preserve"> </w:t>
      </w:r>
      <w:r w:rsidRPr="00417A53">
        <w:rPr>
          <w:b/>
        </w:rPr>
        <w:t>What is the role of an interdisciplinary patient safety committee?</w:t>
      </w:r>
      <w:r w:rsidRPr="00417A53">
        <w:br/>
        <w:t xml:space="preserve">An interdisciplinary patient safety committee is an internal hospital committee that oversees the activities defined in the NQF Safe Practice </w:t>
      </w:r>
      <w:r w:rsidR="00DB7F48">
        <w:t>#</w:t>
      </w:r>
      <w:r w:rsidRPr="00417A53">
        <w:t>1 Practice Element Specifications and develops action plans to create solutions and changes in performance.</w:t>
      </w:r>
    </w:p>
    <w:p w14:paraId="4FB985D9" w14:textId="77777777" w:rsidR="00563CD7" w:rsidRDefault="00563CD7" w:rsidP="00563CD7"/>
    <w:p w14:paraId="1B50C81A" w14:textId="77777777" w:rsidR="00563CD7" w:rsidRPr="0022345D" w:rsidRDefault="00563CD7" w:rsidP="00AD309C">
      <w:pPr>
        <w:pStyle w:val="ListParagraph"/>
        <w:numPr>
          <w:ilvl w:val="0"/>
          <w:numId w:val="410"/>
        </w:numPr>
        <w:rPr>
          <w:b/>
        </w:rPr>
      </w:pPr>
      <w:bookmarkStart w:id="584" w:name="TeamTraining"/>
      <w:r w:rsidRPr="0022345D">
        <w:rPr>
          <w:b/>
        </w:rPr>
        <w:t xml:space="preserve">1.2d: </w:t>
      </w:r>
      <w:r>
        <w:rPr>
          <w:b/>
        </w:rPr>
        <w:t xml:space="preserve">What </w:t>
      </w:r>
      <w:r w:rsidRPr="0022345D">
        <w:rPr>
          <w:b/>
        </w:rPr>
        <w:t xml:space="preserve">is </w:t>
      </w:r>
      <w:r>
        <w:rPr>
          <w:b/>
        </w:rPr>
        <w:t>an example of team training that is appropriate for care</w:t>
      </w:r>
      <w:r w:rsidRPr="0022345D">
        <w:rPr>
          <w:b/>
        </w:rPr>
        <w:t>givers?</w:t>
      </w:r>
    </w:p>
    <w:bookmarkEnd w:id="584"/>
    <w:p w14:paraId="05194100" w14:textId="67CEBC4D" w:rsidR="00563CD7" w:rsidRDefault="00563CD7" w:rsidP="005859F8">
      <w:pPr>
        <w:pStyle w:val="ListParagraph"/>
      </w:pPr>
      <w:r>
        <w:t xml:space="preserve">Hospitals can utilize </w:t>
      </w:r>
      <w:hyperlink r:id="rId395" w:history="1">
        <w:r w:rsidRPr="0044746F">
          <w:rPr>
            <w:rStyle w:val="Hyperlink"/>
          </w:rPr>
          <w:t>TeamSTEPPS</w:t>
        </w:r>
      </w:hyperlink>
      <w:r>
        <w:t>, a comprehensive, evidence-based training program for health</w:t>
      </w:r>
      <w:r w:rsidR="008E6024">
        <w:t xml:space="preserve"> </w:t>
      </w:r>
      <w:r>
        <w:t xml:space="preserve">care professionals. </w:t>
      </w:r>
      <w:r w:rsidR="00607C6B">
        <w:t xml:space="preserve">At a minimum, the elements of basic teamwork training should be met as described on page 96 of the Safe Practices for Better Healthcare– 2010 Update, which is available for download here: </w:t>
      </w:r>
      <w:hyperlink r:id="rId396" w:history="1">
        <w:r w:rsidR="00370ADE" w:rsidRPr="00066414">
          <w:rPr>
            <w:rStyle w:val="Hyperlink"/>
          </w:rPr>
          <w:t>http://www.leapfroggroup.org/survey-materials/survey-and-cpoe-materials</w:t>
        </w:r>
      </w:hyperlink>
      <w:r w:rsidR="00607C6B">
        <w:t>.</w:t>
      </w:r>
    </w:p>
    <w:p w14:paraId="1607D1B6" w14:textId="41912065" w:rsidR="00370ADE" w:rsidRDefault="00370ADE" w:rsidP="00563CD7">
      <w:pPr>
        <w:pStyle w:val="ListParagraph"/>
        <w:ind w:left="576"/>
      </w:pPr>
    </w:p>
    <w:p w14:paraId="1AE70359" w14:textId="77777777" w:rsidR="00370ADE" w:rsidRDefault="00370ADE" w:rsidP="00F9543A">
      <w:pPr>
        <w:pStyle w:val="ListParagraph"/>
        <w:rPr>
          <w:color w:val="FF0000"/>
        </w:rPr>
      </w:pPr>
      <w:r w:rsidRPr="001C5C4F">
        <w:lastRenderedPageBreak/>
        <w:t>Team training to caregivers would need to be provided and then reported to senior administrative leadership by the interdisciplinary patient safety team to meet the intent of Safe Practice 1.2d.</w:t>
      </w:r>
    </w:p>
    <w:p w14:paraId="34DF4F47" w14:textId="77777777" w:rsidR="00563CD7" w:rsidRDefault="00563CD7" w:rsidP="00563CD7">
      <w:pPr>
        <w:rPr>
          <w:color w:val="FF0000"/>
        </w:rPr>
      </w:pPr>
    </w:p>
    <w:p w14:paraId="75F12C0F" w14:textId="77777777" w:rsidR="00563CD7" w:rsidRDefault="00563CD7" w:rsidP="00AD309C">
      <w:pPr>
        <w:numPr>
          <w:ilvl w:val="0"/>
          <w:numId w:val="410"/>
        </w:numPr>
        <w:rPr>
          <w:b/>
        </w:rPr>
      </w:pPr>
      <w:r>
        <w:rPr>
          <w:b/>
        </w:rPr>
        <w:t>1.2</w:t>
      </w:r>
      <w:bookmarkStart w:id="585" w:name="SP1_2e"/>
      <w:bookmarkEnd w:id="585"/>
      <w:r>
        <w:rPr>
          <w:b/>
        </w:rPr>
        <w:t>e: How can hospitals that have not had any adverse events during the reporting period earn credit for this element?</w:t>
      </w:r>
    </w:p>
    <w:p w14:paraId="4034306A" w14:textId="0AA26045" w:rsidR="00563CD7" w:rsidRDefault="00563CD7" w:rsidP="005859F8">
      <w:pPr>
        <w:ind w:left="720"/>
      </w:pPr>
      <w:r>
        <w:t xml:space="preserve">First, we urge your hospital to reassess its conclusion that no adverse events occurred; that would be highly unusual. Following the reassessment, if no adverse events were identified </w:t>
      </w:r>
      <w:r w:rsidRPr="000C22B5">
        <w:rPr>
          <w:b/>
          <w:u w:val="single"/>
        </w:rPr>
        <w:t>and</w:t>
      </w:r>
      <w:r>
        <w:t xml:space="preserve"> the hospital can document that it has policies in place to report such events when they do occur (to a mandatory or voluntary program), the hospital would meet the intent of this element. Please see Section 7A</w:t>
      </w:r>
      <w:r w:rsidR="00E53C8F">
        <w:t>:</w:t>
      </w:r>
      <w:r>
        <w:t xml:space="preserve"> Never Events for a list of adverse events and components of a Never Events Policy.  </w:t>
      </w:r>
    </w:p>
    <w:p w14:paraId="2D321AD1" w14:textId="77777777" w:rsidR="00563CD7" w:rsidRPr="009C02E2" w:rsidRDefault="00563CD7" w:rsidP="002B2EAA"/>
    <w:p w14:paraId="763B8243" w14:textId="2B961666" w:rsidR="00563CD7" w:rsidRPr="001C5C4F" w:rsidRDefault="00563CD7" w:rsidP="00AD309C">
      <w:pPr>
        <w:numPr>
          <w:ilvl w:val="0"/>
          <w:numId w:val="410"/>
        </w:numPr>
      </w:pPr>
      <w:r w:rsidRPr="001C5C4F">
        <w:rPr>
          <w:b/>
        </w:rPr>
        <w:t>1.</w:t>
      </w:r>
      <w:bookmarkStart w:id="586" w:name="SP1_4a_PersonallyEngaged"/>
      <w:bookmarkEnd w:id="586"/>
      <w:r w:rsidRPr="001C5C4F">
        <w:rPr>
          <w:b/>
        </w:rPr>
        <w:t xml:space="preserve">4a: </w:t>
      </w:r>
      <w:r w:rsidR="00CC7572">
        <w:rPr>
          <w:b/>
        </w:rPr>
        <w:t>What are some examples of h</w:t>
      </w:r>
      <w:r w:rsidRPr="001C5C4F">
        <w:rPr>
          <w:b/>
        </w:rPr>
        <w:t xml:space="preserve">ow </w:t>
      </w:r>
      <w:r w:rsidR="00CC7572">
        <w:rPr>
          <w:b/>
        </w:rPr>
        <w:t xml:space="preserve">the </w:t>
      </w:r>
      <w:r w:rsidRPr="001C5C4F">
        <w:rPr>
          <w:b/>
        </w:rPr>
        <w:t xml:space="preserve">CEO and senior administrative leadership </w:t>
      </w:r>
      <w:r w:rsidR="00CC7572">
        <w:rPr>
          <w:b/>
        </w:rPr>
        <w:t xml:space="preserve">can be </w:t>
      </w:r>
      <w:r w:rsidRPr="001C5C4F">
        <w:rPr>
          <w:b/>
        </w:rPr>
        <w:t>personally engage</w:t>
      </w:r>
      <w:r w:rsidR="00CC7572">
        <w:rPr>
          <w:b/>
        </w:rPr>
        <w:t>d</w:t>
      </w:r>
      <w:r w:rsidRPr="001C5C4F">
        <w:rPr>
          <w:b/>
        </w:rPr>
        <w:t xml:space="preserve"> in reinforcing patient safety improvements? </w:t>
      </w:r>
      <w:r w:rsidRPr="001C5C4F">
        <w:rPr>
          <w:b/>
        </w:rPr>
        <w:br/>
      </w:r>
      <w:bookmarkStart w:id="587" w:name="_Hlk59201197"/>
      <w:r w:rsidRPr="001C5C4F">
        <w:t>Executive walk-arounds are an example of how the CEO and senior administrative leadership can be personally engaged in reinforcing patient safety improvements. The executive walk-arounds provide staff with visibility and access to senior management. They also provide the CEO and senior administrative leadership with the opportunity to address issues and concerns in various departments in real-time</w:t>
      </w:r>
      <w:r w:rsidR="00CC7572">
        <w:t>, rather than in monthly meetings</w:t>
      </w:r>
      <w:r w:rsidRPr="001C5C4F">
        <w:t>. Monthly meetings with staff in a centralized location do not meet the intent of this Safe Practice.</w:t>
      </w:r>
    </w:p>
    <w:p w14:paraId="64014956" w14:textId="77777777" w:rsidR="00563CD7" w:rsidRPr="001C5C4F" w:rsidRDefault="00563CD7" w:rsidP="00563CD7">
      <w:pPr>
        <w:ind w:left="576"/>
      </w:pPr>
    </w:p>
    <w:p w14:paraId="206751F8" w14:textId="5A0CBBBA" w:rsidR="00563CD7" w:rsidRDefault="00563CD7" w:rsidP="005859F8">
      <w:pPr>
        <w:ind w:left="720"/>
      </w:pPr>
      <w:r w:rsidRPr="001C5C4F">
        <w:t>Progress on the implementation of walk-arounds can be measured by tracking the number of walk-</w:t>
      </w:r>
      <w:r w:rsidR="00CC7572">
        <w:t>a</w:t>
      </w:r>
      <w:r w:rsidRPr="001C5C4F">
        <w:t>rounds performed per unit or clinical area for designated time periods as shown in the calendars of the CEO and senior administrative leadership. Some progressive hospitals have tied incentives to regular executive walk-rounds and to reliable exchange of information on clinical unit performance. Some hospitals have established a feedback loop between the CEO and senior administrative leadership and staff to measure the implementation of performance improvement ideas that were generated during executive walk-arounds.</w:t>
      </w:r>
      <w:r>
        <w:t xml:space="preserve"> </w:t>
      </w:r>
    </w:p>
    <w:bookmarkEnd w:id="587"/>
    <w:p w14:paraId="6EF2D3FB" w14:textId="77777777" w:rsidR="00370ADE" w:rsidRDefault="00370ADE" w:rsidP="00CC7572">
      <w:pPr>
        <w:rPr>
          <w:b/>
        </w:rPr>
      </w:pPr>
    </w:p>
    <w:p w14:paraId="4542253B" w14:textId="4FE81EB7" w:rsidR="001241F3" w:rsidRPr="00AB20E3" w:rsidRDefault="00563CD7" w:rsidP="00AB20E3">
      <w:pPr>
        <w:numPr>
          <w:ilvl w:val="0"/>
          <w:numId w:val="410"/>
        </w:numPr>
        <w:rPr>
          <w:b/>
        </w:rPr>
      </w:pPr>
      <w:r w:rsidRPr="00CD2479">
        <w:rPr>
          <w:b/>
        </w:rPr>
        <w:t>1</w:t>
      </w:r>
      <w:bookmarkStart w:id="588" w:name="SP1_4b_ActivelyEngaged"/>
      <w:bookmarkEnd w:id="588"/>
      <w:r w:rsidRPr="00CD2479">
        <w:rPr>
          <w:b/>
        </w:rPr>
        <w:t xml:space="preserve">.4b: What are some examples </w:t>
      </w:r>
      <w:r w:rsidR="00B342C9">
        <w:rPr>
          <w:b/>
        </w:rPr>
        <w:t xml:space="preserve">of </w:t>
      </w:r>
      <w:r w:rsidRPr="00CD2479">
        <w:rPr>
          <w:b/>
        </w:rPr>
        <w:t>how the CEO can actively engage leaders from service lines, midlevel management, clinical leadership</w:t>
      </w:r>
      <w:r w:rsidR="00D23F6F">
        <w:rPr>
          <w:b/>
        </w:rPr>
        <w:t>,</w:t>
      </w:r>
      <w:r w:rsidRPr="00CD2479">
        <w:rPr>
          <w:b/>
        </w:rPr>
        <w:t xml:space="preserve"> and physician leadership in patient safety improvement actions?</w:t>
      </w:r>
      <w:r w:rsidRPr="00CD2479">
        <w:rPr>
          <w:b/>
        </w:rPr>
        <w:br/>
      </w:r>
      <w:r w:rsidRPr="00CD2479">
        <w:t xml:space="preserve">Hospitals can refer to the American College of Healthcare Executives </w:t>
      </w:r>
      <w:hyperlink r:id="rId397" w:history="1">
        <w:r w:rsidRPr="00D36222">
          <w:rPr>
            <w:rStyle w:val="Hyperlink"/>
            <w:color w:val="0000CC"/>
          </w:rPr>
          <w:t>professional policy statement</w:t>
        </w:r>
      </w:hyperlink>
      <w:r w:rsidRPr="00CD2479">
        <w:t xml:space="preserve">, which includes </w:t>
      </w:r>
      <w:r w:rsidR="007F6F14">
        <w:t>two evidence-based resources</w:t>
      </w:r>
      <w:r w:rsidR="001241F3">
        <w:t>:</w:t>
      </w:r>
    </w:p>
    <w:p w14:paraId="0BABA130" w14:textId="6EA82FE4" w:rsidR="00563CD7" w:rsidRPr="00CD2479" w:rsidRDefault="00563CD7" w:rsidP="004C0A75">
      <w:pPr>
        <w:rPr>
          <w:b/>
        </w:rPr>
      </w:pPr>
      <w:r w:rsidRPr="00CD2479">
        <w:t xml:space="preserve"> </w:t>
      </w:r>
    </w:p>
    <w:p w14:paraId="7060E45A" w14:textId="77777777" w:rsidR="00AA3F87" w:rsidRDefault="00AA3F87" w:rsidP="00AA3F87">
      <w:pPr>
        <w:numPr>
          <w:ilvl w:val="0"/>
          <w:numId w:val="463"/>
        </w:numPr>
        <w:ind w:left="1350"/>
        <w:rPr>
          <w:u w:val="single"/>
        </w:rPr>
      </w:pPr>
      <w:hyperlink r:id="rId398" w:anchor="download" w:tgtFrame="_self" w:history="1">
        <w:r w:rsidRPr="00C51EE9">
          <w:rPr>
            <w:rStyle w:val="Hyperlink"/>
          </w:rPr>
          <w:t>Leading a Culture of Safety: A Blueprint for Success</w:t>
        </w:r>
      </w:hyperlink>
    </w:p>
    <w:p w14:paraId="7271EC44" w14:textId="5B8DF79B" w:rsidR="00AA3F87" w:rsidRPr="00C51EE9" w:rsidRDefault="00AA3F87" w:rsidP="00C51EE9">
      <w:pPr>
        <w:numPr>
          <w:ilvl w:val="0"/>
          <w:numId w:val="463"/>
        </w:numPr>
        <w:ind w:left="1350"/>
        <w:rPr>
          <w:u w:val="single"/>
        </w:rPr>
      </w:pPr>
      <w:hyperlink r:id="rId399" w:tgtFrame="_self" w:history="1">
        <w:r w:rsidRPr="00C51EE9">
          <w:rPr>
            <w:rStyle w:val="Hyperlink"/>
          </w:rPr>
          <w:t>Safer Together: A National Plan to Advance Patient Safety</w:t>
        </w:r>
      </w:hyperlink>
    </w:p>
    <w:p w14:paraId="447FCCD8" w14:textId="77777777" w:rsidR="004C0A75" w:rsidRPr="00CD2479" w:rsidRDefault="004C0A75" w:rsidP="00563CD7">
      <w:pPr>
        <w:ind w:left="576"/>
        <w:rPr>
          <w:b/>
        </w:rPr>
      </w:pPr>
    </w:p>
    <w:p w14:paraId="628A0F11" w14:textId="77777777" w:rsidR="00563CD7" w:rsidRPr="008B1E7E" w:rsidRDefault="00563CD7" w:rsidP="00AD309C">
      <w:pPr>
        <w:numPr>
          <w:ilvl w:val="0"/>
          <w:numId w:val="410"/>
        </w:numPr>
        <w:tabs>
          <w:tab w:val="num" w:pos="576"/>
        </w:tabs>
      </w:pPr>
      <w:r w:rsidRPr="008B1E7E">
        <w:rPr>
          <w:b/>
        </w:rPr>
        <w:t>1.</w:t>
      </w:r>
      <w:bookmarkStart w:id="589" w:name="SP1_4c_StructureforInput"/>
      <w:bookmarkEnd w:id="589"/>
      <w:r w:rsidRPr="008B1E7E">
        <w:rPr>
          <w:b/>
        </w:rPr>
        <w:t>4c:</w:t>
      </w:r>
      <w:r w:rsidRPr="008B1E7E">
        <w:t xml:space="preserve"> </w:t>
      </w:r>
      <w:r w:rsidRPr="008B1E7E">
        <w:rPr>
          <w:b/>
        </w:rPr>
        <w:t>Wh</w:t>
      </w:r>
      <w:r>
        <w:rPr>
          <w:b/>
        </w:rPr>
        <w:t xml:space="preserve">at are some examples of how hospitals can </w:t>
      </w:r>
      <w:r w:rsidRPr="008B1E7E">
        <w:rPr>
          <w:b/>
        </w:rPr>
        <w:t>engage the medical staff as direct c</w:t>
      </w:r>
      <w:r>
        <w:rPr>
          <w:b/>
        </w:rPr>
        <w:t>ontributors to the</w:t>
      </w:r>
      <w:r w:rsidRPr="008B1E7E">
        <w:rPr>
          <w:b/>
        </w:rPr>
        <w:t xml:space="preserve"> patient safety program?</w:t>
      </w:r>
      <w:r w:rsidRPr="008B1E7E">
        <w:rPr>
          <w:b/>
        </w:rPr>
        <w:br/>
      </w:r>
      <w:r w:rsidRPr="008B1E7E">
        <w:t>Examples may include:</w:t>
      </w:r>
    </w:p>
    <w:p w14:paraId="6570F69C" w14:textId="77777777" w:rsidR="00563CD7" w:rsidRPr="008B1E7E" w:rsidRDefault="00563CD7" w:rsidP="00AD309C">
      <w:pPr>
        <w:pStyle w:val="ListParagraph"/>
        <w:numPr>
          <w:ilvl w:val="0"/>
          <w:numId w:val="411"/>
        </w:numPr>
        <w:tabs>
          <w:tab w:val="left" w:pos="270"/>
          <w:tab w:val="left" w:pos="4410"/>
        </w:tabs>
      </w:pPr>
      <w:r w:rsidRPr="008B1E7E">
        <w:t xml:space="preserve">Senior leadership requests time on Medical Staff Department standing agendas to provide patient safety updates and elicit direct feedback on specific areas as well as </w:t>
      </w:r>
      <w:r w:rsidR="00607C6B">
        <w:t>“</w:t>
      </w:r>
      <w:r w:rsidRPr="008B1E7E">
        <w:t>what keeps the medical staff up at night.”</w:t>
      </w:r>
    </w:p>
    <w:p w14:paraId="39B1AD0B" w14:textId="77777777" w:rsidR="00563CD7" w:rsidRPr="008B1E7E" w:rsidRDefault="00563CD7" w:rsidP="00AD309C">
      <w:pPr>
        <w:pStyle w:val="ListParagraph"/>
        <w:numPr>
          <w:ilvl w:val="0"/>
          <w:numId w:val="411"/>
        </w:numPr>
        <w:tabs>
          <w:tab w:val="left" w:pos="270"/>
          <w:tab w:val="left" w:pos="4410"/>
        </w:tabs>
      </w:pPr>
      <w:r w:rsidRPr="008B1E7E">
        <w:t xml:space="preserve">Medical staff </w:t>
      </w:r>
      <w:r w:rsidRPr="008306A5">
        <w:rPr>
          <w:noProof/>
        </w:rPr>
        <w:t>are</w:t>
      </w:r>
      <w:r w:rsidRPr="008B1E7E">
        <w:t xml:space="preserve"> invited and encouraged to be active participants </w:t>
      </w:r>
      <w:r w:rsidR="00B342C9">
        <w:rPr>
          <w:noProof/>
        </w:rPr>
        <w:t>in</w:t>
      </w:r>
      <w:r w:rsidRPr="008B1E7E">
        <w:t xml:space="preserve"> clinical unit meetings where patient safety is addressed. </w:t>
      </w:r>
    </w:p>
    <w:p w14:paraId="704847D3" w14:textId="77777777" w:rsidR="00563CD7" w:rsidRPr="00F9543A" w:rsidRDefault="00563CD7" w:rsidP="00AD309C">
      <w:pPr>
        <w:pStyle w:val="ListParagraph"/>
        <w:numPr>
          <w:ilvl w:val="0"/>
          <w:numId w:val="411"/>
        </w:numPr>
        <w:tabs>
          <w:tab w:val="left" w:pos="270"/>
          <w:tab w:val="left" w:pos="4410"/>
        </w:tabs>
        <w:rPr>
          <w:b/>
        </w:rPr>
      </w:pPr>
      <w:r w:rsidRPr="008B1E7E">
        <w:t xml:space="preserve">The board appoints a community-based active medical staff member to represent the organization on a regional patient safety initiative. </w:t>
      </w:r>
      <w:r w:rsidRPr="00F9543A">
        <w:rPr>
          <w:b/>
        </w:rPr>
        <w:br/>
      </w:r>
    </w:p>
    <w:p w14:paraId="1FF858C6" w14:textId="3141811F" w:rsidR="00563CD7" w:rsidRPr="00E3501E" w:rsidRDefault="00563CD7" w:rsidP="00AD309C">
      <w:pPr>
        <w:numPr>
          <w:ilvl w:val="0"/>
          <w:numId w:val="410"/>
        </w:numPr>
      </w:pPr>
      <w:r w:rsidRPr="008B1E7E">
        <w:rPr>
          <w:rFonts w:cs="Arial"/>
          <w:b/>
        </w:rPr>
        <w:t>1.</w:t>
      </w:r>
      <w:bookmarkStart w:id="590" w:name="SP1_4c_InformalMedicalLeaders"/>
      <w:bookmarkEnd w:id="590"/>
      <w:r>
        <w:rPr>
          <w:rFonts w:cs="Arial"/>
          <w:b/>
        </w:rPr>
        <w:t>4c: In a hospital</w:t>
      </w:r>
      <w:r w:rsidRPr="008B1E7E">
        <w:rPr>
          <w:rFonts w:cs="Arial"/>
          <w:b/>
        </w:rPr>
        <w:t xml:space="preserve"> where all medical staff is employed, </w:t>
      </w:r>
      <w:r>
        <w:rPr>
          <w:rFonts w:cs="Arial"/>
          <w:b/>
        </w:rPr>
        <w:t>h</w:t>
      </w:r>
      <w:r w:rsidRPr="008B1E7E">
        <w:rPr>
          <w:rFonts w:cs="Arial"/>
          <w:b/>
        </w:rPr>
        <w:t>ow do we answer this question?</w:t>
      </w:r>
      <w:r w:rsidRPr="008B1E7E">
        <w:rPr>
          <w:rFonts w:cs="Arial"/>
          <w:b/>
        </w:rPr>
        <w:br/>
      </w:r>
      <w:r w:rsidRPr="0022345D">
        <w:rPr>
          <w:rFonts w:cs="Arial"/>
        </w:rPr>
        <w:t xml:space="preserve">The </w:t>
      </w:r>
      <w:r>
        <w:rPr>
          <w:rFonts w:cs="Arial"/>
        </w:rPr>
        <w:t>intent of this element is to ensure that physicians and medical staff have the opportunity to provide input on the hospital’s patient safety plan because o</w:t>
      </w:r>
      <w:r w:rsidRPr="0022345D">
        <w:rPr>
          <w:rFonts w:cs="Arial"/>
        </w:rPr>
        <w:t xml:space="preserve">ften they do not have a significant position in the hierarchal structure of an </w:t>
      </w:r>
      <w:r w:rsidR="00FF09F6" w:rsidRPr="0022345D">
        <w:rPr>
          <w:rFonts w:cs="Arial"/>
        </w:rPr>
        <w:t>organization</w:t>
      </w:r>
      <w:r w:rsidR="00FF09F6">
        <w:rPr>
          <w:rFonts w:cs="Arial"/>
        </w:rPr>
        <w:t xml:space="preserve"> but</w:t>
      </w:r>
      <w:r w:rsidRPr="0022345D">
        <w:rPr>
          <w:rFonts w:cs="Arial"/>
        </w:rPr>
        <w:t xml:space="preserve"> carry a great deal of influence over how the organization is run. Thus, they are informal leaders who can be change agents and “accelerators or barriers for improvement.” If the organization's </w:t>
      </w:r>
      <w:r>
        <w:rPr>
          <w:rFonts w:cs="Arial"/>
        </w:rPr>
        <w:t xml:space="preserve">board and senior administrative leadership </w:t>
      </w:r>
      <w:r w:rsidRPr="0022345D">
        <w:rPr>
          <w:rFonts w:cs="Arial"/>
        </w:rPr>
        <w:t>seek and document inp</w:t>
      </w:r>
      <w:r>
        <w:rPr>
          <w:rFonts w:cs="Arial"/>
        </w:rPr>
        <w:t xml:space="preserve">ut from physicians and medical staff </w:t>
      </w:r>
      <w:r w:rsidRPr="0022345D">
        <w:rPr>
          <w:rFonts w:cs="Arial"/>
        </w:rPr>
        <w:t>regarding patient safety programs,</w:t>
      </w:r>
      <w:r>
        <w:rPr>
          <w:rFonts w:cs="Arial"/>
        </w:rPr>
        <w:t xml:space="preserve"> the intent of this element has been met. </w:t>
      </w:r>
    </w:p>
    <w:p w14:paraId="157265CB" w14:textId="77777777" w:rsidR="00563CD7" w:rsidRDefault="00563CD7" w:rsidP="00563CD7"/>
    <w:p w14:paraId="60B7E99F" w14:textId="10A5E58C" w:rsidR="00563CD7" w:rsidRPr="003F7FFA" w:rsidRDefault="0053750F" w:rsidP="00AB5B80">
      <w:pPr>
        <w:pStyle w:val="Heading3"/>
      </w:pPr>
      <w:bookmarkStart w:id="591" w:name="_Toc225877801"/>
      <w:r>
        <w:t xml:space="preserve">NQF </w:t>
      </w:r>
      <w:r w:rsidR="00AD026E">
        <w:t xml:space="preserve">Safe Practice </w:t>
      </w:r>
      <w:r w:rsidR="00DB7F48">
        <w:t>#</w:t>
      </w:r>
      <w:r w:rsidR="00563CD7" w:rsidRPr="003F7FFA">
        <w:t xml:space="preserve">2 </w:t>
      </w:r>
      <w:r w:rsidR="00211AF2">
        <w:t xml:space="preserve">– </w:t>
      </w:r>
      <w:r w:rsidR="00563CD7" w:rsidRPr="003F7FFA">
        <w:t>Culture Measurement, Feedback, and Intervention</w:t>
      </w:r>
      <w:r w:rsidR="00B078B4">
        <w:t xml:space="preserve"> FAQs</w:t>
      </w:r>
      <w:bookmarkEnd w:id="591"/>
    </w:p>
    <w:p w14:paraId="0A8A608A" w14:textId="77777777" w:rsidR="00563CD7" w:rsidRPr="008C51CB" w:rsidRDefault="00563CD7" w:rsidP="00563CD7">
      <w:pPr>
        <w:pStyle w:val="Heading44"/>
        <w:rPr>
          <w:sz w:val="20"/>
        </w:rPr>
      </w:pPr>
    </w:p>
    <w:p w14:paraId="79A6578F" w14:textId="4070A279" w:rsidR="00AD026E" w:rsidRPr="00DE70DC" w:rsidRDefault="00AD026E" w:rsidP="00AD309C">
      <w:pPr>
        <w:pStyle w:val="ListParagraph"/>
        <w:numPr>
          <w:ilvl w:val="0"/>
          <w:numId w:val="410"/>
        </w:numPr>
      </w:pPr>
      <w:bookmarkStart w:id="592" w:name="_Hlk36416962"/>
      <w:r w:rsidRPr="00DE70DC">
        <w:rPr>
          <w:b/>
        </w:rPr>
        <w:t>W</w:t>
      </w:r>
      <w:r w:rsidR="000039B5" w:rsidRPr="00DE70DC">
        <w:rPr>
          <w:b/>
        </w:rPr>
        <w:t xml:space="preserve">hy </w:t>
      </w:r>
      <w:r w:rsidRPr="00DE70DC">
        <w:rPr>
          <w:b/>
        </w:rPr>
        <w:t xml:space="preserve">are two different reporting periods used in </w:t>
      </w:r>
      <w:r w:rsidR="0053750F" w:rsidRPr="0002601E">
        <w:rPr>
          <w:b/>
          <w:bCs/>
          <w:lang w:eastAsia="ja-JP"/>
        </w:rPr>
        <w:t xml:space="preserve">NQF </w:t>
      </w:r>
      <w:r w:rsidRPr="00DE70DC">
        <w:rPr>
          <w:b/>
        </w:rPr>
        <w:t xml:space="preserve">Safe Practice </w:t>
      </w:r>
      <w:r w:rsidR="00DB7F48">
        <w:rPr>
          <w:b/>
        </w:rPr>
        <w:t>#</w:t>
      </w:r>
      <w:r w:rsidRPr="00DE70DC">
        <w:rPr>
          <w:b/>
        </w:rPr>
        <w:t xml:space="preserve">2? </w:t>
      </w:r>
    </w:p>
    <w:p w14:paraId="7D7A0973" w14:textId="4CB46B00" w:rsidR="000039B5" w:rsidRPr="000D28B0" w:rsidRDefault="00AD026E" w:rsidP="00F9543A">
      <w:pPr>
        <w:pStyle w:val="ListParagraph"/>
      </w:pPr>
      <w:r w:rsidRPr="00DE70DC">
        <w:t xml:space="preserve">Within the </w:t>
      </w:r>
      <w:r w:rsidRPr="00DE70DC">
        <w:rPr>
          <w:i/>
        </w:rPr>
        <w:t xml:space="preserve">Awareness and Accountability </w:t>
      </w:r>
      <w:r w:rsidRPr="00DE70DC">
        <w:t>elements</w:t>
      </w:r>
      <w:r w:rsidR="000D28B0" w:rsidRPr="00DE70DC">
        <w:t>,</w:t>
      </w:r>
      <w:r w:rsidRPr="00DE70DC">
        <w:t xml:space="preserve"> a </w:t>
      </w:r>
      <w:r w:rsidR="00136451">
        <w:t>24</w:t>
      </w:r>
      <w:r w:rsidR="000D28B0" w:rsidRPr="00DE70DC">
        <w:t>-</w:t>
      </w:r>
      <w:r w:rsidR="000039B5" w:rsidRPr="00DE70DC">
        <w:t>month reporting period</w:t>
      </w:r>
      <w:r w:rsidR="007D1EC5" w:rsidRPr="00DE70DC">
        <w:rPr>
          <w:bCs/>
        </w:rPr>
        <w:t xml:space="preserve"> </w:t>
      </w:r>
      <w:r w:rsidRPr="00DE70DC">
        <w:t>is used</w:t>
      </w:r>
      <w:r w:rsidR="000039B5" w:rsidRPr="00DE70DC">
        <w:t xml:space="preserve"> because these elements are related to conducting the culture of safety survey, which is typically conducted every other year.</w:t>
      </w:r>
      <w:r w:rsidR="000D28B0" w:rsidRPr="00DE70DC">
        <w:t xml:space="preserve"> Within the </w:t>
      </w:r>
      <w:r w:rsidR="000D28B0" w:rsidRPr="00DE70DC">
        <w:rPr>
          <w:i/>
        </w:rPr>
        <w:t xml:space="preserve">Ability and Action </w:t>
      </w:r>
      <w:r w:rsidR="000D28B0" w:rsidRPr="00DE70DC">
        <w:t>elements</w:t>
      </w:r>
      <w:r w:rsidR="00B342C9" w:rsidRPr="00DE70DC">
        <w:t>,</w:t>
      </w:r>
      <w:r w:rsidR="000D28B0" w:rsidRPr="00DE70DC">
        <w:t xml:space="preserve"> a </w:t>
      </w:r>
      <w:r w:rsidR="00136451">
        <w:t>12</w:t>
      </w:r>
      <w:r w:rsidR="000D28B0" w:rsidRPr="00DE70DC">
        <w:t xml:space="preserve">-month </w:t>
      </w:r>
      <w:r w:rsidR="000039B5" w:rsidRPr="00DE70DC">
        <w:t>reporting period</w:t>
      </w:r>
      <w:r w:rsidR="002363D1" w:rsidRPr="00DE70DC">
        <w:t xml:space="preserve"> </w:t>
      </w:r>
      <w:r w:rsidR="000D28B0" w:rsidRPr="00DE70DC">
        <w:t>is used</w:t>
      </w:r>
      <w:r w:rsidR="000039B5" w:rsidRPr="00DE70DC">
        <w:t xml:space="preserve"> because these practices are related to follow-up activities that would be completed</w:t>
      </w:r>
      <w:r w:rsidR="000D28B0" w:rsidRPr="00DE70DC">
        <w:t xml:space="preserve"> after the results from the culture of safety survey are available.</w:t>
      </w:r>
      <w:r w:rsidR="000D28B0" w:rsidRPr="000D28B0">
        <w:t xml:space="preserve"> </w:t>
      </w:r>
    </w:p>
    <w:bookmarkEnd w:id="592"/>
    <w:p w14:paraId="421F2967" w14:textId="77777777" w:rsidR="008D611A" w:rsidRPr="000039B5" w:rsidRDefault="008D611A" w:rsidP="000039B5">
      <w:pPr>
        <w:rPr>
          <w:b/>
          <w:color w:val="000080"/>
        </w:rPr>
      </w:pPr>
    </w:p>
    <w:p w14:paraId="37C2678F" w14:textId="2D691159" w:rsidR="001A1BD2" w:rsidRPr="001A1BD2" w:rsidRDefault="00563CD7" w:rsidP="00AD309C">
      <w:pPr>
        <w:numPr>
          <w:ilvl w:val="0"/>
          <w:numId w:val="410"/>
        </w:numPr>
        <w:tabs>
          <w:tab w:val="num" w:pos="576"/>
        </w:tabs>
        <w:rPr>
          <w:b/>
          <w:color w:val="000080"/>
        </w:rPr>
      </w:pPr>
      <w:r w:rsidRPr="008B1E7E">
        <w:rPr>
          <w:b/>
        </w:rPr>
        <w:t>2.1</w:t>
      </w:r>
      <w:bookmarkStart w:id="593" w:name="SP2_1a_CultureSurvey"/>
      <w:bookmarkEnd w:id="593"/>
      <w:r w:rsidRPr="008B1E7E">
        <w:rPr>
          <w:b/>
        </w:rPr>
        <w:t xml:space="preserve">a: What </w:t>
      </w:r>
      <w:r>
        <w:rPr>
          <w:b/>
        </w:rPr>
        <w:t>are the requirements to quali</w:t>
      </w:r>
      <w:r w:rsidR="00D23F6F">
        <w:rPr>
          <w:b/>
        </w:rPr>
        <w:t>f</w:t>
      </w:r>
      <w:r>
        <w:rPr>
          <w:b/>
        </w:rPr>
        <w:t>y as a “culture of safety survey?”</w:t>
      </w:r>
      <w:r w:rsidRPr="008B1E7E">
        <w:rPr>
          <w:b/>
        </w:rPr>
        <w:br/>
      </w:r>
      <w:r w:rsidR="00C47231">
        <w:t>Several</w:t>
      </w:r>
      <w:r w:rsidRPr="008B1E7E">
        <w:t xml:space="preserve"> surveys are readily available that specifically address culture, safety climate, and teamwork. These surveys incorporate all the additional specifications as outlined in NQF Safe Practice </w:t>
      </w:r>
      <w:r w:rsidR="00DB7F48">
        <w:t>#</w:t>
      </w:r>
      <w:r w:rsidRPr="008B1E7E">
        <w:t xml:space="preserve">2 (see 2010 NQF Safe Practice Report). </w:t>
      </w:r>
    </w:p>
    <w:p w14:paraId="32CE4CF4" w14:textId="3726B6E4" w:rsidR="001A1BD2" w:rsidRDefault="001A1BD2" w:rsidP="00DD05E6">
      <w:pPr>
        <w:ind w:left="720"/>
        <w:rPr>
          <w:b/>
          <w:color w:val="000080"/>
        </w:rPr>
      </w:pPr>
    </w:p>
    <w:p w14:paraId="5470090D" w14:textId="5EB822F6" w:rsidR="001A1BD2" w:rsidRDefault="001A1BD2" w:rsidP="00DD05E6">
      <w:pPr>
        <w:pStyle w:val="EndnoteText"/>
        <w:ind w:left="720"/>
        <w:rPr>
          <w:rFonts w:cs="Arial"/>
        </w:rPr>
      </w:pPr>
      <w:r>
        <w:rPr>
          <w:rFonts w:cs="Arial"/>
        </w:rPr>
        <w:t xml:space="preserve">Hospitals that do not use a nationally recognized culture of safety tool must ensure that their culture </w:t>
      </w:r>
      <w:r w:rsidR="003B6E90">
        <w:rPr>
          <w:rFonts w:cs="Arial"/>
        </w:rPr>
        <w:t xml:space="preserve">of safety </w:t>
      </w:r>
      <w:r>
        <w:rPr>
          <w:rFonts w:cs="Arial"/>
        </w:rPr>
        <w:t xml:space="preserve">survey meets Leapfrog’s guidelines for what constitutes a valid, consistent, and reliable survey tool. These guidelines were developed in consultation with Leapfrog’s Culture of Safety Expert Panel. The guidelines can be found on the </w:t>
      </w:r>
      <w:hyperlink r:id="rId400" w:history="1">
        <w:r w:rsidRPr="00343EC0">
          <w:rPr>
            <w:rStyle w:val="Hyperlink"/>
            <w:rFonts w:cs="Arial"/>
          </w:rPr>
          <w:t>Survey and CPOE Materials webpage</w:t>
        </w:r>
      </w:hyperlink>
      <w:r>
        <w:rPr>
          <w:rFonts w:cs="Arial"/>
        </w:rPr>
        <w:t xml:space="preserve"> under supporting materials for Section 6. </w:t>
      </w:r>
    </w:p>
    <w:p w14:paraId="0EB308BB" w14:textId="77777777" w:rsidR="0098703D" w:rsidRPr="0098703D" w:rsidRDefault="0098703D" w:rsidP="00DD05E6">
      <w:pPr>
        <w:pStyle w:val="EndnoteText"/>
        <w:ind w:left="720"/>
        <w:rPr>
          <w:rFonts w:cs="Arial"/>
        </w:rPr>
      </w:pPr>
    </w:p>
    <w:p w14:paraId="2B6996D7" w14:textId="693B3C51" w:rsidR="0098703D" w:rsidRPr="0098703D" w:rsidRDefault="0098703D" w:rsidP="00DD05E6">
      <w:pPr>
        <w:pStyle w:val="EndnoteText"/>
        <w:ind w:left="720"/>
        <w:rPr>
          <w:rFonts w:cs="Arial"/>
        </w:rPr>
      </w:pPr>
      <w:r w:rsidRPr="0098703D">
        <w:rPr>
          <w:rFonts w:cs="Arial"/>
        </w:rPr>
        <w:t>As a reminder, the AHRQ Hospital Survey on Patient Safety Culture Version 1.0 can no longer be used for the purposes of reporting on the 2026 Leapfrog Hospital Survey. Only Version 2.0 may be used. Similarly, SCORE can no longer be used for the purposes of reporting on the 2026 Leapfrog Hospital Survey. Only SCORE II may be used.</w:t>
      </w:r>
    </w:p>
    <w:p w14:paraId="45B88FC3" w14:textId="77777777" w:rsidR="001A1BD2" w:rsidRPr="0098703D" w:rsidRDefault="001A1BD2" w:rsidP="0098703D">
      <w:pPr>
        <w:ind w:left="720"/>
        <w:rPr>
          <w:b/>
          <w:color w:val="000080"/>
        </w:rPr>
      </w:pPr>
    </w:p>
    <w:p w14:paraId="439D0F01" w14:textId="5B2D1592" w:rsidR="00563CD7" w:rsidRPr="0098703D" w:rsidRDefault="00563CD7" w:rsidP="00DD05E6">
      <w:pPr>
        <w:ind w:left="720"/>
      </w:pPr>
      <w:r w:rsidRPr="0098703D">
        <w:t xml:space="preserve">A general employee satisfaction survey that has a small component of the survey addressing organizational culture does not qualify. </w:t>
      </w:r>
    </w:p>
    <w:p w14:paraId="171A901C" w14:textId="77777777" w:rsidR="00563CD7" w:rsidRPr="000D28B0" w:rsidRDefault="00563CD7" w:rsidP="00370ADE">
      <w:pPr>
        <w:rPr>
          <w:b/>
        </w:rPr>
      </w:pPr>
    </w:p>
    <w:p w14:paraId="56792CB1" w14:textId="7DE8E403" w:rsidR="00370ADE" w:rsidRPr="001C5C4F" w:rsidRDefault="00370ADE" w:rsidP="00AD309C">
      <w:pPr>
        <w:numPr>
          <w:ilvl w:val="0"/>
          <w:numId w:val="410"/>
        </w:numPr>
        <w:rPr>
          <w:b/>
        </w:rPr>
      </w:pPr>
      <w:r w:rsidRPr="001C5C4F">
        <w:rPr>
          <w:b/>
        </w:rPr>
        <w:t>2.1a Can an employee engagement survey and nationally recognized culture of safety tool be conducted at the same time?</w:t>
      </w:r>
    </w:p>
    <w:p w14:paraId="55181715" w14:textId="76AD04BC" w:rsidR="00370ADE" w:rsidRPr="00370ADE" w:rsidRDefault="00BE764C" w:rsidP="00DD05E6">
      <w:pPr>
        <w:pStyle w:val="ListParagraph"/>
        <w:ind w:left="576" w:firstLine="144"/>
        <w:rPr>
          <w:b/>
          <w:color w:val="000080"/>
        </w:rPr>
      </w:pPr>
      <w:r w:rsidRPr="001C5C4F">
        <w:t xml:space="preserve">Yes, </w:t>
      </w:r>
      <w:r w:rsidR="001C5C4F" w:rsidRPr="001C5C4F">
        <w:t>if</w:t>
      </w:r>
      <w:r w:rsidR="00370ADE" w:rsidRPr="001C5C4F">
        <w:t xml:space="preserve"> the culture of safety tool </w:t>
      </w:r>
      <w:r w:rsidR="00370ADE" w:rsidRPr="001C5C4F">
        <w:rPr>
          <w:rFonts w:cs="Arial"/>
        </w:rPr>
        <w:t>is unaltered and administered in its entirety.</w:t>
      </w:r>
    </w:p>
    <w:p w14:paraId="224A6DE4" w14:textId="77777777" w:rsidR="00370ADE" w:rsidRDefault="00370ADE" w:rsidP="00370ADE">
      <w:pPr>
        <w:ind w:left="576"/>
        <w:rPr>
          <w:b/>
        </w:rPr>
      </w:pPr>
    </w:p>
    <w:p w14:paraId="71174561" w14:textId="0B17443F" w:rsidR="002D34BD" w:rsidRPr="000D28B0" w:rsidRDefault="002D34BD" w:rsidP="00AD309C">
      <w:pPr>
        <w:numPr>
          <w:ilvl w:val="0"/>
          <w:numId w:val="410"/>
        </w:numPr>
        <w:rPr>
          <w:b/>
        </w:rPr>
      </w:pPr>
      <w:r w:rsidRPr="000D28B0">
        <w:rPr>
          <w:b/>
        </w:rPr>
        <w:t xml:space="preserve">2.1a: What does “50% of the aggregated care delivered to patients within the </w:t>
      </w:r>
      <w:r w:rsidR="00261D05">
        <w:rPr>
          <w:b/>
        </w:rPr>
        <w:t>hospital</w:t>
      </w:r>
      <w:r w:rsidRPr="000D28B0">
        <w:rPr>
          <w:b/>
        </w:rPr>
        <w:t>” mean?</w:t>
      </w:r>
    </w:p>
    <w:p w14:paraId="24CD97D2" w14:textId="77777777" w:rsidR="002D34BD" w:rsidRPr="000D28B0" w:rsidRDefault="000D28B0" w:rsidP="00DD05E6">
      <w:pPr>
        <w:ind w:left="720"/>
      </w:pPr>
      <w:r w:rsidRPr="000D28B0">
        <w:t xml:space="preserve">As described on page </w:t>
      </w:r>
      <w:r w:rsidR="002D34BD" w:rsidRPr="000D28B0">
        <w:t xml:space="preserve">88 of the NQF Safe Practices for Better Healthcare Report, </w:t>
      </w:r>
      <w:r w:rsidRPr="000D28B0">
        <w:t>“</w:t>
      </w:r>
      <w:r w:rsidR="002D34BD" w:rsidRPr="000D28B0">
        <w:t>a census of units or service areas that in aggregate deliver care to more than 50 percent of the patients receiving care should be surveyed, service lines or units where there is a high patient safety risk should be measured, and there should be a valid sample to allow for unit-level analysis and facilitate improvement.</w:t>
      </w:r>
      <w:r w:rsidRPr="000D28B0">
        <w:t>”</w:t>
      </w:r>
    </w:p>
    <w:p w14:paraId="7E46173F" w14:textId="77777777" w:rsidR="002D34BD" w:rsidRPr="002D34BD" w:rsidRDefault="002D34BD" w:rsidP="002D34BD">
      <w:pPr>
        <w:ind w:left="576"/>
        <w:rPr>
          <w:color w:val="000080"/>
        </w:rPr>
      </w:pPr>
    </w:p>
    <w:p w14:paraId="61F6C26C" w14:textId="77777777" w:rsidR="00563CD7" w:rsidRPr="008B1E7E" w:rsidRDefault="00563CD7" w:rsidP="00AD309C">
      <w:pPr>
        <w:numPr>
          <w:ilvl w:val="0"/>
          <w:numId w:val="410"/>
        </w:numPr>
        <w:tabs>
          <w:tab w:val="num" w:pos="576"/>
        </w:tabs>
        <w:rPr>
          <w:b/>
          <w:color w:val="000080"/>
        </w:rPr>
      </w:pPr>
      <w:r w:rsidRPr="008B1E7E">
        <w:rPr>
          <w:b/>
        </w:rPr>
        <w:t>2.</w:t>
      </w:r>
      <w:bookmarkStart w:id="594" w:name="SP2_1b"/>
      <w:bookmarkEnd w:id="594"/>
      <w:r w:rsidRPr="008B1E7E">
        <w:rPr>
          <w:b/>
        </w:rPr>
        <w:t>1b: For reporting individual unit level results, what is th</w:t>
      </w:r>
      <w:r>
        <w:rPr>
          <w:b/>
        </w:rPr>
        <w:t>e minimum number of responses a hospital</w:t>
      </w:r>
      <w:r w:rsidRPr="008B1E7E">
        <w:rPr>
          <w:b/>
        </w:rPr>
        <w:t xml:space="preserve"> should have?</w:t>
      </w:r>
    </w:p>
    <w:p w14:paraId="528D90DC" w14:textId="77777777" w:rsidR="00563CD7" w:rsidRPr="008B1E7E" w:rsidRDefault="00563CD7" w:rsidP="00DD05E6">
      <w:pPr>
        <w:ind w:left="720"/>
      </w:pPr>
      <w:r>
        <w:t xml:space="preserve">Most major </w:t>
      </w:r>
      <w:r w:rsidRPr="008B1E7E">
        <w:t>vendors use a threshold of 5 or more re</w:t>
      </w:r>
      <w:r>
        <w:t xml:space="preserve">sponses and a 40% response rate. </w:t>
      </w:r>
      <w:r w:rsidRPr="008B1E7E">
        <w:t>For larger units, a lower response rate may be acceptable. If a unit does not meet these thresholds, your hospital could</w:t>
      </w:r>
      <w:r>
        <w:t xml:space="preserve"> aggregate the results of “like”</w:t>
      </w:r>
      <w:r w:rsidRPr="008B1E7E">
        <w:t xml:space="preserve"> units together (e.g</w:t>
      </w:r>
      <w:r>
        <w:t>., med</w:t>
      </w:r>
      <w:r w:rsidR="000C2775">
        <w:t>ical</w:t>
      </w:r>
      <w:r>
        <w:t>/surg</w:t>
      </w:r>
      <w:r w:rsidR="000C2775">
        <w:t>ical</w:t>
      </w:r>
      <w:r>
        <w:t xml:space="preserve"> units, ICUs, ORs). </w:t>
      </w:r>
      <w:r w:rsidRPr="008B1E7E">
        <w:t>Hospitals should not combin</w:t>
      </w:r>
      <w:r>
        <w:t>e results across “unlike” units.</w:t>
      </w:r>
    </w:p>
    <w:p w14:paraId="1BFB29C8" w14:textId="77777777" w:rsidR="00563CD7" w:rsidRPr="008B1E7E" w:rsidRDefault="00563CD7" w:rsidP="00563CD7">
      <w:pPr>
        <w:ind w:left="576"/>
        <w:rPr>
          <w:color w:val="000080"/>
        </w:rPr>
      </w:pPr>
    </w:p>
    <w:p w14:paraId="0D7E99AD" w14:textId="77777777" w:rsidR="00563CD7" w:rsidRDefault="00563CD7" w:rsidP="00AD309C">
      <w:pPr>
        <w:pStyle w:val="ListParagraph"/>
        <w:numPr>
          <w:ilvl w:val="0"/>
          <w:numId w:val="410"/>
        </w:numPr>
        <w:rPr>
          <w:b/>
        </w:rPr>
      </w:pPr>
      <w:r w:rsidRPr="002E5696">
        <w:rPr>
          <w:b/>
        </w:rPr>
        <w:t>2.</w:t>
      </w:r>
      <w:bookmarkStart w:id="595" w:name="SP2_1c"/>
      <w:bookmarkEnd w:id="595"/>
      <w:r w:rsidRPr="002E5696">
        <w:rPr>
          <w:b/>
        </w:rPr>
        <w:t>1c: Wha</w:t>
      </w:r>
      <w:r>
        <w:rPr>
          <w:b/>
        </w:rPr>
        <w:t>t is meant by “like” hospitals? Can hospitals</w:t>
      </w:r>
      <w:r w:rsidRPr="002E5696">
        <w:rPr>
          <w:b/>
        </w:rPr>
        <w:t xml:space="preserve"> benchmark against </w:t>
      </w:r>
      <w:r>
        <w:rPr>
          <w:b/>
        </w:rPr>
        <w:t>those within the same network or system</w:t>
      </w:r>
      <w:r w:rsidRPr="002E5696">
        <w:rPr>
          <w:b/>
        </w:rPr>
        <w:t>?</w:t>
      </w:r>
      <w:r>
        <w:rPr>
          <w:b/>
        </w:rPr>
        <w:t xml:space="preserve"> How would a pediatric hospital benchmark against other pediatric hospitals?</w:t>
      </w:r>
    </w:p>
    <w:p w14:paraId="4CDA4848" w14:textId="77777777" w:rsidR="00563CD7" w:rsidRDefault="00563CD7" w:rsidP="00DD05E6">
      <w:pPr>
        <w:pStyle w:val="ListParagraph"/>
      </w:pPr>
      <w:r>
        <w:t>Hospitals should benchmark their results against hospitals with similar demographics, such as hospital type, number of beds, number of admissions, urban/rural designation, etc. Hospitals in systems or healthcare networks should benchmark throughout the health system, but not within the same region.</w:t>
      </w:r>
    </w:p>
    <w:p w14:paraId="6D13C21A" w14:textId="77777777" w:rsidR="00563CD7" w:rsidRDefault="00563CD7" w:rsidP="00563CD7">
      <w:pPr>
        <w:pStyle w:val="ListParagraph"/>
        <w:ind w:left="576"/>
      </w:pPr>
    </w:p>
    <w:p w14:paraId="2A0A5862" w14:textId="0ABE92A5" w:rsidR="00563CD7" w:rsidRPr="001148DB" w:rsidRDefault="00563CD7" w:rsidP="00DD05E6">
      <w:pPr>
        <w:pStyle w:val="ListParagraph"/>
        <w:rPr>
          <w:b/>
        </w:rPr>
      </w:pPr>
      <w:r>
        <w:lastRenderedPageBreak/>
        <w:t>Pediatric hospitals utilizing the AHRQ Hospital S</w:t>
      </w:r>
      <w:r w:rsidR="00B342C9">
        <w:t>urvey on Patient Safety Culture</w:t>
      </w:r>
      <w:r>
        <w:t xml:space="preserve"> can benchmark their results using the </w:t>
      </w:r>
      <w:hyperlink r:id="rId401" w:history="1">
        <w:r w:rsidRPr="001148DB">
          <w:rPr>
            <w:rStyle w:val="Hyperlink"/>
          </w:rPr>
          <w:t>AHRQ’s User Comparative Database Report</w:t>
        </w:r>
      </w:hyperlink>
      <w:r>
        <w:t xml:space="preserve"> (</w:t>
      </w:r>
      <w:r w:rsidRPr="00F04564">
        <w:t>refer to instructions starting on page 29</w:t>
      </w:r>
      <w:r>
        <w:t>).</w:t>
      </w:r>
    </w:p>
    <w:p w14:paraId="25DF16AF" w14:textId="77777777" w:rsidR="00940535" w:rsidRPr="00B233F4" w:rsidRDefault="00940535" w:rsidP="00563CD7">
      <w:pPr>
        <w:pStyle w:val="ListParagraph"/>
        <w:ind w:left="576"/>
      </w:pPr>
    </w:p>
    <w:p w14:paraId="52C8D48E" w14:textId="77777777" w:rsidR="00563CD7" w:rsidRPr="009E3932" w:rsidRDefault="00563CD7" w:rsidP="00AD309C">
      <w:pPr>
        <w:pStyle w:val="ListParagraph"/>
        <w:numPr>
          <w:ilvl w:val="0"/>
          <w:numId w:val="410"/>
        </w:numPr>
        <w:rPr>
          <w:b/>
        </w:rPr>
      </w:pPr>
      <w:r w:rsidRPr="009E3932">
        <w:rPr>
          <w:b/>
        </w:rPr>
        <w:t>2.</w:t>
      </w:r>
      <w:bookmarkStart w:id="596" w:name="SP2_1d"/>
      <w:bookmarkEnd w:id="596"/>
      <w:r w:rsidRPr="009E3932">
        <w:rPr>
          <w:b/>
        </w:rPr>
        <w:t>1d: What is meant by roles and staff levels?</w:t>
      </w:r>
    </w:p>
    <w:p w14:paraId="7D8F39F4" w14:textId="77777777" w:rsidR="00563CD7" w:rsidRDefault="00563CD7" w:rsidP="00DD05E6">
      <w:pPr>
        <w:pStyle w:val="ListParagraph"/>
      </w:pPr>
      <w:r w:rsidRPr="00B45A26">
        <w:t>Roles are job types (e.g.</w:t>
      </w:r>
      <w:r w:rsidR="00D23F6F">
        <w:t>,</w:t>
      </w:r>
      <w:r w:rsidRPr="00B45A26">
        <w:t xml:space="preserve"> surgeons, nurses, hospitalists, physician assistants, or clinical and non-clinical</w:t>
      </w:r>
      <w:r>
        <w:t>, etc.</w:t>
      </w:r>
      <w:r w:rsidRPr="00B45A26">
        <w:t>).</w:t>
      </w:r>
      <w:r>
        <w:t xml:space="preserve"> Staff levels are defined within the organization’s </w:t>
      </w:r>
      <w:r w:rsidRPr="00B45A26">
        <w:t>hierarchy (e.g.</w:t>
      </w:r>
      <w:r w:rsidR="00D23F6F">
        <w:t>,</w:t>
      </w:r>
      <w:r w:rsidRPr="00B45A26">
        <w:t xml:space="preserve"> senior administrators, directors, managers</w:t>
      </w:r>
      <w:r>
        <w:t>, etc.</w:t>
      </w:r>
      <w:r w:rsidRPr="00B45A26">
        <w:t>).</w:t>
      </w:r>
    </w:p>
    <w:p w14:paraId="7AAF34D5" w14:textId="77777777" w:rsidR="00563CD7" w:rsidRDefault="00563CD7" w:rsidP="00317433"/>
    <w:p w14:paraId="2E8ABE80" w14:textId="77777777" w:rsidR="00563CD7" w:rsidRPr="00F20E22" w:rsidRDefault="00563CD7" w:rsidP="00AD309C">
      <w:pPr>
        <w:pStyle w:val="ListParagraph"/>
        <w:numPr>
          <w:ilvl w:val="0"/>
          <w:numId w:val="410"/>
        </w:numPr>
        <w:rPr>
          <w:b/>
        </w:rPr>
      </w:pPr>
      <w:r w:rsidRPr="003C2C1B">
        <w:rPr>
          <w:b/>
        </w:rPr>
        <w:t>2.</w:t>
      </w:r>
      <w:bookmarkStart w:id="597" w:name="SP2_2c"/>
      <w:bookmarkEnd w:id="597"/>
      <w:r w:rsidR="00B135E6">
        <w:rPr>
          <w:b/>
        </w:rPr>
        <w:t>2b</w:t>
      </w:r>
      <w:r w:rsidRPr="003C2C1B">
        <w:rPr>
          <w:b/>
        </w:rPr>
        <w:t xml:space="preserve">: </w:t>
      </w:r>
      <w:r w:rsidRPr="00F20E22">
        <w:rPr>
          <w:b/>
        </w:rPr>
        <w:t>Does performance evaluation criteria for senior administrative leadership need to include the actual targeted response rate to the culture of safety survey?</w:t>
      </w:r>
    </w:p>
    <w:p w14:paraId="1BBAF65D" w14:textId="40843659" w:rsidR="00563CD7" w:rsidRDefault="00563CD7" w:rsidP="00DD05E6">
      <w:pPr>
        <w:pStyle w:val="ListParagraph"/>
      </w:pPr>
      <w:r>
        <w:t xml:space="preserve">Yes. The organization’s targeted response rate to the culture of safety survey should be included in performance evaluation criteria for senior administrative leadership. Criteria for using the survey results in improvement efforts should also be included to meet the intent of this element. </w:t>
      </w:r>
    </w:p>
    <w:p w14:paraId="6E8A1AA9" w14:textId="77777777" w:rsidR="00563CD7" w:rsidRPr="008B1E7E" w:rsidRDefault="00563CD7" w:rsidP="00563CD7"/>
    <w:p w14:paraId="432DAD2C" w14:textId="77777777" w:rsidR="00563CD7" w:rsidRPr="008B1E7E" w:rsidRDefault="00563CD7" w:rsidP="00AD309C">
      <w:pPr>
        <w:numPr>
          <w:ilvl w:val="0"/>
          <w:numId w:val="410"/>
        </w:numPr>
        <w:tabs>
          <w:tab w:val="num" w:pos="576"/>
        </w:tabs>
        <w:rPr>
          <w:b/>
        </w:rPr>
      </w:pPr>
      <w:r w:rsidRPr="008B1E7E">
        <w:rPr>
          <w:b/>
        </w:rPr>
        <w:t>2.</w:t>
      </w:r>
      <w:bookmarkStart w:id="598" w:name="SP2_3a"/>
      <w:bookmarkEnd w:id="598"/>
      <w:r w:rsidRPr="008B1E7E">
        <w:rPr>
          <w:b/>
        </w:rPr>
        <w:t>3a</w:t>
      </w:r>
      <w:r>
        <w:rPr>
          <w:b/>
        </w:rPr>
        <w:t xml:space="preserve">: </w:t>
      </w:r>
      <w:r w:rsidRPr="008B1E7E">
        <w:rPr>
          <w:b/>
        </w:rPr>
        <w:t xml:space="preserve">Which employees should be included </w:t>
      </w:r>
      <w:r>
        <w:rPr>
          <w:b/>
        </w:rPr>
        <w:t>in the staff education program?</w:t>
      </w:r>
      <w:r w:rsidRPr="008B1E7E">
        <w:rPr>
          <w:b/>
        </w:rPr>
        <w:t xml:space="preserve"> Employees in all units or just those in low-performing units?</w:t>
      </w:r>
    </w:p>
    <w:p w14:paraId="4A593A7D" w14:textId="77777777" w:rsidR="00563CD7" w:rsidRDefault="00563CD7" w:rsidP="00DD05E6">
      <w:pPr>
        <w:ind w:left="720"/>
      </w:pPr>
      <w:r w:rsidRPr="008B1E7E">
        <w:t xml:space="preserve">Staff education needs to include education for </w:t>
      </w:r>
      <w:r>
        <w:t xml:space="preserve">all levels of staff, from </w:t>
      </w:r>
      <w:r w:rsidRPr="008B1E7E">
        <w:t>sen</w:t>
      </w:r>
      <w:r>
        <w:t xml:space="preserve">ior administrative and clinical leadership to frontline caregivers. In addition, because </w:t>
      </w:r>
      <w:r w:rsidRPr="008B1E7E">
        <w:t xml:space="preserve">all units have opportunities for improvement, the staff education should </w:t>
      </w:r>
      <w:r>
        <w:t xml:space="preserve">include all </w:t>
      </w:r>
      <w:r w:rsidR="00B342C9">
        <w:rPr>
          <w:noProof/>
        </w:rPr>
        <w:t>units</w:t>
      </w:r>
      <w:r>
        <w:t xml:space="preserve"> but can focus on deficiencies of a specific unit or department. </w:t>
      </w:r>
    </w:p>
    <w:p w14:paraId="5C25AE84" w14:textId="77777777" w:rsidR="00563CD7" w:rsidRDefault="00563CD7" w:rsidP="00563CD7">
      <w:pPr>
        <w:ind w:left="576"/>
      </w:pPr>
    </w:p>
    <w:p w14:paraId="2CA4E761" w14:textId="77777777" w:rsidR="00563CD7" w:rsidRPr="00B05B81" w:rsidRDefault="00563CD7" w:rsidP="00AD309C">
      <w:pPr>
        <w:numPr>
          <w:ilvl w:val="0"/>
          <w:numId w:val="410"/>
        </w:numPr>
        <w:tabs>
          <w:tab w:val="num" w:pos="576"/>
        </w:tabs>
        <w:rPr>
          <w:b/>
        </w:rPr>
      </w:pPr>
      <w:r>
        <w:rPr>
          <w:b/>
        </w:rPr>
        <w:t>2.1</w:t>
      </w:r>
      <w:bookmarkStart w:id="599" w:name="SP2_1e_vs_2_4b"/>
      <w:bookmarkEnd w:id="599"/>
      <w:r>
        <w:rPr>
          <w:b/>
        </w:rPr>
        <w:t xml:space="preserve">e and 2.4b: </w:t>
      </w:r>
      <w:r w:rsidRPr="00B05B81">
        <w:rPr>
          <w:b/>
        </w:rPr>
        <w:t>What is the difference between 2.1e and 2.4b? Both seem to focus on sharing and discussing the Culture of Safety Survey results.</w:t>
      </w:r>
    </w:p>
    <w:p w14:paraId="4D4D3D85" w14:textId="77777777" w:rsidR="00563CD7" w:rsidRPr="00E3237B" w:rsidRDefault="00563CD7" w:rsidP="00DD05E6">
      <w:pPr>
        <w:ind w:left="720"/>
      </w:pPr>
      <w:r>
        <w:t xml:space="preserve">While both elements focus on sharing and discussing Culture of Safety Survey results, these elements focus on different audiences and activities, and the result is that different kinds of feedback are collected. Safe Practice 2.1e requires </w:t>
      </w:r>
      <w:r w:rsidRPr="00C45500">
        <w:rPr>
          <w:u w:val="single"/>
        </w:rPr>
        <w:t>local leaders</w:t>
      </w:r>
      <w:r>
        <w:t xml:space="preserve"> (e.g.</w:t>
      </w:r>
      <w:r w:rsidR="00D23F6F">
        <w:t>,</w:t>
      </w:r>
      <w:r>
        <w:t xml:space="preserve"> unit/department manager) to engage their unit/departments in a discussion about the survey results, while Safe Practice 2.4b requires </w:t>
      </w:r>
      <w:r w:rsidRPr="0040649E">
        <w:rPr>
          <w:u w:val="single"/>
        </w:rPr>
        <w:t>senior administrative leadership</w:t>
      </w:r>
      <w:r>
        <w:t xml:space="preserve"> to engage each sampled unit in a discussion about the survey results and their concerns. </w:t>
      </w:r>
    </w:p>
    <w:p w14:paraId="273DE385" w14:textId="7E61AEB5" w:rsidR="00563CD7" w:rsidRPr="008C51CB" w:rsidRDefault="00563CD7" w:rsidP="00563CD7">
      <w:pPr>
        <w:rPr>
          <w:b/>
        </w:rPr>
      </w:pPr>
      <w:bookmarkStart w:id="600" w:name="SP4_4a"/>
      <w:bookmarkEnd w:id="600"/>
    </w:p>
    <w:p w14:paraId="3E4191A1" w14:textId="674A62A5" w:rsidR="00175583" w:rsidRDefault="00175583" w:rsidP="00AB5B80">
      <w:pPr>
        <w:pStyle w:val="Heading3"/>
      </w:pPr>
      <w:bookmarkStart w:id="601" w:name="_Total_Nursing_Care"/>
      <w:bookmarkStart w:id="602" w:name="SP9_1a"/>
      <w:bookmarkStart w:id="603" w:name="SP9_3b"/>
      <w:bookmarkStart w:id="604" w:name="_Hand_Hygiene_1"/>
      <w:bookmarkStart w:id="605" w:name="_Toc225877802"/>
      <w:bookmarkEnd w:id="601"/>
      <w:bookmarkEnd w:id="602"/>
      <w:bookmarkEnd w:id="603"/>
      <w:bookmarkEnd w:id="604"/>
      <w:r>
        <w:t>Hand Hygiene</w:t>
      </w:r>
      <w:r w:rsidR="00B078B4">
        <w:t xml:space="preserve"> FAQs</w:t>
      </w:r>
      <w:bookmarkEnd w:id="605"/>
    </w:p>
    <w:p w14:paraId="181C7D20" w14:textId="17F8F1D8" w:rsidR="00855160" w:rsidRDefault="00855160" w:rsidP="00855160">
      <w:pPr>
        <w:pStyle w:val="EndnoteText"/>
        <w:rPr>
          <w:bCs/>
        </w:rPr>
      </w:pPr>
      <w:bookmarkStart w:id="606" w:name="Demonstrate"/>
      <w:bookmarkStart w:id="607" w:name="SP19_4a"/>
    </w:p>
    <w:p w14:paraId="4A388049" w14:textId="77AD01DF" w:rsidR="007A0378" w:rsidRPr="008C51CB" w:rsidRDefault="00855160" w:rsidP="0002601E">
      <w:pPr>
        <w:pStyle w:val="Heading44"/>
        <w:rPr>
          <w:sz w:val="20"/>
        </w:rPr>
      </w:pPr>
      <w:r>
        <w:t>Training and Education</w:t>
      </w:r>
      <w:r w:rsidR="00211AF2">
        <w:br/>
      </w:r>
    </w:p>
    <w:p w14:paraId="41EC0434" w14:textId="26D9D0F5" w:rsidR="00D53AF3" w:rsidRPr="00893060" w:rsidRDefault="00D53AF3" w:rsidP="00AD309C">
      <w:pPr>
        <w:pStyle w:val="EndnoteText"/>
        <w:numPr>
          <w:ilvl w:val="0"/>
          <w:numId w:val="410"/>
        </w:numPr>
        <w:rPr>
          <w:b/>
        </w:rPr>
      </w:pPr>
      <w:r w:rsidRPr="00893060">
        <w:rPr>
          <w:b/>
        </w:rPr>
        <w:t>Are online training modules acceptable for the purposes of question #1 and question #3?</w:t>
      </w:r>
    </w:p>
    <w:p w14:paraId="16369E96" w14:textId="77777777" w:rsidR="006B6045" w:rsidRDefault="00D53AF3" w:rsidP="00DD05E6">
      <w:pPr>
        <w:pStyle w:val="EndnoteText"/>
        <w:ind w:left="720"/>
        <w:rPr>
          <w:bCs/>
        </w:rPr>
      </w:pPr>
      <w:r w:rsidRPr="00893060">
        <w:rPr>
          <w:bCs/>
        </w:rPr>
        <w:t xml:space="preserve">Online training modules are acceptable for the purposes of answering question #1 and question #3 </w:t>
      </w:r>
      <w:r w:rsidR="004E079F" w:rsidRPr="00893060">
        <w:rPr>
          <w:bCs/>
        </w:rPr>
        <w:t>if</w:t>
      </w:r>
      <w:r w:rsidRPr="00893060">
        <w:rPr>
          <w:bCs/>
        </w:rPr>
        <w:t xml:space="preserve"> they meet all requirements outlined in the question. </w:t>
      </w:r>
    </w:p>
    <w:p w14:paraId="5948938F" w14:textId="77777777" w:rsidR="006B6045" w:rsidRDefault="006B6045" w:rsidP="00D53AF3">
      <w:pPr>
        <w:pStyle w:val="EndnoteText"/>
        <w:ind w:left="576"/>
        <w:rPr>
          <w:bCs/>
        </w:rPr>
      </w:pPr>
    </w:p>
    <w:p w14:paraId="166A04F4" w14:textId="45E0AD3D" w:rsidR="00D53AF3" w:rsidRPr="009C4ACB" w:rsidRDefault="00D53AF3" w:rsidP="00DD05E6">
      <w:pPr>
        <w:pStyle w:val="EndnoteText"/>
        <w:ind w:left="720"/>
        <w:rPr>
          <w:bCs/>
        </w:rPr>
      </w:pPr>
      <w:r w:rsidRPr="00893060">
        <w:rPr>
          <w:bCs/>
        </w:rPr>
        <w:t xml:space="preserve">For question #1, the online training must be done at the frequency specified and would need to be delivered </w:t>
      </w:r>
      <w:r w:rsidR="004402A7" w:rsidRPr="009C4ACB">
        <w:rPr>
          <w:bCs/>
        </w:rPr>
        <w:t xml:space="preserve">and/or developed </w:t>
      </w:r>
      <w:r w:rsidRPr="009C4ACB">
        <w:rPr>
          <w:bCs/>
        </w:rPr>
        <w:t xml:space="preserve">by a </w:t>
      </w:r>
      <w:hyperlink w:anchor="profwapproptrainandskill" w:history="1">
        <w:r w:rsidRPr="009C4ACB">
          <w:rPr>
            <w:rStyle w:val="Hyperlink"/>
          </w:rPr>
          <w:t>professional with appropriate training and skills</w:t>
        </w:r>
      </w:hyperlink>
      <w:r w:rsidR="0002601E">
        <w:rPr>
          <w:rStyle w:val="Hyperlink"/>
        </w:rPr>
        <w:t>.</w:t>
      </w:r>
      <w:r w:rsidRPr="009C4ACB">
        <w:rPr>
          <w:bCs/>
        </w:rPr>
        <w:t xml:space="preserve"> For question #3, the online training must meet all six topics outlined in the question. </w:t>
      </w:r>
    </w:p>
    <w:p w14:paraId="690019CB" w14:textId="77777777" w:rsidR="00D53AF3" w:rsidRPr="00893060" w:rsidRDefault="00D53AF3" w:rsidP="009B4891">
      <w:pPr>
        <w:pStyle w:val="EndnoteText"/>
        <w:rPr>
          <w:bCs/>
        </w:rPr>
      </w:pPr>
    </w:p>
    <w:p w14:paraId="43EA82D2" w14:textId="77777777" w:rsidR="00D53AF3" w:rsidRPr="00893060" w:rsidRDefault="00D53AF3" w:rsidP="00DD05E6">
      <w:pPr>
        <w:pStyle w:val="EndnoteText"/>
        <w:ind w:left="576" w:firstLine="144"/>
        <w:rPr>
          <w:bCs/>
        </w:rPr>
      </w:pPr>
      <w:r w:rsidRPr="00893060">
        <w:rPr>
          <w:bCs/>
        </w:rPr>
        <w:t xml:space="preserve">Physical demonstration (question #2) </w:t>
      </w:r>
      <w:r w:rsidRPr="00893060">
        <w:rPr>
          <w:b/>
        </w:rPr>
        <w:t>cannot</w:t>
      </w:r>
      <w:r w:rsidRPr="00893060">
        <w:rPr>
          <w:bCs/>
        </w:rPr>
        <w:t xml:space="preserve"> be done using an online training module.</w:t>
      </w:r>
    </w:p>
    <w:p w14:paraId="59C2FBE1" w14:textId="77777777" w:rsidR="00B65D10" w:rsidRPr="00893060" w:rsidRDefault="00B65D10" w:rsidP="002B2EAA">
      <w:pPr>
        <w:pStyle w:val="EndnoteText"/>
        <w:rPr>
          <w:bCs/>
        </w:rPr>
      </w:pPr>
    </w:p>
    <w:p w14:paraId="4F38F619" w14:textId="77777777" w:rsidR="00A26E56" w:rsidRDefault="00A26E56" w:rsidP="00AD309C">
      <w:pPr>
        <w:pStyle w:val="EndnoteText"/>
        <w:numPr>
          <w:ilvl w:val="0"/>
          <w:numId w:val="410"/>
        </w:numPr>
        <w:rPr>
          <w:b/>
        </w:rPr>
      </w:pPr>
      <w:bookmarkStart w:id="608" w:name="HH_demonstrate"/>
      <w:bookmarkEnd w:id="608"/>
      <w:r>
        <w:rPr>
          <w:b/>
        </w:rPr>
        <w:t>Can a hospital answer “yes” to the training and education questions #1-3 if the training and education for medical/nursing/pharmacy students is done by the medical/nursing/pharmacy school?</w:t>
      </w:r>
    </w:p>
    <w:p w14:paraId="574602AF" w14:textId="6258D2A0" w:rsidR="00A26E56" w:rsidRDefault="00A26E56" w:rsidP="00DD05E6">
      <w:pPr>
        <w:pStyle w:val="EndnoteText"/>
        <w:ind w:left="720"/>
        <w:rPr>
          <w:bCs/>
        </w:rPr>
      </w:pPr>
      <w:r>
        <w:rPr>
          <w:bCs/>
        </w:rPr>
        <w:t xml:space="preserve">Yes, you can answer “yes” to questions #1-3 if your hospital, alone, or in combination with other hospitals, has developed a standard orientation/on-boarding curriculum for students that meets all requirements outlined in the training and education questions. Your hospital will need to have continued and ongoing input into the curriculum, but the </w:t>
      </w:r>
      <w:r w:rsidRPr="00493567">
        <w:rPr>
          <w:bCs/>
          <w:u w:val="single"/>
        </w:rPr>
        <w:t>administration</w:t>
      </w:r>
      <w:r>
        <w:rPr>
          <w:bCs/>
        </w:rPr>
        <w:t xml:space="preserve"> of the training and education for students, including physical demonstration of proper hand hygiene technique, could be conducted by the school.</w:t>
      </w:r>
      <w:r>
        <w:rPr>
          <w:bCs/>
        </w:rPr>
        <w:br/>
      </w:r>
    </w:p>
    <w:p w14:paraId="1B98918D" w14:textId="77777777" w:rsidR="008C51CB" w:rsidRDefault="008C51CB" w:rsidP="00DD05E6">
      <w:pPr>
        <w:pStyle w:val="EndnoteText"/>
        <w:ind w:left="720"/>
        <w:rPr>
          <w:bCs/>
        </w:rPr>
      </w:pPr>
    </w:p>
    <w:p w14:paraId="6A3FC307" w14:textId="77777777" w:rsidR="008C51CB" w:rsidRDefault="008C51CB" w:rsidP="00DD05E6">
      <w:pPr>
        <w:pStyle w:val="EndnoteText"/>
        <w:ind w:left="720"/>
        <w:rPr>
          <w:bCs/>
        </w:rPr>
      </w:pPr>
    </w:p>
    <w:p w14:paraId="035489F0" w14:textId="12B668CB" w:rsidR="00D53AF3" w:rsidRPr="00A26E56" w:rsidRDefault="00D53AF3" w:rsidP="00AD309C">
      <w:pPr>
        <w:pStyle w:val="EndnoteText"/>
        <w:numPr>
          <w:ilvl w:val="0"/>
          <w:numId w:val="410"/>
        </w:numPr>
        <w:rPr>
          <w:b/>
        </w:rPr>
      </w:pPr>
      <w:r w:rsidRPr="00A26E56">
        <w:rPr>
          <w:b/>
        </w:rPr>
        <w:lastRenderedPageBreak/>
        <w:t>What are examples of what can count as “physically demonstrating” proper hand hygiene during the initial hand hygiene training?</w:t>
      </w:r>
    </w:p>
    <w:bookmarkEnd w:id="606"/>
    <w:p w14:paraId="24224ABA" w14:textId="53B89CBD" w:rsidR="006B6045" w:rsidRDefault="00D53AF3" w:rsidP="00DD05E6">
      <w:pPr>
        <w:pStyle w:val="EndnoteText"/>
        <w:ind w:left="720"/>
      </w:pPr>
      <w:r w:rsidRPr="00893060">
        <w:t xml:space="preserve">Before new individuals to your hospital have contact with patients and the patient care space, they will need to demonstrate proper hand hygiene with soap and water and alcohol-based hand sanitizer. This demonstration could be done </w:t>
      </w:r>
      <w:r w:rsidR="006B6045">
        <w:t>as part of other onboarding activities, during occupational health activities as part of the TB test, during department orientations, in small groups, etc.</w:t>
      </w:r>
      <w:r w:rsidRPr="00893060">
        <w:t xml:space="preserve">  A group “teach-back” would be acceptable, but with no more than 10 students per one trainer/monitor. </w:t>
      </w:r>
      <w:r w:rsidR="006B6045">
        <w:t>An online or in-person “simulation” would not be sufficient for this purpose.</w:t>
      </w:r>
      <w:r w:rsidR="00AA3DD9">
        <w:t xml:space="preserve"> </w:t>
      </w:r>
      <w:r w:rsidR="007619EF" w:rsidRPr="007619EF">
        <w:t>Computer-based assessments of an individual’s hand hygiene technique are acceptable if the assessment tracks an individual’s hand motions, is done without providing instructions to the individual during the assessment, and feedback is given to them at the end.</w:t>
      </w:r>
    </w:p>
    <w:p w14:paraId="18F6927D" w14:textId="77777777" w:rsidR="00D464DC" w:rsidRDefault="00D464DC" w:rsidP="00D53AF3">
      <w:pPr>
        <w:pStyle w:val="EndnoteText"/>
        <w:ind w:left="576"/>
      </w:pPr>
    </w:p>
    <w:p w14:paraId="5D3C6D6A" w14:textId="18087A6F" w:rsidR="00D53AF3" w:rsidRPr="00893060" w:rsidRDefault="00D53AF3" w:rsidP="00DD05E6">
      <w:pPr>
        <w:pStyle w:val="EndnoteText"/>
        <w:ind w:left="720"/>
      </w:pPr>
      <w:r w:rsidRPr="00893060">
        <w:t xml:space="preserve">Hospitals that are starting to implement this component should add physical demonstration to their </w:t>
      </w:r>
      <w:r w:rsidRPr="00893060">
        <w:rPr>
          <w:b/>
          <w:bCs/>
        </w:rPr>
        <w:t>initial</w:t>
      </w:r>
      <w:r w:rsidRPr="00893060">
        <w:t xml:space="preserve"> training for any </w:t>
      </w:r>
      <w:r w:rsidRPr="00893060">
        <w:rPr>
          <w:b/>
          <w:bCs/>
        </w:rPr>
        <w:t xml:space="preserve">new </w:t>
      </w:r>
      <w:hyperlink w:anchor="HHtouchpatientsendnote" w:history="1">
        <w:r w:rsidR="00157FDB" w:rsidRPr="004B4271">
          <w:rPr>
            <w:rStyle w:val="Hyperlink"/>
          </w:rPr>
          <w:t>individuals who touch patients or who touch items that will be used by patients</w:t>
        </w:r>
      </w:hyperlink>
      <w:r w:rsidR="00157FDB">
        <w:rPr>
          <w:rStyle w:val="Hyperlink"/>
        </w:rPr>
        <w:t xml:space="preserve"> at their hospital</w:t>
      </w:r>
      <w:r w:rsidR="006554E9">
        <w:rPr>
          <w:b/>
          <w:bCs/>
        </w:rPr>
        <w:t xml:space="preserve">. </w:t>
      </w:r>
      <w:r w:rsidR="006554E9">
        <w:t>Leapfrog is not asking hospitals to retroactively train individuals</w:t>
      </w:r>
      <w:r w:rsidRPr="00893060">
        <w:t>.</w:t>
      </w:r>
    </w:p>
    <w:p w14:paraId="205A23EE" w14:textId="77777777" w:rsidR="000D66A1" w:rsidRPr="00893060" w:rsidRDefault="000D66A1" w:rsidP="00D53AF3">
      <w:pPr>
        <w:pStyle w:val="EndnoteText"/>
        <w:ind w:left="576"/>
        <w:rPr>
          <w:b/>
        </w:rPr>
      </w:pPr>
    </w:p>
    <w:p w14:paraId="1F619948" w14:textId="428D6F8B" w:rsidR="00600E1F" w:rsidRPr="008C51CB" w:rsidRDefault="00FA5114" w:rsidP="00844D05">
      <w:pPr>
        <w:pStyle w:val="Heading44"/>
        <w:rPr>
          <w:sz w:val="20"/>
        </w:rPr>
      </w:pPr>
      <w:r>
        <w:t>Infrastructure</w:t>
      </w:r>
      <w:r w:rsidR="00211AF2">
        <w:br/>
      </w:r>
      <w:bookmarkStart w:id="609" w:name="HH_audits"/>
      <w:bookmarkStart w:id="610" w:name="_Hlk66281298"/>
      <w:bookmarkEnd w:id="609"/>
    </w:p>
    <w:p w14:paraId="41098903" w14:textId="08214F71" w:rsidR="00600E19" w:rsidRPr="0023222C" w:rsidRDefault="00600E19" w:rsidP="00AD309C">
      <w:pPr>
        <w:pStyle w:val="EndnoteText"/>
        <w:numPr>
          <w:ilvl w:val="0"/>
          <w:numId w:val="410"/>
        </w:numPr>
        <w:rPr>
          <w:b/>
        </w:rPr>
      </w:pPr>
      <w:bookmarkStart w:id="611" w:name="HH_volaudits"/>
      <w:bookmarkEnd w:id="611"/>
      <w:r>
        <w:rPr>
          <w:b/>
        </w:rPr>
        <w:t>Is having</w:t>
      </w:r>
      <w:r w:rsidRPr="0023222C">
        <w:rPr>
          <w:b/>
        </w:rPr>
        <w:t xml:space="preserve"> an electronic system and dashboards that display low product and low battery reports which </w:t>
      </w:r>
      <w:r>
        <w:rPr>
          <w:b/>
        </w:rPr>
        <w:t>are</w:t>
      </w:r>
      <w:r w:rsidRPr="0023222C">
        <w:rPr>
          <w:b/>
        </w:rPr>
        <w:t xml:space="preserve"> used to ensure </w:t>
      </w:r>
      <w:r>
        <w:rPr>
          <w:b/>
        </w:rPr>
        <w:t>that the r</w:t>
      </w:r>
      <w:r w:rsidRPr="0023222C">
        <w:rPr>
          <w:b/>
        </w:rPr>
        <w:t xml:space="preserve">efilling and replacing </w:t>
      </w:r>
      <w:r>
        <w:rPr>
          <w:b/>
        </w:rPr>
        <w:t>of dispensers is c</w:t>
      </w:r>
      <w:r w:rsidRPr="0023222C">
        <w:rPr>
          <w:b/>
        </w:rPr>
        <w:t>ompleted in a timely manner</w:t>
      </w:r>
      <w:r>
        <w:rPr>
          <w:b/>
        </w:rPr>
        <w:t xml:space="preserve"> sufficient for meeting the quarterly audit requirements in question #4?</w:t>
      </w:r>
    </w:p>
    <w:p w14:paraId="25DA03C5" w14:textId="77777777" w:rsidR="00600E19" w:rsidRDefault="00600E19" w:rsidP="00600E19">
      <w:pPr>
        <w:pStyle w:val="EndnoteText"/>
        <w:ind w:left="720"/>
        <w:rPr>
          <w:bCs/>
        </w:rPr>
      </w:pPr>
      <w:r>
        <w:rPr>
          <w:bCs/>
        </w:rPr>
        <w:t>Yes, i</w:t>
      </w:r>
      <w:r w:rsidRPr="007B5FAA">
        <w:rPr>
          <w:bCs/>
        </w:rPr>
        <w:t>f you have ongoing and reliable electronic ways of understanding when product or batteries are low, that would suffice for the audit. The goal is to make sure that supplies are available</w:t>
      </w:r>
      <w:r>
        <w:rPr>
          <w:bCs/>
        </w:rPr>
        <w:t xml:space="preserve"> in soap, alcohol-based hand sanitizer, and paper towel dispensers.</w:t>
      </w:r>
    </w:p>
    <w:p w14:paraId="3ECB06D0" w14:textId="77777777" w:rsidR="00F36D8D" w:rsidRDefault="00F36D8D" w:rsidP="00600E19">
      <w:pPr>
        <w:pStyle w:val="EndnoteText"/>
        <w:ind w:left="720"/>
        <w:rPr>
          <w:bCs/>
        </w:rPr>
      </w:pPr>
    </w:p>
    <w:p w14:paraId="2B5618C2" w14:textId="59D611C0" w:rsidR="00055106" w:rsidRDefault="00055106" w:rsidP="00AD309C">
      <w:pPr>
        <w:pStyle w:val="EndnoteText"/>
        <w:numPr>
          <w:ilvl w:val="0"/>
          <w:numId w:val="410"/>
        </w:numPr>
        <w:rPr>
          <w:b/>
        </w:rPr>
      </w:pPr>
      <w:r w:rsidRPr="00055106">
        <w:rPr>
          <w:b/>
        </w:rPr>
        <w:t>What does Leapfrog mean by “equally accessible to the location of all patients in the room or bed space” for the purposes of question #5?</w:t>
      </w:r>
    </w:p>
    <w:p w14:paraId="474E3D6B" w14:textId="04CB1C66" w:rsidR="00D62526" w:rsidRPr="00844D05" w:rsidRDefault="002E2314" w:rsidP="00DD05E6">
      <w:pPr>
        <w:pStyle w:val="EndnoteText"/>
        <w:ind w:left="720"/>
        <w:rPr>
          <w:bCs/>
        </w:rPr>
      </w:pPr>
      <w:r w:rsidRPr="002E2314">
        <w:rPr>
          <w:bCs/>
        </w:rPr>
        <w:t>Equally mean</w:t>
      </w:r>
      <w:r w:rsidR="002835ED">
        <w:rPr>
          <w:bCs/>
        </w:rPr>
        <w:t>s</w:t>
      </w:r>
      <w:r w:rsidRPr="002E2314">
        <w:rPr>
          <w:bCs/>
        </w:rPr>
        <w:t xml:space="preserve"> the same distance from </w:t>
      </w:r>
      <w:r w:rsidR="002835ED">
        <w:rPr>
          <w:bCs/>
        </w:rPr>
        <w:t xml:space="preserve">any </w:t>
      </w:r>
      <w:r w:rsidRPr="002E2314">
        <w:rPr>
          <w:bCs/>
        </w:rPr>
        <w:t>patient's bed</w:t>
      </w:r>
      <w:r>
        <w:rPr>
          <w:bCs/>
        </w:rPr>
        <w:t>, which c</w:t>
      </w:r>
      <w:r w:rsidR="002835ED">
        <w:rPr>
          <w:bCs/>
        </w:rPr>
        <w:t>an</w:t>
      </w:r>
      <w:r>
        <w:rPr>
          <w:bCs/>
        </w:rPr>
        <w:t xml:space="preserve"> be measured in steps. </w:t>
      </w:r>
      <w:r w:rsidR="002835ED">
        <w:rPr>
          <w:bCs/>
        </w:rPr>
        <w:t>Leapfrog is</w:t>
      </w:r>
      <w:r>
        <w:rPr>
          <w:bCs/>
        </w:rPr>
        <w:t xml:space="preserve"> not looking for an exact distance, but rather the </w:t>
      </w:r>
      <w:r w:rsidR="002835ED">
        <w:rPr>
          <w:bCs/>
        </w:rPr>
        <w:t>goal</w:t>
      </w:r>
      <w:r>
        <w:rPr>
          <w:bCs/>
        </w:rPr>
        <w:t xml:space="preserve"> is to ensure </w:t>
      </w:r>
      <w:r w:rsidRPr="002E2314">
        <w:rPr>
          <w:bCs/>
        </w:rPr>
        <w:t xml:space="preserve">that hand hygiene can be </w:t>
      </w:r>
      <w:r w:rsidR="002835ED">
        <w:rPr>
          <w:bCs/>
        </w:rPr>
        <w:t xml:space="preserve">easily </w:t>
      </w:r>
      <w:r w:rsidRPr="002E2314">
        <w:rPr>
          <w:bCs/>
        </w:rPr>
        <w:t>performed regardless of the</w:t>
      </w:r>
      <w:r>
        <w:rPr>
          <w:bCs/>
        </w:rPr>
        <w:t xml:space="preserve"> location</w:t>
      </w:r>
      <w:r w:rsidRPr="002E2314">
        <w:rPr>
          <w:bCs/>
        </w:rPr>
        <w:t xml:space="preserve"> </w:t>
      </w:r>
      <w:r w:rsidR="002835ED">
        <w:rPr>
          <w:bCs/>
        </w:rPr>
        <w:t>o</w:t>
      </w:r>
      <w:r w:rsidR="00F55748">
        <w:rPr>
          <w:bCs/>
        </w:rPr>
        <w:t>f</w:t>
      </w:r>
      <w:r w:rsidR="002835ED">
        <w:rPr>
          <w:bCs/>
        </w:rPr>
        <w:t xml:space="preserve"> the </w:t>
      </w:r>
      <w:r w:rsidRPr="002E2314">
        <w:rPr>
          <w:bCs/>
        </w:rPr>
        <w:t>patient being cared for</w:t>
      </w:r>
      <w:r>
        <w:rPr>
          <w:bCs/>
        </w:rPr>
        <w:t xml:space="preserve"> in the room or bed space</w:t>
      </w:r>
      <w:r w:rsidRPr="002E2314">
        <w:rPr>
          <w:bCs/>
        </w:rPr>
        <w:t>.</w:t>
      </w:r>
      <w:bookmarkEnd w:id="610"/>
    </w:p>
    <w:p w14:paraId="2CE3E04E" w14:textId="77777777" w:rsidR="006E0696" w:rsidRDefault="006E0696" w:rsidP="00C66188">
      <w:pPr>
        <w:tabs>
          <w:tab w:val="left" w:pos="0"/>
        </w:tabs>
      </w:pPr>
    </w:p>
    <w:p w14:paraId="3FDFCAE8" w14:textId="6EFB6CD3" w:rsidR="00537F41" w:rsidRDefault="00537F41" w:rsidP="00211AF2">
      <w:pPr>
        <w:pStyle w:val="Heading44"/>
      </w:pPr>
      <w:bookmarkStart w:id="612" w:name="HH_opportunity"/>
      <w:bookmarkEnd w:id="612"/>
      <w:r w:rsidRPr="00537F41">
        <w:t>Monitoring</w:t>
      </w:r>
    </w:p>
    <w:p w14:paraId="40F1B5A5" w14:textId="77777777" w:rsidR="00E6339B" w:rsidRPr="00E6339B" w:rsidRDefault="00E6339B" w:rsidP="00844D05">
      <w:pPr>
        <w:pStyle w:val="EndnoteText"/>
        <w:rPr>
          <w:bCs/>
          <w:highlight w:val="yellow"/>
        </w:rPr>
      </w:pPr>
      <w:bookmarkStart w:id="613" w:name="CompObserve"/>
    </w:p>
    <w:p w14:paraId="495B9007" w14:textId="21F097CC" w:rsidR="00362D65" w:rsidRDefault="00362D65" w:rsidP="00AD309C">
      <w:pPr>
        <w:pStyle w:val="EndnoteText"/>
        <w:numPr>
          <w:ilvl w:val="0"/>
          <w:numId w:val="410"/>
        </w:numPr>
        <w:rPr>
          <w:b/>
        </w:rPr>
      </w:pPr>
      <w:r>
        <w:rPr>
          <w:b/>
        </w:rPr>
        <w:t>Why did Leapfrog select 200 hand hygiene opportunities for monthly monitoring in question #8?</w:t>
      </w:r>
    </w:p>
    <w:p w14:paraId="5764B7A8" w14:textId="2142151F" w:rsidR="00362D65" w:rsidRDefault="00362D65" w:rsidP="00DD05E6">
      <w:pPr>
        <w:pStyle w:val="EndnoteText"/>
        <w:ind w:left="720"/>
        <w:rPr>
          <w:bCs/>
        </w:rPr>
      </w:pPr>
      <w:r w:rsidRPr="00362D65">
        <w:rPr>
          <w:bCs/>
        </w:rPr>
        <w:t xml:space="preserve">200 hand hygiene opportunities were chosen as the sample size based on a study by Yin et. al which showed that 180-195 opportunities would need to be monitored to accurately observe a 10% change in hand hygiene compliance (Yin et al.). The additional sample sizes </w:t>
      </w:r>
      <w:r>
        <w:rPr>
          <w:bCs/>
        </w:rPr>
        <w:t>outlined in the measure specifications</w:t>
      </w:r>
      <w:r w:rsidRPr="00362D65">
        <w:rPr>
          <w:bCs/>
        </w:rPr>
        <w:t xml:space="preserve"> are for smaller patient care units where monitoring 200 opportunities may not be feasible.</w:t>
      </w:r>
    </w:p>
    <w:p w14:paraId="79A79EC7" w14:textId="77777777" w:rsidR="00362D65" w:rsidRDefault="00362D65" w:rsidP="00362D65">
      <w:pPr>
        <w:pStyle w:val="EndnoteText"/>
        <w:ind w:left="576"/>
        <w:rPr>
          <w:bCs/>
        </w:rPr>
      </w:pPr>
    </w:p>
    <w:p w14:paraId="0646479F" w14:textId="77777777" w:rsidR="00362D65" w:rsidRDefault="00362D65" w:rsidP="00DD05E6">
      <w:pPr>
        <w:pStyle w:val="EndnoteText"/>
        <w:ind w:left="576" w:firstLine="144"/>
        <w:rPr>
          <w:bCs/>
        </w:rPr>
      </w:pPr>
      <w:r w:rsidRPr="00362D65">
        <w:rPr>
          <w:bCs/>
        </w:rPr>
        <w:t>References:</w:t>
      </w:r>
    </w:p>
    <w:p w14:paraId="15E5E25F" w14:textId="23D20320" w:rsidR="00362D65" w:rsidRDefault="00362D65" w:rsidP="00DD05E6">
      <w:pPr>
        <w:pStyle w:val="EndnoteText"/>
        <w:ind w:left="720"/>
        <w:rPr>
          <w:bCs/>
        </w:rPr>
      </w:pPr>
      <w:r w:rsidRPr="00362D65">
        <w:rPr>
          <w:bCs/>
        </w:rPr>
        <w:t xml:space="preserve">Steed C, Kelly JW, Blackhurst D, Boeker S, Diller T, Alper P, Larson E. Hospital hand hygiene opportunities: where and when (HOW2)? The HOW2 Benchmark Study. American </w:t>
      </w:r>
      <w:r w:rsidR="00CC72B7">
        <w:rPr>
          <w:bCs/>
        </w:rPr>
        <w:t>J</w:t>
      </w:r>
      <w:r w:rsidRPr="00362D65">
        <w:rPr>
          <w:bCs/>
        </w:rPr>
        <w:t xml:space="preserve">ournal of </w:t>
      </w:r>
      <w:r w:rsidR="00CC72B7">
        <w:rPr>
          <w:bCs/>
        </w:rPr>
        <w:t>I</w:t>
      </w:r>
      <w:r w:rsidRPr="00362D65">
        <w:rPr>
          <w:bCs/>
        </w:rPr>
        <w:t xml:space="preserve">nfection control. 2011 Feb 1;39(1):19-26. </w:t>
      </w:r>
    </w:p>
    <w:p w14:paraId="0E0D7649" w14:textId="77777777" w:rsidR="00362D65" w:rsidRDefault="00362D65" w:rsidP="00362D65">
      <w:pPr>
        <w:pStyle w:val="EndnoteText"/>
        <w:ind w:left="576"/>
        <w:rPr>
          <w:bCs/>
        </w:rPr>
      </w:pPr>
    </w:p>
    <w:p w14:paraId="36C11DF5" w14:textId="35156F9B" w:rsidR="00362D65" w:rsidRDefault="00EC314A" w:rsidP="00DD05E6">
      <w:pPr>
        <w:pStyle w:val="EndnoteText"/>
        <w:ind w:left="720"/>
        <w:rPr>
          <w:b/>
        </w:rPr>
      </w:pPr>
      <w:r w:rsidRPr="00EC314A">
        <w:rPr>
          <w:bCs/>
        </w:rPr>
        <w:t>Jun Yin MS, Heather Schacht Reisinger PhD, Mark Vander Weg PhD, Marin L. Schweizer PhD, Andrew Jesson, Daniel J. Morgan MD MS, Graeme Forrest MD, Margaret Graham, Lisa Pineles MA and Eli N. Perencevich MD MS.  Establishing evidence-based criteria for directly observed hand hygiene compliance monitoring programs: a prospective, multicenter cohort study. Infection Control and Hospital Epidemiology Vol. 35, No. 9 2014 Sep, pp. 1163-8.</w:t>
      </w:r>
      <w:r>
        <w:rPr>
          <w:bCs/>
        </w:rPr>
        <w:br/>
      </w:r>
    </w:p>
    <w:p w14:paraId="1E5CEBE6" w14:textId="396741FE" w:rsidR="00CF4A9B" w:rsidRPr="009C4ACB" w:rsidRDefault="00CF4A9B" w:rsidP="00AD309C">
      <w:pPr>
        <w:pStyle w:val="EndnoteText"/>
        <w:numPr>
          <w:ilvl w:val="0"/>
          <w:numId w:val="410"/>
        </w:numPr>
        <w:rPr>
          <w:b/>
        </w:rPr>
      </w:pPr>
      <w:r w:rsidRPr="009C4ACB">
        <w:rPr>
          <w:b/>
        </w:rPr>
        <w:t>My hospital uses an electronic compliance monitoring system, but it does not meet all the criteria outlined in question</w:t>
      </w:r>
      <w:r w:rsidR="0034195E">
        <w:rPr>
          <w:b/>
        </w:rPr>
        <w:t>s</w:t>
      </w:r>
      <w:r w:rsidRPr="009C4ACB">
        <w:rPr>
          <w:b/>
        </w:rPr>
        <w:t xml:space="preserve"> #1</w:t>
      </w:r>
      <w:r w:rsidR="006E178C">
        <w:rPr>
          <w:b/>
        </w:rPr>
        <w:t>2</w:t>
      </w:r>
      <w:r w:rsidR="003F67B9" w:rsidRPr="009C4ACB">
        <w:rPr>
          <w:b/>
        </w:rPr>
        <w:t>-1</w:t>
      </w:r>
      <w:r w:rsidR="006E178C">
        <w:rPr>
          <w:b/>
        </w:rPr>
        <w:t>3</w:t>
      </w:r>
      <w:r w:rsidRPr="009C4ACB">
        <w:rPr>
          <w:b/>
        </w:rPr>
        <w:t xml:space="preserve">. Can I report on the hand hygiene compliance data </w:t>
      </w:r>
      <w:r w:rsidR="005F224C">
        <w:rPr>
          <w:b/>
        </w:rPr>
        <w:t>we</w:t>
      </w:r>
      <w:r w:rsidRPr="009C4ACB">
        <w:rPr>
          <w:b/>
        </w:rPr>
        <w:t xml:space="preserve"> collect via direct observation instead?</w:t>
      </w:r>
    </w:p>
    <w:p w14:paraId="41E3E7B1" w14:textId="14744696" w:rsidR="00621980" w:rsidRPr="009C4ACB" w:rsidRDefault="00CF4A9B" w:rsidP="00DD05E6">
      <w:pPr>
        <w:pStyle w:val="EndnoteText"/>
        <w:ind w:left="720"/>
        <w:rPr>
          <w:bCs/>
        </w:rPr>
      </w:pPr>
      <w:r w:rsidRPr="009C4ACB">
        <w:rPr>
          <w:bCs/>
        </w:rPr>
        <w:lastRenderedPageBreak/>
        <w:t>Ye</w:t>
      </w:r>
      <w:r w:rsidR="00FB19BC" w:rsidRPr="009C4ACB">
        <w:rPr>
          <w:bCs/>
        </w:rPr>
        <w:t>s. If</w:t>
      </w:r>
      <w:r w:rsidRPr="009C4ACB">
        <w:rPr>
          <w:bCs/>
        </w:rPr>
        <w:t xml:space="preserve"> your hospital also uses direct observation to collect hand hygiene compliance data (not just for coaching/intervention) </w:t>
      </w:r>
      <w:r w:rsidR="00280F73">
        <w:rPr>
          <w:bCs/>
        </w:rPr>
        <w:t>throughout</w:t>
      </w:r>
      <w:r w:rsidRPr="009C4ACB">
        <w:rPr>
          <w:bCs/>
        </w:rPr>
        <w:t xml:space="preserve"> </w:t>
      </w:r>
      <w:r w:rsidRPr="009C4ACB">
        <w:rPr>
          <w:b/>
        </w:rPr>
        <w:t>all</w:t>
      </w:r>
      <w:r w:rsidRPr="009C4ACB">
        <w:rPr>
          <w:bCs/>
        </w:rPr>
        <w:t xml:space="preserve"> patient care units (including those with the electronic compliance monitoring system), you can select “yes, using only direct observation” in </w:t>
      </w:r>
      <w:r w:rsidR="00A81A4C">
        <w:rPr>
          <w:bCs/>
        </w:rPr>
        <w:t xml:space="preserve">either </w:t>
      </w:r>
      <w:r w:rsidRPr="009C4ACB">
        <w:rPr>
          <w:bCs/>
        </w:rPr>
        <w:t>question #8</w:t>
      </w:r>
      <w:r w:rsidR="006E178C">
        <w:rPr>
          <w:bCs/>
        </w:rPr>
        <w:t xml:space="preserve">, </w:t>
      </w:r>
      <w:r w:rsidR="00A81A4C">
        <w:rPr>
          <w:bCs/>
        </w:rPr>
        <w:t xml:space="preserve">question </w:t>
      </w:r>
      <w:r w:rsidRPr="009C4ACB">
        <w:rPr>
          <w:bCs/>
        </w:rPr>
        <w:t>#9</w:t>
      </w:r>
      <w:r w:rsidR="006E178C">
        <w:rPr>
          <w:bCs/>
        </w:rPr>
        <w:t>, or</w:t>
      </w:r>
      <w:r w:rsidR="00A81A4C">
        <w:rPr>
          <w:bCs/>
        </w:rPr>
        <w:t xml:space="preserve"> question</w:t>
      </w:r>
      <w:r w:rsidR="006E178C">
        <w:rPr>
          <w:bCs/>
        </w:rPr>
        <w:t xml:space="preserve"> #10</w:t>
      </w:r>
      <w:r w:rsidRPr="009C4ACB">
        <w:rPr>
          <w:bCs/>
        </w:rPr>
        <w:t xml:space="preserve"> and report on your adherence to the direct observation criteria only. Otherwise, you will need to respond “no” to question #1</w:t>
      </w:r>
      <w:r w:rsidR="006E178C">
        <w:rPr>
          <w:bCs/>
        </w:rPr>
        <w:t>2</w:t>
      </w:r>
      <w:r w:rsidRPr="009C4ACB">
        <w:rPr>
          <w:bCs/>
        </w:rPr>
        <w:t>.</w:t>
      </w:r>
    </w:p>
    <w:p w14:paraId="6E1B58AE" w14:textId="77777777" w:rsidR="00B65D10" w:rsidRPr="00844D05" w:rsidRDefault="00B65D10" w:rsidP="00844D05">
      <w:pPr>
        <w:rPr>
          <w:b/>
        </w:rPr>
      </w:pPr>
      <w:bookmarkStart w:id="614" w:name="HH_ecmidentify"/>
      <w:bookmarkEnd w:id="614"/>
    </w:p>
    <w:p w14:paraId="652DD6CE" w14:textId="64A84482" w:rsidR="00431312" w:rsidRPr="00D32DDF" w:rsidRDefault="00431312" w:rsidP="00AD309C">
      <w:pPr>
        <w:pStyle w:val="EndnoteText"/>
        <w:numPr>
          <w:ilvl w:val="0"/>
          <w:numId w:val="410"/>
        </w:numPr>
        <w:rPr>
          <w:b/>
        </w:rPr>
      </w:pPr>
      <w:r w:rsidRPr="009C4ACB">
        <w:rPr>
          <w:b/>
        </w:rPr>
        <w:t>Is</w:t>
      </w:r>
      <w:r w:rsidRPr="00D32DDF">
        <w:rPr>
          <w:b/>
        </w:rPr>
        <w:t xml:space="preserve"> Leapfrog encouraging hospitals to implement electronic compliance monitoring? These systems can be </w:t>
      </w:r>
      <w:r w:rsidR="00AE0BA7" w:rsidRPr="00D32DDF">
        <w:rPr>
          <w:b/>
        </w:rPr>
        <w:t>costly,</w:t>
      </w:r>
      <w:r w:rsidRPr="00D32DDF">
        <w:rPr>
          <w:b/>
        </w:rPr>
        <w:t xml:space="preserve"> and the technology still needs to advance.</w:t>
      </w:r>
    </w:p>
    <w:p w14:paraId="21227B7F" w14:textId="422F2C3B" w:rsidR="000C71F8" w:rsidRPr="00D32DDF" w:rsidRDefault="000C71F8" w:rsidP="00DD05E6">
      <w:pPr>
        <w:pStyle w:val="ListParagraph"/>
      </w:pPr>
      <w:r w:rsidRPr="00D32DDF">
        <w:t xml:space="preserve">The questions in the hand hygiene standard ask about a variety of strategies that can be used to monitor and improve hand hygiene. Leapfrog is encouraging hospitals to take a multimodal approach. </w:t>
      </w:r>
      <w:r w:rsidR="00F630DD" w:rsidRPr="00D32DDF">
        <w:t>Regarding</w:t>
      </w:r>
      <w:r w:rsidRPr="00D32DDF">
        <w:t xml:space="preserve"> monitoring, while hospitals can achieve the Leapfrog standard with direct observation alone, Leapfrog is communicating a strong preference for use of electronic monitoring (implemented according to evidence-based principles). In addition to literature suggesting electronic monitoring works better to pinpoint compliance issues, </w:t>
      </w:r>
      <w:r w:rsidR="00AA3DE5">
        <w:t xml:space="preserve">the difference in the </w:t>
      </w:r>
      <w:r w:rsidRPr="00D32DDF">
        <w:t xml:space="preserve">sheer number of </w:t>
      </w:r>
      <w:r w:rsidR="00311218">
        <w:t>hand hygiene opportunities</w:t>
      </w:r>
      <w:r w:rsidRPr="00D32DDF">
        <w:t xml:space="preserve"> covered by the two monitoring strategies represent powerful evidence in favor of electronic monitoring. Electronic monitoring allows facilities to monitor virtually every patient encounter, while direct observation monitors a selection. Based on the evidence, our standard calls for</w:t>
      </w:r>
      <w:r w:rsidR="00311218">
        <w:t xml:space="preserve"> monitoring</w:t>
      </w:r>
      <w:r w:rsidRPr="00D32DDF">
        <w:t xml:space="preserve"> 200 </w:t>
      </w:r>
      <w:r w:rsidR="00311218">
        <w:t>hand hygiene opportunities</w:t>
      </w:r>
      <w:r w:rsidRPr="00D32DDF">
        <w:t xml:space="preserve"> per unit per month, which is a small subset of overall hand hygiene opportunities. Even beyond capturing more encounters aligned with the evidence, electronic monitoring alleviates the ethical quandary of an observer watching patient harm without intervening. </w:t>
      </w:r>
    </w:p>
    <w:p w14:paraId="4BA9C088" w14:textId="77777777" w:rsidR="000C71F8" w:rsidRPr="00D32DDF" w:rsidRDefault="000C71F8" w:rsidP="000C71F8">
      <w:pPr>
        <w:pStyle w:val="ListParagraph"/>
        <w:ind w:left="576"/>
      </w:pPr>
    </w:p>
    <w:p w14:paraId="42E8746E" w14:textId="40AD1920" w:rsidR="000C71F8" w:rsidRPr="00D32DDF" w:rsidRDefault="000C71F8" w:rsidP="00DD05E6">
      <w:pPr>
        <w:pStyle w:val="ListParagraph"/>
      </w:pPr>
      <w:r w:rsidRPr="00D32DDF">
        <w:t>As with Computerized Physician Order Entry (CPOE) systems and Bar Code Medication Administration (BCMA) systems, we anticipate that electronic compliance monitoring technology will improve over time and become an important component of a comprehensive hand hygiene program. Electronic monitoring is a routine component of public safety in other industries where compliance is critical, so health care can and should achieve those standards for its patients.</w:t>
      </w:r>
    </w:p>
    <w:p w14:paraId="62D25073" w14:textId="77777777" w:rsidR="000C71F8" w:rsidRPr="00D32DDF" w:rsidRDefault="000C71F8" w:rsidP="000C71F8">
      <w:pPr>
        <w:pStyle w:val="ListParagraph"/>
        <w:ind w:left="576"/>
      </w:pPr>
    </w:p>
    <w:p w14:paraId="563EE98D" w14:textId="62C794CB" w:rsidR="00DD3DA9" w:rsidRPr="00154CD8" w:rsidRDefault="000C71F8" w:rsidP="00DD05E6">
      <w:pPr>
        <w:pStyle w:val="ListParagraph"/>
        <w:rPr>
          <w:bCs/>
          <w:highlight w:val="yellow"/>
        </w:rPr>
      </w:pPr>
      <w:r w:rsidRPr="00D32DDF">
        <w:t>All items included in Section 6</w:t>
      </w:r>
      <w:r w:rsidR="00B67D70">
        <w:t>C</w:t>
      </w:r>
      <w:r w:rsidRPr="00D32DDF">
        <w:t xml:space="preserve"> are based on the evidence review and recommendations from Leapfrog's national </w:t>
      </w:r>
      <w:hyperlink r:id="rId402" w:history="1">
        <w:r w:rsidRPr="00D32DDF">
          <w:rPr>
            <w:rStyle w:val="Hyperlink"/>
          </w:rPr>
          <w:t>Hand Hygiene Expert Panel</w:t>
        </w:r>
      </w:hyperlink>
      <w:r w:rsidRPr="00D32DDF">
        <w:t xml:space="preserve"> and others. We have included in the Hand Hygiene bibliography </w:t>
      </w:r>
      <w:r w:rsidR="00F630DD" w:rsidRPr="00D32DDF">
        <w:t>several</w:t>
      </w:r>
      <w:r w:rsidRPr="00D32DDF">
        <w:t xml:space="preserve"> peer-reviewed studies that have examined the benefits of using electronic monitoring systems over direct observation. The bibliography is available at </w:t>
      </w:r>
      <w:bookmarkStart w:id="615" w:name="HH_directobsdoc"/>
      <w:bookmarkEnd w:id="615"/>
      <w:r w:rsidR="00D72472">
        <w:fldChar w:fldCharType="begin"/>
      </w:r>
      <w:r w:rsidR="00D72472">
        <w:instrText>HYPERLINK "</w:instrText>
      </w:r>
      <w:r w:rsidR="00D72472" w:rsidRPr="00D72472">
        <w:instrText>https://ratings.leapfroggroup.org/measure/hospital/2025/handwashing</w:instrText>
      </w:r>
      <w:r w:rsidR="00D72472">
        <w:instrText>"</w:instrText>
      </w:r>
      <w:r w:rsidR="00D72472">
        <w:fldChar w:fldCharType="separate"/>
      </w:r>
      <w:r w:rsidR="00D72472" w:rsidRPr="00C37B4B">
        <w:rPr>
          <w:rStyle w:val="Hyperlink"/>
        </w:rPr>
        <w:t>https://ratings.leapfroggroup.org/measure/hospital/2025/handwashing</w:t>
      </w:r>
      <w:r w:rsidR="00D72472">
        <w:fldChar w:fldCharType="end"/>
      </w:r>
      <w:r w:rsidR="00D72472">
        <w:t xml:space="preserve">. </w:t>
      </w:r>
      <w:r w:rsidR="00746388">
        <w:br/>
      </w:r>
    </w:p>
    <w:p w14:paraId="0BC6F6E1" w14:textId="77777777" w:rsidR="00160788" w:rsidRDefault="00160788" w:rsidP="00AD309C">
      <w:pPr>
        <w:pStyle w:val="ListParagraph"/>
        <w:numPr>
          <w:ilvl w:val="0"/>
          <w:numId w:val="410"/>
        </w:numPr>
        <w:spacing w:after="120" w:line="264" w:lineRule="auto"/>
        <w:rPr>
          <w:b/>
        </w:rPr>
      </w:pPr>
      <w:bookmarkStart w:id="616" w:name="FAQ_OnlineTrainObservers"/>
      <w:bookmarkStart w:id="617" w:name="_Hlk181952362"/>
      <w:bookmarkEnd w:id="616"/>
      <w:r>
        <w:rPr>
          <w:b/>
        </w:rPr>
        <w:t>How does reporting the number of hand hygiene opportunities monitored in questions #8-10 impact our hospital’s scoring?</w:t>
      </w:r>
    </w:p>
    <w:p w14:paraId="2BE3744C" w14:textId="32472786" w:rsidR="00160788" w:rsidRDefault="00160788" w:rsidP="00DD05E6">
      <w:pPr>
        <w:pStyle w:val="ListParagraph"/>
        <w:contextualSpacing w:val="0"/>
        <w:rPr>
          <w:bCs/>
        </w:rPr>
      </w:pPr>
      <w:r>
        <w:rPr>
          <w:bCs/>
        </w:rPr>
        <w:t>Hospitals</w:t>
      </w:r>
      <w:r w:rsidRPr="00DF2331">
        <w:rPr>
          <w:bCs/>
        </w:rPr>
        <w:t xml:space="preserve"> can earn “Achieved the Standard” by either answering “yes” to question #8 and monitoring 200 hand hygiene opportunities </w:t>
      </w:r>
      <w:r w:rsidR="00E25B25">
        <w:rPr>
          <w:bCs/>
        </w:rPr>
        <w:t xml:space="preserve">(or at least the number of hand hygiene opportunities outlined based on the unit type in Tables 1-3 of the </w:t>
      </w:r>
      <w:hyperlink w:anchor="_Hand_Hygiene_Measure" w:history="1">
        <w:r w:rsidR="00E25B25" w:rsidRPr="009F4783">
          <w:rPr>
            <w:rStyle w:val="Hyperlink"/>
            <w:bCs/>
          </w:rPr>
          <w:t>Hand Hygiene Measure Specifications</w:t>
        </w:r>
      </w:hyperlink>
      <w:r w:rsidR="00E25B25">
        <w:rPr>
          <w:bCs/>
        </w:rPr>
        <w:t>)</w:t>
      </w:r>
      <w:r w:rsidR="00E25B25" w:rsidRPr="00DF2331">
        <w:rPr>
          <w:bCs/>
        </w:rPr>
        <w:t xml:space="preserve"> </w:t>
      </w:r>
      <w:r w:rsidRPr="00DF2331">
        <w:rPr>
          <w:bCs/>
        </w:rPr>
        <w:t xml:space="preserve">each month </w:t>
      </w:r>
      <w:r>
        <w:rPr>
          <w:bCs/>
        </w:rPr>
        <w:t xml:space="preserve">in each patient care unit </w:t>
      </w:r>
      <w:r w:rsidRPr="00DF2331">
        <w:rPr>
          <w:bCs/>
        </w:rPr>
        <w:t xml:space="preserve">and also meeting all other elements of the Monitoring and Feedback domains, as well as </w:t>
      </w:r>
      <w:r w:rsidR="00185680">
        <w:rPr>
          <w:bCs/>
        </w:rPr>
        <w:t xml:space="preserve">meeting all elements in </w:t>
      </w:r>
      <w:r w:rsidRPr="00DF2331">
        <w:rPr>
          <w:bCs/>
        </w:rPr>
        <w:t xml:space="preserve">2 of the 3 remaining domains OR by answering “yes” to question #9 and monitoring at least 100 hand hygiene opportunities </w:t>
      </w:r>
      <w:r w:rsidR="00495895">
        <w:rPr>
          <w:bCs/>
        </w:rPr>
        <w:t xml:space="preserve">(or at least the number of hand hygiene opportunities outlined based on the unit type in Tables 4-6 of the </w:t>
      </w:r>
      <w:hyperlink w:anchor="_Hand_Hygiene_Measure" w:history="1">
        <w:r w:rsidR="00495895" w:rsidRPr="00D6154D">
          <w:rPr>
            <w:rStyle w:val="Hyperlink"/>
            <w:bCs/>
          </w:rPr>
          <w:t>Hand Hygiene Measure Specifications</w:t>
        </w:r>
      </w:hyperlink>
      <w:r w:rsidR="00495895">
        <w:rPr>
          <w:bCs/>
        </w:rPr>
        <w:t>)</w:t>
      </w:r>
      <w:r w:rsidR="00495895" w:rsidRPr="00DF2331">
        <w:rPr>
          <w:bCs/>
        </w:rPr>
        <w:t xml:space="preserve"> </w:t>
      </w:r>
      <w:r w:rsidRPr="00DF2331">
        <w:rPr>
          <w:bCs/>
        </w:rPr>
        <w:t>each month</w:t>
      </w:r>
      <w:r>
        <w:rPr>
          <w:bCs/>
        </w:rPr>
        <w:t xml:space="preserve"> in each patient care unit</w:t>
      </w:r>
      <w:r w:rsidRPr="00DF2331">
        <w:rPr>
          <w:bCs/>
        </w:rPr>
        <w:t xml:space="preserve"> and also meeting all other elements of the Monitoring</w:t>
      </w:r>
      <w:r w:rsidR="00BC4DBF">
        <w:rPr>
          <w:bCs/>
        </w:rPr>
        <w:t xml:space="preserve"> domain</w:t>
      </w:r>
      <w:r w:rsidRPr="00DF2331">
        <w:rPr>
          <w:bCs/>
        </w:rPr>
        <w:t xml:space="preserve"> and all </w:t>
      </w:r>
      <w:r w:rsidR="00F55D99">
        <w:rPr>
          <w:bCs/>
        </w:rPr>
        <w:t xml:space="preserve">elements in the </w:t>
      </w:r>
      <w:r w:rsidRPr="00DF2331">
        <w:rPr>
          <w:bCs/>
        </w:rPr>
        <w:t>remaining</w:t>
      </w:r>
      <w:r w:rsidR="00235229">
        <w:rPr>
          <w:bCs/>
        </w:rPr>
        <w:t xml:space="preserve"> four</w:t>
      </w:r>
      <w:r w:rsidRPr="00DF2331">
        <w:rPr>
          <w:bCs/>
        </w:rPr>
        <w:t xml:space="preserve"> domains. Facilities that answer “yes” to question #10 and only monitor 100 hand hygiene opportunities a quarter are only eligible to earn a maximum performance category of “Considerable Achievement” based on their adherence to</w:t>
      </w:r>
      <w:r w:rsidR="00200BBE">
        <w:rPr>
          <w:bCs/>
        </w:rPr>
        <w:t xml:space="preserve"> the elements in</w:t>
      </w:r>
      <w:r w:rsidRPr="00DF2331">
        <w:rPr>
          <w:bCs/>
        </w:rPr>
        <w:t xml:space="preserve"> the other domains.</w:t>
      </w:r>
      <w:bookmarkEnd w:id="617"/>
      <w:r w:rsidR="00EC2F94" w:rsidRPr="00EC2F94">
        <w:rPr>
          <w:bCs/>
        </w:rPr>
        <w:t xml:space="preserve"> </w:t>
      </w:r>
      <w:r w:rsidR="00EC2F94">
        <w:rPr>
          <w:bCs/>
        </w:rPr>
        <w:t xml:space="preserve">Hospitals should review the Hand Hygiene scoring algorithm in the </w:t>
      </w:r>
      <w:hyperlink r:id="rId403" w:history="1">
        <w:r w:rsidR="00EC2F94" w:rsidRPr="00514D3F">
          <w:rPr>
            <w:rStyle w:val="Hyperlink"/>
            <w:bCs/>
          </w:rPr>
          <w:t>2025 Leapfrog Hospital Survey Scoring</w:t>
        </w:r>
      </w:hyperlink>
      <w:r w:rsidR="00EC2F94">
        <w:rPr>
          <w:bCs/>
        </w:rPr>
        <w:t xml:space="preserve"> Algorithms document for more details.</w:t>
      </w:r>
    </w:p>
    <w:p w14:paraId="2AD0BE7C" w14:textId="77777777" w:rsidR="00E77B4E" w:rsidRDefault="00E77B4E" w:rsidP="00E77B4E">
      <w:pPr>
        <w:pStyle w:val="ListParagraph"/>
        <w:ind w:left="576"/>
        <w:contextualSpacing w:val="0"/>
        <w:rPr>
          <w:bCs/>
        </w:rPr>
      </w:pPr>
    </w:p>
    <w:p w14:paraId="45096BE9" w14:textId="71B52624" w:rsidR="00C66188" w:rsidRPr="00893060" w:rsidRDefault="00C66188" w:rsidP="00AD309C">
      <w:pPr>
        <w:pStyle w:val="EndnoteText"/>
        <w:numPr>
          <w:ilvl w:val="0"/>
          <w:numId w:val="410"/>
        </w:numPr>
        <w:rPr>
          <w:b/>
        </w:rPr>
      </w:pPr>
      <w:r w:rsidRPr="00893060">
        <w:rPr>
          <w:b/>
        </w:rPr>
        <w:t>Are online training modules acceptable for the purposes of training hand hygiene compliance observers in question #1</w:t>
      </w:r>
      <w:r w:rsidR="00FF3311">
        <w:rPr>
          <w:b/>
        </w:rPr>
        <w:t>5</w:t>
      </w:r>
      <w:r w:rsidRPr="00893060">
        <w:rPr>
          <w:b/>
        </w:rPr>
        <w:t>?</w:t>
      </w:r>
    </w:p>
    <w:p w14:paraId="4FD70E8D" w14:textId="0290680C" w:rsidR="00E77B4E" w:rsidRPr="00161376" w:rsidRDefault="00C66188" w:rsidP="00DD05E6">
      <w:pPr>
        <w:pStyle w:val="EndnoteText"/>
        <w:ind w:left="720"/>
        <w:rPr>
          <w:bCs/>
        </w:rPr>
      </w:pPr>
      <w:bookmarkStart w:id="618" w:name="_Hlk43155249"/>
      <w:r w:rsidRPr="00E77B4E">
        <w:rPr>
          <w:bCs/>
        </w:rPr>
        <w:t>Online</w:t>
      </w:r>
      <w:r w:rsidRPr="00893060">
        <w:rPr>
          <w:bCs/>
        </w:rPr>
        <w:t xml:space="preserve"> training can be used for the initial and recurrent training of hand hygiene compliance observers</w:t>
      </w:r>
      <w:r w:rsidR="009B4891">
        <w:rPr>
          <w:bCs/>
        </w:rPr>
        <w:t xml:space="preserve">. Please refer to </w:t>
      </w:r>
      <w:r w:rsidR="00844D05">
        <w:rPr>
          <w:bCs/>
        </w:rPr>
        <w:t>the Hand Hygiene Measure Specifications</w:t>
      </w:r>
      <w:r w:rsidR="009B4891">
        <w:rPr>
          <w:bCs/>
        </w:rPr>
        <w:t xml:space="preserve"> for more information on the requirements for the</w:t>
      </w:r>
      <w:r w:rsidRPr="00893060">
        <w:rPr>
          <w:bCs/>
        </w:rPr>
        <w:t xml:space="preserve"> validation</w:t>
      </w:r>
      <w:r w:rsidR="009B4891">
        <w:rPr>
          <w:bCs/>
        </w:rPr>
        <w:t xml:space="preserve"> of </w:t>
      </w:r>
      <w:r w:rsidRPr="00893060">
        <w:rPr>
          <w:bCs/>
        </w:rPr>
        <w:t>hand hygiene compliance observers</w:t>
      </w:r>
      <w:r w:rsidRPr="00251EA1">
        <w:rPr>
          <w:bCs/>
        </w:rPr>
        <w:t>.</w:t>
      </w:r>
      <w:bookmarkEnd w:id="613"/>
      <w:bookmarkEnd w:id="618"/>
    </w:p>
    <w:p w14:paraId="6CC0862A" w14:textId="77777777" w:rsidR="008536F5" w:rsidRPr="008C51CB" w:rsidRDefault="008536F5" w:rsidP="0002601E">
      <w:pPr>
        <w:pStyle w:val="Heading44"/>
        <w:rPr>
          <w:sz w:val="20"/>
        </w:rPr>
      </w:pPr>
    </w:p>
    <w:p w14:paraId="75EA3C63" w14:textId="00A3CF29" w:rsidR="00C66188" w:rsidRPr="0002601E" w:rsidRDefault="00C66188" w:rsidP="0002601E">
      <w:pPr>
        <w:pStyle w:val="Heading44"/>
      </w:pPr>
      <w:r w:rsidRPr="0002601E">
        <w:lastRenderedPageBreak/>
        <w:t>Feedback</w:t>
      </w:r>
    </w:p>
    <w:p w14:paraId="0CC59EAD" w14:textId="77777777" w:rsidR="00211AF2" w:rsidRPr="008C51CB" w:rsidRDefault="00211AF2" w:rsidP="0002601E">
      <w:pPr>
        <w:pStyle w:val="Heading44"/>
        <w:rPr>
          <w:i/>
          <w:sz w:val="20"/>
        </w:rPr>
      </w:pPr>
    </w:p>
    <w:p w14:paraId="1DB908BD" w14:textId="31A2D1AD" w:rsidR="00C66188" w:rsidRPr="00893060" w:rsidRDefault="00C66188" w:rsidP="00AD309C">
      <w:pPr>
        <w:pStyle w:val="EndnoteText"/>
        <w:numPr>
          <w:ilvl w:val="0"/>
          <w:numId w:val="410"/>
        </w:numPr>
        <w:rPr>
          <w:b/>
        </w:rPr>
      </w:pPr>
      <w:bookmarkStart w:id="619" w:name="HH_accountability"/>
      <w:bookmarkStart w:id="620" w:name="HH_PerformanceReview"/>
      <w:bookmarkEnd w:id="619"/>
      <w:r w:rsidRPr="00893060">
        <w:rPr>
          <w:b/>
        </w:rPr>
        <w:t>For the purposes of responding to question #1</w:t>
      </w:r>
      <w:r w:rsidR="00FF3311">
        <w:rPr>
          <w:b/>
        </w:rPr>
        <w:t>9</w:t>
      </w:r>
      <w:r w:rsidRPr="00893060">
        <w:rPr>
          <w:b/>
        </w:rPr>
        <w:t>, what are some examples of how hospital leadership can be held accountable through performance reviews or compensation?</w:t>
      </w:r>
    </w:p>
    <w:p w14:paraId="7BB007FE" w14:textId="181F2AD4" w:rsidR="00C66188" w:rsidRPr="001666D3" w:rsidRDefault="00C66188" w:rsidP="00DD05E6">
      <w:pPr>
        <w:pStyle w:val="EndnoteText"/>
        <w:ind w:left="720"/>
      </w:pPr>
      <w:r w:rsidRPr="00893060">
        <w:t>A performance review or compensation plan should include specific language about hand hygiene performance. A list of hand hygiene practices and related goals may be incorporated into the performance review and/or compensation plan or</w:t>
      </w:r>
      <w:r w:rsidRPr="00893060">
        <w:rPr>
          <w:b/>
        </w:rPr>
        <w:t xml:space="preserve"> </w:t>
      </w:r>
      <w:r w:rsidRPr="00893060">
        <w:t xml:space="preserve">formalized programs whereby a measure of </w:t>
      </w:r>
      <w:r w:rsidRPr="00893060">
        <w:rPr>
          <w:noProof/>
        </w:rPr>
        <w:t>success</w:t>
      </w:r>
      <w:r w:rsidRPr="00893060">
        <w:t xml:space="preserve"> of those activities or programs is tied to individual performance reviews or compensation incentive plans of executives. Examples include meeting targets for hand hygiene compliance rates, having bonuses tied to structural changes like the implementation of electronic compliance monitoring systems, etc. Language pertaining solely to infection control practices and performance would NOT be sufficient.</w:t>
      </w:r>
      <w:r w:rsidR="00161376">
        <w:br/>
      </w:r>
    </w:p>
    <w:p w14:paraId="2B2F91A9" w14:textId="07324728" w:rsidR="00C66188" w:rsidRDefault="00C66188" w:rsidP="00211AF2">
      <w:pPr>
        <w:pStyle w:val="Heading44"/>
      </w:pPr>
      <w:r w:rsidRPr="00893060">
        <w:t>Culture</w:t>
      </w:r>
    </w:p>
    <w:p w14:paraId="1CAD5A54" w14:textId="77777777" w:rsidR="00211AF2" w:rsidRPr="008C51CB" w:rsidRDefault="00211AF2" w:rsidP="0002601E">
      <w:pPr>
        <w:pStyle w:val="Heading44"/>
        <w:rPr>
          <w:sz w:val="20"/>
        </w:rPr>
      </w:pPr>
    </w:p>
    <w:p w14:paraId="5AF3D9EF" w14:textId="77777777" w:rsidR="00C66188" w:rsidRPr="00893060" w:rsidRDefault="00C66188" w:rsidP="00AD309C">
      <w:pPr>
        <w:pStyle w:val="EndnoteText"/>
        <w:numPr>
          <w:ilvl w:val="0"/>
          <w:numId w:val="410"/>
        </w:numPr>
        <w:rPr>
          <w:b/>
        </w:rPr>
      </w:pPr>
      <w:bookmarkStart w:id="621" w:name="HH_remind"/>
      <w:bookmarkEnd w:id="621"/>
      <w:r w:rsidRPr="00893060">
        <w:rPr>
          <w:b/>
        </w:rPr>
        <w:t>What are some examples of how patients and visitors can be invited to remind individuals who touch patients or who touch items that will be used by patients to perform hand hygiene?</w:t>
      </w:r>
    </w:p>
    <w:p w14:paraId="57FC81FC" w14:textId="77777777" w:rsidR="00C66188" w:rsidRPr="00893060" w:rsidRDefault="00C66188" w:rsidP="00DD05E6">
      <w:pPr>
        <w:pStyle w:val="EndnoteText"/>
        <w:ind w:left="720"/>
      </w:pPr>
      <w:r w:rsidRPr="00893060">
        <w:t>Patients and visitors can be invited to remind individuals who touch patients or who touch items that will be used by patients to perform hand hygiene with posters placed in patient care units, bedside placards, buttons worn by the staff, etc.</w:t>
      </w:r>
    </w:p>
    <w:p w14:paraId="0D138A6D" w14:textId="77777777" w:rsidR="00C66188" w:rsidRPr="00893060" w:rsidRDefault="00C66188" w:rsidP="00C66188">
      <w:pPr>
        <w:pStyle w:val="EndnoteText"/>
        <w:ind w:left="576"/>
      </w:pPr>
    </w:p>
    <w:p w14:paraId="41B21DF6" w14:textId="2EB5EEAE" w:rsidR="00C66188" w:rsidRPr="00893060" w:rsidRDefault="00C66188" w:rsidP="00AD309C">
      <w:pPr>
        <w:pStyle w:val="EndnoteText"/>
        <w:numPr>
          <w:ilvl w:val="0"/>
          <w:numId w:val="410"/>
        </w:numPr>
        <w:rPr>
          <w:b/>
        </w:rPr>
      </w:pPr>
      <w:bookmarkStart w:id="622" w:name="HH_commitment"/>
      <w:bookmarkEnd w:id="622"/>
      <w:r w:rsidRPr="00893060">
        <w:rPr>
          <w:b/>
        </w:rPr>
        <w:t>What are some examples of demonstrating a commitment to hand hygiene improvement as referenced in question #2</w:t>
      </w:r>
      <w:r w:rsidR="00FF3311">
        <w:rPr>
          <w:b/>
        </w:rPr>
        <w:t>1</w:t>
      </w:r>
      <w:r w:rsidRPr="00893060">
        <w:rPr>
          <w:b/>
        </w:rPr>
        <w:t>?</w:t>
      </w:r>
    </w:p>
    <w:p w14:paraId="0805D665" w14:textId="5825CA78" w:rsidR="00371FF5" w:rsidRDefault="00C66188" w:rsidP="006A64B0">
      <w:pPr>
        <w:ind w:left="720"/>
      </w:pPr>
      <w:r w:rsidRPr="00893060">
        <w:t>Some examples of how individuals can demonstrate a commitment to support hand hygiene improvement are written or verbal commitments given during town hall meetings, videos, e-mails from the CEO, public comments to staff, etc. This needs to be a verbal or written commitment that is delivered to those</w:t>
      </w:r>
      <w:r w:rsidRPr="007D3558">
        <w:t xml:space="preserve"> individuals who touch patients or who touch items that will be used by patients</w:t>
      </w:r>
      <w:r w:rsidRPr="00893060">
        <w:t>.</w:t>
      </w:r>
      <w:bookmarkEnd w:id="607"/>
      <w:bookmarkEnd w:id="620"/>
    </w:p>
    <w:p w14:paraId="3039B6D8" w14:textId="77777777" w:rsidR="006A64B0" w:rsidRDefault="006A64B0" w:rsidP="006A64B0">
      <w:pPr>
        <w:ind w:left="720"/>
        <w:rPr>
          <w:snapToGrid w:val="0"/>
          <w:lang w:eastAsia="ja-JP"/>
        </w:rPr>
      </w:pPr>
    </w:p>
    <w:p w14:paraId="3DA95ACE" w14:textId="1631346D" w:rsidR="00B65144" w:rsidRDefault="00B65144" w:rsidP="00AB5B80">
      <w:pPr>
        <w:pStyle w:val="Heading3"/>
      </w:pPr>
      <w:bookmarkStart w:id="623" w:name="_Toc225877803"/>
      <w:r>
        <w:t>Diagnostic Excellence</w:t>
      </w:r>
      <w:r w:rsidR="00D57961">
        <w:t xml:space="preserve"> FAQs</w:t>
      </w:r>
      <w:bookmarkEnd w:id="623"/>
    </w:p>
    <w:p w14:paraId="250D5818" w14:textId="77777777" w:rsidR="00B65144" w:rsidRDefault="00B65144" w:rsidP="00B65144"/>
    <w:p w14:paraId="66FB1E3E" w14:textId="77777777" w:rsidR="00671AD8" w:rsidRPr="00061299" w:rsidRDefault="00671AD8" w:rsidP="00AD309C">
      <w:pPr>
        <w:pStyle w:val="ListParagraph"/>
        <w:numPr>
          <w:ilvl w:val="0"/>
          <w:numId w:val="410"/>
        </w:numPr>
        <w:rPr>
          <w:b/>
        </w:rPr>
      </w:pPr>
      <w:r w:rsidRPr="00061299">
        <w:rPr>
          <w:b/>
        </w:rPr>
        <w:t>Can our hospital system convene a multidisciplinary team at the system level, instead of individual hospitals assembling teams at their respective facilities?</w:t>
      </w:r>
    </w:p>
    <w:p w14:paraId="520733B8" w14:textId="5AA54941" w:rsidR="008D1EED" w:rsidRDefault="008D1EED" w:rsidP="008D1EED">
      <w:pPr>
        <w:pStyle w:val="ListParagraph"/>
        <w:rPr>
          <w:rFonts w:cs="Arial"/>
        </w:rPr>
      </w:pPr>
      <w:r w:rsidRPr="00D63647">
        <w:rPr>
          <w:rFonts w:cs="Arial"/>
        </w:rPr>
        <w:t>Multidisciplinary teams convened to solely focus on reducing errors</w:t>
      </w:r>
      <w:r w:rsidR="00F357C7">
        <w:rPr>
          <w:rFonts w:cs="Arial"/>
        </w:rPr>
        <w:t xml:space="preserve"> in the </w:t>
      </w:r>
      <w:r w:rsidR="00F357C7" w:rsidRPr="00D63647">
        <w:rPr>
          <w:rFonts w:cs="Arial"/>
        </w:rPr>
        <w:t>diagnostic</w:t>
      </w:r>
      <w:r w:rsidR="00F357C7">
        <w:rPr>
          <w:rFonts w:cs="Arial"/>
        </w:rPr>
        <w:t xml:space="preserve"> process</w:t>
      </w:r>
      <w:r w:rsidRPr="00D63647">
        <w:rPr>
          <w:rFonts w:cs="Arial"/>
        </w:rPr>
        <w:t xml:space="preserve"> can be convened at the system level. However, each meeting must include specific discussion of each individual hospital in the system, in order to closely </w:t>
      </w:r>
      <w:r w:rsidRPr="00D63647">
        <w:rPr>
          <w:rFonts w:cs="Arial"/>
          <w:b/>
          <w:bCs/>
        </w:rPr>
        <w:t>oversee</w:t>
      </w:r>
      <w:r w:rsidRPr="00D63647">
        <w:rPr>
          <w:rFonts w:cs="Arial"/>
        </w:rPr>
        <w:t xml:space="preserve"> case analyses, review data specific to individual sites, and be responsive to the individual hospital’s leadership.</w:t>
      </w:r>
    </w:p>
    <w:p w14:paraId="79580D4E" w14:textId="77777777" w:rsidR="008D1EED" w:rsidRDefault="008D1EED" w:rsidP="008D1EED">
      <w:pPr>
        <w:pStyle w:val="ListParagraph"/>
        <w:rPr>
          <w:rFonts w:cs="Arial"/>
        </w:rPr>
      </w:pPr>
    </w:p>
    <w:p w14:paraId="42036604" w14:textId="7A468DBA" w:rsidR="008D1EED" w:rsidRPr="003041BC" w:rsidRDefault="008D1EED" w:rsidP="008D1EED">
      <w:pPr>
        <w:pStyle w:val="ListParagraph"/>
        <w:numPr>
          <w:ilvl w:val="0"/>
          <w:numId w:val="410"/>
        </w:numPr>
        <w:rPr>
          <w:rFonts w:cs="Aptos"/>
          <w:b/>
          <w:bCs/>
        </w:rPr>
      </w:pPr>
      <w:r w:rsidRPr="003041BC">
        <w:rPr>
          <w:rFonts w:cs="Arial"/>
          <w:b/>
          <w:bCs/>
        </w:rPr>
        <w:t xml:space="preserve">As our hospital </w:t>
      </w:r>
      <w:r w:rsidRPr="003041BC">
        <w:rPr>
          <w:rFonts w:cs="Aptos"/>
          <w:b/>
          <w:bCs/>
        </w:rPr>
        <w:t xml:space="preserve">reviews clinical or administrative data, patient experience or patient reported data, or incident reports to identify or track errors in </w:t>
      </w:r>
      <w:r w:rsidR="003C2564">
        <w:rPr>
          <w:rFonts w:cs="Aptos"/>
          <w:b/>
          <w:bCs/>
        </w:rPr>
        <w:t>the diagnostic process</w:t>
      </w:r>
      <w:r w:rsidRPr="003041BC">
        <w:rPr>
          <w:rFonts w:cs="Aptos"/>
          <w:b/>
          <w:bCs/>
        </w:rPr>
        <w:t>, as described in question #2, what specific methodology should be used to conduct a root cause analysis of these errors in</w:t>
      </w:r>
      <w:r w:rsidR="005D33B8">
        <w:rPr>
          <w:rFonts w:cs="Aptos"/>
          <w:b/>
          <w:bCs/>
        </w:rPr>
        <w:t xml:space="preserve"> the diagnostic process</w:t>
      </w:r>
      <w:r w:rsidRPr="003041BC">
        <w:rPr>
          <w:rFonts w:cs="Aptos"/>
          <w:b/>
          <w:bCs/>
        </w:rPr>
        <w:t>?</w:t>
      </w:r>
    </w:p>
    <w:p w14:paraId="176D8AE3" w14:textId="77777777" w:rsidR="008D1EED" w:rsidRDefault="008D1EED" w:rsidP="008D1EED">
      <w:pPr>
        <w:ind w:left="720"/>
        <w:contextualSpacing/>
        <w:rPr>
          <w:rFonts w:cs="Arial"/>
        </w:rPr>
      </w:pPr>
      <w:r>
        <w:rPr>
          <w:rFonts w:cs="Arial"/>
        </w:rPr>
        <w:t xml:space="preserve">Together with a team of leading experts, Leapfrog has </w:t>
      </w:r>
      <w:r w:rsidRPr="000850DD">
        <w:t xml:space="preserve">published </w:t>
      </w:r>
      <w:hyperlink r:id="rId404" w:history="1">
        <w:r w:rsidRPr="00855D4C">
          <w:rPr>
            <w:rStyle w:val="Hyperlink"/>
            <w:rFonts w:cs="Arial"/>
          </w:rPr>
          <w:t>Root Cause Analysis of Cases Involving Diagnosis: A Handbook for Healthcare Organizations</w:t>
        </w:r>
      </w:hyperlink>
      <w:r>
        <w:rPr>
          <w:rFonts w:cs="Arial"/>
        </w:rPr>
        <w:t>. This resource offers authoritative guidance on how to modify existing approaches to conducting a RCA to study cases involving diagnosis. Guidance covers the process for finding cases of diagnostic error and how to convene an RCA team, map problems with the diagnostic process, use fishbone diagrams to consider possible domains of causes, and select appropriate interventions.</w:t>
      </w:r>
    </w:p>
    <w:p w14:paraId="09813023" w14:textId="77777777" w:rsidR="0029191D" w:rsidRDefault="0029191D" w:rsidP="008D1EED">
      <w:pPr>
        <w:ind w:left="720"/>
        <w:contextualSpacing/>
        <w:rPr>
          <w:rFonts w:cs="Arial"/>
        </w:rPr>
      </w:pPr>
    </w:p>
    <w:p w14:paraId="25D429BB" w14:textId="46DF5CEE" w:rsidR="0029191D" w:rsidRDefault="0029191D" w:rsidP="008D1EED">
      <w:pPr>
        <w:ind w:left="720"/>
        <w:contextualSpacing/>
        <w:rPr>
          <w:rFonts w:cs="Arial"/>
        </w:rPr>
      </w:pPr>
      <w:r w:rsidRPr="000F113B">
        <w:rPr>
          <w:rFonts w:cs="Arial"/>
        </w:rPr>
        <w:t xml:space="preserve">The Agency for Healthcare Research and Quality has also published </w:t>
      </w:r>
      <w:hyperlink r:id="rId405" w:history="1">
        <w:r w:rsidR="00195294" w:rsidRPr="005A1909">
          <w:rPr>
            <w:rStyle w:val="Hyperlink"/>
            <w:rFonts w:cs="Arial"/>
          </w:rPr>
          <w:t>Measure Dx: A Resource to Identify, Analyze, and Learn from Diagnostic Safety Events</w:t>
        </w:r>
      </w:hyperlink>
      <w:r w:rsidR="00195294">
        <w:rPr>
          <w:rFonts w:cs="Arial"/>
        </w:rPr>
        <w:t xml:space="preserve"> </w:t>
      </w:r>
      <w:r w:rsidRPr="000F113B">
        <w:rPr>
          <w:rFonts w:cs="Arial"/>
        </w:rPr>
        <w:t>that can be further leveraged as resource. The toolkit is open access, and includes strategies and resources (e.g. infographics, checklists, case review tools) that can be used to set a baseline for implementation, conduct a self-assessment, implement strategies, and reviewing and analyzing case data to identify actionable insights to improve patient safety and reduce diagnostic errors.</w:t>
      </w:r>
    </w:p>
    <w:p w14:paraId="6075DB5D" w14:textId="77777777" w:rsidR="008D1EED" w:rsidRDefault="008D1EED" w:rsidP="008D1EED">
      <w:pPr>
        <w:ind w:left="720"/>
        <w:contextualSpacing/>
        <w:rPr>
          <w:rFonts w:cs="Arial"/>
        </w:rPr>
      </w:pPr>
    </w:p>
    <w:p w14:paraId="246D61C4" w14:textId="2801D907" w:rsidR="008D1EED" w:rsidRPr="003041BC" w:rsidRDefault="008D1EED" w:rsidP="008D1EED">
      <w:pPr>
        <w:pStyle w:val="ListParagraph"/>
        <w:numPr>
          <w:ilvl w:val="0"/>
          <w:numId w:val="410"/>
        </w:numPr>
        <w:rPr>
          <w:rFonts w:cs="Arial"/>
          <w:b/>
          <w:bCs/>
        </w:rPr>
      </w:pPr>
      <w:r w:rsidRPr="003041BC">
        <w:rPr>
          <w:rFonts w:cs="Arial"/>
          <w:b/>
          <w:bCs/>
        </w:rPr>
        <w:lastRenderedPageBreak/>
        <w:t xml:space="preserve">As our hospital pursues initiatives aimed at reducing harm to patients from errors in </w:t>
      </w:r>
      <w:r w:rsidR="00F61371">
        <w:rPr>
          <w:rFonts w:cs="Aptos"/>
          <w:b/>
          <w:bCs/>
        </w:rPr>
        <w:t>the diagnostic process</w:t>
      </w:r>
      <w:r w:rsidRPr="003041BC">
        <w:rPr>
          <w:rFonts w:cs="Arial"/>
          <w:b/>
          <w:bCs/>
        </w:rPr>
        <w:t>, how can patients and</w:t>
      </w:r>
      <w:r w:rsidR="00173960">
        <w:rPr>
          <w:rFonts w:cs="Arial"/>
          <w:b/>
          <w:bCs/>
        </w:rPr>
        <w:t>/or care partners</w:t>
      </w:r>
      <w:r w:rsidRPr="003041BC">
        <w:rPr>
          <w:rFonts w:cs="Arial"/>
          <w:b/>
          <w:bCs/>
        </w:rPr>
        <w:t xml:space="preserve"> be engaged in that effort?</w:t>
      </w:r>
    </w:p>
    <w:p w14:paraId="134C7406" w14:textId="69BE83E7" w:rsidR="008D1EED" w:rsidRDefault="009933B2" w:rsidP="008D1EED">
      <w:pPr>
        <w:ind w:left="720"/>
        <w:contextualSpacing/>
        <w:rPr>
          <w:rFonts w:cs="Arial"/>
        </w:rPr>
      </w:pPr>
      <w:r>
        <w:rPr>
          <w:rFonts w:cs="Arial"/>
        </w:rPr>
        <w:t xml:space="preserve">In addition to including a patient and/or care partner on the multidisciplinary team </w:t>
      </w:r>
      <w:r>
        <w:rPr>
          <w:rFonts w:cstheme="minorHAnsi"/>
        </w:rPr>
        <w:t>f</w:t>
      </w:r>
      <w:r w:rsidRPr="00D66BB6">
        <w:rPr>
          <w:rFonts w:cstheme="minorHAnsi"/>
        </w:rPr>
        <w:t xml:space="preserve">ocused on reducing harm to patients from errors in </w:t>
      </w:r>
      <w:r>
        <w:rPr>
          <w:rFonts w:cstheme="minorHAnsi"/>
        </w:rPr>
        <w:t xml:space="preserve">the </w:t>
      </w:r>
      <w:r w:rsidRPr="00D66BB6">
        <w:rPr>
          <w:rFonts w:cstheme="minorHAnsi"/>
        </w:rPr>
        <w:t>diagnos</w:t>
      </w:r>
      <w:r>
        <w:rPr>
          <w:rFonts w:cstheme="minorHAnsi"/>
        </w:rPr>
        <w:t>tic process, hospitals can work with their PFACs to reduce errors in the diagnostic process.</w:t>
      </w:r>
      <w:r>
        <w:rPr>
          <w:rFonts w:cs="Arial"/>
        </w:rPr>
        <w:t xml:space="preserve"> </w:t>
      </w:r>
      <w:r w:rsidR="008D1EED">
        <w:rPr>
          <w:rFonts w:cs="Arial"/>
        </w:rPr>
        <w:t xml:space="preserve">Leapfrog has created a </w:t>
      </w:r>
      <w:hyperlink r:id="rId406" w:history="1">
        <w:r w:rsidR="008D1EED" w:rsidRPr="00A376A4">
          <w:rPr>
            <w:rStyle w:val="Hyperlink"/>
            <w:rFonts w:cs="Arial"/>
          </w:rPr>
          <w:t>Patient and Family Advisory Council (PFAC) Toolkit for Exploring Diagnostic Quality</w:t>
        </w:r>
      </w:hyperlink>
      <w:r w:rsidR="008D1EED">
        <w:rPr>
          <w:rFonts w:cs="Arial"/>
        </w:rPr>
        <w:t>, which offers specific guidance for hospitals and PFAC members who look to partner in designing and deploying initiatives to push for diagnostic safety. This web-based tool includes overall introductions to patient and family engagement and convening a PFAC, detailed information and educational materials on the diagnostic process aimed at a lay audience, and specific examples of model PFAC initiatives focused on diagnostic safety and quality.</w:t>
      </w:r>
    </w:p>
    <w:p w14:paraId="46DF9A0B" w14:textId="3B963C3E" w:rsidR="00A26F99" w:rsidRDefault="00A26F99">
      <w:pPr>
        <w:rPr>
          <w:bCs/>
        </w:rPr>
      </w:pPr>
      <w:bookmarkStart w:id="624" w:name="pathologyFAQ_6D"/>
      <w:bookmarkEnd w:id="624"/>
    </w:p>
    <w:p w14:paraId="7B1937DD" w14:textId="6B1DB60E" w:rsidR="00762AAA" w:rsidRPr="00CF4B6D" w:rsidRDefault="00762AAA" w:rsidP="006A751F">
      <w:pPr>
        <w:pStyle w:val="ListParagraph"/>
        <w:numPr>
          <w:ilvl w:val="0"/>
          <w:numId w:val="410"/>
        </w:numPr>
        <w:rPr>
          <w:rFonts w:cs="Arial"/>
          <w:b/>
          <w:bCs/>
        </w:rPr>
      </w:pPr>
      <w:bookmarkStart w:id="625" w:name="teamstepps"/>
      <w:bookmarkEnd w:id="625"/>
      <w:r w:rsidRPr="00CF4B6D">
        <w:rPr>
          <w:rFonts w:cs="Arial"/>
          <w:b/>
          <w:bCs/>
        </w:rPr>
        <w:t>If our hospital is already conducting a TeamSTEPPS 3.0 training for staff, can the elements from TeamSTEPPS for Diagnosis Improvement be incorporated into the general TeamSTEPPS 3.0 training, rather than given as a standalone training?</w:t>
      </w:r>
    </w:p>
    <w:p w14:paraId="5B2623B0" w14:textId="5ADFE626" w:rsidR="0004549D" w:rsidRPr="00762AAA" w:rsidRDefault="00762AAA" w:rsidP="00762AAA">
      <w:pPr>
        <w:pStyle w:val="ListParagraph"/>
        <w:rPr>
          <w:rFonts w:cs="Arial"/>
        </w:rPr>
      </w:pPr>
      <w:r w:rsidRPr="00713A4D">
        <w:rPr>
          <w:rFonts w:cs="Arial"/>
        </w:rPr>
        <w:t xml:space="preserve">If your course facilitator for the TeamSTEPPS program specifically incorporates slides from the TeamSTEPPS for Diagnosis program to cover diagnosis-specific concepts and tools, that would be an acceptable approach, and is supported by the TeamSTEPPS for Diagnosis Course itself. </w:t>
      </w:r>
      <w:r>
        <w:rPr>
          <w:rFonts w:cs="Arial"/>
        </w:rPr>
        <w:t>Note that in</w:t>
      </w:r>
      <w:r w:rsidRPr="00713A4D">
        <w:rPr>
          <w:rFonts w:cs="Arial"/>
        </w:rPr>
        <w:t xml:space="preserve"> slide 13 of the TeamSTEPPS for Dx Introduction Slide Set</w:t>
      </w:r>
      <w:r>
        <w:rPr>
          <w:rFonts w:cs="Arial"/>
        </w:rPr>
        <w:t>, facilitators are encouraged to “</w:t>
      </w:r>
      <w:r w:rsidRPr="00713A4D">
        <w:rPr>
          <w:rFonts w:cs="Arial"/>
        </w:rPr>
        <w:t>review all the TeamSTEPPS materials before planning your training. In this way, you can determine your site’s communication needs and develop a targeted approach using the diagnosis-specific and general TeamSTEPPS tools as appropriate.</w:t>
      </w:r>
      <w:r>
        <w:rPr>
          <w:rFonts w:cs="Arial"/>
        </w:rPr>
        <w:t>”</w:t>
      </w:r>
      <w:r w:rsidRPr="00713A4D">
        <w:rPr>
          <w:rFonts w:cs="Arial"/>
        </w:rPr>
        <w:br/>
      </w:r>
      <w:r w:rsidRPr="00713A4D">
        <w:rPr>
          <w:rFonts w:cs="Arial"/>
        </w:rPr>
        <w:br/>
      </w:r>
      <w:r>
        <w:rPr>
          <w:rFonts w:cs="Arial"/>
        </w:rPr>
        <w:t xml:space="preserve">Note that in order to document </w:t>
      </w:r>
      <w:r w:rsidRPr="00713A4D">
        <w:rPr>
          <w:rFonts w:cs="Arial"/>
        </w:rPr>
        <w:t xml:space="preserve">that the TeamSTEPPS for Diagnosis training was conducted, </w:t>
      </w:r>
      <w:r>
        <w:rPr>
          <w:rFonts w:cs="Arial"/>
        </w:rPr>
        <w:t>course materials should be saved and clear</w:t>
      </w:r>
      <w:r w:rsidR="00A83DB7">
        <w:rPr>
          <w:rFonts w:cs="Arial"/>
        </w:rPr>
        <w:t>ly</w:t>
      </w:r>
      <w:r>
        <w:rPr>
          <w:rFonts w:cs="Arial"/>
        </w:rPr>
        <w:t xml:space="preserve"> indicate</w:t>
      </w:r>
      <w:r w:rsidRPr="00713A4D">
        <w:rPr>
          <w:rFonts w:cs="Arial"/>
        </w:rPr>
        <w:t xml:space="preserve"> </w:t>
      </w:r>
      <w:r>
        <w:rPr>
          <w:rFonts w:cs="Arial"/>
        </w:rPr>
        <w:t xml:space="preserve">the TeamSTEPPS </w:t>
      </w:r>
      <w:r w:rsidRPr="00713A4D">
        <w:rPr>
          <w:rFonts w:cs="Arial"/>
        </w:rPr>
        <w:t xml:space="preserve">content specific to diagnosis has been </w:t>
      </w:r>
      <w:r>
        <w:rPr>
          <w:rFonts w:cs="Arial"/>
        </w:rPr>
        <w:t>incorporated</w:t>
      </w:r>
      <w:r w:rsidRPr="00713A4D">
        <w:rPr>
          <w:rFonts w:cs="Arial"/>
        </w:rPr>
        <w:t>, including key terms and examples used.</w:t>
      </w:r>
    </w:p>
    <w:p w14:paraId="5716CC59" w14:textId="77777777" w:rsidR="0036306B" w:rsidRPr="008C51CB" w:rsidRDefault="0036306B">
      <w:pPr>
        <w:rPr>
          <w:rFonts w:cs="Arial"/>
          <w:b/>
          <w:i/>
          <w:snapToGrid w:val="0"/>
          <w:lang w:eastAsia="ja-JP"/>
        </w:rPr>
      </w:pPr>
    </w:p>
    <w:p w14:paraId="30FBC622" w14:textId="3859768F" w:rsidR="00A26F99" w:rsidRDefault="004F1346" w:rsidP="00A26F99">
      <w:pPr>
        <w:pStyle w:val="Heading3"/>
      </w:pPr>
      <w:bookmarkStart w:id="626" w:name="_Toc225877804"/>
      <w:r>
        <w:t>Hospital Boarding in the Emergency Department (</w:t>
      </w:r>
      <w:r w:rsidR="00A26F99">
        <w:t>ED</w:t>
      </w:r>
      <w:r>
        <w:t xml:space="preserve">) </w:t>
      </w:r>
      <w:r w:rsidR="00A26F99">
        <w:t>FAQs</w:t>
      </w:r>
      <w:bookmarkEnd w:id="626"/>
    </w:p>
    <w:p w14:paraId="31C23603" w14:textId="77777777" w:rsidR="0036306B" w:rsidRDefault="0036306B" w:rsidP="0036306B">
      <w:pPr>
        <w:rPr>
          <w:lang w:eastAsia="ja-JP"/>
        </w:rPr>
      </w:pPr>
    </w:p>
    <w:p w14:paraId="40475A2D" w14:textId="168AFCF5" w:rsidR="00250A5E" w:rsidRPr="00D971B2" w:rsidRDefault="00250A5E" w:rsidP="005A1909">
      <w:pPr>
        <w:pStyle w:val="ListParagraph"/>
        <w:numPr>
          <w:ilvl w:val="0"/>
          <w:numId w:val="410"/>
        </w:numPr>
        <w:rPr>
          <w:b/>
        </w:rPr>
      </w:pPr>
      <w:r w:rsidRPr="00D971B2">
        <w:rPr>
          <w:b/>
        </w:rPr>
        <w:t xml:space="preserve">Can </w:t>
      </w:r>
      <w:r w:rsidR="00F74EF3">
        <w:rPr>
          <w:b/>
        </w:rPr>
        <w:t>hospitals</w:t>
      </w:r>
      <w:r w:rsidR="00F74EF3" w:rsidRPr="00D971B2">
        <w:rPr>
          <w:b/>
        </w:rPr>
        <w:t xml:space="preserve"> </w:t>
      </w:r>
      <w:r w:rsidRPr="00D971B2">
        <w:rPr>
          <w:b/>
        </w:rPr>
        <w:t>use patient sampling to report data for Section 6E?</w:t>
      </w:r>
    </w:p>
    <w:p w14:paraId="0C5B483E" w14:textId="77777777" w:rsidR="00250A5E" w:rsidRDefault="00250A5E" w:rsidP="00250A5E">
      <w:pPr>
        <w:pStyle w:val="ListParagraph"/>
        <w:rPr>
          <w:bCs/>
        </w:rPr>
      </w:pPr>
      <w:r w:rsidRPr="00C31974">
        <w:rPr>
          <w:bCs/>
        </w:rPr>
        <w:t>No, hospitals are required to report on all applicable ED visits and cannot report using a sample.</w:t>
      </w:r>
    </w:p>
    <w:p w14:paraId="495671FC" w14:textId="77777777" w:rsidR="00250A5E" w:rsidRDefault="00250A5E" w:rsidP="00C5453C">
      <w:pPr>
        <w:pStyle w:val="ListParagraph"/>
        <w:rPr>
          <w:b/>
        </w:rPr>
      </w:pPr>
    </w:p>
    <w:p w14:paraId="01D6086F" w14:textId="77777777" w:rsidR="0058775B" w:rsidRPr="005A1909" w:rsidRDefault="0058775B" w:rsidP="0058775B">
      <w:pPr>
        <w:pStyle w:val="ListParagraph"/>
        <w:numPr>
          <w:ilvl w:val="0"/>
          <w:numId w:val="410"/>
        </w:numPr>
        <w:rPr>
          <w:b/>
        </w:rPr>
      </w:pPr>
      <w:r w:rsidRPr="005A1909">
        <w:rPr>
          <w:b/>
        </w:rPr>
        <w:t>How should a co-located pediatric hospital within an adult hospital, sharing a single ED that treats both adult and pediatric patients, respond to this section?</w:t>
      </w:r>
    </w:p>
    <w:p w14:paraId="383D7ECF" w14:textId="45EFBE7F" w:rsidR="00852F16" w:rsidRPr="001E5400" w:rsidRDefault="0058775B" w:rsidP="00852F16">
      <w:pPr>
        <w:pStyle w:val="ListParagraph"/>
        <w:rPr>
          <w:rFonts w:eastAsia="MS PGothic" w:cs="Arial"/>
          <w:bCs/>
        </w:rPr>
      </w:pPr>
      <w:r w:rsidRPr="00674866">
        <w:rPr>
          <w:rFonts w:eastAsia="MS PGothic" w:cs="Arial"/>
          <w:bCs/>
        </w:rPr>
        <w:t xml:space="preserve">Hospitals should report on operating a pediatric emergency department in question #3 and then respond to question #5, where hospitals report on ED visits </w:t>
      </w:r>
      <w:r w:rsidR="00852F16">
        <w:rPr>
          <w:rFonts w:eastAsia="MS PGothic" w:cs="Arial"/>
          <w:bCs/>
        </w:rPr>
        <w:t xml:space="preserve">with </w:t>
      </w:r>
      <w:r w:rsidR="00852F16" w:rsidRPr="008D0477">
        <w:rPr>
          <w:rFonts w:cs="Arial"/>
        </w:rPr>
        <w:t>an admission to a</w:t>
      </w:r>
      <w:r w:rsidR="00852F16">
        <w:rPr>
          <w:rFonts w:cs="Arial"/>
        </w:rPr>
        <w:t xml:space="preserve"> pediatric </w:t>
      </w:r>
      <w:r w:rsidR="00852F16" w:rsidRPr="008D0477">
        <w:rPr>
          <w:rFonts w:cs="Arial"/>
        </w:rPr>
        <w:t>inpatient non-psychiatric or psychiatric bed (</w:t>
      </w:r>
      <w:r w:rsidR="00852F16" w:rsidRPr="008D0477">
        <w:rPr>
          <w:bCs/>
        </w:rPr>
        <w:t xml:space="preserve">including </w:t>
      </w:r>
      <w:r w:rsidR="00852F16" w:rsidRPr="008D0477">
        <w:rPr>
          <w:rFonts w:cs="Arial"/>
        </w:rPr>
        <w:t>ED visits where the patient was placed in</w:t>
      </w:r>
      <w:r w:rsidR="00852F16" w:rsidRPr="008D0477">
        <w:rPr>
          <w:bCs/>
          <w:i/>
          <w:iCs/>
        </w:rPr>
        <w:t xml:space="preserve"> </w:t>
      </w:r>
      <w:r w:rsidR="00852F16" w:rsidRPr="008D0477">
        <w:rPr>
          <w:rFonts w:cs="Arial"/>
        </w:rPr>
        <w:t>hospital observation status)</w:t>
      </w:r>
      <w:r w:rsidR="00852F16" w:rsidRPr="001E5400">
        <w:rPr>
          <w:rFonts w:eastAsia="MS PGothic" w:cs="Arial"/>
          <w:bCs/>
        </w:rPr>
        <w:t>.</w:t>
      </w:r>
    </w:p>
    <w:p w14:paraId="52F50C66" w14:textId="2A369A66" w:rsidR="0058775B" w:rsidRPr="00674866" w:rsidRDefault="0058775B" w:rsidP="0058775B">
      <w:pPr>
        <w:pStyle w:val="ListParagraph"/>
        <w:rPr>
          <w:rFonts w:eastAsia="MS PGothic" w:cs="Arial"/>
          <w:bCs/>
        </w:rPr>
      </w:pPr>
    </w:p>
    <w:p w14:paraId="54DD8C5B" w14:textId="0E39F6EA" w:rsidR="00C13BEC" w:rsidRPr="005A1909" w:rsidRDefault="0051476B" w:rsidP="00C13BEC">
      <w:pPr>
        <w:pStyle w:val="ListParagraph"/>
        <w:numPr>
          <w:ilvl w:val="0"/>
          <w:numId w:val="410"/>
        </w:numPr>
        <w:rPr>
          <w:b/>
        </w:rPr>
      </w:pPr>
      <w:r w:rsidRPr="00662391">
        <w:rPr>
          <w:rFonts w:eastAsia="MS PGothic" w:cs="Arial"/>
          <w:b/>
          <w:bCs/>
        </w:rPr>
        <w:t xml:space="preserve">How should boarding time be calculated for ED patients who are admitted to the hospital </w:t>
      </w:r>
      <w:r w:rsidR="00351497">
        <w:rPr>
          <w:rFonts w:eastAsia="MS PGothic" w:cs="Arial"/>
          <w:b/>
          <w:bCs/>
        </w:rPr>
        <w:t>but</w:t>
      </w:r>
      <w:r>
        <w:rPr>
          <w:rFonts w:eastAsia="MS PGothic" w:cs="Arial"/>
          <w:b/>
          <w:bCs/>
        </w:rPr>
        <w:t xml:space="preserve"> </w:t>
      </w:r>
      <w:r w:rsidR="00C13BEC" w:rsidRPr="005A1909">
        <w:rPr>
          <w:b/>
        </w:rPr>
        <w:t xml:space="preserve">transferred from the ED to the cardiac catheterization lab </w:t>
      </w:r>
      <w:r w:rsidR="003B5008" w:rsidRPr="00662391">
        <w:rPr>
          <w:rFonts w:eastAsia="MS PGothic" w:cs="Arial"/>
          <w:b/>
          <w:bCs/>
        </w:rPr>
        <w:t>or another diagnostic or procedural area before being transferred to the inpatient unit?</w:t>
      </w:r>
    </w:p>
    <w:p w14:paraId="56C82210" w14:textId="77777777" w:rsidR="00FD117E" w:rsidRPr="00FD117E" w:rsidRDefault="00FD117E" w:rsidP="00C51EE9">
      <w:pPr>
        <w:pStyle w:val="ListParagraph"/>
        <w:rPr>
          <w:rFonts w:eastAsia="MS PGothic" w:cs="Arial"/>
        </w:rPr>
      </w:pPr>
      <w:r w:rsidRPr="00FD117E">
        <w:rPr>
          <w:rFonts w:eastAsia="MS PGothic" w:cs="Arial"/>
        </w:rPr>
        <w:t xml:space="preserve">Boarding time is calculated using the final departure time from the ED. If a patient leaves the ED for a test, treatment, or procedure, but then returns to the ED prior to being transferred to the inpatient bed, boarding time will continue and include the time spent in the test, treatment, or procedural area. </w:t>
      </w:r>
    </w:p>
    <w:p w14:paraId="5DD93A9D" w14:textId="77777777" w:rsidR="00E820DE" w:rsidRDefault="00E820DE" w:rsidP="0058775B">
      <w:pPr>
        <w:pStyle w:val="ListParagraph"/>
        <w:rPr>
          <w:rFonts w:eastAsia="MS PGothic" w:cs="Arial"/>
        </w:rPr>
      </w:pPr>
    </w:p>
    <w:p w14:paraId="39D0E37E" w14:textId="77777777" w:rsidR="00E820DE" w:rsidRPr="00662391" w:rsidRDefault="00E820DE" w:rsidP="00E820DE">
      <w:pPr>
        <w:pStyle w:val="ListParagraph"/>
        <w:numPr>
          <w:ilvl w:val="0"/>
          <w:numId w:val="410"/>
        </w:numPr>
        <w:rPr>
          <w:rFonts w:eastAsia="MS PGothic" w:cs="Arial"/>
          <w:b/>
          <w:bCs/>
        </w:rPr>
      </w:pPr>
      <w:r w:rsidRPr="00662391">
        <w:rPr>
          <w:rFonts w:eastAsia="MS PGothic" w:cs="Arial"/>
          <w:b/>
          <w:bCs/>
        </w:rPr>
        <w:t xml:space="preserve">How should boarding time be calculated for ED patients who are admitted to the hospital but transferred from the ED to an operating room for a surgical procedure before being transferred to the inpatient unit? </w:t>
      </w:r>
    </w:p>
    <w:p w14:paraId="370D3DEA" w14:textId="34C4DA5B" w:rsidR="003E769A" w:rsidRPr="00C31974" w:rsidRDefault="00E820DE" w:rsidP="00C51EE9">
      <w:pPr>
        <w:ind w:left="720"/>
        <w:rPr>
          <w:bCs/>
        </w:rPr>
      </w:pPr>
      <w:r w:rsidRPr="00B76FF4">
        <w:rPr>
          <w:rFonts w:eastAsia="MS PGothic" w:cs="Arial"/>
        </w:rPr>
        <w:t xml:space="preserve">Boarding time is </w:t>
      </w:r>
      <w:r>
        <w:rPr>
          <w:rFonts w:eastAsia="MS PGothic" w:cs="Arial"/>
        </w:rPr>
        <w:t>calculated using</w:t>
      </w:r>
      <w:r w:rsidRPr="00B76FF4">
        <w:rPr>
          <w:rFonts w:eastAsia="MS PGothic" w:cs="Arial"/>
        </w:rPr>
        <w:t xml:space="preserve"> the final departure time from the ED. If a patient leaves the ED </w:t>
      </w:r>
      <w:r w:rsidR="005C09E0" w:rsidRPr="00B76FF4">
        <w:rPr>
          <w:rFonts w:eastAsia="MS PGothic" w:cs="Arial"/>
        </w:rPr>
        <w:t>for a</w:t>
      </w:r>
      <w:r w:rsidR="005C09E0">
        <w:rPr>
          <w:rFonts w:eastAsia="MS PGothic" w:cs="Arial"/>
        </w:rPr>
        <w:t xml:space="preserve"> surgical procedure, boarding time will end when they are transferred to the operating room if they do not return to the ED.</w:t>
      </w:r>
    </w:p>
    <w:p w14:paraId="6B33CACF" w14:textId="095F2E91" w:rsidR="00671AD8" w:rsidRDefault="00A26F99" w:rsidP="001C4D9F">
      <w:pPr>
        <w:rPr>
          <w:b/>
        </w:rPr>
      </w:pPr>
      <w:r>
        <w:rPr>
          <w:b/>
        </w:rPr>
        <w:br w:type="page"/>
      </w:r>
    </w:p>
    <w:p w14:paraId="5962682F" w14:textId="24E6E4ED" w:rsidR="00F22717" w:rsidRPr="00B65144" w:rsidRDefault="00F22717" w:rsidP="0002601E">
      <w:pPr>
        <w:rPr>
          <w:snapToGrid w:val="0"/>
          <w:sz w:val="40"/>
          <w:szCs w:val="40"/>
          <w:lang w:eastAsia="ja-JP"/>
        </w:rPr>
      </w:pPr>
    </w:p>
    <w:p w14:paraId="22962E97" w14:textId="0BB6C1AC" w:rsidR="005F497A" w:rsidRPr="009A5185" w:rsidRDefault="00B86043" w:rsidP="00D32C75">
      <w:pPr>
        <w:pStyle w:val="SectionHeader"/>
      </w:pPr>
      <w:bookmarkStart w:id="627" w:name="_Toc225877805"/>
      <w:r w:rsidRPr="009A5185">
        <w:t>Page Intentionally Left Blank</w:t>
      </w:r>
      <w:bookmarkEnd w:id="627"/>
    </w:p>
    <w:p w14:paraId="76860DDA" w14:textId="77777777" w:rsidR="00B86043" w:rsidRPr="009A5185" w:rsidRDefault="00B86043">
      <w:pPr>
        <w:rPr>
          <w:rFonts w:cs="Arial"/>
          <w:b/>
          <w:snapToGrid w:val="0"/>
          <w:color w:val="A6A6A6" w:themeColor="background1" w:themeShade="A6"/>
          <w:sz w:val="40"/>
          <w:szCs w:val="40"/>
          <w:lang w:eastAsia="ja-JP"/>
        </w:rPr>
      </w:pPr>
      <w:r w:rsidRPr="009A5185">
        <w:rPr>
          <w:rFonts w:cs="Arial"/>
          <w:color w:val="A6A6A6" w:themeColor="background1" w:themeShade="A6"/>
        </w:rPr>
        <w:br w:type="page"/>
      </w:r>
    </w:p>
    <w:p w14:paraId="0FCE4A7A" w14:textId="77777777" w:rsidR="00920EF6" w:rsidRPr="009A5185" w:rsidRDefault="00920EF6" w:rsidP="0011459E">
      <w:pPr>
        <w:rPr>
          <w:b/>
          <w:i/>
        </w:rPr>
        <w:sectPr w:rsidR="00920EF6" w:rsidRPr="009A5185" w:rsidSect="00062F69">
          <w:headerReference w:type="default" r:id="rId407"/>
          <w:endnotePr>
            <w:numFmt w:val="decimal"/>
          </w:endnotePr>
          <w:type w:val="continuous"/>
          <w:pgSz w:w="12240" w:h="15840"/>
          <w:pgMar w:top="1080" w:right="1440" w:bottom="1080" w:left="1440" w:header="720" w:footer="720" w:gutter="0"/>
          <w:cols w:space="720"/>
          <w:docGrid w:linePitch="272"/>
        </w:sectPr>
      </w:pPr>
    </w:p>
    <w:p w14:paraId="780BDB8C" w14:textId="77777777" w:rsidR="00B86043" w:rsidRPr="009A5185" w:rsidRDefault="00B86043" w:rsidP="008D407F"/>
    <w:p w14:paraId="79F270A8" w14:textId="77777777" w:rsidR="005F497A" w:rsidRPr="009A5185" w:rsidRDefault="005F497A" w:rsidP="008D407F"/>
    <w:p w14:paraId="4C884CD5" w14:textId="77777777" w:rsidR="00F750C5" w:rsidRDefault="00F750C5" w:rsidP="00F750C5"/>
    <w:p w14:paraId="6E1BCC9F" w14:textId="77777777" w:rsidR="00BD7783" w:rsidRDefault="00BD7783" w:rsidP="00F750C5"/>
    <w:p w14:paraId="341D42DD" w14:textId="77777777" w:rsidR="00BD7783" w:rsidRDefault="00BD7783" w:rsidP="00F750C5"/>
    <w:p w14:paraId="0E957AD4" w14:textId="77777777" w:rsidR="00BD7783" w:rsidRDefault="00BD7783" w:rsidP="00F750C5"/>
    <w:p w14:paraId="69B9A79B" w14:textId="77777777" w:rsidR="00BD7783" w:rsidRDefault="00BD7783" w:rsidP="00F750C5"/>
    <w:p w14:paraId="010C25C3" w14:textId="77777777" w:rsidR="00BD7783" w:rsidRDefault="00BD7783" w:rsidP="00F750C5"/>
    <w:p w14:paraId="161EEAA5" w14:textId="77777777" w:rsidR="00BD7783" w:rsidRDefault="00BD7783" w:rsidP="00F750C5"/>
    <w:p w14:paraId="50FBBEBA" w14:textId="77777777" w:rsidR="00BD7783" w:rsidRDefault="00BD7783" w:rsidP="00F750C5"/>
    <w:p w14:paraId="37E16A18" w14:textId="77777777" w:rsidR="00BD7783" w:rsidRDefault="00BD7783" w:rsidP="00F750C5"/>
    <w:p w14:paraId="3ED64B32" w14:textId="77777777" w:rsidR="00BD7783" w:rsidRDefault="00BD7783" w:rsidP="00F750C5"/>
    <w:p w14:paraId="348AB303" w14:textId="77777777" w:rsidR="00BD7783" w:rsidRDefault="00BD7783" w:rsidP="00F750C5"/>
    <w:p w14:paraId="4DC46AE5" w14:textId="77777777" w:rsidR="00BD7783" w:rsidRDefault="00BD7783" w:rsidP="00F750C5"/>
    <w:p w14:paraId="3C12C951" w14:textId="77777777" w:rsidR="00BD7783" w:rsidRDefault="00BD7783" w:rsidP="00F750C5"/>
    <w:p w14:paraId="1FF78FB4" w14:textId="77777777" w:rsidR="00BD7783" w:rsidRDefault="00BD7783" w:rsidP="00F750C5"/>
    <w:p w14:paraId="20055A57" w14:textId="77777777" w:rsidR="00BD7783" w:rsidRDefault="00BD7783" w:rsidP="00F750C5"/>
    <w:p w14:paraId="5D6B153A" w14:textId="77777777" w:rsidR="00A040BA" w:rsidRDefault="00A040BA" w:rsidP="00F750C5"/>
    <w:p w14:paraId="37BCF3B0" w14:textId="77777777" w:rsidR="00A040BA" w:rsidRDefault="00A040BA" w:rsidP="00F750C5"/>
    <w:p w14:paraId="33DCB418" w14:textId="77777777" w:rsidR="00BD7783" w:rsidRDefault="00BD7783" w:rsidP="00F750C5"/>
    <w:p w14:paraId="144815F4" w14:textId="77777777" w:rsidR="00190DE5" w:rsidRPr="009A5185" w:rsidRDefault="004B7F4F" w:rsidP="00D32C75">
      <w:pPr>
        <w:pStyle w:val="SectionHeader"/>
      </w:pPr>
      <w:bookmarkStart w:id="628" w:name="_Toc225877806"/>
      <w:bookmarkStart w:id="629" w:name="Sec7"/>
      <w:r w:rsidRPr="009A5185">
        <w:t xml:space="preserve">SECTION 7: </w:t>
      </w:r>
      <w:r w:rsidR="005F497A" w:rsidRPr="009A5185">
        <w:t>MANAGING SERIOUS ERRORS</w:t>
      </w:r>
      <w:bookmarkEnd w:id="628"/>
    </w:p>
    <w:bookmarkEnd w:id="629"/>
    <w:p w14:paraId="2C7EF4B4" w14:textId="77777777" w:rsidR="005F497A" w:rsidRPr="009A5185" w:rsidRDefault="005F497A" w:rsidP="0002601E"/>
    <w:p w14:paraId="1D7E66AC" w14:textId="77777777" w:rsidR="005F497A" w:rsidRPr="009A5185" w:rsidRDefault="005F497A" w:rsidP="005F497A">
      <w:pPr>
        <w:rPr>
          <w:rFonts w:cs="Arial"/>
        </w:rPr>
      </w:pPr>
      <w:r w:rsidRPr="009A5185">
        <w:rPr>
          <w:rFonts w:cs="Arial"/>
        </w:rPr>
        <w:t xml:space="preserve">This section includes questions and reference information for Section </w:t>
      </w:r>
      <w:r w:rsidR="00C224E8" w:rsidRPr="009A5185">
        <w:rPr>
          <w:rFonts w:cs="Arial"/>
        </w:rPr>
        <w:t>7</w:t>
      </w:r>
      <w:r w:rsidR="004A4FD0" w:rsidRPr="009A5185">
        <w:rPr>
          <w:rFonts w:cs="Arial"/>
        </w:rPr>
        <w:t>:</w:t>
      </w:r>
      <w:r w:rsidR="00C224E8" w:rsidRPr="009A5185">
        <w:rPr>
          <w:rFonts w:cs="Arial"/>
        </w:rPr>
        <w:t xml:space="preserve"> Managing Serious Errors</w:t>
      </w:r>
      <w:r w:rsidRPr="009A5185">
        <w:rPr>
          <w:rFonts w:cs="Arial"/>
        </w:rPr>
        <w:t xml:space="preserve">. Please carefully review the questions, </w:t>
      </w:r>
      <w:r w:rsidR="00B94757" w:rsidRPr="009A5185">
        <w:rPr>
          <w:rFonts w:cs="Arial"/>
        </w:rPr>
        <w:t>endnotes</w:t>
      </w:r>
      <w:r w:rsidRPr="009A5185">
        <w:rPr>
          <w:rFonts w:cs="Arial"/>
        </w:rPr>
        <w:t>, and reference information (e.g.</w:t>
      </w:r>
      <w:r w:rsidR="004D6571" w:rsidRPr="009A5185">
        <w:rPr>
          <w:rFonts w:cs="Arial"/>
        </w:rPr>
        <w:t>,</w:t>
      </w:r>
      <w:r w:rsidRPr="009A5185">
        <w:rPr>
          <w:rFonts w:cs="Arial"/>
        </w:rPr>
        <w:t xml:space="preserve"> measure specifications, notes, and frequen</w:t>
      </w:r>
      <w:r w:rsidR="005471DC" w:rsidRPr="009A5185">
        <w:rPr>
          <w:rFonts w:cs="Arial"/>
        </w:rPr>
        <w:t>tl</w:t>
      </w:r>
      <w:r w:rsidRPr="009A5185">
        <w:rPr>
          <w:rFonts w:cs="Arial"/>
        </w:rPr>
        <w:t xml:space="preserve">y asked questions) before you begin. Failure to review the reference information could result in inaccurate responses. </w:t>
      </w:r>
    </w:p>
    <w:p w14:paraId="1535A0B0" w14:textId="77777777" w:rsidR="005F497A" w:rsidRPr="009A5185" w:rsidRDefault="005F497A" w:rsidP="0002601E"/>
    <w:p w14:paraId="45624F5D" w14:textId="77777777" w:rsidR="005F497A" w:rsidRPr="009A5185" w:rsidRDefault="005F497A" w:rsidP="0002601E"/>
    <w:p w14:paraId="678B6AF0" w14:textId="77777777" w:rsidR="005F497A" w:rsidRPr="009A5185" w:rsidRDefault="005F497A" w:rsidP="005F497A">
      <w:pPr>
        <w:rPr>
          <w:rFonts w:cs="Arial"/>
          <w:b/>
          <w:snapToGrid w:val="0"/>
          <w:sz w:val="40"/>
          <w:szCs w:val="40"/>
          <w:lang w:eastAsia="ja-JP"/>
        </w:rPr>
      </w:pPr>
      <w:r w:rsidRPr="009A5185">
        <w:rPr>
          <w:rFonts w:cs="Arial"/>
        </w:rPr>
        <w:br w:type="page"/>
      </w:r>
    </w:p>
    <w:p w14:paraId="6A927651" w14:textId="0D3AA0CD" w:rsidR="008910AA" w:rsidRPr="009A5185" w:rsidRDefault="00ED60CE" w:rsidP="00CF5A6E">
      <w:pPr>
        <w:pStyle w:val="Heading2"/>
      </w:pPr>
      <w:bookmarkStart w:id="630" w:name="_Section_7:_Managing"/>
      <w:bookmarkStart w:id="631" w:name="_Toc225877807"/>
      <w:bookmarkEnd w:id="630"/>
      <w:r w:rsidRPr="009A5185">
        <w:lastRenderedPageBreak/>
        <w:t>Section 7:</w:t>
      </w:r>
      <w:r w:rsidR="008910AA" w:rsidRPr="009A5185">
        <w:t xml:space="preserve"> Managing Serious Errors</w:t>
      </w:r>
      <w:bookmarkEnd w:id="631"/>
    </w:p>
    <w:p w14:paraId="0FD1E84E" w14:textId="77777777" w:rsidR="00EF7CC9" w:rsidRPr="009A5185" w:rsidRDefault="00EF7CC9">
      <w:pPr>
        <w:pStyle w:val="BodyText3"/>
        <w:rPr>
          <w:rFonts w:cs="Arial"/>
          <w:b/>
        </w:rPr>
      </w:pPr>
    </w:p>
    <w:p w14:paraId="2493575C" w14:textId="6C1058FB" w:rsidR="00652583" w:rsidRDefault="00BA20DA">
      <w:pPr>
        <w:pStyle w:val="BodyText3"/>
      </w:pPr>
      <w:r>
        <w:rPr>
          <w:rFonts w:cs="Arial"/>
          <w:b/>
        </w:rPr>
        <w:t>Never Events</w:t>
      </w:r>
      <w:r w:rsidR="000C3BE1" w:rsidRPr="009A5185">
        <w:rPr>
          <w:rFonts w:cs="Arial"/>
          <w:b/>
        </w:rPr>
        <w:t xml:space="preserve"> Fact Sheet:</w:t>
      </w:r>
      <w:r w:rsidR="00E03E77" w:rsidRPr="009A5185">
        <w:rPr>
          <w:rFonts w:cs="Arial"/>
          <w:b/>
        </w:rPr>
        <w:t xml:space="preserve"> </w:t>
      </w:r>
      <w:hyperlink r:id="rId408" w:history="1">
        <w:r w:rsidR="000E5DB2" w:rsidRPr="00A2752F">
          <w:rPr>
            <w:rStyle w:val="Hyperlink"/>
          </w:rPr>
          <w:t>https://ratings.leapfroggroup.org/measure/hospital/2026/responding-never-events</w:t>
        </w:r>
      </w:hyperlink>
    </w:p>
    <w:p w14:paraId="38CA3846" w14:textId="77777777" w:rsidR="000E5DB2" w:rsidRDefault="000E5DB2">
      <w:pPr>
        <w:pStyle w:val="BodyText3"/>
        <w:rPr>
          <w:rFonts w:cs="Arial"/>
          <w:snapToGrid w:val="0"/>
        </w:rPr>
      </w:pPr>
    </w:p>
    <w:p w14:paraId="38B72920" w14:textId="4597E47F" w:rsidR="00174828" w:rsidRPr="00EB6A1E" w:rsidRDefault="00652583">
      <w:pPr>
        <w:pStyle w:val="BodyText3"/>
        <w:rPr>
          <w:rFonts w:cs="Arial"/>
        </w:rPr>
      </w:pPr>
      <w:r w:rsidRPr="009A5185">
        <w:rPr>
          <w:rFonts w:cs="Arial"/>
          <w:snapToGrid w:val="0"/>
        </w:rPr>
        <w:t xml:space="preserve">Section 7 includes questions about your hospital’s response to </w:t>
      </w:r>
      <w:r w:rsidRPr="009A5185">
        <w:rPr>
          <w:rFonts w:cs="Arial"/>
        </w:rPr>
        <w:t xml:space="preserve">Never Events. In addition, Leapfrog collects information via its NHSN Group about five healthcare-associated infections (CLABSI, CAUTI, MRSA, </w:t>
      </w:r>
      <w:r w:rsidRPr="00CA12B2">
        <w:rPr>
          <w:rFonts w:cs="Arial"/>
          <w:i/>
          <w:snapToGrid w:val="0"/>
        </w:rPr>
        <w:t xml:space="preserve">C. </w:t>
      </w:r>
      <w:r w:rsidR="00756D15">
        <w:rPr>
          <w:rFonts w:cs="Arial"/>
          <w:i/>
          <w:snapToGrid w:val="0"/>
        </w:rPr>
        <w:t>d</w:t>
      </w:r>
      <w:r w:rsidRPr="00CA12B2">
        <w:rPr>
          <w:rFonts w:cs="Arial"/>
          <w:i/>
          <w:snapToGrid w:val="0"/>
        </w:rPr>
        <w:t>iff.</w:t>
      </w:r>
      <w:r w:rsidRPr="009A5185">
        <w:rPr>
          <w:rFonts w:cs="Arial"/>
        </w:rPr>
        <w:t>, and SSI</w:t>
      </w:r>
      <w:r>
        <w:rPr>
          <w:rFonts w:cs="Arial"/>
        </w:rPr>
        <w:t>:</w:t>
      </w:r>
      <w:r w:rsidRPr="009A5185">
        <w:rPr>
          <w:rFonts w:cs="Arial"/>
        </w:rPr>
        <w:t xml:space="preserve"> Colon)</w:t>
      </w:r>
      <w:r>
        <w:rPr>
          <w:rFonts w:cs="Arial"/>
        </w:rPr>
        <w:t xml:space="preserve">. </w:t>
      </w:r>
      <w:r w:rsidRPr="009A5185">
        <w:rPr>
          <w:rFonts w:cs="Arial"/>
        </w:rPr>
        <w:t>Hospitals reporting on Section 7B</w:t>
      </w:r>
      <w:r>
        <w:rPr>
          <w:rFonts w:cs="Arial"/>
        </w:rPr>
        <w:t>:</w:t>
      </w:r>
      <w:r w:rsidRPr="009A5185">
        <w:rPr>
          <w:rFonts w:cs="Arial"/>
        </w:rPr>
        <w:t xml:space="preserve"> </w:t>
      </w:r>
      <w:r w:rsidRPr="00EB6A1E">
        <w:rPr>
          <w:rFonts w:cs="Arial"/>
        </w:rPr>
        <w:t xml:space="preserve">Healthcare-Associated Infections are required to join Leapfrog’s NHSN Group. Important information and deadlines are available on the </w:t>
      </w:r>
      <w:r w:rsidR="00EB6A1E" w:rsidRPr="00EB6A1E">
        <w:rPr>
          <w:rFonts w:cs="Arial"/>
          <w:i/>
          <w:snapToGrid w:val="0"/>
        </w:rPr>
        <w:t>Review NHSN Instructions</w:t>
      </w:r>
      <w:hyperlink r:id="rId409" w:history="1">
        <w:r w:rsidR="00EB6A1E" w:rsidRPr="00EB6A1E">
          <w:rPr>
            <w:rStyle w:val="Hyperlink"/>
            <w:rFonts w:cs="Arial"/>
            <w:i/>
            <w:snapToGrid w:val="0"/>
          </w:rPr>
          <w:t xml:space="preserve"> webpage</w:t>
        </w:r>
      </w:hyperlink>
      <w:r w:rsidR="00EB6A1E" w:rsidRPr="00EB6A1E">
        <w:rPr>
          <w:i/>
        </w:rPr>
        <w:t>.</w:t>
      </w:r>
    </w:p>
    <w:p w14:paraId="2AECF5B3" w14:textId="77777777" w:rsidR="00652583" w:rsidRPr="00EB6A1E" w:rsidRDefault="00652583">
      <w:pPr>
        <w:pStyle w:val="BodyText3"/>
        <w:rPr>
          <w:rFonts w:cs="Arial"/>
          <w:b/>
        </w:rPr>
      </w:pPr>
    </w:p>
    <w:p w14:paraId="6743CF84" w14:textId="33979945" w:rsidR="00E645BE" w:rsidRDefault="00E645BE">
      <w:pPr>
        <w:pStyle w:val="BodyText3"/>
        <w:rPr>
          <w:rFonts w:cs="Arial"/>
          <w:b/>
        </w:rPr>
      </w:pPr>
      <w:r w:rsidRPr="009A5185">
        <w:rPr>
          <w:rFonts w:cs="Arial"/>
          <w:b/>
        </w:rPr>
        <w:t xml:space="preserve">Each hospital </w:t>
      </w:r>
      <w:r>
        <w:rPr>
          <w:rFonts w:cs="Arial"/>
          <w:b/>
        </w:rPr>
        <w:t>achieving</w:t>
      </w:r>
      <w:r w:rsidRPr="009A5185">
        <w:rPr>
          <w:rFonts w:cs="Arial"/>
          <w:b/>
        </w:rPr>
        <w:t xml:space="preserve"> th</w:t>
      </w:r>
      <w:r>
        <w:rPr>
          <w:rFonts w:cs="Arial"/>
          <w:b/>
        </w:rPr>
        <w:t>e</w:t>
      </w:r>
      <w:r w:rsidRPr="009A5185">
        <w:rPr>
          <w:rFonts w:cs="Arial"/>
          <w:b/>
        </w:rPr>
        <w:t xml:space="preserve"> standard</w:t>
      </w:r>
      <w:r>
        <w:rPr>
          <w:rFonts w:cs="Arial"/>
          <w:b/>
        </w:rPr>
        <w:t xml:space="preserve"> for Never Events</w:t>
      </w:r>
      <w:r w:rsidR="003D1441">
        <w:rPr>
          <w:rFonts w:cs="Arial"/>
          <w:b/>
        </w:rPr>
        <w:t>:</w:t>
      </w:r>
    </w:p>
    <w:p w14:paraId="109966A6" w14:textId="78A16ED1" w:rsidR="00E645BE" w:rsidRPr="00E645BE" w:rsidRDefault="00E645BE" w:rsidP="00E645BE">
      <w:pPr>
        <w:pStyle w:val="BodyText3"/>
        <w:spacing w:line="276" w:lineRule="auto"/>
        <w:rPr>
          <w:rFonts w:cs="Arial"/>
        </w:rPr>
      </w:pPr>
      <w:r w:rsidRPr="009A5185">
        <w:rPr>
          <w:rFonts w:cs="Arial"/>
        </w:rPr>
        <w:t xml:space="preserve">Has a policy that includes the nine principles of Leapfrog’s Never Events policy and will implement this policy if a “never event” occurs within their </w:t>
      </w:r>
      <w:r>
        <w:rPr>
          <w:rFonts w:cs="Arial"/>
        </w:rPr>
        <w:t>hospital</w:t>
      </w:r>
      <w:r w:rsidRPr="009A5185">
        <w:rPr>
          <w:rFonts w:cs="Arial"/>
        </w:rPr>
        <w:t>.</w:t>
      </w:r>
    </w:p>
    <w:p w14:paraId="4F87141B" w14:textId="77777777" w:rsidR="00E645BE" w:rsidRDefault="00E645BE">
      <w:pPr>
        <w:pStyle w:val="BodyText3"/>
        <w:rPr>
          <w:rFonts w:cs="Arial"/>
          <w:b/>
        </w:rPr>
      </w:pPr>
    </w:p>
    <w:p w14:paraId="3A584932" w14:textId="3C380C0A" w:rsidR="008910AA" w:rsidRPr="00E645BE" w:rsidRDefault="008910AA">
      <w:pPr>
        <w:pStyle w:val="BodyText3"/>
        <w:rPr>
          <w:rFonts w:cs="Arial"/>
          <w:b/>
        </w:rPr>
      </w:pPr>
      <w:r w:rsidRPr="009A5185">
        <w:rPr>
          <w:rFonts w:cs="Arial"/>
          <w:b/>
        </w:rPr>
        <w:t xml:space="preserve">Each hospital </w:t>
      </w:r>
      <w:r w:rsidR="00F20FF5">
        <w:rPr>
          <w:rFonts w:cs="Arial"/>
          <w:b/>
        </w:rPr>
        <w:t>achieving</w:t>
      </w:r>
      <w:r w:rsidR="00F20FF5" w:rsidRPr="009A5185">
        <w:rPr>
          <w:rFonts w:cs="Arial"/>
          <w:b/>
        </w:rPr>
        <w:t xml:space="preserve"> th</w:t>
      </w:r>
      <w:r w:rsidR="00F20FF5">
        <w:rPr>
          <w:rFonts w:cs="Arial"/>
          <w:b/>
        </w:rPr>
        <w:t>e</w:t>
      </w:r>
      <w:r w:rsidR="00F20FF5" w:rsidRPr="009A5185">
        <w:rPr>
          <w:rFonts w:cs="Arial"/>
          <w:b/>
        </w:rPr>
        <w:t xml:space="preserve"> standard</w:t>
      </w:r>
      <w:r w:rsidR="00C663E4">
        <w:rPr>
          <w:rFonts w:cs="Arial"/>
          <w:b/>
        </w:rPr>
        <w:t>s</w:t>
      </w:r>
      <w:r w:rsidRPr="009A5185">
        <w:rPr>
          <w:rFonts w:cs="Arial"/>
          <w:b/>
        </w:rPr>
        <w:t xml:space="preserve"> </w:t>
      </w:r>
      <w:r w:rsidR="00E645BE">
        <w:rPr>
          <w:rFonts w:cs="Arial"/>
          <w:b/>
        </w:rPr>
        <w:t xml:space="preserve">for </w:t>
      </w:r>
      <w:r w:rsidR="00E645BE" w:rsidRPr="00E645BE">
        <w:rPr>
          <w:rFonts w:cs="Arial"/>
          <w:b/>
        </w:rPr>
        <w:t>Healthcare-Associated Infections</w:t>
      </w:r>
      <w:r w:rsidR="00A75CD9">
        <w:rPr>
          <w:rFonts w:cs="Arial"/>
          <w:b/>
        </w:rPr>
        <w:t xml:space="preserve">: </w:t>
      </w:r>
    </w:p>
    <w:p w14:paraId="1800B438" w14:textId="0692D74A" w:rsidR="00972C2D" w:rsidRPr="005D4733" w:rsidRDefault="008910AA" w:rsidP="00AD309C">
      <w:pPr>
        <w:pStyle w:val="BodyText3"/>
        <w:numPr>
          <w:ilvl w:val="0"/>
          <w:numId w:val="11"/>
        </w:numPr>
        <w:spacing w:line="276" w:lineRule="auto"/>
        <w:rPr>
          <w:rFonts w:cs="Arial"/>
        </w:rPr>
      </w:pPr>
      <w:r w:rsidRPr="009A5185">
        <w:rPr>
          <w:rFonts w:cs="Arial"/>
        </w:rPr>
        <w:t xml:space="preserve">Has a </w:t>
      </w:r>
      <w:r w:rsidR="001354B2" w:rsidRPr="009A5185">
        <w:rPr>
          <w:rFonts w:cs="Arial"/>
        </w:rPr>
        <w:t xml:space="preserve">CLABSI </w:t>
      </w:r>
      <w:r w:rsidR="00A75E87" w:rsidRPr="009A5185">
        <w:rPr>
          <w:rFonts w:cs="Arial"/>
        </w:rPr>
        <w:t xml:space="preserve">standardized infection ratio </w:t>
      </w:r>
      <w:r w:rsidRPr="009A5185">
        <w:rPr>
          <w:rFonts w:cs="Arial"/>
        </w:rPr>
        <w:t xml:space="preserve">of </w:t>
      </w:r>
      <w:r w:rsidR="00F26C79" w:rsidRPr="009A5185">
        <w:rPr>
          <w:rFonts w:cs="Arial"/>
        </w:rPr>
        <w:t>less than or equal to 0.</w:t>
      </w:r>
      <w:r w:rsidR="00BD7397" w:rsidRPr="009A5185">
        <w:rPr>
          <w:rFonts w:cs="Arial"/>
        </w:rPr>
        <w:t>413</w:t>
      </w:r>
      <w:r w:rsidR="004F49DA">
        <w:rPr>
          <w:rFonts w:cs="Arial"/>
        </w:rPr>
        <w:t>*</w:t>
      </w:r>
      <w:r w:rsidR="00BD7397" w:rsidRPr="009A5185">
        <w:rPr>
          <w:rFonts w:cs="Arial"/>
        </w:rPr>
        <w:t xml:space="preserve"> </w:t>
      </w:r>
      <w:r w:rsidR="00E97757" w:rsidRPr="009A5185">
        <w:rPr>
          <w:rFonts w:cs="Arial"/>
        </w:rPr>
        <w:t xml:space="preserve">for </w:t>
      </w:r>
      <w:r w:rsidR="00F26C79" w:rsidRPr="009A5185">
        <w:rPr>
          <w:rFonts w:cs="Arial"/>
        </w:rPr>
        <w:t>ICU and select ward</w:t>
      </w:r>
      <w:r w:rsidR="00E97757" w:rsidRPr="009A5185">
        <w:rPr>
          <w:rFonts w:cs="Arial"/>
        </w:rPr>
        <w:t xml:space="preserve"> inpatients</w:t>
      </w:r>
      <w:r w:rsidR="00C80178" w:rsidRPr="009A5185">
        <w:rPr>
          <w:rFonts w:cs="Arial"/>
        </w:rPr>
        <w:t>.</w:t>
      </w:r>
    </w:p>
    <w:p w14:paraId="3BA2C51E" w14:textId="7A59B901" w:rsidR="00EE1B88" w:rsidRPr="005D4733" w:rsidRDefault="00972C2D" w:rsidP="00AD309C">
      <w:pPr>
        <w:pStyle w:val="ListParagraph"/>
        <w:numPr>
          <w:ilvl w:val="0"/>
          <w:numId w:val="11"/>
        </w:numPr>
        <w:spacing w:line="276" w:lineRule="auto"/>
        <w:rPr>
          <w:rFonts w:cs="Arial"/>
        </w:rPr>
      </w:pPr>
      <w:r w:rsidRPr="009A5185">
        <w:rPr>
          <w:rFonts w:cs="Arial"/>
        </w:rPr>
        <w:t xml:space="preserve">Has a </w:t>
      </w:r>
      <w:r w:rsidR="001354B2" w:rsidRPr="009A5185">
        <w:rPr>
          <w:rFonts w:cs="Arial"/>
        </w:rPr>
        <w:t xml:space="preserve">CAUTI </w:t>
      </w:r>
      <w:r w:rsidRPr="009A5185">
        <w:rPr>
          <w:rFonts w:cs="Arial"/>
        </w:rPr>
        <w:t>standardized in</w:t>
      </w:r>
      <w:r w:rsidR="00D23307" w:rsidRPr="009A5185">
        <w:rPr>
          <w:rFonts w:cs="Arial"/>
        </w:rPr>
        <w:t xml:space="preserve">fection ratio of less than </w:t>
      </w:r>
      <w:r w:rsidR="00F534DA" w:rsidRPr="009A5185">
        <w:rPr>
          <w:rFonts w:cs="Arial"/>
        </w:rPr>
        <w:t xml:space="preserve">or equal to </w:t>
      </w:r>
      <w:r w:rsidR="00F26C79" w:rsidRPr="009A5185">
        <w:rPr>
          <w:rFonts w:cs="Arial"/>
        </w:rPr>
        <w:t>0.</w:t>
      </w:r>
      <w:r w:rsidR="00BD7397" w:rsidRPr="009A5185">
        <w:rPr>
          <w:rFonts w:cs="Arial"/>
        </w:rPr>
        <w:t>427</w:t>
      </w:r>
      <w:r w:rsidR="004F49DA">
        <w:rPr>
          <w:rFonts w:cs="Arial"/>
        </w:rPr>
        <w:t>*</w:t>
      </w:r>
      <w:r w:rsidR="00E97757" w:rsidRPr="009A5185">
        <w:rPr>
          <w:rFonts w:cs="Arial"/>
        </w:rPr>
        <w:t xml:space="preserve"> for </w:t>
      </w:r>
      <w:r w:rsidR="00F26C79" w:rsidRPr="009A5185">
        <w:rPr>
          <w:rFonts w:cs="Arial"/>
        </w:rPr>
        <w:t xml:space="preserve">ICU and select ward </w:t>
      </w:r>
      <w:r w:rsidR="00E97757" w:rsidRPr="009A5185">
        <w:rPr>
          <w:rFonts w:cs="Arial"/>
        </w:rPr>
        <w:t>inpatients</w:t>
      </w:r>
      <w:r w:rsidR="00C80178" w:rsidRPr="009A5185">
        <w:rPr>
          <w:rFonts w:cs="Arial"/>
        </w:rPr>
        <w:t>.</w:t>
      </w:r>
    </w:p>
    <w:p w14:paraId="7D4243A3" w14:textId="355326F4" w:rsidR="00F534DA" w:rsidRPr="005D4733" w:rsidRDefault="00EE1B88" w:rsidP="00AD309C">
      <w:pPr>
        <w:pStyle w:val="ListParagraph"/>
        <w:numPr>
          <w:ilvl w:val="0"/>
          <w:numId w:val="11"/>
        </w:numPr>
        <w:spacing w:line="276" w:lineRule="auto"/>
        <w:rPr>
          <w:rFonts w:cs="Arial"/>
        </w:rPr>
      </w:pPr>
      <w:r w:rsidRPr="009A5185">
        <w:rPr>
          <w:rFonts w:cs="Arial"/>
        </w:rPr>
        <w:t xml:space="preserve">Has a MRSA standardized </w:t>
      </w:r>
      <w:r w:rsidR="00F534DA" w:rsidRPr="009A5185">
        <w:rPr>
          <w:rFonts w:cs="Arial"/>
        </w:rPr>
        <w:t>infection ratio of less than or equal to</w:t>
      </w:r>
      <w:r w:rsidR="00F26C79" w:rsidRPr="009A5185">
        <w:rPr>
          <w:rFonts w:cs="Arial"/>
        </w:rPr>
        <w:t xml:space="preserve"> 0.</w:t>
      </w:r>
      <w:r w:rsidR="00BD7397" w:rsidRPr="009A5185">
        <w:rPr>
          <w:rFonts w:cs="Arial"/>
        </w:rPr>
        <w:t>496</w:t>
      </w:r>
      <w:r w:rsidR="004F49DA">
        <w:rPr>
          <w:rFonts w:cs="Arial"/>
        </w:rPr>
        <w:t>*</w:t>
      </w:r>
      <w:r w:rsidR="00D902C9" w:rsidRPr="009A5185">
        <w:rPr>
          <w:rFonts w:cs="Arial"/>
        </w:rPr>
        <w:t xml:space="preserve"> for </w:t>
      </w:r>
      <w:r w:rsidR="00931DA1" w:rsidRPr="009A5185">
        <w:rPr>
          <w:rFonts w:cs="Arial"/>
        </w:rPr>
        <w:t>facility-wide inpatients.</w:t>
      </w:r>
    </w:p>
    <w:p w14:paraId="48E7FD08" w14:textId="2B409F24" w:rsidR="00F534DA" w:rsidRPr="005D4733" w:rsidRDefault="00FD25FE" w:rsidP="00AD309C">
      <w:pPr>
        <w:pStyle w:val="ListParagraph"/>
        <w:numPr>
          <w:ilvl w:val="0"/>
          <w:numId w:val="11"/>
        </w:numPr>
        <w:spacing w:line="276" w:lineRule="auto"/>
        <w:rPr>
          <w:rFonts w:cs="Arial"/>
        </w:rPr>
      </w:pPr>
      <w:r w:rsidRPr="009A5185">
        <w:rPr>
          <w:rFonts w:cs="Arial"/>
        </w:rPr>
        <w:t xml:space="preserve">Has a </w:t>
      </w:r>
      <w:r w:rsidRPr="009B095B">
        <w:rPr>
          <w:rFonts w:cs="Arial"/>
          <w:i/>
        </w:rPr>
        <w:t xml:space="preserve">C. </w:t>
      </w:r>
      <w:r w:rsidR="00756D15">
        <w:rPr>
          <w:rFonts w:cs="Arial"/>
          <w:i/>
        </w:rPr>
        <w:t>d</w:t>
      </w:r>
      <w:r w:rsidRPr="009B095B">
        <w:rPr>
          <w:rFonts w:cs="Arial"/>
          <w:i/>
        </w:rPr>
        <w:t>iff.</w:t>
      </w:r>
      <w:r w:rsidR="00F534DA" w:rsidRPr="009A5185">
        <w:rPr>
          <w:rFonts w:cs="Arial"/>
        </w:rPr>
        <w:t xml:space="preserve"> standardized infection ratio of less than or equal to</w:t>
      </w:r>
      <w:r w:rsidR="00F26C79" w:rsidRPr="009A5185">
        <w:rPr>
          <w:rFonts w:cs="Arial"/>
        </w:rPr>
        <w:t xml:space="preserve"> 0.</w:t>
      </w:r>
      <w:r w:rsidR="00BD7397" w:rsidRPr="009A5185">
        <w:rPr>
          <w:rFonts w:cs="Arial"/>
        </w:rPr>
        <w:t>621</w:t>
      </w:r>
      <w:r w:rsidR="004F49DA">
        <w:rPr>
          <w:rFonts w:cs="Arial"/>
        </w:rPr>
        <w:t>*</w:t>
      </w:r>
      <w:r w:rsidR="00931DA1" w:rsidRPr="009A5185">
        <w:rPr>
          <w:rFonts w:cs="Arial"/>
        </w:rPr>
        <w:t xml:space="preserve"> for facility-wide inpatients.</w:t>
      </w:r>
    </w:p>
    <w:p w14:paraId="06E2E4F7" w14:textId="66C0E42D" w:rsidR="00F534DA" w:rsidRPr="009A5185" w:rsidRDefault="00F534DA" w:rsidP="00AD309C">
      <w:pPr>
        <w:pStyle w:val="ListParagraph"/>
        <w:numPr>
          <w:ilvl w:val="0"/>
          <w:numId w:val="11"/>
        </w:numPr>
        <w:spacing w:line="276" w:lineRule="auto"/>
        <w:rPr>
          <w:rFonts w:cs="Arial"/>
        </w:rPr>
      </w:pPr>
      <w:r w:rsidRPr="009A5185">
        <w:rPr>
          <w:rFonts w:cs="Arial"/>
        </w:rPr>
        <w:t xml:space="preserve">Has </w:t>
      </w:r>
      <w:r w:rsidR="00084BFE" w:rsidRPr="009A5185">
        <w:rPr>
          <w:rFonts w:cs="Arial"/>
        </w:rPr>
        <w:t>an</w:t>
      </w:r>
      <w:r w:rsidRPr="009A5185">
        <w:rPr>
          <w:rFonts w:cs="Arial"/>
        </w:rPr>
        <w:t xml:space="preserve"> SSI</w:t>
      </w:r>
      <w:r w:rsidR="00D62974" w:rsidRPr="009A5185">
        <w:rPr>
          <w:rFonts w:cs="Arial"/>
        </w:rPr>
        <w:t>:</w:t>
      </w:r>
      <w:r w:rsidRPr="009A5185">
        <w:rPr>
          <w:rFonts w:cs="Arial"/>
        </w:rPr>
        <w:t xml:space="preserve"> Colon standardized infection ratio of less than or equal to </w:t>
      </w:r>
      <w:r w:rsidR="00F26C79" w:rsidRPr="009A5185">
        <w:rPr>
          <w:rFonts w:cs="Arial"/>
        </w:rPr>
        <w:t>0.</w:t>
      </w:r>
      <w:r w:rsidR="00BD7397" w:rsidRPr="009A5185">
        <w:rPr>
          <w:rFonts w:cs="Arial"/>
        </w:rPr>
        <w:t>349</w:t>
      </w:r>
      <w:r w:rsidR="004F49DA">
        <w:rPr>
          <w:rFonts w:cs="Arial"/>
        </w:rPr>
        <w:t>*</w:t>
      </w:r>
      <w:r w:rsidR="00931DA1" w:rsidRPr="009A5185">
        <w:rPr>
          <w:rFonts w:cs="Arial"/>
        </w:rPr>
        <w:t xml:space="preserve"> for inpatients following eligible colon procedures.</w:t>
      </w:r>
    </w:p>
    <w:p w14:paraId="321DD0F4" w14:textId="77777777" w:rsidR="0000761E" w:rsidRDefault="0000761E" w:rsidP="0000761E">
      <w:pPr>
        <w:rPr>
          <w:rFonts w:cs="Arial"/>
          <w:b/>
        </w:rPr>
      </w:pPr>
    </w:p>
    <w:p w14:paraId="206991B8" w14:textId="71C51E06" w:rsidR="0000761E" w:rsidRDefault="0000761E" w:rsidP="00694F51">
      <w:r w:rsidRPr="0000761E">
        <w:rPr>
          <w:rFonts w:cs="Arial"/>
          <w:b/>
        </w:rPr>
        <w:t xml:space="preserve">* </w:t>
      </w:r>
      <w:r w:rsidRPr="000850DD">
        <w:t>Once CMS begins calculating and publicly reporting HAI measures on Care Compare using the 2022 Baseline, Leapfrog will also transition to using data calculated with the 2022 Baseline</w:t>
      </w:r>
      <w:r>
        <w:t xml:space="preserve"> in a reasonable and feasible timeframe</w:t>
      </w:r>
      <w:r w:rsidRPr="000850DD">
        <w:t>.</w:t>
      </w:r>
      <w:r>
        <w:t xml:space="preserve"> Following the first download of data with the 2022 Baseline, Leapfrog will reestablish cut-points used for the performance categories in Section 7B:</w:t>
      </w:r>
      <w:r w:rsidRPr="00DE5DC3">
        <w:t xml:space="preserve"> Healthcare-Associated Infections (HAIs)</w:t>
      </w:r>
      <w:r>
        <w:t>.</w:t>
      </w:r>
    </w:p>
    <w:p w14:paraId="17492FCA" w14:textId="77777777" w:rsidR="009D4EAF" w:rsidRPr="009A5185" w:rsidRDefault="009D4EAF" w:rsidP="009D4EAF">
      <w:pPr>
        <w:rPr>
          <w:rFonts w:cs="Arial"/>
          <w:b/>
        </w:rPr>
      </w:pPr>
    </w:p>
    <w:p w14:paraId="6DBB154C" w14:textId="6166CFE4" w:rsidR="0082085D" w:rsidRPr="009A5185" w:rsidRDefault="0082085D" w:rsidP="0082085D">
      <w:pPr>
        <w:rPr>
          <w:rFonts w:cs="Arial"/>
          <w:b/>
        </w:rPr>
      </w:pPr>
      <w:r w:rsidRPr="009A5185">
        <w:rPr>
          <w:rFonts w:cs="Arial"/>
          <w:b/>
        </w:rPr>
        <w:t xml:space="preserve">Download the </w:t>
      </w:r>
      <w:r w:rsidR="00A236B1">
        <w:rPr>
          <w:rFonts w:cs="Arial"/>
          <w:b/>
        </w:rPr>
        <w:t>202</w:t>
      </w:r>
      <w:r w:rsidR="006C0089">
        <w:rPr>
          <w:rFonts w:cs="Arial"/>
          <w:b/>
        </w:rPr>
        <w:t>6</w:t>
      </w:r>
      <w:r w:rsidRPr="009A5185">
        <w:rPr>
          <w:rFonts w:cs="Arial"/>
          <w:b/>
        </w:rPr>
        <w:t xml:space="preserve"> Leapfrog Hospital </w:t>
      </w:r>
      <w:r w:rsidR="00C14AFF" w:rsidRPr="009A5185">
        <w:rPr>
          <w:rFonts w:cs="Arial"/>
          <w:b/>
        </w:rPr>
        <w:t>Survey</w:t>
      </w:r>
      <w:r w:rsidRPr="009A5185">
        <w:rPr>
          <w:rFonts w:cs="Arial"/>
          <w:b/>
        </w:rPr>
        <w:t xml:space="preserve"> Scoring Algorithm on the </w:t>
      </w:r>
      <w:hyperlink r:id="rId410" w:history="1">
        <w:r w:rsidRPr="009A5185">
          <w:rPr>
            <w:rStyle w:val="Hyperlink"/>
            <w:rFonts w:cs="Arial"/>
            <w:b/>
          </w:rPr>
          <w:t>Scoring and Results webpage</w:t>
        </w:r>
      </w:hyperlink>
      <w:r w:rsidRPr="009A5185">
        <w:rPr>
          <w:rFonts w:cs="Arial"/>
          <w:b/>
        </w:rPr>
        <w:t>.</w:t>
      </w:r>
    </w:p>
    <w:p w14:paraId="12F5FF62" w14:textId="0253034F" w:rsidR="006922BB" w:rsidRDefault="006922BB" w:rsidP="009D4EAF">
      <w:pPr>
        <w:rPr>
          <w:rFonts w:cs="Arial"/>
        </w:rPr>
      </w:pPr>
    </w:p>
    <w:p w14:paraId="45B2A3B9" w14:textId="713FC89F" w:rsidR="006922BB" w:rsidRDefault="006922BB" w:rsidP="009D4EAF">
      <w:pPr>
        <w:rPr>
          <w:rFonts w:cs="Arial"/>
        </w:rPr>
      </w:pPr>
    </w:p>
    <w:p w14:paraId="3700797E" w14:textId="2841A8D2" w:rsidR="006922BB" w:rsidRDefault="006922BB" w:rsidP="009D4EAF">
      <w:pPr>
        <w:rPr>
          <w:rFonts w:cs="Arial"/>
        </w:rPr>
      </w:pPr>
    </w:p>
    <w:p w14:paraId="79F65627" w14:textId="7A541C83" w:rsidR="006922BB" w:rsidRDefault="006922BB" w:rsidP="009D4EAF">
      <w:pPr>
        <w:rPr>
          <w:rFonts w:cs="Arial"/>
        </w:rPr>
      </w:pPr>
    </w:p>
    <w:p w14:paraId="07D6C1A8" w14:textId="54D00B71" w:rsidR="006922BB" w:rsidRDefault="006922BB" w:rsidP="009D4EAF">
      <w:pPr>
        <w:rPr>
          <w:rFonts w:cs="Arial"/>
        </w:rPr>
      </w:pPr>
    </w:p>
    <w:p w14:paraId="4C53DDD8" w14:textId="4872819B" w:rsidR="006922BB" w:rsidRDefault="006922BB" w:rsidP="009D4EAF">
      <w:pPr>
        <w:rPr>
          <w:rFonts w:cs="Arial"/>
        </w:rPr>
      </w:pPr>
    </w:p>
    <w:p w14:paraId="6BE304DA" w14:textId="7F3E0E76" w:rsidR="006922BB" w:rsidRDefault="006922BB" w:rsidP="009D4EAF">
      <w:pPr>
        <w:rPr>
          <w:rFonts w:cs="Arial"/>
        </w:rPr>
      </w:pPr>
    </w:p>
    <w:p w14:paraId="0ABDBB08" w14:textId="2BBCE69E" w:rsidR="006922BB" w:rsidRDefault="006922BB" w:rsidP="009D4EAF">
      <w:pPr>
        <w:rPr>
          <w:rFonts w:cs="Arial"/>
        </w:rPr>
      </w:pPr>
    </w:p>
    <w:p w14:paraId="08E80488" w14:textId="480293AC" w:rsidR="006922BB" w:rsidRDefault="006922BB" w:rsidP="009D4EAF">
      <w:pPr>
        <w:rPr>
          <w:rFonts w:cs="Arial"/>
        </w:rPr>
      </w:pPr>
    </w:p>
    <w:p w14:paraId="25E80527" w14:textId="511A7093" w:rsidR="006922BB" w:rsidRDefault="006922BB" w:rsidP="009D4EAF">
      <w:pPr>
        <w:rPr>
          <w:rFonts w:cs="Arial"/>
        </w:rPr>
      </w:pPr>
    </w:p>
    <w:p w14:paraId="7E5D9536" w14:textId="67322257" w:rsidR="006922BB" w:rsidRDefault="006922BB" w:rsidP="009D4EAF">
      <w:pPr>
        <w:rPr>
          <w:rFonts w:cs="Arial"/>
        </w:rPr>
      </w:pPr>
    </w:p>
    <w:p w14:paraId="095C48D6" w14:textId="3462FC6E" w:rsidR="006922BB" w:rsidRDefault="006922BB" w:rsidP="009D4EAF">
      <w:pPr>
        <w:rPr>
          <w:rFonts w:cs="Arial"/>
        </w:rPr>
      </w:pPr>
    </w:p>
    <w:p w14:paraId="547AD4C3" w14:textId="07411DA7" w:rsidR="006922BB" w:rsidRDefault="006922BB" w:rsidP="009D4EAF">
      <w:pPr>
        <w:rPr>
          <w:rFonts w:cs="Arial"/>
        </w:rPr>
      </w:pPr>
    </w:p>
    <w:p w14:paraId="681B36DA" w14:textId="77144952" w:rsidR="006922BB" w:rsidRDefault="006922BB" w:rsidP="009D4EAF">
      <w:pPr>
        <w:rPr>
          <w:rFonts w:cs="Arial"/>
        </w:rPr>
      </w:pPr>
    </w:p>
    <w:p w14:paraId="604DBFDB" w14:textId="21C61225" w:rsidR="006922BB" w:rsidRDefault="006922BB" w:rsidP="009D4EAF">
      <w:pPr>
        <w:rPr>
          <w:rFonts w:cs="Arial"/>
        </w:rPr>
      </w:pPr>
    </w:p>
    <w:p w14:paraId="46B2EA43" w14:textId="58D1D77E" w:rsidR="006922BB" w:rsidRDefault="006922BB" w:rsidP="009D4EAF">
      <w:pPr>
        <w:rPr>
          <w:rFonts w:cs="Arial"/>
        </w:rPr>
      </w:pPr>
    </w:p>
    <w:p w14:paraId="0544DDBC" w14:textId="3DFB2A6C" w:rsidR="006922BB" w:rsidRDefault="006922BB" w:rsidP="009D4EAF">
      <w:pPr>
        <w:rPr>
          <w:rFonts w:cs="Arial"/>
        </w:rPr>
      </w:pPr>
    </w:p>
    <w:p w14:paraId="679742C1" w14:textId="30E8D7EE" w:rsidR="006922BB" w:rsidRDefault="006922BB" w:rsidP="009D4EAF">
      <w:pPr>
        <w:rPr>
          <w:rFonts w:cs="Arial"/>
        </w:rPr>
      </w:pPr>
    </w:p>
    <w:p w14:paraId="6FB09BED" w14:textId="655AC476" w:rsidR="006922BB" w:rsidRDefault="006922BB" w:rsidP="009D4EAF">
      <w:pPr>
        <w:rPr>
          <w:rFonts w:cs="Arial"/>
        </w:rPr>
      </w:pPr>
    </w:p>
    <w:p w14:paraId="662FDC53" w14:textId="552446D9" w:rsidR="006922BB" w:rsidRDefault="006922BB" w:rsidP="009D4EAF">
      <w:pPr>
        <w:rPr>
          <w:rFonts w:cs="Arial"/>
        </w:rPr>
      </w:pPr>
    </w:p>
    <w:p w14:paraId="6BBEE5D8" w14:textId="158488B5" w:rsidR="006922BB" w:rsidRDefault="006922BB" w:rsidP="009D4EAF">
      <w:pPr>
        <w:rPr>
          <w:rFonts w:cs="Arial"/>
        </w:rPr>
      </w:pPr>
    </w:p>
    <w:p w14:paraId="187D3756" w14:textId="16C09ED5" w:rsidR="006922BB" w:rsidRDefault="006922BB" w:rsidP="009D4EAF">
      <w:pPr>
        <w:rPr>
          <w:rFonts w:cs="Arial"/>
        </w:rPr>
      </w:pPr>
    </w:p>
    <w:p w14:paraId="211C195F" w14:textId="77777777" w:rsidR="00D41E0D" w:rsidRDefault="00D41E0D">
      <w:pPr>
        <w:rPr>
          <w:b/>
          <w:snapToGrid w:val="0"/>
          <w:sz w:val="28"/>
          <w:szCs w:val="24"/>
          <w:u w:val="single"/>
          <w:lang w:eastAsia="ja-JP"/>
        </w:rPr>
      </w:pPr>
      <w:r>
        <w:br w:type="page"/>
      </w:r>
    </w:p>
    <w:p w14:paraId="57572845" w14:textId="2E0555D3" w:rsidR="006922BB" w:rsidRDefault="006922BB" w:rsidP="00CF5A6E">
      <w:pPr>
        <w:pStyle w:val="Heading2"/>
      </w:pPr>
      <w:bookmarkStart w:id="632" w:name="_Toc225877808"/>
      <w:r>
        <w:lastRenderedPageBreak/>
        <w:t xml:space="preserve">7A: </w:t>
      </w:r>
      <w:r w:rsidRPr="006922BB">
        <w:t>Never Events</w:t>
      </w:r>
      <w:bookmarkEnd w:id="632"/>
    </w:p>
    <w:p w14:paraId="29AF3710" w14:textId="77777777" w:rsidR="006922BB" w:rsidRPr="00BE2BD0" w:rsidRDefault="006922BB" w:rsidP="006922BB">
      <w:pPr>
        <w:rPr>
          <w:rFonts w:cs="Arial"/>
          <w:snapToGrid w:val="0"/>
          <w:sz w:val="14"/>
          <w:szCs w:val="14"/>
        </w:rPr>
      </w:pPr>
    </w:p>
    <w:p w14:paraId="3F07ECCC" w14:textId="33C31DBA" w:rsidR="006922BB" w:rsidRPr="009A5185" w:rsidRDefault="006922BB" w:rsidP="006922BB">
      <w:pPr>
        <w:rPr>
          <w:rFonts w:cs="Arial"/>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11" w:history="1">
        <w:r w:rsidRPr="009A5185">
          <w:rPr>
            <w:rStyle w:val="Hyperlink"/>
            <w:rFonts w:cs="Arial"/>
            <w:snapToGrid w:val="0"/>
          </w:rPr>
          <w:t>Leapfrog’s Multi-Campus Reporting Policy</w:t>
        </w:r>
      </w:hyperlink>
      <w:r w:rsidRPr="009A5185">
        <w:rPr>
          <w:rFonts w:cs="Arial"/>
          <w:snapToGrid w:val="0"/>
        </w:rPr>
        <w:t>.</w:t>
      </w:r>
    </w:p>
    <w:p w14:paraId="2E1421A8" w14:textId="77777777" w:rsidR="006922BB" w:rsidRPr="007A420B" w:rsidRDefault="006922BB" w:rsidP="006922BB">
      <w:pPr>
        <w:pStyle w:val="EndnoteText"/>
        <w:rPr>
          <w:rFonts w:cs="Arial"/>
          <w:b/>
          <w:snapToGrid w:val="0"/>
          <w:sz w:val="14"/>
          <w:szCs w:val="14"/>
        </w:rPr>
      </w:pPr>
    </w:p>
    <w:p w14:paraId="435892DA" w14:textId="7C4B3C37" w:rsidR="006922BB" w:rsidRDefault="006922BB" w:rsidP="006922BB">
      <w:pPr>
        <w:pStyle w:val="EndnoteText"/>
      </w:pPr>
      <w:r w:rsidRPr="00690C11">
        <w:rPr>
          <w:rFonts w:cs="Arial"/>
          <w:b/>
          <w:snapToGrid w:val="0"/>
          <w:color w:val="FF0000"/>
        </w:rPr>
        <w:t xml:space="preserve">Important Note: </w:t>
      </w:r>
      <w:r w:rsidR="00D31F3B" w:rsidRPr="00D31F3B">
        <w:rPr>
          <w:rFonts w:cs="Arial"/>
        </w:rPr>
        <w:t xml:space="preserve">To earn credit for these questions, hospitals must have a policy in place that addresses the National Quality Forum’s list of Serious Reportable </w:t>
      </w:r>
      <w:r w:rsidR="00606A90">
        <w:rPr>
          <w:rFonts w:cs="Arial"/>
        </w:rPr>
        <w:t>Events</w:t>
      </w:r>
      <w:r w:rsidR="00D31F3B" w:rsidRPr="00D31F3B">
        <w:rPr>
          <w:rFonts w:cs="Arial"/>
        </w:rPr>
        <w:t xml:space="preserve">. All references to “never event” or “serious reportable event” </w:t>
      </w:r>
      <w:r w:rsidR="005F6A83">
        <w:rPr>
          <w:rFonts w:cs="Arial"/>
        </w:rPr>
        <w:t>are specific</w:t>
      </w:r>
      <w:r w:rsidR="00D31F3B" w:rsidRPr="00D31F3B">
        <w:rPr>
          <w:rFonts w:cs="Arial"/>
        </w:rPr>
        <w:t xml:space="preserve"> to the National Quality Forum list available at </w:t>
      </w:r>
      <w:hyperlink r:id="rId412" w:history="1">
        <w:r w:rsidR="005F57C5" w:rsidRPr="00D95C78">
          <w:rPr>
            <w:rStyle w:val="Hyperlink"/>
            <w:rFonts w:cs="Arial"/>
          </w:rPr>
          <w:t>https://digitalassets.jointcommission.org/api/public/content/4534bbaaee4f4bd280c2054765f37f4b?v=a60f8f9a</w:t>
        </w:r>
      </w:hyperlink>
      <w:r w:rsidR="005F57C5">
        <w:rPr>
          <w:rFonts w:cs="Arial"/>
        </w:rPr>
        <w:t xml:space="preserve">. </w:t>
      </w:r>
    </w:p>
    <w:p w14:paraId="7A6A2144" w14:textId="77777777" w:rsidR="005F6A83" w:rsidRPr="007A420B" w:rsidRDefault="005F6A83" w:rsidP="006922BB">
      <w:pPr>
        <w:pStyle w:val="EndnoteText"/>
        <w:rPr>
          <w:rFonts w:cs="Arial"/>
          <w:sz w:val="14"/>
          <w:szCs w:val="14"/>
        </w:rPr>
      </w:pPr>
    </w:p>
    <w:p w14:paraId="38068A51" w14:textId="77777777" w:rsidR="006922BB" w:rsidRDefault="006922BB" w:rsidP="006922BB">
      <w:pPr>
        <w:pStyle w:val="EndnoteText"/>
        <w:rPr>
          <w:rFonts w:cs="Arial"/>
        </w:rPr>
      </w:pPr>
      <w:r>
        <w:rPr>
          <w:noProof/>
        </w:rPr>
        <mc:AlternateContent>
          <mc:Choice Requires="wps">
            <w:drawing>
              <wp:inline distT="0" distB="0" distL="0" distR="0" wp14:anchorId="4A7747AC" wp14:editId="1D0D15E5">
                <wp:extent cx="5924550" cy="1133475"/>
                <wp:effectExtent l="0" t="0" r="19050" b="28575"/>
                <wp:docPr id="11" name="Text Box 11" descr="P9963TB2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33475"/>
                        </a:xfrm>
                        <a:prstGeom prst="rect">
                          <a:avLst/>
                        </a:prstGeom>
                        <a:solidFill>
                          <a:srgbClr val="FFFFFF"/>
                        </a:solidFill>
                        <a:ln w="9525">
                          <a:solidFill>
                            <a:srgbClr val="FF0000"/>
                          </a:solidFill>
                          <a:miter lim="800000"/>
                          <a:headEnd/>
                          <a:tailEnd/>
                        </a:ln>
                      </wps:spPr>
                      <wps:txbx>
                        <w:txbxContent>
                          <w:p w14:paraId="45B1B4E0" w14:textId="5302DBAF" w:rsidR="003529A4" w:rsidRDefault="006922BB" w:rsidP="006922BB">
                            <w:pPr>
                              <w:rPr>
                                <w:bCs/>
                              </w:rPr>
                            </w:pPr>
                            <w:r w:rsidRPr="000F3A53">
                              <w:rPr>
                                <w:b/>
                              </w:rPr>
                              <w:t>Reporting Period:</w:t>
                            </w:r>
                            <w:r w:rsidRPr="000F3A53">
                              <w:rPr>
                                <w:bCs/>
                              </w:rPr>
                              <w:t xml:space="preserve"> </w:t>
                            </w:r>
                          </w:p>
                          <w:p w14:paraId="095D4740" w14:textId="2518DBB7" w:rsidR="006922BB" w:rsidRPr="000F3A53" w:rsidRDefault="006922BB" w:rsidP="006922BB">
                            <w:pPr>
                              <w:rPr>
                                <w:bCs/>
                              </w:rPr>
                            </w:pPr>
                            <w:r w:rsidRPr="000F3A53">
                              <w:rPr>
                                <w:bCs/>
                              </w:rPr>
                              <w:t>Answer questions #1-9 based on the principles currently included in your hospital’s never events policy at the time you submit this section of the Survey.</w:t>
                            </w:r>
                          </w:p>
                          <w:p w14:paraId="5A83076A" w14:textId="77777777" w:rsidR="006922BB" w:rsidRPr="00CE5AC0" w:rsidRDefault="006922BB" w:rsidP="006922BB">
                            <w:pPr>
                              <w:rPr>
                                <w:bCs/>
                                <w:sz w:val="16"/>
                                <w:szCs w:val="16"/>
                              </w:rPr>
                            </w:pPr>
                          </w:p>
                          <w:p w14:paraId="6FC04AF1" w14:textId="77777777" w:rsidR="006922BB" w:rsidRPr="00B012F9" w:rsidRDefault="006922BB" w:rsidP="006922BB">
                            <w:pPr>
                              <w:rPr>
                                <w:rFonts w:cs="Arial"/>
                                <w:bCs/>
                                <w:snapToGrid w:val="0"/>
                                <w:sz w:val="16"/>
                                <w:szCs w:val="16"/>
                              </w:rPr>
                            </w:pPr>
                            <w:r w:rsidRPr="006547C0">
                              <w:rPr>
                                <w:rFonts w:cs="Arial"/>
                                <w:sz w:val="16"/>
                                <w:szCs w:val="16"/>
                              </w:rPr>
                              <w:t xml:space="preserve">Note: As a reminder, the </w:t>
                            </w:r>
                            <w:hyperlink r:id="rId413"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4A7747AC" id="Text Box 11" o:spid="_x0000_s1055" type="#_x0000_t202" alt="P9963TB28#y1" style="width:466.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" strokecolor="red">
                <v:textbox>
                  <w:txbxContent>
                    <w:p w14:paraId="45B1B4E0" w14:textId="5302DBAF" w:rsidR="003529A4" w:rsidRDefault="006922BB" w:rsidP="006922BB">
                      <w:pPr>
                        <w:rPr>
                          <w:bCs/>
                        </w:rPr>
                      </w:pPr>
                      <w:r w:rsidRPr="000F3A53">
                        <w:rPr>
                          <w:b/>
                        </w:rPr>
                        <w:t>Reporting Period:</w:t>
                      </w:r>
                      <w:r w:rsidRPr="000F3A53">
                        <w:rPr>
                          <w:bCs/>
                        </w:rPr>
                        <w:t xml:space="preserve"> </w:t>
                      </w:r>
                    </w:p>
                    <w:p w14:paraId="095D4740" w14:textId="2518DBB7" w:rsidR="006922BB" w:rsidRPr="000F3A53" w:rsidRDefault="006922BB" w:rsidP="006922BB">
                      <w:pPr>
                        <w:rPr>
                          <w:bCs/>
                        </w:rPr>
                      </w:pPr>
                      <w:r w:rsidRPr="000F3A53">
                        <w:rPr>
                          <w:bCs/>
                        </w:rPr>
                        <w:t>Answer questions #1-9 based on the principles currently included in your hospital’s never events policy at the time you submit this section of the Survey.</w:t>
                      </w:r>
                    </w:p>
                    <w:p w14:paraId="5A83076A" w14:textId="77777777" w:rsidR="006922BB" w:rsidRPr="00CE5AC0" w:rsidRDefault="006922BB" w:rsidP="006922BB">
                      <w:pPr>
                        <w:rPr>
                          <w:bCs/>
                          <w:sz w:val="16"/>
                          <w:szCs w:val="16"/>
                        </w:rPr>
                      </w:pPr>
                    </w:p>
                    <w:p w14:paraId="6FC04AF1" w14:textId="77777777" w:rsidR="006922BB" w:rsidRPr="00B012F9" w:rsidRDefault="006922BB" w:rsidP="006922BB">
                      <w:pPr>
                        <w:rPr>
                          <w:rFonts w:cs="Arial"/>
                          <w:bCs/>
                          <w:snapToGrid w:val="0"/>
                          <w:sz w:val="16"/>
                          <w:szCs w:val="16"/>
                        </w:rPr>
                      </w:pPr>
                      <w:r w:rsidRPr="006547C0">
                        <w:rPr>
                          <w:rFonts w:cs="Arial"/>
                          <w:sz w:val="16"/>
                          <w:szCs w:val="16"/>
                        </w:rPr>
                        <w:t xml:space="preserve">Note: As a reminder, the </w:t>
                      </w:r>
                      <w:hyperlink r:id="rId414"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sidRPr="00AE38C7">
                        <w:rPr>
                          <w:rFonts w:cs="Arial"/>
                          <w:bCs/>
                          <w:snapToGrid w:val="0"/>
                          <w:sz w:val="16"/>
                          <w:szCs w:val="16"/>
                        </w:rPr>
                        <w:t>and Performance Update</w:t>
                      </w:r>
                      <w:r>
                        <w:rPr>
                          <w:rFonts w:cs="Arial"/>
                          <w:bCs/>
                          <w:snapToGrid w:val="0"/>
                          <w:sz w:val="16"/>
                          <w:szCs w:val="16"/>
                        </w:rPr>
                        <w:t xml:space="preserv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6DF50616" w14:textId="77777777" w:rsidR="006922BB" w:rsidRPr="007A420B" w:rsidRDefault="006922BB" w:rsidP="006922BB">
      <w:pPr>
        <w:pStyle w:val="EndnoteText"/>
        <w:rPr>
          <w:rFonts w:cs="Arial"/>
          <w:sz w:val="14"/>
          <w:szCs w:val="14"/>
        </w:rPr>
      </w:pPr>
    </w:p>
    <w:p w14:paraId="42B1ACF3" w14:textId="4AD4A993" w:rsidR="00803D50" w:rsidRPr="009A5185" w:rsidRDefault="00803D50" w:rsidP="00803D50">
      <w:pPr>
        <w:pStyle w:val="EndnoteText"/>
        <w:rPr>
          <w:rFonts w:cs="Arial"/>
        </w:rPr>
      </w:pPr>
      <w:r w:rsidRPr="009A5185">
        <w:rPr>
          <w:rFonts w:cs="Arial"/>
        </w:rPr>
        <w:t xml:space="preserve">Below are the nine elements which make up The Leapfrog Group’s Policy Statement regarding </w:t>
      </w:r>
      <w:hyperlink w:anchor="Endnote36_NeverEvent" w:history="1">
        <w:r w:rsidRPr="009A5185">
          <w:rPr>
            <w:rStyle w:val="Hyperlink"/>
            <w:rFonts w:cs="Arial"/>
          </w:rPr>
          <w:t>never events</w:t>
        </w:r>
      </w:hyperlink>
      <w:r w:rsidRPr="009A5185">
        <w:rPr>
          <w:rFonts w:cs="Arial"/>
        </w:rPr>
        <w:t>.</w:t>
      </w:r>
      <w:bookmarkStart w:id="633" w:name="_Ref534278133"/>
      <w:r w:rsidR="000F0582">
        <w:rPr>
          <w:rFonts w:ascii="ZWAdobeF" w:hAnsi="ZWAdobeF" w:cs="ZWAdobeF"/>
          <w:sz w:val="2"/>
          <w:szCs w:val="2"/>
        </w:rPr>
        <w:t>45F</w:t>
      </w:r>
      <w:r w:rsidR="00BF053F">
        <w:rPr>
          <w:rFonts w:ascii="ZWAdobeF" w:hAnsi="ZWAdobeF" w:cs="ZWAdobeF"/>
          <w:sz w:val="2"/>
          <w:szCs w:val="2"/>
        </w:rPr>
        <w:t>47F</w:t>
      </w:r>
      <w:r w:rsidR="004C7557">
        <w:rPr>
          <w:rFonts w:ascii="ZWAdobeF" w:hAnsi="ZWAdobeF" w:cs="ZWAdobeF"/>
          <w:sz w:val="2"/>
          <w:szCs w:val="2"/>
        </w:rPr>
        <w:t>47F</w:t>
      </w:r>
      <w:r w:rsidR="00C2087D">
        <w:rPr>
          <w:rFonts w:ascii="ZWAdobeF" w:hAnsi="ZWAdobeF" w:cs="ZWAdobeF"/>
          <w:sz w:val="2"/>
          <w:szCs w:val="2"/>
        </w:rPr>
        <w:t>46F</w:t>
      </w:r>
      <w:r w:rsidR="00B55C41">
        <w:rPr>
          <w:rFonts w:ascii="ZWAdobeF" w:hAnsi="ZWAdobeF" w:cs="ZWAdobeF"/>
          <w:sz w:val="2"/>
          <w:szCs w:val="2"/>
        </w:rPr>
        <w:t>46F</w:t>
      </w:r>
      <w:r w:rsidR="006255A6">
        <w:rPr>
          <w:rFonts w:ascii="ZWAdobeF" w:hAnsi="ZWAdobeF" w:cs="ZWAdobeF"/>
          <w:sz w:val="2"/>
          <w:szCs w:val="2"/>
        </w:rPr>
        <w:t>46F</w:t>
      </w:r>
      <w:r w:rsidR="00E453C7">
        <w:rPr>
          <w:rFonts w:ascii="ZWAdobeF" w:hAnsi="ZWAdobeF" w:cs="ZWAdobeF"/>
          <w:sz w:val="2"/>
          <w:szCs w:val="2"/>
        </w:rPr>
        <w:t>46F</w:t>
      </w:r>
      <w:r w:rsidR="00953060">
        <w:rPr>
          <w:rFonts w:ascii="ZWAdobeF" w:hAnsi="ZWAdobeF" w:cs="ZWAdobeF"/>
          <w:sz w:val="2"/>
          <w:szCs w:val="2"/>
        </w:rPr>
        <w:t>46F</w:t>
      </w:r>
      <w:r w:rsidR="00DD04D6">
        <w:rPr>
          <w:rFonts w:ascii="ZWAdobeF" w:hAnsi="ZWAdobeF" w:cs="ZWAdobeF"/>
          <w:sz w:val="2"/>
          <w:szCs w:val="2"/>
        </w:rPr>
        <w:t>46F</w:t>
      </w:r>
      <w:r w:rsidRPr="009A5185">
        <w:rPr>
          <w:rStyle w:val="EndnoteReference"/>
          <w:rFonts w:cs="Arial"/>
        </w:rPr>
        <w:endnoteReference w:id="48"/>
      </w:r>
      <w:bookmarkEnd w:id="633"/>
      <w:r w:rsidRPr="009A5185">
        <w:rPr>
          <w:rFonts w:cs="Arial"/>
        </w:rPr>
        <w:t xml:space="preserve"> Indicate which of the following principles are included in your hospital’s</w:t>
      </w:r>
      <w:r>
        <w:rPr>
          <w:rFonts w:cs="Arial"/>
        </w:rPr>
        <w:t xml:space="preserve"> current</w:t>
      </w:r>
      <w:r w:rsidRPr="009A5185">
        <w:rPr>
          <w:rFonts w:cs="Arial"/>
        </w:rPr>
        <w:t xml:space="preserve"> never events policy. </w:t>
      </w:r>
    </w:p>
    <w:p w14:paraId="24283C31" w14:textId="77777777" w:rsidR="00803D50" w:rsidRPr="007A420B" w:rsidRDefault="00803D50" w:rsidP="006922BB">
      <w:pPr>
        <w:pStyle w:val="EndnoteText"/>
        <w:rPr>
          <w:rFonts w:cs="Arial"/>
          <w:sz w:val="14"/>
          <w:szCs w:val="14"/>
        </w:rPr>
      </w:pPr>
    </w:p>
    <w:tbl>
      <w:tblPr>
        <w:tblStyle w:val="TableGrid"/>
        <w:tblW w:w="9332" w:type="dxa"/>
        <w:tblLayout w:type="fixed"/>
        <w:tblLook w:val="04A0" w:firstRow="1" w:lastRow="0" w:firstColumn="1" w:lastColumn="0" w:noHBand="0" w:noVBand="1"/>
      </w:tblPr>
      <w:tblGrid>
        <w:gridCol w:w="7177"/>
        <w:gridCol w:w="2155"/>
      </w:tblGrid>
      <w:tr w:rsidR="006922BB" w:rsidRPr="009A5185" w14:paraId="46DAF556" w14:textId="77777777" w:rsidTr="00C641A4">
        <w:trPr>
          <w:trHeight w:val="20"/>
        </w:trPr>
        <w:tc>
          <w:tcPr>
            <w:tcW w:w="7177" w:type="dxa"/>
            <w:vAlign w:val="center"/>
          </w:tcPr>
          <w:p w14:paraId="1F1F10B1" w14:textId="5B7A3767" w:rsidR="006922BB" w:rsidRPr="009E40B6" w:rsidRDefault="006922BB" w:rsidP="00AD309C">
            <w:pPr>
              <w:pStyle w:val="BodyText2"/>
              <w:numPr>
                <w:ilvl w:val="0"/>
                <w:numId w:val="54"/>
              </w:numPr>
              <w:rPr>
                <w:rFonts w:cs="Arial"/>
                <w:i w:val="0"/>
                <w:color w:val="auto"/>
              </w:rPr>
            </w:pPr>
            <w:r w:rsidRPr="009A5185">
              <w:rPr>
                <w:rFonts w:cs="Arial"/>
                <w:i w:val="0"/>
                <w:color w:val="auto"/>
              </w:rPr>
              <w:t xml:space="preserve">We </w:t>
            </w:r>
            <w:hyperlink w:anchor="Endnote37_Apology" w:history="1">
              <w:r w:rsidRPr="009A5185">
                <w:rPr>
                  <w:rStyle w:val="Hyperlink"/>
                  <w:rFonts w:cs="Arial"/>
                  <w:i w:val="0"/>
                </w:rPr>
                <w:t>apologize to the patient</w:t>
              </w:r>
            </w:hyperlink>
            <w:bookmarkStart w:id="635" w:name="_Ref534278066"/>
            <w:r w:rsidR="000F0582">
              <w:rPr>
                <w:rStyle w:val="Hyperlink"/>
                <w:rFonts w:ascii="ZWAdobeF" w:hAnsi="ZWAdobeF" w:cs="ZWAdobeF"/>
                <w:i w:val="0"/>
                <w:color w:val="auto"/>
                <w:sz w:val="2"/>
                <w:szCs w:val="2"/>
                <w:u w:val="none"/>
              </w:rPr>
              <w:t>46F</w:t>
            </w:r>
            <w:r w:rsidR="00BF053F">
              <w:rPr>
                <w:rStyle w:val="Hyperlink"/>
                <w:rFonts w:ascii="ZWAdobeF" w:hAnsi="ZWAdobeF" w:cs="ZWAdobeF"/>
                <w:i w:val="0"/>
                <w:color w:val="auto"/>
                <w:sz w:val="2"/>
                <w:szCs w:val="2"/>
                <w:u w:val="none"/>
              </w:rPr>
              <w:t>48F</w:t>
            </w:r>
            <w:r w:rsidR="004C7557">
              <w:rPr>
                <w:rStyle w:val="Hyperlink"/>
                <w:rFonts w:ascii="ZWAdobeF" w:hAnsi="ZWAdobeF" w:cs="ZWAdobeF"/>
                <w:i w:val="0"/>
                <w:color w:val="auto"/>
                <w:sz w:val="2"/>
                <w:szCs w:val="2"/>
                <w:u w:val="none"/>
              </w:rPr>
              <w:t>48F</w:t>
            </w:r>
            <w:r w:rsidR="00C2087D">
              <w:rPr>
                <w:rStyle w:val="Hyperlink"/>
                <w:rFonts w:ascii="ZWAdobeF" w:hAnsi="ZWAdobeF" w:cs="ZWAdobeF"/>
                <w:i w:val="0"/>
                <w:color w:val="auto"/>
                <w:sz w:val="2"/>
                <w:szCs w:val="2"/>
                <w:u w:val="none"/>
              </w:rPr>
              <w:t>47F</w:t>
            </w:r>
            <w:r w:rsidR="00B55C41">
              <w:rPr>
                <w:rStyle w:val="Hyperlink"/>
                <w:rFonts w:ascii="ZWAdobeF" w:hAnsi="ZWAdobeF" w:cs="ZWAdobeF"/>
                <w:i w:val="0"/>
                <w:color w:val="auto"/>
                <w:sz w:val="2"/>
                <w:szCs w:val="2"/>
                <w:u w:val="none"/>
              </w:rPr>
              <w:t>47F</w:t>
            </w:r>
            <w:r w:rsidR="006255A6">
              <w:rPr>
                <w:rStyle w:val="Hyperlink"/>
                <w:rFonts w:ascii="ZWAdobeF" w:hAnsi="ZWAdobeF" w:cs="ZWAdobeF"/>
                <w:i w:val="0"/>
                <w:color w:val="auto"/>
                <w:sz w:val="2"/>
                <w:szCs w:val="2"/>
                <w:u w:val="none"/>
              </w:rPr>
              <w:t>47F</w:t>
            </w:r>
            <w:r w:rsidR="00E453C7">
              <w:rPr>
                <w:rStyle w:val="Hyperlink"/>
                <w:rFonts w:ascii="ZWAdobeF" w:hAnsi="ZWAdobeF" w:cs="ZWAdobeF"/>
                <w:i w:val="0"/>
                <w:color w:val="auto"/>
                <w:sz w:val="2"/>
                <w:szCs w:val="2"/>
                <w:u w:val="none"/>
              </w:rPr>
              <w:t>47F</w:t>
            </w:r>
            <w:r w:rsidR="00953060">
              <w:rPr>
                <w:rStyle w:val="Hyperlink"/>
                <w:rFonts w:ascii="ZWAdobeF" w:hAnsi="ZWAdobeF" w:cs="ZWAdobeF"/>
                <w:i w:val="0"/>
                <w:color w:val="auto"/>
                <w:sz w:val="2"/>
                <w:szCs w:val="2"/>
                <w:u w:val="none"/>
              </w:rPr>
              <w:t>47F</w:t>
            </w:r>
            <w:r w:rsidR="00DD04D6">
              <w:rPr>
                <w:rStyle w:val="Hyperlink"/>
                <w:rFonts w:ascii="ZWAdobeF" w:hAnsi="ZWAdobeF" w:cs="ZWAdobeF"/>
                <w:i w:val="0"/>
                <w:color w:val="auto"/>
                <w:sz w:val="2"/>
                <w:szCs w:val="2"/>
                <w:u w:val="none"/>
              </w:rPr>
              <w:t>47F</w:t>
            </w:r>
            <w:r w:rsidRPr="009A5185">
              <w:rPr>
                <w:rStyle w:val="EndnoteReference"/>
                <w:rFonts w:cs="Arial"/>
                <w:i w:val="0"/>
                <w:color w:val="auto"/>
              </w:rPr>
              <w:endnoteReference w:id="49"/>
            </w:r>
            <w:bookmarkEnd w:id="635"/>
            <w:r w:rsidRPr="009A5185">
              <w:rPr>
                <w:rFonts w:cs="Arial"/>
                <w:i w:val="0"/>
                <w:color w:val="auto"/>
              </w:rPr>
              <w:t xml:space="preserve"> and/or family affected by the </w:t>
            </w:r>
            <w:hyperlink w:anchor="Endnote36_NeverEvent" w:history="1">
              <w:r w:rsidRPr="0002601E">
                <w:rPr>
                  <w:rStyle w:val="Hyperlink"/>
                  <w:rFonts w:cs="Arial"/>
                  <w:i w:val="0"/>
                  <w:iCs/>
                </w:rPr>
                <w:t xml:space="preserve">never </w:t>
              </w:r>
              <w:r w:rsidRPr="00D14D23">
                <w:rPr>
                  <w:rStyle w:val="Hyperlink"/>
                  <w:rFonts w:cs="Arial"/>
                  <w:i w:val="0"/>
                  <w:iCs/>
                </w:rPr>
                <w:t>event</w:t>
              </w:r>
            </w:hyperlink>
            <w:r w:rsidRPr="00D14D23">
              <w:rPr>
                <w:i w:val="0"/>
                <w:iCs/>
                <w:color w:val="auto"/>
                <w:vertAlign w:val="superscript"/>
              </w:rPr>
              <w:fldChar w:fldCharType="begin"/>
            </w:r>
            <w:r w:rsidRPr="00D14D23">
              <w:rPr>
                <w:rStyle w:val="Hyperlink"/>
                <w:rFonts w:cs="Arial"/>
                <w:i w:val="0"/>
                <w:iCs/>
              </w:rPr>
              <w:instrText xml:space="preserve"> NOTEREF _Ref534278133 \f \h </w:instrText>
            </w:r>
            <w:r w:rsidRPr="00D14D23">
              <w:rPr>
                <w:i w:val="0"/>
                <w:iCs/>
                <w:color w:val="auto"/>
                <w:vertAlign w:val="superscript"/>
              </w:rPr>
              <w:instrText xml:space="preserve"> \* MERGEFORMAT </w:instrText>
            </w:r>
            <w:r w:rsidRPr="00D14D23">
              <w:rPr>
                <w:i w:val="0"/>
                <w:iCs/>
                <w:color w:val="auto"/>
                <w:vertAlign w:val="superscript"/>
              </w:rPr>
            </w:r>
            <w:r w:rsidRPr="00D14D23">
              <w:rPr>
                <w:i w:val="0"/>
                <w:iCs/>
                <w:color w:val="auto"/>
                <w:vertAlign w:val="superscript"/>
              </w:rPr>
              <w:fldChar w:fldCharType="separate"/>
            </w:r>
            <w:r w:rsidR="007D53A2" w:rsidRPr="00995FE1">
              <w:rPr>
                <w:rStyle w:val="EndnoteReference"/>
              </w:rPr>
              <w:t>47</w:t>
            </w:r>
            <w:r w:rsidRPr="00D14D23">
              <w:rPr>
                <w:i w:val="0"/>
                <w:iCs/>
                <w:color w:val="auto"/>
                <w:vertAlign w:val="superscript"/>
              </w:rPr>
              <w:fldChar w:fldCharType="end"/>
            </w:r>
            <w:r w:rsidRPr="0002601E">
              <w:rPr>
                <w:rFonts w:cs="Arial"/>
                <w:i w:val="0"/>
                <w:iCs/>
                <w:color w:val="auto"/>
              </w:rPr>
              <w:t>.</w:t>
            </w:r>
          </w:p>
        </w:tc>
        <w:tc>
          <w:tcPr>
            <w:tcW w:w="2155" w:type="dxa"/>
            <w:vAlign w:val="center"/>
          </w:tcPr>
          <w:p w14:paraId="05D020EF" w14:textId="77777777" w:rsidR="006922BB" w:rsidRPr="00FC08A6" w:rsidRDefault="006922BB" w:rsidP="00AD309C">
            <w:pPr>
              <w:pStyle w:val="EndnoteText"/>
              <w:numPr>
                <w:ilvl w:val="0"/>
                <w:numId w:val="245"/>
              </w:numPr>
              <w:rPr>
                <w:rFonts w:cs="Arial"/>
                <w:iCs/>
              </w:rPr>
            </w:pPr>
            <w:r w:rsidRPr="00FC08A6">
              <w:rPr>
                <w:rFonts w:cs="Arial"/>
                <w:iCs/>
              </w:rPr>
              <w:t>Yes</w:t>
            </w:r>
          </w:p>
          <w:p w14:paraId="1C8C2101" w14:textId="77777777" w:rsidR="006922BB" w:rsidRPr="006A67FA" w:rsidRDefault="006922BB" w:rsidP="00AD309C">
            <w:pPr>
              <w:pStyle w:val="EndnoteText"/>
              <w:numPr>
                <w:ilvl w:val="0"/>
                <w:numId w:val="245"/>
              </w:numPr>
              <w:rPr>
                <w:rFonts w:cs="Arial"/>
                <w:iCs/>
              </w:rPr>
            </w:pPr>
            <w:r w:rsidRPr="00FC08A6">
              <w:rPr>
                <w:rFonts w:cs="Arial"/>
                <w:iCs/>
              </w:rPr>
              <w:t>No</w:t>
            </w:r>
          </w:p>
        </w:tc>
      </w:tr>
      <w:tr w:rsidR="006922BB" w:rsidRPr="009A5185" w14:paraId="77C44959" w14:textId="77777777" w:rsidTr="00C641A4">
        <w:trPr>
          <w:trHeight w:val="864"/>
        </w:trPr>
        <w:tc>
          <w:tcPr>
            <w:tcW w:w="7177" w:type="dxa"/>
            <w:vAlign w:val="center"/>
          </w:tcPr>
          <w:p w14:paraId="5902B324" w14:textId="7AAC63CC" w:rsidR="006922BB" w:rsidRPr="009A5185" w:rsidRDefault="006922BB" w:rsidP="00AD309C">
            <w:pPr>
              <w:pStyle w:val="BodyText2"/>
              <w:numPr>
                <w:ilvl w:val="0"/>
                <w:numId w:val="54"/>
              </w:numPr>
              <w:rPr>
                <w:rFonts w:cs="Arial"/>
                <w:i w:val="0"/>
                <w:color w:val="auto"/>
              </w:rPr>
            </w:pPr>
            <w:r w:rsidRPr="009A5185">
              <w:rPr>
                <w:rFonts w:cs="Arial"/>
                <w:i w:val="0"/>
                <w:color w:val="auto"/>
              </w:rPr>
              <w:t xml:space="preserve">We report the event to at least one of the following </w:t>
            </w:r>
            <w:hyperlink w:anchor="Endnote38_ExternalAgency" w:history="1">
              <w:r w:rsidRPr="009A5185">
                <w:rPr>
                  <w:rStyle w:val="Hyperlink"/>
                  <w:rFonts w:cs="Arial"/>
                  <w:i w:val="0"/>
                </w:rPr>
                <w:t>external agencies</w:t>
              </w:r>
            </w:hyperlink>
            <w:r w:rsidR="000F0582">
              <w:rPr>
                <w:rStyle w:val="Hyperlink"/>
                <w:rFonts w:ascii="ZWAdobeF" w:hAnsi="ZWAdobeF" w:cs="ZWAdobeF"/>
                <w:i w:val="0"/>
                <w:color w:val="auto"/>
                <w:sz w:val="2"/>
                <w:szCs w:val="2"/>
                <w:u w:val="none"/>
              </w:rPr>
              <w:t>47F</w:t>
            </w:r>
            <w:r w:rsidR="00BF053F">
              <w:rPr>
                <w:rStyle w:val="Hyperlink"/>
                <w:rFonts w:ascii="ZWAdobeF" w:hAnsi="ZWAdobeF" w:cs="ZWAdobeF"/>
                <w:i w:val="0"/>
                <w:color w:val="auto"/>
                <w:sz w:val="2"/>
                <w:szCs w:val="2"/>
                <w:u w:val="none"/>
              </w:rPr>
              <w:t>49F</w:t>
            </w:r>
            <w:r w:rsidR="004C7557">
              <w:rPr>
                <w:rStyle w:val="Hyperlink"/>
                <w:rFonts w:ascii="ZWAdobeF" w:hAnsi="ZWAdobeF" w:cs="ZWAdobeF"/>
                <w:i w:val="0"/>
                <w:color w:val="auto"/>
                <w:sz w:val="2"/>
                <w:szCs w:val="2"/>
                <w:u w:val="none"/>
              </w:rPr>
              <w:t>49F</w:t>
            </w:r>
            <w:r w:rsidR="00C2087D">
              <w:rPr>
                <w:rStyle w:val="Hyperlink"/>
                <w:rFonts w:ascii="ZWAdobeF" w:hAnsi="ZWAdobeF" w:cs="ZWAdobeF"/>
                <w:i w:val="0"/>
                <w:color w:val="auto"/>
                <w:sz w:val="2"/>
                <w:szCs w:val="2"/>
                <w:u w:val="none"/>
              </w:rPr>
              <w:t>48F</w:t>
            </w:r>
            <w:r w:rsidR="00B55C41">
              <w:rPr>
                <w:rStyle w:val="Hyperlink"/>
                <w:rFonts w:ascii="ZWAdobeF" w:hAnsi="ZWAdobeF" w:cs="ZWAdobeF"/>
                <w:i w:val="0"/>
                <w:color w:val="auto"/>
                <w:sz w:val="2"/>
                <w:szCs w:val="2"/>
                <w:u w:val="none"/>
              </w:rPr>
              <w:t>48F</w:t>
            </w:r>
            <w:r w:rsidR="006255A6">
              <w:rPr>
                <w:rStyle w:val="Hyperlink"/>
                <w:rFonts w:ascii="ZWAdobeF" w:hAnsi="ZWAdobeF" w:cs="ZWAdobeF"/>
                <w:i w:val="0"/>
                <w:color w:val="auto"/>
                <w:sz w:val="2"/>
                <w:szCs w:val="2"/>
                <w:u w:val="none"/>
              </w:rPr>
              <w:t>48F</w:t>
            </w:r>
            <w:r w:rsidR="00E453C7">
              <w:rPr>
                <w:rStyle w:val="Hyperlink"/>
                <w:rFonts w:ascii="ZWAdobeF" w:hAnsi="ZWAdobeF" w:cs="ZWAdobeF"/>
                <w:i w:val="0"/>
                <w:color w:val="auto"/>
                <w:sz w:val="2"/>
                <w:szCs w:val="2"/>
                <w:u w:val="none"/>
              </w:rPr>
              <w:t>48F</w:t>
            </w:r>
            <w:r w:rsidR="00953060">
              <w:rPr>
                <w:rStyle w:val="Hyperlink"/>
                <w:rFonts w:ascii="ZWAdobeF" w:hAnsi="ZWAdobeF" w:cs="ZWAdobeF"/>
                <w:i w:val="0"/>
                <w:color w:val="auto"/>
                <w:sz w:val="2"/>
                <w:szCs w:val="2"/>
                <w:u w:val="none"/>
              </w:rPr>
              <w:t>48F</w:t>
            </w:r>
            <w:r w:rsidR="00DD04D6">
              <w:rPr>
                <w:rStyle w:val="Hyperlink"/>
                <w:rFonts w:ascii="ZWAdobeF" w:hAnsi="ZWAdobeF" w:cs="ZWAdobeF"/>
                <w:i w:val="0"/>
                <w:color w:val="auto"/>
                <w:sz w:val="2"/>
                <w:szCs w:val="2"/>
                <w:u w:val="none"/>
              </w:rPr>
              <w:t>48F</w:t>
            </w:r>
            <w:r w:rsidRPr="009A5185">
              <w:rPr>
                <w:rStyle w:val="EndnoteReference"/>
                <w:rFonts w:cs="Arial"/>
                <w:i w:val="0"/>
                <w:color w:val="auto"/>
              </w:rPr>
              <w:endnoteReference w:id="50"/>
            </w:r>
            <w:r w:rsidRPr="009A5185">
              <w:rPr>
                <w:rFonts w:cs="Arial"/>
                <w:i w:val="0"/>
                <w:color w:val="auto"/>
              </w:rPr>
              <w:t xml:space="preserve"> within 15 business days of becoming aware that the </w:t>
            </w:r>
            <w:hyperlink w:anchor="Endnote36_NeverEvent" w:history="1">
              <w:r w:rsidRPr="009A5185">
                <w:rPr>
                  <w:rStyle w:val="Hyperlink"/>
                  <w:rFonts w:cs="Arial"/>
                  <w:i w:val="0"/>
                </w:rPr>
                <w:t xml:space="preserve">never </w:t>
              </w:r>
              <w:r w:rsidRPr="00D14D23">
                <w:rPr>
                  <w:rStyle w:val="Hyperlink"/>
                  <w:rFonts w:cs="Arial"/>
                  <w:i w:val="0"/>
                  <w:iCs/>
                </w:rPr>
                <w:t>event</w:t>
              </w:r>
            </w:hyperlink>
            <w:r w:rsidRPr="00D14D23">
              <w:rPr>
                <w:i w:val="0"/>
                <w:iCs/>
                <w:color w:val="auto"/>
                <w:vertAlign w:val="superscript"/>
              </w:rPr>
              <w:fldChar w:fldCharType="begin"/>
            </w:r>
            <w:r w:rsidRPr="00D14D23">
              <w:rPr>
                <w:rStyle w:val="Hyperlink"/>
                <w:rFonts w:cs="Arial"/>
                <w:i w:val="0"/>
                <w:iCs/>
              </w:rPr>
              <w:instrText xml:space="preserve"> NOTEREF _Ref534278133 \f \h </w:instrText>
            </w:r>
            <w:r w:rsidRPr="00D14D23">
              <w:rPr>
                <w:i w:val="0"/>
                <w:iCs/>
                <w:color w:val="auto"/>
                <w:vertAlign w:val="superscript"/>
              </w:rPr>
              <w:instrText xml:space="preserve"> \* MERGEFORMAT </w:instrText>
            </w:r>
            <w:r w:rsidRPr="00D14D23">
              <w:rPr>
                <w:i w:val="0"/>
                <w:iCs/>
                <w:color w:val="auto"/>
                <w:vertAlign w:val="superscript"/>
              </w:rPr>
            </w:r>
            <w:r w:rsidRPr="00D14D23">
              <w:rPr>
                <w:i w:val="0"/>
                <w:iCs/>
                <w:color w:val="auto"/>
                <w:vertAlign w:val="superscript"/>
              </w:rPr>
              <w:fldChar w:fldCharType="separate"/>
            </w:r>
            <w:r w:rsidR="007D53A2" w:rsidRPr="00995FE1">
              <w:rPr>
                <w:rStyle w:val="EndnoteReference"/>
              </w:rPr>
              <w:t>47</w:t>
            </w:r>
            <w:r w:rsidRPr="00D14D23">
              <w:rPr>
                <w:i w:val="0"/>
                <w:iCs/>
                <w:color w:val="auto"/>
                <w:vertAlign w:val="superscript"/>
              </w:rPr>
              <w:fldChar w:fldCharType="end"/>
            </w:r>
            <w:r w:rsidRPr="0002601E">
              <w:rPr>
                <w:rFonts w:cs="Arial"/>
                <w:i w:val="0"/>
                <w:iCs/>
                <w:color w:val="auto"/>
              </w:rPr>
              <w:t xml:space="preserve"> </w:t>
            </w:r>
            <w:r w:rsidRPr="009A5185">
              <w:rPr>
                <w:rFonts w:cs="Arial"/>
                <w:i w:val="0"/>
                <w:color w:val="auto"/>
              </w:rPr>
              <w:t>has occurred:</w:t>
            </w:r>
          </w:p>
          <w:p w14:paraId="579F502E" w14:textId="6A692E98" w:rsidR="006922BB" w:rsidRDefault="006922BB" w:rsidP="00AD309C">
            <w:pPr>
              <w:pStyle w:val="BodyText2"/>
              <w:numPr>
                <w:ilvl w:val="0"/>
                <w:numId w:val="391"/>
              </w:numPr>
              <w:rPr>
                <w:rFonts w:cs="Arial"/>
                <w:i w:val="0"/>
                <w:color w:val="auto"/>
              </w:rPr>
            </w:pPr>
            <w:r w:rsidRPr="009A5185">
              <w:rPr>
                <w:rFonts w:cs="Arial"/>
                <w:i w:val="0"/>
                <w:color w:val="auto"/>
              </w:rPr>
              <w:t>Joint Commission, as part of its Sentinel Events policy</w:t>
            </w:r>
            <w:r w:rsidR="00DB05C1">
              <w:rPr>
                <w:rFonts w:cs="Arial"/>
                <w:i w:val="0"/>
                <w:color w:val="auto"/>
              </w:rPr>
              <w:t>;</w:t>
            </w:r>
          </w:p>
          <w:p w14:paraId="15D3E854" w14:textId="745BF060" w:rsidR="006922BB" w:rsidRPr="009A5185" w:rsidRDefault="006922BB" w:rsidP="00AD309C">
            <w:pPr>
              <w:pStyle w:val="BodyText2"/>
              <w:numPr>
                <w:ilvl w:val="0"/>
                <w:numId w:val="391"/>
              </w:numPr>
              <w:rPr>
                <w:rFonts w:cs="Arial"/>
                <w:i w:val="0"/>
                <w:color w:val="auto"/>
              </w:rPr>
            </w:pPr>
            <w:r>
              <w:rPr>
                <w:rFonts w:cs="Arial"/>
                <w:i w:val="0"/>
                <w:color w:val="auto"/>
              </w:rPr>
              <w:t>DNV GL Healthcare</w:t>
            </w:r>
            <w:r w:rsidR="00DB05C1">
              <w:rPr>
                <w:rFonts w:cs="Arial"/>
                <w:i w:val="0"/>
                <w:color w:val="auto"/>
              </w:rPr>
              <w:t>;</w:t>
            </w:r>
          </w:p>
          <w:p w14:paraId="7D849C67" w14:textId="347607D4" w:rsidR="006922BB" w:rsidRPr="009A5185" w:rsidRDefault="006922BB" w:rsidP="00AD309C">
            <w:pPr>
              <w:pStyle w:val="BodyText2"/>
              <w:numPr>
                <w:ilvl w:val="0"/>
                <w:numId w:val="391"/>
              </w:numPr>
              <w:rPr>
                <w:rFonts w:cs="Arial"/>
                <w:i w:val="0"/>
                <w:color w:val="auto"/>
              </w:rPr>
            </w:pPr>
            <w:r w:rsidRPr="009A5185">
              <w:rPr>
                <w:rFonts w:cs="Arial"/>
                <w:i w:val="0"/>
                <w:color w:val="auto"/>
              </w:rPr>
              <w:t>State reporting program for medical errors</w:t>
            </w:r>
            <w:r w:rsidR="00DB05C1">
              <w:rPr>
                <w:rFonts w:cs="Arial"/>
                <w:i w:val="0"/>
                <w:color w:val="auto"/>
              </w:rPr>
              <w:t>; or</w:t>
            </w:r>
          </w:p>
          <w:p w14:paraId="0571322F" w14:textId="175639CC" w:rsidR="006922BB" w:rsidRPr="009E40B6" w:rsidRDefault="006922BB" w:rsidP="00AD309C">
            <w:pPr>
              <w:pStyle w:val="BodyText2"/>
              <w:numPr>
                <w:ilvl w:val="0"/>
                <w:numId w:val="391"/>
              </w:numPr>
              <w:rPr>
                <w:rFonts w:cs="Arial"/>
              </w:rPr>
            </w:pPr>
            <w:r w:rsidRPr="009A5185">
              <w:rPr>
                <w:rFonts w:cs="Arial"/>
                <w:i w:val="0"/>
                <w:color w:val="auto"/>
              </w:rPr>
              <w:t>Patient Safety Organization (as defined in The Patient Safety and Quality Improvement Act of 2005)</w:t>
            </w:r>
            <w:r w:rsidR="00DB05C1">
              <w:rPr>
                <w:rFonts w:cs="Arial"/>
                <w:i w:val="0"/>
                <w:color w:val="auto"/>
              </w:rPr>
              <w:t>.</w:t>
            </w:r>
          </w:p>
        </w:tc>
        <w:tc>
          <w:tcPr>
            <w:tcW w:w="2155" w:type="dxa"/>
            <w:vAlign w:val="center"/>
          </w:tcPr>
          <w:p w14:paraId="629EF19D" w14:textId="77777777" w:rsidR="006922BB" w:rsidRPr="00FC08A6" w:rsidRDefault="006922BB" w:rsidP="00AD309C">
            <w:pPr>
              <w:pStyle w:val="EndnoteText"/>
              <w:numPr>
                <w:ilvl w:val="0"/>
                <w:numId w:val="245"/>
              </w:numPr>
              <w:rPr>
                <w:rFonts w:cs="Arial"/>
                <w:iCs/>
              </w:rPr>
            </w:pPr>
            <w:r w:rsidRPr="00FC08A6">
              <w:rPr>
                <w:rFonts w:cs="Arial"/>
                <w:iCs/>
              </w:rPr>
              <w:t>Yes</w:t>
            </w:r>
          </w:p>
          <w:p w14:paraId="06A80B40" w14:textId="77777777" w:rsidR="006922BB" w:rsidRPr="006A67FA" w:rsidRDefault="006922BB" w:rsidP="00AD309C">
            <w:pPr>
              <w:pStyle w:val="EndnoteText"/>
              <w:numPr>
                <w:ilvl w:val="0"/>
                <w:numId w:val="245"/>
              </w:numPr>
              <w:rPr>
                <w:rFonts w:cs="Arial"/>
                <w:iCs/>
              </w:rPr>
            </w:pPr>
            <w:r w:rsidRPr="00FC08A6">
              <w:rPr>
                <w:rFonts w:cs="Arial"/>
                <w:iCs/>
              </w:rPr>
              <w:t>No</w:t>
            </w:r>
          </w:p>
        </w:tc>
      </w:tr>
      <w:tr w:rsidR="006922BB" w:rsidRPr="009A5185" w14:paraId="53F1CFF2" w14:textId="77777777" w:rsidTr="00C641A4">
        <w:trPr>
          <w:trHeight w:val="504"/>
        </w:trPr>
        <w:tc>
          <w:tcPr>
            <w:tcW w:w="7177" w:type="dxa"/>
            <w:vAlign w:val="center"/>
          </w:tcPr>
          <w:p w14:paraId="7244E205" w14:textId="427D9334" w:rsidR="006922BB" w:rsidRDefault="006922BB" w:rsidP="00AD309C">
            <w:pPr>
              <w:pStyle w:val="BodyText2"/>
              <w:numPr>
                <w:ilvl w:val="0"/>
                <w:numId w:val="54"/>
              </w:numPr>
              <w:rPr>
                <w:rFonts w:cs="Arial"/>
                <w:i w:val="0"/>
                <w:color w:val="auto"/>
              </w:rPr>
            </w:pPr>
            <w:r w:rsidRPr="009A5185">
              <w:rPr>
                <w:rFonts w:cs="Arial"/>
                <w:i w:val="0"/>
                <w:color w:val="auto"/>
              </w:rPr>
              <w:t xml:space="preserve">We perform a </w:t>
            </w:r>
            <w:hyperlink w:anchor="Endnote39_RCA" w:history="1">
              <w:r w:rsidRPr="009A5185">
                <w:rPr>
                  <w:rStyle w:val="Hyperlink"/>
                  <w:rFonts w:cs="Arial"/>
                  <w:i w:val="0"/>
                </w:rPr>
                <w:t>root cause analysis</w:t>
              </w:r>
            </w:hyperlink>
            <w:bookmarkStart w:id="638" w:name="_Ref121771518"/>
            <w:r w:rsidR="000F0582">
              <w:rPr>
                <w:rStyle w:val="Hyperlink"/>
                <w:rFonts w:ascii="ZWAdobeF" w:hAnsi="ZWAdobeF" w:cs="ZWAdobeF"/>
                <w:i w:val="0"/>
                <w:color w:val="auto"/>
                <w:sz w:val="2"/>
                <w:szCs w:val="2"/>
                <w:u w:val="none"/>
              </w:rPr>
              <w:t>48F</w:t>
            </w:r>
            <w:r w:rsidR="00BF053F">
              <w:rPr>
                <w:rStyle w:val="Hyperlink"/>
                <w:rFonts w:ascii="ZWAdobeF" w:hAnsi="ZWAdobeF" w:cs="ZWAdobeF"/>
                <w:i w:val="0"/>
                <w:color w:val="auto"/>
                <w:sz w:val="2"/>
                <w:szCs w:val="2"/>
                <w:u w:val="none"/>
              </w:rPr>
              <w:t>50F</w:t>
            </w:r>
            <w:r w:rsidR="004C7557">
              <w:rPr>
                <w:rStyle w:val="Hyperlink"/>
                <w:rFonts w:ascii="ZWAdobeF" w:hAnsi="ZWAdobeF" w:cs="ZWAdobeF"/>
                <w:i w:val="0"/>
                <w:color w:val="auto"/>
                <w:sz w:val="2"/>
                <w:szCs w:val="2"/>
                <w:u w:val="none"/>
              </w:rPr>
              <w:t>50F</w:t>
            </w:r>
            <w:r w:rsidR="00C2087D">
              <w:rPr>
                <w:rStyle w:val="Hyperlink"/>
                <w:rFonts w:ascii="ZWAdobeF" w:hAnsi="ZWAdobeF" w:cs="ZWAdobeF"/>
                <w:i w:val="0"/>
                <w:color w:val="auto"/>
                <w:sz w:val="2"/>
                <w:szCs w:val="2"/>
                <w:u w:val="none"/>
              </w:rPr>
              <w:t>49F</w:t>
            </w:r>
            <w:r w:rsidR="00B55C41">
              <w:rPr>
                <w:rStyle w:val="Hyperlink"/>
                <w:rFonts w:ascii="ZWAdobeF" w:hAnsi="ZWAdobeF" w:cs="ZWAdobeF"/>
                <w:i w:val="0"/>
                <w:color w:val="auto"/>
                <w:sz w:val="2"/>
                <w:szCs w:val="2"/>
                <w:u w:val="none"/>
              </w:rPr>
              <w:t>49F</w:t>
            </w:r>
            <w:r w:rsidR="006255A6">
              <w:rPr>
                <w:rStyle w:val="Hyperlink"/>
                <w:rFonts w:ascii="ZWAdobeF" w:hAnsi="ZWAdobeF" w:cs="ZWAdobeF"/>
                <w:i w:val="0"/>
                <w:color w:val="auto"/>
                <w:sz w:val="2"/>
                <w:szCs w:val="2"/>
                <w:u w:val="none"/>
              </w:rPr>
              <w:t>49F</w:t>
            </w:r>
            <w:r w:rsidR="00E453C7">
              <w:rPr>
                <w:rStyle w:val="Hyperlink"/>
                <w:rFonts w:ascii="ZWAdobeF" w:hAnsi="ZWAdobeF" w:cs="ZWAdobeF"/>
                <w:i w:val="0"/>
                <w:color w:val="auto"/>
                <w:sz w:val="2"/>
                <w:szCs w:val="2"/>
                <w:u w:val="none"/>
              </w:rPr>
              <w:t>49F</w:t>
            </w:r>
            <w:r w:rsidR="00953060">
              <w:rPr>
                <w:rStyle w:val="Hyperlink"/>
                <w:rFonts w:ascii="ZWAdobeF" w:hAnsi="ZWAdobeF" w:cs="ZWAdobeF"/>
                <w:i w:val="0"/>
                <w:color w:val="auto"/>
                <w:sz w:val="2"/>
                <w:szCs w:val="2"/>
                <w:u w:val="none"/>
              </w:rPr>
              <w:t>49F</w:t>
            </w:r>
            <w:r w:rsidR="00DD04D6">
              <w:rPr>
                <w:rStyle w:val="Hyperlink"/>
                <w:rFonts w:ascii="ZWAdobeF" w:hAnsi="ZWAdobeF" w:cs="ZWAdobeF"/>
                <w:i w:val="0"/>
                <w:color w:val="auto"/>
                <w:sz w:val="2"/>
                <w:szCs w:val="2"/>
                <w:u w:val="none"/>
              </w:rPr>
              <w:t>49F</w:t>
            </w:r>
            <w:r w:rsidRPr="009A5185">
              <w:rPr>
                <w:rStyle w:val="EndnoteReference"/>
                <w:rFonts w:cs="Arial"/>
                <w:i w:val="0"/>
                <w:color w:val="auto"/>
              </w:rPr>
              <w:endnoteReference w:id="51"/>
            </w:r>
            <w:bookmarkEnd w:id="638"/>
            <w:r>
              <w:rPr>
                <w:rFonts w:cs="Arial"/>
                <w:i w:val="0"/>
              </w:rPr>
              <w:t>,</w:t>
            </w:r>
            <w:r w:rsidRPr="009A5185">
              <w:rPr>
                <w:rFonts w:cs="Arial"/>
                <w:i w:val="0"/>
                <w:color w:val="auto"/>
              </w:rPr>
              <w:t xml:space="preserve"> which at a minimum, includes the elements required by the chosen external reporting agency.</w:t>
            </w:r>
          </w:p>
          <w:p w14:paraId="45C6B089" w14:textId="71F0FEA7" w:rsidR="0069523F" w:rsidRPr="00A90AE6" w:rsidRDefault="0069523F" w:rsidP="00A90AE6">
            <w:pPr>
              <w:pStyle w:val="BodyText2"/>
              <w:ind w:left="360"/>
              <w:rPr>
                <w:rFonts w:cs="Arial"/>
                <w:iCs/>
                <w:color w:val="auto"/>
              </w:rPr>
            </w:pPr>
            <w:r>
              <w:rPr>
                <w:rFonts w:cs="Arial"/>
                <w:i w:val="0"/>
                <w:color w:val="auto"/>
              </w:rPr>
              <w:br/>
            </w:r>
            <w:bookmarkStart w:id="640" w:name="_Hlk162548084"/>
            <w:bookmarkStart w:id="641" w:name="_Hlk162548306"/>
            <w:r>
              <w:rPr>
                <w:rFonts w:cs="Arial"/>
                <w:iCs/>
                <w:color w:val="auto"/>
              </w:rPr>
              <w:t>If “no</w:t>
            </w:r>
            <w:r w:rsidR="006B6EB1">
              <w:rPr>
                <w:rFonts w:cs="Arial"/>
                <w:iCs/>
                <w:color w:val="auto"/>
              </w:rPr>
              <w:t>,</w:t>
            </w:r>
            <w:r>
              <w:rPr>
                <w:rFonts w:cs="Arial"/>
                <w:iCs/>
                <w:color w:val="auto"/>
              </w:rPr>
              <w:t>” skip questions #6</w:t>
            </w:r>
            <w:r w:rsidR="006760C3">
              <w:rPr>
                <w:rFonts w:cs="Arial"/>
                <w:iCs/>
                <w:color w:val="auto"/>
              </w:rPr>
              <w:t>-</w:t>
            </w:r>
            <w:r>
              <w:rPr>
                <w:rFonts w:cs="Arial"/>
                <w:iCs/>
                <w:color w:val="auto"/>
              </w:rPr>
              <w:t>7</w:t>
            </w:r>
            <w:bookmarkEnd w:id="640"/>
            <w:r>
              <w:rPr>
                <w:rFonts w:cs="Arial"/>
                <w:iCs/>
                <w:color w:val="auto"/>
              </w:rPr>
              <w:t>.</w:t>
            </w:r>
            <w:r w:rsidR="000C20C6">
              <w:rPr>
                <w:rFonts w:cs="Arial"/>
                <w:iCs/>
                <w:color w:val="auto"/>
              </w:rPr>
              <w:t xml:space="preserve"> The hospital will be scored as “Limited Achievement.”</w:t>
            </w:r>
            <w:bookmarkEnd w:id="641"/>
          </w:p>
        </w:tc>
        <w:tc>
          <w:tcPr>
            <w:tcW w:w="2155" w:type="dxa"/>
            <w:vAlign w:val="center"/>
          </w:tcPr>
          <w:p w14:paraId="726F4B16" w14:textId="77777777" w:rsidR="006922BB" w:rsidRPr="00FC08A6" w:rsidRDefault="006922BB" w:rsidP="00AD309C">
            <w:pPr>
              <w:pStyle w:val="EndnoteText"/>
              <w:numPr>
                <w:ilvl w:val="0"/>
                <w:numId w:val="245"/>
              </w:numPr>
              <w:rPr>
                <w:rFonts w:cs="Arial"/>
                <w:iCs/>
              </w:rPr>
            </w:pPr>
            <w:r w:rsidRPr="00FC08A6">
              <w:rPr>
                <w:rFonts w:cs="Arial"/>
                <w:iCs/>
              </w:rPr>
              <w:t>Yes</w:t>
            </w:r>
          </w:p>
          <w:p w14:paraId="32A08A99" w14:textId="77777777" w:rsidR="006922BB" w:rsidRPr="006A67FA" w:rsidRDefault="006922BB" w:rsidP="00AD309C">
            <w:pPr>
              <w:pStyle w:val="EndnoteText"/>
              <w:numPr>
                <w:ilvl w:val="0"/>
                <w:numId w:val="245"/>
              </w:numPr>
              <w:rPr>
                <w:rFonts w:cs="Arial"/>
                <w:iCs/>
              </w:rPr>
            </w:pPr>
            <w:r w:rsidRPr="00FC08A6">
              <w:rPr>
                <w:rFonts w:cs="Arial"/>
                <w:iCs/>
              </w:rPr>
              <w:t>No</w:t>
            </w:r>
          </w:p>
        </w:tc>
      </w:tr>
      <w:tr w:rsidR="006922BB" w:rsidRPr="009A5185" w14:paraId="1599EBB1" w14:textId="77777777" w:rsidTr="00CE5AC0">
        <w:trPr>
          <w:trHeight w:val="864"/>
        </w:trPr>
        <w:tc>
          <w:tcPr>
            <w:tcW w:w="7177" w:type="dxa"/>
            <w:vAlign w:val="center"/>
          </w:tcPr>
          <w:p w14:paraId="7EC351E0" w14:textId="4A478F49" w:rsidR="006922BB" w:rsidRDefault="006922BB" w:rsidP="00AD309C">
            <w:pPr>
              <w:pStyle w:val="BodyText2"/>
              <w:numPr>
                <w:ilvl w:val="0"/>
                <w:numId w:val="54"/>
              </w:numPr>
              <w:rPr>
                <w:rFonts w:cs="Arial"/>
                <w:i w:val="0"/>
                <w:color w:val="auto"/>
              </w:rPr>
            </w:pPr>
            <w:r w:rsidRPr="009A5185">
              <w:rPr>
                <w:rFonts w:cs="Arial"/>
                <w:i w:val="0"/>
                <w:color w:val="auto"/>
              </w:rPr>
              <w:t xml:space="preserve">We waive all costs directly related to the </w:t>
            </w:r>
            <w:hyperlink w:anchor="Endnote36_NeverEvent" w:history="1">
              <w:r w:rsidR="0018745F" w:rsidRPr="0002601E">
                <w:rPr>
                  <w:rStyle w:val="Hyperlink"/>
                  <w:rFonts w:cs="Arial"/>
                  <w:i w:val="0"/>
                  <w:iCs/>
                </w:rPr>
                <w:t>never event</w:t>
              </w:r>
            </w:hyperlink>
            <w:r w:rsidR="0018745F" w:rsidRPr="00D14D23">
              <w:rPr>
                <w:i w:val="0"/>
                <w:iCs/>
                <w:color w:val="auto"/>
                <w:vertAlign w:val="superscript"/>
              </w:rPr>
              <w:fldChar w:fldCharType="begin"/>
            </w:r>
            <w:r w:rsidR="0018745F" w:rsidRPr="00D14D23">
              <w:rPr>
                <w:rStyle w:val="Hyperlink"/>
                <w:rFonts w:cs="Arial"/>
                <w:i w:val="0"/>
                <w:iCs/>
              </w:rPr>
              <w:instrText xml:space="preserve"> NOTEREF _Ref534278133 \f \h </w:instrText>
            </w:r>
            <w:r w:rsidR="0018745F" w:rsidRPr="00D14D23">
              <w:rPr>
                <w:i w:val="0"/>
                <w:iCs/>
                <w:color w:val="auto"/>
                <w:vertAlign w:val="superscript"/>
              </w:rPr>
              <w:instrText xml:space="preserve"> \* MERGEFORMAT </w:instrText>
            </w:r>
            <w:r w:rsidR="0018745F" w:rsidRPr="00D14D23">
              <w:rPr>
                <w:i w:val="0"/>
                <w:iCs/>
                <w:color w:val="auto"/>
                <w:vertAlign w:val="superscript"/>
              </w:rPr>
            </w:r>
            <w:r w:rsidR="0018745F" w:rsidRPr="00D14D23">
              <w:rPr>
                <w:i w:val="0"/>
                <w:iCs/>
                <w:color w:val="auto"/>
                <w:vertAlign w:val="superscript"/>
              </w:rPr>
              <w:fldChar w:fldCharType="separate"/>
            </w:r>
            <w:r w:rsidR="007D53A2" w:rsidRPr="00995FE1">
              <w:rPr>
                <w:rStyle w:val="EndnoteReference"/>
              </w:rPr>
              <w:t>47</w:t>
            </w:r>
            <w:r w:rsidR="0018745F" w:rsidRPr="00D14D23">
              <w:rPr>
                <w:i w:val="0"/>
                <w:iCs/>
                <w:color w:val="auto"/>
                <w:vertAlign w:val="superscript"/>
              </w:rPr>
              <w:fldChar w:fldCharType="end"/>
            </w:r>
            <w:r w:rsidR="0018745F" w:rsidRPr="0002601E">
              <w:rPr>
                <w:rFonts w:cs="Arial"/>
                <w:i w:val="0"/>
                <w:iCs/>
                <w:color w:val="auto"/>
              </w:rPr>
              <w:t>.</w:t>
            </w:r>
          </w:p>
          <w:p w14:paraId="7FCFA669" w14:textId="77777777" w:rsidR="007A3815" w:rsidRPr="00CE5AC0" w:rsidRDefault="007A3815" w:rsidP="0027679D">
            <w:pPr>
              <w:pStyle w:val="BodyText2"/>
              <w:rPr>
                <w:rFonts w:cs="Arial"/>
                <w:i w:val="0"/>
                <w:color w:val="auto"/>
                <w:sz w:val="16"/>
                <w:szCs w:val="16"/>
              </w:rPr>
            </w:pPr>
          </w:p>
          <w:p w14:paraId="2628EBD9" w14:textId="596E12AB" w:rsidR="006922BB" w:rsidRPr="009A5185" w:rsidRDefault="00C502A5" w:rsidP="0027679D">
            <w:pPr>
              <w:pStyle w:val="BodyText2"/>
              <w:ind w:left="360"/>
              <w:rPr>
                <w:rFonts w:cs="Arial"/>
              </w:rPr>
            </w:pPr>
            <w:r w:rsidRPr="0027679D">
              <w:rPr>
                <w:rFonts w:cs="Arial"/>
                <w:iCs/>
                <w:color w:val="auto"/>
              </w:rPr>
              <w:t>In order to respond “</w:t>
            </w:r>
            <w:r w:rsidR="00D8562E">
              <w:rPr>
                <w:rFonts w:cs="Arial"/>
                <w:iCs/>
                <w:color w:val="auto"/>
              </w:rPr>
              <w:t>y</w:t>
            </w:r>
            <w:r w:rsidRPr="0027679D">
              <w:rPr>
                <w:rFonts w:cs="Arial"/>
                <w:iCs/>
                <w:color w:val="auto"/>
              </w:rPr>
              <w:t xml:space="preserve">es” to this question, all costs directly related to the never event must be waived to both </w:t>
            </w:r>
            <w:r w:rsidR="009E40B6" w:rsidRPr="0027679D">
              <w:rPr>
                <w:rFonts w:cs="Arial"/>
                <w:iCs/>
                <w:color w:val="auto"/>
              </w:rPr>
              <w:t xml:space="preserve">the patient and the payor. </w:t>
            </w:r>
          </w:p>
        </w:tc>
        <w:tc>
          <w:tcPr>
            <w:tcW w:w="2155" w:type="dxa"/>
            <w:vAlign w:val="center"/>
          </w:tcPr>
          <w:p w14:paraId="0AECA5D9" w14:textId="77777777" w:rsidR="006922BB" w:rsidRPr="00FC08A6" w:rsidRDefault="006922BB" w:rsidP="00AD309C">
            <w:pPr>
              <w:pStyle w:val="EndnoteText"/>
              <w:numPr>
                <w:ilvl w:val="0"/>
                <w:numId w:val="245"/>
              </w:numPr>
              <w:rPr>
                <w:rFonts w:cs="Arial"/>
                <w:iCs/>
              </w:rPr>
            </w:pPr>
            <w:r w:rsidRPr="00FC08A6">
              <w:rPr>
                <w:rFonts w:cs="Arial"/>
                <w:iCs/>
              </w:rPr>
              <w:t>Yes</w:t>
            </w:r>
          </w:p>
          <w:p w14:paraId="33A32A48" w14:textId="77777777" w:rsidR="006922BB" w:rsidRPr="006A67FA" w:rsidRDefault="006922BB" w:rsidP="00AD309C">
            <w:pPr>
              <w:pStyle w:val="EndnoteText"/>
              <w:numPr>
                <w:ilvl w:val="0"/>
                <w:numId w:val="245"/>
              </w:numPr>
              <w:rPr>
                <w:rFonts w:cs="Arial"/>
                <w:iCs/>
              </w:rPr>
            </w:pPr>
            <w:r w:rsidRPr="00FC08A6">
              <w:rPr>
                <w:rFonts w:cs="Arial"/>
                <w:iCs/>
              </w:rPr>
              <w:t>No</w:t>
            </w:r>
          </w:p>
        </w:tc>
      </w:tr>
      <w:tr w:rsidR="006922BB" w:rsidRPr="009A5185" w14:paraId="726B030A" w14:textId="77777777" w:rsidTr="00C641A4">
        <w:trPr>
          <w:trHeight w:val="504"/>
        </w:trPr>
        <w:tc>
          <w:tcPr>
            <w:tcW w:w="7177" w:type="dxa"/>
            <w:vAlign w:val="center"/>
          </w:tcPr>
          <w:p w14:paraId="3B9FD4C8" w14:textId="347A03E2" w:rsidR="006922BB" w:rsidRPr="009E40B6" w:rsidRDefault="006922BB" w:rsidP="00AD309C">
            <w:pPr>
              <w:pStyle w:val="BodyText2"/>
              <w:numPr>
                <w:ilvl w:val="0"/>
                <w:numId w:val="54"/>
              </w:numPr>
              <w:rPr>
                <w:rFonts w:cs="Arial"/>
                <w:i w:val="0"/>
                <w:color w:val="auto"/>
              </w:rPr>
            </w:pPr>
            <w:r w:rsidRPr="009A5185">
              <w:rPr>
                <w:rFonts w:cs="Arial"/>
                <w:i w:val="0"/>
                <w:color w:val="auto"/>
              </w:rPr>
              <w:t>We make a copy of this policy available to patients, patients’ family members, and payers upon request.</w:t>
            </w:r>
          </w:p>
        </w:tc>
        <w:tc>
          <w:tcPr>
            <w:tcW w:w="2155" w:type="dxa"/>
            <w:vAlign w:val="center"/>
          </w:tcPr>
          <w:p w14:paraId="7DB2C0FD" w14:textId="77777777" w:rsidR="006922BB" w:rsidRPr="00FC08A6" w:rsidRDefault="006922BB" w:rsidP="00AD309C">
            <w:pPr>
              <w:pStyle w:val="EndnoteText"/>
              <w:numPr>
                <w:ilvl w:val="0"/>
                <w:numId w:val="245"/>
              </w:numPr>
              <w:rPr>
                <w:rFonts w:cs="Arial"/>
                <w:iCs/>
              </w:rPr>
            </w:pPr>
            <w:r w:rsidRPr="00FC08A6">
              <w:rPr>
                <w:rFonts w:cs="Arial"/>
                <w:iCs/>
              </w:rPr>
              <w:t>Yes</w:t>
            </w:r>
          </w:p>
          <w:p w14:paraId="4DA29CED" w14:textId="77777777" w:rsidR="006922BB" w:rsidRPr="00FC08A6" w:rsidRDefault="006922BB" w:rsidP="00AD309C">
            <w:pPr>
              <w:pStyle w:val="EndnoteText"/>
              <w:numPr>
                <w:ilvl w:val="0"/>
                <w:numId w:val="245"/>
              </w:numPr>
              <w:rPr>
                <w:rFonts w:cs="Arial"/>
                <w:iCs/>
              </w:rPr>
            </w:pPr>
            <w:r w:rsidRPr="00FC08A6">
              <w:rPr>
                <w:rFonts w:cs="Arial"/>
                <w:iCs/>
              </w:rPr>
              <w:t>No</w:t>
            </w:r>
          </w:p>
        </w:tc>
      </w:tr>
      <w:tr w:rsidR="006922BB" w:rsidRPr="009A5185" w14:paraId="18B8FD48" w14:textId="77777777" w:rsidTr="00B81910">
        <w:trPr>
          <w:trHeight w:val="504"/>
        </w:trPr>
        <w:tc>
          <w:tcPr>
            <w:tcW w:w="7177" w:type="dxa"/>
            <w:vAlign w:val="center"/>
          </w:tcPr>
          <w:p w14:paraId="2AF77C86" w14:textId="7B9C2E51" w:rsidR="00CE5AC0" w:rsidRPr="009E40B6" w:rsidRDefault="006922BB" w:rsidP="00AD309C">
            <w:pPr>
              <w:pStyle w:val="BodyText2"/>
              <w:numPr>
                <w:ilvl w:val="0"/>
                <w:numId w:val="54"/>
              </w:numPr>
              <w:rPr>
                <w:rFonts w:cs="Arial"/>
              </w:rPr>
            </w:pPr>
            <w:r w:rsidRPr="009A5185">
              <w:rPr>
                <w:rFonts w:cs="Arial"/>
                <w:i w:val="0"/>
                <w:color w:val="auto"/>
              </w:rPr>
              <w:t>We interview patients and/or families</w:t>
            </w:r>
            <w:r>
              <w:rPr>
                <w:rFonts w:cs="Arial"/>
                <w:i w:val="0"/>
                <w:color w:val="auto"/>
              </w:rPr>
              <w:t>,</w:t>
            </w:r>
            <w:r w:rsidRPr="009A5185">
              <w:rPr>
                <w:rFonts w:cs="Arial"/>
                <w:i w:val="0"/>
                <w:color w:val="auto"/>
              </w:rPr>
              <w:t xml:space="preserve"> who are willing and able, to gather evidence for the</w:t>
            </w:r>
            <w:r w:rsidR="00BF2133">
              <w:rPr>
                <w:rFonts w:cs="Arial"/>
                <w:i w:val="0"/>
                <w:color w:val="auto"/>
              </w:rPr>
              <w:t xml:space="preserve"> </w:t>
            </w:r>
            <w:hyperlink w:anchor="Endnote39_RCA" w:history="1">
              <w:r w:rsidR="00BF2133" w:rsidRPr="00BF2133">
                <w:rPr>
                  <w:rStyle w:val="Hyperlink"/>
                  <w:rFonts w:cs="Arial"/>
                  <w:i w:val="0"/>
                </w:rPr>
                <w:t>root cause analysis</w:t>
              </w:r>
            </w:hyperlink>
            <w:r w:rsidR="00BF2133" w:rsidRPr="00BF2133">
              <w:rPr>
                <w:rFonts w:cs="Arial"/>
                <w:i w:val="0"/>
                <w:color w:val="auto"/>
                <w:vertAlign w:val="superscript"/>
              </w:rPr>
              <w:t>5</w:t>
            </w:r>
            <w:r w:rsidR="00540485">
              <w:rPr>
                <w:rFonts w:cs="Arial"/>
                <w:i w:val="0"/>
                <w:color w:val="auto"/>
                <w:vertAlign w:val="superscript"/>
              </w:rPr>
              <w:t>0</w:t>
            </w:r>
            <w:r w:rsidRPr="009A5185">
              <w:rPr>
                <w:rFonts w:cs="Arial"/>
                <w:i w:val="0"/>
                <w:color w:val="auto"/>
              </w:rPr>
              <w:t>.</w:t>
            </w:r>
            <w:r w:rsidR="00090DB8">
              <w:rPr>
                <w:rFonts w:cs="Arial"/>
                <w:i w:val="0"/>
                <w:color w:val="auto"/>
              </w:rPr>
              <w:t xml:space="preserve"> </w:t>
            </w:r>
          </w:p>
        </w:tc>
        <w:tc>
          <w:tcPr>
            <w:tcW w:w="2155" w:type="dxa"/>
            <w:vAlign w:val="center"/>
          </w:tcPr>
          <w:p w14:paraId="7370DA5F" w14:textId="77777777" w:rsidR="006922BB" w:rsidRPr="00FC08A6" w:rsidRDefault="006922BB" w:rsidP="00AD309C">
            <w:pPr>
              <w:pStyle w:val="EndnoteText"/>
              <w:numPr>
                <w:ilvl w:val="0"/>
                <w:numId w:val="245"/>
              </w:numPr>
              <w:rPr>
                <w:rFonts w:cs="Arial"/>
                <w:iCs/>
              </w:rPr>
            </w:pPr>
            <w:r w:rsidRPr="00FC08A6">
              <w:rPr>
                <w:rFonts w:cs="Arial"/>
                <w:iCs/>
              </w:rPr>
              <w:t>Yes</w:t>
            </w:r>
          </w:p>
          <w:p w14:paraId="4B766978" w14:textId="77777777" w:rsidR="006922BB" w:rsidRPr="006A67FA" w:rsidRDefault="006922BB" w:rsidP="00AD309C">
            <w:pPr>
              <w:pStyle w:val="EndnoteText"/>
              <w:numPr>
                <w:ilvl w:val="0"/>
                <w:numId w:val="245"/>
              </w:numPr>
              <w:rPr>
                <w:rFonts w:cs="Arial"/>
                <w:iCs/>
              </w:rPr>
            </w:pPr>
            <w:r w:rsidRPr="00FC08A6">
              <w:rPr>
                <w:rFonts w:cs="Arial"/>
                <w:iCs/>
              </w:rPr>
              <w:t>No</w:t>
            </w:r>
          </w:p>
        </w:tc>
      </w:tr>
      <w:tr w:rsidR="006922BB" w:rsidRPr="009A5185" w14:paraId="3E254049" w14:textId="77777777" w:rsidTr="00B81910">
        <w:trPr>
          <w:trHeight w:val="792"/>
        </w:trPr>
        <w:tc>
          <w:tcPr>
            <w:tcW w:w="7177" w:type="dxa"/>
            <w:vAlign w:val="center"/>
          </w:tcPr>
          <w:p w14:paraId="3239D8DF" w14:textId="3755FC8C" w:rsidR="00CE5AC0" w:rsidRPr="009E40B6" w:rsidRDefault="006922BB" w:rsidP="00AD309C">
            <w:pPr>
              <w:pStyle w:val="BodyText2"/>
              <w:numPr>
                <w:ilvl w:val="0"/>
                <w:numId w:val="54"/>
              </w:numPr>
              <w:rPr>
                <w:rFonts w:cs="Arial"/>
              </w:rPr>
            </w:pPr>
            <w:r w:rsidRPr="009A5185">
              <w:rPr>
                <w:rFonts w:cs="Arial"/>
                <w:i w:val="0"/>
                <w:color w:val="auto"/>
              </w:rPr>
              <w:t xml:space="preserve">We inform the patient and/or </w:t>
            </w:r>
            <w:r>
              <w:rPr>
                <w:rFonts w:cs="Arial"/>
                <w:i w:val="0"/>
                <w:color w:val="auto"/>
              </w:rPr>
              <w:t>the patient’s</w:t>
            </w:r>
            <w:r w:rsidRPr="009A5185">
              <w:rPr>
                <w:rFonts w:cs="Arial"/>
                <w:i w:val="0"/>
                <w:color w:val="auto"/>
              </w:rPr>
              <w:t xml:space="preserve"> family of the action(s) that our hospital will take to prevent future recurrences of similar events based on the findings from the</w:t>
            </w:r>
            <w:r w:rsidR="00122E1F">
              <w:rPr>
                <w:rFonts w:cs="Arial"/>
                <w:i w:val="0"/>
                <w:color w:val="auto"/>
              </w:rPr>
              <w:t xml:space="preserve"> </w:t>
            </w:r>
            <w:hyperlink w:anchor="Endnote39_RCA" w:history="1">
              <w:r w:rsidR="00122E1F" w:rsidRPr="00BF2133">
                <w:rPr>
                  <w:rStyle w:val="Hyperlink"/>
                  <w:rFonts w:cs="Arial"/>
                  <w:i w:val="0"/>
                </w:rPr>
                <w:t>root cause analysis</w:t>
              </w:r>
            </w:hyperlink>
            <w:r w:rsidR="00122E1F" w:rsidRPr="00BF2133">
              <w:rPr>
                <w:rFonts w:cs="Arial"/>
                <w:i w:val="0"/>
                <w:color w:val="auto"/>
                <w:vertAlign w:val="superscript"/>
              </w:rPr>
              <w:t>5</w:t>
            </w:r>
            <w:r w:rsidR="002A2DC2">
              <w:rPr>
                <w:rFonts w:cs="Arial"/>
                <w:i w:val="0"/>
                <w:color w:val="auto"/>
                <w:vertAlign w:val="superscript"/>
              </w:rPr>
              <w:t>0</w:t>
            </w:r>
            <w:r w:rsidR="00122E1F" w:rsidRPr="009A5185">
              <w:rPr>
                <w:rFonts w:cs="Arial"/>
                <w:i w:val="0"/>
                <w:color w:val="auto"/>
              </w:rPr>
              <w:t>.</w:t>
            </w:r>
          </w:p>
        </w:tc>
        <w:tc>
          <w:tcPr>
            <w:tcW w:w="2155" w:type="dxa"/>
            <w:vAlign w:val="center"/>
          </w:tcPr>
          <w:p w14:paraId="7041BF78" w14:textId="77777777" w:rsidR="006922BB" w:rsidRPr="00FC08A6" w:rsidRDefault="006922BB" w:rsidP="00AD309C">
            <w:pPr>
              <w:pStyle w:val="EndnoteText"/>
              <w:numPr>
                <w:ilvl w:val="0"/>
                <w:numId w:val="245"/>
              </w:numPr>
              <w:rPr>
                <w:rFonts w:cs="Arial"/>
                <w:iCs/>
              </w:rPr>
            </w:pPr>
            <w:r w:rsidRPr="00FC08A6">
              <w:rPr>
                <w:rFonts w:cs="Arial"/>
                <w:iCs/>
              </w:rPr>
              <w:t>Yes</w:t>
            </w:r>
          </w:p>
          <w:p w14:paraId="255B6458" w14:textId="77777777" w:rsidR="006922BB" w:rsidRPr="006A67FA" w:rsidRDefault="006922BB" w:rsidP="00AD309C">
            <w:pPr>
              <w:pStyle w:val="EndnoteText"/>
              <w:numPr>
                <w:ilvl w:val="0"/>
                <w:numId w:val="245"/>
              </w:numPr>
              <w:rPr>
                <w:rFonts w:cs="Arial"/>
                <w:iCs/>
              </w:rPr>
            </w:pPr>
            <w:r w:rsidRPr="00FC08A6">
              <w:rPr>
                <w:rFonts w:cs="Arial"/>
                <w:iCs/>
              </w:rPr>
              <w:t>No</w:t>
            </w:r>
          </w:p>
        </w:tc>
      </w:tr>
      <w:tr w:rsidR="006922BB" w:rsidRPr="009A5185" w14:paraId="3B26D881" w14:textId="77777777" w:rsidTr="00B81910">
        <w:trPr>
          <w:trHeight w:val="720"/>
        </w:trPr>
        <w:tc>
          <w:tcPr>
            <w:tcW w:w="7177" w:type="dxa"/>
            <w:tcBorders>
              <w:bottom w:val="single" w:sz="4" w:space="0" w:color="auto"/>
            </w:tcBorders>
            <w:vAlign w:val="center"/>
          </w:tcPr>
          <w:p w14:paraId="077F0E7C" w14:textId="2CA685FC" w:rsidR="006922BB" w:rsidRPr="009E40B6" w:rsidRDefault="006922BB" w:rsidP="00AD309C">
            <w:pPr>
              <w:pStyle w:val="ListParagraph"/>
              <w:numPr>
                <w:ilvl w:val="0"/>
                <w:numId w:val="54"/>
              </w:numPr>
              <w:rPr>
                <w:rFonts w:cs="Arial"/>
              </w:rPr>
            </w:pPr>
            <w:r w:rsidRPr="009A5185">
              <w:rPr>
                <w:rFonts w:cs="Arial"/>
              </w:rPr>
              <w:t xml:space="preserve">We have a protocol in place to provide support for caregivers involved in </w:t>
            </w:r>
            <w:hyperlink w:anchor="Endnote36_NeverEvent" w:history="1">
              <w:r w:rsidRPr="009A5185">
                <w:rPr>
                  <w:rStyle w:val="Hyperlink"/>
                  <w:rFonts w:cs="Arial"/>
                </w:rPr>
                <w:t>never events</w:t>
              </w:r>
            </w:hyperlink>
            <w:r w:rsidRPr="00D14D23">
              <w:rPr>
                <w:vertAlign w:val="superscript"/>
              </w:rPr>
              <w:fldChar w:fldCharType="begin"/>
            </w:r>
            <w:r w:rsidRPr="00D14D23">
              <w:rPr>
                <w:rStyle w:val="Hyperlink"/>
                <w:rFonts w:cs="Arial"/>
              </w:rPr>
              <w:instrText xml:space="preserve"> NOTEREF _Ref534278133 \f \h </w:instrText>
            </w:r>
            <w:r w:rsidRPr="00D14D23">
              <w:rPr>
                <w:vertAlign w:val="superscript"/>
              </w:rPr>
              <w:instrText xml:space="preserve"> \* MERGEFORMAT </w:instrText>
            </w:r>
            <w:r w:rsidRPr="00D14D23">
              <w:rPr>
                <w:vertAlign w:val="superscript"/>
              </w:rPr>
            </w:r>
            <w:r w:rsidRPr="00D14D23">
              <w:rPr>
                <w:vertAlign w:val="superscript"/>
              </w:rPr>
              <w:fldChar w:fldCharType="separate"/>
            </w:r>
            <w:r w:rsidR="007D53A2" w:rsidRPr="00995FE1">
              <w:rPr>
                <w:rStyle w:val="EndnoteReference"/>
              </w:rPr>
              <w:t>47</w:t>
            </w:r>
            <w:r w:rsidRPr="00D14D23">
              <w:rPr>
                <w:vertAlign w:val="superscript"/>
              </w:rPr>
              <w:fldChar w:fldCharType="end"/>
            </w:r>
            <w:r w:rsidRPr="00D14D23">
              <w:rPr>
                <w:rFonts w:cs="Arial"/>
              </w:rPr>
              <w:t xml:space="preserve"> </w:t>
            </w:r>
            <w:r w:rsidRPr="009A5185">
              <w:rPr>
                <w:rFonts w:cs="Arial"/>
              </w:rPr>
              <w:t>and make that protocol known to all caregivers and affiliated clinicians.</w:t>
            </w:r>
          </w:p>
        </w:tc>
        <w:tc>
          <w:tcPr>
            <w:tcW w:w="2155" w:type="dxa"/>
            <w:vAlign w:val="center"/>
          </w:tcPr>
          <w:p w14:paraId="305B58C1" w14:textId="77777777" w:rsidR="006922BB" w:rsidRPr="00FC08A6" w:rsidRDefault="006922BB" w:rsidP="00AD309C">
            <w:pPr>
              <w:pStyle w:val="EndnoteText"/>
              <w:numPr>
                <w:ilvl w:val="0"/>
                <w:numId w:val="245"/>
              </w:numPr>
              <w:rPr>
                <w:rFonts w:cs="Arial"/>
                <w:iCs/>
              </w:rPr>
            </w:pPr>
            <w:r w:rsidRPr="00FC08A6">
              <w:rPr>
                <w:rFonts w:cs="Arial"/>
                <w:iCs/>
              </w:rPr>
              <w:t>Yes</w:t>
            </w:r>
          </w:p>
          <w:p w14:paraId="3B68B64F" w14:textId="77777777" w:rsidR="006922BB" w:rsidRPr="006A67FA" w:rsidRDefault="006922BB" w:rsidP="00AD309C">
            <w:pPr>
              <w:pStyle w:val="EndnoteText"/>
              <w:numPr>
                <w:ilvl w:val="0"/>
                <w:numId w:val="245"/>
              </w:numPr>
              <w:rPr>
                <w:rFonts w:cs="Arial"/>
                <w:iCs/>
              </w:rPr>
            </w:pPr>
            <w:r w:rsidRPr="00FC08A6">
              <w:rPr>
                <w:rFonts w:cs="Arial"/>
                <w:iCs/>
              </w:rPr>
              <w:t>No</w:t>
            </w:r>
          </w:p>
        </w:tc>
      </w:tr>
      <w:tr w:rsidR="006922BB" w:rsidRPr="009A5185" w14:paraId="3559A0B6" w14:textId="77777777" w:rsidTr="00C641A4">
        <w:trPr>
          <w:trHeight w:val="288"/>
        </w:trPr>
        <w:tc>
          <w:tcPr>
            <w:tcW w:w="7177" w:type="dxa"/>
            <w:tcBorders>
              <w:bottom w:val="single" w:sz="4" w:space="0" w:color="auto"/>
            </w:tcBorders>
            <w:vAlign w:val="center"/>
          </w:tcPr>
          <w:p w14:paraId="5C4CA49A" w14:textId="235609EF" w:rsidR="006922BB" w:rsidRDefault="006922BB" w:rsidP="00AD309C">
            <w:pPr>
              <w:pStyle w:val="BodyText2"/>
              <w:numPr>
                <w:ilvl w:val="0"/>
                <w:numId w:val="54"/>
              </w:numPr>
              <w:rPr>
                <w:rFonts w:cs="Arial"/>
                <w:i w:val="0"/>
                <w:color w:val="auto"/>
              </w:rPr>
            </w:pPr>
            <w:r w:rsidRPr="009A5185">
              <w:rPr>
                <w:rFonts w:cs="Arial"/>
                <w:i w:val="0"/>
                <w:color w:val="auto"/>
              </w:rPr>
              <w:t xml:space="preserve">We perform an annual review to ensure compliance with each element of Leapfrog’s Never Events Policy for each </w:t>
            </w:r>
            <w:hyperlink w:anchor="Endnote36_NeverEvent" w:history="1">
              <w:r w:rsidR="00D73F6A" w:rsidRPr="00D73F6A">
                <w:rPr>
                  <w:rStyle w:val="Hyperlink"/>
                  <w:rFonts w:cs="Arial"/>
                  <w:i w:val="0"/>
                </w:rPr>
                <w:t>never event</w:t>
              </w:r>
            </w:hyperlink>
            <w:r w:rsidR="00D73F6A" w:rsidRPr="00D73F6A">
              <w:rPr>
                <w:rFonts w:cs="Arial"/>
                <w:i w:val="0"/>
                <w:color w:val="auto"/>
                <w:vertAlign w:val="superscript"/>
              </w:rPr>
              <w:t>4</w:t>
            </w:r>
            <w:r w:rsidR="002A2DC2">
              <w:rPr>
                <w:rFonts w:cs="Arial"/>
                <w:i w:val="0"/>
                <w:color w:val="auto"/>
                <w:vertAlign w:val="superscript"/>
              </w:rPr>
              <w:t>7</w:t>
            </w:r>
            <w:r w:rsidR="00D73F6A">
              <w:rPr>
                <w:rFonts w:cs="Arial"/>
                <w:i w:val="0"/>
                <w:color w:val="auto"/>
              </w:rPr>
              <w:t xml:space="preserve"> </w:t>
            </w:r>
            <w:r w:rsidRPr="009A5185">
              <w:rPr>
                <w:rFonts w:cs="Arial"/>
                <w:i w:val="0"/>
                <w:color w:val="auto"/>
              </w:rPr>
              <w:t>that occurred.</w:t>
            </w:r>
          </w:p>
          <w:p w14:paraId="03539CB0" w14:textId="77777777" w:rsidR="006922BB" w:rsidRPr="00CE5AC0" w:rsidRDefault="006922BB" w:rsidP="0027679D">
            <w:pPr>
              <w:pStyle w:val="BodyText2"/>
              <w:ind w:left="360"/>
              <w:rPr>
                <w:rFonts w:cs="Arial"/>
                <w:iCs/>
                <w:color w:val="auto"/>
                <w:sz w:val="16"/>
                <w:szCs w:val="16"/>
              </w:rPr>
            </w:pPr>
          </w:p>
          <w:p w14:paraId="39AEBF44" w14:textId="68B652FF" w:rsidR="00F45F4C" w:rsidRPr="0064417A" w:rsidRDefault="00AB0525" w:rsidP="0027679D">
            <w:pPr>
              <w:pStyle w:val="BodyText2"/>
              <w:ind w:left="360"/>
              <w:rPr>
                <w:rFonts w:cs="Arial"/>
                <w:iCs/>
                <w:color w:val="auto"/>
              </w:rPr>
            </w:pPr>
            <w:bookmarkStart w:id="642" w:name="_Hlk162548375"/>
            <w:r>
              <w:rPr>
                <w:rFonts w:cs="Arial"/>
                <w:iCs/>
                <w:color w:val="auto"/>
              </w:rPr>
              <w:t>If “no” to any question</w:t>
            </w:r>
            <w:r w:rsidR="006760C3">
              <w:rPr>
                <w:rFonts w:cs="Arial"/>
                <w:iCs/>
                <w:color w:val="auto"/>
              </w:rPr>
              <w:t>s</w:t>
            </w:r>
            <w:r>
              <w:rPr>
                <w:rFonts w:cs="Arial"/>
                <w:iCs/>
                <w:color w:val="auto"/>
              </w:rPr>
              <w:t xml:space="preserve"> #1-8, skip this question and </w:t>
            </w:r>
            <w:r w:rsidR="000C20C6">
              <w:rPr>
                <w:rFonts w:cs="Arial"/>
                <w:iCs/>
                <w:color w:val="auto"/>
              </w:rPr>
              <w:t>continue</w:t>
            </w:r>
            <w:r>
              <w:rPr>
                <w:rFonts w:cs="Arial"/>
                <w:iCs/>
                <w:color w:val="auto"/>
              </w:rPr>
              <w:t xml:space="preserve"> to the next subsection. </w:t>
            </w:r>
            <w:bookmarkEnd w:id="642"/>
          </w:p>
        </w:tc>
        <w:tc>
          <w:tcPr>
            <w:tcW w:w="2155" w:type="dxa"/>
            <w:vAlign w:val="center"/>
          </w:tcPr>
          <w:p w14:paraId="7FEC5770" w14:textId="77777777" w:rsidR="006922BB" w:rsidRPr="00FC08A6" w:rsidRDefault="006922BB" w:rsidP="00AD309C">
            <w:pPr>
              <w:pStyle w:val="EndnoteText"/>
              <w:numPr>
                <w:ilvl w:val="0"/>
                <w:numId w:val="245"/>
              </w:numPr>
              <w:rPr>
                <w:rFonts w:cs="Arial"/>
                <w:iCs/>
              </w:rPr>
            </w:pPr>
            <w:r w:rsidRPr="00FC08A6">
              <w:rPr>
                <w:rFonts w:cs="Arial"/>
                <w:iCs/>
              </w:rPr>
              <w:t>Yes</w:t>
            </w:r>
          </w:p>
          <w:p w14:paraId="28E35C53" w14:textId="77777777" w:rsidR="006922BB" w:rsidRPr="006A67FA" w:rsidRDefault="006922BB" w:rsidP="00AD309C">
            <w:pPr>
              <w:pStyle w:val="EndnoteText"/>
              <w:numPr>
                <w:ilvl w:val="0"/>
                <w:numId w:val="245"/>
              </w:numPr>
              <w:rPr>
                <w:rFonts w:cs="Arial"/>
                <w:iCs/>
              </w:rPr>
            </w:pPr>
            <w:r w:rsidRPr="00FC08A6">
              <w:rPr>
                <w:rFonts w:cs="Arial"/>
                <w:iCs/>
              </w:rPr>
              <w:t>No</w:t>
            </w:r>
          </w:p>
        </w:tc>
      </w:tr>
    </w:tbl>
    <w:p w14:paraId="4F1B4A45" w14:textId="30574DF9" w:rsidR="00F45F4C" w:rsidRPr="009A5185" w:rsidRDefault="00F45F4C" w:rsidP="00CF5A6E">
      <w:pPr>
        <w:pStyle w:val="Heading2"/>
      </w:pPr>
      <w:bookmarkStart w:id="643" w:name="_Toc225877809"/>
      <w:r w:rsidRPr="009A5185">
        <w:lastRenderedPageBreak/>
        <w:t>7B: Healthcare-Associated Infections</w:t>
      </w:r>
      <w:bookmarkEnd w:id="643"/>
    </w:p>
    <w:p w14:paraId="64FD130E" w14:textId="77777777" w:rsidR="00F45F4C" w:rsidRPr="009A5185" w:rsidRDefault="00F45F4C" w:rsidP="00F45F4C">
      <w:pPr>
        <w:rPr>
          <w:rFonts w:cs="Arial"/>
          <w:lang w:eastAsia="ja-JP"/>
        </w:rPr>
      </w:pPr>
    </w:p>
    <w:p w14:paraId="5BD0F6B2" w14:textId="473D5D22" w:rsidR="00F45F4C" w:rsidRPr="009A5185" w:rsidRDefault="00F45F4C" w:rsidP="00F45F4C">
      <w:pPr>
        <w:rPr>
          <w:rFonts w:cs="Arial"/>
          <w:b/>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must have a unique NHSN ID as required by NHSN. Please carefully review Leapfrog’s </w:t>
      </w:r>
      <w:r w:rsidR="003C2B03">
        <w:rPr>
          <w:rFonts w:cs="Arial"/>
          <w:snapToGrid w:val="0"/>
        </w:rPr>
        <w:t xml:space="preserve">Multi-Campus Reporting Policy on the </w:t>
      </w:r>
      <w:hyperlink r:id="rId415" w:history="1">
        <w:r w:rsidR="001C44C9" w:rsidRPr="001A2CED">
          <w:rPr>
            <w:rStyle w:val="Hyperlink"/>
            <w:rFonts w:cs="Arial"/>
            <w:snapToGrid w:val="0"/>
          </w:rPr>
          <w:t xml:space="preserve">Review NHSN Instructions </w:t>
        </w:r>
        <w:r w:rsidR="001A2CED" w:rsidRPr="001A2CED">
          <w:rPr>
            <w:rStyle w:val="Hyperlink"/>
            <w:rFonts w:cs="Arial"/>
            <w:snapToGrid w:val="0"/>
          </w:rPr>
          <w:t xml:space="preserve"> webpage</w:t>
        </w:r>
      </w:hyperlink>
      <w:r w:rsidRPr="009A5185">
        <w:rPr>
          <w:rFonts w:cs="Arial"/>
          <w:snapToGrid w:val="0"/>
        </w:rPr>
        <w:t>.</w:t>
      </w:r>
    </w:p>
    <w:p w14:paraId="7A94F91B" w14:textId="77777777" w:rsidR="00F45F4C" w:rsidRDefault="00F45F4C" w:rsidP="00F45F4C">
      <w:pPr>
        <w:rPr>
          <w:rFonts w:cs="Arial"/>
          <w:b/>
          <w:snapToGrid w:val="0"/>
        </w:rPr>
      </w:pPr>
    </w:p>
    <w:p w14:paraId="402576F9" w14:textId="422B7C14" w:rsidR="00F45F4C" w:rsidRDefault="00F45F4C" w:rsidP="00F45F4C">
      <w:pPr>
        <w:rPr>
          <w:rFonts w:cs="Arial"/>
        </w:rPr>
      </w:pPr>
      <w:r w:rsidRPr="009A5185">
        <w:rPr>
          <w:rFonts w:cs="Arial"/>
          <w:b/>
          <w:snapToGrid w:val="0"/>
        </w:rPr>
        <w:t>Specifications:</w:t>
      </w:r>
      <w:r w:rsidRPr="009A5185">
        <w:rPr>
          <w:rFonts w:cs="Arial"/>
          <w:snapToGrid w:val="0"/>
        </w:rPr>
        <w:t xml:space="preserve"> See </w:t>
      </w:r>
      <w:hyperlink w:anchor="_Healthcare-Associated_Infections_Me_1" w:history="1">
        <w:r>
          <w:rPr>
            <w:rStyle w:val="Hyperlink"/>
            <w:rFonts w:cs="Arial"/>
            <w:b/>
            <w:i/>
            <w:snapToGrid w:val="0"/>
          </w:rPr>
          <w:t>Healthcare-Associated Infections Measure Specifications</w:t>
        </w:r>
      </w:hyperlink>
      <w:r w:rsidRPr="009A5185">
        <w:rPr>
          <w:rFonts w:cs="Arial"/>
        </w:rPr>
        <w:t xml:space="preserve"> </w:t>
      </w:r>
      <w:r w:rsidRPr="009A5185">
        <w:rPr>
          <w:rFonts w:cs="Arial"/>
          <w:snapToGrid w:val="0"/>
        </w:rPr>
        <w:t xml:space="preserve">in the Reference Information </w:t>
      </w:r>
      <w:r w:rsidR="00BD32AD">
        <w:rPr>
          <w:rFonts w:cs="Arial"/>
        </w:rPr>
        <w:t xml:space="preserve">beginning on page </w:t>
      </w:r>
      <w:r w:rsidR="00A01DE7">
        <w:rPr>
          <w:rFonts w:cs="Arial"/>
        </w:rPr>
        <w:t>26</w:t>
      </w:r>
      <w:r w:rsidR="002D6D62">
        <w:rPr>
          <w:rFonts w:cs="Arial"/>
        </w:rPr>
        <w:t>8</w:t>
      </w:r>
      <w:r w:rsidR="00A01DE7">
        <w:rPr>
          <w:rFonts w:cs="Arial"/>
        </w:rPr>
        <w:t>.</w:t>
      </w:r>
    </w:p>
    <w:p w14:paraId="5719D979" w14:textId="77777777" w:rsidR="00454B36" w:rsidRPr="009A5185" w:rsidRDefault="00454B36" w:rsidP="00F45F4C">
      <w:pPr>
        <w:rPr>
          <w:rFonts w:cs="Arial"/>
          <w:snapToGrid w:val="0"/>
        </w:rPr>
      </w:pPr>
    </w:p>
    <w:p w14:paraId="11808762" w14:textId="77CA1385" w:rsidR="00F45F4C" w:rsidRPr="00B967F4" w:rsidRDefault="00454B36" w:rsidP="00F45F4C">
      <w:pPr>
        <w:ind w:right="-108"/>
        <w:rPr>
          <w:rFonts w:cs="Arial"/>
          <w:b/>
          <w:i/>
          <w:snapToGrid w:val="0"/>
        </w:rPr>
      </w:pPr>
      <w:r w:rsidRPr="00B967F4">
        <w:rPr>
          <w:rFonts w:cs="Arial"/>
          <w:b/>
          <w:i/>
          <w:noProof/>
          <w:snapToGrid w:val="0"/>
        </w:rPr>
        <mc:AlternateContent>
          <mc:Choice Requires="wps">
            <w:drawing>
              <wp:inline distT="0" distB="0" distL="0" distR="0" wp14:anchorId="1E5BC137" wp14:editId="1B510380">
                <wp:extent cx="5852160" cy="1404620"/>
                <wp:effectExtent l="0" t="0" r="15240" b="27305"/>
                <wp:docPr id="40" name="Text Box 40" descr="P10018TB2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404620"/>
                        </a:xfrm>
                        <a:prstGeom prst="rect">
                          <a:avLst/>
                        </a:prstGeom>
                        <a:solidFill>
                          <a:srgbClr val="FFFFFF"/>
                        </a:solidFill>
                        <a:ln w="9525">
                          <a:solidFill>
                            <a:srgbClr val="FF0000"/>
                          </a:solidFill>
                          <a:miter lim="800000"/>
                          <a:headEnd/>
                          <a:tailEnd/>
                        </a:ln>
                      </wps:spPr>
                      <wps:txbx>
                        <w:txbxContent>
                          <w:p w14:paraId="0DDA01DC" w14:textId="092BCC7B" w:rsidR="00454B36" w:rsidRPr="00A10EEC" w:rsidRDefault="00454B36" w:rsidP="00454B36">
                            <w:pPr>
                              <w:spacing w:before="120"/>
                              <w:rPr>
                                <w:rFonts w:cs="Arial"/>
                                <w:snapToGrid w:val="0"/>
                              </w:rPr>
                            </w:pPr>
                            <w:r w:rsidRPr="00A10EEC">
                              <w:rPr>
                                <w:rFonts w:cs="Arial"/>
                                <w:b/>
                                <w:snapToGrid w:val="0"/>
                              </w:rPr>
                              <w:t>Reporting Period: 12 months</w:t>
                            </w:r>
                          </w:p>
                          <w:p w14:paraId="7F8619C7" w14:textId="6C504B7E" w:rsidR="00454B36" w:rsidRPr="007E0ED9" w:rsidRDefault="00454B36" w:rsidP="00AD309C">
                            <w:pPr>
                              <w:pStyle w:val="ListParagraph"/>
                              <w:numPr>
                                <w:ilvl w:val="0"/>
                                <w:numId w:val="34"/>
                              </w:numPr>
                              <w:spacing w:after="120"/>
                              <w:rPr>
                                <w:rFonts w:cs="Arial"/>
                                <w:i/>
                                <w:snapToGrid w:val="0"/>
                              </w:rPr>
                            </w:pPr>
                            <w:r w:rsidRPr="007E0ED9">
                              <w:rPr>
                                <w:rFonts w:cs="Arial"/>
                                <w:snapToGrid w:val="0"/>
                              </w:rPr>
                              <w:t xml:space="preserve">June and August Data Downloads: </w:t>
                            </w:r>
                            <w:r w:rsidRPr="007E0ED9">
                              <w:t>01/01/202</w:t>
                            </w:r>
                            <w:r w:rsidR="00965998">
                              <w:t>5</w:t>
                            </w:r>
                            <w:r w:rsidRPr="007E0ED9">
                              <w:t xml:space="preserve"> – 12/31/202</w:t>
                            </w:r>
                            <w:r w:rsidR="00965998">
                              <w:t>5</w:t>
                            </w:r>
                            <w:r w:rsidRPr="007E0ED9">
                              <w:t xml:space="preserve"> </w:t>
                            </w:r>
                          </w:p>
                          <w:p w14:paraId="5697E4B9" w14:textId="259FF59A" w:rsidR="00454B36" w:rsidRPr="007E0ED9" w:rsidRDefault="00454B36" w:rsidP="00AD309C">
                            <w:pPr>
                              <w:pStyle w:val="ListParagraph"/>
                              <w:numPr>
                                <w:ilvl w:val="0"/>
                                <w:numId w:val="34"/>
                              </w:numPr>
                              <w:spacing w:after="120"/>
                              <w:rPr>
                                <w:rFonts w:cs="Arial"/>
                                <w:i/>
                                <w:snapToGrid w:val="0"/>
                              </w:rPr>
                            </w:pPr>
                            <w:r w:rsidRPr="007E0ED9">
                              <w:rPr>
                                <w:rFonts w:cs="Arial"/>
                                <w:snapToGrid w:val="0"/>
                              </w:rPr>
                              <w:t>October and December Data Downloads:</w:t>
                            </w:r>
                            <w:r w:rsidRPr="007E0ED9">
                              <w:rPr>
                                <w:rFonts w:cs="Arial"/>
                                <w:i/>
                                <w:snapToGrid w:val="0"/>
                              </w:rPr>
                              <w:t xml:space="preserve"> </w:t>
                            </w:r>
                            <w:r w:rsidRPr="007E0ED9">
                              <w:rPr>
                                <w:rFonts w:cs="Arial"/>
                                <w:iCs/>
                                <w:snapToGrid w:val="0"/>
                              </w:rPr>
                              <w:t>07/01/202</w:t>
                            </w:r>
                            <w:r w:rsidR="00965998">
                              <w:rPr>
                                <w:rFonts w:cs="Arial"/>
                                <w:iCs/>
                                <w:snapToGrid w:val="0"/>
                              </w:rPr>
                              <w:t>5</w:t>
                            </w:r>
                            <w:r w:rsidRPr="007E0ED9">
                              <w:rPr>
                                <w:rFonts w:cs="Arial"/>
                                <w:iCs/>
                                <w:snapToGrid w:val="0"/>
                              </w:rPr>
                              <w:t xml:space="preserve"> – 06/30/202</w:t>
                            </w:r>
                            <w:r w:rsidR="00965998">
                              <w:rPr>
                                <w:rFonts w:cs="Arial"/>
                                <w:iCs/>
                                <w:snapToGrid w:val="0"/>
                              </w:rPr>
                              <w:t>6</w:t>
                            </w:r>
                            <w:r w:rsidRPr="007E0ED9">
                              <w:rPr>
                                <w:rFonts w:cs="Arial"/>
                                <w:iCs/>
                                <w:snapToGrid w:val="0"/>
                              </w:rPr>
                              <w:t xml:space="preserve"> </w:t>
                            </w:r>
                          </w:p>
                          <w:p w14:paraId="1C2E69BF" w14:textId="5214595E" w:rsidR="00454B36" w:rsidRPr="005D6155" w:rsidRDefault="00454B36" w:rsidP="00454B36">
                            <w:pPr>
                              <w:spacing w:after="120"/>
                              <w:rPr>
                                <w:rFonts w:cs="Arial"/>
                                <w:i/>
                                <w:snapToGrid w:val="0"/>
                                <w:sz w:val="16"/>
                                <w:szCs w:val="16"/>
                              </w:rPr>
                            </w:pPr>
                            <w:r w:rsidRPr="005D6155">
                              <w:rPr>
                                <w:rFonts w:cs="Arial"/>
                                <w:i/>
                                <w:snapToGrid w:val="0"/>
                                <w:sz w:val="16"/>
                                <w:szCs w:val="16"/>
                              </w:rPr>
                              <w:t>Leapfrog will update data four times per Survey Cycle for all members of our NHSN group that have provided an accurate NHSN ID in the Hospital Profile and submitted the 202</w:t>
                            </w:r>
                            <w:r w:rsidR="00670B35">
                              <w:rPr>
                                <w:rFonts w:cs="Arial"/>
                                <w:i/>
                                <w:snapToGrid w:val="0"/>
                                <w:sz w:val="16"/>
                                <w:szCs w:val="16"/>
                              </w:rPr>
                              <w:t>6</w:t>
                            </w:r>
                            <w:r w:rsidRPr="005D6155">
                              <w:rPr>
                                <w:rFonts w:cs="Arial"/>
                                <w:i/>
                                <w:snapToGrid w:val="0"/>
                                <w:sz w:val="16"/>
                                <w:szCs w:val="16"/>
                              </w:rPr>
                              <w:t xml:space="preserve"> Leapfrog Hospital Survey. </w:t>
                            </w:r>
                          </w:p>
                          <w:p w14:paraId="6BC3A1F3" w14:textId="7CD1A311" w:rsidR="00454B36" w:rsidRPr="0064007F" w:rsidRDefault="00454B36" w:rsidP="00454B36">
                            <w:pPr>
                              <w:rPr>
                                <w:sz w:val="16"/>
                                <w:szCs w:val="16"/>
                              </w:rPr>
                            </w:pPr>
                            <w:r w:rsidRPr="0064007F">
                              <w:rPr>
                                <w:rFonts w:cs="Arial"/>
                                <w:i/>
                                <w:snapToGrid w:val="0"/>
                                <w:sz w:val="16"/>
                                <w:szCs w:val="16"/>
                              </w:rPr>
                              <w:t>Visit the</w:t>
                            </w:r>
                            <w:r w:rsidR="0064007F" w:rsidRPr="0064007F">
                              <w:rPr>
                                <w:rFonts w:cs="Arial"/>
                                <w:i/>
                                <w:snapToGrid w:val="0"/>
                                <w:sz w:val="16"/>
                                <w:szCs w:val="16"/>
                              </w:rPr>
                              <w:t xml:space="preserve"> Review NHSN Instructions</w:t>
                            </w:r>
                            <w:hyperlink r:id="rId416" w:history="1">
                              <w:r w:rsidR="0064007F" w:rsidRPr="0064007F">
                                <w:rPr>
                                  <w:rStyle w:val="Hyperlink"/>
                                  <w:rFonts w:cs="Arial"/>
                                  <w:i/>
                                  <w:snapToGrid w:val="0"/>
                                  <w:sz w:val="16"/>
                                  <w:szCs w:val="16"/>
                                </w:rPr>
                                <w:t xml:space="preserve"> webpage</w:t>
                              </w:r>
                            </w:hyperlink>
                            <w:r w:rsidRPr="0064007F">
                              <w:rPr>
                                <w:rFonts w:cs="Arial"/>
                                <w:i/>
                                <w:snapToGrid w:val="0"/>
                                <w:sz w:val="16"/>
                                <w:szCs w:val="16"/>
                              </w:rPr>
                              <w:t xml:space="preserve"> for important information on deadlines for joining Leapfrog’s NHSN Group.</w:t>
                            </w:r>
                          </w:p>
                        </w:txbxContent>
                      </wps:txbx>
                      <wps:bodyPr rot="0" vert="horz" wrap="square" lIns="91440" tIns="45720" rIns="91440" bIns="45720" anchor="t" anchorCtr="0">
                        <a:spAutoFit/>
                      </wps:bodyPr>
                    </wps:wsp>
                  </a:graphicData>
                </a:graphic>
              </wp:inline>
            </w:drawing>
          </mc:Choice>
          <mc:Fallback>
            <w:pict>
              <v:shape w14:anchorId="1E5BC137" id="Text Box 40" o:spid="_x0000_s1056" type="#_x0000_t202" alt="P10018TB29#y1" style="width:460.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" strokecolor="red">
                <v:textbox style="mso-fit-shape-to-text:t">
                  <w:txbxContent>
                    <w:p w14:paraId="0DDA01DC" w14:textId="092BCC7B" w:rsidR="00454B36" w:rsidRPr="00A10EEC" w:rsidRDefault="00454B36" w:rsidP="00454B36">
                      <w:pPr>
                        <w:spacing w:before="120"/>
                        <w:rPr>
                          <w:rFonts w:cs="Arial"/>
                          <w:snapToGrid w:val="0"/>
                        </w:rPr>
                      </w:pPr>
                      <w:r w:rsidRPr="00A10EEC">
                        <w:rPr>
                          <w:rFonts w:cs="Arial"/>
                          <w:b/>
                          <w:snapToGrid w:val="0"/>
                        </w:rPr>
                        <w:t>Reporting Period: 12 months</w:t>
                      </w:r>
                    </w:p>
                    <w:p w14:paraId="7F8619C7" w14:textId="6C504B7E" w:rsidR="00454B36" w:rsidRPr="007E0ED9" w:rsidRDefault="00454B36" w:rsidP="00AD309C">
                      <w:pPr>
                        <w:pStyle w:val="ListParagraph"/>
                        <w:numPr>
                          <w:ilvl w:val="0"/>
                          <w:numId w:val="34"/>
                        </w:numPr>
                        <w:spacing w:after="120"/>
                        <w:rPr>
                          <w:rFonts w:cs="Arial"/>
                          <w:i/>
                          <w:snapToGrid w:val="0"/>
                        </w:rPr>
                      </w:pPr>
                      <w:r w:rsidRPr="007E0ED9">
                        <w:rPr>
                          <w:rFonts w:cs="Arial"/>
                          <w:snapToGrid w:val="0"/>
                        </w:rPr>
                        <w:t xml:space="preserve">June and August Data Downloads: </w:t>
                      </w:r>
                      <w:r w:rsidRPr="007E0ED9">
                        <w:t>01/01/202</w:t>
                      </w:r>
                      <w:r w:rsidR="00965998">
                        <w:t>5</w:t>
                      </w:r>
                      <w:r w:rsidRPr="007E0ED9">
                        <w:t xml:space="preserve"> – 12/31/202</w:t>
                      </w:r>
                      <w:r w:rsidR="00965998">
                        <w:t>5</w:t>
                      </w:r>
                      <w:r w:rsidRPr="007E0ED9">
                        <w:t xml:space="preserve"> </w:t>
                      </w:r>
                    </w:p>
                    <w:p w14:paraId="5697E4B9" w14:textId="259FF59A" w:rsidR="00454B36" w:rsidRPr="007E0ED9" w:rsidRDefault="00454B36" w:rsidP="00AD309C">
                      <w:pPr>
                        <w:pStyle w:val="ListParagraph"/>
                        <w:numPr>
                          <w:ilvl w:val="0"/>
                          <w:numId w:val="34"/>
                        </w:numPr>
                        <w:spacing w:after="120"/>
                        <w:rPr>
                          <w:rFonts w:cs="Arial"/>
                          <w:i/>
                          <w:snapToGrid w:val="0"/>
                        </w:rPr>
                      </w:pPr>
                      <w:r w:rsidRPr="007E0ED9">
                        <w:rPr>
                          <w:rFonts w:cs="Arial"/>
                          <w:snapToGrid w:val="0"/>
                        </w:rPr>
                        <w:t>October and December Data Downloads:</w:t>
                      </w:r>
                      <w:r w:rsidRPr="007E0ED9">
                        <w:rPr>
                          <w:rFonts w:cs="Arial"/>
                          <w:i/>
                          <w:snapToGrid w:val="0"/>
                        </w:rPr>
                        <w:t xml:space="preserve"> </w:t>
                      </w:r>
                      <w:r w:rsidRPr="007E0ED9">
                        <w:rPr>
                          <w:rFonts w:cs="Arial"/>
                          <w:iCs/>
                          <w:snapToGrid w:val="0"/>
                        </w:rPr>
                        <w:t>07/01/202</w:t>
                      </w:r>
                      <w:r w:rsidR="00965998">
                        <w:rPr>
                          <w:rFonts w:cs="Arial"/>
                          <w:iCs/>
                          <w:snapToGrid w:val="0"/>
                        </w:rPr>
                        <w:t>5</w:t>
                      </w:r>
                      <w:r w:rsidRPr="007E0ED9">
                        <w:rPr>
                          <w:rFonts w:cs="Arial"/>
                          <w:iCs/>
                          <w:snapToGrid w:val="0"/>
                        </w:rPr>
                        <w:t xml:space="preserve"> – 06/30/202</w:t>
                      </w:r>
                      <w:r w:rsidR="00965998">
                        <w:rPr>
                          <w:rFonts w:cs="Arial"/>
                          <w:iCs/>
                          <w:snapToGrid w:val="0"/>
                        </w:rPr>
                        <w:t>6</w:t>
                      </w:r>
                      <w:r w:rsidRPr="007E0ED9">
                        <w:rPr>
                          <w:rFonts w:cs="Arial"/>
                          <w:iCs/>
                          <w:snapToGrid w:val="0"/>
                        </w:rPr>
                        <w:t xml:space="preserve"> </w:t>
                      </w:r>
                    </w:p>
                    <w:p w14:paraId="1C2E69BF" w14:textId="5214595E" w:rsidR="00454B36" w:rsidRPr="005D6155" w:rsidRDefault="00454B36" w:rsidP="00454B36">
                      <w:pPr>
                        <w:spacing w:after="120"/>
                        <w:rPr>
                          <w:rFonts w:cs="Arial"/>
                          <w:i/>
                          <w:snapToGrid w:val="0"/>
                          <w:sz w:val="16"/>
                          <w:szCs w:val="16"/>
                        </w:rPr>
                      </w:pPr>
                      <w:r w:rsidRPr="005D6155">
                        <w:rPr>
                          <w:rFonts w:cs="Arial"/>
                          <w:i/>
                          <w:snapToGrid w:val="0"/>
                          <w:sz w:val="16"/>
                          <w:szCs w:val="16"/>
                        </w:rPr>
                        <w:t>Leapfrog will update data four times per Survey Cycle for all members of our NHSN group that have provided an accurate NHSN ID in the Hospital Profile and submitted the 202</w:t>
                      </w:r>
                      <w:r w:rsidR="00670B35">
                        <w:rPr>
                          <w:rFonts w:cs="Arial"/>
                          <w:i/>
                          <w:snapToGrid w:val="0"/>
                          <w:sz w:val="16"/>
                          <w:szCs w:val="16"/>
                        </w:rPr>
                        <w:t>6</w:t>
                      </w:r>
                      <w:r w:rsidRPr="005D6155">
                        <w:rPr>
                          <w:rFonts w:cs="Arial"/>
                          <w:i/>
                          <w:snapToGrid w:val="0"/>
                          <w:sz w:val="16"/>
                          <w:szCs w:val="16"/>
                        </w:rPr>
                        <w:t xml:space="preserve"> Leapfrog Hospital Survey. </w:t>
                      </w:r>
                    </w:p>
                    <w:p w14:paraId="6BC3A1F3" w14:textId="7CD1A311" w:rsidR="00454B36" w:rsidRPr="0064007F" w:rsidRDefault="00454B36" w:rsidP="00454B36">
                      <w:pPr>
                        <w:rPr>
                          <w:sz w:val="16"/>
                          <w:szCs w:val="16"/>
                        </w:rPr>
                      </w:pPr>
                      <w:r w:rsidRPr="0064007F">
                        <w:rPr>
                          <w:rFonts w:cs="Arial"/>
                          <w:i/>
                          <w:snapToGrid w:val="0"/>
                          <w:sz w:val="16"/>
                          <w:szCs w:val="16"/>
                        </w:rPr>
                        <w:t>Visit the</w:t>
                      </w:r>
                      <w:r w:rsidR="0064007F" w:rsidRPr="0064007F">
                        <w:rPr>
                          <w:rFonts w:cs="Arial"/>
                          <w:i/>
                          <w:snapToGrid w:val="0"/>
                          <w:sz w:val="16"/>
                          <w:szCs w:val="16"/>
                        </w:rPr>
                        <w:t xml:space="preserve"> Review NHSN Instructions</w:t>
                      </w:r>
                      <w:hyperlink r:id="rId417" w:history="1">
                        <w:r w:rsidR="0064007F" w:rsidRPr="0064007F">
                          <w:rPr>
                            <w:rStyle w:val="Hyperlink"/>
                            <w:rFonts w:cs="Arial"/>
                            <w:i/>
                            <w:snapToGrid w:val="0"/>
                            <w:sz w:val="16"/>
                            <w:szCs w:val="16"/>
                          </w:rPr>
                          <w:t xml:space="preserve"> webpage</w:t>
                        </w:r>
                      </w:hyperlink>
                      <w:r w:rsidRPr="0064007F">
                        <w:rPr>
                          <w:rFonts w:cs="Arial"/>
                          <w:i/>
                          <w:snapToGrid w:val="0"/>
                          <w:sz w:val="16"/>
                          <w:szCs w:val="16"/>
                        </w:rPr>
                        <w:t xml:space="preserve"> for important information on deadlines for joining Leapfrog’s NHSN Group.</w:t>
                      </w:r>
                    </w:p>
                  </w:txbxContent>
                </v:textbox>
                <w10:anchorlock/>
              </v:shape>
            </w:pict>
          </mc:Fallback>
        </mc:AlternateContent>
      </w:r>
    </w:p>
    <w:p w14:paraId="1E5303E0" w14:textId="77777777" w:rsidR="00F45F4C" w:rsidRPr="00B967F4" w:rsidRDefault="00F45F4C" w:rsidP="00F45F4C">
      <w:pPr>
        <w:rPr>
          <w:rFonts w:cs="Arial"/>
          <w:snapToGrid w:val="0"/>
        </w:rPr>
      </w:pPr>
    </w:p>
    <w:p w14:paraId="5A5DFFA8" w14:textId="77777777" w:rsidR="006130A0" w:rsidRDefault="006130A0" w:rsidP="006130A0">
      <w:pPr>
        <w:rPr>
          <w:rFonts w:cs="Arial"/>
          <w:snapToGrid w:val="0"/>
        </w:rPr>
      </w:pPr>
      <w:r w:rsidRPr="009A5185">
        <w:rPr>
          <w:rFonts w:cs="Arial"/>
        </w:rPr>
        <w:t xml:space="preserve">Leapfrog </w:t>
      </w:r>
      <w:r>
        <w:rPr>
          <w:rFonts w:cs="Arial"/>
        </w:rPr>
        <w:t>downloads s</w:t>
      </w:r>
      <w:r w:rsidRPr="00A44C0E">
        <w:rPr>
          <w:rFonts w:cs="Arial"/>
          <w:snapToGrid w:val="0"/>
        </w:rPr>
        <w:t xml:space="preserve">tandardized infection ratios (SIRs) directly from the CDC’s National Healthcare Safety Network (NHSN) </w:t>
      </w:r>
      <w:r>
        <w:t>four times during the Survey Cycle</w:t>
      </w:r>
      <w:r w:rsidRPr="00DB52A2">
        <w:t xml:space="preserve"> </w:t>
      </w:r>
      <w:r w:rsidRPr="00A44C0E">
        <w:rPr>
          <w:rFonts w:cs="Arial"/>
          <w:snapToGrid w:val="0"/>
        </w:rPr>
        <w:t>for the following infection measures</w:t>
      </w:r>
      <w:r>
        <w:rPr>
          <w:rFonts w:cs="Arial"/>
          <w:snapToGrid w:val="0"/>
        </w:rPr>
        <w:t>:</w:t>
      </w:r>
    </w:p>
    <w:p w14:paraId="6325C2BF" w14:textId="77777777" w:rsidR="006130A0" w:rsidRDefault="006130A0" w:rsidP="006130A0">
      <w:pPr>
        <w:rPr>
          <w:rFonts w:cs="Arial"/>
          <w:snapToGrid w:val="0"/>
        </w:rPr>
      </w:pPr>
    </w:p>
    <w:p w14:paraId="3AACF6BF" w14:textId="77777777" w:rsidR="006130A0" w:rsidRPr="00B967F4" w:rsidRDefault="006130A0" w:rsidP="006130A0">
      <w:pPr>
        <w:pStyle w:val="ListParagraph"/>
        <w:numPr>
          <w:ilvl w:val="0"/>
          <w:numId w:val="394"/>
        </w:numPr>
        <w:rPr>
          <w:rFonts w:cs="Arial"/>
          <w:snapToGrid w:val="0"/>
        </w:rPr>
      </w:pPr>
      <w:r w:rsidRPr="00B967F4">
        <w:rPr>
          <w:rFonts w:cs="Arial"/>
          <w:snapToGrid w:val="0"/>
        </w:rPr>
        <w:t>CLABSI in ICUs and select wards</w:t>
      </w:r>
      <w:r>
        <w:rPr>
          <w:rFonts w:cs="Arial"/>
          <w:snapToGrid w:val="0"/>
        </w:rPr>
        <w:t>;</w:t>
      </w:r>
    </w:p>
    <w:p w14:paraId="1882E3AB" w14:textId="77777777" w:rsidR="006130A0" w:rsidRPr="00B967F4" w:rsidRDefault="006130A0" w:rsidP="006130A0">
      <w:pPr>
        <w:pStyle w:val="ListParagraph"/>
        <w:numPr>
          <w:ilvl w:val="0"/>
          <w:numId w:val="394"/>
        </w:numPr>
        <w:rPr>
          <w:rFonts w:cs="Arial"/>
          <w:snapToGrid w:val="0"/>
        </w:rPr>
      </w:pPr>
      <w:r w:rsidRPr="00B967F4">
        <w:rPr>
          <w:rFonts w:cs="Arial"/>
          <w:snapToGrid w:val="0"/>
        </w:rPr>
        <w:t>CAUTI in ICUs and select wards</w:t>
      </w:r>
      <w:r>
        <w:rPr>
          <w:rFonts w:cs="Arial"/>
          <w:snapToGrid w:val="0"/>
        </w:rPr>
        <w:t>;</w:t>
      </w:r>
    </w:p>
    <w:p w14:paraId="7064C845" w14:textId="77777777" w:rsidR="006130A0" w:rsidRPr="00B967F4" w:rsidRDefault="006130A0" w:rsidP="006130A0">
      <w:pPr>
        <w:pStyle w:val="ListParagraph"/>
        <w:numPr>
          <w:ilvl w:val="0"/>
          <w:numId w:val="394"/>
        </w:numPr>
        <w:rPr>
          <w:rFonts w:cs="Arial"/>
          <w:snapToGrid w:val="0"/>
        </w:rPr>
      </w:pPr>
      <w:r w:rsidRPr="00B967F4">
        <w:rPr>
          <w:rFonts w:cs="Arial"/>
          <w:snapToGrid w:val="0"/>
        </w:rPr>
        <w:t>Facility-wide inpatient MRSA Blood Laboratory-identified Events</w:t>
      </w:r>
      <w:r>
        <w:rPr>
          <w:rFonts w:cs="Arial"/>
          <w:snapToGrid w:val="0"/>
        </w:rPr>
        <w:t>;</w:t>
      </w:r>
    </w:p>
    <w:p w14:paraId="65640543" w14:textId="77777777" w:rsidR="006130A0" w:rsidRDefault="006130A0" w:rsidP="006130A0">
      <w:pPr>
        <w:pStyle w:val="ListParagraph"/>
        <w:numPr>
          <w:ilvl w:val="0"/>
          <w:numId w:val="394"/>
        </w:numPr>
        <w:rPr>
          <w:rFonts w:cs="Arial"/>
          <w:snapToGrid w:val="0"/>
        </w:rPr>
      </w:pPr>
      <w:r w:rsidRPr="00A44C0E">
        <w:rPr>
          <w:rFonts w:cs="Arial"/>
          <w:snapToGrid w:val="0"/>
        </w:rPr>
        <w:t xml:space="preserve">Facility-wide inpatient C. diff. Laboratory-identified Events; and </w:t>
      </w:r>
    </w:p>
    <w:p w14:paraId="492AC178" w14:textId="77777777" w:rsidR="006130A0" w:rsidRPr="00A44C0E" w:rsidRDefault="006130A0" w:rsidP="006130A0">
      <w:pPr>
        <w:pStyle w:val="ListParagraph"/>
        <w:numPr>
          <w:ilvl w:val="0"/>
          <w:numId w:val="394"/>
        </w:numPr>
        <w:rPr>
          <w:rFonts w:cs="Arial"/>
          <w:snapToGrid w:val="0"/>
        </w:rPr>
      </w:pPr>
      <w:r w:rsidRPr="00A44C0E">
        <w:rPr>
          <w:rFonts w:cs="Arial"/>
          <w:snapToGrid w:val="0"/>
        </w:rPr>
        <w:t>SSI: Colon</w:t>
      </w:r>
    </w:p>
    <w:p w14:paraId="084CE22D" w14:textId="77777777" w:rsidR="006130A0" w:rsidRDefault="006130A0" w:rsidP="006130A0">
      <w:pPr>
        <w:rPr>
          <w:rFonts w:cs="Arial"/>
          <w:snapToGrid w:val="0"/>
        </w:rPr>
      </w:pPr>
    </w:p>
    <w:p w14:paraId="21A52D4B" w14:textId="0592EC5E" w:rsidR="006130A0" w:rsidRDefault="006130A0" w:rsidP="00F45F4C">
      <w:pPr>
        <w:rPr>
          <w:rFonts w:cs="Arial"/>
          <w:snapToGrid w:val="0"/>
        </w:rPr>
      </w:pPr>
      <w:r w:rsidRPr="00A44C0E">
        <w:rPr>
          <w:rFonts w:cs="Arial"/>
        </w:rPr>
        <w:t xml:space="preserve">The measures are calculated by NHSN and will be scored and publicly reported for each hospital that joins Leapfrog’s NHSN group, provides a valid NHSN ID in their Leapfrog Survey Profile, and submits a 2026 Leapfrog Hospital Survey </w:t>
      </w:r>
      <w:r w:rsidRPr="00A44C0E">
        <w:rPr>
          <w:rFonts w:cs="Arial"/>
          <w:snapToGrid w:val="0"/>
        </w:rPr>
        <w:t xml:space="preserve">by the published </w:t>
      </w:r>
      <w:hyperlink r:id="rId418" w:history="1">
        <w:r w:rsidRPr="00A44C0E">
          <w:rPr>
            <w:rStyle w:val="Hyperlink"/>
            <w:rFonts w:cs="Arial"/>
            <w:snapToGrid w:val="0"/>
          </w:rPr>
          <w:t>deadlines</w:t>
        </w:r>
      </w:hyperlink>
      <w:r w:rsidRPr="00A44C0E">
        <w:rPr>
          <w:rFonts w:cs="Arial"/>
          <w:snapToGrid w:val="0"/>
        </w:rPr>
        <w:t>. Hospitals that have a predicted value &lt;1 for an infection measure will be scored as “Unable to Calculate” for that measure.</w:t>
      </w:r>
    </w:p>
    <w:p w14:paraId="57A8322E" w14:textId="77777777" w:rsidR="00D75EAC" w:rsidRPr="00B967F4" w:rsidRDefault="00D75EAC" w:rsidP="00F45F4C">
      <w:pPr>
        <w:rPr>
          <w:rFonts w:cs="Arial"/>
          <w:snapToGrid w:val="0"/>
        </w:rPr>
      </w:pPr>
    </w:p>
    <w:tbl>
      <w:tblPr>
        <w:tblStyle w:val="TableGrid"/>
        <w:tblW w:w="0" w:type="auto"/>
        <w:tblLook w:val="04A0" w:firstRow="1" w:lastRow="0" w:firstColumn="1" w:lastColumn="0" w:noHBand="0" w:noVBand="1"/>
      </w:tblPr>
      <w:tblGrid>
        <w:gridCol w:w="4675"/>
        <w:gridCol w:w="4675"/>
      </w:tblGrid>
      <w:tr w:rsidR="00AE306D" w14:paraId="11730B57" w14:textId="77777777" w:rsidTr="00BE7E56">
        <w:tc>
          <w:tcPr>
            <w:tcW w:w="4675" w:type="dxa"/>
          </w:tcPr>
          <w:p w14:paraId="405D3968" w14:textId="51447203" w:rsidR="00AE306D" w:rsidRPr="00B967F4" w:rsidRDefault="00275192" w:rsidP="00334846">
            <w:pPr>
              <w:pStyle w:val="ListParagraph"/>
              <w:numPr>
                <w:ilvl w:val="0"/>
                <w:numId w:val="393"/>
              </w:numPr>
              <w:rPr>
                <w:rFonts w:cs="Arial"/>
                <w:i/>
                <w:iCs/>
                <w:snapToGrid w:val="0"/>
              </w:rPr>
            </w:pPr>
            <w:r>
              <w:rPr>
                <w:rFonts w:cs="Arial"/>
                <w:snapToGrid w:val="0"/>
              </w:rPr>
              <w:t>Has your h</w:t>
            </w:r>
            <w:r w:rsidR="00B54290" w:rsidRPr="00B967F4">
              <w:rPr>
                <w:rFonts w:cs="Arial"/>
                <w:snapToGrid w:val="0"/>
              </w:rPr>
              <w:t>ospital join</w:t>
            </w:r>
            <w:r>
              <w:rPr>
                <w:rFonts w:cs="Arial"/>
                <w:snapToGrid w:val="0"/>
              </w:rPr>
              <w:t>ed</w:t>
            </w:r>
            <w:r w:rsidR="00B54290" w:rsidRPr="00B967F4">
              <w:rPr>
                <w:rFonts w:cs="Arial"/>
                <w:snapToGrid w:val="0"/>
              </w:rPr>
              <w:t xml:space="preserve"> Leapfrog’s NHSN Group</w:t>
            </w:r>
            <w:r w:rsidR="00407596">
              <w:rPr>
                <w:rFonts w:cs="Arial"/>
                <w:snapToGrid w:val="0"/>
              </w:rPr>
              <w:t xml:space="preserve">, </w:t>
            </w:r>
            <w:r w:rsidR="00CB37F6">
              <w:rPr>
                <w:rFonts w:cs="Arial"/>
                <w:snapToGrid w:val="0"/>
              </w:rPr>
              <w:t>reviewed Leapfrog’s</w:t>
            </w:r>
            <w:r w:rsidR="00121E76">
              <w:rPr>
                <w:rFonts w:cs="Arial"/>
                <w:snapToGrid w:val="0"/>
              </w:rPr>
              <w:t xml:space="preserve"> Data Rights Template</w:t>
            </w:r>
            <w:r w:rsidR="00407596">
              <w:rPr>
                <w:rFonts w:cs="Arial"/>
                <w:snapToGrid w:val="0"/>
              </w:rPr>
              <w:t>, and provided a valid NHSN ID in the Profile</w:t>
            </w:r>
            <w:r w:rsidR="00121E76">
              <w:rPr>
                <w:rFonts w:cs="Arial"/>
                <w:snapToGrid w:val="0"/>
              </w:rPr>
              <w:t xml:space="preserve">? </w:t>
            </w:r>
          </w:p>
        </w:tc>
        <w:tc>
          <w:tcPr>
            <w:tcW w:w="4675" w:type="dxa"/>
          </w:tcPr>
          <w:p w14:paraId="6DA51CEB" w14:textId="47277754" w:rsidR="00121E76" w:rsidRPr="00B967F4" w:rsidRDefault="007820E9" w:rsidP="00121E76">
            <w:pPr>
              <w:pStyle w:val="ListParagraph"/>
              <w:numPr>
                <w:ilvl w:val="0"/>
                <w:numId w:val="395"/>
              </w:numPr>
              <w:rPr>
                <w:rFonts w:cs="Arial"/>
                <w:snapToGrid w:val="0"/>
              </w:rPr>
            </w:pPr>
            <w:r>
              <w:rPr>
                <w:rFonts w:cs="Arial"/>
                <w:snapToGrid w:val="0"/>
              </w:rPr>
              <w:t>Yes</w:t>
            </w:r>
          </w:p>
          <w:p w14:paraId="53702CC9" w14:textId="31FDF448" w:rsidR="00AE306D" w:rsidRPr="00B967F4" w:rsidRDefault="007820E9" w:rsidP="00121E76">
            <w:pPr>
              <w:pStyle w:val="ListParagraph"/>
              <w:numPr>
                <w:ilvl w:val="0"/>
                <w:numId w:val="395"/>
              </w:numPr>
              <w:rPr>
                <w:rFonts w:cs="Arial"/>
                <w:snapToGrid w:val="0"/>
              </w:rPr>
            </w:pPr>
            <w:r>
              <w:rPr>
                <w:rFonts w:cs="Arial"/>
                <w:snapToGrid w:val="0"/>
              </w:rPr>
              <w:t>No, t</w:t>
            </w:r>
            <w:r w:rsidR="0029433B" w:rsidRPr="00B967F4">
              <w:rPr>
                <w:rFonts w:cs="Arial"/>
                <w:snapToGrid w:val="0"/>
              </w:rPr>
              <w:t xml:space="preserve">he hospital </w:t>
            </w:r>
            <w:r w:rsidR="00121E76">
              <w:rPr>
                <w:rFonts w:cs="Arial"/>
                <w:snapToGrid w:val="0"/>
              </w:rPr>
              <w:t xml:space="preserve">acknowledges that they </w:t>
            </w:r>
            <w:r w:rsidR="0029433B" w:rsidRPr="00B967F4">
              <w:rPr>
                <w:rFonts w:cs="Arial"/>
                <w:snapToGrid w:val="0"/>
              </w:rPr>
              <w:t xml:space="preserve">will be </w:t>
            </w:r>
            <w:r w:rsidR="008F04CE">
              <w:rPr>
                <w:rFonts w:cs="Arial"/>
                <w:snapToGrid w:val="0"/>
              </w:rPr>
              <w:t xml:space="preserve">publicly </w:t>
            </w:r>
            <w:r w:rsidR="0029433B" w:rsidRPr="00B967F4">
              <w:rPr>
                <w:rFonts w:cs="Arial"/>
                <w:snapToGrid w:val="0"/>
              </w:rPr>
              <w:t>reported as "Declined to Re</w:t>
            </w:r>
            <w:r w:rsidR="009679D5">
              <w:rPr>
                <w:rFonts w:cs="Arial"/>
                <w:snapToGrid w:val="0"/>
              </w:rPr>
              <w:t>port</w:t>
            </w:r>
            <w:r w:rsidR="0029433B" w:rsidRPr="00B967F4">
              <w:rPr>
                <w:rFonts w:cs="Arial"/>
                <w:snapToGrid w:val="0"/>
              </w:rPr>
              <w:t xml:space="preserve">” for all five infection measures </w:t>
            </w:r>
          </w:p>
        </w:tc>
      </w:tr>
    </w:tbl>
    <w:p w14:paraId="380DDFDE" w14:textId="77777777" w:rsidR="004B2FA7" w:rsidRDefault="004B2FA7" w:rsidP="00F45F4C">
      <w:pPr>
        <w:rPr>
          <w:rFonts w:cs="Arial"/>
          <w:snapToGrid w:val="0"/>
        </w:rPr>
      </w:pPr>
    </w:p>
    <w:p w14:paraId="2C8C817A" w14:textId="77777777" w:rsidR="00D213BE" w:rsidRPr="009A5185" w:rsidRDefault="00D213BE">
      <w:pPr>
        <w:rPr>
          <w:rFonts w:cs="Arial"/>
        </w:rPr>
      </w:pPr>
    </w:p>
    <w:p w14:paraId="254FFC04" w14:textId="77777777" w:rsidR="00D77B9A" w:rsidRPr="009A5185" w:rsidRDefault="00D77B9A">
      <w:pPr>
        <w:rPr>
          <w:rFonts w:cs="Arial"/>
          <w:b/>
          <w:snapToGrid w:val="0"/>
          <w:color w:val="000000"/>
        </w:rPr>
      </w:pPr>
      <w:r w:rsidRPr="009A5185">
        <w:rPr>
          <w:rFonts w:cs="Arial"/>
          <w:b/>
          <w:snapToGrid w:val="0"/>
          <w:color w:val="000000"/>
        </w:rPr>
        <w:br w:type="page"/>
      </w:r>
    </w:p>
    <w:p w14:paraId="16304C85" w14:textId="77777777" w:rsidR="008910AA" w:rsidRPr="009A5185" w:rsidRDefault="008910AA" w:rsidP="00D24FC1">
      <w:pPr>
        <w:spacing w:after="200" w:line="276" w:lineRule="auto"/>
        <w:rPr>
          <w:rFonts w:cs="Arial"/>
          <w:snapToGrid w:val="0"/>
          <w:color w:val="000000"/>
        </w:rPr>
      </w:pPr>
      <w:r w:rsidRPr="009A5185">
        <w:rPr>
          <w:rFonts w:cs="Arial"/>
          <w:b/>
          <w:snapToGrid w:val="0"/>
          <w:color w:val="000000"/>
        </w:rPr>
        <w:lastRenderedPageBreak/>
        <w:t>Affirmation of Accuracy</w:t>
      </w:r>
    </w:p>
    <w:p w14:paraId="55F43B05" w14:textId="027D192A" w:rsidR="00C075C3" w:rsidRPr="00A8045B" w:rsidRDefault="00C075C3" w:rsidP="00C075C3">
      <w:pPr>
        <w:rPr>
          <w:rFonts w:cs="Arial"/>
          <w:color w:val="000000"/>
        </w:rPr>
      </w:pPr>
      <w:r w:rsidRPr="00A8045B">
        <w:rPr>
          <w:rFonts w:cs="Arial"/>
          <w:color w:val="000000"/>
        </w:rPr>
        <w:t xml:space="preserve">As the hospital CEO or as an employee of the hospital to whom the hospital CEO has delegated responsibility, I have reviewed this information pertaining to the Managing Serious Errors Section at our hospital, and I hereby </w:t>
      </w:r>
      <w:r w:rsidR="00C26134">
        <w:rPr>
          <w:rFonts w:cs="Arial"/>
          <w:color w:val="000000"/>
        </w:rPr>
        <w:t>affirm</w:t>
      </w:r>
      <w:r w:rsidRPr="00A8045B">
        <w:rPr>
          <w:rFonts w:cs="Arial"/>
          <w:color w:val="000000"/>
        </w:rPr>
        <w:t xml:space="preserve"> that this information is true, accurate, and reflect</w:t>
      </w:r>
      <w:r w:rsidR="00B7608D" w:rsidRPr="00A8045B">
        <w:rPr>
          <w:rFonts w:cs="Arial"/>
          <w:color w:val="000000"/>
        </w:rPr>
        <w:t>s</w:t>
      </w:r>
      <w:r w:rsidRPr="00A8045B">
        <w:rPr>
          <w:rFonts w:cs="Arial"/>
          <w:color w:val="000000"/>
        </w:rPr>
        <w:t xml:space="preserve"> the current, normal operating circumstances at our hospital. I am authorized to make this </w:t>
      </w:r>
      <w:r w:rsidR="00C26134">
        <w:rPr>
          <w:rFonts w:cs="Arial"/>
          <w:color w:val="000000"/>
        </w:rPr>
        <w:t>affirmation</w:t>
      </w:r>
      <w:r w:rsidRPr="00A8045B">
        <w:rPr>
          <w:rFonts w:cs="Arial"/>
          <w:color w:val="000000"/>
        </w:rPr>
        <w:t xml:space="preserve"> on behalf of our hospital. </w:t>
      </w:r>
    </w:p>
    <w:p w14:paraId="15890B35" w14:textId="77777777" w:rsidR="00C075C3" w:rsidRPr="00A8045B" w:rsidRDefault="00C075C3" w:rsidP="00C075C3">
      <w:pPr>
        <w:rPr>
          <w:rFonts w:cs="Arial"/>
          <w:color w:val="000000"/>
        </w:rPr>
      </w:pPr>
    </w:p>
    <w:p w14:paraId="661BAAF5" w14:textId="77777777" w:rsidR="00C26134" w:rsidRPr="009A5185" w:rsidRDefault="00C26134" w:rsidP="00C26134">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721EF7D0" w14:textId="77777777" w:rsidR="00C26134" w:rsidRPr="009A5185" w:rsidRDefault="00C26134">
      <w:pPr>
        <w:rPr>
          <w:rFonts w:cs="Arial"/>
          <w:snapToGrid w:val="0"/>
          <w:color w:val="000000"/>
        </w:rPr>
      </w:pPr>
    </w:p>
    <w:p w14:paraId="43384DC7" w14:textId="77777777" w:rsidR="008910AA" w:rsidRPr="009A5185" w:rsidRDefault="008910AA">
      <w:pPr>
        <w:rPr>
          <w:rFonts w:cs="Arial"/>
          <w:snapToGrid w:val="0"/>
          <w:color w:val="000000"/>
        </w:rPr>
      </w:pPr>
    </w:p>
    <w:p w14:paraId="620C9266" w14:textId="77777777" w:rsidR="008910AA" w:rsidRPr="009A5185" w:rsidRDefault="008910AA">
      <w:pPr>
        <w:rPr>
          <w:rFonts w:cs="Arial"/>
          <w:snapToGrid w:val="0"/>
          <w:color w:val="000000"/>
        </w:rPr>
      </w:pPr>
      <w:r w:rsidRPr="009A5185">
        <w:rPr>
          <w:rFonts w:cs="Arial"/>
          <w:snapToGrid w:val="0"/>
          <w:color w:val="000000"/>
        </w:rPr>
        <w:t>Affirmed by _____________________, the hospital’s ___________________________,</w:t>
      </w:r>
    </w:p>
    <w:p w14:paraId="17593B5C" w14:textId="77777777" w:rsidR="008A631A" w:rsidRPr="009A5185" w:rsidRDefault="008A631A" w:rsidP="008A631A">
      <w:pPr>
        <w:pStyle w:val="BodyText2"/>
        <w:spacing w:line="240" w:lineRule="exact"/>
        <w:rPr>
          <w:rFonts w:cs="Arial"/>
        </w:rPr>
      </w:pPr>
      <w:r w:rsidRPr="009A5185">
        <w:rPr>
          <w:rFonts w:cs="Arial"/>
        </w:rPr>
        <w:tab/>
        <w:t xml:space="preserve"> </w:t>
      </w:r>
      <w:r>
        <w:rPr>
          <w:rFonts w:cs="Arial"/>
        </w:rPr>
        <w:t xml:space="preserve">    </w:t>
      </w:r>
      <w:r w:rsidRPr="009A5185">
        <w:rPr>
          <w:rFonts w:cs="Arial"/>
        </w:rPr>
        <w:t>(</w:t>
      </w:r>
      <w:r>
        <w:rPr>
          <w:rFonts w:cs="Arial"/>
        </w:rPr>
        <w:t xml:space="preserve">first </w:t>
      </w:r>
      <w:r w:rsidRPr="009A5185">
        <w:rPr>
          <w:rFonts w:cs="Arial"/>
        </w:rPr>
        <w:t>name</w:t>
      </w:r>
      <w:r>
        <w:rPr>
          <w:rFonts w:cs="Arial"/>
        </w:rPr>
        <w:t xml:space="preserve"> and last name)</w:t>
      </w:r>
      <w:r>
        <w:rPr>
          <w:rFonts w:cs="Arial"/>
        </w:rPr>
        <w:tab/>
      </w:r>
      <w:r>
        <w:rPr>
          <w:rFonts w:cs="Arial"/>
        </w:rPr>
        <w:tab/>
      </w:r>
      <w:r>
        <w:rPr>
          <w:rFonts w:cs="Arial"/>
        </w:rPr>
        <w:tab/>
      </w:r>
      <w:r>
        <w:rPr>
          <w:rFonts w:cs="Arial"/>
        </w:rPr>
        <w:tab/>
      </w:r>
      <w:r w:rsidRPr="009A5185">
        <w:rPr>
          <w:rFonts w:cs="Arial"/>
        </w:rPr>
        <w:t>(title)</w:t>
      </w:r>
    </w:p>
    <w:p w14:paraId="5546E5E7" w14:textId="77777777" w:rsidR="008910AA" w:rsidRPr="009A5185" w:rsidRDefault="008910AA">
      <w:pPr>
        <w:rPr>
          <w:rFonts w:cs="Arial"/>
          <w:snapToGrid w:val="0"/>
          <w:color w:val="000000"/>
        </w:rPr>
      </w:pPr>
      <w:r w:rsidRPr="009A5185">
        <w:rPr>
          <w:rFonts w:cs="Arial"/>
          <w:snapToGrid w:val="0"/>
          <w:color w:val="000000"/>
        </w:rPr>
        <w:t>on _______________________.</w:t>
      </w:r>
    </w:p>
    <w:p w14:paraId="1BEEB293" w14:textId="77777777" w:rsidR="008910AA" w:rsidRPr="009A5185" w:rsidRDefault="008910AA">
      <w:pPr>
        <w:pStyle w:val="BodyText2"/>
        <w:rPr>
          <w:rFonts w:cs="Arial"/>
        </w:rPr>
      </w:pPr>
      <w:r w:rsidRPr="009A5185">
        <w:rPr>
          <w:rFonts w:cs="Arial"/>
        </w:rPr>
        <w:t xml:space="preserve">                    (date)</w:t>
      </w:r>
    </w:p>
    <w:p w14:paraId="2F457B35" w14:textId="77777777" w:rsidR="008910AA" w:rsidRPr="009A5185" w:rsidRDefault="008910AA">
      <w:pPr>
        <w:rPr>
          <w:rFonts w:cs="Arial"/>
        </w:rPr>
      </w:pPr>
    </w:p>
    <w:p w14:paraId="179476E0" w14:textId="77777777" w:rsidR="00884856" w:rsidRPr="009A5185" w:rsidRDefault="00884856">
      <w:pPr>
        <w:rPr>
          <w:rFonts w:cs="Arial"/>
        </w:rPr>
      </w:pPr>
    </w:p>
    <w:p w14:paraId="01A0586C" w14:textId="7EC48EDB" w:rsidR="005A41AD" w:rsidRPr="009A5185" w:rsidRDefault="007F7C05">
      <w:pPr>
        <w:rPr>
          <w:rFonts w:cs="Arial"/>
        </w:rPr>
      </w:pPr>
      <w:r w:rsidRPr="009A5185">
        <w:rPr>
          <w:rFonts w:cs="Arial"/>
        </w:rPr>
        <w:br w:type="page"/>
      </w:r>
    </w:p>
    <w:p w14:paraId="7F6CE559" w14:textId="22A54396" w:rsidR="005A41AD" w:rsidRPr="009A5185" w:rsidRDefault="00416368" w:rsidP="00CF5A6E">
      <w:pPr>
        <w:pStyle w:val="Heading2"/>
      </w:pPr>
      <w:bookmarkStart w:id="644" w:name="_Toc383775064"/>
      <w:bookmarkStart w:id="645" w:name="_Toc225877810"/>
      <w:r w:rsidRPr="009A5185">
        <w:lastRenderedPageBreak/>
        <w:t xml:space="preserve">Section 7: </w:t>
      </w:r>
      <w:r w:rsidR="005A41AD" w:rsidRPr="009A5185">
        <w:t>Managing Serious Errors</w:t>
      </w:r>
      <w:bookmarkEnd w:id="644"/>
      <w:r w:rsidR="007F7C05" w:rsidRPr="009A5185">
        <w:t xml:space="preserve"> Reference Information</w:t>
      </w:r>
      <w:bookmarkEnd w:id="645"/>
    </w:p>
    <w:p w14:paraId="0FA7776E" w14:textId="77777777" w:rsidR="005A41AD" w:rsidRPr="009A5185" w:rsidRDefault="005A41AD" w:rsidP="005A41AD">
      <w:pPr>
        <w:rPr>
          <w:rFonts w:cs="Arial"/>
          <w:bCs/>
          <w:sz w:val="32"/>
          <w:lang w:eastAsia="ja-JP"/>
        </w:rPr>
      </w:pPr>
    </w:p>
    <w:p w14:paraId="269D6BCA" w14:textId="2AA37D45" w:rsidR="005A41AD" w:rsidRDefault="005A41AD" w:rsidP="00AB5B80">
      <w:pPr>
        <w:pStyle w:val="Heading3"/>
      </w:pPr>
      <w:bookmarkStart w:id="646" w:name="_Toc236218074"/>
      <w:bookmarkStart w:id="647" w:name="_Toc383775065"/>
      <w:bookmarkStart w:id="648" w:name="_Toc225877811"/>
      <w:r w:rsidRPr="009A5185">
        <w:t>What’s New</w:t>
      </w:r>
      <w:bookmarkEnd w:id="646"/>
      <w:r w:rsidRPr="009A5185">
        <w:t xml:space="preserve"> in the </w:t>
      </w:r>
      <w:bookmarkEnd w:id="647"/>
      <w:r w:rsidR="00A236B1">
        <w:t>202</w:t>
      </w:r>
      <w:r w:rsidR="00F84D2F">
        <w:t>6</w:t>
      </w:r>
      <w:r w:rsidR="00A41390" w:rsidRPr="009A5185">
        <w:t xml:space="preserve"> </w:t>
      </w:r>
      <w:r w:rsidR="004F68CC" w:rsidRPr="009A5185">
        <w:t>Survey</w:t>
      </w:r>
      <w:bookmarkEnd w:id="648"/>
    </w:p>
    <w:p w14:paraId="2A604742" w14:textId="77777777" w:rsidR="00694F51" w:rsidRPr="00694F51" w:rsidRDefault="00694F51" w:rsidP="00694F51">
      <w:pPr>
        <w:rPr>
          <w:lang w:eastAsia="ja-JP"/>
        </w:rPr>
      </w:pPr>
    </w:p>
    <w:p w14:paraId="1D230501" w14:textId="112874F1" w:rsidR="00F54C7F" w:rsidRDefault="00F54C7F" w:rsidP="00F54C7F">
      <w:pPr>
        <w:pStyle w:val="Heading44"/>
      </w:pPr>
      <w:r w:rsidRPr="00AD46BD">
        <w:t xml:space="preserve">Section </w:t>
      </w:r>
      <w:r w:rsidR="005F5E57">
        <w:t>7</w:t>
      </w:r>
      <w:r>
        <w:t xml:space="preserve">A: </w:t>
      </w:r>
      <w:r w:rsidR="005F5E57">
        <w:t>Never Events</w:t>
      </w:r>
      <w:r>
        <w:t xml:space="preserve"> </w:t>
      </w:r>
    </w:p>
    <w:p w14:paraId="6383C19E" w14:textId="7D568B68" w:rsidR="00F54C7F" w:rsidRPr="005018CA" w:rsidRDefault="00F54C7F" w:rsidP="00F54C7F">
      <w:pPr>
        <w:pStyle w:val="Heading44"/>
        <w:rPr>
          <w:b w:val="0"/>
          <w:bCs/>
          <w:sz w:val="20"/>
        </w:rPr>
      </w:pPr>
      <w:r w:rsidRPr="005018CA">
        <w:rPr>
          <w:b w:val="0"/>
          <w:bCs/>
          <w:sz w:val="20"/>
        </w:rPr>
        <w:t>There are no changes to th</w:t>
      </w:r>
      <w:r w:rsidR="005F5E57">
        <w:rPr>
          <w:b w:val="0"/>
          <w:bCs/>
          <w:sz w:val="20"/>
        </w:rPr>
        <w:t>is</w:t>
      </w:r>
      <w:r w:rsidRPr="005018CA">
        <w:rPr>
          <w:b w:val="0"/>
          <w:bCs/>
          <w:sz w:val="20"/>
        </w:rPr>
        <w:t xml:space="preserve"> subsection.</w:t>
      </w:r>
    </w:p>
    <w:p w14:paraId="50A7A476" w14:textId="77777777" w:rsidR="00F54C7F" w:rsidRDefault="00F54C7F" w:rsidP="00F54C7F">
      <w:pPr>
        <w:rPr>
          <w:rFonts w:cs="Arial"/>
        </w:rPr>
      </w:pPr>
    </w:p>
    <w:p w14:paraId="4A5D2972" w14:textId="25C5F6F3" w:rsidR="00F54C7F" w:rsidRDefault="00F54C7F" w:rsidP="00F54C7F">
      <w:pPr>
        <w:pStyle w:val="Heading44"/>
      </w:pPr>
      <w:r w:rsidRPr="00AD46BD">
        <w:t xml:space="preserve">Section </w:t>
      </w:r>
      <w:r w:rsidR="005F5E57">
        <w:t>7B</w:t>
      </w:r>
      <w:r w:rsidRPr="00AD46BD">
        <w:t>:</w:t>
      </w:r>
      <w:r w:rsidR="005F5E57">
        <w:t xml:space="preserve"> </w:t>
      </w:r>
      <w:r w:rsidR="005F5E57" w:rsidRPr="00DE5DC3">
        <w:t>Healthcare-Associated Infections</w:t>
      </w:r>
    </w:p>
    <w:p w14:paraId="46B1A79D" w14:textId="63645E88" w:rsidR="002D2FAA" w:rsidRDefault="00C97BC9" w:rsidP="002D2FAA">
      <w:bookmarkStart w:id="649" w:name="_Hlk214029530"/>
      <w:r w:rsidRPr="00C97BC9">
        <w:t xml:space="preserve">Leapfrog downloads HAI data from the Centers for Disease Control and Prevention’s (CDC) National Healthcare Safety Network (NHSN) four times during the Survey Cycle for use in the Leapfrog Hospital Survey. Both Leapfrog and CMS currently use and publicly report data that is calculated using a 2015 Baseline (i.e., Standard Population Data Year). Starting in fall 2026, CMS </w:t>
      </w:r>
      <w:hyperlink r:id="rId419" w:history="1">
        <w:r w:rsidRPr="00C97BC9">
          <w:rPr>
            <w:rStyle w:val="Hyperlink"/>
          </w:rPr>
          <w:t>plans to</w:t>
        </w:r>
      </w:hyperlink>
      <w:r w:rsidRPr="00C97BC9">
        <w:t xml:space="preserve"> calculate HAI measures using NHSN’s new 2022 Baseline for data publicly reported on the Care Compare website. Once CMS begins calculating and publicly reporting HAI measures on Care Compare using the 2022 Baseline, Leapfrog will also transition to using data calculated with the 2022 Baseline in a reasonable and feasible timeframe.</w:t>
      </w:r>
    </w:p>
    <w:p w14:paraId="05D8BC5B" w14:textId="77777777" w:rsidR="00C97BC9" w:rsidRPr="005C6BC1" w:rsidRDefault="00C97BC9" w:rsidP="002D2FAA">
      <w:pPr>
        <w:rPr>
          <w:b/>
          <w:bCs/>
        </w:rPr>
      </w:pPr>
    </w:p>
    <w:p w14:paraId="2877FBC4" w14:textId="1DC09633" w:rsidR="002D2FAA" w:rsidRDefault="002D2FAA" w:rsidP="002D2FAA">
      <w:r>
        <w:t xml:space="preserve">Leapfrog anticipates using 2015 Baseline CMS IPPS Reports </w:t>
      </w:r>
      <w:r w:rsidR="005349FE">
        <w:t xml:space="preserve">for scoring </w:t>
      </w:r>
      <w:r>
        <w:t>in the first two NHSN data downloads (June and August), then 2022 Baseline CMS IPPS Reports</w:t>
      </w:r>
      <w:r w:rsidR="00B0782F">
        <w:t xml:space="preserve"> for scoring</w:t>
      </w:r>
      <w:r>
        <w:t xml:space="preserve"> in the next two NHSN data downloads (October and December). However, this plan is subject to CMS’ actual rollout of the new baseline on Care Compare. </w:t>
      </w:r>
    </w:p>
    <w:p w14:paraId="1E025DDB" w14:textId="77777777" w:rsidR="002D2FAA" w:rsidRPr="005C6BC1" w:rsidRDefault="002D2FAA" w:rsidP="002D2FAA">
      <w:pPr>
        <w:rPr>
          <w:rFonts w:cs="Arial"/>
        </w:rPr>
      </w:pPr>
    </w:p>
    <w:p w14:paraId="165A6C4D" w14:textId="4563F80D" w:rsidR="0049493E" w:rsidRDefault="00AE09AD" w:rsidP="00764EEA">
      <w:bookmarkStart w:id="650" w:name="_Toc236218075"/>
      <w:bookmarkStart w:id="651" w:name="_Toc383775066"/>
      <w:bookmarkEnd w:id="649"/>
      <w:r w:rsidRPr="00AE09AD">
        <w:t>In order to ensure that hospitals have adequate time to review updates to the scoring algorithm for these five measures, Leapfrog plans to download 2022 Baseline CMS IPPS Reports, with the reporting period of 01/01/2025 – 12/31/2025, in June to model a new scoring algorithm for Section 7B: Healthcare-Associated Infections (HAIs). The new scoring algorithm will be available for public comment and finalized prior to its anticipated use in October 2026.</w:t>
      </w:r>
    </w:p>
    <w:p w14:paraId="7D49E4AA" w14:textId="77777777" w:rsidR="00DA19BE" w:rsidRDefault="00DA19BE" w:rsidP="00764EEA"/>
    <w:p w14:paraId="2CB0AE0E" w14:textId="291D8799" w:rsidR="00AE09AD" w:rsidRDefault="00DA19BE" w:rsidP="00764EEA">
      <w:r w:rsidRPr="00DA19BE">
        <w:t>The deadlines to join Leapfrog’s NHSN Group and anticipated use of the 2022 Baseline can be found in</w:t>
      </w:r>
      <w:r>
        <w:t xml:space="preserve"> the measure specifications.</w:t>
      </w:r>
    </w:p>
    <w:p w14:paraId="08B446AD" w14:textId="77777777" w:rsidR="00DA19BE" w:rsidRPr="009A5185" w:rsidRDefault="00DA19BE" w:rsidP="00764EEA"/>
    <w:p w14:paraId="63683AB2" w14:textId="0DFC3A8B" w:rsidR="005A41AD" w:rsidRDefault="005A41AD" w:rsidP="00AB5B80">
      <w:pPr>
        <w:pStyle w:val="Heading3"/>
      </w:pPr>
      <w:bookmarkStart w:id="652" w:name="_Toc225877812"/>
      <w:r w:rsidRPr="009A5185">
        <w:t>Change Summary</w:t>
      </w:r>
      <w:bookmarkEnd w:id="650"/>
      <w:r w:rsidRPr="009A5185">
        <w:t xml:space="preserve"> </w:t>
      </w:r>
      <w:r w:rsidR="00764EEA">
        <w:t>S</w:t>
      </w:r>
      <w:r w:rsidRPr="009A5185">
        <w:t>ince Release</w:t>
      </w:r>
      <w:bookmarkEnd w:id="651"/>
      <w:bookmarkEnd w:id="652"/>
    </w:p>
    <w:p w14:paraId="66F4D6D4" w14:textId="77777777" w:rsidR="00DB6C78" w:rsidRDefault="00DB6C78" w:rsidP="00DB6C78">
      <w:pPr>
        <w:pStyle w:val="BodyText3"/>
        <w:rPr>
          <w:lang w:eastAsia="ja-JP"/>
        </w:rPr>
      </w:pPr>
    </w:p>
    <w:p w14:paraId="7B0EF213" w14:textId="6A86C26B" w:rsidR="00864EF1" w:rsidRPr="009A5185" w:rsidRDefault="00864EF1" w:rsidP="00864EF1">
      <w:pPr>
        <w:pStyle w:val="BodyText3"/>
        <w:rPr>
          <w:rFonts w:cs="Arial"/>
          <w:lang w:eastAsia="ja-JP"/>
        </w:rPr>
      </w:pPr>
      <w:bookmarkStart w:id="653" w:name="_Hlk75792255"/>
      <w:r w:rsidRPr="009A5185">
        <w:rPr>
          <w:rFonts w:cs="Arial"/>
          <w:lang w:eastAsia="ja-JP"/>
        </w:rPr>
        <w:t xml:space="preserve">None. If substantive changes are made to this section of the Survey after release on April 1, </w:t>
      </w:r>
      <w:r>
        <w:rPr>
          <w:rFonts w:cs="Arial"/>
          <w:lang w:eastAsia="ja-JP"/>
        </w:rPr>
        <w:t>202</w:t>
      </w:r>
      <w:r w:rsidR="00F84D2F">
        <w:rPr>
          <w:rFonts w:cs="Arial"/>
          <w:lang w:eastAsia="ja-JP"/>
        </w:rPr>
        <w:t>6</w:t>
      </w:r>
      <w:r w:rsidRPr="009A5185">
        <w:rPr>
          <w:rFonts w:cs="Arial"/>
          <w:lang w:eastAsia="ja-JP"/>
        </w:rPr>
        <w:t>, they will be documented in this Change Summary section.</w:t>
      </w:r>
    </w:p>
    <w:bookmarkEnd w:id="653"/>
    <w:p w14:paraId="07B6457F" w14:textId="77777777" w:rsidR="005A41AD" w:rsidRPr="009A5185" w:rsidRDefault="005A41AD" w:rsidP="005A41AD">
      <w:pPr>
        <w:pStyle w:val="EndnoteText"/>
        <w:rPr>
          <w:rFonts w:cs="Arial"/>
          <w:i/>
        </w:rPr>
      </w:pPr>
    </w:p>
    <w:p w14:paraId="41E805C6" w14:textId="3C629AB0" w:rsidR="00FC7AFA" w:rsidRPr="009A5185" w:rsidRDefault="00FC7AFA" w:rsidP="00764EEA">
      <w:bookmarkStart w:id="654" w:name="_CLABSI_and_CAUTI"/>
      <w:bookmarkEnd w:id="654"/>
    </w:p>
    <w:p w14:paraId="61FD893D" w14:textId="77777777" w:rsidR="00A7567E" w:rsidRDefault="00A7567E">
      <w:pPr>
        <w:rPr>
          <w:b/>
          <w:snapToGrid w:val="0"/>
          <w:sz w:val="28"/>
          <w:szCs w:val="24"/>
          <w:u w:val="single"/>
          <w:lang w:eastAsia="ja-JP"/>
        </w:rPr>
      </w:pPr>
      <w:bookmarkStart w:id="655" w:name="_Healthcare-Associated_Infections_Sp"/>
      <w:bookmarkStart w:id="656" w:name="_Healthcare-Associated_and_Antibioti"/>
      <w:bookmarkStart w:id="657" w:name="_Healthcare-Associated_Infections_an"/>
      <w:bookmarkStart w:id="658" w:name="_Healthcare-Associated_Infections_Me"/>
      <w:bookmarkEnd w:id="655"/>
      <w:bookmarkEnd w:id="656"/>
      <w:bookmarkEnd w:id="657"/>
      <w:bookmarkEnd w:id="658"/>
      <w:r>
        <w:br w:type="page"/>
      </w:r>
    </w:p>
    <w:p w14:paraId="7D3241B6" w14:textId="1F1D2CE8" w:rsidR="005A41AD" w:rsidRPr="009A5185" w:rsidRDefault="00B078B4" w:rsidP="00CF5A6E">
      <w:pPr>
        <w:pStyle w:val="Heading2"/>
      </w:pPr>
      <w:bookmarkStart w:id="659" w:name="_Healthcare-Associated_Infections_Me_1"/>
      <w:bookmarkStart w:id="660" w:name="_Section_7B:_Healthcare-Associated"/>
      <w:bookmarkStart w:id="661" w:name="_Ref123647745"/>
      <w:bookmarkStart w:id="662" w:name="_Toc225877813"/>
      <w:bookmarkEnd w:id="659"/>
      <w:bookmarkEnd w:id="660"/>
      <w:r>
        <w:lastRenderedPageBreak/>
        <w:t xml:space="preserve">Section 7B: </w:t>
      </w:r>
      <w:r w:rsidR="00E41CC6" w:rsidRPr="009A5185">
        <w:t xml:space="preserve">Healthcare-Associated </w:t>
      </w:r>
      <w:r w:rsidR="00542CE6">
        <w:t>Infections</w:t>
      </w:r>
      <w:r w:rsidR="006F2901" w:rsidRPr="006F2901">
        <w:t xml:space="preserve"> </w:t>
      </w:r>
      <w:r w:rsidR="006F2901">
        <w:t xml:space="preserve">Measure </w:t>
      </w:r>
      <w:r w:rsidR="005B78E1" w:rsidRPr="009A5185">
        <w:t>Specifications</w:t>
      </w:r>
      <w:bookmarkEnd w:id="661"/>
      <w:bookmarkEnd w:id="662"/>
    </w:p>
    <w:p w14:paraId="0C0FD995" w14:textId="77777777" w:rsidR="000D0813" w:rsidRPr="00CC1D4D" w:rsidRDefault="000D0813" w:rsidP="002B3F29">
      <w:pPr>
        <w:rPr>
          <w:rFonts w:cs="Arial"/>
          <w:snapToGrid w:val="0"/>
        </w:rPr>
      </w:pPr>
      <w:bookmarkStart w:id="663" w:name="CLABSISpecs"/>
    </w:p>
    <w:p w14:paraId="7AB407D0" w14:textId="004B9499" w:rsidR="00174828" w:rsidRPr="006D6FE4" w:rsidRDefault="00451080" w:rsidP="00174828">
      <w:pPr>
        <w:rPr>
          <w:rFonts w:cs="Arial"/>
          <w:b/>
        </w:rPr>
      </w:pPr>
      <w:bookmarkStart w:id="664" w:name="NHSN_Checklist"/>
      <w:bookmarkStart w:id="665" w:name="_Toc383775081"/>
      <w:bookmarkEnd w:id="663"/>
      <w:r w:rsidRPr="00451080">
        <w:rPr>
          <w:rFonts w:cs="Arial"/>
          <w:b/>
          <w:bCs/>
          <w:snapToGrid w:val="0"/>
          <w:color w:val="FF0000"/>
        </w:rPr>
        <w:t>Important Note:</w:t>
      </w:r>
      <w:r w:rsidRPr="00451080">
        <w:rPr>
          <w:rFonts w:cs="Arial"/>
          <w:snapToGrid w:val="0"/>
          <w:color w:val="FF0000"/>
        </w:rPr>
        <w:t xml:space="preserve"> </w:t>
      </w:r>
      <w:r w:rsidR="00174828" w:rsidRPr="009A5185">
        <w:rPr>
          <w:rFonts w:cs="Arial"/>
          <w:snapToGrid w:val="0"/>
        </w:rPr>
        <w:t xml:space="preserve">Hospitals that share a </w:t>
      </w:r>
      <w:r w:rsidR="00174828">
        <w:rPr>
          <w:rFonts w:cs="Arial"/>
          <w:snapToGrid w:val="0"/>
        </w:rPr>
        <w:t>CMS Certification Number</w:t>
      </w:r>
      <w:r w:rsidR="00174828" w:rsidRPr="009A5185">
        <w:rPr>
          <w:rFonts w:cs="Arial"/>
          <w:snapToGrid w:val="0"/>
        </w:rPr>
        <w:t xml:space="preserve"> must have a unique NHSN ID as required by NHSN. Please carefully review Leapfrog’s </w:t>
      </w:r>
      <w:r w:rsidR="0045202E">
        <w:rPr>
          <w:rFonts w:cs="Arial"/>
          <w:snapToGrid w:val="0"/>
        </w:rPr>
        <w:t xml:space="preserve">Multi-Campus Reporting Policy on the </w:t>
      </w:r>
      <w:hyperlink r:id="rId420" w:history="1">
        <w:r w:rsidR="00C82158" w:rsidRPr="00F16D46">
          <w:rPr>
            <w:rStyle w:val="Hyperlink"/>
            <w:rFonts w:cs="Arial"/>
            <w:snapToGrid w:val="0"/>
          </w:rPr>
          <w:t xml:space="preserve">Review NHSN Instructions </w:t>
        </w:r>
        <w:r w:rsidR="00F16D46" w:rsidRPr="00F16D46">
          <w:rPr>
            <w:rStyle w:val="Hyperlink"/>
            <w:rFonts w:cs="Arial"/>
            <w:snapToGrid w:val="0"/>
          </w:rPr>
          <w:t>webpage</w:t>
        </w:r>
      </w:hyperlink>
      <w:r w:rsidR="0045202E" w:rsidRPr="009A5185">
        <w:rPr>
          <w:rFonts w:cs="Arial"/>
          <w:snapToGrid w:val="0"/>
        </w:rPr>
        <w:t>.</w:t>
      </w:r>
    </w:p>
    <w:p w14:paraId="35E45304" w14:textId="77777777" w:rsidR="00174828" w:rsidRPr="00CC1D4D" w:rsidRDefault="00174828" w:rsidP="006F2901">
      <w:pPr>
        <w:rPr>
          <w:b/>
          <w:lang w:eastAsia="ja-JP"/>
        </w:rPr>
      </w:pPr>
    </w:p>
    <w:p w14:paraId="571AE359" w14:textId="01CBB198" w:rsidR="006F2901" w:rsidRPr="00760C43" w:rsidRDefault="006F2901" w:rsidP="00AB5B80">
      <w:pPr>
        <w:pStyle w:val="Heading3"/>
      </w:pPr>
      <w:bookmarkStart w:id="666" w:name="_Toc225877814"/>
      <w:r w:rsidRPr="00760C43">
        <w:t>Checklist</w:t>
      </w:r>
      <w:bookmarkEnd w:id="664"/>
      <w:r w:rsidRPr="00760C43">
        <w:t xml:space="preserve"> for Joining Leapfrog’s NHSN Group and Ensuring the Data are Accurate</w:t>
      </w:r>
      <w:r w:rsidR="00C64E7A" w:rsidRPr="00760C43">
        <w:t>:</w:t>
      </w:r>
      <w:bookmarkEnd w:id="666"/>
    </w:p>
    <w:p w14:paraId="3D90AC57" w14:textId="77777777" w:rsidR="006F2901" w:rsidRPr="00263D83" w:rsidRDefault="006F2901" w:rsidP="006F2901">
      <w:pPr>
        <w:rPr>
          <w:lang w:eastAsia="ja-JP"/>
        </w:rPr>
      </w:pPr>
    </w:p>
    <w:p w14:paraId="72306BBB" w14:textId="7771BA81" w:rsidR="006F2901" w:rsidRPr="00A90AE6" w:rsidRDefault="006F2901" w:rsidP="00AD309C">
      <w:pPr>
        <w:pStyle w:val="Heading44"/>
        <w:numPr>
          <w:ilvl w:val="0"/>
          <w:numId w:val="265"/>
        </w:numPr>
        <w:rPr>
          <w:sz w:val="20"/>
          <w:lang w:eastAsia="ja-JP"/>
        </w:rPr>
      </w:pPr>
      <w:r w:rsidRPr="00A90AE6">
        <w:rPr>
          <w:sz w:val="20"/>
          <w:lang w:eastAsia="ja-JP"/>
        </w:rPr>
        <w:t>Join or verify that you are in Leapfrog’s NHSN Group</w:t>
      </w:r>
    </w:p>
    <w:p w14:paraId="46A1D4E0" w14:textId="5BE60F47" w:rsidR="006F2901" w:rsidRPr="00263D83" w:rsidRDefault="006F2901" w:rsidP="00AD309C">
      <w:pPr>
        <w:pStyle w:val="ListParagraph"/>
        <w:numPr>
          <w:ilvl w:val="0"/>
          <w:numId w:val="392"/>
        </w:numPr>
        <w:rPr>
          <w:lang w:eastAsia="ja-JP"/>
        </w:rPr>
      </w:pPr>
      <w:r w:rsidRPr="00263D83">
        <w:rPr>
          <w:lang w:eastAsia="ja-JP"/>
        </w:rPr>
        <w:t xml:space="preserve">Instructions for joining or verifying that you are in Leapfrog’s NHSN Group are available </w:t>
      </w:r>
      <w:hyperlink r:id="rId421" w:history="1">
        <w:r w:rsidRPr="00263D83">
          <w:rPr>
            <w:rStyle w:val="Hyperlink"/>
            <w:lang w:eastAsia="ja-JP"/>
          </w:rPr>
          <w:t>here</w:t>
        </w:r>
      </w:hyperlink>
      <w:r w:rsidR="00174828" w:rsidRPr="00263D83">
        <w:rPr>
          <w:lang w:eastAsia="ja-JP"/>
        </w:rPr>
        <w:t xml:space="preserve"> in the</w:t>
      </w:r>
      <w:r w:rsidRPr="00263D83">
        <w:t xml:space="preserve"> </w:t>
      </w:r>
      <w:r w:rsidR="007C69A0" w:rsidRPr="00263D83">
        <w:t xml:space="preserve">“NHSN Guidance: Join the Group, </w:t>
      </w:r>
      <w:r w:rsidR="00095923" w:rsidRPr="00263D83">
        <w:t xml:space="preserve">Review/Accept </w:t>
      </w:r>
      <w:r w:rsidR="007C69A0" w:rsidRPr="00263D83">
        <w:t>Data Rights Template, and Download Reports”</w:t>
      </w:r>
      <w:r w:rsidR="00174828" w:rsidRPr="00263D83">
        <w:t xml:space="preserve"> document.</w:t>
      </w:r>
    </w:p>
    <w:p w14:paraId="49707D9A" w14:textId="2199AB23" w:rsidR="006F2901" w:rsidRPr="00263D83" w:rsidRDefault="00976707" w:rsidP="00AD309C">
      <w:pPr>
        <w:pStyle w:val="ListParagraph"/>
        <w:numPr>
          <w:ilvl w:val="0"/>
          <w:numId w:val="392"/>
        </w:numPr>
        <w:rPr>
          <w:lang w:eastAsia="ja-JP"/>
        </w:rPr>
      </w:pPr>
      <w:r>
        <w:t>Hospitals must belong to Leapfrog’s NHSN Group prior to the NHSN Download Dates</w:t>
      </w:r>
      <w:r w:rsidRPr="00263D83" w:rsidDel="00976707">
        <w:t xml:space="preserve"> </w:t>
      </w:r>
      <w:r w:rsidR="006F2901" w:rsidRPr="00263D83">
        <w:t>listed in the “Deadlines and Reporting Periods” table below.</w:t>
      </w:r>
    </w:p>
    <w:p w14:paraId="7B8F49D2" w14:textId="77777777" w:rsidR="006F2901" w:rsidRPr="00263D83" w:rsidRDefault="006F2901" w:rsidP="00CE5714">
      <w:pPr>
        <w:pStyle w:val="ListParagraph"/>
        <w:ind w:left="1080"/>
        <w:rPr>
          <w:lang w:eastAsia="ja-JP"/>
        </w:rPr>
      </w:pPr>
    </w:p>
    <w:p w14:paraId="430FE511" w14:textId="77777777" w:rsidR="006F2901" w:rsidRPr="00A90AE6" w:rsidRDefault="006F2901" w:rsidP="00AD309C">
      <w:pPr>
        <w:pStyle w:val="Heading44"/>
        <w:numPr>
          <w:ilvl w:val="0"/>
          <w:numId w:val="266"/>
        </w:numPr>
        <w:rPr>
          <w:sz w:val="20"/>
          <w:lang w:eastAsia="ja-JP"/>
        </w:rPr>
      </w:pPr>
      <w:bookmarkStart w:id="667" w:name="_Hlk36418726"/>
      <w:r w:rsidRPr="00A90AE6">
        <w:rPr>
          <w:sz w:val="20"/>
          <w:lang w:eastAsia="ja-JP"/>
        </w:rPr>
        <w:t>Review and accept Leapfrog’s Data Rights Template within NHSN</w:t>
      </w:r>
    </w:p>
    <w:p w14:paraId="53D386AE" w14:textId="395198F1" w:rsidR="006F2901" w:rsidRPr="00263D83" w:rsidRDefault="006F2901" w:rsidP="00AD309C">
      <w:pPr>
        <w:pStyle w:val="ListParagraph"/>
        <w:numPr>
          <w:ilvl w:val="0"/>
          <w:numId w:val="267"/>
        </w:numPr>
        <w:rPr>
          <w:lang w:eastAsia="ja-JP"/>
        </w:rPr>
      </w:pPr>
      <w:bookmarkStart w:id="668" w:name="_Hlk36555318"/>
      <w:r w:rsidRPr="00263D83">
        <w:rPr>
          <w:b/>
          <w:u w:val="single"/>
          <w:lang w:eastAsia="ja-JP"/>
        </w:rPr>
        <w:t>All hospitals</w:t>
      </w:r>
      <w:r w:rsidRPr="00263D83">
        <w:rPr>
          <w:u w:val="single"/>
          <w:lang w:eastAsia="ja-JP"/>
        </w:rPr>
        <w:t xml:space="preserve"> </w:t>
      </w:r>
      <w:r w:rsidRPr="00263D83">
        <w:rPr>
          <w:lang w:eastAsia="ja-JP"/>
        </w:rPr>
        <w:t xml:space="preserve">are required to review and accept the Data Rights Template </w:t>
      </w:r>
      <w:r w:rsidR="001B7172" w:rsidRPr="00263D83">
        <w:rPr>
          <w:lang w:eastAsia="ja-JP"/>
        </w:rPr>
        <w:t xml:space="preserve">at least </w:t>
      </w:r>
      <w:r w:rsidRPr="00263D83">
        <w:rPr>
          <w:lang w:eastAsia="ja-JP"/>
        </w:rPr>
        <w:t xml:space="preserve">annually before </w:t>
      </w:r>
      <w:r w:rsidR="00CA2BB3" w:rsidRPr="00263D83">
        <w:rPr>
          <w:b/>
          <w:bCs/>
          <w:lang w:eastAsia="ja-JP"/>
        </w:rPr>
        <w:t>J</w:t>
      </w:r>
      <w:r w:rsidR="005A5A08" w:rsidRPr="00263D83">
        <w:rPr>
          <w:b/>
          <w:bCs/>
          <w:lang w:eastAsia="ja-JP"/>
        </w:rPr>
        <w:t>u</w:t>
      </w:r>
      <w:r w:rsidR="009929CD" w:rsidRPr="00263D83">
        <w:rPr>
          <w:b/>
          <w:bCs/>
          <w:lang w:eastAsia="ja-JP"/>
        </w:rPr>
        <w:t>ne</w:t>
      </w:r>
      <w:r w:rsidR="00CA2BB3" w:rsidRPr="00263D83">
        <w:rPr>
          <w:b/>
          <w:bCs/>
          <w:lang w:eastAsia="ja-JP"/>
        </w:rPr>
        <w:t xml:space="preserve"> </w:t>
      </w:r>
      <w:r w:rsidR="00DF11B8">
        <w:rPr>
          <w:b/>
          <w:bCs/>
          <w:lang w:eastAsia="ja-JP"/>
        </w:rPr>
        <w:t>2</w:t>
      </w:r>
      <w:r w:rsidR="00C85002">
        <w:rPr>
          <w:b/>
          <w:bCs/>
          <w:lang w:eastAsia="ja-JP"/>
        </w:rPr>
        <w:t>2</w:t>
      </w:r>
      <w:r w:rsidR="007E3C31" w:rsidRPr="00263D83">
        <w:rPr>
          <w:b/>
          <w:bCs/>
          <w:lang w:eastAsia="ja-JP"/>
        </w:rPr>
        <w:t xml:space="preserve">, </w:t>
      </w:r>
      <w:r w:rsidR="00BD66F6" w:rsidRPr="00263D83">
        <w:rPr>
          <w:b/>
          <w:bCs/>
          <w:lang w:eastAsia="ja-JP"/>
        </w:rPr>
        <w:t>202</w:t>
      </w:r>
      <w:r w:rsidR="006C0089">
        <w:rPr>
          <w:b/>
          <w:bCs/>
          <w:lang w:eastAsia="ja-JP"/>
        </w:rPr>
        <w:t>6</w:t>
      </w:r>
      <w:r w:rsidR="00BD66F6" w:rsidRPr="00263D83">
        <w:rPr>
          <w:b/>
          <w:bCs/>
          <w:lang w:eastAsia="ja-JP"/>
        </w:rPr>
        <w:t>,</w:t>
      </w:r>
      <w:r w:rsidR="007E3C31" w:rsidRPr="00263D83">
        <w:rPr>
          <w:b/>
          <w:bCs/>
          <w:lang w:eastAsia="ja-JP"/>
        </w:rPr>
        <w:t xml:space="preserve"> </w:t>
      </w:r>
      <w:r w:rsidR="001B7172" w:rsidRPr="00263D83">
        <w:rPr>
          <w:bCs/>
          <w:lang w:eastAsia="ja-JP"/>
        </w:rPr>
        <w:t>and whenever updates are made to their location mapping in NHSN</w:t>
      </w:r>
      <w:r w:rsidR="00174828" w:rsidRPr="00263D83">
        <w:rPr>
          <w:bCs/>
          <w:lang w:eastAsia="ja-JP"/>
        </w:rPr>
        <w:t>.</w:t>
      </w:r>
    </w:p>
    <w:bookmarkEnd w:id="668"/>
    <w:p w14:paraId="74E2A251" w14:textId="77777777" w:rsidR="006F2901" w:rsidRDefault="006F2901" w:rsidP="00AD309C">
      <w:pPr>
        <w:pStyle w:val="ListParagraph"/>
        <w:numPr>
          <w:ilvl w:val="1"/>
          <w:numId w:val="267"/>
        </w:numPr>
        <w:rPr>
          <w:lang w:eastAsia="ja-JP"/>
        </w:rPr>
      </w:pPr>
      <w:r w:rsidRPr="00263D83">
        <w:rPr>
          <w:lang w:eastAsia="ja-JP"/>
        </w:rPr>
        <w:t>Include any locations that</w:t>
      </w:r>
      <w:r w:rsidRPr="0083001C">
        <w:rPr>
          <w:lang w:eastAsia="ja-JP"/>
        </w:rPr>
        <w:t xml:space="preserve"> were active during the reporting</w:t>
      </w:r>
      <w:r w:rsidRPr="0083001C">
        <w:rPr>
          <w:b/>
          <w:lang w:eastAsia="ja-JP"/>
        </w:rPr>
        <w:t xml:space="preserve"> </w:t>
      </w:r>
      <w:r w:rsidRPr="0083001C">
        <w:rPr>
          <w:lang w:eastAsia="ja-JP"/>
        </w:rPr>
        <w:t>period even if they are currently inactive to ensure that Leapfrog obtains the appropriate SIR.</w:t>
      </w:r>
    </w:p>
    <w:p w14:paraId="3579E6DA" w14:textId="1C322E44" w:rsidR="006F2901" w:rsidRPr="0083001C" w:rsidRDefault="006F2901" w:rsidP="00AD309C">
      <w:pPr>
        <w:pStyle w:val="ListParagraph"/>
        <w:numPr>
          <w:ilvl w:val="1"/>
          <w:numId w:val="267"/>
        </w:numPr>
        <w:rPr>
          <w:lang w:eastAsia="ja-JP"/>
        </w:rPr>
      </w:pPr>
      <w:r>
        <w:rPr>
          <w:lang w:eastAsia="ja-JP"/>
        </w:rPr>
        <w:t xml:space="preserve">Confirm that you have given Leapfrog access to data from your </w:t>
      </w:r>
      <w:r w:rsidR="001B18B6">
        <w:rPr>
          <w:lang w:eastAsia="ja-JP"/>
        </w:rPr>
        <w:t xml:space="preserve">most recent </w:t>
      </w:r>
      <w:r>
        <w:rPr>
          <w:lang w:eastAsia="ja-JP"/>
        </w:rPr>
        <w:t>NHSN Patient Safety Component</w:t>
      </w:r>
      <w:r w:rsidR="00416C61">
        <w:rPr>
          <w:lang w:eastAsia="ja-JP"/>
        </w:rPr>
        <w:t xml:space="preserve"> </w:t>
      </w:r>
      <w:r>
        <w:rPr>
          <w:lang w:eastAsia="ja-JP"/>
        </w:rPr>
        <w:t xml:space="preserve">- Annual Hospital Survey. </w:t>
      </w:r>
      <w:r w:rsidR="00C30C17" w:rsidRPr="00C30C17">
        <w:rPr>
          <w:lang w:eastAsia="ja-JP"/>
        </w:rPr>
        <w:t xml:space="preserve">Surveillance data from the </w:t>
      </w:r>
      <w:r w:rsidR="007D3046">
        <w:rPr>
          <w:lang w:eastAsia="ja-JP"/>
        </w:rPr>
        <w:t xml:space="preserve">most recent </w:t>
      </w:r>
      <w:r w:rsidR="00C30C17" w:rsidRPr="00C30C17">
        <w:rPr>
          <w:lang w:eastAsia="ja-JP"/>
        </w:rPr>
        <w:t xml:space="preserve">NHSN Annual Hospital Survey is used by NHSN to risk adjust SIRs; SIRs cannot be calculated by NHSN or downloaded by Leapfrog if you restrict access to this data. </w:t>
      </w:r>
    </w:p>
    <w:p w14:paraId="209A028D" w14:textId="7EFBC9FF" w:rsidR="006F2901" w:rsidRPr="0083001C" w:rsidRDefault="006F2901" w:rsidP="00AD309C">
      <w:pPr>
        <w:pStyle w:val="ListParagraph"/>
        <w:numPr>
          <w:ilvl w:val="1"/>
          <w:numId w:val="267"/>
        </w:numPr>
        <w:rPr>
          <w:lang w:eastAsia="ja-JP"/>
        </w:rPr>
      </w:pPr>
      <w:r w:rsidRPr="0083001C">
        <w:rPr>
          <w:lang w:eastAsia="ja-JP"/>
        </w:rPr>
        <w:t xml:space="preserve">Failure to </w:t>
      </w:r>
      <w:r>
        <w:rPr>
          <w:lang w:eastAsia="ja-JP"/>
        </w:rPr>
        <w:t xml:space="preserve">review and </w:t>
      </w:r>
      <w:r w:rsidRPr="0083001C">
        <w:rPr>
          <w:lang w:eastAsia="ja-JP"/>
        </w:rPr>
        <w:t xml:space="preserve">update </w:t>
      </w:r>
      <w:r>
        <w:rPr>
          <w:lang w:eastAsia="ja-JP"/>
        </w:rPr>
        <w:t xml:space="preserve">(as needed) </w:t>
      </w:r>
      <w:r w:rsidRPr="0083001C">
        <w:rPr>
          <w:lang w:eastAsia="ja-JP"/>
        </w:rPr>
        <w:t xml:space="preserve">your Data Rights Template may result in Leapfrog pulling incorrect data for your </w:t>
      </w:r>
      <w:r w:rsidR="00261D05">
        <w:rPr>
          <w:lang w:eastAsia="ja-JP"/>
        </w:rPr>
        <w:t>hospital</w:t>
      </w:r>
      <w:r>
        <w:rPr>
          <w:lang w:eastAsia="ja-JP"/>
        </w:rPr>
        <w:t>.</w:t>
      </w:r>
    </w:p>
    <w:bookmarkEnd w:id="667"/>
    <w:p w14:paraId="4F60AE64" w14:textId="47D28951" w:rsidR="006F2901" w:rsidRPr="0083001C" w:rsidRDefault="006F2901" w:rsidP="00AD309C">
      <w:pPr>
        <w:pStyle w:val="ListParagraph"/>
        <w:numPr>
          <w:ilvl w:val="0"/>
          <w:numId w:val="267"/>
        </w:numPr>
        <w:rPr>
          <w:lang w:eastAsia="ja-JP"/>
        </w:rPr>
      </w:pPr>
      <w:r w:rsidRPr="0083001C">
        <w:rPr>
          <w:lang w:eastAsia="ja-JP"/>
        </w:rPr>
        <w:t>Instructions</w:t>
      </w:r>
      <w:r>
        <w:rPr>
          <w:lang w:eastAsia="ja-JP"/>
        </w:rPr>
        <w:t xml:space="preserve"> for reviewing and accepting the Data Rights Template are available </w:t>
      </w:r>
      <w:hyperlink r:id="rId422" w:history="1">
        <w:r w:rsidRPr="002C6747">
          <w:rPr>
            <w:rStyle w:val="Hyperlink"/>
            <w:lang w:eastAsia="ja-JP"/>
          </w:rPr>
          <w:t>here</w:t>
        </w:r>
      </w:hyperlink>
      <w:r w:rsidR="00174828">
        <w:t xml:space="preserve"> in the </w:t>
      </w:r>
      <w:r w:rsidRPr="0083001C">
        <w:t>“</w:t>
      </w:r>
      <w:r w:rsidR="007C69A0">
        <w:t>N</w:t>
      </w:r>
      <w:r w:rsidRPr="0083001C">
        <w:t xml:space="preserve">HSN </w:t>
      </w:r>
      <w:r w:rsidR="007C69A0">
        <w:t xml:space="preserve">Guidance: Join the </w:t>
      </w:r>
      <w:r w:rsidRPr="0083001C">
        <w:t>Group</w:t>
      </w:r>
      <w:r w:rsidR="007C69A0">
        <w:t>,</w:t>
      </w:r>
      <w:r w:rsidRPr="0083001C">
        <w:t xml:space="preserve"> </w:t>
      </w:r>
      <w:r w:rsidR="00B771B4">
        <w:t xml:space="preserve">Review/Accept </w:t>
      </w:r>
      <w:r w:rsidRPr="0083001C">
        <w:t>Data Rights Template</w:t>
      </w:r>
      <w:r w:rsidR="007C69A0">
        <w:t>, and Download Reports</w:t>
      </w:r>
      <w:r w:rsidRPr="0083001C">
        <w:t>”</w:t>
      </w:r>
      <w:r w:rsidR="00174828">
        <w:t xml:space="preserve"> document.</w:t>
      </w:r>
    </w:p>
    <w:p w14:paraId="4B0F23FE" w14:textId="77777777" w:rsidR="006F2901" w:rsidRPr="00CC1D4D" w:rsidRDefault="006F2901" w:rsidP="00CE5714">
      <w:pPr>
        <w:rPr>
          <w:lang w:eastAsia="ja-JP"/>
        </w:rPr>
      </w:pPr>
    </w:p>
    <w:p w14:paraId="1EE4B62B" w14:textId="77777777" w:rsidR="006F2901" w:rsidRPr="00A90AE6" w:rsidRDefault="006F2901" w:rsidP="00AD309C">
      <w:pPr>
        <w:pStyle w:val="Heading44"/>
        <w:numPr>
          <w:ilvl w:val="0"/>
          <w:numId w:val="268"/>
        </w:numPr>
        <w:rPr>
          <w:sz w:val="20"/>
          <w:lang w:eastAsia="ja-JP"/>
        </w:rPr>
      </w:pPr>
      <w:r w:rsidRPr="00A90AE6">
        <w:rPr>
          <w:sz w:val="20"/>
          <w:lang w:eastAsia="ja-JP"/>
        </w:rPr>
        <w:t xml:space="preserve">Generate datasets and download reports within NHSN on the same day as Leapfrog </w:t>
      </w:r>
    </w:p>
    <w:p w14:paraId="472D62DE" w14:textId="04910A90" w:rsidR="006F2901" w:rsidRPr="00263D83" w:rsidRDefault="006F2901" w:rsidP="00AD309C">
      <w:pPr>
        <w:pStyle w:val="ListParagraph"/>
        <w:numPr>
          <w:ilvl w:val="0"/>
          <w:numId w:val="269"/>
        </w:numPr>
        <w:rPr>
          <w:b/>
          <w:lang w:eastAsia="ja-JP"/>
        </w:rPr>
      </w:pPr>
      <w:r w:rsidRPr="00263D83">
        <w:rPr>
          <w:lang w:eastAsia="ja-JP"/>
        </w:rPr>
        <w:t xml:space="preserve">All hospitals are required </w:t>
      </w:r>
      <w:r w:rsidR="00C14D49" w:rsidRPr="00263D83">
        <w:rPr>
          <w:lang w:eastAsia="ja-JP"/>
        </w:rPr>
        <w:t xml:space="preserve">to </w:t>
      </w:r>
      <w:r w:rsidRPr="00263D83">
        <w:rPr>
          <w:lang w:eastAsia="ja-JP"/>
        </w:rPr>
        <w:t>(a) generate datasets within NHSN, (b) download CMS I</w:t>
      </w:r>
      <w:r w:rsidR="007008F0" w:rsidRPr="00263D83">
        <w:rPr>
          <w:lang w:eastAsia="ja-JP"/>
        </w:rPr>
        <w:t>PPS</w:t>
      </w:r>
      <w:r w:rsidRPr="00263D83">
        <w:rPr>
          <w:lang w:eastAsia="ja-JP"/>
        </w:rPr>
        <w:t xml:space="preserve"> reports, and (c)</w:t>
      </w:r>
      <w:r w:rsidR="008110E0" w:rsidRPr="00263D83">
        <w:rPr>
          <w:lang w:eastAsia="ja-JP"/>
        </w:rPr>
        <w:t xml:space="preserve"> </w:t>
      </w:r>
      <w:r w:rsidRPr="00263D83">
        <w:rPr>
          <w:lang w:eastAsia="ja-JP"/>
        </w:rPr>
        <w:t xml:space="preserve">download a copy of your </w:t>
      </w:r>
      <w:r w:rsidR="003E6FC0" w:rsidRPr="00263D83">
        <w:rPr>
          <w:lang w:eastAsia="ja-JP"/>
        </w:rPr>
        <w:t>20</w:t>
      </w:r>
      <w:r w:rsidR="00CA2BB3" w:rsidRPr="00263D83">
        <w:rPr>
          <w:lang w:eastAsia="ja-JP"/>
        </w:rPr>
        <w:t>2</w:t>
      </w:r>
      <w:r w:rsidR="00FD0767">
        <w:rPr>
          <w:lang w:eastAsia="ja-JP"/>
        </w:rPr>
        <w:t>5</w:t>
      </w:r>
      <w:r w:rsidRPr="00263D83">
        <w:rPr>
          <w:lang w:eastAsia="ja-JP"/>
        </w:rPr>
        <w:t xml:space="preserve"> Patient Safety Component - Annual Hospital Survey from NHSN on the </w:t>
      </w:r>
      <w:hyperlink w:anchor="NHSN_datapulldates" w:history="1">
        <w:r w:rsidRPr="00263D83">
          <w:rPr>
            <w:rStyle w:val="Hyperlink"/>
            <w:b/>
            <w:lang w:eastAsia="ja-JP"/>
          </w:rPr>
          <w:t>same day</w:t>
        </w:r>
      </w:hyperlink>
      <w:r w:rsidRPr="00263D83">
        <w:rPr>
          <w:b/>
          <w:lang w:eastAsia="ja-JP"/>
        </w:rPr>
        <w:t xml:space="preserve"> </w:t>
      </w:r>
      <w:r w:rsidRPr="00263D83">
        <w:rPr>
          <w:lang w:eastAsia="ja-JP"/>
        </w:rPr>
        <w:t xml:space="preserve">that Leapfrog will be downloading the data from NHSN for all current group members. </w:t>
      </w:r>
    </w:p>
    <w:p w14:paraId="3336B0EC" w14:textId="247E2F6A" w:rsidR="006F2901" w:rsidRPr="00263D83" w:rsidRDefault="006F2901" w:rsidP="00AD309C">
      <w:pPr>
        <w:pStyle w:val="ListParagraph"/>
        <w:numPr>
          <w:ilvl w:val="0"/>
          <w:numId w:val="269"/>
        </w:numPr>
        <w:rPr>
          <w:lang w:eastAsia="ja-JP"/>
        </w:rPr>
      </w:pPr>
      <w:r w:rsidRPr="00263D83">
        <w:rPr>
          <w:lang w:eastAsia="ja-JP"/>
        </w:rPr>
        <w:t>Instructions for generating datasets and d</w:t>
      </w:r>
      <w:r w:rsidR="00416C61" w:rsidRPr="00263D83">
        <w:rPr>
          <w:lang w:eastAsia="ja-JP"/>
        </w:rPr>
        <w:t>ownloading these reports from N</w:t>
      </w:r>
      <w:r w:rsidRPr="00263D83">
        <w:rPr>
          <w:lang w:eastAsia="ja-JP"/>
        </w:rPr>
        <w:t>H</w:t>
      </w:r>
      <w:r w:rsidR="00416C61" w:rsidRPr="00263D83">
        <w:rPr>
          <w:lang w:eastAsia="ja-JP"/>
        </w:rPr>
        <w:t>S</w:t>
      </w:r>
      <w:r w:rsidRPr="00263D83">
        <w:rPr>
          <w:lang w:eastAsia="ja-JP"/>
        </w:rPr>
        <w:t xml:space="preserve">N are available </w:t>
      </w:r>
      <w:hyperlink r:id="rId423" w:history="1">
        <w:r w:rsidRPr="00263D83">
          <w:rPr>
            <w:rStyle w:val="Hyperlink"/>
            <w:lang w:eastAsia="ja-JP"/>
          </w:rPr>
          <w:t>here</w:t>
        </w:r>
      </w:hyperlink>
      <w:r w:rsidR="00174828" w:rsidRPr="00263D83">
        <w:t xml:space="preserve"> </w:t>
      </w:r>
      <w:r w:rsidR="00174828" w:rsidRPr="00263D83">
        <w:rPr>
          <w:lang w:eastAsia="ja-JP"/>
        </w:rPr>
        <w:t>in the</w:t>
      </w:r>
      <w:r w:rsidRPr="00263D83">
        <w:t xml:space="preserve"> “</w:t>
      </w:r>
      <w:r w:rsidR="007C69A0" w:rsidRPr="00263D83">
        <w:t xml:space="preserve">NHSN Guidance: Join the Group, </w:t>
      </w:r>
      <w:r w:rsidR="00D40420" w:rsidRPr="00263D83">
        <w:t xml:space="preserve">Review/Accept </w:t>
      </w:r>
      <w:r w:rsidR="007C69A0" w:rsidRPr="00263D83">
        <w:t>Data Rights Template, and Download Reports</w:t>
      </w:r>
      <w:r w:rsidRPr="00263D83">
        <w:t>”</w:t>
      </w:r>
      <w:r w:rsidR="00174828" w:rsidRPr="00263D83">
        <w:t xml:space="preserve"> document. </w:t>
      </w:r>
    </w:p>
    <w:p w14:paraId="542E1225" w14:textId="6F0F82D4" w:rsidR="006F2901" w:rsidRPr="00263D83" w:rsidRDefault="006F2901" w:rsidP="00AD309C">
      <w:pPr>
        <w:pStyle w:val="ListParagraph"/>
        <w:numPr>
          <w:ilvl w:val="0"/>
          <w:numId w:val="269"/>
        </w:numPr>
        <w:rPr>
          <w:lang w:eastAsia="ja-JP"/>
        </w:rPr>
      </w:pPr>
      <w:r w:rsidRPr="00263D83">
        <w:rPr>
          <w:lang w:eastAsia="ja-JP"/>
        </w:rPr>
        <w:t xml:space="preserve">NHSN data download dates are listed in the “Deadlines and Reporting Periods” table below (please note that there are </w:t>
      </w:r>
      <w:r w:rsidR="00174828" w:rsidRPr="00263D83">
        <w:rPr>
          <w:lang w:eastAsia="ja-JP"/>
        </w:rPr>
        <w:t>four</w:t>
      </w:r>
      <w:r w:rsidRPr="00263D83">
        <w:rPr>
          <w:lang w:eastAsia="ja-JP"/>
        </w:rPr>
        <w:t xml:space="preserve"> NHSN </w:t>
      </w:r>
      <w:r w:rsidR="00FA32C0" w:rsidRPr="00263D83">
        <w:rPr>
          <w:lang w:eastAsia="ja-JP"/>
        </w:rPr>
        <w:t xml:space="preserve">data </w:t>
      </w:r>
      <w:r w:rsidR="005A321B" w:rsidRPr="00263D83">
        <w:rPr>
          <w:lang w:eastAsia="ja-JP"/>
        </w:rPr>
        <w:t>download</w:t>
      </w:r>
      <w:r w:rsidRPr="00263D83">
        <w:rPr>
          <w:lang w:eastAsia="ja-JP"/>
        </w:rPr>
        <w:t xml:space="preserve"> dates per Survey Cycle)</w:t>
      </w:r>
      <w:r w:rsidR="00E47F2E" w:rsidRPr="00263D83">
        <w:rPr>
          <w:lang w:eastAsia="ja-JP"/>
        </w:rPr>
        <w:t>.</w:t>
      </w:r>
    </w:p>
    <w:p w14:paraId="067AE911" w14:textId="733D8C2D" w:rsidR="006F2901" w:rsidRPr="00263D83" w:rsidRDefault="006F2901" w:rsidP="00AD309C">
      <w:pPr>
        <w:pStyle w:val="ListParagraph"/>
        <w:numPr>
          <w:ilvl w:val="0"/>
          <w:numId w:val="269"/>
        </w:numPr>
        <w:rPr>
          <w:lang w:eastAsia="ja-JP"/>
        </w:rPr>
      </w:pPr>
      <w:r w:rsidRPr="00263D83">
        <w:rPr>
          <w:lang w:eastAsia="ja-JP"/>
        </w:rPr>
        <w:t xml:space="preserve">By generating datasets and downloading reports within NHSN on the same day as Leapfrog, hospitals </w:t>
      </w:r>
      <w:r w:rsidR="00174828" w:rsidRPr="00263D83">
        <w:rPr>
          <w:lang w:eastAsia="ja-JP"/>
        </w:rPr>
        <w:t>can confirm</w:t>
      </w:r>
      <w:r w:rsidRPr="00263D83">
        <w:rPr>
          <w:lang w:eastAsia="ja-JP"/>
        </w:rPr>
        <w:t xml:space="preserve"> that the</w:t>
      </w:r>
      <w:r w:rsidR="00174828" w:rsidRPr="00263D83">
        <w:rPr>
          <w:lang w:eastAsia="ja-JP"/>
        </w:rPr>
        <w:t>ir</w:t>
      </w:r>
      <w:r w:rsidRPr="00263D83">
        <w:rPr>
          <w:lang w:eastAsia="ja-JP"/>
        </w:rPr>
        <w:t xml:space="preserve"> data matches </w:t>
      </w:r>
      <w:r w:rsidR="00174828" w:rsidRPr="00263D83">
        <w:rPr>
          <w:lang w:eastAsia="ja-JP"/>
        </w:rPr>
        <w:t xml:space="preserve">the data </w:t>
      </w:r>
      <w:r w:rsidRPr="00263D83">
        <w:rPr>
          <w:lang w:eastAsia="ja-JP"/>
        </w:rPr>
        <w:t>Leapfrog has obtained.</w:t>
      </w:r>
    </w:p>
    <w:p w14:paraId="344BD990" w14:textId="77777777" w:rsidR="006F2901" w:rsidRDefault="006F2901" w:rsidP="00AD309C">
      <w:pPr>
        <w:pStyle w:val="ListParagraph"/>
        <w:numPr>
          <w:ilvl w:val="0"/>
          <w:numId w:val="269"/>
        </w:numPr>
        <w:rPr>
          <w:lang w:eastAsia="ja-JP"/>
        </w:rPr>
      </w:pPr>
      <w:r w:rsidRPr="00263D83">
        <w:rPr>
          <w:lang w:eastAsia="ja-JP"/>
        </w:rPr>
        <w:t>If hospitals do not generate datasets and download reports on the same day as Leapfrog, the Help Desk will not review any discrepancies.</w:t>
      </w:r>
    </w:p>
    <w:p w14:paraId="11BB8693" w14:textId="68F4885D" w:rsidR="005D6A20" w:rsidRPr="00263D83" w:rsidRDefault="005D6A20" w:rsidP="009600D3">
      <w:pPr>
        <w:pStyle w:val="ListParagraph"/>
        <w:numPr>
          <w:ilvl w:val="0"/>
          <w:numId w:val="269"/>
        </w:numPr>
        <w:rPr>
          <w:lang w:eastAsia="ja-JP"/>
        </w:rPr>
      </w:pPr>
      <w:r w:rsidRPr="00D971B2">
        <w:rPr>
          <w:color w:val="EE0000"/>
        </w:rPr>
        <w:t>Note that Leapfrog anticipates downloading and using 2015 Baseline CMS IPPS Reports in the first two NHSN data downloads (June and August), then 2022 Baseline CMS IPPS Reports in the next two NHSN data downloads (October and December). However, this plan is subject to CMS’ actual rollout of the new baseline on Care Compare</w:t>
      </w:r>
      <w:r w:rsidRPr="00B760C9">
        <w:t>.</w:t>
      </w:r>
    </w:p>
    <w:p w14:paraId="5CE63F7B" w14:textId="77777777" w:rsidR="006F2901" w:rsidRPr="00263D83" w:rsidRDefault="006F2901" w:rsidP="00CE5714">
      <w:pPr>
        <w:pStyle w:val="ListParagraph"/>
        <w:ind w:left="1080"/>
        <w:rPr>
          <w:lang w:eastAsia="ja-JP"/>
        </w:rPr>
      </w:pPr>
    </w:p>
    <w:p w14:paraId="081E272E" w14:textId="34D36EB8" w:rsidR="006F2901" w:rsidRPr="00A90AE6" w:rsidRDefault="006F2901" w:rsidP="00AD309C">
      <w:pPr>
        <w:pStyle w:val="Heading44"/>
        <w:numPr>
          <w:ilvl w:val="0"/>
          <w:numId w:val="270"/>
        </w:numPr>
        <w:rPr>
          <w:sz w:val="20"/>
          <w:lang w:eastAsia="ja-JP"/>
        </w:rPr>
      </w:pPr>
      <w:r w:rsidRPr="00A90AE6">
        <w:rPr>
          <w:sz w:val="20"/>
        </w:rPr>
        <w:t>Review SIRs</w:t>
      </w:r>
    </w:p>
    <w:p w14:paraId="07D1CCDB" w14:textId="250226CB" w:rsidR="006F2901" w:rsidRPr="00263D83" w:rsidRDefault="006F2901" w:rsidP="00AD309C">
      <w:pPr>
        <w:pStyle w:val="ListParagraph"/>
        <w:numPr>
          <w:ilvl w:val="0"/>
          <w:numId w:val="271"/>
        </w:numPr>
        <w:rPr>
          <w:lang w:eastAsia="ja-JP"/>
        </w:rPr>
      </w:pPr>
      <w:r w:rsidRPr="00263D83">
        <w:rPr>
          <w:lang w:eastAsia="ja-JP"/>
        </w:rPr>
        <w:t xml:space="preserve">For verification purposes, hospitals are required to </w:t>
      </w:r>
      <w:r w:rsidR="005A321B" w:rsidRPr="00263D83">
        <w:rPr>
          <w:lang w:eastAsia="ja-JP"/>
        </w:rPr>
        <w:t>download</w:t>
      </w:r>
      <w:r w:rsidRPr="00263D83">
        <w:rPr>
          <w:lang w:eastAsia="ja-JP"/>
        </w:rPr>
        <w:t xml:space="preserve"> reports from NHSN on the </w:t>
      </w:r>
      <w:hyperlink w:anchor="NHSN_datapulldates" w:history="1">
        <w:r w:rsidRPr="00263D83">
          <w:rPr>
            <w:rStyle w:val="Hyperlink"/>
            <w:b/>
            <w:lang w:eastAsia="ja-JP"/>
          </w:rPr>
          <w:t>same day</w:t>
        </w:r>
      </w:hyperlink>
      <w:r w:rsidR="00807A86" w:rsidRPr="00263D83">
        <w:rPr>
          <w:lang w:eastAsia="ja-JP"/>
        </w:rPr>
        <w:t>,</w:t>
      </w:r>
      <w:r w:rsidR="003217A6" w:rsidRPr="00263D83">
        <w:rPr>
          <w:lang w:eastAsia="ja-JP"/>
        </w:rPr>
        <w:t xml:space="preserve"> </w:t>
      </w:r>
      <w:r w:rsidRPr="00263D83">
        <w:rPr>
          <w:lang w:eastAsia="ja-JP"/>
        </w:rPr>
        <w:t>as described above.</w:t>
      </w:r>
    </w:p>
    <w:p w14:paraId="16ACA96E" w14:textId="385AF38F" w:rsidR="006F2901" w:rsidRPr="00263D83" w:rsidRDefault="006F2901" w:rsidP="00AD309C">
      <w:pPr>
        <w:pStyle w:val="ListParagraph"/>
        <w:numPr>
          <w:ilvl w:val="0"/>
          <w:numId w:val="271"/>
        </w:numPr>
        <w:rPr>
          <w:rStyle w:val="Hyperlink"/>
          <w:color w:val="auto"/>
          <w:u w:val="none"/>
          <w:lang w:eastAsia="ja-JP"/>
        </w:rPr>
      </w:pPr>
      <w:r w:rsidRPr="00263D83">
        <w:rPr>
          <w:lang w:eastAsia="ja-JP"/>
        </w:rPr>
        <w:t xml:space="preserve">Once Leapfrog has published the healthcare-associated infection Survey Results on the </w:t>
      </w:r>
      <w:hyperlink r:id="rId424" w:history="1">
        <w:r w:rsidRPr="00263D83">
          <w:rPr>
            <w:rStyle w:val="Hyperlink"/>
          </w:rPr>
          <w:t>Hospital Details Page</w:t>
        </w:r>
      </w:hyperlink>
      <w:r w:rsidRPr="00263D83">
        <w:rPr>
          <w:rStyle w:val="Hyperlink"/>
          <w:color w:val="auto"/>
          <w:u w:val="none"/>
        </w:rPr>
        <w:t xml:space="preserve">, hospitals are urged to compare the Survey Results to their NHSN reports that were pulled on the </w:t>
      </w:r>
      <w:hyperlink w:anchor="NHSN_datapulldates" w:history="1">
        <w:r w:rsidRPr="00263D83">
          <w:rPr>
            <w:rStyle w:val="Hyperlink"/>
          </w:rPr>
          <w:t>same day</w:t>
        </w:r>
      </w:hyperlink>
      <w:r w:rsidRPr="00263D83">
        <w:rPr>
          <w:rStyle w:val="Hyperlink"/>
          <w:color w:val="auto"/>
          <w:u w:val="none"/>
        </w:rPr>
        <w:t xml:space="preserve"> as Leapfrog. </w:t>
      </w:r>
    </w:p>
    <w:p w14:paraId="78EC9974" w14:textId="77777777" w:rsidR="006F2901" w:rsidRDefault="006F2901" w:rsidP="00AD309C">
      <w:pPr>
        <w:pStyle w:val="ListParagraph"/>
        <w:numPr>
          <w:ilvl w:val="0"/>
          <w:numId w:val="271"/>
        </w:numPr>
        <w:rPr>
          <w:lang w:eastAsia="ja-JP"/>
        </w:rPr>
      </w:pPr>
      <w:r w:rsidRPr="00263D83">
        <w:lastRenderedPageBreak/>
        <w:t>Dates on which the Survey</w:t>
      </w:r>
      <w:r>
        <w:t xml:space="preserve"> Results will be available on the Hospital Details page are listed in the “Deadlines and Reporting Periods” table below. </w:t>
      </w:r>
    </w:p>
    <w:p w14:paraId="5A149E3A" w14:textId="77777777" w:rsidR="00FF1F80" w:rsidRPr="00CC1D4D" w:rsidRDefault="00FF1F80" w:rsidP="00CE5714">
      <w:pPr>
        <w:pStyle w:val="ListParagraph"/>
        <w:ind w:left="360"/>
        <w:rPr>
          <w:lang w:eastAsia="ja-JP"/>
        </w:rPr>
      </w:pPr>
    </w:p>
    <w:p w14:paraId="3D297F90" w14:textId="77777777" w:rsidR="006F2901" w:rsidRPr="00A90AE6" w:rsidRDefault="006F2901" w:rsidP="00AD309C">
      <w:pPr>
        <w:pStyle w:val="Heading44"/>
        <w:numPr>
          <w:ilvl w:val="0"/>
          <w:numId w:val="272"/>
        </w:numPr>
        <w:rPr>
          <w:sz w:val="20"/>
          <w:lang w:eastAsia="ja-JP"/>
        </w:rPr>
      </w:pPr>
      <w:r w:rsidRPr="00A90AE6">
        <w:rPr>
          <w:sz w:val="20"/>
          <w:lang w:eastAsia="ja-JP"/>
        </w:rPr>
        <w:t>Report discrepancies</w:t>
      </w:r>
    </w:p>
    <w:p w14:paraId="579373B3" w14:textId="5AB33FA0" w:rsidR="006F2901" w:rsidRDefault="006F2901" w:rsidP="000D0069">
      <w:pPr>
        <w:ind w:left="360"/>
        <w:rPr>
          <w:lang w:eastAsia="ja-JP"/>
        </w:rPr>
      </w:pPr>
      <w:r>
        <w:rPr>
          <w:lang w:eastAsia="ja-JP"/>
        </w:rPr>
        <w:t xml:space="preserve">If, while comparing your NHSN reports to your Leapfrog Hospital Survey Results, you find a discrepancy, you must contact Leapfrog’s </w:t>
      </w:r>
      <w:hyperlink r:id="rId425" w:history="1">
        <w:r w:rsidRPr="005F772A">
          <w:rPr>
            <w:rStyle w:val="Hyperlink"/>
            <w:lang w:eastAsia="ja-JP"/>
          </w:rPr>
          <w:t>Help Desk</w:t>
        </w:r>
      </w:hyperlink>
      <w:r>
        <w:rPr>
          <w:lang w:eastAsia="ja-JP"/>
        </w:rPr>
        <w:t xml:space="preserve"> immediately. If you do not contact Leapfrog by the </w:t>
      </w:r>
      <w:r w:rsidRPr="000D0069">
        <w:rPr>
          <w:b/>
          <w:lang w:eastAsia="ja-JP"/>
        </w:rPr>
        <w:t xml:space="preserve">end of the month </w:t>
      </w:r>
      <w:r w:rsidRPr="005F772A">
        <w:rPr>
          <w:lang w:eastAsia="ja-JP"/>
        </w:rPr>
        <w:t xml:space="preserve">in </w:t>
      </w:r>
      <w:r>
        <w:rPr>
          <w:lang w:eastAsia="ja-JP"/>
        </w:rPr>
        <w:t xml:space="preserve">which scored results are </w:t>
      </w:r>
      <w:hyperlink w:anchor="NHSN_HospDetailsPage" w:history="1">
        <w:r w:rsidRPr="005F772A">
          <w:rPr>
            <w:rStyle w:val="Hyperlink"/>
            <w:lang w:eastAsia="ja-JP"/>
          </w:rPr>
          <w:t>available</w:t>
        </w:r>
      </w:hyperlink>
      <w:r>
        <w:rPr>
          <w:lang w:eastAsia="ja-JP"/>
        </w:rPr>
        <w:t xml:space="preserve"> on your Hospital Details Page (i.e., </w:t>
      </w:r>
      <w:r w:rsidR="001116F9">
        <w:rPr>
          <w:lang w:eastAsia="ja-JP"/>
        </w:rPr>
        <w:t>July</w:t>
      </w:r>
      <w:r w:rsidR="007C69A0">
        <w:rPr>
          <w:lang w:eastAsia="ja-JP"/>
        </w:rPr>
        <w:t>,</w:t>
      </w:r>
      <w:r w:rsidR="00CA2BB3">
        <w:rPr>
          <w:lang w:eastAsia="ja-JP"/>
        </w:rPr>
        <w:t xml:space="preserve"> </w:t>
      </w:r>
      <w:r>
        <w:rPr>
          <w:lang w:eastAsia="ja-JP"/>
        </w:rPr>
        <w:t>September, November, and January, respectively), the issue will not be investigated by the Help Desk.</w:t>
      </w:r>
    </w:p>
    <w:p w14:paraId="399B98A8" w14:textId="77777777" w:rsidR="00174828" w:rsidRPr="008D611A" w:rsidRDefault="00174828" w:rsidP="0002601E">
      <w:pPr>
        <w:rPr>
          <w:lang w:eastAsia="ja-JP"/>
        </w:rPr>
      </w:pPr>
    </w:p>
    <w:p w14:paraId="4ECA88D9" w14:textId="616165B6" w:rsidR="006F2901" w:rsidRPr="00FF1F80" w:rsidRDefault="006F2901" w:rsidP="00AB5B80">
      <w:pPr>
        <w:pStyle w:val="Heading3"/>
      </w:pPr>
      <w:bookmarkStart w:id="669" w:name="_Deadlines_and_Reporting_1"/>
      <w:bookmarkStart w:id="670" w:name="_Toc225877815"/>
      <w:bookmarkEnd w:id="669"/>
      <w:r w:rsidRPr="00FF1F80">
        <w:t>Deadlines and Reporting Periods</w:t>
      </w:r>
      <w:bookmarkEnd w:id="670"/>
    </w:p>
    <w:p w14:paraId="4AF0B91C" w14:textId="77777777" w:rsidR="006F2901" w:rsidRPr="006A36F7" w:rsidRDefault="006F2901" w:rsidP="006F2901">
      <w:pPr>
        <w:rPr>
          <w:rFonts w:cs="Arial"/>
        </w:rPr>
      </w:pPr>
    </w:p>
    <w:tbl>
      <w:tblPr>
        <w:tblStyle w:val="LightList-Accent31"/>
        <w:tblW w:w="6348" w:type="pct"/>
        <w:tblInd w:w="-126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5"/>
        <w:gridCol w:w="1705"/>
        <w:gridCol w:w="1800"/>
        <w:gridCol w:w="2521"/>
        <w:gridCol w:w="2070"/>
        <w:gridCol w:w="2070"/>
      </w:tblGrid>
      <w:tr w:rsidR="0007371C" w:rsidRPr="006A36F7" w14:paraId="5D560AB4" w14:textId="77777777" w:rsidTr="0007371C">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718" w:type="pct"/>
            <w:shd w:val="clear" w:color="auto" w:fill="213468"/>
          </w:tcPr>
          <w:p w14:paraId="5AF0A85D" w14:textId="5CBDC941" w:rsidR="0007371C" w:rsidRPr="0007371C" w:rsidRDefault="0007371C" w:rsidP="00FE7044">
            <w:pPr>
              <w:rPr>
                <w:rFonts w:cs="Arial"/>
                <w:sz w:val="20"/>
                <w:szCs w:val="20"/>
              </w:rPr>
            </w:pPr>
            <w:r w:rsidRPr="0007371C">
              <w:rPr>
                <w:rFonts w:cs="Arial"/>
                <w:sz w:val="20"/>
                <w:szCs w:val="20"/>
              </w:rPr>
              <w:t>Join</w:t>
            </w:r>
            <w:r>
              <w:rPr>
                <w:rFonts w:cs="Arial"/>
                <w:sz w:val="20"/>
                <w:szCs w:val="20"/>
              </w:rPr>
              <w:t xml:space="preserve"> By Date for Leapfrog’s NHSN Group</w:t>
            </w:r>
          </w:p>
        </w:tc>
        <w:tc>
          <w:tcPr>
            <w:tcW w:w="718" w:type="pct"/>
            <w:shd w:val="clear" w:color="auto" w:fill="213468"/>
          </w:tcPr>
          <w:p w14:paraId="3F4F5F2E" w14:textId="0E908FFD" w:rsidR="0007371C" w:rsidRPr="006A36F7" w:rsidRDefault="0007371C" w:rsidP="00FE7044">
            <w:pPr>
              <w:cnfStyle w:val="100000000000" w:firstRow="1" w:lastRow="0" w:firstColumn="0" w:lastColumn="0" w:oddVBand="0" w:evenVBand="0" w:oddHBand="0" w:evenHBand="0" w:firstRowFirstColumn="0" w:firstRowLastColumn="0" w:lastRowFirstColumn="0" w:lastRowLastColumn="0"/>
              <w:rPr>
                <w:rFonts w:cs="Arial"/>
              </w:rPr>
            </w:pPr>
            <w:r w:rsidRPr="0030607B">
              <w:rPr>
                <w:rFonts w:cs="Arial"/>
                <w:sz w:val="20"/>
                <w:szCs w:val="20"/>
              </w:rPr>
              <w:t>NHSN Download Date</w:t>
            </w:r>
          </w:p>
        </w:tc>
        <w:tc>
          <w:tcPr>
            <w:tcW w:w="758" w:type="pct"/>
            <w:shd w:val="clear" w:color="auto" w:fill="213468"/>
          </w:tcPr>
          <w:p w14:paraId="63032D05" w14:textId="587CDA7A" w:rsidR="0007371C" w:rsidRPr="006A36F7" w:rsidRDefault="0007371C" w:rsidP="00FE7044">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30607B">
              <w:rPr>
                <w:rFonts w:cs="Arial"/>
                <w:sz w:val="20"/>
                <w:szCs w:val="20"/>
              </w:rPr>
              <w:t>NHSN Baseline</w:t>
            </w:r>
          </w:p>
        </w:tc>
        <w:tc>
          <w:tcPr>
            <w:tcW w:w="1062" w:type="pct"/>
            <w:shd w:val="clear" w:color="auto" w:fill="213468"/>
          </w:tcPr>
          <w:p w14:paraId="0BE2F355" w14:textId="48D65D60" w:rsidR="0007371C" w:rsidRPr="006A36F7" w:rsidRDefault="0007371C" w:rsidP="00FE7044">
            <w:pPr>
              <w:cnfStyle w:val="100000000000" w:firstRow="1" w:lastRow="0" w:firstColumn="0" w:lastColumn="0" w:oddVBand="0" w:evenVBand="0" w:oddHBand="0" w:evenHBand="0" w:firstRowFirstColumn="0" w:firstRowLastColumn="0" w:lastRowFirstColumn="0" w:lastRowLastColumn="0"/>
              <w:rPr>
                <w:rFonts w:cs="Arial"/>
              </w:rPr>
            </w:pPr>
            <w:r w:rsidRPr="0030607B">
              <w:rPr>
                <w:rFonts w:cs="Arial"/>
                <w:sz w:val="20"/>
                <w:szCs w:val="20"/>
              </w:rPr>
              <w:t>HAI Reporting Period</w:t>
            </w:r>
          </w:p>
        </w:tc>
        <w:tc>
          <w:tcPr>
            <w:tcW w:w="872" w:type="pct"/>
            <w:shd w:val="clear" w:color="auto" w:fill="213468"/>
          </w:tcPr>
          <w:p w14:paraId="1C9DC78B" w14:textId="62C90AA8" w:rsidR="0007371C" w:rsidRPr="006A36F7" w:rsidRDefault="0007371C" w:rsidP="00FE7044">
            <w:pPr>
              <w:cnfStyle w:val="100000000000" w:firstRow="1" w:lastRow="0" w:firstColumn="0" w:lastColumn="0" w:oddVBand="0" w:evenVBand="0" w:oddHBand="0" w:evenHBand="0" w:firstRowFirstColumn="0" w:firstRowLastColumn="0" w:lastRowFirstColumn="0" w:lastRowLastColumn="0"/>
              <w:rPr>
                <w:rFonts w:cs="Arial"/>
              </w:rPr>
            </w:pPr>
            <w:r w:rsidRPr="0030607B">
              <w:rPr>
                <w:rFonts w:cs="Arial"/>
                <w:sz w:val="20"/>
                <w:szCs w:val="20"/>
              </w:rPr>
              <w:t>Leapfrog Survey Submission Date</w:t>
            </w:r>
          </w:p>
        </w:tc>
        <w:tc>
          <w:tcPr>
            <w:tcW w:w="872" w:type="pct"/>
            <w:shd w:val="clear" w:color="auto" w:fill="213468"/>
          </w:tcPr>
          <w:p w14:paraId="6BFCD3CB" w14:textId="55AAC69E" w:rsidR="0007371C" w:rsidRPr="006A36F7" w:rsidRDefault="0007371C" w:rsidP="00FE7044">
            <w:pPr>
              <w:cnfStyle w:val="100000000000" w:firstRow="1" w:lastRow="0" w:firstColumn="0" w:lastColumn="0" w:oddVBand="0" w:evenVBand="0" w:oddHBand="0" w:evenHBand="0" w:firstRowFirstColumn="0" w:firstRowLastColumn="0" w:lastRowFirstColumn="0" w:lastRowLastColumn="0"/>
              <w:rPr>
                <w:rFonts w:cs="Arial"/>
              </w:rPr>
            </w:pPr>
            <w:r w:rsidRPr="0030607B">
              <w:rPr>
                <w:rFonts w:cs="Arial"/>
                <w:sz w:val="20"/>
                <w:szCs w:val="20"/>
              </w:rPr>
              <w:t>Verify Results</w:t>
            </w:r>
          </w:p>
        </w:tc>
      </w:tr>
      <w:tr w:rsidR="0007371C" w:rsidRPr="006A36F7" w14:paraId="37A1E49D" w14:textId="77777777" w:rsidTr="0007371C">
        <w:trPr>
          <w:cnfStyle w:val="000000100000" w:firstRow="0" w:lastRow="0" w:firstColumn="0" w:lastColumn="0" w:oddVBand="0" w:evenVBand="0" w:oddHBand="1" w:evenHBand="0" w:firstRowFirstColumn="0" w:firstRowLastColumn="0" w:lastRowFirstColumn="0" w:lastRowLastColumn="0"/>
          <w:trHeight w:val="1776"/>
        </w:trPr>
        <w:tc>
          <w:tcPr>
            <w:cnfStyle w:val="001000000000" w:firstRow="0" w:lastRow="0" w:firstColumn="1" w:lastColumn="0" w:oddVBand="0" w:evenVBand="0" w:oddHBand="0" w:evenHBand="0" w:firstRowFirstColumn="0" w:firstRowLastColumn="0" w:lastRowFirstColumn="0" w:lastRowLastColumn="0"/>
            <w:tcW w:w="718" w:type="pct"/>
            <w:shd w:val="clear" w:color="auto" w:fill="213468"/>
          </w:tcPr>
          <w:p w14:paraId="32FB15AF" w14:textId="309CB6A2" w:rsidR="0007371C" w:rsidRPr="0007371C" w:rsidRDefault="0007371C" w:rsidP="003731B5">
            <w:pPr>
              <w:rPr>
                <w:rFonts w:cs="Arial"/>
                <w:b w:val="0"/>
                <w:bCs w:val="0"/>
                <w:i/>
                <w:iCs/>
                <w:color w:val="FFFFFF"/>
                <w:sz w:val="20"/>
                <w:szCs w:val="20"/>
              </w:rPr>
            </w:pPr>
            <w:r>
              <w:rPr>
                <w:rFonts w:cs="Arial"/>
                <w:b w:val="0"/>
                <w:bCs w:val="0"/>
                <w:i/>
                <w:iCs/>
                <w:color w:val="FFFFFF"/>
                <w:sz w:val="20"/>
                <w:szCs w:val="20"/>
              </w:rPr>
              <w:t xml:space="preserve">Hospitals must have joined and completed all required steps by this date </w:t>
            </w:r>
          </w:p>
        </w:tc>
        <w:tc>
          <w:tcPr>
            <w:tcW w:w="718" w:type="pct"/>
            <w:shd w:val="clear" w:color="auto" w:fill="213468"/>
          </w:tcPr>
          <w:p w14:paraId="0FFA3D91" w14:textId="2A9C72D8" w:rsidR="0007371C" w:rsidRPr="00E8602E" w:rsidRDefault="0007371C" w:rsidP="003731B5">
            <w:pPr>
              <w:cnfStyle w:val="000000100000" w:firstRow="0" w:lastRow="0" w:firstColumn="0" w:lastColumn="0" w:oddVBand="0" w:evenVBand="0" w:oddHBand="1" w:evenHBand="0" w:firstRowFirstColumn="0" w:firstRowLastColumn="0" w:lastRowFirstColumn="0" w:lastRowLastColumn="0"/>
              <w:rPr>
                <w:rFonts w:cs="Arial"/>
                <w:b/>
                <w:bCs/>
                <w:sz w:val="20"/>
                <w:szCs w:val="20"/>
              </w:rPr>
            </w:pPr>
            <w:bookmarkStart w:id="671" w:name="NHSN_joinbydates"/>
            <w:r>
              <w:rPr>
                <w:rFonts w:cs="Arial"/>
                <w:i/>
                <w:iCs/>
                <w:color w:val="FFFFFF"/>
                <w:sz w:val="20"/>
                <w:szCs w:val="20"/>
              </w:rPr>
              <w:t>Date Leapfrog Downloads NHSN Data</w:t>
            </w:r>
            <w:bookmarkEnd w:id="671"/>
          </w:p>
        </w:tc>
        <w:tc>
          <w:tcPr>
            <w:tcW w:w="758" w:type="pct"/>
            <w:shd w:val="clear" w:color="auto" w:fill="213468"/>
          </w:tcPr>
          <w:p w14:paraId="0E18A7B7" w14:textId="7D14ADCE" w:rsidR="0007371C" w:rsidRPr="006A36F7" w:rsidRDefault="0007371C" w:rsidP="003731B5">
            <w:pPr>
              <w:cnfStyle w:val="000000100000" w:firstRow="0" w:lastRow="0" w:firstColumn="0" w:lastColumn="0" w:oddVBand="0" w:evenVBand="0" w:oddHBand="1" w:evenHBand="0" w:firstRowFirstColumn="0" w:firstRowLastColumn="0" w:lastRowFirstColumn="0" w:lastRowLastColumn="0"/>
              <w:rPr>
                <w:rFonts w:cs="Arial"/>
                <w:color w:val="C4BC96" w:themeColor="background2" w:themeShade="BF"/>
                <w:sz w:val="20"/>
                <w:szCs w:val="20"/>
              </w:rPr>
            </w:pPr>
            <w:bookmarkStart w:id="672" w:name="NHSN_datapulldates"/>
            <w:r w:rsidRPr="0030607B">
              <w:rPr>
                <w:rFonts w:cs="Arial"/>
                <w:bCs/>
                <w:i/>
                <w:iCs/>
                <w:color w:val="FFFFFF"/>
                <w:sz w:val="20"/>
                <w:szCs w:val="20"/>
              </w:rPr>
              <w:t>Hospitals should download reports with this baseline on the NHSN Download Date</w:t>
            </w:r>
            <w:bookmarkEnd w:id="672"/>
          </w:p>
        </w:tc>
        <w:tc>
          <w:tcPr>
            <w:tcW w:w="1062" w:type="pct"/>
            <w:shd w:val="clear" w:color="auto" w:fill="213468"/>
          </w:tcPr>
          <w:p w14:paraId="62E6C842" w14:textId="1D5CBA70" w:rsidR="0007371C" w:rsidRPr="006A36F7" w:rsidRDefault="0007371C" w:rsidP="003731B5">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30607B">
              <w:rPr>
                <w:rFonts w:cs="Arial"/>
                <w:bCs/>
                <w:i/>
                <w:iCs/>
                <w:color w:val="FFFFFF"/>
                <w:sz w:val="20"/>
                <w:szCs w:val="20"/>
              </w:rPr>
              <w:t>Hospitals should download reports with</w:t>
            </w:r>
            <w:r>
              <w:rPr>
                <w:rFonts w:cs="Arial"/>
                <w:bCs/>
                <w:i/>
                <w:iCs/>
                <w:color w:val="FFFFFF"/>
                <w:sz w:val="20"/>
                <w:szCs w:val="20"/>
              </w:rPr>
              <w:t xml:space="preserve"> this</w:t>
            </w:r>
            <w:r w:rsidRPr="0030607B">
              <w:rPr>
                <w:rFonts w:cs="Arial"/>
                <w:bCs/>
                <w:i/>
                <w:iCs/>
                <w:color w:val="FFFFFF"/>
                <w:sz w:val="20"/>
                <w:szCs w:val="20"/>
              </w:rPr>
              <w:t xml:space="preserve"> reporting period on the NHSN Download Date</w:t>
            </w:r>
          </w:p>
        </w:tc>
        <w:tc>
          <w:tcPr>
            <w:tcW w:w="872" w:type="pct"/>
            <w:shd w:val="clear" w:color="auto" w:fill="213468"/>
          </w:tcPr>
          <w:p w14:paraId="4A9D6F55" w14:textId="4E020CE2" w:rsidR="0007371C" w:rsidRPr="006A36F7" w:rsidRDefault="0007371C" w:rsidP="003731B5">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30607B">
              <w:rPr>
                <w:rFonts w:cs="Arial"/>
                <w:bCs/>
                <w:i/>
                <w:iCs/>
                <w:color w:val="FFFFFF"/>
                <w:sz w:val="20"/>
                <w:szCs w:val="20"/>
              </w:rPr>
              <w:t>HAI data will not be publicly reported if hospitals have not submitted and provided a valid NHSN ID by this date</w:t>
            </w:r>
          </w:p>
        </w:tc>
        <w:tc>
          <w:tcPr>
            <w:tcW w:w="872" w:type="pct"/>
            <w:shd w:val="clear" w:color="auto" w:fill="213468"/>
          </w:tcPr>
          <w:p w14:paraId="63365D30" w14:textId="44BD1ED9" w:rsidR="0007371C" w:rsidRPr="006A36F7" w:rsidRDefault="0007371C" w:rsidP="003731B5">
            <w:pPr>
              <w:cnfStyle w:val="000000100000" w:firstRow="0" w:lastRow="0" w:firstColumn="0" w:lastColumn="0" w:oddVBand="0" w:evenVBand="0" w:oddHBand="1" w:evenHBand="0" w:firstRowFirstColumn="0" w:firstRowLastColumn="0" w:lastRowFirstColumn="0" w:lastRowLastColumn="0"/>
              <w:rPr>
                <w:rFonts w:cs="Arial"/>
                <w:sz w:val="20"/>
                <w:szCs w:val="20"/>
              </w:rPr>
            </w:pPr>
            <w:bookmarkStart w:id="673" w:name="DataRightsTamplate_HospDetailsPage"/>
            <w:bookmarkStart w:id="674" w:name="NHSN_HospDetailsPage"/>
            <w:r w:rsidRPr="0030607B">
              <w:rPr>
                <w:rFonts w:cs="Arial"/>
                <w:bCs/>
                <w:i/>
                <w:iCs/>
                <w:color w:val="FFFFFF"/>
                <w:sz w:val="20"/>
                <w:szCs w:val="20"/>
              </w:rPr>
              <w:t>Data pulled by Leapfrog will be available to review on the Hospital Details Page or Public Reporting Website by these dates</w:t>
            </w:r>
            <w:bookmarkEnd w:id="673"/>
            <w:bookmarkEnd w:id="674"/>
          </w:p>
        </w:tc>
      </w:tr>
      <w:tr w:rsidR="0007371C" w:rsidRPr="006A36F7" w14:paraId="36D82B5C" w14:textId="77777777" w:rsidTr="0007371C">
        <w:trPr>
          <w:trHeight w:val="448"/>
        </w:trPr>
        <w:tc>
          <w:tcPr>
            <w:cnfStyle w:val="001000000000" w:firstRow="0" w:lastRow="0" w:firstColumn="1" w:lastColumn="0" w:oddVBand="0" w:evenVBand="0" w:oddHBand="0" w:evenHBand="0" w:firstRowFirstColumn="0" w:firstRowLastColumn="0" w:lastRowFirstColumn="0" w:lastRowLastColumn="0"/>
            <w:tcW w:w="718" w:type="pct"/>
            <w:vAlign w:val="center"/>
          </w:tcPr>
          <w:p w14:paraId="52EC4577" w14:textId="2C86A0C3" w:rsidR="0007371C" w:rsidRPr="0007371C" w:rsidRDefault="0007371C" w:rsidP="0007371C">
            <w:pPr>
              <w:rPr>
                <w:rFonts w:cs="Arial"/>
                <w:b w:val="0"/>
                <w:bCs w:val="0"/>
                <w:sz w:val="20"/>
                <w:szCs w:val="20"/>
              </w:rPr>
            </w:pPr>
            <w:r>
              <w:rPr>
                <w:rFonts w:cs="Arial"/>
                <w:b w:val="0"/>
                <w:bCs w:val="0"/>
                <w:sz w:val="20"/>
                <w:szCs w:val="20"/>
              </w:rPr>
              <w:t>June 21, 2026</w:t>
            </w:r>
          </w:p>
        </w:tc>
        <w:tc>
          <w:tcPr>
            <w:tcW w:w="718" w:type="pct"/>
            <w:vAlign w:val="center"/>
          </w:tcPr>
          <w:p w14:paraId="58CC1D45" w14:textId="1D4749F0"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b/>
                <w:sz w:val="20"/>
                <w:szCs w:val="20"/>
              </w:rPr>
            </w:pPr>
            <w:r w:rsidRPr="00D10BE7">
              <w:rPr>
                <w:rFonts w:cs="Arial"/>
                <w:sz w:val="20"/>
                <w:szCs w:val="20"/>
              </w:rPr>
              <w:t>June 22, 2026</w:t>
            </w:r>
          </w:p>
        </w:tc>
        <w:tc>
          <w:tcPr>
            <w:tcW w:w="758" w:type="pct"/>
            <w:vAlign w:val="center"/>
          </w:tcPr>
          <w:p w14:paraId="298BCFC9" w14:textId="7A9FABA4"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10BE7">
              <w:rPr>
                <w:rFonts w:cs="Arial"/>
                <w:b/>
                <w:bCs/>
                <w:sz w:val="20"/>
                <w:szCs w:val="20"/>
              </w:rPr>
              <w:t>2015 Baseline</w:t>
            </w:r>
          </w:p>
        </w:tc>
        <w:tc>
          <w:tcPr>
            <w:tcW w:w="1062" w:type="pct"/>
            <w:vAlign w:val="center"/>
          </w:tcPr>
          <w:p w14:paraId="73AF2530" w14:textId="4853BF02"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10BE7">
              <w:rPr>
                <w:rFonts w:cs="Arial"/>
                <w:sz w:val="20"/>
                <w:szCs w:val="20"/>
              </w:rPr>
              <w:t>01/01/2025 – 12/31/2025</w:t>
            </w:r>
          </w:p>
        </w:tc>
        <w:tc>
          <w:tcPr>
            <w:tcW w:w="872" w:type="pct"/>
            <w:vAlign w:val="center"/>
          </w:tcPr>
          <w:p w14:paraId="2132941B" w14:textId="0131B2C6"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10BE7">
              <w:rPr>
                <w:rFonts w:cs="Arial"/>
                <w:sz w:val="20"/>
                <w:szCs w:val="20"/>
              </w:rPr>
              <w:t>June 30, 2026</w:t>
            </w:r>
          </w:p>
        </w:tc>
        <w:tc>
          <w:tcPr>
            <w:tcW w:w="872" w:type="pct"/>
            <w:vAlign w:val="center"/>
          </w:tcPr>
          <w:p w14:paraId="43ABF4B9" w14:textId="3303C134"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10BE7">
              <w:rPr>
                <w:rFonts w:cs="Arial"/>
                <w:sz w:val="20"/>
                <w:szCs w:val="20"/>
              </w:rPr>
              <w:t>July 12, 2026**</w:t>
            </w:r>
          </w:p>
        </w:tc>
      </w:tr>
      <w:tr w:rsidR="0007371C" w:rsidRPr="006A36F7" w14:paraId="471C0563" w14:textId="77777777" w:rsidTr="0007371C">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18" w:type="pct"/>
            <w:vAlign w:val="center"/>
          </w:tcPr>
          <w:p w14:paraId="1D696EDE" w14:textId="1330686A" w:rsidR="0007371C" w:rsidRPr="0007371C" w:rsidRDefault="0007371C" w:rsidP="0007371C">
            <w:pPr>
              <w:rPr>
                <w:rFonts w:cs="Arial"/>
                <w:b w:val="0"/>
                <w:bCs w:val="0"/>
                <w:sz w:val="20"/>
                <w:szCs w:val="20"/>
              </w:rPr>
            </w:pPr>
            <w:r w:rsidRPr="0007371C">
              <w:rPr>
                <w:rFonts w:cs="Arial"/>
                <w:b w:val="0"/>
                <w:bCs w:val="0"/>
                <w:sz w:val="20"/>
                <w:szCs w:val="20"/>
              </w:rPr>
              <w:t xml:space="preserve">Aug </w:t>
            </w:r>
            <w:r w:rsidR="005079C4">
              <w:rPr>
                <w:rFonts w:cs="Arial"/>
                <w:b w:val="0"/>
                <w:bCs w:val="0"/>
                <w:sz w:val="20"/>
                <w:szCs w:val="20"/>
              </w:rPr>
              <w:t>19</w:t>
            </w:r>
            <w:r w:rsidRPr="0007371C">
              <w:rPr>
                <w:rFonts w:cs="Arial"/>
                <w:b w:val="0"/>
                <w:bCs w:val="0"/>
                <w:sz w:val="20"/>
                <w:szCs w:val="20"/>
              </w:rPr>
              <w:t>, 2026</w:t>
            </w:r>
          </w:p>
        </w:tc>
        <w:tc>
          <w:tcPr>
            <w:tcW w:w="718" w:type="pct"/>
            <w:vAlign w:val="center"/>
          </w:tcPr>
          <w:p w14:paraId="1E042D35" w14:textId="7AE424EC"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D10BE7">
              <w:rPr>
                <w:rFonts w:cs="Arial"/>
                <w:sz w:val="20"/>
                <w:szCs w:val="20"/>
              </w:rPr>
              <w:t>Aug 20, 2026</w:t>
            </w:r>
          </w:p>
        </w:tc>
        <w:tc>
          <w:tcPr>
            <w:tcW w:w="758" w:type="pct"/>
            <w:vAlign w:val="center"/>
          </w:tcPr>
          <w:p w14:paraId="21471A5B" w14:textId="6E2DB62B"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10BE7">
              <w:rPr>
                <w:rFonts w:cs="Arial"/>
                <w:b/>
                <w:bCs/>
                <w:sz w:val="20"/>
                <w:szCs w:val="20"/>
              </w:rPr>
              <w:t>2015 Baseline</w:t>
            </w:r>
          </w:p>
        </w:tc>
        <w:tc>
          <w:tcPr>
            <w:tcW w:w="1062" w:type="pct"/>
            <w:vAlign w:val="center"/>
          </w:tcPr>
          <w:p w14:paraId="3FCACF34" w14:textId="5BC38BBF"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10BE7">
              <w:rPr>
                <w:rFonts w:cs="Arial"/>
                <w:sz w:val="20"/>
                <w:szCs w:val="20"/>
              </w:rPr>
              <w:t>01/01/2025 – 12/31/2025</w:t>
            </w:r>
          </w:p>
        </w:tc>
        <w:tc>
          <w:tcPr>
            <w:tcW w:w="872" w:type="pct"/>
            <w:vAlign w:val="center"/>
          </w:tcPr>
          <w:p w14:paraId="627BD5EE" w14:textId="44348D59"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10BE7">
              <w:rPr>
                <w:rFonts w:cs="Arial"/>
                <w:sz w:val="20"/>
                <w:szCs w:val="20"/>
              </w:rPr>
              <w:t>Aug 31, 2026</w:t>
            </w:r>
          </w:p>
        </w:tc>
        <w:tc>
          <w:tcPr>
            <w:tcW w:w="872" w:type="pct"/>
            <w:vAlign w:val="center"/>
          </w:tcPr>
          <w:p w14:paraId="5C411052" w14:textId="64B63BC6"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10BE7">
              <w:rPr>
                <w:rFonts w:cs="Arial"/>
                <w:sz w:val="20"/>
                <w:szCs w:val="20"/>
              </w:rPr>
              <w:t>Sep 10, 2026</w:t>
            </w:r>
          </w:p>
        </w:tc>
      </w:tr>
      <w:tr w:rsidR="0007371C" w:rsidRPr="006A36F7" w14:paraId="666FCF42" w14:textId="77777777" w:rsidTr="0007371C">
        <w:trPr>
          <w:trHeight w:val="448"/>
        </w:trPr>
        <w:tc>
          <w:tcPr>
            <w:cnfStyle w:val="001000000000" w:firstRow="0" w:lastRow="0" w:firstColumn="1" w:lastColumn="0" w:oddVBand="0" w:evenVBand="0" w:oddHBand="0" w:evenHBand="0" w:firstRowFirstColumn="0" w:firstRowLastColumn="0" w:lastRowFirstColumn="0" w:lastRowLastColumn="0"/>
            <w:tcW w:w="718" w:type="pct"/>
            <w:vAlign w:val="center"/>
          </w:tcPr>
          <w:p w14:paraId="3D1DC5A7" w14:textId="694A3F19" w:rsidR="0007371C" w:rsidRPr="0007371C" w:rsidRDefault="0007371C" w:rsidP="0007371C">
            <w:pPr>
              <w:rPr>
                <w:rFonts w:cs="Arial"/>
                <w:b w:val="0"/>
                <w:bCs w:val="0"/>
                <w:sz w:val="20"/>
                <w:szCs w:val="20"/>
              </w:rPr>
            </w:pPr>
            <w:r w:rsidRPr="0007371C">
              <w:rPr>
                <w:rFonts w:cs="Arial"/>
                <w:b w:val="0"/>
                <w:bCs w:val="0"/>
                <w:sz w:val="20"/>
                <w:szCs w:val="20"/>
              </w:rPr>
              <w:t>Oct 21, 2026</w:t>
            </w:r>
          </w:p>
        </w:tc>
        <w:tc>
          <w:tcPr>
            <w:tcW w:w="718" w:type="pct"/>
            <w:vAlign w:val="center"/>
          </w:tcPr>
          <w:p w14:paraId="19077A83" w14:textId="4863F0E8"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b/>
                <w:sz w:val="20"/>
                <w:szCs w:val="20"/>
              </w:rPr>
            </w:pPr>
            <w:r w:rsidRPr="00D10BE7">
              <w:rPr>
                <w:rFonts w:cs="Arial"/>
                <w:sz w:val="20"/>
                <w:szCs w:val="20"/>
              </w:rPr>
              <w:t>Oct 22, 2026</w:t>
            </w:r>
          </w:p>
        </w:tc>
        <w:tc>
          <w:tcPr>
            <w:tcW w:w="758" w:type="pct"/>
            <w:vAlign w:val="center"/>
          </w:tcPr>
          <w:p w14:paraId="4EF3BB5F" w14:textId="00E6CB29" w:rsidR="0007371C" w:rsidRPr="00A92587" w:rsidRDefault="0007371C" w:rsidP="006649D2">
            <w:pPr>
              <w:cnfStyle w:val="000000000000" w:firstRow="0" w:lastRow="0" w:firstColumn="0" w:lastColumn="0" w:oddVBand="0" w:evenVBand="0" w:oddHBand="0" w:evenHBand="0" w:firstRowFirstColumn="0" w:firstRowLastColumn="0" w:lastRowFirstColumn="0" w:lastRowLastColumn="0"/>
              <w:rPr>
                <w:rFonts w:cs="Arial"/>
                <w:color w:val="EE0000"/>
                <w:sz w:val="20"/>
                <w:szCs w:val="20"/>
              </w:rPr>
            </w:pPr>
            <w:r w:rsidRPr="00A92587">
              <w:rPr>
                <w:rFonts w:cs="Arial"/>
                <w:b/>
                <w:bCs/>
                <w:color w:val="EE0000"/>
                <w:sz w:val="20"/>
                <w:szCs w:val="20"/>
              </w:rPr>
              <w:t>2022 Baseline*</w:t>
            </w:r>
          </w:p>
        </w:tc>
        <w:tc>
          <w:tcPr>
            <w:tcW w:w="1062" w:type="pct"/>
            <w:vAlign w:val="center"/>
          </w:tcPr>
          <w:p w14:paraId="776805CC" w14:textId="482F6AAE"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10BE7">
              <w:rPr>
                <w:rFonts w:cs="Arial"/>
                <w:sz w:val="20"/>
                <w:szCs w:val="20"/>
              </w:rPr>
              <w:t>07/01/2025 – 06/30/2026</w:t>
            </w:r>
          </w:p>
        </w:tc>
        <w:tc>
          <w:tcPr>
            <w:tcW w:w="872" w:type="pct"/>
            <w:vAlign w:val="center"/>
          </w:tcPr>
          <w:p w14:paraId="6CB35E97" w14:textId="047F800E"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sz w:val="20"/>
                <w:szCs w:val="20"/>
                <w:highlight w:val="yellow"/>
              </w:rPr>
            </w:pPr>
            <w:r w:rsidRPr="00D10BE7">
              <w:rPr>
                <w:rFonts w:cs="Arial"/>
                <w:sz w:val="20"/>
                <w:szCs w:val="20"/>
              </w:rPr>
              <w:t>Oct 31, 2026</w:t>
            </w:r>
          </w:p>
        </w:tc>
        <w:tc>
          <w:tcPr>
            <w:tcW w:w="872" w:type="pct"/>
            <w:vAlign w:val="center"/>
          </w:tcPr>
          <w:p w14:paraId="245B87A7" w14:textId="4A690D5D" w:rsidR="0007371C" w:rsidRPr="00D10BE7" w:rsidRDefault="0007371C" w:rsidP="006649D2">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10BE7">
              <w:rPr>
                <w:rFonts w:cs="Arial"/>
                <w:sz w:val="20"/>
                <w:szCs w:val="20"/>
              </w:rPr>
              <w:t>Nov 10, 2026</w:t>
            </w:r>
          </w:p>
        </w:tc>
      </w:tr>
      <w:tr w:rsidR="0007371C" w:rsidRPr="006A36F7" w14:paraId="53B5F50F" w14:textId="77777777" w:rsidTr="0007371C">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718" w:type="pct"/>
            <w:vAlign w:val="center"/>
          </w:tcPr>
          <w:p w14:paraId="51F8FE4F" w14:textId="2675A49E" w:rsidR="0007371C" w:rsidRPr="0007371C" w:rsidRDefault="0007371C" w:rsidP="0007371C">
            <w:pPr>
              <w:rPr>
                <w:rFonts w:cs="Arial"/>
                <w:b w:val="0"/>
                <w:bCs w:val="0"/>
                <w:sz w:val="20"/>
                <w:szCs w:val="20"/>
              </w:rPr>
            </w:pPr>
            <w:r w:rsidRPr="0007371C">
              <w:rPr>
                <w:rFonts w:cs="Arial"/>
                <w:b w:val="0"/>
                <w:bCs w:val="0"/>
                <w:sz w:val="20"/>
                <w:szCs w:val="20"/>
              </w:rPr>
              <w:t>Dec 16, 2026</w:t>
            </w:r>
          </w:p>
        </w:tc>
        <w:tc>
          <w:tcPr>
            <w:tcW w:w="718" w:type="pct"/>
            <w:vAlign w:val="center"/>
          </w:tcPr>
          <w:p w14:paraId="6A6EFCA7" w14:textId="33A8134B"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D10BE7">
              <w:rPr>
                <w:rFonts w:cs="Arial"/>
                <w:sz w:val="20"/>
                <w:szCs w:val="20"/>
              </w:rPr>
              <w:t>Dec 17, 2026***</w:t>
            </w:r>
          </w:p>
        </w:tc>
        <w:tc>
          <w:tcPr>
            <w:tcW w:w="758" w:type="pct"/>
            <w:vAlign w:val="center"/>
          </w:tcPr>
          <w:p w14:paraId="3EDF7F2A" w14:textId="0775968E" w:rsidR="0007371C" w:rsidRPr="00A92587" w:rsidRDefault="0007371C" w:rsidP="006649D2">
            <w:pPr>
              <w:cnfStyle w:val="000000100000" w:firstRow="0" w:lastRow="0" w:firstColumn="0" w:lastColumn="0" w:oddVBand="0" w:evenVBand="0" w:oddHBand="1" w:evenHBand="0" w:firstRowFirstColumn="0" w:firstRowLastColumn="0" w:lastRowFirstColumn="0" w:lastRowLastColumn="0"/>
              <w:rPr>
                <w:rFonts w:cs="Arial"/>
                <w:color w:val="EE0000"/>
                <w:sz w:val="20"/>
                <w:szCs w:val="20"/>
              </w:rPr>
            </w:pPr>
            <w:r w:rsidRPr="00A92587">
              <w:rPr>
                <w:rFonts w:cs="Arial"/>
                <w:b/>
                <w:bCs/>
                <w:color w:val="EE0000"/>
                <w:sz w:val="20"/>
                <w:szCs w:val="20"/>
              </w:rPr>
              <w:t>2022 Baseline*</w:t>
            </w:r>
          </w:p>
        </w:tc>
        <w:tc>
          <w:tcPr>
            <w:tcW w:w="1062" w:type="pct"/>
            <w:vAlign w:val="center"/>
          </w:tcPr>
          <w:p w14:paraId="1F1E48B3" w14:textId="161373FD"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10BE7">
              <w:rPr>
                <w:rFonts w:cs="Arial"/>
                <w:sz w:val="20"/>
                <w:szCs w:val="20"/>
              </w:rPr>
              <w:t>07/01/2025 – 06/30/2026</w:t>
            </w:r>
          </w:p>
        </w:tc>
        <w:tc>
          <w:tcPr>
            <w:tcW w:w="872" w:type="pct"/>
            <w:vAlign w:val="center"/>
          </w:tcPr>
          <w:p w14:paraId="67D7B7B8" w14:textId="7F3AED26"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sz w:val="20"/>
                <w:szCs w:val="20"/>
                <w:highlight w:val="yellow"/>
              </w:rPr>
            </w:pPr>
            <w:r w:rsidRPr="00D10BE7">
              <w:rPr>
                <w:rFonts w:cs="Arial"/>
                <w:sz w:val="20"/>
                <w:szCs w:val="20"/>
              </w:rPr>
              <w:t>Nov 30, 2026</w:t>
            </w:r>
          </w:p>
        </w:tc>
        <w:tc>
          <w:tcPr>
            <w:tcW w:w="872" w:type="pct"/>
            <w:vAlign w:val="center"/>
          </w:tcPr>
          <w:p w14:paraId="4D15ADB6" w14:textId="7041B73E" w:rsidR="0007371C" w:rsidRPr="00D10BE7" w:rsidRDefault="0007371C" w:rsidP="006649D2">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D10BE7">
              <w:rPr>
                <w:rFonts w:cs="Arial"/>
                <w:sz w:val="20"/>
                <w:szCs w:val="20"/>
              </w:rPr>
              <w:t>Jan 12, 2027</w:t>
            </w:r>
          </w:p>
        </w:tc>
      </w:tr>
    </w:tbl>
    <w:p w14:paraId="56567041" w14:textId="77777777" w:rsidR="004B38F9" w:rsidRDefault="004B38F9" w:rsidP="005B7D27">
      <w:pPr>
        <w:rPr>
          <w:rFonts w:cs="Arial"/>
        </w:rPr>
      </w:pPr>
      <w:bookmarkStart w:id="675" w:name="_Hlk35602646"/>
    </w:p>
    <w:p w14:paraId="6F3A2DDE" w14:textId="51B0AA73" w:rsidR="00821EDC" w:rsidRDefault="00821EDC" w:rsidP="00821EDC">
      <w:pPr>
        <w:rPr>
          <w:rFonts w:cs="Arial"/>
          <w:color w:val="EE0000"/>
        </w:rPr>
      </w:pPr>
      <w:r w:rsidRPr="00094590">
        <w:rPr>
          <w:rFonts w:cs="Arial"/>
          <w:color w:val="EE0000"/>
        </w:rPr>
        <w:t xml:space="preserve">*If CMS does not use the 2022 Baseline for the HAI data published in the </w:t>
      </w:r>
      <w:r w:rsidR="00343930">
        <w:rPr>
          <w:rFonts w:cs="Arial"/>
          <w:color w:val="EE0000"/>
        </w:rPr>
        <w:t xml:space="preserve">October 2026 </w:t>
      </w:r>
      <w:r w:rsidRPr="00094590">
        <w:rPr>
          <w:rFonts w:cs="Arial"/>
          <w:color w:val="EE0000"/>
        </w:rPr>
        <w:t xml:space="preserve">Care Compare data refresh, then Leapfrog will use the 2015 Baseline for the NHSN Download Date. </w:t>
      </w:r>
    </w:p>
    <w:p w14:paraId="25FE8547" w14:textId="77777777" w:rsidR="00821EDC" w:rsidRPr="00094590" w:rsidRDefault="00821EDC" w:rsidP="00821EDC">
      <w:pPr>
        <w:rPr>
          <w:rFonts w:cs="Arial"/>
          <w:color w:val="EE0000"/>
        </w:rPr>
      </w:pPr>
    </w:p>
    <w:p w14:paraId="304BB05D" w14:textId="77777777" w:rsidR="00821EDC" w:rsidRDefault="00821EDC" w:rsidP="00821EDC">
      <w:pPr>
        <w:rPr>
          <w:rFonts w:cs="Arial"/>
        </w:rPr>
      </w:pPr>
      <w:r>
        <w:rPr>
          <w:rFonts w:cs="Arial"/>
        </w:rPr>
        <w:t xml:space="preserve">**Data will be published on the </w:t>
      </w:r>
      <w:r w:rsidRPr="00A27F3A">
        <w:rPr>
          <w:rFonts w:cs="Arial"/>
        </w:rPr>
        <w:t xml:space="preserve">Public Reporting Website </w:t>
      </w:r>
      <w:r>
        <w:rPr>
          <w:rFonts w:cs="Arial"/>
        </w:rPr>
        <w:t xml:space="preserve">starting on </w:t>
      </w:r>
      <w:r w:rsidRPr="00A27F3A">
        <w:rPr>
          <w:rFonts w:cs="Arial"/>
        </w:rPr>
        <w:t xml:space="preserve">July 25, </w:t>
      </w:r>
      <w:r>
        <w:rPr>
          <w:rFonts w:cs="Arial"/>
        </w:rPr>
        <w:t>2026.</w:t>
      </w:r>
    </w:p>
    <w:p w14:paraId="62B9A2C5" w14:textId="77777777" w:rsidR="00821EDC" w:rsidRDefault="00821EDC" w:rsidP="00821EDC">
      <w:pPr>
        <w:rPr>
          <w:rFonts w:cs="Arial"/>
        </w:rPr>
      </w:pPr>
    </w:p>
    <w:p w14:paraId="67836287" w14:textId="411B50E6" w:rsidR="006F2901" w:rsidRDefault="00821EDC" w:rsidP="006F2901">
      <w:r>
        <w:rPr>
          <w:rFonts w:cs="Arial"/>
        </w:rPr>
        <w:t>***</w:t>
      </w:r>
      <w:r w:rsidRPr="00454CF7">
        <w:rPr>
          <w:rFonts w:cs="Arial"/>
        </w:rPr>
        <w:t>The Leapfrog Hospital Survey closes on November 30, 202</w:t>
      </w:r>
      <w:r>
        <w:rPr>
          <w:rFonts w:cs="Arial"/>
        </w:rPr>
        <w:t>6</w:t>
      </w:r>
      <w:r w:rsidRPr="00454CF7">
        <w:rPr>
          <w:rFonts w:cs="Arial"/>
        </w:rPr>
        <w:t>. The last NHSN data download is on December 1</w:t>
      </w:r>
      <w:r>
        <w:rPr>
          <w:rFonts w:cs="Arial"/>
        </w:rPr>
        <w:t>7</w:t>
      </w:r>
      <w:r w:rsidRPr="00454CF7">
        <w:rPr>
          <w:rFonts w:cs="Arial"/>
        </w:rPr>
        <w:t>, 202</w:t>
      </w:r>
      <w:r>
        <w:rPr>
          <w:rFonts w:cs="Arial"/>
        </w:rPr>
        <w:t>6</w:t>
      </w:r>
      <w:r w:rsidRPr="00454CF7">
        <w:rPr>
          <w:rFonts w:cs="Arial"/>
        </w:rPr>
        <w:t xml:space="preserve">, to incorporate any facilities and corrections from facilities that joined </w:t>
      </w:r>
      <w:r>
        <w:rPr>
          <w:rFonts w:cs="Arial"/>
        </w:rPr>
        <w:t>prior to this last download date.</w:t>
      </w:r>
      <w:bookmarkStart w:id="676" w:name="_Hlk36419531"/>
      <w:bookmarkEnd w:id="675"/>
    </w:p>
    <w:p w14:paraId="3667C4B0" w14:textId="42958777" w:rsidR="006E672C" w:rsidRDefault="004F0511">
      <w:pPr>
        <w:rPr>
          <w:rFonts w:cs="Arial"/>
        </w:rPr>
      </w:pPr>
      <w:r w:rsidRPr="009A5185">
        <w:rPr>
          <w:rFonts w:cs="Arial"/>
        </w:rPr>
        <w:br w:type="page"/>
      </w:r>
      <w:bookmarkStart w:id="677" w:name="_Antibiotic_Stewardship_Practices"/>
      <w:bookmarkStart w:id="678" w:name="PUInjSpecs"/>
      <w:bookmarkEnd w:id="677"/>
    </w:p>
    <w:p w14:paraId="32C4F871" w14:textId="4A1A706B" w:rsidR="00A7567E" w:rsidRPr="00E01A15" w:rsidRDefault="00B078B4" w:rsidP="00CF5A6E">
      <w:pPr>
        <w:pStyle w:val="Heading2"/>
      </w:pPr>
      <w:bookmarkStart w:id="679" w:name="_Toc225877816"/>
      <w:bookmarkEnd w:id="676"/>
      <w:r>
        <w:lastRenderedPageBreak/>
        <w:t xml:space="preserve">Section 7A: </w:t>
      </w:r>
      <w:r w:rsidR="00A7567E" w:rsidRPr="009A5185">
        <w:t>Never Events Frequently Asked Questions (FAQs)</w:t>
      </w:r>
      <w:bookmarkEnd w:id="679"/>
    </w:p>
    <w:p w14:paraId="497BE6E2" w14:textId="77777777" w:rsidR="00A7567E" w:rsidRPr="009A5185" w:rsidRDefault="00A7567E" w:rsidP="00A7567E">
      <w:pPr>
        <w:rPr>
          <w:rFonts w:cs="Arial"/>
          <w:color w:val="000000"/>
        </w:rPr>
      </w:pPr>
    </w:p>
    <w:p w14:paraId="7897CA91" w14:textId="77777777" w:rsidR="00845865" w:rsidRPr="00845865" w:rsidRDefault="00845865" w:rsidP="00845865">
      <w:pPr>
        <w:numPr>
          <w:ilvl w:val="0"/>
          <w:numId w:val="21"/>
        </w:numPr>
        <w:rPr>
          <w:rFonts w:cs="Arial"/>
          <w:b/>
          <w:bCs/>
          <w:color w:val="000000"/>
        </w:rPr>
      </w:pPr>
      <w:r w:rsidRPr="00845865">
        <w:rPr>
          <w:rFonts w:cs="Arial"/>
          <w:b/>
          <w:bCs/>
          <w:color w:val="000000"/>
        </w:rPr>
        <w:t>The National Quality Forum released an updated Serious Reportable Events list in January 2026. Should our Never Events Policy refer to the 2011 Serious Reportable Events list, or the new 2025 Sentinel Events and Serious Reportable Events list?</w:t>
      </w:r>
    </w:p>
    <w:p w14:paraId="6DA7B795" w14:textId="2BF3ACBB" w:rsidR="00845865" w:rsidRDefault="00845865" w:rsidP="00845865">
      <w:pPr>
        <w:ind w:left="720"/>
        <w:rPr>
          <w:rFonts w:cs="Arial"/>
          <w:color w:val="000000"/>
        </w:rPr>
      </w:pPr>
      <w:r w:rsidRPr="00845865">
        <w:rPr>
          <w:rFonts w:cs="Arial"/>
          <w:color w:val="000000"/>
        </w:rPr>
        <w:t xml:space="preserve">To earn credit for these questions, hospitals must have a policy in place that addresses the National Quality Forum’s list of Serious Reportable Events (SREs). All references to “never event” or “serious reportable event” refer specifically to the National Quality Forum SRE list. For the 2026 Leapfrog Hospital Survey, hospitals may reference either the </w:t>
      </w:r>
      <w:hyperlink r:id="rId426" w:history="1">
        <w:r w:rsidRPr="00845865">
          <w:rPr>
            <w:rStyle w:val="Hyperlink"/>
            <w:rFonts w:cs="Arial"/>
          </w:rPr>
          <w:t>2011 Serious Reportable Events list</w:t>
        </w:r>
      </w:hyperlink>
      <w:r w:rsidRPr="00845865">
        <w:rPr>
          <w:rFonts w:cs="Arial"/>
          <w:color w:val="000000"/>
        </w:rPr>
        <w:t xml:space="preserve"> or the </w:t>
      </w:r>
      <w:hyperlink r:id="rId427" w:history="1">
        <w:r w:rsidRPr="00845865">
          <w:rPr>
            <w:rStyle w:val="Hyperlink"/>
            <w:rFonts w:cs="Arial"/>
          </w:rPr>
          <w:t>2025 Sentinel Events and Serious Reportable Events</w:t>
        </w:r>
      </w:hyperlink>
      <w:r w:rsidRPr="00845865">
        <w:rPr>
          <w:rFonts w:cs="Arial"/>
          <w:color w:val="000000"/>
        </w:rPr>
        <w:t xml:space="preserve">. Beginning with the 2027 Leapfrog Hospital Survey, only the </w:t>
      </w:r>
      <w:hyperlink r:id="rId428" w:history="1">
        <w:r w:rsidRPr="00845865">
          <w:rPr>
            <w:rStyle w:val="Hyperlink"/>
            <w:rFonts w:cs="Arial"/>
          </w:rPr>
          <w:t>2025 Sentinel Events and Serious Reportable Events</w:t>
        </w:r>
      </w:hyperlink>
      <w:r w:rsidRPr="00845865">
        <w:rPr>
          <w:rFonts w:cs="Arial"/>
          <w:color w:val="000000"/>
        </w:rPr>
        <w:t xml:space="preserve"> list will be accepted. Both SRE lists are available at </w:t>
      </w:r>
      <w:hyperlink r:id="rId429" w:history="1">
        <w:r w:rsidRPr="00845865">
          <w:rPr>
            <w:rStyle w:val="Hyperlink"/>
            <w:rFonts w:cs="Arial"/>
          </w:rPr>
          <w:t>https://www.qualityforum.org/en-us/key-initiatives/updating-the-serious-reportable-events-sre-list</w:t>
        </w:r>
      </w:hyperlink>
      <w:r w:rsidRPr="00845865">
        <w:rPr>
          <w:rFonts w:cs="Arial"/>
          <w:color w:val="000000"/>
        </w:rPr>
        <w:t>.</w:t>
      </w:r>
    </w:p>
    <w:p w14:paraId="0936420C" w14:textId="77777777" w:rsidR="00845865" w:rsidRPr="00845865" w:rsidRDefault="00845865" w:rsidP="00845865">
      <w:pPr>
        <w:ind w:left="720"/>
        <w:rPr>
          <w:rFonts w:cs="Arial"/>
          <w:color w:val="000000"/>
        </w:rPr>
      </w:pPr>
    </w:p>
    <w:p w14:paraId="31555228" w14:textId="064DB1B9" w:rsidR="00A7567E" w:rsidRPr="009A5185" w:rsidRDefault="00A7567E" w:rsidP="00AD309C">
      <w:pPr>
        <w:numPr>
          <w:ilvl w:val="0"/>
          <w:numId w:val="21"/>
        </w:numPr>
        <w:rPr>
          <w:rFonts w:cs="Arial"/>
          <w:color w:val="000000"/>
        </w:rPr>
      </w:pPr>
      <w:r w:rsidRPr="009A5185">
        <w:rPr>
          <w:rFonts w:cs="Arial"/>
          <w:b/>
          <w:bCs/>
          <w:color w:val="000000"/>
        </w:rPr>
        <w:t>When reporting Never Events, what “state reporting program for medical errors” applies in my state?</w:t>
      </w:r>
      <w:r w:rsidRPr="009A5185">
        <w:rPr>
          <w:rFonts w:cs="Arial"/>
          <w:b/>
          <w:bCs/>
          <w:color w:val="000000"/>
        </w:rPr>
        <w:br/>
      </w:r>
      <w:r w:rsidRPr="009A5185">
        <w:rPr>
          <w:rFonts w:cs="Arial"/>
          <w:bCs/>
          <w:color w:val="000000"/>
        </w:rPr>
        <w:t xml:space="preserve">Congress has passed legislation requiring all states to develop a reporting program for medical errors. </w:t>
      </w:r>
      <w:r w:rsidRPr="009A5185">
        <w:rPr>
          <w:rFonts w:cs="Arial"/>
          <w:color w:val="000000"/>
        </w:rPr>
        <w:t xml:space="preserve">At this time, many states have already enacted or adopted some requirement that hospitals report serious medical errors or similar adverse events to a state agency. Others are still implementing legislation or regulations that define that requirement. States that have developed programs may also define reportable events differently. </w:t>
      </w:r>
    </w:p>
    <w:p w14:paraId="313D8B25" w14:textId="77777777" w:rsidR="00A7567E" w:rsidRPr="009A5185" w:rsidRDefault="00A7567E" w:rsidP="00A7567E">
      <w:pPr>
        <w:ind w:left="720"/>
        <w:rPr>
          <w:rFonts w:cs="Arial"/>
          <w:color w:val="000000"/>
        </w:rPr>
      </w:pPr>
    </w:p>
    <w:p w14:paraId="210FD047" w14:textId="6BB97139" w:rsidR="00A7567E" w:rsidRPr="009A5185" w:rsidRDefault="00A7567E" w:rsidP="00AD309C">
      <w:pPr>
        <w:numPr>
          <w:ilvl w:val="0"/>
          <w:numId w:val="21"/>
        </w:numPr>
        <w:rPr>
          <w:rFonts w:cs="Arial"/>
          <w:color w:val="000000"/>
        </w:rPr>
      </w:pPr>
      <w:r w:rsidRPr="009A5185">
        <w:rPr>
          <w:rFonts w:cs="Arial"/>
          <w:b/>
          <w:bCs/>
          <w:color w:val="000000"/>
        </w:rPr>
        <w:t>What if there is no “state reporting program for medical errors” in my state? Do we still have to report Never Events to meet Leapfrog principles for this policy? To whom?</w:t>
      </w:r>
      <w:r w:rsidRPr="009A5185">
        <w:rPr>
          <w:rFonts w:cs="Arial"/>
          <w:b/>
          <w:bCs/>
          <w:color w:val="000000"/>
        </w:rPr>
        <w:br/>
      </w:r>
      <w:r w:rsidRPr="009A5185">
        <w:rPr>
          <w:rFonts w:cs="Arial"/>
          <w:bCs/>
          <w:color w:val="000000"/>
        </w:rPr>
        <w:t>Hospitals in states that do not have a state reporting program or requirement in effect can meet the reporting requirement of Leapfrog’s principles for implementation of a Never Events policy by reporting all Never Events voluntarily to The Joint Commission</w:t>
      </w:r>
      <w:r>
        <w:rPr>
          <w:rFonts w:cs="Arial"/>
          <w:bCs/>
          <w:color w:val="000000"/>
        </w:rPr>
        <w:t>,</w:t>
      </w:r>
      <w:r w:rsidRPr="009A5185">
        <w:rPr>
          <w:rFonts w:cs="Arial"/>
          <w:bCs/>
          <w:color w:val="000000"/>
        </w:rPr>
        <w:t xml:space="preserve"> </w:t>
      </w:r>
      <w:r>
        <w:rPr>
          <w:rFonts w:cs="Arial"/>
          <w:bCs/>
          <w:color w:val="000000"/>
        </w:rPr>
        <w:t xml:space="preserve">DNV GL Healthcare, </w:t>
      </w:r>
      <w:r w:rsidRPr="009A5185">
        <w:rPr>
          <w:rFonts w:cs="Arial"/>
          <w:bCs/>
          <w:color w:val="000000"/>
        </w:rPr>
        <w:t xml:space="preserve">or a Patient Safety Organization. </w:t>
      </w:r>
      <w:r w:rsidRPr="009A5185">
        <w:rPr>
          <w:rFonts w:cs="Arial"/>
          <w:bCs/>
          <w:color w:val="000000"/>
        </w:rPr>
        <w:br/>
      </w:r>
      <w:r w:rsidRPr="009A5185">
        <w:rPr>
          <w:rFonts w:cs="Arial"/>
          <w:bCs/>
          <w:color w:val="000000"/>
        </w:rPr>
        <w:br/>
        <w:t xml:space="preserve">If there is no state-required reporting program in effect, no available Patient Safety Organization to which your hospital can report, </w:t>
      </w:r>
      <w:r w:rsidRPr="009A5185">
        <w:rPr>
          <w:rFonts w:cs="Arial"/>
          <w:bCs/>
          <w:color w:val="000000"/>
          <w:u w:val="single"/>
        </w:rPr>
        <w:t>and</w:t>
      </w:r>
      <w:r w:rsidRPr="009A5185">
        <w:rPr>
          <w:rFonts w:cs="Arial"/>
          <w:bCs/>
          <w:color w:val="000000"/>
        </w:rPr>
        <w:t xml:space="preserve"> your hospital is not Joint Commission </w:t>
      </w:r>
      <w:r>
        <w:rPr>
          <w:rFonts w:cs="Arial"/>
          <w:bCs/>
          <w:color w:val="000000"/>
        </w:rPr>
        <w:t xml:space="preserve">or DNV GL Healthcare </w:t>
      </w:r>
      <w:r w:rsidRPr="009A5185">
        <w:rPr>
          <w:rFonts w:cs="Arial"/>
          <w:bCs/>
          <w:color w:val="000000"/>
        </w:rPr>
        <w:t xml:space="preserve">accredited, the Leapfrog requirement for reporting to an external agency is amended. Hospitals must report the </w:t>
      </w:r>
      <w:r w:rsidR="002B52E2" w:rsidRPr="009A5185">
        <w:rPr>
          <w:rFonts w:cs="Arial"/>
          <w:bCs/>
          <w:color w:val="000000"/>
        </w:rPr>
        <w:t>Never Event</w:t>
      </w:r>
      <w:r w:rsidRPr="009A5185">
        <w:rPr>
          <w:rFonts w:cs="Arial"/>
          <w:bCs/>
          <w:color w:val="000000"/>
        </w:rPr>
        <w:t xml:space="preserve"> to their governance board</w:t>
      </w:r>
      <w:r w:rsidR="005F7282">
        <w:rPr>
          <w:rFonts w:cs="Arial"/>
          <w:bCs/>
          <w:color w:val="000000"/>
        </w:rPr>
        <w:t xml:space="preserve"> a</w:t>
      </w:r>
      <w:r w:rsidRPr="009A5185">
        <w:rPr>
          <w:rFonts w:cs="Arial"/>
          <w:bCs/>
          <w:color w:val="000000"/>
        </w:rPr>
        <w:t xml:space="preserve">nd must still perform a root-cause analysis internally of each Never Event to meet Leapfrog’s principle for full implementation of its Never Events policy. </w:t>
      </w:r>
    </w:p>
    <w:p w14:paraId="76B5F25B" w14:textId="77777777" w:rsidR="00A7567E" w:rsidRPr="009A5185" w:rsidRDefault="00A7567E" w:rsidP="00A7567E">
      <w:pPr>
        <w:rPr>
          <w:rFonts w:cs="Arial"/>
          <w:color w:val="000000"/>
        </w:rPr>
      </w:pPr>
    </w:p>
    <w:p w14:paraId="3D1F8099" w14:textId="42598940" w:rsidR="00A7567E" w:rsidRPr="009A5185" w:rsidRDefault="00A7567E" w:rsidP="00AD309C">
      <w:pPr>
        <w:numPr>
          <w:ilvl w:val="0"/>
          <w:numId w:val="21"/>
        </w:numPr>
        <w:rPr>
          <w:rFonts w:cs="Arial"/>
          <w:color w:val="000000"/>
        </w:rPr>
      </w:pPr>
      <w:r w:rsidRPr="009A5185">
        <w:rPr>
          <w:rFonts w:cs="Arial"/>
          <w:b/>
          <w:bCs/>
          <w:color w:val="000000"/>
        </w:rPr>
        <w:t xml:space="preserve">The reportable adverse events defined by our state’s reporting program don’t include all </w:t>
      </w:r>
      <w:r w:rsidR="008E6024">
        <w:rPr>
          <w:rFonts w:cs="Arial"/>
          <w:b/>
          <w:bCs/>
          <w:color w:val="000000"/>
        </w:rPr>
        <w:t>2</w:t>
      </w:r>
      <w:r w:rsidR="00321597">
        <w:rPr>
          <w:rFonts w:cs="Arial"/>
          <w:b/>
          <w:bCs/>
          <w:color w:val="000000"/>
        </w:rPr>
        <w:t>9</w:t>
      </w:r>
      <w:r w:rsidRPr="009A5185">
        <w:rPr>
          <w:rFonts w:cs="Arial"/>
          <w:b/>
          <w:bCs/>
          <w:color w:val="000000"/>
        </w:rPr>
        <w:t xml:space="preserve"> Never Events endorsed by the National Quality Forum (NQF) and adopted in the Leapfrog policy. Will reporting </w:t>
      </w:r>
      <w:r w:rsidRPr="009A5185">
        <w:rPr>
          <w:rFonts w:cs="Arial"/>
          <w:b/>
          <w:bCs/>
          <w:color w:val="000000"/>
          <w:u w:val="single"/>
        </w:rPr>
        <w:t>only</w:t>
      </w:r>
      <w:r w:rsidRPr="009A5185">
        <w:rPr>
          <w:rFonts w:cs="Arial"/>
          <w:b/>
          <w:bCs/>
          <w:color w:val="000000"/>
        </w:rPr>
        <w:t xml:space="preserve"> the state-required reportable events to the state agency suffice for meeting Leapfrog’s requirement for reporting Never Events to an external agency? Does our hospital have to report other Never Events, as defined by NQF/Leapfrog, to that state agency even though not required by our state’s reporting program?</w:t>
      </w:r>
      <w:r w:rsidRPr="009A5185">
        <w:rPr>
          <w:rFonts w:cs="Arial"/>
          <w:b/>
          <w:bCs/>
          <w:color w:val="000000"/>
        </w:rPr>
        <w:br/>
      </w:r>
      <w:r w:rsidRPr="009A5185">
        <w:rPr>
          <w:rFonts w:cs="Arial"/>
          <w:bCs/>
          <w:color w:val="000000"/>
        </w:rPr>
        <w:t>Hospitals</w:t>
      </w:r>
      <w:r w:rsidRPr="009A5185">
        <w:rPr>
          <w:rFonts w:cs="Arial"/>
          <w:b/>
          <w:bCs/>
          <w:color w:val="000000"/>
        </w:rPr>
        <w:t xml:space="preserve"> </w:t>
      </w:r>
      <w:r w:rsidRPr="009A5185">
        <w:rPr>
          <w:rFonts w:cs="Arial"/>
          <w:bCs/>
          <w:color w:val="000000"/>
        </w:rPr>
        <w:t>should report all their state-required reportable events to the state agency. All other Never Events, as defined by NQF’s list of Serious Reportable Events,</w:t>
      </w:r>
      <w:r w:rsidR="00920051">
        <w:rPr>
          <w:rFonts w:cs="Arial"/>
          <w:bCs/>
          <w:color w:val="000000"/>
        </w:rPr>
        <w:t xml:space="preserve"> which</w:t>
      </w:r>
      <w:r w:rsidRPr="009A5185">
        <w:rPr>
          <w:rFonts w:cs="Arial"/>
          <w:bCs/>
          <w:color w:val="000000"/>
        </w:rPr>
        <w:t xml:space="preserve"> cannot be reported to the state agency, should be reported to another external agency (e.g., accreditor, Patient Safety Organization), if possible. If reporting those events to another external agency is not possible, the final option is to report those events to the hospital’s governance board.</w:t>
      </w:r>
    </w:p>
    <w:p w14:paraId="7C954B04" w14:textId="77777777" w:rsidR="00A7567E" w:rsidRPr="009A5185" w:rsidRDefault="00A7567E" w:rsidP="00A7567E">
      <w:pPr>
        <w:rPr>
          <w:rFonts w:cs="Arial"/>
          <w:color w:val="000000"/>
        </w:rPr>
      </w:pPr>
    </w:p>
    <w:p w14:paraId="066BC5B4" w14:textId="77777777" w:rsidR="00A7567E" w:rsidRPr="009A5185" w:rsidRDefault="00A7567E" w:rsidP="00AD309C">
      <w:pPr>
        <w:numPr>
          <w:ilvl w:val="0"/>
          <w:numId w:val="21"/>
        </w:numPr>
        <w:rPr>
          <w:rFonts w:cs="Arial"/>
          <w:b/>
          <w:bCs/>
          <w:color w:val="000000"/>
        </w:rPr>
      </w:pPr>
      <w:r w:rsidRPr="009A5185">
        <w:rPr>
          <w:rFonts w:cs="Arial"/>
          <w:b/>
          <w:color w:val="000000"/>
        </w:rPr>
        <w:t>Won’t Leapfrog’s request to have hospitals apologize to the patient put the hospital at risk for liability?</w:t>
      </w:r>
      <w:r w:rsidRPr="009A5185">
        <w:rPr>
          <w:rFonts w:cs="Arial"/>
          <w:b/>
          <w:color w:val="000000"/>
        </w:rPr>
        <w:br/>
      </w:r>
      <w:r w:rsidRPr="009A5185">
        <w:rPr>
          <w:rFonts w:cs="Arial"/>
          <w:color w:val="000000"/>
        </w:rPr>
        <w:t>Not necessarily. Research indicates that malpractice suits are often the result of a failure on the hospital’s part to communicate openly with the patient and apologize for its error. Patients feel the most anger when they perceive that no one is willing to take responsibility for the adverse event that has occurred. A sincere apology from the responsible hospital staff can help to heal the breach of trust between doctor/hospital and patient. (When Things Go Wrong: Responding to Adverse Events. Boston, 2006. Mass Coalition for the Prevention of Medical Errors)</w:t>
      </w:r>
    </w:p>
    <w:p w14:paraId="6F8C3792" w14:textId="77777777" w:rsidR="00A7567E" w:rsidRPr="009A5185" w:rsidRDefault="00A7567E" w:rsidP="00A7567E">
      <w:pPr>
        <w:rPr>
          <w:rFonts w:cs="Arial"/>
          <w:b/>
          <w:bCs/>
          <w:color w:val="000000"/>
        </w:rPr>
      </w:pPr>
    </w:p>
    <w:p w14:paraId="713CCA2E" w14:textId="00BB9E83" w:rsidR="00A7567E" w:rsidRPr="009A5185" w:rsidRDefault="00A7567E" w:rsidP="00AD309C">
      <w:pPr>
        <w:numPr>
          <w:ilvl w:val="0"/>
          <w:numId w:val="21"/>
        </w:numPr>
        <w:rPr>
          <w:rFonts w:cs="Arial"/>
          <w:bCs/>
          <w:color w:val="000000"/>
        </w:rPr>
      </w:pPr>
      <w:r w:rsidRPr="009A5185">
        <w:rPr>
          <w:rFonts w:cs="Arial"/>
          <w:b/>
          <w:bCs/>
          <w:color w:val="000000"/>
        </w:rPr>
        <w:t>How do</w:t>
      </w:r>
      <w:r>
        <w:rPr>
          <w:rFonts w:cs="Arial"/>
          <w:b/>
          <w:bCs/>
          <w:color w:val="000000"/>
        </w:rPr>
        <w:t>es Leapfrog define “waive cost?”</w:t>
      </w:r>
      <w:r w:rsidRPr="009A5185">
        <w:rPr>
          <w:rFonts w:cs="Arial"/>
          <w:b/>
          <w:bCs/>
          <w:color w:val="000000"/>
        </w:rPr>
        <w:br/>
      </w:r>
      <w:r w:rsidRPr="009A5185">
        <w:rPr>
          <w:rFonts w:cs="Arial"/>
          <w:bCs/>
          <w:color w:val="000000"/>
        </w:rPr>
        <w:t>At its core, Leapfrog’s approach to never events is about improving patient care. While the policy asks hospitals to refrain from billing either the patient or a third</w:t>
      </w:r>
      <w:r>
        <w:rPr>
          <w:rFonts w:cs="Arial"/>
          <w:bCs/>
          <w:color w:val="000000"/>
        </w:rPr>
        <w:t>-</w:t>
      </w:r>
      <w:r w:rsidRPr="009A5185">
        <w:rPr>
          <w:rFonts w:cs="Arial"/>
          <w:bCs/>
          <w:color w:val="000000"/>
        </w:rPr>
        <w:t>party payer, such as a health plan or employer company, for any costs directly related to a serious reportable adverse event, Leapfrog understands that, due to the wide array of circumstances surrounding never events, specific details of what constitutes “waiving cost” should be handled on a case-by-case basis by the parties involved.</w:t>
      </w:r>
      <w:r>
        <w:rPr>
          <w:rFonts w:cs="Arial"/>
          <w:bCs/>
          <w:color w:val="000000"/>
        </w:rPr>
        <w:t xml:space="preserve"> For an example, please see “</w:t>
      </w:r>
      <w:hyperlink r:id="rId430" w:history="1">
        <w:r w:rsidRPr="0029328C">
          <w:rPr>
            <w:rStyle w:val="Hyperlink"/>
            <w:rFonts w:cs="Arial"/>
            <w:bCs/>
          </w:rPr>
          <w:t>Lessons learned from implementing a principled approach to resolution following patient harm</w:t>
        </w:r>
      </w:hyperlink>
      <w:r>
        <w:rPr>
          <w:rFonts w:cs="Arial"/>
          <w:bCs/>
          <w:color w:val="000000"/>
        </w:rPr>
        <w:t>” by Smith et. al.</w:t>
      </w:r>
    </w:p>
    <w:p w14:paraId="49402B99" w14:textId="77777777" w:rsidR="00A7567E" w:rsidRPr="009A5185" w:rsidRDefault="00A7567E" w:rsidP="00A7567E">
      <w:pPr>
        <w:pStyle w:val="ListParagraph"/>
        <w:rPr>
          <w:rFonts w:cs="Arial"/>
          <w:bCs/>
          <w:color w:val="000000"/>
        </w:rPr>
      </w:pPr>
    </w:p>
    <w:p w14:paraId="3DD559AF" w14:textId="77777777" w:rsidR="00A7567E" w:rsidRPr="009A5185" w:rsidRDefault="00A7567E" w:rsidP="00AD309C">
      <w:pPr>
        <w:numPr>
          <w:ilvl w:val="0"/>
          <w:numId w:val="21"/>
        </w:numPr>
        <w:rPr>
          <w:rFonts w:cs="Arial"/>
          <w:bCs/>
          <w:color w:val="000000"/>
        </w:rPr>
      </w:pPr>
      <w:r w:rsidRPr="009A5185">
        <w:rPr>
          <w:rFonts w:cs="Arial"/>
          <w:b/>
          <w:bCs/>
          <w:color w:val="000000"/>
        </w:rPr>
        <w:t>Does Leapfrog recommend any resources for hospitals looking to adhere to Leapfrog’s Never Events principles?</w:t>
      </w:r>
    </w:p>
    <w:p w14:paraId="3CDE64E4" w14:textId="5FC80C35" w:rsidR="00A7567E" w:rsidRPr="009A5185" w:rsidRDefault="00A7567E" w:rsidP="00A7567E">
      <w:pPr>
        <w:ind w:left="720"/>
        <w:rPr>
          <w:rFonts w:cs="Arial"/>
          <w:bCs/>
          <w:color w:val="000000"/>
        </w:rPr>
      </w:pPr>
      <w:r w:rsidRPr="009A5185">
        <w:rPr>
          <w:rFonts w:cs="Arial"/>
          <w:bCs/>
          <w:color w:val="000000"/>
        </w:rPr>
        <w:t xml:space="preserve">Yes, the Agency for Healthcare Research and Quality (AHRQ) has developed and tested the </w:t>
      </w:r>
      <w:hyperlink r:id="rId431" w:history="1">
        <w:r w:rsidRPr="009A5185">
          <w:rPr>
            <w:rStyle w:val="Hyperlink"/>
            <w:rFonts w:cs="Arial"/>
            <w:bCs/>
          </w:rPr>
          <w:t>Communication and Optimal Resolution (CANDOR) Toolkit</w:t>
        </w:r>
      </w:hyperlink>
      <w:r w:rsidRPr="009A5185">
        <w:rPr>
          <w:rFonts w:cs="Arial"/>
          <w:bCs/>
          <w:color w:val="000000"/>
        </w:rPr>
        <w:t xml:space="preserve">, which outlines a process for hospitals and practitioners to respond to unexpected events in a timely, thorough, and just way. The National Patient Safety Foundation (NPSF) has issued a report titled </w:t>
      </w:r>
      <w:hyperlink r:id="rId432" w:history="1">
        <w:r w:rsidRPr="009A5185">
          <w:rPr>
            <w:rStyle w:val="Hyperlink"/>
            <w:rFonts w:cs="Arial"/>
            <w:bCs/>
          </w:rPr>
          <w:t>RCA</w:t>
        </w:r>
        <w:r w:rsidRPr="009A5185">
          <w:rPr>
            <w:rStyle w:val="Hyperlink"/>
            <w:rFonts w:cs="Arial"/>
            <w:bCs/>
            <w:vertAlign w:val="superscript"/>
          </w:rPr>
          <w:t>2</w:t>
        </w:r>
        <w:r w:rsidRPr="009A5185">
          <w:rPr>
            <w:rStyle w:val="Hyperlink"/>
            <w:rFonts w:cs="Arial"/>
            <w:bCs/>
          </w:rPr>
          <w:t>: Improving Root Cause Analyses and Actions to Prevent Harm</w:t>
        </w:r>
      </w:hyperlink>
      <w:r w:rsidRPr="009A5185">
        <w:rPr>
          <w:rFonts w:cs="Arial"/>
          <w:bCs/>
          <w:color w:val="000000"/>
        </w:rPr>
        <w:t xml:space="preserve">, which examines best practices and provides guidelines to help standardize and improve Root Cause Analysis. In addition, hospitals can download tips and tools for interviewing patients and families for the Root Cause Analysis on the </w:t>
      </w:r>
      <w:hyperlink r:id="rId433" w:history="1">
        <w:r w:rsidRPr="009A5185">
          <w:rPr>
            <w:rStyle w:val="Hyperlink"/>
            <w:rFonts w:cs="Arial"/>
            <w:bCs/>
          </w:rPr>
          <w:t>Survey and CPOE Materials webpage</w:t>
        </w:r>
      </w:hyperlink>
      <w:r w:rsidRPr="009A5185">
        <w:rPr>
          <w:rFonts w:cs="Arial"/>
          <w:bCs/>
          <w:color w:val="000000"/>
        </w:rPr>
        <w:t xml:space="preserve">. </w:t>
      </w:r>
      <w:r w:rsidRPr="009A5185">
        <w:rPr>
          <w:rFonts w:cs="Arial"/>
          <w:bCs/>
          <w:color w:val="000000"/>
        </w:rPr>
        <w:br/>
      </w:r>
    </w:p>
    <w:p w14:paraId="3AD16242" w14:textId="77777777" w:rsidR="00A7567E" w:rsidRPr="009A5185" w:rsidRDefault="00A7567E" w:rsidP="00A7567E">
      <w:pPr>
        <w:rPr>
          <w:rFonts w:cs="Arial"/>
          <w:lang w:eastAsia="ja-JP"/>
        </w:rPr>
      </w:pPr>
    </w:p>
    <w:p w14:paraId="45F16024" w14:textId="77777777" w:rsidR="00EE3221" w:rsidRPr="009A5185" w:rsidRDefault="00EE3221" w:rsidP="0002601E"/>
    <w:bookmarkEnd w:id="665"/>
    <w:bookmarkEnd w:id="678"/>
    <w:p w14:paraId="7B1BA1C3" w14:textId="77777777" w:rsidR="00A7567E" w:rsidRDefault="00A7567E">
      <w:pPr>
        <w:rPr>
          <w:b/>
          <w:bCs/>
          <w:i/>
          <w:iCs/>
          <w:snapToGrid w:val="0"/>
          <w:sz w:val="40"/>
          <w:szCs w:val="40"/>
          <w:lang w:eastAsia="ja-JP"/>
        </w:rPr>
      </w:pPr>
      <w:r>
        <w:br w:type="page"/>
      </w:r>
    </w:p>
    <w:p w14:paraId="1CDC6822" w14:textId="77777777" w:rsidR="00A7567E" w:rsidRDefault="00A7567E" w:rsidP="0002601E"/>
    <w:p w14:paraId="23EAAA90" w14:textId="1E4EAE6C" w:rsidR="00920EF6" w:rsidRPr="009A5185" w:rsidRDefault="006770C2" w:rsidP="000B6BA4">
      <w:pPr>
        <w:pStyle w:val="SectionHeader"/>
        <w:sectPr w:rsidR="00920EF6" w:rsidRPr="009A5185" w:rsidSect="00062F69">
          <w:headerReference w:type="default" r:id="rId434"/>
          <w:endnotePr>
            <w:numFmt w:val="decimal"/>
          </w:endnotePr>
          <w:type w:val="continuous"/>
          <w:pgSz w:w="12240" w:h="15840"/>
          <w:pgMar w:top="1080" w:right="1440" w:bottom="1080" w:left="1440" w:header="720" w:footer="720" w:gutter="0"/>
          <w:cols w:space="720"/>
          <w:docGrid w:linePitch="272"/>
        </w:sectPr>
      </w:pPr>
      <w:bookmarkStart w:id="680" w:name="_Toc225877817"/>
      <w:r w:rsidRPr="009A5185">
        <w:t>Page Intentionally Left Blank</w:t>
      </w:r>
      <w:bookmarkEnd w:id="680"/>
    </w:p>
    <w:p w14:paraId="7738834B" w14:textId="77777777" w:rsidR="006770C2" w:rsidRPr="009A5185" w:rsidRDefault="006770C2" w:rsidP="0002601E"/>
    <w:p w14:paraId="1C9744F6" w14:textId="77777777" w:rsidR="000B6BA4" w:rsidRDefault="000B6BA4">
      <w:pPr>
        <w:rPr>
          <w:b/>
          <w:bCs/>
          <w:i/>
          <w:iCs/>
          <w:snapToGrid w:val="0"/>
          <w:sz w:val="40"/>
          <w:szCs w:val="40"/>
          <w:lang w:eastAsia="ja-JP"/>
        </w:rPr>
      </w:pPr>
      <w:bookmarkStart w:id="681" w:name="Sect9"/>
      <w:bookmarkStart w:id="682" w:name="PedCare"/>
      <w:r>
        <w:br w:type="page"/>
      </w:r>
    </w:p>
    <w:p w14:paraId="3A2C38C5" w14:textId="77777777" w:rsidR="000B6BA4" w:rsidRDefault="000B6BA4" w:rsidP="0002601E"/>
    <w:p w14:paraId="7295EB9A" w14:textId="77777777" w:rsidR="000B6BA4" w:rsidRDefault="000B6BA4" w:rsidP="0002601E"/>
    <w:p w14:paraId="4D6B89C6" w14:textId="77777777" w:rsidR="000B6BA4" w:rsidRDefault="000B6BA4" w:rsidP="0002601E"/>
    <w:p w14:paraId="30F65652" w14:textId="77777777" w:rsidR="000B6BA4" w:rsidRDefault="000B6BA4" w:rsidP="0002601E"/>
    <w:p w14:paraId="27493032" w14:textId="77777777" w:rsidR="000B6BA4" w:rsidRDefault="000B6BA4" w:rsidP="0002601E"/>
    <w:p w14:paraId="268D29DE" w14:textId="77777777" w:rsidR="000B6BA4" w:rsidRDefault="000B6BA4" w:rsidP="0002601E"/>
    <w:p w14:paraId="618F1C35" w14:textId="77777777" w:rsidR="000B6BA4" w:rsidRDefault="000B6BA4" w:rsidP="0002601E"/>
    <w:p w14:paraId="3049FD0B" w14:textId="77777777" w:rsidR="000B6BA4" w:rsidRDefault="000B6BA4" w:rsidP="0002601E"/>
    <w:p w14:paraId="60238E55" w14:textId="77777777" w:rsidR="000B6BA4" w:rsidRDefault="000B6BA4" w:rsidP="0002601E"/>
    <w:p w14:paraId="256CCD02" w14:textId="00CD93FD" w:rsidR="000B6BA4" w:rsidRDefault="000B6BA4" w:rsidP="000B6BA4"/>
    <w:p w14:paraId="69B30462" w14:textId="6B0C3287" w:rsidR="000B6BA4" w:rsidRDefault="000B6BA4" w:rsidP="000B6BA4"/>
    <w:p w14:paraId="4DFB62B2" w14:textId="40063808" w:rsidR="000B6BA4" w:rsidRDefault="000B6BA4" w:rsidP="000B6BA4"/>
    <w:p w14:paraId="49A05DED" w14:textId="1282183B" w:rsidR="000B6BA4" w:rsidRDefault="000B6BA4" w:rsidP="000B6BA4"/>
    <w:p w14:paraId="23E85A24" w14:textId="2C09451A" w:rsidR="000B6BA4" w:rsidRDefault="000B6BA4" w:rsidP="000B6BA4"/>
    <w:p w14:paraId="7AACD35A" w14:textId="0CC25CF8" w:rsidR="000B6BA4" w:rsidRDefault="000B6BA4" w:rsidP="000B6BA4"/>
    <w:p w14:paraId="17753DA9" w14:textId="513E3771" w:rsidR="000B6BA4" w:rsidRDefault="000B6BA4" w:rsidP="000B6BA4"/>
    <w:p w14:paraId="5AE1C5E9" w14:textId="77777777" w:rsidR="000B6BA4" w:rsidRDefault="000B6BA4" w:rsidP="0002601E"/>
    <w:p w14:paraId="7AAE206A" w14:textId="77777777" w:rsidR="00082F78" w:rsidRDefault="00082F78" w:rsidP="0002601E"/>
    <w:p w14:paraId="3711F609" w14:textId="77777777" w:rsidR="00082F78" w:rsidRDefault="00082F78" w:rsidP="0002601E"/>
    <w:p w14:paraId="4E11DC9D" w14:textId="1E7B3883" w:rsidR="00275C5C" w:rsidRPr="009A5185" w:rsidRDefault="0051125F" w:rsidP="00D32C75">
      <w:pPr>
        <w:pStyle w:val="SectionHeader"/>
      </w:pPr>
      <w:bookmarkStart w:id="683" w:name="_Toc225877818"/>
      <w:r w:rsidRPr="009A5185">
        <w:t xml:space="preserve">SECTION </w:t>
      </w:r>
      <w:r w:rsidR="0012772F">
        <w:t>8</w:t>
      </w:r>
      <w:r w:rsidRPr="009A5185">
        <w:t xml:space="preserve">: </w:t>
      </w:r>
      <w:r w:rsidR="00062434" w:rsidRPr="009A5185">
        <w:t>PEDIATRIC CARE</w:t>
      </w:r>
      <w:bookmarkEnd w:id="683"/>
    </w:p>
    <w:bookmarkEnd w:id="681"/>
    <w:bookmarkEnd w:id="682"/>
    <w:p w14:paraId="1E49635B" w14:textId="77777777" w:rsidR="004B7F4F" w:rsidRPr="009A5185" w:rsidRDefault="004B7F4F" w:rsidP="0002601E"/>
    <w:p w14:paraId="00755841" w14:textId="58196C86" w:rsidR="004B7F4F" w:rsidRPr="009A5185" w:rsidRDefault="004B7F4F" w:rsidP="004B7F4F">
      <w:pPr>
        <w:rPr>
          <w:rFonts w:cs="Arial"/>
        </w:rPr>
      </w:pPr>
      <w:r w:rsidRPr="009A5185">
        <w:rPr>
          <w:rFonts w:cs="Arial"/>
        </w:rPr>
        <w:t xml:space="preserve">This section includes questions and reference information for Section </w:t>
      </w:r>
      <w:r w:rsidR="0012772F">
        <w:rPr>
          <w:rFonts w:cs="Arial"/>
        </w:rPr>
        <w:t>8</w:t>
      </w:r>
      <w:r w:rsidR="004A4FD0" w:rsidRPr="009A5185">
        <w:rPr>
          <w:rFonts w:cs="Arial"/>
        </w:rPr>
        <w:t>:</w:t>
      </w:r>
      <w:r w:rsidRPr="009A5185">
        <w:rPr>
          <w:rFonts w:cs="Arial"/>
        </w:rPr>
        <w:t xml:space="preserve"> </w:t>
      </w:r>
      <w:r w:rsidR="00062434" w:rsidRPr="009A5185">
        <w:rPr>
          <w:rFonts w:cs="Arial"/>
        </w:rPr>
        <w:t>Pediatric Care</w:t>
      </w:r>
      <w:r w:rsidRPr="009A5185">
        <w:rPr>
          <w:rFonts w:cs="Arial"/>
        </w:rPr>
        <w:t xml:space="preserve">. Please carefully review the questions, </w:t>
      </w:r>
      <w:r w:rsidR="00B94757" w:rsidRPr="009A5185">
        <w:rPr>
          <w:rFonts w:cs="Arial"/>
        </w:rPr>
        <w:t>endnotes</w:t>
      </w:r>
      <w:r w:rsidRPr="009A5185">
        <w:rPr>
          <w:rFonts w:cs="Arial"/>
        </w:rPr>
        <w:t>, and reference information (e.g.</w:t>
      </w:r>
      <w:r w:rsidR="001D41B0" w:rsidRPr="009A5185">
        <w:rPr>
          <w:rFonts w:cs="Arial"/>
        </w:rPr>
        <w:t>,</w:t>
      </w:r>
      <w:r w:rsidRPr="009A5185">
        <w:rPr>
          <w:rFonts w:cs="Arial"/>
        </w:rPr>
        <w:t xml:space="preserve"> measure specifications, notes, and frequen</w:t>
      </w:r>
      <w:r w:rsidR="00EC191D" w:rsidRPr="009A5185">
        <w:rPr>
          <w:rFonts w:cs="Arial"/>
        </w:rPr>
        <w:t>tl</w:t>
      </w:r>
      <w:r w:rsidRPr="009A5185">
        <w:rPr>
          <w:rFonts w:cs="Arial"/>
        </w:rPr>
        <w:t xml:space="preserve">y asked questions) before you begin. Failure to review the reference information could result in inaccurate responses. </w:t>
      </w:r>
    </w:p>
    <w:p w14:paraId="30C75FF3" w14:textId="77777777" w:rsidR="004B7F4F" w:rsidRPr="009A5185" w:rsidRDefault="004B7F4F" w:rsidP="0002601E"/>
    <w:p w14:paraId="6BB8B8CE" w14:textId="77777777" w:rsidR="007F3F62" w:rsidRPr="009A5185" w:rsidRDefault="007F3F62">
      <w:pPr>
        <w:rPr>
          <w:rFonts w:cs="Arial"/>
        </w:rPr>
      </w:pPr>
      <w:r w:rsidRPr="009A5185">
        <w:rPr>
          <w:rFonts w:cs="Arial"/>
        </w:rPr>
        <w:br w:type="page"/>
      </w:r>
    </w:p>
    <w:p w14:paraId="28969FC6" w14:textId="324A37F8" w:rsidR="008910AA" w:rsidRPr="009A5185" w:rsidRDefault="008910AA" w:rsidP="00CF5A6E">
      <w:pPr>
        <w:pStyle w:val="Heading2"/>
      </w:pPr>
      <w:bookmarkStart w:id="684" w:name="_Section_8:_Pediatric"/>
      <w:bookmarkStart w:id="685" w:name="_Toc225877819"/>
      <w:bookmarkEnd w:id="684"/>
      <w:r w:rsidRPr="009A5185">
        <w:lastRenderedPageBreak/>
        <w:t xml:space="preserve">Section </w:t>
      </w:r>
      <w:r w:rsidR="0012772F">
        <w:t>8</w:t>
      </w:r>
      <w:r w:rsidR="002E05B5" w:rsidRPr="009A5185">
        <w:t xml:space="preserve">: </w:t>
      </w:r>
      <w:r w:rsidR="00FF6E8B" w:rsidRPr="009A5185">
        <w:t>Pediatric Care</w:t>
      </w:r>
      <w:bookmarkEnd w:id="685"/>
    </w:p>
    <w:p w14:paraId="357C4493" w14:textId="77777777" w:rsidR="008910AA" w:rsidRPr="009A5185" w:rsidRDefault="008910AA">
      <w:pPr>
        <w:pStyle w:val="BodyText3"/>
        <w:rPr>
          <w:rFonts w:cs="Arial"/>
          <w:highlight w:val="yellow"/>
        </w:rPr>
      </w:pPr>
    </w:p>
    <w:p w14:paraId="34D11CE4" w14:textId="7802B2D4" w:rsidR="00BF68ED" w:rsidRDefault="007370E8" w:rsidP="00BF68ED">
      <w:r w:rsidRPr="009A5185">
        <w:rPr>
          <w:rFonts w:cs="Arial"/>
          <w:b/>
        </w:rPr>
        <w:t>Pediatric Care Fact Sheet:</w:t>
      </w:r>
      <w:r w:rsidRPr="009A5185">
        <w:rPr>
          <w:rFonts w:cs="Arial"/>
        </w:rPr>
        <w:t xml:space="preserve"> </w:t>
      </w:r>
      <w:hyperlink r:id="rId435" w:history="1">
        <w:r w:rsidR="00183977" w:rsidRPr="00A2752F">
          <w:rPr>
            <w:rStyle w:val="Hyperlink"/>
          </w:rPr>
          <w:t>https://ratings.leapfroggroup.org/measure/hospital/2026/pediatric-care</w:t>
        </w:r>
      </w:hyperlink>
    </w:p>
    <w:p w14:paraId="3B1EAEBE" w14:textId="77777777" w:rsidR="00832DF8" w:rsidRDefault="00832DF8" w:rsidP="00BF68ED">
      <w:pPr>
        <w:rPr>
          <w:rFonts w:cs="Arial"/>
          <w:b/>
          <w:color w:val="FF0000"/>
        </w:rPr>
      </w:pPr>
    </w:p>
    <w:p w14:paraId="1E7FD125" w14:textId="2297E0C8" w:rsidR="00EA251E" w:rsidRDefault="00EA251E" w:rsidP="00EA251E">
      <w:pPr>
        <w:pStyle w:val="BodyText3"/>
        <w:rPr>
          <w:rFonts w:cs="Arial"/>
          <w:b/>
          <w:color w:val="FF0000"/>
        </w:rPr>
      </w:pPr>
      <w:r>
        <w:rPr>
          <w:rFonts w:cs="Arial"/>
          <w:b/>
          <w:color w:val="FF0000"/>
        </w:rPr>
        <w:t xml:space="preserve">Section 8 is </w:t>
      </w:r>
      <w:r w:rsidR="00C93E4F">
        <w:rPr>
          <w:rFonts w:cs="Arial"/>
          <w:b/>
          <w:color w:val="FF0000"/>
        </w:rPr>
        <w:t xml:space="preserve">applicable to all hospitals but </w:t>
      </w:r>
      <w:r w:rsidR="00EE1FC8">
        <w:rPr>
          <w:rFonts w:cs="Arial"/>
          <w:b/>
          <w:color w:val="FF0000"/>
        </w:rPr>
        <w:t xml:space="preserve">is </w:t>
      </w:r>
      <w:r w:rsidR="00FC2A08">
        <w:rPr>
          <w:rFonts w:cs="Arial"/>
          <w:b/>
          <w:color w:val="FF0000"/>
        </w:rPr>
        <w:t xml:space="preserve">a </w:t>
      </w:r>
      <w:r w:rsidR="00EE1FC8">
        <w:rPr>
          <w:rFonts w:cs="Arial"/>
          <w:b/>
          <w:color w:val="FF0000"/>
        </w:rPr>
        <w:t>required</w:t>
      </w:r>
      <w:r>
        <w:rPr>
          <w:rFonts w:cs="Arial"/>
          <w:b/>
          <w:color w:val="FF0000"/>
        </w:rPr>
        <w:t xml:space="preserve"> </w:t>
      </w:r>
      <w:r w:rsidR="00FC2A08">
        <w:rPr>
          <w:rFonts w:cs="Arial"/>
          <w:b/>
          <w:color w:val="FF0000"/>
        </w:rPr>
        <w:t xml:space="preserve">section for Survey submission </w:t>
      </w:r>
      <w:r>
        <w:rPr>
          <w:rFonts w:cs="Arial"/>
          <w:b/>
          <w:color w:val="FF0000"/>
        </w:rPr>
        <w:t>for pediatric hospitals ONLY.</w:t>
      </w:r>
    </w:p>
    <w:p w14:paraId="5BD69988" w14:textId="77777777" w:rsidR="00EA251E" w:rsidRDefault="00EA251E" w:rsidP="0028154C">
      <w:pPr>
        <w:pStyle w:val="BodyText3"/>
        <w:rPr>
          <w:rFonts w:cs="Arial"/>
          <w:b/>
          <w:color w:val="FF0000"/>
        </w:rPr>
      </w:pPr>
    </w:p>
    <w:p w14:paraId="7B5F867A" w14:textId="04B2D65E" w:rsidR="00230976" w:rsidRDefault="00DD3C3C" w:rsidP="0028154C">
      <w:pPr>
        <w:pStyle w:val="BodyText3"/>
        <w:rPr>
          <w:rFonts w:cs="Arial"/>
          <w:b/>
          <w:color w:val="FF0000"/>
        </w:rPr>
      </w:pPr>
      <w:r w:rsidRPr="00DD3C3C">
        <w:rPr>
          <w:rFonts w:cs="Arial"/>
          <w:b/>
          <w:color w:val="FF0000"/>
        </w:rPr>
        <w:t xml:space="preserve">Hospitals that do not care for </w:t>
      </w:r>
      <w:r w:rsidR="005A677E">
        <w:rPr>
          <w:rFonts w:cs="Arial"/>
          <w:b/>
          <w:color w:val="FF0000"/>
        </w:rPr>
        <w:t xml:space="preserve">(or perform CT scans on) </w:t>
      </w:r>
      <w:r w:rsidR="00230976" w:rsidRPr="00DD3C3C">
        <w:rPr>
          <w:rFonts w:cs="Arial"/>
          <w:b/>
          <w:color w:val="FF0000"/>
        </w:rPr>
        <w:t>patients 17 years of age or younger</w:t>
      </w:r>
      <w:r w:rsidR="005A677E">
        <w:rPr>
          <w:rFonts w:cs="Arial"/>
          <w:b/>
          <w:color w:val="FF0000"/>
        </w:rPr>
        <w:t xml:space="preserve"> </w:t>
      </w:r>
      <w:r w:rsidRPr="00DD3C3C">
        <w:rPr>
          <w:rFonts w:cs="Arial"/>
          <w:b/>
          <w:color w:val="FF0000"/>
        </w:rPr>
        <w:t xml:space="preserve">should respond </w:t>
      </w:r>
      <w:r w:rsidR="00310226">
        <w:rPr>
          <w:rFonts w:cs="Arial"/>
          <w:b/>
          <w:color w:val="FF0000"/>
        </w:rPr>
        <w:t>“</w:t>
      </w:r>
      <w:r w:rsidRPr="00DD3C3C">
        <w:rPr>
          <w:rFonts w:cs="Arial"/>
          <w:b/>
          <w:color w:val="FF0000"/>
        </w:rPr>
        <w:t>no</w:t>
      </w:r>
      <w:r w:rsidR="00310226">
        <w:rPr>
          <w:rFonts w:cs="Arial"/>
          <w:b/>
          <w:color w:val="FF0000"/>
        </w:rPr>
        <w:t>”</w:t>
      </w:r>
      <w:r w:rsidRPr="00DD3C3C">
        <w:rPr>
          <w:rFonts w:cs="Arial"/>
          <w:b/>
          <w:color w:val="FF0000"/>
        </w:rPr>
        <w:t xml:space="preserve"> to question #2 in </w:t>
      </w:r>
      <w:r w:rsidR="0012772F">
        <w:rPr>
          <w:rFonts w:cs="Arial"/>
          <w:b/>
          <w:color w:val="FF0000"/>
        </w:rPr>
        <w:t>8</w:t>
      </w:r>
      <w:r w:rsidRPr="00DD3C3C">
        <w:rPr>
          <w:rFonts w:cs="Arial"/>
          <w:b/>
          <w:color w:val="FF0000"/>
        </w:rPr>
        <w:t xml:space="preserve">A and </w:t>
      </w:r>
      <w:r w:rsidR="0012772F">
        <w:rPr>
          <w:rFonts w:cs="Arial"/>
          <w:b/>
          <w:color w:val="FF0000"/>
        </w:rPr>
        <w:t>8</w:t>
      </w:r>
      <w:r w:rsidRPr="00DD3C3C">
        <w:rPr>
          <w:rFonts w:cs="Arial"/>
          <w:b/>
          <w:color w:val="FF0000"/>
        </w:rPr>
        <w:t>B and move on to the Affirmation of Accuracy</w:t>
      </w:r>
      <w:r w:rsidR="00230976" w:rsidRPr="00DD3C3C">
        <w:rPr>
          <w:rFonts w:cs="Arial"/>
          <w:b/>
          <w:color w:val="FF0000"/>
        </w:rPr>
        <w:t>.</w:t>
      </w:r>
      <w:r w:rsidRPr="00DD3C3C">
        <w:rPr>
          <w:rFonts w:cs="Arial"/>
          <w:b/>
          <w:color w:val="FF0000"/>
        </w:rPr>
        <w:t xml:space="preserve"> </w:t>
      </w:r>
      <w:r>
        <w:rPr>
          <w:rFonts w:cs="Arial"/>
          <w:b/>
          <w:color w:val="FF0000"/>
        </w:rPr>
        <w:t>Your hospital’s results will be displayed a</w:t>
      </w:r>
      <w:r w:rsidR="004F3773">
        <w:rPr>
          <w:rFonts w:cs="Arial"/>
          <w:b/>
          <w:color w:val="FF0000"/>
        </w:rPr>
        <w:t>s</w:t>
      </w:r>
      <w:r>
        <w:rPr>
          <w:rFonts w:cs="Arial"/>
          <w:b/>
          <w:color w:val="FF0000"/>
        </w:rPr>
        <w:t xml:space="preserve"> “Does Not Apply” on Leapfrog’s public reporting website.</w:t>
      </w:r>
    </w:p>
    <w:p w14:paraId="4C06BDBD" w14:textId="77777777" w:rsidR="00C95CCE" w:rsidRPr="009A5185" w:rsidRDefault="00C95CCE" w:rsidP="0028154C">
      <w:pPr>
        <w:pStyle w:val="BodyText3"/>
        <w:rPr>
          <w:rFonts w:cs="Arial"/>
          <w:color w:val="auto"/>
        </w:rPr>
      </w:pPr>
    </w:p>
    <w:p w14:paraId="41317B0A" w14:textId="01319D56" w:rsidR="005462C5" w:rsidRDefault="00652583" w:rsidP="0028154C">
      <w:pPr>
        <w:pStyle w:val="BodyText3"/>
        <w:rPr>
          <w:rFonts w:cs="Arial"/>
          <w:snapToGrid w:val="0"/>
        </w:rPr>
      </w:pPr>
      <w:r w:rsidRPr="009A5185">
        <w:rPr>
          <w:rFonts w:cs="Arial"/>
          <w:snapToGrid w:val="0"/>
        </w:rPr>
        <w:t xml:space="preserve">Section </w:t>
      </w:r>
      <w:r>
        <w:rPr>
          <w:rFonts w:cs="Arial"/>
          <w:snapToGrid w:val="0"/>
        </w:rPr>
        <w:t>8</w:t>
      </w:r>
      <w:r w:rsidRPr="009A5185">
        <w:rPr>
          <w:rFonts w:cs="Arial"/>
          <w:snapToGrid w:val="0"/>
        </w:rPr>
        <w:t xml:space="preserve"> includes questions about patient experience (CAHPS Child Hospital Survey) and Computed Tomography (CT) radiation dose</w:t>
      </w:r>
      <w:r>
        <w:rPr>
          <w:rFonts w:cs="Arial"/>
          <w:snapToGrid w:val="0"/>
        </w:rPr>
        <w:t xml:space="preserve"> for pediatric patients</w:t>
      </w:r>
      <w:r w:rsidRPr="009A5185">
        <w:rPr>
          <w:rFonts w:cs="Arial"/>
          <w:snapToGrid w:val="0"/>
        </w:rPr>
        <w:t>.</w:t>
      </w:r>
      <w:r w:rsidR="000F4A43">
        <w:rPr>
          <w:rFonts w:cs="Arial"/>
          <w:snapToGrid w:val="0"/>
        </w:rPr>
        <w:t xml:space="preserve"> For 2026, this section is required for submission for pediatric hospitals.</w:t>
      </w:r>
    </w:p>
    <w:p w14:paraId="0EABC42C" w14:textId="77777777" w:rsidR="00652583" w:rsidRPr="009A5185" w:rsidRDefault="00652583" w:rsidP="0028154C">
      <w:pPr>
        <w:pStyle w:val="BodyText3"/>
        <w:rPr>
          <w:rFonts w:cs="Arial"/>
          <w:color w:val="auto"/>
        </w:rPr>
      </w:pPr>
    </w:p>
    <w:p w14:paraId="2249F43E" w14:textId="79C54DD6" w:rsidR="002C263C" w:rsidRPr="009A5185" w:rsidRDefault="002C263C" w:rsidP="0028154C">
      <w:pPr>
        <w:pStyle w:val="BodyText3"/>
        <w:rPr>
          <w:rFonts w:cs="Arial"/>
          <w:b/>
          <w:color w:val="auto"/>
        </w:rPr>
      </w:pPr>
      <w:r w:rsidRPr="009A5185">
        <w:rPr>
          <w:rFonts w:cs="Arial"/>
          <w:b/>
          <w:color w:val="auto"/>
        </w:rPr>
        <w:t xml:space="preserve">Each </w:t>
      </w:r>
      <w:r w:rsidR="00F20FF5" w:rsidRPr="009A5185">
        <w:rPr>
          <w:rFonts w:cs="Arial"/>
          <w:b/>
        </w:rPr>
        <w:t xml:space="preserve">hospital </w:t>
      </w:r>
      <w:r w:rsidR="00F20FF5">
        <w:rPr>
          <w:rFonts w:cs="Arial"/>
          <w:b/>
        </w:rPr>
        <w:t>achieving</w:t>
      </w:r>
      <w:r w:rsidR="00F20FF5" w:rsidRPr="009A5185">
        <w:rPr>
          <w:rFonts w:cs="Arial"/>
          <w:b/>
        </w:rPr>
        <w:t xml:space="preserve"> th</w:t>
      </w:r>
      <w:r w:rsidR="00F20FF5">
        <w:rPr>
          <w:rFonts w:cs="Arial"/>
          <w:b/>
        </w:rPr>
        <w:t>e</w:t>
      </w:r>
      <w:r w:rsidR="00F20FF5" w:rsidRPr="009A5185">
        <w:rPr>
          <w:rFonts w:cs="Arial"/>
          <w:b/>
        </w:rPr>
        <w:t xml:space="preserve"> standard</w:t>
      </w:r>
      <w:r w:rsidR="00F20FF5">
        <w:rPr>
          <w:rFonts w:cs="Arial"/>
          <w:b/>
        </w:rPr>
        <w:t xml:space="preserve"> for</w:t>
      </w:r>
      <w:r w:rsidRPr="009A5185">
        <w:rPr>
          <w:rFonts w:cs="Arial"/>
          <w:b/>
          <w:color w:val="auto"/>
        </w:rPr>
        <w:t xml:space="preserve"> </w:t>
      </w:r>
      <w:r w:rsidR="0002601E">
        <w:rPr>
          <w:rFonts w:cs="Arial"/>
          <w:b/>
          <w:color w:val="auto"/>
        </w:rPr>
        <w:t>Patient Experience (CAHPS Child Hospital Survey)</w:t>
      </w:r>
      <w:r w:rsidRPr="009A5185">
        <w:rPr>
          <w:rFonts w:cs="Arial"/>
          <w:b/>
          <w:color w:val="auto"/>
        </w:rPr>
        <w:t>:</w:t>
      </w:r>
    </w:p>
    <w:p w14:paraId="0A2BBE8D" w14:textId="6C2CB4E3" w:rsidR="002C263C" w:rsidRPr="001341A0" w:rsidRDefault="00931A85" w:rsidP="0002601E">
      <w:pPr>
        <w:pStyle w:val="BodyText3"/>
        <w:rPr>
          <w:rFonts w:cs="Arial"/>
          <w:color w:val="auto"/>
        </w:rPr>
      </w:pPr>
      <w:r w:rsidRPr="009A5185">
        <w:rPr>
          <w:rFonts w:cs="Arial"/>
          <w:color w:val="auto"/>
        </w:rPr>
        <w:t xml:space="preserve">Performed in the top quartile </w:t>
      </w:r>
      <w:r w:rsidRPr="001341A0">
        <w:rPr>
          <w:rFonts w:cs="Arial"/>
          <w:color w:val="auto"/>
        </w:rPr>
        <w:t xml:space="preserve">for </w:t>
      </w:r>
      <w:r w:rsidR="00FA355D" w:rsidRPr="001341A0">
        <w:rPr>
          <w:rFonts w:cs="Arial"/>
          <w:color w:val="auto"/>
        </w:rPr>
        <w:t xml:space="preserve">at least 4 of the </w:t>
      </w:r>
      <w:r w:rsidR="007B51DB" w:rsidRPr="001341A0">
        <w:rPr>
          <w:rFonts w:cs="Arial"/>
          <w:color w:val="auto"/>
        </w:rPr>
        <w:t>5</w:t>
      </w:r>
      <w:r w:rsidRPr="001341A0">
        <w:rPr>
          <w:rFonts w:cs="Arial"/>
          <w:color w:val="auto"/>
        </w:rPr>
        <w:t xml:space="preserve"> </w:t>
      </w:r>
      <w:r w:rsidR="0002601E">
        <w:rPr>
          <w:rFonts w:cs="Arial"/>
          <w:color w:val="auto"/>
        </w:rPr>
        <w:t>CAHPS Child Hospital Survey</w:t>
      </w:r>
      <w:r w:rsidR="00FA355D" w:rsidRPr="001341A0">
        <w:rPr>
          <w:rFonts w:cs="Arial"/>
          <w:color w:val="auto"/>
        </w:rPr>
        <w:t xml:space="preserve"> domains (a subset </w:t>
      </w:r>
      <w:r w:rsidRPr="001341A0">
        <w:rPr>
          <w:rFonts w:cs="Arial"/>
          <w:color w:val="auto"/>
        </w:rPr>
        <w:t xml:space="preserve">of the 18 </w:t>
      </w:r>
      <w:r w:rsidR="0002601E">
        <w:rPr>
          <w:rFonts w:cs="Arial"/>
          <w:color w:val="auto"/>
        </w:rPr>
        <w:t xml:space="preserve">total </w:t>
      </w:r>
      <w:r w:rsidRPr="001341A0">
        <w:rPr>
          <w:rFonts w:cs="Arial"/>
          <w:color w:val="auto"/>
        </w:rPr>
        <w:t>domains</w:t>
      </w:r>
      <w:r w:rsidR="00FA355D" w:rsidRPr="001341A0">
        <w:rPr>
          <w:rFonts w:cs="Arial"/>
          <w:color w:val="auto"/>
        </w:rPr>
        <w:t>)</w:t>
      </w:r>
      <w:r w:rsidRPr="001341A0">
        <w:rPr>
          <w:rFonts w:cs="Arial"/>
          <w:color w:val="auto"/>
        </w:rPr>
        <w:t>, listed below:</w:t>
      </w:r>
    </w:p>
    <w:p w14:paraId="4B39DA66" w14:textId="77777777" w:rsidR="00931A85" w:rsidRPr="001341A0" w:rsidRDefault="00314B49" w:rsidP="00AD309C">
      <w:pPr>
        <w:pStyle w:val="BodyText3"/>
        <w:numPr>
          <w:ilvl w:val="0"/>
          <w:numId w:val="187"/>
        </w:numPr>
        <w:rPr>
          <w:rFonts w:cs="Arial"/>
          <w:color w:val="auto"/>
        </w:rPr>
      </w:pPr>
      <w:r w:rsidRPr="001341A0">
        <w:rPr>
          <w:rFonts w:cs="Arial"/>
          <w:color w:val="auto"/>
        </w:rPr>
        <w:t>Communication with Parent</w:t>
      </w:r>
      <w:r w:rsidR="00931A85" w:rsidRPr="001341A0">
        <w:rPr>
          <w:rFonts w:cs="Arial"/>
          <w:color w:val="auto"/>
        </w:rPr>
        <w:t xml:space="preserve"> – Communication about your child’s medicines</w:t>
      </w:r>
    </w:p>
    <w:p w14:paraId="057C5738" w14:textId="77777777" w:rsidR="00931A85" w:rsidRPr="001341A0" w:rsidRDefault="00314B49" w:rsidP="00AD309C">
      <w:pPr>
        <w:pStyle w:val="BodyText3"/>
        <w:numPr>
          <w:ilvl w:val="0"/>
          <w:numId w:val="187"/>
        </w:numPr>
        <w:rPr>
          <w:rFonts w:cs="Arial"/>
          <w:color w:val="auto"/>
        </w:rPr>
      </w:pPr>
      <w:r w:rsidRPr="001341A0">
        <w:rPr>
          <w:rFonts w:cs="Arial"/>
          <w:color w:val="auto"/>
        </w:rPr>
        <w:t>Communication with Parent</w:t>
      </w:r>
      <w:r w:rsidR="00931A85" w:rsidRPr="001341A0">
        <w:rPr>
          <w:rFonts w:cs="Arial"/>
          <w:color w:val="auto"/>
        </w:rPr>
        <w:t xml:space="preserve"> – Keeping you informed about your child’s care</w:t>
      </w:r>
    </w:p>
    <w:p w14:paraId="0E2AC2DC" w14:textId="77777777" w:rsidR="00931A85" w:rsidRPr="001341A0" w:rsidRDefault="00314B49" w:rsidP="00AD309C">
      <w:pPr>
        <w:pStyle w:val="BodyText3"/>
        <w:numPr>
          <w:ilvl w:val="0"/>
          <w:numId w:val="187"/>
        </w:numPr>
        <w:rPr>
          <w:rFonts w:cs="Arial"/>
          <w:color w:val="auto"/>
        </w:rPr>
      </w:pPr>
      <w:r w:rsidRPr="001341A0">
        <w:rPr>
          <w:rFonts w:cs="Arial"/>
          <w:color w:val="auto"/>
        </w:rPr>
        <w:t>Communication with Child</w:t>
      </w:r>
      <w:r w:rsidR="00931A85" w:rsidRPr="001341A0">
        <w:rPr>
          <w:rFonts w:cs="Arial"/>
          <w:color w:val="auto"/>
        </w:rPr>
        <w:t xml:space="preserve"> – How well nurses communicate with your child</w:t>
      </w:r>
    </w:p>
    <w:p w14:paraId="1982184A" w14:textId="77777777" w:rsidR="00931A85" w:rsidRPr="001341A0" w:rsidRDefault="00314B49" w:rsidP="00AD309C">
      <w:pPr>
        <w:pStyle w:val="BodyText3"/>
        <w:numPr>
          <w:ilvl w:val="0"/>
          <w:numId w:val="187"/>
        </w:numPr>
        <w:rPr>
          <w:rFonts w:cs="Arial"/>
          <w:color w:val="auto"/>
        </w:rPr>
      </w:pPr>
      <w:r w:rsidRPr="001341A0">
        <w:rPr>
          <w:rFonts w:cs="Arial"/>
          <w:color w:val="auto"/>
        </w:rPr>
        <w:t>Communication with Child</w:t>
      </w:r>
      <w:r w:rsidR="00931A85" w:rsidRPr="001341A0">
        <w:rPr>
          <w:rFonts w:cs="Arial"/>
          <w:color w:val="auto"/>
        </w:rPr>
        <w:t xml:space="preserve"> – How well doctors communicate with your child</w:t>
      </w:r>
    </w:p>
    <w:p w14:paraId="71947992" w14:textId="1C0C6B1E" w:rsidR="0002601E" w:rsidRPr="0002601E" w:rsidRDefault="00931A85" w:rsidP="00AD309C">
      <w:pPr>
        <w:pStyle w:val="BodyText3"/>
        <w:numPr>
          <w:ilvl w:val="0"/>
          <w:numId w:val="187"/>
        </w:numPr>
        <w:rPr>
          <w:rFonts w:cs="Arial"/>
          <w:color w:val="auto"/>
        </w:rPr>
      </w:pPr>
      <w:r w:rsidRPr="001341A0">
        <w:rPr>
          <w:rFonts w:cs="Arial"/>
          <w:color w:val="auto"/>
        </w:rPr>
        <w:t>Attention to Safety and Comfort – Preventing mistakes and helping you report concerns</w:t>
      </w:r>
    </w:p>
    <w:p w14:paraId="1AC76AAE" w14:textId="65711545" w:rsidR="0002601E" w:rsidRDefault="0002601E" w:rsidP="0002601E">
      <w:pPr>
        <w:pStyle w:val="BodyText3"/>
        <w:rPr>
          <w:rFonts w:cs="Arial"/>
          <w:color w:val="auto"/>
        </w:rPr>
      </w:pPr>
    </w:p>
    <w:p w14:paraId="3E49E443" w14:textId="10B73C70" w:rsidR="0002601E" w:rsidRPr="0002601E" w:rsidRDefault="0002601E" w:rsidP="0002601E">
      <w:pPr>
        <w:pStyle w:val="BodyText3"/>
        <w:rPr>
          <w:rFonts w:cs="Arial"/>
          <w:b/>
          <w:bCs/>
          <w:color w:val="auto"/>
        </w:rPr>
      </w:pPr>
      <w:r w:rsidRPr="0002601E">
        <w:rPr>
          <w:rFonts w:cs="Arial"/>
          <w:b/>
          <w:bCs/>
          <w:color w:val="auto"/>
        </w:rPr>
        <w:t xml:space="preserve">Each hospital achieving the standard for Pediatric Computed Tomography (CT) Dose: </w:t>
      </w:r>
    </w:p>
    <w:p w14:paraId="7597D517" w14:textId="7401B706" w:rsidR="00931A85" w:rsidRPr="001341A0" w:rsidRDefault="00931A85" w:rsidP="0002601E">
      <w:pPr>
        <w:pStyle w:val="BodyText3"/>
        <w:rPr>
          <w:rFonts w:cs="Arial"/>
          <w:color w:val="auto"/>
        </w:rPr>
      </w:pPr>
      <w:r w:rsidRPr="001341A0">
        <w:rPr>
          <w:rFonts w:cs="Arial"/>
          <w:color w:val="auto"/>
        </w:rPr>
        <w:t xml:space="preserve">Received 75% or more of the possible points based on comparing CT radiation doses across two anatomic areas </w:t>
      </w:r>
      <w:r w:rsidR="005F1256">
        <w:rPr>
          <w:rFonts w:cs="Arial"/>
          <w:color w:val="auto"/>
        </w:rPr>
        <w:t xml:space="preserve">(head and abdomen/pelvis) </w:t>
      </w:r>
      <w:r w:rsidRPr="001341A0">
        <w:rPr>
          <w:rFonts w:cs="Arial"/>
          <w:color w:val="auto"/>
        </w:rPr>
        <w:t xml:space="preserve">and </w:t>
      </w:r>
      <w:r w:rsidR="00560EEE">
        <w:rPr>
          <w:rFonts w:cs="Arial"/>
          <w:color w:val="auto"/>
        </w:rPr>
        <w:t>five</w:t>
      </w:r>
      <w:r w:rsidRPr="001341A0">
        <w:rPr>
          <w:rFonts w:cs="Arial"/>
          <w:color w:val="auto"/>
        </w:rPr>
        <w:t xml:space="preserve"> age strata to</w:t>
      </w:r>
      <w:r w:rsidR="005F1256">
        <w:rPr>
          <w:rFonts w:cs="Arial"/>
          <w:color w:val="auto"/>
        </w:rPr>
        <w:t xml:space="preserve"> national</w:t>
      </w:r>
      <w:r w:rsidRPr="001341A0">
        <w:rPr>
          <w:rFonts w:cs="Arial"/>
          <w:color w:val="auto"/>
        </w:rPr>
        <w:t xml:space="preserve"> benchmarks.</w:t>
      </w:r>
    </w:p>
    <w:p w14:paraId="0FB511E9" w14:textId="77777777" w:rsidR="00857762" w:rsidRDefault="00857762" w:rsidP="00857762">
      <w:pPr>
        <w:rPr>
          <w:rFonts w:cs="Arial"/>
          <w:b/>
        </w:rPr>
      </w:pPr>
    </w:p>
    <w:p w14:paraId="4FF4E592" w14:textId="0675698F" w:rsidR="00857762" w:rsidRPr="009A5185" w:rsidRDefault="00857762" w:rsidP="00857762">
      <w:pPr>
        <w:rPr>
          <w:rFonts w:cs="Arial"/>
          <w:b/>
        </w:rPr>
      </w:pPr>
      <w:r w:rsidRPr="009A5185">
        <w:rPr>
          <w:rFonts w:cs="Arial"/>
          <w:b/>
        </w:rPr>
        <w:t xml:space="preserve">Download the </w:t>
      </w:r>
      <w:r w:rsidR="00A236B1">
        <w:rPr>
          <w:rFonts w:cs="Arial"/>
          <w:b/>
        </w:rPr>
        <w:t>202</w:t>
      </w:r>
      <w:r w:rsidR="006C0089">
        <w:rPr>
          <w:rFonts w:cs="Arial"/>
          <w:b/>
        </w:rPr>
        <w:t>6</w:t>
      </w:r>
      <w:r w:rsidRPr="009A5185">
        <w:rPr>
          <w:rFonts w:cs="Arial"/>
          <w:b/>
        </w:rPr>
        <w:t xml:space="preserve"> Leapfrog Hospital Survey Scoring Algorithm on the </w:t>
      </w:r>
      <w:hyperlink r:id="rId436" w:history="1">
        <w:r w:rsidRPr="009A5185">
          <w:rPr>
            <w:rStyle w:val="Hyperlink"/>
            <w:rFonts w:cs="Arial"/>
            <w:b/>
          </w:rPr>
          <w:t>Scoring and Results webpage</w:t>
        </w:r>
      </w:hyperlink>
      <w:r w:rsidRPr="009A5185">
        <w:rPr>
          <w:rFonts w:cs="Arial"/>
          <w:b/>
        </w:rPr>
        <w:t>.</w:t>
      </w:r>
    </w:p>
    <w:p w14:paraId="43EC0126" w14:textId="77777777" w:rsidR="00857762" w:rsidRPr="009A5185" w:rsidRDefault="00857762" w:rsidP="0028154C">
      <w:pPr>
        <w:pStyle w:val="BodyText3"/>
        <w:rPr>
          <w:rFonts w:cs="Arial"/>
          <w:color w:val="auto"/>
        </w:rPr>
      </w:pPr>
    </w:p>
    <w:p w14:paraId="386DA779" w14:textId="77777777" w:rsidR="00230976" w:rsidRPr="009A5185" w:rsidRDefault="00230976">
      <w:pPr>
        <w:rPr>
          <w:rFonts w:cs="Arial"/>
          <w:b/>
        </w:rPr>
      </w:pPr>
      <w:r w:rsidRPr="009A5185">
        <w:rPr>
          <w:rFonts w:cs="Arial"/>
          <w:b/>
        </w:rPr>
        <w:br w:type="page"/>
      </w:r>
    </w:p>
    <w:p w14:paraId="61BE9FAD" w14:textId="77777777" w:rsidR="004B2891" w:rsidRPr="009A5185" w:rsidRDefault="004B2891" w:rsidP="0028154C">
      <w:pPr>
        <w:pStyle w:val="BodyText3"/>
        <w:rPr>
          <w:rFonts w:cs="Arial"/>
        </w:rPr>
      </w:pPr>
    </w:p>
    <w:p w14:paraId="0BE6A332" w14:textId="2C90DA53" w:rsidR="007F3F62" w:rsidRDefault="00DB33CD" w:rsidP="00CF5A6E">
      <w:pPr>
        <w:pStyle w:val="Heading2"/>
      </w:pPr>
      <w:bookmarkStart w:id="686" w:name="_Toc225877820"/>
      <w:r>
        <w:t>8</w:t>
      </w:r>
      <w:r w:rsidRPr="009A5185">
        <w:t>A</w:t>
      </w:r>
      <w:r>
        <w:t>:</w:t>
      </w:r>
      <w:r w:rsidRPr="009A5185">
        <w:t xml:space="preserve"> Patient Experience (CAHPS Child Hospital Survey)</w:t>
      </w:r>
      <w:bookmarkEnd w:id="686"/>
    </w:p>
    <w:p w14:paraId="51B1D3C4" w14:textId="77777777" w:rsidR="00DB33CD" w:rsidRPr="00FF6EC5" w:rsidRDefault="00DB33CD">
      <w:pPr>
        <w:rPr>
          <w:rFonts w:cs="Arial"/>
          <w:color w:val="000000"/>
        </w:rPr>
      </w:pPr>
    </w:p>
    <w:p w14:paraId="3C7353E6" w14:textId="0B4D1DEE" w:rsidR="0012772F" w:rsidRPr="009A5185" w:rsidRDefault="0012772F" w:rsidP="0012772F">
      <w:pPr>
        <w:rPr>
          <w:rFonts w:cs="Arial"/>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37" w:history="1">
        <w:r w:rsidRPr="009A5185">
          <w:rPr>
            <w:rStyle w:val="Hyperlink"/>
            <w:rFonts w:cs="Arial"/>
            <w:snapToGrid w:val="0"/>
          </w:rPr>
          <w:t>Leapfrog’s Multi-Campus Reporting Policy</w:t>
        </w:r>
      </w:hyperlink>
      <w:r w:rsidRPr="009A5185">
        <w:rPr>
          <w:rFonts w:cs="Arial"/>
          <w:snapToGrid w:val="0"/>
        </w:rPr>
        <w:t>.</w:t>
      </w:r>
    </w:p>
    <w:p w14:paraId="5359F0AF" w14:textId="77777777" w:rsidR="0012772F" w:rsidRPr="00FF6EC5" w:rsidRDefault="0012772F">
      <w:pPr>
        <w:rPr>
          <w:rFonts w:cs="Arial"/>
          <w:color w:val="000000"/>
        </w:rPr>
      </w:pPr>
    </w:p>
    <w:p w14:paraId="2A0F5BC2" w14:textId="77777777" w:rsidR="003D43E7" w:rsidRPr="009A5185" w:rsidRDefault="003D43E7" w:rsidP="003A1A40">
      <w:pPr>
        <w:pStyle w:val="BodyText3"/>
        <w:rPr>
          <w:rFonts w:cs="Arial"/>
          <w:b/>
          <w:color w:val="FF0000"/>
        </w:rPr>
      </w:pPr>
      <w:bookmarkStart w:id="687" w:name="_9B_Readmission_for"/>
      <w:bookmarkEnd w:id="687"/>
      <w:r w:rsidRPr="009A5185">
        <w:rPr>
          <w:rFonts w:cs="Arial"/>
          <w:b/>
          <w:color w:val="FF0000"/>
        </w:rPr>
        <w:t>Important Notes:</w:t>
      </w:r>
    </w:p>
    <w:p w14:paraId="2A3FDA7D" w14:textId="77777777" w:rsidR="003D43E7" w:rsidRPr="00FF6EC5" w:rsidRDefault="003D43E7" w:rsidP="003A1A40">
      <w:pPr>
        <w:pStyle w:val="BodyText3"/>
        <w:rPr>
          <w:rFonts w:cs="Arial"/>
          <w:b/>
          <w:color w:val="FF0000"/>
        </w:rPr>
      </w:pPr>
    </w:p>
    <w:p w14:paraId="6EADC0C4" w14:textId="3173EB46" w:rsidR="003A1A40" w:rsidRPr="00C665F4" w:rsidRDefault="003D43E7" w:rsidP="003A1A40">
      <w:pPr>
        <w:pStyle w:val="BodyText3"/>
        <w:rPr>
          <w:rFonts w:cs="Arial"/>
          <w:b/>
          <w:color w:val="FF0000"/>
        </w:rPr>
      </w:pPr>
      <w:r w:rsidRPr="009A5185">
        <w:rPr>
          <w:rFonts w:cs="Arial"/>
          <w:color w:val="auto"/>
        </w:rPr>
        <w:t xml:space="preserve">Note 1: </w:t>
      </w:r>
      <w:r w:rsidR="003A1A40" w:rsidRPr="009A5185">
        <w:rPr>
          <w:rFonts w:cs="Arial"/>
          <w:color w:val="auto"/>
        </w:rPr>
        <w:t xml:space="preserve">This </w:t>
      </w:r>
      <w:r w:rsidR="00B34039">
        <w:rPr>
          <w:rFonts w:cs="Arial"/>
          <w:color w:val="auto"/>
        </w:rPr>
        <w:t>sub</w:t>
      </w:r>
      <w:r w:rsidR="003A1A40" w:rsidRPr="009A5185">
        <w:rPr>
          <w:rFonts w:cs="Arial"/>
          <w:color w:val="auto"/>
        </w:rPr>
        <w:t>section is only applicable to hospitals that care for patients 17 years of age or younger.</w:t>
      </w:r>
      <w:r w:rsidR="00C665F4">
        <w:rPr>
          <w:rFonts w:cs="Arial"/>
          <w:color w:val="auto"/>
        </w:rPr>
        <w:t xml:space="preserve"> </w:t>
      </w:r>
      <w:r w:rsidR="0056464E" w:rsidRPr="00D65BBD">
        <w:rPr>
          <w:rFonts w:cs="Arial"/>
          <w:bCs/>
          <w:color w:val="auto"/>
        </w:rPr>
        <w:t xml:space="preserve">Hospitals that do </w:t>
      </w:r>
      <w:r w:rsidR="00D73A36">
        <w:rPr>
          <w:rFonts w:cs="Arial"/>
          <w:bCs/>
          <w:color w:val="auto"/>
        </w:rPr>
        <w:t xml:space="preserve">not </w:t>
      </w:r>
      <w:r w:rsidR="0056464E">
        <w:rPr>
          <w:rFonts w:cs="Arial"/>
          <w:bCs/>
          <w:color w:val="auto"/>
        </w:rPr>
        <w:t xml:space="preserve">care for patients </w:t>
      </w:r>
      <w:r w:rsidR="0056464E" w:rsidRPr="00D65BBD">
        <w:rPr>
          <w:rFonts w:cs="Arial"/>
          <w:bCs/>
          <w:color w:val="auto"/>
        </w:rPr>
        <w:t xml:space="preserve">17 years of age or younger should respond “no” to question #2 in </w:t>
      </w:r>
      <w:r w:rsidR="00560EEE">
        <w:rPr>
          <w:rFonts w:cs="Arial"/>
          <w:bCs/>
          <w:color w:val="auto"/>
        </w:rPr>
        <w:t>8</w:t>
      </w:r>
      <w:r w:rsidR="0056464E">
        <w:rPr>
          <w:rFonts w:cs="Arial"/>
          <w:bCs/>
          <w:color w:val="auto"/>
        </w:rPr>
        <w:t>A</w:t>
      </w:r>
      <w:r w:rsidR="0056464E" w:rsidRPr="00D65BBD">
        <w:rPr>
          <w:rFonts w:cs="Arial"/>
          <w:bCs/>
          <w:color w:val="auto"/>
        </w:rPr>
        <w:t xml:space="preserve"> and move on to </w:t>
      </w:r>
      <w:r w:rsidR="00560EEE">
        <w:rPr>
          <w:rFonts w:cs="Arial"/>
          <w:bCs/>
          <w:color w:val="auto"/>
        </w:rPr>
        <w:t>8</w:t>
      </w:r>
      <w:r w:rsidR="0056464E">
        <w:rPr>
          <w:rFonts w:cs="Arial"/>
          <w:bCs/>
          <w:color w:val="auto"/>
        </w:rPr>
        <w:t xml:space="preserve">B. </w:t>
      </w:r>
      <w:r w:rsidR="0056464E" w:rsidRPr="00D65BBD">
        <w:rPr>
          <w:rFonts w:cs="Arial"/>
          <w:bCs/>
          <w:color w:val="auto"/>
        </w:rPr>
        <w:t>Your hospital’s results will be displayed a</w:t>
      </w:r>
      <w:r w:rsidR="00FE0E25">
        <w:rPr>
          <w:rFonts w:cs="Arial"/>
          <w:bCs/>
          <w:color w:val="auto"/>
        </w:rPr>
        <w:t>s</w:t>
      </w:r>
      <w:r w:rsidR="0056464E" w:rsidRPr="00D65BBD">
        <w:rPr>
          <w:rFonts w:cs="Arial"/>
          <w:bCs/>
          <w:color w:val="auto"/>
        </w:rPr>
        <w:t xml:space="preserve"> “Does Not Apply”</w:t>
      </w:r>
      <w:r w:rsidR="0056464E">
        <w:rPr>
          <w:rFonts w:cs="Arial"/>
          <w:bCs/>
          <w:color w:val="auto"/>
        </w:rPr>
        <w:t xml:space="preserve"> </w:t>
      </w:r>
      <w:r w:rsidR="00B34039">
        <w:rPr>
          <w:rFonts w:cs="Arial"/>
          <w:bCs/>
          <w:color w:val="auto"/>
        </w:rPr>
        <w:t xml:space="preserve">on </w:t>
      </w:r>
      <w:r w:rsidR="0056464E" w:rsidRPr="00D65BBD">
        <w:rPr>
          <w:rFonts w:cs="Arial"/>
          <w:bCs/>
          <w:color w:val="auto"/>
        </w:rPr>
        <w:t>Leapfrog’s public reporting website.</w:t>
      </w:r>
    </w:p>
    <w:p w14:paraId="1AC90F1C" w14:textId="77777777" w:rsidR="003D43E7" w:rsidRPr="00FF6EC5" w:rsidRDefault="003D43E7">
      <w:pPr>
        <w:rPr>
          <w:rFonts w:cs="Arial"/>
        </w:rPr>
      </w:pPr>
    </w:p>
    <w:p w14:paraId="2E55769F" w14:textId="0B29CFA9" w:rsidR="003D43E7" w:rsidRPr="009A5185" w:rsidRDefault="00244AAA">
      <w:pPr>
        <w:rPr>
          <w:rFonts w:cs="Arial"/>
        </w:rPr>
      </w:pPr>
      <w:r w:rsidRPr="009A5185">
        <w:rPr>
          <w:rFonts w:cs="Arial"/>
        </w:rPr>
        <w:t>Note 2</w:t>
      </w:r>
      <w:r w:rsidR="003D43E7" w:rsidRPr="009A5185">
        <w:rPr>
          <w:rFonts w:cs="Arial"/>
        </w:rPr>
        <w:t xml:space="preserve">: </w:t>
      </w:r>
      <w:r w:rsidR="00BF65F6">
        <w:rPr>
          <w:rFonts w:cs="Arial"/>
        </w:rPr>
        <w:t xml:space="preserve">To help ensure that the </w:t>
      </w:r>
      <w:hyperlink w:anchor="Endnote48_TopBox" w:history="1">
        <w:r w:rsidR="00BF65F6" w:rsidRPr="001A699F">
          <w:rPr>
            <w:rStyle w:val="Hyperlink"/>
            <w:rFonts w:cs="Arial"/>
          </w:rPr>
          <w:t>Top Box Scores</w:t>
        </w:r>
      </w:hyperlink>
      <w:r w:rsidR="001A699F" w:rsidRPr="00653AE3">
        <w:rPr>
          <w:rFonts w:cs="Arial"/>
        </w:rPr>
        <w:fldChar w:fldCharType="begin"/>
      </w:r>
      <w:r w:rsidR="001A699F" w:rsidRPr="00653AE3">
        <w:rPr>
          <w:rFonts w:cs="Arial"/>
        </w:rPr>
        <w:instrText xml:space="preserve"> NOTEREF _Ref534391669 \f \h </w:instrText>
      </w:r>
      <w:r w:rsidR="001A699F" w:rsidRPr="00653AE3">
        <w:rPr>
          <w:rFonts w:cs="Arial"/>
        </w:rPr>
      </w:r>
      <w:r w:rsidR="001A699F" w:rsidRPr="00653AE3">
        <w:rPr>
          <w:rFonts w:cs="Arial"/>
        </w:rPr>
        <w:fldChar w:fldCharType="separate"/>
      </w:r>
      <w:r w:rsidR="007D53A2" w:rsidRPr="00231ED2">
        <w:rPr>
          <w:rStyle w:val="EndnoteReference"/>
        </w:rPr>
        <w:t>51</w:t>
      </w:r>
      <w:r w:rsidR="001A699F" w:rsidRPr="00653AE3">
        <w:rPr>
          <w:rFonts w:cs="Arial"/>
        </w:rPr>
        <w:fldChar w:fldCharType="end"/>
      </w:r>
      <w:r w:rsidR="00BF65F6">
        <w:rPr>
          <w:rFonts w:cs="Arial"/>
        </w:rPr>
        <w:t xml:space="preserve"> represent an appropriate sample of patients, hospitals must have at least 100 pediatric acute-care admissions to inpatient units other than a neonatal ICU (NICU). Otherwise, they should respond “Yes, but fewer than 100 pediatric admissions were for non-NICU patients</w:t>
      </w:r>
      <w:r w:rsidR="003D43E7" w:rsidRPr="009A5185">
        <w:rPr>
          <w:rFonts w:cs="Arial"/>
        </w:rPr>
        <w:t>” to question #2 and skip the rema</w:t>
      </w:r>
      <w:r w:rsidR="00BF65F6">
        <w:rPr>
          <w:rFonts w:cs="Arial"/>
        </w:rPr>
        <w:t xml:space="preserve">ining questions in Section </w:t>
      </w:r>
      <w:r w:rsidR="00560EEE">
        <w:rPr>
          <w:rFonts w:cs="Arial"/>
        </w:rPr>
        <w:t>8</w:t>
      </w:r>
      <w:r w:rsidR="00BF65F6">
        <w:rPr>
          <w:rFonts w:cs="Arial"/>
        </w:rPr>
        <w:t xml:space="preserve">A. </w:t>
      </w:r>
      <w:r w:rsidR="003D43E7" w:rsidRPr="009A5185">
        <w:rPr>
          <w:rFonts w:cs="Arial"/>
        </w:rPr>
        <w:t>The hospital will be scored as “Does Not Apply</w:t>
      </w:r>
      <w:r w:rsidR="00664BDF">
        <w:rPr>
          <w:rFonts w:cs="Arial"/>
        </w:rPr>
        <w:t>.</w:t>
      </w:r>
      <w:r w:rsidR="003D43E7" w:rsidRPr="009A5185">
        <w:rPr>
          <w:rFonts w:cs="Arial"/>
        </w:rPr>
        <w:t>”</w:t>
      </w:r>
      <w:r w:rsidR="00BF65F6">
        <w:rPr>
          <w:rFonts w:cs="Arial"/>
        </w:rPr>
        <w:t xml:space="preserve"> For example, if your hospital had 600 pediatric acute-care admissions, and 550 of those admissions were to a neonatal ICU, you should respond “Yes, but fewer than 100 pediatric admissions were for non-NICU patients” to question #2 as your hospital only has 50 admissions to inpatient units other than a neonatal ICU. </w:t>
      </w:r>
    </w:p>
    <w:p w14:paraId="1FB47640" w14:textId="77777777" w:rsidR="005D3D07" w:rsidRPr="00FF6EC5" w:rsidRDefault="005D3D07">
      <w:pPr>
        <w:rPr>
          <w:rFonts w:cs="Arial"/>
        </w:rPr>
      </w:pPr>
    </w:p>
    <w:p w14:paraId="69292979" w14:textId="5A82C7F5" w:rsidR="00244AAA" w:rsidRDefault="00244AAA" w:rsidP="00244AAA">
      <w:pPr>
        <w:rPr>
          <w:rFonts w:cs="Arial"/>
        </w:rPr>
      </w:pPr>
      <w:r w:rsidRPr="009A5185">
        <w:rPr>
          <w:rFonts w:cs="Arial"/>
          <w:b/>
          <w:snapToGrid w:val="0"/>
        </w:rPr>
        <w:t xml:space="preserve">Specifications: </w:t>
      </w:r>
      <w:r w:rsidRPr="009A5185">
        <w:rPr>
          <w:rFonts w:cs="Arial"/>
          <w:snapToGrid w:val="0"/>
        </w:rPr>
        <w:t xml:space="preserve">See </w:t>
      </w:r>
      <w:hyperlink w:anchor="CAHPSSpecs" w:history="1">
        <w:r w:rsidR="00921D33">
          <w:rPr>
            <w:rStyle w:val="Hyperlink"/>
            <w:rFonts w:cs="Arial"/>
            <w:b/>
            <w:i/>
          </w:rPr>
          <w:t>Patient Experience (CAHPS Child Hospital Survey) Measure Specifications</w:t>
        </w:r>
      </w:hyperlink>
      <w:r w:rsidRPr="009A5185">
        <w:rPr>
          <w:rFonts w:cs="Arial"/>
          <w:snapToGrid w:val="0"/>
        </w:rPr>
        <w:t xml:space="preserve"> in the Reference Information </w:t>
      </w:r>
      <w:r w:rsidR="00127E33">
        <w:rPr>
          <w:rFonts w:cs="Arial"/>
        </w:rPr>
        <w:t xml:space="preserve">beginning on page </w:t>
      </w:r>
      <w:r w:rsidR="007D12FE">
        <w:rPr>
          <w:rFonts w:cs="Arial"/>
        </w:rPr>
        <w:t>28</w:t>
      </w:r>
      <w:r w:rsidR="002D6D62">
        <w:rPr>
          <w:rFonts w:cs="Arial"/>
        </w:rPr>
        <w:t>1</w:t>
      </w:r>
      <w:r w:rsidR="007D12FE">
        <w:rPr>
          <w:rFonts w:cs="Arial"/>
        </w:rPr>
        <w:t>.</w:t>
      </w:r>
    </w:p>
    <w:p w14:paraId="2E23C6BE" w14:textId="77777777" w:rsidR="00FF6EC5" w:rsidRPr="009A5185" w:rsidRDefault="00FF6EC5" w:rsidP="00244AAA">
      <w:pPr>
        <w:rPr>
          <w:rFonts w:cs="Arial"/>
          <w:snapToGrid w:val="0"/>
        </w:rPr>
      </w:pPr>
    </w:p>
    <w:p w14:paraId="76157955" w14:textId="517F7291" w:rsidR="00244AAA" w:rsidRPr="009A5185" w:rsidRDefault="00FF6EC5">
      <w:pPr>
        <w:rPr>
          <w:rFonts w:cs="Arial"/>
        </w:rPr>
      </w:pPr>
      <w:r w:rsidRPr="00FF6EC5">
        <w:rPr>
          <w:rFonts w:cs="Arial"/>
          <w:noProof/>
        </w:rPr>
        <mc:AlternateContent>
          <mc:Choice Requires="wps">
            <w:drawing>
              <wp:inline distT="0" distB="0" distL="0" distR="0" wp14:anchorId="215B0D94" wp14:editId="2FF3E103">
                <wp:extent cx="6329238" cy="1404620"/>
                <wp:effectExtent l="0" t="0" r="14605" b="25400"/>
                <wp:docPr id="41" name="Text Box 41" descr="P10235TB3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238" cy="1404620"/>
                        </a:xfrm>
                        <a:prstGeom prst="rect">
                          <a:avLst/>
                        </a:prstGeom>
                        <a:solidFill>
                          <a:srgbClr val="FFFFFF"/>
                        </a:solidFill>
                        <a:ln w="9525">
                          <a:solidFill>
                            <a:srgbClr val="FF0000"/>
                          </a:solidFill>
                          <a:miter lim="800000"/>
                          <a:headEnd/>
                          <a:tailEnd/>
                        </a:ln>
                      </wps:spPr>
                      <wps:txbx>
                        <w:txbxContent>
                          <w:p w14:paraId="13AF9A92" w14:textId="56933AD5" w:rsidR="00FF6EC5" w:rsidRPr="009A5185" w:rsidRDefault="00FF6EC5" w:rsidP="00FF6EC5">
                            <w:pPr>
                              <w:spacing w:before="40"/>
                              <w:rPr>
                                <w:rFonts w:cs="Arial"/>
                                <w:b/>
                                <w:snapToGrid w:val="0"/>
                              </w:rPr>
                            </w:pPr>
                            <w:r w:rsidRPr="009A5185">
                              <w:rPr>
                                <w:rFonts w:cs="Arial"/>
                                <w:b/>
                                <w:snapToGrid w:val="0"/>
                              </w:rPr>
                              <w:t>Reporting Period: 12 months</w:t>
                            </w:r>
                          </w:p>
                          <w:p w14:paraId="52C99FD7" w14:textId="77777777" w:rsidR="00FF6EC5" w:rsidRDefault="00FF6EC5" w:rsidP="00FF6EC5">
                            <w:pPr>
                              <w:spacing w:before="40"/>
                              <w:rPr>
                                <w:rFonts w:cs="Arial"/>
                                <w:snapToGrid w:val="0"/>
                              </w:rPr>
                            </w:pPr>
                            <w:r w:rsidRPr="009A5185">
                              <w:rPr>
                                <w:rFonts w:cs="Arial"/>
                                <w:snapToGrid w:val="0"/>
                              </w:rPr>
                              <w:t>Answer questions #1-</w:t>
                            </w:r>
                            <w:r>
                              <w:rPr>
                                <w:rFonts w:cs="Arial"/>
                                <w:snapToGrid w:val="0"/>
                              </w:rPr>
                              <w:t>12</w:t>
                            </w:r>
                            <w:r w:rsidRPr="009A5185">
                              <w:rPr>
                                <w:rFonts w:cs="Arial"/>
                                <w:snapToGrid w:val="0"/>
                              </w:rPr>
                              <w:t xml:space="preserve"> for the latest 12-month period prior to the submission of this section of the Survey.</w:t>
                            </w:r>
                          </w:p>
                          <w:p w14:paraId="1C05DBEA" w14:textId="77777777" w:rsidR="00FF6EC5" w:rsidRDefault="00FF6EC5" w:rsidP="00FF6EC5">
                            <w:pPr>
                              <w:spacing w:before="40"/>
                              <w:rPr>
                                <w:rFonts w:cs="Arial"/>
                                <w:snapToGrid w:val="0"/>
                              </w:rPr>
                            </w:pPr>
                          </w:p>
                          <w:p w14:paraId="54F07515" w14:textId="0F80ADAB" w:rsidR="00FF6EC5" w:rsidRDefault="00FF6EC5" w:rsidP="00FF6EC5">
                            <w:r w:rsidRPr="006547C0">
                              <w:rPr>
                                <w:rFonts w:cs="Arial"/>
                                <w:sz w:val="16"/>
                                <w:szCs w:val="16"/>
                              </w:rPr>
                              <w:t xml:space="preserve">Note: As a reminder, the </w:t>
                            </w:r>
                            <w:hyperlink r:id="rId438"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215B0D94" id="_x0000_s1057" type="#_x0000_t202" alt="P10235TB30#y1" style="width:498.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" strokecolor="red">
                <v:textbox style="mso-fit-shape-to-text:t">
                  <w:txbxContent>
                    <w:p w14:paraId="13AF9A92" w14:textId="56933AD5" w:rsidR="00FF6EC5" w:rsidRPr="009A5185" w:rsidRDefault="00FF6EC5" w:rsidP="00FF6EC5">
                      <w:pPr>
                        <w:spacing w:before="40"/>
                        <w:rPr>
                          <w:rFonts w:cs="Arial"/>
                          <w:b/>
                          <w:snapToGrid w:val="0"/>
                        </w:rPr>
                      </w:pPr>
                      <w:r w:rsidRPr="009A5185">
                        <w:rPr>
                          <w:rFonts w:cs="Arial"/>
                          <w:b/>
                          <w:snapToGrid w:val="0"/>
                        </w:rPr>
                        <w:t>Reporting Period: 12 months</w:t>
                      </w:r>
                    </w:p>
                    <w:p w14:paraId="52C99FD7" w14:textId="77777777" w:rsidR="00FF6EC5" w:rsidRDefault="00FF6EC5" w:rsidP="00FF6EC5">
                      <w:pPr>
                        <w:spacing w:before="40"/>
                        <w:rPr>
                          <w:rFonts w:cs="Arial"/>
                          <w:snapToGrid w:val="0"/>
                        </w:rPr>
                      </w:pPr>
                      <w:r w:rsidRPr="009A5185">
                        <w:rPr>
                          <w:rFonts w:cs="Arial"/>
                          <w:snapToGrid w:val="0"/>
                        </w:rPr>
                        <w:t>Answer questions #1-</w:t>
                      </w:r>
                      <w:r>
                        <w:rPr>
                          <w:rFonts w:cs="Arial"/>
                          <w:snapToGrid w:val="0"/>
                        </w:rPr>
                        <w:t>12</w:t>
                      </w:r>
                      <w:r w:rsidRPr="009A5185">
                        <w:rPr>
                          <w:rFonts w:cs="Arial"/>
                          <w:snapToGrid w:val="0"/>
                        </w:rPr>
                        <w:t xml:space="preserve"> for the latest 12-month period prior to the submission of this section of the Survey.</w:t>
                      </w:r>
                    </w:p>
                    <w:p w14:paraId="1C05DBEA" w14:textId="77777777" w:rsidR="00FF6EC5" w:rsidRDefault="00FF6EC5" w:rsidP="00FF6EC5">
                      <w:pPr>
                        <w:spacing w:before="40"/>
                        <w:rPr>
                          <w:rFonts w:cs="Arial"/>
                          <w:snapToGrid w:val="0"/>
                        </w:rPr>
                      </w:pPr>
                    </w:p>
                    <w:p w14:paraId="54F07515" w14:textId="0F80ADAB" w:rsidR="00FF6EC5" w:rsidRDefault="00FF6EC5" w:rsidP="00FF6EC5">
                      <w:r w:rsidRPr="006547C0">
                        <w:rPr>
                          <w:rFonts w:cs="Arial"/>
                          <w:sz w:val="16"/>
                          <w:szCs w:val="16"/>
                        </w:rPr>
                        <w:t xml:space="preserve">Note: As a reminder, the </w:t>
                      </w:r>
                      <w:hyperlink r:id="rId439"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3C942EB1" w14:textId="77777777" w:rsidR="005D3D07" w:rsidRPr="00FF6EC5" w:rsidRDefault="005D3D07">
      <w:pPr>
        <w:rPr>
          <w:rFonts w:cs="Arial"/>
        </w:rPr>
      </w:pP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7"/>
        <w:gridCol w:w="2908"/>
      </w:tblGrid>
      <w:tr w:rsidR="005D3D07" w:rsidRPr="009A5185" w14:paraId="3B7D3754" w14:textId="77777777" w:rsidTr="002D5AA9">
        <w:trPr>
          <w:trHeight w:val="20"/>
        </w:trPr>
        <w:tc>
          <w:tcPr>
            <w:tcW w:w="7067" w:type="dxa"/>
            <w:vAlign w:val="center"/>
          </w:tcPr>
          <w:p w14:paraId="1BD01325" w14:textId="6F39D84F" w:rsidR="005D3D07" w:rsidRPr="009A5185" w:rsidRDefault="002D77A1" w:rsidP="00AD309C">
            <w:pPr>
              <w:numPr>
                <w:ilvl w:val="0"/>
                <w:numId w:val="50"/>
              </w:numPr>
              <w:spacing w:before="120" w:after="120"/>
              <w:rPr>
                <w:rFonts w:cs="Arial"/>
              </w:rPr>
            </w:pPr>
            <w:r w:rsidRPr="009A5185">
              <w:rPr>
                <w:rFonts w:cs="Arial"/>
              </w:rPr>
              <w:t>What is the latest 12-month reporting period for which your hospital is submitting responses to this section? 12-month reporting period</w:t>
            </w:r>
            <w:r w:rsidR="00734158" w:rsidRPr="009A5185">
              <w:rPr>
                <w:rFonts w:cs="Arial"/>
              </w:rPr>
              <w:t xml:space="preserve"> ending</w:t>
            </w:r>
            <w:r w:rsidRPr="009A5185">
              <w:rPr>
                <w:rFonts w:cs="Arial"/>
              </w:rPr>
              <w:t>:</w:t>
            </w:r>
          </w:p>
        </w:tc>
        <w:tc>
          <w:tcPr>
            <w:tcW w:w="2908" w:type="dxa"/>
            <w:vAlign w:val="center"/>
          </w:tcPr>
          <w:p w14:paraId="4A69F783" w14:textId="67AE5FC0" w:rsidR="002D77A1" w:rsidRPr="009A5185" w:rsidRDefault="00560EEE" w:rsidP="00560EEE">
            <w:pPr>
              <w:jc w:val="center"/>
              <w:rPr>
                <w:rFonts w:cs="Arial"/>
              </w:rPr>
            </w:pPr>
            <w:r>
              <w:rPr>
                <w:rFonts w:cs="Arial"/>
                <w:snapToGrid w:val="0"/>
              </w:rPr>
              <w:t>__</w:t>
            </w:r>
            <w:r w:rsidR="002D77A1" w:rsidRPr="009A5185">
              <w:rPr>
                <w:rFonts w:cs="Arial"/>
              </w:rPr>
              <w:t>____</w:t>
            </w:r>
          </w:p>
          <w:p w14:paraId="5E494231" w14:textId="4ADF915C" w:rsidR="002D77A1" w:rsidRPr="009A5185" w:rsidRDefault="002D77A1" w:rsidP="00560EEE">
            <w:pPr>
              <w:jc w:val="center"/>
              <w:rPr>
                <w:rFonts w:cs="Arial"/>
                <w:i/>
                <w:snapToGrid w:val="0"/>
              </w:rPr>
            </w:pPr>
            <w:r w:rsidRPr="009A5185">
              <w:rPr>
                <w:rFonts w:cs="Arial"/>
                <w:i/>
                <w:snapToGrid w:val="0"/>
                <w:sz w:val="16"/>
                <w:szCs w:val="16"/>
              </w:rPr>
              <w:t>Format: M</w:t>
            </w:r>
            <w:r w:rsidR="00971518">
              <w:rPr>
                <w:rFonts w:cs="Arial"/>
                <w:i/>
                <w:snapToGrid w:val="0"/>
                <w:sz w:val="16"/>
                <w:szCs w:val="16"/>
              </w:rPr>
              <w:t>on</w:t>
            </w:r>
            <w:r w:rsidR="0074456F">
              <w:rPr>
                <w:rFonts w:cs="Arial"/>
                <w:i/>
                <w:snapToGrid w:val="0"/>
                <w:sz w:val="16"/>
                <w:szCs w:val="16"/>
              </w:rPr>
              <w:t>th</w:t>
            </w:r>
            <w:r w:rsidRPr="009A5185">
              <w:rPr>
                <w:rFonts w:cs="Arial"/>
                <w:i/>
                <w:snapToGrid w:val="0"/>
                <w:sz w:val="16"/>
                <w:szCs w:val="16"/>
              </w:rPr>
              <w:t>/Y</w:t>
            </w:r>
            <w:r w:rsidR="0074456F">
              <w:rPr>
                <w:rFonts w:cs="Arial"/>
                <w:i/>
                <w:snapToGrid w:val="0"/>
                <w:sz w:val="16"/>
                <w:szCs w:val="16"/>
              </w:rPr>
              <w:t>ear</w:t>
            </w:r>
          </w:p>
        </w:tc>
      </w:tr>
      <w:tr w:rsidR="00404E56" w:rsidRPr="009A5185" w14:paraId="52365BB4" w14:textId="77777777" w:rsidTr="003E37E3">
        <w:trPr>
          <w:trHeight w:val="2160"/>
        </w:trPr>
        <w:tc>
          <w:tcPr>
            <w:tcW w:w="7067" w:type="dxa"/>
            <w:vAlign w:val="center"/>
          </w:tcPr>
          <w:p w14:paraId="4DC07013" w14:textId="77777777" w:rsidR="00FE1E3D" w:rsidRPr="009A5185" w:rsidRDefault="00D623D8" w:rsidP="00AD309C">
            <w:pPr>
              <w:pStyle w:val="ListParagraph"/>
              <w:numPr>
                <w:ilvl w:val="0"/>
                <w:numId w:val="61"/>
              </w:numPr>
              <w:rPr>
                <w:rFonts w:cs="Arial"/>
              </w:rPr>
            </w:pPr>
            <w:r w:rsidRPr="009A5185">
              <w:rPr>
                <w:rFonts w:cs="Arial"/>
              </w:rPr>
              <w:t xml:space="preserve">Did your hospital have at least </w:t>
            </w:r>
            <w:r w:rsidR="00B816E7" w:rsidRPr="009A5185">
              <w:rPr>
                <w:rFonts w:cs="Arial"/>
              </w:rPr>
              <w:t>500</w:t>
            </w:r>
            <w:r w:rsidRPr="009A5185">
              <w:rPr>
                <w:rFonts w:cs="Arial"/>
              </w:rPr>
              <w:t xml:space="preserve"> pediatric acute-care admissions during the </w:t>
            </w:r>
            <w:r w:rsidR="004C6F16" w:rsidRPr="009A5185">
              <w:rPr>
                <w:rFonts w:cs="Arial"/>
              </w:rPr>
              <w:t>12-month p</w:t>
            </w:r>
            <w:r w:rsidR="00923671" w:rsidRPr="009A5185">
              <w:rPr>
                <w:rFonts w:cs="Arial"/>
              </w:rPr>
              <w:t>eriod referenced in Section 1, q</w:t>
            </w:r>
            <w:r w:rsidR="004C6F16" w:rsidRPr="009A5185">
              <w:rPr>
                <w:rFonts w:cs="Arial"/>
              </w:rPr>
              <w:t>uestion #5</w:t>
            </w:r>
            <w:r w:rsidRPr="009A5185">
              <w:rPr>
                <w:rFonts w:cs="Arial"/>
              </w:rPr>
              <w:t>?</w:t>
            </w:r>
          </w:p>
          <w:p w14:paraId="6A986B95" w14:textId="77777777" w:rsidR="00D623D8" w:rsidRPr="009A5185" w:rsidRDefault="00D623D8" w:rsidP="003E37E3">
            <w:pPr>
              <w:ind w:left="360"/>
              <w:rPr>
                <w:rFonts w:cs="Arial"/>
              </w:rPr>
            </w:pPr>
          </w:p>
          <w:p w14:paraId="7464156F" w14:textId="24F93AEE" w:rsidR="00360059" w:rsidRDefault="00FE1E3D" w:rsidP="003E37E3">
            <w:pPr>
              <w:ind w:left="360"/>
              <w:rPr>
                <w:rFonts w:cs="Arial"/>
                <w:i/>
              </w:rPr>
            </w:pPr>
            <w:r w:rsidRPr="009A5185">
              <w:rPr>
                <w:rFonts w:cs="Arial"/>
                <w:i/>
              </w:rPr>
              <w:t>Refer to your response</w:t>
            </w:r>
            <w:r w:rsidR="000D708D">
              <w:rPr>
                <w:rFonts w:cs="Arial"/>
                <w:i/>
              </w:rPr>
              <w:t>s</w:t>
            </w:r>
            <w:r w:rsidRPr="009A5185">
              <w:rPr>
                <w:rFonts w:cs="Arial"/>
                <w:i/>
              </w:rPr>
              <w:t xml:space="preserve"> to question</w:t>
            </w:r>
            <w:r w:rsidR="000D708D">
              <w:rPr>
                <w:rFonts w:cs="Arial"/>
                <w:i/>
              </w:rPr>
              <w:t>s</w:t>
            </w:r>
            <w:r w:rsidRPr="009A5185">
              <w:rPr>
                <w:rFonts w:cs="Arial"/>
                <w:i/>
              </w:rPr>
              <w:t xml:space="preserve"> #5</w:t>
            </w:r>
            <w:r w:rsidR="000D708D">
              <w:rPr>
                <w:rFonts w:cs="Arial"/>
                <w:i/>
              </w:rPr>
              <w:t xml:space="preserve"> and #1</w:t>
            </w:r>
            <w:r w:rsidR="009F5229">
              <w:rPr>
                <w:rFonts w:cs="Arial"/>
                <w:i/>
              </w:rPr>
              <w:t>2</w:t>
            </w:r>
            <w:r w:rsidRPr="009A5185">
              <w:rPr>
                <w:rFonts w:cs="Arial"/>
                <w:i/>
              </w:rPr>
              <w:t xml:space="preserve"> in </w:t>
            </w:r>
            <w:hyperlink w:anchor="_1A:_Basic_Hospital" w:history="1">
              <w:r w:rsidRPr="009A5185">
                <w:rPr>
                  <w:rStyle w:val="Hyperlink"/>
                  <w:rFonts w:cs="Arial"/>
                  <w:i/>
                </w:rPr>
                <w:t>Section 1</w:t>
              </w:r>
              <w:r w:rsidR="00D35771">
                <w:rPr>
                  <w:rStyle w:val="Hyperlink"/>
                  <w:rFonts w:cs="Arial"/>
                  <w:i/>
                </w:rPr>
                <w:t>A</w:t>
              </w:r>
              <w:r w:rsidR="005F6F34">
                <w:rPr>
                  <w:rStyle w:val="Hyperlink"/>
                  <w:rFonts w:cs="Arial"/>
                  <w:i/>
                </w:rPr>
                <w:t>:</w:t>
              </w:r>
              <w:r w:rsidRPr="009A5185">
                <w:rPr>
                  <w:rStyle w:val="Hyperlink"/>
                  <w:rFonts w:cs="Arial"/>
                  <w:i/>
                </w:rPr>
                <w:t xml:space="preserve"> Basic Hospital Information</w:t>
              </w:r>
            </w:hyperlink>
            <w:r w:rsidRPr="009A5185">
              <w:rPr>
                <w:rFonts w:cs="Arial"/>
                <w:i/>
              </w:rPr>
              <w:t>.</w:t>
            </w:r>
            <w:r w:rsidR="00044480" w:rsidRPr="009A5185">
              <w:rPr>
                <w:rFonts w:cs="Arial"/>
                <w:i/>
              </w:rPr>
              <w:t xml:space="preserve"> </w:t>
            </w:r>
          </w:p>
          <w:p w14:paraId="3E972927" w14:textId="77777777" w:rsidR="00360059" w:rsidRDefault="00360059" w:rsidP="003E37E3">
            <w:pPr>
              <w:ind w:left="360"/>
              <w:rPr>
                <w:rFonts w:cs="Arial"/>
                <w:i/>
              </w:rPr>
            </w:pPr>
          </w:p>
          <w:p w14:paraId="0B5D833B" w14:textId="13512671" w:rsidR="00FC1052" w:rsidRPr="003E37E3" w:rsidRDefault="00404E56" w:rsidP="003E37E3">
            <w:pPr>
              <w:ind w:left="360"/>
              <w:rPr>
                <w:rFonts w:cs="Arial"/>
                <w:i/>
              </w:rPr>
            </w:pPr>
            <w:r w:rsidRPr="002D735F">
              <w:rPr>
                <w:rFonts w:cs="Arial"/>
                <w:i/>
              </w:rPr>
              <w:t>If “no”</w:t>
            </w:r>
            <w:r w:rsidR="00B811B6" w:rsidRPr="002D735F">
              <w:rPr>
                <w:rFonts w:cs="Arial"/>
                <w:i/>
              </w:rPr>
              <w:t xml:space="preserve"> </w:t>
            </w:r>
            <w:r w:rsidR="009F5A9D" w:rsidRPr="002D735F">
              <w:rPr>
                <w:rFonts w:cs="Arial"/>
                <w:i/>
              </w:rPr>
              <w:t>or “yes, but fewer than 100 pediatric admi</w:t>
            </w:r>
            <w:r w:rsidR="000A63E5" w:rsidRPr="002D735F">
              <w:rPr>
                <w:rFonts w:cs="Arial"/>
                <w:i/>
              </w:rPr>
              <w:t>s</w:t>
            </w:r>
            <w:r w:rsidR="009F5A9D" w:rsidRPr="002D735F">
              <w:rPr>
                <w:rFonts w:cs="Arial"/>
                <w:i/>
              </w:rPr>
              <w:t>sions were for non-NICU patients</w:t>
            </w:r>
            <w:r w:rsidR="00B811B6" w:rsidRPr="002D735F">
              <w:rPr>
                <w:rFonts w:cs="Arial"/>
                <w:i/>
              </w:rPr>
              <w:t>,</w:t>
            </w:r>
            <w:r w:rsidR="009F5A9D" w:rsidRPr="002D735F">
              <w:rPr>
                <w:rFonts w:cs="Arial"/>
                <w:i/>
              </w:rPr>
              <w:t>”</w:t>
            </w:r>
            <w:r w:rsidRPr="002D735F">
              <w:rPr>
                <w:rFonts w:cs="Arial"/>
                <w:i/>
              </w:rPr>
              <w:t xml:space="preserve"> skip questions</w:t>
            </w:r>
            <w:r w:rsidR="00B811B6" w:rsidRPr="002D735F">
              <w:rPr>
                <w:rFonts w:cs="Arial"/>
                <w:i/>
              </w:rPr>
              <w:t xml:space="preserve"> #3-</w:t>
            </w:r>
            <w:r w:rsidR="000F4863">
              <w:rPr>
                <w:rFonts w:cs="Arial"/>
                <w:i/>
              </w:rPr>
              <w:t>1</w:t>
            </w:r>
            <w:r w:rsidR="00411788">
              <w:rPr>
                <w:rFonts w:cs="Arial"/>
                <w:i/>
              </w:rPr>
              <w:t>2</w:t>
            </w:r>
            <w:r w:rsidR="000F4863" w:rsidRPr="002D735F">
              <w:rPr>
                <w:rFonts w:cs="Arial"/>
                <w:i/>
              </w:rPr>
              <w:t xml:space="preserve"> </w:t>
            </w:r>
            <w:r w:rsidR="00B11972" w:rsidRPr="002D735F">
              <w:rPr>
                <w:rFonts w:cs="Arial"/>
                <w:i/>
              </w:rPr>
              <w:t xml:space="preserve">and </w:t>
            </w:r>
            <w:r w:rsidR="00B811B6" w:rsidRPr="002D735F">
              <w:rPr>
                <w:rFonts w:cs="Arial"/>
                <w:i/>
              </w:rPr>
              <w:t>continue</w:t>
            </w:r>
            <w:r w:rsidR="00B11972" w:rsidRPr="002D735F">
              <w:rPr>
                <w:rFonts w:cs="Arial"/>
                <w:i/>
              </w:rPr>
              <w:t xml:space="preserve"> to the next subsection.</w:t>
            </w:r>
            <w:r w:rsidR="0079612A" w:rsidRPr="002D735F">
              <w:rPr>
                <w:rFonts w:cs="Arial"/>
                <w:i/>
              </w:rPr>
              <w:t xml:space="preserve"> The hospital wil</w:t>
            </w:r>
            <w:r w:rsidR="00FC1052" w:rsidRPr="002D735F">
              <w:rPr>
                <w:rFonts w:cs="Arial"/>
                <w:i/>
              </w:rPr>
              <w:t>l be scored as “Does Not Apply.”</w:t>
            </w:r>
          </w:p>
        </w:tc>
        <w:tc>
          <w:tcPr>
            <w:tcW w:w="2908" w:type="dxa"/>
            <w:vAlign w:val="center"/>
          </w:tcPr>
          <w:p w14:paraId="5881EF3A" w14:textId="72DB8953" w:rsidR="00404E56" w:rsidRPr="00B11BF3" w:rsidRDefault="00404E56" w:rsidP="00AD309C">
            <w:pPr>
              <w:pStyle w:val="ListParagraph"/>
              <w:numPr>
                <w:ilvl w:val="0"/>
                <w:numId w:val="322"/>
              </w:numPr>
            </w:pPr>
            <w:r w:rsidRPr="00B11BF3">
              <w:t>Yes</w:t>
            </w:r>
          </w:p>
          <w:p w14:paraId="0BC3754A" w14:textId="6B301762" w:rsidR="009F5A9D" w:rsidRPr="00B11BF3" w:rsidRDefault="009F5A9D" w:rsidP="00AD309C">
            <w:pPr>
              <w:pStyle w:val="ListParagraph"/>
              <w:numPr>
                <w:ilvl w:val="0"/>
                <w:numId w:val="322"/>
              </w:numPr>
              <w:rPr>
                <w:rFonts w:cs="Arial"/>
                <w:iCs/>
              </w:rPr>
            </w:pPr>
            <w:r w:rsidRPr="00B11BF3">
              <w:rPr>
                <w:rFonts w:cs="Arial"/>
                <w:iCs/>
              </w:rPr>
              <w:t>Yes, but fewer than 100 pediatric admissions were for non-NICU patients</w:t>
            </w:r>
          </w:p>
          <w:p w14:paraId="64775CF7" w14:textId="77777777" w:rsidR="00404E56" w:rsidRPr="00B11BF3" w:rsidRDefault="00404E56" w:rsidP="00AD309C">
            <w:pPr>
              <w:pStyle w:val="ListParagraph"/>
              <w:numPr>
                <w:ilvl w:val="0"/>
                <w:numId w:val="322"/>
              </w:numPr>
              <w:rPr>
                <w:rFonts w:cs="Arial"/>
                <w:iCs/>
                <w:snapToGrid w:val="0"/>
              </w:rPr>
            </w:pPr>
            <w:r w:rsidRPr="00B11BF3">
              <w:rPr>
                <w:rFonts w:cs="Arial"/>
                <w:iCs/>
              </w:rPr>
              <w:t>No</w:t>
            </w:r>
          </w:p>
        </w:tc>
      </w:tr>
      <w:tr w:rsidR="005D3D07" w:rsidRPr="009A5185" w14:paraId="6DC8C611" w14:textId="77777777" w:rsidTr="002D5AA9">
        <w:trPr>
          <w:trHeight w:val="1152"/>
        </w:trPr>
        <w:tc>
          <w:tcPr>
            <w:tcW w:w="7067" w:type="dxa"/>
            <w:vAlign w:val="center"/>
          </w:tcPr>
          <w:p w14:paraId="2E395565" w14:textId="46DE0229" w:rsidR="0093731B" w:rsidRDefault="00FE1E3D" w:rsidP="00AD309C">
            <w:pPr>
              <w:numPr>
                <w:ilvl w:val="0"/>
                <w:numId w:val="62"/>
              </w:numPr>
              <w:rPr>
                <w:rFonts w:cs="Arial"/>
              </w:rPr>
            </w:pPr>
            <w:bookmarkStart w:id="688" w:name="_Hlk67925719"/>
            <w:r w:rsidRPr="00AC02AA">
              <w:rPr>
                <w:rFonts w:cs="Arial"/>
              </w:rPr>
              <w:t>Has your hospital administered</w:t>
            </w:r>
            <w:r w:rsidR="00B51AD5" w:rsidRPr="00AC02AA">
              <w:rPr>
                <w:rFonts w:cs="Arial"/>
              </w:rPr>
              <w:t xml:space="preserve">, </w:t>
            </w:r>
            <w:r w:rsidR="002D77A1" w:rsidRPr="00AC02AA">
              <w:rPr>
                <w:rFonts w:cs="Arial"/>
              </w:rPr>
              <w:t>or started to administer</w:t>
            </w:r>
            <w:r w:rsidR="00B40EA4">
              <w:rPr>
                <w:rFonts w:cs="Arial"/>
              </w:rPr>
              <w:t xml:space="preserve"> the</w:t>
            </w:r>
            <w:r w:rsidR="001440BF" w:rsidRPr="00AC02AA">
              <w:rPr>
                <w:rFonts w:cs="Arial"/>
              </w:rPr>
              <w:t xml:space="preserve"> </w:t>
            </w:r>
            <w:r w:rsidR="002D77A1" w:rsidRPr="00AC02AA">
              <w:rPr>
                <w:rFonts w:cs="Arial"/>
              </w:rPr>
              <w:t xml:space="preserve">CAHPS Child Hospital </w:t>
            </w:r>
            <w:r w:rsidR="00C14AFF" w:rsidRPr="00AC02AA">
              <w:rPr>
                <w:rFonts w:cs="Arial"/>
              </w:rPr>
              <w:t>Survey</w:t>
            </w:r>
            <w:r w:rsidRPr="00AC02AA">
              <w:rPr>
                <w:rFonts w:cs="Arial"/>
              </w:rPr>
              <w:t xml:space="preserve"> during the reporting period</w:t>
            </w:r>
            <w:r w:rsidR="00D14644">
              <w:rPr>
                <w:rFonts w:cs="Arial"/>
              </w:rPr>
              <w:t>?</w:t>
            </w:r>
          </w:p>
          <w:bookmarkEnd w:id="688"/>
          <w:p w14:paraId="7343340B" w14:textId="77777777" w:rsidR="005D3D07" w:rsidRPr="00127403" w:rsidRDefault="005D3D07" w:rsidP="003E37E3">
            <w:pPr>
              <w:rPr>
                <w:rFonts w:cs="Arial"/>
              </w:rPr>
            </w:pPr>
          </w:p>
          <w:p w14:paraId="058BB458" w14:textId="142D113E" w:rsidR="008D6E32" w:rsidRPr="0002601E" w:rsidRDefault="005D3D07" w:rsidP="003E37E3">
            <w:pPr>
              <w:ind w:left="360"/>
              <w:rPr>
                <w:rFonts w:cs="Arial"/>
                <w:i/>
              </w:rPr>
            </w:pPr>
            <w:r w:rsidRPr="00127403">
              <w:rPr>
                <w:rFonts w:cs="Arial"/>
                <w:i/>
              </w:rPr>
              <w:t>If “no”</w:t>
            </w:r>
            <w:r w:rsidR="00BD27CC" w:rsidRPr="00127403">
              <w:rPr>
                <w:rFonts w:cs="Arial"/>
                <w:i/>
              </w:rPr>
              <w:t xml:space="preserve"> to question #3,</w:t>
            </w:r>
            <w:r w:rsidRPr="00127403">
              <w:rPr>
                <w:rFonts w:cs="Arial"/>
                <w:i/>
              </w:rPr>
              <w:t xml:space="preserve"> skip questions </w:t>
            </w:r>
            <w:r w:rsidR="00BD27CC" w:rsidRPr="00127403">
              <w:rPr>
                <w:rFonts w:cs="Arial"/>
                <w:i/>
              </w:rPr>
              <w:t>#4-</w:t>
            </w:r>
            <w:r w:rsidR="00097EDF">
              <w:rPr>
                <w:rFonts w:cs="Arial"/>
                <w:i/>
              </w:rPr>
              <w:t>1</w:t>
            </w:r>
            <w:r w:rsidR="00411788">
              <w:rPr>
                <w:rFonts w:cs="Arial"/>
                <w:i/>
              </w:rPr>
              <w:t>2</w:t>
            </w:r>
            <w:r w:rsidR="002D77A1" w:rsidRPr="00127403">
              <w:rPr>
                <w:rFonts w:cs="Arial"/>
                <w:i/>
              </w:rPr>
              <w:t xml:space="preserve"> and </w:t>
            </w:r>
            <w:r w:rsidR="00BD27CC" w:rsidRPr="00127403">
              <w:rPr>
                <w:rFonts w:cs="Arial"/>
                <w:i/>
              </w:rPr>
              <w:t>continue</w:t>
            </w:r>
            <w:r w:rsidR="002D77A1" w:rsidRPr="00127403">
              <w:rPr>
                <w:rFonts w:cs="Arial"/>
                <w:i/>
              </w:rPr>
              <w:t xml:space="preserve"> to the next subsection</w:t>
            </w:r>
            <w:r w:rsidR="00F83ABA" w:rsidRPr="00127403">
              <w:rPr>
                <w:rFonts w:cs="Arial"/>
                <w:i/>
              </w:rPr>
              <w:t>.</w:t>
            </w:r>
            <w:r w:rsidR="0079612A" w:rsidRPr="00127403">
              <w:rPr>
                <w:rFonts w:cs="Arial"/>
                <w:i/>
              </w:rPr>
              <w:t xml:space="preserve"> The hospital will be </w:t>
            </w:r>
            <w:r w:rsidR="00044480" w:rsidRPr="00127403">
              <w:rPr>
                <w:rFonts w:cs="Arial"/>
                <w:i/>
              </w:rPr>
              <w:t>scored as “</w:t>
            </w:r>
            <w:r w:rsidR="000B346C">
              <w:rPr>
                <w:rFonts w:cs="Arial"/>
                <w:i/>
              </w:rPr>
              <w:t>Did Not Measure</w:t>
            </w:r>
            <w:r w:rsidR="00044480" w:rsidRPr="00127403">
              <w:rPr>
                <w:rFonts w:cs="Arial"/>
                <w:i/>
              </w:rPr>
              <w:t>.”</w:t>
            </w:r>
          </w:p>
        </w:tc>
        <w:tc>
          <w:tcPr>
            <w:tcW w:w="2908" w:type="dxa"/>
            <w:vAlign w:val="center"/>
          </w:tcPr>
          <w:p w14:paraId="5B924858" w14:textId="77777777" w:rsidR="005D3D07" w:rsidRPr="00B11BF3" w:rsidRDefault="005D3D07" w:rsidP="00AD309C">
            <w:pPr>
              <w:pStyle w:val="ListParagraph"/>
              <w:numPr>
                <w:ilvl w:val="0"/>
                <w:numId w:val="321"/>
              </w:numPr>
              <w:rPr>
                <w:rFonts w:cs="Arial"/>
                <w:iCs/>
              </w:rPr>
            </w:pPr>
            <w:r w:rsidRPr="00B11BF3">
              <w:rPr>
                <w:rFonts w:cs="Arial"/>
                <w:iCs/>
              </w:rPr>
              <w:t>Yes</w:t>
            </w:r>
          </w:p>
          <w:p w14:paraId="15EE3089" w14:textId="77777777" w:rsidR="005D3D07" w:rsidRPr="00B11BF3" w:rsidRDefault="005D3D07" w:rsidP="00AD309C">
            <w:pPr>
              <w:pStyle w:val="ListParagraph"/>
              <w:numPr>
                <w:ilvl w:val="0"/>
                <w:numId w:val="321"/>
              </w:numPr>
              <w:rPr>
                <w:rFonts w:cs="Arial"/>
                <w:iCs/>
              </w:rPr>
            </w:pPr>
            <w:r w:rsidRPr="00B11BF3">
              <w:rPr>
                <w:rFonts w:cs="Arial"/>
                <w:iCs/>
              </w:rPr>
              <w:t>No</w:t>
            </w:r>
          </w:p>
        </w:tc>
      </w:tr>
      <w:tr w:rsidR="00411788" w:rsidRPr="009A5185" w14:paraId="0D413722" w14:textId="77777777" w:rsidTr="00EA43F0">
        <w:trPr>
          <w:trHeight w:val="1440"/>
        </w:trPr>
        <w:tc>
          <w:tcPr>
            <w:tcW w:w="7067" w:type="dxa"/>
            <w:vAlign w:val="center"/>
          </w:tcPr>
          <w:p w14:paraId="4F1DA0BC" w14:textId="5D1B16D0" w:rsidR="00411788" w:rsidRDefault="00411788" w:rsidP="00AD309C">
            <w:pPr>
              <w:numPr>
                <w:ilvl w:val="0"/>
                <w:numId w:val="62"/>
              </w:numPr>
              <w:rPr>
                <w:rFonts w:cs="Arial"/>
              </w:rPr>
            </w:pPr>
            <w:r>
              <w:rPr>
                <w:rFonts w:cs="Arial"/>
              </w:rPr>
              <w:t>Did your hospital administer the full CAHPS Child Hospital Survey or a truncated version?</w:t>
            </w:r>
          </w:p>
          <w:p w14:paraId="297A6322" w14:textId="77777777" w:rsidR="00411788" w:rsidRDefault="00411788" w:rsidP="003E37E3">
            <w:pPr>
              <w:rPr>
                <w:rFonts w:cs="Arial"/>
              </w:rPr>
            </w:pPr>
          </w:p>
          <w:p w14:paraId="6186E4F2" w14:textId="599B6377" w:rsidR="00411788" w:rsidRPr="0002601E" w:rsidRDefault="00411788" w:rsidP="003E37E3">
            <w:pPr>
              <w:ind w:left="360"/>
              <w:rPr>
                <w:rFonts w:cs="Arial"/>
                <w:i/>
                <w:iCs/>
              </w:rPr>
            </w:pPr>
            <w:r w:rsidRPr="0002601E">
              <w:rPr>
                <w:rFonts w:cs="Arial"/>
                <w:i/>
                <w:iCs/>
              </w:rPr>
              <w:t xml:space="preserve">If administering a truncated version, hospitals must follow the specifications for truncating the survey provided in the </w:t>
            </w:r>
            <w:hyperlink w:anchor="_Patient_Experience_(CAHPS_2" w:history="1">
              <w:r w:rsidRPr="003A20BE">
                <w:rPr>
                  <w:rStyle w:val="Hyperlink"/>
                  <w:rFonts w:cs="Arial"/>
                  <w:i/>
                  <w:iCs/>
                </w:rPr>
                <w:t>Patient Experience (CAHPS Child Hospital Survey) Measure Specifications</w:t>
              </w:r>
            </w:hyperlink>
            <w:r w:rsidRPr="0002601E">
              <w:rPr>
                <w:rFonts w:cs="Arial"/>
                <w:i/>
                <w:iCs/>
              </w:rPr>
              <w:t xml:space="preserve">. </w:t>
            </w:r>
          </w:p>
        </w:tc>
        <w:tc>
          <w:tcPr>
            <w:tcW w:w="2908" w:type="dxa"/>
            <w:vAlign w:val="center"/>
          </w:tcPr>
          <w:p w14:paraId="10E627D2" w14:textId="77777777" w:rsidR="00411788" w:rsidRPr="00B11BF3" w:rsidRDefault="00411788" w:rsidP="00AD309C">
            <w:pPr>
              <w:pStyle w:val="ListParagraph"/>
              <w:numPr>
                <w:ilvl w:val="0"/>
                <w:numId w:val="321"/>
              </w:numPr>
              <w:rPr>
                <w:rFonts w:cs="Arial"/>
                <w:iCs/>
              </w:rPr>
            </w:pPr>
            <w:r w:rsidRPr="00B11BF3">
              <w:rPr>
                <w:rFonts w:cs="Arial"/>
                <w:iCs/>
              </w:rPr>
              <w:t>Full version</w:t>
            </w:r>
          </w:p>
          <w:p w14:paraId="0F09FD25" w14:textId="76A55650" w:rsidR="00411788" w:rsidRPr="00B11BF3" w:rsidRDefault="00411788" w:rsidP="00AD309C">
            <w:pPr>
              <w:pStyle w:val="ListParagraph"/>
              <w:numPr>
                <w:ilvl w:val="0"/>
                <w:numId w:val="321"/>
              </w:numPr>
              <w:rPr>
                <w:rFonts w:cs="Arial"/>
                <w:iCs/>
              </w:rPr>
            </w:pPr>
            <w:r w:rsidRPr="00B11BF3">
              <w:rPr>
                <w:rFonts w:cs="Arial"/>
                <w:iCs/>
              </w:rPr>
              <w:t xml:space="preserve">Truncated version </w:t>
            </w:r>
          </w:p>
        </w:tc>
      </w:tr>
      <w:tr w:rsidR="00662C5E" w:rsidRPr="009A5185" w14:paraId="34D5374B" w14:textId="77777777" w:rsidTr="003E37E3">
        <w:trPr>
          <w:trHeight w:val="1008"/>
        </w:trPr>
        <w:tc>
          <w:tcPr>
            <w:tcW w:w="7067" w:type="dxa"/>
            <w:vAlign w:val="center"/>
          </w:tcPr>
          <w:p w14:paraId="7686F46B" w14:textId="77777777" w:rsidR="00662C5E" w:rsidRPr="00127403" w:rsidRDefault="00662C5E" w:rsidP="00AD309C">
            <w:pPr>
              <w:numPr>
                <w:ilvl w:val="0"/>
                <w:numId w:val="62"/>
              </w:numPr>
              <w:rPr>
                <w:rFonts w:cs="Arial"/>
              </w:rPr>
            </w:pPr>
            <w:r w:rsidRPr="00127403">
              <w:rPr>
                <w:rFonts w:cs="Arial"/>
              </w:rPr>
              <w:lastRenderedPageBreak/>
              <w:t xml:space="preserve">How many surveys were </w:t>
            </w:r>
            <w:r w:rsidR="00B816E7" w:rsidRPr="00127403">
              <w:rPr>
                <w:rFonts w:cs="Arial"/>
              </w:rPr>
              <w:t xml:space="preserve">returned </w:t>
            </w:r>
            <w:r w:rsidRPr="00127403">
              <w:rPr>
                <w:rFonts w:cs="Arial"/>
              </w:rPr>
              <w:t>during the reporting period?</w:t>
            </w:r>
          </w:p>
          <w:p w14:paraId="325BA43C" w14:textId="77777777" w:rsidR="00B816E7" w:rsidRPr="00127403" w:rsidRDefault="00B816E7" w:rsidP="003E37E3">
            <w:pPr>
              <w:ind w:left="360"/>
              <w:rPr>
                <w:rFonts w:cs="Arial"/>
              </w:rPr>
            </w:pPr>
          </w:p>
          <w:p w14:paraId="64F0E6EF" w14:textId="283CE896" w:rsidR="00560EEE" w:rsidRPr="009044C0" w:rsidRDefault="007648AC" w:rsidP="003E37E3">
            <w:pPr>
              <w:ind w:left="360"/>
              <w:rPr>
                <w:rFonts w:cs="Arial"/>
                <w:i/>
              </w:rPr>
            </w:pPr>
            <w:r>
              <w:rPr>
                <w:rFonts w:cs="Arial"/>
                <w:i/>
              </w:rPr>
              <w:t xml:space="preserve">If less than 100, skip </w:t>
            </w:r>
            <w:r w:rsidR="00B816E7" w:rsidRPr="00127403">
              <w:rPr>
                <w:rFonts w:cs="Arial"/>
                <w:i/>
              </w:rPr>
              <w:t xml:space="preserve">questions </w:t>
            </w:r>
            <w:r w:rsidR="00FE2DD2" w:rsidRPr="00127403">
              <w:rPr>
                <w:rFonts w:cs="Arial"/>
                <w:i/>
              </w:rPr>
              <w:t>#</w:t>
            </w:r>
            <w:r w:rsidR="00411788">
              <w:rPr>
                <w:rFonts w:cs="Arial"/>
                <w:i/>
              </w:rPr>
              <w:t>6</w:t>
            </w:r>
            <w:r w:rsidR="00FE2DD2" w:rsidRPr="00127403">
              <w:rPr>
                <w:rFonts w:cs="Arial"/>
                <w:i/>
              </w:rPr>
              <w:t>-</w:t>
            </w:r>
            <w:r w:rsidR="00097EDF">
              <w:rPr>
                <w:rFonts w:cs="Arial"/>
                <w:i/>
              </w:rPr>
              <w:t>1</w:t>
            </w:r>
            <w:r w:rsidR="00411788">
              <w:rPr>
                <w:rFonts w:cs="Arial"/>
                <w:i/>
              </w:rPr>
              <w:t>2</w:t>
            </w:r>
            <w:r w:rsidR="00097EDF" w:rsidRPr="00127403">
              <w:rPr>
                <w:rFonts w:cs="Arial"/>
                <w:i/>
              </w:rPr>
              <w:t xml:space="preserve"> </w:t>
            </w:r>
            <w:r w:rsidR="00B816E7" w:rsidRPr="00127403">
              <w:rPr>
                <w:rFonts w:cs="Arial"/>
                <w:i/>
              </w:rPr>
              <w:t xml:space="preserve">and </w:t>
            </w:r>
            <w:r w:rsidR="00FE2DD2" w:rsidRPr="00127403">
              <w:rPr>
                <w:rFonts w:cs="Arial"/>
                <w:i/>
              </w:rPr>
              <w:t>continue</w:t>
            </w:r>
            <w:r w:rsidR="00B816E7" w:rsidRPr="00127403">
              <w:rPr>
                <w:rFonts w:cs="Arial"/>
                <w:i/>
              </w:rPr>
              <w:t xml:space="preserve"> to the next subsection. </w:t>
            </w:r>
            <w:r w:rsidR="006934A3">
              <w:rPr>
                <w:rFonts w:cs="Arial"/>
                <w:i/>
              </w:rPr>
              <w:t>The h</w:t>
            </w:r>
            <w:r w:rsidR="00B816E7" w:rsidRPr="00127403">
              <w:rPr>
                <w:rFonts w:cs="Arial"/>
                <w:i/>
              </w:rPr>
              <w:t>ospital will be scored as “Unable to Calculate Score.”</w:t>
            </w:r>
          </w:p>
        </w:tc>
        <w:tc>
          <w:tcPr>
            <w:tcW w:w="2908" w:type="dxa"/>
            <w:vAlign w:val="center"/>
          </w:tcPr>
          <w:p w14:paraId="1730590E" w14:textId="7740D805" w:rsidR="00662C5E" w:rsidRPr="001F5E91" w:rsidRDefault="00560EEE" w:rsidP="001F5E91">
            <w:pPr>
              <w:jc w:val="center"/>
              <w:rPr>
                <w:rFonts w:cs="Arial"/>
              </w:rPr>
            </w:pPr>
            <w:r>
              <w:rPr>
                <w:rFonts w:cs="Arial"/>
              </w:rPr>
              <w:t>____</w:t>
            </w:r>
            <w:r w:rsidR="00662C5E" w:rsidRPr="009A5185">
              <w:rPr>
                <w:rFonts w:cs="Arial"/>
              </w:rPr>
              <w:t>__</w:t>
            </w:r>
          </w:p>
        </w:tc>
      </w:tr>
      <w:tr w:rsidR="00047305" w:rsidRPr="009A5185" w14:paraId="19A29AB1" w14:textId="77777777" w:rsidTr="003E37E3">
        <w:tc>
          <w:tcPr>
            <w:tcW w:w="7067" w:type="dxa"/>
            <w:vAlign w:val="center"/>
          </w:tcPr>
          <w:p w14:paraId="74DE188A" w14:textId="77777777" w:rsidR="00047305" w:rsidRPr="009A5185" w:rsidRDefault="00047305" w:rsidP="00AD309C">
            <w:pPr>
              <w:numPr>
                <w:ilvl w:val="0"/>
                <w:numId w:val="62"/>
              </w:numPr>
              <w:rPr>
                <w:rFonts w:cs="Arial"/>
              </w:rPr>
            </w:pPr>
            <w:r w:rsidRPr="009A5185">
              <w:rPr>
                <w:rFonts w:cs="Arial"/>
              </w:rPr>
              <w:t>Which of the following modes were used to administer the survey?</w:t>
            </w:r>
          </w:p>
          <w:p w14:paraId="07604F09" w14:textId="77777777" w:rsidR="00047305" w:rsidRPr="009A5185" w:rsidRDefault="00047305" w:rsidP="003E37E3">
            <w:pPr>
              <w:ind w:left="360" w:hanging="360"/>
              <w:rPr>
                <w:rFonts w:cs="Arial"/>
              </w:rPr>
            </w:pPr>
          </w:p>
          <w:p w14:paraId="18C01769" w14:textId="14C4CB23" w:rsidR="00047305" w:rsidRPr="00127403" w:rsidRDefault="00047305" w:rsidP="003E37E3">
            <w:pPr>
              <w:ind w:left="360"/>
              <w:rPr>
                <w:rFonts w:cs="Arial"/>
              </w:rPr>
            </w:pPr>
            <w:r w:rsidRPr="009A5185">
              <w:rPr>
                <w:rFonts w:cs="Arial"/>
                <w:i/>
              </w:rPr>
              <w:t>Select all that apply.</w:t>
            </w:r>
          </w:p>
        </w:tc>
        <w:tc>
          <w:tcPr>
            <w:tcW w:w="2908" w:type="dxa"/>
            <w:vAlign w:val="center"/>
          </w:tcPr>
          <w:p w14:paraId="5CB1C066" w14:textId="77777777" w:rsidR="00047305" w:rsidRPr="009A5185" w:rsidRDefault="00047305" w:rsidP="00AD309C">
            <w:pPr>
              <w:pStyle w:val="ListParagraph"/>
              <w:numPr>
                <w:ilvl w:val="0"/>
                <w:numId w:val="371"/>
              </w:numPr>
              <w:rPr>
                <w:rFonts w:cs="Arial"/>
              </w:rPr>
            </w:pPr>
            <w:r w:rsidRPr="009A5185">
              <w:rPr>
                <w:rFonts w:cs="Arial"/>
              </w:rPr>
              <w:t>Mail</w:t>
            </w:r>
          </w:p>
          <w:p w14:paraId="2A2EFC39" w14:textId="77777777" w:rsidR="00047305" w:rsidRPr="009A5185" w:rsidRDefault="00047305" w:rsidP="00AD309C">
            <w:pPr>
              <w:pStyle w:val="ListParagraph"/>
              <w:numPr>
                <w:ilvl w:val="0"/>
                <w:numId w:val="371"/>
              </w:numPr>
              <w:rPr>
                <w:rFonts w:cs="Arial"/>
              </w:rPr>
            </w:pPr>
            <w:r w:rsidRPr="009A5185">
              <w:rPr>
                <w:rFonts w:cs="Arial"/>
              </w:rPr>
              <w:t>Phone</w:t>
            </w:r>
          </w:p>
          <w:p w14:paraId="252A1474" w14:textId="77777777" w:rsidR="00047305" w:rsidRDefault="00047305" w:rsidP="00AD309C">
            <w:pPr>
              <w:pStyle w:val="ListParagraph"/>
              <w:numPr>
                <w:ilvl w:val="0"/>
                <w:numId w:val="371"/>
              </w:numPr>
              <w:rPr>
                <w:rFonts w:cs="Arial"/>
              </w:rPr>
            </w:pPr>
            <w:r w:rsidRPr="009A5185">
              <w:rPr>
                <w:rFonts w:cs="Arial"/>
              </w:rPr>
              <w:t>Email</w:t>
            </w:r>
          </w:p>
          <w:p w14:paraId="1C4EE48C" w14:textId="112074B6" w:rsidR="00047305" w:rsidRPr="00047305" w:rsidRDefault="00047305" w:rsidP="00AD309C">
            <w:pPr>
              <w:pStyle w:val="ListParagraph"/>
              <w:numPr>
                <w:ilvl w:val="0"/>
                <w:numId w:val="371"/>
              </w:numPr>
              <w:rPr>
                <w:rFonts w:cs="Arial"/>
              </w:rPr>
            </w:pPr>
            <w:r w:rsidRPr="00047305">
              <w:rPr>
                <w:rFonts w:cs="Arial"/>
              </w:rPr>
              <w:t>Tablet</w:t>
            </w:r>
          </w:p>
        </w:tc>
      </w:tr>
      <w:tr w:rsidR="00047305" w:rsidRPr="009A5185" w14:paraId="46CCB737" w14:textId="77777777" w:rsidTr="003E37E3">
        <w:trPr>
          <w:trHeight w:val="1008"/>
        </w:trPr>
        <w:tc>
          <w:tcPr>
            <w:tcW w:w="7067" w:type="dxa"/>
            <w:vAlign w:val="center"/>
          </w:tcPr>
          <w:p w14:paraId="63DB769B" w14:textId="77777777" w:rsidR="00047305" w:rsidRPr="009A5185" w:rsidRDefault="00047305" w:rsidP="00AD309C">
            <w:pPr>
              <w:numPr>
                <w:ilvl w:val="0"/>
                <w:numId w:val="62"/>
              </w:numPr>
              <w:rPr>
                <w:rFonts w:cs="Arial"/>
              </w:rPr>
            </w:pPr>
            <w:r w:rsidRPr="009A5185">
              <w:rPr>
                <w:rFonts w:cs="Arial"/>
              </w:rPr>
              <w:t>Which of the following times were surveys administered during the reporting period?</w:t>
            </w:r>
          </w:p>
          <w:p w14:paraId="75620986" w14:textId="77777777" w:rsidR="00047305" w:rsidRPr="009A5185" w:rsidRDefault="00047305" w:rsidP="003E37E3">
            <w:pPr>
              <w:ind w:left="360" w:hanging="360"/>
              <w:rPr>
                <w:rFonts w:cs="Arial"/>
              </w:rPr>
            </w:pPr>
          </w:p>
          <w:p w14:paraId="70F0C92D" w14:textId="43B39A4F" w:rsidR="00047305" w:rsidRPr="00127403" w:rsidRDefault="00047305" w:rsidP="003E37E3">
            <w:pPr>
              <w:ind w:left="360"/>
              <w:rPr>
                <w:rFonts w:cs="Arial"/>
              </w:rPr>
            </w:pPr>
            <w:r w:rsidRPr="009A5185">
              <w:rPr>
                <w:rFonts w:cs="Arial"/>
                <w:i/>
              </w:rPr>
              <w:t>Select all that apply.</w:t>
            </w:r>
          </w:p>
        </w:tc>
        <w:tc>
          <w:tcPr>
            <w:tcW w:w="2908" w:type="dxa"/>
            <w:vAlign w:val="center"/>
          </w:tcPr>
          <w:p w14:paraId="6C121DAE" w14:textId="77777777" w:rsidR="00047305" w:rsidRDefault="00047305" w:rsidP="00AD309C">
            <w:pPr>
              <w:pStyle w:val="ListParagraph"/>
              <w:numPr>
                <w:ilvl w:val="0"/>
                <w:numId w:val="371"/>
              </w:numPr>
              <w:rPr>
                <w:rFonts w:cs="Arial"/>
              </w:rPr>
            </w:pPr>
            <w:r w:rsidRPr="009A5185">
              <w:rPr>
                <w:rFonts w:cs="Arial"/>
              </w:rPr>
              <w:t>Day of discharge</w:t>
            </w:r>
          </w:p>
          <w:p w14:paraId="6062BBD5" w14:textId="440E1A42" w:rsidR="00047305" w:rsidRPr="00047305" w:rsidRDefault="00047305" w:rsidP="00AD309C">
            <w:pPr>
              <w:pStyle w:val="ListParagraph"/>
              <w:numPr>
                <w:ilvl w:val="0"/>
                <w:numId w:val="371"/>
              </w:numPr>
              <w:rPr>
                <w:rFonts w:cs="Arial"/>
              </w:rPr>
            </w:pPr>
            <w:r w:rsidRPr="00047305">
              <w:rPr>
                <w:rFonts w:cs="Arial"/>
              </w:rPr>
              <w:t>After discharge</w:t>
            </w:r>
          </w:p>
        </w:tc>
      </w:tr>
    </w:tbl>
    <w:p w14:paraId="5838D9A8" w14:textId="77777777" w:rsidR="005D3D07" w:rsidRPr="009A5185" w:rsidRDefault="005D3D07" w:rsidP="005D3D07">
      <w:pPr>
        <w:rPr>
          <w:rFonts w:cs="Arial"/>
        </w:rPr>
      </w:pPr>
    </w:p>
    <w:p w14:paraId="1802E34A" w14:textId="1AC271B7" w:rsidR="005D3D07" w:rsidRPr="0002601E" w:rsidRDefault="009E2186" w:rsidP="005D3D07">
      <w:pPr>
        <w:rPr>
          <w:rFonts w:cs="Arial"/>
          <w:bCs/>
        </w:rPr>
      </w:pPr>
      <w:r w:rsidRPr="0002601E">
        <w:rPr>
          <w:rFonts w:cs="Arial"/>
          <w:bCs/>
        </w:rPr>
        <w:t xml:space="preserve">In </w:t>
      </w:r>
      <w:r w:rsidR="005D3D07" w:rsidRPr="0002601E">
        <w:rPr>
          <w:rFonts w:cs="Arial"/>
          <w:bCs/>
        </w:rPr>
        <w:t>questions #</w:t>
      </w:r>
      <w:r w:rsidR="00411788">
        <w:rPr>
          <w:rFonts w:cs="Arial"/>
          <w:bCs/>
        </w:rPr>
        <w:t>8-</w:t>
      </w:r>
      <w:r w:rsidR="00133AE2" w:rsidRPr="0011459E">
        <w:rPr>
          <w:rFonts w:cs="Arial"/>
          <w:bCs/>
        </w:rPr>
        <w:t>1</w:t>
      </w:r>
      <w:r w:rsidR="00411788">
        <w:rPr>
          <w:rFonts w:cs="Arial"/>
          <w:bCs/>
        </w:rPr>
        <w:t>2</w:t>
      </w:r>
      <w:r w:rsidR="005D3D07" w:rsidRPr="0011459E">
        <w:rPr>
          <w:rFonts w:cs="Arial"/>
          <w:bCs/>
        </w:rPr>
        <w:t>, report your</w:t>
      </w:r>
      <w:r w:rsidRPr="0011459E">
        <w:rPr>
          <w:rFonts w:cs="Arial"/>
          <w:bCs/>
        </w:rPr>
        <w:t xml:space="preserve"> hospital’s</w:t>
      </w:r>
      <w:r w:rsidR="005D3D07" w:rsidRPr="0011459E">
        <w:rPr>
          <w:rFonts w:cs="Arial"/>
          <w:bCs/>
        </w:rPr>
        <w:t xml:space="preserve"> </w:t>
      </w:r>
      <w:hyperlink w:anchor="Endnote48_TopBox" w:history="1">
        <w:r w:rsidR="005D3D07" w:rsidRPr="0002601E">
          <w:rPr>
            <w:rStyle w:val="Hyperlink"/>
            <w:rFonts w:cs="Arial"/>
            <w:bCs/>
          </w:rPr>
          <w:t>Top Box Score</w:t>
        </w:r>
      </w:hyperlink>
      <w:r w:rsidR="004512F7" w:rsidRPr="0002601E">
        <w:rPr>
          <w:rFonts w:cs="Arial"/>
          <w:bCs/>
        </w:rPr>
        <w:fldChar w:fldCharType="begin"/>
      </w:r>
      <w:r w:rsidR="004512F7" w:rsidRPr="0002601E">
        <w:rPr>
          <w:rFonts w:cs="Arial"/>
          <w:bCs/>
        </w:rPr>
        <w:instrText xml:space="preserve"> NOTEREF _Ref534391669 \f \h </w:instrText>
      </w:r>
      <w:r w:rsidR="00560EEE">
        <w:rPr>
          <w:rFonts w:cs="Arial"/>
          <w:bCs/>
        </w:rPr>
        <w:instrText xml:space="preserve"> \* MERGEFORMAT </w:instrText>
      </w:r>
      <w:r w:rsidR="004512F7" w:rsidRPr="0002601E">
        <w:rPr>
          <w:rFonts w:cs="Arial"/>
          <w:bCs/>
        </w:rPr>
      </w:r>
      <w:r w:rsidR="004512F7" w:rsidRPr="0002601E">
        <w:rPr>
          <w:rFonts w:cs="Arial"/>
          <w:bCs/>
        </w:rPr>
        <w:fldChar w:fldCharType="separate"/>
      </w:r>
      <w:r w:rsidR="007D53A2" w:rsidRPr="00231ED2">
        <w:rPr>
          <w:rStyle w:val="EndnoteReference"/>
        </w:rPr>
        <w:t>51</w:t>
      </w:r>
      <w:r w:rsidR="004512F7" w:rsidRPr="0002601E">
        <w:rPr>
          <w:rFonts w:cs="Arial"/>
          <w:bCs/>
        </w:rPr>
        <w:fldChar w:fldCharType="end"/>
      </w:r>
      <w:r w:rsidR="005D3D07" w:rsidRPr="0002601E">
        <w:rPr>
          <w:rFonts w:cs="Arial"/>
          <w:bCs/>
        </w:rPr>
        <w:t xml:space="preserve"> </w:t>
      </w:r>
      <w:r w:rsidR="005F5962" w:rsidRPr="0002601E">
        <w:rPr>
          <w:bCs/>
          <w:szCs w:val="24"/>
        </w:rPr>
        <w:t>(rounded to the nearest whole number)</w:t>
      </w:r>
      <w:r w:rsidR="005F5962" w:rsidRPr="00560EEE">
        <w:rPr>
          <w:bCs/>
          <w:szCs w:val="24"/>
        </w:rPr>
        <w:t xml:space="preserve"> </w:t>
      </w:r>
      <w:r w:rsidR="005D3D07" w:rsidRPr="0002601E">
        <w:rPr>
          <w:rFonts w:cs="Arial"/>
          <w:bCs/>
        </w:rPr>
        <w:t xml:space="preserve">from each </w:t>
      </w:r>
      <w:r w:rsidR="00710790" w:rsidRPr="0002601E">
        <w:rPr>
          <w:rFonts w:cs="Arial"/>
          <w:bCs/>
        </w:rPr>
        <w:t xml:space="preserve">of the five publicly reported </w:t>
      </w:r>
      <w:r w:rsidR="005D3D07" w:rsidRPr="0002601E">
        <w:rPr>
          <w:rFonts w:cs="Arial"/>
          <w:bCs/>
        </w:rPr>
        <w:t>patient experience measure</w:t>
      </w:r>
      <w:r w:rsidR="00710790" w:rsidRPr="0002601E">
        <w:rPr>
          <w:rFonts w:cs="Arial"/>
          <w:bCs/>
        </w:rPr>
        <w:t>s</w:t>
      </w:r>
      <w:r w:rsidR="005D3D07" w:rsidRPr="0002601E">
        <w:rPr>
          <w:rFonts w:cs="Arial"/>
          <w:bCs/>
        </w:rPr>
        <w:t xml:space="preserve"> from your 12-month vendor report that matches the reporting period that you selected in question #1.</w:t>
      </w:r>
    </w:p>
    <w:p w14:paraId="41D65EE1" w14:textId="77777777" w:rsidR="005D3D07" w:rsidRPr="009A5185" w:rsidRDefault="005D3D07" w:rsidP="005D3D07">
      <w:pPr>
        <w:rPr>
          <w:rFonts w:cs="Arial"/>
        </w:rPr>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7"/>
        <w:gridCol w:w="2927"/>
      </w:tblGrid>
      <w:tr w:rsidR="001F5E91" w:rsidRPr="009A5185" w14:paraId="2BB07FB2" w14:textId="77777777" w:rsidTr="00EA43F0">
        <w:trPr>
          <w:trHeight w:val="864"/>
        </w:trPr>
        <w:tc>
          <w:tcPr>
            <w:tcW w:w="7067" w:type="dxa"/>
            <w:vAlign w:val="center"/>
          </w:tcPr>
          <w:p w14:paraId="364FA1C3" w14:textId="77777777" w:rsidR="001F5E91" w:rsidRPr="009A5185" w:rsidRDefault="001F5E91" w:rsidP="00AD309C">
            <w:pPr>
              <w:numPr>
                <w:ilvl w:val="0"/>
                <w:numId w:val="62"/>
              </w:numPr>
              <w:rPr>
                <w:rFonts w:cs="Arial"/>
              </w:rPr>
            </w:pPr>
            <w:r w:rsidRPr="009A5185">
              <w:rPr>
                <w:rFonts w:cs="Arial"/>
              </w:rPr>
              <w:t>Communication with Parent – Communication about your child’s medicines</w:t>
            </w:r>
          </w:p>
        </w:tc>
        <w:tc>
          <w:tcPr>
            <w:tcW w:w="2927" w:type="dxa"/>
            <w:vAlign w:val="center"/>
          </w:tcPr>
          <w:p w14:paraId="1F3E14CB" w14:textId="075EC8ED" w:rsidR="001F5E91" w:rsidRPr="009A5185" w:rsidRDefault="001F5E91" w:rsidP="001F5E91">
            <w:pPr>
              <w:jc w:val="center"/>
              <w:rPr>
                <w:rFonts w:cs="Arial"/>
                <w:i/>
              </w:rPr>
            </w:pPr>
            <w:r w:rsidRPr="007877F1">
              <w:rPr>
                <w:rFonts w:cs="Arial"/>
              </w:rPr>
              <w:t>______</w:t>
            </w:r>
          </w:p>
        </w:tc>
      </w:tr>
      <w:tr w:rsidR="001F5E91" w:rsidRPr="009A5185" w14:paraId="3A0EFD39" w14:textId="77777777" w:rsidTr="00EA43F0">
        <w:trPr>
          <w:trHeight w:val="864"/>
        </w:trPr>
        <w:tc>
          <w:tcPr>
            <w:tcW w:w="7067" w:type="dxa"/>
            <w:vAlign w:val="center"/>
          </w:tcPr>
          <w:p w14:paraId="2D1FA23D" w14:textId="77777777" w:rsidR="001F5E91" w:rsidRPr="009A5185" w:rsidRDefault="001F5E91" w:rsidP="00AD309C">
            <w:pPr>
              <w:numPr>
                <w:ilvl w:val="0"/>
                <w:numId w:val="62"/>
              </w:numPr>
              <w:rPr>
                <w:rFonts w:cs="Arial"/>
              </w:rPr>
            </w:pPr>
            <w:r w:rsidRPr="009A5185">
              <w:rPr>
                <w:rFonts w:cs="Arial"/>
              </w:rPr>
              <w:t>Communication with Parent – Keeping you informed about your child’s care</w:t>
            </w:r>
          </w:p>
        </w:tc>
        <w:tc>
          <w:tcPr>
            <w:tcW w:w="2927" w:type="dxa"/>
            <w:vAlign w:val="center"/>
          </w:tcPr>
          <w:p w14:paraId="75A0EF73" w14:textId="1C37BADB" w:rsidR="001F5E91" w:rsidRPr="009A5185" w:rsidRDefault="001F5E91" w:rsidP="001F5E91">
            <w:pPr>
              <w:jc w:val="center"/>
              <w:rPr>
                <w:rFonts w:cs="Arial"/>
                <w:i/>
              </w:rPr>
            </w:pPr>
            <w:r w:rsidRPr="007877F1">
              <w:rPr>
                <w:rFonts w:cs="Arial"/>
              </w:rPr>
              <w:t>______</w:t>
            </w:r>
          </w:p>
        </w:tc>
      </w:tr>
      <w:tr w:rsidR="001F5E91" w:rsidRPr="009A5185" w14:paraId="3585265D" w14:textId="77777777" w:rsidTr="00EA43F0">
        <w:trPr>
          <w:trHeight w:val="864"/>
        </w:trPr>
        <w:tc>
          <w:tcPr>
            <w:tcW w:w="7067" w:type="dxa"/>
            <w:vAlign w:val="center"/>
          </w:tcPr>
          <w:p w14:paraId="5ABC2A39" w14:textId="77777777" w:rsidR="001F5E91" w:rsidRPr="009A5185" w:rsidRDefault="001F5E91" w:rsidP="00AD309C">
            <w:pPr>
              <w:numPr>
                <w:ilvl w:val="0"/>
                <w:numId w:val="62"/>
              </w:numPr>
              <w:rPr>
                <w:rFonts w:cs="Arial"/>
              </w:rPr>
            </w:pPr>
            <w:r w:rsidRPr="009A5185">
              <w:rPr>
                <w:rFonts w:cs="Arial"/>
              </w:rPr>
              <w:t>Communication with Child – How well nurses communicate with your child</w:t>
            </w:r>
          </w:p>
        </w:tc>
        <w:tc>
          <w:tcPr>
            <w:tcW w:w="2927" w:type="dxa"/>
            <w:vAlign w:val="center"/>
          </w:tcPr>
          <w:p w14:paraId="1B4808C5" w14:textId="5198E136" w:rsidR="001F5E91" w:rsidRPr="009A5185" w:rsidRDefault="001F5E91" w:rsidP="001F5E91">
            <w:pPr>
              <w:jc w:val="center"/>
              <w:rPr>
                <w:rFonts w:cs="Arial"/>
                <w:i/>
              </w:rPr>
            </w:pPr>
            <w:r w:rsidRPr="007877F1">
              <w:rPr>
                <w:rFonts w:cs="Arial"/>
              </w:rPr>
              <w:t>______</w:t>
            </w:r>
          </w:p>
        </w:tc>
      </w:tr>
      <w:tr w:rsidR="001F5E91" w:rsidRPr="009A5185" w14:paraId="02B62E8D" w14:textId="77777777" w:rsidTr="00EA43F0">
        <w:trPr>
          <w:trHeight w:val="864"/>
        </w:trPr>
        <w:tc>
          <w:tcPr>
            <w:tcW w:w="7067" w:type="dxa"/>
            <w:vAlign w:val="center"/>
          </w:tcPr>
          <w:p w14:paraId="501D8B7C" w14:textId="77777777" w:rsidR="001F5E91" w:rsidRPr="009A5185" w:rsidRDefault="001F5E91" w:rsidP="00AD309C">
            <w:pPr>
              <w:numPr>
                <w:ilvl w:val="0"/>
                <w:numId w:val="62"/>
              </w:numPr>
              <w:rPr>
                <w:rFonts w:cs="Arial"/>
              </w:rPr>
            </w:pPr>
            <w:r w:rsidRPr="009A5185">
              <w:rPr>
                <w:rFonts w:cs="Arial"/>
              </w:rPr>
              <w:t>Communication with Child – How well doctors communicate with your child</w:t>
            </w:r>
          </w:p>
        </w:tc>
        <w:tc>
          <w:tcPr>
            <w:tcW w:w="2927" w:type="dxa"/>
            <w:vAlign w:val="center"/>
          </w:tcPr>
          <w:p w14:paraId="67CB70E0" w14:textId="5E68B05C" w:rsidR="001F5E91" w:rsidRPr="009A5185" w:rsidRDefault="001F5E91" w:rsidP="001F5E91">
            <w:pPr>
              <w:jc w:val="center"/>
              <w:rPr>
                <w:rFonts w:cs="Arial"/>
                <w:i/>
              </w:rPr>
            </w:pPr>
            <w:r w:rsidRPr="007877F1">
              <w:rPr>
                <w:rFonts w:cs="Arial"/>
              </w:rPr>
              <w:t>______</w:t>
            </w:r>
          </w:p>
        </w:tc>
      </w:tr>
      <w:tr w:rsidR="001F5E91" w:rsidRPr="009A5185" w14:paraId="1E7996CE" w14:textId="77777777" w:rsidTr="00EA43F0">
        <w:trPr>
          <w:trHeight w:val="864"/>
        </w:trPr>
        <w:tc>
          <w:tcPr>
            <w:tcW w:w="7067" w:type="dxa"/>
            <w:vAlign w:val="center"/>
          </w:tcPr>
          <w:p w14:paraId="4B02808D" w14:textId="77777777" w:rsidR="001F5E91" w:rsidRPr="009A5185" w:rsidRDefault="001F5E91" w:rsidP="00AD309C">
            <w:pPr>
              <w:numPr>
                <w:ilvl w:val="0"/>
                <w:numId w:val="62"/>
              </w:numPr>
              <w:rPr>
                <w:rFonts w:cs="Arial"/>
              </w:rPr>
            </w:pPr>
            <w:r w:rsidRPr="009A5185">
              <w:rPr>
                <w:rFonts w:cs="Arial"/>
              </w:rPr>
              <w:t>Attention to Safety and Comfort – Preventing mistakes and helping you report concerns</w:t>
            </w:r>
          </w:p>
        </w:tc>
        <w:tc>
          <w:tcPr>
            <w:tcW w:w="2927" w:type="dxa"/>
            <w:vAlign w:val="center"/>
          </w:tcPr>
          <w:p w14:paraId="04893316" w14:textId="25541DC5" w:rsidR="001F5E91" w:rsidRPr="009A5185" w:rsidRDefault="001F5E91" w:rsidP="001F5E91">
            <w:pPr>
              <w:jc w:val="center"/>
              <w:rPr>
                <w:rFonts w:cs="Arial"/>
                <w:i/>
              </w:rPr>
            </w:pPr>
            <w:r w:rsidRPr="007877F1">
              <w:rPr>
                <w:rFonts w:cs="Arial"/>
              </w:rPr>
              <w:t>______</w:t>
            </w:r>
          </w:p>
        </w:tc>
      </w:tr>
    </w:tbl>
    <w:p w14:paraId="17E48F05" w14:textId="77777777" w:rsidR="00332D42" w:rsidRPr="009A5185" w:rsidRDefault="00332D42" w:rsidP="00D623D8">
      <w:pPr>
        <w:rPr>
          <w:rFonts w:cs="Arial"/>
        </w:rPr>
      </w:pPr>
    </w:p>
    <w:p w14:paraId="364F6CE3" w14:textId="77777777" w:rsidR="00332D42" w:rsidRPr="009A5185" w:rsidRDefault="00332D42" w:rsidP="00D623D8">
      <w:pPr>
        <w:rPr>
          <w:rFonts w:cs="Arial"/>
        </w:rPr>
      </w:pPr>
      <w:r w:rsidRPr="009A5185">
        <w:rPr>
          <w:rFonts w:cs="Arial"/>
        </w:rPr>
        <w:br w:type="page"/>
      </w:r>
    </w:p>
    <w:p w14:paraId="2011118A" w14:textId="77777777" w:rsidR="00332D42" w:rsidRPr="009A5185" w:rsidRDefault="00332D42" w:rsidP="00332D42">
      <w:pPr>
        <w:pStyle w:val="BodyText3"/>
        <w:rPr>
          <w:rFonts w:cs="Arial"/>
        </w:rPr>
      </w:pPr>
    </w:p>
    <w:p w14:paraId="34CA032A" w14:textId="5265DC03" w:rsidR="00B6773E" w:rsidRDefault="00DB33CD" w:rsidP="00CF5A6E">
      <w:pPr>
        <w:pStyle w:val="Heading2"/>
      </w:pPr>
      <w:bookmarkStart w:id="689" w:name="_Toc225877821"/>
      <w:r>
        <w:t>8</w:t>
      </w:r>
      <w:r w:rsidRPr="009A5185">
        <w:t>B</w:t>
      </w:r>
      <w:r>
        <w:t>:</w:t>
      </w:r>
      <w:r w:rsidRPr="009A5185">
        <w:t xml:space="preserve"> Pediatric Computed Tomography (CT) Radiation Dose</w:t>
      </w:r>
      <w:bookmarkEnd w:id="689"/>
    </w:p>
    <w:p w14:paraId="4952048A" w14:textId="77777777" w:rsidR="00DB33CD" w:rsidRPr="002D5AA9" w:rsidRDefault="00DB33CD" w:rsidP="00C665F4">
      <w:pPr>
        <w:pStyle w:val="BodyText3"/>
        <w:rPr>
          <w:rFonts w:cs="Arial"/>
          <w:bCs/>
          <w:color w:val="FF0000"/>
        </w:rPr>
      </w:pPr>
    </w:p>
    <w:p w14:paraId="640C67F1" w14:textId="7720AE26" w:rsidR="0012772F" w:rsidRPr="009A5185" w:rsidRDefault="0012772F" w:rsidP="0012772F">
      <w:pPr>
        <w:rPr>
          <w:rFonts w:cs="Arial"/>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40" w:history="1">
        <w:r w:rsidRPr="009A5185">
          <w:rPr>
            <w:rStyle w:val="Hyperlink"/>
            <w:rFonts w:cs="Arial"/>
            <w:snapToGrid w:val="0"/>
          </w:rPr>
          <w:t>Leapfrog’s Multi-Campus Reporting Policy</w:t>
        </w:r>
      </w:hyperlink>
      <w:r w:rsidRPr="009A5185">
        <w:rPr>
          <w:rFonts w:cs="Arial"/>
          <w:snapToGrid w:val="0"/>
        </w:rPr>
        <w:t>.</w:t>
      </w:r>
    </w:p>
    <w:p w14:paraId="067F7DDE" w14:textId="77777777" w:rsidR="0012772F" w:rsidRPr="002D5AA9" w:rsidRDefault="0012772F" w:rsidP="00C665F4">
      <w:pPr>
        <w:pStyle w:val="BodyText3"/>
        <w:rPr>
          <w:rFonts w:cs="Arial"/>
          <w:bCs/>
          <w:color w:val="FF0000"/>
        </w:rPr>
      </w:pPr>
    </w:p>
    <w:p w14:paraId="5C928970" w14:textId="77777777" w:rsidR="007E404D" w:rsidRPr="00722F1B" w:rsidRDefault="007E404D" w:rsidP="007E404D">
      <w:pPr>
        <w:rPr>
          <w:b/>
          <w:bCs/>
          <w:color w:val="FF0000"/>
        </w:rPr>
      </w:pPr>
      <w:r w:rsidRPr="00722F1B">
        <w:rPr>
          <w:b/>
          <w:bCs/>
          <w:color w:val="FF0000"/>
        </w:rPr>
        <w:t>Important Notes:</w:t>
      </w:r>
    </w:p>
    <w:p w14:paraId="7CAF829C" w14:textId="77777777" w:rsidR="007E404D" w:rsidRPr="002D5AA9" w:rsidRDefault="007E404D" w:rsidP="007E404D">
      <w:pPr>
        <w:rPr>
          <w:bCs/>
        </w:rPr>
      </w:pPr>
    </w:p>
    <w:p w14:paraId="18F07A5A" w14:textId="4A9E20D4" w:rsidR="007E404D" w:rsidRDefault="007E404D" w:rsidP="007E404D">
      <w:pPr>
        <w:rPr>
          <w:rFonts w:cs="Arial"/>
        </w:rPr>
      </w:pPr>
      <w:r>
        <w:rPr>
          <w:bCs/>
        </w:rPr>
        <w:t>Note 1:</w:t>
      </w:r>
      <w:r>
        <w:rPr>
          <w:rFonts w:cs="Arial"/>
          <w:snapToGrid w:val="0"/>
        </w:rPr>
        <w:t xml:space="preserve"> </w:t>
      </w:r>
      <w:r w:rsidRPr="009A5185">
        <w:rPr>
          <w:rFonts w:cs="Arial"/>
        </w:rPr>
        <w:t>All pediatric patient (</w:t>
      </w:r>
      <w:r>
        <w:rPr>
          <w:rFonts w:cs="Arial"/>
        </w:rPr>
        <w:t xml:space="preserve">ages </w:t>
      </w:r>
      <w:r w:rsidRPr="009A5185">
        <w:rPr>
          <w:rFonts w:cs="Arial"/>
        </w:rPr>
        <w:t xml:space="preserve">17 years </w:t>
      </w:r>
      <w:r>
        <w:rPr>
          <w:rFonts w:cs="Arial"/>
        </w:rPr>
        <w:t>and</w:t>
      </w:r>
      <w:r w:rsidRPr="009A5185">
        <w:rPr>
          <w:rFonts w:cs="Arial"/>
        </w:rPr>
        <w:t xml:space="preserve"> younger) scans </w:t>
      </w:r>
      <w:r>
        <w:rPr>
          <w:rFonts w:cs="Arial"/>
        </w:rPr>
        <w:t xml:space="preserve">performed at your hospital </w:t>
      </w:r>
      <w:r w:rsidRPr="009A5185">
        <w:rPr>
          <w:rFonts w:cs="Arial"/>
        </w:rPr>
        <w:t>should be included when reporting on this measure, including cases that were never admitted to an inpatient ward.</w:t>
      </w:r>
    </w:p>
    <w:p w14:paraId="2F5E4DFE" w14:textId="55C96751" w:rsidR="00C665F4" w:rsidRDefault="00C665F4" w:rsidP="007E404D">
      <w:pPr>
        <w:rPr>
          <w:rFonts w:cs="Arial"/>
        </w:rPr>
      </w:pPr>
    </w:p>
    <w:p w14:paraId="2A8D65A5" w14:textId="52709AA2" w:rsidR="00C665F4" w:rsidRDefault="00C665F4" w:rsidP="00D65BBD">
      <w:pPr>
        <w:pStyle w:val="BodyText3"/>
        <w:rPr>
          <w:rFonts w:cs="Arial"/>
          <w:bCs/>
          <w:color w:val="auto"/>
        </w:rPr>
      </w:pPr>
      <w:r>
        <w:rPr>
          <w:rFonts w:cs="Arial"/>
        </w:rPr>
        <w:t>Note 2:</w:t>
      </w:r>
      <w:r w:rsidRPr="009A5185">
        <w:rPr>
          <w:rFonts w:cs="Arial"/>
          <w:color w:val="auto"/>
        </w:rPr>
        <w:t xml:space="preserve"> This section is only applicable to hospitals that </w:t>
      </w:r>
      <w:r w:rsidR="00B4674C">
        <w:rPr>
          <w:rFonts w:cs="Arial"/>
          <w:color w:val="auto"/>
        </w:rPr>
        <w:t xml:space="preserve">perform </w:t>
      </w:r>
      <w:r w:rsidR="00B34039">
        <w:rPr>
          <w:rFonts w:cs="Arial"/>
          <w:color w:val="auto"/>
        </w:rPr>
        <w:t xml:space="preserve">CT </w:t>
      </w:r>
      <w:r w:rsidR="00B4674C">
        <w:rPr>
          <w:rFonts w:cs="Arial"/>
          <w:color w:val="auto"/>
        </w:rPr>
        <w:t xml:space="preserve">scans on patients </w:t>
      </w:r>
      <w:r w:rsidRPr="009A5185">
        <w:rPr>
          <w:rFonts w:cs="Arial"/>
          <w:color w:val="auto"/>
        </w:rPr>
        <w:t>17 years of age or younger.</w:t>
      </w:r>
      <w:r>
        <w:rPr>
          <w:rFonts w:cs="Arial"/>
          <w:color w:val="auto"/>
        </w:rPr>
        <w:t xml:space="preserve"> </w:t>
      </w:r>
      <w:r w:rsidR="00B4674C" w:rsidRPr="00D65BBD">
        <w:rPr>
          <w:rFonts w:cs="Arial"/>
          <w:bCs/>
          <w:color w:val="auto"/>
        </w:rPr>
        <w:t xml:space="preserve">Hospitals that do </w:t>
      </w:r>
      <w:r w:rsidR="000C3596">
        <w:rPr>
          <w:rFonts w:cs="Arial"/>
          <w:bCs/>
          <w:color w:val="auto"/>
        </w:rPr>
        <w:t xml:space="preserve">not </w:t>
      </w:r>
      <w:r w:rsidR="00B4674C">
        <w:rPr>
          <w:rFonts w:cs="Arial"/>
          <w:bCs/>
          <w:color w:val="auto"/>
        </w:rPr>
        <w:t xml:space="preserve">perform </w:t>
      </w:r>
      <w:r w:rsidR="00B34039">
        <w:rPr>
          <w:rFonts w:cs="Arial"/>
          <w:bCs/>
          <w:color w:val="auto"/>
        </w:rPr>
        <w:t xml:space="preserve">CT </w:t>
      </w:r>
      <w:r w:rsidR="00B4674C">
        <w:rPr>
          <w:rFonts w:cs="Arial"/>
          <w:bCs/>
          <w:color w:val="auto"/>
        </w:rPr>
        <w:t xml:space="preserve">scans on patients </w:t>
      </w:r>
      <w:r w:rsidR="00B4674C" w:rsidRPr="00D65BBD">
        <w:rPr>
          <w:rFonts w:cs="Arial"/>
          <w:bCs/>
          <w:color w:val="auto"/>
        </w:rPr>
        <w:t xml:space="preserve">17 years of age or younger should respond “no” to question #2 in </w:t>
      </w:r>
      <w:r w:rsidR="009A058A">
        <w:rPr>
          <w:rFonts w:cs="Arial"/>
          <w:bCs/>
          <w:color w:val="auto"/>
        </w:rPr>
        <w:t>8</w:t>
      </w:r>
      <w:r w:rsidR="00B4674C" w:rsidRPr="00D65BBD">
        <w:rPr>
          <w:rFonts w:cs="Arial"/>
          <w:bCs/>
          <w:color w:val="auto"/>
        </w:rPr>
        <w:t>B and move on to the Affirmation of Accuracy. Your hospital’s results will be displayed a</w:t>
      </w:r>
      <w:r w:rsidR="00C82C89">
        <w:rPr>
          <w:rFonts w:cs="Arial"/>
          <w:bCs/>
          <w:color w:val="auto"/>
        </w:rPr>
        <w:t>s</w:t>
      </w:r>
      <w:r w:rsidR="00B4674C" w:rsidRPr="00D65BBD">
        <w:rPr>
          <w:rFonts w:cs="Arial"/>
          <w:bCs/>
          <w:color w:val="auto"/>
        </w:rPr>
        <w:t xml:space="preserve"> “Does Not Apply” on Leapfrog’s public reporting website.</w:t>
      </w:r>
    </w:p>
    <w:p w14:paraId="162CEF4D" w14:textId="77777777" w:rsidR="007E404D" w:rsidRDefault="007E404D" w:rsidP="007E404D">
      <w:pPr>
        <w:rPr>
          <w:rFonts w:cs="Arial"/>
          <w:b/>
        </w:rPr>
      </w:pPr>
    </w:p>
    <w:p w14:paraId="44E827CB" w14:textId="6F05152E" w:rsidR="00B6773E" w:rsidRDefault="00B6773E" w:rsidP="00B6773E">
      <w:pPr>
        <w:rPr>
          <w:rFonts w:cs="Arial"/>
        </w:rPr>
      </w:pPr>
      <w:r w:rsidRPr="009A5185">
        <w:rPr>
          <w:rFonts w:cs="Arial"/>
          <w:b/>
        </w:rPr>
        <w:t xml:space="preserve">Specifications: </w:t>
      </w:r>
      <w:r w:rsidRPr="009A5185">
        <w:rPr>
          <w:rFonts w:cs="Arial"/>
        </w:rPr>
        <w:t xml:space="preserve">See </w:t>
      </w:r>
      <w:hyperlink w:anchor="_Pediatric_Computed_Tomography" w:history="1">
        <w:r w:rsidR="00921D33">
          <w:rPr>
            <w:rStyle w:val="Hyperlink"/>
            <w:rFonts w:cs="Arial"/>
            <w:b/>
            <w:i/>
          </w:rPr>
          <w:t>Pediatric Computed Tomography (CT) Radiation Dose Measure Specifications</w:t>
        </w:r>
      </w:hyperlink>
      <w:r w:rsidRPr="009A5185">
        <w:rPr>
          <w:rFonts w:cs="Arial"/>
          <w:b/>
          <w:i/>
        </w:rPr>
        <w:t xml:space="preserve"> </w:t>
      </w:r>
      <w:r w:rsidRPr="009A5185">
        <w:rPr>
          <w:rFonts w:cs="Arial"/>
        </w:rPr>
        <w:t xml:space="preserve">in the Reference Information </w:t>
      </w:r>
      <w:r w:rsidR="00127E33">
        <w:rPr>
          <w:rFonts w:cs="Arial"/>
        </w:rPr>
        <w:t xml:space="preserve">beginning on page </w:t>
      </w:r>
      <w:r w:rsidR="00D93990">
        <w:rPr>
          <w:rFonts w:cs="Arial"/>
        </w:rPr>
        <w:t>28</w:t>
      </w:r>
      <w:r w:rsidR="002D6D62">
        <w:rPr>
          <w:rFonts w:cs="Arial"/>
        </w:rPr>
        <w:t>2</w:t>
      </w:r>
      <w:r w:rsidR="00D93990">
        <w:rPr>
          <w:rFonts w:cs="Arial"/>
        </w:rPr>
        <w:t>.</w:t>
      </w:r>
    </w:p>
    <w:p w14:paraId="6704040C" w14:textId="77777777" w:rsidR="000505C8" w:rsidRPr="009A5185" w:rsidRDefault="000505C8" w:rsidP="00B6773E">
      <w:pPr>
        <w:rPr>
          <w:rFonts w:cs="Arial"/>
        </w:rPr>
      </w:pPr>
    </w:p>
    <w:p w14:paraId="547C0923" w14:textId="128C7BC6" w:rsidR="00B6773E" w:rsidRPr="009A5185" w:rsidRDefault="002D5AA9" w:rsidP="00B6773E">
      <w:pPr>
        <w:rPr>
          <w:rFonts w:cs="Arial"/>
        </w:rPr>
      </w:pPr>
      <w:r w:rsidRPr="002D5AA9">
        <w:rPr>
          <w:rFonts w:cs="Arial"/>
          <w:noProof/>
        </w:rPr>
        <mc:AlternateContent>
          <mc:Choice Requires="wps">
            <w:drawing>
              <wp:inline distT="0" distB="0" distL="0" distR="0" wp14:anchorId="32750856" wp14:editId="778D27AB">
                <wp:extent cx="6329238" cy="1637969"/>
                <wp:effectExtent l="0" t="0" r="14605" b="19685"/>
                <wp:docPr id="42" name="Text Box 42" descr="P10314TB3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238" cy="1637969"/>
                        </a:xfrm>
                        <a:prstGeom prst="rect">
                          <a:avLst/>
                        </a:prstGeom>
                        <a:solidFill>
                          <a:srgbClr val="FFFFFF"/>
                        </a:solidFill>
                        <a:ln w="9525">
                          <a:solidFill>
                            <a:srgbClr val="FF0000"/>
                          </a:solidFill>
                          <a:miter lim="800000"/>
                          <a:headEnd/>
                          <a:tailEnd/>
                        </a:ln>
                      </wps:spPr>
                      <wps:txbx>
                        <w:txbxContent>
                          <w:p w14:paraId="78D872D8" w14:textId="133A5252" w:rsidR="002D5AA9" w:rsidRPr="009A5185" w:rsidRDefault="002D5AA9" w:rsidP="002D5AA9">
                            <w:pPr>
                              <w:spacing w:before="120"/>
                              <w:rPr>
                                <w:rFonts w:cs="Arial"/>
                                <w:b/>
                                <w:snapToGrid w:val="0"/>
                              </w:rPr>
                            </w:pPr>
                            <w:r w:rsidRPr="009A5185">
                              <w:rPr>
                                <w:rFonts w:cs="Arial"/>
                                <w:b/>
                                <w:snapToGrid w:val="0"/>
                              </w:rPr>
                              <w:t>Reporting Period: 12 months</w:t>
                            </w:r>
                          </w:p>
                          <w:p w14:paraId="22BAB8F0" w14:textId="7A7474DD" w:rsidR="002D5AA9" w:rsidRPr="009A5185" w:rsidRDefault="002D5AA9" w:rsidP="002D5AA9">
                            <w:pPr>
                              <w:rPr>
                                <w:rFonts w:cs="Arial"/>
                                <w:b/>
                                <w:snapToGrid w:val="0"/>
                              </w:rPr>
                            </w:pPr>
                            <w:r w:rsidRPr="009A5185">
                              <w:rPr>
                                <w:rFonts w:cs="Arial"/>
                                <w:snapToGrid w:val="0"/>
                              </w:rPr>
                              <w:t xml:space="preserve">Answer </w:t>
                            </w:r>
                            <w:r w:rsidRPr="00CC0E71">
                              <w:rPr>
                                <w:rFonts w:cs="Arial"/>
                                <w:snapToGrid w:val="0"/>
                              </w:rPr>
                              <w:t>questions #1-</w:t>
                            </w:r>
                            <w:r w:rsidR="00897A3E">
                              <w:rPr>
                                <w:rFonts w:cs="Arial"/>
                                <w:snapToGrid w:val="0"/>
                              </w:rPr>
                              <w:t>7</w:t>
                            </w:r>
                            <w:r w:rsidRPr="00CC0E71">
                              <w:rPr>
                                <w:rFonts w:cs="Arial"/>
                                <w:snapToGrid w:val="0"/>
                              </w:rPr>
                              <w:t xml:space="preserve"> based </w:t>
                            </w:r>
                            <w:r w:rsidRPr="00CC0E71">
                              <w:rPr>
                                <w:rFonts w:cs="Arial"/>
                                <w:snapToGrid w:val="0"/>
                                <w:color w:val="000000"/>
                              </w:rPr>
                              <w:t xml:space="preserve">on </w:t>
                            </w:r>
                            <w:r w:rsidRPr="00CC0E71">
                              <w:rPr>
                                <w:rFonts w:cs="Arial"/>
                                <w:snapToGrid w:val="0"/>
                              </w:rPr>
                              <w:t>all</w:t>
                            </w:r>
                            <w:r w:rsidRPr="009A5185">
                              <w:rPr>
                                <w:rFonts w:cs="Arial"/>
                                <w:snapToGrid w:val="0"/>
                              </w:rPr>
                              <w:t xml:space="preserve"> cases </w:t>
                            </w:r>
                            <w:r w:rsidRPr="009A5185">
                              <w:rPr>
                                <w:rFonts w:cs="Arial"/>
                              </w:rPr>
                              <w:t xml:space="preserve">(or a </w:t>
                            </w:r>
                            <w:r w:rsidRPr="00E5287F">
                              <w:t>sufficient sample of them</w:t>
                            </w:r>
                            <w:r w:rsidRPr="009A5185">
                              <w:rPr>
                                <w:rFonts w:cs="Arial"/>
                                <w:snapToGrid w:val="0"/>
                              </w:rPr>
                              <w:t>)</w:t>
                            </w:r>
                            <w:r w:rsidRPr="009A5185">
                              <w:rPr>
                                <w:rFonts w:cs="Arial"/>
                                <w:b/>
                                <w:snapToGrid w:val="0"/>
                              </w:rPr>
                              <w:t xml:space="preserve"> </w:t>
                            </w:r>
                          </w:p>
                          <w:p w14:paraId="70559B63" w14:textId="77777777" w:rsidR="002D5AA9" w:rsidRPr="00A87554" w:rsidRDefault="002D5AA9" w:rsidP="00AD309C">
                            <w:pPr>
                              <w:pStyle w:val="ListParagraph"/>
                              <w:numPr>
                                <w:ilvl w:val="0"/>
                                <w:numId w:val="36"/>
                              </w:numPr>
                              <w:rPr>
                                <w:rFonts w:cs="Arial"/>
                                <w:i/>
                                <w:snapToGrid w:val="0"/>
                              </w:rPr>
                            </w:pPr>
                            <w:r>
                              <w:rPr>
                                <w:rFonts w:cs="Arial"/>
                                <w:iCs/>
                                <w:snapToGrid w:val="0"/>
                              </w:rPr>
                              <w:t>Surveys submitted prior to September 1:</w:t>
                            </w:r>
                          </w:p>
                          <w:p w14:paraId="1F371AC1" w14:textId="23571E7E" w:rsidR="002D5AA9" w:rsidRPr="009A5185" w:rsidRDefault="002D5AA9" w:rsidP="00AD309C">
                            <w:pPr>
                              <w:pStyle w:val="ListParagraph"/>
                              <w:numPr>
                                <w:ilvl w:val="1"/>
                                <w:numId w:val="36"/>
                              </w:numPr>
                              <w:rPr>
                                <w:rFonts w:cs="Arial"/>
                                <w:i/>
                                <w:snapToGrid w:val="0"/>
                              </w:rPr>
                            </w:pPr>
                            <w:r>
                              <w:rPr>
                                <w:rFonts w:cs="Arial"/>
                                <w:snapToGrid w:val="0"/>
                              </w:rPr>
                              <w:t>01/01/202</w:t>
                            </w:r>
                            <w:r w:rsidR="00AA1E22">
                              <w:rPr>
                                <w:rFonts w:cs="Arial"/>
                                <w:snapToGrid w:val="0"/>
                              </w:rPr>
                              <w:t>5</w:t>
                            </w:r>
                            <w:r>
                              <w:rPr>
                                <w:rFonts w:cs="Arial"/>
                                <w:snapToGrid w:val="0"/>
                              </w:rPr>
                              <w:t xml:space="preserve"> – 12/31/202</w:t>
                            </w:r>
                            <w:r w:rsidR="00AA1E22">
                              <w:rPr>
                                <w:rFonts w:cs="Arial"/>
                                <w:snapToGrid w:val="0"/>
                              </w:rPr>
                              <w:t>5</w:t>
                            </w:r>
                          </w:p>
                          <w:p w14:paraId="200A2646" w14:textId="77777777" w:rsidR="002D5AA9" w:rsidRPr="0088233D" w:rsidRDefault="002D5AA9" w:rsidP="00AD309C">
                            <w:pPr>
                              <w:pStyle w:val="ListParagraph"/>
                              <w:numPr>
                                <w:ilvl w:val="0"/>
                                <w:numId w:val="36"/>
                              </w:numPr>
                              <w:spacing w:after="120"/>
                              <w:rPr>
                                <w:rFonts w:cs="Arial"/>
                                <w:i/>
                                <w:snapToGrid w:val="0"/>
                              </w:rPr>
                            </w:pPr>
                            <w:r w:rsidRPr="009A5185">
                              <w:rPr>
                                <w:rFonts w:cs="Arial"/>
                                <w:snapToGrid w:val="0"/>
                              </w:rPr>
                              <w:t xml:space="preserve">Surveys (re)submitted on or after September 1: </w:t>
                            </w:r>
                          </w:p>
                          <w:p w14:paraId="406AFBD5" w14:textId="1C3F29A0" w:rsidR="002D5AA9" w:rsidRPr="00FD4BD9" w:rsidRDefault="002D5AA9" w:rsidP="00AD309C">
                            <w:pPr>
                              <w:pStyle w:val="ListParagraph"/>
                              <w:numPr>
                                <w:ilvl w:val="1"/>
                                <w:numId w:val="36"/>
                              </w:numPr>
                              <w:spacing w:after="120"/>
                              <w:rPr>
                                <w:rFonts w:cs="Arial"/>
                                <w:i/>
                                <w:snapToGrid w:val="0"/>
                              </w:rPr>
                            </w:pPr>
                            <w:r w:rsidRPr="009A5185">
                              <w:rPr>
                                <w:rFonts w:cs="Arial"/>
                                <w:snapToGrid w:val="0"/>
                              </w:rPr>
                              <w:t>07/01/</w:t>
                            </w:r>
                            <w:r>
                              <w:rPr>
                                <w:rFonts w:cs="Arial"/>
                                <w:snapToGrid w:val="0"/>
                              </w:rPr>
                              <w:t>202</w:t>
                            </w:r>
                            <w:r w:rsidR="00AA1E22">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AA1E22">
                              <w:rPr>
                                <w:rFonts w:cs="Arial"/>
                                <w:snapToGrid w:val="0"/>
                              </w:rPr>
                              <w:t>6</w:t>
                            </w:r>
                          </w:p>
                          <w:p w14:paraId="634C0141" w14:textId="77777777" w:rsidR="002D5AA9" w:rsidRDefault="002D5AA9" w:rsidP="002D5AA9">
                            <w:pPr>
                              <w:rPr>
                                <w:rFonts w:cs="Arial"/>
                                <w:sz w:val="16"/>
                                <w:szCs w:val="16"/>
                                <w:highlight w:val="cyan"/>
                              </w:rPr>
                            </w:pPr>
                          </w:p>
                          <w:p w14:paraId="1633EA6B" w14:textId="28D1C9E0" w:rsidR="002D5AA9" w:rsidRDefault="002D5AA9" w:rsidP="002D5AA9">
                            <w:r w:rsidRPr="006547C0">
                              <w:rPr>
                                <w:rFonts w:cs="Arial"/>
                                <w:sz w:val="16"/>
                                <w:szCs w:val="16"/>
                              </w:rPr>
                              <w:t xml:space="preserve">Note: As a reminder, the </w:t>
                            </w:r>
                            <w:hyperlink r:id="rId441"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32750856" id="Text Box 42" o:spid="_x0000_s1058" type="#_x0000_t202" alt="P10314TB31#y1" style="width:498.35pt;height:1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" strokecolor="red">
                <v:textbox>
                  <w:txbxContent>
                    <w:p w14:paraId="78D872D8" w14:textId="133A5252" w:rsidR="002D5AA9" w:rsidRPr="009A5185" w:rsidRDefault="002D5AA9" w:rsidP="002D5AA9">
                      <w:pPr>
                        <w:spacing w:before="120"/>
                        <w:rPr>
                          <w:rFonts w:cs="Arial"/>
                          <w:b/>
                          <w:snapToGrid w:val="0"/>
                        </w:rPr>
                      </w:pPr>
                      <w:r w:rsidRPr="009A5185">
                        <w:rPr>
                          <w:rFonts w:cs="Arial"/>
                          <w:b/>
                          <w:snapToGrid w:val="0"/>
                        </w:rPr>
                        <w:t>Reporting Period: 12 months</w:t>
                      </w:r>
                    </w:p>
                    <w:p w14:paraId="22BAB8F0" w14:textId="7A7474DD" w:rsidR="002D5AA9" w:rsidRPr="009A5185" w:rsidRDefault="002D5AA9" w:rsidP="002D5AA9">
                      <w:pPr>
                        <w:rPr>
                          <w:rFonts w:cs="Arial"/>
                          <w:b/>
                          <w:snapToGrid w:val="0"/>
                        </w:rPr>
                      </w:pPr>
                      <w:r w:rsidRPr="009A5185">
                        <w:rPr>
                          <w:rFonts w:cs="Arial"/>
                          <w:snapToGrid w:val="0"/>
                        </w:rPr>
                        <w:t xml:space="preserve">Answer </w:t>
                      </w:r>
                      <w:r w:rsidRPr="00CC0E71">
                        <w:rPr>
                          <w:rFonts w:cs="Arial"/>
                          <w:snapToGrid w:val="0"/>
                        </w:rPr>
                        <w:t>questions #1-</w:t>
                      </w:r>
                      <w:r w:rsidR="00897A3E">
                        <w:rPr>
                          <w:rFonts w:cs="Arial"/>
                          <w:snapToGrid w:val="0"/>
                        </w:rPr>
                        <w:t>7</w:t>
                      </w:r>
                      <w:r w:rsidRPr="00CC0E71">
                        <w:rPr>
                          <w:rFonts w:cs="Arial"/>
                          <w:snapToGrid w:val="0"/>
                        </w:rPr>
                        <w:t xml:space="preserve"> based </w:t>
                      </w:r>
                      <w:r w:rsidRPr="00CC0E71">
                        <w:rPr>
                          <w:rFonts w:cs="Arial"/>
                          <w:snapToGrid w:val="0"/>
                          <w:color w:val="000000"/>
                        </w:rPr>
                        <w:t xml:space="preserve">on </w:t>
                      </w:r>
                      <w:r w:rsidRPr="00CC0E71">
                        <w:rPr>
                          <w:rFonts w:cs="Arial"/>
                          <w:snapToGrid w:val="0"/>
                        </w:rPr>
                        <w:t>all</w:t>
                      </w:r>
                      <w:r w:rsidRPr="009A5185">
                        <w:rPr>
                          <w:rFonts w:cs="Arial"/>
                          <w:snapToGrid w:val="0"/>
                        </w:rPr>
                        <w:t xml:space="preserve"> cases </w:t>
                      </w:r>
                      <w:r w:rsidRPr="009A5185">
                        <w:rPr>
                          <w:rFonts w:cs="Arial"/>
                        </w:rPr>
                        <w:t xml:space="preserve">(or a </w:t>
                      </w:r>
                      <w:r w:rsidRPr="00E5287F">
                        <w:t>sufficient sample of them</w:t>
                      </w:r>
                      <w:r w:rsidRPr="009A5185">
                        <w:rPr>
                          <w:rFonts w:cs="Arial"/>
                          <w:snapToGrid w:val="0"/>
                        </w:rPr>
                        <w:t>)</w:t>
                      </w:r>
                      <w:r w:rsidRPr="009A5185">
                        <w:rPr>
                          <w:rFonts w:cs="Arial"/>
                          <w:b/>
                          <w:snapToGrid w:val="0"/>
                        </w:rPr>
                        <w:t xml:space="preserve"> </w:t>
                      </w:r>
                    </w:p>
                    <w:p w14:paraId="70559B63" w14:textId="77777777" w:rsidR="002D5AA9" w:rsidRPr="00A87554" w:rsidRDefault="002D5AA9" w:rsidP="00AD309C">
                      <w:pPr>
                        <w:pStyle w:val="ListParagraph"/>
                        <w:numPr>
                          <w:ilvl w:val="0"/>
                          <w:numId w:val="36"/>
                        </w:numPr>
                        <w:rPr>
                          <w:rFonts w:cs="Arial"/>
                          <w:i/>
                          <w:snapToGrid w:val="0"/>
                        </w:rPr>
                      </w:pPr>
                      <w:r>
                        <w:rPr>
                          <w:rFonts w:cs="Arial"/>
                          <w:iCs/>
                          <w:snapToGrid w:val="0"/>
                        </w:rPr>
                        <w:t>Surveys submitted prior to September 1:</w:t>
                      </w:r>
                    </w:p>
                    <w:p w14:paraId="1F371AC1" w14:textId="23571E7E" w:rsidR="002D5AA9" w:rsidRPr="009A5185" w:rsidRDefault="002D5AA9" w:rsidP="00AD309C">
                      <w:pPr>
                        <w:pStyle w:val="ListParagraph"/>
                        <w:numPr>
                          <w:ilvl w:val="1"/>
                          <w:numId w:val="36"/>
                        </w:numPr>
                        <w:rPr>
                          <w:rFonts w:cs="Arial"/>
                          <w:i/>
                          <w:snapToGrid w:val="0"/>
                        </w:rPr>
                      </w:pPr>
                      <w:r>
                        <w:rPr>
                          <w:rFonts w:cs="Arial"/>
                          <w:snapToGrid w:val="0"/>
                        </w:rPr>
                        <w:t>01/01/202</w:t>
                      </w:r>
                      <w:r w:rsidR="00AA1E22">
                        <w:rPr>
                          <w:rFonts w:cs="Arial"/>
                          <w:snapToGrid w:val="0"/>
                        </w:rPr>
                        <w:t>5</w:t>
                      </w:r>
                      <w:r>
                        <w:rPr>
                          <w:rFonts w:cs="Arial"/>
                          <w:snapToGrid w:val="0"/>
                        </w:rPr>
                        <w:t xml:space="preserve"> – 12/31/202</w:t>
                      </w:r>
                      <w:r w:rsidR="00AA1E22">
                        <w:rPr>
                          <w:rFonts w:cs="Arial"/>
                          <w:snapToGrid w:val="0"/>
                        </w:rPr>
                        <w:t>5</w:t>
                      </w:r>
                    </w:p>
                    <w:p w14:paraId="200A2646" w14:textId="77777777" w:rsidR="002D5AA9" w:rsidRPr="0088233D" w:rsidRDefault="002D5AA9" w:rsidP="00AD309C">
                      <w:pPr>
                        <w:pStyle w:val="ListParagraph"/>
                        <w:numPr>
                          <w:ilvl w:val="0"/>
                          <w:numId w:val="36"/>
                        </w:numPr>
                        <w:spacing w:after="120"/>
                        <w:rPr>
                          <w:rFonts w:cs="Arial"/>
                          <w:i/>
                          <w:snapToGrid w:val="0"/>
                        </w:rPr>
                      </w:pPr>
                      <w:r w:rsidRPr="009A5185">
                        <w:rPr>
                          <w:rFonts w:cs="Arial"/>
                          <w:snapToGrid w:val="0"/>
                        </w:rPr>
                        <w:t xml:space="preserve">Surveys (re)submitted on or after September 1: </w:t>
                      </w:r>
                    </w:p>
                    <w:p w14:paraId="406AFBD5" w14:textId="1C3F29A0" w:rsidR="002D5AA9" w:rsidRPr="00FD4BD9" w:rsidRDefault="002D5AA9" w:rsidP="00AD309C">
                      <w:pPr>
                        <w:pStyle w:val="ListParagraph"/>
                        <w:numPr>
                          <w:ilvl w:val="1"/>
                          <w:numId w:val="36"/>
                        </w:numPr>
                        <w:spacing w:after="120"/>
                        <w:rPr>
                          <w:rFonts w:cs="Arial"/>
                          <w:i/>
                          <w:snapToGrid w:val="0"/>
                        </w:rPr>
                      </w:pPr>
                      <w:r w:rsidRPr="009A5185">
                        <w:rPr>
                          <w:rFonts w:cs="Arial"/>
                          <w:snapToGrid w:val="0"/>
                        </w:rPr>
                        <w:t>07/01/</w:t>
                      </w:r>
                      <w:r>
                        <w:rPr>
                          <w:rFonts w:cs="Arial"/>
                          <w:snapToGrid w:val="0"/>
                        </w:rPr>
                        <w:t>202</w:t>
                      </w:r>
                      <w:r w:rsidR="00AA1E22">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AA1E22">
                        <w:rPr>
                          <w:rFonts w:cs="Arial"/>
                          <w:snapToGrid w:val="0"/>
                        </w:rPr>
                        <w:t>6</w:t>
                      </w:r>
                    </w:p>
                    <w:p w14:paraId="634C0141" w14:textId="77777777" w:rsidR="002D5AA9" w:rsidRDefault="002D5AA9" w:rsidP="002D5AA9">
                      <w:pPr>
                        <w:rPr>
                          <w:rFonts w:cs="Arial"/>
                          <w:sz w:val="16"/>
                          <w:szCs w:val="16"/>
                          <w:highlight w:val="cyan"/>
                        </w:rPr>
                      </w:pPr>
                    </w:p>
                    <w:p w14:paraId="1633EA6B" w14:textId="28D1C9E0" w:rsidR="002D5AA9" w:rsidRDefault="002D5AA9" w:rsidP="002D5AA9">
                      <w:r w:rsidRPr="006547C0">
                        <w:rPr>
                          <w:rFonts w:cs="Arial"/>
                          <w:sz w:val="16"/>
                          <w:szCs w:val="16"/>
                        </w:rPr>
                        <w:t xml:space="preserve">Note: As a reminder, the </w:t>
                      </w:r>
                      <w:hyperlink r:id="rId442"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42BE52F4" w14:textId="1602B4B0" w:rsidR="00B6773E" w:rsidRPr="002D5AA9" w:rsidRDefault="00B6773E" w:rsidP="00B6773E">
      <w:pPr>
        <w:rPr>
          <w:rFonts w:cs="Arial"/>
        </w:rPr>
      </w:pPr>
    </w:p>
    <w:p w14:paraId="443C96E7" w14:textId="3067CC7B" w:rsidR="00A51133" w:rsidRDefault="00E64B75" w:rsidP="00B6773E">
      <w:r w:rsidRPr="0002601E">
        <w:rPr>
          <w:b/>
          <w:bCs/>
        </w:rPr>
        <w:t>Sufficient Sample:</w:t>
      </w:r>
      <w:r>
        <w:t xml:space="preserve"> See </w:t>
      </w:r>
      <w:hyperlink w:anchor="_Pediatric_Computed_Tomography" w:history="1">
        <w:r>
          <w:rPr>
            <w:rStyle w:val="Hyperlink"/>
            <w:rFonts w:cs="Arial"/>
            <w:b/>
            <w:i/>
          </w:rPr>
          <w:t>Pediatric Computed Tomography (CT) Radiation Dose Measure Specifications</w:t>
        </w:r>
      </w:hyperlink>
      <w:r>
        <w:rPr>
          <w:rStyle w:val="Hyperlink"/>
          <w:rFonts w:cs="Arial"/>
          <w:b/>
          <w:i/>
        </w:rPr>
        <w:t xml:space="preserve"> </w:t>
      </w:r>
      <w:r>
        <w:t>for instructions on identifying a sufficient sample for questions #2-7.</w:t>
      </w:r>
    </w:p>
    <w:p w14:paraId="1B94281E" w14:textId="77777777" w:rsidR="00E64B75" w:rsidRPr="002D5AA9" w:rsidRDefault="00E64B75" w:rsidP="00B6773E">
      <w:pPr>
        <w:rPr>
          <w:rFonts w:cs="Arial"/>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7"/>
        <w:gridCol w:w="2918"/>
      </w:tblGrid>
      <w:tr w:rsidR="00B6773E" w:rsidRPr="009A5185" w14:paraId="29809792" w14:textId="77777777" w:rsidTr="00224935">
        <w:trPr>
          <w:trHeight w:val="576"/>
        </w:trPr>
        <w:tc>
          <w:tcPr>
            <w:tcW w:w="7067" w:type="dxa"/>
            <w:tcBorders>
              <w:bottom w:val="single" w:sz="4" w:space="0" w:color="auto"/>
            </w:tcBorders>
            <w:vAlign w:val="center"/>
          </w:tcPr>
          <w:p w14:paraId="1A813395" w14:textId="24066C22" w:rsidR="00B6773E" w:rsidRPr="009A5185" w:rsidRDefault="00B6773E" w:rsidP="00AD309C">
            <w:pPr>
              <w:numPr>
                <w:ilvl w:val="0"/>
                <w:numId w:val="52"/>
              </w:numPr>
              <w:rPr>
                <w:rFonts w:cs="Arial"/>
              </w:rPr>
            </w:pPr>
            <w:r w:rsidRPr="009A5185">
              <w:rPr>
                <w:rFonts w:cs="Arial"/>
              </w:rPr>
              <w:t>12-month reporting period used</w:t>
            </w:r>
            <w:r w:rsidRPr="009A5185">
              <w:rPr>
                <w:rFonts w:cs="Arial"/>
                <w:snapToGrid w:val="0"/>
                <w:color w:val="000000"/>
              </w:rPr>
              <w:t>:</w:t>
            </w:r>
          </w:p>
        </w:tc>
        <w:tc>
          <w:tcPr>
            <w:tcW w:w="2918" w:type="dxa"/>
            <w:tcBorders>
              <w:bottom w:val="single" w:sz="4" w:space="0" w:color="auto"/>
            </w:tcBorders>
            <w:vAlign w:val="center"/>
          </w:tcPr>
          <w:p w14:paraId="14589B88" w14:textId="520ECC71" w:rsidR="00514540" w:rsidRPr="00C06753" w:rsidRDefault="00514540" w:rsidP="00AD309C">
            <w:pPr>
              <w:pStyle w:val="ListParagraph"/>
              <w:numPr>
                <w:ilvl w:val="0"/>
                <w:numId w:val="323"/>
              </w:numPr>
              <w:rPr>
                <w:rFonts w:cs="Arial"/>
                <w:snapToGrid w:val="0"/>
              </w:rPr>
            </w:pPr>
            <w:r w:rsidRPr="004F63C1">
              <w:rPr>
                <w:rFonts w:cs="Arial"/>
                <w:snapToGrid w:val="0"/>
              </w:rPr>
              <w:t>01/01/202</w:t>
            </w:r>
            <w:r w:rsidR="00AA1E22">
              <w:rPr>
                <w:rFonts w:cs="Arial"/>
                <w:snapToGrid w:val="0"/>
              </w:rPr>
              <w:t>5</w:t>
            </w:r>
            <w:r w:rsidRPr="00C06753">
              <w:rPr>
                <w:rFonts w:cs="Arial"/>
                <w:snapToGrid w:val="0"/>
              </w:rPr>
              <w:t xml:space="preserve"> </w:t>
            </w:r>
            <w:r w:rsidR="009A058A" w:rsidRPr="00C06753">
              <w:rPr>
                <w:rFonts w:cs="Arial"/>
                <w:snapToGrid w:val="0"/>
              </w:rPr>
              <w:t>–</w:t>
            </w:r>
            <w:r w:rsidRPr="00C06753">
              <w:rPr>
                <w:rFonts w:cs="Arial"/>
                <w:snapToGrid w:val="0"/>
              </w:rPr>
              <w:t xml:space="preserve"> 12/31/202</w:t>
            </w:r>
            <w:r w:rsidR="00AA1E22">
              <w:rPr>
                <w:rFonts w:cs="Arial"/>
                <w:snapToGrid w:val="0"/>
              </w:rPr>
              <w:t>5</w:t>
            </w:r>
          </w:p>
          <w:p w14:paraId="6C7D99C2" w14:textId="6D979FC2" w:rsidR="00B6773E" w:rsidRPr="00B11BF3" w:rsidRDefault="00B6773E" w:rsidP="00AD309C">
            <w:pPr>
              <w:pStyle w:val="ListParagraph"/>
              <w:numPr>
                <w:ilvl w:val="0"/>
                <w:numId w:val="323"/>
              </w:numPr>
              <w:rPr>
                <w:rFonts w:cs="Arial"/>
                <w:snapToGrid w:val="0"/>
              </w:rPr>
            </w:pPr>
            <w:r w:rsidRPr="00C06753">
              <w:rPr>
                <w:rFonts w:cs="Arial"/>
                <w:snapToGrid w:val="0"/>
              </w:rPr>
              <w:t>07/01/</w:t>
            </w:r>
            <w:r w:rsidR="00514540" w:rsidRPr="00C06753">
              <w:rPr>
                <w:rFonts w:cs="Arial"/>
                <w:snapToGrid w:val="0"/>
              </w:rPr>
              <w:t>202</w:t>
            </w:r>
            <w:r w:rsidR="00AA1E22">
              <w:rPr>
                <w:rFonts w:cs="Arial"/>
                <w:snapToGrid w:val="0"/>
              </w:rPr>
              <w:t>5</w:t>
            </w:r>
            <w:r w:rsidR="0018756C" w:rsidRPr="00C06753">
              <w:rPr>
                <w:rFonts w:cs="Arial"/>
                <w:snapToGrid w:val="0"/>
              </w:rPr>
              <w:t xml:space="preserve"> </w:t>
            </w:r>
            <w:r w:rsidR="009A058A" w:rsidRPr="00C06753">
              <w:rPr>
                <w:rFonts w:cs="Arial"/>
                <w:snapToGrid w:val="0"/>
              </w:rPr>
              <w:t>–</w:t>
            </w:r>
            <w:r w:rsidR="0018756C" w:rsidRPr="00C06753">
              <w:rPr>
                <w:rFonts w:cs="Arial"/>
                <w:snapToGrid w:val="0"/>
              </w:rPr>
              <w:t xml:space="preserve"> </w:t>
            </w:r>
            <w:r w:rsidRPr="00C06753">
              <w:rPr>
                <w:rFonts w:cs="Arial"/>
                <w:snapToGrid w:val="0"/>
              </w:rPr>
              <w:t>06/30/</w:t>
            </w:r>
            <w:r w:rsidR="00514540" w:rsidRPr="00C06753">
              <w:rPr>
                <w:rFonts w:cs="Arial"/>
                <w:snapToGrid w:val="0"/>
              </w:rPr>
              <w:t>202</w:t>
            </w:r>
            <w:r w:rsidR="00AA1E22">
              <w:rPr>
                <w:rFonts w:cs="Arial"/>
                <w:snapToGrid w:val="0"/>
              </w:rPr>
              <w:t>6</w:t>
            </w:r>
          </w:p>
        </w:tc>
      </w:tr>
      <w:tr w:rsidR="00B6773E" w:rsidRPr="009A5185" w14:paraId="28996708" w14:textId="77777777" w:rsidTr="00A212A4">
        <w:trPr>
          <w:trHeight w:val="1440"/>
        </w:trPr>
        <w:tc>
          <w:tcPr>
            <w:tcW w:w="7067" w:type="dxa"/>
            <w:vAlign w:val="center"/>
          </w:tcPr>
          <w:p w14:paraId="45438BB0" w14:textId="77777777" w:rsidR="00B6773E" w:rsidRPr="005A1356" w:rsidRDefault="00B6773E" w:rsidP="00AD309C">
            <w:pPr>
              <w:numPr>
                <w:ilvl w:val="0"/>
                <w:numId w:val="52"/>
              </w:numPr>
              <w:rPr>
                <w:rFonts w:cs="Arial"/>
              </w:rPr>
            </w:pPr>
            <w:r w:rsidRPr="005A1356">
              <w:rPr>
                <w:rFonts w:cs="Arial"/>
              </w:rPr>
              <w:t>Does your hospital perform CT scans on pediatric patients?</w:t>
            </w:r>
          </w:p>
          <w:p w14:paraId="4B52BC00" w14:textId="77777777" w:rsidR="00B6773E" w:rsidRPr="005A1356" w:rsidRDefault="00B6773E" w:rsidP="00237A9D">
            <w:pPr>
              <w:ind w:left="360"/>
              <w:rPr>
                <w:rFonts w:cs="Arial"/>
              </w:rPr>
            </w:pPr>
          </w:p>
          <w:p w14:paraId="40031667" w14:textId="4CF67C86" w:rsidR="00EF65B5" w:rsidRPr="00A212A4" w:rsidRDefault="00B6773E" w:rsidP="00A212A4">
            <w:pPr>
              <w:pStyle w:val="ListParagraph"/>
              <w:ind w:left="360"/>
              <w:rPr>
                <w:rFonts w:cs="Arial"/>
                <w:i/>
              </w:rPr>
            </w:pPr>
            <w:r w:rsidRPr="005A1356">
              <w:rPr>
                <w:rFonts w:cs="Arial"/>
                <w:i/>
              </w:rPr>
              <w:t>If “no”</w:t>
            </w:r>
            <w:r w:rsidR="00A37F69" w:rsidRPr="005A1356">
              <w:rPr>
                <w:rFonts w:cs="Arial"/>
                <w:i/>
              </w:rPr>
              <w:t xml:space="preserve"> to question #2,</w:t>
            </w:r>
            <w:r w:rsidRPr="005A1356">
              <w:rPr>
                <w:rFonts w:cs="Arial"/>
                <w:i/>
              </w:rPr>
              <w:t xml:space="preserve"> skip </w:t>
            </w:r>
            <w:r w:rsidR="00A37F69" w:rsidRPr="005A1356">
              <w:rPr>
                <w:rFonts w:cs="Arial"/>
                <w:i/>
              </w:rPr>
              <w:t xml:space="preserve">the </w:t>
            </w:r>
            <w:r w:rsidRPr="005A1356">
              <w:rPr>
                <w:rFonts w:cs="Arial"/>
                <w:i/>
              </w:rPr>
              <w:t xml:space="preserve">remaining questions in Section </w:t>
            </w:r>
            <w:r w:rsidR="008D407F">
              <w:rPr>
                <w:rFonts w:cs="Arial"/>
                <w:i/>
              </w:rPr>
              <w:t>8</w:t>
            </w:r>
            <w:r w:rsidRPr="005A1356">
              <w:rPr>
                <w:rFonts w:cs="Arial"/>
                <w:i/>
              </w:rPr>
              <w:t>B</w:t>
            </w:r>
            <w:r w:rsidR="00481A3D" w:rsidRPr="005A1356">
              <w:rPr>
                <w:rFonts w:cs="Arial"/>
                <w:i/>
              </w:rPr>
              <w:t xml:space="preserve">, and go to the Affirmation of Accuracy. </w:t>
            </w:r>
            <w:r w:rsidR="00A37F69" w:rsidRPr="005A1356">
              <w:rPr>
                <w:rFonts w:cs="Arial"/>
                <w:i/>
              </w:rPr>
              <w:t>The hospital will be scored as “Does Not Apply.”</w:t>
            </w:r>
          </w:p>
        </w:tc>
        <w:tc>
          <w:tcPr>
            <w:tcW w:w="2918" w:type="dxa"/>
            <w:vAlign w:val="center"/>
          </w:tcPr>
          <w:p w14:paraId="517F556B" w14:textId="77777777" w:rsidR="00B6773E" w:rsidRPr="004F63C1" w:rsidRDefault="00B6773E" w:rsidP="00AD309C">
            <w:pPr>
              <w:pStyle w:val="ListParagraph"/>
              <w:numPr>
                <w:ilvl w:val="0"/>
                <w:numId w:val="323"/>
              </w:numPr>
              <w:rPr>
                <w:rFonts w:cs="Arial"/>
              </w:rPr>
            </w:pPr>
            <w:r w:rsidRPr="004F63C1">
              <w:rPr>
                <w:rFonts w:cs="Arial"/>
              </w:rPr>
              <w:t>Yes</w:t>
            </w:r>
          </w:p>
          <w:p w14:paraId="1CFCC835" w14:textId="77777777" w:rsidR="00B6773E" w:rsidRPr="004F63C1" w:rsidRDefault="00B6773E" w:rsidP="00AD309C">
            <w:pPr>
              <w:pStyle w:val="ListParagraph"/>
              <w:numPr>
                <w:ilvl w:val="0"/>
                <w:numId w:val="323"/>
              </w:numPr>
              <w:rPr>
                <w:rFonts w:cs="Arial"/>
              </w:rPr>
            </w:pPr>
            <w:r w:rsidRPr="004F63C1">
              <w:rPr>
                <w:rFonts w:cs="Arial"/>
              </w:rPr>
              <w:t>No</w:t>
            </w:r>
          </w:p>
        </w:tc>
      </w:tr>
      <w:tr w:rsidR="005E3A23" w:rsidRPr="009A5185" w14:paraId="4207367C" w14:textId="77777777" w:rsidTr="001D6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2"/>
        </w:trPr>
        <w:tc>
          <w:tcPr>
            <w:tcW w:w="7067" w:type="dxa"/>
            <w:tcBorders>
              <w:top w:val="single" w:sz="4" w:space="0" w:color="auto"/>
              <w:left w:val="single" w:sz="4" w:space="0" w:color="auto"/>
              <w:bottom w:val="single" w:sz="4" w:space="0" w:color="auto"/>
              <w:right w:val="single" w:sz="4" w:space="0" w:color="auto"/>
            </w:tcBorders>
            <w:vAlign w:val="center"/>
          </w:tcPr>
          <w:p w14:paraId="20126637" w14:textId="77777777" w:rsidR="005E3A23" w:rsidRPr="00E56A49" w:rsidRDefault="00AB6034" w:rsidP="00AD309C">
            <w:pPr>
              <w:numPr>
                <w:ilvl w:val="0"/>
                <w:numId w:val="52"/>
              </w:numPr>
              <w:rPr>
                <w:rFonts w:cs="Arial"/>
              </w:rPr>
            </w:pPr>
            <w:r w:rsidRPr="00E56A49">
              <w:rPr>
                <w:rFonts w:cs="Arial"/>
              </w:rPr>
              <w:t>Did</w:t>
            </w:r>
            <w:r w:rsidR="005E3A23" w:rsidRPr="00E56A49">
              <w:rPr>
                <w:rFonts w:cs="Arial"/>
              </w:rPr>
              <w:t xml:space="preserve"> your hospital calculate its distribution of CT radiation doses for pediatric patients over the reporting period, and do you choose to report those data to this </w:t>
            </w:r>
            <w:r w:rsidR="00C14AFF" w:rsidRPr="00E56A49">
              <w:rPr>
                <w:rFonts w:cs="Arial"/>
              </w:rPr>
              <w:t>Survey</w:t>
            </w:r>
            <w:r w:rsidR="005E3A23" w:rsidRPr="00E56A49">
              <w:rPr>
                <w:rFonts w:cs="Arial"/>
              </w:rPr>
              <w:t>?</w:t>
            </w:r>
          </w:p>
          <w:p w14:paraId="7CE80A51" w14:textId="77777777" w:rsidR="005E3A23" w:rsidRPr="00E56A49" w:rsidRDefault="005E3A23" w:rsidP="005E3A23">
            <w:pPr>
              <w:rPr>
                <w:rFonts w:cs="Arial"/>
              </w:rPr>
            </w:pPr>
          </w:p>
          <w:p w14:paraId="6CE0CA6C" w14:textId="22849A84" w:rsidR="00EF65B5" w:rsidRPr="00A212A4" w:rsidRDefault="005E3A23" w:rsidP="00A212A4">
            <w:pPr>
              <w:pStyle w:val="ListParagraph"/>
              <w:ind w:left="360"/>
              <w:rPr>
                <w:rFonts w:cs="Arial"/>
                <w:i/>
              </w:rPr>
            </w:pPr>
            <w:r w:rsidRPr="00E56A49">
              <w:rPr>
                <w:rFonts w:cs="Arial"/>
                <w:i/>
              </w:rPr>
              <w:t>If “no”</w:t>
            </w:r>
            <w:r w:rsidR="00196958" w:rsidRPr="00E56A49">
              <w:rPr>
                <w:rFonts w:cs="Arial"/>
                <w:i/>
              </w:rPr>
              <w:t xml:space="preserve"> to question #3,</w:t>
            </w:r>
            <w:r w:rsidRPr="00E56A49">
              <w:rPr>
                <w:rFonts w:cs="Arial"/>
                <w:i/>
              </w:rPr>
              <w:t xml:space="preserve"> skip </w:t>
            </w:r>
            <w:r w:rsidR="00525FAB" w:rsidRPr="00E56A49">
              <w:rPr>
                <w:rFonts w:cs="Arial"/>
                <w:i/>
              </w:rPr>
              <w:t xml:space="preserve">the </w:t>
            </w:r>
            <w:r w:rsidRPr="00E56A49">
              <w:rPr>
                <w:rFonts w:cs="Arial"/>
                <w:i/>
              </w:rPr>
              <w:t xml:space="preserve">remaining questions in Section </w:t>
            </w:r>
            <w:r w:rsidR="008D407F">
              <w:rPr>
                <w:rFonts w:cs="Arial"/>
                <w:i/>
              </w:rPr>
              <w:t>8</w:t>
            </w:r>
            <w:r w:rsidRPr="00E56A49">
              <w:rPr>
                <w:rFonts w:cs="Arial"/>
                <w:i/>
              </w:rPr>
              <w:t>B, and go to the Affirmation of Accuracy.</w:t>
            </w:r>
            <w:r w:rsidR="00AB6034" w:rsidRPr="00E56A49">
              <w:rPr>
                <w:rFonts w:cs="Arial"/>
                <w:i/>
              </w:rPr>
              <w:t xml:space="preserve"> The hospital will be scored as “</w:t>
            </w:r>
            <w:r w:rsidR="00CF006B">
              <w:rPr>
                <w:rFonts w:cs="Arial"/>
                <w:i/>
              </w:rPr>
              <w:t>Did Not Measure</w:t>
            </w:r>
            <w:r w:rsidR="00AB6034" w:rsidRPr="00E56A49">
              <w:rPr>
                <w:rFonts w:cs="Arial"/>
                <w:i/>
              </w:rPr>
              <w:t>.”</w:t>
            </w:r>
          </w:p>
        </w:tc>
        <w:tc>
          <w:tcPr>
            <w:tcW w:w="2918" w:type="dxa"/>
            <w:tcBorders>
              <w:top w:val="single" w:sz="4" w:space="0" w:color="auto"/>
              <w:left w:val="single" w:sz="4" w:space="0" w:color="auto"/>
              <w:bottom w:val="single" w:sz="4" w:space="0" w:color="auto"/>
              <w:right w:val="single" w:sz="4" w:space="0" w:color="auto"/>
            </w:tcBorders>
            <w:vAlign w:val="center"/>
          </w:tcPr>
          <w:p w14:paraId="06C27AF6" w14:textId="77777777" w:rsidR="005E3A23" w:rsidRPr="004F63C1" w:rsidRDefault="005E3A23" w:rsidP="00AD309C">
            <w:pPr>
              <w:pStyle w:val="ListParagraph"/>
              <w:numPr>
                <w:ilvl w:val="0"/>
                <w:numId w:val="323"/>
              </w:numPr>
              <w:rPr>
                <w:rFonts w:cs="Arial"/>
              </w:rPr>
            </w:pPr>
            <w:r w:rsidRPr="004F63C1">
              <w:rPr>
                <w:rFonts w:cs="Arial"/>
              </w:rPr>
              <w:t>Yes</w:t>
            </w:r>
          </w:p>
          <w:p w14:paraId="6DF3EE3B" w14:textId="77777777" w:rsidR="005E3A23" w:rsidRPr="004F63C1" w:rsidRDefault="005E3A23" w:rsidP="00AD309C">
            <w:pPr>
              <w:pStyle w:val="Header"/>
              <w:numPr>
                <w:ilvl w:val="0"/>
                <w:numId w:val="323"/>
              </w:numPr>
              <w:tabs>
                <w:tab w:val="clear" w:pos="4320"/>
                <w:tab w:val="clear" w:pos="8640"/>
              </w:tabs>
              <w:rPr>
                <w:rFonts w:cs="Arial"/>
              </w:rPr>
            </w:pPr>
            <w:r w:rsidRPr="004F63C1">
              <w:rPr>
                <w:rFonts w:cs="Arial"/>
              </w:rPr>
              <w:t>No</w:t>
            </w:r>
          </w:p>
        </w:tc>
      </w:tr>
      <w:tr w:rsidR="006160D4" w:rsidRPr="009A5185" w14:paraId="057501F7" w14:textId="77777777" w:rsidTr="001D6202">
        <w:trPr>
          <w:trHeight w:val="1296"/>
        </w:trPr>
        <w:tc>
          <w:tcPr>
            <w:tcW w:w="7067" w:type="dxa"/>
            <w:tcBorders>
              <w:top w:val="single" w:sz="4" w:space="0" w:color="auto"/>
              <w:left w:val="single" w:sz="4" w:space="0" w:color="auto"/>
              <w:bottom w:val="single" w:sz="4" w:space="0" w:color="auto"/>
              <w:right w:val="single" w:sz="4" w:space="0" w:color="auto"/>
            </w:tcBorders>
            <w:vAlign w:val="center"/>
          </w:tcPr>
          <w:p w14:paraId="29C20000" w14:textId="40C43179" w:rsidR="006160D4" w:rsidRPr="009A5185" w:rsidRDefault="00C63FE8" w:rsidP="00AD309C">
            <w:pPr>
              <w:numPr>
                <w:ilvl w:val="0"/>
                <w:numId w:val="52"/>
              </w:numPr>
              <w:rPr>
                <w:rFonts w:cs="Arial"/>
              </w:rPr>
            </w:pPr>
            <w:r w:rsidRPr="009A5185">
              <w:rPr>
                <w:rFonts w:cs="Arial"/>
              </w:rPr>
              <w:t>Which o</w:t>
            </w:r>
            <w:r w:rsidRPr="00AF3FB1">
              <w:rPr>
                <w:rFonts w:cs="Arial"/>
              </w:rPr>
              <w:t xml:space="preserve">f </w:t>
            </w:r>
            <w:r w:rsidR="00B36C21" w:rsidRPr="00AF3FB1">
              <w:rPr>
                <w:rFonts w:cs="Arial"/>
              </w:rPr>
              <w:t>the</w:t>
            </w:r>
            <w:r w:rsidR="00B36C21">
              <w:rPr>
                <w:rFonts w:cs="Arial"/>
              </w:rPr>
              <w:t xml:space="preserve"> </w:t>
            </w:r>
            <w:r w:rsidRPr="009A5185">
              <w:rPr>
                <w:rFonts w:cs="Arial"/>
              </w:rPr>
              <w:t xml:space="preserve">following is your hospital using to report the CT radiation dose length product (DLP)? </w:t>
            </w:r>
          </w:p>
          <w:p w14:paraId="4CDBF128" w14:textId="77777777" w:rsidR="005A1356" w:rsidRDefault="005A1356" w:rsidP="0011459E">
            <w:pPr>
              <w:rPr>
                <w:rFonts w:cs="Arial"/>
                <w:i/>
              </w:rPr>
            </w:pPr>
          </w:p>
          <w:p w14:paraId="2CBF758E" w14:textId="599C18BD" w:rsidR="00135BE4" w:rsidRPr="009A5185" w:rsidRDefault="00524869" w:rsidP="00A212A4">
            <w:pPr>
              <w:ind w:left="360"/>
              <w:rPr>
                <w:rFonts w:cs="Arial"/>
                <w:i/>
              </w:rPr>
            </w:pPr>
            <w:r>
              <w:rPr>
                <w:rFonts w:cs="Arial"/>
                <w:i/>
              </w:rPr>
              <w:t>If “manual data collection”</w:t>
            </w:r>
            <w:r w:rsidR="00256CDD">
              <w:rPr>
                <w:rFonts w:cs="Arial"/>
                <w:i/>
              </w:rPr>
              <w:t xml:space="preserve"> is not selected</w:t>
            </w:r>
            <w:r w:rsidR="00F52CCC">
              <w:rPr>
                <w:rFonts w:cs="Arial"/>
                <w:i/>
              </w:rPr>
              <w:t>, skip question #5 and continue to question #6.</w:t>
            </w:r>
          </w:p>
        </w:tc>
        <w:tc>
          <w:tcPr>
            <w:tcW w:w="2918" w:type="dxa"/>
            <w:tcBorders>
              <w:top w:val="single" w:sz="4" w:space="0" w:color="auto"/>
              <w:left w:val="single" w:sz="4" w:space="0" w:color="auto"/>
              <w:bottom w:val="single" w:sz="4" w:space="0" w:color="auto"/>
              <w:right w:val="single" w:sz="4" w:space="0" w:color="auto"/>
            </w:tcBorders>
            <w:vAlign w:val="center"/>
          </w:tcPr>
          <w:p w14:paraId="480DA340" w14:textId="69AD45E7" w:rsidR="00DD3AC9" w:rsidRPr="004F63C1" w:rsidRDefault="00DD3AC9" w:rsidP="00AD309C">
            <w:pPr>
              <w:pStyle w:val="ListParagraph"/>
              <w:numPr>
                <w:ilvl w:val="0"/>
                <w:numId w:val="323"/>
              </w:numPr>
              <w:rPr>
                <w:rFonts w:cs="Arial"/>
              </w:rPr>
            </w:pPr>
            <w:r w:rsidRPr="004F63C1">
              <w:rPr>
                <w:rFonts w:cs="Arial"/>
              </w:rPr>
              <w:t xml:space="preserve">Manual </w:t>
            </w:r>
            <w:r w:rsidR="00F05160" w:rsidRPr="004F63C1">
              <w:rPr>
                <w:rFonts w:cs="Arial"/>
              </w:rPr>
              <w:t>D</w:t>
            </w:r>
            <w:r w:rsidRPr="004F63C1">
              <w:rPr>
                <w:rFonts w:cs="Arial"/>
              </w:rPr>
              <w:t xml:space="preserve">ata </w:t>
            </w:r>
            <w:r w:rsidR="00F05160" w:rsidRPr="004F63C1">
              <w:rPr>
                <w:rFonts w:cs="Arial"/>
              </w:rPr>
              <w:t>C</w:t>
            </w:r>
            <w:r w:rsidRPr="004F63C1">
              <w:rPr>
                <w:rFonts w:cs="Arial"/>
              </w:rPr>
              <w:t>ollection</w:t>
            </w:r>
          </w:p>
          <w:p w14:paraId="4E3C9FD9" w14:textId="77777777" w:rsidR="006160D4" w:rsidRPr="004F63C1" w:rsidRDefault="00DD3AC9" w:rsidP="00AD309C">
            <w:pPr>
              <w:pStyle w:val="ListParagraph"/>
              <w:numPr>
                <w:ilvl w:val="0"/>
                <w:numId w:val="323"/>
              </w:numPr>
              <w:rPr>
                <w:rFonts w:cs="Arial"/>
              </w:rPr>
            </w:pPr>
            <w:r w:rsidRPr="004F63C1">
              <w:rPr>
                <w:rFonts w:cs="Arial"/>
              </w:rPr>
              <w:t>Dose Monitoring Software</w:t>
            </w:r>
          </w:p>
          <w:p w14:paraId="06CD1A42" w14:textId="77777777" w:rsidR="00DD3AC9" w:rsidRPr="00B11BF3" w:rsidRDefault="00DD3AC9" w:rsidP="00AD309C">
            <w:pPr>
              <w:pStyle w:val="ListParagraph"/>
              <w:numPr>
                <w:ilvl w:val="0"/>
                <w:numId w:val="323"/>
              </w:numPr>
              <w:rPr>
                <w:rFonts w:cs="Arial"/>
              </w:rPr>
            </w:pPr>
            <w:r w:rsidRPr="004F63C1">
              <w:rPr>
                <w:rFonts w:cs="Arial"/>
              </w:rPr>
              <w:t xml:space="preserve">ACR </w:t>
            </w:r>
            <w:r w:rsidR="005E549F" w:rsidRPr="004F63C1">
              <w:rPr>
                <w:rFonts w:cs="Arial"/>
              </w:rPr>
              <w:t xml:space="preserve">National Radiology Data Registry </w:t>
            </w:r>
            <w:r w:rsidRPr="004F63C1">
              <w:rPr>
                <w:rFonts w:cs="Arial"/>
              </w:rPr>
              <w:t>Report</w:t>
            </w:r>
          </w:p>
        </w:tc>
      </w:tr>
      <w:tr w:rsidR="00065C38" w:rsidRPr="009A5185" w14:paraId="5D5D715F" w14:textId="77777777" w:rsidTr="001D6202">
        <w:trPr>
          <w:trHeight w:val="1584"/>
        </w:trPr>
        <w:tc>
          <w:tcPr>
            <w:tcW w:w="7067" w:type="dxa"/>
            <w:tcBorders>
              <w:top w:val="single" w:sz="4" w:space="0" w:color="auto"/>
              <w:left w:val="single" w:sz="4" w:space="0" w:color="auto"/>
              <w:bottom w:val="single" w:sz="4" w:space="0" w:color="auto"/>
              <w:right w:val="single" w:sz="4" w:space="0" w:color="auto"/>
            </w:tcBorders>
            <w:vAlign w:val="center"/>
          </w:tcPr>
          <w:p w14:paraId="184DB379" w14:textId="436B7296" w:rsidR="007A0EC7" w:rsidRPr="007A0EC7" w:rsidRDefault="00065C38" w:rsidP="00AD309C">
            <w:pPr>
              <w:numPr>
                <w:ilvl w:val="0"/>
                <w:numId w:val="52"/>
              </w:numPr>
              <w:rPr>
                <w:rFonts w:cs="Arial"/>
                <w:i/>
                <w:iCs/>
              </w:rPr>
            </w:pPr>
            <w:r>
              <w:rPr>
                <w:rFonts w:cs="Arial"/>
              </w:rPr>
              <w:lastRenderedPageBreak/>
              <w:t>If using manual data collection, do</w:t>
            </w:r>
            <w:r w:rsidR="00937087">
              <w:rPr>
                <w:rFonts w:cs="Arial"/>
              </w:rPr>
              <w:t xml:space="preserve"> the responses in questions #6 and #7</w:t>
            </w:r>
            <w:r>
              <w:rPr>
                <w:rFonts w:cs="Arial"/>
              </w:rPr>
              <w:t xml:space="preserve"> represent a sample</w:t>
            </w:r>
            <w:r w:rsidR="007A0EC7">
              <w:rPr>
                <w:rFonts w:cs="Arial"/>
              </w:rPr>
              <w:t>?</w:t>
            </w:r>
          </w:p>
          <w:p w14:paraId="68E99787" w14:textId="41A6CB85" w:rsidR="001134C2" w:rsidRDefault="001134C2" w:rsidP="00124C42">
            <w:pPr>
              <w:rPr>
                <w:rFonts w:cs="Arial"/>
                <w:i/>
                <w:iCs/>
              </w:rPr>
            </w:pPr>
          </w:p>
          <w:p w14:paraId="74D905BE" w14:textId="18CADE15" w:rsidR="00ED77BD" w:rsidRPr="007A0EC7" w:rsidRDefault="007A0EC7" w:rsidP="00A212A4">
            <w:pPr>
              <w:ind w:left="360"/>
              <w:rPr>
                <w:rFonts w:cs="Arial"/>
                <w:i/>
                <w:iCs/>
              </w:rPr>
            </w:pPr>
            <w:r w:rsidRPr="007A0EC7">
              <w:rPr>
                <w:rStyle w:val="cf01"/>
                <w:rFonts w:ascii="Arial" w:hAnsi="Arial" w:cs="Arial"/>
                <w:i/>
                <w:iCs/>
                <w:sz w:val="20"/>
                <w:szCs w:val="20"/>
              </w:rPr>
              <w:t xml:space="preserve">If your hospital </w:t>
            </w:r>
            <w:r w:rsidR="00E1736B">
              <w:rPr>
                <w:rStyle w:val="cf01"/>
                <w:rFonts w:ascii="Arial" w:hAnsi="Arial" w:cs="Arial"/>
                <w:i/>
                <w:iCs/>
                <w:sz w:val="20"/>
                <w:szCs w:val="20"/>
              </w:rPr>
              <w:t xml:space="preserve">reviewed all cases for age </w:t>
            </w:r>
            <w:r w:rsidR="00C026EC">
              <w:rPr>
                <w:rStyle w:val="cf01"/>
                <w:rFonts w:ascii="Arial" w:hAnsi="Arial" w:cs="Arial"/>
                <w:i/>
                <w:iCs/>
                <w:sz w:val="20"/>
                <w:szCs w:val="20"/>
              </w:rPr>
              <w:t>strata</w:t>
            </w:r>
            <w:r w:rsidR="00E1736B">
              <w:rPr>
                <w:rStyle w:val="cf01"/>
                <w:rFonts w:ascii="Arial" w:hAnsi="Arial" w:cs="Arial"/>
                <w:i/>
                <w:iCs/>
                <w:sz w:val="20"/>
                <w:szCs w:val="20"/>
              </w:rPr>
              <w:t xml:space="preserve"> with fewer than 30 encounters and </w:t>
            </w:r>
            <w:r w:rsidRPr="007A0EC7">
              <w:rPr>
                <w:rStyle w:val="cf01"/>
                <w:rFonts w:ascii="Arial" w:hAnsi="Arial" w:cs="Arial"/>
                <w:i/>
                <w:iCs/>
                <w:sz w:val="20"/>
                <w:szCs w:val="20"/>
              </w:rPr>
              <w:t xml:space="preserve">sampled </w:t>
            </w:r>
            <w:r w:rsidR="00136570">
              <w:rPr>
                <w:rStyle w:val="cf01"/>
                <w:rFonts w:ascii="Arial" w:hAnsi="Arial" w:cs="Arial"/>
                <w:i/>
                <w:iCs/>
                <w:sz w:val="20"/>
                <w:szCs w:val="20"/>
              </w:rPr>
              <w:t xml:space="preserve">for </w:t>
            </w:r>
            <w:r w:rsidR="00154CC0">
              <w:rPr>
                <w:rStyle w:val="cf01"/>
                <w:rFonts w:ascii="Arial" w:hAnsi="Arial" w:cs="Arial"/>
                <w:i/>
                <w:iCs/>
                <w:sz w:val="20"/>
                <w:szCs w:val="20"/>
              </w:rPr>
              <w:t xml:space="preserve">those </w:t>
            </w:r>
            <w:r w:rsidRPr="007A0EC7">
              <w:rPr>
                <w:rStyle w:val="cf01"/>
                <w:rFonts w:ascii="Arial" w:hAnsi="Arial" w:cs="Arial"/>
                <w:i/>
                <w:iCs/>
                <w:sz w:val="20"/>
                <w:szCs w:val="20"/>
              </w:rPr>
              <w:t xml:space="preserve">age </w:t>
            </w:r>
            <w:r w:rsidR="00C026EC">
              <w:rPr>
                <w:rStyle w:val="cf01"/>
                <w:rFonts w:ascii="Arial" w:hAnsi="Arial" w:cs="Arial"/>
                <w:i/>
                <w:iCs/>
                <w:sz w:val="20"/>
                <w:szCs w:val="20"/>
              </w:rPr>
              <w:t>strata</w:t>
            </w:r>
            <w:r w:rsidR="008B25CE">
              <w:rPr>
                <w:rStyle w:val="cf01"/>
                <w:rFonts w:ascii="Arial" w:hAnsi="Arial" w:cs="Arial"/>
                <w:i/>
                <w:iCs/>
                <w:sz w:val="20"/>
                <w:szCs w:val="20"/>
              </w:rPr>
              <w:t xml:space="preserve"> </w:t>
            </w:r>
            <w:r w:rsidRPr="007A0EC7">
              <w:rPr>
                <w:rStyle w:val="cf01"/>
                <w:rFonts w:ascii="Arial" w:hAnsi="Arial" w:cs="Arial"/>
                <w:i/>
                <w:iCs/>
                <w:sz w:val="20"/>
                <w:szCs w:val="20"/>
              </w:rPr>
              <w:t xml:space="preserve">with greater than 30 </w:t>
            </w:r>
            <w:r w:rsidR="00650086">
              <w:rPr>
                <w:rStyle w:val="cf01"/>
                <w:rFonts w:ascii="Arial" w:hAnsi="Arial" w:cs="Arial"/>
                <w:i/>
                <w:iCs/>
                <w:sz w:val="20"/>
                <w:szCs w:val="20"/>
              </w:rPr>
              <w:t>encounters</w:t>
            </w:r>
            <w:r w:rsidR="004F1475" w:rsidRPr="007A0EC7">
              <w:rPr>
                <w:rStyle w:val="cf01"/>
                <w:rFonts w:ascii="Arial" w:hAnsi="Arial" w:cs="Arial"/>
                <w:i/>
                <w:iCs/>
                <w:sz w:val="20"/>
                <w:szCs w:val="20"/>
              </w:rPr>
              <w:t>,</w:t>
            </w:r>
            <w:r w:rsidRPr="007A0EC7">
              <w:rPr>
                <w:rStyle w:val="cf01"/>
                <w:rFonts w:ascii="Arial" w:hAnsi="Arial" w:cs="Arial"/>
                <w:i/>
                <w:iCs/>
                <w:sz w:val="20"/>
                <w:szCs w:val="20"/>
              </w:rPr>
              <w:t xml:space="preserve"> </w:t>
            </w:r>
            <w:r w:rsidR="00E27AB9">
              <w:rPr>
                <w:rStyle w:val="cf01"/>
                <w:rFonts w:ascii="Arial" w:hAnsi="Arial" w:cs="Arial"/>
                <w:i/>
                <w:iCs/>
                <w:sz w:val="20"/>
                <w:szCs w:val="20"/>
              </w:rPr>
              <w:t>select</w:t>
            </w:r>
            <w:r w:rsidR="00E27AB9" w:rsidRPr="007A0EC7">
              <w:rPr>
                <w:rStyle w:val="cf01"/>
                <w:rFonts w:ascii="Arial" w:hAnsi="Arial" w:cs="Arial"/>
                <w:i/>
                <w:iCs/>
                <w:sz w:val="20"/>
                <w:szCs w:val="20"/>
              </w:rPr>
              <w:t xml:space="preserve"> </w:t>
            </w:r>
            <w:r w:rsidRPr="007A0EC7">
              <w:rPr>
                <w:rStyle w:val="cf01"/>
                <w:rFonts w:ascii="Arial" w:hAnsi="Arial" w:cs="Arial"/>
                <w:i/>
                <w:iCs/>
                <w:sz w:val="20"/>
                <w:szCs w:val="20"/>
              </w:rPr>
              <w:t>“yes.”</w:t>
            </w:r>
          </w:p>
        </w:tc>
        <w:tc>
          <w:tcPr>
            <w:tcW w:w="2918" w:type="dxa"/>
            <w:tcBorders>
              <w:top w:val="single" w:sz="4" w:space="0" w:color="auto"/>
              <w:left w:val="single" w:sz="4" w:space="0" w:color="auto"/>
              <w:bottom w:val="single" w:sz="4" w:space="0" w:color="auto"/>
              <w:right w:val="single" w:sz="4" w:space="0" w:color="auto"/>
            </w:tcBorders>
            <w:vAlign w:val="center"/>
          </w:tcPr>
          <w:p w14:paraId="44BE3FE3" w14:textId="487CD62C" w:rsidR="00065C38" w:rsidRPr="004F63C1" w:rsidRDefault="00065C38" w:rsidP="00AD309C">
            <w:pPr>
              <w:pStyle w:val="ListParagraph"/>
              <w:numPr>
                <w:ilvl w:val="0"/>
                <w:numId w:val="324"/>
              </w:numPr>
              <w:rPr>
                <w:rFonts w:cs="Arial"/>
                <w:iCs/>
              </w:rPr>
            </w:pPr>
            <w:r w:rsidRPr="004F63C1">
              <w:rPr>
                <w:rFonts w:cs="Arial"/>
                <w:iCs/>
              </w:rPr>
              <w:t>Yes</w:t>
            </w:r>
          </w:p>
          <w:p w14:paraId="51A5B6AA" w14:textId="330521E0" w:rsidR="001134C2" w:rsidRPr="00897A3E" w:rsidRDefault="00065C38" w:rsidP="00AD309C">
            <w:pPr>
              <w:pStyle w:val="ListParagraph"/>
              <w:numPr>
                <w:ilvl w:val="0"/>
                <w:numId w:val="324"/>
              </w:numPr>
              <w:rPr>
                <w:rFonts w:cs="Arial"/>
                <w:i/>
              </w:rPr>
            </w:pPr>
            <w:r w:rsidRPr="004F63C1">
              <w:rPr>
                <w:rFonts w:cs="Arial"/>
                <w:iCs/>
              </w:rPr>
              <w:t>No</w:t>
            </w:r>
          </w:p>
        </w:tc>
      </w:tr>
    </w:tbl>
    <w:p w14:paraId="64D32CA4" w14:textId="3185DE11" w:rsidR="00332D42" w:rsidRPr="00013A27" w:rsidRDefault="00332D42" w:rsidP="00B224AF">
      <w:pPr>
        <w:rPr>
          <w:rFonts w:cs="Arial"/>
        </w:rPr>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8"/>
        <w:gridCol w:w="1874"/>
        <w:gridCol w:w="1874"/>
        <w:gridCol w:w="1811"/>
        <w:gridCol w:w="1937"/>
      </w:tblGrid>
      <w:tr w:rsidR="00125826" w:rsidRPr="009A5185" w14:paraId="77552070" w14:textId="77777777" w:rsidTr="00A212A4">
        <w:trPr>
          <w:trHeight w:val="1440"/>
        </w:trPr>
        <w:tc>
          <w:tcPr>
            <w:tcW w:w="9994" w:type="dxa"/>
            <w:gridSpan w:val="5"/>
            <w:tcBorders>
              <w:bottom w:val="single" w:sz="4" w:space="0" w:color="auto"/>
            </w:tcBorders>
            <w:vAlign w:val="center"/>
          </w:tcPr>
          <w:p w14:paraId="39C29C41" w14:textId="08A0B337" w:rsidR="00125826" w:rsidRPr="009A5185" w:rsidRDefault="00401C2A" w:rsidP="00AD309C">
            <w:pPr>
              <w:numPr>
                <w:ilvl w:val="0"/>
                <w:numId w:val="52"/>
              </w:numPr>
              <w:contextualSpacing/>
              <w:rPr>
                <w:rFonts w:cs="Arial"/>
                <w:i/>
                <w:snapToGrid w:val="0"/>
              </w:rPr>
            </w:pPr>
            <w:r w:rsidRPr="009A5185">
              <w:rPr>
                <w:rFonts w:cs="Arial"/>
              </w:rPr>
              <w:t>E</w:t>
            </w:r>
            <w:r w:rsidR="000C0434" w:rsidRPr="009A5185">
              <w:rPr>
                <w:rFonts w:cs="Arial"/>
              </w:rPr>
              <w:t>nter</w:t>
            </w:r>
            <w:r w:rsidR="00125826" w:rsidRPr="009A5185">
              <w:rPr>
                <w:rFonts w:cs="Arial"/>
              </w:rPr>
              <w:t xml:space="preserve"> your </w:t>
            </w:r>
            <w:r w:rsidR="00261D05">
              <w:rPr>
                <w:rFonts w:cs="Arial"/>
              </w:rPr>
              <w:t>hospital</w:t>
            </w:r>
            <w:r w:rsidR="00125826" w:rsidRPr="009A5185">
              <w:rPr>
                <w:rFonts w:cs="Arial"/>
              </w:rPr>
              <w:t>’s 25</w:t>
            </w:r>
            <w:r w:rsidR="00125826" w:rsidRPr="009A5185">
              <w:rPr>
                <w:rFonts w:cs="Arial"/>
                <w:vertAlign w:val="superscript"/>
              </w:rPr>
              <w:t>th</w:t>
            </w:r>
            <w:r w:rsidR="00125826" w:rsidRPr="009A5185">
              <w:rPr>
                <w:rFonts w:cs="Arial"/>
              </w:rPr>
              <w:t>, 50</w:t>
            </w:r>
            <w:r w:rsidR="00125826" w:rsidRPr="009A5185">
              <w:rPr>
                <w:rFonts w:cs="Arial"/>
                <w:vertAlign w:val="superscript"/>
              </w:rPr>
              <w:t>th</w:t>
            </w:r>
            <w:r w:rsidR="00125826" w:rsidRPr="009A5185">
              <w:rPr>
                <w:rFonts w:cs="Arial"/>
              </w:rPr>
              <w:t>, and 75</w:t>
            </w:r>
            <w:r w:rsidR="00125826" w:rsidRPr="009A5185">
              <w:rPr>
                <w:rFonts w:cs="Arial"/>
                <w:vertAlign w:val="superscript"/>
              </w:rPr>
              <w:t>th</w:t>
            </w:r>
            <w:r w:rsidR="00125826" w:rsidRPr="009A5185">
              <w:rPr>
                <w:rFonts w:cs="Arial"/>
              </w:rPr>
              <w:t xml:space="preserve"> percentiles </w:t>
            </w:r>
            <w:r w:rsidR="008047A3">
              <w:rPr>
                <w:rFonts w:cs="Arial"/>
              </w:rPr>
              <w:t xml:space="preserve">(rounded to the nearest whole number) </w:t>
            </w:r>
            <w:r w:rsidR="00125826" w:rsidRPr="009A5185">
              <w:rPr>
                <w:rFonts w:cs="Arial"/>
              </w:rPr>
              <w:t>for CT radiation dose</w:t>
            </w:r>
            <w:r w:rsidR="00B02C5D" w:rsidRPr="009A5185">
              <w:rPr>
                <w:rFonts w:cs="Arial"/>
              </w:rPr>
              <w:t xml:space="preserve"> length product (DLP</w:t>
            </w:r>
            <w:r w:rsidR="00B02C5D" w:rsidRPr="00522212">
              <w:rPr>
                <w:rFonts w:cs="Arial"/>
              </w:rPr>
              <w:t>)</w:t>
            </w:r>
            <w:r w:rsidR="00125826" w:rsidRPr="00522212">
              <w:rPr>
                <w:rFonts w:cs="Arial"/>
              </w:rPr>
              <w:t xml:space="preserve"> in</w:t>
            </w:r>
            <w:r w:rsidR="00125826" w:rsidRPr="009A5185">
              <w:rPr>
                <w:rFonts w:cs="Arial"/>
              </w:rPr>
              <w:t xml:space="preserve"> </w:t>
            </w:r>
            <w:r w:rsidR="00125826" w:rsidRPr="009A5185">
              <w:rPr>
                <w:rFonts w:cs="Arial"/>
                <w:b/>
              </w:rPr>
              <w:t>head</w:t>
            </w:r>
            <w:r w:rsidR="00125826" w:rsidRPr="009A5185">
              <w:rPr>
                <w:rFonts w:cs="Arial"/>
              </w:rPr>
              <w:t xml:space="preserve"> scans for pediatric patients for each age stratum</w:t>
            </w:r>
            <w:r w:rsidR="00BF5577">
              <w:rPr>
                <w:rFonts w:cs="Arial"/>
              </w:rPr>
              <w:t xml:space="preserve"> standardized to 16cm phantoms</w:t>
            </w:r>
            <w:r w:rsidR="00B07F7A" w:rsidRPr="009A5185">
              <w:rPr>
                <w:rFonts w:cs="Arial"/>
              </w:rPr>
              <w:t>.</w:t>
            </w:r>
          </w:p>
          <w:p w14:paraId="79F13EF4" w14:textId="77777777" w:rsidR="00125826" w:rsidRPr="009A5185" w:rsidRDefault="00125826" w:rsidP="00B02C5D">
            <w:pPr>
              <w:contextualSpacing/>
              <w:rPr>
                <w:rFonts w:cs="Arial"/>
                <w:i/>
                <w:snapToGrid w:val="0"/>
              </w:rPr>
            </w:pPr>
          </w:p>
          <w:p w14:paraId="721A55A9" w14:textId="39B6967C" w:rsidR="00B529B7" w:rsidRPr="009A5185" w:rsidRDefault="009A0347" w:rsidP="00A212A4">
            <w:pPr>
              <w:ind w:left="360"/>
              <w:contextualSpacing/>
              <w:rPr>
                <w:rFonts w:cs="Arial"/>
                <w:i/>
                <w:snapToGrid w:val="0"/>
              </w:rPr>
            </w:pPr>
            <w:r w:rsidRPr="009A5185">
              <w:rPr>
                <w:rFonts w:cs="Arial"/>
                <w:i/>
                <w:snapToGrid w:val="0"/>
              </w:rPr>
              <w:t>If the number of encounters</w:t>
            </w:r>
            <w:r w:rsidR="00125826" w:rsidRPr="009A5185">
              <w:rPr>
                <w:rFonts w:cs="Arial"/>
                <w:i/>
                <w:snapToGrid w:val="0"/>
              </w:rPr>
              <w:t xml:space="preserve"> for an age stratum is less than 10</w:t>
            </w:r>
            <w:r w:rsidR="00B02C5D" w:rsidRPr="009A5185">
              <w:rPr>
                <w:rFonts w:cs="Arial"/>
                <w:i/>
                <w:snapToGrid w:val="0"/>
              </w:rPr>
              <w:t xml:space="preserve"> (in column a)</w:t>
            </w:r>
            <w:r w:rsidR="00125826" w:rsidRPr="009A5185">
              <w:rPr>
                <w:rFonts w:cs="Arial"/>
                <w:i/>
                <w:snapToGrid w:val="0"/>
              </w:rPr>
              <w:t xml:space="preserve">, skip </w:t>
            </w:r>
            <w:r w:rsidR="00B02C5D" w:rsidRPr="009A5185">
              <w:rPr>
                <w:rFonts w:cs="Arial"/>
                <w:i/>
                <w:snapToGrid w:val="0"/>
              </w:rPr>
              <w:t xml:space="preserve">columns b, c, and d and then move </w:t>
            </w:r>
            <w:r w:rsidR="00125826" w:rsidRPr="009A5185">
              <w:rPr>
                <w:rFonts w:cs="Arial"/>
                <w:i/>
                <w:snapToGrid w:val="0"/>
              </w:rPr>
              <w:t>to the next age stratum.</w:t>
            </w:r>
            <w:r w:rsidR="00870267" w:rsidRPr="009A5185">
              <w:rPr>
                <w:rFonts w:cs="Arial"/>
                <w:i/>
                <w:snapToGrid w:val="0"/>
              </w:rPr>
              <w:t xml:space="preserve"> If zero, enter “0” in column a.</w:t>
            </w:r>
            <w:r w:rsidR="006934A3">
              <w:rPr>
                <w:rFonts w:cs="Arial"/>
                <w:i/>
                <w:snapToGrid w:val="0"/>
              </w:rPr>
              <w:t xml:space="preserve"> </w:t>
            </w:r>
            <w:r w:rsidR="006934A3" w:rsidRPr="00F61E74">
              <w:rPr>
                <w:rFonts w:cs="Arial"/>
                <w:i/>
              </w:rPr>
              <w:t>The hospital will be scored as “</w:t>
            </w:r>
            <w:r w:rsidR="006934A3">
              <w:rPr>
                <w:rFonts w:cs="Arial"/>
                <w:i/>
              </w:rPr>
              <w:t>Unable to Calculate Score” if all age strat</w:t>
            </w:r>
            <w:r w:rsidR="003E14DF">
              <w:rPr>
                <w:rFonts w:cs="Arial"/>
                <w:i/>
              </w:rPr>
              <w:t>a</w:t>
            </w:r>
            <w:r w:rsidR="006934A3">
              <w:rPr>
                <w:rFonts w:cs="Arial"/>
                <w:i/>
              </w:rPr>
              <w:t xml:space="preserve"> have less than 10 encounters.</w:t>
            </w:r>
          </w:p>
        </w:tc>
      </w:tr>
      <w:tr w:rsidR="00125826" w:rsidRPr="009A5185" w14:paraId="276937B3" w14:textId="77777777" w:rsidTr="0088552D">
        <w:tc>
          <w:tcPr>
            <w:tcW w:w="2498" w:type="dxa"/>
            <w:vMerge w:val="restart"/>
            <w:vAlign w:val="center"/>
          </w:tcPr>
          <w:p w14:paraId="17CA6632" w14:textId="2CB7D822" w:rsidR="00125826" w:rsidRPr="009A5185" w:rsidRDefault="00125826" w:rsidP="00C90CC3">
            <w:pPr>
              <w:ind w:left="360"/>
              <w:contextualSpacing/>
              <w:rPr>
                <w:rFonts w:cs="Arial"/>
                <w:b/>
              </w:rPr>
            </w:pPr>
            <w:r w:rsidRPr="009A5185">
              <w:rPr>
                <w:rFonts w:cs="Arial"/>
                <w:b/>
              </w:rPr>
              <w:t xml:space="preserve">Age </w:t>
            </w:r>
            <w:r w:rsidR="00C026EC">
              <w:rPr>
                <w:rFonts w:cs="Arial"/>
                <w:b/>
              </w:rPr>
              <w:t>Stratum</w:t>
            </w:r>
          </w:p>
        </w:tc>
        <w:tc>
          <w:tcPr>
            <w:tcW w:w="7496" w:type="dxa"/>
            <w:gridSpan w:val="4"/>
            <w:shd w:val="clear" w:color="auto" w:fill="D9D9D9" w:themeFill="background1" w:themeFillShade="D9"/>
            <w:vAlign w:val="center"/>
          </w:tcPr>
          <w:p w14:paraId="4ABF493B" w14:textId="77777777" w:rsidR="00125826" w:rsidRPr="009A5185" w:rsidRDefault="00125826" w:rsidP="00C90CC3">
            <w:pPr>
              <w:ind w:left="360"/>
              <w:contextualSpacing/>
              <w:jc w:val="center"/>
              <w:rPr>
                <w:rFonts w:cs="Arial"/>
                <w:b/>
              </w:rPr>
            </w:pPr>
            <w:r w:rsidRPr="009A5185">
              <w:rPr>
                <w:rFonts w:cs="Arial"/>
                <w:b/>
              </w:rPr>
              <w:t>HEAD</w:t>
            </w:r>
          </w:p>
        </w:tc>
      </w:tr>
      <w:tr w:rsidR="00125826" w:rsidRPr="009A5185" w14:paraId="0CC63AB1" w14:textId="77777777" w:rsidTr="0088552D">
        <w:tc>
          <w:tcPr>
            <w:tcW w:w="2498" w:type="dxa"/>
            <w:vMerge/>
            <w:vAlign w:val="center"/>
          </w:tcPr>
          <w:p w14:paraId="0A8A8AA6" w14:textId="77777777" w:rsidR="00125826" w:rsidRPr="009A5185" w:rsidRDefault="00125826" w:rsidP="00C90CC3">
            <w:pPr>
              <w:ind w:left="360"/>
              <w:contextualSpacing/>
              <w:rPr>
                <w:rFonts w:cs="Arial"/>
                <w:b/>
              </w:rPr>
            </w:pPr>
          </w:p>
        </w:tc>
        <w:tc>
          <w:tcPr>
            <w:tcW w:w="1874" w:type="dxa"/>
            <w:vAlign w:val="center"/>
          </w:tcPr>
          <w:p w14:paraId="7FF5B3C1" w14:textId="77777777" w:rsidR="00125826" w:rsidRPr="009A5185" w:rsidRDefault="003736C5" w:rsidP="00C90CC3">
            <w:pPr>
              <w:contextualSpacing/>
              <w:rPr>
                <w:rFonts w:cs="Arial"/>
                <w:b/>
              </w:rPr>
            </w:pPr>
            <w:r w:rsidRPr="009A5185">
              <w:rPr>
                <w:rFonts w:cs="Arial"/>
                <w:b/>
              </w:rPr>
              <w:t>(</w:t>
            </w:r>
            <w:r w:rsidR="00125826" w:rsidRPr="009A5185">
              <w:rPr>
                <w:rFonts w:cs="Arial"/>
                <w:b/>
              </w:rPr>
              <w:t>a)</w:t>
            </w:r>
          </w:p>
          <w:p w14:paraId="0FFDEED3" w14:textId="77777777" w:rsidR="00125826" w:rsidRPr="009A5185" w:rsidRDefault="00DC28FF" w:rsidP="00C90CC3">
            <w:pPr>
              <w:contextualSpacing/>
              <w:rPr>
                <w:rFonts w:cs="Arial"/>
                <w:b/>
              </w:rPr>
            </w:pPr>
            <w:r w:rsidRPr="009A5185">
              <w:rPr>
                <w:rFonts w:cs="Arial"/>
                <w:b/>
              </w:rPr>
              <w:t>Number of encounters</w:t>
            </w:r>
          </w:p>
        </w:tc>
        <w:tc>
          <w:tcPr>
            <w:tcW w:w="1874" w:type="dxa"/>
            <w:vAlign w:val="center"/>
          </w:tcPr>
          <w:p w14:paraId="1BBFC3EF" w14:textId="77777777" w:rsidR="00125826" w:rsidRPr="009A5185" w:rsidRDefault="003736C5" w:rsidP="00C90CC3">
            <w:pPr>
              <w:contextualSpacing/>
              <w:rPr>
                <w:rFonts w:cs="Arial"/>
                <w:b/>
              </w:rPr>
            </w:pPr>
            <w:r w:rsidRPr="009A5185">
              <w:rPr>
                <w:rFonts w:cs="Arial"/>
                <w:b/>
              </w:rPr>
              <w:t>(</w:t>
            </w:r>
            <w:r w:rsidR="00125826" w:rsidRPr="009A5185">
              <w:rPr>
                <w:rFonts w:cs="Arial"/>
                <w:b/>
              </w:rPr>
              <w:t>b)</w:t>
            </w:r>
          </w:p>
          <w:p w14:paraId="26CC72E7" w14:textId="77777777" w:rsidR="00125826" w:rsidRPr="009A5185" w:rsidRDefault="00125826" w:rsidP="00C90CC3">
            <w:pPr>
              <w:contextualSpacing/>
              <w:rPr>
                <w:rFonts w:cs="Arial"/>
                <w:b/>
              </w:rPr>
            </w:pPr>
            <w:r w:rsidRPr="009A5185">
              <w:rPr>
                <w:rFonts w:cs="Arial"/>
                <w:b/>
              </w:rPr>
              <w:t>25</w:t>
            </w:r>
            <w:r w:rsidRPr="009A5185">
              <w:rPr>
                <w:rFonts w:cs="Arial"/>
                <w:b/>
                <w:vertAlign w:val="superscript"/>
              </w:rPr>
              <w:t>th</w:t>
            </w:r>
            <w:r w:rsidRPr="009A5185">
              <w:rPr>
                <w:rFonts w:cs="Arial"/>
                <w:b/>
              </w:rPr>
              <w:t xml:space="preserve"> Percentile</w:t>
            </w:r>
          </w:p>
        </w:tc>
        <w:tc>
          <w:tcPr>
            <w:tcW w:w="1811" w:type="dxa"/>
            <w:vAlign w:val="center"/>
          </w:tcPr>
          <w:p w14:paraId="0C60E1E9" w14:textId="77777777" w:rsidR="00125826" w:rsidRPr="009A5185" w:rsidRDefault="003736C5" w:rsidP="00C90CC3">
            <w:pPr>
              <w:contextualSpacing/>
              <w:rPr>
                <w:rFonts w:cs="Arial"/>
                <w:b/>
              </w:rPr>
            </w:pPr>
            <w:r w:rsidRPr="009A5185">
              <w:rPr>
                <w:rFonts w:cs="Arial"/>
                <w:b/>
              </w:rPr>
              <w:t>(c</w:t>
            </w:r>
            <w:r w:rsidR="00125826" w:rsidRPr="009A5185">
              <w:rPr>
                <w:rFonts w:cs="Arial"/>
                <w:b/>
              </w:rPr>
              <w:t xml:space="preserve">) </w:t>
            </w:r>
          </w:p>
          <w:p w14:paraId="7BC760E3" w14:textId="77777777" w:rsidR="00125826" w:rsidRPr="009A5185" w:rsidRDefault="00125826" w:rsidP="00C90CC3">
            <w:pPr>
              <w:contextualSpacing/>
              <w:rPr>
                <w:rFonts w:cs="Arial"/>
                <w:b/>
              </w:rPr>
            </w:pPr>
            <w:r w:rsidRPr="009A5185">
              <w:rPr>
                <w:rFonts w:cs="Arial"/>
                <w:b/>
              </w:rPr>
              <w:t>50</w:t>
            </w:r>
            <w:r w:rsidRPr="009A5185">
              <w:rPr>
                <w:rFonts w:cs="Arial"/>
                <w:b/>
                <w:vertAlign w:val="superscript"/>
              </w:rPr>
              <w:t>th</w:t>
            </w:r>
            <w:r w:rsidRPr="009A5185">
              <w:rPr>
                <w:rFonts w:cs="Arial"/>
                <w:b/>
              </w:rPr>
              <w:t xml:space="preserve"> Percentile</w:t>
            </w:r>
          </w:p>
        </w:tc>
        <w:tc>
          <w:tcPr>
            <w:tcW w:w="1937" w:type="dxa"/>
            <w:vAlign w:val="center"/>
          </w:tcPr>
          <w:p w14:paraId="2ADCDBFA" w14:textId="77777777" w:rsidR="00125826" w:rsidRPr="009A5185" w:rsidRDefault="003736C5" w:rsidP="00620FCB">
            <w:pPr>
              <w:contextualSpacing/>
              <w:rPr>
                <w:rFonts w:cs="Arial"/>
                <w:b/>
              </w:rPr>
            </w:pPr>
            <w:r w:rsidRPr="009A5185">
              <w:rPr>
                <w:rFonts w:cs="Arial"/>
                <w:b/>
              </w:rPr>
              <w:t>(</w:t>
            </w:r>
            <w:r w:rsidR="00125826" w:rsidRPr="009A5185">
              <w:rPr>
                <w:rFonts w:cs="Arial"/>
                <w:b/>
              </w:rPr>
              <w:t xml:space="preserve">d) </w:t>
            </w:r>
          </w:p>
          <w:p w14:paraId="75EFD4DE" w14:textId="77777777" w:rsidR="00125826" w:rsidRPr="009A5185" w:rsidRDefault="00125826" w:rsidP="00620FCB">
            <w:pPr>
              <w:contextualSpacing/>
              <w:rPr>
                <w:rFonts w:cs="Arial"/>
                <w:b/>
              </w:rPr>
            </w:pPr>
            <w:r w:rsidRPr="009A5185">
              <w:rPr>
                <w:rFonts w:cs="Arial"/>
                <w:b/>
              </w:rPr>
              <w:t>75</w:t>
            </w:r>
            <w:r w:rsidRPr="009A5185">
              <w:rPr>
                <w:rFonts w:cs="Arial"/>
                <w:b/>
                <w:vertAlign w:val="superscript"/>
              </w:rPr>
              <w:t>th</w:t>
            </w:r>
            <w:r w:rsidRPr="009A5185">
              <w:rPr>
                <w:rFonts w:cs="Arial"/>
                <w:b/>
              </w:rPr>
              <w:t xml:space="preserve"> Percentile</w:t>
            </w:r>
          </w:p>
        </w:tc>
      </w:tr>
      <w:tr w:rsidR="00125826" w:rsidRPr="009A5185" w14:paraId="3864580C" w14:textId="77777777" w:rsidTr="0088552D">
        <w:tc>
          <w:tcPr>
            <w:tcW w:w="2498" w:type="dxa"/>
          </w:tcPr>
          <w:p w14:paraId="2BC65D76" w14:textId="77777777" w:rsidR="00125826" w:rsidRPr="009A5185" w:rsidRDefault="00125826" w:rsidP="00C90CC3">
            <w:pPr>
              <w:jc w:val="center"/>
              <w:rPr>
                <w:rFonts w:cs="Arial"/>
              </w:rPr>
            </w:pPr>
            <w:r w:rsidRPr="009A5185">
              <w:rPr>
                <w:rFonts w:cs="Arial"/>
              </w:rPr>
              <w:t>&lt; 1 year</w:t>
            </w:r>
          </w:p>
        </w:tc>
        <w:tc>
          <w:tcPr>
            <w:tcW w:w="1874" w:type="dxa"/>
            <w:vAlign w:val="center"/>
          </w:tcPr>
          <w:p w14:paraId="73FC4471" w14:textId="77777777" w:rsidR="00125826" w:rsidRPr="009A5185" w:rsidRDefault="00125826" w:rsidP="00C90CC3">
            <w:pPr>
              <w:ind w:left="360"/>
              <w:contextualSpacing/>
              <w:rPr>
                <w:rFonts w:cs="Arial"/>
                <w:b/>
              </w:rPr>
            </w:pPr>
          </w:p>
        </w:tc>
        <w:tc>
          <w:tcPr>
            <w:tcW w:w="1874" w:type="dxa"/>
            <w:vAlign w:val="center"/>
          </w:tcPr>
          <w:p w14:paraId="2FDA9551" w14:textId="77777777" w:rsidR="00125826" w:rsidRPr="009A5185" w:rsidRDefault="00125826" w:rsidP="00C90CC3">
            <w:pPr>
              <w:ind w:left="360"/>
              <w:contextualSpacing/>
              <w:rPr>
                <w:rFonts w:cs="Arial"/>
                <w:b/>
              </w:rPr>
            </w:pPr>
          </w:p>
        </w:tc>
        <w:tc>
          <w:tcPr>
            <w:tcW w:w="1811" w:type="dxa"/>
            <w:vAlign w:val="center"/>
          </w:tcPr>
          <w:p w14:paraId="6F9F1E69" w14:textId="77777777" w:rsidR="00125826" w:rsidRPr="009A5185" w:rsidRDefault="00125826" w:rsidP="00C90CC3">
            <w:pPr>
              <w:ind w:left="360"/>
              <w:contextualSpacing/>
              <w:rPr>
                <w:rFonts w:cs="Arial"/>
                <w:b/>
              </w:rPr>
            </w:pPr>
          </w:p>
        </w:tc>
        <w:tc>
          <w:tcPr>
            <w:tcW w:w="1937" w:type="dxa"/>
            <w:vAlign w:val="center"/>
          </w:tcPr>
          <w:p w14:paraId="465EA81E" w14:textId="77777777" w:rsidR="00125826" w:rsidRPr="009A5185" w:rsidRDefault="00125826" w:rsidP="00C90CC3">
            <w:pPr>
              <w:ind w:left="360"/>
              <w:contextualSpacing/>
              <w:rPr>
                <w:rFonts w:cs="Arial"/>
                <w:b/>
              </w:rPr>
            </w:pPr>
          </w:p>
        </w:tc>
      </w:tr>
      <w:tr w:rsidR="00125826" w:rsidRPr="009A5185" w14:paraId="585048FD" w14:textId="77777777" w:rsidTr="0088552D">
        <w:tc>
          <w:tcPr>
            <w:tcW w:w="2498" w:type="dxa"/>
          </w:tcPr>
          <w:p w14:paraId="7C929355" w14:textId="77777777" w:rsidR="00125826" w:rsidRPr="009A5185" w:rsidRDefault="0018756C" w:rsidP="00C90CC3">
            <w:pPr>
              <w:jc w:val="center"/>
              <w:rPr>
                <w:rFonts w:cs="Arial"/>
              </w:rPr>
            </w:pPr>
            <w:r w:rsidRPr="009A5185">
              <w:rPr>
                <w:rFonts w:cs="Arial"/>
              </w:rPr>
              <w:t xml:space="preserve">1 - </w:t>
            </w:r>
            <w:r w:rsidR="007E3461" w:rsidRPr="009A5185">
              <w:rPr>
                <w:rFonts w:cs="Arial"/>
              </w:rPr>
              <w:t>4</w:t>
            </w:r>
          </w:p>
        </w:tc>
        <w:tc>
          <w:tcPr>
            <w:tcW w:w="1874" w:type="dxa"/>
            <w:vAlign w:val="center"/>
          </w:tcPr>
          <w:p w14:paraId="1E2B0EF4" w14:textId="77777777" w:rsidR="00125826" w:rsidRPr="009A5185" w:rsidRDefault="00125826" w:rsidP="00C90CC3">
            <w:pPr>
              <w:ind w:left="360"/>
              <w:contextualSpacing/>
              <w:rPr>
                <w:rFonts w:cs="Arial"/>
                <w:b/>
              </w:rPr>
            </w:pPr>
          </w:p>
        </w:tc>
        <w:tc>
          <w:tcPr>
            <w:tcW w:w="1874" w:type="dxa"/>
            <w:vAlign w:val="center"/>
          </w:tcPr>
          <w:p w14:paraId="74E96FD8" w14:textId="77777777" w:rsidR="00125826" w:rsidRPr="009A5185" w:rsidRDefault="00125826" w:rsidP="00C90CC3">
            <w:pPr>
              <w:ind w:left="360"/>
              <w:contextualSpacing/>
              <w:rPr>
                <w:rFonts w:cs="Arial"/>
                <w:b/>
              </w:rPr>
            </w:pPr>
          </w:p>
        </w:tc>
        <w:tc>
          <w:tcPr>
            <w:tcW w:w="1811" w:type="dxa"/>
            <w:vAlign w:val="center"/>
          </w:tcPr>
          <w:p w14:paraId="3A749D11" w14:textId="77777777" w:rsidR="00125826" w:rsidRPr="009A5185" w:rsidRDefault="00125826" w:rsidP="00C90CC3">
            <w:pPr>
              <w:ind w:left="360"/>
              <w:contextualSpacing/>
              <w:rPr>
                <w:rFonts w:cs="Arial"/>
                <w:b/>
              </w:rPr>
            </w:pPr>
          </w:p>
        </w:tc>
        <w:tc>
          <w:tcPr>
            <w:tcW w:w="1937" w:type="dxa"/>
            <w:vAlign w:val="center"/>
          </w:tcPr>
          <w:p w14:paraId="26BA68B9" w14:textId="77777777" w:rsidR="00125826" w:rsidRPr="009A5185" w:rsidRDefault="00125826" w:rsidP="00C90CC3">
            <w:pPr>
              <w:ind w:left="360"/>
              <w:contextualSpacing/>
              <w:rPr>
                <w:rFonts w:cs="Arial"/>
                <w:b/>
              </w:rPr>
            </w:pPr>
          </w:p>
        </w:tc>
      </w:tr>
      <w:tr w:rsidR="00125826" w:rsidRPr="009A5185" w14:paraId="1458C732" w14:textId="77777777" w:rsidTr="0088552D">
        <w:tc>
          <w:tcPr>
            <w:tcW w:w="2498" w:type="dxa"/>
          </w:tcPr>
          <w:p w14:paraId="1B0CEC34" w14:textId="77777777" w:rsidR="00125826" w:rsidRPr="009A5185" w:rsidRDefault="007E3461" w:rsidP="00C90CC3">
            <w:pPr>
              <w:jc w:val="center"/>
              <w:rPr>
                <w:rFonts w:cs="Arial"/>
              </w:rPr>
            </w:pPr>
            <w:r w:rsidRPr="009A5185">
              <w:rPr>
                <w:rFonts w:cs="Arial"/>
              </w:rPr>
              <w:t>5 - 9</w:t>
            </w:r>
          </w:p>
        </w:tc>
        <w:tc>
          <w:tcPr>
            <w:tcW w:w="1874" w:type="dxa"/>
            <w:vAlign w:val="center"/>
          </w:tcPr>
          <w:p w14:paraId="59CE35A5" w14:textId="77777777" w:rsidR="00125826" w:rsidRPr="009A5185" w:rsidRDefault="00125826" w:rsidP="00C90CC3">
            <w:pPr>
              <w:ind w:left="360"/>
              <w:contextualSpacing/>
              <w:rPr>
                <w:rFonts w:cs="Arial"/>
                <w:b/>
              </w:rPr>
            </w:pPr>
          </w:p>
        </w:tc>
        <w:tc>
          <w:tcPr>
            <w:tcW w:w="1874" w:type="dxa"/>
            <w:vAlign w:val="center"/>
          </w:tcPr>
          <w:p w14:paraId="56ECE1F7" w14:textId="77777777" w:rsidR="00125826" w:rsidRPr="009A5185" w:rsidRDefault="00125826" w:rsidP="00C90CC3">
            <w:pPr>
              <w:ind w:left="360"/>
              <w:contextualSpacing/>
              <w:rPr>
                <w:rFonts w:cs="Arial"/>
                <w:b/>
              </w:rPr>
            </w:pPr>
          </w:p>
        </w:tc>
        <w:tc>
          <w:tcPr>
            <w:tcW w:w="1811" w:type="dxa"/>
            <w:vAlign w:val="center"/>
          </w:tcPr>
          <w:p w14:paraId="58A5B791" w14:textId="77777777" w:rsidR="00125826" w:rsidRPr="009A5185" w:rsidRDefault="00125826" w:rsidP="00C90CC3">
            <w:pPr>
              <w:ind w:left="360"/>
              <w:contextualSpacing/>
              <w:rPr>
                <w:rFonts w:cs="Arial"/>
                <w:b/>
              </w:rPr>
            </w:pPr>
          </w:p>
        </w:tc>
        <w:tc>
          <w:tcPr>
            <w:tcW w:w="1937" w:type="dxa"/>
            <w:vAlign w:val="center"/>
          </w:tcPr>
          <w:p w14:paraId="688012A9" w14:textId="77777777" w:rsidR="00125826" w:rsidRPr="009A5185" w:rsidRDefault="00125826" w:rsidP="00C90CC3">
            <w:pPr>
              <w:ind w:left="360"/>
              <w:contextualSpacing/>
              <w:rPr>
                <w:rFonts w:cs="Arial"/>
                <w:b/>
              </w:rPr>
            </w:pPr>
          </w:p>
        </w:tc>
      </w:tr>
      <w:tr w:rsidR="00125826" w:rsidRPr="009A5185" w14:paraId="1613F7E6" w14:textId="77777777" w:rsidTr="0088552D">
        <w:tc>
          <w:tcPr>
            <w:tcW w:w="2498" w:type="dxa"/>
            <w:tcBorders>
              <w:bottom w:val="single" w:sz="4" w:space="0" w:color="auto"/>
            </w:tcBorders>
          </w:tcPr>
          <w:p w14:paraId="2CDE8EEC" w14:textId="77777777" w:rsidR="00125826" w:rsidRPr="009A5185" w:rsidRDefault="007E3461" w:rsidP="00C90CC3">
            <w:pPr>
              <w:jc w:val="center"/>
              <w:rPr>
                <w:rFonts w:cs="Arial"/>
              </w:rPr>
            </w:pPr>
            <w:r w:rsidRPr="009A5185">
              <w:rPr>
                <w:rFonts w:cs="Arial"/>
              </w:rPr>
              <w:t>10 - 14</w:t>
            </w:r>
          </w:p>
        </w:tc>
        <w:tc>
          <w:tcPr>
            <w:tcW w:w="1874" w:type="dxa"/>
            <w:vAlign w:val="center"/>
          </w:tcPr>
          <w:p w14:paraId="711DD1B1" w14:textId="77777777" w:rsidR="00125826" w:rsidRPr="009A5185" w:rsidRDefault="00125826" w:rsidP="00C90CC3">
            <w:pPr>
              <w:ind w:left="360"/>
              <w:contextualSpacing/>
              <w:rPr>
                <w:rFonts w:cs="Arial"/>
                <w:b/>
              </w:rPr>
            </w:pPr>
          </w:p>
        </w:tc>
        <w:tc>
          <w:tcPr>
            <w:tcW w:w="1874" w:type="dxa"/>
            <w:vAlign w:val="center"/>
          </w:tcPr>
          <w:p w14:paraId="20026AF7" w14:textId="77777777" w:rsidR="00125826" w:rsidRPr="009A5185" w:rsidRDefault="00125826" w:rsidP="00C90CC3">
            <w:pPr>
              <w:ind w:left="360"/>
              <w:contextualSpacing/>
              <w:rPr>
                <w:rFonts w:cs="Arial"/>
                <w:b/>
              </w:rPr>
            </w:pPr>
          </w:p>
        </w:tc>
        <w:tc>
          <w:tcPr>
            <w:tcW w:w="1811" w:type="dxa"/>
            <w:tcBorders>
              <w:bottom w:val="single" w:sz="4" w:space="0" w:color="auto"/>
            </w:tcBorders>
            <w:vAlign w:val="center"/>
          </w:tcPr>
          <w:p w14:paraId="17CE3C5B" w14:textId="77777777" w:rsidR="00125826" w:rsidRPr="009A5185" w:rsidRDefault="00125826" w:rsidP="00C90CC3">
            <w:pPr>
              <w:ind w:left="360"/>
              <w:contextualSpacing/>
              <w:rPr>
                <w:rFonts w:cs="Arial"/>
                <w:b/>
              </w:rPr>
            </w:pPr>
          </w:p>
        </w:tc>
        <w:tc>
          <w:tcPr>
            <w:tcW w:w="1937" w:type="dxa"/>
            <w:tcBorders>
              <w:bottom w:val="single" w:sz="4" w:space="0" w:color="auto"/>
            </w:tcBorders>
            <w:vAlign w:val="center"/>
          </w:tcPr>
          <w:p w14:paraId="5DEE327E" w14:textId="77777777" w:rsidR="00125826" w:rsidRPr="009A5185" w:rsidRDefault="00125826" w:rsidP="00C90CC3">
            <w:pPr>
              <w:ind w:left="360"/>
              <w:contextualSpacing/>
              <w:rPr>
                <w:rFonts w:cs="Arial"/>
                <w:b/>
              </w:rPr>
            </w:pPr>
          </w:p>
        </w:tc>
      </w:tr>
      <w:tr w:rsidR="00125826" w:rsidRPr="009A5185" w14:paraId="34AC2A44" w14:textId="77777777" w:rsidTr="0088552D">
        <w:tc>
          <w:tcPr>
            <w:tcW w:w="2498" w:type="dxa"/>
            <w:tcBorders>
              <w:bottom w:val="single" w:sz="4" w:space="0" w:color="auto"/>
            </w:tcBorders>
          </w:tcPr>
          <w:p w14:paraId="1719EA28" w14:textId="77777777" w:rsidR="00125826" w:rsidRPr="009A5185" w:rsidRDefault="007E3461" w:rsidP="00C90CC3">
            <w:pPr>
              <w:jc w:val="center"/>
              <w:rPr>
                <w:rFonts w:cs="Arial"/>
              </w:rPr>
            </w:pPr>
            <w:r w:rsidRPr="009A5185">
              <w:rPr>
                <w:rFonts w:cs="Arial"/>
              </w:rPr>
              <w:t>15 - 17</w:t>
            </w:r>
          </w:p>
        </w:tc>
        <w:tc>
          <w:tcPr>
            <w:tcW w:w="1874" w:type="dxa"/>
            <w:tcBorders>
              <w:bottom w:val="single" w:sz="4" w:space="0" w:color="auto"/>
            </w:tcBorders>
            <w:vAlign w:val="center"/>
          </w:tcPr>
          <w:p w14:paraId="5838AB77" w14:textId="77777777" w:rsidR="00125826" w:rsidRPr="009A5185" w:rsidRDefault="00125826" w:rsidP="00C90CC3">
            <w:pPr>
              <w:ind w:left="360"/>
              <w:contextualSpacing/>
              <w:rPr>
                <w:rFonts w:cs="Arial"/>
                <w:b/>
              </w:rPr>
            </w:pPr>
          </w:p>
        </w:tc>
        <w:tc>
          <w:tcPr>
            <w:tcW w:w="1874" w:type="dxa"/>
            <w:tcBorders>
              <w:bottom w:val="single" w:sz="4" w:space="0" w:color="auto"/>
            </w:tcBorders>
            <w:vAlign w:val="center"/>
          </w:tcPr>
          <w:p w14:paraId="1116D125" w14:textId="77777777" w:rsidR="00125826" w:rsidRPr="009A5185" w:rsidRDefault="00125826" w:rsidP="00C90CC3">
            <w:pPr>
              <w:ind w:left="360"/>
              <w:contextualSpacing/>
              <w:rPr>
                <w:rFonts w:cs="Arial"/>
                <w:b/>
              </w:rPr>
            </w:pPr>
          </w:p>
        </w:tc>
        <w:tc>
          <w:tcPr>
            <w:tcW w:w="1811" w:type="dxa"/>
            <w:tcBorders>
              <w:bottom w:val="single" w:sz="4" w:space="0" w:color="auto"/>
            </w:tcBorders>
            <w:vAlign w:val="center"/>
          </w:tcPr>
          <w:p w14:paraId="336234E9" w14:textId="77777777" w:rsidR="00125826" w:rsidRPr="009A5185" w:rsidRDefault="00125826" w:rsidP="00C90CC3">
            <w:pPr>
              <w:ind w:left="360"/>
              <w:contextualSpacing/>
              <w:rPr>
                <w:rFonts w:cs="Arial"/>
                <w:b/>
              </w:rPr>
            </w:pPr>
          </w:p>
        </w:tc>
        <w:tc>
          <w:tcPr>
            <w:tcW w:w="1937" w:type="dxa"/>
            <w:tcBorders>
              <w:bottom w:val="single" w:sz="4" w:space="0" w:color="auto"/>
            </w:tcBorders>
            <w:vAlign w:val="center"/>
          </w:tcPr>
          <w:p w14:paraId="59949886" w14:textId="77777777" w:rsidR="00125826" w:rsidRPr="009A5185" w:rsidRDefault="00125826" w:rsidP="00C90CC3">
            <w:pPr>
              <w:ind w:left="360"/>
              <w:contextualSpacing/>
              <w:rPr>
                <w:rFonts w:cs="Arial"/>
                <w:b/>
              </w:rPr>
            </w:pPr>
          </w:p>
        </w:tc>
      </w:tr>
    </w:tbl>
    <w:p w14:paraId="4BDE4786" w14:textId="77777777" w:rsidR="009F3018" w:rsidRPr="007A0EC7" w:rsidRDefault="009F3018"/>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8"/>
        <w:gridCol w:w="1874"/>
        <w:gridCol w:w="1874"/>
        <w:gridCol w:w="1811"/>
        <w:gridCol w:w="1937"/>
      </w:tblGrid>
      <w:tr w:rsidR="00125826" w:rsidRPr="009A5185" w14:paraId="2FD2C983" w14:textId="77777777" w:rsidTr="00A212A4">
        <w:trPr>
          <w:trHeight w:val="1440"/>
        </w:trPr>
        <w:tc>
          <w:tcPr>
            <w:tcW w:w="9994" w:type="dxa"/>
            <w:gridSpan w:val="5"/>
            <w:tcBorders>
              <w:left w:val="single" w:sz="4" w:space="0" w:color="auto"/>
              <w:right w:val="single" w:sz="4" w:space="0" w:color="auto"/>
            </w:tcBorders>
            <w:vAlign w:val="center"/>
          </w:tcPr>
          <w:p w14:paraId="137D682B" w14:textId="1807F50D" w:rsidR="00125826" w:rsidRPr="009A5185" w:rsidRDefault="00401C2A" w:rsidP="00AD309C">
            <w:pPr>
              <w:numPr>
                <w:ilvl w:val="0"/>
                <w:numId w:val="52"/>
              </w:numPr>
              <w:contextualSpacing/>
              <w:rPr>
                <w:rFonts w:cs="Arial"/>
                <w:i/>
                <w:snapToGrid w:val="0"/>
              </w:rPr>
            </w:pPr>
            <w:r w:rsidRPr="009A5185">
              <w:rPr>
                <w:rFonts w:cs="Arial"/>
              </w:rPr>
              <w:t>E</w:t>
            </w:r>
            <w:r w:rsidR="00654269" w:rsidRPr="009A5185">
              <w:rPr>
                <w:rFonts w:cs="Arial"/>
              </w:rPr>
              <w:t xml:space="preserve">nter </w:t>
            </w:r>
            <w:r w:rsidR="00125826" w:rsidRPr="009A5185">
              <w:rPr>
                <w:rFonts w:cs="Arial"/>
              </w:rPr>
              <w:t xml:space="preserve">your </w:t>
            </w:r>
            <w:r w:rsidR="00261D05">
              <w:rPr>
                <w:rFonts w:cs="Arial"/>
              </w:rPr>
              <w:t>hospital</w:t>
            </w:r>
            <w:r w:rsidR="00125826" w:rsidRPr="009A5185">
              <w:rPr>
                <w:rFonts w:cs="Arial"/>
              </w:rPr>
              <w:t>’s 25</w:t>
            </w:r>
            <w:r w:rsidR="00125826" w:rsidRPr="009A5185">
              <w:rPr>
                <w:rFonts w:cs="Arial"/>
                <w:vertAlign w:val="superscript"/>
              </w:rPr>
              <w:t>th</w:t>
            </w:r>
            <w:r w:rsidR="00125826" w:rsidRPr="009A5185">
              <w:rPr>
                <w:rFonts w:cs="Arial"/>
              </w:rPr>
              <w:t>, 50</w:t>
            </w:r>
            <w:r w:rsidR="00125826" w:rsidRPr="009A5185">
              <w:rPr>
                <w:rFonts w:cs="Arial"/>
                <w:vertAlign w:val="superscript"/>
              </w:rPr>
              <w:t>th</w:t>
            </w:r>
            <w:r w:rsidR="00125826" w:rsidRPr="009A5185">
              <w:rPr>
                <w:rFonts w:cs="Arial"/>
              </w:rPr>
              <w:t>, and 75</w:t>
            </w:r>
            <w:r w:rsidR="00125826" w:rsidRPr="009A5185">
              <w:rPr>
                <w:rFonts w:cs="Arial"/>
                <w:vertAlign w:val="superscript"/>
              </w:rPr>
              <w:t>th</w:t>
            </w:r>
            <w:r w:rsidR="00125826" w:rsidRPr="009A5185">
              <w:rPr>
                <w:rFonts w:cs="Arial"/>
              </w:rPr>
              <w:t xml:space="preserve"> percentiles </w:t>
            </w:r>
            <w:r w:rsidR="008047A3">
              <w:rPr>
                <w:rFonts w:cs="Arial"/>
              </w:rPr>
              <w:t xml:space="preserve">(rounded to the nearest whole number) </w:t>
            </w:r>
            <w:r w:rsidR="00125826" w:rsidRPr="009A5185">
              <w:rPr>
                <w:rFonts w:cs="Arial"/>
              </w:rPr>
              <w:t>for CT radiation dose</w:t>
            </w:r>
            <w:r w:rsidR="00B02C5D" w:rsidRPr="009A5185">
              <w:rPr>
                <w:rFonts w:cs="Arial"/>
              </w:rPr>
              <w:t xml:space="preserve"> length product (D</w:t>
            </w:r>
            <w:r w:rsidR="00B02C5D" w:rsidRPr="00522212">
              <w:rPr>
                <w:rFonts w:cs="Arial"/>
              </w:rPr>
              <w:t>LP)</w:t>
            </w:r>
            <w:r w:rsidR="00125826" w:rsidRPr="00522212">
              <w:rPr>
                <w:rFonts w:cs="Arial"/>
              </w:rPr>
              <w:t xml:space="preserve"> in</w:t>
            </w:r>
            <w:r w:rsidR="00125826" w:rsidRPr="009A5185">
              <w:rPr>
                <w:rFonts w:cs="Arial"/>
              </w:rPr>
              <w:t xml:space="preserve"> </w:t>
            </w:r>
            <w:r w:rsidR="00125826" w:rsidRPr="009A5185">
              <w:rPr>
                <w:rFonts w:cs="Arial"/>
                <w:b/>
              </w:rPr>
              <w:t>abdomen/pelvis</w:t>
            </w:r>
            <w:r w:rsidR="00125826" w:rsidRPr="009A5185">
              <w:rPr>
                <w:rFonts w:cs="Arial"/>
              </w:rPr>
              <w:t xml:space="preserve"> scans for pediatric patients for each age stratum</w:t>
            </w:r>
            <w:r w:rsidR="00BF5577">
              <w:rPr>
                <w:rFonts w:cs="Arial"/>
              </w:rPr>
              <w:t xml:space="preserve"> standardized to 32cm phantoms</w:t>
            </w:r>
            <w:r w:rsidR="00B07F7A" w:rsidRPr="009A5185">
              <w:rPr>
                <w:rFonts w:cs="Arial"/>
              </w:rPr>
              <w:t>.</w:t>
            </w:r>
          </w:p>
          <w:p w14:paraId="4D11E2E8" w14:textId="77777777" w:rsidR="00125826" w:rsidRPr="009A5185" w:rsidRDefault="00125826" w:rsidP="00B02C5D">
            <w:pPr>
              <w:contextualSpacing/>
              <w:rPr>
                <w:rFonts w:cs="Arial"/>
                <w:i/>
                <w:snapToGrid w:val="0"/>
              </w:rPr>
            </w:pPr>
          </w:p>
          <w:p w14:paraId="6231E95F" w14:textId="23EB55F6" w:rsidR="00B529B7" w:rsidRPr="00A212A4" w:rsidRDefault="009A0347" w:rsidP="00A212A4">
            <w:pPr>
              <w:ind w:left="360"/>
              <w:contextualSpacing/>
              <w:rPr>
                <w:rFonts w:cs="Arial"/>
                <w:i/>
                <w:snapToGrid w:val="0"/>
              </w:rPr>
            </w:pPr>
            <w:r w:rsidRPr="009A5185">
              <w:rPr>
                <w:rFonts w:cs="Arial"/>
                <w:i/>
                <w:snapToGrid w:val="0"/>
              </w:rPr>
              <w:t>If the number of encounters</w:t>
            </w:r>
            <w:r w:rsidR="00B02C5D" w:rsidRPr="009A5185">
              <w:rPr>
                <w:rFonts w:cs="Arial"/>
                <w:i/>
                <w:snapToGrid w:val="0"/>
              </w:rPr>
              <w:t xml:space="preserve"> for an age stratum is less than 10 (in column a), skip columns b, c, and d and then move to the next age stratum.</w:t>
            </w:r>
            <w:r w:rsidR="00870267" w:rsidRPr="009A5185">
              <w:rPr>
                <w:rFonts w:cs="Arial"/>
                <w:i/>
                <w:snapToGrid w:val="0"/>
              </w:rPr>
              <w:t xml:space="preserve"> If zero, enter “0” in column a.</w:t>
            </w:r>
            <w:r w:rsidR="006934A3">
              <w:rPr>
                <w:rFonts w:cs="Arial"/>
                <w:i/>
                <w:snapToGrid w:val="0"/>
              </w:rPr>
              <w:t xml:space="preserve"> </w:t>
            </w:r>
            <w:r w:rsidR="006934A3" w:rsidRPr="00F61E74">
              <w:rPr>
                <w:rFonts w:cs="Arial"/>
                <w:i/>
              </w:rPr>
              <w:t>The hospital will be scored as “</w:t>
            </w:r>
            <w:r w:rsidR="006934A3">
              <w:rPr>
                <w:rFonts w:cs="Arial"/>
                <w:i/>
              </w:rPr>
              <w:t>Unable to Calculate Score” if all age strat</w:t>
            </w:r>
            <w:r w:rsidR="00E95C58">
              <w:rPr>
                <w:rFonts w:cs="Arial"/>
                <w:i/>
              </w:rPr>
              <w:t>a</w:t>
            </w:r>
            <w:r w:rsidR="006934A3">
              <w:rPr>
                <w:rFonts w:cs="Arial"/>
                <w:i/>
              </w:rPr>
              <w:t xml:space="preserve"> have less than 10 encounters.</w:t>
            </w:r>
          </w:p>
        </w:tc>
      </w:tr>
      <w:tr w:rsidR="00125826" w:rsidRPr="009A5185" w14:paraId="7A2E6AAD" w14:textId="77777777" w:rsidTr="009F3018">
        <w:tc>
          <w:tcPr>
            <w:tcW w:w="2498" w:type="dxa"/>
            <w:vMerge w:val="restart"/>
            <w:vAlign w:val="center"/>
          </w:tcPr>
          <w:p w14:paraId="448984ED" w14:textId="164D8E65" w:rsidR="00125826" w:rsidRPr="009A5185" w:rsidRDefault="00125826" w:rsidP="00C90CC3">
            <w:pPr>
              <w:ind w:left="360"/>
              <w:contextualSpacing/>
              <w:rPr>
                <w:rFonts w:cs="Arial"/>
                <w:b/>
              </w:rPr>
            </w:pPr>
            <w:r w:rsidRPr="009A5185">
              <w:rPr>
                <w:rFonts w:cs="Arial"/>
                <w:b/>
              </w:rPr>
              <w:t xml:space="preserve">Age </w:t>
            </w:r>
            <w:r w:rsidR="00E95C58">
              <w:rPr>
                <w:rFonts w:cs="Arial"/>
                <w:b/>
              </w:rPr>
              <w:t>Stratum</w:t>
            </w:r>
          </w:p>
        </w:tc>
        <w:tc>
          <w:tcPr>
            <w:tcW w:w="7496" w:type="dxa"/>
            <w:gridSpan w:val="4"/>
            <w:shd w:val="clear" w:color="auto" w:fill="D9D9D9" w:themeFill="background1" w:themeFillShade="D9"/>
            <w:vAlign w:val="center"/>
          </w:tcPr>
          <w:p w14:paraId="6ABD45DF" w14:textId="77777777" w:rsidR="00125826" w:rsidRPr="009A5185" w:rsidRDefault="00125826" w:rsidP="00C90CC3">
            <w:pPr>
              <w:ind w:left="360"/>
              <w:contextualSpacing/>
              <w:jc w:val="center"/>
              <w:rPr>
                <w:rFonts w:cs="Arial"/>
                <w:b/>
              </w:rPr>
            </w:pPr>
            <w:r w:rsidRPr="009A5185">
              <w:rPr>
                <w:rFonts w:cs="Arial"/>
                <w:b/>
              </w:rPr>
              <w:t>ABDOMEN/PELVIS</w:t>
            </w:r>
          </w:p>
        </w:tc>
      </w:tr>
      <w:tr w:rsidR="00125826" w:rsidRPr="009A5185" w14:paraId="1EC1199C" w14:textId="77777777" w:rsidTr="009F3018">
        <w:tc>
          <w:tcPr>
            <w:tcW w:w="2498" w:type="dxa"/>
            <w:vMerge/>
            <w:vAlign w:val="center"/>
          </w:tcPr>
          <w:p w14:paraId="61BF79EA" w14:textId="77777777" w:rsidR="00125826" w:rsidRPr="009A5185" w:rsidRDefault="00125826" w:rsidP="00C90CC3">
            <w:pPr>
              <w:ind w:left="360"/>
              <w:contextualSpacing/>
              <w:rPr>
                <w:rFonts w:cs="Arial"/>
                <w:b/>
              </w:rPr>
            </w:pPr>
          </w:p>
        </w:tc>
        <w:tc>
          <w:tcPr>
            <w:tcW w:w="1874" w:type="dxa"/>
            <w:vAlign w:val="center"/>
          </w:tcPr>
          <w:p w14:paraId="09B4E4A5" w14:textId="77777777" w:rsidR="00125826" w:rsidRPr="009A5185" w:rsidRDefault="003736C5" w:rsidP="00C90CC3">
            <w:pPr>
              <w:contextualSpacing/>
              <w:rPr>
                <w:rFonts w:cs="Arial"/>
                <w:b/>
              </w:rPr>
            </w:pPr>
            <w:r w:rsidRPr="009A5185">
              <w:rPr>
                <w:rFonts w:cs="Arial"/>
                <w:b/>
              </w:rPr>
              <w:t>(</w:t>
            </w:r>
            <w:r w:rsidR="00125826" w:rsidRPr="009A5185">
              <w:rPr>
                <w:rFonts w:cs="Arial"/>
                <w:b/>
              </w:rPr>
              <w:t>a)</w:t>
            </w:r>
          </w:p>
          <w:p w14:paraId="7BB45139" w14:textId="77777777" w:rsidR="00125826" w:rsidRPr="009A5185" w:rsidRDefault="00DC28FF" w:rsidP="00C90CC3">
            <w:pPr>
              <w:contextualSpacing/>
              <w:rPr>
                <w:rFonts w:cs="Arial"/>
                <w:b/>
              </w:rPr>
            </w:pPr>
            <w:r w:rsidRPr="009A5185">
              <w:rPr>
                <w:rFonts w:cs="Arial"/>
                <w:b/>
              </w:rPr>
              <w:t>Number of encounters</w:t>
            </w:r>
          </w:p>
        </w:tc>
        <w:tc>
          <w:tcPr>
            <w:tcW w:w="1874" w:type="dxa"/>
            <w:vAlign w:val="center"/>
          </w:tcPr>
          <w:p w14:paraId="4F9CFC41" w14:textId="77777777" w:rsidR="00125826" w:rsidRPr="009A5185" w:rsidRDefault="003736C5" w:rsidP="00C90CC3">
            <w:pPr>
              <w:contextualSpacing/>
              <w:rPr>
                <w:rFonts w:cs="Arial"/>
                <w:b/>
              </w:rPr>
            </w:pPr>
            <w:r w:rsidRPr="009A5185">
              <w:rPr>
                <w:rFonts w:cs="Arial"/>
                <w:b/>
              </w:rPr>
              <w:t>(</w:t>
            </w:r>
            <w:r w:rsidR="00125826" w:rsidRPr="009A5185">
              <w:rPr>
                <w:rFonts w:cs="Arial"/>
                <w:b/>
              </w:rPr>
              <w:t>b)</w:t>
            </w:r>
          </w:p>
          <w:p w14:paraId="54862FE4" w14:textId="77777777" w:rsidR="00125826" w:rsidRPr="009A5185" w:rsidRDefault="00125826" w:rsidP="00C90CC3">
            <w:pPr>
              <w:contextualSpacing/>
              <w:rPr>
                <w:rFonts w:cs="Arial"/>
                <w:b/>
              </w:rPr>
            </w:pPr>
            <w:r w:rsidRPr="009A5185">
              <w:rPr>
                <w:rFonts w:cs="Arial"/>
                <w:b/>
              </w:rPr>
              <w:t>25</w:t>
            </w:r>
            <w:r w:rsidRPr="009A5185">
              <w:rPr>
                <w:rFonts w:cs="Arial"/>
                <w:b/>
                <w:vertAlign w:val="superscript"/>
              </w:rPr>
              <w:t>th</w:t>
            </w:r>
            <w:r w:rsidRPr="009A5185">
              <w:rPr>
                <w:rFonts w:cs="Arial"/>
                <w:b/>
              </w:rPr>
              <w:t xml:space="preserve"> Percentile</w:t>
            </w:r>
          </w:p>
        </w:tc>
        <w:tc>
          <w:tcPr>
            <w:tcW w:w="1811" w:type="dxa"/>
            <w:vAlign w:val="center"/>
          </w:tcPr>
          <w:p w14:paraId="3AE81558" w14:textId="77777777" w:rsidR="00125826" w:rsidRPr="009A5185" w:rsidRDefault="003736C5" w:rsidP="00C90CC3">
            <w:pPr>
              <w:contextualSpacing/>
              <w:rPr>
                <w:rFonts w:cs="Arial"/>
                <w:b/>
              </w:rPr>
            </w:pPr>
            <w:r w:rsidRPr="009A5185">
              <w:rPr>
                <w:rFonts w:cs="Arial"/>
                <w:b/>
              </w:rPr>
              <w:t>(</w:t>
            </w:r>
            <w:r w:rsidR="00125826" w:rsidRPr="009A5185">
              <w:rPr>
                <w:rFonts w:cs="Arial"/>
                <w:b/>
              </w:rPr>
              <w:t xml:space="preserve">c) </w:t>
            </w:r>
          </w:p>
          <w:p w14:paraId="7487B0CD" w14:textId="77777777" w:rsidR="00125826" w:rsidRPr="009A5185" w:rsidRDefault="00125826" w:rsidP="00C90CC3">
            <w:pPr>
              <w:contextualSpacing/>
              <w:rPr>
                <w:rFonts w:cs="Arial"/>
                <w:b/>
              </w:rPr>
            </w:pPr>
            <w:r w:rsidRPr="009A5185">
              <w:rPr>
                <w:rFonts w:cs="Arial"/>
                <w:b/>
              </w:rPr>
              <w:t>50</w:t>
            </w:r>
            <w:r w:rsidRPr="009A5185">
              <w:rPr>
                <w:rFonts w:cs="Arial"/>
                <w:b/>
                <w:vertAlign w:val="superscript"/>
              </w:rPr>
              <w:t>th</w:t>
            </w:r>
            <w:r w:rsidRPr="009A5185">
              <w:rPr>
                <w:rFonts w:cs="Arial"/>
                <w:b/>
              </w:rPr>
              <w:t xml:space="preserve"> Percentile</w:t>
            </w:r>
          </w:p>
        </w:tc>
        <w:tc>
          <w:tcPr>
            <w:tcW w:w="1937" w:type="dxa"/>
            <w:vAlign w:val="center"/>
          </w:tcPr>
          <w:p w14:paraId="14968E87" w14:textId="77777777" w:rsidR="00125826" w:rsidRPr="009A5185" w:rsidRDefault="003736C5" w:rsidP="00620FCB">
            <w:pPr>
              <w:contextualSpacing/>
              <w:rPr>
                <w:rFonts w:cs="Arial"/>
                <w:b/>
              </w:rPr>
            </w:pPr>
            <w:r w:rsidRPr="009A5185">
              <w:rPr>
                <w:rFonts w:cs="Arial"/>
                <w:b/>
              </w:rPr>
              <w:t>(</w:t>
            </w:r>
            <w:r w:rsidR="00125826" w:rsidRPr="009A5185">
              <w:rPr>
                <w:rFonts w:cs="Arial"/>
                <w:b/>
              </w:rPr>
              <w:t xml:space="preserve">d) </w:t>
            </w:r>
          </w:p>
          <w:p w14:paraId="6EE693CD" w14:textId="77777777" w:rsidR="00125826" w:rsidRPr="009A5185" w:rsidRDefault="00125826" w:rsidP="00620FCB">
            <w:pPr>
              <w:contextualSpacing/>
              <w:rPr>
                <w:rFonts w:cs="Arial"/>
                <w:b/>
              </w:rPr>
            </w:pPr>
            <w:r w:rsidRPr="009A5185">
              <w:rPr>
                <w:rFonts w:cs="Arial"/>
                <w:b/>
              </w:rPr>
              <w:t>75</w:t>
            </w:r>
            <w:r w:rsidRPr="009A5185">
              <w:rPr>
                <w:rFonts w:cs="Arial"/>
                <w:b/>
                <w:vertAlign w:val="superscript"/>
              </w:rPr>
              <w:t>th</w:t>
            </w:r>
            <w:r w:rsidRPr="009A5185">
              <w:rPr>
                <w:rFonts w:cs="Arial"/>
                <w:b/>
              </w:rPr>
              <w:t xml:space="preserve"> Percentile</w:t>
            </w:r>
          </w:p>
        </w:tc>
      </w:tr>
      <w:tr w:rsidR="007E3461" w:rsidRPr="009A5185" w14:paraId="0D2109DA" w14:textId="77777777" w:rsidTr="009F3018">
        <w:tc>
          <w:tcPr>
            <w:tcW w:w="2498" w:type="dxa"/>
          </w:tcPr>
          <w:p w14:paraId="71002C24" w14:textId="77777777" w:rsidR="007E3461" w:rsidRPr="009A5185" w:rsidRDefault="007E3461" w:rsidP="00C90CC3">
            <w:pPr>
              <w:jc w:val="center"/>
              <w:rPr>
                <w:rFonts w:cs="Arial"/>
              </w:rPr>
            </w:pPr>
            <w:r w:rsidRPr="009A5185">
              <w:rPr>
                <w:rFonts w:cs="Arial"/>
              </w:rPr>
              <w:t>&lt; 1 year</w:t>
            </w:r>
          </w:p>
        </w:tc>
        <w:tc>
          <w:tcPr>
            <w:tcW w:w="1874" w:type="dxa"/>
            <w:vAlign w:val="center"/>
          </w:tcPr>
          <w:p w14:paraId="2EAA634E" w14:textId="77777777" w:rsidR="007E3461" w:rsidRPr="009A5185" w:rsidRDefault="007E3461" w:rsidP="00C90CC3">
            <w:pPr>
              <w:ind w:left="360"/>
              <w:contextualSpacing/>
              <w:rPr>
                <w:rFonts w:cs="Arial"/>
                <w:b/>
              </w:rPr>
            </w:pPr>
          </w:p>
        </w:tc>
        <w:tc>
          <w:tcPr>
            <w:tcW w:w="1874" w:type="dxa"/>
            <w:vAlign w:val="center"/>
          </w:tcPr>
          <w:p w14:paraId="59B0757C" w14:textId="77777777" w:rsidR="007E3461" w:rsidRPr="009A5185" w:rsidRDefault="007E3461" w:rsidP="00C90CC3">
            <w:pPr>
              <w:ind w:left="360"/>
              <w:contextualSpacing/>
              <w:rPr>
                <w:rFonts w:cs="Arial"/>
                <w:b/>
              </w:rPr>
            </w:pPr>
          </w:p>
        </w:tc>
        <w:tc>
          <w:tcPr>
            <w:tcW w:w="1811" w:type="dxa"/>
            <w:vAlign w:val="center"/>
          </w:tcPr>
          <w:p w14:paraId="61980131" w14:textId="77777777" w:rsidR="007E3461" w:rsidRPr="009A5185" w:rsidRDefault="007E3461" w:rsidP="00C90CC3">
            <w:pPr>
              <w:ind w:left="360"/>
              <w:contextualSpacing/>
              <w:rPr>
                <w:rFonts w:cs="Arial"/>
                <w:b/>
              </w:rPr>
            </w:pPr>
          </w:p>
        </w:tc>
        <w:tc>
          <w:tcPr>
            <w:tcW w:w="1937" w:type="dxa"/>
            <w:vAlign w:val="center"/>
          </w:tcPr>
          <w:p w14:paraId="1F72AB44" w14:textId="77777777" w:rsidR="007E3461" w:rsidRPr="009A5185" w:rsidRDefault="007E3461" w:rsidP="00C90CC3">
            <w:pPr>
              <w:ind w:left="360"/>
              <w:contextualSpacing/>
              <w:rPr>
                <w:rFonts w:cs="Arial"/>
                <w:b/>
              </w:rPr>
            </w:pPr>
          </w:p>
        </w:tc>
      </w:tr>
      <w:tr w:rsidR="007E3461" w:rsidRPr="009A5185" w14:paraId="5FBE857C" w14:textId="77777777" w:rsidTr="009F3018">
        <w:tc>
          <w:tcPr>
            <w:tcW w:w="2498" w:type="dxa"/>
          </w:tcPr>
          <w:p w14:paraId="4783A1DF" w14:textId="77777777" w:rsidR="007E3461" w:rsidRPr="009A5185" w:rsidRDefault="0018756C" w:rsidP="00C90CC3">
            <w:pPr>
              <w:jc w:val="center"/>
              <w:rPr>
                <w:rFonts w:cs="Arial"/>
              </w:rPr>
            </w:pPr>
            <w:r w:rsidRPr="009A5185">
              <w:rPr>
                <w:rFonts w:cs="Arial"/>
              </w:rPr>
              <w:t xml:space="preserve">1 - </w:t>
            </w:r>
            <w:r w:rsidR="007E3461" w:rsidRPr="009A5185">
              <w:rPr>
                <w:rFonts w:cs="Arial"/>
              </w:rPr>
              <w:t>4</w:t>
            </w:r>
          </w:p>
        </w:tc>
        <w:tc>
          <w:tcPr>
            <w:tcW w:w="1874" w:type="dxa"/>
            <w:vAlign w:val="center"/>
          </w:tcPr>
          <w:p w14:paraId="1FE5D243" w14:textId="77777777" w:rsidR="007E3461" w:rsidRPr="009A5185" w:rsidRDefault="007E3461" w:rsidP="00C90CC3">
            <w:pPr>
              <w:ind w:left="360"/>
              <w:contextualSpacing/>
              <w:rPr>
                <w:rFonts w:cs="Arial"/>
                <w:b/>
              </w:rPr>
            </w:pPr>
          </w:p>
        </w:tc>
        <w:tc>
          <w:tcPr>
            <w:tcW w:w="1874" w:type="dxa"/>
            <w:vAlign w:val="center"/>
          </w:tcPr>
          <w:p w14:paraId="4EC01D8B" w14:textId="77777777" w:rsidR="007E3461" w:rsidRPr="009A5185" w:rsidRDefault="007E3461" w:rsidP="00C90CC3">
            <w:pPr>
              <w:ind w:left="360"/>
              <w:contextualSpacing/>
              <w:rPr>
                <w:rFonts w:cs="Arial"/>
                <w:b/>
              </w:rPr>
            </w:pPr>
          </w:p>
        </w:tc>
        <w:tc>
          <w:tcPr>
            <w:tcW w:w="1811" w:type="dxa"/>
            <w:vAlign w:val="center"/>
          </w:tcPr>
          <w:p w14:paraId="3B3A4918" w14:textId="77777777" w:rsidR="007E3461" w:rsidRPr="009A5185" w:rsidRDefault="007E3461" w:rsidP="00C90CC3">
            <w:pPr>
              <w:ind w:left="360"/>
              <w:contextualSpacing/>
              <w:rPr>
                <w:rFonts w:cs="Arial"/>
                <w:b/>
              </w:rPr>
            </w:pPr>
          </w:p>
        </w:tc>
        <w:tc>
          <w:tcPr>
            <w:tcW w:w="1937" w:type="dxa"/>
            <w:vAlign w:val="center"/>
          </w:tcPr>
          <w:p w14:paraId="4612F144" w14:textId="77777777" w:rsidR="007E3461" w:rsidRPr="009A5185" w:rsidRDefault="007E3461" w:rsidP="00C90CC3">
            <w:pPr>
              <w:ind w:left="360"/>
              <w:contextualSpacing/>
              <w:rPr>
                <w:rFonts w:cs="Arial"/>
                <w:b/>
              </w:rPr>
            </w:pPr>
          </w:p>
        </w:tc>
      </w:tr>
      <w:tr w:rsidR="007E3461" w:rsidRPr="009A5185" w14:paraId="01449F6B" w14:textId="77777777" w:rsidTr="009F3018">
        <w:tc>
          <w:tcPr>
            <w:tcW w:w="2498" w:type="dxa"/>
          </w:tcPr>
          <w:p w14:paraId="2B13C056" w14:textId="77777777" w:rsidR="007E3461" w:rsidRPr="009A5185" w:rsidRDefault="007E3461" w:rsidP="00C90CC3">
            <w:pPr>
              <w:jc w:val="center"/>
              <w:rPr>
                <w:rFonts w:cs="Arial"/>
              </w:rPr>
            </w:pPr>
            <w:r w:rsidRPr="009A5185">
              <w:rPr>
                <w:rFonts w:cs="Arial"/>
              </w:rPr>
              <w:t>5 - 9</w:t>
            </w:r>
          </w:p>
        </w:tc>
        <w:tc>
          <w:tcPr>
            <w:tcW w:w="1874" w:type="dxa"/>
            <w:vAlign w:val="center"/>
          </w:tcPr>
          <w:p w14:paraId="2FC6785D" w14:textId="77777777" w:rsidR="007E3461" w:rsidRPr="009A5185" w:rsidRDefault="007E3461" w:rsidP="00C90CC3">
            <w:pPr>
              <w:ind w:left="360"/>
              <w:contextualSpacing/>
              <w:rPr>
                <w:rFonts w:cs="Arial"/>
                <w:b/>
              </w:rPr>
            </w:pPr>
          </w:p>
        </w:tc>
        <w:tc>
          <w:tcPr>
            <w:tcW w:w="1874" w:type="dxa"/>
            <w:vAlign w:val="center"/>
          </w:tcPr>
          <w:p w14:paraId="6C044872" w14:textId="77777777" w:rsidR="007E3461" w:rsidRPr="009A5185" w:rsidRDefault="007E3461" w:rsidP="00C90CC3">
            <w:pPr>
              <w:ind w:left="360"/>
              <w:contextualSpacing/>
              <w:rPr>
                <w:rFonts w:cs="Arial"/>
                <w:b/>
              </w:rPr>
            </w:pPr>
          </w:p>
        </w:tc>
        <w:tc>
          <w:tcPr>
            <w:tcW w:w="1811" w:type="dxa"/>
            <w:vAlign w:val="center"/>
          </w:tcPr>
          <w:p w14:paraId="7B5C343F" w14:textId="77777777" w:rsidR="007E3461" w:rsidRPr="009A5185" w:rsidRDefault="007E3461" w:rsidP="00C90CC3">
            <w:pPr>
              <w:ind w:left="360"/>
              <w:contextualSpacing/>
              <w:rPr>
                <w:rFonts w:cs="Arial"/>
                <w:b/>
              </w:rPr>
            </w:pPr>
          </w:p>
        </w:tc>
        <w:tc>
          <w:tcPr>
            <w:tcW w:w="1937" w:type="dxa"/>
            <w:vAlign w:val="center"/>
          </w:tcPr>
          <w:p w14:paraId="1B4D5863" w14:textId="77777777" w:rsidR="007E3461" w:rsidRPr="009A5185" w:rsidRDefault="007E3461" w:rsidP="00C90CC3">
            <w:pPr>
              <w:ind w:left="360"/>
              <w:contextualSpacing/>
              <w:rPr>
                <w:rFonts w:cs="Arial"/>
                <w:b/>
              </w:rPr>
            </w:pPr>
          </w:p>
        </w:tc>
      </w:tr>
      <w:tr w:rsidR="007E3461" w:rsidRPr="009A5185" w14:paraId="77B312F9" w14:textId="77777777" w:rsidTr="009F3018">
        <w:tc>
          <w:tcPr>
            <w:tcW w:w="2498" w:type="dxa"/>
            <w:tcBorders>
              <w:bottom w:val="single" w:sz="4" w:space="0" w:color="auto"/>
            </w:tcBorders>
          </w:tcPr>
          <w:p w14:paraId="40A469FE" w14:textId="77777777" w:rsidR="007E3461" w:rsidRPr="009A5185" w:rsidRDefault="007E3461" w:rsidP="00C90CC3">
            <w:pPr>
              <w:jc w:val="center"/>
              <w:rPr>
                <w:rFonts w:cs="Arial"/>
              </w:rPr>
            </w:pPr>
            <w:r w:rsidRPr="009A5185">
              <w:rPr>
                <w:rFonts w:cs="Arial"/>
              </w:rPr>
              <w:t>10 - 14</w:t>
            </w:r>
          </w:p>
        </w:tc>
        <w:tc>
          <w:tcPr>
            <w:tcW w:w="1874" w:type="dxa"/>
            <w:vAlign w:val="center"/>
          </w:tcPr>
          <w:p w14:paraId="7E830FDC" w14:textId="77777777" w:rsidR="007E3461" w:rsidRPr="009A5185" w:rsidRDefault="007E3461" w:rsidP="00C90CC3">
            <w:pPr>
              <w:ind w:left="360"/>
              <w:contextualSpacing/>
              <w:rPr>
                <w:rFonts w:cs="Arial"/>
                <w:b/>
              </w:rPr>
            </w:pPr>
          </w:p>
        </w:tc>
        <w:tc>
          <w:tcPr>
            <w:tcW w:w="1874" w:type="dxa"/>
            <w:vAlign w:val="center"/>
          </w:tcPr>
          <w:p w14:paraId="05046762" w14:textId="77777777" w:rsidR="007E3461" w:rsidRPr="009A5185" w:rsidRDefault="007E3461" w:rsidP="00C90CC3">
            <w:pPr>
              <w:ind w:left="360"/>
              <w:contextualSpacing/>
              <w:rPr>
                <w:rFonts w:cs="Arial"/>
                <w:b/>
              </w:rPr>
            </w:pPr>
          </w:p>
        </w:tc>
        <w:tc>
          <w:tcPr>
            <w:tcW w:w="1811" w:type="dxa"/>
            <w:tcBorders>
              <w:bottom w:val="single" w:sz="4" w:space="0" w:color="auto"/>
            </w:tcBorders>
            <w:vAlign w:val="center"/>
          </w:tcPr>
          <w:p w14:paraId="14FEC2D7" w14:textId="77777777" w:rsidR="007E3461" w:rsidRPr="009A5185" w:rsidRDefault="007E3461" w:rsidP="00C90CC3">
            <w:pPr>
              <w:ind w:left="360"/>
              <w:contextualSpacing/>
              <w:rPr>
                <w:rFonts w:cs="Arial"/>
                <w:b/>
              </w:rPr>
            </w:pPr>
          </w:p>
        </w:tc>
        <w:tc>
          <w:tcPr>
            <w:tcW w:w="1937" w:type="dxa"/>
            <w:tcBorders>
              <w:bottom w:val="single" w:sz="4" w:space="0" w:color="auto"/>
            </w:tcBorders>
            <w:vAlign w:val="center"/>
          </w:tcPr>
          <w:p w14:paraId="0C857A57" w14:textId="77777777" w:rsidR="007E3461" w:rsidRPr="009A5185" w:rsidRDefault="007E3461" w:rsidP="00C90CC3">
            <w:pPr>
              <w:ind w:left="360"/>
              <w:contextualSpacing/>
              <w:rPr>
                <w:rFonts w:cs="Arial"/>
                <w:b/>
              </w:rPr>
            </w:pPr>
          </w:p>
        </w:tc>
      </w:tr>
      <w:tr w:rsidR="007E3461" w:rsidRPr="009A5185" w14:paraId="77F24810" w14:textId="77777777" w:rsidTr="009F3018">
        <w:trPr>
          <w:trHeight w:val="64"/>
        </w:trPr>
        <w:tc>
          <w:tcPr>
            <w:tcW w:w="2498" w:type="dxa"/>
            <w:tcBorders>
              <w:bottom w:val="single" w:sz="4" w:space="0" w:color="auto"/>
            </w:tcBorders>
          </w:tcPr>
          <w:p w14:paraId="2BEBE394" w14:textId="77777777" w:rsidR="007E3461" w:rsidRPr="009A5185" w:rsidRDefault="007E3461" w:rsidP="00C90CC3">
            <w:pPr>
              <w:jc w:val="center"/>
              <w:rPr>
                <w:rFonts w:cs="Arial"/>
              </w:rPr>
            </w:pPr>
            <w:r w:rsidRPr="009A5185">
              <w:rPr>
                <w:rFonts w:cs="Arial"/>
              </w:rPr>
              <w:t>15 - 17</w:t>
            </w:r>
          </w:p>
        </w:tc>
        <w:tc>
          <w:tcPr>
            <w:tcW w:w="1874" w:type="dxa"/>
            <w:tcBorders>
              <w:bottom w:val="single" w:sz="4" w:space="0" w:color="auto"/>
            </w:tcBorders>
            <w:vAlign w:val="center"/>
          </w:tcPr>
          <w:p w14:paraId="138667D4" w14:textId="77777777" w:rsidR="007E3461" w:rsidRPr="009A5185" w:rsidRDefault="007E3461" w:rsidP="00C90CC3">
            <w:pPr>
              <w:ind w:left="360"/>
              <w:contextualSpacing/>
              <w:rPr>
                <w:rFonts w:cs="Arial"/>
                <w:b/>
              </w:rPr>
            </w:pPr>
          </w:p>
        </w:tc>
        <w:tc>
          <w:tcPr>
            <w:tcW w:w="1874" w:type="dxa"/>
            <w:tcBorders>
              <w:bottom w:val="single" w:sz="4" w:space="0" w:color="auto"/>
            </w:tcBorders>
            <w:vAlign w:val="center"/>
          </w:tcPr>
          <w:p w14:paraId="2649F94C" w14:textId="77777777" w:rsidR="007E3461" w:rsidRPr="009A5185" w:rsidRDefault="007E3461" w:rsidP="00C90CC3">
            <w:pPr>
              <w:ind w:left="360"/>
              <w:contextualSpacing/>
              <w:rPr>
                <w:rFonts w:cs="Arial"/>
                <w:b/>
              </w:rPr>
            </w:pPr>
          </w:p>
        </w:tc>
        <w:tc>
          <w:tcPr>
            <w:tcW w:w="1811" w:type="dxa"/>
            <w:tcBorders>
              <w:bottom w:val="single" w:sz="4" w:space="0" w:color="auto"/>
            </w:tcBorders>
            <w:vAlign w:val="center"/>
          </w:tcPr>
          <w:p w14:paraId="7EEDA4CF" w14:textId="77777777" w:rsidR="007E3461" w:rsidRPr="009A5185" w:rsidRDefault="007E3461" w:rsidP="00C90CC3">
            <w:pPr>
              <w:ind w:left="360"/>
              <w:contextualSpacing/>
              <w:rPr>
                <w:rFonts w:cs="Arial"/>
                <w:b/>
              </w:rPr>
            </w:pPr>
          </w:p>
        </w:tc>
        <w:tc>
          <w:tcPr>
            <w:tcW w:w="1937" w:type="dxa"/>
            <w:tcBorders>
              <w:bottom w:val="single" w:sz="4" w:space="0" w:color="auto"/>
            </w:tcBorders>
            <w:vAlign w:val="center"/>
          </w:tcPr>
          <w:p w14:paraId="7DD88EFC" w14:textId="77777777" w:rsidR="007E3461" w:rsidRPr="009A5185" w:rsidRDefault="007E3461" w:rsidP="00C90CC3">
            <w:pPr>
              <w:ind w:left="360"/>
              <w:contextualSpacing/>
              <w:rPr>
                <w:rFonts w:cs="Arial"/>
                <w:b/>
              </w:rPr>
            </w:pPr>
          </w:p>
        </w:tc>
      </w:tr>
    </w:tbl>
    <w:p w14:paraId="3BA0DFB2" w14:textId="77777777" w:rsidR="007A0EC7" w:rsidRPr="007A0EC7" w:rsidRDefault="007A0EC7">
      <w:pPr>
        <w:rPr>
          <w:rFonts w:cs="Arial"/>
          <w:b/>
          <w:snapToGrid w:val="0"/>
          <w:color w:val="000000"/>
        </w:rPr>
      </w:pPr>
    </w:p>
    <w:p w14:paraId="43F5735A" w14:textId="29040492" w:rsidR="00897A3E" w:rsidRDefault="00897A3E">
      <w:pPr>
        <w:rPr>
          <w:lang w:eastAsia="ja-JP"/>
        </w:rPr>
      </w:pPr>
    </w:p>
    <w:p w14:paraId="1A302D9B" w14:textId="77777777" w:rsidR="00897A3E" w:rsidRDefault="00897A3E">
      <w:pPr>
        <w:rPr>
          <w:lang w:eastAsia="ja-JP"/>
        </w:rPr>
      </w:pPr>
      <w:r>
        <w:rPr>
          <w:lang w:eastAsia="ja-JP"/>
        </w:rPr>
        <w:br w:type="page"/>
      </w:r>
    </w:p>
    <w:p w14:paraId="43D57EA9" w14:textId="1E132BE7" w:rsidR="008910AA" w:rsidRPr="009A5185" w:rsidRDefault="00B13271">
      <w:pPr>
        <w:rPr>
          <w:rFonts w:cs="Arial"/>
          <w:b/>
          <w:snapToGrid w:val="0"/>
          <w:color w:val="000000"/>
        </w:rPr>
      </w:pPr>
      <w:r w:rsidRPr="009A5185">
        <w:rPr>
          <w:rFonts w:cs="Arial"/>
          <w:b/>
          <w:snapToGrid w:val="0"/>
          <w:color w:val="000000"/>
        </w:rPr>
        <w:lastRenderedPageBreak/>
        <w:t>Affirmation of Accuracy</w:t>
      </w:r>
    </w:p>
    <w:p w14:paraId="7068F1BB" w14:textId="77777777" w:rsidR="008910AA" w:rsidRPr="009A5185" w:rsidRDefault="008910AA">
      <w:pPr>
        <w:rPr>
          <w:rFonts w:cs="Arial"/>
          <w:snapToGrid w:val="0"/>
          <w:color w:val="000000"/>
        </w:rPr>
      </w:pPr>
    </w:p>
    <w:p w14:paraId="050E990F" w14:textId="0ECBA811" w:rsidR="00912FBC" w:rsidRPr="006D5153" w:rsidRDefault="00912FBC" w:rsidP="00912FBC">
      <w:pPr>
        <w:rPr>
          <w:rFonts w:cs="Arial"/>
          <w:color w:val="000000"/>
        </w:rPr>
      </w:pPr>
      <w:r w:rsidRPr="006D5153">
        <w:rPr>
          <w:rFonts w:cs="Arial"/>
          <w:color w:val="000000"/>
        </w:rPr>
        <w:t>As the hospital CEO or as an employee of the hospital to whom the hospital CEO has delegated responsibility, I have reviewed this information pertainin</w:t>
      </w:r>
      <w:r w:rsidR="00925916" w:rsidRPr="006D5153">
        <w:rPr>
          <w:rFonts w:cs="Arial"/>
          <w:color w:val="000000"/>
        </w:rPr>
        <w:t>g to the Pediatric Care</w:t>
      </w:r>
      <w:r w:rsidRPr="006D5153">
        <w:rPr>
          <w:rFonts w:cs="Arial"/>
          <w:color w:val="000000"/>
        </w:rPr>
        <w:t xml:space="preserve"> Section at our hospital, and I hereby </w:t>
      </w:r>
      <w:r w:rsidR="00F04B47">
        <w:rPr>
          <w:rFonts w:cs="Arial"/>
          <w:color w:val="000000"/>
        </w:rPr>
        <w:t>affirm</w:t>
      </w:r>
      <w:r w:rsidRPr="006D5153">
        <w:rPr>
          <w:rFonts w:cs="Arial"/>
          <w:color w:val="000000"/>
        </w:rPr>
        <w:t xml:space="preserve"> that this information is true, accurate, and reflect</w:t>
      </w:r>
      <w:r w:rsidR="00B7608D" w:rsidRPr="006D5153">
        <w:rPr>
          <w:rFonts w:cs="Arial"/>
          <w:color w:val="000000"/>
        </w:rPr>
        <w:t>s</w:t>
      </w:r>
      <w:r w:rsidRPr="006D5153">
        <w:rPr>
          <w:rFonts w:cs="Arial"/>
          <w:color w:val="000000"/>
        </w:rPr>
        <w:t xml:space="preserve"> the current, normal operating circumstances at our hospital. I am authorized to make this </w:t>
      </w:r>
      <w:r w:rsidR="00F04B47">
        <w:rPr>
          <w:rFonts w:cs="Arial"/>
          <w:color w:val="000000"/>
        </w:rPr>
        <w:t>affirmation</w:t>
      </w:r>
      <w:r w:rsidRPr="006D5153">
        <w:rPr>
          <w:rFonts w:cs="Arial"/>
          <w:color w:val="000000"/>
        </w:rPr>
        <w:t xml:space="preserve"> on behalf of our hospital. </w:t>
      </w:r>
    </w:p>
    <w:p w14:paraId="1C128D53" w14:textId="77777777" w:rsidR="00912FBC" w:rsidRPr="006D5153" w:rsidRDefault="00912FBC" w:rsidP="00912FBC">
      <w:pPr>
        <w:rPr>
          <w:rFonts w:cs="Arial"/>
          <w:color w:val="000000"/>
        </w:rPr>
      </w:pPr>
    </w:p>
    <w:p w14:paraId="4C12A68B" w14:textId="77777777" w:rsidR="00E71283" w:rsidRPr="009A5185" w:rsidRDefault="00E71283" w:rsidP="00E71283">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4A550820" w14:textId="77777777" w:rsidR="00E71283" w:rsidRPr="009A5185" w:rsidRDefault="00E71283">
      <w:pPr>
        <w:rPr>
          <w:rFonts w:cs="Arial"/>
          <w:snapToGrid w:val="0"/>
          <w:color w:val="000000"/>
        </w:rPr>
      </w:pPr>
    </w:p>
    <w:p w14:paraId="6E8899D3" w14:textId="77777777" w:rsidR="00AE4409" w:rsidRPr="009A5185" w:rsidRDefault="00AE4409">
      <w:pPr>
        <w:rPr>
          <w:rFonts w:cs="Arial"/>
          <w:snapToGrid w:val="0"/>
          <w:color w:val="000000"/>
        </w:rPr>
      </w:pPr>
    </w:p>
    <w:p w14:paraId="098234C2" w14:textId="77777777" w:rsidR="008910AA" w:rsidRPr="009A5185" w:rsidRDefault="008910AA">
      <w:pPr>
        <w:rPr>
          <w:rFonts w:cs="Arial"/>
          <w:snapToGrid w:val="0"/>
          <w:color w:val="000000"/>
        </w:rPr>
      </w:pPr>
      <w:r w:rsidRPr="009A5185">
        <w:rPr>
          <w:rFonts w:cs="Arial"/>
          <w:snapToGrid w:val="0"/>
          <w:color w:val="000000"/>
        </w:rPr>
        <w:t>Affirmed by _____________________, the hospital’s ___________________________,</w:t>
      </w:r>
    </w:p>
    <w:p w14:paraId="632EA8C0" w14:textId="77777777" w:rsidR="008A631A" w:rsidRPr="009A5185" w:rsidRDefault="008A631A" w:rsidP="008A631A">
      <w:pPr>
        <w:pStyle w:val="BodyText2"/>
        <w:spacing w:line="240" w:lineRule="exact"/>
        <w:rPr>
          <w:rFonts w:cs="Arial"/>
        </w:rPr>
      </w:pPr>
      <w:r w:rsidRPr="009A5185">
        <w:rPr>
          <w:rFonts w:cs="Arial"/>
        </w:rPr>
        <w:tab/>
        <w:t xml:space="preserve"> </w:t>
      </w:r>
      <w:r>
        <w:rPr>
          <w:rFonts w:cs="Arial"/>
        </w:rPr>
        <w:t xml:space="preserve">    </w:t>
      </w:r>
      <w:r w:rsidRPr="009A5185">
        <w:rPr>
          <w:rFonts w:cs="Arial"/>
        </w:rPr>
        <w:t>(</w:t>
      </w:r>
      <w:r>
        <w:rPr>
          <w:rFonts w:cs="Arial"/>
        </w:rPr>
        <w:t xml:space="preserve">first </w:t>
      </w:r>
      <w:r w:rsidRPr="009A5185">
        <w:rPr>
          <w:rFonts w:cs="Arial"/>
        </w:rPr>
        <w:t>name</w:t>
      </w:r>
      <w:r>
        <w:rPr>
          <w:rFonts w:cs="Arial"/>
        </w:rPr>
        <w:t xml:space="preserve"> and last name)</w:t>
      </w:r>
      <w:r>
        <w:rPr>
          <w:rFonts w:cs="Arial"/>
        </w:rPr>
        <w:tab/>
      </w:r>
      <w:r>
        <w:rPr>
          <w:rFonts w:cs="Arial"/>
        </w:rPr>
        <w:tab/>
      </w:r>
      <w:r>
        <w:rPr>
          <w:rFonts w:cs="Arial"/>
        </w:rPr>
        <w:tab/>
      </w:r>
      <w:r>
        <w:rPr>
          <w:rFonts w:cs="Arial"/>
        </w:rPr>
        <w:tab/>
      </w:r>
      <w:r w:rsidRPr="009A5185">
        <w:rPr>
          <w:rFonts w:cs="Arial"/>
        </w:rPr>
        <w:t>(title)</w:t>
      </w:r>
    </w:p>
    <w:p w14:paraId="100CC963" w14:textId="77777777" w:rsidR="008910AA" w:rsidRPr="009A5185" w:rsidRDefault="008910AA">
      <w:pPr>
        <w:rPr>
          <w:rFonts w:cs="Arial"/>
          <w:snapToGrid w:val="0"/>
          <w:color w:val="000000"/>
        </w:rPr>
      </w:pPr>
      <w:r w:rsidRPr="009A5185">
        <w:rPr>
          <w:rFonts w:cs="Arial"/>
          <w:snapToGrid w:val="0"/>
          <w:color w:val="000000"/>
        </w:rPr>
        <w:t>on _______________________.</w:t>
      </w:r>
    </w:p>
    <w:p w14:paraId="55968333" w14:textId="77777777" w:rsidR="006D003E" w:rsidRPr="009A5185" w:rsidRDefault="008910AA" w:rsidP="006D003E">
      <w:pPr>
        <w:pStyle w:val="BodyText2"/>
        <w:rPr>
          <w:rFonts w:cs="Arial"/>
        </w:rPr>
      </w:pPr>
      <w:r w:rsidRPr="009A5185">
        <w:rPr>
          <w:rFonts w:cs="Arial"/>
        </w:rPr>
        <w:t xml:space="preserve">                    (date)</w:t>
      </w:r>
    </w:p>
    <w:p w14:paraId="0A342A20" w14:textId="77777777" w:rsidR="00DD50D1" w:rsidRPr="009A5185" w:rsidRDefault="00DD50D1">
      <w:pPr>
        <w:rPr>
          <w:rFonts w:cs="Arial"/>
          <w:i/>
          <w:color w:val="000000"/>
        </w:rPr>
      </w:pPr>
    </w:p>
    <w:p w14:paraId="0E40C500" w14:textId="77777777" w:rsidR="00602272" w:rsidRPr="009A5185" w:rsidRDefault="00602272">
      <w:pPr>
        <w:rPr>
          <w:rFonts w:cs="Arial"/>
          <w:i/>
          <w:color w:val="000000"/>
        </w:rPr>
      </w:pPr>
      <w:r w:rsidRPr="009A5185">
        <w:rPr>
          <w:rFonts w:cs="Arial"/>
          <w:i/>
          <w:color w:val="000000"/>
        </w:rPr>
        <w:br w:type="page"/>
      </w:r>
    </w:p>
    <w:p w14:paraId="65D24D64" w14:textId="043DEF9B" w:rsidR="00561293" w:rsidRPr="009A5185" w:rsidRDefault="00561293" w:rsidP="00CF5A6E">
      <w:pPr>
        <w:pStyle w:val="Heading2"/>
      </w:pPr>
      <w:bookmarkStart w:id="690" w:name="_Toc383775093"/>
      <w:bookmarkStart w:id="691" w:name="_Toc225877822"/>
      <w:r w:rsidRPr="009A5185">
        <w:lastRenderedPageBreak/>
        <w:t xml:space="preserve">Section </w:t>
      </w:r>
      <w:r w:rsidR="00412884">
        <w:t>8</w:t>
      </w:r>
      <w:r w:rsidRPr="009A5185">
        <w:t>:</w:t>
      </w:r>
      <w:r w:rsidR="002912EE">
        <w:t xml:space="preserve"> </w:t>
      </w:r>
      <w:r w:rsidR="00FF6E8B" w:rsidRPr="009A5185">
        <w:t>Pediatric Care Reference Information</w:t>
      </w:r>
      <w:bookmarkEnd w:id="690"/>
      <w:bookmarkEnd w:id="691"/>
    </w:p>
    <w:p w14:paraId="4FEFDE9A" w14:textId="77777777" w:rsidR="00561293" w:rsidRPr="009A5185" w:rsidRDefault="00561293" w:rsidP="00561293">
      <w:pPr>
        <w:pStyle w:val="BodyText3"/>
        <w:rPr>
          <w:rFonts w:cs="Arial"/>
          <w:color w:val="FF0000"/>
          <w:lang w:eastAsia="ja-JP"/>
        </w:rPr>
      </w:pPr>
    </w:p>
    <w:p w14:paraId="403B9BA7" w14:textId="2FF3F648" w:rsidR="00561293" w:rsidRDefault="00561293" w:rsidP="00AB5B80">
      <w:pPr>
        <w:pStyle w:val="Heading3"/>
      </w:pPr>
      <w:bookmarkStart w:id="692" w:name="_Toc383775094"/>
      <w:bookmarkStart w:id="693" w:name="_Toc225877823"/>
      <w:r w:rsidRPr="009A5185">
        <w:t xml:space="preserve">What’s New in the </w:t>
      </w:r>
      <w:bookmarkEnd w:id="692"/>
      <w:r w:rsidR="00A236B1">
        <w:t>202</w:t>
      </w:r>
      <w:r w:rsidR="00F84D2F">
        <w:t>6</w:t>
      </w:r>
      <w:r w:rsidR="002C1D78" w:rsidRPr="009A5185">
        <w:t xml:space="preserve"> </w:t>
      </w:r>
      <w:r w:rsidR="004F68CC" w:rsidRPr="009A5185">
        <w:t>Survey</w:t>
      </w:r>
      <w:bookmarkEnd w:id="693"/>
    </w:p>
    <w:p w14:paraId="081126CA" w14:textId="77777777" w:rsidR="0017705C" w:rsidRDefault="0017705C" w:rsidP="0017705C">
      <w:pPr>
        <w:rPr>
          <w:lang w:eastAsia="ja-JP"/>
        </w:rPr>
      </w:pPr>
    </w:p>
    <w:p w14:paraId="4E56644A" w14:textId="768F0CCE" w:rsidR="0081720C" w:rsidRDefault="00DA19BE" w:rsidP="0081720C">
      <w:pPr>
        <w:rPr>
          <w:lang w:eastAsia="ja-JP"/>
        </w:rPr>
      </w:pPr>
      <w:r w:rsidRPr="00DA19BE">
        <w:rPr>
          <w:lang w:eastAsia="ja-JP"/>
        </w:rPr>
        <w:t>Leapfrog is adding Section 8: Pediatric Care as a minimum required section for Survey submission for pediatric hospitals ONLY. Pediatric hospitals that respond in Section 8A: Patient Experience that they did not administer the CAHPS Child Hospital Survey and/or in Section 8B: Pediatric Computed Tomography (CT) Radiation Dose that they did not calculate their distribution of CT radiation doses will be publicly reported as "Did Not Measure."</w:t>
      </w:r>
      <w:r>
        <w:rPr>
          <w:lang w:eastAsia="ja-JP"/>
        </w:rPr>
        <w:t xml:space="preserve"> </w:t>
      </w:r>
    </w:p>
    <w:p w14:paraId="1F95EACD" w14:textId="77777777" w:rsidR="00DA19BE" w:rsidRDefault="00DA19BE" w:rsidP="0081720C">
      <w:pPr>
        <w:rPr>
          <w:rFonts w:cstheme="minorHAnsi"/>
        </w:rPr>
      </w:pPr>
    </w:p>
    <w:p w14:paraId="3C0F3CF5" w14:textId="25CCFEDA" w:rsidR="0081720C" w:rsidRPr="0081720C" w:rsidRDefault="0081720C" w:rsidP="00EE1FC8">
      <w:pPr>
        <w:rPr>
          <w:rFonts w:cstheme="minorHAnsi"/>
        </w:rPr>
      </w:pPr>
      <w:r>
        <w:rPr>
          <w:rFonts w:cstheme="minorHAnsi"/>
        </w:rPr>
        <w:t>There are no changes to Section 8A: Patient Experience (CAHPS Child Hospital Survey) or Section 8B: Pediatric CT Radiation Dose.</w:t>
      </w:r>
    </w:p>
    <w:p w14:paraId="0EA3613A" w14:textId="0B609941" w:rsidR="00764EEA" w:rsidRDefault="00764EEA" w:rsidP="00764EEA">
      <w:pPr>
        <w:rPr>
          <w:lang w:eastAsia="ja-JP"/>
        </w:rPr>
      </w:pPr>
    </w:p>
    <w:p w14:paraId="14CB03F2" w14:textId="0BFF7C20" w:rsidR="00561293" w:rsidRPr="009A5185" w:rsidRDefault="001F4B3E" w:rsidP="00AB5B80">
      <w:pPr>
        <w:pStyle w:val="Heading3"/>
      </w:pPr>
      <w:bookmarkStart w:id="694" w:name="_Toc383775095"/>
      <w:bookmarkStart w:id="695" w:name="_Toc225877824"/>
      <w:r>
        <w:t xml:space="preserve">Change Summary </w:t>
      </w:r>
      <w:r w:rsidR="00764EEA">
        <w:t>S</w:t>
      </w:r>
      <w:r>
        <w:t>ince</w:t>
      </w:r>
      <w:r w:rsidR="00561293" w:rsidRPr="009A5185">
        <w:t xml:space="preserve"> Release</w:t>
      </w:r>
      <w:bookmarkEnd w:id="694"/>
      <w:bookmarkEnd w:id="695"/>
    </w:p>
    <w:p w14:paraId="4B630C4B" w14:textId="77777777" w:rsidR="00561293" w:rsidRPr="009A5185" w:rsidRDefault="00561293" w:rsidP="00561293">
      <w:pPr>
        <w:rPr>
          <w:rFonts w:cs="Arial"/>
          <w:lang w:eastAsia="ja-JP"/>
        </w:rPr>
      </w:pPr>
    </w:p>
    <w:p w14:paraId="31DB679F" w14:textId="3D1A2994" w:rsidR="00BB3F27" w:rsidRPr="009A5185" w:rsidRDefault="00BB3F27" w:rsidP="00BB3F27">
      <w:pPr>
        <w:pStyle w:val="BodyText3"/>
        <w:rPr>
          <w:rFonts w:cs="Arial"/>
          <w:lang w:eastAsia="ja-JP"/>
        </w:rPr>
      </w:pPr>
      <w:r w:rsidRPr="009A5185">
        <w:rPr>
          <w:rFonts w:cs="Arial"/>
          <w:lang w:eastAsia="ja-JP"/>
        </w:rPr>
        <w:t>None. If substantive changes a</w:t>
      </w:r>
      <w:r w:rsidR="00C14AFF" w:rsidRPr="009A5185">
        <w:rPr>
          <w:rFonts w:cs="Arial"/>
          <w:lang w:eastAsia="ja-JP"/>
        </w:rPr>
        <w:t>re made to this section of the S</w:t>
      </w:r>
      <w:r w:rsidRPr="009A5185">
        <w:rPr>
          <w:rFonts w:cs="Arial"/>
          <w:lang w:eastAsia="ja-JP"/>
        </w:rPr>
        <w:t xml:space="preserve">urvey after release on April 1, </w:t>
      </w:r>
      <w:r w:rsidR="00A236B1">
        <w:rPr>
          <w:rFonts w:cs="Arial"/>
          <w:lang w:eastAsia="ja-JP"/>
        </w:rPr>
        <w:t>202</w:t>
      </w:r>
      <w:r w:rsidR="00F84D2F">
        <w:rPr>
          <w:rFonts w:cs="Arial"/>
          <w:lang w:eastAsia="ja-JP"/>
        </w:rPr>
        <w:t>6</w:t>
      </w:r>
      <w:r w:rsidRPr="009A5185">
        <w:rPr>
          <w:rFonts w:cs="Arial"/>
          <w:lang w:eastAsia="ja-JP"/>
        </w:rPr>
        <w:t>, they will be documented in this Change Summary section.</w:t>
      </w:r>
    </w:p>
    <w:p w14:paraId="49231873" w14:textId="77777777" w:rsidR="00524C4F" w:rsidRPr="009A5185" w:rsidRDefault="00524C4F" w:rsidP="00BB3F27">
      <w:pPr>
        <w:pStyle w:val="BodyText3"/>
        <w:rPr>
          <w:rFonts w:cs="Arial"/>
          <w:lang w:eastAsia="ja-JP"/>
        </w:rPr>
      </w:pPr>
    </w:p>
    <w:p w14:paraId="626DDDE0" w14:textId="77777777" w:rsidR="00B40585" w:rsidRPr="009A5185" w:rsidRDefault="00B40585" w:rsidP="00B40585">
      <w:pPr>
        <w:rPr>
          <w:rFonts w:cs="Arial"/>
        </w:rPr>
      </w:pPr>
    </w:p>
    <w:p w14:paraId="2BE5BC02" w14:textId="77777777" w:rsidR="00B40585" w:rsidRPr="009A5185" w:rsidRDefault="00B40585">
      <w:pPr>
        <w:rPr>
          <w:rFonts w:cs="Arial"/>
        </w:rPr>
      </w:pPr>
      <w:r w:rsidRPr="009A5185">
        <w:rPr>
          <w:rFonts w:cs="Arial"/>
        </w:rPr>
        <w:br w:type="page"/>
      </w:r>
    </w:p>
    <w:p w14:paraId="276A6634" w14:textId="0E2B50DA" w:rsidR="00244AAA" w:rsidRDefault="007C4627" w:rsidP="00CF5A6E">
      <w:pPr>
        <w:pStyle w:val="Heading2"/>
      </w:pPr>
      <w:bookmarkStart w:id="696" w:name="CAHPSSpecs"/>
      <w:bookmarkStart w:id="697" w:name="_Patient_Experience_(CAHPS"/>
      <w:bookmarkStart w:id="698" w:name="_Toc225877825"/>
      <w:bookmarkEnd w:id="696"/>
      <w:bookmarkEnd w:id="697"/>
      <w:r>
        <w:lastRenderedPageBreak/>
        <w:t xml:space="preserve">Section 8: </w:t>
      </w:r>
      <w:r w:rsidR="00DB33CD">
        <w:t xml:space="preserve">Pediatric Care </w:t>
      </w:r>
      <w:r w:rsidR="00DA4364">
        <w:t xml:space="preserve">Measure </w:t>
      </w:r>
      <w:r w:rsidR="00B92FBB" w:rsidRPr="009A5185">
        <w:t>Specifications</w:t>
      </w:r>
      <w:bookmarkEnd w:id="698"/>
      <w:r w:rsidR="00244AAA" w:rsidRPr="009A5185">
        <w:t xml:space="preserve"> </w:t>
      </w:r>
    </w:p>
    <w:p w14:paraId="761289B5" w14:textId="4039DE10" w:rsidR="00DB33CD" w:rsidRPr="009358B5" w:rsidRDefault="00DB33CD" w:rsidP="00DB33CD">
      <w:pPr>
        <w:rPr>
          <w:sz w:val="16"/>
          <w:szCs w:val="16"/>
          <w:lang w:eastAsia="ja-JP"/>
        </w:rPr>
      </w:pPr>
    </w:p>
    <w:p w14:paraId="0708E8A7" w14:textId="0243BD1B" w:rsidR="00DB33CD" w:rsidRPr="00DB33CD" w:rsidRDefault="00DB33CD" w:rsidP="00AB5B80">
      <w:pPr>
        <w:pStyle w:val="Heading3"/>
      </w:pPr>
      <w:bookmarkStart w:id="699" w:name="_Patient_Experience_(CAHPS_2"/>
      <w:bookmarkStart w:id="700" w:name="_Ref123648253"/>
      <w:bookmarkStart w:id="701" w:name="_Toc225877826"/>
      <w:bookmarkEnd w:id="699"/>
      <w:r w:rsidRPr="009A5185">
        <w:t>Patient Experience (CAHPS Child Hospital Survey)</w:t>
      </w:r>
      <w:bookmarkEnd w:id="700"/>
      <w:r w:rsidR="00B078B4">
        <w:t xml:space="preserve"> Measure Specifications</w:t>
      </w:r>
      <w:bookmarkEnd w:id="701"/>
    </w:p>
    <w:p w14:paraId="37DFABB0" w14:textId="682564A9" w:rsidR="00244AAA" w:rsidRPr="009358B5" w:rsidRDefault="00244AAA">
      <w:pPr>
        <w:rPr>
          <w:rFonts w:cs="Arial"/>
          <w:b/>
          <w:sz w:val="16"/>
          <w:szCs w:val="16"/>
          <w:u w:val="single"/>
          <w:lang w:eastAsia="ja-JP"/>
        </w:rPr>
      </w:pPr>
    </w:p>
    <w:p w14:paraId="02E032E5" w14:textId="14385135" w:rsidR="003B4C3F" w:rsidRPr="009A5185" w:rsidRDefault="003B4C3F" w:rsidP="003B4C3F">
      <w:pPr>
        <w:rPr>
          <w:rFonts w:cs="Arial"/>
          <w:b/>
        </w:rPr>
      </w:pPr>
      <w:r w:rsidRPr="009A5185">
        <w:rPr>
          <w:rFonts w:cs="Arial"/>
          <w:b/>
          <w:color w:val="FF0000"/>
        </w:rPr>
        <w:t>Important Note:</w:t>
      </w:r>
      <w:r w:rsidRPr="009A5185">
        <w:rPr>
          <w:rFonts w:cs="Arial"/>
          <w:b/>
        </w:rPr>
        <w:t xml:space="preserve"> </w:t>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43" w:history="1">
        <w:r w:rsidRPr="009A5185">
          <w:rPr>
            <w:rStyle w:val="Hyperlink"/>
            <w:rFonts w:cs="Arial"/>
          </w:rPr>
          <w:t>Leapfrog’s Multi-Campus Reporting Policy</w:t>
        </w:r>
      </w:hyperlink>
      <w:r w:rsidRPr="009A5185">
        <w:rPr>
          <w:rFonts w:cs="Arial"/>
          <w:snapToGrid w:val="0"/>
        </w:rPr>
        <w:t>.</w:t>
      </w:r>
    </w:p>
    <w:p w14:paraId="7D93990F" w14:textId="77777777" w:rsidR="003B4C3F" w:rsidRPr="00753419" w:rsidRDefault="003B4C3F">
      <w:pPr>
        <w:rPr>
          <w:rFonts w:cs="Arial"/>
          <w:b/>
          <w:sz w:val="16"/>
          <w:szCs w:val="16"/>
          <w:u w:val="single"/>
          <w:lang w:eastAsia="ja-JP"/>
        </w:rPr>
      </w:pPr>
    </w:p>
    <w:tbl>
      <w:tblPr>
        <w:tblStyle w:val="TableGrid"/>
        <w:tblW w:w="0" w:type="auto"/>
        <w:tblLook w:val="04A0" w:firstRow="1" w:lastRow="0" w:firstColumn="1" w:lastColumn="0" w:noHBand="0" w:noVBand="1"/>
      </w:tblPr>
      <w:tblGrid>
        <w:gridCol w:w="9350"/>
      </w:tblGrid>
      <w:tr w:rsidR="00B92FBB" w:rsidRPr="009A5185" w14:paraId="5E160EF9" w14:textId="77777777" w:rsidTr="009358B5">
        <w:trPr>
          <w:trHeight w:val="216"/>
        </w:trPr>
        <w:tc>
          <w:tcPr>
            <w:tcW w:w="9350" w:type="dxa"/>
          </w:tcPr>
          <w:p w14:paraId="1ACA4DC4" w14:textId="77777777" w:rsidR="00B92FBB" w:rsidRPr="009A5185" w:rsidRDefault="00B92FBB">
            <w:pPr>
              <w:rPr>
                <w:rFonts w:cs="Arial"/>
                <w:sz w:val="28"/>
                <w:u w:val="single"/>
                <w:lang w:eastAsia="ja-JP"/>
              </w:rPr>
            </w:pPr>
            <w:r w:rsidRPr="009A5185">
              <w:rPr>
                <w:rFonts w:cs="Arial"/>
                <w:b/>
              </w:rPr>
              <w:t>Source</w:t>
            </w:r>
            <w:r w:rsidR="00617E4B" w:rsidRPr="009A5185">
              <w:rPr>
                <w:rFonts w:cs="Arial"/>
                <w:b/>
              </w:rPr>
              <w:t xml:space="preserve">: </w:t>
            </w:r>
            <w:r w:rsidR="00617E4B" w:rsidRPr="009A5185">
              <w:rPr>
                <w:rFonts w:cs="Arial"/>
              </w:rPr>
              <w:t>Agency for Healthcare Quality and Research (AHRQ) (NQF #2548)</w:t>
            </w:r>
          </w:p>
        </w:tc>
      </w:tr>
      <w:tr w:rsidR="00B92FBB" w:rsidRPr="009A5185" w14:paraId="3F432EEC" w14:textId="77777777" w:rsidTr="00D3457B">
        <w:trPr>
          <w:trHeight w:val="504"/>
        </w:trPr>
        <w:tc>
          <w:tcPr>
            <w:tcW w:w="9350" w:type="dxa"/>
          </w:tcPr>
          <w:p w14:paraId="0CAF61AF" w14:textId="76B246B7" w:rsidR="005A212B" w:rsidRPr="009A5185" w:rsidRDefault="00B92FBB">
            <w:pPr>
              <w:rPr>
                <w:rFonts w:cs="Arial"/>
              </w:rPr>
            </w:pPr>
            <w:r w:rsidRPr="009A5185">
              <w:rPr>
                <w:rFonts w:cs="Arial"/>
                <w:b/>
              </w:rPr>
              <w:t>Reporting Period</w:t>
            </w:r>
            <w:r w:rsidR="00617E4B" w:rsidRPr="009A5185">
              <w:rPr>
                <w:rFonts w:cs="Arial"/>
                <w:b/>
              </w:rPr>
              <w:t xml:space="preserve">: </w:t>
            </w:r>
            <w:r w:rsidR="00AA3C63" w:rsidRPr="00AA3C63">
              <w:rPr>
                <w:rFonts w:cs="Arial"/>
                <w:bCs/>
              </w:rPr>
              <w:t>T</w:t>
            </w:r>
            <w:r w:rsidR="005A212B" w:rsidRPr="009A5185">
              <w:rPr>
                <w:rFonts w:cs="Arial"/>
                <w:snapToGrid w:val="0"/>
              </w:rPr>
              <w:t xml:space="preserve">he latest 12-month period prior to the submission of this section of the Survey. </w:t>
            </w:r>
            <w:r w:rsidR="004F39A3">
              <w:rPr>
                <w:rFonts w:cs="Arial"/>
                <w:snapToGrid w:val="0"/>
              </w:rPr>
              <w:t xml:space="preserve">Hospitals can elect to use either survey return date or discharge date </w:t>
            </w:r>
            <w:r w:rsidR="003A3A49">
              <w:rPr>
                <w:rFonts w:cs="Arial"/>
                <w:snapToGrid w:val="0"/>
              </w:rPr>
              <w:t xml:space="preserve">to pull reports for this measure. </w:t>
            </w:r>
          </w:p>
        </w:tc>
      </w:tr>
      <w:tr w:rsidR="00B92FBB" w:rsidRPr="009A5185" w14:paraId="60927DA1" w14:textId="77777777" w:rsidTr="00753419">
        <w:trPr>
          <w:trHeight w:val="10592"/>
        </w:trPr>
        <w:tc>
          <w:tcPr>
            <w:tcW w:w="9350" w:type="dxa"/>
          </w:tcPr>
          <w:p w14:paraId="0F2998CB" w14:textId="668502BC" w:rsidR="00133AE2" w:rsidRDefault="005A212B" w:rsidP="00133AE2">
            <w:pPr>
              <w:rPr>
                <w:rFonts w:cs="Arial"/>
              </w:rPr>
            </w:pPr>
            <w:r w:rsidRPr="009A5185">
              <w:rPr>
                <w:rFonts w:cs="Arial"/>
              </w:rPr>
              <w:t xml:space="preserve">This section of the </w:t>
            </w:r>
            <w:r w:rsidR="00295138">
              <w:rPr>
                <w:rFonts w:cs="Arial"/>
              </w:rPr>
              <w:t xml:space="preserve">Leapfrog Hospital </w:t>
            </w:r>
            <w:r w:rsidRPr="009A5185">
              <w:rPr>
                <w:rFonts w:cs="Arial"/>
              </w:rPr>
              <w:t xml:space="preserve">Survey asks hospitals who care for pediatric patients about their results from the </w:t>
            </w:r>
            <w:hyperlink r:id="rId444" w:history="1">
              <w:r w:rsidRPr="00D87339">
                <w:rPr>
                  <w:rStyle w:val="Hyperlink"/>
                  <w:rFonts w:cs="Arial"/>
                </w:rPr>
                <w:t>CAHPS</w:t>
              </w:r>
              <w:r w:rsidR="00D51CA8" w:rsidRPr="00D87339">
                <w:rPr>
                  <w:rStyle w:val="Hyperlink"/>
                  <w:rFonts w:cs="Arial"/>
                </w:rPr>
                <w:t xml:space="preserve"> Child Hospital</w:t>
              </w:r>
              <w:r w:rsidRPr="00D87339">
                <w:rPr>
                  <w:rStyle w:val="Hyperlink"/>
                  <w:rFonts w:cs="Arial"/>
                </w:rPr>
                <w:t xml:space="preserve"> Survey</w:t>
              </w:r>
            </w:hyperlink>
            <w:r w:rsidRPr="009A5185">
              <w:rPr>
                <w:rFonts w:cs="Arial"/>
              </w:rPr>
              <w:t xml:space="preserve">. The first several questions are designed to learn more about the current administration of the survey. The last </w:t>
            </w:r>
            <w:r w:rsidR="00411788">
              <w:rPr>
                <w:rFonts w:cs="Arial"/>
              </w:rPr>
              <w:t>five</w:t>
            </w:r>
            <w:r w:rsidRPr="009A5185">
              <w:rPr>
                <w:rFonts w:cs="Arial"/>
              </w:rPr>
              <w:t xml:space="preserve"> questions </w:t>
            </w:r>
            <w:r w:rsidR="00D87339">
              <w:rPr>
                <w:rFonts w:cs="Arial"/>
              </w:rPr>
              <w:t>collect</w:t>
            </w:r>
            <w:r w:rsidRPr="009A5185">
              <w:rPr>
                <w:rFonts w:cs="Arial"/>
              </w:rPr>
              <w:t xml:space="preserve"> the “</w:t>
            </w:r>
            <w:hyperlink w:anchor="Endnote48_TopBox" w:history="1">
              <w:r w:rsidRPr="009A5185">
                <w:rPr>
                  <w:rStyle w:val="Hyperlink"/>
                  <w:rFonts w:cs="Arial"/>
                </w:rPr>
                <w:t>Top Box</w:t>
              </w:r>
            </w:hyperlink>
            <w:r w:rsidRPr="009A5185">
              <w:rPr>
                <w:rFonts w:cs="Arial"/>
              </w:rPr>
              <w:t>”</w:t>
            </w:r>
            <w:bookmarkStart w:id="702" w:name="_Ref534391669"/>
            <w:r w:rsidR="000F0582">
              <w:rPr>
                <w:rFonts w:ascii="ZWAdobeF" w:hAnsi="ZWAdobeF" w:cs="ZWAdobeF"/>
                <w:sz w:val="2"/>
                <w:szCs w:val="2"/>
              </w:rPr>
              <w:t>49F</w:t>
            </w:r>
            <w:r w:rsidR="00BF053F">
              <w:rPr>
                <w:rFonts w:ascii="ZWAdobeF" w:hAnsi="ZWAdobeF" w:cs="ZWAdobeF"/>
                <w:sz w:val="2"/>
                <w:szCs w:val="2"/>
              </w:rPr>
              <w:t>51F</w:t>
            </w:r>
            <w:r w:rsidR="004C7557">
              <w:rPr>
                <w:rFonts w:ascii="ZWAdobeF" w:hAnsi="ZWAdobeF" w:cs="ZWAdobeF"/>
                <w:sz w:val="2"/>
                <w:szCs w:val="2"/>
              </w:rPr>
              <w:t>51F</w:t>
            </w:r>
            <w:r w:rsidR="00C2087D">
              <w:rPr>
                <w:rFonts w:ascii="ZWAdobeF" w:hAnsi="ZWAdobeF" w:cs="ZWAdobeF"/>
                <w:sz w:val="2"/>
                <w:szCs w:val="2"/>
              </w:rPr>
              <w:t>50F</w:t>
            </w:r>
            <w:r w:rsidR="00B55C41">
              <w:rPr>
                <w:rFonts w:ascii="ZWAdobeF" w:hAnsi="ZWAdobeF" w:cs="ZWAdobeF"/>
                <w:sz w:val="2"/>
                <w:szCs w:val="2"/>
              </w:rPr>
              <w:t>50F</w:t>
            </w:r>
            <w:r w:rsidR="006255A6">
              <w:rPr>
                <w:rFonts w:ascii="ZWAdobeF" w:hAnsi="ZWAdobeF" w:cs="ZWAdobeF"/>
                <w:sz w:val="2"/>
                <w:szCs w:val="2"/>
              </w:rPr>
              <w:t>50F</w:t>
            </w:r>
            <w:r w:rsidR="00E453C7">
              <w:rPr>
                <w:rFonts w:ascii="ZWAdobeF" w:hAnsi="ZWAdobeF" w:cs="ZWAdobeF"/>
                <w:sz w:val="2"/>
                <w:szCs w:val="2"/>
              </w:rPr>
              <w:t>50F</w:t>
            </w:r>
            <w:r w:rsidR="00953060">
              <w:rPr>
                <w:rFonts w:ascii="ZWAdobeF" w:hAnsi="ZWAdobeF" w:cs="ZWAdobeF"/>
                <w:sz w:val="2"/>
                <w:szCs w:val="2"/>
              </w:rPr>
              <w:t>50F</w:t>
            </w:r>
            <w:r w:rsidR="00DD04D6">
              <w:rPr>
                <w:rFonts w:ascii="ZWAdobeF" w:hAnsi="ZWAdobeF" w:cs="ZWAdobeF"/>
                <w:sz w:val="2"/>
                <w:szCs w:val="2"/>
              </w:rPr>
              <w:t>50F</w:t>
            </w:r>
            <w:r w:rsidRPr="009A5185">
              <w:rPr>
                <w:rStyle w:val="EndnoteReference"/>
                <w:rFonts w:cs="Arial"/>
              </w:rPr>
              <w:endnoteReference w:id="52"/>
            </w:r>
            <w:bookmarkEnd w:id="702"/>
            <w:r w:rsidRPr="009A5185">
              <w:rPr>
                <w:rFonts w:cs="Arial"/>
              </w:rPr>
              <w:t xml:space="preserve"> score for each of the </w:t>
            </w:r>
            <w:r w:rsidR="00133AE2">
              <w:rPr>
                <w:rFonts w:cs="Arial"/>
              </w:rPr>
              <w:t>following five domains:</w:t>
            </w:r>
          </w:p>
          <w:p w14:paraId="49D76289" w14:textId="35E2AC25" w:rsidR="00133AE2" w:rsidRPr="0093731B" w:rsidRDefault="00133AE2" w:rsidP="00AD309C">
            <w:pPr>
              <w:pStyle w:val="ListParagraph"/>
              <w:numPr>
                <w:ilvl w:val="0"/>
                <w:numId w:val="146"/>
              </w:numPr>
              <w:rPr>
                <w:rFonts w:cs="Arial"/>
              </w:rPr>
            </w:pPr>
            <w:r w:rsidRPr="0093731B">
              <w:rPr>
                <w:rFonts w:cs="Arial"/>
              </w:rPr>
              <w:t xml:space="preserve">Communication with Parent – Communication about your child’s medicines </w:t>
            </w:r>
          </w:p>
          <w:p w14:paraId="66EC03D9" w14:textId="77777777" w:rsidR="00133AE2" w:rsidRPr="0093731B" w:rsidRDefault="00133AE2" w:rsidP="00AD309C">
            <w:pPr>
              <w:pStyle w:val="ListParagraph"/>
              <w:numPr>
                <w:ilvl w:val="0"/>
                <w:numId w:val="146"/>
              </w:numPr>
              <w:rPr>
                <w:rFonts w:cs="Arial"/>
              </w:rPr>
            </w:pPr>
            <w:r w:rsidRPr="0093731B">
              <w:rPr>
                <w:rFonts w:cs="Arial"/>
              </w:rPr>
              <w:t xml:space="preserve">Communication with Parent – Keeping you informed about your child’s care </w:t>
            </w:r>
          </w:p>
          <w:p w14:paraId="075C931F" w14:textId="77777777" w:rsidR="00133AE2" w:rsidRPr="0093731B" w:rsidRDefault="00133AE2" w:rsidP="00AD309C">
            <w:pPr>
              <w:pStyle w:val="ListParagraph"/>
              <w:numPr>
                <w:ilvl w:val="0"/>
                <w:numId w:val="146"/>
              </w:numPr>
              <w:rPr>
                <w:rFonts w:cs="Arial"/>
              </w:rPr>
            </w:pPr>
            <w:r w:rsidRPr="0093731B">
              <w:rPr>
                <w:rFonts w:cs="Arial"/>
              </w:rPr>
              <w:t xml:space="preserve">Communication with Child – How well nurses communicate with your child </w:t>
            </w:r>
          </w:p>
          <w:p w14:paraId="0584C656" w14:textId="77777777" w:rsidR="00133AE2" w:rsidRPr="0093731B" w:rsidRDefault="00133AE2" w:rsidP="00AD309C">
            <w:pPr>
              <w:pStyle w:val="ListParagraph"/>
              <w:numPr>
                <w:ilvl w:val="0"/>
                <w:numId w:val="146"/>
              </w:numPr>
              <w:rPr>
                <w:rFonts w:cs="Arial"/>
              </w:rPr>
            </w:pPr>
            <w:r w:rsidRPr="0093731B">
              <w:rPr>
                <w:rFonts w:cs="Arial"/>
              </w:rPr>
              <w:t xml:space="preserve">Communication with Child – How well doctors communicate with your child </w:t>
            </w:r>
          </w:p>
          <w:p w14:paraId="51B97BF3" w14:textId="77777777" w:rsidR="00133AE2" w:rsidRPr="0093731B" w:rsidRDefault="00133AE2" w:rsidP="00AD309C">
            <w:pPr>
              <w:pStyle w:val="ListParagraph"/>
              <w:numPr>
                <w:ilvl w:val="0"/>
                <w:numId w:val="146"/>
              </w:numPr>
              <w:rPr>
                <w:rFonts w:cs="Arial"/>
              </w:rPr>
            </w:pPr>
            <w:r w:rsidRPr="0093731B">
              <w:rPr>
                <w:rFonts w:cs="Arial"/>
              </w:rPr>
              <w:t>Attention to Safety and Comfort – Preventing mistakes and helping you report concerns</w:t>
            </w:r>
          </w:p>
          <w:p w14:paraId="266E9309" w14:textId="77777777" w:rsidR="005A212B" w:rsidRPr="004F63C1" w:rsidRDefault="005A212B">
            <w:pPr>
              <w:rPr>
                <w:rFonts w:cs="Arial"/>
                <w:b/>
                <w:sz w:val="16"/>
                <w:szCs w:val="16"/>
              </w:rPr>
            </w:pPr>
          </w:p>
          <w:p w14:paraId="7B0B8D4B" w14:textId="6E083EB5" w:rsidR="005A212B" w:rsidRDefault="005A212B" w:rsidP="005A212B">
            <w:pPr>
              <w:rPr>
                <w:rFonts w:cs="Arial"/>
              </w:rPr>
            </w:pPr>
            <w:r w:rsidRPr="009A5185">
              <w:rPr>
                <w:rFonts w:cs="Arial"/>
              </w:rPr>
              <w:t>Hospitals using Press Ganey</w:t>
            </w:r>
            <w:r w:rsidR="00EA04B2">
              <w:rPr>
                <w:rFonts w:cs="Arial"/>
              </w:rPr>
              <w:t>,</w:t>
            </w:r>
            <w:r w:rsidRPr="009A5185">
              <w:rPr>
                <w:rFonts w:cs="Arial"/>
              </w:rPr>
              <w:t xml:space="preserve"> NRC</w:t>
            </w:r>
            <w:r w:rsidR="00EA04B2">
              <w:rPr>
                <w:rFonts w:cs="Arial"/>
              </w:rPr>
              <w:t>, or PRC</w:t>
            </w:r>
            <w:r w:rsidRPr="009A5185">
              <w:rPr>
                <w:rFonts w:cs="Arial"/>
              </w:rPr>
              <w:t xml:space="preserve"> to administer the </w:t>
            </w:r>
            <w:hyperlink r:id="rId445" w:history="1">
              <w:r w:rsidRPr="00D87339">
                <w:rPr>
                  <w:rStyle w:val="Hyperlink"/>
                  <w:rFonts w:cs="Arial"/>
                </w:rPr>
                <w:t>CAHPS Child Hospital Survey</w:t>
              </w:r>
            </w:hyperlink>
            <w:r w:rsidRPr="009A5185">
              <w:rPr>
                <w:rFonts w:cs="Arial"/>
              </w:rPr>
              <w:t xml:space="preserve"> can use the AHRQ CAHPS Crosswalk </w:t>
            </w:r>
            <w:r w:rsidR="000446FA">
              <w:rPr>
                <w:rFonts w:cs="Arial"/>
              </w:rPr>
              <w:t>below</w:t>
            </w:r>
            <w:r w:rsidR="00D87339">
              <w:rPr>
                <w:rFonts w:cs="Arial"/>
              </w:rPr>
              <w:t xml:space="preserve"> to ensure they are reporting on the correct domains</w:t>
            </w:r>
            <w:r w:rsidR="000446FA">
              <w:rPr>
                <w:rFonts w:cs="Arial"/>
              </w:rPr>
              <w:t>. The Cro</w:t>
            </w:r>
            <w:r w:rsidRPr="009A5185">
              <w:rPr>
                <w:rFonts w:cs="Arial"/>
              </w:rPr>
              <w:t>sswalk is designed to help translate the standard vendor report to the AHRQ Domains used in questions #</w:t>
            </w:r>
            <w:r w:rsidR="00411788">
              <w:rPr>
                <w:rFonts w:cs="Arial"/>
              </w:rPr>
              <w:t>8-12</w:t>
            </w:r>
            <w:r w:rsidR="00295138">
              <w:rPr>
                <w:rFonts w:cs="Arial"/>
              </w:rPr>
              <w:t xml:space="preserve"> of the Leapfrog Hospital Survey</w:t>
            </w:r>
            <w:r w:rsidRPr="009A5185">
              <w:rPr>
                <w:rFonts w:cs="Arial"/>
              </w:rPr>
              <w:t>.</w:t>
            </w:r>
          </w:p>
          <w:p w14:paraId="7CA863E8" w14:textId="77777777" w:rsidR="005033A6" w:rsidRPr="004F63C1" w:rsidRDefault="005033A6" w:rsidP="005A212B">
            <w:pPr>
              <w:rPr>
                <w:rFonts w:cs="Arial"/>
                <w:sz w:val="16"/>
                <w:szCs w:val="16"/>
              </w:rPr>
            </w:pPr>
          </w:p>
          <w:p w14:paraId="0ADC63A2" w14:textId="27F12D19" w:rsidR="00411788" w:rsidRDefault="00D87339" w:rsidP="00D87339">
            <w:pPr>
              <w:rPr>
                <w:rFonts w:cs="Arial"/>
              </w:rPr>
            </w:pPr>
            <w:r w:rsidRPr="00D87339">
              <w:rPr>
                <w:rFonts w:cs="Arial"/>
              </w:rPr>
              <w:t>Hospitals</w:t>
            </w:r>
            <w:r>
              <w:rPr>
                <w:rFonts w:cs="Arial"/>
              </w:rPr>
              <w:t xml:space="preserve"> that opt to truncate the </w:t>
            </w:r>
            <w:hyperlink r:id="rId446" w:history="1">
              <w:r w:rsidRPr="00D87339">
                <w:rPr>
                  <w:rStyle w:val="Hyperlink"/>
                  <w:rFonts w:cs="Arial"/>
                </w:rPr>
                <w:t>CAHPS Child Hospital Survey</w:t>
              </w:r>
            </w:hyperlink>
            <w:r w:rsidRPr="00D87339">
              <w:rPr>
                <w:rFonts w:cs="Arial"/>
              </w:rPr>
              <w:t xml:space="preserve"> after question 40, which is the last question </w:t>
            </w:r>
            <w:r>
              <w:rPr>
                <w:rFonts w:cs="Arial"/>
              </w:rPr>
              <w:t xml:space="preserve">required to report on the </w:t>
            </w:r>
            <w:r w:rsidR="00411788">
              <w:rPr>
                <w:rFonts w:cs="Arial"/>
              </w:rPr>
              <w:t>five</w:t>
            </w:r>
            <w:r>
              <w:rPr>
                <w:rFonts w:cs="Arial"/>
              </w:rPr>
              <w:t xml:space="preserve"> domains listed above, must ensure that all </w:t>
            </w:r>
            <w:r w:rsidRPr="00D87339">
              <w:rPr>
                <w:rFonts w:cs="Arial"/>
              </w:rPr>
              <w:t>questions prior to and including question 40</w:t>
            </w:r>
            <w:r>
              <w:rPr>
                <w:rFonts w:cs="Arial"/>
              </w:rPr>
              <w:t xml:space="preserve"> </w:t>
            </w:r>
            <w:r w:rsidRPr="00D87339">
              <w:rPr>
                <w:rFonts w:cs="Arial"/>
              </w:rPr>
              <w:t>remain in order and unaltered</w:t>
            </w:r>
            <w:r>
              <w:rPr>
                <w:rFonts w:cs="Arial"/>
              </w:rPr>
              <w:t xml:space="preserve">. </w:t>
            </w:r>
            <w:r w:rsidR="00295138">
              <w:rPr>
                <w:rFonts w:cs="Arial"/>
              </w:rPr>
              <w:t>In addition, hospitals opting to truncate the survey must retain questions 50-</w:t>
            </w:r>
            <w:r w:rsidR="00411788">
              <w:rPr>
                <w:rFonts w:cs="Arial"/>
              </w:rPr>
              <w:t>54 and 56-57</w:t>
            </w:r>
            <w:r w:rsidR="00295138">
              <w:rPr>
                <w:rFonts w:cs="Arial"/>
              </w:rPr>
              <w:t xml:space="preserve"> (</w:t>
            </w:r>
            <w:r w:rsidR="00295138" w:rsidRPr="00D87339">
              <w:rPr>
                <w:rFonts w:cs="Arial"/>
              </w:rPr>
              <w:t>in order and unaltered</w:t>
            </w:r>
            <w:r w:rsidR="00295138">
              <w:rPr>
                <w:rFonts w:cs="Arial"/>
              </w:rPr>
              <w:t xml:space="preserve">) which ask for the child and survey participant’s demographic information. </w:t>
            </w:r>
            <w:r w:rsidR="00411788">
              <w:rPr>
                <w:rFonts w:cs="Arial"/>
              </w:rPr>
              <w:t xml:space="preserve">Note: Hospitals that collect information captured in questions 51-52 administratively are not required to retained them. </w:t>
            </w:r>
          </w:p>
          <w:p w14:paraId="1BD583A2" w14:textId="77777777" w:rsidR="00411788" w:rsidRPr="004F63C1" w:rsidRDefault="00411788" w:rsidP="00D87339">
            <w:pPr>
              <w:rPr>
                <w:rFonts w:cs="Arial"/>
                <w:sz w:val="16"/>
                <w:szCs w:val="16"/>
              </w:rPr>
            </w:pPr>
          </w:p>
          <w:p w14:paraId="580DE2FE" w14:textId="60AB06F4" w:rsidR="00D87339" w:rsidRPr="00D87339" w:rsidRDefault="00D87339" w:rsidP="00D87339">
            <w:pPr>
              <w:rPr>
                <w:rFonts w:cs="Arial"/>
              </w:rPr>
            </w:pPr>
            <w:r w:rsidRPr="00D87339">
              <w:rPr>
                <w:rFonts w:cs="Arial"/>
              </w:rPr>
              <w:t xml:space="preserve">For more information </w:t>
            </w:r>
            <w:r>
              <w:rPr>
                <w:rFonts w:cs="Arial"/>
              </w:rPr>
              <w:t>regarding</w:t>
            </w:r>
            <w:r w:rsidRPr="00D87339">
              <w:rPr>
                <w:rFonts w:cs="Arial"/>
              </w:rPr>
              <w:t xml:space="preserve"> which questions from the CAHPS Child Hospital Survey correspond </w:t>
            </w:r>
            <w:r>
              <w:rPr>
                <w:rFonts w:cs="Arial"/>
              </w:rPr>
              <w:t>to</w:t>
            </w:r>
            <w:r w:rsidRPr="00D87339">
              <w:rPr>
                <w:rFonts w:cs="Arial"/>
              </w:rPr>
              <w:t xml:space="preserve"> the </w:t>
            </w:r>
            <w:r w:rsidR="00411788">
              <w:rPr>
                <w:rFonts w:cs="Arial"/>
              </w:rPr>
              <w:t>five</w:t>
            </w:r>
            <w:r>
              <w:rPr>
                <w:rFonts w:cs="Arial"/>
              </w:rPr>
              <w:t xml:space="preserve"> </w:t>
            </w:r>
            <w:r w:rsidRPr="00D87339">
              <w:rPr>
                <w:rFonts w:cs="Arial"/>
              </w:rPr>
              <w:t xml:space="preserve">domains </w:t>
            </w:r>
            <w:r>
              <w:rPr>
                <w:rFonts w:cs="Arial"/>
              </w:rPr>
              <w:t xml:space="preserve">listed above, visit </w:t>
            </w:r>
            <w:hyperlink r:id="rId447" w:history="1">
              <w:r w:rsidR="00654BBA" w:rsidRPr="007F5FDB">
                <w:rPr>
                  <w:rStyle w:val="Hyperlink"/>
                  <w:rFonts w:cs="Arial"/>
                </w:rPr>
                <w:t>https://www.ahrq.gov/cahps/surveys-guidance/hp/about/child-survey-measures.html</w:t>
              </w:r>
            </w:hyperlink>
            <w:r w:rsidRPr="00D87339">
              <w:rPr>
                <w:rFonts w:cs="Arial"/>
              </w:rPr>
              <w:t xml:space="preserve">. </w:t>
            </w:r>
          </w:p>
          <w:p w14:paraId="7D4FED1B" w14:textId="77777777" w:rsidR="006F55E1" w:rsidRPr="004F63C1" w:rsidRDefault="006F55E1" w:rsidP="000446FA">
            <w:pPr>
              <w:rPr>
                <w:rFonts w:cs="Arial"/>
                <w:sz w:val="16"/>
                <w:szCs w:val="16"/>
              </w:rPr>
            </w:pPr>
          </w:p>
          <w:p w14:paraId="22DECC5C" w14:textId="53B31CC7" w:rsidR="000446FA" w:rsidRDefault="000446FA" w:rsidP="000446FA">
            <w:pPr>
              <w:rPr>
                <w:rFonts w:cs="Arial"/>
              </w:rPr>
            </w:pPr>
            <w:r w:rsidRPr="00D22664">
              <w:rPr>
                <w:rFonts w:cs="Arial"/>
                <w:b/>
                <w:bCs/>
              </w:rPr>
              <w:t>CAHPS</w:t>
            </w:r>
            <w:r w:rsidR="00D87339">
              <w:rPr>
                <w:rFonts w:cs="Arial"/>
                <w:b/>
                <w:bCs/>
              </w:rPr>
              <w:t xml:space="preserve"> Child Hospital Survey Domain</w:t>
            </w:r>
            <w:r w:rsidRPr="00D22664">
              <w:rPr>
                <w:rFonts w:cs="Arial"/>
                <w:b/>
                <w:bCs/>
              </w:rPr>
              <w:t xml:space="preserve"> Crosswalk</w:t>
            </w:r>
          </w:p>
          <w:p w14:paraId="77163AD0" w14:textId="56F38A50" w:rsidR="000446FA" w:rsidRPr="00753419" w:rsidRDefault="000446FA" w:rsidP="000446FA">
            <w:pPr>
              <w:rPr>
                <w:rFonts w:cs="Arial"/>
                <w:sz w:val="16"/>
                <w:szCs w:val="16"/>
              </w:rPr>
            </w:pPr>
          </w:p>
          <w:tbl>
            <w:tblPr>
              <w:tblStyle w:val="TableColumns3"/>
              <w:tblW w:w="0" w:type="auto"/>
              <w:tblBorders>
                <w:insideH w:val="single" w:sz="6" w:space="0" w:color="000080"/>
              </w:tblBorders>
              <w:tblLook w:val="04A0" w:firstRow="1" w:lastRow="0" w:firstColumn="1" w:lastColumn="0" w:noHBand="0" w:noVBand="1"/>
            </w:tblPr>
            <w:tblGrid>
              <w:gridCol w:w="3024"/>
              <w:gridCol w:w="1728"/>
              <w:gridCol w:w="2359"/>
              <w:gridCol w:w="2007"/>
            </w:tblGrid>
            <w:tr w:rsidR="00B37B7A" w:rsidRPr="00D22664" w14:paraId="4AFD608D" w14:textId="77777777" w:rsidTr="00753419">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024" w:type="dxa"/>
                  <w:shd w:val="clear" w:color="auto" w:fill="213468"/>
                  <w:vAlign w:val="center"/>
                </w:tcPr>
                <w:p w14:paraId="2D264FAA" w14:textId="77777777" w:rsidR="00B37B7A" w:rsidRPr="00D87339" w:rsidRDefault="00B37B7A" w:rsidP="00411788">
                  <w:pPr>
                    <w:rPr>
                      <w:rFonts w:cs="Arial"/>
                      <w:b/>
                      <w:bCs/>
                    </w:rPr>
                  </w:pPr>
                  <w:r w:rsidRPr="00D87339">
                    <w:rPr>
                      <w:rFonts w:cs="Arial"/>
                      <w:b/>
                      <w:bCs/>
                    </w:rPr>
                    <w:t>AHRQ Domain Name</w:t>
                  </w:r>
                </w:p>
              </w:tc>
              <w:tc>
                <w:tcPr>
                  <w:tcW w:w="1665" w:type="dxa"/>
                  <w:shd w:val="clear" w:color="auto" w:fill="213468"/>
                  <w:vAlign w:val="center"/>
                </w:tcPr>
                <w:p w14:paraId="31CB0B05" w14:textId="77777777" w:rsidR="00B37B7A" w:rsidRPr="00D87339" w:rsidRDefault="00B37B7A" w:rsidP="00411788">
                  <w:pPr>
                    <w:cnfStyle w:val="100000000000" w:firstRow="1" w:lastRow="0" w:firstColumn="0" w:lastColumn="0" w:oddVBand="0" w:evenVBand="0" w:oddHBand="0" w:evenHBand="0" w:firstRowFirstColumn="0" w:firstRowLastColumn="0" w:lastRowFirstColumn="0" w:lastRowLastColumn="0"/>
                    <w:rPr>
                      <w:rFonts w:cs="Arial"/>
                    </w:rPr>
                  </w:pPr>
                  <w:r w:rsidRPr="00D87339">
                    <w:rPr>
                      <w:rFonts w:cs="Arial"/>
                    </w:rPr>
                    <w:t>Press Ganey Domain Name</w:t>
                  </w:r>
                </w:p>
              </w:tc>
              <w:tc>
                <w:tcPr>
                  <w:tcW w:w="0" w:type="auto"/>
                  <w:shd w:val="clear" w:color="auto" w:fill="213468"/>
                  <w:vAlign w:val="center"/>
                </w:tcPr>
                <w:p w14:paraId="5572859F" w14:textId="77777777" w:rsidR="00B37B7A" w:rsidRPr="00D87339" w:rsidRDefault="00B37B7A" w:rsidP="00411788">
                  <w:pPr>
                    <w:cnfStyle w:val="100000000000" w:firstRow="1" w:lastRow="0" w:firstColumn="0" w:lastColumn="0" w:oddVBand="0" w:evenVBand="0" w:oddHBand="0" w:evenHBand="0" w:firstRowFirstColumn="0" w:firstRowLastColumn="0" w:lastRowFirstColumn="0" w:lastRowLastColumn="0"/>
                    <w:rPr>
                      <w:rFonts w:cs="Arial"/>
                    </w:rPr>
                  </w:pPr>
                  <w:r w:rsidRPr="00D87339">
                    <w:rPr>
                      <w:rFonts w:cs="Arial"/>
                    </w:rPr>
                    <w:t>NRC Domain Name</w:t>
                  </w:r>
                </w:p>
              </w:tc>
              <w:tc>
                <w:tcPr>
                  <w:tcW w:w="0" w:type="auto"/>
                  <w:shd w:val="clear" w:color="auto" w:fill="213468"/>
                  <w:vAlign w:val="center"/>
                </w:tcPr>
                <w:p w14:paraId="257D178E" w14:textId="77777777" w:rsidR="00B37B7A" w:rsidRPr="00D87339" w:rsidRDefault="00B37B7A" w:rsidP="00411788">
                  <w:pPr>
                    <w:cnfStyle w:val="100000000000" w:firstRow="1" w:lastRow="0" w:firstColumn="0" w:lastColumn="0" w:oddVBand="0" w:evenVBand="0" w:oddHBand="0" w:evenHBand="0" w:firstRowFirstColumn="0" w:firstRowLastColumn="0" w:lastRowFirstColumn="0" w:lastRowLastColumn="0"/>
                    <w:rPr>
                      <w:rFonts w:cs="Arial"/>
                    </w:rPr>
                  </w:pPr>
                  <w:r w:rsidRPr="00D87339">
                    <w:rPr>
                      <w:rFonts w:cs="Arial"/>
                    </w:rPr>
                    <w:t>PRC Domain Name</w:t>
                  </w:r>
                </w:p>
              </w:tc>
            </w:tr>
            <w:tr w:rsidR="00B37B7A" w:rsidRPr="00D22664" w14:paraId="6A2B629B" w14:textId="77777777" w:rsidTr="00753419">
              <w:trPr>
                <w:trHeight w:val="586"/>
              </w:trPr>
              <w:tc>
                <w:tcPr>
                  <w:cnfStyle w:val="001000000000" w:firstRow="0" w:lastRow="0" w:firstColumn="1" w:lastColumn="0" w:oddVBand="0" w:evenVBand="0" w:oddHBand="0" w:evenHBand="0" w:firstRowFirstColumn="0" w:firstRowLastColumn="0" w:lastRowFirstColumn="0" w:lastRowLastColumn="0"/>
                  <w:tcW w:w="3024" w:type="dxa"/>
                </w:tcPr>
                <w:p w14:paraId="756DE360" w14:textId="77777777" w:rsidR="00B37B7A" w:rsidRPr="00D87339" w:rsidRDefault="00B37B7A" w:rsidP="00B37B7A">
                  <w:pPr>
                    <w:rPr>
                      <w:rFonts w:cs="Arial"/>
                      <w:b/>
                      <w:color w:val="000000"/>
                    </w:rPr>
                  </w:pPr>
                  <w:r w:rsidRPr="00D87339">
                    <w:rPr>
                      <w:rFonts w:cs="Arial"/>
                      <w:color w:val="000000"/>
                    </w:rPr>
                    <w:t>Communication with Parent – Communication about your child’s medicines</w:t>
                  </w:r>
                </w:p>
              </w:tc>
              <w:tc>
                <w:tcPr>
                  <w:tcW w:w="1665" w:type="dxa"/>
                </w:tcPr>
                <w:p w14:paraId="13B8D822"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Communication Child's Med</w:t>
                  </w:r>
                </w:p>
              </w:tc>
              <w:tc>
                <w:tcPr>
                  <w:tcW w:w="0" w:type="auto"/>
                </w:tcPr>
                <w:p w14:paraId="35484660"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Communication About Meds</w:t>
                  </w:r>
                </w:p>
              </w:tc>
              <w:tc>
                <w:tcPr>
                  <w:tcW w:w="0" w:type="auto"/>
                </w:tcPr>
                <w:p w14:paraId="30C0A94B"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Communication About Medicines</w:t>
                  </w:r>
                </w:p>
              </w:tc>
            </w:tr>
            <w:tr w:rsidR="00054CB1" w:rsidRPr="00D22664" w14:paraId="25E7B0B0" w14:textId="77777777" w:rsidTr="00753419">
              <w:trPr>
                <w:trHeight w:val="586"/>
              </w:trPr>
              <w:tc>
                <w:tcPr>
                  <w:cnfStyle w:val="001000000000" w:firstRow="0" w:lastRow="0" w:firstColumn="1" w:lastColumn="0" w:oddVBand="0" w:evenVBand="0" w:oddHBand="0" w:evenHBand="0" w:firstRowFirstColumn="0" w:firstRowLastColumn="0" w:lastRowFirstColumn="0" w:lastRowLastColumn="0"/>
                  <w:tcW w:w="3024" w:type="dxa"/>
                </w:tcPr>
                <w:p w14:paraId="0A34C207" w14:textId="30D2F2CB" w:rsidR="00054CB1" w:rsidRPr="00D87339" w:rsidRDefault="00054CB1" w:rsidP="00054CB1">
                  <w:pPr>
                    <w:rPr>
                      <w:rFonts w:cs="Arial"/>
                      <w:color w:val="000000"/>
                    </w:rPr>
                  </w:pPr>
                  <w:r w:rsidRPr="00D87339">
                    <w:rPr>
                      <w:rFonts w:cs="Arial"/>
                      <w:color w:val="000000"/>
                    </w:rPr>
                    <w:t>Communication with Parent – Keeping you informed about your child’s care</w:t>
                  </w:r>
                </w:p>
              </w:tc>
              <w:tc>
                <w:tcPr>
                  <w:tcW w:w="1665" w:type="dxa"/>
                </w:tcPr>
                <w:p w14:paraId="250449E8" w14:textId="27B91FED" w:rsidR="00054CB1" w:rsidRPr="00D87339" w:rsidRDefault="00054CB1" w:rsidP="00054CB1">
                  <w:pPr>
                    <w:cnfStyle w:val="000000000000" w:firstRow="0" w:lastRow="0" w:firstColumn="0" w:lastColumn="0" w:oddVBand="0" w:evenVBand="0" w:oddHBand="0" w:evenHBand="0" w:firstRowFirstColumn="0" w:firstRowLastColumn="0" w:lastRowFirstColumn="0" w:lastRowLastColumn="0"/>
                    <w:rPr>
                      <w:rFonts w:cs="Arial"/>
                      <w:color w:val="000000"/>
                    </w:rPr>
                  </w:pPr>
                  <w:r w:rsidRPr="00D87339">
                    <w:rPr>
                      <w:rFonts w:cs="Arial"/>
                      <w:color w:val="000000"/>
                    </w:rPr>
                    <w:t>Informed Child's Care</w:t>
                  </w:r>
                </w:p>
              </w:tc>
              <w:tc>
                <w:tcPr>
                  <w:tcW w:w="0" w:type="auto"/>
                </w:tcPr>
                <w:p w14:paraId="30940813" w14:textId="040A9A32" w:rsidR="00054CB1" w:rsidRPr="00D87339" w:rsidRDefault="00054CB1" w:rsidP="00054CB1">
                  <w:pPr>
                    <w:cnfStyle w:val="000000000000" w:firstRow="0" w:lastRow="0" w:firstColumn="0" w:lastColumn="0" w:oddVBand="0" w:evenVBand="0" w:oddHBand="0" w:evenHBand="0" w:firstRowFirstColumn="0" w:firstRowLastColumn="0" w:lastRowFirstColumn="0" w:lastRowLastColumn="0"/>
                    <w:rPr>
                      <w:rFonts w:cs="Arial"/>
                      <w:color w:val="000000"/>
                    </w:rPr>
                  </w:pPr>
                  <w:r w:rsidRPr="00D87339">
                    <w:rPr>
                      <w:rFonts w:cs="Arial"/>
                      <w:color w:val="000000"/>
                    </w:rPr>
                    <w:t>Keeping You Informed About Your Child’s Care</w:t>
                  </w:r>
                </w:p>
              </w:tc>
              <w:tc>
                <w:tcPr>
                  <w:tcW w:w="0" w:type="auto"/>
                </w:tcPr>
                <w:p w14:paraId="3A067C9F" w14:textId="25CA3480" w:rsidR="00054CB1" w:rsidRPr="00D87339" w:rsidRDefault="00054CB1" w:rsidP="00054CB1">
                  <w:pPr>
                    <w:cnfStyle w:val="000000000000" w:firstRow="0" w:lastRow="0" w:firstColumn="0" w:lastColumn="0" w:oddVBand="0" w:evenVBand="0" w:oddHBand="0" w:evenHBand="0" w:firstRowFirstColumn="0" w:firstRowLastColumn="0" w:lastRowFirstColumn="0" w:lastRowLastColumn="0"/>
                    <w:rPr>
                      <w:rFonts w:cs="Arial"/>
                      <w:color w:val="000000"/>
                    </w:rPr>
                  </w:pPr>
                  <w:r w:rsidRPr="00D87339">
                    <w:rPr>
                      <w:rFonts w:cs="Arial"/>
                      <w:color w:val="000000"/>
                    </w:rPr>
                    <w:t>Keeping Parent Informed</w:t>
                  </w:r>
                </w:p>
              </w:tc>
            </w:tr>
            <w:tr w:rsidR="00B37B7A" w:rsidRPr="00D22664" w14:paraId="061FDBC7" w14:textId="77777777" w:rsidTr="00753419">
              <w:trPr>
                <w:trHeight w:val="586"/>
              </w:trPr>
              <w:tc>
                <w:tcPr>
                  <w:cnfStyle w:val="001000000000" w:firstRow="0" w:lastRow="0" w:firstColumn="1" w:lastColumn="0" w:oddVBand="0" w:evenVBand="0" w:oddHBand="0" w:evenHBand="0" w:firstRowFirstColumn="0" w:firstRowLastColumn="0" w:lastRowFirstColumn="0" w:lastRowLastColumn="0"/>
                  <w:tcW w:w="3024" w:type="dxa"/>
                </w:tcPr>
                <w:p w14:paraId="66C2D1E0" w14:textId="77777777" w:rsidR="00B37B7A" w:rsidRPr="00D87339" w:rsidRDefault="00B37B7A" w:rsidP="00B37B7A">
                  <w:pPr>
                    <w:rPr>
                      <w:rFonts w:cs="Arial"/>
                      <w:color w:val="000000"/>
                    </w:rPr>
                  </w:pPr>
                  <w:r w:rsidRPr="00D87339">
                    <w:rPr>
                      <w:rFonts w:cs="Arial"/>
                      <w:color w:val="000000"/>
                    </w:rPr>
                    <w:t>Communication with Child – How well nurses communicate with your child</w:t>
                  </w:r>
                </w:p>
              </w:tc>
              <w:tc>
                <w:tcPr>
                  <w:tcW w:w="1665" w:type="dxa"/>
                </w:tcPr>
                <w:p w14:paraId="5AFA7B5B"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Nurses Communicate Child</w:t>
                  </w:r>
                </w:p>
              </w:tc>
              <w:tc>
                <w:tcPr>
                  <w:tcW w:w="0" w:type="auto"/>
                </w:tcPr>
                <w:p w14:paraId="565B2AFF"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Nurse Communication With Child</w:t>
                  </w:r>
                </w:p>
              </w:tc>
              <w:tc>
                <w:tcPr>
                  <w:tcW w:w="0" w:type="auto"/>
                </w:tcPr>
                <w:p w14:paraId="028D69C8"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 xml:space="preserve">Nurses – Child </w:t>
                  </w:r>
                </w:p>
              </w:tc>
            </w:tr>
            <w:tr w:rsidR="00B37B7A" w:rsidRPr="00D22664" w14:paraId="081F8798" w14:textId="77777777" w:rsidTr="00753419">
              <w:trPr>
                <w:trHeight w:val="586"/>
              </w:trPr>
              <w:tc>
                <w:tcPr>
                  <w:cnfStyle w:val="001000000000" w:firstRow="0" w:lastRow="0" w:firstColumn="1" w:lastColumn="0" w:oddVBand="0" w:evenVBand="0" w:oddHBand="0" w:evenHBand="0" w:firstRowFirstColumn="0" w:firstRowLastColumn="0" w:lastRowFirstColumn="0" w:lastRowLastColumn="0"/>
                  <w:tcW w:w="3024" w:type="dxa"/>
                </w:tcPr>
                <w:p w14:paraId="0F3F04AA" w14:textId="77777777" w:rsidR="00B37B7A" w:rsidRPr="00D87339" w:rsidRDefault="00B37B7A" w:rsidP="00B37B7A">
                  <w:pPr>
                    <w:rPr>
                      <w:rFonts w:cs="Arial"/>
                      <w:b/>
                      <w:color w:val="000000"/>
                    </w:rPr>
                  </w:pPr>
                  <w:r w:rsidRPr="00D87339">
                    <w:rPr>
                      <w:rFonts w:cs="Arial"/>
                      <w:color w:val="000000"/>
                    </w:rPr>
                    <w:t>Communication with Child – How well doctors communicate with your child</w:t>
                  </w:r>
                </w:p>
              </w:tc>
              <w:tc>
                <w:tcPr>
                  <w:tcW w:w="1665" w:type="dxa"/>
                </w:tcPr>
                <w:p w14:paraId="7FA2AE09"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Doctors Communicate Child</w:t>
                  </w:r>
                </w:p>
              </w:tc>
              <w:tc>
                <w:tcPr>
                  <w:tcW w:w="0" w:type="auto"/>
                </w:tcPr>
                <w:p w14:paraId="1EFB7A62"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Doctor Communication With Child</w:t>
                  </w:r>
                </w:p>
              </w:tc>
              <w:tc>
                <w:tcPr>
                  <w:tcW w:w="0" w:type="auto"/>
                </w:tcPr>
                <w:p w14:paraId="3092BB13" w14:textId="77777777" w:rsidR="00B37B7A" w:rsidRPr="00D87339" w:rsidRDefault="00B37B7A" w:rsidP="00B37B7A">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Doctors – Child</w:t>
                  </w:r>
                </w:p>
              </w:tc>
            </w:tr>
            <w:tr w:rsidR="00054CB1" w:rsidRPr="00D22664" w14:paraId="172703B5" w14:textId="77777777" w:rsidTr="00753419">
              <w:trPr>
                <w:trHeight w:val="586"/>
              </w:trPr>
              <w:tc>
                <w:tcPr>
                  <w:cnfStyle w:val="001000000000" w:firstRow="0" w:lastRow="0" w:firstColumn="1" w:lastColumn="0" w:oddVBand="0" w:evenVBand="0" w:oddHBand="0" w:evenHBand="0" w:firstRowFirstColumn="0" w:firstRowLastColumn="0" w:lastRowFirstColumn="0" w:lastRowLastColumn="0"/>
                  <w:tcW w:w="3024" w:type="dxa"/>
                </w:tcPr>
                <w:p w14:paraId="3CA194D5" w14:textId="641C4847" w:rsidR="00054CB1" w:rsidRPr="00D87339" w:rsidRDefault="00054CB1" w:rsidP="00054CB1">
                  <w:pPr>
                    <w:rPr>
                      <w:rFonts w:cs="Arial"/>
                      <w:b/>
                      <w:color w:val="000000"/>
                    </w:rPr>
                  </w:pPr>
                  <w:r w:rsidRPr="00D87339">
                    <w:rPr>
                      <w:rFonts w:cs="Arial"/>
                      <w:color w:val="000000"/>
                    </w:rPr>
                    <w:t>Attention to Safety and Comfort – Preventing mistakes and helping you report concerns</w:t>
                  </w:r>
                </w:p>
              </w:tc>
              <w:tc>
                <w:tcPr>
                  <w:tcW w:w="1665" w:type="dxa"/>
                </w:tcPr>
                <w:p w14:paraId="1DD77537" w14:textId="2C0DACD4" w:rsidR="00054CB1" w:rsidRPr="00D87339" w:rsidRDefault="00054CB1" w:rsidP="00054CB1">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Prevent Mistakes Rpt Conc</w:t>
                  </w:r>
                </w:p>
              </w:tc>
              <w:tc>
                <w:tcPr>
                  <w:tcW w:w="0" w:type="auto"/>
                </w:tcPr>
                <w:p w14:paraId="6DB87D8B" w14:textId="23ABFD1C" w:rsidR="00054CB1" w:rsidRPr="00D87339" w:rsidRDefault="00054CB1" w:rsidP="00054CB1">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Preventing Mistakes and Helping You Report Concerns</w:t>
                  </w:r>
                </w:p>
              </w:tc>
              <w:tc>
                <w:tcPr>
                  <w:tcW w:w="0" w:type="auto"/>
                </w:tcPr>
                <w:p w14:paraId="59B53109" w14:textId="1819E893" w:rsidR="00054CB1" w:rsidRPr="00D87339" w:rsidRDefault="00054CB1" w:rsidP="00054CB1">
                  <w:pPr>
                    <w:cnfStyle w:val="000000000000" w:firstRow="0" w:lastRow="0" w:firstColumn="0" w:lastColumn="0" w:oddVBand="0" w:evenVBand="0" w:oddHBand="0" w:evenHBand="0" w:firstRowFirstColumn="0" w:firstRowLastColumn="0" w:lastRowFirstColumn="0" w:lastRowLastColumn="0"/>
                    <w:rPr>
                      <w:rFonts w:cs="Arial"/>
                      <w:b w:val="0"/>
                      <w:bCs w:val="0"/>
                      <w:color w:val="000000"/>
                    </w:rPr>
                  </w:pPr>
                  <w:r w:rsidRPr="00D87339">
                    <w:rPr>
                      <w:rFonts w:cs="Arial"/>
                      <w:color w:val="000000"/>
                    </w:rPr>
                    <w:t>Preventing Mistakes</w:t>
                  </w:r>
                </w:p>
              </w:tc>
            </w:tr>
          </w:tbl>
          <w:p w14:paraId="05386BF6" w14:textId="77777777" w:rsidR="005A212B" w:rsidRPr="009A5185" w:rsidRDefault="005A212B">
            <w:pPr>
              <w:rPr>
                <w:rFonts w:cs="Arial"/>
                <w:b/>
              </w:rPr>
            </w:pPr>
          </w:p>
        </w:tc>
      </w:tr>
    </w:tbl>
    <w:p w14:paraId="6EEA6B58" w14:textId="5D220398" w:rsidR="00244AAA" w:rsidRPr="00753419" w:rsidRDefault="00244AAA">
      <w:pPr>
        <w:rPr>
          <w:rFonts w:cs="Arial"/>
          <w:b/>
          <w:sz w:val="10"/>
          <w:szCs w:val="10"/>
          <w:u w:val="single"/>
          <w:lang w:eastAsia="ja-JP"/>
        </w:rPr>
      </w:pPr>
    </w:p>
    <w:p w14:paraId="3224F15A" w14:textId="776A427F" w:rsidR="00244AAA" w:rsidRPr="009A5185" w:rsidRDefault="00482FC0">
      <w:pPr>
        <w:rPr>
          <w:rFonts w:cs="Arial"/>
          <w:b/>
          <w:sz w:val="28"/>
          <w:u w:val="single"/>
          <w:lang w:eastAsia="ja-JP"/>
        </w:rPr>
      </w:pPr>
      <w:r w:rsidRPr="009A5185">
        <w:rPr>
          <w:rFonts w:cs="Arial"/>
          <w:color w:val="000000"/>
        </w:rPr>
        <w:t>See</w:t>
      </w:r>
      <w:r>
        <w:rPr>
          <w:rFonts w:cs="Arial"/>
          <w:color w:val="000000"/>
        </w:rPr>
        <w:t xml:space="preserve"> </w:t>
      </w:r>
      <w:hyperlink w:anchor="_Patient_Experience_(CAHPS_1" w:history="1">
        <w:r>
          <w:rPr>
            <w:rStyle w:val="Hyperlink"/>
            <w:rFonts w:cs="Arial"/>
          </w:rPr>
          <w:t>FAQs</w:t>
        </w:r>
      </w:hyperlink>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p>
    <w:p w14:paraId="5797D6DF" w14:textId="24E821C7" w:rsidR="00FF6E8B" w:rsidRPr="009A5185" w:rsidRDefault="00FF6E8B" w:rsidP="00AB5B80">
      <w:pPr>
        <w:pStyle w:val="Heading3"/>
      </w:pPr>
      <w:bookmarkStart w:id="704" w:name="_Patient_Experience_(CAHPS_1"/>
      <w:bookmarkStart w:id="705" w:name="_Pediatric_Computed_Tomography"/>
      <w:bookmarkStart w:id="706" w:name="_Ref123648274"/>
      <w:bookmarkStart w:id="707" w:name="_Toc225877827"/>
      <w:bookmarkStart w:id="708" w:name="PedCTSpecs"/>
      <w:bookmarkEnd w:id="704"/>
      <w:bookmarkEnd w:id="705"/>
      <w:r w:rsidRPr="009A5185">
        <w:lastRenderedPageBreak/>
        <w:t>Pediatric Computed Tomography (CT) Radiation Dose</w:t>
      </w:r>
      <w:bookmarkEnd w:id="706"/>
      <w:r w:rsidRPr="009A5185">
        <w:t xml:space="preserve"> </w:t>
      </w:r>
      <w:r w:rsidR="00B078B4">
        <w:t>Measure Specifications</w:t>
      </w:r>
      <w:bookmarkEnd w:id="707"/>
    </w:p>
    <w:bookmarkEnd w:id="708"/>
    <w:p w14:paraId="771B17C1" w14:textId="77777777" w:rsidR="00B40585" w:rsidRPr="00C670ED" w:rsidRDefault="00B40585">
      <w:pPr>
        <w:rPr>
          <w:rFonts w:cs="Arial"/>
          <w:sz w:val="16"/>
          <w:szCs w:val="16"/>
          <w:lang w:eastAsia="ja-JP"/>
        </w:rPr>
      </w:pPr>
    </w:p>
    <w:p w14:paraId="656B32C9" w14:textId="535F32F0" w:rsidR="00974669" w:rsidRDefault="00DC28FF" w:rsidP="00D85DCF">
      <w:pPr>
        <w:rPr>
          <w:rFonts w:cs="Arial"/>
          <w:b/>
          <w:color w:val="FF0000"/>
          <w:lang w:eastAsia="ja-JP"/>
        </w:rPr>
      </w:pPr>
      <w:r w:rsidRPr="009A5185">
        <w:rPr>
          <w:rFonts w:cs="Arial"/>
          <w:b/>
          <w:color w:val="FF0000"/>
          <w:lang w:eastAsia="ja-JP"/>
        </w:rPr>
        <w:t>Important Note</w:t>
      </w:r>
      <w:r w:rsidR="009A0347" w:rsidRPr="009A5185">
        <w:rPr>
          <w:rFonts w:cs="Arial"/>
          <w:b/>
          <w:color w:val="FF0000"/>
          <w:lang w:eastAsia="ja-JP"/>
        </w:rPr>
        <w:t>s</w:t>
      </w:r>
      <w:r w:rsidRPr="009A5185">
        <w:rPr>
          <w:rFonts w:cs="Arial"/>
          <w:b/>
          <w:color w:val="FF0000"/>
          <w:lang w:eastAsia="ja-JP"/>
        </w:rPr>
        <w:t>:</w:t>
      </w:r>
    </w:p>
    <w:p w14:paraId="6B3705FC" w14:textId="77777777" w:rsidR="00C12B40" w:rsidRPr="00C670ED" w:rsidRDefault="00C12B40" w:rsidP="00C12B40">
      <w:pPr>
        <w:rPr>
          <w:rFonts w:cs="Arial"/>
          <w:b/>
          <w:color w:val="FF0000"/>
          <w:sz w:val="16"/>
          <w:szCs w:val="16"/>
          <w:lang w:eastAsia="ja-JP"/>
        </w:rPr>
      </w:pPr>
    </w:p>
    <w:p w14:paraId="16BFE383" w14:textId="2920406C" w:rsidR="003B4C3F" w:rsidRPr="009A5185" w:rsidRDefault="00C12B40" w:rsidP="003B4C3F">
      <w:pPr>
        <w:rPr>
          <w:rFonts w:cs="Arial"/>
          <w:b/>
        </w:rPr>
      </w:pPr>
      <w:r w:rsidRPr="009A5185">
        <w:rPr>
          <w:rFonts w:cs="Arial"/>
        </w:rPr>
        <w:t xml:space="preserve">Note 1: </w:t>
      </w:r>
      <w:r w:rsidR="003B4C3F" w:rsidRPr="009A5185">
        <w:rPr>
          <w:rFonts w:cs="Arial"/>
          <w:snapToGrid w:val="0"/>
        </w:rPr>
        <w:t xml:space="preserve">Hospitals that share a </w:t>
      </w:r>
      <w:r w:rsidR="003B4C3F">
        <w:rPr>
          <w:rFonts w:cs="Arial"/>
          <w:snapToGrid w:val="0"/>
        </w:rPr>
        <w:t>CMS Certification Number</w:t>
      </w:r>
      <w:r w:rsidR="003B4C3F" w:rsidRPr="009A5185">
        <w:rPr>
          <w:rFonts w:cs="Arial"/>
          <w:snapToGrid w:val="0"/>
        </w:rPr>
        <w:t xml:space="preserve"> are required to report by facility. Please carefully review </w:t>
      </w:r>
      <w:hyperlink r:id="rId448" w:history="1">
        <w:r w:rsidR="003B4C3F" w:rsidRPr="009A5185">
          <w:rPr>
            <w:rStyle w:val="Hyperlink"/>
            <w:rFonts w:cs="Arial"/>
          </w:rPr>
          <w:t>Leapfrog’s Multi-Campus Reporting Policy</w:t>
        </w:r>
      </w:hyperlink>
      <w:r w:rsidR="003B4C3F" w:rsidRPr="009A5185">
        <w:rPr>
          <w:rFonts w:cs="Arial"/>
          <w:snapToGrid w:val="0"/>
        </w:rPr>
        <w:t>.</w:t>
      </w:r>
    </w:p>
    <w:p w14:paraId="6D302BEC" w14:textId="77777777" w:rsidR="003B4C3F" w:rsidRPr="004F63C1" w:rsidRDefault="003B4C3F" w:rsidP="00C12B40">
      <w:pPr>
        <w:rPr>
          <w:rFonts w:cs="Arial"/>
          <w:sz w:val="16"/>
          <w:szCs w:val="16"/>
        </w:rPr>
      </w:pPr>
    </w:p>
    <w:p w14:paraId="38ED81F1" w14:textId="14048B46" w:rsidR="00C12B40" w:rsidRPr="009A5185" w:rsidRDefault="003B4C3F" w:rsidP="00C12B40">
      <w:pPr>
        <w:rPr>
          <w:rFonts w:cs="Arial"/>
        </w:rPr>
      </w:pPr>
      <w:r>
        <w:rPr>
          <w:rFonts w:cs="Arial"/>
        </w:rPr>
        <w:t xml:space="preserve">Note 2: </w:t>
      </w:r>
      <w:r w:rsidR="00C12B40" w:rsidRPr="009A5185">
        <w:rPr>
          <w:rFonts w:cs="Arial"/>
        </w:rPr>
        <w:t>For purposes of this measure, an “encounter” consists of a full examination and any CT scans performed within one hour of each other involving the designated anatomic area (</w:t>
      </w:r>
      <w:r w:rsidR="00342951" w:rsidRPr="009A5185">
        <w:rPr>
          <w:rFonts w:cs="Arial"/>
        </w:rPr>
        <w:t>i.e.,</w:t>
      </w:r>
      <w:r w:rsidR="00C12B40" w:rsidRPr="009A5185">
        <w:rPr>
          <w:rFonts w:cs="Arial"/>
        </w:rPr>
        <w:t xml:space="preserve"> head</w:t>
      </w:r>
      <w:r w:rsidR="00C12B40">
        <w:rPr>
          <w:rFonts w:cs="Arial"/>
        </w:rPr>
        <w:t xml:space="preserve"> or </w:t>
      </w:r>
      <w:r w:rsidR="00C12B40" w:rsidRPr="009A5185">
        <w:rPr>
          <w:rFonts w:cs="Arial"/>
        </w:rPr>
        <w:t xml:space="preserve">abdomen/pelvis). For example, </w:t>
      </w:r>
      <w:r w:rsidR="00C12B40">
        <w:rPr>
          <w:rFonts w:cs="Arial"/>
        </w:rPr>
        <w:t xml:space="preserve">two </w:t>
      </w:r>
      <w:r w:rsidR="00C12B40" w:rsidRPr="009A5185">
        <w:rPr>
          <w:rFonts w:cs="Arial"/>
        </w:rPr>
        <w:t>CT scan</w:t>
      </w:r>
      <w:r w:rsidR="00C12B40">
        <w:rPr>
          <w:rFonts w:cs="Arial"/>
        </w:rPr>
        <w:t>s</w:t>
      </w:r>
      <w:r w:rsidR="00C12B40" w:rsidRPr="009A5185">
        <w:rPr>
          <w:rFonts w:cs="Arial"/>
        </w:rPr>
        <w:t xml:space="preserve"> conducted </w:t>
      </w:r>
      <w:r w:rsidR="00C12B40">
        <w:rPr>
          <w:rFonts w:cs="Arial"/>
        </w:rPr>
        <w:t xml:space="preserve">30-minutes apart </w:t>
      </w:r>
      <w:r w:rsidR="00C12B40" w:rsidRPr="009A5185">
        <w:rPr>
          <w:rFonts w:cs="Arial"/>
        </w:rPr>
        <w:t>on the same patient’s head</w:t>
      </w:r>
      <w:r w:rsidR="00C12B40">
        <w:rPr>
          <w:rFonts w:cs="Arial"/>
        </w:rPr>
        <w:t xml:space="preserve"> are considered one “encounter.”</w:t>
      </w:r>
      <w:r w:rsidR="00C12B40" w:rsidRPr="009A5185">
        <w:rPr>
          <w:rFonts w:cs="Arial"/>
        </w:rPr>
        <w:t xml:space="preserve"> </w:t>
      </w:r>
      <w:r w:rsidR="00C12B40">
        <w:rPr>
          <w:rFonts w:cs="Arial"/>
        </w:rPr>
        <w:t xml:space="preserve">CT scans of the same anatomic area performed with and without contrast are considered one “encounter.” </w:t>
      </w:r>
      <w:r w:rsidR="00C12B40" w:rsidRPr="009A5185">
        <w:rPr>
          <w:rFonts w:cs="Arial"/>
        </w:rPr>
        <w:t xml:space="preserve">Scans of two different anatomic areas </w:t>
      </w:r>
      <w:r w:rsidR="00C12B40">
        <w:rPr>
          <w:rFonts w:cs="Arial"/>
        </w:rPr>
        <w:t xml:space="preserve">performed within one hour </w:t>
      </w:r>
      <w:r w:rsidR="00C12B40" w:rsidRPr="009A5185">
        <w:rPr>
          <w:rFonts w:cs="Arial"/>
        </w:rPr>
        <w:t>would not be considered the same “encounter.” Scans of the same anatomic area performed greater than 60 minutes apart would also not be considered the same “encounter</w:t>
      </w:r>
      <w:r w:rsidR="00654BBA">
        <w:rPr>
          <w:rFonts w:cs="Arial"/>
        </w:rPr>
        <w:t>.</w:t>
      </w:r>
      <w:r w:rsidR="00C12B40" w:rsidRPr="009A5185">
        <w:rPr>
          <w:rFonts w:cs="Arial"/>
        </w:rPr>
        <w:t>”</w:t>
      </w:r>
    </w:p>
    <w:p w14:paraId="0A9EDBE3" w14:textId="77777777" w:rsidR="00C12B40" w:rsidRPr="00C670ED" w:rsidRDefault="00C12B40" w:rsidP="00C12B40">
      <w:pPr>
        <w:rPr>
          <w:rFonts w:cs="Arial"/>
          <w:sz w:val="16"/>
          <w:szCs w:val="16"/>
        </w:rPr>
      </w:pPr>
    </w:p>
    <w:p w14:paraId="0B664512" w14:textId="617CA17B" w:rsidR="00C12B40" w:rsidRDefault="00C12B40" w:rsidP="00C12B40">
      <w:pPr>
        <w:rPr>
          <w:rFonts w:cs="Arial"/>
        </w:rPr>
      </w:pPr>
      <w:r w:rsidRPr="009A5185">
        <w:rPr>
          <w:rFonts w:cs="Arial"/>
        </w:rPr>
        <w:t xml:space="preserve">Note </w:t>
      </w:r>
      <w:r w:rsidR="003B4C3F">
        <w:rPr>
          <w:rFonts w:cs="Arial"/>
        </w:rPr>
        <w:t>3</w:t>
      </w:r>
      <w:r w:rsidRPr="009A5185">
        <w:rPr>
          <w:rFonts w:cs="Arial"/>
        </w:rPr>
        <w:t xml:space="preserve">: This measure includes two sets of instructions in the table below: one for hospitals using dose monitoring software and one for hospitals that are not using dose monitoring software. Please be sure to use the correct set of instructions. </w:t>
      </w:r>
    </w:p>
    <w:p w14:paraId="6D748074" w14:textId="77777777" w:rsidR="00C12B40" w:rsidRPr="00C670ED" w:rsidRDefault="00C12B40" w:rsidP="00C12B40">
      <w:pPr>
        <w:rPr>
          <w:rFonts w:cs="Arial"/>
          <w:sz w:val="16"/>
          <w:szCs w:val="16"/>
        </w:rPr>
      </w:pPr>
    </w:p>
    <w:p w14:paraId="2970D5D5" w14:textId="1A8A71D9" w:rsidR="00C12B40" w:rsidRDefault="00C12B40" w:rsidP="00C12B40">
      <w:pPr>
        <w:rPr>
          <w:snapToGrid w:val="0"/>
        </w:rPr>
      </w:pPr>
      <w:r>
        <w:rPr>
          <w:rFonts w:cs="Arial"/>
        </w:rPr>
        <w:t xml:space="preserve">Note </w:t>
      </w:r>
      <w:r w:rsidR="003B4C3F">
        <w:rPr>
          <w:rFonts w:cs="Arial"/>
        </w:rPr>
        <w:t>4</w:t>
      </w:r>
      <w:r>
        <w:rPr>
          <w:rFonts w:cs="Arial"/>
        </w:rPr>
        <w:t xml:space="preserve">: Hospitals performing manual data collection must use the CT Dose Workbook </w:t>
      </w:r>
      <w:r w:rsidR="00123D1F">
        <w:rPr>
          <w:rFonts w:cs="Arial"/>
        </w:rPr>
        <w:t xml:space="preserve">provided on the </w:t>
      </w:r>
      <w:hyperlink r:id="rId449" w:history="1">
        <w:r w:rsidR="00123D1F" w:rsidRPr="00123D1F">
          <w:rPr>
            <w:rStyle w:val="Hyperlink"/>
            <w:rFonts w:cs="Arial"/>
          </w:rPr>
          <w:t xml:space="preserve">Survey </w:t>
        </w:r>
        <w:r w:rsidR="001B004E">
          <w:rPr>
            <w:rStyle w:val="Hyperlink"/>
            <w:rFonts w:cs="Arial"/>
          </w:rPr>
          <w:t xml:space="preserve">and CPOE </w:t>
        </w:r>
        <w:r w:rsidR="00123D1F" w:rsidRPr="00123D1F">
          <w:rPr>
            <w:rStyle w:val="Hyperlink"/>
            <w:rFonts w:cs="Arial"/>
          </w:rPr>
          <w:t>Materials webpage</w:t>
        </w:r>
      </w:hyperlink>
      <w:r w:rsidR="00123D1F">
        <w:rPr>
          <w:rFonts w:cs="Arial"/>
        </w:rPr>
        <w:t xml:space="preserve"> </w:t>
      </w:r>
      <w:r>
        <w:rPr>
          <w:rFonts w:cs="Arial"/>
        </w:rPr>
        <w:t xml:space="preserve">to standardize their CT radiation dose length product (DLP) for head scans to </w:t>
      </w:r>
      <w:r w:rsidRPr="00C04766">
        <w:rPr>
          <w:snapToGrid w:val="0"/>
        </w:rPr>
        <w:t>16cm phantoms and abdomen/pelvis scans to 32cm phantoms.</w:t>
      </w:r>
    </w:p>
    <w:p w14:paraId="68C8113C" w14:textId="77777777" w:rsidR="00C12B40" w:rsidRPr="00C670ED" w:rsidRDefault="00C12B40" w:rsidP="00C12B40">
      <w:pPr>
        <w:rPr>
          <w:snapToGrid w:val="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12B40" w:rsidRPr="009A5185" w14:paraId="5DF61575" w14:textId="77777777" w:rsidTr="00CA1CBD">
        <w:trPr>
          <w:trHeight w:val="288"/>
        </w:trPr>
        <w:tc>
          <w:tcPr>
            <w:tcW w:w="5000" w:type="pct"/>
            <w:vAlign w:val="center"/>
          </w:tcPr>
          <w:p w14:paraId="5E4A283A" w14:textId="77777777" w:rsidR="00C12B40" w:rsidRPr="009A5185" w:rsidRDefault="00C12B40" w:rsidP="00CA75AB">
            <w:pPr>
              <w:autoSpaceDE w:val="0"/>
              <w:autoSpaceDN w:val="0"/>
              <w:adjustRightInd w:val="0"/>
              <w:rPr>
                <w:rFonts w:cs="Arial"/>
                <w:b/>
              </w:rPr>
            </w:pPr>
            <w:r w:rsidRPr="009A5185">
              <w:rPr>
                <w:rFonts w:cs="Arial"/>
                <w:b/>
              </w:rPr>
              <w:t xml:space="preserve">Source: </w:t>
            </w:r>
            <w:r w:rsidRPr="009A5185">
              <w:rPr>
                <w:rFonts w:cs="Arial"/>
              </w:rPr>
              <w:t>University of California, San Francisco (NQF #2820)</w:t>
            </w:r>
          </w:p>
        </w:tc>
      </w:tr>
      <w:tr w:rsidR="00C12B40" w:rsidRPr="009A5185" w14:paraId="31017588" w14:textId="77777777" w:rsidTr="00CA1CBD">
        <w:trPr>
          <w:trHeight w:val="1152"/>
        </w:trPr>
        <w:tc>
          <w:tcPr>
            <w:tcW w:w="5000" w:type="pct"/>
          </w:tcPr>
          <w:p w14:paraId="44A201EB" w14:textId="49667A83" w:rsidR="00C12B40" w:rsidRPr="009A5185" w:rsidRDefault="00C12B40" w:rsidP="00CA75AB">
            <w:pPr>
              <w:autoSpaceDE w:val="0"/>
              <w:autoSpaceDN w:val="0"/>
              <w:adjustRightInd w:val="0"/>
              <w:rPr>
                <w:rFonts w:cs="Arial"/>
                <w:b/>
              </w:rPr>
            </w:pPr>
            <w:r w:rsidRPr="009A5185">
              <w:rPr>
                <w:rFonts w:cs="Arial"/>
                <w:b/>
                <w:snapToGrid w:val="0"/>
              </w:rPr>
              <w:t>Reporting Period: 12 months</w:t>
            </w:r>
          </w:p>
          <w:p w14:paraId="07A6B633" w14:textId="5E2C062D" w:rsidR="00932F07" w:rsidRPr="00932F07" w:rsidRDefault="00932F07" w:rsidP="00AD309C">
            <w:pPr>
              <w:pStyle w:val="ListParagraph"/>
              <w:numPr>
                <w:ilvl w:val="0"/>
                <w:numId w:val="36"/>
              </w:numPr>
              <w:rPr>
                <w:rFonts w:cs="Arial"/>
                <w:i/>
                <w:snapToGrid w:val="0"/>
              </w:rPr>
            </w:pPr>
            <w:r>
              <w:rPr>
                <w:rFonts w:cs="Arial"/>
                <w:iCs/>
                <w:snapToGrid w:val="0"/>
              </w:rPr>
              <w:t>Surveys submitted prior to September 1:</w:t>
            </w:r>
          </w:p>
          <w:p w14:paraId="47C90E31" w14:textId="263B71F5" w:rsidR="00932F07" w:rsidRPr="009A5185" w:rsidRDefault="00932F07" w:rsidP="00AD309C">
            <w:pPr>
              <w:pStyle w:val="ListParagraph"/>
              <w:numPr>
                <w:ilvl w:val="1"/>
                <w:numId w:val="36"/>
              </w:numPr>
              <w:rPr>
                <w:rFonts w:cs="Arial"/>
                <w:i/>
                <w:snapToGrid w:val="0"/>
              </w:rPr>
            </w:pPr>
            <w:r>
              <w:rPr>
                <w:rFonts w:cs="Arial"/>
                <w:iCs/>
                <w:snapToGrid w:val="0"/>
              </w:rPr>
              <w:t>01/01/202</w:t>
            </w:r>
            <w:r w:rsidR="00AA1E22">
              <w:rPr>
                <w:rFonts w:cs="Arial"/>
                <w:iCs/>
                <w:snapToGrid w:val="0"/>
              </w:rPr>
              <w:t>5</w:t>
            </w:r>
            <w:r>
              <w:rPr>
                <w:rFonts w:cs="Arial"/>
                <w:iCs/>
                <w:snapToGrid w:val="0"/>
              </w:rPr>
              <w:t xml:space="preserve"> </w:t>
            </w:r>
            <w:r w:rsidR="00FC78C7">
              <w:rPr>
                <w:rFonts w:cs="Arial"/>
                <w:iCs/>
                <w:snapToGrid w:val="0"/>
              </w:rPr>
              <w:t>–</w:t>
            </w:r>
            <w:r>
              <w:rPr>
                <w:rFonts w:cs="Arial"/>
                <w:iCs/>
                <w:snapToGrid w:val="0"/>
              </w:rPr>
              <w:t xml:space="preserve"> 12/31/202</w:t>
            </w:r>
            <w:r w:rsidR="00AA1E22">
              <w:rPr>
                <w:rFonts w:cs="Arial"/>
                <w:iCs/>
                <w:snapToGrid w:val="0"/>
              </w:rPr>
              <w:t>5</w:t>
            </w:r>
          </w:p>
          <w:p w14:paraId="597DDBAD" w14:textId="77777777" w:rsidR="00932F07" w:rsidRPr="00932F07" w:rsidRDefault="00C12B40" w:rsidP="00AD309C">
            <w:pPr>
              <w:pStyle w:val="ListParagraph"/>
              <w:numPr>
                <w:ilvl w:val="0"/>
                <w:numId w:val="36"/>
              </w:numPr>
              <w:rPr>
                <w:rFonts w:cs="Arial"/>
                <w:i/>
                <w:snapToGrid w:val="0"/>
              </w:rPr>
            </w:pPr>
            <w:r w:rsidRPr="009A5185">
              <w:rPr>
                <w:rFonts w:cs="Arial"/>
                <w:snapToGrid w:val="0"/>
              </w:rPr>
              <w:t>Surveys (re)submitted on or after September 1</w:t>
            </w:r>
            <w:r w:rsidR="00932F07">
              <w:rPr>
                <w:rFonts w:cs="Arial"/>
                <w:snapToGrid w:val="0"/>
              </w:rPr>
              <w:t>:</w:t>
            </w:r>
          </w:p>
          <w:p w14:paraId="62D21877" w14:textId="659AC6BC" w:rsidR="00C12B40" w:rsidRPr="00753419" w:rsidRDefault="00C12B40" w:rsidP="00AD309C">
            <w:pPr>
              <w:pStyle w:val="ListParagraph"/>
              <w:numPr>
                <w:ilvl w:val="1"/>
                <w:numId w:val="36"/>
              </w:numPr>
              <w:rPr>
                <w:rFonts w:cs="Arial"/>
                <w:i/>
                <w:snapToGrid w:val="0"/>
              </w:rPr>
            </w:pPr>
            <w:r w:rsidRPr="009A5185">
              <w:rPr>
                <w:rFonts w:cs="Arial"/>
                <w:snapToGrid w:val="0"/>
              </w:rPr>
              <w:t>07/01/</w:t>
            </w:r>
            <w:r>
              <w:rPr>
                <w:rFonts w:cs="Arial"/>
                <w:snapToGrid w:val="0"/>
              </w:rPr>
              <w:t>20</w:t>
            </w:r>
            <w:r w:rsidR="00932F07">
              <w:rPr>
                <w:rFonts w:cs="Arial"/>
                <w:snapToGrid w:val="0"/>
              </w:rPr>
              <w:t>2</w:t>
            </w:r>
            <w:r w:rsidR="00AA1E22">
              <w:rPr>
                <w:rFonts w:cs="Arial"/>
                <w:snapToGrid w:val="0"/>
              </w:rPr>
              <w:t>5</w:t>
            </w:r>
            <w:r w:rsidRPr="009A5185">
              <w:rPr>
                <w:rFonts w:cs="Arial"/>
                <w:snapToGrid w:val="0"/>
              </w:rPr>
              <w:t xml:space="preserve"> </w:t>
            </w:r>
            <w:r w:rsidR="00FC78C7">
              <w:rPr>
                <w:rFonts w:cs="Arial"/>
                <w:snapToGrid w:val="0"/>
              </w:rPr>
              <w:t>–</w:t>
            </w:r>
            <w:r w:rsidRPr="009A5185">
              <w:rPr>
                <w:rFonts w:cs="Arial"/>
                <w:snapToGrid w:val="0"/>
              </w:rPr>
              <w:t xml:space="preserve"> 06/30/</w:t>
            </w:r>
            <w:r>
              <w:rPr>
                <w:rFonts w:cs="Arial"/>
                <w:snapToGrid w:val="0"/>
              </w:rPr>
              <w:t>202</w:t>
            </w:r>
            <w:r w:rsidR="00AA1E22">
              <w:rPr>
                <w:rFonts w:cs="Arial"/>
                <w:snapToGrid w:val="0"/>
              </w:rPr>
              <w:t>6</w:t>
            </w:r>
            <w:r w:rsidR="00FC78C7">
              <w:rPr>
                <w:rFonts w:cs="Arial"/>
                <w:snapToGrid w:val="0"/>
              </w:rPr>
              <w:t xml:space="preserve"> </w:t>
            </w:r>
          </w:p>
        </w:tc>
      </w:tr>
    </w:tbl>
    <w:p w14:paraId="2006B641" w14:textId="77777777" w:rsidR="00C12B40" w:rsidRPr="00C670ED" w:rsidRDefault="00C12B40" w:rsidP="00C12B40">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12B40" w:rsidRPr="009A5185" w14:paraId="4D74109C" w14:textId="77777777" w:rsidTr="004F63C1">
        <w:trPr>
          <w:trHeight w:val="432"/>
        </w:trPr>
        <w:tc>
          <w:tcPr>
            <w:tcW w:w="5000" w:type="pct"/>
            <w:shd w:val="clear" w:color="auto" w:fill="BFBFBF" w:themeFill="background1" w:themeFillShade="BF"/>
            <w:vAlign w:val="center"/>
          </w:tcPr>
          <w:p w14:paraId="3C8A98E8" w14:textId="77777777" w:rsidR="00C12B40" w:rsidRPr="009A5185" w:rsidRDefault="00C12B40" w:rsidP="00A212A4">
            <w:pPr>
              <w:pStyle w:val="NoSpacing"/>
              <w:rPr>
                <w:rFonts w:ascii="Arial" w:hAnsi="Arial" w:cs="Arial"/>
                <w:b/>
                <w:sz w:val="20"/>
              </w:rPr>
            </w:pPr>
            <w:r w:rsidRPr="009A5185">
              <w:rPr>
                <w:rFonts w:ascii="Arial" w:hAnsi="Arial" w:cs="Arial"/>
                <w:b/>
                <w:sz w:val="20"/>
              </w:rPr>
              <w:t>Hospitals participating in the ACR National Radiology Data Registry:</w:t>
            </w:r>
          </w:p>
          <w:p w14:paraId="2C18C616" w14:textId="77777777" w:rsidR="00C12B40" w:rsidRPr="009A5185" w:rsidRDefault="00C12B40" w:rsidP="00A212A4">
            <w:pPr>
              <w:pStyle w:val="NoSpacing"/>
              <w:rPr>
                <w:rFonts w:ascii="Arial" w:hAnsi="Arial" w:cs="Arial"/>
                <w:sz w:val="20"/>
              </w:rPr>
            </w:pPr>
            <w:r w:rsidRPr="009A5185">
              <w:rPr>
                <w:rFonts w:ascii="Arial" w:hAnsi="Arial" w:cs="Arial"/>
                <w:sz w:val="20"/>
              </w:rPr>
              <w:t>Data for this measure can be obtained directly from a special Leapfrog report. See details below.</w:t>
            </w:r>
          </w:p>
        </w:tc>
      </w:tr>
      <w:tr w:rsidR="00C12B40" w:rsidRPr="009A5185" w14:paraId="4FAD8E31" w14:textId="77777777" w:rsidTr="004F63C1">
        <w:trPr>
          <w:trHeight w:val="2016"/>
        </w:trPr>
        <w:tc>
          <w:tcPr>
            <w:tcW w:w="5000" w:type="pct"/>
            <w:vAlign w:val="center"/>
          </w:tcPr>
          <w:p w14:paraId="47B396D0" w14:textId="2794C953" w:rsidR="00C12B40" w:rsidRPr="009A5185" w:rsidRDefault="00C12B40" w:rsidP="00A212A4">
            <w:pPr>
              <w:rPr>
                <w:rFonts w:cs="Arial"/>
                <w:b/>
              </w:rPr>
            </w:pPr>
            <w:r w:rsidRPr="009A5185">
              <w:rPr>
                <w:rFonts w:cs="Arial"/>
              </w:rPr>
              <w:t>Hospitals that report to the American College of Radiology (ACR) and receive reports through the National Radiology Data Registry (NRDR) will be able to respond to questions #</w:t>
            </w:r>
            <w:r>
              <w:rPr>
                <w:rFonts w:cs="Arial"/>
              </w:rPr>
              <w:t xml:space="preserve">6-7 </w:t>
            </w:r>
            <w:r w:rsidRPr="009A5185">
              <w:rPr>
                <w:rFonts w:cs="Arial"/>
              </w:rPr>
              <w:t xml:space="preserve">in Section </w:t>
            </w:r>
            <w:r w:rsidR="00FC78C7">
              <w:rPr>
                <w:rFonts w:cs="Arial"/>
              </w:rPr>
              <w:t>8</w:t>
            </w:r>
            <w:r w:rsidRPr="009A5185">
              <w:rPr>
                <w:rFonts w:cs="Arial"/>
              </w:rPr>
              <w:t xml:space="preserve">B using a specialized report that will be made available with the quarterly Dose Index Registry Executive Summary reports. This separate “Leapfrog” report will be available for download through the NRDR </w:t>
            </w:r>
            <w:r w:rsidR="006730FE" w:rsidRPr="009A5185">
              <w:rPr>
                <w:rFonts w:cs="Arial"/>
              </w:rPr>
              <w:t>portal and</w:t>
            </w:r>
            <w:r w:rsidRPr="009A5185">
              <w:rPr>
                <w:rFonts w:cs="Arial"/>
              </w:rPr>
              <w:t xml:space="preserve"> will contain data according to the age ranges and measure specifications of the Leapfrog Hospital Survey. </w:t>
            </w:r>
            <w:r w:rsidRPr="00C93EC1">
              <w:rPr>
                <w:rFonts w:cs="Arial"/>
                <w:b/>
              </w:rPr>
              <w:t xml:space="preserve">Enter values </w:t>
            </w:r>
            <w:r>
              <w:rPr>
                <w:rFonts w:cs="Arial"/>
                <w:b/>
              </w:rPr>
              <w:t xml:space="preserve">from the “Leapfrog” tab using the “Table: Pediatric Exams for Leapfrog Survey” and the appropriate percentiles in the Head and Abdomen Pelvis columns </w:t>
            </w:r>
            <w:r w:rsidRPr="00C93EC1">
              <w:rPr>
                <w:rFonts w:cs="Arial"/>
                <w:b/>
              </w:rPr>
              <w:t xml:space="preserve">rounded to the nearest </w:t>
            </w:r>
            <w:r>
              <w:rPr>
                <w:rFonts w:cs="Arial"/>
                <w:b/>
              </w:rPr>
              <w:t>whole number directly into the Online Hospital Survey Tool</w:t>
            </w:r>
            <w:r w:rsidRPr="00C93EC1">
              <w:rPr>
                <w:rFonts w:cs="Arial"/>
                <w:b/>
              </w:rPr>
              <w:t>.</w:t>
            </w:r>
            <w:r>
              <w:rPr>
                <w:rFonts w:cs="Arial"/>
                <w:b/>
              </w:rPr>
              <w:t xml:space="preserve"> </w:t>
            </w:r>
            <w:r w:rsidR="009752AC" w:rsidRPr="009752AC">
              <w:rPr>
                <w:rFonts w:cs="Arial"/>
                <w:bCs/>
              </w:rPr>
              <w:t>While this report should be from the most recent 12 months, it does not need to include the full 12 months.</w:t>
            </w:r>
            <w:r w:rsidR="009752AC">
              <w:rPr>
                <w:rFonts w:cs="Arial"/>
                <w:b/>
              </w:rPr>
              <w:t xml:space="preserve"> </w:t>
            </w:r>
          </w:p>
        </w:tc>
      </w:tr>
    </w:tbl>
    <w:p w14:paraId="5034C577" w14:textId="77777777" w:rsidR="00C12B40" w:rsidRPr="00C670ED" w:rsidRDefault="00C12B40" w:rsidP="00C12B40">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12B40" w:rsidRPr="009A5185" w14:paraId="7FB42BEB" w14:textId="77777777" w:rsidTr="004F63C1">
        <w:trPr>
          <w:trHeight w:val="432"/>
        </w:trPr>
        <w:tc>
          <w:tcPr>
            <w:tcW w:w="5000" w:type="pct"/>
            <w:shd w:val="clear" w:color="auto" w:fill="BFBFBF" w:themeFill="background1" w:themeFillShade="BF"/>
            <w:vAlign w:val="center"/>
          </w:tcPr>
          <w:p w14:paraId="13885401" w14:textId="77777777" w:rsidR="00C12B40" w:rsidRPr="009A5185" w:rsidRDefault="00C12B40" w:rsidP="00A212A4">
            <w:pPr>
              <w:pStyle w:val="NoSpacing"/>
              <w:rPr>
                <w:rFonts w:ascii="Arial" w:hAnsi="Arial" w:cs="Arial"/>
                <w:b/>
                <w:sz w:val="20"/>
              </w:rPr>
            </w:pPr>
            <w:r w:rsidRPr="009A5185">
              <w:rPr>
                <w:rFonts w:ascii="Arial" w:hAnsi="Arial" w:cs="Arial"/>
                <w:b/>
                <w:sz w:val="20"/>
              </w:rPr>
              <w:t xml:space="preserve">Hospitals using dose monitoring software: </w:t>
            </w:r>
          </w:p>
          <w:p w14:paraId="700B61CF" w14:textId="77777777" w:rsidR="00C12B40" w:rsidRPr="009A5185" w:rsidRDefault="00C12B40" w:rsidP="00A212A4">
            <w:pPr>
              <w:pStyle w:val="NoSpacing"/>
              <w:rPr>
                <w:rFonts w:ascii="Arial" w:hAnsi="Arial" w:cs="Arial"/>
                <w:sz w:val="20"/>
              </w:rPr>
            </w:pPr>
            <w:r w:rsidRPr="009A5185">
              <w:rPr>
                <w:rFonts w:ascii="Arial" w:hAnsi="Arial" w:cs="Arial"/>
                <w:sz w:val="20"/>
              </w:rPr>
              <w:t>Data for this measure can be obtained using dose monitoring software. See instructions below.</w:t>
            </w:r>
          </w:p>
        </w:tc>
      </w:tr>
      <w:tr w:rsidR="00C12B40" w:rsidRPr="009A5185" w14:paraId="5B216E90" w14:textId="77777777" w:rsidTr="00A212A4">
        <w:tc>
          <w:tcPr>
            <w:tcW w:w="5000" w:type="pct"/>
            <w:vAlign w:val="center"/>
          </w:tcPr>
          <w:p w14:paraId="3E05E1F7" w14:textId="7E4BFF3C" w:rsidR="00C12B40" w:rsidRPr="009A5185" w:rsidRDefault="00C12B40" w:rsidP="00A212A4">
            <w:pPr>
              <w:pStyle w:val="NoSpacing"/>
              <w:rPr>
                <w:rFonts w:ascii="Arial" w:hAnsi="Arial" w:cs="Arial"/>
                <w:b/>
                <w:sz w:val="20"/>
                <w:szCs w:val="20"/>
              </w:rPr>
            </w:pPr>
            <w:r w:rsidRPr="009A5185">
              <w:rPr>
                <w:rFonts w:ascii="Arial" w:hAnsi="Arial" w:cs="Arial"/>
                <w:b/>
                <w:sz w:val="20"/>
                <w:szCs w:val="20"/>
              </w:rPr>
              <w:t>Q</w:t>
            </w:r>
            <w:r w:rsidR="00FC78C7">
              <w:rPr>
                <w:rFonts w:ascii="Arial" w:hAnsi="Arial" w:cs="Arial"/>
                <w:b/>
                <w:sz w:val="20"/>
                <w:szCs w:val="20"/>
              </w:rPr>
              <w:t>uestion #</w:t>
            </w:r>
            <w:r>
              <w:rPr>
                <w:rFonts w:ascii="Arial" w:hAnsi="Arial" w:cs="Arial"/>
                <w:b/>
                <w:sz w:val="20"/>
                <w:szCs w:val="20"/>
              </w:rPr>
              <w:t>6</w:t>
            </w:r>
            <w:r w:rsidRPr="009A5185">
              <w:rPr>
                <w:rFonts w:ascii="Arial" w:hAnsi="Arial" w:cs="Arial"/>
                <w:b/>
                <w:sz w:val="20"/>
                <w:szCs w:val="20"/>
              </w:rPr>
              <w:t>, column a: Total Number of Encounters</w:t>
            </w:r>
          </w:p>
          <w:p w14:paraId="02BA837F" w14:textId="15D0665D" w:rsidR="00C12B40" w:rsidRDefault="00C12B40" w:rsidP="00A212A4">
            <w:pPr>
              <w:pStyle w:val="NoSpacing"/>
              <w:rPr>
                <w:rFonts w:ascii="Arial" w:hAnsi="Arial" w:cs="Arial"/>
                <w:sz w:val="20"/>
                <w:szCs w:val="20"/>
              </w:rPr>
            </w:pPr>
            <w:r w:rsidRPr="009A5185">
              <w:rPr>
                <w:rFonts w:ascii="Arial" w:hAnsi="Arial" w:cs="Arial"/>
                <w:sz w:val="20"/>
                <w:szCs w:val="20"/>
              </w:rPr>
              <w:t>Using your dose monitoring software, obtain the total number of encounters in</w:t>
            </w:r>
            <w:r w:rsidR="00B36C21">
              <w:rPr>
                <w:rFonts w:ascii="Arial" w:hAnsi="Arial" w:cs="Arial"/>
                <w:sz w:val="20"/>
                <w:szCs w:val="20"/>
              </w:rPr>
              <w:t xml:space="preserve"> </w:t>
            </w:r>
            <w:r w:rsidRPr="009A5185">
              <w:rPr>
                <w:rFonts w:ascii="Arial" w:hAnsi="Arial" w:cs="Arial"/>
                <w:b/>
                <w:sz w:val="20"/>
                <w:szCs w:val="20"/>
              </w:rPr>
              <w:t>head scans</w:t>
            </w:r>
            <w:r w:rsidRPr="009A5185">
              <w:rPr>
                <w:rFonts w:ascii="Arial" w:hAnsi="Arial" w:cs="Arial"/>
                <w:sz w:val="20"/>
                <w:szCs w:val="20"/>
              </w:rPr>
              <w:t xml:space="preserve"> for each age stratum (&lt;1, 1-4, 5-9, 10-14, 15-17). Enter these values into the Survey. </w:t>
            </w:r>
          </w:p>
          <w:p w14:paraId="48534C8B" w14:textId="77777777" w:rsidR="00C12B40" w:rsidRDefault="00C12B40" w:rsidP="00A212A4">
            <w:pPr>
              <w:pStyle w:val="NoSpacing"/>
              <w:rPr>
                <w:rFonts w:ascii="Arial" w:hAnsi="Arial" w:cs="Arial"/>
                <w:sz w:val="20"/>
                <w:szCs w:val="20"/>
              </w:rPr>
            </w:pPr>
          </w:p>
          <w:p w14:paraId="094A9BC6" w14:textId="77777777" w:rsidR="00521831" w:rsidRPr="009F758E" w:rsidRDefault="00521831" w:rsidP="00A212A4">
            <w:pPr>
              <w:pStyle w:val="NoSpacing"/>
              <w:rPr>
                <w:rFonts w:ascii="Arial" w:hAnsi="Arial" w:cs="Arial"/>
                <w:sz w:val="20"/>
                <w:szCs w:val="20"/>
              </w:rPr>
            </w:pPr>
            <w:r w:rsidRPr="006A08C6">
              <w:rPr>
                <w:rFonts w:ascii="Arial" w:hAnsi="Arial" w:cs="Arial"/>
                <w:b/>
                <w:sz w:val="20"/>
                <w:szCs w:val="20"/>
              </w:rPr>
              <w:t>Inclusions:</w:t>
            </w:r>
          </w:p>
          <w:p w14:paraId="0E46B6F3"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HEAD BRN WO IVCON</w:t>
            </w:r>
          </w:p>
          <w:p w14:paraId="49E54EB6"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HEAD WO IVCON</w:t>
            </w:r>
          </w:p>
          <w:p w14:paraId="7D096C10"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PEDS HEAD WO IVCON</w:t>
            </w:r>
          </w:p>
          <w:p w14:paraId="6D839ABF"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HEAD</w:t>
            </w:r>
          </w:p>
          <w:p w14:paraId="6CD471D1"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PEDS HEAD BRN WO IVCON</w:t>
            </w:r>
          </w:p>
          <w:p w14:paraId="2D1F5670"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BRN WO IVCON</w:t>
            </w:r>
          </w:p>
          <w:p w14:paraId="2643D5BD"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HEAD BRN</w:t>
            </w:r>
          </w:p>
          <w:p w14:paraId="136B7F57"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HEAD BRN W IVCON</w:t>
            </w:r>
          </w:p>
          <w:p w14:paraId="1E00F19E"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HEAD W IVCON</w:t>
            </w:r>
          </w:p>
          <w:p w14:paraId="2541F90A"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lastRenderedPageBreak/>
              <w:t>CT HEAD WO &amp; W IVCON</w:t>
            </w:r>
          </w:p>
          <w:p w14:paraId="6EFBC8C6"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HEAD BRN WO &amp; W IVCON</w:t>
            </w:r>
          </w:p>
          <w:p w14:paraId="4C525375"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BRN WO &amp; W IVCON</w:t>
            </w:r>
          </w:p>
          <w:p w14:paraId="0D588F57" w14:textId="77777777" w:rsidR="00521831" w:rsidRPr="00F214DA" w:rsidRDefault="00521831" w:rsidP="00A212A4">
            <w:pPr>
              <w:pStyle w:val="NoSpacing"/>
              <w:rPr>
                <w:rFonts w:ascii="Arial" w:hAnsi="Arial" w:cs="Arial"/>
                <w:bCs/>
                <w:sz w:val="20"/>
                <w:szCs w:val="20"/>
              </w:rPr>
            </w:pPr>
            <w:r w:rsidRPr="00F214DA">
              <w:rPr>
                <w:rFonts w:ascii="Arial" w:hAnsi="Arial" w:cs="Arial"/>
                <w:bCs/>
                <w:sz w:val="20"/>
                <w:szCs w:val="20"/>
              </w:rPr>
              <w:t>CT BRN W IVCON</w:t>
            </w:r>
          </w:p>
          <w:p w14:paraId="728EA533" w14:textId="77777777" w:rsidR="00C12B40" w:rsidRPr="009A5185" w:rsidRDefault="00C12B40" w:rsidP="00A212A4">
            <w:pPr>
              <w:pStyle w:val="NoSpacing"/>
              <w:rPr>
                <w:rFonts w:ascii="Arial" w:hAnsi="Arial" w:cs="Arial"/>
                <w:b/>
                <w:sz w:val="20"/>
                <w:szCs w:val="20"/>
              </w:rPr>
            </w:pPr>
          </w:p>
          <w:p w14:paraId="65647D27" w14:textId="77777777" w:rsidR="00C12B40" w:rsidRPr="009A5185" w:rsidRDefault="00C12B40" w:rsidP="00A212A4">
            <w:pPr>
              <w:pStyle w:val="NoSpacing"/>
              <w:rPr>
                <w:rFonts w:ascii="Arial" w:hAnsi="Arial" w:cs="Arial"/>
                <w:b/>
                <w:sz w:val="20"/>
                <w:szCs w:val="20"/>
              </w:rPr>
            </w:pPr>
            <w:r w:rsidRPr="009A5185">
              <w:rPr>
                <w:rFonts w:ascii="Arial" w:hAnsi="Arial" w:cs="Arial"/>
                <w:b/>
                <w:sz w:val="20"/>
                <w:szCs w:val="20"/>
              </w:rPr>
              <w:t>Exclusions:</w:t>
            </w:r>
          </w:p>
          <w:p w14:paraId="5B222319" w14:textId="77777777" w:rsidR="00C12B40" w:rsidRDefault="00C12B40" w:rsidP="00AD309C">
            <w:pPr>
              <w:pStyle w:val="ListParagraph"/>
              <w:numPr>
                <w:ilvl w:val="0"/>
                <w:numId w:val="135"/>
              </w:numPr>
              <w:rPr>
                <w:rFonts w:cs="Arial"/>
              </w:rPr>
            </w:pPr>
            <w:r>
              <w:rPr>
                <w:rFonts w:cs="Arial"/>
              </w:rPr>
              <w:t xml:space="preserve">Encounters involving facial bones or sinuses </w:t>
            </w:r>
          </w:p>
          <w:p w14:paraId="47A95F6E" w14:textId="77777777" w:rsidR="00C12B40" w:rsidRDefault="00C12B40" w:rsidP="00AD309C">
            <w:pPr>
              <w:pStyle w:val="ListParagraph"/>
              <w:numPr>
                <w:ilvl w:val="0"/>
                <w:numId w:val="135"/>
              </w:numPr>
              <w:rPr>
                <w:rFonts w:cs="Arial"/>
              </w:rPr>
            </w:pPr>
            <w:r>
              <w:rPr>
                <w:rFonts w:cs="Arial"/>
              </w:rPr>
              <w:t>Encounters where the indication is for a biopsy, including prop studies and stereotactic studies and procedures</w:t>
            </w:r>
          </w:p>
          <w:p w14:paraId="47BEE7A3" w14:textId="720F29C2" w:rsidR="00C12B40" w:rsidRDefault="00C12B40" w:rsidP="00AD309C">
            <w:pPr>
              <w:pStyle w:val="ListParagraph"/>
              <w:numPr>
                <w:ilvl w:val="0"/>
                <w:numId w:val="135"/>
              </w:numPr>
              <w:rPr>
                <w:rFonts w:cs="Arial"/>
              </w:rPr>
            </w:pPr>
            <w:r w:rsidRPr="009F758E">
              <w:rPr>
                <w:rFonts w:cs="Arial"/>
              </w:rPr>
              <w:t>Encounters that cross multiple anatomic areas should be excluded. For example, encounters involving both the head and neck are excluded from the “head” anatomic region.</w:t>
            </w:r>
          </w:p>
          <w:p w14:paraId="4AC1EC11" w14:textId="4BC090FF" w:rsidR="005D4462" w:rsidRPr="009F758E" w:rsidRDefault="005D4462" w:rsidP="00AD309C">
            <w:pPr>
              <w:pStyle w:val="ListParagraph"/>
              <w:numPr>
                <w:ilvl w:val="0"/>
                <w:numId w:val="135"/>
              </w:numPr>
              <w:rPr>
                <w:rFonts w:cs="Arial"/>
              </w:rPr>
            </w:pPr>
            <w:r w:rsidRPr="005D4462">
              <w:rPr>
                <w:rFonts w:cs="Arial"/>
              </w:rPr>
              <w:t xml:space="preserve">Encounters where the documented age is </w:t>
            </w:r>
            <w:r>
              <w:rPr>
                <w:rFonts w:cs="Arial"/>
              </w:rPr>
              <w:t xml:space="preserve">missing or listed as </w:t>
            </w:r>
            <w:r w:rsidRPr="005D4462">
              <w:rPr>
                <w:rFonts w:cs="Arial"/>
              </w:rPr>
              <w:t>the date of admission (i.e., an accurate birthday could not be obtained and therefore the admission date was used), as i</w:t>
            </w:r>
            <w:r>
              <w:rPr>
                <w:rFonts w:cs="Arial"/>
              </w:rPr>
              <w:t>s</w:t>
            </w:r>
            <w:r w:rsidRPr="005D4462">
              <w:rPr>
                <w:rFonts w:cs="Arial"/>
              </w:rPr>
              <w:t xml:space="preserve"> the case </w:t>
            </w:r>
            <w:r>
              <w:rPr>
                <w:rFonts w:cs="Arial"/>
              </w:rPr>
              <w:t>for some</w:t>
            </w:r>
            <w:r w:rsidRPr="005D4462">
              <w:rPr>
                <w:rFonts w:cs="Arial"/>
              </w:rPr>
              <w:t xml:space="preserve"> trauma patients</w:t>
            </w:r>
          </w:p>
          <w:p w14:paraId="01C9288B" w14:textId="77777777" w:rsidR="00C12B40" w:rsidRPr="009A5185" w:rsidRDefault="00C12B40" w:rsidP="00A212A4">
            <w:pPr>
              <w:rPr>
                <w:rFonts w:cs="Arial"/>
              </w:rPr>
            </w:pPr>
          </w:p>
          <w:p w14:paraId="7DBF145B" w14:textId="181E450F" w:rsidR="00C12B40" w:rsidRDefault="00C12B40" w:rsidP="004F63C1">
            <w:r w:rsidRPr="009A5185">
              <w:rPr>
                <w:rFonts w:cs="Arial"/>
                <w:b/>
              </w:rPr>
              <w:t>Sampling Cases:</w:t>
            </w:r>
            <w:r w:rsidR="005D3242">
              <w:rPr>
                <w:rFonts w:cs="Arial"/>
                <w:b/>
              </w:rPr>
              <w:t xml:space="preserve"> </w:t>
            </w:r>
            <w:r w:rsidRPr="009A5185">
              <w:t>Hospitals using dose monitoring software</w:t>
            </w:r>
            <w:r>
              <w:t xml:space="preserve"> must </w:t>
            </w:r>
            <w:r w:rsidRPr="009A5185">
              <w:t xml:space="preserve">report on </w:t>
            </w:r>
            <w:r w:rsidRPr="009A5185">
              <w:rPr>
                <w:u w:val="single"/>
              </w:rPr>
              <w:t>all</w:t>
            </w:r>
            <w:r w:rsidRPr="009A5185">
              <w:t xml:space="preserve"> encounters in the 12-month reporting period.</w:t>
            </w:r>
          </w:p>
          <w:p w14:paraId="1FF4B032" w14:textId="77777777" w:rsidR="002A2454" w:rsidRDefault="002A2454" w:rsidP="00A212A4">
            <w:pPr>
              <w:pStyle w:val="NoSpacing"/>
              <w:rPr>
                <w:rFonts w:ascii="Arial" w:hAnsi="Arial" w:cs="Arial"/>
                <w:sz w:val="20"/>
                <w:szCs w:val="20"/>
              </w:rPr>
            </w:pPr>
          </w:p>
          <w:p w14:paraId="08FC4B11" w14:textId="77777777" w:rsidR="002A2454" w:rsidRPr="002A2454" w:rsidRDefault="002A2454" w:rsidP="002A2454">
            <w:pPr>
              <w:rPr>
                <w:rFonts w:ascii="Calibri" w:hAnsi="Calibri"/>
                <w:b/>
                <w:bCs/>
              </w:rPr>
            </w:pPr>
            <w:r w:rsidRPr="002A2454">
              <w:rPr>
                <w:b/>
                <w:bCs/>
              </w:rPr>
              <w:t xml:space="preserve">Hospitals using Radimetrics Dose Monitoring Software: </w:t>
            </w:r>
          </w:p>
          <w:p w14:paraId="51D87D61" w14:textId="1BE34DEC" w:rsidR="002A2454" w:rsidRPr="002A2454" w:rsidRDefault="002A2454" w:rsidP="00AD309C">
            <w:pPr>
              <w:pStyle w:val="ListParagraph"/>
              <w:numPr>
                <w:ilvl w:val="0"/>
                <w:numId w:val="227"/>
              </w:numPr>
              <w:contextualSpacing w:val="0"/>
            </w:pPr>
            <w:r w:rsidRPr="002A2454">
              <w:t xml:space="preserve">If your hospital is using unique study instance UIDs for every scan performed, review your data to ensure that any scans performed on the same patient and same anatomic area within a one-hour timeframe are being combined into one encounter. The DLPs for all scans within the one-hour timeframe should be combined and that combined value used to calculate the percentiles reported to Leapfrog. </w:t>
            </w:r>
          </w:p>
          <w:p w14:paraId="54E47320" w14:textId="01A6B664" w:rsidR="002A2454" w:rsidRPr="002A2454" w:rsidRDefault="002A2454" w:rsidP="00AD309C">
            <w:pPr>
              <w:pStyle w:val="ListParagraph"/>
              <w:numPr>
                <w:ilvl w:val="0"/>
                <w:numId w:val="227"/>
              </w:numPr>
              <w:contextualSpacing w:val="0"/>
              <w:rPr>
                <w:i/>
                <w:iCs/>
              </w:rPr>
            </w:pPr>
            <w:r w:rsidRPr="002A2454">
              <w:t>If your hospital is NOT using unique study instance UIDs and is combining DLPs for all scans performed on the same patient and same anatomic area within one hour into one study instance UID, no review is required as this adheres to the definition of encounter. However, these hospitals should review any repeat or delayed scans to ensure repeat or delayed scans performed greater than 60 minutes apart are not being combined into the same study instance UID.</w:t>
            </w:r>
          </w:p>
        </w:tc>
      </w:tr>
      <w:tr w:rsidR="00C12B40" w:rsidRPr="009A5185" w14:paraId="3A1C859B" w14:textId="77777777" w:rsidTr="004F63C1">
        <w:trPr>
          <w:trHeight w:val="3600"/>
        </w:trPr>
        <w:tc>
          <w:tcPr>
            <w:tcW w:w="5000" w:type="pct"/>
            <w:vAlign w:val="center"/>
          </w:tcPr>
          <w:p w14:paraId="2C9B5F48" w14:textId="02CAD50F" w:rsidR="00C12B40" w:rsidRPr="009A5185" w:rsidRDefault="00C12B40" w:rsidP="00A212A4">
            <w:pPr>
              <w:pStyle w:val="NoSpacing"/>
              <w:rPr>
                <w:rFonts w:ascii="Arial" w:hAnsi="Arial" w:cs="Arial"/>
                <w:b/>
                <w:sz w:val="20"/>
              </w:rPr>
            </w:pPr>
            <w:r w:rsidRPr="009A5185">
              <w:rPr>
                <w:rFonts w:ascii="Arial" w:hAnsi="Arial" w:cs="Arial"/>
                <w:b/>
                <w:sz w:val="20"/>
              </w:rPr>
              <w:lastRenderedPageBreak/>
              <w:t>Q</w:t>
            </w:r>
            <w:r w:rsidR="00FC78C7">
              <w:rPr>
                <w:rFonts w:ascii="Arial" w:hAnsi="Arial" w:cs="Arial"/>
                <w:b/>
                <w:sz w:val="20"/>
              </w:rPr>
              <w:t>uestion #</w:t>
            </w:r>
            <w:r>
              <w:rPr>
                <w:rFonts w:ascii="Arial" w:hAnsi="Arial" w:cs="Arial"/>
                <w:b/>
                <w:sz w:val="20"/>
              </w:rPr>
              <w:t>6</w:t>
            </w:r>
            <w:r w:rsidRPr="009A5185">
              <w:rPr>
                <w:rFonts w:ascii="Arial" w:hAnsi="Arial" w:cs="Arial"/>
                <w:b/>
                <w:sz w:val="20"/>
              </w:rPr>
              <w:t>, columns b, c, and d: 25</w:t>
            </w:r>
            <w:r w:rsidRPr="009A5185">
              <w:rPr>
                <w:rFonts w:ascii="Arial" w:hAnsi="Arial" w:cs="Arial"/>
                <w:b/>
                <w:sz w:val="20"/>
                <w:vertAlign w:val="superscript"/>
              </w:rPr>
              <w:t>th</w:t>
            </w:r>
            <w:r w:rsidRPr="009A5185">
              <w:rPr>
                <w:rFonts w:ascii="Arial" w:hAnsi="Arial" w:cs="Arial"/>
                <w:b/>
                <w:sz w:val="20"/>
              </w:rPr>
              <w:t>, 50</w:t>
            </w:r>
            <w:r w:rsidRPr="009A5185">
              <w:rPr>
                <w:rFonts w:ascii="Arial" w:hAnsi="Arial" w:cs="Arial"/>
                <w:b/>
                <w:sz w:val="20"/>
                <w:vertAlign w:val="superscript"/>
              </w:rPr>
              <w:t>th</w:t>
            </w:r>
            <w:r w:rsidRPr="009A5185">
              <w:rPr>
                <w:rFonts w:ascii="Arial" w:hAnsi="Arial" w:cs="Arial"/>
                <w:b/>
                <w:sz w:val="20"/>
              </w:rPr>
              <w:t>, and 75</w:t>
            </w:r>
            <w:r w:rsidRPr="009A5185">
              <w:rPr>
                <w:rFonts w:ascii="Arial" w:hAnsi="Arial" w:cs="Arial"/>
                <w:b/>
                <w:sz w:val="20"/>
                <w:vertAlign w:val="superscript"/>
              </w:rPr>
              <w:t>th</w:t>
            </w:r>
            <w:r w:rsidRPr="009A5185">
              <w:rPr>
                <w:rFonts w:ascii="Arial" w:hAnsi="Arial" w:cs="Arial"/>
                <w:b/>
                <w:sz w:val="20"/>
              </w:rPr>
              <w:t xml:space="preserve"> Percentiles </w:t>
            </w:r>
          </w:p>
          <w:p w14:paraId="5FA3263F" w14:textId="7D5FEEF5" w:rsidR="00C12B40" w:rsidRPr="009A5185" w:rsidRDefault="00C12B40" w:rsidP="00A212A4">
            <w:pPr>
              <w:pStyle w:val="NoSpacing"/>
              <w:rPr>
                <w:rFonts w:ascii="Arial" w:hAnsi="Arial" w:cs="Arial"/>
                <w:sz w:val="20"/>
              </w:rPr>
            </w:pPr>
            <w:r w:rsidRPr="009A5185">
              <w:rPr>
                <w:rFonts w:ascii="Arial" w:hAnsi="Arial" w:cs="Arial"/>
                <w:sz w:val="20"/>
              </w:rPr>
              <w:t>Based on the encounters identified for each age stratum (column a), use your dose monitoring software to calculate the 25</w:t>
            </w:r>
            <w:r w:rsidRPr="009A5185">
              <w:rPr>
                <w:rFonts w:ascii="Arial" w:hAnsi="Arial" w:cs="Arial"/>
                <w:sz w:val="20"/>
                <w:vertAlign w:val="superscript"/>
              </w:rPr>
              <w:t xml:space="preserve">th </w:t>
            </w:r>
            <w:r w:rsidRPr="009A5185">
              <w:rPr>
                <w:rFonts w:ascii="Arial" w:hAnsi="Arial" w:cs="Arial"/>
                <w:sz w:val="20"/>
              </w:rPr>
              <w:t>percentile (column b), the 50</w:t>
            </w:r>
            <w:r w:rsidRPr="009A5185">
              <w:rPr>
                <w:rFonts w:ascii="Arial" w:hAnsi="Arial" w:cs="Arial"/>
                <w:sz w:val="20"/>
                <w:vertAlign w:val="superscript"/>
              </w:rPr>
              <w:t>th</w:t>
            </w:r>
            <w:r w:rsidRPr="009A5185">
              <w:rPr>
                <w:rFonts w:ascii="Arial" w:hAnsi="Arial" w:cs="Arial"/>
                <w:sz w:val="20"/>
              </w:rPr>
              <w:t xml:space="preserve"> percentile (column c), and the 75</w:t>
            </w:r>
            <w:r w:rsidRPr="009A5185">
              <w:rPr>
                <w:rFonts w:ascii="Arial" w:hAnsi="Arial" w:cs="Arial"/>
                <w:sz w:val="20"/>
                <w:vertAlign w:val="superscript"/>
              </w:rPr>
              <w:t>th</w:t>
            </w:r>
            <w:r w:rsidRPr="009A5185">
              <w:rPr>
                <w:rFonts w:ascii="Arial" w:hAnsi="Arial" w:cs="Arial"/>
                <w:sz w:val="20"/>
              </w:rPr>
              <w:t xml:space="preserve"> percentile (column d) for CT radiation dose length product (DLP) in</w:t>
            </w:r>
            <w:r w:rsidR="00B36C21">
              <w:rPr>
                <w:rFonts w:ascii="Arial" w:hAnsi="Arial" w:cs="Arial"/>
                <w:sz w:val="20"/>
              </w:rPr>
              <w:t xml:space="preserve"> </w:t>
            </w:r>
            <w:r w:rsidRPr="009A5185">
              <w:rPr>
                <w:rFonts w:ascii="Arial" w:hAnsi="Arial" w:cs="Arial"/>
                <w:b/>
                <w:sz w:val="20"/>
              </w:rPr>
              <w:t>head scans</w:t>
            </w:r>
            <w:r>
              <w:rPr>
                <w:rFonts w:ascii="Arial" w:hAnsi="Arial" w:cs="Arial"/>
                <w:b/>
                <w:sz w:val="20"/>
              </w:rPr>
              <w:t xml:space="preserve"> standardized to 16cm phantoms</w:t>
            </w:r>
            <w:r w:rsidRPr="009A5185">
              <w:rPr>
                <w:rFonts w:ascii="Arial" w:hAnsi="Arial" w:cs="Arial"/>
                <w:sz w:val="20"/>
              </w:rPr>
              <w:t xml:space="preserve">. Enter these values into the Survey rounded to the nearest whole number. </w:t>
            </w:r>
          </w:p>
          <w:p w14:paraId="10FF179B" w14:textId="77777777" w:rsidR="00C12B40" w:rsidRPr="009A5185" w:rsidRDefault="00C12B40" w:rsidP="00A212A4">
            <w:pPr>
              <w:pStyle w:val="NoSpacing"/>
              <w:rPr>
                <w:rFonts w:ascii="Arial" w:hAnsi="Arial" w:cs="Arial"/>
                <w:sz w:val="20"/>
              </w:rPr>
            </w:pPr>
          </w:p>
          <w:p w14:paraId="25394B2F" w14:textId="6742BBA3" w:rsidR="00C12B40" w:rsidRPr="009A5185" w:rsidRDefault="00C12B40" w:rsidP="00A212A4">
            <w:pPr>
              <w:pStyle w:val="NoSpacing"/>
              <w:rPr>
                <w:rFonts w:ascii="Arial" w:hAnsi="Arial" w:cs="Arial"/>
                <w:sz w:val="20"/>
              </w:rPr>
            </w:pPr>
            <w:r w:rsidRPr="009A5185">
              <w:rPr>
                <w:rFonts w:ascii="Arial" w:hAnsi="Arial" w:cs="Arial"/>
                <w:sz w:val="20"/>
              </w:rPr>
              <w:t>If the number of encounters for an age stratum (</w:t>
            </w:r>
            <w:r w:rsidR="00CD1F88" w:rsidRPr="009A5185">
              <w:rPr>
                <w:rFonts w:ascii="Arial" w:hAnsi="Arial" w:cs="Arial"/>
                <w:sz w:val="20"/>
              </w:rPr>
              <w:t>i.e.,</w:t>
            </w:r>
            <w:r w:rsidRPr="009A5185">
              <w:rPr>
                <w:rFonts w:ascii="Arial" w:hAnsi="Arial" w:cs="Arial"/>
                <w:sz w:val="20"/>
              </w:rPr>
              <w:t xml:space="preserve"> &lt;1 or 1-4, etc.) is less than 10 (column a), skip columns b, c, and d. If the number of encounters for an age stratum is zero, enter “0” in column a, and skip columns b, c, and d. You cannot leave any rows in column a blank. </w:t>
            </w:r>
          </w:p>
          <w:p w14:paraId="2206148E" w14:textId="77777777" w:rsidR="00C12B40" w:rsidRPr="009A5185" w:rsidRDefault="00C12B40" w:rsidP="00A212A4">
            <w:pPr>
              <w:pStyle w:val="NoSpacing"/>
              <w:rPr>
                <w:rFonts w:ascii="Arial" w:hAnsi="Arial" w:cs="Arial"/>
                <w:b/>
                <w:sz w:val="20"/>
                <w:szCs w:val="20"/>
              </w:rPr>
            </w:pPr>
          </w:p>
          <w:p w14:paraId="5E4F5431" w14:textId="77777777" w:rsidR="00C12B40" w:rsidRPr="009A5185" w:rsidRDefault="00C12B40" w:rsidP="00A212A4">
            <w:pPr>
              <w:pStyle w:val="NoSpacing"/>
              <w:rPr>
                <w:rFonts w:ascii="Arial" w:hAnsi="Arial" w:cs="Arial"/>
                <w:b/>
                <w:sz w:val="20"/>
                <w:szCs w:val="20"/>
              </w:rPr>
            </w:pPr>
            <w:r w:rsidRPr="009A5185">
              <w:rPr>
                <w:rFonts w:ascii="Arial" w:hAnsi="Arial" w:cs="Arial"/>
                <w:b/>
                <w:sz w:val="20"/>
                <w:szCs w:val="20"/>
              </w:rPr>
              <w:t>Phantom Dose Specifications:</w:t>
            </w:r>
          </w:p>
          <w:p w14:paraId="66D4C15B" w14:textId="1BF11D51" w:rsidR="00C12B40" w:rsidRDefault="00C12B40" w:rsidP="00A212A4">
            <w:pPr>
              <w:pStyle w:val="NoSpacing"/>
              <w:rPr>
                <w:rFonts w:ascii="Arial" w:hAnsi="Arial" w:cs="Arial"/>
                <w:sz w:val="20"/>
                <w:szCs w:val="20"/>
              </w:rPr>
            </w:pPr>
            <w:r w:rsidRPr="009A5185">
              <w:rPr>
                <w:rFonts w:ascii="Arial" w:hAnsi="Arial" w:cs="Arial"/>
                <w:sz w:val="20"/>
                <w:szCs w:val="20"/>
              </w:rPr>
              <w:t xml:space="preserve">For head scans, use a 16 cm phantom dose value. The </w:t>
            </w:r>
            <w:r w:rsidR="00FE0E25">
              <w:rPr>
                <w:rFonts w:ascii="Arial" w:hAnsi="Arial" w:cs="Arial"/>
                <w:sz w:val="20"/>
                <w:szCs w:val="20"/>
              </w:rPr>
              <w:t>orange</w:t>
            </w:r>
            <w:r w:rsidRPr="009A5185">
              <w:rPr>
                <w:rFonts w:ascii="Arial" w:hAnsi="Arial" w:cs="Arial"/>
                <w:sz w:val="20"/>
                <w:szCs w:val="20"/>
              </w:rPr>
              <w:t xml:space="preserve"> box in the screenshot below the table is an example of a Dose Report which shows the phantom dose value used. The phantom dose value is used to estimate the radiation dose to the patient.</w:t>
            </w:r>
          </w:p>
          <w:p w14:paraId="05CE8669" w14:textId="7C35A98B" w:rsidR="00ED06C6" w:rsidRDefault="00ED06C6" w:rsidP="00A212A4">
            <w:pPr>
              <w:pStyle w:val="NoSpacing"/>
              <w:rPr>
                <w:rFonts w:ascii="Arial" w:hAnsi="Arial" w:cs="Arial"/>
                <w:sz w:val="20"/>
                <w:szCs w:val="20"/>
              </w:rPr>
            </w:pPr>
          </w:p>
          <w:p w14:paraId="245DB604" w14:textId="31C7CA3E" w:rsidR="002D1792" w:rsidRPr="009A5185" w:rsidRDefault="00ED06C6" w:rsidP="005D3242">
            <w:pPr>
              <w:pStyle w:val="NoSpacing"/>
              <w:rPr>
                <w:rFonts w:ascii="Arial" w:hAnsi="Arial" w:cs="Arial"/>
                <w:sz w:val="20"/>
                <w:szCs w:val="20"/>
              </w:rPr>
            </w:pPr>
            <w:r w:rsidRPr="00ED06C6">
              <w:rPr>
                <w:rFonts w:ascii="Arial" w:hAnsi="Arial" w:cs="Arial"/>
                <w:b/>
                <w:bCs/>
                <w:sz w:val="20"/>
                <w:szCs w:val="20"/>
              </w:rPr>
              <w:t>Scout Doses (Topograms)</w:t>
            </w:r>
            <w:r>
              <w:rPr>
                <w:rFonts w:ascii="Arial" w:hAnsi="Arial" w:cs="Arial"/>
                <w:sz w:val="20"/>
                <w:szCs w:val="20"/>
              </w:rPr>
              <w:t xml:space="preserve"> should not be included when calculating the 25</w:t>
            </w:r>
            <w:r w:rsidRPr="00ED06C6">
              <w:rPr>
                <w:rFonts w:ascii="Arial" w:hAnsi="Arial" w:cs="Arial"/>
                <w:sz w:val="20"/>
                <w:szCs w:val="20"/>
                <w:vertAlign w:val="superscript"/>
              </w:rPr>
              <w:t>th</w:t>
            </w:r>
            <w:r>
              <w:rPr>
                <w:rFonts w:ascii="Arial" w:hAnsi="Arial" w:cs="Arial"/>
                <w:sz w:val="20"/>
                <w:szCs w:val="20"/>
              </w:rPr>
              <w:t>, 50</w:t>
            </w:r>
            <w:r w:rsidRPr="00ED06C6">
              <w:rPr>
                <w:rFonts w:ascii="Arial" w:hAnsi="Arial" w:cs="Arial"/>
                <w:sz w:val="20"/>
                <w:szCs w:val="20"/>
                <w:vertAlign w:val="superscript"/>
              </w:rPr>
              <w:t>th</w:t>
            </w:r>
            <w:r>
              <w:rPr>
                <w:rFonts w:ascii="Arial" w:hAnsi="Arial" w:cs="Arial"/>
                <w:sz w:val="20"/>
                <w:szCs w:val="20"/>
              </w:rPr>
              <w:t>, or 75</w:t>
            </w:r>
            <w:r w:rsidRPr="00ED06C6">
              <w:rPr>
                <w:rFonts w:ascii="Arial" w:hAnsi="Arial" w:cs="Arial"/>
                <w:sz w:val="20"/>
                <w:szCs w:val="20"/>
                <w:vertAlign w:val="superscript"/>
              </w:rPr>
              <w:t>th</w:t>
            </w:r>
            <w:r>
              <w:rPr>
                <w:rFonts w:ascii="Arial" w:hAnsi="Arial" w:cs="Arial"/>
                <w:sz w:val="20"/>
                <w:szCs w:val="20"/>
              </w:rPr>
              <w:t xml:space="preserve"> percentiles. </w:t>
            </w:r>
          </w:p>
        </w:tc>
      </w:tr>
      <w:tr w:rsidR="00C12B40" w:rsidRPr="009A5185" w14:paraId="353051A2" w14:textId="77777777" w:rsidTr="00A212A4">
        <w:tc>
          <w:tcPr>
            <w:tcW w:w="5000" w:type="pct"/>
            <w:vAlign w:val="center"/>
          </w:tcPr>
          <w:p w14:paraId="733E5017" w14:textId="3A5C6010" w:rsidR="00C12B40" w:rsidRPr="009F758E" w:rsidRDefault="00C12B40" w:rsidP="00A212A4">
            <w:pPr>
              <w:pStyle w:val="NoSpacing"/>
              <w:rPr>
                <w:rFonts w:ascii="Arial" w:hAnsi="Arial" w:cs="Arial"/>
                <w:b/>
                <w:sz w:val="20"/>
              </w:rPr>
            </w:pPr>
            <w:r w:rsidRPr="009A5185">
              <w:rPr>
                <w:rFonts w:ascii="Arial" w:hAnsi="Arial" w:cs="Arial"/>
                <w:b/>
                <w:sz w:val="20"/>
              </w:rPr>
              <w:t>Q</w:t>
            </w:r>
            <w:r w:rsidR="00FC78C7">
              <w:rPr>
                <w:rFonts w:ascii="Arial" w:hAnsi="Arial" w:cs="Arial"/>
                <w:b/>
                <w:sz w:val="20"/>
              </w:rPr>
              <w:t>uestion #</w:t>
            </w:r>
            <w:r>
              <w:rPr>
                <w:rFonts w:ascii="Arial" w:hAnsi="Arial" w:cs="Arial"/>
                <w:b/>
                <w:sz w:val="20"/>
              </w:rPr>
              <w:t xml:space="preserve">7 </w:t>
            </w:r>
            <w:r w:rsidRPr="009A5185">
              <w:rPr>
                <w:rFonts w:ascii="Arial" w:hAnsi="Arial" w:cs="Arial"/>
                <w:b/>
                <w:sz w:val="20"/>
                <w:szCs w:val="20"/>
              </w:rPr>
              <w:t>column a: Total Number of Encounters</w:t>
            </w:r>
          </w:p>
          <w:p w14:paraId="389378D1" w14:textId="31EEA0A8" w:rsidR="00C12B40" w:rsidRDefault="00C12B40" w:rsidP="00A212A4">
            <w:pPr>
              <w:pStyle w:val="NoSpacing"/>
              <w:rPr>
                <w:rFonts w:ascii="Arial" w:hAnsi="Arial" w:cs="Arial"/>
                <w:sz w:val="20"/>
                <w:szCs w:val="20"/>
              </w:rPr>
            </w:pPr>
            <w:r w:rsidRPr="009A5185">
              <w:rPr>
                <w:rFonts w:ascii="Arial" w:hAnsi="Arial" w:cs="Arial"/>
                <w:sz w:val="20"/>
                <w:szCs w:val="20"/>
              </w:rPr>
              <w:t>Using your dose monitoring software, obtain th</w:t>
            </w:r>
            <w:r>
              <w:rPr>
                <w:rFonts w:ascii="Arial" w:hAnsi="Arial" w:cs="Arial"/>
                <w:sz w:val="20"/>
                <w:szCs w:val="20"/>
              </w:rPr>
              <w:t>e total number of encounters in</w:t>
            </w:r>
            <w:r w:rsidR="00B36C21">
              <w:rPr>
                <w:rFonts w:ascii="Arial" w:hAnsi="Arial" w:cs="Arial"/>
                <w:sz w:val="20"/>
                <w:szCs w:val="20"/>
              </w:rPr>
              <w:t xml:space="preserve"> </w:t>
            </w:r>
            <w:r w:rsidRPr="006A08C6">
              <w:rPr>
                <w:rFonts w:ascii="Arial" w:hAnsi="Arial" w:cs="Arial"/>
                <w:b/>
                <w:sz w:val="20"/>
                <w:szCs w:val="20"/>
              </w:rPr>
              <w:t>abdomen/pelvis</w:t>
            </w:r>
            <w:r w:rsidRPr="009A5185">
              <w:rPr>
                <w:rFonts w:ascii="Arial" w:hAnsi="Arial" w:cs="Arial"/>
                <w:sz w:val="20"/>
                <w:szCs w:val="20"/>
              </w:rPr>
              <w:t xml:space="preserve"> for each age stratum (&lt;1, 1-4, 5-9, 10-14, 15-17). Enter these values into the Survey. </w:t>
            </w:r>
          </w:p>
          <w:p w14:paraId="0C8ECA83" w14:textId="77777777" w:rsidR="00C12B40" w:rsidRDefault="00C12B40" w:rsidP="00A212A4">
            <w:pPr>
              <w:pStyle w:val="NoSpacing"/>
              <w:rPr>
                <w:rFonts w:ascii="Arial" w:hAnsi="Arial" w:cs="Arial"/>
                <w:sz w:val="20"/>
                <w:szCs w:val="20"/>
              </w:rPr>
            </w:pPr>
          </w:p>
          <w:p w14:paraId="0AD3C4F9" w14:textId="77777777" w:rsidR="00521831" w:rsidRPr="009F758E" w:rsidRDefault="00521831" w:rsidP="00A212A4">
            <w:pPr>
              <w:pStyle w:val="NoSpacing"/>
              <w:rPr>
                <w:rFonts w:ascii="Arial" w:hAnsi="Arial" w:cs="Arial"/>
                <w:sz w:val="20"/>
                <w:szCs w:val="20"/>
              </w:rPr>
            </w:pPr>
            <w:r w:rsidRPr="00C14B09">
              <w:rPr>
                <w:rFonts w:ascii="Arial" w:hAnsi="Arial" w:cs="Arial"/>
                <w:b/>
                <w:sz w:val="20"/>
                <w:szCs w:val="20"/>
              </w:rPr>
              <w:t>Inclusions:</w:t>
            </w:r>
          </w:p>
          <w:p w14:paraId="79383502" w14:textId="77777777" w:rsidR="00521831" w:rsidRPr="00F214DA" w:rsidRDefault="00521831" w:rsidP="00A212A4">
            <w:pPr>
              <w:pStyle w:val="NoSpacing"/>
              <w:rPr>
                <w:rFonts w:ascii="Arial" w:hAnsi="Arial" w:cs="Arial"/>
                <w:sz w:val="20"/>
                <w:szCs w:val="20"/>
              </w:rPr>
            </w:pPr>
            <w:r w:rsidRPr="00F214DA">
              <w:rPr>
                <w:rFonts w:ascii="Arial" w:hAnsi="Arial" w:cs="Arial"/>
                <w:color w:val="000000"/>
                <w:sz w:val="20"/>
                <w:szCs w:val="20"/>
              </w:rPr>
              <w:t>CT ABD PELVIS W IVCON</w:t>
            </w:r>
          </w:p>
          <w:p w14:paraId="7C568289"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ABD/PEL W IVCON</w:t>
            </w:r>
          </w:p>
          <w:p w14:paraId="1DDAC8DE"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PEDS ABD PELVIS</w:t>
            </w:r>
          </w:p>
          <w:p w14:paraId="6D58B34E"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ABD PELVIS WO IVCON</w:t>
            </w:r>
          </w:p>
          <w:p w14:paraId="7EE39C30"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ABD/PEL WO IVCON</w:t>
            </w:r>
          </w:p>
          <w:p w14:paraId="7CEBCA28"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ABD/PEL</w:t>
            </w:r>
          </w:p>
          <w:p w14:paraId="7CB74FF2"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lastRenderedPageBreak/>
              <w:t>CT PEDS ABD/PEL WO IVCON</w:t>
            </w:r>
          </w:p>
          <w:p w14:paraId="1F82FB04"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ABD PELVIS WO &amp; W IVCON</w:t>
            </w:r>
          </w:p>
          <w:p w14:paraId="7EE484EB"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ABD/PEL WO &amp; W IVCON</w:t>
            </w:r>
          </w:p>
          <w:p w14:paraId="1FCC1B9E"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ABD PELVIS</w:t>
            </w:r>
          </w:p>
          <w:p w14:paraId="744C33C5" w14:textId="77777777" w:rsidR="00521831" w:rsidRPr="00F214DA" w:rsidRDefault="00521831" w:rsidP="00A212A4">
            <w:pPr>
              <w:pStyle w:val="NoSpacing"/>
              <w:rPr>
                <w:rFonts w:ascii="Arial" w:hAnsi="Arial" w:cs="Arial"/>
                <w:sz w:val="20"/>
                <w:szCs w:val="20"/>
              </w:rPr>
            </w:pPr>
            <w:r w:rsidRPr="00F214DA">
              <w:rPr>
                <w:rFonts w:ascii="Arial" w:hAnsi="Arial" w:cs="Arial"/>
                <w:sz w:val="20"/>
                <w:szCs w:val="20"/>
              </w:rPr>
              <w:t>CT ABD PELVIS WO IVCON</w:t>
            </w:r>
          </w:p>
          <w:p w14:paraId="6C9D972E" w14:textId="77777777" w:rsidR="00B84E83" w:rsidRDefault="00B84E83" w:rsidP="00A212A4">
            <w:pPr>
              <w:pStyle w:val="NoSpacing"/>
              <w:rPr>
                <w:rFonts w:ascii="Arial" w:hAnsi="Arial" w:cs="Arial"/>
                <w:b/>
                <w:sz w:val="20"/>
                <w:szCs w:val="20"/>
              </w:rPr>
            </w:pPr>
          </w:p>
          <w:p w14:paraId="638F88DB" w14:textId="487C88EC" w:rsidR="00C12B40" w:rsidRPr="006A08C6" w:rsidRDefault="00C12B40" w:rsidP="00A212A4">
            <w:pPr>
              <w:pStyle w:val="NoSpacing"/>
              <w:rPr>
                <w:rFonts w:cs="Arial"/>
                <w:b/>
              </w:rPr>
            </w:pPr>
            <w:r w:rsidRPr="009A5185">
              <w:rPr>
                <w:rFonts w:ascii="Arial" w:hAnsi="Arial" w:cs="Arial"/>
                <w:b/>
                <w:sz w:val="20"/>
                <w:szCs w:val="20"/>
              </w:rPr>
              <w:t>Exclusions:</w:t>
            </w:r>
          </w:p>
          <w:p w14:paraId="14823498" w14:textId="77777777" w:rsidR="00C12B40" w:rsidRDefault="00C12B40" w:rsidP="00AD309C">
            <w:pPr>
              <w:pStyle w:val="ListParagraph"/>
              <w:numPr>
                <w:ilvl w:val="0"/>
                <w:numId w:val="135"/>
              </w:numPr>
              <w:rPr>
                <w:rFonts w:cs="Arial"/>
              </w:rPr>
            </w:pPr>
            <w:r>
              <w:rPr>
                <w:rFonts w:cs="Arial"/>
              </w:rPr>
              <w:t>Encounters where the indication is for a biopsy, including prop studies and stereotactic studies and procedures</w:t>
            </w:r>
          </w:p>
          <w:p w14:paraId="6228686F" w14:textId="26956E19" w:rsidR="00C12B40" w:rsidRDefault="00C12B40" w:rsidP="00AD309C">
            <w:pPr>
              <w:pStyle w:val="ListParagraph"/>
              <w:numPr>
                <w:ilvl w:val="0"/>
                <w:numId w:val="135"/>
              </w:numPr>
              <w:rPr>
                <w:rFonts w:cs="Arial"/>
              </w:rPr>
            </w:pPr>
            <w:r w:rsidRPr="009F758E">
              <w:rPr>
                <w:rFonts w:cs="Arial"/>
              </w:rPr>
              <w:t xml:space="preserve">Encounters that cross multiple anatomic areas should be excluded. For example, encounters involving both the </w:t>
            </w:r>
            <w:r>
              <w:rPr>
                <w:rFonts w:cs="Arial"/>
              </w:rPr>
              <w:t>chest and abdomen/pelvis are excluded from the “abdomen/pelvis</w:t>
            </w:r>
            <w:r w:rsidRPr="009F758E">
              <w:rPr>
                <w:rFonts w:cs="Arial"/>
              </w:rPr>
              <w:t>” anatomic region.</w:t>
            </w:r>
          </w:p>
          <w:p w14:paraId="4DAD6C9A" w14:textId="47165A2B" w:rsidR="005D4462" w:rsidRPr="005D4462" w:rsidRDefault="005D4462" w:rsidP="00AD309C">
            <w:pPr>
              <w:pStyle w:val="ListParagraph"/>
              <w:numPr>
                <w:ilvl w:val="0"/>
                <w:numId w:val="135"/>
              </w:numPr>
              <w:rPr>
                <w:rFonts w:cs="Arial"/>
              </w:rPr>
            </w:pPr>
            <w:r w:rsidRPr="005D4462">
              <w:rPr>
                <w:rFonts w:cs="Arial"/>
              </w:rPr>
              <w:t xml:space="preserve">Encounters where the documented age is </w:t>
            </w:r>
            <w:r>
              <w:rPr>
                <w:rFonts w:cs="Arial"/>
              </w:rPr>
              <w:t xml:space="preserve">missing or listed as </w:t>
            </w:r>
            <w:r w:rsidRPr="005D4462">
              <w:rPr>
                <w:rFonts w:cs="Arial"/>
              </w:rPr>
              <w:t>the date of admission (i.e., an accurate birthday could not be obtained and therefore the admission date was used), as i</w:t>
            </w:r>
            <w:r>
              <w:rPr>
                <w:rFonts w:cs="Arial"/>
              </w:rPr>
              <w:t>s</w:t>
            </w:r>
            <w:r w:rsidRPr="005D4462">
              <w:rPr>
                <w:rFonts w:cs="Arial"/>
              </w:rPr>
              <w:t xml:space="preserve"> the case </w:t>
            </w:r>
            <w:r>
              <w:rPr>
                <w:rFonts w:cs="Arial"/>
              </w:rPr>
              <w:t>for some</w:t>
            </w:r>
            <w:r w:rsidRPr="005D4462">
              <w:rPr>
                <w:rFonts w:cs="Arial"/>
              </w:rPr>
              <w:t xml:space="preserve"> trauma patients</w:t>
            </w:r>
          </w:p>
          <w:p w14:paraId="433B5386" w14:textId="77777777" w:rsidR="00C12B40" w:rsidRPr="009A5185" w:rsidRDefault="00C12B40" w:rsidP="00A212A4">
            <w:pPr>
              <w:rPr>
                <w:rFonts w:cs="Arial"/>
              </w:rPr>
            </w:pPr>
          </w:p>
          <w:p w14:paraId="3E5099FD" w14:textId="27B3CE8B" w:rsidR="00C12B40" w:rsidRPr="00577976" w:rsidRDefault="00C12B40" w:rsidP="004F63C1">
            <w:r w:rsidRPr="009A5185">
              <w:rPr>
                <w:rFonts w:cs="Arial"/>
                <w:b/>
              </w:rPr>
              <w:t>Sampling Cases:</w:t>
            </w:r>
            <w:r w:rsidR="005D3242">
              <w:rPr>
                <w:rFonts w:cs="Arial"/>
                <w:b/>
              </w:rPr>
              <w:t xml:space="preserve"> </w:t>
            </w:r>
            <w:r w:rsidRPr="009A5185">
              <w:t>Hospitals using dose monitoring software</w:t>
            </w:r>
            <w:r>
              <w:t xml:space="preserve"> must </w:t>
            </w:r>
            <w:r w:rsidRPr="009A5185">
              <w:t xml:space="preserve">report on </w:t>
            </w:r>
            <w:r w:rsidRPr="009A5185">
              <w:rPr>
                <w:u w:val="single"/>
              </w:rPr>
              <w:t>all</w:t>
            </w:r>
            <w:r w:rsidRPr="009A5185">
              <w:t xml:space="preserve"> encounters in the 12-month reporting period.</w:t>
            </w:r>
          </w:p>
        </w:tc>
      </w:tr>
      <w:tr w:rsidR="00C12B40" w:rsidRPr="009A5185" w14:paraId="400DC6AE" w14:textId="77777777" w:rsidTr="004F63C1">
        <w:trPr>
          <w:trHeight w:val="3888"/>
        </w:trPr>
        <w:tc>
          <w:tcPr>
            <w:tcW w:w="5000" w:type="pct"/>
            <w:vAlign w:val="center"/>
          </w:tcPr>
          <w:p w14:paraId="19B87BB6" w14:textId="04DE27D3" w:rsidR="00C12B40" w:rsidRPr="009A5185" w:rsidRDefault="00C12B40" w:rsidP="00A212A4">
            <w:pPr>
              <w:pStyle w:val="NoSpacing"/>
              <w:rPr>
                <w:rFonts w:ascii="Arial" w:hAnsi="Arial" w:cs="Arial"/>
                <w:b/>
                <w:sz w:val="20"/>
              </w:rPr>
            </w:pPr>
            <w:r w:rsidRPr="009A5185">
              <w:rPr>
                <w:rFonts w:ascii="Arial" w:hAnsi="Arial" w:cs="Arial"/>
                <w:b/>
                <w:sz w:val="20"/>
              </w:rPr>
              <w:lastRenderedPageBreak/>
              <w:t>Q</w:t>
            </w:r>
            <w:r w:rsidR="00FC78C7">
              <w:rPr>
                <w:rFonts w:ascii="Arial" w:hAnsi="Arial" w:cs="Arial"/>
                <w:b/>
                <w:sz w:val="20"/>
              </w:rPr>
              <w:t>uestion #</w:t>
            </w:r>
            <w:r>
              <w:rPr>
                <w:rFonts w:ascii="Arial" w:hAnsi="Arial" w:cs="Arial"/>
                <w:b/>
                <w:sz w:val="20"/>
              </w:rPr>
              <w:t>7</w:t>
            </w:r>
            <w:r w:rsidRPr="009A5185">
              <w:rPr>
                <w:rFonts w:ascii="Arial" w:hAnsi="Arial" w:cs="Arial"/>
                <w:b/>
                <w:sz w:val="20"/>
              </w:rPr>
              <w:t>, columns b, c, and d: 25</w:t>
            </w:r>
            <w:r w:rsidRPr="009A5185">
              <w:rPr>
                <w:rFonts w:ascii="Arial" w:hAnsi="Arial" w:cs="Arial"/>
                <w:b/>
                <w:sz w:val="20"/>
                <w:vertAlign w:val="superscript"/>
              </w:rPr>
              <w:t>th</w:t>
            </w:r>
            <w:r w:rsidRPr="009A5185">
              <w:rPr>
                <w:rFonts w:ascii="Arial" w:hAnsi="Arial" w:cs="Arial"/>
                <w:b/>
                <w:sz w:val="20"/>
              </w:rPr>
              <w:t>, 50</w:t>
            </w:r>
            <w:r w:rsidRPr="009A5185">
              <w:rPr>
                <w:rFonts w:ascii="Arial" w:hAnsi="Arial" w:cs="Arial"/>
                <w:b/>
                <w:sz w:val="20"/>
                <w:vertAlign w:val="superscript"/>
              </w:rPr>
              <w:t>th</w:t>
            </w:r>
            <w:r w:rsidRPr="009A5185">
              <w:rPr>
                <w:rFonts w:ascii="Arial" w:hAnsi="Arial" w:cs="Arial"/>
                <w:b/>
                <w:sz w:val="20"/>
              </w:rPr>
              <w:t>, and 75</w:t>
            </w:r>
            <w:r w:rsidRPr="009A5185">
              <w:rPr>
                <w:rFonts w:ascii="Arial" w:hAnsi="Arial" w:cs="Arial"/>
                <w:b/>
                <w:sz w:val="20"/>
                <w:vertAlign w:val="superscript"/>
              </w:rPr>
              <w:t>th</w:t>
            </w:r>
            <w:r w:rsidRPr="009A5185">
              <w:rPr>
                <w:rFonts w:ascii="Arial" w:hAnsi="Arial" w:cs="Arial"/>
                <w:b/>
                <w:sz w:val="20"/>
              </w:rPr>
              <w:t xml:space="preserve"> Percentiles </w:t>
            </w:r>
          </w:p>
          <w:p w14:paraId="556EB003" w14:textId="5D94A83A" w:rsidR="00C12B40" w:rsidRPr="009A5185" w:rsidRDefault="00C12B40" w:rsidP="00A212A4">
            <w:pPr>
              <w:pStyle w:val="NoSpacing"/>
              <w:rPr>
                <w:rFonts w:ascii="Arial" w:hAnsi="Arial" w:cs="Arial"/>
                <w:sz w:val="20"/>
              </w:rPr>
            </w:pPr>
            <w:r w:rsidRPr="009A5185">
              <w:rPr>
                <w:rFonts w:ascii="Arial" w:hAnsi="Arial" w:cs="Arial"/>
                <w:sz w:val="20"/>
              </w:rPr>
              <w:t>Based on the encounters identified for each age stratum (column a), use your dose monitoring software to calculate the 25</w:t>
            </w:r>
            <w:r w:rsidRPr="009A5185">
              <w:rPr>
                <w:rFonts w:ascii="Arial" w:hAnsi="Arial" w:cs="Arial"/>
                <w:sz w:val="20"/>
                <w:vertAlign w:val="superscript"/>
              </w:rPr>
              <w:t xml:space="preserve">th </w:t>
            </w:r>
            <w:r w:rsidRPr="009A5185">
              <w:rPr>
                <w:rFonts w:ascii="Arial" w:hAnsi="Arial" w:cs="Arial"/>
                <w:sz w:val="20"/>
              </w:rPr>
              <w:t>percentile (column b), the 50</w:t>
            </w:r>
            <w:r w:rsidRPr="009A5185">
              <w:rPr>
                <w:rFonts w:ascii="Arial" w:hAnsi="Arial" w:cs="Arial"/>
                <w:sz w:val="20"/>
                <w:vertAlign w:val="superscript"/>
              </w:rPr>
              <w:t>th</w:t>
            </w:r>
            <w:r w:rsidRPr="009A5185">
              <w:rPr>
                <w:rFonts w:ascii="Arial" w:hAnsi="Arial" w:cs="Arial"/>
                <w:sz w:val="20"/>
              </w:rPr>
              <w:t xml:space="preserve"> percentile (column c), and the 75</w:t>
            </w:r>
            <w:r w:rsidRPr="009A5185">
              <w:rPr>
                <w:rFonts w:ascii="Arial" w:hAnsi="Arial" w:cs="Arial"/>
                <w:sz w:val="20"/>
                <w:vertAlign w:val="superscript"/>
              </w:rPr>
              <w:t>th</w:t>
            </w:r>
            <w:r w:rsidRPr="009A5185">
              <w:rPr>
                <w:rFonts w:ascii="Arial" w:hAnsi="Arial" w:cs="Arial"/>
                <w:sz w:val="20"/>
              </w:rPr>
              <w:t xml:space="preserve"> percentile (column d) for CT radiation dose length product (DLP) in</w:t>
            </w:r>
            <w:r w:rsidR="00B36C21">
              <w:rPr>
                <w:rFonts w:ascii="Arial" w:hAnsi="Arial" w:cs="Arial"/>
                <w:sz w:val="20"/>
              </w:rPr>
              <w:t xml:space="preserve"> </w:t>
            </w:r>
            <w:r>
              <w:rPr>
                <w:rFonts w:ascii="Arial" w:hAnsi="Arial" w:cs="Arial"/>
                <w:b/>
                <w:sz w:val="20"/>
              </w:rPr>
              <w:t>abdomen/pelvis</w:t>
            </w:r>
            <w:r w:rsidRPr="009A5185">
              <w:rPr>
                <w:rFonts w:ascii="Arial" w:hAnsi="Arial" w:cs="Arial"/>
                <w:b/>
                <w:sz w:val="20"/>
              </w:rPr>
              <w:t xml:space="preserve"> scans</w:t>
            </w:r>
            <w:r>
              <w:rPr>
                <w:rFonts w:ascii="Arial" w:hAnsi="Arial" w:cs="Arial"/>
                <w:b/>
                <w:sz w:val="20"/>
              </w:rPr>
              <w:t xml:space="preserve"> standardized to 32cm phantoms</w:t>
            </w:r>
            <w:r w:rsidRPr="009A5185">
              <w:rPr>
                <w:rFonts w:ascii="Arial" w:hAnsi="Arial" w:cs="Arial"/>
                <w:sz w:val="20"/>
              </w:rPr>
              <w:t xml:space="preserve">. Enter these values into the Survey rounded to the nearest whole number. </w:t>
            </w:r>
          </w:p>
          <w:p w14:paraId="12633417" w14:textId="77777777" w:rsidR="00C12B40" w:rsidRPr="009A5185" w:rsidRDefault="00C12B40" w:rsidP="00A212A4">
            <w:pPr>
              <w:pStyle w:val="NoSpacing"/>
              <w:rPr>
                <w:rFonts w:ascii="Arial" w:hAnsi="Arial" w:cs="Arial"/>
                <w:sz w:val="20"/>
              </w:rPr>
            </w:pPr>
          </w:p>
          <w:p w14:paraId="02D21766" w14:textId="198FA5E0" w:rsidR="00C12B40" w:rsidRPr="009A5185" w:rsidRDefault="00C12B40" w:rsidP="00A212A4">
            <w:pPr>
              <w:pStyle w:val="NoSpacing"/>
              <w:rPr>
                <w:rFonts w:ascii="Arial" w:hAnsi="Arial" w:cs="Arial"/>
                <w:sz w:val="20"/>
              </w:rPr>
            </w:pPr>
            <w:r w:rsidRPr="009A5185">
              <w:rPr>
                <w:rFonts w:ascii="Arial" w:hAnsi="Arial" w:cs="Arial"/>
                <w:sz w:val="20"/>
              </w:rPr>
              <w:t>If the number of encounters for an age stratum (</w:t>
            </w:r>
            <w:r w:rsidR="00342951" w:rsidRPr="009A5185">
              <w:rPr>
                <w:rFonts w:ascii="Arial" w:hAnsi="Arial" w:cs="Arial"/>
                <w:sz w:val="20"/>
              </w:rPr>
              <w:t>i.e.,</w:t>
            </w:r>
            <w:r w:rsidRPr="009A5185">
              <w:rPr>
                <w:rFonts w:ascii="Arial" w:hAnsi="Arial" w:cs="Arial"/>
                <w:sz w:val="20"/>
              </w:rPr>
              <w:t xml:space="preserve"> &lt;1 or 1-4, etc.) is less than 10 (column a), skip columns b, c, and d. If the number of encounters for an age stratum is zero, enter “0” in column a, and skip columns b, c, and d. You cannot leave any rows in column a blank. </w:t>
            </w:r>
          </w:p>
          <w:p w14:paraId="50D84AA4" w14:textId="77777777" w:rsidR="00C12B40" w:rsidRPr="009A5185" w:rsidRDefault="00C12B40" w:rsidP="00A212A4">
            <w:pPr>
              <w:pStyle w:val="NoSpacing"/>
              <w:rPr>
                <w:rFonts w:ascii="Arial" w:hAnsi="Arial" w:cs="Arial"/>
                <w:b/>
                <w:sz w:val="20"/>
                <w:szCs w:val="20"/>
              </w:rPr>
            </w:pPr>
          </w:p>
          <w:p w14:paraId="14B46454" w14:textId="77777777" w:rsidR="00C12B40" w:rsidRPr="009A5185" w:rsidRDefault="00C12B40" w:rsidP="00A212A4">
            <w:pPr>
              <w:pStyle w:val="NoSpacing"/>
              <w:rPr>
                <w:rFonts w:ascii="Arial" w:hAnsi="Arial" w:cs="Arial"/>
                <w:b/>
                <w:sz w:val="20"/>
                <w:szCs w:val="20"/>
              </w:rPr>
            </w:pPr>
            <w:r w:rsidRPr="009A5185">
              <w:rPr>
                <w:rFonts w:ascii="Arial" w:hAnsi="Arial" w:cs="Arial"/>
                <w:b/>
                <w:sz w:val="20"/>
                <w:szCs w:val="20"/>
              </w:rPr>
              <w:t>Phantom Dose Specifications:</w:t>
            </w:r>
          </w:p>
          <w:p w14:paraId="1167B233" w14:textId="271D12C3" w:rsidR="00C12B40" w:rsidRDefault="00C12B40" w:rsidP="00A212A4">
            <w:pPr>
              <w:pStyle w:val="NoSpacing"/>
              <w:rPr>
                <w:rFonts w:ascii="Arial" w:hAnsi="Arial" w:cs="Arial"/>
                <w:sz w:val="20"/>
                <w:szCs w:val="20"/>
              </w:rPr>
            </w:pPr>
            <w:r>
              <w:rPr>
                <w:rFonts w:ascii="Arial" w:hAnsi="Arial" w:cs="Arial"/>
                <w:sz w:val="20"/>
                <w:szCs w:val="20"/>
              </w:rPr>
              <w:t>For abdomen/pelvis scans, use a 32</w:t>
            </w:r>
            <w:r w:rsidRPr="009A5185">
              <w:rPr>
                <w:rFonts w:ascii="Arial" w:hAnsi="Arial" w:cs="Arial"/>
                <w:sz w:val="20"/>
                <w:szCs w:val="20"/>
              </w:rPr>
              <w:t xml:space="preserve">cm phantom dose value. The </w:t>
            </w:r>
            <w:r w:rsidR="00FE0E25">
              <w:rPr>
                <w:rFonts w:ascii="Arial" w:hAnsi="Arial" w:cs="Arial"/>
                <w:sz w:val="20"/>
                <w:szCs w:val="20"/>
              </w:rPr>
              <w:t>orange</w:t>
            </w:r>
            <w:r w:rsidRPr="009A5185">
              <w:rPr>
                <w:rFonts w:ascii="Arial" w:hAnsi="Arial" w:cs="Arial"/>
                <w:sz w:val="20"/>
                <w:szCs w:val="20"/>
              </w:rPr>
              <w:t xml:space="preserve"> box in the screenshot below the table is an example of a Dose Report which shows the phantom dose value used. The phantom dose value is used to estimate the radiation dose to the patient.</w:t>
            </w:r>
          </w:p>
          <w:p w14:paraId="68505B5E" w14:textId="77777777" w:rsidR="00ED06C6" w:rsidRDefault="00ED06C6" w:rsidP="00A212A4">
            <w:pPr>
              <w:pStyle w:val="NoSpacing"/>
              <w:rPr>
                <w:rFonts w:ascii="Arial" w:hAnsi="Arial" w:cs="Arial"/>
                <w:b/>
                <w:sz w:val="20"/>
              </w:rPr>
            </w:pPr>
          </w:p>
          <w:p w14:paraId="6779A076" w14:textId="08702744" w:rsidR="00ED06C6" w:rsidRPr="00720995" w:rsidRDefault="00ED06C6" w:rsidP="00A212A4">
            <w:pPr>
              <w:pStyle w:val="NoSpacing"/>
              <w:rPr>
                <w:rFonts w:ascii="Arial" w:hAnsi="Arial" w:cs="Arial"/>
                <w:sz w:val="20"/>
                <w:szCs w:val="20"/>
              </w:rPr>
            </w:pPr>
            <w:r w:rsidRPr="00ED06C6">
              <w:rPr>
                <w:rFonts w:ascii="Arial" w:hAnsi="Arial" w:cs="Arial"/>
                <w:b/>
                <w:bCs/>
                <w:sz w:val="20"/>
                <w:szCs w:val="20"/>
              </w:rPr>
              <w:t>Scout Doses (Topograms)</w:t>
            </w:r>
            <w:r w:rsidR="005D3242">
              <w:rPr>
                <w:rFonts w:ascii="Arial" w:hAnsi="Arial" w:cs="Arial"/>
                <w:sz w:val="20"/>
                <w:szCs w:val="20"/>
              </w:rPr>
              <w:t xml:space="preserve"> </w:t>
            </w:r>
            <w:r>
              <w:rPr>
                <w:rFonts w:ascii="Arial" w:hAnsi="Arial" w:cs="Arial"/>
                <w:sz w:val="20"/>
                <w:szCs w:val="20"/>
              </w:rPr>
              <w:t>should not be included when calculating the 25</w:t>
            </w:r>
            <w:r w:rsidRPr="00ED06C6">
              <w:rPr>
                <w:rFonts w:ascii="Arial" w:hAnsi="Arial" w:cs="Arial"/>
                <w:sz w:val="20"/>
                <w:szCs w:val="20"/>
                <w:vertAlign w:val="superscript"/>
              </w:rPr>
              <w:t>th</w:t>
            </w:r>
            <w:r>
              <w:rPr>
                <w:rFonts w:ascii="Arial" w:hAnsi="Arial" w:cs="Arial"/>
                <w:sz w:val="20"/>
                <w:szCs w:val="20"/>
              </w:rPr>
              <w:t>, 50</w:t>
            </w:r>
            <w:r w:rsidRPr="00ED06C6">
              <w:rPr>
                <w:rFonts w:ascii="Arial" w:hAnsi="Arial" w:cs="Arial"/>
                <w:sz w:val="20"/>
                <w:szCs w:val="20"/>
                <w:vertAlign w:val="superscript"/>
              </w:rPr>
              <w:t>th</w:t>
            </w:r>
            <w:r>
              <w:rPr>
                <w:rFonts w:ascii="Arial" w:hAnsi="Arial" w:cs="Arial"/>
                <w:sz w:val="20"/>
                <w:szCs w:val="20"/>
              </w:rPr>
              <w:t>, or 75</w:t>
            </w:r>
            <w:r w:rsidRPr="00ED06C6">
              <w:rPr>
                <w:rFonts w:ascii="Arial" w:hAnsi="Arial" w:cs="Arial"/>
                <w:sz w:val="20"/>
                <w:szCs w:val="20"/>
                <w:vertAlign w:val="superscript"/>
              </w:rPr>
              <w:t>th</w:t>
            </w:r>
            <w:r>
              <w:rPr>
                <w:rFonts w:ascii="Arial" w:hAnsi="Arial" w:cs="Arial"/>
                <w:sz w:val="20"/>
                <w:szCs w:val="20"/>
              </w:rPr>
              <w:t xml:space="preserve"> percentiles. </w:t>
            </w:r>
          </w:p>
        </w:tc>
      </w:tr>
    </w:tbl>
    <w:p w14:paraId="6B8BC5B1" w14:textId="77777777" w:rsidR="00C12B40" w:rsidRPr="00C670ED" w:rsidRDefault="00C12B40" w:rsidP="00C12B40">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12B40" w:rsidRPr="009A5185" w14:paraId="2ECF4103" w14:textId="77777777" w:rsidTr="004F63C1">
        <w:trPr>
          <w:trHeight w:val="864"/>
        </w:trPr>
        <w:tc>
          <w:tcPr>
            <w:tcW w:w="5000" w:type="pct"/>
            <w:shd w:val="clear" w:color="auto" w:fill="BFBFBF" w:themeFill="background1" w:themeFillShade="BF"/>
            <w:vAlign w:val="center"/>
          </w:tcPr>
          <w:p w14:paraId="6C2C1840" w14:textId="77777777" w:rsidR="00C12B40" w:rsidRPr="009A5185" w:rsidRDefault="00C12B40" w:rsidP="00A212A4">
            <w:pPr>
              <w:pStyle w:val="NoSpacing"/>
              <w:rPr>
                <w:rFonts w:ascii="Arial" w:hAnsi="Arial" w:cs="Arial"/>
                <w:b/>
                <w:sz w:val="20"/>
              </w:rPr>
            </w:pPr>
            <w:r w:rsidRPr="009A5185">
              <w:rPr>
                <w:rFonts w:ascii="Arial" w:hAnsi="Arial" w:cs="Arial"/>
                <w:b/>
                <w:sz w:val="20"/>
              </w:rPr>
              <w:t xml:space="preserve">Hospitals </w:t>
            </w:r>
            <w:r w:rsidRPr="009A5185">
              <w:rPr>
                <w:rFonts w:ascii="Arial" w:hAnsi="Arial" w:cs="Arial"/>
                <w:b/>
                <w:sz w:val="20"/>
                <w:u w:val="single"/>
              </w:rPr>
              <w:t>not</w:t>
            </w:r>
            <w:r w:rsidRPr="009A5185">
              <w:rPr>
                <w:rFonts w:ascii="Arial" w:hAnsi="Arial" w:cs="Arial"/>
                <w:b/>
                <w:sz w:val="20"/>
              </w:rPr>
              <w:t xml:space="preserve"> using dose monitoring software:</w:t>
            </w:r>
          </w:p>
          <w:p w14:paraId="72AB4050" w14:textId="77777777" w:rsidR="00C12B40" w:rsidRPr="009A5185" w:rsidRDefault="00C12B40" w:rsidP="00A212A4">
            <w:pPr>
              <w:pStyle w:val="NoSpacing"/>
              <w:rPr>
                <w:rFonts w:ascii="Arial" w:hAnsi="Arial" w:cs="Arial"/>
                <w:sz w:val="20"/>
              </w:rPr>
            </w:pPr>
            <w:r w:rsidRPr="009A5185">
              <w:rPr>
                <w:rFonts w:ascii="Arial" w:hAnsi="Arial" w:cs="Arial"/>
                <w:sz w:val="20"/>
              </w:rPr>
              <w:t>Data for this measure can be obtained from Dose Reports that come directly from the CT Machine and are sent along with the images to the Picture Archiving and Communications (PACS) used to review the images. See instructions below.</w:t>
            </w:r>
          </w:p>
        </w:tc>
      </w:tr>
      <w:tr w:rsidR="00C12B40" w:rsidRPr="009A5185" w14:paraId="769F0E83" w14:textId="77777777" w:rsidTr="004F63C1">
        <w:trPr>
          <w:trHeight w:val="2592"/>
        </w:trPr>
        <w:tc>
          <w:tcPr>
            <w:tcW w:w="5000" w:type="pct"/>
            <w:vAlign w:val="center"/>
          </w:tcPr>
          <w:p w14:paraId="5FFDE4FB" w14:textId="77777777" w:rsidR="00C12B40" w:rsidRPr="009A5185" w:rsidRDefault="00C12B40" w:rsidP="00A212A4">
            <w:pPr>
              <w:pStyle w:val="NoSpacing"/>
              <w:rPr>
                <w:rFonts w:ascii="Arial" w:hAnsi="Arial" w:cs="Arial"/>
                <w:b/>
                <w:sz w:val="20"/>
              </w:rPr>
            </w:pPr>
            <w:r w:rsidRPr="009A5185">
              <w:rPr>
                <w:rFonts w:ascii="Arial" w:hAnsi="Arial" w:cs="Arial"/>
                <w:b/>
                <w:sz w:val="20"/>
              </w:rPr>
              <w:t>CT Dose Excel Workbook</w:t>
            </w:r>
          </w:p>
          <w:p w14:paraId="2A4669AC" w14:textId="2689138D" w:rsidR="00C12B40" w:rsidRPr="009A5185" w:rsidRDefault="00C12B40" w:rsidP="00A212A4">
            <w:pPr>
              <w:pStyle w:val="EndnoteText"/>
              <w:rPr>
                <w:rFonts w:cs="Arial"/>
                <w:bCs/>
              </w:rPr>
            </w:pPr>
            <w:r w:rsidRPr="009A5185">
              <w:rPr>
                <w:rFonts w:cs="Arial"/>
              </w:rPr>
              <w:t>To assist hospitals who do not use dose monitoring software in calculating the responses to questions #</w:t>
            </w:r>
            <w:r w:rsidR="00DC7CD7">
              <w:rPr>
                <w:rFonts w:cs="Arial"/>
              </w:rPr>
              <w:t>6 and #7</w:t>
            </w:r>
            <w:r w:rsidRPr="009A5185">
              <w:rPr>
                <w:rFonts w:cs="Arial"/>
              </w:rPr>
              <w:t>, Leapfrog has developed a CT Dose Workbook</w:t>
            </w:r>
            <w:r>
              <w:rPr>
                <w:rFonts w:cs="Arial"/>
              </w:rPr>
              <w:t xml:space="preserve"> to assist hospitals in standardizing their CT dose data based on these specifications</w:t>
            </w:r>
            <w:r w:rsidRPr="009A5185">
              <w:rPr>
                <w:rFonts w:cs="Arial"/>
              </w:rPr>
              <w:t xml:space="preserve">. </w:t>
            </w:r>
            <w:r w:rsidR="00F731E1" w:rsidRPr="009A5185">
              <w:rPr>
                <w:rFonts w:cs="Arial"/>
              </w:rPr>
              <w:t xml:space="preserve">The workbook includes </w:t>
            </w:r>
            <w:r w:rsidR="00F731E1">
              <w:rPr>
                <w:rFonts w:cs="Arial"/>
              </w:rPr>
              <w:t>12</w:t>
            </w:r>
            <w:r w:rsidR="00F731E1" w:rsidRPr="009A5185">
              <w:rPr>
                <w:rFonts w:cs="Arial"/>
              </w:rPr>
              <w:t xml:space="preserve"> tabs: Instructions, </w:t>
            </w:r>
            <w:r w:rsidR="00F731E1">
              <w:rPr>
                <w:rFonts w:cs="Arial"/>
              </w:rPr>
              <w:t xml:space="preserve">Summary, and 10 Data Entry tabs for each anatomic area/age </w:t>
            </w:r>
            <w:r w:rsidR="00A670DB">
              <w:rPr>
                <w:rFonts w:cs="Arial"/>
              </w:rPr>
              <w:t>stratum</w:t>
            </w:r>
            <w:r w:rsidR="00F731E1">
              <w:rPr>
                <w:rFonts w:cs="Arial"/>
              </w:rPr>
              <w:t xml:space="preserve"> combination. The tabs for head scans are red and the tabs for abdomen/pelvis scans are blue.</w:t>
            </w:r>
            <w:r w:rsidR="00F731E1" w:rsidRPr="009A5185">
              <w:rPr>
                <w:rFonts w:cs="Arial"/>
              </w:rPr>
              <w:t xml:space="preserve"> Once you enter your hospital’s CT radiation dose length product (DLP) data into the appropriate tab, </w:t>
            </w:r>
            <w:r w:rsidR="00F731E1" w:rsidRPr="009A5185">
              <w:rPr>
                <w:rFonts w:cs="Arial"/>
                <w:bCs/>
              </w:rPr>
              <w:t>the workbook will automatically calculate you</w:t>
            </w:r>
            <w:r w:rsidR="00F731E1">
              <w:rPr>
                <w:rFonts w:cs="Arial"/>
                <w:bCs/>
              </w:rPr>
              <w:t>r responses to questions #6</w:t>
            </w:r>
            <w:r w:rsidR="00F731E1" w:rsidRPr="009A5185">
              <w:rPr>
                <w:rFonts w:cs="Arial"/>
                <w:bCs/>
              </w:rPr>
              <w:t xml:space="preserve"> and #</w:t>
            </w:r>
            <w:r w:rsidR="00F731E1">
              <w:rPr>
                <w:rFonts w:cs="Arial"/>
                <w:bCs/>
              </w:rPr>
              <w:t>7 in the Summary tab</w:t>
            </w:r>
            <w:r w:rsidR="00F731E1" w:rsidRPr="009A5185">
              <w:rPr>
                <w:rFonts w:cs="Arial"/>
                <w:bCs/>
              </w:rPr>
              <w:t>, and those values should be entered in the Survey.</w:t>
            </w:r>
          </w:p>
          <w:p w14:paraId="6A50A1F4" w14:textId="77777777" w:rsidR="00C12B40" w:rsidRPr="009A5185" w:rsidRDefault="00C12B40" w:rsidP="00A212A4">
            <w:pPr>
              <w:pStyle w:val="EndnoteText"/>
              <w:rPr>
                <w:rFonts w:cs="Arial"/>
                <w:bCs/>
              </w:rPr>
            </w:pPr>
          </w:p>
          <w:p w14:paraId="770785A5" w14:textId="0E937B3E" w:rsidR="00C12B40" w:rsidRPr="00C670ED" w:rsidRDefault="00C12B40" w:rsidP="00A212A4">
            <w:pPr>
              <w:pStyle w:val="EndnoteText"/>
              <w:rPr>
                <w:rFonts w:cs="Arial"/>
              </w:rPr>
            </w:pPr>
            <w:r w:rsidRPr="009A5185">
              <w:rPr>
                <w:rFonts w:cs="Arial"/>
              </w:rPr>
              <w:t xml:space="preserve">The </w:t>
            </w:r>
            <w:r w:rsidR="00F731E1" w:rsidRPr="00F731E1">
              <w:rPr>
                <w:rFonts w:cs="Arial"/>
              </w:rPr>
              <w:t>CT Dose Workbook</w:t>
            </w:r>
            <w:r w:rsidRPr="009A5185">
              <w:rPr>
                <w:rFonts w:cs="Arial"/>
              </w:rPr>
              <w:t xml:space="preserve"> is available on the Survey and CPOE Materials </w:t>
            </w:r>
            <w:hyperlink r:id="rId450" w:history="1">
              <w:r w:rsidRPr="009A5185">
                <w:rPr>
                  <w:rStyle w:val="Hyperlink"/>
                  <w:rFonts w:cs="Arial"/>
                </w:rPr>
                <w:t>webpage</w:t>
              </w:r>
            </w:hyperlink>
            <w:r w:rsidRPr="009A5185">
              <w:rPr>
                <w:rFonts w:cs="Arial"/>
              </w:rPr>
              <w:t xml:space="preserve"> and should be used when reporting on this measure.</w:t>
            </w:r>
          </w:p>
        </w:tc>
      </w:tr>
      <w:tr w:rsidR="00C12B40" w:rsidRPr="009A5185" w14:paraId="0323B230" w14:textId="77777777" w:rsidTr="004F63C1">
        <w:trPr>
          <w:trHeight w:val="8640"/>
        </w:trPr>
        <w:tc>
          <w:tcPr>
            <w:tcW w:w="5000" w:type="pct"/>
            <w:vAlign w:val="center"/>
          </w:tcPr>
          <w:p w14:paraId="4EFCB64B" w14:textId="59AA843F" w:rsidR="00C12B40" w:rsidRPr="009A5185" w:rsidRDefault="00C12B40" w:rsidP="00A212A4">
            <w:pPr>
              <w:pStyle w:val="EndnoteText"/>
              <w:rPr>
                <w:rFonts w:cs="Arial"/>
                <w:b/>
                <w:bCs/>
              </w:rPr>
            </w:pPr>
            <w:r w:rsidRPr="009A5185">
              <w:rPr>
                <w:rFonts w:cs="Arial"/>
                <w:b/>
                <w:bCs/>
              </w:rPr>
              <w:lastRenderedPageBreak/>
              <w:t>Q</w:t>
            </w:r>
            <w:r w:rsidR="00FC78C7">
              <w:rPr>
                <w:rFonts w:cs="Arial"/>
                <w:b/>
                <w:bCs/>
              </w:rPr>
              <w:t>uestion #</w:t>
            </w:r>
            <w:r>
              <w:rPr>
                <w:rFonts w:cs="Arial"/>
                <w:b/>
                <w:bCs/>
              </w:rPr>
              <w:t>6</w:t>
            </w:r>
            <w:r w:rsidRPr="009A5185">
              <w:rPr>
                <w:rFonts w:cs="Arial"/>
                <w:b/>
                <w:bCs/>
              </w:rPr>
              <w:t xml:space="preserve">, column a: Total Number of Encounters </w:t>
            </w:r>
          </w:p>
          <w:p w14:paraId="4FEA3B14" w14:textId="35F129CF" w:rsidR="00C12B40" w:rsidRPr="009A5185" w:rsidRDefault="00C12B40" w:rsidP="00A212A4">
            <w:pPr>
              <w:pStyle w:val="EndnoteText"/>
              <w:rPr>
                <w:rFonts w:cs="Arial"/>
              </w:rPr>
            </w:pPr>
            <w:r w:rsidRPr="009A5185">
              <w:rPr>
                <w:rFonts w:cs="Arial"/>
              </w:rPr>
              <w:t xml:space="preserve">To determine the total number of encounters </w:t>
            </w:r>
            <w:r>
              <w:rPr>
                <w:rFonts w:cs="Arial"/>
              </w:rPr>
              <w:t xml:space="preserve">in </w:t>
            </w:r>
            <w:r w:rsidRPr="00B36C21">
              <w:rPr>
                <w:rFonts w:cs="Arial"/>
                <w:b/>
                <w:bCs/>
              </w:rPr>
              <w:t>head</w:t>
            </w:r>
            <w:r w:rsidR="00B36C21" w:rsidRPr="00B36C21">
              <w:rPr>
                <w:rFonts w:cs="Arial"/>
                <w:b/>
                <w:bCs/>
              </w:rPr>
              <w:t xml:space="preserve"> scans</w:t>
            </w:r>
            <w:r w:rsidRPr="009A5185">
              <w:rPr>
                <w:rFonts w:cs="Arial"/>
              </w:rPr>
              <w:t xml:space="preserve"> </w:t>
            </w:r>
            <w:r>
              <w:rPr>
                <w:rFonts w:cs="Arial"/>
              </w:rPr>
              <w:t>for each</w:t>
            </w:r>
            <w:r w:rsidRPr="009A5185">
              <w:rPr>
                <w:rFonts w:cs="Arial"/>
              </w:rPr>
              <w:t xml:space="preserve"> age stratum</w:t>
            </w:r>
            <w:r>
              <w:rPr>
                <w:rFonts w:cs="Arial"/>
              </w:rPr>
              <w:t xml:space="preserve"> </w:t>
            </w:r>
            <w:r w:rsidRPr="009A5185">
              <w:rPr>
                <w:rFonts w:cs="Arial"/>
              </w:rPr>
              <w:t>(&lt;1, 1-4, 5-9, 10-14, 15-17), you will need to obtain dose reports. See sampling instructions below.</w:t>
            </w:r>
          </w:p>
          <w:p w14:paraId="67E95451" w14:textId="77777777" w:rsidR="00C12B40" w:rsidRDefault="00C12B40" w:rsidP="00A212A4">
            <w:pPr>
              <w:pStyle w:val="EndnoteText"/>
              <w:rPr>
                <w:rFonts w:cs="Arial"/>
              </w:rPr>
            </w:pPr>
          </w:p>
          <w:p w14:paraId="114DC65B" w14:textId="77777777" w:rsidR="00577976" w:rsidRPr="006A08C6" w:rsidRDefault="00577976" w:rsidP="00A212A4">
            <w:pPr>
              <w:pStyle w:val="EndnoteText"/>
              <w:rPr>
                <w:rFonts w:cs="Arial"/>
                <w:b/>
                <w:bCs/>
              </w:rPr>
            </w:pPr>
            <w:r w:rsidRPr="006A08C6">
              <w:rPr>
                <w:rFonts w:cs="Arial"/>
                <w:b/>
                <w:bCs/>
              </w:rPr>
              <w:t>Inclusions:</w:t>
            </w:r>
          </w:p>
          <w:p w14:paraId="6FBF51A5"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HEAD BRN WO IVCON</w:t>
            </w:r>
          </w:p>
          <w:p w14:paraId="19AC16D0"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HEAD WO IVCON</w:t>
            </w:r>
          </w:p>
          <w:p w14:paraId="79F3E461"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PEDS HEAD WO IVCON</w:t>
            </w:r>
          </w:p>
          <w:p w14:paraId="1C8D4DA2"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HEAD</w:t>
            </w:r>
          </w:p>
          <w:p w14:paraId="73E80502"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PEDS HEAD BRN WO IVCON</w:t>
            </w:r>
          </w:p>
          <w:p w14:paraId="271510AB"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BRN WO IVCON</w:t>
            </w:r>
          </w:p>
          <w:p w14:paraId="6E2D3C2C"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HEAD BRN</w:t>
            </w:r>
          </w:p>
          <w:p w14:paraId="586A4BD5"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HEAD BRN W IVCON</w:t>
            </w:r>
          </w:p>
          <w:p w14:paraId="00EC214B"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HEAD W IVCON</w:t>
            </w:r>
          </w:p>
          <w:p w14:paraId="7DC5F7D5"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HEAD WO &amp; W IVCON</w:t>
            </w:r>
          </w:p>
          <w:p w14:paraId="2EC1B26C"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HEAD BRN WO &amp; W IVCON</w:t>
            </w:r>
          </w:p>
          <w:p w14:paraId="57E6AAFB"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BRN WO &amp; W IVCON</w:t>
            </w:r>
          </w:p>
          <w:p w14:paraId="473A3F8B" w14:textId="77777777" w:rsidR="00577976" w:rsidRPr="00F214DA" w:rsidRDefault="00577976" w:rsidP="00A212A4">
            <w:pPr>
              <w:pStyle w:val="NoSpacing"/>
              <w:rPr>
                <w:rFonts w:ascii="Arial" w:hAnsi="Arial" w:cs="Arial"/>
                <w:bCs/>
                <w:sz w:val="20"/>
                <w:szCs w:val="20"/>
              </w:rPr>
            </w:pPr>
            <w:r w:rsidRPr="00F214DA">
              <w:rPr>
                <w:rFonts w:ascii="Arial" w:hAnsi="Arial" w:cs="Arial"/>
                <w:bCs/>
                <w:sz w:val="20"/>
                <w:szCs w:val="20"/>
              </w:rPr>
              <w:t>CT BRN W IVCON</w:t>
            </w:r>
          </w:p>
          <w:p w14:paraId="22D7C22F" w14:textId="77777777" w:rsidR="00C12B40" w:rsidRPr="009A5185" w:rsidRDefault="00C12B40" w:rsidP="00A212A4">
            <w:pPr>
              <w:pStyle w:val="EndnoteText"/>
              <w:rPr>
                <w:rFonts w:cs="Arial"/>
              </w:rPr>
            </w:pPr>
          </w:p>
          <w:p w14:paraId="4A415A0B" w14:textId="77777777" w:rsidR="00C12B40" w:rsidRPr="009A5185" w:rsidRDefault="00C12B40" w:rsidP="00A212A4">
            <w:pPr>
              <w:pStyle w:val="NoSpacing"/>
              <w:rPr>
                <w:rFonts w:ascii="Arial" w:hAnsi="Arial" w:cs="Arial"/>
                <w:b/>
                <w:sz w:val="20"/>
                <w:szCs w:val="20"/>
              </w:rPr>
            </w:pPr>
            <w:r w:rsidRPr="009A5185">
              <w:rPr>
                <w:rFonts w:ascii="Arial" w:hAnsi="Arial" w:cs="Arial"/>
                <w:b/>
                <w:sz w:val="20"/>
                <w:szCs w:val="20"/>
              </w:rPr>
              <w:t>Exclusions:</w:t>
            </w:r>
          </w:p>
          <w:p w14:paraId="48283116" w14:textId="77777777" w:rsidR="00C12B40" w:rsidRDefault="00C12B40" w:rsidP="00AD309C">
            <w:pPr>
              <w:pStyle w:val="ListParagraph"/>
              <w:numPr>
                <w:ilvl w:val="0"/>
                <w:numId w:val="135"/>
              </w:numPr>
              <w:rPr>
                <w:rFonts w:cs="Arial"/>
              </w:rPr>
            </w:pPr>
            <w:r>
              <w:rPr>
                <w:rFonts w:cs="Arial"/>
              </w:rPr>
              <w:t xml:space="preserve">Encounters involving facial bones or sinuses </w:t>
            </w:r>
          </w:p>
          <w:p w14:paraId="48EFF1B5" w14:textId="77777777" w:rsidR="00C12B40" w:rsidRDefault="00C12B40" w:rsidP="00AD309C">
            <w:pPr>
              <w:pStyle w:val="ListParagraph"/>
              <w:numPr>
                <w:ilvl w:val="0"/>
                <w:numId w:val="135"/>
              </w:numPr>
              <w:rPr>
                <w:rFonts w:cs="Arial"/>
              </w:rPr>
            </w:pPr>
            <w:r>
              <w:rPr>
                <w:rFonts w:cs="Arial"/>
              </w:rPr>
              <w:t>Encounters where the indication is for a biopsy, including prop studies and stereotactic studies and procedures</w:t>
            </w:r>
          </w:p>
          <w:p w14:paraId="381888FE" w14:textId="3F8E00D5" w:rsidR="00C12B40" w:rsidRDefault="00C12B40" w:rsidP="00AD309C">
            <w:pPr>
              <w:pStyle w:val="ListParagraph"/>
              <w:numPr>
                <w:ilvl w:val="0"/>
                <w:numId w:val="135"/>
              </w:numPr>
              <w:rPr>
                <w:rFonts w:cs="Arial"/>
              </w:rPr>
            </w:pPr>
            <w:r w:rsidRPr="009F758E">
              <w:rPr>
                <w:rFonts w:cs="Arial"/>
              </w:rPr>
              <w:t>Encounters that cross multiple anatomic areas should be excluded. For example, encounters involving both the head and neck are excluded from the “head” anatomic region.</w:t>
            </w:r>
          </w:p>
          <w:p w14:paraId="45C2C3B8" w14:textId="4030E0F6" w:rsidR="005D4462" w:rsidRPr="005D4462" w:rsidRDefault="005D4462" w:rsidP="00AD309C">
            <w:pPr>
              <w:pStyle w:val="ListParagraph"/>
              <w:numPr>
                <w:ilvl w:val="0"/>
                <w:numId w:val="135"/>
              </w:numPr>
              <w:rPr>
                <w:rFonts w:cs="Arial"/>
              </w:rPr>
            </w:pPr>
            <w:r w:rsidRPr="005D4462">
              <w:rPr>
                <w:rFonts w:cs="Arial"/>
              </w:rPr>
              <w:t xml:space="preserve">Encounters where the documented age is </w:t>
            </w:r>
            <w:r>
              <w:rPr>
                <w:rFonts w:cs="Arial"/>
              </w:rPr>
              <w:t xml:space="preserve">missing or listed as </w:t>
            </w:r>
            <w:r w:rsidRPr="005D4462">
              <w:rPr>
                <w:rFonts w:cs="Arial"/>
              </w:rPr>
              <w:t>the date of admission (i.e., an accurate birthday could not be obtained and therefore the admission date was used), as i</w:t>
            </w:r>
            <w:r>
              <w:rPr>
                <w:rFonts w:cs="Arial"/>
              </w:rPr>
              <w:t>s</w:t>
            </w:r>
            <w:r w:rsidRPr="005D4462">
              <w:rPr>
                <w:rFonts w:cs="Arial"/>
              </w:rPr>
              <w:t xml:space="preserve"> the case </w:t>
            </w:r>
            <w:r>
              <w:rPr>
                <w:rFonts w:cs="Arial"/>
              </w:rPr>
              <w:t>for some</w:t>
            </w:r>
            <w:r w:rsidRPr="005D4462">
              <w:rPr>
                <w:rFonts w:cs="Arial"/>
              </w:rPr>
              <w:t xml:space="preserve"> trauma patients</w:t>
            </w:r>
          </w:p>
          <w:p w14:paraId="204C42C1" w14:textId="77777777" w:rsidR="00C12B40" w:rsidRPr="009A5185" w:rsidRDefault="00C12B40" w:rsidP="00A212A4">
            <w:pPr>
              <w:rPr>
                <w:rFonts w:cs="Arial"/>
              </w:rPr>
            </w:pPr>
          </w:p>
          <w:p w14:paraId="28A9AEB8" w14:textId="77777777" w:rsidR="00C12B40" w:rsidRPr="009A5185" w:rsidRDefault="00C12B40" w:rsidP="00A212A4">
            <w:pPr>
              <w:pStyle w:val="EndnoteText"/>
              <w:rPr>
                <w:rFonts w:cs="Arial"/>
                <w:b/>
                <w:bCs/>
              </w:rPr>
            </w:pPr>
            <w:r w:rsidRPr="009A5185">
              <w:rPr>
                <w:rFonts w:cs="Arial"/>
                <w:b/>
                <w:bCs/>
              </w:rPr>
              <w:t xml:space="preserve">Sampling Cases: </w:t>
            </w:r>
            <w:r w:rsidRPr="009A5185">
              <w:rPr>
                <w:rFonts w:cs="Arial"/>
                <w:b/>
              </w:rPr>
              <w:br/>
            </w:r>
            <w:r w:rsidRPr="009A5185">
              <w:rPr>
                <w:rFonts w:cs="Arial"/>
              </w:rPr>
              <w:t>Hospitals that are using information stored in the CT Machine have the option of reporting on all encounters or a sample of encounters. Hospitals opting to identify a sample of encounters for this measure should follow these instructions:</w:t>
            </w:r>
          </w:p>
          <w:p w14:paraId="10A0A310" w14:textId="6BC44627" w:rsidR="00C12B40" w:rsidRPr="009A5185" w:rsidRDefault="00C12B40" w:rsidP="00AD309C">
            <w:pPr>
              <w:numPr>
                <w:ilvl w:val="0"/>
                <w:numId w:val="17"/>
              </w:numPr>
              <w:autoSpaceDE w:val="0"/>
              <w:autoSpaceDN w:val="0"/>
              <w:adjustRightInd w:val="0"/>
              <w:rPr>
                <w:rFonts w:cs="Arial"/>
              </w:rPr>
            </w:pPr>
            <w:r w:rsidRPr="009A5185">
              <w:rPr>
                <w:rFonts w:cs="Arial"/>
              </w:rPr>
              <w:t xml:space="preserve">Review your hospital’s scans starting on January 15, </w:t>
            </w:r>
            <w:r>
              <w:rPr>
                <w:rFonts w:cs="Arial"/>
              </w:rPr>
              <w:t>20</w:t>
            </w:r>
            <w:r w:rsidR="00A75B58">
              <w:rPr>
                <w:rFonts w:cs="Arial"/>
              </w:rPr>
              <w:t>2</w:t>
            </w:r>
            <w:r w:rsidR="003E1307">
              <w:rPr>
                <w:rFonts w:cs="Arial"/>
              </w:rPr>
              <w:t>5</w:t>
            </w:r>
            <w:r w:rsidRPr="009A5185">
              <w:rPr>
                <w:rFonts w:cs="Arial"/>
              </w:rPr>
              <w:t xml:space="preserve"> (or July 15, </w:t>
            </w:r>
            <w:r>
              <w:rPr>
                <w:rFonts w:cs="Arial"/>
              </w:rPr>
              <w:t>20</w:t>
            </w:r>
            <w:r w:rsidR="00A75B58">
              <w:rPr>
                <w:rFonts w:cs="Arial"/>
              </w:rPr>
              <w:t>2</w:t>
            </w:r>
            <w:r w:rsidR="003E1307">
              <w:rPr>
                <w:rFonts w:cs="Arial"/>
              </w:rPr>
              <w:t>5</w:t>
            </w:r>
            <w:r w:rsidRPr="009A5185">
              <w:rPr>
                <w:rFonts w:cs="Arial"/>
              </w:rPr>
              <w:t xml:space="preserve"> if (re)submitting a Survey on or after September 1, </w:t>
            </w:r>
            <w:r>
              <w:rPr>
                <w:rFonts w:cs="Arial"/>
              </w:rPr>
              <w:t>202</w:t>
            </w:r>
            <w:r w:rsidR="003E1307">
              <w:rPr>
                <w:rFonts w:cs="Arial"/>
              </w:rPr>
              <w:t>6</w:t>
            </w:r>
            <w:r w:rsidRPr="009A5185">
              <w:rPr>
                <w:rFonts w:cs="Arial"/>
              </w:rPr>
              <w:t>).</w:t>
            </w:r>
          </w:p>
          <w:p w14:paraId="6F008CBA" w14:textId="12DA8377" w:rsidR="00C12B40" w:rsidRPr="00C670ED" w:rsidRDefault="00C12B40" w:rsidP="00AD309C">
            <w:pPr>
              <w:numPr>
                <w:ilvl w:val="0"/>
                <w:numId w:val="17"/>
              </w:numPr>
              <w:autoSpaceDE w:val="0"/>
              <w:autoSpaceDN w:val="0"/>
              <w:adjustRightInd w:val="0"/>
              <w:rPr>
                <w:rFonts w:cs="Arial"/>
              </w:rPr>
            </w:pPr>
            <w:r w:rsidRPr="009A5185">
              <w:rPr>
                <w:rFonts w:cs="Arial"/>
              </w:rPr>
              <w:t xml:space="preserve">Work sequentially until </w:t>
            </w:r>
            <w:r w:rsidRPr="009A5185">
              <w:rPr>
                <w:rFonts w:cs="Arial"/>
                <w:b/>
                <w:u w:val="single"/>
              </w:rPr>
              <w:t>a sample of at least 30 encounters per anatomic area and age strata combination</w:t>
            </w:r>
            <w:r w:rsidRPr="009A5185">
              <w:rPr>
                <w:rFonts w:cs="Arial"/>
              </w:rPr>
              <w:t xml:space="preserve"> (</w:t>
            </w:r>
            <w:r w:rsidR="00342951" w:rsidRPr="009A5185">
              <w:rPr>
                <w:rFonts w:cs="Arial"/>
              </w:rPr>
              <w:t>i.e.,</w:t>
            </w:r>
            <w:r w:rsidRPr="009A5185">
              <w:rPr>
                <w:rFonts w:cs="Arial"/>
              </w:rPr>
              <w:t xml:space="preserve"> head &lt;1; head 1-4, etc.) is reached, or all cases in the reporting period are reviewed, whichever comes first. </w:t>
            </w:r>
          </w:p>
        </w:tc>
      </w:tr>
      <w:tr w:rsidR="00C12B40" w:rsidRPr="009A5185" w14:paraId="332002A2" w14:textId="77777777" w:rsidTr="004F63C1">
        <w:trPr>
          <w:trHeight w:val="3600"/>
        </w:trPr>
        <w:tc>
          <w:tcPr>
            <w:tcW w:w="5000" w:type="pct"/>
            <w:vAlign w:val="center"/>
          </w:tcPr>
          <w:p w14:paraId="0B777D3C" w14:textId="2F2CA9B2" w:rsidR="00C12B40" w:rsidRPr="009A5185" w:rsidRDefault="00C12B40" w:rsidP="00A212A4">
            <w:pPr>
              <w:pStyle w:val="EndnoteText"/>
              <w:rPr>
                <w:rFonts w:cs="Arial"/>
                <w:b/>
                <w:bCs/>
              </w:rPr>
            </w:pPr>
            <w:r w:rsidRPr="009A5185">
              <w:rPr>
                <w:rFonts w:cs="Arial"/>
                <w:b/>
                <w:bCs/>
              </w:rPr>
              <w:t>Q</w:t>
            </w:r>
            <w:r w:rsidR="00FC78C7">
              <w:rPr>
                <w:rFonts w:cs="Arial"/>
                <w:b/>
                <w:bCs/>
              </w:rPr>
              <w:t>uestion #</w:t>
            </w:r>
            <w:r>
              <w:rPr>
                <w:rFonts w:cs="Arial"/>
                <w:b/>
                <w:bCs/>
              </w:rPr>
              <w:t>6</w:t>
            </w:r>
            <w:r w:rsidRPr="009A5185">
              <w:rPr>
                <w:rFonts w:cs="Arial"/>
                <w:b/>
                <w:bCs/>
              </w:rPr>
              <w:t>, columns b, c, and d: 25</w:t>
            </w:r>
            <w:r w:rsidRPr="009A5185">
              <w:rPr>
                <w:rFonts w:cs="Arial"/>
                <w:b/>
                <w:bCs/>
                <w:vertAlign w:val="superscript"/>
              </w:rPr>
              <w:t>th</w:t>
            </w:r>
            <w:r w:rsidRPr="009A5185">
              <w:rPr>
                <w:rFonts w:cs="Arial"/>
                <w:b/>
                <w:bCs/>
              </w:rPr>
              <w:t>, 50</w:t>
            </w:r>
            <w:r w:rsidRPr="009A5185">
              <w:rPr>
                <w:rFonts w:cs="Arial"/>
                <w:b/>
                <w:bCs/>
                <w:vertAlign w:val="superscript"/>
              </w:rPr>
              <w:t>th</w:t>
            </w:r>
            <w:r w:rsidRPr="009A5185">
              <w:rPr>
                <w:rFonts w:cs="Arial"/>
                <w:b/>
                <w:bCs/>
              </w:rPr>
              <w:t>, and 75</w:t>
            </w:r>
            <w:r w:rsidRPr="009A5185">
              <w:rPr>
                <w:rFonts w:cs="Arial"/>
                <w:b/>
                <w:bCs/>
                <w:vertAlign w:val="superscript"/>
              </w:rPr>
              <w:t>th</w:t>
            </w:r>
            <w:r w:rsidRPr="009A5185">
              <w:rPr>
                <w:rFonts w:cs="Arial"/>
                <w:b/>
                <w:bCs/>
              </w:rPr>
              <w:t xml:space="preserve"> Percentiles </w:t>
            </w:r>
          </w:p>
          <w:p w14:paraId="1AAE7968" w14:textId="1484B1B4" w:rsidR="00720995" w:rsidRDefault="00C12B40" w:rsidP="00A212A4">
            <w:pPr>
              <w:pStyle w:val="NoSpacing"/>
              <w:rPr>
                <w:rFonts w:ascii="Arial" w:hAnsi="Arial" w:cs="Arial"/>
                <w:sz w:val="20"/>
              </w:rPr>
            </w:pPr>
            <w:bookmarkStart w:id="709" w:name="_Hlk36540983"/>
            <w:r w:rsidRPr="009A5185">
              <w:rPr>
                <w:rFonts w:ascii="Arial" w:hAnsi="Arial" w:cs="Arial"/>
                <w:sz w:val="20"/>
              </w:rPr>
              <w:t>Using your dose reports, enter the</w:t>
            </w:r>
            <w:r>
              <w:rPr>
                <w:rFonts w:ascii="Arial" w:hAnsi="Arial" w:cs="Arial"/>
                <w:sz w:val="20"/>
              </w:rPr>
              <w:t xml:space="preserve"> phantom dose and</w:t>
            </w:r>
            <w:r w:rsidRPr="009A5185">
              <w:rPr>
                <w:rFonts w:ascii="Arial" w:hAnsi="Arial" w:cs="Arial"/>
                <w:sz w:val="20"/>
              </w:rPr>
              <w:t xml:space="preserve"> </w:t>
            </w:r>
            <w:r w:rsidRPr="009A5185">
              <w:rPr>
                <w:rFonts w:ascii="Arial" w:hAnsi="Arial" w:cs="Arial"/>
                <w:b/>
                <w:sz w:val="20"/>
              </w:rPr>
              <w:t>Total DLP (mGY-cm)</w:t>
            </w:r>
            <w:r w:rsidRPr="009A5185">
              <w:rPr>
                <w:rFonts w:ascii="Arial" w:hAnsi="Arial" w:cs="Arial"/>
                <w:sz w:val="20"/>
              </w:rPr>
              <w:t xml:space="preserve"> for each encounter into</w:t>
            </w:r>
            <w:r>
              <w:rPr>
                <w:rFonts w:ascii="Arial" w:hAnsi="Arial" w:cs="Arial"/>
                <w:sz w:val="20"/>
              </w:rPr>
              <w:t xml:space="preserve"> </w:t>
            </w:r>
            <w:r w:rsidR="00A670DB">
              <w:rPr>
                <w:rFonts w:ascii="Arial" w:hAnsi="Arial" w:cs="Arial"/>
                <w:sz w:val="20"/>
              </w:rPr>
              <w:t xml:space="preserve">each of </w:t>
            </w:r>
            <w:r>
              <w:rPr>
                <w:rFonts w:ascii="Arial" w:hAnsi="Arial" w:cs="Arial"/>
                <w:sz w:val="20"/>
              </w:rPr>
              <w:t>the</w:t>
            </w:r>
            <w:r w:rsidRPr="009A5185">
              <w:rPr>
                <w:rFonts w:ascii="Arial" w:hAnsi="Arial" w:cs="Arial"/>
                <w:sz w:val="20"/>
              </w:rPr>
              <w:t xml:space="preserve"> </w:t>
            </w:r>
            <w:r w:rsidR="00A670DB">
              <w:rPr>
                <w:rFonts w:ascii="Arial" w:hAnsi="Arial" w:cs="Arial"/>
                <w:sz w:val="20"/>
              </w:rPr>
              <w:t xml:space="preserve">5 </w:t>
            </w:r>
            <w:r>
              <w:rPr>
                <w:rFonts w:ascii="Arial" w:hAnsi="Arial" w:cs="Arial"/>
                <w:sz w:val="20"/>
              </w:rPr>
              <w:t>“Head”</w:t>
            </w:r>
            <w:r w:rsidRPr="009A5185">
              <w:rPr>
                <w:rFonts w:ascii="Arial" w:hAnsi="Arial" w:cs="Arial"/>
                <w:sz w:val="20"/>
              </w:rPr>
              <w:t xml:space="preserve"> tab</w:t>
            </w:r>
            <w:r w:rsidR="00A670DB">
              <w:rPr>
                <w:rFonts w:ascii="Arial" w:hAnsi="Arial" w:cs="Arial"/>
                <w:sz w:val="20"/>
              </w:rPr>
              <w:t xml:space="preserve">s </w:t>
            </w:r>
            <w:r w:rsidRPr="009A5185">
              <w:rPr>
                <w:rFonts w:ascii="Arial" w:hAnsi="Arial" w:cs="Arial"/>
                <w:sz w:val="20"/>
              </w:rPr>
              <w:t xml:space="preserve">of the </w:t>
            </w:r>
            <w:hyperlink r:id="rId451" w:history="1">
              <w:r w:rsidRPr="001D3F0D">
                <w:rPr>
                  <w:rStyle w:val="Hyperlink"/>
                  <w:rFonts w:ascii="Arial" w:hAnsi="Arial" w:cs="Arial"/>
                  <w:sz w:val="20"/>
                  <w:szCs w:val="20"/>
                </w:rPr>
                <w:t>CT Dose Workbook</w:t>
              </w:r>
            </w:hyperlink>
            <w:r w:rsidRPr="001D3F0D">
              <w:rPr>
                <w:rFonts w:ascii="Arial" w:hAnsi="Arial" w:cs="Arial"/>
                <w:sz w:val="20"/>
              </w:rPr>
              <w:t>.</w:t>
            </w:r>
            <w:bookmarkEnd w:id="709"/>
            <w:r w:rsidRPr="009A5185">
              <w:rPr>
                <w:rFonts w:ascii="Arial" w:hAnsi="Arial" w:cs="Arial"/>
                <w:sz w:val="20"/>
              </w:rPr>
              <w:t xml:space="preserve"> Be sure to review the instructions tab carefully before you begin entering data.</w:t>
            </w:r>
            <w:r>
              <w:rPr>
                <w:rFonts w:ascii="Arial" w:hAnsi="Arial" w:cs="Arial"/>
                <w:sz w:val="20"/>
              </w:rPr>
              <w:t xml:space="preserve"> The worksheet will automatically standardize your dose data to a 16cm phantom, if necessary. </w:t>
            </w:r>
            <w:r w:rsidRPr="009A5185">
              <w:rPr>
                <w:rFonts w:ascii="Arial" w:hAnsi="Arial" w:cs="Arial"/>
                <w:sz w:val="20"/>
              </w:rPr>
              <w:t>The worksheet will</w:t>
            </w:r>
            <w:r>
              <w:rPr>
                <w:rFonts w:ascii="Arial" w:hAnsi="Arial" w:cs="Arial"/>
                <w:sz w:val="20"/>
              </w:rPr>
              <w:t xml:space="preserve"> then</w:t>
            </w:r>
            <w:r w:rsidRPr="009A5185">
              <w:rPr>
                <w:rFonts w:ascii="Arial" w:hAnsi="Arial" w:cs="Arial"/>
                <w:sz w:val="20"/>
              </w:rPr>
              <w:t xml:space="preserve"> automatically calculate the total number of encounters, as well as the 25</w:t>
            </w:r>
            <w:r w:rsidRPr="009A5185">
              <w:rPr>
                <w:rFonts w:ascii="Arial" w:hAnsi="Arial" w:cs="Arial"/>
                <w:sz w:val="20"/>
                <w:vertAlign w:val="superscript"/>
              </w:rPr>
              <w:t>th</w:t>
            </w:r>
            <w:r w:rsidRPr="009A5185">
              <w:rPr>
                <w:rFonts w:ascii="Arial" w:hAnsi="Arial" w:cs="Arial"/>
                <w:sz w:val="20"/>
              </w:rPr>
              <w:t>, 50</w:t>
            </w:r>
            <w:r w:rsidRPr="009A5185">
              <w:rPr>
                <w:rFonts w:ascii="Arial" w:hAnsi="Arial" w:cs="Arial"/>
                <w:sz w:val="20"/>
                <w:vertAlign w:val="superscript"/>
              </w:rPr>
              <w:t>th</w:t>
            </w:r>
            <w:r w:rsidRPr="009A5185">
              <w:rPr>
                <w:rFonts w:ascii="Arial" w:hAnsi="Arial" w:cs="Arial"/>
                <w:sz w:val="20"/>
              </w:rPr>
              <w:t>, and 75</w:t>
            </w:r>
            <w:r w:rsidRPr="009A5185">
              <w:rPr>
                <w:rFonts w:ascii="Arial" w:hAnsi="Arial" w:cs="Arial"/>
                <w:sz w:val="20"/>
                <w:vertAlign w:val="superscript"/>
              </w:rPr>
              <w:t>th</w:t>
            </w:r>
            <w:r w:rsidRPr="009A5185">
              <w:rPr>
                <w:rFonts w:ascii="Arial" w:hAnsi="Arial" w:cs="Arial"/>
                <w:sz w:val="20"/>
              </w:rPr>
              <w:t xml:space="preserve"> percentiles for each anatomic area and age stratum. </w:t>
            </w:r>
          </w:p>
          <w:p w14:paraId="191F3831" w14:textId="77777777" w:rsidR="00720995" w:rsidRDefault="00720995" w:rsidP="00A212A4">
            <w:pPr>
              <w:pStyle w:val="NoSpacing"/>
              <w:rPr>
                <w:rFonts w:ascii="Arial" w:hAnsi="Arial" w:cs="Arial"/>
                <w:sz w:val="20"/>
              </w:rPr>
            </w:pPr>
          </w:p>
          <w:p w14:paraId="7A5F30EC" w14:textId="6D0D2DAB" w:rsidR="00A1287D" w:rsidRDefault="00C12B40" w:rsidP="00A212A4">
            <w:pPr>
              <w:pStyle w:val="NoSpacing"/>
              <w:rPr>
                <w:rFonts w:ascii="Arial" w:hAnsi="Arial" w:cs="Arial"/>
                <w:sz w:val="20"/>
              </w:rPr>
            </w:pPr>
            <w:r w:rsidRPr="009A5185">
              <w:rPr>
                <w:rFonts w:ascii="Arial" w:hAnsi="Arial" w:cs="Arial"/>
                <w:sz w:val="20"/>
              </w:rPr>
              <w:t xml:space="preserve">See the example CT Dose Report from a CT scanner </w:t>
            </w:r>
            <w:r w:rsidR="00FE0E25">
              <w:rPr>
                <w:rFonts w:ascii="Arial" w:hAnsi="Arial" w:cs="Arial"/>
                <w:sz w:val="20"/>
              </w:rPr>
              <w:t>at the end of</w:t>
            </w:r>
            <w:r w:rsidRPr="009A5185">
              <w:rPr>
                <w:rFonts w:ascii="Arial" w:hAnsi="Arial" w:cs="Arial"/>
                <w:sz w:val="20"/>
              </w:rPr>
              <w:t xml:space="preserve"> this table</w:t>
            </w:r>
            <w:r w:rsidR="00A1287D">
              <w:rPr>
                <w:rFonts w:ascii="Arial" w:hAnsi="Arial" w:cs="Arial"/>
                <w:sz w:val="20"/>
              </w:rPr>
              <w:t>:</w:t>
            </w:r>
          </w:p>
          <w:p w14:paraId="09945C79" w14:textId="4317D4B2" w:rsidR="00A1287D" w:rsidRDefault="00C12B40" w:rsidP="00AD309C">
            <w:pPr>
              <w:pStyle w:val="NoSpacing"/>
              <w:numPr>
                <w:ilvl w:val="0"/>
                <w:numId w:val="163"/>
              </w:numPr>
              <w:rPr>
                <w:rFonts w:ascii="Arial" w:hAnsi="Arial" w:cs="Arial"/>
                <w:sz w:val="20"/>
                <w:szCs w:val="20"/>
              </w:rPr>
            </w:pPr>
            <w:r w:rsidRPr="009A5185">
              <w:rPr>
                <w:rFonts w:ascii="Arial" w:hAnsi="Arial" w:cs="Arial"/>
                <w:sz w:val="20"/>
                <w:szCs w:val="20"/>
              </w:rPr>
              <w:t xml:space="preserve">The </w:t>
            </w:r>
            <w:r w:rsidR="00FE0E25">
              <w:rPr>
                <w:rFonts w:ascii="Arial" w:hAnsi="Arial" w:cs="Arial"/>
                <w:sz w:val="20"/>
                <w:szCs w:val="20"/>
              </w:rPr>
              <w:t>orange</w:t>
            </w:r>
            <w:r w:rsidRPr="009A5185">
              <w:rPr>
                <w:rFonts w:ascii="Arial" w:hAnsi="Arial" w:cs="Arial"/>
                <w:sz w:val="20"/>
                <w:szCs w:val="20"/>
              </w:rPr>
              <w:t xml:space="preserve"> box in the screenshot is an example of a Dose Report which shows the phantom dose value used. The phantom dose value is used to estimate the radiation dose to the patient</w:t>
            </w:r>
            <w:r>
              <w:rPr>
                <w:rFonts w:ascii="Arial" w:hAnsi="Arial" w:cs="Arial"/>
                <w:sz w:val="20"/>
                <w:szCs w:val="20"/>
              </w:rPr>
              <w:t xml:space="preserve">. </w:t>
            </w:r>
          </w:p>
          <w:p w14:paraId="020C1735" w14:textId="79C15986" w:rsidR="00C12B40" w:rsidRPr="00A1287D" w:rsidRDefault="00C12B40" w:rsidP="00AD309C">
            <w:pPr>
              <w:pStyle w:val="NoSpacing"/>
              <w:numPr>
                <w:ilvl w:val="0"/>
                <w:numId w:val="163"/>
              </w:numPr>
              <w:rPr>
                <w:rFonts w:ascii="Arial" w:hAnsi="Arial" w:cs="Arial"/>
                <w:sz w:val="20"/>
                <w:szCs w:val="20"/>
              </w:rPr>
            </w:pPr>
            <w:r w:rsidRPr="00A1287D">
              <w:rPr>
                <w:rFonts w:ascii="Arial" w:hAnsi="Arial" w:cs="Arial"/>
                <w:sz w:val="20"/>
              </w:rPr>
              <w:t xml:space="preserve">The red box highlights the Total DLP. Note that your CT scanner may have a differently formatted Dose Report. </w:t>
            </w:r>
          </w:p>
          <w:p w14:paraId="71C5C9A0" w14:textId="4331C04B" w:rsidR="00720995" w:rsidRDefault="00720995" w:rsidP="00A212A4">
            <w:pPr>
              <w:pStyle w:val="NoSpacing"/>
              <w:rPr>
                <w:rFonts w:ascii="Arial" w:hAnsi="Arial" w:cs="Arial"/>
                <w:sz w:val="20"/>
              </w:rPr>
            </w:pPr>
          </w:p>
          <w:p w14:paraId="24E2FD66" w14:textId="23AB5D25" w:rsidR="00897A3E" w:rsidRPr="00C670ED" w:rsidRDefault="00720995" w:rsidP="00A212A4">
            <w:pPr>
              <w:pStyle w:val="NoSpacing"/>
              <w:rPr>
                <w:rFonts w:ascii="Arial" w:hAnsi="Arial" w:cs="Arial"/>
                <w:sz w:val="20"/>
                <w:szCs w:val="20"/>
              </w:rPr>
            </w:pPr>
            <w:r w:rsidRPr="00ED06C6">
              <w:rPr>
                <w:rFonts w:ascii="Arial" w:hAnsi="Arial" w:cs="Arial"/>
                <w:b/>
                <w:bCs/>
                <w:sz w:val="20"/>
                <w:szCs w:val="20"/>
              </w:rPr>
              <w:t>Scout Doses (Topograms)</w:t>
            </w:r>
            <w:r w:rsidR="005D3242">
              <w:rPr>
                <w:rFonts w:ascii="Arial" w:hAnsi="Arial" w:cs="Arial"/>
                <w:sz w:val="20"/>
                <w:szCs w:val="20"/>
              </w:rPr>
              <w:t xml:space="preserve"> </w:t>
            </w:r>
            <w:r>
              <w:rPr>
                <w:rFonts w:ascii="Arial" w:hAnsi="Arial" w:cs="Arial"/>
                <w:sz w:val="20"/>
                <w:szCs w:val="20"/>
              </w:rPr>
              <w:t xml:space="preserve">should not be included when entering the Total DLP for each encounter into the CT Dose Workbook. </w:t>
            </w:r>
          </w:p>
        </w:tc>
      </w:tr>
      <w:tr w:rsidR="00C12B40" w:rsidRPr="009A5185" w14:paraId="4A25A1B1" w14:textId="77777777" w:rsidTr="004F63C1">
        <w:trPr>
          <w:trHeight w:val="5760"/>
        </w:trPr>
        <w:tc>
          <w:tcPr>
            <w:tcW w:w="5000" w:type="pct"/>
            <w:vAlign w:val="center"/>
          </w:tcPr>
          <w:p w14:paraId="6E11DCDC" w14:textId="6DFC5F24" w:rsidR="00C12B40" w:rsidRPr="009F758E" w:rsidRDefault="00FC78C7" w:rsidP="00A212A4">
            <w:pPr>
              <w:pStyle w:val="NoSpacing"/>
              <w:rPr>
                <w:rFonts w:ascii="Arial" w:hAnsi="Arial" w:cs="Arial"/>
                <w:b/>
                <w:sz w:val="20"/>
              </w:rPr>
            </w:pPr>
            <w:r w:rsidRPr="009A5185">
              <w:rPr>
                <w:rFonts w:ascii="Arial" w:hAnsi="Arial" w:cs="Arial"/>
                <w:b/>
                <w:sz w:val="20"/>
              </w:rPr>
              <w:lastRenderedPageBreak/>
              <w:t>Q</w:t>
            </w:r>
            <w:r>
              <w:rPr>
                <w:rFonts w:ascii="Arial" w:hAnsi="Arial" w:cs="Arial"/>
                <w:b/>
                <w:sz w:val="20"/>
              </w:rPr>
              <w:t>uestion #</w:t>
            </w:r>
            <w:r w:rsidR="00C12B40">
              <w:rPr>
                <w:rFonts w:ascii="Arial" w:hAnsi="Arial" w:cs="Arial"/>
                <w:b/>
                <w:sz w:val="20"/>
              </w:rPr>
              <w:t xml:space="preserve">7 </w:t>
            </w:r>
            <w:r w:rsidR="00C12B40" w:rsidRPr="009A5185">
              <w:rPr>
                <w:rFonts w:ascii="Arial" w:hAnsi="Arial" w:cs="Arial"/>
                <w:b/>
                <w:sz w:val="20"/>
                <w:szCs w:val="20"/>
              </w:rPr>
              <w:t>column a: Total Number of Encounters</w:t>
            </w:r>
          </w:p>
          <w:p w14:paraId="3E52E639" w14:textId="7912ACAC" w:rsidR="00C12B40" w:rsidRPr="009A5185" w:rsidRDefault="00C12B40" w:rsidP="00A212A4">
            <w:pPr>
              <w:pStyle w:val="EndnoteText"/>
              <w:rPr>
                <w:rFonts w:cs="Arial"/>
              </w:rPr>
            </w:pPr>
            <w:r w:rsidRPr="009A5185">
              <w:rPr>
                <w:rFonts w:cs="Arial"/>
              </w:rPr>
              <w:t xml:space="preserve">To determine the total number of encounters </w:t>
            </w:r>
            <w:r>
              <w:rPr>
                <w:rFonts w:cs="Arial"/>
              </w:rPr>
              <w:t>in</w:t>
            </w:r>
            <w:r w:rsidR="004E5A95">
              <w:rPr>
                <w:rFonts w:cs="Arial"/>
              </w:rPr>
              <w:t xml:space="preserve"> </w:t>
            </w:r>
            <w:r w:rsidRPr="004E5A95">
              <w:rPr>
                <w:rFonts w:cs="Arial"/>
                <w:b/>
                <w:bCs/>
              </w:rPr>
              <w:t>abdomen/pelvis</w:t>
            </w:r>
            <w:r w:rsidR="004E5A95" w:rsidRPr="004E5A95">
              <w:rPr>
                <w:rFonts w:cs="Arial"/>
                <w:b/>
                <w:bCs/>
              </w:rPr>
              <w:t xml:space="preserve"> scans</w:t>
            </w:r>
            <w:r w:rsidRPr="004E5A95">
              <w:rPr>
                <w:rFonts w:cs="Arial"/>
                <w:b/>
                <w:bCs/>
              </w:rPr>
              <w:t xml:space="preserve"> </w:t>
            </w:r>
            <w:r>
              <w:rPr>
                <w:rFonts w:cs="Arial"/>
              </w:rPr>
              <w:t>for each</w:t>
            </w:r>
            <w:r w:rsidRPr="009A5185">
              <w:rPr>
                <w:rFonts w:cs="Arial"/>
              </w:rPr>
              <w:t xml:space="preserve"> age stratum</w:t>
            </w:r>
            <w:r>
              <w:rPr>
                <w:rFonts w:cs="Arial"/>
              </w:rPr>
              <w:t xml:space="preserve"> </w:t>
            </w:r>
            <w:r w:rsidRPr="009A5185">
              <w:rPr>
                <w:rFonts w:cs="Arial"/>
              </w:rPr>
              <w:t>(&lt;1, 1-4, 5-9, 10-14, 15-17), you will need to obtain dose reports. See sampling instructions below.</w:t>
            </w:r>
          </w:p>
          <w:p w14:paraId="0D56EDC1" w14:textId="77777777" w:rsidR="00C12B40" w:rsidRDefault="00C12B40" w:rsidP="00A212A4">
            <w:pPr>
              <w:pStyle w:val="NoSpacing"/>
              <w:rPr>
                <w:rFonts w:ascii="Arial" w:hAnsi="Arial" w:cs="Arial"/>
                <w:sz w:val="20"/>
                <w:szCs w:val="20"/>
              </w:rPr>
            </w:pPr>
          </w:p>
          <w:p w14:paraId="27FF209C" w14:textId="77777777" w:rsidR="00577976" w:rsidRPr="009F758E" w:rsidRDefault="00577976" w:rsidP="00A212A4">
            <w:pPr>
              <w:pStyle w:val="NoSpacing"/>
              <w:rPr>
                <w:rFonts w:ascii="Arial" w:hAnsi="Arial" w:cs="Arial"/>
                <w:sz w:val="20"/>
                <w:szCs w:val="20"/>
              </w:rPr>
            </w:pPr>
            <w:r w:rsidRPr="00C14B09">
              <w:rPr>
                <w:rFonts w:ascii="Arial" w:hAnsi="Arial" w:cs="Arial"/>
                <w:b/>
                <w:sz w:val="20"/>
                <w:szCs w:val="20"/>
              </w:rPr>
              <w:t>Inclusions:</w:t>
            </w:r>
          </w:p>
          <w:p w14:paraId="0192D3D9" w14:textId="77777777" w:rsidR="00577976" w:rsidRPr="00F214DA" w:rsidRDefault="00577976" w:rsidP="00A212A4">
            <w:pPr>
              <w:pStyle w:val="NoSpacing"/>
              <w:rPr>
                <w:rFonts w:ascii="Arial" w:hAnsi="Arial" w:cs="Arial"/>
                <w:sz w:val="20"/>
                <w:szCs w:val="20"/>
              </w:rPr>
            </w:pPr>
            <w:r w:rsidRPr="00F214DA">
              <w:rPr>
                <w:rFonts w:ascii="Arial" w:hAnsi="Arial" w:cs="Arial"/>
                <w:color w:val="000000"/>
                <w:sz w:val="20"/>
                <w:szCs w:val="20"/>
              </w:rPr>
              <w:t>CT ABD PELVIS W IVCON</w:t>
            </w:r>
          </w:p>
          <w:p w14:paraId="78D5D0C5"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ABD/PEL W IVCON</w:t>
            </w:r>
          </w:p>
          <w:p w14:paraId="3DB70476"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PEDS ABD PELVIS</w:t>
            </w:r>
          </w:p>
          <w:p w14:paraId="313301A7"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ABD PELVIS WO IVCON</w:t>
            </w:r>
          </w:p>
          <w:p w14:paraId="0CD334E5"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ABD/PEL WO IVCON</w:t>
            </w:r>
          </w:p>
          <w:p w14:paraId="1DA0E4C6"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ABD/PEL</w:t>
            </w:r>
          </w:p>
          <w:p w14:paraId="40754085"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PEDS ABD/PEL WO IVCON</w:t>
            </w:r>
          </w:p>
          <w:p w14:paraId="6D38F7D2"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ABD PELVIS WO &amp; W IVCON</w:t>
            </w:r>
          </w:p>
          <w:p w14:paraId="3D881466"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ABD/PEL WO &amp; W IVCON</w:t>
            </w:r>
          </w:p>
          <w:p w14:paraId="2883501E"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ABD PELVIS</w:t>
            </w:r>
          </w:p>
          <w:p w14:paraId="50A5582D" w14:textId="77777777" w:rsidR="00577976" w:rsidRPr="00F214DA" w:rsidRDefault="00577976" w:rsidP="00A212A4">
            <w:pPr>
              <w:pStyle w:val="NoSpacing"/>
              <w:rPr>
                <w:rFonts w:ascii="Arial" w:hAnsi="Arial" w:cs="Arial"/>
                <w:sz w:val="20"/>
                <w:szCs w:val="20"/>
              </w:rPr>
            </w:pPr>
            <w:r w:rsidRPr="00F214DA">
              <w:rPr>
                <w:rFonts w:ascii="Arial" w:hAnsi="Arial" w:cs="Arial"/>
                <w:sz w:val="20"/>
                <w:szCs w:val="20"/>
              </w:rPr>
              <w:t>CT ABD PELVIS WO IVCON</w:t>
            </w:r>
          </w:p>
          <w:p w14:paraId="57B3E32C" w14:textId="77777777" w:rsidR="00C12B40" w:rsidRDefault="00C12B40" w:rsidP="00A212A4">
            <w:pPr>
              <w:pStyle w:val="NoSpacing"/>
              <w:rPr>
                <w:rFonts w:ascii="Arial" w:hAnsi="Arial" w:cs="Arial"/>
                <w:b/>
                <w:sz w:val="20"/>
                <w:szCs w:val="20"/>
              </w:rPr>
            </w:pPr>
          </w:p>
          <w:p w14:paraId="2B1EEF45" w14:textId="77777777" w:rsidR="00C12B40" w:rsidRPr="006A08C6" w:rsidRDefault="00C12B40" w:rsidP="00A212A4">
            <w:pPr>
              <w:pStyle w:val="NoSpacing"/>
              <w:rPr>
                <w:rFonts w:cs="Arial"/>
                <w:b/>
              </w:rPr>
            </w:pPr>
            <w:r w:rsidRPr="009A5185">
              <w:rPr>
                <w:rFonts w:ascii="Arial" w:hAnsi="Arial" w:cs="Arial"/>
                <w:b/>
                <w:sz w:val="20"/>
                <w:szCs w:val="20"/>
              </w:rPr>
              <w:t>Exclusions:</w:t>
            </w:r>
          </w:p>
          <w:p w14:paraId="5CCDED33" w14:textId="77777777" w:rsidR="00C12B40" w:rsidRDefault="00C12B40" w:rsidP="00AD309C">
            <w:pPr>
              <w:pStyle w:val="ListParagraph"/>
              <w:numPr>
                <w:ilvl w:val="0"/>
                <w:numId w:val="135"/>
              </w:numPr>
              <w:rPr>
                <w:rFonts w:cs="Arial"/>
              </w:rPr>
            </w:pPr>
            <w:r>
              <w:rPr>
                <w:rFonts w:cs="Arial"/>
              </w:rPr>
              <w:t>Encounters where the indication is for a biopsy, including prop studies and stereotactic studies and procedures</w:t>
            </w:r>
          </w:p>
          <w:p w14:paraId="6311B423" w14:textId="2E332538" w:rsidR="00C12B40" w:rsidRDefault="00C12B40" w:rsidP="00AD309C">
            <w:pPr>
              <w:pStyle w:val="ListParagraph"/>
              <w:numPr>
                <w:ilvl w:val="0"/>
                <w:numId w:val="135"/>
              </w:numPr>
              <w:rPr>
                <w:rFonts w:cs="Arial"/>
              </w:rPr>
            </w:pPr>
            <w:r w:rsidRPr="009F758E">
              <w:rPr>
                <w:rFonts w:cs="Arial"/>
              </w:rPr>
              <w:t xml:space="preserve">Encounters that cross multiple anatomic areas should be excluded. For example, encounters involving both the </w:t>
            </w:r>
            <w:r>
              <w:rPr>
                <w:rFonts w:cs="Arial"/>
              </w:rPr>
              <w:t>chest and abdomen/pelvis are excluded from the “abdomen/pelvis</w:t>
            </w:r>
            <w:r w:rsidRPr="009F758E">
              <w:rPr>
                <w:rFonts w:cs="Arial"/>
              </w:rPr>
              <w:t>” anatomic region.</w:t>
            </w:r>
          </w:p>
          <w:p w14:paraId="39389129" w14:textId="44CD3573" w:rsidR="00C12B40" w:rsidRPr="00C670ED" w:rsidRDefault="005D4462" w:rsidP="00AD309C">
            <w:pPr>
              <w:pStyle w:val="ListParagraph"/>
              <w:numPr>
                <w:ilvl w:val="0"/>
                <w:numId w:val="135"/>
              </w:numPr>
              <w:rPr>
                <w:rFonts w:cs="Arial"/>
              </w:rPr>
            </w:pPr>
            <w:r w:rsidRPr="005D4462">
              <w:rPr>
                <w:rFonts w:cs="Arial"/>
              </w:rPr>
              <w:t xml:space="preserve">Encounters where the documented age is </w:t>
            </w:r>
            <w:r>
              <w:rPr>
                <w:rFonts w:cs="Arial"/>
              </w:rPr>
              <w:t xml:space="preserve">missing or listed as </w:t>
            </w:r>
            <w:r w:rsidRPr="005D4462">
              <w:rPr>
                <w:rFonts w:cs="Arial"/>
              </w:rPr>
              <w:t>the date of admission (i.e., an accurate birthday could not be obtained and therefore the admission date was used), as i</w:t>
            </w:r>
            <w:r>
              <w:rPr>
                <w:rFonts w:cs="Arial"/>
              </w:rPr>
              <w:t>s</w:t>
            </w:r>
            <w:r w:rsidRPr="005D4462">
              <w:rPr>
                <w:rFonts w:cs="Arial"/>
              </w:rPr>
              <w:t xml:space="preserve"> the case </w:t>
            </w:r>
            <w:r>
              <w:rPr>
                <w:rFonts w:cs="Arial"/>
              </w:rPr>
              <w:t>for some</w:t>
            </w:r>
            <w:r w:rsidRPr="005D4462">
              <w:rPr>
                <w:rFonts w:cs="Arial"/>
              </w:rPr>
              <w:t xml:space="preserve"> trauma patients</w:t>
            </w:r>
          </w:p>
        </w:tc>
      </w:tr>
      <w:tr w:rsidR="00C12B40" w:rsidRPr="009A5185" w14:paraId="4E7D6BE3" w14:textId="77777777" w:rsidTr="004F63C1">
        <w:trPr>
          <w:trHeight w:val="3456"/>
        </w:trPr>
        <w:tc>
          <w:tcPr>
            <w:tcW w:w="5000" w:type="pct"/>
            <w:tcBorders>
              <w:top w:val="single" w:sz="4" w:space="0" w:color="auto"/>
              <w:left w:val="single" w:sz="4" w:space="0" w:color="auto"/>
              <w:bottom w:val="single" w:sz="4" w:space="0" w:color="auto"/>
              <w:right w:val="single" w:sz="4" w:space="0" w:color="auto"/>
            </w:tcBorders>
            <w:vAlign w:val="center"/>
          </w:tcPr>
          <w:p w14:paraId="20B8EE4D" w14:textId="05DACBD0" w:rsidR="00C12B40" w:rsidRPr="006A08C6" w:rsidRDefault="00C12B40" w:rsidP="00A212A4">
            <w:pPr>
              <w:pStyle w:val="NoSpacing"/>
              <w:rPr>
                <w:rFonts w:ascii="Arial" w:hAnsi="Arial" w:cs="Arial"/>
                <w:b/>
                <w:sz w:val="20"/>
                <w:szCs w:val="20"/>
              </w:rPr>
            </w:pPr>
            <w:r w:rsidRPr="006A08C6">
              <w:rPr>
                <w:rFonts w:ascii="Arial" w:hAnsi="Arial" w:cs="Arial"/>
                <w:b/>
                <w:sz w:val="20"/>
                <w:szCs w:val="20"/>
              </w:rPr>
              <w:t>Q</w:t>
            </w:r>
            <w:r w:rsidR="00FC78C7">
              <w:rPr>
                <w:rFonts w:ascii="Arial" w:hAnsi="Arial" w:cs="Arial"/>
                <w:b/>
                <w:sz w:val="20"/>
                <w:szCs w:val="20"/>
              </w:rPr>
              <w:t>uestion #</w:t>
            </w:r>
            <w:r w:rsidRPr="006A08C6">
              <w:rPr>
                <w:rFonts w:ascii="Arial" w:hAnsi="Arial" w:cs="Arial"/>
                <w:b/>
                <w:sz w:val="20"/>
                <w:szCs w:val="20"/>
              </w:rPr>
              <w:t xml:space="preserve">7 </w:t>
            </w:r>
            <w:r w:rsidRPr="006A08C6">
              <w:rPr>
                <w:rFonts w:ascii="Arial" w:hAnsi="Arial" w:cs="Arial"/>
                <w:b/>
                <w:bCs/>
                <w:sz w:val="20"/>
                <w:szCs w:val="20"/>
              </w:rPr>
              <w:t>columns b, c, and d: 25</w:t>
            </w:r>
            <w:r w:rsidRPr="006A08C6">
              <w:rPr>
                <w:rFonts w:ascii="Arial" w:hAnsi="Arial" w:cs="Arial"/>
                <w:b/>
                <w:bCs/>
                <w:sz w:val="20"/>
                <w:szCs w:val="20"/>
                <w:vertAlign w:val="superscript"/>
              </w:rPr>
              <w:t>th</w:t>
            </w:r>
            <w:r w:rsidRPr="006A08C6">
              <w:rPr>
                <w:rFonts w:ascii="Arial" w:hAnsi="Arial" w:cs="Arial"/>
                <w:b/>
                <w:bCs/>
                <w:sz w:val="20"/>
                <w:szCs w:val="20"/>
              </w:rPr>
              <w:t>, 50</w:t>
            </w:r>
            <w:r w:rsidRPr="006A08C6">
              <w:rPr>
                <w:rFonts w:ascii="Arial" w:hAnsi="Arial" w:cs="Arial"/>
                <w:b/>
                <w:bCs/>
                <w:sz w:val="20"/>
                <w:szCs w:val="20"/>
                <w:vertAlign w:val="superscript"/>
              </w:rPr>
              <w:t>th</w:t>
            </w:r>
            <w:r w:rsidRPr="006A08C6">
              <w:rPr>
                <w:rFonts w:ascii="Arial" w:hAnsi="Arial" w:cs="Arial"/>
                <w:b/>
                <w:bCs/>
                <w:sz w:val="20"/>
                <w:szCs w:val="20"/>
              </w:rPr>
              <w:t>, and 75</w:t>
            </w:r>
            <w:r w:rsidRPr="006A08C6">
              <w:rPr>
                <w:rFonts w:ascii="Arial" w:hAnsi="Arial" w:cs="Arial"/>
                <w:b/>
                <w:bCs/>
                <w:sz w:val="20"/>
                <w:szCs w:val="20"/>
                <w:vertAlign w:val="superscript"/>
              </w:rPr>
              <w:t>th</w:t>
            </w:r>
            <w:r w:rsidRPr="006A08C6">
              <w:rPr>
                <w:rFonts w:ascii="Arial" w:hAnsi="Arial" w:cs="Arial"/>
                <w:b/>
                <w:bCs/>
                <w:sz w:val="20"/>
                <w:szCs w:val="20"/>
              </w:rPr>
              <w:t xml:space="preserve"> Percentiles</w:t>
            </w:r>
          </w:p>
          <w:p w14:paraId="4EFCF358" w14:textId="7821A5D5" w:rsidR="006B37FF" w:rsidRDefault="00C12B40" w:rsidP="00A212A4">
            <w:pPr>
              <w:pStyle w:val="NoSpacing"/>
              <w:rPr>
                <w:rFonts w:ascii="Arial" w:hAnsi="Arial" w:cs="Arial"/>
                <w:sz w:val="20"/>
                <w:szCs w:val="20"/>
              </w:rPr>
            </w:pPr>
            <w:bookmarkStart w:id="710" w:name="_Hlk36541016"/>
            <w:r w:rsidRPr="006A08C6">
              <w:rPr>
                <w:rFonts w:ascii="Arial" w:hAnsi="Arial" w:cs="Arial"/>
                <w:sz w:val="20"/>
                <w:szCs w:val="20"/>
              </w:rPr>
              <w:t xml:space="preserve">Using your dose reports, enter the phantom dose and </w:t>
            </w:r>
            <w:r w:rsidRPr="006A08C6">
              <w:rPr>
                <w:rFonts w:ascii="Arial" w:hAnsi="Arial" w:cs="Arial"/>
                <w:b/>
                <w:sz w:val="20"/>
                <w:szCs w:val="20"/>
              </w:rPr>
              <w:t>Total DLP (mGY-cm)</w:t>
            </w:r>
            <w:r w:rsidRPr="006A08C6">
              <w:rPr>
                <w:rFonts w:ascii="Arial" w:hAnsi="Arial" w:cs="Arial"/>
                <w:sz w:val="20"/>
                <w:szCs w:val="20"/>
              </w:rPr>
              <w:t xml:space="preserve"> for each encounter into </w:t>
            </w:r>
            <w:r w:rsidR="00A670DB">
              <w:rPr>
                <w:rFonts w:ascii="Arial" w:hAnsi="Arial" w:cs="Arial"/>
                <w:sz w:val="20"/>
                <w:szCs w:val="20"/>
              </w:rPr>
              <w:t>each of the 5</w:t>
            </w:r>
            <w:r w:rsidRPr="006A08C6">
              <w:rPr>
                <w:rFonts w:ascii="Arial" w:hAnsi="Arial" w:cs="Arial"/>
                <w:sz w:val="20"/>
                <w:szCs w:val="20"/>
              </w:rPr>
              <w:t xml:space="preserve"> “Abdomen Pelvis” tab</w:t>
            </w:r>
            <w:r w:rsidR="00A670DB">
              <w:rPr>
                <w:rFonts w:ascii="Arial" w:hAnsi="Arial" w:cs="Arial"/>
                <w:sz w:val="20"/>
                <w:szCs w:val="20"/>
              </w:rPr>
              <w:t>s</w:t>
            </w:r>
            <w:r w:rsidRPr="006A08C6">
              <w:rPr>
                <w:rFonts w:ascii="Arial" w:hAnsi="Arial" w:cs="Arial"/>
                <w:sz w:val="20"/>
                <w:szCs w:val="20"/>
              </w:rPr>
              <w:t xml:space="preserve"> of the </w:t>
            </w:r>
            <w:hyperlink r:id="rId452" w:history="1">
              <w:r w:rsidRPr="00DC7CD7">
                <w:rPr>
                  <w:rStyle w:val="Hyperlink"/>
                  <w:rFonts w:ascii="Arial" w:hAnsi="Arial" w:cs="Arial"/>
                  <w:sz w:val="20"/>
                  <w:szCs w:val="20"/>
                </w:rPr>
                <w:t>CT Dose Workbook</w:t>
              </w:r>
            </w:hyperlink>
            <w:r w:rsidRPr="00DC7CD7">
              <w:rPr>
                <w:rFonts w:ascii="Arial" w:hAnsi="Arial" w:cs="Arial"/>
                <w:sz w:val="20"/>
                <w:szCs w:val="20"/>
              </w:rPr>
              <w:t>.</w:t>
            </w:r>
            <w:r w:rsidRPr="006A08C6">
              <w:rPr>
                <w:rFonts w:ascii="Arial" w:hAnsi="Arial" w:cs="Arial"/>
                <w:sz w:val="20"/>
                <w:szCs w:val="20"/>
              </w:rPr>
              <w:t xml:space="preserve"> </w:t>
            </w:r>
            <w:bookmarkEnd w:id="710"/>
            <w:r w:rsidRPr="006A08C6">
              <w:rPr>
                <w:rFonts w:ascii="Arial" w:hAnsi="Arial" w:cs="Arial"/>
                <w:sz w:val="20"/>
                <w:szCs w:val="20"/>
              </w:rPr>
              <w:t xml:space="preserve">Be sure to review the instructions tab carefully before you begin entering data. The worksheet will automatically standardize your dose data to a </w:t>
            </w:r>
            <w:r w:rsidR="00DC7CD7">
              <w:rPr>
                <w:rFonts w:ascii="Arial" w:hAnsi="Arial" w:cs="Arial"/>
                <w:sz w:val="20"/>
                <w:szCs w:val="20"/>
              </w:rPr>
              <w:t>32</w:t>
            </w:r>
            <w:r w:rsidRPr="006A08C6">
              <w:rPr>
                <w:rFonts w:ascii="Arial" w:hAnsi="Arial" w:cs="Arial"/>
                <w:sz w:val="20"/>
                <w:szCs w:val="20"/>
              </w:rPr>
              <w:t>cm phantom, if necessary. The worksheet will then automatically calculate the total number of encounters, as well as the 25</w:t>
            </w:r>
            <w:r w:rsidRPr="006A08C6">
              <w:rPr>
                <w:rFonts w:ascii="Arial" w:hAnsi="Arial" w:cs="Arial"/>
                <w:sz w:val="20"/>
                <w:szCs w:val="20"/>
                <w:vertAlign w:val="superscript"/>
              </w:rPr>
              <w:t>th</w:t>
            </w:r>
            <w:r w:rsidRPr="006A08C6">
              <w:rPr>
                <w:rFonts w:ascii="Arial" w:hAnsi="Arial" w:cs="Arial"/>
                <w:sz w:val="20"/>
                <w:szCs w:val="20"/>
              </w:rPr>
              <w:t>, 50</w:t>
            </w:r>
            <w:r w:rsidRPr="006A08C6">
              <w:rPr>
                <w:rFonts w:ascii="Arial" w:hAnsi="Arial" w:cs="Arial"/>
                <w:sz w:val="20"/>
                <w:szCs w:val="20"/>
                <w:vertAlign w:val="superscript"/>
              </w:rPr>
              <w:t>th</w:t>
            </w:r>
            <w:r w:rsidRPr="006A08C6">
              <w:rPr>
                <w:rFonts w:ascii="Arial" w:hAnsi="Arial" w:cs="Arial"/>
                <w:sz w:val="20"/>
                <w:szCs w:val="20"/>
              </w:rPr>
              <w:t>, and 75</w:t>
            </w:r>
            <w:r w:rsidRPr="006A08C6">
              <w:rPr>
                <w:rFonts w:ascii="Arial" w:hAnsi="Arial" w:cs="Arial"/>
                <w:sz w:val="20"/>
                <w:szCs w:val="20"/>
                <w:vertAlign w:val="superscript"/>
              </w:rPr>
              <w:t>th</w:t>
            </w:r>
            <w:r w:rsidRPr="006A08C6">
              <w:rPr>
                <w:rFonts w:ascii="Arial" w:hAnsi="Arial" w:cs="Arial"/>
                <w:sz w:val="20"/>
                <w:szCs w:val="20"/>
              </w:rPr>
              <w:t xml:space="preserve"> percentiles for each anatomic area and age stratum. </w:t>
            </w:r>
          </w:p>
          <w:p w14:paraId="38BAA8DE" w14:textId="77777777" w:rsidR="006B37FF" w:rsidRDefault="006B37FF" w:rsidP="00A212A4">
            <w:pPr>
              <w:pStyle w:val="NoSpacing"/>
              <w:rPr>
                <w:rFonts w:ascii="Arial" w:hAnsi="Arial" w:cs="Arial"/>
                <w:sz w:val="20"/>
                <w:szCs w:val="20"/>
              </w:rPr>
            </w:pPr>
          </w:p>
          <w:p w14:paraId="1B731B39" w14:textId="77777777" w:rsidR="00FE0E25" w:rsidRDefault="00FE0E25" w:rsidP="00FE0E25">
            <w:pPr>
              <w:pStyle w:val="NoSpacing"/>
              <w:rPr>
                <w:rFonts w:ascii="Arial" w:hAnsi="Arial" w:cs="Arial"/>
                <w:sz w:val="20"/>
              </w:rPr>
            </w:pPr>
            <w:r w:rsidRPr="009A5185">
              <w:rPr>
                <w:rFonts w:ascii="Arial" w:hAnsi="Arial" w:cs="Arial"/>
                <w:sz w:val="20"/>
              </w:rPr>
              <w:t xml:space="preserve">See the example CT Dose Report from a CT scanner </w:t>
            </w:r>
            <w:r>
              <w:rPr>
                <w:rFonts w:ascii="Arial" w:hAnsi="Arial" w:cs="Arial"/>
                <w:sz w:val="20"/>
              </w:rPr>
              <w:t>at the end of</w:t>
            </w:r>
            <w:r w:rsidRPr="009A5185">
              <w:rPr>
                <w:rFonts w:ascii="Arial" w:hAnsi="Arial" w:cs="Arial"/>
                <w:sz w:val="20"/>
              </w:rPr>
              <w:t xml:space="preserve"> this table</w:t>
            </w:r>
            <w:r>
              <w:rPr>
                <w:rFonts w:ascii="Arial" w:hAnsi="Arial" w:cs="Arial"/>
                <w:sz w:val="20"/>
              </w:rPr>
              <w:t>:</w:t>
            </w:r>
          </w:p>
          <w:p w14:paraId="29E8131B" w14:textId="77777777" w:rsidR="00FE0E25" w:rsidRDefault="00FE0E25" w:rsidP="00AD309C">
            <w:pPr>
              <w:pStyle w:val="NoSpacing"/>
              <w:numPr>
                <w:ilvl w:val="0"/>
                <w:numId w:val="163"/>
              </w:numPr>
              <w:rPr>
                <w:rFonts w:ascii="Arial" w:hAnsi="Arial" w:cs="Arial"/>
                <w:sz w:val="20"/>
                <w:szCs w:val="20"/>
              </w:rPr>
            </w:pPr>
            <w:r w:rsidRPr="009A5185">
              <w:rPr>
                <w:rFonts w:ascii="Arial" w:hAnsi="Arial" w:cs="Arial"/>
                <w:sz w:val="20"/>
                <w:szCs w:val="20"/>
              </w:rPr>
              <w:t xml:space="preserve">The </w:t>
            </w:r>
            <w:r>
              <w:rPr>
                <w:rFonts w:ascii="Arial" w:hAnsi="Arial" w:cs="Arial"/>
                <w:sz w:val="20"/>
                <w:szCs w:val="20"/>
              </w:rPr>
              <w:t>orange</w:t>
            </w:r>
            <w:r w:rsidRPr="009A5185">
              <w:rPr>
                <w:rFonts w:ascii="Arial" w:hAnsi="Arial" w:cs="Arial"/>
                <w:sz w:val="20"/>
                <w:szCs w:val="20"/>
              </w:rPr>
              <w:t xml:space="preserve"> box in the screenshot is an example of a Dose Report which shows the phantom dose value used. The phantom dose value is used to estimate the radiation dose to the patient</w:t>
            </w:r>
            <w:r>
              <w:rPr>
                <w:rFonts w:ascii="Arial" w:hAnsi="Arial" w:cs="Arial"/>
                <w:sz w:val="20"/>
                <w:szCs w:val="20"/>
              </w:rPr>
              <w:t xml:space="preserve">. </w:t>
            </w:r>
          </w:p>
          <w:p w14:paraId="4731AB87" w14:textId="77777777" w:rsidR="00FE0E25" w:rsidRPr="00A1287D" w:rsidRDefault="00FE0E25" w:rsidP="00AD309C">
            <w:pPr>
              <w:pStyle w:val="NoSpacing"/>
              <w:numPr>
                <w:ilvl w:val="0"/>
                <w:numId w:val="163"/>
              </w:numPr>
              <w:rPr>
                <w:rFonts w:ascii="Arial" w:hAnsi="Arial" w:cs="Arial"/>
                <w:sz w:val="20"/>
                <w:szCs w:val="20"/>
              </w:rPr>
            </w:pPr>
            <w:r w:rsidRPr="00A1287D">
              <w:rPr>
                <w:rFonts w:ascii="Arial" w:hAnsi="Arial" w:cs="Arial"/>
                <w:sz w:val="20"/>
              </w:rPr>
              <w:t xml:space="preserve">The red box highlights the Total DLP. Note that your CT scanner may have a differently formatted Dose Report. </w:t>
            </w:r>
          </w:p>
          <w:p w14:paraId="2958E7AB" w14:textId="3DF64006" w:rsidR="006B37FF" w:rsidRDefault="005D3242" w:rsidP="00A212A4">
            <w:pPr>
              <w:pStyle w:val="NoSpacing"/>
              <w:rPr>
                <w:rFonts w:ascii="Arial" w:hAnsi="Arial" w:cs="Arial"/>
                <w:sz w:val="20"/>
              </w:rPr>
            </w:pPr>
            <w:r w:rsidRPr="009A5185">
              <w:rPr>
                <w:rFonts w:ascii="Arial" w:hAnsi="Arial" w:cs="Arial"/>
                <w:noProof/>
                <w:sz w:val="20"/>
              </w:rPr>
              <w:drawing>
                <wp:anchor distT="0" distB="0" distL="114300" distR="114300" simplePos="0" relativeHeight="251658240" behindDoc="0" locked="0" layoutInCell="1" allowOverlap="1" wp14:anchorId="173D3E90" wp14:editId="562F79AF">
                  <wp:simplePos x="0" y="0"/>
                  <wp:positionH relativeFrom="column">
                    <wp:posOffset>1360170</wp:posOffset>
                  </wp:positionH>
                  <wp:positionV relativeFrom="paragraph">
                    <wp:posOffset>13970</wp:posOffset>
                  </wp:positionV>
                  <wp:extent cx="2523490" cy="1793875"/>
                  <wp:effectExtent l="0" t="0" r="0" b="0"/>
                  <wp:wrapSquare wrapText="bothSides"/>
                  <wp:docPr id="2131590917" name="Picture 2131590917" descr="P10708C6T14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90917" name="Picture 2131590917" descr="P10708C6T147#y1"/>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523490" cy="179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F5C21" w14:textId="77777777" w:rsidR="005D3242" w:rsidRDefault="005D3242" w:rsidP="00A212A4">
            <w:pPr>
              <w:pStyle w:val="NoSpacing"/>
              <w:rPr>
                <w:rFonts w:ascii="Arial" w:hAnsi="Arial" w:cs="Arial"/>
                <w:b/>
                <w:bCs/>
                <w:sz w:val="20"/>
                <w:szCs w:val="20"/>
              </w:rPr>
            </w:pPr>
          </w:p>
          <w:p w14:paraId="593C76CC" w14:textId="77777777" w:rsidR="005D3242" w:rsidRDefault="005D3242" w:rsidP="00A212A4">
            <w:pPr>
              <w:pStyle w:val="NoSpacing"/>
              <w:rPr>
                <w:rFonts w:ascii="Arial" w:hAnsi="Arial" w:cs="Arial"/>
                <w:b/>
                <w:bCs/>
                <w:sz w:val="20"/>
                <w:szCs w:val="20"/>
              </w:rPr>
            </w:pPr>
          </w:p>
          <w:p w14:paraId="3BA88438" w14:textId="77777777" w:rsidR="005D3242" w:rsidRDefault="005D3242" w:rsidP="00A212A4">
            <w:pPr>
              <w:pStyle w:val="NoSpacing"/>
              <w:rPr>
                <w:rFonts w:ascii="Arial" w:hAnsi="Arial" w:cs="Arial"/>
                <w:b/>
                <w:bCs/>
                <w:sz w:val="20"/>
                <w:szCs w:val="20"/>
              </w:rPr>
            </w:pPr>
          </w:p>
          <w:p w14:paraId="0CBCB4DE" w14:textId="3D2E6038" w:rsidR="005D3242" w:rsidRDefault="005D3242" w:rsidP="00A212A4">
            <w:pPr>
              <w:pStyle w:val="NoSpacing"/>
              <w:rPr>
                <w:rFonts w:ascii="Arial" w:hAnsi="Arial" w:cs="Arial"/>
                <w:b/>
                <w:bCs/>
                <w:sz w:val="20"/>
                <w:szCs w:val="20"/>
              </w:rPr>
            </w:pPr>
            <w:r w:rsidRPr="009A5185">
              <w:rPr>
                <w:rFonts w:ascii="Arial" w:hAnsi="Arial" w:cs="Arial"/>
                <w:noProof/>
                <w:sz w:val="20"/>
              </w:rPr>
              <mc:AlternateContent>
                <mc:Choice Requires="wps">
                  <w:drawing>
                    <wp:anchor distT="0" distB="0" distL="114300" distR="114300" simplePos="0" relativeHeight="251658243" behindDoc="0" locked="0" layoutInCell="1" allowOverlap="1" wp14:anchorId="673CDEA3" wp14:editId="253D9894">
                      <wp:simplePos x="0" y="0"/>
                      <wp:positionH relativeFrom="column">
                        <wp:posOffset>3483610</wp:posOffset>
                      </wp:positionH>
                      <wp:positionV relativeFrom="paragraph">
                        <wp:posOffset>114935</wp:posOffset>
                      </wp:positionV>
                      <wp:extent cx="390525" cy="800735"/>
                      <wp:effectExtent l="19050" t="19050" r="28575" b="18415"/>
                      <wp:wrapNone/>
                      <wp:docPr id="5" name="Rectangle 5" descr="P10712C6T147#y1"/>
                      <wp:cNvGraphicFramePr/>
                      <a:graphic xmlns:a="http://schemas.openxmlformats.org/drawingml/2006/main">
                        <a:graphicData uri="http://schemas.microsoft.com/office/word/2010/wordprocessingShape">
                          <wps:wsp>
                            <wps:cNvSpPr/>
                            <wps:spPr>
                              <a:xfrm>
                                <a:off x="0" y="0"/>
                                <a:ext cx="390525" cy="800735"/>
                              </a:xfrm>
                              <a:prstGeom prst="rect">
                                <a:avLst/>
                              </a:prstGeom>
                              <a:noFill/>
                              <a:ln w="28575">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2BA57" id="Rectangle 5" o:spid="_x0000_s1026" alt="P10712C6T147#y1" style="position:absolute;margin-left:274.3pt;margin-top:9.05pt;width:30.75pt;height:63.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" filled="f" strokecolor="#f79646 [3209]" strokeweight="2.25pt"/>
                  </w:pict>
                </mc:Fallback>
              </mc:AlternateContent>
            </w:r>
          </w:p>
          <w:p w14:paraId="010D94B0" w14:textId="0E85B7B1" w:rsidR="005D3242" w:rsidRDefault="005D3242" w:rsidP="00A212A4">
            <w:pPr>
              <w:pStyle w:val="NoSpacing"/>
              <w:rPr>
                <w:rFonts w:ascii="Arial" w:hAnsi="Arial" w:cs="Arial"/>
                <w:b/>
                <w:bCs/>
                <w:sz w:val="20"/>
                <w:szCs w:val="20"/>
              </w:rPr>
            </w:pPr>
          </w:p>
          <w:p w14:paraId="090166E8" w14:textId="525DA8EC" w:rsidR="005D3242" w:rsidRDefault="005D3242" w:rsidP="00A212A4">
            <w:pPr>
              <w:pStyle w:val="NoSpacing"/>
              <w:rPr>
                <w:rFonts w:ascii="Arial" w:hAnsi="Arial" w:cs="Arial"/>
                <w:b/>
                <w:bCs/>
                <w:sz w:val="20"/>
                <w:szCs w:val="20"/>
              </w:rPr>
            </w:pPr>
          </w:p>
          <w:p w14:paraId="65ACE79D" w14:textId="77777777" w:rsidR="005D3242" w:rsidRDefault="005D3242" w:rsidP="00A212A4">
            <w:pPr>
              <w:pStyle w:val="NoSpacing"/>
              <w:rPr>
                <w:rFonts w:ascii="Arial" w:hAnsi="Arial" w:cs="Arial"/>
                <w:b/>
                <w:bCs/>
                <w:sz w:val="20"/>
                <w:szCs w:val="20"/>
              </w:rPr>
            </w:pPr>
          </w:p>
          <w:p w14:paraId="44C6390C" w14:textId="1F608361" w:rsidR="005D3242" w:rsidRDefault="005D3242" w:rsidP="00A212A4">
            <w:pPr>
              <w:pStyle w:val="NoSpacing"/>
              <w:rPr>
                <w:rFonts w:ascii="Arial" w:hAnsi="Arial" w:cs="Arial"/>
                <w:b/>
                <w:bCs/>
                <w:sz w:val="20"/>
                <w:szCs w:val="20"/>
              </w:rPr>
            </w:pPr>
          </w:p>
          <w:p w14:paraId="7FC2F97F" w14:textId="040330B8" w:rsidR="005D3242" w:rsidRDefault="005D3242" w:rsidP="00A212A4">
            <w:pPr>
              <w:pStyle w:val="NoSpacing"/>
              <w:rPr>
                <w:rFonts w:ascii="Arial" w:hAnsi="Arial" w:cs="Arial"/>
                <w:b/>
                <w:bCs/>
                <w:sz w:val="20"/>
                <w:szCs w:val="20"/>
              </w:rPr>
            </w:pPr>
          </w:p>
          <w:p w14:paraId="4376907C" w14:textId="77777777" w:rsidR="005D3242" w:rsidRDefault="005D3242" w:rsidP="00A212A4">
            <w:pPr>
              <w:pStyle w:val="NoSpacing"/>
              <w:rPr>
                <w:rFonts w:ascii="Arial" w:hAnsi="Arial" w:cs="Arial"/>
                <w:b/>
                <w:bCs/>
                <w:sz w:val="20"/>
                <w:szCs w:val="20"/>
              </w:rPr>
            </w:pPr>
          </w:p>
          <w:p w14:paraId="65E6D9BE" w14:textId="77777777" w:rsidR="005D3242" w:rsidRDefault="005D3242" w:rsidP="00A212A4">
            <w:pPr>
              <w:pStyle w:val="NoSpacing"/>
              <w:rPr>
                <w:rFonts w:ascii="Arial" w:hAnsi="Arial" w:cs="Arial"/>
                <w:b/>
                <w:bCs/>
                <w:sz w:val="20"/>
                <w:szCs w:val="20"/>
              </w:rPr>
            </w:pPr>
          </w:p>
          <w:p w14:paraId="44463881" w14:textId="77777777" w:rsidR="005D3242" w:rsidRDefault="005D3242" w:rsidP="00A212A4">
            <w:pPr>
              <w:pStyle w:val="NoSpacing"/>
              <w:rPr>
                <w:rFonts w:ascii="Arial" w:hAnsi="Arial" w:cs="Arial"/>
                <w:b/>
                <w:bCs/>
                <w:sz w:val="20"/>
                <w:szCs w:val="20"/>
              </w:rPr>
            </w:pPr>
          </w:p>
          <w:p w14:paraId="59167B1A" w14:textId="6B69125C" w:rsidR="00C12B40" w:rsidRPr="006A08C6" w:rsidRDefault="006B37FF" w:rsidP="00A212A4">
            <w:pPr>
              <w:pStyle w:val="NoSpacing"/>
              <w:rPr>
                <w:rFonts w:ascii="Arial" w:hAnsi="Arial" w:cs="Arial"/>
                <w:b/>
                <w:sz w:val="20"/>
                <w:szCs w:val="20"/>
              </w:rPr>
            </w:pPr>
            <w:r w:rsidRPr="00ED06C6">
              <w:rPr>
                <w:rFonts w:ascii="Arial" w:hAnsi="Arial" w:cs="Arial"/>
                <w:b/>
                <w:bCs/>
                <w:sz w:val="20"/>
                <w:szCs w:val="20"/>
              </w:rPr>
              <w:t>Scout Doses (Topograms)</w:t>
            </w:r>
            <w:r w:rsidR="005D3242">
              <w:rPr>
                <w:rFonts w:ascii="Arial" w:hAnsi="Arial" w:cs="Arial"/>
                <w:sz w:val="20"/>
                <w:szCs w:val="20"/>
              </w:rPr>
              <w:t xml:space="preserve"> </w:t>
            </w:r>
            <w:r>
              <w:rPr>
                <w:rFonts w:ascii="Arial" w:hAnsi="Arial" w:cs="Arial"/>
                <w:sz w:val="20"/>
                <w:szCs w:val="20"/>
              </w:rPr>
              <w:t>should not be included when entering the Total DLP for each encounter into the CT Dose Workbook.</w:t>
            </w:r>
          </w:p>
        </w:tc>
      </w:tr>
    </w:tbl>
    <w:p w14:paraId="72CD22DA" w14:textId="2C8B5738" w:rsidR="00C12B40" w:rsidRDefault="00C12B40" w:rsidP="004F63C1">
      <w:pPr>
        <w:pStyle w:val="NoSpacing"/>
        <w:rPr>
          <w:rFonts w:ascii="Arial" w:hAnsi="Arial" w:cs="Arial"/>
          <w:sz w:val="20"/>
        </w:rPr>
      </w:pPr>
    </w:p>
    <w:p w14:paraId="79C8EF73" w14:textId="1A987F35" w:rsidR="00577976" w:rsidRPr="00A212A4" w:rsidRDefault="00CC18EA">
      <w:r w:rsidRPr="009A5185">
        <w:rPr>
          <w:rFonts w:cs="Arial"/>
          <w:color w:val="000000"/>
        </w:rPr>
        <w:t>See</w:t>
      </w:r>
      <w:r>
        <w:rPr>
          <w:rFonts w:cs="Arial"/>
          <w:color w:val="000000"/>
        </w:rPr>
        <w:t xml:space="preserve"> </w:t>
      </w:r>
      <w:hyperlink w:anchor="_Pediatric_CT_Radiation" w:history="1">
        <w:r>
          <w:rPr>
            <w:rStyle w:val="Hyperlink"/>
            <w:rFonts w:cs="Arial"/>
          </w:rPr>
          <w:t>FAQs</w:t>
        </w:r>
      </w:hyperlink>
      <w:r w:rsidRPr="009A5185">
        <w:rPr>
          <w:rFonts w:cs="Arial"/>
          <w:color w:val="000000"/>
        </w:rPr>
        <w:t xml:space="preserve"> for additional information about responding to</w:t>
      </w:r>
      <w:r>
        <w:rPr>
          <w:rFonts w:cs="Arial"/>
          <w:color w:val="000000"/>
        </w:rPr>
        <w:t xml:space="preserve"> the</w:t>
      </w:r>
      <w:r w:rsidRPr="009A5185">
        <w:rPr>
          <w:rFonts w:cs="Arial"/>
          <w:color w:val="000000"/>
        </w:rPr>
        <w:t xml:space="preserve"> questions in this section.</w:t>
      </w:r>
      <w:r w:rsidR="00577976">
        <w:br w:type="page"/>
      </w:r>
    </w:p>
    <w:p w14:paraId="78B8E34B" w14:textId="7C579BF5" w:rsidR="00B574C8" w:rsidRDefault="00BD4578" w:rsidP="00CF5A6E">
      <w:pPr>
        <w:pStyle w:val="Heading2"/>
      </w:pPr>
      <w:bookmarkStart w:id="711" w:name="_Pediatric_CT_Radiation"/>
      <w:bookmarkStart w:id="712" w:name="_Toc225877828"/>
      <w:bookmarkEnd w:id="711"/>
      <w:r>
        <w:lastRenderedPageBreak/>
        <w:t xml:space="preserve">Section 8: </w:t>
      </w:r>
      <w:r w:rsidR="00B574C8">
        <w:t>Pediatric Care Frequently Asked Questions (FAQs)</w:t>
      </w:r>
      <w:bookmarkEnd w:id="712"/>
    </w:p>
    <w:p w14:paraId="66A1C9CF" w14:textId="77777777" w:rsidR="00B574C8" w:rsidRPr="009A5185" w:rsidRDefault="00B574C8" w:rsidP="00753419"/>
    <w:p w14:paraId="513214AD" w14:textId="67BF000A" w:rsidR="00B574C8" w:rsidRDefault="00B574C8" w:rsidP="00AB5B80">
      <w:pPr>
        <w:pStyle w:val="Heading3"/>
      </w:pPr>
      <w:bookmarkStart w:id="713" w:name="_Toc225877829"/>
      <w:r>
        <w:t>Patient Experience (CAHPS Child Hospital Survey)</w:t>
      </w:r>
      <w:r w:rsidR="00B078B4">
        <w:t xml:space="preserve"> FAQs</w:t>
      </w:r>
      <w:bookmarkEnd w:id="713"/>
    </w:p>
    <w:p w14:paraId="4C56AE5F" w14:textId="77777777" w:rsidR="00B574C8" w:rsidRPr="009A5185" w:rsidRDefault="00B574C8" w:rsidP="00B574C8">
      <w:pPr>
        <w:rPr>
          <w:rFonts w:cs="Arial"/>
          <w:lang w:eastAsia="ja-JP"/>
        </w:rPr>
      </w:pPr>
    </w:p>
    <w:p w14:paraId="095009A4" w14:textId="1BAEEAA1" w:rsidR="00B574C8" w:rsidRPr="002F6824" w:rsidRDefault="00B574C8" w:rsidP="00AD309C">
      <w:pPr>
        <w:pStyle w:val="ListParagraph"/>
        <w:numPr>
          <w:ilvl w:val="0"/>
          <w:numId w:val="66"/>
        </w:numPr>
        <w:rPr>
          <w:rFonts w:cs="Arial"/>
          <w:b/>
        </w:rPr>
      </w:pPr>
      <w:r w:rsidRPr="002F6824">
        <w:rPr>
          <w:rFonts w:cs="Arial"/>
          <w:b/>
        </w:rPr>
        <w:t xml:space="preserve">Why does Leapfrog refer to two different reporting periods in Section </w:t>
      </w:r>
      <w:r w:rsidR="00FC78C7">
        <w:rPr>
          <w:rFonts w:cs="Arial"/>
          <w:b/>
        </w:rPr>
        <w:t>8</w:t>
      </w:r>
      <w:r w:rsidRPr="002F6824">
        <w:rPr>
          <w:rFonts w:cs="Arial"/>
          <w:b/>
        </w:rPr>
        <w:t xml:space="preserve">A </w:t>
      </w:r>
      <w:r>
        <w:rPr>
          <w:rFonts w:cs="Arial"/>
          <w:b/>
        </w:rPr>
        <w:t>q</w:t>
      </w:r>
      <w:r w:rsidRPr="002F6824">
        <w:rPr>
          <w:rFonts w:cs="Arial"/>
          <w:b/>
        </w:rPr>
        <w:t>uestion #2: one reporting period which refers to the number of pediatric admissions during the 12</w:t>
      </w:r>
      <w:r>
        <w:rPr>
          <w:rFonts w:cs="Arial"/>
          <w:b/>
        </w:rPr>
        <w:t xml:space="preserve"> months</w:t>
      </w:r>
      <w:r w:rsidRPr="002F6824">
        <w:rPr>
          <w:rFonts w:cs="Arial"/>
          <w:b/>
        </w:rPr>
        <w:t xml:space="preserve"> from Section 1 and one reporting period which refers to the results of our CAHPS Child Hospital Survey?</w:t>
      </w:r>
    </w:p>
    <w:p w14:paraId="5E8E956B" w14:textId="206BDAB0" w:rsidR="00B574C8" w:rsidRDefault="00B574C8" w:rsidP="00B574C8">
      <w:pPr>
        <w:pStyle w:val="ListParagraph"/>
        <w:rPr>
          <w:rFonts w:cs="Arial"/>
        </w:rPr>
      </w:pPr>
      <w:r w:rsidRPr="002F6824">
        <w:rPr>
          <w:rFonts w:cs="Arial"/>
        </w:rPr>
        <w:t>These two reporting periods are different because hospitals that have not historically had 500 pediatric admissions annually may not have begun to administer the CAHPS Survey to their patients and therefore it would not be appropriate to ask these facilities to report on their</w:t>
      </w:r>
      <w:r>
        <w:rPr>
          <w:rFonts w:cs="Arial"/>
        </w:rPr>
        <w:t xml:space="preserve"> current results in Section </w:t>
      </w:r>
      <w:r w:rsidR="00FC78C7">
        <w:rPr>
          <w:rFonts w:cs="Arial"/>
        </w:rPr>
        <w:t>8</w:t>
      </w:r>
      <w:r>
        <w:rPr>
          <w:rFonts w:cs="Arial"/>
        </w:rPr>
        <w:t>A.</w:t>
      </w:r>
    </w:p>
    <w:p w14:paraId="1F071698" w14:textId="77777777" w:rsidR="00B574C8" w:rsidRPr="002F6824" w:rsidRDefault="00B574C8" w:rsidP="00B574C8">
      <w:pPr>
        <w:pStyle w:val="ListParagraph"/>
        <w:rPr>
          <w:rFonts w:cs="Arial"/>
        </w:rPr>
      </w:pPr>
    </w:p>
    <w:p w14:paraId="6DFA8E32" w14:textId="115F2F06" w:rsidR="00B574C8" w:rsidRPr="009A5185" w:rsidRDefault="00B574C8" w:rsidP="00AD309C">
      <w:pPr>
        <w:pStyle w:val="ListParagraph"/>
        <w:numPr>
          <w:ilvl w:val="0"/>
          <w:numId w:val="66"/>
        </w:numPr>
        <w:rPr>
          <w:rFonts w:cs="Arial"/>
        </w:rPr>
      </w:pPr>
      <w:r w:rsidRPr="00021044">
        <w:rPr>
          <w:rFonts w:cs="Arial"/>
          <w:b/>
        </w:rPr>
        <w:t xml:space="preserve">Do I need to include </w:t>
      </w:r>
      <w:r>
        <w:rPr>
          <w:rFonts w:cs="Arial"/>
          <w:b/>
        </w:rPr>
        <w:t>neonatal ICU (</w:t>
      </w:r>
      <w:r w:rsidRPr="00021044">
        <w:rPr>
          <w:rFonts w:cs="Arial"/>
          <w:b/>
        </w:rPr>
        <w:t>NICU</w:t>
      </w:r>
      <w:r>
        <w:rPr>
          <w:rFonts w:cs="Arial"/>
          <w:b/>
        </w:rPr>
        <w:t>)</w:t>
      </w:r>
      <w:r w:rsidRPr="00021044">
        <w:rPr>
          <w:rFonts w:cs="Arial"/>
          <w:b/>
        </w:rPr>
        <w:t xml:space="preserve"> discharges when administering the CAHPS Child Hospital Survey and reporting those results to Leapfrog?</w:t>
      </w:r>
      <w:r w:rsidRPr="009A5185">
        <w:rPr>
          <w:rFonts w:cs="Arial"/>
          <w:b/>
        </w:rPr>
        <w:br/>
      </w:r>
      <w:r w:rsidRPr="009A5185">
        <w:rPr>
          <w:rFonts w:cs="Arial"/>
        </w:rPr>
        <w:t xml:space="preserve">The Child CAHPS Hospital Survey was designed to be administered to pediatric discharges including NICU discharges. Additional details on fielding the CAHPS Child Hospital Survey can be found </w:t>
      </w:r>
      <w:hyperlink r:id="rId454" w:history="1">
        <w:r w:rsidRPr="009A5185">
          <w:rPr>
            <w:rStyle w:val="Hyperlink"/>
            <w:rFonts w:cs="Arial"/>
          </w:rPr>
          <w:t>here</w:t>
        </w:r>
      </w:hyperlink>
      <w:r w:rsidRPr="009A5185">
        <w:rPr>
          <w:rFonts w:cs="Arial"/>
        </w:rPr>
        <w:t xml:space="preserve">. </w:t>
      </w:r>
    </w:p>
    <w:p w14:paraId="402E1138" w14:textId="77777777" w:rsidR="00B574C8" w:rsidRPr="009A5185" w:rsidRDefault="00B574C8" w:rsidP="00B574C8">
      <w:pPr>
        <w:pStyle w:val="ListParagraph"/>
        <w:rPr>
          <w:rFonts w:cs="Arial"/>
        </w:rPr>
      </w:pPr>
    </w:p>
    <w:p w14:paraId="42577154" w14:textId="7D113122" w:rsidR="00B574C8" w:rsidRPr="009A5185" w:rsidRDefault="00B574C8" w:rsidP="00B574C8">
      <w:pPr>
        <w:pStyle w:val="ListParagraph"/>
        <w:rPr>
          <w:rFonts w:cs="Arial"/>
        </w:rPr>
      </w:pPr>
      <w:r>
        <w:rPr>
          <w:rFonts w:cs="Arial"/>
        </w:rPr>
        <w:t>In 202</w:t>
      </w:r>
      <w:r w:rsidR="00DA2326">
        <w:rPr>
          <w:rFonts w:cs="Arial"/>
        </w:rPr>
        <w:t>6</w:t>
      </w:r>
      <w:r w:rsidRPr="009A5185">
        <w:rPr>
          <w:rFonts w:cs="Arial"/>
        </w:rPr>
        <w:t xml:space="preserve">, hospitals that have been administering the CAHPS survey without including NICU discharges in their sample can report those results to Leapfrog, provided they meet the minimum sample size and timing requirements in the Leapfrog Hospital Survey. However, we are urging those hospitals to begin including NICU discharges-- per the manual guidelines-- immediately, as CAHPS is designed to include those patients. Hospitals that are just starting </w:t>
      </w:r>
      <w:r>
        <w:rPr>
          <w:rFonts w:cs="Arial"/>
        </w:rPr>
        <w:t>to administer the survey in 202</w:t>
      </w:r>
      <w:r w:rsidR="00DA2326">
        <w:rPr>
          <w:rFonts w:cs="Arial"/>
        </w:rPr>
        <w:t>6</w:t>
      </w:r>
      <w:r w:rsidRPr="009A5185">
        <w:rPr>
          <w:rFonts w:cs="Arial"/>
        </w:rPr>
        <w:t xml:space="preserve"> should include NICU discharges in their sample per the sampling framework detailed in the manual. </w:t>
      </w:r>
    </w:p>
    <w:p w14:paraId="2FA37125" w14:textId="77777777" w:rsidR="00B574C8" w:rsidRPr="00E64F99" w:rsidRDefault="00B574C8" w:rsidP="00B574C8">
      <w:pPr>
        <w:rPr>
          <w:rFonts w:cs="Arial"/>
        </w:rPr>
      </w:pPr>
    </w:p>
    <w:p w14:paraId="2C3852D0" w14:textId="77777777" w:rsidR="00B574C8" w:rsidRPr="00021044" w:rsidRDefault="00B574C8" w:rsidP="00AD309C">
      <w:pPr>
        <w:pStyle w:val="ListParagraph"/>
        <w:numPr>
          <w:ilvl w:val="0"/>
          <w:numId w:val="66"/>
        </w:numPr>
        <w:contextualSpacing w:val="0"/>
        <w:rPr>
          <w:rFonts w:ascii="Calibri" w:hAnsi="Calibri"/>
          <w:b/>
        </w:rPr>
      </w:pPr>
      <w:r w:rsidRPr="00021044">
        <w:rPr>
          <w:b/>
        </w:rPr>
        <w:t>Can we use other lower cost modes for administering the CAHPS Child Hospital Survey? Survey administration is costly, and our hospital has low response rates.</w:t>
      </w:r>
    </w:p>
    <w:p w14:paraId="07CDBC26" w14:textId="77777777" w:rsidR="00B574C8" w:rsidRPr="009A5185" w:rsidRDefault="00B574C8" w:rsidP="00B574C8">
      <w:pPr>
        <w:pStyle w:val="ListParagraph"/>
        <w:rPr>
          <w:rFonts w:cs="Arial"/>
        </w:rPr>
      </w:pPr>
      <w:r w:rsidRPr="009A5185">
        <w:rPr>
          <w:rFonts w:cs="Arial"/>
        </w:rPr>
        <w:t>Some hospitals have asked about the use of alternative, lower cost modes of survey administration, such as administering paper surveys a</w:t>
      </w:r>
      <w:r>
        <w:rPr>
          <w:rFonts w:cs="Arial"/>
        </w:rPr>
        <w:t>t</w:t>
      </w:r>
      <w:r w:rsidRPr="009A5185">
        <w:rPr>
          <w:rFonts w:cs="Arial"/>
        </w:rPr>
        <w:t xml:space="preserve"> discharge that can then be batched and mailed to a vendor to calculate results. This approach is potentially an opportunity both</w:t>
      </w:r>
      <w:r>
        <w:rPr>
          <w:rFonts w:cs="Arial"/>
        </w:rPr>
        <w:t xml:space="preserve"> to</w:t>
      </w:r>
      <w:r w:rsidRPr="009A5185">
        <w:rPr>
          <w:rFonts w:cs="Arial"/>
        </w:rPr>
        <w:t xml:space="preserve"> lower the cost of administration and </w:t>
      </w:r>
      <w:r>
        <w:rPr>
          <w:rFonts w:cs="Arial"/>
        </w:rPr>
        <w:t xml:space="preserve">to </w:t>
      </w:r>
      <w:r w:rsidRPr="009A5185">
        <w:rPr>
          <w:rFonts w:cs="Arial"/>
        </w:rPr>
        <w:t xml:space="preserve">increase response rates. </w:t>
      </w:r>
    </w:p>
    <w:p w14:paraId="7AB7B553" w14:textId="77777777" w:rsidR="00B574C8" w:rsidRPr="009A5185" w:rsidRDefault="00B574C8" w:rsidP="00B574C8">
      <w:pPr>
        <w:pStyle w:val="ListParagraph"/>
        <w:rPr>
          <w:rFonts w:cs="Arial"/>
        </w:rPr>
      </w:pPr>
    </w:p>
    <w:p w14:paraId="74B421D7" w14:textId="1796E987" w:rsidR="00B574C8" w:rsidRDefault="00B574C8" w:rsidP="00B574C8">
      <w:pPr>
        <w:pStyle w:val="ListParagraph"/>
        <w:rPr>
          <w:rFonts w:cs="Arial"/>
        </w:rPr>
      </w:pPr>
      <w:hyperlink r:id="rId455" w:history="1">
        <w:r w:rsidRPr="00B13D73">
          <w:rPr>
            <w:rStyle w:val="Hyperlink"/>
            <w:rFonts w:cs="Arial"/>
          </w:rPr>
          <w:t>Leapfrog’s Pediatric Expert Panel</w:t>
        </w:r>
      </w:hyperlink>
      <w:r w:rsidRPr="009A5185">
        <w:rPr>
          <w:rFonts w:cs="Arial"/>
        </w:rPr>
        <w:t xml:space="preserve"> has noted that while administering the CAHPS Child Hospital Survey using paper forms at discharge </w:t>
      </w:r>
      <w:r>
        <w:rPr>
          <w:rFonts w:cs="Arial"/>
        </w:rPr>
        <w:t xml:space="preserve">is not </w:t>
      </w:r>
      <w:r w:rsidRPr="009A5185">
        <w:rPr>
          <w:rFonts w:cs="Arial"/>
        </w:rPr>
        <w:t xml:space="preserve">on the list of AHRQ-approved modes, hospitals that are trying to find ways to administer the survey and increase response rate should be able to submit results to the </w:t>
      </w:r>
      <w:r>
        <w:rPr>
          <w:rFonts w:cs="Arial"/>
        </w:rPr>
        <w:t>202</w:t>
      </w:r>
      <w:r w:rsidR="00242AC1">
        <w:rPr>
          <w:rFonts w:cs="Arial"/>
        </w:rPr>
        <w:t>6</w:t>
      </w:r>
      <w:r w:rsidRPr="009A5185">
        <w:rPr>
          <w:rFonts w:cs="Arial"/>
        </w:rPr>
        <w:t xml:space="preserve"> Leapfrog Hospital Survey. That said, the Pediatric Expert Panel has expressed a desire for these different modes to be tested, and so we cannot guarantee that you will be able to submit these results for future Leapfrog Hospital Surveys.</w:t>
      </w:r>
    </w:p>
    <w:p w14:paraId="3D833C80" w14:textId="77777777" w:rsidR="00B574C8" w:rsidRPr="00C50210" w:rsidRDefault="00B574C8" w:rsidP="00B574C8">
      <w:pPr>
        <w:rPr>
          <w:rFonts w:cs="Arial"/>
          <w:b/>
          <w:u w:val="single"/>
          <w:lang w:eastAsia="ja-JP"/>
        </w:rPr>
      </w:pPr>
    </w:p>
    <w:p w14:paraId="6EB4DD07" w14:textId="77777777" w:rsidR="00B574C8" w:rsidRPr="009A5185" w:rsidRDefault="00B574C8" w:rsidP="00AD309C">
      <w:pPr>
        <w:pStyle w:val="ListParagraph"/>
        <w:numPr>
          <w:ilvl w:val="0"/>
          <w:numId w:val="66"/>
        </w:numPr>
        <w:rPr>
          <w:rFonts w:cs="Arial"/>
          <w:b/>
          <w:u w:val="single"/>
          <w:lang w:eastAsia="ja-JP"/>
        </w:rPr>
      </w:pPr>
      <w:r w:rsidRPr="009A5185">
        <w:rPr>
          <w:rFonts w:cs="Arial"/>
          <w:b/>
          <w:lang w:eastAsia="ja-JP"/>
        </w:rPr>
        <w:t>Is Interactive Voice Response (IVR) or texting a link to an online survey an acceptable mode for administering the CAHPS Child Hospital Survey?</w:t>
      </w:r>
    </w:p>
    <w:p w14:paraId="2B905047" w14:textId="7F695E98" w:rsidR="00B574C8" w:rsidRPr="00644B83" w:rsidRDefault="00B574C8" w:rsidP="00B574C8">
      <w:pPr>
        <w:pStyle w:val="ListParagraph"/>
      </w:pPr>
      <w:r w:rsidRPr="009A5185">
        <w:rPr>
          <w:rFonts w:cs="Arial"/>
        </w:rPr>
        <w:t xml:space="preserve">Hospitals that administer the CAHPS Child Hospital Survey via IVR should select “phone” in </w:t>
      </w:r>
      <w:r w:rsidRPr="00FC78C7">
        <w:rPr>
          <w:rFonts w:cs="Arial"/>
        </w:rPr>
        <w:t>question #</w:t>
      </w:r>
      <w:r w:rsidR="00FC78C7" w:rsidRPr="00753419">
        <w:rPr>
          <w:rFonts w:cs="Arial"/>
        </w:rPr>
        <w:t>6</w:t>
      </w:r>
      <w:r w:rsidRPr="00FC78C7">
        <w:rPr>
          <w:rFonts w:cs="Arial"/>
        </w:rPr>
        <w:t>.</w:t>
      </w:r>
      <w:r w:rsidRPr="009A5185">
        <w:rPr>
          <w:rFonts w:cs="Arial"/>
        </w:rPr>
        <w:t xml:space="preserve"> Hospitals that administer the CAHPS Child Hospital Survey by texting a link to an online survey to the patient should select “email</w:t>
      </w:r>
      <w:r>
        <w:rPr>
          <w:rFonts w:cs="Arial"/>
        </w:rPr>
        <w:t>.</w:t>
      </w:r>
      <w:r w:rsidRPr="009A5185">
        <w:rPr>
          <w:rFonts w:cs="Arial"/>
        </w:rPr>
        <w:t>”</w:t>
      </w:r>
    </w:p>
    <w:p w14:paraId="5CA30BCB" w14:textId="798620A5" w:rsidR="00B574C8" w:rsidRDefault="00B574C8" w:rsidP="00B574C8">
      <w:pPr>
        <w:rPr>
          <w:rFonts w:cs="Arial"/>
        </w:rPr>
      </w:pPr>
    </w:p>
    <w:p w14:paraId="299F40AB" w14:textId="66DF1F5B" w:rsidR="00B574C8" w:rsidRPr="009A5185" w:rsidRDefault="00B574C8" w:rsidP="00AB5B80">
      <w:pPr>
        <w:pStyle w:val="Heading3"/>
        <w:rPr>
          <w:u w:val="single"/>
        </w:rPr>
      </w:pPr>
      <w:bookmarkStart w:id="714" w:name="_Toc225877830"/>
      <w:r>
        <w:t xml:space="preserve">Pediatric Computed Tomography (CT) Radiation Dose </w:t>
      </w:r>
      <w:r w:rsidR="00B078B4">
        <w:t>FAQs</w:t>
      </w:r>
      <w:bookmarkEnd w:id="714"/>
    </w:p>
    <w:p w14:paraId="3F590E0B" w14:textId="77777777" w:rsidR="002F3F90" w:rsidRPr="009A5185" w:rsidRDefault="002F3F90" w:rsidP="00753419"/>
    <w:p w14:paraId="567C9D41" w14:textId="1D076072" w:rsidR="00E42AFC" w:rsidRPr="00753419" w:rsidRDefault="00E42AFC" w:rsidP="00AD309C">
      <w:pPr>
        <w:pStyle w:val="ListParagraph"/>
        <w:numPr>
          <w:ilvl w:val="0"/>
          <w:numId w:val="66"/>
        </w:numPr>
        <w:spacing w:after="200" w:line="276" w:lineRule="auto"/>
        <w:rPr>
          <w:rFonts w:cs="Arial"/>
          <w:b/>
        </w:rPr>
      </w:pPr>
      <w:r w:rsidRPr="00753419">
        <w:rPr>
          <w:rFonts w:cs="Arial"/>
          <w:b/>
        </w:rPr>
        <w:t xml:space="preserve">Is this measure only applicable to pediatric inpatients, or should all pediatric scans be included? </w:t>
      </w:r>
    </w:p>
    <w:p w14:paraId="05A9979D" w14:textId="1E1DAEE1" w:rsidR="002F3F90" w:rsidRDefault="00E42AFC" w:rsidP="00681690">
      <w:pPr>
        <w:pStyle w:val="ListParagraph"/>
        <w:spacing w:after="200" w:line="276" w:lineRule="auto"/>
        <w:rPr>
          <w:rFonts w:cs="Arial"/>
        </w:rPr>
      </w:pPr>
      <w:r w:rsidRPr="009A5185">
        <w:rPr>
          <w:rFonts w:cs="Arial"/>
        </w:rPr>
        <w:t>All pediatric patient (</w:t>
      </w:r>
      <w:r w:rsidR="002F3283">
        <w:rPr>
          <w:rFonts w:cs="Arial"/>
        </w:rPr>
        <w:t xml:space="preserve">ages </w:t>
      </w:r>
      <w:r w:rsidRPr="009A5185">
        <w:rPr>
          <w:rFonts w:cs="Arial"/>
        </w:rPr>
        <w:t xml:space="preserve">17 years </w:t>
      </w:r>
      <w:r w:rsidR="002F3283">
        <w:rPr>
          <w:rFonts w:cs="Arial"/>
        </w:rPr>
        <w:t>and</w:t>
      </w:r>
      <w:r w:rsidRPr="009A5185">
        <w:rPr>
          <w:rFonts w:cs="Arial"/>
        </w:rPr>
        <w:t xml:space="preserve"> younger) scans should be included when reporting on this measure, including cases that were never admitted to an inpatient ward.</w:t>
      </w:r>
      <w:r w:rsidR="00DC28FF" w:rsidRPr="009A5185">
        <w:rPr>
          <w:rFonts w:cs="Arial"/>
        </w:rPr>
        <w:br/>
      </w:r>
    </w:p>
    <w:p w14:paraId="73CAB2D2" w14:textId="649329B1" w:rsidR="00B574C8" w:rsidRDefault="00B574C8" w:rsidP="00681690">
      <w:pPr>
        <w:pStyle w:val="ListParagraph"/>
        <w:spacing w:after="200" w:line="276" w:lineRule="auto"/>
        <w:rPr>
          <w:rFonts w:cs="Arial"/>
        </w:rPr>
      </w:pPr>
    </w:p>
    <w:p w14:paraId="7CB35D7D" w14:textId="77777777" w:rsidR="00B574C8" w:rsidRPr="009A5185" w:rsidRDefault="00B574C8" w:rsidP="00681690">
      <w:pPr>
        <w:pStyle w:val="ListParagraph"/>
        <w:spacing w:after="200" w:line="276" w:lineRule="auto"/>
        <w:rPr>
          <w:rFonts w:cs="Arial"/>
        </w:rPr>
      </w:pPr>
    </w:p>
    <w:p w14:paraId="562A2312" w14:textId="77777777" w:rsidR="002F3F90" w:rsidRPr="00681690" w:rsidRDefault="002F3F90" w:rsidP="00AD309C">
      <w:pPr>
        <w:pStyle w:val="ListParagraph"/>
        <w:numPr>
          <w:ilvl w:val="0"/>
          <w:numId w:val="66"/>
        </w:numPr>
        <w:spacing w:after="200" w:line="276" w:lineRule="auto"/>
        <w:rPr>
          <w:rFonts w:cs="Arial"/>
          <w:b/>
        </w:rPr>
      </w:pPr>
      <w:r w:rsidRPr="00681690">
        <w:rPr>
          <w:rFonts w:cs="Arial"/>
          <w:b/>
        </w:rPr>
        <w:lastRenderedPageBreak/>
        <w:t>Should multiple phase scans be included in the reporting?</w:t>
      </w:r>
    </w:p>
    <w:p w14:paraId="62572F45" w14:textId="613FD25E" w:rsidR="008D1AC4" w:rsidRDefault="002F3F90" w:rsidP="00681690">
      <w:pPr>
        <w:pStyle w:val="ListParagraph"/>
        <w:spacing w:after="200"/>
        <w:rPr>
          <w:rFonts w:cs="Arial"/>
        </w:rPr>
      </w:pPr>
      <w:r w:rsidRPr="009A5185">
        <w:rPr>
          <w:rFonts w:cs="Arial"/>
        </w:rPr>
        <w:t>Yes, the intent of this measure is to capture the entire dose a patient receives, even if this radiation is received over multiple phase scans.</w:t>
      </w:r>
    </w:p>
    <w:p w14:paraId="6876514A" w14:textId="77777777" w:rsidR="008D1AC4" w:rsidRPr="008D1AC4" w:rsidRDefault="008D1AC4" w:rsidP="008D1AC4">
      <w:pPr>
        <w:pStyle w:val="ListParagraph"/>
        <w:spacing w:after="200"/>
        <w:rPr>
          <w:rFonts w:cs="Arial"/>
        </w:rPr>
      </w:pPr>
    </w:p>
    <w:p w14:paraId="5E246DFE" w14:textId="1AB9907C" w:rsidR="002F3F90" w:rsidRPr="009A5185" w:rsidRDefault="002F3F90" w:rsidP="00AD309C">
      <w:pPr>
        <w:pStyle w:val="ListParagraph"/>
        <w:numPr>
          <w:ilvl w:val="0"/>
          <w:numId w:val="66"/>
        </w:numPr>
        <w:spacing w:after="200" w:line="276" w:lineRule="auto"/>
        <w:rPr>
          <w:rFonts w:cs="Arial"/>
          <w:b/>
        </w:rPr>
      </w:pPr>
      <w:r w:rsidRPr="009A5185">
        <w:rPr>
          <w:rFonts w:cs="Arial"/>
          <w:b/>
        </w:rPr>
        <w:t xml:space="preserve">Should any CT encounters involving anatomic areas not listed in the </w:t>
      </w:r>
      <w:r w:rsidR="00C14AFF" w:rsidRPr="009A5185">
        <w:rPr>
          <w:rFonts w:cs="Arial"/>
          <w:b/>
        </w:rPr>
        <w:t>Survey</w:t>
      </w:r>
      <w:r w:rsidRPr="009A5185">
        <w:rPr>
          <w:rFonts w:cs="Arial"/>
          <w:b/>
        </w:rPr>
        <w:t xml:space="preserve"> </w:t>
      </w:r>
      <w:r w:rsidR="00833C54" w:rsidRPr="009A5185">
        <w:rPr>
          <w:rFonts w:cs="Arial"/>
          <w:b/>
        </w:rPr>
        <w:t>questions (</w:t>
      </w:r>
      <w:r w:rsidR="000A554A" w:rsidRPr="009A5185">
        <w:rPr>
          <w:rFonts w:cs="Arial"/>
          <w:b/>
        </w:rPr>
        <w:t>i.e.,</w:t>
      </w:r>
      <w:r w:rsidRPr="009A5185">
        <w:rPr>
          <w:rFonts w:cs="Arial"/>
          <w:b/>
        </w:rPr>
        <w:t xml:space="preserve"> head</w:t>
      </w:r>
      <w:r w:rsidR="00390C9B" w:rsidRPr="009A5185">
        <w:rPr>
          <w:rFonts w:cs="Arial"/>
          <w:b/>
        </w:rPr>
        <w:t xml:space="preserve"> or</w:t>
      </w:r>
      <w:r w:rsidRPr="009A5185">
        <w:rPr>
          <w:rFonts w:cs="Arial"/>
          <w:b/>
        </w:rPr>
        <w:t xml:space="preserve"> abdomen/pelvis) be included in the reporting? </w:t>
      </w:r>
    </w:p>
    <w:p w14:paraId="369CA13C" w14:textId="77777777" w:rsidR="002F3F90" w:rsidRPr="004153E6" w:rsidRDefault="002F3F90" w:rsidP="00681690">
      <w:pPr>
        <w:pStyle w:val="ListParagraph"/>
        <w:rPr>
          <w:rFonts w:cs="Arial"/>
        </w:rPr>
      </w:pPr>
      <w:r w:rsidRPr="009A5185">
        <w:rPr>
          <w:rFonts w:cs="Arial"/>
        </w:rPr>
        <w:t xml:space="preserve">No. When reporting CT encounters in the </w:t>
      </w:r>
      <w:r w:rsidR="00C14AFF" w:rsidRPr="009A5185">
        <w:rPr>
          <w:rFonts w:cs="Arial"/>
        </w:rPr>
        <w:t>Survey</w:t>
      </w:r>
      <w:r w:rsidRPr="009A5185">
        <w:rPr>
          <w:rFonts w:cs="Arial"/>
        </w:rPr>
        <w:t>, only encounters involving the head</w:t>
      </w:r>
      <w:r w:rsidR="00390C9B" w:rsidRPr="009A5185">
        <w:rPr>
          <w:rFonts w:cs="Arial"/>
        </w:rPr>
        <w:t xml:space="preserve"> or</w:t>
      </w:r>
      <w:r w:rsidRPr="009A5185">
        <w:rPr>
          <w:rFonts w:cs="Arial"/>
        </w:rPr>
        <w:t xml:space="preserve"> abdomen/pelvis should be included. Encounters involving any other anatomic area should not be reported. For example, encounters involving both the head and neck are excluded from the </w:t>
      </w:r>
      <w:r w:rsidRPr="004153E6">
        <w:rPr>
          <w:rFonts w:cs="Arial"/>
        </w:rPr>
        <w:t>“head” anatomic region.</w:t>
      </w:r>
    </w:p>
    <w:p w14:paraId="31E24D38" w14:textId="77777777" w:rsidR="002F3F90" w:rsidRPr="004153E6" w:rsidRDefault="002F3F90" w:rsidP="002F3F90">
      <w:pPr>
        <w:pStyle w:val="ListParagraph"/>
        <w:rPr>
          <w:rFonts w:cs="Arial"/>
        </w:rPr>
      </w:pPr>
    </w:p>
    <w:p w14:paraId="51B92FB0" w14:textId="77777777" w:rsidR="002F3F90" w:rsidRPr="004153E6" w:rsidRDefault="002F3F90" w:rsidP="00AD309C">
      <w:pPr>
        <w:pStyle w:val="ListParagraph"/>
        <w:numPr>
          <w:ilvl w:val="0"/>
          <w:numId w:val="66"/>
        </w:numPr>
        <w:spacing w:after="200" w:line="276" w:lineRule="auto"/>
        <w:rPr>
          <w:rFonts w:cs="Arial"/>
          <w:b/>
        </w:rPr>
      </w:pPr>
      <w:r w:rsidRPr="004153E6">
        <w:rPr>
          <w:rFonts w:cs="Arial"/>
          <w:b/>
        </w:rPr>
        <w:t>Are the CT doses adjusted for any factors other than age, such as height and weight?</w:t>
      </w:r>
    </w:p>
    <w:p w14:paraId="418E36B6" w14:textId="189A9A09" w:rsidR="00A4487F" w:rsidRPr="00681690" w:rsidRDefault="002F3F90" w:rsidP="004F63C1">
      <w:pPr>
        <w:pStyle w:val="ListParagraph"/>
        <w:sectPr w:rsidR="00A4487F" w:rsidRPr="00681690" w:rsidSect="00062F69">
          <w:headerReference w:type="default" r:id="rId456"/>
          <w:endnotePr>
            <w:numFmt w:val="decimal"/>
          </w:endnotePr>
          <w:type w:val="continuous"/>
          <w:pgSz w:w="12240" w:h="15840"/>
          <w:pgMar w:top="1080" w:right="1440" w:bottom="1080" w:left="1440" w:header="720" w:footer="720" w:gutter="0"/>
          <w:cols w:space="720"/>
          <w:docGrid w:linePitch="272"/>
        </w:sectPr>
      </w:pPr>
      <w:r w:rsidRPr="004153E6">
        <w:rPr>
          <w:rFonts w:cs="Arial"/>
        </w:rPr>
        <w:t xml:space="preserve">No, CT doses are only stratified by age and anatomic region. </w:t>
      </w:r>
      <w:r w:rsidR="00233436" w:rsidRPr="004153E6">
        <w:rPr>
          <w:rFonts w:cs="Arial"/>
        </w:rPr>
        <w:t xml:space="preserve">The pediatric CT radiation dose measure is an NQF-endorsed measure, developed so that all hospitals in the country who do pediatric CT scans can report. Its known limitation is that it does not consider patient size (e.g., height and weight) but instead uses age as a proxy for size. Part of the reason is that unless hospitals use dose monitoring software, which not all hospitals currently do due to cost, they would not have this information readily available to them. </w:t>
      </w:r>
      <w:r w:rsidR="008D1AC4" w:rsidRPr="004153E6">
        <w:rPr>
          <w:rFonts w:cs="Arial"/>
        </w:rPr>
        <w:t>However,</w:t>
      </w:r>
      <w:r w:rsidR="008D1AC4" w:rsidRPr="004153E6">
        <w:t xml:space="preserve"> </w:t>
      </w:r>
      <w:r w:rsidR="008D1AC4" w:rsidRPr="004153E6">
        <w:rPr>
          <w:rFonts w:cs="Arial"/>
        </w:rPr>
        <w:t>to align with the American College of Radiology (ACR), head scans are standardized to 16cm phantoms and abdomen/pelvis scans are standardized to 32cm phantoms.</w:t>
      </w:r>
    </w:p>
    <w:p w14:paraId="753789E5" w14:textId="77777777" w:rsidR="00A4487F" w:rsidRPr="009A5185" w:rsidRDefault="00A4487F" w:rsidP="00753419"/>
    <w:p w14:paraId="4B646F52" w14:textId="77777777" w:rsidR="00082F78" w:rsidRDefault="00082F78">
      <w:pPr>
        <w:rPr>
          <w:b/>
          <w:bCs/>
          <w:i/>
          <w:iCs/>
          <w:snapToGrid w:val="0"/>
          <w:sz w:val="40"/>
          <w:szCs w:val="40"/>
          <w:lang w:eastAsia="ja-JP"/>
        </w:rPr>
      </w:pPr>
      <w:r>
        <w:br w:type="page"/>
      </w:r>
    </w:p>
    <w:p w14:paraId="6EB2180A" w14:textId="60F8FF3B" w:rsidR="00A4487F" w:rsidRPr="00B574C8" w:rsidRDefault="00B574C8" w:rsidP="00B574C8">
      <w:pPr>
        <w:pStyle w:val="SectionHeader"/>
      </w:pPr>
      <w:bookmarkStart w:id="715" w:name="_Toc225877831"/>
      <w:r w:rsidRPr="00B574C8">
        <w:lastRenderedPageBreak/>
        <w:t>Page Intentionally Left Blank</w:t>
      </w:r>
      <w:bookmarkEnd w:id="715"/>
    </w:p>
    <w:p w14:paraId="41512F98" w14:textId="77777777" w:rsidR="00A01F0A" w:rsidRDefault="00A01F0A" w:rsidP="00D32C75">
      <w:pPr>
        <w:pStyle w:val="SectionHeader"/>
        <w:sectPr w:rsidR="00A01F0A" w:rsidSect="00062F69">
          <w:headerReference w:type="default" r:id="rId457"/>
          <w:endnotePr>
            <w:numFmt w:val="decimal"/>
          </w:endnotePr>
          <w:type w:val="continuous"/>
          <w:pgSz w:w="12240" w:h="15840"/>
          <w:pgMar w:top="1080" w:right="1440" w:bottom="1080" w:left="1440" w:header="720" w:footer="720" w:gutter="0"/>
          <w:cols w:space="720"/>
          <w:docGrid w:linePitch="272"/>
        </w:sectPr>
      </w:pPr>
    </w:p>
    <w:p w14:paraId="1417C166" w14:textId="0EE70D3D" w:rsidR="00412884" w:rsidRDefault="00412884">
      <w:pPr>
        <w:rPr>
          <w:b/>
          <w:bCs/>
          <w:i/>
          <w:iCs/>
          <w:snapToGrid w:val="0"/>
          <w:sz w:val="40"/>
          <w:szCs w:val="40"/>
          <w:lang w:eastAsia="ja-JP"/>
        </w:rPr>
      </w:pPr>
      <w:bookmarkStart w:id="716" w:name="Sect10"/>
      <w:r>
        <w:br w:type="page"/>
      </w:r>
    </w:p>
    <w:p w14:paraId="69643DA4" w14:textId="77777777" w:rsidR="00412884" w:rsidRDefault="00412884" w:rsidP="00764EEA"/>
    <w:p w14:paraId="0DF01B99" w14:textId="77777777" w:rsidR="00412884" w:rsidRDefault="00412884" w:rsidP="00764EEA"/>
    <w:p w14:paraId="14EF7210" w14:textId="77777777" w:rsidR="00412884" w:rsidRDefault="00412884" w:rsidP="00764EEA"/>
    <w:p w14:paraId="3CD8AFF9" w14:textId="77777777" w:rsidR="00412884" w:rsidRDefault="00412884" w:rsidP="00764EEA"/>
    <w:p w14:paraId="14854576" w14:textId="77777777" w:rsidR="00412884" w:rsidRDefault="00412884" w:rsidP="00764EEA"/>
    <w:p w14:paraId="68B108C8" w14:textId="77777777" w:rsidR="00412884" w:rsidRDefault="00412884" w:rsidP="00764EEA"/>
    <w:p w14:paraId="4F85F059" w14:textId="77777777" w:rsidR="00412884" w:rsidRDefault="00412884" w:rsidP="00764EEA"/>
    <w:p w14:paraId="73BE7CA2" w14:textId="77777777" w:rsidR="00412884" w:rsidRDefault="00412884" w:rsidP="00764EEA"/>
    <w:p w14:paraId="6B3CAC14" w14:textId="77777777" w:rsidR="00412884" w:rsidRDefault="00412884" w:rsidP="00764EEA"/>
    <w:p w14:paraId="6C5E7382" w14:textId="77777777" w:rsidR="00412884" w:rsidRDefault="00412884" w:rsidP="00764EEA"/>
    <w:p w14:paraId="4F9B8B3C" w14:textId="4E349EB3" w:rsidR="00412884" w:rsidRDefault="00412884" w:rsidP="00F750C5"/>
    <w:p w14:paraId="53B918A3" w14:textId="765C09C1" w:rsidR="00F750C5" w:rsidRDefault="00F750C5" w:rsidP="00F750C5"/>
    <w:p w14:paraId="43EF2195" w14:textId="46801E5A" w:rsidR="00F750C5" w:rsidRDefault="00F750C5" w:rsidP="00F750C5"/>
    <w:p w14:paraId="3C194BBF" w14:textId="4FEADB3C" w:rsidR="00F750C5" w:rsidRDefault="00F750C5" w:rsidP="00F750C5"/>
    <w:p w14:paraId="7FE97EE9" w14:textId="5BE546C0" w:rsidR="00F750C5" w:rsidRDefault="00F750C5" w:rsidP="00F750C5"/>
    <w:p w14:paraId="05D80F9E" w14:textId="660220B7" w:rsidR="00F750C5" w:rsidRDefault="00F750C5" w:rsidP="00F750C5"/>
    <w:p w14:paraId="7AADF4ED" w14:textId="2F7AD0E3" w:rsidR="00F750C5" w:rsidRDefault="00F750C5" w:rsidP="00F750C5"/>
    <w:p w14:paraId="15AC6E3B" w14:textId="31127EC1" w:rsidR="00F750C5" w:rsidRDefault="00F750C5" w:rsidP="00F750C5"/>
    <w:p w14:paraId="2D957793" w14:textId="77777777" w:rsidR="00F750C5" w:rsidRDefault="00F750C5" w:rsidP="00764EEA"/>
    <w:p w14:paraId="629BACB7" w14:textId="382289AA" w:rsidR="00A4487F" w:rsidRPr="009A5185" w:rsidRDefault="00A4487F" w:rsidP="00D32C75">
      <w:pPr>
        <w:pStyle w:val="SectionHeader"/>
      </w:pPr>
      <w:bookmarkStart w:id="717" w:name="_Toc225877832"/>
      <w:r>
        <w:t xml:space="preserve">SECTION </w:t>
      </w:r>
      <w:r w:rsidR="00412884">
        <w:t>9</w:t>
      </w:r>
      <w:r>
        <w:t>:</w:t>
      </w:r>
      <w:r w:rsidR="000625A6">
        <w:t xml:space="preserve"> OUTPATIENT PROCEDURES</w:t>
      </w:r>
      <w:bookmarkEnd w:id="717"/>
    </w:p>
    <w:bookmarkEnd w:id="716"/>
    <w:p w14:paraId="093DC1CC" w14:textId="77777777" w:rsidR="00A4487F" w:rsidRPr="009A5185" w:rsidRDefault="00A4487F" w:rsidP="00764EEA"/>
    <w:p w14:paraId="2140765E" w14:textId="611BDF5E" w:rsidR="00A4487F" w:rsidRPr="009A5185" w:rsidRDefault="00A4487F" w:rsidP="00A4487F">
      <w:pPr>
        <w:rPr>
          <w:rFonts w:cs="Arial"/>
        </w:rPr>
      </w:pPr>
      <w:r w:rsidRPr="009A5185">
        <w:rPr>
          <w:rFonts w:cs="Arial"/>
        </w:rPr>
        <w:t>This section includes questions and ref</w:t>
      </w:r>
      <w:r>
        <w:rPr>
          <w:rFonts w:cs="Arial"/>
        </w:rPr>
        <w:t xml:space="preserve">erence information for Section </w:t>
      </w:r>
      <w:r w:rsidR="00412884">
        <w:rPr>
          <w:rFonts w:cs="Arial"/>
        </w:rPr>
        <w:t>9</w:t>
      </w:r>
      <w:r>
        <w:rPr>
          <w:rFonts w:cs="Arial"/>
        </w:rPr>
        <w:t>:</w:t>
      </w:r>
      <w:r w:rsidRPr="009A5185">
        <w:rPr>
          <w:rFonts w:cs="Arial"/>
        </w:rPr>
        <w:t xml:space="preserve"> </w:t>
      </w:r>
      <w:r>
        <w:rPr>
          <w:rFonts w:cs="Arial"/>
        </w:rPr>
        <w:t xml:space="preserve">Outpatient </w:t>
      </w:r>
      <w:r w:rsidR="00D50B7F">
        <w:rPr>
          <w:rFonts w:cs="Arial"/>
        </w:rPr>
        <w:t>Procedures</w:t>
      </w:r>
      <w:r w:rsidRPr="009A5185">
        <w:rPr>
          <w:rFonts w:cs="Arial"/>
        </w:rPr>
        <w:t xml:space="preserve">. Please carefully review the questions, endnotes, and reference information (e.g., measure specifications, notes, and frequently asked questions) before you begin. Failure to review the reference information could result in inaccurate responses. </w:t>
      </w:r>
    </w:p>
    <w:p w14:paraId="4109C406" w14:textId="77777777" w:rsidR="00A4487F" w:rsidRPr="009A5185" w:rsidRDefault="00A4487F" w:rsidP="00764EEA"/>
    <w:p w14:paraId="2EB1E5C9" w14:textId="77777777" w:rsidR="00A4487F" w:rsidRPr="009A5185" w:rsidRDefault="00A4487F" w:rsidP="00A4487F">
      <w:pPr>
        <w:rPr>
          <w:rFonts w:cs="Arial"/>
        </w:rPr>
      </w:pPr>
      <w:r w:rsidRPr="009A5185">
        <w:rPr>
          <w:rFonts w:cs="Arial"/>
        </w:rPr>
        <w:br w:type="page"/>
      </w:r>
    </w:p>
    <w:p w14:paraId="79C90E0F" w14:textId="30FA7783" w:rsidR="00A4487F" w:rsidRPr="009A5185" w:rsidRDefault="00A4487F" w:rsidP="00CF5A6E">
      <w:pPr>
        <w:pStyle w:val="Heading2"/>
      </w:pPr>
      <w:bookmarkStart w:id="718" w:name="_Section_9:_Outpatient"/>
      <w:bookmarkStart w:id="719" w:name="_Toc225877833"/>
      <w:bookmarkEnd w:id="718"/>
      <w:r>
        <w:lastRenderedPageBreak/>
        <w:t xml:space="preserve">Section </w:t>
      </w:r>
      <w:r w:rsidR="00412884">
        <w:t>9</w:t>
      </w:r>
      <w:r w:rsidR="00D50B7F">
        <w:t xml:space="preserve">: </w:t>
      </w:r>
      <w:r>
        <w:t xml:space="preserve">Outpatient </w:t>
      </w:r>
      <w:r w:rsidR="00D50B7F">
        <w:t>Procedures</w:t>
      </w:r>
      <w:bookmarkEnd w:id="719"/>
    </w:p>
    <w:p w14:paraId="312D3E93" w14:textId="77777777" w:rsidR="00A4487F" w:rsidRPr="009A5185" w:rsidRDefault="00A4487F" w:rsidP="00A4487F">
      <w:pPr>
        <w:pStyle w:val="BodyText3"/>
        <w:rPr>
          <w:rFonts w:cs="Arial"/>
          <w:highlight w:val="yellow"/>
        </w:rPr>
      </w:pPr>
    </w:p>
    <w:p w14:paraId="160A28E4" w14:textId="02F23A62" w:rsidR="001275CD" w:rsidRDefault="0041452B" w:rsidP="009463BA">
      <w:r>
        <w:rPr>
          <w:rFonts w:cs="Arial"/>
          <w:b/>
        </w:rPr>
        <w:t xml:space="preserve">Outpatient Procedures </w:t>
      </w:r>
      <w:r w:rsidR="00A5474F">
        <w:rPr>
          <w:rFonts w:cs="Arial"/>
          <w:b/>
        </w:rPr>
        <w:t>Fact Sheet</w:t>
      </w:r>
      <w:r w:rsidR="009778A5">
        <w:rPr>
          <w:rFonts w:cs="Arial"/>
          <w:b/>
        </w:rPr>
        <w:t xml:space="preserve"> and Bibliography</w:t>
      </w:r>
      <w:r>
        <w:rPr>
          <w:rFonts w:cs="Arial"/>
          <w:b/>
        </w:rPr>
        <w:t xml:space="preserve">: </w:t>
      </w:r>
      <w:hyperlink r:id="rId458" w:history="1">
        <w:r w:rsidR="009463BA" w:rsidRPr="00A2752F">
          <w:rPr>
            <w:rStyle w:val="Hyperlink"/>
          </w:rPr>
          <w:t>https://ratings.leapfroggroup.org/measure/hospital/2026/care-elective-outpatient-surgery-patients</w:t>
        </w:r>
      </w:hyperlink>
    </w:p>
    <w:p w14:paraId="70E14FCC" w14:textId="77777777" w:rsidR="009463BA" w:rsidRDefault="009463BA" w:rsidP="009463BA">
      <w:pPr>
        <w:rPr>
          <w:rFonts w:cs="Arial"/>
        </w:rPr>
      </w:pPr>
    </w:p>
    <w:p w14:paraId="2E13F96C" w14:textId="14612AB5" w:rsidR="003A7DE7" w:rsidRDefault="003A7DE7" w:rsidP="00A24425">
      <w:pPr>
        <w:pStyle w:val="BodyText3"/>
        <w:rPr>
          <w:rFonts w:cs="Arial"/>
          <w:snapToGrid w:val="0"/>
        </w:rPr>
      </w:pPr>
      <w:r>
        <w:rPr>
          <w:rFonts w:cs="Arial"/>
          <w:snapToGrid w:val="0"/>
        </w:rPr>
        <w:t>Section 9 includes questions about the volume and safety of same-day procedures performed in hospital outpatient departments. Additionally, Leapfrog downloads CMS data on unplanned hospital visits after an outpatient colonoscopy (OP-32) and the experience of patients who had a same-day surgery performed (OAS CAHPS). For 2026, reporting on Section 9C: Volume of Procedures is optional.</w:t>
      </w:r>
    </w:p>
    <w:p w14:paraId="1CC7F00F" w14:textId="77777777" w:rsidR="00652583" w:rsidRDefault="00652583" w:rsidP="00A24425">
      <w:pPr>
        <w:pStyle w:val="BodyText3"/>
        <w:rPr>
          <w:rFonts w:cs="Arial"/>
          <w:snapToGrid w:val="0"/>
        </w:rPr>
      </w:pPr>
    </w:p>
    <w:p w14:paraId="6543628E" w14:textId="549E8F94" w:rsidR="00F0772B" w:rsidRPr="00F0772B" w:rsidRDefault="00F0772B" w:rsidP="00A24425">
      <w:pPr>
        <w:pStyle w:val="BodyText3"/>
        <w:rPr>
          <w:rFonts w:cs="Arial"/>
          <w:b/>
          <w:bCs/>
          <w:snapToGrid w:val="0"/>
          <w:color w:val="FF0000"/>
        </w:rPr>
      </w:pPr>
      <w:bookmarkStart w:id="720" w:name="_Hlk121755000"/>
      <w:r w:rsidRPr="00F0772B">
        <w:rPr>
          <w:rFonts w:cs="Arial"/>
          <w:b/>
          <w:bCs/>
          <w:snapToGrid w:val="0"/>
          <w:color w:val="FF0000"/>
        </w:rPr>
        <w:t>Hospitals will not be able to access Section 9 until the American Medical Association’s Terms of Use are completed via the CPT Code Workbook button on the Survey Dashboard</w:t>
      </w:r>
      <w:r>
        <w:rPr>
          <w:rFonts w:cs="Arial"/>
          <w:b/>
          <w:bCs/>
          <w:snapToGrid w:val="0"/>
          <w:color w:val="FF0000"/>
        </w:rPr>
        <w:t xml:space="preserve">, and the appropriate CPT Code Workbook is downloaded. </w:t>
      </w:r>
    </w:p>
    <w:bookmarkEnd w:id="720"/>
    <w:p w14:paraId="27675282" w14:textId="77777777" w:rsidR="00DD2598" w:rsidRPr="00A24425" w:rsidRDefault="00DD2598" w:rsidP="00A24425">
      <w:pPr>
        <w:pStyle w:val="BodyText3"/>
        <w:rPr>
          <w:rFonts w:cs="Arial"/>
          <w:color w:val="auto"/>
        </w:rPr>
      </w:pPr>
    </w:p>
    <w:p w14:paraId="49899614" w14:textId="2E20DCE5" w:rsidR="00C663E4" w:rsidRPr="009A5185" w:rsidRDefault="00C663E4" w:rsidP="00C663E4">
      <w:pPr>
        <w:rPr>
          <w:rFonts w:cs="Arial"/>
          <w:b/>
        </w:rPr>
      </w:pPr>
      <w:r w:rsidRPr="009A5185">
        <w:rPr>
          <w:rFonts w:cs="Arial"/>
          <w:b/>
        </w:rPr>
        <w:t xml:space="preserve">Each hospital </w:t>
      </w:r>
      <w:r>
        <w:rPr>
          <w:rFonts w:cs="Arial"/>
          <w:b/>
        </w:rPr>
        <w:t>achieving</w:t>
      </w:r>
      <w:r w:rsidRPr="009A5185">
        <w:rPr>
          <w:rFonts w:cs="Arial"/>
          <w:b/>
        </w:rPr>
        <w:t xml:space="preserve"> th</w:t>
      </w:r>
      <w:r>
        <w:rPr>
          <w:rFonts w:cs="Arial"/>
          <w:b/>
        </w:rPr>
        <w:t>e</w:t>
      </w:r>
      <w:r w:rsidRPr="009A5185">
        <w:rPr>
          <w:rFonts w:cs="Arial"/>
          <w:b/>
        </w:rPr>
        <w:t xml:space="preserve"> standar</w:t>
      </w:r>
      <w:r w:rsidR="00D66C9E">
        <w:rPr>
          <w:rFonts w:cs="Arial"/>
          <w:b/>
        </w:rPr>
        <w:t xml:space="preserve">ds for </w:t>
      </w:r>
      <w:r w:rsidR="00170461" w:rsidRPr="00170461">
        <w:rPr>
          <w:rFonts w:cs="Arial"/>
          <w:b/>
        </w:rPr>
        <w:t>Certified Clinicians Present While Patients Are Recovering</w:t>
      </w:r>
      <w:r w:rsidR="00170461">
        <w:rPr>
          <w:rFonts w:cs="Arial"/>
          <w:b/>
        </w:rPr>
        <w:t>:</w:t>
      </w:r>
    </w:p>
    <w:p w14:paraId="492C3193" w14:textId="3AD2515D" w:rsidR="00C663E4" w:rsidRDefault="00C663E4" w:rsidP="00AD309C">
      <w:pPr>
        <w:numPr>
          <w:ilvl w:val="0"/>
          <w:numId w:val="139"/>
        </w:numPr>
        <w:rPr>
          <w:rFonts w:cs="Arial"/>
          <w:snapToGrid w:val="0"/>
          <w:color w:val="000000"/>
        </w:rPr>
      </w:pPr>
      <w:r w:rsidRPr="00C663E4">
        <w:rPr>
          <w:rFonts w:cs="Arial"/>
          <w:snapToGrid w:val="0"/>
          <w:color w:val="000000"/>
        </w:rPr>
        <w:t xml:space="preserve">Has an ACLS certified clinician, plus a second clinician, present at all times and immediately available in the building while adult patients are present in the </w:t>
      </w:r>
      <w:r>
        <w:rPr>
          <w:rFonts w:cs="Arial"/>
          <w:snapToGrid w:val="0"/>
          <w:color w:val="000000"/>
        </w:rPr>
        <w:t>hospital outpatient department</w:t>
      </w:r>
      <w:r w:rsidR="00EE7395">
        <w:rPr>
          <w:rFonts w:cs="Arial"/>
          <w:snapToGrid w:val="0"/>
          <w:color w:val="000000"/>
        </w:rPr>
        <w:t>.</w:t>
      </w:r>
    </w:p>
    <w:p w14:paraId="0FD4D020" w14:textId="63CB2F66" w:rsidR="00597183" w:rsidRDefault="00597183" w:rsidP="00AD309C">
      <w:pPr>
        <w:numPr>
          <w:ilvl w:val="0"/>
          <w:numId w:val="139"/>
        </w:numPr>
        <w:rPr>
          <w:rFonts w:cs="Arial"/>
          <w:snapToGrid w:val="0"/>
          <w:color w:val="000000"/>
        </w:rPr>
      </w:pPr>
      <w:r>
        <w:rPr>
          <w:rFonts w:cs="Arial"/>
          <w:snapToGrid w:val="0"/>
          <w:color w:val="000000"/>
        </w:rPr>
        <w:t>Has a PAL</w:t>
      </w:r>
      <w:r w:rsidR="00CF7C5B">
        <w:rPr>
          <w:rFonts w:cs="Arial"/>
          <w:snapToGrid w:val="0"/>
          <w:color w:val="000000"/>
        </w:rPr>
        <w:t>S</w:t>
      </w:r>
      <w:r>
        <w:rPr>
          <w:rFonts w:cs="Arial"/>
          <w:snapToGrid w:val="0"/>
          <w:color w:val="000000"/>
        </w:rPr>
        <w:t xml:space="preserve"> </w:t>
      </w:r>
      <w:r w:rsidRPr="00C663E4">
        <w:rPr>
          <w:rFonts w:cs="Arial"/>
          <w:snapToGrid w:val="0"/>
          <w:color w:val="000000"/>
        </w:rPr>
        <w:t xml:space="preserve">certified clinician, plus a second clinician, present at all times and immediately available in the building while </w:t>
      </w:r>
      <w:r>
        <w:rPr>
          <w:rFonts w:cs="Arial"/>
          <w:snapToGrid w:val="0"/>
          <w:color w:val="000000"/>
        </w:rPr>
        <w:t>pediatric</w:t>
      </w:r>
      <w:r w:rsidRPr="00C663E4">
        <w:rPr>
          <w:rFonts w:cs="Arial"/>
          <w:snapToGrid w:val="0"/>
          <w:color w:val="000000"/>
        </w:rPr>
        <w:t xml:space="preserve"> patients are present in the </w:t>
      </w:r>
      <w:r>
        <w:rPr>
          <w:rFonts w:cs="Arial"/>
          <w:snapToGrid w:val="0"/>
          <w:color w:val="000000"/>
        </w:rPr>
        <w:t>hospital outpatient department</w:t>
      </w:r>
      <w:r w:rsidR="00EE7395">
        <w:rPr>
          <w:rFonts w:cs="Arial"/>
          <w:snapToGrid w:val="0"/>
          <w:color w:val="000000"/>
        </w:rPr>
        <w:t>.</w:t>
      </w:r>
    </w:p>
    <w:p w14:paraId="67B0B450" w14:textId="77777777" w:rsidR="00EE0CC8" w:rsidRDefault="00EE0CC8" w:rsidP="00A14CB5">
      <w:pPr>
        <w:rPr>
          <w:rFonts w:cs="Arial"/>
          <w:snapToGrid w:val="0"/>
          <w:color w:val="000000"/>
        </w:rPr>
      </w:pPr>
    </w:p>
    <w:p w14:paraId="1C8A41E6" w14:textId="3B265B92" w:rsidR="00D66C9E" w:rsidRPr="00BC3C78" w:rsidRDefault="00D66C9E" w:rsidP="00D66C9E">
      <w:pPr>
        <w:rPr>
          <w:rFonts w:cs="Arial"/>
          <w:b/>
          <w:bCs/>
          <w:color w:val="000000"/>
        </w:rPr>
      </w:pPr>
      <w:r w:rsidRPr="00BC3C78">
        <w:rPr>
          <w:rFonts w:cs="Arial"/>
          <w:b/>
          <w:bCs/>
          <w:color w:val="000000"/>
        </w:rPr>
        <w:t xml:space="preserve">Each hospital achieving the standard for </w:t>
      </w:r>
      <w:r>
        <w:rPr>
          <w:rFonts w:cs="Arial"/>
          <w:b/>
          <w:bCs/>
          <w:color w:val="000000"/>
        </w:rPr>
        <w:t xml:space="preserve">the </w:t>
      </w:r>
      <w:r w:rsidR="00641230">
        <w:rPr>
          <w:rFonts w:cs="Arial"/>
          <w:b/>
          <w:bCs/>
          <w:color w:val="000000"/>
        </w:rPr>
        <w:t>S</w:t>
      </w:r>
      <w:r>
        <w:rPr>
          <w:rFonts w:cs="Arial"/>
          <w:b/>
          <w:bCs/>
          <w:color w:val="000000"/>
        </w:rPr>
        <w:t xml:space="preserve">afe </w:t>
      </w:r>
      <w:r w:rsidR="00641230">
        <w:rPr>
          <w:rFonts w:cs="Arial"/>
          <w:b/>
          <w:bCs/>
          <w:color w:val="000000"/>
        </w:rPr>
        <w:t>S</w:t>
      </w:r>
      <w:r>
        <w:rPr>
          <w:rFonts w:cs="Arial"/>
          <w:b/>
          <w:bCs/>
          <w:color w:val="000000"/>
        </w:rPr>
        <w:t xml:space="preserve">urgery </w:t>
      </w:r>
      <w:r w:rsidR="00641230">
        <w:rPr>
          <w:rFonts w:cs="Arial"/>
          <w:b/>
          <w:bCs/>
          <w:color w:val="000000"/>
        </w:rPr>
        <w:t>C</w:t>
      </w:r>
      <w:r>
        <w:rPr>
          <w:rFonts w:cs="Arial"/>
          <w:b/>
          <w:bCs/>
          <w:color w:val="000000"/>
        </w:rPr>
        <w:t>hecklist</w:t>
      </w:r>
      <w:r w:rsidRPr="00BC3C78">
        <w:rPr>
          <w:rFonts w:cs="Arial"/>
          <w:b/>
          <w:bCs/>
          <w:color w:val="000000"/>
        </w:rPr>
        <w:t>:</w:t>
      </w:r>
    </w:p>
    <w:p w14:paraId="7F0EE40D" w14:textId="62A67ACD" w:rsidR="00D66C9E" w:rsidRPr="0074772E" w:rsidRDefault="00D66C9E" w:rsidP="00AD309C">
      <w:pPr>
        <w:pStyle w:val="ListParagraph"/>
        <w:numPr>
          <w:ilvl w:val="0"/>
          <w:numId w:val="169"/>
        </w:numPr>
        <w:spacing w:after="120" w:line="264" w:lineRule="auto"/>
        <w:rPr>
          <w:rFonts w:cstheme="minorHAnsi"/>
        </w:rPr>
      </w:pPr>
      <w:r w:rsidRPr="00720A62">
        <w:rPr>
          <w:rFonts w:cstheme="minorHAnsi"/>
        </w:rPr>
        <w:t xml:space="preserve">Uses a safe surgery checklist on </w:t>
      </w:r>
      <w:r w:rsidRPr="00720A62">
        <w:rPr>
          <w:rFonts w:cstheme="minorHAnsi"/>
          <w:b/>
          <w:bCs/>
        </w:rPr>
        <w:t xml:space="preserve">all </w:t>
      </w:r>
      <w:r w:rsidRPr="00720A62">
        <w:rPr>
          <w:rFonts w:cstheme="minorHAnsi"/>
        </w:rPr>
        <w:t xml:space="preserve">patients undergoing an applicable procedure (reported on in Section </w:t>
      </w:r>
      <w:r w:rsidR="00A879E1">
        <w:rPr>
          <w:rFonts w:cstheme="minorHAnsi"/>
        </w:rPr>
        <w:t>9</w:t>
      </w:r>
      <w:r w:rsidR="00B163D4">
        <w:rPr>
          <w:rFonts w:cstheme="minorHAnsi"/>
        </w:rPr>
        <w:t>C</w:t>
      </w:r>
      <w:r w:rsidR="00F955FE">
        <w:rPr>
          <w:rFonts w:cstheme="minorHAnsi"/>
        </w:rPr>
        <w:t>, if applicable</w:t>
      </w:r>
      <w:r w:rsidRPr="00720A62">
        <w:rPr>
          <w:rFonts w:cstheme="minorHAnsi"/>
        </w:rPr>
        <w:t>)</w:t>
      </w:r>
      <w:r>
        <w:rPr>
          <w:rFonts w:cstheme="minorHAnsi"/>
        </w:rPr>
        <w:t xml:space="preserve"> that </w:t>
      </w:r>
      <w:r>
        <w:t>includes</w:t>
      </w:r>
      <w:r w:rsidRPr="00AD521E">
        <w:t xml:space="preserve"> </w:t>
      </w:r>
      <w:r w:rsidRPr="00D65587">
        <w:rPr>
          <w:b/>
          <w:bCs/>
        </w:rPr>
        <w:t>all</w:t>
      </w:r>
      <w:r w:rsidRPr="00AD521E">
        <w:rPr>
          <w:b/>
          <w:bCs/>
        </w:rPr>
        <w:t xml:space="preserve"> </w:t>
      </w:r>
      <w:r w:rsidRPr="00AD521E">
        <w:t xml:space="preserve">safe </w:t>
      </w:r>
      <w:r>
        <w:t>surgery</w:t>
      </w:r>
      <w:r w:rsidRPr="00AD521E">
        <w:t xml:space="preserve"> checklist elements</w:t>
      </w:r>
      <w:r w:rsidR="00F955FE">
        <w:t>;</w:t>
      </w:r>
      <w:r w:rsidR="00B7570B">
        <w:t xml:space="preserve"> </w:t>
      </w:r>
      <w:r w:rsidR="00B7570B" w:rsidRPr="00B7570B">
        <w:rPr>
          <w:b/>
          <w:bCs/>
        </w:rPr>
        <w:t xml:space="preserve">and </w:t>
      </w:r>
    </w:p>
    <w:p w14:paraId="794FBC35" w14:textId="16B7720E" w:rsidR="00D66C9E" w:rsidRPr="00B7570B" w:rsidRDefault="00D66C9E" w:rsidP="00AD309C">
      <w:pPr>
        <w:pStyle w:val="ListParagraph"/>
        <w:numPr>
          <w:ilvl w:val="0"/>
          <w:numId w:val="169"/>
        </w:numPr>
        <w:spacing w:after="120" w:line="264" w:lineRule="auto"/>
        <w:rPr>
          <w:rFonts w:cstheme="minorHAnsi"/>
        </w:rPr>
      </w:pPr>
      <w:r>
        <w:rPr>
          <w:rFonts w:cstheme="minorHAnsi"/>
        </w:rPr>
        <w:t xml:space="preserve">Verbalizes </w:t>
      </w:r>
      <w:r w:rsidRPr="00E53952">
        <w:rPr>
          <w:rFonts w:cstheme="minorHAnsi"/>
          <w:b/>
          <w:bCs/>
        </w:rPr>
        <w:t>all</w:t>
      </w:r>
      <w:r>
        <w:rPr>
          <w:rFonts w:cstheme="minorHAnsi"/>
        </w:rPr>
        <w:t xml:space="preserve"> </w:t>
      </w:r>
      <w:r w:rsidR="00F955FE">
        <w:rPr>
          <w:rFonts w:cstheme="minorHAnsi"/>
        </w:rPr>
        <w:t xml:space="preserve">safe surgery checklist </w:t>
      </w:r>
      <w:r>
        <w:rPr>
          <w:rFonts w:cstheme="minorHAnsi"/>
        </w:rPr>
        <w:t xml:space="preserve">elements </w:t>
      </w:r>
      <w:r>
        <w:t>in the presence of the appropriate personnel</w:t>
      </w:r>
      <w:r w:rsidR="00F955FE">
        <w:t>;</w:t>
      </w:r>
      <w:r w:rsidR="00B7570B">
        <w:t xml:space="preserve"> </w:t>
      </w:r>
      <w:r w:rsidR="00B7570B" w:rsidRPr="00B7570B">
        <w:rPr>
          <w:b/>
          <w:bCs/>
        </w:rPr>
        <w:t xml:space="preserve">and </w:t>
      </w:r>
    </w:p>
    <w:p w14:paraId="45C8BADE" w14:textId="4E1441A1" w:rsidR="00445E84" w:rsidRPr="00B7570B" w:rsidRDefault="00445E84" w:rsidP="00AD309C">
      <w:pPr>
        <w:pStyle w:val="ListParagraph"/>
        <w:numPr>
          <w:ilvl w:val="0"/>
          <w:numId w:val="169"/>
        </w:numPr>
        <w:spacing w:after="120" w:line="264" w:lineRule="auto"/>
        <w:rPr>
          <w:rFonts w:cstheme="minorHAnsi"/>
        </w:rPr>
      </w:pPr>
      <w:r>
        <w:t xml:space="preserve">Completes an audit </w:t>
      </w:r>
      <w:r w:rsidR="003F4A36">
        <w:t>on</w:t>
      </w:r>
      <w:r>
        <w:t xml:space="preserve"> </w:t>
      </w:r>
      <w:r w:rsidR="00D25C4F">
        <w:t>a sufficient sample</w:t>
      </w:r>
      <w:r w:rsidR="00764EEA">
        <w:t xml:space="preserve"> of</w:t>
      </w:r>
      <w:r>
        <w:t xml:space="preserve"> patients to document adherence to the checklist</w:t>
      </w:r>
      <w:r w:rsidR="00F955FE">
        <w:t>;</w:t>
      </w:r>
      <w:r w:rsidR="00B7570B">
        <w:t xml:space="preserve"> </w:t>
      </w:r>
      <w:r w:rsidR="00B7570B" w:rsidRPr="00B7570B">
        <w:rPr>
          <w:b/>
          <w:bCs/>
        </w:rPr>
        <w:t xml:space="preserve">and </w:t>
      </w:r>
    </w:p>
    <w:p w14:paraId="6E2C0EC0" w14:textId="67458EA4" w:rsidR="00BF12B1" w:rsidRPr="00BF12B1" w:rsidRDefault="000833A6" w:rsidP="009463BA">
      <w:pPr>
        <w:pStyle w:val="ListParagraph"/>
        <w:numPr>
          <w:ilvl w:val="0"/>
          <w:numId w:val="169"/>
        </w:numPr>
        <w:spacing w:after="120"/>
        <w:rPr>
          <w:rFonts w:cs="Arial"/>
          <w:b/>
          <w:bCs/>
          <w:szCs w:val="28"/>
        </w:rPr>
      </w:pPr>
      <w:r>
        <w:t>Documents</w:t>
      </w:r>
      <w:r w:rsidR="00445E84">
        <w:t xml:space="preserve"> adherence to the checklist for at least 90% of the patients included in the audit</w:t>
      </w:r>
      <w:r w:rsidR="00B7570B">
        <w:t>.</w:t>
      </w:r>
    </w:p>
    <w:p w14:paraId="2B04A308" w14:textId="77777777" w:rsidR="009463BA" w:rsidRDefault="009463BA" w:rsidP="009463BA">
      <w:pPr>
        <w:spacing w:after="120"/>
        <w:contextualSpacing/>
        <w:rPr>
          <w:rFonts w:cs="Arial"/>
          <w:b/>
        </w:rPr>
      </w:pPr>
    </w:p>
    <w:p w14:paraId="738CFCC3" w14:textId="492852FD" w:rsidR="009463BA" w:rsidRDefault="004C5EE6" w:rsidP="009463BA">
      <w:pPr>
        <w:spacing w:after="120"/>
        <w:contextualSpacing/>
        <w:rPr>
          <w:rFonts w:cs="Arial"/>
          <w:bCs/>
        </w:rPr>
      </w:pPr>
      <w:r w:rsidRPr="00BF12B1">
        <w:rPr>
          <w:rFonts w:cs="Arial"/>
          <w:b/>
        </w:rPr>
        <w:t xml:space="preserve">Each hospital achieving the standard for </w:t>
      </w:r>
      <w:r w:rsidR="00641230">
        <w:rPr>
          <w:rFonts w:cs="Arial"/>
          <w:b/>
        </w:rPr>
        <w:t>M</w:t>
      </w:r>
      <w:r w:rsidRPr="00BF12B1">
        <w:rPr>
          <w:rFonts w:cs="Arial"/>
          <w:b/>
        </w:rPr>
        <w:t xml:space="preserve">edication </w:t>
      </w:r>
      <w:r w:rsidR="00641230">
        <w:rPr>
          <w:rFonts w:cs="Arial"/>
          <w:b/>
        </w:rPr>
        <w:t>S</w:t>
      </w:r>
      <w:r w:rsidRPr="00BF12B1">
        <w:rPr>
          <w:rFonts w:cs="Arial"/>
          <w:b/>
        </w:rPr>
        <w:t xml:space="preserve">afety for </w:t>
      </w:r>
      <w:r w:rsidR="00641230">
        <w:rPr>
          <w:rFonts w:cs="Arial"/>
          <w:b/>
        </w:rPr>
        <w:t>O</w:t>
      </w:r>
      <w:r w:rsidRPr="00BF12B1">
        <w:rPr>
          <w:rFonts w:cs="Arial"/>
          <w:b/>
        </w:rPr>
        <w:t xml:space="preserve">utpatient </w:t>
      </w:r>
      <w:r w:rsidR="00641230">
        <w:rPr>
          <w:rFonts w:cs="Arial"/>
          <w:b/>
        </w:rPr>
        <w:t>P</w:t>
      </w:r>
      <w:r w:rsidRPr="00BF12B1">
        <w:rPr>
          <w:rFonts w:cs="Arial"/>
          <w:b/>
        </w:rPr>
        <w:t>rocedures:</w:t>
      </w:r>
      <w:r w:rsidRPr="00BF12B1">
        <w:rPr>
          <w:rFonts w:cs="Arial"/>
          <w:b/>
        </w:rPr>
        <w:br/>
      </w:r>
      <w:r w:rsidR="00EF5931" w:rsidRPr="00BF12B1">
        <w:rPr>
          <w:rFonts w:cs="Arial"/>
          <w:bCs/>
        </w:rPr>
        <w:t>Has met the 90% target for documenting all three components: home medications, visit medications, and allergies/adverse reaction(s) in the clinical record.</w:t>
      </w:r>
    </w:p>
    <w:p w14:paraId="0D09AF57" w14:textId="77777777" w:rsidR="009463BA" w:rsidRDefault="009463BA" w:rsidP="009463BA">
      <w:pPr>
        <w:spacing w:after="120"/>
        <w:contextualSpacing/>
        <w:rPr>
          <w:rFonts w:cs="Arial"/>
          <w:bCs/>
        </w:rPr>
      </w:pPr>
    </w:p>
    <w:p w14:paraId="0102525C" w14:textId="71F2329F" w:rsidR="00EE0CC8" w:rsidRDefault="00EE0CC8" w:rsidP="009463BA">
      <w:pPr>
        <w:spacing w:after="120"/>
        <w:contextualSpacing/>
        <w:rPr>
          <w:rFonts w:cs="Arial"/>
          <w:b/>
          <w:bCs/>
          <w:snapToGrid w:val="0"/>
          <w:color w:val="000000"/>
        </w:rPr>
      </w:pPr>
      <w:r w:rsidRPr="00A14CB5">
        <w:rPr>
          <w:rFonts w:cs="Arial"/>
          <w:b/>
          <w:bCs/>
          <w:snapToGrid w:val="0"/>
          <w:color w:val="000000"/>
        </w:rPr>
        <w:t xml:space="preserve">Each hospital achieving the standard for </w:t>
      </w:r>
      <w:r w:rsidR="009B4A20" w:rsidRPr="00EE6B65">
        <w:rPr>
          <w:rFonts w:cs="Arial"/>
          <w:b/>
          <w:bCs/>
          <w:snapToGrid w:val="0"/>
          <w:color w:val="000000"/>
        </w:rPr>
        <w:t xml:space="preserve">Rate of Unplanned Hospital Visits After an Outpatient Colonoscopy </w:t>
      </w:r>
      <w:r w:rsidR="009B4A20">
        <w:rPr>
          <w:rFonts w:cs="Arial"/>
          <w:b/>
          <w:bCs/>
          <w:snapToGrid w:val="0"/>
          <w:color w:val="000000"/>
        </w:rPr>
        <w:t>(OP-32)</w:t>
      </w:r>
      <w:r w:rsidRPr="00A14CB5">
        <w:rPr>
          <w:rFonts w:cs="Arial"/>
          <w:b/>
          <w:bCs/>
          <w:snapToGrid w:val="0"/>
          <w:color w:val="000000"/>
        </w:rPr>
        <w:t>:</w:t>
      </w:r>
    </w:p>
    <w:p w14:paraId="698A15DF" w14:textId="3494F938" w:rsidR="002F2352" w:rsidRDefault="000833A6" w:rsidP="002F2352">
      <w:r>
        <w:t>Performs</w:t>
      </w:r>
      <w:r w:rsidR="00BC140A">
        <w:t xml:space="preserve"> </w:t>
      </w:r>
      <w:r w:rsidR="00EE0CC8" w:rsidRPr="00517A2A">
        <w:t xml:space="preserve">in the top quartile </w:t>
      </w:r>
      <w:r w:rsidR="00EE0CC8">
        <w:t xml:space="preserve">for OP-32, </w:t>
      </w:r>
      <w:r w:rsidR="00EE0CC8" w:rsidRPr="00335A1F">
        <w:t>Rate of Unplanned Hospital Visits After an Outpatient Colonoscopy</w:t>
      </w:r>
      <w:r w:rsidR="00997778">
        <w:t>.</w:t>
      </w:r>
      <w:r w:rsidR="002F2352" w:rsidRPr="002F2352">
        <w:t xml:space="preserve"> </w:t>
      </w:r>
      <w:r w:rsidR="002F2352">
        <w:t xml:space="preserve">Quartiles </w:t>
      </w:r>
      <w:r w:rsidR="005C2D7B">
        <w:t xml:space="preserve">are </w:t>
      </w:r>
      <w:r w:rsidR="002F2352">
        <w:t xml:space="preserve">determined </w:t>
      </w:r>
      <w:r w:rsidR="002F2352">
        <w:rPr>
          <w:rFonts w:cs="Arial"/>
        </w:rPr>
        <w:t xml:space="preserve">using </w:t>
      </w:r>
      <w:r w:rsidR="002F2352">
        <w:rPr>
          <w:bdr w:val="none" w:sz="0" w:space="0" w:color="auto" w:frame="1"/>
        </w:rPr>
        <w:t>results published by CMS</w:t>
      </w:r>
      <w:r w:rsidR="002F2352" w:rsidRPr="00DC6999">
        <w:rPr>
          <w:bdr w:val="none" w:sz="0" w:space="0" w:color="auto" w:frame="1"/>
        </w:rPr>
        <w:t xml:space="preserve"> </w:t>
      </w:r>
      <w:r w:rsidR="002F2352">
        <w:rPr>
          <w:bdr w:val="none" w:sz="0" w:space="0" w:color="auto" w:frame="1"/>
        </w:rPr>
        <w:t>for both Ambulatory Surgery Centers (ASCs) and hospitals</w:t>
      </w:r>
      <w:r w:rsidR="002F2352" w:rsidRPr="00DC6999">
        <w:rPr>
          <w:bdr w:val="none" w:sz="0" w:space="0" w:color="auto" w:frame="1"/>
        </w:rPr>
        <w:t xml:space="preserve"> on June 30, 2026</w:t>
      </w:r>
      <w:r w:rsidR="00F01CE1">
        <w:rPr>
          <w:bdr w:val="none" w:sz="0" w:space="0" w:color="auto" w:frame="1"/>
        </w:rPr>
        <w:t>.</w:t>
      </w:r>
    </w:p>
    <w:p w14:paraId="7F5628F7" w14:textId="47984EE2" w:rsidR="006C07FD" w:rsidRDefault="006C07FD" w:rsidP="00FC2A08">
      <w:pPr>
        <w:rPr>
          <w:rFonts w:cs="Arial"/>
          <w:b/>
        </w:rPr>
      </w:pPr>
    </w:p>
    <w:p w14:paraId="2B2E53E3" w14:textId="5A0567DE" w:rsidR="00613881" w:rsidRPr="004C5EE6" w:rsidRDefault="004C5EE6" w:rsidP="004C5EE6">
      <w:pPr>
        <w:spacing w:after="120" w:line="264" w:lineRule="auto"/>
        <w:rPr>
          <w:rFonts w:cs="Arial"/>
          <w:b/>
        </w:rPr>
      </w:pPr>
      <w:r>
        <w:rPr>
          <w:rFonts w:cs="Arial"/>
          <w:b/>
        </w:rPr>
        <w:t xml:space="preserve">Each hospital achieving the standard for </w:t>
      </w:r>
      <w:r w:rsidR="00641230">
        <w:rPr>
          <w:rFonts w:cs="Arial"/>
          <w:b/>
        </w:rPr>
        <w:t>P</w:t>
      </w:r>
      <w:r>
        <w:rPr>
          <w:rFonts w:cs="Arial"/>
          <w:b/>
        </w:rPr>
        <w:t xml:space="preserve">atient </w:t>
      </w:r>
      <w:r w:rsidR="00641230">
        <w:rPr>
          <w:rFonts w:cs="Arial"/>
          <w:b/>
        </w:rPr>
        <w:t>E</w:t>
      </w:r>
      <w:r>
        <w:rPr>
          <w:rFonts w:cs="Arial"/>
          <w:b/>
        </w:rPr>
        <w:t>xperience (OAS CAHPS):</w:t>
      </w:r>
      <w:r>
        <w:rPr>
          <w:rFonts w:cs="Arial"/>
          <w:b/>
        </w:rPr>
        <w:br/>
      </w:r>
      <w:r w:rsidR="000833A6">
        <w:t>Performs</w:t>
      </w:r>
      <w:r w:rsidR="00613881" w:rsidRPr="004C5EE6">
        <w:rPr>
          <w:rFonts w:cs="Arial"/>
        </w:rPr>
        <w:t xml:space="preserve"> in the top quartile</w:t>
      </w:r>
      <w:r w:rsidR="0060691F" w:rsidRPr="0060691F">
        <w:rPr>
          <w:rFonts w:cs="Arial"/>
        </w:rPr>
        <w:t xml:space="preserve"> </w:t>
      </w:r>
      <w:r w:rsidR="0060691F">
        <w:rPr>
          <w:rFonts w:cs="Arial"/>
        </w:rPr>
        <w:t>for four OAS CAHPS domains. Quartiles are</w:t>
      </w:r>
      <w:r w:rsidR="00610AC8">
        <w:rPr>
          <w:rFonts w:cs="Arial"/>
        </w:rPr>
        <w:t xml:space="preserve"> determined using </w:t>
      </w:r>
      <w:r w:rsidR="00610AC8">
        <w:rPr>
          <w:bdr w:val="none" w:sz="0" w:space="0" w:color="auto" w:frame="1"/>
        </w:rPr>
        <w:t>results published by CMS</w:t>
      </w:r>
      <w:r w:rsidR="00610AC8" w:rsidRPr="00DC6999">
        <w:rPr>
          <w:bdr w:val="none" w:sz="0" w:space="0" w:color="auto" w:frame="1"/>
        </w:rPr>
        <w:t xml:space="preserve"> </w:t>
      </w:r>
      <w:r w:rsidR="00610AC8">
        <w:rPr>
          <w:bdr w:val="none" w:sz="0" w:space="0" w:color="auto" w:frame="1"/>
        </w:rPr>
        <w:t>for both Ambulatory Surgery Centers (ASCs) and hospitals</w:t>
      </w:r>
      <w:r w:rsidR="00610AC8" w:rsidRPr="00DC6999">
        <w:rPr>
          <w:bdr w:val="none" w:sz="0" w:space="0" w:color="auto" w:frame="1"/>
        </w:rPr>
        <w:t xml:space="preserve"> on June 30, 2026</w:t>
      </w:r>
      <w:r w:rsidR="00A13214">
        <w:rPr>
          <w:rFonts w:cs="Arial"/>
        </w:rPr>
        <w:t>,</w:t>
      </w:r>
      <w:r w:rsidR="00613881" w:rsidRPr="004C5EE6">
        <w:rPr>
          <w:rFonts w:cs="Arial"/>
        </w:rPr>
        <w:t xml:space="preserve"> for the </w:t>
      </w:r>
      <w:r w:rsidR="008E7151">
        <w:rPr>
          <w:rFonts w:cs="Arial"/>
        </w:rPr>
        <w:t>four</w:t>
      </w:r>
      <w:r w:rsidR="00613881" w:rsidRPr="004C5EE6">
        <w:rPr>
          <w:rFonts w:cs="Arial"/>
        </w:rPr>
        <w:t xml:space="preserve"> OAS CAHPS domains, listed below: </w:t>
      </w:r>
    </w:p>
    <w:p w14:paraId="329886C5" w14:textId="440266CB" w:rsidR="00613881" w:rsidRPr="00613881" w:rsidRDefault="00613881" w:rsidP="00AD309C">
      <w:pPr>
        <w:pStyle w:val="ListParagraph"/>
        <w:numPr>
          <w:ilvl w:val="1"/>
          <w:numId w:val="139"/>
        </w:numPr>
        <w:spacing w:after="120" w:line="264" w:lineRule="auto"/>
        <w:rPr>
          <w:rFonts w:cs="Arial"/>
        </w:rPr>
      </w:pPr>
      <w:r w:rsidRPr="00613881">
        <w:rPr>
          <w:rFonts w:cs="Arial"/>
        </w:rPr>
        <w:t>Facilities and Staff</w:t>
      </w:r>
    </w:p>
    <w:p w14:paraId="20770098" w14:textId="77777777" w:rsidR="00613881" w:rsidRPr="00613881" w:rsidRDefault="00613881" w:rsidP="00AD309C">
      <w:pPr>
        <w:pStyle w:val="ListParagraph"/>
        <w:numPr>
          <w:ilvl w:val="1"/>
          <w:numId w:val="139"/>
        </w:numPr>
        <w:spacing w:after="120" w:line="264" w:lineRule="auto"/>
        <w:rPr>
          <w:rFonts w:cs="Arial"/>
        </w:rPr>
      </w:pPr>
      <w:r w:rsidRPr="00613881">
        <w:rPr>
          <w:rFonts w:cs="Arial"/>
        </w:rPr>
        <w:t>Communication About Your Procedure</w:t>
      </w:r>
    </w:p>
    <w:p w14:paraId="105E9692" w14:textId="77777777" w:rsidR="00613881" w:rsidRPr="00613881" w:rsidRDefault="00613881" w:rsidP="00AD309C">
      <w:pPr>
        <w:pStyle w:val="ListParagraph"/>
        <w:numPr>
          <w:ilvl w:val="1"/>
          <w:numId w:val="139"/>
        </w:numPr>
        <w:spacing w:after="120" w:line="264" w:lineRule="auto"/>
        <w:rPr>
          <w:rFonts w:cs="Arial"/>
        </w:rPr>
      </w:pPr>
      <w:r w:rsidRPr="00613881">
        <w:rPr>
          <w:rFonts w:cs="Arial"/>
        </w:rPr>
        <w:t>Patients’ Rating of the Facility</w:t>
      </w:r>
    </w:p>
    <w:p w14:paraId="42F5F917" w14:textId="7ED3A88B" w:rsidR="00A5474F" w:rsidRDefault="00613881" w:rsidP="009463BA">
      <w:pPr>
        <w:pStyle w:val="ListParagraph"/>
        <w:numPr>
          <w:ilvl w:val="1"/>
          <w:numId w:val="139"/>
        </w:numPr>
        <w:spacing w:after="120"/>
        <w:rPr>
          <w:rFonts w:cs="Arial"/>
        </w:rPr>
      </w:pPr>
      <w:r w:rsidRPr="00613881">
        <w:rPr>
          <w:rFonts w:cs="Arial"/>
        </w:rPr>
        <w:t>Patients Recommending the Facility</w:t>
      </w:r>
    </w:p>
    <w:p w14:paraId="2C8F7100" w14:textId="77777777" w:rsidR="009463BA" w:rsidRDefault="009463BA" w:rsidP="009463BA">
      <w:pPr>
        <w:spacing w:after="120"/>
        <w:contextualSpacing/>
        <w:rPr>
          <w:rFonts w:cs="Arial"/>
          <w:b/>
        </w:rPr>
      </w:pPr>
    </w:p>
    <w:p w14:paraId="434D6E2B" w14:textId="39A93CD4" w:rsidR="00A5474F" w:rsidRPr="00A5474F" w:rsidRDefault="00A5474F" w:rsidP="009463BA">
      <w:pPr>
        <w:spacing w:after="120"/>
        <w:contextualSpacing/>
        <w:rPr>
          <w:rFonts w:cs="Arial"/>
        </w:rPr>
      </w:pPr>
      <w:r w:rsidRPr="00A5474F">
        <w:rPr>
          <w:rFonts w:cs="Arial"/>
          <w:b/>
        </w:rPr>
        <w:t>Download the 202</w:t>
      </w:r>
      <w:r w:rsidR="00D9383B">
        <w:rPr>
          <w:rFonts w:cs="Arial"/>
          <w:b/>
        </w:rPr>
        <w:t>6</w:t>
      </w:r>
      <w:r w:rsidRPr="00A5474F">
        <w:rPr>
          <w:rFonts w:cs="Arial"/>
          <w:b/>
        </w:rPr>
        <w:t xml:space="preserve"> Leapfrog Hospital Survey Scoring Algorithm on the </w:t>
      </w:r>
      <w:hyperlink r:id="rId459" w:history="1">
        <w:r w:rsidRPr="00A5474F">
          <w:rPr>
            <w:rStyle w:val="Hyperlink"/>
            <w:rFonts w:cs="Arial"/>
            <w:b/>
          </w:rPr>
          <w:t>Scoring and Results webpage</w:t>
        </w:r>
      </w:hyperlink>
      <w:r w:rsidRPr="00A5474F">
        <w:rPr>
          <w:rFonts w:cs="Arial"/>
          <w:b/>
        </w:rPr>
        <w:t>.</w:t>
      </w:r>
    </w:p>
    <w:p w14:paraId="73CFC628" w14:textId="41158B77" w:rsidR="00A4487F" w:rsidRPr="00A5474F" w:rsidRDefault="00A4487F" w:rsidP="00A5474F">
      <w:pPr>
        <w:spacing w:after="120" w:line="264" w:lineRule="auto"/>
        <w:rPr>
          <w:rFonts w:cs="Arial"/>
        </w:rPr>
      </w:pPr>
      <w:r w:rsidRPr="00A5474F">
        <w:rPr>
          <w:rFonts w:cs="Arial"/>
          <w:b/>
        </w:rPr>
        <w:br w:type="page"/>
      </w:r>
    </w:p>
    <w:p w14:paraId="04F1F0DC" w14:textId="77777777" w:rsidR="00A4487F" w:rsidRPr="009A5185" w:rsidRDefault="00A4487F" w:rsidP="00A4487F">
      <w:pPr>
        <w:pStyle w:val="BodyText3"/>
        <w:rPr>
          <w:rFonts w:cs="Arial"/>
        </w:rPr>
      </w:pPr>
    </w:p>
    <w:p w14:paraId="08BD1DE3" w14:textId="276BF9FD" w:rsidR="00A4487F" w:rsidRDefault="002F3A65" w:rsidP="00CF5A6E">
      <w:pPr>
        <w:pStyle w:val="Heading2"/>
      </w:pPr>
      <w:bookmarkStart w:id="721" w:name="_Toc225877834"/>
      <w:r>
        <w:t>9A: Basic Outpatient Department Information</w:t>
      </w:r>
      <w:bookmarkEnd w:id="721"/>
    </w:p>
    <w:p w14:paraId="74622CAF" w14:textId="77777777" w:rsidR="002F3A65" w:rsidRPr="009358B5" w:rsidRDefault="002F3A65" w:rsidP="00A4487F">
      <w:pPr>
        <w:rPr>
          <w:rFonts w:cs="Arial"/>
          <w:color w:val="000000"/>
        </w:rPr>
      </w:pPr>
    </w:p>
    <w:p w14:paraId="60932F3F" w14:textId="2DFD7AE2" w:rsidR="00D3503C" w:rsidRDefault="00D3503C" w:rsidP="00D3503C">
      <w:pPr>
        <w:rPr>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60" w:history="1">
        <w:r w:rsidRPr="009A5185">
          <w:rPr>
            <w:rStyle w:val="Hyperlink"/>
            <w:rFonts w:cs="Arial"/>
            <w:snapToGrid w:val="0"/>
          </w:rPr>
          <w:t>Leapfrog’s Multi-Campus Reporting Policy</w:t>
        </w:r>
      </w:hyperlink>
      <w:r w:rsidRPr="009A5185">
        <w:rPr>
          <w:rFonts w:cs="Arial"/>
          <w:snapToGrid w:val="0"/>
        </w:rPr>
        <w:t>.</w:t>
      </w:r>
    </w:p>
    <w:p w14:paraId="0A25A0B6" w14:textId="77777777" w:rsidR="00D3503C" w:rsidRPr="009358B5" w:rsidRDefault="00D3503C" w:rsidP="00A4487F">
      <w:pPr>
        <w:rPr>
          <w:rFonts w:cs="Arial"/>
          <w:color w:val="000000"/>
        </w:rPr>
      </w:pPr>
    </w:p>
    <w:p w14:paraId="630D41CC" w14:textId="77777777" w:rsidR="00590A28" w:rsidRDefault="00A4487F" w:rsidP="00A4487F">
      <w:pPr>
        <w:pStyle w:val="BodyText3"/>
        <w:rPr>
          <w:rFonts w:cs="Arial"/>
          <w:b/>
          <w:color w:val="FF0000"/>
        </w:rPr>
      </w:pPr>
      <w:r w:rsidRPr="009A5185">
        <w:rPr>
          <w:rFonts w:cs="Arial"/>
          <w:b/>
          <w:color w:val="FF0000"/>
        </w:rPr>
        <w:t>Important Notes:</w:t>
      </w:r>
      <w:bookmarkStart w:id="722" w:name="HOPD"/>
      <w:bookmarkEnd w:id="722"/>
      <w:r w:rsidR="00B34039">
        <w:rPr>
          <w:rFonts w:cs="Arial"/>
          <w:b/>
          <w:color w:val="FF0000"/>
        </w:rPr>
        <w:t xml:space="preserve"> </w:t>
      </w:r>
    </w:p>
    <w:p w14:paraId="62E5284B" w14:textId="77777777" w:rsidR="00590A28" w:rsidRPr="009358B5" w:rsidRDefault="00590A28" w:rsidP="00A4487F">
      <w:pPr>
        <w:pStyle w:val="BodyText3"/>
        <w:rPr>
          <w:rFonts w:cs="Arial"/>
          <w:b/>
          <w:color w:val="FF0000"/>
        </w:rPr>
      </w:pPr>
    </w:p>
    <w:p w14:paraId="4AD78725" w14:textId="45DC5A5A" w:rsidR="00590A28" w:rsidRPr="00CC2F8A" w:rsidRDefault="00590A28" w:rsidP="00CC2F8A">
      <w:pPr>
        <w:rPr>
          <w:bCs/>
        </w:rPr>
      </w:pPr>
      <w:r w:rsidRPr="00442338">
        <w:rPr>
          <w:rFonts w:cs="Arial"/>
          <w:bCs/>
        </w:rPr>
        <w:t xml:space="preserve">Note 1: </w:t>
      </w:r>
      <w:bookmarkStart w:id="723" w:name="_Hlk121754974"/>
      <w:r w:rsidRPr="00CC2F8A">
        <w:rPr>
          <w:bCs/>
        </w:rPr>
        <w:t xml:space="preserve">In order to access this section in the Online Survey Tool, hospitals must complete the American Medical Association’s Terms of Use via the CPT Code Workbook button next to Section 9 on the Survey Dashboard and download the appropriate CPT Code Workbook. </w:t>
      </w:r>
      <w:r w:rsidRPr="00CC2F8A">
        <w:rPr>
          <w:bCs/>
          <w:lang w:eastAsia="ja-JP"/>
        </w:rPr>
        <w:t xml:space="preserve">Instructions for downloading the CPT Code Workbook are available in the </w:t>
      </w:r>
      <w:hyperlink w:anchor="_Volume_of_Procedures_2" w:history="1">
        <w:r w:rsidRPr="00CC2F8A">
          <w:rPr>
            <w:rStyle w:val="Hyperlink"/>
            <w:bCs/>
            <w:lang w:eastAsia="ja-JP"/>
          </w:rPr>
          <w:t>Volume of Procedures Measure Specifications.</w:t>
        </w:r>
      </w:hyperlink>
      <w:r w:rsidRPr="00CC2F8A">
        <w:rPr>
          <w:bCs/>
        </w:rPr>
        <w:t xml:space="preserve"> Each hospital must complete these steps even if they are part of a hospital system.</w:t>
      </w:r>
      <w:bookmarkEnd w:id="723"/>
    </w:p>
    <w:p w14:paraId="47C92D75" w14:textId="77777777" w:rsidR="00590A28" w:rsidRPr="009358B5" w:rsidRDefault="00590A28" w:rsidP="00A4487F">
      <w:pPr>
        <w:pStyle w:val="BodyText3"/>
        <w:rPr>
          <w:rFonts w:cs="Arial"/>
          <w:b/>
          <w:color w:val="FF0000"/>
        </w:rPr>
      </w:pPr>
    </w:p>
    <w:p w14:paraId="22AE0089" w14:textId="6AC8FE30" w:rsidR="006A5355" w:rsidRDefault="00590A28" w:rsidP="00A4487F">
      <w:pPr>
        <w:pStyle w:val="BodyText3"/>
        <w:rPr>
          <w:rFonts w:cs="Arial"/>
        </w:rPr>
      </w:pPr>
      <w:r>
        <w:rPr>
          <w:rFonts w:cs="Arial"/>
          <w:color w:val="auto"/>
        </w:rPr>
        <w:t>Note 2: This subsection will not be scored but will be used in public reporting.</w:t>
      </w:r>
      <w:r w:rsidR="008D2D17">
        <w:rPr>
          <w:rFonts w:cs="Arial"/>
          <w:color w:val="auto"/>
        </w:rPr>
        <w:t xml:space="preserve"> </w:t>
      </w:r>
      <w:r w:rsidR="008D2D17" w:rsidRPr="008D2D17">
        <w:rPr>
          <w:rFonts w:cs="Arial"/>
        </w:rPr>
        <w:t>Your selection(s) of procedure categories</w:t>
      </w:r>
      <w:r w:rsidR="006A5355">
        <w:rPr>
          <w:rFonts w:cs="Arial"/>
        </w:rPr>
        <w:t xml:space="preserve"> in question #3 </w:t>
      </w:r>
      <w:r w:rsidR="008D2D17" w:rsidRPr="008D2D17">
        <w:rPr>
          <w:rFonts w:cs="Arial"/>
        </w:rPr>
        <w:t xml:space="preserve">will be used in our procedure-based search tool at </w:t>
      </w:r>
      <w:r w:rsidR="006A5355">
        <w:rPr>
          <w:rFonts w:cs="Arial"/>
        </w:rPr>
        <w:t>ratings.leapfroggroup.org.</w:t>
      </w:r>
    </w:p>
    <w:p w14:paraId="02D73C2B" w14:textId="77777777" w:rsidR="006A5355" w:rsidRPr="009358B5" w:rsidRDefault="006A5355" w:rsidP="00A4487F">
      <w:pPr>
        <w:pStyle w:val="BodyText3"/>
        <w:rPr>
          <w:rFonts w:cs="Arial"/>
          <w:color w:val="auto"/>
        </w:rPr>
      </w:pPr>
    </w:p>
    <w:p w14:paraId="36D54638" w14:textId="5F8A0490" w:rsidR="00797B77" w:rsidRPr="00B34039" w:rsidRDefault="00590A28" w:rsidP="00A4487F">
      <w:pPr>
        <w:pStyle w:val="BodyText3"/>
        <w:rPr>
          <w:rFonts w:cs="Arial"/>
          <w:b/>
          <w:color w:val="FF0000"/>
        </w:rPr>
      </w:pPr>
      <w:r>
        <w:rPr>
          <w:rFonts w:cs="Arial"/>
          <w:color w:val="auto"/>
        </w:rPr>
        <w:t xml:space="preserve">Note 3: </w:t>
      </w:r>
      <w:r w:rsidR="00797B77">
        <w:rPr>
          <w:rFonts w:cs="Arial"/>
          <w:color w:val="auto"/>
        </w:rPr>
        <w:t>The term “</w:t>
      </w:r>
      <w:r w:rsidR="00130F88">
        <w:rPr>
          <w:rFonts w:cs="Arial"/>
          <w:color w:val="auto"/>
        </w:rPr>
        <w:t>hospital outpatient department</w:t>
      </w:r>
      <w:r w:rsidR="00797B77">
        <w:rPr>
          <w:rFonts w:cs="Arial"/>
          <w:color w:val="auto"/>
        </w:rPr>
        <w:t xml:space="preserve">” is used to refer to </w:t>
      </w:r>
      <w:r w:rsidR="00130F88">
        <w:rPr>
          <w:rFonts w:cs="Arial"/>
          <w:color w:val="auto"/>
        </w:rPr>
        <w:t>all hospital outpatient departments</w:t>
      </w:r>
      <w:r w:rsidR="00416FE8">
        <w:rPr>
          <w:rFonts w:cs="Arial"/>
          <w:color w:val="auto"/>
        </w:rPr>
        <w:t xml:space="preserve"> or areas of the hospital, including </w:t>
      </w:r>
      <w:r w:rsidR="00505A8A">
        <w:rPr>
          <w:rFonts w:cs="Arial"/>
          <w:color w:val="auto"/>
        </w:rPr>
        <w:t xml:space="preserve">areas that are used for </w:t>
      </w:r>
      <w:r w:rsidR="00505A8A">
        <w:rPr>
          <w:rFonts w:cs="Arial"/>
          <w:b/>
          <w:bCs/>
          <w:color w:val="auto"/>
        </w:rPr>
        <w:t xml:space="preserve">both </w:t>
      </w:r>
      <w:r w:rsidR="00416FE8">
        <w:rPr>
          <w:rFonts w:cs="Arial"/>
          <w:color w:val="auto"/>
        </w:rPr>
        <w:t>inpatient</w:t>
      </w:r>
      <w:r w:rsidR="00505A8A">
        <w:rPr>
          <w:rFonts w:cs="Arial"/>
          <w:color w:val="auto"/>
        </w:rPr>
        <w:t xml:space="preserve"> and outpatient procedures</w:t>
      </w:r>
      <w:r w:rsidR="00416FE8">
        <w:rPr>
          <w:rFonts w:cs="Arial"/>
          <w:color w:val="auto"/>
        </w:rPr>
        <w:t>,</w:t>
      </w:r>
      <w:r w:rsidR="00130F88">
        <w:rPr>
          <w:rFonts w:cs="Arial"/>
          <w:color w:val="auto"/>
        </w:rPr>
        <w:t xml:space="preserve"> that</w:t>
      </w:r>
      <w:r w:rsidR="001969F6">
        <w:rPr>
          <w:rFonts w:cs="Arial"/>
          <w:color w:val="auto"/>
        </w:rPr>
        <w:t xml:space="preserve"> perform the </w:t>
      </w:r>
      <w:r w:rsidR="00416FE8">
        <w:rPr>
          <w:rFonts w:cs="Arial"/>
          <w:color w:val="auto"/>
        </w:rPr>
        <w:t xml:space="preserve">outpatient </w:t>
      </w:r>
      <w:r w:rsidR="001969F6">
        <w:rPr>
          <w:rFonts w:cs="Arial"/>
          <w:color w:val="auto"/>
        </w:rPr>
        <w:t xml:space="preserve">procedures listed in Section </w:t>
      </w:r>
      <w:r w:rsidR="002F3A65">
        <w:rPr>
          <w:rFonts w:cs="Arial"/>
          <w:color w:val="auto"/>
        </w:rPr>
        <w:t>9</w:t>
      </w:r>
      <w:r w:rsidR="001969F6">
        <w:rPr>
          <w:rFonts w:cs="Arial"/>
          <w:color w:val="auto"/>
        </w:rPr>
        <w:t>C and that</w:t>
      </w:r>
      <w:r w:rsidR="00130F88">
        <w:rPr>
          <w:rFonts w:cs="Arial"/>
          <w:color w:val="auto"/>
        </w:rPr>
        <w:t xml:space="preserve"> share your hospital’s license </w:t>
      </w:r>
      <w:r w:rsidR="006308BB">
        <w:rPr>
          <w:rFonts w:cs="Arial"/>
          <w:color w:val="auto"/>
        </w:rPr>
        <w:t xml:space="preserve">or </w:t>
      </w:r>
      <w:r w:rsidR="00130F88">
        <w:rPr>
          <w:rFonts w:cs="Arial"/>
          <w:color w:val="auto"/>
        </w:rPr>
        <w:t xml:space="preserve">CMS Certification Number (CCN). This would include, but is not limited to </w:t>
      </w:r>
      <w:r w:rsidR="001969F6">
        <w:rPr>
          <w:rFonts w:cs="Arial"/>
          <w:color w:val="auto"/>
        </w:rPr>
        <w:t xml:space="preserve">surgery centers, </w:t>
      </w:r>
      <w:r w:rsidR="00D712B8">
        <w:rPr>
          <w:rFonts w:cs="Arial"/>
          <w:color w:val="auto"/>
        </w:rPr>
        <w:t>free-standing</w:t>
      </w:r>
      <w:r w:rsidR="001969F6">
        <w:rPr>
          <w:rFonts w:cs="Arial"/>
          <w:color w:val="auto"/>
        </w:rPr>
        <w:t xml:space="preserve"> </w:t>
      </w:r>
      <w:r w:rsidR="00130F88">
        <w:rPr>
          <w:rFonts w:cs="Arial"/>
          <w:color w:val="auto"/>
        </w:rPr>
        <w:t>hospital outpatient departments</w:t>
      </w:r>
      <w:r w:rsidR="001969F6">
        <w:rPr>
          <w:rFonts w:cs="Arial"/>
          <w:color w:val="auto"/>
        </w:rPr>
        <w:t xml:space="preserve">, </w:t>
      </w:r>
      <w:r w:rsidR="00130F88">
        <w:rPr>
          <w:rFonts w:cs="Arial"/>
          <w:color w:val="auto"/>
        </w:rPr>
        <w:t xml:space="preserve">as well as outpatient departments that are located in your hospital or are </w:t>
      </w:r>
      <w:hyperlink w:anchor="Endnote19_ColocatedNICU" w:history="1">
        <w:r w:rsidR="00130F88" w:rsidRPr="005C395A">
          <w:rPr>
            <w:rStyle w:val="Hyperlink"/>
          </w:rPr>
          <w:t>co-located</w:t>
        </w:r>
      </w:hyperlink>
      <w:r w:rsidR="00130F88">
        <w:fldChar w:fldCharType="begin"/>
      </w:r>
      <w:r w:rsidR="00130F88">
        <w:instrText xml:space="preserve"> NOTEREF _Ref2332683 \f \h </w:instrText>
      </w:r>
      <w:r w:rsidR="00130F88">
        <w:fldChar w:fldCharType="separate"/>
      </w:r>
      <w:r w:rsidR="007D53A2" w:rsidRPr="00E362A3">
        <w:rPr>
          <w:rStyle w:val="EndnoteReference"/>
        </w:rPr>
        <w:t>31</w:t>
      </w:r>
      <w:r w:rsidR="00130F88">
        <w:fldChar w:fldCharType="end"/>
      </w:r>
      <w:r w:rsidR="00130F88">
        <w:rPr>
          <w:rFonts w:cs="Arial"/>
          <w:color w:val="auto"/>
        </w:rPr>
        <w:t xml:space="preserve"> with your hospital. Hospitals should only include hospital outpatient departments </w:t>
      </w:r>
      <w:r w:rsidR="00416FE8">
        <w:rPr>
          <w:rFonts w:cs="Arial"/>
          <w:color w:val="auto"/>
        </w:rPr>
        <w:t>or areas</w:t>
      </w:r>
      <w:r w:rsidR="008E7151">
        <w:rPr>
          <w:rFonts w:cs="Arial"/>
          <w:color w:val="auto"/>
        </w:rPr>
        <w:t xml:space="preserve"> of the hospital</w:t>
      </w:r>
      <w:r w:rsidR="00416FE8">
        <w:rPr>
          <w:rFonts w:cs="Arial"/>
          <w:color w:val="auto"/>
        </w:rPr>
        <w:t xml:space="preserve"> </w:t>
      </w:r>
      <w:r w:rsidR="00130F88">
        <w:rPr>
          <w:rFonts w:cs="Arial"/>
          <w:color w:val="auto"/>
        </w:rPr>
        <w:t xml:space="preserve">that perform the procedures listed in Section </w:t>
      </w:r>
      <w:r w:rsidR="002F3A65">
        <w:rPr>
          <w:rFonts w:cs="Arial"/>
          <w:color w:val="auto"/>
        </w:rPr>
        <w:t>9</w:t>
      </w:r>
      <w:r w:rsidR="00130F88">
        <w:rPr>
          <w:rFonts w:cs="Arial"/>
          <w:color w:val="auto"/>
        </w:rPr>
        <w:t>C</w:t>
      </w:r>
      <w:r w:rsidR="008E7151">
        <w:rPr>
          <w:rFonts w:cs="Arial"/>
          <w:color w:val="auto"/>
        </w:rPr>
        <w:t xml:space="preserve"> in </w:t>
      </w:r>
      <w:r w:rsidR="00753419">
        <w:rPr>
          <w:rFonts w:cs="Arial"/>
          <w:color w:val="auto"/>
        </w:rPr>
        <w:t xml:space="preserve">an </w:t>
      </w:r>
      <w:hyperlink w:anchor="Endnote49_OR" w:history="1">
        <w:r w:rsidR="00753419" w:rsidRPr="00A879E1">
          <w:rPr>
            <w:rStyle w:val="Hyperlink"/>
          </w:rPr>
          <w:t>operating room</w:t>
        </w:r>
      </w:hyperlink>
      <w:r w:rsidR="00753419">
        <w:rPr>
          <w:vertAlign w:val="superscript"/>
        </w:rPr>
        <w:fldChar w:fldCharType="begin"/>
      </w:r>
      <w:r w:rsidR="00753419">
        <w:instrText xml:space="preserve"> NOTEREF _Ref534299024 \f \h </w:instrText>
      </w:r>
      <w:r w:rsidR="00753419">
        <w:rPr>
          <w:vertAlign w:val="superscript"/>
        </w:rPr>
      </w:r>
      <w:r w:rsidR="00753419">
        <w:rPr>
          <w:vertAlign w:val="superscript"/>
        </w:rPr>
        <w:fldChar w:fldCharType="separate"/>
      </w:r>
      <w:r w:rsidR="007D53A2" w:rsidRPr="00E362A3">
        <w:rPr>
          <w:rStyle w:val="EndnoteReference"/>
        </w:rPr>
        <w:t>52</w:t>
      </w:r>
      <w:r w:rsidR="00753419">
        <w:rPr>
          <w:vertAlign w:val="superscript"/>
        </w:rPr>
        <w:fldChar w:fldCharType="end"/>
      </w:r>
      <w:r w:rsidR="00753419">
        <w:t xml:space="preserve"> or </w:t>
      </w:r>
      <w:hyperlink w:anchor="procedureroom" w:history="1">
        <w:r w:rsidR="00753419" w:rsidRPr="00A879E1">
          <w:rPr>
            <w:rStyle w:val="Hyperlink"/>
          </w:rPr>
          <w:t>procedure room</w:t>
        </w:r>
      </w:hyperlink>
      <w:r w:rsidR="00753419">
        <w:fldChar w:fldCharType="begin"/>
      </w:r>
      <w:r w:rsidR="00753419">
        <w:instrText xml:space="preserve"> NOTEREF _Ref534299351 \f \h </w:instrText>
      </w:r>
      <w:r w:rsidR="00753419">
        <w:fldChar w:fldCharType="separate"/>
      </w:r>
      <w:r w:rsidR="007D53A2" w:rsidRPr="00E362A3">
        <w:rPr>
          <w:rStyle w:val="EndnoteReference"/>
        </w:rPr>
        <w:t>53</w:t>
      </w:r>
      <w:r w:rsidR="00753419">
        <w:fldChar w:fldCharType="end"/>
      </w:r>
      <w:r w:rsidR="00753419">
        <w:t>.</w:t>
      </w:r>
    </w:p>
    <w:p w14:paraId="4EBE278F" w14:textId="6D948AC8" w:rsidR="0045293D" w:rsidRPr="009358B5" w:rsidRDefault="0045293D" w:rsidP="00A4487F">
      <w:pPr>
        <w:rPr>
          <w:rFonts w:cs="Arial"/>
          <w:snapToGrid w:val="0"/>
        </w:rPr>
      </w:pPr>
    </w:p>
    <w:p w14:paraId="76D730AC" w14:textId="769D0AAC" w:rsidR="00D3503C" w:rsidRDefault="00F827D4" w:rsidP="00CD7961">
      <w:pPr>
        <w:rPr>
          <w:sz w:val="16"/>
        </w:rPr>
      </w:pPr>
      <w:r w:rsidRPr="00F827D4">
        <w:rPr>
          <w:rFonts w:cs="Arial"/>
          <w:noProof/>
          <w:snapToGrid w:val="0"/>
        </w:rPr>
        <mc:AlternateContent>
          <mc:Choice Requires="wps">
            <w:drawing>
              <wp:inline distT="0" distB="0" distL="0" distR="0" wp14:anchorId="1500B869" wp14:editId="608000E6">
                <wp:extent cx="5915770" cy="1524000"/>
                <wp:effectExtent l="0" t="0" r="27940" b="19050"/>
                <wp:docPr id="43" name="Text Box 43" descr="P10831TB3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770" cy="1524000"/>
                        </a:xfrm>
                        <a:prstGeom prst="rect">
                          <a:avLst/>
                        </a:prstGeom>
                        <a:solidFill>
                          <a:srgbClr val="FFFFFF"/>
                        </a:solidFill>
                        <a:ln w="9525">
                          <a:solidFill>
                            <a:srgbClr val="FF0000"/>
                          </a:solidFill>
                          <a:miter lim="800000"/>
                          <a:headEnd/>
                          <a:tailEnd/>
                        </a:ln>
                      </wps:spPr>
                      <wps:txbx>
                        <w:txbxContent>
                          <w:p w14:paraId="6371DE80" w14:textId="3CB2DE51" w:rsidR="00F827D4" w:rsidRPr="009A5185" w:rsidRDefault="00F827D4" w:rsidP="00F827D4">
                            <w:pPr>
                              <w:spacing w:before="120"/>
                              <w:rPr>
                                <w:rFonts w:cs="Arial"/>
                                <w:b/>
                                <w:snapToGrid w:val="0"/>
                              </w:rPr>
                            </w:pPr>
                            <w:r w:rsidRPr="009A5185">
                              <w:rPr>
                                <w:rFonts w:cs="Arial"/>
                                <w:b/>
                                <w:snapToGrid w:val="0"/>
                              </w:rPr>
                              <w:t>Reporting Period: 12 months</w:t>
                            </w:r>
                          </w:p>
                          <w:p w14:paraId="2271BAA1" w14:textId="77777777" w:rsidR="00F827D4" w:rsidRPr="009639B4" w:rsidRDefault="00F827D4" w:rsidP="00AD309C">
                            <w:pPr>
                              <w:pStyle w:val="ListParagraph"/>
                              <w:numPr>
                                <w:ilvl w:val="0"/>
                                <w:numId w:val="36"/>
                              </w:numPr>
                              <w:rPr>
                                <w:rFonts w:cs="Arial"/>
                                <w:i/>
                                <w:snapToGrid w:val="0"/>
                              </w:rPr>
                            </w:pPr>
                            <w:r>
                              <w:rPr>
                                <w:rFonts w:cs="Arial"/>
                                <w:iCs/>
                                <w:snapToGrid w:val="0"/>
                              </w:rPr>
                              <w:t>Surveys submitted prior to September 1:</w:t>
                            </w:r>
                          </w:p>
                          <w:p w14:paraId="00117C12" w14:textId="73B09E51" w:rsidR="00F827D4" w:rsidRPr="009A5185" w:rsidRDefault="00F827D4" w:rsidP="00AD309C">
                            <w:pPr>
                              <w:pStyle w:val="ListParagraph"/>
                              <w:numPr>
                                <w:ilvl w:val="1"/>
                                <w:numId w:val="36"/>
                              </w:numPr>
                              <w:rPr>
                                <w:rFonts w:cs="Arial"/>
                                <w:i/>
                                <w:snapToGrid w:val="0"/>
                              </w:rPr>
                            </w:pPr>
                            <w:r>
                              <w:rPr>
                                <w:rFonts w:cs="Arial"/>
                                <w:snapToGrid w:val="0"/>
                              </w:rPr>
                              <w:t>01/01/202</w:t>
                            </w:r>
                            <w:r w:rsidR="009435D8">
                              <w:rPr>
                                <w:rFonts w:cs="Arial"/>
                                <w:snapToGrid w:val="0"/>
                              </w:rPr>
                              <w:t>5</w:t>
                            </w:r>
                            <w:r>
                              <w:rPr>
                                <w:rFonts w:cs="Arial"/>
                                <w:snapToGrid w:val="0"/>
                              </w:rPr>
                              <w:t xml:space="preserve"> – 12/31/202</w:t>
                            </w:r>
                            <w:r w:rsidR="009435D8">
                              <w:rPr>
                                <w:rFonts w:cs="Arial"/>
                                <w:snapToGrid w:val="0"/>
                              </w:rPr>
                              <w:t>5</w:t>
                            </w:r>
                          </w:p>
                          <w:p w14:paraId="39D18040" w14:textId="77777777" w:rsidR="00F827D4" w:rsidRPr="009639B4" w:rsidRDefault="00F827D4"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3531FC8E" w14:textId="47E5189A" w:rsidR="00F827D4" w:rsidRPr="006E2CB6" w:rsidRDefault="00F827D4"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9435D8">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9435D8">
                              <w:rPr>
                                <w:rFonts w:cs="Arial"/>
                                <w:snapToGrid w:val="0"/>
                              </w:rPr>
                              <w:t>6</w:t>
                            </w:r>
                          </w:p>
                          <w:p w14:paraId="59B2AAE0" w14:textId="77777777" w:rsidR="00F827D4" w:rsidRPr="009358B5" w:rsidRDefault="00F827D4" w:rsidP="00F827D4">
                            <w:pPr>
                              <w:rPr>
                                <w:rFonts w:cs="Arial"/>
                              </w:rPr>
                            </w:pPr>
                          </w:p>
                          <w:p w14:paraId="04335329" w14:textId="70711155" w:rsidR="00F827D4" w:rsidRDefault="00F827D4" w:rsidP="00F827D4">
                            <w:r w:rsidRPr="006547C0">
                              <w:rPr>
                                <w:rFonts w:cs="Arial"/>
                                <w:sz w:val="16"/>
                                <w:szCs w:val="16"/>
                              </w:rPr>
                              <w:t xml:space="preserve">Note: As a reminder, the </w:t>
                            </w:r>
                            <w:hyperlink r:id="rId461"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1500B869" id="Text Box 43" o:spid="_x0000_s1059" type="#_x0000_t202" alt="P10831TB32#y1" style="width:465.8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" strokecolor="red">
                <v:textbox>
                  <w:txbxContent>
                    <w:p w14:paraId="6371DE80" w14:textId="3CB2DE51" w:rsidR="00F827D4" w:rsidRPr="009A5185" w:rsidRDefault="00F827D4" w:rsidP="00F827D4">
                      <w:pPr>
                        <w:spacing w:before="120"/>
                        <w:rPr>
                          <w:rFonts w:cs="Arial"/>
                          <w:b/>
                          <w:snapToGrid w:val="0"/>
                        </w:rPr>
                      </w:pPr>
                      <w:r w:rsidRPr="009A5185">
                        <w:rPr>
                          <w:rFonts w:cs="Arial"/>
                          <w:b/>
                          <w:snapToGrid w:val="0"/>
                        </w:rPr>
                        <w:t>Reporting Period: 12 months</w:t>
                      </w:r>
                    </w:p>
                    <w:p w14:paraId="2271BAA1" w14:textId="77777777" w:rsidR="00F827D4" w:rsidRPr="009639B4" w:rsidRDefault="00F827D4" w:rsidP="00AD309C">
                      <w:pPr>
                        <w:pStyle w:val="ListParagraph"/>
                        <w:numPr>
                          <w:ilvl w:val="0"/>
                          <w:numId w:val="36"/>
                        </w:numPr>
                        <w:rPr>
                          <w:rFonts w:cs="Arial"/>
                          <w:i/>
                          <w:snapToGrid w:val="0"/>
                        </w:rPr>
                      </w:pPr>
                      <w:r>
                        <w:rPr>
                          <w:rFonts w:cs="Arial"/>
                          <w:iCs/>
                          <w:snapToGrid w:val="0"/>
                        </w:rPr>
                        <w:t>Surveys submitted prior to September 1:</w:t>
                      </w:r>
                    </w:p>
                    <w:p w14:paraId="00117C12" w14:textId="73B09E51" w:rsidR="00F827D4" w:rsidRPr="009A5185" w:rsidRDefault="00F827D4" w:rsidP="00AD309C">
                      <w:pPr>
                        <w:pStyle w:val="ListParagraph"/>
                        <w:numPr>
                          <w:ilvl w:val="1"/>
                          <w:numId w:val="36"/>
                        </w:numPr>
                        <w:rPr>
                          <w:rFonts w:cs="Arial"/>
                          <w:i/>
                          <w:snapToGrid w:val="0"/>
                        </w:rPr>
                      </w:pPr>
                      <w:r>
                        <w:rPr>
                          <w:rFonts w:cs="Arial"/>
                          <w:snapToGrid w:val="0"/>
                        </w:rPr>
                        <w:t>01/01/202</w:t>
                      </w:r>
                      <w:r w:rsidR="009435D8">
                        <w:rPr>
                          <w:rFonts w:cs="Arial"/>
                          <w:snapToGrid w:val="0"/>
                        </w:rPr>
                        <w:t>5</w:t>
                      </w:r>
                      <w:r>
                        <w:rPr>
                          <w:rFonts w:cs="Arial"/>
                          <w:snapToGrid w:val="0"/>
                        </w:rPr>
                        <w:t xml:space="preserve"> – 12/31/202</w:t>
                      </w:r>
                      <w:r w:rsidR="009435D8">
                        <w:rPr>
                          <w:rFonts w:cs="Arial"/>
                          <w:snapToGrid w:val="0"/>
                        </w:rPr>
                        <w:t>5</w:t>
                      </w:r>
                    </w:p>
                    <w:p w14:paraId="39D18040" w14:textId="77777777" w:rsidR="00F827D4" w:rsidRPr="009639B4" w:rsidRDefault="00F827D4"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3531FC8E" w14:textId="47E5189A" w:rsidR="00F827D4" w:rsidRPr="006E2CB6" w:rsidRDefault="00F827D4"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9435D8">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9435D8">
                        <w:rPr>
                          <w:rFonts w:cs="Arial"/>
                          <w:snapToGrid w:val="0"/>
                        </w:rPr>
                        <w:t>6</w:t>
                      </w:r>
                    </w:p>
                    <w:p w14:paraId="59B2AAE0" w14:textId="77777777" w:rsidR="00F827D4" w:rsidRPr="009358B5" w:rsidRDefault="00F827D4" w:rsidP="00F827D4">
                      <w:pPr>
                        <w:rPr>
                          <w:rFonts w:cs="Arial"/>
                        </w:rPr>
                      </w:pPr>
                    </w:p>
                    <w:p w14:paraId="04335329" w14:textId="70711155" w:rsidR="00F827D4" w:rsidRDefault="00F827D4" w:rsidP="00F827D4">
                      <w:r w:rsidRPr="006547C0">
                        <w:rPr>
                          <w:rFonts w:cs="Arial"/>
                          <w:sz w:val="16"/>
                          <w:szCs w:val="16"/>
                        </w:rPr>
                        <w:t xml:space="preserve">Note: As a reminder, the </w:t>
                      </w:r>
                      <w:hyperlink r:id="rId462"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491FDB23" w14:textId="77777777" w:rsidR="00F827D4" w:rsidRPr="009358B5" w:rsidRDefault="00F827D4" w:rsidP="00CD7961">
      <w:pPr>
        <w:rPr>
          <w:szCs w:val="24"/>
        </w:rPr>
      </w:pPr>
    </w:p>
    <w:tbl>
      <w:tblPr>
        <w:tblStyle w:val="TableGrid10"/>
        <w:tblW w:w="5000" w:type="pct"/>
        <w:tblLook w:val="04A0" w:firstRow="1" w:lastRow="0" w:firstColumn="1" w:lastColumn="0" w:noHBand="0" w:noVBand="1"/>
      </w:tblPr>
      <w:tblGrid>
        <w:gridCol w:w="6476"/>
        <w:gridCol w:w="2874"/>
      </w:tblGrid>
      <w:tr w:rsidR="00AB7923" w:rsidRPr="00CD7961" w14:paraId="4E7A1B4A" w14:textId="77777777" w:rsidTr="00511B89">
        <w:trPr>
          <w:trHeight w:val="20"/>
        </w:trPr>
        <w:tc>
          <w:tcPr>
            <w:tcW w:w="3463" w:type="pct"/>
            <w:tcMar>
              <w:top w:w="72" w:type="dxa"/>
              <w:left w:w="115" w:type="dxa"/>
              <w:bottom w:w="72" w:type="dxa"/>
              <w:right w:w="115" w:type="dxa"/>
            </w:tcMar>
            <w:vAlign w:val="center"/>
          </w:tcPr>
          <w:p w14:paraId="634704E6" w14:textId="50FE2D0C" w:rsidR="00AB7923" w:rsidRDefault="0048344F" w:rsidP="00AD309C">
            <w:pPr>
              <w:numPr>
                <w:ilvl w:val="0"/>
                <w:numId w:val="89"/>
              </w:numPr>
              <w:spacing w:before="120" w:after="120" w:line="276" w:lineRule="auto"/>
            </w:pPr>
            <w:r>
              <w:t>12-month r</w:t>
            </w:r>
            <w:r w:rsidR="00AB7923" w:rsidRPr="00CD7961">
              <w:t xml:space="preserve">eporting period used: </w:t>
            </w:r>
          </w:p>
        </w:tc>
        <w:tc>
          <w:tcPr>
            <w:tcW w:w="1537" w:type="pct"/>
            <w:tcMar>
              <w:top w:w="72" w:type="dxa"/>
              <w:left w:w="115" w:type="dxa"/>
              <w:bottom w:w="72" w:type="dxa"/>
              <w:right w:w="115" w:type="dxa"/>
            </w:tcMar>
            <w:vAlign w:val="center"/>
          </w:tcPr>
          <w:p w14:paraId="42B31C13" w14:textId="49544952" w:rsidR="002F3A65" w:rsidRPr="00C06753" w:rsidRDefault="00923FD2" w:rsidP="00AD309C">
            <w:pPr>
              <w:pStyle w:val="ListParagraph"/>
              <w:numPr>
                <w:ilvl w:val="0"/>
                <w:numId w:val="316"/>
              </w:numPr>
              <w:spacing w:line="276" w:lineRule="auto"/>
            </w:pPr>
            <w:r w:rsidRPr="004F63C1">
              <w:t>01/01/202</w:t>
            </w:r>
            <w:r w:rsidR="009435D8">
              <w:t>5</w:t>
            </w:r>
            <w:r w:rsidRPr="00C06753">
              <w:t xml:space="preserve"> </w:t>
            </w:r>
            <w:r w:rsidR="002F3A65" w:rsidRPr="00C06753">
              <w:t>–</w:t>
            </w:r>
            <w:r w:rsidRPr="00C06753">
              <w:t xml:space="preserve"> 12/31/202</w:t>
            </w:r>
            <w:r w:rsidR="009435D8">
              <w:t>5</w:t>
            </w:r>
          </w:p>
          <w:p w14:paraId="602D8CA9" w14:textId="746B048F" w:rsidR="00AB7923" w:rsidRPr="00C06753" w:rsidRDefault="00AB7923" w:rsidP="00AD309C">
            <w:pPr>
              <w:pStyle w:val="ListParagraph"/>
              <w:numPr>
                <w:ilvl w:val="0"/>
                <w:numId w:val="316"/>
              </w:numPr>
              <w:spacing w:line="276" w:lineRule="auto"/>
            </w:pPr>
            <w:r w:rsidRPr="00C06753">
              <w:t>07/01/</w:t>
            </w:r>
            <w:r w:rsidR="00923FD2" w:rsidRPr="00C06753">
              <w:t>202</w:t>
            </w:r>
            <w:r w:rsidR="009435D8">
              <w:t>5</w:t>
            </w:r>
            <w:r w:rsidRPr="00C06753">
              <w:t xml:space="preserve"> </w:t>
            </w:r>
            <w:r w:rsidR="002F3A65" w:rsidRPr="00C06753">
              <w:t>–</w:t>
            </w:r>
            <w:r w:rsidRPr="00C06753">
              <w:t xml:space="preserve"> 06/30/</w:t>
            </w:r>
            <w:r w:rsidR="00923FD2" w:rsidRPr="00C06753">
              <w:t>202</w:t>
            </w:r>
            <w:r w:rsidR="009435D8">
              <w:t>6</w:t>
            </w:r>
          </w:p>
        </w:tc>
      </w:tr>
      <w:tr w:rsidR="00CD7961" w:rsidRPr="00CD7961" w14:paraId="6E97BCAF" w14:textId="77777777" w:rsidTr="00511B89">
        <w:trPr>
          <w:trHeight w:val="20"/>
        </w:trPr>
        <w:tc>
          <w:tcPr>
            <w:tcW w:w="3463" w:type="pct"/>
            <w:tcMar>
              <w:top w:w="72" w:type="dxa"/>
              <w:left w:w="115" w:type="dxa"/>
              <w:bottom w:w="72" w:type="dxa"/>
              <w:right w:w="115" w:type="dxa"/>
            </w:tcMar>
            <w:vAlign w:val="center"/>
          </w:tcPr>
          <w:p w14:paraId="248A5E5C" w14:textId="2FA0CFA1" w:rsidR="00F24EDE" w:rsidRPr="0030216C" w:rsidRDefault="00A27D7B" w:rsidP="0030216C">
            <w:pPr>
              <w:numPr>
                <w:ilvl w:val="0"/>
                <w:numId w:val="89"/>
              </w:numPr>
              <w:spacing w:before="120" w:after="120" w:line="276" w:lineRule="auto"/>
            </w:pPr>
            <w:r>
              <w:t xml:space="preserve">Does your hospital perform </w:t>
            </w:r>
            <w:r w:rsidR="002619EF">
              <w:t xml:space="preserve">any of the </w:t>
            </w:r>
            <w:r w:rsidR="0047588B">
              <w:t>procedures</w:t>
            </w:r>
            <w:r w:rsidR="002619EF">
              <w:t xml:space="preserve"> listed in Section </w:t>
            </w:r>
            <w:r w:rsidR="002F3A65">
              <w:t>9</w:t>
            </w:r>
            <w:r w:rsidR="002619EF">
              <w:t>C</w:t>
            </w:r>
            <w:r w:rsidR="0047588B">
              <w:t xml:space="preserve"> </w:t>
            </w:r>
            <w:r w:rsidR="00AA7B9F">
              <w:t>on an outpatient basis</w:t>
            </w:r>
            <w:r w:rsidR="00511B89">
              <w:t>:</w:t>
            </w:r>
            <w:r w:rsidR="00AA7B9F">
              <w:t xml:space="preserve"> </w:t>
            </w:r>
          </w:p>
          <w:p w14:paraId="71E14546" w14:textId="1B0FCAE0" w:rsidR="00A11EA6" w:rsidRPr="002666BD" w:rsidRDefault="0047588B" w:rsidP="0030216C">
            <w:pPr>
              <w:numPr>
                <w:ilvl w:val="1"/>
                <w:numId w:val="370"/>
              </w:numPr>
              <w:spacing w:before="120" w:after="120"/>
              <w:rPr>
                <w:szCs w:val="20"/>
              </w:rPr>
            </w:pPr>
            <w:r w:rsidRPr="00B32681">
              <w:rPr>
                <w:b/>
              </w:rPr>
              <w:t>in</w:t>
            </w:r>
            <w:r w:rsidR="009E5C60" w:rsidRPr="00B32681">
              <w:rPr>
                <w:b/>
              </w:rPr>
              <w:t xml:space="preserve"> the hospital</w:t>
            </w:r>
            <w:r w:rsidR="00A11EA6" w:rsidRPr="00B32681">
              <w:t xml:space="preserve"> </w:t>
            </w:r>
            <w:r w:rsidR="00A11EA6" w:rsidRPr="007C2798">
              <w:t xml:space="preserve">or </w:t>
            </w:r>
            <w:r w:rsidR="00F62669" w:rsidRPr="007C2798">
              <w:t xml:space="preserve">at </w:t>
            </w:r>
            <w:r w:rsidR="009E5C60" w:rsidRPr="007C2798">
              <w:t>a</w:t>
            </w:r>
            <w:r w:rsidR="009E5C60" w:rsidRPr="00B32681">
              <w:t xml:space="preserve"> </w:t>
            </w:r>
            <w:r w:rsidR="00110197" w:rsidRPr="00B32681">
              <w:rPr>
                <w:b/>
                <w:bCs/>
              </w:rPr>
              <w:t>hospital outpatient department</w:t>
            </w:r>
            <w:r w:rsidR="009E5C60" w:rsidRPr="00B32681">
              <w:rPr>
                <w:b/>
                <w:bCs/>
              </w:rPr>
              <w:t xml:space="preserve"> </w:t>
            </w:r>
            <w:hyperlink w:anchor="Endnote19_ColocatedNICU" w:history="1">
              <w:r w:rsidR="009E5C60" w:rsidRPr="00B32681">
                <w:rPr>
                  <w:rStyle w:val="Hyperlink"/>
                </w:rPr>
                <w:t>co-located</w:t>
              </w:r>
            </w:hyperlink>
            <w:r w:rsidR="003E31E4" w:rsidRPr="00B32681">
              <w:rPr>
                <w:vertAlign w:val="superscript"/>
              </w:rPr>
              <w:t>31</w:t>
            </w:r>
            <w:r w:rsidR="00AA7B9F" w:rsidRPr="00B32681">
              <w:t xml:space="preserve"> with the hospital</w:t>
            </w:r>
            <w:r w:rsidR="00511B89" w:rsidRPr="00B32681">
              <w:t xml:space="preserve"> </w:t>
            </w:r>
          </w:p>
          <w:p w14:paraId="7E3E4969" w14:textId="6694DABA" w:rsidR="00CD7961" w:rsidRPr="00A11EA6" w:rsidRDefault="00E061FE" w:rsidP="0030216C">
            <w:pPr>
              <w:spacing w:before="120" w:after="120"/>
              <w:ind w:left="720"/>
            </w:pPr>
            <w:r>
              <w:t>and/</w:t>
            </w:r>
            <w:r w:rsidR="00511B89" w:rsidRPr="00A11EA6">
              <w:t>or</w:t>
            </w:r>
          </w:p>
          <w:p w14:paraId="3D75D54D" w14:textId="3F49BD74" w:rsidR="00511B89" w:rsidRPr="008E6C4C" w:rsidRDefault="00511B89" w:rsidP="008E6C4C">
            <w:pPr>
              <w:pStyle w:val="ListParagraph"/>
              <w:numPr>
                <w:ilvl w:val="1"/>
                <w:numId w:val="370"/>
              </w:numPr>
            </w:pPr>
            <w:r w:rsidRPr="008E6C4C">
              <w:t xml:space="preserve">at a </w:t>
            </w:r>
            <w:r w:rsidRPr="008E6C4C">
              <w:rPr>
                <w:b/>
                <w:bCs/>
              </w:rPr>
              <w:t>surgery center</w:t>
            </w:r>
            <w:r w:rsidRPr="008E6C4C">
              <w:t xml:space="preserve"> </w:t>
            </w:r>
            <w:r w:rsidRPr="008E6C4C">
              <w:rPr>
                <w:b/>
                <w:bCs/>
              </w:rPr>
              <w:t>or</w:t>
            </w:r>
            <w:r w:rsidRPr="008E6C4C">
              <w:t xml:space="preserve"> </w:t>
            </w:r>
            <w:r w:rsidRPr="008E6C4C">
              <w:rPr>
                <w:b/>
              </w:rPr>
              <w:t>free-standing</w:t>
            </w:r>
            <w:r w:rsidRPr="008E6C4C">
              <w:rPr>
                <w:b/>
                <w:bCs/>
              </w:rPr>
              <w:t xml:space="preserve"> hospital outpatient department</w:t>
            </w:r>
            <w:r w:rsidRPr="008E6C4C">
              <w:t xml:space="preserve"> that shares your hospital’s license or CMS Certification Number?</w:t>
            </w:r>
          </w:p>
        </w:tc>
        <w:tc>
          <w:tcPr>
            <w:tcW w:w="1537" w:type="pct"/>
            <w:tcMar>
              <w:top w:w="72" w:type="dxa"/>
              <w:left w:w="115" w:type="dxa"/>
              <w:bottom w:w="72" w:type="dxa"/>
              <w:right w:w="115" w:type="dxa"/>
            </w:tcMar>
            <w:vAlign w:val="center"/>
          </w:tcPr>
          <w:p w14:paraId="6C84C8A1" w14:textId="5C442D9A" w:rsidR="00CD7961" w:rsidRPr="005F39CC" w:rsidRDefault="0047588B" w:rsidP="0030216C">
            <w:pPr>
              <w:pStyle w:val="ListParagraph"/>
              <w:numPr>
                <w:ilvl w:val="0"/>
                <w:numId w:val="316"/>
              </w:numPr>
              <w:spacing w:line="276" w:lineRule="auto"/>
              <w:rPr>
                <w:rFonts w:cs="Arial"/>
                <w:iCs/>
              </w:rPr>
            </w:pPr>
            <w:r w:rsidRPr="005F39CC">
              <w:rPr>
                <w:rFonts w:cs="Arial"/>
                <w:iCs/>
              </w:rPr>
              <w:t>Yes</w:t>
            </w:r>
          </w:p>
          <w:p w14:paraId="3D11CAA4" w14:textId="55E3D146" w:rsidR="0047588B" w:rsidRPr="005F39CC" w:rsidRDefault="0047588B" w:rsidP="0030216C">
            <w:pPr>
              <w:pStyle w:val="ListParagraph"/>
              <w:numPr>
                <w:ilvl w:val="0"/>
                <w:numId w:val="316"/>
              </w:numPr>
              <w:spacing w:line="276" w:lineRule="auto"/>
            </w:pPr>
            <w:r w:rsidRPr="005F39CC">
              <w:t>No</w:t>
            </w:r>
          </w:p>
        </w:tc>
      </w:tr>
    </w:tbl>
    <w:p w14:paraId="265ADF32" w14:textId="77777777" w:rsidR="00D93BEF" w:rsidRDefault="009358B5" w:rsidP="00CD7961">
      <w:pPr>
        <w:rPr>
          <w:i/>
        </w:rPr>
      </w:pPr>
      <w:r>
        <w:rPr>
          <w:i/>
        </w:rPr>
        <w:br/>
      </w:r>
      <w:r w:rsidR="00804620" w:rsidRPr="00F86CBE">
        <w:rPr>
          <w:i/>
        </w:rPr>
        <w:t xml:space="preserve">If “no” to question #2, skip the remaining questions in Section </w:t>
      </w:r>
      <w:r w:rsidR="00804620">
        <w:rPr>
          <w:i/>
        </w:rPr>
        <w:t>9</w:t>
      </w:r>
      <w:r w:rsidR="00804620" w:rsidRPr="00F86CBE">
        <w:rPr>
          <w:i/>
        </w:rPr>
        <w:t>, including all subsections, and go to the Affirmation of Accuracy.</w:t>
      </w:r>
    </w:p>
    <w:p w14:paraId="5D87D6F4" w14:textId="48F6279F" w:rsidR="00CD7961" w:rsidRPr="009358B5" w:rsidRDefault="00804620" w:rsidP="00CD7961">
      <w:pPr>
        <w:rPr>
          <w:b/>
        </w:rPr>
      </w:pPr>
      <w:r>
        <w:rPr>
          <w:i/>
        </w:rPr>
        <w:br/>
      </w:r>
    </w:p>
    <w:tbl>
      <w:tblPr>
        <w:tblStyle w:val="TableGrid10"/>
        <w:tblW w:w="0" w:type="auto"/>
        <w:tblLook w:val="04A0" w:firstRow="1" w:lastRow="0" w:firstColumn="1" w:lastColumn="0" w:noHBand="0" w:noVBand="1"/>
      </w:tblPr>
      <w:tblGrid>
        <w:gridCol w:w="6835"/>
        <w:gridCol w:w="2515"/>
      </w:tblGrid>
      <w:tr w:rsidR="00D93BEF" w:rsidRPr="00104AE3" w14:paraId="72C65AC4" w14:textId="77777777" w:rsidTr="009358B5">
        <w:trPr>
          <w:trHeight w:val="20"/>
        </w:trPr>
        <w:tc>
          <w:tcPr>
            <w:tcW w:w="6835" w:type="dxa"/>
            <w:tcMar>
              <w:top w:w="72" w:type="dxa"/>
              <w:left w:w="115" w:type="dxa"/>
              <w:bottom w:w="72" w:type="dxa"/>
              <w:right w:w="115" w:type="dxa"/>
            </w:tcMar>
            <w:vAlign w:val="center"/>
          </w:tcPr>
          <w:p w14:paraId="0A5B136F" w14:textId="37530995" w:rsidR="00D93BEF" w:rsidRDefault="00D17F17" w:rsidP="00D93BEF">
            <w:pPr>
              <w:numPr>
                <w:ilvl w:val="0"/>
                <w:numId w:val="89"/>
              </w:numPr>
              <w:spacing w:before="120" w:after="120" w:line="276" w:lineRule="auto"/>
            </w:pPr>
            <w:r>
              <w:lastRenderedPageBreak/>
              <w:t xml:space="preserve">Which of the following </w:t>
            </w:r>
            <w:r w:rsidR="00D93BEF">
              <w:t xml:space="preserve">procedure specialties </w:t>
            </w:r>
            <w:r w:rsidR="00AB0A84">
              <w:t>does</w:t>
            </w:r>
            <w:r w:rsidR="00441DBE">
              <w:t xml:space="preserve"> your hospital perform </w:t>
            </w:r>
            <w:r w:rsidR="00D93BEF">
              <w:t>on an outpatient basis?</w:t>
            </w:r>
          </w:p>
          <w:p w14:paraId="78C3E4F4" w14:textId="3733F328" w:rsidR="00DE6D12" w:rsidRDefault="000D52DA" w:rsidP="00D93BEF">
            <w:pPr>
              <w:spacing w:before="120" w:after="120" w:line="276" w:lineRule="auto"/>
              <w:ind w:left="360"/>
              <w:rPr>
                <w:i/>
                <w:iCs/>
              </w:rPr>
            </w:pPr>
            <w:r w:rsidRPr="000D52DA">
              <w:rPr>
                <w:i/>
                <w:iCs/>
              </w:rPr>
              <w:t>Cardiothoracic Surgery, Oral and Maxillofacial Surgery, Pain Management, Podiatry, and Vascular Surgery appl</w:t>
            </w:r>
            <w:r w:rsidR="004614EE">
              <w:rPr>
                <w:i/>
                <w:iCs/>
              </w:rPr>
              <w:t>y</w:t>
            </w:r>
            <w:r w:rsidRPr="000D52DA">
              <w:rPr>
                <w:i/>
                <w:iCs/>
              </w:rPr>
              <w:t xml:space="preserve"> to adult patients only. All other surgical specialties apply to adult or adult/pediatric patients.</w:t>
            </w:r>
          </w:p>
          <w:p w14:paraId="6085D130" w14:textId="1AD5023F" w:rsidR="00D93BEF" w:rsidRPr="004949F2" w:rsidRDefault="00D93BEF" w:rsidP="00D93BEF">
            <w:pPr>
              <w:spacing w:before="120" w:after="120" w:line="276" w:lineRule="auto"/>
              <w:ind w:left="360"/>
            </w:pPr>
            <w:r w:rsidRPr="00F35982">
              <w:rPr>
                <w:i/>
                <w:iCs/>
              </w:rPr>
              <w:t>Select all that apply.</w:t>
            </w:r>
          </w:p>
        </w:tc>
        <w:tc>
          <w:tcPr>
            <w:tcW w:w="2515" w:type="dxa"/>
            <w:tcMar>
              <w:top w:w="72" w:type="dxa"/>
              <w:left w:w="115" w:type="dxa"/>
              <w:bottom w:w="72" w:type="dxa"/>
              <w:right w:w="115" w:type="dxa"/>
            </w:tcMar>
            <w:vAlign w:val="center"/>
          </w:tcPr>
          <w:p w14:paraId="5BA6CE62" w14:textId="61CCDB95" w:rsidR="00D93BEF" w:rsidRPr="00334727" w:rsidRDefault="00D93BEF" w:rsidP="00567026">
            <w:pPr>
              <w:pStyle w:val="ListParagraph"/>
              <w:numPr>
                <w:ilvl w:val="0"/>
                <w:numId w:val="457"/>
              </w:numPr>
              <w:spacing w:line="276" w:lineRule="auto"/>
              <w:rPr>
                <w:szCs w:val="20"/>
              </w:rPr>
            </w:pPr>
            <w:bookmarkStart w:id="724" w:name="_Hlk25053351"/>
            <w:r w:rsidRPr="00334727">
              <w:rPr>
                <w:szCs w:val="20"/>
              </w:rPr>
              <w:t>Cardiothoracic Surgery</w:t>
            </w:r>
          </w:p>
          <w:p w14:paraId="29487446" w14:textId="43445BC4" w:rsidR="00D93BEF" w:rsidRPr="00334727" w:rsidRDefault="00D93BEF" w:rsidP="00567026">
            <w:pPr>
              <w:pStyle w:val="ListParagraph"/>
              <w:numPr>
                <w:ilvl w:val="0"/>
                <w:numId w:val="457"/>
              </w:numPr>
              <w:spacing w:line="276" w:lineRule="auto"/>
              <w:rPr>
                <w:szCs w:val="20"/>
              </w:rPr>
            </w:pPr>
            <w:r w:rsidRPr="00334727">
              <w:rPr>
                <w:szCs w:val="20"/>
              </w:rPr>
              <w:t xml:space="preserve">Gastroenterology </w:t>
            </w:r>
          </w:p>
          <w:p w14:paraId="5BA15FC5" w14:textId="3F715D08" w:rsidR="00D93BEF" w:rsidRPr="00334727" w:rsidRDefault="00D93BEF" w:rsidP="00567026">
            <w:pPr>
              <w:pStyle w:val="ListParagraph"/>
              <w:numPr>
                <w:ilvl w:val="0"/>
                <w:numId w:val="457"/>
              </w:numPr>
              <w:spacing w:line="276" w:lineRule="auto"/>
              <w:rPr>
                <w:szCs w:val="20"/>
              </w:rPr>
            </w:pPr>
            <w:r w:rsidRPr="00334727">
              <w:rPr>
                <w:szCs w:val="20"/>
              </w:rPr>
              <w:t xml:space="preserve">General Surgery </w:t>
            </w:r>
          </w:p>
          <w:p w14:paraId="58E3E733" w14:textId="4F78D364" w:rsidR="00D93BEF" w:rsidRPr="00334727" w:rsidRDefault="00D93BEF" w:rsidP="00567026">
            <w:pPr>
              <w:pStyle w:val="ListParagraph"/>
              <w:numPr>
                <w:ilvl w:val="0"/>
                <w:numId w:val="457"/>
              </w:numPr>
              <w:spacing w:line="276" w:lineRule="auto"/>
              <w:rPr>
                <w:szCs w:val="20"/>
              </w:rPr>
            </w:pPr>
            <w:r w:rsidRPr="00334727">
              <w:rPr>
                <w:szCs w:val="20"/>
              </w:rPr>
              <w:t>Neurological Surgery</w:t>
            </w:r>
          </w:p>
          <w:p w14:paraId="3A29792D" w14:textId="6488ABE5" w:rsidR="00D93BEF" w:rsidRPr="00334727" w:rsidRDefault="00D93BEF" w:rsidP="00567026">
            <w:pPr>
              <w:pStyle w:val="ListParagraph"/>
              <w:numPr>
                <w:ilvl w:val="0"/>
                <w:numId w:val="457"/>
              </w:numPr>
              <w:spacing w:line="276" w:lineRule="auto"/>
              <w:rPr>
                <w:szCs w:val="20"/>
              </w:rPr>
            </w:pPr>
            <w:r w:rsidRPr="00334727">
              <w:rPr>
                <w:szCs w:val="20"/>
              </w:rPr>
              <w:t>Obstetrics and Gynecology</w:t>
            </w:r>
          </w:p>
          <w:p w14:paraId="641A9188" w14:textId="6BDC83A5" w:rsidR="00D93BEF" w:rsidRPr="00334727" w:rsidRDefault="00D93BEF" w:rsidP="00567026">
            <w:pPr>
              <w:pStyle w:val="ListParagraph"/>
              <w:numPr>
                <w:ilvl w:val="0"/>
                <w:numId w:val="457"/>
              </w:numPr>
              <w:spacing w:line="276" w:lineRule="auto"/>
              <w:rPr>
                <w:szCs w:val="20"/>
              </w:rPr>
            </w:pPr>
            <w:r w:rsidRPr="00334727">
              <w:rPr>
                <w:szCs w:val="20"/>
              </w:rPr>
              <w:t>Ophthalmology</w:t>
            </w:r>
          </w:p>
          <w:p w14:paraId="6A4DF49B" w14:textId="7326D90C" w:rsidR="00D93BEF" w:rsidRPr="00334727" w:rsidRDefault="00D93BEF" w:rsidP="00567026">
            <w:pPr>
              <w:pStyle w:val="ListParagraph"/>
              <w:numPr>
                <w:ilvl w:val="0"/>
                <w:numId w:val="457"/>
              </w:numPr>
              <w:spacing w:line="276" w:lineRule="auto"/>
              <w:rPr>
                <w:szCs w:val="20"/>
              </w:rPr>
            </w:pPr>
            <w:r w:rsidRPr="00334727">
              <w:rPr>
                <w:szCs w:val="20"/>
              </w:rPr>
              <w:t>Oral and Maxillofacial Surgery</w:t>
            </w:r>
          </w:p>
          <w:p w14:paraId="4BADD538" w14:textId="466F13D4" w:rsidR="00D93BEF" w:rsidRPr="00334727" w:rsidRDefault="00D93BEF" w:rsidP="00567026">
            <w:pPr>
              <w:pStyle w:val="ListParagraph"/>
              <w:numPr>
                <w:ilvl w:val="0"/>
                <w:numId w:val="457"/>
              </w:numPr>
              <w:spacing w:line="276" w:lineRule="auto"/>
              <w:rPr>
                <w:szCs w:val="20"/>
              </w:rPr>
            </w:pPr>
            <w:r w:rsidRPr="00334727">
              <w:rPr>
                <w:szCs w:val="20"/>
              </w:rPr>
              <w:t>Orthopedics</w:t>
            </w:r>
          </w:p>
          <w:p w14:paraId="66D9A94C" w14:textId="740F60D7" w:rsidR="00D93BEF" w:rsidRPr="00334727" w:rsidRDefault="00D93BEF" w:rsidP="00567026">
            <w:pPr>
              <w:pStyle w:val="ListParagraph"/>
              <w:numPr>
                <w:ilvl w:val="0"/>
                <w:numId w:val="457"/>
              </w:numPr>
              <w:spacing w:line="276" w:lineRule="auto"/>
              <w:rPr>
                <w:szCs w:val="20"/>
              </w:rPr>
            </w:pPr>
            <w:r w:rsidRPr="00334727">
              <w:rPr>
                <w:szCs w:val="20"/>
              </w:rPr>
              <w:t xml:space="preserve">Otolaryngology </w:t>
            </w:r>
          </w:p>
          <w:p w14:paraId="4740AE49" w14:textId="52CE1B5E" w:rsidR="00D93BEF" w:rsidRPr="00334727" w:rsidRDefault="00D93BEF" w:rsidP="00567026">
            <w:pPr>
              <w:pStyle w:val="ListParagraph"/>
              <w:numPr>
                <w:ilvl w:val="0"/>
                <w:numId w:val="457"/>
              </w:numPr>
              <w:spacing w:line="276" w:lineRule="auto"/>
              <w:rPr>
                <w:szCs w:val="20"/>
              </w:rPr>
            </w:pPr>
            <w:r w:rsidRPr="00334727">
              <w:rPr>
                <w:szCs w:val="20"/>
              </w:rPr>
              <w:t>Pain Management</w:t>
            </w:r>
          </w:p>
          <w:p w14:paraId="176B1305" w14:textId="33BE601C" w:rsidR="00D93BEF" w:rsidRPr="00334727" w:rsidRDefault="00D93BEF" w:rsidP="00567026">
            <w:pPr>
              <w:pStyle w:val="ListParagraph"/>
              <w:numPr>
                <w:ilvl w:val="0"/>
                <w:numId w:val="457"/>
              </w:numPr>
              <w:spacing w:line="276" w:lineRule="auto"/>
              <w:rPr>
                <w:szCs w:val="20"/>
              </w:rPr>
            </w:pPr>
            <w:r w:rsidRPr="00334727">
              <w:rPr>
                <w:szCs w:val="20"/>
              </w:rPr>
              <w:t>Plastic and Reconstructive Surgery</w:t>
            </w:r>
          </w:p>
          <w:p w14:paraId="01C55AE5" w14:textId="72845BB6" w:rsidR="00D93BEF" w:rsidRPr="00334727" w:rsidRDefault="00D93BEF" w:rsidP="00567026">
            <w:pPr>
              <w:pStyle w:val="ListParagraph"/>
              <w:numPr>
                <w:ilvl w:val="0"/>
                <w:numId w:val="457"/>
              </w:numPr>
              <w:spacing w:line="276" w:lineRule="auto"/>
              <w:rPr>
                <w:szCs w:val="20"/>
              </w:rPr>
            </w:pPr>
            <w:r w:rsidRPr="00334727">
              <w:rPr>
                <w:szCs w:val="20"/>
              </w:rPr>
              <w:t>Podiatry</w:t>
            </w:r>
          </w:p>
          <w:p w14:paraId="0B3CBFE3" w14:textId="5EB15822" w:rsidR="00567026" w:rsidRDefault="00D93BEF" w:rsidP="00567026">
            <w:pPr>
              <w:pStyle w:val="ListParagraph"/>
              <w:numPr>
                <w:ilvl w:val="0"/>
                <w:numId w:val="457"/>
              </w:numPr>
              <w:spacing w:line="276" w:lineRule="auto"/>
              <w:rPr>
                <w:szCs w:val="20"/>
              </w:rPr>
            </w:pPr>
            <w:r w:rsidRPr="00334727">
              <w:rPr>
                <w:szCs w:val="20"/>
              </w:rPr>
              <w:t xml:space="preserve">Urology </w:t>
            </w:r>
            <w:bookmarkEnd w:id="724"/>
          </w:p>
          <w:p w14:paraId="08B715A7" w14:textId="28B5318F" w:rsidR="00D93BEF" w:rsidRPr="00727C3E" w:rsidRDefault="0092567D" w:rsidP="0092567D">
            <w:pPr>
              <w:pStyle w:val="ListParagraph"/>
              <w:numPr>
                <w:ilvl w:val="0"/>
                <w:numId w:val="457"/>
              </w:numPr>
              <w:spacing w:line="276" w:lineRule="auto"/>
              <w:rPr>
                <w:szCs w:val="20"/>
              </w:rPr>
            </w:pPr>
            <w:r>
              <w:rPr>
                <w:szCs w:val="20"/>
              </w:rPr>
              <w:t>Vascular Surgery</w:t>
            </w:r>
          </w:p>
        </w:tc>
      </w:tr>
      <w:tr w:rsidR="00D93BEF" w:rsidRPr="00104AE3" w14:paraId="07F4E344" w14:textId="77777777" w:rsidTr="009358B5">
        <w:trPr>
          <w:trHeight w:val="20"/>
        </w:trPr>
        <w:tc>
          <w:tcPr>
            <w:tcW w:w="6835" w:type="dxa"/>
            <w:tcMar>
              <w:top w:w="72" w:type="dxa"/>
              <w:left w:w="115" w:type="dxa"/>
              <w:bottom w:w="72" w:type="dxa"/>
              <w:right w:w="115" w:type="dxa"/>
            </w:tcMar>
            <w:vAlign w:val="center"/>
          </w:tcPr>
          <w:p w14:paraId="3F4E2EC6" w14:textId="17C6E621" w:rsidR="00D93BEF" w:rsidRPr="004949F2" w:rsidRDefault="00D93BEF" w:rsidP="00D93BEF">
            <w:pPr>
              <w:numPr>
                <w:ilvl w:val="0"/>
                <w:numId w:val="89"/>
              </w:numPr>
              <w:spacing w:before="120" w:after="120" w:line="276" w:lineRule="auto"/>
            </w:pPr>
            <w:r w:rsidRPr="004949F2">
              <w:t xml:space="preserve">Total number of </w:t>
            </w:r>
            <w:hyperlink w:anchor="Endnote49_OR" w:history="1">
              <w:r w:rsidRPr="004949F2">
                <w:rPr>
                  <w:rStyle w:val="Hyperlink"/>
                </w:rPr>
                <w:t>operating rooms</w:t>
              </w:r>
            </w:hyperlink>
            <w:bookmarkStart w:id="725" w:name="_Ref534299024"/>
            <w:r>
              <w:rPr>
                <w:rStyle w:val="Hyperlink"/>
                <w:rFonts w:ascii="ZWAdobeF" w:hAnsi="ZWAdobeF" w:cs="ZWAdobeF"/>
                <w:color w:val="auto"/>
                <w:sz w:val="2"/>
                <w:szCs w:val="2"/>
                <w:u w:val="none"/>
              </w:rPr>
              <w:t>50F52F52F</w:t>
            </w:r>
            <w:r w:rsidR="00C2087D">
              <w:rPr>
                <w:rStyle w:val="Hyperlink"/>
                <w:rFonts w:ascii="ZWAdobeF" w:hAnsi="ZWAdobeF" w:cs="ZWAdobeF"/>
                <w:color w:val="auto"/>
                <w:sz w:val="2"/>
                <w:szCs w:val="2"/>
                <w:u w:val="none"/>
              </w:rPr>
              <w:t>51F</w:t>
            </w:r>
            <w:r w:rsidR="00B55C41">
              <w:rPr>
                <w:rStyle w:val="Hyperlink"/>
                <w:rFonts w:ascii="ZWAdobeF" w:hAnsi="ZWAdobeF" w:cs="ZWAdobeF"/>
                <w:color w:val="auto"/>
                <w:sz w:val="2"/>
                <w:szCs w:val="2"/>
                <w:u w:val="none"/>
              </w:rPr>
              <w:t>51F</w:t>
            </w:r>
            <w:r w:rsidR="006255A6">
              <w:rPr>
                <w:rStyle w:val="Hyperlink"/>
                <w:rFonts w:ascii="ZWAdobeF" w:hAnsi="ZWAdobeF" w:cs="ZWAdobeF"/>
                <w:color w:val="auto"/>
                <w:sz w:val="2"/>
                <w:szCs w:val="2"/>
                <w:u w:val="none"/>
              </w:rPr>
              <w:t>51F</w:t>
            </w:r>
            <w:r w:rsidR="00E453C7">
              <w:rPr>
                <w:rStyle w:val="Hyperlink"/>
                <w:rFonts w:ascii="ZWAdobeF" w:hAnsi="ZWAdobeF" w:cs="ZWAdobeF"/>
                <w:color w:val="auto"/>
                <w:sz w:val="2"/>
                <w:szCs w:val="2"/>
                <w:u w:val="none"/>
              </w:rPr>
              <w:t>51F</w:t>
            </w:r>
            <w:r w:rsidR="00953060">
              <w:rPr>
                <w:rStyle w:val="Hyperlink"/>
                <w:rFonts w:ascii="ZWAdobeF" w:hAnsi="ZWAdobeF" w:cs="ZWAdobeF"/>
                <w:color w:val="auto"/>
                <w:sz w:val="2"/>
                <w:szCs w:val="2"/>
                <w:u w:val="none"/>
              </w:rPr>
              <w:t>51F</w:t>
            </w:r>
            <w:r w:rsidR="00DD04D6">
              <w:rPr>
                <w:rStyle w:val="Hyperlink"/>
                <w:rFonts w:ascii="ZWAdobeF" w:hAnsi="ZWAdobeF" w:cs="ZWAdobeF"/>
                <w:color w:val="auto"/>
                <w:sz w:val="2"/>
                <w:szCs w:val="2"/>
                <w:u w:val="none"/>
              </w:rPr>
              <w:t>51F</w:t>
            </w:r>
            <w:r w:rsidRPr="004949F2">
              <w:rPr>
                <w:rStyle w:val="EndnoteReference"/>
              </w:rPr>
              <w:endnoteReference w:id="53"/>
            </w:r>
            <w:bookmarkEnd w:id="725"/>
            <w:r w:rsidRPr="004949F2">
              <w:rPr>
                <w:rStyle w:val="Hyperlink"/>
                <w:color w:val="auto"/>
                <w:u w:val="none"/>
              </w:rPr>
              <w:t xml:space="preserve"> used to perform the outpatient procedures listed in Section </w:t>
            </w:r>
            <w:r>
              <w:rPr>
                <w:rStyle w:val="Hyperlink"/>
                <w:color w:val="auto"/>
                <w:u w:val="none"/>
              </w:rPr>
              <w:t>9</w:t>
            </w:r>
            <w:r w:rsidRPr="004949F2">
              <w:rPr>
                <w:rStyle w:val="Hyperlink"/>
                <w:color w:val="auto"/>
                <w:u w:val="none"/>
              </w:rPr>
              <w:t>C</w:t>
            </w:r>
            <w:r>
              <w:rPr>
                <w:rStyle w:val="Hyperlink"/>
                <w:color w:val="auto"/>
                <w:u w:val="none"/>
              </w:rPr>
              <w:t>:</w:t>
            </w:r>
          </w:p>
        </w:tc>
        <w:tc>
          <w:tcPr>
            <w:tcW w:w="2515" w:type="dxa"/>
            <w:tcMar>
              <w:top w:w="72" w:type="dxa"/>
              <w:left w:w="115" w:type="dxa"/>
              <w:bottom w:w="72" w:type="dxa"/>
              <w:right w:w="115" w:type="dxa"/>
            </w:tcMar>
            <w:vAlign w:val="center"/>
          </w:tcPr>
          <w:p w14:paraId="35653D7E" w14:textId="77777777" w:rsidR="00D93BEF" w:rsidRPr="004949F2" w:rsidRDefault="00D93BEF" w:rsidP="00D93BEF">
            <w:pPr>
              <w:spacing w:line="276" w:lineRule="auto"/>
              <w:jc w:val="center"/>
            </w:pPr>
            <w:r w:rsidRPr="004949F2">
              <w:t>_____</w:t>
            </w:r>
          </w:p>
        </w:tc>
      </w:tr>
      <w:tr w:rsidR="00D93BEF" w:rsidRPr="00104AE3" w14:paraId="5E99B704" w14:textId="77777777" w:rsidTr="009358B5">
        <w:trPr>
          <w:trHeight w:val="20"/>
        </w:trPr>
        <w:tc>
          <w:tcPr>
            <w:tcW w:w="6835" w:type="dxa"/>
            <w:tcMar>
              <w:top w:w="72" w:type="dxa"/>
              <w:left w:w="115" w:type="dxa"/>
              <w:bottom w:w="72" w:type="dxa"/>
              <w:right w:w="115" w:type="dxa"/>
            </w:tcMar>
            <w:vAlign w:val="center"/>
          </w:tcPr>
          <w:p w14:paraId="58BF6F09" w14:textId="44772ED2" w:rsidR="00D93BEF" w:rsidRPr="004949F2" w:rsidRDefault="00D93BEF" w:rsidP="00D93BEF">
            <w:pPr>
              <w:numPr>
                <w:ilvl w:val="0"/>
                <w:numId w:val="89"/>
              </w:numPr>
              <w:spacing w:before="120" w:after="120" w:line="276" w:lineRule="auto"/>
            </w:pPr>
            <w:r w:rsidRPr="004949F2">
              <w:t xml:space="preserve">Total number of </w:t>
            </w:r>
            <w:hyperlink w:anchor="procedureroom" w:history="1">
              <w:r w:rsidRPr="004949F2">
                <w:rPr>
                  <w:rStyle w:val="Hyperlink"/>
                </w:rPr>
                <w:t>endoscopic procedure rooms</w:t>
              </w:r>
            </w:hyperlink>
            <w:bookmarkStart w:id="728" w:name="_Ref534299351"/>
            <w:r>
              <w:rPr>
                <w:rStyle w:val="Hyperlink"/>
                <w:rFonts w:ascii="ZWAdobeF" w:hAnsi="ZWAdobeF" w:cs="ZWAdobeF"/>
                <w:color w:val="auto"/>
                <w:sz w:val="2"/>
                <w:szCs w:val="2"/>
                <w:u w:val="none"/>
              </w:rPr>
              <w:t>51F53F53F</w:t>
            </w:r>
            <w:r w:rsidR="00C2087D">
              <w:rPr>
                <w:rStyle w:val="Hyperlink"/>
                <w:rFonts w:ascii="ZWAdobeF" w:hAnsi="ZWAdobeF" w:cs="ZWAdobeF"/>
                <w:color w:val="auto"/>
                <w:sz w:val="2"/>
                <w:szCs w:val="2"/>
                <w:u w:val="none"/>
              </w:rPr>
              <w:t>52F</w:t>
            </w:r>
            <w:r w:rsidR="00B55C41">
              <w:rPr>
                <w:rStyle w:val="Hyperlink"/>
                <w:rFonts w:ascii="ZWAdobeF" w:hAnsi="ZWAdobeF" w:cs="ZWAdobeF"/>
                <w:color w:val="auto"/>
                <w:sz w:val="2"/>
                <w:szCs w:val="2"/>
                <w:u w:val="none"/>
              </w:rPr>
              <w:t>52F</w:t>
            </w:r>
            <w:r w:rsidR="006255A6">
              <w:rPr>
                <w:rStyle w:val="Hyperlink"/>
                <w:rFonts w:ascii="ZWAdobeF" w:hAnsi="ZWAdobeF" w:cs="ZWAdobeF"/>
                <w:color w:val="auto"/>
                <w:sz w:val="2"/>
                <w:szCs w:val="2"/>
                <w:u w:val="none"/>
              </w:rPr>
              <w:t>52F</w:t>
            </w:r>
            <w:r w:rsidR="00E453C7">
              <w:rPr>
                <w:rStyle w:val="Hyperlink"/>
                <w:rFonts w:ascii="ZWAdobeF" w:hAnsi="ZWAdobeF" w:cs="ZWAdobeF"/>
                <w:color w:val="auto"/>
                <w:sz w:val="2"/>
                <w:szCs w:val="2"/>
                <w:u w:val="none"/>
              </w:rPr>
              <w:t>52F</w:t>
            </w:r>
            <w:r w:rsidR="00953060">
              <w:rPr>
                <w:rStyle w:val="Hyperlink"/>
                <w:rFonts w:ascii="ZWAdobeF" w:hAnsi="ZWAdobeF" w:cs="ZWAdobeF"/>
                <w:color w:val="auto"/>
                <w:sz w:val="2"/>
                <w:szCs w:val="2"/>
                <w:u w:val="none"/>
              </w:rPr>
              <w:t>52F</w:t>
            </w:r>
            <w:r w:rsidR="00DD04D6">
              <w:rPr>
                <w:rStyle w:val="Hyperlink"/>
                <w:rFonts w:ascii="ZWAdobeF" w:hAnsi="ZWAdobeF" w:cs="ZWAdobeF"/>
                <w:color w:val="auto"/>
                <w:sz w:val="2"/>
                <w:szCs w:val="2"/>
                <w:u w:val="none"/>
              </w:rPr>
              <w:t>52F</w:t>
            </w:r>
            <w:r w:rsidRPr="004949F2">
              <w:rPr>
                <w:rStyle w:val="EndnoteReference"/>
              </w:rPr>
              <w:endnoteReference w:id="54"/>
            </w:r>
            <w:bookmarkEnd w:id="728"/>
            <w:r w:rsidRPr="004949F2">
              <w:rPr>
                <w:rStyle w:val="Hyperlink"/>
                <w:color w:val="auto"/>
                <w:u w:val="none"/>
              </w:rPr>
              <w:t xml:space="preserve"> used to perform the outpatient procedures listed in Section </w:t>
            </w:r>
            <w:r>
              <w:rPr>
                <w:rStyle w:val="Hyperlink"/>
                <w:color w:val="auto"/>
                <w:u w:val="none"/>
              </w:rPr>
              <w:t>9</w:t>
            </w:r>
            <w:r w:rsidRPr="004949F2">
              <w:rPr>
                <w:rStyle w:val="Hyperlink"/>
                <w:color w:val="auto"/>
                <w:u w:val="none"/>
              </w:rPr>
              <w:t>C</w:t>
            </w:r>
            <w:r>
              <w:rPr>
                <w:rStyle w:val="Hyperlink"/>
                <w:color w:val="auto"/>
                <w:u w:val="none"/>
              </w:rPr>
              <w:t>:</w:t>
            </w:r>
            <w:r w:rsidRPr="004949F2">
              <w:t xml:space="preserve"> </w:t>
            </w:r>
          </w:p>
        </w:tc>
        <w:tc>
          <w:tcPr>
            <w:tcW w:w="2515" w:type="dxa"/>
            <w:tcMar>
              <w:top w:w="72" w:type="dxa"/>
              <w:left w:w="115" w:type="dxa"/>
              <w:bottom w:w="72" w:type="dxa"/>
              <w:right w:w="115" w:type="dxa"/>
            </w:tcMar>
            <w:vAlign w:val="center"/>
          </w:tcPr>
          <w:p w14:paraId="4313831D" w14:textId="77777777" w:rsidR="00D93BEF" w:rsidRPr="004949F2" w:rsidRDefault="00D93BEF" w:rsidP="00D93BEF">
            <w:pPr>
              <w:spacing w:line="276" w:lineRule="auto"/>
              <w:jc w:val="center"/>
            </w:pPr>
            <w:r w:rsidRPr="004949F2">
              <w:t>_____</w:t>
            </w:r>
          </w:p>
        </w:tc>
      </w:tr>
    </w:tbl>
    <w:p w14:paraId="6F66E9AC" w14:textId="77777777" w:rsidR="00CD7961" w:rsidRPr="00CD7961" w:rsidRDefault="00CD7961" w:rsidP="00CD7961">
      <w:pPr>
        <w:rPr>
          <w:szCs w:val="24"/>
        </w:rPr>
      </w:pPr>
    </w:p>
    <w:p w14:paraId="5A1F5282" w14:textId="77777777" w:rsidR="00EB73D8" w:rsidRDefault="00CD7961">
      <w:pPr>
        <w:rPr>
          <w:szCs w:val="24"/>
        </w:rPr>
      </w:pPr>
      <w:r w:rsidRPr="00CD7961">
        <w:rPr>
          <w:szCs w:val="24"/>
        </w:rPr>
        <w:br w:type="page"/>
      </w:r>
    </w:p>
    <w:p w14:paraId="76866D58" w14:textId="148D27DF" w:rsidR="00EB73D8" w:rsidRDefault="002F3A65" w:rsidP="00CF5A6E">
      <w:pPr>
        <w:pStyle w:val="Heading2"/>
      </w:pPr>
      <w:bookmarkStart w:id="730" w:name="_Toc225877835"/>
      <w:r>
        <w:lastRenderedPageBreak/>
        <w:t>9B: Medical, Surgical, and Clinical Staff</w:t>
      </w:r>
      <w:bookmarkEnd w:id="730"/>
    </w:p>
    <w:p w14:paraId="063F5A93" w14:textId="77777777" w:rsidR="002F3A65" w:rsidRPr="00F827D4" w:rsidRDefault="002F3A65" w:rsidP="00EB73D8">
      <w:pPr>
        <w:rPr>
          <w:rFonts w:cs="Arial"/>
          <w:color w:val="000000"/>
        </w:rPr>
      </w:pPr>
    </w:p>
    <w:p w14:paraId="7215CA6A" w14:textId="337CF828" w:rsidR="00D3503C" w:rsidRDefault="00D3503C" w:rsidP="00D3503C">
      <w:pPr>
        <w:rPr>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63" w:history="1">
        <w:r w:rsidRPr="009A5185">
          <w:rPr>
            <w:rStyle w:val="Hyperlink"/>
            <w:rFonts w:cs="Arial"/>
            <w:snapToGrid w:val="0"/>
          </w:rPr>
          <w:t>Leapfrog’s Multi-Campus Reporting Policy</w:t>
        </w:r>
      </w:hyperlink>
      <w:r w:rsidRPr="009A5185">
        <w:rPr>
          <w:rFonts w:cs="Arial"/>
          <w:snapToGrid w:val="0"/>
        </w:rPr>
        <w:t>.</w:t>
      </w:r>
    </w:p>
    <w:p w14:paraId="60993F14" w14:textId="77777777" w:rsidR="00D3503C" w:rsidRPr="00F827D4" w:rsidRDefault="00D3503C" w:rsidP="00EB73D8">
      <w:pPr>
        <w:rPr>
          <w:rFonts w:cs="Arial"/>
          <w:color w:val="000000"/>
        </w:rPr>
      </w:pPr>
    </w:p>
    <w:p w14:paraId="780BE346" w14:textId="77777777" w:rsidR="00FF1F80" w:rsidRDefault="00EB73D8" w:rsidP="00753419">
      <w:pPr>
        <w:pStyle w:val="BodyText3"/>
        <w:rPr>
          <w:rFonts w:cs="Arial"/>
          <w:b/>
          <w:color w:val="FF0000"/>
        </w:rPr>
      </w:pPr>
      <w:r w:rsidRPr="009A5185">
        <w:rPr>
          <w:rFonts w:cs="Arial"/>
          <w:b/>
          <w:color w:val="FF0000"/>
        </w:rPr>
        <w:t>Important Note</w:t>
      </w:r>
      <w:r w:rsidR="00FF1F80">
        <w:rPr>
          <w:rFonts w:cs="Arial"/>
          <w:b/>
          <w:color w:val="FF0000"/>
        </w:rPr>
        <w:t>s</w:t>
      </w:r>
      <w:r w:rsidR="00D3503C">
        <w:rPr>
          <w:rFonts w:cs="Arial"/>
          <w:b/>
          <w:color w:val="FF0000"/>
        </w:rPr>
        <w:t xml:space="preserve">: </w:t>
      </w:r>
    </w:p>
    <w:p w14:paraId="761EDCBB" w14:textId="77777777" w:rsidR="00FF1F80" w:rsidRDefault="00FF1F80" w:rsidP="00753419">
      <w:pPr>
        <w:pStyle w:val="BodyText3"/>
        <w:rPr>
          <w:rFonts w:cs="Arial"/>
          <w:b/>
          <w:color w:val="FF0000"/>
        </w:rPr>
      </w:pPr>
    </w:p>
    <w:p w14:paraId="557E012D" w14:textId="059D8F83" w:rsidR="008E7151" w:rsidRDefault="00FF1F80" w:rsidP="00753419">
      <w:pPr>
        <w:pStyle w:val="BodyText3"/>
      </w:pPr>
      <w:r w:rsidRPr="00EE7395">
        <w:rPr>
          <w:rFonts w:cs="Arial"/>
          <w:bCs/>
          <w:color w:val="auto"/>
        </w:rPr>
        <w:t>Note 1:</w:t>
      </w:r>
      <w:r w:rsidRPr="00EE7395">
        <w:rPr>
          <w:rFonts w:cs="Arial"/>
          <w:b/>
          <w:color w:val="auto"/>
        </w:rPr>
        <w:t xml:space="preserve"> </w:t>
      </w:r>
      <w:r w:rsidR="003F6DF1">
        <w:rPr>
          <w:rFonts w:cs="Arial"/>
          <w:color w:val="auto"/>
        </w:rPr>
        <w:t xml:space="preserve">The term “hospital outpatient department” is used to refer to all hospital outpatient departments or areas of the hospital, including areas that are used for </w:t>
      </w:r>
      <w:r w:rsidR="003F6DF1">
        <w:rPr>
          <w:rFonts w:cs="Arial"/>
          <w:b/>
          <w:bCs/>
          <w:color w:val="auto"/>
        </w:rPr>
        <w:t xml:space="preserve">both </w:t>
      </w:r>
      <w:r w:rsidR="003F6DF1">
        <w:rPr>
          <w:rFonts w:cs="Arial"/>
          <w:color w:val="auto"/>
        </w:rPr>
        <w:t xml:space="preserve">inpatient and outpatient procedures, that perform the outpatient procedures listed in Section 9C and that share your hospital’s license or CMS Certification Number (CCN). This would include, but is not limited to surgery centers, free-standing hospital outpatient departments, as well as outpatient departments that are located in your hospital or are </w:t>
      </w:r>
      <w:hyperlink w:anchor="Endnote19_ColocatedNICU" w:history="1">
        <w:r w:rsidR="003F6DF1" w:rsidRPr="005C395A">
          <w:rPr>
            <w:rStyle w:val="Hyperlink"/>
          </w:rPr>
          <w:t>co-located</w:t>
        </w:r>
      </w:hyperlink>
      <w:r w:rsidR="003E5A10">
        <w:fldChar w:fldCharType="begin"/>
      </w:r>
      <w:r w:rsidR="003E5A10">
        <w:rPr>
          <w:rStyle w:val="Hyperlink"/>
        </w:rPr>
        <w:instrText xml:space="preserve"> NOTEREF _Ref134616250 \f \h </w:instrText>
      </w:r>
      <w:r w:rsidR="003E5A10">
        <w:fldChar w:fldCharType="separate"/>
      </w:r>
      <w:r w:rsidR="007D53A2" w:rsidRPr="00E362A3">
        <w:rPr>
          <w:rStyle w:val="EndnoteReference"/>
        </w:rPr>
        <w:t>31</w:t>
      </w:r>
      <w:r w:rsidR="003E5A10">
        <w:fldChar w:fldCharType="end"/>
      </w:r>
      <w:r w:rsidR="003F6DF1">
        <w:rPr>
          <w:rFonts w:cs="Arial"/>
          <w:color w:val="auto"/>
        </w:rPr>
        <w:t xml:space="preserve"> with your hospital. Hospitals should only include hospital outpatient departments or areas of the hospital that perform the procedures listed in Section 9C in an </w:t>
      </w:r>
      <w:hyperlink w:anchor="Endnote49_OR" w:history="1">
        <w:r w:rsidR="003F6DF1" w:rsidRPr="00A879E1">
          <w:rPr>
            <w:rStyle w:val="Hyperlink"/>
          </w:rPr>
          <w:t>operating room</w:t>
        </w:r>
      </w:hyperlink>
      <w:r w:rsidR="003F6DF1">
        <w:rPr>
          <w:vertAlign w:val="superscript"/>
        </w:rPr>
        <w:fldChar w:fldCharType="begin"/>
      </w:r>
      <w:r w:rsidR="003F6DF1">
        <w:instrText xml:space="preserve"> NOTEREF _Ref534299024 \f \h </w:instrText>
      </w:r>
      <w:r w:rsidR="003F6DF1">
        <w:rPr>
          <w:vertAlign w:val="superscript"/>
        </w:rPr>
      </w:r>
      <w:r w:rsidR="003F6DF1">
        <w:rPr>
          <w:vertAlign w:val="superscript"/>
        </w:rPr>
        <w:fldChar w:fldCharType="separate"/>
      </w:r>
      <w:r w:rsidR="007D53A2" w:rsidRPr="00E362A3">
        <w:rPr>
          <w:rStyle w:val="EndnoteReference"/>
        </w:rPr>
        <w:t>52</w:t>
      </w:r>
      <w:r w:rsidR="003F6DF1">
        <w:rPr>
          <w:vertAlign w:val="superscript"/>
        </w:rPr>
        <w:fldChar w:fldCharType="end"/>
      </w:r>
      <w:r w:rsidR="003F6DF1">
        <w:t xml:space="preserve"> or </w:t>
      </w:r>
      <w:hyperlink w:anchor="procedureroom" w:history="1">
        <w:r w:rsidR="003F6DF1" w:rsidRPr="00A879E1">
          <w:rPr>
            <w:rStyle w:val="Hyperlink"/>
          </w:rPr>
          <w:t>procedure room</w:t>
        </w:r>
      </w:hyperlink>
      <w:r w:rsidR="003F6DF1">
        <w:fldChar w:fldCharType="begin"/>
      </w:r>
      <w:r w:rsidR="003F6DF1">
        <w:instrText xml:space="preserve"> NOTEREF _Ref534299351 \f \h </w:instrText>
      </w:r>
      <w:r w:rsidR="003F6DF1">
        <w:fldChar w:fldCharType="separate"/>
      </w:r>
      <w:r w:rsidR="007D53A2" w:rsidRPr="00E362A3">
        <w:rPr>
          <w:rStyle w:val="EndnoteReference"/>
        </w:rPr>
        <w:t>53</w:t>
      </w:r>
      <w:r w:rsidR="003F6DF1">
        <w:fldChar w:fldCharType="end"/>
      </w:r>
      <w:r w:rsidR="003F6DF1">
        <w:t>.</w:t>
      </w:r>
    </w:p>
    <w:p w14:paraId="63C8FE0B" w14:textId="77777777" w:rsidR="00FF1F80" w:rsidRDefault="00FF1F80" w:rsidP="00753419">
      <w:pPr>
        <w:pStyle w:val="BodyText3"/>
      </w:pPr>
    </w:p>
    <w:p w14:paraId="5A6EB652" w14:textId="1E9605FB" w:rsidR="00FF1F80" w:rsidRDefault="00FF1F80" w:rsidP="00753419">
      <w:pPr>
        <w:pStyle w:val="BodyText3"/>
      </w:pPr>
      <w:r>
        <w:t xml:space="preserve">Note 2: Hyperlinks throughout these questions refer to the </w:t>
      </w:r>
      <w:hyperlink w:anchor="_Medical,_Surgical,_and" w:history="1">
        <w:r w:rsidRPr="00D40420">
          <w:rPr>
            <w:rStyle w:val="Hyperlink"/>
          </w:rPr>
          <w:t>Medical, Surgical, and Clinical Staff FAQs</w:t>
        </w:r>
      </w:hyperlink>
      <w:r>
        <w:t xml:space="preserve"> beginning on page</w:t>
      </w:r>
      <w:r w:rsidR="00D40420">
        <w:t xml:space="preserve"> </w:t>
      </w:r>
      <w:r w:rsidR="00D40420">
        <w:fldChar w:fldCharType="begin"/>
      </w:r>
      <w:r w:rsidR="00D40420">
        <w:instrText xml:space="preserve"> PAGEREF _Ref153447294 \h </w:instrText>
      </w:r>
      <w:r w:rsidR="00D40420">
        <w:fldChar w:fldCharType="separate"/>
      </w:r>
      <w:r w:rsidR="00C4182A">
        <w:rPr>
          <w:noProof/>
        </w:rPr>
        <w:t>318</w:t>
      </w:r>
      <w:r w:rsidR="00D40420">
        <w:fldChar w:fldCharType="end"/>
      </w:r>
      <w:r>
        <w:t>, as well as to endnotes. FAQ hyperlinks are not included in the Online Survey Tool.</w:t>
      </w:r>
    </w:p>
    <w:p w14:paraId="28492AA0" w14:textId="77777777" w:rsidR="00F827D4" w:rsidRPr="003D7705" w:rsidRDefault="00F827D4" w:rsidP="00753419">
      <w:pPr>
        <w:pStyle w:val="BodyText3"/>
        <w:rPr>
          <w:snapToGrid w:val="0"/>
        </w:rPr>
      </w:pPr>
    </w:p>
    <w:p w14:paraId="01C7FFC8" w14:textId="2B56FE12" w:rsidR="00EB73D8" w:rsidRPr="00F827D4" w:rsidRDefault="00F827D4" w:rsidP="008E7151">
      <w:pPr>
        <w:pStyle w:val="BodyText3"/>
        <w:rPr>
          <w:szCs w:val="24"/>
        </w:rPr>
      </w:pPr>
      <w:r w:rsidRPr="00F827D4">
        <w:rPr>
          <w:noProof/>
          <w:szCs w:val="24"/>
        </w:rPr>
        <mc:AlternateContent>
          <mc:Choice Requires="wps">
            <w:drawing>
              <wp:inline distT="0" distB="0" distL="0" distR="0" wp14:anchorId="435DC497" wp14:editId="46CF55FC">
                <wp:extent cx="5923722" cy="1404620"/>
                <wp:effectExtent l="0" t="0" r="20320" b="22860"/>
                <wp:docPr id="44" name="Text Box 44" descr="P10882TB3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722" cy="1404620"/>
                        </a:xfrm>
                        <a:prstGeom prst="rect">
                          <a:avLst/>
                        </a:prstGeom>
                        <a:solidFill>
                          <a:srgbClr val="FFFFFF"/>
                        </a:solidFill>
                        <a:ln w="9525">
                          <a:solidFill>
                            <a:srgbClr val="FF0000"/>
                          </a:solidFill>
                          <a:miter lim="800000"/>
                          <a:headEnd/>
                          <a:tailEnd/>
                        </a:ln>
                      </wps:spPr>
                      <wps:txbx>
                        <w:txbxContent>
                          <w:p w14:paraId="099E17AC" w14:textId="26AAA68D" w:rsidR="00F827D4" w:rsidRDefault="00F827D4" w:rsidP="00F827D4">
                            <w:pPr>
                              <w:pStyle w:val="Header"/>
                              <w:tabs>
                                <w:tab w:val="clear" w:pos="4320"/>
                                <w:tab w:val="clear" w:pos="8640"/>
                              </w:tabs>
                              <w:spacing w:before="40"/>
                              <w:rPr>
                                <w:rFonts w:cs="Arial"/>
                                <w:b/>
                              </w:rPr>
                            </w:pPr>
                            <w:r w:rsidRPr="0092522B">
                              <w:rPr>
                                <w:rFonts w:cs="Arial"/>
                                <w:b/>
                              </w:rPr>
                              <w:t xml:space="preserve">Reporting Period: </w:t>
                            </w:r>
                            <w:r>
                              <w:rPr>
                                <w:rFonts w:cs="Arial"/>
                                <w:b/>
                              </w:rPr>
                              <w:t>3 months</w:t>
                            </w:r>
                          </w:p>
                          <w:p w14:paraId="10FECB4C" w14:textId="19D2E990" w:rsidR="00F827D4" w:rsidRPr="0092522B" w:rsidRDefault="00F827D4" w:rsidP="00F827D4">
                            <w:pPr>
                              <w:pStyle w:val="Header"/>
                              <w:tabs>
                                <w:tab w:val="clear" w:pos="4320"/>
                                <w:tab w:val="clear" w:pos="8640"/>
                              </w:tabs>
                              <w:spacing w:before="40"/>
                              <w:rPr>
                                <w:rFonts w:cs="Arial"/>
                              </w:rPr>
                            </w:pPr>
                            <w:r w:rsidRPr="0092522B">
                              <w:rPr>
                                <w:rFonts w:cs="Arial"/>
                              </w:rPr>
                              <w:t>Answer questions #1-</w:t>
                            </w:r>
                            <w:r w:rsidR="00EE7395">
                              <w:rPr>
                                <w:rFonts w:cs="Arial"/>
                              </w:rPr>
                              <w:t>2</w:t>
                            </w:r>
                            <w:r w:rsidRPr="0092522B">
                              <w:rPr>
                                <w:rFonts w:cs="Arial"/>
                              </w:rPr>
                              <w:t xml:space="preserve"> based on the staffing structure currently in place at the time that you submit this section of the Survey. The staffing structure should have been in place for at least the past 3 months and reflect the ordinary staffing structure for each applicable hospital outpatient department.</w:t>
                            </w:r>
                          </w:p>
                          <w:p w14:paraId="19C9E3BA" w14:textId="77777777" w:rsidR="00F827D4" w:rsidRPr="00357E20" w:rsidRDefault="00F827D4" w:rsidP="00F827D4">
                            <w:pPr>
                              <w:pStyle w:val="Header"/>
                              <w:tabs>
                                <w:tab w:val="clear" w:pos="4320"/>
                                <w:tab w:val="clear" w:pos="8640"/>
                              </w:tabs>
                              <w:rPr>
                                <w:rFonts w:cs="Arial"/>
                                <w:b/>
                              </w:rPr>
                            </w:pPr>
                          </w:p>
                          <w:p w14:paraId="14077751" w14:textId="7F77815C" w:rsidR="00F827D4" w:rsidRDefault="00F827D4" w:rsidP="00F827D4">
                            <w:r w:rsidRPr="0002601E">
                              <w:rPr>
                                <w:rFonts w:cs="Arial"/>
                                <w:sz w:val="16"/>
                                <w:szCs w:val="16"/>
                              </w:rPr>
                              <w:t xml:space="preserve">Note: As a reminder, the </w:t>
                            </w:r>
                            <w:hyperlink r:id="rId464" w:history="1">
                              <w:r w:rsidRPr="0002601E">
                                <w:rPr>
                                  <w:rStyle w:val="Hyperlink"/>
                                  <w:rFonts w:cs="Arial"/>
                                  <w:sz w:val="16"/>
                                  <w:szCs w:val="16"/>
                                </w:rPr>
                                <w:t>Corrections Period</w:t>
                              </w:r>
                            </w:hyperlink>
                            <w:r w:rsidRPr="0002601E">
                              <w:rPr>
                                <w:rFonts w:cs="Arial"/>
                                <w:sz w:val="16"/>
                                <w:szCs w:val="16"/>
                              </w:rPr>
                              <w:t xml:space="preserve"> (December 1-January 31) is reserved for corrections to previously submitted Surveys only. </w:t>
                            </w:r>
                            <w:r w:rsidRPr="0002601E">
                              <w:rPr>
                                <w:rFonts w:cs="Arial"/>
                                <w:bCs/>
                                <w:snapToGrid w:val="0"/>
                                <w:sz w:val="16"/>
                                <w:szCs w:val="16"/>
                              </w:rPr>
                              <w:t>Any updates made to reflect a change in performance must be made prior to the November 30 Late Submission and Performance Update Deadline. Updates made to reflect a change in performance after November 30 will not be scored or publicly reported.</w:t>
                            </w:r>
                          </w:p>
                        </w:txbxContent>
                      </wps:txbx>
                      <wps:bodyPr rot="0" vert="horz" wrap="square" lIns="91440" tIns="45720" rIns="91440" bIns="45720" anchor="t" anchorCtr="0">
                        <a:spAutoFit/>
                      </wps:bodyPr>
                    </wps:wsp>
                  </a:graphicData>
                </a:graphic>
              </wp:inline>
            </w:drawing>
          </mc:Choice>
          <mc:Fallback>
            <w:pict>
              <v:shape w14:anchorId="435DC497" id="Text Box 44" o:spid="_x0000_s1060" type="#_x0000_t202" alt="P10882TB33#y1" style="width:466.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" strokecolor="red">
                <v:textbox style="mso-fit-shape-to-text:t">
                  <w:txbxContent>
                    <w:p w14:paraId="099E17AC" w14:textId="26AAA68D" w:rsidR="00F827D4" w:rsidRDefault="00F827D4" w:rsidP="00F827D4">
                      <w:pPr>
                        <w:pStyle w:val="Header"/>
                        <w:tabs>
                          <w:tab w:val="clear" w:pos="4320"/>
                          <w:tab w:val="clear" w:pos="8640"/>
                        </w:tabs>
                        <w:spacing w:before="40"/>
                        <w:rPr>
                          <w:rFonts w:cs="Arial"/>
                          <w:b/>
                        </w:rPr>
                      </w:pPr>
                      <w:r w:rsidRPr="0092522B">
                        <w:rPr>
                          <w:rFonts w:cs="Arial"/>
                          <w:b/>
                        </w:rPr>
                        <w:t xml:space="preserve">Reporting Period: </w:t>
                      </w:r>
                      <w:r>
                        <w:rPr>
                          <w:rFonts w:cs="Arial"/>
                          <w:b/>
                        </w:rPr>
                        <w:t>3 months</w:t>
                      </w:r>
                    </w:p>
                    <w:p w14:paraId="10FECB4C" w14:textId="19D2E990" w:rsidR="00F827D4" w:rsidRPr="0092522B" w:rsidRDefault="00F827D4" w:rsidP="00F827D4">
                      <w:pPr>
                        <w:pStyle w:val="Header"/>
                        <w:tabs>
                          <w:tab w:val="clear" w:pos="4320"/>
                          <w:tab w:val="clear" w:pos="8640"/>
                        </w:tabs>
                        <w:spacing w:before="40"/>
                        <w:rPr>
                          <w:rFonts w:cs="Arial"/>
                        </w:rPr>
                      </w:pPr>
                      <w:r w:rsidRPr="0092522B">
                        <w:rPr>
                          <w:rFonts w:cs="Arial"/>
                        </w:rPr>
                        <w:t>Answer questions #1-</w:t>
                      </w:r>
                      <w:r w:rsidR="00EE7395">
                        <w:rPr>
                          <w:rFonts w:cs="Arial"/>
                        </w:rPr>
                        <w:t>2</w:t>
                      </w:r>
                      <w:r w:rsidRPr="0092522B">
                        <w:rPr>
                          <w:rFonts w:cs="Arial"/>
                        </w:rPr>
                        <w:t xml:space="preserve"> based on the staffing structure currently in place at the time that you submit this section of the Survey. The staffing structure should have been in place for at least the past 3 months and reflect the ordinary staffing structure for each applicable hospital outpatient department.</w:t>
                      </w:r>
                    </w:p>
                    <w:p w14:paraId="19C9E3BA" w14:textId="77777777" w:rsidR="00F827D4" w:rsidRPr="00357E20" w:rsidRDefault="00F827D4" w:rsidP="00F827D4">
                      <w:pPr>
                        <w:pStyle w:val="Header"/>
                        <w:tabs>
                          <w:tab w:val="clear" w:pos="4320"/>
                          <w:tab w:val="clear" w:pos="8640"/>
                        </w:tabs>
                        <w:rPr>
                          <w:rFonts w:cs="Arial"/>
                          <w:b/>
                        </w:rPr>
                      </w:pPr>
                    </w:p>
                    <w:p w14:paraId="14077751" w14:textId="7F77815C" w:rsidR="00F827D4" w:rsidRDefault="00F827D4" w:rsidP="00F827D4">
                      <w:r w:rsidRPr="0002601E">
                        <w:rPr>
                          <w:rFonts w:cs="Arial"/>
                          <w:sz w:val="16"/>
                          <w:szCs w:val="16"/>
                        </w:rPr>
                        <w:t xml:space="preserve">Note: As a reminder, the </w:t>
                      </w:r>
                      <w:hyperlink r:id="rId465" w:history="1">
                        <w:r w:rsidRPr="0002601E">
                          <w:rPr>
                            <w:rStyle w:val="Hyperlink"/>
                            <w:rFonts w:cs="Arial"/>
                            <w:sz w:val="16"/>
                            <w:szCs w:val="16"/>
                          </w:rPr>
                          <w:t>Corrections Period</w:t>
                        </w:r>
                      </w:hyperlink>
                      <w:r w:rsidRPr="0002601E">
                        <w:rPr>
                          <w:rFonts w:cs="Arial"/>
                          <w:sz w:val="16"/>
                          <w:szCs w:val="16"/>
                        </w:rPr>
                        <w:t xml:space="preserve"> (December 1-January 31) is reserved for corrections to previously submitted Surveys only. </w:t>
                      </w:r>
                      <w:r w:rsidRPr="0002601E">
                        <w:rPr>
                          <w:rFonts w:cs="Arial"/>
                          <w:bCs/>
                          <w:snapToGrid w:val="0"/>
                          <w:sz w:val="16"/>
                          <w:szCs w:val="16"/>
                        </w:rPr>
                        <w:t>Any updates made to reflect a change in performance must be made prior to the November 30 Late Submission and Performance Update Deadline. Updates made to reflect a change in performance after November 30 will not be scored or publicly reported.</w:t>
                      </w:r>
                    </w:p>
                  </w:txbxContent>
                </v:textbox>
                <w10:anchorlock/>
              </v:shape>
            </w:pict>
          </mc:Fallback>
        </mc:AlternateContent>
      </w:r>
    </w:p>
    <w:p w14:paraId="6F1BE3BC" w14:textId="77777777" w:rsidR="000F6B49" w:rsidRPr="00F827D4" w:rsidRDefault="000F6B49">
      <w:pPr>
        <w:rPr>
          <w:szCs w:val="24"/>
        </w:rPr>
      </w:pPr>
    </w:p>
    <w:tbl>
      <w:tblPr>
        <w:tblStyle w:val="TableGrid2"/>
        <w:tblW w:w="0" w:type="auto"/>
        <w:tblLook w:val="04A0" w:firstRow="1" w:lastRow="0" w:firstColumn="1" w:lastColumn="0" w:noHBand="0" w:noVBand="1"/>
      </w:tblPr>
      <w:tblGrid>
        <w:gridCol w:w="6835"/>
        <w:gridCol w:w="2515"/>
      </w:tblGrid>
      <w:tr w:rsidR="00A92537" w:rsidRPr="00A92537" w14:paraId="67402C29" w14:textId="77777777" w:rsidTr="00357E20">
        <w:trPr>
          <w:trHeight w:val="5040"/>
        </w:trPr>
        <w:tc>
          <w:tcPr>
            <w:tcW w:w="6835" w:type="dxa"/>
            <w:tcMar>
              <w:top w:w="72" w:type="dxa"/>
              <w:left w:w="115" w:type="dxa"/>
              <w:bottom w:w="72" w:type="dxa"/>
              <w:right w:w="115" w:type="dxa"/>
            </w:tcMar>
            <w:vAlign w:val="center"/>
          </w:tcPr>
          <w:p w14:paraId="70AC569F" w14:textId="2B4BF5EC" w:rsidR="001879BA" w:rsidRDefault="00A92537" w:rsidP="00AD309C">
            <w:pPr>
              <w:numPr>
                <w:ilvl w:val="0"/>
                <w:numId w:val="90"/>
              </w:numPr>
              <w:spacing w:after="160" w:line="276" w:lineRule="auto"/>
              <w:contextualSpacing/>
            </w:pPr>
            <w:r w:rsidRPr="00A92537">
              <w:t xml:space="preserve">Is there an </w:t>
            </w:r>
            <w:r w:rsidR="00F054C6">
              <w:t>Advanced Cardiovascular Life Support (</w:t>
            </w:r>
            <w:r w:rsidRPr="00A92537">
              <w:t>ACLS</w:t>
            </w:r>
            <w:r w:rsidR="00F054C6">
              <w:t>)</w:t>
            </w:r>
            <w:r w:rsidRPr="00A92537">
              <w:t xml:space="preserve"> trained </w:t>
            </w:r>
            <w:hyperlink w:anchor="clinicianendnote" w:history="1">
              <w:r w:rsidRPr="00203CF4">
                <w:rPr>
                  <w:rStyle w:val="Hyperlink"/>
                </w:rPr>
                <w:t>clinician</w:t>
              </w:r>
              <w:bookmarkStart w:id="731" w:name="_Ref529284687"/>
            </w:hyperlink>
            <w:bookmarkStart w:id="732" w:name="_Ref534380332"/>
            <w:r w:rsidR="000F0582">
              <w:rPr>
                <w:rStyle w:val="Hyperlink"/>
                <w:rFonts w:ascii="ZWAdobeF" w:hAnsi="ZWAdobeF" w:cs="ZWAdobeF"/>
                <w:color w:val="auto"/>
                <w:sz w:val="2"/>
                <w:szCs w:val="2"/>
                <w:u w:val="none"/>
              </w:rPr>
              <w:t>52F</w:t>
            </w:r>
            <w:r w:rsidR="00BF053F">
              <w:rPr>
                <w:rStyle w:val="Hyperlink"/>
                <w:rFonts w:ascii="ZWAdobeF" w:hAnsi="ZWAdobeF" w:cs="ZWAdobeF"/>
                <w:color w:val="auto"/>
                <w:sz w:val="2"/>
                <w:szCs w:val="2"/>
                <w:u w:val="none"/>
              </w:rPr>
              <w:t>54F</w:t>
            </w:r>
            <w:r w:rsidR="004C7557">
              <w:rPr>
                <w:rStyle w:val="Hyperlink"/>
                <w:rFonts w:ascii="ZWAdobeF" w:hAnsi="ZWAdobeF" w:cs="ZWAdobeF"/>
                <w:color w:val="auto"/>
                <w:sz w:val="2"/>
                <w:szCs w:val="2"/>
                <w:u w:val="none"/>
              </w:rPr>
              <w:t>54F</w:t>
            </w:r>
            <w:r w:rsidR="00C2087D">
              <w:rPr>
                <w:rStyle w:val="Hyperlink"/>
                <w:rFonts w:ascii="ZWAdobeF" w:hAnsi="ZWAdobeF" w:cs="ZWAdobeF"/>
                <w:color w:val="auto"/>
                <w:sz w:val="2"/>
                <w:szCs w:val="2"/>
                <w:u w:val="none"/>
              </w:rPr>
              <w:t>53F</w:t>
            </w:r>
            <w:r w:rsidR="00B55C41">
              <w:rPr>
                <w:rStyle w:val="Hyperlink"/>
                <w:rFonts w:ascii="ZWAdobeF" w:hAnsi="ZWAdobeF" w:cs="ZWAdobeF"/>
                <w:color w:val="auto"/>
                <w:sz w:val="2"/>
                <w:szCs w:val="2"/>
                <w:u w:val="none"/>
              </w:rPr>
              <w:t>53F</w:t>
            </w:r>
            <w:r w:rsidR="006255A6">
              <w:rPr>
                <w:rStyle w:val="Hyperlink"/>
                <w:rFonts w:ascii="ZWAdobeF" w:hAnsi="ZWAdobeF" w:cs="ZWAdobeF"/>
                <w:color w:val="auto"/>
                <w:sz w:val="2"/>
                <w:szCs w:val="2"/>
                <w:u w:val="none"/>
              </w:rPr>
              <w:t>53F</w:t>
            </w:r>
            <w:r w:rsidR="00E453C7">
              <w:rPr>
                <w:rStyle w:val="Hyperlink"/>
                <w:rFonts w:ascii="ZWAdobeF" w:hAnsi="ZWAdobeF" w:cs="ZWAdobeF"/>
                <w:color w:val="auto"/>
                <w:sz w:val="2"/>
                <w:szCs w:val="2"/>
                <w:u w:val="none"/>
              </w:rPr>
              <w:t>53F</w:t>
            </w:r>
            <w:r w:rsidR="00953060">
              <w:rPr>
                <w:rStyle w:val="Hyperlink"/>
                <w:rFonts w:ascii="ZWAdobeF" w:hAnsi="ZWAdobeF" w:cs="ZWAdobeF"/>
                <w:color w:val="auto"/>
                <w:sz w:val="2"/>
                <w:szCs w:val="2"/>
                <w:u w:val="none"/>
              </w:rPr>
              <w:t>53F</w:t>
            </w:r>
            <w:r w:rsidR="00DD04D6">
              <w:rPr>
                <w:rStyle w:val="Hyperlink"/>
                <w:rFonts w:ascii="ZWAdobeF" w:hAnsi="ZWAdobeF" w:cs="ZWAdobeF"/>
                <w:color w:val="auto"/>
                <w:sz w:val="2"/>
                <w:szCs w:val="2"/>
                <w:u w:val="none"/>
              </w:rPr>
              <w:t>53F</w:t>
            </w:r>
            <w:r w:rsidRPr="00A92537">
              <w:rPr>
                <w:vertAlign w:val="superscript"/>
              </w:rPr>
              <w:endnoteReference w:id="55"/>
            </w:r>
            <w:bookmarkEnd w:id="731"/>
            <w:bookmarkEnd w:id="732"/>
            <w:r w:rsidRPr="00A92537">
              <w:t>, as well as a</w:t>
            </w:r>
            <w:r w:rsidR="007F00A8">
              <w:t xml:space="preserve"> second</w:t>
            </w:r>
            <w:r w:rsidR="00026138">
              <w:t xml:space="preserve"> </w:t>
            </w:r>
            <w:hyperlink w:anchor="clinicianendnote" w:history="1">
              <w:r w:rsidR="00026138" w:rsidRPr="00026138">
                <w:rPr>
                  <w:rStyle w:val="Hyperlink"/>
                  <w:szCs w:val="20"/>
                </w:rPr>
                <w:t>clinic</w:t>
              </w:r>
              <w:r w:rsidR="00026138" w:rsidRPr="00026138">
                <w:rPr>
                  <w:rStyle w:val="Hyperlink"/>
                </w:rPr>
                <w:t>ian</w:t>
              </w:r>
            </w:hyperlink>
            <w:r w:rsidR="00026138" w:rsidRPr="00026138">
              <w:rPr>
                <w:vertAlign w:val="superscript"/>
              </w:rPr>
              <w:t>5</w:t>
            </w:r>
            <w:r w:rsidR="009826B3">
              <w:rPr>
                <w:vertAlign w:val="superscript"/>
              </w:rPr>
              <w:t>4</w:t>
            </w:r>
            <w:r w:rsidRPr="00A92537">
              <w:t xml:space="preserve"> (regardless of ACLS training), presen</w:t>
            </w:r>
            <w:r>
              <w:t xml:space="preserve">t at all times </w:t>
            </w:r>
            <w:r w:rsidR="00A62740">
              <w:t xml:space="preserve">and immediately available </w:t>
            </w:r>
            <w:r>
              <w:t xml:space="preserve">in the </w:t>
            </w:r>
            <w:r w:rsidR="00181955">
              <w:t>building</w:t>
            </w:r>
            <w:r w:rsidR="00A9568F" w:rsidRPr="00A92537">
              <w:t xml:space="preserve"> </w:t>
            </w:r>
            <w:r w:rsidRPr="00A92537">
              <w:t>while a</w:t>
            </w:r>
            <w:r w:rsidR="00A62740">
              <w:t>n adult</w:t>
            </w:r>
            <w:r w:rsidRPr="00A92537">
              <w:t xml:space="preserve"> patient </w:t>
            </w:r>
            <w:r w:rsidR="008E7151">
              <w:t>(13 years and older)</w:t>
            </w:r>
            <w:r w:rsidR="008E7151" w:rsidRPr="00A92537">
              <w:t xml:space="preserve"> </w:t>
            </w:r>
            <w:r w:rsidRPr="00A92537">
              <w:t xml:space="preserve">is </w:t>
            </w:r>
            <w:r w:rsidR="00ED0C79">
              <w:t xml:space="preserve">present in the </w:t>
            </w:r>
            <w:r w:rsidR="00181955">
              <w:t>hospital outpatient department</w:t>
            </w:r>
            <w:r w:rsidRPr="00A92537">
              <w:t>?</w:t>
            </w:r>
          </w:p>
          <w:p w14:paraId="1E841018" w14:textId="2347E922" w:rsidR="001879BA" w:rsidRPr="005E0B47" w:rsidRDefault="001879BA" w:rsidP="001879BA">
            <w:pPr>
              <w:spacing w:after="160" w:line="276" w:lineRule="auto"/>
              <w:ind w:left="360"/>
              <w:contextualSpacing/>
              <w:rPr>
                <w:sz w:val="16"/>
                <w:szCs w:val="20"/>
              </w:rPr>
            </w:pPr>
          </w:p>
          <w:p w14:paraId="18C7740D" w14:textId="781B08E3" w:rsidR="00181955" w:rsidRDefault="00181955" w:rsidP="001879BA">
            <w:pPr>
              <w:spacing w:after="160" w:line="276" w:lineRule="auto"/>
              <w:ind w:left="360"/>
              <w:contextualSpacing/>
              <w:rPr>
                <w:i/>
                <w:iCs/>
              </w:rPr>
            </w:pPr>
            <w:r w:rsidRPr="00181955">
              <w:rPr>
                <w:i/>
                <w:iCs/>
              </w:rPr>
              <w:t>Hospitals with more than one hospital outpatient department, including a</w:t>
            </w:r>
            <w:r w:rsidR="00E61B83">
              <w:rPr>
                <w:i/>
                <w:iCs/>
              </w:rPr>
              <w:t xml:space="preserve"> </w:t>
            </w:r>
            <w:r w:rsidRPr="00181955">
              <w:rPr>
                <w:i/>
                <w:iCs/>
              </w:rPr>
              <w:t xml:space="preserve">surgery center or </w:t>
            </w:r>
            <w:r w:rsidR="00507F26">
              <w:rPr>
                <w:i/>
                <w:iCs/>
              </w:rPr>
              <w:t>free-standing</w:t>
            </w:r>
            <w:r w:rsidRPr="00181955">
              <w:rPr>
                <w:i/>
                <w:iCs/>
              </w:rPr>
              <w:t xml:space="preserve"> hospital outpatient department, should respond based on the least intensively staffed </w:t>
            </w:r>
            <w:r w:rsidR="00F021CB">
              <w:rPr>
                <w:i/>
                <w:iCs/>
              </w:rPr>
              <w:t>location</w:t>
            </w:r>
            <w:r w:rsidRPr="00181955">
              <w:rPr>
                <w:i/>
                <w:iCs/>
              </w:rPr>
              <w:t>.</w:t>
            </w:r>
          </w:p>
          <w:p w14:paraId="4030F745" w14:textId="318AEB9B" w:rsidR="00CF7C5B" w:rsidRPr="005E0B47" w:rsidRDefault="00CF7C5B" w:rsidP="001879BA">
            <w:pPr>
              <w:spacing w:after="160" w:line="276" w:lineRule="auto"/>
              <w:ind w:left="360"/>
              <w:contextualSpacing/>
              <w:rPr>
                <w:i/>
                <w:iCs/>
                <w:sz w:val="16"/>
                <w:szCs w:val="20"/>
              </w:rPr>
            </w:pPr>
          </w:p>
          <w:p w14:paraId="397D7579" w14:textId="4E829804" w:rsidR="00CF7C5B" w:rsidRDefault="00CF7C5B" w:rsidP="00CF7C5B">
            <w:pPr>
              <w:spacing w:after="160" w:line="276" w:lineRule="auto"/>
              <w:ind w:left="360"/>
              <w:contextualSpacing/>
              <w:rPr>
                <w:i/>
                <w:iCs/>
              </w:rPr>
            </w:pPr>
            <w:r>
              <w:rPr>
                <w:i/>
                <w:iCs/>
              </w:rPr>
              <w:t xml:space="preserve">Hospitals should report on all hospital outpatient departments or areas of the hospital that perform the outpatient procedures listed in Section </w:t>
            </w:r>
            <w:r w:rsidR="002F3A65">
              <w:rPr>
                <w:i/>
                <w:iCs/>
              </w:rPr>
              <w:t>9</w:t>
            </w:r>
            <w:r>
              <w:rPr>
                <w:i/>
                <w:iCs/>
              </w:rPr>
              <w:t>C and that share the hospital’s license or CCN.</w:t>
            </w:r>
          </w:p>
          <w:p w14:paraId="1368ABDF" w14:textId="549D777A" w:rsidR="00B2256D" w:rsidRPr="005E0B47" w:rsidRDefault="00B2256D" w:rsidP="00CF7C5B">
            <w:pPr>
              <w:spacing w:after="160" w:line="276" w:lineRule="auto"/>
              <w:contextualSpacing/>
              <w:rPr>
                <w:i/>
                <w:sz w:val="16"/>
                <w:szCs w:val="20"/>
              </w:rPr>
            </w:pPr>
          </w:p>
          <w:p w14:paraId="4B6A3CB7" w14:textId="65EB7CC7" w:rsidR="00A92537" w:rsidRPr="001879BA" w:rsidRDefault="008E7151" w:rsidP="00A62740">
            <w:pPr>
              <w:spacing w:after="160" w:line="276" w:lineRule="auto"/>
              <w:ind w:left="360"/>
              <w:contextualSpacing/>
              <w:rPr>
                <w:i/>
              </w:rPr>
            </w:pPr>
            <w:r>
              <w:rPr>
                <w:i/>
                <w:iCs/>
              </w:rPr>
              <w:t>Hospitals that did not perform any applicable procedures on</w:t>
            </w:r>
            <w:r>
              <w:rPr>
                <w:i/>
              </w:rPr>
              <w:t xml:space="preserve"> patients 13 years </w:t>
            </w:r>
            <w:r w:rsidR="0062530A">
              <w:rPr>
                <w:i/>
              </w:rPr>
              <w:t xml:space="preserve">and </w:t>
            </w:r>
            <w:r>
              <w:rPr>
                <w:i/>
              </w:rPr>
              <w:t>old</w:t>
            </w:r>
            <w:r w:rsidR="0062530A">
              <w:rPr>
                <w:i/>
              </w:rPr>
              <w:t>er</w:t>
            </w:r>
            <w:r>
              <w:rPr>
                <w:i/>
              </w:rPr>
              <w:t xml:space="preserve"> during the reporting period should select “</w:t>
            </w:r>
            <w:r w:rsidR="00D47F64">
              <w:rPr>
                <w:i/>
              </w:rPr>
              <w:t>n</w:t>
            </w:r>
            <w:r>
              <w:rPr>
                <w:i/>
              </w:rPr>
              <w:t>ot applicable; pediatric patients only</w:t>
            </w:r>
            <w:r w:rsidR="00EE7395">
              <w:rPr>
                <w:i/>
              </w:rPr>
              <w:t>.</w:t>
            </w:r>
            <w:r>
              <w:rPr>
                <w:i/>
              </w:rPr>
              <w:t>”</w:t>
            </w:r>
            <w:r w:rsidR="00357E20">
              <w:rPr>
                <w:i/>
              </w:rPr>
              <w:t xml:space="preserve"> </w:t>
            </w:r>
            <w:r w:rsidR="00B2256D" w:rsidRPr="00B14E88">
              <w:rPr>
                <w:rFonts w:cs="Arial"/>
                <w:i/>
                <w:snapToGrid w:val="0"/>
                <w:color w:val="000000"/>
              </w:rPr>
              <w:t>The hospital will be scored as “Does Not Apply.”</w:t>
            </w:r>
          </w:p>
        </w:tc>
        <w:tc>
          <w:tcPr>
            <w:tcW w:w="2515" w:type="dxa"/>
            <w:tcMar>
              <w:top w:w="72" w:type="dxa"/>
              <w:left w:w="115" w:type="dxa"/>
              <w:bottom w:w="72" w:type="dxa"/>
              <w:right w:w="115" w:type="dxa"/>
            </w:tcMar>
            <w:vAlign w:val="center"/>
          </w:tcPr>
          <w:p w14:paraId="59A31EAE" w14:textId="1F4F37F3" w:rsidR="00A92537" w:rsidRPr="004F63C1" w:rsidRDefault="00A92537" w:rsidP="00AD309C">
            <w:pPr>
              <w:pStyle w:val="ListParagraph"/>
              <w:numPr>
                <w:ilvl w:val="0"/>
                <w:numId w:val="367"/>
              </w:numPr>
              <w:spacing w:line="276" w:lineRule="auto"/>
              <w:rPr>
                <w:iCs/>
              </w:rPr>
            </w:pPr>
            <w:r w:rsidRPr="004F63C1">
              <w:rPr>
                <w:iCs/>
              </w:rPr>
              <w:t>Yes</w:t>
            </w:r>
          </w:p>
          <w:p w14:paraId="6F3A8FA9" w14:textId="751B7B90" w:rsidR="00461EED" w:rsidRPr="004F63C1" w:rsidRDefault="00A92537" w:rsidP="00AD309C">
            <w:pPr>
              <w:pStyle w:val="ListParagraph"/>
              <w:numPr>
                <w:ilvl w:val="0"/>
                <w:numId w:val="367"/>
              </w:numPr>
              <w:spacing w:line="276" w:lineRule="auto"/>
              <w:rPr>
                <w:iCs/>
              </w:rPr>
            </w:pPr>
            <w:r w:rsidRPr="004F63C1">
              <w:rPr>
                <w:iCs/>
              </w:rPr>
              <w:t>No</w:t>
            </w:r>
          </w:p>
          <w:p w14:paraId="34A634B1" w14:textId="77777777" w:rsidR="00461EED" w:rsidRPr="006E0696" w:rsidRDefault="00461EED" w:rsidP="00AD309C">
            <w:pPr>
              <w:pStyle w:val="ListParagraph"/>
              <w:numPr>
                <w:ilvl w:val="0"/>
                <w:numId w:val="367"/>
              </w:numPr>
              <w:spacing w:line="276" w:lineRule="auto"/>
              <w:rPr>
                <w:iCs/>
              </w:rPr>
            </w:pPr>
            <w:r w:rsidRPr="004F63C1">
              <w:rPr>
                <w:iCs/>
              </w:rPr>
              <w:t>Not applicable; pediatric patients only</w:t>
            </w:r>
          </w:p>
        </w:tc>
      </w:tr>
      <w:tr w:rsidR="00A92537" w:rsidRPr="00A92537" w14:paraId="7D4EC7EB" w14:textId="77777777" w:rsidTr="00357E20">
        <w:trPr>
          <w:trHeight w:val="5040"/>
        </w:trPr>
        <w:tc>
          <w:tcPr>
            <w:tcW w:w="6835" w:type="dxa"/>
            <w:tcMar>
              <w:top w:w="72" w:type="dxa"/>
              <w:left w:w="115" w:type="dxa"/>
              <w:bottom w:w="72" w:type="dxa"/>
              <w:right w:w="115" w:type="dxa"/>
            </w:tcMar>
            <w:vAlign w:val="center"/>
          </w:tcPr>
          <w:p w14:paraId="777CFD36" w14:textId="76912943" w:rsidR="00A92537" w:rsidRPr="00A711A3" w:rsidRDefault="00A92537" w:rsidP="00AD309C">
            <w:pPr>
              <w:numPr>
                <w:ilvl w:val="0"/>
                <w:numId w:val="90"/>
              </w:numPr>
              <w:spacing w:line="276" w:lineRule="auto"/>
              <w:contextualSpacing/>
            </w:pPr>
            <w:r w:rsidRPr="00A92537">
              <w:lastRenderedPageBreak/>
              <w:t xml:space="preserve">Is there a </w:t>
            </w:r>
            <w:r w:rsidR="00793BC2">
              <w:t>Pediatric Advanced Life Support (</w:t>
            </w:r>
            <w:r w:rsidRPr="00A92537">
              <w:t>PALS</w:t>
            </w:r>
            <w:r w:rsidR="00793BC2">
              <w:t>)</w:t>
            </w:r>
            <w:r w:rsidRPr="00A92537">
              <w:t xml:space="preserve"> trained </w:t>
            </w:r>
            <w:hyperlink w:anchor="clinicianendnote" w:history="1">
              <w:r w:rsidRPr="00A424DD">
                <w:rPr>
                  <w:rStyle w:val="Hyperlink"/>
                </w:rPr>
                <w:t>clinician</w:t>
              </w:r>
            </w:hyperlink>
            <w:r w:rsidR="005B38C4" w:rsidRPr="005B38C4">
              <w:rPr>
                <w:vertAlign w:val="superscript"/>
              </w:rPr>
              <w:t>5</w:t>
            </w:r>
            <w:r w:rsidR="002740E6">
              <w:rPr>
                <w:vertAlign w:val="superscript"/>
              </w:rPr>
              <w:t>4</w:t>
            </w:r>
            <w:r w:rsidRPr="00A92537">
              <w:t>, as well as a</w:t>
            </w:r>
            <w:r w:rsidR="007F00A8">
              <w:t xml:space="preserve"> second</w:t>
            </w:r>
            <w:r w:rsidRPr="00A92537">
              <w:t xml:space="preserve"> </w:t>
            </w:r>
            <w:hyperlink w:anchor="clinicianendnote" w:history="1">
              <w:r w:rsidR="007F00A8" w:rsidRPr="00FF13AC">
                <w:rPr>
                  <w:rStyle w:val="Hyperlink"/>
                </w:rPr>
                <w:t>clinician</w:t>
              </w:r>
            </w:hyperlink>
            <w:r w:rsidR="005B38C4" w:rsidRPr="005B38C4">
              <w:rPr>
                <w:vertAlign w:val="superscript"/>
              </w:rPr>
              <w:t>5</w:t>
            </w:r>
            <w:r w:rsidR="002740E6">
              <w:rPr>
                <w:vertAlign w:val="superscript"/>
              </w:rPr>
              <w:t>4</w:t>
            </w:r>
            <w:r w:rsidR="007819B9" w:rsidRPr="00FF13AC">
              <w:t xml:space="preserve"> (regardless of PALS training)</w:t>
            </w:r>
            <w:r w:rsidR="007819B9">
              <w:t xml:space="preserve">, </w:t>
            </w:r>
            <w:r w:rsidRPr="00A92537">
              <w:t>present at all times</w:t>
            </w:r>
            <w:r w:rsidR="00F01E73">
              <w:t xml:space="preserve"> and immediately available</w:t>
            </w:r>
            <w:r w:rsidRPr="00A92537">
              <w:t xml:space="preserve"> in t</w:t>
            </w:r>
            <w:r>
              <w:t xml:space="preserve">he </w:t>
            </w:r>
            <w:r w:rsidR="00451BBA">
              <w:t>building</w:t>
            </w:r>
            <w:r w:rsidR="00793BC2" w:rsidRPr="00A711A3">
              <w:t xml:space="preserve"> </w:t>
            </w:r>
            <w:r w:rsidRPr="00A711A3">
              <w:t xml:space="preserve">while a </w:t>
            </w:r>
            <w:r w:rsidR="001C1A34" w:rsidRPr="00A711A3">
              <w:t xml:space="preserve">pediatric </w:t>
            </w:r>
            <w:r w:rsidRPr="00A711A3">
              <w:t>patient</w:t>
            </w:r>
            <w:r w:rsidR="00ED0C79">
              <w:t xml:space="preserve"> (infant through 12 years)</w:t>
            </w:r>
            <w:r w:rsidRPr="00A711A3">
              <w:t xml:space="preserve"> is </w:t>
            </w:r>
            <w:r w:rsidR="00ED0C79">
              <w:t xml:space="preserve">present in the </w:t>
            </w:r>
            <w:r w:rsidR="00451BBA">
              <w:t>hospital outpatient department</w:t>
            </w:r>
            <w:r w:rsidRPr="00A711A3">
              <w:t>?</w:t>
            </w:r>
          </w:p>
          <w:p w14:paraId="110AFC54" w14:textId="64EE0429" w:rsidR="001C1A34" w:rsidRDefault="001C1A34" w:rsidP="001C1A34">
            <w:pPr>
              <w:spacing w:line="276" w:lineRule="auto"/>
              <w:ind w:left="360"/>
              <w:contextualSpacing/>
            </w:pPr>
          </w:p>
          <w:p w14:paraId="3AC2D7FD" w14:textId="4B783E26" w:rsidR="00451BBA" w:rsidRDefault="00451BBA" w:rsidP="00451BBA">
            <w:pPr>
              <w:spacing w:after="160" w:line="276" w:lineRule="auto"/>
              <w:ind w:left="360"/>
              <w:contextualSpacing/>
              <w:rPr>
                <w:i/>
                <w:iCs/>
              </w:rPr>
            </w:pPr>
            <w:r w:rsidRPr="00181955">
              <w:rPr>
                <w:i/>
                <w:iCs/>
              </w:rPr>
              <w:t>Hospitals with more than one hospital outpatient department, including a</w:t>
            </w:r>
            <w:r>
              <w:rPr>
                <w:i/>
                <w:iCs/>
              </w:rPr>
              <w:t xml:space="preserve"> </w:t>
            </w:r>
            <w:r w:rsidRPr="00181955">
              <w:rPr>
                <w:i/>
                <w:iCs/>
              </w:rPr>
              <w:t xml:space="preserve">surgery center or </w:t>
            </w:r>
            <w:r w:rsidR="00507F26">
              <w:rPr>
                <w:i/>
                <w:iCs/>
              </w:rPr>
              <w:t>free-standing</w:t>
            </w:r>
            <w:r w:rsidRPr="00181955">
              <w:rPr>
                <w:i/>
                <w:iCs/>
              </w:rPr>
              <w:t xml:space="preserve"> hospital outpatient department, should respond based on the least intensively staffed </w:t>
            </w:r>
            <w:r w:rsidR="00F021CB">
              <w:rPr>
                <w:i/>
                <w:iCs/>
              </w:rPr>
              <w:t>location</w:t>
            </w:r>
            <w:r w:rsidRPr="00181955">
              <w:rPr>
                <w:i/>
                <w:iCs/>
              </w:rPr>
              <w:t>.</w:t>
            </w:r>
          </w:p>
          <w:p w14:paraId="1A228E89" w14:textId="77777777" w:rsidR="00451BBA" w:rsidRPr="00A711A3" w:rsidRDefault="00451BBA" w:rsidP="001C1A34">
            <w:pPr>
              <w:spacing w:line="276" w:lineRule="auto"/>
              <w:ind w:left="360"/>
              <w:contextualSpacing/>
            </w:pPr>
          </w:p>
          <w:p w14:paraId="39A1C88A" w14:textId="63459721" w:rsidR="00CD0E49" w:rsidRDefault="00CD0E49" w:rsidP="00CD0E49">
            <w:pPr>
              <w:spacing w:after="160" w:line="276" w:lineRule="auto"/>
              <w:ind w:left="360"/>
              <w:contextualSpacing/>
              <w:rPr>
                <w:i/>
                <w:iCs/>
              </w:rPr>
            </w:pPr>
            <w:r>
              <w:rPr>
                <w:i/>
                <w:iCs/>
              </w:rPr>
              <w:t xml:space="preserve">Hospitals should report on all hospital outpatient departments or areas of the hospital that perform the outpatient procedures listed in Section </w:t>
            </w:r>
            <w:r w:rsidR="002F3A65">
              <w:rPr>
                <w:i/>
                <w:iCs/>
              </w:rPr>
              <w:t>9</w:t>
            </w:r>
            <w:r>
              <w:rPr>
                <w:i/>
                <w:iCs/>
              </w:rPr>
              <w:t>C and that share the hospital’s license or CCN.</w:t>
            </w:r>
          </w:p>
          <w:p w14:paraId="37912E00" w14:textId="77777777" w:rsidR="003C56C1" w:rsidRDefault="003C56C1" w:rsidP="00F01E73">
            <w:pPr>
              <w:spacing w:line="276" w:lineRule="auto"/>
              <w:ind w:left="360"/>
              <w:contextualSpacing/>
              <w:rPr>
                <w:i/>
              </w:rPr>
            </w:pPr>
          </w:p>
          <w:p w14:paraId="6D7ED1CB" w14:textId="6C8221CB" w:rsidR="001C1A34" w:rsidRPr="001C1A34" w:rsidRDefault="00CA6E55" w:rsidP="00F01E73">
            <w:pPr>
              <w:spacing w:line="276" w:lineRule="auto"/>
              <w:ind w:left="360"/>
              <w:contextualSpacing/>
              <w:rPr>
                <w:i/>
              </w:rPr>
            </w:pPr>
            <w:r>
              <w:rPr>
                <w:i/>
                <w:iCs/>
              </w:rPr>
              <w:t xml:space="preserve">Hospitals </w:t>
            </w:r>
            <w:r w:rsidRPr="00E4578D">
              <w:rPr>
                <w:i/>
                <w:iCs/>
              </w:rPr>
              <w:t>that do not care for pediatric patients should select “</w:t>
            </w:r>
            <w:r w:rsidR="00D47F64">
              <w:rPr>
                <w:i/>
                <w:iCs/>
              </w:rPr>
              <w:t>n</w:t>
            </w:r>
            <w:r w:rsidRPr="00E4578D">
              <w:rPr>
                <w:i/>
                <w:iCs/>
              </w:rPr>
              <w:t xml:space="preserve">ot </w:t>
            </w:r>
            <w:r w:rsidR="00D47F64">
              <w:rPr>
                <w:i/>
                <w:iCs/>
              </w:rPr>
              <w:t>a</w:t>
            </w:r>
            <w:r w:rsidRPr="00E4578D">
              <w:rPr>
                <w:i/>
                <w:iCs/>
              </w:rPr>
              <w:t>pplicable; adult patients only” and hospitals that only performed applicable pediatric procedures on pediatric patients 13 years and older during the reporting period should select “</w:t>
            </w:r>
            <w:r w:rsidR="00D47F64">
              <w:rPr>
                <w:i/>
                <w:iCs/>
              </w:rPr>
              <w:t>n</w:t>
            </w:r>
            <w:r w:rsidRPr="00E4578D">
              <w:rPr>
                <w:i/>
                <w:iCs/>
              </w:rPr>
              <w:t xml:space="preserve">ot applicable; pediatric patients are all aged 13-17,” regardless of the presence of clinicians trained in PALS. </w:t>
            </w:r>
            <w:r w:rsidR="00B2256D" w:rsidRPr="00B14E88">
              <w:rPr>
                <w:rFonts w:cs="Arial"/>
                <w:i/>
                <w:snapToGrid w:val="0"/>
                <w:color w:val="000000"/>
              </w:rPr>
              <w:t>The hospital will be scored as “Does Not Apply.”</w:t>
            </w:r>
          </w:p>
        </w:tc>
        <w:tc>
          <w:tcPr>
            <w:tcW w:w="2515" w:type="dxa"/>
            <w:tcMar>
              <w:top w:w="72" w:type="dxa"/>
              <w:left w:w="115" w:type="dxa"/>
              <w:bottom w:w="72" w:type="dxa"/>
              <w:right w:w="115" w:type="dxa"/>
            </w:tcMar>
            <w:vAlign w:val="center"/>
          </w:tcPr>
          <w:p w14:paraId="7181ED93" w14:textId="392A033E" w:rsidR="00A92537" w:rsidRPr="006E0696" w:rsidRDefault="00A92537" w:rsidP="00AD309C">
            <w:pPr>
              <w:pStyle w:val="ListParagraph"/>
              <w:numPr>
                <w:ilvl w:val="0"/>
                <w:numId w:val="368"/>
              </w:numPr>
              <w:spacing w:line="276" w:lineRule="auto"/>
              <w:rPr>
                <w:iCs/>
              </w:rPr>
            </w:pPr>
            <w:r w:rsidRPr="006E0696">
              <w:rPr>
                <w:iCs/>
              </w:rPr>
              <w:t>Yes</w:t>
            </w:r>
          </w:p>
          <w:p w14:paraId="0517EC56" w14:textId="7BFA55C7" w:rsidR="001C1A34" w:rsidRPr="006E0696" w:rsidRDefault="00A92537" w:rsidP="00AD309C">
            <w:pPr>
              <w:pStyle w:val="ListParagraph"/>
              <w:numPr>
                <w:ilvl w:val="0"/>
                <w:numId w:val="368"/>
              </w:numPr>
              <w:spacing w:line="276" w:lineRule="auto"/>
              <w:rPr>
                <w:iCs/>
              </w:rPr>
            </w:pPr>
            <w:r w:rsidRPr="006E0696">
              <w:rPr>
                <w:iCs/>
              </w:rPr>
              <w:t>No</w:t>
            </w:r>
          </w:p>
          <w:p w14:paraId="5D5057D7" w14:textId="77777777" w:rsidR="001C1A34" w:rsidRDefault="001C1A34" w:rsidP="00AD309C">
            <w:pPr>
              <w:pStyle w:val="ListParagraph"/>
              <w:numPr>
                <w:ilvl w:val="0"/>
                <w:numId w:val="368"/>
              </w:numPr>
              <w:spacing w:line="276" w:lineRule="auto"/>
              <w:rPr>
                <w:iCs/>
              </w:rPr>
            </w:pPr>
            <w:r w:rsidRPr="006E0696">
              <w:rPr>
                <w:iCs/>
              </w:rPr>
              <w:t>Not applicable; adult patients only</w:t>
            </w:r>
          </w:p>
          <w:p w14:paraId="01D2568B" w14:textId="5FBE6C88" w:rsidR="00B26BB4" w:rsidRPr="006E0696" w:rsidRDefault="00B26BB4" w:rsidP="00AD309C">
            <w:pPr>
              <w:pStyle w:val="ListParagraph"/>
              <w:numPr>
                <w:ilvl w:val="0"/>
                <w:numId w:val="368"/>
              </w:numPr>
              <w:spacing w:line="276" w:lineRule="auto"/>
              <w:rPr>
                <w:iCs/>
              </w:rPr>
            </w:pPr>
            <w:r w:rsidRPr="00E4578D">
              <w:rPr>
                <w:iCs/>
              </w:rPr>
              <w:t>Not applicable; pediatric patients are all aged 13-17</w:t>
            </w:r>
          </w:p>
        </w:tc>
      </w:tr>
    </w:tbl>
    <w:p w14:paraId="7C3D9F65" w14:textId="77777777" w:rsidR="00461EED" w:rsidRDefault="00461EED">
      <w:r>
        <w:rPr>
          <w:b/>
        </w:rPr>
        <w:br w:type="page"/>
      </w:r>
    </w:p>
    <w:p w14:paraId="216B87AF" w14:textId="036F5277" w:rsidR="00804EE5" w:rsidRDefault="002F3A65" w:rsidP="00CF5A6E">
      <w:pPr>
        <w:pStyle w:val="Heading2"/>
      </w:pPr>
      <w:bookmarkStart w:id="734" w:name="_Toc225877836"/>
      <w:r>
        <w:lastRenderedPageBreak/>
        <w:t>9C: Volume of Procedures</w:t>
      </w:r>
      <w:r w:rsidR="00BF1A6A">
        <w:t xml:space="preserve"> (Optional)</w:t>
      </w:r>
      <w:bookmarkEnd w:id="734"/>
    </w:p>
    <w:p w14:paraId="7640BCAF" w14:textId="77777777" w:rsidR="002F3A65" w:rsidRPr="00245AFD" w:rsidRDefault="002F3A65" w:rsidP="007C5AC4">
      <w:pPr>
        <w:pStyle w:val="BodyText3"/>
        <w:rPr>
          <w:rFonts w:cs="Arial"/>
          <w:b/>
          <w:color w:val="FF0000"/>
        </w:rPr>
      </w:pPr>
    </w:p>
    <w:p w14:paraId="0F40824F" w14:textId="042AA89F" w:rsidR="00D3503C" w:rsidRDefault="00D3503C" w:rsidP="00D3503C">
      <w:pPr>
        <w:rPr>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66" w:history="1">
        <w:r w:rsidRPr="009A5185">
          <w:rPr>
            <w:rStyle w:val="Hyperlink"/>
            <w:rFonts w:cs="Arial"/>
            <w:snapToGrid w:val="0"/>
          </w:rPr>
          <w:t>Leapfrog’s Multi-Campus Reporting Policy</w:t>
        </w:r>
      </w:hyperlink>
      <w:r w:rsidRPr="009A5185">
        <w:rPr>
          <w:rFonts w:cs="Arial"/>
          <w:snapToGrid w:val="0"/>
        </w:rPr>
        <w:t>.</w:t>
      </w:r>
    </w:p>
    <w:p w14:paraId="51AE9C41" w14:textId="77777777" w:rsidR="00D3503C" w:rsidRPr="00245AFD" w:rsidRDefault="00D3503C" w:rsidP="007C5AC4">
      <w:pPr>
        <w:pStyle w:val="BodyText3"/>
        <w:rPr>
          <w:rFonts w:cs="Arial"/>
          <w:b/>
          <w:color w:val="FF0000"/>
        </w:rPr>
      </w:pPr>
    </w:p>
    <w:p w14:paraId="35410FA7" w14:textId="77777777" w:rsidR="007C5AC4" w:rsidRPr="009A5185" w:rsidRDefault="007C5AC4" w:rsidP="007C5AC4">
      <w:pPr>
        <w:pStyle w:val="BodyText3"/>
        <w:rPr>
          <w:rFonts w:cs="Arial"/>
          <w:b/>
          <w:color w:val="FF0000"/>
        </w:rPr>
      </w:pPr>
      <w:r w:rsidRPr="009A5185">
        <w:rPr>
          <w:rFonts w:cs="Arial"/>
          <w:b/>
          <w:color w:val="FF0000"/>
        </w:rPr>
        <w:t>Important Notes:</w:t>
      </w:r>
    </w:p>
    <w:p w14:paraId="1C0253A9" w14:textId="77777777" w:rsidR="007C5AC4" w:rsidRPr="00245AFD" w:rsidRDefault="007C5AC4" w:rsidP="007C5AC4">
      <w:pPr>
        <w:pStyle w:val="BodyText3"/>
        <w:rPr>
          <w:rFonts w:cs="Arial"/>
          <w:b/>
          <w:color w:val="FF0000"/>
        </w:rPr>
      </w:pPr>
    </w:p>
    <w:p w14:paraId="77C34941" w14:textId="2B825A32" w:rsidR="003023AB" w:rsidRPr="00D51874" w:rsidRDefault="00DA07D2" w:rsidP="003023AB">
      <w:pPr>
        <w:rPr>
          <w:rFonts w:cs="Arial"/>
          <w:lang w:eastAsia="ja-JP"/>
        </w:rPr>
      </w:pPr>
      <w:r w:rsidRPr="00D25C4F">
        <w:rPr>
          <w:rFonts w:cs="Arial"/>
          <w:lang w:eastAsia="ja-JP"/>
        </w:rPr>
        <w:t xml:space="preserve">Note </w:t>
      </w:r>
      <w:r>
        <w:rPr>
          <w:rFonts w:cs="Arial"/>
          <w:lang w:eastAsia="ja-JP"/>
        </w:rPr>
        <w:t>1</w:t>
      </w:r>
      <w:r w:rsidRPr="00D25C4F">
        <w:rPr>
          <w:rFonts w:cs="Arial"/>
          <w:lang w:eastAsia="ja-JP"/>
        </w:rPr>
        <w:t xml:space="preserve">: </w:t>
      </w:r>
      <w:r w:rsidR="003023AB" w:rsidRPr="00D51874">
        <w:rPr>
          <w:rFonts w:cs="Arial"/>
          <w:lang w:eastAsia="ja-JP"/>
        </w:rPr>
        <w:t xml:space="preserve">CPT Codes are provided in downloadable </w:t>
      </w:r>
      <w:r w:rsidR="00E51CC3">
        <w:rPr>
          <w:rFonts w:cs="Arial"/>
          <w:lang w:eastAsia="ja-JP"/>
        </w:rPr>
        <w:t>E</w:t>
      </w:r>
      <w:r w:rsidR="003023AB" w:rsidRPr="00D51874">
        <w:rPr>
          <w:rFonts w:cs="Arial"/>
          <w:lang w:eastAsia="ja-JP"/>
        </w:rPr>
        <w:t xml:space="preserve">xcel files </w:t>
      </w:r>
      <w:r w:rsidR="003023AB">
        <w:rPr>
          <w:rFonts w:cs="Arial"/>
          <w:lang w:eastAsia="ja-JP"/>
        </w:rPr>
        <w:t>on the Survey Dashboard</w:t>
      </w:r>
      <w:r w:rsidR="003023AB" w:rsidRPr="00D51874">
        <w:rPr>
          <w:rFonts w:cs="Arial"/>
          <w:lang w:eastAsia="ja-JP"/>
        </w:rPr>
        <w:t xml:space="preserve">. To access the files, click the CPT Code Workbook button </w:t>
      </w:r>
      <w:r w:rsidR="003023AB" w:rsidRPr="00D51874">
        <w:rPr>
          <w:rStyle w:val="Hyperlink"/>
          <w:rFonts w:cs="Arial"/>
          <w:color w:val="auto"/>
          <w:u w:val="none"/>
          <w:lang w:eastAsia="ja-JP"/>
        </w:rPr>
        <w:t>next to Section 9</w:t>
      </w:r>
      <w:r w:rsidR="003023AB">
        <w:rPr>
          <w:rStyle w:val="Hyperlink"/>
          <w:rFonts w:cs="Arial"/>
          <w:color w:val="auto"/>
          <w:u w:val="none"/>
          <w:lang w:eastAsia="ja-JP"/>
        </w:rPr>
        <w:t>.</w:t>
      </w:r>
      <w:r w:rsidR="003023AB" w:rsidRPr="00D51874">
        <w:rPr>
          <w:rStyle w:val="Hyperlink"/>
          <w:rFonts w:cs="Arial"/>
          <w:color w:val="auto"/>
          <w:u w:val="none"/>
          <w:lang w:eastAsia="ja-JP"/>
        </w:rPr>
        <w:t xml:space="preserve"> </w:t>
      </w:r>
      <w:r w:rsidR="003023AB">
        <w:rPr>
          <w:rFonts w:cs="Arial"/>
          <w:lang w:eastAsia="ja-JP"/>
        </w:rPr>
        <w:t>Y</w:t>
      </w:r>
      <w:r w:rsidR="003023AB" w:rsidRPr="00D51874">
        <w:rPr>
          <w:rFonts w:cs="Arial"/>
          <w:lang w:eastAsia="ja-JP"/>
        </w:rPr>
        <w:t>ou will be required to complete the American Medical Association’s Terms of Use</w:t>
      </w:r>
      <w:r w:rsidR="003023AB" w:rsidRPr="00D51874">
        <w:rPr>
          <w:lang w:eastAsia="ja-JP"/>
        </w:rPr>
        <w:t xml:space="preserve"> before downloading the </w:t>
      </w:r>
      <w:r w:rsidR="00E51CC3">
        <w:rPr>
          <w:lang w:eastAsia="ja-JP"/>
        </w:rPr>
        <w:t>E</w:t>
      </w:r>
      <w:r w:rsidR="003023AB" w:rsidRPr="00D51874">
        <w:rPr>
          <w:lang w:eastAsia="ja-JP"/>
        </w:rPr>
        <w:t xml:space="preserve">xcel file and using the individual CPT codes to query </w:t>
      </w:r>
      <w:r w:rsidR="003023AB">
        <w:rPr>
          <w:lang w:eastAsia="ja-JP"/>
        </w:rPr>
        <w:t xml:space="preserve">your </w:t>
      </w:r>
      <w:r w:rsidR="003023AB" w:rsidRPr="00D51874">
        <w:rPr>
          <w:lang w:eastAsia="ja-JP"/>
        </w:rPr>
        <w:t xml:space="preserve">EHR or billing system. </w:t>
      </w:r>
      <w:r w:rsidR="003023AB" w:rsidRPr="00D51874">
        <w:rPr>
          <w:rFonts w:cs="Arial"/>
          <w:lang w:eastAsia="ja-JP"/>
        </w:rPr>
        <w:t xml:space="preserve">You are only required to complete the Terms of Use once per Survey Cycle (April 1 – November 30). </w:t>
      </w:r>
    </w:p>
    <w:p w14:paraId="19DE41D8" w14:textId="77777777" w:rsidR="003023AB" w:rsidRPr="00D51874" w:rsidRDefault="003023AB" w:rsidP="003023AB">
      <w:pPr>
        <w:rPr>
          <w:rFonts w:cs="Arial"/>
          <w:lang w:eastAsia="ja-JP"/>
        </w:rPr>
      </w:pPr>
    </w:p>
    <w:p w14:paraId="50C172FA" w14:textId="31011B97" w:rsidR="00DA07D2" w:rsidRDefault="003023AB" w:rsidP="00FB41BD">
      <w:pPr>
        <w:rPr>
          <w:rFonts w:cs="Arial"/>
          <w:lang w:eastAsia="ja-JP"/>
        </w:rPr>
      </w:pPr>
      <w:r>
        <w:rPr>
          <w:rFonts w:cs="Arial"/>
          <w:lang w:eastAsia="ja-JP"/>
        </w:rPr>
        <w:t xml:space="preserve">The </w:t>
      </w:r>
      <w:r w:rsidRPr="00D51874">
        <w:rPr>
          <w:rFonts w:cs="Arial"/>
          <w:lang w:eastAsia="ja-JP"/>
        </w:rPr>
        <w:t>CPT Code Workbook</w:t>
      </w:r>
      <w:r>
        <w:rPr>
          <w:rFonts w:cs="Arial"/>
          <w:lang w:eastAsia="ja-JP"/>
        </w:rPr>
        <w:t>s</w:t>
      </w:r>
      <w:r w:rsidRPr="00D51874">
        <w:rPr>
          <w:rFonts w:cs="Arial"/>
          <w:lang w:eastAsia="ja-JP"/>
        </w:rPr>
        <w:t xml:space="preserve"> (</w:t>
      </w:r>
      <w:r w:rsidR="00E51CC3">
        <w:rPr>
          <w:rFonts w:cs="Arial"/>
          <w:lang w:eastAsia="ja-JP"/>
        </w:rPr>
        <w:t>E</w:t>
      </w:r>
      <w:r w:rsidRPr="00D51874">
        <w:rPr>
          <w:rFonts w:cs="Arial"/>
          <w:lang w:eastAsia="ja-JP"/>
        </w:rPr>
        <w:t>xcel file</w:t>
      </w:r>
      <w:r>
        <w:rPr>
          <w:rFonts w:cs="Arial"/>
          <w:lang w:eastAsia="ja-JP"/>
        </w:rPr>
        <w:t>s</w:t>
      </w:r>
      <w:r w:rsidRPr="00D51874">
        <w:rPr>
          <w:rFonts w:cs="Arial"/>
          <w:lang w:eastAsia="ja-JP"/>
        </w:rPr>
        <w:t xml:space="preserve">) are labeled </w:t>
      </w:r>
      <w:r>
        <w:rPr>
          <w:rFonts w:cs="Arial"/>
          <w:lang w:eastAsia="ja-JP"/>
        </w:rPr>
        <w:t xml:space="preserve">for </w:t>
      </w:r>
      <w:r w:rsidRPr="00D51874">
        <w:rPr>
          <w:rFonts w:cs="Arial"/>
          <w:lang w:eastAsia="ja-JP"/>
        </w:rPr>
        <w:t xml:space="preserve">Section 3A: Total Hip Replacement, Total Knee Replacement, and Bariatric Surgery for Weight Loss and Section 9C: Volume of Procedures. </w:t>
      </w:r>
      <w:r w:rsidR="00FB41BD" w:rsidRPr="00D51874">
        <w:rPr>
          <w:rFonts w:cs="Arial"/>
          <w:lang w:eastAsia="ja-JP"/>
        </w:rPr>
        <w:t>Please note</w:t>
      </w:r>
      <w:r w:rsidR="00FB41BD">
        <w:rPr>
          <w:rFonts w:cs="Arial"/>
          <w:lang w:eastAsia="ja-JP"/>
        </w:rPr>
        <w:t>, i</w:t>
      </w:r>
      <w:r w:rsidR="00FB41BD" w:rsidRPr="00FB41BD">
        <w:rPr>
          <w:rFonts w:cs="Arial"/>
          <w:lang w:eastAsia="ja-JP"/>
        </w:rPr>
        <w:t>f you are part of a hospital system, each hospital will need to complete the Terms of Use. This is a requirement of the American Medical Association.</w:t>
      </w:r>
    </w:p>
    <w:p w14:paraId="276A8C13" w14:textId="77777777" w:rsidR="00FB41BD" w:rsidRPr="003C56C1" w:rsidRDefault="00FB41BD" w:rsidP="00FB41BD">
      <w:pPr>
        <w:rPr>
          <w:rFonts w:cs="Arial"/>
        </w:rPr>
      </w:pPr>
    </w:p>
    <w:p w14:paraId="3FD9EBBA" w14:textId="353626BF" w:rsidR="007C5AC4" w:rsidRDefault="007C5AC4" w:rsidP="00D84506">
      <w:pPr>
        <w:pStyle w:val="BodyText3"/>
        <w:rPr>
          <w:rFonts w:cs="Arial"/>
          <w:color w:val="auto"/>
        </w:rPr>
      </w:pPr>
      <w:r w:rsidRPr="009A5185">
        <w:rPr>
          <w:rFonts w:cs="Arial"/>
          <w:color w:val="auto"/>
        </w:rPr>
        <w:t xml:space="preserve">Note </w:t>
      </w:r>
      <w:r w:rsidR="003C56C1">
        <w:rPr>
          <w:rFonts w:cs="Arial"/>
          <w:color w:val="auto"/>
        </w:rPr>
        <w:t>2</w:t>
      </w:r>
      <w:r w:rsidRPr="009A5185">
        <w:rPr>
          <w:rFonts w:cs="Arial"/>
          <w:color w:val="auto"/>
        </w:rPr>
        <w:t xml:space="preserve">: </w:t>
      </w:r>
      <w:r w:rsidR="00590A28">
        <w:rPr>
          <w:rFonts w:cs="Arial"/>
          <w:color w:val="auto"/>
        </w:rPr>
        <w:t>This subsection</w:t>
      </w:r>
      <w:r w:rsidR="00206A52">
        <w:rPr>
          <w:rFonts w:cs="Arial"/>
          <w:color w:val="auto"/>
        </w:rPr>
        <w:t xml:space="preserve"> is optional and</w:t>
      </w:r>
      <w:r w:rsidR="00D84506" w:rsidRPr="00D84506">
        <w:rPr>
          <w:rFonts w:cs="Arial"/>
          <w:color w:val="auto"/>
        </w:rPr>
        <w:t xml:space="preserve"> will not be scored but will be used in public reporting to inform purchasers and consumers about the </w:t>
      </w:r>
      <w:r w:rsidR="00796A12">
        <w:rPr>
          <w:rFonts w:cs="Arial"/>
          <w:color w:val="auto"/>
        </w:rPr>
        <w:t>hospital’</w:t>
      </w:r>
      <w:r w:rsidR="00D84506" w:rsidRPr="00D84506">
        <w:rPr>
          <w:rFonts w:cs="Arial"/>
          <w:color w:val="auto"/>
        </w:rPr>
        <w:t>s experience with the procedure.</w:t>
      </w:r>
    </w:p>
    <w:p w14:paraId="087C587F" w14:textId="77777777" w:rsidR="00014A06" w:rsidRPr="00245AFD" w:rsidRDefault="00014A06" w:rsidP="00D84506">
      <w:pPr>
        <w:pStyle w:val="BodyText3"/>
        <w:rPr>
          <w:rFonts w:cs="Arial"/>
          <w:snapToGrid w:val="0"/>
        </w:rPr>
      </w:pPr>
    </w:p>
    <w:p w14:paraId="1E911330" w14:textId="00ADB2F1" w:rsidR="00753419" w:rsidRDefault="00A54CE4" w:rsidP="00B105E4">
      <w:pPr>
        <w:rPr>
          <w:rFonts w:cs="Arial"/>
          <w:snapToGrid w:val="0"/>
        </w:rPr>
      </w:pPr>
      <w:r>
        <w:rPr>
          <w:rFonts w:cs="Arial"/>
          <w:snapToGrid w:val="0"/>
        </w:rPr>
        <w:t xml:space="preserve">Note </w:t>
      </w:r>
      <w:r w:rsidR="00A0632A">
        <w:rPr>
          <w:rFonts w:cs="Arial"/>
          <w:snapToGrid w:val="0"/>
        </w:rPr>
        <w:t>3</w:t>
      </w:r>
      <w:r>
        <w:rPr>
          <w:rFonts w:cs="Arial"/>
          <w:snapToGrid w:val="0"/>
        </w:rPr>
        <w:t>:</w:t>
      </w:r>
      <w:r w:rsidR="00063C35" w:rsidRPr="00063C35">
        <w:rPr>
          <w:rFonts w:cs="Arial"/>
        </w:rPr>
        <w:t xml:space="preserve"> </w:t>
      </w:r>
      <w:r w:rsidR="003F6DF1">
        <w:rPr>
          <w:rFonts w:cs="Arial"/>
        </w:rPr>
        <w:t xml:space="preserve">The term “hospital outpatient department” is used to refer to all hospital outpatient departments or areas of the hospital, including areas that are used for </w:t>
      </w:r>
      <w:r w:rsidR="003F6DF1">
        <w:rPr>
          <w:rFonts w:cs="Arial"/>
          <w:b/>
          <w:bCs/>
        </w:rPr>
        <w:t xml:space="preserve">both </w:t>
      </w:r>
      <w:r w:rsidR="003F6DF1">
        <w:rPr>
          <w:rFonts w:cs="Arial"/>
        </w:rPr>
        <w:t xml:space="preserve">inpatient and outpatient procedures, that perform the outpatient procedures listed in Section 9C and that share your hospital’s license or CMS Certification Number (CCN). This would include, but is not limited to surgery centers, free-standing hospital outpatient departments, as well as outpatient departments that are located in your hospital or are </w:t>
      </w:r>
      <w:hyperlink w:anchor="Endnote19_ColocatedNICU" w:history="1">
        <w:r w:rsidR="003F6DF1" w:rsidRPr="005C395A">
          <w:rPr>
            <w:rStyle w:val="Hyperlink"/>
          </w:rPr>
          <w:t>co-located</w:t>
        </w:r>
      </w:hyperlink>
      <w:r w:rsidR="003E5A10">
        <w:fldChar w:fldCharType="begin"/>
      </w:r>
      <w:r w:rsidR="003E5A10">
        <w:rPr>
          <w:rStyle w:val="Hyperlink"/>
        </w:rPr>
        <w:instrText xml:space="preserve"> NOTEREF _Ref134616250 \f \h </w:instrText>
      </w:r>
      <w:r w:rsidR="003E5A10">
        <w:fldChar w:fldCharType="separate"/>
      </w:r>
      <w:r w:rsidR="007D53A2" w:rsidRPr="00E362A3">
        <w:rPr>
          <w:rStyle w:val="EndnoteReference"/>
        </w:rPr>
        <w:t>31</w:t>
      </w:r>
      <w:r w:rsidR="003E5A10">
        <w:fldChar w:fldCharType="end"/>
      </w:r>
      <w:r w:rsidR="003F6DF1">
        <w:rPr>
          <w:rFonts w:cs="Arial"/>
        </w:rPr>
        <w:t xml:space="preserve"> with your hospital. Hospitals should only include hospital outpatient departments or areas of the hospital that perform the procedures listed in Section 9C in an </w:t>
      </w:r>
      <w:hyperlink w:anchor="Endnote49_OR" w:history="1">
        <w:r w:rsidR="003F6DF1" w:rsidRPr="00A879E1">
          <w:rPr>
            <w:rStyle w:val="Hyperlink"/>
          </w:rPr>
          <w:t>operating room</w:t>
        </w:r>
      </w:hyperlink>
      <w:r w:rsidR="003F6DF1">
        <w:rPr>
          <w:vertAlign w:val="superscript"/>
        </w:rPr>
        <w:fldChar w:fldCharType="begin"/>
      </w:r>
      <w:r w:rsidR="003F6DF1">
        <w:instrText xml:space="preserve"> NOTEREF _Ref534299024 \f \h </w:instrText>
      </w:r>
      <w:r w:rsidR="003F6DF1">
        <w:rPr>
          <w:vertAlign w:val="superscript"/>
        </w:rPr>
      </w:r>
      <w:r w:rsidR="003F6DF1">
        <w:rPr>
          <w:vertAlign w:val="superscript"/>
        </w:rPr>
        <w:fldChar w:fldCharType="separate"/>
      </w:r>
      <w:r w:rsidR="007D53A2" w:rsidRPr="00E362A3">
        <w:rPr>
          <w:rStyle w:val="EndnoteReference"/>
        </w:rPr>
        <w:t>52</w:t>
      </w:r>
      <w:r w:rsidR="003F6DF1">
        <w:rPr>
          <w:vertAlign w:val="superscript"/>
        </w:rPr>
        <w:fldChar w:fldCharType="end"/>
      </w:r>
      <w:r w:rsidR="003F6DF1">
        <w:t xml:space="preserve"> or </w:t>
      </w:r>
      <w:hyperlink w:anchor="procedureroom" w:history="1">
        <w:r w:rsidR="003F6DF1" w:rsidRPr="00A879E1">
          <w:rPr>
            <w:rStyle w:val="Hyperlink"/>
          </w:rPr>
          <w:t>procedure room</w:t>
        </w:r>
      </w:hyperlink>
      <w:r w:rsidR="003F6DF1">
        <w:fldChar w:fldCharType="begin"/>
      </w:r>
      <w:r w:rsidR="003F6DF1">
        <w:instrText xml:space="preserve"> NOTEREF _Ref534299351 \f \h </w:instrText>
      </w:r>
      <w:r w:rsidR="003F6DF1">
        <w:fldChar w:fldCharType="separate"/>
      </w:r>
      <w:r w:rsidR="007D53A2" w:rsidRPr="00E362A3">
        <w:rPr>
          <w:rStyle w:val="EndnoteReference"/>
        </w:rPr>
        <w:t>53</w:t>
      </w:r>
      <w:r w:rsidR="003F6DF1">
        <w:fldChar w:fldCharType="end"/>
      </w:r>
      <w:r w:rsidR="003F6DF1">
        <w:t>.</w:t>
      </w:r>
    </w:p>
    <w:p w14:paraId="3C9A5040" w14:textId="77777777" w:rsidR="00C96704" w:rsidRPr="00245AFD" w:rsidRDefault="00C96704" w:rsidP="00B105E4">
      <w:pPr>
        <w:rPr>
          <w:rFonts w:cs="Arial"/>
          <w:snapToGrid w:val="0"/>
        </w:rPr>
      </w:pPr>
    </w:p>
    <w:p w14:paraId="33740C2F" w14:textId="33DE0F7C" w:rsidR="000F6B49" w:rsidRDefault="00C96704" w:rsidP="00C96704">
      <w:pPr>
        <w:rPr>
          <w:rFonts w:cs="Arial"/>
          <w:snapToGrid w:val="0"/>
        </w:rPr>
      </w:pPr>
      <w:r>
        <w:rPr>
          <w:rFonts w:cs="Arial"/>
          <w:snapToGrid w:val="0"/>
        </w:rPr>
        <w:t xml:space="preserve">Note </w:t>
      </w:r>
      <w:r w:rsidR="00A0632A">
        <w:rPr>
          <w:rFonts w:cs="Arial"/>
          <w:snapToGrid w:val="0"/>
        </w:rPr>
        <w:t>4</w:t>
      </w:r>
      <w:r>
        <w:rPr>
          <w:rFonts w:cs="Arial"/>
          <w:snapToGrid w:val="0"/>
        </w:rPr>
        <w:t xml:space="preserve">: Hospitals should only report on procedures they electively perform. </w:t>
      </w:r>
      <w:r w:rsidRPr="00C96704">
        <w:rPr>
          <w:rFonts w:cs="Arial"/>
          <w:snapToGrid w:val="0"/>
        </w:rPr>
        <w:t xml:space="preserve">If your </w:t>
      </w:r>
      <w:r w:rsidR="00B12442">
        <w:rPr>
          <w:rFonts w:cs="Arial"/>
          <w:snapToGrid w:val="0"/>
        </w:rPr>
        <w:t>hospital</w:t>
      </w:r>
      <w:r w:rsidR="003723FD">
        <w:rPr>
          <w:rFonts w:cs="Arial"/>
          <w:snapToGrid w:val="0"/>
        </w:rPr>
        <w:t xml:space="preserve"> </w:t>
      </w:r>
      <w:r w:rsidRPr="00C96704">
        <w:rPr>
          <w:rFonts w:cs="Arial"/>
          <w:snapToGrid w:val="0"/>
        </w:rPr>
        <w:t>do</w:t>
      </w:r>
      <w:r>
        <w:rPr>
          <w:rFonts w:cs="Arial"/>
          <w:snapToGrid w:val="0"/>
        </w:rPr>
        <w:t xml:space="preserve">es not perform the procedure on an outpatient basis or ONLY does so </w:t>
      </w:r>
      <w:r w:rsidRPr="00C96704">
        <w:rPr>
          <w:rFonts w:cs="Arial"/>
          <w:snapToGrid w:val="0"/>
        </w:rPr>
        <w:t xml:space="preserve">when a procedure is urgent, </w:t>
      </w:r>
      <w:r w:rsidR="003723FD">
        <w:rPr>
          <w:rFonts w:cs="Arial"/>
          <w:snapToGrid w:val="0"/>
        </w:rPr>
        <w:t>you should answer</w:t>
      </w:r>
      <w:r>
        <w:rPr>
          <w:rFonts w:cs="Arial"/>
          <w:snapToGrid w:val="0"/>
        </w:rPr>
        <w:t xml:space="preserve"> “</w:t>
      </w:r>
      <w:r w:rsidR="003723FD">
        <w:rPr>
          <w:rFonts w:cs="Arial"/>
          <w:snapToGrid w:val="0"/>
        </w:rPr>
        <w:t>no</w:t>
      </w:r>
      <w:r>
        <w:rPr>
          <w:rFonts w:cs="Arial"/>
          <w:snapToGrid w:val="0"/>
        </w:rPr>
        <w:t xml:space="preserve">” </w:t>
      </w:r>
      <w:r w:rsidR="003723FD">
        <w:rPr>
          <w:rFonts w:cs="Arial"/>
          <w:snapToGrid w:val="0"/>
        </w:rPr>
        <w:t>and not</w:t>
      </w:r>
      <w:r>
        <w:rPr>
          <w:rFonts w:cs="Arial"/>
          <w:snapToGrid w:val="0"/>
        </w:rPr>
        <w:t xml:space="preserve"> report on those procedures</w:t>
      </w:r>
      <w:r w:rsidR="00C60116">
        <w:rPr>
          <w:rFonts w:cs="Arial"/>
          <w:snapToGrid w:val="0"/>
        </w:rPr>
        <w:t>.</w:t>
      </w:r>
    </w:p>
    <w:p w14:paraId="6D3DD70A" w14:textId="77777777" w:rsidR="000F6B49" w:rsidRDefault="000F6B49" w:rsidP="00C96704">
      <w:pPr>
        <w:rPr>
          <w:rFonts w:cs="Arial"/>
          <w:snapToGrid w:val="0"/>
        </w:rPr>
      </w:pPr>
    </w:p>
    <w:p w14:paraId="2EA3E41B" w14:textId="713E82A5" w:rsidR="00CE0DC8" w:rsidRDefault="00CE0DC8" w:rsidP="00C96704">
      <w:pPr>
        <w:rPr>
          <w:rFonts w:cs="Arial"/>
        </w:rPr>
      </w:pPr>
      <w:r w:rsidRPr="009A5185">
        <w:rPr>
          <w:rFonts w:cs="Arial"/>
          <w:b/>
        </w:rPr>
        <w:t xml:space="preserve">Specifications: </w:t>
      </w:r>
      <w:r w:rsidRPr="009A5185">
        <w:rPr>
          <w:rFonts w:cs="Arial"/>
          <w:snapToGrid w:val="0"/>
        </w:rPr>
        <w:t xml:space="preserve">See </w:t>
      </w:r>
      <w:hyperlink w:anchor="_Volume_of_Procedures_2" w:history="1">
        <w:r>
          <w:rPr>
            <w:rStyle w:val="Hyperlink"/>
            <w:rFonts w:cs="Arial"/>
            <w:b/>
            <w:i/>
            <w:snapToGrid w:val="0"/>
          </w:rPr>
          <w:t>Volume of Procedures Measure Specifications</w:t>
        </w:r>
      </w:hyperlink>
      <w:r w:rsidRPr="009A5185">
        <w:rPr>
          <w:rFonts w:cs="Arial"/>
          <w:snapToGrid w:val="0"/>
        </w:rPr>
        <w:t xml:space="preserve"> in the Reference Information </w:t>
      </w:r>
      <w:r w:rsidR="001E43A6">
        <w:rPr>
          <w:rFonts w:cs="Arial"/>
        </w:rPr>
        <w:t xml:space="preserve">beginning on page </w:t>
      </w:r>
      <w:r w:rsidR="00005F56">
        <w:rPr>
          <w:rFonts w:cs="Arial"/>
        </w:rPr>
        <w:t>3</w:t>
      </w:r>
      <w:r w:rsidR="0023754B">
        <w:rPr>
          <w:rFonts w:cs="Arial"/>
        </w:rPr>
        <w:t>19</w:t>
      </w:r>
      <w:r w:rsidR="00005F56">
        <w:rPr>
          <w:rFonts w:cs="Arial"/>
        </w:rPr>
        <w:t>.</w:t>
      </w:r>
    </w:p>
    <w:p w14:paraId="6EA7F2C8" w14:textId="77777777" w:rsidR="006A0F86" w:rsidRPr="00B105E4" w:rsidRDefault="006A0F86" w:rsidP="00C96704">
      <w:pPr>
        <w:rPr>
          <w:rFonts w:cs="Arial"/>
          <w:snapToGrid w:val="0"/>
        </w:rPr>
      </w:pPr>
    </w:p>
    <w:p w14:paraId="494DC703" w14:textId="0B229086" w:rsidR="005C0E45" w:rsidRPr="00245AFD" w:rsidRDefault="006A0F86" w:rsidP="007C5AC4">
      <w:pPr>
        <w:rPr>
          <w:rFonts w:cs="Arial"/>
          <w:snapToGrid w:val="0"/>
        </w:rPr>
      </w:pPr>
      <w:r w:rsidRPr="006A0F86">
        <w:rPr>
          <w:rFonts w:cs="Arial"/>
          <w:noProof/>
          <w:snapToGrid w:val="0"/>
        </w:rPr>
        <mc:AlternateContent>
          <mc:Choice Requires="wps">
            <w:drawing>
              <wp:inline distT="0" distB="0" distL="0" distR="0" wp14:anchorId="480F2558" wp14:editId="12AB4C6B">
                <wp:extent cx="5923722" cy="1404620"/>
                <wp:effectExtent l="0" t="0" r="20320" b="20955"/>
                <wp:docPr id="45" name="Text Box 45" descr="P10926TB3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722" cy="1404620"/>
                        </a:xfrm>
                        <a:prstGeom prst="rect">
                          <a:avLst/>
                        </a:prstGeom>
                        <a:solidFill>
                          <a:srgbClr val="FFFFFF"/>
                        </a:solidFill>
                        <a:ln w="9525">
                          <a:solidFill>
                            <a:srgbClr val="FF0000"/>
                          </a:solidFill>
                          <a:miter lim="800000"/>
                          <a:headEnd/>
                          <a:tailEnd/>
                        </a:ln>
                      </wps:spPr>
                      <wps:txbx>
                        <w:txbxContent>
                          <w:p w14:paraId="7E19402B" w14:textId="109AF7E1" w:rsidR="006A0F86" w:rsidRPr="009A5185" w:rsidRDefault="006A0F86" w:rsidP="006A0F86">
                            <w:pPr>
                              <w:spacing w:before="80"/>
                              <w:rPr>
                                <w:rFonts w:cs="Arial"/>
                                <w:b/>
                                <w:snapToGrid w:val="0"/>
                              </w:rPr>
                            </w:pPr>
                            <w:r w:rsidRPr="009A5185">
                              <w:rPr>
                                <w:rFonts w:cs="Arial"/>
                                <w:b/>
                                <w:snapToGrid w:val="0"/>
                              </w:rPr>
                              <w:t>Reporting Period: 12 months</w:t>
                            </w:r>
                          </w:p>
                          <w:p w14:paraId="399D64A1" w14:textId="4567D115" w:rsidR="006A0F86" w:rsidRDefault="006A0F86" w:rsidP="00AD309C">
                            <w:pPr>
                              <w:pStyle w:val="ListParagraph"/>
                              <w:numPr>
                                <w:ilvl w:val="0"/>
                                <w:numId w:val="36"/>
                              </w:numPr>
                              <w:rPr>
                                <w:i/>
                                <w:snapToGrid w:val="0"/>
                              </w:rPr>
                            </w:pPr>
                            <w:r w:rsidRPr="00897A3E">
                              <w:rPr>
                                <w:rFonts w:cs="Arial"/>
                                <w:snapToGrid w:val="0"/>
                              </w:rPr>
                              <w:t>01/01/202</w:t>
                            </w:r>
                            <w:r w:rsidR="00E41884">
                              <w:rPr>
                                <w:rFonts w:cs="Arial"/>
                                <w:snapToGrid w:val="0"/>
                              </w:rPr>
                              <w:t>5</w:t>
                            </w:r>
                            <w:r w:rsidRPr="00897A3E">
                              <w:rPr>
                                <w:rFonts w:cs="Arial"/>
                                <w:snapToGrid w:val="0"/>
                              </w:rPr>
                              <w:t xml:space="preserve"> – 12/31/202</w:t>
                            </w:r>
                            <w:r w:rsidR="00E41884">
                              <w:rPr>
                                <w:rFonts w:cs="Arial"/>
                                <w:snapToGrid w:val="0"/>
                              </w:rPr>
                              <w:t>5</w:t>
                            </w:r>
                            <w:r w:rsidR="001A4A1F">
                              <w:rPr>
                                <w:rFonts w:cs="Arial"/>
                                <w:snapToGrid w:val="0"/>
                              </w:rPr>
                              <w:br/>
                            </w:r>
                          </w:p>
                          <w:p w14:paraId="47B5BCDD" w14:textId="3745ECD2" w:rsidR="006A0F86" w:rsidRDefault="006A0F86" w:rsidP="006A0F86">
                            <w:r w:rsidRPr="006547C0">
                              <w:rPr>
                                <w:rFonts w:cs="Arial"/>
                                <w:sz w:val="16"/>
                                <w:szCs w:val="16"/>
                              </w:rPr>
                              <w:t xml:space="preserve">Note: As a reminder, the </w:t>
                            </w:r>
                            <w:hyperlink r:id="rId467"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480F2558" id="Text Box 45" o:spid="_x0000_s1061" type="#_x0000_t202" alt="P10926TB34#y1" style="width:466.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" strokecolor="red">
                <v:textbox style="mso-fit-shape-to-text:t">
                  <w:txbxContent>
                    <w:p w14:paraId="7E19402B" w14:textId="109AF7E1" w:rsidR="006A0F86" w:rsidRPr="009A5185" w:rsidRDefault="006A0F86" w:rsidP="006A0F86">
                      <w:pPr>
                        <w:spacing w:before="80"/>
                        <w:rPr>
                          <w:rFonts w:cs="Arial"/>
                          <w:b/>
                          <w:snapToGrid w:val="0"/>
                        </w:rPr>
                      </w:pPr>
                      <w:r w:rsidRPr="009A5185">
                        <w:rPr>
                          <w:rFonts w:cs="Arial"/>
                          <w:b/>
                          <w:snapToGrid w:val="0"/>
                        </w:rPr>
                        <w:t>Reporting Period: 12 months</w:t>
                      </w:r>
                    </w:p>
                    <w:p w14:paraId="399D64A1" w14:textId="4567D115" w:rsidR="006A0F86" w:rsidRDefault="006A0F86" w:rsidP="00AD309C">
                      <w:pPr>
                        <w:pStyle w:val="ListParagraph"/>
                        <w:numPr>
                          <w:ilvl w:val="0"/>
                          <w:numId w:val="36"/>
                        </w:numPr>
                        <w:rPr>
                          <w:i/>
                          <w:snapToGrid w:val="0"/>
                        </w:rPr>
                      </w:pPr>
                      <w:r w:rsidRPr="00897A3E">
                        <w:rPr>
                          <w:rFonts w:cs="Arial"/>
                          <w:snapToGrid w:val="0"/>
                        </w:rPr>
                        <w:t>01/01/202</w:t>
                      </w:r>
                      <w:r w:rsidR="00E41884">
                        <w:rPr>
                          <w:rFonts w:cs="Arial"/>
                          <w:snapToGrid w:val="0"/>
                        </w:rPr>
                        <w:t>5</w:t>
                      </w:r>
                      <w:r w:rsidRPr="00897A3E">
                        <w:rPr>
                          <w:rFonts w:cs="Arial"/>
                          <w:snapToGrid w:val="0"/>
                        </w:rPr>
                        <w:t xml:space="preserve"> – 12/31/202</w:t>
                      </w:r>
                      <w:r w:rsidR="00E41884">
                        <w:rPr>
                          <w:rFonts w:cs="Arial"/>
                          <w:snapToGrid w:val="0"/>
                        </w:rPr>
                        <w:t>5</w:t>
                      </w:r>
                      <w:r w:rsidR="001A4A1F">
                        <w:rPr>
                          <w:rFonts w:cs="Arial"/>
                          <w:snapToGrid w:val="0"/>
                        </w:rPr>
                        <w:br/>
                      </w:r>
                    </w:p>
                    <w:p w14:paraId="47B5BCDD" w14:textId="3745ECD2" w:rsidR="006A0F86" w:rsidRDefault="006A0F86" w:rsidP="006A0F86">
                      <w:r w:rsidRPr="006547C0">
                        <w:rPr>
                          <w:rFonts w:cs="Arial"/>
                          <w:sz w:val="16"/>
                          <w:szCs w:val="16"/>
                        </w:rPr>
                        <w:t xml:space="preserve">Note: As a reminder, the </w:t>
                      </w:r>
                      <w:hyperlink r:id="rId468"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13A1CD91" w14:textId="77777777" w:rsidR="001E43A6" w:rsidRPr="006A0F86" w:rsidRDefault="001E43A6" w:rsidP="00F0772B">
      <w:pPr>
        <w:rPr>
          <w:lang w:eastAsia="ja-JP"/>
        </w:rPr>
      </w:pPr>
    </w:p>
    <w:tbl>
      <w:tblPr>
        <w:tblStyle w:val="TableGrid"/>
        <w:tblW w:w="0" w:type="auto"/>
        <w:tblLayout w:type="fixed"/>
        <w:tblCellMar>
          <w:left w:w="115" w:type="dxa"/>
          <w:right w:w="115" w:type="dxa"/>
        </w:tblCellMar>
        <w:tblLook w:val="04A0" w:firstRow="1" w:lastRow="0" w:firstColumn="1" w:lastColumn="0" w:noHBand="0" w:noVBand="1"/>
      </w:tblPr>
      <w:tblGrid>
        <w:gridCol w:w="6475"/>
        <w:gridCol w:w="2875"/>
      </w:tblGrid>
      <w:tr w:rsidR="00FE3C05" w:rsidRPr="00EE0483" w14:paraId="1DD5547C" w14:textId="77777777" w:rsidTr="00C06753">
        <w:trPr>
          <w:trHeight w:val="288"/>
        </w:trPr>
        <w:tc>
          <w:tcPr>
            <w:tcW w:w="6475" w:type="dxa"/>
            <w:tcMar>
              <w:top w:w="72" w:type="dxa"/>
              <w:left w:w="115" w:type="dxa"/>
              <w:bottom w:w="72" w:type="dxa"/>
              <w:right w:w="115" w:type="dxa"/>
            </w:tcMar>
            <w:vAlign w:val="center"/>
          </w:tcPr>
          <w:p w14:paraId="06309B19" w14:textId="477C29F6" w:rsidR="00CA1D99" w:rsidRPr="00CA1D99" w:rsidRDefault="00FE3C05" w:rsidP="00AD309C">
            <w:pPr>
              <w:pStyle w:val="ListParagraph"/>
              <w:numPr>
                <w:ilvl w:val="0"/>
                <w:numId w:val="91"/>
              </w:numPr>
            </w:pPr>
            <w:r w:rsidRPr="005D2045">
              <w:t xml:space="preserve">12-month reporting period used: </w:t>
            </w:r>
          </w:p>
        </w:tc>
        <w:tc>
          <w:tcPr>
            <w:tcW w:w="2875" w:type="dxa"/>
            <w:shd w:val="clear" w:color="auto" w:fill="BFBFBF" w:themeFill="background1" w:themeFillShade="BF"/>
            <w:vAlign w:val="center"/>
          </w:tcPr>
          <w:p w14:paraId="454FB4BB" w14:textId="3FCF537F" w:rsidR="00CA1D99" w:rsidRPr="00CA1D99" w:rsidRDefault="003D4CDD" w:rsidP="00C06753">
            <w:pPr>
              <w:jc w:val="center"/>
            </w:pPr>
            <w:r w:rsidRPr="003D4CDD">
              <w:rPr>
                <w:rFonts w:cs="Arial"/>
                <w:i/>
                <w:snapToGrid w:val="0"/>
              </w:rPr>
              <w:t xml:space="preserve">No response required here. Reporting period automatically </w:t>
            </w:r>
            <w:r w:rsidRPr="00C06753">
              <w:rPr>
                <w:rFonts w:cs="Arial"/>
                <w:i/>
                <w:snapToGrid w:val="0"/>
              </w:rPr>
              <w:t>01/01/202</w:t>
            </w:r>
            <w:r w:rsidR="00E41884">
              <w:rPr>
                <w:rFonts w:cs="Arial"/>
                <w:i/>
                <w:snapToGrid w:val="0"/>
              </w:rPr>
              <w:t>5</w:t>
            </w:r>
            <w:r w:rsidRPr="00C06753">
              <w:rPr>
                <w:rFonts w:cs="Arial"/>
                <w:i/>
                <w:snapToGrid w:val="0"/>
              </w:rPr>
              <w:t xml:space="preserve"> – 12/31/202</w:t>
            </w:r>
            <w:r w:rsidR="00E41884">
              <w:rPr>
                <w:rFonts w:cs="Arial"/>
                <w:i/>
                <w:snapToGrid w:val="0"/>
              </w:rPr>
              <w:t>5</w:t>
            </w:r>
            <w:r w:rsidRPr="00C06753">
              <w:rPr>
                <w:rFonts w:cs="Arial"/>
                <w:i/>
                <w:snapToGrid w:val="0"/>
              </w:rPr>
              <w:t>.</w:t>
            </w:r>
          </w:p>
        </w:tc>
      </w:tr>
      <w:tr w:rsidR="00B92EC0" w:rsidRPr="00EE0483" w14:paraId="0BBCFA0B" w14:textId="77777777" w:rsidTr="00F83C07">
        <w:trPr>
          <w:trHeight w:val="1440"/>
        </w:trPr>
        <w:tc>
          <w:tcPr>
            <w:tcW w:w="6475" w:type="dxa"/>
            <w:tcMar>
              <w:top w:w="72" w:type="dxa"/>
              <w:left w:w="115" w:type="dxa"/>
              <w:bottom w:w="72" w:type="dxa"/>
              <w:right w:w="115" w:type="dxa"/>
            </w:tcMar>
            <w:vAlign w:val="center"/>
          </w:tcPr>
          <w:p w14:paraId="1B1BCC25" w14:textId="3F95A983" w:rsidR="00B92EC0" w:rsidRPr="005D2045" w:rsidRDefault="00B92EC0" w:rsidP="00AD309C">
            <w:pPr>
              <w:pStyle w:val="ListParagraph"/>
              <w:numPr>
                <w:ilvl w:val="0"/>
                <w:numId w:val="91"/>
              </w:numPr>
            </w:pPr>
            <w:r w:rsidRPr="005D2045">
              <w:t xml:space="preserve">During the reporting period, were one or more of the following </w:t>
            </w:r>
            <w:r w:rsidRPr="005D2045">
              <w:rPr>
                <w:b/>
              </w:rPr>
              <w:t xml:space="preserve">ophthalmology </w:t>
            </w:r>
            <w:r w:rsidRPr="005D2045">
              <w:t xml:space="preserve">procedures performed at your </w:t>
            </w:r>
            <w:r>
              <w:t>hospital outpatient department(s)</w:t>
            </w:r>
            <w:r w:rsidRPr="005D2045">
              <w:t xml:space="preserve"> on </w:t>
            </w:r>
            <w:r w:rsidRPr="005D2045">
              <w:rPr>
                <w:u w:val="single"/>
              </w:rPr>
              <w:t>adult</w:t>
            </w:r>
            <w:r w:rsidRPr="000530FC">
              <w:t xml:space="preserve"> </w:t>
            </w:r>
            <w:r>
              <w:t>and/</w:t>
            </w:r>
            <w:r w:rsidRPr="000530FC">
              <w:t>or</w:t>
            </w:r>
            <w:r w:rsidRPr="005D2045">
              <w:rPr>
                <w:u w:val="single"/>
              </w:rPr>
              <w:t xml:space="preserve"> pediatric</w:t>
            </w:r>
            <w:r w:rsidRPr="005D2045">
              <w:t xml:space="preserve"> patients</w:t>
            </w:r>
            <w:r w:rsidR="00803B4E">
              <w:t>:</w:t>
            </w:r>
          </w:p>
          <w:p w14:paraId="14736E7A" w14:textId="77777777" w:rsidR="00B92EC0" w:rsidRPr="005D2045" w:rsidRDefault="00B92EC0" w:rsidP="00B92EC0">
            <w:pPr>
              <w:pStyle w:val="ListParagraph"/>
              <w:ind w:left="360"/>
            </w:pPr>
          </w:p>
          <w:p w14:paraId="2B61F94A" w14:textId="002A0568" w:rsidR="00B92EC0" w:rsidRPr="005D2045" w:rsidRDefault="00B92EC0" w:rsidP="00AD309C">
            <w:pPr>
              <w:pStyle w:val="ListParagraph"/>
              <w:numPr>
                <w:ilvl w:val="0"/>
                <w:numId w:val="108"/>
              </w:numPr>
            </w:pPr>
            <w:r w:rsidRPr="005D2045">
              <w:t>Anterior segment eye procedures</w:t>
            </w:r>
            <w:r w:rsidR="00803B4E">
              <w:t>,</w:t>
            </w:r>
          </w:p>
          <w:p w14:paraId="68A563D9" w14:textId="2439ECD7" w:rsidR="00B92EC0" w:rsidRDefault="00B92EC0" w:rsidP="00AD309C">
            <w:pPr>
              <w:pStyle w:val="ListParagraph"/>
              <w:numPr>
                <w:ilvl w:val="0"/>
                <w:numId w:val="108"/>
              </w:numPr>
            </w:pPr>
            <w:r w:rsidRPr="005D2045">
              <w:t>Posterior segment eye procedures</w:t>
            </w:r>
            <w:r w:rsidR="00803B4E">
              <w:t>, or</w:t>
            </w:r>
          </w:p>
          <w:p w14:paraId="2BF45F1D" w14:textId="76AE4BCB" w:rsidR="00B92EC0" w:rsidRPr="005D2045" w:rsidRDefault="00B92EC0" w:rsidP="00AD309C">
            <w:pPr>
              <w:pStyle w:val="ListParagraph"/>
              <w:numPr>
                <w:ilvl w:val="0"/>
                <w:numId w:val="108"/>
              </w:numPr>
            </w:pPr>
            <w:r w:rsidRPr="009011FE">
              <w:t>Ocular adnexa and other eye procedures</w:t>
            </w:r>
            <w:r w:rsidR="00803B4E">
              <w:t>?</w:t>
            </w:r>
          </w:p>
          <w:p w14:paraId="58F1A8DC" w14:textId="77777777" w:rsidR="00B92EC0" w:rsidRPr="005D2045" w:rsidRDefault="00B92EC0" w:rsidP="00B92EC0">
            <w:pPr>
              <w:pStyle w:val="ListParagraph"/>
              <w:ind w:left="360"/>
            </w:pPr>
          </w:p>
          <w:p w14:paraId="48167485" w14:textId="19AB846F" w:rsidR="00B92EC0" w:rsidRPr="005D2045" w:rsidRDefault="00B92EC0" w:rsidP="004F63C1">
            <w:pPr>
              <w:pStyle w:val="ListParagraph"/>
              <w:ind w:left="360"/>
            </w:pPr>
            <w:r w:rsidRPr="005D2045">
              <w:rPr>
                <w:i/>
              </w:rPr>
              <w:t>If “no” or “yes, but no longer perform</w:t>
            </w:r>
            <w:r>
              <w:rPr>
                <w:i/>
              </w:rPr>
              <w:t>s</w:t>
            </w:r>
            <w:r w:rsidRPr="005D2045">
              <w:rPr>
                <w:i/>
              </w:rPr>
              <w:t xml:space="preserve"> these procedures,” skip question</w:t>
            </w:r>
            <w:r>
              <w:rPr>
                <w:i/>
              </w:rPr>
              <w:t>s</w:t>
            </w:r>
            <w:r w:rsidRPr="005D2045">
              <w:rPr>
                <w:i/>
              </w:rPr>
              <w:t xml:space="preserve"> #</w:t>
            </w:r>
            <w:r>
              <w:rPr>
                <w:i/>
              </w:rPr>
              <w:t>11-13</w:t>
            </w:r>
            <w:r w:rsidRPr="005D2045">
              <w:rPr>
                <w:i/>
              </w:rPr>
              <w:t xml:space="preserve"> below.</w:t>
            </w:r>
          </w:p>
        </w:tc>
        <w:tc>
          <w:tcPr>
            <w:tcW w:w="2875" w:type="dxa"/>
            <w:vAlign w:val="center"/>
          </w:tcPr>
          <w:p w14:paraId="6134C182" w14:textId="77777777" w:rsidR="00B92EC0" w:rsidRPr="0029141C" w:rsidRDefault="00B92EC0" w:rsidP="00AD309C">
            <w:pPr>
              <w:pStyle w:val="ListParagraph"/>
              <w:numPr>
                <w:ilvl w:val="0"/>
                <w:numId w:val="325"/>
              </w:numPr>
              <w:rPr>
                <w:iCs/>
              </w:rPr>
            </w:pPr>
            <w:r w:rsidRPr="0029141C">
              <w:rPr>
                <w:iCs/>
              </w:rPr>
              <w:lastRenderedPageBreak/>
              <w:t>Yes</w:t>
            </w:r>
          </w:p>
          <w:p w14:paraId="2FB8E43F" w14:textId="77777777" w:rsidR="00B92EC0" w:rsidRDefault="00B92EC0" w:rsidP="00AD309C">
            <w:pPr>
              <w:pStyle w:val="ListParagraph"/>
              <w:numPr>
                <w:ilvl w:val="0"/>
                <w:numId w:val="325"/>
              </w:numPr>
              <w:rPr>
                <w:iCs/>
              </w:rPr>
            </w:pPr>
            <w:r w:rsidRPr="0029141C">
              <w:rPr>
                <w:iCs/>
              </w:rPr>
              <w:t>Yes, but no longer performs these procedures</w:t>
            </w:r>
          </w:p>
          <w:p w14:paraId="2080E424" w14:textId="280DAD2A" w:rsidR="00B92EC0" w:rsidRPr="00B92EC0" w:rsidRDefault="00B92EC0" w:rsidP="00AD309C">
            <w:pPr>
              <w:pStyle w:val="ListParagraph"/>
              <w:numPr>
                <w:ilvl w:val="0"/>
                <w:numId w:val="325"/>
              </w:numPr>
              <w:rPr>
                <w:iCs/>
              </w:rPr>
            </w:pPr>
            <w:r w:rsidRPr="00B92EC0">
              <w:rPr>
                <w:iCs/>
              </w:rPr>
              <w:t>No</w:t>
            </w:r>
          </w:p>
        </w:tc>
      </w:tr>
      <w:tr w:rsidR="00B92EC0" w:rsidRPr="00EE0483" w14:paraId="531D6C11" w14:textId="77777777" w:rsidTr="00A212A4">
        <w:trPr>
          <w:trHeight w:val="576"/>
        </w:trPr>
        <w:tc>
          <w:tcPr>
            <w:tcW w:w="6475" w:type="dxa"/>
            <w:tcMar>
              <w:top w:w="72" w:type="dxa"/>
              <w:left w:w="115" w:type="dxa"/>
              <w:bottom w:w="72" w:type="dxa"/>
              <w:right w:w="115" w:type="dxa"/>
            </w:tcMar>
            <w:vAlign w:val="center"/>
          </w:tcPr>
          <w:p w14:paraId="22DDB982" w14:textId="6B94D7F6" w:rsidR="00B92EC0" w:rsidRPr="005D2045" w:rsidRDefault="00B92EC0" w:rsidP="00AD309C">
            <w:pPr>
              <w:pStyle w:val="ListParagraph"/>
              <w:numPr>
                <w:ilvl w:val="0"/>
                <w:numId w:val="91"/>
              </w:numPr>
            </w:pPr>
            <w:r w:rsidRPr="005D2045">
              <w:t xml:space="preserve">During the reporting period, were one or more of the following </w:t>
            </w:r>
            <w:r w:rsidRPr="005D2045">
              <w:rPr>
                <w:b/>
              </w:rPr>
              <w:t>orthopedic</w:t>
            </w:r>
            <w:r w:rsidRPr="005D2045">
              <w:t xml:space="preserve"> procedures performed at your </w:t>
            </w:r>
            <w:r>
              <w:t>hospital outpatient department(s)</w:t>
            </w:r>
            <w:r w:rsidRPr="005D2045">
              <w:t xml:space="preserve"> on </w:t>
            </w:r>
            <w:r w:rsidRPr="005D2045">
              <w:rPr>
                <w:u w:val="single"/>
              </w:rPr>
              <w:t>adult</w:t>
            </w:r>
            <w:r w:rsidRPr="000530FC">
              <w:t xml:space="preserve"> </w:t>
            </w:r>
            <w:r w:rsidR="001A4A1F">
              <w:t>and/</w:t>
            </w:r>
            <w:r w:rsidRPr="000530FC">
              <w:t>or</w:t>
            </w:r>
            <w:r w:rsidRPr="005D2045">
              <w:rPr>
                <w:u w:val="single"/>
              </w:rPr>
              <w:t xml:space="preserve"> pediatric</w:t>
            </w:r>
            <w:r w:rsidRPr="005D2045">
              <w:t xml:space="preserve"> patients</w:t>
            </w:r>
            <w:r w:rsidR="00803B4E">
              <w:t>:</w:t>
            </w:r>
          </w:p>
          <w:p w14:paraId="2F2264D4" w14:textId="77777777" w:rsidR="00B92EC0" w:rsidRPr="005D2045" w:rsidRDefault="00B92EC0" w:rsidP="00B92EC0">
            <w:pPr>
              <w:pStyle w:val="ListParagraph"/>
              <w:ind w:left="360"/>
            </w:pPr>
          </w:p>
          <w:p w14:paraId="5582E01F" w14:textId="0DF1A21A" w:rsidR="00B92EC0" w:rsidRDefault="00B92EC0" w:rsidP="00AD309C">
            <w:pPr>
              <w:pStyle w:val="ListParagraph"/>
              <w:numPr>
                <w:ilvl w:val="0"/>
                <w:numId w:val="109"/>
              </w:numPr>
            </w:pPr>
            <w:r w:rsidRPr="005D2045">
              <w:t>Finger, hand, wrist</w:t>
            </w:r>
            <w:r>
              <w:t>, forearm, and elbow procedures</w:t>
            </w:r>
            <w:r w:rsidR="00803B4E">
              <w:t>;</w:t>
            </w:r>
          </w:p>
          <w:p w14:paraId="18DCED91" w14:textId="0ABCABF1" w:rsidR="00B92EC0" w:rsidRPr="005D2045" w:rsidRDefault="00B92EC0" w:rsidP="00AD309C">
            <w:pPr>
              <w:pStyle w:val="ListParagraph"/>
              <w:numPr>
                <w:ilvl w:val="0"/>
                <w:numId w:val="109"/>
              </w:numPr>
            </w:pPr>
            <w:r w:rsidRPr="005D2045">
              <w:t>Shoulder procedures</w:t>
            </w:r>
            <w:r w:rsidR="00803B4E">
              <w:t>;</w:t>
            </w:r>
          </w:p>
          <w:p w14:paraId="6E928128" w14:textId="536C6C38" w:rsidR="00B92EC0" w:rsidRPr="005D2045" w:rsidRDefault="00B92EC0" w:rsidP="00AD309C">
            <w:pPr>
              <w:pStyle w:val="ListParagraph"/>
              <w:numPr>
                <w:ilvl w:val="0"/>
                <w:numId w:val="109"/>
              </w:numPr>
            </w:pPr>
            <w:r w:rsidRPr="005D2045">
              <w:t>Spine procedures</w:t>
            </w:r>
            <w:r w:rsidR="00803B4E">
              <w:t>;</w:t>
            </w:r>
          </w:p>
          <w:p w14:paraId="0571BF31" w14:textId="25ACE9E9" w:rsidR="00B92EC0" w:rsidRDefault="00B92EC0" w:rsidP="00AD309C">
            <w:pPr>
              <w:pStyle w:val="ListParagraph"/>
              <w:numPr>
                <w:ilvl w:val="0"/>
                <w:numId w:val="109"/>
              </w:numPr>
            </w:pPr>
            <w:r>
              <w:t>Hip procedures</w:t>
            </w:r>
            <w:r w:rsidR="00803B4E">
              <w:t>;</w:t>
            </w:r>
          </w:p>
          <w:p w14:paraId="77C05E63" w14:textId="19726959" w:rsidR="00B92EC0" w:rsidRPr="005D2045" w:rsidRDefault="00B92EC0" w:rsidP="00AD309C">
            <w:pPr>
              <w:pStyle w:val="ListParagraph"/>
              <w:numPr>
                <w:ilvl w:val="0"/>
                <w:numId w:val="109"/>
              </w:numPr>
            </w:pPr>
            <w:r w:rsidRPr="005D2045">
              <w:t xml:space="preserve">Knee </w:t>
            </w:r>
            <w:r>
              <w:t>p</w:t>
            </w:r>
            <w:r w:rsidRPr="005D2045">
              <w:t>rocedures</w:t>
            </w:r>
            <w:r w:rsidR="00803B4E">
              <w:t>;</w:t>
            </w:r>
          </w:p>
          <w:p w14:paraId="29F206E2" w14:textId="0041D3F5" w:rsidR="00B92EC0" w:rsidRPr="005D2045" w:rsidRDefault="00B92EC0" w:rsidP="00AD309C">
            <w:pPr>
              <w:pStyle w:val="ListParagraph"/>
              <w:numPr>
                <w:ilvl w:val="0"/>
                <w:numId w:val="109"/>
              </w:numPr>
            </w:pPr>
            <w:r w:rsidRPr="005D2045">
              <w:t>Toe, foot, ankle, and leg procedures</w:t>
            </w:r>
            <w:r w:rsidR="00803B4E">
              <w:t>; or</w:t>
            </w:r>
          </w:p>
          <w:p w14:paraId="44FEDCF3" w14:textId="703DACEB" w:rsidR="00B92EC0" w:rsidRPr="005D2045" w:rsidRDefault="00B92EC0" w:rsidP="00AD309C">
            <w:pPr>
              <w:pStyle w:val="ListParagraph"/>
              <w:numPr>
                <w:ilvl w:val="0"/>
                <w:numId w:val="109"/>
              </w:numPr>
            </w:pPr>
            <w:r w:rsidRPr="005D2045">
              <w:t>General orthopedic procedures</w:t>
            </w:r>
            <w:r w:rsidR="00803B4E">
              <w:t>?</w:t>
            </w:r>
          </w:p>
          <w:p w14:paraId="006F2FBF" w14:textId="77777777" w:rsidR="00B92EC0" w:rsidRPr="005D2045" w:rsidRDefault="00B92EC0" w:rsidP="00B92EC0">
            <w:pPr>
              <w:pStyle w:val="ListParagraph"/>
              <w:ind w:left="360"/>
            </w:pPr>
          </w:p>
          <w:p w14:paraId="09BA8034" w14:textId="14336089" w:rsidR="00B92EC0" w:rsidRPr="005D2045" w:rsidRDefault="00B92EC0" w:rsidP="004F63C1">
            <w:pPr>
              <w:pStyle w:val="ListParagraph"/>
              <w:ind w:left="360"/>
            </w:pPr>
            <w:r w:rsidRPr="005D2045">
              <w:rPr>
                <w:i/>
              </w:rPr>
              <w:t>If “no” or “yes, but no longer perform</w:t>
            </w:r>
            <w:r>
              <w:rPr>
                <w:i/>
              </w:rPr>
              <w:t>s</w:t>
            </w:r>
            <w:r w:rsidRPr="005D2045">
              <w:rPr>
                <w:i/>
              </w:rPr>
              <w:t xml:space="preserve"> these procedures,” skip question</w:t>
            </w:r>
            <w:r>
              <w:rPr>
                <w:i/>
              </w:rPr>
              <w:t>s</w:t>
            </w:r>
            <w:r w:rsidRPr="005D2045">
              <w:rPr>
                <w:i/>
              </w:rPr>
              <w:t xml:space="preserve"> #</w:t>
            </w:r>
            <w:r>
              <w:rPr>
                <w:i/>
              </w:rPr>
              <w:t>14-16</w:t>
            </w:r>
            <w:r w:rsidRPr="005D2045">
              <w:rPr>
                <w:i/>
              </w:rPr>
              <w:t xml:space="preserve"> below.</w:t>
            </w:r>
          </w:p>
        </w:tc>
        <w:tc>
          <w:tcPr>
            <w:tcW w:w="2875" w:type="dxa"/>
            <w:vAlign w:val="center"/>
          </w:tcPr>
          <w:p w14:paraId="18A968FB" w14:textId="77777777" w:rsidR="00B92EC0" w:rsidRPr="0029141C" w:rsidRDefault="00B92EC0" w:rsidP="00AD309C">
            <w:pPr>
              <w:pStyle w:val="ListParagraph"/>
              <w:numPr>
                <w:ilvl w:val="0"/>
                <w:numId w:val="325"/>
              </w:numPr>
              <w:rPr>
                <w:iCs/>
              </w:rPr>
            </w:pPr>
            <w:r w:rsidRPr="0029141C">
              <w:rPr>
                <w:iCs/>
              </w:rPr>
              <w:t>Yes</w:t>
            </w:r>
          </w:p>
          <w:p w14:paraId="36C9F975" w14:textId="77777777" w:rsidR="00B92EC0" w:rsidRDefault="00B92EC0" w:rsidP="00AD309C">
            <w:pPr>
              <w:pStyle w:val="ListParagraph"/>
              <w:numPr>
                <w:ilvl w:val="0"/>
                <w:numId w:val="325"/>
              </w:numPr>
              <w:rPr>
                <w:iCs/>
              </w:rPr>
            </w:pPr>
            <w:r w:rsidRPr="0029141C">
              <w:rPr>
                <w:iCs/>
              </w:rPr>
              <w:t>Yes, but no longer performs these procedures</w:t>
            </w:r>
          </w:p>
          <w:p w14:paraId="52D511EC" w14:textId="6C348B1E" w:rsidR="00B92EC0" w:rsidRPr="00B92EC0" w:rsidRDefault="00B92EC0" w:rsidP="00AD309C">
            <w:pPr>
              <w:pStyle w:val="ListParagraph"/>
              <w:numPr>
                <w:ilvl w:val="0"/>
                <w:numId w:val="325"/>
              </w:numPr>
              <w:rPr>
                <w:iCs/>
              </w:rPr>
            </w:pPr>
            <w:r w:rsidRPr="00B92EC0">
              <w:rPr>
                <w:iCs/>
              </w:rPr>
              <w:t>No</w:t>
            </w:r>
          </w:p>
        </w:tc>
      </w:tr>
      <w:tr w:rsidR="00B92EC0" w:rsidRPr="00EE0483" w14:paraId="7199A7BD" w14:textId="77777777" w:rsidTr="00A212A4">
        <w:trPr>
          <w:trHeight w:val="576"/>
        </w:trPr>
        <w:tc>
          <w:tcPr>
            <w:tcW w:w="6475" w:type="dxa"/>
            <w:tcMar>
              <w:top w:w="72" w:type="dxa"/>
              <w:left w:w="115" w:type="dxa"/>
              <w:bottom w:w="72" w:type="dxa"/>
              <w:right w:w="115" w:type="dxa"/>
            </w:tcMar>
            <w:vAlign w:val="center"/>
          </w:tcPr>
          <w:p w14:paraId="3C1B8385" w14:textId="482DDC3F" w:rsidR="00B92EC0" w:rsidRPr="005D2045" w:rsidRDefault="00B92EC0" w:rsidP="00AD309C">
            <w:pPr>
              <w:pStyle w:val="ListParagraph"/>
              <w:numPr>
                <w:ilvl w:val="0"/>
                <w:numId w:val="91"/>
              </w:numPr>
            </w:pPr>
            <w:r w:rsidRPr="005D2045">
              <w:t xml:space="preserve">During the reporting period, were one or more of the following </w:t>
            </w:r>
            <w:r w:rsidRPr="005D2045">
              <w:rPr>
                <w:b/>
              </w:rPr>
              <w:t xml:space="preserve">otolaryngology </w:t>
            </w:r>
            <w:r w:rsidRPr="005D2045">
              <w:t xml:space="preserve">procedures performed at your </w:t>
            </w:r>
            <w:r>
              <w:t>hospital outpatient department(s)</w:t>
            </w:r>
            <w:r w:rsidRPr="005D2045">
              <w:t xml:space="preserve"> on </w:t>
            </w:r>
            <w:r w:rsidRPr="005D2045">
              <w:rPr>
                <w:u w:val="single"/>
              </w:rPr>
              <w:t>adult</w:t>
            </w:r>
            <w:r w:rsidRPr="000530FC">
              <w:t xml:space="preserve"> </w:t>
            </w:r>
            <w:r w:rsidR="001A4A1F">
              <w:t>and/</w:t>
            </w:r>
            <w:r w:rsidRPr="000530FC">
              <w:t>or</w:t>
            </w:r>
            <w:r w:rsidRPr="005D2045">
              <w:rPr>
                <w:u w:val="single"/>
              </w:rPr>
              <w:t xml:space="preserve"> pediatric</w:t>
            </w:r>
            <w:r w:rsidRPr="005D2045">
              <w:t xml:space="preserve"> patients</w:t>
            </w:r>
            <w:r w:rsidR="00803B4E">
              <w:t>:</w:t>
            </w:r>
          </w:p>
          <w:p w14:paraId="06914994" w14:textId="77777777" w:rsidR="00B92EC0" w:rsidRPr="005D2045" w:rsidRDefault="00B92EC0" w:rsidP="00B92EC0"/>
          <w:p w14:paraId="0EC07874" w14:textId="1D9F86C7" w:rsidR="00B92EC0" w:rsidRPr="005D2045" w:rsidRDefault="00B92EC0" w:rsidP="00AD309C">
            <w:pPr>
              <w:pStyle w:val="ListParagraph"/>
              <w:numPr>
                <w:ilvl w:val="0"/>
                <w:numId w:val="110"/>
              </w:numPr>
            </w:pPr>
            <w:r w:rsidRPr="005D2045">
              <w:t>Ear procedures</w:t>
            </w:r>
            <w:r w:rsidR="00DA4888">
              <w:t>;</w:t>
            </w:r>
          </w:p>
          <w:p w14:paraId="08D9AAC6" w14:textId="789E87CE" w:rsidR="00B92EC0" w:rsidRPr="005D2045" w:rsidRDefault="00B92EC0" w:rsidP="00AD309C">
            <w:pPr>
              <w:pStyle w:val="ListParagraph"/>
              <w:numPr>
                <w:ilvl w:val="0"/>
                <w:numId w:val="110"/>
              </w:numPr>
            </w:pPr>
            <w:r w:rsidRPr="005D2045">
              <w:t>Mouth procedures</w:t>
            </w:r>
            <w:r w:rsidR="00DA4888">
              <w:t>;</w:t>
            </w:r>
          </w:p>
          <w:p w14:paraId="21791CFD" w14:textId="0D1E7E9D" w:rsidR="00B92EC0" w:rsidRPr="005D2045" w:rsidRDefault="00B92EC0" w:rsidP="00AD309C">
            <w:pPr>
              <w:pStyle w:val="ListParagraph"/>
              <w:numPr>
                <w:ilvl w:val="0"/>
                <w:numId w:val="110"/>
              </w:numPr>
            </w:pPr>
            <w:r w:rsidRPr="005D2045">
              <w:t>Nasal/sinus procedures</w:t>
            </w:r>
            <w:r w:rsidR="00DA4888">
              <w:t>;</w:t>
            </w:r>
            <w:r w:rsidR="00803B4E">
              <w:t xml:space="preserve"> or</w:t>
            </w:r>
          </w:p>
          <w:p w14:paraId="3E59CC15" w14:textId="6E27ADFF" w:rsidR="00B92EC0" w:rsidRPr="005D2045" w:rsidRDefault="00B92EC0" w:rsidP="00AD309C">
            <w:pPr>
              <w:pStyle w:val="ListParagraph"/>
              <w:numPr>
                <w:ilvl w:val="0"/>
                <w:numId w:val="110"/>
              </w:numPr>
            </w:pPr>
            <w:r>
              <w:t>Pharynx/adenoid/tonsil</w:t>
            </w:r>
            <w:r w:rsidRPr="005D2045">
              <w:t xml:space="preserve"> procedures</w:t>
            </w:r>
            <w:r w:rsidR="00803B4E">
              <w:t>?</w:t>
            </w:r>
          </w:p>
          <w:p w14:paraId="15F727FC" w14:textId="77777777" w:rsidR="00B92EC0" w:rsidRPr="005D2045" w:rsidRDefault="00B92EC0" w:rsidP="00B92EC0">
            <w:pPr>
              <w:pStyle w:val="ListParagraph"/>
              <w:ind w:left="360"/>
            </w:pPr>
          </w:p>
          <w:p w14:paraId="7CA65F00" w14:textId="0C5D96A8" w:rsidR="00B92EC0" w:rsidRPr="005D2045" w:rsidRDefault="00B92EC0" w:rsidP="004F63C1">
            <w:pPr>
              <w:pStyle w:val="ListParagraph"/>
              <w:ind w:left="360"/>
            </w:pPr>
            <w:r w:rsidRPr="005D2045">
              <w:rPr>
                <w:i/>
              </w:rPr>
              <w:t>If “no” or “yes, but no longer perform</w:t>
            </w:r>
            <w:r>
              <w:rPr>
                <w:i/>
              </w:rPr>
              <w:t>s</w:t>
            </w:r>
            <w:r w:rsidRPr="005D2045">
              <w:rPr>
                <w:i/>
              </w:rPr>
              <w:t xml:space="preserve"> these procedures,” skip question</w:t>
            </w:r>
            <w:r>
              <w:rPr>
                <w:i/>
              </w:rPr>
              <w:t>s</w:t>
            </w:r>
            <w:r w:rsidRPr="005D2045">
              <w:rPr>
                <w:i/>
              </w:rPr>
              <w:t xml:space="preserve"> #</w:t>
            </w:r>
            <w:r>
              <w:rPr>
                <w:i/>
              </w:rPr>
              <w:t>17-19</w:t>
            </w:r>
            <w:r w:rsidRPr="005D2045">
              <w:rPr>
                <w:i/>
              </w:rPr>
              <w:t xml:space="preserve"> below.</w:t>
            </w:r>
          </w:p>
        </w:tc>
        <w:tc>
          <w:tcPr>
            <w:tcW w:w="2875" w:type="dxa"/>
            <w:vAlign w:val="center"/>
          </w:tcPr>
          <w:p w14:paraId="4A97C9D5" w14:textId="77777777" w:rsidR="00B92EC0" w:rsidRPr="0029141C" w:rsidRDefault="00B92EC0" w:rsidP="00AD309C">
            <w:pPr>
              <w:pStyle w:val="ListParagraph"/>
              <w:numPr>
                <w:ilvl w:val="0"/>
                <w:numId w:val="325"/>
              </w:numPr>
              <w:rPr>
                <w:iCs/>
              </w:rPr>
            </w:pPr>
            <w:r w:rsidRPr="0029141C">
              <w:rPr>
                <w:iCs/>
              </w:rPr>
              <w:t>Yes</w:t>
            </w:r>
          </w:p>
          <w:p w14:paraId="7A50BB44" w14:textId="77777777" w:rsidR="00B92EC0" w:rsidRDefault="00B92EC0" w:rsidP="00AD309C">
            <w:pPr>
              <w:pStyle w:val="ListParagraph"/>
              <w:numPr>
                <w:ilvl w:val="0"/>
                <w:numId w:val="325"/>
              </w:numPr>
              <w:rPr>
                <w:iCs/>
              </w:rPr>
            </w:pPr>
            <w:r w:rsidRPr="0029141C">
              <w:rPr>
                <w:iCs/>
              </w:rPr>
              <w:t>Yes, but no longer performs these procedures</w:t>
            </w:r>
          </w:p>
          <w:p w14:paraId="15978A19" w14:textId="1F8988C5" w:rsidR="00B92EC0" w:rsidRPr="00B92EC0" w:rsidRDefault="00B92EC0" w:rsidP="00AD309C">
            <w:pPr>
              <w:pStyle w:val="ListParagraph"/>
              <w:numPr>
                <w:ilvl w:val="0"/>
                <w:numId w:val="325"/>
              </w:numPr>
              <w:rPr>
                <w:iCs/>
              </w:rPr>
            </w:pPr>
            <w:r w:rsidRPr="00B92EC0">
              <w:rPr>
                <w:iCs/>
              </w:rPr>
              <w:t>No</w:t>
            </w:r>
          </w:p>
        </w:tc>
      </w:tr>
      <w:tr w:rsidR="00B92EC0" w:rsidRPr="00EE0483" w14:paraId="13938867" w14:textId="77777777" w:rsidTr="00FB41BD">
        <w:trPr>
          <w:trHeight w:val="1152"/>
        </w:trPr>
        <w:tc>
          <w:tcPr>
            <w:tcW w:w="6475" w:type="dxa"/>
            <w:tcMar>
              <w:top w:w="72" w:type="dxa"/>
              <w:left w:w="115" w:type="dxa"/>
              <w:bottom w:w="72" w:type="dxa"/>
              <w:right w:w="115" w:type="dxa"/>
            </w:tcMar>
            <w:vAlign w:val="center"/>
          </w:tcPr>
          <w:p w14:paraId="1C16D7C4" w14:textId="22673BAC" w:rsidR="00B92EC0" w:rsidRPr="005D2045" w:rsidRDefault="00B92EC0" w:rsidP="00AD309C">
            <w:pPr>
              <w:pStyle w:val="ListParagraph"/>
              <w:numPr>
                <w:ilvl w:val="0"/>
                <w:numId w:val="91"/>
              </w:numPr>
              <w:rPr>
                <w:b/>
                <w:i/>
              </w:rPr>
            </w:pPr>
            <w:r w:rsidRPr="005D2045">
              <w:t xml:space="preserve">During the reporting period, were one or more of the following </w:t>
            </w:r>
            <w:r w:rsidRPr="005D2045">
              <w:rPr>
                <w:b/>
              </w:rPr>
              <w:t xml:space="preserve">gastroenterology </w:t>
            </w:r>
            <w:r w:rsidRPr="005D2045">
              <w:t xml:space="preserve">procedures performed at your </w:t>
            </w:r>
            <w:r>
              <w:t>hospital outpatient department(s)</w:t>
            </w:r>
            <w:r w:rsidRPr="005D2045">
              <w:t xml:space="preserve"> on </w:t>
            </w:r>
            <w:r w:rsidRPr="005D2045">
              <w:rPr>
                <w:u w:val="single"/>
              </w:rPr>
              <w:t xml:space="preserve">adult </w:t>
            </w:r>
            <w:r w:rsidRPr="005D2045">
              <w:t>patients</w:t>
            </w:r>
            <w:r w:rsidR="00803B4E">
              <w:t>:</w:t>
            </w:r>
          </w:p>
          <w:p w14:paraId="33602EF4" w14:textId="77777777" w:rsidR="00B92EC0" w:rsidRPr="005D2045" w:rsidRDefault="00B92EC0" w:rsidP="00B92EC0">
            <w:pPr>
              <w:pStyle w:val="ListParagraph"/>
              <w:ind w:left="360"/>
            </w:pPr>
          </w:p>
          <w:p w14:paraId="0BF61BB0" w14:textId="7A270DDE" w:rsidR="00B92EC0" w:rsidRPr="005D2045" w:rsidRDefault="00B92EC0" w:rsidP="00AD309C">
            <w:pPr>
              <w:pStyle w:val="ListParagraph"/>
              <w:numPr>
                <w:ilvl w:val="0"/>
                <w:numId w:val="106"/>
              </w:numPr>
            </w:pPr>
            <w:r w:rsidRPr="005D2045">
              <w:t xml:space="preserve">Upper GI </w:t>
            </w:r>
            <w:r>
              <w:t>e</w:t>
            </w:r>
            <w:r w:rsidRPr="005D2045">
              <w:t>ndoscopy</w:t>
            </w:r>
            <w:r w:rsidR="00803B4E">
              <w:t>, or</w:t>
            </w:r>
          </w:p>
          <w:p w14:paraId="11A8E91A" w14:textId="000FDDF5" w:rsidR="00B92EC0" w:rsidRPr="005D2045" w:rsidRDefault="00B92EC0" w:rsidP="00AD309C">
            <w:pPr>
              <w:pStyle w:val="ListParagraph"/>
              <w:numPr>
                <w:ilvl w:val="0"/>
                <w:numId w:val="106"/>
              </w:numPr>
            </w:pPr>
            <w:r w:rsidRPr="005D2045">
              <w:t xml:space="preserve">Lower GI </w:t>
            </w:r>
            <w:r>
              <w:t>e</w:t>
            </w:r>
            <w:r w:rsidRPr="005D2045">
              <w:t>ndoscopy</w:t>
            </w:r>
            <w:r w:rsidR="00803B4E">
              <w:t>?</w:t>
            </w:r>
          </w:p>
          <w:p w14:paraId="18035860" w14:textId="77777777" w:rsidR="00B92EC0" w:rsidRPr="005D2045" w:rsidRDefault="00B92EC0" w:rsidP="00B92EC0">
            <w:pPr>
              <w:ind w:left="360"/>
            </w:pPr>
          </w:p>
          <w:p w14:paraId="53621641" w14:textId="2A37A367" w:rsidR="00B92EC0" w:rsidRPr="005D2045" w:rsidRDefault="00B92EC0" w:rsidP="00B92EC0">
            <w:pPr>
              <w:ind w:left="360"/>
              <w:rPr>
                <w:b/>
                <w:i/>
              </w:rPr>
            </w:pPr>
            <w:r w:rsidRPr="005D2045">
              <w:rPr>
                <w:i/>
              </w:rPr>
              <w:t>If “no” or “yes, but no longer perform</w:t>
            </w:r>
            <w:r>
              <w:rPr>
                <w:i/>
              </w:rPr>
              <w:t>s</w:t>
            </w:r>
            <w:r w:rsidRPr="005D2045">
              <w:rPr>
                <w:i/>
              </w:rPr>
              <w:t xml:space="preserve"> these procedures,” skip question</w:t>
            </w:r>
            <w:r>
              <w:rPr>
                <w:i/>
              </w:rPr>
              <w:t>s</w:t>
            </w:r>
            <w:r w:rsidRPr="005D2045">
              <w:rPr>
                <w:i/>
              </w:rPr>
              <w:t xml:space="preserve"> #</w:t>
            </w:r>
            <w:r>
              <w:rPr>
                <w:i/>
              </w:rPr>
              <w:t>20-22</w:t>
            </w:r>
            <w:r w:rsidRPr="005D2045">
              <w:rPr>
                <w:i/>
              </w:rPr>
              <w:t xml:space="preserve"> below.</w:t>
            </w:r>
          </w:p>
        </w:tc>
        <w:tc>
          <w:tcPr>
            <w:tcW w:w="2875" w:type="dxa"/>
            <w:vAlign w:val="center"/>
          </w:tcPr>
          <w:p w14:paraId="74FCA6B8" w14:textId="77777777" w:rsidR="00B92EC0" w:rsidRPr="004F63C1" w:rsidRDefault="00B92EC0" w:rsidP="00AD309C">
            <w:pPr>
              <w:pStyle w:val="ListParagraph"/>
              <w:numPr>
                <w:ilvl w:val="0"/>
                <w:numId w:val="325"/>
              </w:numPr>
              <w:rPr>
                <w:iCs/>
              </w:rPr>
            </w:pPr>
            <w:r w:rsidRPr="004F63C1">
              <w:rPr>
                <w:iCs/>
              </w:rPr>
              <w:t>Yes</w:t>
            </w:r>
          </w:p>
          <w:p w14:paraId="1B94E6F8" w14:textId="255D8EE2" w:rsidR="00B92EC0" w:rsidRPr="004F63C1" w:rsidRDefault="00B92EC0" w:rsidP="00AD309C">
            <w:pPr>
              <w:pStyle w:val="ListParagraph"/>
              <w:numPr>
                <w:ilvl w:val="0"/>
                <w:numId w:val="325"/>
              </w:numPr>
              <w:rPr>
                <w:iCs/>
              </w:rPr>
            </w:pPr>
            <w:r w:rsidRPr="004F63C1">
              <w:rPr>
                <w:iCs/>
              </w:rPr>
              <w:t>Yes, but no longer performs these procedures</w:t>
            </w:r>
          </w:p>
          <w:p w14:paraId="3A6D70F7" w14:textId="77777777" w:rsidR="00B92EC0" w:rsidRPr="004F63C1" w:rsidRDefault="00B92EC0" w:rsidP="00AD309C">
            <w:pPr>
              <w:pStyle w:val="ListParagraph"/>
              <w:numPr>
                <w:ilvl w:val="0"/>
                <w:numId w:val="325"/>
              </w:numPr>
              <w:rPr>
                <w:iCs/>
              </w:rPr>
            </w:pPr>
            <w:r w:rsidRPr="004F63C1">
              <w:rPr>
                <w:iCs/>
              </w:rPr>
              <w:t>No</w:t>
            </w:r>
          </w:p>
        </w:tc>
      </w:tr>
      <w:tr w:rsidR="00B92EC0" w:rsidRPr="00EE0483" w14:paraId="25C7ACC2" w14:textId="77777777" w:rsidTr="00F83C07">
        <w:trPr>
          <w:trHeight w:val="2304"/>
        </w:trPr>
        <w:tc>
          <w:tcPr>
            <w:tcW w:w="6475" w:type="dxa"/>
            <w:tcMar>
              <w:top w:w="72" w:type="dxa"/>
              <w:left w:w="115" w:type="dxa"/>
              <w:bottom w:w="72" w:type="dxa"/>
              <w:right w:w="115" w:type="dxa"/>
            </w:tcMar>
            <w:vAlign w:val="center"/>
          </w:tcPr>
          <w:p w14:paraId="1DE494A3" w14:textId="6D6906B4" w:rsidR="00B92EC0" w:rsidRPr="005D2045" w:rsidRDefault="00B92EC0" w:rsidP="00AD309C">
            <w:pPr>
              <w:pStyle w:val="ListParagraph"/>
              <w:numPr>
                <w:ilvl w:val="0"/>
                <w:numId w:val="91"/>
              </w:numPr>
            </w:pPr>
            <w:r w:rsidRPr="005D2045">
              <w:t xml:space="preserve">During the reporting period, were one or more of the following </w:t>
            </w:r>
            <w:r w:rsidRPr="005D2045">
              <w:rPr>
                <w:b/>
              </w:rPr>
              <w:t>general surgery</w:t>
            </w:r>
            <w:r w:rsidRPr="005D2045">
              <w:t xml:space="preserve"> procedures performed at your </w:t>
            </w:r>
            <w:r>
              <w:t>hospital outpatient department(s)</w:t>
            </w:r>
            <w:r w:rsidRPr="005D2045">
              <w:t xml:space="preserve"> on </w:t>
            </w:r>
            <w:r w:rsidRPr="005D2045">
              <w:rPr>
                <w:u w:val="single"/>
              </w:rPr>
              <w:t>adult</w:t>
            </w:r>
            <w:r w:rsidRPr="000530FC">
              <w:t xml:space="preserve"> </w:t>
            </w:r>
            <w:r w:rsidRPr="005D2045">
              <w:t>patients</w:t>
            </w:r>
            <w:r w:rsidR="00803B4E">
              <w:t>:</w:t>
            </w:r>
          </w:p>
          <w:p w14:paraId="6526F40D" w14:textId="77777777" w:rsidR="00B92EC0" w:rsidRPr="005D2045" w:rsidRDefault="00B92EC0" w:rsidP="00B92EC0">
            <w:pPr>
              <w:pStyle w:val="ListParagraph"/>
              <w:ind w:left="360"/>
            </w:pPr>
          </w:p>
          <w:p w14:paraId="226D7177" w14:textId="0CCBE65D" w:rsidR="00B92EC0" w:rsidRPr="005D2045" w:rsidRDefault="00B92EC0" w:rsidP="00AD309C">
            <w:pPr>
              <w:pStyle w:val="ListParagraph"/>
              <w:numPr>
                <w:ilvl w:val="0"/>
                <w:numId w:val="107"/>
              </w:numPr>
            </w:pPr>
            <w:r w:rsidRPr="005D2045">
              <w:t>Cholecystectomy and common duct exploration</w:t>
            </w:r>
            <w:r w:rsidR="005B075F">
              <w:t>;</w:t>
            </w:r>
          </w:p>
          <w:p w14:paraId="209934A0" w14:textId="05512C18" w:rsidR="00B92EC0" w:rsidRPr="005D2045" w:rsidRDefault="00B92EC0" w:rsidP="00AD309C">
            <w:pPr>
              <w:pStyle w:val="ListParagraph"/>
              <w:numPr>
                <w:ilvl w:val="0"/>
                <w:numId w:val="107"/>
              </w:numPr>
            </w:pPr>
            <w:r w:rsidRPr="005D2045">
              <w:t>Hemorrhoid procedures</w:t>
            </w:r>
            <w:r w:rsidR="005B075F">
              <w:t>;</w:t>
            </w:r>
          </w:p>
          <w:p w14:paraId="3084B0D9" w14:textId="161551F0" w:rsidR="00B92EC0" w:rsidRPr="005D2045" w:rsidRDefault="00B92EC0" w:rsidP="00AD309C">
            <w:pPr>
              <w:pStyle w:val="ListParagraph"/>
              <w:numPr>
                <w:ilvl w:val="0"/>
                <w:numId w:val="107"/>
              </w:numPr>
            </w:pPr>
            <w:r w:rsidRPr="005D2045">
              <w:t>Inguinal and femoral hernia repair</w:t>
            </w:r>
            <w:r w:rsidR="005B075F">
              <w:t>;</w:t>
            </w:r>
          </w:p>
          <w:p w14:paraId="6D813CB0" w14:textId="1F59B677" w:rsidR="00B92EC0" w:rsidRPr="005D2045" w:rsidRDefault="00B92EC0" w:rsidP="00AD309C">
            <w:pPr>
              <w:pStyle w:val="ListParagraph"/>
              <w:numPr>
                <w:ilvl w:val="0"/>
                <w:numId w:val="107"/>
              </w:numPr>
            </w:pPr>
            <w:r w:rsidRPr="005D2045">
              <w:t>Other hernia repair</w:t>
            </w:r>
            <w:r w:rsidR="005B075F">
              <w:t>;</w:t>
            </w:r>
          </w:p>
          <w:p w14:paraId="12020D33" w14:textId="541F343A" w:rsidR="00B92EC0" w:rsidRPr="005D2045" w:rsidRDefault="00B92EC0" w:rsidP="00AD309C">
            <w:pPr>
              <w:pStyle w:val="ListParagraph"/>
              <w:numPr>
                <w:ilvl w:val="0"/>
                <w:numId w:val="107"/>
              </w:numPr>
            </w:pPr>
            <w:r w:rsidRPr="005D2045">
              <w:t>Laparoscopy</w:t>
            </w:r>
            <w:r w:rsidR="005B075F">
              <w:t>;</w:t>
            </w:r>
          </w:p>
          <w:p w14:paraId="73C1084F" w14:textId="03C20ED8" w:rsidR="00B92EC0" w:rsidRPr="005D2045" w:rsidRDefault="00B92EC0" w:rsidP="00AD309C">
            <w:pPr>
              <w:pStyle w:val="ListParagraph"/>
              <w:numPr>
                <w:ilvl w:val="0"/>
                <w:numId w:val="107"/>
              </w:numPr>
            </w:pPr>
            <w:r w:rsidRPr="005D2045">
              <w:t>Lumpectomy or quadrantectomy of breast</w:t>
            </w:r>
            <w:r w:rsidR="005B075F">
              <w:t>;</w:t>
            </w:r>
            <w:r w:rsidR="00803B4E">
              <w:t xml:space="preserve"> or</w:t>
            </w:r>
          </w:p>
          <w:p w14:paraId="4F68B409" w14:textId="44FBC530" w:rsidR="00B92EC0" w:rsidRPr="005D2045" w:rsidRDefault="00B92EC0" w:rsidP="00AD309C">
            <w:pPr>
              <w:pStyle w:val="ListParagraph"/>
              <w:numPr>
                <w:ilvl w:val="0"/>
                <w:numId w:val="107"/>
              </w:numPr>
            </w:pPr>
            <w:r w:rsidRPr="005D2045">
              <w:t>Mastectomy</w:t>
            </w:r>
            <w:r w:rsidR="00803B4E">
              <w:t>?</w:t>
            </w:r>
          </w:p>
          <w:p w14:paraId="7F7FC0D6" w14:textId="77777777" w:rsidR="00B92EC0" w:rsidRPr="005D2045" w:rsidRDefault="00B92EC0" w:rsidP="00B92EC0">
            <w:pPr>
              <w:pStyle w:val="ListParagraph"/>
              <w:ind w:left="360"/>
            </w:pPr>
          </w:p>
          <w:p w14:paraId="6315D4A4" w14:textId="6DE03125" w:rsidR="00B92EC0" w:rsidRPr="005D2045" w:rsidRDefault="00B92EC0" w:rsidP="00B92EC0">
            <w:pPr>
              <w:pStyle w:val="ListParagraph"/>
              <w:ind w:left="360"/>
            </w:pPr>
            <w:r w:rsidRPr="005D2045">
              <w:rPr>
                <w:i/>
              </w:rPr>
              <w:lastRenderedPageBreak/>
              <w:t>If “no” or “yes, but no longer perform</w:t>
            </w:r>
            <w:r>
              <w:rPr>
                <w:i/>
              </w:rPr>
              <w:t>s</w:t>
            </w:r>
            <w:r w:rsidRPr="005D2045">
              <w:rPr>
                <w:i/>
              </w:rPr>
              <w:t xml:space="preserve"> these procedures,” skip question</w:t>
            </w:r>
            <w:r>
              <w:rPr>
                <w:i/>
              </w:rPr>
              <w:t>s</w:t>
            </w:r>
            <w:r w:rsidRPr="005D2045">
              <w:rPr>
                <w:i/>
              </w:rPr>
              <w:t xml:space="preserve"> #</w:t>
            </w:r>
            <w:r>
              <w:rPr>
                <w:i/>
              </w:rPr>
              <w:t>23-25</w:t>
            </w:r>
            <w:r w:rsidRPr="005D2045">
              <w:rPr>
                <w:i/>
              </w:rPr>
              <w:t xml:space="preserve"> below.</w:t>
            </w:r>
          </w:p>
        </w:tc>
        <w:tc>
          <w:tcPr>
            <w:tcW w:w="2875" w:type="dxa"/>
            <w:vAlign w:val="center"/>
          </w:tcPr>
          <w:p w14:paraId="578B7E01" w14:textId="77777777" w:rsidR="00B92EC0" w:rsidRPr="004F63C1" w:rsidRDefault="00B92EC0" w:rsidP="00AD309C">
            <w:pPr>
              <w:pStyle w:val="ListParagraph"/>
              <w:numPr>
                <w:ilvl w:val="0"/>
                <w:numId w:val="325"/>
              </w:numPr>
              <w:rPr>
                <w:iCs/>
              </w:rPr>
            </w:pPr>
            <w:r w:rsidRPr="004F63C1">
              <w:rPr>
                <w:iCs/>
              </w:rPr>
              <w:lastRenderedPageBreak/>
              <w:t>Yes</w:t>
            </w:r>
          </w:p>
          <w:p w14:paraId="1D6DD1D2" w14:textId="113F3119" w:rsidR="00B92EC0" w:rsidRPr="004F63C1" w:rsidRDefault="00B92EC0" w:rsidP="00AD309C">
            <w:pPr>
              <w:pStyle w:val="ListParagraph"/>
              <w:numPr>
                <w:ilvl w:val="0"/>
                <w:numId w:val="325"/>
              </w:numPr>
              <w:rPr>
                <w:iCs/>
              </w:rPr>
            </w:pPr>
            <w:r w:rsidRPr="004F63C1">
              <w:rPr>
                <w:iCs/>
              </w:rPr>
              <w:t>Yes, but no longer performs these procedures</w:t>
            </w:r>
          </w:p>
          <w:p w14:paraId="19171685" w14:textId="77777777" w:rsidR="00B92EC0" w:rsidRPr="004F63C1" w:rsidRDefault="00B92EC0" w:rsidP="00AD309C">
            <w:pPr>
              <w:pStyle w:val="ListParagraph"/>
              <w:numPr>
                <w:ilvl w:val="0"/>
                <w:numId w:val="325"/>
              </w:numPr>
              <w:rPr>
                <w:iCs/>
              </w:rPr>
            </w:pPr>
            <w:r w:rsidRPr="004F63C1">
              <w:rPr>
                <w:iCs/>
              </w:rPr>
              <w:t>No</w:t>
            </w:r>
          </w:p>
        </w:tc>
      </w:tr>
      <w:tr w:rsidR="00B92EC0" w:rsidRPr="00EE0483" w14:paraId="30E547E5" w14:textId="77777777" w:rsidTr="009358B5">
        <w:trPr>
          <w:trHeight w:val="1152"/>
        </w:trPr>
        <w:tc>
          <w:tcPr>
            <w:tcW w:w="6475" w:type="dxa"/>
            <w:tcMar>
              <w:top w:w="72" w:type="dxa"/>
              <w:left w:w="115" w:type="dxa"/>
              <w:bottom w:w="72" w:type="dxa"/>
              <w:right w:w="115" w:type="dxa"/>
            </w:tcMar>
            <w:vAlign w:val="center"/>
          </w:tcPr>
          <w:p w14:paraId="582D3FE8" w14:textId="713323B2" w:rsidR="00B92EC0" w:rsidRPr="005D2045" w:rsidRDefault="00B92EC0" w:rsidP="00AD309C">
            <w:pPr>
              <w:pStyle w:val="ListParagraph"/>
              <w:numPr>
                <w:ilvl w:val="0"/>
                <w:numId w:val="91"/>
              </w:numPr>
            </w:pPr>
            <w:r w:rsidRPr="005D2045">
              <w:t xml:space="preserve">During the reporting period, were one or more of the following </w:t>
            </w:r>
            <w:r w:rsidRPr="005D2045">
              <w:rPr>
                <w:b/>
              </w:rPr>
              <w:t>urology</w:t>
            </w:r>
            <w:r w:rsidRPr="005D2045">
              <w:t xml:space="preserve"> procedures performed at your </w:t>
            </w:r>
            <w:r>
              <w:t>hospital outpatient department(s)</w:t>
            </w:r>
            <w:r w:rsidRPr="005D2045">
              <w:t xml:space="preserve"> on </w:t>
            </w:r>
            <w:r w:rsidRPr="005D2045">
              <w:rPr>
                <w:u w:val="single"/>
              </w:rPr>
              <w:t>adult</w:t>
            </w:r>
            <w:r w:rsidRPr="000530FC">
              <w:t xml:space="preserve"> patients</w:t>
            </w:r>
            <w:r w:rsidR="00803B4E">
              <w:t>:</w:t>
            </w:r>
          </w:p>
          <w:p w14:paraId="5AF9992C" w14:textId="77777777" w:rsidR="00B92EC0" w:rsidRPr="005D2045" w:rsidRDefault="00B92EC0" w:rsidP="00B92EC0">
            <w:pPr>
              <w:pStyle w:val="ListParagraph"/>
              <w:ind w:left="360"/>
            </w:pPr>
          </w:p>
          <w:p w14:paraId="34760A6C" w14:textId="50009A2F" w:rsidR="00B92EC0" w:rsidRDefault="00B92EC0" w:rsidP="00AD309C">
            <w:pPr>
              <w:pStyle w:val="ListParagraph"/>
              <w:numPr>
                <w:ilvl w:val="0"/>
                <w:numId w:val="111"/>
              </w:numPr>
            </w:pPr>
            <w:r>
              <w:t>Circumcision</w:t>
            </w:r>
            <w:r w:rsidR="009C3188">
              <w:t>;</w:t>
            </w:r>
          </w:p>
          <w:p w14:paraId="2F7A981E" w14:textId="4227D138" w:rsidR="00B92EC0" w:rsidRPr="005D2045" w:rsidRDefault="00B92EC0" w:rsidP="00AD309C">
            <w:pPr>
              <w:pStyle w:val="ListParagraph"/>
              <w:numPr>
                <w:ilvl w:val="0"/>
                <w:numId w:val="111"/>
              </w:numPr>
            </w:pPr>
            <w:r w:rsidRPr="005D2045">
              <w:t>Cystourethroscopy</w:t>
            </w:r>
            <w:r w:rsidR="009C3188">
              <w:t>;</w:t>
            </w:r>
          </w:p>
          <w:p w14:paraId="0D2A8A4C" w14:textId="72AF2FFE" w:rsidR="00B92EC0" w:rsidRPr="005D2045" w:rsidRDefault="00B92EC0" w:rsidP="00AD309C">
            <w:pPr>
              <w:pStyle w:val="ListParagraph"/>
              <w:numPr>
                <w:ilvl w:val="0"/>
                <w:numId w:val="111"/>
              </w:numPr>
            </w:pPr>
            <w:r w:rsidRPr="005D2045">
              <w:t>Male genital procedures</w:t>
            </w:r>
            <w:r w:rsidR="009C3188">
              <w:t>;</w:t>
            </w:r>
          </w:p>
          <w:p w14:paraId="3B7727AC" w14:textId="2910879E" w:rsidR="00B92EC0" w:rsidRPr="005D2045" w:rsidRDefault="00B92EC0" w:rsidP="00AD309C">
            <w:pPr>
              <w:pStyle w:val="ListParagraph"/>
              <w:numPr>
                <w:ilvl w:val="0"/>
                <w:numId w:val="111"/>
              </w:numPr>
            </w:pPr>
            <w:r w:rsidRPr="005D2045">
              <w:t>Urethra procedures</w:t>
            </w:r>
            <w:r w:rsidR="009C3188">
              <w:t>;</w:t>
            </w:r>
            <w:r w:rsidR="00803B4E">
              <w:t xml:space="preserve"> or</w:t>
            </w:r>
          </w:p>
          <w:p w14:paraId="6539C5DA" w14:textId="2A6D721D" w:rsidR="00B92EC0" w:rsidRPr="005D2045" w:rsidRDefault="00B92EC0" w:rsidP="00AD309C">
            <w:pPr>
              <w:pStyle w:val="ListParagraph"/>
              <w:numPr>
                <w:ilvl w:val="0"/>
                <w:numId w:val="111"/>
              </w:numPr>
            </w:pPr>
            <w:r w:rsidRPr="005D2045">
              <w:t>Vaginal repair procedures</w:t>
            </w:r>
            <w:r w:rsidR="00803B4E">
              <w:t>?</w:t>
            </w:r>
          </w:p>
          <w:p w14:paraId="74682A43" w14:textId="77777777" w:rsidR="00B92EC0" w:rsidRPr="005D2045" w:rsidRDefault="00B92EC0" w:rsidP="00B92EC0">
            <w:pPr>
              <w:pStyle w:val="ListParagraph"/>
              <w:ind w:left="360"/>
            </w:pPr>
          </w:p>
          <w:p w14:paraId="5B2A4606" w14:textId="712328B9" w:rsidR="00B92EC0" w:rsidRPr="005D2045" w:rsidRDefault="00B92EC0" w:rsidP="00B92EC0">
            <w:pPr>
              <w:pStyle w:val="ListParagraph"/>
              <w:ind w:left="360"/>
            </w:pPr>
            <w:r w:rsidRPr="005D2045">
              <w:rPr>
                <w:i/>
              </w:rPr>
              <w:t>If “no” or “yes, but no longer perform</w:t>
            </w:r>
            <w:r>
              <w:rPr>
                <w:i/>
              </w:rPr>
              <w:t>s</w:t>
            </w:r>
            <w:r w:rsidRPr="005D2045">
              <w:rPr>
                <w:i/>
              </w:rPr>
              <w:t xml:space="preserve"> these procedures,” skip question</w:t>
            </w:r>
            <w:r>
              <w:rPr>
                <w:i/>
              </w:rPr>
              <w:t>s</w:t>
            </w:r>
            <w:r w:rsidRPr="005D2045">
              <w:rPr>
                <w:i/>
              </w:rPr>
              <w:t xml:space="preserve"> #</w:t>
            </w:r>
            <w:r>
              <w:rPr>
                <w:i/>
              </w:rPr>
              <w:t>26-28</w:t>
            </w:r>
            <w:r w:rsidRPr="005D2045">
              <w:rPr>
                <w:i/>
              </w:rPr>
              <w:t xml:space="preserve"> below.</w:t>
            </w:r>
          </w:p>
        </w:tc>
        <w:tc>
          <w:tcPr>
            <w:tcW w:w="2875" w:type="dxa"/>
            <w:vAlign w:val="center"/>
          </w:tcPr>
          <w:p w14:paraId="7FCD2D6A" w14:textId="77777777" w:rsidR="00B92EC0" w:rsidRPr="004F63C1" w:rsidRDefault="00B92EC0" w:rsidP="00AD309C">
            <w:pPr>
              <w:pStyle w:val="ListParagraph"/>
              <w:numPr>
                <w:ilvl w:val="0"/>
                <w:numId w:val="326"/>
              </w:numPr>
              <w:rPr>
                <w:iCs/>
              </w:rPr>
            </w:pPr>
            <w:r w:rsidRPr="004F63C1">
              <w:rPr>
                <w:iCs/>
              </w:rPr>
              <w:t>Yes</w:t>
            </w:r>
          </w:p>
          <w:p w14:paraId="7D544885" w14:textId="041B0264" w:rsidR="00B92EC0" w:rsidRPr="004F63C1" w:rsidRDefault="00B92EC0" w:rsidP="00AD309C">
            <w:pPr>
              <w:pStyle w:val="ListParagraph"/>
              <w:numPr>
                <w:ilvl w:val="0"/>
                <w:numId w:val="326"/>
              </w:numPr>
              <w:rPr>
                <w:iCs/>
              </w:rPr>
            </w:pPr>
            <w:r w:rsidRPr="004F63C1">
              <w:rPr>
                <w:iCs/>
              </w:rPr>
              <w:t>Yes, but no longer performs these procedures</w:t>
            </w:r>
          </w:p>
          <w:p w14:paraId="256F10D3" w14:textId="77777777" w:rsidR="00B92EC0" w:rsidRPr="004F63C1" w:rsidRDefault="00B92EC0" w:rsidP="00AD309C">
            <w:pPr>
              <w:pStyle w:val="ListParagraph"/>
              <w:numPr>
                <w:ilvl w:val="0"/>
                <w:numId w:val="326"/>
              </w:numPr>
              <w:rPr>
                <w:iCs/>
              </w:rPr>
            </w:pPr>
            <w:r w:rsidRPr="004F63C1">
              <w:rPr>
                <w:iCs/>
              </w:rPr>
              <w:t>No</w:t>
            </w:r>
          </w:p>
        </w:tc>
      </w:tr>
      <w:tr w:rsidR="00B92EC0" w:rsidRPr="00EE0483" w14:paraId="61AD4E38" w14:textId="77777777" w:rsidTr="009358B5">
        <w:trPr>
          <w:trHeight w:val="432"/>
        </w:trPr>
        <w:tc>
          <w:tcPr>
            <w:tcW w:w="6475" w:type="dxa"/>
            <w:tcMar>
              <w:top w:w="72" w:type="dxa"/>
              <w:left w:w="115" w:type="dxa"/>
              <w:bottom w:w="72" w:type="dxa"/>
              <w:right w:w="115" w:type="dxa"/>
            </w:tcMar>
            <w:vAlign w:val="center"/>
          </w:tcPr>
          <w:p w14:paraId="788A17CE" w14:textId="082CC0CA" w:rsidR="00B92EC0" w:rsidRPr="005D2045" w:rsidRDefault="00B92EC0" w:rsidP="00AD309C">
            <w:pPr>
              <w:pStyle w:val="ListParagraph"/>
              <w:numPr>
                <w:ilvl w:val="0"/>
                <w:numId w:val="91"/>
              </w:numPr>
            </w:pPr>
            <w:r w:rsidRPr="005D2045">
              <w:t xml:space="preserve">During the reporting period, </w:t>
            </w:r>
            <w:r>
              <w:t xml:space="preserve">was the </w:t>
            </w:r>
            <w:r w:rsidRPr="005D2045">
              <w:t xml:space="preserve">following </w:t>
            </w:r>
            <w:r w:rsidRPr="005D2045">
              <w:rPr>
                <w:b/>
              </w:rPr>
              <w:t>neurological surgery</w:t>
            </w:r>
            <w:r>
              <w:t xml:space="preserve"> procedure</w:t>
            </w:r>
            <w:r w:rsidRPr="005D2045">
              <w:t xml:space="preserve"> performed at your </w:t>
            </w:r>
            <w:r>
              <w:t>hospital outpatient department(s)</w:t>
            </w:r>
            <w:r w:rsidRPr="005D2045">
              <w:t xml:space="preserve"> on </w:t>
            </w:r>
            <w:r w:rsidRPr="005D2045">
              <w:rPr>
                <w:u w:val="single"/>
              </w:rPr>
              <w:t>adult</w:t>
            </w:r>
            <w:r w:rsidRPr="005D2045">
              <w:t xml:space="preserve"> patients</w:t>
            </w:r>
            <w:r w:rsidR="00803B4E">
              <w:t>:</w:t>
            </w:r>
          </w:p>
          <w:p w14:paraId="64C02B6D" w14:textId="77777777" w:rsidR="00B92EC0" w:rsidRPr="005D2045" w:rsidRDefault="00B92EC0" w:rsidP="00B92EC0">
            <w:pPr>
              <w:ind w:left="360"/>
            </w:pPr>
          </w:p>
          <w:p w14:paraId="3B4EDC86" w14:textId="18913C1B" w:rsidR="00B92EC0" w:rsidRPr="005D2045" w:rsidRDefault="00B92EC0" w:rsidP="00AD309C">
            <w:pPr>
              <w:pStyle w:val="ListParagraph"/>
              <w:numPr>
                <w:ilvl w:val="0"/>
                <w:numId w:val="112"/>
              </w:numPr>
            </w:pPr>
            <w:r>
              <w:t>Spinal fusion</w:t>
            </w:r>
            <w:r w:rsidRPr="005D2045">
              <w:t xml:space="preserve"> procedures</w:t>
            </w:r>
            <w:r w:rsidR="00803B4E">
              <w:t>?</w:t>
            </w:r>
          </w:p>
          <w:p w14:paraId="5B6ED80B" w14:textId="77777777" w:rsidR="00B92EC0" w:rsidRPr="005D2045" w:rsidRDefault="00B92EC0" w:rsidP="00B92EC0">
            <w:pPr>
              <w:ind w:left="360"/>
            </w:pPr>
          </w:p>
          <w:p w14:paraId="46631642" w14:textId="7C1CD5DD" w:rsidR="00B92EC0" w:rsidRPr="005D2045" w:rsidRDefault="00B92EC0" w:rsidP="00B92EC0">
            <w:pPr>
              <w:ind w:left="360"/>
              <w:rPr>
                <w:b/>
                <w:i/>
              </w:rPr>
            </w:pPr>
            <w:r w:rsidRPr="005D2045">
              <w:rPr>
                <w:i/>
              </w:rPr>
              <w:t>If “no” or “</w:t>
            </w:r>
            <w:r>
              <w:rPr>
                <w:i/>
              </w:rPr>
              <w:t>yes, but no longer performs this</w:t>
            </w:r>
            <w:r w:rsidRPr="005D2045">
              <w:rPr>
                <w:i/>
              </w:rPr>
              <w:t xml:space="preserve"> procedu</w:t>
            </w:r>
            <w:r>
              <w:rPr>
                <w:i/>
              </w:rPr>
              <w:t>re</w:t>
            </w:r>
            <w:r w:rsidRPr="005D2045">
              <w:rPr>
                <w:i/>
              </w:rPr>
              <w:t>,” skip question</w:t>
            </w:r>
            <w:r>
              <w:rPr>
                <w:i/>
              </w:rPr>
              <w:t>s</w:t>
            </w:r>
            <w:r w:rsidRPr="005D2045">
              <w:rPr>
                <w:i/>
              </w:rPr>
              <w:t xml:space="preserve"> #</w:t>
            </w:r>
            <w:r>
              <w:rPr>
                <w:i/>
              </w:rPr>
              <w:t>29-31</w:t>
            </w:r>
            <w:r w:rsidRPr="005D2045">
              <w:rPr>
                <w:i/>
              </w:rPr>
              <w:t xml:space="preserve"> below.</w:t>
            </w:r>
          </w:p>
        </w:tc>
        <w:tc>
          <w:tcPr>
            <w:tcW w:w="2875" w:type="dxa"/>
            <w:vAlign w:val="center"/>
          </w:tcPr>
          <w:p w14:paraId="6259A9E8" w14:textId="77777777" w:rsidR="00B92EC0" w:rsidRPr="004F63C1" w:rsidRDefault="00B92EC0" w:rsidP="00AD309C">
            <w:pPr>
              <w:pStyle w:val="ListParagraph"/>
              <w:numPr>
                <w:ilvl w:val="0"/>
                <w:numId w:val="326"/>
              </w:numPr>
              <w:rPr>
                <w:iCs/>
              </w:rPr>
            </w:pPr>
            <w:r w:rsidRPr="004F63C1">
              <w:rPr>
                <w:iCs/>
              </w:rPr>
              <w:t>Yes</w:t>
            </w:r>
          </w:p>
          <w:p w14:paraId="24D81182" w14:textId="3A557951" w:rsidR="00B92EC0" w:rsidRPr="004F63C1" w:rsidRDefault="00B92EC0" w:rsidP="00AD309C">
            <w:pPr>
              <w:pStyle w:val="ListParagraph"/>
              <w:numPr>
                <w:ilvl w:val="0"/>
                <w:numId w:val="326"/>
              </w:numPr>
              <w:rPr>
                <w:iCs/>
              </w:rPr>
            </w:pPr>
            <w:r w:rsidRPr="004F63C1">
              <w:rPr>
                <w:iCs/>
              </w:rPr>
              <w:t>Yes, but no longer performs this procedure</w:t>
            </w:r>
          </w:p>
          <w:p w14:paraId="1024751B" w14:textId="77777777" w:rsidR="00B92EC0" w:rsidRPr="004F63C1" w:rsidRDefault="00B92EC0" w:rsidP="00AD309C">
            <w:pPr>
              <w:pStyle w:val="ListParagraph"/>
              <w:numPr>
                <w:ilvl w:val="0"/>
                <w:numId w:val="326"/>
              </w:numPr>
              <w:rPr>
                <w:iCs/>
              </w:rPr>
            </w:pPr>
            <w:r w:rsidRPr="004F63C1">
              <w:rPr>
                <w:iCs/>
              </w:rPr>
              <w:t>No</w:t>
            </w:r>
          </w:p>
        </w:tc>
      </w:tr>
      <w:tr w:rsidR="00B92EC0" w:rsidRPr="00EE0483" w14:paraId="7D28A77F" w14:textId="77777777" w:rsidTr="009358B5">
        <w:trPr>
          <w:trHeight w:val="1296"/>
        </w:trPr>
        <w:tc>
          <w:tcPr>
            <w:tcW w:w="6475" w:type="dxa"/>
            <w:tcMar>
              <w:top w:w="72" w:type="dxa"/>
              <w:left w:w="115" w:type="dxa"/>
              <w:bottom w:w="72" w:type="dxa"/>
              <w:right w:w="115" w:type="dxa"/>
            </w:tcMar>
            <w:vAlign w:val="center"/>
          </w:tcPr>
          <w:p w14:paraId="509EAA23" w14:textId="37ECC4B3" w:rsidR="00B92EC0" w:rsidRPr="005D2045" w:rsidRDefault="00B92EC0" w:rsidP="00AD309C">
            <w:pPr>
              <w:pStyle w:val="ListParagraph"/>
              <w:numPr>
                <w:ilvl w:val="0"/>
                <w:numId w:val="91"/>
              </w:numPr>
            </w:pPr>
            <w:r w:rsidRPr="005D2045">
              <w:t xml:space="preserve">During the reporting period, were one or more of the following </w:t>
            </w:r>
            <w:r w:rsidRPr="005D2045">
              <w:rPr>
                <w:b/>
              </w:rPr>
              <w:t>obstetrics and gynecology</w:t>
            </w:r>
            <w:r w:rsidRPr="005D2045">
              <w:t xml:space="preserve"> procedures performed at your </w:t>
            </w:r>
            <w:r>
              <w:t>hospital outpatient department(s)</w:t>
            </w:r>
            <w:r w:rsidRPr="005D2045">
              <w:t xml:space="preserve"> on </w:t>
            </w:r>
            <w:r w:rsidRPr="005D2045">
              <w:rPr>
                <w:u w:val="single"/>
              </w:rPr>
              <w:t>adult</w:t>
            </w:r>
            <w:r w:rsidRPr="005D2045">
              <w:t xml:space="preserve"> patients</w:t>
            </w:r>
            <w:r w:rsidR="00803B4E">
              <w:t>:</w:t>
            </w:r>
          </w:p>
          <w:p w14:paraId="71F1DADA" w14:textId="77777777" w:rsidR="00B92EC0" w:rsidRPr="005D2045" w:rsidRDefault="00B92EC0" w:rsidP="00B92EC0"/>
          <w:p w14:paraId="6665CABD" w14:textId="1142CD2A" w:rsidR="00B92EC0" w:rsidRDefault="00B92EC0" w:rsidP="00AD309C">
            <w:pPr>
              <w:pStyle w:val="ListParagraph"/>
              <w:numPr>
                <w:ilvl w:val="0"/>
                <w:numId w:val="112"/>
              </w:numPr>
            </w:pPr>
            <w:r w:rsidRPr="005D2045">
              <w:t>Cervix procedures</w:t>
            </w:r>
            <w:r w:rsidR="00803B4E">
              <w:t>,</w:t>
            </w:r>
          </w:p>
          <w:p w14:paraId="6A1FA414" w14:textId="7CA12A5D" w:rsidR="00B92EC0" w:rsidRPr="005D2045" w:rsidRDefault="00B92EC0" w:rsidP="00AD309C">
            <w:pPr>
              <w:pStyle w:val="ListParagraph"/>
              <w:numPr>
                <w:ilvl w:val="0"/>
                <w:numId w:val="112"/>
              </w:numPr>
            </w:pPr>
            <w:r>
              <w:t>H</w:t>
            </w:r>
            <w:r w:rsidRPr="00736D8A">
              <w:t>ysteroscopy</w:t>
            </w:r>
            <w:r w:rsidR="00803B4E">
              <w:t>, or</w:t>
            </w:r>
          </w:p>
          <w:p w14:paraId="5AE670ED" w14:textId="7483A858" w:rsidR="00B92EC0" w:rsidRPr="005D2045" w:rsidRDefault="00B92EC0" w:rsidP="00AD309C">
            <w:pPr>
              <w:pStyle w:val="ListParagraph"/>
              <w:numPr>
                <w:ilvl w:val="0"/>
                <w:numId w:val="112"/>
              </w:numPr>
            </w:pPr>
            <w:r w:rsidRPr="005D2045">
              <w:t>Uterus and adnexa laparoscopies</w:t>
            </w:r>
            <w:r w:rsidR="00803B4E">
              <w:t>?</w:t>
            </w:r>
          </w:p>
          <w:p w14:paraId="55870FE2" w14:textId="77777777" w:rsidR="00B92EC0" w:rsidRPr="005D2045" w:rsidRDefault="00B92EC0" w:rsidP="00B92EC0">
            <w:pPr>
              <w:ind w:left="360"/>
            </w:pPr>
          </w:p>
          <w:p w14:paraId="39793E7F" w14:textId="76E2F6A3" w:rsidR="00B92EC0" w:rsidRPr="005D2045" w:rsidRDefault="00B92EC0" w:rsidP="00B92EC0">
            <w:pPr>
              <w:ind w:left="360"/>
            </w:pPr>
            <w:r w:rsidRPr="005D2045">
              <w:rPr>
                <w:i/>
              </w:rPr>
              <w:t>If “no” or “yes, but no longer perform</w:t>
            </w:r>
            <w:r>
              <w:rPr>
                <w:i/>
              </w:rPr>
              <w:t>s</w:t>
            </w:r>
            <w:r w:rsidRPr="005D2045">
              <w:rPr>
                <w:i/>
              </w:rPr>
              <w:t xml:space="preserve"> these procedures,” skip question</w:t>
            </w:r>
            <w:r>
              <w:rPr>
                <w:i/>
              </w:rPr>
              <w:t>s</w:t>
            </w:r>
            <w:r w:rsidRPr="005D2045">
              <w:rPr>
                <w:i/>
              </w:rPr>
              <w:t xml:space="preserve"> #</w:t>
            </w:r>
            <w:r>
              <w:rPr>
                <w:i/>
              </w:rPr>
              <w:t>32-34</w:t>
            </w:r>
            <w:r w:rsidRPr="005D2045">
              <w:rPr>
                <w:i/>
              </w:rPr>
              <w:t xml:space="preserve"> below.</w:t>
            </w:r>
          </w:p>
        </w:tc>
        <w:tc>
          <w:tcPr>
            <w:tcW w:w="2875" w:type="dxa"/>
            <w:vAlign w:val="center"/>
          </w:tcPr>
          <w:p w14:paraId="7B5F6F77" w14:textId="77777777" w:rsidR="00B92EC0" w:rsidRPr="004F63C1" w:rsidRDefault="00B92EC0" w:rsidP="00AD309C">
            <w:pPr>
              <w:pStyle w:val="ListParagraph"/>
              <w:numPr>
                <w:ilvl w:val="0"/>
                <w:numId w:val="326"/>
              </w:numPr>
              <w:rPr>
                <w:iCs/>
              </w:rPr>
            </w:pPr>
            <w:r w:rsidRPr="004F63C1">
              <w:rPr>
                <w:iCs/>
              </w:rPr>
              <w:t>Yes</w:t>
            </w:r>
          </w:p>
          <w:p w14:paraId="17442690" w14:textId="54B188D3" w:rsidR="00B92EC0" w:rsidRPr="004F63C1" w:rsidRDefault="00B92EC0" w:rsidP="00AD309C">
            <w:pPr>
              <w:pStyle w:val="ListParagraph"/>
              <w:numPr>
                <w:ilvl w:val="0"/>
                <w:numId w:val="326"/>
              </w:numPr>
              <w:rPr>
                <w:iCs/>
              </w:rPr>
            </w:pPr>
            <w:r w:rsidRPr="004F63C1">
              <w:rPr>
                <w:iCs/>
              </w:rPr>
              <w:t>Yes, but no longer performs these procedures</w:t>
            </w:r>
          </w:p>
          <w:p w14:paraId="2C881F61" w14:textId="77777777" w:rsidR="00B92EC0" w:rsidRPr="004F63C1" w:rsidRDefault="00B92EC0" w:rsidP="00AD309C">
            <w:pPr>
              <w:pStyle w:val="ListParagraph"/>
              <w:numPr>
                <w:ilvl w:val="0"/>
                <w:numId w:val="326"/>
              </w:numPr>
              <w:rPr>
                <w:iCs/>
              </w:rPr>
            </w:pPr>
            <w:r w:rsidRPr="004F63C1">
              <w:rPr>
                <w:iCs/>
              </w:rPr>
              <w:t>No</w:t>
            </w:r>
          </w:p>
        </w:tc>
      </w:tr>
      <w:tr w:rsidR="00B92EC0" w:rsidRPr="00EE0483" w14:paraId="344D3628" w14:textId="77777777" w:rsidTr="009358B5">
        <w:trPr>
          <w:trHeight w:val="1152"/>
        </w:trPr>
        <w:tc>
          <w:tcPr>
            <w:tcW w:w="6475" w:type="dxa"/>
            <w:tcMar>
              <w:top w:w="72" w:type="dxa"/>
              <w:left w:w="115" w:type="dxa"/>
              <w:bottom w:w="72" w:type="dxa"/>
              <w:right w:w="115" w:type="dxa"/>
            </w:tcMar>
            <w:vAlign w:val="center"/>
          </w:tcPr>
          <w:p w14:paraId="1BAEBC7C" w14:textId="4AC57855" w:rsidR="00B92EC0" w:rsidRPr="005D2045" w:rsidRDefault="00B92EC0" w:rsidP="00AD309C">
            <w:pPr>
              <w:pStyle w:val="ListParagraph"/>
              <w:numPr>
                <w:ilvl w:val="0"/>
                <w:numId w:val="91"/>
              </w:numPr>
            </w:pPr>
            <w:r w:rsidRPr="005D2045">
              <w:t xml:space="preserve">During the reporting period, were one or more of the following </w:t>
            </w:r>
            <w:r w:rsidRPr="005D2045">
              <w:rPr>
                <w:b/>
              </w:rPr>
              <w:t>plastic and reconstructive surgery</w:t>
            </w:r>
            <w:r w:rsidRPr="005D2045">
              <w:t xml:space="preserve"> procedures performed at your </w:t>
            </w:r>
            <w:r>
              <w:t>hospital outpatient department(s)</w:t>
            </w:r>
            <w:r w:rsidRPr="005D2045">
              <w:t xml:space="preserve"> on </w:t>
            </w:r>
            <w:r w:rsidRPr="005D2045">
              <w:rPr>
                <w:u w:val="single"/>
              </w:rPr>
              <w:t>adult</w:t>
            </w:r>
            <w:r w:rsidRPr="005D2045">
              <w:t xml:space="preserve"> patients</w:t>
            </w:r>
            <w:r w:rsidR="00803B4E">
              <w:t>:</w:t>
            </w:r>
          </w:p>
          <w:p w14:paraId="19819294" w14:textId="77777777" w:rsidR="00B92EC0" w:rsidRPr="005D2045" w:rsidRDefault="00B92EC0" w:rsidP="00B92EC0"/>
          <w:p w14:paraId="1AE0EDB7" w14:textId="72DBC6C4" w:rsidR="00B92EC0" w:rsidRDefault="00B92EC0" w:rsidP="00AD309C">
            <w:pPr>
              <w:pStyle w:val="ListParagraph"/>
              <w:numPr>
                <w:ilvl w:val="0"/>
                <w:numId w:val="113"/>
              </w:numPr>
            </w:pPr>
            <w:r w:rsidRPr="005D2045">
              <w:t>Breast repair or reconstruction</w:t>
            </w:r>
            <w:r w:rsidR="00803B4E">
              <w:t>, or</w:t>
            </w:r>
          </w:p>
          <w:p w14:paraId="6E3FF235" w14:textId="55BEDF7B" w:rsidR="00B92EC0" w:rsidRPr="005D2045" w:rsidRDefault="00B92EC0" w:rsidP="00AD309C">
            <w:pPr>
              <w:pStyle w:val="ListParagraph"/>
              <w:numPr>
                <w:ilvl w:val="0"/>
                <w:numId w:val="113"/>
              </w:numPr>
            </w:pPr>
            <w:r>
              <w:t>Skin graft/reconstruction procedures</w:t>
            </w:r>
            <w:r w:rsidR="00803B4E">
              <w:t>?</w:t>
            </w:r>
          </w:p>
          <w:p w14:paraId="6E6FACF1" w14:textId="77777777" w:rsidR="00B92EC0" w:rsidRPr="005D2045" w:rsidRDefault="00B92EC0" w:rsidP="00B92EC0">
            <w:pPr>
              <w:pStyle w:val="ListParagraph"/>
              <w:ind w:left="360"/>
            </w:pPr>
          </w:p>
          <w:p w14:paraId="4D4A9A80" w14:textId="7930088B" w:rsidR="00B92EC0" w:rsidRPr="005D2045" w:rsidRDefault="00B92EC0" w:rsidP="00B92EC0">
            <w:pPr>
              <w:pStyle w:val="ListParagraph"/>
              <w:ind w:left="360"/>
            </w:pPr>
            <w:r w:rsidRPr="005D2045">
              <w:rPr>
                <w:i/>
              </w:rPr>
              <w:t>If “no” or “yes, but no longer perform</w:t>
            </w:r>
            <w:r>
              <w:rPr>
                <w:i/>
              </w:rPr>
              <w:t>s</w:t>
            </w:r>
            <w:r w:rsidRPr="005D2045">
              <w:rPr>
                <w:i/>
              </w:rPr>
              <w:t xml:space="preserve"> these procedures,” skip question</w:t>
            </w:r>
            <w:r>
              <w:rPr>
                <w:i/>
              </w:rPr>
              <w:t>s</w:t>
            </w:r>
            <w:r w:rsidRPr="005D2045">
              <w:rPr>
                <w:i/>
              </w:rPr>
              <w:t xml:space="preserve"> #</w:t>
            </w:r>
            <w:r>
              <w:rPr>
                <w:i/>
              </w:rPr>
              <w:t>35-37</w:t>
            </w:r>
            <w:r w:rsidRPr="005D2045">
              <w:rPr>
                <w:i/>
              </w:rPr>
              <w:t xml:space="preserve"> below.</w:t>
            </w:r>
          </w:p>
        </w:tc>
        <w:tc>
          <w:tcPr>
            <w:tcW w:w="2875" w:type="dxa"/>
            <w:vAlign w:val="center"/>
          </w:tcPr>
          <w:p w14:paraId="42161191" w14:textId="77777777" w:rsidR="00B92EC0" w:rsidRPr="004F63C1" w:rsidRDefault="00B92EC0" w:rsidP="00AD309C">
            <w:pPr>
              <w:pStyle w:val="ListParagraph"/>
              <w:numPr>
                <w:ilvl w:val="0"/>
                <w:numId w:val="326"/>
              </w:numPr>
              <w:rPr>
                <w:iCs/>
              </w:rPr>
            </w:pPr>
            <w:r w:rsidRPr="004F63C1">
              <w:rPr>
                <w:iCs/>
              </w:rPr>
              <w:t>Yes</w:t>
            </w:r>
          </w:p>
          <w:p w14:paraId="63ACC52F" w14:textId="7C1BE1C7" w:rsidR="00B92EC0" w:rsidRPr="004F63C1" w:rsidRDefault="00B92EC0" w:rsidP="00AD309C">
            <w:pPr>
              <w:pStyle w:val="ListParagraph"/>
              <w:numPr>
                <w:ilvl w:val="0"/>
                <w:numId w:val="326"/>
              </w:numPr>
              <w:rPr>
                <w:iCs/>
              </w:rPr>
            </w:pPr>
            <w:r w:rsidRPr="004F63C1">
              <w:rPr>
                <w:iCs/>
              </w:rPr>
              <w:t>Yes, but no longer performs these procedures</w:t>
            </w:r>
          </w:p>
          <w:p w14:paraId="76159049" w14:textId="77777777" w:rsidR="00B92EC0" w:rsidRPr="004F63C1" w:rsidRDefault="00B92EC0" w:rsidP="00AD309C">
            <w:pPr>
              <w:pStyle w:val="ListParagraph"/>
              <w:numPr>
                <w:ilvl w:val="0"/>
                <w:numId w:val="326"/>
              </w:numPr>
              <w:rPr>
                <w:iCs/>
              </w:rPr>
            </w:pPr>
            <w:r w:rsidRPr="004F63C1">
              <w:rPr>
                <w:iCs/>
              </w:rPr>
              <w:t>No</w:t>
            </w:r>
          </w:p>
        </w:tc>
      </w:tr>
    </w:tbl>
    <w:p w14:paraId="0DDAB185" w14:textId="1849DB89" w:rsidR="00B92EC0" w:rsidRPr="00841998" w:rsidRDefault="00EE7395" w:rsidP="00AB5B80">
      <w:pPr>
        <w:pStyle w:val="Heading3"/>
      </w:pPr>
      <w:r>
        <w:lastRenderedPageBreak/>
        <w:br/>
      </w:r>
      <w:bookmarkStart w:id="735" w:name="_Toc225877837"/>
      <w:r w:rsidR="00B92EC0" w:rsidRPr="00AD5994">
        <w:t>Ophthalmology</w:t>
      </w:r>
      <w:bookmarkEnd w:id="735"/>
      <w:r w:rsidR="00B92EC0">
        <w:br/>
      </w:r>
    </w:p>
    <w:tbl>
      <w:tblPr>
        <w:tblStyle w:val="TableGrid120"/>
        <w:tblW w:w="0" w:type="auto"/>
        <w:tblLook w:val="04A0" w:firstRow="1" w:lastRow="0" w:firstColumn="1" w:lastColumn="0" w:noHBand="0" w:noVBand="1"/>
      </w:tblPr>
      <w:tblGrid>
        <w:gridCol w:w="5015"/>
        <w:gridCol w:w="2090"/>
        <w:gridCol w:w="2245"/>
      </w:tblGrid>
      <w:tr w:rsidR="00B92EC0" w:rsidRPr="00612A0A" w14:paraId="6070082A" w14:textId="77777777" w:rsidTr="00EC4DCE">
        <w:trPr>
          <w:trHeight w:val="20"/>
        </w:trPr>
        <w:tc>
          <w:tcPr>
            <w:tcW w:w="9350" w:type="dxa"/>
            <w:gridSpan w:val="3"/>
            <w:tcMar>
              <w:top w:w="72" w:type="dxa"/>
              <w:left w:w="115" w:type="dxa"/>
              <w:bottom w:w="72" w:type="dxa"/>
              <w:right w:w="115" w:type="dxa"/>
            </w:tcMar>
            <w:vAlign w:val="center"/>
          </w:tcPr>
          <w:p w14:paraId="19D90473" w14:textId="77777777" w:rsidR="00B92EC0" w:rsidRPr="00612A0A" w:rsidRDefault="00B92EC0" w:rsidP="00AD309C">
            <w:pPr>
              <w:numPr>
                <w:ilvl w:val="0"/>
                <w:numId w:val="91"/>
              </w:numPr>
              <w:spacing w:line="276" w:lineRule="auto"/>
              <w:rPr>
                <w:rFonts w:eastAsia="Yu Gothic Light"/>
              </w:rPr>
            </w:pPr>
            <w:r w:rsidRPr="00612A0A">
              <w:rPr>
                <w:rFonts w:eastAsia="Yu Gothic Light"/>
              </w:rPr>
              <w:t xml:space="preserve">Total adult and/or pediatric volume for each of the following applicable procedures performed at your </w:t>
            </w:r>
            <w:r>
              <w:rPr>
                <w:rFonts w:eastAsia="Yu Gothic Light"/>
              </w:rPr>
              <w:t>hospital outpatient department(s)</w:t>
            </w:r>
            <w:r w:rsidRPr="00612A0A">
              <w:rPr>
                <w:rFonts w:eastAsia="Yu Gothic Light"/>
              </w:rPr>
              <w:t xml:space="preserve"> during the reporting period.</w:t>
            </w:r>
          </w:p>
          <w:p w14:paraId="358C6E0B" w14:textId="77777777" w:rsidR="00B92EC0" w:rsidRPr="00612A0A" w:rsidRDefault="00B92EC0" w:rsidP="00EC4DCE"/>
          <w:p w14:paraId="676673A9" w14:textId="4EE002ED" w:rsidR="00B92EC0" w:rsidRPr="00612A0A" w:rsidRDefault="00B92EC0" w:rsidP="00EC4DCE">
            <w:pPr>
              <w:ind w:left="360"/>
              <w:rPr>
                <w:i/>
              </w:rPr>
            </w:pPr>
            <w:r w:rsidRPr="00612A0A">
              <w:rPr>
                <w:i/>
              </w:rPr>
              <w:t xml:space="preserve">You cannot leave any blank. If you did not perform one or more of the procedures listed below enter 0 (zero). If you had zero volume for </w:t>
            </w:r>
            <w:r w:rsidRPr="00612A0A">
              <w:rPr>
                <w:b/>
                <w:i/>
                <w:u w:val="single"/>
              </w:rPr>
              <w:t>all</w:t>
            </w:r>
            <w:r w:rsidRPr="00612A0A">
              <w:rPr>
                <w:i/>
              </w:rPr>
              <w:t xml:space="preserve"> procedures, go back to question #</w:t>
            </w:r>
            <w:r>
              <w:rPr>
                <w:i/>
              </w:rPr>
              <w:t>2</w:t>
            </w:r>
            <w:r w:rsidRPr="00612A0A">
              <w:rPr>
                <w:i/>
              </w:rPr>
              <w:t xml:space="preserve"> and update your response from “yes” to “no.”</w:t>
            </w:r>
          </w:p>
        </w:tc>
      </w:tr>
      <w:tr w:rsidR="00B92EC0" w:rsidRPr="00612A0A" w14:paraId="0F9E9FD7" w14:textId="77777777" w:rsidTr="00EC4DCE">
        <w:trPr>
          <w:trHeight w:val="20"/>
        </w:trPr>
        <w:tc>
          <w:tcPr>
            <w:tcW w:w="5015" w:type="dxa"/>
            <w:tcMar>
              <w:top w:w="72" w:type="dxa"/>
              <w:left w:w="115" w:type="dxa"/>
              <w:bottom w:w="72" w:type="dxa"/>
              <w:right w:w="115" w:type="dxa"/>
            </w:tcMar>
            <w:vAlign w:val="center"/>
          </w:tcPr>
          <w:p w14:paraId="44F61111" w14:textId="77777777" w:rsidR="00B92EC0" w:rsidRPr="00612A0A" w:rsidRDefault="00B92EC0" w:rsidP="00EC4DCE">
            <w:pPr>
              <w:spacing w:line="276" w:lineRule="auto"/>
              <w:ind w:left="360"/>
              <w:rPr>
                <w:rFonts w:eastAsia="Yu Gothic Light"/>
              </w:rPr>
            </w:pPr>
          </w:p>
        </w:tc>
        <w:tc>
          <w:tcPr>
            <w:tcW w:w="2090" w:type="dxa"/>
            <w:tcMar>
              <w:top w:w="72" w:type="dxa"/>
              <w:left w:w="115" w:type="dxa"/>
              <w:bottom w:w="72" w:type="dxa"/>
              <w:right w:w="115" w:type="dxa"/>
            </w:tcMar>
          </w:tcPr>
          <w:p w14:paraId="2EF9A2E7" w14:textId="77777777" w:rsidR="00B92EC0" w:rsidRPr="00612A0A" w:rsidRDefault="00B92EC0" w:rsidP="00AD309C">
            <w:pPr>
              <w:numPr>
                <w:ilvl w:val="0"/>
                <w:numId w:val="102"/>
              </w:numPr>
            </w:pPr>
            <w:r w:rsidRPr="00612A0A">
              <w:rPr>
                <w:i/>
              </w:rPr>
              <w:t>Adult Volume</w:t>
            </w:r>
          </w:p>
        </w:tc>
        <w:tc>
          <w:tcPr>
            <w:tcW w:w="2245" w:type="dxa"/>
          </w:tcPr>
          <w:p w14:paraId="39EB36B5" w14:textId="77777777" w:rsidR="00B92EC0" w:rsidRPr="00612A0A" w:rsidRDefault="00B92EC0" w:rsidP="00AD309C">
            <w:pPr>
              <w:numPr>
                <w:ilvl w:val="0"/>
                <w:numId w:val="102"/>
              </w:numPr>
            </w:pPr>
            <w:r w:rsidRPr="00612A0A">
              <w:rPr>
                <w:i/>
              </w:rPr>
              <w:t>Pediatric Volume</w:t>
            </w:r>
          </w:p>
        </w:tc>
      </w:tr>
      <w:tr w:rsidR="00B92EC0" w:rsidRPr="00612A0A" w14:paraId="07E8C463" w14:textId="77777777" w:rsidTr="004F63C1">
        <w:trPr>
          <w:trHeight w:val="20"/>
        </w:trPr>
        <w:tc>
          <w:tcPr>
            <w:tcW w:w="5015" w:type="dxa"/>
            <w:tcMar>
              <w:top w:w="72" w:type="dxa"/>
              <w:left w:w="115" w:type="dxa"/>
              <w:bottom w:w="72" w:type="dxa"/>
              <w:right w:w="115" w:type="dxa"/>
            </w:tcMar>
            <w:vAlign w:val="center"/>
          </w:tcPr>
          <w:p w14:paraId="5366A5AA" w14:textId="77777777" w:rsidR="00B92EC0" w:rsidRPr="00612A0A" w:rsidRDefault="00B92EC0" w:rsidP="00EC4DCE">
            <w:pPr>
              <w:spacing w:line="276" w:lineRule="auto"/>
              <w:rPr>
                <w:rFonts w:eastAsia="Yu Gothic Light"/>
                <w:b/>
              </w:rPr>
            </w:pPr>
            <w:r w:rsidRPr="00612A0A">
              <w:rPr>
                <w:rFonts w:eastAsia="Yu Gothic Light"/>
                <w:b/>
              </w:rPr>
              <w:t xml:space="preserve">Anterior segment eye procedures </w:t>
            </w:r>
          </w:p>
        </w:tc>
        <w:tc>
          <w:tcPr>
            <w:tcW w:w="2090" w:type="dxa"/>
            <w:tcMar>
              <w:top w:w="72" w:type="dxa"/>
              <w:left w:w="115" w:type="dxa"/>
              <w:bottom w:w="72" w:type="dxa"/>
              <w:right w:w="115" w:type="dxa"/>
            </w:tcMar>
            <w:vAlign w:val="center"/>
          </w:tcPr>
          <w:p w14:paraId="23EE4B31" w14:textId="77777777" w:rsidR="00B92EC0" w:rsidRPr="00612A0A" w:rsidRDefault="00B92EC0" w:rsidP="00EC4DCE">
            <w:pPr>
              <w:jc w:val="center"/>
            </w:pPr>
            <w:r w:rsidRPr="00612A0A">
              <w:t>_____</w:t>
            </w:r>
          </w:p>
        </w:tc>
        <w:tc>
          <w:tcPr>
            <w:tcW w:w="2245" w:type="dxa"/>
            <w:shd w:val="clear" w:color="auto" w:fill="BFBFBF" w:themeFill="background1" w:themeFillShade="BF"/>
            <w:vAlign w:val="center"/>
          </w:tcPr>
          <w:p w14:paraId="07C767E0" w14:textId="086652BF" w:rsidR="00B92EC0" w:rsidRPr="00612A0A" w:rsidRDefault="00B92EC0" w:rsidP="00EC4DCE">
            <w:pPr>
              <w:jc w:val="center"/>
            </w:pPr>
          </w:p>
        </w:tc>
      </w:tr>
      <w:tr w:rsidR="00B92EC0" w:rsidRPr="00612A0A" w14:paraId="247318C8" w14:textId="77777777" w:rsidTr="004F63C1">
        <w:trPr>
          <w:trHeight w:val="20"/>
        </w:trPr>
        <w:tc>
          <w:tcPr>
            <w:tcW w:w="5015" w:type="dxa"/>
            <w:tcMar>
              <w:top w:w="72" w:type="dxa"/>
              <w:left w:w="115" w:type="dxa"/>
              <w:bottom w:w="72" w:type="dxa"/>
              <w:right w:w="115" w:type="dxa"/>
            </w:tcMar>
            <w:vAlign w:val="center"/>
          </w:tcPr>
          <w:p w14:paraId="07C2AC70" w14:textId="77777777" w:rsidR="00B92EC0" w:rsidRPr="00612A0A" w:rsidRDefault="00B92EC0" w:rsidP="00EC4DCE">
            <w:pPr>
              <w:spacing w:line="276" w:lineRule="auto"/>
              <w:rPr>
                <w:rFonts w:eastAsia="Yu Gothic Light"/>
                <w:b/>
              </w:rPr>
            </w:pPr>
            <w:r w:rsidRPr="00612A0A">
              <w:rPr>
                <w:rFonts w:eastAsia="Yu Gothic Light"/>
                <w:b/>
              </w:rPr>
              <w:t>Posterior segment eye procedures</w:t>
            </w:r>
          </w:p>
        </w:tc>
        <w:tc>
          <w:tcPr>
            <w:tcW w:w="2090" w:type="dxa"/>
            <w:tcMar>
              <w:top w:w="72" w:type="dxa"/>
              <w:left w:w="115" w:type="dxa"/>
              <w:bottom w:w="72" w:type="dxa"/>
              <w:right w:w="115" w:type="dxa"/>
            </w:tcMar>
            <w:vAlign w:val="center"/>
          </w:tcPr>
          <w:p w14:paraId="525DE714" w14:textId="77777777" w:rsidR="00B92EC0" w:rsidRPr="00612A0A" w:rsidRDefault="00B92EC0" w:rsidP="00EC4DCE">
            <w:pPr>
              <w:jc w:val="center"/>
              <w:rPr>
                <w:i/>
              </w:rPr>
            </w:pPr>
            <w:r w:rsidRPr="00612A0A">
              <w:t>_____</w:t>
            </w:r>
          </w:p>
        </w:tc>
        <w:tc>
          <w:tcPr>
            <w:tcW w:w="2245" w:type="dxa"/>
            <w:shd w:val="clear" w:color="auto" w:fill="BFBFBF" w:themeFill="background1" w:themeFillShade="BF"/>
            <w:vAlign w:val="center"/>
          </w:tcPr>
          <w:p w14:paraId="7776D26A" w14:textId="588121E2" w:rsidR="00B92EC0" w:rsidRPr="00612A0A" w:rsidRDefault="00B92EC0" w:rsidP="00EC4DCE">
            <w:pPr>
              <w:jc w:val="center"/>
              <w:rPr>
                <w:i/>
              </w:rPr>
            </w:pPr>
          </w:p>
        </w:tc>
      </w:tr>
      <w:tr w:rsidR="00B92EC0" w:rsidRPr="00612A0A" w14:paraId="5B459155" w14:textId="77777777" w:rsidTr="00EC4DCE">
        <w:trPr>
          <w:trHeight w:val="20"/>
        </w:trPr>
        <w:tc>
          <w:tcPr>
            <w:tcW w:w="5015" w:type="dxa"/>
            <w:tcMar>
              <w:top w:w="72" w:type="dxa"/>
              <w:left w:w="115" w:type="dxa"/>
              <w:bottom w:w="72" w:type="dxa"/>
              <w:right w:w="115" w:type="dxa"/>
            </w:tcMar>
            <w:vAlign w:val="center"/>
          </w:tcPr>
          <w:p w14:paraId="6E8A7643" w14:textId="77777777" w:rsidR="00B92EC0" w:rsidRPr="00612A0A" w:rsidRDefault="00B92EC0" w:rsidP="00EC4DCE">
            <w:pPr>
              <w:spacing w:line="276" w:lineRule="auto"/>
              <w:rPr>
                <w:rFonts w:eastAsia="Yu Gothic Light"/>
                <w:b/>
              </w:rPr>
            </w:pPr>
            <w:r>
              <w:rPr>
                <w:rFonts w:eastAsia="Yu Gothic Light"/>
                <w:b/>
              </w:rPr>
              <w:t>Ocular adnexa and other eye procedures</w:t>
            </w:r>
          </w:p>
        </w:tc>
        <w:tc>
          <w:tcPr>
            <w:tcW w:w="2090" w:type="dxa"/>
            <w:tcMar>
              <w:top w:w="72" w:type="dxa"/>
              <w:left w:w="115" w:type="dxa"/>
              <w:bottom w:w="72" w:type="dxa"/>
              <w:right w:w="115" w:type="dxa"/>
            </w:tcMar>
            <w:vAlign w:val="center"/>
          </w:tcPr>
          <w:p w14:paraId="50E7DEBA" w14:textId="77777777" w:rsidR="00B92EC0" w:rsidRPr="00612A0A" w:rsidRDefault="00B92EC0" w:rsidP="00EC4DCE">
            <w:pPr>
              <w:jc w:val="center"/>
            </w:pPr>
            <w:r w:rsidRPr="00612A0A">
              <w:t>_____</w:t>
            </w:r>
          </w:p>
        </w:tc>
        <w:tc>
          <w:tcPr>
            <w:tcW w:w="2245" w:type="dxa"/>
            <w:vAlign w:val="center"/>
          </w:tcPr>
          <w:p w14:paraId="6A585F1B" w14:textId="77777777" w:rsidR="00B92EC0" w:rsidRPr="00612A0A" w:rsidRDefault="00B92EC0" w:rsidP="00EC4DCE">
            <w:pPr>
              <w:jc w:val="center"/>
              <w:rPr>
                <w:i/>
              </w:rPr>
            </w:pPr>
            <w:r w:rsidRPr="00612A0A">
              <w:t>_____</w:t>
            </w:r>
          </w:p>
        </w:tc>
      </w:tr>
    </w:tbl>
    <w:p w14:paraId="16E553C1" w14:textId="77777777" w:rsidR="00B92EC0" w:rsidRDefault="00B92EC0" w:rsidP="00B92EC0"/>
    <w:tbl>
      <w:tblPr>
        <w:tblStyle w:val="TableGrid"/>
        <w:tblW w:w="0" w:type="auto"/>
        <w:tblLayout w:type="fixed"/>
        <w:tblCellMar>
          <w:left w:w="115" w:type="dxa"/>
          <w:right w:w="115" w:type="dxa"/>
        </w:tblCellMar>
        <w:tblLook w:val="04A0" w:firstRow="1" w:lastRow="0" w:firstColumn="1" w:lastColumn="0" w:noHBand="0" w:noVBand="1"/>
      </w:tblPr>
      <w:tblGrid>
        <w:gridCol w:w="6205"/>
        <w:gridCol w:w="3145"/>
      </w:tblGrid>
      <w:tr w:rsidR="00B92EC0" w:rsidRPr="005B2F83" w14:paraId="3E63F6C9" w14:textId="77777777" w:rsidTr="00EC4DCE">
        <w:trPr>
          <w:trHeight w:val="20"/>
        </w:trPr>
        <w:tc>
          <w:tcPr>
            <w:tcW w:w="6205" w:type="dxa"/>
            <w:tcMar>
              <w:top w:w="72" w:type="dxa"/>
              <w:left w:w="115" w:type="dxa"/>
              <w:bottom w:w="72" w:type="dxa"/>
              <w:right w:w="115" w:type="dxa"/>
            </w:tcMar>
            <w:vAlign w:val="center"/>
          </w:tcPr>
          <w:p w14:paraId="76CADFD6" w14:textId="77777777" w:rsidR="00B92EC0" w:rsidRDefault="00B92EC0" w:rsidP="00AD309C">
            <w:pPr>
              <w:pStyle w:val="ListParagraph"/>
              <w:numPr>
                <w:ilvl w:val="0"/>
                <w:numId w:val="91"/>
              </w:numPr>
            </w:pPr>
            <w:r>
              <w:t xml:space="preserve">Where were these </w:t>
            </w:r>
            <w:r w:rsidRPr="00AB1823">
              <w:rPr>
                <w:b/>
              </w:rPr>
              <w:t>ophthalmology</w:t>
            </w:r>
            <w:r w:rsidRPr="005D2045">
              <w:rPr>
                <w:b/>
              </w:rPr>
              <w:t xml:space="preserve"> </w:t>
            </w:r>
            <w:r>
              <w:t>procedures performed?</w:t>
            </w:r>
          </w:p>
          <w:p w14:paraId="5FFA14F1" w14:textId="77777777" w:rsidR="00B92EC0" w:rsidRDefault="00B92EC0" w:rsidP="00EC4DCE">
            <w:pPr>
              <w:pStyle w:val="ListParagraph"/>
              <w:ind w:left="360"/>
            </w:pPr>
          </w:p>
          <w:p w14:paraId="180259AA" w14:textId="77777777" w:rsidR="00B92EC0" w:rsidRPr="00131F2C" w:rsidRDefault="00B92EC0" w:rsidP="00EC4DCE">
            <w:pPr>
              <w:pStyle w:val="ListParagraph"/>
              <w:ind w:left="360"/>
              <w:rPr>
                <w:i/>
              </w:rPr>
            </w:pPr>
            <w:r>
              <w:rPr>
                <w:i/>
              </w:rPr>
              <w:t>Select all that apply.</w:t>
            </w:r>
          </w:p>
          <w:p w14:paraId="2D3688C1" w14:textId="77777777" w:rsidR="00B92EC0" w:rsidRPr="005D2045" w:rsidRDefault="00B92EC0" w:rsidP="00EC4DCE">
            <w:pPr>
              <w:pStyle w:val="ListParagraph"/>
              <w:ind w:left="360"/>
            </w:pPr>
          </w:p>
          <w:p w14:paraId="20291E38" w14:textId="045542B2" w:rsidR="00B92EC0" w:rsidRPr="005D2045" w:rsidRDefault="00B92EC0" w:rsidP="00EC4DCE">
            <w:pPr>
              <w:pStyle w:val="ListParagraph"/>
              <w:ind w:left="360"/>
            </w:pPr>
            <w:r w:rsidRPr="007D5AE3">
              <w:rPr>
                <w:i/>
              </w:rPr>
              <w:t>If only “hospital” is selected,</w:t>
            </w:r>
            <w:r>
              <w:rPr>
                <w:i/>
              </w:rPr>
              <w:t xml:space="preserve"> </w:t>
            </w:r>
            <w:r w:rsidRPr="00B674A0">
              <w:rPr>
                <w:i/>
              </w:rPr>
              <w:t xml:space="preserve">skip </w:t>
            </w:r>
            <w:r>
              <w:rPr>
                <w:i/>
              </w:rPr>
              <w:t>question #13 and continue to question #14.</w:t>
            </w:r>
          </w:p>
        </w:tc>
        <w:tc>
          <w:tcPr>
            <w:tcW w:w="3145" w:type="dxa"/>
            <w:vAlign w:val="center"/>
          </w:tcPr>
          <w:p w14:paraId="64791678" w14:textId="77777777" w:rsidR="00B92EC0" w:rsidRPr="00753419" w:rsidRDefault="00B92EC0" w:rsidP="00AD309C">
            <w:pPr>
              <w:pStyle w:val="ListParagraph"/>
              <w:numPr>
                <w:ilvl w:val="0"/>
                <w:numId w:val="94"/>
              </w:numPr>
              <w:spacing w:line="276" w:lineRule="auto"/>
              <w:rPr>
                <w:iCs/>
              </w:rPr>
            </w:pPr>
            <w:r w:rsidRPr="00753419">
              <w:rPr>
                <w:iCs/>
              </w:rPr>
              <w:t>Hospital</w:t>
            </w:r>
          </w:p>
          <w:p w14:paraId="145FE86A" w14:textId="77777777" w:rsidR="00B92EC0" w:rsidRPr="00551F82" w:rsidRDefault="00B92EC0" w:rsidP="00AD309C">
            <w:pPr>
              <w:pStyle w:val="ListParagraph"/>
              <w:numPr>
                <w:ilvl w:val="0"/>
                <w:numId w:val="94"/>
              </w:numPr>
              <w:spacing w:line="276" w:lineRule="auto"/>
              <w:rPr>
                <w:i/>
              </w:rPr>
            </w:pPr>
            <w:r w:rsidRPr="00753419">
              <w:rPr>
                <w:iCs/>
              </w:rPr>
              <w:t>Surgery center or free-standing hospital outpatient department</w:t>
            </w:r>
          </w:p>
        </w:tc>
      </w:tr>
    </w:tbl>
    <w:p w14:paraId="1BFF536A" w14:textId="77777777" w:rsidR="00B92EC0" w:rsidRDefault="00B92EC0" w:rsidP="00B92EC0"/>
    <w:tbl>
      <w:tblPr>
        <w:tblStyle w:val="TableGrid"/>
        <w:tblW w:w="0" w:type="auto"/>
        <w:tblLayout w:type="fixed"/>
        <w:tblCellMar>
          <w:left w:w="115" w:type="dxa"/>
          <w:right w:w="115" w:type="dxa"/>
        </w:tblCellMar>
        <w:tblLook w:val="04A0" w:firstRow="1" w:lastRow="0" w:firstColumn="1" w:lastColumn="0" w:noHBand="0" w:noVBand="1"/>
      </w:tblPr>
      <w:tblGrid>
        <w:gridCol w:w="4135"/>
        <w:gridCol w:w="2098"/>
        <w:gridCol w:w="3117"/>
      </w:tblGrid>
      <w:tr w:rsidR="00B92EC0" w:rsidRPr="005B2F83" w14:paraId="1DED24A4" w14:textId="77777777" w:rsidTr="00EC4DCE">
        <w:trPr>
          <w:trHeight w:val="20"/>
        </w:trPr>
        <w:tc>
          <w:tcPr>
            <w:tcW w:w="9350" w:type="dxa"/>
            <w:gridSpan w:val="3"/>
            <w:tcMar>
              <w:top w:w="72" w:type="dxa"/>
              <w:left w:w="115" w:type="dxa"/>
              <w:bottom w:w="72" w:type="dxa"/>
              <w:right w:w="115" w:type="dxa"/>
            </w:tcMar>
            <w:vAlign w:val="center"/>
          </w:tcPr>
          <w:p w14:paraId="2D2FCD8B" w14:textId="77777777" w:rsidR="00B92EC0" w:rsidRDefault="00B92EC0" w:rsidP="00AD309C">
            <w:pPr>
              <w:pStyle w:val="ListParagraph"/>
              <w:numPr>
                <w:ilvl w:val="0"/>
                <w:numId w:val="91"/>
              </w:numPr>
              <w:spacing w:line="276" w:lineRule="auto"/>
              <w:rPr>
                <w:i/>
              </w:rPr>
            </w:pPr>
            <w:r>
              <w:t xml:space="preserve">Please provide the name and city location of each surgery center or free-standing hospital outpatient department performing </w:t>
            </w:r>
            <w:r w:rsidRPr="00AB1823">
              <w:rPr>
                <w:b/>
              </w:rPr>
              <w:t>ophthalmology</w:t>
            </w:r>
            <w:r>
              <w:t xml:space="preserve"> procedures:</w:t>
            </w:r>
          </w:p>
        </w:tc>
      </w:tr>
      <w:tr w:rsidR="00B92EC0" w:rsidRPr="005B2F83" w14:paraId="30E6BCA0" w14:textId="77777777" w:rsidTr="00EC4DCE">
        <w:trPr>
          <w:trHeight w:val="20"/>
        </w:trPr>
        <w:tc>
          <w:tcPr>
            <w:tcW w:w="4135" w:type="dxa"/>
            <w:tcMar>
              <w:top w:w="72" w:type="dxa"/>
              <w:left w:w="115" w:type="dxa"/>
              <w:bottom w:w="72" w:type="dxa"/>
              <w:right w:w="115" w:type="dxa"/>
            </w:tcMar>
            <w:vAlign w:val="center"/>
          </w:tcPr>
          <w:p w14:paraId="2DA36492" w14:textId="77777777" w:rsidR="00B92EC0" w:rsidRDefault="00B92EC0" w:rsidP="00EC4DCE">
            <w:pPr>
              <w:pStyle w:val="ListParagraph"/>
              <w:spacing w:line="276" w:lineRule="auto"/>
              <w:ind w:left="360"/>
            </w:pPr>
          </w:p>
        </w:tc>
        <w:tc>
          <w:tcPr>
            <w:tcW w:w="2098" w:type="dxa"/>
            <w:vAlign w:val="center"/>
          </w:tcPr>
          <w:p w14:paraId="70560955" w14:textId="77777777" w:rsidR="00B92EC0" w:rsidRPr="005C60B1" w:rsidRDefault="00B92EC0" w:rsidP="004F63C1">
            <w:pPr>
              <w:spacing w:line="276" w:lineRule="auto"/>
              <w:jc w:val="center"/>
              <w:rPr>
                <w:i/>
              </w:rPr>
            </w:pPr>
            <w:r w:rsidRPr="005C60B1">
              <w:rPr>
                <w:i/>
              </w:rPr>
              <w:t>Name</w:t>
            </w:r>
          </w:p>
        </w:tc>
        <w:tc>
          <w:tcPr>
            <w:tcW w:w="3117" w:type="dxa"/>
            <w:vAlign w:val="center"/>
          </w:tcPr>
          <w:p w14:paraId="2FB0E8FB" w14:textId="77777777" w:rsidR="00B92EC0" w:rsidRPr="005C60B1" w:rsidRDefault="00B92EC0" w:rsidP="004F63C1">
            <w:pPr>
              <w:spacing w:line="276" w:lineRule="auto"/>
              <w:jc w:val="center"/>
              <w:rPr>
                <w:i/>
              </w:rPr>
            </w:pPr>
            <w:r w:rsidRPr="005C60B1">
              <w:rPr>
                <w:i/>
              </w:rPr>
              <w:t>City</w:t>
            </w:r>
          </w:p>
        </w:tc>
      </w:tr>
      <w:tr w:rsidR="00B92EC0" w:rsidRPr="005B2F83" w14:paraId="0336C0CB" w14:textId="77777777" w:rsidTr="00EC4DCE">
        <w:trPr>
          <w:trHeight w:val="476"/>
        </w:trPr>
        <w:tc>
          <w:tcPr>
            <w:tcW w:w="4135" w:type="dxa"/>
            <w:tcMar>
              <w:top w:w="72" w:type="dxa"/>
              <w:left w:w="115" w:type="dxa"/>
              <w:bottom w:w="72" w:type="dxa"/>
              <w:right w:w="115" w:type="dxa"/>
            </w:tcMar>
            <w:vAlign w:val="center"/>
          </w:tcPr>
          <w:p w14:paraId="1EDF1EFE"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1</w:t>
            </w:r>
          </w:p>
        </w:tc>
        <w:tc>
          <w:tcPr>
            <w:tcW w:w="2098" w:type="dxa"/>
            <w:vAlign w:val="center"/>
          </w:tcPr>
          <w:p w14:paraId="70B4BA15" w14:textId="77777777" w:rsidR="00B92EC0" w:rsidRDefault="00B92EC0" w:rsidP="00EC4DCE">
            <w:pPr>
              <w:pStyle w:val="ListParagraph"/>
              <w:spacing w:line="276" w:lineRule="auto"/>
              <w:ind w:left="360"/>
            </w:pPr>
          </w:p>
        </w:tc>
        <w:tc>
          <w:tcPr>
            <w:tcW w:w="3117" w:type="dxa"/>
            <w:vAlign w:val="center"/>
          </w:tcPr>
          <w:p w14:paraId="6053A03A" w14:textId="77777777" w:rsidR="00B92EC0" w:rsidRDefault="00B92EC0" w:rsidP="00EC4DCE">
            <w:pPr>
              <w:pStyle w:val="ListParagraph"/>
              <w:spacing w:line="276" w:lineRule="auto"/>
              <w:ind w:left="360"/>
            </w:pPr>
          </w:p>
        </w:tc>
      </w:tr>
      <w:tr w:rsidR="00B92EC0" w:rsidRPr="005B2F83" w14:paraId="7B41B5F6" w14:textId="77777777" w:rsidTr="00EC4DCE">
        <w:trPr>
          <w:trHeight w:val="476"/>
        </w:trPr>
        <w:tc>
          <w:tcPr>
            <w:tcW w:w="4135" w:type="dxa"/>
            <w:tcMar>
              <w:top w:w="72" w:type="dxa"/>
              <w:left w:w="115" w:type="dxa"/>
              <w:bottom w:w="72" w:type="dxa"/>
              <w:right w:w="115" w:type="dxa"/>
            </w:tcMar>
            <w:vAlign w:val="center"/>
          </w:tcPr>
          <w:p w14:paraId="668ED88D"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2</w:t>
            </w:r>
          </w:p>
        </w:tc>
        <w:tc>
          <w:tcPr>
            <w:tcW w:w="2098" w:type="dxa"/>
            <w:vAlign w:val="center"/>
          </w:tcPr>
          <w:p w14:paraId="11168AE5" w14:textId="77777777" w:rsidR="00B92EC0" w:rsidRDefault="00B92EC0" w:rsidP="00EC4DCE">
            <w:pPr>
              <w:pStyle w:val="ListParagraph"/>
              <w:spacing w:line="276" w:lineRule="auto"/>
              <w:ind w:left="360"/>
            </w:pPr>
          </w:p>
        </w:tc>
        <w:tc>
          <w:tcPr>
            <w:tcW w:w="3117" w:type="dxa"/>
            <w:vAlign w:val="center"/>
          </w:tcPr>
          <w:p w14:paraId="28DB2C5D" w14:textId="77777777" w:rsidR="00B92EC0" w:rsidRDefault="00B92EC0" w:rsidP="00EC4DCE">
            <w:pPr>
              <w:pStyle w:val="ListParagraph"/>
              <w:spacing w:line="276" w:lineRule="auto"/>
              <w:ind w:left="360"/>
            </w:pPr>
          </w:p>
        </w:tc>
      </w:tr>
      <w:tr w:rsidR="00B92EC0" w:rsidRPr="005B2F83" w14:paraId="40809C18" w14:textId="77777777" w:rsidTr="00EC4DCE">
        <w:trPr>
          <w:trHeight w:val="476"/>
        </w:trPr>
        <w:tc>
          <w:tcPr>
            <w:tcW w:w="4135" w:type="dxa"/>
            <w:tcMar>
              <w:top w:w="72" w:type="dxa"/>
              <w:left w:w="115" w:type="dxa"/>
              <w:bottom w:w="72" w:type="dxa"/>
              <w:right w:w="115" w:type="dxa"/>
            </w:tcMar>
            <w:vAlign w:val="center"/>
          </w:tcPr>
          <w:p w14:paraId="22EE97D4"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3</w:t>
            </w:r>
          </w:p>
        </w:tc>
        <w:tc>
          <w:tcPr>
            <w:tcW w:w="2098" w:type="dxa"/>
            <w:vAlign w:val="center"/>
          </w:tcPr>
          <w:p w14:paraId="3643646D" w14:textId="77777777" w:rsidR="00B92EC0" w:rsidRDefault="00B92EC0" w:rsidP="00EC4DCE">
            <w:pPr>
              <w:pStyle w:val="ListParagraph"/>
              <w:spacing w:line="276" w:lineRule="auto"/>
              <w:ind w:left="360"/>
            </w:pPr>
          </w:p>
        </w:tc>
        <w:tc>
          <w:tcPr>
            <w:tcW w:w="3117" w:type="dxa"/>
            <w:vAlign w:val="center"/>
          </w:tcPr>
          <w:p w14:paraId="52707D38" w14:textId="77777777" w:rsidR="00B92EC0" w:rsidRDefault="00B92EC0" w:rsidP="00EC4DCE">
            <w:pPr>
              <w:pStyle w:val="ListParagraph"/>
              <w:spacing w:line="276" w:lineRule="auto"/>
              <w:ind w:left="360"/>
            </w:pPr>
          </w:p>
        </w:tc>
      </w:tr>
      <w:tr w:rsidR="00B92EC0" w:rsidRPr="005B2F83" w14:paraId="1D043276" w14:textId="77777777" w:rsidTr="00EC4DCE">
        <w:trPr>
          <w:trHeight w:val="476"/>
        </w:trPr>
        <w:tc>
          <w:tcPr>
            <w:tcW w:w="4135" w:type="dxa"/>
            <w:tcMar>
              <w:top w:w="72" w:type="dxa"/>
              <w:left w:w="115" w:type="dxa"/>
              <w:bottom w:w="72" w:type="dxa"/>
              <w:right w:w="115" w:type="dxa"/>
            </w:tcMar>
            <w:vAlign w:val="center"/>
          </w:tcPr>
          <w:p w14:paraId="20F11AE3"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4</w:t>
            </w:r>
          </w:p>
        </w:tc>
        <w:tc>
          <w:tcPr>
            <w:tcW w:w="2098" w:type="dxa"/>
            <w:vAlign w:val="center"/>
          </w:tcPr>
          <w:p w14:paraId="5CA14BF5" w14:textId="77777777" w:rsidR="00B92EC0" w:rsidRDefault="00B92EC0" w:rsidP="00EC4DCE">
            <w:pPr>
              <w:pStyle w:val="ListParagraph"/>
              <w:spacing w:line="276" w:lineRule="auto"/>
              <w:ind w:left="360"/>
            </w:pPr>
          </w:p>
        </w:tc>
        <w:tc>
          <w:tcPr>
            <w:tcW w:w="3117" w:type="dxa"/>
            <w:vAlign w:val="center"/>
          </w:tcPr>
          <w:p w14:paraId="32EBD983" w14:textId="77777777" w:rsidR="00B92EC0" w:rsidRDefault="00B92EC0" w:rsidP="00EC4DCE">
            <w:pPr>
              <w:pStyle w:val="ListParagraph"/>
              <w:spacing w:line="276" w:lineRule="auto"/>
              <w:ind w:left="360"/>
            </w:pPr>
          </w:p>
        </w:tc>
      </w:tr>
      <w:tr w:rsidR="00B92EC0" w:rsidRPr="005B2F83" w14:paraId="46A5B6E7" w14:textId="77777777" w:rsidTr="00EC4DCE">
        <w:trPr>
          <w:trHeight w:val="476"/>
        </w:trPr>
        <w:tc>
          <w:tcPr>
            <w:tcW w:w="4135" w:type="dxa"/>
            <w:tcMar>
              <w:top w:w="72" w:type="dxa"/>
              <w:left w:w="115" w:type="dxa"/>
              <w:bottom w:w="72" w:type="dxa"/>
              <w:right w:w="115" w:type="dxa"/>
            </w:tcMar>
            <w:vAlign w:val="center"/>
          </w:tcPr>
          <w:p w14:paraId="4510915D"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5</w:t>
            </w:r>
          </w:p>
        </w:tc>
        <w:tc>
          <w:tcPr>
            <w:tcW w:w="2098" w:type="dxa"/>
            <w:vAlign w:val="center"/>
          </w:tcPr>
          <w:p w14:paraId="27A574FA" w14:textId="77777777" w:rsidR="00B92EC0" w:rsidRDefault="00B92EC0" w:rsidP="00EC4DCE">
            <w:pPr>
              <w:pStyle w:val="ListParagraph"/>
              <w:spacing w:line="276" w:lineRule="auto"/>
              <w:ind w:left="360"/>
            </w:pPr>
          </w:p>
        </w:tc>
        <w:tc>
          <w:tcPr>
            <w:tcW w:w="3117" w:type="dxa"/>
            <w:vAlign w:val="center"/>
          </w:tcPr>
          <w:p w14:paraId="11856CA5" w14:textId="77777777" w:rsidR="00B92EC0" w:rsidRDefault="00B92EC0" w:rsidP="00EC4DCE">
            <w:pPr>
              <w:pStyle w:val="ListParagraph"/>
              <w:spacing w:line="276" w:lineRule="auto"/>
              <w:ind w:left="360"/>
            </w:pPr>
          </w:p>
        </w:tc>
      </w:tr>
    </w:tbl>
    <w:p w14:paraId="5E66A843" w14:textId="77777777" w:rsidR="00B92EC0" w:rsidRDefault="00B92EC0" w:rsidP="00B92EC0"/>
    <w:p w14:paraId="73DBFD93" w14:textId="77777777" w:rsidR="00F83C07" w:rsidRDefault="00F83C07" w:rsidP="00B92EC0"/>
    <w:p w14:paraId="110F4CBB" w14:textId="77777777" w:rsidR="00F83C07" w:rsidRDefault="00F83C07" w:rsidP="00B92EC0"/>
    <w:p w14:paraId="7C9DDF47" w14:textId="77777777" w:rsidR="00F83C07" w:rsidRDefault="00F83C07" w:rsidP="00B92EC0"/>
    <w:p w14:paraId="662A5BDA" w14:textId="77777777" w:rsidR="00F83C07" w:rsidRDefault="00F83C07" w:rsidP="00B92EC0"/>
    <w:p w14:paraId="1E6CF401" w14:textId="77777777" w:rsidR="00F83C07" w:rsidRDefault="00F83C07" w:rsidP="00B92EC0"/>
    <w:p w14:paraId="3496EB7E" w14:textId="77777777" w:rsidR="00F83C07" w:rsidRDefault="00F83C07" w:rsidP="00B92EC0"/>
    <w:p w14:paraId="5FA63EB2" w14:textId="77777777" w:rsidR="00F83C07" w:rsidRDefault="00F83C07" w:rsidP="00B92EC0"/>
    <w:p w14:paraId="23520535" w14:textId="77777777" w:rsidR="00B92EC0" w:rsidRPr="00841998" w:rsidRDefault="00B92EC0" w:rsidP="00AB5B80">
      <w:pPr>
        <w:pStyle w:val="Heading3"/>
        <w:rPr>
          <w:sz w:val="20"/>
          <w:szCs w:val="20"/>
        </w:rPr>
      </w:pPr>
      <w:bookmarkStart w:id="736" w:name="_Toc225877838"/>
      <w:r w:rsidRPr="00AD5994">
        <w:lastRenderedPageBreak/>
        <w:t>Orthopedic</w:t>
      </w:r>
      <w:bookmarkEnd w:id="736"/>
      <w:r>
        <w:br/>
      </w:r>
    </w:p>
    <w:tbl>
      <w:tblPr>
        <w:tblStyle w:val="TableGrid13"/>
        <w:tblW w:w="0" w:type="auto"/>
        <w:tblLook w:val="04A0" w:firstRow="1" w:lastRow="0" w:firstColumn="1" w:lastColumn="0" w:noHBand="0" w:noVBand="1"/>
      </w:tblPr>
      <w:tblGrid>
        <w:gridCol w:w="5015"/>
        <w:gridCol w:w="2090"/>
        <w:gridCol w:w="2245"/>
      </w:tblGrid>
      <w:tr w:rsidR="00B92EC0" w:rsidRPr="00073B66" w14:paraId="7ED59F7E" w14:textId="77777777" w:rsidTr="00EC4DCE">
        <w:trPr>
          <w:trHeight w:val="20"/>
        </w:trPr>
        <w:tc>
          <w:tcPr>
            <w:tcW w:w="9350" w:type="dxa"/>
            <w:gridSpan w:val="3"/>
            <w:tcMar>
              <w:top w:w="72" w:type="dxa"/>
              <w:left w:w="115" w:type="dxa"/>
              <w:bottom w:w="72" w:type="dxa"/>
              <w:right w:w="115" w:type="dxa"/>
            </w:tcMar>
            <w:vAlign w:val="center"/>
          </w:tcPr>
          <w:p w14:paraId="1C9E8731" w14:textId="77777777" w:rsidR="00B92EC0" w:rsidRPr="00073B66" w:rsidRDefault="00B92EC0" w:rsidP="00AD309C">
            <w:pPr>
              <w:numPr>
                <w:ilvl w:val="0"/>
                <w:numId w:val="91"/>
              </w:numPr>
              <w:spacing w:line="276" w:lineRule="auto"/>
              <w:rPr>
                <w:rFonts w:eastAsia="Yu Gothic Light"/>
              </w:rPr>
            </w:pPr>
            <w:r w:rsidRPr="00073B66">
              <w:rPr>
                <w:rFonts w:eastAsia="Yu Gothic Light"/>
              </w:rPr>
              <w:t xml:space="preserve">Total adult and/or pediatric volume for each of the following applicable procedures performed at your </w:t>
            </w:r>
            <w:r>
              <w:rPr>
                <w:rFonts w:eastAsia="Yu Gothic Light"/>
              </w:rPr>
              <w:t>hospital outpatient department(s)</w:t>
            </w:r>
            <w:r w:rsidRPr="00073B66">
              <w:rPr>
                <w:rFonts w:eastAsia="Yu Gothic Light"/>
              </w:rPr>
              <w:t xml:space="preserve"> during the reporting period.</w:t>
            </w:r>
          </w:p>
          <w:p w14:paraId="08B51A7A" w14:textId="77777777" w:rsidR="00B92EC0" w:rsidRPr="00073B66" w:rsidRDefault="00B92EC0" w:rsidP="00EC4DCE">
            <w:pPr>
              <w:spacing w:line="276" w:lineRule="auto"/>
              <w:rPr>
                <w:rFonts w:eastAsia="Yu Gothic Light"/>
              </w:rPr>
            </w:pPr>
          </w:p>
          <w:p w14:paraId="26C56C39" w14:textId="46D516A8" w:rsidR="00B92EC0" w:rsidRPr="00073B66" w:rsidRDefault="00B92EC0" w:rsidP="00EC4DCE">
            <w:pPr>
              <w:ind w:left="360"/>
              <w:rPr>
                <w:i/>
              </w:rPr>
            </w:pPr>
            <w:r w:rsidRPr="00073B66">
              <w:rPr>
                <w:i/>
              </w:rPr>
              <w:t xml:space="preserve">You cannot leave any blank. If you did not perform one or more of the procedures listed below enter 0 (zero). If you had zero volume for </w:t>
            </w:r>
            <w:r w:rsidRPr="00073B66">
              <w:rPr>
                <w:b/>
                <w:i/>
                <w:u w:val="single"/>
              </w:rPr>
              <w:t>all</w:t>
            </w:r>
            <w:r w:rsidRPr="00073B66">
              <w:rPr>
                <w:i/>
              </w:rPr>
              <w:t xml:space="preserve"> procedures, go back to question #</w:t>
            </w:r>
            <w:r>
              <w:rPr>
                <w:i/>
              </w:rPr>
              <w:t>3</w:t>
            </w:r>
            <w:r w:rsidRPr="00073B66">
              <w:rPr>
                <w:i/>
              </w:rPr>
              <w:t xml:space="preserve"> and update your response from “yes” to “no.”</w:t>
            </w:r>
          </w:p>
        </w:tc>
      </w:tr>
      <w:tr w:rsidR="00B92EC0" w:rsidRPr="00073B66" w14:paraId="3B08EDD4" w14:textId="77777777" w:rsidTr="00EC4DCE">
        <w:trPr>
          <w:trHeight w:val="20"/>
        </w:trPr>
        <w:tc>
          <w:tcPr>
            <w:tcW w:w="5015" w:type="dxa"/>
            <w:tcMar>
              <w:top w:w="72" w:type="dxa"/>
              <w:left w:w="115" w:type="dxa"/>
              <w:bottom w:w="72" w:type="dxa"/>
              <w:right w:w="115" w:type="dxa"/>
            </w:tcMar>
            <w:vAlign w:val="center"/>
          </w:tcPr>
          <w:p w14:paraId="6454AE57" w14:textId="77777777" w:rsidR="00B92EC0" w:rsidRPr="00073B66" w:rsidRDefault="00B92EC0" w:rsidP="00EC4DCE">
            <w:pPr>
              <w:spacing w:line="276" w:lineRule="auto"/>
              <w:ind w:left="360"/>
              <w:rPr>
                <w:rFonts w:eastAsia="Yu Gothic Light"/>
              </w:rPr>
            </w:pPr>
          </w:p>
        </w:tc>
        <w:tc>
          <w:tcPr>
            <w:tcW w:w="2090" w:type="dxa"/>
            <w:tcMar>
              <w:top w:w="72" w:type="dxa"/>
              <w:left w:w="115" w:type="dxa"/>
              <w:bottom w:w="72" w:type="dxa"/>
              <w:right w:w="115" w:type="dxa"/>
            </w:tcMar>
          </w:tcPr>
          <w:p w14:paraId="1FB12C54" w14:textId="77777777" w:rsidR="00B92EC0" w:rsidRPr="00073B66" w:rsidRDefault="00B92EC0" w:rsidP="00AD309C">
            <w:pPr>
              <w:numPr>
                <w:ilvl w:val="0"/>
                <w:numId w:val="103"/>
              </w:numPr>
              <w:rPr>
                <w:i/>
              </w:rPr>
            </w:pPr>
            <w:r w:rsidRPr="00073B66">
              <w:rPr>
                <w:i/>
              </w:rPr>
              <w:t>Adult Volume</w:t>
            </w:r>
          </w:p>
        </w:tc>
        <w:tc>
          <w:tcPr>
            <w:tcW w:w="2245" w:type="dxa"/>
          </w:tcPr>
          <w:p w14:paraId="6AFE5B7E" w14:textId="77777777" w:rsidR="00B92EC0" w:rsidRPr="00073B66" w:rsidRDefault="00B92EC0" w:rsidP="00AD309C">
            <w:pPr>
              <w:numPr>
                <w:ilvl w:val="0"/>
                <w:numId w:val="103"/>
              </w:numPr>
              <w:rPr>
                <w:i/>
              </w:rPr>
            </w:pPr>
            <w:r w:rsidRPr="00073B66">
              <w:rPr>
                <w:i/>
              </w:rPr>
              <w:t>Pediatric Volume</w:t>
            </w:r>
          </w:p>
        </w:tc>
      </w:tr>
      <w:tr w:rsidR="00B92EC0" w:rsidRPr="00073B66" w14:paraId="64BE9B81" w14:textId="77777777" w:rsidTr="00EC4DCE">
        <w:trPr>
          <w:trHeight w:val="20"/>
        </w:trPr>
        <w:tc>
          <w:tcPr>
            <w:tcW w:w="5015" w:type="dxa"/>
            <w:tcMar>
              <w:top w:w="72" w:type="dxa"/>
              <w:left w:w="115" w:type="dxa"/>
              <w:bottom w:w="72" w:type="dxa"/>
              <w:right w:w="115" w:type="dxa"/>
            </w:tcMar>
            <w:vAlign w:val="center"/>
          </w:tcPr>
          <w:p w14:paraId="6098BDFF" w14:textId="77777777" w:rsidR="00B92EC0" w:rsidRPr="00073B66" w:rsidRDefault="00B92EC0" w:rsidP="00EC4DCE">
            <w:pPr>
              <w:spacing w:line="276" w:lineRule="auto"/>
              <w:rPr>
                <w:rFonts w:eastAsia="Yu Gothic Light"/>
                <w:b/>
              </w:rPr>
            </w:pPr>
            <w:r w:rsidRPr="00073B66">
              <w:rPr>
                <w:rFonts w:eastAsia="Yu Gothic Light"/>
                <w:b/>
              </w:rPr>
              <w:t>Finger, hand, wrist, forearm, and elbow procedures</w:t>
            </w:r>
          </w:p>
        </w:tc>
        <w:tc>
          <w:tcPr>
            <w:tcW w:w="2090" w:type="dxa"/>
            <w:tcMar>
              <w:top w:w="72" w:type="dxa"/>
              <w:left w:w="115" w:type="dxa"/>
              <w:bottom w:w="72" w:type="dxa"/>
              <w:right w:w="115" w:type="dxa"/>
            </w:tcMar>
            <w:vAlign w:val="center"/>
          </w:tcPr>
          <w:p w14:paraId="5EBDD3A0" w14:textId="77777777" w:rsidR="00B92EC0" w:rsidRPr="00073B66" w:rsidRDefault="00B92EC0" w:rsidP="00EC4DCE">
            <w:pPr>
              <w:jc w:val="center"/>
            </w:pPr>
            <w:r w:rsidRPr="00073B66">
              <w:t>_____</w:t>
            </w:r>
          </w:p>
        </w:tc>
        <w:tc>
          <w:tcPr>
            <w:tcW w:w="2245" w:type="dxa"/>
            <w:vAlign w:val="center"/>
          </w:tcPr>
          <w:p w14:paraId="336C81DC" w14:textId="77777777" w:rsidR="00B92EC0" w:rsidRPr="00073B66" w:rsidRDefault="00B92EC0" w:rsidP="00EC4DCE">
            <w:pPr>
              <w:jc w:val="center"/>
            </w:pPr>
            <w:r w:rsidRPr="00073B66">
              <w:t>_____</w:t>
            </w:r>
          </w:p>
        </w:tc>
      </w:tr>
      <w:tr w:rsidR="00B92EC0" w:rsidRPr="00073B66" w14:paraId="72B93B10" w14:textId="77777777" w:rsidTr="00EC4DCE">
        <w:trPr>
          <w:trHeight w:val="20"/>
        </w:trPr>
        <w:tc>
          <w:tcPr>
            <w:tcW w:w="5015" w:type="dxa"/>
            <w:tcMar>
              <w:top w:w="72" w:type="dxa"/>
              <w:left w:w="115" w:type="dxa"/>
              <w:bottom w:w="72" w:type="dxa"/>
              <w:right w:w="115" w:type="dxa"/>
            </w:tcMar>
            <w:vAlign w:val="center"/>
          </w:tcPr>
          <w:p w14:paraId="7F6081BF" w14:textId="77777777" w:rsidR="00B92EC0" w:rsidRPr="00073B66" w:rsidRDefault="00B92EC0" w:rsidP="00EC4DCE">
            <w:pPr>
              <w:spacing w:line="276" w:lineRule="auto"/>
              <w:rPr>
                <w:rFonts w:eastAsia="Yu Gothic Light"/>
                <w:b/>
              </w:rPr>
            </w:pPr>
            <w:r w:rsidRPr="00073B66">
              <w:rPr>
                <w:rFonts w:eastAsia="Yu Gothic Light"/>
                <w:b/>
              </w:rPr>
              <w:t>Shoulder procedures</w:t>
            </w:r>
          </w:p>
        </w:tc>
        <w:tc>
          <w:tcPr>
            <w:tcW w:w="2090" w:type="dxa"/>
            <w:tcMar>
              <w:top w:w="72" w:type="dxa"/>
              <w:left w:w="115" w:type="dxa"/>
              <w:bottom w:w="72" w:type="dxa"/>
              <w:right w:w="115" w:type="dxa"/>
            </w:tcMar>
            <w:vAlign w:val="center"/>
          </w:tcPr>
          <w:p w14:paraId="345E6D14" w14:textId="77777777" w:rsidR="00B92EC0" w:rsidRPr="00073B66" w:rsidRDefault="00B92EC0" w:rsidP="00EC4DCE">
            <w:pPr>
              <w:jc w:val="center"/>
              <w:rPr>
                <w:i/>
              </w:rPr>
            </w:pPr>
            <w:r w:rsidRPr="00073B66">
              <w:t>_____</w:t>
            </w:r>
          </w:p>
        </w:tc>
        <w:tc>
          <w:tcPr>
            <w:tcW w:w="2245" w:type="dxa"/>
            <w:vAlign w:val="center"/>
          </w:tcPr>
          <w:p w14:paraId="258B794D" w14:textId="77777777" w:rsidR="00B92EC0" w:rsidRPr="00073B66" w:rsidRDefault="00B92EC0" w:rsidP="00EC4DCE">
            <w:pPr>
              <w:jc w:val="center"/>
              <w:rPr>
                <w:i/>
              </w:rPr>
            </w:pPr>
            <w:r w:rsidRPr="00073B66">
              <w:t>_____</w:t>
            </w:r>
          </w:p>
        </w:tc>
      </w:tr>
      <w:tr w:rsidR="00B92EC0" w:rsidRPr="00073B66" w14:paraId="0539ECEA" w14:textId="77777777" w:rsidTr="00EC4DCE">
        <w:trPr>
          <w:trHeight w:val="20"/>
        </w:trPr>
        <w:tc>
          <w:tcPr>
            <w:tcW w:w="5015" w:type="dxa"/>
            <w:tcMar>
              <w:top w:w="72" w:type="dxa"/>
              <w:left w:w="115" w:type="dxa"/>
              <w:bottom w:w="72" w:type="dxa"/>
              <w:right w:w="115" w:type="dxa"/>
            </w:tcMar>
            <w:vAlign w:val="center"/>
          </w:tcPr>
          <w:p w14:paraId="471BC894" w14:textId="77777777" w:rsidR="00B92EC0" w:rsidRPr="00073B66" w:rsidRDefault="00B92EC0" w:rsidP="00EC4DCE">
            <w:pPr>
              <w:spacing w:line="276" w:lineRule="auto"/>
              <w:rPr>
                <w:rFonts w:eastAsia="Yu Gothic Light"/>
                <w:b/>
              </w:rPr>
            </w:pPr>
            <w:r w:rsidRPr="00073B66">
              <w:rPr>
                <w:rFonts w:eastAsia="Yu Gothic Light"/>
                <w:b/>
              </w:rPr>
              <w:t>Spine procedures</w:t>
            </w:r>
          </w:p>
        </w:tc>
        <w:tc>
          <w:tcPr>
            <w:tcW w:w="2090" w:type="dxa"/>
            <w:tcMar>
              <w:top w:w="72" w:type="dxa"/>
              <w:left w:w="115" w:type="dxa"/>
              <w:bottom w:w="72" w:type="dxa"/>
              <w:right w:w="115" w:type="dxa"/>
            </w:tcMar>
            <w:vAlign w:val="center"/>
          </w:tcPr>
          <w:p w14:paraId="0FEAA1AC" w14:textId="77777777" w:rsidR="00B92EC0" w:rsidRPr="00073B66" w:rsidRDefault="00B92EC0" w:rsidP="00EC4DCE">
            <w:pPr>
              <w:jc w:val="center"/>
            </w:pPr>
            <w:r w:rsidRPr="00073B66">
              <w:t>_____</w:t>
            </w:r>
          </w:p>
        </w:tc>
        <w:tc>
          <w:tcPr>
            <w:tcW w:w="2245" w:type="dxa"/>
            <w:shd w:val="clear" w:color="auto" w:fill="BFBFBF" w:themeFill="background1" w:themeFillShade="BF"/>
            <w:vAlign w:val="center"/>
          </w:tcPr>
          <w:p w14:paraId="3748F709" w14:textId="77777777" w:rsidR="00B92EC0" w:rsidRPr="00073B66" w:rsidRDefault="00B92EC0" w:rsidP="00EC4DCE">
            <w:pPr>
              <w:rPr>
                <w:i/>
              </w:rPr>
            </w:pPr>
          </w:p>
        </w:tc>
      </w:tr>
      <w:tr w:rsidR="00B92EC0" w:rsidRPr="00073B66" w14:paraId="3ADF81A7" w14:textId="77777777" w:rsidTr="00EC4DCE">
        <w:trPr>
          <w:trHeight w:val="144"/>
        </w:trPr>
        <w:tc>
          <w:tcPr>
            <w:tcW w:w="5015" w:type="dxa"/>
            <w:tcMar>
              <w:top w:w="72" w:type="dxa"/>
              <w:left w:w="115" w:type="dxa"/>
              <w:bottom w:w="72" w:type="dxa"/>
              <w:right w:w="115" w:type="dxa"/>
            </w:tcMar>
            <w:vAlign w:val="center"/>
          </w:tcPr>
          <w:p w14:paraId="1A427BEA" w14:textId="77777777" w:rsidR="00B92EC0" w:rsidRPr="00073B66" w:rsidRDefault="00B92EC0" w:rsidP="00EC4DCE">
            <w:pPr>
              <w:spacing w:line="276" w:lineRule="auto"/>
              <w:rPr>
                <w:rFonts w:eastAsia="Yu Gothic Light"/>
                <w:b/>
              </w:rPr>
            </w:pPr>
            <w:r w:rsidRPr="00073B66">
              <w:rPr>
                <w:rFonts w:eastAsia="Yu Gothic Light"/>
                <w:b/>
              </w:rPr>
              <w:t>Hip procedures</w:t>
            </w:r>
          </w:p>
        </w:tc>
        <w:tc>
          <w:tcPr>
            <w:tcW w:w="2090" w:type="dxa"/>
            <w:tcMar>
              <w:top w:w="72" w:type="dxa"/>
              <w:left w:w="115" w:type="dxa"/>
              <w:bottom w:w="72" w:type="dxa"/>
              <w:right w:w="115" w:type="dxa"/>
            </w:tcMar>
            <w:vAlign w:val="center"/>
          </w:tcPr>
          <w:p w14:paraId="03988E9D" w14:textId="77777777" w:rsidR="00B92EC0" w:rsidRPr="00073B66" w:rsidRDefault="00B92EC0" w:rsidP="00EC4DCE">
            <w:pPr>
              <w:jc w:val="center"/>
            </w:pPr>
            <w:r w:rsidRPr="00073B66">
              <w:t>_____</w:t>
            </w:r>
          </w:p>
        </w:tc>
        <w:tc>
          <w:tcPr>
            <w:tcW w:w="2245" w:type="dxa"/>
            <w:shd w:val="clear" w:color="auto" w:fill="BFBFBF" w:themeFill="background1" w:themeFillShade="BF"/>
            <w:vAlign w:val="center"/>
          </w:tcPr>
          <w:p w14:paraId="0EA3BEE8" w14:textId="77777777" w:rsidR="00B92EC0" w:rsidRPr="00073B66" w:rsidRDefault="00B92EC0" w:rsidP="00EC4DCE">
            <w:pPr>
              <w:rPr>
                <w:i/>
              </w:rPr>
            </w:pPr>
          </w:p>
        </w:tc>
      </w:tr>
      <w:tr w:rsidR="00B92EC0" w:rsidRPr="00073B66" w14:paraId="3E4EC745" w14:textId="77777777" w:rsidTr="00EC4DCE">
        <w:trPr>
          <w:trHeight w:val="144"/>
        </w:trPr>
        <w:tc>
          <w:tcPr>
            <w:tcW w:w="5015" w:type="dxa"/>
            <w:tcMar>
              <w:top w:w="72" w:type="dxa"/>
              <w:left w:w="115" w:type="dxa"/>
              <w:bottom w:w="72" w:type="dxa"/>
              <w:right w:w="115" w:type="dxa"/>
            </w:tcMar>
            <w:vAlign w:val="center"/>
          </w:tcPr>
          <w:p w14:paraId="2B7DC66D" w14:textId="77777777" w:rsidR="00B92EC0" w:rsidRPr="00073B66" w:rsidRDefault="00B92EC0" w:rsidP="00EC4DCE">
            <w:pPr>
              <w:spacing w:line="276" w:lineRule="auto"/>
              <w:rPr>
                <w:rFonts w:eastAsia="Yu Gothic Light"/>
                <w:b/>
              </w:rPr>
            </w:pPr>
            <w:r w:rsidRPr="00073B66">
              <w:rPr>
                <w:rFonts w:eastAsia="Yu Gothic Light"/>
                <w:b/>
              </w:rPr>
              <w:t>Knee procedures</w:t>
            </w:r>
          </w:p>
        </w:tc>
        <w:tc>
          <w:tcPr>
            <w:tcW w:w="2090" w:type="dxa"/>
            <w:tcMar>
              <w:top w:w="72" w:type="dxa"/>
              <w:left w:w="115" w:type="dxa"/>
              <w:bottom w:w="72" w:type="dxa"/>
              <w:right w:w="115" w:type="dxa"/>
            </w:tcMar>
            <w:vAlign w:val="center"/>
          </w:tcPr>
          <w:p w14:paraId="13320683" w14:textId="77777777" w:rsidR="00B92EC0" w:rsidRPr="00073B66" w:rsidRDefault="00B92EC0" w:rsidP="00EC4DCE">
            <w:pPr>
              <w:jc w:val="center"/>
            </w:pPr>
            <w:r w:rsidRPr="00073B66">
              <w:t>_____</w:t>
            </w:r>
          </w:p>
        </w:tc>
        <w:tc>
          <w:tcPr>
            <w:tcW w:w="2245" w:type="dxa"/>
            <w:vAlign w:val="center"/>
          </w:tcPr>
          <w:p w14:paraId="01308AF0" w14:textId="77777777" w:rsidR="00B92EC0" w:rsidRPr="00073B66" w:rsidRDefault="00B92EC0" w:rsidP="00EC4DCE">
            <w:pPr>
              <w:jc w:val="center"/>
              <w:rPr>
                <w:i/>
              </w:rPr>
            </w:pPr>
            <w:r w:rsidRPr="00073B66">
              <w:t>_____</w:t>
            </w:r>
          </w:p>
        </w:tc>
      </w:tr>
      <w:tr w:rsidR="00B92EC0" w:rsidRPr="00073B66" w14:paraId="18204202" w14:textId="77777777" w:rsidTr="00EC4DCE">
        <w:trPr>
          <w:trHeight w:val="144"/>
        </w:trPr>
        <w:tc>
          <w:tcPr>
            <w:tcW w:w="5015" w:type="dxa"/>
            <w:tcMar>
              <w:top w:w="72" w:type="dxa"/>
              <w:left w:w="115" w:type="dxa"/>
              <w:bottom w:w="72" w:type="dxa"/>
              <w:right w:w="115" w:type="dxa"/>
            </w:tcMar>
            <w:vAlign w:val="center"/>
          </w:tcPr>
          <w:p w14:paraId="6F3F70BD" w14:textId="77777777" w:rsidR="00B92EC0" w:rsidRPr="00073B66" w:rsidRDefault="00B92EC0" w:rsidP="00EC4DCE">
            <w:pPr>
              <w:spacing w:line="276" w:lineRule="auto"/>
              <w:rPr>
                <w:rFonts w:eastAsia="Yu Gothic Light"/>
                <w:b/>
              </w:rPr>
            </w:pPr>
            <w:r w:rsidRPr="00073B66">
              <w:rPr>
                <w:rFonts w:eastAsia="Yu Gothic Light"/>
                <w:b/>
              </w:rPr>
              <w:t>Toe, foot, ankle, and leg procedures</w:t>
            </w:r>
          </w:p>
        </w:tc>
        <w:tc>
          <w:tcPr>
            <w:tcW w:w="2090" w:type="dxa"/>
            <w:tcMar>
              <w:top w:w="72" w:type="dxa"/>
              <w:left w:w="115" w:type="dxa"/>
              <w:bottom w:w="72" w:type="dxa"/>
              <w:right w:w="115" w:type="dxa"/>
            </w:tcMar>
            <w:vAlign w:val="center"/>
          </w:tcPr>
          <w:p w14:paraId="6FD503AF" w14:textId="77777777" w:rsidR="00B92EC0" w:rsidRPr="00073B66" w:rsidRDefault="00B92EC0" w:rsidP="00EC4DCE">
            <w:pPr>
              <w:jc w:val="center"/>
            </w:pPr>
            <w:r w:rsidRPr="00073B66">
              <w:t>_____</w:t>
            </w:r>
          </w:p>
        </w:tc>
        <w:tc>
          <w:tcPr>
            <w:tcW w:w="2245" w:type="dxa"/>
            <w:vAlign w:val="center"/>
          </w:tcPr>
          <w:p w14:paraId="59FB48AF" w14:textId="77777777" w:rsidR="00B92EC0" w:rsidRPr="00073B66" w:rsidRDefault="00B92EC0" w:rsidP="00EC4DCE">
            <w:pPr>
              <w:jc w:val="center"/>
              <w:rPr>
                <w:i/>
              </w:rPr>
            </w:pPr>
            <w:r w:rsidRPr="00073B66">
              <w:t>_____</w:t>
            </w:r>
          </w:p>
        </w:tc>
      </w:tr>
      <w:tr w:rsidR="00B92EC0" w:rsidRPr="00073B66" w14:paraId="24167EB6" w14:textId="77777777" w:rsidTr="00EC4DCE">
        <w:trPr>
          <w:trHeight w:val="20"/>
        </w:trPr>
        <w:tc>
          <w:tcPr>
            <w:tcW w:w="5015" w:type="dxa"/>
            <w:tcMar>
              <w:top w:w="72" w:type="dxa"/>
              <w:left w:w="115" w:type="dxa"/>
              <w:bottom w:w="72" w:type="dxa"/>
              <w:right w:w="115" w:type="dxa"/>
            </w:tcMar>
            <w:vAlign w:val="center"/>
          </w:tcPr>
          <w:p w14:paraId="289117CD" w14:textId="77777777" w:rsidR="00B92EC0" w:rsidRPr="00073B66" w:rsidRDefault="00B92EC0" w:rsidP="00EC4DCE">
            <w:pPr>
              <w:spacing w:line="276" w:lineRule="auto"/>
              <w:rPr>
                <w:rFonts w:eastAsia="Yu Gothic Light"/>
                <w:b/>
              </w:rPr>
            </w:pPr>
            <w:r w:rsidRPr="00073B66">
              <w:rPr>
                <w:rFonts w:eastAsia="Yu Gothic Light"/>
                <w:b/>
              </w:rPr>
              <w:t>General orthopedic procedures</w:t>
            </w:r>
          </w:p>
        </w:tc>
        <w:tc>
          <w:tcPr>
            <w:tcW w:w="2090" w:type="dxa"/>
            <w:tcMar>
              <w:top w:w="72" w:type="dxa"/>
              <w:left w:w="115" w:type="dxa"/>
              <w:bottom w:w="72" w:type="dxa"/>
              <w:right w:w="115" w:type="dxa"/>
            </w:tcMar>
            <w:vAlign w:val="center"/>
          </w:tcPr>
          <w:p w14:paraId="614ADB7A" w14:textId="77777777" w:rsidR="00B92EC0" w:rsidRPr="00073B66" w:rsidRDefault="00B92EC0" w:rsidP="00EC4DCE">
            <w:pPr>
              <w:jc w:val="center"/>
            </w:pPr>
            <w:r w:rsidRPr="00073B66">
              <w:t>_____</w:t>
            </w:r>
          </w:p>
        </w:tc>
        <w:tc>
          <w:tcPr>
            <w:tcW w:w="2245" w:type="dxa"/>
            <w:vAlign w:val="center"/>
          </w:tcPr>
          <w:p w14:paraId="0FD2C684" w14:textId="77777777" w:rsidR="00B92EC0" w:rsidRPr="00073B66" w:rsidRDefault="00B92EC0" w:rsidP="00EC4DCE">
            <w:pPr>
              <w:jc w:val="center"/>
              <w:rPr>
                <w:i/>
              </w:rPr>
            </w:pPr>
            <w:r w:rsidRPr="00073B66">
              <w:t>_____</w:t>
            </w:r>
          </w:p>
        </w:tc>
      </w:tr>
    </w:tbl>
    <w:p w14:paraId="0E07CDE8" w14:textId="77777777" w:rsidR="00B92EC0" w:rsidRDefault="00B92EC0" w:rsidP="00B92EC0"/>
    <w:tbl>
      <w:tblPr>
        <w:tblStyle w:val="TableGrid"/>
        <w:tblW w:w="0" w:type="auto"/>
        <w:tblLayout w:type="fixed"/>
        <w:tblCellMar>
          <w:left w:w="115" w:type="dxa"/>
          <w:right w:w="115" w:type="dxa"/>
        </w:tblCellMar>
        <w:tblLook w:val="04A0" w:firstRow="1" w:lastRow="0" w:firstColumn="1" w:lastColumn="0" w:noHBand="0" w:noVBand="1"/>
      </w:tblPr>
      <w:tblGrid>
        <w:gridCol w:w="6205"/>
        <w:gridCol w:w="3145"/>
      </w:tblGrid>
      <w:tr w:rsidR="00B92EC0" w:rsidRPr="005B2F83" w14:paraId="7BB9F666" w14:textId="77777777" w:rsidTr="00EC4DCE">
        <w:trPr>
          <w:trHeight w:val="288"/>
        </w:trPr>
        <w:tc>
          <w:tcPr>
            <w:tcW w:w="6205" w:type="dxa"/>
            <w:tcMar>
              <w:top w:w="72" w:type="dxa"/>
              <w:left w:w="115" w:type="dxa"/>
              <w:bottom w:w="72" w:type="dxa"/>
              <w:right w:w="115" w:type="dxa"/>
            </w:tcMar>
            <w:vAlign w:val="center"/>
          </w:tcPr>
          <w:p w14:paraId="5C730330" w14:textId="77777777" w:rsidR="00B92EC0" w:rsidRDefault="00B92EC0" w:rsidP="00AD309C">
            <w:pPr>
              <w:pStyle w:val="ListParagraph"/>
              <w:numPr>
                <w:ilvl w:val="0"/>
                <w:numId w:val="91"/>
              </w:numPr>
            </w:pPr>
            <w:r>
              <w:t xml:space="preserve">Where were these </w:t>
            </w:r>
            <w:r>
              <w:rPr>
                <w:b/>
              </w:rPr>
              <w:t>orthopedic</w:t>
            </w:r>
            <w:r w:rsidRPr="005D2045">
              <w:rPr>
                <w:b/>
              </w:rPr>
              <w:t xml:space="preserve"> </w:t>
            </w:r>
            <w:r>
              <w:t>procedures performed?</w:t>
            </w:r>
          </w:p>
          <w:p w14:paraId="434E3456" w14:textId="77777777" w:rsidR="00B92EC0" w:rsidRDefault="00B92EC0" w:rsidP="00EC4DCE">
            <w:pPr>
              <w:pStyle w:val="ListParagraph"/>
              <w:ind w:left="360"/>
            </w:pPr>
          </w:p>
          <w:p w14:paraId="2A3A904D" w14:textId="77777777" w:rsidR="00B92EC0" w:rsidRPr="00131F2C" w:rsidRDefault="00B92EC0" w:rsidP="00EC4DCE">
            <w:pPr>
              <w:pStyle w:val="ListParagraph"/>
              <w:ind w:left="360"/>
              <w:rPr>
                <w:i/>
              </w:rPr>
            </w:pPr>
            <w:r>
              <w:rPr>
                <w:i/>
              </w:rPr>
              <w:t>Select all that apply.</w:t>
            </w:r>
          </w:p>
          <w:p w14:paraId="23BE9146" w14:textId="77777777" w:rsidR="00B92EC0" w:rsidRPr="005D2045" w:rsidRDefault="00B92EC0" w:rsidP="00EC4DCE">
            <w:pPr>
              <w:pStyle w:val="ListParagraph"/>
              <w:ind w:left="360"/>
            </w:pPr>
          </w:p>
          <w:p w14:paraId="60D7DFDA" w14:textId="3F5D8A58" w:rsidR="00B92EC0" w:rsidRPr="005D2045" w:rsidRDefault="00B92EC0" w:rsidP="00EC4DCE">
            <w:pPr>
              <w:pStyle w:val="ListParagraph"/>
              <w:ind w:left="360"/>
            </w:pPr>
            <w:r w:rsidRPr="007D5AE3">
              <w:rPr>
                <w:i/>
              </w:rPr>
              <w:t>If only “hospital” is selected,</w:t>
            </w:r>
            <w:r>
              <w:rPr>
                <w:i/>
              </w:rPr>
              <w:t xml:space="preserve"> </w:t>
            </w:r>
            <w:r w:rsidRPr="00B674A0">
              <w:rPr>
                <w:i/>
              </w:rPr>
              <w:t xml:space="preserve">skip </w:t>
            </w:r>
            <w:r>
              <w:rPr>
                <w:i/>
              </w:rPr>
              <w:t>question #16 and continue to question #17.</w:t>
            </w:r>
          </w:p>
        </w:tc>
        <w:tc>
          <w:tcPr>
            <w:tcW w:w="3145" w:type="dxa"/>
            <w:vAlign w:val="center"/>
          </w:tcPr>
          <w:p w14:paraId="54B39B97" w14:textId="77777777" w:rsidR="00B92EC0" w:rsidRPr="00753419" w:rsidRDefault="00B92EC0" w:rsidP="00AD309C">
            <w:pPr>
              <w:pStyle w:val="ListParagraph"/>
              <w:numPr>
                <w:ilvl w:val="0"/>
                <w:numId w:val="94"/>
              </w:numPr>
              <w:spacing w:line="276" w:lineRule="auto"/>
              <w:rPr>
                <w:iCs/>
              </w:rPr>
            </w:pPr>
            <w:r w:rsidRPr="00753419">
              <w:rPr>
                <w:iCs/>
              </w:rPr>
              <w:t>Hospital</w:t>
            </w:r>
          </w:p>
          <w:p w14:paraId="0964D131" w14:textId="77777777" w:rsidR="00B92EC0" w:rsidRPr="00551F82" w:rsidRDefault="00B92EC0" w:rsidP="00AD309C">
            <w:pPr>
              <w:pStyle w:val="ListParagraph"/>
              <w:numPr>
                <w:ilvl w:val="0"/>
                <w:numId w:val="94"/>
              </w:numPr>
              <w:spacing w:line="276" w:lineRule="auto"/>
              <w:rPr>
                <w:i/>
              </w:rPr>
            </w:pPr>
            <w:r w:rsidRPr="00753419">
              <w:rPr>
                <w:iCs/>
              </w:rPr>
              <w:t>Surgery center or free-standing hospital outpatient department</w:t>
            </w:r>
          </w:p>
        </w:tc>
      </w:tr>
    </w:tbl>
    <w:p w14:paraId="282EB0B3" w14:textId="77777777" w:rsidR="00B92EC0" w:rsidRDefault="00B92EC0" w:rsidP="00B92EC0"/>
    <w:tbl>
      <w:tblPr>
        <w:tblStyle w:val="TableGrid"/>
        <w:tblW w:w="0" w:type="auto"/>
        <w:tblLayout w:type="fixed"/>
        <w:tblCellMar>
          <w:left w:w="115" w:type="dxa"/>
          <w:right w:w="115" w:type="dxa"/>
        </w:tblCellMar>
        <w:tblLook w:val="04A0" w:firstRow="1" w:lastRow="0" w:firstColumn="1" w:lastColumn="0" w:noHBand="0" w:noVBand="1"/>
      </w:tblPr>
      <w:tblGrid>
        <w:gridCol w:w="4135"/>
        <w:gridCol w:w="2340"/>
        <w:gridCol w:w="2875"/>
      </w:tblGrid>
      <w:tr w:rsidR="00B92EC0" w:rsidRPr="005B2F83" w14:paraId="2EDA97CA" w14:textId="77777777" w:rsidTr="00EC4DCE">
        <w:trPr>
          <w:trHeight w:val="20"/>
        </w:trPr>
        <w:tc>
          <w:tcPr>
            <w:tcW w:w="9350" w:type="dxa"/>
            <w:gridSpan w:val="3"/>
            <w:tcMar>
              <w:top w:w="72" w:type="dxa"/>
              <w:left w:w="115" w:type="dxa"/>
              <w:bottom w:w="72" w:type="dxa"/>
              <w:right w:w="115" w:type="dxa"/>
            </w:tcMar>
            <w:vAlign w:val="center"/>
          </w:tcPr>
          <w:p w14:paraId="223D906E" w14:textId="77777777" w:rsidR="00B92EC0" w:rsidRDefault="00B92EC0" w:rsidP="00AD309C">
            <w:pPr>
              <w:pStyle w:val="ListParagraph"/>
              <w:numPr>
                <w:ilvl w:val="0"/>
                <w:numId w:val="91"/>
              </w:numPr>
              <w:spacing w:line="276" w:lineRule="auto"/>
              <w:rPr>
                <w:i/>
              </w:rPr>
            </w:pPr>
            <w:r>
              <w:t xml:space="preserve">Please provide the name and city location of each surgery center or free-standing hospital outpatient department performing </w:t>
            </w:r>
            <w:r w:rsidRPr="00AB1823">
              <w:rPr>
                <w:b/>
              </w:rPr>
              <w:t>o</w:t>
            </w:r>
            <w:r>
              <w:rPr>
                <w:b/>
              </w:rPr>
              <w:t>rthopedic</w:t>
            </w:r>
            <w:r>
              <w:t xml:space="preserve"> procedures:</w:t>
            </w:r>
          </w:p>
        </w:tc>
      </w:tr>
      <w:tr w:rsidR="00B92EC0" w:rsidRPr="005B2F83" w14:paraId="5A2DD40F" w14:textId="77777777" w:rsidTr="00EC4DCE">
        <w:trPr>
          <w:trHeight w:val="20"/>
        </w:trPr>
        <w:tc>
          <w:tcPr>
            <w:tcW w:w="4135" w:type="dxa"/>
            <w:tcMar>
              <w:top w:w="72" w:type="dxa"/>
              <w:left w:w="115" w:type="dxa"/>
              <w:bottom w:w="72" w:type="dxa"/>
              <w:right w:w="115" w:type="dxa"/>
            </w:tcMar>
            <w:vAlign w:val="center"/>
          </w:tcPr>
          <w:p w14:paraId="12FDF355" w14:textId="77777777" w:rsidR="00B92EC0" w:rsidRDefault="00B92EC0" w:rsidP="00EC4DCE">
            <w:pPr>
              <w:pStyle w:val="ListParagraph"/>
              <w:spacing w:line="276" w:lineRule="auto"/>
              <w:ind w:left="360"/>
            </w:pPr>
          </w:p>
        </w:tc>
        <w:tc>
          <w:tcPr>
            <w:tcW w:w="2340" w:type="dxa"/>
            <w:vAlign w:val="center"/>
          </w:tcPr>
          <w:p w14:paraId="336CBA47" w14:textId="77777777" w:rsidR="00B92EC0" w:rsidRPr="005C60B1" w:rsidRDefault="00B92EC0" w:rsidP="004F63C1">
            <w:pPr>
              <w:spacing w:line="276" w:lineRule="auto"/>
              <w:jc w:val="center"/>
              <w:rPr>
                <w:i/>
              </w:rPr>
            </w:pPr>
            <w:r w:rsidRPr="005C60B1">
              <w:rPr>
                <w:i/>
              </w:rPr>
              <w:t>Name</w:t>
            </w:r>
          </w:p>
        </w:tc>
        <w:tc>
          <w:tcPr>
            <w:tcW w:w="2875" w:type="dxa"/>
            <w:vAlign w:val="center"/>
          </w:tcPr>
          <w:p w14:paraId="6D330AAF" w14:textId="77777777" w:rsidR="00B92EC0" w:rsidRPr="005C60B1" w:rsidRDefault="00B92EC0" w:rsidP="004F63C1">
            <w:pPr>
              <w:spacing w:line="276" w:lineRule="auto"/>
              <w:jc w:val="center"/>
              <w:rPr>
                <w:i/>
              </w:rPr>
            </w:pPr>
            <w:r w:rsidRPr="005C60B1">
              <w:rPr>
                <w:i/>
              </w:rPr>
              <w:t>City</w:t>
            </w:r>
          </w:p>
        </w:tc>
      </w:tr>
      <w:tr w:rsidR="00B92EC0" w:rsidRPr="005B2F83" w14:paraId="0CDB263C" w14:textId="77777777" w:rsidTr="00EC4DCE">
        <w:trPr>
          <w:trHeight w:val="20"/>
        </w:trPr>
        <w:tc>
          <w:tcPr>
            <w:tcW w:w="4135" w:type="dxa"/>
            <w:tcMar>
              <w:top w:w="72" w:type="dxa"/>
              <w:left w:w="115" w:type="dxa"/>
              <w:bottom w:w="72" w:type="dxa"/>
              <w:right w:w="115" w:type="dxa"/>
            </w:tcMar>
            <w:vAlign w:val="center"/>
          </w:tcPr>
          <w:p w14:paraId="2B2D2049"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1</w:t>
            </w:r>
          </w:p>
        </w:tc>
        <w:tc>
          <w:tcPr>
            <w:tcW w:w="2340" w:type="dxa"/>
            <w:vAlign w:val="center"/>
          </w:tcPr>
          <w:p w14:paraId="7D3C6C61" w14:textId="77777777" w:rsidR="00B92EC0" w:rsidRDefault="00B92EC0" w:rsidP="00EC4DCE">
            <w:pPr>
              <w:pStyle w:val="ListParagraph"/>
              <w:spacing w:line="276" w:lineRule="auto"/>
              <w:ind w:left="360"/>
            </w:pPr>
          </w:p>
        </w:tc>
        <w:tc>
          <w:tcPr>
            <w:tcW w:w="2875" w:type="dxa"/>
            <w:vAlign w:val="center"/>
          </w:tcPr>
          <w:p w14:paraId="1216B99B" w14:textId="77777777" w:rsidR="00B92EC0" w:rsidRDefault="00B92EC0" w:rsidP="00EC4DCE">
            <w:pPr>
              <w:pStyle w:val="ListParagraph"/>
              <w:spacing w:line="276" w:lineRule="auto"/>
              <w:ind w:left="360"/>
            </w:pPr>
          </w:p>
        </w:tc>
      </w:tr>
      <w:tr w:rsidR="00B92EC0" w:rsidRPr="005B2F83" w14:paraId="10C146C6" w14:textId="77777777" w:rsidTr="00EC4DCE">
        <w:trPr>
          <w:trHeight w:val="288"/>
        </w:trPr>
        <w:tc>
          <w:tcPr>
            <w:tcW w:w="4135" w:type="dxa"/>
            <w:tcMar>
              <w:top w:w="72" w:type="dxa"/>
              <w:left w:w="115" w:type="dxa"/>
              <w:bottom w:w="72" w:type="dxa"/>
              <w:right w:w="115" w:type="dxa"/>
            </w:tcMar>
            <w:vAlign w:val="center"/>
          </w:tcPr>
          <w:p w14:paraId="4E5684BE"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2</w:t>
            </w:r>
          </w:p>
        </w:tc>
        <w:tc>
          <w:tcPr>
            <w:tcW w:w="2340" w:type="dxa"/>
            <w:vAlign w:val="center"/>
          </w:tcPr>
          <w:p w14:paraId="682F48A9" w14:textId="77777777" w:rsidR="00B92EC0" w:rsidRDefault="00B92EC0" w:rsidP="00EC4DCE">
            <w:pPr>
              <w:pStyle w:val="ListParagraph"/>
              <w:spacing w:line="276" w:lineRule="auto"/>
              <w:ind w:left="360"/>
            </w:pPr>
          </w:p>
        </w:tc>
        <w:tc>
          <w:tcPr>
            <w:tcW w:w="2875" w:type="dxa"/>
            <w:vAlign w:val="center"/>
          </w:tcPr>
          <w:p w14:paraId="79035ADA" w14:textId="77777777" w:rsidR="00B92EC0" w:rsidRDefault="00B92EC0" w:rsidP="00EC4DCE">
            <w:pPr>
              <w:pStyle w:val="ListParagraph"/>
              <w:spacing w:line="276" w:lineRule="auto"/>
              <w:ind w:left="360"/>
            </w:pPr>
          </w:p>
        </w:tc>
      </w:tr>
      <w:tr w:rsidR="00B92EC0" w:rsidRPr="005B2F83" w14:paraId="3C13D7BD" w14:textId="77777777" w:rsidTr="00EC4DCE">
        <w:trPr>
          <w:trHeight w:val="288"/>
        </w:trPr>
        <w:tc>
          <w:tcPr>
            <w:tcW w:w="4135" w:type="dxa"/>
            <w:tcMar>
              <w:top w:w="72" w:type="dxa"/>
              <w:left w:w="115" w:type="dxa"/>
              <w:bottom w:w="72" w:type="dxa"/>
              <w:right w:w="115" w:type="dxa"/>
            </w:tcMar>
            <w:vAlign w:val="center"/>
          </w:tcPr>
          <w:p w14:paraId="61C4CADB"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3</w:t>
            </w:r>
          </w:p>
        </w:tc>
        <w:tc>
          <w:tcPr>
            <w:tcW w:w="2340" w:type="dxa"/>
            <w:vAlign w:val="center"/>
          </w:tcPr>
          <w:p w14:paraId="55A724D9" w14:textId="77777777" w:rsidR="00B92EC0" w:rsidRDefault="00B92EC0" w:rsidP="00EC4DCE">
            <w:pPr>
              <w:pStyle w:val="ListParagraph"/>
              <w:spacing w:line="276" w:lineRule="auto"/>
              <w:ind w:left="360"/>
            </w:pPr>
          </w:p>
        </w:tc>
        <w:tc>
          <w:tcPr>
            <w:tcW w:w="2875" w:type="dxa"/>
            <w:vAlign w:val="center"/>
          </w:tcPr>
          <w:p w14:paraId="083D8B40" w14:textId="77777777" w:rsidR="00B92EC0" w:rsidRDefault="00B92EC0" w:rsidP="00EC4DCE">
            <w:pPr>
              <w:pStyle w:val="ListParagraph"/>
              <w:spacing w:line="276" w:lineRule="auto"/>
              <w:ind w:left="360"/>
            </w:pPr>
          </w:p>
        </w:tc>
      </w:tr>
      <w:tr w:rsidR="00B92EC0" w:rsidRPr="005B2F83" w14:paraId="7E63278C" w14:textId="77777777" w:rsidTr="00EC4DCE">
        <w:trPr>
          <w:trHeight w:val="144"/>
        </w:trPr>
        <w:tc>
          <w:tcPr>
            <w:tcW w:w="4135" w:type="dxa"/>
            <w:tcMar>
              <w:top w:w="72" w:type="dxa"/>
              <w:left w:w="115" w:type="dxa"/>
              <w:bottom w:w="72" w:type="dxa"/>
              <w:right w:w="115" w:type="dxa"/>
            </w:tcMar>
            <w:vAlign w:val="center"/>
          </w:tcPr>
          <w:p w14:paraId="60483E0E"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4</w:t>
            </w:r>
          </w:p>
        </w:tc>
        <w:tc>
          <w:tcPr>
            <w:tcW w:w="2340" w:type="dxa"/>
            <w:vAlign w:val="center"/>
          </w:tcPr>
          <w:p w14:paraId="4E819B77" w14:textId="77777777" w:rsidR="00B92EC0" w:rsidRDefault="00B92EC0" w:rsidP="00EC4DCE">
            <w:pPr>
              <w:pStyle w:val="ListParagraph"/>
              <w:spacing w:line="276" w:lineRule="auto"/>
              <w:ind w:left="360"/>
            </w:pPr>
          </w:p>
        </w:tc>
        <w:tc>
          <w:tcPr>
            <w:tcW w:w="2875" w:type="dxa"/>
            <w:vAlign w:val="center"/>
          </w:tcPr>
          <w:p w14:paraId="5D361226" w14:textId="77777777" w:rsidR="00B92EC0" w:rsidRDefault="00B92EC0" w:rsidP="00EC4DCE">
            <w:pPr>
              <w:pStyle w:val="ListParagraph"/>
              <w:spacing w:line="276" w:lineRule="auto"/>
              <w:ind w:left="360"/>
            </w:pPr>
          </w:p>
        </w:tc>
      </w:tr>
      <w:tr w:rsidR="00B92EC0" w:rsidRPr="005B2F83" w14:paraId="4A7DD87C" w14:textId="77777777" w:rsidTr="00EC4DCE">
        <w:trPr>
          <w:trHeight w:val="144"/>
        </w:trPr>
        <w:tc>
          <w:tcPr>
            <w:tcW w:w="4135" w:type="dxa"/>
            <w:tcMar>
              <w:top w:w="72" w:type="dxa"/>
              <w:left w:w="115" w:type="dxa"/>
              <w:bottom w:w="72" w:type="dxa"/>
              <w:right w:w="115" w:type="dxa"/>
            </w:tcMar>
            <w:vAlign w:val="center"/>
          </w:tcPr>
          <w:p w14:paraId="3CF12DB4"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5</w:t>
            </w:r>
          </w:p>
        </w:tc>
        <w:tc>
          <w:tcPr>
            <w:tcW w:w="2340" w:type="dxa"/>
            <w:vAlign w:val="center"/>
          </w:tcPr>
          <w:p w14:paraId="0B73385F" w14:textId="77777777" w:rsidR="00B92EC0" w:rsidRDefault="00B92EC0" w:rsidP="00EC4DCE">
            <w:pPr>
              <w:pStyle w:val="ListParagraph"/>
              <w:spacing w:line="276" w:lineRule="auto"/>
              <w:ind w:left="360"/>
            </w:pPr>
          </w:p>
        </w:tc>
        <w:tc>
          <w:tcPr>
            <w:tcW w:w="2875" w:type="dxa"/>
            <w:vAlign w:val="center"/>
          </w:tcPr>
          <w:p w14:paraId="5E465027" w14:textId="77777777" w:rsidR="00B92EC0" w:rsidRDefault="00B92EC0" w:rsidP="00EC4DCE">
            <w:pPr>
              <w:pStyle w:val="ListParagraph"/>
              <w:spacing w:line="276" w:lineRule="auto"/>
              <w:ind w:left="360"/>
            </w:pPr>
          </w:p>
        </w:tc>
      </w:tr>
    </w:tbl>
    <w:p w14:paraId="58E6F199" w14:textId="77777777" w:rsidR="00B92EC0" w:rsidRDefault="00B92EC0" w:rsidP="00B92EC0"/>
    <w:p w14:paraId="2ECF71A5" w14:textId="77777777" w:rsidR="00B92EC0" w:rsidRPr="00841998" w:rsidRDefault="00B92EC0" w:rsidP="00AB5B80">
      <w:pPr>
        <w:pStyle w:val="Heading3"/>
        <w:rPr>
          <w:sz w:val="20"/>
          <w:szCs w:val="20"/>
        </w:rPr>
      </w:pPr>
      <w:bookmarkStart w:id="737" w:name="_Toc225877839"/>
      <w:r w:rsidRPr="00AD5994">
        <w:lastRenderedPageBreak/>
        <w:t>Otolaryngology</w:t>
      </w:r>
      <w:bookmarkEnd w:id="737"/>
      <w:r>
        <w:br/>
      </w:r>
    </w:p>
    <w:tbl>
      <w:tblPr>
        <w:tblStyle w:val="TableGrid14"/>
        <w:tblW w:w="0" w:type="auto"/>
        <w:tblLook w:val="04A0" w:firstRow="1" w:lastRow="0" w:firstColumn="1" w:lastColumn="0" w:noHBand="0" w:noVBand="1"/>
      </w:tblPr>
      <w:tblGrid>
        <w:gridCol w:w="5015"/>
        <w:gridCol w:w="2090"/>
        <w:gridCol w:w="2245"/>
      </w:tblGrid>
      <w:tr w:rsidR="00B92EC0" w:rsidRPr="00073B66" w14:paraId="3F17C8C7" w14:textId="77777777" w:rsidTr="00EC4DCE">
        <w:trPr>
          <w:trHeight w:val="144"/>
        </w:trPr>
        <w:tc>
          <w:tcPr>
            <w:tcW w:w="9350" w:type="dxa"/>
            <w:gridSpan w:val="3"/>
            <w:tcMar>
              <w:top w:w="72" w:type="dxa"/>
              <w:left w:w="115" w:type="dxa"/>
              <w:bottom w:w="72" w:type="dxa"/>
              <w:right w:w="115" w:type="dxa"/>
            </w:tcMar>
            <w:vAlign w:val="center"/>
          </w:tcPr>
          <w:p w14:paraId="67479278" w14:textId="77777777" w:rsidR="00B92EC0" w:rsidRPr="00073B66" w:rsidRDefault="00B92EC0" w:rsidP="00AD309C">
            <w:pPr>
              <w:numPr>
                <w:ilvl w:val="0"/>
                <w:numId w:val="91"/>
              </w:numPr>
              <w:spacing w:line="276" w:lineRule="auto"/>
              <w:rPr>
                <w:rFonts w:eastAsia="Yu Gothic Light"/>
              </w:rPr>
            </w:pPr>
            <w:r w:rsidRPr="00073B66">
              <w:rPr>
                <w:rFonts w:eastAsia="Yu Gothic Light"/>
              </w:rPr>
              <w:t xml:space="preserve">Total adult and/or pediatric volume for each of the following applicable procedures performed at your </w:t>
            </w:r>
            <w:r>
              <w:rPr>
                <w:rFonts w:eastAsia="Yu Gothic Light"/>
              </w:rPr>
              <w:t>hospital outpatient department(s)</w:t>
            </w:r>
            <w:r w:rsidRPr="00073B66">
              <w:rPr>
                <w:rFonts w:eastAsia="Yu Gothic Light"/>
              </w:rPr>
              <w:t xml:space="preserve"> during the reporting period.</w:t>
            </w:r>
          </w:p>
          <w:p w14:paraId="3FCAE308" w14:textId="77777777" w:rsidR="00B92EC0" w:rsidRPr="00073B66" w:rsidRDefault="00B92EC0" w:rsidP="00EC4DCE">
            <w:pPr>
              <w:spacing w:line="276" w:lineRule="auto"/>
              <w:rPr>
                <w:rFonts w:eastAsia="Yu Gothic Light"/>
              </w:rPr>
            </w:pPr>
          </w:p>
          <w:p w14:paraId="657470C9" w14:textId="7214C44E" w:rsidR="00B92EC0" w:rsidRPr="00073B66" w:rsidRDefault="00B92EC0" w:rsidP="00EC4DCE">
            <w:pPr>
              <w:ind w:left="360"/>
            </w:pPr>
            <w:r w:rsidRPr="00073B66">
              <w:rPr>
                <w:i/>
              </w:rPr>
              <w:t xml:space="preserve">You cannot leave any blank. If you did not perform one or more of the procedures listed below enter 0 (zero). If you had zero volume for </w:t>
            </w:r>
            <w:r w:rsidRPr="00073B66">
              <w:rPr>
                <w:b/>
                <w:i/>
                <w:u w:val="single"/>
              </w:rPr>
              <w:t>all</w:t>
            </w:r>
            <w:r w:rsidRPr="00073B66">
              <w:rPr>
                <w:i/>
              </w:rPr>
              <w:t xml:space="preserve"> procedures, go back to question #</w:t>
            </w:r>
            <w:r>
              <w:rPr>
                <w:i/>
              </w:rPr>
              <w:t>4</w:t>
            </w:r>
            <w:r w:rsidRPr="00073B66">
              <w:rPr>
                <w:i/>
              </w:rPr>
              <w:t xml:space="preserve"> and update your response from “yes” to “no.”</w:t>
            </w:r>
          </w:p>
        </w:tc>
      </w:tr>
      <w:tr w:rsidR="00B92EC0" w:rsidRPr="00073B66" w14:paraId="58BC1180" w14:textId="77777777" w:rsidTr="00EC4DCE">
        <w:trPr>
          <w:trHeight w:val="20"/>
        </w:trPr>
        <w:tc>
          <w:tcPr>
            <w:tcW w:w="5015" w:type="dxa"/>
            <w:tcMar>
              <w:top w:w="72" w:type="dxa"/>
              <w:left w:w="115" w:type="dxa"/>
              <w:bottom w:w="72" w:type="dxa"/>
              <w:right w:w="115" w:type="dxa"/>
            </w:tcMar>
            <w:vAlign w:val="center"/>
          </w:tcPr>
          <w:p w14:paraId="0E7E5A81" w14:textId="77777777" w:rsidR="00B92EC0" w:rsidRPr="00073B66" w:rsidRDefault="00B92EC0" w:rsidP="00EC4DCE">
            <w:pPr>
              <w:spacing w:line="276" w:lineRule="auto"/>
              <w:rPr>
                <w:rFonts w:eastAsia="Yu Gothic Light"/>
              </w:rPr>
            </w:pPr>
          </w:p>
        </w:tc>
        <w:tc>
          <w:tcPr>
            <w:tcW w:w="2090" w:type="dxa"/>
            <w:tcMar>
              <w:top w:w="72" w:type="dxa"/>
              <w:left w:w="115" w:type="dxa"/>
              <w:bottom w:w="72" w:type="dxa"/>
              <w:right w:w="115" w:type="dxa"/>
            </w:tcMar>
          </w:tcPr>
          <w:p w14:paraId="2062C308" w14:textId="77777777" w:rsidR="00B92EC0" w:rsidRPr="00073B66" w:rsidRDefault="00B92EC0" w:rsidP="00AD309C">
            <w:pPr>
              <w:numPr>
                <w:ilvl w:val="0"/>
                <w:numId w:val="104"/>
              </w:numPr>
              <w:rPr>
                <w:i/>
              </w:rPr>
            </w:pPr>
            <w:r w:rsidRPr="00073B66">
              <w:rPr>
                <w:i/>
              </w:rPr>
              <w:t>Adult Volume</w:t>
            </w:r>
          </w:p>
        </w:tc>
        <w:tc>
          <w:tcPr>
            <w:tcW w:w="2245" w:type="dxa"/>
          </w:tcPr>
          <w:p w14:paraId="07E0DE47" w14:textId="77777777" w:rsidR="00B92EC0" w:rsidRPr="00073B66" w:rsidRDefault="00B92EC0" w:rsidP="00AD309C">
            <w:pPr>
              <w:numPr>
                <w:ilvl w:val="0"/>
                <w:numId w:val="104"/>
              </w:numPr>
              <w:rPr>
                <w:i/>
              </w:rPr>
            </w:pPr>
            <w:r w:rsidRPr="00073B66">
              <w:rPr>
                <w:i/>
              </w:rPr>
              <w:t>Pediatric Volume</w:t>
            </w:r>
          </w:p>
        </w:tc>
      </w:tr>
      <w:tr w:rsidR="00B92EC0" w:rsidRPr="00073B66" w14:paraId="7577FCA8" w14:textId="77777777" w:rsidTr="00EC4DCE">
        <w:trPr>
          <w:trHeight w:val="20"/>
        </w:trPr>
        <w:tc>
          <w:tcPr>
            <w:tcW w:w="5015" w:type="dxa"/>
            <w:tcMar>
              <w:top w:w="72" w:type="dxa"/>
              <w:left w:w="115" w:type="dxa"/>
              <w:bottom w:w="72" w:type="dxa"/>
              <w:right w:w="115" w:type="dxa"/>
            </w:tcMar>
            <w:vAlign w:val="center"/>
          </w:tcPr>
          <w:p w14:paraId="41F82ED2" w14:textId="77777777" w:rsidR="00B92EC0" w:rsidRPr="00073B66" w:rsidRDefault="00B92EC0" w:rsidP="00EC4DCE">
            <w:pPr>
              <w:spacing w:line="276" w:lineRule="auto"/>
              <w:rPr>
                <w:rFonts w:eastAsia="Yu Gothic Light"/>
                <w:b/>
              </w:rPr>
            </w:pPr>
            <w:r w:rsidRPr="00073B66">
              <w:rPr>
                <w:rFonts w:eastAsia="Yu Gothic Light"/>
                <w:b/>
              </w:rPr>
              <w:t>Ear procedures</w:t>
            </w:r>
          </w:p>
        </w:tc>
        <w:tc>
          <w:tcPr>
            <w:tcW w:w="2090" w:type="dxa"/>
            <w:tcMar>
              <w:top w:w="72" w:type="dxa"/>
              <w:left w:w="115" w:type="dxa"/>
              <w:bottom w:w="72" w:type="dxa"/>
              <w:right w:w="115" w:type="dxa"/>
            </w:tcMar>
            <w:vAlign w:val="center"/>
          </w:tcPr>
          <w:p w14:paraId="69290787" w14:textId="77777777" w:rsidR="00B92EC0" w:rsidRPr="00073B66" w:rsidRDefault="00B92EC0" w:rsidP="00EC4DCE">
            <w:pPr>
              <w:jc w:val="center"/>
            </w:pPr>
            <w:r w:rsidRPr="00073B66">
              <w:t>_____</w:t>
            </w:r>
          </w:p>
        </w:tc>
        <w:tc>
          <w:tcPr>
            <w:tcW w:w="2245" w:type="dxa"/>
            <w:vAlign w:val="center"/>
          </w:tcPr>
          <w:p w14:paraId="6612ACB1" w14:textId="77777777" w:rsidR="00B92EC0" w:rsidRPr="00073B66" w:rsidRDefault="00B92EC0" w:rsidP="00EC4DCE">
            <w:pPr>
              <w:jc w:val="center"/>
            </w:pPr>
            <w:r w:rsidRPr="00073B66">
              <w:t>_____</w:t>
            </w:r>
          </w:p>
        </w:tc>
      </w:tr>
      <w:tr w:rsidR="00B92EC0" w:rsidRPr="00073B66" w14:paraId="73EEA261" w14:textId="77777777" w:rsidTr="00EC4DCE">
        <w:trPr>
          <w:trHeight w:val="20"/>
        </w:trPr>
        <w:tc>
          <w:tcPr>
            <w:tcW w:w="5015" w:type="dxa"/>
            <w:tcMar>
              <w:top w:w="72" w:type="dxa"/>
              <w:left w:w="115" w:type="dxa"/>
              <w:bottom w:w="72" w:type="dxa"/>
              <w:right w:w="115" w:type="dxa"/>
            </w:tcMar>
            <w:vAlign w:val="center"/>
          </w:tcPr>
          <w:p w14:paraId="1724AAA0" w14:textId="77777777" w:rsidR="00B92EC0" w:rsidRPr="00073B66" w:rsidRDefault="00B92EC0" w:rsidP="00EC4DCE">
            <w:pPr>
              <w:spacing w:line="276" w:lineRule="auto"/>
              <w:rPr>
                <w:rFonts w:eastAsia="Yu Gothic Light"/>
                <w:b/>
              </w:rPr>
            </w:pPr>
            <w:r w:rsidRPr="00073B66">
              <w:rPr>
                <w:rFonts w:eastAsia="Yu Gothic Light"/>
                <w:b/>
              </w:rPr>
              <w:t>Mouth procedures</w:t>
            </w:r>
          </w:p>
        </w:tc>
        <w:tc>
          <w:tcPr>
            <w:tcW w:w="2090" w:type="dxa"/>
            <w:tcMar>
              <w:top w:w="72" w:type="dxa"/>
              <w:left w:w="115" w:type="dxa"/>
              <w:bottom w:w="72" w:type="dxa"/>
              <w:right w:w="115" w:type="dxa"/>
            </w:tcMar>
            <w:vAlign w:val="center"/>
          </w:tcPr>
          <w:p w14:paraId="74B27DAF" w14:textId="77777777" w:rsidR="00B92EC0" w:rsidRPr="00073B66" w:rsidRDefault="00B92EC0" w:rsidP="00EC4DCE">
            <w:pPr>
              <w:jc w:val="center"/>
              <w:rPr>
                <w:i/>
              </w:rPr>
            </w:pPr>
            <w:r w:rsidRPr="00073B66">
              <w:t>_____</w:t>
            </w:r>
          </w:p>
        </w:tc>
        <w:tc>
          <w:tcPr>
            <w:tcW w:w="2245" w:type="dxa"/>
            <w:vAlign w:val="center"/>
          </w:tcPr>
          <w:p w14:paraId="7E8CA04D" w14:textId="77777777" w:rsidR="00B92EC0" w:rsidRPr="00073B66" w:rsidRDefault="00B92EC0" w:rsidP="00EC4DCE">
            <w:pPr>
              <w:jc w:val="center"/>
              <w:rPr>
                <w:i/>
              </w:rPr>
            </w:pPr>
            <w:r w:rsidRPr="00073B66">
              <w:t>_____</w:t>
            </w:r>
          </w:p>
        </w:tc>
      </w:tr>
      <w:tr w:rsidR="00B92EC0" w:rsidRPr="00073B66" w14:paraId="21009428" w14:textId="77777777" w:rsidTr="00EC4DCE">
        <w:trPr>
          <w:trHeight w:val="20"/>
        </w:trPr>
        <w:tc>
          <w:tcPr>
            <w:tcW w:w="5015" w:type="dxa"/>
            <w:tcMar>
              <w:top w:w="72" w:type="dxa"/>
              <w:left w:w="115" w:type="dxa"/>
              <w:bottom w:w="72" w:type="dxa"/>
              <w:right w:w="115" w:type="dxa"/>
            </w:tcMar>
            <w:vAlign w:val="center"/>
          </w:tcPr>
          <w:p w14:paraId="24D85F8C" w14:textId="77777777" w:rsidR="00B92EC0" w:rsidRPr="00073B66" w:rsidRDefault="00B92EC0" w:rsidP="00EC4DCE">
            <w:pPr>
              <w:spacing w:line="276" w:lineRule="auto"/>
              <w:rPr>
                <w:rFonts w:eastAsia="Yu Gothic Light"/>
                <w:b/>
              </w:rPr>
            </w:pPr>
            <w:r w:rsidRPr="00073B66">
              <w:rPr>
                <w:rFonts w:eastAsia="Yu Gothic Light"/>
                <w:b/>
              </w:rPr>
              <w:t>Nasal</w:t>
            </w:r>
            <w:r>
              <w:rPr>
                <w:rFonts w:eastAsia="Yu Gothic Light"/>
                <w:b/>
              </w:rPr>
              <w:t>/</w:t>
            </w:r>
            <w:r w:rsidRPr="00073B66">
              <w:rPr>
                <w:rFonts w:eastAsia="Yu Gothic Light"/>
                <w:b/>
              </w:rPr>
              <w:t>sinus procedures</w:t>
            </w:r>
          </w:p>
        </w:tc>
        <w:tc>
          <w:tcPr>
            <w:tcW w:w="2090" w:type="dxa"/>
            <w:tcMar>
              <w:top w:w="72" w:type="dxa"/>
              <w:left w:w="115" w:type="dxa"/>
              <w:bottom w:w="72" w:type="dxa"/>
              <w:right w:w="115" w:type="dxa"/>
            </w:tcMar>
            <w:vAlign w:val="center"/>
          </w:tcPr>
          <w:p w14:paraId="1BD63E86" w14:textId="77777777" w:rsidR="00B92EC0" w:rsidRPr="00073B66" w:rsidRDefault="00B92EC0" w:rsidP="00EC4DCE">
            <w:pPr>
              <w:jc w:val="center"/>
            </w:pPr>
            <w:r w:rsidRPr="00073B66">
              <w:t>_____</w:t>
            </w:r>
          </w:p>
        </w:tc>
        <w:tc>
          <w:tcPr>
            <w:tcW w:w="2245" w:type="dxa"/>
            <w:vAlign w:val="center"/>
          </w:tcPr>
          <w:p w14:paraId="05296B28" w14:textId="77777777" w:rsidR="00B92EC0" w:rsidRPr="00073B66" w:rsidRDefault="00B92EC0" w:rsidP="00EC4DCE">
            <w:pPr>
              <w:jc w:val="center"/>
              <w:rPr>
                <w:i/>
              </w:rPr>
            </w:pPr>
            <w:r w:rsidRPr="00073B66">
              <w:t>_____</w:t>
            </w:r>
          </w:p>
        </w:tc>
      </w:tr>
      <w:tr w:rsidR="00B92EC0" w:rsidRPr="00073B66" w14:paraId="33C5D4FB" w14:textId="77777777" w:rsidTr="00EC4DCE">
        <w:trPr>
          <w:trHeight w:val="20"/>
        </w:trPr>
        <w:tc>
          <w:tcPr>
            <w:tcW w:w="5015" w:type="dxa"/>
            <w:tcMar>
              <w:top w:w="72" w:type="dxa"/>
              <w:left w:w="115" w:type="dxa"/>
              <w:bottom w:w="72" w:type="dxa"/>
              <w:right w:w="115" w:type="dxa"/>
            </w:tcMar>
            <w:vAlign w:val="center"/>
          </w:tcPr>
          <w:p w14:paraId="2E4085F8" w14:textId="77777777" w:rsidR="00B92EC0" w:rsidRPr="00073B66" w:rsidRDefault="00B92EC0" w:rsidP="00EC4DCE">
            <w:pPr>
              <w:spacing w:line="276" w:lineRule="auto"/>
              <w:rPr>
                <w:rFonts w:eastAsia="Yu Gothic Light"/>
                <w:b/>
              </w:rPr>
            </w:pPr>
            <w:r>
              <w:rPr>
                <w:rFonts w:eastAsia="Yu Gothic Light"/>
                <w:b/>
              </w:rPr>
              <w:t>Pharynx/adenoid/</w:t>
            </w:r>
            <w:r w:rsidRPr="00EB1493">
              <w:rPr>
                <w:rFonts w:eastAsia="Yu Gothic Light"/>
                <w:b/>
              </w:rPr>
              <w:t>tonsil p</w:t>
            </w:r>
            <w:r w:rsidRPr="00073B66">
              <w:rPr>
                <w:rFonts w:eastAsia="Yu Gothic Light"/>
                <w:b/>
              </w:rPr>
              <w:t>rocedures</w:t>
            </w:r>
          </w:p>
        </w:tc>
        <w:tc>
          <w:tcPr>
            <w:tcW w:w="2090" w:type="dxa"/>
            <w:shd w:val="clear" w:color="auto" w:fill="BFBFBF" w:themeFill="background1" w:themeFillShade="BF"/>
            <w:tcMar>
              <w:top w:w="72" w:type="dxa"/>
              <w:left w:w="115" w:type="dxa"/>
              <w:bottom w:w="72" w:type="dxa"/>
              <w:right w:w="115" w:type="dxa"/>
            </w:tcMar>
            <w:vAlign w:val="center"/>
          </w:tcPr>
          <w:p w14:paraId="7C6040D9" w14:textId="77777777" w:rsidR="00B92EC0" w:rsidRPr="00073B66" w:rsidRDefault="00B92EC0" w:rsidP="00EC4DCE">
            <w:pPr>
              <w:jc w:val="center"/>
            </w:pPr>
          </w:p>
        </w:tc>
        <w:tc>
          <w:tcPr>
            <w:tcW w:w="2245" w:type="dxa"/>
            <w:vAlign w:val="center"/>
          </w:tcPr>
          <w:p w14:paraId="13A4C929" w14:textId="77777777" w:rsidR="00B92EC0" w:rsidRPr="00073B66" w:rsidRDefault="00B92EC0" w:rsidP="00EC4DCE">
            <w:pPr>
              <w:jc w:val="center"/>
              <w:rPr>
                <w:i/>
              </w:rPr>
            </w:pPr>
            <w:r w:rsidRPr="00073B66">
              <w:t>_____</w:t>
            </w:r>
          </w:p>
        </w:tc>
      </w:tr>
    </w:tbl>
    <w:p w14:paraId="478865AB" w14:textId="77777777" w:rsidR="00B92EC0" w:rsidRDefault="00B92EC0" w:rsidP="00B92EC0"/>
    <w:tbl>
      <w:tblPr>
        <w:tblStyle w:val="TableGrid"/>
        <w:tblW w:w="0" w:type="auto"/>
        <w:tblLayout w:type="fixed"/>
        <w:tblCellMar>
          <w:left w:w="115" w:type="dxa"/>
          <w:right w:w="115" w:type="dxa"/>
        </w:tblCellMar>
        <w:tblLook w:val="04A0" w:firstRow="1" w:lastRow="0" w:firstColumn="1" w:lastColumn="0" w:noHBand="0" w:noVBand="1"/>
      </w:tblPr>
      <w:tblGrid>
        <w:gridCol w:w="6205"/>
        <w:gridCol w:w="3145"/>
      </w:tblGrid>
      <w:tr w:rsidR="00B92EC0" w:rsidRPr="005B2F83" w14:paraId="75C9D71C" w14:textId="77777777" w:rsidTr="00EC4DCE">
        <w:trPr>
          <w:trHeight w:val="864"/>
        </w:trPr>
        <w:tc>
          <w:tcPr>
            <w:tcW w:w="6205" w:type="dxa"/>
            <w:tcMar>
              <w:top w:w="72" w:type="dxa"/>
              <w:left w:w="115" w:type="dxa"/>
              <w:bottom w:w="72" w:type="dxa"/>
              <w:right w:w="115" w:type="dxa"/>
            </w:tcMar>
            <w:vAlign w:val="center"/>
          </w:tcPr>
          <w:p w14:paraId="56B12BB5" w14:textId="77777777" w:rsidR="00B92EC0" w:rsidRDefault="00B92EC0" w:rsidP="00AD309C">
            <w:pPr>
              <w:pStyle w:val="ListParagraph"/>
              <w:numPr>
                <w:ilvl w:val="0"/>
                <w:numId w:val="91"/>
              </w:numPr>
            </w:pPr>
            <w:r>
              <w:t xml:space="preserve">Where were these </w:t>
            </w:r>
            <w:r w:rsidRPr="00190B61">
              <w:rPr>
                <w:b/>
              </w:rPr>
              <w:t>otolaryngology</w:t>
            </w:r>
            <w:r w:rsidRPr="005D2045">
              <w:rPr>
                <w:b/>
              </w:rPr>
              <w:t xml:space="preserve"> </w:t>
            </w:r>
            <w:r>
              <w:t>procedures performed?</w:t>
            </w:r>
          </w:p>
          <w:p w14:paraId="65E6AFBE" w14:textId="77777777" w:rsidR="00B92EC0" w:rsidRDefault="00B92EC0" w:rsidP="00EC4DCE">
            <w:pPr>
              <w:pStyle w:val="ListParagraph"/>
              <w:ind w:left="360"/>
            </w:pPr>
          </w:p>
          <w:p w14:paraId="5DF108ED" w14:textId="77777777" w:rsidR="00B92EC0" w:rsidRPr="00131F2C" w:rsidRDefault="00B92EC0" w:rsidP="00EC4DCE">
            <w:pPr>
              <w:pStyle w:val="ListParagraph"/>
              <w:ind w:left="360"/>
              <w:rPr>
                <w:i/>
              </w:rPr>
            </w:pPr>
            <w:r>
              <w:rPr>
                <w:i/>
              </w:rPr>
              <w:t>Select all that apply.</w:t>
            </w:r>
          </w:p>
          <w:p w14:paraId="02F06470" w14:textId="77777777" w:rsidR="00B92EC0" w:rsidRPr="005D2045" w:rsidRDefault="00B92EC0" w:rsidP="00EC4DCE">
            <w:pPr>
              <w:pStyle w:val="ListParagraph"/>
              <w:ind w:left="360"/>
            </w:pPr>
          </w:p>
          <w:p w14:paraId="5B49C539" w14:textId="06C15F0F" w:rsidR="00B92EC0" w:rsidRPr="005D2045" w:rsidRDefault="00B92EC0" w:rsidP="00EC4DCE">
            <w:pPr>
              <w:pStyle w:val="ListParagraph"/>
              <w:ind w:left="360"/>
            </w:pPr>
            <w:r w:rsidRPr="007D5AE3">
              <w:rPr>
                <w:i/>
              </w:rPr>
              <w:t>If only “hospital” is selected,</w:t>
            </w:r>
            <w:r>
              <w:rPr>
                <w:i/>
              </w:rPr>
              <w:t xml:space="preserve"> </w:t>
            </w:r>
            <w:r w:rsidRPr="00B674A0">
              <w:rPr>
                <w:i/>
              </w:rPr>
              <w:t xml:space="preserve">skip </w:t>
            </w:r>
            <w:r>
              <w:rPr>
                <w:i/>
              </w:rPr>
              <w:t>question #</w:t>
            </w:r>
            <w:r w:rsidR="005E5021">
              <w:rPr>
                <w:i/>
              </w:rPr>
              <w:t>19</w:t>
            </w:r>
            <w:r>
              <w:rPr>
                <w:i/>
              </w:rPr>
              <w:t xml:space="preserve"> and continue to question #2</w:t>
            </w:r>
            <w:r w:rsidR="005E5021">
              <w:rPr>
                <w:i/>
              </w:rPr>
              <w:t>0</w:t>
            </w:r>
            <w:r>
              <w:rPr>
                <w:i/>
              </w:rPr>
              <w:t>.</w:t>
            </w:r>
          </w:p>
        </w:tc>
        <w:tc>
          <w:tcPr>
            <w:tcW w:w="3145" w:type="dxa"/>
            <w:vAlign w:val="center"/>
          </w:tcPr>
          <w:p w14:paraId="381FFFD0" w14:textId="77777777" w:rsidR="00B92EC0" w:rsidRPr="00753419" w:rsidRDefault="00B92EC0" w:rsidP="00AD309C">
            <w:pPr>
              <w:pStyle w:val="ListParagraph"/>
              <w:numPr>
                <w:ilvl w:val="0"/>
                <w:numId w:val="94"/>
              </w:numPr>
              <w:spacing w:line="276" w:lineRule="auto"/>
              <w:rPr>
                <w:iCs/>
              </w:rPr>
            </w:pPr>
            <w:r w:rsidRPr="00753419">
              <w:rPr>
                <w:iCs/>
              </w:rPr>
              <w:t>Hospital</w:t>
            </w:r>
          </w:p>
          <w:p w14:paraId="3EA5B2D1" w14:textId="77777777" w:rsidR="00B92EC0" w:rsidRPr="00551F82" w:rsidRDefault="00B92EC0" w:rsidP="00AD309C">
            <w:pPr>
              <w:pStyle w:val="ListParagraph"/>
              <w:numPr>
                <w:ilvl w:val="0"/>
                <w:numId w:val="94"/>
              </w:numPr>
              <w:spacing w:line="276" w:lineRule="auto"/>
              <w:rPr>
                <w:i/>
              </w:rPr>
            </w:pPr>
            <w:r w:rsidRPr="00753419">
              <w:rPr>
                <w:iCs/>
              </w:rPr>
              <w:t>Surgery center or free-standing hospital outpatient department</w:t>
            </w:r>
          </w:p>
        </w:tc>
      </w:tr>
    </w:tbl>
    <w:p w14:paraId="5B4E4F8C" w14:textId="77777777" w:rsidR="00B92EC0" w:rsidRDefault="00B92EC0" w:rsidP="00B92EC0"/>
    <w:tbl>
      <w:tblPr>
        <w:tblStyle w:val="TableGrid"/>
        <w:tblW w:w="0" w:type="auto"/>
        <w:tblLayout w:type="fixed"/>
        <w:tblCellMar>
          <w:left w:w="115" w:type="dxa"/>
          <w:right w:w="115" w:type="dxa"/>
        </w:tblCellMar>
        <w:tblLook w:val="04A0" w:firstRow="1" w:lastRow="0" w:firstColumn="1" w:lastColumn="0" w:noHBand="0" w:noVBand="1"/>
      </w:tblPr>
      <w:tblGrid>
        <w:gridCol w:w="4225"/>
        <w:gridCol w:w="2008"/>
        <w:gridCol w:w="3117"/>
      </w:tblGrid>
      <w:tr w:rsidR="00B92EC0" w:rsidRPr="005B2F83" w14:paraId="6E092C13" w14:textId="77777777" w:rsidTr="00EC4DCE">
        <w:trPr>
          <w:trHeight w:val="20"/>
        </w:trPr>
        <w:tc>
          <w:tcPr>
            <w:tcW w:w="9350" w:type="dxa"/>
            <w:gridSpan w:val="3"/>
            <w:tcMar>
              <w:top w:w="72" w:type="dxa"/>
              <w:left w:w="115" w:type="dxa"/>
              <w:bottom w:w="72" w:type="dxa"/>
              <w:right w:w="115" w:type="dxa"/>
            </w:tcMar>
            <w:vAlign w:val="center"/>
          </w:tcPr>
          <w:p w14:paraId="664E89CB" w14:textId="77777777" w:rsidR="00B92EC0" w:rsidRDefault="00B92EC0" w:rsidP="00AD309C">
            <w:pPr>
              <w:pStyle w:val="ListParagraph"/>
              <w:numPr>
                <w:ilvl w:val="0"/>
                <w:numId w:val="91"/>
              </w:numPr>
              <w:spacing w:line="276" w:lineRule="auto"/>
              <w:rPr>
                <w:i/>
              </w:rPr>
            </w:pPr>
            <w:r>
              <w:t xml:space="preserve">Please provide the name and city location of each surgery center or free-standing hospital outpatient department performing </w:t>
            </w:r>
            <w:r w:rsidRPr="00190B61">
              <w:rPr>
                <w:b/>
              </w:rPr>
              <w:t>otolaryngology</w:t>
            </w:r>
            <w:r>
              <w:t xml:space="preserve"> procedures:</w:t>
            </w:r>
          </w:p>
        </w:tc>
      </w:tr>
      <w:tr w:rsidR="00B92EC0" w:rsidRPr="005B2F83" w14:paraId="47D9A4DC" w14:textId="77777777" w:rsidTr="00EC4DCE">
        <w:trPr>
          <w:trHeight w:val="20"/>
        </w:trPr>
        <w:tc>
          <w:tcPr>
            <w:tcW w:w="4225" w:type="dxa"/>
            <w:tcMar>
              <w:top w:w="72" w:type="dxa"/>
              <w:left w:w="115" w:type="dxa"/>
              <w:bottom w:w="72" w:type="dxa"/>
              <w:right w:w="115" w:type="dxa"/>
            </w:tcMar>
            <w:vAlign w:val="center"/>
          </w:tcPr>
          <w:p w14:paraId="70ECD45A" w14:textId="77777777" w:rsidR="00B92EC0" w:rsidRDefault="00B92EC0" w:rsidP="00EC4DCE">
            <w:pPr>
              <w:pStyle w:val="ListParagraph"/>
              <w:spacing w:line="276" w:lineRule="auto"/>
              <w:ind w:left="360"/>
            </w:pPr>
          </w:p>
        </w:tc>
        <w:tc>
          <w:tcPr>
            <w:tcW w:w="2008" w:type="dxa"/>
            <w:vAlign w:val="center"/>
          </w:tcPr>
          <w:p w14:paraId="489B7FD9" w14:textId="77777777" w:rsidR="00B92EC0" w:rsidRPr="005C60B1" w:rsidRDefault="00B92EC0" w:rsidP="004F63C1">
            <w:pPr>
              <w:spacing w:line="276" w:lineRule="auto"/>
              <w:jc w:val="center"/>
              <w:rPr>
                <w:i/>
              </w:rPr>
            </w:pPr>
            <w:r w:rsidRPr="005C60B1">
              <w:rPr>
                <w:i/>
              </w:rPr>
              <w:t>Name</w:t>
            </w:r>
          </w:p>
        </w:tc>
        <w:tc>
          <w:tcPr>
            <w:tcW w:w="3117" w:type="dxa"/>
            <w:vAlign w:val="center"/>
          </w:tcPr>
          <w:p w14:paraId="10848B1E" w14:textId="77777777" w:rsidR="00B92EC0" w:rsidRPr="005C60B1" w:rsidRDefault="00B92EC0" w:rsidP="004F63C1">
            <w:pPr>
              <w:spacing w:line="276" w:lineRule="auto"/>
              <w:jc w:val="center"/>
              <w:rPr>
                <w:i/>
              </w:rPr>
            </w:pPr>
            <w:r w:rsidRPr="005C60B1">
              <w:rPr>
                <w:i/>
              </w:rPr>
              <w:t>City</w:t>
            </w:r>
          </w:p>
        </w:tc>
      </w:tr>
      <w:tr w:rsidR="00B92EC0" w:rsidRPr="005B2F83" w14:paraId="687F3F73" w14:textId="77777777" w:rsidTr="00EC4DCE">
        <w:trPr>
          <w:trHeight w:val="20"/>
        </w:trPr>
        <w:tc>
          <w:tcPr>
            <w:tcW w:w="4225" w:type="dxa"/>
            <w:tcMar>
              <w:top w:w="72" w:type="dxa"/>
              <w:left w:w="115" w:type="dxa"/>
              <w:bottom w:w="72" w:type="dxa"/>
              <w:right w:w="115" w:type="dxa"/>
            </w:tcMar>
            <w:vAlign w:val="center"/>
          </w:tcPr>
          <w:p w14:paraId="03967726"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1</w:t>
            </w:r>
          </w:p>
        </w:tc>
        <w:tc>
          <w:tcPr>
            <w:tcW w:w="2008" w:type="dxa"/>
            <w:vAlign w:val="center"/>
          </w:tcPr>
          <w:p w14:paraId="3E659D82" w14:textId="77777777" w:rsidR="00B92EC0" w:rsidRDefault="00B92EC0" w:rsidP="00EC4DCE">
            <w:pPr>
              <w:pStyle w:val="ListParagraph"/>
              <w:spacing w:line="276" w:lineRule="auto"/>
              <w:ind w:left="360"/>
            </w:pPr>
          </w:p>
        </w:tc>
        <w:tc>
          <w:tcPr>
            <w:tcW w:w="3117" w:type="dxa"/>
            <w:vAlign w:val="center"/>
          </w:tcPr>
          <w:p w14:paraId="5B58609D" w14:textId="77777777" w:rsidR="00B92EC0" w:rsidRDefault="00B92EC0" w:rsidP="00EC4DCE">
            <w:pPr>
              <w:pStyle w:val="ListParagraph"/>
              <w:spacing w:line="276" w:lineRule="auto"/>
              <w:ind w:left="360"/>
            </w:pPr>
          </w:p>
        </w:tc>
      </w:tr>
      <w:tr w:rsidR="00B92EC0" w:rsidRPr="005B2F83" w14:paraId="31682961" w14:textId="77777777" w:rsidTr="00EC4DCE">
        <w:trPr>
          <w:trHeight w:val="20"/>
        </w:trPr>
        <w:tc>
          <w:tcPr>
            <w:tcW w:w="4225" w:type="dxa"/>
            <w:tcMar>
              <w:top w:w="72" w:type="dxa"/>
              <w:left w:w="115" w:type="dxa"/>
              <w:bottom w:w="72" w:type="dxa"/>
              <w:right w:w="115" w:type="dxa"/>
            </w:tcMar>
            <w:vAlign w:val="center"/>
          </w:tcPr>
          <w:p w14:paraId="74B20580"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2</w:t>
            </w:r>
          </w:p>
        </w:tc>
        <w:tc>
          <w:tcPr>
            <w:tcW w:w="2008" w:type="dxa"/>
            <w:vAlign w:val="center"/>
          </w:tcPr>
          <w:p w14:paraId="6C8A00D3" w14:textId="77777777" w:rsidR="00B92EC0" w:rsidRDefault="00B92EC0" w:rsidP="00EC4DCE">
            <w:pPr>
              <w:pStyle w:val="ListParagraph"/>
              <w:spacing w:line="276" w:lineRule="auto"/>
              <w:ind w:left="360"/>
            </w:pPr>
          </w:p>
        </w:tc>
        <w:tc>
          <w:tcPr>
            <w:tcW w:w="3117" w:type="dxa"/>
            <w:vAlign w:val="center"/>
          </w:tcPr>
          <w:p w14:paraId="054E8C47" w14:textId="77777777" w:rsidR="00B92EC0" w:rsidRDefault="00B92EC0" w:rsidP="00EC4DCE">
            <w:pPr>
              <w:pStyle w:val="ListParagraph"/>
              <w:spacing w:line="276" w:lineRule="auto"/>
              <w:ind w:left="360"/>
            </w:pPr>
          </w:p>
        </w:tc>
      </w:tr>
      <w:tr w:rsidR="00B92EC0" w:rsidRPr="005B2F83" w14:paraId="7B37E052" w14:textId="77777777" w:rsidTr="00EC4DCE">
        <w:trPr>
          <w:trHeight w:val="20"/>
        </w:trPr>
        <w:tc>
          <w:tcPr>
            <w:tcW w:w="4225" w:type="dxa"/>
            <w:tcMar>
              <w:top w:w="72" w:type="dxa"/>
              <w:left w:w="115" w:type="dxa"/>
              <w:bottom w:w="72" w:type="dxa"/>
              <w:right w:w="115" w:type="dxa"/>
            </w:tcMar>
            <w:vAlign w:val="center"/>
          </w:tcPr>
          <w:p w14:paraId="040840D0"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3</w:t>
            </w:r>
          </w:p>
        </w:tc>
        <w:tc>
          <w:tcPr>
            <w:tcW w:w="2008" w:type="dxa"/>
            <w:vAlign w:val="center"/>
          </w:tcPr>
          <w:p w14:paraId="4BAB257B" w14:textId="77777777" w:rsidR="00B92EC0" w:rsidRDefault="00B92EC0" w:rsidP="00EC4DCE">
            <w:pPr>
              <w:pStyle w:val="ListParagraph"/>
              <w:spacing w:line="276" w:lineRule="auto"/>
              <w:ind w:left="360"/>
            </w:pPr>
          </w:p>
        </w:tc>
        <w:tc>
          <w:tcPr>
            <w:tcW w:w="3117" w:type="dxa"/>
            <w:vAlign w:val="center"/>
          </w:tcPr>
          <w:p w14:paraId="7FC9C92E" w14:textId="77777777" w:rsidR="00B92EC0" w:rsidRDefault="00B92EC0" w:rsidP="00EC4DCE">
            <w:pPr>
              <w:pStyle w:val="ListParagraph"/>
              <w:spacing w:line="276" w:lineRule="auto"/>
              <w:ind w:left="360"/>
            </w:pPr>
          </w:p>
        </w:tc>
      </w:tr>
      <w:tr w:rsidR="00B92EC0" w:rsidRPr="005B2F83" w14:paraId="7B7E7798" w14:textId="77777777" w:rsidTr="00EC4DCE">
        <w:trPr>
          <w:trHeight w:val="20"/>
        </w:trPr>
        <w:tc>
          <w:tcPr>
            <w:tcW w:w="4225" w:type="dxa"/>
            <w:tcMar>
              <w:top w:w="72" w:type="dxa"/>
              <w:left w:w="115" w:type="dxa"/>
              <w:bottom w:w="72" w:type="dxa"/>
              <w:right w:w="115" w:type="dxa"/>
            </w:tcMar>
            <w:vAlign w:val="center"/>
          </w:tcPr>
          <w:p w14:paraId="29A5984F"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4</w:t>
            </w:r>
          </w:p>
        </w:tc>
        <w:tc>
          <w:tcPr>
            <w:tcW w:w="2008" w:type="dxa"/>
            <w:vAlign w:val="center"/>
          </w:tcPr>
          <w:p w14:paraId="50D0E58A" w14:textId="77777777" w:rsidR="00B92EC0" w:rsidRDefault="00B92EC0" w:rsidP="00EC4DCE">
            <w:pPr>
              <w:pStyle w:val="ListParagraph"/>
              <w:spacing w:line="276" w:lineRule="auto"/>
              <w:ind w:left="360"/>
            </w:pPr>
          </w:p>
        </w:tc>
        <w:tc>
          <w:tcPr>
            <w:tcW w:w="3117" w:type="dxa"/>
            <w:vAlign w:val="center"/>
          </w:tcPr>
          <w:p w14:paraId="7902CCF9" w14:textId="77777777" w:rsidR="00B92EC0" w:rsidRDefault="00B92EC0" w:rsidP="00EC4DCE">
            <w:pPr>
              <w:pStyle w:val="ListParagraph"/>
              <w:spacing w:line="276" w:lineRule="auto"/>
              <w:ind w:left="360"/>
            </w:pPr>
          </w:p>
        </w:tc>
      </w:tr>
      <w:tr w:rsidR="00B92EC0" w:rsidRPr="005B2F83" w14:paraId="4B3091A3" w14:textId="77777777" w:rsidTr="00EC4DCE">
        <w:trPr>
          <w:trHeight w:val="20"/>
        </w:trPr>
        <w:tc>
          <w:tcPr>
            <w:tcW w:w="4225" w:type="dxa"/>
            <w:tcMar>
              <w:top w:w="72" w:type="dxa"/>
              <w:left w:w="115" w:type="dxa"/>
              <w:bottom w:w="72" w:type="dxa"/>
              <w:right w:w="115" w:type="dxa"/>
            </w:tcMar>
            <w:vAlign w:val="center"/>
          </w:tcPr>
          <w:p w14:paraId="3DBF0E43" w14:textId="77777777" w:rsidR="00B92EC0" w:rsidRPr="00914F12" w:rsidRDefault="00B92EC0" w:rsidP="00EC4DCE">
            <w:pPr>
              <w:pStyle w:val="ListParagraph"/>
              <w:spacing w:line="276" w:lineRule="auto"/>
              <w:ind w:left="360"/>
              <w:rPr>
                <w:b/>
              </w:rPr>
            </w:pPr>
            <w:r>
              <w:rPr>
                <w:b/>
              </w:rPr>
              <w:t>Surgery Center/</w:t>
            </w:r>
            <w:r w:rsidRPr="00914F12">
              <w:rPr>
                <w:b/>
              </w:rPr>
              <w:t>Free-Standing Hospital Outpatient Department 5</w:t>
            </w:r>
          </w:p>
        </w:tc>
        <w:tc>
          <w:tcPr>
            <w:tcW w:w="2008" w:type="dxa"/>
            <w:vAlign w:val="center"/>
          </w:tcPr>
          <w:p w14:paraId="6592E68C" w14:textId="77777777" w:rsidR="00B92EC0" w:rsidRDefault="00B92EC0" w:rsidP="00EC4DCE">
            <w:pPr>
              <w:pStyle w:val="ListParagraph"/>
              <w:spacing w:line="276" w:lineRule="auto"/>
              <w:ind w:left="360"/>
            </w:pPr>
          </w:p>
        </w:tc>
        <w:tc>
          <w:tcPr>
            <w:tcW w:w="3117" w:type="dxa"/>
            <w:vAlign w:val="center"/>
          </w:tcPr>
          <w:p w14:paraId="4FA36A44" w14:textId="77777777" w:rsidR="00B92EC0" w:rsidRDefault="00B92EC0" w:rsidP="00EC4DCE">
            <w:pPr>
              <w:pStyle w:val="ListParagraph"/>
              <w:spacing w:line="276" w:lineRule="auto"/>
              <w:ind w:left="360"/>
            </w:pPr>
          </w:p>
        </w:tc>
      </w:tr>
    </w:tbl>
    <w:p w14:paraId="1561ABFB" w14:textId="77777777" w:rsidR="00F32D66" w:rsidRDefault="00F32D66" w:rsidP="006606DD"/>
    <w:p w14:paraId="70A18C78" w14:textId="77777777" w:rsidR="00F83C07" w:rsidRDefault="00F83C07" w:rsidP="006606DD"/>
    <w:p w14:paraId="08A4A4CA" w14:textId="77777777" w:rsidR="00F83C07" w:rsidRDefault="00F83C07" w:rsidP="006606DD"/>
    <w:p w14:paraId="22043B81" w14:textId="77777777" w:rsidR="00F83C07" w:rsidRDefault="00F83C07" w:rsidP="006606DD"/>
    <w:p w14:paraId="7EF04429" w14:textId="77777777" w:rsidR="00F83C07" w:rsidRDefault="00F83C07" w:rsidP="006606DD"/>
    <w:p w14:paraId="2A12D406" w14:textId="77777777" w:rsidR="00F83C07" w:rsidRDefault="00F83C07" w:rsidP="006606DD"/>
    <w:p w14:paraId="4F23EEE8" w14:textId="77777777" w:rsidR="00F83C07" w:rsidRDefault="00F83C07" w:rsidP="006606DD"/>
    <w:p w14:paraId="5DCE9EF8" w14:textId="77777777" w:rsidR="00F83C07" w:rsidRDefault="00F83C07" w:rsidP="006606DD"/>
    <w:p w14:paraId="7D67E322" w14:textId="77777777" w:rsidR="00F83C07" w:rsidRDefault="00F83C07" w:rsidP="006606DD"/>
    <w:p w14:paraId="5BC33820" w14:textId="77777777" w:rsidR="00F83C07" w:rsidRDefault="00F83C07" w:rsidP="006606DD"/>
    <w:p w14:paraId="1133019E" w14:textId="736423A8" w:rsidR="006606DD" w:rsidRDefault="006606DD" w:rsidP="00AB5B80">
      <w:pPr>
        <w:pStyle w:val="Heading3"/>
      </w:pPr>
      <w:bookmarkStart w:id="738" w:name="_Toc225877840"/>
      <w:r>
        <w:lastRenderedPageBreak/>
        <w:t>Gastroenterology</w:t>
      </w:r>
      <w:bookmarkEnd w:id="738"/>
      <w:r>
        <w:t xml:space="preserve"> </w:t>
      </w:r>
    </w:p>
    <w:p w14:paraId="7100F9A6" w14:textId="77777777" w:rsidR="006606DD" w:rsidRDefault="006606DD" w:rsidP="006606DD"/>
    <w:tbl>
      <w:tblPr>
        <w:tblStyle w:val="TableGrid100"/>
        <w:tblW w:w="0" w:type="auto"/>
        <w:tblLook w:val="04A0" w:firstRow="1" w:lastRow="0" w:firstColumn="1" w:lastColumn="0" w:noHBand="0" w:noVBand="1"/>
      </w:tblPr>
      <w:tblGrid>
        <w:gridCol w:w="5015"/>
        <w:gridCol w:w="4335"/>
      </w:tblGrid>
      <w:tr w:rsidR="006A0D20" w:rsidRPr="006A0D20" w14:paraId="47F9DBD5" w14:textId="77777777" w:rsidTr="004551E0">
        <w:trPr>
          <w:trHeight w:val="720"/>
        </w:trPr>
        <w:tc>
          <w:tcPr>
            <w:tcW w:w="9350" w:type="dxa"/>
            <w:gridSpan w:val="2"/>
            <w:tcBorders>
              <w:bottom w:val="single" w:sz="4" w:space="0" w:color="auto"/>
            </w:tcBorders>
            <w:tcMar>
              <w:top w:w="72" w:type="dxa"/>
              <w:left w:w="115" w:type="dxa"/>
              <w:bottom w:w="72" w:type="dxa"/>
              <w:right w:w="115" w:type="dxa"/>
            </w:tcMar>
            <w:vAlign w:val="center"/>
          </w:tcPr>
          <w:p w14:paraId="1BD4A63B" w14:textId="7FE9AA83" w:rsidR="006A0D20" w:rsidRPr="006A0D20" w:rsidRDefault="006A0D20" w:rsidP="00AD309C">
            <w:pPr>
              <w:numPr>
                <w:ilvl w:val="0"/>
                <w:numId w:val="91"/>
              </w:numPr>
              <w:contextualSpacing/>
              <w:rPr>
                <w:i/>
              </w:rPr>
            </w:pPr>
            <w:r w:rsidRPr="006A0D20">
              <w:t xml:space="preserve">Total adult volume for each of the following applicable procedures performed at your </w:t>
            </w:r>
            <w:r w:rsidR="00045B2E">
              <w:t>hospital outpatient department(s)</w:t>
            </w:r>
            <w:r w:rsidRPr="006A0D20">
              <w:t xml:space="preserve"> during the reporting period.</w:t>
            </w:r>
            <w:r w:rsidRPr="006A0D20">
              <w:br/>
            </w:r>
            <w:r w:rsidRPr="006A0D20">
              <w:br/>
            </w:r>
            <w:r w:rsidRPr="006A0D20">
              <w:rPr>
                <w:i/>
              </w:rPr>
              <w:t xml:space="preserve">You cannot leave any blank. If you did not perform one or more of the procedures listed below enter 0 (zero). If you had zero volume for </w:t>
            </w:r>
            <w:r w:rsidRPr="006A0D20">
              <w:rPr>
                <w:b/>
                <w:i/>
                <w:u w:val="single"/>
              </w:rPr>
              <w:t>all</w:t>
            </w:r>
            <w:r w:rsidRPr="006A0D20">
              <w:rPr>
                <w:i/>
              </w:rPr>
              <w:t xml:space="preserve"> procedures, go back to question #</w:t>
            </w:r>
            <w:r w:rsidR="00B92EC0">
              <w:rPr>
                <w:i/>
              </w:rPr>
              <w:t>5</w:t>
            </w:r>
            <w:r w:rsidRPr="006A0D20">
              <w:rPr>
                <w:i/>
              </w:rPr>
              <w:t xml:space="preserve"> and update your response from “yes” to “no.”</w:t>
            </w:r>
            <w:r w:rsidRPr="006A0D20">
              <w:t xml:space="preserve"> </w:t>
            </w:r>
          </w:p>
        </w:tc>
      </w:tr>
      <w:tr w:rsidR="001A4A1F" w:rsidRPr="006A0D20" w14:paraId="55B4F363" w14:textId="77777777" w:rsidTr="0001518E">
        <w:trPr>
          <w:trHeight w:val="20"/>
        </w:trPr>
        <w:tc>
          <w:tcPr>
            <w:tcW w:w="501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57734F46" w14:textId="77777777" w:rsidR="001A4A1F" w:rsidRPr="006A0D20" w:rsidRDefault="001A4A1F" w:rsidP="0001518E">
            <w:pPr>
              <w:spacing w:line="276" w:lineRule="auto"/>
              <w:rPr>
                <w:rFonts w:eastAsia="Yu Gothic Light"/>
              </w:rPr>
            </w:pPr>
          </w:p>
        </w:tc>
        <w:tc>
          <w:tcPr>
            <w:tcW w:w="433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14:paraId="242FB810" w14:textId="48DA6789" w:rsidR="001A4A1F" w:rsidRPr="006A0D20" w:rsidRDefault="001A4A1F" w:rsidP="004F63C1">
            <w:pPr>
              <w:contextualSpacing/>
              <w:jc w:val="center"/>
              <w:rPr>
                <w:i/>
              </w:rPr>
            </w:pPr>
            <w:r w:rsidRPr="006A0D20">
              <w:rPr>
                <w:i/>
              </w:rPr>
              <w:t>Adult Volume</w:t>
            </w:r>
          </w:p>
        </w:tc>
      </w:tr>
      <w:tr w:rsidR="001A4A1F" w:rsidRPr="006A0D20" w14:paraId="5DF9A071" w14:textId="77777777" w:rsidTr="00EC4DCE">
        <w:trPr>
          <w:trHeight w:val="20"/>
        </w:trPr>
        <w:tc>
          <w:tcPr>
            <w:tcW w:w="501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19E9F1F0" w14:textId="77777777" w:rsidR="001A4A1F" w:rsidRPr="006A0D20" w:rsidRDefault="001A4A1F" w:rsidP="006A0D20">
            <w:pPr>
              <w:spacing w:line="276" w:lineRule="auto"/>
              <w:rPr>
                <w:rFonts w:eastAsia="Yu Gothic Light"/>
                <w:b/>
              </w:rPr>
            </w:pPr>
            <w:r w:rsidRPr="006A0D20">
              <w:rPr>
                <w:rFonts w:eastAsia="Yu Gothic Light"/>
                <w:b/>
              </w:rPr>
              <w:t>Upper GI endoscopies</w:t>
            </w:r>
          </w:p>
        </w:tc>
        <w:tc>
          <w:tcPr>
            <w:tcW w:w="433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138E87BA" w14:textId="006221DA" w:rsidR="001A4A1F" w:rsidRPr="006A0D20" w:rsidRDefault="001A4A1F" w:rsidP="001A4A1F">
            <w:pPr>
              <w:jc w:val="center"/>
            </w:pPr>
            <w:r w:rsidRPr="006A0D20">
              <w:t>_____</w:t>
            </w:r>
          </w:p>
        </w:tc>
      </w:tr>
      <w:tr w:rsidR="001A4A1F" w:rsidRPr="006A0D20" w14:paraId="788255E7" w14:textId="77777777" w:rsidTr="00EC4DCE">
        <w:trPr>
          <w:trHeight w:val="20"/>
        </w:trPr>
        <w:tc>
          <w:tcPr>
            <w:tcW w:w="501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06E7038E" w14:textId="77777777" w:rsidR="001A4A1F" w:rsidRPr="006A0D20" w:rsidRDefault="001A4A1F" w:rsidP="006A0D20">
            <w:pPr>
              <w:spacing w:line="276" w:lineRule="auto"/>
              <w:rPr>
                <w:rFonts w:eastAsia="Yu Gothic Light"/>
                <w:b/>
              </w:rPr>
            </w:pPr>
            <w:r w:rsidRPr="006A0D20">
              <w:rPr>
                <w:rFonts w:eastAsia="Yu Gothic Light"/>
                <w:b/>
              </w:rPr>
              <w:t xml:space="preserve">Lower GI endoscopies </w:t>
            </w:r>
          </w:p>
        </w:tc>
        <w:tc>
          <w:tcPr>
            <w:tcW w:w="433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vAlign w:val="center"/>
          </w:tcPr>
          <w:p w14:paraId="3769FFAD" w14:textId="3A539399" w:rsidR="001A4A1F" w:rsidRPr="006A0D20" w:rsidRDefault="001A4A1F" w:rsidP="001A4A1F">
            <w:pPr>
              <w:jc w:val="center"/>
            </w:pPr>
            <w:r w:rsidRPr="006A0D20">
              <w:t>_____</w:t>
            </w:r>
          </w:p>
        </w:tc>
      </w:tr>
    </w:tbl>
    <w:tbl>
      <w:tblPr>
        <w:tblStyle w:val="TableGrid"/>
        <w:tblpPr w:leftFromText="180" w:rightFromText="180" w:vertAnchor="text" w:horzAnchor="margin" w:tblpY="244"/>
        <w:tblOverlap w:val="never"/>
        <w:tblW w:w="0" w:type="auto"/>
        <w:tblLayout w:type="fixed"/>
        <w:tblCellMar>
          <w:left w:w="115" w:type="dxa"/>
          <w:right w:w="115" w:type="dxa"/>
        </w:tblCellMar>
        <w:tblLook w:val="04A0" w:firstRow="1" w:lastRow="0" w:firstColumn="1" w:lastColumn="0" w:noHBand="0" w:noVBand="1"/>
      </w:tblPr>
      <w:tblGrid>
        <w:gridCol w:w="6205"/>
        <w:gridCol w:w="3145"/>
      </w:tblGrid>
      <w:tr w:rsidR="006E35A8" w:rsidRPr="005B2F83" w14:paraId="2DF54C61" w14:textId="77777777" w:rsidTr="006E35A8">
        <w:trPr>
          <w:trHeight w:val="1008"/>
        </w:trPr>
        <w:tc>
          <w:tcPr>
            <w:tcW w:w="6205" w:type="dxa"/>
            <w:tcMar>
              <w:top w:w="72" w:type="dxa"/>
              <w:left w:w="115" w:type="dxa"/>
              <w:bottom w:w="72" w:type="dxa"/>
              <w:right w:w="115" w:type="dxa"/>
            </w:tcMar>
            <w:vAlign w:val="center"/>
          </w:tcPr>
          <w:p w14:paraId="20302C04" w14:textId="77777777" w:rsidR="006E35A8" w:rsidRDefault="006E35A8" w:rsidP="00AD309C">
            <w:pPr>
              <w:pStyle w:val="ListParagraph"/>
              <w:numPr>
                <w:ilvl w:val="0"/>
                <w:numId w:val="91"/>
              </w:numPr>
            </w:pPr>
            <w:r>
              <w:t xml:space="preserve">Where were these </w:t>
            </w:r>
            <w:r w:rsidRPr="005D2045">
              <w:rPr>
                <w:b/>
              </w:rPr>
              <w:t xml:space="preserve">gastroenterology </w:t>
            </w:r>
            <w:r>
              <w:t>procedures performed?</w:t>
            </w:r>
          </w:p>
          <w:p w14:paraId="73156A58" w14:textId="77777777" w:rsidR="006E35A8" w:rsidRDefault="006E35A8" w:rsidP="006E35A8">
            <w:pPr>
              <w:pStyle w:val="ListParagraph"/>
              <w:ind w:left="360"/>
            </w:pPr>
          </w:p>
          <w:p w14:paraId="179DAA75" w14:textId="77777777" w:rsidR="006E35A8" w:rsidRPr="00131F2C" w:rsidRDefault="006E35A8" w:rsidP="006E35A8">
            <w:pPr>
              <w:pStyle w:val="ListParagraph"/>
              <w:ind w:left="360"/>
              <w:rPr>
                <w:i/>
              </w:rPr>
            </w:pPr>
            <w:r>
              <w:rPr>
                <w:i/>
              </w:rPr>
              <w:t>Select all that apply.</w:t>
            </w:r>
          </w:p>
          <w:p w14:paraId="16A100FB" w14:textId="77777777" w:rsidR="006E35A8" w:rsidRPr="005D2045" w:rsidRDefault="006E35A8" w:rsidP="006E35A8">
            <w:pPr>
              <w:pStyle w:val="ListParagraph"/>
              <w:ind w:left="360"/>
            </w:pPr>
          </w:p>
          <w:p w14:paraId="39AF52AF" w14:textId="1FD2A20B" w:rsidR="006E35A8" w:rsidRPr="005D2045" w:rsidRDefault="006E35A8" w:rsidP="006E35A8">
            <w:pPr>
              <w:pStyle w:val="ListParagraph"/>
              <w:ind w:left="360"/>
            </w:pPr>
            <w:r w:rsidRPr="005E3B4A">
              <w:rPr>
                <w:i/>
              </w:rPr>
              <w:t>If only “hospital” is selected, s</w:t>
            </w:r>
            <w:r w:rsidRPr="00B674A0">
              <w:rPr>
                <w:i/>
              </w:rPr>
              <w:t xml:space="preserve">kip </w:t>
            </w:r>
            <w:r>
              <w:rPr>
                <w:i/>
              </w:rPr>
              <w:t>question #</w:t>
            </w:r>
            <w:r w:rsidR="005E5021">
              <w:rPr>
                <w:i/>
              </w:rPr>
              <w:t>22</w:t>
            </w:r>
            <w:r>
              <w:rPr>
                <w:i/>
              </w:rPr>
              <w:t xml:space="preserve"> and continue to question #</w:t>
            </w:r>
            <w:r w:rsidR="005E5021">
              <w:rPr>
                <w:i/>
              </w:rPr>
              <w:t>23</w:t>
            </w:r>
            <w:r>
              <w:rPr>
                <w:i/>
              </w:rPr>
              <w:t>.</w:t>
            </w:r>
          </w:p>
        </w:tc>
        <w:tc>
          <w:tcPr>
            <w:tcW w:w="3145" w:type="dxa"/>
            <w:vAlign w:val="center"/>
          </w:tcPr>
          <w:p w14:paraId="1603D194" w14:textId="77777777" w:rsidR="006E35A8" w:rsidRPr="00753419" w:rsidRDefault="006E35A8" w:rsidP="00AD309C">
            <w:pPr>
              <w:pStyle w:val="ListParagraph"/>
              <w:numPr>
                <w:ilvl w:val="0"/>
                <w:numId w:val="94"/>
              </w:numPr>
              <w:spacing w:line="276" w:lineRule="auto"/>
              <w:rPr>
                <w:iCs/>
              </w:rPr>
            </w:pPr>
            <w:r w:rsidRPr="00753419">
              <w:rPr>
                <w:iCs/>
              </w:rPr>
              <w:t>Hospital</w:t>
            </w:r>
          </w:p>
          <w:p w14:paraId="2B8BD19D" w14:textId="77777777" w:rsidR="006E35A8" w:rsidRPr="00551F82" w:rsidRDefault="006E35A8" w:rsidP="00AD309C">
            <w:pPr>
              <w:pStyle w:val="ListParagraph"/>
              <w:numPr>
                <w:ilvl w:val="0"/>
                <w:numId w:val="94"/>
              </w:numPr>
              <w:spacing w:line="276" w:lineRule="auto"/>
              <w:rPr>
                <w:i/>
              </w:rPr>
            </w:pPr>
            <w:r w:rsidRPr="00753419">
              <w:rPr>
                <w:iCs/>
              </w:rPr>
              <w:t>Surgery center or free-standing hospital outpatient department</w:t>
            </w:r>
          </w:p>
        </w:tc>
      </w:tr>
    </w:tbl>
    <w:p w14:paraId="68B8B5FF" w14:textId="77777777" w:rsidR="003E3EDD" w:rsidRDefault="003E3EDD"/>
    <w:p w14:paraId="628CCBEF" w14:textId="77777777" w:rsidR="006E35A8" w:rsidRDefault="006E35A8"/>
    <w:tbl>
      <w:tblPr>
        <w:tblStyle w:val="TableGrid"/>
        <w:tblW w:w="0" w:type="auto"/>
        <w:tblLayout w:type="fixed"/>
        <w:tblCellMar>
          <w:left w:w="115" w:type="dxa"/>
          <w:right w:w="115" w:type="dxa"/>
        </w:tblCellMar>
        <w:tblLook w:val="04A0" w:firstRow="1" w:lastRow="0" w:firstColumn="1" w:lastColumn="0" w:noHBand="0" w:noVBand="1"/>
      </w:tblPr>
      <w:tblGrid>
        <w:gridCol w:w="5305"/>
        <w:gridCol w:w="1980"/>
        <w:gridCol w:w="2065"/>
      </w:tblGrid>
      <w:tr w:rsidR="00D07D70" w:rsidRPr="005B2F83" w14:paraId="35EC01E0" w14:textId="77777777" w:rsidTr="004551E0">
        <w:trPr>
          <w:trHeight w:val="20"/>
        </w:trPr>
        <w:tc>
          <w:tcPr>
            <w:tcW w:w="9350" w:type="dxa"/>
            <w:gridSpan w:val="3"/>
            <w:tcMar>
              <w:top w:w="72" w:type="dxa"/>
              <w:left w:w="115" w:type="dxa"/>
              <w:bottom w:w="72" w:type="dxa"/>
              <w:right w:w="115" w:type="dxa"/>
            </w:tcMar>
            <w:vAlign w:val="center"/>
          </w:tcPr>
          <w:p w14:paraId="112AE6FC" w14:textId="62A437E0" w:rsidR="00D07D70" w:rsidRDefault="00D07D70" w:rsidP="00AD309C">
            <w:pPr>
              <w:pStyle w:val="ListParagraph"/>
              <w:numPr>
                <w:ilvl w:val="0"/>
                <w:numId w:val="91"/>
              </w:numPr>
              <w:spacing w:line="276" w:lineRule="auto"/>
              <w:rPr>
                <w:i/>
              </w:rPr>
            </w:pPr>
            <w:r>
              <w:t xml:space="preserve">Please provide the name and city location of each </w:t>
            </w:r>
            <w:r w:rsidR="00676EE9">
              <w:t xml:space="preserve">surgery center or </w:t>
            </w:r>
            <w:r w:rsidR="00FC36EC">
              <w:t>free-standing</w:t>
            </w:r>
            <w:r w:rsidR="001D59DB">
              <w:t xml:space="preserve"> hospital outpatient department</w:t>
            </w:r>
            <w:r>
              <w:t xml:space="preserve"> performing </w:t>
            </w:r>
            <w:r w:rsidRPr="00A30D38">
              <w:rPr>
                <w:b/>
              </w:rPr>
              <w:t>gastroenterology</w:t>
            </w:r>
            <w:r>
              <w:t xml:space="preserve"> procedures:</w:t>
            </w:r>
          </w:p>
        </w:tc>
      </w:tr>
      <w:tr w:rsidR="00D07D70" w:rsidRPr="005B2F83" w14:paraId="39667D19" w14:textId="77777777" w:rsidTr="004551E0">
        <w:trPr>
          <w:trHeight w:val="20"/>
        </w:trPr>
        <w:tc>
          <w:tcPr>
            <w:tcW w:w="5305" w:type="dxa"/>
            <w:tcMar>
              <w:top w:w="72" w:type="dxa"/>
              <w:left w:w="115" w:type="dxa"/>
              <w:bottom w:w="72" w:type="dxa"/>
              <w:right w:w="115" w:type="dxa"/>
            </w:tcMar>
            <w:vAlign w:val="center"/>
          </w:tcPr>
          <w:p w14:paraId="3A10CE49" w14:textId="77777777" w:rsidR="00D07D70" w:rsidRDefault="00D07D70" w:rsidP="00A30D38">
            <w:pPr>
              <w:pStyle w:val="ListParagraph"/>
              <w:spacing w:line="276" w:lineRule="auto"/>
              <w:ind w:left="360"/>
            </w:pPr>
          </w:p>
        </w:tc>
        <w:tc>
          <w:tcPr>
            <w:tcW w:w="1980" w:type="dxa"/>
            <w:vAlign w:val="center"/>
          </w:tcPr>
          <w:p w14:paraId="31C68D2E" w14:textId="795B498D" w:rsidR="00D07D70" w:rsidRPr="00C01AAF" w:rsidRDefault="00D07D70" w:rsidP="004F63C1">
            <w:pPr>
              <w:spacing w:line="276" w:lineRule="auto"/>
              <w:jc w:val="center"/>
              <w:rPr>
                <w:i/>
              </w:rPr>
            </w:pPr>
            <w:r w:rsidRPr="00C01AAF">
              <w:rPr>
                <w:i/>
              </w:rPr>
              <w:t>Name</w:t>
            </w:r>
          </w:p>
        </w:tc>
        <w:tc>
          <w:tcPr>
            <w:tcW w:w="2065" w:type="dxa"/>
            <w:vAlign w:val="center"/>
          </w:tcPr>
          <w:p w14:paraId="2922DC34" w14:textId="4EE59765" w:rsidR="00D07D70" w:rsidRPr="00C01AAF" w:rsidRDefault="00D07D70" w:rsidP="004F63C1">
            <w:pPr>
              <w:spacing w:line="276" w:lineRule="auto"/>
              <w:jc w:val="center"/>
              <w:rPr>
                <w:i/>
              </w:rPr>
            </w:pPr>
            <w:r w:rsidRPr="00C01AAF">
              <w:rPr>
                <w:i/>
              </w:rPr>
              <w:t>City</w:t>
            </w:r>
          </w:p>
        </w:tc>
      </w:tr>
      <w:tr w:rsidR="00D07D70" w:rsidRPr="005B2F83" w14:paraId="758F49B0" w14:textId="77777777" w:rsidTr="004551E0">
        <w:trPr>
          <w:trHeight w:val="20"/>
        </w:trPr>
        <w:tc>
          <w:tcPr>
            <w:tcW w:w="5305" w:type="dxa"/>
            <w:tcMar>
              <w:top w:w="72" w:type="dxa"/>
              <w:left w:w="115" w:type="dxa"/>
              <w:bottom w:w="72" w:type="dxa"/>
              <w:right w:w="115" w:type="dxa"/>
            </w:tcMar>
            <w:vAlign w:val="center"/>
          </w:tcPr>
          <w:p w14:paraId="2BDA097E" w14:textId="11E72022" w:rsidR="00D07D70" w:rsidRPr="00E17F7C" w:rsidRDefault="00676EE9" w:rsidP="00E17F7C">
            <w:pPr>
              <w:pStyle w:val="ListParagraph"/>
              <w:spacing w:line="276" w:lineRule="auto"/>
              <w:ind w:left="360"/>
              <w:rPr>
                <w:b/>
              </w:rPr>
            </w:pPr>
            <w:r>
              <w:rPr>
                <w:b/>
              </w:rPr>
              <w:t>Surgery Center/</w:t>
            </w:r>
            <w:r w:rsidRPr="00E17F7C">
              <w:rPr>
                <w:b/>
              </w:rPr>
              <w:t xml:space="preserve">Free-Standing </w:t>
            </w:r>
            <w:r w:rsidR="001D59DB" w:rsidRPr="00E17F7C">
              <w:rPr>
                <w:b/>
              </w:rPr>
              <w:t>Hospital Outpatient Department</w:t>
            </w:r>
            <w:r w:rsidR="00D07D70" w:rsidRPr="00E17F7C">
              <w:rPr>
                <w:b/>
              </w:rPr>
              <w:t xml:space="preserve"> 1</w:t>
            </w:r>
          </w:p>
        </w:tc>
        <w:tc>
          <w:tcPr>
            <w:tcW w:w="1980" w:type="dxa"/>
            <w:vAlign w:val="center"/>
          </w:tcPr>
          <w:p w14:paraId="66AADF58" w14:textId="77777777" w:rsidR="00D07D70" w:rsidRDefault="00D07D70" w:rsidP="00A30D38">
            <w:pPr>
              <w:pStyle w:val="ListParagraph"/>
              <w:spacing w:line="276" w:lineRule="auto"/>
              <w:ind w:left="360"/>
            </w:pPr>
          </w:p>
        </w:tc>
        <w:tc>
          <w:tcPr>
            <w:tcW w:w="2065" w:type="dxa"/>
            <w:vAlign w:val="center"/>
          </w:tcPr>
          <w:p w14:paraId="44471221" w14:textId="77777777" w:rsidR="00D07D70" w:rsidRDefault="00D07D70" w:rsidP="00A30D38">
            <w:pPr>
              <w:pStyle w:val="ListParagraph"/>
              <w:spacing w:line="276" w:lineRule="auto"/>
              <w:ind w:left="360"/>
            </w:pPr>
          </w:p>
        </w:tc>
      </w:tr>
      <w:tr w:rsidR="00D07D70" w:rsidRPr="005B2F83" w14:paraId="18996300" w14:textId="77777777" w:rsidTr="004551E0">
        <w:trPr>
          <w:trHeight w:val="144"/>
        </w:trPr>
        <w:tc>
          <w:tcPr>
            <w:tcW w:w="5305" w:type="dxa"/>
            <w:tcMar>
              <w:top w:w="72" w:type="dxa"/>
              <w:left w:w="115" w:type="dxa"/>
              <w:bottom w:w="72" w:type="dxa"/>
              <w:right w:w="115" w:type="dxa"/>
            </w:tcMar>
            <w:vAlign w:val="center"/>
          </w:tcPr>
          <w:p w14:paraId="150ACCA4" w14:textId="3D3AE572" w:rsidR="00D07D70" w:rsidRPr="00E17F7C" w:rsidRDefault="00676EE9" w:rsidP="00E17F7C">
            <w:pPr>
              <w:pStyle w:val="ListParagraph"/>
              <w:spacing w:line="276" w:lineRule="auto"/>
              <w:ind w:left="360"/>
              <w:rPr>
                <w:b/>
              </w:rPr>
            </w:pPr>
            <w:r>
              <w:rPr>
                <w:b/>
              </w:rPr>
              <w:t>Surgery Center/</w:t>
            </w:r>
            <w:r w:rsidRPr="00E17F7C">
              <w:rPr>
                <w:b/>
              </w:rPr>
              <w:t>Free-Standing Hospital Outpatient Department 2</w:t>
            </w:r>
          </w:p>
        </w:tc>
        <w:tc>
          <w:tcPr>
            <w:tcW w:w="1980" w:type="dxa"/>
            <w:vAlign w:val="center"/>
          </w:tcPr>
          <w:p w14:paraId="5A59720A" w14:textId="77777777" w:rsidR="00D07D70" w:rsidRDefault="00D07D70" w:rsidP="00A30D38">
            <w:pPr>
              <w:pStyle w:val="ListParagraph"/>
              <w:spacing w:line="276" w:lineRule="auto"/>
              <w:ind w:left="360"/>
            </w:pPr>
          </w:p>
        </w:tc>
        <w:tc>
          <w:tcPr>
            <w:tcW w:w="2065" w:type="dxa"/>
            <w:vAlign w:val="center"/>
          </w:tcPr>
          <w:p w14:paraId="3478C7E5" w14:textId="77777777" w:rsidR="00D07D70" w:rsidRDefault="00D07D70" w:rsidP="00A30D38">
            <w:pPr>
              <w:pStyle w:val="ListParagraph"/>
              <w:spacing w:line="276" w:lineRule="auto"/>
              <w:ind w:left="360"/>
            </w:pPr>
          </w:p>
        </w:tc>
      </w:tr>
      <w:tr w:rsidR="00D07D70" w:rsidRPr="005B2F83" w14:paraId="65853381" w14:textId="77777777" w:rsidTr="004551E0">
        <w:trPr>
          <w:trHeight w:val="144"/>
        </w:trPr>
        <w:tc>
          <w:tcPr>
            <w:tcW w:w="5305" w:type="dxa"/>
            <w:tcMar>
              <w:top w:w="72" w:type="dxa"/>
              <w:left w:w="115" w:type="dxa"/>
              <w:bottom w:w="72" w:type="dxa"/>
              <w:right w:w="115" w:type="dxa"/>
            </w:tcMar>
            <w:vAlign w:val="center"/>
          </w:tcPr>
          <w:p w14:paraId="4F77C36D" w14:textId="0CB8160D" w:rsidR="00D07D70" w:rsidRPr="00E17F7C" w:rsidRDefault="00676EE9" w:rsidP="00E17F7C">
            <w:pPr>
              <w:pStyle w:val="ListParagraph"/>
              <w:spacing w:line="276" w:lineRule="auto"/>
              <w:ind w:left="360"/>
              <w:rPr>
                <w:b/>
              </w:rPr>
            </w:pPr>
            <w:r>
              <w:rPr>
                <w:b/>
              </w:rPr>
              <w:t>Surgery Center/</w:t>
            </w:r>
            <w:r w:rsidRPr="00E17F7C">
              <w:rPr>
                <w:b/>
              </w:rPr>
              <w:t xml:space="preserve">Free-Standing </w:t>
            </w:r>
            <w:r w:rsidR="001D59DB" w:rsidRPr="00E17F7C">
              <w:rPr>
                <w:b/>
              </w:rPr>
              <w:t>Hospital Outpatient Department</w:t>
            </w:r>
            <w:r w:rsidR="00D07D70" w:rsidRPr="00E17F7C">
              <w:rPr>
                <w:b/>
              </w:rPr>
              <w:t xml:space="preserve"> 3</w:t>
            </w:r>
          </w:p>
        </w:tc>
        <w:tc>
          <w:tcPr>
            <w:tcW w:w="1980" w:type="dxa"/>
            <w:vAlign w:val="center"/>
          </w:tcPr>
          <w:p w14:paraId="409110ED" w14:textId="77777777" w:rsidR="00D07D70" w:rsidRDefault="00D07D70" w:rsidP="00A30D38">
            <w:pPr>
              <w:pStyle w:val="ListParagraph"/>
              <w:spacing w:line="276" w:lineRule="auto"/>
              <w:ind w:left="360"/>
            </w:pPr>
          </w:p>
        </w:tc>
        <w:tc>
          <w:tcPr>
            <w:tcW w:w="2065" w:type="dxa"/>
            <w:vAlign w:val="center"/>
          </w:tcPr>
          <w:p w14:paraId="18433642" w14:textId="77777777" w:rsidR="00D07D70" w:rsidRDefault="00D07D70" w:rsidP="00A30D38">
            <w:pPr>
              <w:pStyle w:val="ListParagraph"/>
              <w:spacing w:line="276" w:lineRule="auto"/>
              <w:ind w:left="360"/>
            </w:pPr>
          </w:p>
        </w:tc>
      </w:tr>
      <w:tr w:rsidR="00D07D70" w:rsidRPr="005B2F83" w14:paraId="36C0BECF" w14:textId="77777777" w:rsidTr="004551E0">
        <w:trPr>
          <w:trHeight w:val="144"/>
        </w:trPr>
        <w:tc>
          <w:tcPr>
            <w:tcW w:w="5305" w:type="dxa"/>
            <w:tcMar>
              <w:top w:w="72" w:type="dxa"/>
              <w:left w:w="115" w:type="dxa"/>
              <w:bottom w:w="72" w:type="dxa"/>
              <w:right w:w="115" w:type="dxa"/>
            </w:tcMar>
            <w:vAlign w:val="center"/>
          </w:tcPr>
          <w:p w14:paraId="4215B82D" w14:textId="3AC90F7C" w:rsidR="00D07D70" w:rsidRPr="00E17F7C" w:rsidRDefault="00676EE9" w:rsidP="00E17F7C">
            <w:pPr>
              <w:pStyle w:val="ListParagraph"/>
              <w:spacing w:line="276" w:lineRule="auto"/>
              <w:ind w:left="360"/>
              <w:rPr>
                <w:b/>
              </w:rPr>
            </w:pPr>
            <w:r>
              <w:rPr>
                <w:b/>
              </w:rPr>
              <w:t>Surgery Center/</w:t>
            </w:r>
            <w:r w:rsidRPr="00E17F7C">
              <w:rPr>
                <w:b/>
              </w:rPr>
              <w:t xml:space="preserve">Free-Standing </w:t>
            </w:r>
            <w:r w:rsidR="001D59DB" w:rsidRPr="00E17F7C">
              <w:rPr>
                <w:b/>
              </w:rPr>
              <w:t>Hospital Outpatient Department</w:t>
            </w:r>
            <w:r w:rsidR="00D07D70" w:rsidRPr="00E17F7C">
              <w:rPr>
                <w:b/>
              </w:rPr>
              <w:t xml:space="preserve"> 4</w:t>
            </w:r>
          </w:p>
        </w:tc>
        <w:tc>
          <w:tcPr>
            <w:tcW w:w="1980" w:type="dxa"/>
            <w:vAlign w:val="center"/>
          </w:tcPr>
          <w:p w14:paraId="564767CB" w14:textId="77777777" w:rsidR="00D07D70" w:rsidRDefault="00D07D70" w:rsidP="00A30D38">
            <w:pPr>
              <w:pStyle w:val="ListParagraph"/>
              <w:spacing w:line="276" w:lineRule="auto"/>
              <w:ind w:left="360"/>
            </w:pPr>
          </w:p>
        </w:tc>
        <w:tc>
          <w:tcPr>
            <w:tcW w:w="2065" w:type="dxa"/>
            <w:vAlign w:val="center"/>
          </w:tcPr>
          <w:p w14:paraId="0C65C199" w14:textId="77777777" w:rsidR="00D07D70" w:rsidRDefault="00D07D70" w:rsidP="00A30D38">
            <w:pPr>
              <w:pStyle w:val="ListParagraph"/>
              <w:spacing w:line="276" w:lineRule="auto"/>
              <w:ind w:left="360"/>
            </w:pPr>
          </w:p>
        </w:tc>
      </w:tr>
      <w:tr w:rsidR="00D07D70" w:rsidRPr="005B2F83" w14:paraId="53CFEBA2" w14:textId="77777777" w:rsidTr="004551E0">
        <w:trPr>
          <w:trHeight w:val="20"/>
        </w:trPr>
        <w:tc>
          <w:tcPr>
            <w:tcW w:w="5305" w:type="dxa"/>
            <w:tcMar>
              <w:top w:w="72" w:type="dxa"/>
              <w:left w:w="115" w:type="dxa"/>
              <w:bottom w:w="72" w:type="dxa"/>
              <w:right w:w="115" w:type="dxa"/>
            </w:tcMar>
            <w:vAlign w:val="center"/>
          </w:tcPr>
          <w:p w14:paraId="1B64D5D5" w14:textId="359FFC8E" w:rsidR="00D07D70" w:rsidRPr="00E17F7C" w:rsidRDefault="00676EE9" w:rsidP="00993E22">
            <w:pPr>
              <w:pStyle w:val="ListParagraph"/>
              <w:spacing w:line="276" w:lineRule="auto"/>
              <w:ind w:left="360"/>
              <w:rPr>
                <w:b/>
              </w:rPr>
            </w:pPr>
            <w:r>
              <w:rPr>
                <w:b/>
              </w:rPr>
              <w:t>Surgery Center/</w:t>
            </w:r>
            <w:r w:rsidRPr="00E17F7C">
              <w:rPr>
                <w:b/>
              </w:rPr>
              <w:t xml:space="preserve">Free-Standing </w:t>
            </w:r>
            <w:r w:rsidR="001D59DB" w:rsidRPr="00E17F7C">
              <w:rPr>
                <w:b/>
              </w:rPr>
              <w:t>Hospital Outpatient Department</w:t>
            </w:r>
            <w:r w:rsidR="00D07D70" w:rsidRPr="00E17F7C">
              <w:rPr>
                <w:b/>
              </w:rPr>
              <w:t xml:space="preserve"> 5</w:t>
            </w:r>
          </w:p>
        </w:tc>
        <w:tc>
          <w:tcPr>
            <w:tcW w:w="1980" w:type="dxa"/>
            <w:vAlign w:val="center"/>
          </w:tcPr>
          <w:p w14:paraId="066BFC90" w14:textId="77777777" w:rsidR="00D07D70" w:rsidRDefault="00D07D70" w:rsidP="00A30D38">
            <w:pPr>
              <w:pStyle w:val="ListParagraph"/>
              <w:spacing w:line="276" w:lineRule="auto"/>
              <w:ind w:left="360"/>
            </w:pPr>
          </w:p>
        </w:tc>
        <w:tc>
          <w:tcPr>
            <w:tcW w:w="2065" w:type="dxa"/>
            <w:vAlign w:val="center"/>
          </w:tcPr>
          <w:p w14:paraId="77C4CBEB" w14:textId="77777777" w:rsidR="00D07D70" w:rsidRDefault="00D07D70" w:rsidP="00A30D38">
            <w:pPr>
              <w:pStyle w:val="ListParagraph"/>
              <w:spacing w:line="276" w:lineRule="auto"/>
              <w:ind w:left="360"/>
            </w:pPr>
          </w:p>
        </w:tc>
      </w:tr>
    </w:tbl>
    <w:p w14:paraId="7D6E8A15" w14:textId="77777777" w:rsidR="00914F12" w:rsidRDefault="00914F12" w:rsidP="00914F12">
      <w:bookmarkStart w:id="739" w:name="_Toc534296012"/>
    </w:p>
    <w:p w14:paraId="518FACC1" w14:textId="77777777" w:rsidR="00F83C07" w:rsidRDefault="00F83C07" w:rsidP="00914F12"/>
    <w:p w14:paraId="5D4841F3" w14:textId="77777777" w:rsidR="00F83C07" w:rsidRDefault="00F83C07" w:rsidP="00914F12"/>
    <w:p w14:paraId="66308E17" w14:textId="77777777" w:rsidR="00F83C07" w:rsidRDefault="00F83C07" w:rsidP="00914F12"/>
    <w:p w14:paraId="0F5A76ED" w14:textId="77777777" w:rsidR="00F83C07" w:rsidRDefault="00F83C07" w:rsidP="00914F12"/>
    <w:p w14:paraId="72AEBEBA" w14:textId="77777777" w:rsidR="00F83C07" w:rsidRDefault="00F83C07" w:rsidP="00914F12"/>
    <w:p w14:paraId="64FE75D0" w14:textId="77777777" w:rsidR="00F83C07" w:rsidRDefault="00F83C07" w:rsidP="00914F12"/>
    <w:p w14:paraId="13AAAE54" w14:textId="77777777" w:rsidR="00F83C07" w:rsidRDefault="00F83C07" w:rsidP="00914F12"/>
    <w:p w14:paraId="5A6DB287" w14:textId="77777777" w:rsidR="00F83C07" w:rsidRDefault="00F83C07" w:rsidP="00914F12"/>
    <w:p w14:paraId="1E3AE5BC" w14:textId="77777777" w:rsidR="00F83C07" w:rsidRDefault="00F83C07" w:rsidP="00914F12"/>
    <w:p w14:paraId="047DD9AE" w14:textId="77777777" w:rsidR="00F83C07" w:rsidRDefault="00F83C07" w:rsidP="00914F12"/>
    <w:p w14:paraId="1FAF2921" w14:textId="240C292E" w:rsidR="006E467C" w:rsidRPr="00914F12" w:rsidRDefault="006E467C" w:rsidP="00AB5B80">
      <w:pPr>
        <w:pStyle w:val="Heading3"/>
        <w:rPr>
          <w:sz w:val="20"/>
          <w:szCs w:val="20"/>
        </w:rPr>
      </w:pPr>
      <w:bookmarkStart w:id="740" w:name="_Toc225877841"/>
      <w:r w:rsidRPr="006E467C">
        <w:lastRenderedPageBreak/>
        <w:t>General Surgery</w:t>
      </w:r>
      <w:bookmarkEnd w:id="739"/>
      <w:bookmarkEnd w:id="740"/>
      <w:r w:rsidR="006606DD">
        <w:br/>
      </w:r>
    </w:p>
    <w:tbl>
      <w:tblPr>
        <w:tblStyle w:val="TableGrid110"/>
        <w:tblW w:w="0" w:type="auto"/>
        <w:tblLook w:val="04A0" w:firstRow="1" w:lastRow="0" w:firstColumn="1" w:lastColumn="0" w:noHBand="0" w:noVBand="1"/>
      </w:tblPr>
      <w:tblGrid>
        <w:gridCol w:w="5845"/>
        <w:gridCol w:w="3505"/>
      </w:tblGrid>
      <w:tr w:rsidR="006A0D20" w:rsidRPr="006A0D20" w14:paraId="2BA46C3A" w14:textId="77777777" w:rsidTr="004B6D61">
        <w:trPr>
          <w:trHeight w:val="20"/>
        </w:trPr>
        <w:tc>
          <w:tcPr>
            <w:tcW w:w="9350" w:type="dxa"/>
            <w:gridSpan w:val="2"/>
            <w:tcMar>
              <w:top w:w="72" w:type="dxa"/>
              <w:left w:w="115" w:type="dxa"/>
              <w:bottom w:w="72" w:type="dxa"/>
              <w:right w:w="115" w:type="dxa"/>
            </w:tcMar>
            <w:vAlign w:val="center"/>
          </w:tcPr>
          <w:p w14:paraId="53ACEA46" w14:textId="6E35A73A" w:rsidR="006A0D20" w:rsidRPr="006A0D20" w:rsidRDefault="006A0D20" w:rsidP="00AD309C">
            <w:pPr>
              <w:numPr>
                <w:ilvl w:val="0"/>
                <w:numId w:val="91"/>
              </w:numPr>
              <w:spacing w:after="120" w:line="264" w:lineRule="auto"/>
              <w:contextualSpacing/>
            </w:pPr>
            <w:bookmarkStart w:id="741" w:name="_Toc534296013"/>
            <w:r w:rsidRPr="006A0D20">
              <w:t xml:space="preserve">Total adult volume for each of the following applicable procedures performed at your </w:t>
            </w:r>
            <w:r w:rsidR="00045B2E">
              <w:t>hospital outpatient department(s)</w:t>
            </w:r>
            <w:r w:rsidRPr="006A0D20">
              <w:t xml:space="preserve"> during the reporting period.</w:t>
            </w:r>
            <w:r w:rsidRPr="006A0D20">
              <w:br/>
            </w:r>
            <w:r w:rsidRPr="006A0D20">
              <w:br/>
            </w:r>
            <w:r w:rsidRPr="006A0D20">
              <w:rPr>
                <w:i/>
              </w:rPr>
              <w:t xml:space="preserve">You cannot leave any blank. If you did not perform one or more of the procedures listed below enter 0 (zero). If you had zero volume for </w:t>
            </w:r>
            <w:r w:rsidRPr="006A0D20">
              <w:rPr>
                <w:b/>
                <w:i/>
                <w:u w:val="single"/>
              </w:rPr>
              <w:t>all</w:t>
            </w:r>
            <w:r w:rsidRPr="006A0D20">
              <w:rPr>
                <w:i/>
              </w:rPr>
              <w:t xml:space="preserve"> procedures, go back to question #</w:t>
            </w:r>
            <w:r w:rsidR="00B92EC0">
              <w:rPr>
                <w:i/>
              </w:rPr>
              <w:t>6</w:t>
            </w:r>
            <w:r w:rsidRPr="006A0D20">
              <w:rPr>
                <w:i/>
              </w:rPr>
              <w:t xml:space="preserve"> and update your response from “yes” to “no.”</w:t>
            </w:r>
          </w:p>
        </w:tc>
      </w:tr>
      <w:tr w:rsidR="001A4A1F" w:rsidRPr="006A0D20" w14:paraId="3180CB63" w14:textId="77777777" w:rsidTr="00C06753">
        <w:trPr>
          <w:trHeight w:val="20"/>
        </w:trPr>
        <w:tc>
          <w:tcPr>
            <w:tcW w:w="5845" w:type="dxa"/>
            <w:tcMar>
              <w:top w:w="72" w:type="dxa"/>
              <w:left w:w="115" w:type="dxa"/>
              <w:bottom w:w="72" w:type="dxa"/>
              <w:right w:w="115" w:type="dxa"/>
            </w:tcMar>
            <w:vAlign w:val="center"/>
          </w:tcPr>
          <w:p w14:paraId="5DD8BD04" w14:textId="77777777" w:rsidR="001A4A1F" w:rsidRPr="006A0D20" w:rsidRDefault="001A4A1F" w:rsidP="00A91579">
            <w:pPr>
              <w:spacing w:after="120" w:line="276" w:lineRule="auto"/>
              <w:rPr>
                <w:rFonts w:eastAsia="Yu Gothic Light"/>
              </w:rPr>
            </w:pPr>
          </w:p>
        </w:tc>
        <w:tc>
          <w:tcPr>
            <w:tcW w:w="3505" w:type="dxa"/>
            <w:tcMar>
              <w:top w:w="72" w:type="dxa"/>
              <w:left w:w="115" w:type="dxa"/>
              <w:bottom w:w="72" w:type="dxa"/>
              <w:right w:w="115" w:type="dxa"/>
            </w:tcMar>
            <w:vAlign w:val="center"/>
          </w:tcPr>
          <w:p w14:paraId="286B2540" w14:textId="1E834670" w:rsidR="001A4A1F" w:rsidRPr="006A0D20" w:rsidRDefault="001A4A1F" w:rsidP="004F63C1">
            <w:pPr>
              <w:spacing w:after="120" w:line="264" w:lineRule="auto"/>
              <w:contextualSpacing/>
              <w:jc w:val="center"/>
              <w:rPr>
                <w:i/>
              </w:rPr>
            </w:pPr>
            <w:r w:rsidRPr="006A0D20">
              <w:rPr>
                <w:i/>
              </w:rPr>
              <w:t>Adult Volume</w:t>
            </w:r>
          </w:p>
        </w:tc>
      </w:tr>
      <w:tr w:rsidR="001A4A1F" w:rsidRPr="006A0D20" w14:paraId="03853BC0" w14:textId="77777777" w:rsidTr="00C06753">
        <w:trPr>
          <w:trHeight w:val="20"/>
        </w:trPr>
        <w:tc>
          <w:tcPr>
            <w:tcW w:w="5845" w:type="dxa"/>
            <w:tcMar>
              <w:top w:w="72" w:type="dxa"/>
              <w:left w:w="115" w:type="dxa"/>
              <w:bottom w:w="72" w:type="dxa"/>
              <w:right w:w="115" w:type="dxa"/>
            </w:tcMar>
            <w:vAlign w:val="center"/>
          </w:tcPr>
          <w:p w14:paraId="35076537" w14:textId="679554C3" w:rsidR="001A4A1F" w:rsidRPr="006A0D20" w:rsidRDefault="001A4A1F" w:rsidP="001A4A1F">
            <w:pPr>
              <w:spacing w:after="120" w:line="276" w:lineRule="auto"/>
              <w:rPr>
                <w:rFonts w:eastAsia="Yu Gothic Light"/>
                <w:b/>
              </w:rPr>
            </w:pPr>
            <w:r w:rsidRPr="006A0D20">
              <w:rPr>
                <w:rFonts w:eastAsia="Yu Gothic Light"/>
                <w:b/>
              </w:rPr>
              <w:t>Cholecystectomies and common duct explorations</w:t>
            </w:r>
          </w:p>
        </w:tc>
        <w:tc>
          <w:tcPr>
            <w:tcW w:w="3505" w:type="dxa"/>
            <w:tcMar>
              <w:top w:w="72" w:type="dxa"/>
              <w:left w:w="115" w:type="dxa"/>
              <w:bottom w:w="72" w:type="dxa"/>
              <w:right w:w="115" w:type="dxa"/>
            </w:tcMar>
            <w:vAlign w:val="center"/>
          </w:tcPr>
          <w:p w14:paraId="03F5B09D" w14:textId="3D92B424" w:rsidR="001A4A1F" w:rsidRPr="006A0D20" w:rsidRDefault="001A4A1F" w:rsidP="004F63C1">
            <w:pPr>
              <w:jc w:val="center"/>
            </w:pPr>
            <w:r w:rsidRPr="006A0D20">
              <w:t>_____</w:t>
            </w:r>
          </w:p>
        </w:tc>
      </w:tr>
      <w:tr w:rsidR="001A4A1F" w:rsidRPr="006A0D20" w14:paraId="08AA7E51" w14:textId="77777777" w:rsidTr="00C06753">
        <w:trPr>
          <w:trHeight w:val="20"/>
        </w:trPr>
        <w:tc>
          <w:tcPr>
            <w:tcW w:w="5845" w:type="dxa"/>
            <w:tcMar>
              <w:top w:w="72" w:type="dxa"/>
              <w:left w:w="115" w:type="dxa"/>
              <w:bottom w:w="72" w:type="dxa"/>
              <w:right w:w="115" w:type="dxa"/>
            </w:tcMar>
            <w:vAlign w:val="center"/>
          </w:tcPr>
          <w:p w14:paraId="1EC6A0C4" w14:textId="77777777" w:rsidR="001A4A1F" w:rsidRPr="006A0D20" w:rsidRDefault="001A4A1F" w:rsidP="001A4A1F">
            <w:pPr>
              <w:spacing w:after="120" w:line="276" w:lineRule="auto"/>
              <w:rPr>
                <w:rFonts w:eastAsia="Yu Gothic Light"/>
                <w:b/>
              </w:rPr>
            </w:pPr>
            <w:r w:rsidRPr="006A0D20">
              <w:rPr>
                <w:rFonts w:eastAsia="Yu Gothic Light"/>
                <w:b/>
              </w:rPr>
              <w:t>Hemorrhoid procedures</w:t>
            </w:r>
          </w:p>
        </w:tc>
        <w:tc>
          <w:tcPr>
            <w:tcW w:w="3505" w:type="dxa"/>
            <w:tcMar>
              <w:top w:w="72" w:type="dxa"/>
              <w:left w:w="115" w:type="dxa"/>
              <w:bottom w:w="72" w:type="dxa"/>
              <w:right w:w="115" w:type="dxa"/>
            </w:tcMar>
            <w:vAlign w:val="center"/>
          </w:tcPr>
          <w:p w14:paraId="68907377" w14:textId="21D75C87" w:rsidR="001A4A1F" w:rsidRPr="006A0D20" w:rsidRDefault="001A4A1F" w:rsidP="001A4A1F">
            <w:pPr>
              <w:spacing w:after="120" w:line="264" w:lineRule="auto"/>
              <w:jc w:val="center"/>
            </w:pPr>
            <w:r w:rsidRPr="006A0D20">
              <w:t>_____</w:t>
            </w:r>
          </w:p>
        </w:tc>
      </w:tr>
      <w:tr w:rsidR="001A4A1F" w:rsidRPr="006A0D20" w14:paraId="1D5C7BFC" w14:textId="77777777" w:rsidTr="00C06753">
        <w:trPr>
          <w:trHeight w:val="20"/>
        </w:trPr>
        <w:tc>
          <w:tcPr>
            <w:tcW w:w="5845" w:type="dxa"/>
            <w:tcMar>
              <w:top w:w="72" w:type="dxa"/>
              <w:left w:w="115" w:type="dxa"/>
              <w:bottom w:w="72" w:type="dxa"/>
              <w:right w:w="115" w:type="dxa"/>
            </w:tcMar>
            <w:vAlign w:val="center"/>
          </w:tcPr>
          <w:p w14:paraId="0FBC93FD" w14:textId="77777777" w:rsidR="001A4A1F" w:rsidRPr="006A0D20" w:rsidRDefault="001A4A1F" w:rsidP="001A4A1F">
            <w:pPr>
              <w:spacing w:after="120" w:line="276" w:lineRule="auto"/>
              <w:rPr>
                <w:rFonts w:eastAsia="Yu Gothic Light"/>
                <w:b/>
              </w:rPr>
            </w:pPr>
            <w:r w:rsidRPr="006A0D20">
              <w:rPr>
                <w:rFonts w:eastAsia="Yu Gothic Light"/>
                <w:b/>
              </w:rPr>
              <w:t>Inguinal and femoral hernia repairs</w:t>
            </w:r>
          </w:p>
        </w:tc>
        <w:tc>
          <w:tcPr>
            <w:tcW w:w="3505" w:type="dxa"/>
            <w:tcMar>
              <w:top w:w="72" w:type="dxa"/>
              <w:left w:w="115" w:type="dxa"/>
              <w:bottom w:w="72" w:type="dxa"/>
              <w:right w:w="115" w:type="dxa"/>
            </w:tcMar>
            <w:vAlign w:val="center"/>
          </w:tcPr>
          <w:p w14:paraId="41601042" w14:textId="51C80ABD" w:rsidR="001A4A1F" w:rsidRPr="006A0D20" w:rsidRDefault="001A4A1F" w:rsidP="001A4A1F">
            <w:pPr>
              <w:spacing w:after="120" w:line="264" w:lineRule="auto"/>
              <w:jc w:val="center"/>
            </w:pPr>
            <w:r w:rsidRPr="006A0D20">
              <w:t>_____</w:t>
            </w:r>
          </w:p>
        </w:tc>
      </w:tr>
      <w:tr w:rsidR="001A4A1F" w:rsidRPr="006A0D20" w14:paraId="670B0129" w14:textId="77777777" w:rsidTr="00C06753">
        <w:trPr>
          <w:trHeight w:val="20"/>
        </w:trPr>
        <w:tc>
          <w:tcPr>
            <w:tcW w:w="5845" w:type="dxa"/>
            <w:tcMar>
              <w:top w:w="72" w:type="dxa"/>
              <w:left w:w="115" w:type="dxa"/>
              <w:bottom w:w="72" w:type="dxa"/>
              <w:right w:w="115" w:type="dxa"/>
            </w:tcMar>
            <w:vAlign w:val="center"/>
          </w:tcPr>
          <w:p w14:paraId="000D3B62" w14:textId="77777777" w:rsidR="001A4A1F" w:rsidRPr="006A0D20" w:rsidRDefault="001A4A1F" w:rsidP="001A4A1F">
            <w:pPr>
              <w:spacing w:after="120" w:line="276" w:lineRule="auto"/>
              <w:rPr>
                <w:rFonts w:eastAsia="Yu Gothic Light"/>
                <w:b/>
              </w:rPr>
            </w:pPr>
            <w:r w:rsidRPr="006A0D20">
              <w:rPr>
                <w:rFonts w:eastAsia="Yu Gothic Light"/>
                <w:b/>
              </w:rPr>
              <w:t>Other hernia repairs</w:t>
            </w:r>
          </w:p>
        </w:tc>
        <w:tc>
          <w:tcPr>
            <w:tcW w:w="3505" w:type="dxa"/>
            <w:tcMar>
              <w:top w:w="72" w:type="dxa"/>
              <w:left w:w="115" w:type="dxa"/>
              <w:bottom w:w="72" w:type="dxa"/>
              <w:right w:w="115" w:type="dxa"/>
            </w:tcMar>
            <w:vAlign w:val="center"/>
          </w:tcPr>
          <w:p w14:paraId="5617B86D" w14:textId="7E58CF10" w:rsidR="001A4A1F" w:rsidRPr="006A0D20" w:rsidRDefault="001A4A1F" w:rsidP="001A4A1F">
            <w:pPr>
              <w:spacing w:after="120" w:line="264" w:lineRule="auto"/>
              <w:jc w:val="center"/>
            </w:pPr>
            <w:r w:rsidRPr="006A0D20">
              <w:t>_____</w:t>
            </w:r>
          </w:p>
        </w:tc>
      </w:tr>
      <w:tr w:rsidR="001A4A1F" w:rsidRPr="006A0D20" w14:paraId="4A61E7EE" w14:textId="77777777" w:rsidTr="00C06753">
        <w:trPr>
          <w:trHeight w:val="20"/>
        </w:trPr>
        <w:tc>
          <w:tcPr>
            <w:tcW w:w="5845" w:type="dxa"/>
            <w:tcMar>
              <w:top w:w="72" w:type="dxa"/>
              <w:left w:w="115" w:type="dxa"/>
              <w:bottom w:w="72" w:type="dxa"/>
              <w:right w:w="115" w:type="dxa"/>
            </w:tcMar>
            <w:vAlign w:val="center"/>
          </w:tcPr>
          <w:p w14:paraId="2C38682C" w14:textId="77777777" w:rsidR="001A4A1F" w:rsidRPr="006A0D20" w:rsidRDefault="001A4A1F" w:rsidP="001A4A1F">
            <w:pPr>
              <w:spacing w:after="120" w:line="276" w:lineRule="auto"/>
              <w:rPr>
                <w:rFonts w:eastAsia="Yu Gothic Light"/>
                <w:b/>
              </w:rPr>
            </w:pPr>
            <w:r w:rsidRPr="006A0D20">
              <w:rPr>
                <w:rFonts w:eastAsia="Yu Gothic Light"/>
                <w:b/>
              </w:rPr>
              <w:t>Laparoscopies</w:t>
            </w:r>
          </w:p>
        </w:tc>
        <w:tc>
          <w:tcPr>
            <w:tcW w:w="3505" w:type="dxa"/>
            <w:tcMar>
              <w:top w:w="72" w:type="dxa"/>
              <w:left w:w="115" w:type="dxa"/>
              <w:bottom w:w="72" w:type="dxa"/>
              <w:right w:w="115" w:type="dxa"/>
            </w:tcMar>
            <w:vAlign w:val="center"/>
          </w:tcPr>
          <w:p w14:paraId="48BB0955" w14:textId="49E12226" w:rsidR="001A4A1F" w:rsidRPr="006A0D20" w:rsidRDefault="001A4A1F" w:rsidP="004F63C1">
            <w:pPr>
              <w:spacing w:after="120" w:line="264" w:lineRule="auto"/>
              <w:jc w:val="center"/>
            </w:pPr>
            <w:r w:rsidRPr="006A0D20">
              <w:t>_____</w:t>
            </w:r>
          </w:p>
        </w:tc>
      </w:tr>
      <w:tr w:rsidR="001A4A1F" w:rsidRPr="006A0D20" w14:paraId="0508D911" w14:textId="77777777" w:rsidTr="00C06753">
        <w:trPr>
          <w:trHeight w:val="20"/>
        </w:trPr>
        <w:tc>
          <w:tcPr>
            <w:tcW w:w="5845" w:type="dxa"/>
            <w:tcMar>
              <w:top w:w="72" w:type="dxa"/>
              <w:left w:w="115" w:type="dxa"/>
              <w:bottom w:w="72" w:type="dxa"/>
              <w:right w:w="115" w:type="dxa"/>
            </w:tcMar>
            <w:vAlign w:val="center"/>
          </w:tcPr>
          <w:p w14:paraId="290B7E70" w14:textId="77777777" w:rsidR="001A4A1F" w:rsidRPr="006A0D20" w:rsidRDefault="001A4A1F" w:rsidP="001A4A1F">
            <w:pPr>
              <w:spacing w:after="120" w:line="276" w:lineRule="auto"/>
              <w:rPr>
                <w:rFonts w:eastAsia="Yu Gothic Light"/>
                <w:b/>
              </w:rPr>
            </w:pPr>
            <w:r w:rsidRPr="006A0D20">
              <w:rPr>
                <w:rFonts w:eastAsia="Yu Gothic Light"/>
                <w:b/>
              </w:rPr>
              <w:t>Lumpectomies or quadrantectomy of breast procedures</w:t>
            </w:r>
          </w:p>
        </w:tc>
        <w:tc>
          <w:tcPr>
            <w:tcW w:w="3505" w:type="dxa"/>
            <w:tcMar>
              <w:top w:w="72" w:type="dxa"/>
              <w:left w:w="115" w:type="dxa"/>
              <w:bottom w:w="72" w:type="dxa"/>
              <w:right w:w="115" w:type="dxa"/>
            </w:tcMar>
            <w:vAlign w:val="center"/>
          </w:tcPr>
          <w:p w14:paraId="0FFD5740" w14:textId="3D134C54" w:rsidR="001A4A1F" w:rsidRPr="006A0D20" w:rsidRDefault="001A4A1F" w:rsidP="004F63C1">
            <w:pPr>
              <w:spacing w:after="120" w:line="264" w:lineRule="auto"/>
              <w:jc w:val="center"/>
            </w:pPr>
            <w:r w:rsidRPr="006A0D20">
              <w:t>_____</w:t>
            </w:r>
          </w:p>
        </w:tc>
      </w:tr>
      <w:tr w:rsidR="001A4A1F" w:rsidRPr="006A0D20" w14:paraId="75178430" w14:textId="77777777" w:rsidTr="00C06753">
        <w:trPr>
          <w:trHeight w:val="20"/>
        </w:trPr>
        <w:tc>
          <w:tcPr>
            <w:tcW w:w="5845" w:type="dxa"/>
            <w:tcMar>
              <w:top w:w="72" w:type="dxa"/>
              <w:left w:w="115" w:type="dxa"/>
              <w:bottom w:w="72" w:type="dxa"/>
              <w:right w:w="115" w:type="dxa"/>
            </w:tcMar>
            <w:vAlign w:val="center"/>
          </w:tcPr>
          <w:p w14:paraId="3F7C1819" w14:textId="77777777" w:rsidR="001A4A1F" w:rsidRPr="006A0D20" w:rsidRDefault="001A4A1F" w:rsidP="001A4A1F">
            <w:pPr>
              <w:spacing w:after="120" w:line="276" w:lineRule="auto"/>
              <w:rPr>
                <w:rFonts w:eastAsia="Yu Gothic Light"/>
                <w:b/>
              </w:rPr>
            </w:pPr>
            <w:r w:rsidRPr="006A0D20">
              <w:rPr>
                <w:rFonts w:eastAsia="Yu Gothic Light"/>
                <w:b/>
              </w:rPr>
              <w:t>Mastectomies</w:t>
            </w:r>
          </w:p>
        </w:tc>
        <w:tc>
          <w:tcPr>
            <w:tcW w:w="3505" w:type="dxa"/>
            <w:tcMar>
              <w:top w:w="72" w:type="dxa"/>
              <w:left w:w="115" w:type="dxa"/>
              <w:bottom w:w="72" w:type="dxa"/>
              <w:right w:w="115" w:type="dxa"/>
            </w:tcMar>
            <w:vAlign w:val="center"/>
          </w:tcPr>
          <w:p w14:paraId="45C015F7" w14:textId="26582202" w:rsidR="001A4A1F" w:rsidRPr="006A0D20" w:rsidRDefault="001A4A1F" w:rsidP="004F63C1">
            <w:pPr>
              <w:spacing w:after="120" w:line="264" w:lineRule="auto"/>
              <w:jc w:val="center"/>
            </w:pPr>
            <w:r w:rsidRPr="006A0D20">
              <w:t>_____</w:t>
            </w:r>
          </w:p>
        </w:tc>
      </w:tr>
    </w:tbl>
    <w:p w14:paraId="578D445A" w14:textId="77777777" w:rsidR="006A0D20" w:rsidRPr="009D100B" w:rsidRDefault="006A0D20" w:rsidP="00753419"/>
    <w:tbl>
      <w:tblPr>
        <w:tblStyle w:val="TableGrid"/>
        <w:tblW w:w="0" w:type="auto"/>
        <w:tblLayout w:type="fixed"/>
        <w:tblCellMar>
          <w:left w:w="115" w:type="dxa"/>
          <w:right w:w="115" w:type="dxa"/>
        </w:tblCellMar>
        <w:tblLook w:val="04A0" w:firstRow="1" w:lastRow="0" w:firstColumn="1" w:lastColumn="0" w:noHBand="0" w:noVBand="1"/>
      </w:tblPr>
      <w:tblGrid>
        <w:gridCol w:w="6205"/>
        <w:gridCol w:w="3145"/>
      </w:tblGrid>
      <w:tr w:rsidR="00637BD3" w:rsidRPr="005B2F83" w14:paraId="6A6E77DA" w14:textId="77777777" w:rsidTr="00914F12">
        <w:trPr>
          <w:trHeight w:val="20"/>
        </w:trPr>
        <w:tc>
          <w:tcPr>
            <w:tcW w:w="6205" w:type="dxa"/>
            <w:tcMar>
              <w:top w:w="72" w:type="dxa"/>
              <w:left w:w="115" w:type="dxa"/>
              <w:bottom w:w="72" w:type="dxa"/>
              <w:right w:w="115" w:type="dxa"/>
            </w:tcMar>
            <w:vAlign w:val="center"/>
          </w:tcPr>
          <w:p w14:paraId="61842774" w14:textId="77777777" w:rsidR="00637BD3" w:rsidRDefault="00637BD3" w:rsidP="00AD309C">
            <w:pPr>
              <w:pStyle w:val="ListParagraph"/>
              <w:numPr>
                <w:ilvl w:val="0"/>
                <w:numId w:val="91"/>
              </w:numPr>
            </w:pPr>
            <w:r>
              <w:t xml:space="preserve">Where were these </w:t>
            </w:r>
            <w:r>
              <w:rPr>
                <w:b/>
              </w:rPr>
              <w:t>general surgery</w:t>
            </w:r>
            <w:r w:rsidRPr="005D2045">
              <w:rPr>
                <w:b/>
              </w:rPr>
              <w:t xml:space="preserve"> </w:t>
            </w:r>
            <w:r>
              <w:t>procedures performed?</w:t>
            </w:r>
          </w:p>
          <w:p w14:paraId="25EA8986" w14:textId="77777777" w:rsidR="00637BD3" w:rsidRDefault="00637BD3" w:rsidP="00CA75AB">
            <w:pPr>
              <w:pStyle w:val="ListParagraph"/>
              <w:ind w:left="360"/>
            </w:pPr>
          </w:p>
          <w:p w14:paraId="31AAA13D" w14:textId="77777777" w:rsidR="00637BD3" w:rsidRPr="00131F2C" w:rsidRDefault="00637BD3" w:rsidP="00CA75AB">
            <w:pPr>
              <w:pStyle w:val="ListParagraph"/>
              <w:ind w:left="360"/>
              <w:rPr>
                <w:i/>
              </w:rPr>
            </w:pPr>
            <w:r>
              <w:rPr>
                <w:i/>
              </w:rPr>
              <w:t>Select all that apply.</w:t>
            </w:r>
          </w:p>
          <w:p w14:paraId="79F8668A" w14:textId="77777777" w:rsidR="00637BD3" w:rsidRPr="005D2045" w:rsidRDefault="00637BD3" w:rsidP="00CA75AB">
            <w:pPr>
              <w:pStyle w:val="ListParagraph"/>
              <w:ind w:left="360"/>
            </w:pPr>
          </w:p>
          <w:p w14:paraId="4982C3FA" w14:textId="5C6C9A2C" w:rsidR="00637BD3" w:rsidRPr="005D2045" w:rsidRDefault="00EF5178" w:rsidP="00CA75AB">
            <w:pPr>
              <w:pStyle w:val="ListParagraph"/>
              <w:ind w:left="360"/>
            </w:pPr>
            <w:r w:rsidRPr="005B79B4">
              <w:rPr>
                <w:i/>
              </w:rPr>
              <w:t>If only “hospital” is selected,</w:t>
            </w:r>
            <w:r>
              <w:rPr>
                <w:i/>
              </w:rPr>
              <w:t xml:space="preserve"> </w:t>
            </w:r>
            <w:r w:rsidR="00637BD3" w:rsidRPr="00B674A0">
              <w:rPr>
                <w:i/>
              </w:rPr>
              <w:t xml:space="preserve">skip </w:t>
            </w:r>
            <w:r w:rsidR="00637BD3">
              <w:rPr>
                <w:i/>
              </w:rPr>
              <w:t>question #</w:t>
            </w:r>
            <w:r w:rsidR="005E5021">
              <w:rPr>
                <w:i/>
              </w:rPr>
              <w:t>25</w:t>
            </w:r>
            <w:r w:rsidR="00637BD3">
              <w:rPr>
                <w:i/>
              </w:rPr>
              <w:t xml:space="preserve"> and continue to question #</w:t>
            </w:r>
            <w:r w:rsidR="005E5021">
              <w:rPr>
                <w:i/>
              </w:rPr>
              <w:t>26.</w:t>
            </w:r>
          </w:p>
        </w:tc>
        <w:tc>
          <w:tcPr>
            <w:tcW w:w="3145" w:type="dxa"/>
            <w:vAlign w:val="center"/>
          </w:tcPr>
          <w:p w14:paraId="38A533CC" w14:textId="77777777" w:rsidR="00637BD3" w:rsidRPr="00753419" w:rsidRDefault="00637BD3" w:rsidP="00AD309C">
            <w:pPr>
              <w:pStyle w:val="ListParagraph"/>
              <w:numPr>
                <w:ilvl w:val="0"/>
                <w:numId w:val="94"/>
              </w:numPr>
              <w:spacing w:line="276" w:lineRule="auto"/>
              <w:rPr>
                <w:iCs/>
              </w:rPr>
            </w:pPr>
            <w:r w:rsidRPr="00753419">
              <w:rPr>
                <w:iCs/>
              </w:rPr>
              <w:t>Hospital</w:t>
            </w:r>
          </w:p>
          <w:p w14:paraId="34C0FB1E" w14:textId="2C713834" w:rsidR="00637BD3" w:rsidRPr="00551F82" w:rsidRDefault="00FC36EC" w:rsidP="00AD309C">
            <w:pPr>
              <w:pStyle w:val="ListParagraph"/>
              <w:numPr>
                <w:ilvl w:val="0"/>
                <w:numId w:val="94"/>
              </w:numPr>
              <w:spacing w:line="276" w:lineRule="auto"/>
              <w:rPr>
                <w:i/>
              </w:rPr>
            </w:pPr>
            <w:r w:rsidRPr="00753419">
              <w:rPr>
                <w:iCs/>
              </w:rPr>
              <w:t>Surgery center or free-standing</w:t>
            </w:r>
            <w:r w:rsidR="001D59DB" w:rsidRPr="00753419">
              <w:rPr>
                <w:iCs/>
              </w:rPr>
              <w:t xml:space="preserve"> hospital outpatient department</w:t>
            </w:r>
          </w:p>
        </w:tc>
      </w:tr>
    </w:tbl>
    <w:p w14:paraId="2AF8CAC0" w14:textId="77777777" w:rsidR="00637BD3" w:rsidRDefault="00637BD3" w:rsidP="00637BD3"/>
    <w:tbl>
      <w:tblPr>
        <w:tblStyle w:val="TableGrid"/>
        <w:tblW w:w="0" w:type="auto"/>
        <w:tblLayout w:type="fixed"/>
        <w:tblCellMar>
          <w:left w:w="115" w:type="dxa"/>
          <w:right w:w="115" w:type="dxa"/>
        </w:tblCellMar>
        <w:tblLook w:val="04A0" w:firstRow="1" w:lastRow="0" w:firstColumn="1" w:lastColumn="0" w:noHBand="0" w:noVBand="1"/>
      </w:tblPr>
      <w:tblGrid>
        <w:gridCol w:w="5215"/>
        <w:gridCol w:w="1890"/>
        <w:gridCol w:w="2245"/>
      </w:tblGrid>
      <w:tr w:rsidR="00637BD3" w:rsidRPr="005B2F83" w14:paraId="45F61F4E" w14:textId="77777777" w:rsidTr="004551E0">
        <w:trPr>
          <w:trHeight w:val="20"/>
        </w:trPr>
        <w:tc>
          <w:tcPr>
            <w:tcW w:w="9350" w:type="dxa"/>
            <w:gridSpan w:val="3"/>
            <w:tcMar>
              <w:top w:w="72" w:type="dxa"/>
              <w:left w:w="115" w:type="dxa"/>
              <w:bottom w:w="72" w:type="dxa"/>
              <w:right w:w="115" w:type="dxa"/>
            </w:tcMar>
            <w:vAlign w:val="center"/>
          </w:tcPr>
          <w:p w14:paraId="2586F873" w14:textId="245A9D2D" w:rsidR="00637BD3" w:rsidRDefault="00637BD3" w:rsidP="00AD309C">
            <w:pPr>
              <w:pStyle w:val="ListParagraph"/>
              <w:numPr>
                <w:ilvl w:val="0"/>
                <w:numId w:val="91"/>
              </w:numPr>
              <w:spacing w:line="276" w:lineRule="auto"/>
              <w:rPr>
                <w:i/>
              </w:rPr>
            </w:pPr>
            <w:r>
              <w:t xml:space="preserve">Please provide the name and city location of each </w:t>
            </w:r>
            <w:r w:rsidR="00FC36EC">
              <w:t xml:space="preserve">surgery center or </w:t>
            </w:r>
            <w:r w:rsidR="001D59DB">
              <w:t>free</w:t>
            </w:r>
            <w:r w:rsidR="00FC36EC">
              <w:t>-</w:t>
            </w:r>
            <w:r w:rsidR="001D59DB">
              <w:t>standing hospital outpatient department</w:t>
            </w:r>
            <w:r>
              <w:t xml:space="preserve"> performing </w:t>
            </w:r>
            <w:r w:rsidR="00D905EF">
              <w:rPr>
                <w:b/>
              </w:rPr>
              <w:t>general surgery</w:t>
            </w:r>
            <w:r>
              <w:t xml:space="preserve"> procedures:</w:t>
            </w:r>
          </w:p>
        </w:tc>
      </w:tr>
      <w:tr w:rsidR="00404D0D" w:rsidRPr="005B2F83" w14:paraId="2B696F37" w14:textId="77777777" w:rsidTr="004551E0">
        <w:trPr>
          <w:trHeight w:val="20"/>
        </w:trPr>
        <w:tc>
          <w:tcPr>
            <w:tcW w:w="5215" w:type="dxa"/>
            <w:tcMar>
              <w:top w:w="72" w:type="dxa"/>
              <w:left w:w="115" w:type="dxa"/>
              <w:bottom w:w="72" w:type="dxa"/>
              <w:right w:w="115" w:type="dxa"/>
            </w:tcMar>
            <w:vAlign w:val="center"/>
          </w:tcPr>
          <w:p w14:paraId="0E1BD0C6" w14:textId="77777777" w:rsidR="00404D0D" w:rsidRDefault="00404D0D" w:rsidP="00404D0D">
            <w:pPr>
              <w:pStyle w:val="ListParagraph"/>
              <w:spacing w:line="276" w:lineRule="auto"/>
              <w:ind w:left="360"/>
            </w:pPr>
          </w:p>
        </w:tc>
        <w:tc>
          <w:tcPr>
            <w:tcW w:w="1890" w:type="dxa"/>
            <w:vAlign w:val="center"/>
          </w:tcPr>
          <w:p w14:paraId="5C2502CF" w14:textId="2D4D4480" w:rsidR="00404D0D" w:rsidRPr="005C60B1" w:rsidRDefault="00404D0D" w:rsidP="004F63C1">
            <w:pPr>
              <w:spacing w:line="276" w:lineRule="auto"/>
              <w:jc w:val="center"/>
              <w:rPr>
                <w:i/>
              </w:rPr>
            </w:pPr>
            <w:r w:rsidRPr="005C60B1">
              <w:rPr>
                <w:i/>
              </w:rPr>
              <w:t>Name</w:t>
            </w:r>
          </w:p>
        </w:tc>
        <w:tc>
          <w:tcPr>
            <w:tcW w:w="2245" w:type="dxa"/>
            <w:vAlign w:val="center"/>
          </w:tcPr>
          <w:p w14:paraId="12E9B8F6" w14:textId="37B2A9C6" w:rsidR="00404D0D" w:rsidRPr="005C60B1" w:rsidRDefault="00404D0D" w:rsidP="004F63C1">
            <w:pPr>
              <w:spacing w:line="276" w:lineRule="auto"/>
              <w:jc w:val="center"/>
              <w:rPr>
                <w:i/>
              </w:rPr>
            </w:pPr>
            <w:r w:rsidRPr="005C60B1">
              <w:rPr>
                <w:i/>
              </w:rPr>
              <w:t>City</w:t>
            </w:r>
          </w:p>
        </w:tc>
      </w:tr>
      <w:tr w:rsidR="00404D0D" w:rsidRPr="005B2F83" w14:paraId="74F95167" w14:textId="77777777" w:rsidTr="004551E0">
        <w:trPr>
          <w:trHeight w:val="20"/>
        </w:trPr>
        <w:tc>
          <w:tcPr>
            <w:tcW w:w="5215" w:type="dxa"/>
            <w:tcMar>
              <w:top w:w="72" w:type="dxa"/>
              <w:left w:w="115" w:type="dxa"/>
              <w:bottom w:w="72" w:type="dxa"/>
              <w:right w:w="115" w:type="dxa"/>
            </w:tcMar>
            <w:vAlign w:val="center"/>
          </w:tcPr>
          <w:p w14:paraId="06DC4D27" w14:textId="4B0669E9"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1</w:t>
            </w:r>
          </w:p>
        </w:tc>
        <w:tc>
          <w:tcPr>
            <w:tcW w:w="1890" w:type="dxa"/>
            <w:vAlign w:val="center"/>
          </w:tcPr>
          <w:p w14:paraId="4C887F2C" w14:textId="77777777" w:rsidR="00404D0D" w:rsidRDefault="00404D0D" w:rsidP="00404D0D">
            <w:pPr>
              <w:pStyle w:val="ListParagraph"/>
              <w:spacing w:line="276" w:lineRule="auto"/>
              <w:ind w:left="360"/>
            </w:pPr>
          </w:p>
        </w:tc>
        <w:tc>
          <w:tcPr>
            <w:tcW w:w="2245" w:type="dxa"/>
            <w:vAlign w:val="center"/>
          </w:tcPr>
          <w:p w14:paraId="2B83A90E" w14:textId="77777777" w:rsidR="00404D0D" w:rsidRDefault="00404D0D" w:rsidP="00404D0D">
            <w:pPr>
              <w:pStyle w:val="ListParagraph"/>
              <w:spacing w:line="276" w:lineRule="auto"/>
              <w:ind w:left="360"/>
            </w:pPr>
          </w:p>
        </w:tc>
      </w:tr>
      <w:tr w:rsidR="00404D0D" w:rsidRPr="005B2F83" w14:paraId="4C02AAF9" w14:textId="77777777" w:rsidTr="004551E0">
        <w:trPr>
          <w:trHeight w:val="20"/>
        </w:trPr>
        <w:tc>
          <w:tcPr>
            <w:tcW w:w="5215" w:type="dxa"/>
            <w:tcMar>
              <w:top w:w="72" w:type="dxa"/>
              <w:left w:w="115" w:type="dxa"/>
              <w:bottom w:w="72" w:type="dxa"/>
              <w:right w:w="115" w:type="dxa"/>
            </w:tcMar>
            <w:vAlign w:val="center"/>
          </w:tcPr>
          <w:p w14:paraId="1BB4DC06" w14:textId="4527E1CE"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2</w:t>
            </w:r>
          </w:p>
        </w:tc>
        <w:tc>
          <w:tcPr>
            <w:tcW w:w="1890" w:type="dxa"/>
            <w:vAlign w:val="center"/>
          </w:tcPr>
          <w:p w14:paraId="0469928C" w14:textId="77777777" w:rsidR="00404D0D" w:rsidRDefault="00404D0D" w:rsidP="00404D0D">
            <w:pPr>
              <w:pStyle w:val="ListParagraph"/>
              <w:spacing w:line="276" w:lineRule="auto"/>
              <w:ind w:left="360"/>
            </w:pPr>
          </w:p>
        </w:tc>
        <w:tc>
          <w:tcPr>
            <w:tcW w:w="2245" w:type="dxa"/>
            <w:vAlign w:val="center"/>
          </w:tcPr>
          <w:p w14:paraId="6127B975" w14:textId="77777777" w:rsidR="00404D0D" w:rsidRDefault="00404D0D" w:rsidP="00404D0D">
            <w:pPr>
              <w:pStyle w:val="ListParagraph"/>
              <w:spacing w:line="276" w:lineRule="auto"/>
              <w:ind w:left="360"/>
            </w:pPr>
          </w:p>
        </w:tc>
      </w:tr>
      <w:tr w:rsidR="00404D0D" w:rsidRPr="005B2F83" w14:paraId="58F2B05E" w14:textId="77777777" w:rsidTr="004551E0">
        <w:trPr>
          <w:trHeight w:val="20"/>
        </w:trPr>
        <w:tc>
          <w:tcPr>
            <w:tcW w:w="5215" w:type="dxa"/>
            <w:tcMar>
              <w:top w:w="72" w:type="dxa"/>
              <w:left w:w="115" w:type="dxa"/>
              <w:bottom w:w="72" w:type="dxa"/>
              <w:right w:w="115" w:type="dxa"/>
            </w:tcMar>
            <w:vAlign w:val="center"/>
          </w:tcPr>
          <w:p w14:paraId="1D65FAC2" w14:textId="051A7212"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3</w:t>
            </w:r>
          </w:p>
        </w:tc>
        <w:tc>
          <w:tcPr>
            <w:tcW w:w="1890" w:type="dxa"/>
            <w:vAlign w:val="center"/>
          </w:tcPr>
          <w:p w14:paraId="6C51B852" w14:textId="77777777" w:rsidR="00404D0D" w:rsidRDefault="00404D0D" w:rsidP="00404D0D">
            <w:pPr>
              <w:pStyle w:val="ListParagraph"/>
              <w:spacing w:line="276" w:lineRule="auto"/>
              <w:ind w:left="360"/>
            </w:pPr>
          </w:p>
        </w:tc>
        <w:tc>
          <w:tcPr>
            <w:tcW w:w="2245" w:type="dxa"/>
            <w:vAlign w:val="center"/>
          </w:tcPr>
          <w:p w14:paraId="16190572" w14:textId="77777777" w:rsidR="00404D0D" w:rsidRDefault="00404D0D" w:rsidP="00404D0D">
            <w:pPr>
              <w:pStyle w:val="ListParagraph"/>
              <w:spacing w:line="276" w:lineRule="auto"/>
              <w:ind w:left="360"/>
            </w:pPr>
          </w:p>
        </w:tc>
      </w:tr>
      <w:tr w:rsidR="00404D0D" w:rsidRPr="005B2F83" w14:paraId="2D4DF069" w14:textId="77777777" w:rsidTr="004551E0">
        <w:trPr>
          <w:trHeight w:val="20"/>
        </w:trPr>
        <w:tc>
          <w:tcPr>
            <w:tcW w:w="5215" w:type="dxa"/>
            <w:tcMar>
              <w:top w:w="72" w:type="dxa"/>
              <w:left w:w="115" w:type="dxa"/>
              <w:bottom w:w="72" w:type="dxa"/>
              <w:right w:w="115" w:type="dxa"/>
            </w:tcMar>
            <w:vAlign w:val="center"/>
          </w:tcPr>
          <w:p w14:paraId="7164EAB3" w14:textId="6DECD764"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4</w:t>
            </w:r>
          </w:p>
        </w:tc>
        <w:tc>
          <w:tcPr>
            <w:tcW w:w="1890" w:type="dxa"/>
            <w:vAlign w:val="center"/>
          </w:tcPr>
          <w:p w14:paraId="478CCC17" w14:textId="77777777" w:rsidR="00404D0D" w:rsidRDefault="00404D0D" w:rsidP="00404D0D">
            <w:pPr>
              <w:pStyle w:val="ListParagraph"/>
              <w:spacing w:line="276" w:lineRule="auto"/>
              <w:ind w:left="360"/>
            </w:pPr>
          </w:p>
        </w:tc>
        <w:tc>
          <w:tcPr>
            <w:tcW w:w="2245" w:type="dxa"/>
            <w:vAlign w:val="center"/>
          </w:tcPr>
          <w:p w14:paraId="7F7E59F4" w14:textId="77777777" w:rsidR="00404D0D" w:rsidRDefault="00404D0D" w:rsidP="00404D0D">
            <w:pPr>
              <w:pStyle w:val="ListParagraph"/>
              <w:spacing w:line="276" w:lineRule="auto"/>
              <w:ind w:left="360"/>
            </w:pPr>
          </w:p>
        </w:tc>
      </w:tr>
      <w:tr w:rsidR="00404D0D" w:rsidRPr="005B2F83" w14:paraId="01FD7B13" w14:textId="77777777" w:rsidTr="004551E0">
        <w:trPr>
          <w:trHeight w:val="20"/>
        </w:trPr>
        <w:tc>
          <w:tcPr>
            <w:tcW w:w="5215" w:type="dxa"/>
            <w:tcMar>
              <w:top w:w="72" w:type="dxa"/>
              <w:left w:w="115" w:type="dxa"/>
              <w:bottom w:w="72" w:type="dxa"/>
              <w:right w:w="115" w:type="dxa"/>
            </w:tcMar>
            <w:vAlign w:val="center"/>
          </w:tcPr>
          <w:p w14:paraId="220CAEE8" w14:textId="1BFCEB32"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5</w:t>
            </w:r>
          </w:p>
        </w:tc>
        <w:tc>
          <w:tcPr>
            <w:tcW w:w="1890" w:type="dxa"/>
            <w:vAlign w:val="center"/>
          </w:tcPr>
          <w:p w14:paraId="5B9ECE0D" w14:textId="77777777" w:rsidR="00404D0D" w:rsidRDefault="00404D0D" w:rsidP="00404D0D">
            <w:pPr>
              <w:pStyle w:val="ListParagraph"/>
              <w:spacing w:line="276" w:lineRule="auto"/>
              <w:ind w:left="360"/>
            </w:pPr>
          </w:p>
        </w:tc>
        <w:tc>
          <w:tcPr>
            <w:tcW w:w="2245" w:type="dxa"/>
            <w:vAlign w:val="center"/>
          </w:tcPr>
          <w:p w14:paraId="7653A568" w14:textId="77777777" w:rsidR="00404D0D" w:rsidRDefault="00404D0D" w:rsidP="00404D0D">
            <w:pPr>
              <w:pStyle w:val="ListParagraph"/>
              <w:spacing w:line="276" w:lineRule="auto"/>
              <w:ind w:left="360"/>
            </w:pPr>
          </w:p>
        </w:tc>
      </w:tr>
    </w:tbl>
    <w:p w14:paraId="746737C7" w14:textId="77777777" w:rsidR="00637BD3" w:rsidRDefault="00637BD3" w:rsidP="00753419"/>
    <w:p w14:paraId="26D51F12" w14:textId="3029739D" w:rsidR="00AD5994" w:rsidRPr="00841998" w:rsidRDefault="00AD5994" w:rsidP="00AB5B80">
      <w:pPr>
        <w:pStyle w:val="Heading3"/>
        <w:rPr>
          <w:sz w:val="20"/>
          <w:szCs w:val="20"/>
        </w:rPr>
      </w:pPr>
      <w:bookmarkStart w:id="742" w:name="_Urology"/>
      <w:bookmarkStart w:id="743" w:name="_Toc225877842"/>
      <w:bookmarkEnd w:id="742"/>
      <w:r w:rsidRPr="00AD5994">
        <w:lastRenderedPageBreak/>
        <w:t>Urology</w:t>
      </w:r>
      <w:bookmarkEnd w:id="743"/>
      <w:r w:rsidR="006606DD">
        <w:br/>
      </w:r>
    </w:p>
    <w:tbl>
      <w:tblPr>
        <w:tblStyle w:val="TableGrid15"/>
        <w:tblW w:w="0" w:type="auto"/>
        <w:tblLook w:val="04A0" w:firstRow="1" w:lastRow="0" w:firstColumn="1" w:lastColumn="0" w:noHBand="0" w:noVBand="1"/>
      </w:tblPr>
      <w:tblGrid>
        <w:gridCol w:w="5015"/>
        <w:gridCol w:w="4335"/>
      </w:tblGrid>
      <w:tr w:rsidR="00073B66" w:rsidRPr="00073B66" w14:paraId="7E4A13B8" w14:textId="77777777" w:rsidTr="00914F12">
        <w:trPr>
          <w:trHeight w:val="20"/>
        </w:trPr>
        <w:tc>
          <w:tcPr>
            <w:tcW w:w="9350" w:type="dxa"/>
            <w:gridSpan w:val="2"/>
            <w:tcMar>
              <w:top w:w="72" w:type="dxa"/>
              <w:left w:w="115" w:type="dxa"/>
              <w:bottom w:w="72" w:type="dxa"/>
              <w:right w:w="115" w:type="dxa"/>
            </w:tcMar>
            <w:vAlign w:val="center"/>
          </w:tcPr>
          <w:p w14:paraId="685EE1A6" w14:textId="7037246F" w:rsidR="00073B66" w:rsidRPr="00073B66" w:rsidRDefault="00073B66" w:rsidP="00AD309C">
            <w:pPr>
              <w:numPr>
                <w:ilvl w:val="0"/>
                <w:numId w:val="91"/>
              </w:numPr>
              <w:spacing w:line="276" w:lineRule="auto"/>
              <w:rPr>
                <w:rFonts w:eastAsia="Yu Gothic Light"/>
              </w:rPr>
            </w:pPr>
            <w:r w:rsidRPr="00073B66">
              <w:rPr>
                <w:rFonts w:eastAsia="Yu Gothic Light"/>
              </w:rPr>
              <w:t xml:space="preserve">Total adult volume for each of the following applicable procedures performed at your </w:t>
            </w:r>
            <w:r w:rsidR="006319E7">
              <w:rPr>
                <w:rFonts w:eastAsia="Yu Gothic Light"/>
              </w:rPr>
              <w:t>hospital outpatient department(s)</w:t>
            </w:r>
            <w:r w:rsidR="006319E7" w:rsidRPr="00073B66">
              <w:rPr>
                <w:rFonts w:eastAsia="Yu Gothic Light"/>
              </w:rPr>
              <w:t xml:space="preserve"> </w:t>
            </w:r>
            <w:r w:rsidRPr="00073B66">
              <w:rPr>
                <w:rFonts w:eastAsia="Yu Gothic Light"/>
              </w:rPr>
              <w:t>during the reporting period.</w:t>
            </w:r>
          </w:p>
          <w:p w14:paraId="1B039412" w14:textId="77777777" w:rsidR="00073B66" w:rsidRPr="00073B66" w:rsidRDefault="00073B66" w:rsidP="00073B66">
            <w:pPr>
              <w:spacing w:line="276" w:lineRule="auto"/>
              <w:rPr>
                <w:rFonts w:eastAsia="Yu Gothic Light"/>
              </w:rPr>
            </w:pPr>
          </w:p>
          <w:p w14:paraId="73542631" w14:textId="77777777" w:rsidR="00073B66" w:rsidRPr="00073B66" w:rsidRDefault="00073B66" w:rsidP="00073B66">
            <w:pPr>
              <w:ind w:left="360"/>
            </w:pPr>
            <w:r w:rsidRPr="00073B66">
              <w:rPr>
                <w:i/>
              </w:rPr>
              <w:t xml:space="preserve">You cannot leave any blank. If you did not perform one or more of the procedures listed below enter 0 (zero). If you had zero volume for </w:t>
            </w:r>
            <w:r w:rsidRPr="00073B66">
              <w:rPr>
                <w:b/>
                <w:i/>
                <w:u w:val="single"/>
              </w:rPr>
              <w:t>all</w:t>
            </w:r>
            <w:r w:rsidRPr="00073B66">
              <w:rPr>
                <w:b/>
                <w:i/>
              </w:rPr>
              <w:t xml:space="preserve"> </w:t>
            </w:r>
            <w:r w:rsidRPr="00073B66">
              <w:rPr>
                <w:i/>
              </w:rPr>
              <w:t>procedures, go back to question #7 and update your response from “yes” to “no.”</w:t>
            </w:r>
          </w:p>
        </w:tc>
      </w:tr>
      <w:tr w:rsidR="001A4A1F" w:rsidRPr="00073B66" w14:paraId="09101073" w14:textId="77777777" w:rsidTr="00EC4DCE">
        <w:trPr>
          <w:trHeight w:val="20"/>
        </w:trPr>
        <w:tc>
          <w:tcPr>
            <w:tcW w:w="5015" w:type="dxa"/>
            <w:tcMar>
              <w:top w:w="72" w:type="dxa"/>
              <w:left w:w="115" w:type="dxa"/>
              <w:bottom w:w="72" w:type="dxa"/>
              <w:right w:w="115" w:type="dxa"/>
            </w:tcMar>
            <w:vAlign w:val="center"/>
          </w:tcPr>
          <w:p w14:paraId="7AE365AA" w14:textId="77777777" w:rsidR="001A4A1F" w:rsidRPr="00073B66" w:rsidRDefault="001A4A1F" w:rsidP="00073B66">
            <w:pPr>
              <w:spacing w:line="276" w:lineRule="auto"/>
              <w:rPr>
                <w:rFonts w:eastAsia="Yu Gothic Light"/>
              </w:rPr>
            </w:pPr>
          </w:p>
        </w:tc>
        <w:tc>
          <w:tcPr>
            <w:tcW w:w="4335" w:type="dxa"/>
            <w:tcMar>
              <w:top w:w="72" w:type="dxa"/>
              <w:left w:w="115" w:type="dxa"/>
              <w:bottom w:w="72" w:type="dxa"/>
              <w:right w:w="115" w:type="dxa"/>
            </w:tcMar>
          </w:tcPr>
          <w:p w14:paraId="63B099FB" w14:textId="7534AEC5" w:rsidR="001A4A1F" w:rsidRPr="00073B66" w:rsidRDefault="001A4A1F" w:rsidP="004F63C1">
            <w:pPr>
              <w:jc w:val="center"/>
              <w:rPr>
                <w:i/>
              </w:rPr>
            </w:pPr>
            <w:r w:rsidRPr="00073B66">
              <w:rPr>
                <w:i/>
              </w:rPr>
              <w:t>Adult Volume</w:t>
            </w:r>
          </w:p>
        </w:tc>
      </w:tr>
      <w:tr w:rsidR="001A4A1F" w:rsidRPr="00073B66" w14:paraId="0EB21B65" w14:textId="77777777" w:rsidTr="00EC4DCE">
        <w:trPr>
          <w:trHeight w:val="20"/>
        </w:trPr>
        <w:tc>
          <w:tcPr>
            <w:tcW w:w="5015" w:type="dxa"/>
            <w:tcMar>
              <w:top w:w="72" w:type="dxa"/>
              <w:left w:w="115" w:type="dxa"/>
              <w:bottom w:w="72" w:type="dxa"/>
              <w:right w:w="115" w:type="dxa"/>
            </w:tcMar>
            <w:vAlign w:val="center"/>
          </w:tcPr>
          <w:p w14:paraId="4853B7AF" w14:textId="77777777" w:rsidR="001A4A1F" w:rsidRPr="00073B66" w:rsidRDefault="001A4A1F" w:rsidP="00073B66">
            <w:pPr>
              <w:spacing w:line="276" w:lineRule="auto"/>
              <w:rPr>
                <w:rFonts w:eastAsia="Yu Gothic Light"/>
                <w:b/>
              </w:rPr>
            </w:pPr>
            <w:r w:rsidRPr="00073B66">
              <w:rPr>
                <w:rFonts w:eastAsia="Yu Gothic Light"/>
                <w:b/>
              </w:rPr>
              <w:t>Circumcisions</w:t>
            </w:r>
          </w:p>
        </w:tc>
        <w:tc>
          <w:tcPr>
            <w:tcW w:w="4335" w:type="dxa"/>
            <w:tcMar>
              <w:top w:w="72" w:type="dxa"/>
              <w:left w:w="115" w:type="dxa"/>
              <w:bottom w:w="72" w:type="dxa"/>
              <w:right w:w="115" w:type="dxa"/>
            </w:tcMar>
            <w:vAlign w:val="center"/>
          </w:tcPr>
          <w:p w14:paraId="687FECF3" w14:textId="54411A2C" w:rsidR="001A4A1F" w:rsidRPr="00073B66" w:rsidRDefault="001A4A1F" w:rsidP="00073B66">
            <w:pPr>
              <w:jc w:val="center"/>
            </w:pPr>
            <w:r w:rsidRPr="00073B66">
              <w:t>_____</w:t>
            </w:r>
          </w:p>
        </w:tc>
      </w:tr>
      <w:tr w:rsidR="001A4A1F" w:rsidRPr="00073B66" w14:paraId="0D24B382" w14:textId="77777777" w:rsidTr="00EC4DCE">
        <w:trPr>
          <w:trHeight w:val="20"/>
        </w:trPr>
        <w:tc>
          <w:tcPr>
            <w:tcW w:w="5015" w:type="dxa"/>
            <w:tcMar>
              <w:top w:w="72" w:type="dxa"/>
              <w:left w:w="115" w:type="dxa"/>
              <w:bottom w:w="72" w:type="dxa"/>
              <w:right w:w="115" w:type="dxa"/>
            </w:tcMar>
            <w:vAlign w:val="center"/>
          </w:tcPr>
          <w:p w14:paraId="61D1A17E" w14:textId="77777777" w:rsidR="001A4A1F" w:rsidRPr="00073B66" w:rsidRDefault="001A4A1F" w:rsidP="00073B66">
            <w:pPr>
              <w:spacing w:line="276" w:lineRule="auto"/>
              <w:rPr>
                <w:rFonts w:eastAsia="Yu Gothic Light"/>
                <w:b/>
              </w:rPr>
            </w:pPr>
            <w:r w:rsidRPr="00073B66">
              <w:rPr>
                <w:rFonts w:eastAsia="Yu Gothic Light"/>
                <w:b/>
              </w:rPr>
              <w:t>Cystourethroscopies</w:t>
            </w:r>
          </w:p>
        </w:tc>
        <w:tc>
          <w:tcPr>
            <w:tcW w:w="4335" w:type="dxa"/>
            <w:tcMar>
              <w:top w:w="72" w:type="dxa"/>
              <w:left w:w="115" w:type="dxa"/>
              <w:bottom w:w="72" w:type="dxa"/>
              <w:right w:w="115" w:type="dxa"/>
            </w:tcMar>
            <w:vAlign w:val="center"/>
          </w:tcPr>
          <w:p w14:paraId="60FAB5FE" w14:textId="1690BEF6" w:rsidR="001A4A1F" w:rsidRPr="00073B66" w:rsidRDefault="001A4A1F" w:rsidP="00073B66">
            <w:pPr>
              <w:jc w:val="center"/>
              <w:rPr>
                <w:i/>
              </w:rPr>
            </w:pPr>
            <w:r w:rsidRPr="00073B66">
              <w:t>_____</w:t>
            </w:r>
          </w:p>
        </w:tc>
      </w:tr>
      <w:tr w:rsidR="001A4A1F" w:rsidRPr="00073B66" w14:paraId="2C9AE5B4" w14:textId="77777777" w:rsidTr="00EC4DCE">
        <w:trPr>
          <w:trHeight w:val="20"/>
        </w:trPr>
        <w:tc>
          <w:tcPr>
            <w:tcW w:w="5015" w:type="dxa"/>
            <w:tcMar>
              <w:top w:w="72" w:type="dxa"/>
              <w:left w:w="115" w:type="dxa"/>
              <w:bottom w:w="72" w:type="dxa"/>
              <w:right w:w="115" w:type="dxa"/>
            </w:tcMar>
            <w:vAlign w:val="center"/>
          </w:tcPr>
          <w:p w14:paraId="54073AB9" w14:textId="77777777" w:rsidR="001A4A1F" w:rsidRPr="00073B66" w:rsidRDefault="001A4A1F" w:rsidP="00073B66">
            <w:pPr>
              <w:spacing w:line="276" w:lineRule="auto"/>
              <w:rPr>
                <w:rFonts w:eastAsia="Yu Gothic Light"/>
                <w:b/>
              </w:rPr>
            </w:pPr>
            <w:r w:rsidRPr="00073B66">
              <w:rPr>
                <w:rFonts w:eastAsia="Yu Gothic Light"/>
                <w:b/>
              </w:rPr>
              <w:t>Male genital procedures</w:t>
            </w:r>
          </w:p>
        </w:tc>
        <w:tc>
          <w:tcPr>
            <w:tcW w:w="4335" w:type="dxa"/>
            <w:tcMar>
              <w:top w:w="72" w:type="dxa"/>
              <w:left w:w="115" w:type="dxa"/>
              <w:bottom w:w="72" w:type="dxa"/>
              <w:right w:w="115" w:type="dxa"/>
            </w:tcMar>
            <w:vAlign w:val="center"/>
          </w:tcPr>
          <w:p w14:paraId="13DD51E1" w14:textId="2879959B" w:rsidR="001A4A1F" w:rsidRPr="00073B66" w:rsidRDefault="001A4A1F" w:rsidP="00073B66">
            <w:pPr>
              <w:jc w:val="center"/>
              <w:rPr>
                <w:i/>
              </w:rPr>
            </w:pPr>
            <w:r w:rsidRPr="00073B66">
              <w:t>_____</w:t>
            </w:r>
          </w:p>
        </w:tc>
      </w:tr>
      <w:tr w:rsidR="001A4A1F" w:rsidRPr="00073B66" w14:paraId="174BBAA0" w14:textId="77777777" w:rsidTr="00EC4DCE">
        <w:trPr>
          <w:trHeight w:val="20"/>
        </w:trPr>
        <w:tc>
          <w:tcPr>
            <w:tcW w:w="5015" w:type="dxa"/>
            <w:tcMar>
              <w:top w:w="72" w:type="dxa"/>
              <w:left w:w="115" w:type="dxa"/>
              <w:bottom w:w="72" w:type="dxa"/>
              <w:right w:w="115" w:type="dxa"/>
            </w:tcMar>
            <w:vAlign w:val="center"/>
          </w:tcPr>
          <w:p w14:paraId="33C78F15" w14:textId="77777777" w:rsidR="001A4A1F" w:rsidRPr="00073B66" w:rsidRDefault="001A4A1F" w:rsidP="00073B66">
            <w:pPr>
              <w:spacing w:line="276" w:lineRule="auto"/>
              <w:rPr>
                <w:rFonts w:eastAsia="Yu Gothic Light"/>
                <w:b/>
              </w:rPr>
            </w:pPr>
            <w:r w:rsidRPr="00073B66">
              <w:rPr>
                <w:rFonts w:eastAsia="Yu Gothic Light"/>
                <w:b/>
              </w:rPr>
              <w:t>Urethra procedures</w:t>
            </w:r>
          </w:p>
        </w:tc>
        <w:tc>
          <w:tcPr>
            <w:tcW w:w="4335" w:type="dxa"/>
            <w:tcMar>
              <w:top w:w="72" w:type="dxa"/>
              <w:left w:w="115" w:type="dxa"/>
              <w:bottom w:w="72" w:type="dxa"/>
              <w:right w:w="115" w:type="dxa"/>
            </w:tcMar>
            <w:vAlign w:val="center"/>
          </w:tcPr>
          <w:p w14:paraId="7CE27913" w14:textId="43719F75" w:rsidR="001A4A1F" w:rsidRPr="00073B66" w:rsidRDefault="001A4A1F" w:rsidP="00073B66">
            <w:pPr>
              <w:jc w:val="center"/>
            </w:pPr>
            <w:r w:rsidRPr="00073B66">
              <w:t>_____</w:t>
            </w:r>
          </w:p>
        </w:tc>
      </w:tr>
      <w:tr w:rsidR="001A4A1F" w:rsidRPr="00073B66" w14:paraId="45F60401" w14:textId="77777777" w:rsidTr="00EC4DCE">
        <w:trPr>
          <w:trHeight w:val="20"/>
        </w:trPr>
        <w:tc>
          <w:tcPr>
            <w:tcW w:w="5015" w:type="dxa"/>
            <w:tcMar>
              <w:top w:w="72" w:type="dxa"/>
              <w:left w:w="115" w:type="dxa"/>
              <w:bottom w:w="72" w:type="dxa"/>
              <w:right w:w="115" w:type="dxa"/>
            </w:tcMar>
            <w:vAlign w:val="center"/>
          </w:tcPr>
          <w:p w14:paraId="4F43552E" w14:textId="77777777" w:rsidR="001A4A1F" w:rsidRPr="00073B66" w:rsidRDefault="001A4A1F" w:rsidP="00073B66">
            <w:pPr>
              <w:spacing w:line="276" w:lineRule="auto"/>
              <w:rPr>
                <w:rFonts w:eastAsia="Yu Gothic Light"/>
                <w:b/>
              </w:rPr>
            </w:pPr>
            <w:r w:rsidRPr="00073B66">
              <w:rPr>
                <w:rFonts w:eastAsia="Yu Gothic Light"/>
                <w:b/>
              </w:rPr>
              <w:t>Vaginal repair procedures</w:t>
            </w:r>
          </w:p>
        </w:tc>
        <w:tc>
          <w:tcPr>
            <w:tcW w:w="4335" w:type="dxa"/>
            <w:tcMar>
              <w:top w:w="72" w:type="dxa"/>
              <w:left w:w="115" w:type="dxa"/>
              <w:bottom w:w="72" w:type="dxa"/>
              <w:right w:w="115" w:type="dxa"/>
            </w:tcMar>
            <w:vAlign w:val="center"/>
          </w:tcPr>
          <w:p w14:paraId="3CB34F4D" w14:textId="2BED50F4" w:rsidR="001A4A1F" w:rsidRPr="00073B66" w:rsidRDefault="001A4A1F" w:rsidP="00073B66">
            <w:pPr>
              <w:jc w:val="center"/>
            </w:pPr>
            <w:r w:rsidRPr="00073B66">
              <w:t>_____</w:t>
            </w:r>
          </w:p>
        </w:tc>
      </w:tr>
    </w:tbl>
    <w:p w14:paraId="0A047BB3" w14:textId="77777777" w:rsidR="00320898" w:rsidRDefault="00320898" w:rsidP="00753419"/>
    <w:tbl>
      <w:tblPr>
        <w:tblStyle w:val="TableGrid"/>
        <w:tblW w:w="0" w:type="auto"/>
        <w:tblLayout w:type="fixed"/>
        <w:tblCellMar>
          <w:left w:w="115" w:type="dxa"/>
          <w:right w:w="115" w:type="dxa"/>
        </w:tblCellMar>
        <w:tblLook w:val="04A0" w:firstRow="1" w:lastRow="0" w:firstColumn="1" w:lastColumn="0" w:noHBand="0" w:noVBand="1"/>
      </w:tblPr>
      <w:tblGrid>
        <w:gridCol w:w="6205"/>
        <w:gridCol w:w="3145"/>
      </w:tblGrid>
      <w:tr w:rsidR="00320898" w:rsidRPr="005B2F83" w14:paraId="33417CE9" w14:textId="77777777" w:rsidTr="00914F12">
        <w:trPr>
          <w:trHeight w:val="20"/>
        </w:trPr>
        <w:tc>
          <w:tcPr>
            <w:tcW w:w="6205" w:type="dxa"/>
            <w:tcMar>
              <w:top w:w="72" w:type="dxa"/>
              <w:left w:w="115" w:type="dxa"/>
              <w:bottom w:w="72" w:type="dxa"/>
              <w:right w:w="115" w:type="dxa"/>
            </w:tcMar>
            <w:vAlign w:val="center"/>
          </w:tcPr>
          <w:p w14:paraId="690A33A1" w14:textId="77777777" w:rsidR="00320898" w:rsidRDefault="00320898" w:rsidP="00AD309C">
            <w:pPr>
              <w:pStyle w:val="ListParagraph"/>
              <w:numPr>
                <w:ilvl w:val="0"/>
                <w:numId w:val="91"/>
              </w:numPr>
            </w:pPr>
            <w:r>
              <w:t xml:space="preserve">Where were these </w:t>
            </w:r>
            <w:r>
              <w:rPr>
                <w:b/>
              </w:rPr>
              <w:t>urology</w:t>
            </w:r>
            <w:r w:rsidRPr="005D2045">
              <w:rPr>
                <w:b/>
              </w:rPr>
              <w:t xml:space="preserve"> </w:t>
            </w:r>
            <w:r>
              <w:t>procedures performed?</w:t>
            </w:r>
          </w:p>
          <w:p w14:paraId="476B8AC5" w14:textId="77777777" w:rsidR="00320898" w:rsidRDefault="00320898" w:rsidP="00CA75AB">
            <w:pPr>
              <w:pStyle w:val="ListParagraph"/>
              <w:ind w:left="360"/>
            </w:pPr>
          </w:p>
          <w:p w14:paraId="03B774E5" w14:textId="77777777" w:rsidR="00320898" w:rsidRPr="00131F2C" w:rsidRDefault="00320898" w:rsidP="00CA75AB">
            <w:pPr>
              <w:pStyle w:val="ListParagraph"/>
              <w:ind w:left="360"/>
              <w:rPr>
                <w:i/>
              </w:rPr>
            </w:pPr>
            <w:r>
              <w:rPr>
                <w:i/>
              </w:rPr>
              <w:t>Select all that apply.</w:t>
            </w:r>
          </w:p>
          <w:p w14:paraId="300C3A0D" w14:textId="77777777" w:rsidR="00320898" w:rsidRPr="005D2045" w:rsidRDefault="00320898" w:rsidP="00CA75AB">
            <w:pPr>
              <w:pStyle w:val="ListParagraph"/>
              <w:ind w:left="360"/>
            </w:pPr>
          </w:p>
          <w:p w14:paraId="601BDBCA" w14:textId="0CA067F6" w:rsidR="00320898" w:rsidRPr="005D2045" w:rsidRDefault="00EF5178" w:rsidP="00CA75AB">
            <w:pPr>
              <w:pStyle w:val="ListParagraph"/>
              <w:ind w:left="360"/>
            </w:pPr>
            <w:r w:rsidRPr="00D1397E">
              <w:rPr>
                <w:i/>
              </w:rPr>
              <w:t>If only “hospital” is selected,</w:t>
            </w:r>
            <w:r>
              <w:rPr>
                <w:i/>
              </w:rPr>
              <w:t xml:space="preserve"> </w:t>
            </w:r>
            <w:r w:rsidR="00320898" w:rsidRPr="00B674A0">
              <w:rPr>
                <w:i/>
              </w:rPr>
              <w:t xml:space="preserve">skip </w:t>
            </w:r>
            <w:r w:rsidR="00320898">
              <w:rPr>
                <w:i/>
              </w:rPr>
              <w:t>question #</w:t>
            </w:r>
            <w:r w:rsidR="00AA4267">
              <w:rPr>
                <w:i/>
              </w:rPr>
              <w:t>2</w:t>
            </w:r>
            <w:r w:rsidR="006308BB">
              <w:rPr>
                <w:i/>
              </w:rPr>
              <w:t>8</w:t>
            </w:r>
            <w:r w:rsidR="00320898">
              <w:rPr>
                <w:i/>
              </w:rPr>
              <w:t xml:space="preserve"> and continue to question #</w:t>
            </w:r>
            <w:r w:rsidR="006308BB">
              <w:rPr>
                <w:i/>
              </w:rPr>
              <w:t>29</w:t>
            </w:r>
            <w:r w:rsidR="00320898">
              <w:rPr>
                <w:i/>
              </w:rPr>
              <w:t>.</w:t>
            </w:r>
          </w:p>
        </w:tc>
        <w:tc>
          <w:tcPr>
            <w:tcW w:w="3145" w:type="dxa"/>
            <w:vAlign w:val="center"/>
          </w:tcPr>
          <w:p w14:paraId="27CBB0C5" w14:textId="77777777" w:rsidR="00320898" w:rsidRPr="00753419" w:rsidRDefault="00320898" w:rsidP="00AD309C">
            <w:pPr>
              <w:pStyle w:val="ListParagraph"/>
              <w:numPr>
                <w:ilvl w:val="0"/>
                <w:numId w:val="94"/>
              </w:numPr>
              <w:spacing w:line="276" w:lineRule="auto"/>
              <w:rPr>
                <w:iCs/>
              </w:rPr>
            </w:pPr>
            <w:r w:rsidRPr="00753419">
              <w:rPr>
                <w:iCs/>
              </w:rPr>
              <w:t>Hospital</w:t>
            </w:r>
          </w:p>
          <w:p w14:paraId="4C494DFB" w14:textId="66E4A11A" w:rsidR="00320898" w:rsidRPr="00551F82" w:rsidRDefault="005C60B1" w:rsidP="00AD309C">
            <w:pPr>
              <w:pStyle w:val="ListParagraph"/>
              <w:numPr>
                <w:ilvl w:val="0"/>
                <w:numId w:val="94"/>
              </w:numPr>
              <w:spacing w:line="276" w:lineRule="auto"/>
              <w:rPr>
                <w:i/>
              </w:rPr>
            </w:pPr>
            <w:r w:rsidRPr="00753419">
              <w:rPr>
                <w:iCs/>
              </w:rPr>
              <w:t>Surgery center or free-standing</w:t>
            </w:r>
            <w:r w:rsidR="006319E7" w:rsidRPr="00753419">
              <w:rPr>
                <w:iCs/>
              </w:rPr>
              <w:t xml:space="preserve"> hospital outpatient department</w:t>
            </w:r>
          </w:p>
        </w:tc>
      </w:tr>
    </w:tbl>
    <w:p w14:paraId="7261D19B" w14:textId="77777777" w:rsidR="00320898" w:rsidRDefault="00320898" w:rsidP="00320898"/>
    <w:tbl>
      <w:tblPr>
        <w:tblStyle w:val="TableGrid"/>
        <w:tblW w:w="0" w:type="auto"/>
        <w:tblLayout w:type="fixed"/>
        <w:tblCellMar>
          <w:left w:w="115" w:type="dxa"/>
          <w:right w:w="115" w:type="dxa"/>
        </w:tblCellMar>
        <w:tblLook w:val="04A0" w:firstRow="1" w:lastRow="0" w:firstColumn="1" w:lastColumn="0" w:noHBand="0" w:noVBand="1"/>
      </w:tblPr>
      <w:tblGrid>
        <w:gridCol w:w="4225"/>
        <w:gridCol w:w="2008"/>
        <w:gridCol w:w="3117"/>
      </w:tblGrid>
      <w:tr w:rsidR="00320898" w:rsidRPr="005B2F83" w14:paraId="4A30FEAB" w14:textId="77777777" w:rsidTr="004551E0">
        <w:trPr>
          <w:trHeight w:val="20"/>
        </w:trPr>
        <w:tc>
          <w:tcPr>
            <w:tcW w:w="9350" w:type="dxa"/>
            <w:gridSpan w:val="3"/>
            <w:tcMar>
              <w:top w:w="72" w:type="dxa"/>
              <w:left w:w="115" w:type="dxa"/>
              <w:bottom w:w="72" w:type="dxa"/>
              <w:right w:w="115" w:type="dxa"/>
            </w:tcMar>
            <w:vAlign w:val="center"/>
          </w:tcPr>
          <w:p w14:paraId="2DB314C8" w14:textId="2DDF4EF5" w:rsidR="00320898" w:rsidRDefault="00320898" w:rsidP="00AD309C">
            <w:pPr>
              <w:pStyle w:val="ListParagraph"/>
              <w:numPr>
                <w:ilvl w:val="0"/>
                <w:numId w:val="91"/>
              </w:numPr>
              <w:spacing w:line="276" w:lineRule="auto"/>
              <w:rPr>
                <w:i/>
              </w:rPr>
            </w:pPr>
            <w:r>
              <w:t xml:space="preserve">Please provide the name and city location of each </w:t>
            </w:r>
            <w:r w:rsidR="003E46F9">
              <w:t xml:space="preserve">surgery center or </w:t>
            </w:r>
            <w:r w:rsidR="005C60B1">
              <w:t>free-standing</w:t>
            </w:r>
            <w:r w:rsidR="006319E7">
              <w:t xml:space="preserve"> hospital outpatient department</w:t>
            </w:r>
            <w:r>
              <w:t xml:space="preserve"> performing </w:t>
            </w:r>
            <w:r>
              <w:rPr>
                <w:b/>
              </w:rPr>
              <w:t>urology</w:t>
            </w:r>
            <w:r>
              <w:t xml:space="preserve"> procedures:</w:t>
            </w:r>
          </w:p>
        </w:tc>
      </w:tr>
      <w:tr w:rsidR="00404D0D" w:rsidRPr="005B2F83" w14:paraId="2E093E0B" w14:textId="77777777" w:rsidTr="00914F12">
        <w:trPr>
          <w:trHeight w:val="20"/>
        </w:trPr>
        <w:tc>
          <w:tcPr>
            <w:tcW w:w="4225" w:type="dxa"/>
            <w:tcMar>
              <w:top w:w="72" w:type="dxa"/>
              <w:left w:w="115" w:type="dxa"/>
              <w:bottom w:w="72" w:type="dxa"/>
              <w:right w:w="115" w:type="dxa"/>
            </w:tcMar>
            <w:vAlign w:val="center"/>
          </w:tcPr>
          <w:p w14:paraId="54A6C0EF" w14:textId="77777777" w:rsidR="00404D0D" w:rsidRDefault="00404D0D" w:rsidP="00404D0D">
            <w:pPr>
              <w:pStyle w:val="ListParagraph"/>
              <w:spacing w:line="276" w:lineRule="auto"/>
              <w:ind w:left="360"/>
            </w:pPr>
          </w:p>
        </w:tc>
        <w:tc>
          <w:tcPr>
            <w:tcW w:w="2008" w:type="dxa"/>
            <w:vAlign w:val="center"/>
          </w:tcPr>
          <w:p w14:paraId="1C44705C" w14:textId="26BAE91B" w:rsidR="00404D0D" w:rsidRPr="005C60B1" w:rsidRDefault="00404D0D" w:rsidP="004F63C1">
            <w:pPr>
              <w:spacing w:line="276" w:lineRule="auto"/>
              <w:jc w:val="center"/>
              <w:rPr>
                <w:i/>
              </w:rPr>
            </w:pPr>
            <w:r w:rsidRPr="005C60B1">
              <w:rPr>
                <w:i/>
              </w:rPr>
              <w:t>Name</w:t>
            </w:r>
          </w:p>
        </w:tc>
        <w:tc>
          <w:tcPr>
            <w:tcW w:w="3117" w:type="dxa"/>
            <w:vAlign w:val="center"/>
          </w:tcPr>
          <w:p w14:paraId="0897439B" w14:textId="4D10300E" w:rsidR="00404D0D" w:rsidRPr="005C60B1" w:rsidRDefault="00404D0D" w:rsidP="004F63C1">
            <w:pPr>
              <w:spacing w:line="276" w:lineRule="auto"/>
              <w:jc w:val="center"/>
              <w:rPr>
                <w:i/>
              </w:rPr>
            </w:pPr>
            <w:r w:rsidRPr="005C60B1">
              <w:rPr>
                <w:i/>
              </w:rPr>
              <w:t>City</w:t>
            </w:r>
          </w:p>
        </w:tc>
      </w:tr>
      <w:tr w:rsidR="00404D0D" w:rsidRPr="005B2F83" w14:paraId="71A69E95" w14:textId="77777777" w:rsidTr="00914F12">
        <w:trPr>
          <w:trHeight w:val="20"/>
        </w:trPr>
        <w:tc>
          <w:tcPr>
            <w:tcW w:w="4225" w:type="dxa"/>
            <w:tcMar>
              <w:top w:w="72" w:type="dxa"/>
              <w:left w:w="115" w:type="dxa"/>
              <w:bottom w:w="72" w:type="dxa"/>
              <w:right w:w="115" w:type="dxa"/>
            </w:tcMar>
            <w:vAlign w:val="center"/>
          </w:tcPr>
          <w:p w14:paraId="339DF055" w14:textId="6803C983"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1</w:t>
            </w:r>
          </w:p>
        </w:tc>
        <w:tc>
          <w:tcPr>
            <w:tcW w:w="2008" w:type="dxa"/>
            <w:vAlign w:val="center"/>
          </w:tcPr>
          <w:p w14:paraId="4D19B988" w14:textId="77777777" w:rsidR="00404D0D" w:rsidRDefault="00404D0D" w:rsidP="00404D0D">
            <w:pPr>
              <w:pStyle w:val="ListParagraph"/>
              <w:spacing w:line="276" w:lineRule="auto"/>
              <w:ind w:left="360"/>
            </w:pPr>
          </w:p>
        </w:tc>
        <w:tc>
          <w:tcPr>
            <w:tcW w:w="3117" w:type="dxa"/>
            <w:vAlign w:val="center"/>
          </w:tcPr>
          <w:p w14:paraId="6EEF6946" w14:textId="77777777" w:rsidR="00404D0D" w:rsidRDefault="00404D0D" w:rsidP="00404D0D">
            <w:pPr>
              <w:pStyle w:val="ListParagraph"/>
              <w:spacing w:line="276" w:lineRule="auto"/>
              <w:ind w:left="360"/>
            </w:pPr>
          </w:p>
        </w:tc>
      </w:tr>
      <w:tr w:rsidR="00404D0D" w:rsidRPr="005B2F83" w14:paraId="55B38F1F" w14:textId="77777777" w:rsidTr="00914F12">
        <w:trPr>
          <w:trHeight w:val="20"/>
        </w:trPr>
        <w:tc>
          <w:tcPr>
            <w:tcW w:w="4225" w:type="dxa"/>
            <w:tcMar>
              <w:top w:w="72" w:type="dxa"/>
              <w:left w:w="115" w:type="dxa"/>
              <w:bottom w:w="72" w:type="dxa"/>
              <w:right w:w="115" w:type="dxa"/>
            </w:tcMar>
            <w:vAlign w:val="center"/>
          </w:tcPr>
          <w:p w14:paraId="201EB996" w14:textId="2E651493"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2</w:t>
            </w:r>
          </w:p>
        </w:tc>
        <w:tc>
          <w:tcPr>
            <w:tcW w:w="2008" w:type="dxa"/>
            <w:vAlign w:val="center"/>
          </w:tcPr>
          <w:p w14:paraId="55C261EB" w14:textId="77777777" w:rsidR="00404D0D" w:rsidRDefault="00404D0D" w:rsidP="00404D0D">
            <w:pPr>
              <w:pStyle w:val="ListParagraph"/>
              <w:spacing w:line="276" w:lineRule="auto"/>
              <w:ind w:left="360"/>
            </w:pPr>
          </w:p>
        </w:tc>
        <w:tc>
          <w:tcPr>
            <w:tcW w:w="3117" w:type="dxa"/>
            <w:vAlign w:val="center"/>
          </w:tcPr>
          <w:p w14:paraId="1D335794" w14:textId="77777777" w:rsidR="00404D0D" w:rsidRDefault="00404D0D" w:rsidP="00404D0D">
            <w:pPr>
              <w:pStyle w:val="ListParagraph"/>
              <w:spacing w:line="276" w:lineRule="auto"/>
              <w:ind w:left="360"/>
            </w:pPr>
          </w:p>
        </w:tc>
      </w:tr>
      <w:tr w:rsidR="00404D0D" w:rsidRPr="005B2F83" w14:paraId="4BEDB04D" w14:textId="77777777" w:rsidTr="00914F12">
        <w:trPr>
          <w:trHeight w:val="20"/>
        </w:trPr>
        <w:tc>
          <w:tcPr>
            <w:tcW w:w="4225" w:type="dxa"/>
            <w:tcMar>
              <w:top w:w="72" w:type="dxa"/>
              <w:left w:w="115" w:type="dxa"/>
              <w:bottom w:w="72" w:type="dxa"/>
              <w:right w:w="115" w:type="dxa"/>
            </w:tcMar>
            <w:vAlign w:val="center"/>
          </w:tcPr>
          <w:p w14:paraId="6486879A" w14:textId="396DDB58"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3</w:t>
            </w:r>
          </w:p>
        </w:tc>
        <w:tc>
          <w:tcPr>
            <w:tcW w:w="2008" w:type="dxa"/>
            <w:vAlign w:val="center"/>
          </w:tcPr>
          <w:p w14:paraId="180D1C01" w14:textId="77777777" w:rsidR="00404D0D" w:rsidRDefault="00404D0D" w:rsidP="00404D0D">
            <w:pPr>
              <w:pStyle w:val="ListParagraph"/>
              <w:spacing w:line="276" w:lineRule="auto"/>
              <w:ind w:left="360"/>
            </w:pPr>
          </w:p>
        </w:tc>
        <w:tc>
          <w:tcPr>
            <w:tcW w:w="3117" w:type="dxa"/>
            <w:vAlign w:val="center"/>
          </w:tcPr>
          <w:p w14:paraId="49F80BE8" w14:textId="77777777" w:rsidR="00404D0D" w:rsidRDefault="00404D0D" w:rsidP="00404D0D">
            <w:pPr>
              <w:pStyle w:val="ListParagraph"/>
              <w:spacing w:line="276" w:lineRule="auto"/>
              <w:ind w:left="360"/>
            </w:pPr>
          </w:p>
        </w:tc>
      </w:tr>
      <w:tr w:rsidR="00404D0D" w:rsidRPr="005B2F83" w14:paraId="73C34C69" w14:textId="77777777" w:rsidTr="00914F12">
        <w:trPr>
          <w:trHeight w:val="20"/>
        </w:trPr>
        <w:tc>
          <w:tcPr>
            <w:tcW w:w="4225" w:type="dxa"/>
            <w:tcMar>
              <w:top w:w="72" w:type="dxa"/>
              <w:left w:w="115" w:type="dxa"/>
              <w:bottom w:w="72" w:type="dxa"/>
              <w:right w:w="115" w:type="dxa"/>
            </w:tcMar>
            <w:vAlign w:val="center"/>
          </w:tcPr>
          <w:p w14:paraId="78915ED3" w14:textId="728DA800"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4</w:t>
            </w:r>
          </w:p>
        </w:tc>
        <w:tc>
          <w:tcPr>
            <w:tcW w:w="2008" w:type="dxa"/>
            <w:vAlign w:val="center"/>
          </w:tcPr>
          <w:p w14:paraId="7BEFB138" w14:textId="77777777" w:rsidR="00404D0D" w:rsidRDefault="00404D0D" w:rsidP="00404D0D">
            <w:pPr>
              <w:pStyle w:val="ListParagraph"/>
              <w:spacing w:line="276" w:lineRule="auto"/>
              <w:ind w:left="360"/>
            </w:pPr>
          </w:p>
        </w:tc>
        <w:tc>
          <w:tcPr>
            <w:tcW w:w="3117" w:type="dxa"/>
            <w:vAlign w:val="center"/>
          </w:tcPr>
          <w:p w14:paraId="356EB931" w14:textId="77777777" w:rsidR="00404D0D" w:rsidRDefault="00404D0D" w:rsidP="00404D0D">
            <w:pPr>
              <w:pStyle w:val="ListParagraph"/>
              <w:spacing w:line="276" w:lineRule="auto"/>
              <w:ind w:left="360"/>
            </w:pPr>
          </w:p>
        </w:tc>
      </w:tr>
      <w:tr w:rsidR="00404D0D" w:rsidRPr="005B2F83" w14:paraId="37C0A371" w14:textId="77777777" w:rsidTr="00914F12">
        <w:trPr>
          <w:trHeight w:val="20"/>
        </w:trPr>
        <w:tc>
          <w:tcPr>
            <w:tcW w:w="4225" w:type="dxa"/>
            <w:tcMar>
              <w:top w:w="72" w:type="dxa"/>
              <w:left w:w="115" w:type="dxa"/>
              <w:bottom w:w="72" w:type="dxa"/>
              <w:right w:w="115" w:type="dxa"/>
            </w:tcMar>
            <w:vAlign w:val="center"/>
          </w:tcPr>
          <w:p w14:paraId="26576084" w14:textId="7AC30583"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5</w:t>
            </w:r>
          </w:p>
        </w:tc>
        <w:tc>
          <w:tcPr>
            <w:tcW w:w="2008" w:type="dxa"/>
            <w:vAlign w:val="center"/>
          </w:tcPr>
          <w:p w14:paraId="011E71E9" w14:textId="77777777" w:rsidR="00404D0D" w:rsidRDefault="00404D0D" w:rsidP="00404D0D">
            <w:pPr>
              <w:pStyle w:val="ListParagraph"/>
              <w:spacing w:line="276" w:lineRule="auto"/>
              <w:ind w:left="360"/>
            </w:pPr>
          </w:p>
        </w:tc>
        <w:tc>
          <w:tcPr>
            <w:tcW w:w="3117" w:type="dxa"/>
            <w:vAlign w:val="center"/>
          </w:tcPr>
          <w:p w14:paraId="0804B5D7" w14:textId="77777777" w:rsidR="00404D0D" w:rsidRDefault="00404D0D" w:rsidP="00404D0D">
            <w:pPr>
              <w:pStyle w:val="ListParagraph"/>
              <w:spacing w:line="276" w:lineRule="auto"/>
              <w:ind w:left="360"/>
            </w:pPr>
          </w:p>
        </w:tc>
      </w:tr>
    </w:tbl>
    <w:p w14:paraId="6F543F31" w14:textId="77777777" w:rsidR="00914F12" w:rsidRDefault="00914F12" w:rsidP="00753419"/>
    <w:p w14:paraId="7BEF1051" w14:textId="77777777" w:rsidR="00F83C07" w:rsidRDefault="00F83C07" w:rsidP="00753419"/>
    <w:p w14:paraId="4E3F0945" w14:textId="77777777" w:rsidR="00F83C07" w:rsidRDefault="00F83C07" w:rsidP="00753419"/>
    <w:p w14:paraId="458D7E5F" w14:textId="77777777" w:rsidR="00F83C07" w:rsidRDefault="00F83C07" w:rsidP="00753419"/>
    <w:p w14:paraId="7022823B" w14:textId="77777777" w:rsidR="00F83C07" w:rsidRDefault="00F83C07" w:rsidP="00753419"/>
    <w:p w14:paraId="2B0463B6" w14:textId="722F091B" w:rsidR="006E467C" w:rsidRPr="00841998" w:rsidRDefault="006E467C" w:rsidP="00AB5B80">
      <w:pPr>
        <w:pStyle w:val="Heading3"/>
        <w:rPr>
          <w:sz w:val="20"/>
          <w:szCs w:val="20"/>
        </w:rPr>
      </w:pPr>
      <w:bookmarkStart w:id="744" w:name="_Toc225877843"/>
      <w:r w:rsidRPr="006E467C">
        <w:lastRenderedPageBreak/>
        <w:t>Neuro</w:t>
      </w:r>
      <w:bookmarkEnd w:id="741"/>
      <w:r w:rsidR="00AD5994">
        <w:t>logical Surgery</w:t>
      </w:r>
      <w:bookmarkEnd w:id="744"/>
      <w:r w:rsidR="006606DD">
        <w:br/>
      </w:r>
    </w:p>
    <w:tbl>
      <w:tblPr>
        <w:tblStyle w:val="TableGrid17"/>
        <w:tblW w:w="0" w:type="auto"/>
        <w:tblLook w:val="04A0" w:firstRow="1" w:lastRow="0" w:firstColumn="1" w:lastColumn="0" w:noHBand="0" w:noVBand="1"/>
      </w:tblPr>
      <w:tblGrid>
        <w:gridCol w:w="5015"/>
        <w:gridCol w:w="4335"/>
      </w:tblGrid>
      <w:tr w:rsidR="00073B66" w:rsidRPr="00073B66" w14:paraId="48C89240" w14:textId="77777777" w:rsidTr="00914F12">
        <w:trPr>
          <w:trHeight w:val="20"/>
        </w:trPr>
        <w:tc>
          <w:tcPr>
            <w:tcW w:w="9350" w:type="dxa"/>
            <w:gridSpan w:val="2"/>
            <w:tcMar>
              <w:top w:w="72" w:type="dxa"/>
              <w:left w:w="115" w:type="dxa"/>
              <w:bottom w:w="72" w:type="dxa"/>
              <w:right w:w="115" w:type="dxa"/>
            </w:tcMar>
            <w:vAlign w:val="center"/>
          </w:tcPr>
          <w:p w14:paraId="5B23A4FB" w14:textId="79130D64" w:rsidR="00073B66" w:rsidRPr="00073B66" w:rsidRDefault="00073B66" w:rsidP="00AD309C">
            <w:pPr>
              <w:numPr>
                <w:ilvl w:val="0"/>
                <w:numId w:val="91"/>
              </w:numPr>
              <w:spacing w:line="276" w:lineRule="auto"/>
              <w:rPr>
                <w:rFonts w:eastAsia="Yu Gothic Light"/>
              </w:rPr>
            </w:pPr>
            <w:r w:rsidRPr="00073B66">
              <w:rPr>
                <w:rFonts w:eastAsia="Yu Gothic Light"/>
              </w:rPr>
              <w:t xml:space="preserve">Total adult volume for </w:t>
            </w:r>
            <w:r w:rsidR="00CC65E4">
              <w:rPr>
                <w:rFonts w:eastAsia="Yu Gothic Light"/>
              </w:rPr>
              <w:t>the following procedure</w:t>
            </w:r>
            <w:r w:rsidRPr="00073B66">
              <w:rPr>
                <w:rFonts w:eastAsia="Yu Gothic Light"/>
              </w:rPr>
              <w:t xml:space="preserve"> performed at your </w:t>
            </w:r>
            <w:r w:rsidR="006319E7">
              <w:rPr>
                <w:rFonts w:eastAsia="Yu Gothic Light"/>
              </w:rPr>
              <w:t>hospital outpatient department(s)</w:t>
            </w:r>
            <w:r w:rsidRPr="00073B66">
              <w:rPr>
                <w:rFonts w:eastAsia="Yu Gothic Light"/>
              </w:rPr>
              <w:t xml:space="preserve"> during the reporting period.</w:t>
            </w:r>
          </w:p>
          <w:p w14:paraId="017D18F7" w14:textId="77777777" w:rsidR="00073B66" w:rsidRPr="00073B66" w:rsidRDefault="00073B66" w:rsidP="00073B66">
            <w:pPr>
              <w:spacing w:line="276" w:lineRule="auto"/>
              <w:rPr>
                <w:rFonts w:eastAsia="Yu Gothic Light"/>
              </w:rPr>
            </w:pPr>
          </w:p>
          <w:p w14:paraId="37335ECC" w14:textId="6EC6C62B" w:rsidR="00073B66" w:rsidRPr="00073B66" w:rsidRDefault="00073B66" w:rsidP="00CC65E4">
            <w:pPr>
              <w:ind w:left="360"/>
            </w:pPr>
            <w:r w:rsidRPr="00073B66">
              <w:rPr>
                <w:i/>
              </w:rPr>
              <w:t xml:space="preserve">You cannot leave any blank. If you did not perform </w:t>
            </w:r>
            <w:r w:rsidR="00CC65E4">
              <w:rPr>
                <w:i/>
              </w:rPr>
              <w:t>the procedure</w:t>
            </w:r>
            <w:r w:rsidRPr="00073B66">
              <w:rPr>
                <w:i/>
              </w:rPr>
              <w:t xml:space="preserve"> listed below</w:t>
            </w:r>
            <w:r w:rsidR="00CC65E4">
              <w:rPr>
                <w:i/>
              </w:rPr>
              <w:t xml:space="preserve">, </w:t>
            </w:r>
            <w:r w:rsidRPr="00073B66">
              <w:rPr>
                <w:i/>
              </w:rPr>
              <w:t>go back to question #</w:t>
            </w:r>
            <w:r w:rsidR="006308BB">
              <w:rPr>
                <w:i/>
              </w:rPr>
              <w:t>8</w:t>
            </w:r>
            <w:r w:rsidRPr="00073B66">
              <w:rPr>
                <w:i/>
              </w:rPr>
              <w:t xml:space="preserve"> and update your response from “yes” to “no.”</w:t>
            </w:r>
          </w:p>
        </w:tc>
      </w:tr>
      <w:tr w:rsidR="001A4A1F" w:rsidRPr="00073B66" w14:paraId="51CB87A8" w14:textId="77777777" w:rsidTr="00EC4DCE">
        <w:trPr>
          <w:trHeight w:val="20"/>
        </w:trPr>
        <w:tc>
          <w:tcPr>
            <w:tcW w:w="5015" w:type="dxa"/>
            <w:tcMar>
              <w:top w:w="72" w:type="dxa"/>
              <w:left w:w="115" w:type="dxa"/>
              <w:bottom w:w="72" w:type="dxa"/>
              <w:right w:w="115" w:type="dxa"/>
            </w:tcMar>
            <w:vAlign w:val="center"/>
          </w:tcPr>
          <w:p w14:paraId="519F73E5" w14:textId="77777777" w:rsidR="001A4A1F" w:rsidRPr="00073B66" w:rsidRDefault="001A4A1F" w:rsidP="00073B66">
            <w:pPr>
              <w:spacing w:line="276" w:lineRule="auto"/>
              <w:rPr>
                <w:rFonts w:eastAsia="Yu Gothic Light"/>
              </w:rPr>
            </w:pPr>
          </w:p>
        </w:tc>
        <w:tc>
          <w:tcPr>
            <w:tcW w:w="4335" w:type="dxa"/>
            <w:tcMar>
              <w:top w:w="72" w:type="dxa"/>
              <w:left w:w="115" w:type="dxa"/>
              <w:bottom w:w="72" w:type="dxa"/>
              <w:right w:w="115" w:type="dxa"/>
            </w:tcMar>
            <w:vAlign w:val="center"/>
          </w:tcPr>
          <w:p w14:paraId="18AD776E" w14:textId="4E8609D9" w:rsidR="001A4A1F" w:rsidRPr="00073B66" w:rsidRDefault="001A4A1F" w:rsidP="004F63C1">
            <w:pPr>
              <w:jc w:val="center"/>
              <w:rPr>
                <w:i/>
              </w:rPr>
            </w:pPr>
            <w:r w:rsidRPr="00073B66">
              <w:rPr>
                <w:i/>
              </w:rPr>
              <w:t>Adult Volume</w:t>
            </w:r>
          </w:p>
        </w:tc>
      </w:tr>
      <w:tr w:rsidR="001A4A1F" w:rsidRPr="00073B66" w14:paraId="5E415E0B" w14:textId="77777777" w:rsidTr="00EC4DCE">
        <w:trPr>
          <w:trHeight w:val="20"/>
        </w:trPr>
        <w:tc>
          <w:tcPr>
            <w:tcW w:w="5015" w:type="dxa"/>
            <w:tcMar>
              <w:top w:w="72" w:type="dxa"/>
              <w:left w:w="115" w:type="dxa"/>
              <w:bottom w:w="72" w:type="dxa"/>
              <w:right w:w="115" w:type="dxa"/>
            </w:tcMar>
            <w:vAlign w:val="center"/>
          </w:tcPr>
          <w:p w14:paraId="082029ED" w14:textId="77777777" w:rsidR="001A4A1F" w:rsidRPr="00073B66" w:rsidRDefault="001A4A1F" w:rsidP="0017656A">
            <w:pPr>
              <w:spacing w:line="276" w:lineRule="auto"/>
              <w:rPr>
                <w:rFonts w:eastAsia="Yu Gothic Light"/>
                <w:b/>
              </w:rPr>
            </w:pPr>
            <w:r w:rsidRPr="00073B66">
              <w:rPr>
                <w:rFonts w:eastAsia="Yu Gothic Light"/>
                <w:b/>
              </w:rPr>
              <w:t>Spin</w:t>
            </w:r>
            <w:r>
              <w:rPr>
                <w:rFonts w:eastAsia="Yu Gothic Light"/>
                <w:b/>
              </w:rPr>
              <w:t>al fusion</w:t>
            </w:r>
            <w:r w:rsidRPr="00073B66">
              <w:rPr>
                <w:rFonts w:eastAsia="Yu Gothic Light"/>
                <w:b/>
              </w:rPr>
              <w:t xml:space="preserve"> procedures</w:t>
            </w:r>
          </w:p>
        </w:tc>
        <w:tc>
          <w:tcPr>
            <w:tcW w:w="4335" w:type="dxa"/>
            <w:tcMar>
              <w:top w:w="72" w:type="dxa"/>
              <w:left w:w="115" w:type="dxa"/>
              <w:bottom w:w="72" w:type="dxa"/>
              <w:right w:w="115" w:type="dxa"/>
            </w:tcMar>
            <w:vAlign w:val="center"/>
          </w:tcPr>
          <w:p w14:paraId="5ADFFEDD" w14:textId="7F7DBF24" w:rsidR="001A4A1F" w:rsidRPr="00073B66" w:rsidRDefault="001A4A1F" w:rsidP="001A4A1F">
            <w:pPr>
              <w:jc w:val="center"/>
            </w:pPr>
            <w:r w:rsidRPr="00073B66">
              <w:t>_____</w:t>
            </w:r>
          </w:p>
        </w:tc>
      </w:tr>
    </w:tbl>
    <w:p w14:paraId="0CC1AC35" w14:textId="77777777" w:rsidR="00FB2552" w:rsidRDefault="00FB2552" w:rsidP="00753419"/>
    <w:tbl>
      <w:tblPr>
        <w:tblStyle w:val="TableGrid"/>
        <w:tblW w:w="0" w:type="auto"/>
        <w:tblLayout w:type="fixed"/>
        <w:tblCellMar>
          <w:left w:w="115" w:type="dxa"/>
          <w:right w:w="115" w:type="dxa"/>
        </w:tblCellMar>
        <w:tblLook w:val="04A0" w:firstRow="1" w:lastRow="0" w:firstColumn="1" w:lastColumn="0" w:noHBand="0" w:noVBand="1"/>
      </w:tblPr>
      <w:tblGrid>
        <w:gridCol w:w="6205"/>
        <w:gridCol w:w="3145"/>
      </w:tblGrid>
      <w:tr w:rsidR="00FB2552" w:rsidRPr="005B2F83" w14:paraId="10CB72A4" w14:textId="77777777" w:rsidTr="00914F12">
        <w:trPr>
          <w:trHeight w:val="20"/>
        </w:trPr>
        <w:tc>
          <w:tcPr>
            <w:tcW w:w="6205" w:type="dxa"/>
            <w:tcMar>
              <w:top w:w="72" w:type="dxa"/>
              <w:left w:w="115" w:type="dxa"/>
              <w:bottom w:w="72" w:type="dxa"/>
              <w:right w:w="115" w:type="dxa"/>
            </w:tcMar>
            <w:vAlign w:val="center"/>
          </w:tcPr>
          <w:p w14:paraId="7CF8296B" w14:textId="77777777" w:rsidR="00FB2552" w:rsidRDefault="00FB2552" w:rsidP="00AD309C">
            <w:pPr>
              <w:pStyle w:val="ListParagraph"/>
              <w:numPr>
                <w:ilvl w:val="0"/>
                <w:numId w:val="91"/>
              </w:numPr>
            </w:pPr>
            <w:r>
              <w:t xml:space="preserve">Where were these </w:t>
            </w:r>
            <w:r w:rsidRPr="00FB2552">
              <w:rPr>
                <w:b/>
              </w:rPr>
              <w:t>neurological surgery</w:t>
            </w:r>
            <w:r w:rsidRPr="005D2045">
              <w:rPr>
                <w:b/>
              </w:rPr>
              <w:t xml:space="preserve"> </w:t>
            </w:r>
            <w:r>
              <w:t>procedures performed?</w:t>
            </w:r>
          </w:p>
          <w:p w14:paraId="5759E89A" w14:textId="77777777" w:rsidR="00FB2552" w:rsidRDefault="00FB2552" w:rsidP="00CA75AB">
            <w:pPr>
              <w:pStyle w:val="ListParagraph"/>
              <w:ind w:left="360"/>
            </w:pPr>
          </w:p>
          <w:p w14:paraId="2F3D4A2B" w14:textId="77777777" w:rsidR="00FB2552" w:rsidRPr="00131F2C" w:rsidRDefault="00FB2552" w:rsidP="00CA75AB">
            <w:pPr>
              <w:pStyle w:val="ListParagraph"/>
              <w:ind w:left="360"/>
              <w:rPr>
                <w:i/>
              </w:rPr>
            </w:pPr>
            <w:r>
              <w:rPr>
                <w:i/>
              </w:rPr>
              <w:t>Select all that apply.</w:t>
            </w:r>
          </w:p>
          <w:p w14:paraId="5D530E83" w14:textId="77777777" w:rsidR="00FB2552" w:rsidRPr="005D2045" w:rsidRDefault="00FB2552" w:rsidP="00CA75AB">
            <w:pPr>
              <w:pStyle w:val="ListParagraph"/>
              <w:ind w:left="360"/>
            </w:pPr>
          </w:p>
          <w:p w14:paraId="5660AEF3" w14:textId="36CDF8AD" w:rsidR="00FB2552" w:rsidRPr="005D2045" w:rsidRDefault="00EF5178" w:rsidP="00CA75AB">
            <w:pPr>
              <w:pStyle w:val="ListParagraph"/>
              <w:ind w:left="360"/>
            </w:pPr>
            <w:r w:rsidRPr="00F8591A">
              <w:rPr>
                <w:i/>
              </w:rPr>
              <w:t>If only “hospital” is selected,</w:t>
            </w:r>
            <w:r>
              <w:rPr>
                <w:i/>
              </w:rPr>
              <w:t xml:space="preserve"> </w:t>
            </w:r>
            <w:r w:rsidR="00FB2552" w:rsidRPr="00B674A0">
              <w:rPr>
                <w:i/>
              </w:rPr>
              <w:t xml:space="preserve">skip </w:t>
            </w:r>
            <w:r w:rsidR="00FB2552">
              <w:rPr>
                <w:i/>
              </w:rPr>
              <w:t>question #</w:t>
            </w:r>
            <w:r w:rsidR="00AA4267">
              <w:rPr>
                <w:i/>
              </w:rPr>
              <w:t>3</w:t>
            </w:r>
            <w:r w:rsidR="006308BB">
              <w:rPr>
                <w:i/>
              </w:rPr>
              <w:t>1</w:t>
            </w:r>
            <w:r w:rsidR="00FB2552">
              <w:rPr>
                <w:i/>
              </w:rPr>
              <w:t xml:space="preserve"> and continue to question #</w:t>
            </w:r>
            <w:r w:rsidR="00AA4267">
              <w:rPr>
                <w:i/>
              </w:rPr>
              <w:t>3</w:t>
            </w:r>
            <w:r w:rsidR="006308BB">
              <w:rPr>
                <w:i/>
              </w:rPr>
              <w:t>2</w:t>
            </w:r>
            <w:r w:rsidR="00FB2552">
              <w:rPr>
                <w:i/>
              </w:rPr>
              <w:t>.</w:t>
            </w:r>
          </w:p>
        </w:tc>
        <w:tc>
          <w:tcPr>
            <w:tcW w:w="3145" w:type="dxa"/>
            <w:vAlign w:val="center"/>
          </w:tcPr>
          <w:p w14:paraId="562487AD" w14:textId="77777777" w:rsidR="00FB2552" w:rsidRPr="00753419" w:rsidRDefault="00FB2552" w:rsidP="00AD309C">
            <w:pPr>
              <w:pStyle w:val="ListParagraph"/>
              <w:numPr>
                <w:ilvl w:val="0"/>
                <w:numId w:val="94"/>
              </w:numPr>
              <w:spacing w:line="276" w:lineRule="auto"/>
              <w:rPr>
                <w:iCs/>
              </w:rPr>
            </w:pPr>
            <w:r w:rsidRPr="00753419">
              <w:rPr>
                <w:iCs/>
              </w:rPr>
              <w:t>Hospital</w:t>
            </w:r>
          </w:p>
          <w:p w14:paraId="5275EB29" w14:textId="616B81F4" w:rsidR="00FB2552" w:rsidRPr="00551F82" w:rsidRDefault="00EF46A6" w:rsidP="00AD309C">
            <w:pPr>
              <w:pStyle w:val="ListParagraph"/>
              <w:numPr>
                <w:ilvl w:val="0"/>
                <w:numId w:val="94"/>
              </w:numPr>
              <w:spacing w:line="276" w:lineRule="auto"/>
              <w:rPr>
                <w:i/>
              </w:rPr>
            </w:pPr>
            <w:r w:rsidRPr="00753419">
              <w:rPr>
                <w:iCs/>
              </w:rPr>
              <w:t>Surgery center or f</w:t>
            </w:r>
            <w:r w:rsidR="006319E7" w:rsidRPr="00753419">
              <w:rPr>
                <w:iCs/>
              </w:rPr>
              <w:t>ree</w:t>
            </w:r>
            <w:r w:rsidR="005C60B1" w:rsidRPr="00753419">
              <w:rPr>
                <w:iCs/>
              </w:rPr>
              <w:t>-</w:t>
            </w:r>
            <w:r w:rsidR="006319E7" w:rsidRPr="00753419">
              <w:rPr>
                <w:iCs/>
              </w:rPr>
              <w:t>standing hospital outpatient department</w:t>
            </w:r>
          </w:p>
        </w:tc>
      </w:tr>
    </w:tbl>
    <w:p w14:paraId="67F9C2E2" w14:textId="77777777" w:rsidR="00FB2552" w:rsidRDefault="00FB2552" w:rsidP="00FB2552"/>
    <w:tbl>
      <w:tblPr>
        <w:tblStyle w:val="TableGrid"/>
        <w:tblW w:w="0" w:type="auto"/>
        <w:tblLayout w:type="fixed"/>
        <w:tblCellMar>
          <w:left w:w="115" w:type="dxa"/>
          <w:right w:w="115" w:type="dxa"/>
        </w:tblCellMar>
        <w:tblLook w:val="04A0" w:firstRow="1" w:lastRow="0" w:firstColumn="1" w:lastColumn="0" w:noHBand="0" w:noVBand="1"/>
      </w:tblPr>
      <w:tblGrid>
        <w:gridCol w:w="4225"/>
        <w:gridCol w:w="2008"/>
        <w:gridCol w:w="3117"/>
      </w:tblGrid>
      <w:tr w:rsidR="00FB2552" w:rsidRPr="005B2F83" w14:paraId="358058D8" w14:textId="77777777" w:rsidTr="00914F12">
        <w:trPr>
          <w:trHeight w:val="20"/>
        </w:trPr>
        <w:tc>
          <w:tcPr>
            <w:tcW w:w="9350" w:type="dxa"/>
            <w:gridSpan w:val="3"/>
            <w:tcMar>
              <w:top w:w="72" w:type="dxa"/>
              <w:left w:w="115" w:type="dxa"/>
              <w:bottom w:w="72" w:type="dxa"/>
              <w:right w:w="115" w:type="dxa"/>
            </w:tcMar>
            <w:vAlign w:val="center"/>
          </w:tcPr>
          <w:p w14:paraId="73B658FA" w14:textId="49572363" w:rsidR="00FB2552" w:rsidRDefault="00FB2552" w:rsidP="00AD309C">
            <w:pPr>
              <w:pStyle w:val="ListParagraph"/>
              <w:numPr>
                <w:ilvl w:val="0"/>
                <w:numId w:val="91"/>
              </w:numPr>
              <w:spacing w:line="276" w:lineRule="auto"/>
              <w:rPr>
                <w:i/>
              </w:rPr>
            </w:pPr>
            <w:r>
              <w:t xml:space="preserve">Please provide the name and city location of each </w:t>
            </w:r>
            <w:r w:rsidR="003E46F9">
              <w:t xml:space="preserve">surgery center or </w:t>
            </w:r>
            <w:r w:rsidR="005C60B1" w:rsidRPr="006319E7">
              <w:t>free-standing</w:t>
            </w:r>
            <w:r w:rsidR="006319E7" w:rsidRPr="006319E7">
              <w:t xml:space="preserve"> hospital outpatient department</w:t>
            </w:r>
            <w:r>
              <w:t xml:space="preserve"> performing </w:t>
            </w:r>
            <w:r w:rsidRPr="00FB2552">
              <w:rPr>
                <w:b/>
              </w:rPr>
              <w:t>neurological surgery</w:t>
            </w:r>
            <w:r>
              <w:t xml:space="preserve"> procedures:</w:t>
            </w:r>
          </w:p>
        </w:tc>
      </w:tr>
      <w:tr w:rsidR="00404D0D" w:rsidRPr="005B2F83" w14:paraId="47EDA793" w14:textId="77777777" w:rsidTr="00914F12">
        <w:trPr>
          <w:trHeight w:val="20"/>
        </w:trPr>
        <w:tc>
          <w:tcPr>
            <w:tcW w:w="4225" w:type="dxa"/>
            <w:tcMar>
              <w:top w:w="72" w:type="dxa"/>
              <w:left w:w="115" w:type="dxa"/>
              <w:bottom w:w="72" w:type="dxa"/>
              <w:right w:w="115" w:type="dxa"/>
            </w:tcMar>
            <w:vAlign w:val="center"/>
          </w:tcPr>
          <w:p w14:paraId="17DD3136" w14:textId="77777777" w:rsidR="00404D0D" w:rsidRDefault="00404D0D" w:rsidP="00404D0D">
            <w:pPr>
              <w:pStyle w:val="ListParagraph"/>
              <w:spacing w:line="276" w:lineRule="auto"/>
              <w:ind w:left="360"/>
            </w:pPr>
          </w:p>
        </w:tc>
        <w:tc>
          <w:tcPr>
            <w:tcW w:w="2008" w:type="dxa"/>
            <w:vAlign w:val="center"/>
          </w:tcPr>
          <w:p w14:paraId="1BB596D2" w14:textId="00235A93" w:rsidR="00404D0D" w:rsidRPr="005C60B1" w:rsidRDefault="00404D0D" w:rsidP="004F63C1">
            <w:pPr>
              <w:spacing w:line="276" w:lineRule="auto"/>
              <w:jc w:val="center"/>
              <w:rPr>
                <w:i/>
              </w:rPr>
            </w:pPr>
            <w:r w:rsidRPr="005C60B1">
              <w:rPr>
                <w:i/>
              </w:rPr>
              <w:t>Name</w:t>
            </w:r>
          </w:p>
        </w:tc>
        <w:tc>
          <w:tcPr>
            <w:tcW w:w="3117" w:type="dxa"/>
            <w:vAlign w:val="center"/>
          </w:tcPr>
          <w:p w14:paraId="2067C497" w14:textId="528A5338" w:rsidR="00404D0D" w:rsidRPr="005C60B1" w:rsidRDefault="00404D0D" w:rsidP="004F63C1">
            <w:pPr>
              <w:spacing w:line="276" w:lineRule="auto"/>
              <w:jc w:val="center"/>
              <w:rPr>
                <w:i/>
              </w:rPr>
            </w:pPr>
            <w:r w:rsidRPr="005C60B1">
              <w:rPr>
                <w:i/>
              </w:rPr>
              <w:t>City</w:t>
            </w:r>
          </w:p>
        </w:tc>
      </w:tr>
      <w:tr w:rsidR="00404D0D" w:rsidRPr="005B2F83" w14:paraId="6439B6F7" w14:textId="77777777" w:rsidTr="00914F12">
        <w:trPr>
          <w:trHeight w:val="20"/>
        </w:trPr>
        <w:tc>
          <w:tcPr>
            <w:tcW w:w="4225" w:type="dxa"/>
            <w:tcMar>
              <w:top w:w="72" w:type="dxa"/>
              <w:left w:w="115" w:type="dxa"/>
              <w:bottom w:w="72" w:type="dxa"/>
              <w:right w:w="115" w:type="dxa"/>
            </w:tcMar>
            <w:vAlign w:val="center"/>
          </w:tcPr>
          <w:p w14:paraId="0342A0A0" w14:textId="51AA0D45"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1</w:t>
            </w:r>
          </w:p>
        </w:tc>
        <w:tc>
          <w:tcPr>
            <w:tcW w:w="2008" w:type="dxa"/>
            <w:vAlign w:val="center"/>
          </w:tcPr>
          <w:p w14:paraId="2E18D505" w14:textId="77777777" w:rsidR="00404D0D" w:rsidRDefault="00404D0D" w:rsidP="00404D0D">
            <w:pPr>
              <w:pStyle w:val="ListParagraph"/>
              <w:spacing w:line="276" w:lineRule="auto"/>
              <w:ind w:left="360"/>
            </w:pPr>
          </w:p>
        </w:tc>
        <w:tc>
          <w:tcPr>
            <w:tcW w:w="3117" w:type="dxa"/>
            <w:vAlign w:val="center"/>
          </w:tcPr>
          <w:p w14:paraId="09B0F1D2" w14:textId="77777777" w:rsidR="00404D0D" w:rsidRDefault="00404D0D" w:rsidP="00404D0D">
            <w:pPr>
              <w:pStyle w:val="ListParagraph"/>
              <w:spacing w:line="276" w:lineRule="auto"/>
              <w:ind w:left="360"/>
            </w:pPr>
          </w:p>
        </w:tc>
      </w:tr>
      <w:tr w:rsidR="00404D0D" w:rsidRPr="005B2F83" w14:paraId="6836D1DB" w14:textId="77777777" w:rsidTr="00914F12">
        <w:trPr>
          <w:trHeight w:val="20"/>
        </w:trPr>
        <w:tc>
          <w:tcPr>
            <w:tcW w:w="4225" w:type="dxa"/>
            <w:tcMar>
              <w:top w:w="72" w:type="dxa"/>
              <w:left w:w="115" w:type="dxa"/>
              <w:bottom w:w="72" w:type="dxa"/>
              <w:right w:w="115" w:type="dxa"/>
            </w:tcMar>
            <w:vAlign w:val="center"/>
          </w:tcPr>
          <w:p w14:paraId="152D0BFB" w14:textId="2085FAFC"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2</w:t>
            </w:r>
          </w:p>
        </w:tc>
        <w:tc>
          <w:tcPr>
            <w:tcW w:w="2008" w:type="dxa"/>
            <w:vAlign w:val="center"/>
          </w:tcPr>
          <w:p w14:paraId="7C316563" w14:textId="77777777" w:rsidR="00404D0D" w:rsidRDefault="00404D0D" w:rsidP="00404D0D">
            <w:pPr>
              <w:pStyle w:val="ListParagraph"/>
              <w:spacing w:line="276" w:lineRule="auto"/>
              <w:ind w:left="360"/>
            </w:pPr>
          </w:p>
        </w:tc>
        <w:tc>
          <w:tcPr>
            <w:tcW w:w="3117" w:type="dxa"/>
            <w:vAlign w:val="center"/>
          </w:tcPr>
          <w:p w14:paraId="0E0B7291" w14:textId="77777777" w:rsidR="00404D0D" w:rsidRDefault="00404D0D" w:rsidP="00404D0D">
            <w:pPr>
              <w:pStyle w:val="ListParagraph"/>
              <w:spacing w:line="276" w:lineRule="auto"/>
              <w:ind w:left="360"/>
            </w:pPr>
          </w:p>
        </w:tc>
      </w:tr>
      <w:tr w:rsidR="00404D0D" w:rsidRPr="005B2F83" w14:paraId="59ABCC8A" w14:textId="77777777" w:rsidTr="00914F12">
        <w:trPr>
          <w:trHeight w:val="20"/>
        </w:trPr>
        <w:tc>
          <w:tcPr>
            <w:tcW w:w="4225" w:type="dxa"/>
            <w:tcMar>
              <w:top w:w="72" w:type="dxa"/>
              <w:left w:w="115" w:type="dxa"/>
              <w:bottom w:w="72" w:type="dxa"/>
              <w:right w:w="115" w:type="dxa"/>
            </w:tcMar>
            <w:vAlign w:val="center"/>
          </w:tcPr>
          <w:p w14:paraId="1A1DACB5" w14:textId="034DF930"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3</w:t>
            </w:r>
          </w:p>
        </w:tc>
        <w:tc>
          <w:tcPr>
            <w:tcW w:w="2008" w:type="dxa"/>
            <w:vAlign w:val="center"/>
          </w:tcPr>
          <w:p w14:paraId="7F774FAD" w14:textId="77777777" w:rsidR="00404D0D" w:rsidRDefault="00404D0D" w:rsidP="00404D0D">
            <w:pPr>
              <w:pStyle w:val="ListParagraph"/>
              <w:spacing w:line="276" w:lineRule="auto"/>
              <w:ind w:left="360"/>
            </w:pPr>
          </w:p>
        </w:tc>
        <w:tc>
          <w:tcPr>
            <w:tcW w:w="3117" w:type="dxa"/>
            <w:vAlign w:val="center"/>
          </w:tcPr>
          <w:p w14:paraId="1F389B55" w14:textId="77777777" w:rsidR="00404D0D" w:rsidRDefault="00404D0D" w:rsidP="00404D0D">
            <w:pPr>
              <w:pStyle w:val="ListParagraph"/>
              <w:spacing w:line="276" w:lineRule="auto"/>
              <w:ind w:left="360"/>
            </w:pPr>
          </w:p>
        </w:tc>
      </w:tr>
      <w:tr w:rsidR="00404D0D" w:rsidRPr="005B2F83" w14:paraId="1EFD35F0" w14:textId="77777777" w:rsidTr="00914F12">
        <w:trPr>
          <w:trHeight w:val="144"/>
        </w:trPr>
        <w:tc>
          <w:tcPr>
            <w:tcW w:w="4225" w:type="dxa"/>
            <w:tcMar>
              <w:top w:w="72" w:type="dxa"/>
              <w:left w:w="115" w:type="dxa"/>
              <w:bottom w:w="72" w:type="dxa"/>
              <w:right w:w="115" w:type="dxa"/>
            </w:tcMar>
            <w:vAlign w:val="center"/>
          </w:tcPr>
          <w:p w14:paraId="2ED2C0F8" w14:textId="1D62EE1E"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4</w:t>
            </w:r>
          </w:p>
        </w:tc>
        <w:tc>
          <w:tcPr>
            <w:tcW w:w="2008" w:type="dxa"/>
            <w:vAlign w:val="center"/>
          </w:tcPr>
          <w:p w14:paraId="6641C714" w14:textId="77777777" w:rsidR="00404D0D" w:rsidRDefault="00404D0D" w:rsidP="00404D0D">
            <w:pPr>
              <w:pStyle w:val="ListParagraph"/>
              <w:spacing w:line="276" w:lineRule="auto"/>
              <w:ind w:left="360"/>
            </w:pPr>
          </w:p>
        </w:tc>
        <w:tc>
          <w:tcPr>
            <w:tcW w:w="3117" w:type="dxa"/>
            <w:vAlign w:val="center"/>
          </w:tcPr>
          <w:p w14:paraId="047F3411" w14:textId="77777777" w:rsidR="00404D0D" w:rsidRDefault="00404D0D" w:rsidP="00404D0D">
            <w:pPr>
              <w:pStyle w:val="ListParagraph"/>
              <w:spacing w:line="276" w:lineRule="auto"/>
              <w:ind w:left="360"/>
            </w:pPr>
          </w:p>
        </w:tc>
      </w:tr>
      <w:tr w:rsidR="00404D0D" w:rsidRPr="005B2F83" w14:paraId="0806C0F2" w14:textId="77777777" w:rsidTr="00914F12">
        <w:trPr>
          <w:trHeight w:val="20"/>
        </w:trPr>
        <w:tc>
          <w:tcPr>
            <w:tcW w:w="4225" w:type="dxa"/>
            <w:tcMar>
              <w:top w:w="72" w:type="dxa"/>
              <w:left w:w="115" w:type="dxa"/>
              <w:bottom w:w="72" w:type="dxa"/>
              <w:right w:w="115" w:type="dxa"/>
            </w:tcMar>
            <w:vAlign w:val="center"/>
          </w:tcPr>
          <w:p w14:paraId="730AEFC8" w14:textId="2584D1DD"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5</w:t>
            </w:r>
          </w:p>
        </w:tc>
        <w:tc>
          <w:tcPr>
            <w:tcW w:w="2008" w:type="dxa"/>
            <w:vAlign w:val="center"/>
          </w:tcPr>
          <w:p w14:paraId="059DC352" w14:textId="77777777" w:rsidR="00404D0D" w:rsidRDefault="00404D0D" w:rsidP="00404D0D">
            <w:pPr>
              <w:pStyle w:val="ListParagraph"/>
              <w:spacing w:line="276" w:lineRule="auto"/>
              <w:ind w:left="360"/>
            </w:pPr>
          </w:p>
        </w:tc>
        <w:tc>
          <w:tcPr>
            <w:tcW w:w="3117" w:type="dxa"/>
            <w:vAlign w:val="center"/>
          </w:tcPr>
          <w:p w14:paraId="105AD76A" w14:textId="77777777" w:rsidR="00404D0D" w:rsidRDefault="00404D0D" w:rsidP="00404D0D">
            <w:pPr>
              <w:pStyle w:val="ListParagraph"/>
              <w:spacing w:line="276" w:lineRule="auto"/>
              <w:ind w:left="360"/>
            </w:pPr>
          </w:p>
        </w:tc>
      </w:tr>
    </w:tbl>
    <w:p w14:paraId="42418D2B" w14:textId="77777777" w:rsidR="00267E40" w:rsidRDefault="00267E40">
      <w:pPr>
        <w:rPr>
          <w:b/>
          <w:i/>
          <w:szCs w:val="18"/>
        </w:rPr>
      </w:pPr>
      <w:bookmarkStart w:id="745" w:name="_Toc534296014"/>
    </w:p>
    <w:p w14:paraId="17FA1E9C" w14:textId="77777777" w:rsidR="00F83C07" w:rsidRDefault="00F83C07">
      <w:pPr>
        <w:rPr>
          <w:b/>
          <w:i/>
          <w:szCs w:val="18"/>
        </w:rPr>
      </w:pPr>
    </w:p>
    <w:p w14:paraId="31F1FB5B" w14:textId="77777777" w:rsidR="00F83C07" w:rsidRDefault="00F83C07">
      <w:pPr>
        <w:rPr>
          <w:b/>
          <w:i/>
          <w:szCs w:val="18"/>
        </w:rPr>
      </w:pPr>
    </w:p>
    <w:p w14:paraId="26D38B13" w14:textId="77777777" w:rsidR="00F83C07" w:rsidRDefault="00F83C07">
      <w:pPr>
        <w:rPr>
          <w:b/>
          <w:i/>
          <w:szCs w:val="18"/>
        </w:rPr>
      </w:pPr>
    </w:p>
    <w:p w14:paraId="63E21C88" w14:textId="77777777" w:rsidR="00F83C07" w:rsidRDefault="00F83C07">
      <w:pPr>
        <w:rPr>
          <w:b/>
          <w:i/>
          <w:szCs w:val="18"/>
        </w:rPr>
      </w:pPr>
    </w:p>
    <w:p w14:paraId="1758AEB8" w14:textId="77777777" w:rsidR="00F83C07" w:rsidRDefault="00F83C07">
      <w:pPr>
        <w:rPr>
          <w:b/>
          <w:i/>
          <w:szCs w:val="18"/>
        </w:rPr>
      </w:pPr>
    </w:p>
    <w:p w14:paraId="6CA632F1" w14:textId="77777777" w:rsidR="00F83C07" w:rsidRDefault="00F83C07">
      <w:pPr>
        <w:rPr>
          <w:b/>
          <w:i/>
          <w:szCs w:val="18"/>
        </w:rPr>
      </w:pPr>
    </w:p>
    <w:p w14:paraId="6423F5F6" w14:textId="77777777" w:rsidR="00F83C07" w:rsidRDefault="00F83C07">
      <w:pPr>
        <w:rPr>
          <w:b/>
          <w:i/>
          <w:szCs w:val="18"/>
        </w:rPr>
      </w:pPr>
    </w:p>
    <w:p w14:paraId="45084B0B" w14:textId="77777777" w:rsidR="00F83C07" w:rsidRDefault="00F83C07">
      <w:pPr>
        <w:rPr>
          <w:b/>
          <w:i/>
          <w:szCs w:val="18"/>
        </w:rPr>
      </w:pPr>
    </w:p>
    <w:p w14:paraId="303006B8" w14:textId="77777777" w:rsidR="00F83C07" w:rsidRDefault="00F83C07">
      <w:pPr>
        <w:rPr>
          <w:b/>
          <w:i/>
          <w:szCs w:val="18"/>
        </w:rPr>
      </w:pPr>
    </w:p>
    <w:p w14:paraId="4ACAEE1C" w14:textId="77777777" w:rsidR="00F83C07" w:rsidRDefault="00F83C07">
      <w:pPr>
        <w:rPr>
          <w:b/>
          <w:i/>
          <w:szCs w:val="18"/>
        </w:rPr>
      </w:pPr>
    </w:p>
    <w:p w14:paraId="0ACFD7E7" w14:textId="77777777" w:rsidR="00F83C07" w:rsidRPr="00914F12" w:rsidRDefault="00F83C07">
      <w:pPr>
        <w:rPr>
          <w:b/>
          <w:i/>
          <w:szCs w:val="18"/>
        </w:rPr>
      </w:pPr>
    </w:p>
    <w:p w14:paraId="4C59A972" w14:textId="205B6F9D" w:rsidR="006E467C" w:rsidRPr="00841998" w:rsidRDefault="006E467C" w:rsidP="00AB5B80">
      <w:pPr>
        <w:pStyle w:val="Heading3"/>
        <w:rPr>
          <w:sz w:val="20"/>
          <w:szCs w:val="20"/>
        </w:rPr>
      </w:pPr>
      <w:bookmarkStart w:id="746" w:name="_Toc225877844"/>
      <w:r w:rsidRPr="006E467C">
        <w:lastRenderedPageBreak/>
        <w:t>Obstetrics and Gynecology</w:t>
      </w:r>
      <w:bookmarkEnd w:id="745"/>
      <w:bookmarkEnd w:id="746"/>
      <w:r w:rsidR="00A212A4">
        <w:br/>
      </w:r>
    </w:p>
    <w:tbl>
      <w:tblPr>
        <w:tblStyle w:val="TableGrid18"/>
        <w:tblW w:w="0" w:type="auto"/>
        <w:tblLook w:val="04A0" w:firstRow="1" w:lastRow="0" w:firstColumn="1" w:lastColumn="0" w:noHBand="0" w:noVBand="1"/>
      </w:tblPr>
      <w:tblGrid>
        <w:gridCol w:w="5015"/>
        <w:gridCol w:w="4335"/>
      </w:tblGrid>
      <w:tr w:rsidR="00073B66" w:rsidRPr="00073B66" w14:paraId="4947D383" w14:textId="77777777" w:rsidTr="00914F12">
        <w:trPr>
          <w:trHeight w:val="20"/>
        </w:trPr>
        <w:tc>
          <w:tcPr>
            <w:tcW w:w="9350" w:type="dxa"/>
            <w:gridSpan w:val="2"/>
            <w:tcMar>
              <w:top w:w="72" w:type="dxa"/>
              <w:left w:w="115" w:type="dxa"/>
              <w:bottom w:w="72" w:type="dxa"/>
              <w:right w:w="115" w:type="dxa"/>
            </w:tcMar>
            <w:vAlign w:val="center"/>
          </w:tcPr>
          <w:p w14:paraId="144CC4D2" w14:textId="37FCA208" w:rsidR="00073B66" w:rsidRPr="00073B66" w:rsidRDefault="00073B66" w:rsidP="00AD309C">
            <w:pPr>
              <w:numPr>
                <w:ilvl w:val="0"/>
                <w:numId w:val="91"/>
              </w:numPr>
              <w:spacing w:line="276" w:lineRule="auto"/>
              <w:rPr>
                <w:rFonts w:eastAsia="Yu Gothic Light"/>
              </w:rPr>
            </w:pPr>
            <w:r w:rsidRPr="00073B66">
              <w:rPr>
                <w:rFonts w:eastAsia="Yu Gothic Light"/>
              </w:rPr>
              <w:t xml:space="preserve">Total adult volume for each of the following applicable procedures performed at your </w:t>
            </w:r>
            <w:r w:rsidR="00EA09D7">
              <w:rPr>
                <w:rFonts w:eastAsia="Yu Gothic Light"/>
              </w:rPr>
              <w:t>hospital outpatient department(s)</w:t>
            </w:r>
            <w:r w:rsidR="00EA09D7" w:rsidRPr="00073B66">
              <w:rPr>
                <w:rFonts w:eastAsia="Yu Gothic Light"/>
              </w:rPr>
              <w:t xml:space="preserve"> </w:t>
            </w:r>
            <w:r w:rsidRPr="00073B66">
              <w:rPr>
                <w:rFonts w:eastAsia="Yu Gothic Light"/>
              </w:rPr>
              <w:t>during the reporting period.</w:t>
            </w:r>
          </w:p>
          <w:p w14:paraId="60275E90" w14:textId="77777777" w:rsidR="00073B66" w:rsidRPr="00073B66" w:rsidRDefault="00073B66" w:rsidP="00073B66">
            <w:pPr>
              <w:spacing w:line="276" w:lineRule="auto"/>
              <w:rPr>
                <w:rFonts w:eastAsia="Yu Gothic Light"/>
              </w:rPr>
            </w:pPr>
          </w:p>
          <w:p w14:paraId="6163B5F1" w14:textId="081F9F08" w:rsidR="00073B66" w:rsidRPr="00073B66" w:rsidRDefault="00073B66" w:rsidP="00073B66">
            <w:pPr>
              <w:ind w:left="360"/>
            </w:pPr>
            <w:r w:rsidRPr="00073B66">
              <w:rPr>
                <w:i/>
              </w:rPr>
              <w:t xml:space="preserve">You cannot leave any blank. If you did not perform one or more of the procedures listed below enter 0 (zero). If you had zero volume for </w:t>
            </w:r>
            <w:r w:rsidRPr="00073B66">
              <w:rPr>
                <w:b/>
                <w:i/>
                <w:u w:val="single"/>
              </w:rPr>
              <w:t>all</w:t>
            </w:r>
            <w:r w:rsidRPr="00073B66">
              <w:rPr>
                <w:i/>
              </w:rPr>
              <w:t xml:space="preserve"> procedures, go back to question #</w:t>
            </w:r>
            <w:r w:rsidR="006308BB">
              <w:rPr>
                <w:i/>
              </w:rPr>
              <w:t>9</w:t>
            </w:r>
            <w:r w:rsidRPr="00073B66">
              <w:rPr>
                <w:i/>
              </w:rPr>
              <w:t xml:space="preserve"> and update your response from “yes” to “no.”</w:t>
            </w:r>
          </w:p>
        </w:tc>
      </w:tr>
      <w:tr w:rsidR="001A4A1F" w:rsidRPr="00073B66" w14:paraId="4D029FEA" w14:textId="77777777" w:rsidTr="00EC4DCE">
        <w:trPr>
          <w:trHeight w:val="20"/>
        </w:trPr>
        <w:tc>
          <w:tcPr>
            <w:tcW w:w="5015" w:type="dxa"/>
            <w:tcMar>
              <w:top w:w="72" w:type="dxa"/>
              <w:left w:w="115" w:type="dxa"/>
              <w:bottom w:w="72" w:type="dxa"/>
              <w:right w:w="115" w:type="dxa"/>
            </w:tcMar>
            <w:vAlign w:val="center"/>
          </w:tcPr>
          <w:p w14:paraId="638A372F" w14:textId="77777777" w:rsidR="001A4A1F" w:rsidRPr="00073B66" w:rsidRDefault="001A4A1F" w:rsidP="00073B66">
            <w:pPr>
              <w:spacing w:line="276" w:lineRule="auto"/>
              <w:rPr>
                <w:rFonts w:eastAsia="Yu Gothic Light"/>
              </w:rPr>
            </w:pPr>
          </w:p>
        </w:tc>
        <w:tc>
          <w:tcPr>
            <w:tcW w:w="4335" w:type="dxa"/>
            <w:tcMar>
              <w:top w:w="72" w:type="dxa"/>
              <w:left w:w="115" w:type="dxa"/>
              <w:bottom w:w="72" w:type="dxa"/>
              <w:right w:w="115" w:type="dxa"/>
            </w:tcMar>
            <w:vAlign w:val="center"/>
          </w:tcPr>
          <w:p w14:paraId="20F75EF5" w14:textId="28B86FF4" w:rsidR="001A4A1F" w:rsidRPr="00073B66" w:rsidRDefault="001A4A1F" w:rsidP="004F63C1">
            <w:pPr>
              <w:jc w:val="center"/>
              <w:rPr>
                <w:i/>
              </w:rPr>
            </w:pPr>
            <w:r w:rsidRPr="00073B66">
              <w:rPr>
                <w:i/>
              </w:rPr>
              <w:t>Adult Volume</w:t>
            </w:r>
          </w:p>
        </w:tc>
      </w:tr>
      <w:tr w:rsidR="001A4A1F" w:rsidRPr="00073B66" w14:paraId="31DDEE00" w14:textId="77777777" w:rsidTr="00EC4DCE">
        <w:trPr>
          <w:trHeight w:val="20"/>
        </w:trPr>
        <w:tc>
          <w:tcPr>
            <w:tcW w:w="5015" w:type="dxa"/>
            <w:tcMar>
              <w:top w:w="72" w:type="dxa"/>
              <w:left w:w="115" w:type="dxa"/>
              <w:bottom w:w="72" w:type="dxa"/>
              <w:right w:w="115" w:type="dxa"/>
            </w:tcMar>
            <w:vAlign w:val="center"/>
          </w:tcPr>
          <w:p w14:paraId="78BDB5B6" w14:textId="77777777" w:rsidR="001A4A1F" w:rsidRPr="00073B66" w:rsidRDefault="001A4A1F" w:rsidP="00073B66">
            <w:pPr>
              <w:spacing w:line="276" w:lineRule="auto"/>
              <w:rPr>
                <w:rFonts w:eastAsia="Yu Gothic Light"/>
                <w:b/>
              </w:rPr>
            </w:pPr>
            <w:r w:rsidRPr="00073B66">
              <w:rPr>
                <w:rFonts w:eastAsia="Yu Gothic Light"/>
                <w:b/>
              </w:rPr>
              <w:t xml:space="preserve">Cervix procedures </w:t>
            </w:r>
          </w:p>
        </w:tc>
        <w:tc>
          <w:tcPr>
            <w:tcW w:w="4335" w:type="dxa"/>
            <w:tcMar>
              <w:top w:w="72" w:type="dxa"/>
              <w:left w:w="115" w:type="dxa"/>
              <w:bottom w:w="72" w:type="dxa"/>
              <w:right w:w="115" w:type="dxa"/>
            </w:tcMar>
            <w:vAlign w:val="center"/>
          </w:tcPr>
          <w:p w14:paraId="58E3AFD9" w14:textId="083764FA" w:rsidR="001A4A1F" w:rsidRPr="00073B66" w:rsidRDefault="001A4A1F" w:rsidP="004F63C1">
            <w:pPr>
              <w:jc w:val="center"/>
            </w:pPr>
            <w:r w:rsidRPr="00073B66">
              <w:t>_____</w:t>
            </w:r>
          </w:p>
        </w:tc>
      </w:tr>
      <w:tr w:rsidR="001A4A1F" w:rsidRPr="00073B66" w14:paraId="0979970B" w14:textId="77777777" w:rsidTr="00EC4DCE">
        <w:trPr>
          <w:trHeight w:val="20"/>
        </w:trPr>
        <w:tc>
          <w:tcPr>
            <w:tcW w:w="5015" w:type="dxa"/>
            <w:tcMar>
              <w:top w:w="72" w:type="dxa"/>
              <w:left w:w="115" w:type="dxa"/>
              <w:bottom w:w="72" w:type="dxa"/>
              <w:right w:w="115" w:type="dxa"/>
            </w:tcMar>
            <w:vAlign w:val="center"/>
          </w:tcPr>
          <w:p w14:paraId="2A004B7F" w14:textId="77777777" w:rsidR="001A4A1F" w:rsidRPr="00073B66" w:rsidRDefault="001A4A1F" w:rsidP="00073B66">
            <w:pPr>
              <w:spacing w:line="276" w:lineRule="auto"/>
              <w:rPr>
                <w:rFonts w:eastAsia="Yu Gothic Light"/>
                <w:b/>
              </w:rPr>
            </w:pPr>
            <w:r w:rsidRPr="00073B66">
              <w:rPr>
                <w:rFonts w:eastAsia="Yu Gothic Light"/>
                <w:b/>
              </w:rPr>
              <w:t>Hysteroscopies</w:t>
            </w:r>
          </w:p>
        </w:tc>
        <w:tc>
          <w:tcPr>
            <w:tcW w:w="4335" w:type="dxa"/>
            <w:tcMar>
              <w:top w:w="72" w:type="dxa"/>
              <w:left w:w="115" w:type="dxa"/>
              <w:bottom w:w="72" w:type="dxa"/>
              <w:right w:w="115" w:type="dxa"/>
            </w:tcMar>
            <w:vAlign w:val="center"/>
          </w:tcPr>
          <w:p w14:paraId="5379FA06" w14:textId="739A07B3" w:rsidR="001A4A1F" w:rsidRPr="00073B66" w:rsidRDefault="001A4A1F" w:rsidP="004F63C1">
            <w:pPr>
              <w:jc w:val="center"/>
            </w:pPr>
            <w:r w:rsidRPr="00073B66">
              <w:t>_____</w:t>
            </w:r>
          </w:p>
        </w:tc>
      </w:tr>
      <w:tr w:rsidR="001A4A1F" w:rsidRPr="00073B66" w14:paraId="3D8CE594" w14:textId="77777777" w:rsidTr="00EC4DCE">
        <w:trPr>
          <w:trHeight w:val="20"/>
        </w:trPr>
        <w:tc>
          <w:tcPr>
            <w:tcW w:w="5015" w:type="dxa"/>
            <w:tcMar>
              <w:top w:w="72" w:type="dxa"/>
              <w:left w:w="115" w:type="dxa"/>
              <w:bottom w:w="72" w:type="dxa"/>
              <w:right w:w="115" w:type="dxa"/>
            </w:tcMar>
            <w:vAlign w:val="center"/>
          </w:tcPr>
          <w:p w14:paraId="18A432D3" w14:textId="77777777" w:rsidR="001A4A1F" w:rsidRPr="00073B66" w:rsidRDefault="001A4A1F" w:rsidP="00073B66">
            <w:pPr>
              <w:spacing w:line="276" w:lineRule="auto"/>
              <w:rPr>
                <w:rFonts w:eastAsia="Yu Gothic Light"/>
                <w:b/>
              </w:rPr>
            </w:pPr>
            <w:r w:rsidRPr="00073B66">
              <w:rPr>
                <w:rFonts w:eastAsia="Yu Gothic Light"/>
                <w:b/>
              </w:rPr>
              <w:t>Uterus and adnexa laparoscopies</w:t>
            </w:r>
          </w:p>
        </w:tc>
        <w:tc>
          <w:tcPr>
            <w:tcW w:w="4335" w:type="dxa"/>
            <w:tcMar>
              <w:top w:w="72" w:type="dxa"/>
              <w:left w:w="115" w:type="dxa"/>
              <w:bottom w:w="72" w:type="dxa"/>
              <w:right w:w="115" w:type="dxa"/>
            </w:tcMar>
            <w:vAlign w:val="center"/>
          </w:tcPr>
          <w:p w14:paraId="72B8FB48" w14:textId="4F1B687B" w:rsidR="001A4A1F" w:rsidRPr="00073B66" w:rsidRDefault="001A4A1F" w:rsidP="004F63C1">
            <w:pPr>
              <w:jc w:val="center"/>
            </w:pPr>
            <w:r w:rsidRPr="00073B66">
              <w:t>_____</w:t>
            </w:r>
          </w:p>
        </w:tc>
      </w:tr>
    </w:tbl>
    <w:p w14:paraId="6150324F" w14:textId="77777777" w:rsidR="00AD5994" w:rsidRDefault="00AD5994" w:rsidP="00753419"/>
    <w:tbl>
      <w:tblPr>
        <w:tblStyle w:val="TableGrid"/>
        <w:tblW w:w="0" w:type="auto"/>
        <w:tblLayout w:type="fixed"/>
        <w:tblCellMar>
          <w:left w:w="115" w:type="dxa"/>
          <w:right w:w="115" w:type="dxa"/>
        </w:tblCellMar>
        <w:tblLook w:val="04A0" w:firstRow="1" w:lastRow="0" w:firstColumn="1" w:lastColumn="0" w:noHBand="0" w:noVBand="1"/>
      </w:tblPr>
      <w:tblGrid>
        <w:gridCol w:w="6205"/>
        <w:gridCol w:w="3145"/>
      </w:tblGrid>
      <w:tr w:rsidR="002503A7" w:rsidRPr="005B2F83" w14:paraId="45AB9EC2" w14:textId="77777777" w:rsidTr="00914F12">
        <w:trPr>
          <w:trHeight w:val="288"/>
        </w:trPr>
        <w:tc>
          <w:tcPr>
            <w:tcW w:w="6205" w:type="dxa"/>
            <w:tcMar>
              <w:top w:w="72" w:type="dxa"/>
              <w:left w:w="115" w:type="dxa"/>
              <w:bottom w:w="72" w:type="dxa"/>
              <w:right w:w="115" w:type="dxa"/>
            </w:tcMar>
            <w:vAlign w:val="center"/>
          </w:tcPr>
          <w:p w14:paraId="5CA6EED8" w14:textId="77777777" w:rsidR="002503A7" w:rsidRDefault="002503A7" w:rsidP="00AD309C">
            <w:pPr>
              <w:pStyle w:val="ListParagraph"/>
              <w:numPr>
                <w:ilvl w:val="0"/>
                <w:numId w:val="91"/>
              </w:numPr>
            </w:pPr>
            <w:r>
              <w:t xml:space="preserve">Where were these </w:t>
            </w:r>
            <w:r w:rsidRPr="002503A7">
              <w:rPr>
                <w:b/>
              </w:rPr>
              <w:t>obstetrics and gynecology</w:t>
            </w:r>
            <w:r w:rsidRPr="005D2045">
              <w:rPr>
                <w:b/>
              </w:rPr>
              <w:t xml:space="preserve"> </w:t>
            </w:r>
            <w:r>
              <w:t>procedures performed?</w:t>
            </w:r>
          </w:p>
          <w:p w14:paraId="0B25AEC3" w14:textId="77777777" w:rsidR="002503A7" w:rsidRDefault="002503A7" w:rsidP="00CA75AB">
            <w:pPr>
              <w:pStyle w:val="ListParagraph"/>
              <w:ind w:left="360"/>
            </w:pPr>
          </w:p>
          <w:p w14:paraId="3FAE1D98" w14:textId="77777777" w:rsidR="002503A7" w:rsidRPr="00131F2C" w:rsidRDefault="002503A7" w:rsidP="00CA75AB">
            <w:pPr>
              <w:pStyle w:val="ListParagraph"/>
              <w:ind w:left="360"/>
              <w:rPr>
                <w:i/>
              </w:rPr>
            </w:pPr>
            <w:r>
              <w:rPr>
                <w:i/>
              </w:rPr>
              <w:t>Select all that apply.</w:t>
            </w:r>
          </w:p>
          <w:p w14:paraId="15B23740" w14:textId="77777777" w:rsidR="002503A7" w:rsidRPr="005D2045" w:rsidRDefault="002503A7" w:rsidP="00CA75AB">
            <w:pPr>
              <w:pStyle w:val="ListParagraph"/>
              <w:ind w:left="360"/>
            </w:pPr>
          </w:p>
          <w:p w14:paraId="70FE3C5B" w14:textId="16C9D480" w:rsidR="002503A7" w:rsidRPr="005D2045" w:rsidRDefault="00EF5178" w:rsidP="00CA75AB">
            <w:pPr>
              <w:pStyle w:val="ListParagraph"/>
              <w:ind w:left="360"/>
            </w:pPr>
            <w:r w:rsidRPr="008059BD">
              <w:rPr>
                <w:i/>
              </w:rPr>
              <w:t>If only “hospital” is selected,</w:t>
            </w:r>
            <w:r>
              <w:rPr>
                <w:i/>
              </w:rPr>
              <w:t xml:space="preserve"> </w:t>
            </w:r>
            <w:r w:rsidR="002503A7" w:rsidRPr="00B674A0">
              <w:rPr>
                <w:i/>
              </w:rPr>
              <w:t xml:space="preserve">skip </w:t>
            </w:r>
            <w:r w:rsidR="002503A7">
              <w:rPr>
                <w:i/>
              </w:rPr>
              <w:t>question #</w:t>
            </w:r>
            <w:r w:rsidR="00AA4267">
              <w:rPr>
                <w:i/>
              </w:rPr>
              <w:t>3</w:t>
            </w:r>
            <w:r w:rsidR="006308BB">
              <w:rPr>
                <w:i/>
              </w:rPr>
              <w:t>4</w:t>
            </w:r>
            <w:r w:rsidR="002503A7">
              <w:rPr>
                <w:i/>
              </w:rPr>
              <w:t xml:space="preserve"> and continue to question #</w:t>
            </w:r>
            <w:r w:rsidR="00AA4267">
              <w:rPr>
                <w:i/>
              </w:rPr>
              <w:t>3</w:t>
            </w:r>
            <w:r w:rsidR="006308BB">
              <w:rPr>
                <w:i/>
              </w:rPr>
              <w:t>5</w:t>
            </w:r>
            <w:r w:rsidR="002503A7">
              <w:rPr>
                <w:i/>
              </w:rPr>
              <w:t>.</w:t>
            </w:r>
          </w:p>
        </w:tc>
        <w:tc>
          <w:tcPr>
            <w:tcW w:w="3145" w:type="dxa"/>
            <w:vAlign w:val="center"/>
          </w:tcPr>
          <w:p w14:paraId="645E7268" w14:textId="77777777" w:rsidR="002503A7" w:rsidRPr="00753419" w:rsidRDefault="002503A7" w:rsidP="00AD309C">
            <w:pPr>
              <w:pStyle w:val="ListParagraph"/>
              <w:numPr>
                <w:ilvl w:val="0"/>
                <w:numId w:val="94"/>
              </w:numPr>
              <w:spacing w:line="276" w:lineRule="auto"/>
              <w:rPr>
                <w:iCs/>
              </w:rPr>
            </w:pPr>
            <w:r w:rsidRPr="00753419">
              <w:rPr>
                <w:iCs/>
              </w:rPr>
              <w:t>Hospital</w:t>
            </w:r>
          </w:p>
          <w:p w14:paraId="1657E9A8" w14:textId="618C3B53" w:rsidR="002503A7" w:rsidRPr="00551F82" w:rsidRDefault="005C60B1" w:rsidP="00AD309C">
            <w:pPr>
              <w:pStyle w:val="ListParagraph"/>
              <w:numPr>
                <w:ilvl w:val="0"/>
                <w:numId w:val="94"/>
              </w:numPr>
              <w:spacing w:line="276" w:lineRule="auto"/>
              <w:rPr>
                <w:i/>
              </w:rPr>
            </w:pPr>
            <w:r w:rsidRPr="00753419">
              <w:rPr>
                <w:iCs/>
              </w:rPr>
              <w:t>Surgery center or free-standing</w:t>
            </w:r>
            <w:r w:rsidR="00EA09D7" w:rsidRPr="00753419">
              <w:rPr>
                <w:iCs/>
              </w:rPr>
              <w:t xml:space="preserve"> hospital outpatient department</w:t>
            </w:r>
          </w:p>
        </w:tc>
      </w:tr>
    </w:tbl>
    <w:p w14:paraId="63F65250" w14:textId="77777777" w:rsidR="002503A7" w:rsidRDefault="002503A7" w:rsidP="002503A7"/>
    <w:tbl>
      <w:tblPr>
        <w:tblStyle w:val="TableGrid"/>
        <w:tblW w:w="0" w:type="auto"/>
        <w:tblLayout w:type="fixed"/>
        <w:tblCellMar>
          <w:left w:w="115" w:type="dxa"/>
          <w:right w:w="115" w:type="dxa"/>
        </w:tblCellMar>
        <w:tblLook w:val="04A0" w:firstRow="1" w:lastRow="0" w:firstColumn="1" w:lastColumn="0" w:noHBand="0" w:noVBand="1"/>
      </w:tblPr>
      <w:tblGrid>
        <w:gridCol w:w="4225"/>
        <w:gridCol w:w="2008"/>
        <w:gridCol w:w="3117"/>
      </w:tblGrid>
      <w:tr w:rsidR="002503A7" w:rsidRPr="005B2F83" w14:paraId="2C6FFB79" w14:textId="77777777" w:rsidTr="00914F12">
        <w:trPr>
          <w:trHeight w:val="20"/>
        </w:trPr>
        <w:tc>
          <w:tcPr>
            <w:tcW w:w="9350" w:type="dxa"/>
            <w:gridSpan w:val="3"/>
            <w:tcMar>
              <w:top w:w="72" w:type="dxa"/>
              <w:left w:w="115" w:type="dxa"/>
              <w:bottom w:w="72" w:type="dxa"/>
              <w:right w:w="115" w:type="dxa"/>
            </w:tcMar>
            <w:vAlign w:val="center"/>
          </w:tcPr>
          <w:p w14:paraId="7BC0BF18" w14:textId="10295B01" w:rsidR="002503A7" w:rsidRDefault="002503A7" w:rsidP="00AD309C">
            <w:pPr>
              <w:pStyle w:val="ListParagraph"/>
              <w:numPr>
                <w:ilvl w:val="0"/>
                <w:numId w:val="91"/>
              </w:numPr>
              <w:spacing w:line="276" w:lineRule="auto"/>
              <w:rPr>
                <w:i/>
              </w:rPr>
            </w:pPr>
            <w:r>
              <w:t xml:space="preserve">Please provide the name and city location of each surgery center </w:t>
            </w:r>
            <w:r w:rsidR="003E46F9">
              <w:t xml:space="preserve">or free-standing hospital outpatient department </w:t>
            </w:r>
            <w:r>
              <w:t xml:space="preserve">performing </w:t>
            </w:r>
            <w:r w:rsidRPr="002503A7">
              <w:rPr>
                <w:b/>
              </w:rPr>
              <w:t>obstetrics and gynecology</w:t>
            </w:r>
            <w:r>
              <w:rPr>
                <w:b/>
              </w:rPr>
              <w:t xml:space="preserve"> </w:t>
            </w:r>
            <w:r>
              <w:t>procedures:</w:t>
            </w:r>
          </w:p>
        </w:tc>
      </w:tr>
      <w:tr w:rsidR="00404D0D" w:rsidRPr="00D07D70" w14:paraId="6524325B" w14:textId="77777777" w:rsidTr="00914F12">
        <w:trPr>
          <w:trHeight w:val="20"/>
        </w:trPr>
        <w:tc>
          <w:tcPr>
            <w:tcW w:w="4225" w:type="dxa"/>
            <w:tcMar>
              <w:top w:w="72" w:type="dxa"/>
              <w:left w:w="115" w:type="dxa"/>
              <w:bottom w:w="72" w:type="dxa"/>
              <w:right w:w="115" w:type="dxa"/>
            </w:tcMar>
            <w:vAlign w:val="center"/>
          </w:tcPr>
          <w:p w14:paraId="5F0F1F41" w14:textId="77777777" w:rsidR="00404D0D" w:rsidRDefault="00404D0D" w:rsidP="00CA75AB">
            <w:pPr>
              <w:pStyle w:val="ListParagraph"/>
              <w:spacing w:line="276" w:lineRule="auto"/>
              <w:ind w:left="360"/>
            </w:pPr>
          </w:p>
        </w:tc>
        <w:tc>
          <w:tcPr>
            <w:tcW w:w="2008" w:type="dxa"/>
            <w:vAlign w:val="center"/>
          </w:tcPr>
          <w:p w14:paraId="622EF9B2" w14:textId="27700436" w:rsidR="00404D0D" w:rsidRPr="005C60B1" w:rsidRDefault="00404D0D" w:rsidP="004F63C1">
            <w:pPr>
              <w:spacing w:line="276" w:lineRule="auto"/>
              <w:jc w:val="center"/>
              <w:rPr>
                <w:i/>
              </w:rPr>
            </w:pPr>
            <w:r w:rsidRPr="005C60B1">
              <w:rPr>
                <w:i/>
              </w:rPr>
              <w:t>Name</w:t>
            </w:r>
          </w:p>
        </w:tc>
        <w:tc>
          <w:tcPr>
            <w:tcW w:w="3117" w:type="dxa"/>
            <w:vAlign w:val="center"/>
          </w:tcPr>
          <w:p w14:paraId="3F2E0FE2" w14:textId="66880F9C" w:rsidR="00404D0D" w:rsidRPr="005C60B1" w:rsidRDefault="00404D0D" w:rsidP="004F63C1">
            <w:pPr>
              <w:spacing w:line="276" w:lineRule="auto"/>
              <w:jc w:val="center"/>
              <w:rPr>
                <w:i/>
              </w:rPr>
            </w:pPr>
            <w:r w:rsidRPr="005C60B1">
              <w:rPr>
                <w:i/>
              </w:rPr>
              <w:t>City</w:t>
            </w:r>
          </w:p>
        </w:tc>
      </w:tr>
      <w:tr w:rsidR="00404D0D" w14:paraId="3EF59DFC" w14:textId="77777777" w:rsidTr="00914F12">
        <w:trPr>
          <w:trHeight w:val="476"/>
        </w:trPr>
        <w:tc>
          <w:tcPr>
            <w:tcW w:w="4225" w:type="dxa"/>
            <w:tcMar>
              <w:top w:w="72" w:type="dxa"/>
              <w:left w:w="115" w:type="dxa"/>
              <w:bottom w:w="72" w:type="dxa"/>
              <w:right w:w="115" w:type="dxa"/>
            </w:tcMar>
            <w:vAlign w:val="center"/>
          </w:tcPr>
          <w:p w14:paraId="38ACC46C" w14:textId="554AE915"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1</w:t>
            </w:r>
          </w:p>
        </w:tc>
        <w:tc>
          <w:tcPr>
            <w:tcW w:w="2008" w:type="dxa"/>
            <w:vAlign w:val="center"/>
          </w:tcPr>
          <w:p w14:paraId="56F82445" w14:textId="77777777" w:rsidR="00404D0D" w:rsidRDefault="00404D0D" w:rsidP="00CA75AB">
            <w:pPr>
              <w:pStyle w:val="ListParagraph"/>
              <w:spacing w:line="276" w:lineRule="auto"/>
              <w:ind w:left="360"/>
            </w:pPr>
          </w:p>
        </w:tc>
        <w:tc>
          <w:tcPr>
            <w:tcW w:w="3117" w:type="dxa"/>
            <w:vAlign w:val="center"/>
          </w:tcPr>
          <w:p w14:paraId="08945E62" w14:textId="77777777" w:rsidR="00404D0D" w:rsidRDefault="00404D0D" w:rsidP="00CA75AB">
            <w:pPr>
              <w:pStyle w:val="ListParagraph"/>
              <w:spacing w:line="276" w:lineRule="auto"/>
              <w:ind w:left="360"/>
            </w:pPr>
          </w:p>
        </w:tc>
      </w:tr>
      <w:tr w:rsidR="00404D0D" w14:paraId="16BAFBFB" w14:textId="77777777" w:rsidTr="00914F12">
        <w:trPr>
          <w:trHeight w:val="476"/>
        </w:trPr>
        <w:tc>
          <w:tcPr>
            <w:tcW w:w="4225" w:type="dxa"/>
            <w:tcMar>
              <w:top w:w="72" w:type="dxa"/>
              <w:left w:w="115" w:type="dxa"/>
              <w:bottom w:w="72" w:type="dxa"/>
              <w:right w:w="115" w:type="dxa"/>
            </w:tcMar>
            <w:vAlign w:val="center"/>
          </w:tcPr>
          <w:p w14:paraId="6FBA91DA" w14:textId="095A86FA"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2</w:t>
            </w:r>
          </w:p>
        </w:tc>
        <w:tc>
          <w:tcPr>
            <w:tcW w:w="2008" w:type="dxa"/>
            <w:vAlign w:val="center"/>
          </w:tcPr>
          <w:p w14:paraId="637A5912" w14:textId="77777777" w:rsidR="00404D0D" w:rsidRDefault="00404D0D" w:rsidP="00CA75AB">
            <w:pPr>
              <w:pStyle w:val="ListParagraph"/>
              <w:spacing w:line="276" w:lineRule="auto"/>
              <w:ind w:left="360"/>
            </w:pPr>
          </w:p>
        </w:tc>
        <w:tc>
          <w:tcPr>
            <w:tcW w:w="3117" w:type="dxa"/>
            <w:vAlign w:val="center"/>
          </w:tcPr>
          <w:p w14:paraId="67B7F18F" w14:textId="77777777" w:rsidR="00404D0D" w:rsidRDefault="00404D0D" w:rsidP="00CA75AB">
            <w:pPr>
              <w:pStyle w:val="ListParagraph"/>
              <w:spacing w:line="276" w:lineRule="auto"/>
              <w:ind w:left="360"/>
            </w:pPr>
          </w:p>
        </w:tc>
      </w:tr>
      <w:tr w:rsidR="00404D0D" w14:paraId="53514B99" w14:textId="77777777" w:rsidTr="00914F12">
        <w:trPr>
          <w:trHeight w:val="476"/>
        </w:trPr>
        <w:tc>
          <w:tcPr>
            <w:tcW w:w="4225" w:type="dxa"/>
            <w:tcMar>
              <w:top w:w="72" w:type="dxa"/>
              <w:left w:w="115" w:type="dxa"/>
              <w:bottom w:w="72" w:type="dxa"/>
              <w:right w:w="115" w:type="dxa"/>
            </w:tcMar>
            <w:vAlign w:val="center"/>
          </w:tcPr>
          <w:p w14:paraId="1E61776B" w14:textId="4F96F990"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3</w:t>
            </w:r>
          </w:p>
        </w:tc>
        <w:tc>
          <w:tcPr>
            <w:tcW w:w="2008" w:type="dxa"/>
            <w:vAlign w:val="center"/>
          </w:tcPr>
          <w:p w14:paraId="1C2F164B" w14:textId="77777777" w:rsidR="00404D0D" w:rsidRDefault="00404D0D" w:rsidP="00CA75AB">
            <w:pPr>
              <w:pStyle w:val="ListParagraph"/>
              <w:spacing w:line="276" w:lineRule="auto"/>
              <w:ind w:left="360"/>
            </w:pPr>
          </w:p>
        </w:tc>
        <w:tc>
          <w:tcPr>
            <w:tcW w:w="3117" w:type="dxa"/>
            <w:vAlign w:val="center"/>
          </w:tcPr>
          <w:p w14:paraId="55770D97" w14:textId="77777777" w:rsidR="00404D0D" w:rsidRDefault="00404D0D" w:rsidP="00CA75AB">
            <w:pPr>
              <w:pStyle w:val="ListParagraph"/>
              <w:spacing w:line="276" w:lineRule="auto"/>
              <w:ind w:left="360"/>
            </w:pPr>
          </w:p>
        </w:tc>
      </w:tr>
      <w:tr w:rsidR="00404D0D" w14:paraId="13187FBB" w14:textId="77777777" w:rsidTr="00914F12">
        <w:trPr>
          <w:trHeight w:val="476"/>
        </w:trPr>
        <w:tc>
          <w:tcPr>
            <w:tcW w:w="4225" w:type="dxa"/>
            <w:tcMar>
              <w:top w:w="72" w:type="dxa"/>
              <w:left w:w="115" w:type="dxa"/>
              <w:bottom w:w="72" w:type="dxa"/>
              <w:right w:w="115" w:type="dxa"/>
            </w:tcMar>
            <w:vAlign w:val="center"/>
          </w:tcPr>
          <w:p w14:paraId="70CDFC14" w14:textId="015EEE99"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4</w:t>
            </w:r>
          </w:p>
        </w:tc>
        <w:tc>
          <w:tcPr>
            <w:tcW w:w="2008" w:type="dxa"/>
            <w:vAlign w:val="center"/>
          </w:tcPr>
          <w:p w14:paraId="294C80C1" w14:textId="77777777" w:rsidR="00404D0D" w:rsidRDefault="00404D0D" w:rsidP="00CA75AB">
            <w:pPr>
              <w:pStyle w:val="ListParagraph"/>
              <w:spacing w:line="276" w:lineRule="auto"/>
              <w:ind w:left="360"/>
            </w:pPr>
          </w:p>
        </w:tc>
        <w:tc>
          <w:tcPr>
            <w:tcW w:w="3117" w:type="dxa"/>
            <w:vAlign w:val="center"/>
          </w:tcPr>
          <w:p w14:paraId="76F43EC2" w14:textId="77777777" w:rsidR="00404D0D" w:rsidRDefault="00404D0D" w:rsidP="00CA75AB">
            <w:pPr>
              <w:pStyle w:val="ListParagraph"/>
              <w:spacing w:line="276" w:lineRule="auto"/>
              <w:ind w:left="360"/>
            </w:pPr>
          </w:p>
        </w:tc>
      </w:tr>
      <w:tr w:rsidR="00404D0D" w14:paraId="40F77148" w14:textId="77777777" w:rsidTr="00914F12">
        <w:trPr>
          <w:trHeight w:val="476"/>
        </w:trPr>
        <w:tc>
          <w:tcPr>
            <w:tcW w:w="4225" w:type="dxa"/>
            <w:tcMar>
              <w:top w:w="72" w:type="dxa"/>
              <w:left w:w="115" w:type="dxa"/>
              <w:bottom w:w="72" w:type="dxa"/>
              <w:right w:w="115" w:type="dxa"/>
            </w:tcMar>
            <w:vAlign w:val="center"/>
          </w:tcPr>
          <w:p w14:paraId="2DE8E819" w14:textId="58D3C278"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5</w:t>
            </w:r>
          </w:p>
        </w:tc>
        <w:tc>
          <w:tcPr>
            <w:tcW w:w="2008" w:type="dxa"/>
            <w:vAlign w:val="center"/>
          </w:tcPr>
          <w:p w14:paraId="5B1CE5A4" w14:textId="77777777" w:rsidR="00404D0D" w:rsidRDefault="00404D0D" w:rsidP="00CA75AB">
            <w:pPr>
              <w:pStyle w:val="ListParagraph"/>
              <w:spacing w:line="276" w:lineRule="auto"/>
              <w:ind w:left="360"/>
            </w:pPr>
          </w:p>
        </w:tc>
        <w:tc>
          <w:tcPr>
            <w:tcW w:w="3117" w:type="dxa"/>
            <w:vAlign w:val="center"/>
          </w:tcPr>
          <w:p w14:paraId="7EA2A741" w14:textId="77777777" w:rsidR="00404D0D" w:rsidRDefault="00404D0D" w:rsidP="00CA75AB">
            <w:pPr>
              <w:pStyle w:val="ListParagraph"/>
              <w:spacing w:line="276" w:lineRule="auto"/>
              <w:ind w:left="360"/>
            </w:pPr>
          </w:p>
        </w:tc>
      </w:tr>
    </w:tbl>
    <w:p w14:paraId="7C9DE5B5" w14:textId="77777777" w:rsidR="00746769" w:rsidRDefault="00746769" w:rsidP="00FD51D6"/>
    <w:p w14:paraId="2B7742D5" w14:textId="77777777" w:rsidR="00F83C07" w:rsidRDefault="00F83C07" w:rsidP="00FD51D6"/>
    <w:p w14:paraId="1D030466" w14:textId="77777777" w:rsidR="00F83C07" w:rsidRDefault="00F83C07" w:rsidP="00FD51D6"/>
    <w:p w14:paraId="59963338" w14:textId="77777777" w:rsidR="00F83C07" w:rsidRDefault="00F83C07" w:rsidP="00FD51D6"/>
    <w:p w14:paraId="4CE49A23" w14:textId="77777777" w:rsidR="00F83C07" w:rsidRDefault="00F83C07" w:rsidP="00FD51D6"/>
    <w:p w14:paraId="59922D10" w14:textId="77777777" w:rsidR="00F83C07" w:rsidRDefault="00F83C07" w:rsidP="00FD51D6"/>
    <w:p w14:paraId="3E66C0A7" w14:textId="77777777" w:rsidR="00F83C07" w:rsidRDefault="00F83C07" w:rsidP="00FD51D6"/>
    <w:p w14:paraId="6175B7E3" w14:textId="77777777" w:rsidR="00F83C07" w:rsidRDefault="00F83C07" w:rsidP="00FD51D6"/>
    <w:p w14:paraId="767BE39D" w14:textId="49C9746E" w:rsidR="00AD5994" w:rsidRPr="00841998" w:rsidRDefault="00AD5994" w:rsidP="00AB5B80">
      <w:pPr>
        <w:pStyle w:val="Heading3"/>
        <w:rPr>
          <w:sz w:val="20"/>
          <w:szCs w:val="20"/>
        </w:rPr>
      </w:pPr>
      <w:bookmarkStart w:id="747" w:name="_Toc225877845"/>
      <w:r w:rsidRPr="00AD5994">
        <w:lastRenderedPageBreak/>
        <w:t>Plastic and Reconstructive Surgery</w:t>
      </w:r>
      <w:bookmarkEnd w:id="747"/>
      <w:r w:rsidR="006606DD">
        <w:br/>
      </w:r>
    </w:p>
    <w:tbl>
      <w:tblPr>
        <w:tblStyle w:val="TableGrid19"/>
        <w:tblW w:w="0" w:type="auto"/>
        <w:tblLook w:val="04A0" w:firstRow="1" w:lastRow="0" w:firstColumn="1" w:lastColumn="0" w:noHBand="0" w:noVBand="1"/>
      </w:tblPr>
      <w:tblGrid>
        <w:gridCol w:w="5015"/>
        <w:gridCol w:w="4335"/>
      </w:tblGrid>
      <w:tr w:rsidR="00073B66" w:rsidRPr="00073B66" w14:paraId="007A55C5" w14:textId="77777777" w:rsidTr="00914F12">
        <w:trPr>
          <w:trHeight w:val="20"/>
        </w:trPr>
        <w:tc>
          <w:tcPr>
            <w:tcW w:w="9350" w:type="dxa"/>
            <w:gridSpan w:val="2"/>
            <w:tcMar>
              <w:top w:w="72" w:type="dxa"/>
              <w:left w:w="115" w:type="dxa"/>
              <w:bottom w:w="72" w:type="dxa"/>
              <w:right w:w="115" w:type="dxa"/>
            </w:tcMar>
            <w:vAlign w:val="center"/>
          </w:tcPr>
          <w:p w14:paraId="68BDDE72" w14:textId="572E2693" w:rsidR="00073B66" w:rsidRPr="00073B66" w:rsidRDefault="00073B66" w:rsidP="00AD309C">
            <w:pPr>
              <w:numPr>
                <w:ilvl w:val="0"/>
                <w:numId w:val="91"/>
              </w:numPr>
              <w:spacing w:line="276" w:lineRule="auto"/>
              <w:rPr>
                <w:rFonts w:eastAsia="Yu Gothic Light"/>
              </w:rPr>
            </w:pPr>
            <w:r w:rsidRPr="00073B66">
              <w:rPr>
                <w:rFonts w:eastAsia="Yu Gothic Light"/>
              </w:rPr>
              <w:t xml:space="preserve">Total adult volume for each of the following applicable procedures performed at your </w:t>
            </w:r>
            <w:r w:rsidR="00B06D95">
              <w:rPr>
                <w:rFonts w:eastAsia="Yu Gothic Light"/>
              </w:rPr>
              <w:t>hospital outpatient department(s)</w:t>
            </w:r>
            <w:r w:rsidR="00B06D95" w:rsidRPr="00073B66">
              <w:rPr>
                <w:rFonts w:eastAsia="Yu Gothic Light"/>
              </w:rPr>
              <w:t xml:space="preserve"> </w:t>
            </w:r>
            <w:r w:rsidRPr="00073B66">
              <w:rPr>
                <w:rFonts w:eastAsia="Yu Gothic Light"/>
              </w:rPr>
              <w:t>during the reporting period.</w:t>
            </w:r>
          </w:p>
          <w:p w14:paraId="570BAB48" w14:textId="77777777" w:rsidR="00073B66" w:rsidRPr="00073B66" w:rsidRDefault="00073B66" w:rsidP="00073B66">
            <w:pPr>
              <w:spacing w:line="276" w:lineRule="auto"/>
              <w:rPr>
                <w:rFonts w:eastAsia="Yu Gothic Light"/>
              </w:rPr>
            </w:pPr>
          </w:p>
          <w:p w14:paraId="75B6CA43" w14:textId="2D6E48E9" w:rsidR="00073B66" w:rsidRPr="00073B66" w:rsidRDefault="00073B66" w:rsidP="00073B66">
            <w:pPr>
              <w:ind w:left="360"/>
            </w:pPr>
            <w:r w:rsidRPr="00073B66">
              <w:rPr>
                <w:i/>
              </w:rPr>
              <w:t xml:space="preserve">You cannot leave any blank. If you did not perform one or more of the procedures listed below enter 0 (zero). If you had zero volume for </w:t>
            </w:r>
            <w:r w:rsidRPr="00073B66">
              <w:rPr>
                <w:b/>
                <w:i/>
                <w:u w:val="single"/>
              </w:rPr>
              <w:t>all</w:t>
            </w:r>
            <w:r w:rsidRPr="00073B66">
              <w:rPr>
                <w:i/>
              </w:rPr>
              <w:t xml:space="preserve"> procedures, go back to question #1</w:t>
            </w:r>
            <w:r w:rsidR="006308BB">
              <w:rPr>
                <w:i/>
              </w:rPr>
              <w:t>0</w:t>
            </w:r>
            <w:r w:rsidRPr="00073B66">
              <w:rPr>
                <w:i/>
              </w:rPr>
              <w:t xml:space="preserve"> and update your response from “yes” to “no.”</w:t>
            </w:r>
          </w:p>
        </w:tc>
      </w:tr>
      <w:tr w:rsidR="001A4A1F" w:rsidRPr="00073B66" w14:paraId="4ADA154A" w14:textId="77777777" w:rsidTr="00EC4DCE">
        <w:trPr>
          <w:trHeight w:val="20"/>
        </w:trPr>
        <w:tc>
          <w:tcPr>
            <w:tcW w:w="5015" w:type="dxa"/>
            <w:tcMar>
              <w:top w:w="72" w:type="dxa"/>
              <w:left w:w="115" w:type="dxa"/>
              <w:bottom w:w="72" w:type="dxa"/>
              <w:right w:w="115" w:type="dxa"/>
            </w:tcMar>
            <w:vAlign w:val="center"/>
          </w:tcPr>
          <w:p w14:paraId="7039098E" w14:textId="77777777" w:rsidR="001A4A1F" w:rsidRPr="00073B66" w:rsidRDefault="001A4A1F" w:rsidP="00073B66">
            <w:pPr>
              <w:spacing w:line="276" w:lineRule="auto"/>
              <w:rPr>
                <w:rFonts w:eastAsia="Yu Gothic Light"/>
              </w:rPr>
            </w:pPr>
          </w:p>
        </w:tc>
        <w:tc>
          <w:tcPr>
            <w:tcW w:w="4335" w:type="dxa"/>
            <w:tcMar>
              <w:top w:w="72" w:type="dxa"/>
              <w:left w:w="115" w:type="dxa"/>
              <w:bottom w:w="72" w:type="dxa"/>
              <w:right w:w="115" w:type="dxa"/>
            </w:tcMar>
            <w:vAlign w:val="center"/>
          </w:tcPr>
          <w:p w14:paraId="7B962A1A" w14:textId="2CB3B5E6" w:rsidR="001A4A1F" w:rsidRPr="00073B66" w:rsidRDefault="001A4A1F" w:rsidP="004F63C1">
            <w:pPr>
              <w:jc w:val="center"/>
              <w:rPr>
                <w:i/>
              </w:rPr>
            </w:pPr>
            <w:r w:rsidRPr="00073B66">
              <w:rPr>
                <w:i/>
              </w:rPr>
              <w:t>Adult Volume</w:t>
            </w:r>
          </w:p>
        </w:tc>
      </w:tr>
      <w:tr w:rsidR="001A4A1F" w:rsidRPr="00073B66" w14:paraId="08CCFA4D" w14:textId="77777777" w:rsidTr="00EC4DCE">
        <w:trPr>
          <w:trHeight w:val="20"/>
        </w:trPr>
        <w:tc>
          <w:tcPr>
            <w:tcW w:w="5015" w:type="dxa"/>
            <w:tcMar>
              <w:top w:w="72" w:type="dxa"/>
              <w:left w:w="115" w:type="dxa"/>
              <w:bottom w:w="72" w:type="dxa"/>
              <w:right w:w="115" w:type="dxa"/>
            </w:tcMar>
            <w:vAlign w:val="center"/>
          </w:tcPr>
          <w:p w14:paraId="2B6F9CD0" w14:textId="77777777" w:rsidR="001A4A1F" w:rsidRPr="00073B66" w:rsidRDefault="001A4A1F" w:rsidP="00073B66">
            <w:pPr>
              <w:spacing w:line="276" w:lineRule="auto"/>
              <w:rPr>
                <w:rFonts w:eastAsia="Yu Gothic Light"/>
                <w:b/>
              </w:rPr>
            </w:pPr>
            <w:r w:rsidRPr="00073B66">
              <w:rPr>
                <w:rFonts w:eastAsia="Yu Gothic Light"/>
                <w:b/>
              </w:rPr>
              <w:t xml:space="preserve">Breast repair or reconstructive procedures </w:t>
            </w:r>
          </w:p>
        </w:tc>
        <w:tc>
          <w:tcPr>
            <w:tcW w:w="4335" w:type="dxa"/>
            <w:tcMar>
              <w:top w:w="72" w:type="dxa"/>
              <w:left w:w="115" w:type="dxa"/>
              <w:bottom w:w="72" w:type="dxa"/>
              <w:right w:w="115" w:type="dxa"/>
            </w:tcMar>
            <w:vAlign w:val="center"/>
          </w:tcPr>
          <w:p w14:paraId="65BFC3F2" w14:textId="6935B849" w:rsidR="001A4A1F" w:rsidRPr="00073B66" w:rsidRDefault="001A4A1F" w:rsidP="004F63C1">
            <w:pPr>
              <w:jc w:val="center"/>
            </w:pPr>
            <w:r w:rsidRPr="00073B66">
              <w:t>_____</w:t>
            </w:r>
          </w:p>
        </w:tc>
      </w:tr>
      <w:tr w:rsidR="001A4A1F" w:rsidRPr="00073B66" w14:paraId="41400892" w14:textId="77777777" w:rsidTr="00EC4DCE">
        <w:trPr>
          <w:trHeight w:val="20"/>
        </w:trPr>
        <w:tc>
          <w:tcPr>
            <w:tcW w:w="5015" w:type="dxa"/>
            <w:tcMar>
              <w:top w:w="72" w:type="dxa"/>
              <w:left w:w="115" w:type="dxa"/>
              <w:bottom w:w="72" w:type="dxa"/>
              <w:right w:w="115" w:type="dxa"/>
            </w:tcMar>
            <w:vAlign w:val="center"/>
          </w:tcPr>
          <w:p w14:paraId="3AAB1837" w14:textId="226B8FEA" w:rsidR="001A4A1F" w:rsidRPr="00073B66" w:rsidRDefault="001A4A1F" w:rsidP="00073B66">
            <w:pPr>
              <w:spacing w:line="276" w:lineRule="auto"/>
              <w:rPr>
                <w:rFonts w:eastAsia="Yu Gothic Light"/>
                <w:b/>
              </w:rPr>
            </w:pPr>
            <w:r>
              <w:rPr>
                <w:rFonts w:eastAsia="Yu Gothic Light"/>
                <w:b/>
              </w:rPr>
              <w:t>Skin graft/reconstruction procedures</w:t>
            </w:r>
          </w:p>
        </w:tc>
        <w:tc>
          <w:tcPr>
            <w:tcW w:w="4335" w:type="dxa"/>
            <w:tcMar>
              <w:top w:w="72" w:type="dxa"/>
              <w:left w:w="115" w:type="dxa"/>
              <w:bottom w:w="72" w:type="dxa"/>
              <w:right w:w="115" w:type="dxa"/>
            </w:tcMar>
            <w:vAlign w:val="center"/>
          </w:tcPr>
          <w:p w14:paraId="5C86FA5F" w14:textId="058121A8" w:rsidR="001A4A1F" w:rsidRPr="00073B66" w:rsidRDefault="001A4A1F" w:rsidP="004F63C1">
            <w:pPr>
              <w:jc w:val="center"/>
            </w:pPr>
            <w:r w:rsidRPr="00073B66">
              <w:t>_____</w:t>
            </w:r>
          </w:p>
        </w:tc>
      </w:tr>
    </w:tbl>
    <w:p w14:paraId="50959EC2" w14:textId="77777777" w:rsidR="00654F10" w:rsidRDefault="00654F10" w:rsidP="00753419"/>
    <w:tbl>
      <w:tblPr>
        <w:tblStyle w:val="TableGrid"/>
        <w:tblW w:w="0" w:type="auto"/>
        <w:tblLayout w:type="fixed"/>
        <w:tblCellMar>
          <w:left w:w="115" w:type="dxa"/>
          <w:right w:w="115" w:type="dxa"/>
        </w:tblCellMar>
        <w:tblLook w:val="04A0" w:firstRow="1" w:lastRow="0" w:firstColumn="1" w:lastColumn="0" w:noHBand="0" w:noVBand="1"/>
      </w:tblPr>
      <w:tblGrid>
        <w:gridCol w:w="6205"/>
        <w:gridCol w:w="3145"/>
      </w:tblGrid>
      <w:tr w:rsidR="00654F10" w:rsidRPr="005B2F83" w14:paraId="00D7AD0D" w14:textId="77777777" w:rsidTr="00914F12">
        <w:trPr>
          <w:trHeight w:val="144"/>
        </w:trPr>
        <w:tc>
          <w:tcPr>
            <w:tcW w:w="6205" w:type="dxa"/>
            <w:tcMar>
              <w:top w:w="72" w:type="dxa"/>
              <w:left w:w="115" w:type="dxa"/>
              <w:bottom w:w="72" w:type="dxa"/>
              <w:right w:w="115" w:type="dxa"/>
            </w:tcMar>
            <w:vAlign w:val="center"/>
          </w:tcPr>
          <w:p w14:paraId="16F84A87" w14:textId="77777777" w:rsidR="00654F10" w:rsidRDefault="00654F10" w:rsidP="00AD309C">
            <w:pPr>
              <w:pStyle w:val="ListParagraph"/>
              <w:numPr>
                <w:ilvl w:val="0"/>
                <w:numId w:val="91"/>
              </w:numPr>
            </w:pPr>
            <w:r>
              <w:t xml:space="preserve">Where were these </w:t>
            </w:r>
            <w:r w:rsidRPr="00654F10">
              <w:rPr>
                <w:b/>
              </w:rPr>
              <w:t>plastic and reconstructive surgery</w:t>
            </w:r>
            <w:r w:rsidRPr="005D2045">
              <w:rPr>
                <w:b/>
              </w:rPr>
              <w:t xml:space="preserve"> </w:t>
            </w:r>
            <w:r>
              <w:t>procedures performed?</w:t>
            </w:r>
          </w:p>
          <w:p w14:paraId="4E4FCC8C" w14:textId="77777777" w:rsidR="00654F10" w:rsidRDefault="00654F10" w:rsidP="00CA75AB">
            <w:pPr>
              <w:pStyle w:val="ListParagraph"/>
              <w:ind w:left="360"/>
            </w:pPr>
          </w:p>
          <w:p w14:paraId="6666F6D7" w14:textId="77777777" w:rsidR="00654F10" w:rsidRPr="00131F2C" w:rsidRDefault="00654F10" w:rsidP="00CA75AB">
            <w:pPr>
              <w:pStyle w:val="ListParagraph"/>
              <w:ind w:left="360"/>
              <w:rPr>
                <w:i/>
              </w:rPr>
            </w:pPr>
            <w:r>
              <w:rPr>
                <w:i/>
              </w:rPr>
              <w:t>Select all that apply.</w:t>
            </w:r>
          </w:p>
          <w:p w14:paraId="17188A19" w14:textId="77777777" w:rsidR="00654F10" w:rsidRPr="005D2045" w:rsidRDefault="00654F10" w:rsidP="00CA75AB">
            <w:pPr>
              <w:pStyle w:val="ListParagraph"/>
              <w:ind w:left="360"/>
            </w:pPr>
          </w:p>
          <w:p w14:paraId="23769B74" w14:textId="57E9E932" w:rsidR="00654F10" w:rsidRPr="005D2045" w:rsidRDefault="00C9400A" w:rsidP="00654F10">
            <w:pPr>
              <w:pStyle w:val="ListParagraph"/>
              <w:ind w:left="360"/>
            </w:pPr>
            <w:r w:rsidRPr="007E2B45">
              <w:rPr>
                <w:i/>
              </w:rPr>
              <w:t>If only “hospital” is selected,</w:t>
            </w:r>
            <w:r>
              <w:rPr>
                <w:i/>
              </w:rPr>
              <w:t xml:space="preserve"> </w:t>
            </w:r>
            <w:r w:rsidR="00654F10" w:rsidRPr="00B674A0">
              <w:rPr>
                <w:i/>
              </w:rPr>
              <w:t xml:space="preserve">skip </w:t>
            </w:r>
            <w:r w:rsidR="00654F10">
              <w:rPr>
                <w:i/>
              </w:rPr>
              <w:t>question #</w:t>
            </w:r>
            <w:r w:rsidR="006308BB">
              <w:rPr>
                <w:i/>
              </w:rPr>
              <w:t>37</w:t>
            </w:r>
            <w:r w:rsidR="00654F10">
              <w:rPr>
                <w:i/>
              </w:rPr>
              <w:t xml:space="preserve"> and continue to the next subsection.</w:t>
            </w:r>
          </w:p>
        </w:tc>
        <w:tc>
          <w:tcPr>
            <w:tcW w:w="3145" w:type="dxa"/>
            <w:vAlign w:val="center"/>
          </w:tcPr>
          <w:p w14:paraId="183677BA" w14:textId="77777777" w:rsidR="00654F10" w:rsidRPr="00753419" w:rsidRDefault="00654F10" w:rsidP="00AD309C">
            <w:pPr>
              <w:pStyle w:val="ListParagraph"/>
              <w:numPr>
                <w:ilvl w:val="0"/>
                <w:numId w:val="94"/>
              </w:numPr>
              <w:spacing w:line="276" w:lineRule="auto"/>
              <w:rPr>
                <w:iCs/>
              </w:rPr>
            </w:pPr>
            <w:r w:rsidRPr="00753419">
              <w:rPr>
                <w:iCs/>
              </w:rPr>
              <w:t>Hospital</w:t>
            </w:r>
          </w:p>
          <w:p w14:paraId="7C9BD217" w14:textId="6D12AD98" w:rsidR="00654F10" w:rsidRPr="00551F82" w:rsidRDefault="000D3C3A" w:rsidP="00AD309C">
            <w:pPr>
              <w:pStyle w:val="ListParagraph"/>
              <w:numPr>
                <w:ilvl w:val="0"/>
                <w:numId w:val="94"/>
              </w:numPr>
              <w:spacing w:line="276" w:lineRule="auto"/>
              <w:rPr>
                <w:i/>
              </w:rPr>
            </w:pPr>
            <w:r w:rsidRPr="00753419">
              <w:rPr>
                <w:iCs/>
              </w:rPr>
              <w:t>Surgery center or free-standing</w:t>
            </w:r>
            <w:r w:rsidR="00B06D95" w:rsidRPr="00753419">
              <w:rPr>
                <w:iCs/>
              </w:rPr>
              <w:t xml:space="preserve"> hospital outpatient department</w:t>
            </w:r>
          </w:p>
        </w:tc>
      </w:tr>
    </w:tbl>
    <w:p w14:paraId="6D168664" w14:textId="77777777" w:rsidR="00654F10" w:rsidRDefault="00654F10" w:rsidP="00654F10"/>
    <w:tbl>
      <w:tblPr>
        <w:tblStyle w:val="TableGrid"/>
        <w:tblW w:w="0" w:type="auto"/>
        <w:tblLayout w:type="fixed"/>
        <w:tblCellMar>
          <w:left w:w="115" w:type="dxa"/>
          <w:right w:w="115" w:type="dxa"/>
        </w:tblCellMar>
        <w:tblLook w:val="04A0" w:firstRow="1" w:lastRow="0" w:firstColumn="1" w:lastColumn="0" w:noHBand="0" w:noVBand="1"/>
      </w:tblPr>
      <w:tblGrid>
        <w:gridCol w:w="4135"/>
        <w:gridCol w:w="2098"/>
        <w:gridCol w:w="3117"/>
      </w:tblGrid>
      <w:tr w:rsidR="00654F10" w:rsidRPr="005B2F83" w14:paraId="58DBD3F5" w14:textId="77777777" w:rsidTr="00914F12">
        <w:trPr>
          <w:trHeight w:val="20"/>
        </w:trPr>
        <w:tc>
          <w:tcPr>
            <w:tcW w:w="9350" w:type="dxa"/>
            <w:gridSpan w:val="3"/>
            <w:tcMar>
              <w:top w:w="72" w:type="dxa"/>
              <w:left w:w="115" w:type="dxa"/>
              <w:bottom w:w="72" w:type="dxa"/>
              <w:right w:w="115" w:type="dxa"/>
            </w:tcMar>
            <w:vAlign w:val="center"/>
          </w:tcPr>
          <w:p w14:paraId="142E8CCA" w14:textId="2D0A6941" w:rsidR="00654F10" w:rsidRDefault="00654F10" w:rsidP="00AD309C">
            <w:pPr>
              <w:pStyle w:val="ListParagraph"/>
              <w:numPr>
                <w:ilvl w:val="0"/>
                <w:numId w:val="91"/>
              </w:numPr>
              <w:spacing w:line="276" w:lineRule="auto"/>
              <w:rPr>
                <w:i/>
              </w:rPr>
            </w:pPr>
            <w:r>
              <w:t xml:space="preserve">Please provide the name and city location of each </w:t>
            </w:r>
            <w:r w:rsidR="003E46F9">
              <w:t xml:space="preserve">surgery center or </w:t>
            </w:r>
            <w:r w:rsidR="000D3C3A">
              <w:t>free-standing</w:t>
            </w:r>
            <w:r w:rsidR="00B06D95">
              <w:t xml:space="preserve"> hospital outpatient department </w:t>
            </w:r>
            <w:r>
              <w:t xml:space="preserve">performing </w:t>
            </w:r>
            <w:r w:rsidRPr="00654F10">
              <w:rPr>
                <w:b/>
              </w:rPr>
              <w:t>plastic and reconstructive surgery</w:t>
            </w:r>
            <w:r>
              <w:rPr>
                <w:b/>
              </w:rPr>
              <w:t xml:space="preserve"> </w:t>
            </w:r>
            <w:r>
              <w:t>procedures:</w:t>
            </w:r>
          </w:p>
        </w:tc>
      </w:tr>
      <w:tr w:rsidR="00404D0D" w:rsidRPr="005B2F83" w14:paraId="786781E0" w14:textId="77777777" w:rsidTr="00914F12">
        <w:trPr>
          <w:trHeight w:val="20"/>
        </w:trPr>
        <w:tc>
          <w:tcPr>
            <w:tcW w:w="4135" w:type="dxa"/>
            <w:tcMar>
              <w:top w:w="72" w:type="dxa"/>
              <w:left w:w="115" w:type="dxa"/>
              <w:bottom w:w="72" w:type="dxa"/>
              <w:right w:w="115" w:type="dxa"/>
            </w:tcMar>
            <w:vAlign w:val="center"/>
          </w:tcPr>
          <w:p w14:paraId="045F4F26" w14:textId="77777777" w:rsidR="00404D0D" w:rsidRDefault="00404D0D" w:rsidP="00404D0D">
            <w:pPr>
              <w:pStyle w:val="ListParagraph"/>
              <w:spacing w:line="276" w:lineRule="auto"/>
              <w:ind w:left="360"/>
            </w:pPr>
          </w:p>
        </w:tc>
        <w:tc>
          <w:tcPr>
            <w:tcW w:w="2098" w:type="dxa"/>
            <w:vAlign w:val="center"/>
          </w:tcPr>
          <w:p w14:paraId="576C22EB" w14:textId="7EB79FA5" w:rsidR="00404D0D" w:rsidRPr="005C60B1" w:rsidRDefault="00404D0D" w:rsidP="004F63C1">
            <w:pPr>
              <w:spacing w:line="276" w:lineRule="auto"/>
              <w:jc w:val="center"/>
              <w:rPr>
                <w:i/>
              </w:rPr>
            </w:pPr>
            <w:r w:rsidRPr="005C60B1">
              <w:rPr>
                <w:i/>
              </w:rPr>
              <w:t>Name</w:t>
            </w:r>
          </w:p>
        </w:tc>
        <w:tc>
          <w:tcPr>
            <w:tcW w:w="3117" w:type="dxa"/>
            <w:vAlign w:val="center"/>
          </w:tcPr>
          <w:p w14:paraId="6A848176" w14:textId="0314E202" w:rsidR="00404D0D" w:rsidRPr="005C60B1" w:rsidRDefault="00404D0D" w:rsidP="004F63C1">
            <w:pPr>
              <w:spacing w:line="276" w:lineRule="auto"/>
              <w:jc w:val="center"/>
              <w:rPr>
                <w:i/>
              </w:rPr>
            </w:pPr>
            <w:r w:rsidRPr="005C60B1">
              <w:rPr>
                <w:i/>
              </w:rPr>
              <w:t>City</w:t>
            </w:r>
          </w:p>
        </w:tc>
      </w:tr>
      <w:tr w:rsidR="00404D0D" w:rsidRPr="005B2F83" w14:paraId="289350FE" w14:textId="77777777" w:rsidTr="00914F12">
        <w:trPr>
          <w:trHeight w:val="476"/>
        </w:trPr>
        <w:tc>
          <w:tcPr>
            <w:tcW w:w="4135" w:type="dxa"/>
            <w:tcMar>
              <w:top w:w="72" w:type="dxa"/>
              <w:left w:w="115" w:type="dxa"/>
              <w:bottom w:w="72" w:type="dxa"/>
              <w:right w:w="115" w:type="dxa"/>
            </w:tcMar>
            <w:vAlign w:val="center"/>
          </w:tcPr>
          <w:p w14:paraId="35EE71CD" w14:textId="16957771"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1</w:t>
            </w:r>
          </w:p>
        </w:tc>
        <w:tc>
          <w:tcPr>
            <w:tcW w:w="2098" w:type="dxa"/>
            <w:vAlign w:val="center"/>
          </w:tcPr>
          <w:p w14:paraId="17909007" w14:textId="77777777" w:rsidR="00404D0D" w:rsidRDefault="00404D0D" w:rsidP="00404D0D">
            <w:pPr>
              <w:pStyle w:val="ListParagraph"/>
              <w:spacing w:line="276" w:lineRule="auto"/>
              <w:ind w:left="360"/>
            </w:pPr>
          </w:p>
        </w:tc>
        <w:tc>
          <w:tcPr>
            <w:tcW w:w="3117" w:type="dxa"/>
            <w:vAlign w:val="center"/>
          </w:tcPr>
          <w:p w14:paraId="1FF22C1E" w14:textId="77777777" w:rsidR="00404D0D" w:rsidRDefault="00404D0D" w:rsidP="00404D0D">
            <w:pPr>
              <w:pStyle w:val="ListParagraph"/>
              <w:spacing w:line="276" w:lineRule="auto"/>
              <w:ind w:left="360"/>
            </w:pPr>
          </w:p>
        </w:tc>
      </w:tr>
      <w:tr w:rsidR="00404D0D" w:rsidRPr="005B2F83" w14:paraId="6A6A778C" w14:textId="77777777" w:rsidTr="00914F12">
        <w:trPr>
          <w:trHeight w:val="476"/>
        </w:trPr>
        <w:tc>
          <w:tcPr>
            <w:tcW w:w="4135" w:type="dxa"/>
            <w:tcMar>
              <w:top w:w="72" w:type="dxa"/>
              <w:left w:w="115" w:type="dxa"/>
              <w:bottom w:w="72" w:type="dxa"/>
              <w:right w:w="115" w:type="dxa"/>
            </w:tcMar>
            <w:vAlign w:val="center"/>
          </w:tcPr>
          <w:p w14:paraId="3696EECD" w14:textId="56EC0142"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2</w:t>
            </w:r>
          </w:p>
        </w:tc>
        <w:tc>
          <w:tcPr>
            <w:tcW w:w="2098" w:type="dxa"/>
            <w:vAlign w:val="center"/>
          </w:tcPr>
          <w:p w14:paraId="5753EFBC" w14:textId="77777777" w:rsidR="00404D0D" w:rsidRDefault="00404D0D" w:rsidP="00404D0D">
            <w:pPr>
              <w:pStyle w:val="ListParagraph"/>
              <w:spacing w:line="276" w:lineRule="auto"/>
              <w:ind w:left="360"/>
            </w:pPr>
          </w:p>
        </w:tc>
        <w:tc>
          <w:tcPr>
            <w:tcW w:w="3117" w:type="dxa"/>
            <w:vAlign w:val="center"/>
          </w:tcPr>
          <w:p w14:paraId="4A20E127" w14:textId="77777777" w:rsidR="00404D0D" w:rsidRDefault="00404D0D" w:rsidP="00404D0D">
            <w:pPr>
              <w:pStyle w:val="ListParagraph"/>
              <w:spacing w:line="276" w:lineRule="auto"/>
              <w:ind w:left="360"/>
            </w:pPr>
          </w:p>
        </w:tc>
      </w:tr>
      <w:tr w:rsidR="00404D0D" w:rsidRPr="005B2F83" w14:paraId="58C2A58B" w14:textId="77777777" w:rsidTr="00914F12">
        <w:trPr>
          <w:trHeight w:val="476"/>
        </w:trPr>
        <w:tc>
          <w:tcPr>
            <w:tcW w:w="4135" w:type="dxa"/>
            <w:tcMar>
              <w:top w:w="72" w:type="dxa"/>
              <w:left w:w="115" w:type="dxa"/>
              <w:bottom w:w="72" w:type="dxa"/>
              <w:right w:w="115" w:type="dxa"/>
            </w:tcMar>
            <w:vAlign w:val="center"/>
          </w:tcPr>
          <w:p w14:paraId="117922A9" w14:textId="58E44D21"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3</w:t>
            </w:r>
          </w:p>
        </w:tc>
        <w:tc>
          <w:tcPr>
            <w:tcW w:w="2098" w:type="dxa"/>
            <w:vAlign w:val="center"/>
          </w:tcPr>
          <w:p w14:paraId="6F3356FA" w14:textId="77777777" w:rsidR="00404D0D" w:rsidRDefault="00404D0D" w:rsidP="00404D0D">
            <w:pPr>
              <w:pStyle w:val="ListParagraph"/>
              <w:spacing w:line="276" w:lineRule="auto"/>
              <w:ind w:left="360"/>
            </w:pPr>
          </w:p>
        </w:tc>
        <w:tc>
          <w:tcPr>
            <w:tcW w:w="3117" w:type="dxa"/>
            <w:vAlign w:val="center"/>
          </w:tcPr>
          <w:p w14:paraId="1F9CADC2" w14:textId="77777777" w:rsidR="00404D0D" w:rsidRDefault="00404D0D" w:rsidP="00404D0D">
            <w:pPr>
              <w:pStyle w:val="ListParagraph"/>
              <w:spacing w:line="276" w:lineRule="auto"/>
              <w:ind w:left="360"/>
            </w:pPr>
          </w:p>
        </w:tc>
      </w:tr>
      <w:tr w:rsidR="00404D0D" w:rsidRPr="005B2F83" w14:paraId="64F6485F" w14:textId="77777777" w:rsidTr="00914F12">
        <w:trPr>
          <w:trHeight w:val="476"/>
        </w:trPr>
        <w:tc>
          <w:tcPr>
            <w:tcW w:w="4135" w:type="dxa"/>
            <w:tcMar>
              <w:top w:w="72" w:type="dxa"/>
              <w:left w:w="115" w:type="dxa"/>
              <w:bottom w:w="72" w:type="dxa"/>
              <w:right w:w="115" w:type="dxa"/>
            </w:tcMar>
            <w:vAlign w:val="center"/>
          </w:tcPr>
          <w:p w14:paraId="3E55BCEF" w14:textId="4D2CC0BD"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4</w:t>
            </w:r>
          </w:p>
        </w:tc>
        <w:tc>
          <w:tcPr>
            <w:tcW w:w="2098" w:type="dxa"/>
            <w:vAlign w:val="center"/>
          </w:tcPr>
          <w:p w14:paraId="7A3DE4D4" w14:textId="77777777" w:rsidR="00404D0D" w:rsidRDefault="00404D0D" w:rsidP="00404D0D">
            <w:pPr>
              <w:pStyle w:val="ListParagraph"/>
              <w:spacing w:line="276" w:lineRule="auto"/>
              <w:ind w:left="360"/>
            </w:pPr>
          </w:p>
        </w:tc>
        <w:tc>
          <w:tcPr>
            <w:tcW w:w="3117" w:type="dxa"/>
            <w:vAlign w:val="center"/>
          </w:tcPr>
          <w:p w14:paraId="33808836" w14:textId="77777777" w:rsidR="00404D0D" w:rsidRDefault="00404D0D" w:rsidP="00404D0D">
            <w:pPr>
              <w:pStyle w:val="ListParagraph"/>
              <w:spacing w:line="276" w:lineRule="auto"/>
              <w:ind w:left="360"/>
            </w:pPr>
          </w:p>
        </w:tc>
      </w:tr>
      <w:tr w:rsidR="00404D0D" w:rsidRPr="005B2F83" w14:paraId="25519A17" w14:textId="77777777" w:rsidTr="00914F12">
        <w:trPr>
          <w:trHeight w:val="476"/>
        </w:trPr>
        <w:tc>
          <w:tcPr>
            <w:tcW w:w="4135" w:type="dxa"/>
            <w:tcMar>
              <w:top w:w="72" w:type="dxa"/>
              <w:left w:w="115" w:type="dxa"/>
              <w:bottom w:w="72" w:type="dxa"/>
              <w:right w:w="115" w:type="dxa"/>
            </w:tcMar>
            <w:vAlign w:val="center"/>
          </w:tcPr>
          <w:p w14:paraId="57434CA9" w14:textId="777340CD" w:rsidR="00404D0D" w:rsidRPr="00914F12" w:rsidRDefault="00696652" w:rsidP="00914F12">
            <w:pPr>
              <w:pStyle w:val="ListParagraph"/>
              <w:spacing w:line="276" w:lineRule="auto"/>
              <w:ind w:left="360"/>
              <w:rPr>
                <w:b/>
              </w:rPr>
            </w:pPr>
            <w:r>
              <w:rPr>
                <w:b/>
              </w:rPr>
              <w:t>Surgery Center/</w:t>
            </w:r>
            <w:r w:rsidRPr="00914F12">
              <w:rPr>
                <w:b/>
              </w:rPr>
              <w:t xml:space="preserve">Free-Standing </w:t>
            </w:r>
            <w:r w:rsidR="00404D0D" w:rsidRPr="00914F12">
              <w:rPr>
                <w:b/>
              </w:rPr>
              <w:t>Hospital Outpatient Department 5</w:t>
            </w:r>
          </w:p>
        </w:tc>
        <w:tc>
          <w:tcPr>
            <w:tcW w:w="2098" w:type="dxa"/>
            <w:vAlign w:val="center"/>
          </w:tcPr>
          <w:p w14:paraId="4BE0DBAA" w14:textId="77777777" w:rsidR="00404D0D" w:rsidRDefault="00404D0D" w:rsidP="00404D0D">
            <w:pPr>
              <w:pStyle w:val="ListParagraph"/>
              <w:spacing w:line="276" w:lineRule="auto"/>
              <w:ind w:left="360"/>
            </w:pPr>
          </w:p>
        </w:tc>
        <w:tc>
          <w:tcPr>
            <w:tcW w:w="3117" w:type="dxa"/>
            <w:vAlign w:val="center"/>
          </w:tcPr>
          <w:p w14:paraId="0C57F4A8" w14:textId="77777777" w:rsidR="00404D0D" w:rsidRDefault="00404D0D" w:rsidP="00404D0D">
            <w:pPr>
              <w:pStyle w:val="ListParagraph"/>
              <w:spacing w:line="276" w:lineRule="auto"/>
              <w:ind w:left="360"/>
            </w:pPr>
          </w:p>
        </w:tc>
      </w:tr>
    </w:tbl>
    <w:p w14:paraId="46911BA7" w14:textId="77777777" w:rsidR="006E467C" w:rsidRDefault="006E467C" w:rsidP="006E467C">
      <w:pPr>
        <w:spacing w:after="120" w:line="264" w:lineRule="auto"/>
        <w:rPr>
          <w:szCs w:val="24"/>
        </w:rPr>
      </w:pPr>
    </w:p>
    <w:p w14:paraId="47DEB174" w14:textId="77777777" w:rsidR="00716B89" w:rsidRDefault="00716B89">
      <w:pPr>
        <w:rPr>
          <w:szCs w:val="24"/>
        </w:rPr>
      </w:pPr>
      <w:r>
        <w:rPr>
          <w:szCs w:val="24"/>
        </w:rPr>
        <w:br w:type="page"/>
      </w:r>
    </w:p>
    <w:p w14:paraId="7354C56C" w14:textId="7C298AFC" w:rsidR="0022685E" w:rsidRDefault="00852F93" w:rsidP="00CF5A6E">
      <w:pPr>
        <w:pStyle w:val="Heading2"/>
      </w:pPr>
      <w:bookmarkStart w:id="748" w:name="_Toc225877846"/>
      <w:r>
        <w:lastRenderedPageBreak/>
        <w:t>9D: Safety of Procedures</w:t>
      </w:r>
      <w:bookmarkEnd w:id="748"/>
    </w:p>
    <w:p w14:paraId="60C5F123" w14:textId="77777777" w:rsidR="00852F93" w:rsidRPr="00821E0F" w:rsidRDefault="00852F93" w:rsidP="0022685E">
      <w:pPr>
        <w:rPr>
          <w:szCs w:val="24"/>
        </w:rPr>
      </w:pPr>
    </w:p>
    <w:p w14:paraId="55F8B751" w14:textId="49877896" w:rsidR="00391D58" w:rsidRDefault="00391D58" w:rsidP="00391D58">
      <w:pPr>
        <w:rPr>
          <w:rFonts w:cs="Arial"/>
          <w:snapToGrid w:val="0"/>
        </w:rPr>
      </w:pPr>
      <w:r w:rsidRPr="00731A0D">
        <w:rPr>
          <w:rFonts w:cs="Arial"/>
          <w:snapToGrid w:val="0"/>
        </w:rPr>
        <w:t xml:space="preserve">Hospitals that share a CMS Certification Number are required to report by facility. Please carefully review </w:t>
      </w:r>
      <w:hyperlink r:id="rId469" w:history="1">
        <w:r w:rsidRPr="00731A0D">
          <w:rPr>
            <w:rStyle w:val="Hyperlink"/>
            <w:rFonts w:cs="Arial"/>
            <w:snapToGrid w:val="0"/>
          </w:rPr>
          <w:t>Leapfrog’s Multi-Campus Reporting Policy</w:t>
        </w:r>
      </w:hyperlink>
      <w:r w:rsidRPr="00731A0D">
        <w:rPr>
          <w:rFonts w:cs="Arial"/>
          <w:snapToGrid w:val="0"/>
        </w:rPr>
        <w:t>.</w:t>
      </w:r>
    </w:p>
    <w:p w14:paraId="418425E7" w14:textId="1FC7DFEB" w:rsidR="00FB07A6" w:rsidRPr="00821E0F" w:rsidRDefault="00FB07A6" w:rsidP="00391D58">
      <w:pPr>
        <w:rPr>
          <w:rFonts w:cs="Arial"/>
          <w:snapToGrid w:val="0"/>
        </w:rPr>
      </w:pPr>
    </w:p>
    <w:p w14:paraId="4D30F394" w14:textId="77777777" w:rsidR="001E7A80" w:rsidRDefault="00FB07A6" w:rsidP="00FB07A6">
      <w:pPr>
        <w:rPr>
          <w:rFonts w:cs="Arial"/>
          <w:snapToGrid w:val="0"/>
          <w:color w:val="FF0000"/>
        </w:rPr>
      </w:pPr>
      <w:r w:rsidRPr="00753419">
        <w:rPr>
          <w:rFonts w:cs="Arial"/>
          <w:b/>
          <w:bCs/>
          <w:snapToGrid w:val="0"/>
          <w:color w:val="FF0000"/>
        </w:rPr>
        <w:t>Important Note</w:t>
      </w:r>
      <w:r w:rsidR="001E7A80">
        <w:rPr>
          <w:rFonts w:cs="Arial"/>
          <w:b/>
          <w:bCs/>
          <w:snapToGrid w:val="0"/>
          <w:color w:val="FF0000"/>
        </w:rPr>
        <w:t>s</w:t>
      </w:r>
      <w:r w:rsidRPr="00753419">
        <w:rPr>
          <w:rFonts w:cs="Arial"/>
          <w:b/>
          <w:bCs/>
          <w:snapToGrid w:val="0"/>
          <w:color w:val="FF0000"/>
        </w:rPr>
        <w:t>:</w:t>
      </w:r>
      <w:r w:rsidRPr="00753419">
        <w:rPr>
          <w:rFonts w:cs="Arial"/>
          <w:snapToGrid w:val="0"/>
          <w:color w:val="FF0000"/>
        </w:rPr>
        <w:t xml:space="preserve"> </w:t>
      </w:r>
    </w:p>
    <w:p w14:paraId="72C23424" w14:textId="77777777" w:rsidR="001E7A80" w:rsidRDefault="001E7A80" w:rsidP="00FB07A6">
      <w:pPr>
        <w:rPr>
          <w:rFonts w:cs="Arial"/>
          <w:snapToGrid w:val="0"/>
          <w:color w:val="FF0000"/>
        </w:rPr>
      </w:pPr>
    </w:p>
    <w:p w14:paraId="32E20061" w14:textId="77777777" w:rsidR="001E7A80" w:rsidRDefault="001E7A80" w:rsidP="001E7A80">
      <w:r>
        <w:t xml:space="preserve">Note 1: </w:t>
      </w:r>
      <w:r w:rsidRPr="00C77D7E">
        <w:t xml:space="preserve">The elements </w:t>
      </w:r>
      <w:r>
        <w:t>required</w:t>
      </w:r>
      <w:r w:rsidRPr="00C77D7E">
        <w:t xml:space="preserve"> for each stage of</w:t>
      </w:r>
      <w:r>
        <w:t xml:space="preserve"> the safe surgery checklist in q</w:t>
      </w:r>
      <w:r w:rsidRPr="00C77D7E">
        <w:t>uestions</w:t>
      </w:r>
      <w:r>
        <w:t xml:space="preserve"> #5-12</w:t>
      </w:r>
      <w:r w:rsidRPr="00C77D7E">
        <w:t xml:space="preserve"> are adapted from the </w:t>
      </w:r>
      <w:hyperlink r:id="rId470" w:history="1">
        <w:r>
          <w:rPr>
            <w:rStyle w:val="Hyperlink"/>
          </w:rPr>
          <w:t>WHO Surgical Safety Checklist</w:t>
        </w:r>
      </w:hyperlink>
      <w:r>
        <w:t xml:space="preserve"> and the </w:t>
      </w:r>
      <w:hyperlink r:id="rId471" w:history="1">
        <w:r w:rsidRPr="0032061C">
          <w:rPr>
            <w:rStyle w:val="Hyperlink"/>
          </w:rPr>
          <w:t>AHRQ Endoscopy Checklist</w:t>
        </w:r>
      </w:hyperlink>
      <w:r w:rsidRPr="00C77D7E">
        <w:t>.</w:t>
      </w:r>
    </w:p>
    <w:p w14:paraId="233567E0" w14:textId="77777777" w:rsidR="001E7A80" w:rsidRPr="00B44C1C" w:rsidRDefault="001E7A80" w:rsidP="001E7A80">
      <w:pPr>
        <w:rPr>
          <w:sz w:val="16"/>
          <w:szCs w:val="16"/>
        </w:rPr>
      </w:pPr>
    </w:p>
    <w:p w14:paraId="52DEBFA9" w14:textId="77777777" w:rsidR="001E7A80" w:rsidRDefault="001E7A80" w:rsidP="001E7A80">
      <w:pPr>
        <w:rPr>
          <w:bCs/>
        </w:rPr>
      </w:pPr>
      <w:r w:rsidRPr="00722F1B">
        <w:rPr>
          <w:bCs/>
        </w:rPr>
        <w:t xml:space="preserve">Note </w:t>
      </w:r>
      <w:r>
        <w:rPr>
          <w:bCs/>
        </w:rPr>
        <w:t>2</w:t>
      </w:r>
      <w:r w:rsidRPr="00722F1B">
        <w:rPr>
          <w:bCs/>
        </w:rPr>
        <w:t xml:space="preserve">: </w:t>
      </w:r>
      <w:r>
        <w:rPr>
          <w:bCs/>
        </w:rPr>
        <w:t xml:space="preserve">Question #7 will not be used in scoring or public reporting. </w:t>
      </w:r>
      <w:r w:rsidRPr="00731A0D">
        <w:rPr>
          <w:rFonts w:cs="Arial"/>
          <w:snapToGrid w:val="0"/>
        </w:rPr>
        <w:t xml:space="preserve">Hospitals that do not perform </w:t>
      </w:r>
      <w:r>
        <w:rPr>
          <w:rFonts w:cs="Arial"/>
          <w:snapToGrid w:val="0"/>
        </w:rPr>
        <w:t xml:space="preserve">outpatient </w:t>
      </w:r>
      <w:r w:rsidRPr="00731A0D">
        <w:rPr>
          <w:rFonts w:cs="Arial"/>
          <w:snapToGrid w:val="0"/>
        </w:rPr>
        <w:t>procedures</w:t>
      </w:r>
      <w:r>
        <w:rPr>
          <w:rFonts w:cs="Arial"/>
          <w:snapToGrid w:val="0"/>
        </w:rPr>
        <w:t xml:space="preserve"> on adult or pediatric patients </w:t>
      </w:r>
      <w:r w:rsidRPr="00731A0D">
        <w:rPr>
          <w:rFonts w:cs="Arial"/>
          <w:snapToGrid w:val="0"/>
        </w:rPr>
        <w:t>will be scored and publicly reported as “Does Not Apply.”</w:t>
      </w:r>
    </w:p>
    <w:p w14:paraId="466B9494" w14:textId="77777777" w:rsidR="001E7A80" w:rsidRPr="00B44C1C" w:rsidRDefault="001E7A80" w:rsidP="001E7A80">
      <w:pPr>
        <w:rPr>
          <w:bCs/>
          <w:sz w:val="16"/>
          <w:szCs w:val="16"/>
        </w:rPr>
      </w:pPr>
    </w:p>
    <w:p w14:paraId="282FD7F8" w14:textId="707B74B1" w:rsidR="001E7A80" w:rsidRPr="00FB07A6" w:rsidRDefault="001E7A80" w:rsidP="001E7A80">
      <w:pPr>
        <w:rPr>
          <w:bCs/>
        </w:rPr>
      </w:pPr>
      <w:r>
        <w:rPr>
          <w:bCs/>
        </w:rPr>
        <w:t xml:space="preserve">Note 3: </w:t>
      </w:r>
      <w:r w:rsidRPr="00722F1B">
        <w:rPr>
          <w:bCs/>
        </w:rPr>
        <w:t xml:space="preserve">Hyperlinks throughout </w:t>
      </w:r>
      <w:r>
        <w:rPr>
          <w:bCs/>
        </w:rPr>
        <w:t>these questions</w:t>
      </w:r>
      <w:r w:rsidRPr="00722F1B">
        <w:rPr>
          <w:bCs/>
        </w:rPr>
        <w:t xml:space="preserve"> refer to </w:t>
      </w:r>
      <w:r>
        <w:rPr>
          <w:bCs/>
        </w:rPr>
        <w:t xml:space="preserve">the </w:t>
      </w:r>
      <w:hyperlink w:anchor="_Safe_Surgery_Checklist" w:history="1">
        <w:r>
          <w:rPr>
            <w:rStyle w:val="Hyperlink"/>
            <w:bCs/>
          </w:rPr>
          <w:t>Safe Surgery Checklist for Adult and Pediatric Outpatient Procedures FAQs</w:t>
        </w:r>
      </w:hyperlink>
      <w:r>
        <w:rPr>
          <w:bCs/>
        </w:rPr>
        <w:t xml:space="preserve"> </w:t>
      </w:r>
      <w:r>
        <w:rPr>
          <w:rFonts w:cs="Arial"/>
        </w:rPr>
        <w:t>beginning on page</w:t>
      </w:r>
      <w:r w:rsidR="00471968">
        <w:rPr>
          <w:rFonts w:cs="Arial"/>
        </w:rPr>
        <w:t xml:space="preserve"> 325</w:t>
      </w:r>
      <w:r>
        <w:rPr>
          <w:bCs/>
        </w:rPr>
        <w:t>,</w:t>
      </w:r>
      <w:r w:rsidRPr="004A60F9">
        <w:rPr>
          <w:bCs/>
        </w:rPr>
        <w:t xml:space="preserve"> not to endnotes. These hyperlinks are not include</w:t>
      </w:r>
      <w:r>
        <w:rPr>
          <w:bCs/>
        </w:rPr>
        <w:t>d in the Online Survey Tool</w:t>
      </w:r>
      <w:r w:rsidRPr="004A60F9">
        <w:rPr>
          <w:bCs/>
        </w:rPr>
        <w:t>.</w:t>
      </w:r>
      <w:r w:rsidRPr="00722F1B">
        <w:rPr>
          <w:bCs/>
        </w:rPr>
        <w:t xml:space="preserve"> </w:t>
      </w:r>
    </w:p>
    <w:p w14:paraId="5CB5E32F" w14:textId="77777777" w:rsidR="001E7A80" w:rsidRDefault="001E7A80" w:rsidP="00FB07A6">
      <w:pPr>
        <w:rPr>
          <w:rFonts w:cs="Arial"/>
          <w:snapToGrid w:val="0"/>
          <w:color w:val="FF0000"/>
        </w:rPr>
      </w:pPr>
    </w:p>
    <w:p w14:paraId="5CDE3347" w14:textId="1B28331A" w:rsidR="008E7151" w:rsidRPr="009B2809" w:rsidRDefault="001E7A80" w:rsidP="00FB07A6">
      <w:pPr>
        <w:rPr>
          <w:rFonts w:cs="Arial"/>
          <w:snapToGrid w:val="0"/>
          <w:color w:val="FF0000"/>
        </w:rPr>
      </w:pPr>
      <w:r w:rsidRPr="00E7202B">
        <w:rPr>
          <w:rFonts w:cs="Arial"/>
          <w:snapToGrid w:val="0"/>
        </w:rPr>
        <w:t>Note 4:</w:t>
      </w:r>
      <w:r w:rsidR="00E7202B">
        <w:rPr>
          <w:rFonts w:cs="Arial"/>
          <w:snapToGrid w:val="0"/>
        </w:rPr>
        <w:t xml:space="preserve"> </w:t>
      </w:r>
      <w:r w:rsidR="003F6DF1">
        <w:rPr>
          <w:rFonts w:cs="Arial"/>
        </w:rPr>
        <w:t xml:space="preserve">The term “hospital outpatient department” is used to refer to all hospital outpatient departments or areas of the hospital, including areas that are used for </w:t>
      </w:r>
      <w:r w:rsidR="003F6DF1">
        <w:rPr>
          <w:rFonts w:cs="Arial"/>
          <w:b/>
          <w:bCs/>
        </w:rPr>
        <w:t xml:space="preserve">both </w:t>
      </w:r>
      <w:r w:rsidR="003F6DF1">
        <w:rPr>
          <w:rFonts w:cs="Arial"/>
        </w:rPr>
        <w:t xml:space="preserve">inpatient and outpatient procedures, that perform the outpatient procedures listed in Section 9C and that share your hospital’s license or CMS Certification Number (CCN). This would include, but is not limited to surgery centers, free-standing hospital outpatient departments, as well as outpatient departments that are located in your hospital or are </w:t>
      </w:r>
      <w:hyperlink w:anchor="Endnote19_ColocatedNICU" w:history="1">
        <w:r w:rsidR="003F6DF1" w:rsidRPr="005C395A">
          <w:rPr>
            <w:rStyle w:val="Hyperlink"/>
          </w:rPr>
          <w:t>co-located</w:t>
        </w:r>
      </w:hyperlink>
      <w:r w:rsidR="003F6DF1">
        <w:fldChar w:fldCharType="begin"/>
      </w:r>
      <w:r w:rsidR="003F6DF1">
        <w:instrText xml:space="preserve"> NOTEREF _Ref2332683 \f \h </w:instrText>
      </w:r>
      <w:r w:rsidR="003F6DF1">
        <w:fldChar w:fldCharType="separate"/>
      </w:r>
      <w:r w:rsidR="007D53A2" w:rsidRPr="00E362A3">
        <w:rPr>
          <w:rStyle w:val="EndnoteReference"/>
        </w:rPr>
        <w:t>31</w:t>
      </w:r>
      <w:r w:rsidR="003F6DF1">
        <w:fldChar w:fldCharType="end"/>
      </w:r>
      <w:r w:rsidR="003F6DF1">
        <w:rPr>
          <w:rFonts w:cs="Arial"/>
        </w:rPr>
        <w:t xml:space="preserve"> with your hospital. Hospitals should only include hospital outpatient departments or areas of the hospital that perform the procedures listed in Section 9C in an </w:t>
      </w:r>
      <w:hyperlink w:anchor="Endnote49_OR" w:history="1">
        <w:r w:rsidR="003F6DF1" w:rsidRPr="00A879E1">
          <w:rPr>
            <w:rStyle w:val="Hyperlink"/>
          </w:rPr>
          <w:t>operating room</w:t>
        </w:r>
      </w:hyperlink>
      <w:r w:rsidR="003F6DF1">
        <w:rPr>
          <w:vertAlign w:val="superscript"/>
        </w:rPr>
        <w:fldChar w:fldCharType="begin"/>
      </w:r>
      <w:r w:rsidR="003F6DF1">
        <w:instrText xml:space="preserve"> NOTEREF _Ref534299024 \f \h </w:instrText>
      </w:r>
      <w:r w:rsidR="003F6DF1">
        <w:rPr>
          <w:vertAlign w:val="superscript"/>
        </w:rPr>
      </w:r>
      <w:r w:rsidR="003F6DF1">
        <w:rPr>
          <w:vertAlign w:val="superscript"/>
        </w:rPr>
        <w:fldChar w:fldCharType="separate"/>
      </w:r>
      <w:r w:rsidR="007D53A2" w:rsidRPr="00E362A3">
        <w:rPr>
          <w:rStyle w:val="EndnoteReference"/>
        </w:rPr>
        <w:t>52</w:t>
      </w:r>
      <w:r w:rsidR="003F6DF1">
        <w:rPr>
          <w:vertAlign w:val="superscript"/>
        </w:rPr>
        <w:fldChar w:fldCharType="end"/>
      </w:r>
      <w:r w:rsidR="003F6DF1">
        <w:t xml:space="preserve"> or </w:t>
      </w:r>
      <w:hyperlink w:anchor="procedureroom" w:history="1">
        <w:r w:rsidR="003F6DF1" w:rsidRPr="00A879E1">
          <w:rPr>
            <w:rStyle w:val="Hyperlink"/>
          </w:rPr>
          <w:t>procedure room</w:t>
        </w:r>
      </w:hyperlink>
      <w:r w:rsidR="003F6DF1">
        <w:fldChar w:fldCharType="begin"/>
      </w:r>
      <w:r w:rsidR="003F6DF1">
        <w:instrText xml:space="preserve"> NOTEREF _Ref534299351 \f \h </w:instrText>
      </w:r>
      <w:r w:rsidR="003F6DF1">
        <w:fldChar w:fldCharType="separate"/>
      </w:r>
      <w:r w:rsidR="007D53A2" w:rsidRPr="00E362A3">
        <w:rPr>
          <w:rStyle w:val="EndnoteReference"/>
        </w:rPr>
        <w:t>53</w:t>
      </w:r>
      <w:r w:rsidR="003F6DF1">
        <w:fldChar w:fldCharType="end"/>
      </w:r>
      <w:r w:rsidR="003F6DF1">
        <w:t>.</w:t>
      </w:r>
    </w:p>
    <w:p w14:paraId="13077E51" w14:textId="77777777" w:rsidR="00B31EA7" w:rsidRPr="00821E0F" w:rsidRDefault="00B31EA7" w:rsidP="007B3CB4">
      <w:pPr>
        <w:rPr>
          <w:rFonts w:cs="Arial"/>
        </w:rPr>
      </w:pPr>
    </w:p>
    <w:p w14:paraId="45D48C84" w14:textId="04EA8E03" w:rsidR="00381254" w:rsidRPr="004B10B3" w:rsidRDefault="004B10B3" w:rsidP="00E40D19">
      <w:pPr>
        <w:rPr>
          <w:rFonts w:cs="Arial"/>
          <w:bCs/>
          <w:snapToGrid w:val="0"/>
        </w:rPr>
      </w:pPr>
      <w:r w:rsidRPr="004B10B3">
        <w:rPr>
          <w:rFonts w:cs="Arial"/>
          <w:b/>
          <w:snapToGrid w:val="0"/>
        </w:rPr>
        <w:t xml:space="preserve">Specifications: </w:t>
      </w:r>
      <w:r w:rsidRPr="004B10B3">
        <w:rPr>
          <w:rFonts w:cs="Arial"/>
          <w:bCs/>
          <w:snapToGrid w:val="0"/>
        </w:rPr>
        <w:t xml:space="preserve">See the </w:t>
      </w:r>
      <w:hyperlink w:anchor="_Safe_Surgery_Checklist" w:history="1">
        <w:r w:rsidRPr="00EE6EA8">
          <w:rPr>
            <w:rStyle w:val="Hyperlink"/>
            <w:rFonts w:cs="Arial"/>
            <w:b/>
            <w:i/>
            <w:iCs/>
            <w:snapToGrid w:val="0"/>
          </w:rPr>
          <w:t>Safe Surgery Checklist for Adult and Pediatric Outpatient Procedures</w:t>
        </w:r>
        <w:r w:rsidR="00FB07A6" w:rsidRPr="00EE6EA8">
          <w:rPr>
            <w:rStyle w:val="Hyperlink"/>
            <w:rFonts w:cs="Arial"/>
            <w:b/>
            <w:i/>
            <w:iCs/>
            <w:snapToGrid w:val="0"/>
          </w:rPr>
          <w:t xml:space="preserve"> Measure Specifications</w:t>
        </w:r>
      </w:hyperlink>
      <w:r w:rsidRPr="004B10B3">
        <w:rPr>
          <w:rFonts w:cs="Arial"/>
          <w:bCs/>
          <w:snapToGrid w:val="0"/>
        </w:rPr>
        <w:t xml:space="preserve"> </w:t>
      </w:r>
      <w:r>
        <w:rPr>
          <w:rFonts w:cs="Arial"/>
          <w:bCs/>
          <w:snapToGrid w:val="0"/>
        </w:rPr>
        <w:t xml:space="preserve">in </w:t>
      </w:r>
      <w:r w:rsidRPr="004B10B3">
        <w:rPr>
          <w:rFonts w:cs="Arial"/>
          <w:bCs/>
          <w:snapToGrid w:val="0"/>
        </w:rPr>
        <w:t xml:space="preserve">the Safety of Procedures Reference Information </w:t>
      </w:r>
      <w:r w:rsidR="00BB4E48">
        <w:rPr>
          <w:rFonts w:cs="Arial"/>
          <w:bCs/>
          <w:snapToGrid w:val="0"/>
        </w:rPr>
        <w:t xml:space="preserve">beginning on page </w:t>
      </w:r>
      <w:r w:rsidR="00FB62EE">
        <w:rPr>
          <w:rFonts w:cs="Arial"/>
          <w:bCs/>
          <w:snapToGrid w:val="0"/>
        </w:rPr>
        <w:fldChar w:fldCharType="begin"/>
      </w:r>
      <w:r w:rsidR="00FB62EE">
        <w:rPr>
          <w:rFonts w:cs="Arial"/>
          <w:bCs/>
          <w:snapToGrid w:val="0"/>
        </w:rPr>
        <w:instrText xml:space="preserve"> PAGEREF _Ref123648394 \h </w:instrText>
      </w:r>
      <w:r w:rsidR="00FB62EE">
        <w:rPr>
          <w:rFonts w:cs="Arial"/>
          <w:bCs/>
          <w:snapToGrid w:val="0"/>
        </w:rPr>
      </w:r>
      <w:r w:rsidR="00FB62EE">
        <w:rPr>
          <w:rFonts w:cs="Arial"/>
          <w:bCs/>
          <w:snapToGrid w:val="0"/>
        </w:rPr>
        <w:fldChar w:fldCharType="separate"/>
      </w:r>
      <w:r w:rsidR="007D53A2">
        <w:rPr>
          <w:rFonts w:cs="Arial"/>
          <w:bCs/>
          <w:noProof/>
          <w:snapToGrid w:val="0"/>
        </w:rPr>
        <w:t>32</w:t>
      </w:r>
      <w:r w:rsidR="00FB62EE">
        <w:rPr>
          <w:rFonts w:cs="Arial"/>
          <w:bCs/>
          <w:snapToGrid w:val="0"/>
        </w:rPr>
        <w:fldChar w:fldCharType="end"/>
      </w:r>
      <w:r w:rsidR="00471968">
        <w:rPr>
          <w:rFonts w:cs="Arial"/>
          <w:bCs/>
          <w:snapToGrid w:val="0"/>
        </w:rPr>
        <w:t>8</w:t>
      </w:r>
      <w:r w:rsidR="00FB62EE">
        <w:rPr>
          <w:rFonts w:cs="Arial"/>
          <w:bCs/>
          <w:snapToGrid w:val="0"/>
        </w:rPr>
        <w:t>.</w:t>
      </w:r>
    </w:p>
    <w:p w14:paraId="7C4818D9" w14:textId="77777777" w:rsidR="004B10B3" w:rsidRPr="00B44C1C" w:rsidRDefault="004B10B3" w:rsidP="00E40D19">
      <w:pPr>
        <w:rPr>
          <w:b/>
          <w:sz w:val="16"/>
          <w:szCs w:val="16"/>
        </w:rPr>
      </w:pPr>
    </w:p>
    <w:p w14:paraId="0810854F" w14:textId="50CB067E" w:rsidR="002338AC" w:rsidRDefault="0082683E" w:rsidP="00E40D19">
      <w:pPr>
        <w:rPr>
          <w:b/>
        </w:rPr>
      </w:pPr>
      <w:r w:rsidRPr="0082683E">
        <w:rPr>
          <w:b/>
          <w:noProof/>
        </w:rPr>
        <mc:AlternateContent>
          <mc:Choice Requires="wps">
            <w:drawing>
              <wp:inline distT="0" distB="0" distL="0" distR="0" wp14:anchorId="17C4EF4F" wp14:editId="0F3D7B47">
                <wp:extent cx="5939624" cy="1068019"/>
                <wp:effectExtent l="0" t="0" r="23495" b="18415"/>
                <wp:docPr id="47" name="Text Box 47" descr="P11623TB3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624" cy="1068019"/>
                        </a:xfrm>
                        <a:prstGeom prst="rect">
                          <a:avLst/>
                        </a:prstGeom>
                        <a:solidFill>
                          <a:srgbClr val="FFFFFF"/>
                        </a:solidFill>
                        <a:ln w="9525">
                          <a:solidFill>
                            <a:srgbClr val="FF0000"/>
                          </a:solidFill>
                          <a:miter lim="800000"/>
                          <a:headEnd/>
                          <a:tailEnd/>
                        </a:ln>
                      </wps:spPr>
                      <wps:txbx>
                        <w:txbxContent>
                          <w:p w14:paraId="3E8EF17B" w14:textId="16280C28" w:rsidR="0082683E" w:rsidRPr="00460AEB" w:rsidRDefault="0082683E" w:rsidP="0082683E">
                            <w:pPr>
                              <w:spacing w:before="120"/>
                              <w:rPr>
                                <w:rFonts w:cs="Arial"/>
                                <w:b/>
                                <w:snapToGrid w:val="0"/>
                              </w:rPr>
                            </w:pPr>
                            <w:r w:rsidRPr="00460AEB">
                              <w:rPr>
                                <w:rFonts w:cs="Arial"/>
                                <w:b/>
                                <w:snapToGrid w:val="0"/>
                              </w:rPr>
                              <w:t xml:space="preserve">Reporting Period: </w:t>
                            </w:r>
                            <w:r w:rsidR="00B90CB9">
                              <w:rPr>
                                <w:rFonts w:cs="Arial"/>
                                <w:b/>
                                <w:snapToGrid w:val="0"/>
                              </w:rPr>
                              <w:t>12</w:t>
                            </w:r>
                            <w:r w:rsidRPr="00460AEB">
                              <w:rPr>
                                <w:rFonts w:cs="Arial"/>
                                <w:b/>
                                <w:snapToGrid w:val="0"/>
                              </w:rPr>
                              <w:t xml:space="preserve"> months</w:t>
                            </w:r>
                          </w:p>
                          <w:p w14:paraId="0CD2E077" w14:textId="23AABC37" w:rsidR="0082683E" w:rsidRDefault="0082683E" w:rsidP="0082683E">
                            <w:pPr>
                              <w:rPr>
                                <w:rFonts w:cs="Arial"/>
                                <w:snapToGrid w:val="0"/>
                              </w:rPr>
                            </w:pPr>
                            <w:r w:rsidRPr="00460AEB">
                              <w:rPr>
                                <w:rFonts w:cs="Arial"/>
                                <w:snapToGrid w:val="0"/>
                              </w:rPr>
                              <w:t>Answer questions #</w:t>
                            </w:r>
                            <w:r w:rsidR="00B90CB9">
                              <w:rPr>
                                <w:rFonts w:cs="Arial"/>
                                <w:snapToGrid w:val="0"/>
                              </w:rPr>
                              <w:t>1-9</w:t>
                            </w:r>
                            <w:r w:rsidRPr="00460AEB">
                              <w:rPr>
                                <w:rFonts w:cs="Arial"/>
                                <w:snapToGrid w:val="0"/>
                              </w:rPr>
                              <w:t xml:space="preserve"> for the latest </w:t>
                            </w:r>
                            <w:r w:rsidR="00B90CB9">
                              <w:rPr>
                                <w:rFonts w:cs="Arial"/>
                                <w:snapToGrid w:val="0"/>
                              </w:rPr>
                              <w:t>12</w:t>
                            </w:r>
                            <w:r w:rsidRPr="00460AEB">
                              <w:rPr>
                                <w:rFonts w:cs="Arial"/>
                                <w:snapToGrid w:val="0"/>
                              </w:rPr>
                              <w:t>-month period prior to submission of this section of the Survey.</w:t>
                            </w:r>
                          </w:p>
                          <w:p w14:paraId="10F9F479" w14:textId="77777777" w:rsidR="0082683E" w:rsidRPr="00B44C1C" w:rsidRDefault="0082683E" w:rsidP="0082683E">
                            <w:pPr>
                              <w:rPr>
                                <w:rFonts w:cs="Arial"/>
                                <w:snapToGrid w:val="0"/>
                                <w:sz w:val="16"/>
                                <w:szCs w:val="16"/>
                              </w:rPr>
                            </w:pPr>
                          </w:p>
                          <w:p w14:paraId="047DC95F" w14:textId="01DC7A56" w:rsidR="0082683E" w:rsidRDefault="0082683E" w:rsidP="0082683E">
                            <w:r w:rsidRPr="006547C0">
                              <w:rPr>
                                <w:rFonts w:cs="Arial"/>
                                <w:sz w:val="16"/>
                                <w:szCs w:val="16"/>
                              </w:rPr>
                              <w:t xml:space="preserve">Note: As a reminder, the </w:t>
                            </w:r>
                            <w:hyperlink r:id="rId472"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noAutofit/>
                      </wps:bodyPr>
                    </wps:wsp>
                  </a:graphicData>
                </a:graphic>
              </wp:inline>
            </w:drawing>
          </mc:Choice>
          <mc:Fallback>
            <w:pict>
              <v:shape w14:anchorId="17C4EF4F" id="Text Box 47" o:spid="_x0000_s1062" type="#_x0000_t202" alt="P11623TB35#y1" style="width:467.7pt;height:8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" strokecolor="red">
                <v:textbox>
                  <w:txbxContent>
                    <w:p w14:paraId="3E8EF17B" w14:textId="16280C28" w:rsidR="0082683E" w:rsidRPr="00460AEB" w:rsidRDefault="0082683E" w:rsidP="0082683E">
                      <w:pPr>
                        <w:spacing w:before="120"/>
                        <w:rPr>
                          <w:rFonts w:cs="Arial"/>
                          <w:b/>
                          <w:snapToGrid w:val="0"/>
                        </w:rPr>
                      </w:pPr>
                      <w:r w:rsidRPr="00460AEB">
                        <w:rPr>
                          <w:rFonts w:cs="Arial"/>
                          <w:b/>
                          <w:snapToGrid w:val="0"/>
                        </w:rPr>
                        <w:t xml:space="preserve">Reporting Period: </w:t>
                      </w:r>
                      <w:r w:rsidR="00B90CB9">
                        <w:rPr>
                          <w:rFonts w:cs="Arial"/>
                          <w:b/>
                          <w:snapToGrid w:val="0"/>
                        </w:rPr>
                        <w:t>12</w:t>
                      </w:r>
                      <w:r w:rsidRPr="00460AEB">
                        <w:rPr>
                          <w:rFonts w:cs="Arial"/>
                          <w:b/>
                          <w:snapToGrid w:val="0"/>
                        </w:rPr>
                        <w:t xml:space="preserve"> months</w:t>
                      </w:r>
                    </w:p>
                    <w:p w14:paraId="0CD2E077" w14:textId="23AABC37" w:rsidR="0082683E" w:rsidRDefault="0082683E" w:rsidP="0082683E">
                      <w:pPr>
                        <w:rPr>
                          <w:rFonts w:cs="Arial"/>
                          <w:snapToGrid w:val="0"/>
                        </w:rPr>
                      </w:pPr>
                      <w:r w:rsidRPr="00460AEB">
                        <w:rPr>
                          <w:rFonts w:cs="Arial"/>
                          <w:snapToGrid w:val="0"/>
                        </w:rPr>
                        <w:t>Answer questions #</w:t>
                      </w:r>
                      <w:r w:rsidR="00B90CB9">
                        <w:rPr>
                          <w:rFonts w:cs="Arial"/>
                          <w:snapToGrid w:val="0"/>
                        </w:rPr>
                        <w:t>1-9</w:t>
                      </w:r>
                      <w:r w:rsidRPr="00460AEB">
                        <w:rPr>
                          <w:rFonts w:cs="Arial"/>
                          <w:snapToGrid w:val="0"/>
                        </w:rPr>
                        <w:t xml:space="preserve"> for the latest </w:t>
                      </w:r>
                      <w:r w:rsidR="00B90CB9">
                        <w:rPr>
                          <w:rFonts w:cs="Arial"/>
                          <w:snapToGrid w:val="0"/>
                        </w:rPr>
                        <w:t>12</w:t>
                      </w:r>
                      <w:r w:rsidRPr="00460AEB">
                        <w:rPr>
                          <w:rFonts w:cs="Arial"/>
                          <w:snapToGrid w:val="0"/>
                        </w:rPr>
                        <w:t>-month period prior to submission of this section of the Survey.</w:t>
                      </w:r>
                    </w:p>
                    <w:p w14:paraId="10F9F479" w14:textId="77777777" w:rsidR="0082683E" w:rsidRPr="00B44C1C" w:rsidRDefault="0082683E" w:rsidP="0082683E">
                      <w:pPr>
                        <w:rPr>
                          <w:rFonts w:cs="Arial"/>
                          <w:snapToGrid w:val="0"/>
                          <w:sz w:val="16"/>
                          <w:szCs w:val="16"/>
                        </w:rPr>
                      </w:pPr>
                    </w:p>
                    <w:p w14:paraId="047DC95F" w14:textId="01DC7A56" w:rsidR="0082683E" w:rsidRDefault="0082683E" w:rsidP="0082683E">
                      <w:r w:rsidRPr="006547C0">
                        <w:rPr>
                          <w:rFonts w:cs="Arial"/>
                          <w:sz w:val="16"/>
                          <w:szCs w:val="16"/>
                        </w:rPr>
                        <w:t xml:space="preserve">Note: As a reminder, the </w:t>
                      </w:r>
                      <w:hyperlink r:id="rId473"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290A689D" w14:textId="77777777" w:rsidR="0082683E" w:rsidRPr="00B44C1C" w:rsidRDefault="0082683E" w:rsidP="00E40D19">
      <w:pPr>
        <w:rPr>
          <w:b/>
          <w:sz w:val="16"/>
          <w:szCs w:val="16"/>
        </w:rPr>
      </w:pPr>
    </w:p>
    <w:p w14:paraId="33DC1041" w14:textId="083D0806" w:rsidR="00FB07A6" w:rsidRPr="00FB07A6" w:rsidRDefault="00FB07A6" w:rsidP="00E40D19">
      <w:pPr>
        <w:rPr>
          <w:rFonts w:cs="Arial"/>
          <w:b/>
        </w:rPr>
      </w:pPr>
      <w:r w:rsidRPr="009E7A7C">
        <w:rPr>
          <w:b/>
          <w:bCs/>
        </w:rPr>
        <w:t>Sufficient Sample:</w:t>
      </w:r>
      <w:r>
        <w:t xml:space="preserve"> See </w:t>
      </w:r>
      <w:hyperlink w:anchor="_Safe_Surgery_Checklist_3" w:history="1">
        <w:r w:rsidRPr="00764EEA">
          <w:rPr>
            <w:rStyle w:val="Hyperlink"/>
            <w:b/>
            <w:bCs/>
            <w:i/>
            <w:iCs/>
          </w:rPr>
          <w:t>Safe Surgery Checklist for Adult and Pediatric Outpatient Procedures Measure Specifications</w:t>
        </w:r>
      </w:hyperlink>
      <w:r w:rsidRPr="00A82650">
        <w:rPr>
          <w:rStyle w:val="Hyperlink"/>
          <w:b/>
          <w:i/>
          <w:iCs/>
          <w:u w:val="none"/>
        </w:rPr>
        <w:t xml:space="preserve"> </w:t>
      </w:r>
      <w:r>
        <w:t>for instructions on identifying a sufficient sample for question</w:t>
      </w:r>
      <w:r w:rsidR="002F7484">
        <w:t>s</w:t>
      </w:r>
      <w:r>
        <w:t xml:space="preserve"> #</w:t>
      </w:r>
      <w:r w:rsidR="002F7484">
        <w:t>6-9</w:t>
      </w:r>
      <w:r>
        <w:t>.</w:t>
      </w:r>
    </w:p>
    <w:p w14:paraId="5EB37BAD" w14:textId="77777777" w:rsidR="00FB07A6" w:rsidRDefault="00FB07A6" w:rsidP="00E40D19">
      <w:pPr>
        <w:rPr>
          <w:b/>
          <w:sz w:val="16"/>
          <w:szCs w:val="16"/>
        </w:rPr>
      </w:pPr>
    </w:p>
    <w:p w14:paraId="7C40D537" w14:textId="642672BD" w:rsidR="00424D98" w:rsidRPr="003A7DE7" w:rsidRDefault="00424D98" w:rsidP="00E40D19">
      <w:pPr>
        <w:rPr>
          <w:b/>
          <w:bCs/>
          <w:i/>
          <w:iCs/>
          <w:sz w:val="22"/>
          <w:szCs w:val="22"/>
        </w:rPr>
      </w:pPr>
      <w:r w:rsidRPr="003A7DE7">
        <w:rPr>
          <w:b/>
          <w:bCs/>
          <w:i/>
          <w:iCs/>
          <w:sz w:val="22"/>
          <w:szCs w:val="22"/>
        </w:rPr>
        <w:t>Safe Surgery Checklist for Adult and Pediatric Outpatient Procedures</w:t>
      </w:r>
    </w:p>
    <w:p w14:paraId="43A0BA4A" w14:textId="77777777" w:rsidR="00424D98" w:rsidRPr="00B44C1C" w:rsidRDefault="00424D98" w:rsidP="00E40D19">
      <w:pPr>
        <w:rPr>
          <w:b/>
          <w:sz w:val="16"/>
          <w:szCs w:val="16"/>
        </w:rPr>
      </w:pPr>
    </w:p>
    <w:tbl>
      <w:tblPr>
        <w:tblStyle w:val="TableGrid"/>
        <w:tblW w:w="0" w:type="auto"/>
        <w:tblLayout w:type="fixed"/>
        <w:tblLook w:val="04A0" w:firstRow="1" w:lastRow="0" w:firstColumn="1" w:lastColumn="0" w:noHBand="0" w:noVBand="1"/>
      </w:tblPr>
      <w:tblGrid>
        <w:gridCol w:w="6745"/>
        <w:gridCol w:w="2605"/>
      </w:tblGrid>
      <w:tr w:rsidR="00B90CB9" w:rsidRPr="00460AEB" w14:paraId="44B56959" w14:textId="77777777" w:rsidTr="00B44C1C">
        <w:trPr>
          <w:trHeight w:val="20"/>
        </w:trPr>
        <w:tc>
          <w:tcPr>
            <w:tcW w:w="6745" w:type="dxa"/>
            <w:tcMar>
              <w:top w:w="72" w:type="dxa"/>
              <w:left w:w="115" w:type="dxa"/>
              <w:bottom w:w="72" w:type="dxa"/>
              <w:right w:w="115" w:type="dxa"/>
            </w:tcMar>
            <w:vAlign w:val="center"/>
          </w:tcPr>
          <w:p w14:paraId="7CD6D002" w14:textId="07B55CB3" w:rsidR="00B11937" w:rsidRPr="00460AEB" w:rsidRDefault="00B90CB9" w:rsidP="00AD309C">
            <w:pPr>
              <w:pStyle w:val="ListParagraph"/>
              <w:numPr>
                <w:ilvl w:val="0"/>
                <w:numId w:val="159"/>
              </w:numPr>
            </w:pPr>
            <w:bookmarkStart w:id="749" w:name="_Hlk97627992"/>
            <w:r w:rsidRPr="00460AEB">
              <w:t xml:space="preserve">What is the latest </w:t>
            </w:r>
            <w:r>
              <w:t>12</w:t>
            </w:r>
            <w:r w:rsidRPr="00460AEB">
              <w:t xml:space="preserve">-month reporting period for which your </w:t>
            </w:r>
            <w:r>
              <w:t>hospital</w:t>
            </w:r>
            <w:r w:rsidRPr="00460AEB">
              <w:t xml:space="preserve"> is submitting responses to questions #</w:t>
            </w:r>
            <w:r w:rsidR="00C6094F">
              <w:t>2</w:t>
            </w:r>
            <w:r>
              <w:t>-9</w:t>
            </w:r>
            <w:r w:rsidRPr="00460AEB">
              <w:t xml:space="preserve">? </w:t>
            </w:r>
            <w:r>
              <w:t>12</w:t>
            </w:r>
            <w:r w:rsidRPr="00460AEB">
              <w:t>-month reporting period ending:</w:t>
            </w:r>
          </w:p>
        </w:tc>
        <w:tc>
          <w:tcPr>
            <w:tcW w:w="2605" w:type="dxa"/>
            <w:tcMar>
              <w:top w:w="72" w:type="dxa"/>
              <w:left w:w="115" w:type="dxa"/>
              <w:bottom w:w="72" w:type="dxa"/>
              <w:right w:w="115" w:type="dxa"/>
            </w:tcMar>
            <w:vAlign w:val="center"/>
          </w:tcPr>
          <w:p w14:paraId="2105F8B9" w14:textId="77777777" w:rsidR="00B90CB9" w:rsidRPr="00AD46BD" w:rsidRDefault="00B90CB9" w:rsidP="006E26E4">
            <w:pPr>
              <w:jc w:val="center"/>
              <w:rPr>
                <w:rFonts w:cs="Arial"/>
                <w:iCs/>
                <w:snapToGrid w:val="0"/>
              </w:rPr>
            </w:pPr>
            <w:r w:rsidRPr="008B75CE">
              <w:rPr>
                <w:rFonts w:cs="Arial"/>
                <w:i/>
                <w:snapToGrid w:val="0"/>
              </w:rPr>
              <w:t>______</w:t>
            </w:r>
          </w:p>
          <w:p w14:paraId="7849DD22" w14:textId="44E5A3A9" w:rsidR="00B90CB9" w:rsidRPr="00460AEB" w:rsidRDefault="00B90CB9" w:rsidP="00B44C1C">
            <w:pPr>
              <w:pStyle w:val="ListParagraph"/>
              <w:ind w:left="0"/>
              <w:jc w:val="center"/>
            </w:pPr>
            <w:r w:rsidRPr="009A5185">
              <w:rPr>
                <w:rFonts w:cs="Arial"/>
                <w:i/>
                <w:snapToGrid w:val="0"/>
                <w:sz w:val="16"/>
                <w:szCs w:val="16"/>
              </w:rPr>
              <w:t>Format: M</w:t>
            </w:r>
            <w:r>
              <w:rPr>
                <w:rFonts w:cs="Arial"/>
                <w:i/>
                <w:snapToGrid w:val="0"/>
                <w:sz w:val="16"/>
                <w:szCs w:val="16"/>
              </w:rPr>
              <w:t>onth</w:t>
            </w:r>
            <w:r w:rsidRPr="009A5185">
              <w:rPr>
                <w:rFonts w:cs="Arial"/>
                <w:i/>
                <w:snapToGrid w:val="0"/>
                <w:sz w:val="16"/>
                <w:szCs w:val="16"/>
              </w:rPr>
              <w:t>/Y</w:t>
            </w:r>
            <w:r>
              <w:rPr>
                <w:rFonts w:cs="Arial"/>
                <w:i/>
                <w:snapToGrid w:val="0"/>
                <w:sz w:val="16"/>
                <w:szCs w:val="16"/>
              </w:rPr>
              <w:t>ea</w:t>
            </w:r>
            <w:r w:rsidR="008F5C42">
              <w:rPr>
                <w:rFonts w:cs="Arial"/>
                <w:i/>
                <w:snapToGrid w:val="0"/>
                <w:sz w:val="16"/>
                <w:szCs w:val="16"/>
              </w:rPr>
              <w:t>r</w:t>
            </w:r>
          </w:p>
        </w:tc>
      </w:tr>
      <w:tr w:rsidR="00C54E7A" w:rsidRPr="00460AEB" w14:paraId="0C647C71" w14:textId="77777777" w:rsidTr="00B44C1C">
        <w:trPr>
          <w:trHeight w:val="20"/>
        </w:trPr>
        <w:tc>
          <w:tcPr>
            <w:tcW w:w="6745" w:type="dxa"/>
            <w:tcMar>
              <w:top w:w="72" w:type="dxa"/>
              <w:left w:w="115" w:type="dxa"/>
              <w:bottom w:w="72" w:type="dxa"/>
              <w:right w:w="115" w:type="dxa"/>
            </w:tcMar>
            <w:vAlign w:val="center"/>
          </w:tcPr>
          <w:p w14:paraId="7E9748E1" w14:textId="73DA0E23" w:rsidR="00E45EAA" w:rsidRDefault="00D65725" w:rsidP="00AD309C">
            <w:pPr>
              <w:pStyle w:val="ListParagraph"/>
              <w:numPr>
                <w:ilvl w:val="0"/>
                <w:numId w:val="159"/>
              </w:numPr>
            </w:pPr>
            <w:r w:rsidRPr="00483C41">
              <w:t>Do</w:t>
            </w:r>
            <w:r w:rsidR="000A0885">
              <w:t>es</w:t>
            </w:r>
            <w:r w:rsidRPr="00483C41">
              <w:t xml:space="preserve"> your </w:t>
            </w:r>
            <w:r w:rsidR="00DB4E5E">
              <w:t xml:space="preserve">hospital </w:t>
            </w:r>
            <w:r w:rsidR="00E45EAA" w:rsidRPr="00483C41">
              <w:t xml:space="preserve">utilize a safe surgery checklist </w:t>
            </w:r>
            <w:r w:rsidR="00022BA0">
              <w:t xml:space="preserve">on </w:t>
            </w:r>
            <w:r w:rsidR="00022BA0" w:rsidRPr="003303F0">
              <w:rPr>
                <w:u w:val="single"/>
              </w:rPr>
              <w:t>every</w:t>
            </w:r>
            <w:r w:rsidR="00022BA0">
              <w:t xml:space="preserve"> patient, </w:t>
            </w:r>
            <w:r w:rsidR="00022BA0" w:rsidRPr="003303F0">
              <w:rPr>
                <w:u w:val="single"/>
              </w:rPr>
              <w:t>every</w:t>
            </w:r>
            <w:r w:rsidR="00022BA0">
              <w:t xml:space="preserve"> time one </w:t>
            </w:r>
            <w:r w:rsidR="00E45EAA" w:rsidRPr="00483C41">
              <w:t>of the applicable proc</w:t>
            </w:r>
            <w:r w:rsidR="001A1300" w:rsidRPr="00483C41">
              <w:t>edures in Section</w:t>
            </w:r>
            <w:r w:rsidR="001A1300" w:rsidRPr="00460AEB">
              <w:t xml:space="preserve"> </w:t>
            </w:r>
            <w:r w:rsidR="00FB07A6">
              <w:t>9</w:t>
            </w:r>
            <w:r w:rsidR="001A1300" w:rsidRPr="00460AEB">
              <w:t>C</w:t>
            </w:r>
            <w:r w:rsidR="00022BA0">
              <w:t xml:space="preserve"> is performed</w:t>
            </w:r>
            <w:r w:rsidR="00E45EAA" w:rsidRPr="00460AEB">
              <w:t>?</w:t>
            </w:r>
          </w:p>
          <w:p w14:paraId="2EF61105" w14:textId="693005F1" w:rsidR="00C511BC" w:rsidRDefault="00C511BC" w:rsidP="00C511BC">
            <w:pPr>
              <w:pStyle w:val="ListParagraph"/>
              <w:ind w:left="360"/>
              <w:rPr>
                <w:i/>
                <w:iCs/>
              </w:rPr>
            </w:pPr>
          </w:p>
          <w:p w14:paraId="5FFE7BE6" w14:textId="1075A6D9" w:rsidR="00C511BC" w:rsidRPr="00B209EA" w:rsidRDefault="00C511BC" w:rsidP="00C511BC">
            <w:pPr>
              <w:ind w:left="360"/>
              <w:contextualSpacing/>
            </w:pPr>
            <w:r>
              <w:rPr>
                <w:i/>
                <w:iCs/>
              </w:rPr>
              <w:t xml:space="preserve">Hospitals with more than one hospital outpatient department, including a surgery center or free-standing hospital outpatient department, should respond based on the location with the </w:t>
            </w:r>
            <w:r w:rsidR="007E544C">
              <w:rPr>
                <w:i/>
                <w:iCs/>
              </w:rPr>
              <w:t>fewest processes in place</w:t>
            </w:r>
            <w:r>
              <w:rPr>
                <w:i/>
                <w:iCs/>
              </w:rPr>
              <w:t>.</w:t>
            </w:r>
            <w:r w:rsidRPr="00B209EA">
              <w:t xml:space="preserve"> </w:t>
            </w:r>
          </w:p>
          <w:p w14:paraId="0CD3DFDE" w14:textId="77777777" w:rsidR="001A1300" w:rsidRPr="00460AEB" w:rsidRDefault="001A1300" w:rsidP="001A1300"/>
          <w:p w14:paraId="3012A3F3" w14:textId="6412B319" w:rsidR="00E45EAA" w:rsidRPr="00D418B7" w:rsidRDefault="001A1300" w:rsidP="00D418B7">
            <w:pPr>
              <w:ind w:left="360"/>
              <w:rPr>
                <w:i/>
              </w:rPr>
            </w:pPr>
            <w:r w:rsidRPr="00460AEB">
              <w:rPr>
                <w:i/>
              </w:rPr>
              <w:t>If “</w:t>
            </w:r>
            <w:r w:rsidR="00694E9D" w:rsidRPr="00460AEB">
              <w:rPr>
                <w:i/>
              </w:rPr>
              <w:t>no</w:t>
            </w:r>
            <w:r w:rsidRPr="00460AEB">
              <w:rPr>
                <w:i/>
              </w:rPr>
              <w:t>” to question #</w:t>
            </w:r>
            <w:r w:rsidR="00C54E7A">
              <w:rPr>
                <w:i/>
              </w:rPr>
              <w:t>2</w:t>
            </w:r>
            <w:r w:rsidRPr="00460AEB">
              <w:rPr>
                <w:i/>
              </w:rPr>
              <w:t>, skip</w:t>
            </w:r>
            <w:r w:rsidR="00E13DF0" w:rsidRPr="00460AEB">
              <w:rPr>
                <w:i/>
              </w:rPr>
              <w:t xml:space="preserve"> </w:t>
            </w:r>
            <w:r w:rsidR="00FB07A6">
              <w:rPr>
                <w:i/>
              </w:rPr>
              <w:t xml:space="preserve">the remaining questions in Section 9D and </w:t>
            </w:r>
            <w:r w:rsidR="00086A99">
              <w:rPr>
                <w:i/>
              </w:rPr>
              <w:t xml:space="preserve">continue </w:t>
            </w:r>
            <w:r w:rsidR="00FB07A6">
              <w:rPr>
                <w:i/>
              </w:rPr>
              <w:t>to the next subsection</w:t>
            </w:r>
            <w:r w:rsidRPr="00460AEB">
              <w:rPr>
                <w:i/>
              </w:rPr>
              <w:t>.</w:t>
            </w:r>
            <w:r w:rsidR="00836820">
              <w:rPr>
                <w:i/>
              </w:rPr>
              <w:t xml:space="preserve"> </w:t>
            </w:r>
            <w:r w:rsidR="00836820" w:rsidRPr="00F61E74">
              <w:rPr>
                <w:rFonts w:cs="Arial"/>
                <w:i/>
              </w:rPr>
              <w:t>The hospital will be scored as “Limited Achievement</w:t>
            </w:r>
            <w:r w:rsidR="00836820">
              <w:rPr>
                <w:rFonts w:cs="Arial"/>
                <w:i/>
              </w:rPr>
              <w:t>.”</w:t>
            </w:r>
          </w:p>
        </w:tc>
        <w:tc>
          <w:tcPr>
            <w:tcW w:w="2605" w:type="dxa"/>
            <w:tcMar>
              <w:top w:w="72" w:type="dxa"/>
              <w:left w:w="115" w:type="dxa"/>
              <w:bottom w:w="72" w:type="dxa"/>
              <w:right w:w="115" w:type="dxa"/>
            </w:tcMar>
            <w:vAlign w:val="center"/>
          </w:tcPr>
          <w:p w14:paraId="66FFE27C" w14:textId="6342CBBE" w:rsidR="00E45EAA" w:rsidRPr="00B44C1C" w:rsidRDefault="00E45EAA" w:rsidP="00AD309C">
            <w:pPr>
              <w:pStyle w:val="ListParagraph"/>
              <w:numPr>
                <w:ilvl w:val="0"/>
                <w:numId w:val="317"/>
              </w:numPr>
              <w:rPr>
                <w:rFonts w:cs="Arial"/>
                <w:iCs/>
                <w:snapToGrid w:val="0"/>
              </w:rPr>
            </w:pPr>
            <w:r w:rsidRPr="00B44C1C">
              <w:rPr>
                <w:rFonts w:cs="Arial"/>
                <w:iCs/>
                <w:snapToGrid w:val="0"/>
              </w:rPr>
              <w:t>Yes</w:t>
            </w:r>
          </w:p>
          <w:p w14:paraId="01A0AEF4" w14:textId="77777777" w:rsidR="00E45EAA" w:rsidRPr="00B44C1C" w:rsidRDefault="00E45EAA" w:rsidP="00AD309C">
            <w:pPr>
              <w:pStyle w:val="ListParagraph"/>
              <w:numPr>
                <w:ilvl w:val="0"/>
                <w:numId w:val="317"/>
              </w:numPr>
              <w:rPr>
                <w:rFonts w:cs="Arial"/>
                <w:iCs/>
                <w:snapToGrid w:val="0"/>
              </w:rPr>
            </w:pPr>
            <w:r w:rsidRPr="00B44C1C">
              <w:rPr>
                <w:rFonts w:cs="Arial"/>
                <w:iCs/>
                <w:snapToGrid w:val="0"/>
              </w:rPr>
              <w:t>No</w:t>
            </w:r>
          </w:p>
        </w:tc>
      </w:tr>
      <w:tr w:rsidR="000242AB" w:rsidRPr="00460AEB" w14:paraId="728A9F33" w14:textId="77777777" w:rsidTr="00B44C1C">
        <w:trPr>
          <w:trHeight w:val="20"/>
        </w:trPr>
        <w:tc>
          <w:tcPr>
            <w:tcW w:w="6745" w:type="dxa"/>
            <w:tcMar>
              <w:top w:w="72" w:type="dxa"/>
              <w:left w:w="115" w:type="dxa"/>
              <w:bottom w:w="72" w:type="dxa"/>
              <w:right w:w="115" w:type="dxa"/>
            </w:tcMar>
            <w:vAlign w:val="center"/>
          </w:tcPr>
          <w:p w14:paraId="4BC9728A" w14:textId="16CCECFF" w:rsidR="000242AB" w:rsidRDefault="008C2B4F" w:rsidP="00AD309C">
            <w:pPr>
              <w:pStyle w:val="ListParagraph"/>
              <w:numPr>
                <w:ilvl w:val="0"/>
                <w:numId w:val="159"/>
              </w:numPr>
            </w:pPr>
            <w:r>
              <w:rPr>
                <w:b/>
              </w:rPr>
              <w:lastRenderedPageBreak/>
              <w:t>B</w:t>
            </w:r>
            <w:r w:rsidR="000242AB" w:rsidRPr="000242AB">
              <w:rPr>
                <w:b/>
              </w:rPr>
              <w:t>efore the induction of anesthesia</w:t>
            </w:r>
            <w:r>
              <w:rPr>
                <w:bCs/>
              </w:rPr>
              <w:t xml:space="preserve">, is a safe surgery checklist that includes </w:t>
            </w:r>
            <w:r w:rsidRPr="008C2B4F">
              <w:rPr>
                <w:bCs/>
                <w:u w:val="single"/>
              </w:rPr>
              <w:t>all</w:t>
            </w:r>
            <w:r>
              <w:rPr>
                <w:bCs/>
              </w:rPr>
              <w:t xml:space="preserve"> the following elements </w:t>
            </w:r>
            <w:r w:rsidRPr="00B17A60">
              <w:rPr>
                <w:bCs/>
                <w:u w:val="single"/>
              </w:rPr>
              <w:t>read aloud</w:t>
            </w:r>
            <w:r>
              <w:rPr>
                <w:bCs/>
              </w:rPr>
              <w:t xml:space="preserve"> in the presence of the </w:t>
            </w:r>
            <w:r w:rsidRPr="00B17A60">
              <w:rPr>
                <w:u w:val="single"/>
              </w:rPr>
              <w:t>anesthesia professional and nursing personnel</w:t>
            </w:r>
            <w:r w:rsidR="000242AB">
              <w:t xml:space="preserve">: </w:t>
            </w:r>
          </w:p>
          <w:p w14:paraId="0A3C00A0" w14:textId="7C884A47" w:rsidR="000242AB" w:rsidRDefault="000242AB" w:rsidP="00AD309C">
            <w:pPr>
              <w:pStyle w:val="ListParagraph"/>
              <w:numPr>
                <w:ilvl w:val="0"/>
                <w:numId w:val="132"/>
              </w:numPr>
            </w:pPr>
            <w:r>
              <w:t>Patient ID</w:t>
            </w:r>
            <w:r w:rsidR="0058471A">
              <w:t>;</w:t>
            </w:r>
          </w:p>
          <w:p w14:paraId="3AF0A5E2" w14:textId="2DB71978" w:rsidR="000242AB" w:rsidRDefault="000242AB" w:rsidP="00AD309C">
            <w:pPr>
              <w:pStyle w:val="ListParagraph"/>
              <w:numPr>
                <w:ilvl w:val="0"/>
                <w:numId w:val="132"/>
              </w:numPr>
            </w:pPr>
            <w:r>
              <w:t>Confirmation of procedure</w:t>
            </w:r>
            <w:r w:rsidR="0058471A">
              <w:t>;</w:t>
            </w:r>
          </w:p>
          <w:p w14:paraId="3D18ABF0" w14:textId="0F766B02" w:rsidR="000242AB" w:rsidRDefault="000242AB" w:rsidP="00AD309C">
            <w:pPr>
              <w:pStyle w:val="ListParagraph"/>
              <w:numPr>
                <w:ilvl w:val="0"/>
                <w:numId w:val="132"/>
              </w:numPr>
            </w:pPr>
            <w:r>
              <w:t>Patient consent</w:t>
            </w:r>
            <w:r w:rsidR="0058471A">
              <w:t>;</w:t>
            </w:r>
          </w:p>
          <w:p w14:paraId="7688F20C" w14:textId="15596062" w:rsidR="000242AB" w:rsidRDefault="000242AB" w:rsidP="00AD309C">
            <w:pPr>
              <w:pStyle w:val="ListParagraph"/>
              <w:numPr>
                <w:ilvl w:val="0"/>
                <w:numId w:val="132"/>
              </w:numPr>
            </w:pPr>
            <w:r>
              <w:t>Site marked</w:t>
            </w:r>
            <w:r w:rsidR="002C0F8D">
              <w:t>, if applicable</w:t>
            </w:r>
            <w:r w:rsidR="0058471A">
              <w:t>;</w:t>
            </w:r>
          </w:p>
          <w:p w14:paraId="7EBAAAB8" w14:textId="780EAE09" w:rsidR="000242AB" w:rsidRDefault="000242AB" w:rsidP="00AD309C">
            <w:pPr>
              <w:pStyle w:val="ListParagraph"/>
              <w:numPr>
                <w:ilvl w:val="0"/>
                <w:numId w:val="132"/>
              </w:numPr>
            </w:pPr>
            <w:r>
              <w:t>Anesthesia</w:t>
            </w:r>
            <w:r w:rsidR="00761763">
              <w:t>/</w:t>
            </w:r>
            <w:r>
              <w:t>medication check</w:t>
            </w:r>
            <w:r w:rsidR="0058471A">
              <w:t>;</w:t>
            </w:r>
          </w:p>
          <w:p w14:paraId="2533B929" w14:textId="203CDB21" w:rsidR="000242AB" w:rsidRDefault="000242AB" w:rsidP="00AD309C">
            <w:pPr>
              <w:pStyle w:val="ListParagraph"/>
              <w:numPr>
                <w:ilvl w:val="0"/>
                <w:numId w:val="132"/>
              </w:numPr>
            </w:pPr>
            <w:r>
              <w:t>Allergies assessed</w:t>
            </w:r>
            <w:r w:rsidR="0058471A">
              <w:t>;</w:t>
            </w:r>
          </w:p>
          <w:p w14:paraId="4C531623" w14:textId="06A5506C" w:rsidR="000242AB" w:rsidRDefault="000242AB" w:rsidP="00AD309C">
            <w:pPr>
              <w:pStyle w:val="ListParagraph"/>
              <w:numPr>
                <w:ilvl w:val="0"/>
                <w:numId w:val="132"/>
              </w:numPr>
            </w:pPr>
            <w:r>
              <w:t>Difficult airway</w:t>
            </w:r>
            <w:r w:rsidR="00761763">
              <w:t>/</w:t>
            </w:r>
            <w:r>
              <w:t>aspiration risk</w:t>
            </w:r>
            <w:r w:rsidR="0058471A">
              <w:t>;</w:t>
            </w:r>
          </w:p>
          <w:p w14:paraId="2A85180E" w14:textId="0D562165" w:rsidR="000242AB" w:rsidRPr="00FB4920" w:rsidRDefault="000242AB" w:rsidP="00AD309C">
            <w:pPr>
              <w:pStyle w:val="ListParagraph"/>
              <w:numPr>
                <w:ilvl w:val="0"/>
                <w:numId w:val="132"/>
              </w:numPr>
              <w:rPr>
                <w:rFonts w:cs="Arial"/>
              </w:rPr>
            </w:pPr>
            <w:r>
              <w:t>Risk of blood loss</w:t>
            </w:r>
            <w:r w:rsidR="00B21581">
              <w:t xml:space="preserve"> </w:t>
            </w:r>
            <w:r w:rsidR="00B21581">
              <w:rPr>
                <w:rFonts w:cs="Arial"/>
              </w:rPr>
              <w:t xml:space="preserve">(only applicable </w:t>
            </w:r>
            <w:r w:rsidR="00B21581" w:rsidRPr="00895070">
              <w:rPr>
                <w:rFonts w:cs="Arial"/>
              </w:rPr>
              <w:t xml:space="preserve">if </w:t>
            </w:r>
            <w:r w:rsidR="00B21581">
              <w:rPr>
                <w:rFonts w:cs="Arial"/>
              </w:rPr>
              <w:t xml:space="preserve">risk of blood loss is </w:t>
            </w:r>
            <w:r w:rsidR="00B21581" w:rsidRPr="00D74D10">
              <w:rPr>
                <w:rFonts w:cs="Arial"/>
              </w:rPr>
              <w:t xml:space="preserve">&gt;500ml </w:t>
            </w:r>
            <w:r w:rsidR="00B21581">
              <w:rPr>
                <w:rFonts w:cs="Arial"/>
              </w:rPr>
              <w:t>for adults or &gt;</w:t>
            </w:r>
            <w:r w:rsidR="00B21581" w:rsidRPr="00D74D10">
              <w:rPr>
                <w:rFonts w:cs="Arial"/>
              </w:rPr>
              <w:t xml:space="preserve">7ml/kg </w:t>
            </w:r>
            <w:r w:rsidR="00B21581">
              <w:rPr>
                <w:rFonts w:cs="Arial"/>
              </w:rPr>
              <w:t>for children)</w:t>
            </w:r>
            <w:r w:rsidR="0058471A">
              <w:rPr>
                <w:rFonts w:cs="Arial"/>
              </w:rPr>
              <w:t>; and</w:t>
            </w:r>
          </w:p>
          <w:p w14:paraId="316C5E2E" w14:textId="41B58BD9" w:rsidR="00C24F87" w:rsidRPr="00C24F87" w:rsidRDefault="005D782F" w:rsidP="00AD309C">
            <w:pPr>
              <w:pStyle w:val="ListParagraph"/>
              <w:numPr>
                <w:ilvl w:val="0"/>
                <w:numId w:val="132"/>
              </w:numPr>
            </w:pPr>
            <w:r>
              <w:rPr>
                <w:rFonts w:cs="Arial"/>
              </w:rPr>
              <w:t xml:space="preserve">Availability of devices </w:t>
            </w:r>
            <w:r w:rsidR="00C54E7A" w:rsidRPr="00C8396D">
              <w:rPr>
                <w:rFonts w:cs="Arial"/>
              </w:rPr>
              <w:t>(</w:t>
            </w:r>
            <w:r>
              <w:rPr>
                <w:rFonts w:cs="Arial"/>
              </w:rPr>
              <w:t>applicable to</w:t>
            </w:r>
            <w:r w:rsidR="00C54E7A" w:rsidRPr="00C8396D">
              <w:rPr>
                <w:rFonts w:cs="Arial"/>
              </w:rPr>
              <w:t xml:space="preserve"> endoscopy procedures only)</w:t>
            </w:r>
            <w:r w:rsidR="00C54E7A">
              <w:t>?</w:t>
            </w:r>
          </w:p>
        </w:tc>
        <w:tc>
          <w:tcPr>
            <w:tcW w:w="2605" w:type="dxa"/>
            <w:tcMar>
              <w:top w:w="72" w:type="dxa"/>
              <w:left w:w="115" w:type="dxa"/>
              <w:bottom w:w="72" w:type="dxa"/>
              <w:right w:w="115" w:type="dxa"/>
            </w:tcMar>
            <w:vAlign w:val="center"/>
          </w:tcPr>
          <w:p w14:paraId="505FAE02" w14:textId="3A0FB009" w:rsidR="000242AB" w:rsidRPr="00B44C1C" w:rsidRDefault="000242AB" w:rsidP="00AD309C">
            <w:pPr>
              <w:pStyle w:val="ListParagraph"/>
              <w:numPr>
                <w:ilvl w:val="0"/>
                <w:numId w:val="317"/>
              </w:numPr>
              <w:rPr>
                <w:rFonts w:cs="Arial"/>
                <w:iCs/>
                <w:snapToGrid w:val="0"/>
              </w:rPr>
            </w:pPr>
            <w:r w:rsidRPr="00B44C1C">
              <w:rPr>
                <w:rFonts w:cs="Arial"/>
                <w:iCs/>
                <w:snapToGrid w:val="0"/>
              </w:rPr>
              <w:t>Yes</w:t>
            </w:r>
          </w:p>
          <w:p w14:paraId="01A35899" w14:textId="77777777" w:rsidR="000242AB" w:rsidRPr="00B44C1C" w:rsidRDefault="000242AB" w:rsidP="00AD309C">
            <w:pPr>
              <w:pStyle w:val="ListParagraph"/>
              <w:numPr>
                <w:ilvl w:val="0"/>
                <w:numId w:val="317"/>
              </w:numPr>
              <w:rPr>
                <w:rFonts w:cs="Arial"/>
                <w:iCs/>
                <w:snapToGrid w:val="0"/>
              </w:rPr>
            </w:pPr>
            <w:r w:rsidRPr="00B44C1C">
              <w:rPr>
                <w:rFonts w:cs="Arial"/>
                <w:iCs/>
                <w:snapToGrid w:val="0"/>
              </w:rPr>
              <w:t>No</w:t>
            </w:r>
          </w:p>
        </w:tc>
      </w:tr>
      <w:tr w:rsidR="00A304F8" w:rsidRPr="00460AEB" w14:paraId="0A0C59EC" w14:textId="77777777" w:rsidTr="00B44C1C">
        <w:trPr>
          <w:trHeight w:val="20"/>
        </w:trPr>
        <w:tc>
          <w:tcPr>
            <w:tcW w:w="6745" w:type="dxa"/>
            <w:tcMar>
              <w:top w:w="72" w:type="dxa"/>
              <w:left w:w="115" w:type="dxa"/>
              <w:bottom w:w="72" w:type="dxa"/>
              <w:right w:w="115" w:type="dxa"/>
            </w:tcMar>
            <w:vAlign w:val="center"/>
          </w:tcPr>
          <w:p w14:paraId="67BB8B83" w14:textId="5D002BE3" w:rsidR="00A304F8" w:rsidRDefault="008C2B4F" w:rsidP="00AD309C">
            <w:pPr>
              <w:pStyle w:val="ListParagraph"/>
              <w:numPr>
                <w:ilvl w:val="0"/>
                <w:numId w:val="159"/>
              </w:numPr>
            </w:pPr>
            <w:r>
              <w:rPr>
                <w:b/>
                <w:bCs/>
              </w:rPr>
              <w:t>B</w:t>
            </w:r>
            <w:r w:rsidR="00A304F8" w:rsidRPr="005A1F8B">
              <w:rPr>
                <w:b/>
                <w:bCs/>
              </w:rPr>
              <w:t>efore the skin incisio</w:t>
            </w:r>
            <w:r w:rsidR="00A304F8" w:rsidRPr="00422696">
              <w:rPr>
                <w:b/>
                <w:bCs/>
              </w:rPr>
              <w:t>n</w:t>
            </w:r>
            <w:r w:rsidR="001E756B" w:rsidRPr="00422696">
              <w:rPr>
                <w:b/>
                <w:bCs/>
              </w:rPr>
              <w:t xml:space="preserve"> and/or before the procedure begins</w:t>
            </w:r>
            <w:r>
              <w:t xml:space="preserve">, is a safe surgery checklist that includes </w:t>
            </w:r>
            <w:r w:rsidRPr="008C2B4F">
              <w:rPr>
                <w:u w:val="single"/>
              </w:rPr>
              <w:t>all</w:t>
            </w:r>
            <w:r>
              <w:t xml:space="preserve"> the following elements </w:t>
            </w:r>
            <w:r w:rsidRPr="00B17A60">
              <w:rPr>
                <w:u w:val="single"/>
              </w:rPr>
              <w:t>read aloud</w:t>
            </w:r>
            <w:r>
              <w:t xml:space="preserve"> in the presence of the </w:t>
            </w:r>
            <w:hyperlink w:anchor="surgical_team" w:history="1">
              <w:r w:rsidRPr="006C2306">
                <w:rPr>
                  <w:rStyle w:val="Hyperlink"/>
                </w:rPr>
                <w:t>whole surgical team</w:t>
              </w:r>
            </w:hyperlink>
            <w:r w:rsidR="00A304F8" w:rsidRPr="00422696">
              <w:rPr>
                <w:b/>
                <w:bCs/>
              </w:rPr>
              <w:t>:</w:t>
            </w:r>
            <w:r w:rsidR="00A304F8" w:rsidRPr="00422696">
              <w:t xml:space="preserve"> </w:t>
            </w:r>
          </w:p>
          <w:p w14:paraId="20E41E9F" w14:textId="2DD85D60" w:rsidR="00A304F8" w:rsidRDefault="00A304F8" w:rsidP="00AD309C">
            <w:pPr>
              <w:pStyle w:val="ListParagraph"/>
              <w:numPr>
                <w:ilvl w:val="0"/>
                <w:numId w:val="133"/>
              </w:numPr>
            </w:pPr>
            <w:hyperlink w:anchor="clinicalteamintro_9d" w:history="1">
              <w:r w:rsidRPr="00596769">
                <w:rPr>
                  <w:rStyle w:val="Hyperlink"/>
                </w:rPr>
                <w:t>Clinical team introduction</w:t>
              </w:r>
            </w:hyperlink>
            <w:r w:rsidR="0058471A">
              <w:t>;</w:t>
            </w:r>
          </w:p>
          <w:p w14:paraId="6A77812B" w14:textId="18AE1E75" w:rsidR="00A304F8" w:rsidRDefault="00A304F8" w:rsidP="00AD309C">
            <w:pPr>
              <w:pStyle w:val="ListParagraph"/>
              <w:numPr>
                <w:ilvl w:val="0"/>
                <w:numId w:val="133"/>
              </w:numPr>
            </w:pPr>
            <w:r>
              <w:t>Confirmation of patient name, procedure, and</w:t>
            </w:r>
            <w:r w:rsidR="00422696">
              <w:t>,</w:t>
            </w:r>
            <w:r>
              <w:t xml:space="preserve"> </w:t>
            </w:r>
            <w:r w:rsidR="003C3E90">
              <w:t xml:space="preserve">if applicable, </w:t>
            </w:r>
            <w:r>
              <w:t>surgical</w:t>
            </w:r>
            <w:r w:rsidR="00761763">
              <w:t>/</w:t>
            </w:r>
            <w:r>
              <w:t>incision s</w:t>
            </w:r>
            <w:r w:rsidRPr="00422696">
              <w:t>ite</w:t>
            </w:r>
            <w:r w:rsidR="0058471A">
              <w:t>;</w:t>
            </w:r>
          </w:p>
          <w:p w14:paraId="05A32C6F" w14:textId="2293EB67" w:rsidR="00A304F8" w:rsidRDefault="00A304F8" w:rsidP="00AD309C">
            <w:pPr>
              <w:pStyle w:val="ListParagraph"/>
              <w:numPr>
                <w:ilvl w:val="0"/>
                <w:numId w:val="133"/>
              </w:numPr>
            </w:pPr>
            <w:r>
              <w:t>Antibiotic prophylaxis</w:t>
            </w:r>
            <w:r w:rsidR="00E30473" w:rsidRPr="00422696">
              <w:t>, if applicable</w:t>
            </w:r>
            <w:r w:rsidR="0058471A">
              <w:t>;</w:t>
            </w:r>
          </w:p>
          <w:p w14:paraId="5FEC61AF" w14:textId="094764FD" w:rsidR="00A304F8" w:rsidRDefault="00A304F8" w:rsidP="00AD309C">
            <w:pPr>
              <w:pStyle w:val="ListParagraph"/>
              <w:numPr>
                <w:ilvl w:val="0"/>
                <w:numId w:val="133"/>
              </w:numPr>
            </w:pPr>
            <w:r>
              <w:t>Anticipated Critical Events (</w:t>
            </w:r>
            <w:r w:rsidR="00B21581">
              <w:t xml:space="preserve">i.e., </w:t>
            </w:r>
            <w:r>
              <w:t>non-routine steps, length of procedure, blood loss, patient-specific concerns, sterility)</w:t>
            </w:r>
            <w:r w:rsidR="0058471A">
              <w:t>;</w:t>
            </w:r>
          </w:p>
          <w:p w14:paraId="0A6C5BBB" w14:textId="4FFDC97B" w:rsidR="00A304F8" w:rsidRDefault="00A304F8" w:rsidP="00AD309C">
            <w:pPr>
              <w:pStyle w:val="ListParagraph"/>
              <w:numPr>
                <w:ilvl w:val="0"/>
                <w:numId w:val="133"/>
              </w:numPr>
            </w:pPr>
            <w:r>
              <w:t>Equipment check</w:t>
            </w:r>
            <w:r w:rsidR="00761763">
              <w:t>/</w:t>
            </w:r>
            <w:r>
              <w:t>concerns</w:t>
            </w:r>
            <w:r w:rsidR="0058471A">
              <w:t>; and</w:t>
            </w:r>
          </w:p>
          <w:p w14:paraId="18DC6798" w14:textId="474C32A2" w:rsidR="00475F24" w:rsidRPr="006619ED" w:rsidRDefault="00A304F8" w:rsidP="00AD309C">
            <w:pPr>
              <w:pStyle w:val="ListParagraph"/>
              <w:numPr>
                <w:ilvl w:val="0"/>
                <w:numId w:val="133"/>
              </w:numPr>
              <w:rPr>
                <w:i/>
                <w:iCs/>
              </w:rPr>
            </w:pPr>
            <w:r>
              <w:t>Essential imaging available</w:t>
            </w:r>
            <w:r w:rsidR="006619ED">
              <w:t xml:space="preserve">, </w:t>
            </w:r>
            <w:r>
              <w:t>if applicable?</w:t>
            </w:r>
          </w:p>
        </w:tc>
        <w:tc>
          <w:tcPr>
            <w:tcW w:w="2605" w:type="dxa"/>
            <w:tcMar>
              <w:top w:w="72" w:type="dxa"/>
              <w:left w:w="115" w:type="dxa"/>
              <w:bottom w:w="72" w:type="dxa"/>
              <w:right w:w="115" w:type="dxa"/>
            </w:tcMar>
            <w:vAlign w:val="center"/>
          </w:tcPr>
          <w:p w14:paraId="523BA3F4" w14:textId="2DD114B7" w:rsidR="00A304F8" w:rsidRPr="00B44C1C" w:rsidRDefault="00A304F8" w:rsidP="00AD309C">
            <w:pPr>
              <w:pStyle w:val="ListParagraph"/>
              <w:numPr>
                <w:ilvl w:val="0"/>
                <w:numId w:val="317"/>
              </w:numPr>
              <w:rPr>
                <w:iCs/>
              </w:rPr>
            </w:pPr>
            <w:r w:rsidRPr="00B44C1C">
              <w:rPr>
                <w:iCs/>
              </w:rPr>
              <w:t>Yes</w:t>
            </w:r>
          </w:p>
          <w:p w14:paraId="550DB602" w14:textId="77777777" w:rsidR="00A304F8" w:rsidRPr="00B44C1C" w:rsidRDefault="00A304F8" w:rsidP="00AD309C">
            <w:pPr>
              <w:pStyle w:val="ListParagraph"/>
              <w:numPr>
                <w:ilvl w:val="0"/>
                <w:numId w:val="317"/>
              </w:numPr>
              <w:rPr>
                <w:iCs/>
              </w:rPr>
            </w:pPr>
            <w:r w:rsidRPr="00B44C1C">
              <w:rPr>
                <w:iCs/>
              </w:rPr>
              <w:t>No</w:t>
            </w:r>
          </w:p>
        </w:tc>
      </w:tr>
      <w:tr w:rsidR="00DB5D1A" w:rsidRPr="00460AEB" w14:paraId="6A971758" w14:textId="77777777" w:rsidTr="00FE0E25">
        <w:trPr>
          <w:trHeight w:val="20"/>
        </w:trPr>
        <w:tc>
          <w:tcPr>
            <w:tcW w:w="6745" w:type="dxa"/>
            <w:tcMar>
              <w:top w:w="72" w:type="dxa"/>
              <w:left w:w="115" w:type="dxa"/>
              <w:bottom w:w="72" w:type="dxa"/>
              <w:right w:w="115" w:type="dxa"/>
            </w:tcMar>
            <w:vAlign w:val="center"/>
          </w:tcPr>
          <w:p w14:paraId="66D72AE9" w14:textId="22F3C640" w:rsidR="00DB5D1A" w:rsidRDefault="008C2B4F" w:rsidP="00AD309C">
            <w:pPr>
              <w:pStyle w:val="ListParagraph"/>
              <w:numPr>
                <w:ilvl w:val="0"/>
                <w:numId w:val="159"/>
              </w:numPr>
            </w:pPr>
            <w:r>
              <w:rPr>
                <w:b/>
              </w:rPr>
              <w:t>B</w:t>
            </w:r>
            <w:r w:rsidR="00DB5D1A" w:rsidRPr="000242AB">
              <w:rPr>
                <w:b/>
              </w:rPr>
              <w:t>efore the patient leaves the operating room</w:t>
            </w:r>
            <w:r w:rsidR="004C3844">
              <w:rPr>
                <w:b/>
              </w:rPr>
              <w:t xml:space="preserve"> and/or procedure room</w:t>
            </w:r>
            <w:r>
              <w:rPr>
                <w:bCs/>
              </w:rPr>
              <w:t xml:space="preserve">, is a safe surgery checklist that includes </w:t>
            </w:r>
            <w:r w:rsidRPr="008C2B4F">
              <w:rPr>
                <w:bCs/>
                <w:u w:val="single"/>
              </w:rPr>
              <w:t>all</w:t>
            </w:r>
            <w:r>
              <w:rPr>
                <w:bCs/>
              </w:rPr>
              <w:t xml:space="preserve"> the following elements </w:t>
            </w:r>
            <w:r w:rsidRPr="00B17A60">
              <w:rPr>
                <w:bCs/>
                <w:u w:val="single"/>
              </w:rPr>
              <w:t>read aloud</w:t>
            </w:r>
            <w:r>
              <w:rPr>
                <w:bCs/>
              </w:rPr>
              <w:t xml:space="preserve"> in the presence of the </w:t>
            </w:r>
            <w:hyperlink w:anchor="surgical_team" w:history="1">
              <w:r w:rsidRPr="006C2306">
                <w:rPr>
                  <w:rStyle w:val="Hyperlink"/>
                  <w:bCs/>
                </w:rPr>
                <w:t>whole surgical team</w:t>
              </w:r>
            </w:hyperlink>
            <w:r w:rsidR="00DB5D1A">
              <w:t xml:space="preserve">: </w:t>
            </w:r>
          </w:p>
          <w:p w14:paraId="67961697" w14:textId="6CC2E516" w:rsidR="00DB5D1A" w:rsidRDefault="00DB5D1A" w:rsidP="00AD309C">
            <w:pPr>
              <w:pStyle w:val="ListParagraph"/>
              <w:numPr>
                <w:ilvl w:val="0"/>
                <w:numId w:val="134"/>
              </w:numPr>
            </w:pPr>
            <w:r>
              <w:t>Confirmation of procedure performed</w:t>
            </w:r>
            <w:r w:rsidR="0058471A">
              <w:t>;</w:t>
            </w:r>
          </w:p>
          <w:p w14:paraId="03ED98EB" w14:textId="0BDB745B" w:rsidR="00DB5D1A" w:rsidRDefault="00DB5D1A" w:rsidP="00AD309C">
            <w:pPr>
              <w:pStyle w:val="ListParagraph"/>
              <w:numPr>
                <w:ilvl w:val="0"/>
                <w:numId w:val="134"/>
              </w:numPr>
            </w:pPr>
            <w:r>
              <w:t>Instrument</w:t>
            </w:r>
            <w:r w:rsidR="00761763">
              <w:t>/</w:t>
            </w:r>
            <w:r>
              <w:t>supply counts</w:t>
            </w:r>
            <w:r w:rsidR="00246D45">
              <w:t>, if applicable</w:t>
            </w:r>
            <w:r w:rsidR="0058471A">
              <w:t>;</w:t>
            </w:r>
          </w:p>
          <w:p w14:paraId="4D101EBA" w14:textId="15438849" w:rsidR="00DB5D1A" w:rsidRDefault="00DB5D1A" w:rsidP="00AD309C">
            <w:pPr>
              <w:pStyle w:val="ListParagraph"/>
              <w:numPr>
                <w:ilvl w:val="0"/>
                <w:numId w:val="134"/>
              </w:numPr>
            </w:pPr>
            <w:r>
              <w:t>Specimen labeling</w:t>
            </w:r>
            <w:r w:rsidR="00263F0F">
              <w:t>, if applicable</w:t>
            </w:r>
            <w:r w:rsidR="0058471A">
              <w:t>;</w:t>
            </w:r>
          </w:p>
          <w:p w14:paraId="7E77979D" w14:textId="7D0B882B" w:rsidR="00DB5D1A" w:rsidRDefault="00DB5D1A" w:rsidP="00AD309C">
            <w:pPr>
              <w:pStyle w:val="ListParagraph"/>
              <w:numPr>
                <w:ilvl w:val="0"/>
                <w:numId w:val="134"/>
              </w:numPr>
            </w:pPr>
            <w:r>
              <w:t>Equipment concerns</w:t>
            </w:r>
            <w:r w:rsidR="0058471A">
              <w:t>; and</w:t>
            </w:r>
          </w:p>
          <w:p w14:paraId="4D005E44" w14:textId="2C41C890" w:rsidR="00475F24" w:rsidRPr="00475F24" w:rsidRDefault="00DB5D1A" w:rsidP="00AD309C">
            <w:pPr>
              <w:pStyle w:val="ListParagraph"/>
              <w:numPr>
                <w:ilvl w:val="0"/>
                <w:numId w:val="134"/>
              </w:numPr>
              <w:rPr>
                <w:i/>
                <w:iCs/>
              </w:rPr>
            </w:pPr>
            <w:r>
              <w:t>Patient recovery</w:t>
            </w:r>
            <w:r w:rsidR="00761763">
              <w:t>/</w:t>
            </w:r>
            <w:r>
              <w:t>management conce</w:t>
            </w:r>
            <w:r w:rsidRPr="00656621">
              <w:t>rns</w:t>
            </w:r>
            <w:r w:rsidR="00E30473" w:rsidRPr="00656621">
              <w:t>?</w:t>
            </w:r>
          </w:p>
        </w:tc>
        <w:tc>
          <w:tcPr>
            <w:tcW w:w="2605" w:type="dxa"/>
            <w:tcMar>
              <w:top w:w="72" w:type="dxa"/>
              <w:left w:w="115" w:type="dxa"/>
              <w:bottom w:w="72" w:type="dxa"/>
              <w:right w:w="115" w:type="dxa"/>
            </w:tcMar>
            <w:vAlign w:val="center"/>
          </w:tcPr>
          <w:p w14:paraId="3B9D8B4E" w14:textId="0F6B3966" w:rsidR="00DB5D1A" w:rsidRPr="00B44C1C" w:rsidRDefault="00DB5D1A" w:rsidP="00AD309C">
            <w:pPr>
              <w:pStyle w:val="ListParagraph"/>
              <w:numPr>
                <w:ilvl w:val="0"/>
                <w:numId w:val="369"/>
              </w:numPr>
              <w:rPr>
                <w:iCs/>
              </w:rPr>
            </w:pPr>
            <w:r w:rsidRPr="00B44C1C">
              <w:rPr>
                <w:iCs/>
              </w:rPr>
              <w:t>Yes</w:t>
            </w:r>
          </w:p>
          <w:p w14:paraId="25F607D4" w14:textId="77777777" w:rsidR="00DB5D1A" w:rsidRPr="006E0696" w:rsidRDefault="00DB5D1A" w:rsidP="00AD309C">
            <w:pPr>
              <w:pStyle w:val="ListParagraph"/>
              <w:numPr>
                <w:ilvl w:val="0"/>
                <w:numId w:val="369"/>
              </w:numPr>
              <w:rPr>
                <w:i/>
              </w:rPr>
            </w:pPr>
            <w:r w:rsidRPr="00B44C1C">
              <w:rPr>
                <w:iCs/>
              </w:rPr>
              <w:t>No</w:t>
            </w:r>
          </w:p>
        </w:tc>
      </w:tr>
    </w:tbl>
    <w:p w14:paraId="1C48FA16" w14:textId="77777777" w:rsidR="00AB5D57" w:rsidRPr="00FE0E25" w:rsidRDefault="00AB5D57" w:rsidP="00E40D19">
      <w:pPr>
        <w:rPr>
          <w:b/>
          <w:sz w:val="16"/>
          <w:szCs w:val="16"/>
        </w:rPr>
      </w:pPr>
    </w:p>
    <w:p w14:paraId="3DBEFC19" w14:textId="6D3826F3" w:rsidR="0070348A" w:rsidRDefault="00DA07D2" w:rsidP="00DA07D2">
      <w:pPr>
        <w:rPr>
          <w:rFonts w:cs="Arial"/>
          <w:i/>
          <w:iCs/>
          <w:lang w:eastAsia="ja-JP"/>
        </w:rPr>
      </w:pPr>
      <w:r w:rsidRPr="001E2A00">
        <w:rPr>
          <w:rFonts w:cs="Arial"/>
          <w:i/>
          <w:iCs/>
          <w:lang w:eastAsia="ja-JP"/>
        </w:rPr>
        <w:t>If “no” to question #</w:t>
      </w:r>
      <w:r w:rsidR="00C54E7A">
        <w:rPr>
          <w:rFonts w:cs="Arial"/>
          <w:i/>
          <w:iCs/>
          <w:lang w:eastAsia="ja-JP"/>
        </w:rPr>
        <w:t>3</w:t>
      </w:r>
      <w:r w:rsidRPr="001E2A00">
        <w:rPr>
          <w:rFonts w:cs="Arial"/>
          <w:i/>
          <w:iCs/>
          <w:lang w:eastAsia="ja-JP"/>
        </w:rPr>
        <w:t>, #</w:t>
      </w:r>
      <w:r w:rsidR="00C54E7A">
        <w:rPr>
          <w:rFonts w:cs="Arial"/>
          <w:i/>
          <w:iCs/>
          <w:lang w:eastAsia="ja-JP"/>
        </w:rPr>
        <w:t>4</w:t>
      </w:r>
      <w:r w:rsidRPr="001E2A00">
        <w:rPr>
          <w:rFonts w:cs="Arial"/>
          <w:i/>
          <w:iCs/>
          <w:lang w:eastAsia="ja-JP"/>
        </w:rPr>
        <w:t>, or #</w:t>
      </w:r>
      <w:r w:rsidR="00C54E7A">
        <w:rPr>
          <w:rFonts w:cs="Arial"/>
          <w:i/>
          <w:iCs/>
          <w:lang w:eastAsia="ja-JP"/>
        </w:rPr>
        <w:t>5</w:t>
      </w:r>
      <w:r w:rsidRPr="001E2A00">
        <w:rPr>
          <w:rFonts w:cs="Arial"/>
          <w:i/>
          <w:iCs/>
          <w:lang w:eastAsia="ja-JP"/>
        </w:rPr>
        <w:t xml:space="preserve">, skip the remaining questions in Section </w:t>
      </w:r>
      <w:r>
        <w:rPr>
          <w:rFonts w:cs="Arial"/>
          <w:i/>
          <w:iCs/>
          <w:lang w:eastAsia="ja-JP"/>
        </w:rPr>
        <w:t>9D</w:t>
      </w:r>
      <w:r w:rsidRPr="001E2A00">
        <w:rPr>
          <w:rFonts w:cs="Arial"/>
          <w:i/>
          <w:iCs/>
          <w:lang w:eastAsia="ja-JP"/>
        </w:rPr>
        <w:t xml:space="preserve"> and </w:t>
      </w:r>
      <w:r w:rsidR="00086A99">
        <w:rPr>
          <w:rFonts w:cs="Arial"/>
          <w:i/>
          <w:iCs/>
          <w:lang w:eastAsia="ja-JP"/>
        </w:rPr>
        <w:t>continue</w:t>
      </w:r>
      <w:r w:rsidR="00086A99" w:rsidRPr="001E2A00">
        <w:rPr>
          <w:rFonts w:cs="Arial"/>
          <w:i/>
          <w:iCs/>
          <w:lang w:eastAsia="ja-JP"/>
        </w:rPr>
        <w:t xml:space="preserve"> </w:t>
      </w:r>
      <w:r w:rsidRPr="001E2A00">
        <w:rPr>
          <w:rFonts w:cs="Arial"/>
          <w:i/>
          <w:iCs/>
          <w:lang w:eastAsia="ja-JP"/>
        </w:rPr>
        <w:t xml:space="preserve">to the </w:t>
      </w:r>
      <w:r w:rsidR="00E618A2">
        <w:rPr>
          <w:rFonts w:cs="Arial"/>
          <w:i/>
          <w:iCs/>
          <w:lang w:eastAsia="ja-JP"/>
        </w:rPr>
        <w:t>next subsection</w:t>
      </w:r>
      <w:r w:rsidRPr="001E2A00">
        <w:rPr>
          <w:rFonts w:cs="Arial"/>
          <w:i/>
          <w:iCs/>
          <w:lang w:eastAsia="ja-JP"/>
        </w:rPr>
        <w:t xml:space="preserve">. The hospital will be scored as </w:t>
      </w:r>
      <w:r>
        <w:rPr>
          <w:rFonts w:cs="Arial"/>
          <w:i/>
          <w:iCs/>
          <w:lang w:eastAsia="ja-JP"/>
        </w:rPr>
        <w:t>“Limited Achievement.”</w:t>
      </w:r>
    </w:p>
    <w:p w14:paraId="6891823F" w14:textId="77777777" w:rsidR="00830389" w:rsidRPr="00FE0E25" w:rsidRDefault="00830389" w:rsidP="00DA07D2">
      <w:pPr>
        <w:rPr>
          <w:rFonts w:cs="Arial"/>
          <w:i/>
          <w:iCs/>
          <w:sz w:val="16"/>
          <w:szCs w:val="16"/>
          <w:lang w:eastAsia="ja-JP"/>
        </w:rPr>
      </w:pPr>
    </w:p>
    <w:p w14:paraId="4C683E46" w14:textId="671E7B07" w:rsidR="00AB5D57" w:rsidRDefault="00DA07D2" w:rsidP="00E40D19">
      <w:pPr>
        <w:rPr>
          <w:rFonts w:cs="Arial"/>
          <w:i/>
          <w:iCs/>
          <w:lang w:eastAsia="ja-JP"/>
        </w:rPr>
      </w:pPr>
      <w:r>
        <w:rPr>
          <w:rFonts w:cs="Arial"/>
          <w:i/>
          <w:iCs/>
          <w:lang w:eastAsia="ja-JP"/>
        </w:rPr>
        <w:t>Hospitals performing the audit in Section 3</w:t>
      </w:r>
      <w:r w:rsidR="00263AE4">
        <w:rPr>
          <w:rFonts w:cs="Arial"/>
          <w:i/>
          <w:iCs/>
          <w:lang w:eastAsia="ja-JP"/>
        </w:rPr>
        <w:t>B</w:t>
      </w:r>
      <w:r>
        <w:rPr>
          <w:rFonts w:cs="Arial"/>
          <w:i/>
          <w:iCs/>
          <w:lang w:eastAsia="ja-JP"/>
        </w:rPr>
        <w:t xml:space="preserve"> question #6 and the audit in Section 9D question #</w:t>
      </w:r>
      <w:r w:rsidR="00C54E7A">
        <w:rPr>
          <w:rFonts w:cs="Arial"/>
          <w:i/>
          <w:iCs/>
          <w:lang w:eastAsia="ja-JP"/>
        </w:rPr>
        <w:t>6</w:t>
      </w:r>
      <w:r w:rsidRPr="00F72C9F">
        <w:rPr>
          <w:rFonts w:cs="Arial"/>
          <w:i/>
          <w:iCs/>
          <w:lang w:eastAsia="ja-JP"/>
        </w:rPr>
        <w:t xml:space="preserve"> </w:t>
      </w:r>
      <w:r w:rsidRPr="00581B5F">
        <w:rPr>
          <w:rFonts w:cs="Arial"/>
          <w:i/>
          <w:iCs/>
          <w:lang w:eastAsia="ja-JP"/>
        </w:rPr>
        <w:t xml:space="preserve">should audit 15 cases who underwent a procedure included in Section 3A and 15 cases who underwent a procedure included in Section </w:t>
      </w:r>
      <w:r>
        <w:rPr>
          <w:rFonts w:cs="Arial"/>
          <w:i/>
          <w:iCs/>
          <w:lang w:eastAsia="ja-JP"/>
        </w:rPr>
        <w:t>9</w:t>
      </w:r>
      <w:r w:rsidRPr="00581B5F">
        <w:rPr>
          <w:rFonts w:cs="Arial"/>
          <w:i/>
          <w:iCs/>
          <w:lang w:eastAsia="ja-JP"/>
        </w:rPr>
        <w:t xml:space="preserve">C. </w:t>
      </w:r>
      <w:r>
        <w:rPr>
          <w:rFonts w:cs="Arial"/>
          <w:i/>
          <w:iCs/>
          <w:lang w:eastAsia="ja-JP"/>
        </w:rPr>
        <w:t xml:space="preserve">Hospitals only performing the audit in Section </w:t>
      </w:r>
      <w:r w:rsidR="00795E01">
        <w:rPr>
          <w:rFonts w:cs="Arial"/>
          <w:i/>
          <w:iCs/>
          <w:lang w:eastAsia="ja-JP"/>
        </w:rPr>
        <w:t>9D</w:t>
      </w:r>
      <w:r>
        <w:rPr>
          <w:rFonts w:cs="Arial"/>
          <w:i/>
          <w:iCs/>
          <w:lang w:eastAsia="ja-JP"/>
        </w:rPr>
        <w:t xml:space="preserve"> question #</w:t>
      </w:r>
      <w:r w:rsidR="00C54E7A">
        <w:rPr>
          <w:rFonts w:cs="Arial"/>
          <w:i/>
          <w:iCs/>
          <w:lang w:eastAsia="ja-JP"/>
        </w:rPr>
        <w:t>6</w:t>
      </w:r>
      <w:r>
        <w:rPr>
          <w:rFonts w:cs="Arial"/>
          <w:i/>
          <w:iCs/>
          <w:lang w:eastAsia="ja-JP"/>
        </w:rPr>
        <w:t xml:space="preserve"> and not in Section </w:t>
      </w:r>
      <w:r w:rsidR="00795E01">
        <w:rPr>
          <w:rFonts w:cs="Arial"/>
          <w:i/>
          <w:iCs/>
          <w:lang w:eastAsia="ja-JP"/>
        </w:rPr>
        <w:t>3</w:t>
      </w:r>
      <w:r w:rsidR="00263AE4">
        <w:rPr>
          <w:rFonts w:cs="Arial"/>
          <w:i/>
          <w:iCs/>
          <w:lang w:eastAsia="ja-JP"/>
        </w:rPr>
        <w:t>B</w:t>
      </w:r>
      <w:r>
        <w:rPr>
          <w:rFonts w:cs="Arial"/>
          <w:i/>
          <w:iCs/>
          <w:lang w:eastAsia="ja-JP"/>
        </w:rPr>
        <w:t xml:space="preserve"> question #</w:t>
      </w:r>
      <w:r w:rsidR="00795E01">
        <w:rPr>
          <w:rFonts w:cs="Arial"/>
          <w:i/>
          <w:iCs/>
          <w:lang w:eastAsia="ja-JP"/>
        </w:rPr>
        <w:t>6</w:t>
      </w:r>
      <w:r>
        <w:rPr>
          <w:rFonts w:cs="Arial"/>
          <w:i/>
          <w:iCs/>
          <w:lang w:eastAsia="ja-JP"/>
        </w:rPr>
        <w:t xml:space="preserve"> </w:t>
      </w:r>
      <w:r w:rsidRPr="00581B5F">
        <w:rPr>
          <w:rFonts w:cs="Arial"/>
          <w:i/>
          <w:iCs/>
          <w:lang w:eastAsia="ja-JP"/>
        </w:rPr>
        <w:t xml:space="preserve">should audit 30 cases who underwent a procedure included in Section </w:t>
      </w:r>
      <w:r w:rsidR="00795E01">
        <w:rPr>
          <w:rFonts w:cs="Arial"/>
          <w:i/>
          <w:iCs/>
          <w:lang w:eastAsia="ja-JP"/>
        </w:rPr>
        <w:t>9C</w:t>
      </w:r>
      <w:r>
        <w:rPr>
          <w:rFonts w:cs="Arial"/>
          <w:i/>
          <w:iCs/>
          <w:lang w:eastAsia="ja-JP"/>
        </w:rPr>
        <w:t>.</w:t>
      </w:r>
    </w:p>
    <w:p w14:paraId="1480B844" w14:textId="77777777" w:rsidR="00EA171F" w:rsidRPr="00FE0E25" w:rsidRDefault="00EA171F" w:rsidP="00E40D19">
      <w:pPr>
        <w:rPr>
          <w:rFonts w:cs="Arial"/>
          <w:i/>
          <w:iCs/>
          <w:sz w:val="16"/>
          <w:szCs w:val="16"/>
          <w:lang w:eastAsia="ja-JP"/>
        </w:rPr>
      </w:pPr>
    </w:p>
    <w:tbl>
      <w:tblPr>
        <w:tblStyle w:val="TableGrid"/>
        <w:tblW w:w="0" w:type="auto"/>
        <w:tblLook w:val="04A0" w:firstRow="1" w:lastRow="0" w:firstColumn="1" w:lastColumn="0" w:noHBand="0" w:noVBand="1"/>
      </w:tblPr>
      <w:tblGrid>
        <w:gridCol w:w="6475"/>
        <w:gridCol w:w="2875"/>
      </w:tblGrid>
      <w:tr w:rsidR="00A879E1" w14:paraId="3202A2FA" w14:textId="77777777" w:rsidTr="00FE0E25">
        <w:trPr>
          <w:trHeight w:val="144"/>
        </w:trPr>
        <w:tc>
          <w:tcPr>
            <w:tcW w:w="6475" w:type="dxa"/>
            <w:vAlign w:val="center"/>
          </w:tcPr>
          <w:bookmarkEnd w:id="749"/>
          <w:p w14:paraId="3C34E8F5" w14:textId="26336C5A" w:rsidR="00A879E1" w:rsidRDefault="00A879E1" w:rsidP="00AD309C">
            <w:pPr>
              <w:pStyle w:val="ListParagraph"/>
              <w:numPr>
                <w:ilvl w:val="0"/>
                <w:numId w:val="159"/>
              </w:numPr>
            </w:pPr>
            <w:r>
              <w:t xml:space="preserve">Did your hospital perform an audit (either in-person or via the medical record or other EHR data) on </w:t>
            </w:r>
            <w:r w:rsidR="00DA07D2">
              <w:t xml:space="preserve">a sufficient sample of patients </w:t>
            </w:r>
            <w:r>
              <w:t xml:space="preserve">who underwent a procedure included in Section 9C and measure adherence to the safe surgery checklist? </w:t>
            </w:r>
          </w:p>
          <w:p w14:paraId="7EA35EF1" w14:textId="77777777" w:rsidR="00A879E1" w:rsidRPr="00B17A60" w:rsidRDefault="00A879E1" w:rsidP="0011459E"/>
          <w:p w14:paraId="5C7E458D" w14:textId="77777777" w:rsidR="00A879E1" w:rsidRPr="00B17A60" w:rsidRDefault="00A879E1" w:rsidP="00A879E1">
            <w:pPr>
              <w:pStyle w:val="ListParagraph"/>
              <w:ind w:left="360"/>
              <w:rPr>
                <w:i/>
                <w:iCs/>
              </w:rPr>
            </w:pPr>
            <w:r w:rsidRPr="00B17A60">
              <w:rPr>
                <w:i/>
                <w:iCs/>
              </w:rPr>
              <w:t xml:space="preserve">Hospitals with more than one hospital outpatient department, including a surgery center or free-standing hospital outpatient department, should select at least one case from each location. </w:t>
            </w:r>
          </w:p>
          <w:p w14:paraId="733F11C1" w14:textId="77777777" w:rsidR="00A879E1" w:rsidRPr="00B17A60" w:rsidRDefault="00A879E1" w:rsidP="00A879E1">
            <w:pPr>
              <w:pStyle w:val="ListParagraph"/>
              <w:ind w:left="360"/>
              <w:rPr>
                <w:i/>
                <w:iCs/>
              </w:rPr>
            </w:pPr>
          </w:p>
          <w:p w14:paraId="32E91A6B" w14:textId="5C804BA4" w:rsidR="00DA07D2" w:rsidRPr="006606DD" w:rsidRDefault="00A879E1" w:rsidP="006606DD">
            <w:pPr>
              <w:ind w:left="360"/>
              <w:rPr>
                <w:i/>
                <w:iCs/>
              </w:rPr>
            </w:pPr>
            <w:r w:rsidRPr="00B17A60">
              <w:rPr>
                <w:i/>
                <w:iCs/>
              </w:rPr>
              <w:t>If “no” to question #</w:t>
            </w:r>
            <w:r w:rsidR="00C54E7A">
              <w:rPr>
                <w:i/>
                <w:iCs/>
              </w:rPr>
              <w:t>6</w:t>
            </w:r>
            <w:r w:rsidRPr="00B17A60">
              <w:rPr>
                <w:i/>
                <w:iCs/>
              </w:rPr>
              <w:t xml:space="preserve">, </w:t>
            </w:r>
            <w:r w:rsidR="00E618A2" w:rsidRPr="001E2A00">
              <w:rPr>
                <w:rFonts w:cs="Arial"/>
                <w:i/>
                <w:iCs/>
                <w:lang w:eastAsia="ja-JP"/>
              </w:rPr>
              <w:t xml:space="preserve">skip the remaining questions in Section </w:t>
            </w:r>
            <w:r w:rsidR="00E618A2">
              <w:rPr>
                <w:rFonts w:cs="Arial"/>
                <w:i/>
                <w:iCs/>
                <w:lang w:eastAsia="ja-JP"/>
              </w:rPr>
              <w:t>9D</w:t>
            </w:r>
            <w:r w:rsidR="00E618A2" w:rsidRPr="00B17A60" w:rsidDel="00E618A2">
              <w:rPr>
                <w:i/>
                <w:iCs/>
              </w:rPr>
              <w:t xml:space="preserve"> </w:t>
            </w:r>
            <w:r w:rsidRPr="00B17A60">
              <w:rPr>
                <w:i/>
                <w:iCs/>
              </w:rPr>
              <w:t>and</w:t>
            </w:r>
            <w:r w:rsidR="00C54E7A">
              <w:rPr>
                <w:i/>
                <w:iCs/>
              </w:rPr>
              <w:t xml:space="preserve"> continue</w:t>
            </w:r>
            <w:r w:rsidRPr="00B17A60">
              <w:rPr>
                <w:i/>
                <w:iCs/>
              </w:rPr>
              <w:t xml:space="preserve"> to the </w:t>
            </w:r>
            <w:r w:rsidR="00E618A2">
              <w:rPr>
                <w:i/>
                <w:iCs/>
              </w:rPr>
              <w:t>next subsection</w:t>
            </w:r>
            <w:r w:rsidRPr="00B17A60">
              <w:rPr>
                <w:i/>
                <w:iCs/>
              </w:rPr>
              <w:t>. The hospital will be scored as “Limited Achievement.”</w:t>
            </w:r>
          </w:p>
        </w:tc>
        <w:tc>
          <w:tcPr>
            <w:tcW w:w="2875" w:type="dxa"/>
            <w:vAlign w:val="center"/>
          </w:tcPr>
          <w:p w14:paraId="03B28711" w14:textId="77777777" w:rsidR="00A879E1" w:rsidRPr="00B44C1C" w:rsidRDefault="00A879E1" w:rsidP="00AD309C">
            <w:pPr>
              <w:pStyle w:val="ListParagraph"/>
              <w:numPr>
                <w:ilvl w:val="0"/>
                <w:numId w:val="318"/>
              </w:numPr>
              <w:rPr>
                <w:iCs/>
              </w:rPr>
            </w:pPr>
            <w:r w:rsidRPr="00B44C1C">
              <w:rPr>
                <w:iCs/>
              </w:rPr>
              <w:t>Yes</w:t>
            </w:r>
          </w:p>
          <w:p w14:paraId="33A73E02" w14:textId="72F45BBB" w:rsidR="00A879E1" w:rsidRPr="00C54E7A" w:rsidRDefault="00A879E1" w:rsidP="00AD309C">
            <w:pPr>
              <w:pStyle w:val="ListParagraph"/>
              <w:numPr>
                <w:ilvl w:val="0"/>
                <w:numId w:val="318"/>
              </w:numPr>
              <w:rPr>
                <w:rFonts w:cs="Arial"/>
                <w:iCs/>
              </w:rPr>
            </w:pPr>
            <w:r w:rsidRPr="00B44C1C">
              <w:rPr>
                <w:iCs/>
              </w:rPr>
              <w:t>No</w:t>
            </w:r>
          </w:p>
        </w:tc>
      </w:tr>
      <w:tr w:rsidR="00D05526" w14:paraId="0F8DBF0D" w14:textId="77777777" w:rsidTr="00FE0E25">
        <w:trPr>
          <w:trHeight w:val="576"/>
        </w:trPr>
        <w:tc>
          <w:tcPr>
            <w:tcW w:w="6475" w:type="dxa"/>
            <w:vAlign w:val="center"/>
          </w:tcPr>
          <w:p w14:paraId="50164C4A" w14:textId="0DF915BD" w:rsidR="00D05526" w:rsidRDefault="00D05526" w:rsidP="00AD309C">
            <w:pPr>
              <w:pStyle w:val="ListParagraph"/>
              <w:numPr>
                <w:ilvl w:val="0"/>
                <w:numId w:val="159"/>
              </w:numPr>
            </w:pPr>
            <w:r>
              <w:rPr>
                <w:rFonts w:cs="Arial"/>
              </w:rPr>
              <w:lastRenderedPageBreak/>
              <w:t>How many cases were included in the audit from question #6?</w:t>
            </w:r>
          </w:p>
        </w:tc>
        <w:tc>
          <w:tcPr>
            <w:tcW w:w="2875" w:type="dxa"/>
            <w:vAlign w:val="center"/>
          </w:tcPr>
          <w:p w14:paraId="06652DE7" w14:textId="77777777" w:rsidR="00D05526" w:rsidRDefault="00D05526" w:rsidP="00D05526">
            <w:pPr>
              <w:jc w:val="center"/>
              <w:rPr>
                <w:rFonts w:cs="Arial"/>
                <w:snapToGrid w:val="0"/>
              </w:rPr>
            </w:pPr>
            <w:r w:rsidRPr="009A3F32">
              <w:rPr>
                <w:rFonts w:cs="Arial"/>
                <w:snapToGrid w:val="0"/>
              </w:rPr>
              <w:t>_______</w:t>
            </w:r>
          </w:p>
          <w:p w14:paraId="0279A3CE" w14:textId="05B3F888" w:rsidR="002B1CE0" w:rsidRPr="00C355C4" w:rsidRDefault="002B1CE0" w:rsidP="00D05526">
            <w:pPr>
              <w:jc w:val="center"/>
              <w:rPr>
                <w:i/>
              </w:rPr>
            </w:pPr>
            <w:r w:rsidRPr="005149DB">
              <w:rPr>
                <w:i/>
                <w:sz w:val="16"/>
                <w:szCs w:val="16"/>
              </w:rPr>
              <w:t>Max value is 100</w:t>
            </w:r>
          </w:p>
        </w:tc>
      </w:tr>
      <w:tr w:rsidR="00C54E7A" w14:paraId="4866C87A" w14:textId="77777777" w:rsidTr="002C1116">
        <w:trPr>
          <w:trHeight w:val="864"/>
        </w:trPr>
        <w:tc>
          <w:tcPr>
            <w:tcW w:w="6475" w:type="dxa"/>
            <w:vAlign w:val="center"/>
          </w:tcPr>
          <w:p w14:paraId="2A3318E7" w14:textId="525D2BD5" w:rsidR="00C54E7A" w:rsidRPr="00764EEA" w:rsidRDefault="00C54E7A" w:rsidP="00AD309C">
            <w:pPr>
              <w:pStyle w:val="ListParagraph"/>
              <w:numPr>
                <w:ilvl w:val="0"/>
                <w:numId w:val="159"/>
              </w:numPr>
              <w:rPr>
                <w:rFonts w:cs="Arial"/>
              </w:rPr>
            </w:pPr>
            <w:r>
              <w:t xml:space="preserve">Which method was used to perform the audit on a sufficient sample in question #6? </w:t>
            </w:r>
          </w:p>
        </w:tc>
        <w:tc>
          <w:tcPr>
            <w:tcW w:w="2875" w:type="dxa"/>
            <w:vAlign w:val="center"/>
          </w:tcPr>
          <w:p w14:paraId="1F0FC438" w14:textId="5432BE3D" w:rsidR="00C54E7A" w:rsidRPr="00B44C1C" w:rsidRDefault="00C54E7A" w:rsidP="00AD309C">
            <w:pPr>
              <w:pStyle w:val="ListParagraph"/>
              <w:numPr>
                <w:ilvl w:val="0"/>
                <w:numId w:val="318"/>
              </w:numPr>
              <w:rPr>
                <w:iCs/>
              </w:rPr>
            </w:pPr>
            <w:r w:rsidRPr="00B44C1C">
              <w:rPr>
                <w:iCs/>
              </w:rPr>
              <w:t>In-person observational audit</w:t>
            </w:r>
          </w:p>
          <w:p w14:paraId="3AE756D6" w14:textId="473D7DB5" w:rsidR="00C54E7A" w:rsidRPr="00B44C1C" w:rsidRDefault="00C54E7A" w:rsidP="00AD309C">
            <w:pPr>
              <w:pStyle w:val="ListParagraph"/>
              <w:numPr>
                <w:ilvl w:val="0"/>
                <w:numId w:val="318"/>
              </w:numPr>
              <w:rPr>
                <w:iCs/>
              </w:rPr>
            </w:pPr>
            <w:r w:rsidRPr="00B44C1C">
              <w:rPr>
                <w:iCs/>
              </w:rPr>
              <w:t>Retrospective audit of medical records or EHR data</w:t>
            </w:r>
          </w:p>
          <w:p w14:paraId="054F25B8" w14:textId="24196C77" w:rsidR="00C54E7A" w:rsidRPr="00B44C1C" w:rsidRDefault="00C54E7A" w:rsidP="00AD309C">
            <w:pPr>
              <w:pStyle w:val="ListParagraph"/>
              <w:numPr>
                <w:ilvl w:val="0"/>
                <w:numId w:val="318"/>
              </w:numPr>
              <w:rPr>
                <w:iCs/>
              </w:rPr>
            </w:pPr>
            <w:r w:rsidRPr="00B44C1C">
              <w:rPr>
                <w:iCs/>
              </w:rPr>
              <w:t>Both</w:t>
            </w:r>
          </w:p>
        </w:tc>
      </w:tr>
      <w:tr w:rsidR="00C54E7A" w14:paraId="63409EA2" w14:textId="77777777" w:rsidTr="002C1116">
        <w:trPr>
          <w:trHeight w:val="1440"/>
        </w:trPr>
        <w:tc>
          <w:tcPr>
            <w:tcW w:w="6475" w:type="dxa"/>
            <w:vAlign w:val="center"/>
          </w:tcPr>
          <w:p w14:paraId="2A25D8D9" w14:textId="369B5F2C" w:rsidR="00C54E7A" w:rsidRPr="00A879E1" w:rsidRDefault="00C54E7A" w:rsidP="00AD309C">
            <w:pPr>
              <w:pStyle w:val="ListParagraph"/>
              <w:numPr>
                <w:ilvl w:val="0"/>
                <w:numId w:val="159"/>
              </w:numPr>
              <w:rPr>
                <w:rFonts w:cs="Arial"/>
              </w:rPr>
            </w:pPr>
            <w:r w:rsidRPr="00B17A60">
              <w:t xml:space="preserve">Based on your hospital’s audit (either in-person or via the medical record or other EHR data) on </w:t>
            </w:r>
            <w:r>
              <w:t>a sufficient sample</w:t>
            </w:r>
            <w:r w:rsidRPr="00B17A60">
              <w:t xml:space="preserve"> of patients who underwent a procedure included in Section </w:t>
            </w:r>
            <w:r>
              <w:t>9C</w:t>
            </w:r>
            <w:r w:rsidRPr="00B17A60">
              <w:t>, what was your hospitals documented rate of adherence to the safe surgery checklist (</w:t>
            </w:r>
            <w:r w:rsidR="00BC707A">
              <w:t>i</w:t>
            </w:r>
            <w:r w:rsidRPr="00B17A60">
              <w:t>.</w:t>
            </w:r>
            <w:r w:rsidR="00BC707A">
              <w:t>e</w:t>
            </w:r>
            <w:r w:rsidRPr="00B17A60">
              <w:t>., what percentage of the sampled cases had all elements in questions #</w:t>
            </w:r>
            <w:r>
              <w:t>3</w:t>
            </w:r>
            <w:r w:rsidRPr="00B17A60">
              <w:t>, #</w:t>
            </w:r>
            <w:r>
              <w:t>4</w:t>
            </w:r>
            <w:r w:rsidRPr="00B17A60">
              <w:t>, and #</w:t>
            </w:r>
            <w:r>
              <w:t>5</w:t>
            </w:r>
            <w:r w:rsidRPr="00B17A60">
              <w:t xml:space="preserve"> completed)?</w:t>
            </w:r>
          </w:p>
        </w:tc>
        <w:tc>
          <w:tcPr>
            <w:tcW w:w="2875" w:type="dxa"/>
            <w:vAlign w:val="center"/>
          </w:tcPr>
          <w:p w14:paraId="2E9FC9D1" w14:textId="77777777" w:rsidR="00C54E7A" w:rsidRPr="00B44C1C" w:rsidRDefault="00C54E7A" w:rsidP="00AD309C">
            <w:pPr>
              <w:pStyle w:val="ListParagraph"/>
              <w:numPr>
                <w:ilvl w:val="0"/>
                <w:numId w:val="318"/>
              </w:numPr>
              <w:spacing w:line="276" w:lineRule="auto"/>
              <w:rPr>
                <w:iCs/>
              </w:rPr>
            </w:pPr>
            <w:r w:rsidRPr="00B44C1C">
              <w:rPr>
                <w:iCs/>
              </w:rPr>
              <w:t>90%-100%</w:t>
            </w:r>
          </w:p>
          <w:p w14:paraId="430E2633" w14:textId="77777777" w:rsidR="00C54E7A" w:rsidRPr="00B44C1C" w:rsidRDefault="00C54E7A" w:rsidP="00AD309C">
            <w:pPr>
              <w:pStyle w:val="ListParagraph"/>
              <w:numPr>
                <w:ilvl w:val="0"/>
                <w:numId w:val="318"/>
              </w:numPr>
              <w:spacing w:line="276" w:lineRule="auto"/>
              <w:rPr>
                <w:iCs/>
              </w:rPr>
            </w:pPr>
            <w:r w:rsidRPr="00B44C1C">
              <w:rPr>
                <w:iCs/>
              </w:rPr>
              <w:t>75%-89%</w:t>
            </w:r>
          </w:p>
          <w:p w14:paraId="10DC531D" w14:textId="78424214" w:rsidR="00C54E7A" w:rsidRPr="00B44C1C" w:rsidRDefault="00C54E7A" w:rsidP="00AD309C">
            <w:pPr>
              <w:pStyle w:val="ListParagraph"/>
              <w:numPr>
                <w:ilvl w:val="0"/>
                <w:numId w:val="318"/>
              </w:numPr>
              <w:spacing w:line="276" w:lineRule="auto"/>
              <w:rPr>
                <w:iCs/>
              </w:rPr>
            </w:pPr>
            <w:r w:rsidRPr="00B44C1C">
              <w:rPr>
                <w:iCs/>
              </w:rPr>
              <w:t>50</w:t>
            </w:r>
            <w:r w:rsidR="00021B40">
              <w:rPr>
                <w:iCs/>
              </w:rPr>
              <w:t>%</w:t>
            </w:r>
            <w:r w:rsidRPr="00B44C1C">
              <w:rPr>
                <w:iCs/>
              </w:rPr>
              <w:t>-74%</w:t>
            </w:r>
          </w:p>
          <w:p w14:paraId="08FCBF39" w14:textId="6F6D382E" w:rsidR="00C54E7A" w:rsidRPr="00C54E7A" w:rsidRDefault="00C54E7A" w:rsidP="00AD309C">
            <w:pPr>
              <w:pStyle w:val="ListParagraph"/>
              <w:numPr>
                <w:ilvl w:val="0"/>
                <w:numId w:val="318"/>
              </w:numPr>
              <w:rPr>
                <w:rFonts w:cs="Arial"/>
                <w:iCs/>
              </w:rPr>
            </w:pPr>
            <w:r w:rsidRPr="00B44C1C">
              <w:rPr>
                <w:iCs/>
              </w:rPr>
              <w:t>Less than 50%</w:t>
            </w:r>
          </w:p>
        </w:tc>
      </w:tr>
    </w:tbl>
    <w:p w14:paraId="2E612030" w14:textId="77777777" w:rsidR="00FE0E25" w:rsidRDefault="00FE0E25">
      <w:pPr>
        <w:rPr>
          <w:b/>
          <w:snapToGrid w:val="0"/>
          <w:sz w:val="28"/>
          <w:szCs w:val="24"/>
          <w:u w:val="single"/>
          <w:lang w:eastAsia="ja-JP"/>
        </w:rPr>
      </w:pPr>
      <w:r>
        <w:br w:type="page"/>
      </w:r>
    </w:p>
    <w:p w14:paraId="7238315E" w14:textId="1704CE0A" w:rsidR="00343369" w:rsidRDefault="00FB07A6" w:rsidP="00CF5A6E">
      <w:pPr>
        <w:pStyle w:val="Heading2"/>
      </w:pPr>
      <w:bookmarkStart w:id="750" w:name="_Toc225877847"/>
      <w:r>
        <w:lastRenderedPageBreak/>
        <w:t>9E: Medication Safety for Outpatient Procedures</w:t>
      </w:r>
      <w:bookmarkEnd w:id="750"/>
    </w:p>
    <w:p w14:paraId="29DEA279" w14:textId="77777777" w:rsidR="00FB07A6" w:rsidRDefault="00FB07A6" w:rsidP="00343369">
      <w:pPr>
        <w:rPr>
          <w:rFonts w:cs="Arial"/>
          <w:color w:val="000000"/>
        </w:rPr>
      </w:pPr>
    </w:p>
    <w:p w14:paraId="6A58A049" w14:textId="287595B3" w:rsidR="00D3503C" w:rsidRPr="00F42133" w:rsidRDefault="00D3503C" w:rsidP="00D3503C">
      <w:pPr>
        <w:rPr>
          <w:rFonts w:cs="Arial"/>
          <w:snapToGrid w:val="0"/>
        </w:rPr>
      </w:pP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74" w:history="1">
        <w:r w:rsidRPr="009A5185">
          <w:rPr>
            <w:rStyle w:val="Hyperlink"/>
            <w:rFonts w:cs="Arial"/>
            <w:snapToGrid w:val="0"/>
          </w:rPr>
          <w:t>Leapfrog’s Multi-Campus Reporting Policy</w:t>
        </w:r>
      </w:hyperlink>
      <w:r w:rsidRPr="009A5185">
        <w:rPr>
          <w:rFonts w:cs="Arial"/>
          <w:snapToGrid w:val="0"/>
        </w:rPr>
        <w:t>.</w:t>
      </w:r>
    </w:p>
    <w:p w14:paraId="780EC997" w14:textId="77777777" w:rsidR="00D3503C" w:rsidRPr="009A5185" w:rsidRDefault="00D3503C" w:rsidP="00343369">
      <w:pPr>
        <w:rPr>
          <w:rFonts w:cs="Arial"/>
          <w:color w:val="000000"/>
        </w:rPr>
      </w:pPr>
    </w:p>
    <w:p w14:paraId="621A0590" w14:textId="62315AFC" w:rsidR="008E7151" w:rsidRDefault="00343369" w:rsidP="00A879E1">
      <w:pPr>
        <w:pStyle w:val="BodyText3"/>
        <w:rPr>
          <w:snapToGrid w:val="0"/>
        </w:rPr>
      </w:pPr>
      <w:r w:rsidRPr="009A5185">
        <w:rPr>
          <w:rFonts w:cs="Arial"/>
          <w:b/>
          <w:color w:val="FF0000"/>
        </w:rPr>
        <w:t>Important Note:</w:t>
      </w:r>
      <w:r w:rsidR="00FB07A6">
        <w:rPr>
          <w:rFonts w:cs="Arial"/>
          <w:b/>
          <w:color w:val="FF0000"/>
        </w:rPr>
        <w:t xml:space="preserve"> </w:t>
      </w:r>
      <w:r w:rsidR="003F6DF1">
        <w:rPr>
          <w:rFonts w:cs="Arial"/>
          <w:color w:val="auto"/>
        </w:rPr>
        <w:t xml:space="preserve">The term “hospital outpatient department” is used to refer to all hospital outpatient departments or areas of the hospital, including areas that are used for </w:t>
      </w:r>
      <w:r w:rsidR="003F6DF1">
        <w:rPr>
          <w:rFonts w:cs="Arial"/>
          <w:b/>
          <w:bCs/>
          <w:color w:val="auto"/>
        </w:rPr>
        <w:t xml:space="preserve">both </w:t>
      </w:r>
      <w:r w:rsidR="003F6DF1">
        <w:rPr>
          <w:rFonts w:cs="Arial"/>
          <w:color w:val="auto"/>
        </w:rPr>
        <w:t xml:space="preserve">inpatient and outpatient procedures, that perform the outpatient procedures listed in Section 9C and that share your hospital’s license or CMS Certification Number (CCN). This would include, but is not limited to surgery centers, free-standing hospital outpatient departments, as well as outpatient departments that are located in your hospital or are </w:t>
      </w:r>
      <w:hyperlink w:anchor="Endnote19_ColocatedNICU" w:history="1">
        <w:r w:rsidR="003F6DF1" w:rsidRPr="005C395A">
          <w:rPr>
            <w:rStyle w:val="Hyperlink"/>
          </w:rPr>
          <w:t>co-located</w:t>
        </w:r>
      </w:hyperlink>
      <w:r w:rsidR="003E5A10">
        <w:fldChar w:fldCharType="begin"/>
      </w:r>
      <w:r w:rsidR="003E5A10">
        <w:rPr>
          <w:rStyle w:val="Hyperlink"/>
        </w:rPr>
        <w:instrText xml:space="preserve"> NOTEREF _Ref134616250 \f \h </w:instrText>
      </w:r>
      <w:r w:rsidR="003E5A10">
        <w:fldChar w:fldCharType="separate"/>
      </w:r>
      <w:r w:rsidR="007D53A2" w:rsidRPr="00E362A3">
        <w:rPr>
          <w:rStyle w:val="EndnoteReference"/>
        </w:rPr>
        <w:t>31</w:t>
      </w:r>
      <w:r w:rsidR="003E5A10">
        <w:fldChar w:fldCharType="end"/>
      </w:r>
      <w:r w:rsidR="003F6DF1">
        <w:rPr>
          <w:rFonts w:cs="Arial"/>
          <w:color w:val="auto"/>
        </w:rPr>
        <w:t xml:space="preserve"> with your hospital. Hospitals should only include hospital outpatient departments or areas of the hospital that perform the procedures listed in Section 9C in an </w:t>
      </w:r>
      <w:hyperlink w:anchor="Endnote49_OR" w:history="1">
        <w:r w:rsidR="003F6DF1" w:rsidRPr="00A879E1">
          <w:rPr>
            <w:rStyle w:val="Hyperlink"/>
          </w:rPr>
          <w:t>operating room</w:t>
        </w:r>
      </w:hyperlink>
      <w:r w:rsidR="003F6DF1">
        <w:rPr>
          <w:vertAlign w:val="superscript"/>
        </w:rPr>
        <w:fldChar w:fldCharType="begin"/>
      </w:r>
      <w:r w:rsidR="003F6DF1">
        <w:instrText xml:space="preserve"> NOTEREF _Ref534299024 \f \h </w:instrText>
      </w:r>
      <w:r w:rsidR="003F6DF1">
        <w:rPr>
          <w:vertAlign w:val="superscript"/>
        </w:rPr>
      </w:r>
      <w:r w:rsidR="003F6DF1">
        <w:rPr>
          <w:vertAlign w:val="superscript"/>
        </w:rPr>
        <w:fldChar w:fldCharType="separate"/>
      </w:r>
      <w:r w:rsidR="007D53A2" w:rsidRPr="00E362A3">
        <w:rPr>
          <w:rStyle w:val="EndnoteReference"/>
        </w:rPr>
        <w:t>52</w:t>
      </w:r>
      <w:r w:rsidR="003F6DF1">
        <w:rPr>
          <w:vertAlign w:val="superscript"/>
        </w:rPr>
        <w:fldChar w:fldCharType="end"/>
      </w:r>
      <w:r w:rsidR="003F6DF1">
        <w:t xml:space="preserve"> or </w:t>
      </w:r>
      <w:hyperlink w:anchor="procedureroom" w:history="1">
        <w:r w:rsidR="003F6DF1" w:rsidRPr="00A879E1">
          <w:rPr>
            <w:rStyle w:val="Hyperlink"/>
          </w:rPr>
          <w:t>procedure room</w:t>
        </w:r>
      </w:hyperlink>
      <w:r w:rsidR="003F6DF1">
        <w:fldChar w:fldCharType="begin"/>
      </w:r>
      <w:r w:rsidR="003F6DF1">
        <w:instrText xml:space="preserve"> NOTEREF _Ref534299351 \f \h </w:instrText>
      </w:r>
      <w:r w:rsidR="003F6DF1">
        <w:fldChar w:fldCharType="separate"/>
      </w:r>
      <w:r w:rsidR="007D53A2" w:rsidRPr="00E362A3">
        <w:rPr>
          <w:rStyle w:val="EndnoteReference"/>
        </w:rPr>
        <w:t>53</w:t>
      </w:r>
      <w:r w:rsidR="003F6DF1">
        <w:fldChar w:fldCharType="end"/>
      </w:r>
      <w:r w:rsidR="003F6DF1">
        <w:t>.</w:t>
      </w:r>
    </w:p>
    <w:p w14:paraId="4E748C18" w14:textId="77777777" w:rsidR="00343369" w:rsidRPr="009A5185" w:rsidRDefault="00343369" w:rsidP="008E7151">
      <w:pPr>
        <w:pStyle w:val="BodyText3"/>
        <w:rPr>
          <w:rFonts w:cs="Arial"/>
          <w:snapToGrid w:val="0"/>
        </w:rPr>
      </w:pPr>
    </w:p>
    <w:p w14:paraId="682F5454" w14:textId="2D137C46" w:rsidR="00CE0DC8" w:rsidRDefault="00CE0DC8" w:rsidP="00343369">
      <w:pPr>
        <w:rPr>
          <w:rFonts w:cs="Arial"/>
          <w:snapToGrid w:val="0"/>
        </w:rPr>
      </w:pPr>
      <w:r w:rsidRPr="009A5185">
        <w:rPr>
          <w:rFonts w:cs="Arial"/>
          <w:b/>
        </w:rPr>
        <w:t xml:space="preserve">Specifications: </w:t>
      </w:r>
      <w:r w:rsidRPr="009A5185">
        <w:rPr>
          <w:rFonts w:cs="Arial"/>
          <w:snapToGrid w:val="0"/>
        </w:rPr>
        <w:t xml:space="preserve">See </w:t>
      </w:r>
      <w:hyperlink w:anchor="_Medication_Safety_for_2" w:history="1">
        <w:r w:rsidR="00A715C8">
          <w:rPr>
            <w:rStyle w:val="Hyperlink"/>
            <w:rFonts w:cs="Arial"/>
            <w:b/>
            <w:i/>
            <w:snapToGrid w:val="0"/>
          </w:rPr>
          <w:t>Medication Safety for Outpatient Procedures Measure Specifications</w:t>
        </w:r>
      </w:hyperlink>
      <w:r w:rsidRPr="009A5185">
        <w:rPr>
          <w:rFonts w:cs="Arial"/>
          <w:snapToGrid w:val="0"/>
        </w:rPr>
        <w:t xml:space="preserve"> in the Reference Information </w:t>
      </w:r>
      <w:r w:rsidR="00BF3C8D">
        <w:rPr>
          <w:rFonts w:cs="Arial"/>
        </w:rPr>
        <w:t xml:space="preserve">beginning on page </w:t>
      </w:r>
      <w:r w:rsidR="00D40C9E">
        <w:rPr>
          <w:rFonts w:cs="Arial"/>
        </w:rPr>
        <w:t>329.</w:t>
      </w:r>
    </w:p>
    <w:p w14:paraId="04BB9885" w14:textId="77777777" w:rsidR="00343369" w:rsidRDefault="00343369" w:rsidP="00343369">
      <w:pPr>
        <w:rPr>
          <w:rFonts w:cs="Arial"/>
          <w:snapToGrid w:val="0"/>
        </w:rPr>
      </w:pPr>
    </w:p>
    <w:p w14:paraId="1E6740FA" w14:textId="7F39B420" w:rsidR="007206A4" w:rsidRDefault="00C57E28" w:rsidP="007206A4">
      <w:r>
        <w:rPr>
          <w:noProof/>
        </w:rPr>
        <mc:AlternateContent>
          <mc:Choice Requires="wps">
            <w:drawing>
              <wp:inline distT="0" distB="0" distL="0" distR="0" wp14:anchorId="63C022CA" wp14:editId="0C5376ED">
                <wp:extent cx="5923722" cy="1404620"/>
                <wp:effectExtent l="0" t="0" r="20320" b="12065"/>
                <wp:docPr id="48" name="Text Box 48" descr="P11710TB3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722" cy="1404620"/>
                        </a:xfrm>
                        <a:prstGeom prst="rect">
                          <a:avLst/>
                        </a:prstGeom>
                        <a:solidFill>
                          <a:srgbClr val="FFFFFF"/>
                        </a:solidFill>
                        <a:ln w="9525">
                          <a:solidFill>
                            <a:srgbClr val="FF0000"/>
                          </a:solidFill>
                          <a:miter lim="800000"/>
                          <a:headEnd/>
                          <a:tailEnd/>
                        </a:ln>
                      </wps:spPr>
                      <wps:txbx>
                        <w:txbxContent>
                          <w:p w14:paraId="12496A1C" w14:textId="276409C2" w:rsidR="00C57E28" w:rsidRPr="0002601E" w:rsidRDefault="00C57E28" w:rsidP="00C57E28">
                            <w:pPr>
                              <w:spacing w:before="120"/>
                              <w:rPr>
                                <w:rFonts w:cs="Arial"/>
                                <w:b/>
                                <w:snapToGrid w:val="0"/>
                              </w:rPr>
                            </w:pPr>
                            <w:r w:rsidRPr="009A5185">
                              <w:rPr>
                                <w:rFonts w:cs="Arial"/>
                                <w:b/>
                                <w:snapToGrid w:val="0"/>
                              </w:rPr>
                              <w:t>Reporting Period: 12 months</w:t>
                            </w:r>
                            <w:r>
                              <w:rPr>
                                <w:rFonts w:cs="Arial"/>
                                <w:b/>
                                <w:snapToGrid w:val="0"/>
                              </w:rPr>
                              <w:br/>
                            </w:r>
                            <w:r>
                              <w:rPr>
                                <w:rFonts w:cs="Arial"/>
                                <w:snapToGrid w:val="0"/>
                              </w:rPr>
                              <w:t>Answer questions #</w:t>
                            </w:r>
                            <w:r w:rsidR="00624AD0">
                              <w:rPr>
                                <w:rFonts w:cs="Arial"/>
                                <w:snapToGrid w:val="0"/>
                              </w:rPr>
                              <w:t>2</w:t>
                            </w:r>
                            <w:r>
                              <w:rPr>
                                <w:rFonts w:cs="Arial"/>
                                <w:snapToGrid w:val="0"/>
                              </w:rPr>
                              <w:t xml:space="preserve">-7 based on all cases (or a </w:t>
                            </w:r>
                            <w:r w:rsidRPr="006A1264">
                              <w:rPr>
                                <w:rFonts w:cs="Arial"/>
                                <w:snapToGrid w:val="0"/>
                              </w:rPr>
                              <w:t>sufficient sample</w:t>
                            </w:r>
                            <w:r>
                              <w:rPr>
                                <w:rFonts w:cs="Arial"/>
                                <w:snapToGrid w:val="0"/>
                              </w:rPr>
                              <w:t xml:space="preserve"> of them),</w:t>
                            </w:r>
                          </w:p>
                          <w:p w14:paraId="25785EE2" w14:textId="77777777" w:rsidR="00C57E28" w:rsidRPr="00304B99" w:rsidRDefault="00C57E28" w:rsidP="00AD309C">
                            <w:pPr>
                              <w:pStyle w:val="ListParagraph"/>
                              <w:numPr>
                                <w:ilvl w:val="0"/>
                                <w:numId w:val="36"/>
                              </w:numPr>
                              <w:rPr>
                                <w:rFonts w:cs="Arial"/>
                                <w:i/>
                                <w:snapToGrid w:val="0"/>
                              </w:rPr>
                            </w:pPr>
                            <w:r>
                              <w:rPr>
                                <w:rFonts w:cs="Arial"/>
                                <w:snapToGrid w:val="0"/>
                              </w:rPr>
                              <w:t>Surveys submitted prior to September 1:</w:t>
                            </w:r>
                          </w:p>
                          <w:p w14:paraId="15DCCC1C" w14:textId="2033E15A" w:rsidR="00C57E28" w:rsidRPr="009A5185" w:rsidRDefault="00C57E28" w:rsidP="00AD309C">
                            <w:pPr>
                              <w:pStyle w:val="ListParagraph"/>
                              <w:numPr>
                                <w:ilvl w:val="1"/>
                                <w:numId w:val="36"/>
                              </w:numPr>
                              <w:rPr>
                                <w:rFonts w:cs="Arial"/>
                                <w:i/>
                                <w:snapToGrid w:val="0"/>
                              </w:rPr>
                            </w:pPr>
                            <w:r>
                              <w:rPr>
                                <w:rFonts w:cs="Arial"/>
                                <w:snapToGrid w:val="0"/>
                              </w:rPr>
                              <w:t>01/01/202</w:t>
                            </w:r>
                            <w:r w:rsidR="0002289F">
                              <w:rPr>
                                <w:rFonts w:cs="Arial"/>
                                <w:snapToGrid w:val="0"/>
                              </w:rPr>
                              <w:t>5</w:t>
                            </w:r>
                            <w:r>
                              <w:rPr>
                                <w:rFonts w:cs="Arial"/>
                                <w:snapToGrid w:val="0"/>
                              </w:rPr>
                              <w:t xml:space="preserve"> – 12/31/202</w:t>
                            </w:r>
                            <w:r w:rsidR="0002289F">
                              <w:rPr>
                                <w:rFonts w:cs="Arial"/>
                                <w:snapToGrid w:val="0"/>
                              </w:rPr>
                              <w:t>5</w:t>
                            </w:r>
                          </w:p>
                          <w:p w14:paraId="528F1700" w14:textId="77777777" w:rsidR="00C57E28" w:rsidRPr="00304B99" w:rsidRDefault="00C57E28"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56724A1E" w14:textId="4F0D7A6F" w:rsidR="00C57E28" w:rsidRPr="006E2CB6" w:rsidRDefault="00C57E28"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02289F">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02289F">
                              <w:rPr>
                                <w:rFonts w:cs="Arial"/>
                                <w:snapToGrid w:val="0"/>
                              </w:rPr>
                              <w:t>6</w:t>
                            </w:r>
                          </w:p>
                          <w:p w14:paraId="7992490C" w14:textId="77777777" w:rsidR="00C57E28" w:rsidRDefault="00C57E28" w:rsidP="00C57E28">
                            <w:pPr>
                              <w:rPr>
                                <w:rFonts w:cs="Arial"/>
                                <w:i/>
                                <w:snapToGrid w:val="0"/>
                              </w:rPr>
                            </w:pPr>
                          </w:p>
                          <w:p w14:paraId="0535F9F3" w14:textId="2552C441" w:rsidR="00C57E28" w:rsidRDefault="00C57E28" w:rsidP="00C57E28">
                            <w:r w:rsidRPr="006547C0">
                              <w:rPr>
                                <w:rFonts w:cs="Arial"/>
                                <w:sz w:val="16"/>
                                <w:szCs w:val="16"/>
                              </w:rPr>
                              <w:t xml:space="preserve">Note: As a reminder, the </w:t>
                            </w:r>
                            <w:hyperlink r:id="rId475"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wps:txbx>
                      <wps:bodyPr rot="0" vert="horz" wrap="square" lIns="91440" tIns="45720" rIns="91440" bIns="45720" anchor="t" anchorCtr="0">
                        <a:spAutoFit/>
                      </wps:bodyPr>
                    </wps:wsp>
                  </a:graphicData>
                </a:graphic>
              </wp:inline>
            </w:drawing>
          </mc:Choice>
          <mc:Fallback>
            <w:pict>
              <v:shape w14:anchorId="63C022CA" id="Text Box 48" o:spid="_x0000_s1063" type="#_x0000_t202" alt="P11710TB36#y1" style="width:466.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" strokecolor="red">
                <v:textbox style="mso-fit-shape-to-text:t">
                  <w:txbxContent>
                    <w:p w14:paraId="12496A1C" w14:textId="276409C2" w:rsidR="00C57E28" w:rsidRPr="0002601E" w:rsidRDefault="00C57E28" w:rsidP="00C57E28">
                      <w:pPr>
                        <w:spacing w:before="120"/>
                        <w:rPr>
                          <w:rFonts w:cs="Arial"/>
                          <w:b/>
                          <w:snapToGrid w:val="0"/>
                        </w:rPr>
                      </w:pPr>
                      <w:r w:rsidRPr="009A5185">
                        <w:rPr>
                          <w:rFonts w:cs="Arial"/>
                          <w:b/>
                          <w:snapToGrid w:val="0"/>
                        </w:rPr>
                        <w:t>Reporting Period: 12 months</w:t>
                      </w:r>
                      <w:r>
                        <w:rPr>
                          <w:rFonts w:cs="Arial"/>
                          <w:b/>
                          <w:snapToGrid w:val="0"/>
                        </w:rPr>
                        <w:br/>
                      </w:r>
                      <w:r>
                        <w:rPr>
                          <w:rFonts w:cs="Arial"/>
                          <w:snapToGrid w:val="0"/>
                        </w:rPr>
                        <w:t>Answer questions #</w:t>
                      </w:r>
                      <w:r w:rsidR="00624AD0">
                        <w:rPr>
                          <w:rFonts w:cs="Arial"/>
                          <w:snapToGrid w:val="0"/>
                        </w:rPr>
                        <w:t>2</w:t>
                      </w:r>
                      <w:r>
                        <w:rPr>
                          <w:rFonts w:cs="Arial"/>
                          <w:snapToGrid w:val="0"/>
                        </w:rPr>
                        <w:t xml:space="preserve">-7 based on all cases (or a </w:t>
                      </w:r>
                      <w:r w:rsidRPr="006A1264">
                        <w:rPr>
                          <w:rFonts w:cs="Arial"/>
                          <w:snapToGrid w:val="0"/>
                        </w:rPr>
                        <w:t>sufficient sample</w:t>
                      </w:r>
                      <w:r>
                        <w:rPr>
                          <w:rFonts w:cs="Arial"/>
                          <w:snapToGrid w:val="0"/>
                        </w:rPr>
                        <w:t xml:space="preserve"> of them),</w:t>
                      </w:r>
                    </w:p>
                    <w:p w14:paraId="25785EE2" w14:textId="77777777" w:rsidR="00C57E28" w:rsidRPr="00304B99" w:rsidRDefault="00C57E28" w:rsidP="00AD309C">
                      <w:pPr>
                        <w:pStyle w:val="ListParagraph"/>
                        <w:numPr>
                          <w:ilvl w:val="0"/>
                          <w:numId w:val="36"/>
                        </w:numPr>
                        <w:rPr>
                          <w:rFonts w:cs="Arial"/>
                          <w:i/>
                          <w:snapToGrid w:val="0"/>
                        </w:rPr>
                      </w:pPr>
                      <w:r>
                        <w:rPr>
                          <w:rFonts w:cs="Arial"/>
                          <w:snapToGrid w:val="0"/>
                        </w:rPr>
                        <w:t>Surveys submitted prior to September 1:</w:t>
                      </w:r>
                    </w:p>
                    <w:p w14:paraId="15DCCC1C" w14:textId="2033E15A" w:rsidR="00C57E28" w:rsidRPr="009A5185" w:rsidRDefault="00C57E28" w:rsidP="00AD309C">
                      <w:pPr>
                        <w:pStyle w:val="ListParagraph"/>
                        <w:numPr>
                          <w:ilvl w:val="1"/>
                          <w:numId w:val="36"/>
                        </w:numPr>
                        <w:rPr>
                          <w:rFonts w:cs="Arial"/>
                          <w:i/>
                          <w:snapToGrid w:val="0"/>
                        </w:rPr>
                      </w:pPr>
                      <w:r>
                        <w:rPr>
                          <w:rFonts w:cs="Arial"/>
                          <w:snapToGrid w:val="0"/>
                        </w:rPr>
                        <w:t>01/01/202</w:t>
                      </w:r>
                      <w:r w:rsidR="0002289F">
                        <w:rPr>
                          <w:rFonts w:cs="Arial"/>
                          <w:snapToGrid w:val="0"/>
                        </w:rPr>
                        <w:t>5</w:t>
                      </w:r>
                      <w:r>
                        <w:rPr>
                          <w:rFonts w:cs="Arial"/>
                          <w:snapToGrid w:val="0"/>
                        </w:rPr>
                        <w:t xml:space="preserve"> – 12/31/202</w:t>
                      </w:r>
                      <w:r w:rsidR="0002289F">
                        <w:rPr>
                          <w:rFonts w:cs="Arial"/>
                          <w:snapToGrid w:val="0"/>
                        </w:rPr>
                        <w:t>5</w:t>
                      </w:r>
                    </w:p>
                    <w:p w14:paraId="528F1700" w14:textId="77777777" w:rsidR="00C57E28" w:rsidRPr="00304B99" w:rsidRDefault="00C57E28" w:rsidP="00AD309C">
                      <w:pPr>
                        <w:pStyle w:val="ListParagraph"/>
                        <w:numPr>
                          <w:ilvl w:val="0"/>
                          <w:numId w:val="36"/>
                        </w:numPr>
                        <w:rPr>
                          <w:rFonts w:cs="Arial"/>
                          <w:i/>
                          <w:snapToGrid w:val="0"/>
                        </w:rPr>
                      </w:pPr>
                      <w:r w:rsidRPr="009A5185">
                        <w:rPr>
                          <w:rFonts w:cs="Arial"/>
                          <w:snapToGrid w:val="0"/>
                        </w:rPr>
                        <w:t xml:space="preserve">Surveys (re)submitted on or after September 1: </w:t>
                      </w:r>
                    </w:p>
                    <w:p w14:paraId="56724A1E" w14:textId="4F0D7A6F" w:rsidR="00C57E28" w:rsidRPr="006E2CB6" w:rsidRDefault="00C57E28" w:rsidP="00AD309C">
                      <w:pPr>
                        <w:pStyle w:val="ListParagraph"/>
                        <w:numPr>
                          <w:ilvl w:val="1"/>
                          <w:numId w:val="36"/>
                        </w:numPr>
                        <w:rPr>
                          <w:rFonts w:cs="Arial"/>
                          <w:i/>
                          <w:snapToGrid w:val="0"/>
                        </w:rPr>
                      </w:pPr>
                      <w:r w:rsidRPr="009A5185">
                        <w:rPr>
                          <w:rFonts w:cs="Arial"/>
                          <w:snapToGrid w:val="0"/>
                        </w:rPr>
                        <w:t>07/01/</w:t>
                      </w:r>
                      <w:r>
                        <w:rPr>
                          <w:rFonts w:cs="Arial"/>
                          <w:snapToGrid w:val="0"/>
                        </w:rPr>
                        <w:t>202</w:t>
                      </w:r>
                      <w:r w:rsidR="0002289F">
                        <w:rPr>
                          <w:rFonts w:cs="Arial"/>
                          <w:snapToGrid w:val="0"/>
                        </w:rPr>
                        <w:t>5</w:t>
                      </w:r>
                      <w:r w:rsidRPr="009A5185">
                        <w:rPr>
                          <w:rFonts w:cs="Arial"/>
                          <w:snapToGrid w:val="0"/>
                        </w:rPr>
                        <w:t xml:space="preserve"> </w:t>
                      </w:r>
                      <w:r>
                        <w:rPr>
                          <w:rFonts w:cs="Arial"/>
                          <w:snapToGrid w:val="0"/>
                        </w:rPr>
                        <w:t>–</w:t>
                      </w:r>
                      <w:r w:rsidRPr="009A5185">
                        <w:rPr>
                          <w:rFonts w:cs="Arial"/>
                          <w:snapToGrid w:val="0"/>
                        </w:rPr>
                        <w:t xml:space="preserve"> 06/30/</w:t>
                      </w:r>
                      <w:r>
                        <w:rPr>
                          <w:rFonts w:cs="Arial"/>
                          <w:snapToGrid w:val="0"/>
                        </w:rPr>
                        <w:t>202</w:t>
                      </w:r>
                      <w:r w:rsidR="0002289F">
                        <w:rPr>
                          <w:rFonts w:cs="Arial"/>
                          <w:snapToGrid w:val="0"/>
                        </w:rPr>
                        <w:t>6</w:t>
                      </w:r>
                    </w:p>
                    <w:p w14:paraId="7992490C" w14:textId="77777777" w:rsidR="00C57E28" w:rsidRDefault="00C57E28" w:rsidP="00C57E28">
                      <w:pPr>
                        <w:rPr>
                          <w:rFonts w:cs="Arial"/>
                          <w:i/>
                          <w:snapToGrid w:val="0"/>
                        </w:rPr>
                      </w:pPr>
                    </w:p>
                    <w:p w14:paraId="0535F9F3" w14:textId="2552C441" w:rsidR="00C57E28" w:rsidRDefault="00C57E28" w:rsidP="00C57E28">
                      <w:r w:rsidRPr="006547C0">
                        <w:rPr>
                          <w:rFonts w:cs="Arial"/>
                          <w:sz w:val="16"/>
                          <w:szCs w:val="16"/>
                        </w:rPr>
                        <w:t xml:space="preserve">Note: As a reminder, the </w:t>
                      </w:r>
                      <w:hyperlink r:id="rId476" w:history="1">
                        <w:r w:rsidRPr="006547C0">
                          <w:rPr>
                            <w:rStyle w:val="Hyperlink"/>
                            <w:rFonts w:cs="Arial"/>
                            <w:sz w:val="16"/>
                            <w:szCs w:val="16"/>
                          </w:rPr>
                          <w:t>Corrections Period</w:t>
                        </w:r>
                      </w:hyperlink>
                      <w:r w:rsidRPr="006547C0">
                        <w:rPr>
                          <w:rFonts w:cs="Arial"/>
                          <w:sz w:val="16"/>
                          <w:szCs w:val="16"/>
                        </w:rPr>
                        <w:t xml:space="preserve"> </w:t>
                      </w:r>
                      <w:r w:rsidRPr="00E65E68">
                        <w:rPr>
                          <w:rFonts w:cs="Arial"/>
                          <w:sz w:val="16"/>
                          <w:szCs w:val="16"/>
                        </w:rPr>
                        <w:t>(</w:t>
                      </w:r>
                      <w:r>
                        <w:rPr>
                          <w:rFonts w:cs="Arial"/>
                          <w:sz w:val="16"/>
                          <w:szCs w:val="16"/>
                        </w:rPr>
                        <w:t>December</w:t>
                      </w:r>
                      <w:r w:rsidRPr="00E65E68">
                        <w:rPr>
                          <w:rFonts w:cs="Arial"/>
                          <w:sz w:val="16"/>
                          <w:szCs w:val="16"/>
                        </w:rPr>
                        <w:t xml:space="preserve"> 1-January 31) is reserved for corrections to previously submitted Surveys only. </w:t>
                      </w:r>
                      <w:r w:rsidRPr="00E65E68">
                        <w:rPr>
                          <w:rFonts w:cs="Arial"/>
                          <w:bCs/>
                          <w:snapToGrid w:val="0"/>
                          <w:sz w:val="16"/>
                          <w:szCs w:val="16"/>
                        </w:rPr>
                        <w:t xml:space="preserve">Any updates made to reflect a change in performance must be made prior to the </w:t>
                      </w:r>
                      <w:r>
                        <w:rPr>
                          <w:rFonts w:cs="Arial"/>
                          <w:bCs/>
                          <w:snapToGrid w:val="0"/>
                          <w:sz w:val="16"/>
                          <w:szCs w:val="16"/>
                        </w:rPr>
                        <w:t>November 30</w:t>
                      </w:r>
                      <w:r w:rsidRPr="00E65E68">
                        <w:rPr>
                          <w:rFonts w:cs="Arial"/>
                          <w:bCs/>
                          <w:snapToGrid w:val="0"/>
                          <w:sz w:val="16"/>
                          <w:szCs w:val="16"/>
                        </w:rPr>
                        <w:t xml:space="preserve"> Late Submission </w:t>
                      </w:r>
                      <w:r>
                        <w:rPr>
                          <w:rFonts w:cs="Arial"/>
                          <w:bCs/>
                          <w:snapToGrid w:val="0"/>
                          <w:sz w:val="16"/>
                          <w:szCs w:val="16"/>
                        </w:rPr>
                        <w:t xml:space="preserve">and Performance Update </w:t>
                      </w:r>
                      <w:r w:rsidRPr="00E65E68">
                        <w:rPr>
                          <w:rFonts w:cs="Arial"/>
                          <w:bCs/>
                          <w:snapToGrid w:val="0"/>
                          <w:sz w:val="16"/>
                          <w:szCs w:val="16"/>
                        </w:rPr>
                        <w:t xml:space="preserve">Deadline. Updates made to reflect a change in performance after </w:t>
                      </w:r>
                      <w:r>
                        <w:rPr>
                          <w:rFonts w:cs="Arial"/>
                          <w:bCs/>
                          <w:snapToGrid w:val="0"/>
                          <w:sz w:val="16"/>
                          <w:szCs w:val="16"/>
                        </w:rPr>
                        <w:t>November 30</w:t>
                      </w:r>
                      <w:r w:rsidRPr="00E65E68">
                        <w:rPr>
                          <w:rFonts w:cs="Arial"/>
                          <w:bCs/>
                          <w:snapToGrid w:val="0"/>
                          <w:sz w:val="16"/>
                          <w:szCs w:val="16"/>
                        </w:rPr>
                        <w:t xml:space="preserve"> will not be scored or publicly reported.</w:t>
                      </w:r>
                    </w:p>
                  </w:txbxContent>
                </v:textbox>
                <w10:anchorlock/>
              </v:shape>
            </w:pict>
          </mc:Fallback>
        </mc:AlternateContent>
      </w:r>
    </w:p>
    <w:p w14:paraId="5A935125" w14:textId="77777777" w:rsidR="00C57E28" w:rsidRDefault="00C57E28" w:rsidP="007206A4"/>
    <w:p w14:paraId="7A34893D" w14:textId="36BE11DD" w:rsidR="00F42133" w:rsidRPr="00F42133" w:rsidRDefault="00F42133" w:rsidP="007206A4">
      <w:pPr>
        <w:rPr>
          <w:rFonts w:cs="Arial"/>
          <w:snapToGrid w:val="0"/>
          <w:u w:val="single"/>
        </w:rPr>
      </w:pPr>
      <w:hyperlink w:anchor="MedAllergySufficientSample" w:history="1">
        <w:r w:rsidRPr="00C5770F">
          <w:rPr>
            <w:rStyle w:val="Hyperlink"/>
            <w:rFonts w:cs="Arial"/>
            <w:b/>
            <w:iCs/>
            <w:snapToGrid w:val="0"/>
          </w:rPr>
          <w:t>Sufficient Sample</w:t>
        </w:r>
      </w:hyperlink>
      <w:r w:rsidRPr="003D51C4">
        <w:rPr>
          <w:rFonts w:cs="Arial"/>
          <w:b/>
          <w:iCs/>
          <w:snapToGrid w:val="0"/>
        </w:rPr>
        <w:t>:</w:t>
      </w:r>
      <w:r>
        <w:rPr>
          <w:rFonts w:cs="Arial"/>
          <w:b/>
          <w:i/>
          <w:snapToGrid w:val="0"/>
        </w:rPr>
        <w:t xml:space="preserve"> </w:t>
      </w:r>
      <w:r>
        <w:rPr>
          <w:rFonts w:cs="Arial"/>
          <w:snapToGrid w:val="0"/>
        </w:rPr>
        <w:t xml:space="preserve">See </w:t>
      </w:r>
      <w:hyperlink w:anchor="_Medication_Safety_for_2" w:history="1">
        <w:r w:rsidR="00A715C8">
          <w:rPr>
            <w:rStyle w:val="Hyperlink"/>
            <w:rFonts w:cs="Arial"/>
            <w:b/>
            <w:i/>
            <w:snapToGrid w:val="0"/>
          </w:rPr>
          <w:t>Medication Safety for Outpatient Procedures Measure Specifications</w:t>
        </w:r>
      </w:hyperlink>
      <w:r>
        <w:rPr>
          <w:rFonts w:cs="Arial"/>
          <w:snapToGrid w:val="0"/>
        </w:rPr>
        <w:t xml:space="preserve"> for instructions on identifying a su</w:t>
      </w:r>
      <w:r w:rsidR="00D96352">
        <w:rPr>
          <w:rFonts w:cs="Arial"/>
          <w:snapToGrid w:val="0"/>
        </w:rPr>
        <w:t>fficient sample for questions #</w:t>
      </w:r>
      <w:r w:rsidR="00AF1492">
        <w:rPr>
          <w:rFonts w:cs="Arial"/>
          <w:snapToGrid w:val="0"/>
        </w:rPr>
        <w:t>2-7</w:t>
      </w:r>
      <w:r>
        <w:rPr>
          <w:rFonts w:cs="Arial"/>
          <w:snapToGrid w:val="0"/>
        </w:rPr>
        <w:t>.</w:t>
      </w:r>
    </w:p>
    <w:p w14:paraId="4C81E1DF" w14:textId="77777777" w:rsidR="00F42133" w:rsidRPr="003C4945" w:rsidRDefault="00F42133" w:rsidP="007206A4"/>
    <w:tbl>
      <w:tblPr>
        <w:tblStyle w:val="TableGrid"/>
        <w:tblW w:w="0" w:type="auto"/>
        <w:tblLook w:val="04A0" w:firstRow="1" w:lastRow="0" w:firstColumn="1" w:lastColumn="0" w:noHBand="0" w:noVBand="1"/>
      </w:tblPr>
      <w:tblGrid>
        <w:gridCol w:w="6475"/>
        <w:gridCol w:w="2875"/>
      </w:tblGrid>
      <w:tr w:rsidR="007206A4" w:rsidRPr="008E69D1" w14:paraId="59E06DED" w14:textId="77777777" w:rsidTr="00C57E28">
        <w:trPr>
          <w:trHeight w:val="20"/>
        </w:trPr>
        <w:tc>
          <w:tcPr>
            <w:tcW w:w="6475" w:type="dxa"/>
            <w:tcBorders>
              <w:bottom w:val="nil"/>
            </w:tcBorders>
            <w:tcMar>
              <w:top w:w="72" w:type="dxa"/>
              <w:left w:w="115" w:type="dxa"/>
              <w:bottom w:w="72" w:type="dxa"/>
              <w:right w:w="115" w:type="dxa"/>
            </w:tcMar>
            <w:vAlign w:val="center"/>
          </w:tcPr>
          <w:p w14:paraId="2DC2F377" w14:textId="68D5F02E" w:rsidR="007206A4" w:rsidRPr="008E69D1" w:rsidRDefault="001B06C0" w:rsidP="00AD309C">
            <w:pPr>
              <w:pStyle w:val="ListParagraph"/>
              <w:numPr>
                <w:ilvl w:val="0"/>
                <w:numId w:val="92"/>
              </w:numPr>
            </w:pPr>
            <w:r w:rsidRPr="008E69D1">
              <w:t>12-month r</w:t>
            </w:r>
            <w:r w:rsidR="007206A4" w:rsidRPr="008E69D1">
              <w:t>eporting period used:</w:t>
            </w:r>
          </w:p>
        </w:tc>
        <w:tc>
          <w:tcPr>
            <w:tcW w:w="2875" w:type="dxa"/>
            <w:tcBorders>
              <w:bottom w:val="nil"/>
            </w:tcBorders>
            <w:tcMar>
              <w:top w:w="72" w:type="dxa"/>
              <w:left w:w="115" w:type="dxa"/>
              <w:bottom w:w="72" w:type="dxa"/>
              <w:right w:w="115" w:type="dxa"/>
            </w:tcMar>
            <w:vAlign w:val="center"/>
          </w:tcPr>
          <w:p w14:paraId="344636F0" w14:textId="5030AD8B" w:rsidR="009E3864" w:rsidRPr="00B44C1C" w:rsidRDefault="009E3864" w:rsidP="00AD309C">
            <w:pPr>
              <w:pStyle w:val="NoSpacing"/>
              <w:numPr>
                <w:ilvl w:val="0"/>
                <w:numId w:val="346"/>
              </w:numPr>
              <w:spacing w:line="276" w:lineRule="auto"/>
              <w:rPr>
                <w:rFonts w:ascii="Arial" w:hAnsi="Arial" w:cs="Arial"/>
                <w:bCs/>
                <w:sz w:val="20"/>
                <w:szCs w:val="20"/>
              </w:rPr>
            </w:pPr>
            <w:r w:rsidRPr="00B44C1C">
              <w:rPr>
                <w:rFonts w:ascii="Arial" w:hAnsi="Arial" w:cs="Arial"/>
                <w:bCs/>
                <w:sz w:val="20"/>
                <w:szCs w:val="20"/>
              </w:rPr>
              <w:t>01/01/202</w:t>
            </w:r>
            <w:r w:rsidR="0002289F">
              <w:rPr>
                <w:rFonts w:ascii="Arial" w:hAnsi="Arial" w:cs="Arial"/>
                <w:bCs/>
                <w:sz w:val="20"/>
                <w:szCs w:val="20"/>
              </w:rPr>
              <w:t>5</w:t>
            </w:r>
            <w:r w:rsidRPr="00B44C1C">
              <w:rPr>
                <w:rFonts w:ascii="Arial" w:hAnsi="Arial" w:cs="Arial"/>
                <w:bCs/>
                <w:sz w:val="20"/>
                <w:szCs w:val="20"/>
              </w:rPr>
              <w:t xml:space="preserve"> – 12/31/202</w:t>
            </w:r>
            <w:r w:rsidR="0002289F">
              <w:rPr>
                <w:rFonts w:ascii="Arial" w:hAnsi="Arial" w:cs="Arial"/>
                <w:bCs/>
                <w:sz w:val="20"/>
                <w:szCs w:val="20"/>
              </w:rPr>
              <w:t>5</w:t>
            </w:r>
          </w:p>
          <w:p w14:paraId="2B258808" w14:textId="6E46097B" w:rsidR="007206A4" w:rsidRPr="00E01307" w:rsidRDefault="007206A4" w:rsidP="00AD309C">
            <w:pPr>
              <w:pStyle w:val="NoSpacing"/>
              <w:numPr>
                <w:ilvl w:val="0"/>
                <w:numId w:val="346"/>
              </w:numPr>
              <w:spacing w:line="276" w:lineRule="auto"/>
              <w:rPr>
                <w:b/>
              </w:rPr>
            </w:pPr>
            <w:r w:rsidRPr="00B44C1C">
              <w:rPr>
                <w:rFonts w:ascii="Arial" w:hAnsi="Arial" w:cs="Arial"/>
                <w:sz w:val="20"/>
                <w:szCs w:val="20"/>
              </w:rPr>
              <w:t>07/01/</w:t>
            </w:r>
            <w:r w:rsidR="009E3864" w:rsidRPr="00B44C1C">
              <w:rPr>
                <w:rFonts w:ascii="Arial" w:hAnsi="Arial" w:cs="Arial"/>
                <w:sz w:val="20"/>
                <w:szCs w:val="20"/>
              </w:rPr>
              <w:t>202</w:t>
            </w:r>
            <w:r w:rsidR="0002289F">
              <w:rPr>
                <w:rFonts w:ascii="Arial" w:hAnsi="Arial" w:cs="Arial"/>
                <w:sz w:val="20"/>
                <w:szCs w:val="20"/>
              </w:rPr>
              <w:t>5</w:t>
            </w:r>
            <w:r w:rsidRPr="00B44C1C">
              <w:rPr>
                <w:rFonts w:ascii="Arial" w:hAnsi="Arial" w:cs="Arial"/>
                <w:sz w:val="20"/>
                <w:szCs w:val="20"/>
              </w:rPr>
              <w:t xml:space="preserve"> – 06/30/</w:t>
            </w:r>
            <w:r w:rsidR="009E3864" w:rsidRPr="00B44C1C">
              <w:rPr>
                <w:rFonts w:ascii="Arial" w:hAnsi="Arial" w:cs="Arial"/>
                <w:sz w:val="20"/>
                <w:szCs w:val="20"/>
              </w:rPr>
              <w:t>202</w:t>
            </w:r>
            <w:r w:rsidR="0002289F">
              <w:rPr>
                <w:rFonts w:ascii="Arial" w:hAnsi="Arial" w:cs="Arial"/>
                <w:sz w:val="20"/>
                <w:szCs w:val="20"/>
              </w:rPr>
              <w:t>6</w:t>
            </w:r>
          </w:p>
        </w:tc>
      </w:tr>
      <w:tr w:rsidR="007206A4" w:rsidRPr="008E69D1" w14:paraId="315EEE8C" w14:textId="77777777" w:rsidTr="00C57E28">
        <w:trPr>
          <w:trHeight w:val="1728"/>
        </w:trPr>
        <w:tc>
          <w:tcPr>
            <w:tcW w:w="6475" w:type="dxa"/>
            <w:tcMar>
              <w:top w:w="72" w:type="dxa"/>
              <w:left w:w="115" w:type="dxa"/>
              <w:bottom w:w="72" w:type="dxa"/>
              <w:right w:w="115" w:type="dxa"/>
            </w:tcMar>
            <w:vAlign w:val="center"/>
          </w:tcPr>
          <w:p w14:paraId="11E600D5" w14:textId="7C0C06EC" w:rsidR="007206A4" w:rsidRPr="008E69D1" w:rsidRDefault="007206A4" w:rsidP="00AD309C">
            <w:pPr>
              <w:pStyle w:val="ListParagraph"/>
              <w:numPr>
                <w:ilvl w:val="0"/>
                <w:numId w:val="92"/>
              </w:numPr>
            </w:pPr>
            <w:r w:rsidRPr="008E69D1">
              <w:t xml:space="preserve">Did your </w:t>
            </w:r>
            <w:r w:rsidR="008E3B11">
              <w:t>hospital</w:t>
            </w:r>
            <w:r w:rsidR="008E3B11" w:rsidRPr="008E69D1">
              <w:t xml:space="preserve"> </w:t>
            </w:r>
            <w:r w:rsidRPr="008E69D1">
              <w:t xml:space="preserve">perform an audit of clinical records for </w:t>
            </w:r>
            <w:r w:rsidR="001F3275" w:rsidRPr="009F0E48">
              <w:t>all</w:t>
            </w:r>
            <w:r w:rsidR="003A197F" w:rsidRPr="009F0E48">
              <w:t xml:space="preserve"> patients</w:t>
            </w:r>
            <w:r w:rsidR="003A197F">
              <w:t xml:space="preserve"> undergoing those p</w:t>
            </w:r>
            <w:r w:rsidR="006758EF">
              <w:t xml:space="preserve">rocedures included in Section </w:t>
            </w:r>
            <w:r w:rsidR="00363A61">
              <w:t>9</w:t>
            </w:r>
            <w:r w:rsidR="006758EF">
              <w:t>C</w:t>
            </w:r>
            <w:r w:rsidR="003A197F">
              <w:t xml:space="preserve"> </w:t>
            </w:r>
            <w:r w:rsidRPr="008E69D1">
              <w:t xml:space="preserve">(or a </w:t>
            </w:r>
            <w:hyperlink w:anchor="MedAllergySufficientSample" w:history="1">
              <w:r w:rsidRPr="0054565A">
                <w:rPr>
                  <w:rStyle w:val="Hyperlink"/>
                  <w:iCs/>
                </w:rPr>
                <w:t>sufficient sample</w:t>
              </w:r>
            </w:hyperlink>
            <w:r w:rsidRPr="00A818A9">
              <w:t xml:space="preserve"> o</w:t>
            </w:r>
            <w:r w:rsidRPr="008E69D1">
              <w:t xml:space="preserve">f them) </w:t>
            </w:r>
            <w:r w:rsidR="003A197F">
              <w:t xml:space="preserve">who were </w:t>
            </w:r>
            <w:r w:rsidRPr="008E69D1">
              <w:t>discharged</w:t>
            </w:r>
            <w:r w:rsidR="008E3B11">
              <w:t xml:space="preserve"> from a hospital outpatient department</w:t>
            </w:r>
            <w:r w:rsidRPr="008E69D1">
              <w:t xml:space="preserve"> for the reporting period selected</w:t>
            </w:r>
            <w:r w:rsidR="005F71F9" w:rsidRPr="008E69D1">
              <w:t xml:space="preserve"> </w:t>
            </w:r>
            <w:r w:rsidR="005F71F9" w:rsidRPr="008E69D1">
              <w:rPr>
                <w:b/>
              </w:rPr>
              <w:t xml:space="preserve">and </w:t>
            </w:r>
            <w:r w:rsidR="005F71F9" w:rsidRPr="008E69D1">
              <w:t xml:space="preserve">measure adherence to medication documentation guidelines regarding home medications, medications </w:t>
            </w:r>
            <w:r w:rsidR="008E7151">
              <w:t>administered</w:t>
            </w:r>
            <w:r w:rsidR="008E7151" w:rsidRPr="008E69D1">
              <w:t xml:space="preserve"> </w:t>
            </w:r>
            <w:r w:rsidR="005F71F9" w:rsidRPr="008E69D1">
              <w:t>during the visit</w:t>
            </w:r>
            <w:r w:rsidR="00C73026">
              <w:t xml:space="preserve"> or </w:t>
            </w:r>
            <w:r w:rsidR="008E7151">
              <w:t>prescribed at discharge</w:t>
            </w:r>
            <w:r w:rsidR="005F71F9" w:rsidRPr="008E69D1">
              <w:t>, and medication allergies?</w:t>
            </w:r>
          </w:p>
          <w:p w14:paraId="3FBA95CA" w14:textId="77777777" w:rsidR="00303F0B" w:rsidRPr="008E69D1" w:rsidRDefault="00303F0B" w:rsidP="00303F0B">
            <w:pPr>
              <w:pStyle w:val="ListParagraph"/>
              <w:ind w:left="360"/>
            </w:pPr>
          </w:p>
          <w:p w14:paraId="20F6D09D" w14:textId="5AA85FF8" w:rsidR="00303F0B" w:rsidRDefault="00303F0B" w:rsidP="00303F0B">
            <w:pPr>
              <w:pStyle w:val="ListParagraph"/>
              <w:ind w:left="360"/>
              <w:rPr>
                <w:i/>
              </w:rPr>
            </w:pPr>
            <w:r w:rsidRPr="008E69D1">
              <w:rPr>
                <w:i/>
              </w:rPr>
              <w:t>If “no”</w:t>
            </w:r>
            <w:r w:rsidR="00836820">
              <w:rPr>
                <w:i/>
              </w:rPr>
              <w:t xml:space="preserve"> to question #2,</w:t>
            </w:r>
            <w:r w:rsidRPr="008E69D1">
              <w:rPr>
                <w:i/>
              </w:rPr>
              <w:t xml:space="preserve"> skip questions #3-7 and continue to the next subsection.</w:t>
            </w:r>
            <w:r w:rsidR="00836820">
              <w:rPr>
                <w:i/>
              </w:rPr>
              <w:t xml:space="preserve"> The hospital will be scored as “</w:t>
            </w:r>
            <w:r w:rsidR="003335BD">
              <w:rPr>
                <w:rFonts w:cs="Arial"/>
                <w:i/>
              </w:rPr>
              <w:t>Did Not Measure</w:t>
            </w:r>
            <w:r w:rsidR="00836820">
              <w:rPr>
                <w:i/>
              </w:rPr>
              <w:t>.”</w:t>
            </w:r>
          </w:p>
          <w:p w14:paraId="265DA5CB" w14:textId="77777777" w:rsidR="00836820" w:rsidRDefault="00836820" w:rsidP="00303F0B">
            <w:pPr>
              <w:pStyle w:val="ListParagraph"/>
              <w:ind w:left="360"/>
              <w:rPr>
                <w:i/>
              </w:rPr>
            </w:pPr>
          </w:p>
          <w:p w14:paraId="741138E0" w14:textId="75F42ACD" w:rsidR="00836820" w:rsidRPr="00836820" w:rsidRDefault="00836820" w:rsidP="00303F0B">
            <w:pPr>
              <w:pStyle w:val="ListParagraph"/>
              <w:ind w:left="360"/>
              <w:rPr>
                <w:b/>
                <w:bCs/>
                <w:i/>
              </w:rPr>
            </w:pPr>
            <w:r w:rsidRPr="008E69D1">
              <w:rPr>
                <w:i/>
              </w:rPr>
              <w:t>If “yes, but there were fewer tha</w:t>
            </w:r>
            <w:r w:rsidRPr="009E3864">
              <w:rPr>
                <w:i/>
              </w:rPr>
              <w:t xml:space="preserve">n </w:t>
            </w:r>
            <w:r w:rsidR="00E01119">
              <w:rPr>
                <w:i/>
              </w:rPr>
              <w:t>30</w:t>
            </w:r>
            <w:r w:rsidRPr="008E69D1">
              <w:rPr>
                <w:i/>
              </w:rPr>
              <w:t xml:space="preserve"> outpatients discharged for the reporting period</w:t>
            </w:r>
            <w:r w:rsidR="005D3955">
              <w:rPr>
                <w:i/>
              </w:rPr>
              <w:t>,</w:t>
            </w:r>
            <w:r w:rsidRPr="008E69D1">
              <w:rPr>
                <w:i/>
              </w:rPr>
              <w:t>” skip questions #3-7 and continue to the next subsection.</w:t>
            </w:r>
            <w:r>
              <w:rPr>
                <w:i/>
              </w:rPr>
              <w:t xml:space="preserve"> The hospital will be scored as “Unable to Calculate Score.”</w:t>
            </w:r>
          </w:p>
        </w:tc>
        <w:tc>
          <w:tcPr>
            <w:tcW w:w="2875" w:type="dxa"/>
            <w:tcMar>
              <w:top w:w="72" w:type="dxa"/>
              <w:left w:w="115" w:type="dxa"/>
              <w:bottom w:w="72" w:type="dxa"/>
              <w:right w:w="115" w:type="dxa"/>
            </w:tcMar>
            <w:vAlign w:val="center"/>
          </w:tcPr>
          <w:p w14:paraId="045C8559" w14:textId="0F257A4E" w:rsidR="007206A4" w:rsidRPr="00E01307" w:rsidRDefault="007206A4" w:rsidP="00AD309C">
            <w:pPr>
              <w:pStyle w:val="ListParagraph"/>
              <w:numPr>
                <w:ilvl w:val="0"/>
                <w:numId w:val="346"/>
              </w:numPr>
            </w:pPr>
            <w:r w:rsidRPr="00E01307">
              <w:t>Yes</w:t>
            </w:r>
          </w:p>
          <w:p w14:paraId="454E3A12" w14:textId="424BC77B" w:rsidR="007206A4" w:rsidRPr="00E01307" w:rsidRDefault="007206A4" w:rsidP="00AD309C">
            <w:pPr>
              <w:pStyle w:val="ListParagraph"/>
              <w:numPr>
                <w:ilvl w:val="0"/>
                <w:numId w:val="346"/>
              </w:numPr>
            </w:pPr>
            <w:r w:rsidRPr="00E01307">
              <w:t>No</w:t>
            </w:r>
          </w:p>
          <w:p w14:paraId="6516A904" w14:textId="63E383C0" w:rsidR="007206A4" w:rsidRPr="00E01307" w:rsidRDefault="007206A4" w:rsidP="00AD309C">
            <w:pPr>
              <w:pStyle w:val="ListParagraph"/>
              <w:numPr>
                <w:ilvl w:val="0"/>
                <w:numId w:val="346"/>
              </w:numPr>
            </w:pPr>
            <w:r w:rsidRPr="00E01307">
              <w:t xml:space="preserve">Yes, but there were fewer than </w:t>
            </w:r>
            <w:r w:rsidR="00E01119" w:rsidRPr="00E01307">
              <w:t>30</w:t>
            </w:r>
            <w:r w:rsidRPr="00E01307">
              <w:t xml:space="preserve"> </w:t>
            </w:r>
            <w:r w:rsidR="005B194A" w:rsidRPr="00E01307">
              <w:t>out</w:t>
            </w:r>
            <w:r w:rsidRPr="00E01307">
              <w:t>patients discharged for the reporting period</w:t>
            </w:r>
          </w:p>
        </w:tc>
      </w:tr>
      <w:tr w:rsidR="005F71F9" w:rsidRPr="008E69D1" w14:paraId="035C194A" w14:textId="77777777" w:rsidTr="00C57E28">
        <w:trPr>
          <w:trHeight w:val="20"/>
        </w:trPr>
        <w:tc>
          <w:tcPr>
            <w:tcW w:w="6475" w:type="dxa"/>
            <w:tcMar>
              <w:top w:w="72" w:type="dxa"/>
              <w:left w:w="115" w:type="dxa"/>
              <w:bottom w:w="72" w:type="dxa"/>
              <w:right w:w="115" w:type="dxa"/>
            </w:tcMar>
            <w:vAlign w:val="center"/>
          </w:tcPr>
          <w:p w14:paraId="21F24083" w14:textId="0CBD91D9" w:rsidR="005F71F9" w:rsidRPr="008E69D1" w:rsidRDefault="005F71F9" w:rsidP="00AD309C">
            <w:pPr>
              <w:pStyle w:val="ListParagraph"/>
              <w:numPr>
                <w:ilvl w:val="0"/>
                <w:numId w:val="92"/>
              </w:numPr>
            </w:pPr>
            <w:r w:rsidRPr="008E69D1">
              <w:t xml:space="preserve">Number of cases measured (either all cases or a </w:t>
            </w:r>
            <w:hyperlink w:anchor="MedAllergySufficientSample" w:history="1">
              <w:r w:rsidRPr="00552BD5">
                <w:rPr>
                  <w:rStyle w:val="Hyperlink"/>
                </w:rPr>
                <w:t>sufficient sample</w:t>
              </w:r>
            </w:hyperlink>
            <w:r w:rsidRPr="008E69D1">
              <w:t xml:space="preserve"> of them)</w:t>
            </w:r>
            <w:r w:rsidR="00C57E28">
              <w:t>:</w:t>
            </w:r>
          </w:p>
        </w:tc>
        <w:tc>
          <w:tcPr>
            <w:tcW w:w="2875" w:type="dxa"/>
            <w:tcMar>
              <w:top w:w="72" w:type="dxa"/>
              <w:left w:w="115" w:type="dxa"/>
              <w:bottom w:w="72" w:type="dxa"/>
              <w:right w:w="115" w:type="dxa"/>
            </w:tcMar>
            <w:vAlign w:val="center"/>
          </w:tcPr>
          <w:p w14:paraId="65A19849" w14:textId="77777777" w:rsidR="005F71F9" w:rsidRPr="008E69D1" w:rsidRDefault="005F71F9" w:rsidP="007E3058">
            <w:pPr>
              <w:jc w:val="center"/>
            </w:pPr>
            <w:r w:rsidRPr="008E69D1">
              <w:t>_____</w:t>
            </w:r>
          </w:p>
        </w:tc>
      </w:tr>
      <w:tr w:rsidR="007206A4" w:rsidRPr="008E69D1" w14:paraId="7BDD0584" w14:textId="77777777" w:rsidTr="007E3058">
        <w:tc>
          <w:tcPr>
            <w:tcW w:w="6475" w:type="dxa"/>
            <w:tcMar>
              <w:top w:w="72" w:type="dxa"/>
              <w:left w:w="115" w:type="dxa"/>
              <w:bottom w:w="72" w:type="dxa"/>
              <w:right w:w="115" w:type="dxa"/>
            </w:tcMar>
            <w:vAlign w:val="center"/>
          </w:tcPr>
          <w:p w14:paraId="7F42ED84" w14:textId="273CA553" w:rsidR="007206A4" w:rsidRPr="008E69D1" w:rsidRDefault="007206A4" w:rsidP="00AD309C">
            <w:pPr>
              <w:pStyle w:val="ListParagraph"/>
              <w:numPr>
                <w:ilvl w:val="0"/>
                <w:numId w:val="92"/>
              </w:numPr>
            </w:pPr>
            <w:r w:rsidRPr="008E69D1">
              <w:t xml:space="preserve">Number of </w:t>
            </w:r>
            <w:r w:rsidR="005F71F9" w:rsidRPr="008E69D1">
              <w:t>cases in question #</w:t>
            </w:r>
            <w:r w:rsidR="00AE16E8" w:rsidRPr="008E69D1">
              <w:t>3</w:t>
            </w:r>
            <w:r w:rsidR="005F71F9" w:rsidRPr="008E69D1">
              <w:t xml:space="preserve"> with a list of</w:t>
            </w:r>
            <w:r w:rsidR="00406429" w:rsidRPr="00406429">
              <w:rPr>
                <w:b/>
              </w:rPr>
              <w:t xml:space="preserve"> all</w:t>
            </w:r>
            <w:r w:rsidR="005F71F9" w:rsidRPr="008E69D1">
              <w:t xml:space="preserve"> </w:t>
            </w:r>
            <w:hyperlink w:anchor="MedSafety_HomeMedications" w:history="1">
              <w:r w:rsidR="005F71F9" w:rsidRPr="00C05655">
                <w:rPr>
                  <w:rStyle w:val="Hyperlink"/>
                  <w:b/>
                </w:rPr>
                <w:t>home medication(s)</w:t>
              </w:r>
            </w:hyperlink>
            <w:r w:rsidR="005F71F9" w:rsidRPr="008E69D1">
              <w:rPr>
                <w:b/>
              </w:rPr>
              <w:t xml:space="preserve">, </w:t>
            </w:r>
            <w:r w:rsidR="005F71F9" w:rsidRPr="008E69D1">
              <w:t xml:space="preserve">including dose, route, and frequency, </w:t>
            </w:r>
            <w:r w:rsidR="00C16AC6" w:rsidRPr="00C16AC6">
              <w:t>documented</w:t>
            </w:r>
            <w:r w:rsidR="005F71F9" w:rsidRPr="008E69D1">
              <w:t xml:space="preserve"> in the clinical record</w:t>
            </w:r>
            <w:r w:rsidR="00C57E28">
              <w:t>:</w:t>
            </w:r>
          </w:p>
        </w:tc>
        <w:tc>
          <w:tcPr>
            <w:tcW w:w="2875" w:type="dxa"/>
            <w:tcMar>
              <w:top w:w="72" w:type="dxa"/>
              <w:left w:w="115" w:type="dxa"/>
              <w:bottom w:w="72" w:type="dxa"/>
              <w:right w:w="115" w:type="dxa"/>
            </w:tcMar>
            <w:vAlign w:val="center"/>
          </w:tcPr>
          <w:p w14:paraId="459EE5A7" w14:textId="77777777" w:rsidR="007206A4" w:rsidRPr="008E69D1" w:rsidRDefault="007206A4" w:rsidP="007E3058">
            <w:pPr>
              <w:jc w:val="center"/>
            </w:pPr>
            <w:r w:rsidRPr="008E69D1">
              <w:t>_____</w:t>
            </w:r>
          </w:p>
        </w:tc>
      </w:tr>
      <w:tr w:rsidR="007206A4" w:rsidRPr="008E69D1" w14:paraId="6DA5C26F" w14:textId="77777777" w:rsidTr="007E3058">
        <w:tc>
          <w:tcPr>
            <w:tcW w:w="6475" w:type="dxa"/>
            <w:tcMar>
              <w:top w:w="72" w:type="dxa"/>
              <w:left w:w="115" w:type="dxa"/>
              <w:bottom w:w="72" w:type="dxa"/>
              <w:right w:w="115" w:type="dxa"/>
            </w:tcMar>
            <w:vAlign w:val="center"/>
          </w:tcPr>
          <w:p w14:paraId="69298E97" w14:textId="6C8D5C71" w:rsidR="007206A4" w:rsidRPr="008E69D1" w:rsidRDefault="007206A4" w:rsidP="00AD309C">
            <w:pPr>
              <w:pStyle w:val="ListParagraph"/>
              <w:numPr>
                <w:ilvl w:val="0"/>
                <w:numId w:val="92"/>
              </w:numPr>
            </w:pPr>
            <w:r w:rsidRPr="008E69D1">
              <w:lastRenderedPageBreak/>
              <w:t xml:space="preserve">Number </w:t>
            </w:r>
            <w:r w:rsidR="005F71F9" w:rsidRPr="008E69D1">
              <w:t>of cases in question #</w:t>
            </w:r>
            <w:r w:rsidR="00AE16E8" w:rsidRPr="008E69D1">
              <w:t>3</w:t>
            </w:r>
            <w:r w:rsidR="005F71F9" w:rsidRPr="008E69D1">
              <w:t xml:space="preserve"> with a list of </w:t>
            </w:r>
            <w:r w:rsidR="00406429">
              <w:rPr>
                <w:b/>
              </w:rPr>
              <w:t>all</w:t>
            </w:r>
            <w:r w:rsidR="005F71F9" w:rsidRPr="008E69D1">
              <w:rPr>
                <w:b/>
              </w:rPr>
              <w:t xml:space="preserve"> </w:t>
            </w:r>
            <w:hyperlink w:anchor="medadminvisits_q5" w:history="1">
              <w:r w:rsidR="005F71F9" w:rsidRPr="006B6C45">
                <w:rPr>
                  <w:rStyle w:val="Hyperlink"/>
                  <w:b/>
                </w:rPr>
                <w:t xml:space="preserve">medication(s) </w:t>
              </w:r>
              <w:r w:rsidR="008E7151" w:rsidRPr="006B6C45">
                <w:rPr>
                  <w:rStyle w:val="Hyperlink"/>
                  <w:b/>
                </w:rPr>
                <w:t xml:space="preserve">administered during the visit </w:t>
              </w:r>
              <w:r w:rsidR="005E46D5" w:rsidRPr="006B6C45">
                <w:rPr>
                  <w:rStyle w:val="Hyperlink"/>
                  <w:b/>
                </w:rPr>
                <w:t>and</w:t>
              </w:r>
              <w:r w:rsidR="008E7151" w:rsidRPr="006B6C45">
                <w:rPr>
                  <w:rStyle w:val="Hyperlink"/>
                  <w:b/>
                </w:rPr>
                <w:t xml:space="preserve"> </w:t>
              </w:r>
              <w:r w:rsidR="00B06AA6" w:rsidRPr="006B6C45">
                <w:rPr>
                  <w:rStyle w:val="Hyperlink"/>
                  <w:b/>
                </w:rPr>
                <w:t xml:space="preserve">new medications </w:t>
              </w:r>
              <w:r w:rsidR="005F71F9" w:rsidRPr="006B6C45">
                <w:rPr>
                  <w:rStyle w:val="Hyperlink"/>
                  <w:b/>
                </w:rPr>
                <w:t xml:space="preserve">prescribed </w:t>
              </w:r>
              <w:r w:rsidR="005974A3" w:rsidRPr="006B6C45">
                <w:rPr>
                  <w:rStyle w:val="Hyperlink"/>
                  <w:b/>
                </w:rPr>
                <w:t>at discharge</w:t>
              </w:r>
            </w:hyperlink>
            <w:r w:rsidR="005F71F9" w:rsidRPr="008E69D1">
              <w:t xml:space="preserve">, including the strength, dose, route, date, and time </w:t>
            </w:r>
            <w:r w:rsidR="005B194A" w:rsidRPr="008E69D1">
              <w:t xml:space="preserve">of </w:t>
            </w:r>
            <w:r w:rsidR="005F71F9" w:rsidRPr="008E69D1">
              <w:t>administration, documented in the clinical record</w:t>
            </w:r>
            <w:r w:rsidR="00C57E28">
              <w:t>:</w:t>
            </w:r>
          </w:p>
        </w:tc>
        <w:tc>
          <w:tcPr>
            <w:tcW w:w="2875" w:type="dxa"/>
            <w:tcMar>
              <w:top w:w="72" w:type="dxa"/>
              <w:left w:w="115" w:type="dxa"/>
              <w:bottom w:w="72" w:type="dxa"/>
              <w:right w:w="115" w:type="dxa"/>
            </w:tcMar>
            <w:vAlign w:val="center"/>
          </w:tcPr>
          <w:p w14:paraId="7A501796" w14:textId="77777777" w:rsidR="007206A4" w:rsidRPr="008E69D1" w:rsidRDefault="007206A4" w:rsidP="007E3058">
            <w:pPr>
              <w:jc w:val="center"/>
            </w:pPr>
            <w:r w:rsidRPr="008E69D1">
              <w:t>_____</w:t>
            </w:r>
          </w:p>
        </w:tc>
      </w:tr>
      <w:tr w:rsidR="005F71F9" w:rsidRPr="008E69D1" w14:paraId="1006A79F" w14:textId="77777777" w:rsidTr="007E3058">
        <w:tc>
          <w:tcPr>
            <w:tcW w:w="6475" w:type="dxa"/>
            <w:tcMar>
              <w:top w:w="72" w:type="dxa"/>
              <w:left w:w="115" w:type="dxa"/>
              <w:bottom w:w="72" w:type="dxa"/>
              <w:right w:w="115" w:type="dxa"/>
            </w:tcMar>
            <w:vAlign w:val="center"/>
          </w:tcPr>
          <w:p w14:paraId="0B2120BA" w14:textId="1BB13024" w:rsidR="005F71F9" w:rsidRPr="008E69D1" w:rsidRDefault="005F71F9" w:rsidP="00AD309C">
            <w:pPr>
              <w:pStyle w:val="ListParagraph"/>
              <w:numPr>
                <w:ilvl w:val="0"/>
                <w:numId w:val="92"/>
              </w:numPr>
            </w:pPr>
            <w:r w:rsidRPr="008E69D1">
              <w:t>Number of cases in question #</w:t>
            </w:r>
            <w:r w:rsidR="00AE16E8" w:rsidRPr="008E69D1">
              <w:t>3</w:t>
            </w:r>
            <w:r w:rsidRPr="008E69D1">
              <w:t xml:space="preserve"> with a list of</w:t>
            </w:r>
            <w:r w:rsidR="00406429">
              <w:t xml:space="preserve"> </w:t>
            </w:r>
            <w:r w:rsidR="00406429" w:rsidRPr="00406429">
              <w:rPr>
                <w:b/>
              </w:rPr>
              <w:t>all</w:t>
            </w:r>
            <w:r w:rsidRPr="00406429">
              <w:rPr>
                <w:b/>
              </w:rPr>
              <w:t xml:space="preserve"> </w:t>
            </w:r>
            <w:r w:rsidR="00B07FED">
              <w:rPr>
                <w:b/>
              </w:rPr>
              <w:t xml:space="preserve">medication </w:t>
            </w:r>
            <w:hyperlink w:anchor="medadverse_q6" w:history="1">
              <w:r w:rsidRPr="003E3FF6">
                <w:rPr>
                  <w:rStyle w:val="Hyperlink"/>
                  <w:b/>
                </w:rPr>
                <w:t>allergies and adverse reaction</w:t>
              </w:r>
              <w:r w:rsidR="00520DEC" w:rsidRPr="003E3FF6">
                <w:rPr>
                  <w:rStyle w:val="Hyperlink"/>
                  <w:b/>
                </w:rPr>
                <w:t>(s)</w:t>
              </w:r>
            </w:hyperlink>
            <w:r w:rsidRPr="008E69D1">
              <w:rPr>
                <w:b/>
              </w:rPr>
              <w:t xml:space="preserve"> </w:t>
            </w:r>
            <w:r w:rsidRPr="008E69D1">
              <w:t>documented in the clinical record</w:t>
            </w:r>
            <w:r w:rsidR="00C57E28">
              <w:t>:</w:t>
            </w:r>
          </w:p>
        </w:tc>
        <w:tc>
          <w:tcPr>
            <w:tcW w:w="2875" w:type="dxa"/>
            <w:tcMar>
              <w:top w:w="72" w:type="dxa"/>
              <w:left w:w="115" w:type="dxa"/>
              <w:bottom w:w="72" w:type="dxa"/>
              <w:right w:w="115" w:type="dxa"/>
            </w:tcMar>
            <w:vAlign w:val="center"/>
          </w:tcPr>
          <w:p w14:paraId="10F1318D" w14:textId="77777777" w:rsidR="005F71F9" w:rsidRPr="008E69D1" w:rsidRDefault="005F71F9" w:rsidP="007E3058">
            <w:pPr>
              <w:jc w:val="center"/>
            </w:pPr>
            <w:r w:rsidRPr="008E69D1">
              <w:t>_____</w:t>
            </w:r>
          </w:p>
        </w:tc>
      </w:tr>
      <w:tr w:rsidR="007206A4" w:rsidRPr="008E69D1" w14:paraId="2F86F8D2" w14:textId="77777777" w:rsidTr="007E3058">
        <w:tc>
          <w:tcPr>
            <w:tcW w:w="6475" w:type="dxa"/>
            <w:tcMar>
              <w:top w:w="72" w:type="dxa"/>
              <w:left w:w="115" w:type="dxa"/>
              <w:bottom w:w="72" w:type="dxa"/>
              <w:right w:w="115" w:type="dxa"/>
            </w:tcMar>
            <w:vAlign w:val="center"/>
          </w:tcPr>
          <w:p w14:paraId="7BB256C7" w14:textId="77777777" w:rsidR="007206A4" w:rsidRPr="008E69D1" w:rsidRDefault="007206A4" w:rsidP="00AD309C">
            <w:pPr>
              <w:pStyle w:val="ListParagraph"/>
              <w:numPr>
                <w:ilvl w:val="0"/>
                <w:numId w:val="92"/>
              </w:numPr>
            </w:pPr>
            <w:r w:rsidRPr="008E69D1">
              <w:t xml:space="preserve">Do the responses in </w:t>
            </w:r>
            <w:r w:rsidR="004A56F9" w:rsidRPr="008E69D1">
              <w:t>questions #3-6 represent a sample of cases</w:t>
            </w:r>
            <w:r w:rsidRPr="008E69D1">
              <w:t>?</w:t>
            </w:r>
          </w:p>
        </w:tc>
        <w:tc>
          <w:tcPr>
            <w:tcW w:w="2875" w:type="dxa"/>
            <w:tcMar>
              <w:top w:w="72" w:type="dxa"/>
              <w:left w:w="115" w:type="dxa"/>
              <w:bottom w:w="72" w:type="dxa"/>
              <w:right w:w="115" w:type="dxa"/>
            </w:tcMar>
            <w:vAlign w:val="center"/>
          </w:tcPr>
          <w:p w14:paraId="444FCD0F" w14:textId="2D2F861A" w:rsidR="007206A4" w:rsidRPr="00B44C1C" w:rsidRDefault="007206A4" w:rsidP="00AD309C">
            <w:pPr>
              <w:pStyle w:val="ListParagraph"/>
              <w:numPr>
                <w:ilvl w:val="0"/>
                <w:numId w:val="319"/>
              </w:numPr>
              <w:rPr>
                <w:iCs/>
              </w:rPr>
            </w:pPr>
            <w:r w:rsidRPr="00B44C1C">
              <w:rPr>
                <w:iCs/>
              </w:rPr>
              <w:t>Yes</w:t>
            </w:r>
          </w:p>
          <w:p w14:paraId="447AA133" w14:textId="77777777" w:rsidR="007206A4" w:rsidRPr="00B44C1C" w:rsidRDefault="007206A4" w:rsidP="00AD309C">
            <w:pPr>
              <w:pStyle w:val="ListParagraph"/>
              <w:numPr>
                <w:ilvl w:val="0"/>
                <w:numId w:val="319"/>
              </w:numPr>
              <w:rPr>
                <w:iCs/>
              </w:rPr>
            </w:pPr>
            <w:r w:rsidRPr="00B44C1C">
              <w:rPr>
                <w:iCs/>
              </w:rPr>
              <w:t>No</w:t>
            </w:r>
          </w:p>
        </w:tc>
      </w:tr>
    </w:tbl>
    <w:p w14:paraId="68045B37" w14:textId="77777777" w:rsidR="004A7EF4" w:rsidRPr="008E69D1" w:rsidRDefault="004A7EF4">
      <w:r w:rsidRPr="008E69D1">
        <w:rPr>
          <w:b/>
          <w:i/>
        </w:rPr>
        <w:br w:type="page"/>
      </w:r>
    </w:p>
    <w:p w14:paraId="183AD036" w14:textId="340243D5" w:rsidR="007E7B00" w:rsidRDefault="00FB07A6" w:rsidP="00CF5A6E">
      <w:pPr>
        <w:pStyle w:val="Heading2"/>
      </w:pPr>
      <w:bookmarkStart w:id="751" w:name="_Toc225877848"/>
      <w:r>
        <w:lastRenderedPageBreak/>
        <w:t>9F:</w:t>
      </w:r>
      <w:r w:rsidRPr="008E69D1">
        <w:t xml:space="preserve"> </w:t>
      </w:r>
      <w:r w:rsidR="00BD2439">
        <w:t>CMS Measures</w:t>
      </w:r>
      <w:bookmarkEnd w:id="751"/>
    </w:p>
    <w:p w14:paraId="66EF5295" w14:textId="77777777" w:rsidR="00FB07A6" w:rsidRPr="008E69D1" w:rsidRDefault="00FB07A6" w:rsidP="007E7B00">
      <w:pPr>
        <w:rPr>
          <w:rFonts w:cs="Arial"/>
          <w:color w:val="000000"/>
        </w:rPr>
      </w:pPr>
    </w:p>
    <w:p w14:paraId="2C7FD6BC" w14:textId="349FAC95" w:rsidR="000B04F4" w:rsidRDefault="000B04F4" w:rsidP="007E7B00">
      <w:pPr>
        <w:pStyle w:val="BodyText3"/>
        <w:rPr>
          <w:rFonts w:cs="Arial"/>
          <w:b/>
          <w:color w:val="FF0000"/>
        </w:rPr>
      </w:pPr>
      <w:r w:rsidRPr="008E69D1">
        <w:rPr>
          <w:rFonts w:cs="Arial"/>
          <w:b/>
          <w:color w:val="FF0000"/>
        </w:rPr>
        <w:t xml:space="preserve">This section is not applicable to </w:t>
      </w:r>
      <w:r w:rsidR="00593F54">
        <w:rPr>
          <w:rFonts w:cs="Arial"/>
          <w:b/>
          <w:color w:val="FF0000"/>
        </w:rPr>
        <w:t>p</w:t>
      </w:r>
      <w:r w:rsidRPr="008E69D1">
        <w:rPr>
          <w:rFonts w:cs="Arial"/>
          <w:b/>
          <w:color w:val="FF0000"/>
        </w:rPr>
        <w:t>ediatric hospitals.</w:t>
      </w:r>
      <w:r w:rsidRPr="00F618E7">
        <w:rPr>
          <w:rFonts w:cs="Arial"/>
          <w:b/>
          <w:color w:val="FF0000"/>
        </w:rPr>
        <w:t xml:space="preserve"> </w:t>
      </w:r>
    </w:p>
    <w:p w14:paraId="223715C5" w14:textId="77777777" w:rsidR="007E7B00" w:rsidRDefault="007E7B00" w:rsidP="008E7151">
      <w:pPr>
        <w:pStyle w:val="BodyText3"/>
        <w:rPr>
          <w:rFonts w:cs="Arial"/>
          <w:snapToGrid w:val="0"/>
        </w:rPr>
      </w:pPr>
    </w:p>
    <w:p w14:paraId="364AE056" w14:textId="320C99FE" w:rsidR="00A715C8" w:rsidRDefault="00A715C8" w:rsidP="007E7B00">
      <w:pPr>
        <w:rPr>
          <w:rFonts w:cs="Arial"/>
          <w:snapToGrid w:val="0"/>
        </w:rPr>
      </w:pPr>
      <w:r w:rsidRPr="009A5185">
        <w:rPr>
          <w:rFonts w:cs="Arial"/>
          <w:b/>
        </w:rPr>
        <w:t xml:space="preserve">Specifications: </w:t>
      </w:r>
      <w:r w:rsidRPr="009A5185">
        <w:rPr>
          <w:rFonts w:cs="Arial"/>
          <w:snapToGrid w:val="0"/>
        </w:rPr>
        <w:t xml:space="preserve">See </w:t>
      </w:r>
      <w:hyperlink w:anchor="_Patient_Experience_(OAS" w:history="1">
        <w:r w:rsidR="003C2DB1">
          <w:rPr>
            <w:rStyle w:val="Hyperlink"/>
            <w:rFonts w:cs="Arial"/>
            <w:b/>
            <w:i/>
            <w:snapToGrid w:val="0"/>
          </w:rPr>
          <w:t>CMS</w:t>
        </w:r>
        <w:r>
          <w:rPr>
            <w:rStyle w:val="Hyperlink"/>
            <w:rFonts w:cs="Arial"/>
            <w:b/>
            <w:i/>
            <w:snapToGrid w:val="0"/>
          </w:rPr>
          <w:t xml:space="preserve"> </w:t>
        </w:r>
        <w:r w:rsidR="003C2DB1">
          <w:rPr>
            <w:rStyle w:val="Hyperlink"/>
            <w:rFonts w:cs="Arial"/>
            <w:b/>
            <w:i/>
            <w:snapToGrid w:val="0"/>
          </w:rPr>
          <w:t xml:space="preserve">Measures </w:t>
        </w:r>
        <w:r>
          <w:rPr>
            <w:rStyle w:val="Hyperlink"/>
            <w:rFonts w:cs="Arial"/>
            <w:b/>
            <w:i/>
            <w:snapToGrid w:val="0"/>
          </w:rPr>
          <w:t>Measure Specifications</w:t>
        </w:r>
      </w:hyperlink>
      <w:r w:rsidRPr="009A5185">
        <w:rPr>
          <w:rFonts w:cs="Arial"/>
          <w:snapToGrid w:val="0"/>
        </w:rPr>
        <w:t xml:space="preserve"> in the Reference Information </w:t>
      </w:r>
      <w:r w:rsidR="00BF3C8D">
        <w:rPr>
          <w:rFonts w:cs="Arial"/>
        </w:rPr>
        <w:t>beginning on page</w:t>
      </w:r>
      <w:r w:rsidR="007506DE">
        <w:rPr>
          <w:rFonts w:cs="Arial"/>
        </w:rPr>
        <w:t xml:space="preserve"> 33</w:t>
      </w:r>
      <w:r w:rsidR="00D40C9E">
        <w:rPr>
          <w:rFonts w:cs="Arial"/>
        </w:rPr>
        <w:t>4</w:t>
      </w:r>
      <w:r w:rsidR="00BF3C8D">
        <w:rPr>
          <w:rFonts w:cs="Arial"/>
        </w:rPr>
        <w:t>.</w:t>
      </w:r>
    </w:p>
    <w:p w14:paraId="301766EC" w14:textId="77777777" w:rsidR="007E7B00" w:rsidRDefault="007E7B00" w:rsidP="007E7B00">
      <w:pPr>
        <w:rPr>
          <w:rFonts w:cs="Arial"/>
          <w:snapToGrid w:val="0"/>
        </w:rPr>
      </w:pPr>
    </w:p>
    <w:p w14:paraId="24CBD745" w14:textId="55A5DFF4" w:rsidR="004F0509" w:rsidRDefault="00B46EFA" w:rsidP="004F0509">
      <w:pPr>
        <w:rPr>
          <w:szCs w:val="24"/>
        </w:rPr>
      </w:pPr>
      <w:r w:rsidRPr="00B46EFA">
        <w:rPr>
          <w:noProof/>
          <w:szCs w:val="24"/>
        </w:rPr>
        <mc:AlternateContent>
          <mc:Choice Requires="wps">
            <w:drawing>
              <wp:inline distT="0" distB="0" distL="0" distR="0" wp14:anchorId="578D6CBB" wp14:editId="606D24F3">
                <wp:extent cx="5923722" cy="1404620"/>
                <wp:effectExtent l="0" t="0" r="20320" b="12700"/>
                <wp:docPr id="49" name="Text Box 49" descr="P11750TB3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722" cy="1404620"/>
                        </a:xfrm>
                        <a:prstGeom prst="rect">
                          <a:avLst/>
                        </a:prstGeom>
                        <a:solidFill>
                          <a:srgbClr val="FFFFFF"/>
                        </a:solidFill>
                        <a:ln w="9525">
                          <a:solidFill>
                            <a:srgbClr val="FF0000"/>
                          </a:solidFill>
                          <a:miter lim="800000"/>
                          <a:headEnd/>
                          <a:tailEnd/>
                        </a:ln>
                      </wps:spPr>
                      <wps:txbx>
                        <w:txbxContent>
                          <w:p w14:paraId="246EFBCF" w14:textId="26140D0E" w:rsidR="00B46EFA" w:rsidRPr="009A5185" w:rsidRDefault="00EB233D" w:rsidP="00B46EFA">
                            <w:pPr>
                              <w:spacing w:before="120"/>
                              <w:rPr>
                                <w:rFonts w:cs="Arial"/>
                                <w:b/>
                                <w:snapToGrid w:val="0"/>
                              </w:rPr>
                            </w:pPr>
                            <w:r>
                              <w:rPr>
                                <w:rFonts w:cs="Arial"/>
                                <w:b/>
                                <w:snapToGrid w:val="0"/>
                              </w:rPr>
                              <w:t xml:space="preserve">OP-32 </w:t>
                            </w:r>
                            <w:r w:rsidR="00B46EFA" w:rsidRPr="009A5185">
                              <w:rPr>
                                <w:rFonts w:cs="Arial"/>
                                <w:b/>
                                <w:snapToGrid w:val="0"/>
                              </w:rPr>
                              <w:t xml:space="preserve">Reporting Period: </w:t>
                            </w:r>
                            <w:r w:rsidR="00042347">
                              <w:rPr>
                                <w:rFonts w:cs="Arial"/>
                                <w:b/>
                                <w:snapToGrid w:val="0"/>
                              </w:rPr>
                              <w:t>24</w:t>
                            </w:r>
                            <w:r w:rsidR="00B46EFA" w:rsidRPr="009A5185">
                              <w:rPr>
                                <w:rFonts w:cs="Arial"/>
                                <w:b/>
                                <w:snapToGrid w:val="0"/>
                              </w:rPr>
                              <w:t xml:space="preserve"> months</w:t>
                            </w:r>
                          </w:p>
                          <w:p w14:paraId="6FD44722" w14:textId="13E7425F" w:rsidR="00EB233D" w:rsidRPr="00566B35" w:rsidRDefault="00E740A8" w:rsidP="00523082">
                            <w:pPr>
                              <w:pStyle w:val="ListParagraph"/>
                              <w:numPr>
                                <w:ilvl w:val="0"/>
                                <w:numId w:val="440"/>
                              </w:numPr>
                              <w:rPr>
                                <w:rFonts w:cs="Arial"/>
                              </w:rPr>
                            </w:pPr>
                            <w:r>
                              <w:rPr>
                                <w:rFonts w:cs="Arial"/>
                              </w:rPr>
                              <w:t>All data downloads</w:t>
                            </w:r>
                            <w:r w:rsidR="00F30601">
                              <w:rPr>
                                <w:rFonts w:cs="Arial"/>
                              </w:rPr>
                              <w:t>:</w:t>
                            </w:r>
                            <w:r>
                              <w:rPr>
                                <w:rFonts w:cs="Arial"/>
                              </w:rPr>
                              <w:t xml:space="preserve"> </w:t>
                            </w:r>
                            <w:r w:rsidRPr="00303AA5">
                              <w:rPr>
                                <w:rFonts w:cs="Arial"/>
                              </w:rPr>
                              <w:t>1/1/2022 - 12/31/2024</w:t>
                            </w:r>
                          </w:p>
                          <w:p w14:paraId="2570E687" w14:textId="77777777" w:rsidR="00042347" w:rsidRDefault="00042347" w:rsidP="00B46EFA">
                            <w:pPr>
                              <w:rPr>
                                <w:rFonts w:cs="Arial"/>
                                <w:snapToGrid w:val="0"/>
                              </w:rPr>
                            </w:pPr>
                          </w:p>
                          <w:p w14:paraId="6A829704" w14:textId="77777777" w:rsidR="00EB233D" w:rsidRPr="00731A0D" w:rsidRDefault="00EB233D" w:rsidP="00EB233D">
                            <w:pPr>
                              <w:ind w:right="-108"/>
                              <w:rPr>
                                <w:rFonts w:cs="Arial"/>
                              </w:rPr>
                            </w:pPr>
                            <w:r>
                              <w:rPr>
                                <w:rFonts w:cs="Arial"/>
                                <w:b/>
                                <w:snapToGrid w:val="0"/>
                              </w:rPr>
                              <w:t xml:space="preserve">OAS CAHPS </w:t>
                            </w:r>
                            <w:r w:rsidRPr="00731A0D">
                              <w:rPr>
                                <w:rFonts w:cs="Arial"/>
                                <w:b/>
                                <w:snapToGrid w:val="0"/>
                              </w:rPr>
                              <w:t xml:space="preserve">Reporting Period: </w:t>
                            </w:r>
                            <w:r>
                              <w:rPr>
                                <w:rFonts w:cs="Arial"/>
                                <w:b/>
                                <w:snapToGrid w:val="0"/>
                              </w:rPr>
                              <w:t>12 months</w:t>
                            </w:r>
                          </w:p>
                          <w:p w14:paraId="13D5FB0C" w14:textId="1F608077" w:rsidR="005C392B" w:rsidRPr="005C392B" w:rsidRDefault="005C392B" w:rsidP="005C392B">
                            <w:pPr>
                              <w:pStyle w:val="NoSpacing"/>
                              <w:numPr>
                                <w:ilvl w:val="0"/>
                                <w:numId w:val="440"/>
                              </w:numPr>
                              <w:rPr>
                                <w:rFonts w:ascii="Arial" w:hAnsi="Arial" w:cs="Arial"/>
                                <w:sz w:val="20"/>
                                <w:szCs w:val="20"/>
                              </w:rPr>
                            </w:pPr>
                            <w:r w:rsidRPr="005C392B">
                              <w:rPr>
                                <w:rFonts w:ascii="Arial" w:hAnsi="Arial" w:cs="Arial"/>
                                <w:sz w:val="20"/>
                                <w:szCs w:val="20"/>
                              </w:rPr>
                              <w:t>June Data Download: 7/1/2024 - 6/30/2025</w:t>
                            </w:r>
                          </w:p>
                          <w:p w14:paraId="130CBD39" w14:textId="77777777" w:rsidR="005C392B" w:rsidRPr="005C392B" w:rsidRDefault="005C392B" w:rsidP="005C392B">
                            <w:pPr>
                              <w:pStyle w:val="NoSpacing"/>
                              <w:numPr>
                                <w:ilvl w:val="0"/>
                                <w:numId w:val="440"/>
                              </w:numPr>
                              <w:rPr>
                                <w:rFonts w:ascii="Arial" w:hAnsi="Arial" w:cs="Arial"/>
                                <w:sz w:val="20"/>
                                <w:szCs w:val="20"/>
                              </w:rPr>
                            </w:pPr>
                            <w:r w:rsidRPr="005C392B">
                              <w:rPr>
                                <w:rFonts w:ascii="Arial" w:hAnsi="Arial" w:cs="Arial"/>
                                <w:sz w:val="20"/>
                                <w:szCs w:val="20"/>
                              </w:rPr>
                              <w:t>August Data Download: 10/1/2024 - 9/30/2025</w:t>
                            </w:r>
                          </w:p>
                          <w:p w14:paraId="4B49C5F0" w14:textId="6AC40095" w:rsidR="00EB233D" w:rsidRPr="00523082" w:rsidRDefault="005C392B" w:rsidP="00523082">
                            <w:pPr>
                              <w:pStyle w:val="NoSpacing"/>
                              <w:numPr>
                                <w:ilvl w:val="0"/>
                                <w:numId w:val="440"/>
                              </w:numPr>
                              <w:rPr>
                                <w:rFonts w:cs="Arial"/>
                              </w:rPr>
                            </w:pPr>
                            <w:r w:rsidRPr="00523082">
                              <w:rPr>
                                <w:rFonts w:ascii="Arial" w:hAnsi="Arial" w:cs="Arial"/>
                                <w:sz w:val="20"/>
                                <w:szCs w:val="20"/>
                              </w:rPr>
                              <w:t>November Data Download: 1/1/2025 - 12/31/2025</w:t>
                            </w:r>
                          </w:p>
                          <w:p w14:paraId="46E1A87C" w14:textId="77777777" w:rsidR="00B46EFA" w:rsidRPr="00993ACE" w:rsidRDefault="00B46EFA" w:rsidP="00B46EFA">
                            <w:pPr>
                              <w:rPr>
                                <w:rFonts w:cs="Arial"/>
                                <w:snapToGrid w:val="0"/>
                              </w:rPr>
                            </w:pPr>
                          </w:p>
                          <w:p w14:paraId="2EF1D46C" w14:textId="54A0151E" w:rsidR="00B46EFA" w:rsidRDefault="00440BFB" w:rsidP="00440BFB">
                            <w:r w:rsidRPr="002C706C">
                              <w:rPr>
                                <w:rFonts w:cs="Arial"/>
                                <w:i/>
                                <w:snapToGrid w:val="0"/>
                                <w:sz w:val="16"/>
                                <w:szCs w:val="16"/>
                              </w:rPr>
                              <w:t xml:space="preserve">Leapfrog will update data three times per Survey Cycle for hospitals that have provided an accurate CCN in the Hospital Profile and </w:t>
                            </w:r>
                            <w:r w:rsidRPr="009D41D6">
                              <w:rPr>
                                <w:rFonts w:cs="Arial"/>
                                <w:i/>
                                <w:snapToGrid w:val="0"/>
                                <w:sz w:val="16"/>
                                <w:szCs w:val="16"/>
                              </w:rPr>
                              <w:t>report performing</w:t>
                            </w:r>
                            <w:r w:rsidR="00125D59">
                              <w:rPr>
                                <w:rFonts w:cs="Arial"/>
                                <w:i/>
                                <w:snapToGrid w:val="0"/>
                                <w:sz w:val="16"/>
                                <w:szCs w:val="16"/>
                              </w:rPr>
                              <w:t xml:space="preserve"> </w:t>
                            </w:r>
                            <w:r w:rsidR="009B175A">
                              <w:rPr>
                                <w:rFonts w:cs="Arial"/>
                                <w:i/>
                                <w:snapToGrid w:val="0"/>
                                <w:sz w:val="16"/>
                                <w:szCs w:val="16"/>
                              </w:rPr>
                              <w:t xml:space="preserve">outpatient </w:t>
                            </w:r>
                            <w:r w:rsidRPr="009D41D6">
                              <w:rPr>
                                <w:rFonts w:cs="Arial"/>
                                <w:i/>
                                <w:snapToGrid w:val="0"/>
                                <w:sz w:val="16"/>
                                <w:szCs w:val="16"/>
                              </w:rPr>
                              <w:t xml:space="preserve">procedures </w:t>
                            </w:r>
                            <w:r w:rsidR="00125D59" w:rsidRPr="00990501">
                              <w:rPr>
                                <w:rFonts w:cs="Arial"/>
                                <w:i/>
                                <w:snapToGrid w:val="0"/>
                                <w:sz w:val="16"/>
                                <w:szCs w:val="16"/>
                              </w:rPr>
                              <w:t>in Section 9A Basic Outpatient Department Information</w:t>
                            </w:r>
                            <w:r w:rsidR="00125D59">
                              <w:rPr>
                                <w:rFonts w:cs="Arial"/>
                                <w:i/>
                                <w:snapToGrid w:val="0"/>
                                <w:sz w:val="16"/>
                                <w:szCs w:val="16"/>
                              </w:rPr>
                              <w:t>.</w:t>
                            </w:r>
                          </w:p>
                        </w:txbxContent>
                      </wps:txbx>
                      <wps:bodyPr rot="0" vert="horz" wrap="square" lIns="91440" tIns="45720" rIns="91440" bIns="45720" anchor="t" anchorCtr="0">
                        <a:spAutoFit/>
                      </wps:bodyPr>
                    </wps:wsp>
                  </a:graphicData>
                </a:graphic>
              </wp:inline>
            </w:drawing>
          </mc:Choice>
          <mc:Fallback>
            <w:pict>
              <v:shape w14:anchorId="578D6CBB" id="Text Box 49" o:spid="_x0000_s1064" type="#_x0000_t202" alt="P11750TB37#y1" style="width:466.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" strokecolor="red">
                <v:textbox style="mso-fit-shape-to-text:t">
                  <w:txbxContent>
                    <w:p w14:paraId="246EFBCF" w14:textId="26140D0E" w:rsidR="00B46EFA" w:rsidRPr="009A5185" w:rsidRDefault="00EB233D" w:rsidP="00B46EFA">
                      <w:pPr>
                        <w:spacing w:before="120"/>
                        <w:rPr>
                          <w:rFonts w:cs="Arial"/>
                          <w:b/>
                          <w:snapToGrid w:val="0"/>
                        </w:rPr>
                      </w:pPr>
                      <w:r>
                        <w:rPr>
                          <w:rFonts w:cs="Arial"/>
                          <w:b/>
                          <w:snapToGrid w:val="0"/>
                        </w:rPr>
                        <w:t xml:space="preserve">OP-32 </w:t>
                      </w:r>
                      <w:r w:rsidR="00B46EFA" w:rsidRPr="009A5185">
                        <w:rPr>
                          <w:rFonts w:cs="Arial"/>
                          <w:b/>
                          <w:snapToGrid w:val="0"/>
                        </w:rPr>
                        <w:t xml:space="preserve">Reporting Period: </w:t>
                      </w:r>
                      <w:r w:rsidR="00042347">
                        <w:rPr>
                          <w:rFonts w:cs="Arial"/>
                          <w:b/>
                          <w:snapToGrid w:val="0"/>
                        </w:rPr>
                        <w:t>24</w:t>
                      </w:r>
                      <w:r w:rsidR="00B46EFA" w:rsidRPr="009A5185">
                        <w:rPr>
                          <w:rFonts w:cs="Arial"/>
                          <w:b/>
                          <w:snapToGrid w:val="0"/>
                        </w:rPr>
                        <w:t xml:space="preserve"> months</w:t>
                      </w:r>
                    </w:p>
                    <w:p w14:paraId="6FD44722" w14:textId="13E7425F" w:rsidR="00EB233D" w:rsidRPr="00566B35" w:rsidRDefault="00E740A8" w:rsidP="00523082">
                      <w:pPr>
                        <w:pStyle w:val="ListParagraph"/>
                        <w:numPr>
                          <w:ilvl w:val="0"/>
                          <w:numId w:val="440"/>
                        </w:numPr>
                        <w:rPr>
                          <w:rFonts w:cs="Arial"/>
                        </w:rPr>
                      </w:pPr>
                      <w:r>
                        <w:rPr>
                          <w:rFonts w:cs="Arial"/>
                        </w:rPr>
                        <w:t>All data downloads</w:t>
                      </w:r>
                      <w:r w:rsidR="00F30601">
                        <w:rPr>
                          <w:rFonts w:cs="Arial"/>
                        </w:rPr>
                        <w:t>:</w:t>
                      </w:r>
                      <w:r>
                        <w:rPr>
                          <w:rFonts w:cs="Arial"/>
                        </w:rPr>
                        <w:t xml:space="preserve"> </w:t>
                      </w:r>
                      <w:r w:rsidRPr="00303AA5">
                        <w:rPr>
                          <w:rFonts w:cs="Arial"/>
                        </w:rPr>
                        <w:t>1/1/2022 - 12/31/2024</w:t>
                      </w:r>
                    </w:p>
                    <w:p w14:paraId="2570E687" w14:textId="77777777" w:rsidR="00042347" w:rsidRDefault="00042347" w:rsidP="00B46EFA">
                      <w:pPr>
                        <w:rPr>
                          <w:rFonts w:cs="Arial"/>
                          <w:snapToGrid w:val="0"/>
                        </w:rPr>
                      </w:pPr>
                    </w:p>
                    <w:p w14:paraId="6A829704" w14:textId="77777777" w:rsidR="00EB233D" w:rsidRPr="00731A0D" w:rsidRDefault="00EB233D" w:rsidP="00EB233D">
                      <w:pPr>
                        <w:ind w:right="-108"/>
                        <w:rPr>
                          <w:rFonts w:cs="Arial"/>
                        </w:rPr>
                      </w:pPr>
                      <w:r>
                        <w:rPr>
                          <w:rFonts w:cs="Arial"/>
                          <w:b/>
                          <w:snapToGrid w:val="0"/>
                        </w:rPr>
                        <w:t xml:space="preserve">OAS CAHPS </w:t>
                      </w:r>
                      <w:r w:rsidRPr="00731A0D">
                        <w:rPr>
                          <w:rFonts w:cs="Arial"/>
                          <w:b/>
                          <w:snapToGrid w:val="0"/>
                        </w:rPr>
                        <w:t xml:space="preserve">Reporting Period: </w:t>
                      </w:r>
                      <w:r>
                        <w:rPr>
                          <w:rFonts w:cs="Arial"/>
                          <w:b/>
                          <w:snapToGrid w:val="0"/>
                        </w:rPr>
                        <w:t>12 months</w:t>
                      </w:r>
                    </w:p>
                    <w:p w14:paraId="13D5FB0C" w14:textId="1F608077" w:rsidR="005C392B" w:rsidRPr="005C392B" w:rsidRDefault="005C392B" w:rsidP="005C392B">
                      <w:pPr>
                        <w:pStyle w:val="NoSpacing"/>
                        <w:numPr>
                          <w:ilvl w:val="0"/>
                          <w:numId w:val="440"/>
                        </w:numPr>
                        <w:rPr>
                          <w:rFonts w:ascii="Arial" w:hAnsi="Arial" w:cs="Arial"/>
                          <w:sz w:val="20"/>
                          <w:szCs w:val="20"/>
                        </w:rPr>
                      </w:pPr>
                      <w:r w:rsidRPr="005C392B">
                        <w:rPr>
                          <w:rFonts w:ascii="Arial" w:hAnsi="Arial" w:cs="Arial"/>
                          <w:sz w:val="20"/>
                          <w:szCs w:val="20"/>
                        </w:rPr>
                        <w:t>June Data Download: 7/1/2024 - 6/30/2025</w:t>
                      </w:r>
                    </w:p>
                    <w:p w14:paraId="130CBD39" w14:textId="77777777" w:rsidR="005C392B" w:rsidRPr="005C392B" w:rsidRDefault="005C392B" w:rsidP="005C392B">
                      <w:pPr>
                        <w:pStyle w:val="NoSpacing"/>
                        <w:numPr>
                          <w:ilvl w:val="0"/>
                          <w:numId w:val="440"/>
                        </w:numPr>
                        <w:rPr>
                          <w:rFonts w:ascii="Arial" w:hAnsi="Arial" w:cs="Arial"/>
                          <w:sz w:val="20"/>
                          <w:szCs w:val="20"/>
                        </w:rPr>
                      </w:pPr>
                      <w:r w:rsidRPr="005C392B">
                        <w:rPr>
                          <w:rFonts w:ascii="Arial" w:hAnsi="Arial" w:cs="Arial"/>
                          <w:sz w:val="20"/>
                          <w:szCs w:val="20"/>
                        </w:rPr>
                        <w:t>August Data Download: 10/1/2024 - 9/30/2025</w:t>
                      </w:r>
                    </w:p>
                    <w:p w14:paraId="4B49C5F0" w14:textId="6AC40095" w:rsidR="00EB233D" w:rsidRPr="00523082" w:rsidRDefault="005C392B" w:rsidP="00523082">
                      <w:pPr>
                        <w:pStyle w:val="NoSpacing"/>
                        <w:numPr>
                          <w:ilvl w:val="0"/>
                          <w:numId w:val="440"/>
                        </w:numPr>
                        <w:rPr>
                          <w:rFonts w:cs="Arial"/>
                        </w:rPr>
                      </w:pPr>
                      <w:r w:rsidRPr="00523082">
                        <w:rPr>
                          <w:rFonts w:ascii="Arial" w:hAnsi="Arial" w:cs="Arial"/>
                          <w:sz w:val="20"/>
                          <w:szCs w:val="20"/>
                        </w:rPr>
                        <w:t>November Data Download: 1/1/2025 - 12/31/2025</w:t>
                      </w:r>
                    </w:p>
                    <w:p w14:paraId="46E1A87C" w14:textId="77777777" w:rsidR="00B46EFA" w:rsidRPr="00993ACE" w:rsidRDefault="00B46EFA" w:rsidP="00B46EFA">
                      <w:pPr>
                        <w:rPr>
                          <w:rFonts w:cs="Arial"/>
                          <w:snapToGrid w:val="0"/>
                        </w:rPr>
                      </w:pPr>
                    </w:p>
                    <w:p w14:paraId="2EF1D46C" w14:textId="54A0151E" w:rsidR="00B46EFA" w:rsidRDefault="00440BFB" w:rsidP="00440BFB">
                      <w:r w:rsidRPr="002C706C">
                        <w:rPr>
                          <w:rFonts w:cs="Arial"/>
                          <w:i/>
                          <w:snapToGrid w:val="0"/>
                          <w:sz w:val="16"/>
                          <w:szCs w:val="16"/>
                        </w:rPr>
                        <w:t xml:space="preserve">Leapfrog will update data three times per Survey Cycle for hospitals that have provided an accurate CCN in the Hospital Profile and </w:t>
                      </w:r>
                      <w:r w:rsidRPr="009D41D6">
                        <w:rPr>
                          <w:rFonts w:cs="Arial"/>
                          <w:i/>
                          <w:snapToGrid w:val="0"/>
                          <w:sz w:val="16"/>
                          <w:szCs w:val="16"/>
                        </w:rPr>
                        <w:t>report performing</w:t>
                      </w:r>
                      <w:r w:rsidR="00125D59">
                        <w:rPr>
                          <w:rFonts w:cs="Arial"/>
                          <w:i/>
                          <w:snapToGrid w:val="0"/>
                          <w:sz w:val="16"/>
                          <w:szCs w:val="16"/>
                        </w:rPr>
                        <w:t xml:space="preserve"> </w:t>
                      </w:r>
                      <w:r w:rsidR="009B175A">
                        <w:rPr>
                          <w:rFonts w:cs="Arial"/>
                          <w:i/>
                          <w:snapToGrid w:val="0"/>
                          <w:sz w:val="16"/>
                          <w:szCs w:val="16"/>
                        </w:rPr>
                        <w:t xml:space="preserve">outpatient </w:t>
                      </w:r>
                      <w:r w:rsidRPr="009D41D6">
                        <w:rPr>
                          <w:rFonts w:cs="Arial"/>
                          <w:i/>
                          <w:snapToGrid w:val="0"/>
                          <w:sz w:val="16"/>
                          <w:szCs w:val="16"/>
                        </w:rPr>
                        <w:t xml:space="preserve">procedures </w:t>
                      </w:r>
                      <w:r w:rsidR="00125D59" w:rsidRPr="00990501">
                        <w:rPr>
                          <w:rFonts w:cs="Arial"/>
                          <w:i/>
                          <w:snapToGrid w:val="0"/>
                          <w:sz w:val="16"/>
                          <w:szCs w:val="16"/>
                        </w:rPr>
                        <w:t>in Section 9A Basic Outpatient Department Information</w:t>
                      </w:r>
                      <w:r w:rsidR="00125D59">
                        <w:rPr>
                          <w:rFonts w:cs="Arial"/>
                          <w:i/>
                          <w:snapToGrid w:val="0"/>
                          <w:sz w:val="16"/>
                          <w:szCs w:val="16"/>
                        </w:rPr>
                        <w:t>.</w:t>
                      </w:r>
                    </w:p>
                  </w:txbxContent>
                </v:textbox>
                <w10:anchorlock/>
              </v:shape>
            </w:pict>
          </mc:Fallback>
        </mc:AlternateContent>
      </w:r>
    </w:p>
    <w:p w14:paraId="72D1686D" w14:textId="77777777" w:rsidR="00866CD7" w:rsidRDefault="00866CD7" w:rsidP="00866CD7">
      <w:pPr>
        <w:rPr>
          <w:rFonts w:cs="Arial"/>
          <w:snapToGrid w:val="0"/>
        </w:rPr>
      </w:pPr>
    </w:p>
    <w:p w14:paraId="1519E76D" w14:textId="77777777" w:rsidR="009538D0" w:rsidRDefault="009538D0" w:rsidP="009538D0">
      <w:pPr>
        <w:rPr>
          <w:bdr w:val="none" w:sz="0" w:space="0" w:color="auto" w:frame="1"/>
        </w:rPr>
      </w:pPr>
      <w:r>
        <w:rPr>
          <w:bdr w:val="none" w:sz="0" w:space="0" w:color="auto" w:frame="1"/>
        </w:rPr>
        <w:t xml:space="preserve">Leapfrog obtains data for five </w:t>
      </w:r>
      <w:r w:rsidRPr="00B760C9">
        <w:rPr>
          <w:bdr w:val="none" w:sz="0" w:space="0" w:color="auto" w:frame="1"/>
        </w:rPr>
        <w:t xml:space="preserve">Hospital Outpatient Quality Reporting (OQR) </w:t>
      </w:r>
      <w:r>
        <w:rPr>
          <w:bdr w:val="none" w:sz="0" w:space="0" w:color="auto" w:frame="1"/>
        </w:rPr>
        <w:t>p</w:t>
      </w:r>
      <w:r w:rsidRPr="00B760C9">
        <w:rPr>
          <w:bdr w:val="none" w:sz="0" w:space="0" w:color="auto" w:frame="1"/>
        </w:rPr>
        <w:t xml:space="preserve">rogram </w:t>
      </w:r>
      <w:r>
        <w:rPr>
          <w:bdr w:val="none" w:sz="0" w:space="0" w:color="auto" w:frame="1"/>
        </w:rPr>
        <w:t>m</w:t>
      </w:r>
      <w:r w:rsidRPr="00B760C9">
        <w:rPr>
          <w:bdr w:val="none" w:sz="0" w:space="0" w:color="auto" w:frame="1"/>
        </w:rPr>
        <w:t>easure</w:t>
      </w:r>
      <w:r>
        <w:rPr>
          <w:bdr w:val="none" w:sz="0" w:space="0" w:color="auto" w:frame="1"/>
        </w:rPr>
        <w:t xml:space="preserve">s directly </w:t>
      </w:r>
      <w:r w:rsidRPr="00094590">
        <w:rPr>
          <w:bdr w:val="none" w:sz="0" w:space="0" w:color="auto" w:frame="1"/>
        </w:rPr>
        <w:t xml:space="preserve">from </w:t>
      </w:r>
      <w:r>
        <w:rPr>
          <w:bdr w:val="none" w:sz="0" w:space="0" w:color="auto" w:frame="1"/>
        </w:rPr>
        <w:t xml:space="preserve">the </w:t>
      </w:r>
      <w:hyperlink r:id="rId477" w:history="1">
        <w:r w:rsidRPr="00B760C9">
          <w:rPr>
            <w:rStyle w:val="Hyperlink"/>
            <w:bdr w:val="none" w:sz="0" w:space="0" w:color="auto" w:frame="1"/>
          </w:rPr>
          <w:t>CMS Provider Data Catalog</w:t>
        </w:r>
      </w:hyperlink>
      <w:r>
        <w:rPr>
          <w:bdr w:val="none" w:sz="0" w:space="0" w:color="auto" w:frame="1"/>
        </w:rPr>
        <w:t>:</w:t>
      </w:r>
    </w:p>
    <w:p w14:paraId="1DCFF739" w14:textId="77777777" w:rsidR="009538D0" w:rsidRDefault="009538D0" w:rsidP="009538D0">
      <w:pPr>
        <w:pStyle w:val="ListParagraph"/>
        <w:numPr>
          <w:ilvl w:val="0"/>
          <w:numId w:val="427"/>
        </w:numPr>
        <w:spacing w:before="200" w:after="200" w:line="276" w:lineRule="auto"/>
        <w:rPr>
          <w:bdr w:val="none" w:sz="0" w:space="0" w:color="auto" w:frame="1"/>
        </w:rPr>
      </w:pPr>
      <w:r w:rsidRPr="00094590">
        <w:rPr>
          <w:bdr w:val="none" w:sz="0" w:space="0" w:color="auto" w:frame="1"/>
        </w:rPr>
        <w:t>OP-32: Rate of Unplanned Hospital Visits After an Outpatient Colonoscopy</w:t>
      </w:r>
      <w:r>
        <w:rPr>
          <w:bdr w:val="none" w:sz="0" w:space="0" w:color="auto" w:frame="1"/>
        </w:rPr>
        <w:t xml:space="preserve"> </w:t>
      </w:r>
    </w:p>
    <w:p w14:paraId="4E4C0924" w14:textId="77531126" w:rsidR="009538D0" w:rsidRDefault="009538D0" w:rsidP="009538D0">
      <w:pPr>
        <w:pStyle w:val="ListParagraph"/>
        <w:numPr>
          <w:ilvl w:val="0"/>
          <w:numId w:val="427"/>
        </w:numPr>
        <w:spacing w:before="200" w:after="200" w:line="276" w:lineRule="auto"/>
        <w:rPr>
          <w:bdr w:val="none" w:sz="0" w:space="0" w:color="auto" w:frame="1"/>
        </w:rPr>
      </w:pPr>
      <w:r>
        <w:rPr>
          <w:bdr w:val="none" w:sz="0" w:space="0" w:color="auto" w:frame="1"/>
        </w:rPr>
        <w:t xml:space="preserve">Patient Experience </w:t>
      </w:r>
      <w:hyperlink w:anchor="Endnote48_TopBox" w:history="1">
        <w:r>
          <w:rPr>
            <w:rStyle w:val="Hyperlink"/>
          </w:rPr>
          <w:t>Top Box Score</w:t>
        </w:r>
      </w:hyperlink>
      <w:r>
        <w:fldChar w:fldCharType="begin"/>
      </w:r>
      <w:r>
        <w:rPr>
          <w:rStyle w:val="Hyperlink"/>
        </w:rPr>
        <w:instrText xml:space="preserve"> NOTEREF _Ref534391669 \f \h </w:instrText>
      </w:r>
      <w:r>
        <w:instrText xml:space="preserve"> \* MERGEFORMAT </w:instrText>
      </w:r>
      <w:r>
        <w:fldChar w:fldCharType="separate"/>
      </w:r>
      <w:r w:rsidR="007D53A2" w:rsidRPr="00690E76">
        <w:rPr>
          <w:rStyle w:val="EndnoteReference"/>
        </w:rPr>
        <w:t>51</w:t>
      </w:r>
      <w:r>
        <w:fldChar w:fldCharType="end"/>
      </w:r>
      <w:r>
        <w:rPr>
          <w:bdr w:val="none" w:sz="0" w:space="0" w:color="auto" w:frame="1"/>
        </w:rPr>
        <w:t xml:space="preserve"> (OAS CAHPS) </w:t>
      </w:r>
    </w:p>
    <w:p w14:paraId="56079633" w14:textId="77777777" w:rsidR="009538D0" w:rsidRDefault="009538D0" w:rsidP="009538D0">
      <w:pPr>
        <w:pStyle w:val="ListParagraph"/>
        <w:numPr>
          <w:ilvl w:val="1"/>
          <w:numId w:val="428"/>
        </w:numPr>
        <w:spacing w:before="200" w:after="200" w:line="276" w:lineRule="auto"/>
        <w:rPr>
          <w:bdr w:val="none" w:sz="0" w:space="0" w:color="auto" w:frame="1"/>
        </w:rPr>
      </w:pPr>
      <w:r w:rsidRPr="00DE5DC3">
        <w:rPr>
          <w:bdr w:val="none" w:sz="0" w:space="0" w:color="auto" w:frame="1"/>
        </w:rPr>
        <w:t xml:space="preserve">Facilities and Staff </w:t>
      </w:r>
    </w:p>
    <w:p w14:paraId="7C1A007C" w14:textId="77777777" w:rsidR="009538D0" w:rsidRDefault="009538D0" w:rsidP="009538D0">
      <w:pPr>
        <w:pStyle w:val="ListParagraph"/>
        <w:numPr>
          <w:ilvl w:val="1"/>
          <w:numId w:val="428"/>
        </w:numPr>
        <w:spacing w:before="200" w:after="200" w:line="276" w:lineRule="auto"/>
        <w:rPr>
          <w:bdr w:val="none" w:sz="0" w:space="0" w:color="auto" w:frame="1"/>
        </w:rPr>
      </w:pPr>
      <w:r w:rsidRPr="00DE5DC3">
        <w:rPr>
          <w:bdr w:val="none" w:sz="0" w:space="0" w:color="auto" w:frame="1"/>
        </w:rPr>
        <w:t>Communication About Your Procedure</w:t>
      </w:r>
    </w:p>
    <w:p w14:paraId="0C918CB6" w14:textId="77777777" w:rsidR="009538D0" w:rsidRDefault="009538D0" w:rsidP="009538D0">
      <w:pPr>
        <w:pStyle w:val="ListParagraph"/>
        <w:numPr>
          <w:ilvl w:val="1"/>
          <w:numId w:val="428"/>
        </w:numPr>
        <w:spacing w:before="200" w:after="200" w:line="276" w:lineRule="auto"/>
        <w:rPr>
          <w:bdr w:val="none" w:sz="0" w:space="0" w:color="auto" w:frame="1"/>
        </w:rPr>
      </w:pPr>
      <w:r w:rsidRPr="00DE5DC3">
        <w:rPr>
          <w:bdr w:val="none" w:sz="0" w:space="0" w:color="auto" w:frame="1"/>
        </w:rPr>
        <w:t>Patients’ Rating of the Facility</w:t>
      </w:r>
    </w:p>
    <w:p w14:paraId="46CFD8BD" w14:textId="77777777" w:rsidR="009538D0" w:rsidRPr="00094590" w:rsidRDefault="009538D0" w:rsidP="009538D0">
      <w:pPr>
        <w:pStyle w:val="ListParagraph"/>
        <w:numPr>
          <w:ilvl w:val="1"/>
          <w:numId w:val="428"/>
        </w:numPr>
        <w:spacing w:before="200" w:after="200" w:line="276" w:lineRule="auto"/>
        <w:rPr>
          <w:bdr w:val="none" w:sz="0" w:space="0" w:color="auto" w:frame="1"/>
        </w:rPr>
      </w:pPr>
      <w:r w:rsidRPr="00DE5DC3">
        <w:rPr>
          <w:bdr w:val="none" w:sz="0" w:space="0" w:color="auto" w:frame="1"/>
        </w:rPr>
        <w:t>Patients Recommending the Facility</w:t>
      </w:r>
    </w:p>
    <w:p w14:paraId="2EBAB476" w14:textId="4B1EF2C0" w:rsidR="009538D0" w:rsidRDefault="009538D0" w:rsidP="009538D0">
      <w:pPr>
        <w:rPr>
          <w:rFonts w:cs="Arial"/>
          <w:snapToGrid w:val="0"/>
        </w:rPr>
      </w:pPr>
      <w:r w:rsidRPr="00731A0D">
        <w:rPr>
          <w:rFonts w:cs="Arial"/>
        </w:rPr>
        <w:t xml:space="preserve">For Leapfrog to obtain the data, hospitals must provide a valid CMS Certification Number (CCN) in the </w:t>
      </w:r>
      <w:r>
        <w:rPr>
          <w:rFonts w:cs="Arial"/>
        </w:rPr>
        <w:t xml:space="preserve">Hospital </w:t>
      </w:r>
      <w:r w:rsidRPr="00731A0D">
        <w:rPr>
          <w:rFonts w:cs="Arial"/>
        </w:rPr>
        <w:t>Profil</w:t>
      </w:r>
      <w:r>
        <w:rPr>
          <w:rFonts w:cs="Arial"/>
        </w:rPr>
        <w:t>e</w:t>
      </w:r>
      <w:r>
        <w:rPr>
          <w:bdr w:val="none" w:sz="0" w:space="0" w:color="auto" w:frame="1"/>
        </w:rPr>
        <w:t xml:space="preserve">. </w:t>
      </w:r>
      <w:r>
        <w:rPr>
          <w:rFonts w:cs="Arial"/>
          <w:snapToGrid w:val="0"/>
        </w:rPr>
        <w:t>Hospitals that report not performing</w:t>
      </w:r>
      <w:r w:rsidR="00CE0E16">
        <w:rPr>
          <w:rFonts w:cs="Arial"/>
          <w:snapToGrid w:val="0"/>
        </w:rPr>
        <w:t xml:space="preserve"> </w:t>
      </w:r>
      <w:r>
        <w:rPr>
          <w:rFonts w:cs="Arial"/>
          <w:snapToGrid w:val="0"/>
        </w:rPr>
        <w:t xml:space="preserve">outpatient procedures in Section 9A or </w:t>
      </w:r>
      <w:r w:rsidR="00D211C1">
        <w:rPr>
          <w:rFonts w:cs="Arial"/>
          <w:snapToGrid w:val="0"/>
        </w:rPr>
        <w:t>are a</w:t>
      </w:r>
      <w:r w:rsidR="007820DA">
        <w:rPr>
          <w:rFonts w:cs="Arial"/>
          <w:snapToGrid w:val="0"/>
        </w:rPr>
        <w:t xml:space="preserve"> </w:t>
      </w:r>
      <w:r>
        <w:rPr>
          <w:rFonts w:cs="Arial"/>
          <w:snapToGrid w:val="0"/>
        </w:rPr>
        <w:t xml:space="preserve">pediatric hospital </w:t>
      </w:r>
      <w:r w:rsidRPr="00731A0D">
        <w:rPr>
          <w:rFonts w:cs="Arial"/>
          <w:snapToGrid w:val="0"/>
        </w:rPr>
        <w:t>will be scored and publicly reported as “Does Not Apply”</w:t>
      </w:r>
      <w:r w:rsidR="009E0F63">
        <w:rPr>
          <w:rFonts w:cs="Arial"/>
          <w:snapToGrid w:val="0"/>
        </w:rPr>
        <w:t xml:space="preserve"> for all measures</w:t>
      </w:r>
      <w:r>
        <w:rPr>
          <w:rFonts w:cs="Arial"/>
          <w:snapToGrid w:val="0"/>
        </w:rPr>
        <w:t>.</w:t>
      </w:r>
    </w:p>
    <w:p w14:paraId="4BA9D8A0" w14:textId="77777777" w:rsidR="009538D0" w:rsidRDefault="009538D0" w:rsidP="009538D0">
      <w:pPr>
        <w:rPr>
          <w:rFonts w:cs="Arial"/>
          <w:snapToGrid w:val="0"/>
        </w:rPr>
      </w:pPr>
    </w:p>
    <w:p w14:paraId="4DE85016" w14:textId="704609FF" w:rsidR="009538D0" w:rsidRPr="00D971B2" w:rsidRDefault="009538D0" w:rsidP="009538D0">
      <w:pPr>
        <w:rPr>
          <w:rFonts w:cs="Arial"/>
          <w:snapToGrid w:val="0"/>
        </w:rPr>
      </w:pPr>
      <w:r w:rsidRPr="00D971B2">
        <w:rPr>
          <w:rFonts w:cs="Arial"/>
          <w:b/>
          <w:bCs/>
          <w:snapToGrid w:val="0"/>
        </w:rPr>
        <w:t>OP-32:</w:t>
      </w:r>
      <w:r>
        <w:rPr>
          <w:rFonts w:cs="Arial"/>
          <w:snapToGrid w:val="0"/>
        </w:rPr>
        <w:t xml:space="preserve"> </w:t>
      </w:r>
      <w:r w:rsidRPr="00731A0D">
        <w:rPr>
          <w:rFonts w:cs="Arial"/>
          <w:snapToGrid w:val="0"/>
        </w:rPr>
        <w:t>Hospitals</w:t>
      </w:r>
      <w:r w:rsidR="00742197">
        <w:rPr>
          <w:rFonts w:cs="Arial"/>
          <w:snapToGrid w:val="0"/>
        </w:rPr>
        <w:t xml:space="preserve"> </w:t>
      </w:r>
      <w:r w:rsidR="007F0A72">
        <w:rPr>
          <w:rFonts w:cs="Arial"/>
          <w:snapToGrid w:val="0"/>
        </w:rPr>
        <w:t xml:space="preserve">that report not performing outpatient </w:t>
      </w:r>
      <w:r w:rsidR="0053791C">
        <w:rPr>
          <w:rFonts w:cs="Arial"/>
          <w:snapToGrid w:val="0"/>
        </w:rPr>
        <w:t xml:space="preserve">gastroenterology </w:t>
      </w:r>
      <w:r w:rsidR="007F0A72">
        <w:rPr>
          <w:rFonts w:cs="Arial"/>
          <w:snapToGrid w:val="0"/>
        </w:rPr>
        <w:t xml:space="preserve">procedures in Section 9A </w:t>
      </w:r>
      <w:r w:rsidRPr="00731A0D">
        <w:rPr>
          <w:rFonts w:cs="Arial"/>
          <w:snapToGrid w:val="0"/>
        </w:rPr>
        <w:t>will</w:t>
      </w:r>
      <w:r>
        <w:rPr>
          <w:rFonts w:cs="Arial"/>
          <w:snapToGrid w:val="0"/>
        </w:rPr>
        <w:t xml:space="preserve"> also</w:t>
      </w:r>
      <w:r w:rsidRPr="00731A0D">
        <w:rPr>
          <w:rFonts w:cs="Arial"/>
          <w:snapToGrid w:val="0"/>
        </w:rPr>
        <w:t xml:space="preserve"> be scored and publicly reported as “Does Not Apply.” </w:t>
      </w:r>
    </w:p>
    <w:p w14:paraId="658E28CD" w14:textId="77777777" w:rsidR="00D95F8E" w:rsidRPr="00821E0F" w:rsidRDefault="00D95F8E" w:rsidP="00866CD7">
      <w:pPr>
        <w:rPr>
          <w:rFonts w:cs="Arial"/>
          <w:snapToGrid w:val="0"/>
        </w:rPr>
      </w:pPr>
    </w:p>
    <w:p w14:paraId="66A007C5" w14:textId="005B59C6" w:rsidR="00866CD7" w:rsidRPr="004671D1" w:rsidRDefault="009538D0" w:rsidP="00866CD7">
      <w:pPr>
        <w:rPr>
          <w:bCs/>
          <w:iCs/>
        </w:rPr>
      </w:pPr>
      <w:r>
        <w:rPr>
          <w:rFonts w:cs="Arial"/>
          <w:snapToGrid w:val="0"/>
        </w:rPr>
        <w:t xml:space="preserve">Data will be downloaded three times per Survey cycle: June 30, August 31, and November 30. </w:t>
      </w:r>
    </w:p>
    <w:p w14:paraId="027F7A80" w14:textId="77777777" w:rsidR="00F151B7" w:rsidRDefault="00F151B7">
      <w:pPr>
        <w:rPr>
          <w:szCs w:val="24"/>
        </w:rPr>
      </w:pPr>
      <w:r>
        <w:rPr>
          <w:szCs w:val="24"/>
        </w:rPr>
        <w:br w:type="page"/>
      </w:r>
    </w:p>
    <w:p w14:paraId="6F8B2A02" w14:textId="77777777" w:rsidR="00F151B7" w:rsidRPr="009A5185" w:rsidRDefault="00F151B7" w:rsidP="00F151B7">
      <w:pPr>
        <w:rPr>
          <w:rFonts w:cs="Arial"/>
          <w:b/>
          <w:snapToGrid w:val="0"/>
          <w:color w:val="000000"/>
        </w:rPr>
      </w:pPr>
      <w:r w:rsidRPr="009A5185">
        <w:rPr>
          <w:rFonts w:cs="Arial"/>
          <w:b/>
          <w:snapToGrid w:val="0"/>
          <w:color w:val="000000"/>
        </w:rPr>
        <w:lastRenderedPageBreak/>
        <w:t>Affirmation of Accuracy</w:t>
      </w:r>
    </w:p>
    <w:p w14:paraId="48D780B2" w14:textId="77777777" w:rsidR="00F151B7" w:rsidRPr="009A5185" w:rsidRDefault="00F151B7" w:rsidP="00F151B7">
      <w:pPr>
        <w:rPr>
          <w:rFonts w:cs="Arial"/>
          <w:snapToGrid w:val="0"/>
          <w:color w:val="000000"/>
        </w:rPr>
      </w:pPr>
    </w:p>
    <w:p w14:paraId="0E7101B6" w14:textId="5D399560" w:rsidR="00F151B7" w:rsidRPr="009A5185" w:rsidRDefault="00F151B7" w:rsidP="00F151B7">
      <w:pPr>
        <w:rPr>
          <w:rFonts w:cs="Arial"/>
          <w:color w:val="000000"/>
        </w:rPr>
      </w:pPr>
      <w:r w:rsidRPr="009A5185">
        <w:rPr>
          <w:rFonts w:cs="Arial"/>
          <w:color w:val="000000"/>
        </w:rPr>
        <w:t>As the hospital CEO or as an employee of the hospital to whom the hospital CEO has delegated responsibility, I have reviewed this information pertainin</w:t>
      </w:r>
      <w:r w:rsidR="00C63DF4">
        <w:rPr>
          <w:rFonts w:cs="Arial"/>
          <w:color w:val="000000"/>
        </w:rPr>
        <w:t>g to the Outpatient Procedure</w:t>
      </w:r>
      <w:r w:rsidR="00FF1F80">
        <w:rPr>
          <w:rFonts w:cs="Arial"/>
          <w:color w:val="000000"/>
        </w:rPr>
        <w:t>s</w:t>
      </w:r>
      <w:r w:rsidRPr="009A5185">
        <w:rPr>
          <w:rFonts w:cs="Arial"/>
          <w:color w:val="000000"/>
        </w:rPr>
        <w:t xml:space="preserve"> Section at our hospital, and I hereby </w:t>
      </w:r>
      <w:r w:rsidR="00B40C77">
        <w:rPr>
          <w:rFonts w:cs="Arial"/>
          <w:color w:val="000000"/>
        </w:rPr>
        <w:t>affirm</w:t>
      </w:r>
      <w:r w:rsidRPr="009A5185">
        <w:rPr>
          <w:rFonts w:cs="Arial"/>
          <w:color w:val="000000"/>
        </w:rPr>
        <w:t xml:space="preserve"> that this information is true, accurate, and reflects the current, normal operating circumstances at our hospital. I am authorized to make this </w:t>
      </w:r>
      <w:r w:rsidR="00B40C77">
        <w:rPr>
          <w:rFonts w:cs="Arial"/>
          <w:color w:val="000000"/>
        </w:rPr>
        <w:t>affirmation</w:t>
      </w:r>
      <w:r w:rsidRPr="009A5185">
        <w:rPr>
          <w:rFonts w:cs="Arial"/>
          <w:color w:val="000000"/>
        </w:rPr>
        <w:t xml:space="preserve"> on behalf of our hospital. </w:t>
      </w:r>
    </w:p>
    <w:p w14:paraId="205B5CD0" w14:textId="77777777" w:rsidR="00F151B7" w:rsidRPr="009A5185" w:rsidRDefault="00F151B7" w:rsidP="00F151B7">
      <w:pPr>
        <w:rPr>
          <w:rFonts w:cs="Arial"/>
          <w:color w:val="000000"/>
        </w:rPr>
      </w:pPr>
    </w:p>
    <w:p w14:paraId="139A71B5" w14:textId="5837DB88" w:rsidR="00E71283" w:rsidRDefault="00E14BA2" w:rsidP="00F151B7">
      <w:pPr>
        <w:rPr>
          <w:rFonts w:cs="Arial"/>
          <w:sz w:val="22"/>
          <w:szCs w:val="22"/>
        </w:rPr>
      </w:pPr>
      <w:r w:rsidRPr="009A5185">
        <w:rPr>
          <w:rFonts w:cs="Arial"/>
        </w:rPr>
        <w:t xml:space="preserve">The </w:t>
      </w:r>
      <w:r w:rsidRPr="00534EFC">
        <w:rPr>
          <w:rFonts w:cs="Arial"/>
        </w:rPr>
        <w:t xml:space="preserve">hospital and I </w:t>
      </w:r>
      <w:r>
        <w:rPr>
          <w:rFonts w:cs="Arial"/>
        </w:rPr>
        <w:t>acknowledge</w:t>
      </w:r>
      <w:r w:rsidRPr="00534EFC">
        <w:rPr>
          <w:rFonts w:cs="Arial"/>
        </w:rPr>
        <w:t xml:space="preserve"> that The Leapfrog Group, its members, the public and entities and persons who contract or have other business dealings with The Leapfrog Group are relying on the truth and accuracy of this information. The hospital and I also </w:t>
      </w:r>
      <w:r>
        <w:rPr>
          <w:rFonts w:cs="Arial"/>
        </w:rPr>
        <w:t>acknowledge</w:t>
      </w:r>
      <w:r w:rsidRPr="00534EFC">
        <w:rPr>
          <w:rFonts w:cs="Arial"/>
        </w:rPr>
        <w:t xml:space="preserve"> that </w:t>
      </w:r>
      <w:r>
        <w:rPr>
          <w:rFonts w:cs="Arial"/>
        </w:rPr>
        <w:t xml:space="preserve">analyses and ratings </w:t>
      </w:r>
      <w:r w:rsidRPr="00534EFC">
        <w:rPr>
          <w:rFonts w:cs="Arial"/>
        </w:rPr>
        <w:t>The Leapfrog Group</w:t>
      </w:r>
      <w:r>
        <w:rPr>
          <w:rFonts w:cs="Arial"/>
        </w:rPr>
        <w:t xml:space="preserve"> derives from</w:t>
      </w:r>
      <w:r w:rsidRPr="00534EFC">
        <w:rPr>
          <w:rFonts w:cs="Arial"/>
        </w:rPr>
        <w:t xml:space="preserve"> this information</w:t>
      </w:r>
      <w:r>
        <w:rPr>
          <w:rFonts w:cs="Arial"/>
        </w:rPr>
        <w:t xml:space="preserve"> will be made public on</w:t>
      </w:r>
      <w:r w:rsidRPr="00534EFC">
        <w:rPr>
          <w:rFonts w:cs="Arial"/>
        </w:rPr>
        <w:t xml:space="preserve"> the Survey Results public reporting website, The Leapfrog Group’s Hospital Safety Grade</w:t>
      </w:r>
      <w:r>
        <w:rPr>
          <w:rFonts w:cs="Arial"/>
        </w:rPr>
        <w:t xml:space="preserve"> website</w:t>
      </w:r>
      <w:r w:rsidRPr="00534EFC">
        <w:rPr>
          <w:rFonts w:cs="Arial"/>
        </w:rPr>
        <w:t xml:space="preserve">, and/or other Leapfrog Group </w:t>
      </w:r>
      <w:r>
        <w:rPr>
          <w:rFonts w:cs="Arial"/>
        </w:rPr>
        <w:t xml:space="preserve">published works, </w:t>
      </w:r>
      <w:r w:rsidRPr="00534EFC">
        <w:rPr>
          <w:rFonts w:cs="Arial"/>
        </w:rPr>
        <w:t xml:space="preserve">products and services. </w:t>
      </w:r>
      <w:r>
        <w:rPr>
          <w:rFonts w:cs="Arial"/>
        </w:rPr>
        <w:t>The hospital and I acknowledge that analyses and ratings derived from t</w:t>
      </w:r>
      <w:r w:rsidRPr="00534EFC">
        <w:rPr>
          <w:rFonts w:cs="Arial"/>
        </w:rPr>
        <w:t>his information and all intellectual property rights</w:t>
      </w:r>
      <w:r>
        <w:rPr>
          <w:rFonts w:cs="Arial"/>
        </w:rPr>
        <w:t xml:space="preserve"> related to those analyses and ratings</w:t>
      </w:r>
      <w:r w:rsidRPr="00534EFC">
        <w:rPr>
          <w:rFonts w:cs="Arial"/>
        </w:rPr>
        <w:t xml:space="preserve"> shall be and remain the sole and exclusive property of The Leapfrog Group </w:t>
      </w:r>
      <w:r w:rsidRPr="00534EFC">
        <w:t>in which The Leapfrog Group retains exclusive ownership</w:t>
      </w:r>
      <w:r w:rsidRPr="00534EFC">
        <w:rPr>
          <w:rFonts w:cs="Arial"/>
        </w:rPr>
        <w:t xml:space="preserve">. </w:t>
      </w:r>
      <w:r>
        <w:rPr>
          <w:rFonts w:cs="Arial"/>
        </w:rPr>
        <w:t>I hereby affirm that t</w:t>
      </w:r>
      <w:r w:rsidRPr="00534EFC">
        <w:rPr>
          <w:rFonts w:cs="Arial"/>
        </w:rPr>
        <w:t>his information does not infringe upon any third-party intellectual property rights</w:t>
      </w:r>
      <w:r w:rsidRPr="00534EFC">
        <w:t xml:space="preserve"> or any other third-party rights whatsoever and is free and clear of all encumbrances and liens of any kind</w:t>
      </w:r>
      <w:r w:rsidRPr="00534EFC">
        <w:rPr>
          <w:rFonts w:cs="Arial"/>
        </w:rPr>
        <w:t xml:space="preserve">. The hospital and I acknowledge that The Leapfrog Group may </w:t>
      </w:r>
      <w:r>
        <w:rPr>
          <w:rFonts w:cs="Arial"/>
        </w:rPr>
        <w:t>license</w:t>
      </w:r>
      <w:r w:rsidRPr="00534EFC">
        <w:rPr>
          <w:rFonts w:cs="Arial"/>
        </w:rPr>
        <w:t xml:space="preserve"> </w:t>
      </w:r>
      <w:r>
        <w:rPr>
          <w:rFonts w:cs="Arial"/>
        </w:rPr>
        <w:t xml:space="preserve">analyses and ratings derived from </w:t>
      </w:r>
      <w:r w:rsidRPr="00534EFC">
        <w:rPr>
          <w:rFonts w:cs="Arial"/>
        </w:rPr>
        <w:t xml:space="preserve">this information </w:t>
      </w:r>
      <w:r>
        <w:rPr>
          <w:rFonts w:cs="Arial"/>
        </w:rPr>
        <w:t>to other entities including researchers, not-for-profit entities, and for-profit entities, and the revenue from such licensure will be used solely to support The Leapfrog Group’s not-for-profit mission</w:t>
      </w:r>
      <w:r w:rsidRPr="00534EFC">
        <w:rPr>
          <w:rFonts w:cs="Arial"/>
        </w:rPr>
        <w:t>. The hospital shall be liable for and shall hold harmless and indemnify The Leapfrog Group from any and all damages, demands, costs, or causes of action resulting from any inaccuracies in the information or any misrepresentations in this Affirmation of Accuracy. The Leapfrog Group and its members and entities and persons who contract or have other business dealings with The Leapfrog Group reserve the right to omit or disclaim information that is not current, accurate or truthful.</w:t>
      </w:r>
    </w:p>
    <w:p w14:paraId="4AA2A27D" w14:textId="77777777" w:rsidR="00E14BA2" w:rsidRPr="00E14BA2" w:rsidRDefault="00E14BA2" w:rsidP="00F151B7">
      <w:pPr>
        <w:rPr>
          <w:rFonts w:cs="Arial"/>
          <w:sz w:val="22"/>
          <w:szCs w:val="22"/>
        </w:rPr>
      </w:pPr>
    </w:p>
    <w:p w14:paraId="64A2AD66" w14:textId="77777777" w:rsidR="00F151B7" w:rsidRPr="009A5185" w:rsidRDefault="00F151B7" w:rsidP="00F151B7">
      <w:pPr>
        <w:rPr>
          <w:rFonts w:cs="Arial"/>
          <w:snapToGrid w:val="0"/>
          <w:color w:val="000000"/>
        </w:rPr>
      </w:pPr>
    </w:p>
    <w:p w14:paraId="4FE2FC6B" w14:textId="77777777" w:rsidR="00F151B7" w:rsidRPr="009A5185" w:rsidRDefault="00F151B7" w:rsidP="00F151B7">
      <w:pPr>
        <w:rPr>
          <w:rFonts w:cs="Arial"/>
          <w:snapToGrid w:val="0"/>
          <w:color w:val="000000"/>
        </w:rPr>
      </w:pPr>
      <w:r w:rsidRPr="009A5185">
        <w:rPr>
          <w:rFonts w:cs="Arial"/>
          <w:snapToGrid w:val="0"/>
          <w:color w:val="000000"/>
        </w:rPr>
        <w:t>Affirmed by _____________________, the hospital’s ___________________________,</w:t>
      </w:r>
    </w:p>
    <w:p w14:paraId="51FA7C6C" w14:textId="77777777" w:rsidR="008A631A" w:rsidRPr="009A5185" w:rsidRDefault="008A631A" w:rsidP="008A631A">
      <w:pPr>
        <w:pStyle w:val="BodyText2"/>
        <w:spacing w:line="240" w:lineRule="exact"/>
        <w:rPr>
          <w:rFonts w:cs="Arial"/>
        </w:rPr>
      </w:pPr>
      <w:r w:rsidRPr="009A5185">
        <w:rPr>
          <w:rFonts w:cs="Arial"/>
        </w:rPr>
        <w:tab/>
        <w:t xml:space="preserve"> </w:t>
      </w:r>
      <w:r>
        <w:rPr>
          <w:rFonts w:cs="Arial"/>
        </w:rPr>
        <w:t xml:space="preserve">    </w:t>
      </w:r>
      <w:r w:rsidRPr="009A5185">
        <w:rPr>
          <w:rFonts w:cs="Arial"/>
        </w:rPr>
        <w:t>(</w:t>
      </w:r>
      <w:r>
        <w:rPr>
          <w:rFonts w:cs="Arial"/>
        </w:rPr>
        <w:t xml:space="preserve">first </w:t>
      </w:r>
      <w:r w:rsidRPr="009A5185">
        <w:rPr>
          <w:rFonts w:cs="Arial"/>
        </w:rPr>
        <w:t>name</w:t>
      </w:r>
      <w:r>
        <w:rPr>
          <w:rFonts w:cs="Arial"/>
        </w:rPr>
        <w:t xml:space="preserve"> and last name)</w:t>
      </w:r>
      <w:r>
        <w:rPr>
          <w:rFonts w:cs="Arial"/>
        </w:rPr>
        <w:tab/>
      </w:r>
      <w:r>
        <w:rPr>
          <w:rFonts w:cs="Arial"/>
        </w:rPr>
        <w:tab/>
      </w:r>
      <w:r>
        <w:rPr>
          <w:rFonts w:cs="Arial"/>
        </w:rPr>
        <w:tab/>
      </w:r>
      <w:r>
        <w:rPr>
          <w:rFonts w:cs="Arial"/>
        </w:rPr>
        <w:tab/>
      </w:r>
      <w:r w:rsidRPr="009A5185">
        <w:rPr>
          <w:rFonts w:cs="Arial"/>
        </w:rPr>
        <w:t>(title)</w:t>
      </w:r>
    </w:p>
    <w:p w14:paraId="11841620" w14:textId="77777777" w:rsidR="00F151B7" w:rsidRPr="009A5185" w:rsidRDefault="00F151B7" w:rsidP="00F151B7">
      <w:pPr>
        <w:rPr>
          <w:rFonts w:cs="Arial"/>
          <w:snapToGrid w:val="0"/>
          <w:color w:val="000000"/>
        </w:rPr>
      </w:pPr>
      <w:r w:rsidRPr="009A5185">
        <w:rPr>
          <w:rFonts w:cs="Arial"/>
          <w:snapToGrid w:val="0"/>
          <w:color w:val="000000"/>
        </w:rPr>
        <w:t>on _______________________.</w:t>
      </w:r>
    </w:p>
    <w:p w14:paraId="135189C4" w14:textId="77777777" w:rsidR="00F151B7" w:rsidRPr="009A5185" w:rsidRDefault="00F151B7" w:rsidP="00F151B7">
      <w:pPr>
        <w:pStyle w:val="BodyText2"/>
        <w:rPr>
          <w:rFonts w:cs="Arial"/>
        </w:rPr>
      </w:pPr>
      <w:r w:rsidRPr="009A5185">
        <w:rPr>
          <w:rFonts w:cs="Arial"/>
        </w:rPr>
        <w:t xml:space="preserve">                    (date)</w:t>
      </w:r>
    </w:p>
    <w:p w14:paraId="3A1EEA43" w14:textId="77777777" w:rsidR="00F151B7" w:rsidRPr="009A5185" w:rsidRDefault="00F151B7" w:rsidP="00F151B7">
      <w:pPr>
        <w:rPr>
          <w:rFonts w:cs="Arial"/>
          <w:i/>
          <w:color w:val="000000"/>
        </w:rPr>
      </w:pPr>
    </w:p>
    <w:p w14:paraId="4F0DDFCF" w14:textId="77777777" w:rsidR="00F151B7" w:rsidRPr="009A5185" w:rsidRDefault="00F151B7" w:rsidP="00F151B7">
      <w:pPr>
        <w:rPr>
          <w:rFonts w:cs="Arial"/>
          <w:i/>
          <w:color w:val="000000"/>
        </w:rPr>
      </w:pPr>
      <w:r w:rsidRPr="009A5185">
        <w:rPr>
          <w:rFonts w:cs="Arial"/>
          <w:i/>
          <w:color w:val="000000"/>
        </w:rPr>
        <w:br w:type="page"/>
      </w:r>
    </w:p>
    <w:p w14:paraId="624FEF60" w14:textId="705D121D" w:rsidR="00F151B7" w:rsidRPr="009A5185" w:rsidRDefault="00FB54C9" w:rsidP="00CF5A6E">
      <w:pPr>
        <w:pStyle w:val="Heading2"/>
      </w:pPr>
      <w:bookmarkStart w:id="752" w:name="_Toc225877849"/>
      <w:r>
        <w:lastRenderedPageBreak/>
        <w:t xml:space="preserve">Section </w:t>
      </w:r>
      <w:r w:rsidR="00D3503C">
        <w:t>9</w:t>
      </w:r>
      <w:r w:rsidR="00F151B7" w:rsidRPr="009A5185">
        <w:t xml:space="preserve">: </w:t>
      </w:r>
      <w:r>
        <w:t>Outpatient Procedure</w:t>
      </w:r>
      <w:r w:rsidR="00E4363F">
        <w:t>s</w:t>
      </w:r>
      <w:r w:rsidR="00F151B7" w:rsidRPr="009A5185">
        <w:t xml:space="preserve"> Reference Information</w:t>
      </w:r>
      <w:bookmarkEnd w:id="752"/>
    </w:p>
    <w:p w14:paraId="2F9F1449" w14:textId="77777777" w:rsidR="00F151B7" w:rsidRPr="009A5185" w:rsidRDefault="00F151B7" w:rsidP="00F151B7">
      <w:pPr>
        <w:pStyle w:val="BodyText3"/>
        <w:rPr>
          <w:rFonts w:cs="Arial"/>
          <w:color w:val="FF0000"/>
          <w:lang w:eastAsia="ja-JP"/>
        </w:rPr>
      </w:pPr>
    </w:p>
    <w:p w14:paraId="04DA0944" w14:textId="4EC60385" w:rsidR="00F151B7" w:rsidRDefault="00F151B7" w:rsidP="00AB5B80">
      <w:pPr>
        <w:pStyle w:val="Heading3"/>
      </w:pPr>
      <w:bookmarkStart w:id="753" w:name="_Toc225877850"/>
      <w:r w:rsidRPr="009A5185">
        <w:t xml:space="preserve">What’s New in the </w:t>
      </w:r>
      <w:r w:rsidR="00A236B1">
        <w:t>202</w:t>
      </w:r>
      <w:r w:rsidR="002B59CE">
        <w:t>6</w:t>
      </w:r>
      <w:r w:rsidRPr="009A5185">
        <w:t xml:space="preserve"> Survey</w:t>
      </w:r>
      <w:bookmarkEnd w:id="753"/>
    </w:p>
    <w:p w14:paraId="251176A8" w14:textId="77777777" w:rsidR="006A5532" w:rsidRDefault="006A5532" w:rsidP="00A076AE">
      <w:pPr>
        <w:rPr>
          <w:lang w:eastAsia="ja-JP"/>
        </w:rPr>
      </w:pPr>
    </w:p>
    <w:p w14:paraId="6A4DF61D" w14:textId="08366C9E" w:rsidR="00552119" w:rsidRDefault="000B3A1B" w:rsidP="000B3A1B">
      <w:pPr>
        <w:rPr>
          <w:lang w:eastAsia="ja-JP"/>
        </w:rPr>
      </w:pPr>
      <w:r w:rsidRPr="000B3A1B">
        <w:rPr>
          <w:lang w:eastAsia="ja-JP"/>
        </w:rPr>
        <w:t>Leapfrog is renaming Section 9F: OAS CAHPS to Section 9F: CMS Measures and moving Patient Follow-up</w:t>
      </w:r>
      <w:r>
        <w:rPr>
          <w:lang w:eastAsia="ja-JP"/>
        </w:rPr>
        <w:t xml:space="preserve"> </w:t>
      </w:r>
      <w:r w:rsidRPr="000B3A1B">
        <w:rPr>
          <w:lang w:eastAsia="ja-JP"/>
        </w:rPr>
        <w:t>within Section 9D: Safety of Procedures into Section 9F.</w:t>
      </w:r>
    </w:p>
    <w:p w14:paraId="3231F1F1" w14:textId="77777777" w:rsidR="000B3A1B" w:rsidRDefault="000B3A1B" w:rsidP="000B3A1B">
      <w:pPr>
        <w:rPr>
          <w:bCs/>
        </w:rPr>
      </w:pPr>
    </w:p>
    <w:p w14:paraId="4BBEAE80" w14:textId="6AED0D58" w:rsidR="00907CE6" w:rsidRDefault="00907CE6" w:rsidP="00907CE6">
      <w:pPr>
        <w:pStyle w:val="Heading44"/>
      </w:pPr>
      <w:r>
        <w:t>Section 9A: Basic Outpatient Department Information</w:t>
      </w:r>
    </w:p>
    <w:p w14:paraId="1CAE2905" w14:textId="546E945E" w:rsidR="00304A70" w:rsidRDefault="00E4777E" w:rsidP="00907CE6">
      <w:pPr>
        <w:pStyle w:val="Heading44"/>
        <w:rPr>
          <w:b w:val="0"/>
          <w:color w:val="auto"/>
          <w:sz w:val="20"/>
        </w:rPr>
      </w:pPr>
      <w:r w:rsidRPr="00E4777E">
        <w:rPr>
          <w:b w:val="0"/>
          <w:color w:val="auto"/>
          <w:sz w:val="20"/>
        </w:rPr>
        <w:t xml:space="preserve">Leapfrog is adding a new question to capture surgical specialties performed by hospitals. This information will be used to inform the search function on the Leapfrog Ratings </w:t>
      </w:r>
      <w:hyperlink r:id="rId478" w:history="1">
        <w:r w:rsidRPr="00E4777E">
          <w:rPr>
            <w:rStyle w:val="Hyperlink"/>
            <w:b w:val="0"/>
            <w:sz w:val="20"/>
          </w:rPr>
          <w:t>website</w:t>
        </w:r>
      </w:hyperlink>
      <w:r w:rsidRPr="00E4777E">
        <w:rPr>
          <w:b w:val="0"/>
          <w:color w:val="auto"/>
          <w:sz w:val="20"/>
        </w:rPr>
        <w:t xml:space="preserve"> and will display the surgical specialties selected within the question. Leapfrog will not ask about volume for these additional surgical specialties. These questions will continue to be used in public reporting but are not scored.</w:t>
      </w:r>
    </w:p>
    <w:p w14:paraId="28BE28C2" w14:textId="77777777" w:rsidR="00E4777E" w:rsidRPr="00C16094" w:rsidRDefault="00E4777E" w:rsidP="00907CE6">
      <w:pPr>
        <w:pStyle w:val="Heading44"/>
        <w:rPr>
          <w:sz w:val="20"/>
        </w:rPr>
      </w:pPr>
    </w:p>
    <w:p w14:paraId="6465C192" w14:textId="4164FD07" w:rsidR="00824856" w:rsidRDefault="00824856" w:rsidP="00B44C1C">
      <w:pPr>
        <w:pStyle w:val="Heading44"/>
      </w:pPr>
      <w:r>
        <w:t>Section 9B: Medical, Surgical, and Clinical Staff</w:t>
      </w:r>
    </w:p>
    <w:p w14:paraId="0BACE513" w14:textId="77777777" w:rsidR="003B1104" w:rsidRPr="00592FBB" w:rsidRDefault="003B1104" w:rsidP="003B1104">
      <w:pPr>
        <w:rPr>
          <w:caps/>
        </w:rPr>
      </w:pPr>
      <w:r w:rsidRPr="00592FBB">
        <w:t xml:space="preserve">There are no changes to </w:t>
      </w:r>
      <w:r>
        <w:t>this subsection.</w:t>
      </w:r>
    </w:p>
    <w:p w14:paraId="18D89819" w14:textId="77777777" w:rsidR="00824856" w:rsidRPr="00C16094" w:rsidRDefault="00824856" w:rsidP="00B44C1C">
      <w:pPr>
        <w:pStyle w:val="Heading44"/>
        <w:rPr>
          <w:sz w:val="20"/>
        </w:rPr>
      </w:pPr>
    </w:p>
    <w:p w14:paraId="38006FA9" w14:textId="2EBFDD6D" w:rsidR="00217938" w:rsidRDefault="00217938" w:rsidP="00B44C1C">
      <w:pPr>
        <w:pStyle w:val="Heading44"/>
      </w:pPr>
      <w:r>
        <w:t xml:space="preserve">Section 9C: Volume of Procedures </w:t>
      </w:r>
    </w:p>
    <w:p w14:paraId="0D7004C3" w14:textId="1F1A6A95" w:rsidR="00BA4EBA" w:rsidRDefault="00842D2A" w:rsidP="00217938">
      <w:pPr>
        <w:pStyle w:val="Heading44"/>
        <w:rPr>
          <w:b w:val="0"/>
          <w:color w:val="auto"/>
          <w:sz w:val="20"/>
        </w:rPr>
      </w:pPr>
      <w:r w:rsidRPr="00842D2A">
        <w:rPr>
          <w:b w:val="0"/>
          <w:color w:val="auto"/>
          <w:sz w:val="20"/>
        </w:rPr>
        <w:t>Beginning in 2026 Leapfrog is no longer requiring hospitals to report their outpatient procedure volume. Instead, this section is optional, and results will not be scored but will continue to be used in public reporting for those who submit this subsection. For those hospitals opting to report their volumes, updated CPT Codes will be provided within the Online Survey Tool when the Survey launches on April 1.</w:t>
      </w:r>
    </w:p>
    <w:p w14:paraId="45E6DEF0" w14:textId="77777777" w:rsidR="00842D2A" w:rsidRPr="00C95974" w:rsidRDefault="00842D2A" w:rsidP="00217938">
      <w:pPr>
        <w:pStyle w:val="Heading44"/>
        <w:rPr>
          <w:sz w:val="20"/>
        </w:rPr>
      </w:pPr>
    </w:p>
    <w:p w14:paraId="785724D6" w14:textId="285985D5" w:rsidR="00B90CB9" w:rsidRDefault="00217938" w:rsidP="00217938">
      <w:pPr>
        <w:pStyle w:val="Heading44"/>
      </w:pPr>
      <w:r>
        <w:t>Section 9D: Safety of Procedures</w:t>
      </w:r>
    </w:p>
    <w:p w14:paraId="1336BF69" w14:textId="77777777" w:rsidR="00824856" w:rsidRPr="00C16094" w:rsidRDefault="00824856" w:rsidP="00217938">
      <w:pPr>
        <w:pStyle w:val="Heading44"/>
        <w:rPr>
          <w:sz w:val="20"/>
        </w:rPr>
      </w:pPr>
    </w:p>
    <w:p w14:paraId="3305607D" w14:textId="39801B4C" w:rsidR="00824856" w:rsidRDefault="00824856" w:rsidP="00824856">
      <w:pPr>
        <w:pStyle w:val="Heading6"/>
      </w:pPr>
      <w:r>
        <w:t xml:space="preserve">Patient </w:t>
      </w:r>
      <w:r w:rsidR="00FA00FB">
        <w:t>Follow-up</w:t>
      </w:r>
    </w:p>
    <w:p w14:paraId="14A474C2" w14:textId="77777777" w:rsidR="00DC0898" w:rsidRPr="009D41D6" w:rsidRDefault="00DC0898" w:rsidP="00DC0898">
      <w:pPr>
        <w:rPr>
          <w:rFonts w:cs="Arial"/>
        </w:rPr>
      </w:pPr>
      <w:r>
        <w:rPr>
          <w:rFonts w:cs="Arial"/>
        </w:rPr>
        <w:t xml:space="preserve">Leapfrog is moving OP-32 Rate of Unplanned Hospital Visits After An Outpatient Colonoscopy to Section 9F: CMS Measures. </w:t>
      </w:r>
    </w:p>
    <w:p w14:paraId="288D40F0" w14:textId="6ABC1EF3" w:rsidR="00113751" w:rsidRPr="00113751" w:rsidRDefault="00113751" w:rsidP="006B5116"/>
    <w:p w14:paraId="7E14FDAB" w14:textId="39EFA3C0" w:rsidR="00824856" w:rsidRPr="00217938" w:rsidRDefault="00824856" w:rsidP="00824856">
      <w:pPr>
        <w:pStyle w:val="Heading6"/>
      </w:pPr>
      <w:r>
        <w:t xml:space="preserve">Safe Surgery Checklist for Adult and Pediatric Outpatient Procedures </w:t>
      </w:r>
    </w:p>
    <w:p w14:paraId="5AFC8E30" w14:textId="1B5B9159" w:rsidR="00824856" w:rsidRPr="00592FBB" w:rsidRDefault="00824856" w:rsidP="00824856">
      <w:pPr>
        <w:rPr>
          <w:caps/>
        </w:rPr>
      </w:pPr>
      <w:bookmarkStart w:id="754" w:name="_Toc156472101"/>
      <w:r w:rsidRPr="00592FBB">
        <w:t xml:space="preserve">There are no changes to </w:t>
      </w:r>
      <w:r w:rsidR="00EE0986">
        <w:t>these question</w:t>
      </w:r>
      <w:r w:rsidRPr="00592FBB">
        <w:t>s.</w:t>
      </w:r>
      <w:bookmarkEnd w:id="754"/>
    </w:p>
    <w:p w14:paraId="100742A9" w14:textId="77777777" w:rsidR="00217938" w:rsidRDefault="00217938"/>
    <w:p w14:paraId="4BE4E178" w14:textId="0CFB0028" w:rsidR="00217938" w:rsidRDefault="00217938" w:rsidP="00B44C1C">
      <w:pPr>
        <w:pStyle w:val="Heading44"/>
      </w:pPr>
      <w:r>
        <w:t>Section 9E: Medication Safety for Outpatient Procedures</w:t>
      </w:r>
    </w:p>
    <w:p w14:paraId="262341D4" w14:textId="77777777" w:rsidR="00A076AE" w:rsidRPr="00592FBB" w:rsidRDefault="00A076AE" w:rsidP="00A076AE">
      <w:pPr>
        <w:rPr>
          <w:caps/>
        </w:rPr>
      </w:pPr>
      <w:r w:rsidRPr="00592FBB">
        <w:t xml:space="preserve">There are no changes to </w:t>
      </w:r>
      <w:r>
        <w:t>this subsection.</w:t>
      </w:r>
    </w:p>
    <w:p w14:paraId="22803B79" w14:textId="5BB67F25" w:rsidR="002C10F9" w:rsidRDefault="002C10F9" w:rsidP="00F151B7">
      <w:pPr>
        <w:rPr>
          <w:rFonts w:cs="Arial"/>
          <w:lang w:eastAsia="ja-JP"/>
        </w:rPr>
      </w:pPr>
    </w:p>
    <w:p w14:paraId="0967E034" w14:textId="5C608587" w:rsidR="0069750A" w:rsidRDefault="0069750A" w:rsidP="0069750A">
      <w:pPr>
        <w:pStyle w:val="Heading44"/>
        <w:rPr>
          <w:bdr w:val="none" w:sz="0" w:space="0" w:color="auto" w:frame="1"/>
        </w:rPr>
      </w:pPr>
      <w:r>
        <w:t>Section 9F:</w:t>
      </w:r>
      <w:r w:rsidRPr="005177E2">
        <w:rPr>
          <w:bdr w:val="none" w:sz="0" w:space="0" w:color="auto" w:frame="1"/>
        </w:rPr>
        <w:t xml:space="preserve"> </w:t>
      </w:r>
      <w:r w:rsidR="00BD2439">
        <w:rPr>
          <w:bdr w:val="none" w:sz="0" w:space="0" w:color="auto" w:frame="1"/>
        </w:rPr>
        <w:t>CMS Measures</w:t>
      </w:r>
    </w:p>
    <w:p w14:paraId="54AB3C2D" w14:textId="44D5582A" w:rsidR="00B22973" w:rsidRDefault="00B22973" w:rsidP="00B22973">
      <w:pPr>
        <w:rPr>
          <w:bdr w:val="none" w:sz="0" w:space="0" w:color="auto" w:frame="1"/>
        </w:rPr>
      </w:pPr>
      <w:r>
        <w:rPr>
          <w:bdr w:val="none" w:sz="0" w:space="0" w:color="auto" w:frame="1"/>
        </w:rPr>
        <w:t xml:space="preserve">Leapfrog is </w:t>
      </w:r>
      <w:bookmarkStart w:id="755" w:name="_Hlk214011341"/>
      <w:r w:rsidR="00842D2A">
        <w:rPr>
          <w:bdr w:val="none" w:sz="0" w:space="0" w:color="auto" w:frame="1"/>
        </w:rPr>
        <w:t xml:space="preserve">no longe </w:t>
      </w:r>
      <w:r w:rsidR="0033064E">
        <w:rPr>
          <w:bdr w:val="none" w:sz="0" w:space="0" w:color="auto" w:frame="1"/>
        </w:rPr>
        <w:t>a</w:t>
      </w:r>
      <w:r w:rsidR="0033064E" w:rsidRPr="0033064E">
        <w:rPr>
          <w:bdr w:val="none" w:sz="0" w:space="0" w:color="auto" w:frame="1"/>
        </w:rPr>
        <w:t>sking hospitals to report their OAS CAHPS Top Box scores. Instead, Leapfrog will obtain these data directly from the</w:t>
      </w:r>
      <w:r>
        <w:rPr>
          <w:bdr w:val="none" w:sz="0" w:space="0" w:color="auto" w:frame="1"/>
        </w:rPr>
        <w:t xml:space="preserve"> CMS </w:t>
      </w:r>
      <w:hyperlink r:id="rId479" w:history="1">
        <w:r w:rsidRPr="00DE5DC3">
          <w:rPr>
            <w:rStyle w:val="Hyperlink"/>
            <w:bdr w:val="none" w:sz="0" w:space="0" w:color="auto" w:frame="1"/>
          </w:rPr>
          <w:t>Provider Data Catalog</w:t>
        </w:r>
      </w:hyperlink>
      <w:r>
        <w:rPr>
          <w:bdr w:val="none" w:sz="0" w:space="0" w:color="auto" w:frame="1"/>
        </w:rPr>
        <w:t>:</w:t>
      </w:r>
    </w:p>
    <w:p w14:paraId="058B7F93" w14:textId="77777777" w:rsidR="00B22973" w:rsidRDefault="00B22973" w:rsidP="00B22973">
      <w:pPr>
        <w:pStyle w:val="ListParagraph"/>
        <w:numPr>
          <w:ilvl w:val="0"/>
          <w:numId w:val="427"/>
        </w:numPr>
        <w:spacing w:before="200" w:after="200" w:line="276" w:lineRule="auto"/>
        <w:rPr>
          <w:bdr w:val="none" w:sz="0" w:space="0" w:color="auto" w:frame="1"/>
        </w:rPr>
      </w:pPr>
      <w:r>
        <w:rPr>
          <w:bdr w:val="none" w:sz="0" w:space="0" w:color="auto" w:frame="1"/>
        </w:rPr>
        <w:t xml:space="preserve">Patient Experience Top Box Scores (OAS CAHPS) </w:t>
      </w:r>
    </w:p>
    <w:p w14:paraId="53A9EEA9" w14:textId="77777777" w:rsidR="00B22973" w:rsidRDefault="00B22973" w:rsidP="00B22973">
      <w:pPr>
        <w:pStyle w:val="ListParagraph"/>
        <w:numPr>
          <w:ilvl w:val="1"/>
          <w:numId w:val="428"/>
        </w:numPr>
        <w:spacing w:before="200" w:after="200" w:line="276" w:lineRule="auto"/>
        <w:rPr>
          <w:bdr w:val="none" w:sz="0" w:space="0" w:color="auto" w:frame="1"/>
        </w:rPr>
      </w:pPr>
      <w:r w:rsidRPr="00DE5DC3">
        <w:rPr>
          <w:bdr w:val="none" w:sz="0" w:space="0" w:color="auto" w:frame="1"/>
        </w:rPr>
        <w:t xml:space="preserve">Facilities and Staff </w:t>
      </w:r>
    </w:p>
    <w:p w14:paraId="3935B571" w14:textId="77777777" w:rsidR="00B22973" w:rsidRDefault="00B22973" w:rsidP="00B22973">
      <w:pPr>
        <w:pStyle w:val="ListParagraph"/>
        <w:numPr>
          <w:ilvl w:val="1"/>
          <w:numId w:val="428"/>
        </w:numPr>
        <w:spacing w:before="200" w:after="200" w:line="276" w:lineRule="auto"/>
        <w:rPr>
          <w:bdr w:val="none" w:sz="0" w:space="0" w:color="auto" w:frame="1"/>
        </w:rPr>
      </w:pPr>
      <w:r w:rsidRPr="00DE5DC3">
        <w:rPr>
          <w:bdr w:val="none" w:sz="0" w:space="0" w:color="auto" w:frame="1"/>
        </w:rPr>
        <w:t>Communication About Your Procedure</w:t>
      </w:r>
    </w:p>
    <w:p w14:paraId="5C7E870B" w14:textId="77777777" w:rsidR="00B22973" w:rsidRDefault="00B22973" w:rsidP="00B22973">
      <w:pPr>
        <w:pStyle w:val="ListParagraph"/>
        <w:numPr>
          <w:ilvl w:val="1"/>
          <w:numId w:val="428"/>
        </w:numPr>
        <w:spacing w:before="200" w:after="200" w:line="276" w:lineRule="auto"/>
        <w:rPr>
          <w:bdr w:val="none" w:sz="0" w:space="0" w:color="auto" w:frame="1"/>
        </w:rPr>
      </w:pPr>
      <w:r w:rsidRPr="00DE5DC3">
        <w:rPr>
          <w:bdr w:val="none" w:sz="0" w:space="0" w:color="auto" w:frame="1"/>
        </w:rPr>
        <w:t>Patients’ Rating of the Facility</w:t>
      </w:r>
    </w:p>
    <w:p w14:paraId="7D0F8669" w14:textId="77777777" w:rsidR="00B22973" w:rsidRPr="00094590" w:rsidRDefault="00B22973" w:rsidP="00B22973">
      <w:pPr>
        <w:pStyle w:val="ListParagraph"/>
        <w:numPr>
          <w:ilvl w:val="1"/>
          <w:numId w:val="428"/>
        </w:numPr>
        <w:spacing w:before="200" w:after="200" w:line="276" w:lineRule="auto"/>
        <w:rPr>
          <w:bdr w:val="none" w:sz="0" w:space="0" w:color="auto" w:frame="1"/>
        </w:rPr>
      </w:pPr>
      <w:r w:rsidRPr="00DE5DC3">
        <w:rPr>
          <w:bdr w:val="none" w:sz="0" w:space="0" w:color="auto" w:frame="1"/>
        </w:rPr>
        <w:t>Patients Recommending the Facility</w:t>
      </w:r>
    </w:p>
    <w:bookmarkEnd w:id="755"/>
    <w:p w14:paraId="3840AA80" w14:textId="77777777" w:rsidR="0036458A" w:rsidRDefault="0036458A" w:rsidP="003A7DE7">
      <w:pPr>
        <w:rPr>
          <w:bdr w:val="none" w:sz="0" w:space="0" w:color="auto" w:frame="1"/>
        </w:rPr>
      </w:pPr>
      <w:r w:rsidRPr="0036458A">
        <w:rPr>
          <w:bdr w:val="none" w:sz="0" w:space="0" w:color="auto" w:frame="1"/>
        </w:rPr>
        <w:t xml:space="preserve">Additionally, as described above, Leapfrog is also obtaining data for OP-32: Rate of Unplanned Hospital Visits After an Outpatient Colonoscopy directly from the CMS Provider Data Catalog. </w:t>
      </w:r>
    </w:p>
    <w:p w14:paraId="73A4AF40" w14:textId="77777777" w:rsidR="0036458A" w:rsidRDefault="0036458A" w:rsidP="003A7DE7">
      <w:pPr>
        <w:rPr>
          <w:bdr w:val="none" w:sz="0" w:space="0" w:color="auto" w:frame="1"/>
        </w:rPr>
      </w:pPr>
    </w:p>
    <w:p w14:paraId="3EC79B44" w14:textId="77777777" w:rsidR="0036458A" w:rsidRDefault="0036458A" w:rsidP="003A7DE7">
      <w:pPr>
        <w:rPr>
          <w:bdr w:val="none" w:sz="0" w:space="0" w:color="auto" w:frame="1"/>
        </w:rPr>
      </w:pPr>
      <w:r w:rsidRPr="0036458A">
        <w:rPr>
          <w:bdr w:val="none" w:sz="0" w:space="0" w:color="auto" w:frame="1"/>
        </w:rPr>
        <w:t xml:space="preserve">For hospitals that provide a valid CMS Certification Number (CCN) in the Hospital Profile and report performing outpatient procedures in Section 9A: Basic Outpatient Department Information of the Leapfrog Hospital Survey, data will be downloaded three times per Survey cycle: June 30, August 31, and November 30. </w:t>
      </w:r>
    </w:p>
    <w:p w14:paraId="29BCAB56" w14:textId="77777777" w:rsidR="0036458A" w:rsidRDefault="0036458A" w:rsidP="003A7DE7">
      <w:pPr>
        <w:rPr>
          <w:bdr w:val="none" w:sz="0" w:space="0" w:color="auto" w:frame="1"/>
        </w:rPr>
      </w:pPr>
    </w:p>
    <w:p w14:paraId="0E772BE4" w14:textId="0A9C502E" w:rsidR="00B22973" w:rsidRDefault="0036458A" w:rsidP="003A7DE7">
      <w:pPr>
        <w:rPr>
          <w:bdr w:val="none" w:sz="0" w:space="0" w:color="auto" w:frame="1"/>
        </w:rPr>
      </w:pPr>
      <w:r w:rsidRPr="0036458A">
        <w:rPr>
          <w:bdr w:val="none" w:sz="0" w:space="0" w:color="auto" w:frame="1"/>
        </w:rPr>
        <w:t>The top quartiles used in the 9F: Patient Experience (OAS CAHPS) scoring algorithm will be calculated using results published by CMS for both Ambulatory Surgery Centers (ASCs) and hospitals on June 30, 2026.</w:t>
      </w:r>
    </w:p>
    <w:p w14:paraId="667D69F8" w14:textId="77777777" w:rsidR="0036458A" w:rsidRDefault="0036458A" w:rsidP="003A7DE7">
      <w:pPr>
        <w:rPr>
          <w:bdr w:val="none" w:sz="0" w:space="0" w:color="auto" w:frame="1"/>
        </w:rPr>
      </w:pPr>
    </w:p>
    <w:p w14:paraId="4F684362" w14:textId="0E948CF9" w:rsidR="0036458A" w:rsidRDefault="0036458A" w:rsidP="003A7DE7">
      <w:pPr>
        <w:rPr>
          <w:bdr w:val="none" w:sz="0" w:space="0" w:color="auto" w:frame="1"/>
        </w:rPr>
      </w:pPr>
      <w:r w:rsidRPr="0036458A">
        <w:rPr>
          <w:bdr w:val="none" w:sz="0" w:space="0" w:color="auto" w:frame="1"/>
        </w:rPr>
        <w:lastRenderedPageBreak/>
        <w:t>Anticipated reporting periods and data download dates for the CMS measure and new FAQs are available in</w:t>
      </w:r>
      <w:r>
        <w:rPr>
          <w:bdr w:val="none" w:sz="0" w:space="0" w:color="auto" w:frame="1"/>
        </w:rPr>
        <w:t xml:space="preserve"> the measure specifications.</w:t>
      </w:r>
    </w:p>
    <w:p w14:paraId="5837DC69" w14:textId="77777777" w:rsidR="002C10F9" w:rsidRPr="00077D47" w:rsidRDefault="002C10F9" w:rsidP="00F151B7">
      <w:pPr>
        <w:rPr>
          <w:rFonts w:cs="Arial"/>
          <w:lang w:eastAsia="ja-JP"/>
        </w:rPr>
      </w:pPr>
    </w:p>
    <w:p w14:paraId="3C41C1FB" w14:textId="3DDCA0F3" w:rsidR="00F151B7" w:rsidRPr="009A5185" w:rsidRDefault="00F151B7" w:rsidP="00AB5B80">
      <w:pPr>
        <w:pStyle w:val="Heading3"/>
      </w:pPr>
      <w:bookmarkStart w:id="756" w:name="_Toc225877851"/>
      <w:r w:rsidRPr="009A5185">
        <w:t xml:space="preserve">Change Summary </w:t>
      </w:r>
      <w:r w:rsidR="00A879E1">
        <w:t>S</w:t>
      </w:r>
      <w:r w:rsidRPr="009A5185">
        <w:t>ince Release</w:t>
      </w:r>
      <w:bookmarkEnd w:id="756"/>
    </w:p>
    <w:p w14:paraId="41BB8689" w14:textId="77777777" w:rsidR="00F151B7" w:rsidRDefault="00F151B7" w:rsidP="00F151B7">
      <w:pPr>
        <w:rPr>
          <w:rFonts w:cs="Arial"/>
          <w:lang w:eastAsia="ja-JP"/>
        </w:rPr>
      </w:pPr>
    </w:p>
    <w:p w14:paraId="18BCF612" w14:textId="793CD813" w:rsidR="00824856" w:rsidRDefault="00BB7882">
      <w:pPr>
        <w:rPr>
          <w:b/>
          <w:snapToGrid w:val="0"/>
          <w:sz w:val="28"/>
          <w:szCs w:val="24"/>
          <w:u w:val="single"/>
          <w:lang w:eastAsia="ja-JP"/>
        </w:rPr>
      </w:pPr>
      <w:r w:rsidRPr="009A5185">
        <w:rPr>
          <w:rFonts w:cs="Arial"/>
          <w:lang w:eastAsia="ja-JP"/>
        </w:rPr>
        <w:t xml:space="preserve">None. If substantive changes are made to this section of the Survey after release on April 1, </w:t>
      </w:r>
      <w:r>
        <w:rPr>
          <w:rFonts w:cs="Arial"/>
          <w:lang w:eastAsia="ja-JP"/>
        </w:rPr>
        <w:t>202</w:t>
      </w:r>
      <w:r w:rsidR="002B59CE">
        <w:rPr>
          <w:rFonts w:cs="Arial"/>
          <w:lang w:eastAsia="ja-JP"/>
        </w:rPr>
        <w:t>6</w:t>
      </w:r>
      <w:r>
        <w:rPr>
          <w:rFonts w:cs="Arial"/>
          <w:lang w:eastAsia="ja-JP"/>
        </w:rPr>
        <w:t>,</w:t>
      </w:r>
      <w:r w:rsidRPr="009A5185">
        <w:rPr>
          <w:rFonts w:cs="Arial"/>
          <w:lang w:eastAsia="ja-JP"/>
        </w:rPr>
        <w:t xml:space="preserve"> they will be documented in this Change Summary section.</w:t>
      </w:r>
      <w:r w:rsidR="00824856">
        <w:br w:type="page"/>
      </w:r>
    </w:p>
    <w:p w14:paraId="5B12EF0E" w14:textId="31AF5A2F" w:rsidR="00AA0A57" w:rsidRDefault="006D4D6A" w:rsidP="00CF5A6E">
      <w:pPr>
        <w:pStyle w:val="Heading2"/>
      </w:pPr>
      <w:bookmarkStart w:id="757" w:name="_Toc225877852"/>
      <w:r>
        <w:lastRenderedPageBreak/>
        <w:t>Section 9</w:t>
      </w:r>
      <w:r w:rsidR="002506C9">
        <w:t>A</w:t>
      </w:r>
      <w:r w:rsidR="00C214F2">
        <w:t>:</w:t>
      </w:r>
      <w:r w:rsidR="000A7AEE">
        <w:t xml:space="preserve"> </w:t>
      </w:r>
      <w:r w:rsidR="00AA0A57">
        <w:t>Basic Outpatient Department</w:t>
      </w:r>
      <w:r w:rsidR="00AA0A57" w:rsidRPr="009A5185">
        <w:t xml:space="preserve"> </w:t>
      </w:r>
      <w:r w:rsidR="00AA0A57">
        <w:t>Information Frequently Asked Questions (FAQs)</w:t>
      </w:r>
      <w:bookmarkEnd w:id="757"/>
    </w:p>
    <w:p w14:paraId="3DA1F5E2" w14:textId="77777777" w:rsidR="00AA0A57" w:rsidRPr="00AA0A57" w:rsidRDefault="00AA0A57" w:rsidP="00AA0A57">
      <w:pPr>
        <w:rPr>
          <w:lang w:eastAsia="ja-JP"/>
        </w:rPr>
      </w:pPr>
    </w:p>
    <w:p w14:paraId="18D072B3" w14:textId="5417507C" w:rsidR="005B653F" w:rsidRDefault="004D3B02" w:rsidP="00AD309C">
      <w:pPr>
        <w:pStyle w:val="ListParagraph"/>
        <w:numPr>
          <w:ilvl w:val="0"/>
          <w:numId w:val="96"/>
        </w:numPr>
        <w:rPr>
          <w:lang w:eastAsia="ja-JP"/>
        </w:rPr>
      </w:pPr>
      <w:r w:rsidRPr="004D3B02">
        <w:rPr>
          <w:b/>
          <w:lang w:eastAsia="ja-JP"/>
        </w:rPr>
        <w:t xml:space="preserve">Our hospital shares a CMS Certification Number (CCN) with other </w:t>
      </w:r>
      <w:r w:rsidR="00AA5A1D" w:rsidRPr="004D3B02">
        <w:rPr>
          <w:b/>
          <w:lang w:eastAsia="ja-JP"/>
        </w:rPr>
        <w:t>hospitals,</w:t>
      </w:r>
      <w:r w:rsidRPr="004D3B02">
        <w:rPr>
          <w:b/>
          <w:lang w:eastAsia="ja-JP"/>
        </w:rPr>
        <w:t xml:space="preserve"> and we have many hospital outpatient</w:t>
      </w:r>
      <w:r w:rsidR="00607607">
        <w:rPr>
          <w:b/>
          <w:lang w:eastAsia="ja-JP"/>
        </w:rPr>
        <w:t xml:space="preserve"> department</w:t>
      </w:r>
      <w:r w:rsidRPr="004D3B02">
        <w:rPr>
          <w:b/>
          <w:lang w:eastAsia="ja-JP"/>
        </w:rPr>
        <w:t xml:space="preserve"> locations (</w:t>
      </w:r>
      <w:r w:rsidR="00607607">
        <w:rPr>
          <w:b/>
          <w:lang w:eastAsia="ja-JP"/>
        </w:rPr>
        <w:t xml:space="preserve">e.g., surgery centers, </w:t>
      </w:r>
      <w:r w:rsidRPr="004D3B02">
        <w:rPr>
          <w:b/>
          <w:lang w:eastAsia="ja-JP"/>
        </w:rPr>
        <w:t xml:space="preserve">endoscopy centers, </w:t>
      </w:r>
      <w:r w:rsidR="00607607">
        <w:rPr>
          <w:b/>
          <w:lang w:eastAsia="ja-JP"/>
        </w:rPr>
        <w:t>free-standing hospital outpatient departments,</w:t>
      </w:r>
      <w:r>
        <w:rPr>
          <w:b/>
          <w:lang w:eastAsia="ja-JP"/>
        </w:rPr>
        <w:t xml:space="preserve"> etc.</w:t>
      </w:r>
      <w:r w:rsidR="00607607">
        <w:rPr>
          <w:b/>
          <w:lang w:eastAsia="ja-JP"/>
        </w:rPr>
        <w:t>)</w:t>
      </w:r>
      <w:r>
        <w:rPr>
          <w:b/>
          <w:lang w:eastAsia="ja-JP"/>
        </w:rPr>
        <w:t xml:space="preserve"> all under the same CC</w:t>
      </w:r>
      <w:r w:rsidRPr="004D3B02">
        <w:rPr>
          <w:b/>
          <w:lang w:eastAsia="ja-JP"/>
        </w:rPr>
        <w:t xml:space="preserve">N. </w:t>
      </w:r>
      <w:r w:rsidR="005B653F">
        <w:rPr>
          <w:b/>
          <w:lang w:eastAsia="ja-JP"/>
        </w:rPr>
        <w:t xml:space="preserve">How should we report on Section </w:t>
      </w:r>
      <w:r w:rsidR="00FB07A6">
        <w:rPr>
          <w:b/>
          <w:lang w:eastAsia="ja-JP"/>
        </w:rPr>
        <w:t>9:</w:t>
      </w:r>
      <w:r w:rsidR="005B653F">
        <w:rPr>
          <w:b/>
          <w:lang w:eastAsia="ja-JP"/>
        </w:rPr>
        <w:t xml:space="preserve"> Outpatient Procedures?</w:t>
      </w:r>
      <w:r w:rsidR="005B653F">
        <w:rPr>
          <w:lang w:eastAsia="ja-JP"/>
        </w:rPr>
        <w:t xml:space="preserve"> </w:t>
      </w:r>
    </w:p>
    <w:p w14:paraId="3A718121" w14:textId="336EE124" w:rsidR="005B653F" w:rsidRDefault="005B653F" w:rsidP="005B653F">
      <w:pPr>
        <w:pStyle w:val="ListParagraph"/>
        <w:ind w:left="360"/>
        <w:rPr>
          <w:lang w:eastAsia="ja-JP"/>
        </w:rPr>
      </w:pPr>
      <w:r>
        <w:rPr>
          <w:lang w:eastAsia="ja-JP"/>
        </w:rPr>
        <w:t xml:space="preserve">As per Leapfrog's </w:t>
      </w:r>
      <w:hyperlink r:id="rId480" w:history="1">
        <w:r w:rsidRPr="001524B9">
          <w:rPr>
            <w:rStyle w:val="Hyperlink"/>
            <w:lang w:eastAsia="ja-JP"/>
          </w:rPr>
          <w:t>Multi-Campus Reporting Policy</w:t>
        </w:r>
      </w:hyperlink>
      <w:r>
        <w:rPr>
          <w:lang w:eastAsia="ja-JP"/>
        </w:rPr>
        <w:t>, all hospital campuses will need to complete their own Leapfrog Hospital Survey unless they are co-located.</w:t>
      </w:r>
    </w:p>
    <w:p w14:paraId="2F73B1AC" w14:textId="77777777" w:rsidR="005B653F" w:rsidRDefault="005B653F" w:rsidP="005B653F">
      <w:pPr>
        <w:pStyle w:val="ListParagraph"/>
        <w:ind w:left="360"/>
        <w:rPr>
          <w:lang w:eastAsia="ja-JP"/>
        </w:rPr>
      </w:pPr>
    </w:p>
    <w:p w14:paraId="0473CF6E" w14:textId="4AD8B283" w:rsidR="005B653F" w:rsidRDefault="005B653F" w:rsidP="005B653F">
      <w:pPr>
        <w:pStyle w:val="ListParagraph"/>
        <w:ind w:left="360"/>
        <w:rPr>
          <w:lang w:eastAsia="ja-JP"/>
        </w:rPr>
      </w:pPr>
      <w:r>
        <w:rPr>
          <w:lang w:eastAsia="ja-JP"/>
        </w:rPr>
        <w:t xml:space="preserve">For Section </w:t>
      </w:r>
      <w:r w:rsidR="00FB07A6">
        <w:rPr>
          <w:lang w:eastAsia="ja-JP"/>
        </w:rPr>
        <w:t>9:</w:t>
      </w:r>
      <w:r>
        <w:rPr>
          <w:lang w:eastAsia="ja-JP"/>
        </w:rPr>
        <w:t xml:space="preserve"> Outpatient Procedures, each hospital campus will need to indicate in Section </w:t>
      </w:r>
      <w:r w:rsidR="00FB07A6">
        <w:rPr>
          <w:lang w:eastAsia="ja-JP"/>
        </w:rPr>
        <w:t>9</w:t>
      </w:r>
      <w:r>
        <w:rPr>
          <w:lang w:eastAsia="ja-JP"/>
        </w:rPr>
        <w:t xml:space="preserve">A if they are performing the outpatient procedures listed in Section </w:t>
      </w:r>
      <w:r w:rsidR="00FB07A6">
        <w:rPr>
          <w:lang w:eastAsia="ja-JP"/>
        </w:rPr>
        <w:t>9</w:t>
      </w:r>
      <w:r>
        <w:rPr>
          <w:lang w:eastAsia="ja-JP"/>
        </w:rPr>
        <w:t xml:space="preserve">C at their hospital and/or at a surgery center or free-standing hospital outpatient department that shares their hospital's CMS Certification Number (CCN). You should only include those hospital outpatient departments that your hospital refers patients to. The remainder of the questions in Section </w:t>
      </w:r>
      <w:r w:rsidR="00FB07A6">
        <w:rPr>
          <w:lang w:eastAsia="ja-JP"/>
        </w:rPr>
        <w:t>9</w:t>
      </w:r>
      <w:r>
        <w:rPr>
          <w:lang w:eastAsia="ja-JP"/>
        </w:rPr>
        <w:t xml:space="preserve"> will need to be answered based on:</w:t>
      </w:r>
    </w:p>
    <w:p w14:paraId="2E100E84" w14:textId="7645334A" w:rsidR="005B653F" w:rsidRDefault="005B653F" w:rsidP="00AD309C">
      <w:pPr>
        <w:pStyle w:val="ListParagraph"/>
        <w:numPr>
          <w:ilvl w:val="0"/>
          <w:numId w:val="137"/>
        </w:numPr>
        <w:rPr>
          <w:lang w:eastAsia="ja-JP"/>
        </w:rPr>
      </w:pPr>
      <w:r w:rsidRPr="005B653F">
        <w:rPr>
          <w:lang w:eastAsia="ja-JP"/>
        </w:rPr>
        <w:t>all hospital outpatient departments in your hospital</w:t>
      </w:r>
      <w:r w:rsidR="00C71668">
        <w:rPr>
          <w:lang w:eastAsia="ja-JP"/>
        </w:rPr>
        <w:t>, including any areas such a</w:t>
      </w:r>
      <w:r w:rsidR="00BA4425">
        <w:rPr>
          <w:lang w:eastAsia="ja-JP"/>
        </w:rPr>
        <w:t>s</w:t>
      </w:r>
      <w:r w:rsidR="00C71668">
        <w:rPr>
          <w:lang w:eastAsia="ja-JP"/>
        </w:rPr>
        <w:t xml:space="preserve"> inpatient units, where outpatient procedures are performed</w:t>
      </w:r>
      <w:r>
        <w:rPr>
          <w:lang w:eastAsia="ja-JP"/>
        </w:rPr>
        <w:t xml:space="preserve"> (as reported in Section </w:t>
      </w:r>
      <w:r w:rsidR="00FB07A6">
        <w:rPr>
          <w:lang w:eastAsia="ja-JP"/>
        </w:rPr>
        <w:t>9</w:t>
      </w:r>
      <w:r>
        <w:rPr>
          <w:lang w:eastAsia="ja-JP"/>
        </w:rPr>
        <w:t>A question #2)</w:t>
      </w:r>
      <w:r w:rsidRPr="005B653F">
        <w:rPr>
          <w:lang w:eastAsia="ja-JP"/>
        </w:rPr>
        <w:t>; and</w:t>
      </w:r>
      <w:r>
        <w:rPr>
          <w:lang w:eastAsia="ja-JP"/>
        </w:rPr>
        <w:t>,</w:t>
      </w:r>
    </w:p>
    <w:p w14:paraId="3B3E1FAB" w14:textId="57CD86B5" w:rsidR="005B653F" w:rsidRDefault="005B653F" w:rsidP="00AD309C">
      <w:pPr>
        <w:pStyle w:val="ListParagraph"/>
        <w:numPr>
          <w:ilvl w:val="0"/>
          <w:numId w:val="137"/>
        </w:numPr>
        <w:rPr>
          <w:lang w:eastAsia="ja-JP"/>
        </w:rPr>
      </w:pPr>
      <w:r>
        <w:rPr>
          <w:lang w:eastAsia="ja-JP"/>
        </w:rPr>
        <w:t xml:space="preserve">all surgery centers and free-standing hospital outpatient departments that share your hospital's CCN (as reported in Section </w:t>
      </w:r>
      <w:r w:rsidR="00FB07A6">
        <w:rPr>
          <w:lang w:eastAsia="ja-JP"/>
        </w:rPr>
        <w:t>9</w:t>
      </w:r>
      <w:r>
        <w:rPr>
          <w:lang w:eastAsia="ja-JP"/>
        </w:rPr>
        <w:t>A question #3)</w:t>
      </w:r>
    </w:p>
    <w:p w14:paraId="5951B551" w14:textId="77777777" w:rsidR="005B653F" w:rsidRDefault="005B653F" w:rsidP="005B653F">
      <w:pPr>
        <w:pStyle w:val="ListParagraph"/>
        <w:ind w:left="360"/>
        <w:rPr>
          <w:lang w:eastAsia="ja-JP"/>
        </w:rPr>
      </w:pPr>
    </w:p>
    <w:p w14:paraId="2EA5C83B" w14:textId="0E97BC22" w:rsidR="005B653F" w:rsidRDefault="005B653F" w:rsidP="005B653F">
      <w:pPr>
        <w:pStyle w:val="ListParagraph"/>
        <w:ind w:left="360"/>
        <w:rPr>
          <w:lang w:eastAsia="ja-JP"/>
        </w:rPr>
      </w:pPr>
      <w:r>
        <w:rPr>
          <w:lang w:eastAsia="ja-JP"/>
        </w:rPr>
        <w:t xml:space="preserve">In Section </w:t>
      </w:r>
      <w:r w:rsidR="00FB07A6">
        <w:rPr>
          <w:lang w:eastAsia="ja-JP"/>
        </w:rPr>
        <w:t>9</w:t>
      </w:r>
      <w:r>
        <w:rPr>
          <w:lang w:eastAsia="ja-JP"/>
        </w:rPr>
        <w:t xml:space="preserve">C, you will be able to provide total volume across all hospital outpatient department locations (as reported in Section </w:t>
      </w:r>
      <w:r w:rsidR="00FB07A6">
        <w:rPr>
          <w:lang w:eastAsia="ja-JP"/>
        </w:rPr>
        <w:t>9</w:t>
      </w:r>
      <w:r>
        <w:rPr>
          <w:lang w:eastAsia="ja-JP"/>
        </w:rPr>
        <w:t>A questions #2 and #3) and information for the different outpatient locations where the specific outpatient procedures are performed. All other questions should be answered based on all outpatient locations. If you have different adherence across locations, you should answer based on the least adherent location.</w:t>
      </w:r>
    </w:p>
    <w:p w14:paraId="28FF572D" w14:textId="77777777" w:rsidR="005B653F" w:rsidRDefault="005B653F" w:rsidP="005B653F">
      <w:pPr>
        <w:pStyle w:val="ListParagraph"/>
        <w:ind w:left="360"/>
        <w:rPr>
          <w:lang w:eastAsia="ja-JP"/>
        </w:rPr>
      </w:pPr>
    </w:p>
    <w:p w14:paraId="21C837BE" w14:textId="6E192CA8" w:rsidR="005B653F" w:rsidRDefault="005B653F" w:rsidP="005B653F">
      <w:pPr>
        <w:pStyle w:val="ListParagraph"/>
        <w:ind w:left="360"/>
        <w:rPr>
          <w:lang w:eastAsia="ja-JP"/>
        </w:rPr>
      </w:pPr>
      <w:r>
        <w:rPr>
          <w:lang w:eastAsia="ja-JP"/>
        </w:rPr>
        <w:t xml:space="preserve">If all hospital campuses are referring patients to the same surgery centers and free-standing hospital outpatient departments, you would include the information and volume for these locations when responding to Section </w:t>
      </w:r>
      <w:r w:rsidR="00FB07A6">
        <w:rPr>
          <w:lang w:eastAsia="ja-JP"/>
        </w:rPr>
        <w:t>9</w:t>
      </w:r>
      <w:r>
        <w:rPr>
          <w:lang w:eastAsia="ja-JP"/>
        </w:rPr>
        <w:t xml:space="preserve"> on </w:t>
      </w:r>
      <w:r w:rsidR="00964E75">
        <w:rPr>
          <w:lang w:eastAsia="ja-JP"/>
        </w:rPr>
        <w:t>all</w:t>
      </w:r>
      <w:r w:rsidR="00BA4425">
        <w:rPr>
          <w:lang w:eastAsia="ja-JP"/>
        </w:rPr>
        <w:t xml:space="preserve"> </w:t>
      </w:r>
      <w:r>
        <w:rPr>
          <w:lang w:eastAsia="ja-JP"/>
        </w:rPr>
        <w:t>their Leapfrog Hospital Surveys.</w:t>
      </w:r>
    </w:p>
    <w:p w14:paraId="18AC5897" w14:textId="77777777" w:rsidR="004D3B02" w:rsidRPr="00D221D0" w:rsidRDefault="004D3B02" w:rsidP="005B653F">
      <w:pPr>
        <w:rPr>
          <w:lang w:eastAsia="ja-JP"/>
        </w:rPr>
      </w:pPr>
    </w:p>
    <w:p w14:paraId="26CF6609" w14:textId="5320B995" w:rsidR="00643756" w:rsidRPr="00643756" w:rsidRDefault="008B4AFB" w:rsidP="00AD309C">
      <w:pPr>
        <w:pStyle w:val="ListParagraph"/>
        <w:numPr>
          <w:ilvl w:val="0"/>
          <w:numId w:val="96"/>
        </w:numPr>
        <w:rPr>
          <w:lang w:eastAsia="ja-JP"/>
        </w:rPr>
      </w:pPr>
      <w:r>
        <w:rPr>
          <w:b/>
          <w:lang w:eastAsia="ja-JP"/>
        </w:rPr>
        <w:t xml:space="preserve">How should our </w:t>
      </w:r>
      <w:r w:rsidR="00607607">
        <w:rPr>
          <w:b/>
          <w:lang w:eastAsia="ja-JP"/>
        </w:rPr>
        <w:t>hospital</w:t>
      </w:r>
      <w:r w:rsidR="00080C12">
        <w:rPr>
          <w:b/>
          <w:lang w:eastAsia="ja-JP"/>
        </w:rPr>
        <w:t xml:space="preserve"> report on the number of</w:t>
      </w:r>
      <w:r>
        <w:rPr>
          <w:b/>
          <w:lang w:eastAsia="ja-JP"/>
        </w:rPr>
        <w:t xml:space="preserve"> operating rooms and </w:t>
      </w:r>
      <w:r w:rsidR="00080C12">
        <w:rPr>
          <w:b/>
          <w:lang w:eastAsia="ja-JP"/>
        </w:rPr>
        <w:t xml:space="preserve">endoscopic </w:t>
      </w:r>
      <w:r>
        <w:rPr>
          <w:b/>
          <w:lang w:eastAsia="ja-JP"/>
        </w:rPr>
        <w:t xml:space="preserve">procedure rooms </w:t>
      </w:r>
      <w:r w:rsidR="00080C12">
        <w:rPr>
          <w:b/>
          <w:lang w:eastAsia="ja-JP"/>
        </w:rPr>
        <w:t>in questions #</w:t>
      </w:r>
      <w:r w:rsidR="00D666AE">
        <w:rPr>
          <w:b/>
          <w:lang w:eastAsia="ja-JP"/>
        </w:rPr>
        <w:t>4-5</w:t>
      </w:r>
      <w:r w:rsidR="00CB4817">
        <w:rPr>
          <w:b/>
          <w:lang w:eastAsia="ja-JP"/>
        </w:rPr>
        <w:t xml:space="preserve"> </w:t>
      </w:r>
      <w:r>
        <w:rPr>
          <w:b/>
          <w:lang w:eastAsia="ja-JP"/>
        </w:rPr>
        <w:t>if our operating/procedure rooms are used for both inpatient and outpatients?</w:t>
      </w:r>
      <w:r w:rsidR="00D666AE">
        <w:rPr>
          <w:b/>
          <w:lang w:eastAsia="ja-JP"/>
        </w:rPr>
        <w:t xml:space="preserve"> How should we report if we have multiple hospital outpatient departments?</w:t>
      </w:r>
    </w:p>
    <w:p w14:paraId="5D2A96CF" w14:textId="56D324BD" w:rsidR="00010E88" w:rsidRDefault="00D666AE" w:rsidP="003968AC">
      <w:pPr>
        <w:pStyle w:val="ListParagraph"/>
        <w:ind w:left="360"/>
        <w:rPr>
          <w:sz w:val="28"/>
          <w:szCs w:val="24"/>
          <w:u w:val="single"/>
          <w:lang w:eastAsia="ja-JP"/>
        </w:rPr>
      </w:pPr>
      <w:r>
        <w:rPr>
          <w:lang w:eastAsia="ja-JP"/>
        </w:rPr>
        <w:t xml:space="preserve">Hospitals </w:t>
      </w:r>
      <w:r w:rsidR="00643756">
        <w:rPr>
          <w:lang w:eastAsia="ja-JP"/>
        </w:rPr>
        <w:t>should report on the total number of adult and pediatric operating rooms or procedure rooms if these rooms are used for both inpatient and outpatient</w:t>
      </w:r>
      <w:r w:rsidR="00BA4425">
        <w:rPr>
          <w:lang w:eastAsia="ja-JP"/>
        </w:rPr>
        <w:t xml:space="preserve"> procedures</w:t>
      </w:r>
      <w:r w:rsidR="00643756">
        <w:rPr>
          <w:lang w:eastAsia="ja-JP"/>
        </w:rPr>
        <w:t xml:space="preserve">. Otherwise, </w:t>
      </w:r>
      <w:r>
        <w:rPr>
          <w:lang w:eastAsia="ja-JP"/>
        </w:rPr>
        <w:t xml:space="preserve">hospitals </w:t>
      </w:r>
      <w:r w:rsidR="00643756">
        <w:rPr>
          <w:lang w:eastAsia="ja-JP"/>
        </w:rPr>
        <w:t>should only report on the number of operating/procedure rooms that are used for outpatient</w:t>
      </w:r>
      <w:r w:rsidR="00BA4425">
        <w:rPr>
          <w:lang w:eastAsia="ja-JP"/>
        </w:rPr>
        <w:t xml:space="preserve"> procedures</w:t>
      </w:r>
      <w:r w:rsidR="00643756">
        <w:rPr>
          <w:lang w:eastAsia="ja-JP"/>
        </w:rPr>
        <w:t>.</w:t>
      </w:r>
      <w:r>
        <w:rPr>
          <w:lang w:eastAsia="ja-JP"/>
        </w:rPr>
        <w:t xml:space="preserve"> If your hospital has multiple hospital outpatient departments, report the total number of adult and pediatric outpatient operating rooms or procedure rooms across all locations. You should only be reporting on operating rooms </w:t>
      </w:r>
      <w:r w:rsidR="00607607">
        <w:rPr>
          <w:lang w:eastAsia="ja-JP"/>
        </w:rPr>
        <w:t xml:space="preserve">and procedure rooms </w:t>
      </w:r>
      <w:r>
        <w:rPr>
          <w:lang w:eastAsia="ja-JP"/>
        </w:rPr>
        <w:t xml:space="preserve">that are used to perform the outpatient procedures listed in Section </w:t>
      </w:r>
      <w:r w:rsidR="00FB07A6">
        <w:rPr>
          <w:lang w:eastAsia="ja-JP"/>
        </w:rPr>
        <w:t>9</w:t>
      </w:r>
      <w:r>
        <w:rPr>
          <w:lang w:eastAsia="ja-JP"/>
        </w:rPr>
        <w:t>C Volume of Procedures.</w:t>
      </w:r>
      <w:r w:rsidR="00010E88">
        <w:br w:type="page"/>
      </w:r>
    </w:p>
    <w:p w14:paraId="45E862A8" w14:textId="05A654E3" w:rsidR="00CB4817" w:rsidRDefault="00287EBC" w:rsidP="00CF5A6E">
      <w:pPr>
        <w:pStyle w:val="Heading2"/>
      </w:pPr>
      <w:bookmarkStart w:id="758" w:name="_Medical,_Surgical,_and"/>
      <w:bookmarkStart w:id="759" w:name="_Ref153447289"/>
      <w:bookmarkStart w:id="760" w:name="_Ref153447294"/>
      <w:bookmarkStart w:id="761" w:name="_Toc225877853"/>
      <w:bookmarkEnd w:id="758"/>
      <w:r>
        <w:lastRenderedPageBreak/>
        <w:t xml:space="preserve">Section 9B: </w:t>
      </w:r>
      <w:r w:rsidR="00CB4817">
        <w:t>Medical, Surgical, and Clinical Staff Frequently Asked Questions (FAQs)</w:t>
      </w:r>
      <w:bookmarkEnd w:id="759"/>
      <w:bookmarkEnd w:id="760"/>
      <w:bookmarkEnd w:id="761"/>
    </w:p>
    <w:p w14:paraId="7F1DB09A" w14:textId="77777777" w:rsidR="007A7E54" w:rsidRDefault="007A7E54" w:rsidP="00CB4817">
      <w:pPr>
        <w:rPr>
          <w:lang w:eastAsia="ja-JP"/>
        </w:rPr>
      </w:pPr>
    </w:p>
    <w:p w14:paraId="42F61049" w14:textId="2B45A5C6" w:rsidR="007B25E7" w:rsidRPr="0043533E" w:rsidRDefault="007B25E7" w:rsidP="00AD309C">
      <w:pPr>
        <w:pStyle w:val="ListParagraph"/>
        <w:numPr>
          <w:ilvl w:val="0"/>
          <w:numId w:val="155"/>
        </w:numPr>
        <w:spacing w:after="120" w:line="264" w:lineRule="auto"/>
        <w:rPr>
          <w:b/>
          <w:bCs/>
        </w:rPr>
      </w:pPr>
      <w:bookmarkStart w:id="762" w:name="_Hlk36555098"/>
      <w:r w:rsidRPr="0043533E">
        <w:rPr>
          <w:b/>
          <w:bCs/>
        </w:rPr>
        <w:t>How does Leapfrog define “immediately available”</w:t>
      </w:r>
      <w:r w:rsidR="0092055D">
        <w:rPr>
          <w:b/>
          <w:bCs/>
        </w:rPr>
        <w:t xml:space="preserve"> and “in the building”</w:t>
      </w:r>
      <w:r w:rsidRPr="0043533E">
        <w:rPr>
          <w:b/>
          <w:bCs/>
        </w:rPr>
        <w:t xml:space="preserve"> as it pertains to ACLS and/or PALS trained clinicians? </w:t>
      </w:r>
    </w:p>
    <w:p w14:paraId="1763E338" w14:textId="47DE6B4D" w:rsidR="0092055D" w:rsidRDefault="007B25E7" w:rsidP="007B25E7">
      <w:pPr>
        <w:pStyle w:val="ListParagraph"/>
        <w:ind w:left="360"/>
      </w:pPr>
      <w:r>
        <w:t xml:space="preserve">“Immediately available” is defined as being physically present in the </w:t>
      </w:r>
      <w:r w:rsidR="007C03A0">
        <w:t>building</w:t>
      </w:r>
      <w:r>
        <w:t xml:space="preserve"> and not engaged in an </w:t>
      </w:r>
      <w:bookmarkStart w:id="763" w:name="_Hlk36554991"/>
      <w:r>
        <w:t>activity or procedure that cannot be interrupted if hand</w:t>
      </w:r>
      <w:r w:rsidR="003A6865">
        <w:t>s</w:t>
      </w:r>
      <w:r>
        <w:t>-on intervention is needed for a patient.</w:t>
      </w:r>
      <w:bookmarkEnd w:id="763"/>
    </w:p>
    <w:p w14:paraId="0E7FE63A" w14:textId="77777777" w:rsidR="0092055D" w:rsidRDefault="0092055D" w:rsidP="007B25E7">
      <w:pPr>
        <w:pStyle w:val="ListParagraph"/>
        <w:ind w:left="360"/>
      </w:pPr>
    </w:p>
    <w:p w14:paraId="533C8C6F" w14:textId="4E6EB5C2" w:rsidR="003A6865" w:rsidRDefault="0092055D" w:rsidP="00497DB3">
      <w:pPr>
        <w:pStyle w:val="ListParagraph"/>
        <w:ind w:left="360"/>
      </w:pPr>
      <w:r w:rsidRPr="0092055D">
        <w:t>Leapfrog defines "in the building" as within the hospital outpatient department or surgery center or in an area co-located with the hospital outpatient department or surgery center. Leapfrog defines co-located as a location within "immediate physical proximity,</w:t>
      </w:r>
      <w:r w:rsidR="00797BF6" w:rsidRPr="0092055D">
        <w:t>” meaning</w:t>
      </w:r>
      <w:r w:rsidRPr="0092055D">
        <w:t xml:space="preserve"> the two locations are physically connected, either by a tunnel, an enclosed bridge, or the locations abut each other so that hallways readily connect.</w:t>
      </w:r>
      <w:r w:rsidR="007B25E7">
        <w:t xml:space="preserve"> </w:t>
      </w:r>
      <w:bookmarkStart w:id="764" w:name="_Hlk36426439"/>
      <w:bookmarkEnd w:id="762"/>
      <w:r w:rsidR="00497DB3">
        <w:br/>
      </w:r>
    </w:p>
    <w:p w14:paraId="732A5075" w14:textId="6B05C9D5" w:rsidR="003A6865" w:rsidRDefault="003A6865" w:rsidP="00AD309C">
      <w:pPr>
        <w:pStyle w:val="ListParagraph"/>
        <w:numPr>
          <w:ilvl w:val="0"/>
          <w:numId w:val="155"/>
        </w:numPr>
        <w:spacing w:after="120" w:line="264" w:lineRule="auto"/>
        <w:rPr>
          <w:b/>
        </w:rPr>
      </w:pPr>
      <w:r>
        <w:rPr>
          <w:b/>
        </w:rPr>
        <w:t xml:space="preserve">If a hospital did not perform any outpatient pediatric procedures during the reporting period selected in Section </w:t>
      </w:r>
      <w:r w:rsidR="00DA07D2">
        <w:rPr>
          <w:b/>
        </w:rPr>
        <w:t>9</w:t>
      </w:r>
      <w:r>
        <w:rPr>
          <w:b/>
        </w:rPr>
        <w:t>C, should they still report on PALS</w:t>
      </w:r>
      <w:r w:rsidR="006C03EE">
        <w:rPr>
          <w:b/>
        </w:rPr>
        <w:t>-</w:t>
      </w:r>
      <w:r>
        <w:rPr>
          <w:b/>
        </w:rPr>
        <w:t xml:space="preserve">trained clinicians in Section </w:t>
      </w:r>
      <w:r w:rsidR="00DA07D2">
        <w:rPr>
          <w:b/>
        </w:rPr>
        <w:t>9</w:t>
      </w:r>
      <w:r>
        <w:rPr>
          <w:b/>
        </w:rPr>
        <w:t>B question #</w:t>
      </w:r>
      <w:r w:rsidR="00EE7395">
        <w:rPr>
          <w:b/>
        </w:rPr>
        <w:t>2</w:t>
      </w:r>
      <w:r>
        <w:rPr>
          <w:b/>
        </w:rPr>
        <w:t>?</w:t>
      </w:r>
    </w:p>
    <w:p w14:paraId="335DAC04" w14:textId="4030FD1C" w:rsidR="003A6865" w:rsidRDefault="003A6865" w:rsidP="003A6865">
      <w:pPr>
        <w:pStyle w:val="ListParagraph"/>
        <w:ind w:left="360"/>
      </w:pPr>
      <w:r>
        <w:rPr>
          <w:bCs/>
        </w:rPr>
        <w:t xml:space="preserve">No. If your hospital did not report any pediatric discharges for the procedures listed in Section </w:t>
      </w:r>
      <w:r w:rsidR="00DA07D2">
        <w:rPr>
          <w:bCs/>
        </w:rPr>
        <w:t>9</w:t>
      </w:r>
      <w:r>
        <w:rPr>
          <w:bCs/>
        </w:rPr>
        <w:t>C during the reporting period, then you should select “Not applicable; adult patients only” in question #</w:t>
      </w:r>
      <w:r w:rsidR="00EE7395">
        <w:rPr>
          <w:bCs/>
        </w:rPr>
        <w:t>2</w:t>
      </w:r>
      <w:r>
        <w:rPr>
          <w:bCs/>
        </w:rPr>
        <w:t xml:space="preserve">. </w:t>
      </w:r>
    </w:p>
    <w:bookmarkEnd w:id="764"/>
    <w:p w14:paraId="368F093F" w14:textId="77777777" w:rsidR="00DE2325" w:rsidRDefault="00DE2325" w:rsidP="00DE2325">
      <w:pPr>
        <w:pStyle w:val="ListParagraph"/>
        <w:spacing w:after="120" w:line="264" w:lineRule="auto"/>
        <w:ind w:left="360"/>
      </w:pPr>
    </w:p>
    <w:p w14:paraId="69CB8607" w14:textId="66360814" w:rsidR="005666F8" w:rsidRPr="005666F8" w:rsidRDefault="005666F8" w:rsidP="00AD309C">
      <w:pPr>
        <w:pStyle w:val="ListParagraph"/>
        <w:numPr>
          <w:ilvl w:val="0"/>
          <w:numId w:val="155"/>
        </w:numPr>
        <w:spacing w:after="120" w:line="264" w:lineRule="auto"/>
        <w:rPr>
          <w:b/>
        </w:rPr>
      </w:pPr>
      <w:r w:rsidRPr="005666F8">
        <w:rPr>
          <w:b/>
        </w:rPr>
        <w:t>Is the PEARS certification the equivalent of PALS certification for the purposes of responding to question #</w:t>
      </w:r>
      <w:r w:rsidR="00EE7395">
        <w:rPr>
          <w:b/>
        </w:rPr>
        <w:t>2</w:t>
      </w:r>
      <w:r w:rsidRPr="005666F8">
        <w:rPr>
          <w:b/>
        </w:rPr>
        <w:t xml:space="preserve">? </w:t>
      </w:r>
    </w:p>
    <w:p w14:paraId="7BD40FC0" w14:textId="401C15E2" w:rsidR="005666F8" w:rsidRPr="005666F8" w:rsidRDefault="005666F8" w:rsidP="005666F8">
      <w:pPr>
        <w:pStyle w:val="ListParagraph"/>
        <w:spacing w:after="120" w:line="264" w:lineRule="auto"/>
        <w:ind w:left="360"/>
        <w:rPr>
          <w:bCs/>
        </w:rPr>
      </w:pPr>
      <w:r w:rsidRPr="005666F8">
        <w:rPr>
          <w:bCs/>
        </w:rPr>
        <w:t>No. PEARS is not the equivalent of or substitution for PALS</w:t>
      </w:r>
      <w:r>
        <w:rPr>
          <w:bCs/>
        </w:rPr>
        <w:t xml:space="preserve"> certification</w:t>
      </w:r>
      <w:r w:rsidRPr="005666F8">
        <w:rPr>
          <w:bCs/>
        </w:rPr>
        <w:t>. The PEARS curriculum is focused on recognition of and steps to mitigate pediatric respiratory emergencies, whereas the PALS curriculum informs clinicians how to manage these emergencies, with emphasis on leadership of the care team, and how to perform key air management techniques. Additionally, the PALS curriculum instructs providers on multiple ways to obtain IV access to improve circulatory issues.</w:t>
      </w:r>
    </w:p>
    <w:p w14:paraId="2D12D9CC" w14:textId="77777777" w:rsidR="005666F8" w:rsidRDefault="005666F8" w:rsidP="005666F8">
      <w:pPr>
        <w:pStyle w:val="ListParagraph"/>
        <w:spacing w:after="120" w:line="264" w:lineRule="auto"/>
        <w:ind w:left="360"/>
        <w:rPr>
          <w:b/>
        </w:rPr>
      </w:pPr>
    </w:p>
    <w:p w14:paraId="5FF3C5BA" w14:textId="0C203ED1" w:rsidR="008A4884" w:rsidRDefault="008A4884" w:rsidP="00AD309C">
      <w:pPr>
        <w:pStyle w:val="ListParagraph"/>
        <w:numPr>
          <w:ilvl w:val="0"/>
          <w:numId w:val="155"/>
        </w:numPr>
        <w:spacing w:after="120" w:line="264" w:lineRule="auto"/>
        <w:rPr>
          <w:b/>
        </w:rPr>
      </w:pPr>
      <w:r>
        <w:rPr>
          <w:b/>
        </w:rPr>
        <w:t xml:space="preserve">How should hospitals report on ACLS/PALS certification if they have more than one hospital outpatient department performing the procedures listed in Section </w:t>
      </w:r>
      <w:r w:rsidR="00DA07D2">
        <w:rPr>
          <w:b/>
        </w:rPr>
        <w:t>9</w:t>
      </w:r>
      <w:r>
        <w:rPr>
          <w:b/>
        </w:rPr>
        <w:t>C Volume of Procedures?</w:t>
      </w:r>
    </w:p>
    <w:p w14:paraId="0315BEEC" w14:textId="41E0DC14" w:rsidR="008A4884" w:rsidRDefault="008A4884" w:rsidP="008A4884">
      <w:pPr>
        <w:pStyle w:val="ListParagraph"/>
        <w:spacing w:after="120" w:line="264" w:lineRule="auto"/>
        <w:ind w:left="360"/>
        <w:rPr>
          <w:bCs/>
        </w:rPr>
      </w:pPr>
      <w:r>
        <w:rPr>
          <w:bCs/>
        </w:rPr>
        <w:t>Hospitals with more than one hospital outpatient department are instructed to respond to questions #1-</w:t>
      </w:r>
      <w:r w:rsidR="00EE7395">
        <w:rPr>
          <w:bCs/>
        </w:rPr>
        <w:t>2</w:t>
      </w:r>
      <w:r>
        <w:rPr>
          <w:bCs/>
        </w:rPr>
        <w:t xml:space="preserve"> based on the </w:t>
      </w:r>
      <w:r w:rsidR="00C50417">
        <w:rPr>
          <w:bCs/>
        </w:rPr>
        <w:t>location</w:t>
      </w:r>
      <w:r>
        <w:rPr>
          <w:bCs/>
        </w:rPr>
        <w:t xml:space="preserve"> with the </w:t>
      </w:r>
      <w:r>
        <w:rPr>
          <w:bCs/>
          <w:u w:val="single"/>
        </w:rPr>
        <w:t>least intensive</w:t>
      </w:r>
      <w:r>
        <w:rPr>
          <w:bCs/>
        </w:rPr>
        <w:t xml:space="preserve"> staffing.</w:t>
      </w:r>
      <w:r w:rsidR="00C50417">
        <w:rPr>
          <w:bCs/>
        </w:rPr>
        <w:t xml:space="preserve"> For example, if one hospital outpatient department has an ACLS trained clinician, as well as a second clinician present at all times and immediately available in the building when adult patients are in the hospital outpatient department, but another hospital outpatient department does not, you should answer “no” to question #1.</w:t>
      </w:r>
    </w:p>
    <w:p w14:paraId="0DB6248A" w14:textId="3AF92539" w:rsidR="008A4884" w:rsidRPr="008A4884" w:rsidRDefault="008A4884" w:rsidP="008A4884">
      <w:pPr>
        <w:pStyle w:val="ListParagraph"/>
        <w:spacing w:after="120" w:line="264" w:lineRule="auto"/>
        <w:ind w:left="360"/>
        <w:rPr>
          <w:bCs/>
        </w:rPr>
      </w:pPr>
      <w:r>
        <w:rPr>
          <w:bCs/>
        </w:rPr>
        <w:t xml:space="preserve"> </w:t>
      </w:r>
    </w:p>
    <w:p w14:paraId="286289CF" w14:textId="581CDA40" w:rsidR="00DE2325" w:rsidRPr="00DE2325" w:rsidRDefault="00DE2325" w:rsidP="00AD309C">
      <w:pPr>
        <w:pStyle w:val="ListParagraph"/>
        <w:numPr>
          <w:ilvl w:val="0"/>
          <w:numId w:val="155"/>
        </w:numPr>
        <w:spacing w:after="120" w:line="264" w:lineRule="auto"/>
        <w:rPr>
          <w:b/>
        </w:rPr>
      </w:pPr>
      <w:r w:rsidRPr="00DE2325">
        <w:rPr>
          <w:b/>
        </w:rPr>
        <w:t xml:space="preserve">If a free-standing pediatric hospital has clinicians trained in PALS but a small percentage of the patient population is over </w:t>
      </w:r>
      <w:r w:rsidR="00963646">
        <w:rPr>
          <w:b/>
        </w:rPr>
        <w:t>1</w:t>
      </w:r>
      <w:r w:rsidR="00DA07D2">
        <w:rPr>
          <w:b/>
        </w:rPr>
        <w:t>3</w:t>
      </w:r>
      <w:r w:rsidRPr="00DE2325">
        <w:rPr>
          <w:b/>
        </w:rPr>
        <w:t xml:space="preserve">, should these clinicians also have ACLS </w:t>
      </w:r>
      <w:r w:rsidR="000A554A" w:rsidRPr="00DE2325">
        <w:rPr>
          <w:b/>
        </w:rPr>
        <w:t>training,</w:t>
      </w:r>
      <w:r w:rsidRPr="00DE2325">
        <w:rPr>
          <w:b/>
        </w:rPr>
        <w:t xml:space="preserve"> or would the PALS training be sufficient?</w:t>
      </w:r>
    </w:p>
    <w:p w14:paraId="2B76C296" w14:textId="4AB3F011" w:rsidR="00CA44C0" w:rsidRDefault="00DE2325" w:rsidP="003903E3">
      <w:pPr>
        <w:pStyle w:val="ListParagraph"/>
        <w:spacing w:after="120" w:line="264" w:lineRule="auto"/>
        <w:ind w:left="360"/>
        <w:rPr>
          <w:sz w:val="28"/>
          <w:szCs w:val="24"/>
          <w:u w:val="single"/>
          <w:lang w:eastAsia="ja-JP"/>
        </w:rPr>
      </w:pPr>
      <w:r>
        <w:t xml:space="preserve">If your </w:t>
      </w:r>
      <w:r w:rsidR="00963646">
        <w:t>hospital outpatient departments are</w:t>
      </w:r>
      <w:r>
        <w:t xml:space="preserve"> performing procedures on adult and pediatric patients, there should be at least one clinician with ACLS training when adult</w:t>
      </w:r>
      <w:r w:rsidR="00A85222">
        <w:t xml:space="preserve"> patients </w:t>
      </w:r>
      <w:r w:rsidR="00963646">
        <w:t xml:space="preserve">(13 years and older) </w:t>
      </w:r>
      <w:r w:rsidR="00A85222">
        <w:t>are recovering and on</w:t>
      </w:r>
      <w:r>
        <w:t xml:space="preserve">e clinician with PALS training when pediatric patients </w:t>
      </w:r>
      <w:r w:rsidR="00963646">
        <w:t xml:space="preserve">(infant to 12 years) </w:t>
      </w:r>
      <w:r>
        <w:t xml:space="preserve">are recovering. This could mean that some clinicians maintain both certifications or some maintain </w:t>
      </w:r>
      <w:r w:rsidR="000A554A">
        <w:t>ACLS,</w:t>
      </w:r>
      <w:r>
        <w:t xml:space="preserve"> and other</w:t>
      </w:r>
      <w:r w:rsidR="00A85222">
        <w:t>s</w:t>
      </w:r>
      <w:r>
        <w:t xml:space="preserve"> maintain PALS.</w:t>
      </w:r>
      <w:bookmarkStart w:id="765" w:name="_Volume_of_Procedures"/>
      <w:bookmarkEnd w:id="765"/>
      <w:r w:rsidR="00CA44C0">
        <w:br w:type="page"/>
      </w:r>
    </w:p>
    <w:p w14:paraId="09360A69" w14:textId="261B338A" w:rsidR="00F1087D" w:rsidRDefault="00376790" w:rsidP="00CF5A6E">
      <w:pPr>
        <w:pStyle w:val="Heading2"/>
      </w:pPr>
      <w:bookmarkStart w:id="766" w:name="_Volume_of_Procedures_2"/>
      <w:bookmarkStart w:id="767" w:name="_Ref123648340"/>
      <w:bookmarkStart w:id="768" w:name="_Toc225877854"/>
      <w:bookmarkEnd w:id="766"/>
      <w:r>
        <w:lastRenderedPageBreak/>
        <w:t xml:space="preserve">Volume </w:t>
      </w:r>
      <w:r w:rsidR="00010E88">
        <w:t>of Procedures Measure Specifications</w:t>
      </w:r>
      <w:bookmarkEnd w:id="767"/>
      <w:bookmarkEnd w:id="768"/>
    </w:p>
    <w:p w14:paraId="793A0375" w14:textId="77777777" w:rsidR="00F1087D" w:rsidRPr="00045157" w:rsidRDefault="00F1087D" w:rsidP="00F1087D">
      <w:pPr>
        <w:rPr>
          <w:sz w:val="16"/>
          <w:szCs w:val="16"/>
          <w:lang w:eastAsia="ja-JP"/>
        </w:rPr>
      </w:pPr>
    </w:p>
    <w:p w14:paraId="52DC4031" w14:textId="77777777" w:rsidR="00FB07A6" w:rsidRPr="00451080" w:rsidRDefault="00222413" w:rsidP="00222413">
      <w:pPr>
        <w:rPr>
          <w:b/>
          <w:color w:val="FF0000"/>
          <w:lang w:eastAsia="ja-JP"/>
        </w:rPr>
      </w:pPr>
      <w:r w:rsidRPr="00451080">
        <w:rPr>
          <w:b/>
          <w:color w:val="FF0000"/>
          <w:lang w:eastAsia="ja-JP"/>
        </w:rPr>
        <w:t>Important Note</w:t>
      </w:r>
      <w:r w:rsidR="00FB07A6" w:rsidRPr="00451080">
        <w:rPr>
          <w:b/>
          <w:color w:val="FF0000"/>
          <w:lang w:eastAsia="ja-JP"/>
        </w:rPr>
        <w:t>s</w:t>
      </w:r>
      <w:r w:rsidRPr="00451080">
        <w:rPr>
          <w:b/>
          <w:color w:val="FF0000"/>
          <w:lang w:eastAsia="ja-JP"/>
        </w:rPr>
        <w:t xml:space="preserve">: </w:t>
      </w:r>
    </w:p>
    <w:p w14:paraId="49F2E9A7" w14:textId="77777777" w:rsidR="00FB07A6" w:rsidRPr="00045157" w:rsidRDefault="00FB07A6" w:rsidP="00222413">
      <w:pPr>
        <w:rPr>
          <w:b/>
          <w:sz w:val="16"/>
          <w:szCs w:val="16"/>
          <w:lang w:eastAsia="ja-JP"/>
        </w:rPr>
      </w:pPr>
    </w:p>
    <w:p w14:paraId="4A1E97BD" w14:textId="442D2CAA" w:rsidR="00FB07A6" w:rsidRPr="004F5E10" w:rsidRDefault="00FB07A6" w:rsidP="00FB07A6">
      <w:pPr>
        <w:rPr>
          <w:rFonts w:cs="Arial"/>
          <w:snapToGrid w:val="0"/>
        </w:rPr>
      </w:pPr>
      <w:r w:rsidRPr="004F5E10">
        <w:rPr>
          <w:rFonts w:cs="Arial"/>
          <w:snapToGrid w:val="0"/>
        </w:rPr>
        <w:t xml:space="preserve">Note 1: Hospitals that share a CMS Certification Number are required to report by facility. Please carefully review </w:t>
      </w:r>
      <w:hyperlink r:id="rId481" w:history="1">
        <w:r w:rsidRPr="004F5E10">
          <w:rPr>
            <w:rFonts w:cs="Arial"/>
            <w:snapToGrid w:val="0"/>
            <w:color w:val="0000FF"/>
            <w:u w:val="single"/>
          </w:rPr>
          <w:t>Leapfrog’s Multi-Campus Reporting Policy</w:t>
        </w:r>
      </w:hyperlink>
      <w:r w:rsidRPr="004F5E10">
        <w:rPr>
          <w:rFonts w:cs="Arial"/>
          <w:snapToGrid w:val="0"/>
        </w:rPr>
        <w:t>.</w:t>
      </w:r>
    </w:p>
    <w:p w14:paraId="569F3CB0" w14:textId="77777777" w:rsidR="00FB07A6" w:rsidRPr="00045157" w:rsidRDefault="00FB07A6" w:rsidP="00222413">
      <w:pPr>
        <w:rPr>
          <w:b/>
          <w:sz w:val="16"/>
          <w:szCs w:val="16"/>
          <w:lang w:eastAsia="ja-JP"/>
        </w:rPr>
      </w:pPr>
    </w:p>
    <w:p w14:paraId="12CC3631" w14:textId="5A2178B9" w:rsidR="003023AB" w:rsidRPr="00D51874" w:rsidRDefault="00D25C4F" w:rsidP="003023AB">
      <w:pPr>
        <w:rPr>
          <w:rFonts w:cs="Arial"/>
          <w:lang w:eastAsia="ja-JP"/>
        </w:rPr>
      </w:pPr>
      <w:r w:rsidRPr="00D25C4F">
        <w:rPr>
          <w:rFonts w:cs="Arial"/>
          <w:lang w:eastAsia="ja-JP"/>
        </w:rPr>
        <w:t xml:space="preserve">Note </w:t>
      </w:r>
      <w:r>
        <w:rPr>
          <w:rFonts w:cs="Arial"/>
          <w:lang w:eastAsia="ja-JP"/>
        </w:rPr>
        <w:t>2</w:t>
      </w:r>
      <w:r w:rsidRPr="00D25C4F">
        <w:rPr>
          <w:rFonts w:cs="Arial"/>
          <w:lang w:eastAsia="ja-JP"/>
        </w:rPr>
        <w:t xml:space="preserve">: </w:t>
      </w:r>
      <w:r w:rsidR="003023AB" w:rsidRPr="00D51874">
        <w:rPr>
          <w:rFonts w:cs="Arial"/>
          <w:lang w:eastAsia="ja-JP"/>
        </w:rPr>
        <w:t xml:space="preserve">CPT Codes are provided in downloadable </w:t>
      </w:r>
      <w:r w:rsidR="0040556C">
        <w:rPr>
          <w:rFonts w:cs="Arial"/>
          <w:lang w:eastAsia="ja-JP"/>
        </w:rPr>
        <w:t>E</w:t>
      </w:r>
      <w:r w:rsidR="003023AB" w:rsidRPr="00D51874">
        <w:rPr>
          <w:rFonts w:cs="Arial"/>
          <w:lang w:eastAsia="ja-JP"/>
        </w:rPr>
        <w:t xml:space="preserve">xcel files </w:t>
      </w:r>
      <w:r w:rsidR="003023AB">
        <w:rPr>
          <w:rFonts w:cs="Arial"/>
          <w:lang w:eastAsia="ja-JP"/>
        </w:rPr>
        <w:t>on the Survey Dashboard</w:t>
      </w:r>
      <w:r w:rsidR="003023AB" w:rsidRPr="00D51874">
        <w:rPr>
          <w:rFonts w:cs="Arial"/>
          <w:lang w:eastAsia="ja-JP"/>
        </w:rPr>
        <w:t xml:space="preserve">. To access the files, click the CPT Code Workbook button </w:t>
      </w:r>
      <w:r w:rsidR="003023AB" w:rsidRPr="00D51874">
        <w:rPr>
          <w:rStyle w:val="Hyperlink"/>
          <w:rFonts w:cs="Arial"/>
          <w:color w:val="auto"/>
          <w:u w:val="none"/>
          <w:lang w:eastAsia="ja-JP"/>
        </w:rPr>
        <w:t>next to Section 9</w:t>
      </w:r>
      <w:r w:rsidR="003023AB">
        <w:rPr>
          <w:rStyle w:val="Hyperlink"/>
          <w:rFonts w:cs="Arial"/>
          <w:color w:val="auto"/>
          <w:u w:val="none"/>
          <w:lang w:eastAsia="ja-JP"/>
        </w:rPr>
        <w:t>.</w:t>
      </w:r>
      <w:r w:rsidR="003023AB" w:rsidRPr="00D51874">
        <w:rPr>
          <w:rStyle w:val="Hyperlink"/>
          <w:rFonts w:cs="Arial"/>
          <w:color w:val="auto"/>
          <w:u w:val="none"/>
          <w:lang w:eastAsia="ja-JP"/>
        </w:rPr>
        <w:t xml:space="preserve"> </w:t>
      </w:r>
      <w:r w:rsidR="003023AB">
        <w:rPr>
          <w:rFonts w:cs="Arial"/>
          <w:lang w:eastAsia="ja-JP"/>
        </w:rPr>
        <w:t>Y</w:t>
      </w:r>
      <w:r w:rsidR="003023AB" w:rsidRPr="00D51874">
        <w:rPr>
          <w:rFonts w:cs="Arial"/>
          <w:lang w:eastAsia="ja-JP"/>
        </w:rPr>
        <w:t>ou will be required to complete the American Medical Association’s Terms of Use</w:t>
      </w:r>
      <w:r w:rsidR="003023AB" w:rsidRPr="00D51874">
        <w:rPr>
          <w:lang w:eastAsia="ja-JP"/>
        </w:rPr>
        <w:t xml:space="preserve"> before downloading the </w:t>
      </w:r>
      <w:r w:rsidR="0040556C">
        <w:rPr>
          <w:lang w:eastAsia="ja-JP"/>
        </w:rPr>
        <w:t>E</w:t>
      </w:r>
      <w:r w:rsidR="003023AB" w:rsidRPr="00D51874">
        <w:rPr>
          <w:lang w:eastAsia="ja-JP"/>
        </w:rPr>
        <w:t xml:space="preserve">xcel file and using the individual CPT codes to query </w:t>
      </w:r>
      <w:r w:rsidR="003023AB">
        <w:rPr>
          <w:lang w:eastAsia="ja-JP"/>
        </w:rPr>
        <w:t xml:space="preserve">your </w:t>
      </w:r>
      <w:r w:rsidR="003023AB" w:rsidRPr="00D51874">
        <w:rPr>
          <w:lang w:eastAsia="ja-JP"/>
        </w:rPr>
        <w:t xml:space="preserve">EHR or billing system. </w:t>
      </w:r>
      <w:r w:rsidR="003023AB" w:rsidRPr="00D51874">
        <w:rPr>
          <w:rFonts w:cs="Arial"/>
          <w:lang w:eastAsia="ja-JP"/>
        </w:rPr>
        <w:t xml:space="preserve">You are only required to complete the Terms of Use once per Survey Cycle (April 1 – November 30). </w:t>
      </w:r>
    </w:p>
    <w:p w14:paraId="3F47BF7E" w14:textId="77777777" w:rsidR="003023AB" w:rsidRPr="00045157" w:rsidRDefault="003023AB" w:rsidP="003023AB">
      <w:pPr>
        <w:rPr>
          <w:rFonts w:cs="Arial"/>
          <w:sz w:val="16"/>
          <w:szCs w:val="16"/>
          <w:lang w:eastAsia="ja-JP"/>
        </w:rPr>
      </w:pPr>
    </w:p>
    <w:p w14:paraId="536D0839" w14:textId="7B1166D5" w:rsidR="00FB07A6" w:rsidRDefault="003023AB" w:rsidP="00FB41BD">
      <w:pPr>
        <w:rPr>
          <w:rFonts w:cs="Arial"/>
          <w:lang w:eastAsia="ja-JP"/>
        </w:rPr>
      </w:pPr>
      <w:r>
        <w:rPr>
          <w:rFonts w:cs="Arial"/>
          <w:lang w:eastAsia="ja-JP"/>
        </w:rPr>
        <w:t xml:space="preserve">The </w:t>
      </w:r>
      <w:r w:rsidRPr="00D51874">
        <w:rPr>
          <w:rFonts w:cs="Arial"/>
          <w:lang w:eastAsia="ja-JP"/>
        </w:rPr>
        <w:t>CPT Code Workbook</w:t>
      </w:r>
      <w:r>
        <w:rPr>
          <w:rFonts w:cs="Arial"/>
          <w:lang w:eastAsia="ja-JP"/>
        </w:rPr>
        <w:t>s</w:t>
      </w:r>
      <w:r w:rsidRPr="00D51874">
        <w:rPr>
          <w:rFonts w:cs="Arial"/>
          <w:lang w:eastAsia="ja-JP"/>
        </w:rPr>
        <w:t xml:space="preserve"> (</w:t>
      </w:r>
      <w:r w:rsidR="0040556C">
        <w:rPr>
          <w:rFonts w:cs="Arial"/>
          <w:lang w:eastAsia="ja-JP"/>
        </w:rPr>
        <w:t>E</w:t>
      </w:r>
      <w:r w:rsidRPr="00D51874">
        <w:rPr>
          <w:rFonts w:cs="Arial"/>
          <w:lang w:eastAsia="ja-JP"/>
        </w:rPr>
        <w:t>xcel file</w:t>
      </w:r>
      <w:r>
        <w:rPr>
          <w:rFonts w:cs="Arial"/>
          <w:lang w:eastAsia="ja-JP"/>
        </w:rPr>
        <w:t>s</w:t>
      </w:r>
      <w:r w:rsidRPr="00D51874">
        <w:rPr>
          <w:rFonts w:cs="Arial"/>
          <w:lang w:eastAsia="ja-JP"/>
        </w:rPr>
        <w:t xml:space="preserve">) are labeled </w:t>
      </w:r>
      <w:r>
        <w:rPr>
          <w:rFonts w:cs="Arial"/>
          <w:lang w:eastAsia="ja-JP"/>
        </w:rPr>
        <w:t xml:space="preserve">for </w:t>
      </w:r>
      <w:r w:rsidRPr="00D51874">
        <w:rPr>
          <w:rFonts w:cs="Arial"/>
          <w:lang w:eastAsia="ja-JP"/>
        </w:rPr>
        <w:t xml:space="preserve">Section 3A: Total Hip Replacement, Total Knee Replacement, and Bariatric Surgery for Weight Loss and Section 9C: Volume of Procedures. </w:t>
      </w:r>
      <w:r w:rsidR="00FB41BD" w:rsidRPr="00D51874">
        <w:rPr>
          <w:rFonts w:cs="Arial"/>
          <w:lang w:eastAsia="ja-JP"/>
        </w:rPr>
        <w:t>Please note</w:t>
      </w:r>
      <w:r w:rsidR="00FB41BD">
        <w:rPr>
          <w:rFonts w:cs="Arial"/>
          <w:lang w:eastAsia="ja-JP"/>
        </w:rPr>
        <w:t>, i</w:t>
      </w:r>
      <w:r w:rsidR="00FB41BD" w:rsidRPr="00FB41BD">
        <w:rPr>
          <w:rFonts w:cs="Arial"/>
          <w:lang w:eastAsia="ja-JP"/>
        </w:rPr>
        <w:t>f you are part of a hospital system, each hospital will need to complete the Terms of Use. This is a requirement of the American Medical Association.</w:t>
      </w:r>
    </w:p>
    <w:p w14:paraId="37C0C14A" w14:textId="77777777" w:rsidR="00FB41BD" w:rsidRPr="00045157" w:rsidRDefault="00FB41BD" w:rsidP="00FB41BD">
      <w:pPr>
        <w:rPr>
          <w:rFonts w:cs="Arial"/>
          <w:sz w:val="16"/>
          <w:szCs w:val="16"/>
          <w:lang w:eastAsia="ja-JP"/>
        </w:rPr>
      </w:pPr>
    </w:p>
    <w:p w14:paraId="6F3B076C" w14:textId="2339E152" w:rsidR="00FB07A6" w:rsidRPr="00A879E1" w:rsidRDefault="00FB07A6" w:rsidP="00A879E1">
      <w:pPr>
        <w:rPr>
          <w:rFonts w:cs="Arial"/>
          <w:b/>
          <w:bCs/>
          <w:lang w:eastAsia="ja-JP"/>
        </w:rPr>
      </w:pPr>
      <w:r w:rsidRPr="00A879E1">
        <w:rPr>
          <w:rFonts w:cs="Arial"/>
          <w:lang w:eastAsia="ja-JP"/>
        </w:rPr>
        <w:t>Note 3:</w:t>
      </w:r>
      <w:r>
        <w:rPr>
          <w:rFonts w:cs="Arial"/>
          <w:b/>
          <w:bCs/>
          <w:lang w:eastAsia="ja-JP"/>
        </w:rPr>
        <w:t xml:space="preserve"> </w:t>
      </w:r>
      <w:r w:rsidRPr="00B00E2A">
        <w:rPr>
          <w:rFonts w:cs="Arial"/>
          <w:lang w:eastAsia="ja-JP"/>
        </w:rPr>
        <w:t>Wh</w:t>
      </w:r>
      <w:r>
        <w:rPr>
          <w:rFonts w:cs="Arial"/>
          <w:lang w:eastAsia="ja-JP"/>
        </w:rPr>
        <w:t>e</w:t>
      </w:r>
      <w:r w:rsidRPr="00B00E2A">
        <w:rPr>
          <w:rFonts w:cs="Arial"/>
          <w:lang w:eastAsia="ja-JP"/>
        </w:rPr>
        <w:t>n counting patients for the purposes of identifying total volume in Section 9C, you should only include scheduled outpatient (i.e., admitted and discharged on the same day) procedures performed at your hospital outpatient departments within the reporting period. Include scheduled outpatient procedures with a planned observation or extended recovery stay. Exclude scheduled outpatient procedures with a planned inpatient admission. Exclude emergent/urgent cases, such as procedures for patients that come through the emergency department. To count patient discharges, use the Volume of Procedures Measure Specifications</w:t>
      </w:r>
      <w:r>
        <w:rPr>
          <w:rFonts w:cs="Arial"/>
          <w:lang w:eastAsia="ja-JP"/>
        </w:rPr>
        <w:t xml:space="preserve"> below</w:t>
      </w:r>
      <w:r w:rsidRPr="00B00E2A">
        <w:rPr>
          <w:rFonts w:cs="Arial"/>
          <w:lang w:eastAsia="ja-JP"/>
        </w:rPr>
        <w:t xml:space="preserve"> and the CPT codes available in the Library on the Survey Dashboard.</w:t>
      </w:r>
    </w:p>
    <w:p w14:paraId="3A139874" w14:textId="77777777" w:rsidR="00222413" w:rsidRPr="00045157" w:rsidRDefault="00222413" w:rsidP="00222413">
      <w:pPr>
        <w:rPr>
          <w:sz w:val="16"/>
          <w:szCs w:val="16"/>
          <w:lang w:eastAsia="ja-JP"/>
        </w:rPr>
      </w:pPr>
    </w:p>
    <w:tbl>
      <w:tblPr>
        <w:tblStyle w:val="TableGrid"/>
        <w:tblW w:w="0" w:type="auto"/>
        <w:tblLook w:val="04A0" w:firstRow="1" w:lastRow="0" w:firstColumn="1" w:lastColumn="0" w:noHBand="0" w:noVBand="1"/>
      </w:tblPr>
      <w:tblGrid>
        <w:gridCol w:w="9350"/>
      </w:tblGrid>
      <w:tr w:rsidR="00222413" w:rsidRPr="00222413" w14:paraId="25EDF417" w14:textId="77777777" w:rsidTr="00D47A88">
        <w:trPr>
          <w:trHeight w:val="288"/>
        </w:trPr>
        <w:tc>
          <w:tcPr>
            <w:tcW w:w="9350" w:type="dxa"/>
            <w:vAlign w:val="center"/>
          </w:tcPr>
          <w:p w14:paraId="6ABB13A8" w14:textId="009B8E47" w:rsidR="00222413" w:rsidRPr="00222413" w:rsidRDefault="00222413" w:rsidP="006606DD">
            <w:pPr>
              <w:rPr>
                <w:lang w:eastAsia="ja-JP"/>
              </w:rPr>
            </w:pPr>
            <w:r w:rsidRPr="00222413">
              <w:rPr>
                <w:b/>
                <w:lang w:eastAsia="ja-JP"/>
              </w:rPr>
              <w:t>Source:</w:t>
            </w:r>
            <w:r w:rsidRPr="00222413">
              <w:rPr>
                <w:lang w:eastAsia="ja-JP"/>
              </w:rPr>
              <w:t xml:space="preserve"> The Leapfrog Group, </w:t>
            </w:r>
            <w:r w:rsidR="0009495E">
              <w:rPr>
                <w:lang w:eastAsia="ja-JP"/>
              </w:rPr>
              <w:t xml:space="preserve">American Medical Association, </w:t>
            </w:r>
            <w:r w:rsidRPr="00222413">
              <w:rPr>
                <w:lang w:eastAsia="ja-JP"/>
              </w:rPr>
              <w:t>The Health Care Cost Institute</w:t>
            </w:r>
          </w:p>
        </w:tc>
      </w:tr>
      <w:tr w:rsidR="00222413" w:rsidRPr="00222413" w14:paraId="7B0AA1AF" w14:textId="77777777" w:rsidTr="00B44C1C">
        <w:trPr>
          <w:trHeight w:val="432"/>
        </w:trPr>
        <w:tc>
          <w:tcPr>
            <w:tcW w:w="9350" w:type="dxa"/>
            <w:vAlign w:val="center"/>
          </w:tcPr>
          <w:p w14:paraId="34B9EAF3" w14:textId="2EFB3027" w:rsidR="00222413" w:rsidRPr="00222413" w:rsidRDefault="00222413" w:rsidP="006606DD">
            <w:pPr>
              <w:rPr>
                <w:lang w:eastAsia="ja-JP"/>
              </w:rPr>
            </w:pPr>
            <w:r w:rsidRPr="00222413">
              <w:rPr>
                <w:b/>
                <w:lang w:eastAsia="ja-JP"/>
              </w:rPr>
              <w:t>Reporting Period:</w:t>
            </w:r>
            <w:r w:rsidRPr="00222413">
              <w:rPr>
                <w:lang w:eastAsia="ja-JP"/>
              </w:rPr>
              <w:t xml:space="preserve"> </w:t>
            </w:r>
            <w:r w:rsidRPr="00222413">
              <w:rPr>
                <w:b/>
                <w:lang w:eastAsia="ja-JP"/>
              </w:rPr>
              <w:t>12</w:t>
            </w:r>
            <w:r w:rsidR="00B75B1F">
              <w:rPr>
                <w:b/>
                <w:lang w:eastAsia="ja-JP"/>
              </w:rPr>
              <w:t xml:space="preserve"> months</w:t>
            </w:r>
          </w:p>
          <w:p w14:paraId="0BCE0E63" w14:textId="4DA72663" w:rsidR="00222413" w:rsidRPr="00222413" w:rsidRDefault="00614665" w:rsidP="00AD309C">
            <w:pPr>
              <w:numPr>
                <w:ilvl w:val="0"/>
                <w:numId w:val="29"/>
              </w:numPr>
              <w:rPr>
                <w:lang w:eastAsia="ja-JP"/>
              </w:rPr>
            </w:pPr>
            <w:r>
              <w:rPr>
                <w:lang w:eastAsia="ja-JP"/>
              </w:rPr>
              <w:t>01/01/202</w:t>
            </w:r>
            <w:r w:rsidR="00BC50C9">
              <w:rPr>
                <w:lang w:eastAsia="ja-JP"/>
              </w:rPr>
              <w:t>5</w:t>
            </w:r>
            <w:r>
              <w:rPr>
                <w:lang w:eastAsia="ja-JP"/>
              </w:rPr>
              <w:t xml:space="preserve"> </w:t>
            </w:r>
            <w:r w:rsidR="00FB07A6">
              <w:rPr>
                <w:lang w:eastAsia="ja-JP"/>
              </w:rPr>
              <w:t>–</w:t>
            </w:r>
            <w:r>
              <w:rPr>
                <w:lang w:eastAsia="ja-JP"/>
              </w:rPr>
              <w:t xml:space="preserve"> 12/31/202</w:t>
            </w:r>
            <w:r w:rsidR="00BC50C9">
              <w:rPr>
                <w:lang w:eastAsia="ja-JP"/>
              </w:rPr>
              <w:t>5</w:t>
            </w:r>
          </w:p>
        </w:tc>
      </w:tr>
      <w:tr w:rsidR="00222413" w:rsidRPr="00222413" w14:paraId="3433DC1A" w14:textId="77777777" w:rsidTr="006606DD">
        <w:tc>
          <w:tcPr>
            <w:tcW w:w="9350" w:type="dxa"/>
            <w:vAlign w:val="center"/>
          </w:tcPr>
          <w:p w14:paraId="61E9BFD7" w14:textId="1FB1A7FF" w:rsidR="00222413" w:rsidRPr="00222413" w:rsidRDefault="00222413" w:rsidP="006606DD">
            <w:pPr>
              <w:rPr>
                <w:lang w:eastAsia="ja-JP"/>
              </w:rPr>
            </w:pPr>
            <w:r w:rsidRPr="00222413">
              <w:rPr>
                <w:b/>
                <w:lang w:eastAsia="ja-JP"/>
              </w:rPr>
              <w:t>Questions #2-1</w:t>
            </w:r>
            <w:r w:rsidR="00620923">
              <w:rPr>
                <w:b/>
                <w:lang w:eastAsia="ja-JP"/>
              </w:rPr>
              <w:t>0</w:t>
            </w:r>
            <w:r w:rsidRPr="00222413">
              <w:rPr>
                <w:b/>
                <w:lang w:eastAsia="ja-JP"/>
              </w:rPr>
              <w:t xml:space="preserve">: </w:t>
            </w:r>
            <w:r w:rsidRPr="00222413">
              <w:rPr>
                <w:lang w:eastAsia="ja-JP"/>
              </w:rPr>
              <w:t xml:space="preserve">Respond “yes” or “no” based on </w:t>
            </w:r>
            <w:r w:rsidR="003079B7" w:rsidRPr="00222413">
              <w:rPr>
                <w:lang w:eastAsia="ja-JP"/>
              </w:rPr>
              <w:t>whether</w:t>
            </w:r>
            <w:r w:rsidRPr="00222413">
              <w:rPr>
                <w:lang w:eastAsia="ja-JP"/>
              </w:rPr>
              <w:t xml:space="preserve"> your </w:t>
            </w:r>
            <w:r w:rsidR="0009495E">
              <w:rPr>
                <w:lang w:eastAsia="ja-JP"/>
              </w:rPr>
              <w:t>hospital</w:t>
            </w:r>
            <w:r w:rsidR="001E54D9">
              <w:rPr>
                <w:lang w:eastAsia="ja-JP"/>
              </w:rPr>
              <w:t xml:space="preserve"> outpatient department</w:t>
            </w:r>
            <w:r w:rsidR="005A4897">
              <w:rPr>
                <w:lang w:eastAsia="ja-JP"/>
              </w:rPr>
              <w:t>(</w:t>
            </w:r>
            <w:r w:rsidR="001E54D9">
              <w:rPr>
                <w:lang w:eastAsia="ja-JP"/>
              </w:rPr>
              <w:t>s</w:t>
            </w:r>
            <w:r w:rsidR="005A4897">
              <w:rPr>
                <w:lang w:eastAsia="ja-JP"/>
              </w:rPr>
              <w:t>)</w:t>
            </w:r>
            <w:r w:rsidR="001E54D9">
              <w:rPr>
                <w:lang w:eastAsia="ja-JP"/>
              </w:rPr>
              <w:t xml:space="preserve"> </w:t>
            </w:r>
            <w:r w:rsidRPr="00222413">
              <w:rPr>
                <w:lang w:eastAsia="ja-JP"/>
              </w:rPr>
              <w:t xml:space="preserve">performed any of the procedures during the reporting period on adult and/or pediatric patients. The procedures fall within </w:t>
            </w:r>
            <w:r w:rsidR="00C274F7">
              <w:rPr>
                <w:lang w:eastAsia="ja-JP"/>
              </w:rPr>
              <w:t>nine</w:t>
            </w:r>
            <w:r w:rsidRPr="00222413">
              <w:rPr>
                <w:lang w:eastAsia="ja-JP"/>
              </w:rPr>
              <w:t xml:space="preserve"> specialty areas:</w:t>
            </w:r>
          </w:p>
          <w:p w14:paraId="5F719251" w14:textId="77777777" w:rsidR="00222413" w:rsidRPr="00045157" w:rsidRDefault="00222413" w:rsidP="006606DD">
            <w:pPr>
              <w:rPr>
                <w:sz w:val="16"/>
                <w:szCs w:val="16"/>
                <w:lang w:eastAsia="ja-JP"/>
              </w:rPr>
            </w:pPr>
          </w:p>
          <w:p w14:paraId="2EB8CD8C" w14:textId="59D32B43" w:rsidR="005E5021" w:rsidRPr="00CB7A99" w:rsidRDefault="005E5021" w:rsidP="00045157">
            <w:pPr>
              <w:pStyle w:val="ListParagraph"/>
              <w:ind w:left="0"/>
              <w:rPr>
                <w:rStyle w:val="Hyperlink"/>
                <w:rFonts w:cs="Arial"/>
              </w:rPr>
            </w:pPr>
            <w:r w:rsidRPr="00CB7A99">
              <w:rPr>
                <w:rFonts w:cs="Arial"/>
                <w:b/>
                <w:i/>
              </w:rPr>
              <w:t>Adult Procedures</w:t>
            </w:r>
            <w:r>
              <w:rPr>
                <w:rFonts w:cs="Arial"/>
                <w:u w:val="single"/>
              </w:rPr>
              <w:fldChar w:fldCharType="begin"/>
            </w:r>
            <w:r w:rsidR="003B14CE">
              <w:rPr>
                <w:rFonts w:cs="Arial"/>
                <w:u w:val="single"/>
              </w:rPr>
              <w:instrText>HYPERLINK  \l "_Ophthalmology_Measure_Specification"</w:instrText>
            </w:r>
            <w:r>
              <w:rPr>
                <w:rFonts w:cs="Arial"/>
                <w:u w:val="single"/>
              </w:rPr>
            </w:r>
            <w:r>
              <w:rPr>
                <w:rFonts w:cs="Arial"/>
                <w:u w:val="single"/>
              </w:rPr>
              <w:fldChar w:fldCharType="separate"/>
            </w:r>
          </w:p>
          <w:p w14:paraId="02B24DED" w14:textId="77777777" w:rsidR="005E5021" w:rsidRPr="00E60506" w:rsidRDefault="005E5021" w:rsidP="00AD309C">
            <w:pPr>
              <w:pStyle w:val="ListParagraph"/>
              <w:numPr>
                <w:ilvl w:val="0"/>
                <w:numId w:val="327"/>
              </w:numPr>
              <w:rPr>
                <w:rFonts w:cs="Arial"/>
              </w:rPr>
            </w:pPr>
            <w:r w:rsidRPr="00CB7A99">
              <w:rPr>
                <w:rStyle w:val="Hyperlink"/>
                <w:rFonts w:cs="Arial"/>
              </w:rPr>
              <w:t>Ophthalmology procedures:</w:t>
            </w:r>
            <w:r>
              <w:rPr>
                <w:rFonts w:cs="Arial"/>
                <w:u w:val="single"/>
              </w:rPr>
              <w:fldChar w:fldCharType="end"/>
            </w:r>
            <w:r>
              <w:rPr>
                <w:rFonts w:cs="Arial"/>
              </w:rPr>
              <w:t xml:space="preserve"> anterior segment eye procedures; posterior segment eye procedures; and o</w:t>
            </w:r>
            <w:r w:rsidRPr="00DD322F">
              <w:rPr>
                <w:rFonts w:cs="Arial"/>
              </w:rPr>
              <w:t xml:space="preserve">cular </w:t>
            </w:r>
            <w:r>
              <w:rPr>
                <w:rFonts w:cs="Arial"/>
              </w:rPr>
              <w:t>a</w:t>
            </w:r>
            <w:r w:rsidRPr="00DD322F">
              <w:rPr>
                <w:rFonts w:cs="Arial"/>
              </w:rPr>
              <w:t xml:space="preserve">dnexa and </w:t>
            </w:r>
            <w:r>
              <w:rPr>
                <w:rFonts w:cs="Arial"/>
              </w:rPr>
              <w:t>ot</w:t>
            </w:r>
            <w:r w:rsidRPr="00DD322F">
              <w:rPr>
                <w:rFonts w:cs="Arial"/>
              </w:rPr>
              <w:t xml:space="preserve">her </w:t>
            </w:r>
            <w:r>
              <w:rPr>
                <w:rFonts w:cs="Arial"/>
              </w:rPr>
              <w:t>e</w:t>
            </w:r>
            <w:r w:rsidRPr="00DD322F">
              <w:rPr>
                <w:rFonts w:cs="Arial"/>
              </w:rPr>
              <w:t xml:space="preserve">ye </w:t>
            </w:r>
            <w:r>
              <w:rPr>
                <w:rFonts w:cs="Arial"/>
              </w:rPr>
              <w:t>p</w:t>
            </w:r>
            <w:r w:rsidRPr="00DD322F">
              <w:rPr>
                <w:rFonts w:cs="Arial"/>
              </w:rPr>
              <w:t>rocedures</w:t>
            </w:r>
          </w:p>
          <w:p w14:paraId="0D643D51" w14:textId="152F98E9" w:rsidR="005E5021" w:rsidRPr="00E60506" w:rsidRDefault="005E5021" w:rsidP="00AD309C">
            <w:pPr>
              <w:pStyle w:val="ListParagraph"/>
              <w:numPr>
                <w:ilvl w:val="0"/>
                <w:numId w:val="327"/>
              </w:numPr>
              <w:rPr>
                <w:rFonts w:cs="Arial"/>
              </w:rPr>
            </w:pPr>
            <w:hyperlink w:anchor="_Orthopedic_Measure_Specifications" w:history="1">
              <w:r w:rsidRPr="00CB7A99">
                <w:rPr>
                  <w:rStyle w:val="Hyperlink"/>
                  <w:rFonts w:cs="Arial"/>
                </w:rPr>
                <w:t>Orthopedic procedures</w:t>
              </w:r>
            </w:hyperlink>
            <w:r w:rsidRPr="00CB7A99">
              <w:rPr>
                <w:rFonts w:cs="Arial"/>
                <w:u w:val="single"/>
              </w:rPr>
              <w:t>:</w:t>
            </w:r>
            <w:r>
              <w:rPr>
                <w:rFonts w:cs="Arial"/>
              </w:rPr>
              <w:t xml:space="preserve"> finger, hand, wrist, forearm, and elbow procedures; shoulder procedures; spine procedures; hip procedures; knee procedures; toe, foot, ankle, and leg procedures; and general orthopedic procedures</w:t>
            </w:r>
          </w:p>
          <w:p w14:paraId="5990F317" w14:textId="5E09E7E0" w:rsidR="005E5021" w:rsidRPr="00E60506" w:rsidRDefault="005E5021" w:rsidP="00AD309C">
            <w:pPr>
              <w:pStyle w:val="ListParagraph"/>
              <w:numPr>
                <w:ilvl w:val="0"/>
                <w:numId w:val="327"/>
              </w:numPr>
              <w:rPr>
                <w:rFonts w:cs="Arial"/>
              </w:rPr>
            </w:pPr>
            <w:hyperlink w:anchor="_Otolaryngology_Measure_Specificatio" w:history="1">
              <w:r w:rsidRPr="00CB7A99">
                <w:rPr>
                  <w:rStyle w:val="Hyperlink"/>
                  <w:rFonts w:cs="Arial"/>
                </w:rPr>
                <w:t>Otolaryngology procedures:</w:t>
              </w:r>
            </w:hyperlink>
            <w:r>
              <w:rPr>
                <w:rFonts w:cs="Arial"/>
              </w:rPr>
              <w:t xml:space="preserve"> ear procedures; mouth procedures; and nasal/sinus procedures </w:t>
            </w:r>
          </w:p>
          <w:p w14:paraId="28CA9FB6" w14:textId="3D117649" w:rsidR="005E5021" w:rsidRDefault="005E5021" w:rsidP="00AD309C">
            <w:pPr>
              <w:pStyle w:val="ListParagraph"/>
              <w:numPr>
                <w:ilvl w:val="0"/>
                <w:numId w:val="327"/>
              </w:numPr>
              <w:rPr>
                <w:rFonts w:cs="Arial"/>
              </w:rPr>
            </w:pPr>
            <w:hyperlink w:anchor="_Gastroenterology_Measure_Specificat" w:history="1">
              <w:r w:rsidRPr="00CB7A99">
                <w:rPr>
                  <w:rStyle w:val="Hyperlink"/>
                  <w:rFonts w:cs="Arial"/>
                </w:rPr>
                <w:t>Gastroenterology procedures:</w:t>
              </w:r>
            </w:hyperlink>
            <w:r>
              <w:rPr>
                <w:rFonts w:cs="Arial"/>
              </w:rPr>
              <w:t xml:space="preserve"> upper GI endoscopy; and lower GI endoscopy </w:t>
            </w:r>
          </w:p>
          <w:p w14:paraId="005DC13E" w14:textId="58D9E243" w:rsidR="005E5021" w:rsidRDefault="005E5021" w:rsidP="00AD309C">
            <w:pPr>
              <w:pStyle w:val="ListParagraph"/>
              <w:numPr>
                <w:ilvl w:val="0"/>
                <w:numId w:val="327"/>
              </w:numPr>
              <w:rPr>
                <w:rFonts w:cs="Arial"/>
              </w:rPr>
            </w:pPr>
            <w:hyperlink w:anchor="_General_Surgery_Measure" w:history="1">
              <w:r w:rsidRPr="00E60506">
                <w:rPr>
                  <w:rStyle w:val="Hyperlink"/>
                  <w:rFonts w:cs="Arial"/>
                </w:rPr>
                <w:t>General surgery procedures:</w:t>
              </w:r>
            </w:hyperlink>
            <w:r w:rsidRPr="00E60506">
              <w:rPr>
                <w:rFonts w:cs="Arial"/>
              </w:rPr>
              <w:t xml:space="preserve"> cholecystectomy and common duct exploration; hemorrhoid procedures; inguinal and femoral hernia repairs; other hernia repairs; laparoscopy; lumpectomy or quadrantectomy of breast; and mastectomy</w:t>
            </w:r>
          </w:p>
          <w:p w14:paraId="27CB1CE0" w14:textId="39C9F976" w:rsidR="005E5021" w:rsidRPr="00E60506" w:rsidRDefault="005E5021" w:rsidP="00AD309C">
            <w:pPr>
              <w:pStyle w:val="ListParagraph"/>
              <w:numPr>
                <w:ilvl w:val="0"/>
                <w:numId w:val="327"/>
              </w:numPr>
              <w:rPr>
                <w:rFonts w:cs="Arial"/>
              </w:rPr>
            </w:pPr>
            <w:hyperlink w:anchor="_Urology" w:history="1">
              <w:r w:rsidRPr="00CB7A99">
                <w:rPr>
                  <w:rStyle w:val="Hyperlink"/>
                  <w:rFonts w:cs="Arial"/>
                </w:rPr>
                <w:t>Urology procedures:</w:t>
              </w:r>
            </w:hyperlink>
            <w:r>
              <w:rPr>
                <w:rFonts w:cs="Arial"/>
              </w:rPr>
              <w:t xml:space="preserve"> circumcisions; cystourethroscopy; male genital procedures; urethra procedures; and vaginal repair procedures</w:t>
            </w:r>
          </w:p>
          <w:p w14:paraId="361F7D71" w14:textId="1473E489" w:rsidR="005E5021" w:rsidRPr="00E60506" w:rsidRDefault="005E5021" w:rsidP="00AD309C">
            <w:pPr>
              <w:pStyle w:val="ListParagraph"/>
              <w:numPr>
                <w:ilvl w:val="0"/>
                <w:numId w:val="327"/>
              </w:numPr>
              <w:rPr>
                <w:rFonts w:cs="Arial"/>
              </w:rPr>
            </w:pPr>
            <w:hyperlink w:anchor="_Neurological_Surgery_Measure" w:history="1">
              <w:r w:rsidRPr="00CB7A99">
                <w:rPr>
                  <w:rStyle w:val="Hyperlink"/>
                  <w:rFonts w:cs="Arial"/>
                </w:rPr>
                <w:t>Neurological surgery procedures:</w:t>
              </w:r>
            </w:hyperlink>
            <w:r>
              <w:rPr>
                <w:rFonts w:cs="Arial"/>
              </w:rPr>
              <w:t xml:space="preserve"> spinal fusion procedures</w:t>
            </w:r>
          </w:p>
          <w:p w14:paraId="711C2586" w14:textId="77777777" w:rsidR="005E5021" w:rsidRDefault="005E5021" w:rsidP="00AD309C">
            <w:pPr>
              <w:pStyle w:val="ListParagraph"/>
              <w:numPr>
                <w:ilvl w:val="0"/>
                <w:numId w:val="327"/>
              </w:numPr>
              <w:rPr>
                <w:rFonts w:cs="Arial"/>
              </w:rPr>
            </w:pPr>
            <w:hyperlink w:anchor="ObstetricsGynecology_MeasureSpecs" w:history="1">
              <w:r w:rsidRPr="00CB7A99">
                <w:rPr>
                  <w:rStyle w:val="Hyperlink"/>
                  <w:rFonts w:cs="Arial"/>
                </w:rPr>
                <w:t>Obstetrics and gynecology procedures:</w:t>
              </w:r>
            </w:hyperlink>
            <w:r>
              <w:rPr>
                <w:rFonts w:cs="Arial"/>
              </w:rPr>
              <w:t xml:space="preserve"> cervix procedures; hysteroscopy; and uterus and adnexa laparoscopies</w:t>
            </w:r>
          </w:p>
          <w:p w14:paraId="5FD87ED6" w14:textId="1DD565BA" w:rsidR="005E5021" w:rsidRDefault="005E5021" w:rsidP="00AD309C">
            <w:pPr>
              <w:pStyle w:val="ListParagraph"/>
              <w:numPr>
                <w:ilvl w:val="0"/>
                <w:numId w:val="327"/>
              </w:numPr>
              <w:rPr>
                <w:lang w:eastAsia="ja-JP"/>
              </w:rPr>
            </w:pPr>
            <w:hyperlink w:anchor="_Plastic_and_Reconstructive" w:history="1">
              <w:r w:rsidRPr="00CB7A99">
                <w:rPr>
                  <w:rStyle w:val="Hyperlink"/>
                  <w:rFonts w:cs="Arial"/>
                </w:rPr>
                <w:t>Plastic and reconstructive surgery procedures:</w:t>
              </w:r>
            </w:hyperlink>
            <w:r>
              <w:t xml:space="preserve"> breast repair or reconstructive procedures; and s</w:t>
            </w:r>
            <w:r>
              <w:rPr>
                <w:lang w:eastAsia="ja-JP"/>
              </w:rPr>
              <w:t xml:space="preserve">kin graft/reconstruction procedures </w:t>
            </w:r>
          </w:p>
          <w:p w14:paraId="0F86CD02" w14:textId="77777777" w:rsidR="005E5021" w:rsidRPr="00045157" w:rsidRDefault="005E5021" w:rsidP="005E5021">
            <w:pPr>
              <w:ind w:left="720"/>
              <w:rPr>
                <w:sz w:val="16"/>
                <w:szCs w:val="16"/>
                <w:lang w:eastAsia="ja-JP"/>
              </w:rPr>
            </w:pPr>
          </w:p>
          <w:p w14:paraId="07875FD9" w14:textId="06FC2BC1" w:rsidR="005E5021" w:rsidRDefault="005E5021" w:rsidP="005E5021">
            <w:r w:rsidRPr="00CB7A99">
              <w:rPr>
                <w:rFonts w:cs="Arial"/>
                <w:b/>
                <w:i/>
              </w:rPr>
              <w:t>Pediatric Procedures</w:t>
            </w:r>
          </w:p>
          <w:p w14:paraId="6F74C5B8" w14:textId="1EAC5402" w:rsidR="005E5021" w:rsidRDefault="005E5021" w:rsidP="00AD309C">
            <w:pPr>
              <w:pStyle w:val="ListParagraph"/>
              <w:numPr>
                <w:ilvl w:val="0"/>
                <w:numId w:val="328"/>
              </w:numPr>
              <w:rPr>
                <w:rFonts w:cs="Arial"/>
              </w:rPr>
            </w:pPr>
            <w:hyperlink w:anchor="_Ophthalmology_Measure_Specification" w:history="1">
              <w:r w:rsidRPr="00CB7A99">
                <w:rPr>
                  <w:rStyle w:val="Hyperlink"/>
                  <w:rFonts w:cs="Arial"/>
                </w:rPr>
                <w:t>Ophthalmology procedures:</w:t>
              </w:r>
            </w:hyperlink>
            <w:r>
              <w:rPr>
                <w:rFonts w:cs="Arial"/>
              </w:rPr>
              <w:t xml:space="preserve"> </w:t>
            </w:r>
            <w:r w:rsidRPr="00DD322F">
              <w:rPr>
                <w:rFonts w:cs="Arial"/>
              </w:rPr>
              <w:t>ocular adnexa and other eye procedures</w:t>
            </w:r>
          </w:p>
          <w:p w14:paraId="6DD22564" w14:textId="541F967C" w:rsidR="005E5021" w:rsidRDefault="005E5021" w:rsidP="00AD309C">
            <w:pPr>
              <w:pStyle w:val="ListParagraph"/>
              <w:numPr>
                <w:ilvl w:val="0"/>
                <w:numId w:val="328"/>
              </w:numPr>
              <w:rPr>
                <w:rFonts w:cs="Arial"/>
              </w:rPr>
            </w:pPr>
            <w:hyperlink w:anchor="_Orthopedic_Measure_Specifications" w:history="1">
              <w:r w:rsidRPr="00CB7A99">
                <w:rPr>
                  <w:rStyle w:val="Hyperlink"/>
                  <w:rFonts w:cs="Arial"/>
                </w:rPr>
                <w:t>Orthopedic procedures:</w:t>
              </w:r>
            </w:hyperlink>
            <w:r>
              <w:rPr>
                <w:rFonts w:cs="Arial"/>
              </w:rPr>
              <w:t xml:space="preserve"> finger, hand, wrist, forearm, and elbow procedures; shoulder procedures; knee procedures; toe, foot, ankle, and leg procedures; and general orthopedic procedures</w:t>
            </w:r>
          </w:p>
          <w:p w14:paraId="31F16FC8" w14:textId="5ADCF101" w:rsidR="005E5021" w:rsidRDefault="005E5021" w:rsidP="00AD309C">
            <w:pPr>
              <w:pStyle w:val="ListParagraph"/>
              <w:numPr>
                <w:ilvl w:val="0"/>
                <w:numId w:val="328"/>
              </w:numPr>
              <w:rPr>
                <w:rFonts w:cs="Arial"/>
              </w:rPr>
            </w:pPr>
            <w:hyperlink w:anchor="_Otolaryngology_Measure_Specificatio" w:history="1">
              <w:r w:rsidRPr="00CB7A99">
                <w:rPr>
                  <w:rStyle w:val="Hyperlink"/>
                  <w:rFonts w:cs="Arial"/>
                </w:rPr>
                <w:t>Otolaryngology procedures:</w:t>
              </w:r>
            </w:hyperlink>
            <w:r>
              <w:rPr>
                <w:rFonts w:cs="Arial"/>
              </w:rPr>
              <w:t xml:space="preserve"> ear procedures; mouth procedures; nasal/sinus procedures; pharynx/adenoid/tonsil procedures</w:t>
            </w:r>
          </w:p>
          <w:p w14:paraId="15D86DE2" w14:textId="77777777" w:rsidR="00222413" w:rsidRPr="00045157" w:rsidRDefault="00222413" w:rsidP="006606DD">
            <w:pPr>
              <w:rPr>
                <w:sz w:val="16"/>
                <w:szCs w:val="16"/>
                <w:lang w:eastAsia="ja-JP"/>
              </w:rPr>
            </w:pPr>
          </w:p>
          <w:p w14:paraId="2AFC2CE7" w14:textId="77777777" w:rsidR="00222413" w:rsidRPr="00222413" w:rsidRDefault="00222413" w:rsidP="006606DD">
            <w:pPr>
              <w:rPr>
                <w:lang w:eastAsia="ja-JP"/>
              </w:rPr>
            </w:pPr>
            <w:r w:rsidRPr="00222413">
              <w:rPr>
                <w:lang w:eastAsia="ja-JP"/>
              </w:rPr>
              <w:t>Respond “yes” if:</w:t>
            </w:r>
          </w:p>
          <w:p w14:paraId="27535D6E" w14:textId="43CF2A84" w:rsidR="00222413" w:rsidRPr="00222413" w:rsidRDefault="004336F5" w:rsidP="00AD309C">
            <w:pPr>
              <w:numPr>
                <w:ilvl w:val="0"/>
                <w:numId w:val="98"/>
              </w:numPr>
              <w:rPr>
                <w:lang w:eastAsia="ja-JP"/>
              </w:rPr>
            </w:pPr>
            <w:r>
              <w:rPr>
                <w:lang w:eastAsia="ja-JP"/>
              </w:rPr>
              <w:t>One or more of y</w:t>
            </w:r>
            <w:r w:rsidR="00222413" w:rsidRPr="00222413">
              <w:rPr>
                <w:lang w:eastAsia="ja-JP"/>
              </w:rPr>
              <w:t xml:space="preserve">our </w:t>
            </w:r>
            <w:r>
              <w:rPr>
                <w:lang w:eastAsia="ja-JP"/>
              </w:rPr>
              <w:t>hospital outpatient departments</w:t>
            </w:r>
            <w:r w:rsidR="00222413" w:rsidRPr="00222413">
              <w:rPr>
                <w:lang w:eastAsia="ja-JP"/>
              </w:rPr>
              <w:t xml:space="preserve"> performed the procedure </w:t>
            </w:r>
            <w:r w:rsidR="00892537">
              <w:rPr>
                <w:lang w:eastAsia="ja-JP"/>
              </w:rPr>
              <w:t xml:space="preserve">on an outpatient basis </w:t>
            </w:r>
            <w:r w:rsidR="00222413" w:rsidRPr="00222413">
              <w:rPr>
                <w:lang w:eastAsia="ja-JP"/>
              </w:rPr>
              <w:t>for the entire reporting period (12 months) and continue</w:t>
            </w:r>
            <w:r w:rsidR="00DE34A3">
              <w:rPr>
                <w:lang w:eastAsia="ja-JP"/>
              </w:rPr>
              <w:t>s</w:t>
            </w:r>
            <w:r w:rsidR="00222413" w:rsidRPr="00222413">
              <w:rPr>
                <w:lang w:eastAsia="ja-JP"/>
              </w:rPr>
              <w:t xml:space="preserve"> to do so</w:t>
            </w:r>
          </w:p>
          <w:p w14:paraId="443411B0" w14:textId="56E5AA9D" w:rsidR="00222413" w:rsidRPr="00222413" w:rsidRDefault="004336F5" w:rsidP="00AD309C">
            <w:pPr>
              <w:numPr>
                <w:ilvl w:val="0"/>
                <w:numId w:val="98"/>
              </w:numPr>
              <w:rPr>
                <w:lang w:eastAsia="ja-JP"/>
              </w:rPr>
            </w:pPr>
            <w:r>
              <w:rPr>
                <w:lang w:eastAsia="ja-JP"/>
              </w:rPr>
              <w:t>One or more of y</w:t>
            </w:r>
            <w:r w:rsidR="00222413" w:rsidRPr="00222413">
              <w:rPr>
                <w:lang w:eastAsia="ja-JP"/>
              </w:rPr>
              <w:t xml:space="preserve">our </w:t>
            </w:r>
            <w:r>
              <w:rPr>
                <w:lang w:eastAsia="ja-JP"/>
              </w:rPr>
              <w:t>hospital outpatient departments</w:t>
            </w:r>
            <w:r w:rsidR="00222413" w:rsidRPr="00222413">
              <w:rPr>
                <w:lang w:eastAsia="ja-JP"/>
              </w:rPr>
              <w:t xml:space="preserve"> performed the procedure </w:t>
            </w:r>
            <w:r w:rsidR="00892537">
              <w:rPr>
                <w:lang w:eastAsia="ja-JP"/>
              </w:rPr>
              <w:t xml:space="preserve">on an outpatient basis </w:t>
            </w:r>
            <w:r w:rsidR="00222413" w:rsidRPr="00222413">
              <w:rPr>
                <w:lang w:eastAsia="ja-JP"/>
              </w:rPr>
              <w:t xml:space="preserve">during part </w:t>
            </w:r>
            <w:r w:rsidR="00892537">
              <w:rPr>
                <w:lang w:eastAsia="ja-JP"/>
              </w:rPr>
              <w:t xml:space="preserve">of </w:t>
            </w:r>
            <w:r w:rsidR="00222413" w:rsidRPr="00222413">
              <w:rPr>
                <w:lang w:eastAsia="ja-JP"/>
              </w:rPr>
              <w:t xml:space="preserve">the reporting period </w:t>
            </w:r>
            <w:r w:rsidR="00892537">
              <w:rPr>
                <w:lang w:eastAsia="ja-JP"/>
              </w:rPr>
              <w:t>(</w:t>
            </w:r>
            <w:r w:rsidR="00222413" w:rsidRPr="00222413">
              <w:rPr>
                <w:lang w:eastAsia="ja-JP"/>
              </w:rPr>
              <w:t>less than 12 months) and continue</w:t>
            </w:r>
            <w:r w:rsidR="00DE34A3">
              <w:rPr>
                <w:lang w:eastAsia="ja-JP"/>
              </w:rPr>
              <w:t>s</w:t>
            </w:r>
            <w:r w:rsidR="00222413" w:rsidRPr="00222413">
              <w:rPr>
                <w:lang w:eastAsia="ja-JP"/>
              </w:rPr>
              <w:t xml:space="preserve"> to perform the procedure </w:t>
            </w:r>
          </w:p>
          <w:p w14:paraId="1C9766C7" w14:textId="77777777" w:rsidR="00222413" w:rsidRPr="00045157" w:rsidRDefault="00222413" w:rsidP="006606DD">
            <w:pPr>
              <w:rPr>
                <w:sz w:val="16"/>
                <w:szCs w:val="16"/>
                <w:lang w:eastAsia="ja-JP"/>
              </w:rPr>
            </w:pPr>
          </w:p>
          <w:p w14:paraId="210E2A1F" w14:textId="3450953D" w:rsidR="00222413" w:rsidRPr="00222413" w:rsidRDefault="00222413" w:rsidP="00B44C1C">
            <w:pPr>
              <w:rPr>
                <w:lang w:eastAsia="ja-JP"/>
              </w:rPr>
            </w:pPr>
            <w:r w:rsidRPr="00222413">
              <w:rPr>
                <w:lang w:eastAsia="ja-JP"/>
              </w:rPr>
              <w:t>Respond “yes, but no longer perform these procedures” if</w:t>
            </w:r>
            <w:r w:rsidR="004B148E">
              <w:rPr>
                <w:lang w:eastAsia="ja-JP"/>
              </w:rPr>
              <w:t xml:space="preserve"> y</w:t>
            </w:r>
            <w:r w:rsidRPr="00222413">
              <w:rPr>
                <w:lang w:eastAsia="ja-JP"/>
              </w:rPr>
              <w:t xml:space="preserve">our </w:t>
            </w:r>
            <w:r w:rsidR="004A07B4">
              <w:rPr>
                <w:lang w:eastAsia="ja-JP"/>
              </w:rPr>
              <w:t>hospital outpatient departments</w:t>
            </w:r>
            <w:r w:rsidRPr="00222413">
              <w:rPr>
                <w:lang w:eastAsia="ja-JP"/>
              </w:rPr>
              <w:t xml:space="preserve"> performed the procedure for all or some of the reporting period, but NO longer perform</w:t>
            </w:r>
            <w:r w:rsidR="005A4897">
              <w:rPr>
                <w:lang w:eastAsia="ja-JP"/>
              </w:rPr>
              <w:t>s</w:t>
            </w:r>
            <w:r w:rsidRPr="00222413">
              <w:rPr>
                <w:lang w:eastAsia="ja-JP"/>
              </w:rPr>
              <w:t xml:space="preserve"> the procedure</w:t>
            </w:r>
          </w:p>
          <w:p w14:paraId="3772B590" w14:textId="77777777" w:rsidR="00222413" w:rsidRPr="00045157" w:rsidRDefault="00222413" w:rsidP="006606DD">
            <w:pPr>
              <w:rPr>
                <w:sz w:val="16"/>
                <w:szCs w:val="16"/>
                <w:lang w:eastAsia="ja-JP"/>
              </w:rPr>
            </w:pPr>
          </w:p>
          <w:p w14:paraId="76CD11E1" w14:textId="6F2721DB" w:rsidR="00222413" w:rsidRPr="00222413" w:rsidRDefault="00222413" w:rsidP="00B44C1C">
            <w:pPr>
              <w:rPr>
                <w:lang w:eastAsia="ja-JP"/>
              </w:rPr>
            </w:pPr>
            <w:r w:rsidRPr="00222413">
              <w:rPr>
                <w:lang w:eastAsia="ja-JP"/>
              </w:rPr>
              <w:t>Respond “no” if</w:t>
            </w:r>
            <w:r w:rsidR="005E5021">
              <w:rPr>
                <w:lang w:eastAsia="ja-JP"/>
              </w:rPr>
              <w:t xml:space="preserve"> y</w:t>
            </w:r>
            <w:r w:rsidRPr="00222413">
              <w:rPr>
                <w:lang w:eastAsia="ja-JP"/>
              </w:rPr>
              <w:t xml:space="preserve">our </w:t>
            </w:r>
            <w:r w:rsidR="004A07B4">
              <w:rPr>
                <w:lang w:eastAsia="ja-JP"/>
              </w:rPr>
              <w:t>hospital outpatient departments</w:t>
            </w:r>
            <w:r w:rsidR="009A0BCC">
              <w:rPr>
                <w:lang w:eastAsia="ja-JP"/>
              </w:rPr>
              <w:t xml:space="preserve"> do not perform the procedure</w:t>
            </w:r>
            <w:r w:rsidR="005E5021">
              <w:rPr>
                <w:lang w:eastAsia="ja-JP"/>
              </w:rPr>
              <w:t>.</w:t>
            </w:r>
          </w:p>
        </w:tc>
      </w:tr>
      <w:tr w:rsidR="00222413" w:rsidRPr="00222413" w14:paraId="506B0F94" w14:textId="77777777" w:rsidTr="006606DD">
        <w:tc>
          <w:tcPr>
            <w:tcW w:w="9350" w:type="dxa"/>
            <w:vAlign w:val="center"/>
          </w:tcPr>
          <w:p w14:paraId="448F928F" w14:textId="3E31C71A" w:rsidR="00222413" w:rsidRPr="00222413" w:rsidRDefault="00222413" w:rsidP="006606DD">
            <w:pPr>
              <w:rPr>
                <w:lang w:eastAsia="ja-JP"/>
              </w:rPr>
            </w:pPr>
            <w:r w:rsidRPr="00222413">
              <w:rPr>
                <w:b/>
                <w:lang w:eastAsia="ja-JP"/>
              </w:rPr>
              <w:lastRenderedPageBreak/>
              <w:t>Questions #1</w:t>
            </w:r>
            <w:r w:rsidR="00620923">
              <w:rPr>
                <w:b/>
                <w:lang w:eastAsia="ja-JP"/>
              </w:rPr>
              <w:t>1-37</w:t>
            </w:r>
            <w:r w:rsidRPr="00222413">
              <w:rPr>
                <w:lang w:eastAsia="ja-JP"/>
              </w:rPr>
              <w:t>: Based on your responses to questions #2-1</w:t>
            </w:r>
            <w:r w:rsidR="003968AC">
              <w:rPr>
                <w:lang w:eastAsia="ja-JP"/>
              </w:rPr>
              <w:t>0</w:t>
            </w:r>
            <w:r w:rsidRPr="00222413">
              <w:rPr>
                <w:lang w:eastAsia="ja-JP"/>
              </w:rPr>
              <w:t>, report on the total (a) adult and/or (b) pediatric volume for each procedure (from questions #2-1</w:t>
            </w:r>
            <w:r w:rsidR="003968AC">
              <w:rPr>
                <w:lang w:eastAsia="ja-JP"/>
              </w:rPr>
              <w:t>0</w:t>
            </w:r>
            <w:r w:rsidRPr="00222413">
              <w:rPr>
                <w:lang w:eastAsia="ja-JP"/>
              </w:rPr>
              <w:t>) during the reporting period:</w:t>
            </w:r>
          </w:p>
          <w:p w14:paraId="52F64BDE" w14:textId="77777777" w:rsidR="00222413" w:rsidRPr="00045157" w:rsidRDefault="00222413" w:rsidP="006606DD">
            <w:pPr>
              <w:rPr>
                <w:i/>
                <w:sz w:val="16"/>
                <w:szCs w:val="16"/>
                <w:lang w:eastAsia="ja-JP"/>
              </w:rPr>
            </w:pPr>
          </w:p>
          <w:p w14:paraId="5AE596C8" w14:textId="6916AB06" w:rsidR="005E5021" w:rsidRPr="00CB7A99" w:rsidRDefault="005E5021" w:rsidP="00B44C1C">
            <w:pPr>
              <w:pStyle w:val="ListParagraph"/>
              <w:ind w:left="0"/>
              <w:rPr>
                <w:rStyle w:val="Hyperlink"/>
                <w:rFonts w:cs="Arial"/>
              </w:rPr>
            </w:pPr>
            <w:r w:rsidRPr="00CB7A99">
              <w:rPr>
                <w:rFonts w:cs="Arial"/>
                <w:b/>
                <w:i/>
              </w:rPr>
              <w:t>Adult Procedures</w:t>
            </w:r>
            <w:r>
              <w:rPr>
                <w:rFonts w:cs="Arial"/>
                <w:u w:val="single"/>
              </w:rPr>
              <w:fldChar w:fldCharType="begin"/>
            </w:r>
            <w:r w:rsidR="003B14CE">
              <w:rPr>
                <w:rFonts w:cs="Arial"/>
                <w:u w:val="single"/>
              </w:rPr>
              <w:instrText>HYPERLINK  \l "_Ophthalmology_Measure_Specification"</w:instrText>
            </w:r>
            <w:r>
              <w:rPr>
                <w:rFonts w:cs="Arial"/>
                <w:u w:val="single"/>
              </w:rPr>
            </w:r>
            <w:r>
              <w:rPr>
                <w:rFonts w:cs="Arial"/>
                <w:u w:val="single"/>
              </w:rPr>
              <w:fldChar w:fldCharType="separate"/>
            </w:r>
          </w:p>
          <w:p w14:paraId="34D66F84" w14:textId="77777777" w:rsidR="005E5021" w:rsidRPr="00E60506" w:rsidRDefault="005E5021" w:rsidP="00AD309C">
            <w:pPr>
              <w:pStyle w:val="ListParagraph"/>
              <w:numPr>
                <w:ilvl w:val="0"/>
                <w:numId w:val="329"/>
              </w:numPr>
              <w:rPr>
                <w:rFonts w:cs="Arial"/>
              </w:rPr>
            </w:pPr>
            <w:r w:rsidRPr="00CB7A99">
              <w:rPr>
                <w:rStyle w:val="Hyperlink"/>
                <w:rFonts w:cs="Arial"/>
              </w:rPr>
              <w:t>Ophthalmology procedures:</w:t>
            </w:r>
            <w:r>
              <w:rPr>
                <w:rFonts w:cs="Arial"/>
                <w:u w:val="single"/>
              </w:rPr>
              <w:fldChar w:fldCharType="end"/>
            </w:r>
            <w:r>
              <w:rPr>
                <w:rFonts w:cs="Arial"/>
              </w:rPr>
              <w:t xml:space="preserve"> anterior segment eye procedures; posterior segment eye procedures; and o</w:t>
            </w:r>
            <w:r w:rsidRPr="00DD322F">
              <w:rPr>
                <w:rFonts w:cs="Arial"/>
              </w:rPr>
              <w:t xml:space="preserve">cular </w:t>
            </w:r>
            <w:r>
              <w:rPr>
                <w:rFonts w:cs="Arial"/>
              </w:rPr>
              <w:t>a</w:t>
            </w:r>
            <w:r w:rsidRPr="00DD322F">
              <w:rPr>
                <w:rFonts w:cs="Arial"/>
              </w:rPr>
              <w:t xml:space="preserve">dnexa and </w:t>
            </w:r>
            <w:r>
              <w:rPr>
                <w:rFonts w:cs="Arial"/>
              </w:rPr>
              <w:t>ot</w:t>
            </w:r>
            <w:r w:rsidRPr="00DD322F">
              <w:rPr>
                <w:rFonts w:cs="Arial"/>
              </w:rPr>
              <w:t xml:space="preserve">her </w:t>
            </w:r>
            <w:r>
              <w:rPr>
                <w:rFonts w:cs="Arial"/>
              </w:rPr>
              <w:t>e</w:t>
            </w:r>
            <w:r w:rsidRPr="00DD322F">
              <w:rPr>
                <w:rFonts w:cs="Arial"/>
              </w:rPr>
              <w:t xml:space="preserve">ye </w:t>
            </w:r>
            <w:r>
              <w:rPr>
                <w:rFonts w:cs="Arial"/>
              </w:rPr>
              <w:t>p</w:t>
            </w:r>
            <w:r w:rsidRPr="00DD322F">
              <w:rPr>
                <w:rFonts w:cs="Arial"/>
              </w:rPr>
              <w:t>rocedures</w:t>
            </w:r>
          </w:p>
          <w:p w14:paraId="2180F445" w14:textId="25ABE218" w:rsidR="005E5021" w:rsidRPr="00E60506" w:rsidRDefault="005E5021" w:rsidP="00AD309C">
            <w:pPr>
              <w:pStyle w:val="ListParagraph"/>
              <w:numPr>
                <w:ilvl w:val="0"/>
                <w:numId w:val="329"/>
              </w:numPr>
              <w:rPr>
                <w:rFonts w:cs="Arial"/>
              </w:rPr>
            </w:pPr>
            <w:hyperlink w:anchor="_Orthopedic_Measure_Specifications" w:history="1">
              <w:r w:rsidRPr="00CB7A99">
                <w:rPr>
                  <w:rStyle w:val="Hyperlink"/>
                  <w:rFonts w:cs="Arial"/>
                </w:rPr>
                <w:t>Orthopedic procedures</w:t>
              </w:r>
            </w:hyperlink>
            <w:r w:rsidRPr="00CB7A99">
              <w:rPr>
                <w:rFonts w:cs="Arial"/>
                <w:u w:val="single"/>
              </w:rPr>
              <w:t>:</w:t>
            </w:r>
            <w:r>
              <w:rPr>
                <w:rFonts w:cs="Arial"/>
              </w:rPr>
              <w:t xml:space="preserve"> finger, hand, wrist, forearm, and elbow procedures; shoulder procedures; spine procedures; hip procedures; knee procedures; toe, foot, ankle, and leg procedures; and general orthopedic procedures</w:t>
            </w:r>
          </w:p>
          <w:p w14:paraId="6B27C252" w14:textId="4E0D6F2F" w:rsidR="005E5021" w:rsidRPr="00E60506" w:rsidRDefault="005E5021" w:rsidP="00AD309C">
            <w:pPr>
              <w:pStyle w:val="ListParagraph"/>
              <w:numPr>
                <w:ilvl w:val="0"/>
                <w:numId w:val="329"/>
              </w:numPr>
              <w:rPr>
                <w:rFonts w:cs="Arial"/>
              </w:rPr>
            </w:pPr>
            <w:hyperlink w:anchor="_Otolaryngology_Measure_Specificatio" w:history="1">
              <w:r w:rsidRPr="00CB7A99">
                <w:rPr>
                  <w:rStyle w:val="Hyperlink"/>
                  <w:rFonts w:cs="Arial"/>
                </w:rPr>
                <w:t>Otolaryngology procedures:</w:t>
              </w:r>
            </w:hyperlink>
            <w:r>
              <w:rPr>
                <w:rFonts w:cs="Arial"/>
              </w:rPr>
              <w:t xml:space="preserve"> ear procedures; mouth procedures; and nasal/sinus procedures </w:t>
            </w:r>
          </w:p>
          <w:p w14:paraId="6F56BA06" w14:textId="746F4E50" w:rsidR="005E5021" w:rsidRDefault="005E5021" w:rsidP="00AD309C">
            <w:pPr>
              <w:pStyle w:val="ListParagraph"/>
              <w:numPr>
                <w:ilvl w:val="0"/>
                <w:numId w:val="329"/>
              </w:numPr>
              <w:rPr>
                <w:rFonts w:cs="Arial"/>
              </w:rPr>
            </w:pPr>
            <w:hyperlink w:anchor="_Gastroenterology_Measure_Specificat" w:history="1">
              <w:r w:rsidRPr="00CB7A99">
                <w:rPr>
                  <w:rStyle w:val="Hyperlink"/>
                  <w:rFonts w:cs="Arial"/>
                </w:rPr>
                <w:t>Gastroenterology procedures:</w:t>
              </w:r>
            </w:hyperlink>
            <w:r>
              <w:rPr>
                <w:rFonts w:cs="Arial"/>
              </w:rPr>
              <w:t xml:space="preserve"> upper GI endoscopy; and lower GI endoscopy </w:t>
            </w:r>
          </w:p>
          <w:p w14:paraId="6D2B6A4B" w14:textId="6D1C5702" w:rsidR="005E5021" w:rsidRDefault="005E5021" w:rsidP="00AD309C">
            <w:pPr>
              <w:pStyle w:val="ListParagraph"/>
              <w:numPr>
                <w:ilvl w:val="0"/>
                <w:numId w:val="329"/>
              </w:numPr>
              <w:rPr>
                <w:rFonts w:cs="Arial"/>
              </w:rPr>
            </w:pPr>
            <w:hyperlink w:anchor="_General_Surgery_Measure" w:history="1">
              <w:r w:rsidRPr="00E60506">
                <w:rPr>
                  <w:rStyle w:val="Hyperlink"/>
                  <w:rFonts w:cs="Arial"/>
                </w:rPr>
                <w:t>General surgery procedures:</w:t>
              </w:r>
            </w:hyperlink>
            <w:r w:rsidRPr="00E60506">
              <w:rPr>
                <w:rFonts w:cs="Arial"/>
              </w:rPr>
              <w:t xml:space="preserve"> cholecystectomy and common duct exploration; hemorrhoid procedures; inguinal and femoral hernia repairs; other hernia repairs; laparoscopy; lumpectomy or quadrantectomy of breast; and mastectomy</w:t>
            </w:r>
          </w:p>
          <w:p w14:paraId="3599B1AA" w14:textId="7342E2FB" w:rsidR="005E5021" w:rsidRPr="00E60506" w:rsidRDefault="005E5021" w:rsidP="00AD309C">
            <w:pPr>
              <w:pStyle w:val="ListParagraph"/>
              <w:numPr>
                <w:ilvl w:val="0"/>
                <w:numId w:val="329"/>
              </w:numPr>
              <w:rPr>
                <w:rFonts w:cs="Arial"/>
              </w:rPr>
            </w:pPr>
            <w:hyperlink w:anchor="_Urology_Measure_Specifications" w:history="1">
              <w:r w:rsidRPr="00CB7A99">
                <w:rPr>
                  <w:rStyle w:val="Hyperlink"/>
                  <w:rFonts w:cs="Arial"/>
                </w:rPr>
                <w:t>Urology procedures:</w:t>
              </w:r>
            </w:hyperlink>
            <w:r>
              <w:rPr>
                <w:rFonts w:cs="Arial"/>
              </w:rPr>
              <w:t xml:space="preserve"> circumcisions; cystourethroscopy; male genital procedures; urethra procedures; and vaginal repair procedures</w:t>
            </w:r>
          </w:p>
          <w:p w14:paraId="64418851" w14:textId="680AAFBE" w:rsidR="005E5021" w:rsidRPr="00E60506" w:rsidRDefault="005E5021" w:rsidP="00AD309C">
            <w:pPr>
              <w:pStyle w:val="ListParagraph"/>
              <w:numPr>
                <w:ilvl w:val="0"/>
                <w:numId w:val="329"/>
              </w:numPr>
              <w:rPr>
                <w:rFonts w:cs="Arial"/>
              </w:rPr>
            </w:pPr>
            <w:hyperlink w:anchor="_Neurological_Surgery_Measure" w:history="1">
              <w:r w:rsidRPr="00CB7A99">
                <w:rPr>
                  <w:rStyle w:val="Hyperlink"/>
                  <w:rFonts w:cs="Arial"/>
                </w:rPr>
                <w:t>Neurological surgery procedures:</w:t>
              </w:r>
            </w:hyperlink>
            <w:r>
              <w:rPr>
                <w:rFonts w:cs="Arial"/>
              </w:rPr>
              <w:t xml:space="preserve"> spinal fusion procedures</w:t>
            </w:r>
          </w:p>
          <w:p w14:paraId="41178928" w14:textId="41744FA1" w:rsidR="005E5021" w:rsidRDefault="005E5021" w:rsidP="00AD309C">
            <w:pPr>
              <w:pStyle w:val="ListParagraph"/>
              <w:numPr>
                <w:ilvl w:val="0"/>
                <w:numId w:val="329"/>
              </w:numPr>
              <w:rPr>
                <w:rFonts w:cs="Arial"/>
              </w:rPr>
            </w:pPr>
            <w:hyperlink w:anchor="_Obstetrics_and_Gynecology" w:history="1">
              <w:r w:rsidRPr="00CB7A99">
                <w:rPr>
                  <w:rStyle w:val="Hyperlink"/>
                  <w:rFonts w:cs="Arial"/>
                </w:rPr>
                <w:t>Obstetrics and gynecology procedures:</w:t>
              </w:r>
            </w:hyperlink>
            <w:r>
              <w:rPr>
                <w:rFonts w:cs="Arial"/>
              </w:rPr>
              <w:t xml:space="preserve"> cervix procedures; hysteroscopy; and uterus and adnexa laparoscopies</w:t>
            </w:r>
          </w:p>
          <w:p w14:paraId="3EF5956E" w14:textId="261F9DBE" w:rsidR="005E5021" w:rsidRDefault="005E5021" w:rsidP="00AD309C">
            <w:pPr>
              <w:pStyle w:val="ListParagraph"/>
              <w:numPr>
                <w:ilvl w:val="0"/>
                <w:numId w:val="329"/>
              </w:numPr>
              <w:rPr>
                <w:lang w:eastAsia="ja-JP"/>
              </w:rPr>
            </w:pPr>
            <w:hyperlink w:anchor="_Plastic_and_Reconstructive" w:history="1">
              <w:r w:rsidRPr="00CB7A99">
                <w:rPr>
                  <w:rStyle w:val="Hyperlink"/>
                  <w:rFonts w:cs="Arial"/>
                </w:rPr>
                <w:t>Plastic and reconstructive surgery procedures:</w:t>
              </w:r>
            </w:hyperlink>
            <w:r>
              <w:t xml:space="preserve"> breast repair or reconstructive procedures; and s</w:t>
            </w:r>
            <w:r>
              <w:rPr>
                <w:lang w:eastAsia="ja-JP"/>
              </w:rPr>
              <w:t xml:space="preserve">kin graft/reconstruction procedures </w:t>
            </w:r>
          </w:p>
          <w:p w14:paraId="6E7264E4" w14:textId="77777777" w:rsidR="005E5021" w:rsidRPr="00045157" w:rsidRDefault="005E5021" w:rsidP="005E5021">
            <w:pPr>
              <w:ind w:left="720"/>
              <w:rPr>
                <w:sz w:val="16"/>
                <w:szCs w:val="16"/>
                <w:lang w:eastAsia="ja-JP"/>
              </w:rPr>
            </w:pPr>
          </w:p>
          <w:p w14:paraId="3F9F510A" w14:textId="03390C22" w:rsidR="005E5021" w:rsidRDefault="005E5021" w:rsidP="005E5021">
            <w:r w:rsidRPr="00CB7A99">
              <w:rPr>
                <w:rFonts w:cs="Arial"/>
                <w:b/>
                <w:i/>
              </w:rPr>
              <w:t>Pediatric Procedures</w:t>
            </w:r>
          </w:p>
          <w:p w14:paraId="5DF4B503" w14:textId="25F35C17" w:rsidR="005E5021" w:rsidRDefault="005E5021" w:rsidP="00AD309C">
            <w:pPr>
              <w:pStyle w:val="ListParagraph"/>
              <w:numPr>
                <w:ilvl w:val="0"/>
                <w:numId w:val="330"/>
              </w:numPr>
              <w:rPr>
                <w:rFonts w:cs="Arial"/>
              </w:rPr>
            </w:pPr>
            <w:hyperlink w:anchor="_Ophthalmology_Measure_Specification" w:history="1">
              <w:r w:rsidRPr="00CB7A99">
                <w:rPr>
                  <w:rStyle w:val="Hyperlink"/>
                  <w:rFonts w:cs="Arial"/>
                </w:rPr>
                <w:t>Ophthalmology procedures:</w:t>
              </w:r>
            </w:hyperlink>
            <w:r>
              <w:rPr>
                <w:rFonts w:cs="Arial"/>
              </w:rPr>
              <w:t xml:space="preserve"> </w:t>
            </w:r>
            <w:r w:rsidRPr="00DD322F">
              <w:rPr>
                <w:rFonts w:cs="Arial"/>
              </w:rPr>
              <w:t>ocular adnexa and other eye procedures</w:t>
            </w:r>
          </w:p>
          <w:p w14:paraId="0FD11FC4" w14:textId="04209E93" w:rsidR="005E5021" w:rsidRDefault="005E5021" w:rsidP="00AD309C">
            <w:pPr>
              <w:pStyle w:val="ListParagraph"/>
              <w:numPr>
                <w:ilvl w:val="0"/>
                <w:numId w:val="330"/>
              </w:numPr>
              <w:rPr>
                <w:rFonts w:cs="Arial"/>
              </w:rPr>
            </w:pPr>
            <w:hyperlink w:anchor="_Orthopedic_Measure_Specifications" w:history="1">
              <w:r w:rsidRPr="00CB7A99">
                <w:rPr>
                  <w:rStyle w:val="Hyperlink"/>
                  <w:rFonts w:cs="Arial"/>
                </w:rPr>
                <w:t>Orthopedic procedures:</w:t>
              </w:r>
            </w:hyperlink>
            <w:r>
              <w:rPr>
                <w:rFonts w:cs="Arial"/>
              </w:rPr>
              <w:t xml:space="preserve"> finger, hand, wrist, forearm, and elbow procedures; shoulder procedures; knee procedures; toe, foot, ankle, and leg procedures; and general orthopedic procedures</w:t>
            </w:r>
          </w:p>
          <w:p w14:paraId="64BC565A" w14:textId="72701410" w:rsidR="005E5021" w:rsidRDefault="005E5021" w:rsidP="00AD309C">
            <w:pPr>
              <w:pStyle w:val="ListParagraph"/>
              <w:numPr>
                <w:ilvl w:val="0"/>
                <w:numId w:val="330"/>
              </w:numPr>
              <w:rPr>
                <w:rFonts w:cs="Arial"/>
              </w:rPr>
            </w:pPr>
            <w:hyperlink w:anchor="_Otolaryngology_Measure_Specificatio" w:history="1">
              <w:r w:rsidRPr="00CB7A99">
                <w:rPr>
                  <w:rStyle w:val="Hyperlink"/>
                  <w:rFonts w:cs="Arial"/>
                </w:rPr>
                <w:t>Otolaryngology procedures:</w:t>
              </w:r>
            </w:hyperlink>
            <w:r>
              <w:rPr>
                <w:rFonts w:cs="Arial"/>
              </w:rPr>
              <w:t xml:space="preserve"> ear procedures; mouth procedures; nasal/sinus procedures; pharynx/adenoid/tonsil procedures</w:t>
            </w:r>
          </w:p>
          <w:p w14:paraId="020AAD82" w14:textId="77777777" w:rsidR="00222413" w:rsidRPr="00045157" w:rsidRDefault="00222413" w:rsidP="006606DD">
            <w:pPr>
              <w:rPr>
                <w:sz w:val="16"/>
                <w:szCs w:val="16"/>
                <w:lang w:eastAsia="ja-JP"/>
              </w:rPr>
            </w:pPr>
          </w:p>
          <w:p w14:paraId="49A80E82" w14:textId="255A8950" w:rsidR="00222413" w:rsidRPr="00222413" w:rsidRDefault="00222413" w:rsidP="00B44C1C">
            <w:pPr>
              <w:rPr>
                <w:lang w:eastAsia="ja-JP"/>
              </w:rPr>
            </w:pPr>
            <w:r w:rsidRPr="00222413">
              <w:rPr>
                <w:lang w:eastAsia="ja-JP"/>
              </w:rPr>
              <w:t xml:space="preserve">When calculating total </w:t>
            </w:r>
            <w:r w:rsidR="00AE0738" w:rsidRPr="00AE0738">
              <w:rPr>
                <w:b/>
                <w:bCs/>
                <w:lang w:eastAsia="ja-JP"/>
              </w:rPr>
              <w:t>hospital outpatient department</w:t>
            </w:r>
            <w:r w:rsidRPr="00222413">
              <w:rPr>
                <w:b/>
                <w:lang w:eastAsia="ja-JP"/>
              </w:rPr>
              <w:t xml:space="preserve"> volume for (a) adult and/or (b) pediatric patients</w:t>
            </w:r>
            <w:r w:rsidR="006E0696">
              <w:rPr>
                <w:lang w:eastAsia="ja-JP"/>
              </w:rPr>
              <w:t xml:space="preserve"> c</w:t>
            </w:r>
            <w:r w:rsidRPr="00222413">
              <w:rPr>
                <w:lang w:eastAsia="ja-JP"/>
              </w:rPr>
              <w:t xml:space="preserve">ount the number of </w:t>
            </w:r>
            <w:r w:rsidRPr="00222413">
              <w:rPr>
                <w:b/>
                <w:lang w:eastAsia="ja-JP"/>
              </w:rPr>
              <w:t>patients</w:t>
            </w:r>
            <w:r w:rsidRPr="00222413">
              <w:rPr>
                <w:lang w:eastAsia="ja-JP"/>
              </w:rPr>
              <w:t xml:space="preserve"> discharged from your </w:t>
            </w:r>
            <w:r w:rsidR="00AE0738">
              <w:rPr>
                <w:lang w:eastAsia="ja-JP"/>
              </w:rPr>
              <w:t>hospital outpatient department</w:t>
            </w:r>
            <w:r w:rsidR="005A4897">
              <w:rPr>
                <w:lang w:eastAsia="ja-JP"/>
              </w:rPr>
              <w:t>(</w:t>
            </w:r>
            <w:r w:rsidR="00AE0738">
              <w:rPr>
                <w:lang w:eastAsia="ja-JP"/>
              </w:rPr>
              <w:t>s</w:t>
            </w:r>
            <w:r w:rsidR="005A4897">
              <w:rPr>
                <w:lang w:eastAsia="ja-JP"/>
              </w:rPr>
              <w:t>)</w:t>
            </w:r>
            <w:r w:rsidRPr="00222413">
              <w:rPr>
                <w:lang w:eastAsia="ja-JP"/>
              </w:rPr>
              <w:t xml:space="preserve"> within the reporting period with any one or more of the</w:t>
            </w:r>
            <w:r w:rsidR="00892537">
              <w:rPr>
                <w:lang w:eastAsia="ja-JP"/>
              </w:rPr>
              <w:t xml:space="preserve"> </w:t>
            </w:r>
            <w:r w:rsidRPr="00222413">
              <w:rPr>
                <w:lang w:eastAsia="ja-JP"/>
              </w:rPr>
              <w:t>codes specified for each procedure, subject to the criteria below:</w:t>
            </w:r>
          </w:p>
          <w:p w14:paraId="0F3B0D4C" w14:textId="77777777" w:rsidR="00542915" w:rsidRDefault="00F9120A" w:rsidP="00AD309C">
            <w:pPr>
              <w:numPr>
                <w:ilvl w:val="0"/>
                <w:numId w:val="100"/>
              </w:numPr>
              <w:rPr>
                <w:lang w:eastAsia="ja-JP"/>
              </w:rPr>
            </w:pPr>
            <w:r>
              <w:rPr>
                <w:lang w:eastAsia="ja-JP"/>
              </w:rPr>
              <w:t xml:space="preserve">Only include scheduled outpatient (i.e., admitted and discharged on the same day) procedures performed at your hospital outpatient departments within the reporting period. Include scheduled outpatient procedures with a planned observation or extended recovery stay. </w:t>
            </w:r>
          </w:p>
          <w:p w14:paraId="0A2444C4" w14:textId="2A9EDE98" w:rsidR="00F9120A" w:rsidRDefault="00F9120A" w:rsidP="00AD309C">
            <w:pPr>
              <w:numPr>
                <w:ilvl w:val="0"/>
                <w:numId w:val="100"/>
              </w:numPr>
              <w:rPr>
                <w:lang w:eastAsia="ja-JP"/>
              </w:rPr>
            </w:pPr>
            <w:r>
              <w:rPr>
                <w:lang w:eastAsia="ja-JP"/>
              </w:rPr>
              <w:t>Exclude scheduled outpatient procedures with a planned inpatient admission. Exclude emergent/urgent cases, such as procedures for patients that come through the emergency department</w:t>
            </w:r>
            <w:r w:rsidR="00542915">
              <w:rPr>
                <w:lang w:eastAsia="ja-JP"/>
              </w:rPr>
              <w:t>.</w:t>
            </w:r>
          </w:p>
          <w:p w14:paraId="4F4166DE" w14:textId="2354E00E" w:rsidR="00222413" w:rsidRPr="00222413" w:rsidRDefault="00222413" w:rsidP="00AD309C">
            <w:pPr>
              <w:numPr>
                <w:ilvl w:val="0"/>
                <w:numId w:val="100"/>
              </w:numPr>
              <w:rPr>
                <w:lang w:eastAsia="ja-JP"/>
              </w:rPr>
            </w:pPr>
            <w:r w:rsidRPr="00222413">
              <w:rPr>
                <w:lang w:eastAsia="ja-JP"/>
              </w:rPr>
              <w:t>Only the procedure codes provided by Leapfrog should be used to r</w:t>
            </w:r>
            <w:r w:rsidR="0074723A">
              <w:rPr>
                <w:lang w:eastAsia="ja-JP"/>
              </w:rPr>
              <w:t xml:space="preserve">eport on </w:t>
            </w:r>
            <w:r w:rsidR="005A4897">
              <w:rPr>
                <w:lang w:eastAsia="ja-JP"/>
              </w:rPr>
              <w:t>the q</w:t>
            </w:r>
            <w:r w:rsidR="0074723A">
              <w:rPr>
                <w:lang w:eastAsia="ja-JP"/>
              </w:rPr>
              <w:t xml:space="preserve">uestions in Section </w:t>
            </w:r>
            <w:r w:rsidR="00FB07A6">
              <w:rPr>
                <w:lang w:eastAsia="ja-JP"/>
              </w:rPr>
              <w:t>9</w:t>
            </w:r>
            <w:r w:rsidR="0074723A">
              <w:rPr>
                <w:lang w:eastAsia="ja-JP"/>
              </w:rPr>
              <w:t>C</w:t>
            </w:r>
            <w:r w:rsidRPr="00222413">
              <w:rPr>
                <w:lang w:eastAsia="ja-JP"/>
              </w:rPr>
              <w:t>.</w:t>
            </w:r>
          </w:p>
          <w:p w14:paraId="73850057" w14:textId="6F273413" w:rsidR="00F9120A" w:rsidRPr="00222413" w:rsidRDefault="00222413" w:rsidP="00AD309C">
            <w:pPr>
              <w:numPr>
                <w:ilvl w:val="0"/>
                <w:numId w:val="100"/>
              </w:numPr>
              <w:rPr>
                <w:lang w:eastAsia="ja-JP"/>
              </w:rPr>
            </w:pPr>
            <w:r w:rsidRPr="00222413">
              <w:rPr>
                <w:lang w:eastAsia="ja-JP"/>
              </w:rPr>
              <w:lastRenderedPageBreak/>
              <w:t xml:space="preserve">If a patient had more than one of the listed procedures performed on the same visit (i.e., repair of dislocating knee cap (CPT: 27422) and </w:t>
            </w:r>
            <w:r w:rsidR="00571EC1" w:rsidRPr="00571EC1">
              <w:rPr>
                <w:lang w:eastAsia="ja-JP"/>
              </w:rPr>
              <w:t xml:space="preserve">repair of superior labrum anterior/posterior (SLAP) lesion (CPT: 29807)), </w:t>
            </w:r>
            <w:r w:rsidRPr="00222413">
              <w:rPr>
                <w:lang w:eastAsia="ja-JP"/>
              </w:rPr>
              <w:t>include the patient in the total volume for both procedures</w:t>
            </w:r>
            <w:r w:rsidR="002D363D">
              <w:rPr>
                <w:lang w:eastAsia="ja-JP"/>
              </w:rPr>
              <w:t>.</w:t>
            </w:r>
          </w:p>
        </w:tc>
      </w:tr>
    </w:tbl>
    <w:p w14:paraId="364171EA" w14:textId="77777777" w:rsidR="00222413" w:rsidRDefault="00222413" w:rsidP="00222413">
      <w:pPr>
        <w:rPr>
          <w:lang w:eastAsia="ja-JP"/>
        </w:rPr>
      </w:pPr>
    </w:p>
    <w:p w14:paraId="347F9C50" w14:textId="77777777" w:rsidR="008F5762" w:rsidRDefault="008F5762" w:rsidP="00AB5B80">
      <w:pPr>
        <w:pStyle w:val="Heading3"/>
      </w:pPr>
      <w:bookmarkStart w:id="769" w:name="_Ophthalmology_Measure_Specification"/>
      <w:bookmarkStart w:id="770" w:name="_Toc225877855"/>
      <w:bookmarkEnd w:id="769"/>
      <w:r w:rsidRPr="00222413">
        <w:t>Ophthalmology Measure Specifications</w:t>
      </w:r>
      <w:bookmarkEnd w:id="770"/>
    </w:p>
    <w:p w14:paraId="1E9C7AD0" w14:textId="77777777" w:rsidR="008F5762" w:rsidRPr="006606DD" w:rsidRDefault="008F5762" w:rsidP="008F5762">
      <w:pPr>
        <w:rPr>
          <w:sz w:val="16"/>
          <w:szCs w:val="16"/>
          <w:lang w:eastAsia="ja-JP"/>
        </w:rPr>
      </w:pPr>
    </w:p>
    <w:p w14:paraId="7420378E" w14:textId="01E0E4E0" w:rsidR="008F5762" w:rsidRDefault="008F5762" w:rsidP="008F5762">
      <w:pPr>
        <w:rPr>
          <w:lang w:eastAsia="ja-JP"/>
        </w:rPr>
      </w:pPr>
      <w:r w:rsidRPr="00222413">
        <w:rPr>
          <w:lang w:eastAsia="ja-JP"/>
        </w:rPr>
        <w:t xml:space="preserve">For ophthalmology procedures, use the </w:t>
      </w:r>
      <w:r>
        <w:rPr>
          <w:lang w:eastAsia="ja-JP"/>
        </w:rPr>
        <w:t xml:space="preserve">CPT codes available via the </w:t>
      </w:r>
      <w:hyperlink r:id="rId482" w:history="1">
        <w:r w:rsidRPr="0009495E">
          <w:rPr>
            <w:rStyle w:val="Hyperlink"/>
            <w:lang w:eastAsia="ja-JP"/>
          </w:rPr>
          <w:t>Survey Dashboard</w:t>
        </w:r>
      </w:hyperlink>
      <w:r>
        <w:rPr>
          <w:lang w:eastAsia="ja-JP"/>
        </w:rPr>
        <w:t xml:space="preserve"> </w:t>
      </w:r>
      <w:r w:rsidRPr="00222413">
        <w:rPr>
          <w:lang w:eastAsia="ja-JP"/>
        </w:rPr>
        <w:t xml:space="preserve">to count </w:t>
      </w:r>
      <w:r w:rsidRPr="00222413">
        <w:rPr>
          <w:b/>
          <w:lang w:eastAsia="ja-JP"/>
        </w:rPr>
        <w:t>patients</w:t>
      </w:r>
      <w:r w:rsidRPr="00222413">
        <w:rPr>
          <w:lang w:eastAsia="ja-JP"/>
        </w:rPr>
        <w:t xml:space="preserve"> discharged from your </w:t>
      </w:r>
      <w:r>
        <w:rPr>
          <w:lang w:eastAsia="ja-JP"/>
        </w:rPr>
        <w:t>hospital outpatient departments</w:t>
      </w:r>
      <w:r w:rsidRPr="00222413">
        <w:rPr>
          <w:lang w:eastAsia="ja-JP"/>
        </w:rPr>
        <w:t xml:space="preserve"> who have undergone </w:t>
      </w:r>
      <w:r>
        <w:rPr>
          <w:lang w:eastAsia="ja-JP"/>
        </w:rPr>
        <w:t>any</w:t>
      </w:r>
      <w:r w:rsidRPr="00222413">
        <w:rPr>
          <w:lang w:eastAsia="ja-JP"/>
        </w:rPr>
        <w:t xml:space="preserve"> of the </w:t>
      </w:r>
      <w:r>
        <w:rPr>
          <w:lang w:eastAsia="ja-JP"/>
        </w:rPr>
        <w:t>3</w:t>
      </w:r>
      <w:r w:rsidRPr="00222413">
        <w:rPr>
          <w:lang w:eastAsia="ja-JP"/>
        </w:rPr>
        <w:t xml:space="preserve"> procedures during the reporting period. </w:t>
      </w:r>
    </w:p>
    <w:p w14:paraId="1300330E" w14:textId="77777777" w:rsidR="008F5762" w:rsidRPr="00222413" w:rsidRDefault="008F5762" w:rsidP="008F5762">
      <w:pPr>
        <w:rPr>
          <w:lang w:eastAsia="ja-JP"/>
        </w:rPr>
      </w:pPr>
    </w:p>
    <w:p w14:paraId="0F1FBAD5" w14:textId="77777777" w:rsidR="008F5762" w:rsidRPr="002F60E9" w:rsidRDefault="008F5762" w:rsidP="008F5762">
      <w:pPr>
        <w:rPr>
          <w:rFonts w:cs="Arial"/>
        </w:rPr>
      </w:pPr>
      <w:r>
        <w:rPr>
          <w:rFonts w:cs="Arial"/>
        </w:rPr>
        <w:t>One procedure applies</w:t>
      </w:r>
      <w:r w:rsidRPr="002F60E9">
        <w:rPr>
          <w:rFonts w:cs="Arial"/>
        </w:rPr>
        <w:t xml:space="preserve"> to </w:t>
      </w:r>
      <w:r w:rsidRPr="005F73AC">
        <w:rPr>
          <w:rFonts w:cs="Arial"/>
          <w:b/>
        </w:rPr>
        <w:t>both</w:t>
      </w:r>
      <w:r w:rsidRPr="002F60E9">
        <w:rPr>
          <w:rFonts w:cs="Arial"/>
        </w:rPr>
        <w:t xml:space="preserve"> </w:t>
      </w:r>
      <w:r w:rsidRPr="00593C00">
        <w:rPr>
          <w:rFonts w:cs="Arial"/>
          <w:b/>
        </w:rPr>
        <w:t>adult and pediatric patients</w:t>
      </w:r>
      <w:r w:rsidRPr="002F60E9">
        <w:rPr>
          <w:rFonts w:cs="Arial"/>
        </w:rPr>
        <w:t xml:space="preserve">: </w:t>
      </w:r>
    </w:p>
    <w:p w14:paraId="4F4F3413" w14:textId="77777777" w:rsidR="008F5762" w:rsidRPr="00C75154" w:rsidRDefault="008F5762" w:rsidP="00AD309C">
      <w:pPr>
        <w:pStyle w:val="ListParagraph"/>
        <w:numPr>
          <w:ilvl w:val="0"/>
          <w:numId w:val="117"/>
        </w:numPr>
        <w:spacing w:after="120" w:line="264" w:lineRule="auto"/>
        <w:rPr>
          <w:rFonts w:cs="Arial"/>
        </w:rPr>
      </w:pPr>
      <w:r w:rsidRPr="00DC45C8">
        <w:rPr>
          <w:rFonts w:cs="Arial"/>
        </w:rPr>
        <w:t xml:space="preserve">Ocular </w:t>
      </w:r>
      <w:r>
        <w:rPr>
          <w:rFonts w:cs="Arial"/>
        </w:rPr>
        <w:t>a</w:t>
      </w:r>
      <w:r w:rsidRPr="00DC45C8">
        <w:rPr>
          <w:rFonts w:cs="Arial"/>
        </w:rPr>
        <w:t xml:space="preserve">dnexa and </w:t>
      </w:r>
      <w:r>
        <w:rPr>
          <w:rFonts w:cs="Arial"/>
        </w:rPr>
        <w:t>o</w:t>
      </w:r>
      <w:r w:rsidRPr="00DC45C8">
        <w:rPr>
          <w:rFonts w:cs="Arial"/>
        </w:rPr>
        <w:t xml:space="preserve">ther </w:t>
      </w:r>
      <w:r>
        <w:rPr>
          <w:rFonts w:cs="Arial"/>
        </w:rPr>
        <w:t>e</w:t>
      </w:r>
      <w:r w:rsidRPr="00DC45C8">
        <w:rPr>
          <w:rFonts w:cs="Arial"/>
        </w:rPr>
        <w:t xml:space="preserve">ye </w:t>
      </w:r>
      <w:r>
        <w:rPr>
          <w:rFonts w:cs="Arial"/>
        </w:rPr>
        <w:t>p</w:t>
      </w:r>
      <w:r w:rsidRPr="00DC45C8">
        <w:rPr>
          <w:rFonts w:cs="Arial"/>
        </w:rPr>
        <w:t>rocedures</w:t>
      </w:r>
    </w:p>
    <w:p w14:paraId="2C8DADAC" w14:textId="77777777" w:rsidR="008F5762" w:rsidRPr="0029141C" w:rsidRDefault="008F5762" w:rsidP="008F5762">
      <w:pPr>
        <w:rPr>
          <w:rFonts w:cstheme="majorBidi"/>
          <w:lang w:eastAsia="ja-JP"/>
        </w:rPr>
      </w:pPr>
      <w:r w:rsidRPr="00B55952">
        <w:rPr>
          <w:lang w:eastAsia="ja-JP"/>
        </w:rPr>
        <w:t>Two procedures</w:t>
      </w:r>
      <w:r>
        <w:rPr>
          <w:lang w:eastAsia="ja-JP"/>
        </w:rPr>
        <w:t xml:space="preserve"> apply to </w:t>
      </w:r>
      <w:r>
        <w:rPr>
          <w:b/>
          <w:bCs/>
          <w:lang w:eastAsia="ja-JP"/>
        </w:rPr>
        <w:t xml:space="preserve">adult </w:t>
      </w:r>
      <w:r w:rsidRPr="001949DA">
        <w:rPr>
          <w:b/>
          <w:bCs/>
          <w:lang w:eastAsia="ja-JP"/>
        </w:rPr>
        <w:t>patients only:</w:t>
      </w:r>
    </w:p>
    <w:p w14:paraId="0CC11F46" w14:textId="77777777" w:rsidR="008F5762" w:rsidRDefault="008F5762" w:rsidP="00AD309C">
      <w:pPr>
        <w:pStyle w:val="ListParagraph"/>
        <w:numPr>
          <w:ilvl w:val="0"/>
          <w:numId w:val="117"/>
        </w:numPr>
        <w:rPr>
          <w:rFonts w:cs="Arial"/>
        </w:rPr>
      </w:pPr>
      <w:r w:rsidRPr="00593C00">
        <w:rPr>
          <w:rFonts w:cs="Arial"/>
        </w:rPr>
        <w:t xml:space="preserve">Anterior </w:t>
      </w:r>
      <w:r>
        <w:rPr>
          <w:rFonts w:cs="Arial"/>
        </w:rPr>
        <w:t>s</w:t>
      </w:r>
      <w:r w:rsidRPr="00593C00">
        <w:rPr>
          <w:rFonts w:cs="Arial"/>
        </w:rPr>
        <w:t xml:space="preserve">egment </w:t>
      </w:r>
      <w:r>
        <w:rPr>
          <w:rFonts w:cs="Arial"/>
        </w:rPr>
        <w:t>e</w:t>
      </w:r>
      <w:r w:rsidRPr="00593C00">
        <w:rPr>
          <w:rFonts w:cs="Arial"/>
        </w:rPr>
        <w:t xml:space="preserve">ye </w:t>
      </w:r>
      <w:r>
        <w:rPr>
          <w:rFonts w:cs="Arial"/>
        </w:rPr>
        <w:t>p</w:t>
      </w:r>
      <w:r w:rsidRPr="00593C00">
        <w:rPr>
          <w:rFonts w:cs="Arial"/>
        </w:rPr>
        <w:t>rocedures</w:t>
      </w:r>
    </w:p>
    <w:p w14:paraId="5C51712D" w14:textId="606694B4" w:rsidR="008F5762" w:rsidRPr="00B44C1C" w:rsidRDefault="008F5762" w:rsidP="00AD309C">
      <w:pPr>
        <w:pStyle w:val="ListParagraph"/>
        <w:numPr>
          <w:ilvl w:val="0"/>
          <w:numId w:val="117"/>
        </w:numPr>
        <w:spacing w:after="120" w:line="264" w:lineRule="auto"/>
        <w:rPr>
          <w:rFonts w:cs="Arial"/>
        </w:rPr>
      </w:pPr>
      <w:r w:rsidRPr="008F5762">
        <w:rPr>
          <w:rFonts w:cs="Arial"/>
        </w:rPr>
        <w:t>Posterior segment eye procedures</w:t>
      </w:r>
    </w:p>
    <w:p w14:paraId="77B01707" w14:textId="77777777" w:rsidR="008F5762" w:rsidRPr="00222413" w:rsidRDefault="008F5762" w:rsidP="00B44C1C">
      <w:pPr>
        <w:pStyle w:val="ListParagraph"/>
        <w:rPr>
          <w:lang w:eastAsia="ja-JP"/>
        </w:rPr>
      </w:pPr>
    </w:p>
    <w:p w14:paraId="39705072" w14:textId="77777777" w:rsidR="008F5762" w:rsidRPr="00222413" w:rsidRDefault="008F5762" w:rsidP="008F5762">
      <w:pPr>
        <w:rPr>
          <w:lang w:eastAsia="ja-JP"/>
        </w:rPr>
      </w:pPr>
      <w:r>
        <w:rPr>
          <w:lang w:eastAsia="ja-JP"/>
        </w:rPr>
        <w:t>Using the “O</w:t>
      </w:r>
      <w:r w:rsidRPr="00222413">
        <w:rPr>
          <w:lang w:eastAsia="ja-JP"/>
        </w:rPr>
        <w:t>phthalmology</w:t>
      </w:r>
      <w:r>
        <w:rPr>
          <w:lang w:eastAsia="ja-JP"/>
        </w:rPr>
        <w:t xml:space="preserve">_adult” sheet, count the </w:t>
      </w:r>
      <w:r w:rsidRPr="00222413">
        <w:rPr>
          <w:lang w:eastAsia="ja-JP"/>
        </w:rPr>
        <w:t xml:space="preserve">total number of adult (18 years of age or older) patients discharged </w:t>
      </w:r>
      <w:r>
        <w:rPr>
          <w:lang w:eastAsia="ja-JP"/>
        </w:rPr>
        <w:t xml:space="preserve">for each procedure </w:t>
      </w:r>
      <w:r w:rsidRPr="00222413">
        <w:rPr>
          <w:lang w:eastAsia="ja-JP"/>
        </w:rPr>
        <w:t>with any of the CPT codes listed. The CPT code can be in any procedure field.</w:t>
      </w:r>
    </w:p>
    <w:p w14:paraId="24CAF238" w14:textId="77777777" w:rsidR="008F5762" w:rsidRDefault="008F5762" w:rsidP="008F5762">
      <w:pPr>
        <w:rPr>
          <w:lang w:eastAsia="ja-JP"/>
        </w:rPr>
      </w:pPr>
    </w:p>
    <w:p w14:paraId="18BB08CA" w14:textId="77777777" w:rsidR="008F5762" w:rsidRPr="00222413" w:rsidRDefault="008F5762" w:rsidP="008F5762">
      <w:pPr>
        <w:rPr>
          <w:lang w:eastAsia="ja-JP"/>
        </w:rPr>
      </w:pPr>
      <w:r>
        <w:rPr>
          <w:lang w:eastAsia="ja-JP"/>
        </w:rPr>
        <w:t>Using the “O</w:t>
      </w:r>
      <w:r w:rsidRPr="00222413">
        <w:rPr>
          <w:lang w:eastAsia="ja-JP"/>
        </w:rPr>
        <w:t>phthalmology</w:t>
      </w:r>
      <w:r>
        <w:rPr>
          <w:lang w:eastAsia="ja-JP"/>
        </w:rPr>
        <w:t>_ped” sheet, count t</w:t>
      </w:r>
      <w:r w:rsidRPr="00222413">
        <w:rPr>
          <w:lang w:eastAsia="ja-JP"/>
        </w:rPr>
        <w:t>he total number of pediatric (17 years of age and younger) patients discharged</w:t>
      </w:r>
      <w:r>
        <w:rPr>
          <w:lang w:eastAsia="ja-JP"/>
        </w:rPr>
        <w:t xml:space="preserve"> for each procedure</w:t>
      </w:r>
      <w:r w:rsidRPr="00222413">
        <w:rPr>
          <w:lang w:eastAsia="ja-JP"/>
        </w:rPr>
        <w:t xml:space="preserve"> with any of the CPT codes listed. The CPT code can be in any procedure field.</w:t>
      </w:r>
    </w:p>
    <w:p w14:paraId="5A4CFAEF" w14:textId="77777777" w:rsidR="008F5762" w:rsidRPr="00222413" w:rsidRDefault="008F5762" w:rsidP="008F5762">
      <w:pPr>
        <w:rPr>
          <w:lang w:eastAsia="ja-JP"/>
        </w:rPr>
      </w:pPr>
    </w:p>
    <w:p w14:paraId="56437C96" w14:textId="77777777" w:rsidR="008F5762" w:rsidRDefault="008F5762" w:rsidP="00AB5B80">
      <w:pPr>
        <w:pStyle w:val="Heading3"/>
      </w:pPr>
      <w:bookmarkStart w:id="771" w:name="_Orthopedic_Measure_Specifications"/>
      <w:bookmarkStart w:id="772" w:name="_Toc225877856"/>
      <w:bookmarkEnd w:id="771"/>
      <w:r w:rsidRPr="00222413">
        <w:t>Orthopedic Measure Specifications</w:t>
      </w:r>
      <w:bookmarkEnd w:id="772"/>
    </w:p>
    <w:p w14:paraId="760F778E" w14:textId="77777777" w:rsidR="008F5762" w:rsidRPr="006606DD" w:rsidRDefault="008F5762" w:rsidP="008F5762">
      <w:pPr>
        <w:rPr>
          <w:sz w:val="16"/>
          <w:szCs w:val="16"/>
          <w:lang w:eastAsia="ja-JP"/>
        </w:rPr>
      </w:pPr>
    </w:p>
    <w:p w14:paraId="4A6A8676" w14:textId="160D2D72" w:rsidR="008F5762" w:rsidRDefault="008F5762" w:rsidP="008F5762">
      <w:pPr>
        <w:rPr>
          <w:lang w:eastAsia="ja-JP"/>
        </w:rPr>
      </w:pPr>
      <w:r w:rsidRPr="00222413">
        <w:rPr>
          <w:lang w:eastAsia="ja-JP"/>
        </w:rPr>
        <w:t xml:space="preserve">For orthopedic procedures, use the </w:t>
      </w:r>
      <w:r>
        <w:rPr>
          <w:lang w:eastAsia="ja-JP"/>
        </w:rPr>
        <w:t xml:space="preserve">CPT codes available via the </w:t>
      </w:r>
      <w:hyperlink r:id="rId483" w:history="1">
        <w:r w:rsidRPr="0009495E">
          <w:rPr>
            <w:rStyle w:val="Hyperlink"/>
            <w:lang w:eastAsia="ja-JP"/>
          </w:rPr>
          <w:t>Survey Dashboard</w:t>
        </w:r>
      </w:hyperlink>
      <w:r>
        <w:rPr>
          <w:lang w:eastAsia="ja-JP"/>
        </w:rPr>
        <w:t xml:space="preserve"> </w:t>
      </w:r>
      <w:r w:rsidRPr="00222413">
        <w:rPr>
          <w:lang w:eastAsia="ja-JP"/>
        </w:rPr>
        <w:t xml:space="preserve">to count </w:t>
      </w:r>
      <w:r w:rsidRPr="00222413">
        <w:rPr>
          <w:b/>
          <w:lang w:eastAsia="ja-JP"/>
        </w:rPr>
        <w:t>patients</w:t>
      </w:r>
      <w:r w:rsidRPr="00222413">
        <w:rPr>
          <w:lang w:eastAsia="ja-JP"/>
        </w:rPr>
        <w:t xml:space="preserve"> discharged from your </w:t>
      </w:r>
      <w:r>
        <w:rPr>
          <w:lang w:eastAsia="ja-JP"/>
        </w:rPr>
        <w:t>hospital outpatient departments</w:t>
      </w:r>
      <w:r w:rsidRPr="00222413">
        <w:rPr>
          <w:lang w:eastAsia="ja-JP"/>
        </w:rPr>
        <w:t xml:space="preserve"> who have undergone any of the 7 procedures during the reporting period. </w:t>
      </w:r>
    </w:p>
    <w:p w14:paraId="73B52AB7" w14:textId="77777777" w:rsidR="008F5762" w:rsidRPr="00222413" w:rsidRDefault="008F5762" w:rsidP="008F5762">
      <w:pPr>
        <w:rPr>
          <w:lang w:eastAsia="ja-JP"/>
        </w:rPr>
      </w:pPr>
    </w:p>
    <w:p w14:paraId="0834A41F" w14:textId="77777777" w:rsidR="008F5762" w:rsidRPr="00222413" w:rsidRDefault="008F5762" w:rsidP="008F5762">
      <w:pPr>
        <w:rPr>
          <w:lang w:eastAsia="ja-JP"/>
        </w:rPr>
      </w:pPr>
      <w:r>
        <w:rPr>
          <w:lang w:eastAsia="ja-JP"/>
        </w:rPr>
        <w:t>Five</w:t>
      </w:r>
      <w:r w:rsidRPr="00222413">
        <w:rPr>
          <w:lang w:eastAsia="ja-JP"/>
        </w:rPr>
        <w:t xml:space="preserve"> procedures apply to </w:t>
      </w:r>
      <w:r w:rsidRPr="00222413">
        <w:rPr>
          <w:b/>
          <w:lang w:eastAsia="ja-JP"/>
        </w:rPr>
        <w:t>both</w:t>
      </w:r>
      <w:r w:rsidRPr="00222413">
        <w:rPr>
          <w:lang w:eastAsia="ja-JP"/>
        </w:rPr>
        <w:t xml:space="preserve"> </w:t>
      </w:r>
      <w:r w:rsidRPr="00222413">
        <w:rPr>
          <w:b/>
          <w:lang w:eastAsia="ja-JP"/>
        </w:rPr>
        <w:t>adult and pediatric patients</w:t>
      </w:r>
      <w:r w:rsidRPr="00222413">
        <w:rPr>
          <w:lang w:eastAsia="ja-JP"/>
        </w:rPr>
        <w:t>:</w:t>
      </w:r>
    </w:p>
    <w:p w14:paraId="6688F3A1" w14:textId="77777777" w:rsidR="008F5762" w:rsidRPr="00222413" w:rsidRDefault="008F5762" w:rsidP="00AD309C">
      <w:pPr>
        <w:numPr>
          <w:ilvl w:val="0"/>
          <w:numId w:val="101"/>
        </w:numPr>
        <w:rPr>
          <w:lang w:eastAsia="ja-JP"/>
        </w:rPr>
      </w:pPr>
      <w:r w:rsidRPr="00222413">
        <w:rPr>
          <w:lang w:eastAsia="ja-JP"/>
        </w:rPr>
        <w:t xml:space="preserve">Finger, </w:t>
      </w:r>
      <w:r>
        <w:rPr>
          <w:lang w:eastAsia="ja-JP"/>
        </w:rPr>
        <w:t>h</w:t>
      </w:r>
      <w:r w:rsidRPr="00222413">
        <w:rPr>
          <w:lang w:eastAsia="ja-JP"/>
        </w:rPr>
        <w:t xml:space="preserve">and, </w:t>
      </w:r>
      <w:r>
        <w:rPr>
          <w:lang w:eastAsia="ja-JP"/>
        </w:rPr>
        <w:t>w</w:t>
      </w:r>
      <w:r w:rsidRPr="00222413">
        <w:rPr>
          <w:lang w:eastAsia="ja-JP"/>
        </w:rPr>
        <w:t xml:space="preserve">rist, </w:t>
      </w:r>
      <w:r>
        <w:rPr>
          <w:lang w:eastAsia="ja-JP"/>
        </w:rPr>
        <w:t>f</w:t>
      </w:r>
      <w:r w:rsidRPr="00222413">
        <w:rPr>
          <w:lang w:eastAsia="ja-JP"/>
        </w:rPr>
        <w:t xml:space="preserve">orearm, and </w:t>
      </w:r>
      <w:r>
        <w:rPr>
          <w:lang w:eastAsia="ja-JP"/>
        </w:rPr>
        <w:t>e</w:t>
      </w:r>
      <w:r w:rsidRPr="00222413">
        <w:rPr>
          <w:lang w:eastAsia="ja-JP"/>
        </w:rPr>
        <w:t xml:space="preserve">lbow </w:t>
      </w:r>
      <w:r>
        <w:rPr>
          <w:lang w:eastAsia="ja-JP"/>
        </w:rPr>
        <w:t>p</w:t>
      </w:r>
      <w:r w:rsidRPr="00222413">
        <w:rPr>
          <w:lang w:eastAsia="ja-JP"/>
        </w:rPr>
        <w:t xml:space="preserve">rocedures </w:t>
      </w:r>
    </w:p>
    <w:p w14:paraId="2EF7546F" w14:textId="77777777" w:rsidR="008F5762" w:rsidRPr="00222413" w:rsidRDefault="008F5762" w:rsidP="00AD309C">
      <w:pPr>
        <w:numPr>
          <w:ilvl w:val="0"/>
          <w:numId w:val="101"/>
        </w:numPr>
        <w:rPr>
          <w:lang w:eastAsia="ja-JP"/>
        </w:rPr>
      </w:pPr>
      <w:r w:rsidRPr="00222413">
        <w:rPr>
          <w:lang w:eastAsia="ja-JP"/>
        </w:rPr>
        <w:t xml:space="preserve">Shoulder </w:t>
      </w:r>
      <w:r>
        <w:rPr>
          <w:lang w:eastAsia="ja-JP"/>
        </w:rPr>
        <w:t>p</w:t>
      </w:r>
      <w:r w:rsidRPr="00222413">
        <w:rPr>
          <w:lang w:eastAsia="ja-JP"/>
        </w:rPr>
        <w:t xml:space="preserve">rocedures </w:t>
      </w:r>
    </w:p>
    <w:p w14:paraId="616F0435" w14:textId="77777777" w:rsidR="008F5762" w:rsidRPr="00222413" w:rsidRDefault="008F5762" w:rsidP="00AD309C">
      <w:pPr>
        <w:numPr>
          <w:ilvl w:val="0"/>
          <w:numId w:val="101"/>
        </w:numPr>
        <w:rPr>
          <w:lang w:eastAsia="ja-JP"/>
        </w:rPr>
      </w:pPr>
      <w:r w:rsidRPr="00222413">
        <w:rPr>
          <w:lang w:eastAsia="ja-JP"/>
        </w:rPr>
        <w:t xml:space="preserve">Knee </w:t>
      </w:r>
      <w:r>
        <w:rPr>
          <w:lang w:eastAsia="ja-JP"/>
        </w:rPr>
        <w:t>p</w:t>
      </w:r>
      <w:r w:rsidRPr="00222413">
        <w:rPr>
          <w:lang w:eastAsia="ja-JP"/>
        </w:rPr>
        <w:t xml:space="preserve">rocedures </w:t>
      </w:r>
    </w:p>
    <w:p w14:paraId="7B0155F1" w14:textId="77777777" w:rsidR="008F5762" w:rsidRPr="00222413" w:rsidRDefault="008F5762" w:rsidP="00AD309C">
      <w:pPr>
        <w:numPr>
          <w:ilvl w:val="0"/>
          <w:numId w:val="101"/>
        </w:numPr>
        <w:rPr>
          <w:lang w:eastAsia="ja-JP"/>
        </w:rPr>
      </w:pPr>
      <w:r w:rsidRPr="00222413">
        <w:rPr>
          <w:lang w:eastAsia="ja-JP"/>
        </w:rPr>
        <w:t xml:space="preserve">Toe, </w:t>
      </w:r>
      <w:r>
        <w:rPr>
          <w:lang w:eastAsia="ja-JP"/>
        </w:rPr>
        <w:t>f</w:t>
      </w:r>
      <w:r w:rsidRPr="00222413">
        <w:rPr>
          <w:lang w:eastAsia="ja-JP"/>
        </w:rPr>
        <w:t xml:space="preserve">oot, </w:t>
      </w:r>
      <w:r>
        <w:rPr>
          <w:lang w:eastAsia="ja-JP"/>
        </w:rPr>
        <w:t>a</w:t>
      </w:r>
      <w:r w:rsidRPr="00222413">
        <w:rPr>
          <w:lang w:eastAsia="ja-JP"/>
        </w:rPr>
        <w:t xml:space="preserve">nkle, and </w:t>
      </w:r>
      <w:r>
        <w:rPr>
          <w:lang w:eastAsia="ja-JP"/>
        </w:rPr>
        <w:t>l</w:t>
      </w:r>
      <w:r w:rsidRPr="00222413">
        <w:rPr>
          <w:lang w:eastAsia="ja-JP"/>
        </w:rPr>
        <w:t xml:space="preserve">eg </w:t>
      </w:r>
      <w:r>
        <w:rPr>
          <w:lang w:eastAsia="ja-JP"/>
        </w:rPr>
        <w:t>p</w:t>
      </w:r>
      <w:r w:rsidRPr="00222413">
        <w:rPr>
          <w:lang w:eastAsia="ja-JP"/>
        </w:rPr>
        <w:t xml:space="preserve">rocedures </w:t>
      </w:r>
    </w:p>
    <w:p w14:paraId="7D4B05F1" w14:textId="77777777" w:rsidR="008F5762" w:rsidRDefault="008F5762" w:rsidP="00AD309C">
      <w:pPr>
        <w:numPr>
          <w:ilvl w:val="0"/>
          <w:numId w:val="101"/>
        </w:numPr>
        <w:rPr>
          <w:lang w:eastAsia="ja-JP"/>
        </w:rPr>
      </w:pPr>
      <w:r w:rsidRPr="00222413">
        <w:rPr>
          <w:lang w:eastAsia="ja-JP"/>
        </w:rPr>
        <w:t xml:space="preserve">General </w:t>
      </w:r>
      <w:r>
        <w:rPr>
          <w:lang w:eastAsia="ja-JP"/>
        </w:rPr>
        <w:t>o</w:t>
      </w:r>
      <w:r w:rsidRPr="00222413">
        <w:rPr>
          <w:lang w:eastAsia="ja-JP"/>
        </w:rPr>
        <w:t xml:space="preserve">rthopedic </w:t>
      </w:r>
      <w:r>
        <w:rPr>
          <w:lang w:eastAsia="ja-JP"/>
        </w:rPr>
        <w:t>p</w:t>
      </w:r>
      <w:r w:rsidRPr="00222413">
        <w:rPr>
          <w:lang w:eastAsia="ja-JP"/>
        </w:rPr>
        <w:t>rocedures</w:t>
      </w:r>
    </w:p>
    <w:p w14:paraId="422FF772" w14:textId="77777777" w:rsidR="008F5762" w:rsidRDefault="008F5762" w:rsidP="008F5762">
      <w:pPr>
        <w:rPr>
          <w:lang w:eastAsia="ja-JP"/>
        </w:rPr>
      </w:pPr>
    </w:p>
    <w:p w14:paraId="4534A4DC" w14:textId="77777777" w:rsidR="008F5762" w:rsidRDefault="008F5762" w:rsidP="008F5762">
      <w:pPr>
        <w:rPr>
          <w:lang w:eastAsia="ja-JP"/>
        </w:rPr>
      </w:pPr>
      <w:r>
        <w:rPr>
          <w:lang w:eastAsia="ja-JP"/>
        </w:rPr>
        <w:t xml:space="preserve">Two procedures apply to </w:t>
      </w:r>
      <w:r>
        <w:rPr>
          <w:b/>
          <w:bCs/>
          <w:lang w:eastAsia="ja-JP"/>
        </w:rPr>
        <w:t xml:space="preserve">adult </w:t>
      </w:r>
      <w:r w:rsidRPr="001949DA">
        <w:rPr>
          <w:b/>
          <w:bCs/>
          <w:lang w:eastAsia="ja-JP"/>
        </w:rPr>
        <w:t>patients only:</w:t>
      </w:r>
    </w:p>
    <w:p w14:paraId="0FA55A9A" w14:textId="77777777" w:rsidR="008F5762" w:rsidRPr="00222413" w:rsidRDefault="008F5762" w:rsidP="00AD309C">
      <w:pPr>
        <w:numPr>
          <w:ilvl w:val="0"/>
          <w:numId w:val="101"/>
        </w:numPr>
        <w:rPr>
          <w:lang w:eastAsia="ja-JP"/>
        </w:rPr>
      </w:pPr>
      <w:r w:rsidRPr="00222413">
        <w:rPr>
          <w:lang w:eastAsia="ja-JP"/>
        </w:rPr>
        <w:t xml:space="preserve">Spine </w:t>
      </w:r>
      <w:r>
        <w:rPr>
          <w:lang w:eastAsia="ja-JP"/>
        </w:rPr>
        <w:t>p</w:t>
      </w:r>
      <w:r w:rsidRPr="00222413">
        <w:rPr>
          <w:lang w:eastAsia="ja-JP"/>
        </w:rPr>
        <w:t xml:space="preserve">rocedures </w:t>
      </w:r>
    </w:p>
    <w:p w14:paraId="55916EC8" w14:textId="77777777" w:rsidR="008F5762" w:rsidRDefault="008F5762" w:rsidP="00AD309C">
      <w:pPr>
        <w:numPr>
          <w:ilvl w:val="0"/>
          <w:numId w:val="101"/>
        </w:numPr>
        <w:rPr>
          <w:lang w:eastAsia="ja-JP"/>
        </w:rPr>
      </w:pPr>
      <w:r w:rsidRPr="00222413">
        <w:rPr>
          <w:lang w:eastAsia="ja-JP"/>
        </w:rPr>
        <w:t xml:space="preserve">Hip </w:t>
      </w:r>
      <w:r>
        <w:rPr>
          <w:lang w:eastAsia="ja-JP"/>
        </w:rPr>
        <w:t>p</w:t>
      </w:r>
      <w:r w:rsidRPr="00222413">
        <w:rPr>
          <w:lang w:eastAsia="ja-JP"/>
        </w:rPr>
        <w:t>rocedures</w:t>
      </w:r>
    </w:p>
    <w:p w14:paraId="4753C845" w14:textId="77777777" w:rsidR="008F5762" w:rsidRPr="00222413" w:rsidRDefault="008F5762" w:rsidP="008F5762">
      <w:pPr>
        <w:rPr>
          <w:lang w:eastAsia="ja-JP"/>
        </w:rPr>
      </w:pPr>
    </w:p>
    <w:p w14:paraId="7436E232" w14:textId="77777777" w:rsidR="008F5762" w:rsidRDefault="008F5762" w:rsidP="008F5762">
      <w:pPr>
        <w:rPr>
          <w:lang w:eastAsia="ja-JP"/>
        </w:rPr>
      </w:pPr>
      <w:r>
        <w:rPr>
          <w:lang w:eastAsia="ja-JP"/>
        </w:rPr>
        <w:t>Using the “Orthopedic_adult” sheet, count t</w:t>
      </w:r>
      <w:r w:rsidRPr="00222413">
        <w:rPr>
          <w:lang w:eastAsia="ja-JP"/>
        </w:rPr>
        <w:t xml:space="preserve">he total number </w:t>
      </w:r>
      <w:r w:rsidRPr="00071E60">
        <w:rPr>
          <w:bCs/>
          <w:lang w:eastAsia="ja-JP"/>
        </w:rPr>
        <w:t xml:space="preserve">of </w:t>
      </w:r>
      <w:r w:rsidRPr="00222413">
        <w:rPr>
          <w:lang w:eastAsia="ja-JP"/>
        </w:rPr>
        <w:t xml:space="preserve">adult (18 years of age or older) patients discharged </w:t>
      </w:r>
      <w:r>
        <w:rPr>
          <w:lang w:eastAsia="ja-JP"/>
        </w:rPr>
        <w:t xml:space="preserve">for each procedure </w:t>
      </w:r>
      <w:r w:rsidRPr="00222413">
        <w:rPr>
          <w:lang w:eastAsia="ja-JP"/>
        </w:rPr>
        <w:t>with any of the CPT codes listed. The CPT code can be in any procedure field.</w:t>
      </w:r>
    </w:p>
    <w:p w14:paraId="78907DEA" w14:textId="77777777" w:rsidR="008F5762" w:rsidRPr="00222413" w:rsidRDefault="008F5762" w:rsidP="008F5762">
      <w:pPr>
        <w:rPr>
          <w:lang w:eastAsia="ja-JP"/>
        </w:rPr>
      </w:pPr>
    </w:p>
    <w:p w14:paraId="5A3B6D9F" w14:textId="77777777" w:rsidR="008F5762" w:rsidRDefault="008F5762" w:rsidP="008F5762">
      <w:pPr>
        <w:rPr>
          <w:lang w:eastAsia="ja-JP"/>
        </w:rPr>
      </w:pPr>
      <w:r>
        <w:rPr>
          <w:lang w:eastAsia="ja-JP"/>
        </w:rPr>
        <w:t>Using the “Orthopedic_ped” sheet, count t</w:t>
      </w:r>
      <w:r w:rsidRPr="00222413">
        <w:rPr>
          <w:lang w:eastAsia="ja-JP"/>
        </w:rPr>
        <w:t>he total number of pediatric (17 years of age and younger) patients discharged</w:t>
      </w:r>
      <w:r>
        <w:rPr>
          <w:lang w:eastAsia="ja-JP"/>
        </w:rPr>
        <w:t xml:space="preserve"> for each procedure</w:t>
      </w:r>
      <w:r w:rsidRPr="00222413">
        <w:rPr>
          <w:lang w:eastAsia="ja-JP"/>
        </w:rPr>
        <w:t xml:space="preserve"> with any of the CPT codes listed. The CPT code can be in any procedure field.</w:t>
      </w:r>
    </w:p>
    <w:p w14:paraId="34E95117" w14:textId="77777777" w:rsidR="008F5762" w:rsidRPr="00222413" w:rsidRDefault="008F5762" w:rsidP="008F5762">
      <w:pPr>
        <w:rPr>
          <w:lang w:eastAsia="ja-JP"/>
        </w:rPr>
      </w:pPr>
    </w:p>
    <w:p w14:paraId="75D8C182" w14:textId="77777777" w:rsidR="008F5762" w:rsidRDefault="008F5762" w:rsidP="00AB5B80">
      <w:pPr>
        <w:pStyle w:val="Heading3"/>
      </w:pPr>
      <w:bookmarkStart w:id="773" w:name="_Otolaryngology_Measure_Specificatio"/>
      <w:bookmarkStart w:id="774" w:name="_Toc225877857"/>
      <w:bookmarkEnd w:id="773"/>
      <w:r w:rsidRPr="00222413">
        <w:t>Otolaryngology Measure Specifications</w:t>
      </w:r>
      <w:bookmarkEnd w:id="774"/>
    </w:p>
    <w:p w14:paraId="1784967C" w14:textId="77777777" w:rsidR="008F5762" w:rsidRPr="006606DD" w:rsidRDefault="008F5762" w:rsidP="008F5762">
      <w:pPr>
        <w:rPr>
          <w:sz w:val="16"/>
          <w:szCs w:val="16"/>
          <w:lang w:eastAsia="ja-JP"/>
        </w:rPr>
      </w:pPr>
    </w:p>
    <w:p w14:paraId="548DC912" w14:textId="3FCDF4BD" w:rsidR="008F5762" w:rsidRDefault="008F5762" w:rsidP="008F5762">
      <w:pPr>
        <w:rPr>
          <w:lang w:eastAsia="ja-JP"/>
        </w:rPr>
      </w:pPr>
      <w:r w:rsidRPr="00222413">
        <w:rPr>
          <w:lang w:eastAsia="ja-JP"/>
        </w:rPr>
        <w:t xml:space="preserve">For otolaryngology procedures, use the </w:t>
      </w:r>
      <w:r>
        <w:rPr>
          <w:lang w:eastAsia="ja-JP"/>
        </w:rPr>
        <w:t xml:space="preserve">CPT codes available via the </w:t>
      </w:r>
      <w:hyperlink r:id="rId484" w:history="1">
        <w:r w:rsidRPr="0009495E">
          <w:rPr>
            <w:rStyle w:val="Hyperlink"/>
            <w:lang w:eastAsia="ja-JP"/>
          </w:rPr>
          <w:t>Survey Dashboard</w:t>
        </w:r>
      </w:hyperlink>
      <w:r>
        <w:rPr>
          <w:lang w:eastAsia="ja-JP"/>
        </w:rPr>
        <w:t xml:space="preserve"> </w:t>
      </w:r>
      <w:r w:rsidRPr="00222413">
        <w:rPr>
          <w:lang w:eastAsia="ja-JP"/>
        </w:rPr>
        <w:t xml:space="preserve">to count </w:t>
      </w:r>
      <w:r w:rsidRPr="00222413">
        <w:rPr>
          <w:b/>
          <w:lang w:eastAsia="ja-JP"/>
        </w:rPr>
        <w:t>patients</w:t>
      </w:r>
      <w:r w:rsidRPr="00222413">
        <w:rPr>
          <w:lang w:eastAsia="ja-JP"/>
        </w:rPr>
        <w:t xml:space="preserve"> discharged from your </w:t>
      </w:r>
      <w:r>
        <w:rPr>
          <w:lang w:eastAsia="ja-JP"/>
        </w:rPr>
        <w:t>hospital outpatient departments</w:t>
      </w:r>
      <w:r w:rsidRPr="00222413">
        <w:rPr>
          <w:lang w:eastAsia="ja-JP"/>
        </w:rPr>
        <w:t xml:space="preserve"> who have undergone any of the 4 procedures during the reporting period. </w:t>
      </w:r>
    </w:p>
    <w:p w14:paraId="5E678FF4" w14:textId="77777777" w:rsidR="008F5762" w:rsidRPr="00222413" w:rsidRDefault="008F5762" w:rsidP="008F5762">
      <w:pPr>
        <w:rPr>
          <w:lang w:eastAsia="ja-JP"/>
        </w:rPr>
      </w:pPr>
    </w:p>
    <w:p w14:paraId="460A6A5E" w14:textId="77777777" w:rsidR="008F5762" w:rsidRPr="00222413" w:rsidRDefault="008F5762" w:rsidP="008F5762">
      <w:pPr>
        <w:rPr>
          <w:lang w:eastAsia="ja-JP"/>
        </w:rPr>
      </w:pPr>
      <w:r>
        <w:rPr>
          <w:lang w:eastAsia="ja-JP"/>
        </w:rPr>
        <w:t>Three</w:t>
      </w:r>
      <w:r w:rsidRPr="00222413">
        <w:rPr>
          <w:lang w:eastAsia="ja-JP"/>
        </w:rPr>
        <w:t xml:space="preserve"> procedures apply to </w:t>
      </w:r>
      <w:r w:rsidRPr="00222413">
        <w:rPr>
          <w:b/>
          <w:lang w:eastAsia="ja-JP"/>
        </w:rPr>
        <w:t>both adult and pediatric patients</w:t>
      </w:r>
      <w:r w:rsidRPr="00222413">
        <w:rPr>
          <w:lang w:eastAsia="ja-JP"/>
        </w:rPr>
        <w:t xml:space="preserve">: </w:t>
      </w:r>
    </w:p>
    <w:p w14:paraId="189F731D" w14:textId="77777777" w:rsidR="008F5762" w:rsidRPr="00222413" w:rsidRDefault="008F5762" w:rsidP="00AD309C">
      <w:pPr>
        <w:numPr>
          <w:ilvl w:val="0"/>
          <w:numId w:val="101"/>
        </w:numPr>
        <w:rPr>
          <w:lang w:eastAsia="ja-JP"/>
        </w:rPr>
      </w:pPr>
      <w:r w:rsidRPr="00222413">
        <w:rPr>
          <w:lang w:eastAsia="ja-JP"/>
        </w:rPr>
        <w:t xml:space="preserve">Ear </w:t>
      </w:r>
      <w:r>
        <w:rPr>
          <w:lang w:eastAsia="ja-JP"/>
        </w:rPr>
        <w:t>p</w:t>
      </w:r>
      <w:r w:rsidRPr="00222413">
        <w:rPr>
          <w:lang w:eastAsia="ja-JP"/>
        </w:rPr>
        <w:t>rocedure</w:t>
      </w:r>
      <w:r>
        <w:rPr>
          <w:lang w:eastAsia="ja-JP"/>
        </w:rPr>
        <w:t>s</w:t>
      </w:r>
    </w:p>
    <w:p w14:paraId="380FE6A5" w14:textId="77777777" w:rsidR="008F5762" w:rsidRPr="00222413" w:rsidRDefault="008F5762" w:rsidP="00AD309C">
      <w:pPr>
        <w:numPr>
          <w:ilvl w:val="0"/>
          <w:numId w:val="101"/>
        </w:numPr>
        <w:rPr>
          <w:lang w:eastAsia="ja-JP"/>
        </w:rPr>
      </w:pPr>
      <w:r w:rsidRPr="00222413">
        <w:rPr>
          <w:lang w:eastAsia="ja-JP"/>
        </w:rPr>
        <w:lastRenderedPageBreak/>
        <w:t xml:space="preserve">Mouth </w:t>
      </w:r>
      <w:r>
        <w:rPr>
          <w:lang w:eastAsia="ja-JP"/>
        </w:rPr>
        <w:t>p</w:t>
      </w:r>
      <w:r w:rsidRPr="00222413">
        <w:rPr>
          <w:lang w:eastAsia="ja-JP"/>
        </w:rPr>
        <w:t>rocedure</w:t>
      </w:r>
      <w:r>
        <w:rPr>
          <w:lang w:eastAsia="ja-JP"/>
        </w:rPr>
        <w:t>s</w:t>
      </w:r>
    </w:p>
    <w:p w14:paraId="551009E1" w14:textId="77777777" w:rsidR="008F5762" w:rsidRPr="00222413" w:rsidRDefault="008F5762" w:rsidP="00AD309C">
      <w:pPr>
        <w:numPr>
          <w:ilvl w:val="0"/>
          <w:numId w:val="101"/>
        </w:numPr>
        <w:rPr>
          <w:lang w:eastAsia="ja-JP"/>
        </w:rPr>
      </w:pPr>
      <w:r w:rsidRPr="00222413">
        <w:rPr>
          <w:lang w:eastAsia="ja-JP"/>
        </w:rPr>
        <w:t>Nasal</w:t>
      </w:r>
      <w:r>
        <w:rPr>
          <w:lang w:eastAsia="ja-JP"/>
        </w:rPr>
        <w:t>/s</w:t>
      </w:r>
      <w:r w:rsidRPr="00222413">
        <w:rPr>
          <w:lang w:eastAsia="ja-JP"/>
        </w:rPr>
        <w:t xml:space="preserve">inus </w:t>
      </w:r>
      <w:r>
        <w:rPr>
          <w:lang w:eastAsia="ja-JP"/>
        </w:rPr>
        <w:t>p</w:t>
      </w:r>
      <w:r w:rsidRPr="00222413">
        <w:rPr>
          <w:lang w:eastAsia="ja-JP"/>
        </w:rPr>
        <w:t>rocedure</w:t>
      </w:r>
      <w:r>
        <w:rPr>
          <w:lang w:eastAsia="ja-JP"/>
        </w:rPr>
        <w:t>s</w:t>
      </w:r>
    </w:p>
    <w:p w14:paraId="6357D095" w14:textId="77777777" w:rsidR="008F5762" w:rsidRDefault="008F5762" w:rsidP="008F5762">
      <w:pPr>
        <w:rPr>
          <w:lang w:eastAsia="ja-JP"/>
        </w:rPr>
      </w:pPr>
    </w:p>
    <w:p w14:paraId="3AE9C7C9" w14:textId="77777777" w:rsidR="008F5762" w:rsidRDefault="008F5762" w:rsidP="008F5762">
      <w:pPr>
        <w:rPr>
          <w:lang w:eastAsia="ja-JP"/>
        </w:rPr>
      </w:pPr>
      <w:r>
        <w:rPr>
          <w:lang w:eastAsia="ja-JP"/>
        </w:rPr>
        <w:t xml:space="preserve">One procedure applies to </w:t>
      </w:r>
      <w:r w:rsidRPr="001949DA">
        <w:rPr>
          <w:b/>
          <w:bCs/>
          <w:lang w:eastAsia="ja-JP"/>
        </w:rPr>
        <w:t>pediatric patients only:</w:t>
      </w:r>
    </w:p>
    <w:p w14:paraId="35A233D3" w14:textId="77777777" w:rsidR="008F5762" w:rsidRDefault="008F5762" w:rsidP="00AD309C">
      <w:pPr>
        <w:numPr>
          <w:ilvl w:val="0"/>
          <w:numId w:val="152"/>
        </w:numPr>
        <w:rPr>
          <w:lang w:eastAsia="ja-JP"/>
        </w:rPr>
      </w:pPr>
      <w:r w:rsidRPr="00222413">
        <w:rPr>
          <w:lang w:eastAsia="ja-JP"/>
        </w:rPr>
        <w:t>Pharynx</w:t>
      </w:r>
      <w:r>
        <w:rPr>
          <w:lang w:eastAsia="ja-JP"/>
        </w:rPr>
        <w:t>/a</w:t>
      </w:r>
      <w:r w:rsidRPr="00222413">
        <w:rPr>
          <w:lang w:eastAsia="ja-JP"/>
        </w:rPr>
        <w:t>denoid</w:t>
      </w:r>
      <w:r>
        <w:rPr>
          <w:lang w:eastAsia="ja-JP"/>
        </w:rPr>
        <w:t>/t</w:t>
      </w:r>
      <w:r w:rsidRPr="00222413">
        <w:rPr>
          <w:lang w:eastAsia="ja-JP"/>
        </w:rPr>
        <w:t xml:space="preserve">onsil </w:t>
      </w:r>
      <w:r>
        <w:rPr>
          <w:lang w:eastAsia="ja-JP"/>
        </w:rPr>
        <w:t>p</w:t>
      </w:r>
      <w:r w:rsidRPr="00222413">
        <w:rPr>
          <w:lang w:eastAsia="ja-JP"/>
        </w:rPr>
        <w:t>rocedure</w:t>
      </w:r>
      <w:r>
        <w:rPr>
          <w:lang w:eastAsia="ja-JP"/>
        </w:rPr>
        <w:t>s</w:t>
      </w:r>
    </w:p>
    <w:p w14:paraId="2AAAFC45" w14:textId="77777777" w:rsidR="008F5762" w:rsidRDefault="008F5762" w:rsidP="008F5762">
      <w:pPr>
        <w:rPr>
          <w:lang w:eastAsia="ja-JP"/>
        </w:rPr>
      </w:pPr>
    </w:p>
    <w:p w14:paraId="7C9CBC01" w14:textId="77777777" w:rsidR="008F5762" w:rsidRDefault="008F5762" w:rsidP="008F5762">
      <w:pPr>
        <w:rPr>
          <w:lang w:eastAsia="ja-JP"/>
        </w:rPr>
      </w:pPr>
      <w:r>
        <w:rPr>
          <w:lang w:eastAsia="ja-JP"/>
        </w:rPr>
        <w:t>Using the “</w:t>
      </w:r>
      <w:r w:rsidRPr="005534B1">
        <w:rPr>
          <w:lang w:eastAsia="ja-JP"/>
        </w:rPr>
        <w:t>Otolaryngology</w:t>
      </w:r>
      <w:r>
        <w:rPr>
          <w:lang w:eastAsia="ja-JP"/>
        </w:rPr>
        <w:t>_adult” sheet, count t</w:t>
      </w:r>
      <w:r w:rsidRPr="00222413">
        <w:rPr>
          <w:lang w:eastAsia="ja-JP"/>
        </w:rPr>
        <w:t xml:space="preserve">he total number of adult (18 years of age or older) patients discharged </w:t>
      </w:r>
      <w:r>
        <w:rPr>
          <w:lang w:eastAsia="ja-JP"/>
        </w:rPr>
        <w:t xml:space="preserve">for each procedure </w:t>
      </w:r>
      <w:r w:rsidRPr="00222413">
        <w:rPr>
          <w:lang w:eastAsia="ja-JP"/>
        </w:rPr>
        <w:t>with any of the CPT codes listed. The CPT code can be in any procedure field.</w:t>
      </w:r>
    </w:p>
    <w:p w14:paraId="23E56382" w14:textId="77777777" w:rsidR="008F5762" w:rsidRPr="00222413" w:rsidRDefault="008F5762" w:rsidP="008F5762">
      <w:pPr>
        <w:rPr>
          <w:lang w:eastAsia="ja-JP"/>
        </w:rPr>
      </w:pPr>
    </w:p>
    <w:p w14:paraId="3227307E" w14:textId="77777777" w:rsidR="008F5762" w:rsidRDefault="008F5762" w:rsidP="008F5762">
      <w:pPr>
        <w:rPr>
          <w:lang w:eastAsia="ja-JP"/>
        </w:rPr>
      </w:pPr>
      <w:r>
        <w:rPr>
          <w:lang w:eastAsia="ja-JP"/>
        </w:rPr>
        <w:t>Using the “</w:t>
      </w:r>
      <w:r w:rsidRPr="005534B1">
        <w:rPr>
          <w:lang w:eastAsia="ja-JP"/>
        </w:rPr>
        <w:t>Otolaryngology</w:t>
      </w:r>
      <w:r>
        <w:rPr>
          <w:lang w:eastAsia="ja-JP"/>
        </w:rPr>
        <w:t>_ped” sheet, count</w:t>
      </w:r>
      <w:r w:rsidRPr="00222413">
        <w:rPr>
          <w:lang w:eastAsia="ja-JP"/>
        </w:rPr>
        <w:t xml:space="preserve"> </w:t>
      </w:r>
      <w:r>
        <w:rPr>
          <w:lang w:eastAsia="ja-JP"/>
        </w:rPr>
        <w:t>t</w:t>
      </w:r>
      <w:r w:rsidRPr="00222413">
        <w:rPr>
          <w:lang w:eastAsia="ja-JP"/>
        </w:rPr>
        <w:t>he total number of pediatric (17 years of age and younger) patients discharged</w:t>
      </w:r>
      <w:r>
        <w:rPr>
          <w:lang w:eastAsia="ja-JP"/>
        </w:rPr>
        <w:t xml:space="preserve"> for each procedure</w:t>
      </w:r>
      <w:r w:rsidRPr="00222413">
        <w:rPr>
          <w:lang w:eastAsia="ja-JP"/>
        </w:rPr>
        <w:t xml:space="preserve"> with any of the CPT codes listed. The CPT code can be in any procedure field.</w:t>
      </w:r>
    </w:p>
    <w:p w14:paraId="70E5A1DD" w14:textId="77777777" w:rsidR="008F5762" w:rsidRPr="00222413" w:rsidRDefault="008F5762" w:rsidP="00222413">
      <w:pPr>
        <w:rPr>
          <w:lang w:eastAsia="ja-JP"/>
        </w:rPr>
      </w:pPr>
    </w:p>
    <w:p w14:paraId="6C1C2D6F" w14:textId="77777777" w:rsidR="00222413" w:rsidRDefault="00222413" w:rsidP="00AB5B80">
      <w:pPr>
        <w:pStyle w:val="Heading3"/>
      </w:pPr>
      <w:bookmarkStart w:id="775" w:name="_Gastroenterology_Measure_Specificat"/>
      <w:bookmarkStart w:id="776" w:name="_Toc225877858"/>
      <w:bookmarkEnd w:id="775"/>
      <w:r w:rsidRPr="00222413">
        <w:t>Gastroenterology Measure Specifications</w:t>
      </w:r>
      <w:bookmarkEnd w:id="776"/>
    </w:p>
    <w:p w14:paraId="1007F95B" w14:textId="77777777" w:rsidR="0074723A" w:rsidRPr="006606DD" w:rsidRDefault="0074723A" w:rsidP="0074723A">
      <w:pPr>
        <w:rPr>
          <w:sz w:val="16"/>
          <w:szCs w:val="16"/>
          <w:lang w:eastAsia="ja-JP"/>
        </w:rPr>
      </w:pPr>
      <w:bookmarkStart w:id="777" w:name="Gastroenterology_MeasureSpecs"/>
    </w:p>
    <w:bookmarkEnd w:id="777"/>
    <w:p w14:paraId="1CF5DF9E" w14:textId="2EC50997" w:rsidR="00222413" w:rsidRDefault="00222413" w:rsidP="00222413">
      <w:pPr>
        <w:rPr>
          <w:lang w:eastAsia="ja-JP"/>
        </w:rPr>
      </w:pPr>
      <w:r w:rsidRPr="00222413">
        <w:rPr>
          <w:lang w:eastAsia="ja-JP"/>
        </w:rPr>
        <w:t xml:space="preserve">For gastroenterology procedures, use the </w:t>
      </w:r>
      <w:r w:rsidR="006320AC">
        <w:rPr>
          <w:lang w:eastAsia="ja-JP"/>
        </w:rPr>
        <w:t xml:space="preserve">CPT codes available </w:t>
      </w:r>
      <w:r w:rsidR="008F5762">
        <w:rPr>
          <w:lang w:eastAsia="ja-JP"/>
        </w:rPr>
        <w:t>via</w:t>
      </w:r>
      <w:r w:rsidR="006320AC">
        <w:rPr>
          <w:lang w:eastAsia="ja-JP"/>
        </w:rPr>
        <w:t xml:space="preserve"> the </w:t>
      </w:r>
      <w:hyperlink r:id="rId485" w:history="1">
        <w:r w:rsidR="006320AC" w:rsidRPr="0009495E">
          <w:rPr>
            <w:rStyle w:val="Hyperlink"/>
            <w:lang w:eastAsia="ja-JP"/>
          </w:rPr>
          <w:t>Survey Dashboard</w:t>
        </w:r>
      </w:hyperlink>
      <w:r w:rsidRPr="00222413">
        <w:rPr>
          <w:lang w:eastAsia="ja-JP"/>
        </w:rPr>
        <w:t xml:space="preserve"> to count </w:t>
      </w:r>
      <w:r w:rsidRPr="00222413">
        <w:rPr>
          <w:b/>
          <w:lang w:eastAsia="ja-JP"/>
        </w:rPr>
        <w:t>patients</w:t>
      </w:r>
      <w:r w:rsidRPr="00222413">
        <w:rPr>
          <w:lang w:eastAsia="ja-JP"/>
        </w:rPr>
        <w:t xml:space="preserve"> discharged from your </w:t>
      </w:r>
      <w:r w:rsidR="00AE0738">
        <w:rPr>
          <w:lang w:eastAsia="ja-JP"/>
        </w:rPr>
        <w:t>hospital outpatient departments</w:t>
      </w:r>
      <w:r w:rsidRPr="00222413">
        <w:rPr>
          <w:lang w:eastAsia="ja-JP"/>
        </w:rPr>
        <w:t xml:space="preserve"> who have undergone </w:t>
      </w:r>
      <w:r w:rsidR="008F5762">
        <w:rPr>
          <w:lang w:eastAsia="ja-JP"/>
        </w:rPr>
        <w:t>either of the 2</w:t>
      </w:r>
      <w:r w:rsidRPr="00222413">
        <w:rPr>
          <w:lang w:eastAsia="ja-JP"/>
        </w:rPr>
        <w:t xml:space="preserve"> procedures during the reporting period. </w:t>
      </w:r>
    </w:p>
    <w:p w14:paraId="1F9075C9" w14:textId="77777777" w:rsidR="0074723A" w:rsidRPr="00222413" w:rsidRDefault="0074723A" w:rsidP="00222413">
      <w:pPr>
        <w:rPr>
          <w:lang w:eastAsia="ja-JP"/>
        </w:rPr>
      </w:pPr>
    </w:p>
    <w:p w14:paraId="2B9E34BC" w14:textId="77777777" w:rsidR="008F5762" w:rsidRPr="002F60E9" w:rsidRDefault="008F5762" w:rsidP="008F5762">
      <w:pPr>
        <w:rPr>
          <w:rFonts w:cs="Arial"/>
        </w:rPr>
      </w:pPr>
      <w:r>
        <w:rPr>
          <w:rFonts w:cs="Arial"/>
        </w:rPr>
        <w:t xml:space="preserve">Both procedures apply to </w:t>
      </w:r>
      <w:r w:rsidRPr="0029141C">
        <w:rPr>
          <w:rFonts w:cs="Arial"/>
          <w:b/>
          <w:bCs/>
        </w:rPr>
        <w:t>adult patients only:</w:t>
      </w:r>
    </w:p>
    <w:p w14:paraId="6F59E6C3" w14:textId="77777777" w:rsidR="008F5762" w:rsidRPr="002F60E9" w:rsidRDefault="008F5762" w:rsidP="00AD309C">
      <w:pPr>
        <w:pStyle w:val="ListParagraph"/>
        <w:numPr>
          <w:ilvl w:val="0"/>
          <w:numId w:val="101"/>
        </w:numPr>
        <w:spacing w:after="120" w:line="264" w:lineRule="auto"/>
        <w:rPr>
          <w:rFonts w:cs="Arial"/>
        </w:rPr>
      </w:pPr>
      <w:r w:rsidRPr="002F60E9">
        <w:rPr>
          <w:rFonts w:cs="Arial"/>
        </w:rPr>
        <w:t xml:space="preserve">Upper GI </w:t>
      </w:r>
      <w:r>
        <w:rPr>
          <w:rFonts w:cs="Arial"/>
        </w:rPr>
        <w:t>e</w:t>
      </w:r>
      <w:r w:rsidRPr="002F60E9">
        <w:rPr>
          <w:rFonts w:cs="Arial"/>
        </w:rPr>
        <w:t>ndoscopy</w:t>
      </w:r>
    </w:p>
    <w:p w14:paraId="66F6B834" w14:textId="77777777" w:rsidR="008F5762" w:rsidRPr="002F60E9" w:rsidRDefault="008F5762" w:rsidP="00AD309C">
      <w:pPr>
        <w:pStyle w:val="ListParagraph"/>
        <w:numPr>
          <w:ilvl w:val="0"/>
          <w:numId w:val="101"/>
        </w:numPr>
        <w:spacing w:after="120" w:line="264" w:lineRule="auto"/>
        <w:rPr>
          <w:rFonts w:cs="Arial"/>
        </w:rPr>
      </w:pPr>
      <w:r w:rsidRPr="002F60E9">
        <w:rPr>
          <w:rFonts w:cs="Arial"/>
        </w:rPr>
        <w:t xml:space="preserve">Lower GI </w:t>
      </w:r>
      <w:r>
        <w:rPr>
          <w:rFonts w:cs="Arial"/>
        </w:rPr>
        <w:t>e</w:t>
      </w:r>
      <w:r w:rsidRPr="002F60E9">
        <w:rPr>
          <w:rFonts w:cs="Arial"/>
        </w:rPr>
        <w:t xml:space="preserve">ndoscopy </w:t>
      </w:r>
    </w:p>
    <w:p w14:paraId="5DD22E09" w14:textId="77777777" w:rsidR="0074723A" w:rsidRPr="00222413" w:rsidRDefault="0074723A" w:rsidP="00B44C1C">
      <w:pPr>
        <w:rPr>
          <w:lang w:eastAsia="ja-JP"/>
        </w:rPr>
      </w:pPr>
    </w:p>
    <w:p w14:paraId="33B91DFB" w14:textId="3378754A" w:rsidR="00222413" w:rsidRPr="00222413" w:rsidRDefault="009A2D71" w:rsidP="000F0F18">
      <w:pPr>
        <w:rPr>
          <w:lang w:eastAsia="ja-JP"/>
        </w:rPr>
      </w:pPr>
      <w:r>
        <w:rPr>
          <w:lang w:eastAsia="ja-JP"/>
        </w:rPr>
        <w:t>Using the “G</w:t>
      </w:r>
      <w:r w:rsidRPr="00222413">
        <w:rPr>
          <w:lang w:eastAsia="ja-JP"/>
        </w:rPr>
        <w:t>astroenterology</w:t>
      </w:r>
      <w:r>
        <w:rPr>
          <w:lang w:eastAsia="ja-JP"/>
        </w:rPr>
        <w:t>_adult” sheet, count t</w:t>
      </w:r>
      <w:r w:rsidR="00222413" w:rsidRPr="00222413">
        <w:rPr>
          <w:lang w:eastAsia="ja-JP"/>
        </w:rPr>
        <w:t xml:space="preserve">he total number of adult (18 years of age or older) patients discharged </w:t>
      </w:r>
      <w:r w:rsidR="00061BD6">
        <w:rPr>
          <w:lang w:eastAsia="ja-JP"/>
        </w:rPr>
        <w:t xml:space="preserve">for each procedure </w:t>
      </w:r>
      <w:r w:rsidR="00222413" w:rsidRPr="00222413">
        <w:rPr>
          <w:lang w:eastAsia="ja-JP"/>
        </w:rPr>
        <w:t>with any of the CPT codes listed. The CPT code can be in any procedure field.</w:t>
      </w:r>
    </w:p>
    <w:p w14:paraId="6399FA2D" w14:textId="77777777" w:rsidR="00222413" w:rsidRPr="00222413" w:rsidRDefault="00222413" w:rsidP="00222413">
      <w:pPr>
        <w:rPr>
          <w:lang w:eastAsia="ja-JP"/>
        </w:rPr>
      </w:pPr>
    </w:p>
    <w:p w14:paraId="251F8D8E" w14:textId="77777777" w:rsidR="00222413" w:rsidRDefault="00222413" w:rsidP="00AB5B80">
      <w:pPr>
        <w:pStyle w:val="Heading3"/>
      </w:pPr>
      <w:bookmarkStart w:id="778" w:name="_General_Surgery_Measure"/>
      <w:bookmarkStart w:id="779" w:name="_Toc225877859"/>
      <w:bookmarkEnd w:id="778"/>
      <w:r w:rsidRPr="00222413">
        <w:t>General Surgery Measure Specifications</w:t>
      </w:r>
      <w:bookmarkEnd w:id="779"/>
    </w:p>
    <w:p w14:paraId="46864811" w14:textId="77777777" w:rsidR="003D62ED" w:rsidRPr="006606DD" w:rsidRDefault="003D62ED" w:rsidP="003D62ED">
      <w:pPr>
        <w:rPr>
          <w:sz w:val="16"/>
          <w:szCs w:val="16"/>
          <w:lang w:eastAsia="ja-JP"/>
        </w:rPr>
      </w:pPr>
      <w:bookmarkStart w:id="780" w:name="GeneralSurgery_MeasureSpecs"/>
    </w:p>
    <w:bookmarkEnd w:id="780"/>
    <w:p w14:paraId="288798F5" w14:textId="336009DC" w:rsidR="00222413" w:rsidRDefault="00222413" w:rsidP="00222413">
      <w:pPr>
        <w:rPr>
          <w:lang w:eastAsia="ja-JP"/>
        </w:rPr>
      </w:pPr>
      <w:r w:rsidRPr="00222413">
        <w:rPr>
          <w:lang w:eastAsia="ja-JP"/>
        </w:rPr>
        <w:t xml:space="preserve">For general surgery procedures, use the  </w:t>
      </w:r>
      <w:r w:rsidR="006320AC">
        <w:rPr>
          <w:lang w:eastAsia="ja-JP"/>
        </w:rPr>
        <w:t xml:space="preserve">CPT codes available </w:t>
      </w:r>
      <w:r w:rsidR="008F5762">
        <w:rPr>
          <w:lang w:eastAsia="ja-JP"/>
        </w:rPr>
        <w:t>via</w:t>
      </w:r>
      <w:r w:rsidR="006320AC">
        <w:rPr>
          <w:lang w:eastAsia="ja-JP"/>
        </w:rPr>
        <w:t xml:space="preserve"> the </w:t>
      </w:r>
      <w:hyperlink r:id="rId486" w:history="1">
        <w:r w:rsidR="006320AC" w:rsidRPr="0009495E">
          <w:rPr>
            <w:rStyle w:val="Hyperlink"/>
            <w:lang w:eastAsia="ja-JP"/>
          </w:rPr>
          <w:t>Survey Dashboard</w:t>
        </w:r>
      </w:hyperlink>
      <w:r w:rsidR="006320AC">
        <w:rPr>
          <w:lang w:eastAsia="ja-JP"/>
        </w:rPr>
        <w:t xml:space="preserve"> </w:t>
      </w:r>
      <w:r w:rsidRPr="00222413">
        <w:rPr>
          <w:lang w:eastAsia="ja-JP"/>
        </w:rPr>
        <w:t xml:space="preserve">to count </w:t>
      </w:r>
      <w:r w:rsidRPr="00222413">
        <w:rPr>
          <w:b/>
          <w:lang w:eastAsia="ja-JP"/>
        </w:rPr>
        <w:t>patients</w:t>
      </w:r>
      <w:r w:rsidRPr="00222413">
        <w:rPr>
          <w:lang w:eastAsia="ja-JP"/>
        </w:rPr>
        <w:t xml:space="preserve"> discharged from your</w:t>
      </w:r>
      <w:r w:rsidR="00AE0738">
        <w:rPr>
          <w:lang w:eastAsia="ja-JP"/>
        </w:rPr>
        <w:t xml:space="preserve"> hospital outpatient departments</w:t>
      </w:r>
      <w:r w:rsidRPr="00222413">
        <w:rPr>
          <w:lang w:eastAsia="ja-JP"/>
        </w:rPr>
        <w:t xml:space="preserve"> who have undergone any of the </w:t>
      </w:r>
      <w:r w:rsidR="003968AC">
        <w:rPr>
          <w:lang w:eastAsia="ja-JP"/>
        </w:rPr>
        <w:t>7</w:t>
      </w:r>
      <w:r w:rsidRPr="00222413">
        <w:rPr>
          <w:lang w:eastAsia="ja-JP"/>
        </w:rPr>
        <w:t xml:space="preserve"> procedures during the reporting period. </w:t>
      </w:r>
    </w:p>
    <w:p w14:paraId="7503AE3E" w14:textId="77777777" w:rsidR="003D62ED" w:rsidRPr="00222413" w:rsidRDefault="003D62ED" w:rsidP="00222413">
      <w:pPr>
        <w:rPr>
          <w:lang w:eastAsia="ja-JP"/>
        </w:rPr>
      </w:pPr>
    </w:p>
    <w:p w14:paraId="2940660E" w14:textId="38ED0A86" w:rsidR="00222413" w:rsidRPr="00222413" w:rsidRDefault="008F5762" w:rsidP="00222413">
      <w:pPr>
        <w:rPr>
          <w:lang w:eastAsia="ja-JP"/>
        </w:rPr>
      </w:pPr>
      <w:r>
        <w:rPr>
          <w:lang w:eastAsia="ja-JP"/>
        </w:rPr>
        <w:t>All seven</w:t>
      </w:r>
      <w:r w:rsidRPr="00222413">
        <w:rPr>
          <w:lang w:eastAsia="ja-JP"/>
        </w:rPr>
        <w:t xml:space="preserve"> </w:t>
      </w:r>
      <w:r w:rsidR="00222413" w:rsidRPr="00222413">
        <w:rPr>
          <w:lang w:eastAsia="ja-JP"/>
        </w:rPr>
        <w:t xml:space="preserve">procedures apply to </w:t>
      </w:r>
      <w:r w:rsidR="00222413" w:rsidRPr="00222413">
        <w:rPr>
          <w:b/>
          <w:lang w:eastAsia="ja-JP"/>
        </w:rPr>
        <w:t>adult patients only</w:t>
      </w:r>
      <w:r w:rsidR="00222413" w:rsidRPr="00222413">
        <w:rPr>
          <w:lang w:eastAsia="ja-JP"/>
        </w:rPr>
        <w:t xml:space="preserve">: </w:t>
      </w:r>
    </w:p>
    <w:p w14:paraId="2697DF5C" w14:textId="1F007875" w:rsidR="00222413" w:rsidRPr="00222413" w:rsidRDefault="00222413" w:rsidP="00AD309C">
      <w:pPr>
        <w:numPr>
          <w:ilvl w:val="0"/>
          <w:numId w:val="101"/>
        </w:numPr>
        <w:rPr>
          <w:lang w:eastAsia="ja-JP"/>
        </w:rPr>
      </w:pPr>
      <w:r w:rsidRPr="00222413">
        <w:rPr>
          <w:lang w:eastAsia="ja-JP"/>
        </w:rPr>
        <w:t xml:space="preserve">Cholecystectomy and </w:t>
      </w:r>
      <w:r w:rsidR="007A5FB6">
        <w:rPr>
          <w:lang w:eastAsia="ja-JP"/>
        </w:rPr>
        <w:t>c</w:t>
      </w:r>
      <w:r w:rsidRPr="00222413">
        <w:rPr>
          <w:lang w:eastAsia="ja-JP"/>
        </w:rPr>
        <w:t xml:space="preserve">ommon </w:t>
      </w:r>
      <w:r w:rsidR="007A5FB6">
        <w:rPr>
          <w:lang w:eastAsia="ja-JP"/>
        </w:rPr>
        <w:t>d</w:t>
      </w:r>
      <w:r w:rsidRPr="00222413">
        <w:rPr>
          <w:lang w:eastAsia="ja-JP"/>
        </w:rPr>
        <w:t xml:space="preserve">uct </w:t>
      </w:r>
      <w:r w:rsidR="007A5FB6">
        <w:rPr>
          <w:lang w:eastAsia="ja-JP"/>
        </w:rPr>
        <w:t>e</w:t>
      </w:r>
      <w:r w:rsidRPr="00222413">
        <w:rPr>
          <w:lang w:eastAsia="ja-JP"/>
        </w:rPr>
        <w:t>xploration</w:t>
      </w:r>
    </w:p>
    <w:p w14:paraId="3275F0F1" w14:textId="251CA323" w:rsidR="00222413" w:rsidRPr="00222413" w:rsidRDefault="00222413" w:rsidP="00AD309C">
      <w:pPr>
        <w:numPr>
          <w:ilvl w:val="0"/>
          <w:numId w:val="101"/>
        </w:numPr>
        <w:rPr>
          <w:lang w:eastAsia="ja-JP"/>
        </w:rPr>
      </w:pPr>
      <w:r w:rsidRPr="00222413">
        <w:rPr>
          <w:lang w:eastAsia="ja-JP"/>
        </w:rPr>
        <w:t xml:space="preserve">Hemorrhoid </w:t>
      </w:r>
      <w:r w:rsidR="007A5FB6">
        <w:rPr>
          <w:lang w:eastAsia="ja-JP"/>
        </w:rPr>
        <w:t>p</w:t>
      </w:r>
      <w:r w:rsidRPr="00222413">
        <w:rPr>
          <w:lang w:eastAsia="ja-JP"/>
        </w:rPr>
        <w:t>rocedure</w:t>
      </w:r>
    </w:p>
    <w:p w14:paraId="71A90D63" w14:textId="77777777" w:rsidR="00222413" w:rsidRPr="00222413" w:rsidRDefault="00222413" w:rsidP="00AD309C">
      <w:pPr>
        <w:numPr>
          <w:ilvl w:val="0"/>
          <w:numId w:val="101"/>
        </w:numPr>
        <w:rPr>
          <w:lang w:eastAsia="ja-JP"/>
        </w:rPr>
      </w:pPr>
      <w:r w:rsidRPr="00222413">
        <w:rPr>
          <w:lang w:eastAsia="ja-JP"/>
        </w:rPr>
        <w:t>Laparoscopy</w:t>
      </w:r>
    </w:p>
    <w:p w14:paraId="7D7385DF" w14:textId="2016F5FB" w:rsidR="00222413" w:rsidRPr="00222413" w:rsidRDefault="00222413" w:rsidP="00AD309C">
      <w:pPr>
        <w:numPr>
          <w:ilvl w:val="0"/>
          <w:numId w:val="101"/>
        </w:numPr>
        <w:rPr>
          <w:lang w:eastAsia="ja-JP"/>
        </w:rPr>
      </w:pPr>
      <w:r w:rsidRPr="00222413">
        <w:rPr>
          <w:lang w:eastAsia="ja-JP"/>
        </w:rPr>
        <w:t xml:space="preserve">Lumpectomy or </w:t>
      </w:r>
      <w:r w:rsidR="007A5FB6">
        <w:rPr>
          <w:lang w:eastAsia="ja-JP"/>
        </w:rPr>
        <w:t>q</w:t>
      </w:r>
      <w:r w:rsidRPr="00222413">
        <w:rPr>
          <w:lang w:eastAsia="ja-JP"/>
        </w:rPr>
        <w:t xml:space="preserve">uadrantectomy of </w:t>
      </w:r>
      <w:r w:rsidR="007A5FB6">
        <w:rPr>
          <w:lang w:eastAsia="ja-JP"/>
        </w:rPr>
        <w:t>b</w:t>
      </w:r>
      <w:r w:rsidRPr="00222413">
        <w:rPr>
          <w:lang w:eastAsia="ja-JP"/>
        </w:rPr>
        <w:t>reast</w:t>
      </w:r>
    </w:p>
    <w:p w14:paraId="6B0C100E" w14:textId="074916EE" w:rsidR="003D62ED" w:rsidRPr="00222413" w:rsidRDefault="00222413" w:rsidP="00AD309C">
      <w:pPr>
        <w:numPr>
          <w:ilvl w:val="0"/>
          <w:numId w:val="101"/>
        </w:numPr>
        <w:rPr>
          <w:lang w:eastAsia="ja-JP"/>
        </w:rPr>
      </w:pPr>
      <w:r w:rsidRPr="00222413">
        <w:rPr>
          <w:lang w:eastAsia="ja-JP"/>
        </w:rPr>
        <w:t>Mastectomy</w:t>
      </w:r>
    </w:p>
    <w:p w14:paraId="1119D311" w14:textId="508CEBB2" w:rsidR="00222413" w:rsidRPr="00222413" w:rsidRDefault="00222413" w:rsidP="00AD309C">
      <w:pPr>
        <w:numPr>
          <w:ilvl w:val="0"/>
          <w:numId w:val="117"/>
        </w:numPr>
        <w:rPr>
          <w:lang w:eastAsia="ja-JP"/>
        </w:rPr>
      </w:pPr>
      <w:r w:rsidRPr="00222413">
        <w:rPr>
          <w:lang w:eastAsia="ja-JP"/>
        </w:rPr>
        <w:t xml:space="preserve">Inguinal and </w:t>
      </w:r>
      <w:r w:rsidR="007A5FB6">
        <w:rPr>
          <w:lang w:eastAsia="ja-JP"/>
        </w:rPr>
        <w:t>f</w:t>
      </w:r>
      <w:r w:rsidRPr="00222413">
        <w:rPr>
          <w:lang w:eastAsia="ja-JP"/>
        </w:rPr>
        <w:t xml:space="preserve">emoral </w:t>
      </w:r>
      <w:r w:rsidR="007A5FB6">
        <w:rPr>
          <w:lang w:eastAsia="ja-JP"/>
        </w:rPr>
        <w:t>h</w:t>
      </w:r>
      <w:r w:rsidRPr="00222413">
        <w:rPr>
          <w:lang w:eastAsia="ja-JP"/>
        </w:rPr>
        <w:t xml:space="preserve">ernia </w:t>
      </w:r>
      <w:r w:rsidR="007A5FB6">
        <w:rPr>
          <w:lang w:eastAsia="ja-JP"/>
        </w:rPr>
        <w:t>r</w:t>
      </w:r>
      <w:r w:rsidRPr="00222413">
        <w:rPr>
          <w:lang w:eastAsia="ja-JP"/>
        </w:rPr>
        <w:t>epair</w:t>
      </w:r>
    </w:p>
    <w:p w14:paraId="26C2DA71" w14:textId="188BA2C9" w:rsidR="00222413" w:rsidRPr="00222413" w:rsidRDefault="00222413" w:rsidP="00AD309C">
      <w:pPr>
        <w:numPr>
          <w:ilvl w:val="0"/>
          <w:numId w:val="117"/>
        </w:numPr>
        <w:rPr>
          <w:lang w:eastAsia="ja-JP"/>
        </w:rPr>
      </w:pPr>
      <w:r w:rsidRPr="00222413">
        <w:rPr>
          <w:lang w:eastAsia="ja-JP"/>
        </w:rPr>
        <w:t xml:space="preserve">Other </w:t>
      </w:r>
      <w:r w:rsidR="007A5FB6">
        <w:rPr>
          <w:lang w:eastAsia="ja-JP"/>
        </w:rPr>
        <w:t>h</w:t>
      </w:r>
      <w:r w:rsidRPr="00222413">
        <w:rPr>
          <w:lang w:eastAsia="ja-JP"/>
        </w:rPr>
        <w:t xml:space="preserve">ernia </w:t>
      </w:r>
      <w:r w:rsidR="007A5FB6">
        <w:rPr>
          <w:lang w:eastAsia="ja-JP"/>
        </w:rPr>
        <w:t>r</w:t>
      </w:r>
      <w:r w:rsidRPr="00222413">
        <w:rPr>
          <w:lang w:eastAsia="ja-JP"/>
        </w:rPr>
        <w:t xml:space="preserve">epair </w:t>
      </w:r>
    </w:p>
    <w:p w14:paraId="1C42DB6C" w14:textId="77777777" w:rsidR="003D62ED" w:rsidRDefault="003D62ED" w:rsidP="00222413">
      <w:pPr>
        <w:rPr>
          <w:lang w:eastAsia="ja-JP"/>
        </w:rPr>
      </w:pPr>
    </w:p>
    <w:p w14:paraId="323C23D0" w14:textId="1DD37453" w:rsidR="00222413" w:rsidRPr="00222413" w:rsidRDefault="0091149E" w:rsidP="000F0F18">
      <w:pPr>
        <w:rPr>
          <w:lang w:eastAsia="ja-JP"/>
        </w:rPr>
      </w:pPr>
      <w:r>
        <w:rPr>
          <w:lang w:eastAsia="ja-JP"/>
        </w:rPr>
        <w:t>Using the “General su</w:t>
      </w:r>
      <w:r w:rsidR="00016FA8">
        <w:rPr>
          <w:lang w:eastAsia="ja-JP"/>
        </w:rPr>
        <w:t>r</w:t>
      </w:r>
      <w:r>
        <w:rPr>
          <w:lang w:eastAsia="ja-JP"/>
        </w:rPr>
        <w:t>gery_adult” sheet, count t</w:t>
      </w:r>
      <w:r w:rsidR="00222413" w:rsidRPr="00222413">
        <w:rPr>
          <w:lang w:eastAsia="ja-JP"/>
        </w:rPr>
        <w:t xml:space="preserve">he total number of adult (18 years of age or older) patients discharged </w:t>
      </w:r>
      <w:r>
        <w:rPr>
          <w:lang w:eastAsia="ja-JP"/>
        </w:rPr>
        <w:t xml:space="preserve">for each procedure </w:t>
      </w:r>
      <w:r w:rsidR="00222413" w:rsidRPr="00222413">
        <w:rPr>
          <w:lang w:eastAsia="ja-JP"/>
        </w:rPr>
        <w:t>with any of the CPT codes listed. The CPT code can be in any procedure field</w:t>
      </w:r>
      <w:r w:rsidR="007C3954">
        <w:rPr>
          <w:lang w:eastAsia="ja-JP"/>
        </w:rPr>
        <w:t>.</w:t>
      </w:r>
    </w:p>
    <w:p w14:paraId="0572DA30" w14:textId="77777777" w:rsidR="00FD51D6" w:rsidRPr="00222413" w:rsidRDefault="00FD51D6" w:rsidP="00B44C1C">
      <w:pPr>
        <w:rPr>
          <w:lang w:eastAsia="ja-JP"/>
        </w:rPr>
      </w:pPr>
    </w:p>
    <w:p w14:paraId="19F462ED" w14:textId="77777777" w:rsidR="00222413" w:rsidRDefault="00222413" w:rsidP="00AB5B80">
      <w:pPr>
        <w:pStyle w:val="Heading3"/>
      </w:pPr>
      <w:bookmarkStart w:id="781" w:name="_Urology_Measure_Specifications"/>
      <w:bookmarkStart w:id="782" w:name="_Toc225877860"/>
      <w:bookmarkEnd w:id="781"/>
      <w:r w:rsidRPr="00222413">
        <w:t>Urology Measure Specifications</w:t>
      </w:r>
      <w:bookmarkEnd w:id="782"/>
    </w:p>
    <w:p w14:paraId="4F83E235" w14:textId="77777777" w:rsidR="00314EA4" w:rsidRPr="006606DD" w:rsidRDefault="00314EA4" w:rsidP="00314EA4">
      <w:pPr>
        <w:rPr>
          <w:sz w:val="16"/>
          <w:szCs w:val="16"/>
          <w:lang w:eastAsia="ja-JP"/>
        </w:rPr>
      </w:pPr>
      <w:bookmarkStart w:id="783" w:name="Urology_MeasureSpecs"/>
    </w:p>
    <w:bookmarkEnd w:id="783"/>
    <w:p w14:paraId="1189E95E" w14:textId="32357DAB" w:rsidR="00222413" w:rsidRDefault="00222413" w:rsidP="00222413">
      <w:pPr>
        <w:rPr>
          <w:lang w:eastAsia="ja-JP"/>
        </w:rPr>
      </w:pPr>
      <w:r w:rsidRPr="00222413">
        <w:rPr>
          <w:lang w:eastAsia="ja-JP"/>
        </w:rPr>
        <w:t xml:space="preserve">For urology procedures, use the </w:t>
      </w:r>
      <w:r w:rsidR="00A476FB">
        <w:rPr>
          <w:lang w:eastAsia="ja-JP"/>
        </w:rPr>
        <w:t xml:space="preserve">CPT codes available </w:t>
      </w:r>
      <w:r w:rsidR="008F5762">
        <w:rPr>
          <w:lang w:eastAsia="ja-JP"/>
        </w:rPr>
        <w:t>via</w:t>
      </w:r>
      <w:r w:rsidR="00A476FB">
        <w:rPr>
          <w:lang w:eastAsia="ja-JP"/>
        </w:rPr>
        <w:t xml:space="preserve"> the </w:t>
      </w:r>
      <w:hyperlink r:id="rId487" w:history="1">
        <w:r w:rsidR="00A476FB" w:rsidRPr="0009495E">
          <w:rPr>
            <w:rStyle w:val="Hyperlink"/>
            <w:lang w:eastAsia="ja-JP"/>
          </w:rPr>
          <w:t>Survey Dashboard</w:t>
        </w:r>
      </w:hyperlink>
      <w:r w:rsidRPr="00222413">
        <w:rPr>
          <w:lang w:eastAsia="ja-JP"/>
        </w:rPr>
        <w:t xml:space="preserve"> to count </w:t>
      </w:r>
      <w:r w:rsidRPr="00222413">
        <w:rPr>
          <w:b/>
          <w:lang w:eastAsia="ja-JP"/>
        </w:rPr>
        <w:t>patients</w:t>
      </w:r>
      <w:r w:rsidRPr="00222413">
        <w:rPr>
          <w:lang w:eastAsia="ja-JP"/>
        </w:rPr>
        <w:t xml:space="preserve"> discharged from your </w:t>
      </w:r>
      <w:r w:rsidR="00AE0738">
        <w:rPr>
          <w:lang w:eastAsia="ja-JP"/>
        </w:rPr>
        <w:t>hospital outpatient departments</w:t>
      </w:r>
      <w:r w:rsidRPr="00222413">
        <w:rPr>
          <w:lang w:eastAsia="ja-JP"/>
        </w:rPr>
        <w:t xml:space="preserve"> who have undergone any of the </w:t>
      </w:r>
      <w:r w:rsidR="003968AC">
        <w:rPr>
          <w:lang w:eastAsia="ja-JP"/>
        </w:rPr>
        <w:t>5</w:t>
      </w:r>
      <w:r w:rsidRPr="00222413">
        <w:rPr>
          <w:lang w:eastAsia="ja-JP"/>
        </w:rPr>
        <w:t xml:space="preserve"> procedures during the reporting period. </w:t>
      </w:r>
    </w:p>
    <w:p w14:paraId="72CA7404" w14:textId="77777777" w:rsidR="00314EA4" w:rsidRPr="00222413" w:rsidRDefault="00314EA4" w:rsidP="00222413">
      <w:pPr>
        <w:rPr>
          <w:lang w:eastAsia="ja-JP"/>
        </w:rPr>
      </w:pPr>
    </w:p>
    <w:p w14:paraId="5BD1B87C" w14:textId="18E83545" w:rsidR="00222413" w:rsidRPr="00222413" w:rsidRDefault="002D3130" w:rsidP="00222413">
      <w:pPr>
        <w:rPr>
          <w:lang w:eastAsia="ja-JP"/>
        </w:rPr>
      </w:pPr>
      <w:r>
        <w:rPr>
          <w:lang w:eastAsia="ja-JP"/>
        </w:rPr>
        <w:t>All f</w:t>
      </w:r>
      <w:r w:rsidR="00BF3FA2">
        <w:rPr>
          <w:lang w:eastAsia="ja-JP"/>
        </w:rPr>
        <w:t>ive</w:t>
      </w:r>
      <w:r w:rsidR="00BF3FA2" w:rsidRPr="00222413">
        <w:rPr>
          <w:lang w:eastAsia="ja-JP"/>
        </w:rPr>
        <w:t xml:space="preserve"> </w:t>
      </w:r>
      <w:r w:rsidR="00222413" w:rsidRPr="00222413">
        <w:rPr>
          <w:lang w:eastAsia="ja-JP"/>
        </w:rPr>
        <w:t>procedure</w:t>
      </w:r>
      <w:r w:rsidR="00BF3FA2">
        <w:rPr>
          <w:lang w:eastAsia="ja-JP"/>
        </w:rPr>
        <w:t>s</w:t>
      </w:r>
      <w:r w:rsidR="00222413" w:rsidRPr="00222413">
        <w:rPr>
          <w:lang w:eastAsia="ja-JP"/>
        </w:rPr>
        <w:t xml:space="preserve"> app</w:t>
      </w:r>
      <w:r w:rsidR="00BF3FA2">
        <w:rPr>
          <w:lang w:eastAsia="ja-JP"/>
        </w:rPr>
        <w:t>ly</w:t>
      </w:r>
      <w:r w:rsidR="00222413" w:rsidRPr="00222413">
        <w:rPr>
          <w:lang w:eastAsia="ja-JP"/>
        </w:rPr>
        <w:t xml:space="preserve"> to </w:t>
      </w:r>
      <w:r w:rsidR="00222413" w:rsidRPr="00222413">
        <w:rPr>
          <w:b/>
          <w:lang w:eastAsia="ja-JP"/>
        </w:rPr>
        <w:t>adult patients</w:t>
      </w:r>
      <w:r w:rsidR="00222413" w:rsidRPr="00222413">
        <w:rPr>
          <w:lang w:eastAsia="ja-JP"/>
        </w:rPr>
        <w:t xml:space="preserve"> </w:t>
      </w:r>
      <w:r w:rsidR="00222413" w:rsidRPr="00222413">
        <w:rPr>
          <w:b/>
          <w:lang w:eastAsia="ja-JP"/>
        </w:rPr>
        <w:t>only</w:t>
      </w:r>
      <w:r w:rsidR="00222413" w:rsidRPr="00222413">
        <w:rPr>
          <w:lang w:eastAsia="ja-JP"/>
        </w:rPr>
        <w:t xml:space="preserve">: </w:t>
      </w:r>
    </w:p>
    <w:p w14:paraId="55EAB311" w14:textId="745DAEB0" w:rsidR="00314EA4" w:rsidRPr="00222413" w:rsidRDefault="00206F35" w:rsidP="00AD309C">
      <w:pPr>
        <w:numPr>
          <w:ilvl w:val="0"/>
          <w:numId w:val="101"/>
        </w:numPr>
        <w:rPr>
          <w:lang w:eastAsia="ja-JP"/>
        </w:rPr>
      </w:pPr>
      <w:r>
        <w:rPr>
          <w:lang w:eastAsia="ja-JP"/>
        </w:rPr>
        <w:t>Circumcision</w:t>
      </w:r>
    </w:p>
    <w:p w14:paraId="7FB18FBA" w14:textId="77777777" w:rsidR="00222413" w:rsidRPr="00222413" w:rsidRDefault="00222413" w:rsidP="00AD309C">
      <w:pPr>
        <w:numPr>
          <w:ilvl w:val="0"/>
          <w:numId w:val="117"/>
        </w:numPr>
        <w:rPr>
          <w:lang w:eastAsia="ja-JP"/>
        </w:rPr>
      </w:pPr>
      <w:r w:rsidRPr="00222413">
        <w:rPr>
          <w:lang w:eastAsia="ja-JP"/>
        </w:rPr>
        <w:t xml:space="preserve">Cystourethroscopy </w:t>
      </w:r>
    </w:p>
    <w:p w14:paraId="59E3C8CF" w14:textId="53FA6700" w:rsidR="00222413" w:rsidRPr="00222413" w:rsidRDefault="00222413" w:rsidP="00AD309C">
      <w:pPr>
        <w:numPr>
          <w:ilvl w:val="0"/>
          <w:numId w:val="117"/>
        </w:numPr>
        <w:rPr>
          <w:lang w:eastAsia="ja-JP"/>
        </w:rPr>
      </w:pPr>
      <w:r w:rsidRPr="00222413">
        <w:rPr>
          <w:lang w:eastAsia="ja-JP"/>
        </w:rPr>
        <w:lastRenderedPageBreak/>
        <w:t xml:space="preserve">Male </w:t>
      </w:r>
      <w:r w:rsidR="00F50E17">
        <w:rPr>
          <w:lang w:eastAsia="ja-JP"/>
        </w:rPr>
        <w:t>g</w:t>
      </w:r>
      <w:r w:rsidRPr="00222413">
        <w:rPr>
          <w:lang w:eastAsia="ja-JP"/>
        </w:rPr>
        <w:t xml:space="preserve">enital </w:t>
      </w:r>
      <w:r w:rsidR="00F50E17">
        <w:rPr>
          <w:lang w:eastAsia="ja-JP"/>
        </w:rPr>
        <w:t>p</w:t>
      </w:r>
      <w:r w:rsidRPr="00222413">
        <w:rPr>
          <w:lang w:eastAsia="ja-JP"/>
        </w:rPr>
        <w:t>rocedures</w:t>
      </w:r>
    </w:p>
    <w:p w14:paraId="129B8731" w14:textId="453003A6" w:rsidR="00222413" w:rsidRPr="00222413" w:rsidRDefault="00222413" w:rsidP="00AD309C">
      <w:pPr>
        <w:numPr>
          <w:ilvl w:val="0"/>
          <w:numId w:val="117"/>
        </w:numPr>
        <w:rPr>
          <w:lang w:eastAsia="ja-JP"/>
        </w:rPr>
      </w:pPr>
      <w:r w:rsidRPr="00222413">
        <w:rPr>
          <w:lang w:eastAsia="ja-JP"/>
        </w:rPr>
        <w:t xml:space="preserve">Urethra </w:t>
      </w:r>
      <w:r w:rsidR="00F50E17">
        <w:rPr>
          <w:lang w:eastAsia="ja-JP"/>
        </w:rPr>
        <w:t>p</w:t>
      </w:r>
      <w:r w:rsidRPr="00222413">
        <w:rPr>
          <w:lang w:eastAsia="ja-JP"/>
        </w:rPr>
        <w:t>rocedures</w:t>
      </w:r>
    </w:p>
    <w:p w14:paraId="739E1C0B" w14:textId="107CDEF0" w:rsidR="00222413" w:rsidRPr="00222413" w:rsidRDefault="00222413" w:rsidP="00AD309C">
      <w:pPr>
        <w:numPr>
          <w:ilvl w:val="0"/>
          <w:numId w:val="117"/>
        </w:numPr>
        <w:rPr>
          <w:lang w:eastAsia="ja-JP"/>
        </w:rPr>
      </w:pPr>
      <w:r w:rsidRPr="00222413">
        <w:rPr>
          <w:lang w:eastAsia="ja-JP"/>
        </w:rPr>
        <w:t xml:space="preserve">Vaginal </w:t>
      </w:r>
      <w:r w:rsidR="00F50E17">
        <w:rPr>
          <w:lang w:eastAsia="ja-JP"/>
        </w:rPr>
        <w:t>r</w:t>
      </w:r>
      <w:r w:rsidRPr="00222413">
        <w:rPr>
          <w:lang w:eastAsia="ja-JP"/>
        </w:rPr>
        <w:t xml:space="preserve">epair </w:t>
      </w:r>
      <w:r w:rsidR="00F50E17">
        <w:rPr>
          <w:lang w:eastAsia="ja-JP"/>
        </w:rPr>
        <w:t>p</w:t>
      </w:r>
      <w:r w:rsidRPr="00222413">
        <w:rPr>
          <w:lang w:eastAsia="ja-JP"/>
        </w:rPr>
        <w:t>rocedures</w:t>
      </w:r>
    </w:p>
    <w:p w14:paraId="13A6C982" w14:textId="77777777" w:rsidR="00314EA4" w:rsidRDefault="00314EA4" w:rsidP="00222413">
      <w:pPr>
        <w:rPr>
          <w:lang w:eastAsia="ja-JP"/>
        </w:rPr>
      </w:pPr>
    </w:p>
    <w:p w14:paraId="48272278" w14:textId="2A31CA2A" w:rsidR="00222413" w:rsidRDefault="003F76DA" w:rsidP="000F0F18">
      <w:pPr>
        <w:rPr>
          <w:lang w:eastAsia="ja-JP"/>
        </w:rPr>
      </w:pPr>
      <w:r>
        <w:rPr>
          <w:lang w:eastAsia="ja-JP"/>
        </w:rPr>
        <w:t>Using the “Urology_adult” sheet, count t</w:t>
      </w:r>
      <w:r w:rsidR="00222413" w:rsidRPr="00222413">
        <w:rPr>
          <w:lang w:eastAsia="ja-JP"/>
        </w:rPr>
        <w:t xml:space="preserve">he total number of adult (18 years of age or older) patients discharged </w:t>
      </w:r>
      <w:r w:rsidR="001A3449">
        <w:rPr>
          <w:lang w:eastAsia="ja-JP"/>
        </w:rPr>
        <w:t xml:space="preserve">for each procedure </w:t>
      </w:r>
      <w:r w:rsidR="00222413" w:rsidRPr="00222413">
        <w:rPr>
          <w:lang w:eastAsia="ja-JP"/>
        </w:rPr>
        <w:t>with any of the CPT codes listed. The CPT code can be in any procedure field.</w:t>
      </w:r>
    </w:p>
    <w:p w14:paraId="5C9788D7" w14:textId="77777777" w:rsidR="00222413" w:rsidRPr="00222413" w:rsidRDefault="00222413" w:rsidP="00222413">
      <w:pPr>
        <w:rPr>
          <w:lang w:eastAsia="ja-JP"/>
        </w:rPr>
      </w:pPr>
    </w:p>
    <w:p w14:paraId="3C6999B7" w14:textId="77777777" w:rsidR="00222413" w:rsidRDefault="00222413" w:rsidP="00AB5B80">
      <w:pPr>
        <w:pStyle w:val="Heading3"/>
      </w:pPr>
      <w:bookmarkStart w:id="784" w:name="_Neurological_Surgery_Measure"/>
      <w:bookmarkStart w:id="785" w:name="_Toc225877861"/>
      <w:bookmarkEnd w:id="784"/>
      <w:r w:rsidRPr="00222413">
        <w:t>Neurological Surgery Measure Specifications</w:t>
      </w:r>
      <w:bookmarkEnd w:id="785"/>
    </w:p>
    <w:p w14:paraId="3A3AD3C1" w14:textId="77777777" w:rsidR="007E74FD" w:rsidRPr="006606DD" w:rsidRDefault="007E74FD" w:rsidP="007E74FD">
      <w:pPr>
        <w:rPr>
          <w:sz w:val="16"/>
          <w:szCs w:val="16"/>
          <w:lang w:eastAsia="ja-JP"/>
        </w:rPr>
      </w:pPr>
      <w:bookmarkStart w:id="786" w:name="NeurologicalSurgery_MeasureSpecs"/>
    </w:p>
    <w:bookmarkEnd w:id="786"/>
    <w:p w14:paraId="7DDA5785" w14:textId="4922E834" w:rsidR="00314EA4" w:rsidRDefault="00222413" w:rsidP="00222413">
      <w:pPr>
        <w:rPr>
          <w:lang w:eastAsia="ja-JP"/>
        </w:rPr>
      </w:pPr>
      <w:r w:rsidRPr="00222413">
        <w:rPr>
          <w:lang w:eastAsia="ja-JP"/>
        </w:rPr>
        <w:t xml:space="preserve">For neurological surgery procedures, use the </w:t>
      </w:r>
      <w:r w:rsidR="00950C2B">
        <w:rPr>
          <w:lang w:eastAsia="ja-JP"/>
        </w:rPr>
        <w:t xml:space="preserve">CPT codes available </w:t>
      </w:r>
      <w:r w:rsidR="008F5762">
        <w:rPr>
          <w:lang w:eastAsia="ja-JP"/>
        </w:rPr>
        <w:t>via</w:t>
      </w:r>
      <w:r w:rsidR="00950C2B">
        <w:rPr>
          <w:lang w:eastAsia="ja-JP"/>
        </w:rPr>
        <w:t xml:space="preserve"> the </w:t>
      </w:r>
      <w:hyperlink r:id="rId488" w:history="1">
        <w:r w:rsidR="00950C2B" w:rsidRPr="0009495E">
          <w:rPr>
            <w:rStyle w:val="Hyperlink"/>
            <w:lang w:eastAsia="ja-JP"/>
          </w:rPr>
          <w:t>Survey Dashboard</w:t>
        </w:r>
      </w:hyperlink>
      <w:r w:rsidR="00950C2B">
        <w:rPr>
          <w:lang w:eastAsia="ja-JP"/>
        </w:rPr>
        <w:t xml:space="preserve"> </w:t>
      </w:r>
      <w:r w:rsidRPr="00222413">
        <w:rPr>
          <w:lang w:eastAsia="ja-JP"/>
        </w:rPr>
        <w:t xml:space="preserve">to count </w:t>
      </w:r>
      <w:r w:rsidRPr="00222413">
        <w:rPr>
          <w:b/>
          <w:lang w:eastAsia="ja-JP"/>
        </w:rPr>
        <w:t>patients</w:t>
      </w:r>
      <w:r w:rsidRPr="00222413">
        <w:rPr>
          <w:lang w:eastAsia="ja-JP"/>
        </w:rPr>
        <w:t xml:space="preserve"> discharged from your </w:t>
      </w:r>
      <w:r w:rsidR="00AE0738">
        <w:rPr>
          <w:lang w:eastAsia="ja-JP"/>
        </w:rPr>
        <w:t>hospital outpatient departments</w:t>
      </w:r>
      <w:r w:rsidRPr="00222413">
        <w:rPr>
          <w:lang w:eastAsia="ja-JP"/>
        </w:rPr>
        <w:t xml:space="preserve"> who have undergone the procedure during the reporting period.</w:t>
      </w:r>
    </w:p>
    <w:p w14:paraId="3C5C834D" w14:textId="77777777" w:rsidR="00222413" w:rsidRPr="00222413" w:rsidRDefault="00222413" w:rsidP="00222413">
      <w:pPr>
        <w:rPr>
          <w:lang w:eastAsia="ja-JP"/>
        </w:rPr>
      </w:pPr>
      <w:r w:rsidRPr="00222413">
        <w:rPr>
          <w:lang w:eastAsia="ja-JP"/>
        </w:rPr>
        <w:t xml:space="preserve"> </w:t>
      </w:r>
    </w:p>
    <w:p w14:paraId="4425EFB9" w14:textId="77777777" w:rsidR="00222413" w:rsidRPr="00222413" w:rsidRDefault="00222413" w:rsidP="00222413">
      <w:pPr>
        <w:rPr>
          <w:lang w:eastAsia="ja-JP"/>
        </w:rPr>
      </w:pPr>
      <w:r w:rsidRPr="00222413">
        <w:rPr>
          <w:lang w:eastAsia="ja-JP"/>
        </w:rPr>
        <w:t xml:space="preserve">One procedure applies to </w:t>
      </w:r>
      <w:r w:rsidRPr="00222413">
        <w:rPr>
          <w:b/>
          <w:lang w:eastAsia="ja-JP"/>
        </w:rPr>
        <w:t>adult patients only</w:t>
      </w:r>
      <w:r w:rsidRPr="00222413">
        <w:rPr>
          <w:lang w:eastAsia="ja-JP"/>
        </w:rPr>
        <w:t xml:space="preserve">: </w:t>
      </w:r>
    </w:p>
    <w:p w14:paraId="7E6A625F" w14:textId="0C9D5E35" w:rsidR="00222413" w:rsidRPr="00222413" w:rsidRDefault="00222413" w:rsidP="00AD309C">
      <w:pPr>
        <w:numPr>
          <w:ilvl w:val="0"/>
          <w:numId w:val="101"/>
        </w:numPr>
        <w:rPr>
          <w:lang w:eastAsia="ja-JP"/>
        </w:rPr>
      </w:pPr>
      <w:r w:rsidRPr="00222413">
        <w:rPr>
          <w:lang w:eastAsia="ja-JP"/>
        </w:rPr>
        <w:t xml:space="preserve">Spinal </w:t>
      </w:r>
      <w:r w:rsidR="00F50E17">
        <w:rPr>
          <w:lang w:eastAsia="ja-JP"/>
        </w:rPr>
        <w:t>f</w:t>
      </w:r>
      <w:r w:rsidRPr="00222413">
        <w:rPr>
          <w:lang w:eastAsia="ja-JP"/>
        </w:rPr>
        <w:t>usion</w:t>
      </w:r>
      <w:r w:rsidR="00653AE3">
        <w:rPr>
          <w:lang w:eastAsia="ja-JP"/>
        </w:rPr>
        <w:t xml:space="preserve"> </w:t>
      </w:r>
      <w:r w:rsidR="00F50E17">
        <w:rPr>
          <w:lang w:eastAsia="ja-JP"/>
        </w:rPr>
        <w:t>p</w:t>
      </w:r>
      <w:r w:rsidR="00653AE3">
        <w:rPr>
          <w:lang w:eastAsia="ja-JP"/>
        </w:rPr>
        <w:t>rocedures</w:t>
      </w:r>
    </w:p>
    <w:p w14:paraId="6500B85A" w14:textId="77777777" w:rsidR="00E433C4" w:rsidRPr="00222413" w:rsidRDefault="00E433C4" w:rsidP="00222413">
      <w:pPr>
        <w:rPr>
          <w:lang w:eastAsia="ja-JP"/>
        </w:rPr>
      </w:pPr>
    </w:p>
    <w:p w14:paraId="78461FC4" w14:textId="25ED3777" w:rsidR="00222413" w:rsidRPr="00222413" w:rsidRDefault="00E433C4" w:rsidP="000F0F18">
      <w:pPr>
        <w:rPr>
          <w:lang w:eastAsia="ja-JP"/>
        </w:rPr>
      </w:pPr>
      <w:r>
        <w:rPr>
          <w:lang w:eastAsia="ja-JP"/>
        </w:rPr>
        <w:t>Using the “N</w:t>
      </w:r>
      <w:r w:rsidRPr="00222413">
        <w:rPr>
          <w:lang w:eastAsia="ja-JP"/>
        </w:rPr>
        <w:t>eurological surgery</w:t>
      </w:r>
      <w:r>
        <w:rPr>
          <w:lang w:eastAsia="ja-JP"/>
        </w:rPr>
        <w:t>_adult”</w:t>
      </w:r>
      <w:r w:rsidR="00847947">
        <w:rPr>
          <w:lang w:eastAsia="ja-JP"/>
        </w:rPr>
        <w:t xml:space="preserve"> sheet, count t</w:t>
      </w:r>
      <w:r w:rsidR="00222413" w:rsidRPr="00222413">
        <w:rPr>
          <w:lang w:eastAsia="ja-JP"/>
        </w:rPr>
        <w:t>he total number of adult (18 years of age or older) patients discharged with any of the CPT codes listed. The CPT code can be in any procedure field.</w:t>
      </w:r>
    </w:p>
    <w:p w14:paraId="353DA34E" w14:textId="77777777" w:rsidR="00222413" w:rsidRPr="00222413" w:rsidRDefault="00222413" w:rsidP="00222413">
      <w:pPr>
        <w:rPr>
          <w:lang w:eastAsia="ja-JP"/>
        </w:rPr>
      </w:pPr>
    </w:p>
    <w:p w14:paraId="18AEBFFB" w14:textId="77777777" w:rsidR="00222413" w:rsidRPr="00222413" w:rsidRDefault="00222413" w:rsidP="00AB5B80">
      <w:pPr>
        <w:pStyle w:val="Heading3"/>
      </w:pPr>
      <w:bookmarkStart w:id="787" w:name="_Obstetrics_and_Gynecology"/>
      <w:bookmarkStart w:id="788" w:name="_Toc225877862"/>
      <w:bookmarkStart w:id="789" w:name="ObstetricsGynecology_MeasureSpecs"/>
      <w:bookmarkEnd w:id="787"/>
      <w:r w:rsidRPr="00222413">
        <w:t>Obstetrics and Gynecology Measure Specifications</w:t>
      </w:r>
      <w:bookmarkEnd w:id="788"/>
    </w:p>
    <w:bookmarkEnd w:id="789"/>
    <w:p w14:paraId="0307AF18" w14:textId="77777777" w:rsidR="00314EA4" w:rsidRPr="006606DD" w:rsidRDefault="00314EA4" w:rsidP="00222413">
      <w:pPr>
        <w:rPr>
          <w:sz w:val="16"/>
          <w:szCs w:val="16"/>
          <w:lang w:eastAsia="ja-JP"/>
        </w:rPr>
      </w:pPr>
    </w:p>
    <w:p w14:paraId="58D4D3F4" w14:textId="5B32FFFC" w:rsidR="00222413" w:rsidRPr="00222413" w:rsidRDefault="00222413" w:rsidP="00222413">
      <w:pPr>
        <w:rPr>
          <w:lang w:eastAsia="ja-JP"/>
        </w:rPr>
      </w:pPr>
      <w:r w:rsidRPr="00222413">
        <w:rPr>
          <w:lang w:eastAsia="ja-JP"/>
        </w:rPr>
        <w:t xml:space="preserve">For obstetrics and gynecology procedures, use the </w:t>
      </w:r>
      <w:r w:rsidR="00950C2B">
        <w:rPr>
          <w:lang w:eastAsia="ja-JP"/>
        </w:rPr>
        <w:t xml:space="preserve">CPT codes available </w:t>
      </w:r>
      <w:r w:rsidR="008F5762">
        <w:rPr>
          <w:lang w:eastAsia="ja-JP"/>
        </w:rPr>
        <w:t xml:space="preserve">via </w:t>
      </w:r>
      <w:r w:rsidR="00950C2B">
        <w:rPr>
          <w:lang w:eastAsia="ja-JP"/>
        </w:rPr>
        <w:t xml:space="preserve">the </w:t>
      </w:r>
      <w:hyperlink r:id="rId489" w:history="1">
        <w:r w:rsidR="00950C2B" w:rsidRPr="0009495E">
          <w:rPr>
            <w:rStyle w:val="Hyperlink"/>
            <w:lang w:eastAsia="ja-JP"/>
          </w:rPr>
          <w:t>Survey Dashboard</w:t>
        </w:r>
      </w:hyperlink>
      <w:r w:rsidR="00950C2B">
        <w:rPr>
          <w:lang w:eastAsia="ja-JP"/>
        </w:rPr>
        <w:t xml:space="preserve"> </w:t>
      </w:r>
      <w:r w:rsidRPr="00222413">
        <w:rPr>
          <w:lang w:eastAsia="ja-JP"/>
        </w:rPr>
        <w:t xml:space="preserve">to count </w:t>
      </w:r>
      <w:r w:rsidRPr="00222413">
        <w:rPr>
          <w:b/>
          <w:lang w:eastAsia="ja-JP"/>
        </w:rPr>
        <w:t>patients</w:t>
      </w:r>
      <w:r w:rsidRPr="00222413">
        <w:rPr>
          <w:lang w:eastAsia="ja-JP"/>
        </w:rPr>
        <w:t xml:space="preserve"> discharged from your </w:t>
      </w:r>
      <w:r w:rsidR="00AE0738">
        <w:rPr>
          <w:lang w:eastAsia="ja-JP"/>
        </w:rPr>
        <w:t>hospital outpatient departments</w:t>
      </w:r>
      <w:r w:rsidRPr="00222413">
        <w:rPr>
          <w:lang w:eastAsia="ja-JP"/>
        </w:rPr>
        <w:t xml:space="preserve"> who have undergone any of the 3 procedures during the reporting period. </w:t>
      </w:r>
    </w:p>
    <w:p w14:paraId="77D4263C" w14:textId="77777777" w:rsidR="00314EA4" w:rsidRDefault="00314EA4" w:rsidP="00222413">
      <w:pPr>
        <w:rPr>
          <w:lang w:eastAsia="ja-JP"/>
        </w:rPr>
      </w:pPr>
    </w:p>
    <w:p w14:paraId="43A6219C" w14:textId="3A2C5BDC" w:rsidR="00314EA4" w:rsidRPr="006606DD" w:rsidRDefault="00222413" w:rsidP="00222413">
      <w:pPr>
        <w:rPr>
          <w:lang w:eastAsia="ja-JP"/>
        </w:rPr>
      </w:pPr>
      <w:r w:rsidRPr="00222413">
        <w:rPr>
          <w:lang w:eastAsia="ja-JP"/>
        </w:rPr>
        <w:t xml:space="preserve">Three procedures apply to </w:t>
      </w:r>
      <w:r w:rsidRPr="00222413">
        <w:rPr>
          <w:b/>
          <w:lang w:eastAsia="ja-JP"/>
        </w:rPr>
        <w:t>adult patients only</w:t>
      </w:r>
      <w:r w:rsidRPr="00222413">
        <w:rPr>
          <w:lang w:eastAsia="ja-JP"/>
        </w:rPr>
        <w:t xml:space="preserve">: </w:t>
      </w:r>
    </w:p>
    <w:p w14:paraId="57642F58" w14:textId="4EAB0E9C" w:rsidR="00222413" w:rsidRPr="00222413" w:rsidRDefault="00222413" w:rsidP="00AD309C">
      <w:pPr>
        <w:numPr>
          <w:ilvl w:val="0"/>
          <w:numId w:val="101"/>
        </w:numPr>
        <w:rPr>
          <w:lang w:eastAsia="ja-JP"/>
        </w:rPr>
      </w:pPr>
      <w:r w:rsidRPr="00222413">
        <w:rPr>
          <w:lang w:eastAsia="ja-JP"/>
        </w:rPr>
        <w:t xml:space="preserve">Cervix </w:t>
      </w:r>
      <w:r w:rsidR="00F50E17">
        <w:rPr>
          <w:lang w:eastAsia="ja-JP"/>
        </w:rPr>
        <w:t>p</w:t>
      </w:r>
      <w:r w:rsidRPr="00222413">
        <w:rPr>
          <w:lang w:eastAsia="ja-JP"/>
        </w:rPr>
        <w:t>rocedure</w:t>
      </w:r>
      <w:r w:rsidR="00653AE3">
        <w:rPr>
          <w:lang w:eastAsia="ja-JP"/>
        </w:rPr>
        <w:t>s</w:t>
      </w:r>
    </w:p>
    <w:p w14:paraId="39791C5C" w14:textId="77777777" w:rsidR="00222413" w:rsidRPr="00222413" w:rsidRDefault="00281788" w:rsidP="00AD309C">
      <w:pPr>
        <w:numPr>
          <w:ilvl w:val="0"/>
          <w:numId w:val="101"/>
        </w:numPr>
        <w:rPr>
          <w:lang w:eastAsia="ja-JP"/>
        </w:rPr>
      </w:pPr>
      <w:r>
        <w:rPr>
          <w:lang w:eastAsia="ja-JP"/>
        </w:rPr>
        <w:t>H</w:t>
      </w:r>
      <w:r w:rsidRPr="00281788">
        <w:rPr>
          <w:lang w:eastAsia="ja-JP"/>
        </w:rPr>
        <w:t>ysteroscopy</w:t>
      </w:r>
    </w:p>
    <w:p w14:paraId="7641C3A5" w14:textId="22D449D0" w:rsidR="00222413" w:rsidRPr="00222413" w:rsidRDefault="00222413" w:rsidP="00AD309C">
      <w:pPr>
        <w:numPr>
          <w:ilvl w:val="0"/>
          <w:numId w:val="101"/>
        </w:numPr>
        <w:rPr>
          <w:lang w:eastAsia="ja-JP"/>
        </w:rPr>
      </w:pPr>
      <w:r w:rsidRPr="00222413">
        <w:rPr>
          <w:lang w:eastAsia="ja-JP"/>
        </w:rPr>
        <w:t xml:space="preserve">Uterus and </w:t>
      </w:r>
      <w:r w:rsidR="00F50E17">
        <w:rPr>
          <w:lang w:eastAsia="ja-JP"/>
        </w:rPr>
        <w:t>a</w:t>
      </w:r>
      <w:r w:rsidRPr="00222413">
        <w:rPr>
          <w:lang w:eastAsia="ja-JP"/>
        </w:rPr>
        <w:t xml:space="preserve">dnexa </w:t>
      </w:r>
      <w:r w:rsidR="00F50E17">
        <w:rPr>
          <w:lang w:eastAsia="ja-JP"/>
        </w:rPr>
        <w:t>l</w:t>
      </w:r>
      <w:r w:rsidRPr="00222413">
        <w:rPr>
          <w:lang w:eastAsia="ja-JP"/>
        </w:rPr>
        <w:t>aparoscop</w:t>
      </w:r>
      <w:r w:rsidR="00653AE3">
        <w:rPr>
          <w:lang w:eastAsia="ja-JP"/>
        </w:rPr>
        <w:t>ies</w:t>
      </w:r>
    </w:p>
    <w:p w14:paraId="53FB830E" w14:textId="77777777" w:rsidR="00314EA4" w:rsidRPr="006606DD" w:rsidRDefault="00314EA4" w:rsidP="00222413">
      <w:pPr>
        <w:rPr>
          <w:sz w:val="16"/>
          <w:szCs w:val="16"/>
          <w:lang w:eastAsia="ja-JP"/>
        </w:rPr>
      </w:pPr>
    </w:p>
    <w:p w14:paraId="0869F05B" w14:textId="2E6B80CC" w:rsidR="00222413" w:rsidRPr="00222413" w:rsidRDefault="0004783D" w:rsidP="000F0F18">
      <w:pPr>
        <w:rPr>
          <w:lang w:eastAsia="ja-JP"/>
        </w:rPr>
      </w:pPr>
      <w:r>
        <w:rPr>
          <w:lang w:eastAsia="ja-JP"/>
        </w:rPr>
        <w:t>Using the “O</w:t>
      </w:r>
      <w:r w:rsidRPr="00222413">
        <w:rPr>
          <w:lang w:eastAsia="ja-JP"/>
        </w:rPr>
        <w:t>bstetrics and gynecolog</w:t>
      </w:r>
      <w:r>
        <w:rPr>
          <w:lang w:eastAsia="ja-JP"/>
        </w:rPr>
        <w:t>y_adult” sheet, count t</w:t>
      </w:r>
      <w:r w:rsidR="00222413" w:rsidRPr="00222413">
        <w:rPr>
          <w:lang w:eastAsia="ja-JP"/>
        </w:rPr>
        <w:t xml:space="preserve">he total number of adult (18 years of age or older) patients discharged </w:t>
      </w:r>
      <w:r>
        <w:rPr>
          <w:lang w:eastAsia="ja-JP"/>
        </w:rPr>
        <w:t xml:space="preserve">for each procedure </w:t>
      </w:r>
      <w:r w:rsidR="00222413" w:rsidRPr="00222413">
        <w:rPr>
          <w:lang w:eastAsia="ja-JP"/>
        </w:rPr>
        <w:t>with any of the CPT codes listed. The CPT code can be in any procedure field.</w:t>
      </w:r>
    </w:p>
    <w:p w14:paraId="63367D3E" w14:textId="77777777" w:rsidR="00222413" w:rsidRPr="00222413" w:rsidRDefault="00222413" w:rsidP="00222413">
      <w:pPr>
        <w:rPr>
          <w:lang w:eastAsia="ja-JP"/>
        </w:rPr>
      </w:pPr>
    </w:p>
    <w:p w14:paraId="3C6F977A" w14:textId="77777777" w:rsidR="00222413" w:rsidRPr="00222413" w:rsidRDefault="00222413" w:rsidP="00AB5B80">
      <w:pPr>
        <w:pStyle w:val="Heading3"/>
      </w:pPr>
      <w:bookmarkStart w:id="790" w:name="_Plastic_and_Reconstructive"/>
      <w:bookmarkStart w:id="791" w:name="_Toc225877863"/>
      <w:bookmarkStart w:id="792" w:name="PlasticReconstructive_MeasureSpecs"/>
      <w:bookmarkEnd w:id="790"/>
      <w:r w:rsidRPr="00222413">
        <w:t>Plastic and Reconstructive Surgery Measure Specifications</w:t>
      </w:r>
      <w:bookmarkEnd w:id="791"/>
    </w:p>
    <w:bookmarkEnd w:id="792"/>
    <w:p w14:paraId="20130900" w14:textId="77777777" w:rsidR="007E74FD" w:rsidRPr="006606DD" w:rsidRDefault="007E74FD" w:rsidP="00222413">
      <w:pPr>
        <w:rPr>
          <w:sz w:val="16"/>
          <w:szCs w:val="16"/>
          <w:lang w:eastAsia="ja-JP"/>
        </w:rPr>
      </w:pPr>
    </w:p>
    <w:p w14:paraId="154D0B23" w14:textId="4E93525E" w:rsidR="00222413" w:rsidRDefault="00222413" w:rsidP="00222413">
      <w:pPr>
        <w:rPr>
          <w:lang w:eastAsia="ja-JP"/>
        </w:rPr>
      </w:pPr>
      <w:r w:rsidRPr="00222413">
        <w:rPr>
          <w:lang w:eastAsia="ja-JP"/>
        </w:rPr>
        <w:t xml:space="preserve">For plastic and reconstructive surgery procedures, use the </w:t>
      </w:r>
      <w:r w:rsidR="00950C2B">
        <w:rPr>
          <w:lang w:eastAsia="ja-JP"/>
        </w:rPr>
        <w:t xml:space="preserve">CPT codes available </w:t>
      </w:r>
      <w:r w:rsidR="008F5762">
        <w:rPr>
          <w:lang w:eastAsia="ja-JP"/>
        </w:rPr>
        <w:t>via</w:t>
      </w:r>
      <w:r w:rsidR="00950C2B">
        <w:rPr>
          <w:lang w:eastAsia="ja-JP"/>
        </w:rPr>
        <w:t xml:space="preserve"> the </w:t>
      </w:r>
      <w:hyperlink r:id="rId490" w:history="1">
        <w:r w:rsidR="00950C2B" w:rsidRPr="0009495E">
          <w:rPr>
            <w:rStyle w:val="Hyperlink"/>
            <w:lang w:eastAsia="ja-JP"/>
          </w:rPr>
          <w:t>Survey Dashboard</w:t>
        </w:r>
      </w:hyperlink>
      <w:r w:rsidR="00950C2B">
        <w:rPr>
          <w:lang w:eastAsia="ja-JP"/>
        </w:rPr>
        <w:t xml:space="preserve"> </w:t>
      </w:r>
      <w:r w:rsidRPr="00222413">
        <w:rPr>
          <w:lang w:eastAsia="ja-JP"/>
        </w:rPr>
        <w:t xml:space="preserve">to count </w:t>
      </w:r>
      <w:r w:rsidRPr="00222413">
        <w:rPr>
          <w:b/>
          <w:lang w:eastAsia="ja-JP"/>
        </w:rPr>
        <w:t>patients</w:t>
      </w:r>
      <w:r w:rsidRPr="00222413">
        <w:rPr>
          <w:lang w:eastAsia="ja-JP"/>
        </w:rPr>
        <w:t xml:space="preserve"> discharged from your </w:t>
      </w:r>
      <w:r w:rsidR="00AE0738">
        <w:rPr>
          <w:lang w:eastAsia="ja-JP"/>
        </w:rPr>
        <w:t>hospital outpatient departments</w:t>
      </w:r>
      <w:r w:rsidRPr="00222413">
        <w:rPr>
          <w:lang w:eastAsia="ja-JP"/>
        </w:rPr>
        <w:t xml:space="preserve"> who have undergone either of the 2 procedures during the reporting period. </w:t>
      </w:r>
    </w:p>
    <w:p w14:paraId="47B0F1CA" w14:textId="77777777" w:rsidR="007E74FD" w:rsidRPr="006606DD" w:rsidRDefault="007E74FD" w:rsidP="00222413">
      <w:pPr>
        <w:rPr>
          <w:sz w:val="16"/>
          <w:szCs w:val="16"/>
          <w:lang w:eastAsia="ja-JP"/>
        </w:rPr>
      </w:pPr>
    </w:p>
    <w:p w14:paraId="6A38B570" w14:textId="3BEA9A96" w:rsidR="00222413" w:rsidRPr="00222413" w:rsidRDefault="00222413" w:rsidP="00222413">
      <w:pPr>
        <w:rPr>
          <w:lang w:eastAsia="ja-JP"/>
        </w:rPr>
      </w:pPr>
      <w:r w:rsidRPr="00222413">
        <w:rPr>
          <w:lang w:eastAsia="ja-JP"/>
        </w:rPr>
        <w:t>Two procedure</w:t>
      </w:r>
      <w:r w:rsidR="00F41BE4">
        <w:rPr>
          <w:lang w:eastAsia="ja-JP"/>
        </w:rPr>
        <w:t>s</w:t>
      </w:r>
      <w:r w:rsidRPr="00222413">
        <w:rPr>
          <w:lang w:eastAsia="ja-JP"/>
        </w:rPr>
        <w:t xml:space="preserve"> appl</w:t>
      </w:r>
      <w:r w:rsidR="00F41BE4">
        <w:rPr>
          <w:lang w:eastAsia="ja-JP"/>
        </w:rPr>
        <w:t>y</w:t>
      </w:r>
      <w:r w:rsidRPr="00222413">
        <w:rPr>
          <w:lang w:eastAsia="ja-JP"/>
        </w:rPr>
        <w:t xml:space="preserve"> to </w:t>
      </w:r>
      <w:r w:rsidRPr="00222413">
        <w:rPr>
          <w:b/>
          <w:lang w:eastAsia="ja-JP"/>
        </w:rPr>
        <w:t>adult patients only</w:t>
      </w:r>
      <w:r w:rsidRPr="00222413">
        <w:rPr>
          <w:lang w:eastAsia="ja-JP"/>
        </w:rPr>
        <w:t xml:space="preserve">: </w:t>
      </w:r>
    </w:p>
    <w:p w14:paraId="1C956879" w14:textId="65EFEAC0" w:rsidR="00222413" w:rsidRPr="00222413" w:rsidRDefault="00222413" w:rsidP="00AD309C">
      <w:pPr>
        <w:numPr>
          <w:ilvl w:val="0"/>
          <w:numId w:val="101"/>
        </w:numPr>
        <w:rPr>
          <w:lang w:eastAsia="ja-JP"/>
        </w:rPr>
      </w:pPr>
      <w:r w:rsidRPr="00222413">
        <w:rPr>
          <w:lang w:eastAsia="ja-JP"/>
        </w:rPr>
        <w:t xml:space="preserve">Breast </w:t>
      </w:r>
      <w:r w:rsidR="00F50E17">
        <w:rPr>
          <w:lang w:eastAsia="ja-JP"/>
        </w:rPr>
        <w:t>r</w:t>
      </w:r>
      <w:r w:rsidRPr="00222413">
        <w:rPr>
          <w:lang w:eastAsia="ja-JP"/>
        </w:rPr>
        <w:t xml:space="preserve">epair or </w:t>
      </w:r>
      <w:r w:rsidR="00F50E17">
        <w:rPr>
          <w:lang w:eastAsia="ja-JP"/>
        </w:rPr>
        <w:t>r</w:t>
      </w:r>
      <w:r w:rsidRPr="00222413">
        <w:rPr>
          <w:lang w:eastAsia="ja-JP"/>
        </w:rPr>
        <w:t>econstruction</w:t>
      </w:r>
    </w:p>
    <w:p w14:paraId="2AD5BB2E" w14:textId="34E0EB3B" w:rsidR="00222413" w:rsidRPr="00222413" w:rsidRDefault="00206F35" w:rsidP="00AD309C">
      <w:pPr>
        <w:numPr>
          <w:ilvl w:val="0"/>
          <w:numId w:val="101"/>
        </w:numPr>
        <w:rPr>
          <w:lang w:eastAsia="ja-JP"/>
        </w:rPr>
      </w:pPr>
      <w:r>
        <w:rPr>
          <w:lang w:eastAsia="ja-JP"/>
        </w:rPr>
        <w:t xml:space="preserve">Skin </w:t>
      </w:r>
      <w:r w:rsidR="00F50E17">
        <w:rPr>
          <w:lang w:eastAsia="ja-JP"/>
        </w:rPr>
        <w:t>g</w:t>
      </w:r>
      <w:r>
        <w:rPr>
          <w:lang w:eastAsia="ja-JP"/>
        </w:rPr>
        <w:t>raft/</w:t>
      </w:r>
      <w:r w:rsidR="00F50E17">
        <w:rPr>
          <w:lang w:eastAsia="ja-JP"/>
        </w:rPr>
        <w:t>r</w:t>
      </w:r>
      <w:r>
        <w:rPr>
          <w:lang w:eastAsia="ja-JP"/>
        </w:rPr>
        <w:t xml:space="preserve">econstruction </w:t>
      </w:r>
      <w:r w:rsidR="00F50E17">
        <w:rPr>
          <w:lang w:eastAsia="ja-JP"/>
        </w:rPr>
        <w:t>p</w:t>
      </w:r>
      <w:r>
        <w:rPr>
          <w:lang w:eastAsia="ja-JP"/>
        </w:rPr>
        <w:t>rocedures</w:t>
      </w:r>
    </w:p>
    <w:p w14:paraId="647AA9A7" w14:textId="77777777" w:rsidR="007E74FD" w:rsidRPr="006606DD" w:rsidRDefault="007E74FD" w:rsidP="00222413">
      <w:pPr>
        <w:rPr>
          <w:sz w:val="16"/>
          <w:szCs w:val="16"/>
          <w:lang w:eastAsia="ja-JP"/>
        </w:rPr>
      </w:pPr>
    </w:p>
    <w:p w14:paraId="1C7AEB07" w14:textId="3DD0EF13" w:rsidR="00FD51D6" w:rsidRDefault="001D4FA3">
      <w:pPr>
        <w:rPr>
          <w:lang w:eastAsia="ja-JP"/>
        </w:rPr>
      </w:pPr>
      <w:r>
        <w:rPr>
          <w:lang w:eastAsia="ja-JP"/>
        </w:rPr>
        <w:t>Using the “P</w:t>
      </w:r>
      <w:r w:rsidRPr="00222413">
        <w:rPr>
          <w:lang w:eastAsia="ja-JP"/>
        </w:rPr>
        <w:t>lasti</w:t>
      </w:r>
      <w:r w:rsidR="00E84CE5">
        <w:rPr>
          <w:lang w:eastAsia="ja-JP"/>
        </w:rPr>
        <w:t>c_</w:t>
      </w:r>
      <w:r w:rsidRPr="00222413">
        <w:rPr>
          <w:lang w:eastAsia="ja-JP"/>
        </w:rPr>
        <w:t>reconstru</w:t>
      </w:r>
      <w:r>
        <w:rPr>
          <w:lang w:eastAsia="ja-JP"/>
        </w:rPr>
        <w:t>ct</w:t>
      </w:r>
      <w:r w:rsidRPr="00222413">
        <w:rPr>
          <w:lang w:eastAsia="ja-JP"/>
        </w:rPr>
        <w:t xml:space="preserve"> surg</w:t>
      </w:r>
      <w:r>
        <w:rPr>
          <w:lang w:eastAsia="ja-JP"/>
        </w:rPr>
        <w:t>_adult” sheet, count t</w:t>
      </w:r>
      <w:r w:rsidR="00222413" w:rsidRPr="00222413">
        <w:rPr>
          <w:lang w:eastAsia="ja-JP"/>
        </w:rPr>
        <w:t xml:space="preserve">he total number of adult (18 years of age or older) patients discharged </w:t>
      </w:r>
      <w:r>
        <w:rPr>
          <w:lang w:eastAsia="ja-JP"/>
        </w:rPr>
        <w:t xml:space="preserve">for each procedure </w:t>
      </w:r>
      <w:r w:rsidR="00222413" w:rsidRPr="00222413">
        <w:rPr>
          <w:lang w:eastAsia="ja-JP"/>
        </w:rPr>
        <w:t>with any of the CPT codes listed. The CPT code can be in any procedure field.</w:t>
      </w:r>
      <w:bookmarkStart w:id="793" w:name="_Volume_of_Procedures_1"/>
      <w:bookmarkStart w:id="794" w:name="_Volume_of_Procedures_3"/>
      <w:bookmarkEnd w:id="793"/>
      <w:bookmarkEnd w:id="794"/>
    </w:p>
    <w:p w14:paraId="0A0702ED" w14:textId="77777777" w:rsidR="008F5762" w:rsidRDefault="008F5762">
      <w:pPr>
        <w:rPr>
          <w:lang w:eastAsia="ja-JP"/>
        </w:rPr>
      </w:pPr>
    </w:p>
    <w:p w14:paraId="7EFFD759" w14:textId="0A535A05" w:rsidR="008F5762" w:rsidRDefault="008F5762">
      <w:pPr>
        <w:rPr>
          <w:lang w:eastAsia="ja-JP"/>
        </w:rPr>
      </w:pPr>
      <w:r w:rsidRPr="00222413">
        <w:rPr>
          <w:lang w:eastAsia="ja-JP"/>
        </w:rPr>
        <w:t>See</w:t>
      </w:r>
      <w:r w:rsidRPr="001C2840">
        <w:rPr>
          <w:lang w:eastAsia="ja-JP"/>
        </w:rPr>
        <w:t xml:space="preserve"> </w:t>
      </w:r>
      <w:hyperlink w:anchor="_Volume_of_Procedures_4" w:history="1">
        <w:r w:rsidRPr="001C2840">
          <w:rPr>
            <w:rStyle w:val="Hyperlink"/>
            <w:lang w:eastAsia="ja-JP"/>
          </w:rPr>
          <w:t>FAQs</w:t>
        </w:r>
      </w:hyperlink>
      <w:r w:rsidRPr="00222413">
        <w:rPr>
          <w:lang w:eastAsia="ja-JP"/>
        </w:rPr>
        <w:t xml:space="preserve"> for additional information about responding to questions in this section.</w:t>
      </w:r>
    </w:p>
    <w:p w14:paraId="6D0AA6C8" w14:textId="77777777" w:rsidR="008F5762" w:rsidRPr="006606DD" w:rsidRDefault="008F5762">
      <w:pPr>
        <w:rPr>
          <w:b/>
          <w:sz w:val="28"/>
          <w:szCs w:val="24"/>
          <w:u w:val="single"/>
          <w:lang w:eastAsia="ja-JP"/>
        </w:rPr>
      </w:pPr>
    </w:p>
    <w:p w14:paraId="4A558B7E" w14:textId="77777777" w:rsidR="008F5762" w:rsidRDefault="008F5762">
      <w:pPr>
        <w:rPr>
          <w:b/>
          <w:snapToGrid w:val="0"/>
          <w:sz w:val="28"/>
          <w:szCs w:val="24"/>
          <w:u w:val="single"/>
          <w:lang w:eastAsia="ja-JP"/>
        </w:rPr>
      </w:pPr>
      <w:r>
        <w:br w:type="page"/>
      </w:r>
    </w:p>
    <w:p w14:paraId="2EDA82FC" w14:textId="16C3C3FB" w:rsidR="00CB4817" w:rsidRDefault="00C214F2" w:rsidP="00CF5A6E">
      <w:pPr>
        <w:pStyle w:val="Heading2"/>
      </w:pPr>
      <w:bookmarkStart w:id="795" w:name="_Volume_of_Procedures_4"/>
      <w:bookmarkStart w:id="796" w:name="_Toc225877864"/>
      <w:bookmarkEnd w:id="795"/>
      <w:r>
        <w:lastRenderedPageBreak/>
        <w:t xml:space="preserve">Section 9C: </w:t>
      </w:r>
      <w:r w:rsidR="00A801A8">
        <w:t>V</w:t>
      </w:r>
      <w:r w:rsidR="00276A34">
        <w:t xml:space="preserve">olume </w:t>
      </w:r>
      <w:r w:rsidR="00CB4817">
        <w:t>of Procedures Frequently Asked Questions (FAQs)</w:t>
      </w:r>
      <w:bookmarkEnd w:id="796"/>
    </w:p>
    <w:p w14:paraId="0FDFCCF9" w14:textId="77777777" w:rsidR="00CB4817" w:rsidRDefault="00CB4817" w:rsidP="00CB4817">
      <w:pPr>
        <w:rPr>
          <w:lang w:eastAsia="ja-JP"/>
        </w:rPr>
      </w:pPr>
    </w:p>
    <w:p w14:paraId="17C7349E" w14:textId="3D70E8AE" w:rsidR="00276A34" w:rsidRPr="00F22AFA" w:rsidRDefault="00276A34" w:rsidP="00AD309C">
      <w:pPr>
        <w:pStyle w:val="ListParagraph"/>
        <w:numPr>
          <w:ilvl w:val="0"/>
          <w:numId w:val="116"/>
        </w:numPr>
        <w:spacing w:after="120" w:line="264" w:lineRule="auto"/>
        <w:rPr>
          <w:b/>
        </w:rPr>
      </w:pPr>
      <w:r w:rsidRPr="00F22AFA">
        <w:rPr>
          <w:b/>
        </w:rPr>
        <w:t xml:space="preserve">How did Leapfrog select these </w:t>
      </w:r>
      <w:r w:rsidR="003968AC">
        <w:rPr>
          <w:b/>
        </w:rPr>
        <w:t>9</w:t>
      </w:r>
      <w:r w:rsidRPr="00F22AFA">
        <w:rPr>
          <w:b/>
        </w:rPr>
        <w:t xml:space="preserve"> specialties and </w:t>
      </w:r>
      <w:r>
        <w:rPr>
          <w:b/>
        </w:rPr>
        <w:t xml:space="preserve">the </w:t>
      </w:r>
      <w:r w:rsidRPr="00F22AFA">
        <w:rPr>
          <w:b/>
        </w:rPr>
        <w:t>pro</w:t>
      </w:r>
      <w:r>
        <w:rPr>
          <w:b/>
        </w:rPr>
        <w:t>cedures in this section of the S</w:t>
      </w:r>
      <w:r w:rsidRPr="00F22AFA">
        <w:rPr>
          <w:b/>
        </w:rPr>
        <w:t>urvey?</w:t>
      </w:r>
    </w:p>
    <w:p w14:paraId="503A41CD" w14:textId="620A3693" w:rsidR="00276A34" w:rsidRDefault="00276A34" w:rsidP="00276A34">
      <w:pPr>
        <w:pStyle w:val="ListParagraph"/>
        <w:ind w:left="360"/>
      </w:pPr>
      <w:r>
        <w:t>Leapfrog worked with the Health</w:t>
      </w:r>
      <w:r w:rsidR="00C274F7">
        <w:t xml:space="preserve"> C</w:t>
      </w:r>
      <w:r>
        <w:t>are Co</w:t>
      </w:r>
      <w:r w:rsidR="00AC62F4">
        <w:t>st Institute (HCCI) to identify</w:t>
      </w:r>
      <w:r>
        <w:t xml:space="preserve"> the most commonly billed surgical procedures in </w:t>
      </w:r>
      <w:r w:rsidR="0020056C">
        <w:t>a</w:t>
      </w:r>
      <w:r>
        <w:t xml:space="preserve">mbulatory </w:t>
      </w:r>
      <w:r w:rsidR="0020056C">
        <w:t>s</w:t>
      </w:r>
      <w:r>
        <w:t xml:space="preserve">urgery </w:t>
      </w:r>
      <w:r w:rsidR="0020056C">
        <w:t>c</w:t>
      </w:r>
      <w:r>
        <w:t xml:space="preserve">enters and </w:t>
      </w:r>
      <w:r w:rsidR="008C07A9">
        <w:t>h</w:t>
      </w:r>
      <w:r>
        <w:t xml:space="preserve">ospital </w:t>
      </w:r>
      <w:r w:rsidR="008C07A9">
        <w:t>o</w:t>
      </w:r>
      <w:r>
        <w:t xml:space="preserve">utpatient </w:t>
      </w:r>
      <w:r w:rsidR="008C07A9">
        <w:t>d</w:t>
      </w:r>
      <w:r>
        <w:t xml:space="preserve">epartments for </w:t>
      </w:r>
      <w:r w:rsidR="0061192A">
        <w:t>commercially</w:t>
      </w:r>
      <w:r w:rsidR="00AC62F4">
        <w:t xml:space="preserve"> insured adult and pediatric patients</w:t>
      </w:r>
      <w:r>
        <w:t>. Leapfrog’s technical experts then assessed the</w:t>
      </w:r>
      <w:r w:rsidR="00AC62F4">
        <w:t xml:space="preserve"> list of </w:t>
      </w:r>
      <w:r w:rsidR="0061192A">
        <w:t>procedures</w:t>
      </w:r>
      <w:r w:rsidR="00AC62F4">
        <w:t xml:space="preserve"> based on their frequency and type of </w:t>
      </w:r>
      <w:r w:rsidR="0061192A">
        <w:t>anesthesia</w:t>
      </w:r>
      <w:r w:rsidR="00AC62F4">
        <w:t xml:space="preserve"> used during the procedure. Those selected for the Survey represent the </w:t>
      </w:r>
      <w:r w:rsidR="0061192A">
        <w:t>highest</w:t>
      </w:r>
      <w:r w:rsidR="00AC62F4">
        <w:t xml:space="preserve"> volume procedures nationally requiring moderate to general anesthesia (including nerve blocks).</w:t>
      </w:r>
    </w:p>
    <w:p w14:paraId="65FB3C59" w14:textId="77777777" w:rsidR="00276A34" w:rsidRDefault="00276A34" w:rsidP="00276A34">
      <w:pPr>
        <w:pStyle w:val="ListParagraph"/>
        <w:ind w:left="360"/>
      </w:pPr>
    </w:p>
    <w:p w14:paraId="72470B3B" w14:textId="0E7256EE" w:rsidR="00276A34" w:rsidRDefault="00276A34" w:rsidP="00276A34">
      <w:pPr>
        <w:pStyle w:val="ListParagraph"/>
        <w:ind w:left="360"/>
      </w:pPr>
      <w:r>
        <w:t xml:space="preserve">Please reach out to the </w:t>
      </w:r>
      <w:hyperlink r:id="rId491" w:history="1">
        <w:r w:rsidRPr="00AC7C13">
          <w:rPr>
            <w:rStyle w:val="Hyperlink"/>
          </w:rPr>
          <w:t>Leapfrog Help Desk</w:t>
        </w:r>
      </w:hyperlink>
      <w:r>
        <w:t xml:space="preserve"> if you believe additional CPT Codes should be added to the Survey; Leapfrog will take these suggestions to our technical experts. </w:t>
      </w:r>
    </w:p>
    <w:p w14:paraId="4F27D1B8" w14:textId="77777777" w:rsidR="005666F8" w:rsidRDefault="005666F8" w:rsidP="00A879E1">
      <w:pPr>
        <w:rPr>
          <w:lang w:eastAsia="ja-JP"/>
        </w:rPr>
      </w:pPr>
      <w:bookmarkStart w:id="797" w:name="_Hlk32503548"/>
    </w:p>
    <w:p w14:paraId="62B161D5" w14:textId="77777777" w:rsidR="005666F8" w:rsidRPr="005666F8" w:rsidRDefault="005666F8" w:rsidP="00AD309C">
      <w:pPr>
        <w:pStyle w:val="ListParagraph"/>
        <w:numPr>
          <w:ilvl w:val="0"/>
          <w:numId w:val="116"/>
        </w:numPr>
        <w:rPr>
          <w:b/>
          <w:lang w:eastAsia="ja-JP"/>
        </w:rPr>
      </w:pPr>
      <w:r w:rsidRPr="005666F8">
        <w:rPr>
          <w:b/>
          <w:lang w:eastAsia="ja-JP"/>
        </w:rPr>
        <w:t xml:space="preserve">Should we count patients discharged with a G code for colonoscopy? </w:t>
      </w:r>
    </w:p>
    <w:p w14:paraId="3C8572BF" w14:textId="733E00C3" w:rsidR="005666F8" w:rsidRPr="005666F8" w:rsidRDefault="005666F8" w:rsidP="005666F8">
      <w:pPr>
        <w:pStyle w:val="ListParagraph"/>
        <w:ind w:left="360"/>
        <w:rPr>
          <w:bCs/>
          <w:lang w:eastAsia="ja-JP"/>
        </w:rPr>
      </w:pPr>
      <w:r w:rsidRPr="005666F8">
        <w:rPr>
          <w:bCs/>
          <w:lang w:eastAsia="ja-JP"/>
        </w:rPr>
        <w:t xml:space="preserve">No. A “G” (HCPCS II) code is used to differentiate between colonoscopies performed for screening purposes rather than for </w:t>
      </w:r>
      <w:r>
        <w:rPr>
          <w:bCs/>
          <w:lang w:eastAsia="ja-JP"/>
        </w:rPr>
        <w:t xml:space="preserve">a </w:t>
      </w:r>
      <w:r w:rsidRPr="005666F8">
        <w:rPr>
          <w:bCs/>
          <w:lang w:eastAsia="ja-JP"/>
        </w:rPr>
        <w:t>diagnostic or therapeutic procedure. The Survey only includes major diagnostic and therapeutic procedures.</w:t>
      </w:r>
    </w:p>
    <w:bookmarkEnd w:id="797"/>
    <w:p w14:paraId="39E65567" w14:textId="77777777" w:rsidR="008B3BB3" w:rsidRDefault="008B3BB3" w:rsidP="004A7BD9">
      <w:pPr>
        <w:ind w:left="360"/>
        <w:rPr>
          <w:highlight w:val="yellow"/>
          <w:lang w:eastAsia="ja-JP"/>
        </w:rPr>
      </w:pPr>
    </w:p>
    <w:p w14:paraId="6A9E7C77" w14:textId="78325A92" w:rsidR="008B3BB3" w:rsidRDefault="002272A8" w:rsidP="008B3BB3">
      <w:pPr>
        <w:ind w:left="360"/>
        <w:rPr>
          <w:i/>
          <w:snapToGrid w:val="0"/>
          <w:sz w:val="24"/>
          <w:szCs w:val="24"/>
          <w:lang w:eastAsia="ja-JP"/>
        </w:rPr>
      </w:pPr>
      <w:r>
        <w:rPr>
          <w:highlight w:val="yellow"/>
          <w:lang w:eastAsia="ja-JP"/>
        </w:rPr>
        <w:br w:type="page"/>
      </w:r>
      <w:bookmarkStart w:id="798" w:name="_Toc89439265"/>
      <w:bookmarkStart w:id="799" w:name="Patientfollowup_specification"/>
      <w:bookmarkStart w:id="800" w:name="_Toc3815045"/>
    </w:p>
    <w:p w14:paraId="109320E5" w14:textId="4E0AFC8F" w:rsidR="00264627" w:rsidRDefault="00CA45B0" w:rsidP="001C4D9F">
      <w:pPr>
        <w:pStyle w:val="Heading2"/>
      </w:pPr>
      <w:bookmarkStart w:id="801" w:name="_Section_10D:_Patient"/>
      <w:bookmarkStart w:id="802" w:name="_Patient_Follow-up_Measure"/>
      <w:bookmarkStart w:id="803" w:name="_Ref123648371"/>
      <w:bookmarkStart w:id="804" w:name="_Toc225877865"/>
      <w:bookmarkEnd w:id="801"/>
      <w:bookmarkEnd w:id="802"/>
      <w:r>
        <w:lastRenderedPageBreak/>
        <w:t xml:space="preserve">Safety of </w:t>
      </w:r>
      <w:r w:rsidR="00264627">
        <w:t>Procedures</w:t>
      </w:r>
      <w:r w:rsidR="008B3BB3">
        <w:t xml:space="preserve"> Measure Specification</w:t>
      </w:r>
      <w:bookmarkEnd w:id="798"/>
      <w:r w:rsidR="008B3BB3">
        <w:t>s</w:t>
      </w:r>
      <w:bookmarkEnd w:id="803"/>
      <w:bookmarkEnd w:id="804"/>
    </w:p>
    <w:p w14:paraId="237B6D34" w14:textId="698BC289" w:rsidR="002D1A88" w:rsidRDefault="002D1A88">
      <w:pPr>
        <w:rPr>
          <w:b/>
          <w:snapToGrid w:val="0"/>
          <w:sz w:val="28"/>
          <w:szCs w:val="24"/>
          <w:u w:val="single"/>
          <w:lang w:eastAsia="ja-JP"/>
        </w:rPr>
      </w:pPr>
      <w:bookmarkStart w:id="805" w:name="_Ref99635862"/>
      <w:bookmarkEnd w:id="799"/>
    </w:p>
    <w:p w14:paraId="517C3640" w14:textId="2B4D036C" w:rsidR="002D1A88" w:rsidRDefault="002D1A88" w:rsidP="00AB5B80">
      <w:pPr>
        <w:pStyle w:val="Heading3"/>
      </w:pPr>
      <w:bookmarkStart w:id="806" w:name="_Safe_Surgery_Checklist_3"/>
      <w:bookmarkStart w:id="807" w:name="_Ref123648394"/>
      <w:bookmarkStart w:id="808" w:name="_Toc225877866"/>
      <w:bookmarkEnd w:id="806"/>
      <w:r>
        <w:t>Safe Surgery Checklist for Adult and Pediatric Outpatient Procedures</w:t>
      </w:r>
      <w:bookmarkEnd w:id="805"/>
      <w:bookmarkEnd w:id="807"/>
      <w:bookmarkEnd w:id="808"/>
    </w:p>
    <w:p w14:paraId="0257A445" w14:textId="7604E6F1" w:rsidR="00FB07A6" w:rsidRDefault="00FB07A6" w:rsidP="00FB07A6">
      <w:pPr>
        <w:rPr>
          <w:lang w:eastAsia="ja-JP"/>
        </w:rPr>
      </w:pPr>
    </w:p>
    <w:p w14:paraId="351CA755" w14:textId="22346DCA" w:rsidR="00FB07A6" w:rsidRPr="002A792B" w:rsidRDefault="00FB07A6" w:rsidP="00A879E1">
      <w:r w:rsidRPr="00451080">
        <w:rPr>
          <w:b/>
          <w:bCs/>
          <w:color w:val="FF0000"/>
          <w:lang w:eastAsia="ja-JP"/>
        </w:rPr>
        <w:t>Important Note:</w:t>
      </w:r>
      <w:r w:rsidRPr="00451080">
        <w:rPr>
          <w:color w:val="FF0000"/>
          <w:lang w:eastAsia="ja-JP"/>
        </w:rPr>
        <w:t xml:space="preserve"> </w:t>
      </w:r>
      <w:r w:rsidRPr="004F5E10">
        <w:rPr>
          <w:rFonts w:cs="Arial"/>
          <w:snapToGrid w:val="0"/>
        </w:rPr>
        <w:t xml:space="preserve">Hospitals that share a CMS Certification Number are required to report by facility. Please carefully review </w:t>
      </w:r>
      <w:hyperlink r:id="rId492" w:history="1">
        <w:r w:rsidRPr="004F5E10">
          <w:rPr>
            <w:rFonts w:cs="Arial"/>
            <w:snapToGrid w:val="0"/>
            <w:color w:val="0000FF"/>
            <w:u w:val="single"/>
          </w:rPr>
          <w:t>Leapfrog’s Multi-Campus Reporting Policy</w:t>
        </w:r>
      </w:hyperlink>
      <w:r>
        <w:rPr>
          <w:rFonts w:cs="Arial"/>
          <w:snapToGrid w:val="0"/>
          <w:color w:val="0000FF"/>
          <w:u w:val="single"/>
        </w:rPr>
        <w:t>.</w:t>
      </w:r>
    </w:p>
    <w:p w14:paraId="253A092C" w14:textId="77777777" w:rsidR="002D1A88" w:rsidRDefault="002D1A88" w:rsidP="002D1A88">
      <w:pPr>
        <w:rPr>
          <w:lang w:eastAsia="ja-JP"/>
        </w:rPr>
      </w:pPr>
    </w:p>
    <w:tbl>
      <w:tblPr>
        <w:tblStyle w:val="TableGrid"/>
        <w:tblW w:w="0" w:type="auto"/>
        <w:tblLook w:val="04A0" w:firstRow="1" w:lastRow="0" w:firstColumn="1" w:lastColumn="0" w:noHBand="0" w:noVBand="1"/>
      </w:tblPr>
      <w:tblGrid>
        <w:gridCol w:w="9350"/>
      </w:tblGrid>
      <w:tr w:rsidR="002D1A88" w14:paraId="1AFCB393" w14:textId="77777777" w:rsidTr="00DD1535">
        <w:trPr>
          <w:trHeight w:val="332"/>
        </w:trPr>
        <w:tc>
          <w:tcPr>
            <w:tcW w:w="9350" w:type="dxa"/>
            <w:vAlign w:val="center"/>
          </w:tcPr>
          <w:p w14:paraId="3E7EA13F" w14:textId="57BBB0BF" w:rsidR="002D1A88" w:rsidRPr="00EA6AEE" w:rsidRDefault="002D1A88" w:rsidP="00DD1535">
            <w:pPr>
              <w:contextualSpacing/>
            </w:pPr>
            <w:r w:rsidRPr="00EA6AEE">
              <w:rPr>
                <w:b/>
                <w:bCs/>
              </w:rPr>
              <w:t>Source</w:t>
            </w:r>
            <w:r w:rsidRPr="00EA6AEE">
              <w:t xml:space="preserve">: </w:t>
            </w:r>
            <w:r w:rsidRPr="00574A8F">
              <w:t>The Leapfrog Group</w:t>
            </w:r>
            <w:r>
              <w:t xml:space="preserve">, </w:t>
            </w:r>
            <w:hyperlink r:id="rId493" w:history="1">
              <w:r w:rsidR="00A05B85" w:rsidRPr="00A05B85">
                <w:rPr>
                  <w:rStyle w:val="Hyperlink"/>
                </w:rPr>
                <w:t>WHO Surgical Safety Checklist</w:t>
              </w:r>
            </w:hyperlink>
            <w:r w:rsidR="00A05B85" w:rsidRPr="00A05B85">
              <w:t xml:space="preserve"> and </w:t>
            </w:r>
            <w:hyperlink r:id="rId494" w:history="1">
              <w:r w:rsidR="00A05B85" w:rsidRPr="00A05B85">
                <w:rPr>
                  <w:rStyle w:val="Hyperlink"/>
                </w:rPr>
                <w:t>Implementation Manual</w:t>
              </w:r>
            </w:hyperlink>
            <w:r>
              <w:t xml:space="preserve">, </w:t>
            </w:r>
            <w:hyperlink r:id="rId495" w:history="1">
              <w:r w:rsidRPr="005D782F">
                <w:rPr>
                  <w:rStyle w:val="Hyperlink"/>
                </w:rPr>
                <w:t>AHRQ Endoscopy Checklist</w:t>
              </w:r>
            </w:hyperlink>
          </w:p>
        </w:tc>
      </w:tr>
      <w:tr w:rsidR="002D1A88" w14:paraId="6B8A6B52" w14:textId="77777777" w:rsidTr="00DD1535">
        <w:trPr>
          <w:trHeight w:val="359"/>
        </w:trPr>
        <w:tc>
          <w:tcPr>
            <w:tcW w:w="9350" w:type="dxa"/>
            <w:vAlign w:val="center"/>
          </w:tcPr>
          <w:p w14:paraId="15B34C00" w14:textId="40AB19A5" w:rsidR="00825F2C" w:rsidRDefault="002D1A88" w:rsidP="00DD1535">
            <w:pPr>
              <w:contextualSpacing/>
            </w:pPr>
            <w:r w:rsidRPr="00EA6AEE">
              <w:rPr>
                <w:b/>
                <w:bCs/>
              </w:rPr>
              <w:t>Reporting Period</w:t>
            </w:r>
            <w:r>
              <w:t>:</w:t>
            </w:r>
            <w:r w:rsidRPr="00B44C1C">
              <w:rPr>
                <w:b/>
                <w:bCs/>
              </w:rPr>
              <w:t xml:space="preserve"> </w:t>
            </w:r>
            <w:r w:rsidR="00825F2C" w:rsidRPr="00B44C1C">
              <w:rPr>
                <w:b/>
                <w:bCs/>
              </w:rPr>
              <w:t>12 months</w:t>
            </w:r>
          </w:p>
          <w:p w14:paraId="6B81BF07" w14:textId="476A7050" w:rsidR="00C10458" w:rsidRPr="00EA6AEE" w:rsidRDefault="00F6404D" w:rsidP="00DD1535">
            <w:pPr>
              <w:contextualSpacing/>
            </w:pPr>
            <w:r>
              <w:t>Latest 12-month period prior to submission of this section of the Survey</w:t>
            </w:r>
          </w:p>
        </w:tc>
      </w:tr>
      <w:tr w:rsidR="002D1A88" w14:paraId="5710B184" w14:textId="77777777" w:rsidTr="00D406B6">
        <w:trPr>
          <w:trHeight w:val="2160"/>
        </w:trPr>
        <w:tc>
          <w:tcPr>
            <w:tcW w:w="9350" w:type="dxa"/>
          </w:tcPr>
          <w:p w14:paraId="38442BB1" w14:textId="77777777" w:rsidR="002D1A88" w:rsidRPr="00EA6AEE" w:rsidRDefault="002D1A88">
            <w:pPr>
              <w:contextualSpacing/>
              <w:rPr>
                <w:b/>
                <w:bCs/>
              </w:rPr>
            </w:pPr>
            <w:r w:rsidRPr="00EA6AEE">
              <w:rPr>
                <w:b/>
                <w:bCs/>
              </w:rPr>
              <w:t>Safe Surgery Checklist Workbook (Excel)</w:t>
            </w:r>
          </w:p>
          <w:p w14:paraId="2A4CE55E" w14:textId="77777777" w:rsidR="002D1A88" w:rsidRDefault="002D1A88">
            <w:pPr>
              <w:contextualSpacing/>
            </w:pPr>
          </w:p>
          <w:p w14:paraId="6308063C" w14:textId="150557C9" w:rsidR="002D1A88" w:rsidRDefault="002D1A88">
            <w:pPr>
              <w:contextualSpacing/>
            </w:pPr>
            <w:r>
              <w:t>To complete the data collection and respond to questions #</w:t>
            </w:r>
            <w:r w:rsidR="00EE21CB">
              <w:t>6</w:t>
            </w:r>
            <w:r w:rsidR="00A879E1">
              <w:t>-</w:t>
            </w:r>
            <w:r w:rsidR="00EE21CB">
              <w:t>9</w:t>
            </w:r>
            <w:r>
              <w:t>, hospitals should download the Safe Surgery Checklist Workbook (Excel). This workbook includes five tabs: Instructions, Section 3</w:t>
            </w:r>
            <w:r w:rsidR="00DD3592">
              <w:t>B</w:t>
            </w:r>
            <w:r>
              <w:t xml:space="preserve"> (Complex Surgery), Section 3</w:t>
            </w:r>
            <w:r w:rsidR="00DD3592">
              <w:t>B</w:t>
            </w:r>
            <w:r>
              <w:t xml:space="preserve"> – Data Entry, Section </w:t>
            </w:r>
            <w:r w:rsidR="00FB07A6">
              <w:t>9</w:t>
            </w:r>
            <w:r>
              <w:t xml:space="preserve">D (Outpatient Procedures), and Section </w:t>
            </w:r>
            <w:r w:rsidR="00FB07A6">
              <w:t>9</w:t>
            </w:r>
            <w:r>
              <w:t xml:space="preserve">D – Data Entry. The Section </w:t>
            </w:r>
            <w:r w:rsidR="00FB07A6">
              <w:t>9</w:t>
            </w:r>
            <w:r>
              <w:t xml:space="preserve">D tabs can be used to complete the safe surgery checklist audits </w:t>
            </w:r>
            <w:r w:rsidR="00A879E1">
              <w:t>for</w:t>
            </w:r>
            <w:r>
              <w:t xml:space="preserve"> this subsection</w:t>
            </w:r>
            <w:r w:rsidR="00CB3834">
              <w:t xml:space="preserve"> and </w:t>
            </w:r>
            <w:r>
              <w:t>to calculate the response for question #</w:t>
            </w:r>
            <w:r w:rsidR="00430AE0">
              <w:t>9</w:t>
            </w:r>
            <w:r>
              <w:t xml:space="preserve">. </w:t>
            </w:r>
          </w:p>
          <w:p w14:paraId="45E429C0" w14:textId="77777777" w:rsidR="002D1A88" w:rsidRDefault="002D1A88">
            <w:pPr>
              <w:contextualSpacing/>
            </w:pPr>
          </w:p>
          <w:p w14:paraId="1236B028" w14:textId="425E1B7E" w:rsidR="002D1A88" w:rsidRPr="00EA6AEE" w:rsidRDefault="002D1A88">
            <w:pPr>
              <w:contextualSpacing/>
            </w:pPr>
            <w:r>
              <w:t xml:space="preserve">The workbook is available on the </w:t>
            </w:r>
            <w:hyperlink r:id="rId496" w:history="1">
              <w:r w:rsidRPr="00AD5B49">
                <w:rPr>
                  <w:rStyle w:val="Hyperlink"/>
                </w:rPr>
                <w:t>Survey Materials Webpage</w:t>
              </w:r>
            </w:hyperlink>
            <w:r>
              <w:t>.</w:t>
            </w:r>
          </w:p>
        </w:tc>
      </w:tr>
      <w:tr w:rsidR="002D1A88" w14:paraId="79C1D5EE" w14:textId="77777777" w:rsidTr="006606DD">
        <w:trPr>
          <w:trHeight w:val="6336"/>
        </w:trPr>
        <w:tc>
          <w:tcPr>
            <w:tcW w:w="9350" w:type="dxa"/>
          </w:tcPr>
          <w:p w14:paraId="3676FDA1" w14:textId="77777777" w:rsidR="002D1A88" w:rsidRDefault="002D1A88">
            <w:pPr>
              <w:pStyle w:val="EndnoteText"/>
              <w:rPr>
                <w:rFonts w:cs="Arial"/>
              </w:rPr>
            </w:pPr>
            <w:r w:rsidRPr="00C76D2B">
              <w:rPr>
                <w:rFonts w:cs="Arial"/>
                <w:b/>
              </w:rPr>
              <w:t>Sampling:</w:t>
            </w:r>
            <w:r w:rsidRPr="00C76D2B">
              <w:rPr>
                <w:rFonts w:cs="Arial"/>
              </w:rPr>
              <w:t xml:space="preserve"> </w:t>
            </w:r>
          </w:p>
          <w:p w14:paraId="0DECD9D1" w14:textId="77777777" w:rsidR="002D1A88" w:rsidRDefault="002D1A88">
            <w:pPr>
              <w:pStyle w:val="EndnoteText"/>
              <w:rPr>
                <w:rFonts w:cs="Arial"/>
              </w:rPr>
            </w:pPr>
          </w:p>
          <w:p w14:paraId="526CCF9C" w14:textId="090D2FF3" w:rsidR="002D1A88" w:rsidRDefault="002D1A88">
            <w:pPr>
              <w:pStyle w:val="EndnoteText"/>
              <w:rPr>
                <w:rFonts w:cs="Arial"/>
              </w:rPr>
            </w:pPr>
            <w:r w:rsidRPr="00D845CC">
              <w:rPr>
                <w:b/>
                <w:bCs/>
              </w:rPr>
              <w:t xml:space="preserve">For hospitals with one hospital outpatient department that performs the procedures listed in Section </w:t>
            </w:r>
            <w:r w:rsidR="00FB07A6">
              <w:rPr>
                <w:b/>
                <w:bCs/>
              </w:rPr>
              <w:t>9</w:t>
            </w:r>
            <w:r w:rsidRPr="00D845CC">
              <w:rPr>
                <w:b/>
                <w:bCs/>
              </w:rPr>
              <w:t>C</w:t>
            </w:r>
            <w:r w:rsidR="00A879E1">
              <w:rPr>
                <w:b/>
                <w:bCs/>
              </w:rPr>
              <w:t xml:space="preserve"> and Section 3A</w:t>
            </w:r>
            <w:r w:rsidR="0042363C">
              <w:rPr>
                <w:b/>
                <w:bCs/>
              </w:rPr>
              <w:t xml:space="preserve"> and submit both Section 9 and 3</w:t>
            </w:r>
            <w:r w:rsidRPr="00D845CC">
              <w:rPr>
                <w:b/>
                <w:bCs/>
              </w:rPr>
              <w:t>:</w:t>
            </w:r>
            <w:r>
              <w:t xml:space="preserve"> Hospitals</w:t>
            </w:r>
            <w:r>
              <w:rPr>
                <w:rFonts w:cs="Arial"/>
              </w:rPr>
              <w:t xml:space="preserve"> </w:t>
            </w:r>
            <w:r w:rsidR="00D074D3">
              <w:rPr>
                <w:rFonts w:cs="Arial"/>
              </w:rPr>
              <w:t>can</w:t>
            </w:r>
            <w:r>
              <w:rPr>
                <w:rFonts w:cs="Arial"/>
              </w:rPr>
              <w:t xml:space="preserve"> randomly sample 15 patients (who had one of the procedures included in Section </w:t>
            </w:r>
            <w:r w:rsidR="00FB07A6">
              <w:rPr>
                <w:rFonts w:cs="Arial"/>
              </w:rPr>
              <w:t>9</w:t>
            </w:r>
            <w:r>
              <w:rPr>
                <w:rFonts w:cs="Arial"/>
              </w:rPr>
              <w:t xml:space="preserve">C) </w:t>
            </w:r>
            <w:r w:rsidRPr="00C76D2B">
              <w:rPr>
                <w:rFonts w:cs="Arial"/>
              </w:rPr>
              <w:t xml:space="preserve">and measure and report adherence </w:t>
            </w:r>
            <w:r>
              <w:rPr>
                <w:rFonts w:cs="Arial"/>
              </w:rPr>
              <w:t xml:space="preserve">to the safe surgery checklist </w:t>
            </w:r>
            <w:r w:rsidRPr="00C76D2B">
              <w:rPr>
                <w:rFonts w:cs="Arial"/>
              </w:rPr>
              <w:t xml:space="preserve">based on that sample. </w:t>
            </w:r>
          </w:p>
          <w:p w14:paraId="336585B7" w14:textId="77777777" w:rsidR="002D1A88" w:rsidRDefault="002D1A88">
            <w:pPr>
              <w:pStyle w:val="EndnoteText"/>
              <w:rPr>
                <w:rFonts w:cs="Arial"/>
              </w:rPr>
            </w:pPr>
          </w:p>
          <w:p w14:paraId="58C7827D" w14:textId="239EC303" w:rsidR="002D1A88" w:rsidRDefault="002D1A88">
            <w:pPr>
              <w:pStyle w:val="EndnoteText"/>
              <w:rPr>
                <w:rFonts w:cs="Arial"/>
              </w:rPr>
            </w:pPr>
            <w:r w:rsidRPr="00C76D2B">
              <w:rPr>
                <w:rFonts w:cs="Arial"/>
              </w:rPr>
              <w:t xml:space="preserve">When sampling from a larger population of cases, </w:t>
            </w:r>
            <w:r>
              <w:rPr>
                <w:rFonts w:cs="Arial"/>
              </w:rPr>
              <w:t xml:space="preserve">hospitals that perform procedures across multiple surgical specialties (e.g., general surgery, orthopedics, urology, etc.) included in Section </w:t>
            </w:r>
            <w:r w:rsidR="00EA68FC">
              <w:rPr>
                <w:rFonts w:cs="Arial"/>
              </w:rPr>
              <w:t>9</w:t>
            </w:r>
            <w:r>
              <w:rPr>
                <w:rFonts w:cs="Arial"/>
              </w:rPr>
              <w:t xml:space="preserve">C and facilities that perform procedures for both adult and pediatric patients should obtain a representative sample (i.e., include patients who underwent procedures in different surgical specialties and include both adult and pediatric patients, if applicable). </w:t>
            </w:r>
          </w:p>
          <w:p w14:paraId="78E5DA69" w14:textId="77777777" w:rsidR="002D1A88" w:rsidRDefault="002D1A88">
            <w:pPr>
              <w:pStyle w:val="EndnoteText"/>
            </w:pPr>
          </w:p>
          <w:p w14:paraId="24F8E8A7" w14:textId="304959F7" w:rsidR="002D1A88" w:rsidRDefault="002D1A88">
            <w:pPr>
              <w:pStyle w:val="EndnoteText"/>
            </w:pPr>
            <w:r w:rsidRPr="00D845CC">
              <w:rPr>
                <w:b/>
                <w:bCs/>
              </w:rPr>
              <w:t xml:space="preserve">For hospitals with multiple hospital outpatient departments that perform the procedures listed in Section </w:t>
            </w:r>
            <w:r w:rsidR="00FB07A6">
              <w:rPr>
                <w:b/>
                <w:bCs/>
              </w:rPr>
              <w:t>9</w:t>
            </w:r>
            <w:r w:rsidRPr="00D845CC">
              <w:rPr>
                <w:b/>
                <w:bCs/>
              </w:rPr>
              <w:t>C</w:t>
            </w:r>
            <w:r w:rsidR="00A879E1">
              <w:rPr>
                <w:b/>
                <w:bCs/>
              </w:rPr>
              <w:t xml:space="preserve"> and Section 3A</w:t>
            </w:r>
            <w:r w:rsidR="0042363C">
              <w:rPr>
                <w:b/>
                <w:bCs/>
              </w:rPr>
              <w:t xml:space="preserve"> and submit both Section 9 and 3</w:t>
            </w:r>
            <w:r w:rsidRPr="00D845CC">
              <w:rPr>
                <w:b/>
                <w:bCs/>
              </w:rPr>
              <w:t>:</w:t>
            </w:r>
            <w:r>
              <w:t xml:space="preserve"> Hospitals</w:t>
            </w:r>
            <w:r w:rsidR="00D074D3">
              <w:t xml:space="preserve"> can</w:t>
            </w:r>
            <w:r>
              <w:rPr>
                <w:rFonts w:cs="Arial"/>
              </w:rPr>
              <w:t xml:space="preserve"> randomly sample 15 patients (who had one of the procedures included in Section </w:t>
            </w:r>
            <w:r w:rsidR="00FB07A6">
              <w:rPr>
                <w:rFonts w:cs="Arial"/>
              </w:rPr>
              <w:t>9</w:t>
            </w:r>
            <w:r>
              <w:rPr>
                <w:rFonts w:cs="Arial"/>
              </w:rPr>
              <w:t>C</w:t>
            </w:r>
            <w:r w:rsidR="00690F8F">
              <w:rPr>
                <w:rFonts w:cs="Arial"/>
              </w:rPr>
              <w:t xml:space="preserve">) </w:t>
            </w:r>
            <w:r w:rsidRPr="00C76D2B">
              <w:rPr>
                <w:rFonts w:cs="Arial"/>
              </w:rPr>
              <w:t xml:space="preserve">and measure and report adherence </w:t>
            </w:r>
            <w:r>
              <w:rPr>
                <w:rFonts w:cs="Arial"/>
              </w:rPr>
              <w:t xml:space="preserve">to the safe surgery checklist </w:t>
            </w:r>
            <w:r w:rsidRPr="00C76D2B">
              <w:rPr>
                <w:rFonts w:cs="Arial"/>
              </w:rPr>
              <w:t>based on that sample</w:t>
            </w:r>
            <w:r>
              <w:rPr>
                <w:rFonts w:cs="Arial"/>
              </w:rPr>
              <w:t xml:space="preserve">. However, hospital must sample across the various locations where the procedures are being performed, including </w:t>
            </w:r>
            <w:r>
              <w:t xml:space="preserve">freestanding hospital outpatient departments or surgery centers, in addition to ensuring that the sample </w:t>
            </w:r>
            <w:r>
              <w:rPr>
                <w:rFonts w:cs="Arial"/>
              </w:rPr>
              <w:t>includ</w:t>
            </w:r>
            <w:r w:rsidR="00AF39C1">
              <w:rPr>
                <w:rFonts w:cs="Arial"/>
              </w:rPr>
              <w:t>es</w:t>
            </w:r>
            <w:r>
              <w:rPr>
                <w:rFonts w:cs="Arial"/>
              </w:rPr>
              <w:t xml:space="preserve"> patients who underwent procedures in different surgical specialties and both adult and pediatric patients, if applicable</w:t>
            </w:r>
            <w:r>
              <w:t xml:space="preserve">. </w:t>
            </w:r>
          </w:p>
          <w:p w14:paraId="7CD02E84" w14:textId="75F0EEC0" w:rsidR="00FB07A6" w:rsidRDefault="00FB07A6">
            <w:pPr>
              <w:pStyle w:val="EndnoteText"/>
            </w:pPr>
          </w:p>
          <w:p w14:paraId="7C0227E7" w14:textId="59F5413C" w:rsidR="002D1A88" w:rsidRPr="00D845CC" w:rsidRDefault="00FB07A6">
            <w:pPr>
              <w:pStyle w:val="EndnoteText"/>
            </w:pPr>
            <w:bookmarkStart w:id="809" w:name="_Hlk119500271"/>
            <w:r w:rsidRPr="00B00E2A">
              <w:rPr>
                <w:b/>
                <w:bCs/>
              </w:rPr>
              <w:t xml:space="preserve">For hospitals with one or multiple hospital outpatient departments that </w:t>
            </w:r>
            <w:r w:rsidR="00A879E1">
              <w:rPr>
                <w:b/>
                <w:bCs/>
              </w:rPr>
              <w:t>ONLY</w:t>
            </w:r>
            <w:r w:rsidRPr="00B00E2A">
              <w:rPr>
                <w:b/>
                <w:bCs/>
              </w:rPr>
              <w:t xml:space="preserve"> perform the procedures in Section 9C</w:t>
            </w:r>
            <w:r w:rsidR="00C224B1">
              <w:rPr>
                <w:b/>
                <w:bCs/>
              </w:rPr>
              <w:t xml:space="preserve"> or that ONLY submit Section 9</w:t>
            </w:r>
            <w:r w:rsidRPr="00B00E2A">
              <w:t>:</w:t>
            </w:r>
            <w:r>
              <w:t xml:space="preserve"> Hospitals </w:t>
            </w:r>
            <w:r w:rsidR="00D074D3">
              <w:t>must</w:t>
            </w:r>
            <w:r>
              <w:t xml:space="preserve"> randomly sample 30 patients who had one of the procedures included in Section 9C and report adherence to the safe surgery checklist on that sample. Hospitals that perform the procedures listed in Section 9C and 3A should follow the guidance above.</w:t>
            </w:r>
            <w:bookmarkEnd w:id="809"/>
          </w:p>
        </w:tc>
      </w:tr>
      <w:tr w:rsidR="002D1A88" w14:paraId="035815A0" w14:textId="77777777" w:rsidTr="006606DD">
        <w:trPr>
          <w:trHeight w:val="2160"/>
        </w:trPr>
        <w:tc>
          <w:tcPr>
            <w:tcW w:w="9350" w:type="dxa"/>
          </w:tcPr>
          <w:p w14:paraId="1C3905F9" w14:textId="72574E18" w:rsidR="002D1A88" w:rsidRPr="00E5711D" w:rsidRDefault="002D1A88">
            <w:pPr>
              <w:rPr>
                <w:rFonts w:cs="Arial"/>
                <w:b/>
                <w:bCs/>
              </w:rPr>
            </w:pPr>
            <w:r w:rsidRPr="008A1378">
              <w:rPr>
                <w:b/>
                <w:bCs/>
              </w:rPr>
              <w:lastRenderedPageBreak/>
              <w:t>Question #</w:t>
            </w:r>
            <w:r w:rsidR="00430AE0">
              <w:rPr>
                <w:b/>
                <w:bCs/>
              </w:rPr>
              <w:t>6</w:t>
            </w:r>
            <w:r w:rsidRPr="008A1378">
              <w:rPr>
                <w:b/>
                <w:bCs/>
              </w:rPr>
              <w:t xml:space="preserve">: </w:t>
            </w:r>
            <w:r w:rsidRPr="00E5711D">
              <w:rPr>
                <w:rFonts w:cs="Arial"/>
                <w:b/>
                <w:bCs/>
              </w:rPr>
              <w:t xml:space="preserve">Did your </w:t>
            </w:r>
            <w:r>
              <w:rPr>
                <w:rFonts w:cs="Arial"/>
                <w:b/>
                <w:bCs/>
              </w:rPr>
              <w:t>hospital</w:t>
            </w:r>
            <w:r w:rsidRPr="00E5711D">
              <w:rPr>
                <w:rFonts w:cs="Arial"/>
                <w:b/>
                <w:bCs/>
              </w:rPr>
              <w:t xml:space="preserve"> perform an audit (either in-person or via the medical record or other EHR data) on </w:t>
            </w:r>
            <w:r w:rsidR="001148FE">
              <w:rPr>
                <w:rFonts w:cs="Arial"/>
                <w:b/>
                <w:bCs/>
              </w:rPr>
              <w:t>a sufficient sample</w:t>
            </w:r>
            <w:r w:rsidRPr="00E5711D">
              <w:rPr>
                <w:rFonts w:cs="Arial"/>
                <w:b/>
                <w:bCs/>
              </w:rPr>
              <w:t xml:space="preserve"> of patients who underwent a procedure included in Section </w:t>
            </w:r>
            <w:r w:rsidR="00FB07A6">
              <w:rPr>
                <w:rFonts w:cs="Arial"/>
                <w:b/>
                <w:bCs/>
              </w:rPr>
              <w:t>9</w:t>
            </w:r>
            <w:r>
              <w:rPr>
                <w:rFonts w:cs="Arial"/>
                <w:b/>
                <w:bCs/>
              </w:rPr>
              <w:t>C</w:t>
            </w:r>
            <w:r w:rsidRPr="00E5711D">
              <w:rPr>
                <w:rFonts w:cs="Arial"/>
                <w:b/>
                <w:bCs/>
              </w:rPr>
              <w:t xml:space="preserve"> and measure adherence to the safe surgery checklist? </w:t>
            </w:r>
          </w:p>
          <w:p w14:paraId="52A6D455" w14:textId="77777777" w:rsidR="002D1A88" w:rsidRPr="008A1378" w:rsidRDefault="002D1A88">
            <w:pPr>
              <w:rPr>
                <w:rFonts w:cs="Arial"/>
              </w:rPr>
            </w:pPr>
          </w:p>
          <w:p w14:paraId="06A5025B" w14:textId="2D57B385" w:rsidR="002D1A88" w:rsidRPr="00764EEA" w:rsidRDefault="002D1A88">
            <w:pPr>
              <w:rPr>
                <w:rFonts w:cs="Arial"/>
                <w:i/>
                <w:iCs/>
              </w:rPr>
            </w:pPr>
            <w:r w:rsidRPr="008A1378">
              <w:rPr>
                <w:rFonts w:cs="Arial"/>
              </w:rPr>
              <w:t>To respond “yes” to question #</w:t>
            </w:r>
            <w:r w:rsidR="00430AE0">
              <w:rPr>
                <w:rFonts w:cs="Arial"/>
              </w:rPr>
              <w:t>6</w:t>
            </w:r>
            <w:r w:rsidRPr="008A1378">
              <w:rPr>
                <w:rFonts w:cs="Arial"/>
              </w:rPr>
              <w:t xml:space="preserve">, </w:t>
            </w:r>
            <w:r>
              <w:rPr>
                <w:rFonts w:cs="Arial"/>
              </w:rPr>
              <w:t>hospitals</w:t>
            </w:r>
            <w:r w:rsidRPr="008A1378">
              <w:rPr>
                <w:rFonts w:cs="Arial"/>
              </w:rPr>
              <w:t xml:space="preserve"> must measure and document whether all the elements in questions #</w:t>
            </w:r>
            <w:r w:rsidR="00430AE0">
              <w:rPr>
                <w:rFonts w:cs="Arial"/>
              </w:rPr>
              <w:t>3</w:t>
            </w:r>
            <w:r w:rsidRPr="008A1378">
              <w:rPr>
                <w:rFonts w:cs="Arial"/>
              </w:rPr>
              <w:t>, #</w:t>
            </w:r>
            <w:r w:rsidR="00430AE0">
              <w:rPr>
                <w:rFonts w:cs="Arial"/>
              </w:rPr>
              <w:t>4</w:t>
            </w:r>
            <w:r w:rsidRPr="008A1378">
              <w:rPr>
                <w:rFonts w:cs="Arial"/>
              </w:rPr>
              <w:t>, and #</w:t>
            </w:r>
            <w:r w:rsidR="00430AE0">
              <w:rPr>
                <w:rFonts w:cs="Arial"/>
              </w:rPr>
              <w:t>5</w:t>
            </w:r>
            <w:r w:rsidRPr="008A1378">
              <w:rPr>
                <w:rFonts w:cs="Arial"/>
              </w:rPr>
              <w:t xml:space="preserve"> were verbalized in the presence of the appropriate personnel for each sampled case.</w:t>
            </w:r>
            <w:r w:rsidRPr="008A1378">
              <w:rPr>
                <w:rFonts w:cs="Arial"/>
                <w:i/>
                <w:iCs/>
              </w:rPr>
              <w:t xml:space="preserve"> </w:t>
            </w:r>
            <w:r>
              <w:rPr>
                <w:rFonts w:cs="Arial"/>
              </w:rPr>
              <w:t>Hospitals that completed the audit should respond “yes” to this question regardless of whether the adherence to the checklist was 100%. Hospitals will report on adherence to the checklist in question #</w:t>
            </w:r>
            <w:r w:rsidR="00430AE0">
              <w:rPr>
                <w:rFonts w:cs="Arial"/>
              </w:rPr>
              <w:t>9</w:t>
            </w:r>
            <w:r>
              <w:rPr>
                <w:rFonts w:cs="Arial"/>
              </w:rPr>
              <w:t>.</w:t>
            </w:r>
          </w:p>
        </w:tc>
      </w:tr>
      <w:tr w:rsidR="00430AE0" w14:paraId="45241046" w14:textId="77777777" w:rsidTr="006606DD">
        <w:trPr>
          <w:trHeight w:val="2160"/>
        </w:trPr>
        <w:tc>
          <w:tcPr>
            <w:tcW w:w="9350" w:type="dxa"/>
          </w:tcPr>
          <w:p w14:paraId="2087BCE7" w14:textId="6944458C" w:rsidR="00430AE0" w:rsidRDefault="00430AE0" w:rsidP="00430AE0">
            <w:pPr>
              <w:rPr>
                <w:b/>
                <w:bCs/>
              </w:rPr>
            </w:pPr>
            <w:r w:rsidRPr="00232087">
              <w:rPr>
                <w:b/>
                <w:bCs/>
              </w:rPr>
              <w:t xml:space="preserve">Question #7: How many cases were </w:t>
            </w:r>
            <w:r>
              <w:rPr>
                <w:b/>
                <w:bCs/>
              </w:rPr>
              <w:t>included in the audit from</w:t>
            </w:r>
            <w:r w:rsidRPr="00232087">
              <w:rPr>
                <w:b/>
                <w:bCs/>
              </w:rPr>
              <w:t xml:space="preserve"> question #6?</w:t>
            </w:r>
          </w:p>
          <w:p w14:paraId="1266B3A7" w14:textId="77777777" w:rsidR="00430AE0" w:rsidRDefault="00430AE0" w:rsidP="00430AE0">
            <w:pPr>
              <w:rPr>
                <w:b/>
                <w:bCs/>
              </w:rPr>
            </w:pPr>
          </w:p>
          <w:p w14:paraId="0906B6F5" w14:textId="155EF783" w:rsidR="00430AE0" w:rsidRDefault="00430AE0" w:rsidP="00430AE0">
            <w:pPr>
              <w:pStyle w:val="EndnoteText"/>
              <w:rPr>
                <w:rFonts w:cs="Arial"/>
              </w:rPr>
            </w:pPr>
            <w:r>
              <w:t>Hospitals</w:t>
            </w:r>
            <w:r>
              <w:rPr>
                <w:rFonts w:cs="Arial"/>
              </w:rPr>
              <w:t xml:space="preserve"> that perform procedures in both Section 3A and Section 9C, and submit both Section 3 and 9, can randomly sample 15 patients (who had one of the procedures included in Section </w:t>
            </w:r>
            <w:r w:rsidR="003D4CDD">
              <w:rPr>
                <w:rFonts w:cs="Arial"/>
              </w:rPr>
              <w:t>9C</w:t>
            </w:r>
            <w:r>
              <w:rPr>
                <w:rFonts w:cs="Arial"/>
              </w:rPr>
              <w:t xml:space="preserve">) </w:t>
            </w:r>
            <w:r w:rsidRPr="00C76D2B">
              <w:rPr>
                <w:rFonts w:cs="Arial"/>
              </w:rPr>
              <w:t xml:space="preserve">and measure and report adherence </w:t>
            </w:r>
            <w:r>
              <w:rPr>
                <w:rFonts w:cs="Arial"/>
              </w:rPr>
              <w:t xml:space="preserve">to the safe surgery checklist </w:t>
            </w:r>
            <w:r w:rsidRPr="00C76D2B">
              <w:rPr>
                <w:rFonts w:cs="Arial"/>
              </w:rPr>
              <w:t xml:space="preserve">based on that sample. </w:t>
            </w:r>
          </w:p>
          <w:p w14:paraId="61A58BB3" w14:textId="77777777" w:rsidR="00430AE0" w:rsidRDefault="00430AE0" w:rsidP="00430AE0">
            <w:pPr>
              <w:pStyle w:val="EndnoteText"/>
              <w:rPr>
                <w:rFonts w:cs="Arial"/>
              </w:rPr>
            </w:pPr>
          </w:p>
          <w:p w14:paraId="07AAF921" w14:textId="7FCBD5C1" w:rsidR="00430AE0" w:rsidRPr="008A1378" w:rsidRDefault="00430AE0" w:rsidP="00430AE0">
            <w:pPr>
              <w:rPr>
                <w:b/>
                <w:bCs/>
              </w:rPr>
            </w:pPr>
            <w:r>
              <w:rPr>
                <w:rFonts w:cs="Arial"/>
              </w:rPr>
              <w:t>Hospitals that ONLY perform the procedures in Section 3A</w:t>
            </w:r>
            <w:r w:rsidR="003D4CDD">
              <w:rPr>
                <w:rFonts w:cs="Arial"/>
              </w:rPr>
              <w:t>C</w:t>
            </w:r>
            <w:r>
              <w:rPr>
                <w:rFonts w:cs="Arial"/>
              </w:rPr>
              <w:t xml:space="preserve">, or that ONLY submit Section </w:t>
            </w:r>
            <w:r w:rsidR="003D4CDD">
              <w:rPr>
                <w:rFonts w:cs="Arial"/>
              </w:rPr>
              <w:t>9</w:t>
            </w:r>
            <w:r>
              <w:rPr>
                <w:rFonts w:cs="Arial"/>
              </w:rPr>
              <w:t xml:space="preserve">, must randomly sample 30 patients (who had one of the procedures included in Section </w:t>
            </w:r>
            <w:r w:rsidR="003D4CDD">
              <w:rPr>
                <w:rFonts w:cs="Arial"/>
              </w:rPr>
              <w:t>9C</w:t>
            </w:r>
            <w:r>
              <w:rPr>
                <w:rFonts w:cs="Arial"/>
              </w:rPr>
              <w:t xml:space="preserve">) </w:t>
            </w:r>
            <w:r w:rsidRPr="00C76D2B">
              <w:rPr>
                <w:rFonts w:cs="Arial"/>
              </w:rPr>
              <w:t xml:space="preserve">and measure and report adherence </w:t>
            </w:r>
            <w:r>
              <w:rPr>
                <w:rFonts w:cs="Arial"/>
              </w:rPr>
              <w:t xml:space="preserve">to the safe surgery checklist </w:t>
            </w:r>
            <w:r w:rsidRPr="00C76D2B">
              <w:rPr>
                <w:rFonts w:cs="Arial"/>
              </w:rPr>
              <w:t>based on that sample.</w:t>
            </w:r>
          </w:p>
        </w:tc>
      </w:tr>
      <w:tr w:rsidR="00FB07A6" w14:paraId="52530D4E" w14:textId="77777777" w:rsidTr="006606DD">
        <w:trPr>
          <w:trHeight w:val="2016"/>
        </w:trPr>
        <w:tc>
          <w:tcPr>
            <w:tcW w:w="9350" w:type="dxa"/>
          </w:tcPr>
          <w:p w14:paraId="481139AF" w14:textId="362A4BAF" w:rsidR="00A879E1" w:rsidRPr="001148FE" w:rsidRDefault="00A879E1" w:rsidP="00A879E1">
            <w:pPr>
              <w:rPr>
                <w:b/>
                <w:bCs/>
              </w:rPr>
            </w:pPr>
            <w:r>
              <w:rPr>
                <w:b/>
                <w:bCs/>
              </w:rPr>
              <w:t>Question #</w:t>
            </w:r>
            <w:r w:rsidR="00430AE0">
              <w:rPr>
                <w:b/>
                <w:bCs/>
              </w:rPr>
              <w:t>8</w:t>
            </w:r>
            <w:r>
              <w:rPr>
                <w:b/>
                <w:bCs/>
              </w:rPr>
              <w:t xml:space="preserve">: </w:t>
            </w:r>
            <w:r w:rsidR="001148FE" w:rsidRPr="001148FE">
              <w:rPr>
                <w:rFonts w:cs="Arial"/>
                <w:b/>
                <w:bCs/>
              </w:rPr>
              <w:t>What method was used to perform the audit on a sufficient sample in question #</w:t>
            </w:r>
            <w:r w:rsidR="00430AE0">
              <w:rPr>
                <w:rFonts w:cs="Arial"/>
                <w:b/>
                <w:bCs/>
              </w:rPr>
              <w:t>6</w:t>
            </w:r>
            <w:r w:rsidR="001148FE" w:rsidRPr="001148FE">
              <w:rPr>
                <w:rFonts w:cs="Arial"/>
                <w:b/>
                <w:bCs/>
              </w:rPr>
              <w:t>?</w:t>
            </w:r>
          </w:p>
          <w:p w14:paraId="57DEDB98" w14:textId="77777777" w:rsidR="00A879E1" w:rsidRDefault="00A879E1" w:rsidP="00A879E1">
            <w:pPr>
              <w:rPr>
                <w:b/>
                <w:bCs/>
              </w:rPr>
            </w:pPr>
          </w:p>
          <w:p w14:paraId="2DD2638D" w14:textId="77777777" w:rsidR="002B5D13" w:rsidRDefault="002B5D13" w:rsidP="002B5D13">
            <w:pPr>
              <w:rPr>
                <w:rFonts w:cs="Arial"/>
              </w:rPr>
            </w:pPr>
            <w:r>
              <w:rPr>
                <w:rFonts w:cs="Arial"/>
              </w:rPr>
              <w:t xml:space="preserve">Hospitals can only perform a retrospective audit by reviewing medical records or EHR data if adherence to the safe surgery checklist is clearly documented in the medical record or EHR and the documentation clearly demonstrates </w:t>
            </w:r>
            <w:r w:rsidRPr="00D87C59">
              <w:rPr>
                <w:rFonts w:cs="Arial"/>
                <w:u w:val="single"/>
              </w:rPr>
              <w:t>th</w:t>
            </w:r>
            <w:r>
              <w:rPr>
                <w:rFonts w:cs="Arial"/>
                <w:u w:val="single"/>
              </w:rPr>
              <w:t>at</w:t>
            </w:r>
            <w:r w:rsidRPr="00D87C59">
              <w:rPr>
                <w:rFonts w:cs="Arial"/>
                <w:u w:val="single"/>
              </w:rPr>
              <w:t xml:space="preserve"> each element</w:t>
            </w:r>
            <w:r>
              <w:rPr>
                <w:rFonts w:cs="Arial"/>
                <w:u w:val="single"/>
              </w:rPr>
              <w:t xml:space="preserve"> was verbalized in the presence of the appropriate personnel. </w:t>
            </w:r>
            <w:r>
              <w:rPr>
                <w:rFonts w:cs="Arial"/>
              </w:rPr>
              <w:t xml:space="preserve">If hospitals cannot clearly determine whether (a) the checklist element was verbalized and (b) that the appropriate personnel were present via a retrospective audit, an in-person observational audit must be completed. </w:t>
            </w:r>
          </w:p>
          <w:p w14:paraId="7B41F535" w14:textId="77777777" w:rsidR="002B5D13" w:rsidRDefault="002B5D13" w:rsidP="002B5D13">
            <w:pPr>
              <w:rPr>
                <w:rFonts w:cs="Arial"/>
              </w:rPr>
            </w:pPr>
          </w:p>
          <w:p w14:paraId="0E4C63AC" w14:textId="77777777" w:rsidR="003D4CDD" w:rsidRDefault="003D4CDD" w:rsidP="003D4CDD">
            <w:pPr>
              <w:rPr>
                <w:rFonts w:cs="Arial"/>
              </w:rPr>
            </w:pPr>
            <w:r>
              <w:rPr>
                <w:rFonts w:cs="Arial"/>
              </w:rPr>
              <w:t xml:space="preserve">Hospitals performing in-person observational audits must do so in the latest 12 months prior to Survey submission. </w:t>
            </w:r>
          </w:p>
          <w:p w14:paraId="239866C6" w14:textId="77777777" w:rsidR="003D4CDD" w:rsidRDefault="003D4CDD" w:rsidP="003D4CDD">
            <w:pPr>
              <w:rPr>
                <w:rFonts w:cs="Arial"/>
              </w:rPr>
            </w:pPr>
          </w:p>
          <w:p w14:paraId="37E4746B" w14:textId="6122DC61" w:rsidR="00FB07A6" w:rsidRPr="008A1378" w:rsidRDefault="003D4CDD" w:rsidP="003D4CDD">
            <w:pPr>
              <w:rPr>
                <w:b/>
                <w:bCs/>
              </w:rPr>
            </w:pPr>
            <w:r>
              <w:rPr>
                <w:rFonts w:cs="Arial"/>
              </w:rPr>
              <w:t>Hospitals performing retrospective audits must audit cases from the latest 12 months prior to Survey submission but can also review any case from Section 9C that was performed in the latest calendar year prior to Survey submission.</w:t>
            </w:r>
          </w:p>
        </w:tc>
      </w:tr>
      <w:tr w:rsidR="00AC6F2D" w14:paraId="061B2BF4" w14:textId="77777777" w:rsidTr="00AC6F2D">
        <w:trPr>
          <w:trHeight w:val="1691"/>
        </w:trPr>
        <w:tc>
          <w:tcPr>
            <w:tcW w:w="9350" w:type="dxa"/>
          </w:tcPr>
          <w:p w14:paraId="48F270C0" w14:textId="77777777" w:rsidR="00AC6F2D" w:rsidRDefault="00AC6F2D" w:rsidP="00AC6F2D">
            <w:pPr>
              <w:contextualSpacing/>
              <w:rPr>
                <w:rFonts w:cstheme="minorHAnsi"/>
              </w:rPr>
            </w:pPr>
            <w:r w:rsidRPr="00EA6AEE">
              <w:rPr>
                <w:b/>
                <w:bCs/>
              </w:rPr>
              <w:t>Question #</w:t>
            </w:r>
            <w:r>
              <w:rPr>
                <w:b/>
                <w:bCs/>
              </w:rPr>
              <w:t>9</w:t>
            </w:r>
            <w:r w:rsidRPr="00EA6AEE">
              <w:rPr>
                <w:b/>
                <w:bCs/>
              </w:rPr>
              <w:t xml:space="preserve">: </w:t>
            </w:r>
            <w:r w:rsidRPr="00501726">
              <w:rPr>
                <w:b/>
                <w:bCs/>
              </w:rPr>
              <w:t xml:space="preserve">Based on your hospital’s audit (either in-person or via the medical record or other EHR data) on </w:t>
            </w:r>
            <w:r>
              <w:rPr>
                <w:b/>
                <w:bCs/>
              </w:rPr>
              <w:t>a sufficient sample</w:t>
            </w:r>
            <w:r w:rsidRPr="00501726">
              <w:rPr>
                <w:b/>
                <w:bCs/>
              </w:rPr>
              <w:t xml:space="preserve"> of patients who underwent a procedure included in Section </w:t>
            </w:r>
            <w:r>
              <w:rPr>
                <w:b/>
                <w:bCs/>
              </w:rPr>
              <w:t>9</w:t>
            </w:r>
            <w:r w:rsidRPr="00501726">
              <w:rPr>
                <w:b/>
                <w:bCs/>
              </w:rPr>
              <w:t>C, what was your hospitals documented rate of adherence to the safe surgery checklist (e.g., what percentage of the sampled cases had all elements in questions #</w:t>
            </w:r>
            <w:r>
              <w:rPr>
                <w:b/>
                <w:bCs/>
              </w:rPr>
              <w:t>3</w:t>
            </w:r>
            <w:r w:rsidRPr="00501726">
              <w:rPr>
                <w:b/>
                <w:bCs/>
              </w:rPr>
              <w:t>, #</w:t>
            </w:r>
            <w:r>
              <w:rPr>
                <w:b/>
                <w:bCs/>
              </w:rPr>
              <w:t>4</w:t>
            </w:r>
            <w:r w:rsidRPr="00501726">
              <w:rPr>
                <w:b/>
                <w:bCs/>
              </w:rPr>
              <w:t>, and #</w:t>
            </w:r>
            <w:r>
              <w:rPr>
                <w:b/>
                <w:bCs/>
              </w:rPr>
              <w:t>5</w:t>
            </w:r>
            <w:r w:rsidRPr="00501726">
              <w:rPr>
                <w:b/>
                <w:bCs/>
              </w:rPr>
              <w:t xml:space="preserve"> completed)?</w:t>
            </w:r>
          </w:p>
          <w:p w14:paraId="17DC5609" w14:textId="77777777" w:rsidR="00AC6F2D" w:rsidRDefault="00AC6F2D" w:rsidP="00AC6F2D">
            <w:pPr>
              <w:contextualSpacing/>
            </w:pPr>
          </w:p>
          <w:p w14:paraId="7ADD5A67" w14:textId="77777777" w:rsidR="00AC6F2D" w:rsidRDefault="00AC6F2D" w:rsidP="00AC6F2D">
            <w:pPr>
              <w:contextualSpacing/>
            </w:pPr>
            <w:r>
              <w:t xml:space="preserve">Based on the audit completed for question #6, determine the total number of patient audits where </w:t>
            </w:r>
            <w:r w:rsidRPr="00EA6AEE">
              <w:rPr>
                <w:b/>
                <w:bCs/>
                <w:u w:val="single"/>
              </w:rPr>
              <w:t>all</w:t>
            </w:r>
            <w:r>
              <w:t xml:space="preserve"> elements of the safe surgery checklist (included in questions #3, #4, and #5) were read aloud in the presence of the appropriate personnel 1) before the induction of anesthesia, 2) before the skin incision and/or the procedure began, and 3) before the patient left the operating and/or procedure room. </w:t>
            </w:r>
          </w:p>
          <w:p w14:paraId="18E21808" w14:textId="77777777" w:rsidR="00AC6F2D" w:rsidRDefault="00AC6F2D" w:rsidP="00AC6F2D">
            <w:pPr>
              <w:contextualSpacing/>
            </w:pPr>
          </w:p>
          <w:p w14:paraId="34C0B310" w14:textId="77777777" w:rsidR="00AC6F2D" w:rsidRPr="00EA6AEE" w:rsidRDefault="00AC6F2D" w:rsidP="00AC6F2D">
            <w:pPr>
              <w:contextualSpacing/>
              <w:rPr>
                <w:b/>
                <w:bCs/>
              </w:rPr>
            </w:pPr>
            <w:r w:rsidRPr="00EA6AEE">
              <w:rPr>
                <w:b/>
                <w:bCs/>
              </w:rPr>
              <w:t>Included cases:</w:t>
            </w:r>
          </w:p>
          <w:p w14:paraId="5FA24394" w14:textId="77777777" w:rsidR="00AC6F2D" w:rsidRDefault="00AC6F2D" w:rsidP="00AC6F2D">
            <w:pPr>
              <w:pStyle w:val="ListParagraph"/>
              <w:numPr>
                <w:ilvl w:val="0"/>
                <w:numId w:val="165"/>
              </w:numPr>
            </w:pPr>
            <w:r>
              <w:t xml:space="preserve">The patient audit shows that </w:t>
            </w:r>
            <w:r w:rsidRPr="00EA6AEE">
              <w:rPr>
                <w:b/>
                <w:bCs/>
                <w:u w:val="single"/>
              </w:rPr>
              <w:t>all</w:t>
            </w:r>
            <w:r>
              <w:t xml:space="preserve"> elements of the safe surgery checklist, at </w:t>
            </w:r>
            <w:r w:rsidRPr="00EA6AEE">
              <w:rPr>
                <w:b/>
                <w:bCs/>
                <w:u w:val="single"/>
              </w:rPr>
              <w:t>all</w:t>
            </w:r>
            <w:r>
              <w:t xml:space="preserve"> three time points, were read aloud in the presence of the appropriate personnel. </w:t>
            </w:r>
          </w:p>
          <w:p w14:paraId="6F076BA4" w14:textId="77777777" w:rsidR="00AC6F2D" w:rsidRDefault="00AC6F2D" w:rsidP="00AC6F2D">
            <w:pPr>
              <w:contextualSpacing/>
            </w:pPr>
          </w:p>
          <w:p w14:paraId="0AB95B7B" w14:textId="77777777" w:rsidR="00AC6F2D" w:rsidRPr="00EA6AEE" w:rsidRDefault="00AC6F2D" w:rsidP="00AC6F2D">
            <w:pPr>
              <w:contextualSpacing/>
              <w:rPr>
                <w:b/>
                <w:bCs/>
              </w:rPr>
            </w:pPr>
            <w:r w:rsidRPr="00EA6AEE">
              <w:rPr>
                <w:b/>
                <w:bCs/>
              </w:rPr>
              <w:t>Excluded cases:</w:t>
            </w:r>
          </w:p>
          <w:p w14:paraId="03F73C8D" w14:textId="77777777" w:rsidR="00AC6F2D" w:rsidRDefault="00AC6F2D" w:rsidP="00AC6F2D">
            <w:pPr>
              <w:pStyle w:val="ListParagraph"/>
              <w:numPr>
                <w:ilvl w:val="0"/>
                <w:numId w:val="165"/>
              </w:numPr>
            </w:pPr>
            <w:r>
              <w:t xml:space="preserve">The patient audit does </w:t>
            </w:r>
            <w:r w:rsidRPr="00EA6AEE">
              <w:rPr>
                <w:b/>
                <w:bCs/>
                <w:u w:val="single"/>
              </w:rPr>
              <w:t>not</w:t>
            </w:r>
            <w:r>
              <w:t xml:space="preserve"> demonstrate that all elements of the safe surgery checklist were read aloud in the presence of the appropriate personnel (i.e., one or more elements of the checklist were not read aloud, or the appropriate personnel were not present during the checklist). </w:t>
            </w:r>
          </w:p>
          <w:p w14:paraId="3EDAAFE9" w14:textId="77777777" w:rsidR="00AC6F2D" w:rsidRDefault="00AC6F2D" w:rsidP="00AC6F2D">
            <w:pPr>
              <w:pStyle w:val="ListParagraph"/>
              <w:numPr>
                <w:ilvl w:val="0"/>
                <w:numId w:val="165"/>
              </w:numPr>
            </w:pPr>
            <w:r>
              <w:t xml:space="preserve">The patient audit does </w:t>
            </w:r>
            <w:r w:rsidRPr="00EA6AEE">
              <w:rPr>
                <w:b/>
                <w:bCs/>
                <w:u w:val="single"/>
              </w:rPr>
              <w:t>not</w:t>
            </w:r>
            <w:r>
              <w:t xml:space="preserve"> demonstrate that the safe surgery checklist was read aloud in the presence of the appropriate personnel at all three time points (i.e., before anesthesia, before skin incision, and before the patient leaves). </w:t>
            </w:r>
          </w:p>
          <w:p w14:paraId="669B4A72" w14:textId="77777777" w:rsidR="00AC6F2D" w:rsidRDefault="00AC6F2D" w:rsidP="00AC6F2D"/>
          <w:p w14:paraId="76B48339" w14:textId="6E83D838" w:rsidR="00AC6F2D" w:rsidRDefault="00AC6F2D" w:rsidP="00AC6F2D">
            <w:pPr>
              <w:rPr>
                <w:b/>
                <w:bCs/>
              </w:rPr>
            </w:pPr>
            <w:r w:rsidRPr="00EA6AEE">
              <w:rPr>
                <w:b/>
                <w:bCs/>
              </w:rPr>
              <w:lastRenderedPageBreak/>
              <w:t>Important Note</w:t>
            </w:r>
            <w:r>
              <w:t>: If a Safe Surgery Checklist element includes the qualifier “if applicable,” hospitals should determine if that element of the checklist was applicable to the patient and procedure being performed. If the element was determined to be “not applicable” to the patient and procedure, it does not count against the total adherence. For example, if your hospital performed a hernia repair, the availability of a device on-site would not be applicable. Therefore, when completing the Safe Surgery Checklist Workbook for this patient, indicate N/A for that element (device on-site) and your hospital would be able to count that case as adherent.</w:t>
            </w:r>
          </w:p>
        </w:tc>
      </w:tr>
    </w:tbl>
    <w:p w14:paraId="01BF606F" w14:textId="77777777" w:rsidR="002D1A88" w:rsidRPr="00156DDC" w:rsidRDefault="002D1A88" w:rsidP="002D1A88">
      <w:pPr>
        <w:rPr>
          <w:lang w:eastAsia="ja-JP"/>
        </w:rPr>
      </w:pPr>
    </w:p>
    <w:p w14:paraId="2D475925" w14:textId="32973559" w:rsidR="008B3BB3" w:rsidRDefault="0067431F">
      <w:pPr>
        <w:rPr>
          <w:b/>
          <w:sz w:val="28"/>
          <w:szCs w:val="24"/>
          <w:u w:val="single"/>
          <w:lang w:eastAsia="ja-JP"/>
        </w:rPr>
      </w:pPr>
      <w:r>
        <w:rPr>
          <w:b/>
          <w:sz w:val="28"/>
          <w:szCs w:val="24"/>
          <w:u w:val="single"/>
          <w:lang w:eastAsia="ja-JP"/>
        </w:rPr>
        <w:br w:type="page"/>
      </w:r>
    </w:p>
    <w:p w14:paraId="3E6D1EF5" w14:textId="06B8863F" w:rsidR="002272A8" w:rsidRDefault="00AB15C8" w:rsidP="00CF5A6E">
      <w:pPr>
        <w:pStyle w:val="Heading2"/>
      </w:pPr>
      <w:bookmarkStart w:id="810" w:name="_Safety_of_Procedures"/>
      <w:bookmarkStart w:id="811" w:name="_Toc225877867"/>
      <w:bookmarkEnd w:id="810"/>
      <w:r>
        <w:lastRenderedPageBreak/>
        <w:t xml:space="preserve">Section 9D: </w:t>
      </w:r>
      <w:r w:rsidR="00981824">
        <w:t>Safety of Procedures</w:t>
      </w:r>
      <w:r w:rsidR="002272A8">
        <w:t xml:space="preserve"> Frequently Asked Questions (FAQs)</w:t>
      </w:r>
      <w:bookmarkEnd w:id="800"/>
      <w:bookmarkEnd w:id="811"/>
    </w:p>
    <w:p w14:paraId="7B497976" w14:textId="77777777" w:rsidR="00981824" w:rsidRDefault="00981824" w:rsidP="00981824">
      <w:pPr>
        <w:rPr>
          <w:lang w:eastAsia="ja-JP"/>
        </w:rPr>
      </w:pPr>
    </w:p>
    <w:p w14:paraId="46DA59D6" w14:textId="6013E4E3" w:rsidR="001213DB" w:rsidRDefault="001213DB" w:rsidP="00AB5B80">
      <w:pPr>
        <w:pStyle w:val="Heading3"/>
      </w:pPr>
      <w:bookmarkStart w:id="812" w:name="_Toc225877868"/>
      <w:r>
        <w:t>General</w:t>
      </w:r>
      <w:r w:rsidR="00524BF3">
        <w:t xml:space="preserve"> Questions</w:t>
      </w:r>
      <w:bookmarkEnd w:id="812"/>
      <w:r w:rsidR="00524BF3">
        <w:t xml:space="preserve"> </w:t>
      </w:r>
    </w:p>
    <w:p w14:paraId="5E3B6854" w14:textId="77777777" w:rsidR="001213DB" w:rsidRPr="001213DB" w:rsidRDefault="001213DB" w:rsidP="001213DB">
      <w:pPr>
        <w:rPr>
          <w:lang w:eastAsia="ja-JP"/>
        </w:rPr>
      </w:pPr>
    </w:p>
    <w:p w14:paraId="020330EB" w14:textId="294160C1" w:rsidR="001213DB" w:rsidRPr="001213DB" w:rsidRDefault="001213DB" w:rsidP="00AD309C">
      <w:pPr>
        <w:pStyle w:val="ListParagraph"/>
        <w:numPr>
          <w:ilvl w:val="0"/>
          <w:numId w:val="136"/>
        </w:numPr>
        <w:rPr>
          <w:b/>
          <w:bCs/>
          <w:lang w:eastAsia="ja-JP"/>
        </w:rPr>
      </w:pPr>
      <w:r w:rsidRPr="001213DB">
        <w:rPr>
          <w:b/>
          <w:bCs/>
          <w:lang w:eastAsia="ja-JP"/>
        </w:rPr>
        <w:t>How should hospitals report on</w:t>
      </w:r>
      <w:r>
        <w:rPr>
          <w:b/>
          <w:bCs/>
          <w:lang w:eastAsia="ja-JP"/>
        </w:rPr>
        <w:t xml:space="preserve"> the processes in</w:t>
      </w:r>
      <w:r w:rsidRPr="001213DB">
        <w:rPr>
          <w:b/>
          <w:bCs/>
          <w:lang w:eastAsia="ja-JP"/>
        </w:rPr>
        <w:t xml:space="preserve"> Section </w:t>
      </w:r>
      <w:r w:rsidR="00FB07A6">
        <w:rPr>
          <w:b/>
          <w:bCs/>
          <w:lang w:eastAsia="ja-JP"/>
        </w:rPr>
        <w:t>9</w:t>
      </w:r>
      <w:r w:rsidRPr="001213DB">
        <w:rPr>
          <w:b/>
          <w:bCs/>
          <w:lang w:eastAsia="ja-JP"/>
        </w:rPr>
        <w:t xml:space="preserve">D Safety of Procedures if they have more than one hospital outpatient department performing the procedures listed in Section </w:t>
      </w:r>
      <w:r w:rsidR="00FB07A6">
        <w:rPr>
          <w:b/>
          <w:bCs/>
          <w:lang w:eastAsia="ja-JP"/>
        </w:rPr>
        <w:t>9</w:t>
      </w:r>
      <w:r w:rsidRPr="001213DB">
        <w:rPr>
          <w:b/>
          <w:bCs/>
          <w:lang w:eastAsia="ja-JP"/>
        </w:rPr>
        <w:t>C Volume of Procedures?</w:t>
      </w:r>
    </w:p>
    <w:p w14:paraId="4F78651D" w14:textId="4C29A80D" w:rsidR="001213DB" w:rsidRDefault="001213DB" w:rsidP="001213DB">
      <w:pPr>
        <w:pStyle w:val="ListParagraph"/>
        <w:ind w:left="360"/>
        <w:rPr>
          <w:lang w:eastAsia="ja-JP"/>
        </w:rPr>
      </w:pPr>
      <w:r>
        <w:rPr>
          <w:lang w:eastAsia="ja-JP"/>
        </w:rPr>
        <w:t xml:space="preserve">Hospitals with more than one hospital outpatient department are instructed to respond to Section </w:t>
      </w:r>
      <w:r w:rsidR="00FB07A6">
        <w:rPr>
          <w:lang w:eastAsia="ja-JP"/>
        </w:rPr>
        <w:t>9</w:t>
      </w:r>
      <w:r>
        <w:rPr>
          <w:lang w:eastAsia="ja-JP"/>
        </w:rPr>
        <w:t xml:space="preserve">D based on the location with the fewest processes in place. For example, if one hospital outpatient department </w:t>
      </w:r>
      <w:r w:rsidR="00101F09">
        <w:rPr>
          <w:lang w:eastAsia="ja-JP"/>
        </w:rPr>
        <w:t xml:space="preserve">uses a safe surgery checklist on all patients, </w:t>
      </w:r>
      <w:r>
        <w:rPr>
          <w:lang w:eastAsia="ja-JP"/>
        </w:rPr>
        <w:t>but another hospital outpatient department does not, you should answer “no” to question #</w:t>
      </w:r>
      <w:r w:rsidR="00A85EBE">
        <w:rPr>
          <w:lang w:eastAsia="ja-JP"/>
        </w:rPr>
        <w:t>6</w:t>
      </w:r>
      <w:r>
        <w:rPr>
          <w:lang w:eastAsia="ja-JP"/>
        </w:rPr>
        <w:t>.</w:t>
      </w:r>
    </w:p>
    <w:p w14:paraId="01783BB1" w14:textId="7053B9E4" w:rsidR="00031441" w:rsidRDefault="00031441" w:rsidP="00031441">
      <w:pPr>
        <w:rPr>
          <w:lang w:eastAsia="ja-JP"/>
        </w:rPr>
      </w:pPr>
    </w:p>
    <w:p w14:paraId="61B5E5AE" w14:textId="20F03F4F" w:rsidR="003E6B5E" w:rsidRPr="00764A72" w:rsidRDefault="002272A8" w:rsidP="00AB5B80">
      <w:pPr>
        <w:pStyle w:val="Heading3"/>
      </w:pPr>
      <w:bookmarkStart w:id="813" w:name="_Safe_Surgery_Checklist"/>
      <w:bookmarkStart w:id="814" w:name="_Toc3815046"/>
      <w:bookmarkStart w:id="815" w:name="_Ref123648860"/>
      <w:bookmarkStart w:id="816" w:name="_Toc225877869"/>
      <w:bookmarkEnd w:id="813"/>
      <w:r>
        <w:t>Safe Surgery Checklist</w:t>
      </w:r>
      <w:bookmarkEnd w:id="814"/>
      <w:r w:rsidR="00EB00AB">
        <w:t xml:space="preserve"> for Adult and Pediatric Outpatient Procedures</w:t>
      </w:r>
      <w:bookmarkEnd w:id="815"/>
      <w:r w:rsidR="006E0696">
        <w:t xml:space="preserve"> FAQs</w:t>
      </w:r>
      <w:bookmarkEnd w:id="816"/>
      <w:r w:rsidR="008C7171">
        <w:br/>
      </w:r>
    </w:p>
    <w:p w14:paraId="2C0307E1" w14:textId="0AF3421B" w:rsidR="007C2375" w:rsidRPr="00C20F56" w:rsidRDefault="007C2375" w:rsidP="00AD309C">
      <w:pPr>
        <w:pStyle w:val="ListParagraph"/>
        <w:numPr>
          <w:ilvl w:val="0"/>
          <w:numId w:val="136"/>
        </w:numPr>
        <w:rPr>
          <w:lang w:eastAsia="ja-JP"/>
        </w:rPr>
      </w:pPr>
      <w:r w:rsidRPr="0042165D">
        <w:rPr>
          <w:b/>
          <w:lang w:eastAsia="ja-JP"/>
        </w:rPr>
        <w:t>What 12-month reporting period should be used when reporting on this section?</w:t>
      </w:r>
    </w:p>
    <w:p w14:paraId="0B5207D3" w14:textId="58328879" w:rsidR="007C2375" w:rsidRDefault="007C2375" w:rsidP="0042165D">
      <w:pPr>
        <w:pStyle w:val="ListParagraph"/>
        <w:ind w:left="360"/>
        <w:rPr>
          <w:lang w:eastAsia="ja-JP"/>
        </w:rPr>
      </w:pPr>
      <w:r>
        <w:rPr>
          <w:lang w:eastAsia="ja-JP"/>
        </w:rPr>
        <w:t xml:space="preserve">When responding to the questions in Section </w:t>
      </w:r>
      <w:r w:rsidR="0042165D">
        <w:rPr>
          <w:lang w:eastAsia="ja-JP"/>
        </w:rPr>
        <w:t>9D</w:t>
      </w:r>
      <w:r>
        <w:rPr>
          <w:lang w:eastAsia="ja-JP"/>
        </w:rPr>
        <w:t xml:space="preserve">, hospitals should </w:t>
      </w:r>
      <w:r w:rsidRPr="005C1DC6">
        <w:rPr>
          <w:lang w:eastAsia="ja-JP"/>
        </w:rPr>
        <w:t xml:space="preserve">enter the month in which </w:t>
      </w:r>
      <w:r>
        <w:rPr>
          <w:lang w:eastAsia="ja-JP"/>
        </w:rPr>
        <w:t>they</w:t>
      </w:r>
      <w:r w:rsidRPr="005C1DC6">
        <w:rPr>
          <w:lang w:eastAsia="ja-JP"/>
        </w:rPr>
        <w:t xml:space="preserve"> complete </w:t>
      </w:r>
      <w:r>
        <w:rPr>
          <w:lang w:eastAsia="ja-JP"/>
        </w:rPr>
        <w:t xml:space="preserve">their </w:t>
      </w:r>
      <w:r w:rsidRPr="005C1DC6">
        <w:rPr>
          <w:lang w:eastAsia="ja-JP"/>
        </w:rPr>
        <w:t xml:space="preserve">observational in-person or retrospective EHR </w:t>
      </w:r>
      <w:r>
        <w:rPr>
          <w:lang w:eastAsia="ja-JP"/>
        </w:rPr>
        <w:t xml:space="preserve">review audits. If </w:t>
      </w:r>
      <w:r w:rsidR="004761C9">
        <w:rPr>
          <w:lang w:eastAsia="ja-JP"/>
        </w:rPr>
        <w:t xml:space="preserve">your </w:t>
      </w:r>
      <w:r>
        <w:rPr>
          <w:lang w:eastAsia="ja-JP"/>
        </w:rPr>
        <w:t>hospital</w:t>
      </w:r>
      <w:r w:rsidR="004761C9">
        <w:rPr>
          <w:lang w:eastAsia="ja-JP"/>
        </w:rPr>
        <w:t xml:space="preserve"> does</w:t>
      </w:r>
      <w:r>
        <w:rPr>
          <w:lang w:eastAsia="ja-JP"/>
        </w:rPr>
        <w:t xml:space="preserve"> not perform an audit, enter the month in which you are completing the Survey.  </w:t>
      </w:r>
    </w:p>
    <w:p w14:paraId="449D8C93" w14:textId="77777777" w:rsidR="0042165D" w:rsidRPr="00C20F56" w:rsidRDefault="0042165D" w:rsidP="0042165D">
      <w:pPr>
        <w:pStyle w:val="ListParagraph"/>
        <w:ind w:left="360"/>
        <w:rPr>
          <w:lang w:eastAsia="ja-JP"/>
        </w:rPr>
      </w:pPr>
    </w:p>
    <w:p w14:paraId="59592724" w14:textId="58101742" w:rsidR="00EC28B6" w:rsidRPr="00974A8E" w:rsidRDefault="00EC28B6" w:rsidP="00AD309C">
      <w:pPr>
        <w:pStyle w:val="ListParagraph"/>
        <w:numPr>
          <w:ilvl w:val="0"/>
          <w:numId w:val="136"/>
        </w:numPr>
        <w:rPr>
          <w:lang w:eastAsia="ja-JP"/>
        </w:rPr>
      </w:pPr>
      <w:r>
        <w:rPr>
          <w:b/>
          <w:lang w:eastAsia="ja-JP"/>
        </w:rPr>
        <w:t xml:space="preserve">Does the safe surgery checklist referenced in Section </w:t>
      </w:r>
      <w:r w:rsidR="00524BF3">
        <w:rPr>
          <w:b/>
          <w:lang w:eastAsia="ja-JP"/>
        </w:rPr>
        <w:t>9</w:t>
      </w:r>
      <w:r w:rsidR="00E7127F">
        <w:rPr>
          <w:b/>
          <w:lang w:eastAsia="ja-JP"/>
        </w:rPr>
        <w:t>D</w:t>
      </w:r>
      <w:r>
        <w:rPr>
          <w:b/>
          <w:lang w:eastAsia="ja-JP"/>
        </w:rPr>
        <w:t xml:space="preserve"> questions #</w:t>
      </w:r>
      <w:r w:rsidR="00F6404D">
        <w:rPr>
          <w:b/>
          <w:lang w:eastAsia="ja-JP"/>
        </w:rPr>
        <w:t>1-9</w:t>
      </w:r>
      <w:r>
        <w:rPr>
          <w:b/>
          <w:lang w:eastAsia="ja-JP"/>
        </w:rPr>
        <w:t xml:space="preserve"> apply to all procedures, including colonoscopies, endoscopies, etc.?</w:t>
      </w:r>
    </w:p>
    <w:p w14:paraId="4C3F7F1F" w14:textId="0EB9B93E" w:rsidR="00EC28B6" w:rsidRDefault="00EC28B6" w:rsidP="00EC28B6">
      <w:pPr>
        <w:pStyle w:val="CommentText"/>
        <w:ind w:left="360"/>
      </w:pPr>
      <w:r>
        <w:t xml:space="preserve">Yes, it applies to all procedures in Section </w:t>
      </w:r>
      <w:r w:rsidR="00524BF3">
        <w:t>9</w:t>
      </w:r>
      <w:r>
        <w:t>C questions #</w:t>
      </w:r>
      <w:r w:rsidR="005D782F">
        <w:t>2-10</w:t>
      </w:r>
      <w:r>
        <w:t xml:space="preserve">. If your </w:t>
      </w:r>
      <w:r w:rsidR="00E7127F">
        <w:t>hospital outpatient department</w:t>
      </w:r>
      <w:r w:rsidR="005A4897">
        <w:t>(</w:t>
      </w:r>
      <w:r w:rsidR="00E7127F">
        <w:t>s</w:t>
      </w:r>
      <w:r w:rsidR="005A4897">
        <w:t>)</w:t>
      </w:r>
      <w:r w:rsidR="00E7127F">
        <w:t xml:space="preserve"> do </w:t>
      </w:r>
      <w:r>
        <w:t>not utilize a safe surgery checklist for colonoscopy and/or endoscopy, respond “</w:t>
      </w:r>
      <w:r w:rsidR="009B25B1">
        <w:t>N</w:t>
      </w:r>
      <w:r>
        <w:t>o” to question #</w:t>
      </w:r>
      <w:r w:rsidR="00F6404D">
        <w:t>2</w:t>
      </w:r>
      <w:r>
        <w:t>.</w:t>
      </w:r>
    </w:p>
    <w:p w14:paraId="4CF3AAC3" w14:textId="16486509" w:rsidR="00524BF3" w:rsidRDefault="00524BF3" w:rsidP="00EC28B6">
      <w:pPr>
        <w:pStyle w:val="CommentText"/>
        <w:ind w:left="360"/>
      </w:pPr>
    </w:p>
    <w:p w14:paraId="101FAFBA" w14:textId="0799B17E" w:rsidR="00524BF3" w:rsidRPr="007A4892" w:rsidRDefault="00524BF3" w:rsidP="00AD309C">
      <w:pPr>
        <w:pStyle w:val="ListParagraph"/>
        <w:numPr>
          <w:ilvl w:val="0"/>
          <w:numId w:val="136"/>
        </w:numPr>
        <w:rPr>
          <w:b/>
          <w:bCs/>
        </w:rPr>
      </w:pPr>
      <w:r w:rsidRPr="007A4892">
        <w:rPr>
          <w:b/>
          <w:bCs/>
        </w:rPr>
        <w:t>Can different elements of the “Before the induction of anesthesia” checklist (question #</w:t>
      </w:r>
      <w:r w:rsidR="00301ED6">
        <w:rPr>
          <w:b/>
          <w:bCs/>
        </w:rPr>
        <w:t>3</w:t>
      </w:r>
      <w:r w:rsidRPr="007A4892">
        <w:rPr>
          <w:b/>
          <w:bCs/>
        </w:rPr>
        <w:t>) be performed in different places?</w:t>
      </w:r>
    </w:p>
    <w:p w14:paraId="2AA53F13" w14:textId="77777777" w:rsidR="00524BF3" w:rsidRPr="00B00E2A" w:rsidRDefault="00524BF3" w:rsidP="00524BF3">
      <w:pPr>
        <w:pStyle w:val="ListParagraph"/>
        <w:ind w:left="360"/>
      </w:pPr>
      <w:r w:rsidRPr="00B00E2A">
        <w:t xml:space="preserve">Yes, hospitals may perform some elements of the pre-anesthesia checklist outside of the operating room. Hospitals may read aloud the following elements in a pre-procedure (preop) area: Patient ID, Confirmation of procedure, Patient consent, Site marked, if applicable, and Allergies assessed. </w:t>
      </w:r>
    </w:p>
    <w:p w14:paraId="207180D7" w14:textId="77777777" w:rsidR="00524BF3" w:rsidRPr="00B00E2A" w:rsidRDefault="00524BF3" w:rsidP="00524BF3">
      <w:pPr>
        <w:pStyle w:val="ListParagraph"/>
        <w:ind w:left="360"/>
      </w:pPr>
    </w:p>
    <w:p w14:paraId="5D30B71C" w14:textId="03EA5A49" w:rsidR="00524BF3" w:rsidRDefault="00524BF3" w:rsidP="00753419">
      <w:pPr>
        <w:pStyle w:val="ListParagraph"/>
        <w:ind w:left="360"/>
      </w:pPr>
      <w:r w:rsidRPr="00B00E2A">
        <w:t>Hospitals should not remove conversation prompts as it is harmful to the purpose of the checklist and should continue debriefing and requiring participation of the surgical team members in key moments.</w:t>
      </w:r>
    </w:p>
    <w:p w14:paraId="2584C820" w14:textId="71FE33E9" w:rsidR="008C2B4F" w:rsidRDefault="008C2B4F" w:rsidP="00753419">
      <w:pPr>
        <w:pStyle w:val="ListParagraph"/>
      </w:pPr>
    </w:p>
    <w:p w14:paraId="3D162B0D" w14:textId="620928E2" w:rsidR="00A07DC5" w:rsidRPr="00A07DC5" w:rsidRDefault="00A07DC5" w:rsidP="00AD309C">
      <w:pPr>
        <w:pStyle w:val="ListParagraph"/>
        <w:numPr>
          <w:ilvl w:val="0"/>
          <w:numId w:val="136"/>
        </w:numPr>
        <w:rPr>
          <w:b/>
          <w:bCs/>
        </w:rPr>
      </w:pPr>
      <w:bookmarkStart w:id="817" w:name="surgical_team"/>
      <w:bookmarkStart w:id="818" w:name="clinicalteamintro_9d"/>
      <w:bookmarkEnd w:id="817"/>
      <w:bookmarkEnd w:id="818"/>
      <w:r w:rsidRPr="00A07DC5">
        <w:rPr>
          <w:b/>
          <w:bCs/>
        </w:rPr>
        <w:t>Do we need to perform a “clinical team introduction” if the team already knows each other and/or will be in the operating room together all day?</w:t>
      </w:r>
    </w:p>
    <w:p w14:paraId="167E675E" w14:textId="4ACA3F72" w:rsidR="00A07DC5" w:rsidRDefault="00A07DC5" w:rsidP="00A07DC5">
      <w:pPr>
        <w:ind w:left="360"/>
      </w:pPr>
      <w:r w:rsidRPr="00AE08E8">
        <w:t xml:space="preserve">Yes. </w:t>
      </w:r>
      <w:r>
        <w:t xml:space="preserve">Even if a clinical team knows each other they must perform an introduction stating their name and role at the first procedure of the day. </w:t>
      </w:r>
      <w:r w:rsidR="00E153C9">
        <w:t xml:space="preserve">They </w:t>
      </w:r>
      <w:r>
        <w:t xml:space="preserve">do not need to reintroduce </w:t>
      </w:r>
      <w:r w:rsidR="00264E80">
        <w:t xml:space="preserve">themselves </w:t>
      </w:r>
      <w:r>
        <w:t>for the remaining procedures</w:t>
      </w:r>
      <w:r w:rsidR="00551D57">
        <w:t xml:space="preserve"> </w:t>
      </w:r>
      <w:r>
        <w:t xml:space="preserve">but should </w:t>
      </w:r>
      <w:r w:rsidRPr="00BA343A">
        <w:t xml:space="preserve">confirm everyone </w:t>
      </w:r>
      <w:r>
        <w:t>was</w:t>
      </w:r>
      <w:r w:rsidRPr="00BA343A">
        <w:t xml:space="preserve"> introduced</w:t>
      </w:r>
      <w:r>
        <w:t xml:space="preserve"> beforehand. However, if any team members change between operations, introductions must be performed again.</w:t>
      </w:r>
    </w:p>
    <w:p w14:paraId="49A54D21" w14:textId="77777777" w:rsidR="00A07DC5" w:rsidRDefault="00A07DC5" w:rsidP="00A07DC5">
      <w:pPr>
        <w:ind w:left="360"/>
      </w:pPr>
    </w:p>
    <w:p w14:paraId="0067453B" w14:textId="4C286E38" w:rsidR="00B169F1" w:rsidRPr="00B169F1" w:rsidRDefault="00B169F1" w:rsidP="00AD309C">
      <w:pPr>
        <w:pStyle w:val="ListParagraph"/>
        <w:numPr>
          <w:ilvl w:val="0"/>
          <w:numId w:val="136"/>
        </w:numPr>
        <w:rPr>
          <w:b/>
          <w:bCs/>
        </w:rPr>
      </w:pPr>
      <w:r w:rsidRPr="00B169F1">
        <w:rPr>
          <w:b/>
          <w:bCs/>
        </w:rPr>
        <w:t xml:space="preserve">Do the Safe Surgery Checklist components included in questions </w:t>
      </w:r>
      <w:r>
        <w:rPr>
          <w:b/>
          <w:bCs/>
        </w:rPr>
        <w:t>#</w:t>
      </w:r>
      <w:r w:rsidR="00F6404D">
        <w:rPr>
          <w:b/>
          <w:bCs/>
        </w:rPr>
        <w:t>3</w:t>
      </w:r>
      <w:r w:rsidRPr="00B169F1">
        <w:rPr>
          <w:b/>
          <w:bCs/>
        </w:rPr>
        <w:t xml:space="preserve">, </w:t>
      </w:r>
      <w:r>
        <w:rPr>
          <w:b/>
          <w:bCs/>
        </w:rPr>
        <w:t>#</w:t>
      </w:r>
      <w:r w:rsidR="00F6404D">
        <w:rPr>
          <w:b/>
          <w:bCs/>
        </w:rPr>
        <w:t>4</w:t>
      </w:r>
      <w:r w:rsidRPr="00B169F1">
        <w:rPr>
          <w:b/>
          <w:bCs/>
        </w:rPr>
        <w:t xml:space="preserve">, and </w:t>
      </w:r>
      <w:r>
        <w:rPr>
          <w:b/>
          <w:bCs/>
        </w:rPr>
        <w:t>#</w:t>
      </w:r>
      <w:r w:rsidR="00F6404D">
        <w:rPr>
          <w:b/>
          <w:bCs/>
        </w:rPr>
        <w:t>5</w:t>
      </w:r>
      <w:r w:rsidRPr="00B169F1">
        <w:rPr>
          <w:b/>
          <w:bCs/>
        </w:rPr>
        <w:t xml:space="preserve"> need to be in one document that would align with the </w:t>
      </w:r>
      <w:hyperlink r:id="rId497" w:history="1">
        <w:r w:rsidR="00E428B3" w:rsidRPr="00E428B3">
          <w:rPr>
            <w:rStyle w:val="Hyperlink"/>
            <w:b/>
            <w:bCs/>
          </w:rPr>
          <w:t>WHO example</w:t>
        </w:r>
      </w:hyperlink>
      <w:r w:rsidR="00E428B3">
        <w:rPr>
          <w:b/>
          <w:bCs/>
        </w:rPr>
        <w:t xml:space="preserve"> </w:t>
      </w:r>
      <w:r w:rsidRPr="00B169F1">
        <w:rPr>
          <w:b/>
          <w:bCs/>
        </w:rPr>
        <w:t xml:space="preserve">or can they be in different documents (i.e., pre-anesthesia notes, surgeon H&amp;P, and pre-surgical checklists, etc.)? </w:t>
      </w:r>
    </w:p>
    <w:p w14:paraId="530CB623" w14:textId="13C65252" w:rsidR="00B169F1" w:rsidRDefault="00B169F1" w:rsidP="00B169F1">
      <w:pPr>
        <w:pStyle w:val="CommentText"/>
        <w:ind w:left="360"/>
      </w:pPr>
      <w:r w:rsidRPr="00B169F1">
        <w:t>It is possible to have separate checklists for each phase of the surgical procedure (i.e., before the induction of anesthesia, before the skin incision and/or before the procedure begins, and before the patient leaves the operating or procedure room). However, each individual component included in questions #</w:t>
      </w:r>
      <w:r w:rsidR="00F6404D">
        <w:t>3</w:t>
      </w:r>
      <w:r w:rsidRPr="00B169F1">
        <w:t xml:space="preserve">, </w:t>
      </w:r>
      <w:r>
        <w:t>#</w:t>
      </w:r>
      <w:r w:rsidR="00F6404D">
        <w:t>4</w:t>
      </w:r>
      <w:r w:rsidRPr="00B169F1">
        <w:t xml:space="preserve">, and </w:t>
      </w:r>
      <w:r>
        <w:t>#</w:t>
      </w:r>
      <w:r w:rsidR="00F6404D">
        <w:t>5</w:t>
      </w:r>
      <w:r w:rsidRPr="00B169F1">
        <w:t xml:space="preserve"> should be listed on the checklist(s) and hospitals should document whether the components were read aloud at the appropriate time with the appropriate members of the surgical team present.</w:t>
      </w:r>
    </w:p>
    <w:p w14:paraId="7D749642" w14:textId="77777777" w:rsidR="00B169F1" w:rsidRPr="00B169F1" w:rsidRDefault="00B169F1" w:rsidP="00B169F1">
      <w:pPr>
        <w:pStyle w:val="CommentText"/>
        <w:ind w:left="360"/>
      </w:pPr>
    </w:p>
    <w:p w14:paraId="401A6C01" w14:textId="5556552D" w:rsidR="008C2B4F" w:rsidRPr="008C2B4F" w:rsidRDefault="008C2B4F" w:rsidP="00AD309C">
      <w:pPr>
        <w:pStyle w:val="CommentText"/>
        <w:numPr>
          <w:ilvl w:val="0"/>
          <w:numId w:val="136"/>
        </w:numPr>
      </w:pPr>
      <w:r>
        <w:rPr>
          <w:b/>
          <w:bCs/>
        </w:rPr>
        <w:t>How is “whole surgical team” defined?</w:t>
      </w:r>
    </w:p>
    <w:p w14:paraId="4128049A" w14:textId="4BF0CD62" w:rsidR="008C2B4F" w:rsidRDefault="008C2B4F" w:rsidP="003903E3">
      <w:pPr>
        <w:pStyle w:val="CommentText"/>
        <w:ind w:left="360"/>
      </w:pPr>
      <w:r>
        <w:t>“Whole surgical team” is comprised of the surgeons, anesthesia professionals, nurses, technicians</w:t>
      </w:r>
      <w:r w:rsidR="003903E3">
        <w:t>,</w:t>
      </w:r>
      <w:r>
        <w:t xml:space="preserve"> and other operating room personnel involved in surgery.</w:t>
      </w:r>
      <w:r w:rsidR="003903E3">
        <w:t xml:space="preserve"> </w:t>
      </w:r>
      <w:r w:rsidR="00EA094B">
        <w:t>This is b</w:t>
      </w:r>
      <w:r>
        <w:t xml:space="preserve">ased off the </w:t>
      </w:r>
      <w:hyperlink r:id="rId498" w:history="1">
        <w:r w:rsidR="003D4CDD" w:rsidRPr="005F5019">
          <w:rPr>
            <w:rStyle w:val="Hyperlink"/>
          </w:rPr>
          <w:t>World Alliance for Patient Safety Implementation Manual Surgical Safety Checklist (First Edition).</w:t>
        </w:r>
      </w:hyperlink>
    </w:p>
    <w:p w14:paraId="43B5FDC1" w14:textId="77777777" w:rsidR="00031441" w:rsidRDefault="00031441">
      <w:pPr>
        <w:rPr>
          <w:b/>
          <w:sz w:val="28"/>
          <w:szCs w:val="24"/>
          <w:u w:val="single"/>
          <w:lang w:eastAsia="ja-JP"/>
        </w:rPr>
      </w:pPr>
      <w:bookmarkStart w:id="819" w:name="_Medication_Safety_for"/>
      <w:bookmarkEnd w:id="819"/>
      <w:r>
        <w:br w:type="page"/>
      </w:r>
    </w:p>
    <w:p w14:paraId="0798EF2B" w14:textId="7E41F737" w:rsidR="00297958" w:rsidRDefault="007A7E54" w:rsidP="00CF5A6E">
      <w:pPr>
        <w:pStyle w:val="Heading2"/>
      </w:pPr>
      <w:bookmarkStart w:id="820" w:name="_Medication_Safety_for_2"/>
      <w:bookmarkStart w:id="821" w:name="_Ref123648423"/>
      <w:bookmarkStart w:id="822" w:name="_Toc225877870"/>
      <w:bookmarkEnd w:id="820"/>
      <w:r>
        <w:lastRenderedPageBreak/>
        <w:t xml:space="preserve">Medication Safety </w:t>
      </w:r>
      <w:r w:rsidR="00EC28B6">
        <w:t xml:space="preserve">for Outpatient Procedures </w:t>
      </w:r>
      <w:r w:rsidR="00565960">
        <w:t>Measure Specifications</w:t>
      </w:r>
      <w:bookmarkEnd w:id="821"/>
      <w:bookmarkEnd w:id="822"/>
    </w:p>
    <w:p w14:paraId="111C0955" w14:textId="7FB40549" w:rsidR="00297958" w:rsidRPr="00253C74" w:rsidRDefault="00297958" w:rsidP="00297958">
      <w:pPr>
        <w:rPr>
          <w:sz w:val="16"/>
          <w:szCs w:val="16"/>
        </w:rPr>
      </w:pPr>
    </w:p>
    <w:p w14:paraId="383BBA3B" w14:textId="1922A769" w:rsidR="00A745AF" w:rsidRDefault="00A745AF" w:rsidP="00297958">
      <w:pPr>
        <w:rPr>
          <w:rFonts w:cs="Arial"/>
          <w:snapToGrid w:val="0"/>
        </w:rPr>
      </w:pPr>
      <w:r w:rsidRPr="00451080">
        <w:rPr>
          <w:b/>
          <w:bCs/>
          <w:color w:val="FF0000"/>
          <w:lang w:eastAsia="ja-JP"/>
        </w:rPr>
        <w:t xml:space="preserve">Important </w:t>
      </w:r>
      <w:r w:rsidR="009974FF" w:rsidRPr="00451080">
        <w:rPr>
          <w:b/>
          <w:bCs/>
          <w:color w:val="FF0000"/>
          <w:lang w:eastAsia="ja-JP"/>
        </w:rPr>
        <w:t>N</w:t>
      </w:r>
      <w:r w:rsidRPr="00451080">
        <w:rPr>
          <w:b/>
          <w:bCs/>
          <w:color w:val="FF0000"/>
          <w:lang w:eastAsia="ja-JP"/>
        </w:rPr>
        <w:t>ote:</w:t>
      </w:r>
      <w:r w:rsidRPr="00451080">
        <w:rPr>
          <w:color w:val="FF0000"/>
          <w:lang w:eastAsia="ja-JP"/>
        </w:rPr>
        <w:t xml:space="preserve"> </w:t>
      </w:r>
      <w:r w:rsidRPr="009A5185">
        <w:rPr>
          <w:rFonts w:cs="Arial"/>
          <w:snapToGrid w:val="0"/>
        </w:rPr>
        <w:t xml:space="preserve">Hospitals that share a </w:t>
      </w:r>
      <w:r>
        <w:rPr>
          <w:rFonts w:cs="Arial"/>
          <w:snapToGrid w:val="0"/>
        </w:rPr>
        <w:t>CMS Certification Number</w:t>
      </w:r>
      <w:r w:rsidRPr="009A5185">
        <w:rPr>
          <w:rFonts w:cs="Arial"/>
          <w:snapToGrid w:val="0"/>
        </w:rPr>
        <w:t xml:space="preserve"> are required to report by facility. Please carefully review </w:t>
      </w:r>
      <w:hyperlink r:id="rId499" w:history="1">
        <w:r w:rsidRPr="009A5185">
          <w:rPr>
            <w:rStyle w:val="Hyperlink"/>
            <w:rFonts w:cs="Arial"/>
            <w:snapToGrid w:val="0"/>
          </w:rPr>
          <w:t>Leapfrog’s Multi-Campus Reporting Policy</w:t>
        </w:r>
      </w:hyperlink>
      <w:r w:rsidRPr="009A5185">
        <w:rPr>
          <w:rFonts w:cs="Arial"/>
          <w:snapToGrid w:val="0"/>
        </w:rPr>
        <w:t>.</w:t>
      </w:r>
    </w:p>
    <w:p w14:paraId="55A261F6" w14:textId="77777777" w:rsidR="00A745AF" w:rsidRPr="00253C74" w:rsidRDefault="00A745AF" w:rsidP="00297958">
      <w:pPr>
        <w:rPr>
          <w:sz w:val="16"/>
          <w:szCs w:val="16"/>
        </w:rPr>
      </w:pP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2"/>
      </w:tblGrid>
      <w:tr w:rsidR="003A401F" w:rsidRPr="009A5185" w14:paraId="02A7C1DA" w14:textId="77777777" w:rsidTr="008E5D7F">
        <w:trPr>
          <w:trHeight w:val="287"/>
        </w:trPr>
        <w:tc>
          <w:tcPr>
            <w:tcW w:w="9562" w:type="dxa"/>
            <w:vAlign w:val="center"/>
          </w:tcPr>
          <w:p w14:paraId="4133FE18" w14:textId="3207B6EF" w:rsidR="003A401F" w:rsidRPr="009A5185" w:rsidRDefault="00444B16" w:rsidP="00CA75AB">
            <w:pPr>
              <w:rPr>
                <w:rFonts w:cs="Arial"/>
                <w:b/>
                <w:snapToGrid w:val="0"/>
              </w:rPr>
            </w:pPr>
            <w:r w:rsidRPr="009A5185">
              <w:rPr>
                <w:rFonts w:cs="Arial"/>
                <w:b/>
              </w:rPr>
              <w:t xml:space="preserve">Source: </w:t>
            </w:r>
            <w:r>
              <w:rPr>
                <w:rFonts w:cs="Arial"/>
              </w:rPr>
              <w:t>The Leapfrog Group</w:t>
            </w:r>
          </w:p>
        </w:tc>
      </w:tr>
      <w:tr w:rsidR="00297958" w:rsidRPr="009A5185" w14:paraId="67017223" w14:textId="77777777" w:rsidTr="00253C74">
        <w:trPr>
          <w:trHeight w:val="576"/>
        </w:trPr>
        <w:tc>
          <w:tcPr>
            <w:tcW w:w="9562" w:type="dxa"/>
            <w:vAlign w:val="center"/>
          </w:tcPr>
          <w:p w14:paraId="24B7AACD" w14:textId="2AB36C8A" w:rsidR="00297958" w:rsidRPr="009A5185" w:rsidRDefault="00297958" w:rsidP="00CA75AB">
            <w:pPr>
              <w:rPr>
                <w:rFonts w:cs="Arial"/>
                <w:snapToGrid w:val="0"/>
              </w:rPr>
            </w:pPr>
            <w:r w:rsidRPr="009A5185">
              <w:rPr>
                <w:rFonts w:cs="Arial"/>
                <w:b/>
                <w:snapToGrid w:val="0"/>
              </w:rPr>
              <w:t>Reporting Period:</w:t>
            </w:r>
            <w:r w:rsidRPr="009A5185">
              <w:rPr>
                <w:rFonts w:cs="Arial"/>
                <w:snapToGrid w:val="0"/>
              </w:rPr>
              <w:t xml:space="preserve"> </w:t>
            </w:r>
            <w:r w:rsidRPr="009A5185">
              <w:rPr>
                <w:rFonts w:cs="Arial"/>
                <w:b/>
                <w:snapToGrid w:val="0"/>
              </w:rPr>
              <w:t>12 months</w:t>
            </w:r>
          </w:p>
          <w:p w14:paraId="20BED206" w14:textId="58FA195D" w:rsidR="005A4897" w:rsidRPr="005A4897" w:rsidRDefault="005A4897" w:rsidP="00AD309C">
            <w:pPr>
              <w:pStyle w:val="ListParagraph"/>
              <w:numPr>
                <w:ilvl w:val="0"/>
                <w:numId w:val="29"/>
              </w:numPr>
              <w:rPr>
                <w:rFonts w:cs="Arial"/>
                <w:i/>
                <w:snapToGrid w:val="0"/>
              </w:rPr>
            </w:pPr>
            <w:r>
              <w:rPr>
                <w:rFonts w:cs="Arial"/>
                <w:iCs/>
                <w:snapToGrid w:val="0"/>
              </w:rPr>
              <w:t>Surveys submitted prior to September 1:</w:t>
            </w:r>
          </w:p>
          <w:p w14:paraId="63AD0FDD" w14:textId="4B8355AC" w:rsidR="005A4897" w:rsidRPr="009A5185" w:rsidRDefault="005A4897" w:rsidP="00AD309C">
            <w:pPr>
              <w:pStyle w:val="ListParagraph"/>
              <w:numPr>
                <w:ilvl w:val="1"/>
                <w:numId w:val="29"/>
              </w:numPr>
              <w:rPr>
                <w:rFonts w:cs="Arial"/>
                <w:i/>
                <w:snapToGrid w:val="0"/>
              </w:rPr>
            </w:pPr>
            <w:r>
              <w:rPr>
                <w:rFonts w:cs="Arial"/>
                <w:iCs/>
                <w:snapToGrid w:val="0"/>
              </w:rPr>
              <w:t>01/01/202</w:t>
            </w:r>
            <w:r w:rsidR="00AF4A63">
              <w:rPr>
                <w:rFonts w:cs="Arial"/>
                <w:iCs/>
                <w:snapToGrid w:val="0"/>
              </w:rPr>
              <w:t>5</w:t>
            </w:r>
            <w:r>
              <w:rPr>
                <w:rFonts w:cs="Arial"/>
                <w:iCs/>
                <w:snapToGrid w:val="0"/>
              </w:rPr>
              <w:t xml:space="preserve"> – 12/31/202</w:t>
            </w:r>
            <w:r w:rsidR="000B5767">
              <w:rPr>
                <w:rFonts w:cs="Arial"/>
                <w:iCs/>
                <w:snapToGrid w:val="0"/>
              </w:rPr>
              <w:t>5</w:t>
            </w:r>
          </w:p>
          <w:p w14:paraId="2FFD00D2" w14:textId="77777777" w:rsidR="005A4897" w:rsidRPr="005A4897" w:rsidRDefault="00297958" w:rsidP="00AD309C">
            <w:pPr>
              <w:pStyle w:val="ListParagraph"/>
              <w:numPr>
                <w:ilvl w:val="0"/>
                <w:numId w:val="29"/>
              </w:numPr>
              <w:rPr>
                <w:rFonts w:cs="Arial"/>
                <w:i/>
                <w:snapToGrid w:val="0"/>
              </w:rPr>
            </w:pPr>
            <w:r w:rsidRPr="009A5185">
              <w:rPr>
                <w:rFonts w:cs="Arial"/>
                <w:snapToGrid w:val="0"/>
              </w:rPr>
              <w:t>Surveys (re)submitted on or after September 1:</w:t>
            </w:r>
          </w:p>
          <w:p w14:paraId="7A108669" w14:textId="06769EDA" w:rsidR="00297958" w:rsidRPr="00753419" w:rsidRDefault="00297958" w:rsidP="00AD309C">
            <w:pPr>
              <w:pStyle w:val="ListParagraph"/>
              <w:numPr>
                <w:ilvl w:val="1"/>
                <w:numId w:val="29"/>
              </w:numPr>
              <w:rPr>
                <w:rFonts w:cs="Arial"/>
                <w:b/>
              </w:rPr>
            </w:pPr>
            <w:r w:rsidRPr="009A5185">
              <w:rPr>
                <w:rFonts w:cs="Arial"/>
                <w:snapToGrid w:val="0"/>
              </w:rPr>
              <w:t>07/01/</w:t>
            </w:r>
            <w:r w:rsidR="008D4C3D">
              <w:rPr>
                <w:rFonts w:cs="Arial"/>
                <w:snapToGrid w:val="0"/>
              </w:rPr>
              <w:t>20</w:t>
            </w:r>
            <w:r w:rsidR="005A4897">
              <w:rPr>
                <w:rFonts w:cs="Arial"/>
                <w:snapToGrid w:val="0"/>
              </w:rPr>
              <w:t>2</w:t>
            </w:r>
            <w:r w:rsidR="00AF4A63">
              <w:rPr>
                <w:rFonts w:cs="Arial"/>
                <w:snapToGrid w:val="0"/>
              </w:rPr>
              <w:t>5</w:t>
            </w:r>
            <w:r w:rsidRPr="009A5185">
              <w:rPr>
                <w:rFonts w:cs="Arial"/>
                <w:snapToGrid w:val="0"/>
              </w:rPr>
              <w:t xml:space="preserve"> </w:t>
            </w:r>
            <w:r w:rsidR="00524BF3">
              <w:rPr>
                <w:rFonts w:cs="Arial"/>
                <w:snapToGrid w:val="0"/>
              </w:rPr>
              <w:t>–</w:t>
            </w:r>
            <w:r w:rsidRPr="009A5185">
              <w:rPr>
                <w:rFonts w:cs="Arial"/>
                <w:snapToGrid w:val="0"/>
              </w:rPr>
              <w:t xml:space="preserve"> 06/30/</w:t>
            </w:r>
            <w:r w:rsidR="008D4C3D">
              <w:rPr>
                <w:rFonts w:cs="Arial"/>
                <w:snapToGrid w:val="0"/>
              </w:rPr>
              <w:t>202</w:t>
            </w:r>
            <w:r w:rsidR="00AF4A63">
              <w:rPr>
                <w:rFonts w:cs="Arial"/>
                <w:snapToGrid w:val="0"/>
              </w:rPr>
              <w:t>6</w:t>
            </w:r>
          </w:p>
        </w:tc>
      </w:tr>
      <w:tr w:rsidR="002130AD" w:rsidRPr="009A5185" w14:paraId="17C74A32" w14:textId="77777777" w:rsidTr="00253C74">
        <w:trPr>
          <w:trHeight w:val="1728"/>
        </w:trPr>
        <w:tc>
          <w:tcPr>
            <w:tcW w:w="9562" w:type="dxa"/>
            <w:vAlign w:val="center"/>
          </w:tcPr>
          <w:p w14:paraId="4DB68395" w14:textId="63B1CC4A" w:rsidR="002130AD" w:rsidRDefault="002130AD" w:rsidP="002130AD">
            <w:pPr>
              <w:rPr>
                <w:rFonts w:ascii="Calibri" w:hAnsi="Calibri"/>
                <w:b/>
                <w:bCs/>
                <w:snapToGrid w:val="0"/>
              </w:rPr>
            </w:pPr>
            <w:r>
              <w:rPr>
                <w:b/>
                <w:bCs/>
                <w:snapToGrid w:val="0"/>
              </w:rPr>
              <w:t xml:space="preserve">Medication Safety </w:t>
            </w:r>
            <w:r w:rsidR="005C5D09">
              <w:rPr>
                <w:b/>
                <w:bCs/>
                <w:snapToGrid w:val="0"/>
              </w:rPr>
              <w:t xml:space="preserve">Documentation </w:t>
            </w:r>
            <w:r>
              <w:rPr>
                <w:b/>
                <w:bCs/>
                <w:snapToGrid w:val="0"/>
              </w:rPr>
              <w:t>Workbook (Excel)</w:t>
            </w:r>
            <w:r w:rsidR="009D100B">
              <w:rPr>
                <w:b/>
                <w:bCs/>
                <w:snapToGrid w:val="0"/>
              </w:rPr>
              <w:br/>
            </w:r>
          </w:p>
          <w:p w14:paraId="312C1AF6" w14:textId="4ED30FEC" w:rsidR="002130AD" w:rsidRDefault="002130AD" w:rsidP="002130AD">
            <w:pPr>
              <w:rPr>
                <w:rFonts w:ascii="Calibri" w:hAnsi="Calibri"/>
              </w:rPr>
            </w:pPr>
            <w:r>
              <w:t xml:space="preserve">To complete the data collection for this subsection and respond to questions #3-7, </w:t>
            </w:r>
            <w:r w:rsidR="00A143AC">
              <w:t>hospitals</w:t>
            </w:r>
            <w:r>
              <w:t xml:space="preserve"> should download the Medication Safety </w:t>
            </w:r>
            <w:r w:rsidR="005C5D09">
              <w:t>Documentation</w:t>
            </w:r>
            <w:r>
              <w:t xml:space="preserve"> Workbook (Excel). This workbook includes s</w:t>
            </w:r>
            <w:r w:rsidR="005C5D09">
              <w:t>even</w:t>
            </w:r>
            <w:r>
              <w:t xml:space="preserve"> tabs: Instructions, </w:t>
            </w:r>
            <w:r w:rsidR="005C5D09">
              <w:t>202</w:t>
            </w:r>
            <w:r w:rsidR="0098403E">
              <w:t>5</w:t>
            </w:r>
            <w:r w:rsidR="005C5D09">
              <w:t xml:space="preserve"> </w:t>
            </w:r>
            <w:r w:rsidR="000B00E5">
              <w:t xml:space="preserve">Sampling, </w:t>
            </w:r>
            <w:r w:rsidR="005C5D09">
              <w:t>202</w:t>
            </w:r>
            <w:r w:rsidR="0098403E">
              <w:t>6</w:t>
            </w:r>
            <w:r w:rsidR="005C5D09">
              <w:t xml:space="preserve"> </w:t>
            </w:r>
            <w:r>
              <w:t>Sampling</w:t>
            </w:r>
            <w:r w:rsidR="005C5D09">
              <w:t>,</w:t>
            </w:r>
            <w:r>
              <w:t xml:space="preserve"> Home Meds, Visit Meds, Allergies, and Data Entry and can be used to identify patients to sample in order to complete the three clinical record audits, as well as calculate the responses to enter into the Online Hospital Survey Tool for each of the audits. </w:t>
            </w:r>
          </w:p>
          <w:p w14:paraId="12898ABD" w14:textId="77777777" w:rsidR="002130AD" w:rsidRDefault="002130AD" w:rsidP="002130AD">
            <w:pPr>
              <w:rPr>
                <w:snapToGrid w:val="0"/>
              </w:rPr>
            </w:pPr>
          </w:p>
          <w:p w14:paraId="3A458335" w14:textId="56713E46" w:rsidR="002130AD" w:rsidRPr="002130AD" w:rsidRDefault="002130AD" w:rsidP="002130AD">
            <w:pPr>
              <w:rPr>
                <w:snapToGrid w:val="0"/>
              </w:rPr>
            </w:pPr>
            <w:r>
              <w:rPr>
                <w:snapToGrid w:val="0"/>
              </w:rPr>
              <w:t xml:space="preserve">This workbook is available on the </w:t>
            </w:r>
            <w:hyperlink r:id="rId500" w:history="1">
              <w:r>
                <w:rPr>
                  <w:rStyle w:val="Hyperlink"/>
                  <w:snapToGrid w:val="0"/>
                </w:rPr>
                <w:t>Survey Materials webpage</w:t>
              </w:r>
            </w:hyperlink>
            <w:r>
              <w:rPr>
                <w:snapToGrid w:val="0"/>
              </w:rPr>
              <w:t xml:space="preserve"> and should be used when completing this subsection.</w:t>
            </w:r>
          </w:p>
        </w:tc>
      </w:tr>
      <w:tr w:rsidR="00297958" w:rsidRPr="009A5185" w14:paraId="156ECB0A" w14:textId="77777777" w:rsidTr="00EA2663">
        <w:trPr>
          <w:trHeight w:val="7776"/>
        </w:trPr>
        <w:tc>
          <w:tcPr>
            <w:tcW w:w="9562" w:type="dxa"/>
            <w:vAlign w:val="center"/>
          </w:tcPr>
          <w:p w14:paraId="779B137F" w14:textId="2E7C7857" w:rsidR="00E92BB1" w:rsidRDefault="00297958" w:rsidP="00CA75AB">
            <w:pPr>
              <w:pStyle w:val="EndnoteText"/>
              <w:rPr>
                <w:rFonts w:cs="Arial"/>
              </w:rPr>
            </w:pPr>
            <w:bookmarkStart w:id="823" w:name="MedAllergySufficientSample"/>
            <w:bookmarkStart w:id="824" w:name="_Hlk29556076"/>
            <w:r w:rsidRPr="009A5185">
              <w:rPr>
                <w:rFonts w:cs="Arial"/>
                <w:b/>
              </w:rPr>
              <w:t>Sampling:</w:t>
            </w:r>
            <w:r w:rsidRPr="009A5185">
              <w:rPr>
                <w:rFonts w:cs="Arial"/>
              </w:rPr>
              <w:t xml:space="preserve"> </w:t>
            </w:r>
            <w:bookmarkEnd w:id="823"/>
            <w:r w:rsidR="009D100B">
              <w:rPr>
                <w:rFonts w:cs="Arial"/>
              </w:rPr>
              <w:br/>
            </w:r>
          </w:p>
          <w:p w14:paraId="45B09CA7" w14:textId="45A0A783" w:rsidR="00E92BB1" w:rsidRPr="00C73534" w:rsidRDefault="00E92BB1" w:rsidP="00CA75AB">
            <w:pPr>
              <w:pStyle w:val="EndnoteText"/>
              <w:rPr>
                <w:rFonts w:cs="Arial"/>
                <w:b/>
                <w:bCs/>
                <w:i/>
                <w:iCs/>
              </w:rPr>
            </w:pPr>
            <w:r w:rsidRPr="00C73534">
              <w:rPr>
                <w:rFonts w:cs="Arial"/>
                <w:b/>
                <w:bCs/>
                <w:i/>
                <w:iCs/>
              </w:rPr>
              <w:t xml:space="preserve">For hospitals with </w:t>
            </w:r>
            <w:r w:rsidR="00C73534" w:rsidRPr="00C73534">
              <w:rPr>
                <w:rFonts w:cs="Arial"/>
                <w:b/>
                <w:bCs/>
                <w:i/>
                <w:iCs/>
                <w:u w:val="single"/>
              </w:rPr>
              <w:t>one</w:t>
            </w:r>
            <w:r w:rsidR="00C73534" w:rsidRPr="00C73534">
              <w:rPr>
                <w:rFonts w:cs="Arial"/>
                <w:b/>
                <w:bCs/>
                <w:i/>
                <w:iCs/>
              </w:rPr>
              <w:t xml:space="preserve"> hospital outpatient department that performs the procedures listed in Section </w:t>
            </w:r>
            <w:r w:rsidR="00A745AF">
              <w:rPr>
                <w:rFonts w:cs="Arial"/>
                <w:b/>
                <w:bCs/>
                <w:i/>
                <w:iCs/>
              </w:rPr>
              <w:t>9</w:t>
            </w:r>
            <w:r w:rsidR="00C73534" w:rsidRPr="00C73534">
              <w:rPr>
                <w:rFonts w:cs="Arial"/>
                <w:b/>
                <w:bCs/>
                <w:i/>
                <w:iCs/>
              </w:rPr>
              <w:t>C:</w:t>
            </w:r>
          </w:p>
          <w:p w14:paraId="0CEBD652" w14:textId="38CFE42F" w:rsidR="00297958" w:rsidRDefault="00297958" w:rsidP="00CA75AB">
            <w:pPr>
              <w:pStyle w:val="EndnoteText"/>
              <w:rPr>
                <w:rFonts w:cs="Arial"/>
              </w:rPr>
            </w:pPr>
            <w:r w:rsidRPr="009A5185">
              <w:rPr>
                <w:rFonts w:cs="Arial"/>
              </w:rPr>
              <w:t xml:space="preserve">If you have </w:t>
            </w:r>
            <w:r w:rsidRPr="00614665">
              <w:rPr>
                <w:rFonts w:cs="Arial"/>
                <w:u w:val="single"/>
              </w:rPr>
              <w:t xml:space="preserve">more than </w:t>
            </w:r>
            <w:r w:rsidR="00E01119">
              <w:rPr>
                <w:rFonts w:cs="Arial"/>
                <w:u w:val="single"/>
              </w:rPr>
              <w:t>30</w:t>
            </w:r>
            <w:r w:rsidRPr="00614665">
              <w:rPr>
                <w:rFonts w:cs="Arial"/>
                <w:u w:val="single"/>
              </w:rPr>
              <w:t xml:space="preserve"> cases</w:t>
            </w:r>
            <w:r w:rsidRPr="00614665">
              <w:rPr>
                <w:rFonts w:cs="Arial"/>
              </w:rPr>
              <w:t xml:space="preserve"> th</w:t>
            </w:r>
            <w:r w:rsidRPr="009A5185">
              <w:rPr>
                <w:rFonts w:cs="Arial"/>
              </w:rPr>
              <w:t>at meet the criteria for inclusion i</w:t>
            </w:r>
            <w:r>
              <w:rPr>
                <w:rFonts w:cs="Arial"/>
              </w:rPr>
              <w:t>n the denominator of the process</w:t>
            </w:r>
            <w:r w:rsidRPr="009A5185">
              <w:rPr>
                <w:rFonts w:cs="Arial"/>
              </w:rPr>
              <w:t xml:space="preserve"> measure</w:t>
            </w:r>
            <w:r>
              <w:rPr>
                <w:rFonts w:cs="Arial"/>
              </w:rPr>
              <w:t>s</w:t>
            </w:r>
            <w:r w:rsidRPr="009A5185">
              <w:rPr>
                <w:rFonts w:cs="Arial"/>
              </w:rPr>
              <w:t xml:space="preserve"> during the time period of the</w:t>
            </w:r>
            <w:r>
              <w:rPr>
                <w:rFonts w:cs="Arial"/>
              </w:rPr>
              <w:t xml:space="preserve"> clinical</w:t>
            </w:r>
            <w:r w:rsidRPr="009A5185">
              <w:rPr>
                <w:rFonts w:cs="Arial"/>
              </w:rPr>
              <w:t xml:space="preserve"> record audit, you may randomly sample </w:t>
            </w:r>
            <w:r w:rsidR="00E01119">
              <w:rPr>
                <w:rFonts w:cs="Arial"/>
              </w:rPr>
              <w:t>30</w:t>
            </w:r>
            <w:r w:rsidRPr="009A5185">
              <w:rPr>
                <w:rFonts w:cs="Arial"/>
              </w:rPr>
              <w:t xml:space="preserve"> of them for the denominator of each</w:t>
            </w:r>
            <w:r>
              <w:rPr>
                <w:rFonts w:cs="Arial"/>
              </w:rPr>
              <w:t xml:space="preserve"> documentation</w:t>
            </w:r>
            <w:r w:rsidRPr="009A5185">
              <w:rPr>
                <w:rFonts w:cs="Arial"/>
              </w:rPr>
              <w:t xml:space="preserve"> guideline, and measure and report adherence based on that sample. When sampling from a larger population of cases, this is the minimum number of cases needed to make a statistically reliable statement of percent adherence to the process guideline</w:t>
            </w:r>
            <w:r>
              <w:rPr>
                <w:rFonts w:cs="Arial"/>
              </w:rPr>
              <w:t>s</w:t>
            </w:r>
            <w:r w:rsidRPr="009A5185">
              <w:rPr>
                <w:rFonts w:cs="Arial"/>
              </w:rPr>
              <w:t>.</w:t>
            </w:r>
          </w:p>
          <w:p w14:paraId="0AD00E8D" w14:textId="6ACAE381" w:rsidR="00E92BB1" w:rsidRDefault="00E92BB1" w:rsidP="00CA75AB">
            <w:pPr>
              <w:pStyle w:val="EndnoteText"/>
              <w:rPr>
                <w:rFonts w:cs="Arial"/>
              </w:rPr>
            </w:pPr>
          </w:p>
          <w:p w14:paraId="0486B31E" w14:textId="3F471904" w:rsidR="00E92BB1" w:rsidRPr="00C73534" w:rsidRDefault="00E92BB1" w:rsidP="00CA75AB">
            <w:pPr>
              <w:pStyle w:val="EndnoteText"/>
              <w:rPr>
                <w:rFonts w:cs="Arial"/>
                <w:b/>
                <w:bCs/>
                <w:i/>
                <w:iCs/>
              </w:rPr>
            </w:pPr>
            <w:r w:rsidRPr="00C73534">
              <w:rPr>
                <w:rFonts w:cs="Arial"/>
                <w:b/>
                <w:bCs/>
                <w:i/>
                <w:iCs/>
              </w:rPr>
              <w:t xml:space="preserve">For hospitals with </w:t>
            </w:r>
            <w:r w:rsidRPr="00C73534">
              <w:rPr>
                <w:rFonts w:cs="Arial"/>
                <w:b/>
                <w:bCs/>
                <w:i/>
                <w:iCs/>
                <w:u w:val="single"/>
              </w:rPr>
              <w:t>multiple</w:t>
            </w:r>
            <w:r w:rsidRPr="00C73534">
              <w:rPr>
                <w:rFonts w:cs="Arial"/>
                <w:b/>
                <w:bCs/>
                <w:i/>
                <w:iCs/>
              </w:rPr>
              <w:t xml:space="preserve"> hospital outpatient departments</w:t>
            </w:r>
            <w:r w:rsidR="00C73534" w:rsidRPr="00C73534">
              <w:rPr>
                <w:rFonts w:cs="Arial"/>
                <w:b/>
                <w:bCs/>
                <w:i/>
                <w:iCs/>
              </w:rPr>
              <w:t xml:space="preserve"> that perform the procedures listed in Section </w:t>
            </w:r>
            <w:r w:rsidR="00A745AF">
              <w:rPr>
                <w:rFonts w:cs="Arial"/>
                <w:b/>
                <w:bCs/>
                <w:i/>
                <w:iCs/>
              </w:rPr>
              <w:t>9</w:t>
            </w:r>
            <w:r w:rsidR="00C73534" w:rsidRPr="00C73534">
              <w:rPr>
                <w:rFonts w:cs="Arial"/>
                <w:b/>
                <w:bCs/>
                <w:i/>
                <w:iCs/>
              </w:rPr>
              <w:t>C:</w:t>
            </w:r>
          </w:p>
          <w:p w14:paraId="13FF96BB" w14:textId="61D311A1" w:rsidR="00C73534" w:rsidRPr="003A4B77" w:rsidRDefault="00C73534" w:rsidP="00C73534">
            <w:pPr>
              <w:pStyle w:val="EndnoteText"/>
              <w:rPr>
                <w:rFonts w:cs="Arial"/>
              </w:rPr>
            </w:pPr>
            <w:r w:rsidRPr="003A4B77">
              <w:rPr>
                <w:rFonts w:cs="Arial"/>
              </w:rPr>
              <w:t xml:space="preserve">If you have </w:t>
            </w:r>
            <w:r w:rsidRPr="003A4B77">
              <w:rPr>
                <w:rFonts w:cs="Arial"/>
                <w:u w:val="single"/>
              </w:rPr>
              <w:t xml:space="preserve">more than </w:t>
            </w:r>
            <w:r w:rsidR="00E01119">
              <w:rPr>
                <w:rFonts w:cs="Arial"/>
                <w:u w:val="single"/>
              </w:rPr>
              <w:t>30</w:t>
            </w:r>
            <w:r w:rsidRPr="003A4B77">
              <w:rPr>
                <w:rFonts w:cs="Arial"/>
                <w:u w:val="single"/>
              </w:rPr>
              <w:t xml:space="preserve"> cases</w:t>
            </w:r>
            <w:r w:rsidRPr="003A4B77">
              <w:rPr>
                <w:rFonts w:cs="Arial"/>
              </w:rPr>
              <w:t xml:space="preserve"> total (across all hospital outpatient departments) that meet the criteria for inclusion in the denominator of the process measure during the time period of the clinical record audit, you may randomly sample a minimum of 10 cases from</w:t>
            </w:r>
            <w:r w:rsidR="00EA3B30">
              <w:rPr>
                <w:rFonts w:cs="Arial"/>
              </w:rPr>
              <w:t xml:space="preserve"> the hospital (including any co-located hospital outpatient departments</w:t>
            </w:r>
            <w:r w:rsidR="00C743BF">
              <w:rPr>
                <w:rFonts w:cs="Arial"/>
              </w:rPr>
              <w:t xml:space="preserve"> </w:t>
            </w:r>
            <w:r w:rsidR="00EA3B30">
              <w:rPr>
                <w:rFonts w:cs="Arial"/>
              </w:rPr>
              <w:t>or inpatient areas performing outpatient procedures) and</w:t>
            </w:r>
            <w:r w:rsidRPr="003A4B77">
              <w:rPr>
                <w:rFonts w:cs="Arial"/>
              </w:rPr>
              <w:t xml:space="preserve"> each </w:t>
            </w:r>
            <w:r w:rsidR="00EA3B30">
              <w:rPr>
                <w:rFonts w:cs="Arial"/>
              </w:rPr>
              <w:t xml:space="preserve">free-standing </w:t>
            </w:r>
            <w:r w:rsidRPr="003A4B77">
              <w:rPr>
                <w:rFonts w:cs="Arial"/>
              </w:rPr>
              <w:t xml:space="preserve">hospital outpatient department </w:t>
            </w:r>
            <w:r w:rsidR="00EA3B30">
              <w:rPr>
                <w:rFonts w:cs="Arial"/>
              </w:rPr>
              <w:t xml:space="preserve">or surgery center. Hospitals will need to report on a </w:t>
            </w:r>
            <w:r w:rsidRPr="003A4B77">
              <w:rPr>
                <w:rFonts w:cs="Arial"/>
              </w:rPr>
              <w:t xml:space="preserve">total minimum sample size of at least </w:t>
            </w:r>
            <w:r w:rsidR="00E01119">
              <w:rPr>
                <w:rFonts w:cs="Arial"/>
              </w:rPr>
              <w:t>30</w:t>
            </w:r>
            <w:r w:rsidRPr="003A4B77">
              <w:rPr>
                <w:rFonts w:cs="Arial"/>
              </w:rPr>
              <w:t>, and measure and report adherence based on that sample. When sampling from a larger population of cases, this is the minimum number of cases needed to make a statistically reliable statement of percent adherence to the process guidelines.</w:t>
            </w:r>
          </w:p>
          <w:p w14:paraId="77EEAFB8" w14:textId="70A6F445" w:rsidR="00D046F4" w:rsidRPr="003A4B77" w:rsidRDefault="00D046F4" w:rsidP="00C73534">
            <w:pPr>
              <w:pStyle w:val="EndnoteText"/>
              <w:rPr>
                <w:rFonts w:cs="Arial"/>
              </w:rPr>
            </w:pPr>
          </w:p>
          <w:p w14:paraId="4FF5F4AD" w14:textId="2EE4D774" w:rsidR="00D046F4" w:rsidRDefault="00D046F4" w:rsidP="00C73534">
            <w:pPr>
              <w:pStyle w:val="EndnoteText"/>
              <w:rPr>
                <w:rFonts w:cs="Arial"/>
              </w:rPr>
            </w:pPr>
            <w:r w:rsidRPr="003A4B77">
              <w:rPr>
                <w:rFonts w:cs="Arial"/>
              </w:rPr>
              <w:t xml:space="preserve">For example, if you are reporting on </w:t>
            </w:r>
            <w:r w:rsidR="00EA3B30">
              <w:rPr>
                <w:rFonts w:cs="Arial"/>
              </w:rPr>
              <w:t xml:space="preserve">your hospital (including multiple areas where outpatient procedures are performed), as well as </w:t>
            </w:r>
            <w:r w:rsidR="00A745AF">
              <w:rPr>
                <w:rFonts w:cs="Arial"/>
              </w:rPr>
              <w:t>an</w:t>
            </w:r>
            <w:r w:rsidR="00EA3B30">
              <w:rPr>
                <w:rFonts w:cs="Arial"/>
              </w:rPr>
              <w:t>other</w:t>
            </w:r>
            <w:r w:rsidRPr="003A4B77">
              <w:rPr>
                <w:rFonts w:cs="Arial"/>
              </w:rPr>
              <w:t xml:space="preserve"> hospital outpatient department </w:t>
            </w:r>
            <w:r w:rsidR="00EA3B30">
              <w:rPr>
                <w:rFonts w:cs="Arial"/>
              </w:rPr>
              <w:t xml:space="preserve">that </w:t>
            </w:r>
            <w:r w:rsidR="00E01119">
              <w:rPr>
                <w:rFonts w:cs="Arial"/>
              </w:rPr>
              <w:t>is</w:t>
            </w:r>
            <w:r w:rsidR="00EA3B30">
              <w:rPr>
                <w:rFonts w:cs="Arial"/>
              </w:rPr>
              <w:t xml:space="preserve"> free-standing, </w:t>
            </w:r>
            <w:r w:rsidRPr="003A4B77">
              <w:rPr>
                <w:rFonts w:cs="Arial"/>
              </w:rPr>
              <w:t xml:space="preserve">you could sample </w:t>
            </w:r>
            <w:r w:rsidR="00E01119">
              <w:rPr>
                <w:rFonts w:cs="Arial"/>
              </w:rPr>
              <w:t>15</w:t>
            </w:r>
            <w:r w:rsidRPr="003A4B77">
              <w:rPr>
                <w:rFonts w:cs="Arial"/>
              </w:rPr>
              <w:t xml:space="preserve"> cases from each for a total sample size of </w:t>
            </w:r>
            <w:r w:rsidR="00E01119">
              <w:rPr>
                <w:rFonts w:cs="Arial"/>
              </w:rPr>
              <w:t>30</w:t>
            </w:r>
            <w:r w:rsidRPr="003A4B77">
              <w:rPr>
                <w:rFonts w:cs="Arial"/>
              </w:rPr>
              <w:t xml:space="preserve">. If you are reporting on </w:t>
            </w:r>
            <w:r w:rsidR="00A745AF">
              <w:rPr>
                <w:rFonts w:cs="Arial"/>
              </w:rPr>
              <w:t>seven</w:t>
            </w:r>
            <w:r w:rsidRPr="003A4B77">
              <w:rPr>
                <w:rFonts w:cs="Arial"/>
              </w:rPr>
              <w:t xml:space="preserve"> </w:t>
            </w:r>
            <w:r w:rsidR="00EA3B30">
              <w:rPr>
                <w:rFonts w:cs="Arial"/>
              </w:rPr>
              <w:t>locations</w:t>
            </w:r>
            <w:r w:rsidRPr="003A4B77">
              <w:rPr>
                <w:rFonts w:cs="Arial"/>
              </w:rPr>
              <w:t>, you could sample 10 cases from each for a total sample size of 70.</w:t>
            </w:r>
          </w:p>
          <w:p w14:paraId="658D1ADF" w14:textId="00EB8730" w:rsidR="00E55C31" w:rsidRDefault="00E55C31" w:rsidP="00C73534">
            <w:pPr>
              <w:pStyle w:val="EndnoteText"/>
              <w:rPr>
                <w:rFonts w:cs="Arial"/>
              </w:rPr>
            </w:pPr>
          </w:p>
          <w:p w14:paraId="4E89BEF0" w14:textId="1059BCB5" w:rsidR="006606DD" w:rsidRPr="006606DD" w:rsidRDefault="00E55C31" w:rsidP="00753419">
            <w:pPr>
              <w:pStyle w:val="EndnoteText"/>
              <w:rPr>
                <w:rFonts w:cs="Arial"/>
              </w:rPr>
            </w:pPr>
            <w:r>
              <w:rPr>
                <w:rFonts w:cs="Arial"/>
              </w:rPr>
              <w:t>Note: Hospitals that share a CMS Certification Number (CCN) with other hospitals may use the same sample for reporting on a shared hospital outpatient department location (e.g., surgery center, endoscopy center, free-standing hospital outpatient department, etc.).</w:t>
            </w:r>
            <w:r w:rsidR="00834E43">
              <w:rPr>
                <w:rFonts w:cs="Arial"/>
              </w:rPr>
              <w:t xml:space="preserve"> For example, Hospital A and Hospital B share a CCN and both refer patients to the same gastroenterology center. Hospital A samples </w:t>
            </w:r>
            <w:r w:rsidR="00E01119">
              <w:rPr>
                <w:rFonts w:cs="Arial"/>
              </w:rPr>
              <w:t xml:space="preserve">15 </w:t>
            </w:r>
            <w:r w:rsidR="00834E43">
              <w:rPr>
                <w:rFonts w:cs="Arial"/>
              </w:rPr>
              <w:t xml:space="preserve">cases from their </w:t>
            </w:r>
            <w:r w:rsidR="00160E6B">
              <w:rPr>
                <w:rFonts w:cs="Arial"/>
              </w:rPr>
              <w:t>hospital</w:t>
            </w:r>
            <w:r w:rsidR="00834E43">
              <w:rPr>
                <w:rFonts w:cs="Arial"/>
              </w:rPr>
              <w:t xml:space="preserve"> and </w:t>
            </w:r>
            <w:r w:rsidR="00E01119">
              <w:rPr>
                <w:rFonts w:cs="Arial"/>
              </w:rPr>
              <w:t xml:space="preserve">15 </w:t>
            </w:r>
            <w:r w:rsidR="00834E43">
              <w:rPr>
                <w:rFonts w:cs="Arial"/>
              </w:rPr>
              <w:t xml:space="preserve">cases from the gastroenterology center. Hospital B can use the sample of </w:t>
            </w:r>
            <w:r w:rsidR="00E01119">
              <w:rPr>
                <w:rFonts w:cs="Arial"/>
              </w:rPr>
              <w:t xml:space="preserve">15 </w:t>
            </w:r>
            <w:r w:rsidR="00834E43">
              <w:rPr>
                <w:rFonts w:cs="Arial"/>
              </w:rPr>
              <w:t xml:space="preserve">cases from the gastroenterology center in addition to sampling from their </w:t>
            </w:r>
            <w:r w:rsidR="00160E6B">
              <w:rPr>
                <w:rFonts w:cs="Arial"/>
              </w:rPr>
              <w:t>hospital</w:t>
            </w:r>
            <w:r w:rsidR="00622D5B">
              <w:rPr>
                <w:rFonts w:cs="Arial"/>
              </w:rPr>
              <w:t xml:space="preserve"> when reporting on their own Leapfrog Hospital Survey.</w:t>
            </w:r>
            <w:bookmarkEnd w:id="824"/>
          </w:p>
        </w:tc>
      </w:tr>
      <w:tr w:rsidR="00EA6BDC" w:rsidRPr="009A5185" w14:paraId="16F95D66" w14:textId="77777777" w:rsidTr="00EA2663">
        <w:trPr>
          <w:trHeight w:val="1152"/>
        </w:trPr>
        <w:tc>
          <w:tcPr>
            <w:tcW w:w="9562" w:type="dxa"/>
            <w:vAlign w:val="center"/>
          </w:tcPr>
          <w:p w14:paraId="05B1312E" w14:textId="1FA97D16" w:rsidR="00EA6BDC" w:rsidRPr="00B56FD2" w:rsidRDefault="00EA6BDC" w:rsidP="00EA6BDC">
            <w:pPr>
              <w:rPr>
                <w:rFonts w:cs="Arial"/>
                <w:bCs/>
              </w:rPr>
            </w:pPr>
            <w:r w:rsidRPr="00B56FD2">
              <w:rPr>
                <w:rFonts w:cs="Arial"/>
                <w:b/>
              </w:rPr>
              <w:lastRenderedPageBreak/>
              <w:t xml:space="preserve">Medications: </w:t>
            </w:r>
            <w:r w:rsidRPr="00B56FD2">
              <w:rPr>
                <w:rFonts w:cs="Arial"/>
                <w:bCs/>
              </w:rPr>
              <w:t xml:space="preserve">For the purposes of this measure, a </w:t>
            </w:r>
            <w:r w:rsidRPr="00B56FD2">
              <w:rPr>
                <w:rFonts w:cs="Arial"/>
                <w:b/>
              </w:rPr>
              <w:t>medication</w:t>
            </w:r>
            <w:r w:rsidRPr="00B56FD2">
              <w:rPr>
                <w:rFonts w:cs="Arial"/>
                <w:bCs/>
              </w:rPr>
              <w:t xml:space="preserve"> is a substance that is taken into, or placed onto, the body of a person for one or more of the following reasons: </w:t>
            </w:r>
          </w:p>
          <w:p w14:paraId="516DED16" w14:textId="77777777" w:rsidR="009B2D5C" w:rsidRDefault="00EA6BDC" w:rsidP="00AD309C">
            <w:pPr>
              <w:pStyle w:val="ListParagraph"/>
              <w:numPr>
                <w:ilvl w:val="0"/>
                <w:numId w:val="176"/>
              </w:numPr>
              <w:rPr>
                <w:rFonts w:cs="Arial"/>
                <w:bCs/>
              </w:rPr>
            </w:pPr>
            <w:r w:rsidRPr="009B2D5C">
              <w:rPr>
                <w:rFonts w:cs="Arial"/>
                <w:bCs/>
              </w:rPr>
              <w:t>as a placebo</w:t>
            </w:r>
          </w:p>
          <w:p w14:paraId="3D001180" w14:textId="77777777" w:rsidR="009B2D5C" w:rsidRDefault="00EA6BDC" w:rsidP="00AD309C">
            <w:pPr>
              <w:pStyle w:val="ListParagraph"/>
              <w:numPr>
                <w:ilvl w:val="0"/>
                <w:numId w:val="176"/>
              </w:numPr>
              <w:rPr>
                <w:rFonts w:cs="Arial"/>
                <w:bCs/>
              </w:rPr>
            </w:pPr>
            <w:r w:rsidRPr="009B2D5C">
              <w:rPr>
                <w:rFonts w:cs="Arial"/>
                <w:bCs/>
              </w:rPr>
              <w:t>to prevent a disease (e.g., flu vaccine)</w:t>
            </w:r>
          </w:p>
          <w:p w14:paraId="1ED1A35D" w14:textId="77777777" w:rsidR="009B2D5C" w:rsidRDefault="00EA6BDC" w:rsidP="00AD309C">
            <w:pPr>
              <w:pStyle w:val="ListParagraph"/>
              <w:numPr>
                <w:ilvl w:val="0"/>
                <w:numId w:val="176"/>
              </w:numPr>
              <w:rPr>
                <w:rFonts w:cs="Arial"/>
                <w:bCs/>
              </w:rPr>
            </w:pPr>
            <w:r w:rsidRPr="009B2D5C">
              <w:rPr>
                <w:rFonts w:cs="Arial"/>
                <w:bCs/>
              </w:rPr>
              <w:t>to make a diagnosis (e.g., contrast dye)</w:t>
            </w:r>
          </w:p>
          <w:p w14:paraId="6F853CCD" w14:textId="77777777" w:rsidR="009B2D5C" w:rsidRDefault="00EA6BDC" w:rsidP="00AD309C">
            <w:pPr>
              <w:pStyle w:val="ListParagraph"/>
              <w:numPr>
                <w:ilvl w:val="0"/>
                <w:numId w:val="176"/>
              </w:numPr>
              <w:rPr>
                <w:rFonts w:cs="Arial"/>
                <w:bCs/>
              </w:rPr>
            </w:pPr>
            <w:r w:rsidRPr="009B2D5C">
              <w:rPr>
                <w:rFonts w:cs="Arial"/>
                <w:bCs/>
              </w:rPr>
              <w:t>to test for the possibility of an adverse effect</w:t>
            </w:r>
          </w:p>
          <w:p w14:paraId="1660AD64" w14:textId="77777777" w:rsidR="009B2D5C" w:rsidRDefault="00EA6BDC" w:rsidP="00AD309C">
            <w:pPr>
              <w:pStyle w:val="ListParagraph"/>
              <w:numPr>
                <w:ilvl w:val="0"/>
                <w:numId w:val="176"/>
              </w:numPr>
              <w:rPr>
                <w:rFonts w:cs="Arial"/>
                <w:bCs/>
              </w:rPr>
            </w:pPr>
            <w:r w:rsidRPr="009B2D5C">
              <w:rPr>
                <w:rFonts w:cs="Arial"/>
                <w:bCs/>
              </w:rPr>
              <w:t>to modify a physiological, biochemical or anatomical function or abnormality (e.g., heparin/heparin flushes, statins, antihypertensives, etc.)</w:t>
            </w:r>
          </w:p>
          <w:p w14:paraId="5FEF682A" w14:textId="3EB11AF8" w:rsidR="009B2D5C" w:rsidRDefault="00EA6BDC" w:rsidP="00AD309C">
            <w:pPr>
              <w:pStyle w:val="ListParagraph"/>
              <w:numPr>
                <w:ilvl w:val="0"/>
                <w:numId w:val="176"/>
              </w:numPr>
              <w:rPr>
                <w:rFonts w:cs="Arial"/>
                <w:bCs/>
              </w:rPr>
            </w:pPr>
            <w:r w:rsidRPr="009B2D5C">
              <w:rPr>
                <w:rFonts w:cs="Arial"/>
                <w:bCs/>
              </w:rPr>
              <w:t>to replace a missing factor (e.g., blood product</w:t>
            </w:r>
            <w:r w:rsidR="00F553AF">
              <w:rPr>
                <w:rFonts w:cs="Arial"/>
                <w:bCs/>
              </w:rPr>
              <w:t>)</w:t>
            </w:r>
          </w:p>
          <w:p w14:paraId="06332144" w14:textId="2B646D8B" w:rsidR="009B2D5C" w:rsidRDefault="00EA6BDC" w:rsidP="00AD309C">
            <w:pPr>
              <w:pStyle w:val="ListParagraph"/>
              <w:numPr>
                <w:ilvl w:val="0"/>
                <w:numId w:val="176"/>
              </w:numPr>
              <w:rPr>
                <w:rFonts w:cs="Arial"/>
                <w:bCs/>
              </w:rPr>
            </w:pPr>
            <w:r w:rsidRPr="009B2D5C">
              <w:rPr>
                <w:rFonts w:cs="Arial"/>
                <w:bCs/>
              </w:rPr>
              <w:t>to ameliorate a symptom (e.g., aspirin</w:t>
            </w:r>
            <w:r w:rsidR="00F553AF">
              <w:rPr>
                <w:rFonts w:cs="Arial"/>
                <w:bCs/>
              </w:rPr>
              <w:t>)</w:t>
            </w:r>
          </w:p>
          <w:p w14:paraId="134A731A" w14:textId="77777777" w:rsidR="009B2D5C" w:rsidRDefault="00EA6BDC" w:rsidP="00AD309C">
            <w:pPr>
              <w:pStyle w:val="ListParagraph"/>
              <w:numPr>
                <w:ilvl w:val="0"/>
                <w:numId w:val="176"/>
              </w:numPr>
              <w:rPr>
                <w:rFonts w:cs="Arial"/>
                <w:bCs/>
              </w:rPr>
            </w:pPr>
            <w:r w:rsidRPr="009B2D5C">
              <w:rPr>
                <w:rFonts w:cs="Arial"/>
                <w:bCs/>
              </w:rPr>
              <w:t xml:space="preserve">to treat a disease or condition (including topicals, nasal sprays, eye drops, compounds, inhalants, injectables, patches, etc.) </w:t>
            </w:r>
          </w:p>
          <w:p w14:paraId="0AB64A35" w14:textId="77777777" w:rsidR="009B2D5C" w:rsidRDefault="00EA6BDC" w:rsidP="00AD309C">
            <w:pPr>
              <w:pStyle w:val="ListParagraph"/>
              <w:numPr>
                <w:ilvl w:val="0"/>
                <w:numId w:val="176"/>
              </w:numPr>
              <w:rPr>
                <w:rFonts w:cs="Arial"/>
                <w:bCs/>
              </w:rPr>
            </w:pPr>
            <w:r w:rsidRPr="009B2D5C">
              <w:rPr>
                <w:rFonts w:cs="Arial"/>
                <w:bCs/>
              </w:rPr>
              <w:t>to induce anesthesia</w:t>
            </w:r>
          </w:p>
          <w:p w14:paraId="105B9DF2" w14:textId="77777777" w:rsidR="009B2D5C" w:rsidRDefault="00EA6BDC" w:rsidP="00AD309C">
            <w:pPr>
              <w:pStyle w:val="ListParagraph"/>
              <w:numPr>
                <w:ilvl w:val="0"/>
                <w:numId w:val="176"/>
              </w:numPr>
              <w:rPr>
                <w:rFonts w:cs="Arial"/>
                <w:bCs/>
              </w:rPr>
            </w:pPr>
            <w:r w:rsidRPr="009B2D5C">
              <w:rPr>
                <w:rFonts w:cs="Arial"/>
                <w:bCs/>
              </w:rPr>
              <w:t xml:space="preserve">to stabilize or hydrate </w:t>
            </w:r>
            <w:r w:rsidR="0068406E" w:rsidRPr="009B2D5C">
              <w:rPr>
                <w:rFonts w:cs="Arial"/>
                <w:bCs/>
              </w:rPr>
              <w:t>during</w:t>
            </w:r>
            <w:r w:rsidRPr="009B2D5C">
              <w:rPr>
                <w:rFonts w:cs="Arial"/>
                <w:bCs/>
              </w:rPr>
              <w:t xml:space="preserve"> medical treatment or procedures (e.g., IV fluids, normal saline, lactated ringers, etc.) </w:t>
            </w:r>
          </w:p>
          <w:p w14:paraId="2B9EF126" w14:textId="77777777" w:rsidR="009B2D5C" w:rsidRDefault="00EA6BDC" w:rsidP="00AD309C">
            <w:pPr>
              <w:pStyle w:val="ListParagraph"/>
              <w:numPr>
                <w:ilvl w:val="0"/>
                <w:numId w:val="176"/>
              </w:numPr>
              <w:rPr>
                <w:rFonts w:cs="Arial"/>
                <w:bCs/>
              </w:rPr>
            </w:pPr>
            <w:r w:rsidRPr="009B2D5C">
              <w:rPr>
                <w:rFonts w:cs="Arial"/>
                <w:bCs/>
              </w:rPr>
              <w:t>to provide nutrition (e.g., enteral nutrition products, parenteral nutrition products, breast milk [breast milk applies to BCMA measure only])</w:t>
            </w:r>
          </w:p>
          <w:p w14:paraId="60EB89FC" w14:textId="4062DC01" w:rsidR="00EA6BDC" w:rsidRPr="009B2D5C" w:rsidRDefault="00EA6BDC" w:rsidP="00AD309C">
            <w:pPr>
              <w:pStyle w:val="ListParagraph"/>
              <w:numPr>
                <w:ilvl w:val="0"/>
                <w:numId w:val="176"/>
              </w:numPr>
              <w:rPr>
                <w:rFonts w:cs="Arial"/>
                <w:bCs/>
              </w:rPr>
            </w:pPr>
            <w:r w:rsidRPr="009B2D5C">
              <w:rPr>
                <w:rFonts w:cs="Arial"/>
                <w:bCs/>
              </w:rPr>
              <w:t>as a supplement (e.g., iron for a patient with iron deficiency anemia or calcium/vitamin D for a patient with osteoporosis)</w:t>
            </w:r>
          </w:p>
          <w:p w14:paraId="1328716B" w14:textId="77777777" w:rsidR="00D35E97" w:rsidRDefault="00D35E97" w:rsidP="00D35E97">
            <w:pPr>
              <w:rPr>
                <w:rFonts w:cs="Arial"/>
                <w:bCs/>
              </w:rPr>
            </w:pPr>
          </w:p>
          <w:p w14:paraId="36628AF4" w14:textId="6B0261ED" w:rsidR="009B2D5C" w:rsidRPr="009B2D5C" w:rsidRDefault="009B2D5C" w:rsidP="00D35E97">
            <w:pPr>
              <w:rPr>
                <w:rFonts w:cs="Arial"/>
                <w:bCs/>
              </w:rPr>
            </w:pPr>
            <w:r w:rsidRPr="009B2D5C">
              <w:rPr>
                <w:rFonts w:cs="Arial"/>
                <w:bCs/>
              </w:rPr>
              <w:t xml:space="preserve">For the purposes of this measure, the following are </w:t>
            </w:r>
            <w:r w:rsidRPr="009B2D5C">
              <w:rPr>
                <w:rFonts w:cs="Arial"/>
                <w:b/>
                <w:u w:val="single"/>
              </w:rPr>
              <w:t>not</w:t>
            </w:r>
            <w:r w:rsidRPr="009B2D5C">
              <w:rPr>
                <w:rFonts w:cs="Arial"/>
                <w:bCs/>
              </w:rPr>
              <w:t xml:space="preserve"> considered medications</w:t>
            </w:r>
            <w:r w:rsidR="00D35E97" w:rsidRPr="009B2D5C">
              <w:rPr>
                <w:rFonts w:cs="Arial"/>
                <w:bCs/>
              </w:rPr>
              <w:t xml:space="preserve">: </w:t>
            </w:r>
          </w:p>
          <w:p w14:paraId="648150FC" w14:textId="0DDCB025" w:rsidR="00B04A67" w:rsidRDefault="00D35E97" w:rsidP="00AD309C">
            <w:pPr>
              <w:pStyle w:val="ListParagraph"/>
              <w:numPr>
                <w:ilvl w:val="0"/>
                <w:numId w:val="175"/>
              </w:numPr>
              <w:rPr>
                <w:rFonts w:cs="Arial"/>
                <w:bCs/>
              </w:rPr>
            </w:pPr>
            <w:r w:rsidRPr="009B2D5C">
              <w:rPr>
                <w:rFonts w:cs="Arial"/>
                <w:bCs/>
              </w:rPr>
              <w:t>Pre-filled saline flushes and pre-filled heparin flushes</w:t>
            </w:r>
            <w:r w:rsidR="00B04A67">
              <w:rPr>
                <w:rFonts w:cs="Arial"/>
                <w:bCs/>
              </w:rPr>
              <w:t xml:space="preserve"> </w:t>
            </w:r>
            <w:r w:rsidR="00B04A67" w:rsidRPr="002E0EA8">
              <w:rPr>
                <w:rFonts w:cs="Arial"/>
                <w:bCs/>
              </w:rPr>
              <w:t>(i.e., saline and heparin flushes that come from the manufacturer already filled and are not filled by the hospital’s pharmacy)</w:t>
            </w:r>
          </w:p>
          <w:p w14:paraId="500CBD0C" w14:textId="77777777" w:rsidR="00B04A67" w:rsidRPr="009B2D5C" w:rsidRDefault="00B04A67" w:rsidP="00AD309C">
            <w:pPr>
              <w:pStyle w:val="ListParagraph"/>
              <w:numPr>
                <w:ilvl w:val="0"/>
                <w:numId w:val="175"/>
              </w:numPr>
              <w:rPr>
                <w:rFonts w:cs="Arial"/>
                <w:bCs/>
              </w:rPr>
            </w:pPr>
            <w:r w:rsidRPr="009B2D5C">
              <w:rPr>
                <w:rFonts w:cs="Arial"/>
              </w:rPr>
              <w:t>Chlorhexidine and alcohol preparation pads</w:t>
            </w:r>
          </w:p>
          <w:p w14:paraId="28AD2F39" w14:textId="7699DA21" w:rsidR="00D35E97" w:rsidRPr="00A745AF" w:rsidRDefault="00B04A67" w:rsidP="00AD309C">
            <w:pPr>
              <w:pStyle w:val="ListParagraph"/>
              <w:numPr>
                <w:ilvl w:val="0"/>
                <w:numId w:val="175"/>
              </w:numPr>
              <w:rPr>
                <w:rFonts w:cs="Arial"/>
                <w:bCs/>
              </w:rPr>
            </w:pPr>
            <w:r>
              <w:rPr>
                <w:rFonts w:cs="Arial"/>
                <w:bCs/>
              </w:rPr>
              <w:t>Intra-op irrigation solutions</w:t>
            </w:r>
          </w:p>
        </w:tc>
      </w:tr>
      <w:tr w:rsidR="00297958" w:rsidRPr="009A5185" w14:paraId="2768299A" w14:textId="77777777" w:rsidTr="00253C74">
        <w:trPr>
          <w:trHeight w:val="288"/>
        </w:trPr>
        <w:tc>
          <w:tcPr>
            <w:tcW w:w="9562" w:type="dxa"/>
            <w:vAlign w:val="center"/>
          </w:tcPr>
          <w:p w14:paraId="56700DE8" w14:textId="78DFA903" w:rsidR="00297958" w:rsidRPr="0031389F" w:rsidRDefault="00297958" w:rsidP="00CA75AB">
            <w:pPr>
              <w:autoSpaceDE w:val="0"/>
              <w:autoSpaceDN w:val="0"/>
              <w:adjustRightInd w:val="0"/>
            </w:pPr>
            <w:r w:rsidRPr="0031389F">
              <w:rPr>
                <w:rFonts w:cs="Arial"/>
                <w:b/>
                <w:bCs/>
              </w:rPr>
              <w:t xml:space="preserve">Question #3 (denominator): </w:t>
            </w:r>
            <w:r w:rsidRPr="0031389F">
              <w:t>Number of cases measured (either all cases or a sufficient sample of them).</w:t>
            </w:r>
          </w:p>
          <w:p w14:paraId="23D25DDE" w14:textId="77777777" w:rsidR="00297958" w:rsidRPr="0031389F" w:rsidRDefault="00297958" w:rsidP="00CA75AB">
            <w:pPr>
              <w:autoSpaceDE w:val="0"/>
              <w:autoSpaceDN w:val="0"/>
              <w:adjustRightInd w:val="0"/>
              <w:rPr>
                <w:rFonts w:cs="Arial"/>
                <w:b/>
                <w:bCs/>
              </w:rPr>
            </w:pPr>
          </w:p>
          <w:p w14:paraId="5867C64B" w14:textId="17EE7A71" w:rsidR="00903F75" w:rsidRPr="0031389F" w:rsidRDefault="00297958" w:rsidP="00CA75AB">
            <w:pPr>
              <w:autoSpaceDE w:val="0"/>
              <w:autoSpaceDN w:val="0"/>
              <w:adjustRightInd w:val="0"/>
              <w:rPr>
                <w:rFonts w:cs="Arial"/>
                <w:bCs/>
              </w:rPr>
            </w:pPr>
            <w:r w:rsidRPr="0031389F">
              <w:rPr>
                <w:rFonts w:cs="Arial"/>
                <w:bCs/>
              </w:rPr>
              <w:t xml:space="preserve">Your </w:t>
            </w:r>
            <w:r w:rsidR="00F160E3">
              <w:rPr>
                <w:rFonts w:cs="Arial"/>
                <w:bCs/>
              </w:rPr>
              <w:t>hospital</w:t>
            </w:r>
            <w:r w:rsidRPr="0031389F">
              <w:rPr>
                <w:rFonts w:cs="Arial"/>
                <w:bCs/>
              </w:rPr>
              <w:t xml:space="preserve"> should perform a clinical record audit of either all </w:t>
            </w:r>
            <w:r w:rsidR="00903F75" w:rsidRPr="0031389F">
              <w:rPr>
                <w:rFonts w:cs="Arial"/>
                <w:bCs/>
              </w:rPr>
              <w:t xml:space="preserve">adult and/or pediatric </w:t>
            </w:r>
            <w:r w:rsidRPr="0031389F">
              <w:rPr>
                <w:rFonts w:cs="Arial"/>
                <w:bCs/>
              </w:rPr>
              <w:t xml:space="preserve">patients </w:t>
            </w:r>
            <w:r w:rsidR="00903F75" w:rsidRPr="0031389F">
              <w:rPr>
                <w:rFonts w:cs="Arial"/>
                <w:bCs/>
              </w:rPr>
              <w:t xml:space="preserve">undergoing those procedures included in Section </w:t>
            </w:r>
            <w:r w:rsidR="00A745AF">
              <w:rPr>
                <w:rFonts w:cs="Arial"/>
                <w:bCs/>
              </w:rPr>
              <w:t>9</w:t>
            </w:r>
            <w:r w:rsidR="00903F75" w:rsidRPr="0031389F">
              <w:rPr>
                <w:rFonts w:cs="Arial"/>
                <w:bCs/>
              </w:rPr>
              <w:t>C</w:t>
            </w:r>
            <w:r w:rsidR="00854F4A" w:rsidRPr="0031389F">
              <w:rPr>
                <w:rFonts w:cs="Arial"/>
                <w:bCs/>
              </w:rPr>
              <w:t xml:space="preserve"> </w:t>
            </w:r>
            <w:r w:rsidRPr="0031389F">
              <w:rPr>
                <w:rFonts w:cs="Arial"/>
                <w:bCs/>
              </w:rPr>
              <w:t xml:space="preserve">discharged during the reporting period or a sufficient sample of </w:t>
            </w:r>
            <w:r w:rsidR="00854F4A" w:rsidRPr="0031389F">
              <w:rPr>
                <w:rFonts w:cs="Arial"/>
                <w:bCs/>
              </w:rPr>
              <w:t xml:space="preserve">those </w:t>
            </w:r>
            <w:r w:rsidRPr="0031389F">
              <w:rPr>
                <w:rFonts w:cs="Arial"/>
                <w:bCs/>
              </w:rPr>
              <w:t>patients discharged during the reporting period as described above.</w:t>
            </w:r>
          </w:p>
          <w:p w14:paraId="202F1160" w14:textId="77777777" w:rsidR="00297958" w:rsidRPr="0031389F" w:rsidRDefault="00297958" w:rsidP="00CA75AB">
            <w:pPr>
              <w:autoSpaceDE w:val="0"/>
              <w:autoSpaceDN w:val="0"/>
              <w:adjustRightInd w:val="0"/>
              <w:rPr>
                <w:rFonts w:cs="Arial"/>
                <w:b/>
                <w:bCs/>
              </w:rPr>
            </w:pPr>
            <w:r w:rsidRPr="0031389F">
              <w:rPr>
                <w:rFonts w:cs="Arial"/>
                <w:bCs/>
              </w:rPr>
              <w:t xml:space="preserve"> </w:t>
            </w:r>
          </w:p>
          <w:p w14:paraId="48BA5974" w14:textId="7E6EDFF6" w:rsidR="00297958" w:rsidRDefault="00297958" w:rsidP="00CA75AB">
            <w:pPr>
              <w:autoSpaceDE w:val="0"/>
              <w:autoSpaceDN w:val="0"/>
              <w:adjustRightInd w:val="0"/>
              <w:rPr>
                <w:rFonts w:cs="Arial"/>
                <w:bCs/>
              </w:rPr>
            </w:pPr>
            <w:r w:rsidRPr="0031389F">
              <w:rPr>
                <w:rFonts w:cs="Arial"/>
                <w:bCs/>
              </w:rPr>
              <w:t>This audit of clinical records can be done retrospectively (anytime during the Survey C</w:t>
            </w:r>
            <w:r w:rsidR="008525CC">
              <w:rPr>
                <w:rFonts w:cs="Arial"/>
                <w:bCs/>
              </w:rPr>
              <w:t xml:space="preserve">ycle of April 1 – </w:t>
            </w:r>
            <w:r w:rsidR="001C70D8">
              <w:rPr>
                <w:rFonts w:cs="Arial"/>
                <w:bCs/>
              </w:rPr>
              <w:t>November 30</w:t>
            </w:r>
            <w:r w:rsidR="008525CC" w:rsidRPr="00896587">
              <w:rPr>
                <w:rFonts w:cs="Arial"/>
                <w:bCs/>
              </w:rPr>
              <w:t>).</w:t>
            </w:r>
          </w:p>
          <w:p w14:paraId="30069F38" w14:textId="77777777" w:rsidR="008525CC" w:rsidRPr="0031389F" w:rsidRDefault="008525CC" w:rsidP="00CA75AB">
            <w:pPr>
              <w:autoSpaceDE w:val="0"/>
              <w:autoSpaceDN w:val="0"/>
              <w:adjustRightInd w:val="0"/>
              <w:rPr>
                <w:rFonts w:cs="Arial"/>
                <w:bCs/>
              </w:rPr>
            </w:pPr>
          </w:p>
          <w:p w14:paraId="0916E64A" w14:textId="47A842FA" w:rsidR="00297958" w:rsidRPr="0031389F" w:rsidRDefault="00297958" w:rsidP="00CA75AB">
            <w:pPr>
              <w:autoSpaceDE w:val="0"/>
              <w:autoSpaceDN w:val="0"/>
              <w:adjustRightInd w:val="0"/>
              <w:rPr>
                <w:rFonts w:cs="Arial"/>
                <w:bCs/>
              </w:rPr>
            </w:pPr>
            <w:r w:rsidRPr="0031389F">
              <w:rPr>
                <w:rFonts w:cs="Arial"/>
                <w:bCs/>
              </w:rPr>
              <w:t xml:space="preserve">The total number of clinical records included in your audit is reported </w:t>
            </w:r>
            <w:r w:rsidR="00D150CF">
              <w:rPr>
                <w:rFonts w:cs="Arial"/>
                <w:bCs/>
              </w:rPr>
              <w:t xml:space="preserve">in </w:t>
            </w:r>
            <w:r w:rsidRPr="0031389F">
              <w:rPr>
                <w:rFonts w:cs="Arial"/>
                <w:bCs/>
              </w:rPr>
              <w:t xml:space="preserve">question #3. </w:t>
            </w:r>
          </w:p>
          <w:p w14:paraId="4E8D482C" w14:textId="77777777" w:rsidR="00297958" w:rsidRPr="0031389F" w:rsidRDefault="00297958" w:rsidP="00CA75AB">
            <w:pPr>
              <w:autoSpaceDE w:val="0"/>
              <w:autoSpaceDN w:val="0"/>
              <w:adjustRightInd w:val="0"/>
              <w:rPr>
                <w:rFonts w:cs="Arial"/>
                <w:bCs/>
              </w:rPr>
            </w:pPr>
          </w:p>
          <w:p w14:paraId="0A4580BB" w14:textId="0C6C812E" w:rsidR="00297958" w:rsidRPr="00072AA8" w:rsidRDefault="00297958" w:rsidP="00072AA8">
            <w:pPr>
              <w:autoSpaceDE w:val="0"/>
              <w:autoSpaceDN w:val="0"/>
              <w:adjustRightInd w:val="0"/>
              <w:rPr>
                <w:rFonts w:cs="Arial"/>
                <w:b/>
                <w:bCs/>
              </w:rPr>
            </w:pPr>
            <w:r w:rsidRPr="0031389F">
              <w:rPr>
                <w:rFonts w:cs="Arial"/>
                <w:b/>
                <w:bCs/>
              </w:rPr>
              <w:t xml:space="preserve">Excluded cases: </w:t>
            </w:r>
            <w:r w:rsidRPr="00072AA8">
              <w:rPr>
                <w:rFonts w:cs="Arial"/>
                <w:bCs/>
              </w:rPr>
              <w:t xml:space="preserve">Patients discharged from the </w:t>
            </w:r>
            <w:r w:rsidR="00F160E3" w:rsidRPr="00072AA8">
              <w:rPr>
                <w:rFonts w:cs="Arial"/>
                <w:bCs/>
              </w:rPr>
              <w:t>hospital outpatient departments</w:t>
            </w:r>
            <w:r w:rsidRPr="00072AA8">
              <w:rPr>
                <w:rFonts w:cs="Arial"/>
                <w:bCs/>
              </w:rPr>
              <w:t xml:space="preserve"> without having </w:t>
            </w:r>
            <w:r w:rsidR="00903F75" w:rsidRPr="00072AA8">
              <w:rPr>
                <w:rFonts w:cs="Arial"/>
                <w:bCs/>
              </w:rPr>
              <w:t xml:space="preserve">one of the procedures included in Section </w:t>
            </w:r>
            <w:r w:rsidR="00D206C8" w:rsidRPr="00072AA8">
              <w:rPr>
                <w:rFonts w:cs="Arial"/>
                <w:bCs/>
              </w:rPr>
              <w:t>9</w:t>
            </w:r>
            <w:r w:rsidR="00903F75" w:rsidRPr="00072AA8">
              <w:rPr>
                <w:rFonts w:cs="Arial"/>
                <w:bCs/>
              </w:rPr>
              <w:t xml:space="preserve">C </w:t>
            </w:r>
            <w:r w:rsidRPr="00072AA8">
              <w:rPr>
                <w:rFonts w:cs="Arial"/>
                <w:bCs/>
              </w:rPr>
              <w:t>performed</w:t>
            </w:r>
            <w:r w:rsidR="00903F75" w:rsidRPr="00072AA8">
              <w:rPr>
                <w:rFonts w:cs="Arial"/>
                <w:bCs/>
              </w:rPr>
              <w:t xml:space="preserve"> during the reporting period</w:t>
            </w:r>
            <w:r w:rsidRPr="00072AA8">
              <w:rPr>
                <w:rFonts w:cs="Arial"/>
                <w:bCs/>
              </w:rPr>
              <w:t xml:space="preserve">. </w:t>
            </w:r>
          </w:p>
        </w:tc>
      </w:tr>
      <w:tr w:rsidR="00297958" w:rsidRPr="009A5185" w14:paraId="6900D77D" w14:textId="77777777" w:rsidTr="00253C74">
        <w:trPr>
          <w:trHeight w:val="1152"/>
        </w:trPr>
        <w:tc>
          <w:tcPr>
            <w:tcW w:w="9562" w:type="dxa"/>
            <w:vAlign w:val="center"/>
          </w:tcPr>
          <w:p w14:paraId="6210BE1A" w14:textId="29CD6F8E" w:rsidR="00297958" w:rsidRPr="0031389F" w:rsidRDefault="00297958" w:rsidP="00CA75AB">
            <w:pPr>
              <w:autoSpaceDE w:val="0"/>
              <w:autoSpaceDN w:val="0"/>
              <w:adjustRightInd w:val="0"/>
              <w:rPr>
                <w:rFonts w:cs="Arial"/>
                <w:b/>
                <w:bCs/>
              </w:rPr>
            </w:pPr>
            <w:r w:rsidRPr="0031389F">
              <w:rPr>
                <w:rFonts w:cs="Arial"/>
                <w:b/>
                <w:bCs/>
              </w:rPr>
              <w:t xml:space="preserve">Question #4 (numerator): </w:t>
            </w:r>
            <w:r w:rsidRPr="0031389F">
              <w:t xml:space="preserve">Number of cases in question #3 with a list of </w:t>
            </w:r>
            <w:r w:rsidR="008525CC">
              <w:rPr>
                <w:b/>
              </w:rPr>
              <w:t xml:space="preserve">all </w:t>
            </w:r>
            <w:r w:rsidRPr="0031389F">
              <w:rPr>
                <w:b/>
              </w:rPr>
              <w:t>home medication(s),</w:t>
            </w:r>
            <w:r w:rsidRPr="0031389F">
              <w:t xml:space="preserve"> including dose, route, and frequency, documented in the clinical record.</w:t>
            </w:r>
          </w:p>
          <w:p w14:paraId="3759DE63" w14:textId="77777777" w:rsidR="00297958" w:rsidRPr="0031389F" w:rsidRDefault="00297958" w:rsidP="00CA75AB">
            <w:pPr>
              <w:autoSpaceDE w:val="0"/>
              <w:autoSpaceDN w:val="0"/>
              <w:adjustRightInd w:val="0"/>
              <w:rPr>
                <w:rFonts w:cs="Arial"/>
                <w:b/>
                <w:bCs/>
              </w:rPr>
            </w:pPr>
          </w:p>
          <w:p w14:paraId="0DB547DF" w14:textId="1FC51862" w:rsidR="00297958" w:rsidRPr="0031389F" w:rsidRDefault="00297958" w:rsidP="00CA75AB">
            <w:pPr>
              <w:autoSpaceDE w:val="0"/>
              <w:autoSpaceDN w:val="0"/>
              <w:adjustRightInd w:val="0"/>
              <w:rPr>
                <w:rFonts w:cs="Arial"/>
              </w:rPr>
            </w:pPr>
            <w:r w:rsidRPr="0031389F">
              <w:rPr>
                <w:rFonts w:cs="Arial"/>
              </w:rPr>
              <w:t>Determine the total number of clinical records included in the audit (in question #3), where a list of</w:t>
            </w:r>
            <w:r w:rsidR="008525CC">
              <w:rPr>
                <w:rFonts w:cs="Arial"/>
              </w:rPr>
              <w:t xml:space="preserve"> all</w:t>
            </w:r>
            <w:r w:rsidRPr="0031389F">
              <w:rPr>
                <w:rFonts w:cs="Arial"/>
              </w:rPr>
              <w:t xml:space="preserve"> home medication(s), including dose, route, and frequency, was documented in the clinical record</w:t>
            </w:r>
            <w:r w:rsidR="00D805E7">
              <w:rPr>
                <w:rFonts w:cs="Arial"/>
              </w:rPr>
              <w:t xml:space="preserve"> either</w:t>
            </w:r>
            <w:r w:rsidRPr="0031389F">
              <w:rPr>
                <w:rFonts w:cs="Arial"/>
              </w:rPr>
              <w:t xml:space="preserve"> on the day of the procedure</w:t>
            </w:r>
            <w:r w:rsidR="00D805E7">
              <w:rPr>
                <w:rFonts w:cs="Arial"/>
              </w:rPr>
              <w:t xml:space="preserve"> or after a pre-screening phone call (</w:t>
            </w:r>
            <w:r w:rsidR="00D314B1">
              <w:rPr>
                <w:rFonts w:cs="Arial"/>
              </w:rPr>
              <w:t>i</w:t>
            </w:r>
            <w:r w:rsidR="00D805E7">
              <w:rPr>
                <w:rFonts w:cs="Arial"/>
              </w:rPr>
              <w:t>.</w:t>
            </w:r>
            <w:r w:rsidR="00D314B1">
              <w:rPr>
                <w:rFonts w:cs="Arial"/>
              </w:rPr>
              <w:t>e</w:t>
            </w:r>
            <w:r w:rsidR="00D805E7">
              <w:rPr>
                <w:rFonts w:cs="Arial"/>
              </w:rPr>
              <w:t>., 1-2 days in advance of the procedure)</w:t>
            </w:r>
            <w:r w:rsidRPr="0031389F">
              <w:rPr>
                <w:rFonts w:cs="Arial"/>
              </w:rPr>
              <w:t>.</w:t>
            </w:r>
            <w:r w:rsidR="00A71F06">
              <w:rPr>
                <w:rFonts w:cs="Arial"/>
              </w:rPr>
              <w:t xml:space="preserve"> Records that include documentation that the patient had no home medications should be included. </w:t>
            </w:r>
          </w:p>
          <w:p w14:paraId="7E92E98F" w14:textId="77777777" w:rsidR="00EC1E84" w:rsidRPr="0031389F" w:rsidRDefault="00EC1E84" w:rsidP="00CA75AB">
            <w:pPr>
              <w:autoSpaceDE w:val="0"/>
              <w:autoSpaceDN w:val="0"/>
              <w:adjustRightInd w:val="0"/>
              <w:rPr>
                <w:rFonts w:cs="Arial"/>
                <w:b/>
                <w:bCs/>
              </w:rPr>
            </w:pPr>
          </w:p>
          <w:p w14:paraId="651711F3" w14:textId="77777777" w:rsidR="00297958" w:rsidRPr="0031389F" w:rsidRDefault="00297958" w:rsidP="00CA75AB">
            <w:bookmarkStart w:id="825" w:name="MedSafety_HomeMedications"/>
            <w:r w:rsidRPr="0031389F">
              <w:t>“Home medications</w:t>
            </w:r>
            <w:bookmarkEnd w:id="825"/>
            <w:r w:rsidRPr="0031389F">
              <w:t xml:space="preserve">” are defined as medications that the patient was taking prior to admission. </w:t>
            </w:r>
          </w:p>
          <w:p w14:paraId="12F24F5A" w14:textId="77777777" w:rsidR="00396C77" w:rsidRDefault="00396C77" w:rsidP="00CA75AB"/>
          <w:p w14:paraId="411892FC" w14:textId="0FDB6DCB" w:rsidR="00297958" w:rsidRPr="0031389F" w:rsidRDefault="00297958" w:rsidP="00CA75AB">
            <w:r w:rsidRPr="0031389F">
              <w:t xml:space="preserve">The following home medications may be excluded from the clinical record </w:t>
            </w:r>
            <w:r w:rsidRPr="001A3589">
              <w:rPr>
                <w:u w:val="single"/>
              </w:rPr>
              <w:t>unless they are clinically relevant</w:t>
            </w:r>
            <w:r w:rsidR="00E62ED1">
              <w:rPr>
                <w:u w:val="single"/>
              </w:rPr>
              <w:t>*</w:t>
            </w:r>
            <w:r w:rsidR="001A3589" w:rsidRPr="001A3589">
              <w:rPr>
                <w:u w:val="single"/>
              </w:rPr>
              <w:t xml:space="preserve"> </w:t>
            </w:r>
            <w:r w:rsidR="001A3589" w:rsidRPr="00BD7A5F">
              <w:t>(e.g., herbal supplement that is known to interact with anesthesia)</w:t>
            </w:r>
            <w:r w:rsidRPr="00BD7A5F">
              <w:t>:</w:t>
            </w:r>
          </w:p>
          <w:p w14:paraId="66CBA31D" w14:textId="277506B7" w:rsidR="00297958" w:rsidRPr="0031389F" w:rsidRDefault="00297958" w:rsidP="00AD309C">
            <w:pPr>
              <w:pStyle w:val="ListParagraph"/>
              <w:numPr>
                <w:ilvl w:val="0"/>
                <w:numId w:val="118"/>
              </w:numPr>
              <w:spacing w:after="120" w:line="264" w:lineRule="auto"/>
            </w:pPr>
            <w:r w:rsidRPr="0031389F">
              <w:t>as needed (PRN) medications</w:t>
            </w:r>
            <w:r w:rsidR="00A71F06">
              <w:t xml:space="preserve"> </w:t>
            </w:r>
          </w:p>
          <w:p w14:paraId="2D3D7A02" w14:textId="77777777" w:rsidR="00297958" w:rsidRPr="0031389F" w:rsidRDefault="00297958" w:rsidP="00AD309C">
            <w:pPr>
              <w:pStyle w:val="ListParagraph"/>
              <w:numPr>
                <w:ilvl w:val="0"/>
                <w:numId w:val="118"/>
              </w:numPr>
              <w:spacing w:after="120" w:line="264" w:lineRule="auto"/>
            </w:pPr>
            <w:r w:rsidRPr="0031389F">
              <w:t>topical lotions/creams</w:t>
            </w:r>
          </w:p>
          <w:p w14:paraId="2A7E7CD7" w14:textId="77777777" w:rsidR="00297958" w:rsidRPr="0031389F" w:rsidRDefault="00297958" w:rsidP="00AD309C">
            <w:pPr>
              <w:pStyle w:val="ListParagraph"/>
              <w:numPr>
                <w:ilvl w:val="0"/>
                <w:numId w:val="118"/>
              </w:numPr>
              <w:spacing w:after="120" w:line="264" w:lineRule="auto"/>
            </w:pPr>
            <w:r w:rsidRPr="0031389F">
              <w:t>saline nasal spray and artificial tear eye drops</w:t>
            </w:r>
          </w:p>
          <w:p w14:paraId="63A1DBD8" w14:textId="3A321D68" w:rsidR="00A71F06" w:rsidRDefault="00297958" w:rsidP="00AD309C">
            <w:pPr>
              <w:pStyle w:val="ListParagraph"/>
              <w:numPr>
                <w:ilvl w:val="0"/>
                <w:numId w:val="118"/>
              </w:numPr>
              <w:spacing w:after="120" w:line="264" w:lineRule="auto"/>
            </w:pPr>
            <w:r w:rsidRPr="0031389F">
              <w:t>herbals and supplements and vitamins</w:t>
            </w:r>
          </w:p>
          <w:p w14:paraId="50260988" w14:textId="307372BB" w:rsidR="00E01307" w:rsidRDefault="00E01307" w:rsidP="00AD309C">
            <w:pPr>
              <w:pStyle w:val="ListParagraph"/>
              <w:numPr>
                <w:ilvl w:val="0"/>
                <w:numId w:val="118"/>
              </w:numPr>
              <w:spacing w:after="120" w:line="264" w:lineRule="auto"/>
            </w:pPr>
            <w:r>
              <w:lastRenderedPageBreak/>
              <w:t>medications prescribed for the purpose of operative prep prior to colonoscopy</w:t>
            </w:r>
          </w:p>
          <w:p w14:paraId="296042D6" w14:textId="3B6426D5" w:rsidR="00BD7A5F" w:rsidRPr="00113D47" w:rsidRDefault="00113D47" w:rsidP="00113D47">
            <w:r>
              <w:t>Home</w:t>
            </w:r>
            <w:r w:rsidR="00A71F06">
              <w:t xml:space="preserve"> medications </w:t>
            </w:r>
            <w:r>
              <w:t xml:space="preserve">that </w:t>
            </w:r>
            <w:r w:rsidR="00A71F06">
              <w:t xml:space="preserve">must be included </w:t>
            </w:r>
            <w:r w:rsidR="00072AA8">
              <w:t>in</w:t>
            </w:r>
            <w:r w:rsidR="00A71F06">
              <w:t xml:space="preserve"> the clinical record</w:t>
            </w:r>
            <w:r>
              <w:t xml:space="preserve"> include </w:t>
            </w:r>
            <w:r w:rsidR="00A71F06">
              <w:t>clinically relevant</w:t>
            </w:r>
            <w:r w:rsidR="00BD7A5F">
              <w:t>*</w:t>
            </w:r>
            <w:r w:rsidR="00A71F06">
              <w:t xml:space="preserve"> PRN medications such as </w:t>
            </w:r>
            <w:r w:rsidR="00A71F06" w:rsidRPr="0031389F">
              <w:t xml:space="preserve">inhalers, nitroglycerin, </w:t>
            </w:r>
            <w:r w:rsidR="00A71F06" w:rsidRPr="00A40C46">
              <w:t xml:space="preserve">analgesics (opioid and non-opioid), </w:t>
            </w:r>
            <w:r w:rsidR="00A71F06" w:rsidRPr="0031389F">
              <w:t>muscle</w:t>
            </w:r>
            <w:r w:rsidR="00A71F06">
              <w:t xml:space="preserve"> </w:t>
            </w:r>
            <w:r w:rsidR="00A71F06" w:rsidRPr="0031389F">
              <w:t xml:space="preserve">relaxants, </w:t>
            </w:r>
            <w:r w:rsidR="00A71F06">
              <w:t xml:space="preserve">and </w:t>
            </w:r>
            <w:r w:rsidR="00A71F06" w:rsidRPr="0031389F">
              <w:t>sedatives</w:t>
            </w:r>
            <w:r w:rsidR="00BD7A5F">
              <w:t>.</w:t>
            </w:r>
            <w:r w:rsidR="00253C74">
              <w:br/>
            </w:r>
          </w:p>
          <w:p w14:paraId="021F238F" w14:textId="41164ED7" w:rsidR="00E62ED1" w:rsidRPr="00BD7A5F" w:rsidRDefault="00E62ED1" w:rsidP="00E62ED1">
            <w:pPr>
              <w:pStyle w:val="EndnoteText"/>
              <w:rPr>
                <w:rFonts w:cs="Arial"/>
                <w:i/>
                <w:iCs/>
              </w:rPr>
            </w:pPr>
            <w:r w:rsidRPr="00BD7A5F">
              <w:rPr>
                <w:rFonts w:cs="Arial"/>
                <w:i/>
                <w:iCs/>
              </w:rPr>
              <w:t xml:space="preserve">*Clinically relevant is defined as any PRN medication that treats a medical condition on the patient’s problem list and/or condition they are being treated for during the visit (i.e., reason for the hospital stay). </w:t>
            </w:r>
          </w:p>
          <w:p w14:paraId="15B0F792" w14:textId="77777777" w:rsidR="00E62ED1" w:rsidRPr="00E62ED1" w:rsidRDefault="00E62ED1" w:rsidP="00E62ED1">
            <w:pPr>
              <w:pStyle w:val="EndnoteText"/>
              <w:rPr>
                <w:rFonts w:cs="Arial"/>
              </w:rPr>
            </w:pPr>
          </w:p>
          <w:p w14:paraId="5F00F163" w14:textId="09DD021E" w:rsidR="0055415C" w:rsidRPr="0055415C" w:rsidRDefault="0055415C" w:rsidP="0055415C">
            <w:pPr>
              <w:rPr>
                <w:b/>
                <w:bCs/>
              </w:rPr>
            </w:pPr>
            <w:r w:rsidRPr="0055415C">
              <w:rPr>
                <w:b/>
                <w:bCs/>
              </w:rPr>
              <w:t>Included cases:</w:t>
            </w:r>
          </w:p>
          <w:p w14:paraId="42395575" w14:textId="77777777" w:rsidR="0055415C" w:rsidRPr="0055415C" w:rsidRDefault="0055415C" w:rsidP="00AD309C">
            <w:pPr>
              <w:pStyle w:val="ListParagraph"/>
              <w:numPr>
                <w:ilvl w:val="0"/>
                <w:numId w:val="118"/>
              </w:numPr>
              <w:spacing w:after="120" w:line="264" w:lineRule="auto"/>
            </w:pPr>
            <w:r w:rsidRPr="0055415C">
              <w:t xml:space="preserve">The clinical record includes documentation that the patient has no home medications. </w:t>
            </w:r>
          </w:p>
          <w:p w14:paraId="2C903D6D" w14:textId="77777777" w:rsidR="0055415C" w:rsidRPr="0055415C" w:rsidRDefault="0055415C" w:rsidP="0055415C">
            <w:pPr>
              <w:rPr>
                <w:b/>
                <w:bCs/>
              </w:rPr>
            </w:pPr>
            <w:r w:rsidRPr="0055415C">
              <w:rPr>
                <w:b/>
                <w:bCs/>
              </w:rPr>
              <w:t>Excluded cases:</w:t>
            </w:r>
          </w:p>
          <w:p w14:paraId="3C04EB1E" w14:textId="77777777" w:rsidR="0055415C" w:rsidRPr="0055415C" w:rsidRDefault="0055415C" w:rsidP="00AD309C">
            <w:pPr>
              <w:pStyle w:val="ListParagraph"/>
              <w:numPr>
                <w:ilvl w:val="0"/>
                <w:numId w:val="118"/>
              </w:numPr>
              <w:spacing w:after="120" w:line="264" w:lineRule="auto"/>
              <w:rPr>
                <w:b/>
                <w:bCs/>
              </w:rPr>
            </w:pPr>
            <w:r w:rsidRPr="0055415C">
              <w:t>The clinical record is missing a list of all home medication(s).</w:t>
            </w:r>
          </w:p>
          <w:p w14:paraId="5187FCFA" w14:textId="5EDF6A7B" w:rsidR="0055415C" w:rsidRPr="0055415C" w:rsidRDefault="0055415C" w:rsidP="00AD309C">
            <w:pPr>
              <w:pStyle w:val="ListParagraph"/>
              <w:numPr>
                <w:ilvl w:val="0"/>
                <w:numId w:val="118"/>
              </w:numPr>
              <w:spacing w:after="120" w:line="264" w:lineRule="auto"/>
              <w:rPr>
                <w:b/>
                <w:bCs/>
              </w:rPr>
            </w:pPr>
            <w:r w:rsidRPr="0055415C">
              <w:t xml:space="preserve">The clinical record is missing dose, route, </w:t>
            </w:r>
            <w:r w:rsidRPr="0055415C">
              <w:rPr>
                <w:b/>
                <w:bCs/>
                <w:u w:val="single"/>
              </w:rPr>
              <w:t>or</w:t>
            </w:r>
            <w:r w:rsidRPr="0055415C">
              <w:t xml:space="preserve"> frequency for a home medication</w:t>
            </w:r>
          </w:p>
        </w:tc>
      </w:tr>
      <w:tr w:rsidR="00297958" w:rsidRPr="009A5185" w14:paraId="7494FD21" w14:textId="77777777" w:rsidTr="00253C74">
        <w:trPr>
          <w:trHeight w:val="20"/>
        </w:trPr>
        <w:tc>
          <w:tcPr>
            <w:tcW w:w="9562" w:type="dxa"/>
            <w:vAlign w:val="center"/>
          </w:tcPr>
          <w:p w14:paraId="15825112" w14:textId="2CF75279" w:rsidR="00297958" w:rsidRPr="009B3264" w:rsidRDefault="00297958" w:rsidP="00764EEA">
            <w:pPr>
              <w:autoSpaceDE w:val="0"/>
              <w:autoSpaceDN w:val="0"/>
              <w:adjustRightInd w:val="0"/>
              <w:rPr>
                <w:rFonts w:cs="Arial"/>
                <w:b/>
                <w:bCs/>
              </w:rPr>
            </w:pPr>
            <w:bookmarkStart w:id="826" w:name="medadminvisits_q5"/>
            <w:bookmarkEnd w:id="826"/>
            <w:r w:rsidRPr="009B3264">
              <w:rPr>
                <w:rFonts w:cs="Arial"/>
                <w:b/>
                <w:bCs/>
              </w:rPr>
              <w:lastRenderedPageBreak/>
              <w:t xml:space="preserve">Question #5 (numerator): </w:t>
            </w:r>
            <w:r w:rsidRPr="009B3264">
              <w:rPr>
                <w:rFonts w:cs="Arial"/>
                <w:bCs/>
              </w:rPr>
              <w:t xml:space="preserve">Number of cases in question #3 with a list of </w:t>
            </w:r>
            <w:r w:rsidR="00A745AF" w:rsidRPr="009B3264">
              <w:rPr>
                <w:rFonts w:cs="Arial"/>
                <w:b/>
                <w:bCs/>
              </w:rPr>
              <w:t>all medication(s) administered during the visit</w:t>
            </w:r>
            <w:r w:rsidR="00A745AF">
              <w:rPr>
                <w:rFonts w:cs="Arial"/>
                <w:b/>
                <w:bCs/>
              </w:rPr>
              <w:t xml:space="preserve"> </w:t>
            </w:r>
            <w:r w:rsidR="00000DD1">
              <w:rPr>
                <w:rFonts w:cs="Arial"/>
                <w:b/>
                <w:bCs/>
              </w:rPr>
              <w:t>and</w:t>
            </w:r>
            <w:r w:rsidR="00A745AF">
              <w:rPr>
                <w:rFonts w:cs="Arial"/>
                <w:b/>
                <w:bCs/>
              </w:rPr>
              <w:t xml:space="preserve"> </w:t>
            </w:r>
            <w:r w:rsidR="00BB7F27">
              <w:rPr>
                <w:rFonts w:cs="Arial"/>
                <w:b/>
                <w:bCs/>
              </w:rPr>
              <w:t xml:space="preserve">new medications </w:t>
            </w:r>
            <w:r w:rsidR="00A745AF" w:rsidRPr="009B3264">
              <w:rPr>
                <w:rFonts w:cs="Arial"/>
                <w:b/>
                <w:bCs/>
              </w:rPr>
              <w:t xml:space="preserve">prescribed </w:t>
            </w:r>
            <w:r w:rsidR="00A745AF">
              <w:rPr>
                <w:rFonts w:cs="Arial"/>
                <w:b/>
                <w:bCs/>
              </w:rPr>
              <w:t xml:space="preserve">at discharge, </w:t>
            </w:r>
            <w:r w:rsidRPr="009B3264">
              <w:rPr>
                <w:rFonts w:cs="Arial"/>
                <w:bCs/>
              </w:rPr>
              <w:t>including the strength, dose, route, date, and time of administration, documented in the clinical record.</w:t>
            </w:r>
          </w:p>
          <w:p w14:paraId="436CD9D5" w14:textId="77777777" w:rsidR="00297958" w:rsidRPr="009B3264" w:rsidRDefault="00297958" w:rsidP="00764EEA">
            <w:pPr>
              <w:autoSpaceDE w:val="0"/>
              <w:autoSpaceDN w:val="0"/>
              <w:adjustRightInd w:val="0"/>
              <w:rPr>
                <w:rFonts w:cs="Arial"/>
                <w:b/>
                <w:bCs/>
              </w:rPr>
            </w:pPr>
          </w:p>
          <w:p w14:paraId="41EDA65B" w14:textId="1FB613D2" w:rsidR="00297958" w:rsidRPr="009B3264" w:rsidRDefault="00297958" w:rsidP="00764EEA">
            <w:pPr>
              <w:autoSpaceDE w:val="0"/>
              <w:autoSpaceDN w:val="0"/>
              <w:adjustRightInd w:val="0"/>
              <w:rPr>
                <w:rFonts w:cs="Arial"/>
              </w:rPr>
            </w:pPr>
            <w:r w:rsidRPr="009B3264">
              <w:rPr>
                <w:rFonts w:cs="Arial"/>
              </w:rPr>
              <w:t xml:space="preserve">Determine the total number of clinical records included in the audit (question #3), where a list of </w:t>
            </w:r>
            <w:r w:rsidR="008525CC" w:rsidRPr="009B3264">
              <w:rPr>
                <w:rFonts w:cs="Arial"/>
              </w:rPr>
              <w:t>all</w:t>
            </w:r>
            <w:r w:rsidRPr="009B3264">
              <w:rPr>
                <w:rFonts w:cs="Arial"/>
              </w:rPr>
              <w:t xml:space="preserve"> medication(s) </w:t>
            </w:r>
            <w:r w:rsidR="00A745AF">
              <w:rPr>
                <w:rFonts w:cs="Arial"/>
              </w:rPr>
              <w:t xml:space="preserve">administered during the visit </w:t>
            </w:r>
            <w:r w:rsidR="00853585">
              <w:rPr>
                <w:rFonts w:cs="Arial"/>
              </w:rPr>
              <w:t>and</w:t>
            </w:r>
            <w:r w:rsidR="00A745AF">
              <w:rPr>
                <w:rFonts w:cs="Arial"/>
              </w:rPr>
              <w:t xml:space="preserve"> new</w:t>
            </w:r>
            <w:r w:rsidR="006469CC">
              <w:rPr>
                <w:rFonts w:cs="Arial"/>
              </w:rPr>
              <w:t xml:space="preserve"> medications </w:t>
            </w:r>
            <w:r w:rsidRPr="009B3264">
              <w:rPr>
                <w:rFonts w:cs="Arial"/>
              </w:rPr>
              <w:t>prescribe</w:t>
            </w:r>
            <w:r w:rsidR="008A4088" w:rsidRPr="009B3264">
              <w:rPr>
                <w:rFonts w:cs="Arial"/>
              </w:rPr>
              <w:t xml:space="preserve">d </w:t>
            </w:r>
            <w:r w:rsidR="000B00E5">
              <w:rPr>
                <w:rFonts w:cs="Arial"/>
              </w:rPr>
              <w:t>at discharge</w:t>
            </w:r>
            <w:r w:rsidR="002B46DA">
              <w:rPr>
                <w:rFonts w:cs="Arial"/>
              </w:rPr>
              <w:t>,</w:t>
            </w:r>
            <w:r w:rsidRPr="009B3264">
              <w:rPr>
                <w:rFonts w:cs="Arial"/>
              </w:rPr>
              <w:t xml:space="preserve"> including the strength, dose, route, date, and time of administration, was documented in the clinical record on the day of the procedure.</w:t>
            </w:r>
            <w:r w:rsidR="00614665" w:rsidRPr="009B3264">
              <w:rPr>
                <w:rFonts w:cs="Arial"/>
              </w:rPr>
              <w:t xml:space="preserve"> </w:t>
            </w:r>
          </w:p>
          <w:p w14:paraId="4F52CA06" w14:textId="361D2338" w:rsidR="00CF67E0" w:rsidRPr="009B3264" w:rsidRDefault="00CF67E0" w:rsidP="00764EEA">
            <w:pPr>
              <w:autoSpaceDE w:val="0"/>
              <w:autoSpaceDN w:val="0"/>
              <w:adjustRightInd w:val="0"/>
              <w:rPr>
                <w:rFonts w:cs="Arial"/>
                <w:b/>
                <w:bCs/>
              </w:rPr>
            </w:pPr>
          </w:p>
          <w:p w14:paraId="16DCE96C" w14:textId="5376E6C5" w:rsidR="00CF67E0" w:rsidRDefault="00E51E15" w:rsidP="00764EEA">
            <w:pPr>
              <w:autoSpaceDE w:val="0"/>
              <w:autoSpaceDN w:val="0"/>
              <w:adjustRightInd w:val="0"/>
            </w:pPr>
            <w:r w:rsidRPr="009B3264">
              <w:t>Local, regional, and general anesthesia medications</w:t>
            </w:r>
            <w:r w:rsidR="00CF67E0" w:rsidRPr="009B3264">
              <w:t xml:space="preserve"> must only have </w:t>
            </w:r>
            <w:r w:rsidR="00CF67E0" w:rsidRPr="009B3264">
              <w:rPr>
                <w:b/>
                <w:bCs/>
              </w:rPr>
              <w:t>total dose, date, and time of administration</w:t>
            </w:r>
            <w:r w:rsidR="00CF67E0" w:rsidRPr="009B3264">
              <w:t xml:space="preserve"> documented in the clinical record to be considered complete.</w:t>
            </w:r>
            <w:r w:rsidRPr="009B3264">
              <w:t xml:space="preserve"> </w:t>
            </w:r>
          </w:p>
          <w:p w14:paraId="71DE5853" w14:textId="77777777" w:rsidR="000412F3" w:rsidRDefault="000412F3" w:rsidP="00764EEA">
            <w:pPr>
              <w:autoSpaceDE w:val="0"/>
              <w:autoSpaceDN w:val="0"/>
              <w:adjustRightInd w:val="0"/>
            </w:pPr>
          </w:p>
          <w:p w14:paraId="6D69E07F" w14:textId="627ABCA3" w:rsidR="000412F3" w:rsidRPr="009B3264" w:rsidRDefault="000412F3" w:rsidP="00764EEA">
            <w:pPr>
              <w:autoSpaceDE w:val="0"/>
              <w:autoSpaceDN w:val="0"/>
              <w:adjustRightInd w:val="0"/>
            </w:pPr>
            <w:r w:rsidRPr="000412F3">
              <w:t xml:space="preserve">Lidocaine jelly only needs to have </w:t>
            </w:r>
            <w:r w:rsidRPr="000412F3">
              <w:rPr>
                <w:b/>
                <w:bCs/>
              </w:rPr>
              <w:t>strength, date, and time of administration</w:t>
            </w:r>
            <w:r w:rsidRPr="000412F3">
              <w:t xml:space="preserve"> documented in the clinical record to be considered complete.</w:t>
            </w:r>
          </w:p>
          <w:p w14:paraId="35939906" w14:textId="7A6259E3" w:rsidR="008A4088" w:rsidRPr="009B3264" w:rsidRDefault="008A4088" w:rsidP="00764EEA">
            <w:pPr>
              <w:autoSpaceDE w:val="0"/>
              <w:autoSpaceDN w:val="0"/>
              <w:adjustRightInd w:val="0"/>
            </w:pPr>
          </w:p>
          <w:p w14:paraId="2A1F4A15" w14:textId="19932244" w:rsidR="008A4088" w:rsidRDefault="008A4088" w:rsidP="00764EEA">
            <w:pPr>
              <w:autoSpaceDE w:val="0"/>
              <w:autoSpaceDN w:val="0"/>
              <w:adjustRightInd w:val="0"/>
              <w:rPr>
                <w:rFonts w:cs="Arial"/>
                <w:shd w:val="clear" w:color="auto" w:fill="FFFFFF"/>
              </w:rPr>
            </w:pPr>
            <w:r w:rsidRPr="009B3264">
              <w:rPr>
                <w:rFonts w:cs="Arial"/>
                <w:shd w:val="clear" w:color="auto" w:fill="FFFFFF"/>
              </w:rPr>
              <w:t xml:space="preserve">IV solutions must have </w:t>
            </w:r>
            <w:r w:rsidRPr="009B3264">
              <w:rPr>
                <w:rFonts w:cs="Arial"/>
                <w:b/>
                <w:bCs/>
                <w:shd w:val="clear" w:color="auto" w:fill="FFFFFF"/>
              </w:rPr>
              <w:t xml:space="preserve">strength, dose, route, date, and time of administration </w:t>
            </w:r>
            <w:r w:rsidRPr="009B3264">
              <w:rPr>
                <w:rFonts w:cs="Arial"/>
                <w:shd w:val="clear" w:color="auto" w:fill="FFFFFF"/>
              </w:rPr>
              <w:t>documented in the clinical record to be considered complete. However, if the IV solution only comes in one concentration/strength (such as the LR Injection), the strength can be entered as N/A and the start time and volume of the bag can be documented for dose in order to be considered complete.</w:t>
            </w:r>
          </w:p>
          <w:p w14:paraId="6D9D1B72" w14:textId="4448A7E2" w:rsidR="00BF76B5" w:rsidRPr="009B3264" w:rsidRDefault="00BF76B5" w:rsidP="00764EEA">
            <w:pPr>
              <w:autoSpaceDE w:val="0"/>
              <w:autoSpaceDN w:val="0"/>
              <w:adjustRightInd w:val="0"/>
              <w:rPr>
                <w:rFonts w:cs="Arial"/>
                <w:b/>
                <w:bCs/>
                <w:shd w:val="clear" w:color="auto" w:fill="FFFFFF"/>
              </w:rPr>
            </w:pPr>
          </w:p>
          <w:p w14:paraId="7BEBC892" w14:textId="6B1619B2" w:rsidR="00BF76B5" w:rsidRPr="009B3264" w:rsidRDefault="002B46DA" w:rsidP="00764EEA">
            <w:pPr>
              <w:autoSpaceDE w:val="0"/>
              <w:autoSpaceDN w:val="0"/>
              <w:adjustRightInd w:val="0"/>
              <w:rPr>
                <w:rFonts w:cs="Arial"/>
              </w:rPr>
            </w:pPr>
            <w:r>
              <w:rPr>
                <w:rFonts w:cs="Arial"/>
              </w:rPr>
              <w:t>New m</w:t>
            </w:r>
            <w:r w:rsidR="00BF76B5" w:rsidRPr="009B3264">
              <w:rPr>
                <w:rFonts w:cs="Arial"/>
              </w:rPr>
              <w:t>edications prescribed</w:t>
            </w:r>
            <w:r w:rsidR="00C16916">
              <w:rPr>
                <w:rFonts w:cs="Arial"/>
              </w:rPr>
              <w:t xml:space="preserve"> at discharge</w:t>
            </w:r>
            <w:r w:rsidR="00BF76B5" w:rsidRPr="009B3264">
              <w:rPr>
                <w:rFonts w:cs="Arial"/>
              </w:rPr>
              <w:t xml:space="preserve">, but not administered at the </w:t>
            </w:r>
            <w:r w:rsidR="00AD079D">
              <w:rPr>
                <w:rFonts w:cs="Arial"/>
              </w:rPr>
              <w:t>hospital</w:t>
            </w:r>
            <w:r w:rsidR="00BF76B5" w:rsidRPr="009B3264">
              <w:rPr>
                <w:rFonts w:cs="Arial"/>
              </w:rPr>
              <w:t xml:space="preserve"> must only have </w:t>
            </w:r>
            <w:r w:rsidR="00BF76B5" w:rsidRPr="00B546B5">
              <w:rPr>
                <w:rFonts w:cs="Arial"/>
                <w:b/>
                <w:bCs/>
              </w:rPr>
              <w:t>strength, dose, route, and date</w:t>
            </w:r>
            <w:r w:rsidR="00BF76B5" w:rsidRPr="009B3264">
              <w:rPr>
                <w:rFonts w:cs="Arial"/>
              </w:rPr>
              <w:t xml:space="preserve"> </w:t>
            </w:r>
            <w:r w:rsidR="00A745AF" w:rsidRPr="00753419">
              <w:rPr>
                <w:rFonts w:cs="Arial"/>
                <w:b/>
                <w:bCs/>
              </w:rPr>
              <w:t>the medication was prescribed</w:t>
            </w:r>
            <w:r w:rsidR="00A745AF">
              <w:rPr>
                <w:rFonts w:cs="Arial"/>
              </w:rPr>
              <w:t xml:space="preserve"> </w:t>
            </w:r>
            <w:r w:rsidR="00BF76B5" w:rsidRPr="009B3264">
              <w:rPr>
                <w:rFonts w:cs="Arial"/>
              </w:rPr>
              <w:t xml:space="preserve">documented in the clinical record to be considered complete. </w:t>
            </w:r>
          </w:p>
          <w:p w14:paraId="325D517C" w14:textId="77777777" w:rsidR="00BF76B5" w:rsidRPr="009B3264" w:rsidRDefault="00BF76B5" w:rsidP="00764EEA">
            <w:pPr>
              <w:autoSpaceDE w:val="0"/>
              <w:autoSpaceDN w:val="0"/>
              <w:adjustRightInd w:val="0"/>
              <w:rPr>
                <w:rFonts w:cs="Arial"/>
                <w:b/>
                <w:bCs/>
                <w:shd w:val="clear" w:color="auto" w:fill="FFFFFF"/>
              </w:rPr>
            </w:pPr>
          </w:p>
          <w:p w14:paraId="7147B073" w14:textId="77777777" w:rsidR="00BF76B5" w:rsidRPr="009B3264" w:rsidRDefault="00BF76B5" w:rsidP="00764EEA">
            <w:pPr>
              <w:autoSpaceDE w:val="0"/>
              <w:autoSpaceDN w:val="0"/>
              <w:adjustRightInd w:val="0"/>
              <w:rPr>
                <w:rFonts w:cs="Arial"/>
              </w:rPr>
            </w:pPr>
            <w:r w:rsidRPr="009B3264">
              <w:rPr>
                <w:rFonts w:cs="Arial"/>
                <w:b/>
                <w:bCs/>
              </w:rPr>
              <w:t xml:space="preserve">Excluded cases: </w:t>
            </w:r>
          </w:p>
          <w:p w14:paraId="42A82B1F" w14:textId="2F6B84C6" w:rsidR="009B3264" w:rsidRPr="009B3264" w:rsidRDefault="00BF76B5" w:rsidP="00AD309C">
            <w:pPr>
              <w:pStyle w:val="ListParagraph"/>
              <w:numPr>
                <w:ilvl w:val="0"/>
                <w:numId w:val="154"/>
              </w:numPr>
              <w:autoSpaceDE w:val="0"/>
              <w:autoSpaceDN w:val="0"/>
              <w:adjustRightInd w:val="0"/>
              <w:spacing w:after="120" w:line="264" w:lineRule="auto"/>
              <w:rPr>
                <w:rFonts w:cs="Arial"/>
              </w:rPr>
            </w:pPr>
            <w:r w:rsidRPr="009B3264">
              <w:rPr>
                <w:rFonts w:cs="Arial"/>
              </w:rPr>
              <w:t>The clinical record is missing a medication that was administered or prescribed during the visit</w:t>
            </w:r>
            <w:r w:rsidR="00C16916">
              <w:rPr>
                <w:rFonts w:cs="Arial"/>
              </w:rPr>
              <w:t xml:space="preserve"> or at discharge</w:t>
            </w:r>
            <w:r w:rsidRPr="009B3264">
              <w:rPr>
                <w:rFonts w:cs="Arial"/>
              </w:rPr>
              <w:t>.</w:t>
            </w:r>
          </w:p>
          <w:p w14:paraId="5513D310" w14:textId="406A264A" w:rsidR="00A745AF" w:rsidRPr="000412F3" w:rsidRDefault="00BF76B5" w:rsidP="000412F3">
            <w:pPr>
              <w:pStyle w:val="ListParagraph"/>
              <w:numPr>
                <w:ilvl w:val="0"/>
                <w:numId w:val="154"/>
              </w:numPr>
              <w:autoSpaceDE w:val="0"/>
              <w:autoSpaceDN w:val="0"/>
              <w:adjustRightInd w:val="0"/>
              <w:spacing w:after="120" w:line="264" w:lineRule="auto"/>
              <w:rPr>
                <w:rFonts w:cs="Arial"/>
              </w:rPr>
            </w:pPr>
            <w:r w:rsidRPr="009B3264">
              <w:rPr>
                <w:rFonts w:cs="Arial"/>
              </w:rPr>
              <w:t>The clinical record is missing strength, dose</w:t>
            </w:r>
            <w:r w:rsidR="00AC078E">
              <w:rPr>
                <w:rFonts w:cs="Arial"/>
              </w:rPr>
              <w:t>,</w:t>
            </w:r>
            <w:r w:rsidRPr="009B3264">
              <w:rPr>
                <w:rFonts w:cs="Arial"/>
              </w:rPr>
              <w:t xml:space="preserve"> route, date, </w:t>
            </w:r>
            <w:r w:rsidRPr="009B3264">
              <w:rPr>
                <w:rFonts w:cs="Arial"/>
                <w:b/>
                <w:bCs/>
                <w:u w:val="single"/>
              </w:rPr>
              <w:t>or</w:t>
            </w:r>
            <w:r w:rsidRPr="009B3264">
              <w:rPr>
                <w:rFonts w:cs="Arial"/>
              </w:rPr>
              <w:t xml:space="preserve"> time of administration for a medication administered or prescribed during the visit </w:t>
            </w:r>
            <w:r w:rsidR="00C16916">
              <w:rPr>
                <w:rFonts w:cs="Arial"/>
              </w:rPr>
              <w:t xml:space="preserve">or at discharge </w:t>
            </w:r>
            <w:r w:rsidRPr="009B3264">
              <w:rPr>
                <w:rFonts w:cs="Arial"/>
              </w:rPr>
              <w:t>except as described above for anesthesia medications, IV solutions, and prescribed medications.</w:t>
            </w:r>
          </w:p>
        </w:tc>
      </w:tr>
      <w:tr w:rsidR="00297958" w:rsidRPr="009A5185" w14:paraId="0B766C83" w14:textId="77777777" w:rsidTr="00297958">
        <w:tc>
          <w:tcPr>
            <w:tcW w:w="9562" w:type="dxa"/>
            <w:vAlign w:val="center"/>
          </w:tcPr>
          <w:p w14:paraId="12BFBF8C" w14:textId="69E21AFE" w:rsidR="00297958" w:rsidRPr="009B3264" w:rsidRDefault="00297958" w:rsidP="00CA75AB">
            <w:pPr>
              <w:autoSpaceDE w:val="0"/>
              <w:autoSpaceDN w:val="0"/>
              <w:adjustRightInd w:val="0"/>
              <w:rPr>
                <w:rFonts w:cs="Arial"/>
                <w:b/>
                <w:bCs/>
              </w:rPr>
            </w:pPr>
            <w:bookmarkStart w:id="827" w:name="medadverse_q6"/>
            <w:bookmarkEnd w:id="827"/>
            <w:r w:rsidRPr="009B3264">
              <w:rPr>
                <w:rFonts w:cs="Arial"/>
                <w:b/>
                <w:bCs/>
              </w:rPr>
              <w:t xml:space="preserve">Question #6 (numerator): </w:t>
            </w:r>
            <w:r w:rsidRPr="009B3264">
              <w:rPr>
                <w:rFonts w:cs="Arial"/>
                <w:bCs/>
              </w:rPr>
              <w:t xml:space="preserve">Number of cases in question #3 with a list of </w:t>
            </w:r>
            <w:r w:rsidR="008525CC" w:rsidRPr="009B3264">
              <w:rPr>
                <w:rFonts w:cs="Arial"/>
                <w:b/>
                <w:bCs/>
              </w:rPr>
              <w:t>all</w:t>
            </w:r>
            <w:r w:rsidR="008525CC" w:rsidRPr="009B3264">
              <w:rPr>
                <w:rFonts w:cs="Arial"/>
                <w:b/>
              </w:rPr>
              <w:t xml:space="preserve"> </w:t>
            </w:r>
            <w:r w:rsidR="00B07FED" w:rsidRPr="009B3264">
              <w:rPr>
                <w:rFonts w:cs="Arial"/>
                <w:b/>
              </w:rPr>
              <w:t xml:space="preserve">medication </w:t>
            </w:r>
            <w:r w:rsidRPr="009B3264">
              <w:rPr>
                <w:rFonts w:cs="Arial"/>
                <w:b/>
                <w:bCs/>
              </w:rPr>
              <w:t>allergies and adverse reaction</w:t>
            </w:r>
            <w:r w:rsidR="003E5B82" w:rsidRPr="009B3264">
              <w:rPr>
                <w:rFonts w:cs="Arial"/>
                <w:b/>
                <w:bCs/>
              </w:rPr>
              <w:t>(s)</w:t>
            </w:r>
            <w:r w:rsidRPr="009B3264">
              <w:rPr>
                <w:rFonts w:cs="Arial"/>
                <w:bCs/>
              </w:rPr>
              <w:t xml:space="preserve"> documented in the clinical record.</w:t>
            </w:r>
          </w:p>
          <w:p w14:paraId="61240858" w14:textId="77777777" w:rsidR="00297958" w:rsidRPr="009B3264" w:rsidRDefault="00297958" w:rsidP="00CA75AB">
            <w:pPr>
              <w:autoSpaceDE w:val="0"/>
              <w:autoSpaceDN w:val="0"/>
              <w:adjustRightInd w:val="0"/>
              <w:rPr>
                <w:rFonts w:cs="Arial"/>
                <w:b/>
                <w:bCs/>
              </w:rPr>
            </w:pPr>
          </w:p>
          <w:p w14:paraId="3E60F16F" w14:textId="155E972C" w:rsidR="00297958" w:rsidRPr="009B3264" w:rsidRDefault="00297958" w:rsidP="00CA75AB">
            <w:pPr>
              <w:autoSpaceDE w:val="0"/>
              <w:autoSpaceDN w:val="0"/>
              <w:adjustRightInd w:val="0"/>
              <w:rPr>
                <w:rFonts w:cs="Arial"/>
              </w:rPr>
            </w:pPr>
            <w:r w:rsidRPr="009B3264">
              <w:rPr>
                <w:rFonts w:cs="Arial"/>
                <w:bCs/>
              </w:rPr>
              <w:t xml:space="preserve">Determine the total number of clinical records included in the audit (question #3), where a list </w:t>
            </w:r>
            <w:r w:rsidRPr="009B3264">
              <w:rPr>
                <w:rFonts w:cs="Arial"/>
              </w:rPr>
              <w:t>of</w:t>
            </w:r>
            <w:r w:rsidR="008525CC" w:rsidRPr="009B3264">
              <w:rPr>
                <w:rFonts w:cs="Arial"/>
              </w:rPr>
              <w:t xml:space="preserve"> all</w:t>
            </w:r>
            <w:r w:rsidRPr="009B3264">
              <w:rPr>
                <w:rFonts w:cs="Arial"/>
              </w:rPr>
              <w:t xml:space="preserve"> </w:t>
            </w:r>
            <w:r w:rsidR="00396C77" w:rsidRPr="009B3264">
              <w:rPr>
                <w:rFonts w:cs="Arial"/>
              </w:rPr>
              <w:t xml:space="preserve">medication </w:t>
            </w:r>
            <w:r w:rsidRPr="009B3264">
              <w:rPr>
                <w:rFonts w:cs="Arial"/>
              </w:rPr>
              <w:t>allergies and adverse reaction</w:t>
            </w:r>
            <w:r w:rsidR="00BC5FED" w:rsidRPr="009B3264">
              <w:rPr>
                <w:rFonts w:cs="Arial"/>
              </w:rPr>
              <w:t xml:space="preserve">(s) </w:t>
            </w:r>
            <w:r w:rsidRPr="009B3264">
              <w:rPr>
                <w:rFonts w:cs="Arial"/>
              </w:rPr>
              <w:t xml:space="preserve">was documented in the clinical record. </w:t>
            </w:r>
            <w:r w:rsidR="00614665" w:rsidRPr="009B3264">
              <w:rPr>
                <w:rFonts w:cs="Arial"/>
              </w:rPr>
              <w:t>Hospitals should only assess medication allergies (</w:t>
            </w:r>
            <w:r w:rsidR="00396C77" w:rsidRPr="009B3264">
              <w:rPr>
                <w:rFonts w:cs="Arial"/>
              </w:rPr>
              <w:t>i.e.,</w:t>
            </w:r>
            <w:r w:rsidR="00614665" w:rsidRPr="009B3264">
              <w:rPr>
                <w:rFonts w:cs="Arial"/>
              </w:rPr>
              <w:t xml:space="preserve"> hospitals do </w:t>
            </w:r>
            <w:r w:rsidR="00614665" w:rsidRPr="009B3264">
              <w:rPr>
                <w:rFonts w:cs="Arial"/>
                <w:u w:val="single"/>
              </w:rPr>
              <w:t>not</w:t>
            </w:r>
            <w:r w:rsidR="00614665" w:rsidRPr="009B3264">
              <w:rPr>
                <w:rFonts w:cs="Arial"/>
              </w:rPr>
              <w:t xml:space="preserve"> need to assess food or environmental allergies).</w:t>
            </w:r>
          </w:p>
          <w:p w14:paraId="281B0485" w14:textId="77777777" w:rsidR="00297958" w:rsidRPr="009B3264" w:rsidRDefault="00297958" w:rsidP="00CA75AB">
            <w:pPr>
              <w:autoSpaceDE w:val="0"/>
              <w:autoSpaceDN w:val="0"/>
              <w:adjustRightInd w:val="0"/>
              <w:rPr>
                <w:rFonts w:cs="Arial"/>
              </w:rPr>
            </w:pPr>
          </w:p>
          <w:p w14:paraId="2F8929F3" w14:textId="77777777" w:rsidR="00297958" w:rsidRPr="009B3264" w:rsidRDefault="00297958" w:rsidP="00CA75AB">
            <w:pPr>
              <w:autoSpaceDE w:val="0"/>
              <w:autoSpaceDN w:val="0"/>
              <w:adjustRightInd w:val="0"/>
              <w:rPr>
                <w:rFonts w:cs="Arial"/>
                <w:b/>
              </w:rPr>
            </w:pPr>
            <w:r w:rsidRPr="009B3264">
              <w:rPr>
                <w:rFonts w:cs="Arial"/>
                <w:b/>
              </w:rPr>
              <w:t>Included cases:</w:t>
            </w:r>
          </w:p>
          <w:p w14:paraId="76FFCCD9" w14:textId="59913324" w:rsidR="00297958" w:rsidRPr="00753419" w:rsidRDefault="00297958" w:rsidP="00AD309C">
            <w:pPr>
              <w:pStyle w:val="ListParagraph"/>
              <w:numPr>
                <w:ilvl w:val="0"/>
                <w:numId w:val="119"/>
              </w:numPr>
              <w:autoSpaceDE w:val="0"/>
              <w:autoSpaceDN w:val="0"/>
              <w:adjustRightInd w:val="0"/>
              <w:spacing w:after="120" w:line="264" w:lineRule="auto"/>
              <w:rPr>
                <w:rFonts w:cs="Arial"/>
              </w:rPr>
            </w:pPr>
            <w:r w:rsidRPr="009B3264">
              <w:rPr>
                <w:rFonts w:cs="Arial"/>
              </w:rPr>
              <w:t>The clinical record includes documentation that the patient reported no known allergies.</w:t>
            </w:r>
          </w:p>
          <w:p w14:paraId="4E62871C" w14:textId="77777777" w:rsidR="00297958" w:rsidRPr="009B3264" w:rsidRDefault="00297958" w:rsidP="00CA75AB">
            <w:pPr>
              <w:autoSpaceDE w:val="0"/>
              <w:autoSpaceDN w:val="0"/>
              <w:adjustRightInd w:val="0"/>
              <w:rPr>
                <w:rFonts w:cs="Arial"/>
                <w:b/>
              </w:rPr>
            </w:pPr>
            <w:r w:rsidRPr="009B3264">
              <w:rPr>
                <w:rFonts w:cs="Arial"/>
                <w:b/>
              </w:rPr>
              <w:t xml:space="preserve">Excluded cases: </w:t>
            </w:r>
          </w:p>
          <w:p w14:paraId="34E614C4" w14:textId="67D5D8AC" w:rsidR="00297958" w:rsidRPr="009B3264" w:rsidRDefault="00297958" w:rsidP="00AD309C">
            <w:pPr>
              <w:pStyle w:val="ListParagraph"/>
              <w:numPr>
                <w:ilvl w:val="0"/>
                <w:numId w:val="119"/>
              </w:numPr>
              <w:autoSpaceDE w:val="0"/>
              <w:autoSpaceDN w:val="0"/>
              <w:adjustRightInd w:val="0"/>
              <w:spacing w:after="120" w:line="264" w:lineRule="auto"/>
              <w:rPr>
                <w:rFonts w:cs="Arial"/>
              </w:rPr>
            </w:pPr>
            <w:r w:rsidRPr="009B3264">
              <w:rPr>
                <w:rFonts w:cs="Arial"/>
              </w:rPr>
              <w:lastRenderedPageBreak/>
              <w:t xml:space="preserve">The clinical record does </w:t>
            </w:r>
            <w:r w:rsidRPr="009B3264">
              <w:rPr>
                <w:rFonts w:cs="Arial"/>
                <w:b/>
              </w:rPr>
              <w:t>not</w:t>
            </w:r>
            <w:r w:rsidRPr="009B3264">
              <w:rPr>
                <w:rFonts w:cs="Arial"/>
              </w:rPr>
              <w:t xml:space="preserve"> include either a list of allergies and adverse reaction</w:t>
            </w:r>
            <w:r w:rsidR="003E5B82" w:rsidRPr="009B3264">
              <w:rPr>
                <w:rFonts w:cs="Arial"/>
              </w:rPr>
              <w:t>(s)</w:t>
            </w:r>
            <w:r w:rsidRPr="009B3264">
              <w:rPr>
                <w:rFonts w:cs="Arial"/>
              </w:rPr>
              <w:t xml:space="preserve"> </w:t>
            </w:r>
            <w:r w:rsidRPr="009B3264">
              <w:rPr>
                <w:rFonts w:cs="Arial"/>
                <w:b/>
                <w:u w:val="single"/>
              </w:rPr>
              <w:t>nor</w:t>
            </w:r>
            <w:r w:rsidRPr="009B3264">
              <w:rPr>
                <w:rFonts w:cs="Arial"/>
                <w:u w:val="single"/>
              </w:rPr>
              <w:t xml:space="preserve"> </w:t>
            </w:r>
            <w:r w:rsidRPr="009B3264">
              <w:rPr>
                <w:rFonts w:cs="Arial"/>
              </w:rPr>
              <w:t xml:space="preserve">documentation of no known allergies. </w:t>
            </w:r>
          </w:p>
          <w:p w14:paraId="74DB6E18" w14:textId="77777777" w:rsidR="00297958" w:rsidRPr="009B3264" w:rsidRDefault="00297958" w:rsidP="00AD309C">
            <w:pPr>
              <w:pStyle w:val="ListParagraph"/>
              <w:numPr>
                <w:ilvl w:val="0"/>
                <w:numId w:val="119"/>
              </w:numPr>
              <w:autoSpaceDE w:val="0"/>
              <w:autoSpaceDN w:val="0"/>
              <w:adjustRightInd w:val="0"/>
              <w:spacing w:after="120" w:line="264" w:lineRule="auto"/>
              <w:rPr>
                <w:rFonts w:cs="Arial"/>
              </w:rPr>
            </w:pPr>
            <w:r w:rsidRPr="009B3264">
              <w:rPr>
                <w:rFonts w:cs="Arial"/>
              </w:rPr>
              <w:t>The clinical record does include a list of allergies but does not include documentation of the adverse reaction</w:t>
            </w:r>
            <w:r w:rsidR="003E5B82" w:rsidRPr="009B3264">
              <w:rPr>
                <w:rFonts w:cs="Arial"/>
              </w:rPr>
              <w:t xml:space="preserve">(s) </w:t>
            </w:r>
            <w:r w:rsidRPr="009B3264">
              <w:rPr>
                <w:rFonts w:cs="Arial"/>
              </w:rPr>
              <w:t xml:space="preserve">for each allergy. </w:t>
            </w:r>
          </w:p>
          <w:p w14:paraId="173A991D" w14:textId="055C3B8A" w:rsidR="00614665" w:rsidRPr="009B3264" w:rsidRDefault="00614665" w:rsidP="00614665">
            <w:r w:rsidRPr="009B3264">
              <w:rPr>
                <w:b/>
                <w:bCs/>
              </w:rPr>
              <w:t>Important Note:</w:t>
            </w:r>
            <w:r w:rsidRPr="009B3264">
              <w:t xml:space="preserve"> In addressing allergies and adverse reaction statuses noted as “unknown” in the clinical record, </w:t>
            </w:r>
            <w:r w:rsidR="00396C77" w:rsidRPr="009B3264">
              <w:t>hospitals</w:t>
            </w:r>
            <w:r w:rsidRPr="009B3264">
              <w:t xml:space="preserve"> should assess if:</w:t>
            </w:r>
          </w:p>
          <w:p w14:paraId="3E10BE88" w14:textId="0126C855" w:rsidR="00614665" w:rsidRPr="009B3264" w:rsidRDefault="00614665" w:rsidP="00AD309C">
            <w:pPr>
              <w:pStyle w:val="ListParagraph"/>
              <w:numPr>
                <w:ilvl w:val="1"/>
                <w:numId w:val="33"/>
              </w:numPr>
            </w:pPr>
            <w:r w:rsidRPr="009B3264">
              <w:t xml:space="preserve">“unknown” is used to indicate that the patient (or patient’s family) was asked for the adverse reaction status, but they indicated it was not known, in which situation the case should be </w:t>
            </w:r>
            <w:r w:rsidRPr="00A745AF">
              <w:rPr>
                <w:u w:val="single"/>
              </w:rPr>
              <w:t>included</w:t>
            </w:r>
            <w:r w:rsidRPr="009B3264">
              <w:t xml:space="preserve"> in the numerator (question #6); or </w:t>
            </w:r>
          </w:p>
          <w:p w14:paraId="79B763A3" w14:textId="47E00360" w:rsidR="00614665" w:rsidRPr="00A745AF" w:rsidRDefault="00614665" w:rsidP="00AD309C">
            <w:pPr>
              <w:pStyle w:val="ListParagraph"/>
              <w:numPr>
                <w:ilvl w:val="1"/>
                <w:numId w:val="33"/>
              </w:numPr>
              <w:autoSpaceDE w:val="0"/>
              <w:autoSpaceDN w:val="0"/>
              <w:adjustRightInd w:val="0"/>
              <w:spacing w:after="120" w:line="264" w:lineRule="auto"/>
              <w:rPr>
                <w:rFonts w:cs="Arial"/>
              </w:rPr>
            </w:pPr>
            <w:r w:rsidRPr="009B3264">
              <w:t xml:space="preserve">“unknown” is used in the clinical record to indicate that the information is not available because it was not requested or documented by the clinician, in which situation the case should be </w:t>
            </w:r>
            <w:r w:rsidRPr="00A745AF">
              <w:rPr>
                <w:u w:val="single"/>
              </w:rPr>
              <w:t>excluded</w:t>
            </w:r>
            <w:r w:rsidRPr="009B3264">
              <w:t xml:space="preserve"> from the numerator (question #6)</w:t>
            </w:r>
          </w:p>
        </w:tc>
      </w:tr>
    </w:tbl>
    <w:p w14:paraId="592DA0A6" w14:textId="7F703A0F" w:rsidR="00297958" w:rsidRDefault="00297958" w:rsidP="00297958">
      <w:pPr>
        <w:rPr>
          <w:lang w:eastAsia="ja-JP"/>
        </w:rPr>
      </w:pPr>
    </w:p>
    <w:p w14:paraId="43912907" w14:textId="262A8E48" w:rsidR="00AC078E" w:rsidRPr="000F47B4" w:rsidRDefault="00EB3E85">
      <w:r w:rsidRPr="00222413">
        <w:rPr>
          <w:lang w:eastAsia="ja-JP"/>
        </w:rPr>
        <w:t>See</w:t>
      </w:r>
      <w:r w:rsidRPr="001C2840">
        <w:rPr>
          <w:lang w:eastAsia="ja-JP"/>
        </w:rPr>
        <w:t xml:space="preserve"> </w:t>
      </w:r>
      <w:hyperlink w:anchor="_Medication_Safety_for_3" w:history="1">
        <w:r w:rsidRPr="001C2840">
          <w:rPr>
            <w:rStyle w:val="Hyperlink"/>
            <w:lang w:eastAsia="ja-JP"/>
          </w:rPr>
          <w:t>FAQs</w:t>
        </w:r>
      </w:hyperlink>
      <w:r w:rsidRPr="00222413">
        <w:rPr>
          <w:lang w:eastAsia="ja-JP"/>
        </w:rPr>
        <w:t xml:space="preserve"> for additional information about responding to questions in this section.</w:t>
      </w:r>
      <w:r w:rsidR="00757A30">
        <w:br w:type="page"/>
      </w:r>
      <w:bookmarkStart w:id="828" w:name="_Medication_Safety_for_1"/>
      <w:bookmarkEnd w:id="828"/>
    </w:p>
    <w:p w14:paraId="69349153" w14:textId="2BEB2C5A" w:rsidR="00757A30" w:rsidRDefault="00AB15C8" w:rsidP="00CF5A6E">
      <w:pPr>
        <w:pStyle w:val="Heading2"/>
      </w:pPr>
      <w:bookmarkStart w:id="829" w:name="_Medication_Safety_for_3"/>
      <w:bookmarkStart w:id="830" w:name="_Toc225877871"/>
      <w:bookmarkEnd w:id="829"/>
      <w:r>
        <w:lastRenderedPageBreak/>
        <w:t xml:space="preserve">Section 9E: </w:t>
      </w:r>
      <w:r w:rsidR="00757A30">
        <w:t>Medication Safety for Outpatient Procedures Frequently Asked Questions (FAQs)</w:t>
      </w:r>
      <w:bookmarkEnd w:id="830"/>
    </w:p>
    <w:p w14:paraId="7948896A" w14:textId="77777777" w:rsidR="00A079AD" w:rsidRPr="00A079AD" w:rsidRDefault="00A079AD" w:rsidP="00C47AD5">
      <w:bookmarkStart w:id="831" w:name="MedDocumentation"/>
      <w:bookmarkEnd w:id="831"/>
    </w:p>
    <w:p w14:paraId="604D73AD" w14:textId="63542AE9" w:rsidR="00795BD4" w:rsidRDefault="00795BD4" w:rsidP="00AD309C">
      <w:pPr>
        <w:pStyle w:val="ListParagraph"/>
        <w:numPr>
          <w:ilvl w:val="0"/>
          <w:numId w:val="123"/>
        </w:numPr>
        <w:spacing w:after="120" w:line="264" w:lineRule="auto"/>
        <w:rPr>
          <w:b/>
        </w:rPr>
      </w:pPr>
      <w:r>
        <w:rPr>
          <w:b/>
        </w:rPr>
        <w:t xml:space="preserve">How often do home medications need to be updated in the clinical record for Section </w:t>
      </w:r>
      <w:r w:rsidR="00524BF3">
        <w:rPr>
          <w:b/>
        </w:rPr>
        <w:t>9</w:t>
      </w:r>
      <w:r>
        <w:rPr>
          <w:b/>
        </w:rPr>
        <w:t xml:space="preserve">E question #4? </w:t>
      </w:r>
    </w:p>
    <w:p w14:paraId="27A23AA3" w14:textId="7FE85A44" w:rsidR="00387989" w:rsidRDefault="00387989" w:rsidP="00753419">
      <w:pPr>
        <w:pStyle w:val="ListParagraph"/>
        <w:ind w:left="360"/>
        <w:rPr>
          <w:bCs/>
        </w:rPr>
      </w:pPr>
      <w:r>
        <w:rPr>
          <w:bCs/>
        </w:rPr>
        <w:t>Home medications must be recorded in a pre-screening phone call 1-2 days in advance of the procedure or updated on the day of the clinical procedure (for all procedures included in Section 9C of the 202</w:t>
      </w:r>
      <w:r w:rsidR="00AF4A63">
        <w:rPr>
          <w:bCs/>
        </w:rPr>
        <w:t>6</w:t>
      </w:r>
      <w:r>
        <w:rPr>
          <w:bCs/>
        </w:rPr>
        <w:t xml:space="preserve"> Leapfrog Hospital Survey). </w:t>
      </w:r>
    </w:p>
    <w:p w14:paraId="514ECAFF" w14:textId="77777777" w:rsidR="00795BD4" w:rsidRDefault="00795BD4" w:rsidP="00795BD4">
      <w:pPr>
        <w:pStyle w:val="ListParagraph"/>
        <w:ind w:left="360"/>
        <w:rPr>
          <w:bCs/>
        </w:rPr>
      </w:pPr>
    </w:p>
    <w:p w14:paraId="5C09A85F" w14:textId="0BE556AD" w:rsidR="00795BD4" w:rsidRDefault="00795BD4" w:rsidP="00795BD4">
      <w:pPr>
        <w:pStyle w:val="ListParagraph"/>
        <w:ind w:left="360"/>
        <w:rPr>
          <w:bCs/>
        </w:rPr>
      </w:pPr>
      <w:r>
        <w:rPr>
          <w:bCs/>
        </w:rPr>
        <w:t xml:space="preserve">Patients who are returning for a second or follow-up procedure within 12 months of the initial procedure are not required to have an updated home medication list in their clinical record in order for the record to be counted in the numerator of the home medication audit (i.e., included in the count in question #4). </w:t>
      </w:r>
      <w:r w:rsidR="00A05524">
        <w:rPr>
          <w:bCs/>
        </w:rPr>
        <w:t>However, in cases of frequent repeated clinical visits, the home medications list should be updated at least once every 12 months.</w:t>
      </w:r>
    </w:p>
    <w:p w14:paraId="56CE7E63" w14:textId="0D67A3F5" w:rsidR="00795BD4" w:rsidRDefault="00795BD4" w:rsidP="00795BD4">
      <w:pPr>
        <w:pStyle w:val="ListParagraph"/>
        <w:ind w:left="360"/>
        <w:rPr>
          <w:bCs/>
        </w:rPr>
      </w:pPr>
      <w:r>
        <w:rPr>
          <w:bCs/>
        </w:rPr>
        <w:t xml:space="preserve"> </w:t>
      </w:r>
    </w:p>
    <w:p w14:paraId="70989838" w14:textId="219876BF" w:rsidR="00795BD4" w:rsidRPr="00795BD4" w:rsidRDefault="00795BD4" w:rsidP="00AD309C">
      <w:pPr>
        <w:pStyle w:val="ListParagraph"/>
        <w:numPr>
          <w:ilvl w:val="0"/>
          <w:numId w:val="123"/>
        </w:numPr>
        <w:rPr>
          <w:b/>
        </w:rPr>
      </w:pPr>
      <w:r w:rsidRPr="00795BD4">
        <w:rPr>
          <w:b/>
        </w:rPr>
        <w:t>For medications that only ever have a single route of administration (</w:t>
      </w:r>
      <w:r w:rsidR="00387989">
        <w:rPr>
          <w:b/>
        </w:rPr>
        <w:t>e.g.,</w:t>
      </w:r>
      <w:r w:rsidRPr="00795BD4">
        <w:rPr>
          <w:b/>
        </w:rPr>
        <w:t xml:space="preserve"> orally only), does route have to be documented in the clinical record for questions #4 and #5? </w:t>
      </w:r>
    </w:p>
    <w:p w14:paraId="29149DF9" w14:textId="798D3174" w:rsidR="00795BD4" w:rsidRDefault="00795BD4" w:rsidP="00795BD4">
      <w:pPr>
        <w:pStyle w:val="ListParagraph"/>
        <w:ind w:left="360"/>
      </w:pPr>
      <w:r>
        <w:t xml:space="preserve">No. </w:t>
      </w:r>
      <w:r w:rsidRPr="00223A4E">
        <w:t xml:space="preserve">If there is a medication that can only </w:t>
      </w:r>
      <w:r>
        <w:t xml:space="preserve">ever </w:t>
      </w:r>
      <w:r w:rsidRPr="00223A4E">
        <w:t>be given</w:t>
      </w:r>
      <w:r>
        <w:t xml:space="preserve"> via a single route, route does not have to be documented to count the case when responding to questions #4 and #5. </w:t>
      </w:r>
    </w:p>
    <w:p w14:paraId="38AF3364" w14:textId="77777777" w:rsidR="00795BD4" w:rsidRDefault="00795BD4" w:rsidP="00795BD4">
      <w:pPr>
        <w:pStyle w:val="ListParagraph"/>
        <w:ind w:left="360"/>
      </w:pPr>
    </w:p>
    <w:p w14:paraId="50553DA9" w14:textId="77777777" w:rsidR="00795BD4" w:rsidRPr="00795BD4" w:rsidRDefault="00795BD4" w:rsidP="00AD309C">
      <w:pPr>
        <w:pStyle w:val="ListParagraph"/>
        <w:numPr>
          <w:ilvl w:val="0"/>
          <w:numId w:val="123"/>
        </w:numPr>
        <w:rPr>
          <w:b/>
        </w:rPr>
      </w:pPr>
      <w:r w:rsidRPr="00795BD4">
        <w:rPr>
          <w:b/>
        </w:rPr>
        <w:t xml:space="preserve">We do medication reconciliation on patients for certain outpatient procedures. Will the medication reconciliation on the procedure day suffice for the "medication audits" requirement in question #4? Or does it have to be a retrospective audit after the procedure day? </w:t>
      </w:r>
    </w:p>
    <w:p w14:paraId="712B5CF9" w14:textId="49E4C41D" w:rsidR="00795BD4" w:rsidRPr="00223A4E" w:rsidRDefault="00795BD4" w:rsidP="00795BD4">
      <w:pPr>
        <w:pStyle w:val="ListParagraph"/>
        <w:ind w:left="360"/>
      </w:pPr>
      <w:r w:rsidRPr="00223A4E">
        <w:t xml:space="preserve">Leapfrog specifies that, unless all medical records are audited, the clinical record audit should be conducted on a random sample of discharged patients. </w:t>
      </w:r>
      <w:r>
        <w:t xml:space="preserve">If your </w:t>
      </w:r>
      <w:r w:rsidR="00AD079D">
        <w:t>hospital</w:t>
      </w:r>
      <w:r>
        <w:t xml:space="preserve"> does not perform </w:t>
      </w:r>
      <w:r w:rsidRPr="00223A4E">
        <w:t>medication reconciliation before</w:t>
      </w:r>
      <w:r>
        <w:t xml:space="preserve"> </w:t>
      </w:r>
      <w:r w:rsidRPr="00795BD4">
        <w:rPr>
          <w:u w:val="single"/>
        </w:rPr>
        <w:t>all</w:t>
      </w:r>
      <w:r>
        <w:t xml:space="preserve"> </w:t>
      </w:r>
      <w:r w:rsidRPr="00223A4E">
        <w:t>patients are discharged</w:t>
      </w:r>
      <w:r>
        <w:t xml:space="preserve"> to ensure that the correct dose, route, and frequency are documented in the clinical record for all home medications</w:t>
      </w:r>
      <w:r w:rsidRPr="00223A4E">
        <w:t xml:space="preserve"> this would not meet the requirements of Section </w:t>
      </w:r>
      <w:r w:rsidR="00387989">
        <w:t>9</w:t>
      </w:r>
      <w:r>
        <w:t>E.</w:t>
      </w:r>
      <w:r w:rsidRPr="00223A4E">
        <w:t xml:space="preserve"> </w:t>
      </w:r>
    </w:p>
    <w:p w14:paraId="279AC1D5" w14:textId="77777777" w:rsidR="00795BD4" w:rsidRPr="00223A4E" w:rsidRDefault="00795BD4" w:rsidP="00795BD4">
      <w:pPr>
        <w:pStyle w:val="ListParagraph"/>
        <w:ind w:left="360"/>
      </w:pPr>
    </w:p>
    <w:p w14:paraId="7610C5DB" w14:textId="68446F83" w:rsidR="00795BD4" w:rsidRPr="00795BD4" w:rsidRDefault="00795BD4" w:rsidP="00795BD4">
      <w:pPr>
        <w:pStyle w:val="ListParagraph"/>
        <w:ind w:left="360"/>
      </w:pPr>
      <w:r w:rsidRPr="00223A4E">
        <w:t xml:space="preserve">Instead, your </w:t>
      </w:r>
      <w:r w:rsidR="00527FB0">
        <w:t>hospital</w:t>
      </w:r>
      <w:r w:rsidRPr="00223A4E">
        <w:t xml:space="preserve"> should randomly sample from all clinical records of discharged outpatients </w:t>
      </w:r>
      <w:r>
        <w:t xml:space="preserve">(adults and children) </w:t>
      </w:r>
      <w:r w:rsidR="00E811E3">
        <w:t>who</w:t>
      </w:r>
      <w:r w:rsidRPr="00223A4E">
        <w:t xml:space="preserve"> had the procedures included in Section </w:t>
      </w:r>
      <w:r w:rsidR="00387989">
        <w:t>9</w:t>
      </w:r>
      <w:r w:rsidRPr="00223A4E">
        <w:t>C during the reporting period, not just those records that had medication reconciliation conducted during the same day visit. This audit may occur on the same day as the patient visit</w:t>
      </w:r>
      <w:r w:rsidR="00E811E3">
        <w:t xml:space="preserve"> or</w:t>
      </w:r>
      <w:r>
        <w:t xml:space="preserve"> following </w:t>
      </w:r>
      <w:r w:rsidRPr="00223A4E">
        <w:t>patient discharge</w:t>
      </w:r>
      <w:r>
        <w:t xml:space="preserve">. </w:t>
      </w:r>
    </w:p>
    <w:p w14:paraId="44C701C2" w14:textId="77777777" w:rsidR="00A079AD" w:rsidRDefault="00A079AD" w:rsidP="00A079AD">
      <w:pPr>
        <w:pStyle w:val="ListParagraph"/>
        <w:ind w:left="360"/>
      </w:pPr>
    </w:p>
    <w:p w14:paraId="219B4233" w14:textId="77777777" w:rsidR="00010E88" w:rsidRDefault="00757A30" w:rsidP="00A079AD">
      <w:pPr>
        <w:pStyle w:val="ListParagraph"/>
        <w:ind w:left="0"/>
      </w:pPr>
      <w:r>
        <w:t xml:space="preserve"> </w:t>
      </w:r>
      <w:r w:rsidR="00010E88">
        <w:br w:type="page"/>
      </w:r>
    </w:p>
    <w:p w14:paraId="5C476662" w14:textId="55825BBD" w:rsidR="000C2E89" w:rsidRDefault="004535D7" w:rsidP="00CF5A6E">
      <w:pPr>
        <w:pStyle w:val="Heading2"/>
      </w:pPr>
      <w:bookmarkStart w:id="832" w:name="_Patient_Experience_(OAS"/>
      <w:bookmarkStart w:id="833" w:name="_CMS_Measures_Measure"/>
      <w:bookmarkStart w:id="834" w:name="_Ref123648439"/>
      <w:bookmarkStart w:id="835" w:name="_Toc225877872"/>
      <w:bookmarkEnd w:id="832"/>
      <w:bookmarkEnd w:id="833"/>
      <w:r>
        <w:lastRenderedPageBreak/>
        <w:t>CMS Measures</w:t>
      </w:r>
      <w:r w:rsidR="000C2E89">
        <w:t xml:space="preserve"> Measure Specifications</w:t>
      </w:r>
      <w:bookmarkEnd w:id="834"/>
      <w:bookmarkEnd w:id="835"/>
    </w:p>
    <w:p w14:paraId="3A2F9EDC" w14:textId="0049DE39" w:rsidR="000C2E89" w:rsidRDefault="000C2E89" w:rsidP="000C2E89">
      <w:pPr>
        <w:rPr>
          <w:lang w:eastAsia="ja-JP"/>
        </w:rPr>
      </w:pPr>
    </w:p>
    <w:p w14:paraId="0A42B78E" w14:textId="55F29CD5" w:rsidR="00CF5A32" w:rsidRDefault="00CF5A32" w:rsidP="00CF5A32">
      <w:pPr>
        <w:rPr>
          <w:bdr w:val="none" w:sz="0" w:space="0" w:color="auto" w:frame="1"/>
        </w:rPr>
      </w:pPr>
      <w:bookmarkStart w:id="836" w:name="_Hlk214032024"/>
      <w:r>
        <w:rPr>
          <w:lang w:eastAsia="ja-JP"/>
        </w:rPr>
        <w:t xml:space="preserve">Leapfrog obtains data for the following measures directly from the </w:t>
      </w:r>
      <w:r>
        <w:rPr>
          <w:bdr w:val="none" w:sz="0" w:space="0" w:color="auto" w:frame="1"/>
        </w:rPr>
        <w:t xml:space="preserve">CMS </w:t>
      </w:r>
      <w:hyperlink r:id="rId501" w:history="1">
        <w:r w:rsidRPr="00DE5DC3">
          <w:rPr>
            <w:rStyle w:val="Hyperlink"/>
            <w:bdr w:val="none" w:sz="0" w:space="0" w:color="auto" w:frame="1"/>
          </w:rPr>
          <w:t>Provider Data Catalog</w:t>
        </w:r>
      </w:hyperlink>
      <w:r>
        <w:rPr>
          <w:bdr w:val="none" w:sz="0" w:space="0" w:color="auto" w:frame="1"/>
        </w:rPr>
        <w:t>:</w:t>
      </w:r>
    </w:p>
    <w:p w14:paraId="3C888978" w14:textId="77777777" w:rsidR="00CF5A32" w:rsidRDefault="00CF5A32" w:rsidP="00CF5A32">
      <w:pPr>
        <w:pStyle w:val="ListParagraph"/>
        <w:numPr>
          <w:ilvl w:val="0"/>
          <w:numId w:val="427"/>
        </w:numPr>
        <w:spacing w:before="200" w:after="200" w:line="276" w:lineRule="auto"/>
        <w:rPr>
          <w:bdr w:val="none" w:sz="0" w:space="0" w:color="auto" w:frame="1"/>
        </w:rPr>
      </w:pPr>
      <w:r w:rsidRPr="00094590">
        <w:rPr>
          <w:bdr w:val="none" w:sz="0" w:space="0" w:color="auto" w:frame="1"/>
        </w:rPr>
        <w:t>OP-32: Rate of Unplanned Hospital Visits After an Outpatient Colonoscopy</w:t>
      </w:r>
    </w:p>
    <w:p w14:paraId="5D0E93FD" w14:textId="212D2026" w:rsidR="00CF5A32" w:rsidRDefault="00CF5A32" w:rsidP="00CF5A32">
      <w:pPr>
        <w:pStyle w:val="ListParagraph"/>
        <w:numPr>
          <w:ilvl w:val="0"/>
          <w:numId w:val="427"/>
        </w:numPr>
        <w:spacing w:before="200" w:after="200" w:line="276" w:lineRule="auto"/>
        <w:rPr>
          <w:bdr w:val="none" w:sz="0" w:space="0" w:color="auto" w:frame="1"/>
        </w:rPr>
      </w:pPr>
      <w:r>
        <w:rPr>
          <w:bdr w:val="none" w:sz="0" w:space="0" w:color="auto" w:frame="1"/>
        </w:rPr>
        <w:t xml:space="preserve">Patient Experience </w:t>
      </w:r>
      <w:hyperlink w:anchor="Endnote48_TopBox" w:history="1">
        <w:r>
          <w:rPr>
            <w:rStyle w:val="Hyperlink"/>
          </w:rPr>
          <w:t>Top Box Score</w:t>
        </w:r>
      </w:hyperlink>
      <w:r>
        <w:fldChar w:fldCharType="begin"/>
      </w:r>
      <w:r>
        <w:rPr>
          <w:rStyle w:val="Hyperlink"/>
        </w:rPr>
        <w:instrText xml:space="preserve"> NOTEREF _Ref534391669 \f \h </w:instrText>
      </w:r>
      <w:r>
        <w:instrText xml:space="preserve"> \* MERGEFORMAT </w:instrText>
      </w:r>
      <w:r>
        <w:fldChar w:fldCharType="separate"/>
      </w:r>
      <w:r w:rsidR="007D53A2" w:rsidRPr="00B64139">
        <w:rPr>
          <w:rStyle w:val="EndnoteReference"/>
        </w:rPr>
        <w:t>51</w:t>
      </w:r>
      <w:r>
        <w:fldChar w:fldCharType="end"/>
      </w:r>
      <w:r>
        <w:rPr>
          <w:rFonts w:cs="Arial"/>
          <w:bCs/>
        </w:rPr>
        <w:t xml:space="preserve"> </w:t>
      </w:r>
      <w:r>
        <w:rPr>
          <w:bdr w:val="none" w:sz="0" w:space="0" w:color="auto" w:frame="1"/>
        </w:rPr>
        <w:t xml:space="preserve">(OAS CAHPS) </w:t>
      </w:r>
    </w:p>
    <w:p w14:paraId="1350311F" w14:textId="77777777" w:rsidR="00CF5A32" w:rsidRDefault="00CF5A32" w:rsidP="004D68F2">
      <w:pPr>
        <w:pStyle w:val="ListParagraph"/>
        <w:numPr>
          <w:ilvl w:val="0"/>
          <w:numId w:val="453"/>
        </w:numPr>
        <w:spacing w:before="200" w:after="200" w:line="276" w:lineRule="auto"/>
        <w:rPr>
          <w:bdr w:val="none" w:sz="0" w:space="0" w:color="auto" w:frame="1"/>
        </w:rPr>
      </w:pPr>
      <w:r w:rsidRPr="00DE5DC3">
        <w:rPr>
          <w:bdr w:val="none" w:sz="0" w:space="0" w:color="auto" w:frame="1"/>
        </w:rPr>
        <w:t xml:space="preserve">Facilities and Staff </w:t>
      </w:r>
    </w:p>
    <w:p w14:paraId="06792E6F" w14:textId="77777777" w:rsidR="00CF5A32" w:rsidRDefault="00CF5A32" w:rsidP="004D68F2">
      <w:pPr>
        <w:pStyle w:val="ListParagraph"/>
        <w:numPr>
          <w:ilvl w:val="0"/>
          <w:numId w:val="453"/>
        </w:numPr>
        <w:spacing w:before="200" w:after="200" w:line="276" w:lineRule="auto"/>
        <w:rPr>
          <w:bdr w:val="none" w:sz="0" w:space="0" w:color="auto" w:frame="1"/>
        </w:rPr>
      </w:pPr>
      <w:r w:rsidRPr="00DE5DC3">
        <w:rPr>
          <w:bdr w:val="none" w:sz="0" w:space="0" w:color="auto" w:frame="1"/>
        </w:rPr>
        <w:t>Communication About Your Procedure</w:t>
      </w:r>
    </w:p>
    <w:p w14:paraId="71F70654" w14:textId="77777777" w:rsidR="00CF5A32" w:rsidRDefault="00CF5A32" w:rsidP="004D68F2">
      <w:pPr>
        <w:pStyle w:val="ListParagraph"/>
        <w:numPr>
          <w:ilvl w:val="0"/>
          <w:numId w:val="453"/>
        </w:numPr>
        <w:spacing w:before="200" w:after="200" w:line="276" w:lineRule="auto"/>
        <w:rPr>
          <w:bdr w:val="none" w:sz="0" w:space="0" w:color="auto" w:frame="1"/>
        </w:rPr>
      </w:pPr>
      <w:r w:rsidRPr="00DE5DC3">
        <w:rPr>
          <w:bdr w:val="none" w:sz="0" w:space="0" w:color="auto" w:frame="1"/>
        </w:rPr>
        <w:t>Patients’ Rating of the Facility</w:t>
      </w:r>
    </w:p>
    <w:p w14:paraId="2CBAB296" w14:textId="77777777" w:rsidR="00CF5A32" w:rsidRPr="00D971B2" w:rsidRDefault="00CF5A32" w:rsidP="004D68F2">
      <w:pPr>
        <w:pStyle w:val="ListParagraph"/>
        <w:numPr>
          <w:ilvl w:val="0"/>
          <w:numId w:val="453"/>
        </w:numPr>
        <w:spacing w:before="200" w:after="200" w:line="276" w:lineRule="auto"/>
        <w:rPr>
          <w:bdr w:val="none" w:sz="0" w:space="0" w:color="auto" w:frame="1"/>
        </w:rPr>
      </w:pPr>
      <w:r w:rsidRPr="00DE5DC3">
        <w:rPr>
          <w:bdr w:val="none" w:sz="0" w:space="0" w:color="auto" w:frame="1"/>
        </w:rPr>
        <w:t>Patients Recommending the Facility</w:t>
      </w:r>
      <w:bookmarkEnd w:id="836"/>
    </w:p>
    <w:p w14:paraId="1161F7E4" w14:textId="77777777" w:rsidR="00CF5A32" w:rsidRPr="00C069D0" w:rsidRDefault="00CF5A32" w:rsidP="00CF5A32">
      <w:pPr>
        <w:rPr>
          <w:lang w:eastAsia="ja-JP"/>
        </w:rPr>
      </w:pPr>
      <w:r w:rsidRPr="00C069D0">
        <w:rPr>
          <w:lang w:eastAsia="ja-JP"/>
        </w:rPr>
        <w:t>The following questions from the OAS CAHPS Survey are included in each domain:</w:t>
      </w:r>
    </w:p>
    <w:p w14:paraId="766F9FAB" w14:textId="77777777" w:rsidR="00CF5A32" w:rsidRPr="00C069D0" w:rsidRDefault="00CF5A32" w:rsidP="00CF5A32">
      <w:pPr>
        <w:rPr>
          <w:lang w:eastAsia="ja-JP"/>
        </w:rPr>
      </w:pPr>
    </w:p>
    <w:p w14:paraId="334D6C04" w14:textId="77777777" w:rsidR="00CF5A32" w:rsidRPr="00C069D0" w:rsidRDefault="00CF5A32" w:rsidP="00CF5A32">
      <w:pPr>
        <w:rPr>
          <w:u w:val="single"/>
          <w:lang w:eastAsia="ja-JP"/>
        </w:rPr>
      </w:pPr>
      <w:r w:rsidRPr="00C069D0">
        <w:rPr>
          <w:u w:val="single"/>
          <w:lang w:eastAsia="ja-JP"/>
        </w:rPr>
        <w:t>Facilities and Staff</w:t>
      </w:r>
    </w:p>
    <w:p w14:paraId="3C35A9E6" w14:textId="77777777" w:rsidR="00CF5A32" w:rsidRPr="00C069D0" w:rsidRDefault="00CF5A32" w:rsidP="00CF5A32">
      <w:pPr>
        <w:rPr>
          <w:lang w:eastAsia="ja-JP"/>
        </w:rPr>
      </w:pPr>
      <w:r w:rsidRPr="00C069D0">
        <w:rPr>
          <w:lang w:eastAsia="ja-JP"/>
        </w:rPr>
        <w:t>Q3: Did the check-in process run smoothly?</w:t>
      </w:r>
    </w:p>
    <w:p w14:paraId="71C3AB3A" w14:textId="77777777" w:rsidR="00CF5A32" w:rsidRPr="00C069D0" w:rsidRDefault="00CF5A32" w:rsidP="00CF5A32">
      <w:pPr>
        <w:rPr>
          <w:lang w:eastAsia="ja-JP"/>
        </w:rPr>
      </w:pPr>
      <w:r w:rsidRPr="00C069D0">
        <w:rPr>
          <w:lang w:eastAsia="ja-JP"/>
        </w:rPr>
        <w:t>Q4: Was the facility clean?</w:t>
      </w:r>
    </w:p>
    <w:p w14:paraId="7A8CC5A1" w14:textId="77777777" w:rsidR="00CF5A32" w:rsidRPr="00C069D0" w:rsidRDefault="00CF5A32" w:rsidP="00CF5A32">
      <w:pPr>
        <w:rPr>
          <w:lang w:eastAsia="ja-JP"/>
        </w:rPr>
      </w:pPr>
      <w:r w:rsidRPr="00C069D0">
        <w:rPr>
          <w:lang w:eastAsia="ja-JP"/>
        </w:rPr>
        <w:t>Q5: Were the clerks and receptionists at the facility as helpful as you thought they should be?</w:t>
      </w:r>
    </w:p>
    <w:p w14:paraId="0586B18B" w14:textId="77777777" w:rsidR="00CF5A32" w:rsidRPr="00C069D0" w:rsidRDefault="00CF5A32" w:rsidP="00CF5A32">
      <w:pPr>
        <w:rPr>
          <w:lang w:eastAsia="ja-JP"/>
        </w:rPr>
      </w:pPr>
      <w:r w:rsidRPr="00C069D0">
        <w:rPr>
          <w:lang w:eastAsia="ja-JP"/>
        </w:rPr>
        <w:t>Q6: Did the clerks and receptionists at the facility treat you with courtesy and respect?</w:t>
      </w:r>
    </w:p>
    <w:p w14:paraId="1B55E54F" w14:textId="77777777" w:rsidR="00CF5A32" w:rsidRPr="00C069D0" w:rsidRDefault="00CF5A32" w:rsidP="00CF5A32">
      <w:pPr>
        <w:rPr>
          <w:lang w:eastAsia="ja-JP"/>
        </w:rPr>
      </w:pPr>
      <w:r w:rsidRPr="00C069D0">
        <w:rPr>
          <w:lang w:eastAsia="ja-JP"/>
        </w:rPr>
        <w:t>Q7: Did the doctors and nurses treat you with courtesy and respect?</w:t>
      </w:r>
    </w:p>
    <w:p w14:paraId="494AC9F0" w14:textId="77777777" w:rsidR="00CF5A32" w:rsidRPr="00C069D0" w:rsidRDefault="00CF5A32" w:rsidP="00CF5A32">
      <w:pPr>
        <w:rPr>
          <w:lang w:eastAsia="ja-JP"/>
        </w:rPr>
      </w:pPr>
      <w:r w:rsidRPr="00C069D0">
        <w:rPr>
          <w:lang w:eastAsia="ja-JP"/>
        </w:rPr>
        <w:t>Q8: Did the doctors and nurses make sure you were as comfortable as possible?</w:t>
      </w:r>
    </w:p>
    <w:p w14:paraId="5531C58B" w14:textId="77777777" w:rsidR="00CF5A32" w:rsidRPr="00C069D0" w:rsidRDefault="00CF5A32" w:rsidP="00CF5A32">
      <w:pPr>
        <w:rPr>
          <w:lang w:eastAsia="ja-JP"/>
        </w:rPr>
      </w:pPr>
    </w:p>
    <w:p w14:paraId="717438AA" w14:textId="77777777" w:rsidR="00CF5A32" w:rsidRPr="00C069D0" w:rsidRDefault="00CF5A32" w:rsidP="00CF5A32">
      <w:pPr>
        <w:rPr>
          <w:u w:val="single"/>
          <w:lang w:eastAsia="ja-JP"/>
        </w:rPr>
      </w:pPr>
      <w:r w:rsidRPr="00C069D0">
        <w:rPr>
          <w:u w:val="single"/>
          <w:lang w:eastAsia="ja-JP"/>
        </w:rPr>
        <w:t>Communication About Your Procedure</w:t>
      </w:r>
    </w:p>
    <w:p w14:paraId="12AEC36D" w14:textId="77777777" w:rsidR="00CF5A32" w:rsidRPr="00C069D0" w:rsidRDefault="00CF5A32" w:rsidP="00CF5A32">
      <w:pPr>
        <w:rPr>
          <w:lang w:eastAsia="ja-JP"/>
        </w:rPr>
      </w:pPr>
      <w:r w:rsidRPr="00C069D0">
        <w:rPr>
          <w:lang w:eastAsia="ja-JP"/>
        </w:rPr>
        <w:t>Q1: Before your procedure, did your doctor or anyone from the facility give you all the information you needed about your procedure?</w:t>
      </w:r>
    </w:p>
    <w:p w14:paraId="558BF534" w14:textId="77777777" w:rsidR="00CF5A32" w:rsidRPr="00C069D0" w:rsidRDefault="00CF5A32" w:rsidP="00CF5A32">
      <w:pPr>
        <w:rPr>
          <w:lang w:eastAsia="ja-JP"/>
        </w:rPr>
      </w:pPr>
      <w:r w:rsidRPr="00C069D0">
        <w:rPr>
          <w:lang w:eastAsia="ja-JP"/>
        </w:rPr>
        <w:t>Q2: Before your procedure, did your doctor or anyone from the facility give you easy to understand instructions about getting ready for your procedure?</w:t>
      </w:r>
    </w:p>
    <w:p w14:paraId="754AA61A" w14:textId="77777777" w:rsidR="00CF5A32" w:rsidRPr="00C069D0" w:rsidRDefault="00CF5A32" w:rsidP="00CF5A32">
      <w:pPr>
        <w:rPr>
          <w:lang w:eastAsia="ja-JP"/>
        </w:rPr>
      </w:pPr>
      <w:r w:rsidRPr="00C069D0">
        <w:rPr>
          <w:lang w:eastAsia="ja-JP"/>
        </w:rPr>
        <w:t>Q9: Did the doctors and nurses explain your procedure in a way that was easy to understand?</w:t>
      </w:r>
    </w:p>
    <w:p w14:paraId="4BD327F5" w14:textId="77777777" w:rsidR="00CF5A32" w:rsidRPr="00C069D0" w:rsidRDefault="00CF5A32" w:rsidP="00CF5A32">
      <w:pPr>
        <w:rPr>
          <w:lang w:eastAsia="ja-JP"/>
        </w:rPr>
      </w:pPr>
      <w:r w:rsidRPr="00C069D0">
        <w:rPr>
          <w:lang w:eastAsia="ja-JP"/>
        </w:rPr>
        <w:t>Q10: Anesthesia is something that would make you feel sleepy or go to sleep during your procedure. Were you given anesthesia?</w:t>
      </w:r>
    </w:p>
    <w:p w14:paraId="7EB0CD39" w14:textId="77777777" w:rsidR="00CF5A32" w:rsidRPr="00C069D0" w:rsidRDefault="00CF5A32" w:rsidP="00CF5A32">
      <w:pPr>
        <w:rPr>
          <w:lang w:eastAsia="ja-JP"/>
        </w:rPr>
      </w:pPr>
      <w:r w:rsidRPr="00C069D0">
        <w:rPr>
          <w:lang w:eastAsia="ja-JP"/>
        </w:rPr>
        <w:t>Q11: (If “yes” to Q10) Did your doctor or anyone from the facility explain the process of giving anesthesia in a way that was easy to understand?</w:t>
      </w:r>
    </w:p>
    <w:p w14:paraId="5FBE0123" w14:textId="77777777" w:rsidR="00CF5A32" w:rsidRPr="00C069D0" w:rsidRDefault="00CF5A32" w:rsidP="00CF5A32">
      <w:pPr>
        <w:rPr>
          <w:lang w:eastAsia="ja-JP"/>
        </w:rPr>
      </w:pPr>
      <w:r w:rsidRPr="00C069D0">
        <w:rPr>
          <w:lang w:eastAsia="ja-JP"/>
        </w:rPr>
        <w:t>Q12: (If “yes” to Q10) Did your doctor or anyone from the facility explain the possible side effects of the anesthesia in a way that was easy to understand?</w:t>
      </w:r>
    </w:p>
    <w:p w14:paraId="173E7841" w14:textId="77777777" w:rsidR="00CF5A32" w:rsidRPr="00C069D0" w:rsidRDefault="00CF5A32" w:rsidP="00CF5A32">
      <w:pPr>
        <w:rPr>
          <w:lang w:eastAsia="ja-JP"/>
        </w:rPr>
      </w:pPr>
    </w:p>
    <w:p w14:paraId="5298159A" w14:textId="77777777" w:rsidR="00CF5A32" w:rsidRPr="00C069D0" w:rsidRDefault="00CF5A32" w:rsidP="00CF5A32">
      <w:pPr>
        <w:rPr>
          <w:u w:val="single"/>
          <w:lang w:eastAsia="ja-JP"/>
        </w:rPr>
      </w:pPr>
      <w:r w:rsidRPr="00C069D0">
        <w:rPr>
          <w:u w:val="single"/>
          <w:lang w:eastAsia="ja-JP"/>
        </w:rPr>
        <w:t>Patients’ Rating of the Facility</w:t>
      </w:r>
    </w:p>
    <w:p w14:paraId="2F81936E" w14:textId="77777777" w:rsidR="00CF5A32" w:rsidRPr="00C069D0" w:rsidRDefault="00CF5A32" w:rsidP="00CF5A32">
      <w:pPr>
        <w:rPr>
          <w:lang w:eastAsia="ja-JP"/>
        </w:rPr>
      </w:pPr>
      <w:r w:rsidRPr="00C069D0">
        <w:rPr>
          <w:lang w:eastAsia="ja-JP"/>
        </w:rPr>
        <w:t>Q23: Using any number from 0 to 10, where 0 is the worst facility possible and 10 is the best facility possible, what number would you use to rate this facility?</w:t>
      </w:r>
    </w:p>
    <w:p w14:paraId="1901BEAD" w14:textId="77777777" w:rsidR="00CF5A32" w:rsidRPr="00C069D0" w:rsidRDefault="00CF5A32" w:rsidP="00CF5A32">
      <w:pPr>
        <w:rPr>
          <w:lang w:eastAsia="ja-JP"/>
        </w:rPr>
      </w:pPr>
    </w:p>
    <w:p w14:paraId="72FCB2E9" w14:textId="77777777" w:rsidR="00CF5A32" w:rsidRPr="00C069D0" w:rsidRDefault="00CF5A32" w:rsidP="00CF5A32">
      <w:pPr>
        <w:rPr>
          <w:u w:val="single"/>
          <w:lang w:eastAsia="ja-JP"/>
        </w:rPr>
      </w:pPr>
      <w:r w:rsidRPr="00C069D0">
        <w:rPr>
          <w:u w:val="single"/>
          <w:lang w:eastAsia="ja-JP"/>
        </w:rPr>
        <w:t>Patients Recommending the Facility</w:t>
      </w:r>
    </w:p>
    <w:p w14:paraId="63687A18" w14:textId="77777777" w:rsidR="00CF5A32" w:rsidRPr="00C069D0" w:rsidRDefault="00CF5A32" w:rsidP="00CF5A32">
      <w:pPr>
        <w:rPr>
          <w:lang w:eastAsia="ja-JP"/>
        </w:rPr>
      </w:pPr>
      <w:r w:rsidRPr="00C069D0">
        <w:rPr>
          <w:lang w:eastAsia="ja-JP"/>
        </w:rPr>
        <w:t>Q24: Would you recommend this facility to your friends and family?</w:t>
      </w:r>
    </w:p>
    <w:p w14:paraId="3A20E8D3" w14:textId="77777777" w:rsidR="00CF5A32" w:rsidRPr="00C069D0" w:rsidRDefault="00CF5A32" w:rsidP="00CF5A32">
      <w:pPr>
        <w:rPr>
          <w:lang w:eastAsia="ja-JP"/>
        </w:rPr>
      </w:pPr>
    </w:p>
    <w:p w14:paraId="1B90B508" w14:textId="77777777" w:rsidR="00CF5A32" w:rsidRDefault="00CF5A32" w:rsidP="00CF5A32">
      <w:pPr>
        <w:rPr>
          <w:lang w:eastAsia="ja-JP"/>
        </w:rPr>
      </w:pPr>
      <w:r w:rsidRPr="00C069D0">
        <w:rPr>
          <w:lang w:eastAsia="ja-JP"/>
        </w:rPr>
        <w:t xml:space="preserve">Please note that question numbers are taken from the OAS CAHPS Survey, which you can download at </w:t>
      </w:r>
      <w:hyperlink r:id="rId502" w:history="1">
        <w:r w:rsidRPr="00C069D0">
          <w:rPr>
            <w:rStyle w:val="Hyperlink"/>
            <w:lang w:eastAsia="ja-JP"/>
          </w:rPr>
          <w:t>https://oascahps.org/Survey-Materials</w:t>
        </w:r>
      </w:hyperlink>
      <w:r w:rsidRPr="00C069D0">
        <w:rPr>
          <w:lang w:eastAsia="ja-JP"/>
        </w:rPr>
        <w:t>.</w:t>
      </w:r>
    </w:p>
    <w:p w14:paraId="12D3BD90" w14:textId="77777777" w:rsidR="00A90D87" w:rsidRDefault="00A90D87" w:rsidP="00CF5A32">
      <w:pPr>
        <w:rPr>
          <w:lang w:eastAsia="ja-JP"/>
        </w:rPr>
      </w:pPr>
    </w:p>
    <w:p w14:paraId="5A85B27C" w14:textId="77777777" w:rsidR="00857F4C" w:rsidRDefault="00857F4C" w:rsidP="00857F4C">
      <w:pPr>
        <w:pStyle w:val="Heading44"/>
      </w:pPr>
      <w:r w:rsidRPr="00704BFE">
        <w:t xml:space="preserve">Review your </w:t>
      </w:r>
      <w:r>
        <w:t>CMS data</w:t>
      </w:r>
    </w:p>
    <w:p w14:paraId="561D1271" w14:textId="78549AD6" w:rsidR="00857F4C" w:rsidRPr="00704BFE" w:rsidRDefault="00857F4C" w:rsidP="00857F4C">
      <w:pPr>
        <w:pStyle w:val="ListParagraph"/>
        <w:numPr>
          <w:ilvl w:val="0"/>
          <w:numId w:val="166"/>
        </w:numPr>
        <w:spacing w:after="120" w:line="264" w:lineRule="auto"/>
        <w:rPr>
          <w:rFonts w:eastAsiaTheme="majorEastAsia"/>
          <w:bCs/>
        </w:rPr>
      </w:pPr>
      <w:r>
        <w:t xml:space="preserve">Once Leapfrog has published your hospital’s Survey Results on the </w:t>
      </w:r>
      <w:hyperlink r:id="rId503" w:history="1">
        <w:r>
          <w:rPr>
            <w:rStyle w:val="Hyperlink"/>
          </w:rPr>
          <w:t>Hospital</w:t>
        </w:r>
        <w:r w:rsidRPr="00086A95">
          <w:rPr>
            <w:rStyle w:val="Hyperlink"/>
          </w:rPr>
          <w:t xml:space="preserve"> Details Page</w:t>
        </w:r>
      </w:hyperlink>
      <w:r>
        <w:t xml:space="preserve">, hospitals are urged to compare the CMS data Leapfrog has obtained with the data published on CMS’ </w:t>
      </w:r>
      <w:hyperlink r:id="rId504" w:history="1">
        <w:r w:rsidRPr="0062107E">
          <w:rPr>
            <w:rStyle w:val="Hyperlink"/>
          </w:rPr>
          <w:t>website</w:t>
        </w:r>
      </w:hyperlink>
      <w:r>
        <w:t>.</w:t>
      </w:r>
    </w:p>
    <w:p w14:paraId="34595942" w14:textId="77777777" w:rsidR="00857F4C" w:rsidRPr="00704BFE" w:rsidRDefault="00857F4C" w:rsidP="00857F4C">
      <w:pPr>
        <w:pStyle w:val="ListParagraph"/>
        <w:numPr>
          <w:ilvl w:val="0"/>
          <w:numId w:val="165"/>
        </w:numPr>
        <w:spacing w:after="120" w:line="264" w:lineRule="auto"/>
        <w:rPr>
          <w:rFonts w:eastAsiaTheme="majorEastAsia"/>
          <w:bCs/>
        </w:rPr>
      </w:pPr>
      <w:r>
        <w:t>Dates on which the Survey Results will be available on the Hospital Details page are listed in the “Deadlines and Reporting Periods” table below.</w:t>
      </w:r>
    </w:p>
    <w:p w14:paraId="62C21B81" w14:textId="77777777" w:rsidR="00857F4C" w:rsidRDefault="00857F4C" w:rsidP="00857F4C">
      <w:r>
        <w:t xml:space="preserve">If you find a discrepancy while comparing your hospital’s data published on the CMS </w:t>
      </w:r>
      <w:hyperlink r:id="rId505" w:history="1">
        <w:r w:rsidRPr="0062107E">
          <w:rPr>
            <w:rStyle w:val="Hyperlink"/>
          </w:rPr>
          <w:t>website</w:t>
        </w:r>
      </w:hyperlink>
      <w:r>
        <w:t xml:space="preserve"> to the data published on the Hospital Details page, contact </w:t>
      </w:r>
      <w:hyperlink r:id="rId506" w:history="1">
        <w:r w:rsidRPr="00825AEB">
          <w:rPr>
            <w:rStyle w:val="Hyperlink"/>
          </w:rPr>
          <w:t>Leapfrog’s Help Desk</w:t>
        </w:r>
      </w:hyperlink>
      <w:r>
        <w:t xml:space="preserve"> immediately.</w:t>
      </w:r>
    </w:p>
    <w:p w14:paraId="4BA61E98" w14:textId="77777777" w:rsidR="00857F4C" w:rsidRDefault="00857F4C" w:rsidP="00857F4C">
      <w:pPr>
        <w:rPr>
          <w:b/>
          <w:bCs/>
        </w:rPr>
      </w:pPr>
    </w:p>
    <w:p w14:paraId="50BEE7F6" w14:textId="77777777" w:rsidR="00A90D87" w:rsidRPr="00C069D0" w:rsidRDefault="00A90D87" w:rsidP="00CF5A32">
      <w:pPr>
        <w:rPr>
          <w:lang w:eastAsia="ja-JP"/>
        </w:rPr>
      </w:pPr>
    </w:p>
    <w:p w14:paraId="507CEC96" w14:textId="77777777" w:rsidR="00115E84" w:rsidRDefault="00115E84" w:rsidP="000C2E89"/>
    <w:p w14:paraId="199D0F0C" w14:textId="77777777" w:rsidR="001F027B" w:rsidRPr="00B64139" w:rsidRDefault="001F027B" w:rsidP="000C2E89">
      <w:pPr>
        <w:rPr>
          <w:b/>
          <w:bCs/>
          <w:sz w:val="22"/>
          <w:szCs w:val="22"/>
        </w:rPr>
      </w:pPr>
      <w:r w:rsidRPr="00B64139">
        <w:rPr>
          <w:b/>
          <w:bCs/>
          <w:sz w:val="22"/>
          <w:szCs w:val="22"/>
        </w:rPr>
        <w:lastRenderedPageBreak/>
        <w:t>Deadlines and Reporting Periods</w:t>
      </w:r>
    </w:p>
    <w:p w14:paraId="490362D4" w14:textId="77777777" w:rsidR="001F027B" w:rsidRDefault="001F027B" w:rsidP="000C2E89"/>
    <w:tbl>
      <w:tblPr>
        <w:tblW w:w="9175" w:type="dxa"/>
        <w:jc w:val="center"/>
        <w:tblLayout w:type="fixed"/>
        <w:tblCellMar>
          <w:top w:w="72" w:type="dxa"/>
          <w:left w:w="72" w:type="dxa"/>
          <w:bottom w:w="72" w:type="dxa"/>
          <w:right w:w="72" w:type="dxa"/>
        </w:tblCellMar>
        <w:tblLook w:val="01E0" w:firstRow="1" w:lastRow="1" w:firstColumn="1" w:lastColumn="1" w:noHBand="0" w:noVBand="0"/>
      </w:tblPr>
      <w:tblGrid>
        <w:gridCol w:w="2610"/>
        <w:gridCol w:w="3870"/>
        <w:gridCol w:w="2695"/>
      </w:tblGrid>
      <w:tr w:rsidR="000A6D68" w:rsidRPr="00632E35" w14:paraId="0D871F42" w14:textId="77777777" w:rsidTr="003962CE">
        <w:trPr>
          <w:cantSplit/>
          <w:trHeight w:val="575"/>
          <w:jc w:val="center"/>
        </w:trPr>
        <w:tc>
          <w:tcPr>
            <w:tcW w:w="2610" w:type="dxa"/>
            <w:tcBorders>
              <w:top w:val="single" w:sz="4" w:space="0" w:color="auto"/>
              <w:left w:val="single" w:sz="4" w:space="0" w:color="auto"/>
              <w:right w:val="single" w:sz="4" w:space="0" w:color="auto"/>
            </w:tcBorders>
            <w:shd w:val="clear" w:color="auto" w:fill="012E6B"/>
          </w:tcPr>
          <w:p w14:paraId="6676956C" w14:textId="77777777" w:rsidR="000A6D68" w:rsidRPr="0030607B" w:rsidRDefault="000A6D68" w:rsidP="003962CE">
            <w:pPr>
              <w:pStyle w:val="TableParagraph"/>
              <w:spacing w:before="1" w:line="240" w:lineRule="auto"/>
              <w:ind w:left="0" w:right="20"/>
              <w:rPr>
                <w:rFonts w:ascii="Arial" w:hAnsi="Arial" w:cs="Arial"/>
                <w:b/>
                <w:color w:val="FFFFFF"/>
                <w:sz w:val="20"/>
                <w:szCs w:val="20"/>
              </w:rPr>
            </w:pPr>
            <w:r>
              <w:rPr>
                <w:rFonts w:ascii="Arial" w:hAnsi="Arial" w:cs="Arial"/>
                <w:b/>
                <w:color w:val="FFFFFF"/>
                <w:sz w:val="20"/>
                <w:szCs w:val="20"/>
              </w:rPr>
              <w:t>CMS</w:t>
            </w:r>
            <w:r w:rsidRPr="0030607B">
              <w:rPr>
                <w:rFonts w:ascii="Arial" w:hAnsi="Arial" w:cs="Arial"/>
                <w:b/>
                <w:color w:val="FFFFFF"/>
                <w:sz w:val="20"/>
                <w:szCs w:val="20"/>
              </w:rPr>
              <w:t xml:space="preserve"> </w:t>
            </w:r>
            <w:r>
              <w:rPr>
                <w:rFonts w:ascii="Arial" w:hAnsi="Arial" w:cs="Arial"/>
                <w:b/>
                <w:color w:val="FFFFFF"/>
                <w:sz w:val="20"/>
                <w:szCs w:val="20"/>
              </w:rPr>
              <w:t>Download Date</w:t>
            </w:r>
          </w:p>
        </w:tc>
        <w:tc>
          <w:tcPr>
            <w:tcW w:w="3870" w:type="dxa"/>
            <w:shd w:val="clear" w:color="auto" w:fill="012E6B"/>
          </w:tcPr>
          <w:p w14:paraId="6E4F2DF8" w14:textId="77777777" w:rsidR="000A6D68" w:rsidRPr="0030607B" w:rsidRDefault="000A6D68" w:rsidP="003962CE">
            <w:pPr>
              <w:pStyle w:val="TableParagraph"/>
              <w:spacing w:before="1" w:line="240" w:lineRule="auto"/>
              <w:ind w:left="0" w:right="20"/>
              <w:rPr>
                <w:rFonts w:ascii="Arial" w:hAnsi="Arial" w:cs="Arial"/>
                <w:b/>
                <w:sz w:val="20"/>
                <w:szCs w:val="20"/>
              </w:rPr>
            </w:pPr>
            <w:r w:rsidRPr="000850DD">
              <w:rPr>
                <w:rFonts w:ascii="Arial" w:hAnsi="Arial" w:cs="Arial"/>
                <w:b/>
                <w:color w:val="FFFFFF"/>
                <w:sz w:val="20"/>
                <w:szCs w:val="20"/>
              </w:rPr>
              <w:t>CMS Reporting Period</w:t>
            </w:r>
          </w:p>
        </w:tc>
        <w:tc>
          <w:tcPr>
            <w:tcW w:w="2695" w:type="dxa"/>
            <w:tcBorders>
              <w:top w:val="single" w:sz="4" w:space="0" w:color="auto"/>
              <w:left w:val="single" w:sz="4" w:space="0" w:color="auto"/>
              <w:right w:val="single" w:sz="4" w:space="0" w:color="auto"/>
            </w:tcBorders>
            <w:shd w:val="clear" w:color="auto" w:fill="012E6B"/>
          </w:tcPr>
          <w:p w14:paraId="6EA365D9" w14:textId="77777777" w:rsidR="000A6D68" w:rsidRPr="0030607B" w:rsidRDefault="000A6D68" w:rsidP="003962CE">
            <w:pPr>
              <w:pStyle w:val="TableParagraph"/>
              <w:spacing w:before="1" w:line="240" w:lineRule="auto"/>
              <w:ind w:left="0" w:right="84"/>
              <w:rPr>
                <w:rFonts w:ascii="Arial" w:hAnsi="Arial" w:cs="Arial"/>
                <w:b/>
                <w:sz w:val="20"/>
                <w:szCs w:val="20"/>
              </w:rPr>
            </w:pPr>
            <w:r>
              <w:rPr>
                <w:rFonts w:ascii="Arial" w:hAnsi="Arial" w:cs="Arial"/>
                <w:b/>
                <w:sz w:val="20"/>
                <w:szCs w:val="20"/>
              </w:rPr>
              <w:t>Review</w:t>
            </w:r>
            <w:r w:rsidRPr="0030607B">
              <w:rPr>
                <w:rFonts w:ascii="Arial" w:hAnsi="Arial" w:cs="Arial"/>
                <w:b/>
                <w:sz w:val="20"/>
                <w:szCs w:val="20"/>
              </w:rPr>
              <w:t xml:space="preserve"> Results</w:t>
            </w:r>
          </w:p>
        </w:tc>
      </w:tr>
      <w:tr w:rsidR="000A6D68" w:rsidRPr="00632E35" w14:paraId="54619B13" w14:textId="77777777" w:rsidTr="003962CE">
        <w:trPr>
          <w:cantSplit/>
          <w:trHeight w:val="1343"/>
          <w:jc w:val="center"/>
        </w:trPr>
        <w:tc>
          <w:tcPr>
            <w:tcW w:w="2610" w:type="dxa"/>
            <w:tcBorders>
              <w:top w:val="single" w:sz="4" w:space="0" w:color="000000"/>
              <w:left w:val="single" w:sz="4" w:space="0" w:color="auto"/>
              <w:right w:val="single" w:sz="4" w:space="0" w:color="auto"/>
            </w:tcBorders>
            <w:shd w:val="clear" w:color="auto" w:fill="012E6B"/>
          </w:tcPr>
          <w:p w14:paraId="13C6F056" w14:textId="77777777" w:rsidR="000A6D68" w:rsidRPr="0030607B" w:rsidRDefault="000A6D68" w:rsidP="003962CE">
            <w:pPr>
              <w:pStyle w:val="TableParagraph"/>
              <w:spacing w:before="1" w:line="240" w:lineRule="auto"/>
              <w:ind w:left="139" w:right="20"/>
              <w:rPr>
                <w:rFonts w:ascii="Arial" w:hAnsi="Arial" w:cs="Arial"/>
                <w:b/>
                <w:color w:val="FFFFFF"/>
                <w:sz w:val="20"/>
                <w:szCs w:val="20"/>
              </w:rPr>
            </w:pPr>
            <w:r w:rsidRPr="00B93154">
              <w:rPr>
                <w:rFonts w:ascii="Arial" w:hAnsi="Arial" w:cs="Arial"/>
                <w:bCs/>
                <w:i/>
                <w:iCs/>
                <w:color w:val="FFFFFF"/>
                <w:sz w:val="20"/>
                <w:szCs w:val="20"/>
              </w:rPr>
              <w:t xml:space="preserve">Leapfrog will download the dataset from the </w:t>
            </w:r>
            <w:hyperlink r:id="rId507" w:history="1">
              <w:r w:rsidRPr="00050804">
                <w:rPr>
                  <w:rStyle w:val="Hyperlink"/>
                  <w:rFonts w:ascii="Arial" w:hAnsi="Arial" w:cs="Arial"/>
                  <w:i/>
                  <w:iCs/>
                  <w:color w:val="FFFFFF" w:themeColor="background1"/>
                  <w:sz w:val="20"/>
                  <w:szCs w:val="20"/>
                </w:rPr>
                <w:t>CMS Provider Data Catalog</w:t>
              </w:r>
            </w:hyperlink>
            <w:r w:rsidRPr="00B93154">
              <w:rPr>
                <w:rFonts w:ascii="Arial" w:hAnsi="Arial" w:cs="Arial"/>
                <w:bCs/>
                <w:i/>
                <w:iCs/>
                <w:color w:val="FFFFFF"/>
                <w:sz w:val="20"/>
                <w:szCs w:val="20"/>
              </w:rPr>
              <w:t xml:space="preserve"> on these dates</w:t>
            </w:r>
          </w:p>
        </w:tc>
        <w:tc>
          <w:tcPr>
            <w:tcW w:w="3870" w:type="dxa"/>
            <w:tcBorders>
              <w:top w:val="single" w:sz="4" w:space="0" w:color="000000"/>
              <w:left w:val="single" w:sz="4" w:space="0" w:color="auto"/>
              <w:right w:val="single" w:sz="4" w:space="0" w:color="auto"/>
            </w:tcBorders>
            <w:shd w:val="clear" w:color="auto" w:fill="012E6B"/>
          </w:tcPr>
          <w:p w14:paraId="51FEC00C" w14:textId="77777777" w:rsidR="000A6D68" w:rsidRDefault="000A6D68" w:rsidP="003962CE">
            <w:pPr>
              <w:pStyle w:val="TableParagraph"/>
              <w:spacing w:before="1" w:line="240" w:lineRule="auto"/>
              <w:ind w:left="0" w:right="20"/>
              <w:rPr>
                <w:rFonts w:ascii="Arial" w:hAnsi="Arial" w:cs="Arial"/>
                <w:bCs/>
                <w:i/>
                <w:iCs/>
                <w:color w:val="FFFFFF"/>
                <w:sz w:val="20"/>
                <w:szCs w:val="20"/>
              </w:rPr>
            </w:pPr>
            <w:r w:rsidRPr="00F12EC9">
              <w:rPr>
                <w:rFonts w:ascii="Arial" w:hAnsi="Arial" w:cs="Arial"/>
                <w:bCs/>
                <w:i/>
                <w:iCs/>
                <w:color w:val="FFFFFF"/>
                <w:sz w:val="20"/>
                <w:szCs w:val="20"/>
              </w:rPr>
              <w:t>These reporting periods are subject to CMS data availability on the download date and may change.</w:t>
            </w:r>
          </w:p>
        </w:tc>
        <w:tc>
          <w:tcPr>
            <w:tcW w:w="2695" w:type="dxa"/>
            <w:tcBorders>
              <w:top w:val="single" w:sz="4" w:space="0" w:color="000000"/>
              <w:left w:val="single" w:sz="4" w:space="0" w:color="auto"/>
              <w:right w:val="single" w:sz="4" w:space="0" w:color="auto"/>
            </w:tcBorders>
            <w:shd w:val="clear" w:color="auto" w:fill="012E6B"/>
          </w:tcPr>
          <w:p w14:paraId="351A7E07" w14:textId="77777777" w:rsidR="000A6D68" w:rsidRPr="0030607B" w:rsidRDefault="000A6D68" w:rsidP="003962CE">
            <w:pPr>
              <w:pStyle w:val="TableParagraph"/>
              <w:spacing w:before="1" w:line="240" w:lineRule="auto"/>
              <w:ind w:left="0" w:right="84"/>
              <w:rPr>
                <w:rFonts w:ascii="Arial" w:hAnsi="Arial" w:cs="Arial"/>
                <w:bCs/>
                <w:i/>
                <w:iCs/>
                <w:color w:val="FFFFFF"/>
                <w:sz w:val="20"/>
                <w:szCs w:val="20"/>
              </w:rPr>
            </w:pPr>
            <w:r w:rsidRPr="0030607B">
              <w:rPr>
                <w:rFonts w:ascii="Arial" w:hAnsi="Arial" w:cs="Arial"/>
                <w:bCs/>
                <w:i/>
                <w:iCs/>
                <w:color w:val="FFFFFF"/>
                <w:sz w:val="20"/>
                <w:szCs w:val="20"/>
              </w:rPr>
              <w:t>Data pulled by Leapfrog will be available to review on the Hospital Details Page or Public Reporting Website by these dates</w:t>
            </w:r>
          </w:p>
        </w:tc>
      </w:tr>
      <w:tr w:rsidR="000A6D68" w:rsidRPr="00632E35" w14:paraId="6EB62457" w14:textId="77777777" w:rsidTr="003962CE">
        <w:trPr>
          <w:cantSplit/>
          <w:trHeight w:val="80"/>
          <w:jc w:val="center"/>
        </w:trPr>
        <w:tc>
          <w:tcPr>
            <w:tcW w:w="2610" w:type="dxa"/>
            <w:tcBorders>
              <w:left w:val="single" w:sz="4" w:space="0" w:color="auto"/>
              <w:right w:val="single" w:sz="4" w:space="0" w:color="auto"/>
            </w:tcBorders>
            <w:shd w:val="clear" w:color="auto" w:fill="F2F2F2" w:themeFill="background1" w:themeFillShade="F2"/>
            <w:vAlign w:val="center"/>
          </w:tcPr>
          <w:p w14:paraId="3F86FB26" w14:textId="77777777" w:rsidR="000A6D68" w:rsidRPr="00C32737" w:rsidRDefault="000A6D68" w:rsidP="003962CE">
            <w:pPr>
              <w:pStyle w:val="TableParagraph"/>
              <w:ind w:left="0"/>
              <w:rPr>
                <w:rFonts w:ascii="Arial" w:hAnsi="Arial" w:cs="Arial"/>
                <w:sz w:val="20"/>
                <w:szCs w:val="20"/>
              </w:rPr>
            </w:pPr>
            <w:r>
              <w:rPr>
                <w:rFonts w:ascii="Arial" w:hAnsi="Arial" w:cs="Arial"/>
                <w:sz w:val="20"/>
                <w:szCs w:val="20"/>
              </w:rPr>
              <w:t>June 30, 2026</w:t>
            </w:r>
          </w:p>
        </w:tc>
        <w:tc>
          <w:tcPr>
            <w:tcW w:w="3870" w:type="dxa"/>
            <w:tcBorders>
              <w:left w:val="single" w:sz="4" w:space="0" w:color="auto"/>
              <w:right w:val="single" w:sz="4" w:space="0" w:color="auto"/>
            </w:tcBorders>
            <w:shd w:val="clear" w:color="auto" w:fill="F2F2F2" w:themeFill="background1" w:themeFillShade="F2"/>
            <w:vAlign w:val="center"/>
          </w:tcPr>
          <w:p w14:paraId="385DB314" w14:textId="77777777" w:rsidR="000A6D68" w:rsidRDefault="000A6D68" w:rsidP="003962CE">
            <w:pPr>
              <w:rPr>
                <w:rFonts w:cs="Arial"/>
              </w:rPr>
            </w:pPr>
            <w:r w:rsidRPr="00C32737">
              <w:rPr>
                <w:rFonts w:cs="Arial"/>
              </w:rPr>
              <w:t>OP-32: 1/1/2022 - 12/31/2024</w:t>
            </w:r>
          </w:p>
          <w:p w14:paraId="0AF5283B" w14:textId="77777777" w:rsidR="000D7E2F" w:rsidRPr="00C32737" w:rsidRDefault="000D7E2F" w:rsidP="003962CE">
            <w:pPr>
              <w:rPr>
                <w:rFonts w:cs="Arial"/>
              </w:rPr>
            </w:pPr>
          </w:p>
          <w:p w14:paraId="7DABCAAC" w14:textId="77777777" w:rsidR="000A6D68" w:rsidRPr="00C32737" w:rsidRDefault="000A6D68" w:rsidP="003962CE">
            <w:pPr>
              <w:pStyle w:val="TableParagraph"/>
              <w:ind w:left="0"/>
              <w:rPr>
                <w:rFonts w:ascii="Arial" w:hAnsi="Arial" w:cs="Arial"/>
                <w:sz w:val="20"/>
                <w:szCs w:val="20"/>
              </w:rPr>
            </w:pPr>
            <w:r w:rsidRPr="004D3A41">
              <w:rPr>
                <w:rFonts w:ascii="Arial" w:hAnsi="Arial" w:cs="Arial"/>
                <w:sz w:val="20"/>
                <w:szCs w:val="20"/>
              </w:rPr>
              <w:t>OAS CAHPS: 7/1/2024 - 6/30/2025</w:t>
            </w:r>
          </w:p>
        </w:tc>
        <w:tc>
          <w:tcPr>
            <w:tcW w:w="2695" w:type="dxa"/>
            <w:tcBorders>
              <w:left w:val="single" w:sz="4" w:space="0" w:color="auto"/>
              <w:right w:val="single" w:sz="4" w:space="0" w:color="auto"/>
            </w:tcBorders>
            <w:shd w:val="clear" w:color="auto" w:fill="F2F2F2" w:themeFill="background1" w:themeFillShade="F2"/>
            <w:vAlign w:val="center"/>
          </w:tcPr>
          <w:p w14:paraId="428B2278" w14:textId="77777777" w:rsidR="000A6D68" w:rsidRPr="00C32737" w:rsidRDefault="000A6D68" w:rsidP="003962CE">
            <w:pPr>
              <w:rPr>
                <w:rFonts w:cs="Arial"/>
              </w:rPr>
            </w:pPr>
            <w:r w:rsidRPr="00C32737">
              <w:rPr>
                <w:rFonts w:cs="Arial"/>
              </w:rPr>
              <w:t>July 12, 2026*</w:t>
            </w:r>
          </w:p>
        </w:tc>
      </w:tr>
      <w:tr w:rsidR="000A6D68" w:rsidRPr="00632E35" w14:paraId="3EC75505" w14:textId="77777777" w:rsidTr="003962CE">
        <w:trPr>
          <w:cantSplit/>
          <w:trHeight w:val="80"/>
          <w:jc w:val="center"/>
        </w:trPr>
        <w:tc>
          <w:tcPr>
            <w:tcW w:w="2610" w:type="dxa"/>
            <w:tcBorders>
              <w:left w:val="single" w:sz="4" w:space="0" w:color="auto"/>
              <w:bottom w:val="single" w:sz="4" w:space="0" w:color="auto"/>
              <w:right w:val="single" w:sz="4" w:space="0" w:color="auto"/>
            </w:tcBorders>
            <w:vAlign w:val="center"/>
          </w:tcPr>
          <w:p w14:paraId="5C9D1A23" w14:textId="77777777" w:rsidR="000A6D68" w:rsidRPr="004D3A41" w:rsidRDefault="000A6D68" w:rsidP="003962CE">
            <w:pPr>
              <w:pStyle w:val="TableParagraph"/>
              <w:ind w:left="0"/>
              <w:rPr>
                <w:rFonts w:ascii="Arial" w:hAnsi="Arial" w:cs="Arial"/>
                <w:sz w:val="20"/>
                <w:szCs w:val="20"/>
              </w:rPr>
            </w:pPr>
            <w:r>
              <w:rPr>
                <w:rFonts w:ascii="Arial" w:hAnsi="Arial" w:cs="Arial"/>
                <w:sz w:val="20"/>
                <w:szCs w:val="20"/>
              </w:rPr>
              <w:t>August 31, 2026</w:t>
            </w:r>
          </w:p>
        </w:tc>
        <w:tc>
          <w:tcPr>
            <w:tcW w:w="3870" w:type="dxa"/>
            <w:tcBorders>
              <w:left w:val="single" w:sz="4" w:space="0" w:color="auto"/>
              <w:bottom w:val="single" w:sz="4" w:space="0" w:color="auto"/>
              <w:right w:val="single" w:sz="4" w:space="0" w:color="auto"/>
            </w:tcBorders>
            <w:vAlign w:val="center"/>
          </w:tcPr>
          <w:p w14:paraId="1200865C" w14:textId="77777777" w:rsidR="000A6D68" w:rsidRDefault="000A6D68" w:rsidP="003962CE">
            <w:pPr>
              <w:rPr>
                <w:rFonts w:eastAsia="Calibri" w:cs="Arial"/>
                <w:lang w:bidi="en-US"/>
              </w:rPr>
            </w:pPr>
            <w:r w:rsidRPr="00DC4946">
              <w:rPr>
                <w:rFonts w:eastAsia="Calibri" w:cs="Arial"/>
                <w:lang w:bidi="en-US"/>
              </w:rPr>
              <w:t>OP-32: 1/1/2022 - 12/31/2024</w:t>
            </w:r>
          </w:p>
          <w:p w14:paraId="0D4BE8FF" w14:textId="77777777" w:rsidR="000D7E2F" w:rsidRPr="00DC4946" w:rsidRDefault="000D7E2F" w:rsidP="003962CE">
            <w:pPr>
              <w:rPr>
                <w:rFonts w:eastAsia="Calibri" w:cs="Arial"/>
                <w:lang w:bidi="en-US"/>
              </w:rPr>
            </w:pPr>
          </w:p>
          <w:p w14:paraId="392F4280" w14:textId="77777777" w:rsidR="000A6D68" w:rsidRPr="00DC4946" w:rsidRDefault="000A6D68" w:rsidP="003962CE">
            <w:pPr>
              <w:rPr>
                <w:rFonts w:eastAsia="Calibri" w:cs="Arial"/>
                <w:lang w:bidi="en-US"/>
              </w:rPr>
            </w:pPr>
            <w:r w:rsidRPr="00DC4946">
              <w:rPr>
                <w:rFonts w:eastAsia="Calibri" w:cs="Arial"/>
                <w:lang w:bidi="en-US"/>
              </w:rPr>
              <w:t>OAS CAHPS: 10/1/2024 - 9/30/2025</w:t>
            </w:r>
          </w:p>
        </w:tc>
        <w:tc>
          <w:tcPr>
            <w:tcW w:w="2695" w:type="dxa"/>
            <w:tcBorders>
              <w:left w:val="single" w:sz="4" w:space="0" w:color="auto"/>
              <w:bottom w:val="single" w:sz="4" w:space="0" w:color="auto"/>
              <w:right w:val="single" w:sz="4" w:space="0" w:color="auto"/>
            </w:tcBorders>
            <w:vAlign w:val="center"/>
          </w:tcPr>
          <w:p w14:paraId="6517027D" w14:textId="77777777" w:rsidR="000A6D68" w:rsidRDefault="000A6D68" w:rsidP="003962CE">
            <w:pPr>
              <w:pStyle w:val="TableParagraph"/>
              <w:ind w:left="0"/>
              <w:rPr>
                <w:rFonts w:ascii="Arial" w:hAnsi="Arial" w:cs="Arial"/>
                <w:sz w:val="20"/>
                <w:szCs w:val="20"/>
              </w:rPr>
            </w:pPr>
            <w:r w:rsidRPr="00DC4946">
              <w:rPr>
                <w:rFonts w:ascii="Arial" w:hAnsi="Arial" w:cs="Arial"/>
                <w:sz w:val="20"/>
                <w:szCs w:val="20"/>
              </w:rPr>
              <w:t xml:space="preserve">September </w:t>
            </w:r>
            <w:r>
              <w:rPr>
                <w:rFonts w:ascii="Arial" w:hAnsi="Arial" w:cs="Arial"/>
                <w:sz w:val="20"/>
                <w:szCs w:val="20"/>
              </w:rPr>
              <w:t>10</w:t>
            </w:r>
            <w:r w:rsidRPr="00DC4946">
              <w:rPr>
                <w:rFonts w:ascii="Arial" w:hAnsi="Arial" w:cs="Arial"/>
                <w:sz w:val="20"/>
                <w:szCs w:val="20"/>
              </w:rPr>
              <w:t>, 2026</w:t>
            </w:r>
          </w:p>
        </w:tc>
      </w:tr>
      <w:tr w:rsidR="000A6D68" w:rsidRPr="00632E35" w14:paraId="40609B83" w14:textId="77777777" w:rsidTr="003962CE">
        <w:trPr>
          <w:cantSplit/>
          <w:trHeight w:val="80"/>
          <w:jc w:val="center"/>
        </w:trPr>
        <w:tc>
          <w:tcPr>
            <w:tcW w:w="2610" w:type="dxa"/>
            <w:tcBorders>
              <w:left w:val="single" w:sz="4" w:space="0" w:color="auto"/>
              <w:bottom w:val="single" w:sz="4" w:space="0" w:color="auto"/>
              <w:right w:val="single" w:sz="4" w:space="0" w:color="auto"/>
            </w:tcBorders>
            <w:shd w:val="clear" w:color="auto" w:fill="F2F2F2" w:themeFill="background1" w:themeFillShade="F2"/>
            <w:vAlign w:val="center"/>
          </w:tcPr>
          <w:p w14:paraId="001571F8" w14:textId="615ABA6E" w:rsidR="000A6D68" w:rsidRPr="00C32737" w:rsidRDefault="000A6D68" w:rsidP="003962CE">
            <w:pPr>
              <w:pStyle w:val="TableParagraph"/>
              <w:ind w:left="0"/>
              <w:rPr>
                <w:rFonts w:ascii="Arial" w:hAnsi="Arial" w:cs="Arial"/>
                <w:sz w:val="20"/>
                <w:szCs w:val="20"/>
              </w:rPr>
            </w:pPr>
            <w:r>
              <w:rPr>
                <w:rFonts w:ascii="Arial" w:hAnsi="Arial" w:cs="Arial"/>
                <w:sz w:val="20"/>
                <w:szCs w:val="20"/>
              </w:rPr>
              <w:t>November 30</w:t>
            </w:r>
            <w:r w:rsidRPr="004D3A41">
              <w:rPr>
                <w:rFonts w:ascii="Arial" w:hAnsi="Arial" w:cs="Arial"/>
                <w:sz w:val="20"/>
                <w:szCs w:val="20"/>
              </w:rPr>
              <w:t>, 2026</w:t>
            </w:r>
          </w:p>
        </w:tc>
        <w:tc>
          <w:tcPr>
            <w:tcW w:w="3870" w:type="dxa"/>
            <w:tcBorders>
              <w:left w:val="single" w:sz="4" w:space="0" w:color="auto"/>
              <w:bottom w:val="single" w:sz="4" w:space="0" w:color="auto"/>
              <w:right w:val="single" w:sz="4" w:space="0" w:color="auto"/>
            </w:tcBorders>
            <w:shd w:val="clear" w:color="auto" w:fill="F2F2F2" w:themeFill="background1" w:themeFillShade="F2"/>
            <w:vAlign w:val="center"/>
          </w:tcPr>
          <w:p w14:paraId="51C1DFB4" w14:textId="77777777" w:rsidR="000A6D68" w:rsidRDefault="000A6D68" w:rsidP="003962CE">
            <w:pPr>
              <w:rPr>
                <w:rFonts w:eastAsia="Calibri" w:cs="Arial"/>
                <w:lang w:bidi="en-US"/>
              </w:rPr>
            </w:pPr>
            <w:r w:rsidRPr="00F12EC9">
              <w:rPr>
                <w:rFonts w:eastAsia="Calibri" w:cs="Arial"/>
                <w:lang w:bidi="en-US"/>
              </w:rPr>
              <w:t>OP-32: 1/1/2022 - 12/31/2024</w:t>
            </w:r>
          </w:p>
          <w:p w14:paraId="55293F6A" w14:textId="77777777" w:rsidR="000D7E2F" w:rsidRPr="00F12EC9" w:rsidRDefault="000D7E2F" w:rsidP="003962CE">
            <w:pPr>
              <w:rPr>
                <w:rFonts w:eastAsia="Calibri" w:cs="Arial"/>
                <w:lang w:bidi="en-US"/>
              </w:rPr>
            </w:pPr>
          </w:p>
          <w:p w14:paraId="15AFE778" w14:textId="77777777" w:rsidR="000A6D68" w:rsidRPr="002D649A" w:rsidRDefault="000A6D68" w:rsidP="003962CE">
            <w:pPr>
              <w:pStyle w:val="TableParagraph"/>
              <w:ind w:left="0"/>
              <w:rPr>
                <w:rFonts w:ascii="Arial" w:hAnsi="Arial" w:cs="Arial"/>
                <w:sz w:val="20"/>
                <w:szCs w:val="20"/>
              </w:rPr>
            </w:pPr>
            <w:r>
              <w:rPr>
                <w:rFonts w:ascii="Arial" w:hAnsi="Arial" w:cs="Arial"/>
                <w:sz w:val="20"/>
                <w:szCs w:val="20"/>
              </w:rPr>
              <w:t xml:space="preserve">OAS </w:t>
            </w:r>
            <w:r w:rsidRPr="004D3A41">
              <w:rPr>
                <w:rFonts w:ascii="Arial" w:hAnsi="Arial" w:cs="Arial"/>
                <w:sz w:val="20"/>
                <w:szCs w:val="20"/>
              </w:rPr>
              <w:t>CAHPS: 1/1/2025 - 12/31/2025</w:t>
            </w:r>
          </w:p>
        </w:tc>
        <w:tc>
          <w:tcPr>
            <w:tcW w:w="2695" w:type="dxa"/>
            <w:tcBorders>
              <w:left w:val="single" w:sz="4" w:space="0" w:color="auto"/>
              <w:bottom w:val="single" w:sz="4" w:space="0" w:color="auto"/>
              <w:right w:val="single" w:sz="4" w:space="0" w:color="auto"/>
            </w:tcBorders>
            <w:shd w:val="clear" w:color="auto" w:fill="F2F2F2" w:themeFill="background1" w:themeFillShade="F2"/>
            <w:vAlign w:val="center"/>
          </w:tcPr>
          <w:p w14:paraId="184F9700" w14:textId="77777777" w:rsidR="000A6D68" w:rsidRPr="00C32737" w:rsidRDefault="000A6D68" w:rsidP="003962CE">
            <w:pPr>
              <w:pStyle w:val="TableParagraph"/>
              <w:ind w:left="0"/>
              <w:rPr>
                <w:rFonts w:ascii="Arial" w:hAnsi="Arial" w:cs="Arial"/>
                <w:sz w:val="20"/>
                <w:szCs w:val="20"/>
              </w:rPr>
            </w:pPr>
            <w:r>
              <w:rPr>
                <w:rFonts w:ascii="Arial" w:hAnsi="Arial" w:cs="Arial"/>
                <w:sz w:val="20"/>
                <w:szCs w:val="20"/>
              </w:rPr>
              <w:t>December 9</w:t>
            </w:r>
            <w:r w:rsidRPr="00C32737">
              <w:rPr>
                <w:rFonts w:ascii="Arial" w:hAnsi="Arial" w:cs="Arial"/>
                <w:sz w:val="20"/>
                <w:szCs w:val="20"/>
              </w:rPr>
              <w:t>, 202</w:t>
            </w:r>
            <w:r>
              <w:rPr>
                <w:rFonts w:ascii="Arial" w:hAnsi="Arial" w:cs="Arial"/>
                <w:sz w:val="20"/>
                <w:szCs w:val="20"/>
              </w:rPr>
              <w:t>6</w:t>
            </w:r>
          </w:p>
        </w:tc>
      </w:tr>
    </w:tbl>
    <w:p w14:paraId="5E17CA63" w14:textId="77777777" w:rsidR="000A6D68" w:rsidRDefault="000A6D68" w:rsidP="000C2E89"/>
    <w:p w14:paraId="5044D47F" w14:textId="77777777" w:rsidR="006F04F1" w:rsidRPr="001A7FD5" w:rsidRDefault="006F04F1" w:rsidP="006F04F1">
      <w:pPr>
        <w:rPr>
          <w:rFonts w:cs="Arial"/>
          <w:b/>
          <w:u w:val="single"/>
        </w:rPr>
      </w:pPr>
      <w:r>
        <w:rPr>
          <w:rFonts w:cs="Arial"/>
        </w:rPr>
        <w:t xml:space="preserve">*Data will be published to the </w:t>
      </w:r>
      <w:r w:rsidRPr="00A27F3A">
        <w:rPr>
          <w:rFonts w:cs="Arial"/>
        </w:rPr>
        <w:t xml:space="preserve">Public Reporting Website </w:t>
      </w:r>
      <w:r>
        <w:rPr>
          <w:rFonts w:cs="Arial"/>
        </w:rPr>
        <w:t xml:space="preserve">starting on </w:t>
      </w:r>
      <w:r w:rsidRPr="00A27F3A">
        <w:rPr>
          <w:rFonts w:cs="Arial"/>
        </w:rPr>
        <w:t xml:space="preserve">July 25, </w:t>
      </w:r>
      <w:r>
        <w:rPr>
          <w:rFonts w:cs="Arial"/>
        </w:rPr>
        <w:t>2026.</w:t>
      </w:r>
    </w:p>
    <w:p w14:paraId="6288B428" w14:textId="77777777" w:rsidR="00387989" w:rsidRDefault="00387989" w:rsidP="000C2E89">
      <w:pPr>
        <w:rPr>
          <w:lang w:eastAsia="ja-JP"/>
        </w:rPr>
      </w:pPr>
    </w:p>
    <w:p w14:paraId="7BB1C2B4" w14:textId="77777777" w:rsidR="00624EC6" w:rsidRDefault="00624EC6" w:rsidP="000C2E89">
      <w:pPr>
        <w:rPr>
          <w:lang w:eastAsia="ja-JP"/>
        </w:rPr>
      </w:pPr>
    </w:p>
    <w:p w14:paraId="2F54D39A" w14:textId="1C3658AC" w:rsidR="00CD2ECF" w:rsidRPr="00222413" w:rsidRDefault="00CD2ECF" w:rsidP="00CD2ECF">
      <w:pPr>
        <w:rPr>
          <w:lang w:eastAsia="ja-JP"/>
        </w:rPr>
      </w:pPr>
      <w:r w:rsidRPr="00222413">
        <w:rPr>
          <w:lang w:eastAsia="ja-JP"/>
        </w:rPr>
        <w:t>See</w:t>
      </w:r>
      <w:r w:rsidRPr="001C2840">
        <w:rPr>
          <w:lang w:eastAsia="ja-JP"/>
        </w:rPr>
        <w:t xml:space="preserve"> </w:t>
      </w:r>
      <w:hyperlink w:anchor="_Patient_Experience_(OAS_1" w:history="1">
        <w:r w:rsidRPr="001C2840">
          <w:rPr>
            <w:rStyle w:val="Hyperlink"/>
            <w:lang w:eastAsia="ja-JP"/>
          </w:rPr>
          <w:t>FAQs</w:t>
        </w:r>
      </w:hyperlink>
      <w:r w:rsidRPr="00222413">
        <w:rPr>
          <w:lang w:eastAsia="ja-JP"/>
        </w:rPr>
        <w:t xml:space="preserve"> for additional information about responding to questions in this section.</w:t>
      </w:r>
    </w:p>
    <w:p w14:paraId="54467DCC" w14:textId="6BF48A9C" w:rsidR="00CD2ECF" w:rsidRPr="000C2E89" w:rsidRDefault="00CD2ECF" w:rsidP="000C2E89">
      <w:pPr>
        <w:rPr>
          <w:lang w:eastAsia="ja-JP"/>
        </w:rPr>
      </w:pPr>
    </w:p>
    <w:p w14:paraId="3AEAC4D5" w14:textId="77777777" w:rsidR="000C2E89" w:rsidRDefault="000C2E89">
      <w:pPr>
        <w:rPr>
          <w:b/>
          <w:sz w:val="28"/>
          <w:szCs w:val="24"/>
          <w:u w:val="single"/>
          <w:lang w:eastAsia="ja-JP"/>
        </w:rPr>
      </w:pPr>
    </w:p>
    <w:p w14:paraId="5B8DF15A" w14:textId="77777777" w:rsidR="000C2E89" w:rsidRDefault="000C2E89">
      <w:pPr>
        <w:rPr>
          <w:b/>
          <w:sz w:val="28"/>
          <w:szCs w:val="24"/>
          <w:u w:val="single"/>
          <w:lang w:eastAsia="ja-JP"/>
        </w:rPr>
      </w:pPr>
      <w:r>
        <w:br w:type="page"/>
      </w:r>
    </w:p>
    <w:p w14:paraId="6F70EF98" w14:textId="79432D0D" w:rsidR="00974A8E" w:rsidRDefault="00AB15C8" w:rsidP="00CF5A6E">
      <w:pPr>
        <w:pStyle w:val="Heading2"/>
      </w:pPr>
      <w:bookmarkStart w:id="837" w:name="_Patient_Experience_(OAS_1"/>
      <w:bookmarkStart w:id="838" w:name="_Toc225877873"/>
      <w:bookmarkEnd w:id="837"/>
      <w:r>
        <w:lastRenderedPageBreak/>
        <w:t xml:space="preserve">Section 9F: </w:t>
      </w:r>
      <w:r w:rsidR="004D7CAC">
        <w:t>CMS Measures</w:t>
      </w:r>
      <w:r w:rsidR="00E4363F">
        <w:t xml:space="preserve"> </w:t>
      </w:r>
      <w:r w:rsidR="00974A8E">
        <w:t>Frequently Asked Questions (FAQs)</w:t>
      </w:r>
      <w:bookmarkEnd w:id="838"/>
    </w:p>
    <w:p w14:paraId="655ADB9B" w14:textId="347E96E4" w:rsidR="0011374D" w:rsidRDefault="0011374D" w:rsidP="000B00E5"/>
    <w:p w14:paraId="23B626E0" w14:textId="7D6DB2A5" w:rsidR="00333224" w:rsidRPr="00ED3EC6" w:rsidRDefault="00333224" w:rsidP="00983741">
      <w:pPr>
        <w:pStyle w:val="ListParagraph"/>
        <w:numPr>
          <w:ilvl w:val="0"/>
          <w:numId w:val="450"/>
        </w:numPr>
        <w:rPr>
          <w:b/>
          <w:bCs/>
          <w:lang w:eastAsia="ja-JP"/>
        </w:rPr>
      </w:pPr>
      <w:r w:rsidRPr="00ED3EC6">
        <w:rPr>
          <w:b/>
          <w:bCs/>
          <w:lang w:eastAsia="ja-JP"/>
        </w:rPr>
        <w:t xml:space="preserve">We share a CMS Certification Number (CCN) with another hospital that participates in the OAS CAHPS Survey. How can we report on results from the OAS CAHPS Survey that are specific to our outpatient department? </w:t>
      </w:r>
    </w:p>
    <w:p w14:paraId="349B0DCF" w14:textId="77777777" w:rsidR="007020D6" w:rsidRDefault="007020D6" w:rsidP="007020D6">
      <w:pPr>
        <w:pStyle w:val="ListParagraph"/>
        <w:ind w:left="360"/>
        <w:rPr>
          <w:lang w:eastAsia="ja-JP"/>
        </w:rPr>
      </w:pPr>
      <w:r>
        <w:rPr>
          <w:lang w:eastAsia="ja-JP"/>
        </w:rPr>
        <w:t xml:space="preserve">Since OAS CAHPS data is now pulled on behalf of hospitals using CCNs, Leapfrog can no longer report OAS CAHPS data by individual facilities when CCNs are shared. Leapfrog has cautioned against hospitals located on separate campuses sharing CCNs since results will be aggregated and publicly reported on information tools, such as CMS Care Compare and the Leapfrog Hospital Safety Grade. While Leapfrog is committed to making </w:t>
      </w:r>
      <w:r w:rsidRPr="00C538C2">
        <w:rPr>
          <w:lang w:eastAsia="ja-JP"/>
        </w:rPr>
        <w:t>differences among facilities known to patients and their families</w:t>
      </w:r>
      <w:r>
        <w:rPr>
          <w:lang w:eastAsia="ja-JP"/>
        </w:rPr>
        <w:t xml:space="preserve">, Leapfrog made this change to minimize administrative burden associated with completing the Survey. </w:t>
      </w:r>
    </w:p>
    <w:p w14:paraId="73E3E93A" w14:textId="77777777" w:rsidR="00430A1C" w:rsidRPr="00ED3EC6" w:rsidRDefault="00430A1C" w:rsidP="00430A1C">
      <w:pPr>
        <w:pStyle w:val="ListParagraph"/>
        <w:ind w:left="360"/>
        <w:rPr>
          <w:b/>
          <w:bCs/>
          <w:lang w:eastAsia="ja-JP"/>
        </w:rPr>
      </w:pPr>
    </w:p>
    <w:p w14:paraId="78829D84" w14:textId="77777777" w:rsidR="00983741" w:rsidRPr="00ED3EC6" w:rsidRDefault="00983741" w:rsidP="00983741">
      <w:pPr>
        <w:numPr>
          <w:ilvl w:val="0"/>
          <w:numId w:val="450"/>
        </w:numPr>
        <w:rPr>
          <w:b/>
          <w:bCs/>
          <w:lang w:eastAsia="ja-JP"/>
        </w:rPr>
      </w:pPr>
      <w:r w:rsidRPr="00ED3EC6">
        <w:rPr>
          <w:b/>
          <w:bCs/>
          <w:lang w:eastAsia="ja-JP"/>
        </w:rPr>
        <w:t xml:space="preserve">Why does Leapfrog not publicly report the “Preparations for Discharge and Recovery” OAS CAHPS domain for hospitals? </w:t>
      </w:r>
    </w:p>
    <w:p w14:paraId="1C5721BA" w14:textId="305AEE42" w:rsidR="007020D6" w:rsidRDefault="00983741" w:rsidP="00983741">
      <w:pPr>
        <w:pStyle w:val="ListParagraph"/>
        <w:ind w:left="360"/>
        <w:rPr>
          <w:lang w:eastAsia="ja-JP"/>
        </w:rPr>
      </w:pPr>
      <w:r>
        <w:rPr>
          <w:lang w:eastAsia="ja-JP"/>
        </w:rPr>
        <w:t xml:space="preserve">Leapfrog plans to publicly report the “Preparations for Discharge and Recovery” OAS CAHPS domain for both ASCs and hospitals in future Surveys. The scores for this domain are not expected to be publicly available for ASCs until late 2026, and Leapfrog aligns </w:t>
      </w:r>
      <w:r w:rsidR="00A93229">
        <w:rPr>
          <w:lang w:eastAsia="ja-JP"/>
        </w:rPr>
        <w:t xml:space="preserve">with </w:t>
      </w:r>
      <w:r>
        <w:rPr>
          <w:lang w:eastAsia="ja-JP"/>
        </w:rPr>
        <w:t>the public reporting of OAS CAHPS measures for both HOPDs and ASCs.</w:t>
      </w:r>
    </w:p>
    <w:p w14:paraId="41715A1E" w14:textId="77777777" w:rsidR="007020D6" w:rsidRPr="00AB2AFB" w:rsidRDefault="007020D6" w:rsidP="00983741">
      <w:pPr>
        <w:ind w:left="360"/>
        <w:rPr>
          <w:lang w:eastAsia="ja-JP"/>
        </w:rPr>
      </w:pPr>
    </w:p>
    <w:p w14:paraId="7E645485" w14:textId="413BD004" w:rsidR="00333224" w:rsidRDefault="00333224" w:rsidP="00333224">
      <w:pPr>
        <w:ind w:left="360"/>
        <w:rPr>
          <w:snapToGrid w:val="0"/>
          <w:sz w:val="40"/>
          <w:szCs w:val="40"/>
          <w:lang w:eastAsia="ja-JP"/>
        </w:rPr>
      </w:pPr>
    </w:p>
    <w:p w14:paraId="1EFA7AFA" w14:textId="77777777" w:rsidR="005F035A" w:rsidRDefault="00FD51D6">
      <w:pPr>
        <w:sectPr w:rsidR="005F035A" w:rsidSect="00062F69">
          <w:headerReference w:type="default" r:id="rId508"/>
          <w:endnotePr>
            <w:numFmt w:val="decimal"/>
          </w:endnotePr>
          <w:type w:val="continuous"/>
          <w:pgSz w:w="12240" w:h="15840"/>
          <w:pgMar w:top="1080" w:right="1440" w:bottom="1080" w:left="1440" w:header="720" w:footer="720" w:gutter="0"/>
          <w:cols w:space="720"/>
          <w:docGrid w:linePitch="272"/>
        </w:sectPr>
      </w:pPr>
      <w:r>
        <w:br w:type="page"/>
      </w:r>
    </w:p>
    <w:p w14:paraId="0CBD94F6" w14:textId="259EB969" w:rsidR="008910AA" w:rsidRPr="009A5185" w:rsidRDefault="00B94757" w:rsidP="00D32C75">
      <w:pPr>
        <w:pStyle w:val="SectionHeader"/>
      </w:pPr>
      <w:bookmarkStart w:id="839" w:name="_Toc225877874"/>
      <w:r w:rsidRPr="009A5185">
        <w:lastRenderedPageBreak/>
        <w:t>Endnotes</w:t>
      </w:r>
      <w:bookmarkEnd w:id="839"/>
    </w:p>
    <w:sectPr w:rsidR="008910AA" w:rsidRPr="009A5185" w:rsidSect="005F035A">
      <w:headerReference w:type="default" r:id="rId509"/>
      <w:endnotePr>
        <w:numFmt w:val="decimal"/>
      </w:endnotePr>
      <w:pgSz w:w="12240" w:h="15840"/>
      <w:pgMar w:top="1080" w:right="1440" w:bottom="108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4112E" w14:textId="77777777" w:rsidR="004369FE" w:rsidRDefault="004369FE">
      <w:pPr>
        <w:pBdr>
          <w:bottom w:val="single" w:sz="12" w:space="1" w:color="auto"/>
        </w:pBdr>
      </w:pPr>
    </w:p>
    <w:p w14:paraId="5AF3E63B" w14:textId="77777777" w:rsidR="004369FE" w:rsidRDefault="004369FE"/>
    <w:p w14:paraId="59D43B13" w14:textId="77777777" w:rsidR="004369FE" w:rsidRDefault="004369FE"/>
  </w:endnote>
  <w:endnote w:type="continuationSeparator" w:id="0">
    <w:p w14:paraId="0403BEF6" w14:textId="77777777" w:rsidR="004369FE" w:rsidRDefault="004369FE">
      <w:pPr>
        <w:pBdr>
          <w:bottom w:val="single" w:sz="12" w:space="1" w:color="auto"/>
        </w:pBdr>
      </w:pPr>
    </w:p>
    <w:p w14:paraId="1EC19C9D" w14:textId="77777777" w:rsidR="004369FE" w:rsidRDefault="004369FE"/>
    <w:p w14:paraId="04A20430" w14:textId="77777777" w:rsidR="004369FE" w:rsidRDefault="004369FE"/>
  </w:endnote>
  <w:endnote w:type="continuationNotice" w:id="1">
    <w:p w14:paraId="1FCA0D6F" w14:textId="77777777" w:rsidR="004369FE" w:rsidRDefault="004369FE"/>
    <w:p w14:paraId="25722475" w14:textId="77777777" w:rsidR="004369FE" w:rsidRDefault="004369FE"/>
  </w:endnote>
  <w:endnote w:id="2">
    <w:p w14:paraId="04C6908E" w14:textId="77777777" w:rsidR="005361AB" w:rsidRPr="006C26F6" w:rsidRDefault="005361AB" w:rsidP="005361AB">
      <w:pPr>
        <w:pStyle w:val="EndnoteText"/>
        <w:rPr>
          <w:b/>
          <w:bCs/>
          <w:i/>
          <w:iCs/>
        </w:rPr>
      </w:pPr>
      <w:r w:rsidRPr="006C26F6">
        <w:rPr>
          <w:rStyle w:val="EndnoteReference"/>
        </w:rPr>
        <w:endnoteRef/>
      </w:r>
      <w:r w:rsidRPr="006C26F6">
        <w:t xml:space="preserve"> </w:t>
      </w:r>
      <w:bookmarkStart w:id="55" w:name="acutecareunits_endnote1"/>
      <w:bookmarkEnd w:id="55"/>
      <w:r w:rsidRPr="006C26F6">
        <w:rPr>
          <w:b/>
          <w:bCs/>
          <w:i/>
          <w:iCs/>
        </w:rPr>
        <w:t>Acute-Care Units</w:t>
      </w:r>
    </w:p>
    <w:p w14:paraId="6591ED4D" w14:textId="76079D8A" w:rsidR="00591FF7" w:rsidRPr="006C26F6" w:rsidRDefault="005361AB" w:rsidP="005361AB">
      <w:r w:rsidRPr="006C26F6">
        <w:t>Include units used for short-term, acute-care medical</w:t>
      </w:r>
      <w:r w:rsidR="00FF6756">
        <w:t xml:space="preserve">, surgical, </w:t>
      </w:r>
      <w:r w:rsidR="008502AE">
        <w:t>medical/</w:t>
      </w:r>
      <w:r w:rsidRPr="006C26F6">
        <w:t>surgical</w:t>
      </w:r>
      <w:r w:rsidR="004C1371" w:rsidRPr="006C26F6">
        <w:t xml:space="preserve"> (including telemetry)</w:t>
      </w:r>
      <w:r w:rsidRPr="006C26F6">
        <w:t xml:space="preserve">, </w:t>
      </w:r>
      <w:r w:rsidR="00591FF7" w:rsidRPr="006C26F6">
        <w:t>as well as</w:t>
      </w:r>
      <w:r w:rsidRPr="006C26F6">
        <w:t xml:space="preserve"> obstetrical, intensive, </w:t>
      </w:r>
      <w:r w:rsidR="00591FF7" w:rsidRPr="006C26F6">
        <w:t xml:space="preserve">and </w:t>
      </w:r>
      <w:r w:rsidRPr="006C26F6">
        <w:t xml:space="preserve">step-down/progressive care. </w:t>
      </w:r>
    </w:p>
    <w:p w14:paraId="61AA7932" w14:textId="77777777" w:rsidR="00591FF7" w:rsidRPr="006C26F6" w:rsidRDefault="00591FF7" w:rsidP="005361AB"/>
    <w:p w14:paraId="50A4576D" w14:textId="5FF7B5AD" w:rsidR="005361AB" w:rsidRPr="00E67EDC" w:rsidRDefault="005361AB" w:rsidP="005361AB">
      <w:pPr>
        <w:rPr>
          <w:sz w:val="16"/>
          <w:szCs w:val="16"/>
        </w:rPr>
      </w:pPr>
      <w:r w:rsidRPr="006C26F6">
        <w:t xml:space="preserve">Exclude units used for short and long-term psychiatric care, rehabilitation, observation, or sub-acute care (e.g., skilled nursing facility, hospice extended care, sub-acute eating disorder treatment, extended care facility, or residential substance abuse treatment), and swing </w:t>
      </w:r>
      <w:r w:rsidR="0007470A" w:rsidRPr="006C26F6">
        <w:t xml:space="preserve">bed </w:t>
      </w:r>
      <w:r w:rsidRPr="006C26F6">
        <w:t>units.</w:t>
      </w:r>
    </w:p>
    <w:p w14:paraId="4BBAC125" w14:textId="77777777" w:rsidR="005361AB" w:rsidRPr="00A62080" w:rsidRDefault="005361AB" w:rsidP="005361AB">
      <w:pPr>
        <w:pStyle w:val="EndnoteText"/>
      </w:pPr>
    </w:p>
  </w:endnote>
  <w:endnote w:id="3">
    <w:p w14:paraId="7ECAB8D0" w14:textId="77777777" w:rsidR="00322A3C" w:rsidRDefault="00322A3C">
      <w:pPr>
        <w:pStyle w:val="EndnoteText"/>
        <w:rPr>
          <w:b/>
        </w:rPr>
      </w:pPr>
      <w:r>
        <w:rPr>
          <w:rStyle w:val="EndnoteReference"/>
        </w:rPr>
        <w:endnoteRef/>
      </w:r>
      <w:r>
        <w:t xml:space="preserve"> </w:t>
      </w:r>
      <w:bookmarkStart w:id="64" w:name="Endnote1_CCN"/>
      <w:r>
        <w:rPr>
          <w:b/>
          <w:i/>
        </w:rPr>
        <w:t>CMS Certification Number (CCN)</w:t>
      </w:r>
      <w:bookmarkEnd w:id="64"/>
    </w:p>
    <w:p w14:paraId="42210783" w14:textId="0A42C6C0" w:rsidR="00322A3C" w:rsidRDefault="00322A3C">
      <w:pPr>
        <w:pStyle w:val="EndnoteText"/>
      </w:pPr>
      <w:r w:rsidRPr="00176A85">
        <w:t xml:space="preserve">A CMS Certification Number (CCN) is issued by the Centers for Medicare and Medicaid Services (CMS) to financial reporting entities, which may be individual hospitals or a group of hospitals, </w:t>
      </w:r>
      <w:r w:rsidRPr="00055F1E">
        <w:t xml:space="preserve">for </w:t>
      </w:r>
      <w:r w:rsidR="007364C8" w:rsidRPr="00055F1E">
        <w:t xml:space="preserve">the </w:t>
      </w:r>
      <w:r w:rsidRPr="00C64B8D">
        <w:t xml:space="preserve">purpose </w:t>
      </w:r>
      <w:r w:rsidRPr="00055F1E">
        <w:t xml:space="preserve">of reimbursement. While Leapfrog does ask each campus of a multi-hospital system to submit an individual Survey, hospitals within the system may be assigned the same CMS Certification Number and therefore should have the same CCN reported in this field. CCNs are six digits; with the first two digits representing the state in which the hospital is located. Hospitals that do not receive Medicare reimbursement may not have a CMS Certification Number and should not have a CCN reported in this field. Leapfrog pre-populates this field in the Online Hospital Survey Tool. If the hospital’s CCN is different from the one shown online, please contact the </w:t>
      </w:r>
      <w:hyperlink r:id="rId1" w:history="1">
        <w:r w:rsidRPr="00055F1E">
          <w:rPr>
            <w:rStyle w:val="Hyperlink"/>
          </w:rPr>
          <w:t>Help Desk</w:t>
        </w:r>
      </w:hyperlink>
      <w:r w:rsidRPr="00055F1E">
        <w:t>.</w:t>
      </w:r>
    </w:p>
    <w:p w14:paraId="082A017D" w14:textId="77777777" w:rsidR="00322A3C" w:rsidRPr="00216021" w:rsidRDefault="00322A3C">
      <w:pPr>
        <w:pStyle w:val="EndnoteText"/>
      </w:pPr>
    </w:p>
  </w:endnote>
  <w:endnote w:id="4">
    <w:p w14:paraId="4E87C42B" w14:textId="77777777" w:rsidR="00322A3C" w:rsidRPr="00D3362F" w:rsidRDefault="00322A3C">
      <w:pPr>
        <w:pStyle w:val="EndnoteText"/>
        <w:rPr>
          <w:b/>
          <w:i/>
        </w:rPr>
      </w:pPr>
      <w:r w:rsidRPr="00D3362F">
        <w:rPr>
          <w:rStyle w:val="EndnoteReference"/>
        </w:rPr>
        <w:endnoteRef/>
      </w:r>
      <w:r w:rsidRPr="00D3362F">
        <w:t xml:space="preserve"> </w:t>
      </w:r>
      <w:bookmarkStart w:id="65" w:name="Endnote2_NHSNID"/>
      <w:r w:rsidRPr="00D3362F">
        <w:rPr>
          <w:b/>
          <w:i/>
        </w:rPr>
        <w:t>National Health Safety Network (NHSN) ID</w:t>
      </w:r>
      <w:bookmarkEnd w:id="65"/>
    </w:p>
    <w:p w14:paraId="497D8275" w14:textId="58728290" w:rsidR="00322A3C" w:rsidRPr="00D3362F" w:rsidRDefault="00322A3C">
      <w:pPr>
        <w:pStyle w:val="EndnoteText"/>
      </w:pPr>
      <w:r w:rsidRPr="00D3362F">
        <w:t xml:space="preserve">A NHSN ID is issued by the Centers for Disease Control and Prevention and is used as a unique identifier for facilities participating in NHSN surveillance activities. Each hospital within a system, even if they share a CCN, </w:t>
      </w:r>
      <w:r w:rsidR="008B63C2" w:rsidRPr="00D3362F">
        <w:t>must</w:t>
      </w:r>
      <w:r w:rsidRPr="00D3362F">
        <w:t xml:space="preserve"> report separately to NHSN and should have their own NHSN ID if they are located separately. Please see the NHSN instructions available at</w:t>
      </w:r>
      <w:r w:rsidR="004447C7">
        <w:t xml:space="preserve"> </w:t>
      </w:r>
      <w:hyperlink r:id="rId2" w:history="1">
        <w:r w:rsidR="00F417A4" w:rsidRPr="00A2752F">
          <w:rPr>
            <w:rStyle w:val="Hyperlink"/>
          </w:rPr>
          <w:t>https://www.leapfroggroup.org/survey-materials/review-nhsn-instructions</w:t>
        </w:r>
      </w:hyperlink>
      <w:r w:rsidR="0043148D">
        <w:t>.</w:t>
      </w:r>
      <w:r w:rsidR="00F417A4">
        <w:t xml:space="preserve"> </w:t>
      </w:r>
      <w:r w:rsidRPr="00D3362F">
        <w:t xml:space="preserve">NHSN IDs are five digits. Leapfrog pre-populates this field in the Online Hospital Survey Tool for hospitals that provided a valid NHSN ID, joined our NHSN Group, and submitted </w:t>
      </w:r>
      <w:r w:rsidR="00FC0BA7" w:rsidRPr="00D3362F">
        <w:t>the 202</w:t>
      </w:r>
      <w:r w:rsidR="003061F3">
        <w:t>5</w:t>
      </w:r>
      <w:r w:rsidR="00FC0BA7" w:rsidRPr="00D3362F">
        <w:t xml:space="preserve"> Leapfrog Hospital Survey</w:t>
      </w:r>
      <w:r w:rsidRPr="00D3362F">
        <w:t>. If the hospital NHSN ID is different from the one shown online, please update accordingly.</w:t>
      </w:r>
    </w:p>
    <w:p w14:paraId="6F029E5D" w14:textId="77777777" w:rsidR="00322A3C" w:rsidRPr="00D3362F" w:rsidRDefault="00322A3C">
      <w:pPr>
        <w:pStyle w:val="EndnoteText"/>
        <w:rPr>
          <w:sz w:val="16"/>
          <w:szCs w:val="16"/>
        </w:rPr>
      </w:pPr>
    </w:p>
    <w:p w14:paraId="52824A26" w14:textId="16DBBB3C" w:rsidR="00322A3C" w:rsidRPr="00A05363" w:rsidRDefault="00322A3C">
      <w:pPr>
        <w:pStyle w:val="EndnoteText"/>
      </w:pPr>
      <w:r w:rsidRPr="00D3362F">
        <w:t xml:space="preserve">In order to be scored and publicly reported for any of the five applicable infection measures and to have the hospital’s teaching status represented, hospitals must: (1) provide an accurate NHSN ID in the Profile, (2) join Leapfrog’s NHSN Group by the appropriate </w:t>
      </w:r>
      <w:hyperlink r:id="rId3" w:history="1">
        <w:r w:rsidRPr="00D3362F">
          <w:rPr>
            <w:rStyle w:val="Hyperlink"/>
          </w:rPr>
          <w:t>deadline</w:t>
        </w:r>
      </w:hyperlink>
      <w:r w:rsidRPr="00D3362F">
        <w:t xml:space="preserve">, and (3) submit </w:t>
      </w:r>
      <w:r w:rsidR="0045656E" w:rsidRPr="00D3362F">
        <w:t>the 202</w:t>
      </w:r>
      <w:r w:rsidR="00206A52">
        <w:t>6</w:t>
      </w:r>
      <w:r w:rsidR="0045656E" w:rsidRPr="00D3362F">
        <w:t xml:space="preserve"> Leapfrog Hospital Survey</w:t>
      </w:r>
      <w:r w:rsidRPr="00D3362F">
        <w:t xml:space="preserve"> by the appropriate </w:t>
      </w:r>
      <w:hyperlink r:id="rId4" w:history="1">
        <w:r w:rsidRPr="00D3362F">
          <w:rPr>
            <w:rStyle w:val="Hyperlink"/>
          </w:rPr>
          <w:t>deadline</w:t>
        </w:r>
      </w:hyperlink>
      <w:r w:rsidRPr="00D3362F">
        <w:t>.</w:t>
      </w:r>
      <w:r w:rsidRPr="00A05363">
        <w:t xml:space="preserve"> </w:t>
      </w:r>
    </w:p>
    <w:p w14:paraId="6B637117" w14:textId="77777777" w:rsidR="00322A3C" w:rsidRPr="00216021" w:rsidRDefault="00322A3C">
      <w:pPr>
        <w:pStyle w:val="EndnoteText"/>
      </w:pPr>
    </w:p>
  </w:endnote>
  <w:endnote w:id="5">
    <w:p w14:paraId="13824571" w14:textId="56353C2D" w:rsidR="006601D7" w:rsidRPr="00D3362F" w:rsidRDefault="006601D7" w:rsidP="006601D7">
      <w:pPr>
        <w:pStyle w:val="EndnoteText"/>
      </w:pPr>
      <w:bookmarkStart w:id="66" w:name="Endnote3_VonID"/>
      <w:r w:rsidRPr="00D3362F">
        <w:rPr>
          <w:rStyle w:val="EndnoteReference"/>
        </w:rPr>
        <w:endnoteRef/>
      </w:r>
      <w:r w:rsidRPr="00D3362F">
        <w:t xml:space="preserve"> </w:t>
      </w:r>
      <w:r w:rsidRPr="00D3362F">
        <w:rPr>
          <w:b/>
          <w:bCs/>
          <w:i/>
          <w:iCs/>
        </w:rPr>
        <w:t>Vermont Oxford Network (VON) Transfer Code</w:t>
      </w:r>
    </w:p>
    <w:bookmarkEnd w:id="66"/>
    <w:p w14:paraId="350B8C87" w14:textId="4FBE2E39" w:rsidR="006601D7" w:rsidRPr="006601D7" w:rsidRDefault="006601D7" w:rsidP="006601D7">
      <w:pPr>
        <w:pStyle w:val="EndnoteText"/>
      </w:pPr>
      <w:r w:rsidRPr="00D3362F">
        <w:t xml:space="preserve">A Vermont Oxford Network (VON) Transfer Code is issued by the Vermont Oxford Network and is used as a unique identifier for hospitals reporting data through the VON Nightingale Internet Reporting System. Each hospital has their own VON Transfer Code, which can be found at </w:t>
      </w:r>
      <w:hyperlink r:id="rId5" w:history="1">
        <w:r w:rsidR="00DC3693" w:rsidRPr="00D3362F">
          <w:rPr>
            <w:rStyle w:val="Hyperlink"/>
          </w:rPr>
          <w:t>https://public.vtoxford.org/transfer-codes/</w:t>
        </w:r>
      </w:hyperlink>
      <w:r w:rsidRPr="00D3362F">
        <w:t xml:space="preserve">. VON Transfer Codes are four, five, or seven digits. Leapfrog pre-populates this field in the Online Hospital Survey Tool </w:t>
      </w:r>
      <w:r w:rsidR="0045656E" w:rsidRPr="00D3362F">
        <w:t xml:space="preserve">Profile </w:t>
      </w:r>
      <w:r w:rsidRPr="00D3362F">
        <w:t>for hospitals that provided a valid VON Transfer Code in 202</w:t>
      </w:r>
      <w:r w:rsidR="008212D1">
        <w:t>5</w:t>
      </w:r>
      <w:r w:rsidRPr="00D3362F">
        <w:t>. If the hospital</w:t>
      </w:r>
      <w:r w:rsidR="00677845" w:rsidRPr="00D3362F">
        <w:t>’s</w:t>
      </w:r>
      <w:r w:rsidRPr="00D3362F">
        <w:t xml:space="preserve"> VON Transfer Code is different from the one shown online, please update accordingly.</w:t>
      </w:r>
    </w:p>
    <w:p w14:paraId="07B7B55D" w14:textId="171AE186" w:rsidR="006601D7" w:rsidRPr="00216021" w:rsidRDefault="006601D7">
      <w:pPr>
        <w:pStyle w:val="EndnoteText"/>
      </w:pPr>
    </w:p>
  </w:endnote>
  <w:endnote w:id="6">
    <w:p w14:paraId="60F65EAA" w14:textId="77777777" w:rsidR="000B46D5" w:rsidRDefault="000B46D5">
      <w:pPr>
        <w:pStyle w:val="EndnoteText"/>
      </w:pPr>
      <w:r>
        <w:rPr>
          <w:rStyle w:val="EndnoteReference"/>
        </w:rPr>
        <w:endnoteRef/>
      </w:r>
      <w:r>
        <w:t xml:space="preserve"> </w:t>
      </w:r>
      <w:bookmarkStart w:id="67" w:name="Endnote3_TIN"/>
      <w:r w:rsidRPr="00B06977">
        <w:rPr>
          <w:b/>
          <w:i/>
        </w:rPr>
        <w:t>Federal Tax Identification Number (TIN)</w:t>
      </w:r>
      <w:bookmarkEnd w:id="67"/>
    </w:p>
    <w:p w14:paraId="669A7B65" w14:textId="48727BC0" w:rsidR="000B46D5" w:rsidRDefault="000B46D5">
      <w:pPr>
        <w:pStyle w:val="EndnoteText"/>
      </w:pPr>
      <w:r w:rsidRPr="00B06977">
        <w:t xml:space="preserve">Enter the TIN that your hospital uses for billing purposes. </w:t>
      </w:r>
      <w:r w:rsidRPr="00B06977">
        <w:rPr>
          <w:i/>
        </w:rPr>
        <w:t xml:space="preserve">The number is a nine-digit number </w:t>
      </w:r>
      <w:r>
        <w:rPr>
          <w:i/>
        </w:rPr>
        <w:t>(</w:t>
      </w:r>
      <w:r w:rsidRPr="00B06977">
        <w:rPr>
          <w:i/>
        </w:rPr>
        <w:t>e.g., 098765432</w:t>
      </w:r>
      <w:r>
        <w:rPr>
          <w:i/>
        </w:rPr>
        <w:t>)</w:t>
      </w:r>
      <w:r w:rsidRPr="00B06977">
        <w:rPr>
          <w:i/>
        </w:rPr>
        <w:t xml:space="preserve"> and must conform precisely to this format – be sure to enter any leading 0.</w:t>
      </w:r>
      <w:r w:rsidRPr="00B06977">
        <w:t xml:space="preserve"> If your hospital has more than one TIN, use the one that would most typically be use</w:t>
      </w:r>
      <w:r w:rsidRPr="00624434">
        <w:t>d for UB-04</w:t>
      </w:r>
      <w:r w:rsidRPr="00B06977">
        <w:t xml:space="preserve"> claims filed with commercial health insurance plans for inpatient hospital stays.</w:t>
      </w:r>
    </w:p>
    <w:p w14:paraId="4F7CB126" w14:textId="77777777" w:rsidR="000B46D5" w:rsidRDefault="000B46D5">
      <w:pPr>
        <w:pStyle w:val="EndnoteText"/>
        <w:rPr>
          <w:sz w:val="16"/>
          <w:szCs w:val="16"/>
        </w:rPr>
      </w:pPr>
    </w:p>
    <w:p w14:paraId="198C924A" w14:textId="77777777" w:rsidR="000E7C65" w:rsidRDefault="000E7C65">
      <w:pPr>
        <w:pStyle w:val="EndnoteText"/>
        <w:rPr>
          <w:sz w:val="16"/>
          <w:szCs w:val="16"/>
        </w:rPr>
      </w:pPr>
    </w:p>
    <w:p w14:paraId="32D884A8" w14:textId="77777777" w:rsidR="000E7C65" w:rsidRDefault="000E7C65">
      <w:pPr>
        <w:pStyle w:val="EndnoteText"/>
        <w:rPr>
          <w:sz w:val="16"/>
          <w:szCs w:val="16"/>
        </w:rPr>
      </w:pPr>
    </w:p>
    <w:p w14:paraId="5F93433F" w14:textId="77777777" w:rsidR="000E7C65" w:rsidRPr="00266450" w:rsidRDefault="000E7C65">
      <w:pPr>
        <w:pStyle w:val="EndnoteText"/>
        <w:rPr>
          <w:sz w:val="16"/>
          <w:szCs w:val="16"/>
        </w:rPr>
      </w:pPr>
    </w:p>
  </w:endnote>
  <w:endnote w:id="7">
    <w:p w14:paraId="7DA4E860" w14:textId="77777777" w:rsidR="000B46D5" w:rsidRDefault="000B46D5">
      <w:pPr>
        <w:pStyle w:val="EndnoteText"/>
      </w:pPr>
      <w:r>
        <w:rPr>
          <w:rStyle w:val="EndnoteReference"/>
        </w:rPr>
        <w:endnoteRef/>
      </w:r>
      <w:r>
        <w:t xml:space="preserve"> </w:t>
      </w:r>
      <w:bookmarkStart w:id="68" w:name="Endnote4_NPI"/>
      <w:r w:rsidRPr="00B06977">
        <w:rPr>
          <w:b/>
          <w:i/>
        </w:rPr>
        <w:t>National Provider Identifier (NPI)</w:t>
      </w:r>
      <w:bookmarkEnd w:id="68"/>
    </w:p>
    <w:p w14:paraId="02125478" w14:textId="3DC1A4A5" w:rsidR="000B46D5" w:rsidRDefault="000B46D5">
      <w:pPr>
        <w:pStyle w:val="EndnoteText"/>
      </w:pPr>
      <w:r w:rsidRPr="003D2150">
        <w:t>The NPI is a Health Insurance Portability and Accountability Act (HIPAA) Administrative Simplification Standard. The NPI is a unique identification number of covered health care providers. The NPI is a 10-position, intelligence-free numeric identifier (10-digit number). This means that the numbers do not carry other information about healthcare providers, such as the state in which they live or medical specialty. Leapfrog pre-populates this field in the Online Hospital Survey Tool. If the hospital’s NPI is different from the one shown online, please contact t</w:t>
      </w:r>
      <w:r w:rsidRPr="00055F1E">
        <w:t xml:space="preserve">he </w:t>
      </w:r>
      <w:hyperlink r:id="rId6" w:history="1">
        <w:r w:rsidRPr="00055F1E">
          <w:rPr>
            <w:rStyle w:val="Hyperlink"/>
          </w:rPr>
          <w:t>Help Desk</w:t>
        </w:r>
      </w:hyperlink>
      <w:r w:rsidRPr="00055F1E">
        <w:t>.</w:t>
      </w:r>
    </w:p>
    <w:p w14:paraId="787CDAB9" w14:textId="77777777" w:rsidR="00045157" w:rsidRPr="00045157" w:rsidRDefault="00045157">
      <w:pPr>
        <w:pStyle w:val="EndnoteText"/>
      </w:pPr>
    </w:p>
  </w:endnote>
  <w:endnote w:id="8">
    <w:p w14:paraId="143F2968" w14:textId="77777777" w:rsidR="00322A3C" w:rsidRDefault="00322A3C">
      <w:pPr>
        <w:pStyle w:val="EndnoteText"/>
      </w:pPr>
      <w:r>
        <w:rPr>
          <w:rStyle w:val="EndnoteReference"/>
        </w:rPr>
        <w:endnoteRef/>
      </w:r>
      <w:r>
        <w:t xml:space="preserve"> </w:t>
      </w:r>
      <w:bookmarkStart w:id="70" w:name="Endnote5_State"/>
      <w:r>
        <w:rPr>
          <w:b/>
          <w:i/>
        </w:rPr>
        <w:t>State</w:t>
      </w:r>
      <w:bookmarkEnd w:id="70"/>
      <w:r>
        <w:br/>
        <w:t>Your hospital is assig</w:t>
      </w:r>
      <w:r w:rsidRPr="00CB4421">
        <w:t xml:space="preserve">ned to a state based on the CMS Certification Number assigned (or identifier specially issued by the Leapfrog Help Desk) to your hospital. If your hospital is incorrectly assigned to a state, contact the </w:t>
      </w:r>
      <w:hyperlink r:id="rId7" w:history="1">
        <w:r w:rsidRPr="00CB4421">
          <w:rPr>
            <w:rStyle w:val="Hyperlink"/>
          </w:rPr>
          <w:t>Help Desk</w:t>
        </w:r>
      </w:hyperlink>
      <w:r w:rsidRPr="00CB4421">
        <w:t xml:space="preserve"> to</w:t>
      </w:r>
      <w:r>
        <w:t xml:space="preserve"> resolve the discrepancy.</w:t>
      </w:r>
    </w:p>
    <w:p w14:paraId="56243BE5" w14:textId="77777777" w:rsidR="00322A3C" w:rsidRPr="00216021" w:rsidRDefault="00322A3C">
      <w:pPr>
        <w:pStyle w:val="EndnoteText"/>
      </w:pPr>
    </w:p>
  </w:endnote>
  <w:endnote w:id="9">
    <w:p w14:paraId="3D170548" w14:textId="3B852952" w:rsidR="00181C3A" w:rsidRDefault="00322A3C" w:rsidP="00181C3A">
      <w:pPr>
        <w:pStyle w:val="EndnoteText"/>
        <w:rPr>
          <w:b/>
          <w:i/>
        </w:rPr>
      </w:pPr>
      <w:r>
        <w:rPr>
          <w:rStyle w:val="EndnoteReference"/>
        </w:rPr>
        <w:endnoteRef/>
      </w:r>
      <w:r>
        <w:t xml:space="preserve"> </w:t>
      </w:r>
      <w:bookmarkStart w:id="71" w:name="Endnote6_Web"/>
      <w:r w:rsidRPr="00B06977">
        <w:rPr>
          <w:b/>
          <w:i/>
        </w:rPr>
        <w:t xml:space="preserve">Tips for </w:t>
      </w:r>
      <w:r w:rsidR="00B44C1C">
        <w:rPr>
          <w:b/>
          <w:i/>
        </w:rPr>
        <w:t>E</w:t>
      </w:r>
      <w:r w:rsidRPr="00B06977">
        <w:rPr>
          <w:b/>
          <w:i/>
        </w:rPr>
        <w:t xml:space="preserve">ntering Web </w:t>
      </w:r>
      <w:r w:rsidR="00B44C1C">
        <w:rPr>
          <w:b/>
          <w:i/>
        </w:rPr>
        <w:t>A</w:t>
      </w:r>
      <w:r w:rsidRPr="00B06977">
        <w:rPr>
          <w:b/>
          <w:i/>
        </w:rPr>
        <w:t>ddresses</w:t>
      </w:r>
      <w:bookmarkEnd w:id="71"/>
    </w:p>
    <w:p w14:paraId="65235917" w14:textId="391D88D4" w:rsidR="00322A3C" w:rsidRPr="00EB25EE" w:rsidRDefault="00322A3C" w:rsidP="00181C3A">
      <w:pPr>
        <w:pStyle w:val="EndnoteText"/>
      </w:pPr>
      <w:r w:rsidRPr="00EB25EE">
        <w:t xml:space="preserve">This address becomes the link attached to your hospital’s name in </w:t>
      </w:r>
      <w:r w:rsidRPr="003D2150">
        <w:t>the</w:t>
      </w:r>
      <w:r>
        <w:t xml:space="preserve"> </w:t>
      </w:r>
      <w:r w:rsidRPr="00EB25EE">
        <w:t>public release of Survey Results. Enter it exactly as you wish it to be and test it.</w:t>
      </w:r>
    </w:p>
    <w:p w14:paraId="181DB43B" w14:textId="77777777" w:rsidR="00322A3C" w:rsidRPr="00EB25EE" w:rsidRDefault="00322A3C" w:rsidP="00AD309C">
      <w:pPr>
        <w:pStyle w:val="EndnoteText"/>
        <w:numPr>
          <w:ilvl w:val="0"/>
          <w:numId w:val="46"/>
        </w:numPr>
      </w:pPr>
      <w:r w:rsidRPr="00EB25EE">
        <w:t>Do not exit out of the Online Hospital Survey Tool to go to the Web page of interest while you are entering data into the Survey or some of your Survey entries may be lost.</w:t>
      </w:r>
    </w:p>
    <w:p w14:paraId="4697EBFD" w14:textId="77777777" w:rsidR="00322A3C" w:rsidRPr="00EB25EE" w:rsidRDefault="00322A3C" w:rsidP="00AD309C">
      <w:pPr>
        <w:pStyle w:val="EndnoteText"/>
        <w:numPr>
          <w:ilvl w:val="0"/>
          <w:numId w:val="46"/>
        </w:numPr>
      </w:pPr>
      <w:r w:rsidRPr="00EB25EE">
        <w:t xml:space="preserve">Instead, minimize (but don’t close) the Survey window and any other windows that are open, then open your internet browser in a separate window. Find the Web page whose address you wish to enter and Copy/Paste the entire address into the Survey entry. </w:t>
      </w:r>
      <w:r w:rsidRPr="00EB25EE">
        <w:rPr>
          <w:b/>
        </w:rPr>
        <w:t>The http:// prefix needs to be included.</w:t>
      </w:r>
    </w:p>
    <w:p w14:paraId="4D45175C" w14:textId="77777777" w:rsidR="00322A3C" w:rsidRPr="00EB25EE" w:rsidRDefault="00322A3C" w:rsidP="00AD309C">
      <w:pPr>
        <w:pStyle w:val="EndnoteText"/>
        <w:numPr>
          <w:ilvl w:val="0"/>
          <w:numId w:val="46"/>
        </w:numPr>
      </w:pPr>
      <w:r w:rsidRPr="00EB25EE">
        <w:t xml:space="preserve">If entering the Web page address manually, be careful to type it correctly, without embedded spaces. Forward (/) or backward (\) slashes may be used. Don’t forget the “www.” if that is part of the address. </w:t>
      </w:r>
      <w:r w:rsidRPr="00EB25EE">
        <w:rPr>
          <w:b/>
        </w:rPr>
        <w:t>The http:// prefix needs to be included.</w:t>
      </w:r>
    </w:p>
    <w:p w14:paraId="6E9E0514" w14:textId="77777777" w:rsidR="00322A3C" w:rsidRPr="00EB25EE" w:rsidRDefault="00322A3C" w:rsidP="00AD309C">
      <w:pPr>
        <w:pStyle w:val="EndnoteText"/>
        <w:numPr>
          <w:ilvl w:val="0"/>
          <w:numId w:val="46"/>
        </w:numPr>
      </w:pPr>
      <w:r w:rsidRPr="00EB25EE">
        <w:t>Make sure to use .org, rather than .com, if that’s the domain for your hospital’s website.</w:t>
      </w:r>
    </w:p>
    <w:p w14:paraId="3F35B63E" w14:textId="77777777" w:rsidR="00322A3C" w:rsidRDefault="00322A3C" w:rsidP="00AD309C">
      <w:pPr>
        <w:pStyle w:val="EndnoteText"/>
        <w:numPr>
          <w:ilvl w:val="0"/>
          <w:numId w:val="46"/>
        </w:numPr>
      </w:pPr>
      <w:r w:rsidRPr="004539AC">
        <w:t>Although many hospitals elect to enter the address for the home page of their hospital website,</w:t>
      </w:r>
      <w:r>
        <w:t xml:space="preserve"> consider pointing it to a page specific to patient safety, the Leapfrog safety practices, or other quality improvement activities that you want to communicate to your community.</w:t>
      </w:r>
    </w:p>
    <w:p w14:paraId="0A9D4A9C" w14:textId="77777777" w:rsidR="00322A3C" w:rsidRPr="00216021" w:rsidRDefault="00322A3C" w:rsidP="000469EC">
      <w:pPr>
        <w:pStyle w:val="EndnoteText"/>
      </w:pPr>
    </w:p>
  </w:endnote>
  <w:endnote w:id="10">
    <w:p w14:paraId="4F43ED3B" w14:textId="7C8D4998" w:rsidR="004D7A60" w:rsidRPr="00602570" w:rsidRDefault="004D7A60">
      <w:pPr>
        <w:pStyle w:val="EndnoteText"/>
        <w:rPr>
          <w:b/>
          <w:i/>
        </w:rPr>
      </w:pPr>
      <w:r w:rsidRPr="00602570">
        <w:rPr>
          <w:rStyle w:val="EndnoteReference"/>
        </w:rPr>
        <w:endnoteRef/>
      </w:r>
      <w:r w:rsidRPr="00602570">
        <w:t xml:space="preserve"> </w:t>
      </w:r>
      <w:bookmarkStart w:id="74" w:name="Endnote7_System"/>
      <w:r w:rsidRPr="00602570">
        <w:rPr>
          <w:b/>
          <w:i/>
        </w:rPr>
        <w:t>Healthcare System</w:t>
      </w:r>
      <w:r w:rsidR="00540123" w:rsidRPr="00602570">
        <w:rPr>
          <w:b/>
          <w:i/>
        </w:rPr>
        <w:t xml:space="preserve"> or Integrated Delivery Network </w:t>
      </w:r>
    </w:p>
    <w:bookmarkEnd w:id="74"/>
    <w:p w14:paraId="7BF0D0DD" w14:textId="55A5C8E7" w:rsidR="004D7A60" w:rsidRPr="00D07D4B" w:rsidRDefault="00A07501">
      <w:pPr>
        <w:pStyle w:val="EndnoteText"/>
      </w:pPr>
      <w:r w:rsidRPr="00602570">
        <w:t xml:space="preserve">Healthcare Systems or </w:t>
      </w:r>
      <w:r w:rsidR="00D02547" w:rsidRPr="00602570">
        <w:t xml:space="preserve">Integrated Delivery Networks (IDN) are central organizations </w:t>
      </w:r>
      <w:r w:rsidR="00F40D98" w:rsidRPr="00602570">
        <w:t xml:space="preserve">that </w:t>
      </w:r>
      <w:r w:rsidR="004D7A60" w:rsidRPr="00602570">
        <w:t>own, lease, or sponsor two or more hospitals</w:t>
      </w:r>
      <w:r w:rsidR="00736DA2" w:rsidRPr="00602570">
        <w:t xml:space="preserve"> with the goal of providing coordinated patient care. </w:t>
      </w:r>
      <w:r w:rsidR="00736DA2" w:rsidRPr="00602570">
        <w:rPr>
          <w:rFonts w:cs="Arial"/>
        </w:rPr>
        <w:t>Pediatric, specialty, and rehabilitation hospitals are included as hospitals in this definition. IDNs may belong to a larger parent system</w:t>
      </w:r>
      <w:r w:rsidR="00736DA2" w:rsidRPr="00602570">
        <w:t>.</w:t>
      </w:r>
      <w:r w:rsidR="00540123" w:rsidRPr="00602570">
        <w:t xml:space="preserve"> Leapfrog pre-populates this field in the Online Hospital Survey Tool </w:t>
      </w:r>
      <w:r w:rsidR="00E861E0" w:rsidRPr="00602570">
        <w:rPr>
          <w:rFonts w:cs="Arial"/>
        </w:rPr>
        <w:t>and only uses the field internally (e.g., it will not be shared publicly).</w:t>
      </w:r>
      <w:r w:rsidR="0070724C" w:rsidRPr="00602570">
        <w:rPr>
          <w:rFonts w:cs="Arial"/>
        </w:rPr>
        <w:t xml:space="preserve"> </w:t>
      </w:r>
      <w:r w:rsidR="00540123" w:rsidRPr="00602570">
        <w:t>If the</w:t>
      </w:r>
      <w:r w:rsidR="003C08D3" w:rsidRPr="00602570">
        <w:t xml:space="preserve"> IDN displayed </w:t>
      </w:r>
      <w:r w:rsidR="002C2DB9" w:rsidRPr="00602570">
        <w:t>in the Online Survey Tool is incorrect</w:t>
      </w:r>
      <w:r w:rsidR="00540123" w:rsidRPr="00602570">
        <w:t xml:space="preserve">, please </w:t>
      </w:r>
      <w:r w:rsidR="00540123" w:rsidRPr="00D07D4B">
        <w:t xml:space="preserve">contact the </w:t>
      </w:r>
      <w:hyperlink r:id="rId8" w:history="1">
        <w:r w:rsidR="00540123" w:rsidRPr="00D07D4B">
          <w:rPr>
            <w:rStyle w:val="Hyperlink"/>
          </w:rPr>
          <w:t>Help Desk</w:t>
        </w:r>
      </w:hyperlink>
      <w:r w:rsidR="00540123" w:rsidRPr="00D07D4B">
        <w:t>.</w:t>
      </w:r>
    </w:p>
    <w:p w14:paraId="6089A5B8" w14:textId="77777777" w:rsidR="004D7A60" w:rsidRPr="00216021" w:rsidRDefault="004D7A60">
      <w:pPr>
        <w:pStyle w:val="EndnoteText"/>
      </w:pPr>
    </w:p>
  </w:endnote>
  <w:endnote w:id="11">
    <w:p w14:paraId="6901A062" w14:textId="77777777" w:rsidR="008D6E32" w:rsidRPr="00D07D4B" w:rsidRDefault="008D6E32" w:rsidP="008D6E32">
      <w:pPr>
        <w:pStyle w:val="EndnoteText"/>
      </w:pPr>
      <w:r w:rsidRPr="00D07D4B">
        <w:rPr>
          <w:rStyle w:val="EndnoteReference"/>
        </w:rPr>
        <w:endnoteRef/>
      </w:r>
      <w:r w:rsidRPr="00D07D4B">
        <w:t xml:space="preserve"> </w:t>
      </w:r>
      <w:bookmarkStart w:id="85" w:name="LicensedAcuteCareBeds"/>
      <w:r w:rsidRPr="00D07D4B">
        <w:rPr>
          <w:b/>
          <w:i/>
        </w:rPr>
        <w:t>Licensed Acute-Care Beds</w:t>
      </w:r>
    </w:p>
    <w:bookmarkEnd w:id="85"/>
    <w:p w14:paraId="28847EA9" w14:textId="6A005A86" w:rsidR="00D70EBF" w:rsidRPr="00D07D4B" w:rsidRDefault="008D6E32" w:rsidP="008D6E32">
      <w:r w:rsidRPr="00D07D4B">
        <w:t>If your state does not license bed types</w:t>
      </w:r>
      <w:r w:rsidR="006402EE" w:rsidRPr="00D07D4B">
        <w:t xml:space="preserve"> or if </w:t>
      </w:r>
      <w:r w:rsidR="004565B8" w:rsidRPr="00D07D4B">
        <w:t xml:space="preserve">acute-care </w:t>
      </w:r>
      <w:r w:rsidR="006402EE" w:rsidRPr="00D07D4B">
        <w:t>beds are currently staffed higher than</w:t>
      </w:r>
      <w:r w:rsidR="004565B8" w:rsidRPr="00D07D4B">
        <w:t xml:space="preserve"> the number of</w:t>
      </w:r>
      <w:r w:rsidR="006402EE" w:rsidRPr="00D07D4B">
        <w:t xml:space="preserve"> licensed</w:t>
      </w:r>
      <w:r w:rsidR="004565B8" w:rsidRPr="00D07D4B">
        <w:t xml:space="preserve"> beds</w:t>
      </w:r>
      <w:r w:rsidRPr="00D07D4B">
        <w:t xml:space="preserve">, enter the number of staffed beds from question #3. </w:t>
      </w:r>
      <w:r w:rsidR="009C02FB" w:rsidRPr="00D07D4B">
        <w:t>If the number of licensed beds has changed in the last year, indicate the average or other number most representative of your operating bed capacity over the last year.</w:t>
      </w:r>
    </w:p>
    <w:p w14:paraId="41090C03" w14:textId="77777777" w:rsidR="00D70EBF" w:rsidRPr="00D07D4B" w:rsidRDefault="00D70EBF" w:rsidP="008D6E32"/>
    <w:p w14:paraId="6D376DFF" w14:textId="5D10193F" w:rsidR="009C02FB" w:rsidRPr="00737BA1" w:rsidRDefault="008D6E32" w:rsidP="008D6E32">
      <w:r w:rsidRPr="00D07D4B">
        <w:t>Include short-term, acute-care medical</w:t>
      </w:r>
      <w:r w:rsidR="00B228CE" w:rsidRPr="00D07D4B">
        <w:t>, surgical, medical/</w:t>
      </w:r>
      <w:r w:rsidR="00FE6BC6" w:rsidRPr="00D07D4B">
        <w:t>surgical</w:t>
      </w:r>
      <w:r w:rsidR="00D70EBF" w:rsidRPr="00D07D4B">
        <w:t xml:space="preserve"> (including </w:t>
      </w:r>
      <w:r w:rsidR="009C02FB" w:rsidRPr="00D07D4B">
        <w:t>telemetry</w:t>
      </w:r>
      <w:r w:rsidR="00315D55" w:rsidRPr="00D07D4B">
        <w:t>)</w:t>
      </w:r>
      <w:r w:rsidR="00FE6BC6" w:rsidRPr="00D07D4B">
        <w:t>,</w:t>
      </w:r>
      <w:r w:rsidRPr="00D07D4B">
        <w:t xml:space="preserve"> obstetrical</w:t>
      </w:r>
      <w:r w:rsidRPr="00737BA1">
        <w:t xml:space="preserve">, and </w:t>
      </w:r>
      <w:r w:rsidR="00FE6BC6" w:rsidRPr="00737BA1">
        <w:t xml:space="preserve">intensive care </w:t>
      </w:r>
      <w:r w:rsidRPr="00737BA1">
        <w:t>beds,</w:t>
      </w:r>
      <w:r w:rsidR="00F76EF7" w:rsidRPr="00737BA1">
        <w:t xml:space="preserve"> as well </w:t>
      </w:r>
      <w:r w:rsidR="009C02FB" w:rsidRPr="00737BA1">
        <w:t xml:space="preserve">as </w:t>
      </w:r>
      <w:r w:rsidR="00F76EF7" w:rsidRPr="00737BA1">
        <w:t>step-down/progressive care beds</w:t>
      </w:r>
      <w:r w:rsidRPr="00737BA1">
        <w:t xml:space="preserve"> as licensed by your state. </w:t>
      </w:r>
    </w:p>
    <w:p w14:paraId="10CA167B" w14:textId="77777777" w:rsidR="009C02FB" w:rsidRPr="00737BA1" w:rsidRDefault="009C02FB" w:rsidP="008D6E32"/>
    <w:p w14:paraId="7E72B188" w14:textId="5343A0CC" w:rsidR="008D6E32" w:rsidRDefault="008D6E32" w:rsidP="008D6E32">
      <w:r w:rsidRPr="00737BA1">
        <w:t xml:space="preserve">Exclude beds licensed or used for </w:t>
      </w:r>
      <w:r w:rsidR="00F76EF7" w:rsidRPr="00737BA1">
        <w:t xml:space="preserve">short and long-term </w:t>
      </w:r>
      <w:r w:rsidRPr="00737BA1">
        <w:t xml:space="preserve">psychiatric care, rehabilitation, </w:t>
      </w:r>
      <w:r w:rsidR="00F76EF7" w:rsidRPr="00737BA1">
        <w:t xml:space="preserve">observation, </w:t>
      </w:r>
      <w:r w:rsidRPr="00737BA1">
        <w:t>or sub-acute care (e.g., skilled nursing facility, hospice extended care, sub-acute eating disorder treatment, extended care facility, or residential substance abuse treatment)</w:t>
      </w:r>
      <w:r w:rsidR="005A1824" w:rsidRPr="00737BA1">
        <w:t xml:space="preserve"> and swing </w:t>
      </w:r>
      <w:r w:rsidR="005A1824" w:rsidRPr="009423B8">
        <w:t>beds</w:t>
      </w:r>
      <w:r w:rsidRPr="009423B8">
        <w:t>.</w:t>
      </w:r>
      <w:r w:rsidRPr="000679D9">
        <w:t xml:space="preserve"> </w:t>
      </w:r>
    </w:p>
    <w:p w14:paraId="111197C2" w14:textId="77777777" w:rsidR="008D6E32" w:rsidRDefault="008D6E32" w:rsidP="008D6E32">
      <w:pPr>
        <w:pStyle w:val="EndnoteText"/>
        <w:rPr>
          <w:sz w:val="16"/>
          <w:szCs w:val="16"/>
        </w:rPr>
      </w:pPr>
    </w:p>
    <w:p w14:paraId="00D5B3F0" w14:textId="77777777" w:rsidR="000E7C65" w:rsidRDefault="000E7C65" w:rsidP="008D6E32">
      <w:pPr>
        <w:pStyle w:val="EndnoteText"/>
        <w:rPr>
          <w:sz w:val="16"/>
          <w:szCs w:val="16"/>
        </w:rPr>
      </w:pPr>
    </w:p>
    <w:p w14:paraId="2D5CEB50" w14:textId="77777777" w:rsidR="000E7C65" w:rsidRPr="00E67EDC" w:rsidRDefault="000E7C65" w:rsidP="008D6E32">
      <w:pPr>
        <w:pStyle w:val="EndnoteText"/>
        <w:rPr>
          <w:sz w:val="16"/>
          <w:szCs w:val="16"/>
        </w:rPr>
      </w:pPr>
    </w:p>
  </w:endnote>
  <w:endnote w:id="12">
    <w:p w14:paraId="1B263FFD" w14:textId="77777777" w:rsidR="008D6E32" w:rsidRDefault="008D6E32" w:rsidP="008D6E32">
      <w:pPr>
        <w:rPr>
          <w:b/>
          <w:i/>
        </w:rPr>
      </w:pPr>
      <w:r>
        <w:rPr>
          <w:rStyle w:val="EndnoteReference"/>
        </w:rPr>
        <w:endnoteRef/>
      </w:r>
      <w:r>
        <w:t xml:space="preserve"> </w:t>
      </w:r>
      <w:bookmarkStart w:id="86" w:name="Endnote9_Sbeds"/>
      <w:r>
        <w:rPr>
          <w:b/>
          <w:i/>
        </w:rPr>
        <w:t xml:space="preserve">Staffed </w:t>
      </w:r>
      <w:r w:rsidRPr="00986B1E">
        <w:rPr>
          <w:b/>
          <w:i/>
        </w:rPr>
        <w:t>Acute-Care Beds</w:t>
      </w:r>
      <w:bookmarkEnd w:id="86"/>
    </w:p>
    <w:p w14:paraId="25717C6B" w14:textId="77777777" w:rsidR="008D6E32" w:rsidRDefault="008D6E32" w:rsidP="008D6E32">
      <w:r>
        <w:t>Include licensed beds regularly in operation, whether currently occupied by a patient or not. If the number has changed over the last year, indicate the average or other number most representative of your operating bed capacity over the last year.</w:t>
      </w:r>
    </w:p>
    <w:p w14:paraId="0DBECE7F" w14:textId="77777777" w:rsidR="008D6E32" w:rsidRPr="00216021" w:rsidRDefault="008D6E32" w:rsidP="008D6E32"/>
  </w:endnote>
  <w:endnote w:id="13">
    <w:p w14:paraId="6C048566" w14:textId="143BF709" w:rsidR="008D6E32" w:rsidRPr="0079361E" w:rsidRDefault="008D6E32" w:rsidP="008D6E32">
      <w:r w:rsidRPr="0079361E">
        <w:rPr>
          <w:rStyle w:val="EndnoteReference"/>
        </w:rPr>
        <w:endnoteRef/>
      </w:r>
      <w:r w:rsidRPr="0079361E">
        <w:t xml:space="preserve"> </w:t>
      </w:r>
      <w:bookmarkStart w:id="87" w:name="Endnote10_AdultAdmits"/>
      <w:r w:rsidRPr="0079361E">
        <w:rPr>
          <w:b/>
          <w:i/>
        </w:rPr>
        <w:t>Total Adult Acute-Care</w:t>
      </w:r>
      <w:r w:rsidR="0008347F" w:rsidRPr="0079361E">
        <w:rPr>
          <w:b/>
          <w:i/>
        </w:rPr>
        <w:t xml:space="preserve"> </w:t>
      </w:r>
      <w:r w:rsidRPr="0079361E">
        <w:rPr>
          <w:b/>
          <w:i/>
        </w:rPr>
        <w:t>Admissions</w:t>
      </w:r>
    </w:p>
    <w:bookmarkEnd w:id="87"/>
    <w:p w14:paraId="4988413A" w14:textId="62B907C0" w:rsidR="008D6E32" w:rsidRPr="0079361E" w:rsidRDefault="008D6E32" w:rsidP="008D6E32">
      <w:r w:rsidRPr="0079361E">
        <w:t>Include adult (aged 18 years and older) acute-care medical</w:t>
      </w:r>
      <w:r w:rsidR="008F318A" w:rsidRPr="0079361E">
        <w:t>, surgical</w:t>
      </w:r>
      <w:r w:rsidR="00E307F9" w:rsidRPr="0079361E">
        <w:t>,</w:t>
      </w:r>
      <w:r w:rsidR="002D28A1" w:rsidRPr="0079361E">
        <w:t xml:space="preserve"> and</w:t>
      </w:r>
      <w:r w:rsidR="00E307F9" w:rsidRPr="0079361E">
        <w:t xml:space="preserve"> medical</w:t>
      </w:r>
      <w:r w:rsidR="002D28A1" w:rsidRPr="0079361E">
        <w:t>/</w:t>
      </w:r>
      <w:r w:rsidRPr="0079361E">
        <w:t>surgical</w:t>
      </w:r>
      <w:r w:rsidR="002D28A1" w:rsidRPr="0079361E">
        <w:t xml:space="preserve"> (including telemetry)</w:t>
      </w:r>
      <w:r w:rsidRPr="0079361E">
        <w:t xml:space="preserve">, obstetrical, and </w:t>
      </w:r>
      <w:r w:rsidR="005A1824" w:rsidRPr="0079361E">
        <w:t xml:space="preserve">intensive care </w:t>
      </w:r>
      <w:r w:rsidRPr="0079361E">
        <w:t>admissions. Include transfers from other hospitals. Include admissions directly to an ICU, even if counted in question #</w:t>
      </w:r>
      <w:r w:rsidR="009D77B8" w:rsidRPr="0079361E">
        <w:t>9</w:t>
      </w:r>
      <w:r w:rsidRPr="0079361E">
        <w:t xml:space="preserve">. Include admissions to step-down/progressive units. </w:t>
      </w:r>
      <w:r w:rsidRPr="0079361E">
        <w:br/>
      </w:r>
      <w:r w:rsidRPr="0079361E">
        <w:br/>
        <w:t xml:space="preserve">Exclude </w:t>
      </w:r>
      <w:r w:rsidR="00271A80" w:rsidRPr="0079361E">
        <w:t xml:space="preserve">short and long-term psychiatric care, </w:t>
      </w:r>
      <w:r w:rsidRPr="0079361E">
        <w:t>rehabilitation, observation, or sub-acute care (e.g., skilled nursing facility, hospice extended care, sub-acute eating disorder treatment, extended care facility, or residential substance abuse treatment) admissions</w:t>
      </w:r>
      <w:r w:rsidR="00CC2CF2" w:rsidRPr="0079361E">
        <w:t xml:space="preserve"> and admissions to swing units. </w:t>
      </w:r>
    </w:p>
    <w:p w14:paraId="5B82E94E" w14:textId="77777777" w:rsidR="00045157" w:rsidRPr="00216021" w:rsidRDefault="00045157" w:rsidP="008D6E32">
      <w:pPr>
        <w:pStyle w:val="EndnoteText"/>
      </w:pPr>
    </w:p>
  </w:endnote>
  <w:endnote w:id="14">
    <w:p w14:paraId="4AD98A7C" w14:textId="5FFED342" w:rsidR="008D6E32" w:rsidRPr="0079361E" w:rsidRDefault="008D6E32" w:rsidP="008D6E32">
      <w:pPr>
        <w:pStyle w:val="EndnoteText"/>
        <w:rPr>
          <w:b/>
          <w:i/>
        </w:rPr>
      </w:pPr>
      <w:r w:rsidRPr="0079361E">
        <w:rPr>
          <w:rStyle w:val="EndnoteReference"/>
        </w:rPr>
        <w:endnoteRef/>
      </w:r>
      <w:r w:rsidRPr="0079361E">
        <w:t xml:space="preserve"> </w:t>
      </w:r>
      <w:bookmarkStart w:id="89" w:name="Endnote11_PedAdmits"/>
      <w:r w:rsidRPr="0079361E">
        <w:rPr>
          <w:b/>
          <w:i/>
        </w:rPr>
        <w:t>Total Pediatric Acute-Care Admissions</w:t>
      </w:r>
      <w:bookmarkEnd w:id="89"/>
    </w:p>
    <w:p w14:paraId="16A2A3A0" w14:textId="46279814" w:rsidR="008D6E32" w:rsidRPr="00833C54" w:rsidRDefault="008D6E32" w:rsidP="008D6E32">
      <w:r w:rsidRPr="0079361E">
        <w:t>Include pediatric (ages 17 years and younger) acute</w:t>
      </w:r>
      <w:r w:rsidRPr="005A6CDC">
        <w:t xml:space="preserve">-care medical, surgical, </w:t>
      </w:r>
      <w:r w:rsidR="00362E72" w:rsidRPr="005A6CDC">
        <w:t>medical/surgical</w:t>
      </w:r>
      <w:r w:rsidR="00C440F0" w:rsidRPr="005A6CDC">
        <w:t xml:space="preserve"> (including telemetry)</w:t>
      </w:r>
      <w:r w:rsidR="00362E72" w:rsidRPr="005A6CDC">
        <w:t xml:space="preserve">, </w:t>
      </w:r>
      <w:r w:rsidRPr="005A6CDC">
        <w:t xml:space="preserve">and </w:t>
      </w:r>
      <w:r w:rsidR="009C119A" w:rsidRPr="005A6CDC">
        <w:t xml:space="preserve">intensive care </w:t>
      </w:r>
      <w:r w:rsidRPr="005A6CDC">
        <w:t>admissions. Include transfers from other hospitals. Include admissions directly to an ICU or</w:t>
      </w:r>
      <w:r w:rsidR="00895888" w:rsidRPr="00895888">
        <w:t xml:space="preserve"> </w:t>
      </w:r>
      <w:r w:rsidR="00895888">
        <w:t>Level II/III, Level III, or Level IV</w:t>
      </w:r>
      <w:r w:rsidRPr="005A6CDC">
        <w:t xml:space="preserve"> neonatal ICU (NICU), even if counted in question #</w:t>
      </w:r>
      <w:r w:rsidR="00657944" w:rsidRPr="005A6CDC">
        <w:t>1</w:t>
      </w:r>
      <w:r w:rsidR="00895888">
        <w:t>2</w:t>
      </w:r>
      <w:r w:rsidRPr="005A6CDC">
        <w:t xml:space="preserve"> or #1</w:t>
      </w:r>
      <w:r w:rsidR="00895888">
        <w:t>5</w:t>
      </w:r>
      <w:r w:rsidRPr="005A6CDC">
        <w:t xml:space="preserve">. Include admissions to step-down/progressive units. </w:t>
      </w:r>
      <w:r w:rsidRPr="005A6CDC">
        <w:br/>
      </w:r>
      <w:r w:rsidRPr="005A6CDC">
        <w:br/>
        <w:t xml:space="preserve">Exclude newborn admissions to the nursery and pediatric patients admitted for maternity care, </w:t>
      </w:r>
      <w:r w:rsidR="004C2B81" w:rsidRPr="005A6CDC">
        <w:t xml:space="preserve">short and long-term psychiatric care, </w:t>
      </w:r>
      <w:r w:rsidRPr="005A6CDC">
        <w:t>rehabilitation, observation, or sub-acute care (e.g., skilled nursing facility, hospice extended care, sub-acute eating disorder treatment, extended care facility, or residential substance abuse treatment)</w:t>
      </w:r>
      <w:r w:rsidR="00743ACD" w:rsidRPr="005A6CDC">
        <w:t xml:space="preserve"> and admissions to swing units</w:t>
      </w:r>
      <w:r w:rsidRPr="005A6CDC">
        <w:t>. Exclude admissions for patients that were transferred to another facility.</w:t>
      </w:r>
      <w:r>
        <w:t xml:space="preserve"> </w:t>
      </w:r>
    </w:p>
    <w:p w14:paraId="786BDCCE" w14:textId="77777777" w:rsidR="008D6E32" w:rsidRPr="00216021" w:rsidRDefault="008D6E32" w:rsidP="008D6E32">
      <w:pPr>
        <w:pStyle w:val="EndnoteText"/>
      </w:pPr>
    </w:p>
  </w:endnote>
  <w:endnote w:id="15">
    <w:p w14:paraId="2FED8FA6" w14:textId="2770E3CF" w:rsidR="00354B0E" w:rsidRPr="004F1B6E" w:rsidRDefault="003B5C29" w:rsidP="00354B0E">
      <w:pPr>
        <w:pStyle w:val="EndnoteText"/>
        <w:rPr>
          <w:b/>
          <w:bCs/>
          <w:i/>
          <w:iCs/>
        </w:rPr>
      </w:pPr>
      <w:r w:rsidRPr="004F1B6E">
        <w:rPr>
          <w:rStyle w:val="EndnoteReference"/>
        </w:rPr>
        <w:endnoteRef/>
      </w:r>
      <w:r w:rsidRPr="004F1B6E">
        <w:t xml:space="preserve"> </w:t>
      </w:r>
      <w:bookmarkStart w:id="90" w:name="generalmedicalsurgicalandneuroicu"/>
      <w:bookmarkEnd w:id="90"/>
      <w:r w:rsidR="00354B0E" w:rsidRPr="004F1B6E">
        <w:rPr>
          <w:b/>
          <w:bCs/>
          <w:i/>
          <w:iCs/>
        </w:rPr>
        <w:t>General Medical</w:t>
      </w:r>
      <w:r w:rsidR="00507DD3" w:rsidRPr="004F1B6E">
        <w:rPr>
          <w:b/>
          <w:bCs/>
          <w:i/>
          <w:iCs/>
        </w:rPr>
        <w:t>,</w:t>
      </w:r>
      <w:r w:rsidR="00C9029E" w:rsidRPr="004F1B6E">
        <w:rPr>
          <w:b/>
          <w:bCs/>
          <w:i/>
          <w:iCs/>
        </w:rPr>
        <w:t xml:space="preserve"> </w:t>
      </w:r>
      <w:r w:rsidR="00507DD3" w:rsidRPr="004F1B6E">
        <w:rPr>
          <w:b/>
          <w:bCs/>
          <w:i/>
          <w:iCs/>
        </w:rPr>
        <w:t>Surgical</w:t>
      </w:r>
      <w:r w:rsidR="0029532E" w:rsidRPr="004F1B6E">
        <w:rPr>
          <w:b/>
          <w:bCs/>
          <w:i/>
          <w:iCs/>
        </w:rPr>
        <w:t>, Medical/</w:t>
      </w:r>
      <w:r w:rsidR="00354B0E" w:rsidRPr="004F1B6E">
        <w:rPr>
          <w:b/>
          <w:bCs/>
          <w:i/>
          <w:iCs/>
        </w:rPr>
        <w:t>Surgical</w:t>
      </w:r>
      <w:r w:rsidR="00291ED5" w:rsidRPr="004F1B6E">
        <w:rPr>
          <w:b/>
          <w:bCs/>
          <w:i/>
          <w:iCs/>
        </w:rPr>
        <w:t>,</w:t>
      </w:r>
      <w:r w:rsidR="00354B0E" w:rsidRPr="004F1B6E">
        <w:rPr>
          <w:b/>
          <w:bCs/>
          <w:i/>
          <w:iCs/>
        </w:rPr>
        <w:t xml:space="preserve"> and Neuro ICUs</w:t>
      </w:r>
    </w:p>
    <w:p w14:paraId="47AC9491" w14:textId="41B03F28" w:rsidR="00354B0E" w:rsidRPr="004F1B6E" w:rsidRDefault="00354B0E" w:rsidP="00354B0E">
      <w:pPr>
        <w:pStyle w:val="EndnoteText"/>
      </w:pPr>
      <w:r w:rsidRPr="004F1B6E">
        <w:t>Include general medical</w:t>
      </w:r>
      <w:r w:rsidR="001E615D" w:rsidRPr="004F1B6E">
        <w:t>, surgical,</w:t>
      </w:r>
      <w:r w:rsidR="00130E1C" w:rsidRPr="004F1B6E">
        <w:t xml:space="preserve"> </w:t>
      </w:r>
      <w:r w:rsidR="001E615D" w:rsidRPr="004F1B6E">
        <w:t>medical/</w:t>
      </w:r>
      <w:r w:rsidRPr="004F1B6E">
        <w:t>surgical</w:t>
      </w:r>
      <w:r w:rsidR="0003051F" w:rsidRPr="004F1B6E">
        <w:t xml:space="preserve">, </w:t>
      </w:r>
      <w:r w:rsidRPr="004F1B6E">
        <w:t xml:space="preserve">and neuro ICUs (medical and surgical). Exclude </w:t>
      </w:r>
      <w:r w:rsidR="00130E1C" w:rsidRPr="004F1B6E">
        <w:t>ICUs</w:t>
      </w:r>
      <w:r w:rsidRPr="004F1B6E">
        <w:t xml:space="preserve"> “dedicated exclusively” to patients with specialized conditions (e.g., cardiac, burn, trauma, neonatal, etc.) unless the same ICU is used for both specialized intensive care patients as well as general medical</w:t>
      </w:r>
      <w:r w:rsidR="00765597" w:rsidRPr="004F1B6E">
        <w:t>,</w:t>
      </w:r>
      <w:r w:rsidRPr="004F1B6E">
        <w:t xml:space="preserve"> </w:t>
      </w:r>
      <w:r w:rsidR="00A10EA0" w:rsidRPr="004F1B6E">
        <w:t>surgical</w:t>
      </w:r>
      <w:r w:rsidR="00C86A91" w:rsidRPr="004F1B6E">
        <w:t xml:space="preserve">, </w:t>
      </w:r>
      <w:r w:rsidR="00CC2E32" w:rsidRPr="004F1B6E">
        <w:t>medical/</w:t>
      </w:r>
      <w:r w:rsidRPr="004F1B6E">
        <w:t>surgical</w:t>
      </w:r>
      <w:r w:rsidR="00E55D8E" w:rsidRPr="004F1B6E">
        <w:t>,</w:t>
      </w:r>
      <w:r w:rsidRPr="004F1B6E">
        <w:t xml:space="preserve"> or neuro intensive care patients. “Dedicated exclusively” means that general </w:t>
      </w:r>
      <w:r w:rsidR="00903218" w:rsidRPr="004F1B6E">
        <w:t>medical, surgical,</w:t>
      </w:r>
      <w:r w:rsidRPr="004F1B6E">
        <w:t xml:space="preserve"> </w:t>
      </w:r>
      <w:r w:rsidR="00903218" w:rsidRPr="004F1B6E">
        <w:t>medical/</w:t>
      </w:r>
      <w:r w:rsidRPr="004F1B6E">
        <w:t>surgical</w:t>
      </w:r>
      <w:r w:rsidR="004D6737" w:rsidRPr="004F1B6E">
        <w:t>,</w:t>
      </w:r>
      <w:r w:rsidRPr="004F1B6E">
        <w:t xml:space="preserve"> or neuro </w:t>
      </w:r>
      <w:r w:rsidR="004D6737" w:rsidRPr="004F1B6E">
        <w:t xml:space="preserve">intensive care </w:t>
      </w:r>
      <w:r w:rsidRPr="004F1B6E">
        <w:t xml:space="preserve">patients are not also cared for in these specialized units (except in rare overflow situations). </w:t>
      </w:r>
      <w:r w:rsidR="0013241F" w:rsidRPr="004F1B6E">
        <w:t xml:space="preserve">Exclude </w:t>
      </w:r>
      <w:r w:rsidRPr="004F1B6E">
        <w:t>intermediate care or telemetry/step-down/progressive units.</w:t>
      </w:r>
    </w:p>
    <w:p w14:paraId="3CE4499A" w14:textId="77777777" w:rsidR="00174ACD" w:rsidRPr="004F1B6E" w:rsidRDefault="00174ACD" w:rsidP="00354B0E">
      <w:pPr>
        <w:pStyle w:val="EndnoteText"/>
      </w:pPr>
    </w:p>
    <w:p w14:paraId="496FA91E" w14:textId="04D04704" w:rsidR="00174ACD" w:rsidRDefault="00174ACD" w:rsidP="00174ACD">
      <w:pPr>
        <w:pStyle w:val="EndnoteText"/>
      </w:pPr>
      <w:r w:rsidRPr="004F1B6E">
        <w:t>For the purposes of reporting on adult and pediatric ICU admissions in Section 1A: Basic Hospital Information questions #9 and #1</w:t>
      </w:r>
      <w:r w:rsidR="00B739D0">
        <w:t>2</w:t>
      </w:r>
      <w:r w:rsidRPr="004F1B6E">
        <w:t>, include admissions to general medical</w:t>
      </w:r>
      <w:r w:rsidR="00AE4DAF" w:rsidRPr="004F1B6E">
        <w:t>, surgical, medical/</w:t>
      </w:r>
      <w:r w:rsidRPr="004F1B6E">
        <w:t>surgical</w:t>
      </w:r>
      <w:r w:rsidR="00AE4DAF" w:rsidRPr="004F1B6E">
        <w:t>, and</w:t>
      </w:r>
      <w:r w:rsidR="00720209" w:rsidRPr="004F1B6E">
        <w:t xml:space="preserve"> </w:t>
      </w:r>
      <w:r w:rsidRPr="004F1B6E">
        <w:t>neuro ICUs (medical and surgical), whether directly admitted to the unit or transferred to the unit from another area of your hospital (e.g., post-operatively). Include transfers from other hospitals as admissions to your hospital. Include the number of admissions that include an ICU stay, not the number of patient trips to the ICU.</w:t>
      </w:r>
    </w:p>
    <w:p w14:paraId="3C3A90A4" w14:textId="77777777" w:rsidR="000E7C65" w:rsidRDefault="000E7C65" w:rsidP="00354B0E">
      <w:pPr>
        <w:pStyle w:val="EndnoteText"/>
      </w:pPr>
    </w:p>
    <w:bookmarkStart w:id="91" w:name="licensedICUBed"/>
    <w:bookmarkEnd w:id="91"/>
  </w:endnote>
  <w:endnote w:id="16">
    <w:p w14:paraId="7FFD6B38" w14:textId="77777777" w:rsidR="007541D0" w:rsidRPr="00E74F49" w:rsidRDefault="007541D0" w:rsidP="007541D0">
      <w:pPr>
        <w:rPr>
          <w:b/>
          <w:i/>
        </w:rPr>
      </w:pPr>
      <w:bookmarkStart w:id="92" w:name="licensedICUBed"/>
      <w:bookmarkEnd w:id="92"/>
      <w:r w:rsidRPr="00E74F49">
        <w:rPr>
          <w:rStyle w:val="EndnoteReference"/>
        </w:rPr>
        <w:endnoteRef/>
      </w:r>
      <w:r w:rsidRPr="00E74F49">
        <w:t xml:space="preserve"> </w:t>
      </w:r>
      <w:r w:rsidRPr="00E74F49">
        <w:rPr>
          <w:b/>
          <w:i/>
        </w:rPr>
        <w:t>Licensed ICU Beds</w:t>
      </w:r>
    </w:p>
    <w:p w14:paraId="38073C94" w14:textId="75479E3B" w:rsidR="007541D0" w:rsidRPr="00E74F49" w:rsidRDefault="007541D0" w:rsidP="007541D0">
      <w:pPr>
        <w:pStyle w:val="EndnoteText"/>
      </w:pPr>
      <w:r w:rsidRPr="00E74F49">
        <w:t xml:space="preserve">If your state separately designates ICU beds, indicate the number of licensed beds in adult </w:t>
      </w:r>
      <w:r w:rsidR="005C36E5">
        <w:t xml:space="preserve">(question #7) </w:t>
      </w:r>
      <w:r w:rsidRPr="00E74F49">
        <w:t xml:space="preserve">and pediatric </w:t>
      </w:r>
      <w:r w:rsidR="005C36E5">
        <w:t xml:space="preserve">(question #10) </w:t>
      </w:r>
      <w:r w:rsidRPr="00E74F49">
        <w:t>general medical</w:t>
      </w:r>
      <w:r w:rsidR="003E0D23" w:rsidRPr="00E74F49">
        <w:t>,</w:t>
      </w:r>
      <w:r w:rsidRPr="00E74F49">
        <w:t xml:space="preserve"> </w:t>
      </w:r>
      <w:r w:rsidR="003E0D23" w:rsidRPr="00E74F49">
        <w:t>surgical</w:t>
      </w:r>
      <w:r w:rsidR="00465861" w:rsidRPr="00E74F49">
        <w:t>, medical</w:t>
      </w:r>
      <w:r w:rsidRPr="00E74F49">
        <w:t>/surgical</w:t>
      </w:r>
      <w:r w:rsidR="0025220D" w:rsidRPr="00E74F49">
        <w:t>,</w:t>
      </w:r>
      <w:r w:rsidRPr="00E74F49">
        <w:t xml:space="preserve"> and neuro ICUs (medical and surgical). If your state does not license ICU beds or if the number of staffed ICU beds is currently higher than the number of licensed ICU beds, enter the number of staffed ICU beds from question #8</w:t>
      </w:r>
      <w:r w:rsidR="005C36E5">
        <w:t xml:space="preserve"> in question #7 and number of staffed ICU beds from question #11 in question #10</w:t>
      </w:r>
      <w:r w:rsidRPr="00E74F49">
        <w:t xml:space="preserve">. See endnote #14 for more information. </w:t>
      </w:r>
    </w:p>
    <w:p w14:paraId="08ABCFB6" w14:textId="77777777" w:rsidR="007541D0" w:rsidRPr="00E74F49" w:rsidRDefault="007541D0" w:rsidP="007541D0">
      <w:pPr>
        <w:pStyle w:val="EndnoteText"/>
        <w:rPr>
          <w:sz w:val="16"/>
          <w:szCs w:val="16"/>
        </w:rPr>
      </w:pPr>
    </w:p>
    <w:p w14:paraId="09ED3759" w14:textId="6AC85514" w:rsidR="00866B62" w:rsidRDefault="007541D0" w:rsidP="007541D0">
      <w:pPr>
        <w:pStyle w:val="EndnoteText"/>
      </w:pPr>
      <w:r w:rsidRPr="00E74F49">
        <w:t>Exclude beds “dedicated exclusively” to patients with specialized conditions (e.g., cardiac, burn, trauma, neonatal). “Dedicated exclusively” means that general medical</w:t>
      </w:r>
      <w:r w:rsidR="00DC4D40" w:rsidRPr="00E74F49">
        <w:t>, surgical, medical</w:t>
      </w:r>
      <w:r w:rsidRPr="00E74F49">
        <w:t>/surgical</w:t>
      </w:r>
      <w:r w:rsidR="00DC4D40" w:rsidRPr="00E74F49">
        <w:t>,</w:t>
      </w:r>
      <w:r w:rsidRPr="00E74F49">
        <w:t xml:space="preserve"> or neuro </w:t>
      </w:r>
      <w:r w:rsidR="00B05C8F" w:rsidRPr="00E74F49">
        <w:t xml:space="preserve">intensive care </w:t>
      </w:r>
      <w:r w:rsidRPr="00E74F49">
        <w:t>patients are not also cared for in these specialized units (except in rare overflow situations). Exclude beds used for step-down/progressive care.</w:t>
      </w:r>
    </w:p>
    <w:p w14:paraId="49A8C317" w14:textId="77777777" w:rsidR="004E2BC0" w:rsidRPr="00A2066D" w:rsidRDefault="004E2BC0" w:rsidP="007541D0">
      <w:pPr>
        <w:pStyle w:val="EndnoteText"/>
      </w:pPr>
    </w:p>
    <w:bookmarkStart w:id="93" w:name="endnotestaffedicubed"/>
    <w:bookmarkStart w:id="94" w:name="staffedicubed"/>
    <w:bookmarkEnd w:id="93"/>
    <w:bookmarkEnd w:id="94"/>
  </w:endnote>
  <w:endnote w:id="17">
    <w:p w14:paraId="484A04D9" w14:textId="77777777" w:rsidR="008B7D82" w:rsidRPr="004C13AC" w:rsidRDefault="008B7D82" w:rsidP="008B7D82">
      <w:pPr>
        <w:rPr>
          <w:b/>
          <w:i/>
        </w:rPr>
      </w:pPr>
      <w:bookmarkStart w:id="95" w:name="endnotestaffedicubed"/>
      <w:bookmarkStart w:id="96" w:name="staffedicubed"/>
      <w:bookmarkEnd w:id="95"/>
      <w:bookmarkEnd w:id="96"/>
      <w:r>
        <w:rPr>
          <w:rStyle w:val="EndnoteReference"/>
        </w:rPr>
        <w:endnoteRef/>
      </w:r>
      <w:r>
        <w:t xml:space="preserve"> </w:t>
      </w:r>
      <w:r w:rsidRPr="004C13AC">
        <w:rPr>
          <w:b/>
          <w:i/>
        </w:rPr>
        <w:t>Staffed ICU Beds</w:t>
      </w:r>
    </w:p>
    <w:p w14:paraId="5AA8CA47" w14:textId="2345CE9E" w:rsidR="008B7D82" w:rsidRDefault="008B7D82" w:rsidP="008B7D82">
      <w:pPr>
        <w:pStyle w:val="EndnoteText"/>
      </w:pPr>
      <w:r w:rsidRPr="004C13AC">
        <w:t xml:space="preserve">Indicate the number of </w:t>
      </w:r>
      <w:r w:rsidR="008356DD">
        <w:t xml:space="preserve">adult </w:t>
      </w:r>
      <w:r w:rsidRPr="004C13AC">
        <w:t xml:space="preserve">ICU beds from question #7 </w:t>
      </w:r>
      <w:r w:rsidR="008328E8">
        <w:t>in question #8</w:t>
      </w:r>
      <w:r w:rsidR="008328E8" w:rsidRPr="004C13AC">
        <w:t xml:space="preserve"> </w:t>
      </w:r>
      <w:r w:rsidR="008328E8">
        <w:t xml:space="preserve">and number of pediatric ICU beds from question #10 in question #11 </w:t>
      </w:r>
      <w:r w:rsidRPr="004C13AC">
        <w:t>that are regularly in operation, whether currently occupied by a patient or not. If the number has changed over the last year, indicate the average or other number most representative of your operating ICU capacity over the last year. See endnote #14 for more information.</w:t>
      </w:r>
      <w:r>
        <w:t xml:space="preserve"> </w:t>
      </w:r>
    </w:p>
    <w:p w14:paraId="26C0BB57" w14:textId="1864F0A5" w:rsidR="008B7D82" w:rsidRDefault="008B7D82">
      <w:pPr>
        <w:pStyle w:val="EndnoteText"/>
      </w:pPr>
    </w:p>
  </w:endnote>
  <w:endnote w:id="18">
    <w:p w14:paraId="326055B2" w14:textId="76FE687E" w:rsidR="006A2A3B" w:rsidRPr="00A71ECB" w:rsidRDefault="006A2A3B" w:rsidP="006F5349">
      <w:pPr>
        <w:pStyle w:val="EndnoteText"/>
        <w:rPr>
          <w:b/>
          <w:i/>
        </w:rPr>
      </w:pPr>
      <w:r w:rsidRPr="00A71ECB">
        <w:rPr>
          <w:rStyle w:val="EndnoteReference"/>
        </w:rPr>
        <w:endnoteRef/>
      </w:r>
      <w:r w:rsidRPr="00A71ECB">
        <w:t xml:space="preserve"> </w:t>
      </w:r>
      <w:bookmarkStart w:id="98" w:name="neonatalICU"/>
      <w:bookmarkStart w:id="99" w:name="Endnote15_NICUAdmits"/>
      <w:bookmarkEnd w:id="98"/>
      <w:r w:rsidRPr="00A71ECB">
        <w:rPr>
          <w:b/>
          <w:i/>
        </w:rPr>
        <w:t>Neonatal ICU</w:t>
      </w:r>
      <w:r w:rsidR="002D7D8F" w:rsidRPr="00A71ECB">
        <w:rPr>
          <w:b/>
          <w:i/>
        </w:rPr>
        <w:t>s</w:t>
      </w:r>
      <w:r w:rsidRPr="00A71ECB">
        <w:rPr>
          <w:b/>
          <w:i/>
        </w:rPr>
        <w:t xml:space="preserve"> </w:t>
      </w:r>
    </w:p>
    <w:bookmarkEnd w:id="99"/>
    <w:p w14:paraId="73882656" w14:textId="26F25868" w:rsidR="006A2A3B" w:rsidRPr="00F003EA" w:rsidRDefault="006A2A3B" w:rsidP="006F5349">
      <w:pPr>
        <w:rPr>
          <w:rStyle w:val="Hyperlink"/>
          <w:rFonts w:eastAsiaTheme="majorEastAsia"/>
        </w:rPr>
      </w:pPr>
      <w:r w:rsidRPr="00A71ECB">
        <w:t xml:space="preserve">Include Level II/III, Level III, </w:t>
      </w:r>
      <w:r w:rsidR="008328E8">
        <w:t>and</w:t>
      </w:r>
      <w:r w:rsidRPr="00A71ECB">
        <w:t xml:space="preserve"> Level IV</w:t>
      </w:r>
      <w:r w:rsidR="00746F0E">
        <w:t xml:space="preserve"> neonatal ICUs (NICUs)</w:t>
      </w:r>
      <w:r w:rsidRPr="00A71ECB">
        <w:t xml:space="preserve">. Exclude neonatal nurseries (Level I and Level II). For more information about what is considered a NICU, please refer to the CDC’s definitions of Neonatal Units on p. 15-12 to 15-15 of the following document: </w:t>
      </w:r>
      <w:hyperlink r:id="rId9" w:history="1">
        <w:r w:rsidR="0070639B" w:rsidRPr="0070639B">
          <w:rPr>
            <w:rStyle w:val="Hyperlink"/>
          </w:rPr>
          <w:t>https://www.cdc.gov/nhsn/pdfs/pscmanual/pscmanual_current.pdf</w:t>
        </w:r>
      </w:hyperlink>
      <w:r w:rsidR="0070639B">
        <w:t>.</w:t>
      </w:r>
    </w:p>
    <w:p w14:paraId="015D2CFE" w14:textId="77777777" w:rsidR="006A2A3B" w:rsidRPr="00F003EA" w:rsidRDefault="006A2A3B" w:rsidP="006F5349">
      <w:pPr>
        <w:rPr>
          <w:rStyle w:val="Hyperlink"/>
          <w:rFonts w:eastAsiaTheme="majorEastAsia"/>
        </w:rPr>
      </w:pPr>
    </w:p>
    <w:p w14:paraId="34C4669B" w14:textId="03F95757" w:rsidR="006A2A3B" w:rsidRPr="003A0ADC" w:rsidRDefault="006A2A3B" w:rsidP="006F5349">
      <w:r w:rsidRPr="00F003EA">
        <w:t>For the purposes of reporting on NICU admissions in Section 1A: Basic Hospital Information question #1</w:t>
      </w:r>
      <w:r w:rsidR="00746F0E">
        <w:t>5</w:t>
      </w:r>
      <w:r w:rsidRPr="00F003EA">
        <w:t xml:space="preserve">, include admissions to </w:t>
      </w:r>
      <w:r w:rsidR="00B40D8C">
        <w:t>Level II/III, Level III, and Level IV NICUs</w:t>
      </w:r>
      <w:r w:rsidRPr="00F003EA">
        <w:t>, even if counted in question #5. Include transfers from other hospitals as admissions to your hospital. Exclude admissions for patients that were transferred to another facility.</w:t>
      </w:r>
    </w:p>
    <w:p w14:paraId="69CAD7B9" w14:textId="77777777" w:rsidR="006A2A3B" w:rsidRPr="00216021" w:rsidRDefault="006A2A3B" w:rsidP="006F5349">
      <w:pPr>
        <w:pStyle w:val="EndnoteText"/>
      </w:pPr>
    </w:p>
  </w:endnote>
  <w:endnote w:id="19">
    <w:p w14:paraId="24FFFD4A" w14:textId="77777777" w:rsidR="00322A3C" w:rsidRPr="00A4550B" w:rsidRDefault="00322A3C" w:rsidP="00735853">
      <w:pPr>
        <w:pStyle w:val="EndnoteText"/>
      </w:pPr>
      <w:r w:rsidRPr="00A4550B">
        <w:rPr>
          <w:rStyle w:val="EndnoteReference"/>
        </w:rPr>
        <w:endnoteRef/>
      </w:r>
      <w:r w:rsidRPr="00A4550B">
        <w:t xml:space="preserve"> </w:t>
      </w:r>
      <w:bookmarkStart w:id="164" w:name="Endnote16_CPOE"/>
      <w:r w:rsidRPr="00A4550B">
        <w:rPr>
          <w:b/>
          <w:i/>
        </w:rPr>
        <w:t>CPOE Linked to Pharmacy, Laboratory, ADT Information</w:t>
      </w:r>
      <w:bookmarkEnd w:id="164"/>
    </w:p>
    <w:p w14:paraId="4D1C2D12" w14:textId="5EB5529D" w:rsidR="00322A3C" w:rsidRDefault="00322A3C" w:rsidP="00735853">
      <w:pPr>
        <w:pStyle w:val="EndnoteText"/>
        <w:rPr>
          <w:sz w:val="16"/>
          <w:szCs w:val="16"/>
        </w:rPr>
      </w:pPr>
      <w:r w:rsidRPr="00A4550B">
        <w:t>The ability of a CPOE system to catch the majority of common, serious prescribing errors depends on proper identification of patients (ADT information), current and recent pharmacy orders and drug dispensing history, and access and integration of key laboratory results for the patient. CPOE systems that are not linked to those other systems or do not reflect that current information accurately about the patient are not likely to ca</w:t>
      </w:r>
      <w:r>
        <w:t>tch serious prescribing errors.</w:t>
      </w:r>
    </w:p>
    <w:p w14:paraId="26D55F55" w14:textId="77777777" w:rsidR="00E54011" w:rsidRPr="00216021" w:rsidRDefault="00E54011" w:rsidP="00735853">
      <w:pPr>
        <w:pStyle w:val="EndnoteText"/>
      </w:pPr>
    </w:p>
  </w:endnote>
  <w:endnote w:id="20">
    <w:p w14:paraId="2DA8115F" w14:textId="1CED0EBD" w:rsidR="00C3345F" w:rsidRPr="00DF71A7" w:rsidRDefault="00C3345F" w:rsidP="00C3345F">
      <w:pPr>
        <w:pStyle w:val="EndnoteText"/>
        <w:rPr>
          <w:b/>
        </w:rPr>
      </w:pPr>
      <w:r w:rsidRPr="00DF71A7">
        <w:rPr>
          <w:rStyle w:val="EndnoteReference"/>
        </w:rPr>
        <w:endnoteRef/>
      </w:r>
      <w:r w:rsidRPr="00DF71A7">
        <w:t xml:space="preserve"> </w:t>
      </w:r>
      <w:bookmarkStart w:id="171" w:name="MedicalandorSurgicalUnits"/>
      <w:r w:rsidRPr="00DF71A7">
        <w:rPr>
          <w:b/>
          <w:i/>
          <w:iCs/>
        </w:rPr>
        <w:t>Medical</w:t>
      </w:r>
      <w:r w:rsidR="002C5D07" w:rsidRPr="00DF71A7">
        <w:rPr>
          <w:b/>
          <w:i/>
          <w:iCs/>
        </w:rPr>
        <w:t>, Surgical</w:t>
      </w:r>
      <w:r w:rsidR="00244BED" w:rsidRPr="00DF71A7">
        <w:rPr>
          <w:b/>
          <w:i/>
          <w:iCs/>
        </w:rPr>
        <w:t>,</w:t>
      </w:r>
      <w:r w:rsidRPr="00DF71A7">
        <w:rPr>
          <w:b/>
          <w:i/>
          <w:iCs/>
        </w:rPr>
        <w:t xml:space="preserve"> and</w:t>
      </w:r>
      <w:r w:rsidR="00244BED" w:rsidRPr="00DF71A7">
        <w:rPr>
          <w:b/>
          <w:i/>
          <w:iCs/>
        </w:rPr>
        <w:t xml:space="preserve"> Medical</w:t>
      </w:r>
      <w:r w:rsidRPr="00DF71A7">
        <w:rPr>
          <w:b/>
          <w:i/>
          <w:iCs/>
        </w:rPr>
        <w:t>/Surgical Units</w:t>
      </w:r>
      <w:bookmarkEnd w:id="171"/>
    </w:p>
    <w:p w14:paraId="0C423B52" w14:textId="2F838229" w:rsidR="00C3345F" w:rsidRPr="00EC7A41" w:rsidRDefault="00C3345F" w:rsidP="00C3345F">
      <w:pPr>
        <w:pStyle w:val="EndnoteText"/>
      </w:pPr>
      <w:r w:rsidRPr="00DF71A7">
        <w:t xml:space="preserve">An exact definition on which units would be included in general medical, surgical, or medical/surgical cannot be provided because each hospital is laid out differently. For information about what is considered a general medical, surgical, or medical/surgical unit, please refer to the CDC’s definitions of Medical Ward, Medical/Surgical Ward, and Surgical Ward on p. 15-17 to 15-20 of the following </w:t>
      </w:r>
      <w:r w:rsidR="00F74A72" w:rsidRPr="00DF71A7">
        <w:t>document</w:t>
      </w:r>
      <w:r w:rsidRPr="00DF71A7">
        <w:t xml:space="preserve">: </w:t>
      </w:r>
      <w:hyperlink r:id="rId10" w:history="1">
        <w:r w:rsidR="0070639B" w:rsidRPr="0070639B">
          <w:rPr>
            <w:rStyle w:val="Hyperlink"/>
          </w:rPr>
          <w:t>https://www.cdc.gov/nhsn/pdfs/pscmanual/pscmanual_current.pdf</w:t>
        </w:r>
      </w:hyperlink>
      <w:r w:rsidR="00AC3AC5">
        <w:t xml:space="preserve">. </w:t>
      </w:r>
      <w:r w:rsidRPr="00DF71A7">
        <w:t xml:space="preserve">The flowchart on p. 15-3 can also be used to help define units in your hospital. </w:t>
      </w:r>
      <w:r w:rsidR="00F74A72" w:rsidRPr="00DF71A7">
        <w:t xml:space="preserve">Units for patients from a specific service type (e.g., burn, cardiac) and observation units </w:t>
      </w:r>
      <w:r w:rsidR="004D6AE6" w:rsidRPr="00DF71A7">
        <w:t xml:space="preserve">must </w:t>
      </w:r>
      <w:r w:rsidR="00F74A72" w:rsidRPr="00DF71A7">
        <w:t>be excluded.</w:t>
      </w:r>
      <w:r w:rsidR="00FB3D26" w:rsidRPr="00DF71A7">
        <w:t xml:space="preserve"> Include telemetry units</w:t>
      </w:r>
      <w:r w:rsidR="00BD1149" w:rsidRPr="00DF71A7">
        <w:t xml:space="preserve"> (defined on p. 15-20 of the above referenced document)</w:t>
      </w:r>
      <w:r w:rsidR="00FB3D26" w:rsidRPr="00DF71A7">
        <w:t>.</w:t>
      </w:r>
    </w:p>
    <w:p w14:paraId="63EA6FC9" w14:textId="77777777" w:rsidR="00C3345F" w:rsidRPr="00EC7A41" w:rsidRDefault="00C3345F" w:rsidP="00C3345F">
      <w:pPr>
        <w:pStyle w:val="EndnoteText"/>
        <w:rPr>
          <w:sz w:val="16"/>
          <w:szCs w:val="16"/>
        </w:rPr>
      </w:pPr>
    </w:p>
    <w:p w14:paraId="5F6CE8C0" w14:textId="3C4D3CC1" w:rsidR="00F74A72" w:rsidRPr="00EC7A41" w:rsidRDefault="00F74A72" w:rsidP="00F74A72">
      <w:pPr>
        <w:pStyle w:val="EndnoteText"/>
      </w:pPr>
      <w:r w:rsidRPr="00EC7A41">
        <w:t>For the purposes of reporting on Sections 2C: BCMA and 6</w:t>
      </w:r>
      <w:r w:rsidR="00BA2D41" w:rsidRPr="00EC7A41">
        <w:t>C</w:t>
      </w:r>
      <w:r w:rsidRPr="00EC7A41">
        <w:t>: Hand Hygiene</w:t>
      </w:r>
      <w:r w:rsidR="00AE2B6F" w:rsidRPr="00EC7A41">
        <w:t xml:space="preserve">, </w:t>
      </w:r>
      <w:r w:rsidR="00002C73" w:rsidRPr="00EC7A41">
        <w:t xml:space="preserve">include both </w:t>
      </w:r>
      <w:r w:rsidR="00B72E89" w:rsidRPr="00EC7A41">
        <w:t xml:space="preserve">single and </w:t>
      </w:r>
      <w:r w:rsidR="00002C73" w:rsidRPr="00EC7A41">
        <w:t>mixed acuity medical, surgical, medical/surgical</w:t>
      </w:r>
      <w:r w:rsidR="00B96188" w:rsidRPr="00EC7A41">
        <w:t>, a</w:t>
      </w:r>
      <w:r w:rsidR="00B72E89" w:rsidRPr="00EC7A41">
        <w:t>nd telemetry units</w:t>
      </w:r>
      <w:r w:rsidR="002E2731" w:rsidRPr="00EC7A41">
        <w:t>, as well as step-down</w:t>
      </w:r>
      <w:r w:rsidR="001B1631" w:rsidRPr="00EC7A41">
        <w:t xml:space="preserve">/progressive beds </w:t>
      </w:r>
      <w:r w:rsidR="00596AED" w:rsidRPr="00EC7A41">
        <w:t>in a dedicated medical</w:t>
      </w:r>
      <w:r w:rsidR="000C7AD8" w:rsidRPr="00EC7A41">
        <w:t>, surgical</w:t>
      </w:r>
      <w:r w:rsidR="00E23994" w:rsidRPr="00EC7A41">
        <w:t xml:space="preserve">, </w:t>
      </w:r>
      <w:r w:rsidR="00596AED" w:rsidRPr="00EC7A41">
        <w:t xml:space="preserve">or </w:t>
      </w:r>
      <w:r w:rsidR="00E23994" w:rsidRPr="00EC7A41">
        <w:t>medical/</w:t>
      </w:r>
      <w:r w:rsidR="00596AED" w:rsidRPr="00EC7A41">
        <w:t>surgical unit</w:t>
      </w:r>
      <w:r w:rsidR="00002C73" w:rsidRPr="00EC7A41">
        <w:t xml:space="preserve">. </w:t>
      </w:r>
      <w:r w:rsidRPr="00EC7A41">
        <w:t xml:space="preserve"> </w:t>
      </w:r>
    </w:p>
    <w:p w14:paraId="702A00D6" w14:textId="77777777" w:rsidR="00F74A72" w:rsidRPr="00EC7A41" w:rsidRDefault="00F74A72" w:rsidP="00F74A72">
      <w:pPr>
        <w:pStyle w:val="EndnoteText"/>
      </w:pPr>
    </w:p>
    <w:p w14:paraId="38C815E4" w14:textId="15762D5D" w:rsidR="00F74A72" w:rsidRPr="00AA085F" w:rsidRDefault="00F74A72" w:rsidP="00F74A72">
      <w:pPr>
        <w:pStyle w:val="EndnoteText"/>
      </w:pPr>
      <w:r w:rsidRPr="00EC7A41">
        <w:t xml:space="preserve">For the purposes of reporting on Section </w:t>
      </w:r>
      <w:r w:rsidR="00790DD7" w:rsidRPr="00EC7A41">
        <w:t>5</w:t>
      </w:r>
      <w:r w:rsidRPr="00EC7A41">
        <w:t xml:space="preserve">C: Nursing Workforce, hospitals </w:t>
      </w:r>
      <w:r w:rsidR="003D4AA4" w:rsidRPr="00EC7A41">
        <w:t xml:space="preserve">must </w:t>
      </w:r>
      <w:r w:rsidRPr="00EC7A41">
        <w:t>reference the unit definitions and acuity definitions in the measure specifications.</w:t>
      </w:r>
      <w:r>
        <w:t xml:space="preserve"> </w:t>
      </w:r>
    </w:p>
    <w:p w14:paraId="76B5DE35" w14:textId="77777777" w:rsidR="000E7C65" w:rsidRPr="00216021" w:rsidRDefault="000E7C65" w:rsidP="00C3345F">
      <w:pPr>
        <w:pStyle w:val="EndnoteText"/>
      </w:pPr>
    </w:p>
  </w:endnote>
  <w:endnote w:id="21">
    <w:p w14:paraId="2C86F2B5" w14:textId="77777777" w:rsidR="00FB2D71" w:rsidRPr="007174BC" w:rsidRDefault="00FB2D71" w:rsidP="00D73F6A">
      <w:pPr>
        <w:pStyle w:val="EndnoteText"/>
        <w:rPr>
          <w:b/>
          <w:bCs/>
          <w:i/>
          <w:iCs/>
        </w:rPr>
      </w:pPr>
      <w:r w:rsidRPr="007174BC">
        <w:rPr>
          <w:rStyle w:val="EndnoteReference"/>
        </w:rPr>
        <w:endnoteRef/>
      </w:r>
      <w:r w:rsidRPr="007174BC">
        <w:t xml:space="preserve"> </w:t>
      </w:r>
      <w:bookmarkStart w:id="172" w:name="stepdown_progressiveunits_endnote20"/>
      <w:bookmarkEnd w:id="172"/>
      <w:r w:rsidRPr="007174BC">
        <w:rPr>
          <w:b/>
          <w:bCs/>
          <w:i/>
          <w:iCs/>
        </w:rPr>
        <w:t>Step-down/Progressive Units</w:t>
      </w:r>
    </w:p>
    <w:p w14:paraId="5019CF83" w14:textId="2F815E34" w:rsidR="00FB2D71" w:rsidRPr="00070BDD" w:rsidRDefault="00FB2D71" w:rsidP="00D73F6A">
      <w:pPr>
        <w:pStyle w:val="EndnoteText"/>
      </w:pPr>
      <w:r w:rsidRPr="007174BC">
        <w:t>A single acuity</w:t>
      </w:r>
      <w:r w:rsidRPr="007174BC">
        <w:rPr>
          <w:i/>
          <w:iCs/>
        </w:rPr>
        <w:t xml:space="preserve"> </w:t>
      </w:r>
      <w:r w:rsidRPr="007174BC">
        <w:t xml:space="preserve">unit in which at least 90% of the patients are at a lower level of acuity than patients in a critical care unit, yet at a higher level of acuity than that which is provided in a general care unit. These units may be called progressive care, intermediate care, direct observation, or transitional care units. Telemetry alone is not an indicator of acuity level. </w:t>
      </w:r>
      <w:r w:rsidR="0006648C" w:rsidRPr="007174BC">
        <w:t>To classify as a step-down unit, the telemetry patients must require a higher level of nursing intensity than is available on medical</w:t>
      </w:r>
      <w:r w:rsidR="00F46637" w:rsidRPr="007174BC">
        <w:t>, surgical,</w:t>
      </w:r>
      <w:r w:rsidR="0006648C" w:rsidRPr="007174BC">
        <w:t xml:space="preserve"> and </w:t>
      </w:r>
      <w:r w:rsidR="00F46637" w:rsidRPr="007174BC">
        <w:t>medical/</w:t>
      </w:r>
      <w:r w:rsidR="0006648C" w:rsidRPr="007174BC">
        <w:t>surgical units</w:t>
      </w:r>
      <w:r w:rsidRPr="007174BC">
        <w:t>.</w:t>
      </w:r>
    </w:p>
    <w:p w14:paraId="093AB28E" w14:textId="77777777" w:rsidR="00FB2D71" w:rsidRDefault="00FB2D71">
      <w:pPr>
        <w:pStyle w:val="EndnoteText"/>
      </w:pPr>
    </w:p>
  </w:endnote>
  <w:endnote w:id="22">
    <w:p w14:paraId="75653275" w14:textId="77777777" w:rsidR="00C3345F" w:rsidRPr="007174BC" w:rsidRDefault="00C3345F" w:rsidP="00C3345F">
      <w:pPr>
        <w:pStyle w:val="EndnoteText"/>
        <w:rPr>
          <w:b/>
          <w:i/>
          <w:iCs/>
        </w:rPr>
      </w:pPr>
      <w:r w:rsidRPr="007174BC">
        <w:rPr>
          <w:rStyle w:val="EndnoteReference"/>
        </w:rPr>
        <w:endnoteRef/>
      </w:r>
      <w:r w:rsidRPr="007174BC">
        <w:t xml:space="preserve"> </w:t>
      </w:r>
      <w:bookmarkStart w:id="174" w:name="LaborandDeliveryUnits"/>
      <w:r w:rsidRPr="007174BC">
        <w:rPr>
          <w:b/>
          <w:i/>
          <w:iCs/>
        </w:rPr>
        <w:t>Labor and Delivery Units</w:t>
      </w:r>
      <w:bookmarkEnd w:id="174"/>
    </w:p>
    <w:p w14:paraId="554C6172" w14:textId="67460835" w:rsidR="001C12DB" w:rsidRPr="00216021" w:rsidRDefault="00560336" w:rsidP="00C3345F">
      <w:pPr>
        <w:pStyle w:val="EndnoteText"/>
      </w:pPr>
      <w:r w:rsidRPr="007174BC">
        <w:t>I</w:t>
      </w:r>
      <w:r w:rsidR="00C3345F" w:rsidRPr="007174BC">
        <w:t xml:space="preserve">nclude all antepartum and postpartum units. Nursery units, OR units, and procedural areas </w:t>
      </w:r>
      <w:r w:rsidR="006177B2" w:rsidRPr="007174BC">
        <w:t xml:space="preserve">must </w:t>
      </w:r>
      <w:r w:rsidR="00C3345F" w:rsidRPr="007174BC">
        <w:t>be excluded.</w:t>
      </w:r>
      <w:r w:rsidR="00C3345F">
        <w:br/>
      </w:r>
    </w:p>
  </w:endnote>
  <w:endnote w:id="23">
    <w:p w14:paraId="4D2C6056" w14:textId="29D6DF9B" w:rsidR="00DB5E96" w:rsidRPr="00CF5F74" w:rsidRDefault="00DB5E96">
      <w:pPr>
        <w:pStyle w:val="EndnoteText"/>
        <w:rPr>
          <w:b/>
          <w:bCs/>
          <w:i/>
          <w:iCs/>
        </w:rPr>
      </w:pPr>
      <w:r w:rsidRPr="00CF5F74">
        <w:rPr>
          <w:rStyle w:val="EndnoteReference"/>
        </w:rPr>
        <w:endnoteRef/>
      </w:r>
      <w:r w:rsidRPr="00CF5F74">
        <w:t xml:space="preserve"> </w:t>
      </w:r>
      <w:bookmarkStart w:id="176" w:name="pacusendnote"/>
      <w:r w:rsidRPr="00CF5F74">
        <w:rPr>
          <w:b/>
          <w:bCs/>
          <w:i/>
          <w:iCs/>
        </w:rPr>
        <w:t>Pre-Operative or Post-Anesthesia Care Units</w:t>
      </w:r>
      <w:bookmarkEnd w:id="176"/>
    </w:p>
    <w:p w14:paraId="63AD1372" w14:textId="0D2D881F" w:rsidR="00157FDB" w:rsidRPr="00D96C25" w:rsidRDefault="002B66A3" w:rsidP="00B44C7B">
      <w:pPr>
        <w:rPr>
          <w:rFonts w:ascii="Calibri" w:hAnsi="Calibri"/>
          <w:i/>
          <w:iCs/>
          <w:color w:val="FF0000"/>
        </w:rPr>
      </w:pPr>
      <w:r w:rsidRPr="00CF5F74">
        <w:t>For reporting on Section 2C: BCMA i</w:t>
      </w:r>
      <w:r w:rsidR="00E867B2" w:rsidRPr="00CF5F74">
        <w:t>nclude</w:t>
      </w:r>
      <w:r w:rsidR="00157FDB" w:rsidRPr="00CF5F74">
        <w:t xml:space="preserve"> all pre-operative and post-anesthesia care units </w:t>
      </w:r>
      <w:r w:rsidR="005D628A" w:rsidRPr="00CF5F74">
        <w:t xml:space="preserve">(PACUs) </w:t>
      </w:r>
      <w:r w:rsidR="00157FDB" w:rsidRPr="00CF5F74">
        <w:t xml:space="preserve">located in or co-located with your hospital. </w:t>
      </w:r>
      <w:r w:rsidR="00FD71A7" w:rsidRPr="00CF5F74">
        <w:t xml:space="preserve">For reporting on Section 6C: Hand Hygiene, include all pre-operative and post-anesthesia care units (PACUs) located in or co-located with your hospital, as well as those located in free-standing hospital outpatient departments that perform the outpatient procedures listed in Section 9: Outpatient Procedures and that share your hospital’s license or CMS Certification Number. </w:t>
      </w:r>
      <w:r w:rsidR="000C5C0B" w:rsidRPr="00CF5F74">
        <w:t>This</w:t>
      </w:r>
      <w:r w:rsidR="000C5C0B" w:rsidRPr="00D96C25">
        <w:t xml:space="preserve"> includes combined pre-operative and post-anesthesia care units as well.</w:t>
      </w:r>
      <w:r w:rsidR="003A1127" w:rsidRPr="00D96C25">
        <w:t xml:space="preserve"> If the hospital distinguishes between </w:t>
      </w:r>
      <w:hyperlink r:id="rId11" w:history="1">
        <w:r w:rsidR="003A1127" w:rsidRPr="00D96C25">
          <w:rPr>
            <w:rStyle w:val="Hyperlink"/>
          </w:rPr>
          <w:t>post-anesthesia phases</w:t>
        </w:r>
      </w:hyperlink>
      <w:r w:rsidR="003A1127" w:rsidRPr="00D96C25">
        <w:rPr>
          <w:color w:val="FF0000"/>
        </w:rPr>
        <w:t xml:space="preserve"> </w:t>
      </w:r>
      <w:r w:rsidR="003A1127" w:rsidRPr="00D96C25">
        <w:t>within its PACU(s) (i.e., Phase I, Phase II, and Phase III recovery), all phases must be included when reporting.</w:t>
      </w:r>
    </w:p>
    <w:p w14:paraId="01CFDA4E" w14:textId="77777777" w:rsidR="00157FDB" w:rsidRPr="00D96C25" w:rsidRDefault="00157FDB" w:rsidP="00157FDB">
      <w:pPr>
        <w:pStyle w:val="EndnoteText"/>
      </w:pPr>
    </w:p>
    <w:p w14:paraId="1DF6864E" w14:textId="58CE9A07" w:rsidR="00157FDB" w:rsidRPr="00D96C25" w:rsidRDefault="00157FDB" w:rsidP="00157FDB">
      <w:pPr>
        <w:pStyle w:val="EndnoteText"/>
      </w:pPr>
      <w:r w:rsidRPr="00D96C25">
        <w:t xml:space="preserve">Pre-operative units include areas where patients are prepared for </w:t>
      </w:r>
      <w:r w:rsidR="00025B1A" w:rsidRPr="00D96C25">
        <w:t xml:space="preserve">an inpatient or outpatient </w:t>
      </w:r>
      <w:r w:rsidRPr="00D96C25">
        <w:t>surg</w:t>
      </w:r>
      <w:r w:rsidR="00025B1A" w:rsidRPr="00D96C25">
        <w:t>ical</w:t>
      </w:r>
      <w:r w:rsidRPr="00D96C25">
        <w:t xml:space="preserve"> or </w:t>
      </w:r>
      <w:r w:rsidR="00443705" w:rsidRPr="00D96C25">
        <w:t>di</w:t>
      </w:r>
      <w:r w:rsidRPr="00D96C25">
        <w:t>a</w:t>
      </w:r>
      <w:r w:rsidR="00443705" w:rsidRPr="00D96C25">
        <w:t>gnostic</w:t>
      </w:r>
      <w:r w:rsidRPr="00D96C25">
        <w:t xml:space="preserve"> procedure, </w:t>
      </w:r>
      <w:r w:rsidR="005D628A" w:rsidRPr="00D96C25">
        <w:t>(</w:t>
      </w:r>
      <w:r w:rsidRPr="00D96C25">
        <w:t>i.e., where patients have their medical histories reviewed with their care team and receive physical examinations to determine risk factors and other information relevant to the surgery or procedure</w:t>
      </w:r>
      <w:r w:rsidR="005D628A" w:rsidRPr="00D96C25">
        <w:t>)</w:t>
      </w:r>
      <w:r w:rsidRPr="00D96C25">
        <w:t xml:space="preserve">. </w:t>
      </w:r>
    </w:p>
    <w:p w14:paraId="158B1903" w14:textId="77777777" w:rsidR="00157FDB" w:rsidRPr="00D96C25" w:rsidRDefault="00157FDB" w:rsidP="00157FDB">
      <w:pPr>
        <w:pStyle w:val="EndnoteText"/>
      </w:pPr>
    </w:p>
    <w:p w14:paraId="144B34D3" w14:textId="209E2D8D" w:rsidR="00157FDB" w:rsidRDefault="00157FDB" w:rsidP="00157FDB">
      <w:pPr>
        <w:pStyle w:val="EndnoteText"/>
      </w:pPr>
      <w:r w:rsidRPr="00D96C25">
        <w:t>PACUs</w:t>
      </w:r>
      <w:r w:rsidR="005D628A" w:rsidRPr="00D96C25">
        <w:t xml:space="preserve"> </w:t>
      </w:r>
      <w:r w:rsidRPr="00D96C25">
        <w:t xml:space="preserve">include areas where patients are </w:t>
      </w:r>
      <w:r w:rsidR="003A1127" w:rsidRPr="00D96C25">
        <w:t>watched</w:t>
      </w:r>
      <w:r w:rsidRPr="00D96C25">
        <w:t xml:space="preserve"> after a</w:t>
      </w:r>
      <w:r w:rsidR="00AE4AE6" w:rsidRPr="00D96C25">
        <w:t xml:space="preserve">n inpatient or outpatient </w:t>
      </w:r>
      <w:r w:rsidRPr="00D96C25">
        <w:t>surg</w:t>
      </w:r>
      <w:r w:rsidR="00AE4AE6" w:rsidRPr="00D96C25">
        <w:t>ical</w:t>
      </w:r>
      <w:r w:rsidRPr="00D96C25">
        <w:t xml:space="preserve"> or </w:t>
      </w:r>
      <w:r w:rsidR="00AE4AE6" w:rsidRPr="00D96C25">
        <w:t xml:space="preserve">diagnostic </w:t>
      </w:r>
      <w:r w:rsidRPr="00D96C25">
        <w:t>procedure that required anesthesia or sedation and where hospital staff (e.g., nurses, anesthesiologists, and other support services) monitor patient recovery from anesthesia or sedation by keeping track of vitals and providing pain management.</w:t>
      </w:r>
    </w:p>
    <w:p w14:paraId="1EDD04A8" w14:textId="77777777" w:rsidR="00DB5E96" w:rsidRDefault="00DB5E96">
      <w:pPr>
        <w:pStyle w:val="EndnoteText"/>
      </w:pPr>
    </w:p>
  </w:endnote>
  <w:endnote w:id="24">
    <w:p w14:paraId="29E268B6" w14:textId="77777777" w:rsidR="00C3345F" w:rsidRPr="007306B3" w:rsidRDefault="00C3345F" w:rsidP="00C3345F">
      <w:pPr>
        <w:pStyle w:val="EndnoteText"/>
        <w:rPr>
          <w:b/>
          <w:bCs/>
          <w:i/>
          <w:iCs/>
        </w:rPr>
      </w:pPr>
      <w:r>
        <w:rPr>
          <w:rStyle w:val="EndnoteReference"/>
        </w:rPr>
        <w:endnoteRef/>
      </w:r>
      <w:r w:rsidRPr="007306B3">
        <w:rPr>
          <w:i/>
          <w:iCs/>
        </w:rPr>
        <w:t xml:space="preserve"> </w:t>
      </w:r>
      <w:bookmarkStart w:id="179" w:name="CertifiedPharmacyTechnician"/>
      <w:r w:rsidRPr="007306B3">
        <w:rPr>
          <w:b/>
          <w:bCs/>
          <w:i/>
          <w:iCs/>
        </w:rPr>
        <w:t>Certified Pharmacy Technician</w:t>
      </w:r>
    </w:p>
    <w:bookmarkEnd w:id="179"/>
    <w:p w14:paraId="2FDD7541" w14:textId="7FF76BB1" w:rsidR="00045157" w:rsidRDefault="00C3345F" w:rsidP="00C3345F">
      <w:pPr>
        <w:pStyle w:val="EndnoteText"/>
        <w:rPr>
          <w:sz w:val="16"/>
          <w:szCs w:val="16"/>
        </w:rPr>
      </w:pPr>
      <w:r>
        <w:t xml:space="preserve">A certified pharmacy technician would include a pharmacy technician that has </w:t>
      </w:r>
      <w:r w:rsidR="003F38F1">
        <w:t>a</w:t>
      </w:r>
      <w:r>
        <w:t xml:space="preserve"> </w:t>
      </w:r>
      <w:hyperlink r:id="rId12" w:history="1">
        <w:r w:rsidRPr="004100BC">
          <w:rPr>
            <w:rStyle w:val="Hyperlink"/>
          </w:rPr>
          <w:t>Pharmacy Technicians Certification Board’s (PTCB) Medication History Certificate</w:t>
        </w:r>
      </w:hyperlink>
      <w:r w:rsidR="00031E53">
        <w:rPr>
          <w:rStyle w:val="Hyperlink"/>
        </w:rPr>
        <w:t>.</w:t>
      </w:r>
    </w:p>
    <w:p w14:paraId="0FABFE17" w14:textId="77777777" w:rsidR="00045157" w:rsidRPr="00216021" w:rsidRDefault="00045157" w:rsidP="00C3345F">
      <w:pPr>
        <w:pStyle w:val="EndnoteText"/>
      </w:pPr>
    </w:p>
  </w:endnote>
  <w:endnote w:id="25">
    <w:p w14:paraId="6F1D0C2A" w14:textId="77777777" w:rsidR="00C3345F" w:rsidRPr="005B396B" w:rsidRDefault="00C3345F" w:rsidP="00C3345F">
      <w:pPr>
        <w:pStyle w:val="EndnoteText"/>
        <w:rPr>
          <w:b/>
          <w:i/>
        </w:rPr>
      </w:pPr>
      <w:r w:rsidRPr="005B396B">
        <w:rPr>
          <w:rStyle w:val="EndnoteReference"/>
        </w:rPr>
        <w:endnoteRef/>
      </w:r>
      <w:r w:rsidRPr="005B396B">
        <w:t xml:space="preserve"> </w:t>
      </w:r>
      <w:bookmarkStart w:id="181" w:name="SamplingforMedicationReconciliation"/>
      <w:r w:rsidRPr="005B396B">
        <w:rPr>
          <w:b/>
          <w:i/>
        </w:rPr>
        <w:t>Sampling for Medication Reconciliation</w:t>
      </w:r>
    </w:p>
    <w:bookmarkEnd w:id="181"/>
    <w:p w14:paraId="22FF84D3" w14:textId="3152AF81" w:rsidR="00B44C1C" w:rsidRDefault="00C3345F" w:rsidP="00C3345F">
      <w:pPr>
        <w:pStyle w:val="EndnoteText"/>
      </w:pPr>
      <w:r w:rsidRPr="005B396B">
        <w:t xml:space="preserve">The sample </w:t>
      </w:r>
      <w:r w:rsidR="00990A83" w:rsidRPr="005B396B">
        <w:t xml:space="preserve">must </w:t>
      </w:r>
      <w:r w:rsidRPr="005B396B">
        <w:t xml:space="preserve">contain at least 30 patients from a 6-month reporting period. Sampling is limited to </w:t>
      </w:r>
      <w:r w:rsidR="00EC4EEC" w:rsidRPr="005B396B">
        <w:t xml:space="preserve">medical, </w:t>
      </w:r>
      <w:r w:rsidRPr="005B396B">
        <w:t>medical/surgical units</w:t>
      </w:r>
      <w:r w:rsidR="00C747E7" w:rsidRPr="005B396B">
        <w:t xml:space="preserve"> and step-down/progressive units (adult only)</w:t>
      </w:r>
      <w:r w:rsidRPr="005B396B">
        <w:t xml:space="preserve">. Patients that were discharged or expired before the Gold Standard Medication History could be obtained </w:t>
      </w:r>
      <w:r w:rsidR="00C753D1" w:rsidRPr="005B396B">
        <w:t>must</w:t>
      </w:r>
      <w:r w:rsidRPr="005B396B">
        <w:t xml:space="preserve"> be excluded from the sample. Patients that do not have discharge orders written during the reporting period </w:t>
      </w:r>
      <w:r w:rsidR="00FF5DEA" w:rsidRPr="005B396B">
        <w:t>must</w:t>
      </w:r>
      <w:r w:rsidRPr="005B396B">
        <w:t xml:space="preserve"> also be excluded from the sample. A sampling worksheet is available in the </w:t>
      </w:r>
      <w:hyperlink r:id="rId13" w:history="1">
        <w:r w:rsidRPr="005B396B">
          <w:rPr>
            <w:rStyle w:val="Hyperlink"/>
          </w:rPr>
          <w:t>Medication Reconciliation Workbook</w:t>
        </w:r>
      </w:hyperlink>
      <w:r w:rsidRPr="005B396B">
        <w:t xml:space="preserve"> for those who would like assistance in obtaining a random sample of patients.</w:t>
      </w:r>
      <w:r>
        <w:t xml:space="preserve"> </w:t>
      </w:r>
    </w:p>
    <w:p w14:paraId="742C584E" w14:textId="77777777" w:rsidR="00045157" w:rsidRPr="00045157" w:rsidRDefault="00045157" w:rsidP="00C3345F">
      <w:pPr>
        <w:pStyle w:val="EndnoteText"/>
      </w:pPr>
    </w:p>
  </w:endnote>
  <w:endnote w:id="26">
    <w:p w14:paraId="150CC39B" w14:textId="77777777" w:rsidR="00C3345F" w:rsidRPr="00B03CDE" w:rsidRDefault="00C3345F" w:rsidP="00C3345F">
      <w:pPr>
        <w:pStyle w:val="EndnoteText"/>
        <w:rPr>
          <w:b/>
          <w:i/>
        </w:rPr>
      </w:pPr>
      <w:r w:rsidRPr="00B03CDE">
        <w:rPr>
          <w:rStyle w:val="EndnoteReference"/>
        </w:rPr>
        <w:endnoteRef/>
      </w:r>
      <w:r w:rsidRPr="00B03CDE">
        <w:t xml:space="preserve"> </w:t>
      </w:r>
      <w:bookmarkStart w:id="182" w:name="GoldStandardMedicationHistory"/>
      <w:r w:rsidRPr="00B03CDE">
        <w:rPr>
          <w:b/>
          <w:i/>
        </w:rPr>
        <w:t>Gold Standard Medication History</w:t>
      </w:r>
      <w:bookmarkEnd w:id="182"/>
    </w:p>
    <w:p w14:paraId="25B8CA2E" w14:textId="4BE52E81" w:rsidR="00C3345F" w:rsidRDefault="00C3345F" w:rsidP="00C3345F">
      <w:pPr>
        <w:pStyle w:val="EndnoteText"/>
      </w:pPr>
      <w:r>
        <w:t xml:space="preserve">The Gold Standard Medication History is the list of medications that the patient was taking prior to admission. Within 24 hours after admission, a trained pharmacist, pharmacy resident, or certified pharmacy technician must interview each patient selected for the 6-month sample and obtain the Gold Standard Medication History. Note that this is in addition to, and separate from, any pre-admission medication list that was created as part of normal care. Best practices for collecting the Gold Standard Medication History can be found in the “Other Supporting Materials” for Section </w:t>
      </w:r>
      <w:r w:rsidR="0045656E">
        <w:t>2</w:t>
      </w:r>
      <w:r>
        <w:t xml:space="preserve"> on our </w:t>
      </w:r>
      <w:hyperlink r:id="rId14" w:history="1">
        <w:r w:rsidRPr="00B03CDE">
          <w:rPr>
            <w:rStyle w:val="Hyperlink"/>
          </w:rPr>
          <w:t>website</w:t>
        </w:r>
      </w:hyperlink>
      <w:r>
        <w:t>.</w:t>
      </w:r>
    </w:p>
    <w:p w14:paraId="53264534" w14:textId="77777777" w:rsidR="0045656E" w:rsidRPr="00216021" w:rsidRDefault="0045656E" w:rsidP="00C3345F">
      <w:pPr>
        <w:pStyle w:val="EndnoteText"/>
        <w:rPr>
          <w:b/>
        </w:rPr>
      </w:pPr>
    </w:p>
  </w:endnote>
  <w:endnote w:id="27">
    <w:p w14:paraId="1FF43BD2" w14:textId="77777777" w:rsidR="00C3345F" w:rsidRPr="00CF5AEE" w:rsidRDefault="00C3345F" w:rsidP="00C3345F">
      <w:pPr>
        <w:pStyle w:val="EndnoteText"/>
        <w:rPr>
          <w:i/>
        </w:rPr>
      </w:pPr>
      <w:r w:rsidRPr="00CF5AEE">
        <w:rPr>
          <w:rStyle w:val="EndnoteReference"/>
          <w:i/>
        </w:rPr>
        <w:endnoteRef/>
      </w:r>
      <w:r w:rsidRPr="00CF5AEE">
        <w:rPr>
          <w:i/>
        </w:rPr>
        <w:t xml:space="preserve"> </w:t>
      </w:r>
      <w:bookmarkStart w:id="184" w:name="DiscrepanciesinGoldStandardMedicatio"/>
      <w:r w:rsidRPr="00CF5AEE">
        <w:rPr>
          <w:b/>
          <w:i/>
        </w:rPr>
        <w:t>Discrepancie</w:t>
      </w:r>
      <w:r>
        <w:rPr>
          <w:b/>
          <w:i/>
        </w:rPr>
        <w:t>s in Gold Standard Medication</w:t>
      </w:r>
      <w:r w:rsidRPr="00CF5AEE">
        <w:rPr>
          <w:b/>
          <w:i/>
        </w:rPr>
        <w:t>s</w:t>
      </w:r>
      <w:bookmarkEnd w:id="184"/>
    </w:p>
    <w:p w14:paraId="7636685C" w14:textId="4B0F257D" w:rsidR="00C3345F" w:rsidRDefault="00C3345F" w:rsidP="00C3345F">
      <w:pPr>
        <w:pStyle w:val="EndnoteText"/>
      </w:pPr>
      <w:r>
        <w:t>For each Gold Standard Medication, there may be up to two unintentional discrepancies: a discrepancy in admission orders and a discrepancy in discharge orders. For example, if a medication on the Gold Standard Medicatio</w:t>
      </w:r>
      <w:r w:rsidRPr="00FF4662">
        <w:t>n History</w:t>
      </w:r>
      <w:r>
        <w:t xml:space="preserve"> is ordered for a patient on admission with the incorrect dose, this counts as one discrepancy. If this medication is ordered on discharge for the same incorrect dose, this counts as a second discrepancy. The number of unintentional discrepancies is a count of medication orders where an unintentional discrepancy occurred. You should not count the number of errors associated with the same medication order (e.g., a discrepancy in the dose and frequency in the same medication in admission orders counts as one discrepancy).</w:t>
      </w:r>
    </w:p>
    <w:p w14:paraId="7620620A" w14:textId="77777777" w:rsidR="00EA2663" w:rsidRPr="00CF5AEE" w:rsidRDefault="00EA2663" w:rsidP="00C3345F">
      <w:pPr>
        <w:pStyle w:val="EndnoteText"/>
      </w:pPr>
    </w:p>
  </w:endnote>
  <w:endnote w:id="28">
    <w:p w14:paraId="204E906D" w14:textId="77777777" w:rsidR="00C3345F" w:rsidRPr="00214488" w:rsidRDefault="00C3345F" w:rsidP="00C3345F">
      <w:pPr>
        <w:pStyle w:val="EndnoteText"/>
        <w:rPr>
          <w:b/>
          <w:i/>
        </w:rPr>
      </w:pPr>
      <w:bookmarkStart w:id="185" w:name="unintentaddmeds"/>
      <w:r w:rsidRPr="00214488">
        <w:rPr>
          <w:rStyle w:val="EndnoteReference"/>
          <w:b/>
        </w:rPr>
        <w:endnoteRef/>
      </w:r>
      <w:r w:rsidRPr="00214488">
        <w:rPr>
          <w:b/>
        </w:rPr>
        <w:t xml:space="preserve"> </w:t>
      </w:r>
      <w:r w:rsidRPr="00214488">
        <w:rPr>
          <w:b/>
          <w:i/>
        </w:rPr>
        <w:t>Unintentionally Order</w:t>
      </w:r>
      <w:r>
        <w:rPr>
          <w:b/>
          <w:i/>
        </w:rPr>
        <w:t>ed</w:t>
      </w:r>
      <w:r w:rsidRPr="00214488">
        <w:rPr>
          <w:b/>
          <w:i/>
        </w:rPr>
        <w:t xml:space="preserve"> Additional Medications</w:t>
      </w:r>
    </w:p>
    <w:bookmarkEnd w:id="185"/>
    <w:p w14:paraId="01077AF2" w14:textId="77777777" w:rsidR="00C3345F" w:rsidRPr="00CF5AEE" w:rsidRDefault="00C3345F" w:rsidP="00C3345F">
      <w:pPr>
        <w:pStyle w:val="EndnoteText"/>
      </w:pPr>
      <w:r>
        <w:t>Count medications</w:t>
      </w:r>
      <w:r w:rsidRPr="00CF5AEE">
        <w:t xml:space="preserve"> where a patient was not taking (and was not supposed to be taking) a certain medication, but the medical team incorrectly thought the patient was taking the medication and therefore ordered it on admission and/or discharge.</w:t>
      </w:r>
      <w:r>
        <w:t xml:space="preserve"> Count each medication once, regardless of whether it was ordered on admission, discharge, or both.</w:t>
      </w:r>
    </w:p>
    <w:p w14:paraId="1704451F" w14:textId="77777777" w:rsidR="00C3345F" w:rsidRPr="00216021" w:rsidRDefault="00C3345F" w:rsidP="00C3345F">
      <w:pPr>
        <w:pStyle w:val="EndnoteText"/>
      </w:pPr>
    </w:p>
  </w:endnote>
  <w:endnote w:id="29">
    <w:p w14:paraId="19DC7A60" w14:textId="08716007" w:rsidR="00C3345F" w:rsidRDefault="00C3345F" w:rsidP="00C3345F">
      <w:pPr>
        <w:pStyle w:val="EndnoteText"/>
      </w:pPr>
      <w:bookmarkStart w:id="186" w:name="discrepdueunintentaddmeds"/>
      <w:r>
        <w:rPr>
          <w:rStyle w:val="EndnoteReference"/>
        </w:rPr>
        <w:endnoteRef/>
      </w:r>
      <w:r>
        <w:t xml:space="preserve"> </w:t>
      </w:r>
      <w:r w:rsidRPr="00EC7574">
        <w:rPr>
          <w:b/>
          <w:i/>
        </w:rPr>
        <w:t xml:space="preserve">Discrepancies </w:t>
      </w:r>
      <w:r w:rsidR="00916EC1">
        <w:rPr>
          <w:b/>
          <w:i/>
        </w:rPr>
        <w:t>D</w:t>
      </w:r>
      <w:r w:rsidRPr="00EC7574">
        <w:rPr>
          <w:b/>
          <w:i/>
        </w:rPr>
        <w:t>ue to Unintentionally Ordered Additional Medications</w:t>
      </w:r>
    </w:p>
    <w:bookmarkEnd w:id="186"/>
    <w:p w14:paraId="33AFF7FA" w14:textId="57EE5093" w:rsidR="00C3345F" w:rsidRDefault="00C3345F" w:rsidP="00C3345F">
      <w:pPr>
        <w:pStyle w:val="EndnoteText"/>
      </w:pPr>
      <w:r>
        <w:t>For each unintentionally ordered additional medication, there may be up to two discrepancies: unintentionally ordered at admission, unintentionally ordered at discharge, or both. For example, if a medication is unintentionally ordered at admission, then this counts as one discrepancy. If the same medication is also ordered at discharge, then this counts as a second discrepancy.</w:t>
      </w:r>
    </w:p>
    <w:p w14:paraId="00C9024C" w14:textId="77777777" w:rsidR="00C3345F" w:rsidRPr="00216021" w:rsidRDefault="00C3345F" w:rsidP="00C3345F">
      <w:pPr>
        <w:pStyle w:val="EndnoteText"/>
      </w:pPr>
    </w:p>
  </w:endnote>
  <w:endnote w:id="30">
    <w:p w14:paraId="4A5C2689" w14:textId="17F16CAA" w:rsidR="00DC3693" w:rsidRPr="00FB227A" w:rsidRDefault="00DC3693" w:rsidP="00FB227A">
      <w:pPr>
        <w:pStyle w:val="Heading6"/>
        <w:rPr>
          <w:i/>
          <w:iCs/>
        </w:rPr>
      </w:pPr>
      <w:r w:rsidRPr="00FB227A">
        <w:rPr>
          <w:rStyle w:val="EndnoteReference"/>
          <w:b w:val="0"/>
          <w:bCs/>
        </w:rPr>
        <w:endnoteRef/>
      </w:r>
      <w:r w:rsidRPr="00FB227A">
        <w:rPr>
          <w:b w:val="0"/>
          <w:bCs/>
        </w:rPr>
        <w:t xml:space="preserve"> </w:t>
      </w:r>
      <w:bookmarkStart w:id="233" w:name="datacompletenessrequirement"/>
      <w:r w:rsidRPr="00FB227A">
        <w:rPr>
          <w:i/>
          <w:iCs/>
        </w:rPr>
        <w:t>Data Completeness Requirement for the STS Mitral Valve Repair/Replacement (MVRR) Composite Score</w:t>
      </w:r>
      <w:bookmarkEnd w:id="233"/>
    </w:p>
    <w:p w14:paraId="6C27681D" w14:textId="106E6A81" w:rsidR="00DC3693" w:rsidRDefault="00DC3693" w:rsidP="00DC3693">
      <w:pPr>
        <w:pStyle w:val="EndnoteText"/>
      </w:pPr>
      <w:r>
        <w:t>Participants are excluded from the analysis if they have fewer than 36 isolated MVRR procedures in the patient population. Please find more information in the NQF-endorsed measure specifications, available</w:t>
      </w:r>
      <w:r w:rsidR="00E67EDC">
        <w:t xml:space="preserve"> at</w:t>
      </w:r>
      <w:r>
        <w:t xml:space="preserve"> </w:t>
      </w:r>
      <w:hyperlink r:id="rId15" w:anchor="MVRRComposite" w:history="1">
        <w:r w:rsidRPr="00EB7EF7">
          <w:rPr>
            <w:rStyle w:val="Hyperlink"/>
          </w:rPr>
          <w:t>https://www.sts.org/quality-safety/performance-measures/descriptions#MVRRComposite</w:t>
        </w:r>
      </w:hyperlink>
      <w:r>
        <w:t xml:space="preserve">. </w:t>
      </w:r>
    </w:p>
    <w:p w14:paraId="3523E6D6" w14:textId="77777777" w:rsidR="00DC3693" w:rsidRPr="00216021" w:rsidRDefault="00DC3693">
      <w:pPr>
        <w:pStyle w:val="EndnoteText"/>
      </w:pPr>
    </w:p>
  </w:endnote>
  <w:endnote w:id="31">
    <w:p w14:paraId="50DCB8D1" w14:textId="615DDC1D" w:rsidR="00322A3C" w:rsidRPr="00013C1B" w:rsidRDefault="00322A3C" w:rsidP="007D1EA1">
      <w:pPr>
        <w:pStyle w:val="EndnoteText"/>
        <w:rPr>
          <w:b/>
          <w:i/>
        </w:rPr>
      </w:pPr>
      <w:r w:rsidRPr="00013C1B">
        <w:rPr>
          <w:rStyle w:val="EndnoteReference"/>
        </w:rPr>
        <w:endnoteRef/>
      </w:r>
      <w:r w:rsidRPr="00013C1B">
        <w:t xml:space="preserve"> </w:t>
      </w:r>
      <w:bookmarkStart w:id="311" w:name="Endnote18_HighRiskDel"/>
      <w:r w:rsidRPr="00013C1B">
        <w:rPr>
          <w:b/>
          <w:i/>
        </w:rPr>
        <w:t>High-Risk Deliveries Admitted</w:t>
      </w:r>
      <w:bookmarkEnd w:id="311"/>
    </w:p>
    <w:p w14:paraId="3EAB0B8F" w14:textId="77777777" w:rsidR="00322A3C" w:rsidRPr="00013C1B" w:rsidRDefault="00322A3C" w:rsidP="007D1EA1">
      <w:r w:rsidRPr="00013C1B">
        <w:t>Includes deliveries with:</w:t>
      </w:r>
    </w:p>
    <w:p w14:paraId="42E73A6D" w14:textId="77777777" w:rsidR="00322A3C" w:rsidRPr="00013C1B" w:rsidRDefault="00322A3C">
      <w:pPr>
        <w:numPr>
          <w:ilvl w:val="0"/>
          <w:numId w:val="6"/>
        </w:numPr>
      </w:pPr>
      <w:r w:rsidRPr="00013C1B">
        <w:rPr>
          <w:i/>
        </w:rPr>
        <w:t>expected</w:t>
      </w:r>
      <w:r w:rsidRPr="00013C1B">
        <w:t xml:space="preserve"> birth weight &lt;1500 grams; or </w:t>
      </w:r>
    </w:p>
    <w:p w14:paraId="3BB93A65" w14:textId="77777777" w:rsidR="00322A3C" w:rsidRPr="00013C1B" w:rsidRDefault="00322A3C">
      <w:pPr>
        <w:numPr>
          <w:ilvl w:val="0"/>
          <w:numId w:val="6"/>
        </w:numPr>
      </w:pPr>
      <w:r w:rsidRPr="00013C1B">
        <w:t>gestational age at least 22 weeks but &lt;32 weeks.</w:t>
      </w:r>
    </w:p>
    <w:p w14:paraId="4C020384" w14:textId="77777777" w:rsidR="00322A3C" w:rsidRPr="00013C1B" w:rsidRDefault="00322A3C" w:rsidP="007D1EA1">
      <w:pPr>
        <w:pStyle w:val="DefinitionList"/>
        <w:ind w:left="0"/>
        <w:rPr>
          <w:sz w:val="16"/>
          <w:szCs w:val="16"/>
        </w:rPr>
      </w:pPr>
    </w:p>
    <w:p w14:paraId="044DBC18" w14:textId="1E14A1FE" w:rsidR="00322A3C" w:rsidRPr="00013C1B" w:rsidRDefault="00322A3C" w:rsidP="007D1EA1">
      <w:r w:rsidRPr="00013C1B">
        <w:t xml:space="preserve">Not all women at risk for delivery of babies with these conditions are known beforehand to be at risk. Therefore, </w:t>
      </w:r>
      <w:r w:rsidR="008B618B">
        <w:t xml:space="preserve">hospitals </w:t>
      </w:r>
      <w:r w:rsidR="00931D15">
        <w:t xml:space="preserve">should not report on high-risk deliveries in Section 4E: High Risk Deliveries if they </w:t>
      </w:r>
      <w:r w:rsidR="008B618B">
        <w:t xml:space="preserve">only admit </w:t>
      </w:r>
      <w:r w:rsidRPr="00013C1B">
        <w:t xml:space="preserve">deliveries in which these high-risk conditions were </w:t>
      </w:r>
      <w:r w:rsidRPr="00013C1B">
        <w:rPr>
          <w:u w:val="single"/>
        </w:rPr>
        <w:t>unknown</w:t>
      </w:r>
      <w:r w:rsidRPr="00013C1B">
        <w:t xml:space="preserve"> prior to admission </w:t>
      </w:r>
      <w:r w:rsidR="001C5DAA">
        <w:t>or</w:t>
      </w:r>
      <w:r w:rsidR="00931D15">
        <w:t xml:space="preserve"> if they</w:t>
      </w:r>
      <w:r w:rsidR="001C5DAA">
        <w:t xml:space="preserve"> only </w:t>
      </w:r>
      <w:r w:rsidR="0024617E">
        <w:t>admit high-risk deliveries o</w:t>
      </w:r>
      <w:r w:rsidR="001C5DAA">
        <w:t>n an emergency basis or when a patient is too unstable for safe transfer</w:t>
      </w:r>
      <w:r w:rsidR="0024617E">
        <w:t>.</w:t>
      </w:r>
    </w:p>
    <w:p w14:paraId="62D7B673" w14:textId="1705EBE0" w:rsidR="00322A3C" w:rsidRPr="00A4550B" w:rsidRDefault="00322A3C" w:rsidP="007D1EA1"/>
  </w:endnote>
  <w:endnote w:id="32">
    <w:p w14:paraId="13A6DDAB" w14:textId="77777777" w:rsidR="00322A3C" w:rsidRPr="00CB4421" w:rsidRDefault="00322A3C" w:rsidP="007D1EA1">
      <w:pPr>
        <w:pStyle w:val="EndnoteText"/>
        <w:rPr>
          <w:b/>
          <w:i/>
        </w:rPr>
      </w:pPr>
      <w:r w:rsidRPr="00CB4421">
        <w:rPr>
          <w:rStyle w:val="EndnoteReference"/>
        </w:rPr>
        <w:endnoteRef/>
      </w:r>
      <w:r w:rsidRPr="00CB4421">
        <w:t xml:space="preserve"> </w:t>
      </w:r>
      <w:bookmarkStart w:id="314" w:name="Endnote19_ColocatedNICU"/>
      <w:bookmarkStart w:id="315" w:name="colocatedendnote"/>
      <w:r w:rsidRPr="00CB4421">
        <w:rPr>
          <w:b/>
          <w:i/>
        </w:rPr>
        <w:t>Co-located</w:t>
      </w:r>
      <w:bookmarkEnd w:id="314"/>
      <w:bookmarkEnd w:id="315"/>
    </w:p>
    <w:p w14:paraId="6B957D3F" w14:textId="2DC95702" w:rsidR="006470F4" w:rsidRPr="00A4550B" w:rsidRDefault="00322A3C" w:rsidP="007D1EA1">
      <w:pPr>
        <w:pStyle w:val="EndnoteText"/>
      </w:pPr>
      <w:r w:rsidRPr="00CB4421">
        <w:t>A location within “immediate physical proximity” of the hospital would be considered a co-located location or unit, e.g., a co-</w:t>
      </w:r>
      <w:r w:rsidRPr="00EB25EE">
        <w:t>located neonatal ICU (NICU) or</w:t>
      </w:r>
      <w:r w:rsidRPr="00CB4421">
        <w:t xml:space="preserve"> co-located hospital outpatient location. "Immediate physical proximity” means the two locations must be physically connected, either by a tunnel, an enclosed bridge, or the locations </w:t>
      </w:r>
      <w:r w:rsidRPr="00DF7EF2">
        <w:t>abut</w:t>
      </w:r>
      <w:r w:rsidRPr="00CB4421">
        <w:t xml:space="preserve"> each other so that the hallways readily connect.</w:t>
      </w:r>
    </w:p>
    <w:p w14:paraId="5165A6F6" w14:textId="77777777" w:rsidR="008932D0" w:rsidRPr="00216021" w:rsidRDefault="008932D0" w:rsidP="007D1EA1">
      <w:pPr>
        <w:pStyle w:val="EndnoteText"/>
      </w:pPr>
    </w:p>
  </w:endnote>
  <w:endnote w:id="33">
    <w:p w14:paraId="3A61C333" w14:textId="3B0C589B" w:rsidR="00322A3C" w:rsidRPr="00013C1B" w:rsidRDefault="00322A3C" w:rsidP="007D1EA1">
      <w:pPr>
        <w:pStyle w:val="EndnoteText"/>
        <w:rPr>
          <w:b/>
          <w:i/>
        </w:rPr>
      </w:pPr>
      <w:r w:rsidRPr="00013C1B">
        <w:rPr>
          <w:rStyle w:val="EndnoteReference"/>
        </w:rPr>
        <w:endnoteRef/>
      </w:r>
      <w:r w:rsidRPr="00013C1B">
        <w:t xml:space="preserve"> </w:t>
      </w:r>
      <w:bookmarkStart w:id="317" w:name="Endnote20_VLBW"/>
      <w:r w:rsidRPr="00013C1B">
        <w:rPr>
          <w:b/>
          <w:i/>
        </w:rPr>
        <w:t>Very low birth weight babies</w:t>
      </w:r>
      <w:bookmarkEnd w:id="317"/>
    </w:p>
    <w:p w14:paraId="794AF33C" w14:textId="27015E62" w:rsidR="00322A3C" w:rsidRDefault="00322A3C" w:rsidP="007D1EA1">
      <w:r w:rsidRPr="00013C1B">
        <w:t xml:space="preserve">Complicated newborns are those infants with a birth weight &lt;1500 grams. If your hospital has a neonatal ICU (or is co-located with a hospital that has a neonatal ICU) that admits or accepts transfers of neonates with these conditions, you </w:t>
      </w:r>
      <w:r w:rsidR="00DB6B49" w:rsidRPr="00013C1B">
        <w:t>must</w:t>
      </w:r>
      <w:r w:rsidRPr="00013C1B">
        <w:t xml:space="preserve"> answer “yes” to question #2.</w:t>
      </w:r>
    </w:p>
    <w:p w14:paraId="504E7545" w14:textId="77777777" w:rsidR="000E7C65" w:rsidRPr="00E54011" w:rsidRDefault="000E7C65" w:rsidP="007D1EA1"/>
  </w:endnote>
  <w:endnote w:id="34">
    <w:p w14:paraId="4B624D8A" w14:textId="77777777" w:rsidR="00322A3C" w:rsidRPr="00FE6C74" w:rsidRDefault="00322A3C">
      <w:pPr>
        <w:pStyle w:val="EndnoteText"/>
      </w:pPr>
      <w:r w:rsidRPr="00FE6C74">
        <w:rPr>
          <w:rStyle w:val="EndnoteReference"/>
        </w:rPr>
        <w:endnoteRef/>
      </w:r>
      <w:r w:rsidRPr="00FE6C74">
        <w:t xml:space="preserve"> </w:t>
      </w:r>
      <w:bookmarkStart w:id="318" w:name="Endnote21_VON"/>
      <w:r w:rsidRPr="00FE6C74">
        <w:rPr>
          <w:b/>
          <w:i/>
          <w:snapToGrid w:val="0"/>
          <w:color w:val="000000"/>
        </w:rPr>
        <w:t>VON’s Death or Morbidity Measure</w:t>
      </w:r>
      <w:bookmarkEnd w:id="318"/>
      <w:r w:rsidRPr="00FE6C74">
        <w:t xml:space="preserve"> </w:t>
      </w:r>
    </w:p>
    <w:p w14:paraId="15459402" w14:textId="77777777" w:rsidR="00322A3C" w:rsidRDefault="00322A3C" w:rsidP="00440B2C">
      <w:pPr>
        <w:pStyle w:val="EndnoteText"/>
      </w:pPr>
      <w:r>
        <w:t xml:space="preserve">This measure is collected and calculated by the Vermont Oxford Network and includes patients who have </w:t>
      </w:r>
      <w:r w:rsidRPr="00A34CA2">
        <w:t>died or are known to have one or more of</w:t>
      </w:r>
      <w:r>
        <w:t xml:space="preserve"> the following: severe intraventricular hemorrhage (SIVH); chronic lung disease (CLD); necrotizing enterocolitis (NEC); pneumothorax; any late infection (bacterial, fungal, or coagulase negative staph); or cystic periventricular leukomalacia (PVL). </w:t>
      </w:r>
    </w:p>
    <w:p w14:paraId="265714B3" w14:textId="77777777" w:rsidR="00E67EDC" w:rsidRPr="00216021" w:rsidRDefault="00E67EDC">
      <w:pPr>
        <w:pStyle w:val="EndnoteText"/>
      </w:pPr>
    </w:p>
  </w:endnote>
  <w:endnote w:id="35">
    <w:p w14:paraId="5A42B59B" w14:textId="58BC2484" w:rsidR="00322A3C" w:rsidRPr="00402BB7" w:rsidRDefault="00322A3C" w:rsidP="00385598">
      <w:pPr>
        <w:pStyle w:val="EndnoteText"/>
        <w:rPr>
          <w:b/>
        </w:rPr>
      </w:pPr>
      <w:r w:rsidRPr="00402BB7">
        <w:rPr>
          <w:rStyle w:val="EndnoteReference"/>
        </w:rPr>
        <w:endnoteRef/>
      </w:r>
      <w:r w:rsidRPr="00402BB7">
        <w:t xml:space="preserve"> </w:t>
      </w:r>
      <w:bookmarkStart w:id="404" w:name="Endnote22_CCPatients"/>
      <w:r w:rsidRPr="00402BB7">
        <w:rPr>
          <w:b/>
          <w:i/>
        </w:rPr>
        <w:t xml:space="preserve">All Critical Care Patients </w:t>
      </w:r>
    </w:p>
    <w:bookmarkEnd w:id="404"/>
    <w:p w14:paraId="4C3DDBF7" w14:textId="0DE05F21" w:rsidR="00322A3C" w:rsidRDefault="00322A3C" w:rsidP="00385598">
      <w:pPr>
        <w:pStyle w:val="EndnoteText"/>
      </w:pPr>
      <w:r w:rsidRPr="00402BB7">
        <w:rPr>
          <w:b/>
        </w:rPr>
        <w:t>“All critical care patients”</w:t>
      </w:r>
      <w:r w:rsidRPr="00402BB7">
        <w:t xml:space="preserve"> means all general medical</w:t>
      </w:r>
      <w:r w:rsidR="00793D2D" w:rsidRPr="00402BB7">
        <w:t>, surgical,</w:t>
      </w:r>
      <w:r w:rsidRPr="00402BB7">
        <w:t xml:space="preserve"> </w:t>
      </w:r>
      <w:r w:rsidR="00D3207E" w:rsidRPr="00402BB7">
        <w:t>medical</w:t>
      </w:r>
      <w:r w:rsidRPr="00402BB7">
        <w:t>/surgical</w:t>
      </w:r>
      <w:r w:rsidR="00D3207E" w:rsidRPr="00402BB7">
        <w:t>,</w:t>
      </w:r>
      <w:r w:rsidRPr="00402BB7">
        <w:t xml:space="preserve"> and neuro ICU patients in</w:t>
      </w:r>
      <w:r w:rsidR="00EA5719" w:rsidRPr="00402BB7">
        <w:t>cluding critical care patients in</w:t>
      </w:r>
      <w:r w:rsidRPr="00402BB7">
        <w:t xml:space="preserve"> </w:t>
      </w:r>
      <w:r w:rsidR="00A412B7" w:rsidRPr="00402BB7">
        <w:t>mixed acuity units</w:t>
      </w:r>
      <w:r w:rsidRPr="00402BB7">
        <w:t>.</w:t>
      </w:r>
    </w:p>
    <w:p w14:paraId="26BF2A20" w14:textId="77777777" w:rsidR="00206A52" w:rsidRPr="00216021" w:rsidRDefault="00206A52" w:rsidP="00385598">
      <w:pPr>
        <w:pStyle w:val="EndnoteText"/>
      </w:pPr>
    </w:p>
  </w:endnote>
  <w:endnote w:id="36">
    <w:p w14:paraId="075BDB87" w14:textId="77777777" w:rsidR="00322A3C" w:rsidRPr="00690069" w:rsidRDefault="00322A3C">
      <w:pPr>
        <w:pStyle w:val="EndnoteText"/>
      </w:pPr>
      <w:r w:rsidRPr="00690069">
        <w:rPr>
          <w:rStyle w:val="EndnoteReference"/>
        </w:rPr>
        <w:endnoteRef/>
      </w:r>
      <w:r w:rsidRPr="00690069">
        <w:t xml:space="preserve"> </w:t>
      </w:r>
      <w:bookmarkStart w:id="406" w:name="Endnote24_Manage"/>
      <w:r w:rsidRPr="00690069">
        <w:rPr>
          <w:b/>
          <w:i/>
        </w:rPr>
        <w:t>Managed or Co-Managed</w:t>
      </w:r>
      <w:bookmarkEnd w:id="406"/>
    </w:p>
    <w:p w14:paraId="79978385" w14:textId="2F5BE858" w:rsidR="00322A3C" w:rsidRDefault="00322A3C">
      <w:pPr>
        <w:pStyle w:val="EndnoteText"/>
      </w:pPr>
      <w:r w:rsidRPr="00690069">
        <w:t>The intensivist, when present (whether on-site or via telemedicine), is authorized to diagnose, treat, and write orders for a patient in the ICU on</w:t>
      </w:r>
      <w:r w:rsidR="00D016B4" w:rsidRPr="00690069">
        <w:t xml:space="preserve"> the intensivist’s</w:t>
      </w:r>
      <w:r w:rsidRPr="00690069">
        <w:t xml:space="preserve"> own authority. </w:t>
      </w:r>
      <w:r w:rsidR="00930A86" w:rsidRPr="00690069">
        <w:t xml:space="preserve">Examples of co-management include, but are not limited to, communication on patient status between the intensivist and hospitalist </w:t>
      </w:r>
      <w:r w:rsidR="00296DC0" w:rsidRPr="00690069">
        <w:t xml:space="preserve">on </w:t>
      </w:r>
      <w:r w:rsidR="00930A86" w:rsidRPr="00690069">
        <w:t xml:space="preserve">a daily basis, intensivists co-develop care plans for all ICU patients, etc. </w:t>
      </w:r>
      <w:r w:rsidRPr="00690069">
        <w:t>Mandatory consults or daily rounds by an intensivist are not sufficient to meet the managed/co-managed requirement. However, an ICU need not be closed to meet this requirement.</w:t>
      </w:r>
    </w:p>
    <w:p w14:paraId="061220BE" w14:textId="77777777" w:rsidR="000E7C65" w:rsidRPr="00216021" w:rsidRDefault="000E7C65">
      <w:pPr>
        <w:pStyle w:val="EndnoteText"/>
      </w:pPr>
    </w:p>
  </w:endnote>
  <w:endnote w:id="37">
    <w:p w14:paraId="7B236CFA" w14:textId="77777777" w:rsidR="00322A3C" w:rsidRPr="007F71F3" w:rsidRDefault="00322A3C">
      <w:pPr>
        <w:pStyle w:val="BodyText2"/>
        <w:rPr>
          <w:b/>
        </w:rPr>
      </w:pPr>
      <w:r w:rsidRPr="007F71F3">
        <w:rPr>
          <w:rStyle w:val="EndnoteReference"/>
        </w:rPr>
        <w:endnoteRef/>
      </w:r>
      <w:bookmarkStart w:id="408" w:name="Endnote25_Certified"/>
      <w:r w:rsidRPr="007F71F3">
        <w:t xml:space="preserve"> </w:t>
      </w:r>
      <w:r w:rsidRPr="007F71F3">
        <w:rPr>
          <w:b/>
        </w:rPr>
        <w:t>Certified in Critical Care Medicine</w:t>
      </w:r>
      <w:bookmarkEnd w:id="408"/>
    </w:p>
    <w:p w14:paraId="2E35CDD0" w14:textId="43228806" w:rsidR="005A11A5" w:rsidRPr="007F71F3" w:rsidRDefault="00322A3C" w:rsidP="005A11A5">
      <w:pPr>
        <w:rPr>
          <w:rFonts w:ascii="Calibri" w:hAnsi="Calibri"/>
        </w:rPr>
      </w:pPr>
      <w:r w:rsidRPr="007F71F3">
        <w:t>A physician who is “certified in Critical Care Medicine” is a board-certified physician who is additionally certified in the subspecialty of Critical Care Medicine. Certification in Critical Care Medicine is awarded by the American Boards of Internal Medicine, Surgery, Anesthesiology, Pediatrics, and Emergency Medicine</w:t>
      </w:r>
      <w:r w:rsidR="00AB393E" w:rsidRPr="007F71F3">
        <w:t xml:space="preserve">, as well as the </w:t>
      </w:r>
      <w:r w:rsidR="0018356E" w:rsidRPr="007F71F3">
        <w:t>American Osteopathic Board (AOS)</w:t>
      </w:r>
      <w:r w:rsidR="003D4292" w:rsidRPr="007F71F3">
        <w:t xml:space="preserve">. </w:t>
      </w:r>
      <w:r w:rsidR="0018356E" w:rsidRPr="007F71F3">
        <w:t xml:space="preserve"> </w:t>
      </w:r>
      <w:r w:rsidRPr="007F71F3">
        <w:br/>
      </w:r>
      <w:r w:rsidRPr="007F71F3">
        <w:br/>
        <w:t xml:space="preserve">“Neurointensivists” </w:t>
      </w:r>
      <w:r w:rsidR="005A11A5" w:rsidRPr="007F71F3">
        <w:t>include any physician that meets at least one of the following paths:</w:t>
      </w:r>
    </w:p>
    <w:p w14:paraId="440D5C64" w14:textId="77E88FB7" w:rsidR="005A11A5" w:rsidRPr="007F71F3" w:rsidRDefault="005A11A5" w:rsidP="00AD309C">
      <w:pPr>
        <w:pStyle w:val="ListParagraph"/>
        <w:numPr>
          <w:ilvl w:val="0"/>
          <w:numId w:val="226"/>
        </w:numPr>
      </w:pPr>
      <w:r w:rsidRPr="007F71F3">
        <w:t>Physicians who are board-certified in their primary specialty and who are additionally certified in the subspecialty of Neurocritical Care Medicine</w:t>
      </w:r>
      <w:r w:rsidR="00BA6076" w:rsidRPr="007F71F3">
        <w:t xml:space="preserve">. </w:t>
      </w:r>
      <w:r w:rsidRPr="007F71F3">
        <w:t>Certification in Neurocritical Care Medicine is awarded by the United Council for Neurologic Subspecialties (UCNS) or</w:t>
      </w:r>
      <w:r w:rsidR="00BA6076" w:rsidRPr="007F71F3">
        <w:t xml:space="preserve"> </w:t>
      </w:r>
      <w:r w:rsidRPr="007F71F3">
        <w:t>by the American Board of Psychiatry and Neurology, Inc. (ABPN). Physicians who have not yet passed a certifying exam, either through UCNS or ABPN, are considered to be equivalent to a physician “certified in Neurocritical Care Medicine” for up to 3 years after they are eligible to take either: (1) the UCNS exam (UCNS currently offers a “grandfathering” option for their “Practice Track” for exam eligibility) or (2) the ABPN exam (ABPN currently offers a “grandfathering” or practice pathway track for exam eligibility, which will last until 2026). These options provide a 3-year grace period for clinicians to take and pass the necessary exams. To qualify for the grace period, hospitals and/or clinicians will need to provide clear documentation of what their eligibility dates were to sit for one or both of these exams.</w:t>
      </w:r>
    </w:p>
    <w:p w14:paraId="6CA081F7" w14:textId="30C20A73" w:rsidR="005A11A5" w:rsidRPr="007F71F3" w:rsidRDefault="005A11A5" w:rsidP="00AD309C">
      <w:pPr>
        <w:pStyle w:val="ListParagraph"/>
        <w:numPr>
          <w:ilvl w:val="0"/>
          <w:numId w:val="226"/>
        </w:numPr>
      </w:pPr>
      <w:r w:rsidRPr="007F71F3">
        <w:t>Physicians who are board-certified in their primary specialty and who are additionally credentialed by the American Board of Neurological Surgery (ABNS) through their Recognition of Focused Practice in Neurocritical Care. Physicians who have not yet passed the ABNS Neurocritical Care RFP exam are considered to be equivalent to a physician “certified in Neurocritical Care Medicine” for up to 3 years after they are eligible to take the exam. This provides a 3-year grace period for clinicians to take and pass the necessary exam. To qualify for the grace period, hospitals and/or clinicians will need to provide clear documentation of what their eligibility dates were to sit for the exam.</w:t>
      </w:r>
    </w:p>
    <w:p w14:paraId="64E62FEC" w14:textId="77777777" w:rsidR="00322A3C" w:rsidRPr="007F71F3" w:rsidRDefault="00322A3C" w:rsidP="006B19E3">
      <w:pPr>
        <w:pStyle w:val="BodyText2"/>
        <w:rPr>
          <w:i w:val="0"/>
        </w:rPr>
      </w:pPr>
    </w:p>
    <w:p w14:paraId="6DC965C5" w14:textId="77777777" w:rsidR="00322A3C" w:rsidRPr="007F71F3" w:rsidRDefault="00322A3C" w:rsidP="006B19E3">
      <w:pPr>
        <w:pStyle w:val="BodyText2"/>
        <w:rPr>
          <w:i w:val="0"/>
        </w:rPr>
      </w:pPr>
      <w:r w:rsidRPr="007F71F3">
        <w:rPr>
          <w:b/>
          <w:i w:val="0"/>
        </w:rPr>
        <w:t>Expanded Definition of Certified in Critical Care Medicine</w:t>
      </w:r>
      <w:r w:rsidRPr="007F71F3">
        <w:rPr>
          <w:i w:val="0"/>
        </w:rPr>
        <w:t xml:space="preserve"> </w:t>
      </w:r>
    </w:p>
    <w:p w14:paraId="02B12257" w14:textId="312EFE83" w:rsidR="00322A3C" w:rsidRPr="007F71F3" w:rsidRDefault="00322A3C" w:rsidP="006B19E3">
      <w:pPr>
        <w:pStyle w:val="BodyText2"/>
        <w:rPr>
          <w:i w:val="0"/>
        </w:rPr>
      </w:pPr>
      <w:r w:rsidRPr="007F71F3">
        <w:rPr>
          <w:i w:val="0"/>
        </w:rPr>
        <w:t>On an interim basis, three other categories of physicians are considered by Leapfrog to be equivalent to a physician “certified in Critical Care Medicine” for the purpose of meeting the standard:</w:t>
      </w:r>
    </w:p>
    <w:p w14:paraId="607F1030" w14:textId="77777777" w:rsidR="00322A3C" w:rsidRPr="007F71F3" w:rsidRDefault="00322A3C" w:rsidP="00AD309C">
      <w:pPr>
        <w:pStyle w:val="BodyText2"/>
        <w:numPr>
          <w:ilvl w:val="0"/>
          <w:numId w:val="43"/>
        </w:numPr>
        <w:rPr>
          <w:i w:val="0"/>
        </w:rPr>
      </w:pPr>
      <w:r w:rsidRPr="007F71F3">
        <w:rPr>
          <w:i w:val="0"/>
        </w:rPr>
        <w:t>Physicians who completed training prior to availability of subspecialty certification in critical care in their specialty (1987 for Internal Medicine, Surgery, Anesthesiology, Pediatrics and 2013 for Emergency Medicine), who are board-certified in their specialty, and who have provided at least six weeks of full-time ICU care annually. (The weeks need not be consecutive weeks.)</w:t>
      </w:r>
    </w:p>
    <w:p w14:paraId="059CDE34" w14:textId="77777777" w:rsidR="00322A3C" w:rsidRPr="007F71F3" w:rsidRDefault="00322A3C" w:rsidP="00AD309C">
      <w:pPr>
        <w:pStyle w:val="BodyText2"/>
        <w:numPr>
          <w:ilvl w:val="0"/>
          <w:numId w:val="43"/>
        </w:numPr>
        <w:rPr>
          <w:i w:val="0"/>
        </w:rPr>
      </w:pPr>
      <w:r w:rsidRPr="007F71F3">
        <w:rPr>
          <w:i w:val="0"/>
        </w:rPr>
        <w:t>Physicians who have finished their fellowship in Critical Care Medicine, but have not yet passed an existing board-certifying exam, are considered to be equivalent to a physician “Certified in Critical Care Medicine” for up to three years after completion of the fellowship. This provides the physician an adequate window to take her/his boards and re-take if necessary.</w:t>
      </w:r>
    </w:p>
    <w:p w14:paraId="6E05366C" w14:textId="77777777" w:rsidR="00322A3C" w:rsidRPr="007F71F3" w:rsidRDefault="00322A3C" w:rsidP="00AD309C">
      <w:pPr>
        <w:pStyle w:val="BodyText2"/>
        <w:numPr>
          <w:ilvl w:val="0"/>
          <w:numId w:val="42"/>
        </w:numPr>
        <w:rPr>
          <w:i w:val="0"/>
        </w:rPr>
      </w:pPr>
      <w:r w:rsidRPr="007F71F3">
        <w:rPr>
          <w:i w:val="0"/>
        </w:rPr>
        <w:t>Physicians who are board-certified in their primary specialty and have completed a critical care fellowship at an ACGME-accredited program, but are ineligible to sit for a board-certifying exam in Critical Care in either their primary specialty or subspecialty because their training occurred under two separate certifying boards, are considered to be equivalent to a physician “Certified in Critical Care Medicine” if they are board-certified in their primary specialty and have provided at least six weeks of full-time ICU care annually. (The weeks need not be consecutive weeks.)</w:t>
      </w:r>
    </w:p>
    <w:p w14:paraId="0D774906" w14:textId="77777777" w:rsidR="00DC1FA9" w:rsidRPr="007F71F3" w:rsidRDefault="00DC1FA9">
      <w:pPr>
        <w:pStyle w:val="BodyText2"/>
        <w:rPr>
          <w:i w:val="0"/>
        </w:rPr>
      </w:pPr>
    </w:p>
    <w:p w14:paraId="53C6FD1F" w14:textId="727978AC" w:rsidR="00B44C1C" w:rsidRPr="00045157" w:rsidRDefault="00322A3C">
      <w:pPr>
        <w:pStyle w:val="BodyText2"/>
        <w:rPr>
          <w:i w:val="0"/>
        </w:rPr>
      </w:pPr>
      <w:r w:rsidRPr="007F71F3">
        <w:rPr>
          <w:i w:val="0"/>
        </w:rPr>
        <w:t>Physicians who have let their board certification lapse are not considered to be “Certified in Critical Care Medicine.”</w:t>
      </w:r>
      <w:r w:rsidR="00CE2FE9">
        <w:rPr>
          <w:i w:val="0"/>
        </w:rPr>
        <w:br/>
      </w:r>
    </w:p>
  </w:endnote>
  <w:endnote w:id="38">
    <w:p w14:paraId="3A99FB42" w14:textId="77777777" w:rsidR="00322A3C" w:rsidRPr="00025567" w:rsidRDefault="00322A3C">
      <w:pPr>
        <w:pStyle w:val="EndnoteText"/>
      </w:pPr>
      <w:r w:rsidRPr="00025567">
        <w:rPr>
          <w:rStyle w:val="EndnoteReference"/>
        </w:rPr>
        <w:endnoteRef/>
      </w:r>
      <w:r w:rsidRPr="00025567">
        <w:t xml:space="preserve"> </w:t>
      </w:r>
      <w:bookmarkStart w:id="410" w:name="Endnote26_Present"/>
      <w:r w:rsidRPr="00025567">
        <w:rPr>
          <w:b/>
          <w:i/>
        </w:rPr>
        <w:t>Ordinarily and Exclusively Present in the ICU</w:t>
      </w:r>
      <w:bookmarkEnd w:id="410"/>
    </w:p>
    <w:p w14:paraId="4048F4C2" w14:textId="51C07623" w:rsidR="00322A3C" w:rsidRPr="00C57200" w:rsidRDefault="00322A3C">
      <w:pPr>
        <w:pStyle w:val="EndnoteText"/>
      </w:pPr>
      <w:r w:rsidRPr="00C57200">
        <w:rPr>
          <w:b/>
        </w:rPr>
        <w:t>“Ordinarily present in the ICU”</w:t>
      </w:r>
      <w:r w:rsidRPr="00C57200">
        <w:t xml:space="preserve"> refers to direct on-site presence in the ICU of an intensivist during the 4-hour or 8-hour period. While it need not be the same intensivist for the entire 4-hour or 8-hour period, it is expected that the ICU(s) are primarily staffed by dedicated ICU intensivists who are ordinarily and exclusively present in the ICU(s). "Presence" does </w:t>
      </w:r>
      <w:r w:rsidRPr="00C57200">
        <w:rPr>
          <w:i/>
        </w:rPr>
        <w:t>not</w:t>
      </w:r>
      <w:r w:rsidRPr="00C57200">
        <w:t xml:space="preserve"> mean staffed part-time by multiple physicians who are not ordinarily and exclusively dedicated to the ICU, </w:t>
      </w:r>
      <w:r w:rsidRPr="00C57200">
        <w:rPr>
          <w:i/>
        </w:rPr>
        <w:t>nor</w:t>
      </w:r>
      <w:r w:rsidRPr="00C57200">
        <w:t xml:space="preserve"> does it mean the cumulative time that one or more intensivists spend in the unit visiting, rounding, consulting, or responding to pages.</w:t>
      </w:r>
    </w:p>
    <w:p w14:paraId="1403A263" w14:textId="00B43321" w:rsidR="00322A3C" w:rsidRPr="00E67EDC" w:rsidRDefault="00322A3C">
      <w:pPr>
        <w:pStyle w:val="EndnoteText"/>
        <w:rPr>
          <w:sz w:val="16"/>
          <w:szCs w:val="16"/>
        </w:rPr>
      </w:pPr>
    </w:p>
    <w:p w14:paraId="6A79592C" w14:textId="1107ED8C" w:rsidR="00322A3C" w:rsidRPr="00E67EDC" w:rsidRDefault="00322A3C">
      <w:pPr>
        <w:pStyle w:val="EndnoteText"/>
        <w:rPr>
          <w:sz w:val="16"/>
          <w:szCs w:val="16"/>
        </w:rPr>
      </w:pPr>
      <w:r w:rsidRPr="00C57200">
        <w:t>The standard allows for normally expected intensivist activities outside of the ICU related to their responsibilities in the ICU (e.g., evaluating patients proposed for ICU admission), as long as intensivists</w:t>
      </w:r>
      <w:r>
        <w:t xml:space="preserve"> are ordinarily present in the ICU and return immediately when paged. An intensivist present in one ICU immediately adjacent to another can be considered present in both units as long as </w:t>
      </w:r>
      <w:r w:rsidR="00D344E1" w:rsidRPr="00C64B8D">
        <w:t>they</w:t>
      </w:r>
      <w:r w:rsidRPr="00C64B8D">
        <w:t xml:space="preserve"> can respond to demands in both units as if </w:t>
      </w:r>
      <w:r w:rsidR="00D344E1" w:rsidRPr="00C64B8D">
        <w:t>they</w:t>
      </w:r>
      <w:r w:rsidRPr="00C64B8D">
        <w:t xml:space="preserve"> would if both units were one larger unit. For the purposes of this Survey, “adjacent” units are those units that can be reached within 5 minutes. While tele-intensivists can be used to meet the presence requirement, some on-site intensivist presence is still necessary to meet the Leapfrog specifications. </w:t>
      </w:r>
      <w:r w:rsidRPr="00C64B8D">
        <w:br/>
      </w:r>
    </w:p>
    <w:p w14:paraId="4C5EE971" w14:textId="4B857BBA" w:rsidR="00322A3C" w:rsidRDefault="00322A3C">
      <w:pPr>
        <w:pStyle w:val="EndnoteText"/>
      </w:pPr>
      <w:r w:rsidRPr="00C64B8D">
        <w:rPr>
          <w:b/>
        </w:rPr>
        <w:t>“Exclusively”</w:t>
      </w:r>
      <w:r w:rsidRPr="00C64B8D">
        <w:t xml:space="preserve"> means that when the physician is in the ICU, </w:t>
      </w:r>
      <w:r w:rsidR="00D344E1" w:rsidRPr="00C64B8D">
        <w:t>they</w:t>
      </w:r>
      <w:r w:rsidRPr="00C64B8D">
        <w:t xml:space="preserve"> ha</w:t>
      </w:r>
      <w:r w:rsidR="004371D3">
        <w:t>ve</w:t>
      </w:r>
      <w:r w:rsidRPr="00C64B8D">
        <w:t xml:space="preserve"> no concur</w:t>
      </w:r>
      <w:r>
        <w:t>rent clinical responsibilities to non-ICU patients.</w:t>
      </w:r>
    </w:p>
    <w:p w14:paraId="512257DC" w14:textId="77777777" w:rsidR="00000AEF" w:rsidRPr="00216021" w:rsidRDefault="00000AEF">
      <w:pPr>
        <w:pStyle w:val="EndnoteText"/>
      </w:pPr>
    </w:p>
  </w:endnote>
  <w:endnote w:id="39">
    <w:p w14:paraId="5AE01B8E" w14:textId="77777777" w:rsidR="005A5A08" w:rsidRPr="00D57E60" w:rsidRDefault="005A5A08" w:rsidP="005A5A08">
      <w:pPr>
        <w:pStyle w:val="EndnoteText"/>
        <w:rPr>
          <w:b/>
          <w:i/>
        </w:rPr>
      </w:pPr>
      <w:r w:rsidRPr="00D57E60">
        <w:rPr>
          <w:rStyle w:val="EndnoteReference"/>
        </w:rPr>
        <w:endnoteRef/>
      </w:r>
      <w:r w:rsidRPr="00D57E60">
        <w:t xml:space="preserve"> </w:t>
      </w:r>
      <w:bookmarkStart w:id="412" w:name="Endnote27_Telemedicine"/>
      <w:r w:rsidRPr="00D57E60">
        <w:rPr>
          <w:b/>
          <w:i/>
        </w:rPr>
        <w:t>Intensivist Presence via Telemedicine</w:t>
      </w:r>
      <w:bookmarkEnd w:id="412"/>
    </w:p>
    <w:p w14:paraId="602055C4" w14:textId="2F62E660" w:rsidR="00364928" w:rsidRPr="00D57E60" w:rsidRDefault="00364928" w:rsidP="00364928">
      <w:pPr>
        <w:pStyle w:val="EndnoteText"/>
      </w:pPr>
      <w:r w:rsidRPr="00D57E60">
        <w:t xml:space="preserve">To meet the Leapfrog ICU requirement for intensivist presence in the ICU via telemedicine, a hospital </w:t>
      </w:r>
      <w:r w:rsidR="004318C6" w:rsidRPr="00D57E60">
        <w:t xml:space="preserve">must </w:t>
      </w:r>
      <w:r w:rsidRPr="00D57E60">
        <w:t xml:space="preserve">be able to document that it fulfills </w:t>
      </w:r>
      <w:r w:rsidRPr="00D57E60">
        <w:rPr>
          <w:b/>
          <w:bCs/>
          <w:u w:val="single"/>
        </w:rPr>
        <w:t>all</w:t>
      </w:r>
      <w:r w:rsidR="004318C6" w:rsidRPr="00D57E60">
        <w:t xml:space="preserve"> </w:t>
      </w:r>
      <w:r w:rsidRPr="00D57E60">
        <w:t xml:space="preserve">the following 10 key features based on a modification of the approach reported in Critical Care Medicine (Rosenfeld, B. et al. “Intensive care unit telemedicine: Alternate paradigm for providing continuous intensivist care,” </w:t>
      </w:r>
      <w:r w:rsidRPr="00D57E60">
        <w:rPr>
          <w:i/>
        </w:rPr>
        <w:t>Critical Care Medicine</w:t>
      </w:r>
      <w:r w:rsidRPr="00D57E60">
        <w:t>, Vol. 28, No. 1, pp. 3925-3931).</w:t>
      </w:r>
    </w:p>
    <w:p w14:paraId="53871758" w14:textId="77777777" w:rsidR="00364928" w:rsidRPr="00D57E60" w:rsidRDefault="00364928" w:rsidP="00364928">
      <w:pPr>
        <w:pStyle w:val="EndnoteText"/>
        <w:rPr>
          <w:sz w:val="16"/>
          <w:szCs w:val="16"/>
        </w:rPr>
      </w:pPr>
    </w:p>
    <w:p w14:paraId="00976E54" w14:textId="699D0401" w:rsidR="00364928" w:rsidRPr="00D57E60" w:rsidRDefault="00364928">
      <w:pPr>
        <w:pStyle w:val="EndnoteText"/>
        <w:numPr>
          <w:ilvl w:val="0"/>
          <w:numId w:val="5"/>
        </w:numPr>
      </w:pPr>
      <w:r w:rsidRPr="00D57E60">
        <w:t>A physician certified in critical care medicine (see endnote #</w:t>
      </w:r>
      <w:r w:rsidR="00A22C99" w:rsidRPr="00D57E60">
        <w:t>3</w:t>
      </w:r>
      <w:r w:rsidR="00B55D52" w:rsidRPr="00D57E60">
        <w:t>6</w:t>
      </w:r>
      <w:r w:rsidRPr="00D57E60">
        <w:t>) who is physically present in the ICU (“on-site intensivist”) performs a comprehensive review of each ICU patient each day and establishes and/or revises the care plan. The on-site intensivist must be available by phone to answer any questions from the tele-intensivist related to the established or revised care plan.</w:t>
      </w:r>
      <w:r w:rsidRPr="00D57E60">
        <w:br/>
      </w:r>
      <w:r w:rsidRPr="00D57E60">
        <w:br/>
        <w:t>The tele-intensivist, who must also be a physician certified in critical care medicine (see endnote #</w:t>
      </w:r>
      <w:r w:rsidR="00A22C99" w:rsidRPr="00D57E60">
        <w:t>3</w:t>
      </w:r>
      <w:r w:rsidR="00B55D52" w:rsidRPr="00D57E60">
        <w:t>6</w:t>
      </w:r>
      <w:r w:rsidRPr="00D57E60">
        <w:t xml:space="preserve">), has immediate access to information regarding the on-site intensivist’s care plan at the time the management responsibility is transferred to the tele-intensivist by the on-site intensivist. </w:t>
      </w:r>
      <w:r w:rsidRPr="00D57E60">
        <w:br/>
      </w:r>
      <w:r w:rsidRPr="00D57E60">
        <w:br/>
        <w:t xml:space="preserve">When care is transferred back to the on-site intensivist, the tele-intensivist must communicate any changes to the care plan to the on-site intensivist. Hospitals relying on electronic hand-offs </w:t>
      </w:r>
      <w:r w:rsidR="00A84F9E" w:rsidRPr="00D57E60">
        <w:t xml:space="preserve">must </w:t>
      </w:r>
      <w:r w:rsidRPr="00D57E60">
        <w:t xml:space="preserve">ensure that physician sign-in and sign-out of reports is being recorded. In addition, these reports should be monitored as one way to audit compliance with the hand-off process described above. </w:t>
      </w:r>
      <w:r w:rsidRPr="00D57E60">
        <w:br/>
      </w:r>
    </w:p>
    <w:p w14:paraId="4C703A72" w14:textId="77777777" w:rsidR="00364928" w:rsidRPr="00D57E60" w:rsidRDefault="00364928">
      <w:pPr>
        <w:pStyle w:val="EndnoteText"/>
        <w:numPr>
          <w:ilvl w:val="0"/>
          <w:numId w:val="5"/>
        </w:numPr>
      </w:pPr>
      <w:r w:rsidRPr="00D57E60">
        <w:t>When an intensivist is not on-site in the ICU managing or co-managing all ICU patients, a tele-intensivist is continuously monitoring and able to manage all ICU patients for the remaining 24 hours per day, 7 days per week. “Continuously monitoring” means the tele-intensivist has no other concurrent responsibilities, is immediately available to communicate with ICU staff, and is continuously in the physical presence of the tele-ICU’s patient monitoring and communications equipment. "Manage" means authorized to diagnose, treat, and write orders for a patient in the ICU on the intensivist’s own authority.</w:t>
      </w:r>
      <w:r w:rsidRPr="00D57E60">
        <w:br/>
      </w:r>
    </w:p>
    <w:p w14:paraId="6BD286F7" w14:textId="561723DF" w:rsidR="008932D0" w:rsidRPr="00D57E60" w:rsidRDefault="00364928" w:rsidP="00B55D52">
      <w:pPr>
        <w:pStyle w:val="EndnoteText"/>
        <w:numPr>
          <w:ilvl w:val="0"/>
          <w:numId w:val="5"/>
        </w:numPr>
      </w:pPr>
      <w:r w:rsidRPr="00D57E60">
        <w:t>The tele-intensivist’s care is proactive, with routine visualization and physiological review of all patients at a frequency appropriate to their severity of illness.</w:t>
      </w:r>
      <w:r w:rsidRPr="00D57E60">
        <w:br/>
      </w:r>
    </w:p>
    <w:p w14:paraId="0D5CC0DD" w14:textId="77777777" w:rsidR="00364928" w:rsidRPr="00D57E60" w:rsidRDefault="00364928">
      <w:pPr>
        <w:pStyle w:val="EndnoteText"/>
        <w:numPr>
          <w:ilvl w:val="0"/>
          <w:numId w:val="5"/>
        </w:numPr>
      </w:pPr>
      <w:r w:rsidRPr="00D57E60">
        <w:t>The tele-intensivist has immediate access to key patient data, including:</w:t>
      </w:r>
    </w:p>
    <w:p w14:paraId="3A5F88C5" w14:textId="77777777" w:rsidR="00364928" w:rsidRPr="00D57E60" w:rsidRDefault="00364928">
      <w:pPr>
        <w:pStyle w:val="EndnoteText"/>
        <w:numPr>
          <w:ilvl w:val="1"/>
          <w:numId w:val="5"/>
        </w:numPr>
      </w:pPr>
      <w:r w:rsidRPr="00D57E60">
        <w:t>physiologic bedside monitor data (in real-time);</w:t>
      </w:r>
    </w:p>
    <w:p w14:paraId="7E0EC707" w14:textId="77777777" w:rsidR="00364928" w:rsidRPr="00D57E60" w:rsidRDefault="00364928">
      <w:pPr>
        <w:pStyle w:val="EndnoteText"/>
        <w:numPr>
          <w:ilvl w:val="1"/>
          <w:numId w:val="5"/>
        </w:numPr>
      </w:pPr>
      <w:r w:rsidRPr="00D57E60">
        <w:t>laboratory orders and results;</w:t>
      </w:r>
    </w:p>
    <w:p w14:paraId="17F6531A" w14:textId="77777777" w:rsidR="00364928" w:rsidRPr="00D57E60" w:rsidRDefault="00364928">
      <w:pPr>
        <w:pStyle w:val="EndnoteText"/>
        <w:numPr>
          <w:ilvl w:val="1"/>
          <w:numId w:val="5"/>
        </w:numPr>
      </w:pPr>
      <w:r w:rsidRPr="00D57E60">
        <w:t>medications ordered and administered; and,</w:t>
      </w:r>
    </w:p>
    <w:p w14:paraId="5FDED426" w14:textId="77777777" w:rsidR="00364928" w:rsidRPr="00D57E60" w:rsidRDefault="00364928">
      <w:pPr>
        <w:pStyle w:val="EndnoteText"/>
        <w:numPr>
          <w:ilvl w:val="1"/>
          <w:numId w:val="5"/>
        </w:numPr>
        <w:rPr>
          <w:lang w:val="fr-FR"/>
        </w:rPr>
      </w:pPr>
      <w:r w:rsidRPr="00D57E60">
        <w:rPr>
          <w:lang w:val="fr-FR"/>
        </w:rPr>
        <w:t xml:space="preserve">notes, radiographs, ECGs, etc. on </w:t>
      </w:r>
      <w:r w:rsidRPr="00D57E60">
        <w:t>demand</w:t>
      </w:r>
      <w:r w:rsidRPr="00D57E60">
        <w:rPr>
          <w:lang w:val="fr-FR"/>
        </w:rPr>
        <w:t>.</w:t>
      </w:r>
      <w:r w:rsidRPr="00D57E60">
        <w:rPr>
          <w:lang w:val="fr-FR"/>
        </w:rPr>
        <w:br/>
      </w:r>
    </w:p>
    <w:p w14:paraId="027DAF7E" w14:textId="3F8BE89A" w:rsidR="00364928" w:rsidRPr="00D57E60" w:rsidRDefault="00364928">
      <w:pPr>
        <w:pStyle w:val="EndnoteText"/>
        <w:numPr>
          <w:ilvl w:val="0"/>
          <w:numId w:val="5"/>
        </w:numPr>
      </w:pPr>
      <w:r w:rsidRPr="00D57E60">
        <w:t xml:space="preserve">Bedside cameras are physically available in each ICU. If cameras are not mounted in each patient room within the unit, then at least one </w:t>
      </w:r>
      <w:r w:rsidR="00304D44" w:rsidRPr="00D57E60">
        <w:t xml:space="preserve">dedicated </w:t>
      </w:r>
      <w:r w:rsidRPr="00D57E60">
        <w:t xml:space="preserve">bedside camera must be available for every five beds in the ICU, plus a </w:t>
      </w:r>
      <w:r w:rsidR="00304D44" w:rsidRPr="00D57E60">
        <w:t xml:space="preserve">dedicated </w:t>
      </w:r>
      <w:r w:rsidRPr="00D57E60">
        <w:t xml:space="preserve">back-up camera in each ICU. If ICUs are located on different floors of the hospital, each ICU on each floor must have its own set of dedicated cameras if they are not mounted in every room. </w:t>
      </w:r>
      <w:r w:rsidR="00304D44" w:rsidRPr="00D57E60">
        <w:t xml:space="preserve">“Dedicated” means that the cameras are on the unit for the sole purpose of patient care. Personal </w:t>
      </w:r>
      <w:r w:rsidR="006669C5" w:rsidRPr="00D57E60">
        <w:t xml:space="preserve">devices (e.g., personal phones, tablets, etc.) </w:t>
      </w:r>
      <w:r w:rsidR="00304D44" w:rsidRPr="00D57E60">
        <w:t xml:space="preserve">would not meet this requirement. </w:t>
      </w:r>
    </w:p>
    <w:p w14:paraId="2AC227A7" w14:textId="77777777" w:rsidR="00364928" w:rsidRPr="00D57E60" w:rsidRDefault="00364928" w:rsidP="00364928">
      <w:pPr>
        <w:pStyle w:val="EndnoteText"/>
        <w:ind w:left="360"/>
        <w:rPr>
          <w:sz w:val="16"/>
          <w:szCs w:val="16"/>
        </w:rPr>
      </w:pPr>
    </w:p>
    <w:p w14:paraId="7577F1F5" w14:textId="77777777" w:rsidR="00364928" w:rsidRPr="00D57E60" w:rsidRDefault="00364928">
      <w:pPr>
        <w:pStyle w:val="EndnoteText"/>
        <w:numPr>
          <w:ilvl w:val="0"/>
          <w:numId w:val="5"/>
        </w:numPr>
      </w:pPr>
      <w:r w:rsidRPr="00D57E60">
        <w:t xml:space="preserve">The tele-intensivist must be able to turn on each bedside camera to visualize patients, with sufficient clarity to assess breathing pattern and communicate with on-site personnel at the bedside in real time. </w:t>
      </w:r>
      <w:r w:rsidRPr="00D57E60">
        <w:br/>
      </w:r>
    </w:p>
    <w:p w14:paraId="158A2F01" w14:textId="77777777" w:rsidR="00364928" w:rsidRPr="00D57E60" w:rsidRDefault="00364928">
      <w:pPr>
        <w:pStyle w:val="EndnoteText"/>
        <w:numPr>
          <w:ilvl w:val="0"/>
          <w:numId w:val="5"/>
        </w:numPr>
      </w:pPr>
      <w:r w:rsidRPr="00D57E60">
        <w:t>Within five minutes of a request for assistance being initiated by hospital staff, the tele-intensivist’s patient workload ordinarily permits the tele-intensivist to complete a comprehensive visual and physiological assessment of any patient.</w:t>
      </w:r>
      <w:r w:rsidRPr="00D57E60">
        <w:br/>
      </w:r>
    </w:p>
    <w:p w14:paraId="7139FB86" w14:textId="77777777" w:rsidR="00364928" w:rsidRPr="00D57E60" w:rsidRDefault="00364928">
      <w:pPr>
        <w:pStyle w:val="EndnoteText"/>
        <w:numPr>
          <w:ilvl w:val="0"/>
          <w:numId w:val="5"/>
        </w:numPr>
      </w:pPr>
      <w:r w:rsidRPr="00D57E60">
        <w:t>Data links between the ICU and the tele-intensivist are reliable (&gt;98% up-time) and secure (HIPAA compliant).</w:t>
      </w:r>
      <w:r w:rsidRPr="00D57E60">
        <w:br/>
      </w:r>
    </w:p>
    <w:p w14:paraId="58732C6E" w14:textId="77777777" w:rsidR="00364928" w:rsidRPr="00D57E60" w:rsidRDefault="00364928">
      <w:pPr>
        <w:pStyle w:val="EndnoteText"/>
        <w:numPr>
          <w:ilvl w:val="0"/>
          <w:numId w:val="5"/>
        </w:numPr>
      </w:pPr>
      <w:r w:rsidRPr="00D57E60">
        <w:t>Written standards for remote care are established and include, at a minimum:</w:t>
      </w:r>
    </w:p>
    <w:p w14:paraId="557C4F67" w14:textId="77777777" w:rsidR="00364928" w:rsidRPr="00D57E60" w:rsidRDefault="00364928">
      <w:pPr>
        <w:pStyle w:val="EndnoteText"/>
        <w:numPr>
          <w:ilvl w:val="1"/>
          <w:numId w:val="5"/>
        </w:numPr>
      </w:pPr>
      <w:r w:rsidRPr="00D57E60">
        <w:t>tele-intensivists are certified by a national medical specialty board in critical care medicine;</w:t>
      </w:r>
    </w:p>
    <w:p w14:paraId="1CFEFB49" w14:textId="77777777" w:rsidR="00364928" w:rsidRPr="00D57E60" w:rsidRDefault="00364928">
      <w:pPr>
        <w:pStyle w:val="EndnoteText"/>
        <w:numPr>
          <w:ilvl w:val="1"/>
          <w:numId w:val="5"/>
        </w:numPr>
      </w:pPr>
      <w:r w:rsidRPr="00D57E60">
        <w:t>tele-intensivists are licensed to practice in the legal jurisdiction in which the ICU is located;</w:t>
      </w:r>
    </w:p>
    <w:p w14:paraId="7CFAE354" w14:textId="77777777" w:rsidR="00364928" w:rsidRPr="00D57E60" w:rsidRDefault="00364928">
      <w:pPr>
        <w:pStyle w:val="EndnoteText"/>
        <w:numPr>
          <w:ilvl w:val="1"/>
          <w:numId w:val="5"/>
        </w:numPr>
      </w:pPr>
      <w:r w:rsidRPr="00D57E60">
        <w:t>tele-intensivists are credentialed in each hospital to which he/she provides remote care (can be special telemedicine credentialing);</w:t>
      </w:r>
    </w:p>
    <w:p w14:paraId="3FEFF61E" w14:textId="77777777" w:rsidR="00364928" w:rsidRPr="00D57E60" w:rsidRDefault="00364928">
      <w:pPr>
        <w:pStyle w:val="EndnoteText"/>
        <w:numPr>
          <w:ilvl w:val="1"/>
          <w:numId w:val="5"/>
        </w:numPr>
      </w:pPr>
      <w:r w:rsidRPr="00D57E60">
        <w:t>activities of the tele-intensivist are reviewed within the hospital’s quality assurance committee structure;</w:t>
      </w:r>
    </w:p>
    <w:p w14:paraId="73C1A640" w14:textId="77777777" w:rsidR="00364928" w:rsidRPr="00D57E60" w:rsidRDefault="00364928">
      <w:pPr>
        <w:pStyle w:val="EndnoteText"/>
        <w:numPr>
          <w:ilvl w:val="1"/>
          <w:numId w:val="5"/>
        </w:numPr>
      </w:pPr>
      <w:r w:rsidRPr="00D57E60">
        <w:t>there are explicit written policies regarding roles and responsibilities of both the on-site intensivist and the tele-intensivist;</w:t>
      </w:r>
    </w:p>
    <w:p w14:paraId="6713DEC8" w14:textId="77777777" w:rsidR="00364928" w:rsidRPr="00D57E60" w:rsidRDefault="00364928">
      <w:pPr>
        <w:pStyle w:val="EndnoteText"/>
        <w:numPr>
          <w:ilvl w:val="1"/>
          <w:numId w:val="5"/>
        </w:numPr>
      </w:pPr>
      <w:r w:rsidRPr="00D57E60">
        <w:t>ICU staff are educated regarding the function, roles, and responsibilities of the tele-intensivist; and</w:t>
      </w:r>
    </w:p>
    <w:p w14:paraId="0056907A" w14:textId="77777777" w:rsidR="00364928" w:rsidRPr="00D57E60" w:rsidRDefault="00364928">
      <w:pPr>
        <w:pStyle w:val="EndnoteText"/>
        <w:numPr>
          <w:ilvl w:val="1"/>
          <w:numId w:val="5"/>
        </w:numPr>
      </w:pPr>
      <w:r w:rsidRPr="00D57E60">
        <w:t>there is an established written process to ensure effective communication between the ICU staff and the tele-intensivist.</w:t>
      </w:r>
      <w:r w:rsidRPr="00D57E60">
        <w:br/>
      </w:r>
    </w:p>
    <w:p w14:paraId="4E0C684E" w14:textId="23B92F55" w:rsidR="005A5A08" w:rsidRPr="00D57E60" w:rsidRDefault="00364928">
      <w:pPr>
        <w:pStyle w:val="EndnoteText"/>
        <w:numPr>
          <w:ilvl w:val="0"/>
          <w:numId w:val="5"/>
        </w:numPr>
      </w:pPr>
      <w:r w:rsidRPr="00D57E60">
        <w:t>The tele-intensivist documents patient care activities and this documentation is incorporated into the patient record.</w:t>
      </w:r>
    </w:p>
    <w:p w14:paraId="24016144" w14:textId="77777777" w:rsidR="00B55D52" w:rsidRPr="00216021" w:rsidRDefault="00B55D52" w:rsidP="00465871">
      <w:pPr>
        <w:pStyle w:val="EndnoteText"/>
      </w:pPr>
    </w:p>
  </w:endnote>
  <w:endnote w:id="40">
    <w:p w14:paraId="53F2A73F" w14:textId="77777777" w:rsidR="00322A3C" w:rsidRPr="006D3C9E" w:rsidRDefault="00322A3C">
      <w:pPr>
        <w:pStyle w:val="EndnoteText"/>
      </w:pPr>
      <w:r w:rsidRPr="00F636FE">
        <w:rPr>
          <w:rStyle w:val="EndnoteReference"/>
        </w:rPr>
        <w:endnoteRef/>
      </w:r>
      <w:r w:rsidRPr="00F636FE">
        <w:t xml:space="preserve"> </w:t>
      </w:r>
      <w:bookmarkStart w:id="414" w:name="Endnote28_ResponseAnalysis"/>
      <w:r w:rsidRPr="00F636FE">
        <w:rPr>
          <w:b/>
          <w:i/>
        </w:rPr>
        <w:t>Quantified Analysis of Response Times</w:t>
      </w:r>
      <w:bookmarkEnd w:id="414"/>
    </w:p>
    <w:p w14:paraId="77DAE0E3" w14:textId="77777777" w:rsidR="00B86BA6" w:rsidRPr="006D3C9E" w:rsidRDefault="00B86BA6" w:rsidP="00B86BA6">
      <w:pPr>
        <w:pStyle w:val="EndnoteText"/>
      </w:pPr>
      <w:r w:rsidRPr="006D3C9E">
        <w:t>Hospitals can monitor the response times of intensivists, “effectors,” and clinical pharmacists in multiple ways, as long as the data collection process is non-biased and scientific.</w:t>
      </w:r>
    </w:p>
    <w:p w14:paraId="22F25A54" w14:textId="77777777" w:rsidR="00B86BA6" w:rsidRPr="006D3C9E" w:rsidRDefault="00B86BA6" w:rsidP="00B86BA6">
      <w:pPr>
        <w:pStyle w:val="EndnoteText"/>
        <w:rPr>
          <w:sz w:val="16"/>
          <w:szCs w:val="16"/>
        </w:rPr>
      </w:pPr>
    </w:p>
    <w:p w14:paraId="468017B7" w14:textId="65BF6FE1" w:rsidR="00B86BA6" w:rsidRPr="006D3C9E" w:rsidRDefault="00B86BA6" w:rsidP="00B86BA6">
      <w:pPr>
        <w:pStyle w:val="EndnoteText"/>
      </w:pPr>
      <w:r w:rsidRPr="006D3C9E">
        <w:t xml:space="preserve">As an example, hospitals can have the ICU staff maintain a </w:t>
      </w:r>
      <w:r w:rsidR="00845C58">
        <w:t>response time audit log (low priority excluded)</w:t>
      </w:r>
      <w:r w:rsidRPr="006D3C9E">
        <w:t xml:space="preserve"> in the ICU(s) on six randomly sampled days per year. On those days, ICU nurses could record:</w:t>
      </w:r>
    </w:p>
    <w:p w14:paraId="3B1AA118" w14:textId="45ADF871" w:rsidR="00B86BA6" w:rsidRPr="006D3C9E" w:rsidRDefault="00B86BA6" w:rsidP="00AD309C">
      <w:pPr>
        <w:pStyle w:val="EndnoteText"/>
        <w:numPr>
          <w:ilvl w:val="0"/>
          <w:numId w:val="42"/>
        </w:numPr>
      </w:pPr>
      <w:r w:rsidRPr="006D3C9E">
        <w:t>For question #</w:t>
      </w:r>
      <w:r w:rsidR="00A22C99" w:rsidRPr="006D3C9E">
        <w:t>7</w:t>
      </w:r>
      <w:r w:rsidRPr="006D3C9E">
        <w:t>, the number of calls/pages/texts made to the intensivist when they were not present in the unit (whether on-site or via telemedicine) and the number of times the intensivist’s response time exceeded 5 minutes</w:t>
      </w:r>
    </w:p>
    <w:p w14:paraId="07A2F8DA" w14:textId="3E20EEAD" w:rsidR="00B86BA6" w:rsidRPr="006D3C9E" w:rsidRDefault="00B86BA6" w:rsidP="00AD309C">
      <w:pPr>
        <w:pStyle w:val="EndnoteText"/>
        <w:numPr>
          <w:ilvl w:val="0"/>
          <w:numId w:val="42"/>
        </w:numPr>
      </w:pPr>
      <w:r w:rsidRPr="006D3C9E">
        <w:t>For question #</w:t>
      </w:r>
      <w:r w:rsidR="00A22C99" w:rsidRPr="006D3C9E">
        <w:t>8</w:t>
      </w:r>
      <w:r w:rsidRPr="006D3C9E">
        <w:t>, the number of calls/pages/texts made to a physician, physician assistant, nurse practitioner, or FCCS-certified nurse or intern “effector” and the number of times these individuals did not reach the patient at the bedside within 5 minutes</w:t>
      </w:r>
    </w:p>
    <w:p w14:paraId="12318296" w14:textId="107144B5" w:rsidR="00B86BA6" w:rsidRPr="006D3C9E" w:rsidRDefault="00B86BA6" w:rsidP="00AD309C">
      <w:pPr>
        <w:pStyle w:val="ListParagraph"/>
        <w:numPr>
          <w:ilvl w:val="0"/>
          <w:numId w:val="42"/>
        </w:numPr>
      </w:pPr>
      <w:r w:rsidRPr="006D3C9E">
        <w:t>For question #1</w:t>
      </w:r>
      <w:r w:rsidR="00A22C99" w:rsidRPr="006D3C9E">
        <w:t>3</w:t>
      </w:r>
      <w:r w:rsidRPr="006D3C9E">
        <w:t>, the number of calls/pages/texts made to the clinical pharmacist on days when they were not rounding on-site in the unit and the number of times the clinical pharmacist’s response time exceeded 5 minutes</w:t>
      </w:r>
    </w:p>
    <w:p w14:paraId="106B8199" w14:textId="77777777" w:rsidR="00B86BA6" w:rsidRPr="006D3C9E" w:rsidRDefault="00B86BA6" w:rsidP="00B86BA6">
      <w:pPr>
        <w:pStyle w:val="EndnoteText"/>
        <w:rPr>
          <w:sz w:val="16"/>
          <w:szCs w:val="16"/>
        </w:rPr>
      </w:pPr>
    </w:p>
    <w:p w14:paraId="07577A8A" w14:textId="77777777" w:rsidR="00B86BA6" w:rsidRPr="006D3C9E" w:rsidRDefault="00B86BA6" w:rsidP="00B86BA6">
      <w:pPr>
        <w:pStyle w:val="EndnoteText"/>
      </w:pPr>
      <w:r w:rsidRPr="006D3C9E">
        <w:t>Hospitals can then estimate whether they meet the 95% timely response standards by dividing the total number of log exceptions by the total number of calls/pages/texts per day.</w:t>
      </w:r>
    </w:p>
    <w:p w14:paraId="4204BD33" w14:textId="77777777" w:rsidR="00B86BA6" w:rsidRPr="006D3C9E" w:rsidRDefault="00B86BA6" w:rsidP="00B86BA6">
      <w:pPr>
        <w:pStyle w:val="EndnoteText"/>
        <w:rPr>
          <w:sz w:val="16"/>
          <w:szCs w:val="16"/>
        </w:rPr>
      </w:pPr>
    </w:p>
    <w:p w14:paraId="11B9E193" w14:textId="7BD4F68C" w:rsidR="00322A3C" w:rsidRPr="006D3C9E" w:rsidRDefault="00B86BA6">
      <w:pPr>
        <w:pStyle w:val="EndnoteText"/>
        <w:rPr>
          <w:snapToGrid w:val="0"/>
          <w:color w:val="000000"/>
        </w:rPr>
      </w:pPr>
      <w:r w:rsidRPr="006D3C9E">
        <w:rPr>
          <w:snapToGrid w:val="0"/>
          <w:color w:val="000000"/>
        </w:rPr>
        <w:t>Hospitals may exclude low-urgency calls/pages/texts, if the notification device system can designate low-urgency calls/pages/texts, or if the hospital has an alternative scientific method for documenting high-urgency calls/pages/texts that are not returned within 5 minutes.</w:t>
      </w:r>
    </w:p>
    <w:p w14:paraId="7CF9A26F" w14:textId="77777777" w:rsidR="0042028B" w:rsidRPr="006D3C9E" w:rsidRDefault="0042028B">
      <w:pPr>
        <w:pStyle w:val="EndnoteText"/>
        <w:rPr>
          <w:snapToGrid w:val="0"/>
          <w:color w:val="000000"/>
        </w:rPr>
      </w:pPr>
    </w:p>
    <w:p w14:paraId="3403638D" w14:textId="7650F1D5" w:rsidR="00633990" w:rsidRPr="0059600E" w:rsidRDefault="0042028B">
      <w:pPr>
        <w:pStyle w:val="EndnoteText"/>
        <w:rPr>
          <w:snapToGrid w:val="0"/>
          <w:color w:val="000000"/>
        </w:rPr>
      </w:pPr>
      <w:r w:rsidRPr="006D3C9E">
        <w:rPr>
          <w:snapToGrid w:val="0"/>
          <w:color w:val="000000"/>
        </w:rPr>
        <w:t xml:space="preserve">The six randomly selected days can be conducted over the course of a year prior to submission of </w:t>
      </w:r>
      <w:r w:rsidR="00A54BE5" w:rsidRPr="006D3C9E">
        <w:rPr>
          <w:snapToGrid w:val="0"/>
          <w:color w:val="000000"/>
        </w:rPr>
        <w:t>Section 5 of the</w:t>
      </w:r>
      <w:r w:rsidRPr="006D3C9E">
        <w:rPr>
          <w:snapToGrid w:val="0"/>
          <w:color w:val="000000"/>
        </w:rPr>
        <w:t xml:space="preserve"> </w:t>
      </w:r>
      <w:r w:rsidR="00A54BE5" w:rsidRPr="006D3C9E">
        <w:rPr>
          <w:snapToGrid w:val="0"/>
          <w:color w:val="000000"/>
        </w:rPr>
        <w:t>S</w:t>
      </w:r>
      <w:r w:rsidRPr="006D3C9E">
        <w:rPr>
          <w:snapToGrid w:val="0"/>
          <w:color w:val="000000"/>
        </w:rPr>
        <w:t xml:space="preserve">urvey. If resubmitting </w:t>
      </w:r>
      <w:r w:rsidR="00A54BE5" w:rsidRPr="006D3C9E">
        <w:rPr>
          <w:snapToGrid w:val="0"/>
          <w:color w:val="000000"/>
        </w:rPr>
        <w:t xml:space="preserve">responses to Section 5, </w:t>
      </w:r>
      <w:r w:rsidRPr="006D3C9E">
        <w:rPr>
          <w:snapToGrid w:val="0"/>
          <w:color w:val="000000"/>
        </w:rPr>
        <w:t xml:space="preserve">six new randomly selected days </w:t>
      </w:r>
      <w:r w:rsidR="00A54BE5" w:rsidRPr="006D3C9E">
        <w:rPr>
          <w:snapToGrid w:val="0"/>
          <w:color w:val="000000"/>
        </w:rPr>
        <w:t xml:space="preserve">must </w:t>
      </w:r>
      <w:r w:rsidRPr="006D3C9E">
        <w:rPr>
          <w:snapToGrid w:val="0"/>
          <w:color w:val="000000"/>
        </w:rPr>
        <w:t xml:space="preserve">be sampled in the three-month </w:t>
      </w:r>
      <w:r w:rsidRPr="0059600E">
        <w:rPr>
          <w:snapToGrid w:val="0"/>
          <w:color w:val="000000"/>
        </w:rPr>
        <w:t xml:space="preserve">reporting period </w:t>
      </w:r>
      <w:r w:rsidR="00A54BE5" w:rsidRPr="0059600E">
        <w:rPr>
          <w:snapToGrid w:val="0"/>
          <w:color w:val="000000"/>
        </w:rPr>
        <w:t xml:space="preserve">prior to </w:t>
      </w:r>
      <w:r w:rsidRPr="0059600E">
        <w:rPr>
          <w:snapToGrid w:val="0"/>
          <w:color w:val="000000"/>
        </w:rPr>
        <w:t>resubmission.</w:t>
      </w:r>
    </w:p>
    <w:p w14:paraId="24F762D4" w14:textId="77777777" w:rsidR="0042028B" w:rsidRPr="0059600E" w:rsidRDefault="0042028B">
      <w:pPr>
        <w:pStyle w:val="EndnoteText"/>
        <w:rPr>
          <w:snapToGrid w:val="0"/>
          <w:color w:val="000000"/>
          <w:sz w:val="16"/>
          <w:szCs w:val="16"/>
        </w:rPr>
      </w:pPr>
    </w:p>
    <w:p w14:paraId="27F6C2DF" w14:textId="637D5362" w:rsidR="00637995" w:rsidRPr="0059600E" w:rsidRDefault="00633990" w:rsidP="00633990">
      <w:pPr>
        <w:pStyle w:val="EndnoteText"/>
      </w:pPr>
      <w:r w:rsidRPr="0059600E">
        <w:t xml:space="preserve">Hospitals that use telemedicine to cover ‘call’ for the on-site intensivist should review endnote </w:t>
      </w:r>
      <w:r w:rsidR="007152A0" w:rsidRPr="0059600E">
        <w:t>#</w:t>
      </w:r>
      <w:r w:rsidR="00741519" w:rsidRPr="0059600E">
        <w:t>4</w:t>
      </w:r>
      <w:r w:rsidR="00B55D52" w:rsidRPr="0059600E">
        <w:t>1</w:t>
      </w:r>
      <w:r w:rsidRPr="0059600E">
        <w:t xml:space="preserve">. </w:t>
      </w:r>
    </w:p>
    <w:p w14:paraId="400EEFA2" w14:textId="4A22701D" w:rsidR="00633990" w:rsidRDefault="00633990" w:rsidP="00633990">
      <w:pPr>
        <w:pStyle w:val="EndnoteText"/>
      </w:pPr>
      <w:r w:rsidRPr="0059600E">
        <w:t xml:space="preserve">Hospitals that have an effector that is dedicated 24/7 to the ICU (as defined as being within a 5 min walk to the ICU) should review endnote </w:t>
      </w:r>
      <w:r w:rsidR="007152A0" w:rsidRPr="0059600E">
        <w:t>#</w:t>
      </w:r>
      <w:r w:rsidR="00A22C99" w:rsidRPr="0059600E">
        <w:t>4</w:t>
      </w:r>
      <w:r w:rsidR="00B55D52" w:rsidRPr="0059600E">
        <w:t>2</w:t>
      </w:r>
      <w:r w:rsidRPr="0059600E">
        <w:t>.</w:t>
      </w:r>
    </w:p>
  </w:endnote>
  <w:endnote w:id="41">
    <w:p w14:paraId="20067A2A" w14:textId="77777777" w:rsidR="005057B3" w:rsidRPr="00216021" w:rsidRDefault="005057B3">
      <w:pPr>
        <w:pStyle w:val="BodyText2"/>
      </w:pPr>
    </w:p>
    <w:p w14:paraId="269020B8" w14:textId="77777777" w:rsidR="00322A3C" w:rsidRPr="005F4E6E" w:rsidRDefault="00322A3C">
      <w:pPr>
        <w:pStyle w:val="BodyText2"/>
        <w:rPr>
          <w:b/>
        </w:rPr>
      </w:pPr>
      <w:r w:rsidRPr="005F4E6E">
        <w:rPr>
          <w:rStyle w:val="EndnoteReference"/>
        </w:rPr>
        <w:endnoteRef/>
      </w:r>
      <w:r w:rsidRPr="005F4E6E">
        <w:t xml:space="preserve"> </w:t>
      </w:r>
      <w:bookmarkStart w:id="416" w:name="Endnote29_NurseEffector"/>
      <w:r w:rsidRPr="005F4E6E">
        <w:rPr>
          <w:b/>
        </w:rPr>
        <w:t>FCCS-Certified Nurse or Intern “Effector”</w:t>
      </w:r>
      <w:bookmarkEnd w:id="416"/>
    </w:p>
    <w:p w14:paraId="1FB518D5" w14:textId="77777777" w:rsidR="006676E5" w:rsidRPr="005F4E6E" w:rsidRDefault="00322A3C" w:rsidP="00630E5D">
      <w:pPr>
        <w:rPr>
          <w:rFonts w:ascii="Calibri" w:hAnsi="Calibri"/>
        </w:rPr>
      </w:pPr>
      <w:r w:rsidRPr="005F4E6E">
        <w:t xml:space="preserve">FCCS certificates are awarded to nurses and doctors upon their successful completion of a brief course developed by the Society for Critical Care Medicine to improve/confirm critical care knowledge and skills. For more information visit </w:t>
      </w:r>
      <w:hyperlink r:id="rId16" w:history="1">
        <w:r w:rsidR="000E060E" w:rsidRPr="005F4E6E">
          <w:rPr>
            <w:rStyle w:val="Hyperlink"/>
          </w:rPr>
          <w:t>https://www.sccm.org/Education-Center/Educational-Programming/Fundamentals/Fundamental-Critical-Care-Support</w:t>
        </w:r>
      </w:hyperlink>
      <w:r w:rsidR="000E060E" w:rsidRPr="005F4E6E">
        <w:rPr>
          <w:rFonts w:ascii="Calibri" w:hAnsi="Calibri"/>
        </w:rPr>
        <w:t xml:space="preserve">. </w:t>
      </w:r>
    </w:p>
    <w:p w14:paraId="61097147" w14:textId="77777777" w:rsidR="006676E5" w:rsidRPr="005F4E6E" w:rsidRDefault="006676E5" w:rsidP="00630E5D">
      <w:pPr>
        <w:rPr>
          <w:rFonts w:ascii="Calibri" w:hAnsi="Calibri"/>
        </w:rPr>
      </w:pPr>
    </w:p>
    <w:p w14:paraId="4DAC483E" w14:textId="77777777" w:rsidR="00691BAE" w:rsidRPr="005F4E6E" w:rsidRDefault="00691BAE" w:rsidP="00630E5D">
      <w:hyperlink w:history="1"/>
      <w:r w:rsidR="00322A3C" w:rsidRPr="005F4E6E">
        <w:t xml:space="preserve">At present, this is the only such course recommended by The Leapfrog Group’s expert advisory panel. Intensivists and any other physicians who are certified in critical care medicine (or eligible based on residency training or fellowship) need not also be FCCS certified. </w:t>
      </w:r>
    </w:p>
    <w:p w14:paraId="22C4A81F" w14:textId="77777777" w:rsidR="00691BAE" w:rsidRPr="005F4E6E" w:rsidRDefault="00691BAE" w:rsidP="00630E5D"/>
    <w:p w14:paraId="0243F35C" w14:textId="213B355A" w:rsidR="00322A3C" w:rsidRPr="00630E5D" w:rsidRDefault="00322A3C" w:rsidP="00630E5D">
      <w:pPr>
        <w:rPr>
          <w:rFonts w:ascii="Calibri" w:hAnsi="Calibri"/>
        </w:rPr>
      </w:pPr>
      <w:r w:rsidRPr="005F4E6E">
        <w:t xml:space="preserve">Physicians, physician assistants, and nurse practitioners also are not required to be FCCS certified, but they must meet the criteria specified in endnote </w:t>
      </w:r>
      <w:r w:rsidR="00B76191" w:rsidRPr="005F4E6E">
        <w:t>#</w:t>
      </w:r>
      <w:r w:rsidR="00A22C99" w:rsidRPr="005F4E6E">
        <w:t>4</w:t>
      </w:r>
      <w:r w:rsidR="00F10A96" w:rsidRPr="005F4E6E">
        <w:t>2</w:t>
      </w:r>
      <w:r w:rsidRPr="005F4E6E">
        <w:t xml:space="preserve"> to serve as the responder/”effector.”</w:t>
      </w:r>
    </w:p>
    <w:p w14:paraId="03DBD2F6" w14:textId="77777777" w:rsidR="00322A3C" w:rsidRPr="00216021" w:rsidRDefault="00322A3C">
      <w:pPr>
        <w:pStyle w:val="EndnoteText"/>
      </w:pPr>
    </w:p>
  </w:endnote>
  <w:endnote w:id="42">
    <w:p w14:paraId="2338E63D" w14:textId="5561709B" w:rsidR="00322A3C" w:rsidRPr="005F4E6E" w:rsidRDefault="00322A3C">
      <w:pPr>
        <w:pStyle w:val="EndnoteText"/>
      </w:pPr>
      <w:r w:rsidRPr="005F4E6E">
        <w:rPr>
          <w:rStyle w:val="EndnoteReference"/>
        </w:rPr>
        <w:endnoteRef/>
      </w:r>
      <w:r w:rsidRPr="005F4E6E">
        <w:t xml:space="preserve"> </w:t>
      </w:r>
      <w:bookmarkStart w:id="418" w:name="Endnote30_TeleCoverCalls"/>
      <w:r w:rsidRPr="005F4E6E">
        <w:rPr>
          <w:b/>
          <w:i/>
        </w:rPr>
        <w:t>Use of Tele-intensivists to Cover Calls</w:t>
      </w:r>
      <w:bookmarkEnd w:id="418"/>
    </w:p>
    <w:p w14:paraId="356CE7CF" w14:textId="2F09E11D" w:rsidR="00201CB2" w:rsidRDefault="00322A3C">
      <w:pPr>
        <w:pStyle w:val="EndnoteText"/>
      </w:pPr>
      <w:r w:rsidRPr="005F4E6E">
        <w:t>Hospitals that use telemedicine to cover ‘call’ for the on-site intensivist are able to answer “yes” to question #</w:t>
      </w:r>
      <w:r w:rsidR="00741519" w:rsidRPr="005F4E6E">
        <w:t>7</w:t>
      </w:r>
      <w:r w:rsidRPr="005F4E6E">
        <w:t xml:space="preserve"> if: (1) the telemedicine service meets all ten of the requirements outlined in endnote </w:t>
      </w:r>
      <w:r w:rsidR="00612D88" w:rsidRPr="005F4E6E">
        <w:t>#</w:t>
      </w:r>
      <w:r w:rsidR="00A22C99" w:rsidRPr="005F4E6E">
        <w:t>3</w:t>
      </w:r>
      <w:r w:rsidR="00B55D52" w:rsidRPr="005F4E6E">
        <w:t>8</w:t>
      </w:r>
      <w:r w:rsidRPr="005F4E6E">
        <w:t>; and (2) the hospital has an ‘effector’ (physician/PA/NP/FCCS certified nurse or intern) on-site during that time period to carry out the tele-intensivist’s orders and can reach the ICU patient within 5 minutes, 95% of the time.</w:t>
      </w:r>
    </w:p>
    <w:p w14:paraId="4E4423D3" w14:textId="77777777" w:rsidR="001C12DB" w:rsidRDefault="001C12DB">
      <w:pPr>
        <w:pStyle w:val="EndnoteText"/>
      </w:pPr>
    </w:p>
  </w:endnote>
  <w:endnote w:id="43">
    <w:p w14:paraId="17426BDC" w14:textId="77777777" w:rsidR="00322A3C" w:rsidRPr="00957AEE" w:rsidRDefault="00322A3C" w:rsidP="00FA7D20">
      <w:pPr>
        <w:pStyle w:val="EndnoteText"/>
      </w:pPr>
      <w:r w:rsidRPr="00957AEE">
        <w:rPr>
          <w:rStyle w:val="EndnoteReference"/>
        </w:rPr>
        <w:endnoteRef/>
      </w:r>
      <w:r w:rsidRPr="00957AEE">
        <w:t xml:space="preserve"> </w:t>
      </w:r>
      <w:bookmarkStart w:id="420" w:name="Endnote31_OtherEffector"/>
      <w:r w:rsidRPr="00957AEE">
        <w:rPr>
          <w:b/>
          <w:i/>
        </w:rPr>
        <w:t>Physician/PA/NP serving as the Responder/“Effector”</w:t>
      </w:r>
      <w:bookmarkEnd w:id="420"/>
    </w:p>
    <w:p w14:paraId="6A30A2AC" w14:textId="136D64FC" w:rsidR="00322A3C" w:rsidRPr="00957AEE" w:rsidRDefault="00322A3C" w:rsidP="00FA7D20">
      <w:pPr>
        <w:pStyle w:val="EndnoteText"/>
      </w:pPr>
      <w:r w:rsidRPr="00957AEE">
        <w:t>Physicians/PAs/NPs</w:t>
      </w:r>
      <w:r w:rsidR="00354D99" w:rsidRPr="00957AEE">
        <w:t xml:space="preserve"> (includes Clinical nurse Specialists, Nurse Anesthetists, or NPs)</w:t>
      </w:r>
      <w:r w:rsidRPr="00957AEE">
        <w:t xml:space="preserve"> serving as the responder in the ICU </w:t>
      </w:r>
      <w:r w:rsidR="00010F84" w:rsidRPr="00957AEE">
        <w:t xml:space="preserve">must </w:t>
      </w:r>
      <w:r w:rsidRPr="00957AEE">
        <w:t xml:space="preserve">meet the following criteria: </w:t>
      </w:r>
    </w:p>
    <w:p w14:paraId="66DD92D3" w14:textId="77777777" w:rsidR="00322A3C" w:rsidRPr="00957AEE" w:rsidRDefault="00322A3C" w:rsidP="00AD309C">
      <w:pPr>
        <w:pStyle w:val="EndnoteText"/>
        <w:numPr>
          <w:ilvl w:val="0"/>
          <w:numId w:val="95"/>
        </w:numPr>
      </w:pPr>
      <w:r w:rsidRPr="00957AEE">
        <w:t xml:space="preserve">Be a graduate with a training license from an ACGME accredited training program or have an active state license to practice as a physician, nurse practitioner, or physician assistant in the state in which the patient is located. </w:t>
      </w:r>
    </w:p>
    <w:p w14:paraId="5D568988" w14:textId="4B7F1450" w:rsidR="00322A3C" w:rsidRPr="00957AEE" w:rsidRDefault="00322A3C" w:rsidP="00AD309C">
      <w:pPr>
        <w:pStyle w:val="EndnoteText"/>
        <w:numPr>
          <w:ilvl w:val="0"/>
          <w:numId w:val="95"/>
        </w:numPr>
      </w:pPr>
      <w:r w:rsidRPr="00957AEE">
        <w:t>Have privileges to provide medical services in the unit (i.e.</w:t>
      </w:r>
      <w:r w:rsidR="00B05B4B" w:rsidRPr="00957AEE">
        <w:t>,</w:t>
      </w:r>
      <w:r w:rsidRPr="00957AEE">
        <w:t xml:space="preserve"> ICU) and for patients of the age range approved in advance by the hospital’s governing body (e.g., medical staff committee, chief medical officer, chief nursing officer, etc.), as specified by the institutions internal policies (bylaws).</w:t>
      </w:r>
    </w:p>
    <w:p w14:paraId="5BE7214A" w14:textId="3ECC2072" w:rsidR="00322A3C" w:rsidRPr="00957AEE" w:rsidRDefault="00322A3C" w:rsidP="00AD309C">
      <w:pPr>
        <w:pStyle w:val="ListParagraph"/>
        <w:numPr>
          <w:ilvl w:val="0"/>
          <w:numId w:val="95"/>
        </w:numPr>
      </w:pPr>
      <w:r w:rsidRPr="00957AEE">
        <w:t xml:space="preserve">Carry out the intensivist’s orders and instructions, under the intensivist’s guidance, when they are serving in a responder role. </w:t>
      </w:r>
    </w:p>
    <w:p w14:paraId="38057FBE" w14:textId="5BC0759F" w:rsidR="007E509D" w:rsidRPr="00957AEE" w:rsidRDefault="007E509D" w:rsidP="007E509D">
      <w:pPr>
        <w:rPr>
          <w:sz w:val="16"/>
          <w:szCs w:val="16"/>
        </w:rPr>
      </w:pPr>
    </w:p>
    <w:p w14:paraId="016D29A9" w14:textId="476ADD0B" w:rsidR="007E509D" w:rsidRPr="00EC7F89" w:rsidRDefault="007E509D" w:rsidP="007E509D">
      <w:pPr>
        <w:pStyle w:val="ListParagraph"/>
        <w:ind w:left="0"/>
      </w:pPr>
      <w:r w:rsidRPr="00957AEE">
        <w:rPr>
          <w:rFonts w:cs="Arial"/>
        </w:rPr>
        <w:t xml:space="preserve">If the effector is dedicated 24/7 to the ICU (as defined as being within a 5 min walk to the ICU), then hospitals can indicate </w:t>
      </w:r>
      <w:r w:rsidR="008F46C1" w:rsidRPr="00957AEE">
        <w:rPr>
          <w:rFonts w:cs="Arial"/>
        </w:rPr>
        <w:t>“</w:t>
      </w:r>
      <w:r w:rsidRPr="00957AEE">
        <w:rPr>
          <w:rFonts w:cs="Arial"/>
        </w:rPr>
        <w:t>yes</w:t>
      </w:r>
      <w:r w:rsidR="008F46C1" w:rsidRPr="00957AEE">
        <w:rPr>
          <w:rFonts w:cs="Arial"/>
        </w:rPr>
        <w:t>”</w:t>
      </w:r>
      <w:r w:rsidRPr="00957AEE">
        <w:rPr>
          <w:rFonts w:cs="Arial"/>
        </w:rPr>
        <w:t xml:space="preserve"> to meeting the response time requirement (5 min response; 95% of the time)</w:t>
      </w:r>
      <w:r w:rsidR="00ED006C" w:rsidRPr="00957AEE">
        <w:rPr>
          <w:rFonts w:cs="Arial"/>
        </w:rPr>
        <w:t xml:space="preserve"> in question #</w:t>
      </w:r>
      <w:r w:rsidR="00A22C99" w:rsidRPr="00957AEE">
        <w:rPr>
          <w:rFonts w:cs="Arial"/>
        </w:rPr>
        <w:t>8</w:t>
      </w:r>
      <w:r w:rsidRPr="00957AEE">
        <w:rPr>
          <w:rFonts w:cs="Arial"/>
        </w:rPr>
        <w:t>, in lieu of conducting a response time audit.</w:t>
      </w:r>
    </w:p>
    <w:p w14:paraId="4CF4E986" w14:textId="77777777" w:rsidR="00322A3C" w:rsidRPr="00216021" w:rsidRDefault="00322A3C" w:rsidP="00906204">
      <w:pPr>
        <w:pStyle w:val="EndnoteText"/>
        <w:ind w:left="360"/>
      </w:pPr>
    </w:p>
  </w:endnote>
  <w:endnote w:id="44">
    <w:p w14:paraId="6AAFAB1E" w14:textId="77777777" w:rsidR="00322A3C" w:rsidRDefault="00322A3C">
      <w:pPr>
        <w:pStyle w:val="EndnoteText"/>
        <w:rPr>
          <w:b/>
          <w:i/>
        </w:rPr>
      </w:pPr>
      <w:r>
        <w:rPr>
          <w:rStyle w:val="EndnoteReference"/>
        </w:rPr>
        <w:endnoteRef/>
      </w:r>
      <w:r>
        <w:t xml:space="preserve"> </w:t>
      </w:r>
      <w:bookmarkStart w:id="421" w:name="Endnote32_ModifiedTelemedicine"/>
      <w:r>
        <w:rPr>
          <w:b/>
          <w:i/>
        </w:rPr>
        <w:t>Modified Intensivist Presence via Telemedicine</w:t>
      </w:r>
    </w:p>
    <w:bookmarkEnd w:id="421"/>
    <w:p w14:paraId="38C38FC7" w14:textId="77777777" w:rsidR="00FE68F1" w:rsidRPr="00010B31" w:rsidRDefault="00FE68F1" w:rsidP="00FE68F1">
      <w:pPr>
        <w:pStyle w:val="EndnoteText"/>
        <w:rPr>
          <w:i/>
        </w:rPr>
      </w:pPr>
      <w:r>
        <w:t xml:space="preserve">To earn reduced credit on the Leapfrog ICU standard for intensivist presence in the ICU via telemonitoring, a hospital must affirm that its telemonitoring intensivist presence fulfills the following nine key features based on a modification of the approach reported in Critical Care Medicine (Rosenfeld, B. et al. “Intensive care unit telemedicine: Alternate paradigm for providing continuous intensivist care,” </w:t>
      </w:r>
      <w:r>
        <w:rPr>
          <w:i/>
        </w:rPr>
        <w:t>Critical Care Medicine</w:t>
      </w:r>
      <w:r>
        <w:t>, Vol. 28, No. 1, pp. 3925-3931). Note that, as with other Leapfrog specifications, these features must be met under ordinary circumstances.</w:t>
      </w:r>
    </w:p>
    <w:p w14:paraId="416F8B6D" w14:textId="77777777" w:rsidR="00FE68F1" w:rsidRPr="00E67EDC" w:rsidRDefault="00FE68F1" w:rsidP="00FE68F1">
      <w:pPr>
        <w:pStyle w:val="EndnoteText"/>
        <w:rPr>
          <w:sz w:val="16"/>
          <w:szCs w:val="16"/>
        </w:rPr>
      </w:pPr>
    </w:p>
    <w:p w14:paraId="6F44AF09" w14:textId="77777777" w:rsidR="00FE68F1" w:rsidRDefault="00FE68F1" w:rsidP="00AD309C">
      <w:pPr>
        <w:pStyle w:val="EndnoteText"/>
        <w:numPr>
          <w:ilvl w:val="0"/>
          <w:numId w:val="160"/>
        </w:numPr>
      </w:pPr>
      <w:r w:rsidRPr="00055F1E">
        <w:t>When an intensivist is not on-site in the ICU managing or co-managing all ICU patients, a tele-intensivist is continuously monitoring and able to manage all ICU patients for the remaining 24 hours per day, 7 days per week. “Continuously monitoring” means the tele-intensivist has no other concurrent responsibilities, is immediately available to communicate with ICU staff, and is continuously in the physical presence of the tele-ICU’s patient monitoring and communications equipment. "Manage" means authorized to diagnose, treat, and write orders for a patient in the ICU on the intensivist’s own authority.</w:t>
      </w:r>
      <w:r>
        <w:br/>
      </w:r>
    </w:p>
    <w:p w14:paraId="38FBCF53" w14:textId="77777777" w:rsidR="00FE68F1" w:rsidRPr="00055F1E" w:rsidRDefault="00FE68F1" w:rsidP="00AD309C">
      <w:pPr>
        <w:pStyle w:val="EndnoteText"/>
        <w:numPr>
          <w:ilvl w:val="0"/>
          <w:numId w:val="160"/>
        </w:numPr>
      </w:pPr>
      <w:r>
        <w:t xml:space="preserve">The tele-intensivist’s care is </w:t>
      </w:r>
      <w:r w:rsidRPr="00055F1E">
        <w:t>proactive, with routine</w:t>
      </w:r>
      <w:r>
        <w:t xml:space="preserve"> visualization and physiological</w:t>
      </w:r>
      <w:r w:rsidRPr="00055F1E">
        <w:t xml:space="preserve"> review of all patients at a frequency appropriate to their severity of illness.</w:t>
      </w:r>
      <w:r w:rsidRPr="00055F1E">
        <w:br/>
      </w:r>
    </w:p>
    <w:p w14:paraId="2F4D8216" w14:textId="77777777" w:rsidR="00FE68F1" w:rsidRPr="00055F1E" w:rsidRDefault="00FE68F1" w:rsidP="00AD309C">
      <w:pPr>
        <w:pStyle w:val="EndnoteText"/>
        <w:numPr>
          <w:ilvl w:val="0"/>
          <w:numId w:val="160"/>
        </w:numPr>
      </w:pPr>
      <w:r>
        <w:t>The</w:t>
      </w:r>
      <w:r w:rsidRPr="00055F1E">
        <w:t xml:space="preserve"> tele-intensivist has immediate access to key patient data, including:</w:t>
      </w:r>
    </w:p>
    <w:p w14:paraId="4B846527" w14:textId="77777777" w:rsidR="00FE68F1" w:rsidRDefault="00FE68F1" w:rsidP="00AD309C">
      <w:pPr>
        <w:pStyle w:val="EndnoteText"/>
        <w:numPr>
          <w:ilvl w:val="1"/>
          <w:numId w:val="160"/>
        </w:numPr>
      </w:pPr>
      <w:r w:rsidRPr="00055F1E">
        <w:t>physiologic bedside monitor data (in real-time);</w:t>
      </w:r>
    </w:p>
    <w:p w14:paraId="312956DF" w14:textId="77777777" w:rsidR="00FE68F1" w:rsidRPr="00055F1E" w:rsidRDefault="00FE68F1" w:rsidP="00AD309C">
      <w:pPr>
        <w:pStyle w:val="EndnoteText"/>
        <w:numPr>
          <w:ilvl w:val="1"/>
          <w:numId w:val="160"/>
        </w:numPr>
      </w:pPr>
      <w:r w:rsidRPr="00055F1E">
        <w:t>laboratory orders and results;</w:t>
      </w:r>
    </w:p>
    <w:p w14:paraId="19F66A5A" w14:textId="77777777" w:rsidR="00FE68F1" w:rsidRPr="00055F1E" w:rsidRDefault="00FE68F1" w:rsidP="00AD309C">
      <w:pPr>
        <w:pStyle w:val="EndnoteText"/>
        <w:numPr>
          <w:ilvl w:val="1"/>
          <w:numId w:val="160"/>
        </w:numPr>
      </w:pPr>
      <w:r w:rsidRPr="00055F1E">
        <w:t>medications ordered and administered; and,</w:t>
      </w:r>
    </w:p>
    <w:p w14:paraId="1D5AC129" w14:textId="77777777" w:rsidR="00FE68F1" w:rsidRPr="00055F1E" w:rsidRDefault="00FE68F1" w:rsidP="00AD309C">
      <w:pPr>
        <w:pStyle w:val="EndnoteText"/>
        <w:numPr>
          <w:ilvl w:val="1"/>
          <w:numId w:val="160"/>
        </w:numPr>
        <w:rPr>
          <w:lang w:val="fr-FR"/>
        </w:rPr>
      </w:pPr>
      <w:r w:rsidRPr="00055F1E">
        <w:rPr>
          <w:lang w:val="fr-FR"/>
        </w:rPr>
        <w:t xml:space="preserve">notes, radiographs, ECGs, etc. on </w:t>
      </w:r>
      <w:r w:rsidRPr="00055F1E">
        <w:t>demand</w:t>
      </w:r>
      <w:r w:rsidRPr="00055F1E">
        <w:rPr>
          <w:lang w:val="fr-FR"/>
        </w:rPr>
        <w:t>.</w:t>
      </w:r>
      <w:r w:rsidRPr="00055F1E">
        <w:rPr>
          <w:lang w:val="fr-FR"/>
        </w:rPr>
        <w:br/>
      </w:r>
    </w:p>
    <w:p w14:paraId="3749F07B" w14:textId="77777777" w:rsidR="000577C3" w:rsidRDefault="000577C3" w:rsidP="00AD309C">
      <w:pPr>
        <w:pStyle w:val="EndnoteText"/>
        <w:numPr>
          <w:ilvl w:val="0"/>
          <w:numId w:val="160"/>
        </w:numPr>
      </w:pPr>
      <w:r>
        <w:t xml:space="preserve">Bedside cameras are physically available in each ICU. If cameras are not mounted in each patient room within the unit, then at least one dedicated bedside camera must be available for every five beds in the ICU, plus a dedicated back-up camera in each ICU. If ICUs are located on different floors of the hospital, each ICU on each floor must have its own set of dedicated cameras if they are not mounted in every room. “Dedicated” means that the cameras are on the unit for the sole purpose of patient care. Personal devices (e.g., personal phones, tablets, etc.) would not meet this requirement. </w:t>
      </w:r>
    </w:p>
    <w:p w14:paraId="496BA78E" w14:textId="77777777" w:rsidR="00FE68F1" w:rsidRPr="00E67EDC" w:rsidRDefault="00FE68F1" w:rsidP="00FE68F1">
      <w:pPr>
        <w:pStyle w:val="EndnoteText"/>
        <w:ind w:left="360"/>
        <w:rPr>
          <w:sz w:val="16"/>
          <w:szCs w:val="16"/>
        </w:rPr>
      </w:pPr>
    </w:p>
    <w:p w14:paraId="4207BF03" w14:textId="77777777" w:rsidR="00FE68F1" w:rsidRDefault="00FE68F1" w:rsidP="00AD309C">
      <w:pPr>
        <w:pStyle w:val="EndnoteText"/>
        <w:numPr>
          <w:ilvl w:val="0"/>
          <w:numId w:val="160"/>
        </w:numPr>
      </w:pPr>
      <w:r>
        <w:t xml:space="preserve">The </w:t>
      </w:r>
      <w:r w:rsidRPr="00055F1E">
        <w:t>tele-intensivist</w:t>
      </w:r>
      <w:r>
        <w:t xml:space="preserve"> must be </w:t>
      </w:r>
      <w:r w:rsidRPr="00055F1E">
        <w:t xml:space="preserve">able to </w:t>
      </w:r>
      <w:r>
        <w:t xml:space="preserve">turn on each bedside camera to </w:t>
      </w:r>
      <w:r w:rsidRPr="00055F1E">
        <w:t>visualize patients</w:t>
      </w:r>
      <w:r>
        <w:t>,</w:t>
      </w:r>
      <w:r w:rsidRPr="00055F1E">
        <w:t xml:space="preserve"> with sufficient clarity to assess breathing pattern and communicate with on-site personnel at the bedside in real time.</w:t>
      </w:r>
      <w:r>
        <w:t xml:space="preserve"> </w:t>
      </w:r>
      <w:r>
        <w:br/>
      </w:r>
    </w:p>
    <w:p w14:paraId="3E37BA6B" w14:textId="77777777" w:rsidR="00FE68F1" w:rsidRDefault="00FE68F1" w:rsidP="00AD309C">
      <w:pPr>
        <w:pStyle w:val="EndnoteText"/>
        <w:numPr>
          <w:ilvl w:val="0"/>
          <w:numId w:val="160"/>
        </w:numPr>
      </w:pPr>
      <w:r w:rsidRPr="00055F1E">
        <w:t xml:space="preserve">Within five minutes of </w:t>
      </w:r>
      <w:r>
        <w:t>a</w:t>
      </w:r>
      <w:r w:rsidRPr="00055F1E">
        <w:t xml:space="preserve"> request for assistance being initiated by hospital staff, </w:t>
      </w:r>
      <w:r>
        <w:t>the</w:t>
      </w:r>
      <w:r w:rsidRPr="00055F1E">
        <w:t xml:space="preserve"> tele-intensivist’s patient workload ordinarily permits the tele-intensivist to</w:t>
      </w:r>
      <w:r w:rsidRPr="00624047">
        <w:t xml:space="preserve"> complete a comprehensive </w:t>
      </w:r>
      <w:r>
        <w:t xml:space="preserve">visual and physiological </w:t>
      </w:r>
      <w:r w:rsidRPr="00624047">
        <w:t>assessment of any patient.</w:t>
      </w:r>
      <w:r>
        <w:br/>
      </w:r>
    </w:p>
    <w:p w14:paraId="7AF77D06" w14:textId="77777777" w:rsidR="00FE68F1" w:rsidRPr="00055F1E" w:rsidRDefault="00FE68F1" w:rsidP="00AD309C">
      <w:pPr>
        <w:pStyle w:val="EndnoteText"/>
        <w:numPr>
          <w:ilvl w:val="0"/>
          <w:numId w:val="160"/>
        </w:numPr>
      </w:pPr>
      <w:r w:rsidRPr="00055F1E">
        <w:t>Data links between the ICU and the tele-intensivist are reliable (&gt;98% up-time) and secure (HIPAA compliant).</w:t>
      </w:r>
      <w:r>
        <w:br/>
      </w:r>
    </w:p>
    <w:p w14:paraId="03844D70" w14:textId="77777777" w:rsidR="00FE68F1" w:rsidRPr="00055F1E" w:rsidRDefault="00FE68F1" w:rsidP="00AD309C">
      <w:pPr>
        <w:pStyle w:val="EndnoteText"/>
        <w:numPr>
          <w:ilvl w:val="0"/>
          <w:numId w:val="160"/>
        </w:numPr>
      </w:pPr>
      <w:r w:rsidRPr="00055F1E">
        <w:t>Written standards for remote care are established and include, at a minimum:</w:t>
      </w:r>
    </w:p>
    <w:p w14:paraId="059B77B7" w14:textId="77777777" w:rsidR="00FE68F1" w:rsidRPr="00055F1E" w:rsidRDefault="00FE68F1" w:rsidP="00AD309C">
      <w:pPr>
        <w:pStyle w:val="EndnoteText"/>
        <w:numPr>
          <w:ilvl w:val="1"/>
          <w:numId w:val="160"/>
        </w:numPr>
      </w:pPr>
      <w:r w:rsidRPr="00055F1E">
        <w:t>tele-intensivists are certified by a national medical specialty board in critical care medicine;</w:t>
      </w:r>
    </w:p>
    <w:p w14:paraId="384C5989" w14:textId="77777777" w:rsidR="00FE68F1" w:rsidRPr="00055F1E" w:rsidRDefault="00FE68F1" w:rsidP="00AD309C">
      <w:pPr>
        <w:pStyle w:val="EndnoteText"/>
        <w:numPr>
          <w:ilvl w:val="1"/>
          <w:numId w:val="160"/>
        </w:numPr>
      </w:pPr>
      <w:r w:rsidRPr="00055F1E">
        <w:t>tele-intensivists are licensed to practice in the legal jurisdiction in which the ICU is located;</w:t>
      </w:r>
    </w:p>
    <w:p w14:paraId="64139D22" w14:textId="77777777" w:rsidR="00FE68F1" w:rsidRPr="00055F1E" w:rsidRDefault="00FE68F1" w:rsidP="00AD309C">
      <w:pPr>
        <w:pStyle w:val="EndnoteText"/>
        <w:numPr>
          <w:ilvl w:val="1"/>
          <w:numId w:val="160"/>
        </w:numPr>
      </w:pPr>
      <w:r w:rsidRPr="00055F1E">
        <w:t>tele-intensivists are credentialed in each hospital to which he/she provides remote care (can be special telemedicine credentialing);</w:t>
      </w:r>
    </w:p>
    <w:p w14:paraId="5F7FFC50" w14:textId="77777777" w:rsidR="00FE68F1" w:rsidRPr="00055F1E" w:rsidRDefault="00FE68F1" w:rsidP="00AD309C">
      <w:pPr>
        <w:pStyle w:val="EndnoteText"/>
        <w:numPr>
          <w:ilvl w:val="1"/>
          <w:numId w:val="160"/>
        </w:numPr>
      </w:pPr>
      <w:r w:rsidRPr="00055F1E">
        <w:t>activities of the tele-intensivist are reviewed within the hospital’s quality assurance committee structure;</w:t>
      </w:r>
    </w:p>
    <w:p w14:paraId="4BFF7688" w14:textId="77777777" w:rsidR="00FE68F1" w:rsidRPr="00055F1E" w:rsidRDefault="00FE68F1" w:rsidP="00AD309C">
      <w:pPr>
        <w:pStyle w:val="EndnoteText"/>
        <w:numPr>
          <w:ilvl w:val="1"/>
          <w:numId w:val="160"/>
        </w:numPr>
      </w:pPr>
      <w:r>
        <w:t xml:space="preserve">there are </w:t>
      </w:r>
      <w:r w:rsidRPr="00055F1E">
        <w:t>explicit</w:t>
      </w:r>
      <w:r>
        <w:t xml:space="preserve"> written</w:t>
      </w:r>
      <w:r w:rsidRPr="00055F1E">
        <w:t xml:space="preserve"> policies regarding roles and responsibilities of both the on-site intensivist and the tele-intensivist;</w:t>
      </w:r>
    </w:p>
    <w:p w14:paraId="227327B5" w14:textId="77777777" w:rsidR="00FE68F1" w:rsidRDefault="00FE68F1" w:rsidP="00AD309C">
      <w:pPr>
        <w:pStyle w:val="EndnoteText"/>
        <w:numPr>
          <w:ilvl w:val="1"/>
          <w:numId w:val="160"/>
        </w:numPr>
      </w:pPr>
      <w:r>
        <w:t>ICU staff are educated</w:t>
      </w:r>
      <w:r w:rsidRPr="00055F1E">
        <w:t xml:space="preserve"> regarding the function, roles, and responsibilities of the tele-intensivist</w:t>
      </w:r>
      <w:r>
        <w:t>; and</w:t>
      </w:r>
    </w:p>
    <w:p w14:paraId="36C71E99" w14:textId="77777777" w:rsidR="00FE68F1" w:rsidRDefault="00FE68F1" w:rsidP="00AD309C">
      <w:pPr>
        <w:pStyle w:val="EndnoteText"/>
        <w:numPr>
          <w:ilvl w:val="1"/>
          <w:numId w:val="160"/>
        </w:numPr>
      </w:pPr>
      <w:r>
        <w:t>there is an established written process to ensure effective communication between the ICU staff and the tele-intensivist.</w:t>
      </w:r>
      <w:r>
        <w:br/>
      </w:r>
    </w:p>
    <w:p w14:paraId="0FEDB73D" w14:textId="77777777" w:rsidR="00FE68F1" w:rsidRDefault="00FE68F1" w:rsidP="00AD309C">
      <w:pPr>
        <w:pStyle w:val="EndnoteText"/>
        <w:numPr>
          <w:ilvl w:val="0"/>
          <w:numId w:val="160"/>
        </w:numPr>
      </w:pPr>
      <w:r>
        <w:t>The tele-intensivist documents patient care activities and this documentation is incorporated into the patient record.</w:t>
      </w:r>
    </w:p>
    <w:p w14:paraId="52D404FF" w14:textId="77777777" w:rsidR="00322A3C" w:rsidRPr="00216021" w:rsidRDefault="00322A3C" w:rsidP="00B17EC2">
      <w:pPr>
        <w:pStyle w:val="EndnoteText"/>
        <w:ind w:left="360"/>
      </w:pPr>
    </w:p>
  </w:endnote>
  <w:endnote w:id="45">
    <w:p w14:paraId="2AD09EC7" w14:textId="77777777" w:rsidR="00322A3C" w:rsidRPr="00CB0598" w:rsidRDefault="00322A3C">
      <w:pPr>
        <w:pStyle w:val="EndnoteText"/>
      </w:pPr>
      <w:r w:rsidRPr="00CB0598">
        <w:rPr>
          <w:rStyle w:val="EndnoteReference"/>
        </w:rPr>
        <w:endnoteRef/>
      </w:r>
      <w:r w:rsidRPr="00CB0598">
        <w:t xml:space="preserve"> </w:t>
      </w:r>
      <w:bookmarkStart w:id="487" w:name="HHtouchpatientsendnote"/>
      <w:bookmarkEnd w:id="487"/>
      <w:r w:rsidRPr="00CB0598">
        <w:rPr>
          <w:b/>
          <w:i/>
        </w:rPr>
        <w:t>Individuals who touch patients or who touch items that will be used by patients</w:t>
      </w:r>
    </w:p>
    <w:p w14:paraId="2068009A" w14:textId="53082253" w:rsidR="00322A3C" w:rsidRPr="00762882" w:rsidRDefault="00322A3C" w:rsidP="002B108D">
      <w:pPr>
        <w:pStyle w:val="EndnoteText"/>
      </w:pPr>
      <w:r w:rsidRPr="00CB0598">
        <w:t xml:space="preserve">This would include individuals who are formally engaged by the hospital to help support the patient care process. This would include both direct and indirect care providers that are likely to have contact with patients in a patient care unit, enter a patient care unit, touch items that will be used by patients in a patient care unit, or interact with patient fluids (e.g., blood, specimens) in a patient care unit, such as doctors, mid-levels, nurses, pharmacists, environmental services staff, phlebotomists, laboratory techs, etc. This would also include students and volunteers. These individuals </w:t>
      </w:r>
      <w:r w:rsidR="00FB509F" w:rsidRPr="00CB0598">
        <w:t xml:space="preserve">must </w:t>
      </w:r>
      <w:r w:rsidRPr="00CB0598">
        <w:t xml:space="preserve">be trained to identify and perform proper hand hygiene for the specific indications/moments (see </w:t>
      </w:r>
      <w:hyperlink r:id="rId17" w:history="1">
        <w:r w:rsidRPr="00CB0598">
          <w:rPr>
            <w:rStyle w:val="Hyperlink"/>
          </w:rPr>
          <w:t>WHO's 5 Moments for Hand Hygiene,</w:t>
        </w:r>
      </w:hyperlink>
      <w:r w:rsidRPr="00CB0598">
        <w:t xml:space="preserve"> </w:t>
      </w:r>
      <w:hyperlink r:id="rId18" w:history="1">
        <w:r w:rsidRPr="00CB0598">
          <w:rPr>
            <w:rStyle w:val="Hyperlink"/>
          </w:rPr>
          <w:t>CDC’s Guideline for Hand Hygiene</w:t>
        </w:r>
      </w:hyperlink>
      <w:r w:rsidRPr="00CB0598">
        <w:t>) that are relevant to their work.</w:t>
      </w:r>
    </w:p>
    <w:p w14:paraId="50EBD249" w14:textId="77777777" w:rsidR="00322A3C" w:rsidRPr="00E67EDC" w:rsidRDefault="00322A3C" w:rsidP="002B108D">
      <w:pPr>
        <w:pStyle w:val="EndnoteText"/>
        <w:rPr>
          <w:sz w:val="16"/>
          <w:szCs w:val="16"/>
        </w:rPr>
      </w:pPr>
    </w:p>
    <w:p w14:paraId="01EF1928" w14:textId="17DD898E" w:rsidR="00322A3C" w:rsidRPr="002B108D" w:rsidRDefault="00322A3C" w:rsidP="002B108D">
      <w:pPr>
        <w:pStyle w:val="EndnoteText"/>
      </w:pPr>
      <w:r w:rsidRPr="00762882">
        <w:t>Administrative workers that only perform office duties and do not touch patients or touch items that will be used by patients in a patient care unit would not be included in this definition. Patients and their visitors would also not be included in this definition. While patients and their loved ones are important parts of the patient care process, they are not formally engaged by the hospital for this work.</w:t>
      </w:r>
      <w:r w:rsidR="00354D99">
        <w:t xml:space="preserve"> Vendors would also not be included.</w:t>
      </w:r>
    </w:p>
    <w:p w14:paraId="4CA4D6D1" w14:textId="77777777" w:rsidR="00322A3C" w:rsidRPr="00216021" w:rsidRDefault="00322A3C">
      <w:pPr>
        <w:pStyle w:val="EndnoteText"/>
      </w:pPr>
    </w:p>
  </w:endnote>
  <w:endnote w:id="46">
    <w:p w14:paraId="6AD1EE1C" w14:textId="77777777" w:rsidR="00322A3C" w:rsidRPr="00CB0598" w:rsidRDefault="00322A3C" w:rsidP="00C91B69">
      <w:pPr>
        <w:pStyle w:val="EndnoteText"/>
        <w:rPr>
          <w:i/>
        </w:rPr>
      </w:pPr>
      <w:r w:rsidRPr="00CB0598">
        <w:rPr>
          <w:rStyle w:val="EndnoteReference"/>
        </w:rPr>
        <w:endnoteRef/>
      </w:r>
      <w:r w:rsidRPr="00CB0598">
        <w:t xml:space="preserve"> </w:t>
      </w:r>
      <w:bookmarkStart w:id="489" w:name="profwapproptrainandskill"/>
      <w:r w:rsidRPr="00CB0598">
        <w:rPr>
          <w:b/>
          <w:i/>
        </w:rPr>
        <w:t>Professional with Appropriate Training and Skills</w:t>
      </w:r>
      <w:bookmarkEnd w:id="489"/>
    </w:p>
    <w:p w14:paraId="12A8A561" w14:textId="235A8236" w:rsidR="00322A3C" w:rsidRPr="00CB0598" w:rsidRDefault="00322A3C" w:rsidP="00C91B69">
      <w:pPr>
        <w:pStyle w:val="EndnoteText"/>
      </w:pPr>
      <w:r w:rsidRPr="00CB0598">
        <w:t>This would include staff formally trained in Infection Control or Infectious Diseases, whose tasks include dedicated time for staff training. In some settings, this could also be medical or nursing staff involved in clinical work, with dedicated time to acquire thorough knowledge of the evidence for and correct practice of hand hygiene.</w:t>
      </w:r>
    </w:p>
    <w:p w14:paraId="6ADD41CB" w14:textId="77777777" w:rsidR="00322A3C" w:rsidRPr="00CB0598" w:rsidRDefault="00322A3C" w:rsidP="00C91B69">
      <w:pPr>
        <w:pStyle w:val="EndnoteText"/>
        <w:rPr>
          <w:sz w:val="16"/>
          <w:szCs w:val="16"/>
        </w:rPr>
      </w:pPr>
    </w:p>
    <w:p w14:paraId="0FA43AE3" w14:textId="472F1570" w:rsidR="00793098" w:rsidRDefault="00CE3245" w:rsidP="00C91B69">
      <w:pPr>
        <w:pStyle w:val="EndnoteText"/>
        <w:rPr>
          <w:sz w:val="16"/>
          <w:szCs w:val="16"/>
        </w:rPr>
      </w:pPr>
      <w:r w:rsidRPr="00CB0598">
        <w:t xml:space="preserve">At a minimum, the trainer </w:t>
      </w:r>
      <w:r w:rsidR="001F59C7" w:rsidRPr="00CB0598">
        <w:t xml:space="preserve">must </w:t>
      </w:r>
      <w:r w:rsidRPr="00CB0598">
        <w:t xml:space="preserve">have an understanding of the information and concepts presented </w:t>
      </w:r>
      <w:r w:rsidR="00322A3C" w:rsidRPr="00CB0598">
        <w:t xml:space="preserve">in the </w:t>
      </w:r>
      <w:hyperlink r:id="rId19" w:history="1">
        <w:r w:rsidR="00322A3C" w:rsidRPr="00CB0598">
          <w:rPr>
            <w:rStyle w:val="Hyperlink"/>
          </w:rPr>
          <w:t>WHO Guidelines on Hand Hygiene in Health Care</w:t>
        </w:r>
      </w:hyperlink>
      <w:r w:rsidR="00322A3C" w:rsidRPr="00CB0598">
        <w:t xml:space="preserve"> and the </w:t>
      </w:r>
      <w:hyperlink r:id="rId20" w:history="1">
        <w:r w:rsidR="00322A3C" w:rsidRPr="00CB0598">
          <w:rPr>
            <w:rStyle w:val="Hyperlink"/>
          </w:rPr>
          <w:t>Hand Hygiene Technical Reference Manual</w:t>
        </w:r>
      </w:hyperlink>
      <w:r w:rsidR="00322A3C" w:rsidRPr="00CB0598">
        <w:t>.</w:t>
      </w:r>
    </w:p>
    <w:p w14:paraId="5E836D23" w14:textId="77777777" w:rsidR="000E7C65" w:rsidRPr="001C12DB" w:rsidRDefault="000E7C65" w:rsidP="00C91B69">
      <w:pPr>
        <w:pStyle w:val="EndnoteText"/>
      </w:pPr>
    </w:p>
  </w:endnote>
  <w:endnote w:id="47">
    <w:p w14:paraId="0344A1D4" w14:textId="77777777" w:rsidR="00AE4D8B" w:rsidRPr="004B4131" w:rsidRDefault="00AE4D8B" w:rsidP="00AE4D8B">
      <w:pPr>
        <w:pStyle w:val="EndnoteText"/>
        <w:rPr>
          <w:b/>
          <w:bCs/>
          <w:i/>
          <w:iCs/>
        </w:rPr>
      </w:pPr>
      <w:r w:rsidRPr="004B4131">
        <w:rPr>
          <w:rStyle w:val="EndnoteReference"/>
        </w:rPr>
        <w:endnoteRef/>
      </w:r>
      <w:r w:rsidRPr="004B4131">
        <w:t xml:space="preserve"> </w:t>
      </w:r>
      <w:bookmarkStart w:id="506" w:name="emergencydepartment_endnote"/>
      <w:bookmarkEnd w:id="506"/>
      <w:r w:rsidRPr="004B4131">
        <w:rPr>
          <w:b/>
          <w:bCs/>
          <w:i/>
          <w:iCs/>
        </w:rPr>
        <w:t>Dedicated Emergency Department</w:t>
      </w:r>
    </w:p>
    <w:p w14:paraId="7B00E634" w14:textId="77777777" w:rsidR="00AE4D8B" w:rsidRPr="004B4131" w:rsidRDefault="00AE4D8B" w:rsidP="00AE4D8B">
      <w:r w:rsidRPr="004B4131">
        <w:t>A dedicated emergency department is an area of the hospital that meets any one of the following criteria:</w:t>
      </w:r>
    </w:p>
    <w:p w14:paraId="6C8C4ED4" w14:textId="77777777" w:rsidR="00AE4D8B" w:rsidRPr="004B4131" w:rsidRDefault="00AE4D8B" w:rsidP="00AD309C">
      <w:pPr>
        <w:pStyle w:val="ListParagraph"/>
        <w:numPr>
          <w:ilvl w:val="0"/>
          <w:numId w:val="406"/>
        </w:numPr>
        <w:spacing w:before="200" w:after="200" w:line="276" w:lineRule="auto"/>
      </w:pPr>
      <w:r w:rsidRPr="004B4131">
        <w:t>Licensed by the state as an emergency department,</w:t>
      </w:r>
    </w:p>
    <w:p w14:paraId="5DB9082F" w14:textId="77777777" w:rsidR="00AE4D8B" w:rsidRPr="004B4131" w:rsidRDefault="00AE4D8B" w:rsidP="00AD309C">
      <w:pPr>
        <w:pStyle w:val="ListParagraph"/>
        <w:numPr>
          <w:ilvl w:val="0"/>
          <w:numId w:val="406"/>
        </w:numPr>
        <w:spacing w:before="200" w:after="200" w:line="276" w:lineRule="auto"/>
      </w:pPr>
      <w:r w:rsidRPr="004B4131">
        <w:t>Holds itself out to the public as providing emergency care, or</w:t>
      </w:r>
    </w:p>
    <w:p w14:paraId="1E7BE5F1" w14:textId="77777777" w:rsidR="00AE4D8B" w:rsidRPr="004B4131" w:rsidRDefault="00AE4D8B" w:rsidP="00AD309C">
      <w:pPr>
        <w:pStyle w:val="ListParagraph"/>
        <w:numPr>
          <w:ilvl w:val="0"/>
          <w:numId w:val="406"/>
        </w:numPr>
        <w:spacing w:before="200" w:after="200" w:line="276" w:lineRule="auto"/>
      </w:pPr>
      <w:r w:rsidRPr="004B4131">
        <w:t>During the preceding calendar year, at least one-third of its outpatient visits were for the treatment of emergency medical conditions.</w:t>
      </w:r>
    </w:p>
    <w:p w14:paraId="7DBCEFF1" w14:textId="5BAC2A5A" w:rsidR="005B19EE" w:rsidRDefault="005B19EE" w:rsidP="004B4131">
      <w:pPr>
        <w:spacing w:before="200" w:after="200" w:line="276" w:lineRule="auto"/>
      </w:pPr>
      <w:r w:rsidRPr="004B4131">
        <w:t>For the purposes of reporting on the Survey, only include emergency departments that are located in your hospital. Exclude free-standing emergency departments.</w:t>
      </w:r>
      <w:r>
        <w:t xml:space="preserve"> </w:t>
      </w:r>
    </w:p>
    <w:p w14:paraId="04D54998" w14:textId="77777777" w:rsidR="00631326" w:rsidRPr="00533B1D" w:rsidRDefault="00631326" w:rsidP="004B4131">
      <w:pPr>
        <w:spacing w:before="200" w:after="200" w:line="276" w:lineRule="auto"/>
      </w:pPr>
    </w:p>
  </w:endnote>
  <w:endnote w:id="48">
    <w:p w14:paraId="3544B4E1" w14:textId="77777777" w:rsidR="00803D50" w:rsidRDefault="00803D50" w:rsidP="00803D50">
      <w:pPr>
        <w:pStyle w:val="EndnoteText"/>
        <w:rPr>
          <w:b/>
          <w:i/>
        </w:rPr>
      </w:pPr>
      <w:r w:rsidRPr="00022EEF">
        <w:rPr>
          <w:rStyle w:val="EndnoteReference"/>
          <w:iCs/>
        </w:rPr>
        <w:endnoteRef/>
      </w:r>
      <w:r w:rsidRPr="00022EEF">
        <w:rPr>
          <w:iCs/>
        </w:rPr>
        <w:t xml:space="preserve"> </w:t>
      </w:r>
      <w:bookmarkStart w:id="634" w:name="Endnote36_NeverEvent"/>
      <w:r>
        <w:rPr>
          <w:b/>
          <w:i/>
        </w:rPr>
        <w:t>Never Event</w:t>
      </w:r>
      <w:bookmarkEnd w:id="634"/>
    </w:p>
    <w:p w14:paraId="27DBE3F9" w14:textId="46DD4363" w:rsidR="00803D50" w:rsidRDefault="00803D50" w:rsidP="00923EE1">
      <w:r>
        <w:t>In 2011, the National Quality Forum released a list of 29 events that they termed “serious reportable events,” extremely rare medical errors that should never happen to a patient. Often termed “never events,” these include errors such as surgery performed on the wrong body part or on the wrong patient, leaving a foreign object inside a patient after surgery, or discharging an infant to the wrong person. This is an update of NQF’s original 2002 and 2006 reports. Please see NQF’s “Never Events” list at</w:t>
      </w:r>
      <w:r w:rsidR="00FC10F6">
        <w:t xml:space="preserve"> </w:t>
      </w:r>
      <w:hyperlink r:id="rId21" w:history="1">
        <w:r w:rsidR="00FC10F6" w:rsidRPr="004103A9">
          <w:rPr>
            <w:rStyle w:val="Hyperlink"/>
          </w:rPr>
          <w:t>https://digitalassets.jointcommission.org/api/public/content/4534bbaaee4f4bd280c2054765f37f4b?v=a60f8f9a</w:t>
        </w:r>
      </w:hyperlink>
      <w:r w:rsidR="004510B4">
        <w:t xml:space="preserve">. </w:t>
      </w:r>
      <w:r w:rsidRPr="00511008">
        <w:t>Hospitals may not earn credit for this question if they have only implemented a policy that includes the Center for Medicare and Medicaid (CMS) Never Events.</w:t>
      </w:r>
    </w:p>
    <w:p w14:paraId="39C57ED4" w14:textId="77777777" w:rsidR="00803D50" w:rsidRPr="00216021" w:rsidRDefault="00803D50" w:rsidP="00803D50">
      <w:pPr>
        <w:pStyle w:val="EndnoteText"/>
        <w:rPr>
          <w:color w:val="0000FF"/>
          <w:u w:val="single"/>
        </w:rPr>
      </w:pPr>
    </w:p>
  </w:endnote>
  <w:endnote w:id="49">
    <w:p w14:paraId="2F650256" w14:textId="77777777" w:rsidR="006922BB" w:rsidRDefault="006922BB" w:rsidP="006922BB">
      <w:pPr>
        <w:pStyle w:val="EndnoteText"/>
      </w:pPr>
      <w:r>
        <w:rPr>
          <w:rStyle w:val="EndnoteReference"/>
        </w:rPr>
        <w:endnoteRef/>
      </w:r>
      <w:r>
        <w:t xml:space="preserve"> </w:t>
      </w:r>
      <w:bookmarkStart w:id="636" w:name="Endnote37_Apology"/>
      <w:r>
        <w:rPr>
          <w:b/>
          <w:i/>
        </w:rPr>
        <w:t>Apology to the Patient</w:t>
      </w:r>
      <w:bookmarkEnd w:id="636"/>
    </w:p>
    <w:p w14:paraId="511766D3" w14:textId="77777777" w:rsidR="006922BB" w:rsidRDefault="006922BB" w:rsidP="006922BB">
      <w:pPr>
        <w:pStyle w:val="EndnoteText"/>
      </w:pPr>
      <w:r>
        <w:t>While Leapfrog recognizes that on very rare occasions “never events” can occur that are not the fault of care systems or clinical care staff, given the high level of trust patients place in health care providers, Leapfrog feels it is appropriate for caregivers to apologize when a patient within their care setting suffers a serious event.</w:t>
      </w:r>
    </w:p>
    <w:p w14:paraId="09D0855F" w14:textId="77777777" w:rsidR="006922BB" w:rsidRPr="00E67EDC" w:rsidRDefault="006922BB" w:rsidP="006922BB">
      <w:pPr>
        <w:pStyle w:val="EndnoteText"/>
        <w:rPr>
          <w:sz w:val="16"/>
          <w:szCs w:val="16"/>
        </w:rPr>
      </w:pPr>
    </w:p>
    <w:p w14:paraId="1F994363" w14:textId="77777777" w:rsidR="006922BB" w:rsidRDefault="006922BB" w:rsidP="006922BB">
      <w:pPr>
        <w:pStyle w:val="EndnoteText"/>
      </w:pPr>
      <w:r>
        <w:t>As the National Quality Forum identified in their 2002, 2006, and 2011 Serious Reportable Events Report, given the serious nature of these events, it is reasonable for hospitals to initially assume that the adverse event was due to the referenced course of care. And while further investigation and/or root cause analysis of the unplanned event may be needed to confirm or refute the presumed relationship, delaying an apology to the patient is not treating the patient with compassion and sympathy.</w:t>
      </w:r>
    </w:p>
    <w:p w14:paraId="55BAF771" w14:textId="77777777" w:rsidR="006922BB" w:rsidRPr="00216021" w:rsidRDefault="006922BB" w:rsidP="006922BB">
      <w:pPr>
        <w:pStyle w:val="EndnoteText"/>
      </w:pPr>
    </w:p>
  </w:endnote>
  <w:endnote w:id="50">
    <w:p w14:paraId="73371F2B" w14:textId="1D08F251" w:rsidR="005D3242" w:rsidRDefault="006922BB" w:rsidP="006922BB">
      <w:pPr>
        <w:pStyle w:val="EndnoteText"/>
        <w:rPr>
          <w:sz w:val="16"/>
          <w:szCs w:val="16"/>
        </w:rPr>
      </w:pPr>
      <w:r>
        <w:rPr>
          <w:rStyle w:val="EndnoteReference"/>
        </w:rPr>
        <w:endnoteRef/>
      </w:r>
      <w:r>
        <w:t xml:space="preserve"> </w:t>
      </w:r>
      <w:bookmarkStart w:id="637" w:name="Endnote38_ExternalAgency"/>
      <w:r>
        <w:rPr>
          <w:rFonts w:cs="Arial"/>
          <w:b/>
          <w:i/>
        </w:rPr>
        <w:t>Reporting Never Events to External Agencies</w:t>
      </w:r>
      <w:bookmarkEnd w:id="637"/>
      <w:r>
        <w:rPr>
          <w:rFonts w:cs="Arial"/>
        </w:rPr>
        <w:br/>
        <w:t>If your hospital is not accredited by The Joint Commission or DNV GL Healthcare, is located in a state without a state-wide reporting program for medical errors, AND there is no available Patient Safety Organization to which your hospital can report medical errors, the hospital should report the event to the Board of Trustees. Full implementation of the Never Events policy still requires the hospital to conduct a root cause analysis of the event.</w:t>
      </w:r>
    </w:p>
    <w:p w14:paraId="5B895CB8" w14:textId="77777777" w:rsidR="000E7C65" w:rsidRPr="00B44C1C" w:rsidRDefault="000E7C65" w:rsidP="006922BB">
      <w:pPr>
        <w:pStyle w:val="EndnoteText"/>
      </w:pPr>
    </w:p>
  </w:endnote>
  <w:endnote w:id="51">
    <w:p w14:paraId="3FD3140F" w14:textId="77777777" w:rsidR="006922BB" w:rsidRDefault="006922BB" w:rsidP="006922BB">
      <w:pPr>
        <w:pStyle w:val="EndnoteText"/>
        <w:rPr>
          <w:b/>
        </w:rPr>
      </w:pPr>
      <w:r>
        <w:rPr>
          <w:rStyle w:val="EndnoteReference"/>
        </w:rPr>
        <w:endnoteRef/>
      </w:r>
      <w:r>
        <w:t xml:space="preserve"> </w:t>
      </w:r>
      <w:bookmarkStart w:id="639" w:name="Endnote39_RCA"/>
      <w:r w:rsidRPr="003724A2">
        <w:rPr>
          <w:b/>
          <w:i/>
        </w:rPr>
        <w:t>Root Cause Analysis</w:t>
      </w:r>
      <w:bookmarkEnd w:id="639"/>
    </w:p>
    <w:p w14:paraId="1FB553BC" w14:textId="58853E10" w:rsidR="006922BB" w:rsidRDefault="006922BB" w:rsidP="006922BB">
      <w:pPr>
        <w:pStyle w:val="EndnoteText"/>
        <w:rPr>
          <w:rStyle w:val="Hyperlink"/>
          <w:color w:val="auto"/>
          <w:u w:val="none"/>
        </w:rPr>
      </w:pPr>
      <w:r w:rsidRPr="001667A6">
        <w:rPr>
          <w:rStyle w:val="Hyperlink"/>
          <w:color w:val="auto"/>
          <w:u w:val="none"/>
        </w:rPr>
        <w:t>The National Patient Safety Foundation published a set of best practices and guidelines in its report “RCA</w:t>
      </w:r>
      <w:r w:rsidRPr="001667A6">
        <w:rPr>
          <w:rStyle w:val="Hyperlink"/>
          <w:color w:val="auto"/>
          <w:u w:val="none"/>
          <w:vertAlign w:val="superscript"/>
        </w:rPr>
        <w:t>2</w:t>
      </w:r>
      <w:r w:rsidRPr="001667A6">
        <w:rPr>
          <w:rStyle w:val="Hyperlink"/>
          <w:color w:val="auto"/>
          <w:u w:val="none"/>
        </w:rPr>
        <w:t xml:space="preserve"> Improving Root Cause Analysis and Action to Prevent Ha</w:t>
      </w:r>
      <w:r>
        <w:rPr>
          <w:rStyle w:val="Hyperlink"/>
          <w:color w:val="auto"/>
          <w:u w:val="none"/>
        </w:rPr>
        <w:t>rm.” The report can be found at</w:t>
      </w:r>
      <w:r w:rsidR="000857C1">
        <w:rPr>
          <w:rStyle w:val="Hyperlink"/>
          <w:color w:val="auto"/>
          <w:u w:val="none"/>
        </w:rPr>
        <w:t xml:space="preserve"> </w:t>
      </w:r>
      <w:hyperlink r:id="rId22" w:history="1">
        <w:r w:rsidR="00106946" w:rsidRPr="00E9685F">
          <w:rPr>
            <w:rStyle w:val="Hyperlink"/>
          </w:rPr>
          <w:t>https://www.ihi.org/library/tools/rca2-improving-root-cause-analyses-and-actions-prevent-harm</w:t>
        </w:r>
      </w:hyperlink>
      <w:r w:rsidR="000857C1" w:rsidRPr="000857C1">
        <w:t>.</w:t>
      </w:r>
    </w:p>
    <w:p w14:paraId="674F60E0" w14:textId="77777777" w:rsidR="00637995" w:rsidRPr="00216021" w:rsidRDefault="00637995" w:rsidP="006922BB">
      <w:pPr>
        <w:pStyle w:val="EndnoteText"/>
      </w:pPr>
    </w:p>
  </w:endnote>
  <w:endnote w:id="52">
    <w:p w14:paraId="606F2830" w14:textId="77777777" w:rsidR="00322A3C" w:rsidRPr="00C2040B" w:rsidRDefault="00322A3C" w:rsidP="005A212B">
      <w:pPr>
        <w:pStyle w:val="EndnoteText"/>
        <w:rPr>
          <w:b/>
          <w:i/>
        </w:rPr>
      </w:pPr>
      <w:r w:rsidRPr="00C2040B">
        <w:rPr>
          <w:rStyle w:val="EndnoteReference"/>
        </w:rPr>
        <w:endnoteRef/>
      </w:r>
      <w:r w:rsidRPr="00C2040B">
        <w:t xml:space="preserve"> </w:t>
      </w:r>
      <w:bookmarkStart w:id="703" w:name="Endnote48_TopBox"/>
      <w:r w:rsidRPr="002A17F7">
        <w:rPr>
          <w:b/>
          <w:i/>
        </w:rPr>
        <w:t>Top Box Score</w:t>
      </w:r>
      <w:bookmarkEnd w:id="703"/>
    </w:p>
    <w:p w14:paraId="2365B48C" w14:textId="77777777" w:rsidR="00322A3C" w:rsidRPr="00653AE3" w:rsidRDefault="00322A3C" w:rsidP="005A212B">
      <w:pPr>
        <w:pStyle w:val="EndnoteText"/>
        <w:rPr>
          <w:rFonts w:cs="Arial"/>
          <w:shd w:val="clear" w:color="auto" w:fill="FFFFFF"/>
        </w:rPr>
      </w:pPr>
      <w:r w:rsidRPr="00653AE3">
        <w:rPr>
          <w:rFonts w:cs="Arial"/>
          <w:shd w:val="clear" w:color="auto" w:fill="FFFFFF"/>
        </w:rPr>
        <w:t>The percent of survey respondents who chose the most positive score for a given item. Looking at the</w:t>
      </w:r>
      <w:r w:rsidRPr="00653AE3">
        <w:rPr>
          <w:rStyle w:val="apple-converted-space"/>
          <w:rFonts w:cs="Arial"/>
          <w:shd w:val="clear" w:color="auto" w:fill="FFFFFF"/>
        </w:rPr>
        <w:t> </w:t>
      </w:r>
      <w:r w:rsidRPr="00653AE3">
        <w:rPr>
          <w:rFonts w:cs="Arial"/>
          <w:b/>
          <w:bCs/>
          <w:shd w:val="clear" w:color="auto" w:fill="FFFFFF"/>
        </w:rPr>
        <w:t>top box</w:t>
      </w:r>
      <w:r w:rsidRPr="00653AE3">
        <w:rPr>
          <w:rStyle w:val="apple-converted-space"/>
          <w:rFonts w:cs="Arial"/>
          <w:shd w:val="clear" w:color="auto" w:fill="FFFFFF"/>
        </w:rPr>
        <w:t> </w:t>
      </w:r>
      <w:r w:rsidRPr="00653AE3">
        <w:rPr>
          <w:rFonts w:cs="Arial"/>
          <w:shd w:val="clear" w:color="auto" w:fill="FFFFFF"/>
        </w:rPr>
        <w:t xml:space="preserve">is an approach to understand the number of responses with a strong sentiment. </w:t>
      </w:r>
    </w:p>
    <w:p w14:paraId="0FCC230C" w14:textId="77777777" w:rsidR="00322A3C" w:rsidRPr="00E67EDC" w:rsidRDefault="00322A3C" w:rsidP="005A212B">
      <w:pPr>
        <w:pStyle w:val="EndnoteText"/>
        <w:rPr>
          <w:rFonts w:cs="Arial"/>
          <w:sz w:val="16"/>
          <w:szCs w:val="16"/>
          <w:shd w:val="clear" w:color="auto" w:fill="FFFFFF"/>
        </w:rPr>
      </w:pPr>
    </w:p>
    <w:p w14:paraId="25694214" w14:textId="69AEC829" w:rsidR="00322A3C" w:rsidRPr="00653AE3" w:rsidRDefault="00322A3C" w:rsidP="005A212B">
      <w:pPr>
        <w:pStyle w:val="EndnoteText"/>
        <w:rPr>
          <w:rFonts w:cs="Arial"/>
          <w:shd w:val="clear" w:color="auto" w:fill="FFFFFF"/>
        </w:rPr>
      </w:pPr>
      <w:r w:rsidRPr="00653AE3">
        <w:rPr>
          <w:rFonts w:cs="Arial"/>
          <w:shd w:val="clear" w:color="auto" w:fill="FFFFFF"/>
        </w:rPr>
        <w:t>For the CAHPS Child Hospital Survey “Global Rating – Recommend hospital” domain, responses of 9 and 10 are included in the top box score. For the “Global Rating – Recommend hospital” domain, responses of “Definitely yes” are included in the top box score.</w:t>
      </w:r>
      <w:r w:rsidRPr="00653AE3">
        <w:t xml:space="preserve"> </w:t>
      </w:r>
      <w:r w:rsidRPr="00653AE3">
        <w:rPr>
          <w:rFonts w:cs="Arial"/>
          <w:shd w:val="clear" w:color="auto" w:fill="FFFFFF"/>
        </w:rPr>
        <w:t xml:space="preserve">For all other domains included in Section </w:t>
      </w:r>
      <w:r w:rsidR="00FC0BA7">
        <w:rPr>
          <w:rFonts w:cs="Arial"/>
          <w:shd w:val="clear" w:color="auto" w:fill="FFFFFF"/>
        </w:rPr>
        <w:t>8</w:t>
      </w:r>
      <w:r w:rsidRPr="00653AE3">
        <w:rPr>
          <w:rFonts w:cs="Arial"/>
          <w:shd w:val="clear" w:color="auto" w:fill="FFFFFF"/>
        </w:rPr>
        <w:t>A, the top box score is the percent of survey respondents choosing “Always.”</w:t>
      </w:r>
    </w:p>
    <w:p w14:paraId="5218AE04" w14:textId="77777777" w:rsidR="00322A3C" w:rsidRPr="00E67EDC" w:rsidRDefault="00322A3C" w:rsidP="005A212B">
      <w:pPr>
        <w:pStyle w:val="EndnoteText"/>
        <w:rPr>
          <w:rFonts w:cs="Arial"/>
          <w:sz w:val="16"/>
          <w:szCs w:val="16"/>
          <w:shd w:val="clear" w:color="auto" w:fill="FFFFFF"/>
        </w:rPr>
      </w:pPr>
    </w:p>
    <w:p w14:paraId="17D8A480" w14:textId="00181566" w:rsidR="00322A3C" w:rsidRPr="00653AE3" w:rsidRDefault="00322A3C" w:rsidP="005A212B">
      <w:pPr>
        <w:pStyle w:val="EndnoteText"/>
        <w:rPr>
          <w:rFonts w:cs="Arial"/>
          <w:shd w:val="clear" w:color="auto" w:fill="FFFFFF"/>
        </w:rPr>
      </w:pPr>
      <w:r w:rsidRPr="00653AE3">
        <w:rPr>
          <w:rFonts w:cs="Arial"/>
          <w:shd w:val="clear" w:color="auto" w:fill="FFFFFF"/>
        </w:rPr>
        <w:t xml:space="preserve">For the OAS CAHPS Survey “Patients’ Rating of the Facility” domain, responses of 9 or 10 are included in the top box score. For the “Patients Recommending the Facility” domain, responses of “Definitely yes” are included in the top box score. For all other domains included in Section </w:t>
      </w:r>
      <w:r w:rsidR="00FC0BA7">
        <w:rPr>
          <w:rFonts w:cs="Arial"/>
          <w:shd w:val="clear" w:color="auto" w:fill="FFFFFF"/>
        </w:rPr>
        <w:t>9</w:t>
      </w:r>
      <w:r w:rsidR="00530467">
        <w:rPr>
          <w:rFonts w:cs="Arial"/>
          <w:shd w:val="clear" w:color="auto" w:fill="FFFFFF"/>
        </w:rPr>
        <w:t>F</w:t>
      </w:r>
      <w:r w:rsidRPr="00653AE3">
        <w:rPr>
          <w:rFonts w:cs="Arial"/>
          <w:shd w:val="clear" w:color="auto" w:fill="FFFFFF"/>
        </w:rPr>
        <w:t>, the top box score is the percent of survey respondents choosing “Yes, definitely.”</w:t>
      </w:r>
    </w:p>
    <w:p w14:paraId="6D2B7C31" w14:textId="77777777" w:rsidR="00322A3C" w:rsidRPr="00216021" w:rsidRDefault="00322A3C" w:rsidP="005A212B">
      <w:pPr>
        <w:pStyle w:val="EndnoteText"/>
        <w:rPr>
          <w:rFonts w:cs="Arial"/>
          <w:color w:val="222222"/>
          <w:shd w:val="clear" w:color="auto" w:fill="FFFFFF"/>
        </w:rPr>
      </w:pPr>
    </w:p>
  </w:endnote>
  <w:endnote w:id="53">
    <w:p w14:paraId="38485EC2" w14:textId="77777777" w:rsidR="00D93BEF" w:rsidRPr="00E0414A" w:rsidRDefault="00D93BEF" w:rsidP="000C4EC7">
      <w:pPr>
        <w:pStyle w:val="EndnoteText"/>
        <w:tabs>
          <w:tab w:val="left" w:pos="630"/>
        </w:tabs>
        <w:rPr>
          <w:b/>
          <w:i/>
        </w:rPr>
      </w:pPr>
      <w:r w:rsidRPr="00E0414A">
        <w:rPr>
          <w:rStyle w:val="EndnoteReference"/>
        </w:rPr>
        <w:endnoteRef/>
      </w:r>
      <w:r w:rsidRPr="00E0414A">
        <w:t xml:space="preserve"> </w:t>
      </w:r>
      <w:bookmarkStart w:id="726" w:name="AdultOR"/>
      <w:r w:rsidRPr="00E0414A">
        <w:rPr>
          <w:b/>
          <w:i/>
        </w:rPr>
        <w:t>Operating Rooms</w:t>
      </w:r>
      <w:bookmarkStart w:id="727" w:name="Endnote49_OR"/>
      <w:bookmarkEnd w:id="726"/>
      <w:bookmarkEnd w:id="727"/>
    </w:p>
    <w:p w14:paraId="4B68152A" w14:textId="663185F4" w:rsidR="00D93BEF" w:rsidRPr="00E0414A" w:rsidRDefault="00D93BEF" w:rsidP="0011091B">
      <w:pPr>
        <w:pStyle w:val="EndnoteText"/>
      </w:pPr>
      <w:r w:rsidRPr="00E0414A">
        <w:t>If your state designates and licenses operating rooms, enter the number of operating rooms licensed by your state that are used to perform the outpatient procedures listed in Section 9C. If your state does not designate and license operating rooms, enter the number of operating rooms used to perform the outpatient procedures listed in Section 9C that meet the following definition from the 2018 FGI Guidelines: a room that meets the requirements of a restricted area, is designated and equipped for performing surgical or other invasive procedures, and has the environmental controls for an OR as indicated in ASHRAE 170. An aseptic field is required for all procedures performed in an OR.</w:t>
      </w:r>
    </w:p>
    <w:p w14:paraId="7300BA2E" w14:textId="77777777" w:rsidR="00D93BEF" w:rsidRPr="00E0414A" w:rsidRDefault="00D93BEF" w:rsidP="0011091B">
      <w:pPr>
        <w:pStyle w:val="EndnoteText"/>
        <w:rPr>
          <w:sz w:val="16"/>
          <w:szCs w:val="16"/>
        </w:rPr>
      </w:pPr>
    </w:p>
    <w:p w14:paraId="7DF37350" w14:textId="09637228" w:rsidR="00D93BEF" w:rsidRPr="00E0414A" w:rsidRDefault="00D93BEF" w:rsidP="00FB6D5D">
      <w:pPr>
        <w:pStyle w:val="EndnoteText"/>
        <w:rPr>
          <w:rStyle w:val="Hyperlink"/>
        </w:rPr>
      </w:pPr>
      <w:r w:rsidRPr="00E0414A">
        <w:t xml:space="preserve">More information about the 2018 FGI Guidelines can be found at </w:t>
      </w:r>
      <w:hyperlink r:id="rId23" w:history="1">
        <w:r w:rsidRPr="00E0414A">
          <w:rPr>
            <w:rStyle w:val="Hyperlink"/>
          </w:rPr>
          <w:t>https://www.fgiguidelines.org/wp-content/uploads/2017/08/SLS17_FGI_ExamProcedureOperatingImaging_170721.pdf</w:t>
        </w:r>
      </w:hyperlink>
      <w:r w:rsidRPr="00E0414A">
        <w:rPr>
          <w:rStyle w:val="Hyperlink"/>
        </w:rPr>
        <w:t>.</w:t>
      </w:r>
    </w:p>
    <w:p w14:paraId="471F121E" w14:textId="0E06DB79" w:rsidR="00D93BEF" w:rsidRPr="00E0414A" w:rsidRDefault="00D93BEF" w:rsidP="00FB6D5D">
      <w:pPr>
        <w:pStyle w:val="EndnoteText"/>
        <w:rPr>
          <w:rStyle w:val="Hyperlink"/>
          <w:sz w:val="16"/>
          <w:szCs w:val="16"/>
        </w:rPr>
      </w:pPr>
    </w:p>
    <w:p w14:paraId="381E6AE1" w14:textId="23F42B95" w:rsidR="00D93BEF" w:rsidRPr="006547C0" w:rsidRDefault="00D93BEF" w:rsidP="00FB6D5D">
      <w:pPr>
        <w:pStyle w:val="EndnoteText"/>
      </w:pPr>
      <w:r w:rsidRPr="00E0414A">
        <w:rPr>
          <w:rStyle w:val="Hyperlink"/>
          <w:color w:val="auto"/>
          <w:u w:val="none"/>
        </w:rPr>
        <w:t>Hospitals must include the total number of operating rooms that are used to perform the outpatient procedures listed in Section 9C, including operating rooms that are used for both inpatient and outpatient procedures.</w:t>
      </w:r>
    </w:p>
    <w:p w14:paraId="5CF04D38" w14:textId="77777777" w:rsidR="00D93BEF" w:rsidRPr="00216021" w:rsidRDefault="00D93BEF" w:rsidP="00FB6D5D">
      <w:pPr>
        <w:pStyle w:val="EndnoteText"/>
      </w:pPr>
    </w:p>
  </w:endnote>
  <w:endnote w:id="54">
    <w:p w14:paraId="162CB1CC" w14:textId="77777777" w:rsidR="00D93BEF" w:rsidRPr="00E0414A" w:rsidRDefault="00D93BEF" w:rsidP="000C4EC7">
      <w:pPr>
        <w:pStyle w:val="EndnoteText"/>
        <w:rPr>
          <w:b/>
          <w:i/>
        </w:rPr>
      </w:pPr>
      <w:r w:rsidRPr="00E0414A">
        <w:rPr>
          <w:rStyle w:val="EndnoteReference"/>
        </w:rPr>
        <w:endnoteRef/>
      </w:r>
      <w:r w:rsidRPr="00E0414A">
        <w:t xml:space="preserve"> </w:t>
      </w:r>
      <w:bookmarkStart w:id="729" w:name="procedureroom"/>
      <w:r w:rsidRPr="00E0414A">
        <w:rPr>
          <w:b/>
          <w:i/>
        </w:rPr>
        <w:t>Endoscopic Procedure Rooms</w:t>
      </w:r>
      <w:bookmarkEnd w:id="729"/>
    </w:p>
    <w:p w14:paraId="4BAD9E46" w14:textId="7ACC2DA4" w:rsidR="00D93BEF" w:rsidRPr="00E0414A" w:rsidRDefault="00D93BEF" w:rsidP="000C4EC7">
      <w:pPr>
        <w:pStyle w:val="EndnoteText"/>
      </w:pPr>
      <w:r w:rsidRPr="00E0414A">
        <w:t>If your state designates and licenses procedure rooms, enter the number of procedure rooms licensed by your state that are used for endoscopies listed in Section 9C. If your state does not designate and license procedure rooms, enter the number of procedure rooms that are used for endoscopies listed in Section 9C that meet the following definition from the 2018 FGI Guidelines: a room designated for the performance of patient care that requires high-level disinfection or sterile instruments and some environmental controls but is not required to be performed with the environmental controls of an operating room.</w:t>
      </w:r>
    </w:p>
    <w:p w14:paraId="5E9DC1FD" w14:textId="77777777" w:rsidR="00D93BEF" w:rsidRPr="00E0414A" w:rsidRDefault="00D93BEF" w:rsidP="000C4EC7">
      <w:pPr>
        <w:pStyle w:val="EndnoteText"/>
        <w:rPr>
          <w:sz w:val="16"/>
          <w:szCs w:val="16"/>
        </w:rPr>
      </w:pPr>
    </w:p>
    <w:p w14:paraId="6527E997" w14:textId="77777777" w:rsidR="00D93BEF" w:rsidRPr="00E0414A" w:rsidRDefault="00D93BEF" w:rsidP="000C4EC7">
      <w:pPr>
        <w:pStyle w:val="EndnoteText"/>
      </w:pPr>
      <w:r w:rsidRPr="00E0414A">
        <w:t xml:space="preserve">More information about the 2018 FGI Guidelines can be found at </w:t>
      </w:r>
      <w:hyperlink r:id="rId24" w:history="1">
        <w:r w:rsidRPr="00E0414A">
          <w:rPr>
            <w:rStyle w:val="Hyperlink"/>
          </w:rPr>
          <w:t>https://www.fgiguidelines.org/wp-content/uploads/2017/08/SLS17_FGI_ExamProcedureOperatingImaging_170721.pdf</w:t>
        </w:r>
      </w:hyperlink>
      <w:r w:rsidRPr="00E0414A">
        <w:t xml:space="preserve">. </w:t>
      </w:r>
    </w:p>
    <w:p w14:paraId="47392829" w14:textId="3FEA2DBB" w:rsidR="00D93BEF" w:rsidRPr="00E0414A" w:rsidRDefault="00D93BEF">
      <w:pPr>
        <w:pStyle w:val="EndnoteText"/>
        <w:rPr>
          <w:b/>
          <w:sz w:val="16"/>
          <w:szCs w:val="16"/>
        </w:rPr>
      </w:pPr>
    </w:p>
    <w:p w14:paraId="314A7D8C" w14:textId="171B5957" w:rsidR="00D93BEF" w:rsidRDefault="00D93BEF" w:rsidP="00B44C1C">
      <w:pPr>
        <w:rPr>
          <w:rStyle w:val="Hyperlink"/>
          <w:color w:val="auto"/>
          <w:u w:val="none"/>
        </w:rPr>
      </w:pPr>
      <w:r w:rsidRPr="00E0414A">
        <w:rPr>
          <w:rStyle w:val="Hyperlink"/>
          <w:color w:val="auto"/>
          <w:u w:val="none"/>
        </w:rPr>
        <w:t>Hospitals must include the total number of procedure rooms that are used to perform the endoscopies listed in Section 9C, including procedure rooms that are used for both inpatient and outpatient procedures.</w:t>
      </w:r>
    </w:p>
    <w:p w14:paraId="0C18CC2F" w14:textId="77777777" w:rsidR="00D93BEF" w:rsidRPr="00E67EDC" w:rsidRDefault="00D93BEF" w:rsidP="00B44C1C"/>
  </w:endnote>
  <w:endnote w:id="55">
    <w:p w14:paraId="5C94B80E" w14:textId="77777777" w:rsidR="00322A3C" w:rsidRPr="00CB4421" w:rsidRDefault="00322A3C" w:rsidP="00A92537">
      <w:pPr>
        <w:pStyle w:val="EndnoteText"/>
        <w:rPr>
          <w:b/>
          <w:i/>
        </w:rPr>
      </w:pPr>
      <w:r w:rsidRPr="00CB4421">
        <w:rPr>
          <w:rStyle w:val="EndnoteReference"/>
        </w:rPr>
        <w:endnoteRef/>
      </w:r>
      <w:r w:rsidRPr="00CB4421">
        <w:t xml:space="preserve"> </w:t>
      </w:r>
      <w:bookmarkStart w:id="733" w:name="clinicianendnote"/>
      <w:r w:rsidRPr="00CB4421">
        <w:rPr>
          <w:b/>
          <w:i/>
        </w:rPr>
        <w:t>Clinician</w:t>
      </w:r>
      <w:bookmarkEnd w:id="733"/>
    </w:p>
    <w:p w14:paraId="5065D856" w14:textId="59CC55C6" w:rsidR="00322A3C" w:rsidRDefault="00322A3C" w:rsidP="00A92537">
      <w:pPr>
        <w:pStyle w:val="EndnoteText"/>
      </w:pPr>
      <w:r w:rsidRPr="00CB4421">
        <w:t xml:space="preserve">A clinician </w:t>
      </w:r>
      <w:r w:rsidRPr="000261CE">
        <w:t>refers to</w:t>
      </w:r>
      <w:r w:rsidRPr="00CB4421">
        <w:t xml:space="preserve"> a physician, physician assistant (PA), nurse practition</w:t>
      </w:r>
      <w:r w:rsidRPr="001A6F2F">
        <w:t>er (NP), certified registered</w:t>
      </w:r>
      <w:r>
        <w:t xml:space="preserve"> </w:t>
      </w:r>
      <w:r w:rsidRPr="00CB4421">
        <w:t>nurse anesthetist (CRNA), nurse (RN or MSN)</w:t>
      </w:r>
      <w:r w:rsidR="00521B90">
        <w:t>, or respiratory therapist</w:t>
      </w:r>
      <w:r w:rsidRPr="00CB4421">
        <w:t>.</w:t>
      </w:r>
    </w:p>
    <w:p w14:paraId="1D8EB53C" w14:textId="77777777" w:rsidR="00793098" w:rsidRDefault="00793098" w:rsidP="00A92537">
      <w:pPr>
        <w:pStyle w:val="EndnoteText"/>
        <w:rPr>
          <w:sz w:val="16"/>
          <w:szCs w:val="16"/>
        </w:rPr>
      </w:pPr>
    </w:p>
    <w:p w14:paraId="71F23D97" w14:textId="77777777" w:rsidR="00F01070" w:rsidRDefault="00F01070" w:rsidP="00A92537">
      <w:pPr>
        <w:pStyle w:val="EndnoteText"/>
        <w:rPr>
          <w:sz w:val="16"/>
          <w:szCs w:val="16"/>
        </w:rPr>
      </w:pPr>
    </w:p>
    <w:p w14:paraId="184F07A4" w14:textId="77777777" w:rsidR="00F01070" w:rsidRDefault="00F01070" w:rsidP="00A92537">
      <w:pPr>
        <w:pStyle w:val="EndnoteText"/>
        <w:rPr>
          <w:sz w:val="16"/>
          <w:szCs w:val="16"/>
        </w:rPr>
      </w:pPr>
    </w:p>
    <w:p w14:paraId="5E0563DD" w14:textId="77777777" w:rsidR="00F01070" w:rsidRDefault="00F01070" w:rsidP="00A92537">
      <w:pPr>
        <w:pStyle w:val="EndnoteText"/>
        <w:rPr>
          <w:sz w:val="16"/>
          <w:szCs w:val="16"/>
        </w:rPr>
      </w:pPr>
    </w:p>
    <w:p w14:paraId="6A631D0D" w14:textId="77777777" w:rsidR="00F01070" w:rsidRDefault="00F01070" w:rsidP="00A92537">
      <w:pPr>
        <w:pStyle w:val="EndnoteText"/>
        <w:rPr>
          <w:sz w:val="16"/>
          <w:szCs w:val="16"/>
        </w:rPr>
      </w:pPr>
    </w:p>
    <w:p w14:paraId="7248DAB2" w14:textId="77777777" w:rsidR="00F01070" w:rsidRDefault="00F01070" w:rsidP="00A92537">
      <w:pPr>
        <w:pStyle w:val="EndnoteText"/>
        <w:rPr>
          <w:sz w:val="16"/>
          <w:szCs w:val="16"/>
        </w:rPr>
      </w:pPr>
    </w:p>
    <w:p w14:paraId="1E6A48BF" w14:textId="77777777" w:rsidR="00F01070" w:rsidRDefault="00F01070" w:rsidP="00A92537">
      <w:pPr>
        <w:pStyle w:val="EndnoteText"/>
        <w:rPr>
          <w:sz w:val="16"/>
          <w:szCs w:val="16"/>
        </w:rPr>
      </w:pPr>
    </w:p>
    <w:p w14:paraId="43ACB678" w14:textId="77777777" w:rsidR="00F01070" w:rsidRDefault="00F01070" w:rsidP="00A92537">
      <w:pPr>
        <w:pStyle w:val="EndnoteText"/>
        <w:rPr>
          <w:sz w:val="16"/>
          <w:szCs w:val="16"/>
        </w:rPr>
      </w:pPr>
    </w:p>
    <w:p w14:paraId="04704C72" w14:textId="77777777" w:rsidR="00F01070" w:rsidRDefault="00F01070" w:rsidP="00A92537">
      <w:pPr>
        <w:pStyle w:val="EndnoteText"/>
        <w:rPr>
          <w:sz w:val="16"/>
          <w:szCs w:val="16"/>
        </w:rPr>
      </w:pPr>
    </w:p>
    <w:p w14:paraId="4330EC2B" w14:textId="77777777" w:rsidR="00F01070" w:rsidRDefault="00F01070" w:rsidP="00A92537">
      <w:pPr>
        <w:pStyle w:val="EndnoteText"/>
        <w:rPr>
          <w:sz w:val="16"/>
          <w:szCs w:val="16"/>
        </w:rPr>
      </w:pPr>
    </w:p>
    <w:p w14:paraId="42D3C0EF" w14:textId="77777777" w:rsidR="00F01070" w:rsidRDefault="00F01070" w:rsidP="00A92537">
      <w:pPr>
        <w:pStyle w:val="EndnoteText"/>
        <w:rPr>
          <w:sz w:val="16"/>
          <w:szCs w:val="16"/>
        </w:rPr>
      </w:pPr>
    </w:p>
    <w:p w14:paraId="431A4188" w14:textId="77777777" w:rsidR="00F01070" w:rsidRDefault="00F01070" w:rsidP="00A92537">
      <w:pPr>
        <w:pStyle w:val="EndnoteText"/>
        <w:rPr>
          <w:sz w:val="16"/>
          <w:szCs w:val="16"/>
        </w:rPr>
      </w:pPr>
    </w:p>
    <w:p w14:paraId="761FF392" w14:textId="77777777" w:rsidR="00F01070" w:rsidRDefault="00F01070" w:rsidP="00A92537">
      <w:pPr>
        <w:pStyle w:val="EndnoteText"/>
        <w:rPr>
          <w:sz w:val="16"/>
          <w:szCs w:val="16"/>
        </w:rPr>
      </w:pPr>
    </w:p>
    <w:p w14:paraId="47B897DB" w14:textId="77777777" w:rsidR="00F01070" w:rsidRDefault="00F01070" w:rsidP="00A92537">
      <w:pPr>
        <w:pStyle w:val="EndnoteText"/>
        <w:rPr>
          <w:sz w:val="16"/>
          <w:szCs w:val="16"/>
        </w:rPr>
      </w:pPr>
    </w:p>
    <w:p w14:paraId="01ACF22C" w14:textId="77777777" w:rsidR="00F01070" w:rsidRDefault="00F01070" w:rsidP="00A92537">
      <w:pPr>
        <w:pStyle w:val="EndnoteText"/>
        <w:rPr>
          <w:sz w:val="16"/>
          <w:szCs w:val="16"/>
        </w:rPr>
      </w:pPr>
    </w:p>
    <w:p w14:paraId="5ABCACCB" w14:textId="77777777" w:rsidR="00F01070" w:rsidRDefault="00F01070" w:rsidP="00A92537">
      <w:pPr>
        <w:pStyle w:val="EndnoteText"/>
        <w:rPr>
          <w:sz w:val="16"/>
          <w:szCs w:val="16"/>
        </w:rPr>
      </w:pPr>
    </w:p>
    <w:p w14:paraId="42D6AD90" w14:textId="77777777" w:rsidR="00F01070" w:rsidRDefault="00F01070" w:rsidP="00A92537">
      <w:pPr>
        <w:pStyle w:val="EndnoteText"/>
        <w:rPr>
          <w:sz w:val="16"/>
          <w:szCs w:val="16"/>
        </w:rPr>
      </w:pPr>
    </w:p>
    <w:p w14:paraId="1C1E8CA3" w14:textId="77777777" w:rsidR="00F01070" w:rsidRDefault="00F01070" w:rsidP="00A92537">
      <w:pPr>
        <w:pStyle w:val="EndnoteText"/>
        <w:rPr>
          <w:sz w:val="16"/>
          <w:szCs w:val="16"/>
        </w:rPr>
      </w:pPr>
    </w:p>
    <w:p w14:paraId="1023E3A7" w14:textId="77777777" w:rsidR="00F01070" w:rsidRDefault="00F01070" w:rsidP="00A92537">
      <w:pPr>
        <w:pStyle w:val="EndnoteText"/>
        <w:rPr>
          <w:sz w:val="16"/>
          <w:szCs w:val="16"/>
        </w:rPr>
      </w:pPr>
    </w:p>
    <w:p w14:paraId="19A5A46D" w14:textId="77777777" w:rsidR="00F01070" w:rsidRDefault="00F01070" w:rsidP="00A92537">
      <w:pPr>
        <w:pStyle w:val="EndnoteText"/>
        <w:rPr>
          <w:sz w:val="16"/>
          <w:szCs w:val="16"/>
        </w:rPr>
      </w:pPr>
    </w:p>
    <w:p w14:paraId="0E94E23F" w14:textId="77777777" w:rsidR="00F01070" w:rsidRDefault="00F01070" w:rsidP="00A92537">
      <w:pPr>
        <w:pStyle w:val="EndnoteText"/>
        <w:rPr>
          <w:sz w:val="16"/>
          <w:szCs w:val="16"/>
        </w:rPr>
      </w:pPr>
    </w:p>
    <w:p w14:paraId="3AA73725" w14:textId="77777777" w:rsidR="00F01070" w:rsidRDefault="00F01070" w:rsidP="00A92537">
      <w:pPr>
        <w:pStyle w:val="EndnoteText"/>
        <w:rPr>
          <w:sz w:val="16"/>
          <w:szCs w:val="16"/>
        </w:rPr>
      </w:pPr>
    </w:p>
    <w:p w14:paraId="363660F5" w14:textId="77777777" w:rsidR="00F01070" w:rsidRDefault="00F01070" w:rsidP="00A92537">
      <w:pPr>
        <w:pStyle w:val="EndnoteText"/>
        <w:rPr>
          <w:sz w:val="16"/>
          <w:szCs w:val="16"/>
        </w:rPr>
      </w:pPr>
    </w:p>
    <w:p w14:paraId="2A570037" w14:textId="77777777" w:rsidR="00F01070" w:rsidRDefault="00F01070" w:rsidP="00A92537">
      <w:pPr>
        <w:pStyle w:val="EndnoteText"/>
        <w:rPr>
          <w:sz w:val="16"/>
          <w:szCs w:val="16"/>
        </w:rPr>
      </w:pPr>
    </w:p>
    <w:p w14:paraId="0A6C7D89" w14:textId="77777777" w:rsidR="00F01070" w:rsidRDefault="00F01070" w:rsidP="00A92537">
      <w:pPr>
        <w:pStyle w:val="EndnoteText"/>
        <w:rPr>
          <w:sz w:val="16"/>
          <w:szCs w:val="16"/>
        </w:rPr>
      </w:pPr>
    </w:p>
    <w:p w14:paraId="71AC3C2C" w14:textId="77777777" w:rsidR="00F01070" w:rsidRDefault="00F01070" w:rsidP="00A92537">
      <w:pPr>
        <w:pStyle w:val="EndnoteText"/>
        <w:rPr>
          <w:sz w:val="16"/>
          <w:szCs w:val="16"/>
        </w:rPr>
      </w:pPr>
    </w:p>
    <w:p w14:paraId="035C9CBD" w14:textId="77777777" w:rsidR="00F01070" w:rsidRDefault="00F01070" w:rsidP="00A92537">
      <w:pPr>
        <w:pStyle w:val="EndnoteText"/>
        <w:rPr>
          <w:sz w:val="16"/>
          <w:szCs w:val="16"/>
        </w:rPr>
      </w:pPr>
    </w:p>
    <w:p w14:paraId="78778699" w14:textId="77777777" w:rsidR="00F01070" w:rsidRDefault="00F01070" w:rsidP="00A92537">
      <w:pPr>
        <w:pStyle w:val="EndnoteText"/>
        <w:rPr>
          <w:sz w:val="16"/>
          <w:szCs w:val="16"/>
        </w:rPr>
      </w:pPr>
    </w:p>
    <w:p w14:paraId="1799FD76" w14:textId="77777777" w:rsidR="00F01070" w:rsidRDefault="00F01070" w:rsidP="00A92537">
      <w:pPr>
        <w:pStyle w:val="EndnoteText"/>
        <w:rPr>
          <w:sz w:val="16"/>
          <w:szCs w:val="16"/>
        </w:rPr>
      </w:pPr>
    </w:p>
    <w:p w14:paraId="721863DF" w14:textId="77777777" w:rsidR="00F01070" w:rsidRDefault="00F01070" w:rsidP="00A92537">
      <w:pPr>
        <w:pStyle w:val="EndnoteText"/>
        <w:rPr>
          <w:sz w:val="16"/>
          <w:szCs w:val="16"/>
        </w:rPr>
      </w:pPr>
    </w:p>
    <w:p w14:paraId="36DC347E" w14:textId="77777777" w:rsidR="00F01070" w:rsidRDefault="00F01070" w:rsidP="00A92537">
      <w:pPr>
        <w:pStyle w:val="EndnoteText"/>
        <w:rPr>
          <w:sz w:val="16"/>
          <w:szCs w:val="16"/>
        </w:rPr>
      </w:pPr>
    </w:p>
    <w:p w14:paraId="200B0A7D" w14:textId="77777777" w:rsidR="00F01070" w:rsidRDefault="00F01070" w:rsidP="00A92537">
      <w:pPr>
        <w:pStyle w:val="EndnoteText"/>
        <w:rPr>
          <w:sz w:val="16"/>
          <w:szCs w:val="16"/>
        </w:rPr>
      </w:pPr>
    </w:p>
    <w:p w14:paraId="1FA9545D" w14:textId="77777777" w:rsidR="00F01070" w:rsidRDefault="00F01070" w:rsidP="00A92537">
      <w:pPr>
        <w:pStyle w:val="EndnoteText"/>
        <w:rPr>
          <w:sz w:val="16"/>
          <w:szCs w:val="16"/>
        </w:rPr>
      </w:pPr>
    </w:p>
    <w:p w14:paraId="4A08E884" w14:textId="77777777" w:rsidR="00F01070" w:rsidRDefault="00F01070" w:rsidP="00A92537">
      <w:pPr>
        <w:pStyle w:val="EndnoteText"/>
        <w:rPr>
          <w:sz w:val="16"/>
          <w:szCs w:val="16"/>
        </w:rPr>
      </w:pPr>
    </w:p>
    <w:p w14:paraId="71342AE0" w14:textId="77777777" w:rsidR="00F01070" w:rsidRDefault="00F01070" w:rsidP="00A92537">
      <w:pPr>
        <w:pStyle w:val="EndnoteText"/>
        <w:rPr>
          <w:sz w:val="16"/>
          <w:szCs w:val="16"/>
        </w:rPr>
      </w:pPr>
    </w:p>
    <w:p w14:paraId="39BF53B6" w14:textId="77777777" w:rsidR="00F01070" w:rsidRDefault="00F01070" w:rsidP="00A92537">
      <w:pPr>
        <w:pStyle w:val="EndnoteText"/>
        <w:rPr>
          <w:sz w:val="16"/>
          <w:szCs w:val="16"/>
        </w:rPr>
      </w:pPr>
    </w:p>
    <w:p w14:paraId="37B524EB" w14:textId="77777777" w:rsidR="002F7FD1" w:rsidRDefault="002F7FD1" w:rsidP="00A92537">
      <w:pPr>
        <w:pStyle w:val="EndnoteText"/>
        <w:rPr>
          <w:sz w:val="16"/>
          <w:szCs w:val="16"/>
        </w:rPr>
      </w:pPr>
    </w:p>
    <w:p w14:paraId="2CF8C41C" w14:textId="77777777" w:rsidR="002F7FD1" w:rsidRDefault="002F7FD1" w:rsidP="00A92537">
      <w:pPr>
        <w:pStyle w:val="EndnoteText"/>
        <w:rPr>
          <w:sz w:val="16"/>
          <w:szCs w:val="16"/>
        </w:rPr>
      </w:pPr>
    </w:p>
    <w:p w14:paraId="73AC7A1D" w14:textId="77777777" w:rsidR="002F7FD1" w:rsidRDefault="002F7FD1" w:rsidP="00A92537">
      <w:pPr>
        <w:pStyle w:val="EndnoteText"/>
        <w:rPr>
          <w:sz w:val="16"/>
          <w:szCs w:val="16"/>
        </w:rPr>
      </w:pPr>
    </w:p>
    <w:p w14:paraId="424E5209" w14:textId="77777777" w:rsidR="002F7FD1" w:rsidRDefault="002F7FD1" w:rsidP="00A92537">
      <w:pPr>
        <w:pStyle w:val="EndnoteText"/>
        <w:rPr>
          <w:sz w:val="16"/>
          <w:szCs w:val="16"/>
        </w:rPr>
      </w:pPr>
    </w:p>
    <w:p w14:paraId="0208E36E" w14:textId="77777777" w:rsidR="002F7FD1" w:rsidRDefault="002F7FD1" w:rsidP="00A92537">
      <w:pPr>
        <w:pStyle w:val="EndnoteText"/>
        <w:rPr>
          <w:sz w:val="16"/>
          <w:szCs w:val="16"/>
        </w:rPr>
      </w:pPr>
    </w:p>
    <w:p w14:paraId="4D34E007" w14:textId="77777777" w:rsidR="002F7FD1" w:rsidRDefault="002F7FD1" w:rsidP="00A92537">
      <w:pPr>
        <w:pStyle w:val="EndnoteText"/>
        <w:rPr>
          <w:sz w:val="16"/>
          <w:szCs w:val="16"/>
        </w:rPr>
      </w:pPr>
    </w:p>
    <w:p w14:paraId="489A1EFA" w14:textId="77777777" w:rsidR="002F7FD1" w:rsidRDefault="002F7FD1" w:rsidP="00A92537">
      <w:pPr>
        <w:pStyle w:val="EndnoteText"/>
        <w:rPr>
          <w:sz w:val="16"/>
          <w:szCs w:val="16"/>
        </w:rPr>
      </w:pPr>
    </w:p>
    <w:p w14:paraId="220FB087" w14:textId="77777777" w:rsidR="002F7FD1" w:rsidRDefault="002F7FD1" w:rsidP="00A92537">
      <w:pPr>
        <w:pStyle w:val="EndnoteText"/>
        <w:rPr>
          <w:sz w:val="16"/>
          <w:szCs w:val="16"/>
        </w:rPr>
      </w:pPr>
    </w:p>
    <w:p w14:paraId="019A4D38" w14:textId="77777777" w:rsidR="002F7FD1" w:rsidRDefault="002F7FD1" w:rsidP="00A92537">
      <w:pPr>
        <w:pStyle w:val="EndnoteText"/>
        <w:rPr>
          <w:sz w:val="16"/>
          <w:szCs w:val="16"/>
        </w:rPr>
      </w:pPr>
    </w:p>
    <w:p w14:paraId="32450537" w14:textId="77777777" w:rsidR="002F7FD1" w:rsidRDefault="002F7FD1" w:rsidP="00A92537">
      <w:pPr>
        <w:pStyle w:val="EndnoteText"/>
        <w:rPr>
          <w:sz w:val="16"/>
          <w:szCs w:val="16"/>
        </w:rPr>
      </w:pPr>
    </w:p>
    <w:p w14:paraId="39069A36" w14:textId="77777777" w:rsidR="002F7FD1" w:rsidRDefault="002F7FD1" w:rsidP="00A92537">
      <w:pPr>
        <w:pStyle w:val="EndnoteText"/>
        <w:rPr>
          <w:sz w:val="16"/>
          <w:szCs w:val="16"/>
        </w:rPr>
      </w:pPr>
    </w:p>
    <w:p w14:paraId="174019A6" w14:textId="77777777" w:rsidR="002F7FD1" w:rsidRDefault="002F7FD1" w:rsidP="00A92537">
      <w:pPr>
        <w:pStyle w:val="EndnoteText"/>
        <w:rPr>
          <w:sz w:val="16"/>
          <w:szCs w:val="16"/>
        </w:rPr>
      </w:pPr>
    </w:p>
    <w:p w14:paraId="47E18184" w14:textId="77777777" w:rsidR="002F7FD1" w:rsidRDefault="002F7FD1" w:rsidP="00A92537">
      <w:pPr>
        <w:pStyle w:val="EndnoteText"/>
        <w:rPr>
          <w:sz w:val="16"/>
          <w:szCs w:val="16"/>
        </w:rPr>
      </w:pPr>
    </w:p>
    <w:p w14:paraId="795981DD" w14:textId="77777777" w:rsidR="002F7FD1" w:rsidRDefault="002F7FD1" w:rsidP="00A92537">
      <w:pPr>
        <w:pStyle w:val="EndnoteText"/>
        <w:rPr>
          <w:sz w:val="16"/>
          <w:szCs w:val="16"/>
        </w:rPr>
      </w:pPr>
    </w:p>
    <w:p w14:paraId="6C1D1012" w14:textId="77777777" w:rsidR="002F7FD1" w:rsidRDefault="002F7FD1" w:rsidP="00A92537">
      <w:pPr>
        <w:pStyle w:val="EndnoteText"/>
        <w:rPr>
          <w:sz w:val="16"/>
          <w:szCs w:val="16"/>
        </w:rPr>
      </w:pPr>
    </w:p>
    <w:p w14:paraId="0A46D7A8" w14:textId="77777777" w:rsidR="002F7FD1" w:rsidRDefault="002F7FD1" w:rsidP="00A92537">
      <w:pPr>
        <w:pStyle w:val="EndnoteText"/>
        <w:rPr>
          <w:sz w:val="16"/>
          <w:szCs w:val="16"/>
        </w:rPr>
      </w:pPr>
    </w:p>
    <w:p w14:paraId="1CF9F0F7" w14:textId="77777777" w:rsidR="002F7FD1" w:rsidRDefault="002F7FD1" w:rsidP="00A92537">
      <w:pPr>
        <w:pStyle w:val="EndnoteText"/>
        <w:rPr>
          <w:sz w:val="16"/>
          <w:szCs w:val="16"/>
        </w:rPr>
      </w:pPr>
    </w:p>
    <w:p w14:paraId="3D266A7F" w14:textId="77777777" w:rsidR="00F01070" w:rsidRDefault="00F01070" w:rsidP="00A92537">
      <w:pPr>
        <w:pStyle w:val="EndnoteText"/>
        <w:rPr>
          <w:sz w:val="16"/>
          <w:szCs w:val="16"/>
        </w:rPr>
      </w:pPr>
    </w:p>
    <w:p w14:paraId="612A5370" w14:textId="77777777" w:rsidR="00F01070" w:rsidRPr="002F7FD1" w:rsidRDefault="00F01070" w:rsidP="002F7FD1">
      <w:pPr>
        <w:pStyle w:val="EndnoteText"/>
        <w:jc w:val="center"/>
      </w:pPr>
    </w:p>
    <w:p w14:paraId="1D00A065" w14:textId="56B8F334" w:rsidR="00F01070" w:rsidRPr="002F7FD1" w:rsidRDefault="002F7FD1" w:rsidP="002F7FD1">
      <w:pPr>
        <w:pStyle w:val="EndnoteText"/>
        <w:jc w:val="center"/>
        <w:rPr>
          <w:i/>
          <w:iCs/>
          <w:sz w:val="16"/>
          <w:szCs w:val="16"/>
        </w:rPr>
      </w:pPr>
      <w:r w:rsidRPr="002F7FD1">
        <w:rPr>
          <w:i/>
          <w:iCs/>
        </w:rPr>
        <w:t>The 2026 Leapfrog Hospital Survey is a publication of The Leapfrog Group. The Survey cannot be copied, distributed, or used without the written permission of The Leapfrog Group for any purpose other than an individual hospital’s participation in the Survey.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venir">
    <w:altName w:val="Calibri"/>
    <w:charset w:val="00"/>
    <w:family w:val="auto"/>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5114"/>
      <w:docPartObj>
        <w:docPartGallery w:val="Page Numbers (Bottom of Page)"/>
        <w:docPartUnique/>
      </w:docPartObj>
    </w:sdtPr>
    <w:sdtEndPr>
      <w:rPr>
        <w:b/>
        <w:noProof/>
        <w:color w:val="213468"/>
      </w:rPr>
    </w:sdtEndPr>
    <w:sdtContent>
      <w:p w14:paraId="44295F13" w14:textId="553D2B1A" w:rsidR="00322A3C" w:rsidRPr="00BD429F" w:rsidRDefault="00322A3C" w:rsidP="00D04FFF">
        <w:pPr>
          <w:pStyle w:val="Footer"/>
          <w:rPr>
            <w:color w:val="213468"/>
          </w:rPr>
        </w:pPr>
        <w:r w:rsidRPr="00BD429F">
          <w:rPr>
            <w:b/>
            <w:color w:val="213468"/>
          </w:rPr>
          <w:fldChar w:fldCharType="begin"/>
        </w:r>
        <w:r w:rsidRPr="00BD429F">
          <w:rPr>
            <w:b/>
            <w:color w:val="213468"/>
          </w:rPr>
          <w:instrText xml:space="preserve"> PAGE   \* MERGEFORMAT </w:instrText>
        </w:r>
        <w:r w:rsidRPr="00BD429F">
          <w:rPr>
            <w:b/>
            <w:color w:val="213468"/>
          </w:rPr>
          <w:fldChar w:fldCharType="separate"/>
        </w:r>
        <w:r w:rsidRPr="00BD429F">
          <w:rPr>
            <w:b/>
            <w:noProof/>
            <w:color w:val="213468"/>
          </w:rPr>
          <w:t>282</w:t>
        </w:r>
        <w:r w:rsidRPr="00BD429F">
          <w:rPr>
            <w:b/>
            <w:noProof/>
            <w:color w:val="213468"/>
          </w:rPr>
          <w:fldChar w:fldCharType="end"/>
        </w:r>
        <w:r w:rsidRPr="00BD429F">
          <w:rPr>
            <w:b/>
            <w:color w:val="213468"/>
          </w:rPr>
          <w:tab/>
          <w:t xml:space="preserve">Version </w:t>
        </w:r>
        <w:r w:rsidR="00F509C9">
          <w:rPr>
            <w:b/>
            <w:color w:val="213468"/>
          </w:rPr>
          <w:t>9.</w:t>
        </w:r>
        <w:r w:rsidR="00801EB8">
          <w:rPr>
            <w:b/>
            <w:color w:val="213468"/>
          </w:rPr>
          <w:t>2</w:t>
        </w:r>
        <w:r w:rsidRPr="00BD429F">
          <w:rPr>
            <w:b/>
            <w:color w:val="213468"/>
          </w:rPr>
          <w:t xml:space="preserve">                                 </w:t>
        </w:r>
        <w:r w:rsidRPr="00BD429F">
          <w:rPr>
            <w:b/>
            <w:color w:val="213468"/>
          </w:rPr>
          <w:tab/>
          <w:t xml:space="preserve">First Release: </w:t>
        </w:r>
        <w:r w:rsidR="00744830" w:rsidRPr="00BD429F">
          <w:rPr>
            <w:b/>
            <w:color w:val="213468"/>
          </w:rPr>
          <w:t>April 1, 202</w:t>
        </w:r>
        <w:r w:rsidR="0039701C">
          <w:rPr>
            <w:b/>
            <w:color w:val="213468"/>
          </w:rPr>
          <w:t>6</w:t>
        </w:r>
      </w:p>
      <w:p w14:paraId="02313DFD" w14:textId="2BE0E9F1" w:rsidR="00322A3C" w:rsidRPr="00BD429F" w:rsidRDefault="00322A3C" w:rsidP="00D04FFF">
        <w:pPr>
          <w:pStyle w:val="Footer"/>
          <w:rPr>
            <w:b/>
            <w:color w:val="213468"/>
          </w:rPr>
        </w:pPr>
        <w:r w:rsidRPr="00BD429F">
          <w:rPr>
            <w:rFonts w:cs="Arial"/>
            <w:b/>
            <w:color w:val="213468"/>
          </w:rPr>
          <w:tab/>
          <w:t>©</w:t>
        </w:r>
        <w:r w:rsidRPr="00BD429F">
          <w:rPr>
            <w:b/>
            <w:color w:val="213468"/>
          </w:rPr>
          <w:t xml:space="preserve"> 202</w:t>
        </w:r>
        <w:r w:rsidR="0039701C">
          <w:rPr>
            <w:b/>
            <w:color w:val="213468"/>
          </w:rPr>
          <w:t>6</w:t>
        </w:r>
        <w:r w:rsidRPr="00BD429F">
          <w:rPr>
            <w:b/>
            <w:color w:val="213468"/>
          </w:rPr>
          <w:t xml:space="preserve"> The Leapfrog Group</w:t>
        </w:r>
        <w:r w:rsidRPr="00BD429F">
          <w:rPr>
            <w:b/>
            <w:color w:val="213468"/>
          </w:rPr>
          <w:tab/>
          <w:t xml:space="preserve">  </w:t>
        </w:r>
        <w:r w:rsidR="00662837">
          <w:rPr>
            <w:b/>
            <w:color w:val="213468"/>
          </w:rPr>
          <w:t xml:space="preserve">          </w:t>
        </w:r>
        <w:r w:rsidRPr="00BD429F">
          <w:rPr>
            <w:b/>
            <w:color w:val="213468"/>
          </w:rPr>
          <w:t>Updated Release:</w:t>
        </w:r>
        <w:r w:rsidR="00D13DCD">
          <w:rPr>
            <w:b/>
            <w:color w:val="213468"/>
          </w:rPr>
          <w:t xml:space="preserve"> </w:t>
        </w:r>
        <w:r w:rsidR="00F278A9">
          <w:rPr>
            <w:b/>
            <w:color w:val="213468"/>
          </w:rPr>
          <w:t>June 23, 2026</w:t>
        </w:r>
      </w:p>
    </w:sdtContent>
  </w:sdt>
  <w:p w14:paraId="3623BD78" w14:textId="77777777" w:rsidR="00322A3C" w:rsidRPr="00BD429F" w:rsidRDefault="00322A3C">
    <w:pPr>
      <w:rPr>
        <w:color w:val="213468"/>
        <w:sz w:val="16"/>
        <w:szCs w:val="16"/>
      </w:rPr>
    </w:pPr>
    <w:hyperlink w:anchor="TOC" w:history="1">
      <w:r w:rsidRPr="00BD429F">
        <w:rPr>
          <w:rStyle w:val="Hyperlink"/>
          <w:color w:val="213468"/>
          <w:sz w:val="16"/>
          <w:szCs w:val="16"/>
        </w:rPr>
        <w:t>Table of Contents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441D" w14:textId="77777777" w:rsidR="004369FE" w:rsidRDefault="004369FE"/>
    <w:p w14:paraId="05850878" w14:textId="77777777" w:rsidR="004369FE" w:rsidRDefault="004369FE">
      <w:r>
        <w:continuationSeparator/>
      </w:r>
    </w:p>
    <w:p w14:paraId="5BA2A7DA" w14:textId="77777777" w:rsidR="004369FE" w:rsidRDefault="004369FE"/>
    <w:p w14:paraId="0A0E423F" w14:textId="77777777" w:rsidR="004369FE" w:rsidRDefault="004369FE">
      <w:pPr>
        <w:pBdr>
          <w:bottom w:val="single" w:sz="12" w:space="1" w:color="auto"/>
        </w:pBdr>
      </w:pPr>
    </w:p>
    <w:p w14:paraId="60101B83" w14:textId="77777777" w:rsidR="004369FE" w:rsidRDefault="004369FE"/>
    <w:p w14:paraId="64FC6C5F" w14:textId="77777777" w:rsidR="004369FE" w:rsidRDefault="004369FE"/>
    <w:p w14:paraId="42D6550C" w14:textId="77777777" w:rsidR="004369FE" w:rsidRDefault="004369FE">
      <w:pPr>
        <w:pBdr>
          <w:bottom w:val="single" w:sz="12" w:space="1" w:color="auto"/>
        </w:pBdr>
      </w:pPr>
    </w:p>
    <w:p w14:paraId="338993B6" w14:textId="77777777" w:rsidR="004369FE" w:rsidRDefault="004369FE"/>
    <w:p w14:paraId="3FF48B9A" w14:textId="77777777" w:rsidR="004369FE" w:rsidRDefault="004369FE"/>
    <w:p w14:paraId="239C6EA9" w14:textId="77777777" w:rsidR="004369FE" w:rsidRDefault="004369FE"/>
    <w:p w14:paraId="434E0975" w14:textId="77777777" w:rsidR="004369FE" w:rsidRDefault="004369FE"/>
    <w:p w14:paraId="23CDB2F5" w14:textId="77777777" w:rsidR="004369FE" w:rsidRDefault="004369FE">
      <w:pPr>
        <w:pStyle w:val="Header"/>
      </w:pPr>
    </w:p>
    <w:p w14:paraId="25573899" w14:textId="77777777" w:rsidR="004369FE" w:rsidRDefault="004369FE"/>
    <w:p w14:paraId="1E230606" w14:textId="77777777" w:rsidR="004369FE" w:rsidRDefault="004369FE" w:rsidP="00A828BA">
      <w:pPr>
        <w:pStyle w:val="Header"/>
        <w:tabs>
          <w:tab w:val="clear" w:pos="4320"/>
          <w:tab w:val="clear" w:pos="8640"/>
          <w:tab w:val="left" w:pos="1470"/>
        </w:tabs>
      </w:pPr>
    </w:p>
    <w:p w14:paraId="40AACFBF" w14:textId="77777777" w:rsidR="004369FE" w:rsidRDefault="004369FE"/>
    <w:p w14:paraId="73F0BBBC" w14:textId="77777777" w:rsidR="004369FE" w:rsidRDefault="004369FE"/>
    <w:p w14:paraId="755F03F8" w14:textId="77777777" w:rsidR="004369FE" w:rsidRDefault="004369FE">
      <w:pPr>
        <w:pStyle w:val="Footer"/>
      </w:pPr>
    </w:p>
    <w:p w14:paraId="592837DB" w14:textId="77777777" w:rsidR="004369FE" w:rsidRDefault="004369FE"/>
    <w:sdt>
      <w:sdtPr>
        <w:id w:val="-1106734291"/>
        <w:docPartObj>
          <w:docPartGallery w:val="Page Numbers (Bottom of Page)"/>
          <w:docPartUnique/>
        </w:docPartObj>
      </w:sdtPr>
      <w:sdtEndPr>
        <w:rPr>
          <w:b/>
          <w:noProof/>
          <w:color w:val="17365D" w:themeColor="text2" w:themeShade="BF"/>
        </w:rPr>
      </w:sdtEndPr>
      <w:sdtContent>
        <w:p w14:paraId="76F3A2A6" w14:textId="77777777" w:rsidR="004369FE" w:rsidRPr="007655D4" w:rsidRDefault="004369FE" w:rsidP="00D04FFF">
          <w:pPr>
            <w:pStyle w:val="Footer"/>
          </w:pPr>
          <w:r w:rsidRPr="00F4794D">
            <w:rPr>
              <w:b/>
              <w:color w:val="17365D" w:themeColor="text2" w:themeShade="BF"/>
            </w:rPr>
            <w:fldChar w:fldCharType="begin"/>
          </w:r>
          <w:r w:rsidRPr="00F4794D">
            <w:rPr>
              <w:b/>
              <w:color w:val="17365D" w:themeColor="text2" w:themeShade="BF"/>
            </w:rPr>
            <w:instrText xml:space="preserve"> PAGE   \* MERGEFORMAT </w:instrText>
          </w:r>
          <w:r w:rsidRPr="00F4794D">
            <w:rPr>
              <w:b/>
              <w:color w:val="17365D" w:themeColor="text2" w:themeShade="BF"/>
            </w:rPr>
            <w:fldChar w:fldCharType="separate"/>
          </w:r>
          <w:r>
            <w:rPr>
              <w:b/>
              <w:noProof/>
              <w:color w:val="17365D" w:themeColor="text2" w:themeShade="BF"/>
            </w:rPr>
            <w:t>282</w:t>
          </w:r>
          <w:r w:rsidRPr="00F4794D">
            <w:rPr>
              <w:b/>
              <w:noProof/>
              <w:color w:val="17365D" w:themeColor="text2" w:themeShade="BF"/>
            </w:rPr>
            <w:fldChar w:fldCharType="end"/>
          </w:r>
          <w:r>
            <w:rPr>
              <w:b/>
              <w:color w:val="17365D" w:themeColor="text2" w:themeShade="BF"/>
            </w:rPr>
            <w:tab/>
            <w:t>Version 8.2</w:t>
          </w:r>
          <w:r w:rsidRPr="00F4794D">
            <w:rPr>
              <w:b/>
              <w:color w:val="17365D" w:themeColor="text2" w:themeShade="BF"/>
            </w:rPr>
            <w:t xml:space="preserve">                                 </w:t>
          </w:r>
          <w:r w:rsidRPr="00F4794D">
            <w:rPr>
              <w:b/>
              <w:color w:val="17365D" w:themeColor="text2" w:themeShade="BF"/>
            </w:rPr>
            <w:tab/>
          </w:r>
          <w:r>
            <w:rPr>
              <w:b/>
              <w:color w:val="17365D" w:themeColor="text2" w:themeShade="BF"/>
            </w:rPr>
            <w:t xml:space="preserve">  </w:t>
          </w:r>
          <w:r w:rsidRPr="00F4794D">
            <w:rPr>
              <w:b/>
              <w:color w:val="17365D" w:themeColor="text2" w:themeShade="BF"/>
            </w:rPr>
            <w:t xml:space="preserve">First Release: </w:t>
          </w:r>
          <w:r>
            <w:rPr>
              <w:b/>
              <w:color w:val="17365D" w:themeColor="text2" w:themeShade="BF"/>
            </w:rPr>
            <w:t>Ap</w:t>
          </w:r>
        </w:p>
        <w:p w14:paraId="7BB3AF31" w14:textId="77777777" w:rsidR="004369FE" w:rsidRPr="00F4794D" w:rsidRDefault="004369FE" w:rsidP="00D04FFF">
          <w:pPr>
            <w:pStyle w:val="Footer"/>
            <w:rPr>
              <w:b/>
              <w:color w:val="17365D" w:themeColor="text2" w:themeShade="BF"/>
            </w:rPr>
          </w:pPr>
          <w:r>
            <w:rPr>
              <w:rFonts w:cs="Arial"/>
              <w:b/>
              <w:color w:val="17365D" w:themeColor="text2" w:themeShade="BF"/>
            </w:rPr>
            <w:tab/>
            <w:t>©</w:t>
          </w:r>
          <w:r>
            <w:rPr>
              <w:b/>
              <w:color w:val="17365D" w:themeColor="text2" w:themeShade="BF"/>
            </w:rPr>
            <w:t xml:space="preserve"> 2021 The Leapfrog Group</w:t>
          </w:r>
          <w:r w:rsidRPr="00F4794D">
            <w:rPr>
              <w:b/>
              <w:color w:val="17365D" w:themeColor="text2" w:themeShade="BF"/>
            </w:rPr>
            <w:tab/>
          </w:r>
          <w:r>
            <w:rPr>
              <w:b/>
              <w:color w:val="17365D" w:themeColor="text2" w:themeShade="BF"/>
            </w:rPr>
            <w:t xml:space="preserve">            Updated Release: </w:t>
          </w:r>
        </w:p>
      </w:sdtContent>
    </w:sdt>
    <w:p w14:paraId="3754D26D" w14:textId="77777777" w:rsidR="004369FE" w:rsidRPr="00F4794D" w:rsidRDefault="004369FE">
      <w:pPr>
        <w:rPr>
          <w:color w:val="17365D" w:themeColor="text2" w:themeShade="BF"/>
          <w:sz w:val="16"/>
          <w:szCs w:val="16"/>
        </w:rPr>
      </w:pPr>
      <w:hyperlink w:anchor="TOC" w:history="1">
        <w:r w:rsidRPr="00F4794D">
          <w:rPr>
            <w:rStyle w:val="Hyperlink"/>
            <w:color w:val="17365D" w:themeColor="text2" w:themeShade="BF"/>
            <w:sz w:val="16"/>
            <w:szCs w:val="16"/>
          </w:rPr>
          <w:t>Table of Contents</w:t>
        </w:r>
      </w:hyperlink>
    </w:p>
    <w:p w14:paraId="4C198187" w14:textId="77777777" w:rsidR="004369FE" w:rsidRDefault="004369FE"/>
  </w:footnote>
  <w:footnote w:type="continuationSeparator" w:id="0">
    <w:p w14:paraId="34C14201" w14:textId="77777777" w:rsidR="004369FE" w:rsidRDefault="004369FE">
      <w:r>
        <w:continuationSeparator/>
      </w:r>
    </w:p>
    <w:p w14:paraId="750DF0AF" w14:textId="77777777" w:rsidR="004369FE" w:rsidRDefault="004369FE"/>
  </w:footnote>
  <w:footnote w:type="continuationNotice" w:id="1">
    <w:p w14:paraId="0B63DBAB" w14:textId="77777777" w:rsidR="004369FE" w:rsidRDefault="004369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02AC" w14:textId="7BE54432" w:rsidR="00957D80" w:rsidRPr="00B7566B" w:rsidRDefault="00957D80" w:rsidP="00957D80">
    <w:pPr>
      <w:rPr>
        <w:i/>
      </w:rPr>
    </w:pPr>
    <w:r>
      <w:rPr>
        <w:i/>
      </w:rPr>
      <w:t>202</w:t>
    </w:r>
    <w:r w:rsidR="00422C8E">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Pr="00B7566B">
      <w:rPr>
        <w:i/>
      </w:rPr>
      <w:t>General Information</w:t>
    </w:r>
  </w:p>
  <w:p w14:paraId="32FC5370" w14:textId="77777777" w:rsidR="00322A3C" w:rsidRDefault="00322A3C" w:rsidP="00A828BA">
    <w:pPr>
      <w:pStyle w:val="Header"/>
      <w:tabs>
        <w:tab w:val="clear" w:pos="4320"/>
        <w:tab w:val="clear" w:pos="8640"/>
        <w:tab w:val="left" w:pos="1470"/>
      </w:tabs>
    </w:pPr>
  </w:p>
  <w:p w14:paraId="1519CD80" w14:textId="77777777" w:rsidR="00322A3C" w:rsidRDefault="00322A3C"/>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D3DB" w14:textId="6A4F5C1D" w:rsidR="0065334D" w:rsidRPr="00B7566B" w:rsidRDefault="0065334D">
    <w:pPr>
      <w:rPr>
        <w:i/>
      </w:rPr>
    </w:pPr>
    <w:r w:rsidRPr="00B7566B">
      <w:rPr>
        <w:i/>
      </w:rPr>
      <w:t>20</w:t>
    </w:r>
    <w:r w:rsidR="006E3AB9">
      <w:rPr>
        <w:i/>
      </w:rPr>
      <w:t>2</w:t>
    </w:r>
    <w:r w:rsidR="004920BB">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sidRPr="000A0D8C">
      <w:rPr>
        <w:i/>
      </w:rPr>
      <w:t xml:space="preserve"> </w:t>
    </w:r>
    <w:r w:rsidR="000A0D8C">
      <w:rPr>
        <w:i/>
      </w:rPr>
      <w:t>Section 2: Medication Safety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FEB9" w14:textId="003313E5" w:rsidR="00322A3C" w:rsidRPr="00B7566B" w:rsidRDefault="00322A3C">
    <w:pPr>
      <w:rPr>
        <w:i/>
      </w:rPr>
    </w:pPr>
    <w:r>
      <w:rPr>
        <w:i/>
      </w:rPr>
      <w:t>202</w:t>
    </w:r>
    <w:r w:rsidR="004920BB">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Pr>
        <w:i/>
      </w:rPr>
      <w:t>Section 2: Medication Safety</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70DA" w14:textId="4E8CAEE7" w:rsidR="00322A3C" w:rsidRPr="00B7566B" w:rsidRDefault="00322A3C" w:rsidP="00F61ED5">
    <w:pPr>
      <w:rPr>
        <w:i/>
      </w:rPr>
    </w:pPr>
    <w:r w:rsidRPr="00B7566B">
      <w:rPr>
        <w:i/>
      </w:rPr>
      <w:t>2</w:t>
    </w:r>
    <w:r>
      <w:rPr>
        <w:i/>
      </w:rPr>
      <w:t>02</w:t>
    </w:r>
    <w:r w:rsidR="00CB2607">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Sec</w:t>
    </w:r>
    <w:r w:rsidR="0003005A">
      <w:rPr>
        <w:i/>
      </w:rPr>
      <w:t>tion</w:t>
    </w:r>
    <w:r>
      <w:rPr>
        <w:i/>
      </w:rPr>
      <w:t xml:space="preserve"> 3</w:t>
    </w:r>
    <w:r w:rsidR="0003005A">
      <w:rPr>
        <w:i/>
      </w:rPr>
      <w:t xml:space="preserve">: </w:t>
    </w:r>
    <w:r>
      <w:rPr>
        <w:i/>
      </w:rPr>
      <w:t xml:space="preserve">Adult and Pediatric </w:t>
    </w:r>
    <w:r w:rsidR="003D737B">
      <w:rPr>
        <w:i/>
      </w:rPr>
      <w:t>Complex</w:t>
    </w:r>
    <w:r>
      <w:rPr>
        <w:i/>
      </w:rPr>
      <w:t xml:space="preserve"> Surgery</w:t>
    </w:r>
  </w:p>
  <w:p w14:paraId="207C1B90" w14:textId="77777777" w:rsidR="00322A3C" w:rsidRPr="00B7566B" w:rsidRDefault="00322A3C">
    <w:pPr>
      <w:rPr>
        <w:i/>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331D" w14:textId="061EB6E7" w:rsidR="00322A3C" w:rsidRPr="00B7566B" w:rsidRDefault="00322A3C" w:rsidP="006B2896">
    <w:pPr>
      <w:rPr>
        <w:i/>
      </w:rPr>
    </w:pPr>
    <w:r w:rsidRPr="00B7566B">
      <w:rPr>
        <w:i/>
      </w:rPr>
      <w:t>2</w:t>
    </w:r>
    <w:r>
      <w:rPr>
        <w:i/>
      </w:rPr>
      <w:t>02</w:t>
    </w:r>
    <w:r w:rsidR="00453130">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Sect</w:t>
    </w:r>
    <w:r w:rsidR="0003005A">
      <w:rPr>
        <w:i/>
      </w:rPr>
      <w:t>ion</w:t>
    </w:r>
    <w:r>
      <w:rPr>
        <w:i/>
      </w:rPr>
      <w:t xml:space="preserve"> 3</w:t>
    </w:r>
    <w:r w:rsidR="0003005A">
      <w:rPr>
        <w:i/>
      </w:rPr>
      <w:t>:</w:t>
    </w:r>
    <w:r>
      <w:rPr>
        <w:i/>
      </w:rPr>
      <w:t xml:space="preserve"> Adult and Pediatric </w:t>
    </w:r>
    <w:r w:rsidR="003D737B">
      <w:rPr>
        <w:i/>
      </w:rPr>
      <w:t>Complex</w:t>
    </w:r>
    <w:r>
      <w:rPr>
        <w:i/>
      </w:rPr>
      <w:t xml:space="preserve"> Surgery</w:t>
    </w:r>
  </w:p>
  <w:p w14:paraId="4319C7D6" w14:textId="77777777" w:rsidR="00322A3C" w:rsidRPr="00B7566B" w:rsidRDefault="00322A3C" w:rsidP="006B2896">
    <w:pPr>
      <w:tabs>
        <w:tab w:val="left" w:pos="8624"/>
      </w:tabs>
      <w:rPr>
        <w:i/>
      </w:rPr>
    </w:pPr>
    <w:r>
      <w:rPr>
        <w:i/>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CE25" w14:textId="3DC75E18" w:rsidR="00322A3C" w:rsidRPr="00B7566B" w:rsidRDefault="00322A3C" w:rsidP="006B2896">
    <w:pPr>
      <w:rPr>
        <w:i/>
      </w:rPr>
    </w:pPr>
    <w:r w:rsidRPr="00B7566B">
      <w:rPr>
        <w:i/>
      </w:rPr>
      <w:t>2</w:t>
    </w:r>
    <w:r>
      <w:rPr>
        <w:i/>
      </w:rPr>
      <w:t>02</w:t>
    </w:r>
    <w:r w:rsidR="00707133">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sidRPr="000A0D8C">
      <w:rPr>
        <w:i/>
      </w:rPr>
      <w:t xml:space="preserve"> </w:t>
    </w:r>
    <w:r w:rsidR="000A0D8C">
      <w:rPr>
        <w:i/>
      </w:rPr>
      <w:t>Section 3: Adult and Pediatric Complex Surgery</w:t>
    </w:r>
  </w:p>
  <w:p w14:paraId="0529519D" w14:textId="77777777" w:rsidR="00322A3C" w:rsidRPr="00B7566B" w:rsidRDefault="00322A3C" w:rsidP="006B2896">
    <w:pPr>
      <w:tabs>
        <w:tab w:val="left" w:pos="8624"/>
      </w:tabs>
      <w:rPr>
        <w:i/>
      </w:rPr>
    </w:pPr>
    <w:r>
      <w:rPr>
        <w:i/>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83D2" w14:textId="14A7B1E5" w:rsidR="00322A3C" w:rsidRPr="00B7566B" w:rsidRDefault="00322A3C">
    <w:pPr>
      <w:rPr>
        <w:i/>
      </w:rPr>
    </w:pPr>
    <w:r w:rsidRPr="00B7566B">
      <w:rPr>
        <w:i/>
      </w:rPr>
      <w:t>20</w:t>
    </w:r>
    <w:r>
      <w:rPr>
        <w:i/>
      </w:rPr>
      <w:t>2</w:t>
    </w:r>
    <w:r w:rsidR="006C7A80">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Se</w:t>
    </w:r>
    <w:r w:rsidR="0003005A">
      <w:rPr>
        <w:i/>
      </w:rPr>
      <w:t xml:space="preserve">ction 4: </w:t>
    </w:r>
    <w:r>
      <w:rPr>
        <w:i/>
      </w:rPr>
      <w:t>Maternity Care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6070" w14:textId="705D0E54" w:rsidR="00322A3C" w:rsidRPr="00B7566B" w:rsidRDefault="00322A3C">
    <w:pPr>
      <w:rPr>
        <w:i/>
      </w:rPr>
    </w:pPr>
    <w:r w:rsidRPr="00B7566B">
      <w:rPr>
        <w:i/>
      </w:rPr>
      <w:t>20</w:t>
    </w:r>
    <w:r>
      <w:rPr>
        <w:i/>
      </w:rPr>
      <w:t>2</w:t>
    </w:r>
    <w:r w:rsidR="00B43F10">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sidRPr="000A0D8C">
      <w:rPr>
        <w:i/>
      </w:rPr>
      <w:t xml:space="preserve"> </w:t>
    </w:r>
    <w:r w:rsidR="000A0D8C">
      <w:rPr>
        <w:i/>
      </w:rPr>
      <w:t>Section 4: Maternity Care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004F" w14:textId="7361A265" w:rsidR="00322A3C" w:rsidRPr="00B7566B" w:rsidRDefault="00322A3C">
    <w:pPr>
      <w:rPr>
        <w:i/>
      </w:rPr>
    </w:pPr>
    <w:r w:rsidRPr="00B7566B">
      <w:rPr>
        <w:i/>
      </w:rPr>
      <w:t>2</w:t>
    </w:r>
    <w:r>
      <w:rPr>
        <w:i/>
      </w:rPr>
      <w:t>02</w:t>
    </w:r>
    <w:r w:rsidR="004637D7">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Sec</w:t>
    </w:r>
    <w:r w:rsidR="00474DDE">
      <w:rPr>
        <w:i/>
      </w:rPr>
      <w:t>tion</w:t>
    </w:r>
    <w:r>
      <w:rPr>
        <w:i/>
      </w:rPr>
      <w:t xml:space="preserve"> 5</w:t>
    </w:r>
    <w:r w:rsidR="00474DDE">
      <w:rPr>
        <w:i/>
      </w:rPr>
      <w:t xml:space="preserve">: </w:t>
    </w:r>
    <w:r w:rsidR="00A52909">
      <w:rPr>
        <w:i/>
      </w:rPr>
      <w:t xml:space="preserve">Physician and Nurse </w:t>
    </w:r>
    <w:r w:rsidR="00D55BF8">
      <w:rPr>
        <w:i/>
      </w:rPr>
      <w:t>Staffing</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4C76" w14:textId="76C45BF6" w:rsidR="00322A3C" w:rsidRPr="00B7566B" w:rsidRDefault="00322A3C">
    <w:pPr>
      <w:rPr>
        <w:i/>
      </w:rPr>
    </w:pPr>
    <w:r w:rsidRPr="00B7566B">
      <w:rPr>
        <w:i/>
      </w:rPr>
      <w:t>20</w:t>
    </w:r>
    <w:r w:rsidR="00080756">
      <w:rPr>
        <w:i/>
      </w:rPr>
      <w:t>2</w:t>
    </w:r>
    <w:r w:rsidR="00CB6105">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sidRPr="000A0D8C">
      <w:rPr>
        <w:i/>
      </w:rPr>
      <w:t xml:space="preserve"> </w:t>
    </w:r>
    <w:r w:rsidR="000A0D8C">
      <w:rPr>
        <w:i/>
      </w:rPr>
      <w:t xml:space="preserve">Section 5:  </w:t>
    </w:r>
    <w:r w:rsidR="00824FDC">
      <w:rPr>
        <w:i/>
      </w:rPr>
      <w:t xml:space="preserve">Physician and Nurse </w:t>
    </w:r>
    <w:r w:rsidR="00540ADD">
      <w:rPr>
        <w:i/>
      </w:rPr>
      <w:t>Staffing</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0983" w14:textId="4DAAA93F" w:rsidR="00322A3C" w:rsidRPr="00B7566B" w:rsidRDefault="00322A3C">
    <w:pPr>
      <w:rPr>
        <w:i/>
      </w:rPr>
    </w:pPr>
    <w:r w:rsidRPr="00B7566B">
      <w:rPr>
        <w:i/>
      </w:rPr>
      <w:t>20</w:t>
    </w:r>
    <w:r>
      <w:rPr>
        <w:i/>
      </w:rPr>
      <w:t>2</w:t>
    </w:r>
    <w:r w:rsidR="0042462F">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Pr>
        <w:i/>
      </w:rPr>
      <w:t>Section 6: Patient Safety Practices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459E" w14:textId="6E3E8DA0" w:rsidR="00322A3C" w:rsidRPr="00B7566B" w:rsidRDefault="00322A3C">
    <w:pPr>
      <w:rPr>
        <w:i/>
      </w:rPr>
    </w:pPr>
    <w:r>
      <w:rPr>
        <w:i/>
      </w:rPr>
      <w:t>202</w:t>
    </w:r>
    <w:r w:rsidR="00EA4E95">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Pr="00B7566B">
      <w:rPr>
        <w:i/>
      </w:rPr>
      <w:t>General Information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7D40" w14:textId="1E3AD86A" w:rsidR="00322A3C" w:rsidRPr="00B7566B" w:rsidRDefault="00322A3C" w:rsidP="00A9433D">
    <w:pPr>
      <w:rPr>
        <w:i/>
      </w:rPr>
    </w:pPr>
    <w:r>
      <w:rPr>
        <w:i/>
      </w:rPr>
      <w:t>202</w:t>
    </w:r>
    <w:r w:rsidR="00344A04">
      <w:rPr>
        <w:i/>
      </w:rPr>
      <w:t>6</w:t>
    </w:r>
    <w:r w:rsidRPr="00B7566B">
      <w:rPr>
        <w:i/>
      </w:rPr>
      <w:t xml:space="preserve"> Leapfrog Hospital Survey – Hard Copy</w:t>
    </w:r>
    <w:r w:rsidRPr="00B7566B">
      <w:rPr>
        <w:i/>
      </w:rPr>
      <w:ptab w:relativeTo="margin" w:alignment="center" w:leader="none"/>
    </w:r>
    <w:r w:rsidRPr="00A9433D">
      <w:rPr>
        <w:i/>
      </w:rPr>
      <w:t xml:space="preserve"> </w:t>
    </w:r>
    <w:r>
      <w:rPr>
        <w:i/>
      </w:rPr>
      <w:tab/>
    </w:r>
    <w:r w:rsidR="00B078B4">
      <w:rPr>
        <w:i/>
      </w:rPr>
      <w:tab/>
      <w:t xml:space="preserve">     </w:t>
    </w:r>
    <w:r>
      <w:rPr>
        <w:i/>
      </w:rPr>
      <w:t>Sect</w:t>
    </w:r>
    <w:r w:rsidR="00B078B4">
      <w:rPr>
        <w:i/>
      </w:rPr>
      <w:t>ion</w:t>
    </w:r>
    <w:r>
      <w:rPr>
        <w:i/>
      </w:rPr>
      <w:t xml:space="preserve"> </w:t>
    </w:r>
    <w:r w:rsidR="00B078B4">
      <w:rPr>
        <w:i/>
      </w:rPr>
      <w:t>7</w:t>
    </w:r>
    <w:r w:rsidR="004D1420">
      <w:rPr>
        <w:i/>
      </w:rPr>
      <w:t>:</w:t>
    </w:r>
    <w:r>
      <w:rPr>
        <w:i/>
      </w:rPr>
      <w:t xml:space="preserve"> </w:t>
    </w:r>
    <w:r w:rsidR="00B078B4">
      <w:rPr>
        <w:i/>
      </w:rPr>
      <w:t>Managing Serious Errors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4D90" w14:textId="4F2FC41A" w:rsidR="00322A3C" w:rsidRPr="00B7566B" w:rsidRDefault="00322A3C">
    <w:pPr>
      <w:rPr>
        <w:i/>
      </w:rPr>
    </w:pPr>
    <w:r w:rsidRPr="00B7566B">
      <w:rPr>
        <w:i/>
      </w:rPr>
      <w:t>20</w:t>
    </w:r>
    <w:r>
      <w:rPr>
        <w:i/>
      </w:rPr>
      <w:t>2</w:t>
    </w:r>
    <w:r w:rsidR="00344A04">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Sec</w:t>
    </w:r>
    <w:r w:rsidR="0012772F">
      <w:rPr>
        <w:i/>
      </w:rPr>
      <w:t>tion</w:t>
    </w:r>
    <w:r>
      <w:rPr>
        <w:i/>
      </w:rPr>
      <w:t xml:space="preserve"> </w:t>
    </w:r>
    <w:r w:rsidR="0012772F">
      <w:rPr>
        <w:i/>
      </w:rPr>
      <w:t>8:</w:t>
    </w:r>
    <w:r>
      <w:rPr>
        <w:i/>
      </w:rPr>
      <w:t xml:space="preserve"> Pediatric Care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7138" w14:textId="30B804DF" w:rsidR="00322A3C" w:rsidRPr="00B7566B" w:rsidRDefault="00322A3C">
    <w:pPr>
      <w:rPr>
        <w:i/>
      </w:rPr>
    </w:pPr>
    <w:r w:rsidRPr="00B7566B">
      <w:rPr>
        <w:i/>
      </w:rPr>
      <w:t>20</w:t>
    </w:r>
    <w:r>
      <w:rPr>
        <w:i/>
      </w:rPr>
      <w:t>2</w:t>
    </w:r>
    <w:r w:rsidR="00344A04">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sidRPr="000A0D8C">
      <w:rPr>
        <w:i/>
      </w:rPr>
      <w:t xml:space="preserve"> </w:t>
    </w:r>
    <w:r w:rsidR="000A0D8C">
      <w:rPr>
        <w:i/>
      </w:rPr>
      <w:t>Section 8: Pediatric Care</w:t>
    </w:r>
    <w:r>
      <w:rPr>
        <w:i/>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11A7" w14:textId="00717B73" w:rsidR="00322A3C" w:rsidRPr="00B7566B" w:rsidRDefault="00322A3C">
    <w:pPr>
      <w:rPr>
        <w:i/>
      </w:rPr>
    </w:pPr>
    <w:r w:rsidRPr="00B7566B">
      <w:rPr>
        <w:i/>
      </w:rPr>
      <w:t>20</w:t>
    </w:r>
    <w:r>
      <w:rPr>
        <w:i/>
      </w:rPr>
      <w:t>2</w:t>
    </w:r>
    <w:r w:rsidR="00344A04">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Pr="000C54E0">
      <w:rPr>
        <w:i/>
      </w:rPr>
      <w:t xml:space="preserve"> </w:t>
    </w:r>
    <w:r w:rsidR="003B08A8" w:rsidRPr="003B08A8">
      <w:t xml:space="preserve"> </w:t>
    </w:r>
    <w:r w:rsidR="003B08A8" w:rsidRPr="003B08A8">
      <w:rPr>
        <w:i/>
      </w:rPr>
      <w:t>Outpatient Procedures</w:t>
    </w:r>
    <w:r>
      <w:rPr>
        <w:i/>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DB" w14:textId="773717B2" w:rsidR="00485F21" w:rsidRPr="00B7566B" w:rsidRDefault="00485F21">
    <w:pPr>
      <w:rPr>
        <w:i/>
      </w:rPr>
    </w:pPr>
    <w:r w:rsidRPr="00B7566B">
      <w:rPr>
        <w:i/>
      </w:rPr>
      <w:t>20</w:t>
    </w:r>
    <w:r>
      <w:rPr>
        <w:i/>
      </w:rPr>
      <w:t>26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 xml:space="preserve">Endnotes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FA0C" w14:textId="7A881366" w:rsidR="00322A3C" w:rsidRPr="00B7566B" w:rsidRDefault="00322A3C">
    <w:pPr>
      <w:rPr>
        <w:i/>
      </w:rPr>
    </w:pPr>
    <w:r>
      <w:rPr>
        <w:i/>
      </w:rPr>
      <w:t>202</w:t>
    </w:r>
    <w:r w:rsidR="009E1521">
      <w:rPr>
        <w:i/>
      </w:rPr>
      <w:t>2</w:t>
    </w:r>
    <w:r w:rsidRPr="00B7566B">
      <w:rPr>
        <w:i/>
      </w:rPr>
      <w:t xml:space="preserve"> Leapfrog Hospital Survey – Hard Copy</w:t>
    </w:r>
    <w:r w:rsidRPr="00B7566B">
      <w:rPr>
        <w:i/>
      </w:rPr>
      <w:ptab w:relativeTo="margin" w:alignment="center" w:leader="none"/>
    </w:r>
    <w:r w:rsidRPr="00B7566B">
      <w:rPr>
        <w:i/>
      </w:rP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ABB0" w14:textId="77777777" w:rsidR="00322A3C" w:rsidRPr="00D640EB" w:rsidRDefault="00322A3C" w:rsidP="00D640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FE5D" w14:textId="38232D50" w:rsidR="00322A3C" w:rsidRPr="00B7566B" w:rsidRDefault="00322A3C">
    <w:pPr>
      <w:rPr>
        <w:i/>
      </w:rPr>
    </w:pPr>
    <w:r>
      <w:rPr>
        <w:i/>
      </w:rPr>
      <w:t>202</w:t>
    </w:r>
    <w:r w:rsidR="008D61ED">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Hospital Profile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7198D" w14:textId="4AB45334" w:rsidR="00322A3C" w:rsidRPr="00B7566B" w:rsidRDefault="00322A3C">
    <w:pPr>
      <w:rPr>
        <w:i/>
      </w:rPr>
    </w:pPr>
    <w:r>
      <w:rPr>
        <w:i/>
      </w:rPr>
      <w:t>202</w:t>
    </w:r>
    <w:r w:rsidR="008D61ED">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Pr>
        <w:i/>
      </w:rPr>
      <w:t>Hospital Profile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C41F" w14:textId="2FAED47F" w:rsidR="00322A3C" w:rsidRPr="00B7566B" w:rsidRDefault="00322A3C">
    <w:pPr>
      <w:rPr>
        <w:i/>
      </w:rPr>
    </w:pPr>
    <w:r>
      <w:rPr>
        <w:i/>
      </w:rPr>
      <w:t>202</w:t>
    </w:r>
    <w:r w:rsidR="00422C8E">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Sect</w:t>
    </w:r>
    <w:r w:rsidR="00A92A35">
      <w:rPr>
        <w:i/>
      </w:rPr>
      <w:t>ion</w:t>
    </w:r>
    <w:r>
      <w:rPr>
        <w:i/>
      </w:rPr>
      <w:t xml:space="preserve"> 1</w:t>
    </w:r>
    <w:r w:rsidR="00A92A35">
      <w:rPr>
        <w:i/>
      </w:rPr>
      <w:t>:</w:t>
    </w:r>
    <w:r>
      <w:rPr>
        <w:i/>
      </w:rPr>
      <w:t xml:space="preserve"> </w:t>
    </w:r>
    <w:r w:rsidR="00AB508D" w:rsidRPr="00BD11D8">
      <w:rPr>
        <w:rFonts w:cs="Arial"/>
        <w:i/>
        <w:iCs/>
        <w:snapToGrid w:val="0"/>
      </w:rPr>
      <w:t>Patient Rights and Ethics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6312F" w14:textId="123D60CC" w:rsidR="00322A3C" w:rsidRPr="00B7566B" w:rsidRDefault="00322A3C">
    <w:pPr>
      <w:rPr>
        <w:i/>
      </w:rPr>
    </w:pPr>
    <w:r>
      <w:rPr>
        <w:i/>
      </w:rPr>
      <w:t>202</w:t>
    </w:r>
    <w:r w:rsidR="0058076D">
      <w:rPr>
        <w:i/>
      </w:rPr>
      <w:t>5</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sidR="000A0D8C">
      <w:rPr>
        <w:i/>
      </w:rPr>
      <w:t>Section 1: Patient Rights and Ethics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5F62" w14:textId="41BAEA2F" w:rsidR="00322A3C" w:rsidRPr="00B7566B" w:rsidRDefault="00322A3C">
    <w:pPr>
      <w:rPr>
        <w:i/>
      </w:rPr>
    </w:pPr>
    <w:r w:rsidRPr="00B7566B">
      <w:rPr>
        <w:i/>
      </w:rPr>
      <w:t>2</w:t>
    </w:r>
    <w:r>
      <w:rPr>
        <w:i/>
      </w:rPr>
      <w:t>02</w:t>
    </w:r>
    <w:r w:rsidR="00997F27">
      <w:rPr>
        <w:i/>
      </w:rPr>
      <w:t>6</w:t>
    </w:r>
    <w:r w:rsidRPr="00B7566B">
      <w:rPr>
        <w:i/>
      </w:rPr>
      <w:t xml:space="preserve"> Leapfrog Hospital Survey – Hard Copy</w:t>
    </w:r>
    <w:r w:rsidRPr="00B7566B">
      <w:rPr>
        <w:i/>
      </w:rPr>
      <w:ptab w:relativeTo="margin" w:alignment="center" w:leader="none"/>
    </w:r>
    <w:r w:rsidRPr="00B7566B">
      <w:rPr>
        <w:i/>
      </w:rPr>
      <w:ptab w:relativeTo="margin" w:alignment="right" w:leader="none"/>
    </w:r>
    <w:r>
      <w:rPr>
        <w:i/>
      </w:rPr>
      <w:t>Sec</w:t>
    </w:r>
    <w:r w:rsidR="0003005A">
      <w:rPr>
        <w:i/>
      </w:rPr>
      <w:t>tion</w:t>
    </w:r>
    <w:r>
      <w:rPr>
        <w:i/>
      </w:rPr>
      <w:t xml:space="preserve"> 2</w:t>
    </w:r>
    <w:r w:rsidR="0003005A">
      <w:rPr>
        <w:i/>
      </w:rPr>
      <w:t xml:space="preserve">: </w:t>
    </w:r>
    <w:r>
      <w:rPr>
        <w:i/>
      </w:rPr>
      <w:t>Medication Safet</w:t>
    </w:r>
    <w:r w:rsidR="0003005A">
      <w:rPr>
        <w:i/>
      </w:rPr>
      <w: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50A1C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9AC5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2588B3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18826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9F82D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45048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360E0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C471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82AB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926C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41D8F"/>
    <w:multiLevelType w:val="hybridMultilevel"/>
    <w:tmpl w:val="7BB8B65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07B255D"/>
    <w:multiLevelType w:val="hybridMultilevel"/>
    <w:tmpl w:val="80909636"/>
    <w:lvl w:ilvl="0" w:tplc="07DCC838">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09E559D"/>
    <w:multiLevelType w:val="hybridMultilevel"/>
    <w:tmpl w:val="4370A2EA"/>
    <w:lvl w:ilvl="0" w:tplc="5DF020F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0A27CF9"/>
    <w:multiLevelType w:val="hybridMultilevel"/>
    <w:tmpl w:val="842C13E0"/>
    <w:lvl w:ilvl="0" w:tplc="14EE4D1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0B67EF4"/>
    <w:multiLevelType w:val="hybridMultilevel"/>
    <w:tmpl w:val="5E9A8CF0"/>
    <w:lvl w:ilvl="0" w:tplc="67800A46">
      <w:start w:val="1"/>
      <w:numFmt w:val="bullet"/>
      <w:lvlText w:val=""/>
      <w:lvlJc w:val="left"/>
      <w:pPr>
        <w:ind w:left="360" w:hanging="360"/>
      </w:pPr>
      <w:rPr>
        <w:rFonts w:ascii="Wingdings" w:hAnsi="Wingdings" w:hint="default"/>
        <w:b/>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1293703"/>
    <w:multiLevelType w:val="hybridMultilevel"/>
    <w:tmpl w:val="3E14F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1346985"/>
    <w:multiLevelType w:val="hybridMultilevel"/>
    <w:tmpl w:val="F748190C"/>
    <w:lvl w:ilvl="0" w:tplc="42D446BA">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1C179B0"/>
    <w:multiLevelType w:val="hybridMultilevel"/>
    <w:tmpl w:val="324AC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1C331E5"/>
    <w:multiLevelType w:val="multilevel"/>
    <w:tmpl w:val="9C423180"/>
    <w:lvl w:ilvl="0">
      <w:start w:val="1"/>
      <w:numFmt w:val="decimal"/>
      <w:lvlText w:val="%1)"/>
      <w:lvlJc w:val="left"/>
      <w:pPr>
        <w:ind w:left="360" w:hanging="360"/>
      </w:pPr>
      <w:rPr>
        <w:rFonts w:cs="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0213497B"/>
    <w:multiLevelType w:val="hybridMultilevel"/>
    <w:tmpl w:val="5DF02BE2"/>
    <w:lvl w:ilvl="0" w:tplc="A0E0372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22151DE"/>
    <w:multiLevelType w:val="hybridMultilevel"/>
    <w:tmpl w:val="170C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22168BE"/>
    <w:multiLevelType w:val="hybridMultilevel"/>
    <w:tmpl w:val="202A3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23C547A"/>
    <w:multiLevelType w:val="hybridMultilevel"/>
    <w:tmpl w:val="7610D328"/>
    <w:lvl w:ilvl="0" w:tplc="4874E63C">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2953017"/>
    <w:multiLevelType w:val="hybridMultilevel"/>
    <w:tmpl w:val="5EEE6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2EE19E1"/>
    <w:multiLevelType w:val="singleLevel"/>
    <w:tmpl w:val="DE806530"/>
    <w:lvl w:ilvl="0">
      <w:start w:val="1"/>
      <w:numFmt w:val="decimal"/>
      <w:lvlText w:val="%1."/>
      <w:lvlJc w:val="left"/>
      <w:pPr>
        <w:tabs>
          <w:tab w:val="num" w:pos="720"/>
        </w:tabs>
        <w:ind w:left="720" w:hanging="360"/>
      </w:pPr>
      <w:rPr>
        <w:b/>
      </w:rPr>
    </w:lvl>
  </w:abstractNum>
  <w:abstractNum w:abstractNumId="25" w15:restartNumberingAfterBreak="0">
    <w:nsid w:val="02F81C9A"/>
    <w:multiLevelType w:val="hybridMultilevel"/>
    <w:tmpl w:val="E52C77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3B43B03"/>
    <w:multiLevelType w:val="multilevel"/>
    <w:tmpl w:val="7096CDD6"/>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03E92CBA"/>
    <w:multiLevelType w:val="hybridMultilevel"/>
    <w:tmpl w:val="593A9A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F9218B"/>
    <w:multiLevelType w:val="hybridMultilevel"/>
    <w:tmpl w:val="28C43C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4AA1648"/>
    <w:multiLevelType w:val="hybridMultilevel"/>
    <w:tmpl w:val="472E1B3A"/>
    <w:lvl w:ilvl="0" w:tplc="E43ED6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4B96181"/>
    <w:multiLevelType w:val="hybridMultilevel"/>
    <w:tmpl w:val="A2982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4DC1EB6"/>
    <w:multiLevelType w:val="hybridMultilevel"/>
    <w:tmpl w:val="C5889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4FA1112"/>
    <w:multiLevelType w:val="hybridMultilevel"/>
    <w:tmpl w:val="377AB8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055F37A4"/>
    <w:multiLevelType w:val="hybridMultilevel"/>
    <w:tmpl w:val="849E26F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05815FBC"/>
    <w:multiLevelType w:val="hybridMultilevel"/>
    <w:tmpl w:val="F86A9B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058621DB"/>
    <w:multiLevelType w:val="hybridMultilevel"/>
    <w:tmpl w:val="FF0AB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5DC6770"/>
    <w:multiLevelType w:val="hybridMultilevel"/>
    <w:tmpl w:val="03CAC0C6"/>
    <w:lvl w:ilvl="0" w:tplc="04090001">
      <w:start w:val="1"/>
      <w:numFmt w:val="bullet"/>
      <w:lvlText w:val=""/>
      <w:lvlJc w:val="left"/>
      <w:pPr>
        <w:ind w:left="576" w:hanging="216"/>
      </w:pPr>
      <w:rPr>
        <w:rFonts w:ascii="Symbol" w:hAnsi="Symbol" w:hint="default"/>
        <w:b w:val="0"/>
        <w:i w:val="0"/>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7" w15:restartNumberingAfterBreak="0">
    <w:nsid w:val="06285964"/>
    <w:multiLevelType w:val="hybridMultilevel"/>
    <w:tmpl w:val="3A123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65E65D2"/>
    <w:multiLevelType w:val="hybridMultilevel"/>
    <w:tmpl w:val="FEFA4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06812310"/>
    <w:multiLevelType w:val="hybridMultilevel"/>
    <w:tmpl w:val="CFF0A5C8"/>
    <w:lvl w:ilvl="0" w:tplc="18D4FCF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6A76409"/>
    <w:multiLevelType w:val="hybridMultilevel"/>
    <w:tmpl w:val="0A84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6E366D7"/>
    <w:multiLevelType w:val="hybridMultilevel"/>
    <w:tmpl w:val="9384CC48"/>
    <w:lvl w:ilvl="0" w:tplc="8B94154E">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FFA25D2">
      <w:start w:val="1"/>
      <w:numFmt w:val="decimal"/>
      <w:lvlText w:val="%5)"/>
      <w:lvlJc w:val="left"/>
      <w:pPr>
        <w:ind w:left="720" w:hanging="360"/>
      </w:pPr>
      <w:rPr>
        <w:rFonts w:cs="Times New Roman"/>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06E65B66"/>
    <w:multiLevelType w:val="hybridMultilevel"/>
    <w:tmpl w:val="56A46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72E21EE"/>
    <w:multiLevelType w:val="hybridMultilevel"/>
    <w:tmpl w:val="142897BC"/>
    <w:lvl w:ilvl="0" w:tplc="945054C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078B7F83"/>
    <w:multiLevelType w:val="hybridMultilevel"/>
    <w:tmpl w:val="4D2C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7F55FF4"/>
    <w:multiLevelType w:val="hybridMultilevel"/>
    <w:tmpl w:val="49A476E6"/>
    <w:lvl w:ilvl="0" w:tplc="E7009E74">
      <w:start w:val="1"/>
      <w:numFmt w:val="bullet"/>
      <w:lvlText w:val=""/>
      <w:lvlJc w:val="left"/>
      <w:pPr>
        <w:ind w:left="360" w:hanging="360"/>
      </w:pPr>
      <w:rPr>
        <w:rFonts w:ascii="Wingdings" w:hAnsi="Wingdings" w:hint="default"/>
        <w:b/>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07FF6C2F"/>
    <w:multiLevelType w:val="multilevel"/>
    <w:tmpl w:val="0409001F"/>
    <w:styleLink w:val="111111"/>
    <w:lvl w:ilvl="0">
      <w:start w:val="19"/>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089C6701"/>
    <w:multiLevelType w:val="hybridMultilevel"/>
    <w:tmpl w:val="DCB6D6AA"/>
    <w:lvl w:ilvl="0" w:tplc="6B121730">
      <w:start w:val="1"/>
      <w:numFmt w:val="decimal"/>
      <w:lvlText w:val="%1."/>
      <w:lvlJc w:val="left"/>
      <w:pPr>
        <w:ind w:left="720" w:hanging="36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8F960A8"/>
    <w:multiLevelType w:val="hybridMultilevel"/>
    <w:tmpl w:val="A74A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092045FF"/>
    <w:multiLevelType w:val="hybridMultilevel"/>
    <w:tmpl w:val="2B16730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0922180A"/>
    <w:multiLevelType w:val="hybridMultilevel"/>
    <w:tmpl w:val="C16A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09385615"/>
    <w:multiLevelType w:val="hybridMultilevel"/>
    <w:tmpl w:val="4EEC3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09547DEA"/>
    <w:multiLevelType w:val="hybridMultilevel"/>
    <w:tmpl w:val="C0CE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099C671F"/>
    <w:multiLevelType w:val="singleLevel"/>
    <w:tmpl w:val="4DAE7CBE"/>
    <w:lvl w:ilvl="0">
      <w:start w:val="1"/>
      <w:numFmt w:val="decimal"/>
      <w:lvlText w:val="%1."/>
      <w:lvlJc w:val="left"/>
      <w:pPr>
        <w:tabs>
          <w:tab w:val="num" w:pos="720"/>
        </w:tabs>
        <w:ind w:left="720" w:hanging="360"/>
      </w:pPr>
      <w:rPr>
        <w:b/>
      </w:rPr>
    </w:lvl>
  </w:abstractNum>
  <w:abstractNum w:abstractNumId="54" w15:restartNumberingAfterBreak="0">
    <w:nsid w:val="099E2ACE"/>
    <w:multiLevelType w:val="hybridMultilevel"/>
    <w:tmpl w:val="BF56D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09C75033"/>
    <w:multiLevelType w:val="singleLevel"/>
    <w:tmpl w:val="BE4CDE38"/>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9CE53D9"/>
    <w:multiLevelType w:val="hybridMultilevel"/>
    <w:tmpl w:val="A7669B14"/>
    <w:lvl w:ilvl="0" w:tplc="F5EACEC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09D85B19"/>
    <w:multiLevelType w:val="hybridMultilevel"/>
    <w:tmpl w:val="5EA416B6"/>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0A1B5B80"/>
    <w:multiLevelType w:val="hybridMultilevel"/>
    <w:tmpl w:val="F1A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0A9C2C1C"/>
    <w:multiLevelType w:val="hybridMultilevel"/>
    <w:tmpl w:val="EAE8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0AFF7E67"/>
    <w:multiLevelType w:val="hybridMultilevel"/>
    <w:tmpl w:val="182EE7E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0B0B61E7"/>
    <w:multiLevelType w:val="singleLevel"/>
    <w:tmpl w:val="E7A2C568"/>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0B9D2E7B"/>
    <w:multiLevelType w:val="hybridMultilevel"/>
    <w:tmpl w:val="C576C0C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0C2A6A31"/>
    <w:multiLevelType w:val="hybridMultilevel"/>
    <w:tmpl w:val="3196AA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0D024647"/>
    <w:multiLevelType w:val="hybridMultilevel"/>
    <w:tmpl w:val="9E742F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0D0E1672"/>
    <w:multiLevelType w:val="hybridMultilevel"/>
    <w:tmpl w:val="9156FC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0D4F54F1"/>
    <w:multiLevelType w:val="hybridMultilevel"/>
    <w:tmpl w:val="D728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0DAB1172"/>
    <w:multiLevelType w:val="hybridMultilevel"/>
    <w:tmpl w:val="CCA8C0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0DD8518D"/>
    <w:multiLevelType w:val="hybridMultilevel"/>
    <w:tmpl w:val="C54ECBC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0DEA08C6"/>
    <w:multiLevelType w:val="hybridMultilevel"/>
    <w:tmpl w:val="9DFEA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0EBA208F"/>
    <w:multiLevelType w:val="hybridMultilevel"/>
    <w:tmpl w:val="8FB0CF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0EBE3F50"/>
    <w:multiLevelType w:val="hybridMultilevel"/>
    <w:tmpl w:val="2DDCC08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0EC958E0"/>
    <w:multiLevelType w:val="hybridMultilevel"/>
    <w:tmpl w:val="8A069848"/>
    <w:lvl w:ilvl="0" w:tplc="25A80572">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0F985F60"/>
    <w:multiLevelType w:val="hybridMultilevel"/>
    <w:tmpl w:val="5E4AC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0FC361B4"/>
    <w:multiLevelType w:val="hybridMultilevel"/>
    <w:tmpl w:val="DD0EE15C"/>
    <w:lvl w:ilvl="0" w:tplc="6E1A5FEE">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0FE043AE"/>
    <w:multiLevelType w:val="hybridMultilevel"/>
    <w:tmpl w:val="FA065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0FF71C6E"/>
    <w:multiLevelType w:val="multilevel"/>
    <w:tmpl w:val="9AF8AE8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7" w15:restartNumberingAfterBreak="0">
    <w:nsid w:val="10221208"/>
    <w:multiLevelType w:val="hybridMultilevel"/>
    <w:tmpl w:val="DE32C16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1053720E"/>
    <w:multiLevelType w:val="hybridMultilevel"/>
    <w:tmpl w:val="C5700E6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105B1840"/>
    <w:multiLevelType w:val="hybridMultilevel"/>
    <w:tmpl w:val="F3C43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0EE21A3"/>
    <w:multiLevelType w:val="hybridMultilevel"/>
    <w:tmpl w:val="9B6CF0AC"/>
    <w:lvl w:ilvl="0" w:tplc="FFFFFFFF">
      <w:start w:val="1"/>
      <w:numFmt w:val="decimal"/>
      <w:lvlText w:val="%1."/>
      <w:lvlJc w:val="left"/>
      <w:pPr>
        <w:ind w:left="720" w:hanging="360"/>
      </w:pPr>
      <w:rPr>
        <w:b/>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10F941FA"/>
    <w:multiLevelType w:val="hybridMultilevel"/>
    <w:tmpl w:val="DE96B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1116308E"/>
    <w:multiLevelType w:val="hybridMultilevel"/>
    <w:tmpl w:val="0AE2CC3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113D7AC1"/>
    <w:multiLevelType w:val="hybridMultilevel"/>
    <w:tmpl w:val="0FD478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11437A5D"/>
    <w:multiLevelType w:val="hybridMultilevel"/>
    <w:tmpl w:val="41EC5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11AD463C"/>
    <w:multiLevelType w:val="hybridMultilevel"/>
    <w:tmpl w:val="761EF6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12B2738C"/>
    <w:multiLevelType w:val="hybridMultilevel"/>
    <w:tmpl w:val="2E9EB76A"/>
    <w:lvl w:ilvl="0" w:tplc="14EE4D1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12E935B9"/>
    <w:multiLevelType w:val="hybridMultilevel"/>
    <w:tmpl w:val="4EFC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13FA22F1"/>
    <w:multiLevelType w:val="hybridMultilevel"/>
    <w:tmpl w:val="764480F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15133D84"/>
    <w:multiLevelType w:val="hybridMultilevel"/>
    <w:tmpl w:val="44D2885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154E0F96"/>
    <w:multiLevelType w:val="hybridMultilevel"/>
    <w:tmpl w:val="4830CD4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15593BA5"/>
    <w:multiLevelType w:val="multilevel"/>
    <w:tmpl w:val="7096CDD6"/>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15AE5E9F"/>
    <w:multiLevelType w:val="hybridMultilevel"/>
    <w:tmpl w:val="934E7D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15F4663F"/>
    <w:multiLevelType w:val="hybridMultilevel"/>
    <w:tmpl w:val="2DEC3294"/>
    <w:lvl w:ilvl="0" w:tplc="67800A46">
      <w:start w:val="1"/>
      <w:numFmt w:val="bullet"/>
      <w:lvlText w:val=""/>
      <w:lvlJc w:val="left"/>
      <w:pPr>
        <w:ind w:left="360" w:hanging="360"/>
      </w:pPr>
      <w:rPr>
        <w:rFonts w:ascii="Wingdings" w:hAnsi="Wingdings"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1604405D"/>
    <w:multiLevelType w:val="hybridMultilevel"/>
    <w:tmpl w:val="EAC4F698"/>
    <w:lvl w:ilvl="0" w:tplc="CEA408C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160B5FF0"/>
    <w:multiLevelType w:val="multilevel"/>
    <w:tmpl w:val="D9E6D43A"/>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164E6DDE"/>
    <w:multiLevelType w:val="hybridMultilevel"/>
    <w:tmpl w:val="3CE480E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165E4CAD"/>
    <w:multiLevelType w:val="hybridMultilevel"/>
    <w:tmpl w:val="95CA05C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1692272F"/>
    <w:multiLevelType w:val="hybridMultilevel"/>
    <w:tmpl w:val="F96095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174602B3"/>
    <w:multiLevelType w:val="singleLevel"/>
    <w:tmpl w:val="ED709566"/>
    <w:lvl w:ilvl="0">
      <w:start w:val="1"/>
      <w:numFmt w:val="decimal"/>
      <w:lvlText w:val="%1)"/>
      <w:lvlJc w:val="left"/>
      <w:pPr>
        <w:ind w:left="360" w:hanging="360"/>
      </w:pPr>
      <w:rPr>
        <w:rFonts w:cs="Times New Roman" w:hint="default"/>
        <w:i w:val="0"/>
        <w:color w:val="auto"/>
      </w:rPr>
    </w:lvl>
  </w:abstractNum>
  <w:abstractNum w:abstractNumId="100" w15:restartNumberingAfterBreak="0">
    <w:nsid w:val="179559E2"/>
    <w:multiLevelType w:val="hybridMultilevel"/>
    <w:tmpl w:val="40B0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181627FA"/>
    <w:multiLevelType w:val="hybridMultilevel"/>
    <w:tmpl w:val="BC28BB8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1821537C"/>
    <w:multiLevelType w:val="hybridMultilevel"/>
    <w:tmpl w:val="51407706"/>
    <w:lvl w:ilvl="0" w:tplc="9FE487D0">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187D24E4"/>
    <w:multiLevelType w:val="hybridMultilevel"/>
    <w:tmpl w:val="E810323E"/>
    <w:lvl w:ilvl="0" w:tplc="645CBB98">
      <w:start w:val="3"/>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18AA6657"/>
    <w:multiLevelType w:val="hybridMultilevel"/>
    <w:tmpl w:val="C9741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18C276D5"/>
    <w:multiLevelType w:val="multilevel"/>
    <w:tmpl w:val="0A022C6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6" w15:restartNumberingAfterBreak="0">
    <w:nsid w:val="18E23C49"/>
    <w:multiLevelType w:val="hybridMultilevel"/>
    <w:tmpl w:val="F0F8E06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1900402B"/>
    <w:multiLevelType w:val="hybridMultilevel"/>
    <w:tmpl w:val="D82455C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199A6DF8"/>
    <w:multiLevelType w:val="hybridMultilevel"/>
    <w:tmpl w:val="F986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1A027D1F"/>
    <w:multiLevelType w:val="hybridMultilevel"/>
    <w:tmpl w:val="214A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1A0E4C48"/>
    <w:multiLevelType w:val="hybridMultilevel"/>
    <w:tmpl w:val="465E0632"/>
    <w:lvl w:ilvl="0" w:tplc="E7CC06AC">
      <w:start w:val="1"/>
      <w:numFmt w:val="bullet"/>
      <w:lvlText w:val=""/>
      <w:lvlJc w:val="left"/>
      <w:pPr>
        <w:ind w:left="720" w:hanging="360"/>
      </w:pPr>
      <w:rPr>
        <w:rFonts w:ascii="Symbol" w:hAnsi="Symbol"/>
      </w:rPr>
    </w:lvl>
    <w:lvl w:ilvl="1" w:tplc="45DEDAD6">
      <w:start w:val="1"/>
      <w:numFmt w:val="bullet"/>
      <w:lvlText w:val=""/>
      <w:lvlJc w:val="left"/>
      <w:pPr>
        <w:ind w:left="720" w:hanging="360"/>
      </w:pPr>
      <w:rPr>
        <w:rFonts w:ascii="Symbol" w:hAnsi="Symbol"/>
      </w:rPr>
    </w:lvl>
    <w:lvl w:ilvl="2" w:tplc="F90A811A">
      <w:start w:val="1"/>
      <w:numFmt w:val="bullet"/>
      <w:lvlText w:val=""/>
      <w:lvlJc w:val="left"/>
      <w:pPr>
        <w:ind w:left="720" w:hanging="360"/>
      </w:pPr>
      <w:rPr>
        <w:rFonts w:ascii="Symbol" w:hAnsi="Symbol"/>
      </w:rPr>
    </w:lvl>
    <w:lvl w:ilvl="3" w:tplc="6AE20296">
      <w:start w:val="1"/>
      <w:numFmt w:val="bullet"/>
      <w:lvlText w:val=""/>
      <w:lvlJc w:val="left"/>
      <w:pPr>
        <w:ind w:left="720" w:hanging="360"/>
      </w:pPr>
      <w:rPr>
        <w:rFonts w:ascii="Symbol" w:hAnsi="Symbol"/>
      </w:rPr>
    </w:lvl>
    <w:lvl w:ilvl="4" w:tplc="B6046516">
      <w:start w:val="1"/>
      <w:numFmt w:val="bullet"/>
      <w:lvlText w:val=""/>
      <w:lvlJc w:val="left"/>
      <w:pPr>
        <w:ind w:left="720" w:hanging="360"/>
      </w:pPr>
      <w:rPr>
        <w:rFonts w:ascii="Symbol" w:hAnsi="Symbol"/>
      </w:rPr>
    </w:lvl>
    <w:lvl w:ilvl="5" w:tplc="661E088A">
      <w:start w:val="1"/>
      <w:numFmt w:val="bullet"/>
      <w:lvlText w:val=""/>
      <w:lvlJc w:val="left"/>
      <w:pPr>
        <w:ind w:left="720" w:hanging="360"/>
      </w:pPr>
      <w:rPr>
        <w:rFonts w:ascii="Symbol" w:hAnsi="Symbol"/>
      </w:rPr>
    </w:lvl>
    <w:lvl w:ilvl="6" w:tplc="01CA0480">
      <w:start w:val="1"/>
      <w:numFmt w:val="bullet"/>
      <w:lvlText w:val=""/>
      <w:lvlJc w:val="left"/>
      <w:pPr>
        <w:ind w:left="720" w:hanging="360"/>
      </w:pPr>
      <w:rPr>
        <w:rFonts w:ascii="Symbol" w:hAnsi="Symbol"/>
      </w:rPr>
    </w:lvl>
    <w:lvl w:ilvl="7" w:tplc="15F4B28A">
      <w:start w:val="1"/>
      <w:numFmt w:val="bullet"/>
      <w:lvlText w:val=""/>
      <w:lvlJc w:val="left"/>
      <w:pPr>
        <w:ind w:left="720" w:hanging="360"/>
      </w:pPr>
      <w:rPr>
        <w:rFonts w:ascii="Symbol" w:hAnsi="Symbol"/>
      </w:rPr>
    </w:lvl>
    <w:lvl w:ilvl="8" w:tplc="F67A5432">
      <w:start w:val="1"/>
      <w:numFmt w:val="bullet"/>
      <w:lvlText w:val=""/>
      <w:lvlJc w:val="left"/>
      <w:pPr>
        <w:ind w:left="720" w:hanging="360"/>
      </w:pPr>
      <w:rPr>
        <w:rFonts w:ascii="Symbol" w:hAnsi="Symbol"/>
      </w:rPr>
    </w:lvl>
  </w:abstractNum>
  <w:abstractNum w:abstractNumId="111" w15:restartNumberingAfterBreak="0">
    <w:nsid w:val="1A7B1296"/>
    <w:multiLevelType w:val="hybridMultilevel"/>
    <w:tmpl w:val="90EC53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1AB65D4D"/>
    <w:multiLevelType w:val="hybridMultilevel"/>
    <w:tmpl w:val="CCB863A4"/>
    <w:lvl w:ilvl="0" w:tplc="04090001">
      <w:start w:val="1"/>
      <w:numFmt w:val="bullet"/>
      <w:lvlText w:val=""/>
      <w:lvlJc w:val="left"/>
      <w:pPr>
        <w:ind w:left="720" w:hanging="360"/>
      </w:pPr>
      <w:rPr>
        <w:rFonts w:ascii="Symbol" w:hAnsi="Symbol"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1ABC53E4"/>
    <w:multiLevelType w:val="hybridMultilevel"/>
    <w:tmpl w:val="EDAED6A4"/>
    <w:lvl w:ilvl="0" w:tplc="04090001">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AEC1389"/>
    <w:multiLevelType w:val="hybridMultilevel"/>
    <w:tmpl w:val="5B0C3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1B203F56"/>
    <w:multiLevelType w:val="hybridMultilevel"/>
    <w:tmpl w:val="98428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1B2164FA"/>
    <w:multiLevelType w:val="hybridMultilevel"/>
    <w:tmpl w:val="16FE71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1B2E7112"/>
    <w:multiLevelType w:val="hybridMultilevel"/>
    <w:tmpl w:val="22A69F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1B762C68"/>
    <w:multiLevelType w:val="hybridMultilevel"/>
    <w:tmpl w:val="AE381AD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1BA54E32"/>
    <w:multiLevelType w:val="hybridMultilevel"/>
    <w:tmpl w:val="1A660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BE54C18"/>
    <w:multiLevelType w:val="hybridMultilevel"/>
    <w:tmpl w:val="C7FC8104"/>
    <w:lvl w:ilvl="0" w:tplc="ED709566">
      <w:start w:val="1"/>
      <w:numFmt w:val="decimal"/>
      <w:lvlText w:val="%1)"/>
      <w:lvlJc w:val="left"/>
      <w:pPr>
        <w:tabs>
          <w:tab w:val="num" w:pos="360"/>
        </w:tabs>
        <w:ind w:left="36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1BE54CE7"/>
    <w:multiLevelType w:val="hybridMultilevel"/>
    <w:tmpl w:val="EC74D22E"/>
    <w:lvl w:ilvl="0" w:tplc="125A7948">
      <w:start w:val="1"/>
      <w:numFmt w:val="decimal"/>
      <w:lvlText w:val="%1."/>
      <w:lvlJc w:val="left"/>
      <w:pPr>
        <w:tabs>
          <w:tab w:val="num" w:pos="720"/>
        </w:tabs>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1BEE3376"/>
    <w:multiLevelType w:val="hybridMultilevel"/>
    <w:tmpl w:val="FDB6CB78"/>
    <w:lvl w:ilvl="0" w:tplc="FFFFFFFF">
      <w:start w:val="1"/>
      <w:numFmt w:val="decimal"/>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1C0653AB"/>
    <w:multiLevelType w:val="hybridMultilevel"/>
    <w:tmpl w:val="92F65CB4"/>
    <w:lvl w:ilvl="0" w:tplc="3084AE0C">
      <w:start w:val="1"/>
      <w:numFmt w:val="decimal"/>
      <w:lvlText w:val="%1)"/>
      <w:lvlJc w:val="left"/>
      <w:pPr>
        <w:ind w:left="360" w:hanging="360"/>
      </w:pPr>
      <w:rPr>
        <w:rFonts w:ascii="Helvetica" w:hAnsi="Helvetica" w:cs="Helvetic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1C8D7258"/>
    <w:multiLevelType w:val="hybridMultilevel"/>
    <w:tmpl w:val="EDB24B2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1CAB79F1"/>
    <w:multiLevelType w:val="hybridMultilevel"/>
    <w:tmpl w:val="AC5A9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1CB20A3D"/>
    <w:multiLevelType w:val="hybridMultilevel"/>
    <w:tmpl w:val="EAE63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1CE7747D"/>
    <w:multiLevelType w:val="hybridMultilevel"/>
    <w:tmpl w:val="3E908F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1D09296B"/>
    <w:multiLevelType w:val="hybridMultilevel"/>
    <w:tmpl w:val="4BFC8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1D115714"/>
    <w:multiLevelType w:val="hybridMultilevel"/>
    <w:tmpl w:val="D5BC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1D1A25D2"/>
    <w:multiLevelType w:val="hybridMultilevel"/>
    <w:tmpl w:val="DCB6D6AA"/>
    <w:lvl w:ilvl="0" w:tplc="FFFFFFFF">
      <w:start w:val="1"/>
      <w:numFmt w:val="decimal"/>
      <w:lvlText w:val="%1."/>
      <w:lvlJc w:val="left"/>
      <w:pPr>
        <w:ind w:left="720" w:hanging="360"/>
      </w:pPr>
      <w:rPr>
        <w:rFonts w:cstheme="maj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1D7002FA"/>
    <w:multiLevelType w:val="singleLevel"/>
    <w:tmpl w:val="ED709566"/>
    <w:lvl w:ilvl="0">
      <w:start w:val="1"/>
      <w:numFmt w:val="decimal"/>
      <w:lvlText w:val="%1)"/>
      <w:lvlJc w:val="left"/>
      <w:pPr>
        <w:ind w:left="360" w:hanging="360"/>
      </w:pPr>
      <w:rPr>
        <w:rFonts w:cs="Times New Roman" w:hint="default"/>
        <w:i w:val="0"/>
        <w:color w:val="auto"/>
      </w:rPr>
    </w:lvl>
  </w:abstractNum>
  <w:abstractNum w:abstractNumId="132" w15:restartNumberingAfterBreak="0">
    <w:nsid w:val="1E072012"/>
    <w:multiLevelType w:val="hybridMultilevel"/>
    <w:tmpl w:val="E28A6B4C"/>
    <w:lvl w:ilvl="0" w:tplc="0409000F">
      <w:start w:val="1"/>
      <w:numFmt w:val="decimal"/>
      <w:lvlText w:val="%1."/>
      <w:lvlJc w:val="left"/>
      <w:pPr>
        <w:ind w:left="360" w:hanging="360"/>
      </w:pPr>
      <w:rPr>
        <w:rFonts w:hint="default"/>
        <w:b/>
        <w:i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1E111774"/>
    <w:multiLevelType w:val="hybridMultilevel"/>
    <w:tmpl w:val="6F2434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1E4E4781"/>
    <w:multiLevelType w:val="hybridMultilevel"/>
    <w:tmpl w:val="132265D6"/>
    <w:lvl w:ilvl="0" w:tplc="04090001">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rPr>
    </w:lvl>
    <w:lvl w:ilvl="2" w:tplc="E89C5D3A">
      <w:numFmt w:val="decimal"/>
      <w:lvlText w:val="%3)"/>
      <w:lvlJc w:val="left"/>
      <w:pPr>
        <w:tabs>
          <w:tab w:val="num" w:pos="2700"/>
        </w:tabs>
        <w:ind w:left="2700" w:hanging="360"/>
      </w:pPr>
      <w:rPr>
        <w:rFonts w:cs="Times New Roman" w:hint="default"/>
      </w:rPr>
    </w:lvl>
    <w:lvl w:ilvl="3" w:tplc="34C0F1BA">
      <w:start w:val="1"/>
      <w:numFmt w:val="decimal"/>
      <w:lvlText w:val="%4."/>
      <w:lvlJc w:val="left"/>
      <w:pPr>
        <w:ind w:left="0" w:firstLine="0"/>
      </w:pPr>
      <w:rPr>
        <w:rFonts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5" w15:restartNumberingAfterBreak="0">
    <w:nsid w:val="1E683AE9"/>
    <w:multiLevelType w:val="hybridMultilevel"/>
    <w:tmpl w:val="6F2434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1EE167D2"/>
    <w:multiLevelType w:val="hybridMultilevel"/>
    <w:tmpl w:val="6E52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1F646C56"/>
    <w:multiLevelType w:val="hybridMultilevel"/>
    <w:tmpl w:val="1CBCB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1F7877F8"/>
    <w:multiLevelType w:val="hybridMultilevel"/>
    <w:tmpl w:val="72CC595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1FEA0A92"/>
    <w:multiLevelType w:val="hybridMultilevel"/>
    <w:tmpl w:val="7C903E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210C7046"/>
    <w:multiLevelType w:val="hybridMultilevel"/>
    <w:tmpl w:val="D5DCE2A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211E456D"/>
    <w:multiLevelType w:val="hybridMultilevel"/>
    <w:tmpl w:val="38AEF60E"/>
    <w:lvl w:ilvl="0" w:tplc="0200F68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21515E0A"/>
    <w:multiLevelType w:val="hybridMultilevel"/>
    <w:tmpl w:val="44CEF0CE"/>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3" w15:restartNumberingAfterBreak="0">
    <w:nsid w:val="21811895"/>
    <w:multiLevelType w:val="hybridMultilevel"/>
    <w:tmpl w:val="82B6DF2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21947604"/>
    <w:multiLevelType w:val="hybridMultilevel"/>
    <w:tmpl w:val="783A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21D3582D"/>
    <w:multiLevelType w:val="hybridMultilevel"/>
    <w:tmpl w:val="FC284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21F02684"/>
    <w:multiLevelType w:val="hybridMultilevel"/>
    <w:tmpl w:val="E1CCCD90"/>
    <w:lvl w:ilvl="0" w:tplc="BD027392">
      <w:start w:val="1"/>
      <w:numFmt w:val="decimal"/>
      <w:lvlText w:val="%1."/>
      <w:lvlJc w:val="left"/>
      <w:pPr>
        <w:ind w:left="360" w:hanging="360"/>
      </w:pPr>
      <w:rPr>
        <w:rFonts w:ascii="Arial" w:eastAsia="Times New Roman" w:hAnsi="Arial"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22166898"/>
    <w:multiLevelType w:val="hybridMultilevel"/>
    <w:tmpl w:val="C002C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22B2433B"/>
    <w:multiLevelType w:val="hybridMultilevel"/>
    <w:tmpl w:val="FE1877A4"/>
    <w:lvl w:ilvl="0" w:tplc="A0E0372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2380128C"/>
    <w:multiLevelType w:val="hybridMultilevel"/>
    <w:tmpl w:val="E2AA1CAC"/>
    <w:lvl w:ilvl="0" w:tplc="55B8DAA4">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3826598"/>
    <w:multiLevelType w:val="hybridMultilevel"/>
    <w:tmpl w:val="743821C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23DF5E97"/>
    <w:multiLevelType w:val="hybridMultilevel"/>
    <w:tmpl w:val="FE581B9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24200FA6"/>
    <w:multiLevelType w:val="hybridMultilevel"/>
    <w:tmpl w:val="FF841ABA"/>
    <w:lvl w:ilvl="0" w:tplc="84A8BEF2">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24307F9C"/>
    <w:multiLevelType w:val="hybridMultilevel"/>
    <w:tmpl w:val="260E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24626B7A"/>
    <w:multiLevelType w:val="hybridMultilevel"/>
    <w:tmpl w:val="DA72D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24947070"/>
    <w:multiLevelType w:val="hybridMultilevel"/>
    <w:tmpl w:val="A984D7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24F51645"/>
    <w:multiLevelType w:val="hybridMultilevel"/>
    <w:tmpl w:val="2AF45C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7" w15:restartNumberingAfterBreak="0">
    <w:nsid w:val="24FB769B"/>
    <w:multiLevelType w:val="hybridMultilevel"/>
    <w:tmpl w:val="E7BEE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25394444"/>
    <w:multiLevelType w:val="multilevel"/>
    <w:tmpl w:val="1A42DAA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15:restartNumberingAfterBreak="0">
    <w:nsid w:val="26000D61"/>
    <w:multiLevelType w:val="hybridMultilevel"/>
    <w:tmpl w:val="87C661CA"/>
    <w:lvl w:ilvl="0" w:tplc="133E76AC">
      <w:start w:val="1"/>
      <w:numFmt w:val="decimal"/>
      <w:lvlText w:val="%1."/>
      <w:lvlJc w:val="left"/>
      <w:pPr>
        <w:ind w:left="720" w:hanging="360"/>
      </w:pPr>
      <w:rPr>
        <w:rFonts w:ascii="Arial" w:hAnsi="Arial" w:cs="Arial"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266C32E7"/>
    <w:multiLevelType w:val="hybridMultilevel"/>
    <w:tmpl w:val="2C4A79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26872FF6"/>
    <w:multiLevelType w:val="hybridMultilevel"/>
    <w:tmpl w:val="5B22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26A004A9"/>
    <w:multiLevelType w:val="hybridMultilevel"/>
    <w:tmpl w:val="C7940F9C"/>
    <w:lvl w:ilvl="0" w:tplc="165C16D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95AECCC8">
      <w:start w:val="30"/>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27047EC0"/>
    <w:multiLevelType w:val="hybridMultilevel"/>
    <w:tmpl w:val="E508ED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270770AB"/>
    <w:multiLevelType w:val="hybridMultilevel"/>
    <w:tmpl w:val="593A9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27552E2F"/>
    <w:multiLevelType w:val="multilevel"/>
    <w:tmpl w:val="05A620C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color w:val="auto"/>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15:restartNumberingAfterBreak="0">
    <w:nsid w:val="275F1BFD"/>
    <w:multiLevelType w:val="hybridMultilevel"/>
    <w:tmpl w:val="D4322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276802B1"/>
    <w:multiLevelType w:val="hybridMultilevel"/>
    <w:tmpl w:val="E43ED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28272B91"/>
    <w:multiLevelType w:val="hybridMultilevel"/>
    <w:tmpl w:val="E78EE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288B0F36"/>
    <w:multiLevelType w:val="hybridMultilevel"/>
    <w:tmpl w:val="5D060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28CA16C1"/>
    <w:multiLevelType w:val="hybridMultilevel"/>
    <w:tmpl w:val="4A3A1B7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290E2FDF"/>
    <w:multiLevelType w:val="hybridMultilevel"/>
    <w:tmpl w:val="71262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2A0F2E95"/>
    <w:multiLevelType w:val="hybridMultilevel"/>
    <w:tmpl w:val="9F36462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2A1820A2"/>
    <w:multiLevelType w:val="hybridMultilevel"/>
    <w:tmpl w:val="52E4803E"/>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4" w15:restartNumberingAfterBreak="0">
    <w:nsid w:val="2A746188"/>
    <w:multiLevelType w:val="hybridMultilevel"/>
    <w:tmpl w:val="E962F9F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2B3714F8"/>
    <w:multiLevelType w:val="hybridMultilevel"/>
    <w:tmpl w:val="4A306AAE"/>
    <w:lvl w:ilvl="0" w:tplc="18D4FCF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2B4D5FDB"/>
    <w:multiLevelType w:val="hybridMultilevel"/>
    <w:tmpl w:val="36AA8B8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2B621C9B"/>
    <w:multiLevelType w:val="hybridMultilevel"/>
    <w:tmpl w:val="C0D8926C"/>
    <w:lvl w:ilvl="0" w:tplc="C5200DB4">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15:restartNumberingAfterBreak="0">
    <w:nsid w:val="2B8E296B"/>
    <w:multiLevelType w:val="hybridMultilevel"/>
    <w:tmpl w:val="5204C0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15:restartNumberingAfterBreak="0">
    <w:nsid w:val="2B8F36A5"/>
    <w:multiLevelType w:val="hybridMultilevel"/>
    <w:tmpl w:val="4DA4E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2C311A9A"/>
    <w:multiLevelType w:val="hybridMultilevel"/>
    <w:tmpl w:val="5B064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2C5152BB"/>
    <w:multiLevelType w:val="hybridMultilevel"/>
    <w:tmpl w:val="1F84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2CDD6830"/>
    <w:multiLevelType w:val="hybridMultilevel"/>
    <w:tmpl w:val="A6DE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2D636188"/>
    <w:multiLevelType w:val="hybridMultilevel"/>
    <w:tmpl w:val="86945C7E"/>
    <w:lvl w:ilvl="0" w:tplc="04090019">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2D636DB5"/>
    <w:multiLevelType w:val="hybridMultilevel"/>
    <w:tmpl w:val="09BA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2D652814"/>
    <w:multiLevelType w:val="hybridMultilevel"/>
    <w:tmpl w:val="70C83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2DD03AB1"/>
    <w:multiLevelType w:val="hybridMultilevel"/>
    <w:tmpl w:val="992243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2DE4528B"/>
    <w:multiLevelType w:val="hybridMultilevel"/>
    <w:tmpl w:val="AE00C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2DF9738A"/>
    <w:multiLevelType w:val="hybridMultilevel"/>
    <w:tmpl w:val="5488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2EF10BD3"/>
    <w:multiLevelType w:val="hybridMultilevel"/>
    <w:tmpl w:val="C30AE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2EFD6B6E"/>
    <w:multiLevelType w:val="hybridMultilevel"/>
    <w:tmpl w:val="AE5C93FA"/>
    <w:lvl w:ilvl="0" w:tplc="8B885AB0">
      <w:start w:val="1"/>
      <w:numFmt w:val="decimal"/>
      <w:lvlText w:val="%1)"/>
      <w:lvlJc w:val="left"/>
      <w:pPr>
        <w:ind w:left="36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2FAF76CF"/>
    <w:multiLevelType w:val="multilevel"/>
    <w:tmpl w:val="C3984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2" w15:restartNumberingAfterBreak="0">
    <w:nsid w:val="2FE364B6"/>
    <w:multiLevelType w:val="hybridMultilevel"/>
    <w:tmpl w:val="039A873E"/>
    <w:lvl w:ilvl="0" w:tplc="00B4496C">
      <w:start w:val="1"/>
      <w:numFmt w:val="lowerLetter"/>
      <w:lvlText w:val="%1."/>
      <w:lvlJc w:val="left"/>
      <w:pPr>
        <w:ind w:left="720" w:hanging="360"/>
      </w:pPr>
      <w:rPr>
        <w:sz w:val="20"/>
        <w:szCs w:val="2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300D2F19"/>
    <w:multiLevelType w:val="hybridMultilevel"/>
    <w:tmpl w:val="874CE3B0"/>
    <w:lvl w:ilvl="0" w:tplc="04090001">
      <w:start w:val="1"/>
      <w:numFmt w:val="bullet"/>
      <w:lvlText w:val=""/>
      <w:lvlJc w:val="left"/>
      <w:pPr>
        <w:tabs>
          <w:tab w:val="num" w:pos="720"/>
        </w:tabs>
        <w:ind w:left="720" w:hanging="360"/>
      </w:pPr>
      <w:rPr>
        <w:rFonts w:ascii="Symbol" w:hAnsi="Symbol" w:hint="default"/>
      </w:rPr>
    </w:lvl>
    <w:lvl w:ilvl="1" w:tplc="9CCCC2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4" w15:restartNumberingAfterBreak="0">
    <w:nsid w:val="302547D2"/>
    <w:multiLevelType w:val="hybridMultilevel"/>
    <w:tmpl w:val="52E4803E"/>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5" w15:restartNumberingAfterBreak="0">
    <w:nsid w:val="30877552"/>
    <w:multiLevelType w:val="hybridMultilevel"/>
    <w:tmpl w:val="94EA8448"/>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15:restartNumberingAfterBreak="0">
    <w:nsid w:val="31DA36E9"/>
    <w:multiLevelType w:val="hybridMultilevel"/>
    <w:tmpl w:val="0E4CD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322C749C"/>
    <w:multiLevelType w:val="hybridMultilevel"/>
    <w:tmpl w:val="91B66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15:restartNumberingAfterBreak="0">
    <w:nsid w:val="323F50AD"/>
    <w:multiLevelType w:val="hybridMultilevel"/>
    <w:tmpl w:val="CC8CA4B4"/>
    <w:lvl w:ilvl="0" w:tplc="67800A46">
      <w:start w:val="1"/>
      <w:numFmt w:val="bullet"/>
      <w:lvlText w:val=""/>
      <w:lvlJc w:val="left"/>
      <w:pPr>
        <w:ind w:left="360" w:hanging="360"/>
      </w:pPr>
      <w:rPr>
        <w:rFonts w:ascii="Wingdings" w:hAnsi="Wingdings" w:hint="default"/>
        <w:b/>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15:restartNumberingAfterBreak="0">
    <w:nsid w:val="326B5FFF"/>
    <w:multiLevelType w:val="hybridMultilevel"/>
    <w:tmpl w:val="E4F07B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15:restartNumberingAfterBreak="0">
    <w:nsid w:val="32884AE7"/>
    <w:multiLevelType w:val="hybridMultilevel"/>
    <w:tmpl w:val="6C20A5DE"/>
    <w:lvl w:ilvl="0" w:tplc="67800A46">
      <w:start w:val="1"/>
      <w:numFmt w:val="bullet"/>
      <w:lvlText w:val=""/>
      <w:lvlJc w:val="left"/>
      <w:pPr>
        <w:ind w:left="360" w:hanging="360"/>
      </w:pPr>
      <w:rPr>
        <w:rFonts w:ascii="Wingdings" w:hAnsi="Wingdings" w:hint="default"/>
        <w:b/>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15:restartNumberingAfterBreak="0">
    <w:nsid w:val="32AB1A0F"/>
    <w:multiLevelType w:val="hybridMultilevel"/>
    <w:tmpl w:val="4A226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32B179CE"/>
    <w:multiLevelType w:val="hybridMultilevel"/>
    <w:tmpl w:val="67D0F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33352E51"/>
    <w:multiLevelType w:val="hybridMultilevel"/>
    <w:tmpl w:val="3DAECE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15:restartNumberingAfterBreak="0">
    <w:nsid w:val="341F3D02"/>
    <w:multiLevelType w:val="hybridMultilevel"/>
    <w:tmpl w:val="3F02A1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79ECD5C">
      <w:start w:val="3"/>
      <w:numFmt w:val="lowerLetter"/>
      <w:lvlText w:val="(%3)"/>
      <w:lvlJc w:val="left"/>
      <w:pPr>
        <w:ind w:left="2340" w:hanging="360"/>
      </w:pPr>
      <w:rPr>
        <w:rFonts w:cs="Arial" w:hint="default"/>
        <w:b/>
      </w:rPr>
    </w:lvl>
    <w:lvl w:ilvl="3" w:tplc="4ABEA8F0">
      <w:start w:val="1"/>
      <w:numFmt w:val="lowerLetter"/>
      <w:lvlText w:val="%4)"/>
      <w:lvlJc w:val="left"/>
      <w:pPr>
        <w:ind w:left="2880" w:hanging="360"/>
      </w:pPr>
      <w:rPr>
        <w:rFonts w:hint="default"/>
      </w:rPr>
    </w:lvl>
    <w:lvl w:ilvl="4" w:tplc="C9C4E4B8">
      <w:start w:val="15"/>
      <w:numFmt w:val="bullet"/>
      <w:lvlText w:val="-"/>
      <w:lvlJc w:val="left"/>
      <w:pPr>
        <w:ind w:left="3600" w:hanging="360"/>
      </w:pPr>
      <w:rPr>
        <w:rFonts w:ascii="Arial" w:eastAsia="Times New Roman" w:hAnsi="Arial" w:cs="Arial" w:hint="default"/>
      </w:rPr>
    </w:lvl>
    <w:lvl w:ilvl="5" w:tplc="873EC3DA">
      <w:start w:val="45"/>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4920474"/>
    <w:multiLevelType w:val="hybridMultilevel"/>
    <w:tmpl w:val="1DE40F0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15:restartNumberingAfterBreak="0">
    <w:nsid w:val="34D51991"/>
    <w:multiLevelType w:val="hybridMultilevel"/>
    <w:tmpl w:val="0E1E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35AB2EC6"/>
    <w:multiLevelType w:val="hybridMultilevel"/>
    <w:tmpl w:val="286AD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35E30DD4"/>
    <w:multiLevelType w:val="hybridMultilevel"/>
    <w:tmpl w:val="CF2EA542"/>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09" w15:restartNumberingAfterBreak="0">
    <w:nsid w:val="36441393"/>
    <w:multiLevelType w:val="hybridMultilevel"/>
    <w:tmpl w:val="3B383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0" w15:restartNumberingAfterBreak="0">
    <w:nsid w:val="36604632"/>
    <w:multiLevelType w:val="hybridMultilevel"/>
    <w:tmpl w:val="5844B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1" w15:restartNumberingAfterBreak="0">
    <w:nsid w:val="372A0CAD"/>
    <w:multiLevelType w:val="hybridMultilevel"/>
    <w:tmpl w:val="1792BA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15:restartNumberingAfterBreak="0">
    <w:nsid w:val="37917F01"/>
    <w:multiLevelType w:val="hybridMultilevel"/>
    <w:tmpl w:val="A774A1E0"/>
    <w:lvl w:ilvl="0" w:tplc="5DF020F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15:restartNumberingAfterBreak="0">
    <w:nsid w:val="37B72C61"/>
    <w:multiLevelType w:val="hybridMultilevel"/>
    <w:tmpl w:val="69288898"/>
    <w:lvl w:ilvl="0" w:tplc="4CA84D3C">
      <w:start w:val="3"/>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381302A2"/>
    <w:multiLevelType w:val="hybridMultilevel"/>
    <w:tmpl w:val="11B0D37E"/>
    <w:lvl w:ilvl="0" w:tplc="1A2A2BFC">
      <w:start w:val="1"/>
      <w:numFmt w:val="decimal"/>
      <w:lvlText w:val="%1."/>
      <w:lvlJc w:val="left"/>
      <w:pPr>
        <w:ind w:left="720" w:hanging="360"/>
      </w:pPr>
      <w:rPr>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38B40187"/>
    <w:multiLevelType w:val="multilevel"/>
    <w:tmpl w:val="0A022C6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152"/>
        </w:tabs>
        <w:ind w:left="1152" w:hanging="432"/>
      </w:pPr>
      <w:rPr>
        <w:rFonts w:cs="Times New Roman"/>
      </w:rPr>
    </w:lvl>
    <w:lvl w:ilvl="2">
      <w:start w:val="1"/>
      <w:numFmt w:val="decimal"/>
      <w:lvlText w:val="%1.%2.%3."/>
      <w:lvlJc w:val="left"/>
      <w:pPr>
        <w:tabs>
          <w:tab w:val="num" w:pos="1800"/>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216" w15:restartNumberingAfterBreak="0">
    <w:nsid w:val="38F41996"/>
    <w:multiLevelType w:val="hybridMultilevel"/>
    <w:tmpl w:val="E1C28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7" w15:restartNumberingAfterBreak="0">
    <w:nsid w:val="39F248DE"/>
    <w:multiLevelType w:val="hybridMultilevel"/>
    <w:tmpl w:val="80FCA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3A7C6AC0"/>
    <w:multiLevelType w:val="hybridMultilevel"/>
    <w:tmpl w:val="09C6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3ABF6D79"/>
    <w:multiLevelType w:val="hybridMultilevel"/>
    <w:tmpl w:val="FD1CB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3AC43575"/>
    <w:multiLevelType w:val="hybridMultilevel"/>
    <w:tmpl w:val="2A0ECB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15:restartNumberingAfterBreak="0">
    <w:nsid w:val="3AD834D5"/>
    <w:multiLevelType w:val="hybridMultilevel"/>
    <w:tmpl w:val="25082B28"/>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222" w15:restartNumberingAfterBreak="0">
    <w:nsid w:val="3AEB1BDA"/>
    <w:multiLevelType w:val="hybridMultilevel"/>
    <w:tmpl w:val="91143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3B487CA9"/>
    <w:multiLevelType w:val="hybridMultilevel"/>
    <w:tmpl w:val="5EA416B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4" w15:restartNumberingAfterBreak="0">
    <w:nsid w:val="3B822610"/>
    <w:multiLevelType w:val="hybridMultilevel"/>
    <w:tmpl w:val="B4D8708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15:restartNumberingAfterBreak="0">
    <w:nsid w:val="3BE506F1"/>
    <w:multiLevelType w:val="hybridMultilevel"/>
    <w:tmpl w:val="4F689E5C"/>
    <w:lvl w:ilvl="0" w:tplc="FFFFFFFF">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6" w15:restartNumberingAfterBreak="0">
    <w:nsid w:val="3C33406E"/>
    <w:multiLevelType w:val="hybridMultilevel"/>
    <w:tmpl w:val="D0CCAB8E"/>
    <w:lvl w:ilvl="0" w:tplc="67800A46">
      <w:start w:val="1"/>
      <w:numFmt w:val="bullet"/>
      <w:lvlText w:val=""/>
      <w:lvlJc w:val="left"/>
      <w:pPr>
        <w:ind w:left="360" w:hanging="360"/>
      </w:pPr>
      <w:rPr>
        <w:rFonts w:ascii="Wingdings" w:hAnsi="Wingdings" w:hint="default"/>
        <w:b/>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7" w15:restartNumberingAfterBreak="0">
    <w:nsid w:val="3C542D6C"/>
    <w:multiLevelType w:val="hybridMultilevel"/>
    <w:tmpl w:val="7A8CC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3CC055B2"/>
    <w:multiLevelType w:val="hybridMultilevel"/>
    <w:tmpl w:val="B24A693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29" w15:restartNumberingAfterBreak="0">
    <w:nsid w:val="3CD61984"/>
    <w:multiLevelType w:val="hybridMultilevel"/>
    <w:tmpl w:val="EA3EF23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D837A82"/>
    <w:multiLevelType w:val="hybridMultilevel"/>
    <w:tmpl w:val="42C8478A"/>
    <w:lvl w:ilvl="0" w:tplc="C5CA821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3E115DFD"/>
    <w:multiLevelType w:val="hybridMultilevel"/>
    <w:tmpl w:val="EF0EB36A"/>
    <w:lvl w:ilvl="0" w:tplc="2B94547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2" w15:restartNumberingAfterBreak="0">
    <w:nsid w:val="3E3E244B"/>
    <w:multiLevelType w:val="hybridMultilevel"/>
    <w:tmpl w:val="FC0E56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3E7A103E"/>
    <w:multiLevelType w:val="hybridMultilevel"/>
    <w:tmpl w:val="4F689E5C"/>
    <w:lvl w:ilvl="0" w:tplc="FFFFFFFF">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3EDD6D5F"/>
    <w:multiLevelType w:val="hybridMultilevel"/>
    <w:tmpl w:val="3E884FE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5" w15:restartNumberingAfterBreak="0">
    <w:nsid w:val="3EE223D6"/>
    <w:multiLevelType w:val="hybridMultilevel"/>
    <w:tmpl w:val="255810F2"/>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6" w15:restartNumberingAfterBreak="0">
    <w:nsid w:val="3F6257AD"/>
    <w:multiLevelType w:val="hybridMultilevel"/>
    <w:tmpl w:val="C02E1C02"/>
    <w:lvl w:ilvl="0" w:tplc="C3F88A26">
      <w:start w:val="1"/>
      <w:numFmt w:val="bullet"/>
      <w:lvlText w:val="o"/>
      <w:lvlJc w:val="left"/>
      <w:pPr>
        <w:ind w:left="360" w:hanging="360"/>
      </w:pPr>
      <w:rPr>
        <w:rFonts w:ascii="Courier New" w:hAnsi="Courier New" w:cs="Courier New" w:hint="default"/>
        <w:b w:val="0"/>
        <w:bCs w:val="0"/>
        <w:color w:val="auto"/>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7" w15:restartNumberingAfterBreak="0">
    <w:nsid w:val="3F770907"/>
    <w:multiLevelType w:val="hybridMultilevel"/>
    <w:tmpl w:val="1868AFAE"/>
    <w:lvl w:ilvl="0" w:tplc="5C220202">
      <w:start w:val="1"/>
      <w:numFmt w:val="lowerLetter"/>
      <w:lvlText w:val="%1."/>
      <w:lvlJc w:val="left"/>
      <w:pPr>
        <w:ind w:left="720" w:hanging="360"/>
      </w:pPr>
      <w:rPr>
        <w:b w:val="0"/>
        <w:bCs/>
        <w:i w:val="0"/>
        <w:iCs/>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3FF60B5E"/>
    <w:multiLevelType w:val="hybridMultilevel"/>
    <w:tmpl w:val="84820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9" w15:restartNumberingAfterBreak="0">
    <w:nsid w:val="400E136F"/>
    <w:multiLevelType w:val="hybridMultilevel"/>
    <w:tmpl w:val="7AEE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413371DD"/>
    <w:multiLevelType w:val="hybridMultilevel"/>
    <w:tmpl w:val="9788C392"/>
    <w:lvl w:ilvl="0" w:tplc="2B9A17FE">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1" w15:restartNumberingAfterBreak="0">
    <w:nsid w:val="417F55E8"/>
    <w:multiLevelType w:val="hybridMultilevel"/>
    <w:tmpl w:val="DA462B18"/>
    <w:lvl w:ilvl="0" w:tplc="9ABA78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419354C2"/>
    <w:multiLevelType w:val="hybridMultilevel"/>
    <w:tmpl w:val="9A58A7E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15:restartNumberingAfterBreak="0">
    <w:nsid w:val="41B50E49"/>
    <w:multiLevelType w:val="hybridMultilevel"/>
    <w:tmpl w:val="AB02F726"/>
    <w:lvl w:ilvl="0" w:tplc="5B94D1B6">
      <w:start w:val="1"/>
      <w:numFmt w:val="bullet"/>
      <w:suff w:val="space"/>
      <w:lvlText w:val=""/>
      <w:lvlJc w:val="left"/>
      <w:pPr>
        <w:ind w:left="360"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15:restartNumberingAfterBreak="0">
    <w:nsid w:val="41C554C0"/>
    <w:multiLevelType w:val="hybridMultilevel"/>
    <w:tmpl w:val="34028D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15:restartNumberingAfterBreak="0">
    <w:nsid w:val="41DD0A0D"/>
    <w:multiLevelType w:val="hybridMultilevel"/>
    <w:tmpl w:val="F856B3B8"/>
    <w:lvl w:ilvl="0" w:tplc="FFFFFFFF">
      <w:start w:val="1"/>
      <w:numFmt w:val="decimal"/>
      <w:lvlText w:val="%1."/>
      <w:lvlJc w:val="left"/>
      <w:pPr>
        <w:ind w:left="720" w:hanging="360"/>
      </w:pPr>
      <w:rPr>
        <w:rFonts w:ascii="Arial" w:eastAsia="Times New Roman" w:hAnsi="Arial" w:cstheme="minorHAnsi"/>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41F100D9"/>
    <w:multiLevelType w:val="multilevel"/>
    <w:tmpl w:val="6208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41F92C4B"/>
    <w:multiLevelType w:val="hybridMultilevel"/>
    <w:tmpl w:val="FE7A3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427672A6"/>
    <w:multiLevelType w:val="hybridMultilevel"/>
    <w:tmpl w:val="3AC29E7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15:restartNumberingAfterBreak="0">
    <w:nsid w:val="430427D5"/>
    <w:multiLevelType w:val="hybridMultilevel"/>
    <w:tmpl w:val="9698ADA4"/>
    <w:lvl w:ilvl="0" w:tplc="9CCCC2E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432075E0"/>
    <w:multiLevelType w:val="hybridMultilevel"/>
    <w:tmpl w:val="3D94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43303BC6"/>
    <w:multiLevelType w:val="hybridMultilevel"/>
    <w:tmpl w:val="98103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435F438E"/>
    <w:multiLevelType w:val="hybridMultilevel"/>
    <w:tmpl w:val="E51CE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3" w15:restartNumberingAfterBreak="0">
    <w:nsid w:val="43B54568"/>
    <w:multiLevelType w:val="hybridMultilevel"/>
    <w:tmpl w:val="DE96A6B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15:restartNumberingAfterBreak="0">
    <w:nsid w:val="43BC462F"/>
    <w:multiLevelType w:val="hybridMultilevel"/>
    <w:tmpl w:val="822A2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5" w15:restartNumberingAfterBreak="0">
    <w:nsid w:val="43E452D4"/>
    <w:multiLevelType w:val="hybridMultilevel"/>
    <w:tmpl w:val="01D6BA9C"/>
    <w:lvl w:ilvl="0" w:tplc="04090001">
      <w:start w:val="1"/>
      <w:numFmt w:val="bullet"/>
      <w:lvlText w:val=""/>
      <w:lvlJc w:val="left"/>
      <w:pPr>
        <w:ind w:left="720" w:hanging="360"/>
      </w:pPr>
      <w:rPr>
        <w:rFonts w:ascii="Symbol" w:hAnsi="Symbol" w:hint="default"/>
        <w:b/>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43E4549A"/>
    <w:multiLevelType w:val="hybridMultilevel"/>
    <w:tmpl w:val="DD849B8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7" w15:restartNumberingAfterBreak="0">
    <w:nsid w:val="442C04BA"/>
    <w:multiLevelType w:val="hybridMultilevel"/>
    <w:tmpl w:val="7E78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444A18D7"/>
    <w:multiLevelType w:val="hybridMultilevel"/>
    <w:tmpl w:val="4DB4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44B93E0F"/>
    <w:multiLevelType w:val="hybridMultilevel"/>
    <w:tmpl w:val="F500AEB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0" w15:restartNumberingAfterBreak="0">
    <w:nsid w:val="44E67110"/>
    <w:multiLevelType w:val="hybridMultilevel"/>
    <w:tmpl w:val="D34CA3A8"/>
    <w:lvl w:ilvl="0" w:tplc="47446C74">
      <w:start w:val="1"/>
      <w:numFmt w:val="decimal"/>
      <w:lvlText w:val="%1)"/>
      <w:lvlJc w:val="left"/>
      <w:pPr>
        <w:ind w:left="360" w:hanging="360"/>
      </w:pPr>
      <w:rPr>
        <w:rFonts w:hint="default"/>
        <w:i w:val="0"/>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1" w15:restartNumberingAfterBreak="0">
    <w:nsid w:val="45411869"/>
    <w:multiLevelType w:val="hybridMultilevel"/>
    <w:tmpl w:val="371808D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15:restartNumberingAfterBreak="0">
    <w:nsid w:val="45976E2C"/>
    <w:multiLevelType w:val="hybridMultilevel"/>
    <w:tmpl w:val="88DCEA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3" w15:restartNumberingAfterBreak="0">
    <w:nsid w:val="46015385"/>
    <w:multiLevelType w:val="hybridMultilevel"/>
    <w:tmpl w:val="9E34C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4" w15:restartNumberingAfterBreak="0">
    <w:nsid w:val="46380403"/>
    <w:multiLevelType w:val="hybridMultilevel"/>
    <w:tmpl w:val="3A183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46A9030E"/>
    <w:multiLevelType w:val="hybridMultilevel"/>
    <w:tmpl w:val="70948052"/>
    <w:lvl w:ilvl="0" w:tplc="0409000F">
      <w:start w:val="1"/>
      <w:numFmt w:val="decimal"/>
      <w:lvlText w:val="%1."/>
      <w:lvlJc w:val="left"/>
      <w:pPr>
        <w:ind w:left="360" w:hanging="360"/>
      </w:pPr>
      <w:rPr>
        <w:rFonts w:hint="default"/>
        <w:b w:val="0"/>
        <w:i w:val="0"/>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6" w15:restartNumberingAfterBreak="0">
    <w:nsid w:val="46C3778B"/>
    <w:multiLevelType w:val="hybridMultilevel"/>
    <w:tmpl w:val="D57EC9B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15:restartNumberingAfterBreak="0">
    <w:nsid w:val="47427D9A"/>
    <w:multiLevelType w:val="hybridMultilevel"/>
    <w:tmpl w:val="9112F49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15:restartNumberingAfterBreak="0">
    <w:nsid w:val="476406C2"/>
    <w:multiLevelType w:val="multilevel"/>
    <w:tmpl w:val="4E36F52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9" w15:restartNumberingAfterBreak="0">
    <w:nsid w:val="48076AC0"/>
    <w:multiLevelType w:val="hybridMultilevel"/>
    <w:tmpl w:val="1B3AE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48326469"/>
    <w:multiLevelType w:val="hybridMultilevel"/>
    <w:tmpl w:val="A07433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15:restartNumberingAfterBreak="0">
    <w:nsid w:val="488D1225"/>
    <w:multiLevelType w:val="hybridMultilevel"/>
    <w:tmpl w:val="6570F5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15:restartNumberingAfterBreak="0">
    <w:nsid w:val="48B2224A"/>
    <w:multiLevelType w:val="hybridMultilevel"/>
    <w:tmpl w:val="4E5CB9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15:restartNumberingAfterBreak="0">
    <w:nsid w:val="48B51975"/>
    <w:multiLevelType w:val="hybridMultilevel"/>
    <w:tmpl w:val="A5FE85D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15:restartNumberingAfterBreak="0">
    <w:nsid w:val="49FE6C23"/>
    <w:multiLevelType w:val="hybridMultilevel"/>
    <w:tmpl w:val="6F42B20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15:restartNumberingAfterBreak="0">
    <w:nsid w:val="4A0B548C"/>
    <w:multiLevelType w:val="multilevel"/>
    <w:tmpl w:val="76C267C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color w:val="auto"/>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6" w15:restartNumberingAfterBreak="0">
    <w:nsid w:val="4A487C6D"/>
    <w:multiLevelType w:val="hybridMultilevel"/>
    <w:tmpl w:val="812ABC0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7" w15:restartNumberingAfterBreak="0">
    <w:nsid w:val="4A822C2B"/>
    <w:multiLevelType w:val="hybridMultilevel"/>
    <w:tmpl w:val="452AAB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8" w15:restartNumberingAfterBreak="0">
    <w:nsid w:val="4ADA544E"/>
    <w:multiLevelType w:val="hybridMultilevel"/>
    <w:tmpl w:val="EC8A08BE"/>
    <w:lvl w:ilvl="0" w:tplc="04090001">
      <w:start w:val="1"/>
      <w:numFmt w:val="bullet"/>
      <w:lvlText w:val=""/>
      <w:lvlJc w:val="left"/>
      <w:pPr>
        <w:ind w:left="900" w:hanging="360"/>
      </w:pPr>
      <w:rPr>
        <w:rFonts w:ascii="Symbol" w:hAnsi="Symbol"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9" w15:restartNumberingAfterBreak="0">
    <w:nsid w:val="4B0661E5"/>
    <w:multiLevelType w:val="hybridMultilevel"/>
    <w:tmpl w:val="CDBC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4B095677"/>
    <w:multiLevelType w:val="hybridMultilevel"/>
    <w:tmpl w:val="D4F8B420"/>
    <w:lvl w:ilvl="0" w:tplc="AF12F2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4B3503B6"/>
    <w:multiLevelType w:val="hybridMultilevel"/>
    <w:tmpl w:val="12AA410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15:restartNumberingAfterBreak="0">
    <w:nsid w:val="4BB119AF"/>
    <w:multiLevelType w:val="hybridMultilevel"/>
    <w:tmpl w:val="FDB6CB78"/>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3" w15:restartNumberingAfterBreak="0">
    <w:nsid w:val="4BCA3B5D"/>
    <w:multiLevelType w:val="hybridMultilevel"/>
    <w:tmpl w:val="25080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4" w15:restartNumberingAfterBreak="0">
    <w:nsid w:val="4BE31A21"/>
    <w:multiLevelType w:val="hybridMultilevel"/>
    <w:tmpl w:val="32FA0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4C005325"/>
    <w:multiLevelType w:val="hybridMultilevel"/>
    <w:tmpl w:val="66789706"/>
    <w:lvl w:ilvl="0" w:tplc="47446C74">
      <w:start w:val="1"/>
      <w:numFmt w:val="decimal"/>
      <w:lvlText w:val="%1)"/>
      <w:lvlJc w:val="left"/>
      <w:pPr>
        <w:ind w:left="360" w:hanging="360"/>
      </w:pPr>
      <w:rPr>
        <w:rFonts w:hint="default"/>
        <w:i w:val="0"/>
      </w:rPr>
    </w:lvl>
    <w:lvl w:ilvl="1" w:tplc="04090001">
      <w:start w:val="1"/>
      <w:numFmt w:val="bullet"/>
      <w:lvlText w:val=""/>
      <w:lvlJc w:val="left"/>
      <w:pPr>
        <w:ind w:left="900" w:hanging="360"/>
      </w:pPr>
      <w:rPr>
        <w:rFonts w:ascii="Symbol" w:hAnsi="Symbol" w:hint="default"/>
      </w:r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6" w15:restartNumberingAfterBreak="0">
    <w:nsid w:val="4C8C5E2E"/>
    <w:multiLevelType w:val="hybridMultilevel"/>
    <w:tmpl w:val="B4C46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CD269CA"/>
    <w:multiLevelType w:val="hybridMultilevel"/>
    <w:tmpl w:val="77686EB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15:restartNumberingAfterBreak="0">
    <w:nsid w:val="4CE22CF3"/>
    <w:multiLevelType w:val="hybridMultilevel"/>
    <w:tmpl w:val="4F689E5C"/>
    <w:lvl w:ilvl="0" w:tplc="D0C47EB0">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9" w15:restartNumberingAfterBreak="0">
    <w:nsid w:val="4D6E34DE"/>
    <w:multiLevelType w:val="hybridMultilevel"/>
    <w:tmpl w:val="8C3411BE"/>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15:restartNumberingAfterBreak="0">
    <w:nsid w:val="4D9E7CA4"/>
    <w:multiLevelType w:val="hybridMultilevel"/>
    <w:tmpl w:val="087A6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4DD81E0C"/>
    <w:multiLevelType w:val="hybridMultilevel"/>
    <w:tmpl w:val="B8DC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4DED3D21"/>
    <w:multiLevelType w:val="hybridMultilevel"/>
    <w:tmpl w:val="8B7A5318"/>
    <w:lvl w:ilvl="0" w:tplc="FFFFFFFF">
      <w:start w:val="1"/>
      <w:numFmt w:val="bullet"/>
      <w:lvlText w:val=""/>
      <w:lvlJc w:val="left"/>
      <w:pPr>
        <w:ind w:left="360" w:hanging="360"/>
      </w:pPr>
      <w:rPr>
        <w:rFonts w:ascii="Symbol" w:hAnsi="Symbol" w:hint="default"/>
        <w:b w:val="0"/>
        <w:i w:val="0"/>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3" w15:restartNumberingAfterBreak="0">
    <w:nsid w:val="4E90292E"/>
    <w:multiLevelType w:val="hybridMultilevel"/>
    <w:tmpl w:val="0D3AD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4" w15:restartNumberingAfterBreak="0">
    <w:nsid w:val="4ED46935"/>
    <w:multiLevelType w:val="hybridMultilevel"/>
    <w:tmpl w:val="3528BCEE"/>
    <w:lvl w:ilvl="0" w:tplc="0409000F">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4F053265"/>
    <w:multiLevelType w:val="hybridMultilevel"/>
    <w:tmpl w:val="16204F9C"/>
    <w:lvl w:ilvl="0" w:tplc="C8981318">
      <w:start w:val="1"/>
      <w:numFmt w:val="decimal"/>
      <w:suff w:val="space"/>
      <w:lvlText w:val="%1)"/>
      <w:lvlJc w:val="left"/>
      <w:pPr>
        <w:ind w:left="360" w:hanging="21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6" w15:restartNumberingAfterBreak="0">
    <w:nsid w:val="4F220CB4"/>
    <w:multiLevelType w:val="hybridMultilevel"/>
    <w:tmpl w:val="EDA6B942"/>
    <w:lvl w:ilvl="0" w:tplc="6E1A5FEE">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7" w15:restartNumberingAfterBreak="0">
    <w:nsid w:val="4FBA52C0"/>
    <w:multiLevelType w:val="hybridMultilevel"/>
    <w:tmpl w:val="C6A08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15:restartNumberingAfterBreak="0">
    <w:nsid w:val="4FCC1BFE"/>
    <w:multiLevelType w:val="hybridMultilevel"/>
    <w:tmpl w:val="4D50629E"/>
    <w:lvl w:ilvl="0" w:tplc="04090001">
      <w:start w:val="1"/>
      <w:numFmt w:val="bullet"/>
      <w:lvlText w:val=""/>
      <w:lvlJc w:val="left"/>
      <w:pPr>
        <w:ind w:left="720" w:hanging="360"/>
      </w:pPr>
      <w:rPr>
        <w:rFonts w:ascii="Symbol" w:hAnsi="Symbol" w:hint="default"/>
      </w:rPr>
    </w:lvl>
    <w:lvl w:ilvl="1" w:tplc="DB3A0190">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501C7DAD"/>
    <w:multiLevelType w:val="hybridMultilevel"/>
    <w:tmpl w:val="45460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50354F35"/>
    <w:multiLevelType w:val="hybridMultilevel"/>
    <w:tmpl w:val="FA483C9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15:restartNumberingAfterBreak="0">
    <w:nsid w:val="50993DFE"/>
    <w:multiLevelType w:val="multilevel"/>
    <w:tmpl w:val="756420E0"/>
    <w:lvl w:ilvl="0">
      <w:start w:val="1"/>
      <w:numFmt w:val="bullet"/>
      <w:lvlText w:val="Q"/>
      <w:lvlJc w:val="left"/>
      <w:pPr>
        <w:tabs>
          <w:tab w:val="num" w:pos="360"/>
        </w:tabs>
        <w:ind w:left="288" w:hanging="288"/>
      </w:pPr>
      <w:rPr>
        <w:rFonts w:ascii="Arial Black" w:hAnsi="Arial Black" w:hint="default"/>
        <w:sz w:val="24"/>
      </w:rPr>
    </w:lvl>
    <w:lvl w:ilvl="1">
      <w:start w:val="1"/>
      <w:numFmt w:val="bullet"/>
      <w:pStyle w:val="Answer"/>
      <w:lvlText w:val="A"/>
      <w:lvlJc w:val="left"/>
      <w:pPr>
        <w:tabs>
          <w:tab w:val="num" w:pos="360"/>
        </w:tabs>
        <w:ind w:left="288" w:hanging="288"/>
      </w:pPr>
      <w:rPr>
        <w:rFonts w:ascii="Arial Black" w:hAnsi="Arial Black" w:hint="default"/>
        <w:sz w:val="24"/>
      </w:rPr>
    </w:lvl>
    <w:lvl w:ilvl="2">
      <w:start w:val="1"/>
      <w:numFmt w:val="bullet"/>
      <w:lvlText w:val=""/>
      <w:lvlJc w:val="left"/>
      <w:pPr>
        <w:tabs>
          <w:tab w:val="num" w:pos="792"/>
        </w:tabs>
        <w:ind w:left="648" w:hanging="216"/>
      </w:pPr>
      <w:rPr>
        <w:rFonts w:ascii="Wingdings" w:hAnsi="Wingdings" w:hint="default"/>
      </w:rPr>
    </w:lvl>
    <w:lvl w:ilvl="3">
      <w:start w:val="1"/>
      <w:numFmt w:val="bullet"/>
      <w:lvlText w:val=""/>
      <w:lvlJc w:val="left"/>
      <w:pPr>
        <w:tabs>
          <w:tab w:val="num" w:pos="1008"/>
        </w:tabs>
        <w:ind w:left="864" w:hanging="216"/>
      </w:pPr>
      <w:rPr>
        <w:rFonts w:ascii="Wingdings" w:hAnsi="Wingdings"/>
      </w:rPr>
    </w:lvl>
    <w:lvl w:ilvl="4">
      <w:start w:val="1"/>
      <w:numFmt w:val="bullet"/>
      <w:lvlText w:val=""/>
      <w:lvlJc w:val="left"/>
      <w:pPr>
        <w:tabs>
          <w:tab w:val="num" w:pos="1224"/>
        </w:tabs>
        <w:ind w:left="1080" w:hanging="216"/>
      </w:pPr>
      <w:rPr>
        <w:rFonts w:ascii="Wingdings" w:hAnsi="Wingdings"/>
      </w:rPr>
    </w:lvl>
    <w:lvl w:ilvl="5">
      <w:start w:val="1"/>
      <w:numFmt w:val="bullet"/>
      <w:lvlText w:val="»"/>
      <w:lvlJc w:val="left"/>
      <w:pPr>
        <w:tabs>
          <w:tab w:val="num" w:pos="1440"/>
        </w:tabs>
        <w:ind w:left="1296" w:hanging="216"/>
      </w:pPr>
      <w:rPr>
        <w:rFonts w:ascii="Times New Roman" w:hAnsi="Times New Roman"/>
      </w:rPr>
    </w:lvl>
    <w:lvl w:ilvl="6">
      <w:start w:val="1"/>
      <w:numFmt w:val="bullet"/>
      <w:lvlText w:val=""/>
      <w:lvlJc w:val="left"/>
      <w:pPr>
        <w:tabs>
          <w:tab w:val="num" w:pos="1656"/>
        </w:tabs>
        <w:ind w:left="1512" w:hanging="216"/>
      </w:pPr>
      <w:rPr>
        <w:rFonts w:ascii="Symbol" w:hAnsi="Symbol"/>
      </w:rPr>
    </w:lvl>
    <w:lvl w:ilvl="7">
      <w:start w:val="1"/>
      <w:numFmt w:val="bullet"/>
      <w:lvlText w:val="¤"/>
      <w:lvlJc w:val="left"/>
      <w:pPr>
        <w:tabs>
          <w:tab w:val="num" w:pos="1872"/>
        </w:tabs>
        <w:ind w:left="1728" w:hanging="216"/>
      </w:pPr>
      <w:rPr>
        <w:rFonts w:ascii="Times New Roman" w:hAnsi="Times New Roman"/>
      </w:rPr>
    </w:lvl>
    <w:lvl w:ilvl="8">
      <w:start w:val="1"/>
      <w:numFmt w:val="bullet"/>
      <w:lvlText w:val=""/>
      <w:lvlJc w:val="left"/>
      <w:pPr>
        <w:tabs>
          <w:tab w:val="num" w:pos="2088"/>
        </w:tabs>
        <w:ind w:left="1944" w:hanging="216"/>
      </w:pPr>
      <w:rPr>
        <w:rFonts w:ascii="Wingdings" w:hAnsi="Wingdings"/>
      </w:rPr>
    </w:lvl>
  </w:abstractNum>
  <w:abstractNum w:abstractNumId="302" w15:restartNumberingAfterBreak="0">
    <w:nsid w:val="51026DFE"/>
    <w:multiLevelType w:val="hybridMultilevel"/>
    <w:tmpl w:val="6F2434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52763156"/>
    <w:multiLevelType w:val="hybridMultilevel"/>
    <w:tmpl w:val="C2BC514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4" w15:restartNumberingAfterBreak="0">
    <w:nsid w:val="5284620F"/>
    <w:multiLevelType w:val="hybridMultilevel"/>
    <w:tmpl w:val="A5647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529F58B3"/>
    <w:multiLevelType w:val="hybridMultilevel"/>
    <w:tmpl w:val="1944CE88"/>
    <w:lvl w:ilvl="0" w:tplc="5B94D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52BF1F1E"/>
    <w:multiLevelType w:val="hybridMultilevel"/>
    <w:tmpl w:val="D55CC5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7" w15:restartNumberingAfterBreak="0">
    <w:nsid w:val="534E263E"/>
    <w:multiLevelType w:val="hybridMultilevel"/>
    <w:tmpl w:val="4F689E5C"/>
    <w:lvl w:ilvl="0" w:tplc="FFFFFFFF">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539F3594"/>
    <w:multiLevelType w:val="hybridMultilevel"/>
    <w:tmpl w:val="7582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53C15323"/>
    <w:multiLevelType w:val="hybridMultilevel"/>
    <w:tmpl w:val="7BBEB00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0" w15:restartNumberingAfterBreak="0">
    <w:nsid w:val="5474358E"/>
    <w:multiLevelType w:val="hybridMultilevel"/>
    <w:tmpl w:val="6AC0B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54A633D2"/>
    <w:multiLevelType w:val="hybridMultilevel"/>
    <w:tmpl w:val="5CB4C16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2" w15:restartNumberingAfterBreak="0">
    <w:nsid w:val="54AB622C"/>
    <w:multiLevelType w:val="hybridMultilevel"/>
    <w:tmpl w:val="2930681C"/>
    <w:lvl w:ilvl="0" w:tplc="5A4A250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3" w15:restartNumberingAfterBreak="0">
    <w:nsid w:val="54B614FA"/>
    <w:multiLevelType w:val="hybridMultilevel"/>
    <w:tmpl w:val="24902248"/>
    <w:lvl w:ilvl="0" w:tplc="5B94D1B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4" w15:restartNumberingAfterBreak="0">
    <w:nsid w:val="54B971D5"/>
    <w:multiLevelType w:val="hybridMultilevel"/>
    <w:tmpl w:val="259AEEF6"/>
    <w:lvl w:ilvl="0" w:tplc="FFFFFFFF">
      <w:start w:val="1"/>
      <w:numFmt w:val="decimal"/>
      <w:lvlText w:val="%1."/>
      <w:lvlJc w:val="left"/>
      <w:pPr>
        <w:ind w:left="720" w:hanging="360"/>
      </w:pPr>
      <w:rPr>
        <w:rFonts w:hint="default"/>
        <w:b/>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5" w15:restartNumberingAfterBreak="0">
    <w:nsid w:val="54C959C0"/>
    <w:multiLevelType w:val="hybridMultilevel"/>
    <w:tmpl w:val="A9D4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550F7012"/>
    <w:multiLevelType w:val="hybridMultilevel"/>
    <w:tmpl w:val="9B6CF0AC"/>
    <w:lvl w:ilvl="0" w:tplc="FFFFFFFF">
      <w:start w:val="1"/>
      <w:numFmt w:val="decimal"/>
      <w:lvlText w:val="%1."/>
      <w:lvlJc w:val="left"/>
      <w:pPr>
        <w:ind w:left="720" w:hanging="360"/>
      </w:pPr>
      <w:rPr>
        <w:b/>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551E1E6C"/>
    <w:multiLevelType w:val="hybridMultilevel"/>
    <w:tmpl w:val="BFB297B8"/>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720" w:hanging="360"/>
      </w:pPr>
      <w:rPr>
        <w:rFonts w:cs="Times New Roman"/>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8" w15:restartNumberingAfterBreak="0">
    <w:nsid w:val="555845DE"/>
    <w:multiLevelType w:val="hybridMultilevel"/>
    <w:tmpl w:val="3EA46AD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9" w15:restartNumberingAfterBreak="0">
    <w:nsid w:val="55893EF3"/>
    <w:multiLevelType w:val="hybridMultilevel"/>
    <w:tmpl w:val="59B03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0" w15:restartNumberingAfterBreak="0">
    <w:nsid w:val="55CE16DF"/>
    <w:multiLevelType w:val="hybridMultilevel"/>
    <w:tmpl w:val="55B43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1" w15:restartNumberingAfterBreak="0">
    <w:nsid w:val="5603669A"/>
    <w:multiLevelType w:val="hybridMultilevel"/>
    <w:tmpl w:val="03B20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56624648"/>
    <w:multiLevelType w:val="hybridMultilevel"/>
    <w:tmpl w:val="DC58C4D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3" w15:restartNumberingAfterBreak="0">
    <w:nsid w:val="56AD00BD"/>
    <w:multiLevelType w:val="hybridMultilevel"/>
    <w:tmpl w:val="34AC034E"/>
    <w:lvl w:ilvl="0" w:tplc="3B1E42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56C93036"/>
    <w:multiLevelType w:val="hybridMultilevel"/>
    <w:tmpl w:val="B4C46F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56E71EC0"/>
    <w:multiLevelType w:val="hybridMultilevel"/>
    <w:tmpl w:val="073253B4"/>
    <w:lvl w:ilvl="0" w:tplc="C06C9C26">
      <w:start w:val="1"/>
      <w:numFmt w:val="decimal"/>
      <w:lvlText w:val="%1)"/>
      <w:lvlJc w:val="left"/>
      <w:pPr>
        <w:ind w:left="360" w:hanging="360"/>
      </w:pPr>
      <w:rPr>
        <w:b w:val="0"/>
        <w:i w:val="0"/>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6" w15:restartNumberingAfterBreak="0">
    <w:nsid w:val="56FB29E9"/>
    <w:multiLevelType w:val="hybridMultilevel"/>
    <w:tmpl w:val="59D25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57651059"/>
    <w:multiLevelType w:val="hybridMultilevel"/>
    <w:tmpl w:val="D85027A6"/>
    <w:lvl w:ilvl="0" w:tplc="04090019">
      <w:start w:val="1"/>
      <w:numFmt w:val="lowerLetter"/>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720" w:hanging="360"/>
      </w:pPr>
      <w:rPr>
        <w:rFonts w:cs="Times New Roman"/>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8" w15:restartNumberingAfterBreak="0">
    <w:nsid w:val="57675F66"/>
    <w:multiLevelType w:val="hybridMultilevel"/>
    <w:tmpl w:val="3AFAF13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9" w15:restartNumberingAfterBreak="0">
    <w:nsid w:val="57824E14"/>
    <w:multiLevelType w:val="hybridMultilevel"/>
    <w:tmpl w:val="2BA0F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57A17E21"/>
    <w:multiLevelType w:val="hybridMultilevel"/>
    <w:tmpl w:val="6F2434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1" w15:restartNumberingAfterBreak="0">
    <w:nsid w:val="57A23D24"/>
    <w:multiLevelType w:val="hybridMultilevel"/>
    <w:tmpl w:val="7D080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2" w15:restartNumberingAfterBreak="0">
    <w:nsid w:val="5801652D"/>
    <w:multiLevelType w:val="hybridMultilevel"/>
    <w:tmpl w:val="872AC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58370AE2"/>
    <w:multiLevelType w:val="hybridMultilevel"/>
    <w:tmpl w:val="7F2E9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4" w15:restartNumberingAfterBreak="0">
    <w:nsid w:val="5899315F"/>
    <w:multiLevelType w:val="hybridMultilevel"/>
    <w:tmpl w:val="BFB297B8"/>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720" w:hanging="360"/>
      </w:pPr>
      <w:rPr>
        <w:rFonts w:cs="Times New Roman"/>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5" w15:restartNumberingAfterBreak="0">
    <w:nsid w:val="590C78E6"/>
    <w:multiLevelType w:val="hybridMultilevel"/>
    <w:tmpl w:val="AE2EC98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36" w15:restartNumberingAfterBreak="0">
    <w:nsid w:val="59F85796"/>
    <w:multiLevelType w:val="hybridMultilevel"/>
    <w:tmpl w:val="402AD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15:restartNumberingAfterBreak="0">
    <w:nsid w:val="5A217A96"/>
    <w:multiLevelType w:val="hybridMultilevel"/>
    <w:tmpl w:val="3CE4889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15:restartNumberingAfterBreak="0">
    <w:nsid w:val="5AD039DD"/>
    <w:multiLevelType w:val="hybridMultilevel"/>
    <w:tmpl w:val="092AFCE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15:restartNumberingAfterBreak="0">
    <w:nsid w:val="5BB31E15"/>
    <w:multiLevelType w:val="hybridMultilevel"/>
    <w:tmpl w:val="A0D0B2D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0" w15:restartNumberingAfterBreak="0">
    <w:nsid w:val="5BE242E8"/>
    <w:multiLevelType w:val="hybridMultilevel"/>
    <w:tmpl w:val="09507BDE"/>
    <w:lvl w:ilvl="0" w:tplc="FFFFFFFF">
      <w:numFmt w:val="bullet"/>
      <w:lvlText w:val=""/>
      <w:lvlJc w:val="left"/>
      <w:pPr>
        <w:tabs>
          <w:tab w:val="num" w:pos="720"/>
        </w:tabs>
        <w:ind w:left="720" w:hanging="360"/>
      </w:pPr>
      <w:rPr>
        <w:rFonts w:ascii="Symbol" w:hAnsi="Symbol" w:hint="default"/>
        <w:color w:val="auto"/>
      </w:rPr>
    </w:lvl>
    <w:lvl w:ilvl="1" w:tplc="9CCCC2EA">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5BFA5FE6"/>
    <w:multiLevelType w:val="hybridMultilevel"/>
    <w:tmpl w:val="74020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15:restartNumberingAfterBreak="0">
    <w:nsid w:val="5C317F4B"/>
    <w:multiLevelType w:val="hybridMultilevel"/>
    <w:tmpl w:val="52E4803E"/>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3" w15:restartNumberingAfterBreak="0">
    <w:nsid w:val="5CD22999"/>
    <w:multiLevelType w:val="hybridMultilevel"/>
    <w:tmpl w:val="1346B07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15:restartNumberingAfterBreak="0">
    <w:nsid w:val="5D14101B"/>
    <w:multiLevelType w:val="hybridMultilevel"/>
    <w:tmpl w:val="0EF66FB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15:restartNumberingAfterBreak="0">
    <w:nsid w:val="5DD50CA4"/>
    <w:multiLevelType w:val="hybridMultilevel"/>
    <w:tmpl w:val="3228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5E1B0A6D"/>
    <w:multiLevelType w:val="hybridMultilevel"/>
    <w:tmpl w:val="2EE46C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5E616B62"/>
    <w:multiLevelType w:val="hybridMultilevel"/>
    <w:tmpl w:val="15768C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5EBB6789"/>
    <w:multiLevelType w:val="hybridMultilevel"/>
    <w:tmpl w:val="B8A8B57A"/>
    <w:lvl w:ilvl="0" w:tplc="FFFFFFFF">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9" w15:restartNumberingAfterBreak="0">
    <w:nsid w:val="5EC43E6D"/>
    <w:multiLevelType w:val="hybridMultilevel"/>
    <w:tmpl w:val="C41047CC"/>
    <w:lvl w:ilvl="0" w:tplc="EE5A8B06">
      <w:start w:val="12"/>
      <w:numFmt w:val="decimal"/>
      <w:lvlText w:val="%1)"/>
      <w:lvlJc w:val="left"/>
      <w:pPr>
        <w:ind w:left="36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5EE96CD3"/>
    <w:multiLevelType w:val="hybridMultilevel"/>
    <w:tmpl w:val="7458C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5F562750"/>
    <w:multiLevelType w:val="hybridMultilevel"/>
    <w:tmpl w:val="7FFEBE7E"/>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2" w15:restartNumberingAfterBreak="0">
    <w:nsid w:val="5F67432A"/>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53" w15:restartNumberingAfterBreak="0">
    <w:nsid w:val="5F6E3BA6"/>
    <w:multiLevelType w:val="hybridMultilevel"/>
    <w:tmpl w:val="40EE3DE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4" w15:restartNumberingAfterBreak="0">
    <w:nsid w:val="5FA746FF"/>
    <w:multiLevelType w:val="hybridMultilevel"/>
    <w:tmpl w:val="007A883E"/>
    <w:lvl w:ilvl="0" w:tplc="32F41FE6">
      <w:start w:val="1"/>
      <w:numFmt w:val="decimal"/>
      <w:lvlText w:val="%1."/>
      <w:lvlJc w:val="left"/>
      <w:pPr>
        <w:ind w:left="360" w:hanging="360"/>
      </w:pPr>
      <w:rPr>
        <w:b w:val="0"/>
        <w:bCs/>
        <w:i w:val="0"/>
        <w:i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720" w:hanging="360"/>
      </w:pPr>
      <w:rPr>
        <w:rFonts w:cs="Times New Roman"/>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5" w15:restartNumberingAfterBreak="0">
    <w:nsid w:val="600915A6"/>
    <w:multiLevelType w:val="hybridMultilevel"/>
    <w:tmpl w:val="71AA0C5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6" w15:restartNumberingAfterBreak="0">
    <w:nsid w:val="600C0903"/>
    <w:multiLevelType w:val="hybridMultilevel"/>
    <w:tmpl w:val="B4188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15:restartNumberingAfterBreak="0">
    <w:nsid w:val="60D056F4"/>
    <w:multiLevelType w:val="hybridMultilevel"/>
    <w:tmpl w:val="321C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15:restartNumberingAfterBreak="0">
    <w:nsid w:val="617A542E"/>
    <w:multiLevelType w:val="hybridMultilevel"/>
    <w:tmpl w:val="43321FF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15:restartNumberingAfterBreak="0">
    <w:nsid w:val="61A67A50"/>
    <w:multiLevelType w:val="hybridMultilevel"/>
    <w:tmpl w:val="30106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621205E2"/>
    <w:multiLevelType w:val="hybridMultilevel"/>
    <w:tmpl w:val="CDDC0438"/>
    <w:lvl w:ilvl="0" w:tplc="04090001">
      <w:start w:val="1"/>
      <w:numFmt w:val="bullet"/>
      <w:lvlText w:val=""/>
      <w:lvlJc w:val="left"/>
      <w:pPr>
        <w:tabs>
          <w:tab w:val="num" w:pos="936"/>
        </w:tabs>
        <w:ind w:left="936"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61" w15:restartNumberingAfterBreak="0">
    <w:nsid w:val="62385609"/>
    <w:multiLevelType w:val="hybridMultilevel"/>
    <w:tmpl w:val="AC48F85E"/>
    <w:lvl w:ilvl="0" w:tplc="C13A4FB6">
      <w:start w:val="1"/>
      <w:numFmt w:val="decimal"/>
      <w:lvlText w:val="%1)"/>
      <w:lvlJc w:val="left"/>
      <w:pPr>
        <w:ind w:left="360" w:hanging="360"/>
      </w:pPr>
      <w:rPr>
        <w:rFonts w:hint="default"/>
        <w:b/>
        <w:i w:val="0"/>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2" w15:restartNumberingAfterBreak="0">
    <w:nsid w:val="62687E63"/>
    <w:multiLevelType w:val="hybridMultilevel"/>
    <w:tmpl w:val="CC30FB1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15:restartNumberingAfterBreak="0">
    <w:nsid w:val="62D2560F"/>
    <w:multiLevelType w:val="hybridMultilevel"/>
    <w:tmpl w:val="994C7AC4"/>
    <w:lvl w:ilvl="0" w:tplc="A0E0372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4" w15:restartNumberingAfterBreak="0">
    <w:nsid w:val="636569E0"/>
    <w:multiLevelType w:val="hybridMultilevel"/>
    <w:tmpl w:val="3F702622"/>
    <w:styleLink w:val="1111112"/>
    <w:lvl w:ilvl="0" w:tplc="355EE706">
      <w:start w:val="1"/>
      <w:numFmt w:val="bullet"/>
      <w:lvlText w:val=""/>
      <w:lvlJc w:val="left"/>
      <w:pPr>
        <w:tabs>
          <w:tab w:val="num" w:pos="720"/>
        </w:tabs>
        <w:ind w:left="720" w:hanging="360"/>
      </w:pPr>
      <w:rPr>
        <w:rFonts w:ascii="Symbol" w:hAnsi="Symbol" w:hint="default"/>
        <w:color w:val="auto"/>
      </w:rPr>
    </w:lvl>
    <w:lvl w:ilvl="1" w:tplc="9CCCC2E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5" w15:restartNumberingAfterBreak="0">
    <w:nsid w:val="63835D5E"/>
    <w:multiLevelType w:val="hybridMultilevel"/>
    <w:tmpl w:val="5280917C"/>
    <w:lvl w:ilvl="0" w:tplc="67800A46">
      <w:start w:val="1"/>
      <w:numFmt w:val="bullet"/>
      <w:lvlText w:val=""/>
      <w:lvlJc w:val="left"/>
      <w:pPr>
        <w:ind w:left="360" w:hanging="360"/>
      </w:pPr>
      <w:rPr>
        <w:rFonts w:ascii="Wingdings" w:hAnsi="Wingdings" w:hint="default"/>
        <w:b/>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15:restartNumberingAfterBreak="0">
    <w:nsid w:val="63B26545"/>
    <w:multiLevelType w:val="hybridMultilevel"/>
    <w:tmpl w:val="D898D9C8"/>
    <w:lvl w:ilvl="0" w:tplc="6E1A5FEE">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7" w15:restartNumberingAfterBreak="0">
    <w:nsid w:val="63B31355"/>
    <w:multiLevelType w:val="hybridMultilevel"/>
    <w:tmpl w:val="CA8AA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644E455B"/>
    <w:multiLevelType w:val="hybridMultilevel"/>
    <w:tmpl w:val="2E88A02E"/>
    <w:lvl w:ilvl="0" w:tplc="9C4E00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646F5362"/>
    <w:multiLevelType w:val="hybridMultilevel"/>
    <w:tmpl w:val="60AC40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0" w15:restartNumberingAfterBreak="0">
    <w:nsid w:val="64B53197"/>
    <w:multiLevelType w:val="hybridMultilevel"/>
    <w:tmpl w:val="3A54F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15:restartNumberingAfterBreak="0">
    <w:nsid w:val="64C528E6"/>
    <w:multiLevelType w:val="hybridMultilevel"/>
    <w:tmpl w:val="9446EAD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15:restartNumberingAfterBreak="0">
    <w:nsid w:val="64DD2DE4"/>
    <w:multiLevelType w:val="hybridMultilevel"/>
    <w:tmpl w:val="5F1C1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15:restartNumberingAfterBreak="0">
    <w:nsid w:val="650673EE"/>
    <w:multiLevelType w:val="hybridMultilevel"/>
    <w:tmpl w:val="471A1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15:restartNumberingAfterBreak="0">
    <w:nsid w:val="65552D0E"/>
    <w:multiLevelType w:val="hybridMultilevel"/>
    <w:tmpl w:val="72B86264"/>
    <w:lvl w:ilvl="0" w:tplc="39D85EA8">
      <w:start w:val="1"/>
      <w:numFmt w:val="bullet"/>
      <w:lvlText w:val="o"/>
      <w:lvlJc w:val="left"/>
      <w:pPr>
        <w:ind w:left="360" w:hanging="360"/>
      </w:pPr>
      <w:rPr>
        <w:rFonts w:ascii="Courier New" w:hAnsi="Courier New" w:cs="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15:restartNumberingAfterBreak="0">
    <w:nsid w:val="657B7C04"/>
    <w:multiLevelType w:val="hybridMultilevel"/>
    <w:tmpl w:val="D334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15:restartNumberingAfterBreak="0">
    <w:nsid w:val="660A6392"/>
    <w:multiLevelType w:val="hybridMultilevel"/>
    <w:tmpl w:val="53CE5514"/>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7" w15:restartNumberingAfterBreak="0">
    <w:nsid w:val="6619163B"/>
    <w:multiLevelType w:val="hybridMultilevel"/>
    <w:tmpl w:val="A6A2343E"/>
    <w:lvl w:ilvl="0" w:tplc="981ACD96">
      <w:start w:val="1"/>
      <w:numFmt w:val="bullet"/>
      <w:lvlText w:val=""/>
      <w:lvlJc w:val="left"/>
      <w:pPr>
        <w:ind w:left="360" w:hanging="360"/>
      </w:pPr>
      <w:rPr>
        <w:rFonts w:ascii="Wingdings" w:hAnsi="Wingdings" w:hint="default"/>
        <w:b/>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8" w15:restartNumberingAfterBreak="0">
    <w:nsid w:val="663B39F3"/>
    <w:multiLevelType w:val="hybridMultilevel"/>
    <w:tmpl w:val="EA729D72"/>
    <w:lvl w:ilvl="0" w:tplc="9FE487D0">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9" w15:restartNumberingAfterBreak="0">
    <w:nsid w:val="668C4AF5"/>
    <w:multiLevelType w:val="hybridMultilevel"/>
    <w:tmpl w:val="C38ED1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15:restartNumberingAfterBreak="0">
    <w:nsid w:val="66A0540D"/>
    <w:multiLevelType w:val="hybridMultilevel"/>
    <w:tmpl w:val="1A14D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1" w15:restartNumberingAfterBreak="0">
    <w:nsid w:val="66F46937"/>
    <w:multiLevelType w:val="hybridMultilevel"/>
    <w:tmpl w:val="757A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2" w15:restartNumberingAfterBreak="0">
    <w:nsid w:val="66F7677F"/>
    <w:multiLevelType w:val="hybridMultilevel"/>
    <w:tmpl w:val="68D41F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3" w15:restartNumberingAfterBreak="0">
    <w:nsid w:val="6718436C"/>
    <w:multiLevelType w:val="hybridMultilevel"/>
    <w:tmpl w:val="A6269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15:restartNumberingAfterBreak="0">
    <w:nsid w:val="67EA3F95"/>
    <w:multiLevelType w:val="hybridMultilevel"/>
    <w:tmpl w:val="11C8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68623B6B"/>
    <w:multiLevelType w:val="hybridMultilevel"/>
    <w:tmpl w:val="63506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15:restartNumberingAfterBreak="0">
    <w:nsid w:val="688D2541"/>
    <w:multiLevelType w:val="hybridMultilevel"/>
    <w:tmpl w:val="D604DCE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87" w15:restartNumberingAfterBreak="0">
    <w:nsid w:val="68A2586B"/>
    <w:multiLevelType w:val="hybridMultilevel"/>
    <w:tmpl w:val="1EAE6A12"/>
    <w:lvl w:ilvl="0" w:tplc="6D8AD26E">
      <w:start w:val="1"/>
      <w:numFmt w:val="bullet"/>
      <w:lvlText w:val=""/>
      <w:lvlJc w:val="left"/>
      <w:pPr>
        <w:ind w:left="360" w:hanging="360"/>
      </w:pPr>
      <w:rPr>
        <w:rFonts w:ascii="Wingdings" w:hAnsi="Wingdings" w:hint="default"/>
        <w:i w:val="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8" w15:restartNumberingAfterBreak="0">
    <w:nsid w:val="699E110C"/>
    <w:multiLevelType w:val="hybridMultilevel"/>
    <w:tmpl w:val="901AA61A"/>
    <w:lvl w:ilvl="0" w:tplc="0409000F">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9" w15:restartNumberingAfterBreak="0">
    <w:nsid w:val="69AD6854"/>
    <w:multiLevelType w:val="hybridMultilevel"/>
    <w:tmpl w:val="0FDE0A18"/>
    <w:lvl w:ilvl="0" w:tplc="9E5E0C90">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decimal"/>
      <w:lvlText w:val="%5)"/>
      <w:lvlJc w:val="left"/>
      <w:pPr>
        <w:ind w:left="720" w:hanging="360"/>
      </w:pPr>
      <w:rPr>
        <w:rFonts w:cs="Times New Roman"/>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0" w15:restartNumberingAfterBreak="0">
    <w:nsid w:val="6A9F2256"/>
    <w:multiLevelType w:val="hybridMultilevel"/>
    <w:tmpl w:val="C55CEE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1" w15:restartNumberingAfterBreak="0">
    <w:nsid w:val="6AB573BE"/>
    <w:multiLevelType w:val="hybridMultilevel"/>
    <w:tmpl w:val="FED03DA6"/>
    <w:lvl w:ilvl="0" w:tplc="531A69D2">
      <w:start w:val="1"/>
      <w:numFmt w:val="bullet"/>
      <w:lvlText w:val=""/>
      <w:lvlJc w:val="left"/>
      <w:pPr>
        <w:ind w:left="720" w:hanging="360"/>
      </w:pPr>
      <w:rPr>
        <w:rFonts w:ascii="Symbol" w:hAnsi="Symbol"/>
      </w:rPr>
    </w:lvl>
    <w:lvl w:ilvl="1" w:tplc="1FBCC74C">
      <w:start w:val="1"/>
      <w:numFmt w:val="bullet"/>
      <w:lvlText w:val=""/>
      <w:lvlJc w:val="left"/>
      <w:pPr>
        <w:ind w:left="720" w:hanging="360"/>
      </w:pPr>
      <w:rPr>
        <w:rFonts w:ascii="Symbol" w:hAnsi="Symbol"/>
      </w:rPr>
    </w:lvl>
    <w:lvl w:ilvl="2" w:tplc="65222636">
      <w:start w:val="1"/>
      <w:numFmt w:val="bullet"/>
      <w:lvlText w:val=""/>
      <w:lvlJc w:val="left"/>
      <w:pPr>
        <w:ind w:left="720" w:hanging="360"/>
      </w:pPr>
      <w:rPr>
        <w:rFonts w:ascii="Symbol" w:hAnsi="Symbol"/>
      </w:rPr>
    </w:lvl>
    <w:lvl w:ilvl="3" w:tplc="5B624C60">
      <w:start w:val="1"/>
      <w:numFmt w:val="bullet"/>
      <w:lvlText w:val=""/>
      <w:lvlJc w:val="left"/>
      <w:pPr>
        <w:ind w:left="720" w:hanging="360"/>
      </w:pPr>
      <w:rPr>
        <w:rFonts w:ascii="Symbol" w:hAnsi="Symbol"/>
      </w:rPr>
    </w:lvl>
    <w:lvl w:ilvl="4" w:tplc="953C8AD4">
      <w:start w:val="1"/>
      <w:numFmt w:val="bullet"/>
      <w:lvlText w:val=""/>
      <w:lvlJc w:val="left"/>
      <w:pPr>
        <w:ind w:left="720" w:hanging="360"/>
      </w:pPr>
      <w:rPr>
        <w:rFonts w:ascii="Symbol" w:hAnsi="Symbol"/>
      </w:rPr>
    </w:lvl>
    <w:lvl w:ilvl="5" w:tplc="63088F86">
      <w:start w:val="1"/>
      <w:numFmt w:val="bullet"/>
      <w:lvlText w:val=""/>
      <w:lvlJc w:val="left"/>
      <w:pPr>
        <w:ind w:left="720" w:hanging="360"/>
      </w:pPr>
      <w:rPr>
        <w:rFonts w:ascii="Symbol" w:hAnsi="Symbol"/>
      </w:rPr>
    </w:lvl>
    <w:lvl w:ilvl="6" w:tplc="7FE4F6C6">
      <w:start w:val="1"/>
      <w:numFmt w:val="bullet"/>
      <w:lvlText w:val=""/>
      <w:lvlJc w:val="left"/>
      <w:pPr>
        <w:ind w:left="720" w:hanging="360"/>
      </w:pPr>
      <w:rPr>
        <w:rFonts w:ascii="Symbol" w:hAnsi="Symbol"/>
      </w:rPr>
    </w:lvl>
    <w:lvl w:ilvl="7" w:tplc="BF245DDC">
      <w:start w:val="1"/>
      <w:numFmt w:val="bullet"/>
      <w:lvlText w:val=""/>
      <w:lvlJc w:val="left"/>
      <w:pPr>
        <w:ind w:left="720" w:hanging="360"/>
      </w:pPr>
      <w:rPr>
        <w:rFonts w:ascii="Symbol" w:hAnsi="Symbol"/>
      </w:rPr>
    </w:lvl>
    <w:lvl w:ilvl="8" w:tplc="5838B206">
      <w:start w:val="1"/>
      <w:numFmt w:val="bullet"/>
      <w:lvlText w:val=""/>
      <w:lvlJc w:val="left"/>
      <w:pPr>
        <w:ind w:left="720" w:hanging="360"/>
      </w:pPr>
      <w:rPr>
        <w:rFonts w:ascii="Symbol" w:hAnsi="Symbol"/>
      </w:rPr>
    </w:lvl>
  </w:abstractNum>
  <w:abstractNum w:abstractNumId="392" w15:restartNumberingAfterBreak="0">
    <w:nsid w:val="6AB85519"/>
    <w:multiLevelType w:val="hybridMultilevel"/>
    <w:tmpl w:val="D7B260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3" w15:restartNumberingAfterBreak="0">
    <w:nsid w:val="6AEB03EE"/>
    <w:multiLevelType w:val="hybridMultilevel"/>
    <w:tmpl w:val="F3BE87E4"/>
    <w:lvl w:ilvl="0" w:tplc="0200F68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4" w15:restartNumberingAfterBreak="0">
    <w:nsid w:val="6AEE0192"/>
    <w:multiLevelType w:val="hybridMultilevel"/>
    <w:tmpl w:val="E89AD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5" w15:restartNumberingAfterBreak="0">
    <w:nsid w:val="6B4D4065"/>
    <w:multiLevelType w:val="hybridMultilevel"/>
    <w:tmpl w:val="DFB811DA"/>
    <w:lvl w:ilvl="0" w:tplc="71006AC0">
      <w:start w:val="1"/>
      <w:numFmt w:val="decimal"/>
      <w:suff w:val="space"/>
      <w:lvlText w:val="%1)"/>
      <w:lvlJc w:val="left"/>
      <w:pPr>
        <w:ind w:left="360" w:hanging="21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6" w15:restartNumberingAfterBreak="0">
    <w:nsid w:val="6B51624A"/>
    <w:multiLevelType w:val="hybridMultilevel"/>
    <w:tmpl w:val="D7DCA26C"/>
    <w:lvl w:ilvl="0" w:tplc="67800A46">
      <w:start w:val="1"/>
      <w:numFmt w:val="bullet"/>
      <w:lvlText w:val=""/>
      <w:lvlJc w:val="left"/>
      <w:pPr>
        <w:ind w:left="720" w:hanging="360"/>
      </w:pPr>
      <w:rPr>
        <w:rFonts w:ascii="Wingdings" w:hAnsi="Wingdings" w:hint="default"/>
        <w:b/>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7" w15:restartNumberingAfterBreak="0">
    <w:nsid w:val="6BDB7530"/>
    <w:multiLevelType w:val="hybridMultilevel"/>
    <w:tmpl w:val="2C983A0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8" w15:restartNumberingAfterBreak="0">
    <w:nsid w:val="6BDE7A1F"/>
    <w:multiLevelType w:val="hybridMultilevel"/>
    <w:tmpl w:val="2BCA523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9" w15:restartNumberingAfterBreak="0">
    <w:nsid w:val="6CB51D80"/>
    <w:multiLevelType w:val="hybridMultilevel"/>
    <w:tmpl w:val="1CDA45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0" w15:restartNumberingAfterBreak="0">
    <w:nsid w:val="6CCD3BEE"/>
    <w:multiLevelType w:val="hybridMultilevel"/>
    <w:tmpl w:val="259AEEF6"/>
    <w:lvl w:ilvl="0" w:tplc="B69C112C">
      <w:start w:val="1"/>
      <w:numFmt w:val="decimal"/>
      <w:lvlText w:val="%1."/>
      <w:lvlJc w:val="left"/>
      <w:pPr>
        <w:ind w:left="720" w:hanging="360"/>
      </w:pPr>
      <w:rPr>
        <w:rFonts w:hint="default"/>
        <w:b/>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1" w15:restartNumberingAfterBreak="0">
    <w:nsid w:val="6D1F7B6E"/>
    <w:multiLevelType w:val="hybridMultilevel"/>
    <w:tmpl w:val="F5BE37A4"/>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402" w15:restartNumberingAfterBreak="0">
    <w:nsid w:val="6E00480B"/>
    <w:multiLevelType w:val="hybridMultilevel"/>
    <w:tmpl w:val="493875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3" w15:restartNumberingAfterBreak="0">
    <w:nsid w:val="6E3A71F2"/>
    <w:multiLevelType w:val="hybridMultilevel"/>
    <w:tmpl w:val="5650C8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4" w15:restartNumberingAfterBreak="0">
    <w:nsid w:val="6E7F41B8"/>
    <w:multiLevelType w:val="multilevel"/>
    <w:tmpl w:val="0A022C6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5" w15:restartNumberingAfterBreak="0">
    <w:nsid w:val="6F427AB6"/>
    <w:multiLevelType w:val="hybridMultilevel"/>
    <w:tmpl w:val="DF08E1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6" w15:restartNumberingAfterBreak="0">
    <w:nsid w:val="6F777C78"/>
    <w:multiLevelType w:val="hybridMultilevel"/>
    <w:tmpl w:val="9EF6EE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7" w15:restartNumberingAfterBreak="0">
    <w:nsid w:val="6F863E25"/>
    <w:multiLevelType w:val="hybridMultilevel"/>
    <w:tmpl w:val="AA08835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8" w15:restartNumberingAfterBreak="0">
    <w:nsid w:val="6F8C1B88"/>
    <w:multiLevelType w:val="hybridMultilevel"/>
    <w:tmpl w:val="B98CE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9" w15:restartNumberingAfterBreak="0">
    <w:nsid w:val="6FCB0BB9"/>
    <w:multiLevelType w:val="hybridMultilevel"/>
    <w:tmpl w:val="F856B3B8"/>
    <w:lvl w:ilvl="0" w:tplc="433CCCDA">
      <w:start w:val="1"/>
      <w:numFmt w:val="decimal"/>
      <w:lvlText w:val="%1."/>
      <w:lvlJc w:val="left"/>
      <w:pPr>
        <w:ind w:left="720" w:hanging="360"/>
      </w:pPr>
      <w:rPr>
        <w:rFonts w:ascii="Arial" w:eastAsia="Times New Roman" w:hAnsi="Arial" w:cstheme="minorHAnsi"/>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70860A58"/>
    <w:multiLevelType w:val="hybridMultilevel"/>
    <w:tmpl w:val="E368911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1" w15:restartNumberingAfterBreak="0">
    <w:nsid w:val="70B92DA3"/>
    <w:multiLevelType w:val="hybridMultilevel"/>
    <w:tmpl w:val="E8F24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2" w15:restartNumberingAfterBreak="0">
    <w:nsid w:val="7174459A"/>
    <w:multiLevelType w:val="hybridMultilevel"/>
    <w:tmpl w:val="C7F4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3" w15:restartNumberingAfterBreak="0">
    <w:nsid w:val="71B32CD6"/>
    <w:multiLevelType w:val="hybridMultilevel"/>
    <w:tmpl w:val="7164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15:restartNumberingAfterBreak="0">
    <w:nsid w:val="72F50142"/>
    <w:multiLevelType w:val="hybridMultilevel"/>
    <w:tmpl w:val="BC3852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5" w15:restartNumberingAfterBreak="0">
    <w:nsid w:val="73000AFF"/>
    <w:multiLevelType w:val="hybridMultilevel"/>
    <w:tmpl w:val="1356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15:restartNumberingAfterBreak="0">
    <w:nsid w:val="733743F6"/>
    <w:multiLevelType w:val="hybridMultilevel"/>
    <w:tmpl w:val="C8527C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17" w15:restartNumberingAfterBreak="0">
    <w:nsid w:val="73764F58"/>
    <w:multiLevelType w:val="hybridMultilevel"/>
    <w:tmpl w:val="E0DACDE0"/>
    <w:lvl w:ilvl="0" w:tplc="04090001">
      <w:start w:val="1"/>
      <w:numFmt w:val="bullet"/>
      <w:lvlText w:val=""/>
      <w:lvlJc w:val="left"/>
      <w:pPr>
        <w:tabs>
          <w:tab w:val="num" w:pos="720"/>
        </w:tabs>
        <w:ind w:left="720" w:hanging="360"/>
      </w:pPr>
      <w:rPr>
        <w:rFonts w:ascii="Symbol" w:hAnsi="Symbol" w:hint="default"/>
      </w:rPr>
    </w:lvl>
    <w:lvl w:ilvl="1" w:tplc="9CCCC2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8" w15:restartNumberingAfterBreak="0">
    <w:nsid w:val="73A12A55"/>
    <w:multiLevelType w:val="hybridMultilevel"/>
    <w:tmpl w:val="859E729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9" w15:restartNumberingAfterBreak="0">
    <w:nsid w:val="745E0CE0"/>
    <w:multiLevelType w:val="hybridMultilevel"/>
    <w:tmpl w:val="5B50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0" w15:restartNumberingAfterBreak="0">
    <w:nsid w:val="74813A85"/>
    <w:multiLevelType w:val="hybridMultilevel"/>
    <w:tmpl w:val="88664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1" w15:restartNumberingAfterBreak="0">
    <w:nsid w:val="74AA67FA"/>
    <w:multiLevelType w:val="hybridMultilevel"/>
    <w:tmpl w:val="4226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2" w15:restartNumberingAfterBreak="0">
    <w:nsid w:val="75BD2FDF"/>
    <w:multiLevelType w:val="hybridMultilevel"/>
    <w:tmpl w:val="5BE0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3" w15:restartNumberingAfterBreak="0">
    <w:nsid w:val="75DE205B"/>
    <w:multiLevelType w:val="hybridMultilevel"/>
    <w:tmpl w:val="FC82D1B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4" w15:restartNumberingAfterBreak="0">
    <w:nsid w:val="75E34AB2"/>
    <w:multiLevelType w:val="hybridMultilevel"/>
    <w:tmpl w:val="A1085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5" w15:restartNumberingAfterBreak="0">
    <w:nsid w:val="7628218B"/>
    <w:multiLevelType w:val="hybridMultilevel"/>
    <w:tmpl w:val="07D6196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6" w15:restartNumberingAfterBreak="0">
    <w:nsid w:val="764172DC"/>
    <w:multiLevelType w:val="singleLevel"/>
    <w:tmpl w:val="0FFA25D2"/>
    <w:lvl w:ilvl="0">
      <w:start w:val="1"/>
      <w:numFmt w:val="decimal"/>
      <w:lvlText w:val="%1)"/>
      <w:lvlJc w:val="left"/>
      <w:pPr>
        <w:ind w:left="720" w:hanging="360"/>
      </w:pPr>
      <w:rPr>
        <w:rFonts w:cs="Times New Roman"/>
      </w:rPr>
    </w:lvl>
  </w:abstractNum>
  <w:abstractNum w:abstractNumId="427" w15:restartNumberingAfterBreak="0">
    <w:nsid w:val="765165C8"/>
    <w:multiLevelType w:val="hybridMultilevel"/>
    <w:tmpl w:val="CFDE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8" w15:restartNumberingAfterBreak="0">
    <w:nsid w:val="767B0E5D"/>
    <w:multiLevelType w:val="hybridMultilevel"/>
    <w:tmpl w:val="5EE04A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9" w15:restartNumberingAfterBreak="0">
    <w:nsid w:val="76917907"/>
    <w:multiLevelType w:val="hybridMultilevel"/>
    <w:tmpl w:val="0A7A4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0" w15:restartNumberingAfterBreak="0">
    <w:nsid w:val="76987A77"/>
    <w:multiLevelType w:val="hybridMultilevel"/>
    <w:tmpl w:val="DDCA2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1" w15:restartNumberingAfterBreak="0">
    <w:nsid w:val="782F6A20"/>
    <w:multiLevelType w:val="hybridMultilevel"/>
    <w:tmpl w:val="4F2251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2" w15:restartNumberingAfterBreak="0">
    <w:nsid w:val="787F6E03"/>
    <w:multiLevelType w:val="hybridMultilevel"/>
    <w:tmpl w:val="51EC4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3" w15:restartNumberingAfterBreak="0">
    <w:nsid w:val="789407E2"/>
    <w:multiLevelType w:val="hybridMultilevel"/>
    <w:tmpl w:val="371CBA0A"/>
    <w:lvl w:ilvl="0" w:tplc="6FDCB6E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78AA5ED4"/>
    <w:multiLevelType w:val="hybridMultilevel"/>
    <w:tmpl w:val="5A829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5" w15:restartNumberingAfterBreak="0">
    <w:nsid w:val="78FB02F7"/>
    <w:multiLevelType w:val="hybridMultilevel"/>
    <w:tmpl w:val="38D0DB2E"/>
    <w:lvl w:ilvl="0" w:tplc="F5EACEC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6" w15:restartNumberingAfterBreak="0">
    <w:nsid w:val="7918578F"/>
    <w:multiLevelType w:val="hybridMultilevel"/>
    <w:tmpl w:val="B25C2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7" w15:restartNumberingAfterBreak="0">
    <w:nsid w:val="79187099"/>
    <w:multiLevelType w:val="hybridMultilevel"/>
    <w:tmpl w:val="BAC24984"/>
    <w:lvl w:ilvl="0" w:tplc="04090011">
      <w:start w:val="1"/>
      <w:numFmt w:val="decimal"/>
      <w:lvlText w:val="%1)"/>
      <w:lvlJc w:val="left"/>
      <w:pPr>
        <w:ind w:left="720" w:hanging="360"/>
      </w:pPr>
      <w:rPr>
        <w:rFonts w:hint="default"/>
      </w:rPr>
    </w:lvl>
    <w:lvl w:ilvl="1" w:tplc="9C7CC65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791E4DAC"/>
    <w:multiLevelType w:val="hybridMultilevel"/>
    <w:tmpl w:val="26EC7E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9" w15:restartNumberingAfterBreak="0">
    <w:nsid w:val="79527FC8"/>
    <w:multiLevelType w:val="hybridMultilevel"/>
    <w:tmpl w:val="CD66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0" w15:restartNumberingAfterBreak="0">
    <w:nsid w:val="795D42D9"/>
    <w:multiLevelType w:val="hybridMultilevel"/>
    <w:tmpl w:val="7A56A12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1" w15:restartNumberingAfterBreak="0">
    <w:nsid w:val="796E472E"/>
    <w:multiLevelType w:val="hybridMultilevel"/>
    <w:tmpl w:val="F32A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2" w15:restartNumberingAfterBreak="0">
    <w:nsid w:val="798772C6"/>
    <w:multiLevelType w:val="hybridMultilevel"/>
    <w:tmpl w:val="A716790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3" w15:restartNumberingAfterBreak="0">
    <w:nsid w:val="79A8010B"/>
    <w:multiLevelType w:val="hybridMultilevel"/>
    <w:tmpl w:val="51F0B77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4" w15:restartNumberingAfterBreak="0">
    <w:nsid w:val="79AD3A26"/>
    <w:multiLevelType w:val="multilevel"/>
    <w:tmpl w:val="9C362BFA"/>
    <w:lvl w:ilvl="0">
      <w:start w:val="1"/>
      <w:numFmt w:val="decimal"/>
      <w:lvlText w:val="%1)"/>
      <w:lvlJc w:val="left"/>
      <w:pPr>
        <w:ind w:left="360" w:hanging="360"/>
      </w:pPr>
      <w:rPr>
        <w:rFonts w:cs="Times New Roman" w:hint="default"/>
        <w:i w:val="0"/>
        <w:color w:val="auto"/>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5" w15:restartNumberingAfterBreak="0">
    <w:nsid w:val="7AA43591"/>
    <w:multiLevelType w:val="hybridMultilevel"/>
    <w:tmpl w:val="92B834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6" w15:restartNumberingAfterBreak="0">
    <w:nsid w:val="7AE20367"/>
    <w:multiLevelType w:val="hybridMultilevel"/>
    <w:tmpl w:val="6F2434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7" w15:restartNumberingAfterBreak="0">
    <w:nsid w:val="7B611475"/>
    <w:multiLevelType w:val="hybridMultilevel"/>
    <w:tmpl w:val="11E4D74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8" w15:restartNumberingAfterBreak="0">
    <w:nsid w:val="7B6D4EA1"/>
    <w:multiLevelType w:val="hybridMultilevel"/>
    <w:tmpl w:val="814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9" w15:restartNumberingAfterBreak="0">
    <w:nsid w:val="7C232A74"/>
    <w:multiLevelType w:val="hybridMultilevel"/>
    <w:tmpl w:val="C44E982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0" w15:restartNumberingAfterBreak="0">
    <w:nsid w:val="7C7906E1"/>
    <w:multiLevelType w:val="hybridMultilevel"/>
    <w:tmpl w:val="4D96C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1" w15:restartNumberingAfterBreak="0">
    <w:nsid w:val="7CC14A5A"/>
    <w:multiLevelType w:val="hybridMultilevel"/>
    <w:tmpl w:val="2BD4E59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2" w15:restartNumberingAfterBreak="0">
    <w:nsid w:val="7D2830F1"/>
    <w:multiLevelType w:val="hybridMultilevel"/>
    <w:tmpl w:val="EF66B4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3" w15:restartNumberingAfterBreak="0">
    <w:nsid w:val="7D3364E2"/>
    <w:multiLevelType w:val="hybridMultilevel"/>
    <w:tmpl w:val="F5A8F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4" w15:restartNumberingAfterBreak="0">
    <w:nsid w:val="7D783B06"/>
    <w:multiLevelType w:val="hybridMultilevel"/>
    <w:tmpl w:val="05D88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5" w15:restartNumberingAfterBreak="0">
    <w:nsid w:val="7D9F136B"/>
    <w:multiLevelType w:val="hybridMultilevel"/>
    <w:tmpl w:val="31366080"/>
    <w:lvl w:ilvl="0" w:tplc="04090001">
      <w:start w:val="1"/>
      <w:numFmt w:val="bullet"/>
      <w:lvlText w:val=""/>
      <w:lvlJc w:val="left"/>
      <w:pPr>
        <w:ind w:left="432" w:hanging="216"/>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56" w15:restartNumberingAfterBreak="0">
    <w:nsid w:val="7E33325D"/>
    <w:multiLevelType w:val="hybridMultilevel"/>
    <w:tmpl w:val="C20CC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7" w15:restartNumberingAfterBreak="0">
    <w:nsid w:val="7E5A1E37"/>
    <w:multiLevelType w:val="hybridMultilevel"/>
    <w:tmpl w:val="C256E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8" w15:restartNumberingAfterBreak="0">
    <w:nsid w:val="7E5A26B7"/>
    <w:multiLevelType w:val="hybridMultilevel"/>
    <w:tmpl w:val="00EE234E"/>
    <w:lvl w:ilvl="0" w:tplc="5B94D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9" w15:restartNumberingAfterBreak="0">
    <w:nsid w:val="7EFF4287"/>
    <w:multiLevelType w:val="hybridMultilevel"/>
    <w:tmpl w:val="0D34E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0" w15:restartNumberingAfterBreak="0">
    <w:nsid w:val="7F617A0B"/>
    <w:multiLevelType w:val="hybridMultilevel"/>
    <w:tmpl w:val="88801C9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1" w15:restartNumberingAfterBreak="0">
    <w:nsid w:val="7F6F095A"/>
    <w:multiLevelType w:val="singleLevel"/>
    <w:tmpl w:val="67800A46"/>
    <w:lvl w:ilvl="0">
      <w:start w:val="1"/>
      <w:numFmt w:val="bullet"/>
      <w:lvlText w:val=""/>
      <w:lvlJc w:val="left"/>
      <w:pPr>
        <w:ind w:left="720" w:hanging="360"/>
      </w:pPr>
      <w:rPr>
        <w:rFonts w:ascii="Wingdings" w:hAnsi="Wingdings" w:hint="default"/>
        <w:b/>
        <w:sz w:val="24"/>
        <w:szCs w:val="24"/>
      </w:rPr>
    </w:lvl>
  </w:abstractNum>
  <w:abstractNum w:abstractNumId="462" w15:restartNumberingAfterBreak="0">
    <w:nsid w:val="7FEB38B0"/>
    <w:multiLevelType w:val="hybridMultilevel"/>
    <w:tmpl w:val="D512D2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3" w15:restartNumberingAfterBreak="0">
    <w:nsid w:val="7FF3593A"/>
    <w:multiLevelType w:val="hybridMultilevel"/>
    <w:tmpl w:val="A04042D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58172801">
    <w:abstractNumId w:val="99"/>
  </w:num>
  <w:num w:numId="2" w16cid:durableId="771702085">
    <w:abstractNumId w:val="18"/>
  </w:num>
  <w:num w:numId="3" w16cid:durableId="205025231">
    <w:abstractNumId w:val="426"/>
  </w:num>
  <w:num w:numId="4" w16cid:durableId="381951082">
    <w:abstractNumId w:val="55"/>
  </w:num>
  <w:num w:numId="5" w16cid:durableId="2111117269">
    <w:abstractNumId w:val="404"/>
  </w:num>
  <w:num w:numId="6" w16cid:durableId="473109442">
    <w:abstractNumId w:val="352"/>
  </w:num>
  <w:num w:numId="7" w16cid:durableId="11339824">
    <w:abstractNumId w:val="61"/>
  </w:num>
  <w:num w:numId="8" w16cid:durableId="1120152025">
    <w:abstractNumId w:val="340"/>
  </w:num>
  <w:num w:numId="9" w16cid:durableId="601185011">
    <w:abstractNumId w:val="46"/>
  </w:num>
  <w:num w:numId="10" w16cid:durableId="80569366">
    <w:abstractNumId w:val="120"/>
  </w:num>
  <w:num w:numId="11" w16cid:durableId="927038294">
    <w:abstractNumId w:val="105"/>
  </w:num>
  <w:num w:numId="12" w16cid:durableId="813836661">
    <w:abstractNumId w:val="134"/>
  </w:num>
  <w:num w:numId="13" w16cid:durableId="1358459151">
    <w:abstractNumId w:val="43"/>
  </w:num>
  <w:num w:numId="14" w16cid:durableId="1766610824">
    <w:abstractNumId w:val="301"/>
  </w:num>
  <w:num w:numId="15" w16cid:durableId="637803938">
    <w:abstractNumId w:val="364"/>
  </w:num>
  <w:num w:numId="16" w16cid:durableId="1673068957">
    <w:abstractNumId w:val="249"/>
  </w:num>
  <w:num w:numId="17" w16cid:durableId="1677877874">
    <w:abstractNumId w:val="417"/>
  </w:num>
  <w:num w:numId="18" w16cid:durableId="1821336992">
    <w:abstractNumId w:val="193"/>
  </w:num>
  <w:num w:numId="19" w16cid:durableId="353457434">
    <w:abstractNumId w:val="145"/>
  </w:num>
  <w:num w:numId="20" w16cid:durableId="604116800">
    <w:abstractNumId w:val="53"/>
  </w:num>
  <w:num w:numId="21" w16cid:durableId="658314276">
    <w:abstractNumId w:val="24"/>
  </w:num>
  <w:num w:numId="22" w16cid:durableId="2067297555">
    <w:abstractNumId w:val="461"/>
  </w:num>
  <w:num w:numId="23" w16cid:durableId="942109575">
    <w:abstractNumId w:val="241"/>
  </w:num>
  <w:num w:numId="24" w16cid:durableId="2119370173">
    <w:abstractNumId w:val="30"/>
  </w:num>
  <w:num w:numId="25" w16cid:durableId="424306614">
    <w:abstractNumId w:val="250"/>
  </w:num>
  <w:num w:numId="26" w16cid:durableId="726874377">
    <w:abstractNumId w:val="310"/>
  </w:num>
  <w:num w:numId="27" w16cid:durableId="1984456837">
    <w:abstractNumId w:val="393"/>
  </w:num>
  <w:num w:numId="28" w16cid:durableId="944919974">
    <w:abstractNumId w:val="177"/>
  </w:num>
  <w:num w:numId="29" w16cid:durableId="234821106">
    <w:abstractNumId w:val="403"/>
  </w:num>
  <w:num w:numId="30" w16cid:durableId="1461069452">
    <w:abstractNumId w:val="456"/>
  </w:num>
  <w:num w:numId="31" w16cid:durableId="1875075261">
    <w:abstractNumId w:val="366"/>
  </w:num>
  <w:num w:numId="32" w16cid:durableId="341980630">
    <w:abstractNumId w:val="202"/>
  </w:num>
  <w:num w:numId="33" w16cid:durableId="1184704105">
    <w:abstractNumId w:val="360"/>
  </w:num>
  <w:num w:numId="34" w16cid:durableId="107891743">
    <w:abstractNumId w:val="208"/>
  </w:num>
  <w:num w:numId="35" w16cid:durableId="1136141716">
    <w:abstractNumId w:val="39"/>
  </w:num>
  <w:num w:numId="36" w16cid:durableId="410011933">
    <w:abstractNumId w:val="137"/>
  </w:num>
  <w:num w:numId="37" w16cid:durableId="1407605245">
    <w:abstractNumId w:val="326"/>
  </w:num>
  <w:num w:numId="38" w16cid:durableId="1945842770">
    <w:abstractNumId w:val="141"/>
  </w:num>
  <w:num w:numId="39" w16cid:durableId="1738898941">
    <w:abstractNumId w:val="179"/>
  </w:num>
  <w:num w:numId="40" w16cid:durableId="1822044319">
    <w:abstractNumId w:val="373"/>
  </w:num>
  <w:num w:numId="41" w16cid:durableId="1537507113">
    <w:abstractNumId w:val="260"/>
  </w:num>
  <w:num w:numId="42" w16cid:durableId="1380517304">
    <w:abstractNumId w:val="108"/>
  </w:num>
  <w:num w:numId="43" w16cid:durableId="1563371484">
    <w:abstractNumId w:val="58"/>
  </w:num>
  <w:num w:numId="44" w16cid:durableId="722023500">
    <w:abstractNumId w:val="134"/>
  </w:num>
  <w:num w:numId="45" w16cid:durableId="540216563">
    <w:abstractNumId w:val="201"/>
  </w:num>
  <w:num w:numId="46" w16cid:durableId="1090545147">
    <w:abstractNumId w:val="184"/>
  </w:num>
  <w:num w:numId="47" w16cid:durableId="1971132530">
    <w:abstractNumId w:val="441"/>
  </w:num>
  <w:num w:numId="48" w16cid:durableId="651562411">
    <w:abstractNumId w:val="20"/>
  </w:num>
  <w:num w:numId="49" w16cid:durableId="2023628480">
    <w:abstractNumId w:val="383"/>
  </w:num>
  <w:num w:numId="50" w16cid:durableId="829637314">
    <w:abstractNumId w:val="74"/>
  </w:num>
  <w:num w:numId="51" w16cid:durableId="1771587420">
    <w:abstractNumId w:val="285"/>
  </w:num>
  <w:num w:numId="52" w16cid:durableId="411508622">
    <w:abstractNumId w:val="296"/>
  </w:num>
  <w:num w:numId="53" w16cid:durableId="769201348">
    <w:abstractNumId w:val="175"/>
  </w:num>
  <w:num w:numId="54" w16cid:durableId="622925788">
    <w:abstractNumId w:val="11"/>
  </w:num>
  <w:num w:numId="55" w16cid:durableId="1027870205">
    <w:abstractNumId w:val="149"/>
  </w:num>
  <w:num w:numId="56" w16cid:durableId="524056880">
    <w:abstractNumId w:val="214"/>
  </w:num>
  <w:num w:numId="57" w16cid:durableId="2084208495">
    <w:abstractNumId w:val="40"/>
  </w:num>
  <w:num w:numId="58" w16cid:durableId="1288313466">
    <w:abstractNumId w:val="228"/>
  </w:num>
  <w:num w:numId="59" w16cid:durableId="1021399784">
    <w:abstractNumId w:val="230"/>
  </w:num>
  <w:num w:numId="60" w16cid:durableId="165485694">
    <w:abstractNumId w:val="213"/>
  </w:num>
  <w:num w:numId="61" w16cid:durableId="756485874">
    <w:abstractNumId w:val="433"/>
  </w:num>
  <w:num w:numId="62" w16cid:durableId="1400205300">
    <w:abstractNumId w:val="103"/>
  </w:num>
  <w:num w:numId="63" w16cid:durableId="364798217">
    <w:abstractNumId w:val="37"/>
  </w:num>
  <w:num w:numId="64" w16cid:durableId="1087386494">
    <w:abstractNumId w:val="41"/>
  </w:num>
  <w:num w:numId="65" w16cid:durableId="817958746">
    <w:abstractNumId w:val="278"/>
  </w:num>
  <w:num w:numId="66" w16cid:durableId="1947275643">
    <w:abstractNumId w:val="159"/>
  </w:num>
  <w:num w:numId="67" w16cid:durableId="1693334131">
    <w:abstractNumId w:val="401"/>
  </w:num>
  <w:num w:numId="68" w16cid:durableId="1322584869">
    <w:abstractNumId w:val="146"/>
  </w:num>
  <w:num w:numId="69" w16cid:durableId="1261529238">
    <w:abstractNumId w:val="294"/>
  </w:num>
  <w:num w:numId="70" w16cid:durableId="1056667042">
    <w:abstractNumId w:val="31"/>
  </w:num>
  <w:num w:numId="71" w16cid:durableId="812714671">
    <w:abstractNumId w:val="351"/>
  </w:num>
  <w:num w:numId="72" w16cid:durableId="1694040772">
    <w:abstractNumId w:val="320"/>
  </w:num>
  <w:num w:numId="73" w16cid:durableId="757794198">
    <w:abstractNumId w:val="446"/>
  </w:num>
  <w:num w:numId="74" w16cid:durableId="445853278">
    <w:abstractNumId w:val="133"/>
  </w:num>
  <w:num w:numId="75" w16cid:durableId="866409735">
    <w:abstractNumId w:val="135"/>
  </w:num>
  <w:num w:numId="76" w16cid:durableId="1334380549">
    <w:abstractNumId w:val="173"/>
  </w:num>
  <w:num w:numId="77" w16cid:durableId="1563835665">
    <w:abstractNumId w:val="194"/>
  </w:num>
  <w:num w:numId="78" w16cid:durableId="1178809661">
    <w:abstractNumId w:val="442"/>
  </w:num>
  <w:num w:numId="79" w16cid:durableId="2116360266">
    <w:abstractNumId w:val="330"/>
  </w:num>
  <w:num w:numId="80" w16cid:durableId="503978133">
    <w:abstractNumId w:val="302"/>
  </w:num>
  <w:num w:numId="81" w16cid:durableId="676494390">
    <w:abstractNumId w:val="342"/>
  </w:num>
  <w:num w:numId="82" w16cid:durableId="940916916">
    <w:abstractNumId w:val="121"/>
  </w:num>
  <w:num w:numId="83" w16cid:durableId="1834300435">
    <w:abstractNumId w:val="15"/>
  </w:num>
  <w:num w:numId="84" w16cid:durableId="902106304">
    <w:abstractNumId w:val="167"/>
  </w:num>
  <w:num w:numId="85" w16cid:durableId="828325101">
    <w:abstractNumId w:val="188"/>
  </w:num>
  <w:num w:numId="86" w16cid:durableId="1382437259">
    <w:abstractNumId w:val="100"/>
  </w:num>
  <w:num w:numId="87" w16cid:durableId="1123960739">
    <w:abstractNumId w:val="436"/>
  </w:num>
  <w:num w:numId="88" w16cid:durableId="171797844">
    <w:abstractNumId w:val="427"/>
  </w:num>
  <w:num w:numId="89" w16cid:durableId="1600719517">
    <w:abstractNumId w:val="265"/>
  </w:num>
  <w:num w:numId="90" w16cid:durableId="120222793">
    <w:abstractNumId w:val="398"/>
  </w:num>
  <w:num w:numId="91" w16cid:durableId="876892084">
    <w:abstractNumId w:val="325"/>
  </w:num>
  <w:num w:numId="92" w16cid:durableId="40055348">
    <w:abstractNumId w:val="295"/>
  </w:num>
  <w:num w:numId="93" w16cid:durableId="24792145">
    <w:abstractNumId w:val="395"/>
  </w:num>
  <w:num w:numId="94" w16cid:durableId="1545286541">
    <w:abstractNumId w:val="243"/>
  </w:num>
  <w:num w:numId="95" w16cid:durableId="842472140">
    <w:abstractNumId w:val="359"/>
  </w:num>
  <w:num w:numId="96" w16cid:durableId="633174751">
    <w:abstractNumId w:val="195"/>
  </w:num>
  <w:num w:numId="97" w16cid:durableId="1230459856">
    <w:abstractNumId w:val="315"/>
  </w:num>
  <w:num w:numId="98" w16cid:durableId="1593927424">
    <w:abstractNumId w:val="319"/>
  </w:num>
  <w:num w:numId="99" w16cid:durableId="1317488669">
    <w:abstractNumId w:val="297"/>
  </w:num>
  <w:num w:numId="100" w16cid:durableId="1074402257">
    <w:abstractNumId w:val="128"/>
  </w:num>
  <w:num w:numId="101" w16cid:durableId="2139637474">
    <w:abstractNumId w:val="271"/>
  </w:num>
  <w:num w:numId="102" w16cid:durableId="1914923723">
    <w:abstractNumId w:val="148"/>
  </w:num>
  <w:num w:numId="103" w16cid:durableId="548494130">
    <w:abstractNumId w:val="363"/>
  </w:num>
  <w:num w:numId="104" w16cid:durableId="599877190">
    <w:abstractNumId w:val="19"/>
  </w:num>
  <w:num w:numId="105" w16cid:durableId="1650131535">
    <w:abstractNumId w:val="252"/>
  </w:num>
  <w:num w:numId="106" w16cid:durableId="1978220922">
    <w:abstractNumId w:val="180"/>
  </w:num>
  <w:num w:numId="107" w16cid:durableId="1163471404">
    <w:abstractNumId w:val="293"/>
  </w:num>
  <w:num w:numId="108" w16cid:durableId="735081449">
    <w:abstractNumId w:val="420"/>
  </w:num>
  <w:num w:numId="109" w16cid:durableId="1059012364">
    <w:abstractNumId w:val="32"/>
  </w:num>
  <w:num w:numId="110" w16cid:durableId="690641387">
    <w:abstractNumId w:val="197"/>
  </w:num>
  <w:num w:numId="111" w16cid:durableId="46488892">
    <w:abstractNumId w:val="160"/>
  </w:num>
  <w:num w:numId="112" w16cid:durableId="770853517">
    <w:abstractNumId w:val="216"/>
  </w:num>
  <w:num w:numId="113" w16cid:durableId="327441778">
    <w:abstractNumId w:val="219"/>
  </w:num>
  <w:num w:numId="114" w16cid:durableId="13962843">
    <w:abstractNumId w:val="388"/>
  </w:num>
  <w:num w:numId="115" w16cid:durableId="903178118">
    <w:abstractNumId w:val="455"/>
  </w:num>
  <w:num w:numId="116" w16cid:durableId="1835104611">
    <w:abstractNumId w:val="132"/>
  </w:num>
  <w:num w:numId="117" w16cid:durableId="1985308360">
    <w:abstractNumId w:val="336"/>
  </w:num>
  <w:num w:numId="118" w16cid:durableId="652150017">
    <w:abstractNumId w:val="270"/>
  </w:num>
  <w:num w:numId="119" w16cid:durableId="1721325037">
    <w:abstractNumId w:val="136"/>
  </w:num>
  <w:num w:numId="120" w16cid:durableId="939802505">
    <w:abstractNumId w:val="361"/>
  </w:num>
  <w:num w:numId="121" w16cid:durableId="662010578">
    <w:abstractNumId w:val="156"/>
  </w:num>
  <w:num w:numId="122" w16cid:durableId="1585412374">
    <w:abstractNumId w:val="196"/>
  </w:num>
  <w:num w:numId="123" w16cid:durableId="526526417">
    <w:abstractNumId w:val="312"/>
  </w:num>
  <w:num w:numId="124" w16cid:durableId="159200544">
    <w:abstractNumId w:val="445"/>
  </w:num>
  <w:num w:numId="125" w16cid:durableId="1372875327">
    <w:abstractNumId w:val="238"/>
  </w:num>
  <w:num w:numId="126" w16cid:durableId="851529500">
    <w:abstractNumId w:val="405"/>
  </w:num>
  <w:num w:numId="127" w16cid:durableId="1643269385">
    <w:abstractNumId w:val="394"/>
  </w:num>
  <w:num w:numId="128" w16cid:durableId="1953895007">
    <w:abstractNumId w:val="67"/>
  </w:num>
  <w:num w:numId="129" w16cid:durableId="2136293952">
    <w:abstractNumId w:val="38"/>
  </w:num>
  <w:num w:numId="130" w16cid:durableId="1729524922">
    <w:abstractNumId w:val="210"/>
  </w:num>
  <w:num w:numId="131" w16cid:durableId="1712723062">
    <w:abstractNumId w:val="190"/>
  </w:num>
  <w:num w:numId="132" w16cid:durableId="1586038480">
    <w:abstractNumId w:val="154"/>
  </w:num>
  <w:num w:numId="133" w16cid:durableId="1113136751">
    <w:abstractNumId w:val="36"/>
  </w:num>
  <w:num w:numId="134" w16cid:durableId="1356926197">
    <w:abstractNumId w:val="59"/>
  </w:num>
  <w:num w:numId="135" w16cid:durableId="1066731024">
    <w:abstractNumId w:val="218"/>
  </w:num>
  <w:num w:numId="136" w16cid:durableId="942567477">
    <w:abstractNumId w:val="282"/>
  </w:num>
  <w:num w:numId="137" w16cid:durableId="1065570093">
    <w:abstractNumId w:val="254"/>
  </w:num>
  <w:num w:numId="138" w16cid:durableId="748774680">
    <w:abstractNumId w:val="162"/>
  </w:num>
  <w:num w:numId="139" w16cid:durableId="598367366">
    <w:abstractNumId w:val="215"/>
  </w:num>
  <w:num w:numId="140" w16cid:durableId="1035042356">
    <w:abstractNumId w:val="286"/>
  </w:num>
  <w:num w:numId="141" w16cid:durableId="705956993">
    <w:abstractNumId w:val="204"/>
  </w:num>
  <w:num w:numId="142" w16cid:durableId="1797485559">
    <w:abstractNumId w:val="165"/>
  </w:num>
  <w:num w:numId="143" w16cid:durableId="1267925876">
    <w:abstractNumId w:val="12"/>
  </w:num>
  <w:num w:numId="144" w16cid:durableId="1007826087">
    <w:abstractNumId w:val="131"/>
  </w:num>
  <w:num w:numId="145" w16cid:durableId="56704207">
    <w:abstractNumId w:val="221"/>
  </w:num>
  <w:num w:numId="146" w16cid:durableId="528448502">
    <w:abstractNumId w:val="386"/>
  </w:num>
  <w:num w:numId="147" w16cid:durableId="2006780305">
    <w:abstractNumId w:val="22"/>
  </w:num>
  <w:num w:numId="148" w16cid:durableId="554120029">
    <w:abstractNumId w:val="279"/>
  </w:num>
  <w:num w:numId="149" w16cid:durableId="1043142653">
    <w:abstractNumId w:val="298"/>
  </w:num>
  <w:num w:numId="150" w16cid:durableId="112604185">
    <w:abstractNumId w:val="453"/>
  </w:num>
  <w:num w:numId="151" w16cid:durableId="772824328">
    <w:abstractNumId w:val="23"/>
  </w:num>
  <w:num w:numId="152" w16cid:durableId="401830360">
    <w:abstractNumId w:val="434"/>
  </w:num>
  <w:num w:numId="153" w16cid:durableId="1287354727">
    <w:abstractNumId w:val="306"/>
  </w:num>
  <w:num w:numId="154" w16cid:durableId="1143497403">
    <w:abstractNumId w:val="144"/>
  </w:num>
  <w:num w:numId="155" w16cid:durableId="1753428750">
    <w:abstractNumId w:val="289"/>
  </w:num>
  <w:num w:numId="156" w16cid:durableId="149056855">
    <w:abstractNumId w:val="189"/>
  </w:num>
  <w:num w:numId="157" w16cid:durableId="1262832542">
    <w:abstractNumId w:val="29"/>
  </w:num>
  <w:num w:numId="158" w16cid:durableId="1277446564">
    <w:abstractNumId w:val="26"/>
  </w:num>
  <w:num w:numId="159" w16cid:durableId="1064451424">
    <w:abstractNumId w:val="49"/>
  </w:num>
  <w:num w:numId="160" w16cid:durableId="715618910">
    <w:abstractNumId w:val="268"/>
  </w:num>
  <w:num w:numId="161" w16cid:durableId="1318343227">
    <w:abstractNumId w:val="123"/>
  </w:num>
  <w:num w:numId="162" w16cid:durableId="1020161069">
    <w:abstractNumId w:val="380"/>
  </w:num>
  <w:num w:numId="163" w16cid:durableId="504638663">
    <w:abstractNumId w:val="171"/>
  </w:num>
  <w:num w:numId="164" w16cid:durableId="707485724">
    <w:abstractNumId w:val="16"/>
  </w:num>
  <w:num w:numId="165" w16cid:durableId="455101530">
    <w:abstractNumId w:val="157"/>
  </w:num>
  <w:num w:numId="166" w16cid:durableId="966475629">
    <w:abstractNumId w:val="384"/>
  </w:num>
  <w:num w:numId="167" w16cid:durableId="463235025">
    <w:abstractNumId w:val="158"/>
  </w:num>
  <w:num w:numId="168" w16cid:durableId="1943299561">
    <w:abstractNumId w:val="409"/>
  </w:num>
  <w:num w:numId="169" w16cid:durableId="2041472110">
    <w:abstractNumId w:val="245"/>
  </w:num>
  <w:num w:numId="170" w16cid:durableId="317921504">
    <w:abstractNumId w:val="139"/>
  </w:num>
  <w:num w:numId="171" w16cid:durableId="789709738">
    <w:abstractNumId w:val="335"/>
  </w:num>
  <w:num w:numId="172" w16cid:durableId="498086105">
    <w:abstractNumId w:val="209"/>
  </w:num>
  <w:num w:numId="173" w16cid:durableId="1052731602">
    <w:abstractNumId w:val="315"/>
  </w:num>
  <w:num w:numId="174" w16cid:durableId="1279871541">
    <w:abstractNumId w:val="341"/>
  </w:num>
  <w:num w:numId="175" w16cid:durableId="2064137713">
    <w:abstractNumId w:val="454"/>
  </w:num>
  <w:num w:numId="176" w16cid:durableId="907693581">
    <w:abstractNumId w:val="35"/>
  </w:num>
  <w:num w:numId="177" w16cid:durableId="991327319">
    <w:abstractNumId w:val="419"/>
  </w:num>
  <w:num w:numId="178" w16cid:durableId="1413163866">
    <w:abstractNumId w:val="324"/>
  </w:num>
  <w:num w:numId="179" w16cid:durableId="418063047">
    <w:abstractNumId w:val="84"/>
  </w:num>
  <w:num w:numId="180" w16cid:durableId="1516112576">
    <w:abstractNumId w:val="91"/>
  </w:num>
  <w:num w:numId="181" w16cid:durableId="1076899774">
    <w:abstractNumId w:val="387"/>
  </w:num>
  <w:num w:numId="182" w16cid:durableId="882867413">
    <w:abstractNumId w:val="290"/>
  </w:num>
  <w:num w:numId="183" w16cid:durableId="324628866">
    <w:abstractNumId w:val="65"/>
  </w:num>
  <w:num w:numId="184" w16cid:durableId="868762671">
    <w:abstractNumId w:val="79"/>
  </w:num>
  <w:num w:numId="185" w16cid:durableId="295647102">
    <w:abstractNumId w:val="87"/>
  </w:num>
  <w:num w:numId="186" w16cid:durableId="555942715">
    <w:abstractNumId w:val="367"/>
  </w:num>
  <w:num w:numId="187" w16cid:durableId="901911371">
    <w:abstractNumId w:val="375"/>
  </w:num>
  <w:num w:numId="188" w16cid:durableId="1681354817">
    <w:abstractNumId w:val="246"/>
  </w:num>
  <w:num w:numId="189" w16cid:durableId="342980798">
    <w:abstractNumId w:val="406"/>
  </w:num>
  <w:num w:numId="190" w16cid:durableId="433331172">
    <w:abstractNumId w:val="169"/>
  </w:num>
  <w:num w:numId="191" w16cid:durableId="867107907">
    <w:abstractNumId w:val="119"/>
  </w:num>
  <w:num w:numId="192" w16cid:durableId="1597596395">
    <w:abstractNumId w:val="57"/>
  </w:num>
  <w:num w:numId="193" w16cid:durableId="130054924">
    <w:abstractNumId w:val="264"/>
  </w:num>
  <w:num w:numId="194" w16cid:durableId="690373586">
    <w:abstractNumId w:val="390"/>
  </w:num>
  <w:num w:numId="195" w16cid:durableId="1686400968">
    <w:abstractNumId w:val="66"/>
  </w:num>
  <w:num w:numId="196" w16cid:durableId="772214408">
    <w:abstractNumId w:val="206"/>
  </w:num>
  <w:num w:numId="197" w16cid:durableId="1007288936">
    <w:abstractNumId w:val="48"/>
  </w:num>
  <w:num w:numId="198" w16cid:durableId="1805463216">
    <w:abstractNumId w:val="291"/>
  </w:num>
  <w:num w:numId="199" w16cid:durableId="1457067687">
    <w:abstractNumId w:val="439"/>
  </w:num>
  <w:num w:numId="200" w16cid:durableId="990406625">
    <w:abstractNumId w:val="147"/>
  </w:num>
  <w:num w:numId="201" w16cid:durableId="585500636">
    <w:abstractNumId w:val="168"/>
  </w:num>
  <w:num w:numId="202" w16cid:durableId="1530021916">
    <w:abstractNumId w:val="181"/>
  </w:num>
  <w:num w:numId="203" w16cid:durableId="228032363">
    <w:abstractNumId w:val="411"/>
  </w:num>
  <w:num w:numId="204" w16cid:durableId="788354763">
    <w:abstractNumId w:val="415"/>
  </w:num>
  <w:num w:numId="205" w16cid:durableId="1572231839">
    <w:abstractNumId w:val="350"/>
  </w:num>
  <w:num w:numId="206" w16cid:durableId="453065370">
    <w:abstractNumId w:val="413"/>
  </w:num>
  <w:num w:numId="207" w16cid:durableId="446122608">
    <w:abstractNumId w:val="459"/>
  </w:num>
  <w:num w:numId="208" w16cid:durableId="860892919">
    <w:abstractNumId w:val="450"/>
  </w:num>
  <w:num w:numId="209" w16cid:durableId="2105178830">
    <w:abstractNumId w:val="432"/>
  </w:num>
  <w:num w:numId="210" w16cid:durableId="1396514910">
    <w:abstractNumId w:val="327"/>
  </w:num>
  <w:num w:numId="211" w16cid:durableId="690107311">
    <w:abstractNumId w:val="462"/>
  </w:num>
  <w:num w:numId="212" w16cid:durableId="819544687">
    <w:abstractNumId w:val="348"/>
  </w:num>
  <w:num w:numId="213" w16cid:durableId="1552887913">
    <w:abstractNumId w:val="9"/>
  </w:num>
  <w:num w:numId="214" w16cid:durableId="813834569">
    <w:abstractNumId w:val="7"/>
  </w:num>
  <w:num w:numId="215" w16cid:durableId="1535726835">
    <w:abstractNumId w:val="6"/>
  </w:num>
  <w:num w:numId="216" w16cid:durableId="827983899">
    <w:abstractNumId w:val="5"/>
  </w:num>
  <w:num w:numId="217" w16cid:durableId="459348376">
    <w:abstractNumId w:val="4"/>
  </w:num>
  <w:num w:numId="218" w16cid:durableId="436368393">
    <w:abstractNumId w:val="8"/>
  </w:num>
  <w:num w:numId="219" w16cid:durableId="2043356923">
    <w:abstractNumId w:val="3"/>
  </w:num>
  <w:num w:numId="220" w16cid:durableId="688991666">
    <w:abstractNumId w:val="2"/>
  </w:num>
  <w:num w:numId="221" w16cid:durableId="1879851812">
    <w:abstractNumId w:val="1"/>
  </w:num>
  <w:num w:numId="222" w16cid:durableId="462888509">
    <w:abstractNumId w:val="0"/>
  </w:num>
  <w:num w:numId="223" w16cid:durableId="427310079">
    <w:abstractNumId w:val="112"/>
  </w:num>
  <w:num w:numId="224" w16cid:durableId="1502886279">
    <w:abstractNumId w:val="247"/>
  </w:num>
  <w:num w:numId="225" w16cid:durableId="1780100605">
    <w:abstractNumId w:val="21"/>
  </w:num>
  <w:num w:numId="226" w16cid:durableId="1777210980">
    <w:abstractNumId w:val="182"/>
  </w:num>
  <w:num w:numId="227" w16cid:durableId="563875717">
    <w:abstractNumId w:val="424"/>
  </w:num>
  <w:num w:numId="228" w16cid:durableId="1661427587">
    <w:abstractNumId w:val="425"/>
  </w:num>
  <w:num w:numId="229" w16cid:durableId="1078406393">
    <w:abstractNumId w:val="77"/>
  </w:num>
  <w:num w:numId="230" w16cid:durableId="1215196554">
    <w:abstractNumId w:val="98"/>
  </w:num>
  <w:num w:numId="231" w16cid:durableId="1852063095">
    <w:abstractNumId w:val="262"/>
  </w:num>
  <w:num w:numId="232" w16cid:durableId="1380128883">
    <w:abstractNumId w:val="220"/>
  </w:num>
  <w:num w:numId="233" w16cid:durableId="632249182">
    <w:abstractNumId w:val="358"/>
  </w:num>
  <w:num w:numId="234" w16cid:durableId="1514106009">
    <w:abstractNumId w:val="397"/>
  </w:num>
  <w:num w:numId="235" w16cid:durableId="414206569">
    <w:abstractNumId w:val="322"/>
  </w:num>
  <w:num w:numId="236" w16cid:durableId="860434842">
    <w:abstractNumId w:val="92"/>
  </w:num>
  <w:num w:numId="237" w16cid:durableId="1967730632">
    <w:abstractNumId w:val="337"/>
  </w:num>
  <w:num w:numId="238" w16cid:durableId="1294402606">
    <w:abstractNumId w:val="68"/>
  </w:num>
  <w:num w:numId="239" w16cid:durableId="1349333682">
    <w:abstractNumId w:val="64"/>
  </w:num>
  <w:num w:numId="240" w16cid:durableId="561058681">
    <w:abstractNumId w:val="242"/>
  </w:num>
  <w:num w:numId="241" w16cid:durableId="302199810">
    <w:abstractNumId w:val="362"/>
  </w:num>
  <w:num w:numId="242" w16cid:durableId="800733314">
    <w:abstractNumId w:val="28"/>
  </w:num>
  <w:num w:numId="243" w16cid:durableId="340471631">
    <w:abstractNumId w:val="155"/>
  </w:num>
  <w:num w:numId="244" w16cid:durableId="1359969393">
    <w:abstractNumId w:val="328"/>
  </w:num>
  <w:num w:numId="245" w16cid:durableId="360479629">
    <w:abstractNumId w:val="205"/>
  </w:num>
  <w:num w:numId="246" w16cid:durableId="1884051812">
    <w:abstractNumId w:val="142"/>
  </w:num>
  <w:num w:numId="247" w16cid:durableId="375546732">
    <w:abstractNumId w:val="460"/>
  </w:num>
  <w:num w:numId="248" w16cid:durableId="2027126356">
    <w:abstractNumId w:val="192"/>
  </w:num>
  <w:num w:numId="249" w16cid:durableId="1265961045">
    <w:abstractNumId w:val="274"/>
  </w:num>
  <w:num w:numId="250" w16cid:durableId="1168136254">
    <w:abstractNumId w:val="95"/>
  </w:num>
  <w:num w:numId="251" w16cid:durableId="600257020">
    <w:abstractNumId w:val="229"/>
  </w:num>
  <w:num w:numId="252" w16cid:durableId="1601062827">
    <w:abstractNumId w:val="191"/>
  </w:num>
  <w:num w:numId="253" w16cid:durableId="564073214">
    <w:abstractNumId w:val="288"/>
  </w:num>
  <w:num w:numId="254" w16cid:durableId="2020232344">
    <w:abstractNumId w:val="211"/>
  </w:num>
  <w:num w:numId="255" w16cid:durableId="1958178076">
    <w:abstractNumId w:val="85"/>
  </w:num>
  <w:num w:numId="256" w16cid:durableId="1102603657">
    <w:abstractNumId w:val="63"/>
  </w:num>
  <w:num w:numId="257" w16cid:durableId="349450632">
    <w:abstractNumId w:val="338"/>
  </w:num>
  <w:num w:numId="258" w16cid:durableId="1999260105">
    <w:abstractNumId w:val="54"/>
  </w:num>
  <w:num w:numId="259" w16cid:durableId="145127057">
    <w:abstractNumId w:val="444"/>
  </w:num>
  <w:num w:numId="260" w16cid:durableId="337314963">
    <w:abstractNumId w:val="143"/>
  </w:num>
  <w:num w:numId="261" w16cid:durableId="1371683254">
    <w:abstractNumId w:val="199"/>
  </w:num>
  <w:num w:numId="262" w16cid:durableId="609749117">
    <w:abstractNumId w:val="379"/>
  </w:num>
  <w:num w:numId="263" w16cid:durableId="166869562">
    <w:abstractNumId w:val="428"/>
  </w:num>
  <w:num w:numId="264" w16cid:durableId="970403226">
    <w:abstractNumId w:val="138"/>
  </w:num>
  <w:num w:numId="265" w16cid:durableId="1199704321">
    <w:abstractNumId w:val="93"/>
  </w:num>
  <w:num w:numId="266" w16cid:durableId="2042317337">
    <w:abstractNumId w:val="365"/>
  </w:num>
  <w:num w:numId="267" w16cid:durableId="55208577">
    <w:abstractNumId w:val="104"/>
  </w:num>
  <w:num w:numId="268" w16cid:durableId="392194983">
    <w:abstractNumId w:val="200"/>
  </w:num>
  <w:num w:numId="269" w16cid:durableId="1539010463">
    <w:abstractNumId w:val="385"/>
  </w:num>
  <w:num w:numId="270" w16cid:durableId="1323509992">
    <w:abstractNumId w:val="14"/>
  </w:num>
  <w:num w:numId="271" w16cid:durableId="1554658143">
    <w:abstractNumId w:val="255"/>
  </w:num>
  <w:num w:numId="272" w16cid:durableId="1820221647">
    <w:abstractNumId w:val="226"/>
  </w:num>
  <w:num w:numId="273" w16cid:durableId="1456293331">
    <w:abstractNumId w:val="233"/>
  </w:num>
  <w:num w:numId="274" w16cid:durableId="1674916739">
    <w:abstractNumId w:val="374"/>
  </w:num>
  <w:num w:numId="275" w16cid:durableId="689334220">
    <w:abstractNumId w:val="76"/>
  </w:num>
  <w:num w:numId="276" w16cid:durableId="320816491">
    <w:abstractNumId w:val="237"/>
  </w:num>
  <w:num w:numId="277" w16cid:durableId="2136756454">
    <w:abstractNumId w:val="225"/>
  </w:num>
  <w:num w:numId="278" w16cid:durableId="1606883351">
    <w:abstractNumId w:val="307"/>
  </w:num>
  <w:num w:numId="279" w16cid:durableId="1645965932">
    <w:abstractNumId w:val="183"/>
  </w:num>
  <w:num w:numId="280" w16cid:durableId="95633934">
    <w:abstractNumId w:val="287"/>
  </w:num>
  <w:num w:numId="281" w16cid:durableId="1511213819">
    <w:abstractNumId w:val="248"/>
  </w:num>
  <w:num w:numId="282" w16cid:durableId="40984335">
    <w:abstractNumId w:val="71"/>
  </w:num>
  <w:num w:numId="283" w16cid:durableId="1653871630">
    <w:abstractNumId w:val="10"/>
  </w:num>
  <w:num w:numId="284" w16cid:durableId="1961452853">
    <w:abstractNumId w:val="440"/>
  </w:num>
  <w:num w:numId="285" w16cid:durableId="746538300">
    <w:abstractNumId w:val="311"/>
  </w:num>
  <w:num w:numId="286" w16cid:durableId="84498019">
    <w:abstractNumId w:val="276"/>
  </w:num>
  <w:num w:numId="287" w16cid:durableId="485710185">
    <w:abstractNumId w:val="382"/>
  </w:num>
  <w:num w:numId="288" w16cid:durableId="574705871">
    <w:abstractNumId w:val="343"/>
  </w:num>
  <w:num w:numId="289" w16cid:durableId="413017651">
    <w:abstractNumId w:val="127"/>
  </w:num>
  <w:num w:numId="290" w16cid:durableId="1472553915">
    <w:abstractNumId w:val="273"/>
  </w:num>
  <w:num w:numId="291" w16cid:durableId="1941913490">
    <w:abstractNumId w:val="438"/>
  </w:num>
  <w:num w:numId="292" w16cid:durableId="405224216">
    <w:abstractNumId w:val="309"/>
  </w:num>
  <w:num w:numId="293" w16cid:durableId="994920841">
    <w:abstractNumId w:val="259"/>
  </w:num>
  <w:num w:numId="294" w16cid:durableId="1924299051">
    <w:abstractNumId w:val="224"/>
  </w:num>
  <w:num w:numId="295" w16cid:durableId="48308015">
    <w:abstractNumId w:val="62"/>
  </w:num>
  <w:num w:numId="296" w16cid:durableId="615137002">
    <w:abstractNumId w:val="266"/>
  </w:num>
  <w:num w:numId="297" w16cid:durableId="1816527328">
    <w:abstractNumId w:val="88"/>
  </w:num>
  <w:num w:numId="298" w16cid:durableId="269362321">
    <w:abstractNumId w:val="463"/>
  </w:num>
  <w:num w:numId="299" w16cid:durableId="1023239863">
    <w:abstractNumId w:val="318"/>
  </w:num>
  <w:num w:numId="300" w16cid:durableId="1291353562">
    <w:abstractNumId w:val="355"/>
  </w:num>
  <w:num w:numId="301" w16cid:durableId="1982925146">
    <w:abstractNumId w:val="369"/>
  </w:num>
  <w:num w:numId="302" w16cid:durableId="1319647632">
    <w:abstractNumId w:val="117"/>
  </w:num>
  <w:num w:numId="303" w16cid:durableId="80106778">
    <w:abstractNumId w:val="33"/>
  </w:num>
  <w:num w:numId="304" w16cid:durableId="1530219196">
    <w:abstractNumId w:val="329"/>
  </w:num>
  <w:num w:numId="305" w16cid:durableId="31733160">
    <w:abstractNumId w:val="437"/>
  </w:num>
  <w:num w:numId="306" w16cid:durableId="697507300">
    <w:abstractNumId w:val="223"/>
  </w:num>
  <w:num w:numId="307" w16cid:durableId="1150245647">
    <w:abstractNumId w:val="101"/>
  </w:num>
  <w:num w:numId="308" w16cid:durableId="1273436433">
    <w:abstractNumId w:val="272"/>
  </w:num>
  <w:num w:numId="309" w16cid:durableId="1152866890">
    <w:abstractNumId w:val="151"/>
  </w:num>
  <w:num w:numId="310" w16cid:durableId="953558101">
    <w:abstractNumId w:val="114"/>
  </w:num>
  <w:num w:numId="311" w16cid:durableId="1248881580">
    <w:abstractNumId w:val="449"/>
  </w:num>
  <w:num w:numId="312" w16cid:durableId="1331567524">
    <w:abstractNumId w:val="96"/>
  </w:num>
  <w:num w:numId="313" w16cid:durableId="1319843389">
    <w:abstractNumId w:val="70"/>
  </w:num>
  <w:num w:numId="314" w16cid:durableId="1176578464">
    <w:abstractNumId w:val="89"/>
  </w:num>
  <w:num w:numId="315" w16cid:durableId="1834026674">
    <w:abstractNumId w:val="347"/>
  </w:num>
  <w:num w:numId="316" w16cid:durableId="2017681869">
    <w:abstractNumId w:val="281"/>
  </w:num>
  <w:num w:numId="317" w16cid:durableId="1770277810">
    <w:abstractNumId w:val="186"/>
  </w:num>
  <w:num w:numId="318" w16cid:durableId="1872840113">
    <w:abstractNumId w:val="267"/>
  </w:num>
  <w:num w:numId="319" w16cid:durableId="308285496">
    <w:abstractNumId w:val="371"/>
  </w:num>
  <w:num w:numId="320" w16cid:durableId="1759667318">
    <w:abstractNumId w:val="244"/>
  </w:num>
  <w:num w:numId="321" w16cid:durableId="1174343503">
    <w:abstractNumId w:val="414"/>
  </w:num>
  <w:num w:numId="322" w16cid:durableId="1314144799">
    <w:abstractNumId w:val="407"/>
  </w:num>
  <w:num w:numId="323" w16cid:durableId="1945963737">
    <w:abstractNumId w:val="107"/>
  </w:num>
  <w:num w:numId="324" w16cid:durableId="726761230">
    <w:abstractNumId w:val="118"/>
  </w:num>
  <w:num w:numId="325" w16cid:durableId="1498425656">
    <w:abstractNumId w:val="418"/>
  </w:num>
  <w:num w:numId="326" w16cid:durableId="558781389">
    <w:abstractNumId w:val="203"/>
  </w:num>
  <w:num w:numId="327" w16cid:durableId="1530682605">
    <w:abstractNumId w:val="164"/>
  </w:num>
  <w:num w:numId="328" w16cid:durableId="441388547">
    <w:abstractNumId w:val="47"/>
  </w:num>
  <w:num w:numId="329" w16cid:durableId="147211395">
    <w:abstractNumId w:val="27"/>
  </w:num>
  <w:num w:numId="330" w16cid:durableId="322316318">
    <w:abstractNumId w:val="130"/>
  </w:num>
  <w:num w:numId="331" w16cid:durableId="1238631008">
    <w:abstractNumId w:val="339"/>
  </w:num>
  <w:num w:numId="332" w16cid:durableId="1123882516">
    <w:abstractNumId w:val="253"/>
  </w:num>
  <w:num w:numId="333" w16cid:durableId="389574974">
    <w:abstractNumId w:val="111"/>
  </w:num>
  <w:num w:numId="334" w16cid:durableId="1182355114">
    <w:abstractNumId w:val="60"/>
  </w:num>
  <w:num w:numId="335" w16cid:durableId="574126485">
    <w:abstractNumId w:val="106"/>
  </w:num>
  <w:num w:numId="336" w16cid:durableId="1641424258">
    <w:abstractNumId w:val="97"/>
  </w:num>
  <w:num w:numId="337" w16cid:durableId="1560435316">
    <w:abstractNumId w:val="78"/>
  </w:num>
  <w:num w:numId="338" w16cid:durableId="1845707696">
    <w:abstractNumId w:val="34"/>
  </w:num>
  <w:num w:numId="339" w16cid:durableId="1258636112">
    <w:abstractNumId w:val="170"/>
  </w:num>
  <w:num w:numId="340" w16cid:durableId="1108617997">
    <w:abstractNumId w:val="261"/>
  </w:num>
  <w:num w:numId="341" w16cid:durableId="368723572">
    <w:abstractNumId w:val="82"/>
  </w:num>
  <w:num w:numId="342" w16cid:durableId="1240864041">
    <w:abstractNumId w:val="447"/>
  </w:num>
  <w:num w:numId="343" w16cid:durableId="20515615">
    <w:abstractNumId w:val="344"/>
  </w:num>
  <w:num w:numId="344" w16cid:durableId="1382095306">
    <w:abstractNumId w:val="116"/>
  </w:num>
  <w:num w:numId="345" w16cid:durableId="615334458">
    <w:abstractNumId w:val="451"/>
  </w:num>
  <w:num w:numId="346" w16cid:durableId="1217666383">
    <w:abstractNumId w:val="236"/>
  </w:num>
  <w:num w:numId="347" w16cid:durableId="396324569">
    <w:abstractNumId w:val="300"/>
  </w:num>
  <w:num w:numId="348" w16cid:durableId="31464458">
    <w:abstractNumId w:val="349"/>
  </w:num>
  <w:num w:numId="349" w16cid:durableId="199364785">
    <w:abstractNumId w:val="90"/>
  </w:num>
  <w:num w:numId="350" w16cid:durableId="1703046961">
    <w:abstractNumId w:val="25"/>
  </w:num>
  <w:num w:numId="351" w16cid:durableId="2083676506">
    <w:abstractNumId w:val="235"/>
  </w:num>
  <w:num w:numId="352" w16cid:durableId="1092510715">
    <w:abstractNumId w:val="346"/>
  </w:num>
  <w:num w:numId="353" w16cid:durableId="1435515855">
    <w:abstractNumId w:val="232"/>
  </w:num>
  <w:num w:numId="354" w16cid:durableId="2021276638">
    <w:abstractNumId w:val="443"/>
  </w:num>
  <w:num w:numId="355" w16cid:durableId="913667048">
    <w:abstractNumId w:val="402"/>
  </w:num>
  <w:num w:numId="356" w16cid:durableId="708334750">
    <w:abstractNumId w:val="431"/>
  </w:num>
  <w:num w:numId="357" w16cid:durableId="1213804373">
    <w:abstractNumId w:val="124"/>
  </w:num>
  <w:num w:numId="358" w16cid:durableId="1628274466">
    <w:abstractNumId w:val="435"/>
  </w:num>
  <w:num w:numId="359" w16cid:durableId="1881934086">
    <w:abstractNumId w:val="284"/>
  </w:num>
  <w:num w:numId="360" w16cid:durableId="1102384946">
    <w:abstractNumId w:val="176"/>
  </w:num>
  <w:num w:numId="361" w16cid:durableId="1030301764">
    <w:abstractNumId w:val="381"/>
  </w:num>
  <w:num w:numId="362" w16cid:durableId="1701973912">
    <w:abstractNumId w:val="353"/>
  </w:num>
  <w:num w:numId="363" w16cid:durableId="1367367235">
    <w:abstractNumId w:val="452"/>
  </w:num>
  <w:num w:numId="364" w16cid:durableId="1728529026">
    <w:abstractNumId w:val="187"/>
  </w:num>
  <w:num w:numId="365" w16cid:durableId="2116516247">
    <w:abstractNumId w:val="372"/>
  </w:num>
  <w:num w:numId="366" w16cid:durableId="1663506560">
    <w:abstractNumId w:val="73"/>
  </w:num>
  <w:num w:numId="367" w16cid:durableId="1297681052">
    <w:abstractNumId w:val="172"/>
  </w:num>
  <w:num w:numId="368" w16cid:durableId="2035185661">
    <w:abstractNumId w:val="410"/>
  </w:num>
  <w:num w:numId="369" w16cid:durableId="366878856">
    <w:abstractNumId w:val="256"/>
  </w:num>
  <w:num w:numId="370" w16cid:durableId="1479683122">
    <w:abstractNumId w:val="292"/>
  </w:num>
  <w:num w:numId="371" w16cid:durableId="1701202874">
    <w:abstractNumId w:val="56"/>
  </w:num>
  <w:num w:numId="372" w16cid:durableId="937831565">
    <w:abstractNumId w:val="321"/>
  </w:num>
  <w:num w:numId="373" w16cid:durableId="1741827980">
    <w:abstractNumId w:val="308"/>
  </w:num>
  <w:num w:numId="374" w16cid:durableId="1150050617">
    <w:abstractNumId w:val="69"/>
  </w:num>
  <w:num w:numId="375" w16cid:durableId="475991263">
    <w:abstractNumId w:val="430"/>
  </w:num>
  <w:num w:numId="376" w16cid:durableId="1620378820">
    <w:abstractNumId w:val="50"/>
  </w:num>
  <w:num w:numId="377" w16cid:durableId="1493134043">
    <w:abstractNumId w:val="125"/>
  </w:num>
  <w:num w:numId="378" w16cid:durableId="1833566812">
    <w:abstractNumId w:val="227"/>
  </w:num>
  <w:num w:numId="379" w16cid:durableId="1819229679">
    <w:abstractNumId w:val="207"/>
  </w:num>
  <w:num w:numId="380" w16cid:durableId="2073238232">
    <w:abstractNumId w:val="174"/>
  </w:num>
  <w:num w:numId="381" w16cid:durableId="1421372770">
    <w:abstractNumId w:val="83"/>
  </w:num>
  <w:num w:numId="382" w16cid:durableId="702172536">
    <w:abstractNumId w:val="178"/>
  </w:num>
  <w:num w:numId="383" w16cid:durableId="236942919">
    <w:abstractNumId w:val="263"/>
  </w:num>
  <w:num w:numId="384" w16cid:durableId="22245758">
    <w:abstractNumId w:val="283"/>
  </w:num>
  <w:num w:numId="385" w16cid:durableId="1840076698">
    <w:abstractNumId w:val="421"/>
  </w:num>
  <w:num w:numId="386" w16cid:durableId="2112578330">
    <w:abstractNumId w:val="163"/>
  </w:num>
  <w:num w:numId="387" w16cid:durableId="1305938250">
    <w:abstractNumId w:val="126"/>
  </w:num>
  <w:num w:numId="388" w16cid:durableId="652759019">
    <w:abstractNumId w:val="332"/>
  </w:num>
  <w:num w:numId="389" w16cid:durableId="852186566">
    <w:abstractNumId w:val="345"/>
  </w:num>
  <w:num w:numId="390" w16cid:durableId="697047342">
    <w:abstractNumId w:val="166"/>
  </w:num>
  <w:num w:numId="391" w16cid:durableId="288249504">
    <w:abstractNumId w:val="113"/>
  </w:num>
  <w:num w:numId="392" w16cid:durableId="1684625843">
    <w:abstractNumId w:val="356"/>
  </w:num>
  <w:num w:numId="393" w16cid:durableId="1847481499">
    <w:abstractNumId w:val="354"/>
  </w:num>
  <w:num w:numId="394" w16cid:durableId="1227838641">
    <w:abstractNumId w:val="333"/>
  </w:num>
  <w:num w:numId="395" w16cid:durableId="177890951">
    <w:abstractNumId w:val="140"/>
  </w:num>
  <w:num w:numId="396" w16cid:durableId="1598441273">
    <w:abstractNumId w:val="150"/>
  </w:num>
  <w:num w:numId="397" w16cid:durableId="1759330484">
    <w:abstractNumId w:val="378"/>
  </w:num>
  <w:num w:numId="398" w16cid:durableId="2070689672">
    <w:abstractNumId w:val="102"/>
  </w:num>
  <w:num w:numId="399" w16cid:durableId="1996370316">
    <w:abstractNumId w:val="423"/>
  </w:num>
  <w:num w:numId="400" w16cid:durableId="1954902136">
    <w:abstractNumId w:val="368"/>
  </w:num>
  <w:num w:numId="401" w16cid:durableId="29846766">
    <w:abstractNumId w:val="280"/>
  </w:num>
  <w:num w:numId="402" w16cid:durableId="768816764">
    <w:abstractNumId w:val="370"/>
  </w:num>
  <w:num w:numId="403" w16cid:durableId="661664465">
    <w:abstractNumId w:val="323"/>
  </w:num>
  <w:num w:numId="404" w16cid:durableId="15276664">
    <w:abstractNumId w:val="257"/>
  </w:num>
  <w:num w:numId="405" w16cid:durableId="1936016645">
    <w:abstractNumId w:val="399"/>
  </w:num>
  <w:num w:numId="406" w16cid:durableId="1686900300">
    <w:abstractNumId w:val="51"/>
  </w:num>
  <w:num w:numId="407" w16cid:durableId="1007632764">
    <w:abstractNumId w:val="389"/>
  </w:num>
  <w:num w:numId="408" w16cid:durableId="631250934">
    <w:abstractNumId w:val="357"/>
  </w:num>
  <w:num w:numId="409" w16cid:durableId="1323584429">
    <w:abstractNumId w:val="17"/>
  </w:num>
  <w:num w:numId="410" w16cid:durableId="1571697049">
    <w:abstractNumId w:val="400"/>
  </w:num>
  <w:num w:numId="411" w16cid:durableId="777215477">
    <w:abstractNumId w:val="234"/>
  </w:num>
  <w:num w:numId="412" w16cid:durableId="1831940443">
    <w:abstractNumId w:val="212"/>
  </w:num>
  <w:num w:numId="413" w16cid:durableId="1009217718">
    <w:abstractNumId w:val="258"/>
  </w:num>
  <w:num w:numId="414" w16cid:durableId="1230964769">
    <w:abstractNumId w:val="44"/>
  </w:num>
  <w:num w:numId="415" w16cid:durableId="2047441837">
    <w:abstractNumId w:val="408"/>
  </w:num>
  <w:num w:numId="416" w16cid:durableId="1017536784">
    <w:abstractNumId w:val="422"/>
  </w:num>
  <w:num w:numId="417" w16cid:durableId="831215515">
    <w:abstractNumId w:val="153"/>
  </w:num>
  <w:num w:numId="418" w16cid:durableId="475612785">
    <w:abstractNumId w:val="129"/>
  </w:num>
  <w:num w:numId="419" w16cid:durableId="364646078">
    <w:abstractNumId w:val="239"/>
  </w:num>
  <w:num w:numId="420" w16cid:durableId="1992439780">
    <w:abstractNumId w:val="412"/>
  </w:num>
  <w:num w:numId="421" w16cid:durableId="2077314805">
    <w:abstractNumId w:val="299"/>
  </w:num>
  <w:num w:numId="422" w16cid:durableId="656424810">
    <w:abstractNumId w:val="448"/>
  </w:num>
  <w:num w:numId="423" w16cid:durableId="401760582">
    <w:abstractNumId w:val="42"/>
  </w:num>
  <w:num w:numId="424" w16cid:durableId="1202279210">
    <w:abstractNumId w:val="110"/>
  </w:num>
  <w:num w:numId="425" w16cid:durableId="590286181">
    <w:abstractNumId w:val="391"/>
  </w:num>
  <w:num w:numId="426" w16cid:durableId="578373447">
    <w:abstractNumId w:val="316"/>
  </w:num>
  <w:num w:numId="427" w16cid:durableId="1374843004">
    <w:abstractNumId w:val="115"/>
  </w:num>
  <w:num w:numId="428" w16cid:durableId="534733984">
    <w:abstractNumId w:val="376"/>
  </w:num>
  <w:num w:numId="429" w16cid:durableId="2081978087">
    <w:abstractNumId w:val="269"/>
  </w:num>
  <w:num w:numId="430" w16cid:durableId="2020619825">
    <w:abstractNumId w:val="122"/>
  </w:num>
  <w:num w:numId="431" w16cid:durableId="1537767815">
    <w:abstractNumId w:val="317"/>
  </w:num>
  <w:num w:numId="432" w16cid:durableId="1142960307">
    <w:abstractNumId w:val="334"/>
  </w:num>
  <w:num w:numId="433" w16cid:durableId="763499847">
    <w:abstractNumId w:val="45"/>
  </w:num>
  <w:num w:numId="434" w16cid:durableId="631446722">
    <w:abstractNumId w:val="396"/>
  </w:num>
  <w:num w:numId="435" w16cid:durableId="1108424302">
    <w:abstractNumId w:val="377"/>
  </w:num>
  <w:num w:numId="436" w16cid:durableId="159735114">
    <w:abstractNumId w:val="198"/>
  </w:num>
  <w:num w:numId="437" w16cid:durableId="911164324">
    <w:abstractNumId w:val="185"/>
  </w:num>
  <w:num w:numId="438" w16cid:durableId="1027561217">
    <w:abstractNumId w:val="457"/>
  </w:num>
  <w:num w:numId="439" w16cid:durableId="556474720">
    <w:abstractNumId w:val="80"/>
  </w:num>
  <w:num w:numId="440" w16cid:durableId="1789932652">
    <w:abstractNumId w:val="304"/>
  </w:num>
  <w:num w:numId="441" w16cid:durableId="642852479">
    <w:abstractNumId w:val="109"/>
  </w:num>
  <w:num w:numId="442" w16cid:durableId="2114280501">
    <w:abstractNumId w:val="152"/>
  </w:num>
  <w:num w:numId="443" w16cid:durableId="1606496920">
    <w:abstractNumId w:val="240"/>
  </w:num>
  <w:num w:numId="444" w16cid:durableId="1114716814">
    <w:abstractNumId w:val="94"/>
  </w:num>
  <w:num w:numId="445" w16cid:durableId="1957254566">
    <w:abstractNumId w:val="52"/>
  </w:num>
  <w:num w:numId="446" w16cid:durableId="20210410">
    <w:abstractNumId w:val="13"/>
  </w:num>
  <w:num w:numId="447" w16cid:durableId="84691399">
    <w:abstractNumId w:val="86"/>
  </w:num>
  <w:num w:numId="448" w16cid:durableId="990643542">
    <w:abstractNumId w:val="305"/>
  </w:num>
  <w:num w:numId="449" w16cid:durableId="3479319">
    <w:abstractNumId w:val="458"/>
  </w:num>
  <w:num w:numId="450" w16cid:durableId="358089104">
    <w:abstractNumId w:val="72"/>
  </w:num>
  <w:num w:numId="451" w16cid:durableId="1080909114">
    <w:abstractNumId w:val="231"/>
  </w:num>
  <w:num w:numId="452" w16cid:durableId="1493451925">
    <w:abstractNumId w:val="331"/>
  </w:num>
  <w:num w:numId="453" w16cid:durableId="1333072125">
    <w:abstractNumId w:val="392"/>
  </w:num>
  <w:num w:numId="454" w16cid:durableId="1033921115">
    <w:abstractNumId w:val="275"/>
  </w:num>
  <w:num w:numId="455" w16cid:durableId="1640957838">
    <w:abstractNumId w:val="429"/>
  </w:num>
  <w:num w:numId="456" w16cid:durableId="797338456">
    <w:abstractNumId w:val="277"/>
  </w:num>
  <w:num w:numId="457" w16cid:durableId="1704135439">
    <w:abstractNumId w:val="313"/>
  </w:num>
  <w:num w:numId="458" w16cid:durableId="152113803">
    <w:abstractNumId w:val="75"/>
  </w:num>
  <w:num w:numId="459" w16cid:durableId="1128087857">
    <w:abstractNumId w:val="314"/>
  </w:num>
  <w:num w:numId="460" w16cid:durableId="1704091986">
    <w:abstractNumId w:val="303"/>
  </w:num>
  <w:num w:numId="461" w16cid:durableId="1442187208">
    <w:abstractNumId w:val="251"/>
  </w:num>
  <w:num w:numId="462" w16cid:durableId="1187404980">
    <w:abstractNumId w:val="217"/>
  </w:num>
  <w:num w:numId="463" w16cid:durableId="1488280037">
    <w:abstractNumId w:val="416"/>
  </w:num>
  <w:num w:numId="464" w16cid:durableId="512451767">
    <w:abstractNumId w:val="81"/>
  </w:num>
  <w:num w:numId="465" w16cid:durableId="1271351148">
    <w:abstractNumId w:val="222"/>
  </w:num>
  <w:num w:numId="466" w16cid:durableId="17171162">
    <w:abstractNumId w:val="161"/>
  </w:num>
  <w:numIdMacAtCleanup w:val="4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MwNjAwN7ewsLQ0NjJT0lEKTi0uzszPAykwNjKuBQAzDLXoLgAAAA=="/>
  </w:docVars>
  <w:rsids>
    <w:rsidRoot w:val="008910AA"/>
    <w:rsid w:val="0000024C"/>
    <w:rsid w:val="00000750"/>
    <w:rsid w:val="0000076B"/>
    <w:rsid w:val="000007A3"/>
    <w:rsid w:val="000007E5"/>
    <w:rsid w:val="00000815"/>
    <w:rsid w:val="000009E1"/>
    <w:rsid w:val="00000AEF"/>
    <w:rsid w:val="00000D4C"/>
    <w:rsid w:val="00000DAC"/>
    <w:rsid w:val="00000DD1"/>
    <w:rsid w:val="00001089"/>
    <w:rsid w:val="000010BD"/>
    <w:rsid w:val="000012E4"/>
    <w:rsid w:val="00001324"/>
    <w:rsid w:val="000013C7"/>
    <w:rsid w:val="00001533"/>
    <w:rsid w:val="000017C5"/>
    <w:rsid w:val="0000184D"/>
    <w:rsid w:val="000018FE"/>
    <w:rsid w:val="00001B96"/>
    <w:rsid w:val="00001CF6"/>
    <w:rsid w:val="00001D0A"/>
    <w:rsid w:val="00001E76"/>
    <w:rsid w:val="0000209F"/>
    <w:rsid w:val="000021BF"/>
    <w:rsid w:val="0000230B"/>
    <w:rsid w:val="000025A0"/>
    <w:rsid w:val="000025FB"/>
    <w:rsid w:val="000026DF"/>
    <w:rsid w:val="00002804"/>
    <w:rsid w:val="000028EB"/>
    <w:rsid w:val="0000296A"/>
    <w:rsid w:val="00002C73"/>
    <w:rsid w:val="00002D05"/>
    <w:rsid w:val="00002F67"/>
    <w:rsid w:val="000030DD"/>
    <w:rsid w:val="000032C0"/>
    <w:rsid w:val="00003430"/>
    <w:rsid w:val="0000378B"/>
    <w:rsid w:val="00003991"/>
    <w:rsid w:val="000039B5"/>
    <w:rsid w:val="00003AEE"/>
    <w:rsid w:val="00003C39"/>
    <w:rsid w:val="00003D64"/>
    <w:rsid w:val="00003FC6"/>
    <w:rsid w:val="00004053"/>
    <w:rsid w:val="000041C3"/>
    <w:rsid w:val="000041F1"/>
    <w:rsid w:val="0000440D"/>
    <w:rsid w:val="0000445D"/>
    <w:rsid w:val="000047F4"/>
    <w:rsid w:val="00004909"/>
    <w:rsid w:val="00004CAC"/>
    <w:rsid w:val="00004D7D"/>
    <w:rsid w:val="00004DB4"/>
    <w:rsid w:val="0000505B"/>
    <w:rsid w:val="00005079"/>
    <w:rsid w:val="00005234"/>
    <w:rsid w:val="000052E9"/>
    <w:rsid w:val="000053B8"/>
    <w:rsid w:val="00005481"/>
    <w:rsid w:val="00005644"/>
    <w:rsid w:val="000056CC"/>
    <w:rsid w:val="000056D2"/>
    <w:rsid w:val="0000577D"/>
    <w:rsid w:val="00005814"/>
    <w:rsid w:val="000058C2"/>
    <w:rsid w:val="0000596B"/>
    <w:rsid w:val="00005B4D"/>
    <w:rsid w:val="00005BC0"/>
    <w:rsid w:val="00005DE5"/>
    <w:rsid w:val="00005DFA"/>
    <w:rsid w:val="00005F56"/>
    <w:rsid w:val="000064C9"/>
    <w:rsid w:val="000065FC"/>
    <w:rsid w:val="000067D3"/>
    <w:rsid w:val="000068B4"/>
    <w:rsid w:val="00006BC2"/>
    <w:rsid w:val="00006C17"/>
    <w:rsid w:val="00006D2F"/>
    <w:rsid w:val="00006D3A"/>
    <w:rsid w:val="00006DB7"/>
    <w:rsid w:val="00006E20"/>
    <w:rsid w:val="00006ECE"/>
    <w:rsid w:val="00006FBC"/>
    <w:rsid w:val="000071B9"/>
    <w:rsid w:val="00007277"/>
    <w:rsid w:val="00007336"/>
    <w:rsid w:val="0000761E"/>
    <w:rsid w:val="000076B9"/>
    <w:rsid w:val="00007838"/>
    <w:rsid w:val="000078F1"/>
    <w:rsid w:val="00007A20"/>
    <w:rsid w:val="00007A98"/>
    <w:rsid w:val="00007AC8"/>
    <w:rsid w:val="00007AE2"/>
    <w:rsid w:val="00007C09"/>
    <w:rsid w:val="00007CCE"/>
    <w:rsid w:val="00007E35"/>
    <w:rsid w:val="00010120"/>
    <w:rsid w:val="00010200"/>
    <w:rsid w:val="00010354"/>
    <w:rsid w:val="0001044C"/>
    <w:rsid w:val="00010550"/>
    <w:rsid w:val="00010565"/>
    <w:rsid w:val="00010708"/>
    <w:rsid w:val="000108C6"/>
    <w:rsid w:val="00010B31"/>
    <w:rsid w:val="00010CA6"/>
    <w:rsid w:val="00010E88"/>
    <w:rsid w:val="00010F84"/>
    <w:rsid w:val="0001134B"/>
    <w:rsid w:val="000113F8"/>
    <w:rsid w:val="0001148B"/>
    <w:rsid w:val="00011974"/>
    <w:rsid w:val="00011D4E"/>
    <w:rsid w:val="00011DBA"/>
    <w:rsid w:val="00012100"/>
    <w:rsid w:val="0001219A"/>
    <w:rsid w:val="000123BD"/>
    <w:rsid w:val="000123C0"/>
    <w:rsid w:val="00012498"/>
    <w:rsid w:val="000124F4"/>
    <w:rsid w:val="000126C8"/>
    <w:rsid w:val="00012BEE"/>
    <w:rsid w:val="00012D7A"/>
    <w:rsid w:val="00012DE2"/>
    <w:rsid w:val="00012EC4"/>
    <w:rsid w:val="000130CD"/>
    <w:rsid w:val="00013278"/>
    <w:rsid w:val="000132A3"/>
    <w:rsid w:val="000132D0"/>
    <w:rsid w:val="00013515"/>
    <w:rsid w:val="0001361E"/>
    <w:rsid w:val="00013687"/>
    <w:rsid w:val="000136D6"/>
    <w:rsid w:val="00013842"/>
    <w:rsid w:val="000138A8"/>
    <w:rsid w:val="000138D7"/>
    <w:rsid w:val="00013916"/>
    <w:rsid w:val="00013A27"/>
    <w:rsid w:val="00013B13"/>
    <w:rsid w:val="00013C1B"/>
    <w:rsid w:val="00013CF0"/>
    <w:rsid w:val="0001402C"/>
    <w:rsid w:val="000141A3"/>
    <w:rsid w:val="00014248"/>
    <w:rsid w:val="00014321"/>
    <w:rsid w:val="000145B8"/>
    <w:rsid w:val="000146B4"/>
    <w:rsid w:val="0001472D"/>
    <w:rsid w:val="000147F7"/>
    <w:rsid w:val="00014A06"/>
    <w:rsid w:val="00014A3F"/>
    <w:rsid w:val="00014B38"/>
    <w:rsid w:val="00014C8E"/>
    <w:rsid w:val="00014D05"/>
    <w:rsid w:val="0001518E"/>
    <w:rsid w:val="0001521B"/>
    <w:rsid w:val="0001543D"/>
    <w:rsid w:val="000154D9"/>
    <w:rsid w:val="00015525"/>
    <w:rsid w:val="000158AD"/>
    <w:rsid w:val="00015B9E"/>
    <w:rsid w:val="00015BC3"/>
    <w:rsid w:val="00015E7F"/>
    <w:rsid w:val="00016004"/>
    <w:rsid w:val="0001608C"/>
    <w:rsid w:val="000160C4"/>
    <w:rsid w:val="00016179"/>
    <w:rsid w:val="0001634C"/>
    <w:rsid w:val="0001638A"/>
    <w:rsid w:val="0001684A"/>
    <w:rsid w:val="0001693F"/>
    <w:rsid w:val="00016A30"/>
    <w:rsid w:val="00016AFD"/>
    <w:rsid w:val="00016D78"/>
    <w:rsid w:val="00016E28"/>
    <w:rsid w:val="00016FA8"/>
    <w:rsid w:val="000170D5"/>
    <w:rsid w:val="0001719E"/>
    <w:rsid w:val="000171BC"/>
    <w:rsid w:val="00017300"/>
    <w:rsid w:val="0001747F"/>
    <w:rsid w:val="00017662"/>
    <w:rsid w:val="00017726"/>
    <w:rsid w:val="00017822"/>
    <w:rsid w:val="00017855"/>
    <w:rsid w:val="00017A11"/>
    <w:rsid w:val="00017B7D"/>
    <w:rsid w:val="00017D7A"/>
    <w:rsid w:val="000201DB"/>
    <w:rsid w:val="0002030A"/>
    <w:rsid w:val="00020513"/>
    <w:rsid w:val="00020A29"/>
    <w:rsid w:val="00020AC1"/>
    <w:rsid w:val="00020ADA"/>
    <w:rsid w:val="00020B1B"/>
    <w:rsid w:val="00020B32"/>
    <w:rsid w:val="00020BD8"/>
    <w:rsid w:val="00020C17"/>
    <w:rsid w:val="00020C76"/>
    <w:rsid w:val="00020FBB"/>
    <w:rsid w:val="00021044"/>
    <w:rsid w:val="00021104"/>
    <w:rsid w:val="0002111A"/>
    <w:rsid w:val="000213DA"/>
    <w:rsid w:val="0002161F"/>
    <w:rsid w:val="000216CD"/>
    <w:rsid w:val="00021B3B"/>
    <w:rsid w:val="00021B40"/>
    <w:rsid w:val="00021BE4"/>
    <w:rsid w:val="00021C23"/>
    <w:rsid w:val="00021C31"/>
    <w:rsid w:val="00021C3A"/>
    <w:rsid w:val="00021CCB"/>
    <w:rsid w:val="00021F42"/>
    <w:rsid w:val="00022708"/>
    <w:rsid w:val="000227B8"/>
    <w:rsid w:val="0002289F"/>
    <w:rsid w:val="00022BA0"/>
    <w:rsid w:val="00022BCE"/>
    <w:rsid w:val="00022D23"/>
    <w:rsid w:val="00022E65"/>
    <w:rsid w:val="00022EEF"/>
    <w:rsid w:val="00022F00"/>
    <w:rsid w:val="00023023"/>
    <w:rsid w:val="0002302C"/>
    <w:rsid w:val="0002306E"/>
    <w:rsid w:val="0002308F"/>
    <w:rsid w:val="00023265"/>
    <w:rsid w:val="000232C3"/>
    <w:rsid w:val="000233B2"/>
    <w:rsid w:val="0002363B"/>
    <w:rsid w:val="00023845"/>
    <w:rsid w:val="000238C7"/>
    <w:rsid w:val="0002392D"/>
    <w:rsid w:val="00023D2E"/>
    <w:rsid w:val="00023DEE"/>
    <w:rsid w:val="00023F3E"/>
    <w:rsid w:val="00024039"/>
    <w:rsid w:val="0002408B"/>
    <w:rsid w:val="000242AB"/>
    <w:rsid w:val="00024460"/>
    <w:rsid w:val="00024562"/>
    <w:rsid w:val="00024B9C"/>
    <w:rsid w:val="00024E3D"/>
    <w:rsid w:val="00024FDC"/>
    <w:rsid w:val="00025067"/>
    <w:rsid w:val="00025150"/>
    <w:rsid w:val="00025204"/>
    <w:rsid w:val="000254E8"/>
    <w:rsid w:val="00025524"/>
    <w:rsid w:val="00025555"/>
    <w:rsid w:val="00025567"/>
    <w:rsid w:val="00025B1A"/>
    <w:rsid w:val="00025BD9"/>
    <w:rsid w:val="00025C81"/>
    <w:rsid w:val="00025EEF"/>
    <w:rsid w:val="0002601E"/>
    <w:rsid w:val="000260FF"/>
    <w:rsid w:val="00026138"/>
    <w:rsid w:val="00026154"/>
    <w:rsid w:val="000261CE"/>
    <w:rsid w:val="00026317"/>
    <w:rsid w:val="00026888"/>
    <w:rsid w:val="00026AD1"/>
    <w:rsid w:val="00026BF0"/>
    <w:rsid w:val="00026D33"/>
    <w:rsid w:val="00026D56"/>
    <w:rsid w:val="00026EA3"/>
    <w:rsid w:val="00026FAA"/>
    <w:rsid w:val="0002713D"/>
    <w:rsid w:val="000273D3"/>
    <w:rsid w:val="0002754F"/>
    <w:rsid w:val="000275E3"/>
    <w:rsid w:val="00027AE5"/>
    <w:rsid w:val="00027BA9"/>
    <w:rsid w:val="00027CD2"/>
    <w:rsid w:val="00027E27"/>
    <w:rsid w:val="00027E6D"/>
    <w:rsid w:val="00027F0D"/>
    <w:rsid w:val="00027FA6"/>
    <w:rsid w:val="0003003B"/>
    <w:rsid w:val="0003005A"/>
    <w:rsid w:val="0003051F"/>
    <w:rsid w:val="00030568"/>
    <w:rsid w:val="00030777"/>
    <w:rsid w:val="000309BA"/>
    <w:rsid w:val="00030AB6"/>
    <w:rsid w:val="00030BC3"/>
    <w:rsid w:val="00030C36"/>
    <w:rsid w:val="00030DA9"/>
    <w:rsid w:val="00030DE2"/>
    <w:rsid w:val="00030F8C"/>
    <w:rsid w:val="000310D5"/>
    <w:rsid w:val="000310F2"/>
    <w:rsid w:val="0003125F"/>
    <w:rsid w:val="00031399"/>
    <w:rsid w:val="00031441"/>
    <w:rsid w:val="0003149E"/>
    <w:rsid w:val="000315F8"/>
    <w:rsid w:val="0003171F"/>
    <w:rsid w:val="00031815"/>
    <w:rsid w:val="00031A09"/>
    <w:rsid w:val="00031A69"/>
    <w:rsid w:val="00031AB5"/>
    <w:rsid w:val="00031E53"/>
    <w:rsid w:val="00031FEC"/>
    <w:rsid w:val="0003208D"/>
    <w:rsid w:val="0003224D"/>
    <w:rsid w:val="000322D1"/>
    <w:rsid w:val="0003234D"/>
    <w:rsid w:val="00032373"/>
    <w:rsid w:val="00032821"/>
    <w:rsid w:val="00032A75"/>
    <w:rsid w:val="00032A96"/>
    <w:rsid w:val="00032EBA"/>
    <w:rsid w:val="00032FD0"/>
    <w:rsid w:val="00032FFC"/>
    <w:rsid w:val="000330AB"/>
    <w:rsid w:val="000332BD"/>
    <w:rsid w:val="00033389"/>
    <w:rsid w:val="000333ED"/>
    <w:rsid w:val="00033452"/>
    <w:rsid w:val="0003346A"/>
    <w:rsid w:val="000338D7"/>
    <w:rsid w:val="00033CD6"/>
    <w:rsid w:val="00033E71"/>
    <w:rsid w:val="00033EAF"/>
    <w:rsid w:val="00033FB4"/>
    <w:rsid w:val="00033FFF"/>
    <w:rsid w:val="00034092"/>
    <w:rsid w:val="000341C2"/>
    <w:rsid w:val="0003434F"/>
    <w:rsid w:val="00034392"/>
    <w:rsid w:val="00034579"/>
    <w:rsid w:val="00034A18"/>
    <w:rsid w:val="00034A1F"/>
    <w:rsid w:val="00034BED"/>
    <w:rsid w:val="00034E28"/>
    <w:rsid w:val="00035064"/>
    <w:rsid w:val="00035476"/>
    <w:rsid w:val="000355AB"/>
    <w:rsid w:val="000355B7"/>
    <w:rsid w:val="00035697"/>
    <w:rsid w:val="00035773"/>
    <w:rsid w:val="0003579F"/>
    <w:rsid w:val="00035902"/>
    <w:rsid w:val="0003597C"/>
    <w:rsid w:val="00035A53"/>
    <w:rsid w:val="00035AF9"/>
    <w:rsid w:val="00035ECB"/>
    <w:rsid w:val="00035F09"/>
    <w:rsid w:val="00035F1C"/>
    <w:rsid w:val="00035F21"/>
    <w:rsid w:val="00036208"/>
    <w:rsid w:val="00036440"/>
    <w:rsid w:val="00036799"/>
    <w:rsid w:val="00036837"/>
    <w:rsid w:val="000368F5"/>
    <w:rsid w:val="000369B8"/>
    <w:rsid w:val="00036AAB"/>
    <w:rsid w:val="00036C5A"/>
    <w:rsid w:val="00036E07"/>
    <w:rsid w:val="00036E47"/>
    <w:rsid w:val="000371A7"/>
    <w:rsid w:val="00037338"/>
    <w:rsid w:val="0003742E"/>
    <w:rsid w:val="000374B0"/>
    <w:rsid w:val="000376A9"/>
    <w:rsid w:val="000378AF"/>
    <w:rsid w:val="00037A67"/>
    <w:rsid w:val="00037A8C"/>
    <w:rsid w:val="00037CB1"/>
    <w:rsid w:val="00037D93"/>
    <w:rsid w:val="00037EC7"/>
    <w:rsid w:val="00037FC2"/>
    <w:rsid w:val="00040048"/>
    <w:rsid w:val="000401F1"/>
    <w:rsid w:val="00040357"/>
    <w:rsid w:val="0004050A"/>
    <w:rsid w:val="00040699"/>
    <w:rsid w:val="00040753"/>
    <w:rsid w:val="000407A7"/>
    <w:rsid w:val="00040858"/>
    <w:rsid w:val="00040E13"/>
    <w:rsid w:val="00040F98"/>
    <w:rsid w:val="000412F3"/>
    <w:rsid w:val="00041432"/>
    <w:rsid w:val="0004145E"/>
    <w:rsid w:val="000415C5"/>
    <w:rsid w:val="000418AE"/>
    <w:rsid w:val="000418D4"/>
    <w:rsid w:val="000419DA"/>
    <w:rsid w:val="000419E2"/>
    <w:rsid w:val="000419EE"/>
    <w:rsid w:val="00041AF8"/>
    <w:rsid w:val="00041BB8"/>
    <w:rsid w:val="00041CB9"/>
    <w:rsid w:val="00041CD0"/>
    <w:rsid w:val="00041D8C"/>
    <w:rsid w:val="00041FEF"/>
    <w:rsid w:val="0004201D"/>
    <w:rsid w:val="00042157"/>
    <w:rsid w:val="000421CA"/>
    <w:rsid w:val="00042347"/>
    <w:rsid w:val="00042355"/>
    <w:rsid w:val="000423C3"/>
    <w:rsid w:val="0004240E"/>
    <w:rsid w:val="000425DA"/>
    <w:rsid w:val="00042642"/>
    <w:rsid w:val="0004283A"/>
    <w:rsid w:val="000429CB"/>
    <w:rsid w:val="00042A32"/>
    <w:rsid w:val="00042CC9"/>
    <w:rsid w:val="00042EE4"/>
    <w:rsid w:val="00042F38"/>
    <w:rsid w:val="00042F3B"/>
    <w:rsid w:val="00042FC9"/>
    <w:rsid w:val="00042FE3"/>
    <w:rsid w:val="0004300F"/>
    <w:rsid w:val="0004301B"/>
    <w:rsid w:val="000432D9"/>
    <w:rsid w:val="0004336F"/>
    <w:rsid w:val="0004344C"/>
    <w:rsid w:val="00043806"/>
    <w:rsid w:val="00043923"/>
    <w:rsid w:val="00043B48"/>
    <w:rsid w:val="00043CB6"/>
    <w:rsid w:val="00043DEB"/>
    <w:rsid w:val="00044001"/>
    <w:rsid w:val="000440DB"/>
    <w:rsid w:val="0004426B"/>
    <w:rsid w:val="000443E5"/>
    <w:rsid w:val="00044480"/>
    <w:rsid w:val="000446AB"/>
    <w:rsid w:val="000446FA"/>
    <w:rsid w:val="000448A3"/>
    <w:rsid w:val="00044942"/>
    <w:rsid w:val="00044BE8"/>
    <w:rsid w:val="00044CB1"/>
    <w:rsid w:val="00044D0F"/>
    <w:rsid w:val="00044D4F"/>
    <w:rsid w:val="00044E1A"/>
    <w:rsid w:val="00044FB4"/>
    <w:rsid w:val="00045007"/>
    <w:rsid w:val="00045107"/>
    <w:rsid w:val="00045157"/>
    <w:rsid w:val="000452CA"/>
    <w:rsid w:val="0004549D"/>
    <w:rsid w:val="000454A4"/>
    <w:rsid w:val="000457F4"/>
    <w:rsid w:val="00045A92"/>
    <w:rsid w:val="00045AF9"/>
    <w:rsid w:val="00045B2E"/>
    <w:rsid w:val="00045ED8"/>
    <w:rsid w:val="00045F00"/>
    <w:rsid w:val="00046035"/>
    <w:rsid w:val="000461DF"/>
    <w:rsid w:val="00046398"/>
    <w:rsid w:val="0004687D"/>
    <w:rsid w:val="000469EC"/>
    <w:rsid w:val="00046B33"/>
    <w:rsid w:val="00046DCA"/>
    <w:rsid w:val="00046DF3"/>
    <w:rsid w:val="00046F5E"/>
    <w:rsid w:val="00047269"/>
    <w:rsid w:val="00047305"/>
    <w:rsid w:val="000475B8"/>
    <w:rsid w:val="0004774F"/>
    <w:rsid w:val="000477B5"/>
    <w:rsid w:val="0004783D"/>
    <w:rsid w:val="000478F1"/>
    <w:rsid w:val="0004790A"/>
    <w:rsid w:val="000479D5"/>
    <w:rsid w:val="000479DE"/>
    <w:rsid w:val="000479EC"/>
    <w:rsid w:val="00047ADA"/>
    <w:rsid w:val="00047D4F"/>
    <w:rsid w:val="00047DE4"/>
    <w:rsid w:val="00047DFE"/>
    <w:rsid w:val="00047E80"/>
    <w:rsid w:val="0005002D"/>
    <w:rsid w:val="00050081"/>
    <w:rsid w:val="00050390"/>
    <w:rsid w:val="000503B6"/>
    <w:rsid w:val="000503D7"/>
    <w:rsid w:val="00050454"/>
    <w:rsid w:val="00050569"/>
    <w:rsid w:val="000505C8"/>
    <w:rsid w:val="0005063B"/>
    <w:rsid w:val="0005077B"/>
    <w:rsid w:val="000509CE"/>
    <w:rsid w:val="00050A56"/>
    <w:rsid w:val="00050BCD"/>
    <w:rsid w:val="00050DB4"/>
    <w:rsid w:val="00050E05"/>
    <w:rsid w:val="00050E09"/>
    <w:rsid w:val="00050FED"/>
    <w:rsid w:val="00051147"/>
    <w:rsid w:val="000511F9"/>
    <w:rsid w:val="000515AC"/>
    <w:rsid w:val="000516C0"/>
    <w:rsid w:val="0005172C"/>
    <w:rsid w:val="000517A3"/>
    <w:rsid w:val="000517ED"/>
    <w:rsid w:val="000517FD"/>
    <w:rsid w:val="00051C1E"/>
    <w:rsid w:val="00051D65"/>
    <w:rsid w:val="00051F3B"/>
    <w:rsid w:val="00051F84"/>
    <w:rsid w:val="000521BE"/>
    <w:rsid w:val="000523A5"/>
    <w:rsid w:val="00052473"/>
    <w:rsid w:val="0005258B"/>
    <w:rsid w:val="000525C5"/>
    <w:rsid w:val="000527AE"/>
    <w:rsid w:val="000527FE"/>
    <w:rsid w:val="00052929"/>
    <w:rsid w:val="00052A84"/>
    <w:rsid w:val="00052B16"/>
    <w:rsid w:val="00052E69"/>
    <w:rsid w:val="000530FC"/>
    <w:rsid w:val="000532A5"/>
    <w:rsid w:val="000532BA"/>
    <w:rsid w:val="00053810"/>
    <w:rsid w:val="000538DD"/>
    <w:rsid w:val="00053BB3"/>
    <w:rsid w:val="00053F38"/>
    <w:rsid w:val="00054393"/>
    <w:rsid w:val="00054468"/>
    <w:rsid w:val="00054810"/>
    <w:rsid w:val="00054C07"/>
    <w:rsid w:val="00054CB1"/>
    <w:rsid w:val="00054F6D"/>
    <w:rsid w:val="0005501E"/>
    <w:rsid w:val="00055099"/>
    <w:rsid w:val="00055106"/>
    <w:rsid w:val="000552DD"/>
    <w:rsid w:val="00055382"/>
    <w:rsid w:val="00055868"/>
    <w:rsid w:val="00055CCA"/>
    <w:rsid w:val="00055D07"/>
    <w:rsid w:val="00055F1E"/>
    <w:rsid w:val="0005609A"/>
    <w:rsid w:val="0005622D"/>
    <w:rsid w:val="00056275"/>
    <w:rsid w:val="00056396"/>
    <w:rsid w:val="00056726"/>
    <w:rsid w:val="000568FE"/>
    <w:rsid w:val="00056989"/>
    <w:rsid w:val="00056AEF"/>
    <w:rsid w:val="00056BE0"/>
    <w:rsid w:val="00056C41"/>
    <w:rsid w:val="00057154"/>
    <w:rsid w:val="000571A6"/>
    <w:rsid w:val="00057680"/>
    <w:rsid w:val="000577C3"/>
    <w:rsid w:val="00057911"/>
    <w:rsid w:val="00057A0F"/>
    <w:rsid w:val="000601A0"/>
    <w:rsid w:val="00060319"/>
    <w:rsid w:val="00060660"/>
    <w:rsid w:val="000606EB"/>
    <w:rsid w:val="00060762"/>
    <w:rsid w:val="00060910"/>
    <w:rsid w:val="00060A05"/>
    <w:rsid w:val="00060D0C"/>
    <w:rsid w:val="000612AC"/>
    <w:rsid w:val="000617B3"/>
    <w:rsid w:val="00061B46"/>
    <w:rsid w:val="00061BD6"/>
    <w:rsid w:val="00061C85"/>
    <w:rsid w:val="00061C93"/>
    <w:rsid w:val="00061CBB"/>
    <w:rsid w:val="00061D9F"/>
    <w:rsid w:val="00061DE1"/>
    <w:rsid w:val="00061E4F"/>
    <w:rsid w:val="00061E5F"/>
    <w:rsid w:val="00061E9B"/>
    <w:rsid w:val="00061F19"/>
    <w:rsid w:val="00061F74"/>
    <w:rsid w:val="0006209E"/>
    <w:rsid w:val="0006235F"/>
    <w:rsid w:val="00062434"/>
    <w:rsid w:val="00062485"/>
    <w:rsid w:val="000625A6"/>
    <w:rsid w:val="000626C5"/>
    <w:rsid w:val="00062707"/>
    <w:rsid w:val="000629B5"/>
    <w:rsid w:val="000629CE"/>
    <w:rsid w:val="00062AC0"/>
    <w:rsid w:val="00062AD6"/>
    <w:rsid w:val="00062B7F"/>
    <w:rsid w:val="00062DF6"/>
    <w:rsid w:val="00062E7F"/>
    <w:rsid w:val="00062E95"/>
    <w:rsid w:val="00062EA5"/>
    <w:rsid w:val="00062F69"/>
    <w:rsid w:val="00062F92"/>
    <w:rsid w:val="00062FD6"/>
    <w:rsid w:val="000631F0"/>
    <w:rsid w:val="0006336A"/>
    <w:rsid w:val="00063858"/>
    <w:rsid w:val="000639C2"/>
    <w:rsid w:val="00063AC1"/>
    <w:rsid w:val="00063AD8"/>
    <w:rsid w:val="00063AE8"/>
    <w:rsid w:val="00063B4F"/>
    <w:rsid w:val="00063C35"/>
    <w:rsid w:val="00063C81"/>
    <w:rsid w:val="00063D3C"/>
    <w:rsid w:val="000641F2"/>
    <w:rsid w:val="000641FC"/>
    <w:rsid w:val="00064223"/>
    <w:rsid w:val="00064479"/>
    <w:rsid w:val="00064481"/>
    <w:rsid w:val="000645B6"/>
    <w:rsid w:val="00064746"/>
    <w:rsid w:val="00064834"/>
    <w:rsid w:val="0006493E"/>
    <w:rsid w:val="00064A3C"/>
    <w:rsid w:val="00064CDA"/>
    <w:rsid w:val="00064F02"/>
    <w:rsid w:val="00065055"/>
    <w:rsid w:val="00065384"/>
    <w:rsid w:val="00065486"/>
    <w:rsid w:val="000656C7"/>
    <w:rsid w:val="00065717"/>
    <w:rsid w:val="00065745"/>
    <w:rsid w:val="00065788"/>
    <w:rsid w:val="00065862"/>
    <w:rsid w:val="00065968"/>
    <w:rsid w:val="0006598B"/>
    <w:rsid w:val="00065A19"/>
    <w:rsid w:val="00065C38"/>
    <w:rsid w:val="00065E1B"/>
    <w:rsid w:val="00065E71"/>
    <w:rsid w:val="0006604F"/>
    <w:rsid w:val="00066202"/>
    <w:rsid w:val="00066345"/>
    <w:rsid w:val="0006648C"/>
    <w:rsid w:val="0006690F"/>
    <w:rsid w:val="0006698E"/>
    <w:rsid w:val="00066B62"/>
    <w:rsid w:val="00066BFC"/>
    <w:rsid w:val="00066D3E"/>
    <w:rsid w:val="00066D42"/>
    <w:rsid w:val="00067188"/>
    <w:rsid w:val="00067408"/>
    <w:rsid w:val="00067492"/>
    <w:rsid w:val="0006782A"/>
    <w:rsid w:val="0006784B"/>
    <w:rsid w:val="000679D9"/>
    <w:rsid w:val="000679EF"/>
    <w:rsid w:val="00067AC8"/>
    <w:rsid w:val="00067B86"/>
    <w:rsid w:val="00070084"/>
    <w:rsid w:val="000704EF"/>
    <w:rsid w:val="00070672"/>
    <w:rsid w:val="0007087D"/>
    <w:rsid w:val="000709FC"/>
    <w:rsid w:val="00070A0B"/>
    <w:rsid w:val="00070D4C"/>
    <w:rsid w:val="00070E63"/>
    <w:rsid w:val="00071003"/>
    <w:rsid w:val="00071060"/>
    <w:rsid w:val="000711BC"/>
    <w:rsid w:val="000713EA"/>
    <w:rsid w:val="00071497"/>
    <w:rsid w:val="000714AA"/>
    <w:rsid w:val="00071502"/>
    <w:rsid w:val="00071531"/>
    <w:rsid w:val="0007164D"/>
    <w:rsid w:val="00071E60"/>
    <w:rsid w:val="00072193"/>
    <w:rsid w:val="00072212"/>
    <w:rsid w:val="00072372"/>
    <w:rsid w:val="000724DB"/>
    <w:rsid w:val="0007256E"/>
    <w:rsid w:val="0007258A"/>
    <w:rsid w:val="00072835"/>
    <w:rsid w:val="00072954"/>
    <w:rsid w:val="00072AA8"/>
    <w:rsid w:val="00072BD1"/>
    <w:rsid w:val="000731A8"/>
    <w:rsid w:val="000731FA"/>
    <w:rsid w:val="00073278"/>
    <w:rsid w:val="00073411"/>
    <w:rsid w:val="0007342F"/>
    <w:rsid w:val="000735C6"/>
    <w:rsid w:val="000735CC"/>
    <w:rsid w:val="0007371C"/>
    <w:rsid w:val="00073B1C"/>
    <w:rsid w:val="00073B66"/>
    <w:rsid w:val="00073E20"/>
    <w:rsid w:val="00074063"/>
    <w:rsid w:val="00074549"/>
    <w:rsid w:val="0007458E"/>
    <w:rsid w:val="000746EC"/>
    <w:rsid w:val="0007470A"/>
    <w:rsid w:val="000747AE"/>
    <w:rsid w:val="000748AA"/>
    <w:rsid w:val="00074A63"/>
    <w:rsid w:val="00074AB7"/>
    <w:rsid w:val="00074B3B"/>
    <w:rsid w:val="00074C16"/>
    <w:rsid w:val="00074C98"/>
    <w:rsid w:val="00074F1E"/>
    <w:rsid w:val="000750E3"/>
    <w:rsid w:val="000751C8"/>
    <w:rsid w:val="0007523E"/>
    <w:rsid w:val="0007539E"/>
    <w:rsid w:val="000753AF"/>
    <w:rsid w:val="000754C4"/>
    <w:rsid w:val="000755F4"/>
    <w:rsid w:val="00075605"/>
    <w:rsid w:val="000756CF"/>
    <w:rsid w:val="00075833"/>
    <w:rsid w:val="000759CC"/>
    <w:rsid w:val="00075B35"/>
    <w:rsid w:val="00075DD7"/>
    <w:rsid w:val="00075E80"/>
    <w:rsid w:val="00075EB0"/>
    <w:rsid w:val="000761D6"/>
    <w:rsid w:val="000762AB"/>
    <w:rsid w:val="00076354"/>
    <w:rsid w:val="000765C6"/>
    <w:rsid w:val="000766FB"/>
    <w:rsid w:val="0007670D"/>
    <w:rsid w:val="00076962"/>
    <w:rsid w:val="00076A3A"/>
    <w:rsid w:val="00076D6E"/>
    <w:rsid w:val="00076E88"/>
    <w:rsid w:val="00076F26"/>
    <w:rsid w:val="00076FE6"/>
    <w:rsid w:val="00077034"/>
    <w:rsid w:val="0007708F"/>
    <w:rsid w:val="000772F8"/>
    <w:rsid w:val="000772FA"/>
    <w:rsid w:val="00077360"/>
    <w:rsid w:val="000775C1"/>
    <w:rsid w:val="000779F8"/>
    <w:rsid w:val="00077B55"/>
    <w:rsid w:val="00077CD6"/>
    <w:rsid w:val="00077D47"/>
    <w:rsid w:val="00077D68"/>
    <w:rsid w:val="0008009C"/>
    <w:rsid w:val="00080331"/>
    <w:rsid w:val="00080339"/>
    <w:rsid w:val="00080452"/>
    <w:rsid w:val="0008066E"/>
    <w:rsid w:val="00080712"/>
    <w:rsid w:val="00080756"/>
    <w:rsid w:val="00080769"/>
    <w:rsid w:val="00080808"/>
    <w:rsid w:val="00080943"/>
    <w:rsid w:val="00080999"/>
    <w:rsid w:val="000809F3"/>
    <w:rsid w:val="00080AEF"/>
    <w:rsid w:val="00080B16"/>
    <w:rsid w:val="00080C12"/>
    <w:rsid w:val="00080DFA"/>
    <w:rsid w:val="00080EC2"/>
    <w:rsid w:val="00081224"/>
    <w:rsid w:val="000813AE"/>
    <w:rsid w:val="000813DE"/>
    <w:rsid w:val="0008157E"/>
    <w:rsid w:val="00081966"/>
    <w:rsid w:val="00081A0D"/>
    <w:rsid w:val="00081B89"/>
    <w:rsid w:val="000820E8"/>
    <w:rsid w:val="000821CC"/>
    <w:rsid w:val="0008229B"/>
    <w:rsid w:val="000825E3"/>
    <w:rsid w:val="0008279B"/>
    <w:rsid w:val="000827F6"/>
    <w:rsid w:val="000829AA"/>
    <w:rsid w:val="00082A16"/>
    <w:rsid w:val="00082A89"/>
    <w:rsid w:val="00082CAF"/>
    <w:rsid w:val="00082F78"/>
    <w:rsid w:val="00082FE4"/>
    <w:rsid w:val="0008338F"/>
    <w:rsid w:val="000833A6"/>
    <w:rsid w:val="0008347F"/>
    <w:rsid w:val="000834A5"/>
    <w:rsid w:val="000834E3"/>
    <w:rsid w:val="0008359D"/>
    <w:rsid w:val="000837F9"/>
    <w:rsid w:val="00083AAA"/>
    <w:rsid w:val="00083AEA"/>
    <w:rsid w:val="00083C6C"/>
    <w:rsid w:val="00083C82"/>
    <w:rsid w:val="00083DE2"/>
    <w:rsid w:val="00083E6D"/>
    <w:rsid w:val="00083E91"/>
    <w:rsid w:val="00083F4E"/>
    <w:rsid w:val="00083FA5"/>
    <w:rsid w:val="0008406E"/>
    <w:rsid w:val="00084BFE"/>
    <w:rsid w:val="00084D01"/>
    <w:rsid w:val="00084F5B"/>
    <w:rsid w:val="00084FAB"/>
    <w:rsid w:val="00084FF2"/>
    <w:rsid w:val="0008502C"/>
    <w:rsid w:val="00085128"/>
    <w:rsid w:val="00085227"/>
    <w:rsid w:val="000852AF"/>
    <w:rsid w:val="00085333"/>
    <w:rsid w:val="000853A1"/>
    <w:rsid w:val="00085409"/>
    <w:rsid w:val="00085618"/>
    <w:rsid w:val="00085663"/>
    <w:rsid w:val="00085766"/>
    <w:rsid w:val="000857C1"/>
    <w:rsid w:val="000859BC"/>
    <w:rsid w:val="00085A5A"/>
    <w:rsid w:val="00085D00"/>
    <w:rsid w:val="00085D44"/>
    <w:rsid w:val="00085FB4"/>
    <w:rsid w:val="00086191"/>
    <w:rsid w:val="0008621D"/>
    <w:rsid w:val="000868C1"/>
    <w:rsid w:val="000869CD"/>
    <w:rsid w:val="00086A99"/>
    <w:rsid w:val="00087065"/>
    <w:rsid w:val="0008716E"/>
    <w:rsid w:val="00087522"/>
    <w:rsid w:val="0008758E"/>
    <w:rsid w:val="0008770B"/>
    <w:rsid w:val="00087761"/>
    <w:rsid w:val="0008798C"/>
    <w:rsid w:val="000879D6"/>
    <w:rsid w:val="00087A8A"/>
    <w:rsid w:val="000900CB"/>
    <w:rsid w:val="000900D2"/>
    <w:rsid w:val="0009012A"/>
    <w:rsid w:val="00090231"/>
    <w:rsid w:val="0009045C"/>
    <w:rsid w:val="000904DD"/>
    <w:rsid w:val="00090572"/>
    <w:rsid w:val="00090588"/>
    <w:rsid w:val="00090680"/>
    <w:rsid w:val="000907C1"/>
    <w:rsid w:val="000909C8"/>
    <w:rsid w:val="00090A89"/>
    <w:rsid w:val="00090AA6"/>
    <w:rsid w:val="00090DB8"/>
    <w:rsid w:val="00090DDF"/>
    <w:rsid w:val="00090F21"/>
    <w:rsid w:val="00090F25"/>
    <w:rsid w:val="0009102D"/>
    <w:rsid w:val="00091173"/>
    <w:rsid w:val="00091278"/>
    <w:rsid w:val="00091584"/>
    <w:rsid w:val="000916EA"/>
    <w:rsid w:val="00091719"/>
    <w:rsid w:val="0009187C"/>
    <w:rsid w:val="00091B97"/>
    <w:rsid w:val="00091C73"/>
    <w:rsid w:val="00091D2F"/>
    <w:rsid w:val="00091D9D"/>
    <w:rsid w:val="00092085"/>
    <w:rsid w:val="0009221E"/>
    <w:rsid w:val="0009245E"/>
    <w:rsid w:val="00092462"/>
    <w:rsid w:val="0009262F"/>
    <w:rsid w:val="000927CA"/>
    <w:rsid w:val="00092C7E"/>
    <w:rsid w:val="00092E03"/>
    <w:rsid w:val="00093003"/>
    <w:rsid w:val="00093092"/>
    <w:rsid w:val="000930CC"/>
    <w:rsid w:val="000930DA"/>
    <w:rsid w:val="0009316C"/>
    <w:rsid w:val="000932A8"/>
    <w:rsid w:val="00093422"/>
    <w:rsid w:val="0009346A"/>
    <w:rsid w:val="0009394F"/>
    <w:rsid w:val="00093A56"/>
    <w:rsid w:val="00093A5A"/>
    <w:rsid w:val="00093B90"/>
    <w:rsid w:val="00093C56"/>
    <w:rsid w:val="00093D8F"/>
    <w:rsid w:val="0009408D"/>
    <w:rsid w:val="0009445F"/>
    <w:rsid w:val="000947A7"/>
    <w:rsid w:val="00094820"/>
    <w:rsid w:val="000948EB"/>
    <w:rsid w:val="0009495E"/>
    <w:rsid w:val="000949D7"/>
    <w:rsid w:val="00094B0F"/>
    <w:rsid w:val="00094B11"/>
    <w:rsid w:val="00094BC3"/>
    <w:rsid w:val="0009510E"/>
    <w:rsid w:val="000952E9"/>
    <w:rsid w:val="00095312"/>
    <w:rsid w:val="00095657"/>
    <w:rsid w:val="00095768"/>
    <w:rsid w:val="000957A7"/>
    <w:rsid w:val="00095923"/>
    <w:rsid w:val="00095BE2"/>
    <w:rsid w:val="00095E2B"/>
    <w:rsid w:val="00095E5B"/>
    <w:rsid w:val="00095E9C"/>
    <w:rsid w:val="00096037"/>
    <w:rsid w:val="000960B4"/>
    <w:rsid w:val="00096542"/>
    <w:rsid w:val="000965F3"/>
    <w:rsid w:val="000966E5"/>
    <w:rsid w:val="0009672A"/>
    <w:rsid w:val="0009677A"/>
    <w:rsid w:val="000968DA"/>
    <w:rsid w:val="00096A01"/>
    <w:rsid w:val="00096AFB"/>
    <w:rsid w:val="00096D2F"/>
    <w:rsid w:val="00096D83"/>
    <w:rsid w:val="00096F13"/>
    <w:rsid w:val="00097116"/>
    <w:rsid w:val="00097312"/>
    <w:rsid w:val="000974EC"/>
    <w:rsid w:val="000977BB"/>
    <w:rsid w:val="000978BF"/>
    <w:rsid w:val="000978E5"/>
    <w:rsid w:val="00097A77"/>
    <w:rsid w:val="00097B5B"/>
    <w:rsid w:val="00097C77"/>
    <w:rsid w:val="00097CAC"/>
    <w:rsid w:val="00097DD7"/>
    <w:rsid w:val="00097EDF"/>
    <w:rsid w:val="00097F68"/>
    <w:rsid w:val="00097F92"/>
    <w:rsid w:val="000A016F"/>
    <w:rsid w:val="000A0359"/>
    <w:rsid w:val="000A036B"/>
    <w:rsid w:val="000A071B"/>
    <w:rsid w:val="000A072D"/>
    <w:rsid w:val="000A076B"/>
    <w:rsid w:val="000A0775"/>
    <w:rsid w:val="000A081E"/>
    <w:rsid w:val="000A0821"/>
    <w:rsid w:val="000A0850"/>
    <w:rsid w:val="000A0885"/>
    <w:rsid w:val="000A08C3"/>
    <w:rsid w:val="000A0C4D"/>
    <w:rsid w:val="000A0D8C"/>
    <w:rsid w:val="000A116D"/>
    <w:rsid w:val="000A13B5"/>
    <w:rsid w:val="000A1580"/>
    <w:rsid w:val="000A17F0"/>
    <w:rsid w:val="000A18D7"/>
    <w:rsid w:val="000A18E7"/>
    <w:rsid w:val="000A196D"/>
    <w:rsid w:val="000A1CF4"/>
    <w:rsid w:val="000A1E12"/>
    <w:rsid w:val="000A2184"/>
    <w:rsid w:val="000A2248"/>
    <w:rsid w:val="000A22DC"/>
    <w:rsid w:val="000A25CD"/>
    <w:rsid w:val="000A2715"/>
    <w:rsid w:val="000A2BB3"/>
    <w:rsid w:val="000A2D39"/>
    <w:rsid w:val="000A2E6F"/>
    <w:rsid w:val="000A30C7"/>
    <w:rsid w:val="000A312E"/>
    <w:rsid w:val="000A3138"/>
    <w:rsid w:val="000A32AC"/>
    <w:rsid w:val="000A34CA"/>
    <w:rsid w:val="000A37A4"/>
    <w:rsid w:val="000A3A5F"/>
    <w:rsid w:val="000A3B4F"/>
    <w:rsid w:val="000A3FDF"/>
    <w:rsid w:val="000A407E"/>
    <w:rsid w:val="000A4092"/>
    <w:rsid w:val="000A4144"/>
    <w:rsid w:val="000A4278"/>
    <w:rsid w:val="000A444A"/>
    <w:rsid w:val="000A44D8"/>
    <w:rsid w:val="000A45CE"/>
    <w:rsid w:val="000A4679"/>
    <w:rsid w:val="000A46AD"/>
    <w:rsid w:val="000A4760"/>
    <w:rsid w:val="000A4AD7"/>
    <w:rsid w:val="000A4B38"/>
    <w:rsid w:val="000A4F17"/>
    <w:rsid w:val="000A4F9F"/>
    <w:rsid w:val="000A4FD9"/>
    <w:rsid w:val="000A500B"/>
    <w:rsid w:val="000A506B"/>
    <w:rsid w:val="000A515E"/>
    <w:rsid w:val="000A538A"/>
    <w:rsid w:val="000A554A"/>
    <w:rsid w:val="000A5849"/>
    <w:rsid w:val="000A58C8"/>
    <w:rsid w:val="000A58ED"/>
    <w:rsid w:val="000A5913"/>
    <w:rsid w:val="000A59BD"/>
    <w:rsid w:val="000A5A55"/>
    <w:rsid w:val="000A5CDB"/>
    <w:rsid w:val="000A5D6B"/>
    <w:rsid w:val="000A5D7C"/>
    <w:rsid w:val="000A610E"/>
    <w:rsid w:val="000A63D2"/>
    <w:rsid w:val="000A63E5"/>
    <w:rsid w:val="000A6584"/>
    <w:rsid w:val="000A6630"/>
    <w:rsid w:val="000A6A29"/>
    <w:rsid w:val="000A6B01"/>
    <w:rsid w:val="000A6BCC"/>
    <w:rsid w:val="000A6C8F"/>
    <w:rsid w:val="000A6D5C"/>
    <w:rsid w:val="000A6D68"/>
    <w:rsid w:val="000A6DC5"/>
    <w:rsid w:val="000A6EF6"/>
    <w:rsid w:val="000A708B"/>
    <w:rsid w:val="000A7126"/>
    <w:rsid w:val="000A722F"/>
    <w:rsid w:val="000A72A8"/>
    <w:rsid w:val="000A73EE"/>
    <w:rsid w:val="000A7473"/>
    <w:rsid w:val="000A75EC"/>
    <w:rsid w:val="000A76FD"/>
    <w:rsid w:val="000A777F"/>
    <w:rsid w:val="000A781D"/>
    <w:rsid w:val="000A7852"/>
    <w:rsid w:val="000A78CE"/>
    <w:rsid w:val="000A7ACC"/>
    <w:rsid w:val="000A7AEE"/>
    <w:rsid w:val="000A7BC3"/>
    <w:rsid w:val="000A7D76"/>
    <w:rsid w:val="000A7E45"/>
    <w:rsid w:val="000A7EC2"/>
    <w:rsid w:val="000A7EC7"/>
    <w:rsid w:val="000B00D9"/>
    <w:rsid w:val="000B00E5"/>
    <w:rsid w:val="000B0143"/>
    <w:rsid w:val="000B0354"/>
    <w:rsid w:val="000B04A4"/>
    <w:rsid w:val="000B04F4"/>
    <w:rsid w:val="000B0667"/>
    <w:rsid w:val="000B06F2"/>
    <w:rsid w:val="000B085D"/>
    <w:rsid w:val="000B0981"/>
    <w:rsid w:val="000B0B6B"/>
    <w:rsid w:val="000B0BE9"/>
    <w:rsid w:val="000B0BEC"/>
    <w:rsid w:val="000B1028"/>
    <w:rsid w:val="000B108C"/>
    <w:rsid w:val="000B115F"/>
    <w:rsid w:val="000B1462"/>
    <w:rsid w:val="000B1591"/>
    <w:rsid w:val="000B1607"/>
    <w:rsid w:val="000B17CC"/>
    <w:rsid w:val="000B1A47"/>
    <w:rsid w:val="000B1B49"/>
    <w:rsid w:val="000B1BB8"/>
    <w:rsid w:val="000B1C18"/>
    <w:rsid w:val="000B1C36"/>
    <w:rsid w:val="000B1C87"/>
    <w:rsid w:val="000B1CE7"/>
    <w:rsid w:val="000B1CEF"/>
    <w:rsid w:val="000B1D54"/>
    <w:rsid w:val="000B1D5E"/>
    <w:rsid w:val="000B1F75"/>
    <w:rsid w:val="000B1FFB"/>
    <w:rsid w:val="000B2069"/>
    <w:rsid w:val="000B206F"/>
    <w:rsid w:val="000B211A"/>
    <w:rsid w:val="000B244F"/>
    <w:rsid w:val="000B24F8"/>
    <w:rsid w:val="000B251E"/>
    <w:rsid w:val="000B2818"/>
    <w:rsid w:val="000B2BAF"/>
    <w:rsid w:val="000B2D7F"/>
    <w:rsid w:val="000B3068"/>
    <w:rsid w:val="000B3169"/>
    <w:rsid w:val="000B316F"/>
    <w:rsid w:val="000B31DC"/>
    <w:rsid w:val="000B3288"/>
    <w:rsid w:val="000B33B2"/>
    <w:rsid w:val="000B346C"/>
    <w:rsid w:val="000B348B"/>
    <w:rsid w:val="000B3563"/>
    <w:rsid w:val="000B362C"/>
    <w:rsid w:val="000B3689"/>
    <w:rsid w:val="000B384D"/>
    <w:rsid w:val="000B3865"/>
    <w:rsid w:val="000B3A1B"/>
    <w:rsid w:val="000B3A47"/>
    <w:rsid w:val="000B3C8A"/>
    <w:rsid w:val="000B3D21"/>
    <w:rsid w:val="000B3E76"/>
    <w:rsid w:val="000B3F2D"/>
    <w:rsid w:val="000B43D7"/>
    <w:rsid w:val="000B469D"/>
    <w:rsid w:val="000B46AF"/>
    <w:rsid w:val="000B46D5"/>
    <w:rsid w:val="000B499E"/>
    <w:rsid w:val="000B4A30"/>
    <w:rsid w:val="000B4C34"/>
    <w:rsid w:val="000B4D46"/>
    <w:rsid w:val="000B4E35"/>
    <w:rsid w:val="000B4E73"/>
    <w:rsid w:val="000B4ED6"/>
    <w:rsid w:val="000B54E3"/>
    <w:rsid w:val="000B55C2"/>
    <w:rsid w:val="000B5767"/>
    <w:rsid w:val="000B5791"/>
    <w:rsid w:val="000B59B6"/>
    <w:rsid w:val="000B5B27"/>
    <w:rsid w:val="000B5C56"/>
    <w:rsid w:val="000B5CFE"/>
    <w:rsid w:val="000B60D6"/>
    <w:rsid w:val="000B6230"/>
    <w:rsid w:val="000B62E9"/>
    <w:rsid w:val="000B6557"/>
    <w:rsid w:val="000B6641"/>
    <w:rsid w:val="000B6680"/>
    <w:rsid w:val="000B67D1"/>
    <w:rsid w:val="000B6963"/>
    <w:rsid w:val="000B6BA4"/>
    <w:rsid w:val="000B6D57"/>
    <w:rsid w:val="000B6D76"/>
    <w:rsid w:val="000B6EA8"/>
    <w:rsid w:val="000B7169"/>
    <w:rsid w:val="000B72FC"/>
    <w:rsid w:val="000B7352"/>
    <w:rsid w:val="000B7447"/>
    <w:rsid w:val="000B7550"/>
    <w:rsid w:val="000B7580"/>
    <w:rsid w:val="000B7675"/>
    <w:rsid w:val="000B77C0"/>
    <w:rsid w:val="000B77D0"/>
    <w:rsid w:val="000B7836"/>
    <w:rsid w:val="000B7A09"/>
    <w:rsid w:val="000B7AAA"/>
    <w:rsid w:val="000B7AE2"/>
    <w:rsid w:val="000B7AF3"/>
    <w:rsid w:val="000B7B21"/>
    <w:rsid w:val="000B7E55"/>
    <w:rsid w:val="000B7E74"/>
    <w:rsid w:val="000B7F73"/>
    <w:rsid w:val="000B7F8B"/>
    <w:rsid w:val="000C0290"/>
    <w:rsid w:val="000C0434"/>
    <w:rsid w:val="000C043E"/>
    <w:rsid w:val="000C0565"/>
    <w:rsid w:val="000C0582"/>
    <w:rsid w:val="000C05D4"/>
    <w:rsid w:val="000C0730"/>
    <w:rsid w:val="000C0D3E"/>
    <w:rsid w:val="000C0D79"/>
    <w:rsid w:val="000C0E41"/>
    <w:rsid w:val="000C0EBA"/>
    <w:rsid w:val="000C0FB5"/>
    <w:rsid w:val="000C0FDA"/>
    <w:rsid w:val="000C1146"/>
    <w:rsid w:val="000C127F"/>
    <w:rsid w:val="000C12C6"/>
    <w:rsid w:val="000C1401"/>
    <w:rsid w:val="000C143D"/>
    <w:rsid w:val="000C14A2"/>
    <w:rsid w:val="000C14DA"/>
    <w:rsid w:val="000C1752"/>
    <w:rsid w:val="000C1779"/>
    <w:rsid w:val="000C18C2"/>
    <w:rsid w:val="000C1BA7"/>
    <w:rsid w:val="000C1E2D"/>
    <w:rsid w:val="000C1E78"/>
    <w:rsid w:val="000C1E8A"/>
    <w:rsid w:val="000C1F1D"/>
    <w:rsid w:val="000C201C"/>
    <w:rsid w:val="000C20C6"/>
    <w:rsid w:val="000C20F9"/>
    <w:rsid w:val="000C22B5"/>
    <w:rsid w:val="000C2388"/>
    <w:rsid w:val="000C24AB"/>
    <w:rsid w:val="000C24EB"/>
    <w:rsid w:val="000C2612"/>
    <w:rsid w:val="000C2775"/>
    <w:rsid w:val="000C28F4"/>
    <w:rsid w:val="000C2C54"/>
    <w:rsid w:val="000C2CAF"/>
    <w:rsid w:val="000C2CCC"/>
    <w:rsid w:val="000C2CDE"/>
    <w:rsid w:val="000C2E89"/>
    <w:rsid w:val="000C315F"/>
    <w:rsid w:val="000C322E"/>
    <w:rsid w:val="000C326B"/>
    <w:rsid w:val="000C32EC"/>
    <w:rsid w:val="000C331C"/>
    <w:rsid w:val="000C3412"/>
    <w:rsid w:val="000C3436"/>
    <w:rsid w:val="000C3596"/>
    <w:rsid w:val="000C363A"/>
    <w:rsid w:val="000C3653"/>
    <w:rsid w:val="000C36A2"/>
    <w:rsid w:val="000C38EE"/>
    <w:rsid w:val="000C3A37"/>
    <w:rsid w:val="000C3AAA"/>
    <w:rsid w:val="000C3B27"/>
    <w:rsid w:val="000C3B29"/>
    <w:rsid w:val="000C3BE1"/>
    <w:rsid w:val="000C3CE8"/>
    <w:rsid w:val="000C3DCA"/>
    <w:rsid w:val="000C3F52"/>
    <w:rsid w:val="000C41DD"/>
    <w:rsid w:val="000C42AD"/>
    <w:rsid w:val="000C445E"/>
    <w:rsid w:val="000C453F"/>
    <w:rsid w:val="000C48AF"/>
    <w:rsid w:val="000C4BBC"/>
    <w:rsid w:val="000C4CC5"/>
    <w:rsid w:val="000C4D22"/>
    <w:rsid w:val="000C4E9B"/>
    <w:rsid w:val="000C4EC7"/>
    <w:rsid w:val="000C4EE1"/>
    <w:rsid w:val="000C510B"/>
    <w:rsid w:val="000C5195"/>
    <w:rsid w:val="000C51D4"/>
    <w:rsid w:val="000C51E6"/>
    <w:rsid w:val="000C5219"/>
    <w:rsid w:val="000C532A"/>
    <w:rsid w:val="000C53A9"/>
    <w:rsid w:val="000C54E0"/>
    <w:rsid w:val="000C55D5"/>
    <w:rsid w:val="000C5812"/>
    <w:rsid w:val="000C58D3"/>
    <w:rsid w:val="000C59B7"/>
    <w:rsid w:val="000C5C0B"/>
    <w:rsid w:val="000C5CA4"/>
    <w:rsid w:val="000C5CEE"/>
    <w:rsid w:val="000C5EC3"/>
    <w:rsid w:val="000C5EF7"/>
    <w:rsid w:val="000C5F0A"/>
    <w:rsid w:val="000C5F11"/>
    <w:rsid w:val="000C64A2"/>
    <w:rsid w:val="000C6570"/>
    <w:rsid w:val="000C65B9"/>
    <w:rsid w:val="000C661F"/>
    <w:rsid w:val="000C66A7"/>
    <w:rsid w:val="000C66F4"/>
    <w:rsid w:val="000C6864"/>
    <w:rsid w:val="000C6D92"/>
    <w:rsid w:val="000C6DE7"/>
    <w:rsid w:val="000C6E1B"/>
    <w:rsid w:val="000C7077"/>
    <w:rsid w:val="000C71F8"/>
    <w:rsid w:val="000C7221"/>
    <w:rsid w:val="000C75F7"/>
    <w:rsid w:val="000C7728"/>
    <w:rsid w:val="000C78D1"/>
    <w:rsid w:val="000C7AD8"/>
    <w:rsid w:val="000C7B09"/>
    <w:rsid w:val="000C7BC9"/>
    <w:rsid w:val="000C7BD6"/>
    <w:rsid w:val="000C7BE6"/>
    <w:rsid w:val="000D001B"/>
    <w:rsid w:val="000D0069"/>
    <w:rsid w:val="000D012A"/>
    <w:rsid w:val="000D01DA"/>
    <w:rsid w:val="000D0294"/>
    <w:rsid w:val="000D02F4"/>
    <w:rsid w:val="000D0313"/>
    <w:rsid w:val="000D048A"/>
    <w:rsid w:val="000D04DB"/>
    <w:rsid w:val="000D0617"/>
    <w:rsid w:val="000D0653"/>
    <w:rsid w:val="000D0813"/>
    <w:rsid w:val="000D0ADD"/>
    <w:rsid w:val="000D1228"/>
    <w:rsid w:val="000D1503"/>
    <w:rsid w:val="000D165E"/>
    <w:rsid w:val="000D1722"/>
    <w:rsid w:val="000D174B"/>
    <w:rsid w:val="000D18F4"/>
    <w:rsid w:val="000D199F"/>
    <w:rsid w:val="000D1AE2"/>
    <w:rsid w:val="000D1D72"/>
    <w:rsid w:val="000D1F5D"/>
    <w:rsid w:val="000D1F9E"/>
    <w:rsid w:val="000D1FE0"/>
    <w:rsid w:val="000D20A0"/>
    <w:rsid w:val="000D23CA"/>
    <w:rsid w:val="000D246C"/>
    <w:rsid w:val="000D2477"/>
    <w:rsid w:val="000D26CA"/>
    <w:rsid w:val="000D2768"/>
    <w:rsid w:val="000D28B0"/>
    <w:rsid w:val="000D28DF"/>
    <w:rsid w:val="000D2968"/>
    <w:rsid w:val="000D2A6A"/>
    <w:rsid w:val="000D2B75"/>
    <w:rsid w:val="000D2BC0"/>
    <w:rsid w:val="000D2E58"/>
    <w:rsid w:val="000D3014"/>
    <w:rsid w:val="000D31B1"/>
    <w:rsid w:val="000D31B8"/>
    <w:rsid w:val="000D31BF"/>
    <w:rsid w:val="000D3209"/>
    <w:rsid w:val="000D3324"/>
    <w:rsid w:val="000D33E2"/>
    <w:rsid w:val="000D343D"/>
    <w:rsid w:val="000D3851"/>
    <w:rsid w:val="000D3ABA"/>
    <w:rsid w:val="000D3BA4"/>
    <w:rsid w:val="000D3C3A"/>
    <w:rsid w:val="000D3D0A"/>
    <w:rsid w:val="000D3DE8"/>
    <w:rsid w:val="000D3FB5"/>
    <w:rsid w:val="000D41B3"/>
    <w:rsid w:val="000D42D6"/>
    <w:rsid w:val="000D44A2"/>
    <w:rsid w:val="000D4791"/>
    <w:rsid w:val="000D48C6"/>
    <w:rsid w:val="000D494D"/>
    <w:rsid w:val="000D4AF3"/>
    <w:rsid w:val="000D4DA9"/>
    <w:rsid w:val="000D4E10"/>
    <w:rsid w:val="000D4E7D"/>
    <w:rsid w:val="000D4E81"/>
    <w:rsid w:val="000D4E9D"/>
    <w:rsid w:val="000D5093"/>
    <w:rsid w:val="000D52C6"/>
    <w:rsid w:val="000D52DA"/>
    <w:rsid w:val="000D5C78"/>
    <w:rsid w:val="000D5D61"/>
    <w:rsid w:val="000D5D7A"/>
    <w:rsid w:val="000D5DCB"/>
    <w:rsid w:val="000D5DF8"/>
    <w:rsid w:val="000D5E63"/>
    <w:rsid w:val="000D5E85"/>
    <w:rsid w:val="000D5F37"/>
    <w:rsid w:val="000D5FED"/>
    <w:rsid w:val="000D602B"/>
    <w:rsid w:val="000D6054"/>
    <w:rsid w:val="000D6150"/>
    <w:rsid w:val="000D6529"/>
    <w:rsid w:val="000D66A1"/>
    <w:rsid w:val="000D66C7"/>
    <w:rsid w:val="000D6757"/>
    <w:rsid w:val="000D699C"/>
    <w:rsid w:val="000D6C9E"/>
    <w:rsid w:val="000D6E4A"/>
    <w:rsid w:val="000D6F4F"/>
    <w:rsid w:val="000D7070"/>
    <w:rsid w:val="000D708D"/>
    <w:rsid w:val="000D7139"/>
    <w:rsid w:val="000D7158"/>
    <w:rsid w:val="000D72D8"/>
    <w:rsid w:val="000D7367"/>
    <w:rsid w:val="000D74B1"/>
    <w:rsid w:val="000D76FD"/>
    <w:rsid w:val="000D7784"/>
    <w:rsid w:val="000D78CA"/>
    <w:rsid w:val="000D7BA7"/>
    <w:rsid w:val="000D7E2F"/>
    <w:rsid w:val="000D7EBF"/>
    <w:rsid w:val="000D7F1C"/>
    <w:rsid w:val="000D7F2B"/>
    <w:rsid w:val="000D7FF6"/>
    <w:rsid w:val="000E0348"/>
    <w:rsid w:val="000E03EE"/>
    <w:rsid w:val="000E0406"/>
    <w:rsid w:val="000E060E"/>
    <w:rsid w:val="000E076C"/>
    <w:rsid w:val="000E079D"/>
    <w:rsid w:val="000E07F3"/>
    <w:rsid w:val="000E0A5D"/>
    <w:rsid w:val="000E0CDD"/>
    <w:rsid w:val="000E0F97"/>
    <w:rsid w:val="000E111A"/>
    <w:rsid w:val="000E1504"/>
    <w:rsid w:val="000E151D"/>
    <w:rsid w:val="000E160D"/>
    <w:rsid w:val="000E167A"/>
    <w:rsid w:val="000E16E2"/>
    <w:rsid w:val="000E1810"/>
    <w:rsid w:val="000E1853"/>
    <w:rsid w:val="000E1879"/>
    <w:rsid w:val="000E1A1A"/>
    <w:rsid w:val="000E1C18"/>
    <w:rsid w:val="000E1EAA"/>
    <w:rsid w:val="000E1F56"/>
    <w:rsid w:val="000E202D"/>
    <w:rsid w:val="000E221D"/>
    <w:rsid w:val="000E23A1"/>
    <w:rsid w:val="000E268B"/>
    <w:rsid w:val="000E2910"/>
    <w:rsid w:val="000E29BC"/>
    <w:rsid w:val="000E2A03"/>
    <w:rsid w:val="000E2B09"/>
    <w:rsid w:val="000E2C9E"/>
    <w:rsid w:val="000E2D21"/>
    <w:rsid w:val="000E2D65"/>
    <w:rsid w:val="000E2EAC"/>
    <w:rsid w:val="000E2F75"/>
    <w:rsid w:val="000E2FAE"/>
    <w:rsid w:val="000E30D6"/>
    <w:rsid w:val="000E30E1"/>
    <w:rsid w:val="000E3207"/>
    <w:rsid w:val="000E340D"/>
    <w:rsid w:val="000E34A8"/>
    <w:rsid w:val="000E362F"/>
    <w:rsid w:val="000E37D3"/>
    <w:rsid w:val="000E390C"/>
    <w:rsid w:val="000E3A0A"/>
    <w:rsid w:val="000E3A1D"/>
    <w:rsid w:val="000E3CA7"/>
    <w:rsid w:val="000E3CC0"/>
    <w:rsid w:val="000E3DE0"/>
    <w:rsid w:val="000E3E84"/>
    <w:rsid w:val="000E3ED6"/>
    <w:rsid w:val="000E40E3"/>
    <w:rsid w:val="000E4238"/>
    <w:rsid w:val="000E443E"/>
    <w:rsid w:val="000E448E"/>
    <w:rsid w:val="000E44A1"/>
    <w:rsid w:val="000E4593"/>
    <w:rsid w:val="000E476A"/>
    <w:rsid w:val="000E4995"/>
    <w:rsid w:val="000E4A30"/>
    <w:rsid w:val="000E4B34"/>
    <w:rsid w:val="000E4D07"/>
    <w:rsid w:val="000E4DFC"/>
    <w:rsid w:val="000E4E7A"/>
    <w:rsid w:val="000E4F8B"/>
    <w:rsid w:val="000E5088"/>
    <w:rsid w:val="000E5314"/>
    <w:rsid w:val="000E53F0"/>
    <w:rsid w:val="000E54C1"/>
    <w:rsid w:val="000E54C6"/>
    <w:rsid w:val="000E5654"/>
    <w:rsid w:val="000E56E2"/>
    <w:rsid w:val="000E5816"/>
    <w:rsid w:val="000E5A82"/>
    <w:rsid w:val="000E5DB2"/>
    <w:rsid w:val="000E602A"/>
    <w:rsid w:val="000E60ED"/>
    <w:rsid w:val="000E6611"/>
    <w:rsid w:val="000E682E"/>
    <w:rsid w:val="000E68C3"/>
    <w:rsid w:val="000E69AB"/>
    <w:rsid w:val="000E6C10"/>
    <w:rsid w:val="000E6E4D"/>
    <w:rsid w:val="000E6FEA"/>
    <w:rsid w:val="000E7068"/>
    <w:rsid w:val="000E73AD"/>
    <w:rsid w:val="000E74F9"/>
    <w:rsid w:val="000E74FB"/>
    <w:rsid w:val="000E7928"/>
    <w:rsid w:val="000E7A62"/>
    <w:rsid w:val="000E7AE6"/>
    <w:rsid w:val="000E7B14"/>
    <w:rsid w:val="000E7C1E"/>
    <w:rsid w:val="000E7C65"/>
    <w:rsid w:val="000E7E54"/>
    <w:rsid w:val="000E7E7F"/>
    <w:rsid w:val="000F0088"/>
    <w:rsid w:val="000F02EB"/>
    <w:rsid w:val="000F030A"/>
    <w:rsid w:val="000F04AC"/>
    <w:rsid w:val="000F0571"/>
    <w:rsid w:val="000F0582"/>
    <w:rsid w:val="000F0741"/>
    <w:rsid w:val="000F07EF"/>
    <w:rsid w:val="000F0813"/>
    <w:rsid w:val="000F0852"/>
    <w:rsid w:val="000F08E2"/>
    <w:rsid w:val="000F09AB"/>
    <w:rsid w:val="000F0A26"/>
    <w:rsid w:val="000F0BEB"/>
    <w:rsid w:val="000F0ED0"/>
    <w:rsid w:val="000F0F18"/>
    <w:rsid w:val="000F11C5"/>
    <w:rsid w:val="000F1435"/>
    <w:rsid w:val="000F159A"/>
    <w:rsid w:val="000F189F"/>
    <w:rsid w:val="000F18DD"/>
    <w:rsid w:val="000F1973"/>
    <w:rsid w:val="000F1C53"/>
    <w:rsid w:val="000F1C59"/>
    <w:rsid w:val="000F1D2F"/>
    <w:rsid w:val="000F1D3F"/>
    <w:rsid w:val="000F1D89"/>
    <w:rsid w:val="000F1DB4"/>
    <w:rsid w:val="000F1EE7"/>
    <w:rsid w:val="000F1F31"/>
    <w:rsid w:val="000F1FCB"/>
    <w:rsid w:val="000F20E9"/>
    <w:rsid w:val="000F21B7"/>
    <w:rsid w:val="000F2241"/>
    <w:rsid w:val="000F2408"/>
    <w:rsid w:val="000F286C"/>
    <w:rsid w:val="000F2878"/>
    <w:rsid w:val="000F29E6"/>
    <w:rsid w:val="000F2A6D"/>
    <w:rsid w:val="000F2AE1"/>
    <w:rsid w:val="000F2C60"/>
    <w:rsid w:val="000F2CE2"/>
    <w:rsid w:val="000F2DFF"/>
    <w:rsid w:val="000F2E52"/>
    <w:rsid w:val="000F2FF0"/>
    <w:rsid w:val="000F30F6"/>
    <w:rsid w:val="000F3128"/>
    <w:rsid w:val="000F3260"/>
    <w:rsid w:val="000F3286"/>
    <w:rsid w:val="000F3384"/>
    <w:rsid w:val="000F3668"/>
    <w:rsid w:val="000F3817"/>
    <w:rsid w:val="000F3877"/>
    <w:rsid w:val="000F3A53"/>
    <w:rsid w:val="000F3B1D"/>
    <w:rsid w:val="000F3C6A"/>
    <w:rsid w:val="000F3C79"/>
    <w:rsid w:val="000F3D1F"/>
    <w:rsid w:val="000F3E5A"/>
    <w:rsid w:val="000F3E72"/>
    <w:rsid w:val="000F3EA5"/>
    <w:rsid w:val="000F3EB3"/>
    <w:rsid w:val="000F409A"/>
    <w:rsid w:val="000F412F"/>
    <w:rsid w:val="000F4475"/>
    <w:rsid w:val="000F45F1"/>
    <w:rsid w:val="000F47B4"/>
    <w:rsid w:val="000F4863"/>
    <w:rsid w:val="000F4943"/>
    <w:rsid w:val="000F49FC"/>
    <w:rsid w:val="000F4A43"/>
    <w:rsid w:val="000F4DD8"/>
    <w:rsid w:val="000F510F"/>
    <w:rsid w:val="000F5309"/>
    <w:rsid w:val="000F5420"/>
    <w:rsid w:val="000F5499"/>
    <w:rsid w:val="000F5520"/>
    <w:rsid w:val="000F56E2"/>
    <w:rsid w:val="000F57B2"/>
    <w:rsid w:val="000F581E"/>
    <w:rsid w:val="000F5830"/>
    <w:rsid w:val="000F58EB"/>
    <w:rsid w:val="000F5B84"/>
    <w:rsid w:val="000F5DD9"/>
    <w:rsid w:val="000F6079"/>
    <w:rsid w:val="000F608C"/>
    <w:rsid w:val="000F63EF"/>
    <w:rsid w:val="000F64C4"/>
    <w:rsid w:val="000F6532"/>
    <w:rsid w:val="000F6814"/>
    <w:rsid w:val="000F6B49"/>
    <w:rsid w:val="000F6BEC"/>
    <w:rsid w:val="000F6FED"/>
    <w:rsid w:val="000F71CF"/>
    <w:rsid w:val="000F7348"/>
    <w:rsid w:val="000F745B"/>
    <w:rsid w:val="000F7612"/>
    <w:rsid w:val="000F766A"/>
    <w:rsid w:val="000F78C3"/>
    <w:rsid w:val="000F792F"/>
    <w:rsid w:val="000F7B78"/>
    <w:rsid w:val="000F7CC7"/>
    <w:rsid w:val="000F7E5E"/>
    <w:rsid w:val="000F7FB7"/>
    <w:rsid w:val="000F7FF5"/>
    <w:rsid w:val="001000CF"/>
    <w:rsid w:val="0010018C"/>
    <w:rsid w:val="0010023F"/>
    <w:rsid w:val="00100246"/>
    <w:rsid w:val="001002E7"/>
    <w:rsid w:val="00100323"/>
    <w:rsid w:val="00100613"/>
    <w:rsid w:val="00100641"/>
    <w:rsid w:val="0010066C"/>
    <w:rsid w:val="0010070C"/>
    <w:rsid w:val="001007BD"/>
    <w:rsid w:val="001007E9"/>
    <w:rsid w:val="00100848"/>
    <w:rsid w:val="00100B21"/>
    <w:rsid w:val="00100B5E"/>
    <w:rsid w:val="00100B9C"/>
    <w:rsid w:val="00100C23"/>
    <w:rsid w:val="00100E69"/>
    <w:rsid w:val="00100F08"/>
    <w:rsid w:val="00101011"/>
    <w:rsid w:val="001010AE"/>
    <w:rsid w:val="00101293"/>
    <w:rsid w:val="001013A7"/>
    <w:rsid w:val="001013E1"/>
    <w:rsid w:val="001016AE"/>
    <w:rsid w:val="00101709"/>
    <w:rsid w:val="00101749"/>
    <w:rsid w:val="00101751"/>
    <w:rsid w:val="0010181E"/>
    <w:rsid w:val="001019D9"/>
    <w:rsid w:val="00101C3C"/>
    <w:rsid w:val="00101D5F"/>
    <w:rsid w:val="00101F09"/>
    <w:rsid w:val="00101F85"/>
    <w:rsid w:val="00101FB7"/>
    <w:rsid w:val="001021C1"/>
    <w:rsid w:val="0010236D"/>
    <w:rsid w:val="001023DC"/>
    <w:rsid w:val="001024CA"/>
    <w:rsid w:val="00102512"/>
    <w:rsid w:val="00102537"/>
    <w:rsid w:val="0010260F"/>
    <w:rsid w:val="00102A63"/>
    <w:rsid w:val="00102DD3"/>
    <w:rsid w:val="00102E3F"/>
    <w:rsid w:val="001032AF"/>
    <w:rsid w:val="001032BD"/>
    <w:rsid w:val="00103393"/>
    <w:rsid w:val="0010343B"/>
    <w:rsid w:val="0010345B"/>
    <w:rsid w:val="0010355C"/>
    <w:rsid w:val="001036AC"/>
    <w:rsid w:val="001036BE"/>
    <w:rsid w:val="001036CE"/>
    <w:rsid w:val="001036CF"/>
    <w:rsid w:val="00103B98"/>
    <w:rsid w:val="00103D4E"/>
    <w:rsid w:val="00103DD1"/>
    <w:rsid w:val="00103DEB"/>
    <w:rsid w:val="00103E93"/>
    <w:rsid w:val="00103F86"/>
    <w:rsid w:val="00104038"/>
    <w:rsid w:val="00104058"/>
    <w:rsid w:val="001041E2"/>
    <w:rsid w:val="0010448F"/>
    <w:rsid w:val="001046DA"/>
    <w:rsid w:val="0010474F"/>
    <w:rsid w:val="00104854"/>
    <w:rsid w:val="00104A22"/>
    <w:rsid w:val="00104AE3"/>
    <w:rsid w:val="00104B1D"/>
    <w:rsid w:val="00104C85"/>
    <w:rsid w:val="00104EE7"/>
    <w:rsid w:val="00104FA4"/>
    <w:rsid w:val="00105083"/>
    <w:rsid w:val="001050BC"/>
    <w:rsid w:val="00105177"/>
    <w:rsid w:val="00105203"/>
    <w:rsid w:val="0010557F"/>
    <w:rsid w:val="00105BB4"/>
    <w:rsid w:val="00105C0F"/>
    <w:rsid w:val="00105D8D"/>
    <w:rsid w:val="00105DB4"/>
    <w:rsid w:val="00106012"/>
    <w:rsid w:val="00106354"/>
    <w:rsid w:val="00106425"/>
    <w:rsid w:val="0010643F"/>
    <w:rsid w:val="0010651C"/>
    <w:rsid w:val="00106946"/>
    <w:rsid w:val="001069C5"/>
    <w:rsid w:val="00106A76"/>
    <w:rsid w:val="00106B43"/>
    <w:rsid w:val="00106BF5"/>
    <w:rsid w:val="00106C44"/>
    <w:rsid w:val="00106D80"/>
    <w:rsid w:val="00106E7E"/>
    <w:rsid w:val="00106FF4"/>
    <w:rsid w:val="001071F6"/>
    <w:rsid w:val="001074C2"/>
    <w:rsid w:val="001074CE"/>
    <w:rsid w:val="001076CB"/>
    <w:rsid w:val="00107733"/>
    <w:rsid w:val="00107A3F"/>
    <w:rsid w:val="00107A9C"/>
    <w:rsid w:val="00107BE4"/>
    <w:rsid w:val="00107E6F"/>
    <w:rsid w:val="00110197"/>
    <w:rsid w:val="00110457"/>
    <w:rsid w:val="001105CC"/>
    <w:rsid w:val="00110672"/>
    <w:rsid w:val="001106AB"/>
    <w:rsid w:val="001106B1"/>
    <w:rsid w:val="0011091B"/>
    <w:rsid w:val="00110976"/>
    <w:rsid w:val="00110AA0"/>
    <w:rsid w:val="00110AFC"/>
    <w:rsid w:val="00110D17"/>
    <w:rsid w:val="00110E2E"/>
    <w:rsid w:val="001111EC"/>
    <w:rsid w:val="0011126C"/>
    <w:rsid w:val="001112A9"/>
    <w:rsid w:val="001116DD"/>
    <w:rsid w:val="001116F9"/>
    <w:rsid w:val="00111768"/>
    <w:rsid w:val="001117C3"/>
    <w:rsid w:val="00111943"/>
    <w:rsid w:val="00111984"/>
    <w:rsid w:val="001119EE"/>
    <w:rsid w:val="00111A69"/>
    <w:rsid w:val="00111C8F"/>
    <w:rsid w:val="00111D3C"/>
    <w:rsid w:val="00111E5B"/>
    <w:rsid w:val="00111FD8"/>
    <w:rsid w:val="0011200A"/>
    <w:rsid w:val="00112069"/>
    <w:rsid w:val="00112176"/>
    <w:rsid w:val="0011263C"/>
    <w:rsid w:val="001127F4"/>
    <w:rsid w:val="00112B98"/>
    <w:rsid w:val="00112C33"/>
    <w:rsid w:val="00112D61"/>
    <w:rsid w:val="00112DD6"/>
    <w:rsid w:val="001131B4"/>
    <w:rsid w:val="00113285"/>
    <w:rsid w:val="0011328F"/>
    <w:rsid w:val="001132E2"/>
    <w:rsid w:val="00113341"/>
    <w:rsid w:val="001133BA"/>
    <w:rsid w:val="001133F5"/>
    <w:rsid w:val="001134C2"/>
    <w:rsid w:val="00113693"/>
    <w:rsid w:val="0011374D"/>
    <w:rsid w:val="00113751"/>
    <w:rsid w:val="001137AC"/>
    <w:rsid w:val="001137B2"/>
    <w:rsid w:val="00113A47"/>
    <w:rsid w:val="00113AAF"/>
    <w:rsid w:val="00113ADC"/>
    <w:rsid w:val="00113BBD"/>
    <w:rsid w:val="00113BBF"/>
    <w:rsid w:val="00113D1F"/>
    <w:rsid w:val="00113D47"/>
    <w:rsid w:val="00114085"/>
    <w:rsid w:val="00114290"/>
    <w:rsid w:val="0011432D"/>
    <w:rsid w:val="001143E7"/>
    <w:rsid w:val="00114445"/>
    <w:rsid w:val="0011459E"/>
    <w:rsid w:val="0011471E"/>
    <w:rsid w:val="0011489D"/>
    <w:rsid w:val="001148DB"/>
    <w:rsid w:val="001148FE"/>
    <w:rsid w:val="00114A80"/>
    <w:rsid w:val="00114A8B"/>
    <w:rsid w:val="00114BC7"/>
    <w:rsid w:val="00114CA2"/>
    <w:rsid w:val="00114CE4"/>
    <w:rsid w:val="00114CF7"/>
    <w:rsid w:val="00114D75"/>
    <w:rsid w:val="00114F1A"/>
    <w:rsid w:val="0011509C"/>
    <w:rsid w:val="001150D4"/>
    <w:rsid w:val="00115529"/>
    <w:rsid w:val="001158B7"/>
    <w:rsid w:val="001158CA"/>
    <w:rsid w:val="00115BF0"/>
    <w:rsid w:val="00115E47"/>
    <w:rsid w:val="00115E84"/>
    <w:rsid w:val="00115F9D"/>
    <w:rsid w:val="001161C2"/>
    <w:rsid w:val="00116373"/>
    <w:rsid w:val="001163D6"/>
    <w:rsid w:val="0011658E"/>
    <w:rsid w:val="001166D8"/>
    <w:rsid w:val="00116755"/>
    <w:rsid w:val="001168B4"/>
    <w:rsid w:val="001168BA"/>
    <w:rsid w:val="00116BCE"/>
    <w:rsid w:val="00116CB0"/>
    <w:rsid w:val="00116D6F"/>
    <w:rsid w:val="00116F29"/>
    <w:rsid w:val="00116F5C"/>
    <w:rsid w:val="00116F7A"/>
    <w:rsid w:val="00116FB4"/>
    <w:rsid w:val="00117185"/>
    <w:rsid w:val="001171F0"/>
    <w:rsid w:val="0011756C"/>
    <w:rsid w:val="00117814"/>
    <w:rsid w:val="0011795C"/>
    <w:rsid w:val="00117DA0"/>
    <w:rsid w:val="00117F46"/>
    <w:rsid w:val="00120088"/>
    <w:rsid w:val="00120166"/>
    <w:rsid w:val="0012035F"/>
    <w:rsid w:val="001203D5"/>
    <w:rsid w:val="0012042A"/>
    <w:rsid w:val="0012053F"/>
    <w:rsid w:val="0012054E"/>
    <w:rsid w:val="001207FA"/>
    <w:rsid w:val="00120978"/>
    <w:rsid w:val="00120A93"/>
    <w:rsid w:val="00120B33"/>
    <w:rsid w:val="00120CBA"/>
    <w:rsid w:val="00120D63"/>
    <w:rsid w:val="00120DB2"/>
    <w:rsid w:val="00120E33"/>
    <w:rsid w:val="0012101E"/>
    <w:rsid w:val="001210F5"/>
    <w:rsid w:val="00121131"/>
    <w:rsid w:val="0012137D"/>
    <w:rsid w:val="00121390"/>
    <w:rsid w:val="001213DB"/>
    <w:rsid w:val="001214CB"/>
    <w:rsid w:val="001216D4"/>
    <w:rsid w:val="00121772"/>
    <w:rsid w:val="0012182E"/>
    <w:rsid w:val="0012193A"/>
    <w:rsid w:val="00121C3B"/>
    <w:rsid w:val="00121CDB"/>
    <w:rsid w:val="00121E76"/>
    <w:rsid w:val="00121F0E"/>
    <w:rsid w:val="0012210D"/>
    <w:rsid w:val="0012241C"/>
    <w:rsid w:val="00122435"/>
    <w:rsid w:val="0012257F"/>
    <w:rsid w:val="001226FF"/>
    <w:rsid w:val="001227B3"/>
    <w:rsid w:val="001227EF"/>
    <w:rsid w:val="0012282F"/>
    <w:rsid w:val="001228A3"/>
    <w:rsid w:val="001228D8"/>
    <w:rsid w:val="0012298F"/>
    <w:rsid w:val="00122A38"/>
    <w:rsid w:val="00122C10"/>
    <w:rsid w:val="00122C35"/>
    <w:rsid w:val="00122DDE"/>
    <w:rsid w:val="00122E1F"/>
    <w:rsid w:val="00122F47"/>
    <w:rsid w:val="00123085"/>
    <w:rsid w:val="001231D4"/>
    <w:rsid w:val="001232DC"/>
    <w:rsid w:val="0012358C"/>
    <w:rsid w:val="00123854"/>
    <w:rsid w:val="00123B88"/>
    <w:rsid w:val="00123C05"/>
    <w:rsid w:val="00123C0C"/>
    <w:rsid w:val="00123D1F"/>
    <w:rsid w:val="00123D4E"/>
    <w:rsid w:val="00123DFF"/>
    <w:rsid w:val="00123E52"/>
    <w:rsid w:val="00123E7F"/>
    <w:rsid w:val="00123EA4"/>
    <w:rsid w:val="00123EB4"/>
    <w:rsid w:val="00123F43"/>
    <w:rsid w:val="001240C1"/>
    <w:rsid w:val="001241F3"/>
    <w:rsid w:val="00124305"/>
    <w:rsid w:val="001243C9"/>
    <w:rsid w:val="00124520"/>
    <w:rsid w:val="00124694"/>
    <w:rsid w:val="00124979"/>
    <w:rsid w:val="00124ABA"/>
    <w:rsid w:val="00124BB0"/>
    <w:rsid w:val="00124C42"/>
    <w:rsid w:val="00124D85"/>
    <w:rsid w:val="00124DCD"/>
    <w:rsid w:val="00124E7C"/>
    <w:rsid w:val="00124FF9"/>
    <w:rsid w:val="00124FFA"/>
    <w:rsid w:val="0012502C"/>
    <w:rsid w:val="00125038"/>
    <w:rsid w:val="0012514B"/>
    <w:rsid w:val="00125370"/>
    <w:rsid w:val="0012542D"/>
    <w:rsid w:val="001254E2"/>
    <w:rsid w:val="001256C8"/>
    <w:rsid w:val="001256E6"/>
    <w:rsid w:val="0012573C"/>
    <w:rsid w:val="00125826"/>
    <w:rsid w:val="00125950"/>
    <w:rsid w:val="00125AF9"/>
    <w:rsid w:val="00125BA8"/>
    <w:rsid w:val="00125D59"/>
    <w:rsid w:val="00125D9F"/>
    <w:rsid w:val="00125DCD"/>
    <w:rsid w:val="0012614B"/>
    <w:rsid w:val="00126158"/>
    <w:rsid w:val="001267D1"/>
    <w:rsid w:val="00126CF1"/>
    <w:rsid w:val="0012711B"/>
    <w:rsid w:val="0012712A"/>
    <w:rsid w:val="0012719E"/>
    <w:rsid w:val="001272AB"/>
    <w:rsid w:val="00127304"/>
    <w:rsid w:val="00127308"/>
    <w:rsid w:val="0012732B"/>
    <w:rsid w:val="00127384"/>
    <w:rsid w:val="001273FB"/>
    <w:rsid w:val="00127403"/>
    <w:rsid w:val="00127490"/>
    <w:rsid w:val="001275CD"/>
    <w:rsid w:val="001276FD"/>
    <w:rsid w:val="0012772F"/>
    <w:rsid w:val="0012780C"/>
    <w:rsid w:val="0012786C"/>
    <w:rsid w:val="00127CCD"/>
    <w:rsid w:val="00127DF4"/>
    <w:rsid w:val="00127E33"/>
    <w:rsid w:val="00127E88"/>
    <w:rsid w:val="00130047"/>
    <w:rsid w:val="00130060"/>
    <w:rsid w:val="00130226"/>
    <w:rsid w:val="001306AC"/>
    <w:rsid w:val="00130A93"/>
    <w:rsid w:val="00130C89"/>
    <w:rsid w:val="00130DBA"/>
    <w:rsid w:val="00130E1C"/>
    <w:rsid w:val="00130F82"/>
    <w:rsid w:val="00130F88"/>
    <w:rsid w:val="00131114"/>
    <w:rsid w:val="001313DC"/>
    <w:rsid w:val="00131486"/>
    <w:rsid w:val="001314B0"/>
    <w:rsid w:val="001315B8"/>
    <w:rsid w:val="001316F3"/>
    <w:rsid w:val="00131813"/>
    <w:rsid w:val="00131949"/>
    <w:rsid w:val="001319AE"/>
    <w:rsid w:val="00131AA4"/>
    <w:rsid w:val="00131AE6"/>
    <w:rsid w:val="00131B7F"/>
    <w:rsid w:val="00131D90"/>
    <w:rsid w:val="00131E35"/>
    <w:rsid w:val="00131F2C"/>
    <w:rsid w:val="00132007"/>
    <w:rsid w:val="001321F0"/>
    <w:rsid w:val="001323FA"/>
    <w:rsid w:val="0013241F"/>
    <w:rsid w:val="0013247D"/>
    <w:rsid w:val="00132584"/>
    <w:rsid w:val="00132607"/>
    <w:rsid w:val="0013260C"/>
    <w:rsid w:val="00132671"/>
    <w:rsid w:val="0013289C"/>
    <w:rsid w:val="00132CA0"/>
    <w:rsid w:val="00132CD5"/>
    <w:rsid w:val="00132D9D"/>
    <w:rsid w:val="00132F36"/>
    <w:rsid w:val="0013305C"/>
    <w:rsid w:val="00133129"/>
    <w:rsid w:val="001331EE"/>
    <w:rsid w:val="00133213"/>
    <w:rsid w:val="00133233"/>
    <w:rsid w:val="0013323B"/>
    <w:rsid w:val="00133240"/>
    <w:rsid w:val="0013326E"/>
    <w:rsid w:val="001332E0"/>
    <w:rsid w:val="001336AA"/>
    <w:rsid w:val="0013372C"/>
    <w:rsid w:val="0013378F"/>
    <w:rsid w:val="00133795"/>
    <w:rsid w:val="00133816"/>
    <w:rsid w:val="001338CC"/>
    <w:rsid w:val="001338DC"/>
    <w:rsid w:val="00133AE2"/>
    <w:rsid w:val="00133BF3"/>
    <w:rsid w:val="00133CE2"/>
    <w:rsid w:val="00133F89"/>
    <w:rsid w:val="00134006"/>
    <w:rsid w:val="0013404A"/>
    <w:rsid w:val="001341A0"/>
    <w:rsid w:val="0013425E"/>
    <w:rsid w:val="00134276"/>
    <w:rsid w:val="00134560"/>
    <w:rsid w:val="00134680"/>
    <w:rsid w:val="0013469A"/>
    <w:rsid w:val="0013487B"/>
    <w:rsid w:val="001349FE"/>
    <w:rsid w:val="00134A05"/>
    <w:rsid w:val="00134EBF"/>
    <w:rsid w:val="00134F8B"/>
    <w:rsid w:val="00135204"/>
    <w:rsid w:val="001354B2"/>
    <w:rsid w:val="001355C6"/>
    <w:rsid w:val="001355E6"/>
    <w:rsid w:val="001356D5"/>
    <w:rsid w:val="0013571F"/>
    <w:rsid w:val="00135772"/>
    <w:rsid w:val="00135787"/>
    <w:rsid w:val="0013598E"/>
    <w:rsid w:val="00135BE4"/>
    <w:rsid w:val="00135E3D"/>
    <w:rsid w:val="00135F36"/>
    <w:rsid w:val="0013608F"/>
    <w:rsid w:val="001360A3"/>
    <w:rsid w:val="0013614E"/>
    <w:rsid w:val="001361C3"/>
    <w:rsid w:val="00136276"/>
    <w:rsid w:val="00136451"/>
    <w:rsid w:val="00136570"/>
    <w:rsid w:val="00136579"/>
    <w:rsid w:val="00136666"/>
    <w:rsid w:val="00136720"/>
    <w:rsid w:val="00136812"/>
    <w:rsid w:val="0013687D"/>
    <w:rsid w:val="00136C78"/>
    <w:rsid w:val="00136CE3"/>
    <w:rsid w:val="00137087"/>
    <w:rsid w:val="001370F3"/>
    <w:rsid w:val="00137102"/>
    <w:rsid w:val="001379DC"/>
    <w:rsid w:val="00137AD7"/>
    <w:rsid w:val="00137C20"/>
    <w:rsid w:val="00137D1B"/>
    <w:rsid w:val="00140033"/>
    <w:rsid w:val="0014006C"/>
    <w:rsid w:val="001400E6"/>
    <w:rsid w:val="00140158"/>
    <w:rsid w:val="001402AB"/>
    <w:rsid w:val="00140549"/>
    <w:rsid w:val="0014067B"/>
    <w:rsid w:val="001406E5"/>
    <w:rsid w:val="00140744"/>
    <w:rsid w:val="00140965"/>
    <w:rsid w:val="00140ABC"/>
    <w:rsid w:val="00140AD4"/>
    <w:rsid w:val="00140D04"/>
    <w:rsid w:val="00140EAF"/>
    <w:rsid w:val="001410DA"/>
    <w:rsid w:val="00141318"/>
    <w:rsid w:val="001413FC"/>
    <w:rsid w:val="0014142D"/>
    <w:rsid w:val="001416D5"/>
    <w:rsid w:val="0014188E"/>
    <w:rsid w:val="0014198C"/>
    <w:rsid w:val="00141A31"/>
    <w:rsid w:val="00141B70"/>
    <w:rsid w:val="00141B80"/>
    <w:rsid w:val="00141BB0"/>
    <w:rsid w:val="00141E0A"/>
    <w:rsid w:val="00141F6B"/>
    <w:rsid w:val="0014204F"/>
    <w:rsid w:val="0014244D"/>
    <w:rsid w:val="0014267F"/>
    <w:rsid w:val="0014268A"/>
    <w:rsid w:val="00142758"/>
    <w:rsid w:val="0014279C"/>
    <w:rsid w:val="001429D6"/>
    <w:rsid w:val="00142A94"/>
    <w:rsid w:val="001430B8"/>
    <w:rsid w:val="001430D9"/>
    <w:rsid w:val="001434CC"/>
    <w:rsid w:val="001435C3"/>
    <w:rsid w:val="0014365F"/>
    <w:rsid w:val="001437B5"/>
    <w:rsid w:val="0014380C"/>
    <w:rsid w:val="00143966"/>
    <w:rsid w:val="001439F6"/>
    <w:rsid w:val="00143A61"/>
    <w:rsid w:val="00143C75"/>
    <w:rsid w:val="00143F14"/>
    <w:rsid w:val="00143F29"/>
    <w:rsid w:val="00143FA4"/>
    <w:rsid w:val="001440BF"/>
    <w:rsid w:val="00144184"/>
    <w:rsid w:val="00144304"/>
    <w:rsid w:val="001443A9"/>
    <w:rsid w:val="001444EA"/>
    <w:rsid w:val="0014452F"/>
    <w:rsid w:val="00144603"/>
    <w:rsid w:val="00144714"/>
    <w:rsid w:val="00144838"/>
    <w:rsid w:val="001448B2"/>
    <w:rsid w:val="00144A1E"/>
    <w:rsid w:val="00144AF1"/>
    <w:rsid w:val="00144B34"/>
    <w:rsid w:val="00144B5F"/>
    <w:rsid w:val="00144C7D"/>
    <w:rsid w:val="00144DC5"/>
    <w:rsid w:val="00144E05"/>
    <w:rsid w:val="00144E91"/>
    <w:rsid w:val="00144E9A"/>
    <w:rsid w:val="00145020"/>
    <w:rsid w:val="001451CF"/>
    <w:rsid w:val="001452BE"/>
    <w:rsid w:val="0014537C"/>
    <w:rsid w:val="001453FC"/>
    <w:rsid w:val="00145444"/>
    <w:rsid w:val="00145504"/>
    <w:rsid w:val="0014574C"/>
    <w:rsid w:val="001458FF"/>
    <w:rsid w:val="00145B77"/>
    <w:rsid w:val="00145BE7"/>
    <w:rsid w:val="00145BF8"/>
    <w:rsid w:val="00145F54"/>
    <w:rsid w:val="00145FEA"/>
    <w:rsid w:val="0014605F"/>
    <w:rsid w:val="001463F4"/>
    <w:rsid w:val="001466D5"/>
    <w:rsid w:val="00146740"/>
    <w:rsid w:val="00146B82"/>
    <w:rsid w:val="00146D3D"/>
    <w:rsid w:val="00146EBA"/>
    <w:rsid w:val="001470A3"/>
    <w:rsid w:val="001478AB"/>
    <w:rsid w:val="001479BD"/>
    <w:rsid w:val="00147C4D"/>
    <w:rsid w:val="00147C67"/>
    <w:rsid w:val="00147DF3"/>
    <w:rsid w:val="00147E41"/>
    <w:rsid w:val="00150016"/>
    <w:rsid w:val="00150090"/>
    <w:rsid w:val="001500E6"/>
    <w:rsid w:val="001501AB"/>
    <w:rsid w:val="0015020C"/>
    <w:rsid w:val="0015021E"/>
    <w:rsid w:val="0015023F"/>
    <w:rsid w:val="001503CD"/>
    <w:rsid w:val="00150537"/>
    <w:rsid w:val="0015059A"/>
    <w:rsid w:val="001509F8"/>
    <w:rsid w:val="00150A21"/>
    <w:rsid w:val="00150C69"/>
    <w:rsid w:val="00150CFF"/>
    <w:rsid w:val="00150DD6"/>
    <w:rsid w:val="00150E65"/>
    <w:rsid w:val="00150EDD"/>
    <w:rsid w:val="00151051"/>
    <w:rsid w:val="0015115E"/>
    <w:rsid w:val="00151232"/>
    <w:rsid w:val="00151441"/>
    <w:rsid w:val="00151458"/>
    <w:rsid w:val="00151497"/>
    <w:rsid w:val="001515E8"/>
    <w:rsid w:val="0015160A"/>
    <w:rsid w:val="00151744"/>
    <w:rsid w:val="00151894"/>
    <w:rsid w:val="0015193A"/>
    <w:rsid w:val="00151C8A"/>
    <w:rsid w:val="0015208F"/>
    <w:rsid w:val="001521B7"/>
    <w:rsid w:val="001521E5"/>
    <w:rsid w:val="00152340"/>
    <w:rsid w:val="0015241C"/>
    <w:rsid w:val="001524B9"/>
    <w:rsid w:val="001524C1"/>
    <w:rsid w:val="00152526"/>
    <w:rsid w:val="0015275A"/>
    <w:rsid w:val="00152CA0"/>
    <w:rsid w:val="00152CC8"/>
    <w:rsid w:val="00152DF4"/>
    <w:rsid w:val="001530A8"/>
    <w:rsid w:val="0015315F"/>
    <w:rsid w:val="00153301"/>
    <w:rsid w:val="0015336F"/>
    <w:rsid w:val="001533C1"/>
    <w:rsid w:val="001533E0"/>
    <w:rsid w:val="0015363B"/>
    <w:rsid w:val="001536F7"/>
    <w:rsid w:val="00153869"/>
    <w:rsid w:val="001539F5"/>
    <w:rsid w:val="00153C3F"/>
    <w:rsid w:val="00154099"/>
    <w:rsid w:val="001547BE"/>
    <w:rsid w:val="001547C5"/>
    <w:rsid w:val="00154885"/>
    <w:rsid w:val="001549D5"/>
    <w:rsid w:val="00154C4A"/>
    <w:rsid w:val="00154C5A"/>
    <w:rsid w:val="00154CC0"/>
    <w:rsid w:val="00154CD8"/>
    <w:rsid w:val="00154D1B"/>
    <w:rsid w:val="00154ED9"/>
    <w:rsid w:val="00154F1F"/>
    <w:rsid w:val="00154F6C"/>
    <w:rsid w:val="001550B8"/>
    <w:rsid w:val="001550F9"/>
    <w:rsid w:val="00155177"/>
    <w:rsid w:val="00155320"/>
    <w:rsid w:val="0015545C"/>
    <w:rsid w:val="001556E3"/>
    <w:rsid w:val="001557AA"/>
    <w:rsid w:val="00155893"/>
    <w:rsid w:val="00155B0B"/>
    <w:rsid w:val="00155B1D"/>
    <w:rsid w:val="00155D2A"/>
    <w:rsid w:val="00155E91"/>
    <w:rsid w:val="001560F1"/>
    <w:rsid w:val="00156144"/>
    <w:rsid w:val="001561D0"/>
    <w:rsid w:val="00156265"/>
    <w:rsid w:val="0015656D"/>
    <w:rsid w:val="00156643"/>
    <w:rsid w:val="00156661"/>
    <w:rsid w:val="0015686E"/>
    <w:rsid w:val="0015693C"/>
    <w:rsid w:val="00156DFB"/>
    <w:rsid w:val="00156E4C"/>
    <w:rsid w:val="00156E7A"/>
    <w:rsid w:val="0015749D"/>
    <w:rsid w:val="001575D5"/>
    <w:rsid w:val="00157792"/>
    <w:rsid w:val="00157A99"/>
    <w:rsid w:val="00157CDE"/>
    <w:rsid w:val="00157D44"/>
    <w:rsid w:val="00157FDB"/>
    <w:rsid w:val="0016004E"/>
    <w:rsid w:val="0016022B"/>
    <w:rsid w:val="0016037D"/>
    <w:rsid w:val="00160380"/>
    <w:rsid w:val="001605C5"/>
    <w:rsid w:val="00160788"/>
    <w:rsid w:val="00160844"/>
    <w:rsid w:val="001608E1"/>
    <w:rsid w:val="001609EC"/>
    <w:rsid w:val="00160B46"/>
    <w:rsid w:val="00160CD2"/>
    <w:rsid w:val="00160D1E"/>
    <w:rsid w:val="00160E5A"/>
    <w:rsid w:val="00160E6B"/>
    <w:rsid w:val="001610E3"/>
    <w:rsid w:val="00161170"/>
    <w:rsid w:val="001612D8"/>
    <w:rsid w:val="00161316"/>
    <w:rsid w:val="00161376"/>
    <w:rsid w:val="00161423"/>
    <w:rsid w:val="001614AA"/>
    <w:rsid w:val="001615DA"/>
    <w:rsid w:val="00161702"/>
    <w:rsid w:val="00161AD6"/>
    <w:rsid w:val="00161DD3"/>
    <w:rsid w:val="0016235D"/>
    <w:rsid w:val="00162574"/>
    <w:rsid w:val="00162780"/>
    <w:rsid w:val="0016279B"/>
    <w:rsid w:val="00162AAB"/>
    <w:rsid w:val="00162B0C"/>
    <w:rsid w:val="00162F00"/>
    <w:rsid w:val="001631F0"/>
    <w:rsid w:val="0016320B"/>
    <w:rsid w:val="0016329B"/>
    <w:rsid w:val="001633C9"/>
    <w:rsid w:val="001634E2"/>
    <w:rsid w:val="00163586"/>
    <w:rsid w:val="001635E4"/>
    <w:rsid w:val="0016386D"/>
    <w:rsid w:val="00163AA4"/>
    <w:rsid w:val="00163D03"/>
    <w:rsid w:val="00163D75"/>
    <w:rsid w:val="0016408B"/>
    <w:rsid w:val="00164243"/>
    <w:rsid w:val="00164498"/>
    <w:rsid w:val="00164653"/>
    <w:rsid w:val="00164680"/>
    <w:rsid w:val="001646B8"/>
    <w:rsid w:val="00164998"/>
    <w:rsid w:val="00164A8A"/>
    <w:rsid w:val="00164C2A"/>
    <w:rsid w:val="00164DB1"/>
    <w:rsid w:val="00164E4B"/>
    <w:rsid w:val="00164F56"/>
    <w:rsid w:val="0016517A"/>
    <w:rsid w:val="00165186"/>
    <w:rsid w:val="0016519F"/>
    <w:rsid w:val="001651A4"/>
    <w:rsid w:val="001651B1"/>
    <w:rsid w:val="001655E9"/>
    <w:rsid w:val="001658E0"/>
    <w:rsid w:val="00165913"/>
    <w:rsid w:val="00165B0C"/>
    <w:rsid w:val="00165B37"/>
    <w:rsid w:val="00165BD9"/>
    <w:rsid w:val="00165BF7"/>
    <w:rsid w:val="00165C26"/>
    <w:rsid w:val="00165D1B"/>
    <w:rsid w:val="00165E58"/>
    <w:rsid w:val="00165F84"/>
    <w:rsid w:val="00166032"/>
    <w:rsid w:val="001661E0"/>
    <w:rsid w:val="0016658F"/>
    <w:rsid w:val="00166614"/>
    <w:rsid w:val="001666D3"/>
    <w:rsid w:val="001667A6"/>
    <w:rsid w:val="00166887"/>
    <w:rsid w:val="0016689E"/>
    <w:rsid w:val="00166B81"/>
    <w:rsid w:val="00166BEC"/>
    <w:rsid w:val="00166E02"/>
    <w:rsid w:val="00166E54"/>
    <w:rsid w:val="001670A0"/>
    <w:rsid w:val="00167340"/>
    <w:rsid w:val="00167473"/>
    <w:rsid w:val="00167577"/>
    <w:rsid w:val="00167766"/>
    <w:rsid w:val="001678B7"/>
    <w:rsid w:val="0016798F"/>
    <w:rsid w:val="001679ED"/>
    <w:rsid w:val="00167ADE"/>
    <w:rsid w:val="00167AE6"/>
    <w:rsid w:val="00167EF2"/>
    <w:rsid w:val="00167F98"/>
    <w:rsid w:val="00170001"/>
    <w:rsid w:val="001700C3"/>
    <w:rsid w:val="001701F4"/>
    <w:rsid w:val="001702BB"/>
    <w:rsid w:val="001703A0"/>
    <w:rsid w:val="00170461"/>
    <w:rsid w:val="001704D4"/>
    <w:rsid w:val="00170515"/>
    <w:rsid w:val="00170543"/>
    <w:rsid w:val="0017079F"/>
    <w:rsid w:val="0017087D"/>
    <w:rsid w:val="001708CD"/>
    <w:rsid w:val="00170AE3"/>
    <w:rsid w:val="001710FD"/>
    <w:rsid w:val="00171217"/>
    <w:rsid w:val="00171494"/>
    <w:rsid w:val="001716A4"/>
    <w:rsid w:val="0017172C"/>
    <w:rsid w:val="0017178B"/>
    <w:rsid w:val="00171850"/>
    <w:rsid w:val="001718CF"/>
    <w:rsid w:val="00171998"/>
    <w:rsid w:val="00171A52"/>
    <w:rsid w:val="00171B07"/>
    <w:rsid w:val="00171BBD"/>
    <w:rsid w:val="00171CA1"/>
    <w:rsid w:val="00171FB8"/>
    <w:rsid w:val="001721BF"/>
    <w:rsid w:val="001721D4"/>
    <w:rsid w:val="0017223E"/>
    <w:rsid w:val="0017224C"/>
    <w:rsid w:val="0017231D"/>
    <w:rsid w:val="00172374"/>
    <w:rsid w:val="00172407"/>
    <w:rsid w:val="00172422"/>
    <w:rsid w:val="001724B6"/>
    <w:rsid w:val="001724CC"/>
    <w:rsid w:val="0017252E"/>
    <w:rsid w:val="001727EA"/>
    <w:rsid w:val="0017295A"/>
    <w:rsid w:val="001729F3"/>
    <w:rsid w:val="00172AE6"/>
    <w:rsid w:val="00172DAF"/>
    <w:rsid w:val="00172E51"/>
    <w:rsid w:val="00173133"/>
    <w:rsid w:val="0017315F"/>
    <w:rsid w:val="001737E1"/>
    <w:rsid w:val="00173818"/>
    <w:rsid w:val="001738D6"/>
    <w:rsid w:val="00173960"/>
    <w:rsid w:val="00173989"/>
    <w:rsid w:val="00173C45"/>
    <w:rsid w:val="00173E95"/>
    <w:rsid w:val="00173EBE"/>
    <w:rsid w:val="00173EEA"/>
    <w:rsid w:val="001743E0"/>
    <w:rsid w:val="001746CA"/>
    <w:rsid w:val="00174828"/>
    <w:rsid w:val="001748D3"/>
    <w:rsid w:val="001749BA"/>
    <w:rsid w:val="00174ACD"/>
    <w:rsid w:val="00174B98"/>
    <w:rsid w:val="00174C5A"/>
    <w:rsid w:val="00174CA3"/>
    <w:rsid w:val="00174F2A"/>
    <w:rsid w:val="00174FD5"/>
    <w:rsid w:val="00175583"/>
    <w:rsid w:val="001755EF"/>
    <w:rsid w:val="001758C4"/>
    <w:rsid w:val="0017596B"/>
    <w:rsid w:val="00175BFD"/>
    <w:rsid w:val="00175D1C"/>
    <w:rsid w:val="00175D82"/>
    <w:rsid w:val="00175FF5"/>
    <w:rsid w:val="0017615C"/>
    <w:rsid w:val="0017616C"/>
    <w:rsid w:val="001763E4"/>
    <w:rsid w:val="00176454"/>
    <w:rsid w:val="0017656A"/>
    <w:rsid w:val="00176726"/>
    <w:rsid w:val="0017679E"/>
    <w:rsid w:val="001767AB"/>
    <w:rsid w:val="001768F8"/>
    <w:rsid w:val="001768F9"/>
    <w:rsid w:val="00176A85"/>
    <w:rsid w:val="00176AA0"/>
    <w:rsid w:val="00176DEA"/>
    <w:rsid w:val="0017705C"/>
    <w:rsid w:val="00177359"/>
    <w:rsid w:val="001775F4"/>
    <w:rsid w:val="0017775A"/>
    <w:rsid w:val="001777D8"/>
    <w:rsid w:val="001779A6"/>
    <w:rsid w:val="00177B61"/>
    <w:rsid w:val="00177BDC"/>
    <w:rsid w:val="00177D1B"/>
    <w:rsid w:val="00177E7B"/>
    <w:rsid w:val="00177FEF"/>
    <w:rsid w:val="001800F7"/>
    <w:rsid w:val="0018048C"/>
    <w:rsid w:val="00180503"/>
    <w:rsid w:val="00180637"/>
    <w:rsid w:val="001806BB"/>
    <w:rsid w:val="0018090A"/>
    <w:rsid w:val="0018094C"/>
    <w:rsid w:val="00180A8C"/>
    <w:rsid w:val="00180B6A"/>
    <w:rsid w:val="0018131A"/>
    <w:rsid w:val="001813D7"/>
    <w:rsid w:val="0018152B"/>
    <w:rsid w:val="00181584"/>
    <w:rsid w:val="001815CD"/>
    <w:rsid w:val="00181711"/>
    <w:rsid w:val="00181955"/>
    <w:rsid w:val="00181C3A"/>
    <w:rsid w:val="00181D82"/>
    <w:rsid w:val="00181E67"/>
    <w:rsid w:val="0018235C"/>
    <w:rsid w:val="001824FC"/>
    <w:rsid w:val="00182613"/>
    <w:rsid w:val="0018263F"/>
    <w:rsid w:val="00182930"/>
    <w:rsid w:val="00182AB5"/>
    <w:rsid w:val="00182AF0"/>
    <w:rsid w:val="00182AFA"/>
    <w:rsid w:val="00182D45"/>
    <w:rsid w:val="00182F18"/>
    <w:rsid w:val="00183167"/>
    <w:rsid w:val="001832DE"/>
    <w:rsid w:val="0018330A"/>
    <w:rsid w:val="0018354A"/>
    <w:rsid w:val="0018356E"/>
    <w:rsid w:val="001835AA"/>
    <w:rsid w:val="00183671"/>
    <w:rsid w:val="00183696"/>
    <w:rsid w:val="00183707"/>
    <w:rsid w:val="00183977"/>
    <w:rsid w:val="001839DB"/>
    <w:rsid w:val="00183AE1"/>
    <w:rsid w:val="00183C72"/>
    <w:rsid w:val="00183EEB"/>
    <w:rsid w:val="00183FB6"/>
    <w:rsid w:val="00184241"/>
    <w:rsid w:val="001842C8"/>
    <w:rsid w:val="00184324"/>
    <w:rsid w:val="00184370"/>
    <w:rsid w:val="00184375"/>
    <w:rsid w:val="001843B2"/>
    <w:rsid w:val="001844BD"/>
    <w:rsid w:val="001845A0"/>
    <w:rsid w:val="001845AD"/>
    <w:rsid w:val="00184639"/>
    <w:rsid w:val="0018470E"/>
    <w:rsid w:val="00184778"/>
    <w:rsid w:val="0018485F"/>
    <w:rsid w:val="001848C0"/>
    <w:rsid w:val="001848C5"/>
    <w:rsid w:val="00184F0D"/>
    <w:rsid w:val="00184F4D"/>
    <w:rsid w:val="00184F73"/>
    <w:rsid w:val="00184FB3"/>
    <w:rsid w:val="0018501C"/>
    <w:rsid w:val="001850ED"/>
    <w:rsid w:val="00185119"/>
    <w:rsid w:val="0018516D"/>
    <w:rsid w:val="00185221"/>
    <w:rsid w:val="001852FA"/>
    <w:rsid w:val="001853EA"/>
    <w:rsid w:val="00185680"/>
    <w:rsid w:val="001857E7"/>
    <w:rsid w:val="001857FB"/>
    <w:rsid w:val="00185827"/>
    <w:rsid w:val="0018585F"/>
    <w:rsid w:val="00185876"/>
    <w:rsid w:val="0018588D"/>
    <w:rsid w:val="00185948"/>
    <w:rsid w:val="00185A60"/>
    <w:rsid w:val="00185AF0"/>
    <w:rsid w:val="00185B12"/>
    <w:rsid w:val="00185B95"/>
    <w:rsid w:val="00185D0C"/>
    <w:rsid w:val="00185D79"/>
    <w:rsid w:val="00185F6D"/>
    <w:rsid w:val="00186086"/>
    <w:rsid w:val="00186A37"/>
    <w:rsid w:val="00186AC2"/>
    <w:rsid w:val="00186B0D"/>
    <w:rsid w:val="00186E49"/>
    <w:rsid w:val="0018702E"/>
    <w:rsid w:val="00187163"/>
    <w:rsid w:val="001871E9"/>
    <w:rsid w:val="00187230"/>
    <w:rsid w:val="0018745F"/>
    <w:rsid w:val="00187534"/>
    <w:rsid w:val="0018754F"/>
    <w:rsid w:val="0018756C"/>
    <w:rsid w:val="00187575"/>
    <w:rsid w:val="001877CB"/>
    <w:rsid w:val="001878B5"/>
    <w:rsid w:val="00187984"/>
    <w:rsid w:val="001879BA"/>
    <w:rsid w:val="001879D0"/>
    <w:rsid w:val="001879F0"/>
    <w:rsid w:val="00187C04"/>
    <w:rsid w:val="00190205"/>
    <w:rsid w:val="0019021F"/>
    <w:rsid w:val="00190470"/>
    <w:rsid w:val="00190563"/>
    <w:rsid w:val="0019075B"/>
    <w:rsid w:val="001908CE"/>
    <w:rsid w:val="00190B18"/>
    <w:rsid w:val="00190B61"/>
    <w:rsid w:val="00190C16"/>
    <w:rsid w:val="00190C84"/>
    <w:rsid w:val="00190CC2"/>
    <w:rsid w:val="00190D93"/>
    <w:rsid w:val="00190DE5"/>
    <w:rsid w:val="00190E0F"/>
    <w:rsid w:val="00190EED"/>
    <w:rsid w:val="00190F58"/>
    <w:rsid w:val="001910EF"/>
    <w:rsid w:val="001911C6"/>
    <w:rsid w:val="0019166A"/>
    <w:rsid w:val="00191692"/>
    <w:rsid w:val="00191848"/>
    <w:rsid w:val="00191A2F"/>
    <w:rsid w:val="00191A45"/>
    <w:rsid w:val="00191C16"/>
    <w:rsid w:val="00191EF7"/>
    <w:rsid w:val="0019214D"/>
    <w:rsid w:val="0019238D"/>
    <w:rsid w:val="0019239E"/>
    <w:rsid w:val="00192623"/>
    <w:rsid w:val="0019297F"/>
    <w:rsid w:val="00192CF1"/>
    <w:rsid w:val="00192DC9"/>
    <w:rsid w:val="00192DCC"/>
    <w:rsid w:val="00193223"/>
    <w:rsid w:val="0019334E"/>
    <w:rsid w:val="00193375"/>
    <w:rsid w:val="0019338B"/>
    <w:rsid w:val="0019341D"/>
    <w:rsid w:val="0019375E"/>
    <w:rsid w:val="001937C2"/>
    <w:rsid w:val="00193978"/>
    <w:rsid w:val="001939DA"/>
    <w:rsid w:val="00193C2A"/>
    <w:rsid w:val="00193C37"/>
    <w:rsid w:val="00193D12"/>
    <w:rsid w:val="00193D5C"/>
    <w:rsid w:val="00193E21"/>
    <w:rsid w:val="001940CD"/>
    <w:rsid w:val="00194120"/>
    <w:rsid w:val="00194297"/>
    <w:rsid w:val="001942E8"/>
    <w:rsid w:val="00194444"/>
    <w:rsid w:val="0019474A"/>
    <w:rsid w:val="00194781"/>
    <w:rsid w:val="001949E5"/>
    <w:rsid w:val="00194A02"/>
    <w:rsid w:val="00194A69"/>
    <w:rsid w:val="00194B47"/>
    <w:rsid w:val="00194C15"/>
    <w:rsid w:val="00194C9D"/>
    <w:rsid w:val="00194D25"/>
    <w:rsid w:val="00194E24"/>
    <w:rsid w:val="00194EB2"/>
    <w:rsid w:val="001951B1"/>
    <w:rsid w:val="00195294"/>
    <w:rsid w:val="001952A5"/>
    <w:rsid w:val="001953B8"/>
    <w:rsid w:val="001953D3"/>
    <w:rsid w:val="00195406"/>
    <w:rsid w:val="0019548A"/>
    <w:rsid w:val="0019551D"/>
    <w:rsid w:val="001956F1"/>
    <w:rsid w:val="0019593B"/>
    <w:rsid w:val="0019593E"/>
    <w:rsid w:val="001959B2"/>
    <w:rsid w:val="00195D22"/>
    <w:rsid w:val="00196009"/>
    <w:rsid w:val="001960F2"/>
    <w:rsid w:val="00196185"/>
    <w:rsid w:val="001962D1"/>
    <w:rsid w:val="0019653C"/>
    <w:rsid w:val="0019661A"/>
    <w:rsid w:val="00196746"/>
    <w:rsid w:val="00196958"/>
    <w:rsid w:val="001969F6"/>
    <w:rsid w:val="00196A4C"/>
    <w:rsid w:val="00196A94"/>
    <w:rsid w:val="00196B0C"/>
    <w:rsid w:val="00196CCF"/>
    <w:rsid w:val="00196F8B"/>
    <w:rsid w:val="0019700F"/>
    <w:rsid w:val="00197060"/>
    <w:rsid w:val="00197152"/>
    <w:rsid w:val="00197164"/>
    <w:rsid w:val="001971B1"/>
    <w:rsid w:val="0019723A"/>
    <w:rsid w:val="001972A1"/>
    <w:rsid w:val="0019740C"/>
    <w:rsid w:val="00197601"/>
    <w:rsid w:val="001976E4"/>
    <w:rsid w:val="0019786D"/>
    <w:rsid w:val="00197A9C"/>
    <w:rsid w:val="00197E4A"/>
    <w:rsid w:val="001A03D0"/>
    <w:rsid w:val="001A06BB"/>
    <w:rsid w:val="001A07D0"/>
    <w:rsid w:val="001A07E7"/>
    <w:rsid w:val="001A0894"/>
    <w:rsid w:val="001A0CD3"/>
    <w:rsid w:val="001A0D94"/>
    <w:rsid w:val="001A1013"/>
    <w:rsid w:val="001A109D"/>
    <w:rsid w:val="001A1199"/>
    <w:rsid w:val="001A1300"/>
    <w:rsid w:val="001A1376"/>
    <w:rsid w:val="001A1648"/>
    <w:rsid w:val="001A17D7"/>
    <w:rsid w:val="001A1870"/>
    <w:rsid w:val="001A192B"/>
    <w:rsid w:val="001A19F5"/>
    <w:rsid w:val="001A1AF0"/>
    <w:rsid w:val="001A1AFC"/>
    <w:rsid w:val="001A1B84"/>
    <w:rsid w:val="001A1BBD"/>
    <w:rsid w:val="001A1BD2"/>
    <w:rsid w:val="001A1C1F"/>
    <w:rsid w:val="001A1C57"/>
    <w:rsid w:val="001A1DD8"/>
    <w:rsid w:val="001A1E26"/>
    <w:rsid w:val="001A1E9B"/>
    <w:rsid w:val="001A201F"/>
    <w:rsid w:val="001A203D"/>
    <w:rsid w:val="001A20B6"/>
    <w:rsid w:val="001A226D"/>
    <w:rsid w:val="001A230D"/>
    <w:rsid w:val="001A240F"/>
    <w:rsid w:val="001A2492"/>
    <w:rsid w:val="001A2630"/>
    <w:rsid w:val="001A27A7"/>
    <w:rsid w:val="001A287F"/>
    <w:rsid w:val="001A29D1"/>
    <w:rsid w:val="001A2CED"/>
    <w:rsid w:val="001A2D99"/>
    <w:rsid w:val="001A2E4E"/>
    <w:rsid w:val="001A2FDF"/>
    <w:rsid w:val="001A2FF4"/>
    <w:rsid w:val="001A32DA"/>
    <w:rsid w:val="001A33BC"/>
    <w:rsid w:val="001A3449"/>
    <w:rsid w:val="001A34D9"/>
    <w:rsid w:val="001A34E1"/>
    <w:rsid w:val="001A3577"/>
    <w:rsid w:val="001A3589"/>
    <w:rsid w:val="001A387F"/>
    <w:rsid w:val="001A3972"/>
    <w:rsid w:val="001A3ABA"/>
    <w:rsid w:val="001A3AF8"/>
    <w:rsid w:val="001A3D5E"/>
    <w:rsid w:val="001A3D5F"/>
    <w:rsid w:val="001A3DEB"/>
    <w:rsid w:val="001A403A"/>
    <w:rsid w:val="001A4165"/>
    <w:rsid w:val="001A432B"/>
    <w:rsid w:val="001A4411"/>
    <w:rsid w:val="001A44F1"/>
    <w:rsid w:val="001A4A1F"/>
    <w:rsid w:val="001A4C92"/>
    <w:rsid w:val="001A4E88"/>
    <w:rsid w:val="001A4F76"/>
    <w:rsid w:val="001A4F7B"/>
    <w:rsid w:val="001A51E2"/>
    <w:rsid w:val="001A55CD"/>
    <w:rsid w:val="001A5656"/>
    <w:rsid w:val="001A56E3"/>
    <w:rsid w:val="001A56EE"/>
    <w:rsid w:val="001A587E"/>
    <w:rsid w:val="001A5892"/>
    <w:rsid w:val="001A5995"/>
    <w:rsid w:val="001A59BD"/>
    <w:rsid w:val="001A5A11"/>
    <w:rsid w:val="001A5C68"/>
    <w:rsid w:val="001A5CC5"/>
    <w:rsid w:val="001A5D33"/>
    <w:rsid w:val="001A5E9B"/>
    <w:rsid w:val="001A5F1F"/>
    <w:rsid w:val="001A5FDA"/>
    <w:rsid w:val="001A63A4"/>
    <w:rsid w:val="001A6521"/>
    <w:rsid w:val="001A65A9"/>
    <w:rsid w:val="001A6659"/>
    <w:rsid w:val="001A6885"/>
    <w:rsid w:val="001A699F"/>
    <w:rsid w:val="001A6AB3"/>
    <w:rsid w:val="001A6C04"/>
    <w:rsid w:val="001A6C9C"/>
    <w:rsid w:val="001A6D91"/>
    <w:rsid w:val="001A6F2F"/>
    <w:rsid w:val="001A6F63"/>
    <w:rsid w:val="001A6F91"/>
    <w:rsid w:val="001A6FCC"/>
    <w:rsid w:val="001A716D"/>
    <w:rsid w:val="001A7269"/>
    <w:rsid w:val="001A767A"/>
    <w:rsid w:val="001A7A28"/>
    <w:rsid w:val="001A7C68"/>
    <w:rsid w:val="001B004E"/>
    <w:rsid w:val="001B02CF"/>
    <w:rsid w:val="001B0339"/>
    <w:rsid w:val="001B0600"/>
    <w:rsid w:val="001B0698"/>
    <w:rsid w:val="001B06C0"/>
    <w:rsid w:val="001B07B8"/>
    <w:rsid w:val="001B091E"/>
    <w:rsid w:val="001B0A79"/>
    <w:rsid w:val="001B0CD2"/>
    <w:rsid w:val="001B0D0B"/>
    <w:rsid w:val="001B0F4F"/>
    <w:rsid w:val="001B1068"/>
    <w:rsid w:val="001B1269"/>
    <w:rsid w:val="001B1322"/>
    <w:rsid w:val="001B1448"/>
    <w:rsid w:val="001B1475"/>
    <w:rsid w:val="001B1631"/>
    <w:rsid w:val="001B18B6"/>
    <w:rsid w:val="001B18F2"/>
    <w:rsid w:val="001B1A28"/>
    <w:rsid w:val="001B1B13"/>
    <w:rsid w:val="001B1EC4"/>
    <w:rsid w:val="001B1EEF"/>
    <w:rsid w:val="001B1FAD"/>
    <w:rsid w:val="001B2173"/>
    <w:rsid w:val="001B23EE"/>
    <w:rsid w:val="001B2535"/>
    <w:rsid w:val="001B2871"/>
    <w:rsid w:val="001B2A5E"/>
    <w:rsid w:val="001B2B0A"/>
    <w:rsid w:val="001B2BA7"/>
    <w:rsid w:val="001B2D7C"/>
    <w:rsid w:val="001B2F0C"/>
    <w:rsid w:val="001B300B"/>
    <w:rsid w:val="001B304B"/>
    <w:rsid w:val="001B32C9"/>
    <w:rsid w:val="001B3383"/>
    <w:rsid w:val="001B341B"/>
    <w:rsid w:val="001B348E"/>
    <w:rsid w:val="001B3564"/>
    <w:rsid w:val="001B35EB"/>
    <w:rsid w:val="001B3645"/>
    <w:rsid w:val="001B37FD"/>
    <w:rsid w:val="001B3915"/>
    <w:rsid w:val="001B3923"/>
    <w:rsid w:val="001B3A75"/>
    <w:rsid w:val="001B3C11"/>
    <w:rsid w:val="001B3C37"/>
    <w:rsid w:val="001B3D66"/>
    <w:rsid w:val="001B3DAD"/>
    <w:rsid w:val="001B3F7E"/>
    <w:rsid w:val="001B41BC"/>
    <w:rsid w:val="001B4241"/>
    <w:rsid w:val="001B457B"/>
    <w:rsid w:val="001B45A9"/>
    <w:rsid w:val="001B46AE"/>
    <w:rsid w:val="001B4744"/>
    <w:rsid w:val="001B49E5"/>
    <w:rsid w:val="001B4B63"/>
    <w:rsid w:val="001B4BE5"/>
    <w:rsid w:val="001B4BEB"/>
    <w:rsid w:val="001B4D03"/>
    <w:rsid w:val="001B4E73"/>
    <w:rsid w:val="001B4F0D"/>
    <w:rsid w:val="001B4FA5"/>
    <w:rsid w:val="001B5249"/>
    <w:rsid w:val="001B52AD"/>
    <w:rsid w:val="001B5308"/>
    <w:rsid w:val="001B54E9"/>
    <w:rsid w:val="001B55BF"/>
    <w:rsid w:val="001B5636"/>
    <w:rsid w:val="001B57C9"/>
    <w:rsid w:val="001B5808"/>
    <w:rsid w:val="001B595A"/>
    <w:rsid w:val="001B5A3B"/>
    <w:rsid w:val="001B5B40"/>
    <w:rsid w:val="001B5F39"/>
    <w:rsid w:val="001B6041"/>
    <w:rsid w:val="001B6321"/>
    <w:rsid w:val="001B632A"/>
    <w:rsid w:val="001B6347"/>
    <w:rsid w:val="001B6378"/>
    <w:rsid w:val="001B662D"/>
    <w:rsid w:val="001B678C"/>
    <w:rsid w:val="001B68C5"/>
    <w:rsid w:val="001B6B1F"/>
    <w:rsid w:val="001B6B25"/>
    <w:rsid w:val="001B6BD9"/>
    <w:rsid w:val="001B6C18"/>
    <w:rsid w:val="001B6D32"/>
    <w:rsid w:val="001B6F2E"/>
    <w:rsid w:val="001B6F6C"/>
    <w:rsid w:val="001B6FDE"/>
    <w:rsid w:val="001B703B"/>
    <w:rsid w:val="001B704C"/>
    <w:rsid w:val="001B70A1"/>
    <w:rsid w:val="001B7172"/>
    <w:rsid w:val="001B71DD"/>
    <w:rsid w:val="001B748A"/>
    <w:rsid w:val="001B749A"/>
    <w:rsid w:val="001B74D2"/>
    <w:rsid w:val="001B78E7"/>
    <w:rsid w:val="001B7B1A"/>
    <w:rsid w:val="001B7EDA"/>
    <w:rsid w:val="001B7FB0"/>
    <w:rsid w:val="001C0350"/>
    <w:rsid w:val="001C03B5"/>
    <w:rsid w:val="001C0540"/>
    <w:rsid w:val="001C05CD"/>
    <w:rsid w:val="001C0704"/>
    <w:rsid w:val="001C0AEB"/>
    <w:rsid w:val="001C0D66"/>
    <w:rsid w:val="001C0DA5"/>
    <w:rsid w:val="001C0DCE"/>
    <w:rsid w:val="001C1114"/>
    <w:rsid w:val="001C12DB"/>
    <w:rsid w:val="001C1530"/>
    <w:rsid w:val="001C1769"/>
    <w:rsid w:val="001C1883"/>
    <w:rsid w:val="001C1970"/>
    <w:rsid w:val="001C1979"/>
    <w:rsid w:val="001C19EB"/>
    <w:rsid w:val="001C1A34"/>
    <w:rsid w:val="001C1C9E"/>
    <w:rsid w:val="001C1D03"/>
    <w:rsid w:val="001C1FD6"/>
    <w:rsid w:val="001C21A4"/>
    <w:rsid w:val="001C2201"/>
    <w:rsid w:val="001C225B"/>
    <w:rsid w:val="001C2344"/>
    <w:rsid w:val="001C2840"/>
    <w:rsid w:val="001C2AE6"/>
    <w:rsid w:val="001C2B11"/>
    <w:rsid w:val="001C2C9F"/>
    <w:rsid w:val="001C2E5A"/>
    <w:rsid w:val="001C2F78"/>
    <w:rsid w:val="001C3310"/>
    <w:rsid w:val="001C359D"/>
    <w:rsid w:val="001C3669"/>
    <w:rsid w:val="001C3803"/>
    <w:rsid w:val="001C383C"/>
    <w:rsid w:val="001C38E0"/>
    <w:rsid w:val="001C3A37"/>
    <w:rsid w:val="001C3B58"/>
    <w:rsid w:val="001C3D1B"/>
    <w:rsid w:val="001C3D27"/>
    <w:rsid w:val="001C3D9E"/>
    <w:rsid w:val="001C3E37"/>
    <w:rsid w:val="001C406F"/>
    <w:rsid w:val="001C414F"/>
    <w:rsid w:val="001C4273"/>
    <w:rsid w:val="001C44BD"/>
    <w:rsid w:val="001C44BF"/>
    <w:rsid w:val="001C44C9"/>
    <w:rsid w:val="001C4592"/>
    <w:rsid w:val="001C45DD"/>
    <w:rsid w:val="001C467E"/>
    <w:rsid w:val="001C4722"/>
    <w:rsid w:val="001C4783"/>
    <w:rsid w:val="001C490D"/>
    <w:rsid w:val="001C4A49"/>
    <w:rsid w:val="001C4B38"/>
    <w:rsid w:val="001C4BFB"/>
    <w:rsid w:val="001C4D56"/>
    <w:rsid w:val="001C4D9F"/>
    <w:rsid w:val="001C4DB7"/>
    <w:rsid w:val="001C51B7"/>
    <w:rsid w:val="001C5679"/>
    <w:rsid w:val="001C56D9"/>
    <w:rsid w:val="001C56E1"/>
    <w:rsid w:val="001C5719"/>
    <w:rsid w:val="001C5740"/>
    <w:rsid w:val="001C5C1A"/>
    <w:rsid w:val="001C5C4F"/>
    <w:rsid w:val="001C5DAA"/>
    <w:rsid w:val="001C5DD4"/>
    <w:rsid w:val="001C5E4D"/>
    <w:rsid w:val="001C634F"/>
    <w:rsid w:val="001C65A3"/>
    <w:rsid w:val="001C66F0"/>
    <w:rsid w:val="001C6973"/>
    <w:rsid w:val="001C6BC8"/>
    <w:rsid w:val="001C6D4B"/>
    <w:rsid w:val="001C6E26"/>
    <w:rsid w:val="001C6E2C"/>
    <w:rsid w:val="001C70D8"/>
    <w:rsid w:val="001C71E2"/>
    <w:rsid w:val="001C732D"/>
    <w:rsid w:val="001C73A6"/>
    <w:rsid w:val="001C7475"/>
    <w:rsid w:val="001C7497"/>
    <w:rsid w:val="001C7683"/>
    <w:rsid w:val="001C77D6"/>
    <w:rsid w:val="001C782A"/>
    <w:rsid w:val="001C79C0"/>
    <w:rsid w:val="001C7A32"/>
    <w:rsid w:val="001C7AA0"/>
    <w:rsid w:val="001C7DA2"/>
    <w:rsid w:val="001C7ED0"/>
    <w:rsid w:val="001C7F4B"/>
    <w:rsid w:val="001D0022"/>
    <w:rsid w:val="001D008B"/>
    <w:rsid w:val="001D01B0"/>
    <w:rsid w:val="001D0378"/>
    <w:rsid w:val="001D0612"/>
    <w:rsid w:val="001D0708"/>
    <w:rsid w:val="001D0A42"/>
    <w:rsid w:val="001D0AB7"/>
    <w:rsid w:val="001D0AEA"/>
    <w:rsid w:val="001D0B14"/>
    <w:rsid w:val="001D0C11"/>
    <w:rsid w:val="001D0CBD"/>
    <w:rsid w:val="001D0F2B"/>
    <w:rsid w:val="001D0FD2"/>
    <w:rsid w:val="001D12A8"/>
    <w:rsid w:val="001D1364"/>
    <w:rsid w:val="001D15FB"/>
    <w:rsid w:val="001D1625"/>
    <w:rsid w:val="001D16B1"/>
    <w:rsid w:val="001D1758"/>
    <w:rsid w:val="001D176F"/>
    <w:rsid w:val="001D183E"/>
    <w:rsid w:val="001D19B7"/>
    <w:rsid w:val="001D1DCB"/>
    <w:rsid w:val="001D1E3A"/>
    <w:rsid w:val="001D1EFE"/>
    <w:rsid w:val="001D1F0B"/>
    <w:rsid w:val="001D1FC1"/>
    <w:rsid w:val="001D20AA"/>
    <w:rsid w:val="001D217F"/>
    <w:rsid w:val="001D220B"/>
    <w:rsid w:val="001D23AF"/>
    <w:rsid w:val="001D23BB"/>
    <w:rsid w:val="001D2569"/>
    <w:rsid w:val="001D2643"/>
    <w:rsid w:val="001D2784"/>
    <w:rsid w:val="001D29D4"/>
    <w:rsid w:val="001D29DC"/>
    <w:rsid w:val="001D2A6C"/>
    <w:rsid w:val="001D2B19"/>
    <w:rsid w:val="001D2C88"/>
    <w:rsid w:val="001D2CBE"/>
    <w:rsid w:val="001D2CFF"/>
    <w:rsid w:val="001D2E7D"/>
    <w:rsid w:val="001D2EDD"/>
    <w:rsid w:val="001D2F5B"/>
    <w:rsid w:val="001D310D"/>
    <w:rsid w:val="001D3129"/>
    <w:rsid w:val="001D3189"/>
    <w:rsid w:val="001D32A7"/>
    <w:rsid w:val="001D32EA"/>
    <w:rsid w:val="001D3396"/>
    <w:rsid w:val="001D3419"/>
    <w:rsid w:val="001D35DD"/>
    <w:rsid w:val="001D35E3"/>
    <w:rsid w:val="001D37B9"/>
    <w:rsid w:val="001D39C7"/>
    <w:rsid w:val="001D3B12"/>
    <w:rsid w:val="001D3C74"/>
    <w:rsid w:val="001D3DCB"/>
    <w:rsid w:val="001D3EC2"/>
    <w:rsid w:val="001D3F0D"/>
    <w:rsid w:val="001D41B0"/>
    <w:rsid w:val="001D4311"/>
    <w:rsid w:val="001D45DD"/>
    <w:rsid w:val="001D471C"/>
    <w:rsid w:val="001D4837"/>
    <w:rsid w:val="001D4868"/>
    <w:rsid w:val="001D4878"/>
    <w:rsid w:val="001D4958"/>
    <w:rsid w:val="001D49B7"/>
    <w:rsid w:val="001D4AE9"/>
    <w:rsid w:val="001D4B37"/>
    <w:rsid w:val="001D4B9D"/>
    <w:rsid w:val="001D4D8A"/>
    <w:rsid w:val="001D4EE1"/>
    <w:rsid w:val="001D4FA3"/>
    <w:rsid w:val="001D5038"/>
    <w:rsid w:val="001D50B8"/>
    <w:rsid w:val="001D515C"/>
    <w:rsid w:val="001D51B8"/>
    <w:rsid w:val="001D53D0"/>
    <w:rsid w:val="001D5424"/>
    <w:rsid w:val="001D55FE"/>
    <w:rsid w:val="001D5824"/>
    <w:rsid w:val="001D5983"/>
    <w:rsid w:val="001D59DB"/>
    <w:rsid w:val="001D5AB5"/>
    <w:rsid w:val="001D5DF1"/>
    <w:rsid w:val="001D6200"/>
    <w:rsid w:val="001D6202"/>
    <w:rsid w:val="001D6230"/>
    <w:rsid w:val="001D681A"/>
    <w:rsid w:val="001D6931"/>
    <w:rsid w:val="001D6932"/>
    <w:rsid w:val="001D69E6"/>
    <w:rsid w:val="001D6B00"/>
    <w:rsid w:val="001D6BBE"/>
    <w:rsid w:val="001D70C8"/>
    <w:rsid w:val="001D763B"/>
    <w:rsid w:val="001D7732"/>
    <w:rsid w:val="001D7842"/>
    <w:rsid w:val="001D79AD"/>
    <w:rsid w:val="001D7AED"/>
    <w:rsid w:val="001D7D0E"/>
    <w:rsid w:val="001D7D63"/>
    <w:rsid w:val="001D7E05"/>
    <w:rsid w:val="001D7E24"/>
    <w:rsid w:val="001D7F33"/>
    <w:rsid w:val="001E0041"/>
    <w:rsid w:val="001E03E0"/>
    <w:rsid w:val="001E0466"/>
    <w:rsid w:val="001E06C7"/>
    <w:rsid w:val="001E06C9"/>
    <w:rsid w:val="001E087D"/>
    <w:rsid w:val="001E08E2"/>
    <w:rsid w:val="001E0A92"/>
    <w:rsid w:val="001E0C89"/>
    <w:rsid w:val="001E0DC9"/>
    <w:rsid w:val="001E0DDE"/>
    <w:rsid w:val="001E0E8B"/>
    <w:rsid w:val="001E0ED2"/>
    <w:rsid w:val="001E0F15"/>
    <w:rsid w:val="001E1148"/>
    <w:rsid w:val="001E12DB"/>
    <w:rsid w:val="001E1449"/>
    <w:rsid w:val="001E151A"/>
    <w:rsid w:val="001E1872"/>
    <w:rsid w:val="001E1924"/>
    <w:rsid w:val="001E193F"/>
    <w:rsid w:val="001E1ADF"/>
    <w:rsid w:val="001E1EEF"/>
    <w:rsid w:val="001E227D"/>
    <w:rsid w:val="001E22C6"/>
    <w:rsid w:val="001E2381"/>
    <w:rsid w:val="001E2464"/>
    <w:rsid w:val="001E2485"/>
    <w:rsid w:val="001E279F"/>
    <w:rsid w:val="001E2896"/>
    <w:rsid w:val="001E28C5"/>
    <w:rsid w:val="001E293E"/>
    <w:rsid w:val="001E2B5B"/>
    <w:rsid w:val="001E2CF7"/>
    <w:rsid w:val="001E2D3B"/>
    <w:rsid w:val="001E2FB8"/>
    <w:rsid w:val="001E3026"/>
    <w:rsid w:val="001E314C"/>
    <w:rsid w:val="001E32D3"/>
    <w:rsid w:val="001E3359"/>
    <w:rsid w:val="001E3519"/>
    <w:rsid w:val="001E35E9"/>
    <w:rsid w:val="001E35F1"/>
    <w:rsid w:val="001E37C9"/>
    <w:rsid w:val="001E3875"/>
    <w:rsid w:val="001E38F9"/>
    <w:rsid w:val="001E3954"/>
    <w:rsid w:val="001E3A0E"/>
    <w:rsid w:val="001E3E1B"/>
    <w:rsid w:val="001E3F9D"/>
    <w:rsid w:val="001E3FCE"/>
    <w:rsid w:val="001E42A5"/>
    <w:rsid w:val="001E4314"/>
    <w:rsid w:val="001E43A6"/>
    <w:rsid w:val="001E44B1"/>
    <w:rsid w:val="001E4681"/>
    <w:rsid w:val="001E49B1"/>
    <w:rsid w:val="001E49E2"/>
    <w:rsid w:val="001E4A76"/>
    <w:rsid w:val="001E4AC6"/>
    <w:rsid w:val="001E4DDD"/>
    <w:rsid w:val="001E5212"/>
    <w:rsid w:val="001E5279"/>
    <w:rsid w:val="001E54AB"/>
    <w:rsid w:val="001E54D9"/>
    <w:rsid w:val="001E56BE"/>
    <w:rsid w:val="001E5ACE"/>
    <w:rsid w:val="001E5CB5"/>
    <w:rsid w:val="001E5E3A"/>
    <w:rsid w:val="001E5E8B"/>
    <w:rsid w:val="001E608D"/>
    <w:rsid w:val="001E6150"/>
    <w:rsid w:val="001E615D"/>
    <w:rsid w:val="001E627E"/>
    <w:rsid w:val="001E63B1"/>
    <w:rsid w:val="001E655C"/>
    <w:rsid w:val="001E6602"/>
    <w:rsid w:val="001E6644"/>
    <w:rsid w:val="001E6AF8"/>
    <w:rsid w:val="001E6B57"/>
    <w:rsid w:val="001E6C56"/>
    <w:rsid w:val="001E7038"/>
    <w:rsid w:val="001E71B1"/>
    <w:rsid w:val="001E71DE"/>
    <w:rsid w:val="001E7469"/>
    <w:rsid w:val="001E74D4"/>
    <w:rsid w:val="001E756B"/>
    <w:rsid w:val="001E7670"/>
    <w:rsid w:val="001E770E"/>
    <w:rsid w:val="001E77A7"/>
    <w:rsid w:val="001E78A0"/>
    <w:rsid w:val="001E7A80"/>
    <w:rsid w:val="001E7ABD"/>
    <w:rsid w:val="001E7C79"/>
    <w:rsid w:val="001E7D21"/>
    <w:rsid w:val="001E7DFF"/>
    <w:rsid w:val="001E7EF8"/>
    <w:rsid w:val="001F00A6"/>
    <w:rsid w:val="001F027B"/>
    <w:rsid w:val="001F0636"/>
    <w:rsid w:val="001F075F"/>
    <w:rsid w:val="001F0980"/>
    <w:rsid w:val="001F0998"/>
    <w:rsid w:val="001F0A55"/>
    <w:rsid w:val="001F0A97"/>
    <w:rsid w:val="001F0B0F"/>
    <w:rsid w:val="001F0B72"/>
    <w:rsid w:val="001F0BE5"/>
    <w:rsid w:val="001F0C77"/>
    <w:rsid w:val="001F0CC0"/>
    <w:rsid w:val="001F0CDB"/>
    <w:rsid w:val="001F0DDE"/>
    <w:rsid w:val="001F0E00"/>
    <w:rsid w:val="001F11AA"/>
    <w:rsid w:val="001F12BF"/>
    <w:rsid w:val="001F12F4"/>
    <w:rsid w:val="001F139B"/>
    <w:rsid w:val="001F14AA"/>
    <w:rsid w:val="001F14C2"/>
    <w:rsid w:val="001F173E"/>
    <w:rsid w:val="001F180E"/>
    <w:rsid w:val="001F18E4"/>
    <w:rsid w:val="001F18F1"/>
    <w:rsid w:val="001F192E"/>
    <w:rsid w:val="001F19C8"/>
    <w:rsid w:val="001F1E71"/>
    <w:rsid w:val="001F1F54"/>
    <w:rsid w:val="001F202C"/>
    <w:rsid w:val="001F226E"/>
    <w:rsid w:val="001F24DC"/>
    <w:rsid w:val="001F2586"/>
    <w:rsid w:val="001F25F3"/>
    <w:rsid w:val="001F2611"/>
    <w:rsid w:val="001F2727"/>
    <w:rsid w:val="001F27F4"/>
    <w:rsid w:val="001F28CB"/>
    <w:rsid w:val="001F29AF"/>
    <w:rsid w:val="001F29BA"/>
    <w:rsid w:val="001F2A12"/>
    <w:rsid w:val="001F2BCB"/>
    <w:rsid w:val="001F2C0C"/>
    <w:rsid w:val="001F2CC6"/>
    <w:rsid w:val="001F2E56"/>
    <w:rsid w:val="001F2E82"/>
    <w:rsid w:val="001F2EBB"/>
    <w:rsid w:val="001F2FD9"/>
    <w:rsid w:val="001F3241"/>
    <w:rsid w:val="001F3275"/>
    <w:rsid w:val="001F3307"/>
    <w:rsid w:val="001F33BF"/>
    <w:rsid w:val="001F3474"/>
    <w:rsid w:val="001F35E4"/>
    <w:rsid w:val="001F3839"/>
    <w:rsid w:val="001F39A9"/>
    <w:rsid w:val="001F39DB"/>
    <w:rsid w:val="001F3A4C"/>
    <w:rsid w:val="001F3CB2"/>
    <w:rsid w:val="001F3EF6"/>
    <w:rsid w:val="001F4013"/>
    <w:rsid w:val="001F43CC"/>
    <w:rsid w:val="001F44C1"/>
    <w:rsid w:val="001F46CB"/>
    <w:rsid w:val="001F4802"/>
    <w:rsid w:val="001F4854"/>
    <w:rsid w:val="001F4B3E"/>
    <w:rsid w:val="001F4BF2"/>
    <w:rsid w:val="001F4D13"/>
    <w:rsid w:val="001F4F03"/>
    <w:rsid w:val="001F4FAE"/>
    <w:rsid w:val="001F5049"/>
    <w:rsid w:val="001F514A"/>
    <w:rsid w:val="001F51D3"/>
    <w:rsid w:val="001F522B"/>
    <w:rsid w:val="001F5346"/>
    <w:rsid w:val="001F536F"/>
    <w:rsid w:val="001F5468"/>
    <w:rsid w:val="001F54AA"/>
    <w:rsid w:val="001F5711"/>
    <w:rsid w:val="001F5791"/>
    <w:rsid w:val="001F594C"/>
    <w:rsid w:val="001F59C7"/>
    <w:rsid w:val="001F5B13"/>
    <w:rsid w:val="001F5E10"/>
    <w:rsid w:val="001F5E91"/>
    <w:rsid w:val="001F5EE1"/>
    <w:rsid w:val="001F5F2C"/>
    <w:rsid w:val="001F5FEC"/>
    <w:rsid w:val="001F605F"/>
    <w:rsid w:val="001F61EE"/>
    <w:rsid w:val="001F6398"/>
    <w:rsid w:val="001F6888"/>
    <w:rsid w:val="001F6C78"/>
    <w:rsid w:val="001F6D33"/>
    <w:rsid w:val="001F6D72"/>
    <w:rsid w:val="001F6F41"/>
    <w:rsid w:val="001F7168"/>
    <w:rsid w:val="001F72A9"/>
    <w:rsid w:val="001F737C"/>
    <w:rsid w:val="001F74AA"/>
    <w:rsid w:val="001F74B0"/>
    <w:rsid w:val="001F74D9"/>
    <w:rsid w:val="001F762A"/>
    <w:rsid w:val="001F7748"/>
    <w:rsid w:val="001F788C"/>
    <w:rsid w:val="001F7BA5"/>
    <w:rsid w:val="001F7CDF"/>
    <w:rsid w:val="001F7D24"/>
    <w:rsid w:val="001F7E11"/>
    <w:rsid w:val="001F7F5D"/>
    <w:rsid w:val="001F7FC1"/>
    <w:rsid w:val="00200179"/>
    <w:rsid w:val="00200321"/>
    <w:rsid w:val="00200554"/>
    <w:rsid w:val="0020056C"/>
    <w:rsid w:val="002005C4"/>
    <w:rsid w:val="0020086B"/>
    <w:rsid w:val="00200899"/>
    <w:rsid w:val="00200B18"/>
    <w:rsid w:val="00200BBE"/>
    <w:rsid w:val="00200BCC"/>
    <w:rsid w:val="00200ED1"/>
    <w:rsid w:val="00201210"/>
    <w:rsid w:val="00201533"/>
    <w:rsid w:val="00201760"/>
    <w:rsid w:val="00201B41"/>
    <w:rsid w:val="00201CB2"/>
    <w:rsid w:val="00201F6D"/>
    <w:rsid w:val="0020206D"/>
    <w:rsid w:val="002021C0"/>
    <w:rsid w:val="00202230"/>
    <w:rsid w:val="00202355"/>
    <w:rsid w:val="00202883"/>
    <w:rsid w:val="002028BB"/>
    <w:rsid w:val="00202984"/>
    <w:rsid w:val="00202A3B"/>
    <w:rsid w:val="00202C34"/>
    <w:rsid w:val="00202C6D"/>
    <w:rsid w:val="00202D51"/>
    <w:rsid w:val="00202D75"/>
    <w:rsid w:val="00202EF9"/>
    <w:rsid w:val="00202FC3"/>
    <w:rsid w:val="0020327F"/>
    <w:rsid w:val="002032AB"/>
    <w:rsid w:val="00203450"/>
    <w:rsid w:val="00203722"/>
    <w:rsid w:val="002037CD"/>
    <w:rsid w:val="002038AF"/>
    <w:rsid w:val="002038E3"/>
    <w:rsid w:val="00203B07"/>
    <w:rsid w:val="00203C4E"/>
    <w:rsid w:val="00203CF4"/>
    <w:rsid w:val="00203D33"/>
    <w:rsid w:val="00203DFE"/>
    <w:rsid w:val="00203E74"/>
    <w:rsid w:val="00203F62"/>
    <w:rsid w:val="00203FFE"/>
    <w:rsid w:val="0020434D"/>
    <w:rsid w:val="00204522"/>
    <w:rsid w:val="00204639"/>
    <w:rsid w:val="002046D6"/>
    <w:rsid w:val="0020475F"/>
    <w:rsid w:val="002047FF"/>
    <w:rsid w:val="002049AF"/>
    <w:rsid w:val="00204BFA"/>
    <w:rsid w:val="00205371"/>
    <w:rsid w:val="002054B3"/>
    <w:rsid w:val="002055CA"/>
    <w:rsid w:val="002058C3"/>
    <w:rsid w:val="002058F0"/>
    <w:rsid w:val="00205A9F"/>
    <w:rsid w:val="00205B89"/>
    <w:rsid w:val="00205BCE"/>
    <w:rsid w:val="00205BE6"/>
    <w:rsid w:val="00205E69"/>
    <w:rsid w:val="00205F20"/>
    <w:rsid w:val="0020604E"/>
    <w:rsid w:val="002061CD"/>
    <w:rsid w:val="00206365"/>
    <w:rsid w:val="002064AB"/>
    <w:rsid w:val="002064E1"/>
    <w:rsid w:val="0020653C"/>
    <w:rsid w:val="002065EF"/>
    <w:rsid w:val="00206912"/>
    <w:rsid w:val="00206A17"/>
    <w:rsid w:val="00206A52"/>
    <w:rsid w:val="00206A6C"/>
    <w:rsid w:val="00206B39"/>
    <w:rsid w:val="00206CD2"/>
    <w:rsid w:val="00206D0C"/>
    <w:rsid w:val="00206DFA"/>
    <w:rsid w:val="00206F35"/>
    <w:rsid w:val="00206F90"/>
    <w:rsid w:val="00206F98"/>
    <w:rsid w:val="002070B3"/>
    <w:rsid w:val="002073DE"/>
    <w:rsid w:val="00207479"/>
    <w:rsid w:val="002078A2"/>
    <w:rsid w:val="0020793A"/>
    <w:rsid w:val="00207968"/>
    <w:rsid w:val="00207AD7"/>
    <w:rsid w:val="00207D3B"/>
    <w:rsid w:val="00207DEB"/>
    <w:rsid w:val="00207F69"/>
    <w:rsid w:val="002102F1"/>
    <w:rsid w:val="00210351"/>
    <w:rsid w:val="0021044A"/>
    <w:rsid w:val="002106C3"/>
    <w:rsid w:val="002106EA"/>
    <w:rsid w:val="002107B9"/>
    <w:rsid w:val="00210A7F"/>
    <w:rsid w:val="00210B4C"/>
    <w:rsid w:val="00210EAF"/>
    <w:rsid w:val="002110E2"/>
    <w:rsid w:val="00211361"/>
    <w:rsid w:val="00211444"/>
    <w:rsid w:val="00211481"/>
    <w:rsid w:val="00211572"/>
    <w:rsid w:val="0021169A"/>
    <w:rsid w:val="00211815"/>
    <w:rsid w:val="00211AF2"/>
    <w:rsid w:val="00211BBB"/>
    <w:rsid w:val="00211C18"/>
    <w:rsid w:val="00211C7A"/>
    <w:rsid w:val="00211CE1"/>
    <w:rsid w:val="00211D4B"/>
    <w:rsid w:val="00211D8D"/>
    <w:rsid w:val="00211E25"/>
    <w:rsid w:val="0021209F"/>
    <w:rsid w:val="002120EF"/>
    <w:rsid w:val="00212425"/>
    <w:rsid w:val="002127CF"/>
    <w:rsid w:val="00212802"/>
    <w:rsid w:val="002128B1"/>
    <w:rsid w:val="0021290F"/>
    <w:rsid w:val="00212AD2"/>
    <w:rsid w:val="00212B6A"/>
    <w:rsid w:val="00212B8B"/>
    <w:rsid w:val="00212C1F"/>
    <w:rsid w:val="002130AD"/>
    <w:rsid w:val="002130B6"/>
    <w:rsid w:val="00213191"/>
    <w:rsid w:val="002132B6"/>
    <w:rsid w:val="00213455"/>
    <w:rsid w:val="0021351F"/>
    <w:rsid w:val="0021353A"/>
    <w:rsid w:val="002138EB"/>
    <w:rsid w:val="002139CA"/>
    <w:rsid w:val="00213A7F"/>
    <w:rsid w:val="00213C96"/>
    <w:rsid w:val="00213E13"/>
    <w:rsid w:val="00213F26"/>
    <w:rsid w:val="00214061"/>
    <w:rsid w:val="00214488"/>
    <w:rsid w:val="002146C7"/>
    <w:rsid w:val="0021476B"/>
    <w:rsid w:val="0021491F"/>
    <w:rsid w:val="002149FE"/>
    <w:rsid w:val="00214A42"/>
    <w:rsid w:val="00214AA2"/>
    <w:rsid w:val="00214B3D"/>
    <w:rsid w:val="00214C96"/>
    <w:rsid w:val="00214E0D"/>
    <w:rsid w:val="00214FFD"/>
    <w:rsid w:val="0021500C"/>
    <w:rsid w:val="002150EF"/>
    <w:rsid w:val="0021533C"/>
    <w:rsid w:val="00215710"/>
    <w:rsid w:val="002157C9"/>
    <w:rsid w:val="00215811"/>
    <w:rsid w:val="002158F9"/>
    <w:rsid w:val="00215A9E"/>
    <w:rsid w:val="00215B49"/>
    <w:rsid w:val="00215C71"/>
    <w:rsid w:val="00215C78"/>
    <w:rsid w:val="00215CE7"/>
    <w:rsid w:val="00215D11"/>
    <w:rsid w:val="00216021"/>
    <w:rsid w:val="00216194"/>
    <w:rsid w:val="00216282"/>
    <w:rsid w:val="00216358"/>
    <w:rsid w:val="002166D2"/>
    <w:rsid w:val="0021677D"/>
    <w:rsid w:val="002168A5"/>
    <w:rsid w:val="00216A3B"/>
    <w:rsid w:val="00216C6B"/>
    <w:rsid w:val="00216F0F"/>
    <w:rsid w:val="00216F89"/>
    <w:rsid w:val="002172A4"/>
    <w:rsid w:val="00217554"/>
    <w:rsid w:val="002176DD"/>
    <w:rsid w:val="002176E5"/>
    <w:rsid w:val="002177F7"/>
    <w:rsid w:val="00217938"/>
    <w:rsid w:val="00217A68"/>
    <w:rsid w:val="00217A74"/>
    <w:rsid w:val="00217AAA"/>
    <w:rsid w:val="00217D49"/>
    <w:rsid w:val="00217D8D"/>
    <w:rsid w:val="00220071"/>
    <w:rsid w:val="00220097"/>
    <w:rsid w:val="002201C1"/>
    <w:rsid w:val="0022024E"/>
    <w:rsid w:val="00220448"/>
    <w:rsid w:val="002204B4"/>
    <w:rsid w:val="002208A5"/>
    <w:rsid w:val="002208C8"/>
    <w:rsid w:val="002208DD"/>
    <w:rsid w:val="002208EC"/>
    <w:rsid w:val="002209F0"/>
    <w:rsid w:val="00220A70"/>
    <w:rsid w:val="00220B0A"/>
    <w:rsid w:val="00220BA6"/>
    <w:rsid w:val="00220BD5"/>
    <w:rsid w:val="00220CC1"/>
    <w:rsid w:val="00221026"/>
    <w:rsid w:val="002212BC"/>
    <w:rsid w:val="00221411"/>
    <w:rsid w:val="00221681"/>
    <w:rsid w:val="00221696"/>
    <w:rsid w:val="00221801"/>
    <w:rsid w:val="00221A29"/>
    <w:rsid w:val="00221B59"/>
    <w:rsid w:val="00221C36"/>
    <w:rsid w:val="00221DC3"/>
    <w:rsid w:val="00221DE6"/>
    <w:rsid w:val="00221F3A"/>
    <w:rsid w:val="002221A3"/>
    <w:rsid w:val="00222413"/>
    <w:rsid w:val="002224C9"/>
    <w:rsid w:val="00222553"/>
    <w:rsid w:val="00222623"/>
    <w:rsid w:val="002226BF"/>
    <w:rsid w:val="002226D8"/>
    <w:rsid w:val="00222718"/>
    <w:rsid w:val="002229B7"/>
    <w:rsid w:val="002229DB"/>
    <w:rsid w:val="00222A35"/>
    <w:rsid w:val="00222BFB"/>
    <w:rsid w:val="00222DC0"/>
    <w:rsid w:val="00222F00"/>
    <w:rsid w:val="00223052"/>
    <w:rsid w:val="00223171"/>
    <w:rsid w:val="0022321B"/>
    <w:rsid w:val="002233F0"/>
    <w:rsid w:val="0022345D"/>
    <w:rsid w:val="00223654"/>
    <w:rsid w:val="00223711"/>
    <w:rsid w:val="00223732"/>
    <w:rsid w:val="00223D48"/>
    <w:rsid w:val="00223EF7"/>
    <w:rsid w:val="00224056"/>
    <w:rsid w:val="002240F4"/>
    <w:rsid w:val="00224374"/>
    <w:rsid w:val="002247AA"/>
    <w:rsid w:val="00224935"/>
    <w:rsid w:val="00224A3C"/>
    <w:rsid w:val="00224B75"/>
    <w:rsid w:val="00224CED"/>
    <w:rsid w:val="00224D39"/>
    <w:rsid w:val="00224D9B"/>
    <w:rsid w:val="00224DA8"/>
    <w:rsid w:val="00224E3E"/>
    <w:rsid w:val="002250B9"/>
    <w:rsid w:val="0022514F"/>
    <w:rsid w:val="002251D5"/>
    <w:rsid w:val="002253F4"/>
    <w:rsid w:val="002255A6"/>
    <w:rsid w:val="002256CE"/>
    <w:rsid w:val="00225724"/>
    <w:rsid w:val="002257DE"/>
    <w:rsid w:val="0022585F"/>
    <w:rsid w:val="00225892"/>
    <w:rsid w:val="00225939"/>
    <w:rsid w:val="002259AA"/>
    <w:rsid w:val="00225AB6"/>
    <w:rsid w:val="00225BB0"/>
    <w:rsid w:val="00225E21"/>
    <w:rsid w:val="00225E35"/>
    <w:rsid w:val="00225FBC"/>
    <w:rsid w:val="002260DF"/>
    <w:rsid w:val="0022615A"/>
    <w:rsid w:val="002262F5"/>
    <w:rsid w:val="00226429"/>
    <w:rsid w:val="00226480"/>
    <w:rsid w:val="00226511"/>
    <w:rsid w:val="00226684"/>
    <w:rsid w:val="00226846"/>
    <w:rsid w:val="0022685E"/>
    <w:rsid w:val="00226873"/>
    <w:rsid w:val="00226935"/>
    <w:rsid w:val="00226994"/>
    <w:rsid w:val="002269DA"/>
    <w:rsid w:val="00226A05"/>
    <w:rsid w:val="00226A35"/>
    <w:rsid w:val="00226B26"/>
    <w:rsid w:val="00226BFC"/>
    <w:rsid w:val="00226C98"/>
    <w:rsid w:val="00226D9D"/>
    <w:rsid w:val="00226DBD"/>
    <w:rsid w:val="00226DCF"/>
    <w:rsid w:val="00226E03"/>
    <w:rsid w:val="00227000"/>
    <w:rsid w:val="0022708D"/>
    <w:rsid w:val="002270E9"/>
    <w:rsid w:val="002272A8"/>
    <w:rsid w:val="00227400"/>
    <w:rsid w:val="002274A4"/>
    <w:rsid w:val="00227879"/>
    <w:rsid w:val="00227B54"/>
    <w:rsid w:val="00227C61"/>
    <w:rsid w:val="00227CEB"/>
    <w:rsid w:val="00227CF8"/>
    <w:rsid w:val="00227F15"/>
    <w:rsid w:val="00230143"/>
    <w:rsid w:val="00230168"/>
    <w:rsid w:val="00230266"/>
    <w:rsid w:val="002304C3"/>
    <w:rsid w:val="002305D2"/>
    <w:rsid w:val="00230744"/>
    <w:rsid w:val="002307E1"/>
    <w:rsid w:val="00230835"/>
    <w:rsid w:val="00230915"/>
    <w:rsid w:val="00230976"/>
    <w:rsid w:val="00230AB0"/>
    <w:rsid w:val="00230B0C"/>
    <w:rsid w:val="00230DD5"/>
    <w:rsid w:val="00230EB3"/>
    <w:rsid w:val="00230FCD"/>
    <w:rsid w:val="0023142B"/>
    <w:rsid w:val="00231589"/>
    <w:rsid w:val="00231728"/>
    <w:rsid w:val="002317A8"/>
    <w:rsid w:val="00231974"/>
    <w:rsid w:val="002319B1"/>
    <w:rsid w:val="00231B17"/>
    <w:rsid w:val="00231BAD"/>
    <w:rsid w:val="00231D83"/>
    <w:rsid w:val="00231ED2"/>
    <w:rsid w:val="002321DC"/>
    <w:rsid w:val="0023259E"/>
    <w:rsid w:val="00232794"/>
    <w:rsid w:val="0023289E"/>
    <w:rsid w:val="00232979"/>
    <w:rsid w:val="00232A41"/>
    <w:rsid w:val="00232D1D"/>
    <w:rsid w:val="00232D8B"/>
    <w:rsid w:val="00232E44"/>
    <w:rsid w:val="00232EEC"/>
    <w:rsid w:val="00233020"/>
    <w:rsid w:val="002330CA"/>
    <w:rsid w:val="002330DB"/>
    <w:rsid w:val="00233196"/>
    <w:rsid w:val="002332CE"/>
    <w:rsid w:val="002332F1"/>
    <w:rsid w:val="00233304"/>
    <w:rsid w:val="00233425"/>
    <w:rsid w:val="00233436"/>
    <w:rsid w:val="00233457"/>
    <w:rsid w:val="00233666"/>
    <w:rsid w:val="00233679"/>
    <w:rsid w:val="002336FC"/>
    <w:rsid w:val="002337F5"/>
    <w:rsid w:val="002338AC"/>
    <w:rsid w:val="00233969"/>
    <w:rsid w:val="00233BE0"/>
    <w:rsid w:val="00233DDF"/>
    <w:rsid w:val="00233F05"/>
    <w:rsid w:val="00233FC9"/>
    <w:rsid w:val="0023409D"/>
    <w:rsid w:val="002340B4"/>
    <w:rsid w:val="00234102"/>
    <w:rsid w:val="0023417A"/>
    <w:rsid w:val="0023441A"/>
    <w:rsid w:val="002346C5"/>
    <w:rsid w:val="002347D6"/>
    <w:rsid w:val="002347DC"/>
    <w:rsid w:val="00234804"/>
    <w:rsid w:val="00234930"/>
    <w:rsid w:val="00234A0D"/>
    <w:rsid w:val="00234BA5"/>
    <w:rsid w:val="00235199"/>
    <w:rsid w:val="00235229"/>
    <w:rsid w:val="00235533"/>
    <w:rsid w:val="0023577E"/>
    <w:rsid w:val="00235865"/>
    <w:rsid w:val="002358A6"/>
    <w:rsid w:val="00235B3A"/>
    <w:rsid w:val="00235B64"/>
    <w:rsid w:val="00235C93"/>
    <w:rsid w:val="00235FDD"/>
    <w:rsid w:val="002360A7"/>
    <w:rsid w:val="00236216"/>
    <w:rsid w:val="00236271"/>
    <w:rsid w:val="002363D1"/>
    <w:rsid w:val="002364B4"/>
    <w:rsid w:val="00236924"/>
    <w:rsid w:val="00236AB7"/>
    <w:rsid w:val="00236CD9"/>
    <w:rsid w:val="00237089"/>
    <w:rsid w:val="00237301"/>
    <w:rsid w:val="00237325"/>
    <w:rsid w:val="00237492"/>
    <w:rsid w:val="0023754B"/>
    <w:rsid w:val="002375D7"/>
    <w:rsid w:val="002376DD"/>
    <w:rsid w:val="00237735"/>
    <w:rsid w:val="00237A9D"/>
    <w:rsid w:val="00237CAD"/>
    <w:rsid w:val="00237D1D"/>
    <w:rsid w:val="00237D74"/>
    <w:rsid w:val="00237FCB"/>
    <w:rsid w:val="0024000C"/>
    <w:rsid w:val="0024006B"/>
    <w:rsid w:val="002400BE"/>
    <w:rsid w:val="00240135"/>
    <w:rsid w:val="002402C0"/>
    <w:rsid w:val="00240499"/>
    <w:rsid w:val="0024058F"/>
    <w:rsid w:val="002406D0"/>
    <w:rsid w:val="00240A25"/>
    <w:rsid w:val="00240C3F"/>
    <w:rsid w:val="00240CE6"/>
    <w:rsid w:val="00240D2A"/>
    <w:rsid w:val="00241091"/>
    <w:rsid w:val="002410C4"/>
    <w:rsid w:val="00241352"/>
    <w:rsid w:val="002414CB"/>
    <w:rsid w:val="002418A0"/>
    <w:rsid w:val="002418AB"/>
    <w:rsid w:val="00241A47"/>
    <w:rsid w:val="00241D31"/>
    <w:rsid w:val="00241D40"/>
    <w:rsid w:val="00241EFD"/>
    <w:rsid w:val="00242186"/>
    <w:rsid w:val="0024232A"/>
    <w:rsid w:val="00242467"/>
    <w:rsid w:val="002424A5"/>
    <w:rsid w:val="002426C7"/>
    <w:rsid w:val="00242910"/>
    <w:rsid w:val="00242925"/>
    <w:rsid w:val="00242A3E"/>
    <w:rsid w:val="00242AC1"/>
    <w:rsid w:val="00242B29"/>
    <w:rsid w:val="00242B2D"/>
    <w:rsid w:val="00242CB8"/>
    <w:rsid w:val="00242DAB"/>
    <w:rsid w:val="00242F59"/>
    <w:rsid w:val="00242FAB"/>
    <w:rsid w:val="00242FCE"/>
    <w:rsid w:val="0024329D"/>
    <w:rsid w:val="00243357"/>
    <w:rsid w:val="00243425"/>
    <w:rsid w:val="00243426"/>
    <w:rsid w:val="00243438"/>
    <w:rsid w:val="00243616"/>
    <w:rsid w:val="00243630"/>
    <w:rsid w:val="002436EB"/>
    <w:rsid w:val="002437FD"/>
    <w:rsid w:val="00243B76"/>
    <w:rsid w:val="0024401D"/>
    <w:rsid w:val="002440B5"/>
    <w:rsid w:val="0024419C"/>
    <w:rsid w:val="002442B8"/>
    <w:rsid w:val="002444B0"/>
    <w:rsid w:val="002445EA"/>
    <w:rsid w:val="00244710"/>
    <w:rsid w:val="00244A15"/>
    <w:rsid w:val="00244AAA"/>
    <w:rsid w:val="00244BED"/>
    <w:rsid w:val="00244C90"/>
    <w:rsid w:val="00244CCE"/>
    <w:rsid w:val="00244EE8"/>
    <w:rsid w:val="00244F3E"/>
    <w:rsid w:val="002451A5"/>
    <w:rsid w:val="002454CB"/>
    <w:rsid w:val="00245597"/>
    <w:rsid w:val="002459E0"/>
    <w:rsid w:val="00245ABE"/>
    <w:rsid w:val="00245AE3"/>
    <w:rsid w:val="00245AFD"/>
    <w:rsid w:val="00245BDA"/>
    <w:rsid w:val="00245F8C"/>
    <w:rsid w:val="00246087"/>
    <w:rsid w:val="0024617E"/>
    <w:rsid w:val="00246251"/>
    <w:rsid w:val="00246335"/>
    <w:rsid w:val="0024636A"/>
    <w:rsid w:val="00246415"/>
    <w:rsid w:val="00246469"/>
    <w:rsid w:val="002464D6"/>
    <w:rsid w:val="0024654D"/>
    <w:rsid w:val="002465E1"/>
    <w:rsid w:val="00246606"/>
    <w:rsid w:val="00246630"/>
    <w:rsid w:val="00246698"/>
    <w:rsid w:val="0024695E"/>
    <w:rsid w:val="0024697A"/>
    <w:rsid w:val="00246A9B"/>
    <w:rsid w:val="00246C34"/>
    <w:rsid w:val="00246D45"/>
    <w:rsid w:val="00246DCA"/>
    <w:rsid w:val="00246EAB"/>
    <w:rsid w:val="00246F49"/>
    <w:rsid w:val="00246F70"/>
    <w:rsid w:val="0024740F"/>
    <w:rsid w:val="00247643"/>
    <w:rsid w:val="002477CA"/>
    <w:rsid w:val="00247800"/>
    <w:rsid w:val="0024781B"/>
    <w:rsid w:val="0024784F"/>
    <w:rsid w:val="00247A3B"/>
    <w:rsid w:val="00247A77"/>
    <w:rsid w:val="00247BE1"/>
    <w:rsid w:val="00247C6D"/>
    <w:rsid w:val="00247CE6"/>
    <w:rsid w:val="00247CE7"/>
    <w:rsid w:val="00247E44"/>
    <w:rsid w:val="00247EF2"/>
    <w:rsid w:val="00247F1D"/>
    <w:rsid w:val="00247FAE"/>
    <w:rsid w:val="00250035"/>
    <w:rsid w:val="00250097"/>
    <w:rsid w:val="00250382"/>
    <w:rsid w:val="002503A7"/>
    <w:rsid w:val="002506C9"/>
    <w:rsid w:val="00250A5E"/>
    <w:rsid w:val="00250B0F"/>
    <w:rsid w:val="00250BC2"/>
    <w:rsid w:val="00250D0B"/>
    <w:rsid w:val="00251227"/>
    <w:rsid w:val="00251235"/>
    <w:rsid w:val="00251303"/>
    <w:rsid w:val="0025134A"/>
    <w:rsid w:val="00251923"/>
    <w:rsid w:val="00251A34"/>
    <w:rsid w:val="00251D0F"/>
    <w:rsid w:val="00251D7A"/>
    <w:rsid w:val="00251E1C"/>
    <w:rsid w:val="00251E2C"/>
    <w:rsid w:val="00251E53"/>
    <w:rsid w:val="00251EA1"/>
    <w:rsid w:val="00251F3D"/>
    <w:rsid w:val="0025210D"/>
    <w:rsid w:val="0025220D"/>
    <w:rsid w:val="00252373"/>
    <w:rsid w:val="0025263A"/>
    <w:rsid w:val="002526ED"/>
    <w:rsid w:val="00252720"/>
    <w:rsid w:val="00252722"/>
    <w:rsid w:val="00252D9B"/>
    <w:rsid w:val="00252DAD"/>
    <w:rsid w:val="002530B7"/>
    <w:rsid w:val="002531CE"/>
    <w:rsid w:val="00253430"/>
    <w:rsid w:val="00253455"/>
    <w:rsid w:val="00253648"/>
    <w:rsid w:val="002536F3"/>
    <w:rsid w:val="00253947"/>
    <w:rsid w:val="002539CB"/>
    <w:rsid w:val="00253BAA"/>
    <w:rsid w:val="00253C0A"/>
    <w:rsid w:val="00253C74"/>
    <w:rsid w:val="00253C88"/>
    <w:rsid w:val="00253C94"/>
    <w:rsid w:val="00253CFD"/>
    <w:rsid w:val="00253D33"/>
    <w:rsid w:val="00253E1E"/>
    <w:rsid w:val="00254009"/>
    <w:rsid w:val="0025424A"/>
    <w:rsid w:val="00254467"/>
    <w:rsid w:val="00254475"/>
    <w:rsid w:val="00254513"/>
    <w:rsid w:val="0025477F"/>
    <w:rsid w:val="00254788"/>
    <w:rsid w:val="00254838"/>
    <w:rsid w:val="0025483F"/>
    <w:rsid w:val="0025496E"/>
    <w:rsid w:val="00254B33"/>
    <w:rsid w:val="00254CE0"/>
    <w:rsid w:val="00254E42"/>
    <w:rsid w:val="00254E86"/>
    <w:rsid w:val="00254E92"/>
    <w:rsid w:val="00254EC2"/>
    <w:rsid w:val="00254F12"/>
    <w:rsid w:val="00254FA1"/>
    <w:rsid w:val="0025518E"/>
    <w:rsid w:val="002551B9"/>
    <w:rsid w:val="002556D4"/>
    <w:rsid w:val="002559F9"/>
    <w:rsid w:val="00255A03"/>
    <w:rsid w:val="00255D28"/>
    <w:rsid w:val="00255FFA"/>
    <w:rsid w:val="002560D5"/>
    <w:rsid w:val="00256164"/>
    <w:rsid w:val="002562B6"/>
    <w:rsid w:val="002563D2"/>
    <w:rsid w:val="002566E3"/>
    <w:rsid w:val="00256850"/>
    <w:rsid w:val="00256A22"/>
    <w:rsid w:val="00256CDD"/>
    <w:rsid w:val="00256FB1"/>
    <w:rsid w:val="00256FF2"/>
    <w:rsid w:val="00257367"/>
    <w:rsid w:val="00257640"/>
    <w:rsid w:val="00257E88"/>
    <w:rsid w:val="00257EA3"/>
    <w:rsid w:val="00257F86"/>
    <w:rsid w:val="00260235"/>
    <w:rsid w:val="00260480"/>
    <w:rsid w:val="00260641"/>
    <w:rsid w:val="002607F0"/>
    <w:rsid w:val="00260816"/>
    <w:rsid w:val="0026086B"/>
    <w:rsid w:val="002609B0"/>
    <w:rsid w:val="002609D0"/>
    <w:rsid w:val="00260AB2"/>
    <w:rsid w:val="00260BB8"/>
    <w:rsid w:val="00260BFC"/>
    <w:rsid w:val="00260CF1"/>
    <w:rsid w:val="00260D0E"/>
    <w:rsid w:val="00260EE0"/>
    <w:rsid w:val="00260FFA"/>
    <w:rsid w:val="00261148"/>
    <w:rsid w:val="0026121E"/>
    <w:rsid w:val="0026145E"/>
    <w:rsid w:val="002614D7"/>
    <w:rsid w:val="0026153D"/>
    <w:rsid w:val="002616C1"/>
    <w:rsid w:val="00261880"/>
    <w:rsid w:val="00261904"/>
    <w:rsid w:val="002619EF"/>
    <w:rsid w:val="00261AF0"/>
    <w:rsid w:val="00261B48"/>
    <w:rsid w:val="00261D05"/>
    <w:rsid w:val="00261DF1"/>
    <w:rsid w:val="00261FD6"/>
    <w:rsid w:val="00262293"/>
    <w:rsid w:val="00262614"/>
    <w:rsid w:val="00262803"/>
    <w:rsid w:val="00262BB4"/>
    <w:rsid w:val="00262BED"/>
    <w:rsid w:val="00262D0B"/>
    <w:rsid w:val="00262D6F"/>
    <w:rsid w:val="00262E75"/>
    <w:rsid w:val="00262EAF"/>
    <w:rsid w:val="00263153"/>
    <w:rsid w:val="00263435"/>
    <w:rsid w:val="00263618"/>
    <w:rsid w:val="00263AE4"/>
    <w:rsid w:val="00263D83"/>
    <w:rsid w:val="00263DDD"/>
    <w:rsid w:val="00263E39"/>
    <w:rsid w:val="00263EC9"/>
    <w:rsid w:val="00263ED4"/>
    <w:rsid w:val="00263F0F"/>
    <w:rsid w:val="00263F31"/>
    <w:rsid w:val="0026400E"/>
    <w:rsid w:val="002641B4"/>
    <w:rsid w:val="0026429A"/>
    <w:rsid w:val="002643EC"/>
    <w:rsid w:val="002644AE"/>
    <w:rsid w:val="002644DA"/>
    <w:rsid w:val="002645F1"/>
    <w:rsid w:val="00264627"/>
    <w:rsid w:val="0026465E"/>
    <w:rsid w:val="00264687"/>
    <w:rsid w:val="002647C8"/>
    <w:rsid w:val="00264A47"/>
    <w:rsid w:val="00264C69"/>
    <w:rsid w:val="00264C98"/>
    <w:rsid w:val="00264CB6"/>
    <w:rsid w:val="00264E76"/>
    <w:rsid w:val="00264E80"/>
    <w:rsid w:val="00264F02"/>
    <w:rsid w:val="002650C4"/>
    <w:rsid w:val="00265265"/>
    <w:rsid w:val="00265528"/>
    <w:rsid w:val="00265929"/>
    <w:rsid w:val="002659F8"/>
    <w:rsid w:val="00265A46"/>
    <w:rsid w:val="00265AC7"/>
    <w:rsid w:val="00265C19"/>
    <w:rsid w:val="00265CE7"/>
    <w:rsid w:val="00265DC1"/>
    <w:rsid w:val="00265E44"/>
    <w:rsid w:val="00265F14"/>
    <w:rsid w:val="00265FD5"/>
    <w:rsid w:val="00266450"/>
    <w:rsid w:val="002666BD"/>
    <w:rsid w:val="002666DE"/>
    <w:rsid w:val="00266817"/>
    <w:rsid w:val="002668B5"/>
    <w:rsid w:val="002669C8"/>
    <w:rsid w:val="00266AEF"/>
    <w:rsid w:val="00266CC2"/>
    <w:rsid w:val="00266D1B"/>
    <w:rsid w:val="00266F1D"/>
    <w:rsid w:val="00266FF5"/>
    <w:rsid w:val="0026706F"/>
    <w:rsid w:val="002670C6"/>
    <w:rsid w:val="00267165"/>
    <w:rsid w:val="00267169"/>
    <w:rsid w:val="0026724B"/>
    <w:rsid w:val="00267301"/>
    <w:rsid w:val="00267353"/>
    <w:rsid w:val="002673BD"/>
    <w:rsid w:val="00267415"/>
    <w:rsid w:val="0026744C"/>
    <w:rsid w:val="00267481"/>
    <w:rsid w:val="0026751F"/>
    <w:rsid w:val="002675B5"/>
    <w:rsid w:val="00267805"/>
    <w:rsid w:val="00267885"/>
    <w:rsid w:val="00267946"/>
    <w:rsid w:val="002679C0"/>
    <w:rsid w:val="002679DA"/>
    <w:rsid w:val="00267BF5"/>
    <w:rsid w:val="00267E2A"/>
    <w:rsid w:val="00267E35"/>
    <w:rsid w:val="00267E40"/>
    <w:rsid w:val="00267EE2"/>
    <w:rsid w:val="00267F93"/>
    <w:rsid w:val="00267FBC"/>
    <w:rsid w:val="00270141"/>
    <w:rsid w:val="00270163"/>
    <w:rsid w:val="00270272"/>
    <w:rsid w:val="0027042A"/>
    <w:rsid w:val="002704F5"/>
    <w:rsid w:val="00270524"/>
    <w:rsid w:val="00270570"/>
    <w:rsid w:val="0027058B"/>
    <w:rsid w:val="002705C6"/>
    <w:rsid w:val="00270792"/>
    <w:rsid w:val="00270804"/>
    <w:rsid w:val="0027089B"/>
    <w:rsid w:val="00270FFD"/>
    <w:rsid w:val="00271018"/>
    <w:rsid w:val="00271502"/>
    <w:rsid w:val="00271544"/>
    <w:rsid w:val="00271A80"/>
    <w:rsid w:val="00271AE1"/>
    <w:rsid w:val="00271AE7"/>
    <w:rsid w:val="00271B13"/>
    <w:rsid w:val="00271C23"/>
    <w:rsid w:val="00271FA3"/>
    <w:rsid w:val="0027210F"/>
    <w:rsid w:val="0027213A"/>
    <w:rsid w:val="00272141"/>
    <w:rsid w:val="00272206"/>
    <w:rsid w:val="0027226D"/>
    <w:rsid w:val="002722CD"/>
    <w:rsid w:val="002722E8"/>
    <w:rsid w:val="00272314"/>
    <w:rsid w:val="0027235B"/>
    <w:rsid w:val="00272471"/>
    <w:rsid w:val="0027255A"/>
    <w:rsid w:val="002725AB"/>
    <w:rsid w:val="002725F0"/>
    <w:rsid w:val="002727B9"/>
    <w:rsid w:val="0027282F"/>
    <w:rsid w:val="0027291F"/>
    <w:rsid w:val="00272AE1"/>
    <w:rsid w:val="00272D4C"/>
    <w:rsid w:val="002730D7"/>
    <w:rsid w:val="002732B8"/>
    <w:rsid w:val="00273629"/>
    <w:rsid w:val="0027366F"/>
    <w:rsid w:val="002736A6"/>
    <w:rsid w:val="002736DF"/>
    <w:rsid w:val="00273804"/>
    <w:rsid w:val="0027395F"/>
    <w:rsid w:val="00273A4E"/>
    <w:rsid w:val="00273AA3"/>
    <w:rsid w:val="00273AD6"/>
    <w:rsid w:val="00273CDE"/>
    <w:rsid w:val="00273D1A"/>
    <w:rsid w:val="00273DF1"/>
    <w:rsid w:val="00273E76"/>
    <w:rsid w:val="00273EF9"/>
    <w:rsid w:val="00273F01"/>
    <w:rsid w:val="00273F15"/>
    <w:rsid w:val="002740E6"/>
    <w:rsid w:val="0027418C"/>
    <w:rsid w:val="002741BA"/>
    <w:rsid w:val="00274618"/>
    <w:rsid w:val="00274719"/>
    <w:rsid w:val="002747D9"/>
    <w:rsid w:val="002748AF"/>
    <w:rsid w:val="00274AEE"/>
    <w:rsid w:val="00274E16"/>
    <w:rsid w:val="00274F9E"/>
    <w:rsid w:val="00275192"/>
    <w:rsid w:val="00275683"/>
    <w:rsid w:val="0027568A"/>
    <w:rsid w:val="002759AB"/>
    <w:rsid w:val="00275C5C"/>
    <w:rsid w:val="00275D32"/>
    <w:rsid w:val="00275D47"/>
    <w:rsid w:val="00275E3F"/>
    <w:rsid w:val="00275FA3"/>
    <w:rsid w:val="002761E1"/>
    <w:rsid w:val="00276372"/>
    <w:rsid w:val="00276413"/>
    <w:rsid w:val="00276562"/>
    <w:rsid w:val="00276696"/>
    <w:rsid w:val="0027673F"/>
    <w:rsid w:val="0027679D"/>
    <w:rsid w:val="00276833"/>
    <w:rsid w:val="00276972"/>
    <w:rsid w:val="00276975"/>
    <w:rsid w:val="00276A34"/>
    <w:rsid w:val="00276B32"/>
    <w:rsid w:val="00276E69"/>
    <w:rsid w:val="0027728B"/>
    <w:rsid w:val="002773DB"/>
    <w:rsid w:val="00277447"/>
    <w:rsid w:val="00277624"/>
    <w:rsid w:val="00277668"/>
    <w:rsid w:val="002777AF"/>
    <w:rsid w:val="002777E0"/>
    <w:rsid w:val="002777FC"/>
    <w:rsid w:val="00277D64"/>
    <w:rsid w:val="0028017B"/>
    <w:rsid w:val="002802D0"/>
    <w:rsid w:val="002802E9"/>
    <w:rsid w:val="002804D9"/>
    <w:rsid w:val="002807B9"/>
    <w:rsid w:val="002808C4"/>
    <w:rsid w:val="002809F9"/>
    <w:rsid w:val="00280B57"/>
    <w:rsid w:val="00280BA8"/>
    <w:rsid w:val="00280BBE"/>
    <w:rsid w:val="00280CEA"/>
    <w:rsid w:val="00280D5F"/>
    <w:rsid w:val="00280F73"/>
    <w:rsid w:val="00280FB6"/>
    <w:rsid w:val="00281174"/>
    <w:rsid w:val="0028150B"/>
    <w:rsid w:val="0028154C"/>
    <w:rsid w:val="00281564"/>
    <w:rsid w:val="002816A2"/>
    <w:rsid w:val="0028173F"/>
    <w:rsid w:val="0028176E"/>
    <w:rsid w:val="00281788"/>
    <w:rsid w:val="00281A99"/>
    <w:rsid w:val="00281DE4"/>
    <w:rsid w:val="00282027"/>
    <w:rsid w:val="002820B2"/>
    <w:rsid w:val="0028220B"/>
    <w:rsid w:val="00282277"/>
    <w:rsid w:val="002823E5"/>
    <w:rsid w:val="00282473"/>
    <w:rsid w:val="002827AD"/>
    <w:rsid w:val="00282931"/>
    <w:rsid w:val="00282C34"/>
    <w:rsid w:val="00282C9E"/>
    <w:rsid w:val="00282DA0"/>
    <w:rsid w:val="00282DDD"/>
    <w:rsid w:val="00282ED4"/>
    <w:rsid w:val="00282F62"/>
    <w:rsid w:val="00282F69"/>
    <w:rsid w:val="00283029"/>
    <w:rsid w:val="00283149"/>
    <w:rsid w:val="0028337A"/>
    <w:rsid w:val="00283508"/>
    <w:rsid w:val="002835E6"/>
    <w:rsid w:val="002835ED"/>
    <w:rsid w:val="00283636"/>
    <w:rsid w:val="00283659"/>
    <w:rsid w:val="002838D7"/>
    <w:rsid w:val="0028398A"/>
    <w:rsid w:val="00283A08"/>
    <w:rsid w:val="00283AA4"/>
    <w:rsid w:val="00283D22"/>
    <w:rsid w:val="00283E24"/>
    <w:rsid w:val="00283F49"/>
    <w:rsid w:val="00283F59"/>
    <w:rsid w:val="00284117"/>
    <w:rsid w:val="002842C3"/>
    <w:rsid w:val="002843BC"/>
    <w:rsid w:val="00284647"/>
    <w:rsid w:val="00284916"/>
    <w:rsid w:val="00284A04"/>
    <w:rsid w:val="00284A52"/>
    <w:rsid w:val="00284A74"/>
    <w:rsid w:val="00284E03"/>
    <w:rsid w:val="0028507E"/>
    <w:rsid w:val="002851A7"/>
    <w:rsid w:val="0028536D"/>
    <w:rsid w:val="00285580"/>
    <w:rsid w:val="002858B1"/>
    <w:rsid w:val="002858B9"/>
    <w:rsid w:val="00285904"/>
    <w:rsid w:val="00285B4A"/>
    <w:rsid w:val="00285E9A"/>
    <w:rsid w:val="00285F27"/>
    <w:rsid w:val="002861F8"/>
    <w:rsid w:val="002864AF"/>
    <w:rsid w:val="00286552"/>
    <w:rsid w:val="0028685E"/>
    <w:rsid w:val="00286CC1"/>
    <w:rsid w:val="00286F83"/>
    <w:rsid w:val="00287072"/>
    <w:rsid w:val="002870B7"/>
    <w:rsid w:val="00287196"/>
    <w:rsid w:val="002871ED"/>
    <w:rsid w:val="00287207"/>
    <w:rsid w:val="00287228"/>
    <w:rsid w:val="00287425"/>
    <w:rsid w:val="00287AD7"/>
    <w:rsid w:val="00287D28"/>
    <w:rsid w:val="00287D66"/>
    <w:rsid w:val="00287EBB"/>
    <w:rsid w:val="00287EBC"/>
    <w:rsid w:val="00287F3F"/>
    <w:rsid w:val="00290200"/>
    <w:rsid w:val="00290256"/>
    <w:rsid w:val="00290318"/>
    <w:rsid w:val="00290399"/>
    <w:rsid w:val="0029047A"/>
    <w:rsid w:val="002908A0"/>
    <w:rsid w:val="00290AD3"/>
    <w:rsid w:val="00290C7D"/>
    <w:rsid w:val="00290CB3"/>
    <w:rsid w:val="00290E6B"/>
    <w:rsid w:val="00290F1C"/>
    <w:rsid w:val="00290F80"/>
    <w:rsid w:val="002911AD"/>
    <w:rsid w:val="002912EE"/>
    <w:rsid w:val="0029137D"/>
    <w:rsid w:val="002913A9"/>
    <w:rsid w:val="00291690"/>
    <w:rsid w:val="002916A4"/>
    <w:rsid w:val="002916E8"/>
    <w:rsid w:val="00291780"/>
    <w:rsid w:val="00291857"/>
    <w:rsid w:val="0029191D"/>
    <w:rsid w:val="00291AE9"/>
    <w:rsid w:val="00291B3C"/>
    <w:rsid w:val="00291C83"/>
    <w:rsid w:val="00291CF2"/>
    <w:rsid w:val="00291E1A"/>
    <w:rsid w:val="00291ED5"/>
    <w:rsid w:val="00291F97"/>
    <w:rsid w:val="00291FE4"/>
    <w:rsid w:val="002920A9"/>
    <w:rsid w:val="00292272"/>
    <w:rsid w:val="002923CE"/>
    <w:rsid w:val="0029266F"/>
    <w:rsid w:val="00292708"/>
    <w:rsid w:val="00292825"/>
    <w:rsid w:val="00292A22"/>
    <w:rsid w:val="00292DD5"/>
    <w:rsid w:val="00292FFE"/>
    <w:rsid w:val="0029320F"/>
    <w:rsid w:val="0029328C"/>
    <w:rsid w:val="002936DD"/>
    <w:rsid w:val="002937AE"/>
    <w:rsid w:val="002938B5"/>
    <w:rsid w:val="00293B76"/>
    <w:rsid w:val="00294054"/>
    <w:rsid w:val="00294088"/>
    <w:rsid w:val="002941B3"/>
    <w:rsid w:val="002941E2"/>
    <w:rsid w:val="0029433B"/>
    <w:rsid w:val="002943D2"/>
    <w:rsid w:val="0029464E"/>
    <w:rsid w:val="002946CA"/>
    <w:rsid w:val="00294A81"/>
    <w:rsid w:val="00294B27"/>
    <w:rsid w:val="00294DCC"/>
    <w:rsid w:val="00294FC5"/>
    <w:rsid w:val="00295138"/>
    <w:rsid w:val="0029519D"/>
    <w:rsid w:val="002951CA"/>
    <w:rsid w:val="00295203"/>
    <w:rsid w:val="0029532E"/>
    <w:rsid w:val="0029535F"/>
    <w:rsid w:val="002954E8"/>
    <w:rsid w:val="0029572E"/>
    <w:rsid w:val="0029575B"/>
    <w:rsid w:val="00295955"/>
    <w:rsid w:val="00295B1A"/>
    <w:rsid w:val="00295C8F"/>
    <w:rsid w:val="00295EF8"/>
    <w:rsid w:val="00295FD0"/>
    <w:rsid w:val="002962B9"/>
    <w:rsid w:val="00296355"/>
    <w:rsid w:val="002965D7"/>
    <w:rsid w:val="002966B2"/>
    <w:rsid w:val="00296788"/>
    <w:rsid w:val="002967E8"/>
    <w:rsid w:val="00296B88"/>
    <w:rsid w:val="00296D4B"/>
    <w:rsid w:val="00296D5B"/>
    <w:rsid w:val="00296D84"/>
    <w:rsid w:val="00296DC0"/>
    <w:rsid w:val="00296E69"/>
    <w:rsid w:val="00297135"/>
    <w:rsid w:val="0029713D"/>
    <w:rsid w:val="002972C4"/>
    <w:rsid w:val="0029730C"/>
    <w:rsid w:val="00297494"/>
    <w:rsid w:val="0029751A"/>
    <w:rsid w:val="00297670"/>
    <w:rsid w:val="0029782F"/>
    <w:rsid w:val="00297958"/>
    <w:rsid w:val="00297CF9"/>
    <w:rsid w:val="00297DB7"/>
    <w:rsid w:val="00297E87"/>
    <w:rsid w:val="002A00E1"/>
    <w:rsid w:val="002A071A"/>
    <w:rsid w:val="002A096B"/>
    <w:rsid w:val="002A0B1A"/>
    <w:rsid w:val="002A0BDC"/>
    <w:rsid w:val="002A0CAB"/>
    <w:rsid w:val="002A0E0B"/>
    <w:rsid w:val="002A1062"/>
    <w:rsid w:val="002A11E7"/>
    <w:rsid w:val="002A1378"/>
    <w:rsid w:val="002A140B"/>
    <w:rsid w:val="002A15A1"/>
    <w:rsid w:val="002A1607"/>
    <w:rsid w:val="002A16D6"/>
    <w:rsid w:val="002A1751"/>
    <w:rsid w:val="002A17F7"/>
    <w:rsid w:val="002A1838"/>
    <w:rsid w:val="002A1984"/>
    <w:rsid w:val="002A19CF"/>
    <w:rsid w:val="002A1A0B"/>
    <w:rsid w:val="002A1A1A"/>
    <w:rsid w:val="002A1B4E"/>
    <w:rsid w:val="002A1B68"/>
    <w:rsid w:val="002A1BB0"/>
    <w:rsid w:val="002A1BED"/>
    <w:rsid w:val="002A1C18"/>
    <w:rsid w:val="002A1C4D"/>
    <w:rsid w:val="002A1F88"/>
    <w:rsid w:val="002A1FF5"/>
    <w:rsid w:val="002A2143"/>
    <w:rsid w:val="002A2174"/>
    <w:rsid w:val="002A2342"/>
    <w:rsid w:val="002A23C7"/>
    <w:rsid w:val="002A2454"/>
    <w:rsid w:val="002A2764"/>
    <w:rsid w:val="002A27BA"/>
    <w:rsid w:val="002A282B"/>
    <w:rsid w:val="002A2838"/>
    <w:rsid w:val="002A2D21"/>
    <w:rsid w:val="002A2DC2"/>
    <w:rsid w:val="002A2F11"/>
    <w:rsid w:val="002A34BD"/>
    <w:rsid w:val="002A3643"/>
    <w:rsid w:val="002A3672"/>
    <w:rsid w:val="002A36E6"/>
    <w:rsid w:val="002A3747"/>
    <w:rsid w:val="002A3A0E"/>
    <w:rsid w:val="002A3A47"/>
    <w:rsid w:val="002A3A65"/>
    <w:rsid w:val="002A3B1A"/>
    <w:rsid w:val="002A3C3F"/>
    <w:rsid w:val="002A3D05"/>
    <w:rsid w:val="002A3E13"/>
    <w:rsid w:val="002A3E55"/>
    <w:rsid w:val="002A3F0F"/>
    <w:rsid w:val="002A41B0"/>
    <w:rsid w:val="002A425B"/>
    <w:rsid w:val="002A4440"/>
    <w:rsid w:val="002A470E"/>
    <w:rsid w:val="002A47D5"/>
    <w:rsid w:val="002A480F"/>
    <w:rsid w:val="002A48C2"/>
    <w:rsid w:val="002A499B"/>
    <w:rsid w:val="002A4B21"/>
    <w:rsid w:val="002A4D0E"/>
    <w:rsid w:val="002A4F9C"/>
    <w:rsid w:val="002A4FD4"/>
    <w:rsid w:val="002A52BF"/>
    <w:rsid w:val="002A52C4"/>
    <w:rsid w:val="002A52F6"/>
    <w:rsid w:val="002A575D"/>
    <w:rsid w:val="002A579A"/>
    <w:rsid w:val="002A5824"/>
    <w:rsid w:val="002A5921"/>
    <w:rsid w:val="002A5C1D"/>
    <w:rsid w:val="002A5C3C"/>
    <w:rsid w:val="002A5C47"/>
    <w:rsid w:val="002A5E28"/>
    <w:rsid w:val="002A6099"/>
    <w:rsid w:val="002A61E0"/>
    <w:rsid w:val="002A6336"/>
    <w:rsid w:val="002A63B2"/>
    <w:rsid w:val="002A644B"/>
    <w:rsid w:val="002A65A4"/>
    <w:rsid w:val="002A65FD"/>
    <w:rsid w:val="002A6A7D"/>
    <w:rsid w:val="002A6AD4"/>
    <w:rsid w:val="002A6D59"/>
    <w:rsid w:val="002A711E"/>
    <w:rsid w:val="002A72D8"/>
    <w:rsid w:val="002A733C"/>
    <w:rsid w:val="002A7745"/>
    <w:rsid w:val="002A777C"/>
    <w:rsid w:val="002A77E5"/>
    <w:rsid w:val="002A78D3"/>
    <w:rsid w:val="002A792B"/>
    <w:rsid w:val="002A7B54"/>
    <w:rsid w:val="002A7D0D"/>
    <w:rsid w:val="002A7EFC"/>
    <w:rsid w:val="002A7FBD"/>
    <w:rsid w:val="002B04F1"/>
    <w:rsid w:val="002B0601"/>
    <w:rsid w:val="002B0710"/>
    <w:rsid w:val="002B0864"/>
    <w:rsid w:val="002B0B48"/>
    <w:rsid w:val="002B0CEA"/>
    <w:rsid w:val="002B0D36"/>
    <w:rsid w:val="002B0E2C"/>
    <w:rsid w:val="002B108D"/>
    <w:rsid w:val="002B10DB"/>
    <w:rsid w:val="002B133C"/>
    <w:rsid w:val="002B148B"/>
    <w:rsid w:val="002B1597"/>
    <w:rsid w:val="002B17D0"/>
    <w:rsid w:val="002B19B8"/>
    <w:rsid w:val="002B1C5F"/>
    <w:rsid w:val="002B1CE0"/>
    <w:rsid w:val="002B1E5F"/>
    <w:rsid w:val="002B1ED3"/>
    <w:rsid w:val="002B22E7"/>
    <w:rsid w:val="002B2448"/>
    <w:rsid w:val="002B27EE"/>
    <w:rsid w:val="002B2AA7"/>
    <w:rsid w:val="002B2AE8"/>
    <w:rsid w:val="002B2B09"/>
    <w:rsid w:val="002B2D13"/>
    <w:rsid w:val="002B2EAA"/>
    <w:rsid w:val="002B2EF3"/>
    <w:rsid w:val="002B3707"/>
    <w:rsid w:val="002B39A7"/>
    <w:rsid w:val="002B3C20"/>
    <w:rsid w:val="002B3D9B"/>
    <w:rsid w:val="002B3E81"/>
    <w:rsid w:val="002B3F29"/>
    <w:rsid w:val="002B4047"/>
    <w:rsid w:val="002B4051"/>
    <w:rsid w:val="002B429D"/>
    <w:rsid w:val="002B46A3"/>
    <w:rsid w:val="002B46DA"/>
    <w:rsid w:val="002B471A"/>
    <w:rsid w:val="002B4CF4"/>
    <w:rsid w:val="002B4CF8"/>
    <w:rsid w:val="002B4D67"/>
    <w:rsid w:val="002B51A6"/>
    <w:rsid w:val="002B52E2"/>
    <w:rsid w:val="002B5372"/>
    <w:rsid w:val="002B546A"/>
    <w:rsid w:val="002B54DB"/>
    <w:rsid w:val="002B56CA"/>
    <w:rsid w:val="002B572B"/>
    <w:rsid w:val="002B57B5"/>
    <w:rsid w:val="002B5856"/>
    <w:rsid w:val="002B598A"/>
    <w:rsid w:val="002B5996"/>
    <w:rsid w:val="002B59CE"/>
    <w:rsid w:val="002B59FE"/>
    <w:rsid w:val="002B5AA6"/>
    <w:rsid w:val="002B5B73"/>
    <w:rsid w:val="002B5C90"/>
    <w:rsid w:val="002B5D13"/>
    <w:rsid w:val="002B5D3A"/>
    <w:rsid w:val="002B5F0F"/>
    <w:rsid w:val="002B5FBA"/>
    <w:rsid w:val="002B60EB"/>
    <w:rsid w:val="002B615A"/>
    <w:rsid w:val="002B6406"/>
    <w:rsid w:val="002B64A8"/>
    <w:rsid w:val="002B65BE"/>
    <w:rsid w:val="002B66A3"/>
    <w:rsid w:val="002B69A4"/>
    <w:rsid w:val="002B6BCD"/>
    <w:rsid w:val="002B6EF5"/>
    <w:rsid w:val="002B6F66"/>
    <w:rsid w:val="002B713E"/>
    <w:rsid w:val="002B73E1"/>
    <w:rsid w:val="002B7A2D"/>
    <w:rsid w:val="002B7BEA"/>
    <w:rsid w:val="002B7C1C"/>
    <w:rsid w:val="002B7D82"/>
    <w:rsid w:val="002B7EFA"/>
    <w:rsid w:val="002B7F50"/>
    <w:rsid w:val="002B7FC4"/>
    <w:rsid w:val="002B7FCB"/>
    <w:rsid w:val="002C02EA"/>
    <w:rsid w:val="002C05E5"/>
    <w:rsid w:val="002C05FB"/>
    <w:rsid w:val="002C06EB"/>
    <w:rsid w:val="002C0706"/>
    <w:rsid w:val="002C0968"/>
    <w:rsid w:val="002C0C6A"/>
    <w:rsid w:val="002C0DBC"/>
    <w:rsid w:val="002C0DFB"/>
    <w:rsid w:val="002C0F8D"/>
    <w:rsid w:val="002C0FA0"/>
    <w:rsid w:val="002C1044"/>
    <w:rsid w:val="002C10C4"/>
    <w:rsid w:val="002C10F9"/>
    <w:rsid w:val="002C1116"/>
    <w:rsid w:val="002C1233"/>
    <w:rsid w:val="002C12F1"/>
    <w:rsid w:val="002C1459"/>
    <w:rsid w:val="002C1510"/>
    <w:rsid w:val="002C1645"/>
    <w:rsid w:val="002C16FE"/>
    <w:rsid w:val="002C17C5"/>
    <w:rsid w:val="002C1A81"/>
    <w:rsid w:val="002C1C78"/>
    <w:rsid w:val="002C1D78"/>
    <w:rsid w:val="002C1F53"/>
    <w:rsid w:val="002C1FFE"/>
    <w:rsid w:val="002C2153"/>
    <w:rsid w:val="002C22CC"/>
    <w:rsid w:val="002C22D6"/>
    <w:rsid w:val="002C22FF"/>
    <w:rsid w:val="002C2476"/>
    <w:rsid w:val="002C24F8"/>
    <w:rsid w:val="002C25C6"/>
    <w:rsid w:val="002C263C"/>
    <w:rsid w:val="002C27AF"/>
    <w:rsid w:val="002C27B2"/>
    <w:rsid w:val="002C28EB"/>
    <w:rsid w:val="002C293A"/>
    <w:rsid w:val="002C2950"/>
    <w:rsid w:val="002C2C43"/>
    <w:rsid w:val="002C2D41"/>
    <w:rsid w:val="002C2DB9"/>
    <w:rsid w:val="002C3019"/>
    <w:rsid w:val="002C30AB"/>
    <w:rsid w:val="002C3169"/>
    <w:rsid w:val="002C31BB"/>
    <w:rsid w:val="002C32C5"/>
    <w:rsid w:val="002C347A"/>
    <w:rsid w:val="002C38A4"/>
    <w:rsid w:val="002C3920"/>
    <w:rsid w:val="002C3C48"/>
    <w:rsid w:val="002C3C80"/>
    <w:rsid w:val="002C3DC5"/>
    <w:rsid w:val="002C3E94"/>
    <w:rsid w:val="002C3F19"/>
    <w:rsid w:val="002C3F1A"/>
    <w:rsid w:val="002C3F8A"/>
    <w:rsid w:val="002C428E"/>
    <w:rsid w:val="002C463E"/>
    <w:rsid w:val="002C4667"/>
    <w:rsid w:val="002C47F7"/>
    <w:rsid w:val="002C4A96"/>
    <w:rsid w:val="002C4A98"/>
    <w:rsid w:val="002C512F"/>
    <w:rsid w:val="002C516E"/>
    <w:rsid w:val="002C5360"/>
    <w:rsid w:val="002C54B3"/>
    <w:rsid w:val="002C559D"/>
    <w:rsid w:val="002C5635"/>
    <w:rsid w:val="002C57B4"/>
    <w:rsid w:val="002C5B2B"/>
    <w:rsid w:val="002C5D07"/>
    <w:rsid w:val="002C5DB5"/>
    <w:rsid w:val="002C5E5C"/>
    <w:rsid w:val="002C5F3A"/>
    <w:rsid w:val="002C5F9C"/>
    <w:rsid w:val="002C60EE"/>
    <w:rsid w:val="002C628E"/>
    <w:rsid w:val="002C6732"/>
    <w:rsid w:val="002C6A08"/>
    <w:rsid w:val="002C6AA0"/>
    <w:rsid w:val="002C6C10"/>
    <w:rsid w:val="002C6D31"/>
    <w:rsid w:val="002C6D3B"/>
    <w:rsid w:val="002C6DAB"/>
    <w:rsid w:val="002C6DFA"/>
    <w:rsid w:val="002C6F51"/>
    <w:rsid w:val="002C6FF4"/>
    <w:rsid w:val="002C706C"/>
    <w:rsid w:val="002C7112"/>
    <w:rsid w:val="002C716D"/>
    <w:rsid w:val="002C718A"/>
    <w:rsid w:val="002C725C"/>
    <w:rsid w:val="002C7355"/>
    <w:rsid w:val="002C73EC"/>
    <w:rsid w:val="002C7619"/>
    <w:rsid w:val="002C763D"/>
    <w:rsid w:val="002C76A2"/>
    <w:rsid w:val="002C777E"/>
    <w:rsid w:val="002C7A5F"/>
    <w:rsid w:val="002C7B43"/>
    <w:rsid w:val="002C7B53"/>
    <w:rsid w:val="002C7CAD"/>
    <w:rsid w:val="002C7EDC"/>
    <w:rsid w:val="002C7FBF"/>
    <w:rsid w:val="002C7FE7"/>
    <w:rsid w:val="002D00FF"/>
    <w:rsid w:val="002D0357"/>
    <w:rsid w:val="002D0617"/>
    <w:rsid w:val="002D06C9"/>
    <w:rsid w:val="002D0808"/>
    <w:rsid w:val="002D0970"/>
    <w:rsid w:val="002D09EB"/>
    <w:rsid w:val="002D0A00"/>
    <w:rsid w:val="002D0AAF"/>
    <w:rsid w:val="002D0BFB"/>
    <w:rsid w:val="002D0C30"/>
    <w:rsid w:val="002D0E47"/>
    <w:rsid w:val="002D1476"/>
    <w:rsid w:val="002D14FE"/>
    <w:rsid w:val="002D1792"/>
    <w:rsid w:val="002D17D8"/>
    <w:rsid w:val="002D18A3"/>
    <w:rsid w:val="002D18D8"/>
    <w:rsid w:val="002D1A0F"/>
    <w:rsid w:val="002D1A88"/>
    <w:rsid w:val="002D1B68"/>
    <w:rsid w:val="002D1C99"/>
    <w:rsid w:val="002D1CEE"/>
    <w:rsid w:val="002D1D38"/>
    <w:rsid w:val="002D1E21"/>
    <w:rsid w:val="002D207C"/>
    <w:rsid w:val="002D210D"/>
    <w:rsid w:val="002D28A1"/>
    <w:rsid w:val="002D2C49"/>
    <w:rsid w:val="002D2E85"/>
    <w:rsid w:val="002D2F0A"/>
    <w:rsid w:val="002D2FAA"/>
    <w:rsid w:val="002D3130"/>
    <w:rsid w:val="002D327B"/>
    <w:rsid w:val="002D32AD"/>
    <w:rsid w:val="002D3356"/>
    <w:rsid w:val="002D33A7"/>
    <w:rsid w:val="002D34BD"/>
    <w:rsid w:val="002D3547"/>
    <w:rsid w:val="002D358A"/>
    <w:rsid w:val="002D363D"/>
    <w:rsid w:val="002D38EF"/>
    <w:rsid w:val="002D39D1"/>
    <w:rsid w:val="002D39EF"/>
    <w:rsid w:val="002D3A3E"/>
    <w:rsid w:val="002D3A55"/>
    <w:rsid w:val="002D3D2A"/>
    <w:rsid w:val="002D4071"/>
    <w:rsid w:val="002D41F9"/>
    <w:rsid w:val="002D450C"/>
    <w:rsid w:val="002D4572"/>
    <w:rsid w:val="002D46B2"/>
    <w:rsid w:val="002D479A"/>
    <w:rsid w:val="002D479F"/>
    <w:rsid w:val="002D48B9"/>
    <w:rsid w:val="002D4BC9"/>
    <w:rsid w:val="002D4C04"/>
    <w:rsid w:val="002D4DD4"/>
    <w:rsid w:val="002D4E60"/>
    <w:rsid w:val="002D4EE0"/>
    <w:rsid w:val="002D506E"/>
    <w:rsid w:val="002D5228"/>
    <w:rsid w:val="002D52B4"/>
    <w:rsid w:val="002D5331"/>
    <w:rsid w:val="002D53BB"/>
    <w:rsid w:val="002D5636"/>
    <w:rsid w:val="002D56F3"/>
    <w:rsid w:val="002D5904"/>
    <w:rsid w:val="002D5AA9"/>
    <w:rsid w:val="002D5BCF"/>
    <w:rsid w:val="002D5CD2"/>
    <w:rsid w:val="002D5D6B"/>
    <w:rsid w:val="002D6462"/>
    <w:rsid w:val="002D6558"/>
    <w:rsid w:val="002D666C"/>
    <w:rsid w:val="002D6798"/>
    <w:rsid w:val="002D67D5"/>
    <w:rsid w:val="002D698F"/>
    <w:rsid w:val="002D6BC8"/>
    <w:rsid w:val="002D6D62"/>
    <w:rsid w:val="002D6D83"/>
    <w:rsid w:val="002D6E0E"/>
    <w:rsid w:val="002D6F36"/>
    <w:rsid w:val="002D7119"/>
    <w:rsid w:val="002D71D9"/>
    <w:rsid w:val="002D735F"/>
    <w:rsid w:val="002D75A2"/>
    <w:rsid w:val="002D77A1"/>
    <w:rsid w:val="002D78E5"/>
    <w:rsid w:val="002D7950"/>
    <w:rsid w:val="002D7A82"/>
    <w:rsid w:val="002D7B66"/>
    <w:rsid w:val="002D7BAF"/>
    <w:rsid w:val="002D7C06"/>
    <w:rsid w:val="002D7D06"/>
    <w:rsid w:val="002D7D09"/>
    <w:rsid w:val="002D7D5A"/>
    <w:rsid w:val="002D7D6E"/>
    <w:rsid w:val="002D7D8F"/>
    <w:rsid w:val="002D7E75"/>
    <w:rsid w:val="002E001E"/>
    <w:rsid w:val="002E0097"/>
    <w:rsid w:val="002E0367"/>
    <w:rsid w:val="002E04A7"/>
    <w:rsid w:val="002E04F7"/>
    <w:rsid w:val="002E0540"/>
    <w:rsid w:val="002E05B5"/>
    <w:rsid w:val="002E0A52"/>
    <w:rsid w:val="002E0A89"/>
    <w:rsid w:val="002E0BAF"/>
    <w:rsid w:val="002E0C92"/>
    <w:rsid w:val="002E11DA"/>
    <w:rsid w:val="002E13BA"/>
    <w:rsid w:val="002E1419"/>
    <w:rsid w:val="002E147C"/>
    <w:rsid w:val="002E1563"/>
    <w:rsid w:val="002E162E"/>
    <w:rsid w:val="002E165D"/>
    <w:rsid w:val="002E16AD"/>
    <w:rsid w:val="002E190B"/>
    <w:rsid w:val="002E199F"/>
    <w:rsid w:val="002E1B19"/>
    <w:rsid w:val="002E1B8C"/>
    <w:rsid w:val="002E1BC4"/>
    <w:rsid w:val="002E1D83"/>
    <w:rsid w:val="002E1E3D"/>
    <w:rsid w:val="002E1E56"/>
    <w:rsid w:val="002E2314"/>
    <w:rsid w:val="002E2382"/>
    <w:rsid w:val="002E2409"/>
    <w:rsid w:val="002E2731"/>
    <w:rsid w:val="002E276D"/>
    <w:rsid w:val="002E2ACF"/>
    <w:rsid w:val="002E2C20"/>
    <w:rsid w:val="002E2C7E"/>
    <w:rsid w:val="002E2D13"/>
    <w:rsid w:val="002E2FF1"/>
    <w:rsid w:val="002E3221"/>
    <w:rsid w:val="002E3337"/>
    <w:rsid w:val="002E34E8"/>
    <w:rsid w:val="002E34F1"/>
    <w:rsid w:val="002E358B"/>
    <w:rsid w:val="002E3AC0"/>
    <w:rsid w:val="002E3E3A"/>
    <w:rsid w:val="002E42DD"/>
    <w:rsid w:val="002E4381"/>
    <w:rsid w:val="002E4439"/>
    <w:rsid w:val="002E44C6"/>
    <w:rsid w:val="002E46BC"/>
    <w:rsid w:val="002E4BEC"/>
    <w:rsid w:val="002E4C46"/>
    <w:rsid w:val="002E4EBF"/>
    <w:rsid w:val="002E5479"/>
    <w:rsid w:val="002E552E"/>
    <w:rsid w:val="002E5696"/>
    <w:rsid w:val="002E59C7"/>
    <w:rsid w:val="002E5A65"/>
    <w:rsid w:val="002E5ACA"/>
    <w:rsid w:val="002E5B97"/>
    <w:rsid w:val="002E5D27"/>
    <w:rsid w:val="002E5D74"/>
    <w:rsid w:val="002E5DE7"/>
    <w:rsid w:val="002E6067"/>
    <w:rsid w:val="002E608E"/>
    <w:rsid w:val="002E62F4"/>
    <w:rsid w:val="002E6672"/>
    <w:rsid w:val="002E66B0"/>
    <w:rsid w:val="002E6880"/>
    <w:rsid w:val="002E69C9"/>
    <w:rsid w:val="002E69EF"/>
    <w:rsid w:val="002E6A3A"/>
    <w:rsid w:val="002E6AC5"/>
    <w:rsid w:val="002E6B05"/>
    <w:rsid w:val="002E6DC2"/>
    <w:rsid w:val="002E702A"/>
    <w:rsid w:val="002E7564"/>
    <w:rsid w:val="002E757E"/>
    <w:rsid w:val="002E759F"/>
    <w:rsid w:val="002E7931"/>
    <w:rsid w:val="002E7941"/>
    <w:rsid w:val="002E79BA"/>
    <w:rsid w:val="002E7A5C"/>
    <w:rsid w:val="002E7C13"/>
    <w:rsid w:val="002E7CB0"/>
    <w:rsid w:val="002E7D6B"/>
    <w:rsid w:val="002E7DAD"/>
    <w:rsid w:val="002E7F42"/>
    <w:rsid w:val="002F004C"/>
    <w:rsid w:val="002F01BC"/>
    <w:rsid w:val="002F0248"/>
    <w:rsid w:val="002F0261"/>
    <w:rsid w:val="002F0262"/>
    <w:rsid w:val="002F03F5"/>
    <w:rsid w:val="002F0498"/>
    <w:rsid w:val="002F054A"/>
    <w:rsid w:val="002F05F1"/>
    <w:rsid w:val="002F0651"/>
    <w:rsid w:val="002F0769"/>
    <w:rsid w:val="002F07DE"/>
    <w:rsid w:val="002F08C7"/>
    <w:rsid w:val="002F08EF"/>
    <w:rsid w:val="002F0A2E"/>
    <w:rsid w:val="002F0AD7"/>
    <w:rsid w:val="002F0B64"/>
    <w:rsid w:val="002F0C46"/>
    <w:rsid w:val="002F0D6C"/>
    <w:rsid w:val="002F0E85"/>
    <w:rsid w:val="002F0E9F"/>
    <w:rsid w:val="002F12A0"/>
    <w:rsid w:val="002F1306"/>
    <w:rsid w:val="002F15B7"/>
    <w:rsid w:val="002F165F"/>
    <w:rsid w:val="002F1867"/>
    <w:rsid w:val="002F18E3"/>
    <w:rsid w:val="002F1946"/>
    <w:rsid w:val="002F1A69"/>
    <w:rsid w:val="002F1A9E"/>
    <w:rsid w:val="002F1ABD"/>
    <w:rsid w:val="002F1ACA"/>
    <w:rsid w:val="002F1DF5"/>
    <w:rsid w:val="002F1EB4"/>
    <w:rsid w:val="002F2082"/>
    <w:rsid w:val="002F210F"/>
    <w:rsid w:val="002F21E2"/>
    <w:rsid w:val="002F2352"/>
    <w:rsid w:val="002F23C8"/>
    <w:rsid w:val="002F243D"/>
    <w:rsid w:val="002F2473"/>
    <w:rsid w:val="002F266A"/>
    <w:rsid w:val="002F2788"/>
    <w:rsid w:val="002F2845"/>
    <w:rsid w:val="002F287B"/>
    <w:rsid w:val="002F2A7B"/>
    <w:rsid w:val="002F2B5D"/>
    <w:rsid w:val="002F2D74"/>
    <w:rsid w:val="002F2F1C"/>
    <w:rsid w:val="002F3088"/>
    <w:rsid w:val="002F3177"/>
    <w:rsid w:val="002F31A6"/>
    <w:rsid w:val="002F31BC"/>
    <w:rsid w:val="002F3273"/>
    <w:rsid w:val="002F3277"/>
    <w:rsid w:val="002F3283"/>
    <w:rsid w:val="002F334A"/>
    <w:rsid w:val="002F3369"/>
    <w:rsid w:val="002F37DA"/>
    <w:rsid w:val="002F383C"/>
    <w:rsid w:val="002F3A65"/>
    <w:rsid w:val="002F3AC2"/>
    <w:rsid w:val="002F3C40"/>
    <w:rsid w:val="002F3C88"/>
    <w:rsid w:val="002F3C8F"/>
    <w:rsid w:val="002F3CCE"/>
    <w:rsid w:val="002F3E4F"/>
    <w:rsid w:val="002F3F69"/>
    <w:rsid w:val="002F3F90"/>
    <w:rsid w:val="002F4031"/>
    <w:rsid w:val="002F4167"/>
    <w:rsid w:val="002F4180"/>
    <w:rsid w:val="002F428D"/>
    <w:rsid w:val="002F44D0"/>
    <w:rsid w:val="002F4535"/>
    <w:rsid w:val="002F459A"/>
    <w:rsid w:val="002F4791"/>
    <w:rsid w:val="002F4802"/>
    <w:rsid w:val="002F4839"/>
    <w:rsid w:val="002F4AAB"/>
    <w:rsid w:val="002F4B2B"/>
    <w:rsid w:val="002F4C90"/>
    <w:rsid w:val="002F4DB5"/>
    <w:rsid w:val="002F4E4A"/>
    <w:rsid w:val="002F501B"/>
    <w:rsid w:val="002F51A0"/>
    <w:rsid w:val="002F53F2"/>
    <w:rsid w:val="002F54C8"/>
    <w:rsid w:val="002F575F"/>
    <w:rsid w:val="002F5AD9"/>
    <w:rsid w:val="002F5BF7"/>
    <w:rsid w:val="002F5DAD"/>
    <w:rsid w:val="002F5F7F"/>
    <w:rsid w:val="002F5F92"/>
    <w:rsid w:val="002F6039"/>
    <w:rsid w:val="002F60B8"/>
    <w:rsid w:val="002F615D"/>
    <w:rsid w:val="002F61F8"/>
    <w:rsid w:val="002F62A9"/>
    <w:rsid w:val="002F63DB"/>
    <w:rsid w:val="002F6407"/>
    <w:rsid w:val="002F673A"/>
    <w:rsid w:val="002F67BB"/>
    <w:rsid w:val="002F6824"/>
    <w:rsid w:val="002F6826"/>
    <w:rsid w:val="002F6904"/>
    <w:rsid w:val="002F6AD8"/>
    <w:rsid w:val="002F6CEE"/>
    <w:rsid w:val="002F7165"/>
    <w:rsid w:val="002F7216"/>
    <w:rsid w:val="002F7484"/>
    <w:rsid w:val="002F748C"/>
    <w:rsid w:val="002F7A7F"/>
    <w:rsid w:val="002F7BE6"/>
    <w:rsid w:val="002F7CC8"/>
    <w:rsid w:val="002F7FD1"/>
    <w:rsid w:val="0030026D"/>
    <w:rsid w:val="003003BF"/>
    <w:rsid w:val="00300531"/>
    <w:rsid w:val="003007AF"/>
    <w:rsid w:val="003007DD"/>
    <w:rsid w:val="003009FF"/>
    <w:rsid w:val="00300A15"/>
    <w:rsid w:val="003010C4"/>
    <w:rsid w:val="00301123"/>
    <w:rsid w:val="003011CF"/>
    <w:rsid w:val="003013B4"/>
    <w:rsid w:val="00301740"/>
    <w:rsid w:val="00301C36"/>
    <w:rsid w:val="00301D90"/>
    <w:rsid w:val="00301E2F"/>
    <w:rsid w:val="00301ED6"/>
    <w:rsid w:val="00302014"/>
    <w:rsid w:val="00302081"/>
    <w:rsid w:val="003020C9"/>
    <w:rsid w:val="0030216C"/>
    <w:rsid w:val="003021B6"/>
    <w:rsid w:val="00302202"/>
    <w:rsid w:val="00302299"/>
    <w:rsid w:val="00302380"/>
    <w:rsid w:val="003023AB"/>
    <w:rsid w:val="00302621"/>
    <w:rsid w:val="00302635"/>
    <w:rsid w:val="003027FA"/>
    <w:rsid w:val="00302920"/>
    <w:rsid w:val="00302A1D"/>
    <w:rsid w:val="00302A7A"/>
    <w:rsid w:val="00302BB8"/>
    <w:rsid w:val="00302C7D"/>
    <w:rsid w:val="00302DD1"/>
    <w:rsid w:val="00302F59"/>
    <w:rsid w:val="00302FD0"/>
    <w:rsid w:val="0030307C"/>
    <w:rsid w:val="003030BA"/>
    <w:rsid w:val="003031A9"/>
    <w:rsid w:val="003031DF"/>
    <w:rsid w:val="00303468"/>
    <w:rsid w:val="003036FE"/>
    <w:rsid w:val="003037F5"/>
    <w:rsid w:val="0030392F"/>
    <w:rsid w:val="00303A23"/>
    <w:rsid w:val="00303B54"/>
    <w:rsid w:val="00303E06"/>
    <w:rsid w:val="00303EBF"/>
    <w:rsid w:val="00303F0B"/>
    <w:rsid w:val="00303F69"/>
    <w:rsid w:val="00304006"/>
    <w:rsid w:val="00304435"/>
    <w:rsid w:val="00304531"/>
    <w:rsid w:val="00304684"/>
    <w:rsid w:val="003047AA"/>
    <w:rsid w:val="00304862"/>
    <w:rsid w:val="00304A70"/>
    <w:rsid w:val="00304A87"/>
    <w:rsid w:val="00304A90"/>
    <w:rsid w:val="00304B64"/>
    <w:rsid w:val="00304B99"/>
    <w:rsid w:val="00304B9B"/>
    <w:rsid w:val="00304D44"/>
    <w:rsid w:val="00304E44"/>
    <w:rsid w:val="0030504F"/>
    <w:rsid w:val="00305078"/>
    <w:rsid w:val="0030507E"/>
    <w:rsid w:val="003050CD"/>
    <w:rsid w:val="00305312"/>
    <w:rsid w:val="00305390"/>
    <w:rsid w:val="003053D3"/>
    <w:rsid w:val="00305435"/>
    <w:rsid w:val="00305611"/>
    <w:rsid w:val="0030569D"/>
    <w:rsid w:val="0030575D"/>
    <w:rsid w:val="0030585C"/>
    <w:rsid w:val="0030586B"/>
    <w:rsid w:val="003058D7"/>
    <w:rsid w:val="003058E0"/>
    <w:rsid w:val="00305926"/>
    <w:rsid w:val="00305A76"/>
    <w:rsid w:val="00305F84"/>
    <w:rsid w:val="003061E3"/>
    <w:rsid w:val="003061F3"/>
    <w:rsid w:val="00306302"/>
    <w:rsid w:val="00306304"/>
    <w:rsid w:val="00306643"/>
    <w:rsid w:val="003066A9"/>
    <w:rsid w:val="003066F3"/>
    <w:rsid w:val="0030680E"/>
    <w:rsid w:val="003068CF"/>
    <w:rsid w:val="00306A2A"/>
    <w:rsid w:val="00306B65"/>
    <w:rsid w:val="00306B69"/>
    <w:rsid w:val="00306CC8"/>
    <w:rsid w:val="00306E4B"/>
    <w:rsid w:val="00306EB2"/>
    <w:rsid w:val="00306EED"/>
    <w:rsid w:val="003070C6"/>
    <w:rsid w:val="0030732F"/>
    <w:rsid w:val="003076A5"/>
    <w:rsid w:val="00307783"/>
    <w:rsid w:val="003079A6"/>
    <w:rsid w:val="003079B7"/>
    <w:rsid w:val="00307A93"/>
    <w:rsid w:val="00307BC1"/>
    <w:rsid w:val="00307D5B"/>
    <w:rsid w:val="00307DBB"/>
    <w:rsid w:val="00307F10"/>
    <w:rsid w:val="00307FDD"/>
    <w:rsid w:val="00310092"/>
    <w:rsid w:val="003100F6"/>
    <w:rsid w:val="00310226"/>
    <w:rsid w:val="0031038F"/>
    <w:rsid w:val="00310565"/>
    <w:rsid w:val="00310612"/>
    <w:rsid w:val="003108E7"/>
    <w:rsid w:val="00310A6D"/>
    <w:rsid w:val="00310C45"/>
    <w:rsid w:val="00310D4F"/>
    <w:rsid w:val="00310D83"/>
    <w:rsid w:val="00310DE7"/>
    <w:rsid w:val="00310EAD"/>
    <w:rsid w:val="00310F7C"/>
    <w:rsid w:val="00311102"/>
    <w:rsid w:val="003111F5"/>
    <w:rsid w:val="00311218"/>
    <w:rsid w:val="00311357"/>
    <w:rsid w:val="00311680"/>
    <w:rsid w:val="003117B7"/>
    <w:rsid w:val="00311A78"/>
    <w:rsid w:val="00311B18"/>
    <w:rsid w:val="00311B6F"/>
    <w:rsid w:val="00311DC3"/>
    <w:rsid w:val="00311FC8"/>
    <w:rsid w:val="00312088"/>
    <w:rsid w:val="003120CA"/>
    <w:rsid w:val="003123C2"/>
    <w:rsid w:val="003123CF"/>
    <w:rsid w:val="0031279E"/>
    <w:rsid w:val="0031284F"/>
    <w:rsid w:val="003128DD"/>
    <w:rsid w:val="003129FC"/>
    <w:rsid w:val="00312B57"/>
    <w:rsid w:val="00312FEE"/>
    <w:rsid w:val="003130E2"/>
    <w:rsid w:val="00313121"/>
    <w:rsid w:val="00313307"/>
    <w:rsid w:val="003133D4"/>
    <w:rsid w:val="00313466"/>
    <w:rsid w:val="00313489"/>
    <w:rsid w:val="00313582"/>
    <w:rsid w:val="0031359B"/>
    <w:rsid w:val="003136E6"/>
    <w:rsid w:val="0031377B"/>
    <w:rsid w:val="0031389F"/>
    <w:rsid w:val="003139E6"/>
    <w:rsid w:val="00313C03"/>
    <w:rsid w:val="00313C93"/>
    <w:rsid w:val="00313EA2"/>
    <w:rsid w:val="0031401A"/>
    <w:rsid w:val="00314131"/>
    <w:rsid w:val="003142B2"/>
    <w:rsid w:val="003143D3"/>
    <w:rsid w:val="0031455C"/>
    <w:rsid w:val="003145AB"/>
    <w:rsid w:val="0031475D"/>
    <w:rsid w:val="00314939"/>
    <w:rsid w:val="00314941"/>
    <w:rsid w:val="00314B49"/>
    <w:rsid w:val="00314B57"/>
    <w:rsid w:val="00314BD9"/>
    <w:rsid w:val="00314C4A"/>
    <w:rsid w:val="00314E71"/>
    <w:rsid w:val="00314EA4"/>
    <w:rsid w:val="00314EC9"/>
    <w:rsid w:val="00314EEF"/>
    <w:rsid w:val="00315239"/>
    <w:rsid w:val="003157A4"/>
    <w:rsid w:val="003157E6"/>
    <w:rsid w:val="00315D55"/>
    <w:rsid w:val="00315E59"/>
    <w:rsid w:val="00316122"/>
    <w:rsid w:val="0031621B"/>
    <w:rsid w:val="0031623E"/>
    <w:rsid w:val="00316BEE"/>
    <w:rsid w:val="00316C76"/>
    <w:rsid w:val="00316F9C"/>
    <w:rsid w:val="003170C2"/>
    <w:rsid w:val="003172AF"/>
    <w:rsid w:val="00317433"/>
    <w:rsid w:val="00317898"/>
    <w:rsid w:val="00317BA1"/>
    <w:rsid w:val="00317D1E"/>
    <w:rsid w:val="00317EBE"/>
    <w:rsid w:val="00317ED7"/>
    <w:rsid w:val="00317F41"/>
    <w:rsid w:val="00317F4A"/>
    <w:rsid w:val="00320357"/>
    <w:rsid w:val="0032038D"/>
    <w:rsid w:val="0032044D"/>
    <w:rsid w:val="00320462"/>
    <w:rsid w:val="0032046B"/>
    <w:rsid w:val="003204AF"/>
    <w:rsid w:val="00320504"/>
    <w:rsid w:val="003205A5"/>
    <w:rsid w:val="00320701"/>
    <w:rsid w:val="00320872"/>
    <w:rsid w:val="00320898"/>
    <w:rsid w:val="003209E7"/>
    <w:rsid w:val="00320B54"/>
    <w:rsid w:val="00320C18"/>
    <w:rsid w:val="00320C6D"/>
    <w:rsid w:val="00320E3F"/>
    <w:rsid w:val="00320FE5"/>
    <w:rsid w:val="003210BC"/>
    <w:rsid w:val="00321191"/>
    <w:rsid w:val="0032129A"/>
    <w:rsid w:val="003212CE"/>
    <w:rsid w:val="0032142B"/>
    <w:rsid w:val="00321597"/>
    <w:rsid w:val="00321700"/>
    <w:rsid w:val="003217A6"/>
    <w:rsid w:val="0032186D"/>
    <w:rsid w:val="00321A9F"/>
    <w:rsid w:val="00321BC9"/>
    <w:rsid w:val="00321C70"/>
    <w:rsid w:val="00321C86"/>
    <w:rsid w:val="00321CC8"/>
    <w:rsid w:val="00321F01"/>
    <w:rsid w:val="00321FD3"/>
    <w:rsid w:val="003221DA"/>
    <w:rsid w:val="003221F6"/>
    <w:rsid w:val="003222C7"/>
    <w:rsid w:val="00322806"/>
    <w:rsid w:val="00322A3C"/>
    <w:rsid w:val="00322E5F"/>
    <w:rsid w:val="00322FAC"/>
    <w:rsid w:val="00323041"/>
    <w:rsid w:val="0032334B"/>
    <w:rsid w:val="003233F9"/>
    <w:rsid w:val="003234A6"/>
    <w:rsid w:val="003234CC"/>
    <w:rsid w:val="003234FF"/>
    <w:rsid w:val="00323791"/>
    <w:rsid w:val="003239F8"/>
    <w:rsid w:val="00323B74"/>
    <w:rsid w:val="00323CD8"/>
    <w:rsid w:val="00323EE4"/>
    <w:rsid w:val="00323F0B"/>
    <w:rsid w:val="003241A6"/>
    <w:rsid w:val="00324250"/>
    <w:rsid w:val="00324452"/>
    <w:rsid w:val="003244B7"/>
    <w:rsid w:val="003245E9"/>
    <w:rsid w:val="00324677"/>
    <w:rsid w:val="00324689"/>
    <w:rsid w:val="00324A85"/>
    <w:rsid w:val="00324BE2"/>
    <w:rsid w:val="00324ECA"/>
    <w:rsid w:val="00325342"/>
    <w:rsid w:val="00325482"/>
    <w:rsid w:val="00325663"/>
    <w:rsid w:val="00325720"/>
    <w:rsid w:val="00325A69"/>
    <w:rsid w:val="00325ABF"/>
    <w:rsid w:val="00325ED6"/>
    <w:rsid w:val="00326344"/>
    <w:rsid w:val="00326629"/>
    <w:rsid w:val="003266C7"/>
    <w:rsid w:val="003267C6"/>
    <w:rsid w:val="00326A91"/>
    <w:rsid w:val="00326E7C"/>
    <w:rsid w:val="00326F1E"/>
    <w:rsid w:val="00326F4E"/>
    <w:rsid w:val="00326FE6"/>
    <w:rsid w:val="0032700B"/>
    <w:rsid w:val="003270ED"/>
    <w:rsid w:val="003272AA"/>
    <w:rsid w:val="0032751A"/>
    <w:rsid w:val="00327772"/>
    <w:rsid w:val="00327BB5"/>
    <w:rsid w:val="00327D04"/>
    <w:rsid w:val="00327D29"/>
    <w:rsid w:val="00327D2B"/>
    <w:rsid w:val="00327E8E"/>
    <w:rsid w:val="00327FFE"/>
    <w:rsid w:val="003301F3"/>
    <w:rsid w:val="00330214"/>
    <w:rsid w:val="00330284"/>
    <w:rsid w:val="003303F0"/>
    <w:rsid w:val="00330433"/>
    <w:rsid w:val="00330484"/>
    <w:rsid w:val="003304A1"/>
    <w:rsid w:val="00330597"/>
    <w:rsid w:val="0033064E"/>
    <w:rsid w:val="00330B85"/>
    <w:rsid w:val="00330B98"/>
    <w:rsid w:val="00330CCD"/>
    <w:rsid w:val="00330FA6"/>
    <w:rsid w:val="003310BB"/>
    <w:rsid w:val="00331155"/>
    <w:rsid w:val="00331177"/>
    <w:rsid w:val="003311C0"/>
    <w:rsid w:val="00331345"/>
    <w:rsid w:val="0033149C"/>
    <w:rsid w:val="0033157B"/>
    <w:rsid w:val="0033178B"/>
    <w:rsid w:val="00331970"/>
    <w:rsid w:val="003322DB"/>
    <w:rsid w:val="00332380"/>
    <w:rsid w:val="003323C4"/>
    <w:rsid w:val="00332597"/>
    <w:rsid w:val="0033265B"/>
    <w:rsid w:val="003326A1"/>
    <w:rsid w:val="00332706"/>
    <w:rsid w:val="00332840"/>
    <w:rsid w:val="00332A8E"/>
    <w:rsid w:val="00332ABE"/>
    <w:rsid w:val="00332AF9"/>
    <w:rsid w:val="00332C4D"/>
    <w:rsid w:val="00332C5F"/>
    <w:rsid w:val="00332C61"/>
    <w:rsid w:val="00332C6F"/>
    <w:rsid w:val="00332CE5"/>
    <w:rsid w:val="00332D42"/>
    <w:rsid w:val="00332D4F"/>
    <w:rsid w:val="0033316A"/>
    <w:rsid w:val="00333204"/>
    <w:rsid w:val="00333224"/>
    <w:rsid w:val="00333316"/>
    <w:rsid w:val="003335BD"/>
    <w:rsid w:val="00333B30"/>
    <w:rsid w:val="00333B3C"/>
    <w:rsid w:val="00333CED"/>
    <w:rsid w:val="00333FA7"/>
    <w:rsid w:val="0033415F"/>
    <w:rsid w:val="003341C3"/>
    <w:rsid w:val="003343CA"/>
    <w:rsid w:val="003346FB"/>
    <w:rsid w:val="00334727"/>
    <w:rsid w:val="00334778"/>
    <w:rsid w:val="00334791"/>
    <w:rsid w:val="003347E0"/>
    <w:rsid w:val="00334846"/>
    <w:rsid w:val="003348EE"/>
    <w:rsid w:val="00334BF5"/>
    <w:rsid w:val="00334C70"/>
    <w:rsid w:val="00334CA9"/>
    <w:rsid w:val="00334E46"/>
    <w:rsid w:val="00334F65"/>
    <w:rsid w:val="00334F9A"/>
    <w:rsid w:val="0033501A"/>
    <w:rsid w:val="003350BC"/>
    <w:rsid w:val="003351AA"/>
    <w:rsid w:val="003351F6"/>
    <w:rsid w:val="0033527C"/>
    <w:rsid w:val="00335343"/>
    <w:rsid w:val="003354C8"/>
    <w:rsid w:val="003356F7"/>
    <w:rsid w:val="00335791"/>
    <w:rsid w:val="003358DE"/>
    <w:rsid w:val="00335A1F"/>
    <w:rsid w:val="00335AB2"/>
    <w:rsid w:val="00335AFE"/>
    <w:rsid w:val="00335BAD"/>
    <w:rsid w:val="00335C3D"/>
    <w:rsid w:val="00335DE2"/>
    <w:rsid w:val="00335EA7"/>
    <w:rsid w:val="00335F85"/>
    <w:rsid w:val="003360AF"/>
    <w:rsid w:val="00336131"/>
    <w:rsid w:val="003365D7"/>
    <w:rsid w:val="00336B4A"/>
    <w:rsid w:val="00336B4B"/>
    <w:rsid w:val="00336CE8"/>
    <w:rsid w:val="00336D62"/>
    <w:rsid w:val="00336DCC"/>
    <w:rsid w:val="00336EC9"/>
    <w:rsid w:val="00336FA3"/>
    <w:rsid w:val="00337159"/>
    <w:rsid w:val="00337242"/>
    <w:rsid w:val="00337291"/>
    <w:rsid w:val="00337315"/>
    <w:rsid w:val="003373C4"/>
    <w:rsid w:val="00337604"/>
    <w:rsid w:val="00337644"/>
    <w:rsid w:val="00337791"/>
    <w:rsid w:val="003377E0"/>
    <w:rsid w:val="00337AC4"/>
    <w:rsid w:val="00337C7E"/>
    <w:rsid w:val="00337E47"/>
    <w:rsid w:val="00337FDD"/>
    <w:rsid w:val="003401BD"/>
    <w:rsid w:val="0034030A"/>
    <w:rsid w:val="003404A0"/>
    <w:rsid w:val="0034075E"/>
    <w:rsid w:val="00340926"/>
    <w:rsid w:val="003409BC"/>
    <w:rsid w:val="00340B14"/>
    <w:rsid w:val="00340CC0"/>
    <w:rsid w:val="00340D19"/>
    <w:rsid w:val="00340E48"/>
    <w:rsid w:val="0034114E"/>
    <w:rsid w:val="003411E2"/>
    <w:rsid w:val="00341244"/>
    <w:rsid w:val="0034124E"/>
    <w:rsid w:val="00341256"/>
    <w:rsid w:val="00341319"/>
    <w:rsid w:val="0034148D"/>
    <w:rsid w:val="00341798"/>
    <w:rsid w:val="0034179B"/>
    <w:rsid w:val="003417D1"/>
    <w:rsid w:val="003418FF"/>
    <w:rsid w:val="00341941"/>
    <w:rsid w:val="0034195E"/>
    <w:rsid w:val="0034196E"/>
    <w:rsid w:val="00341A49"/>
    <w:rsid w:val="00341BAE"/>
    <w:rsid w:val="00341C43"/>
    <w:rsid w:val="00341CAC"/>
    <w:rsid w:val="00341CDE"/>
    <w:rsid w:val="00341E55"/>
    <w:rsid w:val="00341E58"/>
    <w:rsid w:val="00341E83"/>
    <w:rsid w:val="00341ECE"/>
    <w:rsid w:val="00342057"/>
    <w:rsid w:val="0034238A"/>
    <w:rsid w:val="003423ED"/>
    <w:rsid w:val="003424CB"/>
    <w:rsid w:val="00342755"/>
    <w:rsid w:val="003427E0"/>
    <w:rsid w:val="00342951"/>
    <w:rsid w:val="00342B1D"/>
    <w:rsid w:val="003430CC"/>
    <w:rsid w:val="003430CE"/>
    <w:rsid w:val="003432EF"/>
    <w:rsid w:val="00343369"/>
    <w:rsid w:val="00343540"/>
    <w:rsid w:val="0034356D"/>
    <w:rsid w:val="00343645"/>
    <w:rsid w:val="00343709"/>
    <w:rsid w:val="00343718"/>
    <w:rsid w:val="00343721"/>
    <w:rsid w:val="003437C9"/>
    <w:rsid w:val="0034382B"/>
    <w:rsid w:val="0034387C"/>
    <w:rsid w:val="00343930"/>
    <w:rsid w:val="0034398D"/>
    <w:rsid w:val="00343B8D"/>
    <w:rsid w:val="0034408C"/>
    <w:rsid w:val="003440FB"/>
    <w:rsid w:val="00344362"/>
    <w:rsid w:val="003443D2"/>
    <w:rsid w:val="00344406"/>
    <w:rsid w:val="00344592"/>
    <w:rsid w:val="0034497A"/>
    <w:rsid w:val="003449A3"/>
    <w:rsid w:val="00344A04"/>
    <w:rsid w:val="00344A34"/>
    <w:rsid w:val="00344A9B"/>
    <w:rsid w:val="00344E23"/>
    <w:rsid w:val="00344E40"/>
    <w:rsid w:val="0034507F"/>
    <w:rsid w:val="00345157"/>
    <w:rsid w:val="0034532A"/>
    <w:rsid w:val="00345380"/>
    <w:rsid w:val="003457CF"/>
    <w:rsid w:val="0034592E"/>
    <w:rsid w:val="003459D5"/>
    <w:rsid w:val="003459E7"/>
    <w:rsid w:val="00345B59"/>
    <w:rsid w:val="00345C8C"/>
    <w:rsid w:val="00345F52"/>
    <w:rsid w:val="00345F70"/>
    <w:rsid w:val="00346373"/>
    <w:rsid w:val="00346417"/>
    <w:rsid w:val="003465CF"/>
    <w:rsid w:val="00346B48"/>
    <w:rsid w:val="00346F4C"/>
    <w:rsid w:val="0034733D"/>
    <w:rsid w:val="00347447"/>
    <w:rsid w:val="00347569"/>
    <w:rsid w:val="003475DE"/>
    <w:rsid w:val="00347650"/>
    <w:rsid w:val="00347782"/>
    <w:rsid w:val="00347A2B"/>
    <w:rsid w:val="003502C6"/>
    <w:rsid w:val="003503E5"/>
    <w:rsid w:val="0035061E"/>
    <w:rsid w:val="00350663"/>
    <w:rsid w:val="003506D2"/>
    <w:rsid w:val="00350706"/>
    <w:rsid w:val="00350A2F"/>
    <w:rsid w:val="00350CB1"/>
    <w:rsid w:val="00350DD4"/>
    <w:rsid w:val="00350E1B"/>
    <w:rsid w:val="00350E55"/>
    <w:rsid w:val="0035106B"/>
    <w:rsid w:val="003511D0"/>
    <w:rsid w:val="003513DA"/>
    <w:rsid w:val="00351497"/>
    <w:rsid w:val="00351536"/>
    <w:rsid w:val="003515E9"/>
    <w:rsid w:val="0035164D"/>
    <w:rsid w:val="00351783"/>
    <w:rsid w:val="0035197E"/>
    <w:rsid w:val="00351BBD"/>
    <w:rsid w:val="00351ECD"/>
    <w:rsid w:val="0035204D"/>
    <w:rsid w:val="003520AA"/>
    <w:rsid w:val="00352114"/>
    <w:rsid w:val="00352157"/>
    <w:rsid w:val="00352363"/>
    <w:rsid w:val="00352807"/>
    <w:rsid w:val="003528FB"/>
    <w:rsid w:val="0035296F"/>
    <w:rsid w:val="003529A4"/>
    <w:rsid w:val="00352A27"/>
    <w:rsid w:val="00352AE8"/>
    <w:rsid w:val="00352CAF"/>
    <w:rsid w:val="00352CB3"/>
    <w:rsid w:val="00352F37"/>
    <w:rsid w:val="00353071"/>
    <w:rsid w:val="0035332D"/>
    <w:rsid w:val="00353400"/>
    <w:rsid w:val="00353481"/>
    <w:rsid w:val="0035377F"/>
    <w:rsid w:val="00353930"/>
    <w:rsid w:val="00353932"/>
    <w:rsid w:val="00353C23"/>
    <w:rsid w:val="00353E29"/>
    <w:rsid w:val="00353E86"/>
    <w:rsid w:val="00353EB8"/>
    <w:rsid w:val="00354227"/>
    <w:rsid w:val="003542F5"/>
    <w:rsid w:val="003544CD"/>
    <w:rsid w:val="0035476A"/>
    <w:rsid w:val="00354814"/>
    <w:rsid w:val="00354B0E"/>
    <w:rsid w:val="00354B5A"/>
    <w:rsid w:val="00354B66"/>
    <w:rsid w:val="00354D99"/>
    <w:rsid w:val="00354E59"/>
    <w:rsid w:val="00354E7A"/>
    <w:rsid w:val="00354EFD"/>
    <w:rsid w:val="00354F8B"/>
    <w:rsid w:val="00355059"/>
    <w:rsid w:val="0035506B"/>
    <w:rsid w:val="00355191"/>
    <w:rsid w:val="00355413"/>
    <w:rsid w:val="00355648"/>
    <w:rsid w:val="00355654"/>
    <w:rsid w:val="00355987"/>
    <w:rsid w:val="003559F5"/>
    <w:rsid w:val="00355A17"/>
    <w:rsid w:val="00355ABE"/>
    <w:rsid w:val="00355B5A"/>
    <w:rsid w:val="00355C07"/>
    <w:rsid w:val="00355DAF"/>
    <w:rsid w:val="00355DD4"/>
    <w:rsid w:val="003564D3"/>
    <w:rsid w:val="00356630"/>
    <w:rsid w:val="003566D6"/>
    <w:rsid w:val="00356788"/>
    <w:rsid w:val="003569A1"/>
    <w:rsid w:val="00356A6C"/>
    <w:rsid w:val="00356D29"/>
    <w:rsid w:val="00356D34"/>
    <w:rsid w:val="003570B3"/>
    <w:rsid w:val="003571FA"/>
    <w:rsid w:val="0035721C"/>
    <w:rsid w:val="0035728F"/>
    <w:rsid w:val="00357294"/>
    <w:rsid w:val="0035733F"/>
    <w:rsid w:val="003574CB"/>
    <w:rsid w:val="003574E5"/>
    <w:rsid w:val="003575BD"/>
    <w:rsid w:val="00357664"/>
    <w:rsid w:val="003577D6"/>
    <w:rsid w:val="00357870"/>
    <w:rsid w:val="003578D4"/>
    <w:rsid w:val="00357A88"/>
    <w:rsid w:val="00357E20"/>
    <w:rsid w:val="00357EB1"/>
    <w:rsid w:val="00357EC1"/>
    <w:rsid w:val="00360059"/>
    <w:rsid w:val="003600BE"/>
    <w:rsid w:val="003600C4"/>
    <w:rsid w:val="003601BC"/>
    <w:rsid w:val="003604AC"/>
    <w:rsid w:val="0036073A"/>
    <w:rsid w:val="003607BB"/>
    <w:rsid w:val="003607F6"/>
    <w:rsid w:val="00360956"/>
    <w:rsid w:val="00360963"/>
    <w:rsid w:val="003609D9"/>
    <w:rsid w:val="00360A3B"/>
    <w:rsid w:val="00360BC6"/>
    <w:rsid w:val="00360BED"/>
    <w:rsid w:val="00360C13"/>
    <w:rsid w:val="00360FF4"/>
    <w:rsid w:val="003610FC"/>
    <w:rsid w:val="003611CC"/>
    <w:rsid w:val="00361325"/>
    <w:rsid w:val="003614CB"/>
    <w:rsid w:val="003615C5"/>
    <w:rsid w:val="003615CD"/>
    <w:rsid w:val="003618E3"/>
    <w:rsid w:val="003618F7"/>
    <w:rsid w:val="00361E28"/>
    <w:rsid w:val="00361F1C"/>
    <w:rsid w:val="00362012"/>
    <w:rsid w:val="00362033"/>
    <w:rsid w:val="0036204F"/>
    <w:rsid w:val="00362144"/>
    <w:rsid w:val="00362337"/>
    <w:rsid w:val="0036253A"/>
    <w:rsid w:val="00362636"/>
    <w:rsid w:val="00362698"/>
    <w:rsid w:val="00362746"/>
    <w:rsid w:val="00362854"/>
    <w:rsid w:val="003628D2"/>
    <w:rsid w:val="003628E4"/>
    <w:rsid w:val="00362A80"/>
    <w:rsid w:val="00362B11"/>
    <w:rsid w:val="00362B5A"/>
    <w:rsid w:val="00362BE4"/>
    <w:rsid w:val="00362CD2"/>
    <w:rsid w:val="00362D65"/>
    <w:rsid w:val="00362DFB"/>
    <w:rsid w:val="00362E72"/>
    <w:rsid w:val="0036306B"/>
    <w:rsid w:val="00363287"/>
    <w:rsid w:val="00363313"/>
    <w:rsid w:val="00363412"/>
    <w:rsid w:val="0036343A"/>
    <w:rsid w:val="00363525"/>
    <w:rsid w:val="003635F3"/>
    <w:rsid w:val="00363928"/>
    <w:rsid w:val="00363A32"/>
    <w:rsid w:val="00363A61"/>
    <w:rsid w:val="00363AC1"/>
    <w:rsid w:val="00363BD0"/>
    <w:rsid w:val="00363C01"/>
    <w:rsid w:val="00363DAE"/>
    <w:rsid w:val="00363F48"/>
    <w:rsid w:val="0036410C"/>
    <w:rsid w:val="003641A5"/>
    <w:rsid w:val="0036420C"/>
    <w:rsid w:val="0036428C"/>
    <w:rsid w:val="00364295"/>
    <w:rsid w:val="003642A1"/>
    <w:rsid w:val="003642AB"/>
    <w:rsid w:val="003642E0"/>
    <w:rsid w:val="0036431B"/>
    <w:rsid w:val="00364454"/>
    <w:rsid w:val="00364486"/>
    <w:rsid w:val="003644B3"/>
    <w:rsid w:val="0036458A"/>
    <w:rsid w:val="003647C8"/>
    <w:rsid w:val="003648D2"/>
    <w:rsid w:val="00364928"/>
    <w:rsid w:val="00364A42"/>
    <w:rsid w:val="00364CD7"/>
    <w:rsid w:val="00365015"/>
    <w:rsid w:val="0036503A"/>
    <w:rsid w:val="0036506E"/>
    <w:rsid w:val="0036516D"/>
    <w:rsid w:val="003651D1"/>
    <w:rsid w:val="00365263"/>
    <w:rsid w:val="0036545C"/>
    <w:rsid w:val="003655EE"/>
    <w:rsid w:val="0036569E"/>
    <w:rsid w:val="0036583F"/>
    <w:rsid w:val="00365A9F"/>
    <w:rsid w:val="00365AFD"/>
    <w:rsid w:val="00365C05"/>
    <w:rsid w:val="00365E6B"/>
    <w:rsid w:val="0036616A"/>
    <w:rsid w:val="003661EE"/>
    <w:rsid w:val="00366203"/>
    <w:rsid w:val="00366330"/>
    <w:rsid w:val="0036678D"/>
    <w:rsid w:val="003667E2"/>
    <w:rsid w:val="003668F5"/>
    <w:rsid w:val="00366A84"/>
    <w:rsid w:val="00366BCB"/>
    <w:rsid w:val="00366BEF"/>
    <w:rsid w:val="00366BF9"/>
    <w:rsid w:val="00366D5C"/>
    <w:rsid w:val="00366F76"/>
    <w:rsid w:val="00367194"/>
    <w:rsid w:val="003671AF"/>
    <w:rsid w:val="003671C7"/>
    <w:rsid w:val="003672CC"/>
    <w:rsid w:val="00367605"/>
    <w:rsid w:val="00367999"/>
    <w:rsid w:val="003679B5"/>
    <w:rsid w:val="00367A93"/>
    <w:rsid w:val="00367B29"/>
    <w:rsid w:val="00367BE5"/>
    <w:rsid w:val="00367CC6"/>
    <w:rsid w:val="00367D72"/>
    <w:rsid w:val="00367DB3"/>
    <w:rsid w:val="00367DFF"/>
    <w:rsid w:val="00367E8B"/>
    <w:rsid w:val="003700CC"/>
    <w:rsid w:val="003701A0"/>
    <w:rsid w:val="003701F1"/>
    <w:rsid w:val="00370261"/>
    <w:rsid w:val="003702C7"/>
    <w:rsid w:val="003702D8"/>
    <w:rsid w:val="00370699"/>
    <w:rsid w:val="00370782"/>
    <w:rsid w:val="00370908"/>
    <w:rsid w:val="00370922"/>
    <w:rsid w:val="003709BF"/>
    <w:rsid w:val="00370A04"/>
    <w:rsid w:val="00370ADE"/>
    <w:rsid w:val="00370D9D"/>
    <w:rsid w:val="00370E08"/>
    <w:rsid w:val="00370E09"/>
    <w:rsid w:val="00370F6C"/>
    <w:rsid w:val="00370FD4"/>
    <w:rsid w:val="003710F5"/>
    <w:rsid w:val="00371205"/>
    <w:rsid w:val="003713A0"/>
    <w:rsid w:val="0037142F"/>
    <w:rsid w:val="0037147A"/>
    <w:rsid w:val="003714C1"/>
    <w:rsid w:val="003719C3"/>
    <w:rsid w:val="00371A58"/>
    <w:rsid w:val="00371C7A"/>
    <w:rsid w:val="00371D2C"/>
    <w:rsid w:val="00371DE9"/>
    <w:rsid w:val="00371EAC"/>
    <w:rsid w:val="00371ED0"/>
    <w:rsid w:val="00371F40"/>
    <w:rsid w:val="00371FB5"/>
    <w:rsid w:val="00371FEA"/>
    <w:rsid w:val="00371FF5"/>
    <w:rsid w:val="00372218"/>
    <w:rsid w:val="00372336"/>
    <w:rsid w:val="0037235C"/>
    <w:rsid w:val="003723FD"/>
    <w:rsid w:val="003724A2"/>
    <w:rsid w:val="003724DA"/>
    <w:rsid w:val="00372553"/>
    <w:rsid w:val="00372562"/>
    <w:rsid w:val="00372876"/>
    <w:rsid w:val="00372924"/>
    <w:rsid w:val="00372959"/>
    <w:rsid w:val="00372972"/>
    <w:rsid w:val="003729A7"/>
    <w:rsid w:val="00372D57"/>
    <w:rsid w:val="00372E43"/>
    <w:rsid w:val="00372E9B"/>
    <w:rsid w:val="00372EA8"/>
    <w:rsid w:val="00372F9D"/>
    <w:rsid w:val="003731B5"/>
    <w:rsid w:val="00373284"/>
    <w:rsid w:val="003733DD"/>
    <w:rsid w:val="00373460"/>
    <w:rsid w:val="00373514"/>
    <w:rsid w:val="003735CD"/>
    <w:rsid w:val="003735D9"/>
    <w:rsid w:val="003736C5"/>
    <w:rsid w:val="0037387E"/>
    <w:rsid w:val="00373B03"/>
    <w:rsid w:val="00373D03"/>
    <w:rsid w:val="00373F53"/>
    <w:rsid w:val="00374076"/>
    <w:rsid w:val="00374112"/>
    <w:rsid w:val="00374159"/>
    <w:rsid w:val="00374259"/>
    <w:rsid w:val="00374274"/>
    <w:rsid w:val="00374530"/>
    <w:rsid w:val="00374654"/>
    <w:rsid w:val="00374748"/>
    <w:rsid w:val="00374AF3"/>
    <w:rsid w:val="00374BF7"/>
    <w:rsid w:val="00374D59"/>
    <w:rsid w:val="00374D5E"/>
    <w:rsid w:val="00374E03"/>
    <w:rsid w:val="00374E3C"/>
    <w:rsid w:val="00374F63"/>
    <w:rsid w:val="00375038"/>
    <w:rsid w:val="00375275"/>
    <w:rsid w:val="00375326"/>
    <w:rsid w:val="00375370"/>
    <w:rsid w:val="003756A1"/>
    <w:rsid w:val="00375777"/>
    <w:rsid w:val="0037584C"/>
    <w:rsid w:val="00375903"/>
    <w:rsid w:val="00375A12"/>
    <w:rsid w:val="00375EC9"/>
    <w:rsid w:val="00376232"/>
    <w:rsid w:val="003762B2"/>
    <w:rsid w:val="00376383"/>
    <w:rsid w:val="003763E7"/>
    <w:rsid w:val="00376548"/>
    <w:rsid w:val="00376790"/>
    <w:rsid w:val="0037683F"/>
    <w:rsid w:val="003769D4"/>
    <w:rsid w:val="00376A79"/>
    <w:rsid w:val="00376AB8"/>
    <w:rsid w:val="00376CF0"/>
    <w:rsid w:val="00376D67"/>
    <w:rsid w:val="00376E4A"/>
    <w:rsid w:val="0037705E"/>
    <w:rsid w:val="003775BD"/>
    <w:rsid w:val="003779BC"/>
    <w:rsid w:val="003779ED"/>
    <w:rsid w:val="00377A3B"/>
    <w:rsid w:val="00377AC2"/>
    <w:rsid w:val="00377B66"/>
    <w:rsid w:val="00377D78"/>
    <w:rsid w:val="00377D80"/>
    <w:rsid w:val="003800C3"/>
    <w:rsid w:val="0038056E"/>
    <w:rsid w:val="0038079E"/>
    <w:rsid w:val="00380809"/>
    <w:rsid w:val="00380884"/>
    <w:rsid w:val="003808F9"/>
    <w:rsid w:val="003809AF"/>
    <w:rsid w:val="00380B30"/>
    <w:rsid w:val="00380CDA"/>
    <w:rsid w:val="00380D30"/>
    <w:rsid w:val="00380F0F"/>
    <w:rsid w:val="00381072"/>
    <w:rsid w:val="0038119A"/>
    <w:rsid w:val="00381254"/>
    <w:rsid w:val="0038137B"/>
    <w:rsid w:val="00381390"/>
    <w:rsid w:val="003813D6"/>
    <w:rsid w:val="00381638"/>
    <w:rsid w:val="0038166F"/>
    <w:rsid w:val="003816D2"/>
    <w:rsid w:val="0038186E"/>
    <w:rsid w:val="00381943"/>
    <w:rsid w:val="00381D89"/>
    <w:rsid w:val="00381DAB"/>
    <w:rsid w:val="00381E19"/>
    <w:rsid w:val="00381E2E"/>
    <w:rsid w:val="00381F41"/>
    <w:rsid w:val="003822B4"/>
    <w:rsid w:val="00382565"/>
    <w:rsid w:val="00382574"/>
    <w:rsid w:val="00382634"/>
    <w:rsid w:val="003827A4"/>
    <w:rsid w:val="0038280C"/>
    <w:rsid w:val="00382A8E"/>
    <w:rsid w:val="00382BBA"/>
    <w:rsid w:val="00382D93"/>
    <w:rsid w:val="00382DD0"/>
    <w:rsid w:val="00382E09"/>
    <w:rsid w:val="00382F4B"/>
    <w:rsid w:val="00382F96"/>
    <w:rsid w:val="00383025"/>
    <w:rsid w:val="0038343C"/>
    <w:rsid w:val="00383479"/>
    <w:rsid w:val="00383620"/>
    <w:rsid w:val="00383772"/>
    <w:rsid w:val="00383778"/>
    <w:rsid w:val="0038382F"/>
    <w:rsid w:val="0038394E"/>
    <w:rsid w:val="00383AD0"/>
    <w:rsid w:val="00383D84"/>
    <w:rsid w:val="00383FC4"/>
    <w:rsid w:val="0038415E"/>
    <w:rsid w:val="0038429E"/>
    <w:rsid w:val="00384484"/>
    <w:rsid w:val="00384535"/>
    <w:rsid w:val="003848F0"/>
    <w:rsid w:val="00384A60"/>
    <w:rsid w:val="00384A69"/>
    <w:rsid w:val="00384B11"/>
    <w:rsid w:val="00384BCD"/>
    <w:rsid w:val="00384E0E"/>
    <w:rsid w:val="003851EF"/>
    <w:rsid w:val="003852CD"/>
    <w:rsid w:val="003852EE"/>
    <w:rsid w:val="00385375"/>
    <w:rsid w:val="00385537"/>
    <w:rsid w:val="00385598"/>
    <w:rsid w:val="0038571E"/>
    <w:rsid w:val="00385ABE"/>
    <w:rsid w:val="00385BE1"/>
    <w:rsid w:val="00385F7B"/>
    <w:rsid w:val="0038602F"/>
    <w:rsid w:val="0038604D"/>
    <w:rsid w:val="00386113"/>
    <w:rsid w:val="003861C2"/>
    <w:rsid w:val="00386209"/>
    <w:rsid w:val="00386422"/>
    <w:rsid w:val="00386584"/>
    <w:rsid w:val="003865B9"/>
    <w:rsid w:val="0038665A"/>
    <w:rsid w:val="00386AB5"/>
    <w:rsid w:val="00386AED"/>
    <w:rsid w:val="00386AEE"/>
    <w:rsid w:val="00386B9B"/>
    <w:rsid w:val="00386BE5"/>
    <w:rsid w:val="00386C41"/>
    <w:rsid w:val="00386CFB"/>
    <w:rsid w:val="00386EAA"/>
    <w:rsid w:val="00387218"/>
    <w:rsid w:val="0038726A"/>
    <w:rsid w:val="003873D2"/>
    <w:rsid w:val="003873F0"/>
    <w:rsid w:val="00387813"/>
    <w:rsid w:val="003878BD"/>
    <w:rsid w:val="003878BF"/>
    <w:rsid w:val="00387989"/>
    <w:rsid w:val="00387A46"/>
    <w:rsid w:val="00387A56"/>
    <w:rsid w:val="00387B14"/>
    <w:rsid w:val="00387B1C"/>
    <w:rsid w:val="00387BA2"/>
    <w:rsid w:val="00387C91"/>
    <w:rsid w:val="00387E81"/>
    <w:rsid w:val="00387F1C"/>
    <w:rsid w:val="00387F2F"/>
    <w:rsid w:val="00387FA4"/>
    <w:rsid w:val="00387FBB"/>
    <w:rsid w:val="00390186"/>
    <w:rsid w:val="0039020D"/>
    <w:rsid w:val="0039026C"/>
    <w:rsid w:val="003903B4"/>
    <w:rsid w:val="003903E3"/>
    <w:rsid w:val="00390802"/>
    <w:rsid w:val="003908D2"/>
    <w:rsid w:val="00390913"/>
    <w:rsid w:val="00390968"/>
    <w:rsid w:val="00390C9B"/>
    <w:rsid w:val="00390DAA"/>
    <w:rsid w:val="00390F2A"/>
    <w:rsid w:val="003910E2"/>
    <w:rsid w:val="00391132"/>
    <w:rsid w:val="003911C1"/>
    <w:rsid w:val="00391388"/>
    <w:rsid w:val="00391565"/>
    <w:rsid w:val="0039156E"/>
    <w:rsid w:val="003915E0"/>
    <w:rsid w:val="00391701"/>
    <w:rsid w:val="00391729"/>
    <w:rsid w:val="003917EB"/>
    <w:rsid w:val="00391AC1"/>
    <w:rsid w:val="00391AC9"/>
    <w:rsid w:val="00391B6A"/>
    <w:rsid w:val="00391C07"/>
    <w:rsid w:val="00391C80"/>
    <w:rsid w:val="00391C84"/>
    <w:rsid w:val="00391D58"/>
    <w:rsid w:val="00391F0D"/>
    <w:rsid w:val="00391F36"/>
    <w:rsid w:val="00392207"/>
    <w:rsid w:val="003922D5"/>
    <w:rsid w:val="0039232B"/>
    <w:rsid w:val="003923FA"/>
    <w:rsid w:val="00392474"/>
    <w:rsid w:val="003924C1"/>
    <w:rsid w:val="003925EF"/>
    <w:rsid w:val="003926AE"/>
    <w:rsid w:val="003927E7"/>
    <w:rsid w:val="00392A10"/>
    <w:rsid w:val="00392BF4"/>
    <w:rsid w:val="00392D45"/>
    <w:rsid w:val="00392E5F"/>
    <w:rsid w:val="00393025"/>
    <w:rsid w:val="0039314E"/>
    <w:rsid w:val="00393207"/>
    <w:rsid w:val="003933C2"/>
    <w:rsid w:val="003933E4"/>
    <w:rsid w:val="00393457"/>
    <w:rsid w:val="00393698"/>
    <w:rsid w:val="003937BF"/>
    <w:rsid w:val="00393965"/>
    <w:rsid w:val="00393AA6"/>
    <w:rsid w:val="00393B8A"/>
    <w:rsid w:val="00393CCE"/>
    <w:rsid w:val="00393E94"/>
    <w:rsid w:val="00393EA9"/>
    <w:rsid w:val="00393F97"/>
    <w:rsid w:val="00394059"/>
    <w:rsid w:val="003945CE"/>
    <w:rsid w:val="003945ED"/>
    <w:rsid w:val="0039460E"/>
    <w:rsid w:val="003946C6"/>
    <w:rsid w:val="003947BA"/>
    <w:rsid w:val="00394C57"/>
    <w:rsid w:val="00394CEB"/>
    <w:rsid w:val="00394F6B"/>
    <w:rsid w:val="0039530E"/>
    <w:rsid w:val="003955A1"/>
    <w:rsid w:val="0039568D"/>
    <w:rsid w:val="003957A3"/>
    <w:rsid w:val="003957CF"/>
    <w:rsid w:val="00395864"/>
    <w:rsid w:val="00395B55"/>
    <w:rsid w:val="00395F2A"/>
    <w:rsid w:val="00396187"/>
    <w:rsid w:val="003962CE"/>
    <w:rsid w:val="003963C1"/>
    <w:rsid w:val="003964C1"/>
    <w:rsid w:val="00396695"/>
    <w:rsid w:val="003966D8"/>
    <w:rsid w:val="003968AC"/>
    <w:rsid w:val="003969BB"/>
    <w:rsid w:val="00396AD5"/>
    <w:rsid w:val="00396B94"/>
    <w:rsid w:val="00396C77"/>
    <w:rsid w:val="00396D2C"/>
    <w:rsid w:val="00396E48"/>
    <w:rsid w:val="00396EEB"/>
    <w:rsid w:val="00396EEE"/>
    <w:rsid w:val="00396F82"/>
    <w:rsid w:val="00396FE6"/>
    <w:rsid w:val="0039701C"/>
    <w:rsid w:val="00397026"/>
    <w:rsid w:val="003970D0"/>
    <w:rsid w:val="00397257"/>
    <w:rsid w:val="0039727D"/>
    <w:rsid w:val="00397467"/>
    <w:rsid w:val="00397539"/>
    <w:rsid w:val="003978C7"/>
    <w:rsid w:val="003979D8"/>
    <w:rsid w:val="00397A25"/>
    <w:rsid w:val="00397FDF"/>
    <w:rsid w:val="003A0083"/>
    <w:rsid w:val="003A009D"/>
    <w:rsid w:val="003A057C"/>
    <w:rsid w:val="003A078E"/>
    <w:rsid w:val="003A081F"/>
    <w:rsid w:val="003A0959"/>
    <w:rsid w:val="003A09DE"/>
    <w:rsid w:val="003A0AC5"/>
    <w:rsid w:val="003A0ADC"/>
    <w:rsid w:val="003A0E5D"/>
    <w:rsid w:val="003A0F42"/>
    <w:rsid w:val="003A10AE"/>
    <w:rsid w:val="003A10BC"/>
    <w:rsid w:val="003A1127"/>
    <w:rsid w:val="003A12E5"/>
    <w:rsid w:val="003A1377"/>
    <w:rsid w:val="003A148C"/>
    <w:rsid w:val="003A15AA"/>
    <w:rsid w:val="003A197F"/>
    <w:rsid w:val="003A1A2D"/>
    <w:rsid w:val="003A1A40"/>
    <w:rsid w:val="003A1B1D"/>
    <w:rsid w:val="003A1C50"/>
    <w:rsid w:val="003A1CBA"/>
    <w:rsid w:val="003A1D54"/>
    <w:rsid w:val="003A1D91"/>
    <w:rsid w:val="003A1E90"/>
    <w:rsid w:val="003A20BE"/>
    <w:rsid w:val="003A2535"/>
    <w:rsid w:val="003A262A"/>
    <w:rsid w:val="003A27B0"/>
    <w:rsid w:val="003A27E3"/>
    <w:rsid w:val="003A287D"/>
    <w:rsid w:val="003A2A64"/>
    <w:rsid w:val="003A2AD5"/>
    <w:rsid w:val="003A2B3E"/>
    <w:rsid w:val="003A2B9B"/>
    <w:rsid w:val="003A2BAB"/>
    <w:rsid w:val="003A2C04"/>
    <w:rsid w:val="003A2D28"/>
    <w:rsid w:val="003A2EDE"/>
    <w:rsid w:val="003A2EFA"/>
    <w:rsid w:val="003A2F3D"/>
    <w:rsid w:val="003A3123"/>
    <w:rsid w:val="003A33F5"/>
    <w:rsid w:val="003A36CA"/>
    <w:rsid w:val="003A37FB"/>
    <w:rsid w:val="003A38D1"/>
    <w:rsid w:val="003A38E3"/>
    <w:rsid w:val="003A3957"/>
    <w:rsid w:val="003A3A49"/>
    <w:rsid w:val="003A3BA8"/>
    <w:rsid w:val="003A3CDE"/>
    <w:rsid w:val="003A3CF3"/>
    <w:rsid w:val="003A3DCB"/>
    <w:rsid w:val="003A401F"/>
    <w:rsid w:val="003A40CA"/>
    <w:rsid w:val="003A424B"/>
    <w:rsid w:val="003A430C"/>
    <w:rsid w:val="003A43C0"/>
    <w:rsid w:val="003A4B03"/>
    <w:rsid w:val="003A4B77"/>
    <w:rsid w:val="003A4DF2"/>
    <w:rsid w:val="003A4F8E"/>
    <w:rsid w:val="003A506A"/>
    <w:rsid w:val="003A50A0"/>
    <w:rsid w:val="003A50AA"/>
    <w:rsid w:val="003A50B5"/>
    <w:rsid w:val="003A516F"/>
    <w:rsid w:val="003A51A4"/>
    <w:rsid w:val="003A5208"/>
    <w:rsid w:val="003A529A"/>
    <w:rsid w:val="003A529C"/>
    <w:rsid w:val="003A5361"/>
    <w:rsid w:val="003A5607"/>
    <w:rsid w:val="003A5943"/>
    <w:rsid w:val="003A5A1D"/>
    <w:rsid w:val="003A5B06"/>
    <w:rsid w:val="003A5BED"/>
    <w:rsid w:val="003A5E39"/>
    <w:rsid w:val="003A5E9E"/>
    <w:rsid w:val="003A5FC9"/>
    <w:rsid w:val="003A6236"/>
    <w:rsid w:val="003A6373"/>
    <w:rsid w:val="003A63D0"/>
    <w:rsid w:val="003A65EE"/>
    <w:rsid w:val="003A675E"/>
    <w:rsid w:val="003A6766"/>
    <w:rsid w:val="003A6865"/>
    <w:rsid w:val="003A6A12"/>
    <w:rsid w:val="003A6B55"/>
    <w:rsid w:val="003A6B9D"/>
    <w:rsid w:val="003A6CB7"/>
    <w:rsid w:val="003A6CFF"/>
    <w:rsid w:val="003A6E0B"/>
    <w:rsid w:val="003A6E94"/>
    <w:rsid w:val="003A7091"/>
    <w:rsid w:val="003A7120"/>
    <w:rsid w:val="003A722F"/>
    <w:rsid w:val="003A73AA"/>
    <w:rsid w:val="003A7467"/>
    <w:rsid w:val="003A756C"/>
    <w:rsid w:val="003A75EC"/>
    <w:rsid w:val="003A7746"/>
    <w:rsid w:val="003A778E"/>
    <w:rsid w:val="003A7792"/>
    <w:rsid w:val="003A7797"/>
    <w:rsid w:val="003A7841"/>
    <w:rsid w:val="003A7962"/>
    <w:rsid w:val="003A79C4"/>
    <w:rsid w:val="003A7A41"/>
    <w:rsid w:val="003A7A6B"/>
    <w:rsid w:val="003A7B8F"/>
    <w:rsid w:val="003A7DE0"/>
    <w:rsid w:val="003A7DE7"/>
    <w:rsid w:val="003A7E6C"/>
    <w:rsid w:val="003A7E98"/>
    <w:rsid w:val="003B0108"/>
    <w:rsid w:val="003B029E"/>
    <w:rsid w:val="003B030E"/>
    <w:rsid w:val="003B03DE"/>
    <w:rsid w:val="003B0851"/>
    <w:rsid w:val="003B08A8"/>
    <w:rsid w:val="003B08E4"/>
    <w:rsid w:val="003B0BBD"/>
    <w:rsid w:val="003B0D38"/>
    <w:rsid w:val="003B0D5E"/>
    <w:rsid w:val="003B0E1C"/>
    <w:rsid w:val="003B0F77"/>
    <w:rsid w:val="003B0F7B"/>
    <w:rsid w:val="003B10C0"/>
    <w:rsid w:val="003B1104"/>
    <w:rsid w:val="003B13D4"/>
    <w:rsid w:val="003B14CE"/>
    <w:rsid w:val="003B15F7"/>
    <w:rsid w:val="003B1840"/>
    <w:rsid w:val="003B185A"/>
    <w:rsid w:val="003B1A4F"/>
    <w:rsid w:val="003B1ADE"/>
    <w:rsid w:val="003B1DE3"/>
    <w:rsid w:val="003B1F04"/>
    <w:rsid w:val="003B2747"/>
    <w:rsid w:val="003B29BF"/>
    <w:rsid w:val="003B2B0E"/>
    <w:rsid w:val="003B2BF2"/>
    <w:rsid w:val="003B2C20"/>
    <w:rsid w:val="003B2CB7"/>
    <w:rsid w:val="003B2D33"/>
    <w:rsid w:val="003B2DE9"/>
    <w:rsid w:val="003B3391"/>
    <w:rsid w:val="003B3439"/>
    <w:rsid w:val="003B3497"/>
    <w:rsid w:val="003B3572"/>
    <w:rsid w:val="003B368F"/>
    <w:rsid w:val="003B377D"/>
    <w:rsid w:val="003B3E4E"/>
    <w:rsid w:val="003B3FEB"/>
    <w:rsid w:val="003B4001"/>
    <w:rsid w:val="003B4034"/>
    <w:rsid w:val="003B4105"/>
    <w:rsid w:val="003B422D"/>
    <w:rsid w:val="003B4242"/>
    <w:rsid w:val="003B47DF"/>
    <w:rsid w:val="003B480F"/>
    <w:rsid w:val="003B4C08"/>
    <w:rsid w:val="003B4C3F"/>
    <w:rsid w:val="003B4CC8"/>
    <w:rsid w:val="003B4CD6"/>
    <w:rsid w:val="003B4E99"/>
    <w:rsid w:val="003B5008"/>
    <w:rsid w:val="003B5159"/>
    <w:rsid w:val="003B5599"/>
    <w:rsid w:val="003B568E"/>
    <w:rsid w:val="003B59AA"/>
    <w:rsid w:val="003B5A2B"/>
    <w:rsid w:val="003B5C29"/>
    <w:rsid w:val="003B5EC9"/>
    <w:rsid w:val="003B5F2C"/>
    <w:rsid w:val="003B6076"/>
    <w:rsid w:val="003B60AE"/>
    <w:rsid w:val="003B6100"/>
    <w:rsid w:val="003B64A1"/>
    <w:rsid w:val="003B67FB"/>
    <w:rsid w:val="003B6805"/>
    <w:rsid w:val="003B694C"/>
    <w:rsid w:val="003B698A"/>
    <w:rsid w:val="003B69CD"/>
    <w:rsid w:val="003B6B0B"/>
    <w:rsid w:val="003B6CA9"/>
    <w:rsid w:val="003B6E90"/>
    <w:rsid w:val="003B6E9E"/>
    <w:rsid w:val="003B70F0"/>
    <w:rsid w:val="003B710F"/>
    <w:rsid w:val="003B7586"/>
    <w:rsid w:val="003B779F"/>
    <w:rsid w:val="003B7A44"/>
    <w:rsid w:val="003B7B0F"/>
    <w:rsid w:val="003B7CDB"/>
    <w:rsid w:val="003B7D93"/>
    <w:rsid w:val="003B7E2E"/>
    <w:rsid w:val="003C0228"/>
    <w:rsid w:val="003C025C"/>
    <w:rsid w:val="003C058D"/>
    <w:rsid w:val="003C0600"/>
    <w:rsid w:val="003C0774"/>
    <w:rsid w:val="003C08D3"/>
    <w:rsid w:val="003C0967"/>
    <w:rsid w:val="003C0B65"/>
    <w:rsid w:val="003C0F20"/>
    <w:rsid w:val="003C1029"/>
    <w:rsid w:val="003C1039"/>
    <w:rsid w:val="003C169D"/>
    <w:rsid w:val="003C1862"/>
    <w:rsid w:val="003C18BB"/>
    <w:rsid w:val="003C1948"/>
    <w:rsid w:val="003C19AC"/>
    <w:rsid w:val="003C1B1C"/>
    <w:rsid w:val="003C1BA0"/>
    <w:rsid w:val="003C1D2E"/>
    <w:rsid w:val="003C1DAC"/>
    <w:rsid w:val="003C1E39"/>
    <w:rsid w:val="003C1E90"/>
    <w:rsid w:val="003C21D6"/>
    <w:rsid w:val="003C22CE"/>
    <w:rsid w:val="003C22E6"/>
    <w:rsid w:val="003C22ED"/>
    <w:rsid w:val="003C23AB"/>
    <w:rsid w:val="003C2405"/>
    <w:rsid w:val="003C2461"/>
    <w:rsid w:val="003C246C"/>
    <w:rsid w:val="003C2564"/>
    <w:rsid w:val="003C25C3"/>
    <w:rsid w:val="003C25F0"/>
    <w:rsid w:val="003C25F4"/>
    <w:rsid w:val="003C26A2"/>
    <w:rsid w:val="003C27FD"/>
    <w:rsid w:val="003C2836"/>
    <w:rsid w:val="003C2979"/>
    <w:rsid w:val="003C2B03"/>
    <w:rsid w:val="003C2BE9"/>
    <w:rsid w:val="003C2C77"/>
    <w:rsid w:val="003C2DB1"/>
    <w:rsid w:val="003C2F04"/>
    <w:rsid w:val="003C319B"/>
    <w:rsid w:val="003C31A0"/>
    <w:rsid w:val="003C3307"/>
    <w:rsid w:val="003C3312"/>
    <w:rsid w:val="003C3470"/>
    <w:rsid w:val="003C348A"/>
    <w:rsid w:val="003C34B9"/>
    <w:rsid w:val="003C373A"/>
    <w:rsid w:val="003C37FD"/>
    <w:rsid w:val="003C392C"/>
    <w:rsid w:val="003C3AF1"/>
    <w:rsid w:val="003C3D58"/>
    <w:rsid w:val="003C3E90"/>
    <w:rsid w:val="003C422C"/>
    <w:rsid w:val="003C4456"/>
    <w:rsid w:val="003C449A"/>
    <w:rsid w:val="003C466E"/>
    <w:rsid w:val="003C46C0"/>
    <w:rsid w:val="003C4B5B"/>
    <w:rsid w:val="003C4D69"/>
    <w:rsid w:val="003C4E4E"/>
    <w:rsid w:val="003C4F8B"/>
    <w:rsid w:val="003C523E"/>
    <w:rsid w:val="003C5271"/>
    <w:rsid w:val="003C56C1"/>
    <w:rsid w:val="003C5719"/>
    <w:rsid w:val="003C588F"/>
    <w:rsid w:val="003C5909"/>
    <w:rsid w:val="003C5B64"/>
    <w:rsid w:val="003C5C30"/>
    <w:rsid w:val="003C5C5D"/>
    <w:rsid w:val="003C5C5E"/>
    <w:rsid w:val="003C5D4D"/>
    <w:rsid w:val="003C5E7D"/>
    <w:rsid w:val="003C5EEC"/>
    <w:rsid w:val="003C5F6B"/>
    <w:rsid w:val="003C6128"/>
    <w:rsid w:val="003C6199"/>
    <w:rsid w:val="003C62DA"/>
    <w:rsid w:val="003C64C1"/>
    <w:rsid w:val="003C652D"/>
    <w:rsid w:val="003C6593"/>
    <w:rsid w:val="003C6601"/>
    <w:rsid w:val="003C66B3"/>
    <w:rsid w:val="003C66F8"/>
    <w:rsid w:val="003C672D"/>
    <w:rsid w:val="003C6914"/>
    <w:rsid w:val="003C6AC4"/>
    <w:rsid w:val="003C6CA3"/>
    <w:rsid w:val="003C6FD9"/>
    <w:rsid w:val="003C708E"/>
    <w:rsid w:val="003C70CC"/>
    <w:rsid w:val="003C72B7"/>
    <w:rsid w:val="003C7464"/>
    <w:rsid w:val="003C7799"/>
    <w:rsid w:val="003C783D"/>
    <w:rsid w:val="003C7A3C"/>
    <w:rsid w:val="003C7A75"/>
    <w:rsid w:val="003C7B12"/>
    <w:rsid w:val="003C7B87"/>
    <w:rsid w:val="003C7BC0"/>
    <w:rsid w:val="003C7CE9"/>
    <w:rsid w:val="003C7E86"/>
    <w:rsid w:val="003C7ECB"/>
    <w:rsid w:val="003D0255"/>
    <w:rsid w:val="003D033D"/>
    <w:rsid w:val="003D03A0"/>
    <w:rsid w:val="003D0427"/>
    <w:rsid w:val="003D07E9"/>
    <w:rsid w:val="003D09E6"/>
    <w:rsid w:val="003D0AE3"/>
    <w:rsid w:val="003D0BDC"/>
    <w:rsid w:val="003D0EF6"/>
    <w:rsid w:val="003D0F9D"/>
    <w:rsid w:val="003D0FA9"/>
    <w:rsid w:val="003D11E2"/>
    <w:rsid w:val="003D12A1"/>
    <w:rsid w:val="003D1388"/>
    <w:rsid w:val="003D1390"/>
    <w:rsid w:val="003D139A"/>
    <w:rsid w:val="003D1441"/>
    <w:rsid w:val="003D155D"/>
    <w:rsid w:val="003D1643"/>
    <w:rsid w:val="003D16CD"/>
    <w:rsid w:val="003D16F0"/>
    <w:rsid w:val="003D17D0"/>
    <w:rsid w:val="003D18D0"/>
    <w:rsid w:val="003D1AD2"/>
    <w:rsid w:val="003D1AF7"/>
    <w:rsid w:val="003D1D21"/>
    <w:rsid w:val="003D1DE7"/>
    <w:rsid w:val="003D1E48"/>
    <w:rsid w:val="003D1E7E"/>
    <w:rsid w:val="003D1F54"/>
    <w:rsid w:val="003D1FBD"/>
    <w:rsid w:val="003D207A"/>
    <w:rsid w:val="003D2150"/>
    <w:rsid w:val="003D2251"/>
    <w:rsid w:val="003D227F"/>
    <w:rsid w:val="003D238C"/>
    <w:rsid w:val="003D2446"/>
    <w:rsid w:val="003D2739"/>
    <w:rsid w:val="003D274E"/>
    <w:rsid w:val="003D2978"/>
    <w:rsid w:val="003D298C"/>
    <w:rsid w:val="003D2A40"/>
    <w:rsid w:val="003D2A99"/>
    <w:rsid w:val="003D2CE1"/>
    <w:rsid w:val="003D2E0D"/>
    <w:rsid w:val="003D2FBB"/>
    <w:rsid w:val="003D3099"/>
    <w:rsid w:val="003D3128"/>
    <w:rsid w:val="003D3363"/>
    <w:rsid w:val="003D34CC"/>
    <w:rsid w:val="003D362F"/>
    <w:rsid w:val="003D3684"/>
    <w:rsid w:val="003D399B"/>
    <w:rsid w:val="003D3B1F"/>
    <w:rsid w:val="003D3B3A"/>
    <w:rsid w:val="003D3B3D"/>
    <w:rsid w:val="003D3B3E"/>
    <w:rsid w:val="003D3B6D"/>
    <w:rsid w:val="003D3B8F"/>
    <w:rsid w:val="003D3D49"/>
    <w:rsid w:val="003D3E11"/>
    <w:rsid w:val="003D4224"/>
    <w:rsid w:val="003D426C"/>
    <w:rsid w:val="003D4292"/>
    <w:rsid w:val="003D4314"/>
    <w:rsid w:val="003D43E7"/>
    <w:rsid w:val="003D4465"/>
    <w:rsid w:val="003D4552"/>
    <w:rsid w:val="003D45AF"/>
    <w:rsid w:val="003D46FA"/>
    <w:rsid w:val="003D47F7"/>
    <w:rsid w:val="003D48C4"/>
    <w:rsid w:val="003D49B7"/>
    <w:rsid w:val="003D49D0"/>
    <w:rsid w:val="003D4AA4"/>
    <w:rsid w:val="003D4C50"/>
    <w:rsid w:val="003D4CDD"/>
    <w:rsid w:val="003D4E7F"/>
    <w:rsid w:val="003D4E88"/>
    <w:rsid w:val="003D4F31"/>
    <w:rsid w:val="003D50E0"/>
    <w:rsid w:val="003D51C4"/>
    <w:rsid w:val="003D524C"/>
    <w:rsid w:val="003D54DB"/>
    <w:rsid w:val="003D555A"/>
    <w:rsid w:val="003D5588"/>
    <w:rsid w:val="003D5871"/>
    <w:rsid w:val="003D58DE"/>
    <w:rsid w:val="003D596B"/>
    <w:rsid w:val="003D599A"/>
    <w:rsid w:val="003D59B4"/>
    <w:rsid w:val="003D5CA1"/>
    <w:rsid w:val="003D60A1"/>
    <w:rsid w:val="003D617B"/>
    <w:rsid w:val="003D62ED"/>
    <w:rsid w:val="003D640D"/>
    <w:rsid w:val="003D66B3"/>
    <w:rsid w:val="003D6783"/>
    <w:rsid w:val="003D6923"/>
    <w:rsid w:val="003D6A23"/>
    <w:rsid w:val="003D6B4B"/>
    <w:rsid w:val="003D6D0D"/>
    <w:rsid w:val="003D6DA4"/>
    <w:rsid w:val="003D6DE0"/>
    <w:rsid w:val="003D6E55"/>
    <w:rsid w:val="003D6E9D"/>
    <w:rsid w:val="003D7042"/>
    <w:rsid w:val="003D709E"/>
    <w:rsid w:val="003D72D1"/>
    <w:rsid w:val="003D737B"/>
    <w:rsid w:val="003D73E5"/>
    <w:rsid w:val="003D751C"/>
    <w:rsid w:val="003D7645"/>
    <w:rsid w:val="003D76D1"/>
    <w:rsid w:val="003D7705"/>
    <w:rsid w:val="003D79C4"/>
    <w:rsid w:val="003D7BC0"/>
    <w:rsid w:val="003D7E9D"/>
    <w:rsid w:val="003D7FDF"/>
    <w:rsid w:val="003E001C"/>
    <w:rsid w:val="003E0089"/>
    <w:rsid w:val="003E00AC"/>
    <w:rsid w:val="003E00DE"/>
    <w:rsid w:val="003E0217"/>
    <w:rsid w:val="003E02C4"/>
    <w:rsid w:val="003E03C3"/>
    <w:rsid w:val="003E0582"/>
    <w:rsid w:val="003E0613"/>
    <w:rsid w:val="003E062D"/>
    <w:rsid w:val="003E0843"/>
    <w:rsid w:val="003E0D23"/>
    <w:rsid w:val="003E0D49"/>
    <w:rsid w:val="003E0FFA"/>
    <w:rsid w:val="003E129C"/>
    <w:rsid w:val="003E1307"/>
    <w:rsid w:val="003E135A"/>
    <w:rsid w:val="003E14DF"/>
    <w:rsid w:val="003E160A"/>
    <w:rsid w:val="003E165A"/>
    <w:rsid w:val="003E1779"/>
    <w:rsid w:val="003E18A7"/>
    <w:rsid w:val="003E1CFA"/>
    <w:rsid w:val="003E1E9B"/>
    <w:rsid w:val="003E1EDC"/>
    <w:rsid w:val="003E1EE6"/>
    <w:rsid w:val="003E1F5B"/>
    <w:rsid w:val="003E1FAA"/>
    <w:rsid w:val="003E20AB"/>
    <w:rsid w:val="003E20BD"/>
    <w:rsid w:val="003E22CF"/>
    <w:rsid w:val="003E242A"/>
    <w:rsid w:val="003E24F0"/>
    <w:rsid w:val="003E2718"/>
    <w:rsid w:val="003E2766"/>
    <w:rsid w:val="003E27F2"/>
    <w:rsid w:val="003E29BD"/>
    <w:rsid w:val="003E2B4C"/>
    <w:rsid w:val="003E2DAE"/>
    <w:rsid w:val="003E2E1E"/>
    <w:rsid w:val="003E2F3C"/>
    <w:rsid w:val="003E2FF5"/>
    <w:rsid w:val="003E31E4"/>
    <w:rsid w:val="003E3236"/>
    <w:rsid w:val="003E336D"/>
    <w:rsid w:val="003E3572"/>
    <w:rsid w:val="003E3574"/>
    <w:rsid w:val="003E35B8"/>
    <w:rsid w:val="003E3694"/>
    <w:rsid w:val="003E36BA"/>
    <w:rsid w:val="003E37E3"/>
    <w:rsid w:val="003E3803"/>
    <w:rsid w:val="003E39EF"/>
    <w:rsid w:val="003E3D5C"/>
    <w:rsid w:val="003E3EDD"/>
    <w:rsid w:val="003E3F41"/>
    <w:rsid w:val="003E3FF6"/>
    <w:rsid w:val="003E40C6"/>
    <w:rsid w:val="003E4139"/>
    <w:rsid w:val="003E4191"/>
    <w:rsid w:val="003E424B"/>
    <w:rsid w:val="003E42D4"/>
    <w:rsid w:val="003E4437"/>
    <w:rsid w:val="003E44D1"/>
    <w:rsid w:val="003E46BB"/>
    <w:rsid w:val="003E46F9"/>
    <w:rsid w:val="003E4763"/>
    <w:rsid w:val="003E49E6"/>
    <w:rsid w:val="003E4C22"/>
    <w:rsid w:val="003E4C58"/>
    <w:rsid w:val="003E4D3D"/>
    <w:rsid w:val="003E4E4B"/>
    <w:rsid w:val="003E4F79"/>
    <w:rsid w:val="003E514D"/>
    <w:rsid w:val="003E529D"/>
    <w:rsid w:val="003E534C"/>
    <w:rsid w:val="003E56B7"/>
    <w:rsid w:val="003E57EA"/>
    <w:rsid w:val="003E5840"/>
    <w:rsid w:val="003E594D"/>
    <w:rsid w:val="003E59E3"/>
    <w:rsid w:val="003E5A10"/>
    <w:rsid w:val="003E5B4E"/>
    <w:rsid w:val="003E5B82"/>
    <w:rsid w:val="003E5BD7"/>
    <w:rsid w:val="003E5C29"/>
    <w:rsid w:val="003E5FC0"/>
    <w:rsid w:val="003E6135"/>
    <w:rsid w:val="003E6215"/>
    <w:rsid w:val="003E62C4"/>
    <w:rsid w:val="003E633C"/>
    <w:rsid w:val="003E64AD"/>
    <w:rsid w:val="003E6501"/>
    <w:rsid w:val="003E6727"/>
    <w:rsid w:val="003E6B5E"/>
    <w:rsid w:val="003E6D35"/>
    <w:rsid w:val="003E6DBC"/>
    <w:rsid w:val="003E6FC0"/>
    <w:rsid w:val="003E70D3"/>
    <w:rsid w:val="003E7201"/>
    <w:rsid w:val="003E7202"/>
    <w:rsid w:val="003E724C"/>
    <w:rsid w:val="003E769A"/>
    <w:rsid w:val="003E7782"/>
    <w:rsid w:val="003E790C"/>
    <w:rsid w:val="003E79E6"/>
    <w:rsid w:val="003E7AD1"/>
    <w:rsid w:val="003E7C67"/>
    <w:rsid w:val="003E7CB8"/>
    <w:rsid w:val="003E7D82"/>
    <w:rsid w:val="003E7FFC"/>
    <w:rsid w:val="003F007A"/>
    <w:rsid w:val="003F0236"/>
    <w:rsid w:val="003F03FB"/>
    <w:rsid w:val="003F048C"/>
    <w:rsid w:val="003F0522"/>
    <w:rsid w:val="003F084B"/>
    <w:rsid w:val="003F0867"/>
    <w:rsid w:val="003F0883"/>
    <w:rsid w:val="003F0C0A"/>
    <w:rsid w:val="003F0C93"/>
    <w:rsid w:val="003F0C98"/>
    <w:rsid w:val="003F0DD9"/>
    <w:rsid w:val="003F0FCC"/>
    <w:rsid w:val="003F0FED"/>
    <w:rsid w:val="003F1084"/>
    <w:rsid w:val="003F1445"/>
    <w:rsid w:val="003F17B7"/>
    <w:rsid w:val="003F1912"/>
    <w:rsid w:val="003F1963"/>
    <w:rsid w:val="003F1A56"/>
    <w:rsid w:val="003F1E03"/>
    <w:rsid w:val="003F2043"/>
    <w:rsid w:val="003F209C"/>
    <w:rsid w:val="003F2108"/>
    <w:rsid w:val="003F22EE"/>
    <w:rsid w:val="003F2403"/>
    <w:rsid w:val="003F2461"/>
    <w:rsid w:val="003F24AD"/>
    <w:rsid w:val="003F25DC"/>
    <w:rsid w:val="003F26B6"/>
    <w:rsid w:val="003F26F1"/>
    <w:rsid w:val="003F2927"/>
    <w:rsid w:val="003F29E2"/>
    <w:rsid w:val="003F2C45"/>
    <w:rsid w:val="003F2C53"/>
    <w:rsid w:val="003F2F20"/>
    <w:rsid w:val="003F3095"/>
    <w:rsid w:val="003F320B"/>
    <w:rsid w:val="003F33B2"/>
    <w:rsid w:val="003F3623"/>
    <w:rsid w:val="003F363F"/>
    <w:rsid w:val="003F3660"/>
    <w:rsid w:val="003F3811"/>
    <w:rsid w:val="003F38D2"/>
    <w:rsid w:val="003F38F1"/>
    <w:rsid w:val="003F39D3"/>
    <w:rsid w:val="003F3BE3"/>
    <w:rsid w:val="003F3F1D"/>
    <w:rsid w:val="003F4454"/>
    <w:rsid w:val="003F44E3"/>
    <w:rsid w:val="003F4574"/>
    <w:rsid w:val="003F497E"/>
    <w:rsid w:val="003F4A36"/>
    <w:rsid w:val="003F4BE6"/>
    <w:rsid w:val="003F4C16"/>
    <w:rsid w:val="003F4D42"/>
    <w:rsid w:val="003F4DD8"/>
    <w:rsid w:val="003F52A1"/>
    <w:rsid w:val="003F53E0"/>
    <w:rsid w:val="003F5475"/>
    <w:rsid w:val="003F5528"/>
    <w:rsid w:val="003F5533"/>
    <w:rsid w:val="003F5758"/>
    <w:rsid w:val="003F57BD"/>
    <w:rsid w:val="003F57C1"/>
    <w:rsid w:val="003F5977"/>
    <w:rsid w:val="003F5A69"/>
    <w:rsid w:val="003F5ACC"/>
    <w:rsid w:val="003F5C45"/>
    <w:rsid w:val="003F5FAC"/>
    <w:rsid w:val="003F6102"/>
    <w:rsid w:val="003F6162"/>
    <w:rsid w:val="003F6531"/>
    <w:rsid w:val="003F6766"/>
    <w:rsid w:val="003F67B9"/>
    <w:rsid w:val="003F67D4"/>
    <w:rsid w:val="003F6994"/>
    <w:rsid w:val="003F6CBF"/>
    <w:rsid w:val="003F6D62"/>
    <w:rsid w:val="003F6D66"/>
    <w:rsid w:val="003F6DF1"/>
    <w:rsid w:val="003F704E"/>
    <w:rsid w:val="003F706F"/>
    <w:rsid w:val="003F7167"/>
    <w:rsid w:val="003F7318"/>
    <w:rsid w:val="003F7335"/>
    <w:rsid w:val="003F7337"/>
    <w:rsid w:val="003F73B4"/>
    <w:rsid w:val="003F7454"/>
    <w:rsid w:val="003F763E"/>
    <w:rsid w:val="003F76DA"/>
    <w:rsid w:val="003F7B09"/>
    <w:rsid w:val="003F7D65"/>
    <w:rsid w:val="003F7DDA"/>
    <w:rsid w:val="003F7FFA"/>
    <w:rsid w:val="004001C8"/>
    <w:rsid w:val="00400445"/>
    <w:rsid w:val="0040070C"/>
    <w:rsid w:val="00400997"/>
    <w:rsid w:val="00400C94"/>
    <w:rsid w:val="00400E3A"/>
    <w:rsid w:val="00400F8F"/>
    <w:rsid w:val="00400FBF"/>
    <w:rsid w:val="0040111C"/>
    <w:rsid w:val="00401185"/>
    <w:rsid w:val="0040126C"/>
    <w:rsid w:val="0040151F"/>
    <w:rsid w:val="00401782"/>
    <w:rsid w:val="004018B7"/>
    <w:rsid w:val="004018D2"/>
    <w:rsid w:val="004019EB"/>
    <w:rsid w:val="00401A27"/>
    <w:rsid w:val="00401C2A"/>
    <w:rsid w:val="00401C38"/>
    <w:rsid w:val="00401C72"/>
    <w:rsid w:val="00401F25"/>
    <w:rsid w:val="00402018"/>
    <w:rsid w:val="00402040"/>
    <w:rsid w:val="00402282"/>
    <w:rsid w:val="00402408"/>
    <w:rsid w:val="004025CC"/>
    <w:rsid w:val="004025D0"/>
    <w:rsid w:val="004027D1"/>
    <w:rsid w:val="00402894"/>
    <w:rsid w:val="004028BF"/>
    <w:rsid w:val="00402BB7"/>
    <w:rsid w:val="00402DCE"/>
    <w:rsid w:val="00402EC7"/>
    <w:rsid w:val="00402F77"/>
    <w:rsid w:val="00402F7B"/>
    <w:rsid w:val="0040308C"/>
    <w:rsid w:val="0040332E"/>
    <w:rsid w:val="00403572"/>
    <w:rsid w:val="00403788"/>
    <w:rsid w:val="00403850"/>
    <w:rsid w:val="004039BC"/>
    <w:rsid w:val="00403A54"/>
    <w:rsid w:val="00403B90"/>
    <w:rsid w:val="00403B93"/>
    <w:rsid w:val="00403D2B"/>
    <w:rsid w:val="00403E22"/>
    <w:rsid w:val="00403FEC"/>
    <w:rsid w:val="00404016"/>
    <w:rsid w:val="00404258"/>
    <w:rsid w:val="004042B6"/>
    <w:rsid w:val="004042D9"/>
    <w:rsid w:val="00404467"/>
    <w:rsid w:val="004045F6"/>
    <w:rsid w:val="00404B0F"/>
    <w:rsid w:val="00404C47"/>
    <w:rsid w:val="00404D0D"/>
    <w:rsid w:val="00404E56"/>
    <w:rsid w:val="00404EE6"/>
    <w:rsid w:val="004051FB"/>
    <w:rsid w:val="00405390"/>
    <w:rsid w:val="004053ED"/>
    <w:rsid w:val="00405544"/>
    <w:rsid w:val="0040556C"/>
    <w:rsid w:val="0040567A"/>
    <w:rsid w:val="00405BAB"/>
    <w:rsid w:val="00405D40"/>
    <w:rsid w:val="004060B0"/>
    <w:rsid w:val="00406179"/>
    <w:rsid w:val="004062CC"/>
    <w:rsid w:val="0040639F"/>
    <w:rsid w:val="00406429"/>
    <w:rsid w:val="004064EF"/>
    <w:rsid w:val="00406517"/>
    <w:rsid w:val="004065B2"/>
    <w:rsid w:val="0040661F"/>
    <w:rsid w:val="0040691B"/>
    <w:rsid w:val="00406997"/>
    <w:rsid w:val="00406C82"/>
    <w:rsid w:val="00406D24"/>
    <w:rsid w:val="00406E3F"/>
    <w:rsid w:val="00406E6F"/>
    <w:rsid w:val="004070CA"/>
    <w:rsid w:val="0040722A"/>
    <w:rsid w:val="0040750E"/>
    <w:rsid w:val="00407547"/>
    <w:rsid w:val="00407596"/>
    <w:rsid w:val="0040763F"/>
    <w:rsid w:val="004076B4"/>
    <w:rsid w:val="00407A1B"/>
    <w:rsid w:val="00407B81"/>
    <w:rsid w:val="00407C9A"/>
    <w:rsid w:val="00407E32"/>
    <w:rsid w:val="00407EF0"/>
    <w:rsid w:val="004100F5"/>
    <w:rsid w:val="00410260"/>
    <w:rsid w:val="004102E8"/>
    <w:rsid w:val="00410337"/>
    <w:rsid w:val="004103E6"/>
    <w:rsid w:val="00410499"/>
    <w:rsid w:val="00410672"/>
    <w:rsid w:val="0041081C"/>
    <w:rsid w:val="00410850"/>
    <w:rsid w:val="00410873"/>
    <w:rsid w:val="00410BC7"/>
    <w:rsid w:val="00410CBE"/>
    <w:rsid w:val="00410EE3"/>
    <w:rsid w:val="00410FCE"/>
    <w:rsid w:val="00411075"/>
    <w:rsid w:val="004112FE"/>
    <w:rsid w:val="0041158D"/>
    <w:rsid w:val="00411788"/>
    <w:rsid w:val="004119FE"/>
    <w:rsid w:val="00411AC5"/>
    <w:rsid w:val="00411DAD"/>
    <w:rsid w:val="00411FD7"/>
    <w:rsid w:val="00412257"/>
    <w:rsid w:val="004122D9"/>
    <w:rsid w:val="0041247F"/>
    <w:rsid w:val="00412524"/>
    <w:rsid w:val="00412884"/>
    <w:rsid w:val="00412957"/>
    <w:rsid w:val="004129CF"/>
    <w:rsid w:val="00412A0D"/>
    <w:rsid w:val="00412B82"/>
    <w:rsid w:val="00412BD5"/>
    <w:rsid w:val="00412C7E"/>
    <w:rsid w:val="00412DE5"/>
    <w:rsid w:val="00412DF5"/>
    <w:rsid w:val="00413405"/>
    <w:rsid w:val="00413557"/>
    <w:rsid w:val="004135E8"/>
    <w:rsid w:val="004136B6"/>
    <w:rsid w:val="004136F5"/>
    <w:rsid w:val="004137C1"/>
    <w:rsid w:val="00413909"/>
    <w:rsid w:val="00413B04"/>
    <w:rsid w:val="00413D70"/>
    <w:rsid w:val="00413DA0"/>
    <w:rsid w:val="00413DBC"/>
    <w:rsid w:val="0041452B"/>
    <w:rsid w:val="004147B2"/>
    <w:rsid w:val="004147EA"/>
    <w:rsid w:val="00414A21"/>
    <w:rsid w:val="00414B7A"/>
    <w:rsid w:val="00414BC8"/>
    <w:rsid w:val="00414DB9"/>
    <w:rsid w:val="00414E41"/>
    <w:rsid w:val="00414EB4"/>
    <w:rsid w:val="00414EBA"/>
    <w:rsid w:val="00414F69"/>
    <w:rsid w:val="00414F9C"/>
    <w:rsid w:val="004151B2"/>
    <w:rsid w:val="004151EC"/>
    <w:rsid w:val="004153E6"/>
    <w:rsid w:val="004154CA"/>
    <w:rsid w:val="004155E4"/>
    <w:rsid w:val="0041581F"/>
    <w:rsid w:val="00415837"/>
    <w:rsid w:val="004158D3"/>
    <w:rsid w:val="0041596C"/>
    <w:rsid w:val="00415B06"/>
    <w:rsid w:val="00415E11"/>
    <w:rsid w:val="004160BB"/>
    <w:rsid w:val="00416368"/>
    <w:rsid w:val="004163A5"/>
    <w:rsid w:val="00416523"/>
    <w:rsid w:val="0041657F"/>
    <w:rsid w:val="004165D3"/>
    <w:rsid w:val="004166FE"/>
    <w:rsid w:val="0041677D"/>
    <w:rsid w:val="004167F2"/>
    <w:rsid w:val="00416A40"/>
    <w:rsid w:val="00416AB7"/>
    <w:rsid w:val="00416C61"/>
    <w:rsid w:val="00416C82"/>
    <w:rsid w:val="00416F53"/>
    <w:rsid w:val="00416FE8"/>
    <w:rsid w:val="00417134"/>
    <w:rsid w:val="004171C1"/>
    <w:rsid w:val="00417410"/>
    <w:rsid w:val="004175C1"/>
    <w:rsid w:val="004175EF"/>
    <w:rsid w:val="00417651"/>
    <w:rsid w:val="00417862"/>
    <w:rsid w:val="004178CA"/>
    <w:rsid w:val="00417A43"/>
    <w:rsid w:val="00417AF1"/>
    <w:rsid w:val="00417C11"/>
    <w:rsid w:val="00417DB4"/>
    <w:rsid w:val="00417DF2"/>
    <w:rsid w:val="00417E55"/>
    <w:rsid w:val="00417EA5"/>
    <w:rsid w:val="0042028B"/>
    <w:rsid w:val="00420301"/>
    <w:rsid w:val="004205C6"/>
    <w:rsid w:val="004207F9"/>
    <w:rsid w:val="00420927"/>
    <w:rsid w:val="00420A37"/>
    <w:rsid w:val="00420B1A"/>
    <w:rsid w:val="00420B7C"/>
    <w:rsid w:val="00420CCF"/>
    <w:rsid w:val="00420D18"/>
    <w:rsid w:val="00420E31"/>
    <w:rsid w:val="004211D9"/>
    <w:rsid w:val="00421224"/>
    <w:rsid w:val="004214B1"/>
    <w:rsid w:val="0042165D"/>
    <w:rsid w:val="00421710"/>
    <w:rsid w:val="00421808"/>
    <w:rsid w:val="0042191B"/>
    <w:rsid w:val="00421967"/>
    <w:rsid w:val="0042196B"/>
    <w:rsid w:val="00421A44"/>
    <w:rsid w:val="00421B8A"/>
    <w:rsid w:val="00421E47"/>
    <w:rsid w:val="00421F95"/>
    <w:rsid w:val="0042201D"/>
    <w:rsid w:val="004220F1"/>
    <w:rsid w:val="00422201"/>
    <w:rsid w:val="0042220B"/>
    <w:rsid w:val="004222B0"/>
    <w:rsid w:val="004222EF"/>
    <w:rsid w:val="004223E7"/>
    <w:rsid w:val="0042254B"/>
    <w:rsid w:val="004225D2"/>
    <w:rsid w:val="00422696"/>
    <w:rsid w:val="004227AE"/>
    <w:rsid w:val="004227B2"/>
    <w:rsid w:val="00422817"/>
    <w:rsid w:val="004229F6"/>
    <w:rsid w:val="00422C8E"/>
    <w:rsid w:val="00422D27"/>
    <w:rsid w:val="00422E3E"/>
    <w:rsid w:val="00422F85"/>
    <w:rsid w:val="00422FE2"/>
    <w:rsid w:val="00422FF2"/>
    <w:rsid w:val="00423013"/>
    <w:rsid w:val="0042352C"/>
    <w:rsid w:val="00423601"/>
    <w:rsid w:val="0042363C"/>
    <w:rsid w:val="004237D2"/>
    <w:rsid w:val="00423864"/>
    <w:rsid w:val="00423A63"/>
    <w:rsid w:val="00423A8B"/>
    <w:rsid w:val="00423B96"/>
    <w:rsid w:val="00423D49"/>
    <w:rsid w:val="004240B4"/>
    <w:rsid w:val="0042410A"/>
    <w:rsid w:val="004241B9"/>
    <w:rsid w:val="004242DB"/>
    <w:rsid w:val="0042434A"/>
    <w:rsid w:val="00424353"/>
    <w:rsid w:val="0042435D"/>
    <w:rsid w:val="00424382"/>
    <w:rsid w:val="004243A2"/>
    <w:rsid w:val="0042462F"/>
    <w:rsid w:val="004247FA"/>
    <w:rsid w:val="00424927"/>
    <w:rsid w:val="004249C8"/>
    <w:rsid w:val="00424D86"/>
    <w:rsid w:val="00424D98"/>
    <w:rsid w:val="0042503E"/>
    <w:rsid w:val="0042515F"/>
    <w:rsid w:val="00425481"/>
    <w:rsid w:val="00425499"/>
    <w:rsid w:val="004255E3"/>
    <w:rsid w:val="00425985"/>
    <w:rsid w:val="00425BD0"/>
    <w:rsid w:val="00425CC0"/>
    <w:rsid w:val="00425ED6"/>
    <w:rsid w:val="00425F77"/>
    <w:rsid w:val="0042602B"/>
    <w:rsid w:val="0042603E"/>
    <w:rsid w:val="00426114"/>
    <w:rsid w:val="00426448"/>
    <w:rsid w:val="00426462"/>
    <w:rsid w:val="00426581"/>
    <w:rsid w:val="00426676"/>
    <w:rsid w:val="004266DB"/>
    <w:rsid w:val="00426724"/>
    <w:rsid w:val="00426837"/>
    <w:rsid w:val="00426A89"/>
    <w:rsid w:val="00426AEA"/>
    <w:rsid w:val="00426B56"/>
    <w:rsid w:val="00426B77"/>
    <w:rsid w:val="00426BC0"/>
    <w:rsid w:val="00426BE5"/>
    <w:rsid w:val="00426F66"/>
    <w:rsid w:val="00426FD7"/>
    <w:rsid w:val="00427441"/>
    <w:rsid w:val="00427516"/>
    <w:rsid w:val="00427740"/>
    <w:rsid w:val="00427757"/>
    <w:rsid w:val="00427938"/>
    <w:rsid w:val="00427B74"/>
    <w:rsid w:val="00427C27"/>
    <w:rsid w:val="00427C81"/>
    <w:rsid w:val="00427E60"/>
    <w:rsid w:val="00427F43"/>
    <w:rsid w:val="00430043"/>
    <w:rsid w:val="0043017D"/>
    <w:rsid w:val="00430246"/>
    <w:rsid w:val="00430419"/>
    <w:rsid w:val="00430506"/>
    <w:rsid w:val="00430515"/>
    <w:rsid w:val="004305B6"/>
    <w:rsid w:val="004307BA"/>
    <w:rsid w:val="00430811"/>
    <w:rsid w:val="00430A1C"/>
    <w:rsid w:val="00430AE0"/>
    <w:rsid w:val="00430B75"/>
    <w:rsid w:val="00430DE2"/>
    <w:rsid w:val="00430FDB"/>
    <w:rsid w:val="00431029"/>
    <w:rsid w:val="00431091"/>
    <w:rsid w:val="004310D9"/>
    <w:rsid w:val="00431247"/>
    <w:rsid w:val="004312BD"/>
    <w:rsid w:val="00431312"/>
    <w:rsid w:val="00431436"/>
    <w:rsid w:val="00431478"/>
    <w:rsid w:val="00431482"/>
    <w:rsid w:val="0043148D"/>
    <w:rsid w:val="004314E9"/>
    <w:rsid w:val="004314F6"/>
    <w:rsid w:val="00431677"/>
    <w:rsid w:val="004318C6"/>
    <w:rsid w:val="00431B4B"/>
    <w:rsid w:val="00431BB7"/>
    <w:rsid w:val="00431D92"/>
    <w:rsid w:val="00431DD6"/>
    <w:rsid w:val="00431E96"/>
    <w:rsid w:val="00432190"/>
    <w:rsid w:val="0043221A"/>
    <w:rsid w:val="00432267"/>
    <w:rsid w:val="00432574"/>
    <w:rsid w:val="004325FA"/>
    <w:rsid w:val="0043266F"/>
    <w:rsid w:val="004326AB"/>
    <w:rsid w:val="004326F0"/>
    <w:rsid w:val="00432721"/>
    <w:rsid w:val="004328F6"/>
    <w:rsid w:val="00432973"/>
    <w:rsid w:val="00432AF8"/>
    <w:rsid w:val="00432BCC"/>
    <w:rsid w:val="00432BD9"/>
    <w:rsid w:val="00432BEF"/>
    <w:rsid w:val="00432DFB"/>
    <w:rsid w:val="00432E51"/>
    <w:rsid w:val="00432E6A"/>
    <w:rsid w:val="00432FC2"/>
    <w:rsid w:val="004331C1"/>
    <w:rsid w:val="004331D6"/>
    <w:rsid w:val="0043326B"/>
    <w:rsid w:val="0043342C"/>
    <w:rsid w:val="00433688"/>
    <w:rsid w:val="004336D9"/>
    <w:rsid w:val="004336F5"/>
    <w:rsid w:val="0043399C"/>
    <w:rsid w:val="00433B5C"/>
    <w:rsid w:val="00433C34"/>
    <w:rsid w:val="00433C7B"/>
    <w:rsid w:val="00433C9E"/>
    <w:rsid w:val="00433DDD"/>
    <w:rsid w:val="0043401C"/>
    <w:rsid w:val="00434061"/>
    <w:rsid w:val="004342C2"/>
    <w:rsid w:val="0043433B"/>
    <w:rsid w:val="00434350"/>
    <w:rsid w:val="00434532"/>
    <w:rsid w:val="00434547"/>
    <w:rsid w:val="0043457C"/>
    <w:rsid w:val="004346AC"/>
    <w:rsid w:val="00434855"/>
    <w:rsid w:val="0043485E"/>
    <w:rsid w:val="004349AC"/>
    <w:rsid w:val="00434A36"/>
    <w:rsid w:val="00434A4E"/>
    <w:rsid w:val="00434CFA"/>
    <w:rsid w:val="00434D11"/>
    <w:rsid w:val="00434DC7"/>
    <w:rsid w:val="00434E74"/>
    <w:rsid w:val="00434F7E"/>
    <w:rsid w:val="00435122"/>
    <w:rsid w:val="004354A2"/>
    <w:rsid w:val="0043564C"/>
    <w:rsid w:val="004356E9"/>
    <w:rsid w:val="00435AFB"/>
    <w:rsid w:val="00435B6D"/>
    <w:rsid w:val="00435BC6"/>
    <w:rsid w:val="00435CB4"/>
    <w:rsid w:val="00435CED"/>
    <w:rsid w:val="0043631C"/>
    <w:rsid w:val="00436525"/>
    <w:rsid w:val="004366F7"/>
    <w:rsid w:val="00436854"/>
    <w:rsid w:val="00436867"/>
    <w:rsid w:val="004368A1"/>
    <w:rsid w:val="004369FE"/>
    <w:rsid w:val="00436A39"/>
    <w:rsid w:val="00436AFE"/>
    <w:rsid w:val="00436BA5"/>
    <w:rsid w:val="00436BFB"/>
    <w:rsid w:val="00436CBB"/>
    <w:rsid w:val="00436E32"/>
    <w:rsid w:val="0043703C"/>
    <w:rsid w:val="00437088"/>
    <w:rsid w:val="004371D3"/>
    <w:rsid w:val="00437336"/>
    <w:rsid w:val="004375FE"/>
    <w:rsid w:val="00437687"/>
    <w:rsid w:val="004376E1"/>
    <w:rsid w:val="00437775"/>
    <w:rsid w:val="00437897"/>
    <w:rsid w:val="00437959"/>
    <w:rsid w:val="00437997"/>
    <w:rsid w:val="004379A0"/>
    <w:rsid w:val="00437A2E"/>
    <w:rsid w:val="00437AA0"/>
    <w:rsid w:val="00437BD9"/>
    <w:rsid w:val="00437DCE"/>
    <w:rsid w:val="00437ECA"/>
    <w:rsid w:val="00437EDF"/>
    <w:rsid w:val="00437F17"/>
    <w:rsid w:val="00437FEA"/>
    <w:rsid w:val="00440006"/>
    <w:rsid w:val="0044007D"/>
    <w:rsid w:val="004400AA"/>
    <w:rsid w:val="004401AA"/>
    <w:rsid w:val="004402A7"/>
    <w:rsid w:val="00440359"/>
    <w:rsid w:val="004403B5"/>
    <w:rsid w:val="004403B8"/>
    <w:rsid w:val="00440629"/>
    <w:rsid w:val="0044066F"/>
    <w:rsid w:val="00440A8F"/>
    <w:rsid w:val="00440B2C"/>
    <w:rsid w:val="00440BC3"/>
    <w:rsid w:val="00440BC7"/>
    <w:rsid w:val="00440BFB"/>
    <w:rsid w:val="00440F2D"/>
    <w:rsid w:val="00440F7D"/>
    <w:rsid w:val="00440FC6"/>
    <w:rsid w:val="00441088"/>
    <w:rsid w:val="00441270"/>
    <w:rsid w:val="00441531"/>
    <w:rsid w:val="00441588"/>
    <w:rsid w:val="004417E7"/>
    <w:rsid w:val="00441A71"/>
    <w:rsid w:val="00441AB6"/>
    <w:rsid w:val="00441AC7"/>
    <w:rsid w:val="00441DBE"/>
    <w:rsid w:val="0044202A"/>
    <w:rsid w:val="00442061"/>
    <w:rsid w:val="00442338"/>
    <w:rsid w:val="00442399"/>
    <w:rsid w:val="004423A7"/>
    <w:rsid w:val="0044257F"/>
    <w:rsid w:val="004425C8"/>
    <w:rsid w:val="0044266C"/>
    <w:rsid w:val="00442771"/>
    <w:rsid w:val="004428C3"/>
    <w:rsid w:val="004429FC"/>
    <w:rsid w:val="00442AB6"/>
    <w:rsid w:val="00442BE8"/>
    <w:rsid w:val="00442C62"/>
    <w:rsid w:val="00442CCA"/>
    <w:rsid w:val="00442ED6"/>
    <w:rsid w:val="00443038"/>
    <w:rsid w:val="004430B9"/>
    <w:rsid w:val="004431D5"/>
    <w:rsid w:val="0044326F"/>
    <w:rsid w:val="0044327C"/>
    <w:rsid w:val="0044364F"/>
    <w:rsid w:val="00443663"/>
    <w:rsid w:val="00443705"/>
    <w:rsid w:val="0044376E"/>
    <w:rsid w:val="00443785"/>
    <w:rsid w:val="0044391D"/>
    <w:rsid w:val="00443A0F"/>
    <w:rsid w:val="00443A11"/>
    <w:rsid w:val="00443AB4"/>
    <w:rsid w:val="00443B21"/>
    <w:rsid w:val="00443BF2"/>
    <w:rsid w:val="00443DB5"/>
    <w:rsid w:val="00443EB2"/>
    <w:rsid w:val="00443F4A"/>
    <w:rsid w:val="0044402C"/>
    <w:rsid w:val="00444032"/>
    <w:rsid w:val="004440E8"/>
    <w:rsid w:val="004441DE"/>
    <w:rsid w:val="00444251"/>
    <w:rsid w:val="0044426C"/>
    <w:rsid w:val="004442AB"/>
    <w:rsid w:val="004442B6"/>
    <w:rsid w:val="0044436B"/>
    <w:rsid w:val="0044445E"/>
    <w:rsid w:val="0044455F"/>
    <w:rsid w:val="004446DF"/>
    <w:rsid w:val="00444797"/>
    <w:rsid w:val="004447C7"/>
    <w:rsid w:val="004448BB"/>
    <w:rsid w:val="004448D7"/>
    <w:rsid w:val="0044494F"/>
    <w:rsid w:val="0044497A"/>
    <w:rsid w:val="00444B16"/>
    <w:rsid w:val="00444BB8"/>
    <w:rsid w:val="00444BF9"/>
    <w:rsid w:val="00444D1E"/>
    <w:rsid w:val="00444E2E"/>
    <w:rsid w:val="00444F8E"/>
    <w:rsid w:val="00444FD1"/>
    <w:rsid w:val="004453A5"/>
    <w:rsid w:val="0044541A"/>
    <w:rsid w:val="0044556D"/>
    <w:rsid w:val="00445640"/>
    <w:rsid w:val="0044587A"/>
    <w:rsid w:val="004458CE"/>
    <w:rsid w:val="00445988"/>
    <w:rsid w:val="00445B7F"/>
    <w:rsid w:val="00445CE9"/>
    <w:rsid w:val="00445E84"/>
    <w:rsid w:val="00446303"/>
    <w:rsid w:val="004463B6"/>
    <w:rsid w:val="004463E7"/>
    <w:rsid w:val="0044654D"/>
    <w:rsid w:val="00446607"/>
    <w:rsid w:val="004466BD"/>
    <w:rsid w:val="0044691A"/>
    <w:rsid w:val="00446A34"/>
    <w:rsid w:val="00446C2C"/>
    <w:rsid w:val="00446C69"/>
    <w:rsid w:val="00446D22"/>
    <w:rsid w:val="00446EDC"/>
    <w:rsid w:val="0044714F"/>
    <w:rsid w:val="0044716B"/>
    <w:rsid w:val="00447384"/>
    <w:rsid w:val="004473F6"/>
    <w:rsid w:val="00447444"/>
    <w:rsid w:val="0044746F"/>
    <w:rsid w:val="00447545"/>
    <w:rsid w:val="0044755E"/>
    <w:rsid w:val="004475EF"/>
    <w:rsid w:val="00447686"/>
    <w:rsid w:val="00447950"/>
    <w:rsid w:val="00447A60"/>
    <w:rsid w:val="00447B26"/>
    <w:rsid w:val="00447CC3"/>
    <w:rsid w:val="00447DCE"/>
    <w:rsid w:val="00447DDF"/>
    <w:rsid w:val="00447E3D"/>
    <w:rsid w:val="0045005F"/>
    <w:rsid w:val="00450507"/>
    <w:rsid w:val="00450529"/>
    <w:rsid w:val="0045058E"/>
    <w:rsid w:val="00450841"/>
    <w:rsid w:val="00450892"/>
    <w:rsid w:val="00450934"/>
    <w:rsid w:val="004509A9"/>
    <w:rsid w:val="00450A05"/>
    <w:rsid w:val="00450B70"/>
    <w:rsid w:val="00450C3E"/>
    <w:rsid w:val="00450EEA"/>
    <w:rsid w:val="00451057"/>
    <w:rsid w:val="00451080"/>
    <w:rsid w:val="004510B4"/>
    <w:rsid w:val="004512F7"/>
    <w:rsid w:val="00451460"/>
    <w:rsid w:val="00451703"/>
    <w:rsid w:val="00451756"/>
    <w:rsid w:val="00451829"/>
    <w:rsid w:val="00451B5F"/>
    <w:rsid w:val="00451BBA"/>
    <w:rsid w:val="00451D27"/>
    <w:rsid w:val="0045202E"/>
    <w:rsid w:val="004520D4"/>
    <w:rsid w:val="004521F5"/>
    <w:rsid w:val="004522DB"/>
    <w:rsid w:val="0045247B"/>
    <w:rsid w:val="00452888"/>
    <w:rsid w:val="0045293D"/>
    <w:rsid w:val="00452A49"/>
    <w:rsid w:val="00452A86"/>
    <w:rsid w:val="00452AFC"/>
    <w:rsid w:val="00452EF2"/>
    <w:rsid w:val="004530E0"/>
    <w:rsid w:val="004530F5"/>
    <w:rsid w:val="00453130"/>
    <w:rsid w:val="0045319A"/>
    <w:rsid w:val="00453295"/>
    <w:rsid w:val="004535D7"/>
    <w:rsid w:val="004536D7"/>
    <w:rsid w:val="00453724"/>
    <w:rsid w:val="00453994"/>
    <w:rsid w:val="004539AC"/>
    <w:rsid w:val="00453BEB"/>
    <w:rsid w:val="004545C3"/>
    <w:rsid w:val="0045464C"/>
    <w:rsid w:val="004546CF"/>
    <w:rsid w:val="004546FB"/>
    <w:rsid w:val="00454701"/>
    <w:rsid w:val="00454804"/>
    <w:rsid w:val="00454B36"/>
    <w:rsid w:val="00454BBD"/>
    <w:rsid w:val="00454BE6"/>
    <w:rsid w:val="00454BED"/>
    <w:rsid w:val="00454DDC"/>
    <w:rsid w:val="004550C5"/>
    <w:rsid w:val="0045510F"/>
    <w:rsid w:val="00455189"/>
    <w:rsid w:val="004551E0"/>
    <w:rsid w:val="0045549A"/>
    <w:rsid w:val="0045549E"/>
    <w:rsid w:val="004554BC"/>
    <w:rsid w:val="004555F0"/>
    <w:rsid w:val="004555F5"/>
    <w:rsid w:val="004559D1"/>
    <w:rsid w:val="00455BA8"/>
    <w:rsid w:val="00455D00"/>
    <w:rsid w:val="00455E5B"/>
    <w:rsid w:val="00455ED2"/>
    <w:rsid w:val="00456023"/>
    <w:rsid w:val="004560E3"/>
    <w:rsid w:val="00456404"/>
    <w:rsid w:val="00456419"/>
    <w:rsid w:val="0045654C"/>
    <w:rsid w:val="0045656E"/>
    <w:rsid w:val="004565B8"/>
    <w:rsid w:val="004565E7"/>
    <w:rsid w:val="0045665E"/>
    <w:rsid w:val="00456945"/>
    <w:rsid w:val="0045694E"/>
    <w:rsid w:val="00456A42"/>
    <w:rsid w:val="00456A80"/>
    <w:rsid w:val="00456BC0"/>
    <w:rsid w:val="00456C2C"/>
    <w:rsid w:val="00456E6B"/>
    <w:rsid w:val="00456F1F"/>
    <w:rsid w:val="004571B0"/>
    <w:rsid w:val="00457276"/>
    <w:rsid w:val="0045753A"/>
    <w:rsid w:val="004577FE"/>
    <w:rsid w:val="00457887"/>
    <w:rsid w:val="004578B5"/>
    <w:rsid w:val="00457FED"/>
    <w:rsid w:val="0046008A"/>
    <w:rsid w:val="004600FD"/>
    <w:rsid w:val="004602CA"/>
    <w:rsid w:val="004604C1"/>
    <w:rsid w:val="00460504"/>
    <w:rsid w:val="0046057A"/>
    <w:rsid w:val="00460592"/>
    <w:rsid w:val="004605D5"/>
    <w:rsid w:val="004605D7"/>
    <w:rsid w:val="00460874"/>
    <w:rsid w:val="00460AEB"/>
    <w:rsid w:val="00460B5A"/>
    <w:rsid w:val="00460CEE"/>
    <w:rsid w:val="00460E48"/>
    <w:rsid w:val="00460E9D"/>
    <w:rsid w:val="00460F6F"/>
    <w:rsid w:val="004610C1"/>
    <w:rsid w:val="00461472"/>
    <w:rsid w:val="004614EE"/>
    <w:rsid w:val="004616D4"/>
    <w:rsid w:val="0046185E"/>
    <w:rsid w:val="00461948"/>
    <w:rsid w:val="004619CA"/>
    <w:rsid w:val="004619D7"/>
    <w:rsid w:val="00461D2C"/>
    <w:rsid w:val="00461EED"/>
    <w:rsid w:val="004625EE"/>
    <w:rsid w:val="00462638"/>
    <w:rsid w:val="004628FE"/>
    <w:rsid w:val="00462A6B"/>
    <w:rsid w:val="00462F7B"/>
    <w:rsid w:val="0046302F"/>
    <w:rsid w:val="0046325A"/>
    <w:rsid w:val="004633F0"/>
    <w:rsid w:val="004635B5"/>
    <w:rsid w:val="004635D7"/>
    <w:rsid w:val="004637D7"/>
    <w:rsid w:val="00463934"/>
    <w:rsid w:val="00463D4D"/>
    <w:rsid w:val="00463DC8"/>
    <w:rsid w:val="00463E03"/>
    <w:rsid w:val="00463E6E"/>
    <w:rsid w:val="004640AB"/>
    <w:rsid w:val="00464100"/>
    <w:rsid w:val="004642FC"/>
    <w:rsid w:val="004643E1"/>
    <w:rsid w:val="004643F3"/>
    <w:rsid w:val="00464426"/>
    <w:rsid w:val="00464466"/>
    <w:rsid w:val="00464492"/>
    <w:rsid w:val="00464571"/>
    <w:rsid w:val="00464739"/>
    <w:rsid w:val="004647F5"/>
    <w:rsid w:val="004648C0"/>
    <w:rsid w:val="00464A5A"/>
    <w:rsid w:val="00464AD6"/>
    <w:rsid w:val="00464ADB"/>
    <w:rsid w:val="00464CD3"/>
    <w:rsid w:val="00464DCC"/>
    <w:rsid w:val="00465060"/>
    <w:rsid w:val="00465170"/>
    <w:rsid w:val="0046544E"/>
    <w:rsid w:val="004655A3"/>
    <w:rsid w:val="004656A6"/>
    <w:rsid w:val="0046578D"/>
    <w:rsid w:val="00465835"/>
    <w:rsid w:val="00465861"/>
    <w:rsid w:val="00465871"/>
    <w:rsid w:val="004658FD"/>
    <w:rsid w:val="00465976"/>
    <w:rsid w:val="00465C20"/>
    <w:rsid w:val="00465D84"/>
    <w:rsid w:val="00466004"/>
    <w:rsid w:val="00466152"/>
    <w:rsid w:val="0046630D"/>
    <w:rsid w:val="00466772"/>
    <w:rsid w:val="004669EE"/>
    <w:rsid w:val="00466A8C"/>
    <w:rsid w:val="00466C92"/>
    <w:rsid w:val="00466CA0"/>
    <w:rsid w:val="0046707E"/>
    <w:rsid w:val="004670EF"/>
    <w:rsid w:val="00467127"/>
    <w:rsid w:val="004671D1"/>
    <w:rsid w:val="004673E0"/>
    <w:rsid w:val="00467428"/>
    <w:rsid w:val="0046742D"/>
    <w:rsid w:val="0046780D"/>
    <w:rsid w:val="00467A57"/>
    <w:rsid w:val="00467B76"/>
    <w:rsid w:val="00467CC2"/>
    <w:rsid w:val="00467FE2"/>
    <w:rsid w:val="00470025"/>
    <w:rsid w:val="004705D0"/>
    <w:rsid w:val="004705EA"/>
    <w:rsid w:val="004705ED"/>
    <w:rsid w:val="00470616"/>
    <w:rsid w:val="00470927"/>
    <w:rsid w:val="004709DD"/>
    <w:rsid w:val="00470A02"/>
    <w:rsid w:val="00470A05"/>
    <w:rsid w:val="00470A1D"/>
    <w:rsid w:val="00470BC2"/>
    <w:rsid w:val="00470E5D"/>
    <w:rsid w:val="00470E69"/>
    <w:rsid w:val="00471326"/>
    <w:rsid w:val="00471389"/>
    <w:rsid w:val="00471483"/>
    <w:rsid w:val="004714D8"/>
    <w:rsid w:val="004714F7"/>
    <w:rsid w:val="00471587"/>
    <w:rsid w:val="00471968"/>
    <w:rsid w:val="00471A96"/>
    <w:rsid w:val="00471BBD"/>
    <w:rsid w:val="00471FBC"/>
    <w:rsid w:val="004721AC"/>
    <w:rsid w:val="0047248F"/>
    <w:rsid w:val="004724A9"/>
    <w:rsid w:val="00472543"/>
    <w:rsid w:val="00472553"/>
    <w:rsid w:val="00472AA9"/>
    <w:rsid w:val="00472C7E"/>
    <w:rsid w:val="00472D5C"/>
    <w:rsid w:val="00472F44"/>
    <w:rsid w:val="00473041"/>
    <w:rsid w:val="0047306F"/>
    <w:rsid w:val="0047314B"/>
    <w:rsid w:val="004732CA"/>
    <w:rsid w:val="004733D4"/>
    <w:rsid w:val="004736AA"/>
    <w:rsid w:val="00473801"/>
    <w:rsid w:val="004738A9"/>
    <w:rsid w:val="00473947"/>
    <w:rsid w:val="004739DA"/>
    <w:rsid w:val="00473AB0"/>
    <w:rsid w:val="00473BCD"/>
    <w:rsid w:val="00474120"/>
    <w:rsid w:val="0047419A"/>
    <w:rsid w:val="0047458B"/>
    <w:rsid w:val="004748DB"/>
    <w:rsid w:val="00474A50"/>
    <w:rsid w:val="00474A6E"/>
    <w:rsid w:val="00474B5A"/>
    <w:rsid w:val="00474C7C"/>
    <w:rsid w:val="00474CAF"/>
    <w:rsid w:val="00474D29"/>
    <w:rsid w:val="00474D86"/>
    <w:rsid w:val="00474DDE"/>
    <w:rsid w:val="0047506E"/>
    <w:rsid w:val="004753A5"/>
    <w:rsid w:val="0047541A"/>
    <w:rsid w:val="00475554"/>
    <w:rsid w:val="00475718"/>
    <w:rsid w:val="00475830"/>
    <w:rsid w:val="0047586B"/>
    <w:rsid w:val="0047588B"/>
    <w:rsid w:val="00475962"/>
    <w:rsid w:val="00475AAA"/>
    <w:rsid w:val="00475ACF"/>
    <w:rsid w:val="00475B6E"/>
    <w:rsid w:val="00475C9B"/>
    <w:rsid w:val="00475CB0"/>
    <w:rsid w:val="00475CD3"/>
    <w:rsid w:val="00475E54"/>
    <w:rsid w:val="00475F24"/>
    <w:rsid w:val="00476095"/>
    <w:rsid w:val="004761C9"/>
    <w:rsid w:val="0047631B"/>
    <w:rsid w:val="00476387"/>
    <w:rsid w:val="00476552"/>
    <w:rsid w:val="004766AD"/>
    <w:rsid w:val="004769AA"/>
    <w:rsid w:val="004769ED"/>
    <w:rsid w:val="00476AB0"/>
    <w:rsid w:val="00476CC9"/>
    <w:rsid w:val="00476CE0"/>
    <w:rsid w:val="00476D50"/>
    <w:rsid w:val="00476E5E"/>
    <w:rsid w:val="0047703F"/>
    <w:rsid w:val="0047743F"/>
    <w:rsid w:val="00477476"/>
    <w:rsid w:val="00477609"/>
    <w:rsid w:val="00477866"/>
    <w:rsid w:val="00477A87"/>
    <w:rsid w:val="00477CFA"/>
    <w:rsid w:val="00477D28"/>
    <w:rsid w:val="00477D76"/>
    <w:rsid w:val="00477E5B"/>
    <w:rsid w:val="0048005A"/>
    <w:rsid w:val="004801F0"/>
    <w:rsid w:val="004801FD"/>
    <w:rsid w:val="004802A3"/>
    <w:rsid w:val="004803C1"/>
    <w:rsid w:val="0048040C"/>
    <w:rsid w:val="00480428"/>
    <w:rsid w:val="00480588"/>
    <w:rsid w:val="004806E4"/>
    <w:rsid w:val="004806FA"/>
    <w:rsid w:val="004807CC"/>
    <w:rsid w:val="00480892"/>
    <w:rsid w:val="00480A05"/>
    <w:rsid w:val="00480B14"/>
    <w:rsid w:val="00480B74"/>
    <w:rsid w:val="00480D9D"/>
    <w:rsid w:val="00480F6D"/>
    <w:rsid w:val="00481077"/>
    <w:rsid w:val="00481148"/>
    <w:rsid w:val="004811E1"/>
    <w:rsid w:val="004813EF"/>
    <w:rsid w:val="00481565"/>
    <w:rsid w:val="00481A3D"/>
    <w:rsid w:val="00481FA7"/>
    <w:rsid w:val="00482180"/>
    <w:rsid w:val="004823F5"/>
    <w:rsid w:val="0048295D"/>
    <w:rsid w:val="004829FA"/>
    <w:rsid w:val="00482A66"/>
    <w:rsid w:val="00482B0F"/>
    <w:rsid w:val="00482B41"/>
    <w:rsid w:val="00482CA5"/>
    <w:rsid w:val="00482D2F"/>
    <w:rsid w:val="00482DAC"/>
    <w:rsid w:val="00482E0A"/>
    <w:rsid w:val="00482FC0"/>
    <w:rsid w:val="004830AE"/>
    <w:rsid w:val="004830C6"/>
    <w:rsid w:val="00483109"/>
    <w:rsid w:val="004831B4"/>
    <w:rsid w:val="00483217"/>
    <w:rsid w:val="004832DF"/>
    <w:rsid w:val="00483432"/>
    <w:rsid w:val="0048344F"/>
    <w:rsid w:val="00483464"/>
    <w:rsid w:val="0048358D"/>
    <w:rsid w:val="00483658"/>
    <w:rsid w:val="004837B3"/>
    <w:rsid w:val="004837E0"/>
    <w:rsid w:val="00483919"/>
    <w:rsid w:val="00483C41"/>
    <w:rsid w:val="00483C6C"/>
    <w:rsid w:val="0048415C"/>
    <w:rsid w:val="004841B8"/>
    <w:rsid w:val="00484456"/>
    <w:rsid w:val="00484641"/>
    <w:rsid w:val="00484891"/>
    <w:rsid w:val="004849FA"/>
    <w:rsid w:val="00484CA3"/>
    <w:rsid w:val="00484D61"/>
    <w:rsid w:val="00484DA9"/>
    <w:rsid w:val="00484EAB"/>
    <w:rsid w:val="00484F31"/>
    <w:rsid w:val="0048501B"/>
    <w:rsid w:val="004853CC"/>
    <w:rsid w:val="0048557D"/>
    <w:rsid w:val="00485817"/>
    <w:rsid w:val="0048598B"/>
    <w:rsid w:val="00485C62"/>
    <w:rsid w:val="00485D10"/>
    <w:rsid w:val="00485D49"/>
    <w:rsid w:val="00485F21"/>
    <w:rsid w:val="00485F6A"/>
    <w:rsid w:val="004860C4"/>
    <w:rsid w:val="00486415"/>
    <w:rsid w:val="0048645E"/>
    <w:rsid w:val="004866E4"/>
    <w:rsid w:val="00486817"/>
    <w:rsid w:val="00486EF4"/>
    <w:rsid w:val="00487041"/>
    <w:rsid w:val="004871DD"/>
    <w:rsid w:val="004872CF"/>
    <w:rsid w:val="0048733A"/>
    <w:rsid w:val="00487493"/>
    <w:rsid w:val="0048770F"/>
    <w:rsid w:val="0048785A"/>
    <w:rsid w:val="00487D23"/>
    <w:rsid w:val="00487D47"/>
    <w:rsid w:val="00490281"/>
    <w:rsid w:val="00490319"/>
    <w:rsid w:val="00490464"/>
    <w:rsid w:val="00490537"/>
    <w:rsid w:val="0049074C"/>
    <w:rsid w:val="00490825"/>
    <w:rsid w:val="004908E9"/>
    <w:rsid w:val="00490A57"/>
    <w:rsid w:val="00490A76"/>
    <w:rsid w:val="00490BBF"/>
    <w:rsid w:val="00490BD4"/>
    <w:rsid w:val="00490BE5"/>
    <w:rsid w:val="00490D7C"/>
    <w:rsid w:val="00490DAD"/>
    <w:rsid w:val="00490EAF"/>
    <w:rsid w:val="00490F06"/>
    <w:rsid w:val="00490F23"/>
    <w:rsid w:val="004910F8"/>
    <w:rsid w:val="0049117E"/>
    <w:rsid w:val="00491451"/>
    <w:rsid w:val="004914DC"/>
    <w:rsid w:val="00491594"/>
    <w:rsid w:val="00491641"/>
    <w:rsid w:val="0049180C"/>
    <w:rsid w:val="004920BB"/>
    <w:rsid w:val="00492114"/>
    <w:rsid w:val="004927C4"/>
    <w:rsid w:val="00492A6E"/>
    <w:rsid w:val="00492C01"/>
    <w:rsid w:val="00492CBB"/>
    <w:rsid w:val="00492EC7"/>
    <w:rsid w:val="00493056"/>
    <w:rsid w:val="00493407"/>
    <w:rsid w:val="0049386F"/>
    <w:rsid w:val="00493EA2"/>
    <w:rsid w:val="004944BB"/>
    <w:rsid w:val="00494545"/>
    <w:rsid w:val="0049493E"/>
    <w:rsid w:val="004949D1"/>
    <w:rsid w:val="004949F2"/>
    <w:rsid w:val="00494AFA"/>
    <w:rsid w:val="00494BDB"/>
    <w:rsid w:val="00494CF0"/>
    <w:rsid w:val="00494D79"/>
    <w:rsid w:val="00494DB2"/>
    <w:rsid w:val="00494E33"/>
    <w:rsid w:val="00494E6D"/>
    <w:rsid w:val="004951F5"/>
    <w:rsid w:val="004955AC"/>
    <w:rsid w:val="00495895"/>
    <w:rsid w:val="00495961"/>
    <w:rsid w:val="00495AD3"/>
    <w:rsid w:val="00495AEF"/>
    <w:rsid w:val="00495D97"/>
    <w:rsid w:val="00495EB4"/>
    <w:rsid w:val="00496081"/>
    <w:rsid w:val="004960B1"/>
    <w:rsid w:val="004960FB"/>
    <w:rsid w:val="00496205"/>
    <w:rsid w:val="00496241"/>
    <w:rsid w:val="00496285"/>
    <w:rsid w:val="004963D4"/>
    <w:rsid w:val="00496519"/>
    <w:rsid w:val="004966C3"/>
    <w:rsid w:val="004967FC"/>
    <w:rsid w:val="0049695D"/>
    <w:rsid w:val="00496BAB"/>
    <w:rsid w:val="00496D10"/>
    <w:rsid w:val="00496D67"/>
    <w:rsid w:val="00496E36"/>
    <w:rsid w:val="00496F68"/>
    <w:rsid w:val="00497480"/>
    <w:rsid w:val="004974B8"/>
    <w:rsid w:val="004977AD"/>
    <w:rsid w:val="00497AE7"/>
    <w:rsid w:val="00497B85"/>
    <w:rsid w:val="00497BFF"/>
    <w:rsid w:val="00497DB3"/>
    <w:rsid w:val="004A0147"/>
    <w:rsid w:val="004A03D3"/>
    <w:rsid w:val="004A055D"/>
    <w:rsid w:val="004A0561"/>
    <w:rsid w:val="004A0596"/>
    <w:rsid w:val="004A062F"/>
    <w:rsid w:val="004A0783"/>
    <w:rsid w:val="004A07B4"/>
    <w:rsid w:val="004A0812"/>
    <w:rsid w:val="004A086B"/>
    <w:rsid w:val="004A0883"/>
    <w:rsid w:val="004A089B"/>
    <w:rsid w:val="004A08C6"/>
    <w:rsid w:val="004A0912"/>
    <w:rsid w:val="004A09A4"/>
    <w:rsid w:val="004A09CD"/>
    <w:rsid w:val="004A0AC0"/>
    <w:rsid w:val="004A0CF3"/>
    <w:rsid w:val="004A0D30"/>
    <w:rsid w:val="004A0DFD"/>
    <w:rsid w:val="004A0E37"/>
    <w:rsid w:val="004A10F5"/>
    <w:rsid w:val="004A14AB"/>
    <w:rsid w:val="004A15CF"/>
    <w:rsid w:val="004A1672"/>
    <w:rsid w:val="004A1710"/>
    <w:rsid w:val="004A17B8"/>
    <w:rsid w:val="004A17E1"/>
    <w:rsid w:val="004A1938"/>
    <w:rsid w:val="004A1CB1"/>
    <w:rsid w:val="004A1E75"/>
    <w:rsid w:val="004A1F38"/>
    <w:rsid w:val="004A2003"/>
    <w:rsid w:val="004A2043"/>
    <w:rsid w:val="004A2107"/>
    <w:rsid w:val="004A221C"/>
    <w:rsid w:val="004A2777"/>
    <w:rsid w:val="004A27C2"/>
    <w:rsid w:val="004A2873"/>
    <w:rsid w:val="004A2A2F"/>
    <w:rsid w:val="004A2CF6"/>
    <w:rsid w:val="004A2DED"/>
    <w:rsid w:val="004A2E9D"/>
    <w:rsid w:val="004A2EDC"/>
    <w:rsid w:val="004A2FAC"/>
    <w:rsid w:val="004A2FE8"/>
    <w:rsid w:val="004A3393"/>
    <w:rsid w:val="004A33D4"/>
    <w:rsid w:val="004A35C1"/>
    <w:rsid w:val="004A35E6"/>
    <w:rsid w:val="004A35FA"/>
    <w:rsid w:val="004A364C"/>
    <w:rsid w:val="004A3702"/>
    <w:rsid w:val="004A3738"/>
    <w:rsid w:val="004A3771"/>
    <w:rsid w:val="004A3A3B"/>
    <w:rsid w:val="004A3A61"/>
    <w:rsid w:val="004A3C2E"/>
    <w:rsid w:val="004A3C52"/>
    <w:rsid w:val="004A3CEE"/>
    <w:rsid w:val="004A4098"/>
    <w:rsid w:val="004A4182"/>
    <w:rsid w:val="004A419A"/>
    <w:rsid w:val="004A43C2"/>
    <w:rsid w:val="004A4499"/>
    <w:rsid w:val="004A44D5"/>
    <w:rsid w:val="004A4702"/>
    <w:rsid w:val="004A47A1"/>
    <w:rsid w:val="004A48E1"/>
    <w:rsid w:val="004A4F10"/>
    <w:rsid w:val="004A4F14"/>
    <w:rsid w:val="004A4F7E"/>
    <w:rsid w:val="004A4FD0"/>
    <w:rsid w:val="004A4FFA"/>
    <w:rsid w:val="004A52FD"/>
    <w:rsid w:val="004A56F9"/>
    <w:rsid w:val="004A58FC"/>
    <w:rsid w:val="004A5A6D"/>
    <w:rsid w:val="004A5A8F"/>
    <w:rsid w:val="004A5AA1"/>
    <w:rsid w:val="004A5ABF"/>
    <w:rsid w:val="004A5BF7"/>
    <w:rsid w:val="004A5C1D"/>
    <w:rsid w:val="004A5DA0"/>
    <w:rsid w:val="004A5DE2"/>
    <w:rsid w:val="004A5E4A"/>
    <w:rsid w:val="004A5F30"/>
    <w:rsid w:val="004A60F9"/>
    <w:rsid w:val="004A612C"/>
    <w:rsid w:val="004A6140"/>
    <w:rsid w:val="004A61C9"/>
    <w:rsid w:val="004A6251"/>
    <w:rsid w:val="004A6347"/>
    <w:rsid w:val="004A646C"/>
    <w:rsid w:val="004A674B"/>
    <w:rsid w:val="004A67CF"/>
    <w:rsid w:val="004A6815"/>
    <w:rsid w:val="004A68FE"/>
    <w:rsid w:val="004A6C13"/>
    <w:rsid w:val="004A6E04"/>
    <w:rsid w:val="004A6F76"/>
    <w:rsid w:val="004A7021"/>
    <w:rsid w:val="004A703A"/>
    <w:rsid w:val="004A7107"/>
    <w:rsid w:val="004A72BB"/>
    <w:rsid w:val="004A72F7"/>
    <w:rsid w:val="004A7544"/>
    <w:rsid w:val="004A7573"/>
    <w:rsid w:val="004A78B5"/>
    <w:rsid w:val="004A78E5"/>
    <w:rsid w:val="004A7BD9"/>
    <w:rsid w:val="004A7C8E"/>
    <w:rsid w:val="004A7E35"/>
    <w:rsid w:val="004A7E61"/>
    <w:rsid w:val="004A7ECE"/>
    <w:rsid w:val="004A7EF2"/>
    <w:rsid w:val="004A7EF4"/>
    <w:rsid w:val="004A7F12"/>
    <w:rsid w:val="004A7F4C"/>
    <w:rsid w:val="004B0051"/>
    <w:rsid w:val="004B0897"/>
    <w:rsid w:val="004B09C1"/>
    <w:rsid w:val="004B0BC6"/>
    <w:rsid w:val="004B0CCD"/>
    <w:rsid w:val="004B0D5A"/>
    <w:rsid w:val="004B0E23"/>
    <w:rsid w:val="004B0E59"/>
    <w:rsid w:val="004B1083"/>
    <w:rsid w:val="004B10B3"/>
    <w:rsid w:val="004B119C"/>
    <w:rsid w:val="004B11A3"/>
    <w:rsid w:val="004B1212"/>
    <w:rsid w:val="004B1305"/>
    <w:rsid w:val="004B13DF"/>
    <w:rsid w:val="004B148E"/>
    <w:rsid w:val="004B1547"/>
    <w:rsid w:val="004B17FE"/>
    <w:rsid w:val="004B1B89"/>
    <w:rsid w:val="004B1BBF"/>
    <w:rsid w:val="004B1EBE"/>
    <w:rsid w:val="004B1F58"/>
    <w:rsid w:val="004B2035"/>
    <w:rsid w:val="004B22C6"/>
    <w:rsid w:val="004B234A"/>
    <w:rsid w:val="004B2698"/>
    <w:rsid w:val="004B26FD"/>
    <w:rsid w:val="004B274D"/>
    <w:rsid w:val="004B276B"/>
    <w:rsid w:val="004B27B0"/>
    <w:rsid w:val="004B2891"/>
    <w:rsid w:val="004B2B26"/>
    <w:rsid w:val="004B2F11"/>
    <w:rsid w:val="004B2FA7"/>
    <w:rsid w:val="004B3113"/>
    <w:rsid w:val="004B31CA"/>
    <w:rsid w:val="004B35B2"/>
    <w:rsid w:val="004B3605"/>
    <w:rsid w:val="004B38F9"/>
    <w:rsid w:val="004B3CB8"/>
    <w:rsid w:val="004B3E76"/>
    <w:rsid w:val="004B3F0C"/>
    <w:rsid w:val="004B4131"/>
    <w:rsid w:val="004B4271"/>
    <w:rsid w:val="004B44E0"/>
    <w:rsid w:val="004B48A2"/>
    <w:rsid w:val="004B4960"/>
    <w:rsid w:val="004B4C62"/>
    <w:rsid w:val="004B4F94"/>
    <w:rsid w:val="004B5232"/>
    <w:rsid w:val="004B525F"/>
    <w:rsid w:val="004B5307"/>
    <w:rsid w:val="004B531E"/>
    <w:rsid w:val="004B5463"/>
    <w:rsid w:val="004B552D"/>
    <w:rsid w:val="004B577E"/>
    <w:rsid w:val="004B5808"/>
    <w:rsid w:val="004B581A"/>
    <w:rsid w:val="004B5A23"/>
    <w:rsid w:val="004B5C6F"/>
    <w:rsid w:val="004B5CFA"/>
    <w:rsid w:val="004B5F61"/>
    <w:rsid w:val="004B610C"/>
    <w:rsid w:val="004B6713"/>
    <w:rsid w:val="004B681A"/>
    <w:rsid w:val="004B686E"/>
    <w:rsid w:val="004B688F"/>
    <w:rsid w:val="004B6AF8"/>
    <w:rsid w:val="004B6C1B"/>
    <w:rsid w:val="004B6C72"/>
    <w:rsid w:val="004B6D0F"/>
    <w:rsid w:val="004B6D2A"/>
    <w:rsid w:val="004B6D61"/>
    <w:rsid w:val="004B6D9A"/>
    <w:rsid w:val="004B6F34"/>
    <w:rsid w:val="004B7172"/>
    <w:rsid w:val="004B7184"/>
    <w:rsid w:val="004B7588"/>
    <w:rsid w:val="004B7CE3"/>
    <w:rsid w:val="004B7D84"/>
    <w:rsid w:val="004B7DCD"/>
    <w:rsid w:val="004B7F4F"/>
    <w:rsid w:val="004C00C4"/>
    <w:rsid w:val="004C0338"/>
    <w:rsid w:val="004C0375"/>
    <w:rsid w:val="004C057D"/>
    <w:rsid w:val="004C06D5"/>
    <w:rsid w:val="004C0913"/>
    <w:rsid w:val="004C094B"/>
    <w:rsid w:val="004C0A75"/>
    <w:rsid w:val="004C0B42"/>
    <w:rsid w:val="004C0B73"/>
    <w:rsid w:val="004C0DD4"/>
    <w:rsid w:val="004C12C7"/>
    <w:rsid w:val="004C12D0"/>
    <w:rsid w:val="004C1311"/>
    <w:rsid w:val="004C1371"/>
    <w:rsid w:val="004C13AC"/>
    <w:rsid w:val="004C145C"/>
    <w:rsid w:val="004C16F0"/>
    <w:rsid w:val="004C1908"/>
    <w:rsid w:val="004C1930"/>
    <w:rsid w:val="004C1A30"/>
    <w:rsid w:val="004C1BB8"/>
    <w:rsid w:val="004C1E6E"/>
    <w:rsid w:val="004C2004"/>
    <w:rsid w:val="004C2130"/>
    <w:rsid w:val="004C226A"/>
    <w:rsid w:val="004C2296"/>
    <w:rsid w:val="004C24EA"/>
    <w:rsid w:val="004C2560"/>
    <w:rsid w:val="004C2611"/>
    <w:rsid w:val="004C2796"/>
    <w:rsid w:val="004C2B81"/>
    <w:rsid w:val="004C2C8C"/>
    <w:rsid w:val="004C2D27"/>
    <w:rsid w:val="004C2D6D"/>
    <w:rsid w:val="004C2E25"/>
    <w:rsid w:val="004C3107"/>
    <w:rsid w:val="004C3336"/>
    <w:rsid w:val="004C33DA"/>
    <w:rsid w:val="004C3475"/>
    <w:rsid w:val="004C357C"/>
    <w:rsid w:val="004C3666"/>
    <w:rsid w:val="004C3844"/>
    <w:rsid w:val="004C3848"/>
    <w:rsid w:val="004C3A39"/>
    <w:rsid w:val="004C3B78"/>
    <w:rsid w:val="004C3BA6"/>
    <w:rsid w:val="004C3C52"/>
    <w:rsid w:val="004C3CD0"/>
    <w:rsid w:val="004C3E7B"/>
    <w:rsid w:val="004C4007"/>
    <w:rsid w:val="004C405D"/>
    <w:rsid w:val="004C40D6"/>
    <w:rsid w:val="004C418E"/>
    <w:rsid w:val="004C44B6"/>
    <w:rsid w:val="004C4560"/>
    <w:rsid w:val="004C46E0"/>
    <w:rsid w:val="004C47B2"/>
    <w:rsid w:val="004C4864"/>
    <w:rsid w:val="004C48C8"/>
    <w:rsid w:val="004C4B21"/>
    <w:rsid w:val="004C4B3D"/>
    <w:rsid w:val="004C4B8D"/>
    <w:rsid w:val="004C4CC5"/>
    <w:rsid w:val="004C4FE8"/>
    <w:rsid w:val="004C50AF"/>
    <w:rsid w:val="004C52F9"/>
    <w:rsid w:val="004C53C0"/>
    <w:rsid w:val="004C5543"/>
    <w:rsid w:val="004C55EE"/>
    <w:rsid w:val="004C574A"/>
    <w:rsid w:val="004C5882"/>
    <w:rsid w:val="004C588B"/>
    <w:rsid w:val="004C590A"/>
    <w:rsid w:val="004C597C"/>
    <w:rsid w:val="004C5B03"/>
    <w:rsid w:val="004C5CBE"/>
    <w:rsid w:val="004C5CE3"/>
    <w:rsid w:val="004C5EE6"/>
    <w:rsid w:val="004C60B1"/>
    <w:rsid w:val="004C6177"/>
    <w:rsid w:val="004C6283"/>
    <w:rsid w:val="004C6550"/>
    <w:rsid w:val="004C65C1"/>
    <w:rsid w:val="004C6694"/>
    <w:rsid w:val="004C66F4"/>
    <w:rsid w:val="004C67AE"/>
    <w:rsid w:val="004C67E2"/>
    <w:rsid w:val="004C68C7"/>
    <w:rsid w:val="004C69B7"/>
    <w:rsid w:val="004C69D2"/>
    <w:rsid w:val="004C69DF"/>
    <w:rsid w:val="004C6B0C"/>
    <w:rsid w:val="004C6B65"/>
    <w:rsid w:val="004C6D2B"/>
    <w:rsid w:val="004C6D4E"/>
    <w:rsid w:val="004C6F16"/>
    <w:rsid w:val="004C6F9B"/>
    <w:rsid w:val="004C6FDD"/>
    <w:rsid w:val="004C7067"/>
    <w:rsid w:val="004C738E"/>
    <w:rsid w:val="004C7557"/>
    <w:rsid w:val="004C755E"/>
    <w:rsid w:val="004C774F"/>
    <w:rsid w:val="004C785C"/>
    <w:rsid w:val="004C792A"/>
    <w:rsid w:val="004C79CB"/>
    <w:rsid w:val="004C7B8B"/>
    <w:rsid w:val="004C7BC4"/>
    <w:rsid w:val="004C7C23"/>
    <w:rsid w:val="004C7D9A"/>
    <w:rsid w:val="004C7E7F"/>
    <w:rsid w:val="004D015D"/>
    <w:rsid w:val="004D019B"/>
    <w:rsid w:val="004D01BC"/>
    <w:rsid w:val="004D03CE"/>
    <w:rsid w:val="004D0424"/>
    <w:rsid w:val="004D0468"/>
    <w:rsid w:val="004D086C"/>
    <w:rsid w:val="004D09AA"/>
    <w:rsid w:val="004D0BE2"/>
    <w:rsid w:val="004D0D0F"/>
    <w:rsid w:val="004D1201"/>
    <w:rsid w:val="004D12E8"/>
    <w:rsid w:val="004D1420"/>
    <w:rsid w:val="004D16CD"/>
    <w:rsid w:val="004D179E"/>
    <w:rsid w:val="004D19E1"/>
    <w:rsid w:val="004D1B5C"/>
    <w:rsid w:val="004D1BE1"/>
    <w:rsid w:val="004D1CE0"/>
    <w:rsid w:val="004D1F4D"/>
    <w:rsid w:val="004D20B9"/>
    <w:rsid w:val="004D20E5"/>
    <w:rsid w:val="004D2196"/>
    <w:rsid w:val="004D26B9"/>
    <w:rsid w:val="004D2840"/>
    <w:rsid w:val="004D2854"/>
    <w:rsid w:val="004D2C51"/>
    <w:rsid w:val="004D2C9A"/>
    <w:rsid w:val="004D2F6C"/>
    <w:rsid w:val="004D3023"/>
    <w:rsid w:val="004D31B9"/>
    <w:rsid w:val="004D3237"/>
    <w:rsid w:val="004D3399"/>
    <w:rsid w:val="004D3415"/>
    <w:rsid w:val="004D34BD"/>
    <w:rsid w:val="004D35BD"/>
    <w:rsid w:val="004D37AA"/>
    <w:rsid w:val="004D39CE"/>
    <w:rsid w:val="004D3A29"/>
    <w:rsid w:val="004D3B02"/>
    <w:rsid w:val="004D3DD6"/>
    <w:rsid w:val="004D3FC1"/>
    <w:rsid w:val="004D4194"/>
    <w:rsid w:val="004D41E7"/>
    <w:rsid w:val="004D446F"/>
    <w:rsid w:val="004D459D"/>
    <w:rsid w:val="004D4648"/>
    <w:rsid w:val="004D478A"/>
    <w:rsid w:val="004D479D"/>
    <w:rsid w:val="004D47FD"/>
    <w:rsid w:val="004D4809"/>
    <w:rsid w:val="004D485E"/>
    <w:rsid w:val="004D4A1F"/>
    <w:rsid w:val="004D4FDD"/>
    <w:rsid w:val="004D502B"/>
    <w:rsid w:val="004D505A"/>
    <w:rsid w:val="004D51DC"/>
    <w:rsid w:val="004D525C"/>
    <w:rsid w:val="004D5428"/>
    <w:rsid w:val="004D5707"/>
    <w:rsid w:val="004D5713"/>
    <w:rsid w:val="004D57D1"/>
    <w:rsid w:val="004D595C"/>
    <w:rsid w:val="004D5A94"/>
    <w:rsid w:val="004D5AD0"/>
    <w:rsid w:val="004D5C26"/>
    <w:rsid w:val="004D5C44"/>
    <w:rsid w:val="004D5C76"/>
    <w:rsid w:val="004D5D9E"/>
    <w:rsid w:val="004D618B"/>
    <w:rsid w:val="004D6454"/>
    <w:rsid w:val="004D6527"/>
    <w:rsid w:val="004D6571"/>
    <w:rsid w:val="004D65A8"/>
    <w:rsid w:val="004D65C3"/>
    <w:rsid w:val="004D6737"/>
    <w:rsid w:val="004D689D"/>
    <w:rsid w:val="004D68F2"/>
    <w:rsid w:val="004D6AE6"/>
    <w:rsid w:val="004D6B49"/>
    <w:rsid w:val="004D6C21"/>
    <w:rsid w:val="004D6DC0"/>
    <w:rsid w:val="004D6E1A"/>
    <w:rsid w:val="004D6EB3"/>
    <w:rsid w:val="004D6F90"/>
    <w:rsid w:val="004D7170"/>
    <w:rsid w:val="004D71C7"/>
    <w:rsid w:val="004D727E"/>
    <w:rsid w:val="004D7372"/>
    <w:rsid w:val="004D7488"/>
    <w:rsid w:val="004D74BD"/>
    <w:rsid w:val="004D77F6"/>
    <w:rsid w:val="004D7896"/>
    <w:rsid w:val="004D79EB"/>
    <w:rsid w:val="004D7A60"/>
    <w:rsid w:val="004D7CAC"/>
    <w:rsid w:val="004D7CE7"/>
    <w:rsid w:val="004D7D1D"/>
    <w:rsid w:val="004D7FFC"/>
    <w:rsid w:val="004E01E9"/>
    <w:rsid w:val="004E02B9"/>
    <w:rsid w:val="004E03B6"/>
    <w:rsid w:val="004E04A3"/>
    <w:rsid w:val="004E05FA"/>
    <w:rsid w:val="004E078C"/>
    <w:rsid w:val="004E079F"/>
    <w:rsid w:val="004E08E6"/>
    <w:rsid w:val="004E0969"/>
    <w:rsid w:val="004E0A23"/>
    <w:rsid w:val="004E0C7A"/>
    <w:rsid w:val="004E1027"/>
    <w:rsid w:val="004E1117"/>
    <w:rsid w:val="004E1296"/>
    <w:rsid w:val="004E1381"/>
    <w:rsid w:val="004E152A"/>
    <w:rsid w:val="004E159F"/>
    <w:rsid w:val="004E15BE"/>
    <w:rsid w:val="004E15D1"/>
    <w:rsid w:val="004E1697"/>
    <w:rsid w:val="004E16C9"/>
    <w:rsid w:val="004E1924"/>
    <w:rsid w:val="004E1AE2"/>
    <w:rsid w:val="004E1B89"/>
    <w:rsid w:val="004E1C0B"/>
    <w:rsid w:val="004E1F60"/>
    <w:rsid w:val="004E20B3"/>
    <w:rsid w:val="004E20E7"/>
    <w:rsid w:val="004E23ED"/>
    <w:rsid w:val="004E2824"/>
    <w:rsid w:val="004E28BA"/>
    <w:rsid w:val="004E2BC0"/>
    <w:rsid w:val="004E2CAC"/>
    <w:rsid w:val="004E300A"/>
    <w:rsid w:val="004E3288"/>
    <w:rsid w:val="004E334B"/>
    <w:rsid w:val="004E3352"/>
    <w:rsid w:val="004E3498"/>
    <w:rsid w:val="004E36D5"/>
    <w:rsid w:val="004E370B"/>
    <w:rsid w:val="004E3827"/>
    <w:rsid w:val="004E3838"/>
    <w:rsid w:val="004E395F"/>
    <w:rsid w:val="004E3A57"/>
    <w:rsid w:val="004E3A77"/>
    <w:rsid w:val="004E3B3D"/>
    <w:rsid w:val="004E3C00"/>
    <w:rsid w:val="004E3D03"/>
    <w:rsid w:val="004E3D5D"/>
    <w:rsid w:val="004E3D89"/>
    <w:rsid w:val="004E3E9B"/>
    <w:rsid w:val="004E3F69"/>
    <w:rsid w:val="004E3FBC"/>
    <w:rsid w:val="004E4096"/>
    <w:rsid w:val="004E44E1"/>
    <w:rsid w:val="004E45B0"/>
    <w:rsid w:val="004E45FC"/>
    <w:rsid w:val="004E4683"/>
    <w:rsid w:val="004E468A"/>
    <w:rsid w:val="004E474D"/>
    <w:rsid w:val="004E4A09"/>
    <w:rsid w:val="004E4A9E"/>
    <w:rsid w:val="004E4C8D"/>
    <w:rsid w:val="004E506B"/>
    <w:rsid w:val="004E5492"/>
    <w:rsid w:val="004E5539"/>
    <w:rsid w:val="004E5545"/>
    <w:rsid w:val="004E56D6"/>
    <w:rsid w:val="004E5815"/>
    <w:rsid w:val="004E58E4"/>
    <w:rsid w:val="004E58FF"/>
    <w:rsid w:val="004E5A95"/>
    <w:rsid w:val="004E5BEB"/>
    <w:rsid w:val="004E5E27"/>
    <w:rsid w:val="004E5FA1"/>
    <w:rsid w:val="004E60AC"/>
    <w:rsid w:val="004E60C6"/>
    <w:rsid w:val="004E63CF"/>
    <w:rsid w:val="004E6439"/>
    <w:rsid w:val="004E6494"/>
    <w:rsid w:val="004E64EF"/>
    <w:rsid w:val="004E65A5"/>
    <w:rsid w:val="004E687E"/>
    <w:rsid w:val="004E6C12"/>
    <w:rsid w:val="004E6C4F"/>
    <w:rsid w:val="004E6E48"/>
    <w:rsid w:val="004E6E97"/>
    <w:rsid w:val="004E6FE0"/>
    <w:rsid w:val="004E7060"/>
    <w:rsid w:val="004E74B2"/>
    <w:rsid w:val="004E7590"/>
    <w:rsid w:val="004E75A4"/>
    <w:rsid w:val="004E76CC"/>
    <w:rsid w:val="004E7874"/>
    <w:rsid w:val="004E7BC1"/>
    <w:rsid w:val="004E7C04"/>
    <w:rsid w:val="004E7C4E"/>
    <w:rsid w:val="004F0013"/>
    <w:rsid w:val="004F00C2"/>
    <w:rsid w:val="004F0139"/>
    <w:rsid w:val="004F0254"/>
    <w:rsid w:val="004F04F2"/>
    <w:rsid w:val="004F0509"/>
    <w:rsid w:val="004F0511"/>
    <w:rsid w:val="004F05FD"/>
    <w:rsid w:val="004F0918"/>
    <w:rsid w:val="004F0999"/>
    <w:rsid w:val="004F09C3"/>
    <w:rsid w:val="004F0A6F"/>
    <w:rsid w:val="004F0AC1"/>
    <w:rsid w:val="004F0B34"/>
    <w:rsid w:val="004F0DD1"/>
    <w:rsid w:val="004F0F25"/>
    <w:rsid w:val="004F1346"/>
    <w:rsid w:val="004F1389"/>
    <w:rsid w:val="004F13DC"/>
    <w:rsid w:val="004F141F"/>
    <w:rsid w:val="004F1474"/>
    <w:rsid w:val="004F1475"/>
    <w:rsid w:val="004F16C2"/>
    <w:rsid w:val="004F1742"/>
    <w:rsid w:val="004F17AD"/>
    <w:rsid w:val="004F19F6"/>
    <w:rsid w:val="004F1A90"/>
    <w:rsid w:val="004F1B6E"/>
    <w:rsid w:val="004F1B8C"/>
    <w:rsid w:val="004F1CB3"/>
    <w:rsid w:val="004F1D33"/>
    <w:rsid w:val="004F1E09"/>
    <w:rsid w:val="004F1EAE"/>
    <w:rsid w:val="004F1FBC"/>
    <w:rsid w:val="004F240A"/>
    <w:rsid w:val="004F240E"/>
    <w:rsid w:val="004F25D8"/>
    <w:rsid w:val="004F25EB"/>
    <w:rsid w:val="004F2614"/>
    <w:rsid w:val="004F2A5A"/>
    <w:rsid w:val="004F2A85"/>
    <w:rsid w:val="004F2BCD"/>
    <w:rsid w:val="004F2BE4"/>
    <w:rsid w:val="004F2DC1"/>
    <w:rsid w:val="004F3051"/>
    <w:rsid w:val="004F3054"/>
    <w:rsid w:val="004F3088"/>
    <w:rsid w:val="004F308C"/>
    <w:rsid w:val="004F31ED"/>
    <w:rsid w:val="004F3363"/>
    <w:rsid w:val="004F336B"/>
    <w:rsid w:val="004F3499"/>
    <w:rsid w:val="004F3773"/>
    <w:rsid w:val="004F3913"/>
    <w:rsid w:val="004F396A"/>
    <w:rsid w:val="004F39A3"/>
    <w:rsid w:val="004F3AC5"/>
    <w:rsid w:val="004F3AF8"/>
    <w:rsid w:val="004F3CA0"/>
    <w:rsid w:val="004F3F80"/>
    <w:rsid w:val="004F40B4"/>
    <w:rsid w:val="004F4117"/>
    <w:rsid w:val="004F41DF"/>
    <w:rsid w:val="004F421B"/>
    <w:rsid w:val="004F430C"/>
    <w:rsid w:val="004F4556"/>
    <w:rsid w:val="004F495A"/>
    <w:rsid w:val="004F49DA"/>
    <w:rsid w:val="004F4A10"/>
    <w:rsid w:val="004F4B88"/>
    <w:rsid w:val="004F4CEE"/>
    <w:rsid w:val="004F4D01"/>
    <w:rsid w:val="004F4D46"/>
    <w:rsid w:val="004F4E33"/>
    <w:rsid w:val="004F4E68"/>
    <w:rsid w:val="004F4F8D"/>
    <w:rsid w:val="004F500F"/>
    <w:rsid w:val="004F51BE"/>
    <w:rsid w:val="004F52B6"/>
    <w:rsid w:val="004F54BF"/>
    <w:rsid w:val="004F56ED"/>
    <w:rsid w:val="004F5830"/>
    <w:rsid w:val="004F5900"/>
    <w:rsid w:val="004F5D53"/>
    <w:rsid w:val="004F5E66"/>
    <w:rsid w:val="004F6151"/>
    <w:rsid w:val="004F63C1"/>
    <w:rsid w:val="004F651A"/>
    <w:rsid w:val="004F68CC"/>
    <w:rsid w:val="004F68E3"/>
    <w:rsid w:val="004F6BCD"/>
    <w:rsid w:val="004F6CA0"/>
    <w:rsid w:val="004F6D6B"/>
    <w:rsid w:val="004F6E5E"/>
    <w:rsid w:val="004F6F89"/>
    <w:rsid w:val="004F7182"/>
    <w:rsid w:val="004F71D6"/>
    <w:rsid w:val="004F7210"/>
    <w:rsid w:val="004F72CD"/>
    <w:rsid w:val="004F7386"/>
    <w:rsid w:val="004F73B9"/>
    <w:rsid w:val="004F7557"/>
    <w:rsid w:val="004F7560"/>
    <w:rsid w:val="004F7573"/>
    <w:rsid w:val="004F7771"/>
    <w:rsid w:val="004F77AD"/>
    <w:rsid w:val="004F7996"/>
    <w:rsid w:val="004F79E1"/>
    <w:rsid w:val="004F7B42"/>
    <w:rsid w:val="004F7B96"/>
    <w:rsid w:val="004F7DC7"/>
    <w:rsid w:val="004F7F0B"/>
    <w:rsid w:val="004F7F97"/>
    <w:rsid w:val="00500184"/>
    <w:rsid w:val="00500255"/>
    <w:rsid w:val="0050025D"/>
    <w:rsid w:val="005003E0"/>
    <w:rsid w:val="00500431"/>
    <w:rsid w:val="00500608"/>
    <w:rsid w:val="005006F3"/>
    <w:rsid w:val="0050070A"/>
    <w:rsid w:val="005007D9"/>
    <w:rsid w:val="00500824"/>
    <w:rsid w:val="005008BE"/>
    <w:rsid w:val="005008C2"/>
    <w:rsid w:val="005009C1"/>
    <w:rsid w:val="00500B4B"/>
    <w:rsid w:val="00500B6E"/>
    <w:rsid w:val="00500BAD"/>
    <w:rsid w:val="00500BB9"/>
    <w:rsid w:val="00500BDE"/>
    <w:rsid w:val="00500CCA"/>
    <w:rsid w:val="00500CCB"/>
    <w:rsid w:val="00500CFE"/>
    <w:rsid w:val="00500EF9"/>
    <w:rsid w:val="00501157"/>
    <w:rsid w:val="005011B3"/>
    <w:rsid w:val="005012AA"/>
    <w:rsid w:val="005018CA"/>
    <w:rsid w:val="005019C8"/>
    <w:rsid w:val="00501A86"/>
    <w:rsid w:val="00501BE9"/>
    <w:rsid w:val="00501D93"/>
    <w:rsid w:val="00501E0C"/>
    <w:rsid w:val="00501EFE"/>
    <w:rsid w:val="00501FCC"/>
    <w:rsid w:val="0050222B"/>
    <w:rsid w:val="00502565"/>
    <w:rsid w:val="00502594"/>
    <w:rsid w:val="005025A1"/>
    <w:rsid w:val="005026E1"/>
    <w:rsid w:val="00502A23"/>
    <w:rsid w:val="00502A5C"/>
    <w:rsid w:val="00502B28"/>
    <w:rsid w:val="00502BE0"/>
    <w:rsid w:val="00502CB4"/>
    <w:rsid w:val="00502E26"/>
    <w:rsid w:val="0050312F"/>
    <w:rsid w:val="005031A7"/>
    <w:rsid w:val="005031E4"/>
    <w:rsid w:val="0050320E"/>
    <w:rsid w:val="0050337F"/>
    <w:rsid w:val="005033A6"/>
    <w:rsid w:val="00503418"/>
    <w:rsid w:val="0050345D"/>
    <w:rsid w:val="00503674"/>
    <w:rsid w:val="00503728"/>
    <w:rsid w:val="00503B48"/>
    <w:rsid w:val="00503C2C"/>
    <w:rsid w:val="00503C6D"/>
    <w:rsid w:val="00503E7F"/>
    <w:rsid w:val="00503EBE"/>
    <w:rsid w:val="005042B4"/>
    <w:rsid w:val="00504388"/>
    <w:rsid w:val="005046A0"/>
    <w:rsid w:val="0050477C"/>
    <w:rsid w:val="00504834"/>
    <w:rsid w:val="00504889"/>
    <w:rsid w:val="00504A9D"/>
    <w:rsid w:val="00504D15"/>
    <w:rsid w:val="00504E2D"/>
    <w:rsid w:val="00504F59"/>
    <w:rsid w:val="005050CD"/>
    <w:rsid w:val="00505165"/>
    <w:rsid w:val="0050531F"/>
    <w:rsid w:val="00505453"/>
    <w:rsid w:val="00505552"/>
    <w:rsid w:val="00505652"/>
    <w:rsid w:val="005056B3"/>
    <w:rsid w:val="005057B3"/>
    <w:rsid w:val="00505834"/>
    <w:rsid w:val="0050590F"/>
    <w:rsid w:val="00505934"/>
    <w:rsid w:val="00505A0D"/>
    <w:rsid w:val="00505A8A"/>
    <w:rsid w:val="00505ACA"/>
    <w:rsid w:val="00505B19"/>
    <w:rsid w:val="00505B92"/>
    <w:rsid w:val="00505BA5"/>
    <w:rsid w:val="00505C0B"/>
    <w:rsid w:val="00505C17"/>
    <w:rsid w:val="00505C3D"/>
    <w:rsid w:val="00505F25"/>
    <w:rsid w:val="00506197"/>
    <w:rsid w:val="005061BA"/>
    <w:rsid w:val="00506348"/>
    <w:rsid w:val="0050640E"/>
    <w:rsid w:val="00506451"/>
    <w:rsid w:val="00506529"/>
    <w:rsid w:val="00506613"/>
    <w:rsid w:val="0050684D"/>
    <w:rsid w:val="005068DC"/>
    <w:rsid w:val="0050693F"/>
    <w:rsid w:val="00506AC9"/>
    <w:rsid w:val="00506C31"/>
    <w:rsid w:val="00506C79"/>
    <w:rsid w:val="00506E52"/>
    <w:rsid w:val="00506FE2"/>
    <w:rsid w:val="005070E5"/>
    <w:rsid w:val="0050757B"/>
    <w:rsid w:val="00507607"/>
    <w:rsid w:val="0050779D"/>
    <w:rsid w:val="00507917"/>
    <w:rsid w:val="005079C4"/>
    <w:rsid w:val="00507D43"/>
    <w:rsid w:val="00507DD3"/>
    <w:rsid w:val="00507E15"/>
    <w:rsid w:val="00507E2B"/>
    <w:rsid w:val="00507F26"/>
    <w:rsid w:val="005100BD"/>
    <w:rsid w:val="0051023C"/>
    <w:rsid w:val="00510485"/>
    <w:rsid w:val="005104AF"/>
    <w:rsid w:val="005104BC"/>
    <w:rsid w:val="005104C5"/>
    <w:rsid w:val="00510772"/>
    <w:rsid w:val="005109CD"/>
    <w:rsid w:val="005109E3"/>
    <w:rsid w:val="00510A50"/>
    <w:rsid w:val="00510A85"/>
    <w:rsid w:val="00510B22"/>
    <w:rsid w:val="00510CBB"/>
    <w:rsid w:val="00510CF6"/>
    <w:rsid w:val="00511008"/>
    <w:rsid w:val="00511043"/>
    <w:rsid w:val="005110B4"/>
    <w:rsid w:val="005111BE"/>
    <w:rsid w:val="0051125F"/>
    <w:rsid w:val="005114C4"/>
    <w:rsid w:val="005115BB"/>
    <w:rsid w:val="0051180C"/>
    <w:rsid w:val="00511A01"/>
    <w:rsid w:val="00511B77"/>
    <w:rsid w:val="00511B84"/>
    <w:rsid w:val="00511B89"/>
    <w:rsid w:val="00511BB0"/>
    <w:rsid w:val="00511C67"/>
    <w:rsid w:val="00511F39"/>
    <w:rsid w:val="00511FFB"/>
    <w:rsid w:val="0051218B"/>
    <w:rsid w:val="005122F7"/>
    <w:rsid w:val="00512311"/>
    <w:rsid w:val="005123EF"/>
    <w:rsid w:val="00512461"/>
    <w:rsid w:val="00512526"/>
    <w:rsid w:val="005128AB"/>
    <w:rsid w:val="00512927"/>
    <w:rsid w:val="005129A3"/>
    <w:rsid w:val="00512A23"/>
    <w:rsid w:val="00512AA9"/>
    <w:rsid w:val="00512AF4"/>
    <w:rsid w:val="00512BA3"/>
    <w:rsid w:val="00512CAB"/>
    <w:rsid w:val="00512D1A"/>
    <w:rsid w:val="00512D53"/>
    <w:rsid w:val="00512DE4"/>
    <w:rsid w:val="00512E0D"/>
    <w:rsid w:val="00512E7E"/>
    <w:rsid w:val="00512F02"/>
    <w:rsid w:val="005132DA"/>
    <w:rsid w:val="005132DE"/>
    <w:rsid w:val="005134C5"/>
    <w:rsid w:val="00513528"/>
    <w:rsid w:val="005135C3"/>
    <w:rsid w:val="00513794"/>
    <w:rsid w:val="005137DD"/>
    <w:rsid w:val="005139C0"/>
    <w:rsid w:val="00513B61"/>
    <w:rsid w:val="00513FD3"/>
    <w:rsid w:val="00514093"/>
    <w:rsid w:val="005140B4"/>
    <w:rsid w:val="005140BE"/>
    <w:rsid w:val="00514108"/>
    <w:rsid w:val="00514218"/>
    <w:rsid w:val="00514322"/>
    <w:rsid w:val="0051452E"/>
    <w:rsid w:val="00514540"/>
    <w:rsid w:val="00514602"/>
    <w:rsid w:val="0051476B"/>
    <w:rsid w:val="005147FB"/>
    <w:rsid w:val="0051486F"/>
    <w:rsid w:val="0051491D"/>
    <w:rsid w:val="005149DB"/>
    <w:rsid w:val="00514A87"/>
    <w:rsid w:val="00514B05"/>
    <w:rsid w:val="00514C00"/>
    <w:rsid w:val="00514E6B"/>
    <w:rsid w:val="00514FC1"/>
    <w:rsid w:val="005150B2"/>
    <w:rsid w:val="00515120"/>
    <w:rsid w:val="005152B5"/>
    <w:rsid w:val="0051552A"/>
    <w:rsid w:val="005158B0"/>
    <w:rsid w:val="00515B0B"/>
    <w:rsid w:val="00515C53"/>
    <w:rsid w:val="00515EF2"/>
    <w:rsid w:val="005160E6"/>
    <w:rsid w:val="0051610F"/>
    <w:rsid w:val="00516319"/>
    <w:rsid w:val="0051634B"/>
    <w:rsid w:val="005163AA"/>
    <w:rsid w:val="0051647C"/>
    <w:rsid w:val="005164FA"/>
    <w:rsid w:val="0051650D"/>
    <w:rsid w:val="005167F4"/>
    <w:rsid w:val="005168CB"/>
    <w:rsid w:val="00516AEA"/>
    <w:rsid w:val="00516B12"/>
    <w:rsid w:val="00516B92"/>
    <w:rsid w:val="00516CEC"/>
    <w:rsid w:val="00516D49"/>
    <w:rsid w:val="00516E13"/>
    <w:rsid w:val="00516E91"/>
    <w:rsid w:val="00516EFF"/>
    <w:rsid w:val="00516F26"/>
    <w:rsid w:val="00516FD6"/>
    <w:rsid w:val="00517049"/>
    <w:rsid w:val="0051709C"/>
    <w:rsid w:val="0051716E"/>
    <w:rsid w:val="00517198"/>
    <w:rsid w:val="00517235"/>
    <w:rsid w:val="0051765A"/>
    <w:rsid w:val="00517671"/>
    <w:rsid w:val="005176EF"/>
    <w:rsid w:val="00517861"/>
    <w:rsid w:val="00517994"/>
    <w:rsid w:val="00517A17"/>
    <w:rsid w:val="00517A2A"/>
    <w:rsid w:val="00517A5E"/>
    <w:rsid w:val="00517ACF"/>
    <w:rsid w:val="00517D05"/>
    <w:rsid w:val="00517D32"/>
    <w:rsid w:val="00517F70"/>
    <w:rsid w:val="00517F8D"/>
    <w:rsid w:val="005201B7"/>
    <w:rsid w:val="005202EA"/>
    <w:rsid w:val="005203A3"/>
    <w:rsid w:val="00520490"/>
    <w:rsid w:val="0052049D"/>
    <w:rsid w:val="005204BD"/>
    <w:rsid w:val="00520581"/>
    <w:rsid w:val="00520637"/>
    <w:rsid w:val="0052083D"/>
    <w:rsid w:val="00520844"/>
    <w:rsid w:val="005208E9"/>
    <w:rsid w:val="00520909"/>
    <w:rsid w:val="005209A2"/>
    <w:rsid w:val="00520A29"/>
    <w:rsid w:val="00520ABA"/>
    <w:rsid w:val="00520B6C"/>
    <w:rsid w:val="00520BAB"/>
    <w:rsid w:val="00520CB7"/>
    <w:rsid w:val="00520CCE"/>
    <w:rsid w:val="00520CDB"/>
    <w:rsid w:val="00520DEC"/>
    <w:rsid w:val="00520DF3"/>
    <w:rsid w:val="00520ECF"/>
    <w:rsid w:val="00521057"/>
    <w:rsid w:val="005214B6"/>
    <w:rsid w:val="00521592"/>
    <w:rsid w:val="00521651"/>
    <w:rsid w:val="005216D7"/>
    <w:rsid w:val="00521831"/>
    <w:rsid w:val="00521954"/>
    <w:rsid w:val="00521AE4"/>
    <w:rsid w:val="00521B90"/>
    <w:rsid w:val="00521BE7"/>
    <w:rsid w:val="00521BF0"/>
    <w:rsid w:val="00521BFD"/>
    <w:rsid w:val="00521C69"/>
    <w:rsid w:val="00521E47"/>
    <w:rsid w:val="00521F2B"/>
    <w:rsid w:val="00521F84"/>
    <w:rsid w:val="00522064"/>
    <w:rsid w:val="00522212"/>
    <w:rsid w:val="00522419"/>
    <w:rsid w:val="005224BA"/>
    <w:rsid w:val="0052253D"/>
    <w:rsid w:val="0052266A"/>
    <w:rsid w:val="00522696"/>
    <w:rsid w:val="0052278E"/>
    <w:rsid w:val="005227EA"/>
    <w:rsid w:val="005229BF"/>
    <w:rsid w:val="00522AF0"/>
    <w:rsid w:val="00522C28"/>
    <w:rsid w:val="00522DB3"/>
    <w:rsid w:val="00523070"/>
    <w:rsid w:val="00523071"/>
    <w:rsid w:val="00523082"/>
    <w:rsid w:val="005236F5"/>
    <w:rsid w:val="005237CA"/>
    <w:rsid w:val="00523873"/>
    <w:rsid w:val="00523927"/>
    <w:rsid w:val="00523A18"/>
    <w:rsid w:val="00523A41"/>
    <w:rsid w:val="00523B9F"/>
    <w:rsid w:val="00523BD6"/>
    <w:rsid w:val="00523CBC"/>
    <w:rsid w:val="00523F93"/>
    <w:rsid w:val="005240DD"/>
    <w:rsid w:val="00524159"/>
    <w:rsid w:val="00524316"/>
    <w:rsid w:val="005243DA"/>
    <w:rsid w:val="00524422"/>
    <w:rsid w:val="005244C8"/>
    <w:rsid w:val="005244F0"/>
    <w:rsid w:val="005244F3"/>
    <w:rsid w:val="005245BD"/>
    <w:rsid w:val="005245D1"/>
    <w:rsid w:val="005245FF"/>
    <w:rsid w:val="00524869"/>
    <w:rsid w:val="0052491B"/>
    <w:rsid w:val="00524BF3"/>
    <w:rsid w:val="00524C4F"/>
    <w:rsid w:val="00524CED"/>
    <w:rsid w:val="00524D4B"/>
    <w:rsid w:val="00524EBB"/>
    <w:rsid w:val="00524FAC"/>
    <w:rsid w:val="005250B8"/>
    <w:rsid w:val="005251ED"/>
    <w:rsid w:val="005254CB"/>
    <w:rsid w:val="005254CF"/>
    <w:rsid w:val="005254D7"/>
    <w:rsid w:val="0052555D"/>
    <w:rsid w:val="005255DF"/>
    <w:rsid w:val="00525670"/>
    <w:rsid w:val="005257A8"/>
    <w:rsid w:val="0052580F"/>
    <w:rsid w:val="00525890"/>
    <w:rsid w:val="005259C2"/>
    <w:rsid w:val="005259DA"/>
    <w:rsid w:val="00525A93"/>
    <w:rsid w:val="00525B1A"/>
    <w:rsid w:val="00525DC8"/>
    <w:rsid w:val="00525EAC"/>
    <w:rsid w:val="00525F35"/>
    <w:rsid w:val="00525F46"/>
    <w:rsid w:val="00525F50"/>
    <w:rsid w:val="00525FAB"/>
    <w:rsid w:val="0052620A"/>
    <w:rsid w:val="0052636E"/>
    <w:rsid w:val="005264CF"/>
    <w:rsid w:val="0052654C"/>
    <w:rsid w:val="0052656C"/>
    <w:rsid w:val="005267EE"/>
    <w:rsid w:val="00526901"/>
    <w:rsid w:val="00526BB1"/>
    <w:rsid w:val="00526C4A"/>
    <w:rsid w:val="00526E9C"/>
    <w:rsid w:val="00526F8C"/>
    <w:rsid w:val="00526FAD"/>
    <w:rsid w:val="0052700E"/>
    <w:rsid w:val="00527342"/>
    <w:rsid w:val="005276FF"/>
    <w:rsid w:val="005278C4"/>
    <w:rsid w:val="00527925"/>
    <w:rsid w:val="005279DE"/>
    <w:rsid w:val="00527A27"/>
    <w:rsid w:val="00527B0C"/>
    <w:rsid w:val="00527E20"/>
    <w:rsid w:val="00527E7B"/>
    <w:rsid w:val="00527F01"/>
    <w:rsid w:val="00527FB0"/>
    <w:rsid w:val="00530467"/>
    <w:rsid w:val="005304AD"/>
    <w:rsid w:val="00530569"/>
    <w:rsid w:val="0053067E"/>
    <w:rsid w:val="0053077F"/>
    <w:rsid w:val="00530A10"/>
    <w:rsid w:val="00530A99"/>
    <w:rsid w:val="00530AF1"/>
    <w:rsid w:val="00530BA1"/>
    <w:rsid w:val="00530C34"/>
    <w:rsid w:val="00530CFF"/>
    <w:rsid w:val="00530D6C"/>
    <w:rsid w:val="00530F52"/>
    <w:rsid w:val="005314B1"/>
    <w:rsid w:val="005317E8"/>
    <w:rsid w:val="00531E45"/>
    <w:rsid w:val="00532107"/>
    <w:rsid w:val="005329AF"/>
    <w:rsid w:val="00532A6C"/>
    <w:rsid w:val="00532A87"/>
    <w:rsid w:val="00532B73"/>
    <w:rsid w:val="00532CF2"/>
    <w:rsid w:val="00532D41"/>
    <w:rsid w:val="00532DF4"/>
    <w:rsid w:val="00532EF5"/>
    <w:rsid w:val="00532F58"/>
    <w:rsid w:val="0053305E"/>
    <w:rsid w:val="005330F8"/>
    <w:rsid w:val="005330FB"/>
    <w:rsid w:val="00533131"/>
    <w:rsid w:val="005332C4"/>
    <w:rsid w:val="00533383"/>
    <w:rsid w:val="00533616"/>
    <w:rsid w:val="005336F4"/>
    <w:rsid w:val="0053390F"/>
    <w:rsid w:val="0053403B"/>
    <w:rsid w:val="0053434E"/>
    <w:rsid w:val="00534427"/>
    <w:rsid w:val="0053444B"/>
    <w:rsid w:val="00534704"/>
    <w:rsid w:val="00534728"/>
    <w:rsid w:val="005349FE"/>
    <w:rsid w:val="00534AB4"/>
    <w:rsid w:val="00534B05"/>
    <w:rsid w:val="00534C84"/>
    <w:rsid w:val="00534E99"/>
    <w:rsid w:val="00534EFC"/>
    <w:rsid w:val="00535234"/>
    <w:rsid w:val="00535252"/>
    <w:rsid w:val="00535699"/>
    <w:rsid w:val="005356C5"/>
    <w:rsid w:val="005356EB"/>
    <w:rsid w:val="005358CD"/>
    <w:rsid w:val="005358EB"/>
    <w:rsid w:val="005359D6"/>
    <w:rsid w:val="00535A81"/>
    <w:rsid w:val="00535B40"/>
    <w:rsid w:val="00535B81"/>
    <w:rsid w:val="00535FE4"/>
    <w:rsid w:val="00535FEC"/>
    <w:rsid w:val="00536011"/>
    <w:rsid w:val="005360A5"/>
    <w:rsid w:val="00536170"/>
    <w:rsid w:val="005361AB"/>
    <w:rsid w:val="00536311"/>
    <w:rsid w:val="005364C8"/>
    <w:rsid w:val="0053666A"/>
    <w:rsid w:val="005368CB"/>
    <w:rsid w:val="0053692F"/>
    <w:rsid w:val="00536997"/>
    <w:rsid w:val="00536A10"/>
    <w:rsid w:val="00536A38"/>
    <w:rsid w:val="00536AF2"/>
    <w:rsid w:val="00536AFE"/>
    <w:rsid w:val="00536F53"/>
    <w:rsid w:val="00537417"/>
    <w:rsid w:val="00537488"/>
    <w:rsid w:val="0053750F"/>
    <w:rsid w:val="005375BD"/>
    <w:rsid w:val="005375E4"/>
    <w:rsid w:val="005376CD"/>
    <w:rsid w:val="0053791C"/>
    <w:rsid w:val="00537C63"/>
    <w:rsid w:val="00537F1B"/>
    <w:rsid w:val="00537F41"/>
    <w:rsid w:val="00537F64"/>
    <w:rsid w:val="00537FB6"/>
    <w:rsid w:val="00540038"/>
    <w:rsid w:val="00540123"/>
    <w:rsid w:val="00540485"/>
    <w:rsid w:val="005404BC"/>
    <w:rsid w:val="005407C3"/>
    <w:rsid w:val="005408F5"/>
    <w:rsid w:val="00540907"/>
    <w:rsid w:val="0054091B"/>
    <w:rsid w:val="00540925"/>
    <w:rsid w:val="00540974"/>
    <w:rsid w:val="005409B7"/>
    <w:rsid w:val="00540A7C"/>
    <w:rsid w:val="00540ADD"/>
    <w:rsid w:val="00540F88"/>
    <w:rsid w:val="00541033"/>
    <w:rsid w:val="00541081"/>
    <w:rsid w:val="00541451"/>
    <w:rsid w:val="005414B2"/>
    <w:rsid w:val="00541516"/>
    <w:rsid w:val="00541566"/>
    <w:rsid w:val="005415F4"/>
    <w:rsid w:val="005416E9"/>
    <w:rsid w:val="00541866"/>
    <w:rsid w:val="00541B42"/>
    <w:rsid w:val="00541BCE"/>
    <w:rsid w:val="00541C02"/>
    <w:rsid w:val="00541C52"/>
    <w:rsid w:val="005421AA"/>
    <w:rsid w:val="005421FA"/>
    <w:rsid w:val="0054254D"/>
    <w:rsid w:val="0054268C"/>
    <w:rsid w:val="005426AA"/>
    <w:rsid w:val="005428C7"/>
    <w:rsid w:val="0054290C"/>
    <w:rsid w:val="00542915"/>
    <w:rsid w:val="0054298A"/>
    <w:rsid w:val="00542CBB"/>
    <w:rsid w:val="00542CE6"/>
    <w:rsid w:val="00542D9B"/>
    <w:rsid w:val="00542FE4"/>
    <w:rsid w:val="00543237"/>
    <w:rsid w:val="0054340E"/>
    <w:rsid w:val="00543477"/>
    <w:rsid w:val="005435F9"/>
    <w:rsid w:val="00543A6E"/>
    <w:rsid w:val="00543F3A"/>
    <w:rsid w:val="0054414F"/>
    <w:rsid w:val="00544173"/>
    <w:rsid w:val="0054437B"/>
    <w:rsid w:val="005443D1"/>
    <w:rsid w:val="00544547"/>
    <w:rsid w:val="00544757"/>
    <w:rsid w:val="005447DE"/>
    <w:rsid w:val="00544A77"/>
    <w:rsid w:val="00544CE5"/>
    <w:rsid w:val="00544D48"/>
    <w:rsid w:val="00544F1F"/>
    <w:rsid w:val="00545015"/>
    <w:rsid w:val="00545103"/>
    <w:rsid w:val="0054514F"/>
    <w:rsid w:val="0054542A"/>
    <w:rsid w:val="005454CA"/>
    <w:rsid w:val="0054565A"/>
    <w:rsid w:val="005456C1"/>
    <w:rsid w:val="00545AD1"/>
    <w:rsid w:val="00545D45"/>
    <w:rsid w:val="00545E0C"/>
    <w:rsid w:val="00545E1C"/>
    <w:rsid w:val="0054617A"/>
    <w:rsid w:val="005462BE"/>
    <w:rsid w:val="005462C5"/>
    <w:rsid w:val="00546651"/>
    <w:rsid w:val="00546752"/>
    <w:rsid w:val="005467F7"/>
    <w:rsid w:val="00546AA5"/>
    <w:rsid w:val="00546ADE"/>
    <w:rsid w:val="00546C6F"/>
    <w:rsid w:val="00547003"/>
    <w:rsid w:val="005471DC"/>
    <w:rsid w:val="00547200"/>
    <w:rsid w:val="005472D6"/>
    <w:rsid w:val="005473DB"/>
    <w:rsid w:val="00547489"/>
    <w:rsid w:val="00547675"/>
    <w:rsid w:val="00547731"/>
    <w:rsid w:val="005478A6"/>
    <w:rsid w:val="00547931"/>
    <w:rsid w:val="00547958"/>
    <w:rsid w:val="0054797D"/>
    <w:rsid w:val="00547A93"/>
    <w:rsid w:val="00547B47"/>
    <w:rsid w:val="00547C46"/>
    <w:rsid w:val="00547E60"/>
    <w:rsid w:val="00547EEB"/>
    <w:rsid w:val="00550017"/>
    <w:rsid w:val="005508A5"/>
    <w:rsid w:val="00550E07"/>
    <w:rsid w:val="00550EB1"/>
    <w:rsid w:val="0055100A"/>
    <w:rsid w:val="00551052"/>
    <w:rsid w:val="00551079"/>
    <w:rsid w:val="00551181"/>
    <w:rsid w:val="005511EA"/>
    <w:rsid w:val="005514F3"/>
    <w:rsid w:val="00551536"/>
    <w:rsid w:val="00551848"/>
    <w:rsid w:val="00551A89"/>
    <w:rsid w:val="00551AE8"/>
    <w:rsid w:val="00551D57"/>
    <w:rsid w:val="00551F10"/>
    <w:rsid w:val="00551F82"/>
    <w:rsid w:val="005520F1"/>
    <w:rsid w:val="00552119"/>
    <w:rsid w:val="00552131"/>
    <w:rsid w:val="00552735"/>
    <w:rsid w:val="005527BA"/>
    <w:rsid w:val="00552BD5"/>
    <w:rsid w:val="00552E5D"/>
    <w:rsid w:val="00552EBF"/>
    <w:rsid w:val="00552FFA"/>
    <w:rsid w:val="0055324A"/>
    <w:rsid w:val="0055333C"/>
    <w:rsid w:val="00553390"/>
    <w:rsid w:val="0055341F"/>
    <w:rsid w:val="005534B1"/>
    <w:rsid w:val="005535EC"/>
    <w:rsid w:val="00553627"/>
    <w:rsid w:val="0055366B"/>
    <w:rsid w:val="0055370D"/>
    <w:rsid w:val="0055371B"/>
    <w:rsid w:val="00553722"/>
    <w:rsid w:val="0055373B"/>
    <w:rsid w:val="00553744"/>
    <w:rsid w:val="00553799"/>
    <w:rsid w:val="00553810"/>
    <w:rsid w:val="0055386F"/>
    <w:rsid w:val="0055394B"/>
    <w:rsid w:val="00553AD5"/>
    <w:rsid w:val="00553B89"/>
    <w:rsid w:val="00553BE0"/>
    <w:rsid w:val="00553E99"/>
    <w:rsid w:val="0055404F"/>
    <w:rsid w:val="0055415C"/>
    <w:rsid w:val="0055445B"/>
    <w:rsid w:val="00554A1D"/>
    <w:rsid w:val="00554BF5"/>
    <w:rsid w:val="00554EB8"/>
    <w:rsid w:val="0055518D"/>
    <w:rsid w:val="00555367"/>
    <w:rsid w:val="00555763"/>
    <w:rsid w:val="005558A9"/>
    <w:rsid w:val="005559E9"/>
    <w:rsid w:val="00555CF0"/>
    <w:rsid w:val="00555E59"/>
    <w:rsid w:val="00555F38"/>
    <w:rsid w:val="0055621D"/>
    <w:rsid w:val="005562D9"/>
    <w:rsid w:val="0055635B"/>
    <w:rsid w:val="005563F9"/>
    <w:rsid w:val="00556584"/>
    <w:rsid w:val="00556671"/>
    <w:rsid w:val="0055667E"/>
    <w:rsid w:val="00556783"/>
    <w:rsid w:val="005567C9"/>
    <w:rsid w:val="00556883"/>
    <w:rsid w:val="005569B8"/>
    <w:rsid w:val="00556CF2"/>
    <w:rsid w:val="00556D6D"/>
    <w:rsid w:val="00556E51"/>
    <w:rsid w:val="00557100"/>
    <w:rsid w:val="0055713E"/>
    <w:rsid w:val="005571A3"/>
    <w:rsid w:val="00557211"/>
    <w:rsid w:val="005572A9"/>
    <w:rsid w:val="005574F6"/>
    <w:rsid w:val="005577BC"/>
    <w:rsid w:val="0055787B"/>
    <w:rsid w:val="00557A8E"/>
    <w:rsid w:val="00557C00"/>
    <w:rsid w:val="00557C24"/>
    <w:rsid w:val="00557C35"/>
    <w:rsid w:val="00557C94"/>
    <w:rsid w:val="00557FDF"/>
    <w:rsid w:val="00560080"/>
    <w:rsid w:val="005600B2"/>
    <w:rsid w:val="00560189"/>
    <w:rsid w:val="00560336"/>
    <w:rsid w:val="005604E0"/>
    <w:rsid w:val="005604FC"/>
    <w:rsid w:val="005606E5"/>
    <w:rsid w:val="00560734"/>
    <w:rsid w:val="00560811"/>
    <w:rsid w:val="00560833"/>
    <w:rsid w:val="00560A93"/>
    <w:rsid w:val="00560DA1"/>
    <w:rsid w:val="00560E15"/>
    <w:rsid w:val="00560EEE"/>
    <w:rsid w:val="00560F2D"/>
    <w:rsid w:val="00560FE1"/>
    <w:rsid w:val="00561293"/>
    <w:rsid w:val="005612AC"/>
    <w:rsid w:val="00561575"/>
    <w:rsid w:val="00561748"/>
    <w:rsid w:val="00561767"/>
    <w:rsid w:val="00561771"/>
    <w:rsid w:val="005617AD"/>
    <w:rsid w:val="00561898"/>
    <w:rsid w:val="005619C5"/>
    <w:rsid w:val="00561AB5"/>
    <w:rsid w:val="00561AEF"/>
    <w:rsid w:val="00561F9C"/>
    <w:rsid w:val="00562120"/>
    <w:rsid w:val="0056214D"/>
    <w:rsid w:val="0056282C"/>
    <w:rsid w:val="00562B75"/>
    <w:rsid w:val="00562C19"/>
    <w:rsid w:val="00562E6E"/>
    <w:rsid w:val="00562F04"/>
    <w:rsid w:val="00562FC3"/>
    <w:rsid w:val="005631B7"/>
    <w:rsid w:val="00563220"/>
    <w:rsid w:val="0056347A"/>
    <w:rsid w:val="00563881"/>
    <w:rsid w:val="00563973"/>
    <w:rsid w:val="0056399E"/>
    <w:rsid w:val="00563C2B"/>
    <w:rsid w:val="00563C4B"/>
    <w:rsid w:val="00563CD7"/>
    <w:rsid w:val="00563F9F"/>
    <w:rsid w:val="0056419B"/>
    <w:rsid w:val="00564233"/>
    <w:rsid w:val="005642E4"/>
    <w:rsid w:val="0056431C"/>
    <w:rsid w:val="005644E7"/>
    <w:rsid w:val="00564503"/>
    <w:rsid w:val="00564519"/>
    <w:rsid w:val="005645A0"/>
    <w:rsid w:val="0056464E"/>
    <w:rsid w:val="00564E34"/>
    <w:rsid w:val="005650B0"/>
    <w:rsid w:val="005652A9"/>
    <w:rsid w:val="00565325"/>
    <w:rsid w:val="00565370"/>
    <w:rsid w:val="00565386"/>
    <w:rsid w:val="00565397"/>
    <w:rsid w:val="005654AE"/>
    <w:rsid w:val="00565609"/>
    <w:rsid w:val="0056569B"/>
    <w:rsid w:val="0056579C"/>
    <w:rsid w:val="0056591D"/>
    <w:rsid w:val="00565960"/>
    <w:rsid w:val="005659EB"/>
    <w:rsid w:val="00565C6B"/>
    <w:rsid w:val="00565FD0"/>
    <w:rsid w:val="005660E6"/>
    <w:rsid w:val="00566187"/>
    <w:rsid w:val="005661A2"/>
    <w:rsid w:val="005665EE"/>
    <w:rsid w:val="005666AF"/>
    <w:rsid w:val="005666F8"/>
    <w:rsid w:val="00566832"/>
    <w:rsid w:val="0056686A"/>
    <w:rsid w:val="00566B35"/>
    <w:rsid w:val="00566CAD"/>
    <w:rsid w:val="00566CF7"/>
    <w:rsid w:val="00566F20"/>
    <w:rsid w:val="00567026"/>
    <w:rsid w:val="0056703B"/>
    <w:rsid w:val="005670FA"/>
    <w:rsid w:val="00567132"/>
    <w:rsid w:val="0056729A"/>
    <w:rsid w:val="00567635"/>
    <w:rsid w:val="00567776"/>
    <w:rsid w:val="00567927"/>
    <w:rsid w:val="00567C84"/>
    <w:rsid w:val="00567E34"/>
    <w:rsid w:val="00567FD1"/>
    <w:rsid w:val="00567FF7"/>
    <w:rsid w:val="00570265"/>
    <w:rsid w:val="005702FA"/>
    <w:rsid w:val="00570553"/>
    <w:rsid w:val="0057055D"/>
    <w:rsid w:val="0057059D"/>
    <w:rsid w:val="00570756"/>
    <w:rsid w:val="005709FC"/>
    <w:rsid w:val="00570A4B"/>
    <w:rsid w:val="00570B27"/>
    <w:rsid w:val="00570C36"/>
    <w:rsid w:val="00570CF5"/>
    <w:rsid w:val="00570DAC"/>
    <w:rsid w:val="00570E31"/>
    <w:rsid w:val="00570EDB"/>
    <w:rsid w:val="00571245"/>
    <w:rsid w:val="005714FA"/>
    <w:rsid w:val="00571676"/>
    <w:rsid w:val="0057169C"/>
    <w:rsid w:val="0057185F"/>
    <w:rsid w:val="005718AC"/>
    <w:rsid w:val="0057191C"/>
    <w:rsid w:val="005719FB"/>
    <w:rsid w:val="00571A66"/>
    <w:rsid w:val="00571B9C"/>
    <w:rsid w:val="00571C9B"/>
    <w:rsid w:val="00571D28"/>
    <w:rsid w:val="00571EC1"/>
    <w:rsid w:val="00572320"/>
    <w:rsid w:val="00572448"/>
    <w:rsid w:val="005724EC"/>
    <w:rsid w:val="00572A04"/>
    <w:rsid w:val="00572AA6"/>
    <w:rsid w:val="00572AC9"/>
    <w:rsid w:val="00572CD3"/>
    <w:rsid w:val="00572E3A"/>
    <w:rsid w:val="00572F04"/>
    <w:rsid w:val="00572F61"/>
    <w:rsid w:val="00572F93"/>
    <w:rsid w:val="0057318A"/>
    <w:rsid w:val="005735C3"/>
    <w:rsid w:val="005735FF"/>
    <w:rsid w:val="00573739"/>
    <w:rsid w:val="00573876"/>
    <w:rsid w:val="00573AD5"/>
    <w:rsid w:val="00573F3C"/>
    <w:rsid w:val="00574112"/>
    <w:rsid w:val="00574116"/>
    <w:rsid w:val="00574222"/>
    <w:rsid w:val="005743C5"/>
    <w:rsid w:val="005744F6"/>
    <w:rsid w:val="00574577"/>
    <w:rsid w:val="005746E1"/>
    <w:rsid w:val="00574804"/>
    <w:rsid w:val="00574911"/>
    <w:rsid w:val="00574A0D"/>
    <w:rsid w:val="00574C9E"/>
    <w:rsid w:val="00574D78"/>
    <w:rsid w:val="00575043"/>
    <w:rsid w:val="0057514E"/>
    <w:rsid w:val="005751D0"/>
    <w:rsid w:val="005752D2"/>
    <w:rsid w:val="0057579B"/>
    <w:rsid w:val="0057580E"/>
    <w:rsid w:val="0057582E"/>
    <w:rsid w:val="00576073"/>
    <w:rsid w:val="00576138"/>
    <w:rsid w:val="005764CD"/>
    <w:rsid w:val="00576555"/>
    <w:rsid w:val="0057656F"/>
    <w:rsid w:val="0057662B"/>
    <w:rsid w:val="0057687D"/>
    <w:rsid w:val="0057687E"/>
    <w:rsid w:val="00576898"/>
    <w:rsid w:val="00576978"/>
    <w:rsid w:val="005769C2"/>
    <w:rsid w:val="005769C4"/>
    <w:rsid w:val="00576A0F"/>
    <w:rsid w:val="00576ABB"/>
    <w:rsid w:val="00576BCB"/>
    <w:rsid w:val="00576C34"/>
    <w:rsid w:val="005771EC"/>
    <w:rsid w:val="005772FE"/>
    <w:rsid w:val="005773EB"/>
    <w:rsid w:val="00577460"/>
    <w:rsid w:val="00577705"/>
    <w:rsid w:val="00577723"/>
    <w:rsid w:val="0057786E"/>
    <w:rsid w:val="005778E2"/>
    <w:rsid w:val="00577922"/>
    <w:rsid w:val="0057792C"/>
    <w:rsid w:val="0057794B"/>
    <w:rsid w:val="00577976"/>
    <w:rsid w:val="00577BEF"/>
    <w:rsid w:val="00577EB5"/>
    <w:rsid w:val="00577EFD"/>
    <w:rsid w:val="005800AE"/>
    <w:rsid w:val="005800C9"/>
    <w:rsid w:val="0058013A"/>
    <w:rsid w:val="0058024A"/>
    <w:rsid w:val="00580259"/>
    <w:rsid w:val="00580477"/>
    <w:rsid w:val="0058076D"/>
    <w:rsid w:val="005807AB"/>
    <w:rsid w:val="00580834"/>
    <w:rsid w:val="0058091B"/>
    <w:rsid w:val="0058099B"/>
    <w:rsid w:val="00580A8A"/>
    <w:rsid w:val="00580AC4"/>
    <w:rsid w:val="00580BD0"/>
    <w:rsid w:val="00580BEB"/>
    <w:rsid w:val="00581076"/>
    <w:rsid w:val="00581257"/>
    <w:rsid w:val="0058142E"/>
    <w:rsid w:val="005815EA"/>
    <w:rsid w:val="00581970"/>
    <w:rsid w:val="005819F5"/>
    <w:rsid w:val="00581A1B"/>
    <w:rsid w:val="00581A6A"/>
    <w:rsid w:val="00581BE9"/>
    <w:rsid w:val="00581C7F"/>
    <w:rsid w:val="00581D7C"/>
    <w:rsid w:val="005829C1"/>
    <w:rsid w:val="00582A15"/>
    <w:rsid w:val="00582A19"/>
    <w:rsid w:val="00582B24"/>
    <w:rsid w:val="00582BAF"/>
    <w:rsid w:val="00582BE9"/>
    <w:rsid w:val="00582C6E"/>
    <w:rsid w:val="00582E6B"/>
    <w:rsid w:val="00582EF8"/>
    <w:rsid w:val="00582F2F"/>
    <w:rsid w:val="005830D1"/>
    <w:rsid w:val="005830F6"/>
    <w:rsid w:val="0058312C"/>
    <w:rsid w:val="0058317E"/>
    <w:rsid w:val="005831AD"/>
    <w:rsid w:val="00583322"/>
    <w:rsid w:val="00583431"/>
    <w:rsid w:val="005834B8"/>
    <w:rsid w:val="005835E8"/>
    <w:rsid w:val="00583738"/>
    <w:rsid w:val="00583976"/>
    <w:rsid w:val="005839BE"/>
    <w:rsid w:val="00583DD8"/>
    <w:rsid w:val="00583E3E"/>
    <w:rsid w:val="00583E5D"/>
    <w:rsid w:val="00583EC8"/>
    <w:rsid w:val="00583F9D"/>
    <w:rsid w:val="00584080"/>
    <w:rsid w:val="0058408C"/>
    <w:rsid w:val="005840CD"/>
    <w:rsid w:val="0058412B"/>
    <w:rsid w:val="0058440C"/>
    <w:rsid w:val="00584450"/>
    <w:rsid w:val="005844E1"/>
    <w:rsid w:val="0058471A"/>
    <w:rsid w:val="00584A4F"/>
    <w:rsid w:val="00584BC1"/>
    <w:rsid w:val="00584DF3"/>
    <w:rsid w:val="00584FB1"/>
    <w:rsid w:val="00585204"/>
    <w:rsid w:val="005852C4"/>
    <w:rsid w:val="00585316"/>
    <w:rsid w:val="0058544A"/>
    <w:rsid w:val="005854C1"/>
    <w:rsid w:val="00585508"/>
    <w:rsid w:val="005855AA"/>
    <w:rsid w:val="005859F8"/>
    <w:rsid w:val="00585B37"/>
    <w:rsid w:val="00585C6E"/>
    <w:rsid w:val="00585CB4"/>
    <w:rsid w:val="00585EF8"/>
    <w:rsid w:val="00586186"/>
    <w:rsid w:val="00586469"/>
    <w:rsid w:val="00586629"/>
    <w:rsid w:val="005867B2"/>
    <w:rsid w:val="005867EC"/>
    <w:rsid w:val="00586E18"/>
    <w:rsid w:val="005870BE"/>
    <w:rsid w:val="005871A0"/>
    <w:rsid w:val="005872A9"/>
    <w:rsid w:val="005874FE"/>
    <w:rsid w:val="0058775B"/>
    <w:rsid w:val="005877D1"/>
    <w:rsid w:val="00587864"/>
    <w:rsid w:val="00587948"/>
    <w:rsid w:val="00587ACB"/>
    <w:rsid w:val="00587C1B"/>
    <w:rsid w:val="00587C58"/>
    <w:rsid w:val="0059001B"/>
    <w:rsid w:val="00590079"/>
    <w:rsid w:val="00590114"/>
    <w:rsid w:val="00590398"/>
    <w:rsid w:val="005903C3"/>
    <w:rsid w:val="00590792"/>
    <w:rsid w:val="00590A28"/>
    <w:rsid w:val="00590C44"/>
    <w:rsid w:val="00590C84"/>
    <w:rsid w:val="00590DF6"/>
    <w:rsid w:val="00590E25"/>
    <w:rsid w:val="00590E44"/>
    <w:rsid w:val="00590EBF"/>
    <w:rsid w:val="00590FE7"/>
    <w:rsid w:val="0059111D"/>
    <w:rsid w:val="0059119E"/>
    <w:rsid w:val="00591607"/>
    <w:rsid w:val="005916FD"/>
    <w:rsid w:val="005918C8"/>
    <w:rsid w:val="00591924"/>
    <w:rsid w:val="00591BDE"/>
    <w:rsid w:val="00591C4B"/>
    <w:rsid w:val="00591F70"/>
    <w:rsid w:val="00591F78"/>
    <w:rsid w:val="00591FF7"/>
    <w:rsid w:val="0059225B"/>
    <w:rsid w:val="00592330"/>
    <w:rsid w:val="00592358"/>
    <w:rsid w:val="005923D6"/>
    <w:rsid w:val="005923DC"/>
    <w:rsid w:val="005923E4"/>
    <w:rsid w:val="00592490"/>
    <w:rsid w:val="005926B3"/>
    <w:rsid w:val="00592852"/>
    <w:rsid w:val="00592C28"/>
    <w:rsid w:val="00592CFD"/>
    <w:rsid w:val="00592DDC"/>
    <w:rsid w:val="00592E1D"/>
    <w:rsid w:val="00592E6C"/>
    <w:rsid w:val="00592E9D"/>
    <w:rsid w:val="0059315C"/>
    <w:rsid w:val="00593998"/>
    <w:rsid w:val="00593B00"/>
    <w:rsid w:val="00593DD2"/>
    <w:rsid w:val="00593E27"/>
    <w:rsid w:val="00593F54"/>
    <w:rsid w:val="005941E5"/>
    <w:rsid w:val="005942F0"/>
    <w:rsid w:val="0059438F"/>
    <w:rsid w:val="0059452F"/>
    <w:rsid w:val="0059497E"/>
    <w:rsid w:val="00594B12"/>
    <w:rsid w:val="00594BF2"/>
    <w:rsid w:val="00594DCE"/>
    <w:rsid w:val="00594EEE"/>
    <w:rsid w:val="0059513F"/>
    <w:rsid w:val="005951F7"/>
    <w:rsid w:val="0059520C"/>
    <w:rsid w:val="00595244"/>
    <w:rsid w:val="00595500"/>
    <w:rsid w:val="005955FB"/>
    <w:rsid w:val="005957A1"/>
    <w:rsid w:val="005957D1"/>
    <w:rsid w:val="0059596E"/>
    <w:rsid w:val="005959E0"/>
    <w:rsid w:val="00595A02"/>
    <w:rsid w:val="00595BE2"/>
    <w:rsid w:val="00595C34"/>
    <w:rsid w:val="00595D80"/>
    <w:rsid w:val="00595F71"/>
    <w:rsid w:val="0059600E"/>
    <w:rsid w:val="00596015"/>
    <w:rsid w:val="005961EC"/>
    <w:rsid w:val="0059647B"/>
    <w:rsid w:val="005964DE"/>
    <w:rsid w:val="0059653A"/>
    <w:rsid w:val="00596769"/>
    <w:rsid w:val="00596973"/>
    <w:rsid w:val="00596997"/>
    <w:rsid w:val="00596A3C"/>
    <w:rsid w:val="00596A7D"/>
    <w:rsid w:val="00596AED"/>
    <w:rsid w:val="00596C58"/>
    <w:rsid w:val="00596D5A"/>
    <w:rsid w:val="00596F14"/>
    <w:rsid w:val="005970C0"/>
    <w:rsid w:val="005970C3"/>
    <w:rsid w:val="005970F4"/>
    <w:rsid w:val="00597183"/>
    <w:rsid w:val="00597366"/>
    <w:rsid w:val="0059738D"/>
    <w:rsid w:val="00597456"/>
    <w:rsid w:val="005974A3"/>
    <w:rsid w:val="00597600"/>
    <w:rsid w:val="005978EE"/>
    <w:rsid w:val="005979FA"/>
    <w:rsid w:val="00597B4B"/>
    <w:rsid w:val="00597B63"/>
    <w:rsid w:val="00597C06"/>
    <w:rsid w:val="00597C6F"/>
    <w:rsid w:val="00597C80"/>
    <w:rsid w:val="005A0155"/>
    <w:rsid w:val="005A017D"/>
    <w:rsid w:val="005A023E"/>
    <w:rsid w:val="005A0255"/>
    <w:rsid w:val="005A0297"/>
    <w:rsid w:val="005A0375"/>
    <w:rsid w:val="005A038F"/>
    <w:rsid w:val="005A0714"/>
    <w:rsid w:val="005A0935"/>
    <w:rsid w:val="005A0CD5"/>
    <w:rsid w:val="005A0E08"/>
    <w:rsid w:val="005A0E8C"/>
    <w:rsid w:val="005A0EE0"/>
    <w:rsid w:val="005A0FB1"/>
    <w:rsid w:val="005A0FEA"/>
    <w:rsid w:val="005A108D"/>
    <w:rsid w:val="005A11A5"/>
    <w:rsid w:val="005A1297"/>
    <w:rsid w:val="005A1356"/>
    <w:rsid w:val="005A14CA"/>
    <w:rsid w:val="005A1735"/>
    <w:rsid w:val="005A1824"/>
    <w:rsid w:val="005A1909"/>
    <w:rsid w:val="005A1BDB"/>
    <w:rsid w:val="005A1E4B"/>
    <w:rsid w:val="005A1FD5"/>
    <w:rsid w:val="005A2026"/>
    <w:rsid w:val="005A207C"/>
    <w:rsid w:val="005A212B"/>
    <w:rsid w:val="005A21C4"/>
    <w:rsid w:val="005A2360"/>
    <w:rsid w:val="005A2527"/>
    <w:rsid w:val="005A25AD"/>
    <w:rsid w:val="005A2670"/>
    <w:rsid w:val="005A2722"/>
    <w:rsid w:val="005A2832"/>
    <w:rsid w:val="005A287B"/>
    <w:rsid w:val="005A293C"/>
    <w:rsid w:val="005A2B65"/>
    <w:rsid w:val="005A2CDF"/>
    <w:rsid w:val="005A2D2E"/>
    <w:rsid w:val="005A2DF0"/>
    <w:rsid w:val="005A2FEB"/>
    <w:rsid w:val="005A321B"/>
    <w:rsid w:val="005A322C"/>
    <w:rsid w:val="005A3234"/>
    <w:rsid w:val="005A3317"/>
    <w:rsid w:val="005A335B"/>
    <w:rsid w:val="005A3640"/>
    <w:rsid w:val="005A3651"/>
    <w:rsid w:val="005A36BB"/>
    <w:rsid w:val="005A36E3"/>
    <w:rsid w:val="005A371D"/>
    <w:rsid w:val="005A3781"/>
    <w:rsid w:val="005A378A"/>
    <w:rsid w:val="005A37E0"/>
    <w:rsid w:val="005A419B"/>
    <w:rsid w:val="005A41AD"/>
    <w:rsid w:val="005A4323"/>
    <w:rsid w:val="005A4605"/>
    <w:rsid w:val="005A4897"/>
    <w:rsid w:val="005A4908"/>
    <w:rsid w:val="005A4E45"/>
    <w:rsid w:val="005A4E7F"/>
    <w:rsid w:val="005A4EBC"/>
    <w:rsid w:val="005A5042"/>
    <w:rsid w:val="005A521E"/>
    <w:rsid w:val="005A533F"/>
    <w:rsid w:val="005A54AB"/>
    <w:rsid w:val="005A54FF"/>
    <w:rsid w:val="005A55C9"/>
    <w:rsid w:val="005A55DB"/>
    <w:rsid w:val="005A5600"/>
    <w:rsid w:val="005A56EA"/>
    <w:rsid w:val="005A59BF"/>
    <w:rsid w:val="005A5A08"/>
    <w:rsid w:val="005A5D27"/>
    <w:rsid w:val="005A6092"/>
    <w:rsid w:val="005A611A"/>
    <w:rsid w:val="005A62D2"/>
    <w:rsid w:val="005A6629"/>
    <w:rsid w:val="005A677E"/>
    <w:rsid w:val="005A679E"/>
    <w:rsid w:val="005A6CA4"/>
    <w:rsid w:val="005A6CBE"/>
    <w:rsid w:val="005A6CDC"/>
    <w:rsid w:val="005A6DA8"/>
    <w:rsid w:val="005A6EF5"/>
    <w:rsid w:val="005A7036"/>
    <w:rsid w:val="005A712E"/>
    <w:rsid w:val="005A72A7"/>
    <w:rsid w:val="005A73DA"/>
    <w:rsid w:val="005A73E5"/>
    <w:rsid w:val="005A74C7"/>
    <w:rsid w:val="005A77B5"/>
    <w:rsid w:val="005A7C26"/>
    <w:rsid w:val="005A7DEB"/>
    <w:rsid w:val="005B01AE"/>
    <w:rsid w:val="005B0439"/>
    <w:rsid w:val="005B05B4"/>
    <w:rsid w:val="005B06A3"/>
    <w:rsid w:val="005B0703"/>
    <w:rsid w:val="005B075F"/>
    <w:rsid w:val="005B0A04"/>
    <w:rsid w:val="005B0A73"/>
    <w:rsid w:val="005B0DB7"/>
    <w:rsid w:val="005B0DED"/>
    <w:rsid w:val="005B0F0F"/>
    <w:rsid w:val="005B1031"/>
    <w:rsid w:val="005B1211"/>
    <w:rsid w:val="005B1312"/>
    <w:rsid w:val="005B137C"/>
    <w:rsid w:val="005B14E9"/>
    <w:rsid w:val="005B16BA"/>
    <w:rsid w:val="005B1786"/>
    <w:rsid w:val="005B194A"/>
    <w:rsid w:val="005B19EE"/>
    <w:rsid w:val="005B1A20"/>
    <w:rsid w:val="005B1A24"/>
    <w:rsid w:val="005B1AFA"/>
    <w:rsid w:val="005B1C1F"/>
    <w:rsid w:val="005B1DC0"/>
    <w:rsid w:val="005B1DEA"/>
    <w:rsid w:val="005B201B"/>
    <w:rsid w:val="005B2023"/>
    <w:rsid w:val="005B20DA"/>
    <w:rsid w:val="005B218F"/>
    <w:rsid w:val="005B231F"/>
    <w:rsid w:val="005B24D3"/>
    <w:rsid w:val="005B2732"/>
    <w:rsid w:val="005B2992"/>
    <w:rsid w:val="005B29BE"/>
    <w:rsid w:val="005B2C7B"/>
    <w:rsid w:val="005B2C88"/>
    <w:rsid w:val="005B2D3E"/>
    <w:rsid w:val="005B2D47"/>
    <w:rsid w:val="005B2D9A"/>
    <w:rsid w:val="005B2ED3"/>
    <w:rsid w:val="005B2EEB"/>
    <w:rsid w:val="005B2F83"/>
    <w:rsid w:val="005B3135"/>
    <w:rsid w:val="005B3136"/>
    <w:rsid w:val="005B31FA"/>
    <w:rsid w:val="005B32C6"/>
    <w:rsid w:val="005B3647"/>
    <w:rsid w:val="005B3839"/>
    <w:rsid w:val="005B3897"/>
    <w:rsid w:val="005B389F"/>
    <w:rsid w:val="005B38C4"/>
    <w:rsid w:val="005B393C"/>
    <w:rsid w:val="005B396B"/>
    <w:rsid w:val="005B3A59"/>
    <w:rsid w:val="005B3B53"/>
    <w:rsid w:val="005B3D6C"/>
    <w:rsid w:val="005B3E35"/>
    <w:rsid w:val="005B3E47"/>
    <w:rsid w:val="005B41FD"/>
    <w:rsid w:val="005B4265"/>
    <w:rsid w:val="005B447F"/>
    <w:rsid w:val="005B45CF"/>
    <w:rsid w:val="005B4611"/>
    <w:rsid w:val="005B4703"/>
    <w:rsid w:val="005B471C"/>
    <w:rsid w:val="005B47BD"/>
    <w:rsid w:val="005B47C7"/>
    <w:rsid w:val="005B4A2D"/>
    <w:rsid w:val="005B4BC3"/>
    <w:rsid w:val="005B4BE7"/>
    <w:rsid w:val="005B4CF0"/>
    <w:rsid w:val="005B4E51"/>
    <w:rsid w:val="005B4EAD"/>
    <w:rsid w:val="005B4F89"/>
    <w:rsid w:val="005B4FE6"/>
    <w:rsid w:val="005B4FF8"/>
    <w:rsid w:val="005B5125"/>
    <w:rsid w:val="005B52CA"/>
    <w:rsid w:val="005B5423"/>
    <w:rsid w:val="005B549F"/>
    <w:rsid w:val="005B5523"/>
    <w:rsid w:val="005B5642"/>
    <w:rsid w:val="005B5887"/>
    <w:rsid w:val="005B598E"/>
    <w:rsid w:val="005B5A6C"/>
    <w:rsid w:val="005B5B75"/>
    <w:rsid w:val="005B5CAD"/>
    <w:rsid w:val="005B5E84"/>
    <w:rsid w:val="005B5E92"/>
    <w:rsid w:val="005B6063"/>
    <w:rsid w:val="005B6135"/>
    <w:rsid w:val="005B6397"/>
    <w:rsid w:val="005B6470"/>
    <w:rsid w:val="005B653F"/>
    <w:rsid w:val="005B689D"/>
    <w:rsid w:val="005B6943"/>
    <w:rsid w:val="005B6A87"/>
    <w:rsid w:val="005B6B11"/>
    <w:rsid w:val="005B6BC1"/>
    <w:rsid w:val="005B6C74"/>
    <w:rsid w:val="005B6CCF"/>
    <w:rsid w:val="005B6CF0"/>
    <w:rsid w:val="005B6D5A"/>
    <w:rsid w:val="005B6DCF"/>
    <w:rsid w:val="005B7128"/>
    <w:rsid w:val="005B71D7"/>
    <w:rsid w:val="005B720F"/>
    <w:rsid w:val="005B74FD"/>
    <w:rsid w:val="005B7524"/>
    <w:rsid w:val="005B7658"/>
    <w:rsid w:val="005B7752"/>
    <w:rsid w:val="005B78E1"/>
    <w:rsid w:val="005B79B4"/>
    <w:rsid w:val="005B7B9A"/>
    <w:rsid w:val="005B7CB8"/>
    <w:rsid w:val="005B7CBC"/>
    <w:rsid w:val="005B7D0E"/>
    <w:rsid w:val="005B7D14"/>
    <w:rsid w:val="005B7D27"/>
    <w:rsid w:val="005B7E2D"/>
    <w:rsid w:val="005B7EDA"/>
    <w:rsid w:val="005C0130"/>
    <w:rsid w:val="005C014C"/>
    <w:rsid w:val="005C01C4"/>
    <w:rsid w:val="005C01D6"/>
    <w:rsid w:val="005C03BE"/>
    <w:rsid w:val="005C0400"/>
    <w:rsid w:val="005C0485"/>
    <w:rsid w:val="005C04B9"/>
    <w:rsid w:val="005C05FF"/>
    <w:rsid w:val="005C0698"/>
    <w:rsid w:val="005C06A7"/>
    <w:rsid w:val="005C0797"/>
    <w:rsid w:val="005C09A3"/>
    <w:rsid w:val="005C09E0"/>
    <w:rsid w:val="005C0E45"/>
    <w:rsid w:val="005C0EB2"/>
    <w:rsid w:val="005C1142"/>
    <w:rsid w:val="005C1269"/>
    <w:rsid w:val="005C134F"/>
    <w:rsid w:val="005C141D"/>
    <w:rsid w:val="005C1751"/>
    <w:rsid w:val="005C1822"/>
    <w:rsid w:val="005C1ADE"/>
    <w:rsid w:val="005C1B14"/>
    <w:rsid w:val="005C1B20"/>
    <w:rsid w:val="005C1CB7"/>
    <w:rsid w:val="005C1DC6"/>
    <w:rsid w:val="005C20DF"/>
    <w:rsid w:val="005C211E"/>
    <w:rsid w:val="005C21FA"/>
    <w:rsid w:val="005C2622"/>
    <w:rsid w:val="005C2640"/>
    <w:rsid w:val="005C26A6"/>
    <w:rsid w:val="005C2940"/>
    <w:rsid w:val="005C2963"/>
    <w:rsid w:val="005C29EC"/>
    <w:rsid w:val="005C29F3"/>
    <w:rsid w:val="005C2A28"/>
    <w:rsid w:val="005C2B11"/>
    <w:rsid w:val="005C2B38"/>
    <w:rsid w:val="005C2BC7"/>
    <w:rsid w:val="005C2C2A"/>
    <w:rsid w:val="005C2D56"/>
    <w:rsid w:val="005C2D7B"/>
    <w:rsid w:val="005C2F66"/>
    <w:rsid w:val="005C30D8"/>
    <w:rsid w:val="005C3143"/>
    <w:rsid w:val="005C316D"/>
    <w:rsid w:val="005C3254"/>
    <w:rsid w:val="005C3293"/>
    <w:rsid w:val="005C32DB"/>
    <w:rsid w:val="005C335A"/>
    <w:rsid w:val="005C33B3"/>
    <w:rsid w:val="005C3471"/>
    <w:rsid w:val="005C347A"/>
    <w:rsid w:val="005C36E5"/>
    <w:rsid w:val="005C37A2"/>
    <w:rsid w:val="005C3834"/>
    <w:rsid w:val="005C38B7"/>
    <w:rsid w:val="005C392B"/>
    <w:rsid w:val="005C393F"/>
    <w:rsid w:val="005C395A"/>
    <w:rsid w:val="005C3994"/>
    <w:rsid w:val="005C3E54"/>
    <w:rsid w:val="005C41DA"/>
    <w:rsid w:val="005C43A4"/>
    <w:rsid w:val="005C447C"/>
    <w:rsid w:val="005C47EC"/>
    <w:rsid w:val="005C496E"/>
    <w:rsid w:val="005C49BD"/>
    <w:rsid w:val="005C4AF4"/>
    <w:rsid w:val="005C4C82"/>
    <w:rsid w:val="005C4D4C"/>
    <w:rsid w:val="005C4D5C"/>
    <w:rsid w:val="005C4F15"/>
    <w:rsid w:val="005C4F59"/>
    <w:rsid w:val="005C4F7B"/>
    <w:rsid w:val="005C509E"/>
    <w:rsid w:val="005C50B3"/>
    <w:rsid w:val="005C51BC"/>
    <w:rsid w:val="005C51F6"/>
    <w:rsid w:val="005C53B5"/>
    <w:rsid w:val="005C5636"/>
    <w:rsid w:val="005C56CE"/>
    <w:rsid w:val="005C58D8"/>
    <w:rsid w:val="005C59FA"/>
    <w:rsid w:val="005C5C78"/>
    <w:rsid w:val="005C5D09"/>
    <w:rsid w:val="005C5F8E"/>
    <w:rsid w:val="005C60B1"/>
    <w:rsid w:val="005C6145"/>
    <w:rsid w:val="005C636D"/>
    <w:rsid w:val="005C6536"/>
    <w:rsid w:val="005C659E"/>
    <w:rsid w:val="005C65C2"/>
    <w:rsid w:val="005C662B"/>
    <w:rsid w:val="005C68F6"/>
    <w:rsid w:val="005C6A60"/>
    <w:rsid w:val="005C6A77"/>
    <w:rsid w:val="005C6B0D"/>
    <w:rsid w:val="005C6B81"/>
    <w:rsid w:val="005C6E46"/>
    <w:rsid w:val="005C6F34"/>
    <w:rsid w:val="005C6F9D"/>
    <w:rsid w:val="005C71F3"/>
    <w:rsid w:val="005C71FE"/>
    <w:rsid w:val="005C732F"/>
    <w:rsid w:val="005C7488"/>
    <w:rsid w:val="005C7531"/>
    <w:rsid w:val="005C763B"/>
    <w:rsid w:val="005C7773"/>
    <w:rsid w:val="005C7979"/>
    <w:rsid w:val="005C7985"/>
    <w:rsid w:val="005D0014"/>
    <w:rsid w:val="005D03E1"/>
    <w:rsid w:val="005D04C0"/>
    <w:rsid w:val="005D057A"/>
    <w:rsid w:val="005D058B"/>
    <w:rsid w:val="005D06B5"/>
    <w:rsid w:val="005D09C6"/>
    <w:rsid w:val="005D0BC4"/>
    <w:rsid w:val="005D0BE6"/>
    <w:rsid w:val="005D0BEE"/>
    <w:rsid w:val="005D0E6C"/>
    <w:rsid w:val="005D0F50"/>
    <w:rsid w:val="005D0F8F"/>
    <w:rsid w:val="005D1113"/>
    <w:rsid w:val="005D11CD"/>
    <w:rsid w:val="005D125E"/>
    <w:rsid w:val="005D1284"/>
    <w:rsid w:val="005D1416"/>
    <w:rsid w:val="005D1457"/>
    <w:rsid w:val="005D149C"/>
    <w:rsid w:val="005D14D8"/>
    <w:rsid w:val="005D1588"/>
    <w:rsid w:val="005D199A"/>
    <w:rsid w:val="005D1AFF"/>
    <w:rsid w:val="005D1B2A"/>
    <w:rsid w:val="005D1C2B"/>
    <w:rsid w:val="005D1CFC"/>
    <w:rsid w:val="005D1ED7"/>
    <w:rsid w:val="005D1F25"/>
    <w:rsid w:val="005D1FDB"/>
    <w:rsid w:val="005D2045"/>
    <w:rsid w:val="005D2054"/>
    <w:rsid w:val="005D237F"/>
    <w:rsid w:val="005D2693"/>
    <w:rsid w:val="005D2699"/>
    <w:rsid w:val="005D2883"/>
    <w:rsid w:val="005D28E6"/>
    <w:rsid w:val="005D2A95"/>
    <w:rsid w:val="005D2B76"/>
    <w:rsid w:val="005D2B97"/>
    <w:rsid w:val="005D2C20"/>
    <w:rsid w:val="005D2C2C"/>
    <w:rsid w:val="005D2DE8"/>
    <w:rsid w:val="005D30F1"/>
    <w:rsid w:val="005D31AB"/>
    <w:rsid w:val="005D3242"/>
    <w:rsid w:val="005D33B8"/>
    <w:rsid w:val="005D3426"/>
    <w:rsid w:val="005D3538"/>
    <w:rsid w:val="005D3955"/>
    <w:rsid w:val="005D3958"/>
    <w:rsid w:val="005D39A3"/>
    <w:rsid w:val="005D3A04"/>
    <w:rsid w:val="005D3A9B"/>
    <w:rsid w:val="005D3AC7"/>
    <w:rsid w:val="005D3D01"/>
    <w:rsid w:val="005D3D07"/>
    <w:rsid w:val="005D3D9E"/>
    <w:rsid w:val="005D437D"/>
    <w:rsid w:val="005D438E"/>
    <w:rsid w:val="005D4462"/>
    <w:rsid w:val="005D448F"/>
    <w:rsid w:val="005D44B5"/>
    <w:rsid w:val="005D45CF"/>
    <w:rsid w:val="005D4733"/>
    <w:rsid w:val="005D490C"/>
    <w:rsid w:val="005D491F"/>
    <w:rsid w:val="005D497B"/>
    <w:rsid w:val="005D4B73"/>
    <w:rsid w:val="005D4BAB"/>
    <w:rsid w:val="005D4BDC"/>
    <w:rsid w:val="005D4FEF"/>
    <w:rsid w:val="005D517C"/>
    <w:rsid w:val="005D52B8"/>
    <w:rsid w:val="005D52F1"/>
    <w:rsid w:val="005D5311"/>
    <w:rsid w:val="005D5318"/>
    <w:rsid w:val="005D5367"/>
    <w:rsid w:val="005D5389"/>
    <w:rsid w:val="005D53E7"/>
    <w:rsid w:val="005D541A"/>
    <w:rsid w:val="005D587C"/>
    <w:rsid w:val="005D59E8"/>
    <w:rsid w:val="005D5A55"/>
    <w:rsid w:val="005D5A86"/>
    <w:rsid w:val="005D5C19"/>
    <w:rsid w:val="005D5CC5"/>
    <w:rsid w:val="005D5D35"/>
    <w:rsid w:val="005D5D5C"/>
    <w:rsid w:val="005D5E3D"/>
    <w:rsid w:val="005D6155"/>
    <w:rsid w:val="005D6174"/>
    <w:rsid w:val="005D628A"/>
    <w:rsid w:val="005D646D"/>
    <w:rsid w:val="005D6784"/>
    <w:rsid w:val="005D68E9"/>
    <w:rsid w:val="005D6916"/>
    <w:rsid w:val="005D6921"/>
    <w:rsid w:val="005D6A20"/>
    <w:rsid w:val="005D6AE7"/>
    <w:rsid w:val="005D6C6B"/>
    <w:rsid w:val="005D6F99"/>
    <w:rsid w:val="005D6FF5"/>
    <w:rsid w:val="005D7304"/>
    <w:rsid w:val="005D782F"/>
    <w:rsid w:val="005D79A8"/>
    <w:rsid w:val="005D79F9"/>
    <w:rsid w:val="005D7A3B"/>
    <w:rsid w:val="005D7A9C"/>
    <w:rsid w:val="005D7D74"/>
    <w:rsid w:val="005D7ED4"/>
    <w:rsid w:val="005E0132"/>
    <w:rsid w:val="005E0142"/>
    <w:rsid w:val="005E029F"/>
    <w:rsid w:val="005E0478"/>
    <w:rsid w:val="005E04DB"/>
    <w:rsid w:val="005E051E"/>
    <w:rsid w:val="005E0A85"/>
    <w:rsid w:val="005E0B47"/>
    <w:rsid w:val="005E0B5C"/>
    <w:rsid w:val="005E0CCA"/>
    <w:rsid w:val="005E0DEB"/>
    <w:rsid w:val="005E0EBA"/>
    <w:rsid w:val="005E1061"/>
    <w:rsid w:val="005E10F4"/>
    <w:rsid w:val="005E11EE"/>
    <w:rsid w:val="005E13CC"/>
    <w:rsid w:val="005E1459"/>
    <w:rsid w:val="005E148C"/>
    <w:rsid w:val="005E1552"/>
    <w:rsid w:val="005E17BA"/>
    <w:rsid w:val="005E17F5"/>
    <w:rsid w:val="005E1848"/>
    <w:rsid w:val="005E1AED"/>
    <w:rsid w:val="005E1D5D"/>
    <w:rsid w:val="005E1D93"/>
    <w:rsid w:val="005E1FC5"/>
    <w:rsid w:val="005E214B"/>
    <w:rsid w:val="005E2323"/>
    <w:rsid w:val="005E2382"/>
    <w:rsid w:val="005E23F2"/>
    <w:rsid w:val="005E24B3"/>
    <w:rsid w:val="005E24B7"/>
    <w:rsid w:val="005E285A"/>
    <w:rsid w:val="005E291D"/>
    <w:rsid w:val="005E2B92"/>
    <w:rsid w:val="005E2C18"/>
    <w:rsid w:val="005E2CEF"/>
    <w:rsid w:val="005E2E3A"/>
    <w:rsid w:val="005E2E98"/>
    <w:rsid w:val="005E300E"/>
    <w:rsid w:val="005E3016"/>
    <w:rsid w:val="005E30DF"/>
    <w:rsid w:val="005E3158"/>
    <w:rsid w:val="005E3583"/>
    <w:rsid w:val="005E3773"/>
    <w:rsid w:val="005E3827"/>
    <w:rsid w:val="005E388B"/>
    <w:rsid w:val="005E38DB"/>
    <w:rsid w:val="005E39EC"/>
    <w:rsid w:val="005E3A23"/>
    <w:rsid w:val="005E3A5B"/>
    <w:rsid w:val="005E3AA4"/>
    <w:rsid w:val="005E3B4A"/>
    <w:rsid w:val="005E3C85"/>
    <w:rsid w:val="005E3FC0"/>
    <w:rsid w:val="005E400E"/>
    <w:rsid w:val="005E466B"/>
    <w:rsid w:val="005E46D5"/>
    <w:rsid w:val="005E49B1"/>
    <w:rsid w:val="005E49C5"/>
    <w:rsid w:val="005E4C26"/>
    <w:rsid w:val="005E4C84"/>
    <w:rsid w:val="005E4DE6"/>
    <w:rsid w:val="005E4FF3"/>
    <w:rsid w:val="005E5021"/>
    <w:rsid w:val="005E51BB"/>
    <w:rsid w:val="005E51DC"/>
    <w:rsid w:val="005E51FB"/>
    <w:rsid w:val="005E5270"/>
    <w:rsid w:val="005E533E"/>
    <w:rsid w:val="005E534B"/>
    <w:rsid w:val="005E549F"/>
    <w:rsid w:val="005E5723"/>
    <w:rsid w:val="005E59D2"/>
    <w:rsid w:val="005E59D8"/>
    <w:rsid w:val="005E5A19"/>
    <w:rsid w:val="005E5C92"/>
    <w:rsid w:val="005E5CDC"/>
    <w:rsid w:val="005E5CE0"/>
    <w:rsid w:val="005E5D56"/>
    <w:rsid w:val="005E5E65"/>
    <w:rsid w:val="005E5F3E"/>
    <w:rsid w:val="005E6146"/>
    <w:rsid w:val="005E6437"/>
    <w:rsid w:val="005E64F1"/>
    <w:rsid w:val="005E67B3"/>
    <w:rsid w:val="005E690F"/>
    <w:rsid w:val="005E6CC6"/>
    <w:rsid w:val="005E6D8A"/>
    <w:rsid w:val="005E6E12"/>
    <w:rsid w:val="005E6F88"/>
    <w:rsid w:val="005E7032"/>
    <w:rsid w:val="005E7479"/>
    <w:rsid w:val="005E74A2"/>
    <w:rsid w:val="005E74D6"/>
    <w:rsid w:val="005E7694"/>
    <w:rsid w:val="005E76EE"/>
    <w:rsid w:val="005E77B5"/>
    <w:rsid w:val="005E7821"/>
    <w:rsid w:val="005E79D9"/>
    <w:rsid w:val="005E7C7C"/>
    <w:rsid w:val="005E7C91"/>
    <w:rsid w:val="005E7D37"/>
    <w:rsid w:val="005E7F07"/>
    <w:rsid w:val="005E7FF5"/>
    <w:rsid w:val="005F0188"/>
    <w:rsid w:val="005F01CF"/>
    <w:rsid w:val="005F029A"/>
    <w:rsid w:val="005F02A3"/>
    <w:rsid w:val="005F0350"/>
    <w:rsid w:val="005F035A"/>
    <w:rsid w:val="005F08A3"/>
    <w:rsid w:val="005F0973"/>
    <w:rsid w:val="005F0A0C"/>
    <w:rsid w:val="005F0A97"/>
    <w:rsid w:val="005F0AAA"/>
    <w:rsid w:val="005F0E68"/>
    <w:rsid w:val="005F0ECE"/>
    <w:rsid w:val="005F0F65"/>
    <w:rsid w:val="005F1134"/>
    <w:rsid w:val="005F119E"/>
    <w:rsid w:val="005F11E8"/>
    <w:rsid w:val="005F1256"/>
    <w:rsid w:val="005F140C"/>
    <w:rsid w:val="005F16BC"/>
    <w:rsid w:val="005F1A2A"/>
    <w:rsid w:val="005F1C0C"/>
    <w:rsid w:val="005F1C44"/>
    <w:rsid w:val="005F1CA5"/>
    <w:rsid w:val="005F1DB0"/>
    <w:rsid w:val="005F1EBD"/>
    <w:rsid w:val="005F20CE"/>
    <w:rsid w:val="005F224C"/>
    <w:rsid w:val="005F25B1"/>
    <w:rsid w:val="005F26C4"/>
    <w:rsid w:val="005F2729"/>
    <w:rsid w:val="005F27E6"/>
    <w:rsid w:val="005F293D"/>
    <w:rsid w:val="005F2964"/>
    <w:rsid w:val="005F2BA1"/>
    <w:rsid w:val="005F2BB7"/>
    <w:rsid w:val="005F2F6C"/>
    <w:rsid w:val="005F313A"/>
    <w:rsid w:val="005F33E3"/>
    <w:rsid w:val="005F34F8"/>
    <w:rsid w:val="005F3536"/>
    <w:rsid w:val="005F35B8"/>
    <w:rsid w:val="005F35DF"/>
    <w:rsid w:val="005F37AA"/>
    <w:rsid w:val="005F37E3"/>
    <w:rsid w:val="005F38CB"/>
    <w:rsid w:val="005F39CC"/>
    <w:rsid w:val="005F3ACD"/>
    <w:rsid w:val="005F3B91"/>
    <w:rsid w:val="005F3BD2"/>
    <w:rsid w:val="005F40E0"/>
    <w:rsid w:val="005F41C8"/>
    <w:rsid w:val="005F4227"/>
    <w:rsid w:val="005F434D"/>
    <w:rsid w:val="005F43C7"/>
    <w:rsid w:val="005F4458"/>
    <w:rsid w:val="005F4482"/>
    <w:rsid w:val="005F44C7"/>
    <w:rsid w:val="005F4642"/>
    <w:rsid w:val="005F4668"/>
    <w:rsid w:val="005F4722"/>
    <w:rsid w:val="005F497A"/>
    <w:rsid w:val="005F4C68"/>
    <w:rsid w:val="005F4D31"/>
    <w:rsid w:val="005F4DAB"/>
    <w:rsid w:val="005F4E4D"/>
    <w:rsid w:val="005F4E6E"/>
    <w:rsid w:val="005F4EC3"/>
    <w:rsid w:val="005F4EE5"/>
    <w:rsid w:val="005F4F19"/>
    <w:rsid w:val="005F4F55"/>
    <w:rsid w:val="005F4F79"/>
    <w:rsid w:val="005F4FC0"/>
    <w:rsid w:val="005F4FC9"/>
    <w:rsid w:val="005F5019"/>
    <w:rsid w:val="005F522B"/>
    <w:rsid w:val="005F5270"/>
    <w:rsid w:val="005F5323"/>
    <w:rsid w:val="005F5439"/>
    <w:rsid w:val="005F5445"/>
    <w:rsid w:val="005F54F1"/>
    <w:rsid w:val="005F559C"/>
    <w:rsid w:val="005F56A1"/>
    <w:rsid w:val="005F57C5"/>
    <w:rsid w:val="005F58D3"/>
    <w:rsid w:val="005F595A"/>
    <w:rsid w:val="005F5962"/>
    <w:rsid w:val="005F5AB5"/>
    <w:rsid w:val="005F5AB8"/>
    <w:rsid w:val="005F5BCA"/>
    <w:rsid w:val="005F5CD6"/>
    <w:rsid w:val="005F5E57"/>
    <w:rsid w:val="005F62F0"/>
    <w:rsid w:val="005F6311"/>
    <w:rsid w:val="005F650A"/>
    <w:rsid w:val="005F66EF"/>
    <w:rsid w:val="005F678D"/>
    <w:rsid w:val="005F68DF"/>
    <w:rsid w:val="005F6983"/>
    <w:rsid w:val="005F69B1"/>
    <w:rsid w:val="005F6A6F"/>
    <w:rsid w:val="005F6A83"/>
    <w:rsid w:val="005F6BB1"/>
    <w:rsid w:val="005F6C51"/>
    <w:rsid w:val="005F6C6F"/>
    <w:rsid w:val="005F6CD2"/>
    <w:rsid w:val="005F6EA4"/>
    <w:rsid w:val="005F6EA7"/>
    <w:rsid w:val="005F6F34"/>
    <w:rsid w:val="005F71F9"/>
    <w:rsid w:val="005F7282"/>
    <w:rsid w:val="005F75BF"/>
    <w:rsid w:val="005F7654"/>
    <w:rsid w:val="005F7675"/>
    <w:rsid w:val="005F7855"/>
    <w:rsid w:val="005F7879"/>
    <w:rsid w:val="005F796B"/>
    <w:rsid w:val="005F7AA2"/>
    <w:rsid w:val="005F7AF5"/>
    <w:rsid w:val="006000B9"/>
    <w:rsid w:val="0060024F"/>
    <w:rsid w:val="00600861"/>
    <w:rsid w:val="00600940"/>
    <w:rsid w:val="0060098D"/>
    <w:rsid w:val="006009DF"/>
    <w:rsid w:val="00600A73"/>
    <w:rsid w:val="00600C4C"/>
    <w:rsid w:val="00600E19"/>
    <w:rsid w:val="00600E1F"/>
    <w:rsid w:val="00600EE7"/>
    <w:rsid w:val="00600FE4"/>
    <w:rsid w:val="0060128B"/>
    <w:rsid w:val="006012B9"/>
    <w:rsid w:val="0060144B"/>
    <w:rsid w:val="0060148F"/>
    <w:rsid w:val="006014D6"/>
    <w:rsid w:val="006015E0"/>
    <w:rsid w:val="00601729"/>
    <w:rsid w:val="00601764"/>
    <w:rsid w:val="00601836"/>
    <w:rsid w:val="00601A33"/>
    <w:rsid w:val="00601BEC"/>
    <w:rsid w:val="00601C81"/>
    <w:rsid w:val="00601D7E"/>
    <w:rsid w:val="006020A9"/>
    <w:rsid w:val="00602272"/>
    <w:rsid w:val="00602529"/>
    <w:rsid w:val="00602570"/>
    <w:rsid w:val="00602592"/>
    <w:rsid w:val="006026A6"/>
    <w:rsid w:val="00602714"/>
    <w:rsid w:val="00602970"/>
    <w:rsid w:val="00602A09"/>
    <w:rsid w:val="00602AD9"/>
    <w:rsid w:val="00602C24"/>
    <w:rsid w:val="00602EE4"/>
    <w:rsid w:val="00603273"/>
    <w:rsid w:val="0060336C"/>
    <w:rsid w:val="00603485"/>
    <w:rsid w:val="00603611"/>
    <w:rsid w:val="006036F5"/>
    <w:rsid w:val="00603870"/>
    <w:rsid w:val="006039A7"/>
    <w:rsid w:val="006039AB"/>
    <w:rsid w:val="006039CD"/>
    <w:rsid w:val="00603C8E"/>
    <w:rsid w:val="00603D9D"/>
    <w:rsid w:val="00603DBD"/>
    <w:rsid w:val="00603DDB"/>
    <w:rsid w:val="00603EB0"/>
    <w:rsid w:val="006041C1"/>
    <w:rsid w:val="00604417"/>
    <w:rsid w:val="006044A8"/>
    <w:rsid w:val="0060455A"/>
    <w:rsid w:val="006045D9"/>
    <w:rsid w:val="0060467E"/>
    <w:rsid w:val="00604692"/>
    <w:rsid w:val="0060476E"/>
    <w:rsid w:val="006047C7"/>
    <w:rsid w:val="006047CA"/>
    <w:rsid w:val="00604847"/>
    <w:rsid w:val="006049B0"/>
    <w:rsid w:val="00604BC9"/>
    <w:rsid w:val="00604F8D"/>
    <w:rsid w:val="00604FBF"/>
    <w:rsid w:val="00604FEF"/>
    <w:rsid w:val="00605120"/>
    <w:rsid w:val="00605190"/>
    <w:rsid w:val="00605199"/>
    <w:rsid w:val="0060539D"/>
    <w:rsid w:val="006053CC"/>
    <w:rsid w:val="006055EE"/>
    <w:rsid w:val="0060587B"/>
    <w:rsid w:val="006059BA"/>
    <w:rsid w:val="00605C41"/>
    <w:rsid w:val="00605D45"/>
    <w:rsid w:val="00606157"/>
    <w:rsid w:val="006062BE"/>
    <w:rsid w:val="0060643C"/>
    <w:rsid w:val="006064AC"/>
    <w:rsid w:val="00606526"/>
    <w:rsid w:val="0060654E"/>
    <w:rsid w:val="006065BF"/>
    <w:rsid w:val="00606803"/>
    <w:rsid w:val="0060681B"/>
    <w:rsid w:val="0060686C"/>
    <w:rsid w:val="0060690C"/>
    <w:rsid w:val="0060691F"/>
    <w:rsid w:val="00606A0F"/>
    <w:rsid w:val="00606A90"/>
    <w:rsid w:val="00606E2F"/>
    <w:rsid w:val="00606EA3"/>
    <w:rsid w:val="0060702B"/>
    <w:rsid w:val="00607094"/>
    <w:rsid w:val="00607607"/>
    <w:rsid w:val="0060765F"/>
    <w:rsid w:val="0060789C"/>
    <w:rsid w:val="006078D1"/>
    <w:rsid w:val="00607A75"/>
    <w:rsid w:val="00607C6B"/>
    <w:rsid w:val="00607C97"/>
    <w:rsid w:val="00607CD9"/>
    <w:rsid w:val="00607D0C"/>
    <w:rsid w:val="00607DA7"/>
    <w:rsid w:val="00607DB3"/>
    <w:rsid w:val="0061007C"/>
    <w:rsid w:val="00610084"/>
    <w:rsid w:val="0061026F"/>
    <w:rsid w:val="006104B0"/>
    <w:rsid w:val="00610505"/>
    <w:rsid w:val="00610589"/>
    <w:rsid w:val="006109D7"/>
    <w:rsid w:val="00610A02"/>
    <w:rsid w:val="00610AC8"/>
    <w:rsid w:val="00610BD8"/>
    <w:rsid w:val="00611046"/>
    <w:rsid w:val="00611230"/>
    <w:rsid w:val="00611272"/>
    <w:rsid w:val="00611306"/>
    <w:rsid w:val="0061139C"/>
    <w:rsid w:val="006113CD"/>
    <w:rsid w:val="0061148A"/>
    <w:rsid w:val="006114BE"/>
    <w:rsid w:val="006114C5"/>
    <w:rsid w:val="0061158D"/>
    <w:rsid w:val="006118BB"/>
    <w:rsid w:val="006118E2"/>
    <w:rsid w:val="0061192A"/>
    <w:rsid w:val="006119CF"/>
    <w:rsid w:val="00611B77"/>
    <w:rsid w:val="00611BD6"/>
    <w:rsid w:val="00611C76"/>
    <w:rsid w:val="00611CA5"/>
    <w:rsid w:val="00611F1E"/>
    <w:rsid w:val="00612127"/>
    <w:rsid w:val="0061222B"/>
    <w:rsid w:val="006127C0"/>
    <w:rsid w:val="006129EF"/>
    <w:rsid w:val="00612A0A"/>
    <w:rsid w:val="00612A39"/>
    <w:rsid w:val="00612B8F"/>
    <w:rsid w:val="00612C5D"/>
    <w:rsid w:val="00612D88"/>
    <w:rsid w:val="006130A0"/>
    <w:rsid w:val="00613474"/>
    <w:rsid w:val="00613495"/>
    <w:rsid w:val="006136A2"/>
    <w:rsid w:val="006136B7"/>
    <w:rsid w:val="006136B9"/>
    <w:rsid w:val="006137A0"/>
    <w:rsid w:val="00613855"/>
    <w:rsid w:val="00613881"/>
    <w:rsid w:val="00613883"/>
    <w:rsid w:val="006138E0"/>
    <w:rsid w:val="00613902"/>
    <w:rsid w:val="00613A52"/>
    <w:rsid w:val="00613A8C"/>
    <w:rsid w:val="00613BF2"/>
    <w:rsid w:val="00613D15"/>
    <w:rsid w:val="00613E32"/>
    <w:rsid w:val="00613E71"/>
    <w:rsid w:val="00613F7F"/>
    <w:rsid w:val="00614016"/>
    <w:rsid w:val="00614053"/>
    <w:rsid w:val="00614071"/>
    <w:rsid w:val="0061447D"/>
    <w:rsid w:val="006145BF"/>
    <w:rsid w:val="00614665"/>
    <w:rsid w:val="006146A1"/>
    <w:rsid w:val="006146FC"/>
    <w:rsid w:val="00614929"/>
    <w:rsid w:val="00614B79"/>
    <w:rsid w:val="00614D56"/>
    <w:rsid w:val="00614F90"/>
    <w:rsid w:val="00615289"/>
    <w:rsid w:val="00615464"/>
    <w:rsid w:val="00615551"/>
    <w:rsid w:val="006155A7"/>
    <w:rsid w:val="0061591E"/>
    <w:rsid w:val="006159D8"/>
    <w:rsid w:val="00615A3C"/>
    <w:rsid w:val="00615BA7"/>
    <w:rsid w:val="00615BA9"/>
    <w:rsid w:val="00615C5E"/>
    <w:rsid w:val="00615CE0"/>
    <w:rsid w:val="00615E82"/>
    <w:rsid w:val="006160D4"/>
    <w:rsid w:val="006161E4"/>
    <w:rsid w:val="006163F9"/>
    <w:rsid w:val="00616894"/>
    <w:rsid w:val="006168B1"/>
    <w:rsid w:val="00616908"/>
    <w:rsid w:val="00616AEC"/>
    <w:rsid w:val="00616CAF"/>
    <w:rsid w:val="00616E93"/>
    <w:rsid w:val="00616FC5"/>
    <w:rsid w:val="0061703B"/>
    <w:rsid w:val="00617308"/>
    <w:rsid w:val="006174BD"/>
    <w:rsid w:val="006174ED"/>
    <w:rsid w:val="00617557"/>
    <w:rsid w:val="006177B2"/>
    <w:rsid w:val="00617D35"/>
    <w:rsid w:val="00617DF8"/>
    <w:rsid w:val="00617E10"/>
    <w:rsid w:val="00617E31"/>
    <w:rsid w:val="00617E4B"/>
    <w:rsid w:val="00617ECE"/>
    <w:rsid w:val="0062027F"/>
    <w:rsid w:val="00620280"/>
    <w:rsid w:val="00620394"/>
    <w:rsid w:val="006206BF"/>
    <w:rsid w:val="00620706"/>
    <w:rsid w:val="00620881"/>
    <w:rsid w:val="00620923"/>
    <w:rsid w:val="00620A67"/>
    <w:rsid w:val="00620A83"/>
    <w:rsid w:val="00620C01"/>
    <w:rsid w:val="00620C87"/>
    <w:rsid w:val="00620FCB"/>
    <w:rsid w:val="00621099"/>
    <w:rsid w:val="00621116"/>
    <w:rsid w:val="00621230"/>
    <w:rsid w:val="006214C4"/>
    <w:rsid w:val="006215EE"/>
    <w:rsid w:val="0062160A"/>
    <w:rsid w:val="0062162B"/>
    <w:rsid w:val="0062165A"/>
    <w:rsid w:val="0062168A"/>
    <w:rsid w:val="0062183E"/>
    <w:rsid w:val="00621872"/>
    <w:rsid w:val="0062187E"/>
    <w:rsid w:val="006218CC"/>
    <w:rsid w:val="00621980"/>
    <w:rsid w:val="00621FA7"/>
    <w:rsid w:val="006220D8"/>
    <w:rsid w:val="00622132"/>
    <w:rsid w:val="006222F6"/>
    <w:rsid w:val="006227BF"/>
    <w:rsid w:val="00622991"/>
    <w:rsid w:val="006229CA"/>
    <w:rsid w:val="00622ACE"/>
    <w:rsid w:val="00622B01"/>
    <w:rsid w:val="00622B36"/>
    <w:rsid w:val="00622C4D"/>
    <w:rsid w:val="00622CB8"/>
    <w:rsid w:val="00622D5B"/>
    <w:rsid w:val="00622D92"/>
    <w:rsid w:val="00622FF1"/>
    <w:rsid w:val="0062318E"/>
    <w:rsid w:val="0062327C"/>
    <w:rsid w:val="006233A1"/>
    <w:rsid w:val="006234F0"/>
    <w:rsid w:val="00623596"/>
    <w:rsid w:val="00623673"/>
    <w:rsid w:val="0062374A"/>
    <w:rsid w:val="006237D4"/>
    <w:rsid w:val="006238F7"/>
    <w:rsid w:val="00623B54"/>
    <w:rsid w:val="00623B96"/>
    <w:rsid w:val="00623C17"/>
    <w:rsid w:val="00623CEE"/>
    <w:rsid w:val="00623E2C"/>
    <w:rsid w:val="00623FAB"/>
    <w:rsid w:val="00624047"/>
    <w:rsid w:val="00624112"/>
    <w:rsid w:val="006242BF"/>
    <w:rsid w:val="00624399"/>
    <w:rsid w:val="006243B5"/>
    <w:rsid w:val="00624434"/>
    <w:rsid w:val="00624772"/>
    <w:rsid w:val="00624792"/>
    <w:rsid w:val="006248DA"/>
    <w:rsid w:val="006249DB"/>
    <w:rsid w:val="00624A66"/>
    <w:rsid w:val="00624AD0"/>
    <w:rsid w:val="00624B67"/>
    <w:rsid w:val="00624C15"/>
    <w:rsid w:val="00624D83"/>
    <w:rsid w:val="00624DEC"/>
    <w:rsid w:val="00624EC6"/>
    <w:rsid w:val="00624F65"/>
    <w:rsid w:val="00624FB5"/>
    <w:rsid w:val="0062504C"/>
    <w:rsid w:val="006251B7"/>
    <w:rsid w:val="006252A0"/>
    <w:rsid w:val="006252C1"/>
    <w:rsid w:val="006252D2"/>
    <w:rsid w:val="006252FF"/>
    <w:rsid w:val="0062530A"/>
    <w:rsid w:val="006253FB"/>
    <w:rsid w:val="006255A6"/>
    <w:rsid w:val="00625D0F"/>
    <w:rsid w:val="00625E84"/>
    <w:rsid w:val="00625FE4"/>
    <w:rsid w:val="00626268"/>
    <w:rsid w:val="00626299"/>
    <w:rsid w:val="00626517"/>
    <w:rsid w:val="006267E4"/>
    <w:rsid w:val="006269B3"/>
    <w:rsid w:val="006269C6"/>
    <w:rsid w:val="00626D0A"/>
    <w:rsid w:val="00626F98"/>
    <w:rsid w:val="00627181"/>
    <w:rsid w:val="006271DA"/>
    <w:rsid w:val="006272C1"/>
    <w:rsid w:val="00627396"/>
    <w:rsid w:val="00627405"/>
    <w:rsid w:val="0062753D"/>
    <w:rsid w:val="006275D3"/>
    <w:rsid w:val="00627722"/>
    <w:rsid w:val="006277E7"/>
    <w:rsid w:val="006277FC"/>
    <w:rsid w:val="0062793D"/>
    <w:rsid w:val="006279EC"/>
    <w:rsid w:val="00627C4E"/>
    <w:rsid w:val="00627DE4"/>
    <w:rsid w:val="00630519"/>
    <w:rsid w:val="0063052A"/>
    <w:rsid w:val="006306D8"/>
    <w:rsid w:val="00630785"/>
    <w:rsid w:val="006308BB"/>
    <w:rsid w:val="0063091E"/>
    <w:rsid w:val="00630E5D"/>
    <w:rsid w:val="00630F3E"/>
    <w:rsid w:val="00630F4F"/>
    <w:rsid w:val="00631326"/>
    <w:rsid w:val="00631534"/>
    <w:rsid w:val="00631661"/>
    <w:rsid w:val="006316A4"/>
    <w:rsid w:val="00631817"/>
    <w:rsid w:val="006319A2"/>
    <w:rsid w:val="006319E7"/>
    <w:rsid w:val="006319EA"/>
    <w:rsid w:val="00631AF2"/>
    <w:rsid w:val="00631BAA"/>
    <w:rsid w:val="00631BD8"/>
    <w:rsid w:val="006320AC"/>
    <w:rsid w:val="006325B8"/>
    <w:rsid w:val="00632B26"/>
    <w:rsid w:val="00632B72"/>
    <w:rsid w:val="00632BFD"/>
    <w:rsid w:val="00632D93"/>
    <w:rsid w:val="00632E91"/>
    <w:rsid w:val="00632EB0"/>
    <w:rsid w:val="00632F31"/>
    <w:rsid w:val="00632F96"/>
    <w:rsid w:val="006330D5"/>
    <w:rsid w:val="00633157"/>
    <w:rsid w:val="00633203"/>
    <w:rsid w:val="006332C3"/>
    <w:rsid w:val="006332E2"/>
    <w:rsid w:val="0063351C"/>
    <w:rsid w:val="00633624"/>
    <w:rsid w:val="00633870"/>
    <w:rsid w:val="00633990"/>
    <w:rsid w:val="00633B3C"/>
    <w:rsid w:val="00633C7A"/>
    <w:rsid w:val="00633D38"/>
    <w:rsid w:val="00633E6A"/>
    <w:rsid w:val="00633FEF"/>
    <w:rsid w:val="00633FFA"/>
    <w:rsid w:val="006343C6"/>
    <w:rsid w:val="006344E6"/>
    <w:rsid w:val="00634572"/>
    <w:rsid w:val="00634613"/>
    <w:rsid w:val="00634659"/>
    <w:rsid w:val="006346BD"/>
    <w:rsid w:val="00634733"/>
    <w:rsid w:val="00634962"/>
    <w:rsid w:val="00634A0F"/>
    <w:rsid w:val="00634A38"/>
    <w:rsid w:val="00634A8A"/>
    <w:rsid w:val="00634D2F"/>
    <w:rsid w:val="00634E15"/>
    <w:rsid w:val="00634F73"/>
    <w:rsid w:val="00634F9F"/>
    <w:rsid w:val="00635057"/>
    <w:rsid w:val="006351EE"/>
    <w:rsid w:val="00635270"/>
    <w:rsid w:val="00635292"/>
    <w:rsid w:val="0063571A"/>
    <w:rsid w:val="0063575C"/>
    <w:rsid w:val="0063587A"/>
    <w:rsid w:val="00635B41"/>
    <w:rsid w:val="00635BA9"/>
    <w:rsid w:val="00635D39"/>
    <w:rsid w:val="00635DAF"/>
    <w:rsid w:val="00636634"/>
    <w:rsid w:val="00636686"/>
    <w:rsid w:val="006366A0"/>
    <w:rsid w:val="00636CC9"/>
    <w:rsid w:val="00636D22"/>
    <w:rsid w:val="00636E96"/>
    <w:rsid w:val="00637024"/>
    <w:rsid w:val="00637044"/>
    <w:rsid w:val="0063715A"/>
    <w:rsid w:val="00637255"/>
    <w:rsid w:val="00637465"/>
    <w:rsid w:val="006376A8"/>
    <w:rsid w:val="00637995"/>
    <w:rsid w:val="00637AF9"/>
    <w:rsid w:val="00637BD3"/>
    <w:rsid w:val="00637C4E"/>
    <w:rsid w:val="00637FF8"/>
    <w:rsid w:val="0064007F"/>
    <w:rsid w:val="006402EE"/>
    <w:rsid w:val="00640425"/>
    <w:rsid w:val="006404F0"/>
    <w:rsid w:val="00640670"/>
    <w:rsid w:val="00640774"/>
    <w:rsid w:val="006407B7"/>
    <w:rsid w:val="00640950"/>
    <w:rsid w:val="00640A9C"/>
    <w:rsid w:val="00640C1F"/>
    <w:rsid w:val="00640C88"/>
    <w:rsid w:val="00640CA6"/>
    <w:rsid w:val="00640D88"/>
    <w:rsid w:val="00640E85"/>
    <w:rsid w:val="00640F9F"/>
    <w:rsid w:val="0064106F"/>
    <w:rsid w:val="00641230"/>
    <w:rsid w:val="00641384"/>
    <w:rsid w:val="0064148D"/>
    <w:rsid w:val="00641733"/>
    <w:rsid w:val="0064175E"/>
    <w:rsid w:val="006417E7"/>
    <w:rsid w:val="00641BA5"/>
    <w:rsid w:val="00641D0B"/>
    <w:rsid w:val="00641D9D"/>
    <w:rsid w:val="00642179"/>
    <w:rsid w:val="0064237E"/>
    <w:rsid w:val="00642797"/>
    <w:rsid w:val="00642847"/>
    <w:rsid w:val="006429C6"/>
    <w:rsid w:val="00642BA1"/>
    <w:rsid w:val="00642CAE"/>
    <w:rsid w:val="00642E97"/>
    <w:rsid w:val="006431AC"/>
    <w:rsid w:val="00643255"/>
    <w:rsid w:val="00643620"/>
    <w:rsid w:val="00643684"/>
    <w:rsid w:val="006436AC"/>
    <w:rsid w:val="00643713"/>
    <w:rsid w:val="00643756"/>
    <w:rsid w:val="0064375A"/>
    <w:rsid w:val="00643A6C"/>
    <w:rsid w:val="00643BF3"/>
    <w:rsid w:val="00643DF1"/>
    <w:rsid w:val="00643E40"/>
    <w:rsid w:val="00643E8C"/>
    <w:rsid w:val="00643F1B"/>
    <w:rsid w:val="00643F30"/>
    <w:rsid w:val="00643F39"/>
    <w:rsid w:val="0064401B"/>
    <w:rsid w:val="0064409C"/>
    <w:rsid w:val="0064417A"/>
    <w:rsid w:val="0064424B"/>
    <w:rsid w:val="006444F2"/>
    <w:rsid w:val="00644638"/>
    <w:rsid w:val="006447DF"/>
    <w:rsid w:val="00644922"/>
    <w:rsid w:val="006449F5"/>
    <w:rsid w:val="00644B83"/>
    <w:rsid w:val="00644D2F"/>
    <w:rsid w:val="00644DA9"/>
    <w:rsid w:val="00644EC7"/>
    <w:rsid w:val="00644F53"/>
    <w:rsid w:val="00644F8C"/>
    <w:rsid w:val="0064518B"/>
    <w:rsid w:val="0064525C"/>
    <w:rsid w:val="00645285"/>
    <w:rsid w:val="00645512"/>
    <w:rsid w:val="0064581B"/>
    <w:rsid w:val="0064591D"/>
    <w:rsid w:val="006459EC"/>
    <w:rsid w:val="00645B67"/>
    <w:rsid w:val="00645B8B"/>
    <w:rsid w:val="00645D09"/>
    <w:rsid w:val="00645DD7"/>
    <w:rsid w:val="00645E6B"/>
    <w:rsid w:val="0064602F"/>
    <w:rsid w:val="00646108"/>
    <w:rsid w:val="00646550"/>
    <w:rsid w:val="00646648"/>
    <w:rsid w:val="0064670D"/>
    <w:rsid w:val="006469CC"/>
    <w:rsid w:val="00646A4C"/>
    <w:rsid w:val="00646A5D"/>
    <w:rsid w:val="00646AD5"/>
    <w:rsid w:val="00646CE4"/>
    <w:rsid w:val="00646D8A"/>
    <w:rsid w:val="00646DAD"/>
    <w:rsid w:val="006470F4"/>
    <w:rsid w:val="006472C6"/>
    <w:rsid w:val="00647739"/>
    <w:rsid w:val="00647ACC"/>
    <w:rsid w:val="00647B81"/>
    <w:rsid w:val="00647BB9"/>
    <w:rsid w:val="00647C49"/>
    <w:rsid w:val="00650086"/>
    <w:rsid w:val="00650119"/>
    <w:rsid w:val="00650210"/>
    <w:rsid w:val="00650375"/>
    <w:rsid w:val="00650690"/>
    <w:rsid w:val="00650872"/>
    <w:rsid w:val="00650C64"/>
    <w:rsid w:val="00650C82"/>
    <w:rsid w:val="00650D2A"/>
    <w:rsid w:val="00650DEF"/>
    <w:rsid w:val="00651019"/>
    <w:rsid w:val="00651095"/>
    <w:rsid w:val="006510B2"/>
    <w:rsid w:val="00651640"/>
    <w:rsid w:val="00651644"/>
    <w:rsid w:val="0065170A"/>
    <w:rsid w:val="006517AA"/>
    <w:rsid w:val="006518B1"/>
    <w:rsid w:val="006518D3"/>
    <w:rsid w:val="006519EC"/>
    <w:rsid w:val="00651A6D"/>
    <w:rsid w:val="00651B4F"/>
    <w:rsid w:val="00651B7D"/>
    <w:rsid w:val="00651ED2"/>
    <w:rsid w:val="00652054"/>
    <w:rsid w:val="006520C1"/>
    <w:rsid w:val="0065217D"/>
    <w:rsid w:val="006521E6"/>
    <w:rsid w:val="00652422"/>
    <w:rsid w:val="00652583"/>
    <w:rsid w:val="006528F7"/>
    <w:rsid w:val="00652AE5"/>
    <w:rsid w:val="00652B49"/>
    <w:rsid w:val="00652B8E"/>
    <w:rsid w:val="00652E08"/>
    <w:rsid w:val="00652E7B"/>
    <w:rsid w:val="00652EA7"/>
    <w:rsid w:val="00652EE0"/>
    <w:rsid w:val="00652EFD"/>
    <w:rsid w:val="00653064"/>
    <w:rsid w:val="00653074"/>
    <w:rsid w:val="0065334D"/>
    <w:rsid w:val="006533B5"/>
    <w:rsid w:val="00653459"/>
    <w:rsid w:val="0065354A"/>
    <w:rsid w:val="0065361E"/>
    <w:rsid w:val="00653673"/>
    <w:rsid w:val="00653743"/>
    <w:rsid w:val="006537D9"/>
    <w:rsid w:val="006537FA"/>
    <w:rsid w:val="00653855"/>
    <w:rsid w:val="00653966"/>
    <w:rsid w:val="00653978"/>
    <w:rsid w:val="00653AE3"/>
    <w:rsid w:val="00653C79"/>
    <w:rsid w:val="00653DE4"/>
    <w:rsid w:val="00653EC0"/>
    <w:rsid w:val="00653F8F"/>
    <w:rsid w:val="00653FEC"/>
    <w:rsid w:val="006540BF"/>
    <w:rsid w:val="00654206"/>
    <w:rsid w:val="00654258"/>
    <w:rsid w:val="00654269"/>
    <w:rsid w:val="006542A0"/>
    <w:rsid w:val="006543C9"/>
    <w:rsid w:val="0065444E"/>
    <w:rsid w:val="00654709"/>
    <w:rsid w:val="006547C0"/>
    <w:rsid w:val="006549F6"/>
    <w:rsid w:val="00654A66"/>
    <w:rsid w:val="00654B5E"/>
    <w:rsid w:val="00654BBA"/>
    <w:rsid w:val="00654DC0"/>
    <w:rsid w:val="00654F10"/>
    <w:rsid w:val="00654FC2"/>
    <w:rsid w:val="006552C5"/>
    <w:rsid w:val="006554E9"/>
    <w:rsid w:val="006555B4"/>
    <w:rsid w:val="0065564E"/>
    <w:rsid w:val="00655694"/>
    <w:rsid w:val="006556E2"/>
    <w:rsid w:val="0065576F"/>
    <w:rsid w:val="00655931"/>
    <w:rsid w:val="00655953"/>
    <w:rsid w:val="00655997"/>
    <w:rsid w:val="00655B2A"/>
    <w:rsid w:val="00655BF3"/>
    <w:rsid w:val="00655EEC"/>
    <w:rsid w:val="00655F9E"/>
    <w:rsid w:val="006561E3"/>
    <w:rsid w:val="006562A8"/>
    <w:rsid w:val="00656621"/>
    <w:rsid w:val="0065685F"/>
    <w:rsid w:val="00656CB5"/>
    <w:rsid w:val="00657028"/>
    <w:rsid w:val="006570AD"/>
    <w:rsid w:val="006572A6"/>
    <w:rsid w:val="00657414"/>
    <w:rsid w:val="006575A0"/>
    <w:rsid w:val="0065777E"/>
    <w:rsid w:val="006577D5"/>
    <w:rsid w:val="00657926"/>
    <w:rsid w:val="00657944"/>
    <w:rsid w:val="00657A45"/>
    <w:rsid w:val="00657BDF"/>
    <w:rsid w:val="00657C82"/>
    <w:rsid w:val="00657E00"/>
    <w:rsid w:val="006600FB"/>
    <w:rsid w:val="006601D7"/>
    <w:rsid w:val="00660241"/>
    <w:rsid w:val="006603A6"/>
    <w:rsid w:val="006605AB"/>
    <w:rsid w:val="006606DD"/>
    <w:rsid w:val="006606EB"/>
    <w:rsid w:val="0066075A"/>
    <w:rsid w:val="0066087D"/>
    <w:rsid w:val="00660B00"/>
    <w:rsid w:val="00660B6A"/>
    <w:rsid w:val="00660B76"/>
    <w:rsid w:val="00660BC0"/>
    <w:rsid w:val="00660C50"/>
    <w:rsid w:val="00660CDE"/>
    <w:rsid w:val="00660CE4"/>
    <w:rsid w:val="00660DBA"/>
    <w:rsid w:val="00660E6F"/>
    <w:rsid w:val="0066111C"/>
    <w:rsid w:val="006612E9"/>
    <w:rsid w:val="006613AC"/>
    <w:rsid w:val="006614A6"/>
    <w:rsid w:val="0066151C"/>
    <w:rsid w:val="00661618"/>
    <w:rsid w:val="00661674"/>
    <w:rsid w:val="006617F8"/>
    <w:rsid w:val="00661801"/>
    <w:rsid w:val="00661949"/>
    <w:rsid w:val="006619ED"/>
    <w:rsid w:val="00661AD1"/>
    <w:rsid w:val="00661B57"/>
    <w:rsid w:val="00661ECF"/>
    <w:rsid w:val="006622A6"/>
    <w:rsid w:val="006622D4"/>
    <w:rsid w:val="006622D5"/>
    <w:rsid w:val="00662368"/>
    <w:rsid w:val="00662424"/>
    <w:rsid w:val="0066260F"/>
    <w:rsid w:val="00662660"/>
    <w:rsid w:val="00662780"/>
    <w:rsid w:val="00662837"/>
    <w:rsid w:val="00662AE0"/>
    <w:rsid w:val="00662C5E"/>
    <w:rsid w:val="00662CB5"/>
    <w:rsid w:val="00662CBD"/>
    <w:rsid w:val="00662F59"/>
    <w:rsid w:val="00662F6D"/>
    <w:rsid w:val="0066307F"/>
    <w:rsid w:val="006630D7"/>
    <w:rsid w:val="00663474"/>
    <w:rsid w:val="006635B2"/>
    <w:rsid w:val="00663624"/>
    <w:rsid w:val="0066366B"/>
    <w:rsid w:val="006636E5"/>
    <w:rsid w:val="00664101"/>
    <w:rsid w:val="00664154"/>
    <w:rsid w:val="006642AE"/>
    <w:rsid w:val="006642E5"/>
    <w:rsid w:val="00664380"/>
    <w:rsid w:val="0066441F"/>
    <w:rsid w:val="0066465C"/>
    <w:rsid w:val="006647BB"/>
    <w:rsid w:val="006649D2"/>
    <w:rsid w:val="00664B1E"/>
    <w:rsid w:val="00664B3D"/>
    <w:rsid w:val="00664BDF"/>
    <w:rsid w:val="00664C9C"/>
    <w:rsid w:val="00664CAA"/>
    <w:rsid w:val="00664CED"/>
    <w:rsid w:val="00664EF5"/>
    <w:rsid w:val="0066505C"/>
    <w:rsid w:val="00665060"/>
    <w:rsid w:val="0066509D"/>
    <w:rsid w:val="006653F1"/>
    <w:rsid w:val="00665504"/>
    <w:rsid w:val="00665526"/>
    <w:rsid w:val="00665559"/>
    <w:rsid w:val="00665798"/>
    <w:rsid w:val="006659EB"/>
    <w:rsid w:val="00665A3E"/>
    <w:rsid w:val="00665ECC"/>
    <w:rsid w:val="00665F56"/>
    <w:rsid w:val="0066612B"/>
    <w:rsid w:val="00666647"/>
    <w:rsid w:val="006666A9"/>
    <w:rsid w:val="00666733"/>
    <w:rsid w:val="00666822"/>
    <w:rsid w:val="006668E7"/>
    <w:rsid w:val="006669C5"/>
    <w:rsid w:val="00666A45"/>
    <w:rsid w:val="00666C80"/>
    <w:rsid w:val="00666D61"/>
    <w:rsid w:val="00666D64"/>
    <w:rsid w:val="00666DDA"/>
    <w:rsid w:val="00666EF9"/>
    <w:rsid w:val="0066711E"/>
    <w:rsid w:val="00667148"/>
    <w:rsid w:val="006671F0"/>
    <w:rsid w:val="00667240"/>
    <w:rsid w:val="00667399"/>
    <w:rsid w:val="00667536"/>
    <w:rsid w:val="006675F1"/>
    <w:rsid w:val="0066767B"/>
    <w:rsid w:val="006676E5"/>
    <w:rsid w:val="0066779F"/>
    <w:rsid w:val="006678AC"/>
    <w:rsid w:val="00667946"/>
    <w:rsid w:val="00667A63"/>
    <w:rsid w:val="00667B2A"/>
    <w:rsid w:val="00667BEE"/>
    <w:rsid w:val="00670005"/>
    <w:rsid w:val="0067023D"/>
    <w:rsid w:val="0067029F"/>
    <w:rsid w:val="006704E6"/>
    <w:rsid w:val="0067073D"/>
    <w:rsid w:val="006708B3"/>
    <w:rsid w:val="0067092A"/>
    <w:rsid w:val="006709C5"/>
    <w:rsid w:val="00670A48"/>
    <w:rsid w:val="00670A82"/>
    <w:rsid w:val="00670ABD"/>
    <w:rsid w:val="00670B35"/>
    <w:rsid w:val="00670C3B"/>
    <w:rsid w:val="00670D5A"/>
    <w:rsid w:val="00670E2F"/>
    <w:rsid w:val="00670E44"/>
    <w:rsid w:val="0067114C"/>
    <w:rsid w:val="00671186"/>
    <w:rsid w:val="00671228"/>
    <w:rsid w:val="006712DD"/>
    <w:rsid w:val="006713DA"/>
    <w:rsid w:val="006714C0"/>
    <w:rsid w:val="006718B7"/>
    <w:rsid w:val="00671AD8"/>
    <w:rsid w:val="00671B9B"/>
    <w:rsid w:val="00671BE9"/>
    <w:rsid w:val="00671E27"/>
    <w:rsid w:val="006721F6"/>
    <w:rsid w:val="0067229F"/>
    <w:rsid w:val="006722CB"/>
    <w:rsid w:val="00672330"/>
    <w:rsid w:val="006723AF"/>
    <w:rsid w:val="00672546"/>
    <w:rsid w:val="006725C6"/>
    <w:rsid w:val="006725DF"/>
    <w:rsid w:val="00672670"/>
    <w:rsid w:val="00672977"/>
    <w:rsid w:val="00672A2F"/>
    <w:rsid w:val="00672EF2"/>
    <w:rsid w:val="00672EFA"/>
    <w:rsid w:val="006730CB"/>
    <w:rsid w:val="006730FE"/>
    <w:rsid w:val="006730FF"/>
    <w:rsid w:val="00673145"/>
    <w:rsid w:val="0067320F"/>
    <w:rsid w:val="00673282"/>
    <w:rsid w:val="006732B5"/>
    <w:rsid w:val="006732C9"/>
    <w:rsid w:val="00673554"/>
    <w:rsid w:val="006736CA"/>
    <w:rsid w:val="006739D7"/>
    <w:rsid w:val="00673CB0"/>
    <w:rsid w:val="00673EB4"/>
    <w:rsid w:val="00673ED9"/>
    <w:rsid w:val="00674239"/>
    <w:rsid w:val="0067426F"/>
    <w:rsid w:val="00674274"/>
    <w:rsid w:val="0067431F"/>
    <w:rsid w:val="00674415"/>
    <w:rsid w:val="006744A3"/>
    <w:rsid w:val="0067459F"/>
    <w:rsid w:val="00674657"/>
    <w:rsid w:val="00674866"/>
    <w:rsid w:val="00674905"/>
    <w:rsid w:val="00674A75"/>
    <w:rsid w:val="00674A91"/>
    <w:rsid w:val="00674A95"/>
    <w:rsid w:val="00675012"/>
    <w:rsid w:val="0067515C"/>
    <w:rsid w:val="00675249"/>
    <w:rsid w:val="00675254"/>
    <w:rsid w:val="00675303"/>
    <w:rsid w:val="0067550E"/>
    <w:rsid w:val="00675684"/>
    <w:rsid w:val="00675765"/>
    <w:rsid w:val="006757E8"/>
    <w:rsid w:val="006758EF"/>
    <w:rsid w:val="00675A52"/>
    <w:rsid w:val="00675A55"/>
    <w:rsid w:val="00675B11"/>
    <w:rsid w:val="00675B70"/>
    <w:rsid w:val="00675C37"/>
    <w:rsid w:val="00675EBF"/>
    <w:rsid w:val="00675EEF"/>
    <w:rsid w:val="00676070"/>
    <w:rsid w:val="006760C3"/>
    <w:rsid w:val="006760F8"/>
    <w:rsid w:val="006761E8"/>
    <w:rsid w:val="006763E1"/>
    <w:rsid w:val="0067645E"/>
    <w:rsid w:val="00676554"/>
    <w:rsid w:val="0067665B"/>
    <w:rsid w:val="00676669"/>
    <w:rsid w:val="00676733"/>
    <w:rsid w:val="00676775"/>
    <w:rsid w:val="006767F1"/>
    <w:rsid w:val="006768D9"/>
    <w:rsid w:val="00676937"/>
    <w:rsid w:val="006769A2"/>
    <w:rsid w:val="00676A5E"/>
    <w:rsid w:val="00676C27"/>
    <w:rsid w:val="00676C76"/>
    <w:rsid w:val="00676CD6"/>
    <w:rsid w:val="00676EE9"/>
    <w:rsid w:val="00676F00"/>
    <w:rsid w:val="006770C2"/>
    <w:rsid w:val="006771B1"/>
    <w:rsid w:val="006771DE"/>
    <w:rsid w:val="006774BD"/>
    <w:rsid w:val="00677625"/>
    <w:rsid w:val="00677845"/>
    <w:rsid w:val="006778F7"/>
    <w:rsid w:val="00677AAE"/>
    <w:rsid w:val="00677FFC"/>
    <w:rsid w:val="00680061"/>
    <w:rsid w:val="006800A7"/>
    <w:rsid w:val="006802A0"/>
    <w:rsid w:val="006802C9"/>
    <w:rsid w:val="00680456"/>
    <w:rsid w:val="00680669"/>
    <w:rsid w:val="0068079E"/>
    <w:rsid w:val="00680997"/>
    <w:rsid w:val="00680AD9"/>
    <w:rsid w:val="00680BFC"/>
    <w:rsid w:val="00680D51"/>
    <w:rsid w:val="00680F20"/>
    <w:rsid w:val="00680F4A"/>
    <w:rsid w:val="0068105F"/>
    <w:rsid w:val="00681066"/>
    <w:rsid w:val="006810DB"/>
    <w:rsid w:val="006812CE"/>
    <w:rsid w:val="006813EB"/>
    <w:rsid w:val="0068149B"/>
    <w:rsid w:val="00681689"/>
    <w:rsid w:val="00681690"/>
    <w:rsid w:val="006816C7"/>
    <w:rsid w:val="006819C7"/>
    <w:rsid w:val="006819D9"/>
    <w:rsid w:val="00681B61"/>
    <w:rsid w:val="00681B89"/>
    <w:rsid w:val="00681BB0"/>
    <w:rsid w:val="00681C02"/>
    <w:rsid w:val="00682010"/>
    <w:rsid w:val="0068220E"/>
    <w:rsid w:val="00682496"/>
    <w:rsid w:val="00682619"/>
    <w:rsid w:val="006826C3"/>
    <w:rsid w:val="006826FB"/>
    <w:rsid w:val="0068276F"/>
    <w:rsid w:val="006827D4"/>
    <w:rsid w:val="0068299D"/>
    <w:rsid w:val="00682CD1"/>
    <w:rsid w:val="00682D4C"/>
    <w:rsid w:val="0068304F"/>
    <w:rsid w:val="006830D6"/>
    <w:rsid w:val="00683228"/>
    <w:rsid w:val="0068347D"/>
    <w:rsid w:val="006835D7"/>
    <w:rsid w:val="006836D4"/>
    <w:rsid w:val="0068372E"/>
    <w:rsid w:val="006837C4"/>
    <w:rsid w:val="006839FE"/>
    <w:rsid w:val="00683A28"/>
    <w:rsid w:val="00683A75"/>
    <w:rsid w:val="00683C05"/>
    <w:rsid w:val="00683D2D"/>
    <w:rsid w:val="00683D9D"/>
    <w:rsid w:val="0068406E"/>
    <w:rsid w:val="00684132"/>
    <w:rsid w:val="00684135"/>
    <w:rsid w:val="0068421F"/>
    <w:rsid w:val="00684239"/>
    <w:rsid w:val="0068425B"/>
    <w:rsid w:val="006844D2"/>
    <w:rsid w:val="00684605"/>
    <w:rsid w:val="006848AC"/>
    <w:rsid w:val="006848CC"/>
    <w:rsid w:val="00684A00"/>
    <w:rsid w:val="00684BC8"/>
    <w:rsid w:val="00684BD4"/>
    <w:rsid w:val="00684D29"/>
    <w:rsid w:val="00684DE8"/>
    <w:rsid w:val="00684F06"/>
    <w:rsid w:val="00684F1A"/>
    <w:rsid w:val="006851FF"/>
    <w:rsid w:val="006853AF"/>
    <w:rsid w:val="00685662"/>
    <w:rsid w:val="00685679"/>
    <w:rsid w:val="006856B3"/>
    <w:rsid w:val="00685731"/>
    <w:rsid w:val="006859BC"/>
    <w:rsid w:val="00685D4D"/>
    <w:rsid w:val="00685F05"/>
    <w:rsid w:val="00686082"/>
    <w:rsid w:val="0068613F"/>
    <w:rsid w:val="0068644B"/>
    <w:rsid w:val="0068645C"/>
    <w:rsid w:val="0068663D"/>
    <w:rsid w:val="006868B0"/>
    <w:rsid w:val="00686BE4"/>
    <w:rsid w:val="00686D32"/>
    <w:rsid w:val="00686FCE"/>
    <w:rsid w:val="00687066"/>
    <w:rsid w:val="00687314"/>
    <w:rsid w:val="0068731C"/>
    <w:rsid w:val="006873CC"/>
    <w:rsid w:val="00687596"/>
    <w:rsid w:val="006877D2"/>
    <w:rsid w:val="00687845"/>
    <w:rsid w:val="00687BE5"/>
    <w:rsid w:val="00687BFD"/>
    <w:rsid w:val="00687CC7"/>
    <w:rsid w:val="00687D54"/>
    <w:rsid w:val="00687E78"/>
    <w:rsid w:val="00687FC6"/>
    <w:rsid w:val="00690069"/>
    <w:rsid w:val="00690073"/>
    <w:rsid w:val="00690129"/>
    <w:rsid w:val="006901C2"/>
    <w:rsid w:val="00690231"/>
    <w:rsid w:val="00690468"/>
    <w:rsid w:val="006904F9"/>
    <w:rsid w:val="00690579"/>
    <w:rsid w:val="00690680"/>
    <w:rsid w:val="006909D3"/>
    <w:rsid w:val="00690AB2"/>
    <w:rsid w:val="00690C11"/>
    <w:rsid w:val="00690D7C"/>
    <w:rsid w:val="00690D9E"/>
    <w:rsid w:val="00690DC9"/>
    <w:rsid w:val="00690E76"/>
    <w:rsid w:val="00690F8F"/>
    <w:rsid w:val="00691017"/>
    <w:rsid w:val="006912B5"/>
    <w:rsid w:val="0069132C"/>
    <w:rsid w:val="00691331"/>
    <w:rsid w:val="006914BF"/>
    <w:rsid w:val="00691565"/>
    <w:rsid w:val="00691846"/>
    <w:rsid w:val="00691A2A"/>
    <w:rsid w:val="00691A5D"/>
    <w:rsid w:val="00691BAE"/>
    <w:rsid w:val="00691BC7"/>
    <w:rsid w:val="00691EF7"/>
    <w:rsid w:val="00691EFF"/>
    <w:rsid w:val="00692055"/>
    <w:rsid w:val="006920FA"/>
    <w:rsid w:val="00692118"/>
    <w:rsid w:val="006922BB"/>
    <w:rsid w:val="0069231F"/>
    <w:rsid w:val="0069232B"/>
    <w:rsid w:val="00692499"/>
    <w:rsid w:val="00692532"/>
    <w:rsid w:val="006925C5"/>
    <w:rsid w:val="006925CB"/>
    <w:rsid w:val="00692735"/>
    <w:rsid w:val="006928BA"/>
    <w:rsid w:val="00692AED"/>
    <w:rsid w:val="00692B0E"/>
    <w:rsid w:val="00692B18"/>
    <w:rsid w:val="00692B4F"/>
    <w:rsid w:val="00692C2A"/>
    <w:rsid w:val="00692C73"/>
    <w:rsid w:val="00692FB4"/>
    <w:rsid w:val="00693107"/>
    <w:rsid w:val="006931C9"/>
    <w:rsid w:val="0069322D"/>
    <w:rsid w:val="006934A3"/>
    <w:rsid w:val="006934E2"/>
    <w:rsid w:val="00693501"/>
    <w:rsid w:val="00693549"/>
    <w:rsid w:val="0069389A"/>
    <w:rsid w:val="006938FB"/>
    <w:rsid w:val="006939C2"/>
    <w:rsid w:val="00693A8A"/>
    <w:rsid w:val="00693A9D"/>
    <w:rsid w:val="00693AA5"/>
    <w:rsid w:val="00693AC8"/>
    <w:rsid w:val="00693AE1"/>
    <w:rsid w:val="00693B5B"/>
    <w:rsid w:val="00693CBE"/>
    <w:rsid w:val="00693CDD"/>
    <w:rsid w:val="00693D7F"/>
    <w:rsid w:val="00693EAE"/>
    <w:rsid w:val="00693F0B"/>
    <w:rsid w:val="00693F63"/>
    <w:rsid w:val="0069400C"/>
    <w:rsid w:val="006942CF"/>
    <w:rsid w:val="006942DD"/>
    <w:rsid w:val="00694693"/>
    <w:rsid w:val="006947B9"/>
    <w:rsid w:val="00694803"/>
    <w:rsid w:val="00694851"/>
    <w:rsid w:val="006948E7"/>
    <w:rsid w:val="00694DBA"/>
    <w:rsid w:val="00694E9D"/>
    <w:rsid w:val="00694F51"/>
    <w:rsid w:val="00694F80"/>
    <w:rsid w:val="006950B9"/>
    <w:rsid w:val="0069518C"/>
    <w:rsid w:val="006951E8"/>
    <w:rsid w:val="00695227"/>
    <w:rsid w:val="0069523F"/>
    <w:rsid w:val="0069528D"/>
    <w:rsid w:val="0069559F"/>
    <w:rsid w:val="00695626"/>
    <w:rsid w:val="00695713"/>
    <w:rsid w:val="0069582C"/>
    <w:rsid w:val="00695A0E"/>
    <w:rsid w:val="00695A15"/>
    <w:rsid w:val="00695AB5"/>
    <w:rsid w:val="00695CC2"/>
    <w:rsid w:val="00695E79"/>
    <w:rsid w:val="00696040"/>
    <w:rsid w:val="006961F4"/>
    <w:rsid w:val="00696254"/>
    <w:rsid w:val="0069650E"/>
    <w:rsid w:val="00696652"/>
    <w:rsid w:val="006968E4"/>
    <w:rsid w:val="00696A2D"/>
    <w:rsid w:val="00696BC1"/>
    <w:rsid w:val="00696C1E"/>
    <w:rsid w:val="00696DB4"/>
    <w:rsid w:val="00696E8F"/>
    <w:rsid w:val="00696F4D"/>
    <w:rsid w:val="006972B6"/>
    <w:rsid w:val="00697397"/>
    <w:rsid w:val="006973BC"/>
    <w:rsid w:val="006973D1"/>
    <w:rsid w:val="00697454"/>
    <w:rsid w:val="006974DC"/>
    <w:rsid w:val="00697507"/>
    <w:rsid w:val="0069750A"/>
    <w:rsid w:val="00697601"/>
    <w:rsid w:val="00697615"/>
    <w:rsid w:val="006977F3"/>
    <w:rsid w:val="00697B0C"/>
    <w:rsid w:val="00697D19"/>
    <w:rsid w:val="00697ECC"/>
    <w:rsid w:val="006A0016"/>
    <w:rsid w:val="006A02B4"/>
    <w:rsid w:val="006A0313"/>
    <w:rsid w:val="006A03B7"/>
    <w:rsid w:val="006A0540"/>
    <w:rsid w:val="006A0604"/>
    <w:rsid w:val="006A07AE"/>
    <w:rsid w:val="006A0830"/>
    <w:rsid w:val="006A0940"/>
    <w:rsid w:val="006A0C5F"/>
    <w:rsid w:val="006A0D20"/>
    <w:rsid w:val="006A0E00"/>
    <w:rsid w:val="006A0F86"/>
    <w:rsid w:val="006A1014"/>
    <w:rsid w:val="006A122F"/>
    <w:rsid w:val="006A1264"/>
    <w:rsid w:val="006A12FE"/>
    <w:rsid w:val="006A151D"/>
    <w:rsid w:val="006A1800"/>
    <w:rsid w:val="006A19C1"/>
    <w:rsid w:val="006A1A50"/>
    <w:rsid w:val="006A1B02"/>
    <w:rsid w:val="006A1E45"/>
    <w:rsid w:val="006A1E70"/>
    <w:rsid w:val="006A278C"/>
    <w:rsid w:val="006A2978"/>
    <w:rsid w:val="006A2A3B"/>
    <w:rsid w:val="006A2D39"/>
    <w:rsid w:val="006A30CE"/>
    <w:rsid w:val="006A3142"/>
    <w:rsid w:val="006A316E"/>
    <w:rsid w:val="006A33B8"/>
    <w:rsid w:val="006A35D9"/>
    <w:rsid w:val="006A35F4"/>
    <w:rsid w:val="006A35F6"/>
    <w:rsid w:val="006A36F7"/>
    <w:rsid w:val="006A37AA"/>
    <w:rsid w:val="006A37FC"/>
    <w:rsid w:val="006A389F"/>
    <w:rsid w:val="006A38FB"/>
    <w:rsid w:val="006A3B54"/>
    <w:rsid w:val="006A3BAE"/>
    <w:rsid w:val="006A3C8B"/>
    <w:rsid w:val="006A3D23"/>
    <w:rsid w:val="006A3DE5"/>
    <w:rsid w:val="006A3E69"/>
    <w:rsid w:val="006A3F1C"/>
    <w:rsid w:val="006A3FDE"/>
    <w:rsid w:val="006A40FB"/>
    <w:rsid w:val="006A4448"/>
    <w:rsid w:val="006A47C9"/>
    <w:rsid w:val="006A4816"/>
    <w:rsid w:val="006A48C9"/>
    <w:rsid w:val="006A48EB"/>
    <w:rsid w:val="006A4960"/>
    <w:rsid w:val="006A4A2A"/>
    <w:rsid w:val="006A4A52"/>
    <w:rsid w:val="006A4C85"/>
    <w:rsid w:val="006A4D1D"/>
    <w:rsid w:val="006A4E9E"/>
    <w:rsid w:val="006A5191"/>
    <w:rsid w:val="006A52E8"/>
    <w:rsid w:val="006A534F"/>
    <w:rsid w:val="006A5355"/>
    <w:rsid w:val="006A54CC"/>
    <w:rsid w:val="006A5507"/>
    <w:rsid w:val="006A5532"/>
    <w:rsid w:val="006A56E3"/>
    <w:rsid w:val="006A57D7"/>
    <w:rsid w:val="006A5A50"/>
    <w:rsid w:val="006A5A82"/>
    <w:rsid w:val="006A5B1B"/>
    <w:rsid w:val="006A5BE3"/>
    <w:rsid w:val="006A5E66"/>
    <w:rsid w:val="006A5F1D"/>
    <w:rsid w:val="006A608D"/>
    <w:rsid w:val="006A6287"/>
    <w:rsid w:val="006A6442"/>
    <w:rsid w:val="006A6453"/>
    <w:rsid w:val="006A64B0"/>
    <w:rsid w:val="006A65CF"/>
    <w:rsid w:val="006A6739"/>
    <w:rsid w:val="006A67FA"/>
    <w:rsid w:val="006A68B6"/>
    <w:rsid w:val="006A692B"/>
    <w:rsid w:val="006A6938"/>
    <w:rsid w:val="006A698A"/>
    <w:rsid w:val="006A6BC1"/>
    <w:rsid w:val="006A70C6"/>
    <w:rsid w:val="006A70DB"/>
    <w:rsid w:val="006A71AB"/>
    <w:rsid w:val="006A72C1"/>
    <w:rsid w:val="006A733E"/>
    <w:rsid w:val="006A751F"/>
    <w:rsid w:val="006A7541"/>
    <w:rsid w:val="006A76FE"/>
    <w:rsid w:val="006A795F"/>
    <w:rsid w:val="006A79C9"/>
    <w:rsid w:val="006A7B46"/>
    <w:rsid w:val="006A7B66"/>
    <w:rsid w:val="006A7C0F"/>
    <w:rsid w:val="006A7D26"/>
    <w:rsid w:val="006A7DE0"/>
    <w:rsid w:val="006A7E41"/>
    <w:rsid w:val="006A7E5C"/>
    <w:rsid w:val="006B02A9"/>
    <w:rsid w:val="006B02DA"/>
    <w:rsid w:val="006B04C2"/>
    <w:rsid w:val="006B0501"/>
    <w:rsid w:val="006B050D"/>
    <w:rsid w:val="006B0679"/>
    <w:rsid w:val="006B0733"/>
    <w:rsid w:val="006B0958"/>
    <w:rsid w:val="006B097F"/>
    <w:rsid w:val="006B0A1A"/>
    <w:rsid w:val="006B0AE8"/>
    <w:rsid w:val="006B0FEB"/>
    <w:rsid w:val="006B1342"/>
    <w:rsid w:val="006B1516"/>
    <w:rsid w:val="006B1564"/>
    <w:rsid w:val="006B1609"/>
    <w:rsid w:val="006B18C5"/>
    <w:rsid w:val="006B18E3"/>
    <w:rsid w:val="006B19E3"/>
    <w:rsid w:val="006B1A73"/>
    <w:rsid w:val="006B1D89"/>
    <w:rsid w:val="006B20FF"/>
    <w:rsid w:val="006B2458"/>
    <w:rsid w:val="006B287B"/>
    <w:rsid w:val="006B2896"/>
    <w:rsid w:val="006B2AC8"/>
    <w:rsid w:val="006B2C9F"/>
    <w:rsid w:val="006B30D0"/>
    <w:rsid w:val="006B313F"/>
    <w:rsid w:val="006B31B8"/>
    <w:rsid w:val="006B31DC"/>
    <w:rsid w:val="006B32BE"/>
    <w:rsid w:val="006B3343"/>
    <w:rsid w:val="006B346D"/>
    <w:rsid w:val="006B37FF"/>
    <w:rsid w:val="006B3B42"/>
    <w:rsid w:val="006B3B7E"/>
    <w:rsid w:val="006B3B8C"/>
    <w:rsid w:val="006B3E5E"/>
    <w:rsid w:val="006B3F21"/>
    <w:rsid w:val="006B4192"/>
    <w:rsid w:val="006B4193"/>
    <w:rsid w:val="006B4260"/>
    <w:rsid w:val="006B42F7"/>
    <w:rsid w:val="006B451A"/>
    <w:rsid w:val="006B4889"/>
    <w:rsid w:val="006B4932"/>
    <w:rsid w:val="006B4B4A"/>
    <w:rsid w:val="006B4EF8"/>
    <w:rsid w:val="006B5024"/>
    <w:rsid w:val="006B50DD"/>
    <w:rsid w:val="006B5114"/>
    <w:rsid w:val="006B5116"/>
    <w:rsid w:val="006B53CC"/>
    <w:rsid w:val="006B5729"/>
    <w:rsid w:val="006B581F"/>
    <w:rsid w:val="006B582E"/>
    <w:rsid w:val="006B5931"/>
    <w:rsid w:val="006B59AF"/>
    <w:rsid w:val="006B5A1D"/>
    <w:rsid w:val="006B5B60"/>
    <w:rsid w:val="006B5D76"/>
    <w:rsid w:val="006B5E64"/>
    <w:rsid w:val="006B5EA9"/>
    <w:rsid w:val="006B5ED7"/>
    <w:rsid w:val="006B6045"/>
    <w:rsid w:val="006B60C8"/>
    <w:rsid w:val="006B6225"/>
    <w:rsid w:val="006B644C"/>
    <w:rsid w:val="006B66C4"/>
    <w:rsid w:val="006B676B"/>
    <w:rsid w:val="006B6888"/>
    <w:rsid w:val="006B6905"/>
    <w:rsid w:val="006B6A77"/>
    <w:rsid w:val="006B6B7B"/>
    <w:rsid w:val="006B6C45"/>
    <w:rsid w:val="006B6EB1"/>
    <w:rsid w:val="006B71DA"/>
    <w:rsid w:val="006B72A8"/>
    <w:rsid w:val="006B72C1"/>
    <w:rsid w:val="006B74CB"/>
    <w:rsid w:val="006B750B"/>
    <w:rsid w:val="006B7541"/>
    <w:rsid w:val="006B768E"/>
    <w:rsid w:val="006B778C"/>
    <w:rsid w:val="006B77DC"/>
    <w:rsid w:val="006B78FF"/>
    <w:rsid w:val="006B7972"/>
    <w:rsid w:val="006B7A54"/>
    <w:rsid w:val="006B7AB1"/>
    <w:rsid w:val="006B7ADE"/>
    <w:rsid w:val="006B7C28"/>
    <w:rsid w:val="006B7CFE"/>
    <w:rsid w:val="006B7DDD"/>
    <w:rsid w:val="006B7DE0"/>
    <w:rsid w:val="006B7E72"/>
    <w:rsid w:val="006B7EC6"/>
    <w:rsid w:val="006C0089"/>
    <w:rsid w:val="006C03EE"/>
    <w:rsid w:val="006C07FD"/>
    <w:rsid w:val="006C0855"/>
    <w:rsid w:val="006C09FD"/>
    <w:rsid w:val="006C0C3B"/>
    <w:rsid w:val="006C0D81"/>
    <w:rsid w:val="006C0E05"/>
    <w:rsid w:val="006C12A8"/>
    <w:rsid w:val="006C14BD"/>
    <w:rsid w:val="006C14CB"/>
    <w:rsid w:val="006C164E"/>
    <w:rsid w:val="006C165F"/>
    <w:rsid w:val="006C1701"/>
    <w:rsid w:val="006C1775"/>
    <w:rsid w:val="006C17B3"/>
    <w:rsid w:val="006C184E"/>
    <w:rsid w:val="006C19DE"/>
    <w:rsid w:val="006C1A8E"/>
    <w:rsid w:val="006C1C1E"/>
    <w:rsid w:val="006C1C81"/>
    <w:rsid w:val="006C1E15"/>
    <w:rsid w:val="006C1E66"/>
    <w:rsid w:val="006C1E86"/>
    <w:rsid w:val="006C1E90"/>
    <w:rsid w:val="006C1FB8"/>
    <w:rsid w:val="006C21C0"/>
    <w:rsid w:val="006C223A"/>
    <w:rsid w:val="006C2306"/>
    <w:rsid w:val="006C2370"/>
    <w:rsid w:val="006C24C7"/>
    <w:rsid w:val="006C26F6"/>
    <w:rsid w:val="006C26F9"/>
    <w:rsid w:val="006C27CF"/>
    <w:rsid w:val="006C27F7"/>
    <w:rsid w:val="006C2960"/>
    <w:rsid w:val="006C2A05"/>
    <w:rsid w:val="006C2BE7"/>
    <w:rsid w:val="006C333D"/>
    <w:rsid w:val="006C3496"/>
    <w:rsid w:val="006C372F"/>
    <w:rsid w:val="006C37AC"/>
    <w:rsid w:val="006C37AD"/>
    <w:rsid w:val="006C3859"/>
    <w:rsid w:val="006C3998"/>
    <w:rsid w:val="006C399A"/>
    <w:rsid w:val="006C39A3"/>
    <w:rsid w:val="006C3A34"/>
    <w:rsid w:val="006C4211"/>
    <w:rsid w:val="006C4412"/>
    <w:rsid w:val="006C45CE"/>
    <w:rsid w:val="006C4723"/>
    <w:rsid w:val="006C4749"/>
    <w:rsid w:val="006C47CF"/>
    <w:rsid w:val="006C47D8"/>
    <w:rsid w:val="006C47EE"/>
    <w:rsid w:val="006C4A78"/>
    <w:rsid w:val="006C4B45"/>
    <w:rsid w:val="006C4E89"/>
    <w:rsid w:val="006C4FD2"/>
    <w:rsid w:val="006C5161"/>
    <w:rsid w:val="006C5560"/>
    <w:rsid w:val="006C5566"/>
    <w:rsid w:val="006C58EA"/>
    <w:rsid w:val="006C5E61"/>
    <w:rsid w:val="006C5FD2"/>
    <w:rsid w:val="006C6143"/>
    <w:rsid w:val="006C61CD"/>
    <w:rsid w:val="006C638A"/>
    <w:rsid w:val="006C64A7"/>
    <w:rsid w:val="006C65C8"/>
    <w:rsid w:val="006C6758"/>
    <w:rsid w:val="006C6939"/>
    <w:rsid w:val="006C7020"/>
    <w:rsid w:val="006C70BB"/>
    <w:rsid w:val="006C7287"/>
    <w:rsid w:val="006C7584"/>
    <w:rsid w:val="006C7825"/>
    <w:rsid w:val="006C78AC"/>
    <w:rsid w:val="006C7A17"/>
    <w:rsid w:val="006C7A68"/>
    <w:rsid w:val="006C7A80"/>
    <w:rsid w:val="006C7AB8"/>
    <w:rsid w:val="006C7B6A"/>
    <w:rsid w:val="006C7CB1"/>
    <w:rsid w:val="006C7D41"/>
    <w:rsid w:val="006C7DF5"/>
    <w:rsid w:val="006C7E4A"/>
    <w:rsid w:val="006C7ECB"/>
    <w:rsid w:val="006D003E"/>
    <w:rsid w:val="006D0155"/>
    <w:rsid w:val="006D02C1"/>
    <w:rsid w:val="006D0424"/>
    <w:rsid w:val="006D0707"/>
    <w:rsid w:val="006D088F"/>
    <w:rsid w:val="006D0E68"/>
    <w:rsid w:val="006D0E98"/>
    <w:rsid w:val="006D1026"/>
    <w:rsid w:val="006D12EB"/>
    <w:rsid w:val="006D1378"/>
    <w:rsid w:val="006D150A"/>
    <w:rsid w:val="006D15F9"/>
    <w:rsid w:val="006D1A05"/>
    <w:rsid w:val="006D1A8F"/>
    <w:rsid w:val="006D1AAF"/>
    <w:rsid w:val="006D1B0A"/>
    <w:rsid w:val="006D1C5C"/>
    <w:rsid w:val="006D1DEE"/>
    <w:rsid w:val="006D1F2C"/>
    <w:rsid w:val="006D20EC"/>
    <w:rsid w:val="006D21E7"/>
    <w:rsid w:val="006D22E6"/>
    <w:rsid w:val="006D24D9"/>
    <w:rsid w:val="006D2581"/>
    <w:rsid w:val="006D2606"/>
    <w:rsid w:val="006D2876"/>
    <w:rsid w:val="006D28F3"/>
    <w:rsid w:val="006D2992"/>
    <w:rsid w:val="006D29E5"/>
    <w:rsid w:val="006D2DCA"/>
    <w:rsid w:val="006D2E27"/>
    <w:rsid w:val="006D2E60"/>
    <w:rsid w:val="006D2EDF"/>
    <w:rsid w:val="006D2F02"/>
    <w:rsid w:val="006D304F"/>
    <w:rsid w:val="006D30FD"/>
    <w:rsid w:val="006D3116"/>
    <w:rsid w:val="006D313A"/>
    <w:rsid w:val="006D31A7"/>
    <w:rsid w:val="006D344B"/>
    <w:rsid w:val="006D34EF"/>
    <w:rsid w:val="006D3894"/>
    <w:rsid w:val="006D397D"/>
    <w:rsid w:val="006D3C9E"/>
    <w:rsid w:val="006D3D0C"/>
    <w:rsid w:val="006D3ECC"/>
    <w:rsid w:val="006D3F72"/>
    <w:rsid w:val="006D3FF4"/>
    <w:rsid w:val="006D4189"/>
    <w:rsid w:val="006D42BE"/>
    <w:rsid w:val="006D43E4"/>
    <w:rsid w:val="006D45E2"/>
    <w:rsid w:val="006D4617"/>
    <w:rsid w:val="006D467A"/>
    <w:rsid w:val="006D46A0"/>
    <w:rsid w:val="006D4752"/>
    <w:rsid w:val="006D4757"/>
    <w:rsid w:val="006D4A13"/>
    <w:rsid w:val="006D4ABF"/>
    <w:rsid w:val="006D4D4A"/>
    <w:rsid w:val="006D4D6A"/>
    <w:rsid w:val="006D4DD4"/>
    <w:rsid w:val="006D4E56"/>
    <w:rsid w:val="006D4E85"/>
    <w:rsid w:val="006D4F00"/>
    <w:rsid w:val="006D5153"/>
    <w:rsid w:val="006D52E6"/>
    <w:rsid w:val="006D5403"/>
    <w:rsid w:val="006D549C"/>
    <w:rsid w:val="006D5538"/>
    <w:rsid w:val="006D581A"/>
    <w:rsid w:val="006D58B4"/>
    <w:rsid w:val="006D5958"/>
    <w:rsid w:val="006D59BE"/>
    <w:rsid w:val="006D5A00"/>
    <w:rsid w:val="006D5AD6"/>
    <w:rsid w:val="006D5B46"/>
    <w:rsid w:val="006D5C5E"/>
    <w:rsid w:val="006D5D07"/>
    <w:rsid w:val="006D61B7"/>
    <w:rsid w:val="006D6617"/>
    <w:rsid w:val="006D666F"/>
    <w:rsid w:val="006D668A"/>
    <w:rsid w:val="006D67B3"/>
    <w:rsid w:val="006D67E3"/>
    <w:rsid w:val="006D689A"/>
    <w:rsid w:val="006D6BBA"/>
    <w:rsid w:val="006D6F27"/>
    <w:rsid w:val="006D6F44"/>
    <w:rsid w:val="006D7007"/>
    <w:rsid w:val="006D7109"/>
    <w:rsid w:val="006D712D"/>
    <w:rsid w:val="006D7368"/>
    <w:rsid w:val="006D7503"/>
    <w:rsid w:val="006D7C3E"/>
    <w:rsid w:val="006D7F7E"/>
    <w:rsid w:val="006E0344"/>
    <w:rsid w:val="006E05C3"/>
    <w:rsid w:val="006E0696"/>
    <w:rsid w:val="006E091E"/>
    <w:rsid w:val="006E0BE0"/>
    <w:rsid w:val="006E0BE4"/>
    <w:rsid w:val="006E0D5A"/>
    <w:rsid w:val="006E0E0B"/>
    <w:rsid w:val="006E0E64"/>
    <w:rsid w:val="006E0F66"/>
    <w:rsid w:val="006E1232"/>
    <w:rsid w:val="006E1239"/>
    <w:rsid w:val="006E14C2"/>
    <w:rsid w:val="006E1672"/>
    <w:rsid w:val="006E178C"/>
    <w:rsid w:val="006E1810"/>
    <w:rsid w:val="006E192C"/>
    <w:rsid w:val="006E1AFA"/>
    <w:rsid w:val="006E1B28"/>
    <w:rsid w:val="006E1B91"/>
    <w:rsid w:val="006E1D04"/>
    <w:rsid w:val="006E1D6F"/>
    <w:rsid w:val="006E1DA1"/>
    <w:rsid w:val="006E1DA7"/>
    <w:rsid w:val="006E1E02"/>
    <w:rsid w:val="006E1E55"/>
    <w:rsid w:val="006E1EE7"/>
    <w:rsid w:val="006E1FF6"/>
    <w:rsid w:val="006E21B3"/>
    <w:rsid w:val="006E21B5"/>
    <w:rsid w:val="006E21B6"/>
    <w:rsid w:val="006E2419"/>
    <w:rsid w:val="006E24CC"/>
    <w:rsid w:val="006E26E4"/>
    <w:rsid w:val="006E274A"/>
    <w:rsid w:val="006E2A82"/>
    <w:rsid w:val="006E2BE6"/>
    <w:rsid w:val="006E2CB6"/>
    <w:rsid w:val="006E2FBF"/>
    <w:rsid w:val="006E32AA"/>
    <w:rsid w:val="006E3406"/>
    <w:rsid w:val="006E35A8"/>
    <w:rsid w:val="006E35AC"/>
    <w:rsid w:val="006E368B"/>
    <w:rsid w:val="006E3793"/>
    <w:rsid w:val="006E380C"/>
    <w:rsid w:val="006E3944"/>
    <w:rsid w:val="006E3AB9"/>
    <w:rsid w:val="006E3C12"/>
    <w:rsid w:val="006E3CE9"/>
    <w:rsid w:val="006E3D2D"/>
    <w:rsid w:val="006E3E89"/>
    <w:rsid w:val="006E3FB5"/>
    <w:rsid w:val="006E443E"/>
    <w:rsid w:val="006E444E"/>
    <w:rsid w:val="006E44B6"/>
    <w:rsid w:val="006E467C"/>
    <w:rsid w:val="006E46D7"/>
    <w:rsid w:val="006E4707"/>
    <w:rsid w:val="006E4918"/>
    <w:rsid w:val="006E49D7"/>
    <w:rsid w:val="006E4B95"/>
    <w:rsid w:val="006E4BB1"/>
    <w:rsid w:val="006E50EF"/>
    <w:rsid w:val="006E5274"/>
    <w:rsid w:val="006E5531"/>
    <w:rsid w:val="006E5668"/>
    <w:rsid w:val="006E5914"/>
    <w:rsid w:val="006E597A"/>
    <w:rsid w:val="006E5ABD"/>
    <w:rsid w:val="006E5C22"/>
    <w:rsid w:val="006E5C77"/>
    <w:rsid w:val="006E5CEA"/>
    <w:rsid w:val="006E5E08"/>
    <w:rsid w:val="006E6378"/>
    <w:rsid w:val="006E6532"/>
    <w:rsid w:val="006E65C9"/>
    <w:rsid w:val="006E672C"/>
    <w:rsid w:val="006E6891"/>
    <w:rsid w:val="006E6B12"/>
    <w:rsid w:val="006E6D81"/>
    <w:rsid w:val="006E7094"/>
    <w:rsid w:val="006E72E0"/>
    <w:rsid w:val="006E7488"/>
    <w:rsid w:val="006E75AD"/>
    <w:rsid w:val="006E7A1C"/>
    <w:rsid w:val="006E7AFA"/>
    <w:rsid w:val="006E7CBA"/>
    <w:rsid w:val="006E7D12"/>
    <w:rsid w:val="006E7DF1"/>
    <w:rsid w:val="006F0098"/>
    <w:rsid w:val="006F0110"/>
    <w:rsid w:val="006F0124"/>
    <w:rsid w:val="006F0428"/>
    <w:rsid w:val="006F04E9"/>
    <w:rsid w:val="006F04F1"/>
    <w:rsid w:val="006F0650"/>
    <w:rsid w:val="006F084B"/>
    <w:rsid w:val="006F08DC"/>
    <w:rsid w:val="006F0DB1"/>
    <w:rsid w:val="006F0E06"/>
    <w:rsid w:val="006F0E0C"/>
    <w:rsid w:val="006F0F70"/>
    <w:rsid w:val="006F1227"/>
    <w:rsid w:val="006F13EF"/>
    <w:rsid w:val="006F1537"/>
    <w:rsid w:val="006F157D"/>
    <w:rsid w:val="006F1580"/>
    <w:rsid w:val="006F1594"/>
    <w:rsid w:val="006F18CB"/>
    <w:rsid w:val="006F19CB"/>
    <w:rsid w:val="006F19E7"/>
    <w:rsid w:val="006F1B17"/>
    <w:rsid w:val="006F1EA1"/>
    <w:rsid w:val="006F1FB3"/>
    <w:rsid w:val="006F1FF2"/>
    <w:rsid w:val="006F2215"/>
    <w:rsid w:val="006F2260"/>
    <w:rsid w:val="006F22A0"/>
    <w:rsid w:val="006F272A"/>
    <w:rsid w:val="006F27F2"/>
    <w:rsid w:val="006F2842"/>
    <w:rsid w:val="006F2901"/>
    <w:rsid w:val="006F29AA"/>
    <w:rsid w:val="006F2A3F"/>
    <w:rsid w:val="006F2C2E"/>
    <w:rsid w:val="006F2C89"/>
    <w:rsid w:val="006F2CC3"/>
    <w:rsid w:val="006F2DC4"/>
    <w:rsid w:val="006F2E23"/>
    <w:rsid w:val="006F2E4A"/>
    <w:rsid w:val="006F2E77"/>
    <w:rsid w:val="006F3216"/>
    <w:rsid w:val="006F3235"/>
    <w:rsid w:val="006F3383"/>
    <w:rsid w:val="006F342F"/>
    <w:rsid w:val="006F3661"/>
    <w:rsid w:val="006F3EA8"/>
    <w:rsid w:val="006F3F07"/>
    <w:rsid w:val="006F4016"/>
    <w:rsid w:val="006F4156"/>
    <w:rsid w:val="006F427A"/>
    <w:rsid w:val="006F448D"/>
    <w:rsid w:val="006F45AB"/>
    <w:rsid w:val="006F4717"/>
    <w:rsid w:val="006F4738"/>
    <w:rsid w:val="006F4785"/>
    <w:rsid w:val="006F48CC"/>
    <w:rsid w:val="006F492F"/>
    <w:rsid w:val="006F4969"/>
    <w:rsid w:val="006F498D"/>
    <w:rsid w:val="006F4D33"/>
    <w:rsid w:val="006F4E34"/>
    <w:rsid w:val="006F5349"/>
    <w:rsid w:val="006F53C2"/>
    <w:rsid w:val="006F54AD"/>
    <w:rsid w:val="006F54F0"/>
    <w:rsid w:val="006F55E1"/>
    <w:rsid w:val="006F5714"/>
    <w:rsid w:val="006F57B9"/>
    <w:rsid w:val="006F59AC"/>
    <w:rsid w:val="006F5A29"/>
    <w:rsid w:val="006F5A92"/>
    <w:rsid w:val="006F5D89"/>
    <w:rsid w:val="006F5EB2"/>
    <w:rsid w:val="006F5F80"/>
    <w:rsid w:val="006F5FFD"/>
    <w:rsid w:val="006F61FB"/>
    <w:rsid w:val="006F635D"/>
    <w:rsid w:val="006F65F1"/>
    <w:rsid w:val="006F685E"/>
    <w:rsid w:val="006F688B"/>
    <w:rsid w:val="006F68FF"/>
    <w:rsid w:val="006F6954"/>
    <w:rsid w:val="006F6B82"/>
    <w:rsid w:val="006F6BD2"/>
    <w:rsid w:val="006F6BF1"/>
    <w:rsid w:val="006F6E3A"/>
    <w:rsid w:val="006F6F90"/>
    <w:rsid w:val="006F707B"/>
    <w:rsid w:val="006F71F2"/>
    <w:rsid w:val="006F7343"/>
    <w:rsid w:val="006F7378"/>
    <w:rsid w:val="006F7407"/>
    <w:rsid w:val="006F75E8"/>
    <w:rsid w:val="006F7946"/>
    <w:rsid w:val="006F7997"/>
    <w:rsid w:val="006F7AA5"/>
    <w:rsid w:val="006F7AFE"/>
    <w:rsid w:val="006F7B4B"/>
    <w:rsid w:val="006F7C18"/>
    <w:rsid w:val="006F7CF6"/>
    <w:rsid w:val="006F7D5E"/>
    <w:rsid w:val="006F7F1B"/>
    <w:rsid w:val="006F7F5F"/>
    <w:rsid w:val="0070009A"/>
    <w:rsid w:val="007000E3"/>
    <w:rsid w:val="007002C8"/>
    <w:rsid w:val="0070042B"/>
    <w:rsid w:val="0070049F"/>
    <w:rsid w:val="007005F8"/>
    <w:rsid w:val="00700668"/>
    <w:rsid w:val="00700748"/>
    <w:rsid w:val="00700751"/>
    <w:rsid w:val="00700828"/>
    <w:rsid w:val="007008F0"/>
    <w:rsid w:val="00700A38"/>
    <w:rsid w:val="00700B92"/>
    <w:rsid w:val="00700CA7"/>
    <w:rsid w:val="00700D92"/>
    <w:rsid w:val="00700E25"/>
    <w:rsid w:val="0070116C"/>
    <w:rsid w:val="007012B8"/>
    <w:rsid w:val="0070143D"/>
    <w:rsid w:val="00701540"/>
    <w:rsid w:val="007015E4"/>
    <w:rsid w:val="007016BC"/>
    <w:rsid w:val="0070197E"/>
    <w:rsid w:val="00701C3C"/>
    <w:rsid w:val="00701C8B"/>
    <w:rsid w:val="00701CC2"/>
    <w:rsid w:val="00701D8D"/>
    <w:rsid w:val="00701DF2"/>
    <w:rsid w:val="00701E3B"/>
    <w:rsid w:val="00701E4D"/>
    <w:rsid w:val="00701F2B"/>
    <w:rsid w:val="00701F45"/>
    <w:rsid w:val="007020D6"/>
    <w:rsid w:val="00702102"/>
    <w:rsid w:val="00702179"/>
    <w:rsid w:val="007023CB"/>
    <w:rsid w:val="00702476"/>
    <w:rsid w:val="00702512"/>
    <w:rsid w:val="00702589"/>
    <w:rsid w:val="00702618"/>
    <w:rsid w:val="007026E4"/>
    <w:rsid w:val="00702993"/>
    <w:rsid w:val="00702A2A"/>
    <w:rsid w:val="00702B66"/>
    <w:rsid w:val="00702E17"/>
    <w:rsid w:val="00702ECD"/>
    <w:rsid w:val="00703069"/>
    <w:rsid w:val="00703292"/>
    <w:rsid w:val="0070348A"/>
    <w:rsid w:val="00703597"/>
    <w:rsid w:val="0070359D"/>
    <w:rsid w:val="00703D50"/>
    <w:rsid w:val="00703EAD"/>
    <w:rsid w:val="00703ED7"/>
    <w:rsid w:val="0070408D"/>
    <w:rsid w:val="00704124"/>
    <w:rsid w:val="0070418C"/>
    <w:rsid w:val="0070426E"/>
    <w:rsid w:val="007042A5"/>
    <w:rsid w:val="007042E9"/>
    <w:rsid w:val="007043E1"/>
    <w:rsid w:val="00704699"/>
    <w:rsid w:val="00704736"/>
    <w:rsid w:val="007048C8"/>
    <w:rsid w:val="007049BC"/>
    <w:rsid w:val="00704FDE"/>
    <w:rsid w:val="00705046"/>
    <w:rsid w:val="0070532E"/>
    <w:rsid w:val="00705658"/>
    <w:rsid w:val="007056D2"/>
    <w:rsid w:val="00705B69"/>
    <w:rsid w:val="00705D4D"/>
    <w:rsid w:val="00705D7F"/>
    <w:rsid w:val="0070634F"/>
    <w:rsid w:val="0070639B"/>
    <w:rsid w:val="0070642C"/>
    <w:rsid w:val="007064A1"/>
    <w:rsid w:val="00706528"/>
    <w:rsid w:val="007065E2"/>
    <w:rsid w:val="007065F7"/>
    <w:rsid w:val="0070668B"/>
    <w:rsid w:val="0070675C"/>
    <w:rsid w:val="00706950"/>
    <w:rsid w:val="00706991"/>
    <w:rsid w:val="00706A13"/>
    <w:rsid w:val="00706B2E"/>
    <w:rsid w:val="00706C4C"/>
    <w:rsid w:val="00706D1E"/>
    <w:rsid w:val="00706DB5"/>
    <w:rsid w:val="00706F3D"/>
    <w:rsid w:val="00707133"/>
    <w:rsid w:val="00707185"/>
    <w:rsid w:val="007071C0"/>
    <w:rsid w:val="0070724C"/>
    <w:rsid w:val="00707469"/>
    <w:rsid w:val="00707663"/>
    <w:rsid w:val="007078B1"/>
    <w:rsid w:val="00707E27"/>
    <w:rsid w:val="00707FAB"/>
    <w:rsid w:val="00707FB4"/>
    <w:rsid w:val="00710444"/>
    <w:rsid w:val="00710486"/>
    <w:rsid w:val="007104DD"/>
    <w:rsid w:val="007104E0"/>
    <w:rsid w:val="00710511"/>
    <w:rsid w:val="007106B1"/>
    <w:rsid w:val="00710790"/>
    <w:rsid w:val="007108F0"/>
    <w:rsid w:val="00710954"/>
    <w:rsid w:val="0071099F"/>
    <w:rsid w:val="00710C79"/>
    <w:rsid w:val="00710D31"/>
    <w:rsid w:val="0071177C"/>
    <w:rsid w:val="007117AB"/>
    <w:rsid w:val="007117BD"/>
    <w:rsid w:val="007118BA"/>
    <w:rsid w:val="00711B50"/>
    <w:rsid w:val="00711B99"/>
    <w:rsid w:val="00711C76"/>
    <w:rsid w:val="00711CE1"/>
    <w:rsid w:val="00711D3A"/>
    <w:rsid w:val="007121EC"/>
    <w:rsid w:val="00712222"/>
    <w:rsid w:val="007124DF"/>
    <w:rsid w:val="00712558"/>
    <w:rsid w:val="007125AB"/>
    <w:rsid w:val="00712663"/>
    <w:rsid w:val="00712686"/>
    <w:rsid w:val="00712B70"/>
    <w:rsid w:val="00712C03"/>
    <w:rsid w:val="00712DD3"/>
    <w:rsid w:val="00712F1E"/>
    <w:rsid w:val="00712FA3"/>
    <w:rsid w:val="007130AC"/>
    <w:rsid w:val="007131E6"/>
    <w:rsid w:val="00713382"/>
    <w:rsid w:val="007135A6"/>
    <w:rsid w:val="00713686"/>
    <w:rsid w:val="00713697"/>
    <w:rsid w:val="0071374B"/>
    <w:rsid w:val="0071378B"/>
    <w:rsid w:val="00713920"/>
    <w:rsid w:val="00713944"/>
    <w:rsid w:val="00713A1B"/>
    <w:rsid w:val="00713BD5"/>
    <w:rsid w:val="00713D3B"/>
    <w:rsid w:val="00713EE7"/>
    <w:rsid w:val="0071447E"/>
    <w:rsid w:val="0071467F"/>
    <w:rsid w:val="0071482E"/>
    <w:rsid w:val="00714892"/>
    <w:rsid w:val="00714915"/>
    <w:rsid w:val="00714967"/>
    <w:rsid w:val="00714997"/>
    <w:rsid w:val="00714ACF"/>
    <w:rsid w:val="00714AF2"/>
    <w:rsid w:val="00714B5E"/>
    <w:rsid w:val="00714C0D"/>
    <w:rsid w:val="00714DB7"/>
    <w:rsid w:val="00714E51"/>
    <w:rsid w:val="00715092"/>
    <w:rsid w:val="007151C9"/>
    <w:rsid w:val="007151ED"/>
    <w:rsid w:val="007152A0"/>
    <w:rsid w:val="007154D4"/>
    <w:rsid w:val="00715566"/>
    <w:rsid w:val="0071568E"/>
    <w:rsid w:val="00715C76"/>
    <w:rsid w:val="00715C7C"/>
    <w:rsid w:val="00715FAA"/>
    <w:rsid w:val="00715FCA"/>
    <w:rsid w:val="007162B1"/>
    <w:rsid w:val="00716304"/>
    <w:rsid w:val="00716738"/>
    <w:rsid w:val="00716787"/>
    <w:rsid w:val="007169E8"/>
    <w:rsid w:val="00716B73"/>
    <w:rsid w:val="00716B89"/>
    <w:rsid w:val="00716CAD"/>
    <w:rsid w:val="00716D71"/>
    <w:rsid w:val="00716FB8"/>
    <w:rsid w:val="00716FF0"/>
    <w:rsid w:val="00716FF4"/>
    <w:rsid w:val="0071716C"/>
    <w:rsid w:val="00717397"/>
    <w:rsid w:val="00717463"/>
    <w:rsid w:val="007174BC"/>
    <w:rsid w:val="007174DE"/>
    <w:rsid w:val="00717501"/>
    <w:rsid w:val="0071759F"/>
    <w:rsid w:val="007176A8"/>
    <w:rsid w:val="007179BA"/>
    <w:rsid w:val="00717A5E"/>
    <w:rsid w:val="00717A8B"/>
    <w:rsid w:val="00717AFA"/>
    <w:rsid w:val="00717CD8"/>
    <w:rsid w:val="00717D44"/>
    <w:rsid w:val="0072008E"/>
    <w:rsid w:val="00720209"/>
    <w:rsid w:val="0072024F"/>
    <w:rsid w:val="00720255"/>
    <w:rsid w:val="00720277"/>
    <w:rsid w:val="00720312"/>
    <w:rsid w:val="00720351"/>
    <w:rsid w:val="007203C0"/>
    <w:rsid w:val="007203F3"/>
    <w:rsid w:val="007204A0"/>
    <w:rsid w:val="00720518"/>
    <w:rsid w:val="007205B6"/>
    <w:rsid w:val="007206A4"/>
    <w:rsid w:val="00720877"/>
    <w:rsid w:val="00720995"/>
    <w:rsid w:val="007209E4"/>
    <w:rsid w:val="00720A62"/>
    <w:rsid w:val="00720B83"/>
    <w:rsid w:val="00720F65"/>
    <w:rsid w:val="00721050"/>
    <w:rsid w:val="00721241"/>
    <w:rsid w:val="0072126F"/>
    <w:rsid w:val="007213D2"/>
    <w:rsid w:val="007213E1"/>
    <w:rsid w:val="007214F8"/>
    <w:rsid w:val="007215CF"/>
    <w:rsid w:val="00721A1B"/>
    <w:rsid w:val="00721AFD"/>
    <w:rsid w:val="00721B13"/>
    <w:rsid w:val="00721BCE"/>
    <w:rsid w:val="00721C9D"/>
    <w:rsid w:val="00721CE1"/>
    <w:rsid w:val="00721F0D"/>
    <w:rsid w:val="0072213F"/>
    <w:rsid w:val="007223C4"/>
    <w:rsid w:val="0072240A"/>
    <w:rsid w:val="00722411"/>
    <w:rsid w:val="0072248B"/>
    <w:rsid w:val="007224C0"/>
    <w:rsid w:val="007228B2"/>
    <w:rsid w:val="007228B3"/>
    <w:rsid w:val="00722A3C"/>
    <w:rsid w:val="00722BD7"/>
    <w:rsid w:val="00722C2C"/>
    <w:rsid w:val="00722DEA"/>
    <w:rsid w:val="00722E56"/>
    <w:rsid w:val="00722F4F"/>
    <w:rsid w:val="00723040"/>
    <w:rsid w:val="007231C8"/>
    <w:rsid w:val="00723215"/>
    <w:rsid w:val="007232E9"/>
    <w:rsid w:val="00723338"/>
    <w:rsid w:val="00723517"/>
    <w:rsid w:val="007235A1"/>
    <w:rsid w:val="007237BD"/>
    <w:rsid w:val="00723916"/>
    <w:rsid w:val="00723AB1"/>
    <w:rsid w:val="00723BF7"/>
    <w:rsid w:val="00723CC3"/>
    <w:rsid w:val="00723DC7"/>
    <w:rsid w:val="0072400B"/>
    <w:rsid w:val="007240E9"/>
    <w:rsid w:val="00724180"/>
    <w:rsid w:val="007241F4"/>
    <w:rsid w:val="00724231"/>
    <w:rsid w:val="00724246"/>
    <w:rsid w:val="007242E3"/>
    <w:rsid w:val="007245C8"/>
    <w:rsid w:val="007246AE"/>
    <w:rsid w:val="00724753"/>
    <w:rsid w:val="00724B78"/>
    <w:rsid w:val="00724FB8"/>
    <w:rsid w:val="00725152"/>
    <w:rsid w:val="00725220"/>
    <w:rsid w:val="007252FC"/>
    <w:rsid w:val="0072530E"/>
    <w:rsid w:val="00725442"/>
    <w:rsid w:val="00725448"/>
    <w:rsid w:val="007255F7"/>
    <w:rsid w:val="00725C16"/>
    <w:rsid w:val="00725C31"/>
    <w:rsid w:val="00725C63"/>
    <w:rsid w:val="00725CC6"/>
    <w:rsid w:val="00725D7A"/>
    <w:rsid w:val="0072603D"/>
    <w:rsid w:val="007264B7"/>
    <w:rsid w:val="007267D0"/>
    <w:rsid w:val="007268C4"/>
    <w:rsid w:val="00726923"/>
    <w:rsid w:val="00726D4B"/>
    <w:rsid w:val="00726D90"/>
    <w:rsid w:val="00726E75"/>
    <w:rsid w:val="00726F20"/>
    <w:rsid w:val="00727136"/>
    <w:rsid w:val="00727147"/>
    <w:rsid w:val="00727194"/>
    <w:rsid w:val="007273AB"/>
    <w:rsid w:val="007275A8"/>
    <w:rsid w:val="007279DB"/>
    <w:rsid w:val="00727A26"/>
    <w:rsid w:val="00727AEC"/>
    <w:rsid w:val="00727BF6"/>
    <w:rsid w:val="00727C3E"/>
    <w:rsid w:val="00727F20"/>
    <w:rsid w:val="0073002A"/>
    <w:rsid w:val="007301F0"/>
    <w:rsid w:val="00730225"/>
    <w:rsid w:val="007303AD"/>
    <w:rsid w:val="007304FA"/>
    <w:rsid w:val="007306B3"/>
    <w:rsid w:val="0073074C"/>
    <w:rsid w:val="00730AB6"/>
    <w:rsid w:val="00730AEB"/>
    <w:rsid w:val="00730DD6"/>
    <w:rsid w:val="00730EEA"/>
    <w:rsid w:val="00730FF0"/>
    <w:rsid w:val="007312CF"/>
    <w:rsid w:val="00731425"/>
    <w:rsid w:val="0073192B"/>
    <w:rsid w:val="007319CF"/>
    <w:rsid w:val="00731A0D"/>
    <w:rsid w:val="00731ACA"/>
    <w:rsid w:val="00731B90"/>
    <w:rsid w:val="00731C99"/>
    <w:rsid w:val="00731E37"/>
    <w:rsid w:val="00731EFA"/>
    <w:rsid w:val="00731F02"/>
    <w:rsid w:val="007321F4"/>
    <w:rsid w:val="00732237"/>
    <w:rsid w:val="007322E0"/>
    <w:rsid w:val="00732346"/>
    <w:rsid w:val="00732630"/>
    <w:rsid w:val="0073273B"/>
    <w:rsid w:val="00732AC2"/>
    <w:rsid w:val="00732E39"/>
    <w:rsid w:val="00732E97"/>
    <w:rsid w:val="00732FCD"/>
    <w:rsid w:val="00733058"/>
    <w:rsid w:val="0073310B"/>
    <w:rsid w:val="00733391"/>
    <w:rsid w:val="007333D7"/>
    <w:rsid w:val="00733536"/>
    <w:rsid w:val="0073358B"/>
    <w:rsid w:val="00733659"/>
    <w:rsid w:val="00733926"/>
    <w:rsid w:val="00733BDF"/>
    <w:rsid w:val="00733E5C"/>
    <w:rsid w:val="00733EAC"/>
    <w:rsid w:val="00733EEB"/>
    <w:rsid w:val="00733FD9"/>
    <w:rsid w:val="00734158"/>
    <w:rsid w:val="007341B1"/>
    <w:rsid w:val="00734361"/>
    <w:rsid w:val="0073438E"/>
    <w:rsid w:val="00734545"/>
    <w:rsid w:val="007345F8"/>
    <w:rsid w:val="0073470F"/>
    <w:rsid w:val="007348A5"/>
    <w:rsid w:val="007349E2"/>
    <w:rsid w:val="00734CB6"/>
    <w:rsid w:val="00735049"/>
    <w:rsid w:val="00735094"/>
    <w:rsid w:val="007351E1"/>
    <w:rsid w:val="0073524E"/>
    <w:rsid w:val="007352FE"/>
    <w:rsid w:val="00735311"/>
    <w:rsid w:val="00735519"/>
    <w:rsid w:val="0073561A"/>
    <w:rsid w:val="00735853"/>
    <w:rsid w:val="007358BF"/>
    <w:rsid w:val="00735BE8"/>
    <w:rsid w:val="00735CBE"/>
    <w:rsid w:val="00735CC7"/>
    <w:rsid w:val="00735D57"/>
    <w:rsid w:val="007362FD"/>
    <w:rsid w:val="0073630D"/>
    <w:rsid w:val="007363A6"/>
    <w:rsid w:val="007364C8"/>
    <w:rsid w:val="007365FF"/>
    <w:rsid w:val="00736643"/>
    <w:rsid w:val="0073670A"/>
    <w:rsid w:val="00736B13"/>
    <w:rsid w:val="00736B9B"/>
    <w:rsid w:val="00736C1D"/>
    <w:rsid w:val="00736C4E"/>
    <w:rsid w:val="00736D8A"/>
    <w:rsid w:val="00736DA2"/>
    <w:rsid w:val="00736DE8"/>
    <w:rsid w:val="00736FBB"/>
    <w:rsid w:val="0073705E"/>
    <w:rsid w:val="007370E8"/>
    <w:rsid w:val="0073727D"/>
    <w:rsid w:val="007372D1"/>
    <w:rsid w:val="00737469"/>
    <w:rsid w:val="00737523"/>
    <w:rsid w:val="00737795"/>
    <w:rsid w:val="007377EF"/>
    <w:rsid w:val="007379B6"/>
    <w:rsid w:val="00737AB3"/>
    <w:rsid w:val="00737BA1"/>
    <w:rsid w:val="00737CFB"/>
    <w:rsid w:val="00737F04"/>
    <w:rsid w:val="00740157"/>
    <w:rsid w:val="00740240"/>
    <w:rsid w:val="0074030B"/>
    <w:rsid w:val="00740394"/>
    <w:rsid w:val="00740519"/>
    <w:rsid w:val="00740BCA"/>
    <w:rsid w:val="00740CD1"/>
    <w:rsid w:val="00740FF2"/>
    <w:rsid w:val="0074101A"/>
    <w:rsid w:val="00741023"/>
    <w:rsid w:val="0074108F"/>
    <w:rsid w:val="0074109D"/>
    <w:rsid w:val="00741100"/>
    <w:rsid w:val="0074110B"/>
    <w:rsid w:val="0074124D"/>
    <w:rsid w:val="00741519"/>
    <w:rsid w:val="0074156F"/>
    <w:rsid w:val="007415D5"/>
    <w:rsid w:val="007417A7"/>
    <w:rsid w:val="007418E1"/>
    <w:rsid w:val="0074197E"/>
    <w:rsid w:val="00741B55"/>
    <w:rsid w:val="00741BDD"/>
    <w:rsid w:val="00741BEE"/>
    <w:rsid w:val="00741BF2"/>
    <w:rsid w:val="00741D80"/>
    <w:rsid w:val="00741EAF"/>
    <w:rsid w:val="00741EC4"/>
    <w:rsid w:val="00741FB1"/>
    <w:rsid w:val="00742111"/>
    <w:rsid w:val="0074214A"/>
    <w:rsid w:val="00742197"/>
    <w:rsid w:val="007421DA"/>
    <w:rsid w:val="007423B4"/>
    <w:rsid w:val="0074256B"/>
    <w:rsid w:val="0074262D"/>
    <w:rsid w:val="00742696"/>
    <w:rsid w:val="00742AA9"/>
    <w:rsid w:val="00742C50"/>
    <w:rsid w:val="00742F30"/>
    <w:rsid w:val="00742FB8"/>
    <w:rsid w:val="007431C8"/>
    <w:rsid w:val="007431DB"/>
    <w:rsid w:val="00743211"/>
    <w:rsid w:val="00743229"/>
    <w:rsid w:val="00743591"/>
    <w:rsid w:val="0074372F"/>
    <w:rsid w:val="00743916"/>
    <w:rsid w:val="00743982"/>
    <w:rsid w:val="007439A7"/>
    <w:rsid w:val="00743ACD"/>
    <w:rsid w:val="00743C57"/>
    <w:rsid w:val="00743C68"/>
    <w:rsid w:val="00743CF9"/>
    <w:rsid w:val="00743D37"/>
    <w:rsid w:val="00743EE8"/>
    <w:rsid w:val="00743EF6"/>
    <w:rsid w:val="007440B9"/>
    <w:rsid w:val="00744376"/>
    <w:rsid w:val="007444FA"/>
    <w:rsid w:val="0074456F"/>
    <w:rsid w:val="007445B4"/>
    <w:rsid w:val="0074460F"/>
    <w:rsid w:val="00744799"/>
    <w:rsid w:val="007447A8"/>
    <w:rsid w:val="007447FE"/>
    <w:rsid w:val="00744830"/>
    <w:rsid w:val="00744848"/>
    <w:rsid w:val="00744923"/>
    <w:rsid w:val="0074497F"/>
    <w:rsid w:val="007449EC"/>
    <w:rsid w:val="00744BEB"/>
    <w:rsid w:val="00744C6B"/>
    <w:rsid w:val="00744CB8"/>
    <w:rsid w:val="00744ED9"/>
    <w:rsid w:val="007450E5"/>
    <w:rsid w:val="007450F5"/>
    <w:rsid w:val="007452CE"/>
    <w:rsid w:val="00745415"/>
    <w:rsid w:val="00745634"/>
    <w:rsid w:val="0074590B"/>
    <w:rsid w:val="007459EC"/>
    <w:rsid w:val="00745DD7"/>
    <w:rsid w:val="00745E20"/>
    <w:rsid w:val="00745FFC"/>
    <w:rsid w:val="007460C1"/>
    <w:rsid w:val="0074612B"/>
    <w:rsid w:val="0074622E"/>
    <w:rsid w:val="00746387"/>
    <w:rsid w:val="00746388"/>
    <w:rsid w:val="007463FD"/>
    <w:rsid w:val="00746711"/>
    <w:rsid w:val="00746769"/>
    <w:rsid w:val="0074689D"/>
    <w:rsid w:val="00746924"/>
    <w:rsid w:val="00746A0E"/>
    <w:rsid w:val="00746BAD"/>
    <w:rsid w:val="00746E15"/>
    <w:rsid w:val="00746EF5"/>
    <w:rsid w:val="00746F0E"/>
    <w:rsid w:val="00746F37"/>
    <w:rsid w:val="00746FBA"/>
    <w:rsid w:val="0074715C"/>
    <w:rsid w:val="0074723A"/>
    <w:rsid w:val="00747381"/>
    <w:rsid w:val="00747418"/>
    <w:rsid w:val="007475A2"/>
    <w:rsid w:val="0074772E"/>
    <w:rsid w:val="007477C6"/>
    <w:rsid w:val="00747B01"/>
    <w:rsid w:val="00747BEB"/>
    <w:rsid w:val="00747C34"/>
    <w:rsid w:val="00747E9C"/>
    <w:rsid w:val="0075007F"/>
    <w:rsid w:val="00750173"/>
    <w:rsid w:val="0075045E"/>
    <w:rsid w:val="00750518"/>
    <w:rsid w:val="007505BA"/>
    <w:rsid w:val="007505C6"/>
    <w:rsid w:val="007506CA"/>
    <w:rsid w:val="007506DE"/>
    <w:rsid w:val="00750781"/>
    <w:rsid w:val="00750A44"/>
    <w:rsid w:val="00750CA7"/>
    <w:rsid w:val="00750D50"/>
    <w:rsid w:val="00750DD5"/>
    <w:rsid w:val="00751044"/>
    <w:rsid w:val="00751138"/>
    <w:rsid w:val="00751160"/>
    <w:rsid w:val="007512E5"/>
    <w:rsid w:val="007514A2"/>
    <w:rsid w:val="00751503"/>
    <w:rsid w:val="00751617"/>
    <w:rsid w:val="007517B4"/>
    <w:rsid w:val="00751DDE"/>
    <w:rsid w:val="00751E5F"/>
    <w:rsid w:val="00751F05"/>
    <w:rsid w:val="00752112"/>
    <w:rsid w:val="007521FB"/>
    <w:rsid w:val="007522B6"/>
    <w:rsid w:val="0075232F"/>
    <w:rsid w:val="0075247B"/>
    <w:rsid w:val="0075260D"/>
    <w:rsid w:val="00752645"/>
    <w:rsid w:val="007526D5"/>
    <w:rsid w:val="007526D9"/>
    <w:rsid w:val="0075289D"/>
    <w:rsid w:val="00752A6C"/>
    <w:rsid w:val="00752A83"/>
    <w:rsid w:val="00752B8E"/>
    <w:rsid w:val="00752F63"/>
    <w:rsid w:val="00752FB8"/>
    <w:rsid w:val="00753237"/>
    <w:rsid w:val="007533BD"/>
    <w:rsid w:val="00753416"/>
    <w:rsid w:val="00753419"/>
    <w:rsid w:val="007534B3"/>
    <w:rsid w:val="007536FC"/>
    <w:rsid w:val="0075370D"/>
    <w:rsid w:val="007538B6"/>
    <w:rsid w:val="007538FF"/>
    <w:rsid w:val="00753A09"/>
    <w:rsid w:val="00753A41"/>
    <w:rsid w:val="00753C2C"/>
    <w:rsid w:val="00753CAE"/>
    <w:rsid w:val="00753D2B"/>
    <w:rsid w:val="00753E4C"/>
    <w:rsid w:val="00753E7E"/>
    <w:rsid w:val="00754192"/>
    <w:rsid w:val="007541D0"/>
    <w:rsid w:val="007543CA"/>
    <w:rsid w:val="007545B5"/>
    <w:rsid w:val="007545D7"/>
    <w:rsid w:val="00754844"/>
    <w:rsid w:val="00754C77"/>
    <w:rsid w:val="00754FB0"/>
    <w:rsid w:val="00755051"/>
    <w:rsid w:val="007550AD"/>
    <w:rsid w:val="007550F9"/>
    <w:rsid w:val="00755119"/>
    <w:rsid w:val="007551D9"/>
    <w:rsid w:val="00755463"/>
    <w:rsid w:val="0075548A"/>
    <w:rsid w:val="0075561A"/>
    <w:rsid w:val="0075561F"/>
    <w:rsid w:val="0075563C"/>
    <w:rsid w:val="0075566C"/>
    <w:rsid w:val="00755915"/>
    <w:rsid w:val="00755986"/>
    <w:rsid w:val="00755995"/>
    <w:rsid w:val="007559DA"/>
    <w:rsid w:val="007559FC"/>
    <w:rsid w:val="00755A7A"/>
    <w:rsid w:val="00755AC0"/>
    <w:rsid w:val="00755AC2"/>
    <w:rsid w:val="00755C15"/>
    <w:rsid w:val="00755C26"/>
    <w:rsid w:val="00755C2B"/>
    <w:rsid w:val="00755CAB"/>
    <w:rsid w:val="00755F0D"/>
    <w:rsid w:val="00755F10"/>
    <w:rsid w:val="00755F58"/>
    <w:rsid w:val="00756202"/>
    <w:rsid w:val="0075637B"/>
    <w:rsid w:val="0075641B"/>
    <w:rsid w:val="00756536"/>
    <w:rsid w:val="00756579"/>
    <w:rsid w:val="007567AF"/>
    <w:rsid w:val="007569F3"/>
    <w:rsid w:val="00756A2A"/>
    <w:rsid w:val="00756A49"/>
    <w:rsid w:val="00756AB2"/>
    <w:rsid w:val="00756D15"/>
    <w:rsid w:val="00756F02"/>
    <w:rsid w:val="00757166"/>
    <w:rsid w:val="00757185"/>
    <w:rsid w:val="007571AC"/>
    <w:rsid w:val="007571E9"/>
    <w:rsid w:val="00757797"/>
    <w:rsid w:val="00757A30"/>
    <w:rsid w:val="00757BA2"/>
    <w:rsid w:val="00757BFE"/>
    <w:rsid w:val="00757C38"/>
    <w:rsid w:val="00757F6D"/>
    <w:rsid w:val="0076001E"/>
    <w:rsid w:val="007601A0"/>
    <w:rsid w:val="00760491"/>
    <w:rsid w:val="007605B8"/>
    <w:rsid w:val="007606C5"/>
    <w:rsid w:val="007607E0"/>
    <w:rsid w:val="00760891"/>
    <w:rsid w:val="00760C43"/>
    <w:rsid w:val="00760CF3"/>
    <w:rsid w:val="00760EB2"/>
    <w:rsid w:val="0076108A"/>
    <w:rsid w:val="007610A9"/>
    <w:rsid w:val="007610BB"/>
    <w:rsid w:val="0076133A"/>
    <w:rsid w:val="007614E4"/>
    <w:rsid w:val="007616D5"/>
    <w:rsid w:val="00761763"/>
    <w:rsid w:val="007617CD"/>
    <w:rsid w:val="007619EF"/>
    <w:rsid w:val="007619F0"/>
    <w:rsid w:val="00761B10"/>
    <w:rsid w:val="00761B1E"/>
    <w:rsid w:val="00761B69"/>
    <w:rsid w:val="00761E85"/>
    <w:rsid w:val="00761FA8"/>
    <w:rsid w:val="007620C6"/>
    <w:rsid w:val="00762174"/>
    <w:rsid w:val="0076238F"/>
    <w:rsid w:val="00762734"/>
    <w:rsid w:val="00762756"/>
    <w:rsid w:val="00762789"/>
    <w:rsid w:val="00762882"/>
    <w:rsid w:val="00762A0D"/>
    <w:rsid w:val="00762AAA"/>
    <w:rsid w:val="00762CE9"/>
    <w:rsid w:val="00762D40"/>
    <w:rsid w:val="00762DD3"/>
    <w:rsid w:val="0076300F"/>
    <w:rsid w:val="007632E1"/>
    <w:rsid w:val="00763339"/>
    <w:rsid w:val="00763340"/>
    <w:rsid w:val="007633C1"/>
    <w:rsid w:val="00763401"/>
    <w:rsid w:val="00763439"/>
    <w:rsid w:val="00763813"/>
    <w:rsid w:val="00763869"/>
    <w:rsid w:val="00763995"/>
    <w:rsid w:val="00764047"/>
    <w:rsid w:val="007640BF"/>
    <w:rsid w:val="007642C4"/>
    <w:rsid w:val="007642CD"/>
    <w:rsid w:val="00764343"/>
    <w:rsid w:val="00764411"/>
    <w:rsid w:val="0076466C"/>
    <w:rsid w:val="0076481E"/>
    <w:rsid w:val="007648AC"/>
    <w:rsid w:val="007648E6"/>
    <w:rsid w:val="00764A72"/>
    <w:rsid w:val="00764B45"/>
    <w:rsid w:val="00764C47"/>
    <w:rsid w:val="00764EB8"/>
    <w:rsid w:val="00764EEA"/>
    <w:rsid w:val="0076515E"/>
    <w:rsid w:val="007651BA"/>
    <w:rsid w:val="00765223"/>
    <w:rsid w:val="00765461"/>
    <w:rsid w:val="00765597"/>
    <w:rsid w:val="007655D4"/>
    <w:rsid w:val="007656B1"/>
    <w:rsid w:val="007656F7"/>
    <w:rsid w:val="007657F0"/>
    <w:rsid w:val="00765836"/>
    <w:rsid w:val="0076587E"/>
    <w:rsid w:val="0076599A"/>
    <w:rsid w:val="007659A9"/>
    <w:rsid w:val="00765E2A"/>
    <w:rsid w:val="00765F3C"/>
    <w:rsid w:val="00765FD1"/>
    <w:rsid w:val="00766087"/>
    <w:rsid w:val="0076627B"/>
    <w:rsid w:val="00766291"/>
    <w:rsid w:val="007665B6"/>
    <w:rsid w:val="0076665F"/>
    <w:rsid w:val="007668C1"/>
    <w:rsid w:val="00766AEC"/>
    <w:rsid w:val="00766C25"/>
    <w:rsid w:val="00766D79"/>
    <w:rsid w:val="00766E2A"/>
    <w:rsid w:val="00766E99"/>
    <w:rsid w:val="007670A3"/>
    <w:rsid w:val="007670D5"/>
    <w:rsid w:val="00767219"/>
    <w:rsid w:val="00767241"/>
    <w:rsid w:val="0076730B"/>
    <w:rsid w:val="007673A6"/>
    <w:rsid w:val="007673D1"/>
    <w:rsid w:val="0076753F"/>
    <w:rsid w:val="007675C4"/>
    <w:rsid w:val="00767724"/>
    <w:rsid w:val="007678AC"/>
    <w:rsid w:val="007678DF"/>
    <w:rsid w:val="007679E5"/>
    <w:rsid w:val="00767C56"/>
    <w:rsid w:val="00767D1B"/>
    <w:rsid w:val="00767D7A"/>
    <w:rsid w:val="00767D8E"/>
    <w:rsid w:val="00767DE1"/>
    <w:rsid w:val="00767E66"/>
    <w:rsid w:val="00767F66"/>
    <w:rsid w:val="00767FDB"/>
    <w:rsid w:val="0077023F"/>
    <w:rsid w:val="00770440"/>
    <w:rsid w:val="007704DC"/>
    <w:rsid w:val="0077062C"/>
    <w:rsid w:val="00770980"/>
    <w:rsid w:val="00770995"/>
    <w:rsid w:val="00770A44"/>
    <w:rsid w:val="00770A88"/>
    <w:rsid w:val="00770B7E"/>
    <w:rsid w:val="00770BC4"/>
    <w:rsid w:val="00770D72"/>
    <w:rsid w:val="00770FD2"/>
    <w:rsid w:val="00771022"/>
    <w:rsid w:val="0077103E"/>
    <w:rsid w:val="0077134A"/>
    <w:rsid w:val="007718E0"/>
    <w:rsid w:val="00771A61"/>
    <w:rsid w:val="00771A8B"/>
    <w:rsid w:val="00771AB2"/>
    <w:rsid w:val="00771F49"/>
    <w:rsid w:val="00771F66"/>
    <w:rsid w:val="007720C6"/>
    <w:rsid w:val="00772123"/>
    <w:rsid w:val="00772141"/>
    <w:rsid w:val="0077219D"/>
    <w:rsid w:val="007722A1"/>
    <w:rsid w:val="00772535"/>
    <w:rsid w:val="0077257E"/>
    <w:rsid w:val="00772639"/>
    <w:rsid w:val="0077263F"/>
    <w:rsid w:val="007727DD"/>
    <w:rsid w:val="00772AF8"/>
    <w:rsid w:val="00772B6F"/>
    <w:rsid w:val="00772F1A"/>
    <w:rsid w:val="00772F1E"/>
    <w:rsid w:val="0077309D"/>
    <w:rsid w:val="0077336B"/>
    <w:rsid w:val="00773518"/>
    <w:rsid w:val="007735D5"/>
    <w:rsid w:val="00773663"/>
    <w:rsid w:val="007739BE"/>
    <w:rsid w:val="00773A7A"/>
    <w:rsid w:val="00773B3A"/>
    <w:rsid w:val="00773BB1"/>
    <w:rsid w:val="00773C15"/>
    <w:rsid w:val="00773D25"/>
    <w:rsid w:val="00773DF6"/>
    <w:rsid w:val="00773E1F"/>
    <w:rsid w:val="00773E95"/>
    <w:rsid w:val="00774107"/>
    <w:rsid w:val="0077431C"/>
    <w:rsid w:val="00774324"/>
    <w:rsid w:val="0077466C"/>
    <w:rsid w:val="007748D0"/>
    <w:rsid w:val="00774A04"/>
    <w:rsid w:val="00774A17"/>
    <w:rsid w:val="00774DCB"/>
    <w:rsid w:val="00774E6D"/>
    <w:rsid w:val="007751E8"/>
    <w:rsid w:val="00775378"/>
    <w:rsid w:val="00775498"/>
    <w:rsid w:val="007754F0"/>
    <w:rsid w:val="007755FA"/>
    <w:rsid w:val="0077560F"/>
    <w:rsid w:val="00775A74"/>
    <w:rsid w:val="00775CB6"/>
    <w:rsid w:val="00775D2E"/>
    <w:rsid w:val="00775D5B"/>
    <w:rsid w:val="00775D63"/>
    <w:rsid w:val="00775D84"/>
    <w:rsid w:val="00775E6E"/>
    <w:rsid w:val="00775F03"/>
    <w:rsid w:val="0077602C"/>
    <w:rsid w:val="007762F6"/>
    <w:rsid w:val="007762FC"/>
    <w:rsid w:val="0077651D"/>
    <w:rsid w:val="00776571"/>
    <w:rsid w:val="007769BD"/>
    <w:rsid w:val="00776A8B"/>
    <w:rsid w:val="00777008"/>
    <w:rsid w:val="007770D3"/>
    <w:rsid w:val="00777336"/>
    <w:rsid w:val="007773A4"/>
    <w:rsid w:val="0077744A"/>
    <w:rsid w:val="00777536"/>
    <w:rsid w:val="0077754F"/>
    <w:rsid w:val="0077768B"/>
    <w:rsid w:val="00777699"/>
    <w:rsid w:val="007778AE"/>
    <w:rsid w:val="00777CF3"/>
    <w:rsid w:val="00777EFC"/>
    <w:rsid w:val="00777F81"/>
    <w:rsid w:val="007801AC"/>
    <w:rsid w:val="007802DE"/>
    <w:rsid w:val="007803A4"/>
    <w:rsid w:val="007803C2"/>
    <w:rsid w:val="007803FC"/>
    <w:rsid w:val="0078040E"/>
    <w:rsid w:val="00780498"/>
    <w:rsid w:val="00780873"/>
    <w:rsid w:val="007808D0"/>
    <w:rsid w:val="007809B9"/>
    <w:rsid w:val="00780ABA"/>
    <w:rsid w:val="00780C0B"/>
    <w:rsid w:val="00780EF5"/>
    <w:rsid w:val="00781065"/>
    <w:rsid w:val="00781166"/>
    <w:rsid w:val="00781270"/>
    <w:rsid w:val="0078138B"/>
    <w:rsid w:val="0078144B"/>
    <w:rsid w:val="00781456"/>
    <w:rsid w:val="0078172D"/>
    <w:rsid w:val="007817E4"/>
    <w:rsid w:val="00781813"/>
    <w:rsid w:val="007819B9"/>
    <w:rsid w:val="00781A53"/>
    <w:rsid w:val="00781A6E"/>
    <w:rsid w:val="00781A8A"/>
    <w:rsid w:val="00781ADB"/>
    <w:rsid w:val="00781B9E"/>
    <w:rsid w:val="00781BDA"/>
    <w:rsid w:val="007820DA"/>
    <w:rsid w:val="007820E9"/>
    <w:rsid w:val="00782171"/>
    <w:rsid w:val="007822F0"/>
    <w:rsid w:val="00782462"/>
    <w:rsid w:val="0078253C"/>
    <w:rsid w:val="0078254C"/>
    <w:rsid w:val="007825E2"/>
    <w:rsid w:val="00782AC6"/>
    <w:rsid w:val="00782C0A"/>
    <w:rsid w:val="00782C9E"/>
    <w:rsid w:val="00782CCD"/>
    <w:rsid w:val="00782CE5"/>
    <w:rsid w:val="00782E94"/>
    <w:rsid w:val="00782F6D"/>
    <w:rsid w:val="0078309C"/>
    <w:rsid w:val="0078311C"/>
    <w:rsid w:val="007832C5"/>
    <w:rsid w:val="007832D3"/>
    <w:rsid w:val="00783330"/>
    <w:rsid w:val="0078348A"/>
    <w:rsid w:val="007836E6"/>
    <w:rsid w:val="007836FE"/>
    <w:rsid w:val="00783708"/>
    <w:rsid w:val="0078385D"/>
    <w:rsid w:val="00783B4C"/>
    <w:rsid w:val="00783C51"/>
    <w:rsid w:val="00783D78"/>
    <w:rsid w:val="0078410D"/>
    <w:rsid w:val="0078423C"/>
    <w:rsid w:val="007843F0"/>
    <w:rsid w:val="0078463C"/>
    <w:rsid w:val="0078471E"/>
    <w:rsid w:val="007847A7"/>
    <w:rsid w:val="007849B0"/>
    <w:rsid w:val="00784AF4"/>
    <w:rsid w:val="00784B68"/>
    <w:rsid w:val="00784C78"/>
    <w:rsid w:val="00784DA1"/>
    <w:rsid w:val="00785392"/>
    <w:rsid w:val="00785581"/>
    <w:rsid w:val="00785683"/>
    <w:rsid w:val="007858C0"/>
    <w:rsid w:val="00785AB3"/>
    <w:rsid w:val="00785B33"/>
    <w:rsid w:val="00785B39"/>
    <w:rsid w:val="00786114"/>
    <w:rsid w:val="00786120"/>
    <w:rsid w:val="007861AA"/>
    <w:rsid w:val="00786253"/>
    <w:rsid w:val="00786327"/>
    <w:rsid w:val="00786640"/>
    <w:rsid w:val="00786A1C"/>
    <w:rsid w:val="00786A7D"/>
    <w:rsid w:val="00786AE3"/>
    <w:rsid w:val="00786C60"/>
    <w:rsid w:val="00786DF6"/>
    <w:rsid w:val="00786E08"/>
    <w:rsid w:val="00786FF3"/>
    <w:rsid w:val="0078701B"/>
    <w:rsid w:val="007871A2"/>
    <w:rsid w:val="0078726E"/>
    <w:rsid w:val="007872A3"/>
    <w:rsid w:val="007875C1"/>
    <w:rsid w:val="00787972"/>
    <w:rsid w:val="007879A6"/>
    <w:rsid w:val="007879D0"/>
    <w:rsid w:val="007879D7"/>
    <w:rsid w:val="00787A6B"/>
    <w:rsid w:val="00787B43"/>
    <w:rsid w:val="00787BB0"/>
    <w:rsid w:val="00787DEA"/>
    <w:rsid w:val="00787FB9"/>
    <w:rsid w:val="00790082"/>
    <w:rsid w:val="007903D1"/>
    <w:rsid w:val="007903F0"/>
    <w:rsid w:val="007905C3"/>
    <w:rsid w:val="00790740"/>
    <w:rsid w:val="0079087A"/>
    <w:rsid w:val="00790A86"/>
    <w:rsid w:val="00790BCB"/>
    <w:rsid w:val="00790C31"/>
    <w:rsid w:val="00790CCE"/>
    <w:rsid w:val="00790CDE"/>
    <w:rsid w:val="00790DD7"/>
    <w:rsid w:val="00790E20"/>
    <w:rsid w:val="00790F36"/>
    <w:rsid w:val="00791132"/>
    <w:rsid w:val="00791600"/>
    <w:rsid w:val="00791668"/>
    <w:rsid w:val="0079191D"/>
    <w:rsid w:val="00791D5B"/>
    <w:rsid w:val="00791D82"/>
    <w:rsid w:val="00791DFB"/>
    <w:rsid w:val="00792010"/>
    <w:rsid w:val="0079226E"/>
    <w:rsid w:val="0079239E"/>
    <w:rsid w:val="0079245E"/>
    <w:rsid w:val="007924AC"/>
    <w:rsid w:val="0079256B"/>
    <w:rsid w:val="00792957"/>
    <w:rsid w:val="007929C1"/>
    <w:rsid w:val="00792A00"/>
    <w:rsid w:val="00792A30"/>
    <w:rsid w:val="00792A72"/>
    <w:rsid w:val="00792D23"/>
    <w:rsid w:val="00792D35"/>
    <w:rsid w:val="00792EA7"/>
    <w:rsid w:val="00792F1E"/>
    <w:rsid w:val="00793091"/>
    <w:rsid w:val="00793098"/>
    <w:rsid w:val="00793116"/>
    <w:rsid w:val="00793120"/>
    <w:rsid w:val="00793186"/>
    <w:rsid w:val="007933B4"/>
    <w:rsid w:val="007933D7"/>
    <w:rsid w:val="007934FE"/>
    <w:rsid w:val="00793562"/>
    <w:rsid w:val="0079358F"/>
    <w:rsid w:val="0079361E"/>
    <w:rsid w:val="0079370C"/>
    <w:rsid w:val="007938AE"/>
    <w:rsid w:val="00793B1E"/>
    <w:rsid w:val="00793BC2"/>
    <w:rsid w:val="00793C6B"/>
    <w:rsid w:val="00793D2D"/>
    <w:rsid w:val="00793E86"/>
    <w:rsid w:val="00793F2F"/>
    <w:rsid w:val="00793F76"/>
    <w:rsid w:val="00793F8E"/>
    <w:rsid w:val="00794027"/>
    <w:rsid w:val="00794292"/>
    <w:rsid w:val="007942B5"/>
    <w:rsid w:val="007944DC"/>
    <w:rsid w:val="00794557"/>
    <w:rsid w:val="007945BB"/>
    <w:rsid w:val="007946BF"/>
    <w:rsid w:val="007948A0"/>
    <w:rsid w:val="00794A36"/>
    <w:rsid w:val="00794AFD"/>
    <w:rsid w:val="00794BD5"/>
    <w:rsid w:val="00794C09"/>
    <w:rsid w:val="00794CC9"/>
    <w:rsid w:val="00794CCC"/>
    <w:rsid w:val="00794D61"/>
    <w:rsid w:val="00794E67"/>
    <w:rsid w:val="00794F1E"/>
    <w:rsid w:val="00794F23"/>
    <w:rsid w:val="00795002"/>
    <w:rsid w:val="0079504C"/>
    <w:rsid w:val="0079555D"/>
    <w:rsid w:val="007955DF"/>
    <w:rsid w:val="007956AB"/>
    <w:rsid w:val="0079593E"/>
    <w:rsid w:val="007959CA"/>
    <w:rsid w:val="00795BBA"/>
    <w:rsid w:val="00795BD4"/>
    <w:rsid w:val="00795D5E"/>
    <w:rsid w:val="00795E01"/>
    <w:rsid w:val="00795E4E"/>
    <w:rsid w:val="00796010"/>
    <w:rsid w:val="007960CF"/>
    <w:rsid w:val="0079612A"/>
    <w:rsid w:val="00796154"/>
    <w:rsid w:val="007961C7"/>
    <w:rsid w:val="007962ED"/>
    <w:rsid w:val="0079665E"/>
    <w:rsid w:val="007967EC"/>
    <w:rsid w:val="00796813"/>
    <w:rsid w:val="00796A12"/>
    <w:rsid w:val="00796AD1"/>
    <w:rsid w:val="00796B5F"/>
    <w:rsid w:val="00796C1A"/>
    <w:rsid w:val="00796ED1"/>
    <w:rsid w:val="0079701B"/>
    <w:rsid w:val="0079722D"/>
    <w:rsid w:val="0079726C"/>
    <w:rsid w:val="0079747D"/>
    <w:rsid w:val="007974E2"/>
    <w:rsid w:val="007976E2"/>
    <w:rsid w:val="007977C5"/>
    <w:rsid w:val="00797829"/>
    <w:rsid w:val="0079783F"/>
    <w:rsid w:val="007979EE"/>
    <w:rsid w:val="00797B62"/>
    <w:rsid w:val="00797B77"/>
    <w:rsid w:val="00797BF6"/>
    <w:rsid w:val="00797E71"/>
    <w:rsid w:val="00797EBF"/>
    <w:rsid w:val="00797ED4"/>
    <w:rsid w:val="007A00BD"/>
    <w:rsid w:val="007A016C"/>
    <w:rsid w:val="007A02AC"/>
    <w:rsid w:val="007A0300"/>
    <w:rsid w:val="007A0378"/>
    <w:rsid w:val="007A039C"/>
    <w:rsid w:val="007A03B8"/>
    <w:rsid w:val="007A049F"/>
    <w:rsid w:val="007A0BB5"/>
    <w:rsid w:val="007A0EC7"/>
    <w:rsid w:val="007A0F6B"/>
    <w:rsid w:val="007A0FE3"/>
    <w:rsid w:val="007A11A3"/>
    <w:rsid w:val="007A11E5"/>
    <w:rsid w:val="007A1594"/>
    <w:rsid w:val="007A1838"/>
    <w:rsid w:val="007A19DD"/>
    <w:rsid w:val="007A1A09"/>
    <w:rsid w:val="007A1A96"/>
    <w:rsid w:val="007A1C45"/>
    <w:rsid w:val="007A1CD4"/>
    <w:rsid w:val="007A1DB7"/>
    <w:rsid w:val="007A1E6D"/>
    <w:rsid w:val="007A2200"/>
    <w:rsid w:val="007A2370"/>
    <w:rsid w:val="007A2540"/>
    <w:rsid w:val="007A263F"/>
    <w:rsid w:val="007A2824"/>
    <w:rsid w:val="007A283B"/>
    <w:rsid w:val="007A29ED"/>
    <w:rsid w:val="007A2C3E"/>
    <w:rsid w:val="007A2C4F"/>
    <w:rsid w:val="007A2EC3"/>
    <w:rsid w:val="007A2F89"/>
    <w:rsid w:val="007A3009"/>
    <w:rsid w:val="007A306E"/>
    <w:rsid w:val="007A3258"/>
    <w:rsid w:val="007A33A6"/>
    <w:rsid w:val="007A3815"/>
    <w:rsid w:val="007A38CB"/>
    <w:rsid w:val="007A38F4"/>
    <w:rsid w:val="007A3910"/>
    <w:rsid w:val="007A3A3E"/>
    <w:rsid w:val="007A3BB2"/>
    <w:rsid w:val="007A3BD1"/>
    <w:rsid w:val="007A3C59"/>
    <w:rsid w:val="007A3CE3"/>
    <w:rsid w:val="007A3D16"/>
    <w:rsid w:val="007A3D7B"/>
    <w:rsid w:val="007A4000"/>
    <w:rsid w:val="007A4095"/>
    <w:rsid w:val="007A4190"/>
    <w:rsid w:val="007A420B"/>
    <w:rsid w:val="007A4220"/>
    <w:rsid w:val="007A4221"/>
    <w:rsid w:val="007A4266"/>
    <w:rsid w:val="007A42F0"/>
    <w:rsid w:val="007A42F9"/>
    <w:rsid w:val="007A432A"/>
    <w:rsid w:val="007A4443"/>
    <w:rsid w:val="007A44CB"/>
    <w:rsid w:val="007A45DD"/>
    <w:rsid w:val="007A4857"/>
    <w:rsid w:val="007A4BAC"/>
    <w:rsid w:val="007A4C8B"/>
    <w:rsid w:val="007A4DCD"/>
    <w:rsid w:val="007A4E79"/>
    <w:rsid w:val="007A4F6E"/>
    <w:rsid w:val="007A4FB6"/>
    <w:rsid w:val="007A4FF7"/>
    <w:rsid w:val="007A5172"/>
    <w:rsid w:val="007A544B"/>
    <w:rsid w:val="007A55BC"/>
    <w:rsid w:val="007A55E6"/>
    <w:rsid w:val="007A56A0"/>
    <w:rsid w:val="007A5782"/>
    <w:rsid w:val="007A58C6"/>
    <w:rsid w:val="007A594B"/>
    <w:rsid w:val="007A5BCF"/>
    <w:rsid w:val="007A5D35"/>
    <w:rsid w:val="007A5D92"/>
    <w:rsid w:val="007A5FB6"/>
    <w:rsid w:val="007A5FCD"/>
    <w:rsid w:val="007A60B4"/>
    <w:rsid w:val="007A60D4"/>
    <w:rsid w:val="007A618E"/>
    <w:rsid w:val="007A61DD"/>
    <w:rsid w:val="007A627A"/>
    <w:rsid w:val="007A62C4"/>
    <w:rsid w:val="007A6404"/>
    <w:rsid w:val="007A6593"/>
    <w:rsid w:val="007A6682"/>
    <w:rsid w:val="007A68DC"/>
    <w:rsid w:val="007A6CF8"/>
    <w:rsid w:val="007A6EBA"/>
    <w:rsid w:val="007A7038"/>
    <w:rsid w:val="007A712F"/>
    <w:rsid w:val="007A7283"/>
    <w:rsid w:val="007A729B"/>
    <w:rsid w:val="007A732A"/>
    <w:rsid w:val="007A7396"/>
    <w:rsid w:val="007A7528"/>
    <w:rsid w:val="007A7770"/>
    <w:rsid w:val="007A7919"/>
    <w:rsid w:val="007A79BA"/>
    <w:rsid w:val="007A7D31"/>
    <w:rsid w:val="007A7D90"/>
    <w:rsid w:val="007A7DD6"/>
    <w:rsid w:val="007A7E54"/>
    <w:rsid w:val="007B0024"/>
    <w:rsid w:val="007B02D6"/>
    <w:rsid w:val="007B0343"/>
    <w:rsid w:val="007B043E"/>
    <w:rsid w:val="007B0941"/>
    <w:rsid w:val="007B0D25"/>
    <w:rsid w:val="007B0D79"/>
    <w:rsid w:val="007B0DB3"/>
    <w:rsid w:val="007B0F7D"/>
    <w:rsid w:val="007B1126"/>
    <w:rsid w:val="007B1273"/>
    <w:rsid w:val="007B157A"/>
    <w:rsid w:val="007B16ED"/>
    <w:rsid w:val="007B1741"/>
    <w:rsid w:val="007B1764"/>
    <w:rsid w:val="007B198D"/>
    <w:rsid w:val="007B1991"/>
    <w:rsid w:val="007B19FD"/>
    <w:rsid w:val="007B1AAE"/>
    <w:rsid w:val="007B1D08"/>
    <w:rsid w:val="007B215D"/>
    <w:rsid w:val="007B21A9"/>
    <w:rsid w:val="007B249E"/>
    <w:rsid w:val="007B2508"/>
    <w:rsid w:val="007B25E7"/>
    <w:rsid w:val="007B27DC"/>
    <w:rsid w:val="007B27EA"/>
    <w:rsid w:val="007B27FF"/>
    <w:rsid w:val="007B2943"/>
    <w:rsid w:val="007B2BAA"/>
    <w:rsid w:val="007B2C10"/>
    <w:rsid w:val="007B2C11"/>
    <w:rsid w:val="007B2D0E"/>
    <w:rsid w:val="007B318A"/>
    <w:rsid w:val="007B39AD"/>
    <w:rsid w:val="007B3A32"/>
    <w:rsid w:val="007B3B54"/>
    <w:rsid w:val="007B3C31"/>
    <w:rsid w:val="007B3C61"/>
    <w:rsid w:val="007B3C9F"/>
    <w:rsid w:val="007B3CB4"/>
    <w:rsid w:val="007B40C1"/>
    <w:rsid w:val="007B42A0"/>
    <w:rsid w:val="007B42D0"/>
    <w:rsid w:val="007B4342"/>
    <w:rsid w:val="007B4556"/>
    <w:rsid w:val="007B46AF"/>
    <w:rsid w:val="007B4708"/>
    <w:rsid w:val="007B48C8"/>
    <w:rsid w:val="007B4AFD"/>
    <w:rsid w:val="007B4BF4"/>
    <w:rsid w:val="007B4D63"/>
    <w:rsid w:val="007B4F1E"/>
    <w:rsid w:val="007B5183"/>
    <w:rsid w:val="007B51DB"/>
    <w:rsid w:val="007B51DD"/>
    <w:rsid w:val="007B5302"/>
    <w:rsid w:val="007B5351"/>
    <w:rsid w:val="007B5664"/>
    <w:rsid w:val="007B5707"/>
    <w:rsid w:val="007B57A7"/>
    <w:rsid w:val="007B58E3"/>
    <w:rsid w:val="007B5A17"/>
    <w:rsid w:val="007B5A1B"/>
    <w:rsid w:val="007B5BB0"/>
    <w:rsid w:val="007B5DE0"/>
    <w:rsid w:val="007B5E86"/>
    <w:rsid w:val="007B61FE"/>
    <w:rsid w:val="007B62F1"/>
    <w:rsid w:val="007B63A9"/>
    <w:rsid w:val="007B63FD"/>
    <w:rsid w:val="007B64AA"/>
    <w:rsid w:val="007B664E"/>
    <w:rsid w:val="007B679A"/>
    <w:rsid w:val="007B67D4"/>
    <w:rsid w:val="007B6BA5"/>
    <w:rsid w:val="007B6C72"/>
    <w:rsid w:val="007B6DC1"/>
    <w:rsid w:val="007B7069"/>
    <w:rsid w:val="007B7085"/>
    <w:rsid w:val="007B72B7"/>
    <w:rsid w:val="007B72BC"/>
    <w:rsid w:val="007B7348"/>
    <w:rsid w:val="007B740C"/>
    <w:rsid w:val="007B74CD"/>
    <w:rsid w:val="007B751F"/>
    <w:rsid w:val="007B7692"/>
    <w:rsid w:val="007B76E7"/>
    <w:rsid w:val="007B784B"/>
    <w:rsid w:val="007B7E7F"/>
    <w:rsid w:val="007C00C8"/>
    <w:rsid w:val="007C0144"/>
    <w:rsid w:val="007C03A0"/>
    <w:rsid w:val="007C0474"/>
    <w:rsid w:val="007C04F6"/>
    <w:rsid w:val="007C0747"/>
    <w:rsid w:val="007C08FB"/>
    <w:rsid w:val="007C0B75"/>
    <w:rsid w:val="007C0D6A"/>
    <w:rsid w:val="007C0D8D"/>
    <w:rsid w:val="007C0E93"/>
    <w:rsid w:val="007C0FEA"/>
    <w:rsid w:val="007C108F"/>
    <w:rsid w:val="007C1415"/>
    <w:rsid w:val="007C152B"/>
    <w:rsid w:val="007C1572"/>
    <w:rsid w:val="007C1596"/>
    <w:rsid w:val="007C164A"/>
    <w:rsid w:val="007C1A9F"/>
    <w:rsid w:val="007C1ADD"/>
    <w:rsid w:val="007C1E6C"/>
    <w:rsid w:val="007C1FBB"/>
    <w:rsid w:val="007C2055"/>
    <w:rsid w:val="007C208F"/>
    <w:rsid w:val="007C221A"/>
    <w:rsid w:val="007C2375"/>
    <w:rsid w:val="007C23EA"/>
    <w:rsid w:val="007C24A9"/>
    <w:rsid w:val="007C253F"/>
    <w:rsid w:val="007C269C"/>
    <w:rsid w:val="007C26E7"/>
    <w:rsid w:val="007C2746"/>
    <w:rsid w:val="007C2798"/>
    <w:rsid w:val="007C28F5"/>
    <w:rsid w:val="007C2A37"/>
    <w:rsid w:val="007C2A9A"/>
    <w:rsid w:val="007C2D2D"/>
    <w:rsid w:val="007C2EF4"/>
    <w:rsid w:val="007C2FE1"/>
    <w:rsid w:val="007C3180"/>
    <w:rsid w:val="007C324C"/>
    <w:rsid w:val="007C3262"/>
    <w:rsid w:val="007C336A"/>
    <w:rsid w:val="007C34D2"/>
    <w:rsid w:val="007C34FE"/>
    <w:rsid w:val="007C36FF"/>
    <w:rsid w:val="007C38D4"/>
    <w:rsid w:val="007C3954"/>
    <w:rsid w:val="007C39A3"/>
    <w:rsid w:val="007C39FE"/>
    <w:rsid w:val="007C3E19"/>
    <w:rsid w:val="007C4051"/>
    <w:rsid w:val="007C4108"/>
    <w:rsid w:val="007C4115"/>
    <w:rsid w:val="007C4137"/>
    <w:rsid w:val="007C41D4"/>
    <w:rsid w:val="007C4295"/>
    <w:rsid w:val="007C4315"/>
    <w:rsid w:val="007C4382"/>
    <w:rsid w:val="007C45AD"/>
    <w:rsid w:val="007C4627"/>
    <w:rsid w:val="007C469C"/>
    <w:rsid w:val="007C4849"/>
    <w:rsid w:val="007C498E"/>
    <w:rsid w:val="007C49AD"/>
    <w:rsid w:val="007C49B5"/>
    <w:rsid w:val="007C4AE4"/>
    <w:rsid w:val="007C4AE8"/>
    <w:rsid w:val="007C4C15"/>
    <w:rsid w:val="007C4D5D"/>
    <w:rsid w:val="007C4EC9"/>
    <w:rsid w:val="007C50CC"/>
    <w:rsid w:val="007C52BA"/>
    <w:rsid w:val="007C5438"/>
    <w:rsid w:val="007C5494"/>
    <w:rsid w:val="007C5559"/>
    <w:rsid w:val="007C56CD"/>
    <w:rsid w:val="007C578E"/>
    <w:rsid w:val="007C591B"/>
    <w:rsid w:val="007C5AC4"/>
    <w:rsid w:val="007C5D5F"/>
    <w:rsid w:val="007C5E2D"/>
    <w:rsid w:val="007C624A"/>
    <w:rsid w:val="007C63E1"/>
    <w:rsid w:val="007C65AA"/>
    <w:rsid w:val="007C69A0"/>
    <w:rsid w:val="007C6B43"/>
    <w:rsid w:val="007C6B45"/>
    <w:rsid w:val="007C6C25"/>
    <w:rsid w:val="007C6D4E"/>
    <w:rsid w:val="007C6EA6"/>
    <w:rsid w:val="007C7021"/>
    <w:rsid w:val="007C7178"/>
    <w:rsid w:val="007C74BE"/>
    <w:rsid w:val="007C7552"/>
    <w:rsid w:val="007C7ABC"/>
    <w:rsid w:val="007C7BAF"/>
    <w:rsid w:val="007C7DBD"/>
    <w:rsid w:val="007D019E"/>
    <w:rsid w:val="007D02BB"/>
    <w:rsid w:val="007D05B7"/>
    <w:rsid w:val="007D07C8"/>
    <w:rsid w:val="007D09F9"/>
    <w:rsid w:val="007D0BEB"/>
    <w:rsid w:val="007D0C58"/>
    <w:rsid w:val="007D0C84"/>
    <w:rsid w:val="007D0D9A"/>
    <w:rsid w:val="007D0E5C"/>
    <w:rsid w:val="007D0F79"/>
    <w:rsid w:val="007D0FC7"/>
    <w:rsid w:val="007D1051"/>
    <w:rsid w:val="007D1059"/>
    <w:rsid w:val="007D11A4"/>
    <w:rsid w:val="007D12AA"/>
    <w:rsid w:val="007D12FE"/>
    <w:rsid w:val="007D1421"/>
    <w:rsid w:val="007D16F9"/>
    <w:rsid w:val="007D19A1"/>
    <w:rsid w:val="007D1AB3"/>
    <w:rsid w:val="007D1C92"/>
    <w:rsid w:val="007D1DB4"/>
    <w:rsid w:val="007D1EA1"/>
    <w:rsid w:val="007D1EC5"/>
    <w:rsid w:val="007D2029"/>
    <w:rsid w:val="007D209C"/>
    <w:rsid w:val="007D2132"/>
    <w:rsid w:val="007D2185"/>
    <w:rsid w:val="007D2309"/>
    <w:rsid w:val="007D2386"/>
    <w:rsid w:val="007D2419"/>
    <w:rsid w:val="007D25FB"/>
    <w:rsid w:val="007D2614"/>
    <w:rsid w:val="007D2785"/>
    <w:rsid w:val="007D2A25"/>
    <w:rsid w:val="007D2DD1"/>
    <w:rsid w:val="007D2F0B"/>
    <w:rsid w:val="007D3025"/>
    <w:rsid w:val="007D3036"/>
    <w:rsid w:val="007D3046"/>
    <w:rsid w:val="007D305C"/>
    <w:rsid w:val="007D312F"/>
    <w:rsid w:val="007D3597"/>
    <w:rsid w:val="007D35CD"/>
    <w:rsid w:val="007D35F8"/>
    <w:rsid w:val="007D3994"/>
    <w:rsid w:val="007D39A6"/>
    <w:rsid w:val="007D39F9"/>
    <w:rsid w:val="007D3B6B"/>
    <w:rsid w:val="007D3CD4"/>
    <w:rsid w:val="007D3D03"/>
    <w:rsid w:val="007D3E65"/>
    <w:rsid w:val="007D3E91"/>
    <w:rsid w:val="007D3F13"/>
    <w:rsid w:val="007D3FD3"/>
    <w:rsid w:val="007D3FFE"/>
    <w:rsid w:val="007D411B"/>
    <w:rsid w:val="007D419B"/>
    <w:rsid w:val="007D41B8"/>
    <w:rsid w:val="007D425B"/>
    <w:rsid w:val="007D47E3"/>
    <w:rsid w:val="007D4C98"/>
    <w:rsid w:val="007D4CA8"/>
    <w:rsid w:val="007D4DBC"/>
    <w:rsid w:val="007D4EB4"/>
    <w:rsid w:val="007D5024"/>
    <w:rsid w:val="007D508E"/>
    <w:rsid w:val="007D509E"/>
    <w:rsid w:val="007D5250"/>
    <w:rsid w:val="007D5283"/>
    <w:rsid w:val="007D53A2"/>
    <w:rsid w:val="007D56D4"/>
    <w:rsid w:val="007D58B8"/>
    <w:rsid w:val="007D5A22"/>
    <w:rsid w:val="007D5AE3"/>
    <w:rsid w:val="007D5BB5"/>
    <w:rsid w:val="007D5CAC"/>
    <w:rsid w:val="007D61F9"/>
    <w:rsid w:val="007D6316"/>
    <w:rsid w:val="007D6354"/>
    <w:rsid w:val="007D641A"/>
    <w:rsid w:val="007D68AC"/>
    <w:rsid w:val="007D68BC"/>
    <w:rsid w:val="007D696C"/>
    <w:rsid w:val="007D6C6B"/>
    <w:rsid w:val="007D6D18"/>
    <w:rsid w:val="007D6F07"/>
    <w:rsid w:val="007D6F7B"/>
    <w:rsid w:val="007D70FA"/>
    <w:rsid w:val="007D7468"/>
    <w:rsid w:val="007D76EA"/>
    <w:rsid w:val="007D77CC"/>
    <w:rsid w:val="007D7B03"/>
    <w:rsid w:val="007D7DAB"/>
    <w:rsid w:val="007D7ED4"/>
    <w:rsid w:val="007E0046"/>
    <w:rsid w:val="007E0083"/>
    <w:rsid w:val="007E00E1"/>
    <w:rsid w:val="007E022E"/>
    <w:rsid w:val="007E025B"/>
    <w:rsid w:val="007E02CB"/>
    <w:rsid w:val="007E0371"/>
    <w:rsid w:val="007E05BE"/>
    <w:rsid w:val="007E0820"/>
    <w:rsid w:val="007E0C04"/>
    <w:rsid w:val="007E0C12"/>
    <w:rsid w:val="007E0CC7"/>
    <w:rsid w:val="007E0DE7"/>
    <w:rsid w:val="007E0ED9"/>
    <w:rsid w:val="007E120A"/>
    <w:rsid w:val="007E127C"/>
    <w:rsid w:val="007E12DE"/>
    <w:rsid w:val="007E1482"/>
    <w:rsid w:val="007E14B1"/>
    <w:rsid w:val="007E1502"/>
    <w:rsid w:val="007E1934"/>
    <w:rsid w:val="007E1945"/>
    <w:rsid w:val="007E1CAA"/>
    <w:rsid w:val="007E1CFD"/>
    <w:rsid w:val="007E1E0C"/>
    <w:rsid w:val="007E1FE4"/>
    <w:rsid w:val="007E1FED"/>
    <w:rsid w:val="007E203E"/>
    <w:rsid w:val="007E22D0"/>
    <w:rsid w:val="007E24FE"/>
    <w:rsid w:val="007E25F1"/>
    <w:rsid w:val="007E295F"/>
    <w:rsid w:val="007E2966"/>
    <w:rsid w:val="007E2967"/>
    <w:rsid w:val="007E2B09"/>
    <w:rsid w:val="007E2B42"/>
    <w:rsid w:val="007E2B45"/>
    <w:rsid w:val="007E2DEF"/>
    <w:rsid w:val="007E2EEC"/>
    <w:rsid w:val="007E2EF2"/>
    <w:rsid w:val="007E3058"/>
    <w:rsid w:val="007E31B4"/>
    <w:rsid w:val="007E3461"/>
    <w:rsid w:val="007E358E"/>
    <w:rsid w:val="007E35A5"/>
    <w:rsid w:val="007E3647"/>
    <w:rsid w:val="007E36C1"/>
    <w:rsid w:val="007E36CE"/>
    <w:rsid w:val="007E36DE"/>
    <w:rsid w:val="007E37A7"/>
    <w:rsid w:val="007E3976"/>
    <w:rsid w:val="007E39A9"/>
    <w:rsid w:val="007E3A86"/>
    <w:rsid w:val="007E3B9F"/>
    <w:rsid w:val="007E3C31"/>
    <w:rsid w:val="007E3CA8"/>
    <w:rsid w:val="007E3EB7"/>
    <w:rsid w:val="007E404D"/>
    <w:rsid w:val="007E407F"/>
    <w:rsid w:val="007E4095"/>
    <w:rsid w:val="007E40F8"/>
    <w:rsid w:val="007E43E3"/>
    <w:rsid w:val="007E45FA"/>
    <w:rsid w:val="007E4655"/>
    <w:rsid w:val="007E466C"/>
    <w:rsid w:val="007E48F1"/>
    <w:rsid w:val="007E495E"/>
    <w:rsid w:val="007E4997"/>
    <w:rsid w:val="007E4FAA"/>
    <w:rsid w:val="007E509D"/>
    <w:rsid w:val="007E5127"/>
    <w:rsid w:val="007E5142"/>
    <w:rsid w:val="007E5198"/>
    <w:rsid w:val="007E544C"/>
    <w:rsid w:val="007E5454"/>
    <w:rsid w:val="007E5455"/>
    <w:rsid w:val="007E575A"/>
    <w:rsid w:val="007E586A"/>
    <w:rsid w:val="007E58E7"/>
    <w:rsid w:val="007E5A4C"/>
    <w:rsid w:val="007E5BCD"/>
    <w:rsid w:val="007E5CE1"/>
    <w:rsid w:val="007E5DAB"/>
    <w:rsid w:val="007E5E34"/>
    <w:rsid w:val="007E5F80"/>
    <w:rsid w:val="007E6426"/>
    <w:rsid w:val="007E659E"/>
    <w:rsid w:val="007E65DB"/>
    <w:rsid w:val="007E6637"/>
    <w:rsid w:val="007E6828"/>
    <w:rsid w:val="007E6A1B"/>
    <w:rsid w:val="007E6ACF"/>
    <w:rsid w:val="007E6EEA"/>
    <w:rsid w:val="007E70B6"/>
    <w:rsid w:val="007E7214"/>
    <w:rsid w:val="007E734E"/>
    <w:rsid w:val="007E74FD"/>
    <w:rsid w:val="007E7532"/>
    <w:rsid w:val="007E759D"/>
    <w:rsid w:val="007E79A9"/>
    <w:rsid w:val="007E7A05"/>
    <w:rsid w:val="007E7B00"/>
    <w:rsid w:val="007E7D6E"/>
    <w:rsid w:val="007E7F97"/>
    <w:rsid w:val="007F002B"/>
    <w:rsid w:val="007F00A8"/>
    <w:rsid w:val="007F026D"/>
    <w:rsid w:val="007F035C"/>
    <w:rsid w:val="007F0431"/>
    <w:rsid w:val="007F0735"/>
    <w:rsid w:val="007F0787"/>
    <w:rsid w:val="007F087D"/>
    <w:rsid w:val="007F0892"/>
    <w:rsid w:val="007F08D3"/>
    <w:rsid w:val="007F0962"/>
    <w:rsid w:val="007F0A72"/>
    <w:rsid w:val="007F0BCC"/>
    <w:rsid w:val="007F0C1E"/>
    <w:rsid w:val="007F0D60"/>
    <w:rsid w:val="007F10EE"/>
    <w:rsid w:val="007F1205"/>
    <w:rsid w:val="007F144B"/>
    <w:rsid w:val="007F14DD"/>
    <w:rsid w:val="007F1523"/>
    <w:rsid w:val="007F1576"/>
    <w:rsid w:val="007F1700"/>
    <w:rsid w:val="007F1825"/>
    <w:rsid w:val="007F18FC"/>
    <w:rsid w:val="007F1BAC"/>
    <w:rsid w:val="007F1BB9"/>
    <w:rsid w:val="007F1C61"/>
    <w:rsid w:val="007F1CB2"/>
    <w:rsid w:val="007F1DC2"/>
    <w:rsid w:val="007F1E73"/>
    <w:rsid w:val="007F1FE1"/>
    <w:rsid w:val="007F20D3"/>
    <w:rsid w:val="007F22D1"/>
    <w:rsid w:val="007F23A0"/>
    <w:rsid w:val="007F23EE"/>
    <w:rsid w:val="007F24C4"/>
    <w:rsid w:val="007F26BB"/>
    <w:rsid w:val="007F27D1"/>
    <w:rsid w:val="007F29E2"/>
    <w:rsid w:val="007F2B90"/>
    <w:rsid w:val="007F2D6E"/>
    <w:rsid w:val="007F2D7D"/>
    <w:rsid w:val="007F2DA5"/>
    <w:rsid w:val="007F2F62"/>
    <w:rsid w:val="007F2F8A"/>
    <w:rsid w:val="007F30F7"/>
    <w:rsid w:val="007F3345"/>
    <w:rsid w:val="007F3366"/>
    <w:rsid w:val="007F3545"/>
    <w:rsid w:val="007F3560"/>
    <w:rsid w:val="007F35F0"/>
    <w:rsid w:val="007F36C5"/>
    <w:rsid w:val="007F383C"/>
    <w:rsid w:val="007F3B8C"/>
    <w:rsid w:val="007F3F62"/>
    <w:rsid w:val="007F4014"/>
    <w:rsid w:val="007F4015"/>
    <w:rsid w:val="007F415F"/>
    <w:rsid w:val="007F42A0"/>
    <w:rsid w:val="007F4489"/>
    <w:rsid w:val="007F448D"/>
    <w:rsid w:val="007F44FD"/>
    <w:rsid w:val="007F46DF"/>
    <w:rsid w:val="007F48DE"/>
    <w:rsid w:val="007F4A03"/>
    <w:rsid w:val="007F4B01"/>
    <w:rsid w:val="007F4BD1"/>
    <w:rsid w:val="007F4CA2"/>
    <w:rsid w:val="007F4DC2"/>
    <w:rsid w:val="007F5115"/>
    <w:rsid w:val="007F526D"/>
    <w:rsid w:val="007F52A9"/>
    <w:rsid w:val="007F54BC"/>
    <w:rsid w:val="007F55F0"/>
    <w:rsid w:val="007F5640"/>
    <w:rsid w:val="007F5662"/>
    <w:rsid w:val="007F5706"/>
    <w:rsid w:val="007F58B4"/>
    <w:rsid w:val="007F58CF"/>
    <w:rsid w:val="007F5962"/>
    <w:rsid w:val="007F5B17"/>
    <w:rsid w:val="007F5BB1"/>
    <w:rsid w:val="007F5DEE"/>
    <w:rsid w:val="007F5F1A"/>
    <w:rsid w:val="007F623A"/>
    <w:rsid w:val="007F62CF"/>
    <w:rsid w:val="007F6335"/>
    <w:rsid w:val="007F642D"/>
    <w:rsid w:val="007F6579"/>
    <w:rsid w:val="007F6687"/>
    <w:rsid w:val="007F684F"/>
    <w:rsid w:val="007F6902"/>
    <w:rsid w:val="007F6A53"/>
    <w:rsid w:val="007F6CD2"/>
    <w:rsid w:val="007F6CE2"/>
    <w:rsid w:val="007F6D0C"/>
    <w:rsid w:val="007F6E68"/>
    <w:rsid w:val="007F6F14"/>
    <w:rsid w:val="007F6F48"/>
    <w:rsid w:val="007F71B3"/>
    <w:rsid w:val="007F71F3"/>
    <w:rsid w:val="007F72D9"/>
    <w:rsid w:val="007F7862"/>
    <w:rsid w:val="007F7B70"/>
    <w:rsid w:val="007F7B78"/>
    <w:rsid w:val="007F7C05"/>
    <w:rsid w:val="007F7D26"/>
    <w:rsid w:val="007F7D36"/>
    <w:rsid w:val="007F7FBE"/>
    <w:rsid w:val="00800492"/>
    <w:rsid w:val="00800634"/>
    <w:rsid w:val="00800700"/>
    <w:rsid w:val="00800823"/>
    <w:rsid w:val="008008B4"/>
    <w:rsid w:val="00800B7F"/>
    <w:rsid w:val="00800C3B"/>
    <w:rsid w:val="00800F1F"/>
    <w:rsid w:val="008010C9"/>
    <w:rsid w:val="00801316"/>
    <w:rsid w:val="0080136B"/>
    <w:rsid w:val="00801481"/>
    <w:rsid w:val="008015A1"/>
    <w:rsid w:val="0080164E"/>
    <w:rsid w:val="00801655"/>
    <w:rsid w:val="0080169A"/>
    <w:rsid w:val="0080169D"/>
    <w:rsid w:val="0080187A"/>
    <w:rsid w:val="008018E8"/>
    <w:rsid w:val="00801946"/>
    <w:rsid w:val="00801A03"/>
    <w:rsid w:val="00801AF9"/>
    <w:rsid w:val="00801C49"/>
    <w:rsid w:val="00801D92"/>
    <w:rsid w:val="00801D95"/>
    <w:rsid w:val="00801EB8"/>
    <w:rsid w:val="00801F70"/>
    <w:rsid w:val="00801FD9"/>
    <w:rsid w:val="00802007"/>
    <w:rsid w:val="008021E1"/>
    <w:rsid w:val="008025DB"/>
    <w:rsid w:val="0080261B"/>
    <w:rsid w:val="00802670"/>
    <w:rsid w:val="00802909"/>
    <w:rsid w:val="0080294B"/>
    <w:rsid w:val="0080299B"/>
    <w:rsid w:val="00802EE1"/>
    <w:rsid w:val="00803259"/>
    <w:rsid w:val="008032A8"/>
    <w:rsid w:val="008032C6"/>
    <w:rsid w:val="0080359B"/>
    <w:rsid w:val="008035D1"/>
    <w:rsid w:val="008035DE"/>
    <w:rsid w:val="008039DA"/>
    <w:rsid w:val="00803A6F"/>
    <w:rsid w:val="00803AB1"/>
    <w:rsid w:val="00803AD2"/>
    <w:rsid w:val="00803B4E"/>
    <w:rsid w:val="00803BF0"/>
    <w:rsid w:val="00803C39"/>
    <w:rsid w:val="00803C45"/>
    <w:rsid w:val="00803D50"/>
    <w:rsid w:val="0080414C"/>
    <w:rsid w:val="00804168"/>
    <w:rsid w:val="0080421B"/>
    <w:rsid w:val="0080426C"/>
    <w:rsid w:val="008042D1"/>
    <w:rsid w:val="00804408"/>
    <w:rsid w:val="008044E0"/>
    <w:rsid w:val="00804620"/>
    <w:rsid w:val="0080474B"/>
    <w:rsid w:val="00804778"/>
    <w:rsid w:val="008047A3"/>
    <w:rsid w:val="008047E5"/>
    <w:rsid w:val="008048E4"/>
    <w:rsid w:val="00804E33"/>
    <w:rsid w:val="00804EE5"/>
    <w:rsid w:val="00804EEE"/>
    <w:rsid w:val="00804F1D"/>
    <w:rsid w:val="00804F4A"/>
    <w:rsid w:val="00804FC0"/>
    <w:rsid w:val="00805238"/>
    <w:rsid w:val="008052F8"/>
    <w:rsid w:val="0080537B"/>
    <w:rsid w:val="008053E2"/>
    <w:rsid w:val="008058DD"/>
    <w:rsid w:val="00805909"/>
    <w:rsid w:val="008059BD"/>
    <w:rsid w:val="008059FF"/>
    <w:rsid w:val="00805AF0"/>
    <w:rsid w:val="00805C0C"/>
    <w:rsid w:val="00805DAC"/>
    <w:rsid w:val="00805ED0"/>
    <w:rsid w:val="00805F34"/>
    <w:rsid w:val="0080600D"/>
    <w:rsid w:val="00806031"/>
    <w:rsid w:val="00806329"/>
    <w:rsid w:val="008063B4"/>
    <w:rsid w:val="008064E6"/>
    <w:rsid w:val="00806532"/>
    <w:rsid w:val="0080654F"/>
    <w:rsid w:val="00806A16"/>
    <w:rsid w:val="00806BAF"/>
    <w:rsid w:val="00806C79"/>
    <w:rsid w:val="00806D33"/>
    <w:rsid w:val="00806E1E"/>
    <w:rsid w:val="00806ECD"/>
    <w:rsid w:val="00806F38"/>
    <w:rsid w:val="008070DD"/>
    <w:rsid w:val="008071C6"/>
    <w:rsid w:val="00807241"/>
    <w:rsid w:val="008074AD"/>
    <w:rsid w:val="0080750A"/>
    <w:rsid w:val="008078A1"/>
    <w:rsid w:val="0080799C"/>
    <w:rsid w:val="00807A86"/>
    <w:rsid w:val="00807C2C"/>
    <w:rsid w:val="00807DF8"/>
    <w:rsid w:val="00807E2D"/>
    <w:rsid w:val="00807FA4"/>
    <w:rsid w:val="008101DD"/>
    <w:rsid w:val="008101F0"/>
    <w:rsid w:val="00810215"/>
    <w:rsid w:val="008102DC"/>
    <w:rsid w:val="008103A0"/>
    <w:rsid w:val="008107D2"/>
    <w:rsid w:val="008109A0"/>
    <w:rsid w:val="008109B7"/>
    <w:rsid w:val="00810DBF"/>
    <w:rsid w:val="00810ED3"/>
    <w:rsid w:val="0081109F"/>
    <w:rsid w:val="008110E0"/>
    <w:rsid w:val="008110F5"/>
    <w:rsid w:val="00811137"/>
    <w:rsid w:val="008111FE"/>
    <w:rsid w:val="008113D7"/>
    <w:rsid w:val="00811419"/>
    <w:rsid w:val="0081144B"/>
    <w:rsid w:val="0081169C"/>
    <w:rsid w:val="00811801"/>
    <w:rsid w:val="008118A0"/>
    <w:rsid w:val="008118CF"/>
    <w:rsid w:val="008119DD"/>
    <w:rsid w:val="00811AC5"/>
    <w:rsid w:val="00811AF0"/>
    <w:rsid w:val="00811C24"/>
    <w:rsid w:val="00811E9B"/>
    <w:rsid w:val="00811FD8"/>
    <w:rsid w:val="0081227A"/>
    <w:rsid w:val="00812357"/>
    <w:rsid w:val="0081248B"/>
    <w:rsid w:val="008124D6"/>
    <w:rsid w:val="008126A4"/>
    <w:rsid w:val="0081272A"/>
    <w:rsid w:val="00812A72"/>
    <w:rsid w:val="00812CD1"/>
    <w:rsid w:val="00812DD4"/>
    <w:rsid w:val="00812DF0"/>
    <w:rsid w:val="00812E5E"/>
    <w:rsid w:val="00812EFD"/>
    <w:rsid w:val="00812F2E"/>
    <w:rsid w:val="00812FC7"/>
    <w:rsid w:val="0081340F"/>
    <w:rsid w:val="008135F4"/>
    <w:rsid w:val="00813644"/>
    <w:rsid w:val="0081367D"/>
    <w:rsid w:val="00813706"/>
    <w:rsid w:val="00813781"/>
    <w:rsid w:val="00813783"/>
    <w:rsid w:val="008137E7"/>
    <w:rsid w:val="008139D6"/>
    <w:rsid w:val="00813E10"/>
    <w:rsid w:val="00813F76"/>
    <w:rsid w:val="00814125"/>
    <w:rsid w:val="0081425C"/>
    <w:rsid w:val="00814480"/>
    <w:rsid w:val="00814569"/>
    <w:rsid w:val="008147F3"/>
    <w:rsid w:val="008149FF"/>
    <w:rsid w:val="00814D29"/>
    <w:rsid w:val="00814D62"/>
    <w:rsid w:val="00814DC0"/>
    <w:rsid w:val="00814DCA"/>
    <w:rsid w:val="00814E67"/>
    <w:rsid w:val="00814F45"/>
    <w:rsid w:val="00815047"/>
    <w:rsid w:val="008150C0"/>
    <w:rsid w:val="0081526E"/>
    <w:rsid w:val="008152D1"/>
    <w:rsid w:val="008154A6"/>
    <w:rsid w:val="008154D6"/>
    <w:rsid w:val="00815653"/>
    <w:rsid w:val="0081577F"/>
    <w:rsid w:val="008158C3"/>
    <w:rsid w:val="00815D49"/>
    <w:rsid w:val="00815EEC"/>
    <w:rsid w:val="00815EFD"/>
    <w:rsid w:val="0081634B"/>
    <w:rsid w:val="00816726"/>
    <w:rsid w:val="0081677E"/>
    <w:rsid w:val="00816944"/>
    <w:rsid w:val="0081695B"/>
    <w:rsid w:val="00816986"/>
    <w:rsid w:val="00816A5F"/>
    <w:rsid w:val="00816D2E"/>
    <w:rsid w:val="00816E00"/>
    <w:rsid w:val="00816EE7"/>
    <w:rsid w:val="008170C3"/>
    <w:rsid w:val="0081720C"/>
    <w:rsid w:val="00817211"/>
    <w:rsid w:val="0081727B"/>
    <w:rsid w:val="0081734B"/>
    <w:rsid w:val="0081747C"/>
    <w:rsid w:val="0081751A"/>
    <w:rsid w:val="00817678"/>
    <w:rsid w:val="0081767D"/>
    <w:rsid w:val="008176FF"/>
    <w:rsid w:val="0081786B"/>
    <w:rsid w:val="00817AC1"/>
    <w:rsid w:val="00817C29"/>
    <w:rsid w:val="00817D9C"/>
    <w:rsid w:val="00817E9A"/>
    <w:rsid w:val="00817FE0"/>
    <w:rsid w:val="008203E8"/>
    <w:rsid w:val="0082055F"/>
    <w:rsid w:val="008206B3"/>
    <w:rsid w:val="008206C6"/>
    <w:rsid w:val="008206E1"/>
    <w:rsid w:val="00820740"/>
    <w:rsid w:val="0082085D"/>
    <w:rsid w:val="00820D3F"/>
    <w:rsid w:val="00820E10"/>
    <w:rsid w:val="00820E3F"/>
    <w:rsid w:val="00820F19"/>
    <w:rsid w:val="00821005"/>
    <w:rsid w:val="008211E0"/>
    <w:rsid w:val="008212D1"/>
    <w:rsid w:val="00821555"/>
    <w:rsid w:val="00821606"/>
    <w:rsid w:val="0082177A"/>
    <w:rsid w:val="00821996"/>
    <w:rsid w:val="00821C2C"/>
    <w:rsid w:val="00821E0F"/>
    <w:rsid w:val="00821E92"/>
    <w:rsid w:val="00821EDC"/>
    <w:rsid w:val="008220AD"/>
    <w:rsid w:val="0082244C"/>
    <w:rsid w:val="008226BA"/>
    <w:rsid w:val="008226D9"/>
    <w:rsid w:val="00822AE1"/>
    <w:rsid w:val="00822C5C"/>
    <w:rsid w:val="00822CCF"/>
    <w:rsid w:val="00822D14"/>
    <w:rsid w:val="00822E06"/>
    <w:rsid w:val="00822EDD"/>
    <w:rsid w:val="00822FF4"/>
    <w:rsid w:val="0082302B"/>
    <w:rsid w:val="008230BB"/>
    <w:rsid w:val="008232ED"/>
    <w:rsid w:val="0082331B"/>
    <w:rsid w:val="008234C9"/>
    <w:rsid w:val="00823534"/>
    <w:rsid w:val="0082370A"/>
    <w:rsid w:val="00823C75"/>
    <w:rsid w:val="00823C7F"/>
    <w:rsid w:val="00823DC9"/>
    <w:rsid w:val="00823EF1"/>
    <w:rsid w:val="00823FED"/>
    <w:rsid w:val="00824064"/>
    <w:rsid w:val="0082414B"/>
    <w:rsid w:val="008241A1"/>
    <w:rsid w:val="00824360"/>
    <w:rsid w:val="008244A3"/>
    <w:rsid w:val="00824856"/>
    <w:rsid w:val="008248A2"/>
    <w:rsid w:val="00824972"/>
    <w:rsid w:val="00824A07"/>
    <w:rsid w:val="00824A10"/>
    <w:rsid w:val="00824B3C"/>
    <w:rsid w:val="00824DD6"/>
    <w:rsid w:val="00824F53"/>
    <w:rsid w:val="00824FDC"/>
    <w:rsid w:val="00825321"/>
    <w:rsid w:val="008255FE"/>
    <w:rsid w:val="008258C3"/>
    <w:rsid w:val="008258FA"/>
    <w:rsid w:val="00825A2A"/>
    <w:rsid w:val="00825AEB"/>
    <w:rsid w:val="00825B18"/>
    <w:rsid w:val="00825DDA"/>
    <w:rsid w:val="00825F2C"/>
    <w:rsid w:val="008263F9"/>
    <w:rsid w:val="008263FB"/>
    <w:rsid w:val="0082643B"/>
    <w:rsid w:val="008266F0"/>
    <w:rsid w:val="008267DF"/>
    <w:rsid w:val="00826804"/>
    <w:rsid w:val="0082683E"/>
    <w:rsid w:val="008268A4"/>
    <w:rsid w:val="00826A08"/>
    <w:rsid w:val="00826A40"/>
    <w:rsid w:val="00826A55"/>
    <w:rsid w:val="00826A97"/>
    <w:rsid w:val="00826B4B"/>
    <w:rsid w:val="008270B9"/>
    <w:rsid w:val="00827118"/>
    <w:rsid w:val="0082720F"/>
    <w:rsid w:val="008272DE"/>
    <w:rsid w:val="008275E1"/>
    <w:rsid w:val="008276A0"/>
    <w:rsid w:val="008277BD"/>
    <w:rsid w:val="008277D2"/>
    <w:rsid w:val="0082784F"/>
    <w:rsid w:val="008278CB"/>
    <w:rsid w:val="00827A31"/>
    <w:rsid w:val="00827A75"/>
    <w:rsid w:val="00827C86"/>
    <w:rsid w:val="00827D24"/>
    <w:rsid w:val="008300F7"/>
    <w:rsid w:val="00830389"/>
    <w:rsid w:val="008306A5"/>
    <w:rsid w:val="008306CC"/>
    <w:rsid w:val="008306E4"/>
    <w:rsid w:val="008307CC"/>
    <w:rsid w:val="0083090D"/>
    <w:rsid w:val="00830978"/>
    <w:rsid w:val="00830A19"/>
    <w:rsid w:val="00830AB6"/>
    <w:rsid w:val="00830EBA"/>
    <w:rsid w:val="00831020"/>
    <w:rsid w:val="008310EC"/>
    <w:rsid w:val="00831270"/>
    <w:rsid w:val="008312A9"/>
    <w:rsid w:val="00831415"/>
    <w:rsid w:val="00831618"/>
    <w:rsid w:val="00831650"/>
    <w:rsid w:val="0083170C"/>
    <w:rsid w:val="00831BE5"/>
    <w:rsid w:val="00831C70"/>
    <w:rsid w:val="00831F08"/>
    <w:rsid w:val="00832069"/>
    <w:rsid w:val="008321FE"/>
    <w:rsid w:val="008323BA"/>
    <w:rsid w:val="008324EF"/>
    <w:rsid w:val="008324FB"/>
    <w:rsid w:val="00832641"/>
    <w:rsid w:val="00832684"/>
    <w:rsid w:val="00832690"/>
    <w:rsid w:val="0083282D"/>
    <w:rsid w:val="00832830"/>
    <w:rsid w:val="008328E8"/>
    <w:rsid w:val="00832CEB"/>
    <w:rsid w:val="00832DC8"/>
    <w:rsid w:val="00832DF4"/>
    <w:rsid w:val="00832DF8"/>
    <w:rsid w:val="00832F27"/>
    <w:rsid w:val="00833321"/>
    <w:rsid w:val="00833454"/>
    <w:rsid w:val="008334A3"/>
    <w:rsid w:val="0083355C"/>
    <w:rsid w:val="00833697"/>
    <w:rsid w:val="0083392F"/>
    <w:rsid w:val="008339B8"/>
    <w:rsid w:val="008339F3"/>
    <w:rsid w:val="008339F7"/>
    <w:rsid w:val="00833B3B"/>
    <w:rsid w:val="00833B3F"/>
    <w:rsid w:val="00833C54"/>
    <w:rsid w:val="00833D12"/>
    <w:rsid w:val="00833ED8"/>
    <w:rsid w:val="00833F85"/>
    <w:rsid w:val="00834070"/>
    <w:rsid w:val="0083407D"/>
    <w:rsid w:val="008342A3"/>
    <w:rsid w:val="00834522"/>
    <w:rsid w:val="0083456D"/>
    <w:rsid w:val="00834592"/>
    <w:rsid w:val="00834856"/>
    <w:rsid w:val="00834A44"/>
    <w:rsid w:val="00834A97"/>
    <w:rsid w:val="00834B6F"/>
    <w:rsid w:val="00834E43"/>
    <w:rsid w:val="00834F22"/>
    <w:rsid w:val="00835211"/>
    <w:rsid w:val="008352EC"/>
    <w:rsid w:val="008353A2"/>
    <w:rsid w:val="00835478"/>
    <w:rsid w:val="008355BD"/>
    <w:rsid w:val="00835626"/>
    <w:rsid w:val="008356DD"/>
    <w:rsid w:val="0083575B"/>
    <w:rsid w:val="00835927"/>
    <w:rsid w:val="00835B2F"/>
    <w:rsid w:val="00835B5F"/>
    <w:rsid w:val="00835CA3"/>
    <w:rsid w:val="00835CBF"/>
    <w:rsid w:val="00835F04"/>
    <w:rsid w:val="00835F7B"/>
    <w:rsid w:val="00836119"/>
    <w:rsid w:val="00836451"/>
    <w:rsid w:val="00836820"/>
    <w:rsid w:val="00836A2B"/>
    <w:rsid w:val="00836CF5"/>
    <w:rsid w:val="00836DF4"/>
    <w:rsid w:val="00836F6A"/>
    <w:rsid w:val="00837072"/>
    <w:rsid w:val="00837132"/>
    <w:rsid w:val="00837133"/>
    <w:rsid w:val="00837144"/>
    <w:rsid w:val="00837299"/>
    <w:rsid w:val="008372FE"/>
    <w:rsid w:val="008373C8"/>
    <w:rsid w:val="0083742D"/>
    <w:rsid w:val="0083750A"/>
    <w:rsid w:val="0083750B"/>
    <w:rsid w:val="00837A36"/>
    <w:rsid w:val="00837A6E"/>
    <w:rsid w:val="00837C3E"/>
    <w:rsid w:val="00837F4F"/>
    <w:rsid w:val="00840052"/>
    <w:rsid w:val="00840105"/>
    <w:rsid w:val="008405B9"/>
    <w:rsid w:val="008406E0"/>
    <w:rsid w:val="00840986"/>
    <w:rsid w:val="00840BB1"/>
    <w:rsid w:val="00840E07"/>
    <w:rsid w:val="00840F75"/>
    <w:rsid w:val="0084104B"/>
    <w:rsid w:val="00841087"/>
    <w:rsid w:val="008410B3"/>
    <w:rsid w:val="008410D4"/>
    <w:rsid w:val="00841205"/>
    <w:rsid w:val="00841519"/>
    <w:rsid w:val="0084152A"/>
    <w:rsid w:val="008416F1"/>
    <w:rsid w:val="00841847"/>
    <w:rsid w:val="00841998"/>
    <w:rsid w:val="00841A5C"/>
    <w:rsid w:val="00841B8D"/>
    <w:rsid w:val="00841C36"/>
    <w:rsid w:val="00841C71"/>
    <w:rsid w:val="00841C7C"/>
    <w:rsid w:val="008420C0"/>
    <w:rsid w:val="00842200"/>
    <w:rsid w:val="0084234E"/>
    <w:rsid w:val="0084243D"/>
    <w:rsid w:val="0084262A"/>
    <w:rsid w:val="0084274B"/>
    <w:rsid w:val="00842764"/>
    <w:rsid w:val="00842771"/>
    <w:rsid w:val="00842B95"/>
    <w:rsid w:val="00842D05"/>
    <w:rsid w:val="00842D2A"/>
    <w:rsid w:val="00842EE0"/>
    <w:rsid w:val="00842EF6"/>
    <w:rsid w:val="008430E6"/>
    <w:rsid w:val="008432C2"/>
    <w:rsid w:val="00843307"/>
    <w:rsid w:val="00843435"/>
    <w:rsid w:val="008434B7"/>
    <w:rsid w:val="0084360C"/>
    <w:rsid w:val="008438A0"/>
    <w:rsid w:val="00843969"/>
    <w:rsid w:val="00843BE1"/>
    <w:rsid w:val="00843E42"/>
    <w:rsid w:val="00843E8A"/>
    <w:rsid w:val="00844018"/>
    <w:rsid w:val="0084403C"/>
    <w:rsid w:val="0084408C"/>
    <w:rsid w:val="00844266"/>
    <w:rsid w:val="00844283"/>
    <w:rsid w:val="00844563"/>
    <w:rsid w:val="00844690"/>
    <w:rsid w:val="00844805"/>
    <w:rsid w:val="008449D7"/>
    <w:rsid w:val="00844C10"/>
    <w:rsid w:val="00844CB7"/>
    <w:rsid w:val="00844D05"/>
    <w:rsid w:val="00844FB2"/>
    <w:rsid w:val="0084500D"/>
    <w:rsid w:val="008451FD"/>
    <w:rsid w:val="008452BB"/>
    <w:rsid w:val="008452D2"/>
    <w:rsid w:val="0084541C"/>
    <w:rsid w:val="00845439"/>
    <w:rsid w:val="0084559D"/>
    <w:rsid w:val="0084566F"/>
    <w:rsid w:val="008456C0"/>
    <w:rsid w:val="008457AB"/>
    <w:rsid w:val="00845865"/>
    <w:rsid w:val="00845934"/>
    <w:rsid w:val="00845C58"/>
    <w:rsid w:val="00845CCA"/>
    <w:rsid w:val="008460A7"/>
    <w:rsid w:val="00846177"/>
    <w:rsid w:val="00846300"/>
    <w:rsid w:val="00846562"/>
    <w:rsid w:val="008465E3"/>
    <w:rsid w:val="00846655"/>
    <w:rsid w:val="008466EC"/>
    <w:rsid w:val="00846709"/>
    <w:rsid w:val="00846779"/>
    <w:rsid w:val="008467C6"/>
    <w:rsid w:val="00846954"/>
    <w:rsid w:val="008469DF"/>
    <w:rsid w:val="00846CDF"/>
    <w:rsid w:val="00847004"/>
    <w:rsid w:val="00847005"/>
    <w:rsid w:val="00847328"/>
    <w:rsid w:val="008473CB"/>
    <w:rsid w:val="008474CF"/>
    <w:rsid w:val="00847504"/>
    <w:rsid w:val="00847682"/>
    <w:rsid w:val="00847820"/>
    <w:rsid w:val="00847947"/>
    <w:rsid w:val="00847AAD"/>
    <w:rsid w:val="00847B4C"/>
    <w:rsid w:val="00847B9A"/>
    <w:rsid w:val="00847E1D"/>
    <w:rsid w:val="00847EA4"/>
    <w:rsid w:val="00847ECB"/>
    <w:rsid w:val="00847F22"/>
    <w:rsid w:val="00850101"/>
    <w:rsid w:val="00850205"/>
    <w:rsid w:val="0085022B"/>
    <w:rsid w:val="008502AE"/>
    <w:rsid w:val="008504F3"/>
    <w:rsid w:val="008505A8"/>
    <w:rsid w:val="008507C7"/>
    <w:rsid w:val="0085099D"/>
    <w:rsid w:val="00850BEC"/>
    <w:rsid w:val="00850F55"/>
    <w:rsid w:val="00850F87"/>
    <w:rsid w:val="0085110E"/>
    <w:rsid w:val="008514D9"/>
    <w:rsid w:val="008515F1"/>
    <w:rsid w:val="008517AB"/>
    <w:rsid w:val="00851885"/>
    <w:rsid w:val="008518EB"/>
    <w:rsid w:val="00851D5C"/>
    <w:rsid w:val="00851E4E"/>
    <w:rsid w:val="00851FA0"/>
    <w:rsid w:val="0085208E"/>
    <w:rsid w:val="00852284"/>
    <w:rsid w:val="00852285"/>
    <w:rsid w:val="00852440"/>
    <w:rsid w:val="008524F4"/>
    <w:rsid w:val="008525CC"/>
    <w:rsid w:val="00852677"/>
    <w:rsid w:val="008526DF"/>
    <w:rsid w:val="00852768"/>
    <w:rsid w:val="008527BA"/>
    <w:rsid w:val="00852839"/>
    <w:rsid w:val="00852942"/>
    <w:rsid w:val="0085295C"/>
    <w:rsid w:val="00852B22"/>
    <w:rsid w:val="00852D0A"/>
    <w:rsid w:val="00852D2B"/>
    <w:rsid w:val="00852EB2"/>
    <w:rsid w:val="00852EBA"/>
    <w:rsid w:val="00852ECA"/>
    <w:rsid w:val="00852F16"/>
    <w:rsid w:val="00852F93"/>
    <w:rsid w:val="008530D5"/>
    <w:rsid w:val="00853157"/>
    <w:rsid w:val="008531D7"/>
    <w:rsid w:val="0085320B"/>
    <w:rsid w:val="00853459"/>
    <w:rsid w:val="00853585"/>
    <w:rsid w:val="008536F5"/>
    <w:rsid w:val="008537B5"/>
    <w:rsid w:val="008537DA"/>
    <w:rsid w:val="0085391A"/>
    <w:rsid w:val="008539A9"/>
    <w:rsid w:val="00853A28"/>
    <w:rsid w:val="00853C59"/>
    <w:rsid w:val="00853E29"/>
    <w:rsid w:val="00853EA9"/>
    <w:rsid w:val="00853F2F"/>
    <w:rsid w:val="00853F51"/>
    <w:rsid w:val="00853FB0"/>
    <w:rsid w:val="00853FBD"/>
    <w:rsid w:val="0085419F"/>
    <w:rsid w:val="00854436"/>
    <w:rsid w:val="00854439"/>
    <w:rsid w:val="00854543"/>
    <w:rsid w:val="00854B06"/>
    <w:rsid w:val="00854BBB"/>
    <w:rsid w:val="00854E29"/>
    <w:rsid w:val="00854F4A"/>
    <w:rsid w:val="008550D9"/>
    <w:rsid w:val="00855160"/>
    <w:rsid w:val="008557B9"/>
    <w:rsid w:val="008558C1"/>
    <w:rsid w:val="008559DD"/>
    <w:rsid w:val="00855D18"/>
    <w:rsid w:val="00855D90"/>
    <w:rsid w:val="00855EE8"/>
    <w:rsid w:val="0085621B"/>
    <w:rsid w:val="00856694"/>
    <w:rsid w:val="008566D4"/>
    <w:rsid w:val="00856701"/>
    <w:rsid w:val="00856927"/>
    <w:rsid w:val="00856971"/>
    <w:rsid w:val="00856A72"/>
    <w:rsid w:val="00856C2A"/>
    <w:rsid w:val="00856F7B"/>
    <w:rsid w:val="00856FBF"/>
    <w:rsid w:val="008570B4"/>
    <w:rsid w:val="00857349"/>
    <w:rsid w:val="00857390"/>
    <w:rsid w:val="00857434"/>
    <w:rsid w:val="0085744F"/>
    <w:rsid w:val="008575F8"/>
    <w:rsid w:val="00857739"/>
    <w:rsid w:val="00857762"/>
    <w:rsid w:val="008577EF"/>
    <w:rsid w:val="008577F6"/>
    <w:rsid w:val="0085786F"/>
    <w:rsid w:val="0085789B"/>
    <w:rsid w:val="008579E9"/>
    <w:rsid w:val="00857AA8"/>
    <w:rsid w:val="00857DA0"/>
    <w:rsid w:val="00857E36"/>
    <w:rsid w:val="00857F4C"/>
    <w:rsid w:val="00857F5C"/>
    <w:rsid w:val="00857F5D"/>
    <w:rsid w:val="0086003B"/>
    <w:rsid w:val="008600E3"/>
    <w:rsid w:val="00860280"/>
    <w:rsid w:val="008602AB"/>
    <w:rsid w:val="0086072D"/>
    <w:rsid w:val="008608C4"/>
    <w:rsid w:val="008609A2"/>
    <w:rsid w:val="008609DB"/>
    <w:rsid w:val="00860AD7"/>
    <w:rsid w:val="00860E14"/>
    <w:rsid w:val="00860F68"/>
    <w:rsid w:val="00860FD2"/>
    <w:rsid w:val="008613B1"/>
    <w:rsid w:val="008613D4"/>
    <w:rsid w:val="00861447"/>
    <w:rsid w:val="008615ED"/>
    <w:rsid w:val="008615FD"/>
    <w:rsid w:val="00861618"/>
    <w:rsid w:val="00861645"/>
    <w:rsid w:val="008617F8"/>
    <w:rsid w:val="0086190A"/>
    <w:rsid w:val="00861A4D"/>
    <w:rsid w:val="00861B77"/>
    <w:rsid w:val="00861C42"/>
    <w:rsid w:val="00861E4F"/>
    <w:rsid w:val="00862020"/>
    <w:rsid w:val="00862093"/>
    <w:rsid w:val="00862201"/>
    <w:rsid w:val="0086220E"/>
    <w:rsid w:val="00862314"/>
    <w:rsid w:val="0086231B"/>
    <w:rsid w:val="008623D7"/>
    <w:rsid w:val="00862551"/>
    <w:rsid w:val="0086266E"/>
    <w:rsid w:val="008626B9"/>
    <w:rsid w:val="00862908"/>
    <w:rsid w:val="008629C4"/>
    <w:rsid w:val="008629C8"/>
    <w:rsid w:val="00862AE6"/>
    <w:rsid w:val="00862ECA"/>
    <w:rsid w:val="00862F7E"/>
    <w:rsid w:val="0086322F"/>
    <w:rsid w:val="008632DD"/>
    <w:rsid w:val="00863317"/>
    <w:rsid w:val="00863358"/>
    <w:rsid w:val="0086371E"/>
    <w:rsid w:val="00863745"/>
    <w:rsid w:val="00863752"/>
    <w:rsid w:val="0086377B"/>
    <w:rsid w:val="00863F6F"/>
    <w:rsid w:val="00864027"/>
    <w:rsid w:val="0086423C"/>
    <w:rsid w:val="00864295"/>
    <w:rsid w:val="0086429D"/>
    <w:rsid w:val="0086435E"/>
    <w:rsid w:val="0086444F"/>
    <w:rsid w:val="00864477"/>
    <w:rsid w:val="00864507"/>
    <w:rsid w:val="0086457E"/>
    <w:rsid w:val="0086493B"/>
    <w:rsid w:val="00864C86"/>
    <w:rsid w:val="00864CF5"/>
    <w:rsid w:val="00864D48"/>
    <w:rsid w:val="00864E9B"/>
    <w:rsid w:val="00864EF1"/>
    <w:rsid w:val="00864F52"/>
    <w:rsid w:val="00864FCF"/>
    <w:rsid w:val="00865023"/>
    <w:rsid w:val="00865319"/>
    <w:rsid w:val="00865363"/>
    <w:rsid w:val="00865580"/>
    <w:rsid w:val="0086593A"/>
    <w:rsid w:val="00865C3E"/>
    <w:rsid w:val="00865C7F"/>
    <w:rsid w:val="00865DAB"/>
    <w:rsid w:val="00865EE7"/>
    <w:rsid w:val="00866186"/>
    <w:rsid w:val="0086622B"/>
    <w:rsid w:val="00866255"/>
    <w:rsid w:val="00866358"/>
    <w:rsid w:val="0086644D"/>
    <w:rsid w:val="008664C7"/>
    <w:rsid w:val="008665C2"/>
    <w:rsid w:val="0086669E"/>
    <w:rsid w:val="008668CE"/>
    <w:rsid w:val="00866B21"/>
    <w:rsid w:val="00866B62"/>
    <w:rsid w:val="00866CD7"/>
    <w:rsid w:val="008671FD"/>
    <w:rsid w:val="00867289"/>
    <w:rsid w:val="008672E7"/>
    <w:rsid w:val="0086737D"/>
    <w:rsid w:val="008675FC"/>
    <w:rsid w:val="0086770B"/>
    <w:rsid w:val="0086777E"/>
    <w:rsid w:val="008677E7"/>
    <w:rsid w:val="00867817"/>
    <w:rsid w:val="008678FD"/>
    <w:rsid w:val="0086797A"/>
    <w:rsid w:val="00867A75"/>
    <w:rsid w:val="00867B23"/>
    <w:rsid w:val="00867E4A"/>
    <w:rsid w:val="0087000E"/>
    <w:rsid w:val="00870011"/>
    <w:rsid w:val="0087013E"/>
    <w:rsid w:val="0087020F"/>
    <w:rsid w:val="0087025E"/>
    <w:rsid w:val="00870267"/>
    <w:rsid w:val="008702C1"/>
    <w:rsid w:val="00870322"/>
    <w:rsid w:val="00870329"/>
    <w:rsid w:val="00870411"/>
    <w:rsid w:val="00870687"/>
    <w:rsid w:val="008709B0"/>
    <w:rsid w:val="008709C2"/>
    <w:rsid w:val="00870DA5"/>
    <w:rsid w:val="00870E09"/>
    <w:rsid w:val="0087103E"/>
    <w:rsid w:val="0087107E"/>
    <w:rsid w:val="00871169"/>
    <w:rsid w:val="00871244"/>
    <w:rsid w:val="00871356"/>
    <w:rsid w:val="00871364"/>
    <w:rsid w:val="008713FA"/>
    <w:rsid w:val="00871536"/>
    <w:rsid w:val="00871567"/>
    <w:rsid w:val="008716B7"/>
    <w:rsid w:val="0087181B"/>
    <w:rsid w:val="00871CDE"/>
    <w:rsid w:val="00871D6D"/>
    <w:rsid w:val="00871D77"/>
    <w:rsid w:val="00871E4B"/>
    <w:rsid w:val="00871F30"/>
    <w:rsid w:val="00872296"/>
    <w:rsid w:val="008723FE"/>
    <w:rsid w:val="00872404"/>
    <w:rsid w:val="00872938"/>
    <w:rsid w:val="00872B0F"/>
    <w:rsid w:val="00872BA2"/>
    <w:rsid w:val="0087337C"/>
    <w:rsid w:val="008733FC"/>
    <w:rsid w:val="00873486"/>
    <w:rsid w:val="008734C9"/>
    <w:rsid w:val="00873915"/>
    <w:rsid w:val="008739FC"/>
    <w:rsid w:val="00873F7A"/>
    <w:rsid w:val="00874163"/>
    <w:rsid w:val="008743A2"/>
    <w:rsid w:val="00874691"/>
    <w:rsid w:val="008748CB"/>
    <w:rsid w:val="00874B78"/>
    <w:rsid w:val="00874CD2"/>
    <w:rsid w:val="00874D7E"/>
    <w:rsid w:val="0087504A"/>
    <w:rsid w:val="00875494"/>
    <w:rsid w:val="00875597"/>
    <w:rsid w:val="00875616"/>
    <w:rsid w:val="00875714"/>
    <w:rsid w:val="008757E0"/>
    <w:rsid w:val="00875ABA"/>
    <w:rsid w:val="00875C00"/>
    <w:rsid w:val="00875C6D"/>
    <w:rsid w:val="00875ED3"/>
    <w:rsid w:val="00875FBD"/>
    <w:rsid w:val="00876343"/>
    <w:rsid w:val="008763DE"/>
    <w:rsid w:val="0087640D"/>
    <w:rsid w:val="008764A8"/>
    <w:rsid w:val="00876AAB"/>
    <w:rsid w:val="00876BEC"/>
    <w:rsid w:val="00876C64"/>
    <w:rsid w:val="00876CC4"/>
    <w:rsid w:val="00876CE4"/>
    <w:rsid w:val="00876FBB"/>
    <w:rsid w:val="008770E1"/>
    <w:rsid w:val="0087713E"/>
    <w:rsid w:val="00877220"/>
    <w:rsid w:val="008772CC"/>
    <w:rsid w:val="008773BA"/>
    <w:rsid w:val="00877408"/>
    <w:rsid w:val="00877679"/>
    <w:rsid w:val="00877F48"/>
    <w:rsid w:val="00880114"/>
    <w:rsid w:val="008802E2"/>
    <w:rsid w:val="0088038A"/>
    <w:rsid w:val="0088041C"/>
    <w:rsid w:val="0088050D"/>
    <w:rsid w:val="00880603"/>
    <w:rsid w:val="0088080D"/>
    <w:rsid w:val="00880948"/>
    <w:rsid w:val="008809B2"/>
    <w:rsid w:val="00880BB0"/>
    <w:rsid w:val="00880C94"/>
    <w:rsid w:val="00880CC8"/>
    <w:rsid w:val="00880D8E"/>
    <w:rsid w:val="00880DBE"/>
    <w:rsid w:val="00880DBF"/>
    <w:rsid w:val="00880EBC"/>
    <w:rsid w:val="00881088"/>
    <w:rsid w:val="008810A9"/>
    <w:rsid w:val="00881435"/>
    <w:rsid w:val="0088152A"/>
    <w:rsid w:val="00881663"/>
    <w:rsid w:val="008818EC"/>
    <w:rsid w:val="00881AAA"/>
    <w:rsid w:val="00881B9C"/>
    <w:rsid w:val="00881BED"/>
    <w:rsid w:val="00881D30"/>
    <w:rsid w:val="00881DA7"/>
    <w:rsid w:val="008820E0"/>
    <w:rsid w:val="0088233D"/>
    <w:rsid w:val="008823E2"/>
    <w:rsid w:val="008824B1"/>
    <w:rsid w:val="008824FA"/>
    <w:rsid w:val="00882B66"/>
    <w:rsid w:val="00882C54"/>
    <w:rsid w:val="008834EE"/>
    <w:rsid w:val="00883586"/>
    <w:rsid w:val="008835D1"/>
    <w:rsid w:val="00883663"/>
    <w:rsid w:val="008837D6"/>
    <w:rsid w:val="00883991"/>
    <w:rsid w:val="00883B32"/>
    <w:rsid w:val="00883D2B"/>
    <w:rsid w:val="00883D5B"/>
    <w:rsid w:val="00884246"/>
    <w:rsid w:val="0088433D"/>
    <w:rsid w:val="008844CD"/>
    <w:rsid w:val="0088457E"/>
    <w:rsid w:val="008846BB"/>
    <w:rsid w:val="0088475A"/>
    <w:rsid w:val="00884846"/>
    <w:rsid w:val="00884856"/>
    <w:rsid w:val="008848BE"/>
    <w:rsid w:val="00884C23"/>
    <w:rsid w:val="00884FB7"/>
    <w:rsid w:val="008850C2"/>
    <w:rsid w:val="008850E7"/>
    <w:rsid w:val="0088516F"/>
    <w:rsid w:val="008852BA"/>
    <w:rsid w:val="00885370"/>
    <w:rsid w:val="008853CD"/>
    <w:rsid w:val="0088543D"/>
    <w:rsid w:val="008854C5"/>
    <w:rsid w:val="0088552D"/>
    <w:rsid w:val="008857D7"/>
    <w:rsid w:val="00885B2F"/>
    <w:rsid w:val="00885B79"/>
    <w:rsid w:val="00885C91"/>
    <w:rsid w:val="00885DA9"/>
    <w:rsid w:val="00885EC7"/>
    <w:rsid w:val="00885F5E"/>
    <w:rsid w:val="00885FC7"/>
    <w:rsid w:val="008860BC"/>
    <w:rsid w:val="008860F4"/>
    <w:rsid w:val="008861E2"/>
    <w:rsid w:val="0088622E"/>
    <w:rsid w:val="008863FC"/>
    <w:rsid w:val="00886416"/>
    <w:rsid w:val="00886617"/>
    <w:rsid w:val="00886A9C"/>
    <w:rsid w:val="00886ABC"/>
    <w:rsid w:val="00886D48"/>
    <w:rsid w:val="008870AA"/>
    <w:rsid w:val="00887147"/>
    <w:rsid w:val="00887191"/>
    <w:rsid w:val="008871F0"/>
    <w:rsid w:val="00887286"/>
    <w:rsid w:val="008873FB"/>
    <w:rsid w:val="00887463"/>
    <w:rsid w:val="00887651"/>
    <w:rsid w:val="00887672"/>
    <w:rsid w:val="008876AF"/>
    <w:rsid w:val="0088771B"/>
    <w:rsid w:val="00887764"/>
    <w:rsid w:val="00887848"/>
    <w:rsid w:val="008879D1"/>
    <w:rsid w:val="00887ABE"/>
    <w:rsid w:val="00887B2C"/>
    <w:rsid w:val="00887D31"/>
    <w:rsid w:val="00887DBF"/>
    <w:rsid w:val="00887DD6"/>
    <w:rsid w:val="00887F24"/>
    <w:rsid w:val="00887F43"/>
    <w:rsid w:val="00890131"/>
    <w:rsid w:val="00890191"/>
    <w:rsid w:val="008903A0"/>
    <w:rsid w:val="0089041F"/>
    <w:rsid w:val="0089049E"/>
    <w:rsid w:val="00890BD4"/>
    <w:rsid w:val="00890DEB"/>
    <w:rsid w:val="00890F26"/>
    <w:rsid w:val="00891014"/>
    <w:rsid w:val="008910AA"/>
    <w:rsid w:val="008911FE"/>
    <w:rsid w:val="00891389"/>
    <w:rsid w:val="008913B5"/>
    <w:rsid w:val="00891402"/>
    <w:rsid w:val="008916DA"/>
    <w:rsid w:val="00891789"/>
    <w:rsid w:val="0089183F"/>
    <w:rsid w:val="008918E6"/>
    <w:rsid w:val="008918F3"/>
    <w:rsid w:val="00891A4E"/>
    <w:rsid w:val="00891AB0"/>
    <w:rsid w:val="00891EBD"/>
    <w:rsid w:val="00891F4D"/>
    <w:rsid w:val="008920A3"/>
    <w:rsid w:val="0089233A"/>
    <w:rsid w:val="0089247F"/>
    <w:rsid w:val="00892537"/>
    <w:rsid w:val="008925F5"/>
    <w:rsid w:val="0089269B"/>
    <w:rsid w:val="008926B1"/>
    <w:rsid w:val="00892710"/>
    <w:rsid w:val="0089278C"/>
    <w:rsid w:val="00892844"/>
    <w:rsid w:val="00892982"/>
    <w:rsid w:val="00892A36"/>
    <w:rsid w:val="00892AA2"/>
    <w:rsid w:val="00892B1E"/>
    <w:rsid w:val="00892D43"/>
    <w:rsid w:val="00892EDC"/>
    <w:rsid w:val="00892F69"/>
    <w:rsid w:val="00892FAA"/>
    <w:rsid w:val="00893041"/>
    <w:rsid w:val="00893071"/>
    <w:rsid w:val="00893284"/>
    <w:rsid w:val="008932D0"/>
    <w:rsid w:val="008932E1"/>
    <w:rsid w:val="008933AC"/>
    <w:rsid w:val="008935F1"/>
    <w:rsid w:val="00893855"/>
    <w:rsid w:val="00893CA3"/>
    <w:rsid w:val="00893F0A"/>
    <w:rsid w:val="00893F12"/>
    <w:rsid w:val="00893F95"/>
    <w:rsid w:val="00894092"/>
    <w:rsid w:val="008940B7"/>
    <w:rsid w:val="0089417C"/>
    <w:rsid w:val="00894578"/>
    <w:rsid w:val="00894697"/>
    <w:rsid w:val="0089487B"/>
    <w:rsid w:val="008948B6"/>
    <w:rsid w:val="00894906"/>
    <w:rsid w:val="00894C1D"/>
    <w:rsid w:val="00894CB6"/>
    <w:rsid w:val="00894D4C"/>
    <w:rsid w:val="00894E6F"/>
    <w:rsid w:val="00895070"/>
    <w:rsid w:val="00895076"/>
    <w:rsid w:val="0089521F"/>
    <w:rsid w:val="00895382"/>
    <w:rsid w:val="00895400"/>
    <w:rsid w:val="00895442"/>
    <w:rsid w:val="008954D6"/>
    <w:rsid w:val="00895550"/>
    <w:rsid w:val="0089555A"/>
    <w:rsid w:val="008955A6"/>
    <w:rsid w:val="008955B8"/>
    <w:rsid w:val="00895888"/>
    <w:rsid w:val="0089598D"/>
    <w:rsid w:val="00895A81"/>
    <w:rsid w:val="00895BE4"/>
    <w:rsid w:val="00895C74"/>
    <w:rsid w:val="00895D6A"/>
    <w:rsid w:val="00895D70"/>
    <w:rsid w:val="00895F10"/>
    <w:rsid w:val="00895F94"/>
    <w:rsid w:val="00896095"/>
    <w:rsid w:val="008961B2"/>
    <w:rsid w:val="0089626F"/>
    <w:rsid w:val="008962BA"/>
    <w:rsid w:val="008964AC"/>
    <w:rsid w:val="008964E1"/>
    <w:rsid w:val="00896587"/>
    <w:rsid w:val="0089658B"/>
    <w:rsid w:val="008966AD"/>
    <w:rsid w:val="008966BB"/>
    <w:rsid w:val="00896725"/>
    <w:rsid w:val="008967DC"/>
    <w:rsid w:val="00896A97"/>
    <w:rsid w:val="00896D16"/>
    <w:rsid w:val="00897216"/>
    <w:rsid w:val="00897801"/>
    <w:rsid w:val="0089785B"/>
    <w:rsid w:val="008978D5"/>
    <w:rsid w:val="008979F8"/>
    <w:rsid w:val="00897A3E"/>
    <w:rsid w:val="00897A68"/>
    <w:rsid w:val="008A0193"/>
    <w:rsid w:val="008A0199"/>
    <w:rsid w:val="008A02E2"/>
    <w:rsid w:val="008A06EC"/>
    <w:rsid w:val="008A08A2"/>
    <w:rsid w:val="008A09B2"/>
    <w:rsid w:val="008A0A04"/>
    <w:rsid w:val="008A0BD1"/>
    <w:rsid w:val="008A0C49"/>
    <w:rsid w:val="008A0DDE"/>
    <w:rsid w:val="008A0FAE"/>
    <w:rsid w:val="008A1186"/>
    <w:rsid w:val="008A1447"/>
    <w:rsid w:val="008A1570"/>
    <w:rsid w:val="008A194F"/>
    <w:rsid w:val="008A198C"/>
    <w:rsid w:val="008A19DE"/>
    <w:rsid w:val="008A1A58"/>
    <w:rsid w:val="008A1C44"/>
    <w:rsid w:val="008A1CDD"/>
    <w:rsid w:val="008A1DA3"/>
    <w:rsid w:val="008A1E4A"/>
    <w:rsid w:val="008A1F7F"/>
    <w:rsid w:val="008A255F"/>
    <w:rsid w:val="008A25D7"/>
    <w:rsid w:val="008A273B"/>
    <w:rsid w:val="008A29AA"/>
    <w:rsid w:val="008A2C41"/>
    <w:rsid w:val="008A2ECE"/>
    <w:rsid w:val="008A3108"/>
    <w:rsid w:val="008A3148"/>
    <w:rsid w:val="008A32DF"/>
    <w:rsid w:val="008A3324"/>
    <w:rsid w:val="008A341D"/>
    <w:rsid w:val="008A3503"/>
    <w:rsid w:val="008A3638"/>
    <w:rsid w:val="008A3865"/>
    <w:rsid w:val="008A3962"/>
    <w:rsid w:val="008A3C6B"/>
    <w:rsid w:val="008A3D38"/>
    <w:rsid w:val="008A3EBB"/>
    <w:rsid w:val="008A3EE5"/>
    <w:rsid w:val="008A3F90"/>
    <w:rsid w:val="008A4088"/>
    <w:rsid w:val="008A41A3"/>
    <w:rsid w:val="008A41F4"/>
    <w:rsid w:val="008A4227"/>
    <w:rsid w:val="008A4229"/>
    <w:rsid w:val="008A4406"/>
    <w:rsid w:val="008A440B"/>
    <w:rsid w:val="008A4484"/>
    <w:rsid w:val="008A4665"/>
    <w:rsid w:val="008A4674"/>
    <w:rsid w:val="008A478C"/>
    <w:rsid w:val="008A4884"/>
    <w:rsid w:val="008A497A"/>
    <w:rsid w:val="008A4AEF"/>
    <w:rsid w:val="008A4B51"/>
    <w:rsid w:val="008A4C73"/>
    <w:rsid w:val="008A4D10"/>
    <w:rsid w:val="008A4DEF"/>
    <w:rsid w:val="008A4F05"/>
    <w:rsid w:val="008A5016"/>
    <w:rsid w:val="008A5102"/>
    <w:rsid w:val="008A510C"/>
    <w:rsid w:val="008A5134"/>
    <w:rsid w:val="008A52B1"/>
    <w:rsid w:val="008A5407"/>
    <w:rsid w:val="008A564B"/>
    <w:rsid w:val="008A5717"/>
    <w:rsid w:val="008A5926"/>
    <w:rsid w:val="008A5934"/>
    <w:rsid w:val="008A5B67"/>
    <w:rsid w:val="008A5B95"/>
    <w:rsid w:val="008A5BC9"/>
    <w:rsid w:val="008A5E59"/>
    <w:rsid w:val="008A6018"/>
    <w:rsid w:val="008A6059"/>
    <w:rsid w:val="008A60D7"/>
    <w:rsid w:val="008A631A"/>
    <w:rsid w:val="008A6546"/>
    <w:rsid w:val="008A67B5"/>
    <w:rsid w:val="008A67B7"/>
    <w:rsid w:val="008A68E3"/>
    <w:rsid w:val="008A6901"/>
    <w:rsid w:val="008A69EB"/>
    <w:rsid w:val="008A6A1B"/>
    <w:rsid w:val="008A6B11"/>
    <w:rsid w:val="008A6BB3"/>
    <w:rsid w:val="008A718D"/>
    <w:rsid w:val="008A73CE"/>
    <w:rsid w:val="008A7452"/>
    <w:rsid w:val="008A7485"/>
    <w:rsid w:val="008A7753"/>
    <w:rsid w:val="008A7792"/>
    <w:rsid w:val="008A7878"/>
    <w:rsid w:val="008A7A80"/>
    <w:rsid w:val="008A7BEF"/>
    <w:rsid w:val="008A7BF6"/>
    <w:rsid w:val="008A7BFD"/>
    <w:rsid w:val="008A7C4F"/>
    <w:rsid w:val="008B00E0"/>
    <w:rsid w:val="008B01E3"/>
    <w:rsid w:val="008B03B2"/>
    <w:rsid w:val="008B0406"/>
    <w:rsid w:val="008B0494"/>
    <w:rsid w:val="008B05B9"/>
    <w:rsid w:val="008B05FC"/>
    <w:rsid w:val="008B0735"/>
    <w:rsid w:val="008B075C"/>
    <w:rsid w:val="008B0761"/>
    <w:rsid w:val="008B094E"/>
    <w:rsid w:val="008B0964"/>
    <w:rsid w:val="008B0A32"/>
    <w:rsid w:val="008B0B03"/>
    <w:rsid w:val="008B0BBC"/>
    <w:rsid w:val="008B0D9D"/>
    <w:rsid w:val="008B0E00"/>
    <w:rsid w:val="008B0FCE"/>
    <w:rsid w:val="008B12D8"/>
    <w:rsid w:val="008B15F7"/>
    <w:rsid w:val="008B1702"/>
    <w:rsid w:val="008B1753"/>
    <w:rsid w:val="008B1AFC"/>
    <w:rsid w:val="008B1C42"/>
    <w:rsid w:val="008B1CD0"/>
    <w:rsid w:val="008B1E7E"/>
    <w:rsid w:val="008B1F33"/>
    <w:rsid w:val="008B210B"/>
    <w:rsid w:val="008B22B2"/>
    <w:rsid w:val="008B22D8"/>
    <w:rsid w:val="008B25CE"/>
    <w:rsid w:val="008B2780"/>
    <w:rsid w:val="008B2889"/>
    <w:rsid w:val="008B2A09"/>
    <w:rsid w:val="008B2A53"/>
    <w:rsid w:val="008B2B7A"/>
    <w:rsid w:val="008B2E61"/>
    <w:rsid w:val="008B2FF0"/>
    <w:rsid w:val="008B30C6"/>
    <w:rsid w:val="008B335C"/>
    <w:rsid w:val="008B342E"/>
    <w:rsid w:val="008B34CC"/>
    <w:rsid w:val="008B36D5"/>
    <w:rsid w:val="008B38C8"/>
    <w:rsid w:val="008B3BB3"/>
    <w:rsid w:val="008B3C63"/>
    <w:rsid w:val="008B3CBF"/>
    <w:rsid w:val="008B3DED"/>
    <w:rsid w:val="008B3E89"/>
    <w:rsid w:val="008B3EA3"/>
    <w:rsid w:val="008B3FA7"/>
    <w:rsid w:val="008B4103"/>
    <w:rsid w:val="008B4262"/>
    <w:rsid w:val="008B42DA"/>
    <w:rsid w:val="008B43FC"/>
    <w:rsid w:val="008B4416"/>
    <w:rsid w:val="008B4492"/>
    <w:rsid w:val="008B44E3"/>
    <w:rsid w:val="008B45EA"/>
    <w:rsid w:val="008B49BB"/>
    <w:rsid w:val="008B4AFB"/>
    <w:rsid w:val="008B4DBB"/>
    <w:rsid w:val="008B4E6E"/>
    <w:rsid w:val="008B4F98"/>
    <w:rsid w:val="008B54A5"/>
    <w:rsid w:val="008B5522"/>
    <w:rsid w:val="008B5761"/>
    <w:rsid w:val="008B5988"/>
    <w:rsid w:val="008B5C66"/>
    <w:rsid w:val="008B5CAF"/>
    <w:rsid w:val="008B5E78"/>
    <w:rsid w:val="008B5F08"/>
    <w:rsid w:val="008B6153"/>
    <w:rsid w:val="008B618B"/>
    <w:rsid w:val="008B61A1"/>
    <w:rsid w:val="008B61FB"/>
    <w:rsid w:val="008B63C2"/>
    <w:rsid w:val="008B6454"/>
    <w:rsid w:val="008B6696"/>
    <w:rsid w:val="008B68A6"/>
    <w:rsid w:val="008B6EFC"/>
    <w:rsid w:val="008B6FD6"/>
    <w:rsid w:val="008B7280"/>
    <w:rsid w:val="008B73A6"/>
    <w:rsid w:val="008B753A"/>
    <w:rsid w:val="008B75F6"/>
    <w:rsid w:val="008B7609"/>
    <w:rsid w:val="008B76C4"/>
    <w:rsid w:val="008B77CB"/>
    <w:rsid w:val="008B787F"/>
    <w:rsid w:val="008B78EF"/>
    <w:rsid w:val="008B7AEB"/>
    <w:rsid w:val="008B7D05"/>
    <w:rsid w:val="008B7D82"/>
    <w:rsid w:val="008B7E38"/>
    <w:rsid w:val="008B7F14"/>
    <w:rsid w:val="008B7FFE"/>
    <w:rsid w:val="008C0073"/>
    <w:rsid w:val="008C0197"/>
    <w:rsid w:val="008C02BE"/>
    <w:rsid w:val="008C0407"/>
    <w:rsid w:val="008C0634"/>
    <w:rsid w:val="008C0787"/>
    <w:rsid w:val="008C07A9"/>
    <w:rsid w:val="008C08F8"/>
    <w:rsid w:val="008C090F"/>
    <w:rsid w:val="008C0B98"/>
    <w:rsid w:val="008C0E76"/>
    <w:rsid w:val="008C10AE"/>
    <w:rsid w:val="008C1131"/>
    <w:rsid w:val="008C12AF"/>
    <w:rsid w:val="008C1363"/>
    <w:rsid w:val="008C1382"/>
    <w:rsid w:val="008C19AC"/>
    <w:rsid w:val="008C1B3D"/>
    <w:rsid w:val="008C1C5B"/>
    <w:rsid w:val="008C1E93"/>
    <w:rsid w:val="008C1F52"/>
    <w:rsid w:val="008C2061"/>
    <w:rsid w:val="008C2231"/>
    <w:rsid w:val="008C2342"/>
    <w:rsid w:val="008C2431"/>
    <w:rsid w:val="008C25C4"/>
    <w:rsid w:val="008C25D9"/>
    <w:rsid w:val="008C2624"/>
    <w:rsid w:val="008C2842"/>
    <w:rsid w:val="008C2907"/>
    <w:rsid w:val="008C2951"/>
    <w:rsid w:val="008C2AD6"/>
    <w:rsid w:val="008C2ADF"/>
    <w:rsid w:val="008C2B4F"/>
    <w:rsid w:val="008C2D92"/>
    <w:rsid w:val="008C2F0B"/>
    <w:rsid w:val="008C309F"/>
    <w:rsid w:val="008C31A0"/>
    <w:rsid w:val="008C3346"/>
    <w:rsid w:val="008C3570"/>
    <w:rsid w:val="008C3A7B"/>
    <w:rsid w:val="008C3BAA"/>
    <w:rsid w:val="008C3C28"/>
    <w:rsid w:val="008C3C3D"/>
    <w:rsid w:val="008C3DCF"/>
    <w:rsid w:val="008C404D"/>
    <w:rsid w:val="008C4188"/>
    <w:rsid w:val="008C424D"/>
    <w:rsid w:val="008C432F"/>
    <w:rsid w:val="008C44B3"/>
    <w:rsid w:val="008C4606"/>
    <w:rsid w:val="008C4649"/>
    <w:rsid w:val="008C466C"/>
    <w:rsid w:val="008C4684"/>
    <w:rsid w:val="008C46F7"/>
    <w:rsid w:val="008C47D7"/>
    <w:rsid w:val="008C4E1D"/>
    <w:rsid w:val="008C4F5D"/>
    <w:rsid w:val="008C4F84"/>
    <w:rsid w:val="008C51CB"/>
    <w:rsid w:val="008C5275"/>
    <w:rsid w:val="008C53AB"/>
    <w:rsid w:val="008C53FA"/>
    <w:rsid w:val="008C556A"/>
    <w:rsid w:val="008C572D"/>
    <w:rsid w:val="008C590A"/>
    <w:rsid w:val="008C5C10"/>
    <w:rsid w:val="008C5D0C"/>
    <w:rsid w:val="008C6330"/>
    <w:rsid w:val="008C67F8"/>
    <w:rsid w:val="008C693C"/>
    <w:rsid w:val="008C693E"/>
    <w:rsid w:val="008C6AB0"/>
    <w:rsid w:val="008C6AC9"/>
    <w:rsid w:val="008C6B0B"/>
    <w:rsid w:val="008C6B71"/>
    <w:rsid w:val="008C6DB9"/>
    <w:rsid w:val="008C6E5B"/>
    <w:rsid w:val="008C6E9E"/>
    <w:rsid w:val="008C7171"/>
    <w:rsid w:val="008C7527"/>
    <w:rsid w:val="008C75C3"/>
    <w:rsid w:val="008C7611"/>
    <w:rsid w:val="008C7653"/>
    <w:rsid w:val="008C765E"/>
    <w:rsid w:val="008C7951"/>
    <w:rsid w:val="008C798B"/>
    <w:rsid w:val="008C7A68"/>
    <w:rsid w:val="008C7AE1"/>
    <w:rsid w:val="008C7C9F"/>
    <w:rsid w:val="008C7D5B"/>
    <w:rsid w:val="008C7FBB"/>
    <w:rsid w:val="008C7FE0"/>
    <w:rsid w:val="008D00BF"/>
    <w:rsid w:val="008D00C9"/>
    <w:rsid w:val="008D0477"/>
    <w:rsid w:val="008D04ED"/>
    <w:rsid w:val="008D06A6"/>
    <w:rsid w:val="008D07DE"/>
    <w:rsid w:val="008D0829"/>
    <w:rsid w:val="008D0CBA"/>
    <w:rsid w:val="008D0E55"/>
    <w:rsid w:val="008D0EAF"/>
    <w:rsid w:val="008D1366"/>
    <w:rsid w:val="008D196D"/>
    <w:rsid w:val="008D19E8"/>
    <w:rsid w:val="008D1AC4"/>
    <w:rsid w:val="008D1AE6"/>
    <w:rsid w:val="008D1B5E"/>
    <w:rsid w:val="008D1ED1"/>
    <w:rsid w:val="008D1EED"/>
    <w:rsid w:val="008D20D6"/>
    <w:rsid w:val="008D2265"/>
    <w:rsid w:val="008D26E1"/>
    <w:rsid w:val="008D2906"/>
    <w:rsid w:val="008D2B11"/>
    <w:rsid w:val="008D2BA1"/>
    <w:rsid w:val="008D2D0A"/>
    <w:rsid w:val="008D2D17"/>
    <w:rsid w:val="008D2FFC"/>
    <w:rsid w:val="008D30A5"/>
    <w:rsid w:val="008D3385"/>
    <w:rsid w:val="008D34F4"/>
    <w:rsid w:val="008D363B"/>
    <w:rsid w:val="008D3727"/>
    <w:rsid w:val="008D384B"/>
    <w:rsid w:val="008D38D4"/>
    <w:rsid w:val="008D3B2A"/>
    <w:rsid w:val="008D3B2E"/>
    <w:rsid w:val="008D3B46"/>
    <w:rsid w:val="008D3BC7"/>
    <w:rsid w:val="008D3E14"/>
    <w:rsid w:val="008D407F"/>
    <w:rsid w:val="008D419A"/>
    <w:rsid w:val="008D41BB"/>
    <w:rsid w:val="008D42A1"/>
    <w:rsid w:val="008D4405"/>
    <w:rsid w:val="008D4486"/>
    <w:rsid w:val="008D45CD"/>
    <w:rsid w:val="008D46D8"/>
    <w:rsid w:val="008D4A93"/>
    <w:rsid w:val="008D4A9D"/>
    <w:rsid w:val="008D4BB4"/>
    <w:rsid w:val="008D4BEB"/>
    <w:rsid w:val="008D4C3D"/>
    <w:rsid w:val="008D4CF7"/>
    <w:rsid w:val="008D4D12"/>
    <w:rsid w:val="008D4D57"/>
    <w:rsid w:val="008D4D9D"/>
    <w:rsid w:val="008D4DB6"/>
    <w:rsid w:val="008D4E24"/>
    <w:rsid w:val="008D4FCF"/>
    <w:rsid w:val="008D5018"/>
    <w:rsid w:val="008D50E4"/>
    <w:rsid w:val="008D51DC"/>
    <w:rsid w:val="008D5440"/>
    <w:rsid w:val="008D56AA"/>
    <w:rsid w:val="008D57B9"/>
    <w:rsid w:val="008D5856"/>
    <w:rsid w:val="008D58AD"/>
    <w:rsid w:val="008D5C64"/>
    <w:rsid w:val="008D5D8A"/>
    <w:rsid w:val="008D611A"/>
    <w:rsid w:val="008D6141"/>
    <w:rsid w:val="008D61EB"/>
    <w:rsid w:val="008D61ED"/>
    <w:rsid w:val="008D6243"/>
    <w:rsid w:val="008D63FE"/>
    <w:rsid w:val="008D6606"/>
    <w:rsid w:val="008D6779"/>
    <w:rsid w:val="008D67B6"/>
    <w:rsid w:val="008D68E8"/>
    <w:rsid w:val="008D694B"/>
    <w:rsid w:val="008D697C"/>
    <w:rsid w:val="008D6B13"/>
    <w:rsid w:val="008D6BEF"/>
    <w:rsid w:val="008D6D1D"/>
    <w:rsid w:val="008D6DC1"/>
    <w:rsid w:val="008D6E32"/>
    <w:rsid w:val="008D6EDD"/>
    <w:rsid w:val="008D7041"/>
    <w:rsid w:val="008D7200"/>
    <w:rsid w:val="008D7325"/>
    <w:rsid w:val="008D7445"/>
    <w:rsid w:val="008D770E"/>
    <w:rsid w:val="008D778C"/>
    <w:rsid w:val="008D79E4"/>
    <w:rsid w:val="008D7A29"/>
    <w:rsid w:val="008D7B73"/>
    <w:rsid w:val="008D7F87"/>
    <w:rsid w:val="008D7FF4"/>
    <w:rsid w:val="008E001D"/>
    <w:rsid w:val="008E01D1"/>
    <w:rsid w:val="008E04E0"/>
    <w:rsid w:val="008E04E8"/>
    <w:rsid w:val="008E07C3"/>
    <w:rsid w:val="008E09EC"/>
    <w:rsid w:val="008E0AE0"/>
    <w:rsid w:val="008E0AF9"/>
    <w:rsid w:val="008E0BEA"/>
    <w:rsid w:val="008E0DC3"/>
    <w:rsid w:val="008E1082"/>
    <w:rsid w:val="008E10E1"/>
    <w:rsid w:val="008E1152"/>
    <w:rsid w:val="008E11DF"/>
    <w:rsid w:val="008E1313"/>
    <w:rsid w:val="008E146B"/>
    <w:rsid w:val="008E1540"/>
    <w:rsid w:val="008E15C5"/>
    <w:rsid w:val="008E15FB"/>
    <w:rsid w:val="008E1738"/>
    <w:rsid w:val="008E1A59"/>
    <w:rsid w:val="008E1B00"/>
    <w:rsid w:val="008E1E03"/>
    <w:rsid w:val="008E1E22"/>
    <w:rsid w:val="008E1EA4"/>
    <w:rsid w:val="008E2190"/>
    <w:rsid w:val="008E2257"/>
    <w:rsid w:val="008E22B1"/>
    <w:rsid w:val="008E23A2"/>
    <w:rsid w:val="008E246C"/>
    <w:rsid w:val="008E26F2"/>
    <w:rsid w:val="008E2701"/>
    <w:rsid w:val="008E28AA"/>
    <w:rsid w:val="008E29FD"/>
    <w:rsid w:val="008E2BA1"/>
    <w:rsid w:val="008E2C79"/>
    <w:rsid w:val="008E2E5E"/>
    <w:rsid w:val="008E2FB3"/>
    <w:rsid w:val="008E3004"/>
    <w:rsid w:val="008E310C"/>
    <w:rsid w:val="008E3254"/>
    <w:rsid w:val="008E328A"/>
    <w:rsid w:val="008E32AA"/>
    <w:rsid w:val="008E3337"/>
    <w:rsid w:val="008E3376"/>
    <w:rsid w:val="008E357D"/>
    <w:rsid w:val="008E359D"/>
    <w:rsid w:val="008E3ABA"/>
    <w:rsid w:val="008E3B11"/>
    <w:rsid w:val="008E3EBE"/>
    <w:rsid w:val="008E3F40"/>
    <w:rsid w:val="008E4211"/>
    <w:rsid w:val="008E42D1"/>
    <w:rsid w:val="008E4312"/>
    <w:rsid w:val="008E4366"/>
    <w:rsid w:val="008E4418"/>
    <w:rsid w:val="008E4442"/>
    <w:rsid w:val="008E47AD"/>
    <w:rsid w:val="008E4807"/>
    <w:rsid w:val="008E4965"/>
    <w:rsid w:val="008E4C9C"/>
    <w:rsid w:val="008E4D12"/>
    <w:rsid w:val="008E4EE0"/>
    <w:rsid w:val="008E4F62"/>
    <w:rsid w:val="008E4FE8"/>
    <w:rsid w:val="008E515C"/>
    <w:rsid w:val="008E51E4"/>
    <w:rsid w:val="008E51F3"/>
    <w:rsid w:val="008E53C8"/>
    <w:rsid w:val="008E586A"/>
    <w:rsid w:val="008E5D7F"/>
    <w:rsid w:val="008E5DBF"/>
    <w:rsid w:val="008E5F22"/>
    <w:rsid w:val="008E6024"/>
    <w:rsid w:val="008E6065"/>
    <w:rsid w:val="008E60F2"/>
    <w:rsid w:val="008E64E4"/>
    <w:rsid w:val="008E667E"/>
    <w:rsid w:val="008E675C"/>
    <w:rsid w:val="008E684C"/>
    <w:rsid w:val="008E684E"/>
    <w:rsid w:val="008E6896"/>
    <w:rsid w:val="008E6924"/>
    <w:rsid w:val="008E6973"/>
    <w:rsid w:val="008E69D1"/>
    <w:rsid w:val="008E6BED"/>
    <w:rsid w:val="008E6C4C"/>
    <w:rsid w:val="008E6CF4"/>
    <w:rsid w:val="008E7003"/>
    <w:rsid w:val="008E7151"/>
    <w:rsid w:val="008E717C"/>
    <w:rsid w:val="008E72EF"/>
    <w:rsid w:val="008E75BF"/>
    <w:rsid w:val="008E78C1"/>
    <w:rsid w:val="008E7933"/>
    <w:rsid w:val="008E7D2E"/>
    <w:rsid w:val="008E7DE9"/>
    <w:rsid w:val="008F00F3"/>
    <w:rsid w:val="008F0184"/>
    <w:rsid w:val="008F01C7"/>
    <w:rsid w:val="008F02CE"/>
    <w:rsid w:val="008F0381"/>
    <w:rsid w:val="008F049D"/>
    <w:rsid w:val="008F04CE"/>
    <w:rsid w:val="008F04D9"/>
    <w:rsid w:val="008F0758"/>
    <w:rsid w:val="008F08E9"/>
    <w:rsid w:val="008F0C4E"/>
    <w:rsid w:val="008F0C5E"/>
    <w:rsid w:val="008F0CC1"/>
    <w:rsid w:val="008F0CF6"/>
    <w:rsid w:val="008F0D20"/>
    <w:rsid w:val="008F0E19"/>
    <w:rsid w:val="008F1145"/>
    <w:rsid w:val="008F1171"/>
    <w:rsid w:val="008F1320"/>
    <w:rsid w:val="008F143B"/>
    <w:rsid w:val="008F1569"/>
    <w:rsid w:val="008F166F"/>
    <w:rsid w:val="008F17FA"/>
    <w:rsid w:val="008F19B0"/>
    <w:rsid w:val="008F1C64"/>
    <w:rsid w:val="008F1D2B"/>
    <w:rsid w:val="008F1D60"/>
    <w:rsid w:val="008F1E19"/>
    <w:rsid w:val="008F1E6A"/>
    <w:rsid w:val="008F20F1"/>
    <w:rsid w:val="008F2200"/>
    <w:rsid w:val="008F23E2"/>
    <w:rsid w:val="008F25B8"/>
    <w:rsid w:val="008F27F5"/>
    <w:rsid w:val="008F2B3D"/>
    <w:rsid w:val="008F2C0E"/>
    <w:rsid w:val="008F2C92"/>
    <w:rsid w:val="008F2D26"/>
    <w:rsid w:val="008F2DE2"/>
    <w:rsid w:val="008F30B4"/>
    <w:rsid w:val="008F30D5"/>
    <w:rsid w:val="008F318A"/>
    <w:rsid w:val="008F3358"/>
    <w:rsid w:val="008F33BA"/>
    <w:rsid w:val="008F3516"/>
    <w:rsid w:val="008F362D"/>
    <w:rsid w:val="008F38C8"/>
    <w:rsid w:val="008F3B2C"/>
    <w:rsid w:val="008F3D05"/>
    <w:rsid w:val="008F4050"/>
    <w:rsid w:val="008F4385"/>
    <w:rsid w:val="008F43EB"/>
    <w:rsid w:val="008F46C1"/>
    <w:rsid w:val="008F4854"/>
    <w:rsid w:val="008F493F"/>
    <w:rsid w:val="008F4A56"/>
    <w:rsid w:val="008F4BB4"/>
    <w:rsid w:val="008F4C72"/>
    <w:rsid w:val="008F4CE5"/>
    <w:rsid w:val="008F4D8F"/>
    <w:rsid w:val="008F4E90"/>
    <w:rsid w:val="008F5010"/>
    <w:rsid w:val="008F51AF"/>
    <w:rsid w:val="008F5263"/>
    <w:rsid w:val="008F52D3"/>
    <w:rsid w:val="008F5405"/>
    <w:rsid w:val="008F54FD"/>
    <w:rsid w:val="008F55E6"/>
    <w:rsid w:val="008F56BE"/>
    <w:rsid w:val="008F56DA"/>
    <w:rsid w:val="008F5721"/>
    <w:rsid w:val="008F5762"/>
    <w:rsid w:val="008F585C"/>
    <w:rsid w:val="008F58CC"/>
    <w:rsid w:val="008F592E"/>
    <w:rsid w:val="008F59C2"/>
    <w:rsid w:val="008F5AD7"/>
    <w:rsid w:val="008F5AFE"/>
    <w:rsid w:val="008F5C42"/>
    <w:rsid w:val="008F5D9C"/>
    <w:rsid w:val="008F5E98"/>
    <w:rsid w:val="008F6150"/>
    <w:rsid w:val="008F6309"/>
    <w:rsid w:val="008F633C"/>
    <w:rsid w:val="008F642D"/>
    <w:rsid w:val="008F66D5"/>
    <w:rsid w:val="008F685E"/>
    <w:rsid w:val="008F6C8B"/>
    <w:rsid w:val="008F6CDF"/>
    <w:rsid w:val="008F6DE2"/>
    <w:rsid w:val="008F70F2"/>
    <w:rsid w:val="008F70FB"/>
    <w:rsid w:val="008F72C5"/>
    <w:rsid w:val="008F750A"/>
    <w:rsid w:val="008F75E0"/>
    <w:rsid w:val="008F76C7"/>
    <w:rsid w:val="008F7730"/>
    <w:rsid w:val="008F7831"/>
    <w:rsid w:val="008F79E7"/>
    <w:rsid w:val="008F7B19"/>
    <w:rsid w:val="008F7BF1"/>
    <w:rsid w:val="008F7D0C"/>
    <w:rsid w:val="008F7F98"/>
    <w:rsid w:val="00900332"/>
    <w:rsid w:val="0090054A"/>
    <w:rsid w:val="009005B3"/>
    <w:rsid w:val="0090063E"/>
    <w:rsid w:val="009006AA"/>
    <w:rsid w:val="009006D7"/>
    <w:rsid w:val="009007C4"/>
    <w:rsid w:val="0090080F"/>
    <w:rsid w:val="009009B3"/>
    <w:rsid w:val="009009D1"/>
    <w:rsid w:val="00900A00"/>
    <w:rsid w:val="00900A55"/>
    <w:rsid w:val="00900B08"/>
    <w:rsid w:val="00900C5B"/>
    <w:rsid w:val="00900C66"/>
    <w:rsid w:val="00900CFA"/>
    <w:rsid w:val="00900D8A"/>
    <w:rsid w:val="00900F02"/>
    <w:rsid w:val="00900F25"/>
    <w:rsid w:val="00900F44"/>
    <w:rsid w:val="00900FFB"/>
    <w:rsid w:val="0090105A"/>
    <w:rsid w:val="009011CC"/>
    <w:rsid w:val="009011D5"/>
    <w:rsid w:val="009011FE"/>
    <w:rsid w:val="009013E4"/>
    <w:rsid w:val="0090159C"/>
    <w:rsid w:val="009015B9"/>
    <w:rsid w:val="00901921"/>
    <w:rsid w:val="00901954"/>
    <w:rsid w:val="00901AE3"/>
    <w:rsid w:val="00901B24"/>
    <w:rsid w:val="00901BC5"/>
    <w:rsid w:val="00901F50"/>
    <w:rsid w:val="00902076"/>
    <w:rsid w:val="0090215D"/>
    <w:rsid w:val="00902484"/>
    <w:rsid w:val="009025AA"/>
    <w:rsid w:val="00902793"/>
    <w:rsid w:val="009029A8"/>
    <w:rsid w:val="00902C79"/>
    <w:rsid w:val="00902F09"/>
    <w:rsid w:val="00902FF6"/>
    <w:rsid w:val="00903218"/>
    <w:rsid w:val="009032A5"/>
    <w:rsid w:val="00903321"/>
    <w:rsid w:val="0090333F"/>
    <w:rsid w:val="009035B6"/>
    <w:rsid w:val="00903709"/>
    <w:rsid w:val="0090397B"/>
    <w:rsid w:val="00903B53"/>
    <w:rsid w:val="00903D10"/>
    <w:rsid w:val="00903F75"/>
    <w:rsid w:val="00903FFC"/>
    <w:rsid w:val="0090432E"/>
    <w:rsid w:val="009043DC"/>
    <w:rsid w:val="009044C0"/>
    <w:rsid w:val="00904563"/>
    <w:rsid w:val="00904B7A"/>
    <w:rsid w:val="00904FBB"/>
    <w:rsid w:val="009051D0"/>
    <w:rsid w:val="009051D8"/>
    <w:rsid w:val="00905270"/>
    <w:rsid w:val="009058BD"/>
    <w:rsid w:val="00905940"/>
    <w:rsid w:val="0090595F"/>
    <w:rsid w:val="00905A8E"/>
    <w:rsid w:val="00905C08"/>
    <w:rsid w:val="00905C82"/>
    <w:rsid w:val="009061F3"/>
    <w:rsid w:val="00906204"/>
    <w:rsid w:val="00906293"/>
    <w:rsid w:val="00906641"/>
    <w:rsid w:val="009068DC"/>
    <w:rsid w:val="009069CC"/>
    <w:rsid w:val="00906AEA"/>
    <w:rsid w:val="00906B1B"/>
    <w:rsid w:val="00906CB0"/>
    <w:rsid w:val="00906CEC"/>
    <w:rsid w:val="00906D6C"/>
    <w:rsid w:val="00906FC0"/>
    <w:rsid w:val="00907541"/>
    <w:rsid w:val="009077FA"/>
    <w:rsid w:val="00907BFF"/>
    <w:rsid w:val="00907C1B"/>
    <w:rsid w:val="00907CE6"/>
    <w:rsid w:val="00907D12"/>
    <w:rsid w:val="00907E44"/>
    <w:rsid w:val="00907EA2"/>
    <w:rsid w:val="00910038"/>
    <w:rsid w:val="00910046"/>
    <w:rsid w:val="009101E0"/>
    <w:rsid w:val="0091024A"/>
    <w:rsid w:val="009105CE"/>
    <w:rsid w:val="009106A9"/>
    <w:rsid w:val="00910741"/>
    <w:rsid w:val="00910951"/>
    <w:rsid w:val="00910ACB"/>
    <w:rsid w:val="00910B84"/>
    <w:rsid w:val="00910D29"/>
    <w:rsid w:val="00910DD8"/>
    <w:rsid w:val="00910F3C"/>
    <w:rsid w:val="00911040"/>
    <w:rsid w:val="00911150"/>
    <w:rsid w:val="00911343"/>
    <w:rsid w:val="0091149E"/>
    <w:rsid w:val="0091176E"/>
    <w:rsid w:val="00911990"/>
    <w:rsid w:val="00911A6F"/>
    <w:rsid w:val="00911AAF"/>
    <w:rsid w:val="00911ACF"/>
    <w:rsid w:val="00911B51"/>
    <w:rsid w:val="00911C79"/>
    <w:rsid w:val="00911CA6"/>
    <w:rsid w:val="00911CED"/>
    <w:rsid w:val="00911E6F"/>
    <w:rsid w:val="00911F32"/>
    <w:rsid w:val="00911F9C"/>
    <w:rsid w:val="009120BF"/>
    <w:rsid w:val="0091235C"/>
    <w:rsid w:val="00912446"/>
    <w:rsid w:val="0091278F"/>
    <w:rsid w:val="009128D9"/>
    <w:rsid w:val="00912A09"/>
    <w:rsid w:val="00912A12"/>
    <w:rsid w:val="00912A45"/>
    <w:rsid w:val="00912C63"/>
    <w:rsid w:val="00912C98"/>
    <w:rsid w:val="00912E9D"/>
    <w:rsid w:val="00912EB9"/>
    <w:rsid w:val="00912FB9"/>
    <w:rsid w:val="00912FBC"/>
    <w:rsid w:val="00913144"/>
    <w:rsid w:val="00913271"/>
    <w:rsid w:val="00913682"/>
    <w:rsid w:val="00913769"/>
    <w:rsid w:val="0091389D"/>
    <w:rsid w:val="00913A96"/>
    <w:rsid w:val="00913B03"/>
    <w:rsid w:val="00913B43"/>
    <w:rsid w:val="00913B5C"/>
    <w:rsid w:val="00913B77"/>
    <w:rsid w:val="00913F55"/>
    <w:rsid w:val="009141C7"/>
    <w:rsid w:val="009143AE"/>
    <w:rsid w:val="0091479E"/>
    <w:rsid w:val="00914837"/>
    <w:rsid w:val="00914C4F"/>
    <w:rsid w:val="00914E39"/>
    <w:rsid w:val="00914F12"/>
    <w:rsid w:val="00914F6B"/>
    <w:rsid w:val="00914FAE"/>
    <w:rsid w:val="00915069"/>
    <w:rsid w:val="009150C0"/>
    <w:rsid w:val="00915174"/>
    <w:rsid w:val="009152A7"/>
    <w:rsid w:val="0091537A"/>
    <w:rsid w:val="00915386"/>
    <w:rsid w:val="00915720"/>
    <w:rsid w:val="0091574E"/>
    <w:rsid w:val="00915862"/>
    <w:rsid w:val="009158C8"/>
    <w:rsid w:val="009159BA"/>
    <w:rsid w:val="00915C63"/>
    <w:rsid w:val="0091619C"/>
    <w:rsid w:val="009163A6"/>
    <w:rsid w:val="00916456"/>
    <w:rsid w:val="009164E8"/>
    <w:rsid w:val="009165F8"/>
    <w:rsid w:val="00916650"/>
    <w:rsid w:val="009169D9"/>
    <w:rsid w:val="00916AE2"/>
    <w:rsid w:val="00916AE9"/>
    <w:rsid w:val="00916CA8"/>
    <w:rsid w:val="00916EC1"/>
    <w:rsid w:val="00916FF6"/>
    <w:rsid w:val="00917130"/>
    <w:rsid w:val="00917687"/>
    <w:rsid w:val="00917DF5"/>
    <w:rsid w:val="00917E0E"/>
    <w:rsid w:val="00920051"/>
    <w:rsid w:val="009202B6"/>
    <w:rsid w:val="009202B7"/>
    <w:rsid w:val="0092055D"/>
    <w:rsid w:val="009205C8"/>
    <w:rsid w:val="00920614"/>
    <w:rsid w:val="00920654"/>
    <w:rsid w:val="0092065D"/>
    <w:rsid w:val="00920708"/>
    <w:rsid w:val="00920750"/>
    <w:rsid w:val="009207B5"/>
    <w:rsid w:val="00920A74"/>
    <w:rsid w:val="00920AEE"/>
    <w:rsid w:val="00920D45"/>
    <w:rsid w:val="00920ED1"/>
    <w:rsid w:val="00920EF6"/>
    <w:rsid w:val="00920FD6"/>
    <w:rsid w:val="0092134E"/>
    <w:rsid w:val="009213FC"/>
    <w:rsid w:val="00921600"/>
    <w:rsid w:val="0092186B"/>
    <w:rsid w:val="009218DD"/>
    <w:rsid w:val="00921AB2"/>
    <w:rsid w:val="00921ABF"/>
    <w:rsid w:val="00921C5A"/>
    <w:rsid w:val="00921D33"/>
    <w:rsid w:val="00921DEC"/>
    <w:rsid w:val="00921EDB"/>
    <w:rsid w:val="00921FAC"/>
    <w:rsid w:val="0092265F"/>
    <w:rsid w:val="00922844"/>
    <w:rsid w:val="00922BFD"/>
    <w:rsid w:val="00922C79"/>
    <w:rsid w:val="00922CA0"/>
    <w:rsid w:val="00922CF8"/>
    <w:rsid w:val="009230CE"/>
    <w:rsid w:val="00923493"/>
    <w:rsid w:val="009234F5"/>
    <w:rsid w:val="00923649"/>
    <w:rsid w:val="00923671"/>
    <w:rsid w:val="00923867"/>
    <w:rsid w:val="009238D1"/>
    <w:rsid w:val="00923BFC"/>
    <w:rsid w:val="00923D4D"/>
    <w:rsid w:val="00923E68"/>
    <w:rsid w:val="00923EE1"/>
    <w:rsid w:val="00923FD2"/>
    <w:rsid w:val="009240CA"/>
    <w:rsid w:val="0092455F"/>
    <w:rsid w:val="009245DA"/>
    <w:rsid w:val="00924682"/>
    <w:rsid w:val="009248E0"/>
    <w:rsid w:val="009249FE"/>
    <w:rsid w:val="00924AEA"/>
    <w:rsid w:val="00924EE7"/>
    <w:rsid w:val="00924FF9"/>
    <w:rsid w:val="009251A8"/>
    <w:rsid w:val="009251D6"/>
    <w:rsid w:val="0092522B"/>
    <w:rsid w:val="009254A5"/>
    <w:rsid w:val="009254AC"/>
    <w:rsid w:val="00925623"/>
    <w:rsid w:val="0092567D"/>
    <w:rsid w:val="00925878"/>
    <w:rsid w:val="00925916"/>
    <w:rsid w:val="00925A7E"/>
    <w:rsid w:val="00925E91"/>
    <w:rsid w:val="00925EB7"/>
    <w:rsid w:val="00926397"/>
    <w:rsid w:val="0092648D"/>
    <w:rsid w:val="00926654"/>
    <w:rsid w:val="0092687D"/>
    <w:rsid w:val="0092693C"/>
    <w:rsid w:val="00926B96"/>
    <w:rsid w:val="00926CC5"/>
    <w:rsid w:val="00926CFF"/>
    <w:rsid w:val="00926F21"/>
    <w:rsid w:val="00926F58"/>
    <w:rsid w:val="00926F8B"/>
    <w:rsid w:val="0092703F"/>
    <w:rsid w:val="009270D9"/>
    <w:rsid w:val="0092749D"/>
    <w:rsid w:val="009274CE"/>
    <w:rsid w:val="00927640"/>
    <w:rsid w:val="0092770B"/>
    <w:rsid w:val="00927841"/>
    <w:rsid w:val="0092786C"/>
    <w:rsid w:val="009278AF"/>
    <w:rsid w:val="00927B9C"/>
    <w:rsid w:val="00927C15"/>
    <w:rsid w:val="00927D73"/>
    <w:rsid w:val="00927D7A"/>
    <w:rsid w:val="00927F3E"/>
    <w:rsid w:val="00930000"/>
    <w:rsid w:val="0093002F"/>
    <w:rsid w:val="00930047"/>
    <w:rsid w:val="0093009D"/>
    <w:rsid w:val="0093014A"/>
    <w:rsid w:val="00930339"/>
    <w:rsid w:val="0093035E"/>
    <w:rsid w:val="0093058B"/>
    <w:rsid w:val="0093083C"/>
    <w:rsid w:val="0093086E"/>
    <w:rsid w:val="00930897"/>
    <w:rsid w:val="00930909"/>
    <w:rsid w:val="00930A11"/>
    <w:rsid w:val="00930A86"/>
    <w:rsid w:val="00930CE9"/>
    <w:rsid w:val="00930E5B"/>
    <w:rsid w:val="00931000"/>
    <w:rsid w:val="0093129C"/>
    <w:rsid w:val="009314F8"/>
    <w:rsid w:val="00931665"/>
    <w:rsid w:val="009316CB"/>
    <w:rsid w:val="0093184E"/>
    <w:rsid w:val="0093190A"/>
    <w:rsid w:val="00931945"/>
    <w:rsid w:val="009319CA"/>
    <w:rsid w:val="00931A85"/>
    <w:rsid w:val="00931B12"/>
    <w:rsid w:val="00931D15"/>
    <w:rsid w:val="00931DA1"/>
    <w:rsid w:val="00931E3A"/>
    <w:rsid w:val="00931EE4"/>
    <w:rsid w:val="00931F73"/>
    <w:rsid w:val="0093206A"/>
    <w:rsid w:val="00932118"/>
    <w:rsid w:val="009321A9"/>
    <w:rsid w:val="009321DB"/>
    <w:rsid w:val="00932333"/>
    <w:rsid w:val="009323B5"/>
    <w:rsid w:val="00932A44"/>
    <w:rsid w:val="00932B94"/>
    <w:rsid w:val="00932BC1"/>
    <w:rsid w:val="00932C87"/>
    <w:rsid w:val="00932D3F"/>
    <w:rsid w:val="00932F07"/>
    <w:rsid w:val="0093311D"/>
    <w:rsid w:val="009331DC"/>
    <w:rsid w:val="00933204"/>
    <w:rsid w:val="009334A2"/>
    <w:rsid w:val="0093350B"/>
    <w:rsid w:val="009336D8"/>
    <w:rsid w:val="0093370F"/>
    <w:rsid w:val="009337E0"/>
    <w:rsid w:val="00933854"/>
    <w:rsid w:val="009338D6"/>
    <w:rsid w:val="00933A37"/>
    <w:rsid w:val="00933B10"/>
    <w:rsid w:val="00933C0E"/>
    <w:rsid w:val="00933C3C"/>
    <w:rsid w:val="00933C75"/>
    <w:rsid w:val="00933DDF"/>
    <w:rsid w:val="00933DE8"/>
    <w:rsid w:val="00933EC7"/>
    <w:rsid w:val="00933FB7"/>
    <w:rsid w:val="009341CF"/>
    <w:rsid w:val="009344A8"/>
    <w:rsid w:val="009345AC"/>
    <w:rsid w:val="00934726"/>
    <w:rsid w:val="0093480A"/>
    <w:rsid w:val="0093499A"/>
    <w:rsid w:val="00934CA0"/>
    <w:rsid w:val="00934F01"/>
    <w:rsid w:val="00934FD2"/>
    <w:rsid w:val="00935037"/>
    <w:rsid w:val="009351A0"/>
    <w:rsid w:val="009351EA"/>
    <w:rsid w:val="00935273"/>
    <w:rsid w:val="00935303"/>
    <w:rsid w:val="009353A7"/>
    <w:rsid w:val="00935534"/>
    <w:rsid w:val="009358AF"/>
    <w:rsid w:val="009358B1"/>
    <w:rsid w:val="009358B5"/>
    <w:rsid w:val="00935A92"/>
    <w:rsid w:val="00935D6C"/>
    <w:rsid w:val="00935DF3"/>
    <w:rsid w:val="00935F3C"/>
    <w:rsid w:val="00935F90"/>
    <w:rsid w:val="0093608E"/>
    <w:rsid w:val="00936183"/>
    <w:rsid w:val="0093622E"/>
    <w:rsid w:val="00936279"/>
    <w:rsid w:val="0093645C"/>
    <w:rsid w:val="009364FE"/>
    <w:rsid w:val="00936968"/>
    <w:rsid w:val="0093704D"/>
    <w:rsid w:val="00937087"/>
    <w:rsid w:val="00937214"/>
    <w:rsid w:val="009372F1"/>
    <w:rsid w:val="0093731B"/>
    <w:rsid w:val="00937323"/>
    <w:rsid w:val="0093747F"/>
    <w:rsid w:val="00937518"/>
    <w:rsid w:val="0093758E"/>
    <w:rsid w:val="009376FC"/>
    <w:rsid w:val="00937933"/>
    <w:rsid w:val="00937D87"/>
    <w:rsid w:val="00937DF2"/>
    <w:rsid w:val="00937E9B"/>
    <w:rsid w:val="00937F4E"/>
    <w:rsid w:val="00937FEA"/>
    <w:rsid w:val="00940046"/>
    <w:rsid w:val="00940083"/>
    <w:rsid w:val="009404E1"/>
    <w:rsid w:val="00940535"/>
    <w:rsid w:val="00940850"/>
    <w:rsid w:val="00940A59"/>
    <w:rsid w:val="00940AE7"/>
    <w:rsid w:val="00940BCC"/>
    <w:rsid w:val="00940C76"/>
    <w:rsid w:val="00940D38"/>
    <w:rsid w:val="00940DE5"/>
    <w:rsid w:val="00940E13"/>
    <w:rsid w:val="00940E21"/>
    <w:rsid w:val="00940EA2"/>
    <w:rsid w:val="00940F39"/>
    <w:rsid w:val="00941248"/>
    <w:rsid w:val="00941346"/>
    <w:rsid w:val="0094134F"/>
    <w:rsid w:val="009415BA"/>
    <w:rsid w:val="0094168C"/>
    <w:rsid w:val="0094185F"/>
    <w:rsid w:val="00941D43"/>
    <w:rsid w:val="00941EAA"/>
    <w:rsid w:val="00941F69"/>
    <w:rsid w:val="0094202D"/>
    <w:rsid w:val="0094204E"/>
    <w:rsid w:val="00942197"/>
    <w:rsid w:val="00942258"/>
    <w:rsid w:val="0094228F"/>
    <w:rsid w:val="009423AA"/>
    <w:rsid w:val="009423B8"/>
    <w:rsid w:val="00942494"/>
    <w:rsid w:val="009424F0"/>
    <w:rsid w:val="00942529"/>
    <w:rsid w:val="00942569"/>
    <w:rsid w:val="009425F0"/>
    <w:rsid w:val="0094278E"/>
    <w:rsid w:val="0094282D"/>
    <w:rsid w:val="0094294F"/>
    <w:rsid w:val="00942CF2"/>
    <w:rsid w:val="00942D8C"/>
    <w:rsid w:val="00942DB7"/>
    <w:rsid w:val="00942F21"/>
    <w:rsid w:val="00943472"/>
    <w:rsid w:val="009434EF"/>
    <w:rsid w:val="009435D8"/>
    <w:rsid w:val="0094376B"/>
    <w:rsid w:val="00943898"/>
    <w:rsid w:val="00943927"/>
    <w:rsid w:val="00943BA3"/>
    <w:rsid w:val="00943C1E"/>
    <w:rsid w:val="00943C7E"/>
    <w:rsid w:val="00943EC6"/>
    <w:rsid w:val="00943ED0"/>
    <w:rsid w:val="00943EE6"/>
    <w:rsid w:val="0094401D"/>
    <w:rsid w:val="00944067"/>
    <w:rsid w:val="009440E3"/>
    <w:rsid w:val="00944164"/>
    <w:rsid w:val="00944250"/>
    <w:rsid w:val="009445B3"/>
    <w:rsid w:val="009445E9"/>
    <w:rsid w:val="0094464E"/>
    <w:rsid w:val="00944980"/>
    <w:rsid w:val="00944AC9"/>
    <w:rsid w:val="00944CD3"/>
    <w:rsid w:val="00944D5E"/>
    <w:rsid w:val="00944E84"/>
    <w:rsid w:val="00945046"/>
    <w:rsid w:val="009450BB"/>
    <w:rsid w:val="009451FB"/>
    <w:rsid w:val="00945284"/>
    <w:rsid w:val="009455C5"/>
    <w:rsid w:val="00945684"/>
    <w:rsid w:val="00945948"/>
    <w:rsid w:val="00945A8C"/>
    <w:rsid w:val="00945A9F"/>
    <w:rsid w:val="00945C64"/>
    <w:rsid w:val="00945E99"/>
    <w:rsid w:val="00945F47"/>
    <w:rsid w:val="00945FED"/>
    <w:rsid w:val="00946070"/>
    <w:rsid w:val="009463BA"/>
    <w:rsid w:val="00946531"/>
    <w:rsid w:val="009465A2"/>
    <w:rsid w:val="00946674"/>
    <w:rsid w:val="009466A3"/>
    <w:rsid w:val="00946785"/>
    <w:rsid w:val="0094685A"/>
    <w:rsid w:val="00946889"/>
    <w:rsid w:val="009468FF"/>
    <w:rsid w:val="00946912"/>
    <w:rsid w:val="00946C84"/>
    <w:rsid w:val="00946DAD"/>
    <w:rsid w:val="00946E43"/>
    <w:rsid w:val="00946F17"/>
    <w:rsid w:val="00946FD4"/>
    <w:rsid w:val="00947123"/>
    <w:rsid w:val="00947157"/>
    <w:rsid w:val="00947238"/>
    <w:rsid w:val="00947320"/>
    <w:rsid w:val="00947329"/>
    <w:rsid w:val="00947471"/>
    <w:rsid w:val="009475B3"/>
    <w:rsid w:val="0094773A"/>
    <w:rsid w:val="00947A4A"/>
    <w:rsid w:val="00947A5D"/>
    <w:rsid w:val="00947A96"/>
    <w:rsid w:val="00947C2A"/>
    <w:rsid w:val="00947F00"/>
    <w:rsid w:val="00947F0E"/>
    <w:rsid w:val="00950092"/>
    <w:rsid w:val="009500E9"/>
    <w:rsid w:val="009500F0"/>
    <w:rsid w:val="00950257"/>
    <w:rsid w:val="00950281"/>
    <w:rsid w:val="009503B5"/>
    <w:rsid w:val="00950575"/>
    <w:rsid w:val="00950A76"/>
    <w:rsid w:val="00950C2B"/>
    <w:rsid w:val="00950F17"/>
    <w:rsid w:val="0095111C"/>
    <w:rsid w:val="0095123E"/>
    <w:rsid w:val="00951242"/>
    <w:rsid w:val="00951428"/>
    <w:rsid w:val="00951532"/>
    <w:rsid w:val="009517E7"/>
    <w:rsid w:val="00951998"/>
    <w:rsid w:val="00951CB3"/>
    <w:rsid w:val="00951E1B"/>
    <w:rsid w:val="00951E23"/>
    <w:rsid w:val="009524E7"/>
    <w:rsid w:val="0095255F"/>
    <w:rsid w:val="009526F4"/>
    <w:rsid w:val="0095280E"/>
    <w:rsid w:val="009529CF"/>
    <w:rsid w:val="00952A81"/>
    <w:rsid w:val="00952AA1"/>
    <w:rsid w:val="00952B52"/>
    <w:rsid w:val="00952B6A"/>
    <w:rsid w:val="00952E16"/>
    <w:rsid w:val="0095305B"/>
    <w:rsid w:val="00953060"/>
    <w:rsid w:val="00953103"/>
    <w:rsid w:val="00953127"/>
    <w:rsid w:val="00953299"/>
    <w:rsid w:val="0095357E"/>
    <w:rsid w:val="00953612"/>
    <w:rsid w:val="009536DA"/>
    <w:rsid w:val="00953838"/>
    <w:rsid w:val="009538D0"/>
    <w:rsid w:val="00953A34"/>
    <w:rsid w:val="00953A5A"/>
    <w:rsid w:val="00953BEC"/>
    <w:rsid w:val="00953C17"/>
    <w:rsid w:val="00953E20"/>
    <w:rsid w:val="00953F18"/>
    <w:rsid w:val="009540FF"/>
    <w:rsid w:val="00954381"/>
    <w:rsid w:val="00954491"/>
    <w:rsid w:val="0095454B"/>
    <w:rsid w:val="009546E3"/>
    <w:rsid w:val="0095495E"/>
    <w:rsid w:val="00954B57"/>
    <w:rsid w:val="00954B73"/>
    <w:rsid w:val="00954E19"/>
    <w:rsid w:val="00954EFB"/>
    <w:rsid w:val="009552A9"/>
    <w:rsid w:val="00955498"/>
    <w:rsid w:val="0095552A"/>
    <w:rsid w:val="0095552E"/>
    <w:rsid w:val="00955637"/>
    <w:rsid w:val="009557B3"/>
    <w:rsid w:val="00955832"/>
    <w:rsid w:val="00955945"/>
    <w:rsid w:val="0095599A"/>
    <w:rsid w:val="00955A0F"/>
    <w:rsid w:val="00955D2C"/>
    <w:rsid w:val="00955DFD"/>
    <w:rsid w:val="00955F8B"/>
    <w:rsid w:val="00955F8C"/>
    <w:rsid w:val="00955FAF"/>
    <w:rsid w:val="00956304"/>
    <w:rsid w:val="009563CB"/>
    <w:rsid w:val="009564D8"/>
    <w:rsid w:val="00956597"/>
    <w:rsid w:val="009565E3"/>
    <w:rsid w:val="009566B1"/>
    <w:rsid w:val="00956884"/>
    <w:rsid w:val="009568F3"/>
    <w:rsid w:val="00956DFD"/>
    <w:rsid w:val="00956ECB"/>
    <w:rsid w:val="00956F5F"/>
    <w:rsid w:val="009570D1"/>
    <w:rsid w:val="00957380"/>
    <w:rsid w:val="009573A0"/>
    <w:rsid w:val="009573D1"/>
    <w:rsid w:val="009573FA"/>
    <w:rsid w:val="009574F0"/>
    <w:rsid w:val="009576D7"/>
    <w:rsid w:val="00957764"/>
    <w:rsid w:val="009579B9"/>
    <w:rsid w:val="00957A73"/>
    <w:rsid w:val="00957A7F"/>
    <w:rsid w:val="00957AEE"/>
    <w:rsid w:val="00957B80"/>
    <w:rsid w:val="00957D80"/>
    <w:rsid w:val="00957F35"/>
    <w:rsid w:val="00957FC4"/>
    <w:rsid w:val="009600D3"/>
    <w:rsid w:val="00960220"/>
    <w:rsid w:val="00960254"/>
    <w:rsid w:val="009604C4"/>
    <w:rsid w:val="009605D7"/>
    <w:rsid w:val="00960770"/>
    <w:rsid w:val="009609C0"/>
    <w:rsid w:val="00960BF5"/>
    <w:rsid w:val="00960C00"/>
    <w:rsid w:val="00960C5A"/>
    <w:rsid w:val="00960CA5"/>
    <w:rsid w:val="00960D76"/>
    <w:rsid w:val="00960E6A"/>
    <w:rsid w:val="00961071"/>
    <w:rsid w:val="009610FB"/>
    <w:rsid w:val="0096117E"/>
    <w:rsid w:val="009611CD"/>
    <w:rsid w:val="009611F9"/>
    <w:rsid w:val="00961202"/>
    <w:rsid w:val="00961313"/>
    <w:rsid w:val="009615E7"/>
    <w:rsid w:val="0096168D"/>
    <w:rsid w:val="009616C5"/>
    <w:rsid w:val="009617F5"/>
    <w:rsid w:val="0096182B"/>
    <w:rsid w:val="0096186F"/>
    <w:rsid w:val="00961C54"/>
    <w:rsid w:val="00961D1D"/>
    <w:rsid w:val="00961DBA"/>
    <w:rsid w:val="00962114"/>
    <w:rsid w:val="0096213A"/>
    <w:rsid w:val="00962171"/>
    <w:rsid w:val="009622E8"/>
    <w:rsid w:val="009622EB"/>
    <w:rsid w:val="00962413"/>
    <w:rsid w:val="00962463"/>
    <w:rsid w:val="009624EE"/>
    <w:rsid w:val="00962563"/>
    <w:rsid w:val="009626BE"/>
    <w:rsid w:val="00962A35"/>
    <w:rsid w:val="00962DBC"/>
    <w:rsid w:val="00962E24"/>
    <w:rsid w:val="00962F10"/>
    <w:rsid w:val="00963049"/>
    <w:rsid w:val="00963203"/>
    <w:rsid w:val="009632AD"/>
    <w:rsid w:val="009633FB"/>
    <w:rsid w:val="00963416"/>
    <w:rsid w:val="0096363E"/>
    <w:rsid w:val="00963646"/>
    <w:rsid w:val="00963752"/>
    <w:rsid w:val="009638F6"/>
    <w:rsid w:val="009639B4"/>
    <w:rsid w:val="00963BF1"/>
    <w:rsid w:val="00963ED7"/>
    <w:rsid w:val="00963EE3"/>
    <w:rsid w:val="00963F55"/>
    <w:rsid w:val="009646BD"/>
    <w:rsid w:val="00964733"/>
    <w:rsid w:val="00964842"/>
    <w:rsid w:val="00964951"/>
    <w:rsid w:val="00964A4D"/>
    <w:rsid w:val="00964B32"/>
    <w:rsid w:val="00964E75"/>
    <w:rsid w:val="00964EA8"/>
    <w:rsid w:val="00964F48"/>
    <w:rsid w:val="00965066"/>
    <w:rsid w:val="009650F1"/>
    <w:rsid w:val="00965288"/>
    <w:rsid w:val="009652B9"/>
    <w:rsid w:val="00965561"/>
    <w:rsid w:val="009656BD"/>
    <w:rsid w:val="00965750"/>
    <w:rsid w:val="009657C9"/>
    <w:rsid w:val="00965881"/>
    <w:rsid w:val="009658B5"/>
    <w:rsid w:val="0096592D"/>
    <w:rsid w:val="00965940"/>
    <w:rsid w:val="00965998"/>
    <w:rsid w:val="009659EC"/>
    <w:rsid w:val="00965AE1"/>
    <w:rsid w:val="00965B98"/>
    <w:rsid w:val="00965C96"/>
    <w:rsid w:val="00965F61"/>
    <w:rsid w:val="00966175"/>
    <w:rsid w:val="0096619F"/>
    <w:rsid w:val="00966207"/>
    <w:rsid w:val="0096626C"/>
    <w:rsid w:val="00966270"/>
    <w:rsid w:val="009662C6"/>
    <w:rsid w:val="00966332"/>
    <w:rsid w:val="0096670C"/>
    <w:rsid w:val="0096695F"/>
    <w:rsid w:val="0096696C"/>
    <w:rsid w:val="00966984"/>
    <w:rsid w:val="009669CB"/>
    <w:rsid w:val="009669E5"/>
    <w:rsid w:val="00966B18"/>
    <w:rsid w:val="00966D94"/>
    <w:rsid w:val="00966DCC"/>
    <w:rsid w:val="0096715E"/>
    <w:rsid w:val="009672D0"/>
    <w:rsid w:val="009673F7"/>
    <w:rsid w:val="009674B3"/>
    <w:rsid w:val="0096757D"/>
    <w:rsid w:val="00967604"/>
    <w:rsid w:val="0096762C"/>
    <w:rsid w:val="009679D5"/>
    <w:rsid w:val="00967B4D"/>
    <w:rsid w:val="00967C4B"/>
    <w:rsid w:val="00967EDC"/>
    <w:rsid w:val="009700FA"/>
    <w:rsid w:val="0097039E"/>
    <w:rsid w:val="00970509"/>
    <w:rsid w:val="0097058D"/>
    <w:rsid w:val="0097061F"/>
    <w:rsid w:val="00970724"/>
    <w:rsid w:val="0097088C"/>
    <w:rsid w:val="00970AD7"/>
    <w:rsid w:val="00970B99"/>
    <w:rsid w:val="00970BD1"/>
    <w:rsid w:val="00970C31"/>
    <w:rsid w:val="00970C33"/>
    <w:rsid w:val="00970E45"/>
    <w:rsid w:val="00970E6B"/>
    <w:rsid w:val="009710FF"/>
    <w:rsid w:val="00971518"/>
    <w:rsid w:val="00971748"/>
    <w:rsid w:val="0097181D"/>
    <w:rsid w:val="0097190B"/>
    <w:rsid w:val="0097198F"/>
    <w:rsid w:val="00971B14"/>
    <w:rsid w:val="00971C4D"/>
    <w:rsid w:val="0097205C"/>
    <w:rsid w:val="009720B8"/>
    <w:rsid w:val="0097210B"/>
    <w:rsid w:val="00972266"/>
    <w:rsid w:val="0097229F"/>
    <w:rsid w:val="009722F9"/>
    <w:rsid w:val="009723B9"/>
    <w:rsid w:val="00972875"/>
    <w:rsid w:val="00972879"/>
    <w:rsid w:val="009728BE"/>
    <w:rsid w:val="00972A61"/>
    <w:rsid w:val="00972AE3"/>
    <w:rsid w:val="00972C2D"/>
    <w:rsid w:val="00972D04"/>
    <w:rsid w:val="00973120"/>
    <w:rsid w:val="0097321B"/>
    <w:rsid w:val="0097330E"/>
    <w:rsid w:val="0097331F"/>
    <w:rsid w:val="0097376C"/>
    <w:rsid w:val="009737FA"/>
    <w:rsid w:val="00973907"/>
    <w:rsid w:val="009739FF"/>
    <w:rsid w:val="00973A2C"/>
    <w:rsid w:val="00973E03"/>
    <w:rsid w:val="00973FBE"/>
    <w:rsid w:val="00974248"/>
    <w:rsid w:val="00974346"/>
    <w:rsid w:val="009744C2"/>
    <w:rsid w:val="0097465C"/>
    <w:rsid w:val="00974669"/>
    <w:rsid w:val="009747DA"/>
    <w:rsid w:val="009747E0"/>
    <w:rsid w:val="00974919"/>
    <w:rsid w:val="00974969"/>
    <w:rsid w:val="00974A8E"/>
    <w:rsid w:val="00974D4D"/>
    <w:rsid w:val="00974D72"/>
    <w:rsid w:val="00974D8E"/>
    <w:rsid w:val="00974DEA"/>
    <w:rsid w:val="00974E3E"/>
    <w:rsid w:val="00974FFC"/>
    <w:rsid w:val="00975233"/>
    <w:rsid w:val="00975256"/>
    <w:rsid w:val="00975280"/>
    <w:rsid w:val="009752AC"/>
    <w:rsid w:val="009753B9"/>
    <w:rsid w:val="009753C2"/>
    <w:rsid w:val="00975425"/>
    <w:rsid w:val="00975482"/>
    <w:rsid w:val="009756A2"/>
    <w:rsid w:val="009758C2"/>
    <w:rsid w:val="00975938"/>
    <w:rsid w:val="009759A0"/>
    <w:rsid w:val="00975BFF"/>
    <w:rsid w:val="00975EAC"/>
    <w:rsid w:val="00975F4E"/>
    <w:rsid w:val="00975FA1"/>
    <w:rsid w:val="00976284"/>
    <w:rsid w:val="0097638B"/>
    <w:rsid w:val="009763CB"/>
    <w:rsid w:val="009766E1"/>
    <w:rsid w:val="00976707"/>
    <w:rsid w:val="009768F8"/>
    <w:rsid w:val="00976BD4"/>
    <w:rsid w:val="00976EE6"/>
    <w:rsid w:val="00976FF4"/>
    <w:rsid w:val="00977015"/>
    <w:rsid w:val="009770EF"/>
    <w:rsid w:val="009770FC"/>
    <w:rsid w:val="0097724E"/>
    <w:rsid w:val="00977336"/>
    <w:rsid w:val="0097753A"/>
    <w:rsid w:val="00977607"/>
    <w:rsid w:val="009776EB"/>
    <w:rsid w:val="009778A5"/>
    <w:rsid w:val="00977980"/>
    <w:rsid w:val="00977A1B"/>
    <w:rsid w:val="00977A60"/>
    <w:rsid w:val="00977AAF"/>
    <w:rsid w:val="00977BEE"/>
    <w:rsid w:val="00977C2A"/>
    <w:rsid w:val="00977DB5"/>
    <w:rsid w:val="009800DA"/>
    <w:rsid w:val="009801E6"/>
    <w:rsid w:val="0098030B"/>
    <w:rsid w:val="00980445"/>
    <w:rsid w:val="0098054D"/>
    <w:rsid w:val="00980580"/>
    <w:rsid w:val="009805CA"/>
    <w:rsid w:val="00980752"/>
    <w:rsid w:val="009808D7"/>
    <w:rsid w:val="00980A0A"/>
    <w:rsid w:val="00980A3D"/>
    <w:rsid w:val="009812DE"/>
    <w:rsid w:val="0098157B"/>
    <w:rsid w:val="00981641"/>
    <w:rsid w:val="00981696"/>
    <w:rsid w:val="00981824"/>
    <w:rsid w:val="00981AB7"/>
    <w:rsid w:val="00981AF2"/>
    <w:rsid w:val="00981C49"/>
    <w:rsid w:val="00981DF0"/>
    <w:rsid w:val="009820D7"/>
    <w:rsid w:val="00982289"/>
    <w:rsid w:val="00982366"/>
    <w:rsid w:val="00982493"/>
    <w:rsid w:val="009824FF"/>
    <w:rsid w:val="009825B7"/>
    <w:rsid w:val="00982642"/>
    <w:rsid w:val="009826B3"/>
    <w:rsid w:val="009828CB"/>
    <w:rsid w:val="0098294D"/>
    <w:rsid w:val="00982A02"/>
    <w:rsid w:val="00982D70"/>
    <w:rsid w:val="00982DCA"/>
    <w:rsid w:val="0098314B"/>
    <w:rsid w:val="009831C7"/>
    <w:rsid w:val="009833CF"/>
    <w:rsid w:val="0098357B"/>
    <w:rsid w:val="00983638"/>
    <w:rsid w:val="0098373D"/>
    <w:rsid w:val="00983741"/>
    <w:rsid w:val="0098382D"/>
    <w:rsid w:val="00983B05"/>
    <w:rsid w:val="00983D5A"/>
    <w:rsid w:val="00983E33"/>
    <w:rsid w:val="00983EC3"/>
    <w:rsid w:val="00983EE2"/>
    <w:rsid w:val="0098403E"/>
    <w:rsid w:val="009840DF"/>
    <w:rsid w:val="009841FC"/>
    <w:rsid w:val="0098439D"/>
    <w:rsid w:val="00984C59"/>
    <w:rsid w:val="00984E57"/>
    <w:rsid w:val="00984ECF"/>
    <w:rsid w:val="009851EB"/>
    <w:rsid w:val="009853DD"/>
    <w:rsid w:val="0098570F"/>
    <w:rsid w:val="009858BE"/>
    <w:rsid w:val="00985938"/>
    <w:rsid w:val="0098594E"/>
    <w:rsid w:val="009859B1"/>
    <w:rsid w:val="00985B1F"/>
    <w:rsid w:val="00985B50"/>
    <w:rsid w:val="00985D11"/>
    <w:rsid w:val="00985D5E"/>
    <w:rsid w:val="00986540"/>
    <w:rsid w:val="009868B5"/>
    <w:rsid w:val="009868CC"/>
    <w:rsid w:val="00986A3C"/>
    <w:rsid w:val="00986A87"/>
    <w:rsid w:val="00986B04"/>
    <w:rsid w:val="00986B1E"/>
    <w:rsid w:val="00986B3E"/>
    <w:rsid w:val="00986B45"/>
    <w:rsid w:val="00986CA9"/>
    <w:rsid w:val="00986EC1"/>
    <w:rsid w:val="00986F9F"/>
    <w:rsid w:val="00986FFD"/>
    <w:rsid w:val="0098703D"/>
    <w:rsid w:val="00987298"/>
    <w:rsid w:val="009873FC"/>
    <w:rsid w:val="00987508"/>
    <w:rsid w:val="0098757D"/>
    <w:rsid w:val="0098794C"/>
    <w:rsid w:val="0098797D"/>
    <w:rsid w:val="00987AD3"/>
    <w:rsid w:val="00987CCC"/>
    <w:rsid w:val="00987E91"/>
    <w:rsid w:val="00987F4B"/>
    <w:rsid w:val="00987F4D"/>
    <w:rsid w:val="0099004C"/>
    <w:rsid w:val="0099043D"/>
    <w:rsid w:val="00990521"/>
    <w:rsid w:val="00990A83"/>
    <w:rsid w:val="00990B86"/>
    <w:rsid w:val="00990C23"/>
    <w:rsid w:val="00990C37"/>
    <w:rsid w:val="00990D75"/>
    <w:rsid w:val="00990E35"/>
    <w:rsid w:val="00990EC1"/>
    <w:rsid w:val="00991451"/>
    <w:rsid w:val="00991480"/>
    <w:rsid w:val="00991545"/>
    <w:rsid w:val="00991580"/>
    <w:rsid w:val="00991CD1"/>
    <w:rsid w:val="00991E08"/>
    <w:rsid w:val="00992169"/>
    <w:rsid w:val="009921E3"/>
    <w:rsid w:val="0099235F"/>
    <w:rsid w:val="0099238A"/>
    <w:rsid w:val="009923AC"/>
    <w:rsid w:val="0099257C"/>
    <w:rsid w:val="009925EE"/>
    <w:rsid w:val="00992808"/>
    <w:rsid w:val="009929AA"/>
    <w:rsid w:val="009929CD"/>
    <w:rsid w:val="00992BFF"/>
    <w:rsid w:val="00992C6C"/>
    <w:rsid w:val="00992E79"/>
    <w:rsid w:val="00992F92"/>
    <w:rsid w:val="00992F9C"/>
    <w:rsid w:val="009932D3"/>
    <w:rsid w:val="00993399"/>
    <w:rsid w:val="009933B2"/>
    <w:rsid w:val="0099372C"/>
    <w:rsid w:val="009937BD"/>
    <w:rsid w:val="0099387B"/>
    <w:rsid w:val="00993ACE"/>
    <w:rsid w:val="00993E22"/>
    <w:rsid w:val="00993E3E"/>
    <w:rsid w:val="00993F4E"/>
    <w:rsid w:val="009944E4"/>
    <w:rsid w:val="009945E1"/>
    <w:rsid w:val="00994638"/>
    <w:rsid w:val="00994A9E"/>
    <w:rsid w:val="00994B31"/>
    <w:rsid w:val="00994B7E"/>
    <w:rsid w:val="00994C9A"/>
    <w:rsid w:val="00994E52"/>
    <w:rsid w:val="00995194"/>
    <w:rsid w:val="00995231"/>
    <w:rsid w:val="0099560A"/>
    <w:rsid w:val="009956E1"/>
    <w:rsid w:val="009957D6"/>
    <w:rsid w:val="0099582B"/>
    <w:rsid w:val="009958BC"/>
    <w:rsid w:val="009959F5"/>
    <w:rsid w:val="00995B9D"/>
    <w:rsid w:val="00995D6F"/>
    <w:rsid w:val="00995D96"/>
    <w:rsid w:val="00995FC4"/>
    <w:rsid w:val="00995FE1"/>
    <w:rsid w:val="00996235"/>
    <w:rsid w:val="00996275"/>
    <w:rsid w:val="0099637F"/>
    <w:rsid w:val="009964A5"/>
    <w:rsid w:val="009966B6"/>
    <w:rsid w:val="009966D6"/>
    <w:rsid w:val="00996708"/>
    <w:rsid w:val="00996BF7"/>
    <w:rsid w:val="00996CA6"/>
    <w:rsid w:val="00996CED"/>
    <w:rsid w:val="00996D17"/>
    <w:rsid w:val="00997277"/>
    <w:rsid w:val="009974FF"/>
    <w:rsid w:val="00997511"/>
    <w:rsid w:val="00997514"/>
    <w:rsid w:val="009975D0"/>
    <w:rsid w:val="0099775F"/>
    <w:rsid w:val="00997778"/>
    <w:rsid w:val="00997997"/>
    <w:rsid w:val="00997CAB"/>
    <w:rsid w:val="00997F27"/>
    <w:rsid w:val="00997FAD"/>
    <w:rsid w:val="009A01C9"/>
    <w:rsid w:val="009A0347"/>
    <w:rsid w:val="009A03E9"/>
    <w:rsid w:val="009A0446"/>
    <w:rsid w:val="009A046D"/>
    <w:rsid w:val="009A0589"/>
    <w:rsid w:val="009A058A"/>
    <w:rsid w:val="009A05C0"/>
    <w:rsid w:val="009A094C"/>
    <w:rsid w:val="009A0A4D"/>
    <w:rsid w:val="009A0ABC"/>
    <w:rsid w:val="009A0BCC"/>
    <w:rsid w:val="009A122F"/>
    <w:rsid w:val="009A15F9"/>
    <w:rsid w:val="009A1814"/>
    <w:rsid w:val="009A19A7"/>
    <w:rsid w:val="009A1BC1"/>
    <w:rsid w:val="009A1E73"/>
    <w:rsid w:val="009A1EAF"/>
    <w:rsid w:val="009A1F13"/>
    <w:rsid w:val="009A1F7C"/>
    <w:rsid w:val="009A1FBD"/>
    <w:rsid w:val="009A2529"/>
    <w:rsid w:val="009A2560"/>
    <w:rsid w:val="009A26F4"/>
    <w:rsid w:val="009A27E1"/>
    <w:rsid w:val="009A2AEB"/>
    <w:rsid w:val="009A2B22"/>
    <w:rsid w:val="009A2BCB"/>
    <w:rsid w:val="009A2C15"/>
    <w:rsid w:val="009A2D71"/>
    <w:rsid w:val="009A2DD1"/>
    <w:rsid w:val="009A2F13"/>
    <w:rsid w:val="009A3207"/>
    <w:rsid w:val="009A3268"/>
    <w:rsid w:val="009A33A1"/>
    <w:rsid w:val="009A34E5"/>
    <w:rsid w:val="009A35CF"/>
    <w:rsid w:val="009A361A"/>
    <w:rsid w:val="009A373A"/>
    <w:rsid w:val="009A399D"/>
    <w:rsid w:val="009A39CB"/>
    <w:rsid w:val="009A39E6"/>
    <w:rsid w:val="009A3C7E"/>
    <w:rsid w:val="009A3FFD"/>
    <w:rsid w:val="009A4017"/>
    <w:rsid w:val="009A41D4"/>
    <w:rsid w:val="009A420E"/>
    <w:rsid w:val="009A4257"/>
    <w:rsid w:val="009A42ED"/>
    <w:rsid w:val="009A43CA"/>
    <w:rsid w:val="009A477A"/>
    <w:rsid w:val="009A4B83"/>
    <w:rsid w:val="009A4BD9"/>
    <w:rsid w:val="009A4C37"/>
    <w:rsid w:val="009A4CF5"/>
    <w:rsid w:val="009A4DD7"/>
    <w:rsid w:val="009A4E98"/>
    <w:rsid w:val="009A4F84"/>
    <w:rsid w:val="009A5050"/>
    <w:rsid w:val="009A5185"/>
    <w:rsid w:val="009A5248"/>
    <w:rsid w:val="009A530B"/>
    <w:rsid w:val="009A5372"/>
    <w:rsid w:val="009A5412"/>
    <w:rsid w:val="009A5604"/>
    <w:rsid w:val="009A5764"/>
    <w:rsid w:val="009A58B7"/>
    <w:rsid w:val="009A58DE"/>
    <w:rsid w:val="009A5942"/>
    <w:rsid w:val="009A5AF2"/>
    <w:rsid w:val="009A5C06"/>
    <w:rsid w:val="009A5EB5"/>
    <w:rsid w:val="009A604A"/>
    <w:rsid w:val="009A616C"/>
    <w:rsid w:val="009A6176"/>
    <w:rsid w:val="009A62C0"/>
    <w:rsid w:val="009A62DF"/>
    <w:rsid w:val="009A6420"/>
    <w:rsid w:val="009A66FB"/>
    <w:rsid w:val="009A689A"/>
    <w:rsid w:val="009A6A8D"/>
    <w:rsid w:val="009A6CAC"/>
    <w:rsid w:val="009A6CC4"/>
    <w:rsid w:val="009A6DA1"/>
    <w:rsid w:val="009A6FCF"/>
    <w:rsid w:val="009A711B"/>
    <w:rsid w:val="009A71F7"/>
    <w:rsid w:val="009A7723"/>
    <w:rsid w:val="009A7901"/>
    <w:rsid w:val="009A7919"/>
    <w:rsid w:val="009A7C51"/>
    <w:rsid w:val="009A7D41"/>
    <w:rsid w:val="009A7D97"/>
    <w:rsid w:val="009A7E83"/>
    <w:rsid w:val="009A7FD5"/>
    <w:rsid w:val="009B01DB"/>
    <w:rsid w:val="009B0422"/>
    <w:rsid w:val="009B0579"/>
    <w:rsid w:val="009B06F9"/>
    <w:rsid w:val="009B0732"/>
    <w:rsid w:val="009B07F5"/>
    <w:rsid w:val="009B0840"/>
    <w:rsid w:val="009B095B"/>
    <w:rsid w:val="009B09C9"/>
    <w:rsid w:val="009B0AEF"/>
    <w:rsid w:val="009B0B0A"/>
    <w:rsid w:val="009B0C05"/>
    <w:rsid w:val="009B0CE4"/>
    <w:rsid w:val="009B0D46"/>
    <w:rsid w:val="009B0DF6"/>
    <w:rsid w:val="009B0E91"/>
    <w:rsid w:val="009B0F75"/>
    <w:rsid w:val="009B0FE1"/>
    <w:rsid w:val="009B10C5"/>
    <w:rsid w:val="009B1101"/>
    <w:rsid w:val="009B1255"/>
    <w:rsid w:val="009B136D"/>
    <w:rsid w:val="009B14AC"/>
    <w:rsid w:val="009B1502"/>
    <w:rsid w:val="009B158A"/>
    <w:rsid w:val="009B175A"/>
    <w:rsid w:val="009B1994"/>
    <w:rsid w:val="009B19C1"/>
    <w:rsid w:val="009B19DE"/>
    <w:rsid w:val="009B19EE"/>
    <w:rsid w:val="009B1BE7"/>
    <w:rsid w:val="009B1E7E"/>
    <w:rsid w:val="009B1EF1"/>
    <w:rsid w:val="009B1FFB"/>
    <w:rsid w:val="009B2249"/>
    <w:rsid w:val="009B2298"/>
    <w:rsid w:val="009B23D5"/>
    <w:rsid w:val="009B25B1"/>
    <w:rsid w:val="009B25F6"/>
    <w:rsid w:val="009B271D"/>
    <w:rsid w:val="009B27C6"/>
    <w:rsid w:val="009B2809"/>
    <w:rsid w:val="009B283B"/>
    <w:rsid w:val="009B2883"/>
    <w:rsid w:val="009B28E0"/>
    <w:rsid w:val="009B29B3"/>
    <w:rsid w:val="009B2ACA"/>
    <w:rsid w:val="009B2B2D"/>
    <w:rsid w:val="009B2BB4"/>
    <w:rsid w:val="009B2C60"/>
    <w:rsid w:val="009B2D5C"/>
    <w:rsid w:val="009B2E40"/>
    <w:rsid w:val="009B2FDD"/>
    <w:rsid w:val="009B3238"/>
    <w:rsid w:val="009B3264"/>
    <w:rsid w:val="009B3424"/>
    <w:rsid w:val="009B34C4"/>
    <w:rsid w:val="009B373C"/>
    <w:rsid w:val="009B3757"/>
    <w:rsid w:val="009B38A4"/>
    <w:rsid w:val="009B38E4"/>
    <w:rsid w:val="009B38EE"/>
    <w:rsid w:val="009B39BC"/>
    <w:rsid w:val="009B3ACE"/>
    <w:rsid w:val="009B3AE5"/>
    <w:rsid w:val="009B3B24"/>
    <w:rsid w:val="009B3BF0"/>
    <w:rsid w:val="009B3CD5"/>
    <w:rsid w:val="009B3CFF"/>
    <w:rsid w:val="009B3D2C"/>
    <w:rsid w:val="009B3E96"/>
    <w:rsid w:val="009B3ED5"/>
    <w:rsid w:val="009B4282"/>
    <w:rsid w:val="009B4336"/>
    <w:rsid w:val="009B4747"/>
    <w:rsid w:val="009B47B8"/>
    <w:rsid w:val="009B47BD"/>
    <w:rsid w:val="009B4823"/>
    <w:rsid w:val="009B4891"/>
    <w:rsid w:val="009B4A20"/>
    <w:rsid w:val="009B4C09"/>
    <w:rsid w:val="009B4D3A"/>
    <w:rsid w:val="009B4F92"/>
    <w:rsid w:val="009B4FA8"/>
    <w:rsid w:val="009B4FF0"/>
    <w:rsid w:val="009B501B"/>
    <w:rsid w:val="009B5300"/>
    <w:rsid w:val="009B5453"/>
    <w:rsid w:val="009B55E6"/>
    <w:rsid w:val="009B583B"/>
    <w:rsid w:val="009B58A0"/>
    <w:rsid w:val="009B5945"/>
    <w:rsid w:val="009B5A16"/>
    <w:rsid w:val="009B5A8B"/>
    <w:rsid w:val="009B5ADB"/>
    <w:rsid w:val="009B5C10"/>
    <w:rsid w:val="009B5C47"/>
    <w:rsid w:val="009B5E78"/>
    <w:rsid w:val="009B5FAD"/>
    <w:rsid w:val="009B639F"/>
    <w:rsid w:val="009B63BB"/>
    <w:rsid w:val="009B651D"/>
    <w:rsid w:val="009B65AF"/>
    <w:rsid w:val="009B6684"/>
    <w:rsid w:val="009B67B4"/>
    <w:rsid w:val="009B67C6"/>
    <w:rsid w:val="009B6850"/>
    <w:rsid w:val="009B6C52"/>
    <w:rsid w:val="009B6E62"/>
    <w:rsid w:val="009B6F0E"/>
    <w:rsid w:val="009B7296"/>
    <w:rsid w:val="009B72B9"/>
    <w:rsid w:val="009B76B2"/>
    <w:rsid w:val="009B7714"/>
    <w:rsid w:val="009B7717"/>
    <w:rsid w:val="009B7C94"/>
    <w:rsid w:val="009B7CE8"/>
    <w:rsid w:val="009B7EAE"/>
    <w:rsid w:val="009C0036"/>
    <w:rsid w:val="009C02FB"/>
    <w:rsid w:val="009C089C"/>
    <w:rsid w:val="009C097D"/>
    <w:rsid w:val="009C0ACF"/>
    <w:rsid w:val="009C0B4B"/>
    <w:rsid w:val="009C0BA5"/>
    <w:rsid w:val="009C0BC4"/>
    <w:rsid w:val="009C0C21"/>
    <w:rsid w:val="009C0D49"/>
    <w:rsid w:val="009C0F44"/>
    <w:rsid w:val="009C1123"/>
    <w:rsid w:val="009C1157"/>
    <w:rsid w:val="009C1160"/>
    <w:rsid w:val="009C119A"/>
    <w:rsid w:val="009C11EE"/>
    <w:rsid w:val="009C124A"/>
    <w:rsid w:val="009C124C"/>
    <w:rsid w:val="009C1326"/>
    <w:rsid w:val="009C15D6"/>
    <w:rsid w:val="009C170B"/>
    <w:rsid w:val="009C1754"/>
    <w:rsid w:val="009C1AA8"/>
    <w:rsid w:val="009C21A9"/>
    <w:rsid w:val="009C25BA"/>
    <w:rsid w:val="009C26CA"/>
    <w:rsid w:val="009C28FA"/>
    <w:rsid w:val="009C2961"/>
    <w:rsid w:val="009C2A02"/>
    <w:rsid w:val="009C2AB7"/>
    <w:rsid w:val="009C2E0A"/>
    <w:rsid w:val="009C2E86"/>
    <w:rsid w:val="009C3014"/>
    <w:rsid w:val="009C3188"/>
    <w:rsid w:val="009C35C9"/>
    <w:rsid w:val="009C365C"/>
    <w:rsid w:val="009C36BC"/>
    <w:rsid w:val="009C3715"/>
    <w:rsid w:val="009C388F"/>
    <w:rsid w:val="009C39C2"/>
    <w:rsid w:val="009C3CA6"/>
    <w:rsid w:val="009C3DBD"/>
    <w:rsid w:val="009C3E0F"/>
    <w:rsid w:val="009C4241"/>
    <w:rsid w:val="009C433D"/>
    <w:rsid w:val="009C4449"/>
    <w:rsid w:val="009C450A"/>
    <w:rsid w:val="009C4630"/>
    <w:rsid w:val="009C4683"/>
    <w:rsid w:val="009C474E"/>
    <w:rsid w:val="009C4A95"/>
    <w:rsid w:val="009C4ACB"/>
    <w:rsid w:val="009C4D09"/>
    <w:rsid w:val="009C4ECC"/>
    <w:rsid w:val="009C4EE9"/>
    <w:rsid w:val="009C4EF5"/>
    <w:rsid w:val="009C4F36"/>
    <w:rsid w:val="009C4F85"/>
    <w:rsid w:val="009C52A4"/>
    <w:rsid w:val="009C538B"/>
    <w:rsid w:val="009C53AC"/>
    <w:rsid w:val="009C54DD"/>
    <w:rsid w:val="009C565D"/>
    <w:rsid w:val="009C56C2"/>
    <w:rsid w:val="009C5A4E"/>
    <w:rsid w:val="009C5AA3"/>
    <w:rsid w:val="009C5BA1"/>
    <w:rsid w:val="009C5E28"/>
    <w:rsid w:val="009C63AB"/>
    <w:rsid w:val="009C65A7"/>
    <w:rsid w:val="009C65CB"/>
    <w:rsid w:val="009C67AC"/>
    <w:rsid w:val="009C690D"/>
    <w:rsid w:val="009C6A1A"/>
    <w:rsid w:val="009C6B2E"/>
    <w:rsid w:val="009C6B6F"/>
    <w:rsid w:val="009C7005"/>
    <w:rsid w:val="009C7177"/>
    <w:rsid w:val="009C72DF"/>
    <w:rsid w:val="009C78E1"/>
    <w:rsid w:val="009C78F8"/>
    <w:rsid w:val="009C7938"/>
    <w:rsid w:val="009C7A5F"/>
    <w:rsid w:val="009C7BC9"/>
    <w:rsid w:val="009D0089"/>
    <w:rsid w:val="009D00E0"/>
    <w:rsid w:val="009D0120"/>
    <w:rsid w:val="009D01D1"/>
    <w:rsid w:val="009D01ED"/>
    <w:rsid w:val="009D0243"/>
    <w:rsid w:val="009D0255"/>
    <w:rsid w:val="009D070D"/>
    <w:rsid w:val="009D091F"/>
    <w:rsid w:val="009D09A6"/>
    <w:rsid w:val="009D0C9A"/>
    <w:rsid w:val="009D0D92"/>
    <w:rsid w:val="009D0DA1"/>
    <w:rsid w:val="009D0DC9"/>
    <w:rsid w:val="009D100B"/>
    <w:rsid w:val="009D1127"/>
    <w:rsid w:val="009D1230"/>
    <w:rsid w:val="009D12E7"/>
    <w:rsid w:val="009D15E5"/>
    <w:rsid w:val="009D16C5"/>
    <w:rsid w:val="009D1A7B"/>
    <w:rsid w:val="009D1AB6"/>
    <w:rsid w:val="009D1B1F"/>
    <w:rsid w:val="009D1D67"/>
    <w:rsid w:val="009D2152"/>
    <w:rsid w:val="009D22D7"/>
    <w:rsid w:val="009D23F7"/>
    <w:rsid w:val="009D2519"/>
    <w:rsid w:val="009D2565"/>
    <w:rsid w:val="009D2616"/>
    <w:rsid w:val="009D266F"/>
    <w:rsid w:val="009D2736"/>
    <w:rsid w:val="009D2A02"/>
    <w:rsid w:val="009D2A6C"/>
    <w:rsid w:val="009D2A72"/>
    <w:rsid w:val="009D2AD3"/>
    <w:rsid w:val="009D2B59"/>
    <w:rsid w:val="009D2CD3"/>
    <w:rsid w:val="009D2CFA"/>
    <w:rsid w:val="009D31FA"/>
    <w:rsid w:val="009D323A"/>
    <w:rsid w:val="009D3321"/>
    <w:rsid w:val="009D34D3"/>
    <w:rsid w:val="009D351B"/>
    <w:rsid w:val="009D387F"/>
    <w:rsid w:val="009D3BE7"/>
    <w:rsid w:val="009D3E3B"/>
    <w:rsid w:val="009D3EE4"/>
    <w:rsid w:val="009D416D"/>
    <w:rsid w:val="009D43A6"/>
    <w:rsid w:val="009D4799"/>
    <w:rsid w:val="009D47A4"/>
    <w:rsid w:val="009D47EA"/>
    <w:rsid w:val="009D481F"/>
    <w:rsid w:val="009D488E"/>
    <w:rsid w:val="009D494A"/>
    <w:rsid w:val="009D4AA8"/>
    <w:rsid w:val="009D4AA9"/>
    <w:rsid w:val="009D4EAF"/>
    <w:rsid w:val="009D4F12"/>
    <w:rsid w:val="009D517D"/>
    <w:rsid w:val="009D51AC"/>
    <w:rsid w:val="009D53DD"/>
    <w:rsid w:val="009D5513"/>
    <w:rsid w:val="009D5698"/>
    <w:rsid w:val="009D57A4"/>
    <w:rsid w:val="009D58A6"/>
    <w:rsid w:val="009D59C5"/>
    <w:rsid w:val="009D5AC2"/>
    <w:rsid w:val="009D5F31"/>
    <w:rsid w:val="009D5FAF"/>
    <w:rsid w:val="009D5FFF"/>
    <w:rsid w:val="009D6217"/>
    <w:rsid w:val="009D63D6"/>
    <w:rsid w:val="009D6489"/>
    <w:rsid w:val="009D6510"/>
    <w:rsid w:val="009D6768"/>
    <w:rsid w:val="009D685A"/>
    <w:rsid w:val="009D69CE"/>
    <w:rsid w:val="009D69E5"/>
    <w:rsid w:val="009D6B9B"/>
    <w:rsid w:val="009D6CB8"/>
    <w:rsid w:val="009D6CE6"/>
    <w:rsid w:val="009D71C2"/>
    <w:rsid w:val="009D7223"/>
    <w:rsid w:val="009D7289"/>
    <w:rsid w:val="009D7616"/>
    <w:rsid w:val="009D77B8"/>
    <w:rsid w:val="009D77E5"/>
    <w:rsid w:val="009D788B"/>
    <w:rsid w:val="009D78D8"/>
    <w:rsid w:val="009D7C58"/>
    <w:rsid w:val="009D7D14"/>
    <w:rsid w:val="009D7DBE"/>
    <w:rsid w:val="009D7E78"/>
    <w:rsid w:val="009D7EF1"/>
    <w:rsid w:val="009E0006"/>
    <w:rsid w:val="009E01F4"/>
    <w:rsid w:val="009E0583"/>
    <w:rsid w:val="009E060C"/>
    <w:rsid w:val="009E0751"/>
    <w:rsid w:val="009E086B"/>
    <w:rsid w:val="009E091A"/>
    <w:rsid w:val="009E0974"/>
    <w:rsid w:val="009E0A35"/>
    <w:rsid w:val="009E0C0F"/>
    <w:rsid w:val="009E0DA7"/>
    <w:rsid w:val="009E0DC2"/>
    <w:rsid w:val="009E0F63"/>
    <w:rsid w:val="009E1521"/>
    <w:rsid w:val="009E181E"/>
    <w:rsid w:val="009E1AE3"/>
    <w:rsid w:val="009E1C60"/>
    <w:rsid w:val="009E1D23"/>
    <w:rsid w:val="009E1D5E"/>
    <w:rsid w:val="009E1DFD"/>
    <w:rsid w:val="009E1ED2"/>
    <w:rsid w:val="009E2095"/>
    <w:rsid w:val="009E2186"/>
    <w:rsid w:val="009E2421"/>
    <w:rsid w:val="009E25DB"/>
    <w:rsid w:val="009E268A"/>
    <w:rsid w:val="009E2B1A"/>
    <w:rsid w:val="009E30C2"/>
    <w:rsid w:val="009E3479"/>
    <w:rsid w:val="009E3554"/>
    <w:rsid w:val="009E3611"/>
    <w:rsid w:val="009E3864"/>
    <w:rsid w:val="009E3892"/>
    <w:rsid w:val="009E3924"/>
    <w:rsid w:val="009E3947"/>
    <w:rsid w:val="009E398A"/>
    <w:rsid w:val="009E39A5"/>
    <w:rsid w:val="009E39AF"/>
    <w:rsid w:val="009E3A4E"/>
    <w:rsid w:val="009E3AA6"/>
    <w:rsid w:val="009E3ABC"/>
    <w:rsid w:val="009E3AFC"/>
    <w:rsid w:val="009E3C22"/>
    <w:rsid w:val="009E3CA2"/>
    <w:rsid w:val="009E3CA6"/>
    <w:rsid w:val="009E3CDD"/>
    <w:rsid w:val="009E3DD2"/>
    <w:rsid w:val="009E3FFC"/>
    <w:rsid w:val="009E4036"/>
    <w:rsid w:val="009E40B6"/>
    <w:rsid w:val="009E40F4"/>
    <w:rsid w:val="009E4130"/>
    <w:rsid w:val="009E42C7"/>
    <w:rsid w:val="009E43B0"/>
    <w:rsid w:val="009E44F1"/>
    <w:rsid w:val="009E479A"/>
    <w:rsid w:val="009E47E4"/>
    <w:rsid w:val="009E480C"/>
    <w:rsid w:val="009E4A22"/>
    <w:rsid w:val="009E4BF4"/>
    <w:rsid w:val="009E4C7A"/>
    <w:rsid w:val="009E4DEA"/>
    <w:rsid w:val="009E4E14"/>
    <w:rsid w:val="009E4F61"/>
    <w:rsid w:val="009E4F71"/>
    <w:rsid w:val="009E5197"/>
    <w:rsid w:val="009E520D"/>
    <w:rsid w:val="009E5338"/>
    <w:rsid w:val="009E5364"/>
    <w:rsid w:val="009E5395"/>
    <w:rsid w:val="009E542D"/>
    <w:rsid w:val="009E55BA"/>
    <w:rsid w:val="009E5708"/>
    <w:rsid w:val="009E5895"/>
    <w:rsid w:val="009E59F6"/>
    <w:rsid w:val="009E5B27"/>
    <w:rsid w:val="009E5C60"/>
    <w:rsid w:val="009E604F"/>
    <w:rsid w:val="009E60E9"/>
    <w:rsid w:val="009E61D7"/>
    <w:rsid w:val="009E6200"/>
    <w:rsid w:val="009E6872"/>
    <w:rsid w:val="009E6905"/>
    <w:rsid w:val="009E6CC1"/>
    <w:rsid w:val="009E6D89"/>
    <w:rsid w:val="009E6E55"/>
    <w:rsid w:val="009E70B9"/>
    <w:rsid w:val="009E72AF"/>
    <w:rsid w:val="009E7330"/>
    <w:rsid w:val="009E7A5D"/>
    <w:rsid w:val="009E7A7C"/>
    <w:rsid w:val="009E7B22"/>
    <w:rsid w:val="009E7DFD"/>
    <w:rsid w:val="009E7EB5"/>
    <w:rsid w:val="009E7F20"/>
    <w:rsid w:val="009F040E"/>
    <w:rsid w:val="009F05BA"/>
    <w:rsid w:val="009F08C9"/>
    <w:rsid w:val="009F0A02"/>
    <w:rsid w:val="009F0AA7"/>
    <w:rsid w:val="009F0ADE"/>
    <w:rsid w:val="009F0E48"/>
    <w:rsid w:val="009F1156"/>
    <w:rsid w:val="009F1467"/>
    <w:rsid w:val="009F14BE"/>
    <w:rsid w:val="009F1739"/>
    <w:rsid w:val="009F1EE8"/>
    <w:rsid w:val="009F1F43"/>
    <w:rsid w:val="009F240A"/>
    <w:rsid w:val="009F241B"/>
    <w:rsid w:val="009F24CD"/>
    <w:rsid w:val="009F2794"/>
    <w:rsid w:val="009F29DC"/>
    <w:rsid w:val="009F2A44"/>
    <w:rsid w:val="009F2B53"/>
    <w:rsid w:val="009F2D97"/>
    <w:rsid w:val="009F2F10"/>
    <w:rsid w:val="009F3018"/>
    <w:rsid w:val="009F321F"/>
    <w:rsid w:val="009F3288"/>
    <w:rsid w:val="009F3648"/>
    <w:rsid w:val="009F3CE4"/>
    <w:rsid w:val="009F3E5C"/>
    <w:rsid w:val="009F3F80"/>
    <w:rsid w:val="009F43AB"/>
    <w:rsid w:val="009F46F6"/>
    <w:rsid w:val="009F4783"/>
    <w:rsid w:val="009F49D3"/>
    <w:rsid w:val="009F4D43"/>
    <w:rsid w:val="009F4EE9"/>
    <w:rsid w:val="009F5014"/>
    <w:rsid w:val="009F5108"/>
    <w:rsid w:val="009F5229"/>
    <w:rsid w:val="009F5277"/>
    <w:rsid w:val="009F540D"/>
    <w:rsid w:val="009F5629"/>
    <w:rsid w:val="009F5748"/>
    <w:rsid w:val="009F5878"/>
    <w:rsid w:val="009F5A9D"/>
    <w:rsid w:val="009F5DD9"/>
    <w:rsid w:val="009F5FE7"/>
    <w:rsid w:val="009F60E1"/>
    <w:rsid w:val="009F6133"/>
    <w:rsid w:val="009F61C0"/>
    <w:rsid w:val="009F6436"/>
    <w:rsid w:val="009F6594"/>
    <w:rsid w:val="009F6955"/>
    <w:rsid w:val="009F6A3F"/>
    <w:rsid w:val="009F6C33"/>
    <w:rsid w:val="009F6D09"/>
    <w:rsid w:val="009F6E85"/>
    <w:rsid w:val="009F731C"/>
    <w:rsid w:val="009F74C6"/>
    <w:rsid w:val="009F74F9"/>
    <w:rsid w:val="009F773E"/>
    <w:rsid w:val="009F7A3E"/>
    <w:rsid w:val="009F7BD7"/>
    <w:rsid w:val="009F7C0E"/>
    <w:rsid w:val="009F7ED9"/>
    <w:rsid w:val="009F7F39"/>
    <w:rsid w:val="009F7FCF"/>
    <w:rsid w:val="009F7FEC"/>
    <w:rsid w:val="00A00030"/>
    <w:rsid w:val="00A00312"/>
    <w:rsid w:val="00A0039D"/>
    <w:rsid w:val="00A003B3"/>
    <w:rsid w:val="00A003D6"/>
    <w:rsid w:val="00A0046B"/>
    <w:rsid w:val="00A00473"/>
    <w:rsid w:val="00A00586"/>
    <w:rsid w:val="00A008D1"/>
    <w:rsid w:val="00A008F4"/>
    <w:rsid w:val="00A009A8"/>
    <w:rsid w:val="00A00AFF"/>
    <w:rsid w:val="00A00EC0"/>
    <w:rsid w:val="00A00FAC"/>
    <w:rsid w:val="00A0100A"/>
    <w:rsid w:val="00A01039"/>
    <w:rsid w:val="00A010CB"/>
    <w:rsid w:val="00A0114E"/>
    <w:rsid w:val="00A01187"/>
    <w:rsid w:val="00A012EC"/>
    <w:rsid w:val="00A017C8"/>
    <w:rsid w:val="00A017EB"/>
    <w:rsid w:val="00A01D96"/>
    <w:rsid w:val="00A01DE7"/>
    <w:rsid w:val="00A01ECC"/>
    <w:rsid w:val="00A01F0A"/>
    <w:rsid w:val="00A02065"/>
    <w:rsid w:val="00A0211B"/>
    <w:rsid w:val="00A0227C"/>
    <w:rsid w:val="00A022AC"/>
    <w:rsid w:val="00A02731"/>
    <w:rsid w:val="00A027C9"/>
    <w:rsid w:val="00A0283E"/>
    <w:rsid w:val="00A02841"/>
    <w:rsid w:val="00A02948"/>
    <w:rsid w:val="00A02A47"/>
    <w:rsid w:val="00A02DBA"/>
    <w:rsid w:val="00A02E88"/>
    <w:rsid w:val="00A02F5C"/>
    <w:rsid w:val="00A02FB1"/>
    <w:rsid w:val="00A0306D"/>
    <w:rsid w:val="00A03078"/>
    <w:rsid w:val="00A03140"/>
    <w:rsid w:val="00A031A3"/>
    <w:rsid w:val="00A0327E"/>
    <w:rsid w:val="00A0329D"/>
    <w:rsid w:val="00A0333B"/>
    <w:rsid w:val="00A034EC"/>
    <w:rsid w:val="00A0361A"/>
    <w:rsid w:val="00A0378E"/>
    <w:rsid w:val="00A037B2"/>
    <w:rsid w:val="00A038AC"/>
    <w:rsid w:val="00A03CB8"/>
    <w:rsid w:val="00A03CE8"/>
    <w:rsid w:val="00A03E1B"/>
    <w:rsid w:val="00A03E74"/>
    <w:rsid w:val="00A03ED5"/>
    <w:rsid w:val="00A040BA"/>
    <w:rsid w:val="00A045FD"/>
    <w:rsid w:val="00A0467A"/>
    <w:rsid w:val="00A04823"/>
    <w:rsid w:val="00A0496F"/>
    <w:rsid w:val="00A049C2"/>
    <w:rsid w:val="00A04A3E"/>
    <w:rsid w:val="00A04BFE"/>
    <w:rsid w:val="00A04D89"/>
    <w:rsid w:val="00A04D90"/>
    <w:rsid w:val="00A05251"/>
    <w:rsid w:val="00A052F4"/>
    <w:rsid w:val="00A05363"/>
    <w:rsid w:val="00A053F0"/>
    <w:rsid w:val="00A0543B"/>
    <w:rsid w:val="00A05524"/>
    <w:rsid w:val="00A058C0"/>
    <w:rsid w:val="00A05AB0"/>
    <w:rsid w:val="00A05B85"/>
    <w:rsid w:val="00A05C4B"/>
    <w:rsid w:val="00A05D23"/>
    <w:rsid w:val="00A05E71"/>
    <w:rsid w:val="00A05F36"/>
    <w:rsid w:val="00A0632A"/>
    <w:rsid w:val="00A06BB7"/>
    <w:rsid w:val="00A06C82"/>
    <w:rsid w:val="00A06D37"/>
    <w:rsid w:val="00A06E1D"/>
    <w:rsid w:val="00A07029"/>
    <w:rsid w:val="00A070CA"/>
    <w:rsid w:val="00A0712D"/>
    <w:rsid w:val="00A0712F"/>
    <w:rsid w:val="00A07256"/>
    <w:rsid w:val="00A0728D"/>
    <w:rsid w:val="00A07501"/>
    <w:rsid w:val="00A07632"/>
    <w:rsid w:val="00A076AE"/>
    <w:rsid w:val="00A07797"/>
    <w:rsid w:val="00A07823"/>
    <w:rsid w:val="00A079AD"/>
    <w:rsid w:val="00A07BDD"/>
    <w:rsid w:val="00A07C33"/>
    <w:rsid w:val="00A07CE2"/>
    <w:rsid w:val="00A07DC5"/>
    <w:rsid w:val="00A10185"/>
    <w:rsid w:val="00A1056F"/>
    <w:rsid w:val="00A10590"/>
    <w:rsid w:val="00A108CE"/>
    <w:rsid w:val="00A10B6F"/>
    <w:rsid w:val="00A10C1E"/>
    <w:rsid w:val="00A10C81"/>
    <w:rsid w:val="00A10D5C"/>
    <w:rsid w:val="00A10E83"/>
    <w:rsid w:val="00A10EA0"/>
    <w:rsid w:val="00A10EEC"/>
    <w:rsid w:val="00A10FBE"/>
    <w:rsid w:val="00A11009"/>
    <w:rsid w:val="00A111E7"/>
    <w:rsid w:val="00A11243"/>
    <w:rsid w:val="00A115A7"/>
    <w:rsid w:val="00A116B1"/>
    <w:rsid w:val="00A116E1"/>
    <w:rsid w:val="00A11710"/>
    <w:rsid w:val="00A11782"/>
    <w:rsid w:val="00A117F0"/>
    <w:rsid w:val="00A11B88"/>
    <w:rsid w:val="00A11C8D"/>
    <w:rsid w:val="00A11D1A"/>
    <w:rsid w:val="00A11EA6"/>
    <w:rsid w:val="00A12219"/>
    <w:rsid w:val="00A12242"/>
    <w:rsid w:val="00A12285"/>
    <w:rsid w:val="00A12371"/>
    <w:rsid w:val="00A12474"/>
    <w:rsid w:val="00A125F2"/>
    <w:rsid w:val="00A12822"/>
    <w:rsid w:val="00A1287D"/>
    <w:rsid w:val="00A128BE"/>
    <w:rsid w:val="00A12AFF"/>
    <w:rsid w:val="00A12BA9"/>
    <w:rsid w:val="00A12C8F"/>
    <w:rsid w:val="00A12D3D"/>
    <w:rsid w:val="00A12FDF"/>
    <w:rsid w:val="00A131C4"/>
    <w:rsid w:val="00A13214"/>
    <w:rsid w:val="00A13265"/>
    <w:rsid w:val="00A13288"/>
    <w:rsid w:val="00A1345A"/>
    <w:rsid w:val="00A134F5"/>
    <w:rsid w:val="00A13648"/>
    <w:rsid w:val="00A1383E"/>
    <w:rsid w:val="00A139F0"/>
    <w:rsid w:val="00A13A45"/>
    <w:rsid w:val="00A13BBA"/>
    <w:rsid w:val="00A13CF2"/>
    <w:rsid w:val="00A13E0D"/>
    <w:rsid w:val="00A13E7B"/>
    <w:rsid w:val="00A13F51"/>
    <w:rsid w:val="00A14147"/>
    <w:rsid w:val="00A143AC"/>
    <w:rsid w:val="00A143FF"/>
    <w:rsid w:val="00A14499"/>
    <w:rsid w:val="00A144E7"/>
    <w:rsid w:val="00A1457F"/>
    <w:rsid w:val="00A147FC"/>
    <w:rsid w:val="00A14A5A"/>
    <w:rsid w:val="00A14BD5"/>
    <w:rsid w:val="00A14C49"/>
    <w:rsid w:val="00A14CB5"/>
    <w:rsid w:val="00A14E08"/>
    <w:rsid w:val="00A14E5E"/>
    <w:rsid w:val="00A14E6C"/>
    <w:rsid w:val="00A15048"/>
    <w:rsid w:val="00A15219"/>
    <w:rsid w:val="00A154FE"/>
    <w:rsid w:val="00A155A6"/>
    <w:rsid w:val="00A156F6"/>
    <w:rsid w:val="00A159B7"/>
    <w:rsid w:val="00A15C10"/>
    <w:rsid w:val="00A15CAD"/>
    <w:rsid w:val="00A15E05"/>
    <w:rsid w:val="00A15EC6"/>
    <w:rsid w:val="00A16266"/>
    <w:rsid w:val="00A163CD"/>
    <w:rsid w:val="00A1660D"/>
    <w:rsid w:val="00A167C8"/>
    <w:rsid w:val="00A168E1"/>
    <w:rsid w:val="00A16D63"/>
    <w:rsid w:val="00A16D7E"/>
    <w:rsid w:val="00A16D8C"/>
    <w:rsid w:val="00A1719B"/>
    <w:rsid w:val="00A1753A"/>
    <w:rsid w:val="00A17783"/>
    <w:rsid w:val="00A17E44"/>
    <w:rsid w:val="00A17F4D"/>
    <w:rsid w:val="00A20100"/>
    <w:rsid w:val="00A20199"/>
    <w:rsid w:val="00A2034C"/>
    <w:rsid w:val="00A2062C"/>
    <w:rsid w:val="00A2066D"/>
    <w:rsid w:val="00A20853"/>
    <w:rsid w:val="00A20D9B"/>
    <w:rsid w:val="00A20EF0"/>
    <w:rsid w:val="00A20F4B"/>
    <w:rsid w:val="00A21214"/>
    <w:rsid w:val="00A212A1"/>
    <w:rsid w:val="00A212A4"/>
    <w:rsid w:val="00A21382"/>
    <w:rsid w:val="00A213AC"/>
    <w:rsid w:val="00A21532"/>
    <w:rsid w:val="00A215AB"/>
    <w:rsid w:val="00A217E3"/>
    <w:rsid w:val="00A2185B"/>
    <w:rsid w:val="00A21880"/>
    <w:rsid w:val="00A21A57"/>
    <w:rsid w:val="00A21AD3"/>
    <w:rsid w:val="00A21C3A"/>
    <w:rsid w:val="00A21E8A"/>
    <w:rsid w:val="00A21FF9"/>
    <w:rsid w:val="00A220F3"/>
    <w:rsid w:val="00A2252C"/>
    <w:rsid w:val="00A22B77"/>
    <w:rsid w:val="00A22C85"/>
    <w:rsid w:val="00A22C99"/>
    <w:rsid w:val="00A22EEC"/>
    <w:rsid w:val="00A23036"/>
    <w:rsid w:val="00A23181"/>
    <w:rsid w:val="00A23291"/>
    <w:rsid w:val="00A232FD"/>
    <w:rsid w:val="00A23456"/>
    <w:rsid w:val="00A235F3"/>
    <w:rsid w:val="00A236B1"/>
    <w:rsid w:val="00A2377A"/>
    <w:rsid w:val="00A23A4B"/>
    <w:rsid w:val="00A23C7E"/>
    <w:rsid w:val="00A23F18"/>
    <w:rsid w:val="00A23F6F"/>
    <w:rsid w:val="00A23FA0"/>
    <w:rsid w:val="00A2422F"/>
    <w:rsid w:val="00A2432C"/>
    <w:rsid w:val="00A24380"/>
    <w:rsid w:val="00A24398"/>
    <w:rsid w:val="00A24425"/>
    <w:rsid w:val="00A24491"/>
    <w:rsid w:val="00A2460F"/>
    <w:rsid w:val="00A2463B"/>
    <w:rsid w:val="00A24806"/>
    <w:rsid w:val="00A24899"/>
    <w:rsid w:val="00A249FF"/>
    <w:rsid w:val="00A24A06"/>
    <w:rsid w:val="00A24B21"/>
    <w:rsid w:val="00A24B5A"/>
    <w:rsid w:val="00A24DA2"/>
    <w:rsid w:val="00A24FD4"/>
    <w:rsid w:val="00A25028"/>
    <w:rsid w:val="00A251AE"/>
    <w:rsid w:val="00A25328"/>
    <w:rsid w:val="00A25494"/>
    <w:rsid w:val="00A254B3"/>
    <w:rsid w:val="00A257A7"/>
    <w:rsid w:val="00A258F3"/>
    <w:rsid w:val="00A25B75"/>
    <w:rsid w:val="00A25B79"/>
    <w:rsid w:val="00A25C4F"/>
    <w:rsid w:val="00A25E3F"/>
    <w:rsid w:val="00A25F6C"/>
    <w:rsid w:val="00A26005"/>
    <w:rsid w:val="00A26035"/>
    <w:rsid w:val="00A260EA"/>
    <w:rsid w:val="00A26125"/>
    <w:rsid w:val="00A2642F"/>
    <w:rsid w:val="00A2658C"/>
    <w:rsid w:val="00A266D0"/>
    <w:rsid w:val="00A267BD"/>
    <w:rsid w:val="00A267E4"/>
    <w:rsid w:val="00A26816"/>
    <w:rsid w:val="00A2693E"/>
    <w:rsid w:val="00A26B21"/>
    <w:rsid w:val="00A26C2E"/>
    <w:rsid w:val="00A26D23"/>
    <w:rsid w:val="00A26E56"/>
    <w:rsid w:val="00A26EF5"/>
    <w:rsid w:val="00A26F28"/>
    <w:rsid w:val="00A26F6A"/>
    <w:rsid w:val="00A26F99"/>
    <w:rsid w:val="00A270B9"/>
    <w:rsid w:val="00A2721D"/>
    <w:rsid w:val="00A27228"/>
    <w:rsid w:val="00A274A9"/>
    <w:rsid w:val="00A274B6"/>
    <w:rsid w:val="00A2750A"/>
    <w:rsid w:val="00A275F8"/>
    <w:rsid w:val="00A27608"/>
    <w:rsid w:val="00A278F1"/>
    <w:rsid w:val="00A27B4B"/>
    <w:rsid w:val="00A27BDE"/>
    <w:rsid w:val="00A27D7B"/>
    <w:rsid w:val="00A27F3B"/>
    <w:rsid w:val="00A3005E"/>
    <w:rsid w:val="00A3027B"/>
    <w:rsid w:val="00A302E1"/>
    <w:rsid w:val="00A304F6"/>
    <w:rsid w:val="00A304F8"/>
    <w:rsid w:val="00A3051F"/>
    <w:rsid w:val="00A3061A"/>
    <w:rsid w:val="00A30666"/>
    <w:rsid w:val="00A306C1"/>
    <w:rsid w:val="00A30752"/>
    <w:rsid w:val="00A3078B"/>
    <w:rsid w:val="00A307D1"/>
    <w:rsid w:val="00A30842"/>
    <w:rsid w:val="00A30946"/>
    <w:rsid w:val="00A309AB"/>
    <w:rsid w:val="00A30D38"/>
    <w:rsid w:val="00A30D9E"/>
    <w:rsid w:val="00A31093"/>
    <w:rsid w:val="00A31216"/>
    <w:rsid w:val="00A31334"/>
    <w:rsid w:val="00A313BF"/>
    <w:rsid w:val="00A314D9"/>
    <w:rsid w:val="00A31567"/>
    <w:rsid w:val="00A3158B"/>
    <w:rsid w:val="00A315A2"/>
    <w:rsid w:val="00A315DF"/>
    <w:rsid w:val="00A3165F"/>
    <w:rsid w:val="00A31691"/>
    <w:rsid w:val="00A3187A"/>
    <w:rsid w:val="00A31B7C"/>
    <w:rsid w:val="00A31C2E"/>
    <w:rsid w:val="00A31E73"/>
    <w:rsid w:val="00A32429"/>
    <w:rsid w:val="00A3252F"/>
    <w:rsid w:val="00A3253B"/>
    <w:rsid w:val="00A32750"/>
    <w:rsid w:val="00A32EC0"/>
    <w:rsid w:val="00A32F53"/>
    <w:rsid w:val="00A3302C"/>
    <w:rsid w:val="00A3337F"/>
    <w:rsid w:val="00A33392"/>
    <w:rsid w:val="00A33452"/>
    <w:rsid w:val="00A33529"/>
    <w:rsid w:val="00A3353D"/>
    <w:rsid w:val="00A3380F"/>
    <w:rsid w:val="00A3381A"/>
    <w:rsid w:val="00A33927"/>
    <w:rsid w:val="00A33BBE"/>
    <w:rsid w:val="00A33E0A"/>
    <w:rsid w:val="00A33EE1"/>
    <w:rsid w:val="00A33F32"/>
    <w:rsid w:val="00A33FFE"/>
    <w:rsid w:val="00A34054"/>
    <w:rsid w:val="00A34128"/>
    <w:rsid w:val="00A3421E"/>
    <w:rsid w:val="00A34299"/>
    <w:rsid w:val="00A3449B"/>
    <w:rsid w:val="00A34512"/>
    <w:rsid w:val="00A346BF"/>
    <w:rsid w:val="00A3495A"/>
    <w:rsid w:val="00A349B7"/>
    <w:rsid w:val="00A34CA2"/>
    <w:rsid w:val="00A34FE8"/>
    <w:rsid w:val="00A35057"/>
    <w:rsid w:val="00A3578D"/>
    <w:rsid w:val="00A35A9E"/>
    <w:rsid w:val="00A35B06"/>
    <w:rsid w:val="00A35DD6"/>
    <w:rsid w:val="00A3620A"/>
    <w:rsid w:val="00A363FD"/>
    <w:rsid w:val="00A36401"/>
    <w:rsid w:val="00A365E5"/>
    <w:rsid w:val="00A36605"/>
    <w:rsid w:val="00A366DB"/>
    <w:rsid w:val="00A36888"/>
    <w:rsid w:val="00A36943"/>
    <w:rsid w:val="00A36B00"/>
    <w:rsid w:val="00A36B4D"/>
    <w:rsid w:val="00A36B7D"/>
    <w:rsid w:val="00A36DA2"/>
    <w:rsid w:val="00A37625"/>
    <w:rsid w:val="00A3764C"/>
    <w:rsid w:val="00A377D4"/>
    <w:rsid w:val="00A379B3"/>
    <w:rsid w:val="00A37C0F"/>
    <w:rsid w:val="00A37DC5"/>
    <w:rsid w:val="00A37E80"/>
    <w:rsid w:val="00A37ED5"/>
    <w:rsid w:val="00A37F69"/>
    <w:rsid w:val="00A37FBA"/>
    <w:rsid w:val="00A40033"/>
    <w:rsid w:val="00A40617"/>
    <w:rsid w:val="00A4079E"/>
    <w:rsid w:val="00A407F0"/>
    <w:rsid w:val="00A408BC"/>
    <w:rsid w:val="00A40982"/>
    <w:rsid w:val="00A409D0"/>
    <w:rsid w:val="00A40AFF"/>
    <w:rsid w:val="00A40C46"/>
    <w:rsid w:val="00A40C5D"/>
    <w:rsid w:val="00A40CBF"/>
    <w:rsid w:val="00A40EC1"/>
    <w:rsid w:val="00A40F9E"/>
    <w:rsid w:val="00A4106D"/>
    <w:rsid w:val="00A41092"/>
    <w:rsid w:val="00A41284"/>
    <w:rsid w:val="00A412B7"/>
    <w:rsid w:val="00A412C8"/>
    <w:rsid w:val="00A41390"/>
    <w:rsid w:val="00A4191D"/>
    <w:rsid w:val="00A41A15"/>
    <w:rsid w:val="00A41A5D"/>
    <w:rsid w:val="00A41B94"/>
    <w:rsid w:val="00A42392"/>
    <w:rsid w:val="00A4242E"/>
    <w:rsid w:val="00A424D5"/>
    <w:rsid w:val="00A424DD"/>
    <w:rsid w:val="00A42589"/>
    <w:rsid w:val="00A427B4"/>
    <w:rsid w:val="00A427B6"/>
    <w:rsid w:val="00A4291F"/>
    <w:rsid w:val="00A42B18"/>
    <w:rsid w:val="00A42B68"/>
    <w:rsid w:val="00A42B84"/>
    <w:rsid w:val="00A42BA2"/>
    <w:rsid w:val="00A42C3F"/>
    <w:rsid w:val="00A42CAA"/>
    <w:rsid w:val="00A42FC5"/>
    <w:rsid w:val="00A42FFA"/>
    <w:rsid w:val="00A43085"/>
    <w:rsid w:val="00A43207"/>
    <w:rsid w:val="00A4322A"/>
    <w:rsid w:val="00A4322D"/>
    <w:rsid w:val="00A434E9"/>
    <w:rsid w:val="00A4350C"/>
    <w:rsid w:val="00A437A9"/>
    <w:rsid w:val="00A438B2"/>
    <w:rsid w:val="00A43908"/>
    <w:rsid w:val="00A43BDB"/>
    <w:rsid w:val="00A43E25"/>
    <w:rsid w:val="00A44013"/>
    <w:rsid w:val="00A44016"/>
    <w:rsid w:val="00A4418C"/>
    <w:rsid w:val="00A44326"/>
    <w:rsid w:val="00A44334"/>
    <w:rsid w:val="00A443D2"/>
    <w:rsid w:val="00A444F2"/>
    <w:rsid w:val="00A44549"/>
    <w:rsid w:val="00A4465A"/>
    <w:rsid w:val="00A44686"/>
    <w:rsid w:val="00A446BE"/>
    <w:rsid w:val="00A447D7"/>
    <w:rsid w:val="00A44879"/>
    <w:rsid w:val="00A4487F"/>
    <w:rsid w:val="00A44A0D"/>
    <w:rsid w:val="00A44A7A"/>
    <w:rsid w:val="00A44B17"/>
    <w:rsid w:val="00A44B48"/>
    <w:rsid w:val="00A44BAF"/>
    <w:rsid w:val="00A44D61"/>
    <w:rsid w:val="00A44DC2"/>
    <w:rsid w:val="00A450B7"/>
    <w:rsid w:val="00A45115"/>
    <w:rsid w:val="00A453B2"/>
    <w:rsid w:val="00A4543F"/>
    <w:rsid w:val="00A4550B"/>
    <w:rsid w:val="00A45605"/>
    <w:rsid w:val="00A45848"/>
    <w:rsid w:val="00A45C21"/>
    <w:rsid w:val="00A45C4A"/>
    <w:rsid w:val="00A45E01"/>
    <w:rsid w:val="00A45E07"/>
    <w:rsid w:val="00A45E15"/>
    <w:rsid w:val="00A45E81"/>
    <w:rsid w:val="00A45F0B"/>
    <w:rsid w:val="00A460AD"/>
    <w:rsid w:val="00A46118"/>
    <w:rsid w:val="00A46152"/>
    <w:rsid w:val="00A463C2"/>
    <w:rsid w:val="00A4648E"/>
    <w:rsid w:val="00A464DA"/>
    <w:rsid w:val="00A4652F"/>
    <w:rsid w:val="00A46542"/>
    <w:rsid w:val="00A465A7"/>
    <w:rsid w:val="00A466D4"/>
    <w:rsid w:val="00A46772"/>
    <w:rsid w:val="00A467E9"/>
    <w:rsid w:val="00A46A2D"/>
    <w:rsid w:val="00A46A82"/>
    <w:rsid w:val="00A46B35"/>
    <w:rsid w:val="00A46B9C"/>
    <w:rsid w:val="00A46C80"/>
    <w:rsid w:val="00A46E50"/>
    <w:rsid w:val="00A46ED6"/>
    <w:rsid w:val="00A46FD7"/>
    <w:rsid w:val="00A47134"/>
    <w:rsid w:val="00A4734A"/>
    <w:rsid w:val="00A473A1"/>
    <w:rsid w:val="00A474CE"/>
    <w:rsid w:val="00A476FB"/>
    <w:rsid w:val="00A4787E"/>
    <w:rsid w:val="00A47924"/>
    <w:rsid w:val="00A47CA1"/>
    <w:rsid w:val="00A5006A"/>
    <w:rsid w:val="00A50080"/>
    <w:rsid w:val="00A506BA"/>
    <w:rsid w:val="00A5077F"/>
    <w:rsid w:val="00A5089A"/>
    <w:rsid w:val="00A50989"/>
    <w:rsid w:val="00A50BFC"/>
    <w:rsid w:val="00A50D3D"/>
    <w:rsid w:val="00A50E7E"/>
    <w:rsid w:val="00A51133"/>
    <w:rsid w:val="00A51136"/>
    <w:rsid w:val="00A511CC"/>
    <w:rsid w:val="00A51432"/>
    <w:rsid w:val="00A51497"/>
    <w:rsid w:val="00A5169E"/>
    <w:rsid w:val="00A51808"/>
    <w:rsid w:val="00A518A3"/>
    <w:rsid w:val="00A51964"/>
    <w:rsid w:val="00A51A94"/>
    <w:rsid w:val="00A51ACB"/>
    <w:rsid w:val="00A51B35"/>
    <w:rsid w:val="00A521C2"/>
    <w:rsid w:val="00A521D3"/>
    <w:rsid w:val="00A5223C"/>
    <w:rsid w:val="00A526A7"/>
    <w:rsid w:val="00A52723"/>
    <w:rsid w:val="00A5272C"/>
    <w:rsid w:val="00A527CD"/>
    <w:rsid w:val="00A5283F"/>
    <w:rsid w:val="00A52850"/>
    <w:rsid w:val="00A52909"/>
    <w:rsid w:val="00A529AB"/>
    <w:rsid w:val="00A52EAE"/>
    <w:rsid w:val="00A52FED"/>
    <w:rsid w:val="00A53035"/>
    <w:rsid w:val="00A53411"/>
    <w:rsid w:val="00A536BD"/>
    <w:rsid w:val="00A53818"/>
    <w:rsid w:val="00A53918"/>
    <w:rsid w:val="00A53AB8"/>
    <w:rsid w:val="00A53C06"/>
    <w:rsid w:val="00A53DAF"/>
    <w:rsid w:val="00A53DBB"/>
    <w:rsid w:val="00A53E4F"/>
    <w:rsid w:val="00A53FE0"/>
    <w:rsid w:val="00A546F2"/>
    <w:rsid w:val="00A5474F"/>
    <w:rsid w:val="00A54A22"/>
    <w:rsid w:val="00A54A5F"/>
    <w:rsid w:val="00A54BC4"/>
    <w:rsid w:val="00A54BE5"/>
    <w:rsid w:val="00A54CE4"/>
    <w:rsid w:val="00A55307"/>
    <w:rsid w:val="00A55520"/>
    <w:rsid w:val="00A556A6"/>
    <w:rsid w:val="00A55A15"/>
    <w:rsid w:val="00A55ACC"/>
    <w:rsid w:val="00A55AFF"/>
    <w:rsid w:val="00A55E70"/>
    <w:rsid w:val="00A56089"/>
    <w:rsid w:val="00A56192"/>
    <w:rsid w:val="00A56317"/>
    <w:rsid w:val="00A564BE"/>
    <w:rsid w:val="00A56509"/>
    <w:rsid w:val="00A565DD"/>
    <w:rsid w:val="00A56754"/>
    <w:rsid w:val="00A5679D"/>
    <w:rsid w:val="00A56AD3"/>
    <w:rsid w:val="00A56B1D"/>
    <w:rsid w:val="00A56BA3"/>
    <w:rsid w:val="00A56D4A"/>
    <w:rsid w:val="00A570AB"/>
    <w:rsid w:val="00A57122"/>
    <w:rsid w:val="00A577A6"/>
    <w:rsid w:val="00A57979"/>
    <w:rsid w:val="00A57BE6"/>
    <w:rsid w:val="00A57D62"/>
    <w:rsid w:val="00A60229"/>
    <w:rsid w:val="00A60421"/>
    <w:rsid w:val="00A60474"/>
    <w:rsid w:val="00A604CC"/>
    <w:rsid w:val="00A60792"/>
    <w:rsid w:val="00A60851"/>
    <w:rsid w:val="00A60A6C"/>
    <w:rsid w:val="00A60A72"/>
    <w:rsid w:val="00A60AFF"/>
    <w:rsid w:val="00A60B51"/>
    <w:rsid w:val="00A60CE2"/>
    <w:rsid w:val="00A60EC9"/>
    <w:rsid w:val="00A6108A"/>
    <w:rsid w:val="00A612ED"/>
    <w:rsid w:val="00A613BD"/>
    <w:rsid w:val="00A61571"/>
    <w:rsid w:val="00A61625"/>
    <w:rsid w:val="00A616BC"/>
    <w:rsid w:val="00A6172D"/>
    <w:rsid w:val="00A6186C"/>
    <w:rsid w:val="00A61A6A"/>
    <w:rsid w:val="00A61DB8"/>
    <w:rsid w:val="00A61E5C"/>
    <w:rsid w:val="00A62263"/>
    <w:rsid w:val="00A6233C"/>
    <w:rsid w:val="00A6241E"/>
    <w:rsid w:val="00A624EC"/>
    <w:rsid w:val="00A625B5"/>
    <w:rsid w:val="00A6263F"/>
    <w:rsid w:val="00A62740"/>
    <w:rsid w:val="00A62775"/>
    <w:rsid w:val="00A629C7"/>
    <w:rsid w:val="00A62AA3"/>
    <w:rsid w:val="00A62C69"/>
    <w:rsid w:val="00A63114"/>
    <w:rsid w:val="00A631EE"/>
    <w:rsid w:val="00A63243"/>
    <w:rsid w:val="00A63315"/>
    <w:rsid w:val="00A635F4"/>
    <w:rsid w:val="00A6368D"/>
    <w:rsid w:val="00A638CC"/>
    <w:rsid w:val="00A63915"/>
    <w:rsid w:val="00A63A02"/>
    <w:rsid w:val="00A63A3D"/>
    <w:rsid w:val="00A63A69"/>
    <w:rsid w:val="00A63D12"/>
    <w:rsid w:val="00A63DC2"/>
    <w:rsid w:val="00A63F7F"/>
    <w:rsid w:val="00A64013"/>
    <w:rsid w:val="00A6403F"/>
    <w:rsid w:val="00A6412A"/>
    <w:rsid w:val="00A64133"/>
    <w:rsid w:val="00A6413E"/>
    <w:rsid w:val="00A641DE"/>
    <w:rsid w:val="00A64293"/>
    <w:rsid w:val="00A6446D"/>
    <w:rsid w:val="00A6458E"/>
    <w:rsid w:val="00A64D2A"/>
    <w:rsid w:val="00A64DE7"/>
    <w:rsid w:val="00A6515F"/>
    <w:rsid w:val="00A65419"/>
    <w:rsid w:val="00A654A4"/>
    <w:rsid w:val="00A655C9"/>
    <w:rsid w:val="00A65720"/>
    <w:rsid w:val="00A65868"/>
    <w:rsid w:val="00A659F3"/>
    <w:rsid w:val="00A65D19"/>
    <w:rsid w:val="00A65DE4"/>
    <w:rsid w:val="00A66172"/>
    <w:rsid w:val="00A6618B"/>
    <w:rsid w:val="00A66252"/>
    <w:rsid w:val="00A66631"/>
    <w:rsid w:val="00A6680C"/>
    <w:rsid w:val="00A668AB"/>
    <w:rsid w:val="00A6694B"/>
    <w:rsid w:val="00A66A0F"/>
    <w:rsid w:val="00A66D28"/>
    <w:rsid w:val="00A66D64"/>
    <w:rsid w:val="00A66EF9"/>
    <w:rsid w:val="00A670DB"/>
    <w:rsid w:val="00A670EB"/>
    <w:rsid w:val="00A67237"/>
    <w:rsid w:val="00A6723C"/>
    <w:rsid w:val="00A67347"/>
    <w:rsid w:val="00A67397"/>
    <w:rsid w:val="00A67489"/>
    <w:rsid w:val="00A67555"/>
    <w:rsid w:val="00A6775F"/>
    <w:rsid w:val="00A67836"/>
    <w:rsid w:val="00A678F4"/>
    <w:rsid w:val="00A6795C"/>
    <w:rsid w:val="00A67D60"/>
    <w:rsid w:val="00A67DFF"/>
    <w:rsid w:val="00A67E10"/>
    <w:rsid w:val="00A67E5E"/>
    <w:rsid w:val="00A67F04"/>
    <w:rsid w:val="00A67F56"/>
    <w:rsid w:val="00A67F76"/>
    <w:rsid w:val="00A7005B"/>
    <w:rsid w:val="00A70130"/>
    <w:rsid w:val="00A70154"/>
    <w:rsid w:val="00A70263"/>
    <w:rsid w:val="00A7030E"/>
    <w:rsid w:val="00A70320"/>
    <w:rsid w:val="00A705F7"/>
    <w:rsid w:val="00A70683"/>
    <w:rsid w:val="00A70713"/>
    <w:rsid w:val="00A709A0"/>
    <w:rsid w:val="00A709C5"/>
    <w:rsid w:val="00A70AE4"/>
    <w:rsid w:val="00A70D1F"/>
    <w:rsid w:val="00A70E2A"/>
    <w:rsid w:val="00A70E6A"/>
    <w:rsid w:val="00A711A3"/>
    <w:rsid w:val="00A715C8"/>
    <w:rsid w:val="00A715DA"/>
    <w:rsid w:val="00A716AE"/>
    <w:rsid w:val="00A718E9"/>
    <w:rsid w:val="00A71B15"/>
    <w:rsid w:val="00A71B36"/>
    <w:rsid w:val="00A71EAA"/>
    <w:rsid w:val="00A71ECB"/>
    <w:rsid w:val="00A71F06"/>
    <w:rsid w:val="00A7223A"/>
    <w:rsid w:val="00A72279"/>
    <w:rsid w:val="00A722D9"/>
    <w:rsid w:val="00A7250B"/>
    <w:rsid w:val="00A725B3"/>
    <w:rsid w:val="00A7287C"/>
    <w:rsid w:val="00A728FC"/>
    <w:rsid w:val="00A72A00"/>
    <w:rsid w:val="00A72A1A"/>
    <w:rsid w:val="00A72A35"/>
    <w:rsid w:val="00A72C7D"/>
    <w:rsid w:val="00A73006"/>
    <w:rsid w:val="00A73031"/>
    <w:rsid w:val="00A7350B"/>
    <w:rsid w:val="00A73565"/>
    <w:rsid w:val="00A737F1"/>
    <w:rsid w:val="00A739F8"/>
    <w:rsid w:val="00A73A00"/>
    <w:rsid w:val="00A73A06"/>
    <w:rsid w:val="00A73B3B"/>
    <w:rsid w:val="00A73D2E"/>
    <w:rsid w:val="00A73D43"/>
    <w:rsid w:val="00A73DE4"/>
    <w:rsid w:val="00A73DF3"/>
    <w:rsid w:val="00A73EB6"/>
    <w:rsid w:val="00A73F6A"/>
    <w:rsid w:val="00A740BA"/>
    <w:rsid w:val="00A740F1"/>
    <w:rsid w:val="00A741C5"/>
    <w:rsid w:val="00A7430E"/>
    <w:rsid w:val="00A74315"/>
    <w:rsid w:val="00A74531"/>
    <w:rsid w:val="00A745AF"/>
    <w:rsid w:val="00A746BA"/>
    <w:rsid w:val="00A7475B"/>
    <w:rsid w:val="00A74974"/>
    <w:rsid w:val="00A74994"/>
    <w:rsid w:val="00A74A20"/>
    <w:rsid w:val="00A74A91"/>
    <w:rsid w:val="00A74B8D"/>
    <w:rsid w:val="00A74CA7"/>
    <w:rsid w:val="00A74CE3"/>
    <w:rsid w:val="00A74DB1"/>
    <w:rsid w:val="00A74F35"/>
    <w:rsid w:val="00A7507B"/>
    <w:rsid w:val="00A752CB"/>
    <w:rsid w:val="00A75398"/>
    <w:rsid w:val="00A7539E"/>
    <w:rsid w:val="00A75408"/>
    <w:rsid w:val="00A75524"/>
    <w:rsid w:val="00A7557E"/>
    <w:rsid w:val="00A755B5"/>
    <w:rsid w:val="00A7567E"/>
    <w:rsid w:val="00A75739"/>
    <w:rsid w:val="00A758DD"/>
    <w:rsid w:val="00A758F0"/>
    <w:rsid w:val="00A75A7D"/>
    <w:rsid w:val="00A75B58"/>
    <w:rsid w:val="00A75C55"/>
    <w:rsid w:val="00A75CD9"/>
    <w:rsid w:val="00A75E87"/>
    <w:rsid w:val="00A75EF4"/>
    <w:rsid w:val="00A76075"/>
    <w:rsid w:val="00A76111"/>
    <w:rsid w:val="00A764F1"/>
    <w:rsid w:val="00A764F5"/>
    <w:rsid w:val="00A76714"/>
    <w:rsid w:val="00A768E9"/>
    <w:rsid w:val="00A769FA"/>
    <w:rsid w:val="00A76A3A"/>
    <w:rsid w:val="00A76BDF"/>
    <w:rsid w:val="00A76C90"/>
    <w:rsid w:val="00A76D16"/>
    <w:rsid w:val="00A76E13"/>
    <w:rsid w:val="00A76F36"/>
    <w:rsid w:val="00A771AA"/>
    <w:rsid w:val="00A77239"/>
    <w:rsid w:val="00A77251"/>
    <w:rsid w:val="00A77347"/>
    <w:rsid w:val="00A77555"/>
    <w:rsid w:val="00A77628"/>
    <w:rsid w:val="00A776EE"/>
    <w:rsid w:val="00A7772E"/>
    <w:rsid w:val="00A77860"/>
    <w:rsid w:val="00A77A0F"/>
    <w:rsid w:val="00A77AEC"/>
    <w:rsid w:val="00A77BB0"/>
    <w:rsid w:val="00A77D10"/>
    <w:rsid w:val="00A77D97"/>
    <w:rsid w:val="00A77EF9"/>
    <w:rsid w:val="00A80023"/>
    <w:rsid w:val="00A801A8"/>
    <w:rsid w:val="00A803AE"/>
    <w:rsid w:val="00A80412"/>
    <w:rsid w:val="00A8045B"/>
    <w:rsid w:val="00A8048C"/>
    <w:rsid w:val="00A8055F"/>
    <w:rsid w:val="00A808A4"/>
    <w:rsid w:val="00A8091B"/>
    <w:rsid w:val="00A80A4B"/>
    <w:rsid w:val="00A80B11"/>
    <w:rsid w:val="00A80D89"/>
    <w:rsid w:val="00A80E51"/>
    <w:rsid w:val="00A811E5"/>
    <w:rsid w:val="00A8129B"/>
    <w:rsid w:val="00A816AD"/>
    <w:rsid w:val="00A817CC"/>
    <w:rsid w:val="00A8185B"/>
    <w:rsid w:val="00A818A9"/>
    <w:rsid w:val="00A81A4C"/>
    <w:rsid w:val="00A81A92"/>
    <w:rsid w:val="00A81BAD"/>
    <w:rsid w:val="00A81C42"/>
    <w:rsid w:val="00A81DB4"/>
    <w:rsid w:val="00A824A2"/>
    <w:rsid w:val="00A82565"/>
    <w:rsid w:val="00A825F2"/>
    <w:rsid w:val="00A82798"/>
    <w:rsid w:val="00A828BA"/>
    <w:rsid w:val="00A828DF"/>
    <w:rsid w:val="00A82954"/>
    <w:rsid w:val="00A82A2A"/>
    <w:rsid w:val="00A82C81"/>
    <w:rsid w:val="00A82E82"/>
    <w:rsid w:val="00A83078"/>
    <w:rsid w:val="00A83100"/>
    <w:rsid w:val="00A831FF"/>
    <w:rsid w:val="00A83243"/>
    <w:rsid w:val="00A8345C"/>
    <w:rsid w:val="00A834CE"/>
    <w:rsid w:val="00A8377D"/>
    <w:rsid w:val="00A83905"/>
    <w:rsid w:val="00A83A9F"/>
    <w:rsid w:val="00A83AF4"/>
    <w:rsid w:val="00A83DB7"/>
    <w:rsid w:val="00A83DE8"/>
    <w:rsid w:val="00A83E97"/>
    <w:rsid w:val="00A840C7"/>
    <w:rsid w:val="00A840E7"/>
    <w:rsid w:val="00A84148"/>
    <w:rsid w:val="00A84231"/>
    <w:rsid w:val="00A84260"/>
    <w:rsid w:val="00A84379"/>
    <w:rsid w:val="00A844BD"/>
    <w:rsid w:val="00A845D7"/>
    <w:rsid w:val="00A845F8"/>
    <w:rsid w:val="00A8462F"/>
    <w:rsid w:val="00A847FE"/>
    <w:rsid w:val="00A84A2A"/>
    <w:rsid w:val="00A84A2E"/>
    <w:rsid w:val="00A84B2E"/>
    <w:rsid w:val="00A84B68"/>
    <w:rsid w:val="00A84D0F"/>
    <w:rsid w:val="00A84D18"/>
    <w:rsid w:val="00A84D9B"/>
    <w:rsid w:val="00A84DA4"/>
    <w:rsid w:val="00A84DFC"/>
    <w:rsid w:val="00A84F09"/>
    <w:rsid w:val="00A84F9E"/>
    <w:rsid w:val="00A851D1"/>
    <w:rsid w:val="00A85222"/>
    <w:rsid w:val="00A8549F"/>
    <w:rsid w:val="00A85732"/>
    <w:rsid w:val="00A8574A"/>
    <w:rsid w:val="00A8584E"/>
    <w:rsid w:val="00A859BA"/>
    <w:rsid w:val="00A85A2E"/>
    <w:rsid w:val="00A85A51"/>
    <w:rsid w:val="00A85B13"/>
    <w:rsid w:val="00A85BBB"/>
    <w:rsid w:val="00A85D0E"/>
    <w:rsid w:val="00A85D6A"/>
    <w:rsid w:val="00A85EBE"/>
    <w:rsid w:val="00A861D5"/>
    <w:rsid w:val="00A861F7"/>
    <w:rsid w:val="00A86269"/>
    <w:rsid w:val="00A86388"/>
    <w:rsid w:val="00A86A07"/>
    <w:rsid w:val="00A86A1E"/>
    <w:rsid w:val="00A86AF1"/>
    <w:rsid w:val="00A86EEC"/>
    <w:rsid w:val="00A86EF7"/>
    <w:rsid w:val="00A87020"/>
    <w:rsid w:val="00A87086"/>
    <w:rsid w:val="00A87095"/>
    <w:rsid w:val="00A8709C"/>
    <w:rsid w:val="00A870B9"/>
    <w:rsid w:val="00A8717D"/>
    <w:rsid w:val="00A87338"/>
    <w:rsid w:val="00A874D7"/>
    <w:rsid w:val="00A87525"/>
    <w:rsid w:val="00A87554"/>
    <w:rsid w:val="00A8755F"/>
    <w:rsid w:val="00A87563"/>
    <w:rsid w:val="00A8759D"/>
    <w:rsid w:val="00A87833"/>
    <w:rsid w:val="00A8799F"/>
    <w:rsid w:val="00A879E1"/>
    <w:rsid w:val="00A87A9D"/>
    <w:rsid w:val="00A87AA7"/>
    <w:rsid w:val="00A87D02"/>
    <w:rsid w:val="00A87E78"/>
    <w:rsid w:val="00A90008"/>
    <w:rsid w:val="00A90134"/>
    <w:rsid w:val="00A901C3"/>
    <w:rsid w:val="00A9062B"/>
    <w:rsid w:val="00A906DF"/>
    <w:rsid w:val="00A9077C"/>
    <w:rsid w:val="00A90799"/>
    <w:rsid w:val="00A907B2"/>
    <w:rsid w:val="00A907BE"/>
    <w:rsid w:val="00A90880"/>
    <w:rsid w:val="00A90919"/>
    <w:rsid w:val="00A90AE6"/>
    <w:rsid w:val="00A90C41"/>
    <w:rsid w:val="00A90D3F"/>
    <w:rsid w:val="00A90D65"/>
    <w:rsid w:val="00A90D87"/>
    <w:rsid w:val="00A90DC5"/>
    <w:rsid w:val="00A90FCA"/>
    <w:rsid w:val="00A91361"/>
    <w:rsid w:val="00A91579"/>
    <w:rsid w:val="00A915F3"/>
    <w:rsid w:val="00A9170F"/>
    <w:rsid w:val="00A9192A"/>
    <w:rsid w:val="00A91A4D"/>
    <w:rsid w:val="00A92091"/>
    <w:rsid w:val="00A92295"/>
    <w:rsid w:val="00A924FE"/>
    <w:rsid w:val="00A92537"/>
    <w:rsid w:val="00A92587"/>
    <w:rsid w:val="00A926A1"/>
    <w:rsid w:val="00A926B0"/>
    <w:rsid w:val="00A92A35"/>
    <w:rsid w:val="00A92C5A"/>
    <w:rsid w:val="00A92C83"/>
    <w:rsid w:val="00A92CB0"/>
    <w:rsid w:val="00A92D49"/>
    <w:rsid w:val="00A92DEB"/>
    <w:rsid w:val="00A92EE6"/>
    <w:rsid w:val="00A92F30"/>
    <w:rsid w:val="00A93191"/>
    <w:rsid w:val="00A93218"/>
    <w:rsid w:val="00A93229"/>
    <w:rsid w:val="00A93255"/>
    <w:rsid w:val="00A932A5"/>
    <w:rsid w:val="00A93674"/>
    <w:rsid w:val="00A9371B"/>
    <w:rsid w:val="00A93888"/>
    <w:rsid w:val="00A938FC"/>
    <w:rsid w:val="00A93AF1"/>
    <w:rsid w:val="00A94058"/>
    <w:rsid w:val="00A94159"/>
    <w:rsid w:val="00A94275"/>
    <w:rsid w:val="00A942EA"/>
    <w:rsid w:val="00A9431B"/>
    <w:rsid w:val="00A9433D"/>
    <w:rsid w:val="00A943F2"/>
    <w:rsid w:val="00A9455B"/>
    <w:rsid w:val="00A9480D"/>
    <w:rsid w:val="00A94985"/>
    <w:rsid w:val="00A94CEB"/>
    <w:rsid w:val="00A94E56"/>
    <w:rsid w:val="00A94F36"/>
    <w:rsid w:val="00A9502D"/>
    <w:rsid w:val="00A9559B"/>
    <w:rsid w:val="00A9568F"/>
    <w:rsid w:val="00A956BB"/>
    <w:rsid w:val="00A956F5"/>
    <w:rsid w:val="00A957DB"/>
    <w:rsid w:val="00A95A9C"/>
    <w:rsid w:val="00A95AB5"/>
    <w:rsid w:val="00A95B48"/>
    <w:rsid w:val="00A95EA2"/>
    <w:rsid w:val="00A95EC4"/>
    <w:rsid w:val="00A95F7F"/>
    <w:rsid w:val="00A963CE"/>
    <w:rsid w:val="00A9645C"/>
    <w:rsid w:val="00A964AC"/>
    <w:rsid w:val="00A9656A"/>
    <w:rsid w:val="00A9676B"/>
    <w:rsid w:val="00A9679E"/>
    <w:rsid w:val="00A967FB"/>
    <w:rsid w:val="00A96805"/>
    <w:rsid w:val="00A96987"/>
    <w:rsid w:val="00A9698B"/>
    <w:rsid w:val="00A96A87"/>
    <w:rsid w:val="00A96C73"/>
    <w:rsid w:val="00A96CCB"/>
    <w:rsid w:val="00A96D05"/>
    <w:rsid w:val="00A96DC8"/>
    <w:rsid w:val="00A971BE"/>
    <w:rsid w:val="00A972E3"/>
    <w:rsid w:val="00A9737C"/>
    <w:rsid w:val="00A975E2"/>
    <w:rsid w:val="00A97652"/>
    <w:rsid w:val="00A97722"/>
    <w:rsid w:val="00A97941"/>
    <w:rsid w:val="00A97A08"/>
    <w:rsid w:val="00A97B2C"/>
    <w:rsid w:val="00A97BA0"/>
    <w:rsid w:val="00A97BAF"/>
    <w:rsid w:val="00A97C2A"/>
    <w:rsid w:val="00A97CB8"/>
    <w:rsid w:val="00A97D2A"/>
    <w:rsid w:val="00A97D97"/>
    <w:rsid w:val="00A97F7C"/>
    <w:rsid w:val="00AA0493"/>
    <w:rsid w:val="00AA04E9"/>
    <w:rsid w:val="00AA0643"/>
    <w:rsid w:val="00AA067F"/>
    <w:rsid w:val="00AA06B9"/>
    <w:rsid w:val="00AA075A"/>
    <w:rsid w:val="00AA0853"/>
    <w:rsid w:val="00AA085F"/>
    <w:rsid w:val="00AA0973"/>
    <w:rsid w:val="00AA0A57"/>
    <w:rsid w:val="00AA0B7B"/>
    <w:rsid w:val="00AA0C01"/>
    <w:rsid w:val="00AA0E1C"/>
    <w:rsid w:val="00AA0F9B"/>
    <w:rsid w:val="00AA11C8"/>
    <w:rsid w:val="00AA127E"/>
    <w:rsid w:val="00AA12E2"/>
    <w:rsid w:val="00AA1311"/>
    <w:rsid w:val="00AA1316"/>
    <w:rsid w:val="00AA14F2"/>
    <w:rsid w:val="00AA16C8"/>
    <w:rsid w:val="00AA17CE"/>
    <w:rsid w:val="00AA1867"/>
    <w:rsid w:val="00AA1BD8"/>
    <w:rsid w:val="00AA1BEF"/>
    <w:rsid w:val="00AA1D4F"/>
    <w:rsid w:val="00AA1DD2"/>
    <w:rsid w:val="00AA1E22"/>
    <w:rsid w:val="00AA1E6E"/>
    <w:rsid w:val="00AA1E7D"/>
    <w:rsid w:val="00AA2107"/>
    <w:rsid w:val="00AA225A"/>
    <w:rsid w:val="00AA2590"/>
    <w:rsid w:val="00AA25A3"/>
    <w:rsid w:val="00AA2767"/>
    <w:rsid w:val="00AA2A3E"/>
    <w:rsid w:val="00AA2DE2"/>
    <w:rsid w:val="00AA2DEE"/>
    <w:rsid w:val="00AA2E10"/>
    <w:rsid w:val="00AA2F1E"/>
    <w:rsid w:val="00AA2F3E"/>
    <w:rsid w:val="00AA302B"/>
    <w:rsid w:val="00AA3045"/>
    <w:rsid w:val="00AA31B5"/>
    <w:rsid w:val="00AA322E"/>
    <w:rsid w:val="00AA32DA"/>
    <w:rsid w:val="00AA3309"/>
    <w:rsid w:val="00AA3362"/>
    <w:rsid w:val="00AA355D"/>
    <w:rsid w:val="00AA357E"/>
    <w:rsid w:val="00AA36B3"/>
    <w:rsid w:val="00AA371D"/>
    <w:rsid w:val="00AA3848"/>
    <w:rsid w:val="00AA3919"/>
    <w:rsid w:val="00AA3C63"/>
    <w:rsid w:val="00AA3D31"/>
    <w:rsid w:val="00AA3DD9"/>
    <w:rsid w:val="00AA3DE5"/>
    <w:rsid w:val="00AA3F87"/>
    <w:rsid w:val="00AA406C"/>
    <w:rsid w:val="00AA40F8"/>
    <w:rsid w:val="00AA4267"/>
    <w:rsid w:val="00AA4704"/>
    <w:rsid w:val="00AA49CC"/>
    <w:rsid w:val="00AA4A3E"/>
    <w:rsid w:val="00AA4A4D"/>
    <w:rsid w:val="00AA4B2E"/>
    <w:rsid w:val="00AA4B93"/>
    <w:rsid w:val="00AA4B9E"/>
    <w:rsid w:val="00AA4D0E"/>
    <w:rsid w:val="00AA4EF3"/>
    <w:rsid w:val="00AA5400"/>
    <w:rsid w:val="00AA544C"/>
    <w:rsid w:val="00AA5463"/>
    <w:rsid w:val="00AA5514"/>
    <w:rsid w:val="00AA55E9"/>
    <w:rsid w:val="00AA590C"/>
    <w:rsid w:val="00AA5A1D"/>
    <w:rsid w:val="00AA5B6A"/>
    <w:rsid w:val="00AA5BDF"/>
    <w:rsid w:val="00AA5D31"/>
    <w:rsid w:val="00AA5EE2"/>
    <w:rsid w:val="00AA5F27"/>
    <w:rsid w:val="00AA608D"/>
    <w:rsid w:val="00AA6228"/>
    <w:rsid w:val="00AA655F"/>
    <w:rsid w:val="00AA67B8"/>
    <w:rsid w:val="00AA69C6"/>
    <w:rsid w:val="00AA6ABD"/>
    <w:rsid w:val="00AA6B62"/>
    <w:rsid w:val="00AA6B97"/>
    <w:rsid w:val="00AA6BE8"/>
    <w:rsid w:val="00AA6F94"/>
    <w:rsid w:val="00AA74C7"/>
    <w:rsid w:val="00AA7531"/>
    <w:rsid w:val="00AA7778"/>
    <w:rsid w:val="00AA77DF"/>
    <w:rsid w:val="00AA7806"/>
    <w:rsid w:val="00AA799E"/>
    <w:rsid w:val="00AA79D5"/>
    <w:rsid w:val="00AA7B9F"/>
    <w:rsid w:val="00AA7C4C"/>
    <w:rsid w:val="00AA7E68"/>
    <w:rsid w:val="00AA7F29"/>
    <w:rsid w:val="00AA7F74"/>
    <w:rsid w:val="00AB025C"/>
    <w:rsid w:val="00AB037D"/>
    <w:rsid w:val="00AB03D7"/>
    <w:rsid w:val="00AB0525"/>
    <w:rsid w:val="00AB053E"/>
    <w:rsid w:val="00AB05C1"/>
    <w:rsid w:val="00AB06F3"/>
    <w:rsid w:val="00AB0752"/>
    <w:rsid w:val="00AB0798"/>
    <w:rsid w:val="00AB082A"/>
    <w:rsid w:val="00AB09A1"/>
    <w:rsid w:val="00AB09A2"/>
    <w:rsid w:val="00AB0A84"/>
    <w:rsid w:val="00AB0AF1"/>
    <w:rsid w:val="00AB0BB9"/>
    <w:rsid w:val="00AB0CBD"/>
    <w:rsid w:val="00AB0E3E"/>
    <w:rsid w:val="00AB0F49"/>
    <w:rsid w:val="00AB10B4"/>
    <w:rsid w:val="00AB1346"/>
    <w:rsid w:val="00AB15C8"/>
    <w:rsid w:val="00AB1656"/>
    <w:rsid w:val="00AB1823"/>
    <w:rsid w:val="00AB186C"/>
    <w:rsid w:val="00AB1913"/>
    <w:rsid w:val="00AB199F"/>
    <w:rsid w:val="00AB1AE8"/>
    <w:rsid w:val="00AB1B55"/>
    <w:rsid w:val="00AB1C73"/>
    <w:rsid w:val="00AB1DE6"/>
    <w:rsid w:val="00AB1E7B"/>
    <w:rsid w:val="00AB2043"/>
    <w:rsid w:val="00AB20E3"/>
    <w:rsid w:val="00AB229B"/>
    <w:rsid w:val="00AB22D5"/>
    <w:rsid w:val="00AB240D"/>
    <w:rsid w:val="00AB24CB"/>
    <w:rsid w:val="00AB26A6"/>
    <w:rsid w:val="00AB26F6"/>
    <w:rsid w:val="00AB272E"/>
    <w:rsid w:val="00AB2927"/>
    <w:rsid w:val="00AB298E"/>
    <w:rsid w:val="00AB2AFB"/>
    <w:rsid w:val="00AB2BD6"/>
    <w:rsid w:val="00AB2EB7"/>
    <w:rsid w:val="00AB2EBA"/>
    <w:rsid w:val="00AB31A4"/>
    <w:rsid w:val="00AB31CD"/>
    <w:rsid w:val="00AB32DA"/>
    <w:rsid w:val="00AB3334"/>
    <w:rsid w:val="00AB3344"/>
    <w:rsid w:val="00AB340F"/>
    <w:rsid w:val="00AB3412"/>
    <w:rsid w:val="00AB3734"/>
    <w:rsid w:val="00AB3802"/>
    <w:rsid w:val="00AB3860"/>
    <w:rsid w:val="00AB393E"/>
    <w:rsid w:val="00AB3B35"/>
    <w:rsid w:val="00AB3B98"/>
    <w:rsid w:val="00AB3DDF"/>
    <w:rsid w:val="00AB3FDA"/>
    <w:rsid w:val="00AB4179"/>
    <w:rsid w:val="00AB428F"/>
    <w:rsid w:val="00AB449C"/>
    <w:rsid w:val="00AB4561"/>
    <w:rsid w:val="00AB4802"/>
    <w:rsid w:val="00AB4837"/>
    <w:rsid w:val="00AB4B1E"/>
    <w:rsid w:val="00AB4CC0"/>
    <w:rsid w:val="00AB4D94"/>
    <w:rsid w:val="00AB503C"/>
    <w:rsid w:val="00AB508D"/>
    <w:rsid w:val="00AB50FA"/>
    <w:rsid w:val="00AB514E"/>
    <w:rsid w:val="00AB51A0"/>
    <w:rsid w:val="00AB52E0"/>
    <w:rsid w:val="00AB52FF"/>
    <w:rsid w:val="00AB530D"/>
    <w:rsid w:val="00AB53FD"/>
    <w:rsid w:val="00AB540D"/>
    <w:rsid w:val="00AB5680"/>
    <w:rsid w:val="00AB5948"/>
    <w:rsid w:val="00AB5B77"/>
    <w:rsid w:val="00AB5B80"/>
    <w:rsid w:val="00AB5C8C"/>
    <w:rsid w:val="00AB5D57"/>
    <w:rsid w:val="00AB5E4D"/>
    <w:rsid w:val="00AB5EFF"/>
    <w:rsid w:val="00AB5FC0"/>
    <w:rsid w:val="00AB6034"/>
    <w:rsid w:val="00AB61D4"/>
    <w:rsid w:val="00AB6371"/>
    <w:rsid w:val="00AB64D7"/>
    <w:rsid w:val="00AB65CF"/>
    <w:rsid w:val="00AB6741"/>
    <w:rsid w:val="00AB682C"/>
    <w:rsid w:val="00AB6C1E"/>
    <w:rsid w:val="00AB6C38"/>
    <w:rsid w:val="00AB702B"/>
    <w:rsid w:val="00AB70BF"/>
    <w:rsid w:val="00AB7128"/>
    <w:rsid w:val="00AB7399"/>
    <w:rsid w:val="00AB76C6"/>
    <w:rsid w:val="00AB76CC"/>
    <w:rsid w:val="00AB7793"/>
    <w:rsid w:val="00AB77E5"/>
    <w:rsid w:val="00AB7923"/>
    <w:rsid w:val="00AB7C35"/>
    <w:rsid w:val="00AB7CDE"/>
    <w:rsid w:val="00AB7E92"/>
    <w:rsid w:val="00AC010A"/>
    <w:rsid w:val="00AC0123"/>
    <w:rsid w:val="00AC0136"/>
    <w:rsid w:val="00AC02AA"/>
    <w:rsid w:val="00AC03DA"/>
    <w:rsid w:val="00AC0682"/>
    <w:rsid w:val="00AC06EA"/>
    <w:rsid w:val="00AC0766"/>
    <w:rsid w:val="00AC078E"/>
    <w:rsid w:val="00AC09A5"/>
    <w:rsid w:val="00AC0A1E"/>
    <w:rsid w:val="00AC0D0B"/>
    <w:rsid w:val="00AC0E3C"/>
    <w:rsid w:val="00AC0F19"/>
    <w:rsid w:val="00AC0F24"/>
    <w:rsid w:val="00AC0FA6"/>
    <w:rsid w:val="00AC0FD1"/>
    <w:rsid w:val="00AC122A"/>
    <w:rsid w:val="00AC126B"/>
    <w:rsid w:val="00AC1445"/>
    <w:rsid w:val="00AC1511"/>
    <w:rsid w:val="00AC1652"/>
    <w:rsid w:val="00AC167A"/>
    <w:rsid w:val="00AC1716"/>
    <w:rsid w:val="00AC17D1"/>
    <w:rsid w:val="00AC1951"/>
    <w:rsid w:val="00AC1A18"/>
    <w:rsid w:val="00AC1C7A"/>
    <w:rsid w:val="00AC1DAC"/>
    <w:rsid w:val="00AC204E"/>
    <w:rsid w:val="00AC20C8"/>
    <w:rsid w:val="00AC2307"/>
    <w:rsid w:val="00AC2392"/>
    <w:rsid w:val="00AC25D7"/>
    <w:rsid w:val="00AC261C"/>
    <w:rsid w:val="00AC2682"/>
    <w:rsid w:val="00AC28D2"/>
    <w:rsid w:val="00AC2A1F"/>
    <w:rsid w:val="00AC2A21"/>
    <w:rsid w:val="00AC2AD4"/>
    <w:rsid w:val="00AC2C2E"/>
    <w:rsid w:val="00AC2D85"/>
    <w:rsid w:val="00AC2DE8"/>
    <w:rsid w:val="00AC2F2E"/>
    <w:rsid w:val="00AC2F8D"/>
    <w:rsid w:val="00AC3178"/>
    <w:rsid w:val="00AC35EF"/>
    <w:rsid w:val="00AC38DA"/>
    <w:rsid w:val="00AC39CF"/>
    <w:rsid w:val="00AC3AC5"/>
    <w:rsid w:val="00AC3C60"/>
    <w:rsid w:val="00AC3CAF"/>
    <w:rsid w:val="00AC3D26"/>
    <w:rsid w:val="00AC3E2C"/>
    <w:rsid w:val="00AC3E9B"/>
    <w:rsid w:val="00AC3F27"/>
    <w:rsid w:val="00AC4022"/>
    <w:rsid w:val="00AC403C"/>
    <w:rsid w:val="00AC40A3"/>
    <w:rsid w:val="00AC4388"/>
    <w:rsid w:val="00AC457D"/>
    <w:rsid w:val="00AC4A41"/>
    <w:rsid w:val="00AC4A66"/>
    <w:rsid w:val="00AC50B2"/>
    <w:rsid w:val="00AC5174"/>
    <w:rsid w:val="00AC51FE"/>
    <w:rsid w:val="00AC579B"/>
    <w:rsid w:val="00AC5848"/>
    <w:rsid w:val="00AC5922"/>
    <w:rsid w:val="00AC597E"/>
    <w:rsid w:val="00AC59B9"/>
    <w:rsid w:val="00AC59C9"/>
    <w:rsid w:val="00AC59EE"/>
    <w:rsid w:val="00AC5B93"/>
    <w:rsid w:val="00AC5CA5"/>
    <w:rsid w:val="00AC5DD8"/>
    <w:rsid w:val="00AC5E9F"/>
    <w:rsid w:val="00AC5F12"/>
    <w:rsid w:val="00AC6090"/>
    <w:rsid w:val="00AC610E"/>
    <w:rsid w:val="00AC6216"/>
    <w:rsid w:val="00AC62E4"/>
    <w:rsid w:val="00AC62F4"/>
    <w:rsid w:val="00AC64EF"/>
    <w:rsid w:val="00AC66DF"/>
    <w:rsid w:val="00AC677F"/>
    <w:rsid w:val="00AC68FC"/>
    <w:rsid w:val="00AC6968"/>
    <w:rsid w:val="00AC6B98"/>
    <w:rsid w:val="00AC6BEE"/>
    <w:rsid w:val="00AC6C8B"/>
    <w:rsid w:val="00AC6D00"/>
    <w:rsid w:val="00AC6EDC"/>
    <w:rsid w:val="00AC6F2D"/>
    <w:rsid w:val="00AC6F50"/>
    <w:rsid w:val="00AC705E"/>
    <w:rsid w:val="00AC72D8"/>
    <w:rsid w:val="00AC768C"/>
    <w:rsid w:val="00AC769E"/>
    <w:rsid w:val="00AC781C"/>
    <w:rsid w:val="00AC78AA"/>
    <w:rsid w:val="00AC793B"/>
    <w:rsid w:val="00AC7A32"/>
    <w:rsid w:val="00AC7A90"/>
    <w:rsid w:val="00AC7AD8"/>
    <w:rsid w:val="00AC7C90"/>
    <w:rsid w:val="00AC7E69"/>
    <w:rsid w:val="00AD001A"/>
    <w:rsid w:val="00AD0061"/>
    <w:rsid w:val="00AD0134"/>
    <w:rsid w:val="00AD0243"/>
    <w:rsid w:val="00AD026E"/>
    <w:rsid w:val="00AD0292"/>
    <w:rsid w:val="00AD036C"/>
    <w:rsid w:val="00AD046A"/>
    <w:rsid w:val="00AD0553"/>
    <w:rsid w:val="00AD079D"/>
    <w:rsid w:val="00AD07B3"/>
    <w:rsid w:val="00AD07BE"/>
    <w:rsid w:val="00AD08F2"/>
    <w:rsid w:val="00AD08FA"/>
    <w:rsid w:val="00AD0A76"/>
    <w:rsid w:val="00AD0B13"/>
    <w:rsid w:val="00AD0B6C"/>
    <w:rsid w:val="00AD0BA6"/>
    <w:rsid w:val="00AD0C8D"/>
    <w:rsid w:val="00AD0CA0"/>
    <w:rsid w:val="00AD0E2D"/>
    <w:rsid w:val="00AD0E76"/>
    <w:rsid w:val="00AD0FCA"/>
    <w:rsid w:val="00AD0FE2"/>
    <w:rsid w:val="00AD103D"/>
    <w:rsid w:val="00AD1053"/>
    <w:rsid w:val="00AD10CC"/>
    <w:rsid w:val="00AD122A"/>
    <w:rsid w:val="00AD124D"/>
    <w:rsid w:val="00AD1386"/>
    <w:rsid w:val="00AD156B"/>
    <w:rsid w:val="00AD15CB"/>
    <w:rsid w:val="00AD17D9"/>
    <w:rsid w:val="00AD18C8"/>
    <w:rsid w:val="00AD1901"/>
    <w:rsid w:val="00AD191E"/>
    <w:rsid w:val="00AD19F8"/>
    <w:rsid w:val="00AD19FC"/>
    <w:rsid w:val="00AD1AF2"/>
    <w:rsid w:val="00AD1C7D"/>
    <w:rsid w:val="00AD203D"/>
    <w:rsid w:val="00AD2071"/>
    <w:rsid w:val="00AD220B"/>
    <w:rsid w:val="00AD23D7"/>
    <w:rsid w:val="00AD263B"/>
    <w:rsid w:val="00AD2A4B"/>
    <w:rsid w:val="00AD2CB3"/>
    <w:rsid w:val="00AD2D44"/>
    <w:rsid w:val="00AD2DA1"/>
    <w:rsid w:val="00AD2E34"/>
    <w:rsid w:val="00AD309C"/>
    <w:rsid w:val="00AD3202"/>
    <w:rsid w:val="00AD34DE"/>
    <w:rsid w:val="00AD34F0"/>
    <w:rsid w:val="00AD3571"/>
    <w:rsid w:val="00AD3622"/>
    <w:rsid w:val="00AD36B4"/>
    <w:rsid w:val="00AD3787"/>
    <w:rsid w:val="00AD3A21"/>
    <w:rsid w:val="00AD3ABC"/>
    <w:rsid w:val="00AD3AD8"/>
    <w:rsid w:val="00AD3D25"/>
    <w:rsid w:val="00AD3F93"/>
    <w:rsid w:val="00AD4014"/>
    <w:rsid w:val="00AD4320"/>
    <w:rsid w:val="00AD4540"/>
    <w:rsid w:val="00AD4620"/>
    <w:rsid w:val="00AD475B"/>
    <w:rsid w:val="00AD497C"/>
    <w:rsid w:val="00AD4A18"/>
    <w:rsid w:val="00AD4AC1"/>
    <w:rsid w:val="00AD4CAE"/>
    <w:rsid w:val="00AD4DD6"/>
    <w:rsid w:val="00AD4DEE"/>
    <w:rsid w:val="00AD4DFA"/>
    <w:rsid w:val="00AD4E2E"/>
    <w:rsid w:val="00AD4FF2"/>
    <w:rsid w:val="00AD50A5"/>
    <w:rsid w:val="00AD50A7"/>
    <w:rsid w:val="00AD50F4"/>
    <w:rsid w:val="00AD5650"/>
    <w:rsid w:val="00AD5731"/>
    <w:rsid w:val="00AD574E"/>
    <w:rsid w:val="00AD580A"/>
    <w:rsid w:val="00AD5994"/>
    <w:rsid w:val="00AD5C39"/>
    <w:rsid w:val="00AD5E14"/>
    <w:rsid w:val="00AD619D"/>
    <w:rsid w:val="00AD64BE"/>
    <w:rsid w:val="00AD6552"/>
    <w:rsid w:val="00AD65E4"/>
    <w:rsid w:val="00AD6923"/>
    <w:rsid w:val="00AD6A77"/>
    <w:rsid w:val="00AD6B6B"/>
    <w:rsid w:val="00AD6BF4"/>
    <w:rsid w:val="00AD6CC8"/>
    <w:rsid w:val="00AD6D3A"/>
    <w:rsid w:val="00AD716A"/>
    <w:rsid w:val="00AD71FD"/>
    <w:rsid w:val="00AD725A"/>
    <w:rsid w:val="00AD72AD"/>
    <w:rsid w:val="00AD73C8"/>
    <w:rsid w:val="00AD7660"/>
    <w:rsid w:val="00AD7689"/>
    <w:rsid w:val="00AD7856"/>
    <w:rsid w:val="00AD7919"/>
    <w:rsid w:val="00AD7F4B"/>
    <w:rsid w:val="00AD7F69"/>
    <w:rsid w:val="00AD7F77"/>
    <w:rsid w:val="00AE01EB"/>
    <w:rsid w:val="00AE02F3"/>
    <w:rsid w:val="00AE0382"/>
    <w:rsid w:val="00AE043C"/>
    <w:rsid w:val="00AE04C0"/>
    <w:rsid w:val="00AE06B0"/>
    <w:rsid w:val="00AE0738"/>
    <w:rsid w:val="00AE078C"/>
    <w:rsid w:val="00AE07A7"/>
    <w:rsid w:val="00AE09AD"/>
    <w:rsid w:val="00AE09BE"/>
    <w:rsid w:val="00AE0BA7"/>
    <w:rsid w:val="00AE0C3A"/>
    <w:rsid w:val="00AE0D37"/>
    <w:rsid w:val="00AE0EA7"/>
    <w:rsid w:val="00AE10B0"/>
    <w:rsid w:val="00AE11CF"/>
    <w:rsid w:val="00AE1254"/>
    <w:rsid w:val="00AE130B"/>
    <w:rsid w:val="00AE1385"/>
    <w:rsid w:val="00AE1424"/>
    <w:rsid w:val="00AE14DB"/>
    <w:rsid w:val="00AE1582"/>
    <w:rsid w:val="00AE16B9"/>
    <w:rsid w:val="00AE16E8"/>
    <w:rsid w:val="00AE17C9"/>
    <w:rsid w:val="00AE1817"/>
    <w:rsid w:val="00AE1866"/>
    <w:rsid w:val="00AE186C"/>
    <w:rsid w:val="00AE188C"/>
    <w:rsid w:val="00AE1A2D"/>
    <w:rsid w:val="00AE1AED"/>
    <w:rsid w:val="00AE1B3B"/>
    <w:rsid w:val="00AE1BD5"/>
    <w:rsid w:val="00AE1D72"/>
    <w:rsid w:val="00AE1D87"/>
    <w:rsid w:val="00AE2119"/>
    <w:rsid w:val="00AE21E5"/>
    <w:rsid w:val="00AE25DB"/>
    <w:rsid w:val="00AE28BD"/>
    <w:rsid w:val="00AE295C"/>
    <w:rsid w:val="00AE2B5B"/>
    <w:rsid w:val="00AE2B6F"/>
    <w:rsid w:val="00AE2C07"/>
    <w:rsid w:val="00AE2CE1"/>
    <w:rsid w:val="00AE2E6D"/>
    <w:rsid w:val="00AE306D"/>
    <w:rsid w:val="00AE3217"/>
    <w:rsid w:val="00AE33E9"/>
    <w:rsid w:val="00AE3471"/>
    <w:rsid w:val="00AE34B1"/>
    <w:rsid w:val="00AE363A"/>
    <w:rsid w:val="00AE36BC"/>
    <w:rsid w:val="00AE38C7"/>
    <w:rsid w:val="00AE3B6A"/>
    <w:rsid w:val="00AE3C4F"/>
    <w:rsid w:val="00AE3C80"/>
    <w:rsid w:val="00AE3F06"/>
    <w:rsid w:val="00AE3F49"/>
    <w:rsid w:val="00AE3F7A"/>
    <w:rsid w:val="00AE4170"/>
    <w:rsid w:val="00AE41A1"/>
    <w:rsid w:val="00AE4352"/>
    <w:rsid w:val="00AE4409"/>
    <w:rsid w:val="00AE4548"/>
    <w:rsid w:val="00AE465D"/>
    <w:rsid w:val="00AE47DC"/>
    <w:rsid w:val="00AE4969"/>
    <w:rsid w:val="00AE49AC"/>
    <w:rsid w:val="00AE4AE6"/>
    <w:rsid w:val="00AE4B4C"/>
    <w:rsid w:val="00AE4C39"/>
    <w:rsid w:val="00AE4C53"/>
    <w:rsid w:val="00AE4CDB"/>
    <w:rsid w:val="00AE4CF5"/>
    <w:rsid w:val="00AE4D8B"/>
    <w:rsid w:val="00AE4DAF"/>
    <w:rsid w:val="00AE4E21"/>
    <w:rsid w:val="00AE4E46"/>
    <w:rsid w:val="00AE4E63"/>
    <w:rsid w:val="00AE4E77"/>
    <w:rsid w:val="00AE4E87"/>
    <w:rsid w:val="00AE5201"/>
    <w:rsid w:val="00AE528D"/>
    <w:rsid w:val="00AE54F4"/>
    <w:rsid w:val="00AE56AF"/>
    <w:rsid w:val="00AE5701"/>
    <w:rsid w:val="00AE5989"/>
    <w:rsid w:val="00AE5D58"/>
    <w:rsid w:val="00AE6138"/>
    <w:rsid w:val="00AE61D1"/>
    <w:rsid w:val="00AE6212"/>
    <w:rsid w:val="00AE629B"/>
    <w:rsid w:val="00AE62D0"/>
    <w:rsid w:val="00AE62E9"/>
    <w:rsid w:val="00AE647A"/>
    <w:rsid w:val="00AE6482"/>
    <w:rsid w:val="00AE68FB"/>
    <w:rsid w:val="00AE6920"/>
    <w:rsid w:val="00AE6BAB"/>
    <w:rsid w:val="00AE6D62"/>
    <w:rsid w:val="00AE6E26"/>
    <w:rsid w:val="00AE6E45"/>
    <w:rsid w:val="00AE71E3"/>
    <w:rsid w:val="00AE75C9"/>
    <w:rsid w:val="00AE76D3"/>
    <w:rsid w:val="00AE7767"/>
    <w:rsid w:val="00AE782A"/>
    <w:rsid w:val="00AE7838"/>
    <w:rsid w:val="00AE7CCA"/>
    <w:rsid w:val="00AE7D27"/>
    <w:rsid w:val="00AE7F31"/>
    <w:rsid w:val="00AE7F3A"/>
    <w:rsid w:val="00AF00AC"/>
    <w:rsid w:val="00AF00B2"/>
    <w:rsid w:val="00AF0217"/>
    <w:rsid w:val="00AF0457"/>
    <w:rsid w:val="00AF0463"/>
    <w:rsid w:val="00AF0651"/>
    <w:rsid w:val="00AF07C0"/>
    <w:rsid w:val="00AF07E8"/>
    <w:rsid w:val="00AF0869"/>
    <w:rsid w:val="00AF0974"/>
    <w:rsid w:val="00AF0B41"/>
    <w:rsid w:val="00AF0E03"/>
    <w:rsid w:val="00AF0E3C"/>
    <w:rsid w:val="00AF0FBC"/>
    <w:rsid w:val="00AF1170"/>
    <w:rsid w:val="00AF121E"/>
    <w:rsid w:val="00AF12C7"/>
    <w:rsid w:val="00AF1305"/>
    <w:rsid w:val="00AF1492"/>
    <w:rsid w:val="00AF153F"/>
    <w:rsid w:val="00AF16DF"/>
    <w:rsid w:val="00AF170B"/>
    <w:rsid w:val="00AF17B5"/>
    <w:rsid w:val="00AF18C2"/>
    <w:rsid w:val="00AF1A53"/>
    <w:rsid w:val="00AF1DC0"/>
    <w:rsid w:val="00AF211E"/>
    <w:rsid w:val="00AF221D"/>
    <w:rsid w:val="00AF25EC"/>
    <w:rsid w:val="00AF2763"/>
    <w:rsid w:val="00AF291C"/>
    <w:rsid w:val="00AF2A4A"/>
    <w:rsid w:val="00AF2B23"/>
    <w:rsid w:val="00AF2BF2"/>
    <w:rsid w:val="00AF2DB6"/>
    <w:rsid w:val="00AF30CB"/>
    <w:rsid w:val="00AF3557"/>
    <w:rsid w:val="00AF3835"/>
    <w:rsid w:val="00AF39C1"/>
    <w:rsid w:val="00AF3BB3"/>
    <w:rsid w:val="00AF3C38"/>
    <w:rsid w:val="00AF3D5D"/>
    <w:rsid w:val="00AF3D66"/>
    <w:rsid w:val="00AF3FB1"/>
    <w:rsid w:val="00AF4066"/>
    <w:rsid w:val="00AF41A3"/>
    <w:rsid w:val="00AF41EB"/>
    <w:rsid w:val="00AF43A2"/>
    <w:rsid w:val="00AF440B"/>
    <w:rsid w:val="00AF4429"/>
    <w:rsid w:val="00AF4557"/>
    <w:rsid w:val="00AF4579"/>
    <w:rsid w:val="00AF469D"/>
    <w:rsid w:val="00AF47D0"/>
    <w:rsid w:val="00AF4884"/>
    <w:rsid w:val="00AF488A"/>
    <w:rsid w:val="00AF4960"/>
    <w:rsid w:val="00AF498B"/>
    <w:rsid w:val="00AF4995"/>
    <w:rsid w:val="00AF49DA"/>
    <w:rsid w:val="00AF4A63"/>
    <w:rsid w:val="00AF4ACB"/>
    <w:rsid w:val="00AF4BDF"/>
    <w:rsid w:val="00AF4C54"/>
    <w:rsid w:val="00AF4CEE"/>
    <w:rsid w:val="00AF4E1E"/>
    <w:rsid w:val="00AF4ED4"/>
    <w:rsid w:val="00AF50A8"/>
    <w:rsid w:val="00AF5124"/>
    <w:rsid w:val="00AF5199"/>
    <w:rsid w:val="00AF55E2"/>
    <w:rsid w:val="00AF565A"/>
    <w:rsid w:val="00AF56BF"/>
    <w:rsid w:val="00AF56F2"/>
    <w:rsid w:val="00AF5789"/>
    <w:rsid w:val="00AF582E"/>
    <w:rsid w:val="00AF59F3"/>
    <w:rsid w:val="00AF5A56"/>
    <w:rsid w:val="00AF6083"/>
    <w:rsid w:val="00AF6166"/>
    <w:rsid w:val="00AF65F6"/>
    <w:rsid w:val="00AF6B60"/>
    <w:rsid w:val="00AF6BD9"/>
    <w:rsid w:val="00AF6F94"/>
    <w:rsid w:val="00AF7112"/>
    <w:rsid w:val="00AF7128"/>
    <w:rsid w:val="00AF71AE"/>
    <w:rsid w:val="00AF72B9"/>
    <w:rsid w:val="00AF7376"/>
    <w:rsid w:val="00AF73AA"/>
    <w:rsid w:val="00AF74A0"/>
    <w:rsid w:val="00AF74BC"/>
    <w:rsid w:val="00AF74F7"/>
    <w:rsid w:val="00AF7598"/>
    <w:rsid w:val="00AF75CA"/>
    <w:rsid w:val="00AF7834"/>
    <w:rsid w:val="00AF784B"/>
    <w:rsid w:val="00AF7A0B"/>
    <w:rsid w:val="00AF7F6F"/>
    <w:rsid w:val="00AF7FF7"/>
    <w:rsid w:val="00B00273"/>
    <w:rsid w:val="00B002FA"/>
    <w:rsid w:val="00B00477"/>
    <w:rsid w:val="00B0047B"/>
    <w:rsid w:val="00B006EE"/>
    <w:rsid w:val="00B0070A"/>
    <w:rsid w:val="00B00782"/>
    <w:rsid w:val="00B00909"/>
    <w:rsid w:val="00B009F6"/>
    <w:rsid w:val="00B00A44"/>
    <w:rsid w:val="00B00C27"/>
    <w:rsid w:val="00B00CA6"/>
    <w:rsid w:val="00B00CE5"/>
    <w:rsid w:val="00B00CFE"/>
    <w:rsid w:val="00B00F83"/>
    <w:rsid w:val="00B01024"/>
    <w:rsid w:val="00B011E1"/>
    <w:rsid w:val="00B012F9"/>
    <w:rsid w:val="00B0153D"/>
    <w:rsid w:val="00B016F2"/>
    <w:rsid w:val="00B016FC"/>
    <w:rsid w:val="00B01852"/>
    <w:rsid w:val="00B018F3"/>
    <w:rsid w:val="00B01943"/>
    <w:rsid w:val="00B01BB9"/>
    <w:rsid w:val="00B01D9C"/>
    <w:rsid w:val="00B01F40"/>
    <w:rsid w:val="00B01F4D"/>
    <w:rsid w:val="00B0209B"/>
    <w:rsid w:val="00B02121"/>
    <w:rsid w:val="00B02185"/>
    <w:rsid w:val="00B025A1"/>
    <w:rsid w:val="00B02A73"/>
    <w:rsid w:val="00B02C4E"/>
    <w:rsid w:val="00B02C5D"/>
    <w:rsid w:val="00B02D7E"/>
    <w:rsid w:val="00B02E36"/>
    <w:rsid w:val="00B0302E"/>
    <w:rsid w:val="00B030EB"/>
    <w:rsid w:val="00B0355B"/>
    <w:rsid w:val="00B0362A"/>
    <w:rsid w:val="00B0367A"/>
    <w:rsid w:val="00B0377B"/>
    <w:rsid w:val="00B037BD"/>
    <w:rsid w:val="00B039A7"/>
    <w:rsid w:val="00B03CDE"/>
    <w:rsid w:val="00B041D8"/>
    <w:rsid w:val="00B042F5"/>
    <w:rsid w:val="00B0490E"/>
    <w:rsid w:val="00B0491B"/>
    <w:rsid w:val="00B04A67"/>
    <w:rsid w:val="00B04ACB"/>
    <w:rsid w:val="00B04B54"/>
    <w:rsid w:val="00B04B7A"/>
    <w:rsid w:val="00B04D2D"/>
    <w:rsid w:val="00B04DEB"/>
    <w:rsid w:val="00B04E21"/>
    <w:rsid w:val="00B04F44"/>
    <w:rsid w:val="00B04F65"/>
    <w:rsid w:val="00B04F7C"/>
    <w:rsid w:val="00B05060"/>
    <w:rsid w:val="00B05073"/>
    <w:rsid w:val="00B050FC"/>
    <w:rsid w:val="00B0511A"/>
    <w:rsid w:val="00B05354"/>
    <w:rsid w:val="00B053C5"/>
    <w:rsid w:val="00B05415"/>
    <w:rsid w:val="00B05422"/>
    <w:rsid w:val="00B05423"/>
    <w:rsid w:val="00B054B5"/>
    <w:rsid w:val="00B05540"/>
    <w:rsid w:val="00B058B5"/>
    <w:rsid w:val="00B05B4B"/>
    <w:rsid w:val="00B05C8F"/>
    <w:rsid w:val="00B05D4E"/>
    <w:rsid w:val="00B05F2D"/>
    <w:rsid w:val="00B05FE7"/>
    <w:rsid w:val="00B060AA"/>
    <w:rsid w:val="00B062F5"/>
    <w:rsid w:val="00B06612"/>
    <w:rsid w:val="00B06626"/>
    <w:rsid w:val="00B06697"/>
    <w:rsid w:val="00B06939"/>
    <w:rsid w:val="00B06977"/>
    <w:rsid w:val="00B069ED"/>
    <w:rsid w:val="00B06AA6"/>
    <w:rsid w:val="00B06BC5"/>
    <w:rsid w:val="00B06CC7"/>
    <w:rsid w:val="00B06CF0"/>
    <w:rsid w:val="00B06D95"/>
    <w:rsid w:val="00B06DD3"/>
    <w:rsid w:val="00B06F24"/>
    <w:rsid w:val="00B06FB4"/>
    <w:rsid w:val="00B0708C"/>
    <w:rsid w:val="00B07119"/>
    <w:rsid w:val="00B07236"/>
    <w:rsid w:val="00B07246"/>
    <w:rsid w:val="00B073AC"/>
    <w:rsid w:val="00B07459"/>
    <w:rsid w:val="00B074D7"/>
    <w:rsid w:val="00B07711"/>
    <w:rsid w:val="00B0782F"/>
    <w:rsid w:val="00B078B4"/>
    <w:rsid w:val="00B078D5"/>
    <w:rsid w:val="00B07C00"/>
    <w:rsid w:val="00B07E00"/>
    <w:rsid w:val="00B07F6E"/>
    <w:rsid w:val="00B07F7A"/>
    <w:rsid w:val="00B07FED"/>
    <w:rsid w:val="00B07FFB"/>
    <w:rsid w:val="00B10036"/>
    <w:rsid w:val="00B1011B"/>
    <w:rsid w:val="00B10292"/>
    <w:rsid w:val="00B10402"/>
    <w:rsid w:val="00B105D0"/>
    <w:rsid w:val="00B105E4"/>
    <w:rsid w:val="00B107BC"/>
    <w:rsid w:val="00B10B56"/>
    <w:rsid w:val="00B10BFF"/>
    <w:rsid w:val="00B10CDD"/>
    <w:rsid w:val="00B10DD5"/>
    <w:rsid w:val="00B10FF5"/>
    <w:rsid w:val="00B10FF6"/>
    <w:rsid w:val="00B1103E"/>
    <w:rsid w:val="00B11043"/>
    <w:rsid w:val="00B1108D"/>
    <w:rsid w:val="00B11370"/>
    <w:rsid w:val="00B11416"/>
    <w:rsid w:val="00B116E8"/>
    <w:rsid w:val="00B11937"/>
    <w:rsid w:val="00B1194F"/>
    <w:rsid w:val="00B11972"/>
    <w:rsid w:val="00B11AF8"/>
    <w:rsid w:val="00B11B49"/>
    <w:rsid w:val="00B11BF3"/>
    <w:rsid w:val="00B11D44"/>
    <w:rsid w:val="00B11D4D"/>
    <w:rsid w:val="00B123D6"/>
    <w:rsid w:val="00B12442"/>
    <w:rsid w:val="00B124F2"/>
    <w:rsid w:val="00B12505"/>
    <w:rsid w:val="00B1257F"/>
    <w:rsid w:val="00B125A3"/>
    <w:rsid w:val="00B12805"/>
    <w:rsid w:val="00B128E7"/>
    <w:rsid w:val="00B1296B"/>
    <w:rsid w:val="00B12976"/>
    <w:rsid w:val="00B12A22"/>
    <w:rsid w:val="00B12BA7"/>
    <w:rsid w:val="00B12DB2"/>
    <w:rsid w:val="00B12E5C"/>
    <w:rsid w:val="00B12EC9"/>
    <w:rsid w:val="00B13013"/>
    <w:rsid w:val="00B13032"/>
    <w:rsid w:val="00B13044"/>
    <w:rsid w:val="00B13271"/>
    <w:rsid w:val="00B1328D"/>
    <w:rsid w:val="00B1335E"/>
    <w:rsid w:val="00B13362"/>
    <w:rsid w:val="00B13488"/>
    <w:rsid w:val="00B135D7"/>
    <w:rsid w:val="00B135E6"/>
    <w:rsid w:val="00B1360E"/>
    <w:rsid w:val="00B1383D"/>
    <w:rsid w:val="00B138D9"/>
    <w:rsid w:val="00B13922"/>
    <w:rsid w:val="00B1398E"/>
    <w:rsid w:val="00B13A56"/>
    <w:rsid w:val="00B13AFD"/>
    <w:rsid w:val="00B13D4E"/>
    <w:rsid w:val="00B13D73"/>
    <w:rsid w:val="00B13DD5"/>
    <w:rsid w:val="00B13FE3"/>
    <w:rsid w:val="00B14395"/>
    <w:rsid w:val="00B1479A"/>
    <w:rsid w:val="00B147C8"/>
    <w:rsid w:val="00B14A6A"/>
    <w:rsid w:val="00B14B4D"/>
    <w:rsid w:val="00B14D57"/>
    <w:rsid w:val="00B14E88"/>
    <w:rsid w:val="00B14FE1"/>
    <w:rsid w:val="00B151EC"/>
    <w:rsid w:val="00B15285"/>
    <w:rsid w:val="00B152BD"/>
    <w:rsid w:val="00B15344"/>
    <w:rsid w:val="00B153A1"/>
    <w:rsid w:val="00B153BB"/>
    <w:rsid w:val="00B15474"/>
    <w:rsid w:val="00B15491"/>
    <w:rsid w:val="00B15541"/>
    <w:rsid w:val="00B159C0"/>
    <w:rsid w:val="00B15A43"/>
    <w:rsid w:val="00B15B39"/>
    <w:rsid w:val="00B15BAC"/>
    <w:rsid w:val="00B15CD1"/>
    <w:rsid w:val="00B15DE8"/>
    <w:rsid w:val="00B160C5"/>
    <w:rsid w:val="00B161B2"/>
    <w:rsid w:val="00B163D4"/>
    <w:rsid w:val="00B16640"/>
    <w:rsid w:val="00B166AF"/>
    <w:rsid w:val="00B169F1"/>
    <w:rsid w:val="00B16A52"/>
    <w:rsid w:val="00B16A94"/>
    <w:rsid w:val="00B16C29"/>
    <w:rsid w:val="00B16D18"/>
    <w:rsid w:val="00B17078"/>
    <w:rsid w:val="00B1712D"/>
    <w:rsid w:val="00B172C9"/>
    <w:rsid w:val="00B1737D"/>
    <w:rsid w:val="00B1767A"/>
    <w:rsid w:val="00B17795"/>
    <w:rsid w:val="00B177D5"/>
    <w:rsid w:val="00B1797B"/>
    <w:rsid w:val="00B17A60"/>
    <w:rsid w:val="00B17C9D"/>
    <w:rsid w:val="00B17E58"/>
    <w:rsid w:val="00B17EC2"/>
    <w:rsid w:val="00B201B6"/>
    <w:rsid w:val="00B203B1"/>
    <w:rsid w:val="00B20562"/>
    <w:rsid w:val="00B20633"/>
    <w:rsid w:val="00B20811"/>
    <w:rsid w:val="00B2089D"/>
    <w:rsid w:val="00B209EA"/>
    <w:rsid w:val="00B20B07"/>
    <w:rsid w:val="00B20C78"/>
    <w:rsid w:val="00B20DC6"/>
    <w:rsid w:val="00B20DD5"/>
    <w:rsid w:val="00B20E62"/>
    <w:rsid w:val="00B20F7C"/>
    <w:rsid w:val="00B20FC5"/>
    <w:rsid w:val="00B2110D"/>
    <w:rsid w:val="00B211A5"/>
    <w:rsid w:val="00B2131D"/>
    <w:rsid w:val="00B2132F"/>
    <w:rsid w:val="00B214AB"/>
    <w:rsid w:val="00B21541"/>
    <w:rsid w:val="00B2157D"/>
    <w:rsid w:val="00B21581"/>
    <w:rsid w:val="00B21947"/>
    <w:rsid w:val="00B21A81"/>
    <w:rsid w:val="00B21AF1"/>
    <w:rsid w:val="00B21D0D"/>
    <w:rsid w:val="00B21F72"/>
    <w:rsid w:val="00B2202B"/>
    <w:rsid w:val="00B22313"/>
    <w:rsid w:val="00B2247A"/>
    <w:rsid w:val="00B22484"/>
    <w:rsid w:val="00B224AF"/>
    <w:rsid w:val="00B2256D"/>
    <w:rsid w:val="00B22647"/>
    <w:rsid w:val="00B226ED"/>
    <w:rsid w:val="00B227F3"/>
    <w:rsid w:val="00B2285C"/>
    <w:rsid w:val="00B228CE"/>
    <w:rsid w:val="00B22973"/>
    <w:rsid w:val="00B22999"/>
    <w:rsid w:val="00B22A91"/>
    <w:rsid w:val="00B22B1D"/>
    <w:rsid w:val="00B22B26"/>
    <w:rsid w:val="00B22B89"/>
    <w:rsid w:val="00B233F4"/>
    <w:rsid w:val="00B235E9"/>
    <w:rsid w:val="00B23605"/>
    <w:rsid w:val="00B23683"/>
    <w:rsid w:val="00B238B5"/>
    <w:rsid w:val="00B2396B"/>
    <w:rsid w:val="00B23C79"/>
    <w:rsid w:val="00B23DBC"/>
    <w:rsid w:val="00B2437B"/>
    <w:rsid w:val="00B243D6"/>
    <w:rsid w:val="00B24657"/>
    <w:rsid w:val="00B2468E"/>
    <w:rsid w:val="00B247E8"/>
    <w:rsid w:val="00B247F0"/>
    <w:rsid w:val="00B24AA5"/>
    <w:rsid w:val="00B24AE3"/>
    <w:rsid w:val="00B24B81"/>
    <w:rsid w:val="00B24BB7"/>
    <w:rsid w:val="00B24C98"/>
    <w:rsid w:val="00B24E6B"/>
    <w:rsid w:val="00B2521C"/>
    <w:rsid w:val="00B2550E"/>
    <w:rsid w:val="00B256D3"/>
    <w:rsid w:val="00B25744"/>
    <w:rsid w:val="00B2581D"/>
    <w:rsid w:val="00B25B6C"/>
    <w:rsid w:val="00B25C4F"/>
    <w:rsid w:val="00B25C69"/>
    <w:rsid w:val="00B25CCE"/>
    <w:rsid w:val="00B25D33"/>
    <w:rsid w:val="00B262D8"/>
    <w:rsid w:val="00B2636F"/>
    <w:rsid w:val="00B26434"/>
    <w:rsid w:val="00B266AE"/>
    <w:rsid w:val="00B269C1"/>
    <w:rsid w:val="00B26AE8"/>
    <w:rsid w:val="00B26B16"/>
    <w:rsid w:val="00B26B18"/>
    <w:rsid w:val="00B26BB4"/>
    <w:rsid w:val="00B2718B"/>
    <w:rsid w:val="00B271D0"/>
    <w:rsid w:val="00B27292"/>
    <w:rsid w:val="00B27373"/>
    <w:rsid w:val="00B27578"/>
    <w:rsid w:val="00B27617"/>
    <w:rsid w:val="00B27776"/>
    <w:rsid w:val="00B278DB"/>
    <w:rsid w:val="00B279E6"/>
    <w:rsid w:val="00B27ABA"/>
    <w:rsid w:val="00B27CEE"/>
    <w:rsid w:val="00B27F69"/>
    <w:rsid w:val="00B27FE5"/>
    <w:rsid w:val="00B3004C"/>
    <w:rsid w:val="00B3022F"/>
    <w:rsid w:val="00B306E2"/>
    <w:rsid w:val="00B3087B"/>
    <w:rsid w:val="00B30A26"/>
    <w:rsid w:val="00B30D9A"/>
    <w:rsid w:val="00B30EA2"/>
    <w:rsid w:val="00B30F18"/>
    <w:rsid w:val="00B31190"/>
    <w:rsid w:val="00B31455"/>
    <w:rsid w:val="00B31A04"/>
    <w:rsid w:val="00B31B8C"/>
    <w:rsid w:val="00B31CF9"/>
    <w:rsid w:val="00B31D3F"/>
    <w:rsid w:val="00B31DEE"/>
    <w:rsid w:val="00B31EA7"/>
    <w:rsid w:val="00B3201F"/>
    <w:rsid w:val="00B32122"/>
    <w:rsid w:val="00B32532"/>
    <w:rsid w:val="00B325C9"/>
    <w:rsid w:val="00B32681"/>
    <w:rsid w:val="00B32688"/>
    <w:rsid w:val="00B329F0"/>
    <w:rsid w:val="00B32A08"/>
    <w:rsid w:val="00B32A5B"/>
    <w:rsid w:val="00B32AAE"/>
    <w:rsid w:val="00B33091"/>
    <w:rsid w:val="00B330E0"/>
    <w:rsid w:val="00B3317E"/>
    <w:rsid w:val="00B331B7"/>
    <w:rsid w:val="00B33404"/>
    <w:rsid w:val="00B33552"/>
    <w:rsid w:val="00B3385F"/>
    <w:rsid w:val="00B338F4"/>
    <w:rsid w:val="00B33AFA"/>
    <w:rsid w:val="00B33E99"/>
    <w:rsid w:val="00B34039"/>
    <w:rsid w:val="00B34178"/>
    <w:rsid w:val="00B3420B"/>
    <w:rsid w:val="00B342B6"/>
    <w:rsid w:val="00B342C9"/>
    <w:rsid w:val="00B342E6"/>
    <w:rsid w:val="00B34567"/>
    <w:rsid w:val="00B34823"/>
    <w:rsid w:val="00B348B2"/>
    <w:rsid w:val="00B34AF4"/>
    <w:rsid w:val="00B34D47"/>
    <w:rsid w:val="00B350A5"/>
    <w:rsid w:val="00B35215"/>
    <w:rsid w:val="00B3523F"/>
    <w:rsid w:val="00B35391"/>
    <w:rsid w:val="00B35505"/>
    <w:rsid w:val="00B3560A"/>
    <w:rsid w:val="00B35977"/>
    <w:rsid w:val="00B35A90"/>
    <w:rsid w:val="00B35AFA"/>
    <w:rsid w:val="00B35BC5"/>
    <w:rsid w:val="00B36089"/>
    <w:rsid w:val="00B3615E"/>
    <w:rsid w:val="00B365B1"/>
    <w:rsid w:val="00B36802"/>
    <w:rsid w:val="00B36867"/>
    <w:rsid w:val="00B36972"/>
    <w:rsid w:val="00B36AA8"/>
    <w:rsid w:val="00B36BDA"/>
    <w:rsid w:val="00B36C21"/>
    <w:rsid w:val="00B36C59"/>
    <w:rsid w:val="00B36CBD"/>
    <w:rsid w:val="00B36F43"/>
    <w:rsid w:val="00B370EA"/>
    <w:rsid w:val="00B37158"/>
    <w:rsid w:val="00B37188"/>
    <w:rsid w:val="00B374AC"/>
    <w:rsid w:val="00B37522"/>
    <w:rsid w:val="00B3755C"/>
    <w:rsid w:val="00B375DB"/>
    <w:rsid w:val="00B37638"/>
    <w:rsid w:val="00B3773E"/>
    <w:rsid w:val="00B3777C"/>
    <w:rsid w:val="00B37834"/>
    <w:rsid w:val="00B378CC"/>
    <w:rsid w:val="00B378F1"/>
    <w:rsid w:val="00B37B7A"/>
    <w:rsid w:val="00B37D8E"/>
    <w:rsid w:val="00B40040"/>
    <w:rsid w:val="00B40046"/>
    <w:rsid w:val="00B402FC"/>
    <w:rsid w:val="00B40320"/>
    <w:rsid w:val="00B4055D"/>
    <w:rsid w:val="00B4056C"/>
    <w:rsid w:val="00B40585"/>
    <w:rsid w:val="00B405F6"/>
    <w:rsid w:val="00B405FC"/>
    <w:rsid w:val="00B407CB"/>
    <w:rsid w:val="00B40C77"/>
    <w:rsid w:val="00B40D8C"/>
    <w:rsid w:val="00B40EA4"/>
    <w:rsid w:val="00B40F72"/>
    <w:rsid w:val="00B40FF1"/>
    <w:rsid w:val="00B41389"/>
    <w:rsid w:val="00B413F7"/>
    <w:rsid w:val="00B41400"/>
    <w:rsid w:val="00B414FE"/>
    <w:rsid w:val="00B41914"/>
    <w:rsid w:val="00B41AE9"/>
    <w:rsid w:val="00B41B5C"/>
    <w:rsid w:val="00B41CA6"/>
    <w:rsid w:val="00B41D39"/>
    <w:rsid w:val="00B41E1D"/>
    <w:rsid w:val="00B42103"/>
    <w:rsid w:val="00B42178"/>
    <w:rsid w:val="00B42501"/>
    <w:rsid w:val="00B425AE"/>
    <w:rsid w:val="00B42769"/>
    <w:rsid w:val="00B427D1"/>
    <w:rsid w:val="00B4282C"/>
    <w:rsid w:val="00B42B0D"/>
    <w:rsid w:val="00B42C53"/>
    <w:rsid w:val="00B42D80"/>
    <w:rsid w:val="00B42DF0"/>
    <w:rsid w:val="00B42F7A"/>
    <w:rsid w:val="00B42FE7"/>
    <w:rsid w:val="00B42FEF"/>
    <w:rsid w:val="00B43385"/>
    <w:rsid w:val="00B436A1"/>
    <w:rsid w:val="00B43989"/>
    <w:rsid w:val="00B43991"/>
    <w:rsid w:val="00B43A2D"/>
    <w:rsid w:val="00B43A80"/>
    <w:rsid w:val="00B43AF5"/>
    <w:rsid w:val="00B43DBC"/>
    <w:rsid w:val="00B43E3C"/>
    <w:rsid w:val="00B43F10"/>
    <w:rsid w:val="00B43FF9"/>
    <w:rsid w:val="00B4418F"/>
    <w:rsid w:val="00B441E9"/>
    <w:rsid w:val="00B442AA"/>
    <w:rsid w:val="00B44711"/>
    <w:rsid w:val="00B44B32"/>
    <w:rsid w:val="00B44C1C"/>
    <w:rsid w:val="00B44C7B"/>
    <w:rsid w:val="00B44E0D"/>
    <w:rsid w:val="00B44E5D"/>
    <w:rsid w:val="00B4512B"/>
    <w:rsid w:val="00B451B9"/>
    <w:rsid w:val="00B4527F"/>
    <w:rsid w:val="00B45348"/>
    <w:rsid w:val="00B4578C"/>
    <w:rsid w:val="00B45820"/>
    <w:rsid w:val="00B45B78"/>
    <w:rsid w:val="00B45B92"/>
    <w:rsid w:val="00B45EF0"/>
    <w:rsid w:val="00B46208"/>
    <w:rsid w:val="00B462B7"/>
    <w:rsid w:val="00B46389"/>
    <w:rsid w:val="00B46426"/>
    <w:rsid w:val="00B4657B"/>
    <w:rsid w:val="00B4666F"/>
    <w:rsid w:val="00B466CA"/>
    <w:rsid w:val="00B4674C"/>
    <w:rsid w:val="00B46769"/>
    <w:rsid w:val="00B4684D"/>
    <w:rsid w:val="00B46857"/>
    <w:rsid w:val="00B468AE"/>
    <w:rsid w:val="00B468EC"/>
    <w:rsid w:val="00B46972"/>
    <w:rsid w:val="00B46B65"/>
    <w:rsid w:val="00B46C72"/>
    <w:rsid w:val="00B46D28"/>
    <w:rsid w:val="00B46EFA"/>
    <w:rsid w:val="00B4718C"/>
    <w:rsid w:val="00B4727E"/>
    <w:rsid w:val="00B47293"/>
    <w:rsid w:val="00B4737B"/>
    <w:rsid w:val="00B473BA"/>
    <w:rsid w:val="00B4756D"/>
    <w:rsid w:val="00B47575"/>
    <w:rsid w:val="00B475D0"/>
    <w:rsid w:val="00B475F3"/>
    <w:rsid w:val="00B47784"/>
    <w:rsid w:val="00B4796F"/>
    <w:rsid w:val="00B47A5F"/>
    <w:rsid w:val="00B47B05"/>
    <w:rsid w:val="00B47B6F"/>
    <w:rsid w:val="00B47CA1"/>
    <w:rsid w:val="00B47DAD"/>
    <w:rsid w:val="00B47EFC"/>
    <w:rsid w:val="00B50039"/>
    <w:rsid w:val="00B50216"/>
    <w:rsid w:val="00B50222"/>
    <w:rsid w:val="00B502A3"/>
    <w:rsid w:val="00B50442"/>
    <w:rsid w:val="00B5069B"/>
    <w:rsid w:val="00B50849"/>
    <w:rsid w:val="00B50900"/>
    <w:rsid w:val="00B51159"/>
    <w:rsid w:val="00B511B8"/>
    <w:rsid w:val="00B511EB"/>
    <w:rsid w:val="00B5136D"/>
    <w:rsid w:val="00B513C0"/>
    <w:rsid w:val="00B51471"/>
    <w:rsid w:val="00B51673"/>
    <w:rsid w:val="00B51AD5"/>
    <w:rsid w:val="00B51D80"/>
    <w:rsid w:val="00B520FD"/>
    <w:rsid w:val="00B523A5"/>
    <w:rsid w:val="00B52477"/>
    <w:rsid w:val="00B5259A"/>
    <w:rsid w:val="00B525BD"/>
    <w:rsid w:val="00B526ED"/>
    <w:rsid w:val="00B52706"/>
    <w:rsid w:val="00B5277F"/>
    <w:rsid w:val="00B5284A"/>
    <w:rsid w:val="00B529B7"/>
    <w:rsid w:val="00B52BBD"/>
    <w:rsid w:val="00B52C5E"/>
    <w:rsid w:val="00B52D59"/>
    <w:rsid w:val="00B52DC7"/>
    <w:rsid w:val="00B52E10"/>
    <w:rsid w:val="00B52FDA"/>
    <w:rsid w:val="00B53133"/>
    <w:rsid w:val="00B5317B"/>
    <w:rsid w:val="00B53288"/>
    <w:rsid w:val="00B532CE"/>
    <w:rsid w:val="00B53605"/>
    <w:rsid w:val="00B53747"/>
    <w:rsid w:val="00B538D3"/>
    <w:rsid w:val="00B53917"/>
    <w:rsid w:val="00B53B9E"/>
    <w:rsid w:val="00B53BF5"/>
    <w:rsid w:val="00B53D7B"/>
    <w:rsid w:val="00B54142"/>
    <w:rsid w:val="00B54290"/>
    <w:rsid w:val="00B546B5"/>
    <w:rsid w:val="00B54730"/>
    <w:rsid w:val="00B547EC"/>
    <w:rsid w:val="00B549CF"/>
    <w:rsid w:val="00B54AAF"/>
    <w:rsid w:val="00B54AE1"/>
    <w:rsid w:val="00B54BB8"/>
    <w:rsid w:val="00B54BDB"/>
    <w:rsid w:val="00B54C53"/>
    <w:rsid w:val="00B54C75"/>
    <w:rsid w:val="00B54CF3"/>
    <w:rsid w:val="00B54CF8"/>
    <w:rsid w:val="00B54EF7"/>
    <w:rsid w:val="00B550FB"/>
    <w:rsid w:val="00B55425"/>
    <w:rsid w:val="00B554EA"/>
    <w:rsid w:val="00B554F3"/>
    <w:rsid w:val="00B5584F"/>
    <w:rsid w:val="00B55902"/>
    <w:rsid w:val="00B55A3E"/>
    <w:rsid w:val="00B55A8B"/>
    <w:rsid w:val="00B55B96"/>
    <w:rsid w:val="00B55C41"/>
    <w:rsid w:val="00B55C61"/>
    <w:rsid w:val="00B55CE5"/>
    <w:rsid w:val="00B55CF6"/>
    <w:rsid w:val="00B55D52"/>
    <w:rsid w:val="00B5613E"/>
    <w:rsid w:val="00B561D5"/>
    <w:rsid w:val="00B56313"/>
    <w:rsid w:val="00B563E2"/>
    <w:rsid w:val="00B56412"/>
    <w:rsid w:val="00B56774"/>
    <w:rsid w:val="00B56A23"/>
    <w:rsid w:val="00B56BC3"/>
    <w:rsid w:val="00B56CC1"/>
    <w:rsid w:val="00B56D5A"/>
    <w:rsid w:val="00B56E3D"/>
    <w:rsid w:val="00B56F32"/>
    <w:rsid w:val="00B56FD2"/>
    <w:rsid w:val="00B57023"/>
    <w:rsid w:val="00B57084"/>
    <w:rsid w:val="00B570B2"/>
    <w:rsid w:val="00B570BC"/>
    <w:rsid w:val="00B570DB"/>
    <w:rsid w:val="00B571DE"/>
    <w:rsid w:val="00B57423"/>
    <w:rsid w:val="00B574C8"/>
    <w:rsid w:val="00B57694"/>
    <w:rsid w:val="00B5779F"/>
    <w:rsid w:val="00B57877"/>
    <w:rsid w:val="00B579CE"/>
    <w:rsid w:val="00B57CC2"/>
    <w:rsid w:val="00B57D3E"/>
    <w:rsid w:val="00B57F28"/>
    <w:rsid w:val="00B60070"/>
    <w:rsid w:val="00B6014D"/>
    <w:rsid w:val="00B60215"/>
    <w:rsid w:val="00B60308"/>
    <w:rsid w:val="00B60436"/>
    <w:rsid w:val="00B6054B"/>
    <w:rsid w:val="00B607A1"/>
    <w:rsid w:val="00B6092D"/>
    <w:rsid w:val="00B609CB"/>
    <w:rsid w:val="00B60AE6"/>
    <w:rsid w:val="00B60C05"/>
    <w:rsid w:val="00B61155"/>
    <w:rsid w:val="00B6120F"/>
    <w:rsid w:val="00B61273"/>
    <w:rsid w:val="00B61555"/>
    <w:rsid w:val="00B615AA"/>
    <w:rsid w:val="00B61875"/>
    <w:rsid w:val="00B6187B"/>
    <w:rsid w:val="00B61A84"/>
    <w:rsid w:val="00B61B5C"/>
    <w:rsid w:val="00B61E2E"/>
    <w:rsid w:val="00B61EE6"/>
    <w:rsid w:val="00B61F93"/>
    <w:rsid w:val="00B620D8"/>
    <w:rsid w:val="00B6225E"/>
    <w:rsid w:val="00B62288"/>
    <w:rsid w:val="00B625C7"/>
    <w:rsid w:val="00B626E3"/>
    <w:rsid w:val="00B62868"/>
    <w:rsid w:val="00B62930"/>
    <w:rsid w:val="00B62942"/>
    <w:rsid w:val="00B62945"/>
    <w:rsid w:val="00B62C63"/>
    <w:rsid w:val="00B62E42"/>
    <w:rsid w:val="00B62F66"/>
    <w:rsid w:val="00B6300B"/>
    <w:rsid w:val="00B632C1"/>
    <w:rsid w:val="00B633AE"/>
    <w:rsid w:val="00B63467"/>
    <w:rsid w:val="00B63580"/>
    <w:rsid w:val="00B63605"/>
    <w:rsid w:val="00B6369A"/>
    <w:rsid w:val="00B63777"/>
    <w:rsid w:val="00B63C0D"/>
    <w:rsid w:val="00B63C16"/>
    <w:rsid w:val="00B63D74"/>
    <w:rsid w:val="00B63EEA"/>
    <w:rsid w:val="00B63F5B"/>
    <w:rsid w:val="00B640D6"/>
    <w:rsid w:val="00B64139"/>
    <w:rsid w:val="00B643CF"/>
    <w:rsid w:val="00B6440D"/>
    <w:rsid w:val="00B645B7"/>
    <w:rsid w:val="00B645DE"/>
    <w:rsid w:val="00B64620"/>
    <w:rsid w:val="00B646CC"/>
    <w:rsid w:val="00B647A1"/>
    <w:rsid w:val="00B64B5B"/>
    <w:rsid w:val="00B64C8A"/>
    <w:rsid w:val="00B64DF9"/>
    <w:rsid w:val="00B64E43"/>
    <w:rsid w:val="00B64F8A"/>
    <w:rsid w:val="00B64F9C"/>
    <w:rsid w:val="00B65144"/>
    <w:rsid w:val="00B65282"/>
    <w:rsid w:val="00B652C4"/>
    <w:rsid w:val="00B652CF"/>
    <w:rsid w:val="00B6532D"/>
    <w:rsid w:val="00B653ED"/>
    <w:rsid w:val="00B6549F"/>
    <w:rsid w:val="00B6559E"/>
    <w:rsid w:val="00B657F8"/>
    <w:rsid w:val="00B65D10"/>
    <w:rsid w:val="00B65D63"/>
    <w:rsid w:val="00B65DFA"/>
    <w:rsid w:val="00B65F36"/>
    <w:rsid w:val="00B66048"/>
    <w:rsid w:val="00B660B1"/>
    <w:rsid w:val="00B660D0"/>
    <w:rsid w:val="00B662F8"/>
    <w:rsid w:val="00B66721"/>
    <w:rsid w:val="00B668DA"/>
    <w:rsid w:val="00B66AB4"/>
    <w:rsid w:val="00B66DB8"/>
    <w:rsid w:val="00B66E8C"/>
    <w:rsid w:val="00B66F3F"/>
    <w:rsid w:val="00B67017"/>
    <w:rsid w:val="00B674A0"/>
    <w:rsid w:val="00B675BE"/>
    <w:rsid w:val="00B67677"/>
    <w:rsid w:val="00B67687"/>
    <w:rsid w:val="00B6773E"/>
    <w:rsid w:val="00B6794B"/>
    <w:rsid w:val="00B67979"/>
    <w:rsid w:val="00B6797C"/>
    <w:rsid w:val="00B67A5E"/>
    <w:rsid w:val="00B67AD1"/>
    <w:rsid w:val="00B67AF5"/>
    <w:rsid w:val="00B67B50"/>
    <w:rsid w:val="00B67D70"/>
    <w:rsid w:val="00B67DF3"/>
    <w:rsid w:val="00B700D9"/>
    <w:rsid w:val="00B70108"/>
    <w:rsid w:val="00B702B8"/>
    <w:rsid w:val="00B7038E"/>
    <w:rsid w:val="00B70395"/>
    <w:rsid w:val="00B70441"/>
    <w:rsid w:val="00B70581"/>
    <w:rsid w:val="00B7059F"/>
    <w:rsid w:val="00B706D6"/>
    <w:rsid w:val="00B707D3"/>
    <w:rsid w:val="00B707FE"/>
    <w:rsid w:val="00B709A9"/>
    <w:rsid w:val="00B70C0C"/>
    <w:rsid w:val="00B70C45"/>
    <w:rsid w:val="00B70D02"/>
    <w:rsid w:val="00B70D11"/>
    <w:rsid w:val="00B70FB7"/>
    <w:rsid w:val="00B71135"/>
    <w:rsid w:val="00B71233"/>
    <w:rsid w:val="00B712D3"/>
    <w:rsid w:val="00B71755"/>
    <w:rsid w:val="00B7199E"/>
    <w:rsid w:val="00B71B5D"/>
    <w:rsid w:val="00B71B94"/>
    <w:rsid w:val="00B71E51"/>
    <w:rsid w:val="00B71EB1"/>
    <w:rsid w:val="00B720C4"/>
    <w:rsid w:val="00B720F8"/>
    <w:rsid w:val="00B7214A"/>
    <w:rsid w:val="00B721BA"/>
    <w:rsid w:val="00B7223B"/>
    <w:rsid w:val="00B72246"/>
    <w:rsid w:val="00B722EC"/>
    <w:rsid w:val="00B72517"/>
    <w:rsid w:val="00B72636"/>
    <w:rsid w:val="00B72726"/>
    <w:rsid w:val="00B728CC"/>
    <w:rsid w:val="00B72B12"/>
    <w:rsid w:val="00B72E85"/>
    <w:rsid w:val="00B72E89"/>
    <w:rsid w:val="00B72F05"/>
    <w:rsid w:val="00B739D0"/>
    <w:rsid w:val="00B73A25"/>
    <w:rsid w:val="00B73B65"/>
    <w:rsid w:val="00B73BA3"/>
    <w:rsid w:val="00B73DA8"/>
    <w:rsid w:val="00B73E8A"/>
    <w:rsid w:val="00B73FF8"/>
    <w:rsid w:val="00B74069"/>
    <w:rsid w:val="00B7412C"/>
    <w:rsid w:val="00B745A6"/>
    <w:rsid w:val="00B7468D"/>
    <w:rsid w:val="00B74818"/>
    <w:rsid w:val="00B748FA"/>
    <w:rsid w:val="00B74948"/>
    <w:rsid w:val="00B7495D"/>
    <w:rsid w:val="00B74A96"/>
    <w:rsid w:val="00B74BD8"/>
    <w:rsid w:val="00B74D88"/>
    <w:rsid w:val="00B74DF0"/>
    <w:rsid w:val="00B74EEF"/>
    <w:rsid w:val="00B75060"/>
    <w:rsid w:val="00B752AD"/>
    <w:rsid w:val="00B755DE"/>
    <w:rsid w:val="00B7566B"/>
    <w:rsid w:val="00B7570B"/>
    <w:rsid w:val="00B75795"/>
    <w:rsid w:val="00B757B7"/>
    <w:rsid w:val="00B757B9"/>
    <w:rsid w:val="00B757E6"/>
    <w:rsid w:val="00B758AA"/>
    <w:rsid w:val="00B75A0D"/>
    <w:rsid w:val="00B75A52"/>
    <w:rsid w:val="00B75A55"/>
    <w:rsid w:val="00B75B1F"/>
    <w:rsid w:val="00B75EC2"/>
    <w:rsid w:val="00B75F7A"/>
    <w:rsid w:val="00B76006"/>
    <w:rsid w:val="00B7608D"/>
    <w:rsid w:val="00B76095"/>
    <w:rsid w:val="00B760E7"/>
    <w:rsid w:val="00B76191"/>
    <w:rsid w:val="00B761A1"/>
    <w:rsid w:val="00B76227"/>
    <w:rsid w:val="00B76257"/>
    <w:rsid w:val="00B7640F"/>
    <w:rsid w:val="00B76433"/>
    <w:rsid w:val="00B764A0"/>
    <w:rsid w:val="00B764E8"/>
    <w:rsid w:val="00B76543"/>
    <w:rsid w:val="00B76957"/>
    <w:rsid w:val="00B76A10"/>
    <w:rsid w:val="00B76AA4"/>
    <w:rsid w:val="00B76C70"/>
    <w:rsid w:val="00B76CFD"/>
    <w:rsid w:val="00B76D86"/>
    <w:rsid w:val="00B76EA3"/>
    <w:rsid w:val="00B77118"/>
    <w:rsid w:val="00B77197"/>
    <w:rsid w:val="00B771B4"/>
    <w:rsid w:val="00B771EC"/>
    <w:rsid w:val="00B774DB"/>
    <w:rsid w:val="00B774EC"/>
    <w:rsid w:val="00B77708"/>
    <w:rsid w:val="00B77769"/>
    <w:rsid w:val="00B77825"/>
    <w:rsid w:val="00B778C3"/>
    <w:rsid w:val="00B77B9F"/>
    <w:rsid w:val="00B77C39"/>
    <w:rsid w:val="00B77CD6"/>
    <w:rsid w:val="00B77CDF"/>
    <w:rsid w:val="00B77D2A"/>
    <w:rsid w:val="00B77D5C"/>
    <w:rsid w:val="00B77F60"/>
    <w:rsid w:val="00B801EA"/>
    <w:rsid w:val="00B80256"/>
    <w:rsid w:val="00B80331"/>
    <w:rsid w:val="00B80368"/>
    <w:rsid w:val="00B8040A"/>
    <w:rsid w:val="00B80492"/>
    <w:rsid w:val="00B804CC"/>
    <w:rsid w:val="00B80728"/>
    <w:rsid w:val="00B8073F"/>
    <w:rsid w:val="00B80931"/>
    <w:rsid w:val="00B80A71"/>
    <w:rsid w:val="00B80CAA"/>
    <w:rsid w:val="00B80CD0"/>
    <w:rsid w:val="00B80D33"/>
    <w:rsid w:val="00B80FB3"/>
    <w:rsid w:val="00B81046"/>
    <w:rsid w:val="00B811B6"/>
    <w:rsid w:val="00B813F8"/>
    <w:rsid w:val="00B816E7"/>
    <w:rsid w:val="00B816FA"/>
    <w:rsid w:val="00B81910"/>
    <w:rsid w:val="00B81BD2"/>
    <w:rsid w:val="00B81CB1"/>
    <w:rsid w:val="00B8224B"/>
    <w:rsid w:val="00B823AA"/>
    <w:rsid w:val="00B823E3"/>
    <w:rsid w:val="00B82645"/>
    <w:rsid w:val="00B827B4"/>
    <w:rsid w:val="00B82ABA"/>
    <w:rsid w:val="00B82C8A"/>
    <w:rsid w:val="00B82CA2"/>
    <w:rsid w:val="00B82E07"/>
    <w:rsid w:val="00B82E68"/>
    <w:rsid w:val="00B82E87"/>
    <w:rsid w:val="00B82F68"/>
    <w:rsid w:val="00B82F76"/>
    <w:rsid w:val="00B82FAC"/>
    <w:rsid w:val="00B832CB"/>
    <w:rsid w:val="00B833C9"/>
    <w:rsid w:val="00B83430"/>
    <w:rsid w:val="00B835FD"/>
    <w:rsid w:val="00B83763"/>
    <w:rsid w:val="00B83850"/>
    <w:rsid w:val="00B83936"/>
    <w:rsid w:val="00B83988"/>
    <w:rsid w:val="00B83D6F"/>
    <w:rsid w:val="00B83D85"/>
    <w:rsid w:val="00B83DA2"/>
    <w:rsid w:val="00B83EDF"/>
    <w:rsid w:val="00B83EE4"/>
    <w:rsid w:val="00B84034"/>
    <w:rsid w:val="00B84201"/>
    <w:rsid w:val="00B842D3"/>
    <w:rsid w:val="00B8449B"/>
    <w:rsid w:val="00B84520"/>
    <w:rsid w:val="00B84561"/>
    <w:rsid w:val="00B8464B"/>
    <w:rsid w:val="00B846BC"/>
    <w:rsid w:val="00B84731"/>
    <w:rsid w:val="00B84807"/>
    <w:rsid w:val="00B848AA"/>
    <w:rsid w:val="00B84B27"/>
    <w:rsid w:val="00B84E49"/>
    <w:rsid w:val="00B84E83"/>
    <w:rsid w:val="00B85117"/>
    <w:rsid w:val="00B85122"/>
    <w:rsid w:val="00B8522E"/>
    <w:rsid w:val="00B85326"/>
    <w:rsid w:val="00B8537F"/>
    <w:rsid w:val="00B8553C"/>
    <w:rsid w:val="00B858E5"/>
    <w:rsid w:val="00B85ACC"/>
    <w:rsid w:val="00B85BEC"/>
    <w:rsid w:val="00B85C40"/>
    <w:rsid w:val="00B85C45"/>
    <w:rsid w:val="00B85D40"/>
    <w:rsid w:val="00B85D84"/>
    <w:rsid w:val="00B85FC9"/>
    <w:rsid w:val="00B8601F"/>
    <w:rsid w:val="00B86043"/>
    <w:rsid w:val="00B86077"/>
    <w:rsid w:val="00B86317"/>
    <w:rsid w:val="00B86416"/>
    <w:rsid w:val="00B864BA"/>
    <w:rsid w:val="00B864E9"/>
    <w:rsid w:val="00B86800"/>
    <w:rsid w:val="00B86A84"/>
    <w:rsid w:val="00B86B72"/>
    <w:rsid w:val="00B86B8E"/>
    <w:rsid w:val="00B86BA6"/>
    <w:rsid w:val="00B870AD"/>
    <w:rsid w:val="00B870E0"/>
    <w:rsid w:val="00B872F9"/>
    <w:rsid w:val="00B87394"/>
    <w:rsid w:val="00B8748A"/>
    <w:rsid w:val="00B8761D"/>
    <w:rsid w:val="00B876B2"/>
    <w:rsid w:val="00B8788A"/>
    <w:rsid w:val="00B87C69"/>
    <w:rsid w:val="00B90182"/>
    <w:rsid w:val="00B9048D"/>
    <w:rsid w:val="00B90584"/>
    <w:rsid w:val="00B90665"/>
    <w:rsid w:val="00B90747"/>
    <w:rsid w:val="00B907F2"/>
    <w:rsid w:val="00B90866"/>
    <w:rsid w:val="00B908D4"/>
    <w:rsid w:val="00B909F1"/>
    <w:rsid w:val="00B90ACF"/>
    <w:rsid w:val="00B90B78"/>
    <w:rsid w:val="00B90B91"/>
    <w:rsid w:val="00B90CB9"/>
    <w:rsid w:val="00B90DE9"/>
    <w:rsid w:val="00B90EA1"/>
    <w:rsid w:val="00B9109A"/>
    <w:rsid w:val="00B91177"/>
    <w:rsid w:val="00B91212"/>
    <w:rsid w:val="00B9121A"/>
    <w:rsid w:val="00B9138F"/>
    <w:rsid w:val="00B913CA"/>
    <w:rsid w:val="00B9140B"/>
    <w:rsid w:val="00B91628"/>
    <w:rsid w:val="00B9167D"/>
    <w:rsid w:val="00B9170C"/>
    <w:rsid w:val="00B917B9"/>
    <w:rsid w:val="00B918F7"/>
    <w:rsid w:val="00B91BED"/>
    <w:rsid w:val="00B91D06"/>
    <w:rsid w:val="00B91D44"/>
    <w:rsid w:val="00B91D49"/>
    <w:rsid w:val="00B91EC1"/>
    <w:rsid w:val="00B91EC3"/>
    <w:rsid w:val="00B91F8C"/>
    <w:rsid w:val="00B92060"/>
    <w:rsid w:val="00B921CE"/>
    <w:rsid w:val="00B92204"/>
    <w:rsid w:val="00B92362"/>
    <w:rsid w:val="00B927A8"/>
    <w:rsid w:val="00B92B7F"/>
    <w:rsid w:val="00B92D49"/>
    <w:rsid w:val="00B92E30"/>
    <w:rsid w:val="00B92EB2"/>
    <w:rsid w:val="00B92EC0"/>
    <w:rsid w:val="00B92FA1"/>
    <w:rsid w:val="00B92FBB"/>
    <w:rsid w:val="00B93127"/>
    <w:rsid w:val="00B931A1"/>
    <w:rsid w:val="00B93236"/>
    <w:rsid w:val="00B937FF"/>
    <w:rsid w:val="00B9391B"/>
    <w:rsid w:val="00B93A35"/>
    <w:rsid w:val="00B93B01"/>
    <w:rsid w:val="00B93C0D"/>
    <w:rsid w:val="00B93E03"/>
    <w:rsid w:val="00B93E94"/>
    <w:rsid w:val="00B93F64"/>
    <w:rsid w:val="00B93FDD"/>
    <w:rsid w:val="00B94029"/>
    <w:rsid w:val="00B9403B"/>
    <w:rsid w:val="00B943AA"/>
    <w:rsid w:val="00B943B1"/>
    <w:rsid w:val="00B943D3"/>
    <w:rsid w:val="00B943DC"/>
    <w:rsid w:val="00B943DF"/>
    <w:rsid w:val="00B943FD"/>
    <w:rsid w:val="00B94598"/>
    <w:rsid w:val="00B945DF"/>
    <w:rsid w:val="00B94686"/>
    <w:rsid w:val="00B94689"/>
    <w:rsid w:val="00B94757"/>
    <w:rsid w:val="00B947C9"/>
    <w:rsid w:val="00B9488C"/>
    <w:rsid w:val="00B9492A"/>
    <w:rsid w:val="00B9498A"/>
    <w:rsid w:val="00B94AA8"/>
    <w:rsid w:val="00B94D31"/>
    <w:rsid w:val="00B94E05"/>
    <w:rsid w:val="00B95041"/>
    <w:rsid w:val="00B95438"/>
    <w:rsid w:val="00B954EC"/>
    <w:rsid w:val="00B9561D"/>
    <w:rsid w:val="00B95669"/>
    <w:rsid w:val="00B95908"/>
    <w:rsid w:val="00B95A14"/>
    <w:rsid w:val="00B95A23"/>
    <w:rsid w:val="00B95AAC"/>
    <w:rsid w:val="00B95DB2"/>
    <w:rsid w:val="00B96129"/>
    <w:rsid w:val="00B96188"/>
    <w:rsid w:val="00B961BB"/>
    <w:rsid w:val="00B96458"/>
    <w:rsid w:val="00B9657D"/>
    <w:rsid w:val="00B967F4"/>
    <w:rsid w:val="00B96808"/>
    <w:rsid w:val="00B96B37"/>
    <w:rsid w:val="00B96C5D"/>
    <w:rsid w:val="00B96CDF"/>
    <w:rsid w:val="00B96D63"/>
    <w:rsid w:val="00B96EE5"/>
    <w:rsid w:val="00B96F83"/>
    <w:rsid w:val="00B97070"/>
    <w:rsid w:val="00B973E1"/>
    <w:rsid w:val="00B97409"/>
    <w:rsid w:val="00B97414"/>
    <w:rsid w:val="00B9741B"/>
    <w:rsid w:val="00B974BF"/>
    <w:rsid w:val="00B97ACB"/>
    <w:rsid w:val="00B97B9B"/>
    <w:rsid w:val="00B97C13"/>
    <w:rsid w:val="00B97C2D"/>
    <w:rsid w:val="00B97E24"/>
    <w:rsid w:val="00BA0150"/>
    <w:rsid w:val="00BA0185"/>
    <w:rsid w:val="00BA0301"/>
    <w:rsid w:val="00BA03B7"/>
    <w:rsid w:val="00BA057A"/>
    <w:rsid w:val="00BA0582"/>
    <w:rsid w:val="00BA0638"/>
    <w:rsid w:val="00BA066C"/>
    <w:rsid w:val="00BA06A6"/>
    <w:rsid w:val="00BA0907"/>
    <w:rsid w:val="00BA096D"/>
    <w:rsid w:val="00BA0A44"/>
    <w:rsid w:val="00BA0DE5"/>
    <w:rsid w:val="00BA0FF2"/>
    <w:rsid w:val="00BA102F"/>
    <w:rsid w:val="00BA11A3"/>
    <w:rsid w:val="00BA1385"/>
    <w:rsid w:val="00BA14C0"/>
    <w:rsid w:val="00BA1607"/>
    <w:rsid w:val="00BA1620"/>
    <w:rsid w:val="00BA1957"/>
    <w:rsid w:val="00BA19A3"/>
    <w:rsid w:val="00BA1A3F"/>
    <w:rsid w:val="00BA1B73"/>
    <w:rsid w:val="00BA1C92"/>
    <w:rsid w:val="00BA1D5E"/>
    <w:rsid w:val="00BA2038"/>
    <w:rsid w:val="00BA2044"/>
    <w:rsid w:val="00BA20DA"/>
    <w:rsid w:val="00BA2182"/>
    <w:rsid w:val="00BA2324"/>
    <w:rsid w:val="00BA23C2"/>
    <w:rsid w:val="00BA245E"/>
    <w:rsid w:val="00BA25BB"/>
    <w:rsid w:val="00BA267D"/>
    <w:rsid w:val="00BA269A"/>
    <w:rsid w:val="00BA278C"/>
    <w:rsid w:val="00BA29A0"/>
    <w:rsid w:val="00BA2A2A"/>
    <w:rsid w:val="00BA2ADD"/>
    <w:rsid w:val="00BA2C0A"/>
    <w:rsid w:val="00BA2D41"/>
    <w:rsid w:val="00BA2DA0"/>
    <w:rsid w:val="00BA2DB8"/>
    <w:rsid w:val="00BA2E54"/>
    <w:rsid w:val="00BA2E94"/>
    <w:rsid w:val="00BA2EAD"/>
    <w:rsid w:val="00BA2EC4"/>
    <w:rsid w:val="00BA3240"/>
    <w:rsid w:val="00BA343F"/>
    <w:rsid w:val="00BA3711"/>
    <w:rsid w:val="00BA393B"/>
    <w:rsid w:val="00BA394C"/>
    <w:rsid w:val="00BA39DF"/>
    <w:rsid w:val="00BA3A8E"/>
    <w:rsid w:val="00BA3AAA"/>
    <w:rsid w:val="00BA3AF3"/>
    <w:rsid w:val="00BA3BFC"/>
    <w:rsid w:val="00BA3C52"/>
    <w:rsid w:val="00BA3D2C"/>
    <w:rsid w:val="00BA3D49"/>
    <w:rsid w:val="00BA3E45"/>
    <w:rsid w:val="00BA3EBD"/>
    <w:rsid w:val="00BA409E"/>
    <w:rsid w:val="00BA40A4"/>
    <w:rsid w:val="00BA40FE"/>
    <w:rsid w:val="00BA4425"/>
    <w:rsid w:val="00BA49D5"/>
    <w:rsid w:val="00BA4C4A"/>
    <w:rsid w:val="00BA4DAB"/>
    <w:rsid w:val="00BA4DDA"/>
    <w:rsid w:val="00BA4E60"/>
    <w:rsid w:val="00BA4EBA"/>
    <w:rsid w:val="00BA5147"/>
    <w:rsid w:val="00BA5274"/>
    <w:rsid w:val="00BA5400"/>
    <w:rsid w:val="00BA5413"/>
    <w:rsid w:val="00BA5576"/>
    <w:rsid w:val="00BA563B"/>
    <w:rsid w:val="00BA5781"/>
    <w:rsid w:val="00BA58E6"/>
    <w:rsid w:val="00BA58F6"/>
    <w:rsid w:val="00BA5976"/>
    <w:rsid w:val="00BA5A5F"/>
    <w:rsid w:val="00BA5A6C"/>
    <w:rsid w:val="00BA5AEE"/>
    <w:rsid w:val="00BA5B3F"/>
    <w:rsid w:val="00BA5D4D"/>
    <w:rsid w:val="00BA5F70"/>
    <w:rsid w:val="00BA6076"/>
    <w:rsid w:val="00BA60DA"/>
    <w:rsid w:val="00BA63D2"/>
    <w:rsid w:val="00BA6436"/>
    <w:rsid w:val="00BA65C9"/>
    <w:rsid w:val="00BA6696"/>
    <w:rsid w:val="00BA66F4"/>
    <w:rsid w:val="00BA6746"/>
    <w:rsid w:val="00BA68A2"/>
    <w:rsid w:val="00BA68C3"/>
    <w:rsid w:val="00BA69D1"/>
    <w:rsid w:val="00BA6CE6"/>
    <w:rsid w:val="00BA6D26"/>
    <w:rsid w:val="00BA704C"/>
    <w:rsid w:val="00BA7333"/>
    <w:rsid w:val="00BA73E2"/>
    <w:rsid w:val="00BA73FC"/>
    <w:rsid w:val="00BA74BB"/>
    <w:rsid w:val="00BA74F5"/>
    <w:rsid w:val="00BA756C"/>
    <w:rsid w:val="00BA778B"/>
    <w:rsid w:val="00BA77A0"/>
    <w:rsid w:val="00BA795E"/>
    <w:rsid w:val="00BA7AE5"/>
    <w:rsid w:val="00BA7B3A"/>
    <w:rsid w:val="00BA7C7D"/>
    <w:rsid w:val="00BA7E52"/>
    <w:rsid w:val="00BA7E8D"/>
    <w:rsid w:val="00BA7E90"/>
    <w:rsid w:val="00BA7FB9"/>
    <w:rsid w:val="00BA7FE3"/>
    <w:rsid w:val="00BB0077"/>
    <w:rsid w:val="00BB02C9"/>
    <w:rsid w:val="00BB0515"/>
    <w:rsid w:val="00BB054B"/>
    <w:rsid w:val="00BB0699"/>
    <w:rsid w:val="00BB06E7"/>
    <w:rsid w:val="00BB0725"/>
    <w:rsid w:val="00BB0AC8"/>
    <w:rsid w:val="00BB0B96"/>
    <w:rsid w:val="00BB0BE3"/>
    <w:rsid w:val="00BB0D98"/>
    <w:rsid w:val="00BB0E86"/>
    <w:rsid w:val="00BB10F7"/>
    <w:rsid w:val="00BB1339"/>
    <w:rsid w:val="00BB1496"/>
    <w:rsid w:val="00BB1789"/>
    <w:rsid w:val="00BB1A7B"/>
    <w:rsid w:val="00BB1AF9"/>
    <w:rsid w:val="00BB1C4D"/>
    <w:rsid w:val="00BB1E96"/>
    <w:rsid w:val="00BB1F3E"/>
    <w:rsid w:val="00BB20D0"/>
    <w:rsid w:val="00BB22B5"/>
    <w:rsid w:val="00BB2349"/>
    <w:rsid w:val="00BB26A7"/>
    <w:rsid w:val="00BB27C4"/>
    <w:rsid w:val="00BB2841"/>
    <w:rsid w:val="00BB28AA"/>
    <w:rsid w:val="00BB2A3B"/>
    <w:rsid w:val="00BB2BEC"/>
    <w:rsid w:val="00BB2CFC"/>
    <w:rsid w:val="00BB2FF5"/>
    <w:rsid w:val="00BB30C4"/>
    <w:rsid w:val="00BB3109"/>
    <w:rsid w:val="00BB335F"/>
    <w:rsid w:val="00BB3382"/>
    <w:rsid w:val="00BB33B0"/>
    <w:rsid w:val="00BB3537"/>
    <w:rsid w:val="00BB35C5"/>
    <w:rsid w:val="00BB35EC"/>
    <w:rsid w:val="00BB3617"/>
    <w:rsid w:val="00BB3BCC"/>
    <w:rsid w:val="00BB3D49"/>
    <w:rsid w:val="00BB3F27"/>
    <w:rsid w:val="00BB41A9"/>
    <w:rsid w:val="00BB4320"/>
    <w:rsid w:val="00BB4389"/>
    <w:rsid w:val="00BB4781"/>
    <w:rsid w:val="00BB47D5"/>
    <w:rsid w:val="00BB4856"/>
    <w:rsid w:val="00BB492E"/>
    <w:rsid w:val="00BB4A2C"/>
    <w:rsid w:val="00BB4A4A"/>
    <w:rsid w:val="00BB4D56"/>
    <w:rsid w:val="00BB4D94"/>
    <w:rsid w:val="00BB4E30"/>
    <w:rsid w:val="00BB4E48"/>
    <w:rsid w:val="00BB4E7E"/>
    <w:rsid w:val="00BB4E95"/>
    <w:rsid w:val="00BB4EBA"/>
    <w:rsid w:val="00BB4F27"/>
    <w:rsid w:val="00BB514B"/>
    <w:rsid w:val="00BB514C"/>
    <w:rsid w:val="00BB5297"/>
    <w:rsid w:val="00BB53A0"/>
    <w:rsid w:val="00BB5410"/>
    <w:rsid w:val="00BB5567"/>
    <w:rsid w:val="00BB5782"/>
    <w:rsid w:val="00BB596D"/>
    <w:rsid w:val="00BB5B09"/>
    <w:rsid w:val="00BB5B4C"/>
    <w:rsid w:val="00BB5CDD"/>
    <w:rsid w:val="00BB5D48"/>
    <w:rsid w:val="00BB5F6C"/>
    <w:rsid w:val="00BB5FAF"/>
    <w:rsid w:val="00BB5FD5"/>
    <w:rsid w:val="00BB65BC"/>
    <w:rsid w:val="00BB65D4"/>
    <w:rsid w:val="00BB6764"/>
    <w:rsid w:val="00BB690C"/>
    <w:rsid w:val="00BB6976"/>
    <w:rsid w:val="00BB69B3"/>
    <w:rsid w:val="00BB69BC"/>
    <w:rsid w:val="00BB6E58"/>
    <w:rsid w:val="00BB6F9E"/>
    <w:rsid w:val="00BB710B"/>
    <w:rsid w:val="00BB71C5"/>
    <w:rsid w:val="00BB741A"/>
    <w:rsid w:val="00BB7444"/>
    <w:rsid w:val="00BB7882"/>
    <w:rsid w:val="00BB7A16"/>
    <w:rsid w:val="00BB7C6E"/>
    <w:rsid w:val="00BB7E52"/>
    <w:rsid w:val="00BB7F27"/>
    <w:rsid w:val="00BB7F28"/>
    <w:rsid w:val="00BB7F65"/>
    <w:rsid w:val="00BC000D"/>
    <w:rsid w:val="00BC0151"/>
    <w:rsid w:val="00BC054B"/>
    <w:rsid w:val="00BC05FA"/>
    <w:rsid w:val="00BC06C8"/>
    <w:rsid w:val="00BC07A9"/>
    <w:rsid w:val="00BC08A6"/>
    <w:rsid w:val="00BC0A78"/>
    <w:rsid w:val="00BC0BF8"/>
    <w:rsid w:val="00BC0D3C"/>
    <w:rsid w:val="00BC0F5D"/>
    <w:rsid w:val="00BC1024"/>
    <w:rsid w:val="00BC1144"/>
    <w:rsid w:val="00BC12FD"/>
    <w:rsid w:val="00BC13E1"/>
    <w:rsid w:val="00BC140A"/>
    <w:rsid w:val="00BC1491"/>
    <w:rsid w:val="00BC14F6"/>
    <w:rsid w:val="00BC1616"/>
    <w:rsid w:val="00BC17F0"/>
    <w:rsid w:val="00BC1D81"/>
    <w:rsid w:val="00BC1E71"/>
    <w:rsid w:val="00BC1EA1"/>
    <w:rsid w:val="00BC21F3"/>
    <w:rsid w:val="00BC22E2"/>
    <w:rsid w:val="00BC237A"/>
    <w:rsid w:val="00BC238F"/>
    <w:rsid w:val="00BC23A3"/>
    <w:rsid w:val="00BC2477"/>
    <w:rsid w:val="00BC2533"/>
    <w:rsid w:val="00BC2599"/>
    <w:rsid w:val="00BC2785"/>
    <w:rsid w:val="00BC283A"/>
    <w:rsid w:val="00BC28FA"/>
    <w:rsid w:val="00BC2A99"/>
    <w:rsid w:val="00BC2EEA"/>
    <w:rsid w:val="00BC2FC2"/>
    <w:rsid w:val="00BC304C"/>
    <w:rsid w:val="00BC308F"/>
    <w:rsid w:val="00BC325F"/>
    <w:rsid w:val="00BC3274"/>
    <w:rsid w:val="00BC33BB"/>
    <w:rsid w:val="00BC33CD"/>
    <w:rsid w:val="00BC33DF"/>
    <w:rsid w:val="00BC343D"/>
    <w:rsid w:val="00BC35C8"/>
    <w:rsid w:val="00BC3745"/>
    <w:rsid w:val="00BC380E"/>
    <w:rsid w:val="00BC3851"/>
    <w:rsid w:val="00BC390E"/>
    <w:rsid w:val="00BC3924"/>
    <w:rsid w:val="00BC399C"/>
    <w:rsid w:val="00BC3A12"/>
    <w:rsid w:val="00BC3ACB"/>
    <w:rsid w:val="00BC3B48"/>
    <w:rsid w:val="00BC3C78"/>
    <w:rsid w:val="00BC3C9E"/>
    <w:rsid w:val="00BC3E4A"/>
    <w:rsid w:val="00BC3F9A"/>
    <w:rsid w:val="00BC4249"/>
    <w:rsid w:val="00BC4336"/>
    <w:rsid w:val="00BC45DC"/>
    <w:rsid w:val="00BC4669"/>
    <w:rsid w:val="00BC4768"/>
    <w:rsid w:val="00BC47BD"/>
    <w:rsid w:val="00BC4CEB"/>
    <w:rsid w:val="00BC4D53"/>
    <w:rsid w:val="00BC4DBF"/>
    <w:rsid w:val="00BC4E0E"/>
    <w:rsid w:val="00BC4E89"/>
    <w:rsid w:val="00BC4EA6"/>
    <w:rsid w:val="00BC5075"/>
    <w:rsid w:val="00BC50C9"/>
    <w:rsid w:val="00BC5105"/>
    <w:rsid w:val="00BC522F"/>
    <w:rsid w:val="00BC548F"/>
    <w:rsid w:val="00BC5524"/>
    <w:rsid w:val="00BC5687"/>
    <w:rsid w:val="00BC569C"/>
    <w:rsid w:val="00BC57FF"/>
    <w:rsid w:val="00BC5937"/>
    <w:rsid w:val="00BC5968"/>
    <w:rsid w:val="00BC59C6"/>
    <w:rsid w:val="00BC5B5E"/>
    <w:rsid w:val="00BC5B8B"/>
    <w:rsid w:val="00BC5C03"/>
    <w:rsid w:val="00BC5CDA"/>
    <w:rsid w:val="00BC5D89"/>
    <w:rsid w:val="00BC5F56"/>
    <w:rsid w:val="00BC5FDA"/>
    <w:rsid w:val="00BC5FED"/>
    <w:rsid w:val="00BC6046"/>
    <w:rsid w:val="00BC61C0"/>
    <w:rsid w:val="00BC620C"/>
    <w:rsid w:val="00BC63DE"/>
    <w:rsid w:val="00BC63F1"/>
    <w:rsid w:val="00BC6672"/>
    <w:rsid w:val="00BC6922"/>
    <w:rsid w:val="00BC6A9A"/>
    <w:rsid w:val="00BC6B2E"/>
    <w:rsid w:val="00BC6B3E"/>
    <w:rsid w:val="00BC6D9B"/>
    <w:rsid w:val="00BC6F44"/>
    <w:rsid w:val="00BC6FFB"/>
    <w:rsid w:val="00BC707A"/>
    <w:rsid w:val="00BC70C2"/>
    <w:rsid w:val="00BC720A"/>
    <w:rsid w:val="00BC7418"/>
    <w:rsid w:val="00BC77A0"/>
    <w:rsid w:val="00BC789D"/>
    <w:rsid w:val="00BC7A29"/>
    <w:rsid w:val="00BC7A87"/>
    <w:rsid w:val="00BC7E43"/>
    <w:rsid w:val="00BC7F6E"/>
    <w:rsid w:val="00BD017D"/>
    <w:rsid w:val="00BD01E8"/>
    <w:rsid w:val="00BD02D3"/>
    <w:rsid w:val="00BD085A"/>
    <w:rsid w:val="00BD0884"/>
    <w:rsid w:val="00BD0BF9"/>
    <w:rsid w:val="00BD0C2F"/>
    <w:rsid w:val="00BD0D72"/>
    <w:rsid w:val="00BD0EE6"/>
    <w:rsid w:val="00BD10C9"/>
    <w:rsid w:val="00BD10D7"/>
    <w:rsid w:val="00BD1149"/>
    <w:rsid w:val="00BD11D8"/>
    <w:rsid w:val="00BD157F"/>
    <w:rsid w:val="00BD16A9"/>
    <w:rsid w:val="00BD17C9"/>
    <w:rsid w:val="00BD17D3"/>
    <w:rsid w:val="00BD17E2"/>
    <w:rsid w:val="00BD1914"/>
    <w:rsid w:val="00BD19D9"/>
    <w:rsid w:val="00BD1BB1"/>
    <w:rsid w:val="00BD1BEC"/>
    <w:rsid w:val="00BD1E68"/>
    <w:rsid w:val="00BD1EF0"/>
    <w:rsid w:val="00BD1F3D"/>
    <w:rsid w:val="00BD20FE"/>
    <w:rsid w:val="00BD21A8"/>
    <w:rsid w:val="00BD221E"/>
    <w:rsid w:val="00BD2277"/>
    <w:rsid w:val="00BD2439"/>
    <w:rsid w:val="00BD244C"/>
    <w:rsid w:val="00BD24F1"/>
    <w:rsid w:val="00BD27CC"/>
    <w:rsid w:val="00BD28E2"/>
    <w:rsid w:val="00BD2929"/>
    <w:rsid w:val="00BD2934"/>
    <w:rsid w:val="00BD2B67"/>
    <w:rsid w:val="00BD2E29"/>
    <w:rsid w:val="00BD2F60"/>
    <w:rsid w:val="00BD3084"/>
    <w:rsid w:val="00BD322A"/>
    <w:rsid w:val="00BD32AD"/>
    <w:rsid w:val="00BD338D"/>
    <w:rsid w:val="00BD33CA"/>
    <w:rsid w:val="00BD350A"/>
    <w:rsid w:val="00BD37C8"/>
    <w:rsid w:val="00BD39D7"/>
    <w:rsid w:val="00BD39E4"/>
    <w:rsid w:val="00BD402B"/>
    <w:rsid w:val="00BD4259"/>
    <w:rsid w:val="00BD429F"/>
    <w:rsid w:val="00BD4348"/>
    <w:rsid w:val="00BD4426"/>
    <w:rsid w:val="00BD44A2"/>
    <w:rsid w:val="00BD453D"/>
    <w:rsid w:val="00BD4578"/>
    <w:rsid w:val="00BD4761"/>
    <w:rsid w:val="00BD4A20"/>
    <w:rsid w:val="00BD4A42"/>
    <w:rsid w:val="00BD4ACC"/>
    <w:rsid w:val="00BD4AEE"/>
    <w:rsid w:val="00BD4BA0"/>
    <w:rsid w:val="00BD4C80"/>
    <w:rsid w:val="00BD4D35"/>
    <w:rsid w:val="00BD4E11"/>
    <w:rsid w:val="00BD5713"/>
    <w:rsid w:val="00BD5833"/>
    <w:rsid w:val="00BD5893"/>
    <w:rsid w:val="00BD5921"/>
    <w:rsid w:val="00BD5B23"/>
    <w:rsid w:val="00BD5C4B"/>
    <w:rsid w:val="00BD5D61"/>
    <w:rsid w:val="00BD5DCC"/>
    <w:rsid w:val="00BD5EC2"/>
    <w:rsid w:val="00BD5FF4"/>
    <w:rsid w:val="00BD6114"/>
    <w:rsid w:val="00BD61A4"/>
    <w:rsid w:val="00BD61F4"/>
    <w:rsid w:val="00BD62B0"/>
    <w:rsid w:val="00BD648C"/>
    <w:rsid w:val="00BD66D9"/>
    <w:rsid w:val="00BD66F6"/>
    <w:rsid w:val="00BD67BF"/>
    <w:rsid w:val="00BD6930"/>
    <w:rsid w:val="00BD6AEC"/>
    <w:rsid w:val="00BD6B50"/>
    <w:rsid w:val="00BD6BDF"/>
    <w:rsid w:val="00BD6C6C"/>
    <w:rsid w:val="00BD6DF6"/>
    <w:rsid w:val="00BD6F35"/>
    <w:rsid w:val="00BD6FF9"/>
    <w:rsid w:val="00BD7397"/>
    <w:rsid w:val="00BD7783"/>
    <w:rsid w:val="00BD7A5F"/>
    <w:rsid w:val="00BD7AA6"/>
    <w:rsid w:val="00BD7D1F"/>
    <w:rsid w:val="00BD7E26"/>
    <w:rsid w:val="00BD7E6E"/>
    <w:rsid w:val="00BD7FBF"/>
    <w:rsid w:val="00BE06B6"/>
    <w:rsid w:val="00BE06F7"/>
    <w:rsid w:val="00BE073C"/>
    <w:rsid w:val="00BE07BE"/>
    <w:rsid w:val="00BE09DA"/>
    <w:rsid w:val="00BE0ABC"/>
    <w:rsid w:val="00BE0BA9"/>
    <w:rsid w:val="00BE0C7B"/>
    <w:rsid w:val="00BE0C9D"/>
    <w:rsid w:val="00BE0CF5"/>
    <w:rsid w:val="00BE0E18"/>
    <w:rsid w:val="00BE0FE2"/>
    <w:rsid w:val="00BE11E6"/>
    <w:rsid w:val="00BE1453"/>
    <w:rsid w:val="00BE14EE"/>
    <w:rsid w:val="00BE17C3"/>
    <w:rsid w:val="00BE18CB"/>
    <w:rsid w:val="00BE1ACB"/>
    <w:rsid w:val="00BE1B0C"/>
    <w:rsid w:val="00BE1D22"/>
    <w:rsid w:val="00BE1F8C"/>
    <w:rsid w:val="00BE2048"/>
    <w:rsid w:val="00BE22EB"/>
    <w:rsid w:val="00BE266F"/>
    <w:rsid w:val="00BE2934"/>
    <w:rsid w:val="00BE29E7"/>
    <w:rsid w:val="00BE2AD0"/>
    <w:rsid w:val="00BE2BD0"/>
    <w:rsid w:val="00BE2D35"/>
    <w:rsid w:val="00BE2D65"/>
    <w:rsid w:val="00BE2DFA"/>
    <w:rsid w:val="00BE2E40"/>
    <w:rsid w:val="00BE2EF2"/>
    <w:rsid w:val="00BE2F53"/>
    <w:rsid w:val="00BE30A6"/>
    <w:rsid w:val="00BE32AE"/>
    <w:rsid w:val="00BE3335"/>
    <w:rsid w:val="00BE3381"/>
    <w:rsid w:val="00BE3550"/>
    <w:rsid w:val="00BE366E"/>
    <w:rsid w:val="00BE3689"/>
    <w:rsid w:val="00BE3B54"/>
    <w:rsid w:val="00BE3C03"/>
    <w:rsid w:val="00BE3DBB"/>
    <w:rsid w:val="00BE3E27"/>
    <w:rsid w:val="00BE44A7"/>
    <w:rsid w:val="00BE458F"/>
    <w:rsid w:val="00BE4605"/>
    <w:rsid w:val="00BE469E"/>
    <w:rsid w:val="00BE46C8"/>
    <w:rsid w:val="00BE4712"/>
    <w:rsid w:val="00BE480A"/>
    <w:rsid w:val="00BE486B"/>
    <w:rsid w:val="00BE4A01"/>
    <w:rsid w:val="00BE4C05"/>
    <w:rsid w:val="00BE4D14"/>
    <w:rsid w:val="00BE4F6A"/>
    <w:rsid w:val="00BE4FC5"/>
    <w:rsid w:val="00BE518F"/>
    <w:rsid w:val="00BE53D1"/>
    <w:rsid w:val="00BE5587"/>
    <w:rsid w:val="00BE5641"/>
    <w:rsid w:val="00BE58A8"/>
    <w:rsid w:val="00BE59CF"/>
    <w:rsid w:val="00BE5B2D"/>
    <w:rsid w:val="00BE5B5C"/>
    <w:rsid w:val="00BE5C1E"/>
    <w:rsid w:val="00BE5C5E"/>
    <w:rsid w:val="00BE5C91"/>
    <w:rsid w:val="00BE5D5C"/>
    <w:rsid w:val="00BE5E91"/>
    <w:rsid w:val="00BE5EEF"/>
    <w:rsid w:val="00BE6014"/>
    <w:rsid w:val="00BE6603"/>
    <w:rsid w:val="00BE67CC"/>
    <w:rsid w:val="00BE68D9"/>
    <w:rsid w:val="00BE6BA0"/>
    <w:rsid w:val="00BE6C72"/>
    <w:rsid w:val="00BE6C99"/>
    <w:rsid w:val="00BE6E89"/>
    <w:rsid w:val="00BE71F2"/>
    <w:rsid w:val="00BE724F"/>
    <w:rsid w:val="00BE72A9"/>
    <w:rsid w:val="00BE72E9"/>
    <w:rsid w:val="00BE7591"/>
    <w:rsid w:val="00BE764C"/>
    <w:rsid w:val="00BE7713"/>
    <w:rsid w:val="00BE77AC"/>
    <w:rsid w:val="00BE7A1E"/>
    <w:rsid w:val="00BE7B45"/>
    <w:rsid w:val="00BE7B82"/>
    <w:rsid w:val="00BE7BB8"/>
    <w:rsid w:val="00BE7C9D"/>
    <w:rsid w:val="00BE7CED"/>
    <w:rsid w:val="00BE7E56"/>
    <w:rsid w:val="00BE7EFE"/>
    <w:rsid w:val="00BF01EE"/>
    <w:rsid w:val="00BF0218"/>
    <w:rsid w:val="00BF0287"/>
    <w:rsid w:val="00BF04BA"/>
    <w:rsid w:val="00BF04F9"/>
    <w:rsid w:val="00BF053F"/>
    <w:rsid w:val="00BF09C2"/>
    <w:rsid w:val="00BF0A51"/>
    <w:rsid w:val="00BF0AD9"/>
    <w:rsid w:val="00BF0C99"/>
    <w:rsid w:val="00BF0CAB"/>
    <w:rsid w:val="00BF0D52"/>
    <w:rsid w:val="00BF0F2F"/>
    <w:rsid w:val="00BF100A"/>
    <w:rsid w:val="00BF1042"/>
    <w:rsid w:val="00BF11F2"/>
    <w:rsid w:val="00BF12B1"/>
    <w:rsid w:val="00BF12C7"/>
    <w:rsid w:val="00BF1511"/>
    <w:rsid w:val="00BF16C6"/>
    <w:rsid w:val="00BF1802"/>
    <w:rsid w:val="00BF19F5"/>
    <w:rsid w:val="00BF1A6A"/>
    <w:rsid w:val="00BF1C51"/>
    <w:rsid w:val="00BF1CA8"/>
    <w:rsid w:val="00BF1FBE"/>
    <w:rsid w:val="00BF20E2"/>
    <w:rsid w:val="00BF20E5"/>
    <w:rsid w:val="00BF2131"/>
    <w:rsid w:val="00BF2133"/>
    <w:rsid w:val="00BF21C4"/>
    <w:rsid w:val="00BF222F"/>
    <w:rsid w:val="00BF240D"/>
    <w:rsid w:val="00BF2543"/>
    <w:rsid w:val="00BF257E"/>
    <w:rsid w:val="00BF2675"/>
    <w:rsid w:val="00BF26B0"/>
    <w:rsid w:val="00BF27F1"/>
    <w:rsid w:val="00BF2A39"/>
    <w:rsid w:val="00BF2A68"/>
    <w:rsid w:val="00BF2BFF"/>
    <w:rsid w:val="00BF2D62"/>
    <w:rsid w:val="00BF2FDF"/>
    <w:rsid w:val="00BF32DE"/>
    <w:rsid w:val="00BF33D8"/>
    <w:rsid w:val="00BF3411"/>
    <w:rsid w:val="00BF3427"/>
    <w:rsid w:val="00BF3430"/>
    <w:rsid w:val="00BF3661"/>
    <w:rsid w:val="00BF3768"/>
    <w:rsid w:val="00BF3B9C"/>
    <w:rsid w:val="00BF3BD5"/>
    <w:rsid w:val="00BF3C5C"/>
    <w:rsid w:val="00BF3C8D"/>
    <w:rsid w:val="00BF3DC5"/>
    <w:rsid w:val="00BF3DDA"/>
    <w:rsid w:val="00BF3EC6"/>
    <w:rsid w:val="00BF3FA2"/>
    <w:rsid w:val="00BF40C6"/>
    <w:rsid w:val="00BF42F3"/>
    <w:rsid w:val="00BF46D8"/>
    <w:rsid w:val="00BF4B2B"/>
    <w:rsid w:val="00BF4B37"/>
    <w:rsid w:val="00BF4CEE"/>
    <w:rsid w:val="00BF4CF1"/>
    <w:rsid w:val="00BF4D0D"/>
    <w:rsid w:val="00BF4DD9"/>
    <w:rsid w:val="00BF4E62"/>
    <w:rsid w:val="00BF4EA6"/>
    <w:rsid w:val="00BF4F7D"/>
    <w:rsid w:val="00BF5196"/>
    <w:rsid w:val="00BF5224"/>
    <w:rsid w:val="00BF531C"/>
    <w:rsid w:val="00BF544B"/>
    <w:rsid w:val="00BF5577"/>
    <w:rsid w:val="00BF5802"/>
    <w:rsid w:val="00BF5BE6"/>
    <w:rsid w:val="00BF5CF0"/>
    <w:rsid w:val="00BF5D00"/>
    <w:rsid w:val="00BF5D24"/>
    <w:rsid w:val="00BF5DEF"/>
    <w:rsid w:val="00BF5E15"/>
    <w:rsid w:val="00BF5E32"/>
    <w:rsid w:val="00BF5F91"/>
    <w:rsid w:val="00BF5FD9"/>
    <w:rsid w:val="00BF6003"/>
    <w:rsid w:val="00BF6017"/>
    <w:rsid w:val="00BF630F"/>
    <w:rsid w:val="00BF63EF"/>
    <w:rsid w:val="00BF6439"/>
    <w:rsid w:val="00BF65F6"/>
    <w:rsid w:val="00BF662A"/>
    <w:rsid w:val="00BF66F5"/>
    <w:rsid w:val="00BF68BC"/>
    <w:rsid w:val="00BF68ED"/>
    <w:rsid w:val="00BF68F6"/>
    <w:rsid w:val="00BF69B8"/>
    <w:rsid w:val="00BF6A51"/>
    <w:rsid w:val="00BF6AAC"/>
    <w:rsid w:val="00BF6F6C"/>
    <w:rsid w:val="00BF6F81"/>
    <w:rsid w:val="00BF726E"/>
    <w:rsid w:val="00BF729B"/>
    <w:rsid w:val="00BF7321"/>
    <w:rsid w:val="00BF74F6"/>
    <w:rsid w:val="00BF765B"/>
    <w:rsid w:val="00BF76B5"/>
    <w:rsid w:val="00BF7764"/>
    <w:rsid w:val="00BF78BA"/>
    <w:rsid w:val="00BF78C4"/>
    <w:rsid w:val="00BF795E"/>
    <w:rsid w:val="00BF7ACA"/>
    <w:rsid w:val="00BF7B1A"/>
    <w:rsid w:val="00BF7CBF"/>
    <w:rsid w:val="00BF7DF9"/>
    <w:rsid w:val="00BF7FCD"/>
    <w:rsid w:val="00C0009E"/>
    <w:rsid w:val="00C00118"/>
    <w:rsid w:val="00C00127"/>
    <w:rsid w:val="00C001FD"/>
    <w:rsid w:val="00C003C1"/>
    <w:rsid w:val="00C00435"/>
    <w:rsid w:val="00C0073A"/>
    <w:rsid w:val="00C00817"/>
    <w:rsid w:val="00C00D9C"/>
    <w:rsid w:val="00C0105A"/>
    <w:rsid w:val="00C0111A"/>
    <w:rsid w:val="00C0113E"/>
    <w:rsid w:val="00C01152"/>
    <w:rsid w:val="00C0125A"/>
    <w:rsid w:val="00C015A7"/>
    <w:rsid w:val="00C015B2"/>
    <w:rsid w:val="00C016B3"/>
    <w:rsid w:val="00C016DC"/>
    <w:rsid w:val="00C01786"/>
    <w:rsid w:val="00C01AAF"/>
    <w:rsid w:val="00C01F1A"/>
    <w:rsid w:val="00C0211B"/>
    <w:rsid w:val="00C021E4"/>
    <w:rsid w:val="00C0227C"/>
    <w:rsid w:val="00C0236A"/>
    <w:rsid w:val="00C023AA"/>
    <w:rsid w:val="00C023AD"/>
    <w:rsid w:val="00C02624"/>
    <w:rsid w:val="00C026EC"/>
    <w:rsid w:val="00C0274E"/>
    <w:rsid w:val="00C0280D"/>
    <w:rsid w:val="00C02A80"/>
    <w:rsid w:val="00C02A9A"/>
    <w:rsid w:val="00C02C2B"/>
    <w:rsid w:val="00C02CE6"/>
    <w:rsid w:val="00C02EB3"/>
    <w:rsid w:val="00C0321A"/>
    <w:rsid w:val="00C0321E"/>
    <w:rsid w:val="00C03243"/>
    <w:rsid w:val="00C0326B"/>
    <w:rsid w:val="00C0326E"/>
    <w:rsid w:val="00C0333A"/>
    <w:rsid w:val="00C0336A"/>
    <w:rsid w:val="00C03512"/>
    <w:rsid w:val="00C03737"/>
    <w:rsid w:val="00C03993"/>
    <w:rsid w:val="00C03B0F"/>
    <w:rsid w:val="00C03D0D"/>
    <w:rsid w:val="00C03D64"/>
    <w:rsid w:val="00C03D67"/>
    <w:rsid w:val="00C0410B"/>
    <w:rsid w:val="00C04239"/>
    <w:rsid w:val="00C0444F"/>
    <w:rsid w:val="00C04691"/>
    <w:rsid w:val="00C046AD"/>
    <w:rsid w:val="00C048FC"/>
    <w:rsid w:val="00C04A75"/>
    <w:rsid w:val="00C04AB6"/>
    <w:rsid w:val="00C04F73"/>
    <w:rsid w:val="00C05070"/>
    <w:rsid w:val="00C0508C"/>
    <w:rsid w:val="00C05097"/>
    <w:rsid w:val="00C05282"/>
    <w:rsid w:val="00C052DF"/>
    <w:rsid w:val="00C054B0"/>
    <w:rsid w:val="00C054E1"/>
    <w:rsid w:val="00C05510"/>
    <w:rsid w:val="00C05655"/>
    <w:rsid w:val="00C057EE"/>
    <w:rsid w:val="00C0593A"/>
    <w:rsid w:val="00C05B1F"/>
    <w:rsid w:val="00C05BEA"/>
    <w:rsid w:val="00C05C18"/>
    <w:rsid w:val="00C05C53"/>
    <w:rsid w:val="00C05C88"/>
    <w:rsid w:val="00C05D68"/>
    <w:rsid w:val="00C05E6E"/>
    <w:rsid w:val="00C05F99"/>
    <w:rsid w:val="00C06446"/>
    <w:rsid w:val="00C06657"/>
    <w:rsid w:val="00C06753"/>
    <w:rsid w:val="00C0690A"/>
    <w:rsid w:val="00C069EB"/>
    <w:rsid w:val="00C06D0D"/>
    <w:rsid w:val="00C06E0F"/>
    <w:rsid w:val="00C06E82"/>
    <w:rsid w:val="00C06E87"/>
    <w:rsid w:val="00C06F05"/>
    <w:rsid w:val="00C07044"/>
    <w:rsid w:val="00C071FD"/>
    <w:rsid w:val="00C07504"/>
    <w:rsid w:val="00C075C3"/>
    <w:rsid w:val="00C0771A"/>
    <w:rsid w:val="00C077EC"/>
    <w:rsid w:val="00C07806"/>
    <w:rsid w:val="00C0788F"/>
    <w:rsid w:val="00C0798F"/>
    <w:rsid w:val="00C07D32"/>
    <w:rsid w:val="00C07D40"/>
    <w:rsid w:val="00C07DE3"/>
    <w:rsid w:val="00C07F0C"/>
    <w:rsid w:val="00C07F33"/>
    <w:rsid w:val="00C07F58"/>
    <w:rsid w:val="00C1001C"/>
    <w:rsid w:val="00C1036F"/>
    <w:rsid w:val="00C1038A"/>
    <w:rsid w:val="00C10458"/>
    <w:rsid w:val="00C10462"/>
    <w:rsid w:val="00C105DB"/>
    <w:rsid w:val="00C10644"/>
    <w:rsid w:val="00C106C8"/>
    <w:rsid w:val="00C10B93"/>
    <w:rsid w:val="00C10CAA"/>
    <w:rsid w:val="00C10E38"/>
    <w:rsid w:val="00C10F26"/>
    <w:rsid w:val="00C10F5D"/>
    <w:rsid w:val="00C11097"/>
    <w:rsid w:val="00C110A8"/>
    <w:rsid w:val="00C110D9"/>
    <w:rsid w:val="00C11111"/>
    <w:rsid w:val="00C1112A"/>
    <w:rsid w:val="00C1133A"/>
    <w:rsid w:val="00C11365"/>
    <w:rsid w:val="00C11556"/>
    <w:rsid w:val="00C115F4"/>
    <w:rsid w:val="00C11641"/>
    <w:rsid w:val="00C11B7D"/>
    <w:rsid w:val="00C11BC6"/>
    <w:rsid w:val="00C11C71"/>
    <w:rsid w:val="00C11DD8"/>
    <w:rsid w:val="00C126F7"/>
    <w:rsid w:val="00C1274C"/>
    <w:rsid w:val="00C127E8"/>
    <w:rsid w:val="00C128E7"/>
    <w:rsid w:val="00C12972"/>
    <w:rsid w:val="00C12AD1"/>
    <w:rsid w:val="00C12B2F"/>
    <w:rsid w:val="00C12B40"/>
    <w:rsid w:val="00C12B81"/>
    <w:rsid w:val="00C12D24"/>
    <w:rsid w:val="00C12D98"/>
    <w:rsid w:val="00C12E7C"/>
    <w:rsid w:val="00C13028"/>
    <w:rsid w:val="00C1305B"/>
    <w:rsid w:val="00C1333E"/>
    <w:rsid w:val="00C1349E"/>
    <w:rsid w:val="00C1390A"/>
    <w:rsid w:val="00C13A3B"/>
    <w:rsid w:val="00C13A67"/>
    <w:rsid w:val="00C13A92"/>
    <w:rsid w:val="00C13B74"/>
    <w:rsid w:val="00C13BEC"/>
    <w:rsid w:val="00C13D4D"/>
    <w:rsid w:val="00C13FA1"/>
    <w:rsid w:val="00C141DD"/>
    <w:rsid w:val="00C143BF"/>
    <w:rsid w:val="00C14492"/>
    <w:rsid w:val="00C14521"/>
    <w:rsid w:val="00C145BE"/>
    <w:rsid w:val="00C14632"/>
    <w:rsid w:val="00C14715"/>
    <w:rsid w:val="00C147F0"/>
    <w:rsid w:val="00C1488A"/>
    <w:rsid w:val="00C14AFF"/>
    <w:rsid w:val="00C14C43"/>
    <w:rsid w:val="00C14D49"/>
    <w:rsid w:val="00C14F80"/>
    <w:rsid w:val="00C14FE5"/>
    <w:rsid w:val="00C1510F"/>
    <w:rsid w:val="00C152B0"/>
    <w:rsid w:val="00C15754"/>
    <w:rsid w:val="00C1578A"/>
    <w:rsid w:val="00C15911"/>
    <w:rsid w:val="00C1594F"/>
    <w:rsid w:val="00C15E06"/>
    <w:rsid w:val="00C15F23"/>
    <w:rsid w:val="00C16094"/>
    <w:rsid w:val="00C16108"/>
    <w:rsid w:val="00C16110"/>
    <w:rsid w:val="00C162DC"/>
    <w:rsid w:val="00C164EE"/>
    <w:rsid w:val="00C165DB"/>
    <w:rsid w:val="00C16672"/>
    <w:rsid w:val="00C168FA"/>
    <w:rsid w:val="00C16916"/>
    <w:rsid w:val="00C16A72"/>
    <w:rsid w:val="00C16ABC"/>
    <w:rsid w:val="00C16AC6"/>
    <w:rsid w:val="00C16B85"/>
    <w:rsid w:val="00C16DC2"/>
    <w:rsid w:val="00C16F39"/>
    <w:rsid w:val="00C171B9"/>
    <w:rsid w:val="00C1726B"/>
    <w:rsid w:val="00C173AA"/>
    <w:rsid w:val="00C17749"/>
    <w:rsid w:val="00C17811"/>
    <w:rsid w:val="00C17B7F"/>
    <w:rsid w:val="00C17F65"/>
    <w:rsid w:val="00C200AC"/>
    <w:rsid w:val="00C200C6"/>
    <w:rsid w:val="00C20169"/>
    <w:rsid w:val="00C20319"/>
    <w:rsid w:val="00C2040B"/>
    <w:rsid w:val="00C20690"/>
    <w:rsid w:val="00C20711"/>
    <w:rsid w:val="00C2074A"/>
    <w:rsid w:val="00C2087D"/>
    <w:rsid w:val="00C208E1"/>
    <w:rsid w:val="00C20988"/>
    <w:rsid w:val="00C209C4"/>
    <w:rsid w:val="00C20A8D"/>
    <w:rsid w:val="00C20B35"/>
    <w:rsid w:val="00C20BFD"/>
    <w:rsid w:val="00C20C3B"/>
    <w:rsid w:val="00C20D55"/>
    <w:rsid w:val="00C20EB6"/>
    <w:rsid w:val="00C20F56"/>
    <w:rsid w:val="00C20FC7"/>
    <w:rsid w:val="00C21071"/>
    <w:rsid w:val="00C21157"/>
    <w:rsid w:val="00C21265"/>
    <w:rsid w:val="00C212CC"/>
    <w:rsid w:val="00C214F2"/>
    <w:rsid w:val="00C2166C"/>
    <w:rsid w:val="00C21876"/>
    <w:rsid w:val="00C21ACD"/>
    <w:rsid w:val="00C21C4D"/>
    <w:rsid w:val="00C220CE"/>
    <w:rsid w:val="00C2217A"/>
    <w:rsid w:val="00C221DF"/>
    <w:rsid w:val="00C223E7"/>
    <w:rsid w:val="00C224B1"/>
    <w:rsid w:val="00C224CA"/>
    <w:rsid w:val="00C224E8"/>
    <w:rsid w:val="00C2252A"/>
    <w:rsid w:val="00C22614"/>
    <w:rsid w:val="00C228D5"/>
    <w:rsid w:val="00C22A6F"/>
    <w:rsid w:val="00C22E49"/>
    <w:rsid w:val="00C22EB6"/>
    <w:rsid w:val="00C230C4"/>
    <w:rsid w:val="00C23177"/>
    <w:rsid w:val="00C23215"/>
    <w:rsid w:val="00C2330D"/>
    <w:rsid w:val="00C23682"/>
    <w:rsid w:val="00C238C0"/>
    <w:rsid w:val="00C238DA"/>
    <w:rsid w:val="00C23A99"/>
    <w:rsid w:val="00C23F96"/>
    <w:rsid w:val="00C23FD3"/>
    <w:rsid w:val="00C24018"/>
    <w:rsid w:val="00C2405A"/>
    <w:rsid w:val="00C24184"/>
    <w:rsid w:val="00C24231"/>
    <w:rsid w:val="00C243D0"/>
    <w:rsid w:val="00C2446C"/>
    <w:rsid w:val="00C24B6C"/>
    <w:rsid w:val="00C24BFF"/>
    <w:rsid w:val="00C24CF1"/>
    <w:rsid w:val="00C24D80"/>
    <w:rsid w:val="00C24F87"/>
    <w:rsid w:val="00C2502E"/>
    <w:rsid w:val="00C25323"/>
    <w:rsid w:val="00C253E2"/>
    <w:rsid w:val="00C25560"/>
    <w:rsid w:val="00C25787"/>
    <w:rsid w:val="00C25906"/>
    <w:rsid w:val="00C25B09"/>
    <w:rsid w:val="00C25D6D"/>
    <w:rsid w:val="00C25DC5"/>
    <w:rsid w:val="00C25F27"/>
    <w:rsid w:val="00C26057"/>
    <w:rsid w:val="00C26134"/>
    <w:rsid w:val="00C264C4"/>
    <w:rsid w:val="00C2652D"/>
    <w:rsid w:val="00C265D2"/>
    <w:rsid w:val="00C267F1"/>
    <w:rsid w:val="00C26849"/>
    <w:rsid w:val="00C26A4A"/>
    <w:rsid w:val="00C26B58"/>
    <w:rsid w:val="00C26E03"/>
    <w:rsid w:val="00C26E31"/>
    <w:rsid w:val="00C26F4E"/>
    <w:rsid w:val="00C27040"/>
    <w:rsid w:val="00C271B1"/>
    <w:rsid w:val="00C272E5"/>
    <w:rsid w:val="00C274F7"/>
    <w:rsid w:val="00C2751F"/>
    <w:rsid w:val="00C27597"/>
    <w:rsid w:val="00C27803"/>
    <w:rsid w:val="00C27994"/>
    <w:rsid w:val="00C279EB"/>
    <w:rsid w:val="00C27E58"/>
    <w:rsid w:val="00C27E65"/>
    <w:rsid w:val="00C27FF1"/>
    <w:rsid w:val="00C3014A"/>
    <w:rsid w:val="00C3023A"/>
    <w:rsid w:val="00C303C8"/>
    <w:rsid w:val="00C30515"/>
    <w:rsid w:val="00C306D8"/>
    <w:rsid w:val="00C30840"/>
    <w:rsid w:val="00C3086F"/>
    <w:rsid w:val="00C30AD9"/>
    <w:rsid w:val="00C30C14"/>
    <w:rsid w:val="00C30C17"/>
    <w:rsid w:val="00C30C98"/>
    <w:rsid w:val="00C30E1D"/>
    <w:rsid w:val="00C30E7D"/>
    <w:rsid w:val="00C30EFE"/>
    <w:rsid w:val="00C30FAA"/>
    <w:rsid w:val="00C31025"/>
    <w:rsid w:val="00C31280"/>
    <w:rsid w:val="00C3131A"/>
    <w:rsid w:val="00C31813"/>
    <w:rsid w:val="00C3197D"/>
    <w:rsid w:val="00C319AF"/>
    <w:rsid w:val="00C31A10"/>
    <w:rsid w:val="00C31AC3"/>
    <w:rsid w:val="00C31B30"/>
    <w:rsid w:val="00C31BA9"/>
    <w:rsid w:val="00C31E4A"/>
    <w:rsid w:val="00C32224"/>
    <w:rsid w:val="00C32632"/>
    <w:rsid w:val="00C328AB"/>
    <w:rsid w:val="00C32BB5"/>
    <w:rsid w:val="00C32D67"/>
    <w:rsid w:val="00C32E91"/>
    <w:rsid w:val="00C32F05"/>
    <w:rsid w:val="00C32FF9"/>
    <w:rsid w:val="00C33326"/>
    <w:rsid w:val="00C33371"/>
    <w:rsid w:val="00C3345F"/>
    <w:rsid w:val="00C33552"/>
    <w:rsid w:val="00C336A1"/>
    <w:rsid w:val="00C33709"/>
    <w:rsid w:val="00C33725"/>
    <w:rsid w:val="00C338AB"/>
    <w:rsid w:val="00C338C0"/>
    <w:rsid w:val="00C3391A"/>
    <w:rsid w:val="00C33B06"/>
    <w:rsid w:val="00C33B2A"/>
    <w:rsid w:val="00C33DA4"/>
    <w:rsid w:val="00C33FA2"/>
    <w:rsid w:val="00C340F6"/>
    <w:rsid w:val="00C34276"/>
    <w:rsid w:val="00C343DB"/>
    <w:rsid w:val="00C34667"/>
    <w:rsid w:val="00C3479E"/>
    <w:rsid w:val="00C34C42"/>
    <w:rsid w:val="00C34C47"/>
    <w:rsid w:val="00C34C9C"/>
    <w:rsid w:val="00C34E7F"/>
    <w:rsid w:val="00C34F83"/>
    <w:rsid w:val="00C3532A"/>
    <w:rsid w:val="00C353DC"/>
    <w:rsid w:val="00C35569"/>
    <w:rsid w:val="00C355C4"/>
    <w:rsid w:val="00C35651"/>
    <w:rsid w:val="00C356DF"/>
    <w:rsid w:val="00C35B32"/>
    <w:rsid w:val="00C35C80"/>
    <w:rsid w:val="00C35DF0"/>
    <w:rsid w:val="00C36141"/>
    <w:rsid w:val="00C3615B"/>
    <w:rsid w:val="00C3617A"/>
    <w:rsid w:val="00C36652"/>
    <w:rsid w:val="00C367DB"/>
    <w:rsid w:val="00C36887"/>
    <w:rsid w:val="00C3696A"/>
    <w:rsid w:val="00C36BF9"/>
    <w:rsid w:val="00C36F68"/>
    <w:rsid w:val="00C37123"/>
    <w:rsid w:val="00C37444"/>
    <w:rsid w:val="00C3794F"/>
    <w:rsid w:val="00C37A8D"/>
    <w:rsid w:val="00C37A96"/>
    <w:rsid w:val="00C37AE7"/>
    <w:rsid w:val="00C37AFA"/>
    <w:rsid w:val="00C37D48"/>
    <w:rsid w:val="00C37D4D"/>
    <w:rsid w:val="00C37F8F"/>
    <w:rsid w:val="00C37FFB"/>
    <w:rsid w:val="00C4018C"/>
    <w:rsid w:val="00C40675"/>
    <w:rsid w:val="00C406B2"/>
    <w:rsid w:val="00C4075E"/>
    <w:rsid w:val="00C407AD"/>
    <w:rsid w:val="00C40855"/>
    <w:rsid w:val="00C4085C"/>
    <w:rsid w:val="00C40A37"/>
    <w:rsid w:val="00C40AC9"/>
    <w:rsid w:val="00C40E2C"/>
    <w:rsid w:val="00C40F2C"/>
    <w:rsid w:val="00C41087"/>
    <w:rsid w:val="00C410F7"/>
    <w:rsid w:val="00C4117F"/>
    <w:rsid w:val="00C41286"/>
    <w:rsid w:val="00C41355"/>
    <w:rsid w:val="00C413D7"/>
    <w:rsid w:val="00C414E2"/>
    <w:rsid w:val="00C41631"/>
    <w:rsid w:val="00C41791"/>
    <w:rsid w:val="00C4182A"/>
    <w:rsid w:val="00C41959"/>
    <w:rsid w:val="00C41A25"/>
    <w:rsid w:val="00C41AF9"/>
    <w:rsid w:val="00C41C12"/>
    <w:rsid w:val="00C41D26"/>
    <w:rsid w:val="00C41F62"/>
    <w:rsid w:val="00C41FC9"/>
    <w:rsid w:val="00C4211C"/>
    <w:rsid w:val="00C42214"/>
    <w:rsid w:val="00C42261"/>
    <w:rsid w:val="00C4232F"/>
    <w:rsid w:val="00C424AD"/>
    <w:rsid w:val="00C4254C"/>
    <w:rsid w:val="00C42669"/>
    <w:rsid w:val="00C4267A"/>
    <w:rsid w:val="00C427F5"/>
    <w:rsid w:val="00C429B8"/>
    <w:rsid w:val="00C429CB"/>
    <w:rsid w:val="00C42A9D"/>
    <w:rsid w:val="00C42ACB"/>
    <w:rsid w:val="00C42BB9"/>
    <w:rsid w:val="00C42BED"/>
    <w:rsid w:val="00C42E0E"/>
    <w:rsid w:val="00C42F70"/>
    <w:rsid w:val="00C4304C"/>
    <w:rsid w:val="00C430DE"/>
    <w:rsid w:val="00C430FD"/>
    <w:rsid w:val="00C43120"/>
    <w:rsid w:val="00C4320C"/>
    <w:rsid w:val="00C43731"/>
    <w:rsid w:val="00C43806"/>
    <w:rsid w:val="00C43818"/>
    <w:rsid w:val="00C43880"/>
    <w:rsid w:val="00C43AF4"/>
    <w:rsid w:val="00C43B1C"/>
    <w:rsid w:val="00C43B4A"/>
    <w:rsid w:val="00C43BA2"/>
    <w:rsid w:val="00C43D8A"/>
    <w:rsid w:val="00C43F76"/>
    <w:rsid w:val="00C440F0"/>
    <w:rsid w:val="00C44113"/>
    <w:rsid w:val="00C442E4"/>
    <w:rsid w:val="00C445A8"/>
    <w:rsid w:val="00C4460F"/>
    <w:rsid w:val="00C44B4E"/>
    <w:rsid w:val="00C44C5A"/>
    <w:rsid w:val="00C44CB7"/>
    <w:rsid w:val="00C44E41"/>
    <w:rsid w:val="00C45149"/>
    <w:rsid w:val="00C45189"/>
    <w:rsid w:val="00C45203"/>
    <w:rsid w:val="00C454CD"/>
    <w:rsid w:val="00C45707"/>
    <w:rsid w:val="00C4580A"/>
    <w:rsid w:val="00C45861"/>
    <w:rsid w:val="00C4586D"/>
    <w:rsid w:val="00C45931"/>
    <w:rsid w:val="00C459E3"/>
    <w:rsid w:val="00C45A02"/>
    <w:rsid w:val="00C45A94"/>
    <w:rsid w:val="00C45BCF"/>
    <w:rsid w:val="00C45CAF"/>
    <w:rsid w:val="00C45D56"/>
    <w:rsid w:val="00C45DA8"/>
    <w:rsid w:val="00C45E04"/>
    <w:rsid w:val="00C45EEC"/>
    <w:rsid w:val="00C45F27"/>
    <w:rsid w:val="00C4636A"/>
    <w:rsid w:val="00C46700"/>
    <w:rsid w:val="00C46799"/>
    <w:rsid w:val="00C46968"/>
    <w:rsid w:val="00C46A47"/>
    <w:rsid w:val="00C46BFD"/>
    <w:rsid w:val="00C46C3A"/>
    <w:rsid w:val="00C46C69"/>
    <w:rsid w:val="00C46CE9"/>
    <w:rsid w:val="00C46D31"/>
    <w:rsid w:val="00C46D49"/>
    <w:rsid w:val="00C46E8E"/>
    <w:rsid w:val="00C46FE4"/>
    <w:rsid w:val="00C47054"/>
    <w:rsid w:val="00C4705B"/>
    <w:rsid w:val="00C47231"/>
    <w:rsid w:val="00C472CC"/>
    <w:rsid w:val="00C4757A"/>
    <w:rsid w:val="00C47665"/>
    <w:rsid w:val="00C47713"/>
    <w:rsid w:val="00C4778D"/>
    <w:rsid w:val="00C47831"/>
    <w:rsid w:val="00C4783E"/>
    <w:rsid w:val="00C478B8"/>
    <w:rsid w:val="00C479DD"/>
    <w:rsid w:val="00C47AD5"/>
    <w:rsid w:val="00C47B0D"/>
    <w:rsid w:val="00C47D35"/>
    <w:rsid w:val="00C47E97"/>
    <w:rsid w:val="00C47F6F"/>
    <w:rsid w:val="00C47F85"/>
    <w:rsid w:val="00C5009F"/>
    <w:rsid w:val="00C50210"/>
    <w:rsid w:val="00C50228"/>
    <w:rsid w:val="00C50263"/>
    <w:rsid w:val="00C502A5"/>
    <w:rsid w:val="00C50417"/>
    <w:rsid w:val="00C50838"/>
    <w:rsid w:val="00C508E1"/>
    <w:rsid w:val="00C50965"/>
    <w:rsid w:val="00C50A67"/>
    <w:rsid w:val="00C50B41"/>
    <w:rsid w:val="00C50C46"/>
    <w:rsid w:val="00C50D51"/>
    <w:rsid w:val="00C50F29"/>
    <w:rsid w:val="00C5108B"/>
    <w:rsid w:val="00C5119E"/>
    <w:rsid w:val="00C511BC"/>
    <w:rsid w:val="00C51677"/>
    <w:rsid w:val="00C51748"/>
    <w:rsid w:val="00C519E9"/>
    <w:rsid w:val="00C51A4F"/>
    <w:rsid w:val="00C51A75"/>
    <w:rsid w:val="00C51BF7"/>
    <w:rsid w:val="00C51E1F"/>
    <w:rsid w:val="00C51E6F"/>
    <w:rsid w:val="00C51EE9"/>
    <w:rsid w:val="00C51FBE"/>
    <w:rsid w:val="00C5203B"/>
    <w:rsid w:val="00C52126"/>
    <w:rsid w:val="00C5246C"/>
    <w:rsid w:val="00C524A2"/>
    <w:rsid w:val="00C524F1"/>
    <w:rsid w:val="00C52666"/>
    <w:rsid w:val="00C527A4"/>
    <w:rsid w:val="00C527B4"/>
    <w:rsid w:val="00C5288A"/>
    <w:rsid w:val="00C529FC"/>
    <w:rsid w:val="00C52B0B"/>
    <w:rsid w:val="00C52C32"/>
    <w:rsid w:val="00C52CD3"/>
    <w:rsid w:val="00C52CFD"/>
    <w:rsid w:val="00C52D7A"/>
    <w:rsid w:val="00C53100"/>
    <w:rsid w:val="00C534C7"/>
    <w:rsid w:val="00C535E8"/>
    <w:rsid w:val="00C537FE"/>
    <w:rsid w:val="00C53997"/>
    <w:rsid w:val="00C53B65"/>
    <w:rsid w:val="00C53C59"/>
    <w:rsid w:val="00C53C7B"/>
    <w:rsid w:val="00C53C9E"/>
    <w:rsid w:val="00C53D39"/>
    <w:rsid w:val="00C53F59"/>
    <w:rsid w:val="00C540B0"/>
    <w:rsid w:val="00C5416E"/>
    <w:rsid w:val="00C54263"/>
    <w:rsid w:val="00C543E7"/>
    <w:rsid w:val="00C54440"/>
    <w:rsid w:val="00C544B6"/>
    <w:rsid w:val="00C5453C"/>
    <w:rsid w:val="00C545CE"/>
    <w:rsid w:val="00C5487E"/>
    <w:rsid w:val="00C54AE1"/>
    <w:rsid w:val="00C54C9B"/>
    <w:rsid w:val="00C54E7A"/>
    <w:rsid w:val="00C54EF1"/>
    <w:rsid w:val="00C55082"/>
    <w:rsid w:val="00C553A0"/>
    <w:rsid w:val="00C55714"/>
    <w:rsid w:val="00C5575B"/>
    <w:rsid w:val="00C55770"/>
    <w:rsid w:val="00C55826"/>
    <w:rsid w:val="00C5586F"/>
    <w:rsid w:val="00C5593E"/>
    <w:rsid w:val="00C55A55"/>
    <w:rsid w:val="00C55DD7"/>
    <w:rsid w:val="00C55F1D"/>
    <w:rsid w:val="00C563C3"/>
    <w:rsid w:val="00C563CA"/>
    <w:rsid w:val="00C5692C"/>
    <w:rsid w:val="00C56990"/>
    <w:rsid w:val="00C569C1"/>
    <w:rsid w:val="00C56BA5"/>
    <w:rsid w:val="00C56BFE"/>
    <w:rsid w:val="00C56D9D"/>
    <w:rsid w:val="00C56E3D"/>
    <w:rsid w:val="00C56FE4"/>
    <w:rsid w:val="00C57069"/>
    <w:rsid w:val="00C57200"/>
    <w:rsid w:val="00C574F9"/>
    <w:rsid w:val="00C5770F"/>
    <w:rsid w:val="00C57737"/>
    <w:rsid w:val="00C5777E"/>
    <w:rsid w:val="00C57BDC"/>
    <w:rsid w:val="00C57CCE"/>
    <w:rsid w:val="00C57E12"/>
    <w:rsid w:val="00C57E28"/>
    <w:rsid w:val="00C6005C"/>
    <w:rsid w:val="00C600D8"/>
    <w:rsid w:val="00C60116"/>
    <w:rsid w:val="00C601DD"/>
    <w:rsid w:val="00C601E5"/>
    <w:rsid w:val="00C60546"/>
    <w:rsid w:val="00C60563"/>
    <w:rsid w:val="00C606CE"/>
    <w:rsid w:val="00C60707"/>
    <w:rsid w:val="00C608FA"/>
    <w:rsid w:val="00C6094F"/>
    <w:rsid w:val="00C609F6"/>
    <w:rsid w:val="00C60C29"/>
    <w:rsid w:val="00C60CFD"/>
    <w:rsid w:val="00C60E1B"/>
    <w:rsid w:val="00C60F6E"/>
    <w:rsid w:val="00C60F73"/>
    <w:rsid w:val="00C60FBB"/>
    <w:rsid w:val="00C60FD6"/>
    <w:rsid w:val="00C61479"/>
    <w:rsid w:val="00C615EC"/>
    <w:rsid w:val="00C616B5"/>
    <w:rsid w:val="00C61D36"/>
    <w:rsid w:val="00C61DBD"/>
    <w:rsid w:val="00C62051"/>
    <w:rsid w:val="00C62145"/>
    <w:rsid w:val="00C62199"/>
    <w:rsid w:val="00C62259"/>
    <w:rsid w:val="00C62276"/>
    <w:rsid w:val="00C6237E"/>
    <w:rsid w:val="00C62382"/>
    <w:rsid w:val="00C6244E"/>
    <w:rsid w:val="00C62454"/>
    <w:rsid w:val="00C627A7"/>
    <w:rsid w:val="00C632C5"/>
    <w:rsid w:val="00C6333D"/>
    <w:rsid w:val="00C635B7"/>
    <w:rsid w:val="00C635BC"/>
    <w:rsid w:val="00C63603"/>
    <w:rsid w:val="00C638FE"/>
    <w:rsid w:val="00C63946"/>
    <w:rsid w:val="00C6398C"/>
    <w:rsid w:val="00C6398E"/>
    <w:rsid w:val="00C639B1"/>
    <w:rsid w:val="00C63CD0"/>
    <w:rsid w:val="00C63DF4"/>
    <w:rsid w:val="00C63ECD"/>
    <w:rsid w:val="00C63FCE"/>
    <w:rsid w:val="00C63FE8"/>
    <w:rsid w:val="00C64016"/>
    <w:rsid w:val="00C64192"/>
    <w:rsid w:val="00C641A4"/>
    <w:rsid w:val="00C645E0"/>
    <w:rsid w:val="00C646A3"/>
    <w:rsid w:val="00C64709"/>
    <w:rsid w:val="00C64770"/>
    <w:rsid w:val="00C647CF"/>
    <w:rsid w:val="00C6498F"/>
    <w:rsid w:val="00C64B8D"/>
    <w:rsid w:val="00C64BF5"/>
    <w:rsid w:val="00C64C33"/>
    <w:rsid w:val="00C64E7A"/>
    <w:rsid w:val="00C64E84"/>
    <w:rsid w:val="00C64E9F"/>
    <w:rsid w:val="00C65206"/>
    <w:rsid w:val="00C65300"/>
    <w:rsid w:val="00C6536C"/>
    <w:rsid w:val="00C653A9"/>
    <w:rsid w:val="00C655B8"/>
    <w:rsid w:val="00C655F4"/>
    <w:rsid w:val="00C65AF7"/>
    <w:rsid w:val="00C66188"/>
    <w:rsid w:val="00C66199"/>
    <w:rsid w:val="00C661FD"/>
    <w:rsid w:val="00C66265"/>
    <w:rsid w:val="00C662F4"/>
    <w:rsid w:val="00C663E4"/>
    <w:rsid w:val="00C664A7"/>
    <w:rsid w:val="00C665F4"/>
    <w:rsid w:val="00C66703"/>
    <w:rsid w:val="00C668FC"/>
    <w:rsid w:val="00C66906"/>
    <w:rsid w:val="00C66A06"/>
    <w:rsid w:val="00C66B1C"/>
    <w:rsid w:val="00C66B2E"/>
    <w:rsid w:val="00C66B80"/>
    <w:rsid w:val="00C66BC4"/>
    <w:rsid w:val="00C67018"/>
    <w:rsid w:val="00C670ED"/>
    <w:rsid w:val="00C67194"/>
    <w:rsid w:val="00C672D0"/>
    <w:rsid w:val="00C67350"/>
    <w:rsid w:val="00C6744D"/>
    <w:rsid w:val="00C674C3"/>
    <w:rsid w:val="00C67728"/>
    <w:rsid w:val="00C679A0"/>
    <w:rsid w:val="00C679AA"/>
    <w:rsid w:val="00C67DAB"/>
    <w:rsid w:val="00C67E87"/>
    <w:rsid w:val="00C67F4A"/>
    <w:rsid w:val="00C67F8B"/>
    <w:rsid w:val="00C70102"/>
    <w:rsid w:val="00C7011E"/>
    <w:rsid w:val="00C7037A"/>
    <w:rsid w:val="00C706A0"/>
    <w:rsid w:val="00C70A77"/>
    <w:rsid w:val="00C70BE2"/>
    <w:rsid w:val="00C70D15"/>
    <w:rsid w:val="00C70DAC"/>
    <w:rsid w:val="00C70E86"/>
    <w:rsid w:val="00C70F88"/>
    <w:rsid w:val="00C70FF1"/>
    <w:rsid w:val="00C71392"/>
    <w:rsid w:val="00C713AA"/>
    <w:rsid w:val="00C714BC"/>
    <w:rsid w:val="00C714EB"/>
    <w:rsid w:val="00C71668"/>
    <w:rsid w:val="00C716F3"/>
    <w:rsid w:val="00C7181E"/>
    <w:rsid w:val="00C7189F"/>
    <w:rsid w:val="00C71B9E"/>
    <w:rsid w:val="00C71C15"/>
    <w:rsid w:val="00C72118"/>
    <w:rsid w:val="00C7253B"/>
    <w:rsid w:val="00C727F9"/>
    <w:rsid w:val="00C72A5C"/>
    <w:rsid w:val="00C72AD2"/>
    <w:rsid w:val="00C72C75"/>
    <w:rsid w:val="00C72CA4"/>
    <w:rsid w:val="00C72CB6"/>
    <w:rsid w:val="00C72D21"/>
    <w:rsid w:val="00C72D94"/>
    <w:rsid w:val="00C72E1C"/>
    <w:rsid w:val="00C72EB9"/>
    <w:rsid w:val="00C73026"/>
    <w:rsid w:val="00C730D0"/>
    <w:rsid w:val="00C7333E"/>
    <w:rsid w:val="00C733AC"/>
    <w:rsid w:val="00C73534"/>
    <w:rsid w:val="00C737F3"/>
    <w:rsid w:val="00C73B87"/>
    <w:rsid w:val="00C73BE8"/>
    <w:rsid w:val="00C73C56"/>
    <w:rsid w:val="00C7414D"/>
    <w:rsid w:val="00C741B3"/>
    <w:rsid w:val="00C742C6"/>
    <w:rsid w:val="00C743BF"/>
    <w:rsid w:val="00C74441"/>
    <w:rsid w:val="00C7458C"/>
    <w:rsid w:val="00C747E7"/>
    <w:rsid w:val="00C74AB7"/>
    <w:rsid w:val="00C74C56"/>
    <w:rsid w:val="00C74EDF"/>
    <w:rsid w:val="00C74F15"/>
    <w:rsid w:val="00C74FCA"/>
    <w:rsid w:val="00C7520B"/>
    <w:rsid w:val="00C753D1"/>
    <w:rsid w:val="00C755AC"/>
    <w:rsid w:val="00C75799"/>
    <w:rsid w:val="00C7583A"/>
    <w:rsid w:val="00C75AA0"/>
    <w:rsid w:val="00C75C07"/>
    <w:rsid w:val="00C75C87"/>
    <w:rsid w:val="00C75D9D"/>
    <w:rsid w:val="00C75E10"/>
    <w:rsid w:val="00C75E1A"/>
    <w:rsid w:val="00C75EC0"/>
    <w:rsid w:val="00C75F64"/>
    <w:rsid w:val="00C7623E"/>
    <w:rsid w:val="00C76492"/>
    <w:rsid w:val="00C764E3"/>
    <w:rsid w:val="00C7655D"/>
    <w:rsid w:val="00C765FC"/>
    <w:rsid w:val="00C7688F"/>
    <w:rsid w:val="00C76A85"/>
    <w:rsid w:val="00C76C46"/>
    <w:rsid w:val="00C76CF2"/>
    <w:rsid w:val="00C76D87"/>
    <w:rsid w:val="00C76EDD"/>
    <w:rsid w:val="00C76FE1"/>
    <w:rsid w:val="00C77014"/>
    <w:rsid w:val="00C7718D"/>
    <w:rsid w:val="00C774F5"/>
    <w:rsid w:val="00C7780B"/>
    <w:rsid w:val="00C779BF"/>
    <w:rsid w:val="00C779DF"/>
    <w:rsid w:val="00C77C18"/>
    <w:rsid w:val="00C77D7E"/>
    <w:rsid w:val="00C77E09"/>
    <w:rsid w:val="00C77F90"/>
    <w:rsid w:val="00C8002F"/>
    <w:rsid w:val="00C80178"/>
    <w:rsid w:val="00C80215"/>
    <w:rsid w:val="00C803DF"/>
    <w:rsid w:val="00C80547"/>
    <w:rsid w:val="00C8055A"/>
    <w:rsid w:val="00C805A7"/>
    <w:rsid w:val="00C806FF"/>
    <w:rsid w:val="00C8073F"/>
    <w:rsid w:val="00C807B2"/>
    <w:rsid w:val="00C807D1"/>
    <w:rsid w:val="00C807DC"/>
    <w:rsid w:val="00C80A0F"/>
    <w:rsid w:val="00C80C69"/>
    <w:rsid w:val="00C80D44"/>
    <w:rsid w:val="00C80D7A"/>
    <w:rsid w:val="00C80E2A"/>
    <w:rsid w:val="00C81019"/>
    <w:rsid w:val="00C810CF"/>
    <w:rsid w:val="00C814D9"/>
    <w:rsid w:val="00C817D0"/>
    <w:rsid w:val="00C8183B"/>
    <w:rsid w:val="00C81CF9"/>
    <w:rsid w:val="00C81DEA"/>
    <w:rsid w:val="00C81FBA"/>
    <w:rsid w:val="00C82064"/>
    <w:rsid w:val="00C82097"/>
    <w:rsid w:val="00C82158"/>
    <w:rsid w:val="00C82307"/>
    <w:rsid w:val="00C82385"/>
    <w:rsid w:val="00C8246A"/>
    <w:rsid w:val="00C82625"/>
    <w:rsid w:val="00C82853"/>
    <w:rsid w:val="00C8290B"/>
    <w:rsid w:val="00C82C89"/>
    <w:rsid w:val="00C82DF4"/>
    <w:rsid w:val="00C82EA3"/>
    <w:rsid w:val="00C83143"/>
    <w:rsid w:val="00C83171"/>
    <w:rsid w:val="00C833AB"/>
    <w:rsid w:val="00C8341D"/>
    <w:rsid w:val="00C836F8"/>
    <w:rsid w:val="00C83706"/>
    <w:rsid w:val="00C837E6"/>
    <w:rsid w:val="00C83A8C"/>
    <w:rsid w:val="00C83B71"/>
    <w:rsid w:val="00C83DD5"/>
    <w:rsid w:val="00C84038"/>
    <w:rsid w:val="00C84041"/>
    <w:rsid w:val="00C84057"/>
    <w:rsid w:val="00C84081"/>
    <w:rsid w:val="00C841B0"/>
    <w:rsid w:val="00C841D1"/>
    <w:rsid w:val="00C8421D"/>
    <w:rsid w:val="00C84450"/>
    <w:rsid w:val="00C84595"/>
    <w:rsid w:val="00C8474A"/>
    <w:rsid w:val="00C84824"/>
    <w:rsid w:val="00C8499B"/>
    <w:rsid w:val="00C84A3C"/>
    <w:rsid w:val="00C84B12"/>
    <w:rsid w:val="00C84CCE"/>
    <w:rsid w:val="00C84D07"/>
    <w:rsid w:val="00C84D51"/>
    <w:rsid w:val="00C85002"/>
    <w:rsid w:val="00C85448"/>
    <w:rsid w:val="00C8556D"/>
    <w:rsid w:val="00C8561F"/>
    <w:rsid w:val="00C856AF"/>
    <w:rsid w:val="00C8570F"/>
    <w:rsid w:val="00C85747"/>
    <w:rsid w:val="00C8574F"/>
    <w:rsid w:val="00C857C4"/>
    <w:rsid w:val="00C85A8E"/>
    <w:rsid w:val="00C85ABC"/>
    <w:rsid w:val="00C85BED"/>
    <w:rsid w:val="00C85F0B"/>
    <w:rsid w:val="00C86214"/>
    <w:rsid w:val="00C86239"/>
    <w:rsid w:val="00C86298"/>
    <w:rsid w:val="00C862CB"/>
    <w:rsid w:val="00C8677B"/>
    <w:rsid w:val="00C86892"/>
    <w:rsid w:val="00C869A6"/>
    <w:rsid w:val="00C86A15"/>
    <w:rsid w:val="00C86A91"/>
    <w:rsid w:val="00C86D78"/>
    <w:rsid w:val="00C86E04"/>
    <w:rsid w:val="00C86ED5"/>
    <w:rsid w:val="00C86EDB"/>
    <w:rsid w:val="00C87078"/>
    <w:rsid w:val="00C871E2"/>
    <w:rsid w:val="00C87222"/>
    <w:rsid w:val="00C87496"/>
    <w:rsid w:val="00C878A7"/>
    <w:rsid w:val="00C87C2F"/>
    <w:rsid w:val="00C87CA0"/>
    <w:rsid w:val="00C87CDD"/>
    <w:rsid w:val="00C87DEE"/>
    <w:rsid w:val="00C87F82"/>
    <w:rsid w:val="00C90025"/>
    <w:rsid w:val="00C9013B"/>
    <w:rsid w:val="00C901E3"/>
    <w:rsid w:val="00C9029E"/>
    <w:rsid w:val="00C90306"/>
    <w:rsid w:val="00C90550"/>
    <w:rsid w:val="00C906B4"/>
    <w:rsid w:val="00C9081B"/>
    <w:rsid w:val="00C90934"/>
    <w:rsid w:val="00C90954"/>
    <w:rsid w:val="00C909E3"/>
    <w:rsid w:val="00C90B9B"/>
    <w:rsid w:val="00C90C13"/>
    <w:rsid w:val="00C90CC3"/>
    <w:rsid w:val="00C90D63"/>
    <w:rsid w:val="00C90EB9"/>
    <w:rsid w:val="00C90EE8"/>
    <w:rsid w:val="00C90EE9"/>
    <w:rsid w:val="00C9106A"/>
    <w:rsid w:val="00C91095"/>
    <w:rsid w:val="00C911BD"/>
    <w:rsid w:val="00C9121E"/>
    <w:rsid w:val="00C9123E"/>
    <w:rsid w:val="00C912CA"/>
    <w:rsid w:val="00C9145A"/>
    <w:rsid w:val="00C914FE"/>
    <w:rsid w:val="00C91A0A"/>
    <w:rsid w:val="00C91B69"/>
    <w:rsid w:val="00C91EB6"/>
    <w:rsid w:val="00C91F66"/>
    <w:rsid w:val="00C91FC6"/>
    <w:rsid w:val="00C9202E"/>
    <w:rsid w:val="00C92065"/>
    <w:rsid w:val="00C92071"/>
    <w:rsid w:val="00C9207C"/>
    <w:rsid w:val="00C92112"/>
    <w:rsid w:val="00C9244C"/>
    <w:rsid w:val="00C92536"/>
    <w:rsid w:val="00C92544"/>
    <w:rsid w:val="00C92582"/>
    <w:rsid w:val="00C925E2"/>
    <w:rsid w:val="00C9265A"/>
    <w:rsid w:val="00C926A2"/>
    <w:rsid w:val="00C926B9"/>
    <w:rsid w:val="00C92792"/>
    <w:rsid w:val="00C927D9"/>
    <w:rsid w:val="00C927DB"/>
    <w:rsid w:val="00C92C0C"/>
    <w:rsid w:val="00C92E37"/>
    <w:rsid w:val="00C92EB2"/>
    <w:rsid w:val="00C92EB8"/>
    <w:rsid w:val="00C92F0A"/>
    <w:rsid w:val="00C92F40"/>
    <w:rsid w:val="00C92FF9"/>
    <w:rsid w:val="00C9326A"/>
    <w:rsid w:val="00C93376"/>
    <w:rsid w:val="00C9354F"/>
    <w:rsid w:val="00C935B9"/>
    <w:rsid w:val="00C9360B"/>
    <w:rsid w:val="00C93811"/>
    <w:rsid w:val="00C939C0"/>
    <w:rsid w:val="00C93A7F"/>
    <w:rsid w:val="00C93C2D"/>
    <w:rsid w:val="00C93C85"/>
    <w:rsid w:val="00C93D80"/>
    <w:rsid w:val="00C93E4F"/>
    <w:rsid w:val="00C93EC1"/>
    <w:rsid w:val="00C93FAD"/>
    <w:rsid w:val="00C93FAF"/>
    <w:rsid w:val="00C9400A"/>
    <w:rsid w:val="00C940C7"/>
    <w:rsid w:val="00C94222"/>
    <w:rsid w:val="00C94269"/>
    <w:rsid w:val="00C94276"/>
    <w:rsid w:val="00C943F1"/>
    <w:rsid w:val="00C94974"/>
    <w:rsid w:val="00C94C62"/>
    <w:rsid w:val="00C94E33"/>
    <w:rsid w:val="00C94FD7"/>
    <w:rsid w:val="00C9514C"/>
    <w:rsid w:val="00C9516D"/>
    <w:rsid w:val="00C951DF"/>
    <w:rsid w:val="00C954B2"/>
    <w:rsid w:val="00C957B7"/>
    <w:rsid w:val="00C9580B"/>
    <w:rsid w:val="00C95906"/>
    <w:rsid w:val="00C95974"/>
    <w:rsid w:val="00C95A16"/>
    <w:rsid w:val="00C95A41"/>
    <w:rsid w:val="00C95CCE"/>
    <w:rsid w:val="00C95E09"/>
    <w:rsid w:val="00C95EAF"/>
    <w:rsid w:val="00C95FBB"/>
    <w:rsid w:val="00C961E4"/>
    <w:rsid w:val="00C96487"/>
    <w:rsid w:val="00C965BE"/>
    <w:rsid w:val="00C965DD"/>
    <w:rsid w:val="00C96612"/>
    <w:rsid w:val="00C96681"/>
    <w:rsid w:val="00C96704"/>
    <w:rsid w:val="00C967C1"/>
    <w:rsid w:val="00C96B15"/>
    <w:rsid w:val="00C96BD0"/>
    <w:rsid w:val="00C96D56"/>
    <w:rsid w:val="00C971E6"/>
    <w:rsid w:val="00C974CD"/>
    <w:rsid w:val="00C97ABF"/>
    <w:rsid w:val="00C97BC9"/>
    <w:rsid w:val="00C97F4B"/>
    <w:rsid w:val="00C97F8D"/>
    <w:rsid w:val="00CA0020"/>
    <w:rsid w:val="00CA0022"/>
    <w:rsid w:val="00CA00D0"/>
    <w:rsid w:val="00CA012C"/>
    <w:rsid w:val="00CA0308"/>
    <w:rsid w:val="00CA037D"/>
    <w:rsid w:val="00CA03F9"/>
    <w:rsid w:val="00CA0573"/>
    <w:rsid w:val="00CA0835"/>
    <w:rsid w:val="00CA08B3"/>
    <w:rsid w:val="00CA0960"/>
    <w:rsid w:val="00CA0AF9"/>
    <w:rsid w:val="00CA0B9D"/>
    <w:rsid w:val="00CA0C57"/>
    <w:rsid w:val="00CA0E27"/>
    <w:rsid w:val="00CA0EC0"/>
    <w:rsid w:val="00CA1101"/>
    <w:rsid w:val="00CA118A"/>
    <w:rsid w:val="00CA1206"/>
    <w:rsid w:val="00CA12B2"/>
    <w:rsid w:val="00CA135E"/>
    <w:rsid w:val="00CA1634"/>
    <w:rsid w:val="00CA180B"/>
    <w:rsid w:val="00CA1AC0"/>
    <w:rsid w:val="00CA1CB8"/>
    <w:rsid w:val="00CA1CBD"/>
    <w:rsid w:val="00CA1D26"/>
    <w:rsid w:val="00CA1D99"/>
    <w:rsid w:val="00CA1E72"/>
    <w:rsid w:val="00CA2012"/>
    <w:rsid w:val="00CA2079"/>
    <w:rsid w:val="00CA2087"/>
    <w:rsid w:val="00CA2231"/>
    <w:rsid w:val="00CA2255"/>
    <w:rsid w:val="00CA2304"/>
    <w:rsid w:val="00CA238D"/>
    <w:rsid w:val="00CA23E8"/>
    <w:rsid w:val="00CA2508"/>
    <w:rsid w:val="00CA2525"/>
    <w:rsid w:val="00CA27D5"/>
    <w:rsid w:val="00CA2A93"/>
    <w:rsid w:val="00CA2ADC"/>
    <w:rsid w:val="00CA2AFB"/>
    <w:rsid w:val="00CA2BB3"/>
    <w:rsid w:val="00CA2BC0"/>
    <w:rsid w:val="00CA2C0B"/>
    <w:rsid w:val="00CA2C54"/>
    <w:rsid w:val="00CA2CC4"/>
    <w:rsid w:val="00CA2E0A"/>
    <w:rsid w:val="00CA2ED9"/>
    <w:rsid w:val="00CA2EF2"/>
    <w:rsid w:val="00CA2FCC"/>
    <w:rsid w:val="00CA3001"/>
    <w:rsid w:val="00CA3004"/>
    <w:rsid w:val="00CA30E2"/>
    <w:rsid w:val="00CA3100"/>
    <w:rsid w:val="00CA31BD"/>
    <w:rsid w:val="00CA32D1"/>
    <w:rsid w:val="00CA34CC"/>
    <w:rsid w:val="00CA35F6"/>
    <w:rsid w:val="00CA3654"/>
    <w:rsid w:val="00CA3ACF"/>
    <w:rsid w:val="00CA3AE6"/>
    <w:rsid w:val="00CA4068"/>
    <w:rsid w:val="00CA407F"/>
    <w:rsid w:val="00CA43E2"/>
    <w:rsid w:val="00CA44C0"/>
    <w:rsid w:val="00CA44EE"/>
    <w:rsid w:val="00CA45B0"/>
    <w:rsid w:val="00CA45EC"/>
    <w:rsid w:val="00CA4633"/>
    <w:rsid w:val="00CA4839"/>
    <w:rsid w:val="00CA4847"/>
    <w:rsid w:val="00CA4855"/>
    <w:rsid w:val="00CA49E4"/>
    <w:rsid w:val="00CA4A47"/>
    <w:rsid w:val="00CA4B7D"/>
    <w:rsid w:val="00CA4CE5"/>
    <w:rsid w:val="00CA4ED2"/>
    <w:rsid w:val="00CA5055"/>
    <w:rsid w:val="00CA54C9"/>
    <w:rsid w:val="00CA55F8"/>
    <w:rsid w:val="00CA566E"/>
    <w:rsid w:val="00CA56D8"/>
    <w:rsid w:val="00CA58DC"/>
    <w:rsid w:val="00CA5901"/>
    <w:rsid w:val="00CA5A29"/>
    <w:rsid w:val="00CA5A78"/>
    <w:rsid w:val="00CA5B96"/>
    <w:rsid w:val="00CA5C54"/>
    <w:rsid w:val="00CA5E4C"/>
    <w:rsid w:val="00CA6006"/>
    <w:rsid w:val="00CA611C"/>
    <w:rsid w:val="00CA61D6"/>
    <w:rsid w:val="00CA641B"/>
    <w:rsid w:val="00CA65E7"/>
    <w:rsid w:val="00CA68EC"/>
    <w:rsid w:val="00CA68F2"/>
    <w:rsid w:val="00CA6B39"/>
    <w:rsid w:val="00CA6C29"/>
    <w:rsid w:val="00CA6E55"/>
    <w:rsid w:val="00CA6F31"/>
    <w:rsid w:val="00CA700C"/>
    <w:rsid w:val="00CA7078"/>
    <w:rsid w:val="00CA73D2"/>
    <w:rsid w:val="00CA7511"/>
    <w:rsid w:val="00CA75AB"/>
    <w:rsid w:val="00CA76DF"/>
    <w:rsid w:val="00CA7907"/>
    <w:rsid w:val="00CA7930"/>
    <w:rsid w:val="00CA7A15"/>
    <w:rsid w:val="00CA7B2E"/>
    <w:rsid w:val="00CA7BE3"/>
    <w:rsid w:val="00CA7BFA"/>
    <w:rsid w:val="00CA7D89"/>
    <w:rsid w:val="00CA7E7D"/>
    <w:rsid w:val="00CA7EAE"/>
    <w:rsid w:val="00CB005B"/>
    <w:rsid w:val="00CB00F6"/>
    <w:rsid w:val="00CB015C"/>
    <w:rsid w:val="00CB020A"/>
    <w:rsid w:val="00CB028C"/>
    <w:rsid w:val="00CB035E"/>
    <w:rsid w:val="00CB0598"/>
    <w:rsid w:val="00CB062D"/>
    <w:rsid w:val="00CB06F9"/>
    <w:rsid w:val="00CB083F"/>
    <w:rsid w:val="00CB0BDE"/>
    <w:rsid w:val="00CB0DE5"/>
    <w:rsid w:val="00CB0E5C"/>
    <w:rsid w:val="00CB10D4"/>
    <w:rsid w:val="00CB117C"/>
    <w:rsid w:val="00CB174B"/>
    <w:rsid w:val="00CB1774"/>
    <w:rsid w:val="00CB17B9"/>
    <w:rsid w:val="00CB1914"/>
    <w:rsid w:val="00CB1983"/>
    <w:rsid w:val="00CB1A01"/>
    <w:rsid w:val="00CB1A5F"/>
    <w:rsid w:val="00CB1BA6"/>
    <w:rsid w:val="00CB1E73"/>
    <w:rsid w:val="00CB1F18"/>
    <w:rsid w:val="00CB2436"/>
    <w:rsid w:val="00CB2476"/>
    <w:rsid w:val="00CB2543"/>
    <w:rsid w:val="00CB2607"/>
    <w:rsid w:val="00CB2608"/>
    <w:rsid w:val="00CB2637"/>
    <w:rsid w:val="00CB266F"/>
    <w:rsid w:val="00CB2676"/>
    <w:rsid w:val="00CB27F6"/>
    <w:rsid w:val="00CB2A3F"/>
    <w:rsid w:val="00CB2A55"/>
    <w:rsid w:val="00CB2CA1"/>
    <w:rsid w:val="00CB2CEC"/>
    <w:rsid w:val="00CB2D33"/>
    <w:rsid w:val="00CB2DEA"/>
    <w:rsid w:val="00CB2EA6"/>
    <w:rsid w:val="00CB2EDB"/>
    <w:rsid w:val="00CB2EEE"/>
    <w:rsid w:val="00CB2FC6"/>
    <w:rsid w:val="00CB2FDE"/>
    <w:rsid w:val="00CB2FF4"/>
    <w:rsid w:val="00CB3018"/>
    <w:rsid w:val="00CB302D"/>
    <w:rsid w:val="00CB30B6"/>
    <w:rsid w:val="00CB325A"/>
    <w:rsid w:val="00CB33E1"/>
    <w:rsid w:val="00CB3495"/>
    <w:rsid w:val="00CB367C"/>
    <w:rsid w:val="00CB3710"/>
    <w:rsid w:val="00CB379E"/>
    <w:rsid w:val="00CB37F6"/>
    <w:rsid w:val="00CB3822"/>
    <w:rsid w:val="00CB3834"/>
    <w:rsid w:val="00CB385F"/>
    <w:rsid w:val="00CB3922"/>
    <w:rsid w:val="00CB396C"/>
    <w:rsid w:val="00CB3CA5"/>
    <w:rsid w:val="00CB3CDB"/>
    <w:rsid w:val="00CB3D16"/>
    <w:rsid w:val="00CB3DAD"/>
    <w:rsid w:val="00CB3E7D"/>
    <w:rsid w:val="00CB3F0E"/>
    <w:rsid w:val="00CB4021"/>
    <w:rsid w:val="00CB4237"/>
    <w:rsid w:val="00CB42DA"/>
    <w:rsid w:val="00CB43CD"/>
    <w:rsid w:val="00CB4421"/>
    <w:rsid w:val="00CB453B"/>
    <w:rsid w:val="00CB4734"/>
    <w:rsid w:val="00CB47DF"/>
    <w:rsid w:val="00CB4817"/>
    <w:rsid w:val="00CB4924"/>
    <w:rsid w:val="00CB4959"/>
    <w:rsid w:val="00CB4C32"/>
    <w:rsid w:val="00CB4F68"/>
    <w:rsid w:val="00CB5065"/>
    <w:rsid w:val="00CB5390"/>
    <w:rsid w:val="00CB5407"/>
    <w:rsid w:val="00CB5435"/>
    <w:rsid w:val="00CB544F"/>
    <w:rsid w:val="00CB54F9"/>
    <w:rsid w:val="00CB5519"/>
    <w:rsid w:val="00CB56FC"/>
    <w:rsid w:val="00CB571E"/>
    <w:rsid w:val="00CB58D4"/>
    <w:rsid w:val="00CB59C4"/>
    <w:rsid w:val="00CB5B69"/>
    <w:rsid w:val="00CB5BDB"/>
    <w:rsid w:val="00CB5EDF"/>
    <w:rsid w:val="00CB6018"/>
    <w:rsid w:val="00CB6025"/>
    <w:rsid w:val="00CB6105"/>
    <w:rsid w:val="00CB6337"/>
    <w:rsid w:val="00CB6388"/>
    <w:rsid w:val="00CB6420"/>
    <w:rsid w:val="00CB6575"/>
    <w:rsid w:val="00CB676A"/>
    <w:rsid w:val="00CB69B9"/>
    <w:rsid w:val="00CB69C9"/>
    <w:rsid w:val="00CB69E1"/>
    <w:rsid w:val="00CB6A0A"/>
    <w:rsid w:val="00CB6A32"/>
    <w:rsid w:val="00CB6AAD"/>
    <w:rsid w:val="00CB6B36"/>
    <w:rsid w:val="00CB6B5A"/>
    <w:rsid w:val="00CB6B5E"/>
    <w:rsid w:val="00CB6B90"/>
    <w:rsid w:val="00CB6BEF"/>
    <w:rsid w:val="00CB6C48"/>
    <w:rsid w:val="00CB6D59"/>
    <w:rsid w:val="00CB6F05"/>
    <w:rsid w:val="00CB724D"/>
    <w:rsid w:val="00CB727B"/>
    <w:rsid w:val="00CB742D"/>
    <w:rsid w:val="00CB7522"/>
    <w:rsid w:val="00CB752B"/>
    <w:rsid w:val="00CB76E4"/>
    <w:rsid w:val="00CB771A"/>
    <w:rsid w:val="00CB77C0"/>
    <w:rsid w:val="00CB78F3"/>
    <w:rsid w:val="00CB7C69"/>
    <w:rsid w:val="00CB7D2A"/>
    <w:rsid w:val="00CB7D6D"/>
    <w:rsid w:val="00CC0071"/>
    <w:rsid w:val="00CC033B"/>
    <w:rsid w:val="00CC0544"/>
    <w:rsid w:val="00CC05A1"/>
    <w:rsid w:val="00CC078E"/>
    <w:rsid w:val="00CC07D9"/>
    <w:rsid w:val="00CC0898"/>
    <w:rsid w:val="00CC0E2D"/>
    <w:rsid w:val="00CC0E71"/>
    <w:rsid w:val="00CC0E7F"/>
    <w:rsid w:val="00CC0F5D"/>
    <w:rsid w:val="00CC0FB7"/>
    <w:rsid w:val="00CC1108"/>
    <w:rsid w:val="00CC1230"/>
    <w:rsid w:val="00CC1444"/>
    <w:rsid w:val="00CC1602"/>
    <w:rsid w:val="00CC17EA"/>
    <w:rsid w:val="00CC18C4"/>
    <w:rsid w:val="00CC18EA"/>
    <w:rsid w:val="00CC1A17"/>
    <w:rsid w:val="00CC1B75"/>
    <w:rsid w:val="00CC1D4D"/>
    <w:rsid w:val="00CC1EB5"/>
    <w:rsid w:val="00CC2023"/>
    <w:rsid w:val="00CC203D"/>
    <w:rsid w:val="00CC23BC"/>
    <w:rsid w:val="00CC2443"/>
    <w:rsid w:val="00CC2829"/>
    <w:rsid w:val="00CC2850"/>
    <w:rsid w:val="00CC2910"/>
    <w:rsid w:val="00CC2915"/>
    <w:rsid w:val="00CC291D"/>
    <w:rsid w:val="00CC2B0A"/>
    <w:rsid w:val="00CC2B86"/>
    <w:rsid w:val="00CC2CF2"/>
    <w:rsid w:val="00CC2D84"/>
    <w:rsid w:val="00CC2D9E"/>
    <w:rsid w:val="00CC2E32"/>
    <w:rsid w:val="00CC2E61"/>
    <w:rsid w:val="00CC2F31"/>
    <w:rsid w:val="00CC2F8A"/>
    <w:rsid w:val="00CC3005"/>
    <w:rsid w:val="00CC3392"/>
    <w:rsid w:val="00CC3413"/>
    <w:rsid w:val="00CC346E"/>
    <w:rsid w:val="00CC36EA"/>
    <w:rsid w:val="00CC37C3"/>
    <w:rsid w:val="00CC3837"/>
    <w:rsid w:val="00CC388E"/>
    <w:rsid w:val="00CC3B48"/>
    <w:rsid w:val="00CC3C2E"/>
    <w:rsid w:val="00CC3D27"/>
    <w:rsid w:val="00CC3F5B"/>
    <w:rsid w:val="00CC4046"/>
    <w:rsid w:val="00CC404D"/>
    <w:rsid w:val="00CC413A"/>
    <w:rsid w:val="00CC4214"/>
    <w:rsid w:val="00CC433E"/>
    <w:rsid w:val="00CC43DB"/>
    <w:rsid w:val="00CC4486"/>
    <w:rsid w:val="00CC4598"/>
    <w:rsid w:val="00CC467F"/>
    <w:rsid w:val="00CC4811"/>
    <w:rsid w:val="00CC4939"/>
    <w:rsid w:val="00CC4981"/>
    <w:rsid w:val="00CC4A45"/>
    <w:rsid w:val="00CC4A99"/>
    <w:rsid w:val="00CC4B19"/>
    <w:rsid w:val="00CC4C85"/>
    <w:rsid w:val="00CC4DF1"/>
    <w:rsid w:val="00CC4FBC"/>
    <w:rsid w:val="00CC5093"/>
    <w:rsid w:val="00CC52F5"/>
    <w:rsid w:val="00CC55A2"/>
    <w:rsid w:val="00CC562F"/>
    <w:rsid w:val="00CC5675"/>
    <w:rsid w:val="00CC56BF"/>
    <w:rsid w:val="00CC56F7"/>
    <w:rsid w:val="00CC5953"/>
    <w:rsid w:val="00CC5A3C"/>
    <w:rsid w:val="00CC5A68"/>
    <w:rsid w:val="00CC5AF3"/>
    <w:rsid w:val="00CC5CC3"/>
    <w:rsid w:val="00CC5DCA"/>
    <w:rsid w:val="00CC5F02"/>
    <w:rsid w:val="00CC6148"/>
    <w:rsid w:val="00CC61F4"/>
    <w:rsid w:val="00CC623A"/>
    <w:rsid w:val="00CC637B"/>
    <w:rsid w:val="00CC6405"/>
    <w:rsid w:val="00CC658D"/>
    <w:rsid w:val="00CC65E4"/>
    <w:rsid w:val="00CC6984"/>
    <w:rsid w:val="00CC6CEF"/>
    <w:rsid w:val="00CC6D4E"/>
    <w:rsid w:val="00CC6DDE"/>
    <w:rsid w:val="00CC6E38"/>
    <w:rsid w:val="00CC71EE"/>
    <w:rsid w:val="00CC72B7"/>
    <w:rsid w:val="00CC736B"/>
    <w:rsid w:val="00CC7572"/>
    <w:rsid w:val="00CC76CD"/>
    <w:rsid w:val="00CC771A"/>
    <w:rsid w:val="00CC7BB1"/>
    <w:rsid w:val="00CD0729"/>
    <w:rsid w:val="00CD0B0C"/>
    <w:rsid w:val="00CD0B68"/>
    <w:rsid w:val="00CD0E2D"/>
    <w:rsid w:val="00CD0E49"/>
    <w:rsid w:val="00CD0E94"/>
    <w:rsid w:val="00CD0F19"/>
    <w:rsid w:val="00CD1060"/>
    <w:rsid w:val="00CD1216"/>
    <w:rsid w:val="00CD1498"/>
    <w:rsid w:val="00CD1528"/>
    <w:rsid w:val="00CD1622"/>
    <w:rsid w:val="00CD1878"/>
    <w:rsid w:val="00CD1DCD"/>
    <w:rsid w:val="00CD1E8D"/>
    <w:rsid w:val="00CD1EBA"/>
    <w:rsid w:val="00CD1F88"/>
    <w:rsid w:val="00CD2465"/>
    <w:rsid w:val="00CD287A"/>
    <w:rsid w:val="00CD2AA9"/>
    <w:rsid w:val="00CD2CDC"/>
    <w:rsid w:val="00CD2ECF"/>
    <w:rsid w:val="00CD2F1A"/>
    <w:rsid w:val="00CD2F26"/>
    <w:rsid w:val="00CD2F28"/>
    <w:rsid w:val="00CD30B8"/>
    <w:rsid w:val="00CD3109"/>
    <w:rsid w:val="00CD31B6"/>
    <w:rsid w:val="00CD367A"/>
    <w:rsid w:val="00CD368D"/>
    <w:rsid w:val="00CD3EE5"/>
    <w:rsid w:val="00CD3F03"/>
    <w:rsid w:val="00CD40BC"/>
    <w:rsid w:val="00CD42EB"/>
    <w:rsid w:val="00CD44A5"/>
    <w:rsid w:val="00CD45FE"/>
    <w:rsid w:val="00CD47B7"/>
    <w:rsid w:val="00CD4A4E"/>
    <w:rsid w:val="00CD4A97"/>
    <w:rsid w:val="00CD4AC2"/>
    <w:rsid w:val="00CD4E13"/>
    <w:rsid w:val="00CD4E1F"/>
    <w:rsid w:val="00CD4E66"/>
    <w:rsid w:val="00CD4EFE"/>
    <w:rsid w:val="00CD4FD6"/>
    <w:rsid w:val="00CD510A"/>
    <w:rsid w:val="00CD5114"/>
    <w:rsid w:val="00CD518A"/>
    <w:rsid w:val="00CD51B5"/>
    <w:rsid w:val="00CD54BA"/>
    <w:rsid w:val="00CD5602"/>
    <w:rsid w:val="00CD5773"/>
    <w:rsid w:val="00CD57E0"/>
    <w:rsid w:val="00CD590F"/>
    <w:rsid w:val="00CD5A63"/>
    <w:rsid w:val="00CD5B8B"/>
    <w:rsid w:val="00CD5C8B"/>
    <w:rsid w:val="00CD5CA0"/>
    <w:rsid w:val="00CD5F8F"/>
    <w:rsid w:val="00CD5F9D"/>
    <w:rsid w:val="00CD6028"/>
    <w:rsid w:val="00CD604A"/>
    <w:rsid w:val="00CD62FC"/>
    <w:rsid w:val="00CD633E"/>
    <w:rsid w:val="00CD63E5"/>
    <w:rsid w:val="00CD640F"/>
    <w:rsid w:val="00CD6609"/>
    <w:rsid w:val="00CD6871"/>
    <w:rsid w:val="00CD69E3"/>
    <w:rsid w:val="00CD6AE3"/>
    <w:rsid w:val="00CD6EB1"/>
    <w:rsid w:val="00CD6EFB"/>
    <w:rsid w:val="00CD6F6B"/>
    <w:rsid w:val="00CD71B0"/>
    <w:rsid w:val="00CD73F0"/>
    <w:rsid w:val="00CD7595"/>
    <w:rsid w:val="00CD75B9"/>
    <w:rsid w:val="00CD7629"/>
    <w:rsid w:val="00CD7961"/>
    <w:rsid w:val="00CD7AE6"/>
    <w:rsid w:val="00CD7C0C"/>
    <w:rsid w:val="00CD7DA5"/>
    <w:rsid w:val="00CD7DAF"/>
    <w:rsid w:val="00CD7F22"/>
    <w:rsid w:val="00CE0052"/>
    <w:rsid w:val="00CE018E"/>
    <w:rsid w:val="00CE02A6"/>
    <w:rsid w:val="00CE03AB"/>
    <w:rsid w:val="00CE04E3"/>
    <w:rsid w:val="00CE04EC"/>
    <w:rsid w:val="00CE0633"/>
    <w:rsid w:val="00CE077B"/>
    <w:rsid w:val="00CE085D"/>
    <w:rsid w:val="00CE0A03"/>
    <w:rsid w:val="00CE0A29"/>
    <w:rsid w:val="00CE0A7D"/>
    <w:rsid w:val="00CE0D21"/>
    <w:rsid w:val="00CE0D43"/>
    <w:rsid w:val="00CE0DC8"/>
    <w:rsid w:val="00CE0E16"/>
    <w:rsid w:val="00CE15B5"/>
    <w:rsid w:val="00CE1733"/>
    <w:rsid w:val="00CE1739"/>
    <w:rsid w:val="00CE1925"/>
    <w:rsid w:val="00CE1A07"/>
    <w:rsid w:val="00CE1BA9"/>
    <w:rsid w:val="00CE1CA1"/>
    <w:rsid w:val="00CE1D30"/>
    <w:rsid w:val="00CE2077"/>
    <w:rsid w:val="00CE20F8"/>
    <w:rsid w:val="00CE2440"/>
    <w:rsid w:val="00CE2599"/>
    <w:rsid w:val="00CE276D"/>
    <w:rsid w:val="00CE27D5"/>
    <w:rsid w:val="00CE287E"/>
    <w:rsid w:val="00CE2910"/>
    <w:rsid w:val="00CE29DE"/>
    <w:rsid w:val="00CE2E99"/>
    <w:rsid w:val="00CE2F4B"/>
    <w:rsid w:val="00CE2F6B"/>
    <w:rsid w:val="00CE2F8A"/>
    <w:rsid w:val="00CE2FE9"/>
    <w:rsid w:val="00CE30B5"/>
    <w:rsid w:val="00CE3245"/>
    <w:rsid w:val="00CE3643"/>
    <w:rsid w:val="00CE36B8"/>
    <w:rsid w:val="00CE3A7B"/>
    <w:rsid w:val="00CE3A85"/>
    <w:rsid w:val="00CE3A96"/>
    <w:rsid w:val="00CE3B40"/>
    <w:rsid w:val="00CE3BDE"/>
    <w:rsid w:val="00CE3ED1"/>
    <w:rsid w:val="00CE405A"/>
    <w:rsid w:val="00CE40C7"/>
    <w:rsid w:val="00CE4120"/>
    <w:rsid w:val="00CE4165"/>
    <w:rsid w:val="00CE4319"/>
    <w:rsid w:val="00CE4452"/>
    <w:rsid w:val="00CE4730"/>
    <w:rsid w:val="00CE4805"/>
    <w:rsid w:val="00CE4A58"/>
    <w:rsid w:val="00CE4C31"/>
    <w:rsid w:val="00CE4CFC"/>
    <w:rsid w:val="00CE4D1A"/>
    <w:rsid w:val="00CE4D7F"/>
    <w:rsid w:val="00CE4EAE"/>
    <w:rsid w:val="00CE4F92"/>
    <w:rsid w:val="00CE4FC5"/>
    <w:rsid w:val="00CE550E"/>
    <w:rsid w:val="00CE5714"/>
    <w:rsid w:val="00CE5795"/>
    <w:rsid w:val="00CE58DD"/>
    <w:rsid w:val="00CE59E8"/>
    <w:rsid w:val="00CE5A3E"/>
    <w:rsid w:val="00CE5AC0"/>
    <w:rsid w:val="00CE5F25"/>
    <w:rsid w:val="00CE604F"/>
    <w:rsid w:val="00CE614D"/>
    <w:rsid w:val="00CE635D"/>
    <w:rsid w:val="00CE6422"/>
    <w:rsid w:val="00CE6532"/>
    <w:rsid w:val="00CE6611"/>
    <w:rsid w:val="00CE66BF"/>
    <w:rsid w:val="00CE6701"/>
    <w:rsid w:val="00CE67E3"/>
    <w:rsid w:val="00CE6A1D"/>
    <w:rsid w:val="00CE6A81"/>
    <w:rsid w:val="00CE6AA1"/>
    <w:rsid w:val="00CE7322"/>
    <w:rsid w:val="00CE73E6"/>
    <w:rsid w:val="00CE76AE"/>
    <w:rsid w:val="00CE76F0"/>
    <w:rsid w:val="00CE777B"/>
    <w:rsid w:val="00CE781D"/>
    <w:rsid w:val="00CE79BA"/>
    <w:rsid w:val="00CE7D77"/>
    <w:rsid w:val="00CE7F02"/>
    <w:rsid w:val="00CF006B"/>
    <w:rsid w:val="00CF01F4"/>
    <w:rsid w:val="00CF03C4"/>
    <w:rsid w:val="00CF041B"/>
    <w:rsid w:val="00CF0481"/>
    <w:rsid w:val="00CF0763"/>
    <w:rsid w:val="00CF07C1"/>
    <w:rsid w:val="00CF07FD"/>
    <w:rsid w:val="00CF081F"/>
    <w:rsid w:val="00CF083B"/>
    <w:rsid w:val="00CF0A6E"/>
    <w:rsid w:val="00CF0B69"/>
    <w:rsid w:val="00CF0B79"/>
    <w:rsid w:val="00CF0EAF"/>
    <w:rsid w:val="00CF0FD6"/>
    <w:rsid w:val="00CF124C"/>
    <w:rsid w:val="00CF1281"/>
    <w:rsid w:val="00CF1457"/>
    <w:rsid w:val="00CF1595"/>
    <w:rsid w:val="00CF159C"/>
    <w:rsid w:val="00CF17BB"/>
    <w:rsid w:val="00CF17E9"/>
    <w:rsid w:val="00CF1873"/>
    <w:rsid w:val="00CF1881"/>
    <w:rsid w:val="00CF18E7"/>
    <w:rsid w:val="00CF1983"/>
    <w:rsid w:val="00CF19E5"/>
    <w:rsid w:val="00CF1A93"/>
    <w:rsid w:val="00CF2039"/>
    <w:rsid w:val="00CF205E"/>
    <w:rsid w:val="00CF24E8"/>
    <w:rsid w:val="00CF2501"/>
    <w:rsid w:val="00CF2A6E"/>
    <w:rsid w:val="00CF2B01"/>
    <w:rsid w:val="00CF2BBC"/>
    <w:rsid w:val="00CF2DD1"/>
    <w:rsid w:val="00CF2F15"/>
    <w:rsid w:val="00CF3197"/>
    <w:rsid w:val="00CF31C1"/>
    <w:rsid w:val="00CF322E"/>
    <w:rsid w:val="00CF3603"/>
    <w:rsid w:val="00CF3A4B"/>
    <w:rsid w:val="00CF3B56"/>
    <w:rsid w:val="00CF3B7C"/>
    <w:rsid w:val="00CF3C27"/>
    <w:rsid w:val="00CF3CEB"/>
    <w:rsid w:val="00CF3E56"/>
    <w:rsid w:val="00CF3EC8"/>
    <w:rsid w:val="00CF3ECC"/>
    <w:rsid w:val="00CF3FE9"/>
    <w:rsid w:val="00CF4083"/>
    <w:rsid w:val="00CF40AD"/>
    <w:rsid w:val="00CF40BC"/>
    <w:rsid w:val="00CF41B4"/>
    <w:rsid w:val="00CF41DC"/>
    <w:rsid w:val="00CF42A0"/>
    <w:rsid w:val="00CF446D"/>
    <w:rsid w:val="00CF4584"/>
    <w:rsid w:val="00CF469C"/>
    <w:rsid w:val="00CF46CA"/>
    <w:rsid w:val="00CF4879"/>
    <w:rsid w:val="00CF4A59"/>
    <w:rsid w:val="00CF4A9B"/>
    <w:rsid w:val="00CF4B3B"/>
    <w:rsid w:val="00CF4B48"/>
    <w:rsid w:val="00CF4C94"/>
    <w:rsid w:val="00CF4D25"/>
    <w:rsid w:val="00CF5002"/>
    <w:rsid w:val="00CF5058"/>
    <w:rsid w:val="00CF5063"/>
    <w:rsid w:val="00CF521B"/>
    <w:rsid w:val="00CF5239"/>
    <w:rsid w:val="00CF5327"/>
    <w:rsid w:val="00CF5328"/>
    <w:rsid w:val="00CF5353"/>
    <w:rsid w:val="00CF558A"/>
    <w:rsid w:val="00CF581E"/>
    <w:rsid w:val="00CF5A08"/>
    <w:rsid w:val="00CF5A32"/>
    <w:rsid w:val="00CF5A6E"/>
    <w:rsid w:val="00CF5A76"/>
    <w:rsid w:val="00CF5A9F"/>
    <w:rsid w:val="00CF5AEE"/>
    <w:rsid w:val="00CF5C2A"/>
    <w:rsid w:val="00CF5C40"/>
    <w:rsid w:val="00CF5E9D"/>
    <w:rsid w:val="00CF5EA8"/>
    <w:rsid w:val="00CF5F74"/>
    <w:rsid w:val="00CF5FD5"/>
    <w:rsid w:val="00CF601F"/>
    <w:rsid w:val="00CF60E6"/>
    <w:rsid w:val="00CF62AD"/>
    <w:rsid w:val="00CF62C9"/>
    <w:rsid w:val="00CF6678"/>
    <w:rsid w:val="00CF677D"/>
    <w:rsid w:val="00CF67E0"/>
    <w:rsid w:val="00CF68AD"/>
    <w:rsid w:val="00CF69AC"/>
    <w:rsid w:val="00CF6D0E"/>
    <w:rsid w:val="00CF6E32"/>
    <w:rsid w:val="00CF6F5B"/>
    <w:rsid w:val="00CF6F62"/>
    <w:rsid w:val="00CF7000"/>
    <w:rsid w:val="00CF70CE"/>
    <w:rsid w:val="00CF7592"/>
    <w:rsid w:val="00CF769E"/>
    <w:rsid w:val="00CF7851"/>
    <w:rsid w:val="00CF796B"/>
    <w:rsid w:val="00CF7C5B"/>
    <w:rsid w:val="00CF7C6B"/>
    <w:rsid w:val="00CF7D7C"/>
    <w:rsid w:val="00CF7E11"/>
    <w:rsid w:val="00D00108"/>
    <w:rsid w:val="00D00128"/>
    <w:rsid w:val="00D001FE"/>
    <w:rsid w:val="00D002AC"/>
    <w:rsid w:val="00D002DD"/>
    <w:rsid w:val="00D003AC"/>
    <w:rsid w:val="00D0059C"/>
    <w:rsid w:val="00D0062F"/>
    <w:rsid w:val="00D00763"/>
    <w:rsid w:val="00D008B3"/>
    <w:rsid w:val="00D00916"/>
    <w:rsid w:val="00D0092B"/>
    <w:rsid w:val="00D00B67"/>
    <w:rsid w:val="00D00D42"/>
    <w:rsid w:val="00D00F5E"/>
    <w:rsid w:val="00D01039"/>
    <w:rsid w:val="00D010C7"/>
    <w:rsid w:val="00D0129E"/>
    <w:rsid w:val="00D013CA"/>
    <w:rsid w:val="00D01544"/>
    <w:rsid w:val="00D015C6"/>
    <w:rsid w:val="00D01673"/>
    <w:rsid w:val="00D016B4"/>
    <w:rsid w:val="00D0184E"/>
    <w:rsid w:val="00D018C2"/>
    <w:rsid w:val="00D01BB9"/>
    <w:rsid w:val="00D0241E"/>
    <w:rsid w:val="00D02547"/>
    <w:rsid w:val="00D025AA"/>
    <w:rsid w:val="00D02688"/>
    <w:rsid w:val="00D026A8"/>
    <w:rsid w:val="00D02786"/>
    <w:rsid w:val="00D02895"/>
    <w:rsid w:val="00D0291F"/>
    <w:rsid w:val="00D02C18"/>
    <w:rsid w:val="00D02CEB"/>
    <w:rsid w:val="00D02D92"/>
    <w:rsid w:val="00D02F95"/>
    <w:rsid w:val="00D03156"/>
    <w:rsid w:val="00D031CA"/>
    <w:rsid w:val="00D03853"/>
    <w:rsid w:val="00D03B1F"/>
    <w:rsid w:val="00D03C05"/>
    <w:rsid w:val="00D03EBD"/>
    <w:rsid w:val="00D03FB8"/>
    <w:rsid w:val="00D040BE"/>
    <w:rsid w:val="00D04396"/>
    <w:rsid w:val="00D0441A"/>
    <w:rsid w:val="00D0444E"/>
    <w:rsid w:val="00D0450A"/>
    <w:rsid w:val="00D045E4"/>
    <w:rsid w:val="00D046F4"/>
    <w:rsid w:val="00D048E3"/>
    <w:rsid w:val="00D04A09"/>
    <w:rsid w:val="00D04AF8"/>
    <w:rsid w:val="00D04CE3"/>
    <w:rsid w:val="00D04DF2"/>
    <w:rsid w:val="00D04EF6"/>
    <w:rsid w:val="00D04FFF"/>
    <w:rsid w:val="00D05282"/>
    <w:rsid w:val="00D053EF"/>
    <w:rsid w:val="00D05526"/>
    <w:rsid w:val="00D056D7"/>
    <w:rsid w:val="00D0588F"/>
    <w:rsid w:val="00D058EE"/>
    <w:rsid w:val="00D05A7F"/>
    <w:rsid w:val="00D05AD8"/>
    <w:rsid w:val="00D05B1D"/>
    <w:rsid w:val="00D05BDA"/>
    <w:rsid w:val="00D05C2D"/>
    <w:rsid w:val="00D05DFD"/>
    <w:rsid w:val="00D0612B"/>
    <w:rsid w:val="00D06148"/>
    <w:rsid w:val="00D06832"/>
    <w:rsid w:val="00D06BAE"/>
    <w:rsid w:val="00D06DB7"/>
    <w:rsid w:val="00D06E9F"/>
    <w:rsid w:val="00D07202"/>
    <w:rsid w:val="00D07281"/>
    <w:rsid w:val="00D07299"/>
    <w:rsid w:val="00D0749D"/>
    <w:rsid w:val="00D074D3"/>
    <w:rsid w:val="00D0762F"/>
    <w:rsid w:val="00D07798"/>
    <w:rsid w:val="00D0787B"/>
    <w:rsid w:val="00D078B8"/>
    <w:rsid w:val="00D078CF"/>
    <w:rsid w:val="00D078D7"/>
    <w:rsid w:val="00D07922"/>
    <w:rsid w:val="00D07936"/>
    <w:rsid w:val="00D079E7"/>
    <w:rsid w:val="00D07BBE"/>
    <w:rsid w:val="00D07CCB"/>
    <w:rsid w:val="00D07D4B"/>
    <w:rsid w:val="00D07D70"/>
    <w:rsid w:val="00D07FC0"/>
    <w:rsid w:val="00D1021F"/>
    <w:rsid w:val="00D1026D"/>
    <w:rsid w:val="00D10424"/>
    <w:rsid w:val="00D1045B"/>
    <w:rsid w:val="00D104BE"/>
    <w:rsid w:val="00D1050E"/>
    <w:rsid w:val="00D105AC"/>
    <w:rsid w:val="00D10647"/>
    <w:rsid w:val="00D1071E"/>
    <w:rsid w:val="00D1097F"/>
    <w:rsid w:val="00D10BCF"/>
    <w:rsid w:val="00D10BE7"/>
    <w:rsid w:val="00D10C94"/>
    <w:rsid w:val="00D10E89"/>
    <w:rsid w:val="00D10EC9"/>
    <w:rsid w:val="00D11161"/>
    <w:rsid w:val="00D11379"/>
    <w:rsid w:val="00D11433"/>
    <w:rsid w:val="00D11436"/>
    <w:rsid w:val="00D114B6"/>
    <w:rsid w:val="00D116DF"/>
    <w:rsid w:val="00D119C8"/>
    <w:rsid w:val="00D11AB0"/>
    <w:rsid w:val="00D11B5B"/>
    <w:rsid w:val="00D11C5B"/>
    <w:rsid w:val="00D11E43"/>
    <w:rsid w:val="00D11F58"/>
    <w:rsid w:val="00D1201C"/>
    <w:rsid w:val="00D12039"/>
    <w:rsid w:val="00D12325"/>
    <w:rsid w:val="00D12405"/>
    <w:rsid w:val="00D12468"/>
    <w:rsid w:val="00D124F9"/>
    <w:rsid w:val="00D1257B"/>
    <w:rsid w:val="00D1284B"/>
    <w:rsid w:val="00D12B98"/>
    <w:rsid w:val="00D12CDC"/>
    <w:rsid w:val="00D13068"/>
    <w:rsid w:val="00D138A7"/>
    <w:rsid w:val="00D1397E"/>
    <w:rsid w:val="00D13DCD"/>
    <w:rsid w:val="00D13E80"/>
    <w:rsid w:val="00D13EB5"/>
    <w:rsid w:val="00D1412C"/>
    <w:rsid w:val="00D1421B"/>
    <w:rsid w:val="00D142E4"/>
    <w:rsid w:val="00D14511"/>
    <w:rsid w:val="00D14517"/>
    <w:rsid w:val="00D145C4"/>
    <w:rsid w:val="00D14644"/>
    <w:rsid w:val="00D1468D"/>
    <w:rsid w:val="00D14775"/>
    <w:rsid w:val="00D1489A"/>
    <w:rsid w:val="00D149D1"/>
    <w:rsid w:val="00D14ACF"/>
    <w:rsid w:val="00D14BB9"/>
    <w:rsid w:val="00D14BCA"/>
    <w:rsid w:val="00D14CA5"/>
    <w:rsid w:val="00D14D23"/>
    <w:rsid w:val="00D14E74"/>
    <w:rsid w:val="00D150C6"/>
    <w:rsid w:val="00D150CF"/>
    <w:rsid w:val="00D15231"/>
    <w:rsid w:val="00D153C1"/>
    <w:rsid w:val="00D1572F"/>
    <w:rsid w:val="00D157E4"/>
    <w:rsid w:val="00D15935"/>
    <w:rsid w:val="00D159ED"/>
    <w:rsid w:val="00D15AB1"/>
    <w:rsid w:val="00D15AD1"/>
    <w:rsid w:val="00D15B34"/>
    <w:rsid w:val="00D15CE5"/>
    <w:rsid w:val="00D15D63"/>
    <w:rsid w:val="00D15F60"/>
    <w:rsid w:val="00D15F64"/>
    <w:rsid w:val="00D16028"/>
    <w:rsid w:val="00D1628D"/>
    <w:rsid w:val="00D16350"/>
    <w:rsid w:val="00D165E2"/>
    <w:rsid w:val="00D16610"/>
    <w:rsid w:val="00D16817"/>
    <w:rsid w:val="00D16CAC"/>
    <w:rsid w:val="00D16F91"/>
    <w:rsid w:val="00D17041"/>
    <w:rsid w:val="00D17056"/>
    <w:rsid w:val="00D17209"/>
    <w:rsid w:val="00D17229"/>
    <w:rsid w:val="00D17353"/>
    <w:rsid w:val="00D17358"/>
    <w:rsid w:val="00D1736C"/>
    <w:rsid w:val="00D17415"/>
    <w:rsid w:val="00D17771"/>
    <w:rsid w:val="00D17918"/>
    <w:rsid w:val="00D179D9"/>
    <w:rsid w:val="00D179DB"/>
    <w:rsid w:val="00D17ABC"/>
    <w:rsid w:val="00D17D72"/>
    <w:rsid w:val="00D17D8F"/>
    <w:rsid w:val="00D17DDB"/>
    <w:rsid w:val="00D17E02"/>
    <w:rsid w:val="00D17EC1"/>
    <w:rsid w:val="00D17F17"/>
    <w:rsid w:val="00D2017A"/>
    <w:rsid w:val="00D2020C"/>
    <w:rsid w:val="00D20217"/>
    <w:rsid w:val="00D206C8"/>
    <w:rsid w:val="00D20722"/>
    <w:rsid w:val="00D20A45"/>
    <w:rsid w:val="00D20BDE"/>
    <w:rsid w:val="00D20D17"/>
    <w:rsid w:val="00D20F32"/>
    <w:rsid w:val="00D21104"/>
    <w:rsid w:val="00D211C1"/>
    <w:rsid w:val="00D211D5"/>
    <w:rsid w:val="00D212EA"/>
    <w:rsid w:val="00D213BE"/>
    <w:rsid w:val="00D213E3"/>
    <w:rsid w:val="00D217B6"/>
    <w:rsid w:val="00D2184C"/>
    <w:rsid w:val="00D2188E"/>
    <w:rsid w:val="00D2193C"/>
    <w:rsid w:val="00D21DBB"/>
    <w:rsid w:val="00D21EE0"/>
    <w:rsid w:val="00D22024"/>
    <w:rsid w:val="00D220BF"/>
    <w:rsid w:val="00D220EB"/>
    <w:rsid w:val="00D221D0"/>
    <w:rsid w:val="00D22246"/>
    <w:rsid w:val="00D22377"/>
    <w:rsid w:val="00D2247B"/>
    <w:rsid w:val="00D22486"/>
    <w:rsid w:val="00D2251C"/>
    <w:rsid w:val="00D22556"/>
    <w:rsid w:val="00D226C5"/>
    <w:rsid w:val="00D226E0"/>
    <w:rsid w:val="00D22736"/>
    <w:rsid w:val="00D22990"/>
    <w:rsid w:val="00D22F86"/>
    <w:rsid w:val="00D22FDE"/>
    <w:rsid w:val="00D22FFB"/>
    <w:rsid w:val="00D23307"/>
    <w:rsid w:val="00D23731"/>
    <w:rsid w:val="00D2381C"/>
    <w:rsid w:val="00D238AC"/>
    <w:rsid w:val="00D23985"/>
    <w:rsid w:val="00D23B9E"/>
    <w:rsid w:val="00D23BFE"/>
    <w:rsid w:val="00D23E76"/>
    <w:rsid w:val="00D23E8B"/>
    <w:rsid w:val="00D23EC7"/>
    <w:rsid w:val="00D23F6F"/>
    <w:rsid w:val="00D24085"/>
    <w:rsid w:val="00D241E2"/>
    <w:rsid w:val="00D242AC"/>
    <w:rsid w:val="00D246D1"/>
    <w:rsid w:val="00D24711"/>
    <w:rsid w:val="00D2472C"/>
    <w:rsid w:val="00D247B1"/>
    <w:rsid w:val="00D247D4"/>
    <w:rsid w:val="00D249F3"/>
    <w:rsid w:val="00D24A02"/>
    <w:rsid w:val="00D24CA5"/>
    <w:rsid w:val="00D24D9D"/>
    <w:rsid w:val="00D24E59"/>
    <w:rsid w:val="00D24EC5"/>
    <w:rsid w:val="00D24ED5"/>
    <w:rsid w:val="00D24F27"/>
    <w:rsid w:val="00D24F67"/>
    <w:rsid w:val="00D24FC1"/>
    <w:rsid w:val="00D25129"/>
    <w:rsid w:val="00D25133"/>
    <w:rsid w:val="00D252CA"/>
    <w:rsid w:val="00D254AF"/>
    <w:rsid w:val="00D254BD"/>
    <w:rsid w:val="00D254EF"/>
    <w:rsid w:val="00D256E8"/>
    <w:rsid w:val="00D25799"/>
    <w:rsid w:val="00D25816"/>
    <w:rsid w:val="00D25999"/>
    <w:rsid w:val="00D259C6"/>
    <w:rsid w:val="00D25BCF"/>
    <w:rsid w:val="00D25C4F"/>
    <w:rsid w:val="00D25F04"/>
    <w:rsid w:val="00D26082"/>
    <w:rsid w:val="00D260CE"/>
    <w:rsid w:val="00D26577"/>
    <w:rsid w:val="00D266E4"/>
    <w:rsid w:val="00D2670E"/>
    <w:rsid w:val="00D26943"/>
    <w:rsid w:val="00D2699C"/>
    <w:rsid w:val="00D270A4"/>
    <w:rsid w:val="00D272A6"/>
    <w:rsid w:val="00D2735B"/>
    <w:rsid w:val="00D2752E"/>
    <w:rsid w:val="00D27617"/>
    <w:rsid w:val="00D276BF"/>
    <w:rsid w:val="00D2771C"/>
    <w:rsid w:val="00D277AE"/>
    <w:rsid w:val="00D2789E"/>
    <w:rsid w:val="00D279E3"/>
    <w:rsid w:val="00D27B46"/>
    <w:rsid w:val="00D27CDB"/>
    <w:rsid w:val="00D27F51"/>
    <w:rsid w:val="00D27FAB"/>
    <w:rsid w:val="00D30057"/>
    <w:rsid w:val="00D300EE"/>
    <w:rsid w:val="00D301A0"/>
    <w:rsid w:val="00D30269"/>
    <w:rsid w:val="00D304E4"/>
    <w:rsid w:val="00D306FD"/>
    <w:rsid w:val="00D3073D"/>
    <w:rsid w:val="00D3097E"/>
    <w:rsid w:val="00D30E3D"/>
    <w:rsid w:val="00D31354"/>
    <w:rsid w:val="00D313FC"/>
    <w:rsid w:val="00D314B1"/>
    <w:rsid w:val="00D3158B"/>
    <w:rsid w:val="00D3195C"/>
    <w:rsid w:val="00D31992"/>
    <w:rsid w:val="00D31B2E"/>
    <w:rsid w:val="00D31CE7"/>
    <w:rsid w:val="00D31E04"/>
    <w:rsid w:val="00D31F3B"/>
    <w:rsid w:val="00D32024"/>
    <w:rsid w:val="00D32028"/>
    <w:rsid w:val="00D3207E"/>
    <w:rsid w:val="00D322BA"/>
    <w:rsid w:val="00D32946"/>
    <w:rsid w:val="00D32C75"/>
    <w:rsid w:val="00D32D52"/>
    <w:rsid w:val="00D32DDF"/>
    <w:rsid w:val="00D32F4F"/>
    <w:rsid w:val="00D32F65"/>
    <w:rsid w:val="00D32FAE"/>
    <w:rsid w:val="00D33026"/>
    <w:rsid w:val="00D330B1"/>
    <w:rsid w:val="00D330B3"/>
    <w:rsid w:val="00D3327A"/>
    <w:rsid w:val="00D3334E"/>
    <w:rsid w:val="00D33559"/>
    <w:rsid w:val="00D3360C"/>
    <w:rsid w:val="00D3362F"/>
    <w:rsid w:val="00D33723"/>
    <w:rsid w:val="00D3389D"/>
    <w:rsid w:val="00D33913"/>
    <w:rsid w:val="00D33B4F"/>
    <w:rsid w:val="00D33B73"/>
    <w:rsid w:val="00D33B80"/>
    <w:rsid w:val="00D33CE3"/>
    <w:rsid w:val="00D33DD0"/>
    <w:rsid w:val="00D33E6E"/>
    <w:rsid w:val="00D33EB5"/>
    <w:rsid w:val="00D33EE9"/>
    <w:rsid w:val="00D33F34"/>
    <w:rsid w:val="00D33F46"/>
    <w:rsid w:val="00D340C2"/>
    <w:rsid w:val="00D341E9"/>
    <w:rsid w:val="00D34232"/>
    <w:rsid w:val="00D34262"/>
    <w:rsid w:val="00D342FC"/>
    <w:rsid w:val="00D344E1"/>
    <w:rsid w:val="00D3457B"/>
    <w:rsid w:val="00D3457C"/>
    <w:rsid w:val="00D345C7"/>
    <w:rsid w:val="00D34636"/>
    <w:rsid w:val="00D348A5"/>
    <w:rsid w:val="00D34934"/>
    <w:rsid w:val="00D34976"/>
    <w:rsid w:val="00D349AE"/>
    <w:rsid w:val="00D34A55"/>
    <w:rsid w:val="00D34B19"/>
    <w:rsid w:val="00D34D47"/>
    <w:rsid w:val="00D34F4C"/>
    <w:rsid w:val="00D3503C"/>
    <w:rsid w:val="00D35116"/>
    <w:rsid w:val="00D3568C"/>
    <w:rsid w:val="00D35771"/>
    <w:rsid w:val="00D35A71"/>
    <w:rsid w:val="00D35A8D"/>
    <w:rsid w:val="00D35AA8"/>
    <w:rsid w:val="00D35D72"/>
    <w:rsid w:val="00D35E93"/>
    <w:rsid w:val="00D35E97"/>
    <w:rsid w:val="00D35EB5"/>
    <w:rsid w:val="00D35F11"/>
    <w:rsid w:val="00D35F15"/>
    <w:rsid w:val="00D360D1"/>
    <w:rsid w:val="00D3619A"/>
    <w:rsid w:val="00D36222"/>
    <w:rsid w:val="00D36431"/>
    <w:rsid w:val="00D36510"/>
    <w:rsid w:val="00D3669B"/>
    <w:rsid w:val="00D36961"/>
    <w:rsid w:val="00D36A0E"/>
    <w:rsid w:val="00D36B2C"/>
    <w:rsid w:val="00D370A4"/>
    <w:rsid w:val="00D37108"/>
    <w:rsid w:val="00D3719A"/>
    <w:rsid w:val="00D373C5"/>
    <w:rsid w:val="00D374CA"/>
    <w:rsid w:val="00D374ED"/>
    <w:rsid w:val="00D3755C"/>
    <w:rsid w:val="00D37690"/>
    <w:rsid w:val="00D37CA9"/>
    <w:rsid w:val="00D37D31"/>
    <w:rsid w:val="00D37F3F"/>
    <w:rsid w:val="00D40136"/>
    <w:rsid w:val="00D40215"/>
    <w:rsid w:val="00D40420"/>
    <w:rsid w:val="00D4056E"/>
    <w:rsid w:val="00D40633"/>
    <w:rsid w:val="00D40683"/>
    <w:rsid w:val="00D406B6"/>
    <w:rsid w:val="00D407E9"/>
    <w:rsid w:val="00D40873"/>
    <w:rsid w:val="00D40987"/>
    <w:rsid w:val="00D40B38"/>
    <w:rsid w:val="00D40B69"/>
    <w:rsid w:val="00D40B73"/>
    <w:rsid w:val="00D40C9E"/>
    <w:rsid w:val="00D40E52"/>
    <w:rsid w:val="00D40F60"/>
    <w:rsid w:val="00D40F76"/>
    <w:rsid w:val="00D40FDD"/>
    <w:rsid w:val="00D410E2"/>
    <w:rsid w:val="00D41103"/>
    <w:rsid w:val="00D4122B"/>
    <w:rsid w:val="00D4127D"/>
    <w:rsid w:val="00D41310"/>
    <w:rsid w:val="00D413B6"/>
    <w:rsid w:val="00D414C3"/>
    <w:rsid w:val="00D414F8"/>
    <w:rsid w:val="00D41520"/>
    <w:rsid w:val="00D4156D"/>
    <w:rsid w:val="00D416FA"/>
    <w:rsid w:val="00D418B7"/>
    <w:rsid w:val="00D418E5"/>
    <w:rsid w:val="00D41937"/>
    <w:rsid w:val="00D41D80"/>
    <w:rsid w:val="00D41E0D"/>
    <w:rsid w:val="00D41E7F"/>
    <w:rsid w:val="00D41FEE"/>
    <w:rsid w:val="00D42034"/>
    <w:rsid w:val="00D42108"/>
    <w:rsid w:val="00D4222E"/>
    <w:rsid w:val="00D42232"/>
    <w:rsid w:val="00D4231E"/>
    <w:rsid w:val="00D42993"/>
    <w:rsid w:val="00D42A72"/>
    <w:rsid w:val="00D42AD1"/>
    <w:rsid w:val="00D42B0F"/>
    <w:rsid w:val="00D42B5B"/>
    <w:rsid w:val="00D42B96"/>
    <w:rsid w:val="00D42D4F"/>
    <w:rsid w:val="00D42E3A"/>
    <w:rsid w:val="00D432E6"/>
    <w:rsid w:val="00D43371"/>
    <w:rsid w:val="00D43442"/>
    <w:rsid w:val="00D4351F"/>
    <w:rsid w:val="00D43C2F"/>
    <w:rsid w:val="00D43D0F"/>
    <w:rsid w:val="00D43D16"/>
    <w:rsid w:val="00D43E64"/>
    <w:rsid w:val="00D4403C"/>
    <w:rsid w:val="00D440DF"/>
    <w:rsid w:val="00D44129"/>
    <w:rsid w:val="00D4424C"/>
    <w:rsid w:val="00D44466"/>
    <w:rsid w:val="00D445AD"/>
    <w:rsid w:val="00D445F1"/>
    <w:rsid w:val="00D44743"/>
    <w:rsid w:val="00D44799"/>
    <w:rsid w:val="00D44A89"/>
    <w:rsid w:val="00D44AA3"/>
    <w:rsid w:val="00D44B60"/>
    <w:rsid w:val="00D44BF3"/>
    <w:rsid w:val="00D44C4D"/>
    <w:rsid w:val="00D45116"/>
    <w:rsid w:val="00D4534E"/>
    <w:rsid w:val="00D45352"/>
    <w:rsid w:val="00D45430"/>
    <w:rsid w:val="00D45635"/>
    <w:rsid w:val="00D45CF4"/>
    <w:rsid w:val="00D45DAC"/>
    <w:rsid w:val="00D46068"/>
    <w:rsid w:val="00D4634A"/>
    <w:rsid w:val="00D464DC"/>
    <w:rsid w:val="00D46599"/>
    <w:rsid w:val="00D468D1"/>
    <w:rsid w:val="00D46976"/>
    <w:rsid w:val="00D46A83"/>
    <w:rsid w:val="00D46DC5"/>
    <w:rsid w:val="00D46F25"/>
    <w:rsid w:val="00D4708D"/>
    <w:rsid w:val="00D470A7"/>
    <w:rsid w:val="00D471B1"/>
    <w:rsid w:val="00D47413"/>
    <w:rsid w:val="00D474D2"/>
    <w:rsid w:val="00D474DE"/>
    <w:rsid w:val="00D4752A"/>
    <w:rsid w:val="00D4755F"/>
    <w:rsid w:val="00D47A88"/>
    <w:rsid w:val="00D47CC3"/>
    <w:rsid w:val="00D47CDC"/>
    <w:rsid w:val="00D47E07"/>
    <w:rsid w:val="00D47F64"/>
    <w:rsid w:val="00D500C0"/>
    <w:rsid w:val="00D5056B"/>
    <w:rsid w:val="00D50625"/>
    <w:rsid w:val="00D506C9"/>
    <w:rsid w:val="00D506D6"/>
    <w:rsid w:val="00D50779"/>
    <w:rsid w:val="00D507AA"/>
    <w:rsid w:val="00D50A00"/>
    <w:rsid w:val="00D50B7F"/>
    <w:rsid w:val="00D50BB5"/>
    <w:rsid w:val="00D50C0A"/>
    <w:rsid w:val="00D50EFF"/>
    <w:rsid w:val="00D51075"/>
    <w:rsid w:val="00D510DB"/>
    <w:rsid w:val="00D51102"/>
    <w:rsid w:val="00D5149E"/>
    <w:rsid w:val="00D5171B"/>
    <w:rsid w:val="00D51802"/>
    <w:rsid w:val="00D51805"/>
    <w:rsid w:val="00D51874"/>
    <w:rsid w:val="00D518AA"/>
    <w:rsid w:val="00D51AAB"/>
    <w:rsid w:val="00D51B32"/>
    <w:rsid w:val="00D51CA8"/>
    <w:rsid w:val="00D51E7C"/>
    <w:rsid w:val="00D520DE"/>
    <w:rsid w:val="00D523D5"/>
    <w:rsid w:val="00D5245D"/>
    <w:rsid w:val="00D5251E"/>
    <w:rsid w:val="00D5275F"/>
    <w:rsid w:val="00D5284E"/>
    <w:rsid w:val="00D52988"/>
    <w:rsid w:val="00D52AE2"/>
    <w:rsid w:val="00D52D2E"/>
    <w:rsid w:val="00D52D3D"/>
    <w:rsid w:val="00D52DFF"/>
    <w:rsid w:val="00D52E9D"/>
    <w:rsid w:val="00D532FB"/>
    <w:rsid w:val="00D535A3"/>
    <w:rsid w:val="00D536B8"/>
    <w:rsid w:val="00D537D3"/>
    <w:rsid w:val="00D5384A"/>
    <w:rsid w:val="00D53AF3"/>
    <w:rsid w:val="00D53B0E"/>
    <w:rsid w:val="00D53C29"/>
    <w:rsid w:val="00D53D08"/>
    <w:rsid w:val="00D53E44"/>
    <w:rsid w:val="00D540D1"/>
    <w:rsid w:val="00D541B3"/>
    <w:rsid w:val="00D541C9"/>
    <w:rsid w:val="00D543B8"/>
    <w:rsid w:val="00D544FD"/>
    <w:rsid w:val="00D54C9A"/>
    <w:rsid w:val="00D54E55"/>
    <w:rsid w:val="00D55307"/>
    <w:rsid w:val="00D55395"/>
    <w:rsid w:val="00D553D3"/>
    <w:rsid w:val="00D556F2"/>
    <w:rsid w:val="00D5582E"/>
    <w:rsid w:val="00D55A8D"/>
    <w:rsid w:val="00D55B86"/>
    <w:rsid w:val="00D55B8A"/>
    <w:rsid w:val="00D55BF8"/>
    <w:rsid w:val="00D55D98"/>
    <w:rsid w:val="00D55EC6"/>
    <w:rsid w:val="00D55F72"/>
    <w:rsid w:val="00D5601C"/>
    <w:rsid w:val="00D56194"/>
    <w:rsid w:val="00D561F5"/>
    <w:rsid w:val="00D564FE"/>
    <w:rsid w:val="00D5669B"/>
    <w:rsid w:val="00D56A71"/>
    <w:rsid w:val="00D57078"/>
    <w:rsid w:val="00D5740F"/>
    <w:rsid w:val="00D57498"/>
    <w:rsid w:val="00D574E1"/>
    <w:rsid w:val="00D5777C"/>
    <w:rsid w:val="00D5779D"/>
    <w:rsid w:val="00D577C7"/>
    <w:rsid w:val="00D578F7"/>
    <w:rsid w:val="00D57961"/>
    <w:rsid w:val="00D57A22"/>
    <w:rsid w:val="00D57B33"/>
    <w:rsid w:val="00D57C4A"/>
    <w:rsid w:val="00D57E56"/>
    <w:rsid w:val="00D57E60"/>
    <w:rsid w:val="00D57F38"/>
    <w:rsid w:val="00D60084"/>
    <w:rsid w:val="00D60271"/>
    <w:rsid w:val="00D60289"/>
    <w:rsid w:val="00D602E6"/>
    <w:rsid w:val="00D602F4"/>
    <w:rsid w:val="00D60492"/>
    <w:rsid w:val="00D606E8"/>
    <w:rsid w:val="00D60707"/>
    <w:rsid w:val="00D6084E"/>
    <w:rsid w:val="00D609AC"/>
    <w:rsid w:val="00D60A85"/>
    <w:rsid w:val="00D60AF6"/>
    <w:rsid w:val="00D60C75"/>
    <w:rsid w:val="00D60C8D"/>
    <w:rsid w:val="00D60D64"/>
    <w:rsid w:val="00D61206"/>
    <w:rsid w:val="00D61294"/>
    <w:rsid w:val="00D613F3"/>
    <w:rsid w:val="00D6146F"/>
    <w:rsid w:val="00D6154D"/>
    <w:rsid w:val="00D617B2"/>
    <w:rsid w:val="00D61B5D"/>
    <w:rsid w:val="00D61B8A"/>
    <w:rsid w:val="00D62270"/>
    <w:rsid w:val="00D623D8"/>
    <w:rsid w:val="00D623F2"/>
    <w:rsid w:val="00D62526"/>
    <w:rsid w:val="00D6254B"/>
    <w:rsid w:val="00D627AF"/>
    <w:rsid w:val="00D62974"/>
    <w:rsid w:val="00D62B4B"/>
    <w:rsid w:val="00D62DBC"/>
    <w:rsid w:val="00D62E09"/>
    <w:rsid w:val="00D62E76"/>
    <w:rsid w:val="00D631ED"/>
    <w:rsid w:val="00D6338F"/>
    <w:rsid w:val="00D633E0"/>
    <w:rsid w:val="00D633F6"/>
    <w:rsid w:val="00D634CF"/>
    <w:rsid w:val="00D6351F"/>
    <w:rsid w:val="00D635EA"/>
    <w:rsid w:val="00D636B3"/>
    <w:rsid w:val="00D6374A"/>
    <w:rsid w:val="00D637E8"/>
    <w:rsid w:val="00D6396A"/>
    <w:rsid w:val="00D6397C"/>
    <w:rsid w:val="00D63A3B"/>
    <w:rsid w:val="00D63A7E"/>
    <w:rsid w:val="00D63ADA"/>
    <w:rsid w:val="00D63B58"/>
    <w:rsid w:val="00D63DB8"/>
    <w:rsid w:val="00D63E09"/>
    <w:rsid w:val="00D640EB"/>
    <w:rsid w:val="00D64153"/>
    <w:rsid w:val="00D641A1"/>
    <w:rsid w:val="00D641ED"/>
    <w:rsid w:val="00D643A4"/>
    <w:rsid w:val="00D645C9"/>
    <w:rsid w:val="00D6498F"/>
    <w:rsid w:val="00D64B08"/>
    <w:rsid w:val="00D64B25"/>
    <w:rsid w:val="00D64C8F"/>
    <w:rsid w:val="00D64DEF"/>
    <w:rsid w:val="00D64E32"/>
    <w:rsid w:val="00D64F0C"/>
    <w:rsid w:val="00D650B6"/>
    <w:rsid w:val="00D65253"/>
    <w:rsid w:val="00D6555B"/>
    <w:rsid w:val="00D65725"/>
    <w:rsid w:val="00D6576A"/>
    <w:rsid w:val="00D65848"/>
    <w:rsid w:val="00D65B1C"/>
    <w:rsid w:val="00D65B22"/>
    <w:rsid w:val="00D65BBD"/>
    <w:rsid w:val="00D65C69"/>
    <w:rsid w:val="00D65D03"/>
    <w:rsid w:val="00D65F7B"/>
    <w:rsid w:val="00D660DC"/>
    <w:rsid w:val="00D661C7"/>
    <w:rsid w:val="00D66362"/>
    <w:rsid w:val="00D663B4"/>
    <w:rsid w:val="00D66501"/>
    <w:rsid w:val="00D666AE"/>
    <w:rsid w:val="00D66787"/>
    <w:rsid w:val="00D667FF"/>
    <w:rsid w:val="00D66980"/>
    <w:rsid w:val="00D66C9E"/>
    <w:rsid w:val="00D66EDA"/>
    <w:rsid w:val="00D670DC"/>
    <w:rsid w:val="00D67168"/>
    <w:rsid w:val="00D67335"/>
    <w:rsid w:val="00D673AC"/>
    <w:rsid w:val="00D67408"/>
    <w:rsid w:val="00D67516"/>
    <w:rsid w:val="00D67BD0"/>
    <w:rsid w:val="00D67BDE"/>
    <w:rsid w:val="00D67DD5"/>
    <w:rsid w:val="00D67EC4"/>
    <w:rsid w:val="00D67F78"/>
    <w:rsid w:val="00D700D9"/>
    <w:rsid w:val="00D70431"/>
    <w:rsid w:val="00D70591"/>
    <w:rsid w:val="00D70754"/>
    <w:rsid w:val="00D707C2"/>
    <w:rsid w:val="00D7093E"/>
    <w:rsid w:val="00D7096B"/>
    <w:rsid w:val="00D70A79"/>
    <w:rsid w:val="00D70B5E"/>
    <w:rsid w:val="00D70B77"/>
    <w:rsid w:val="00D70BF3"/>
    <w:rsid w:val="00D70C09"/>
    <w:rsid w:val="00D70C64"/>
    <w:rsid w:val="00D70CCE"/>
    <w:rsid w:val="00D70DD6"/>
    <w:rsid w:val="00D70DDB"/>
    <w:rsid w:val="00D70E33"/>
    <w:rsid w:val="00D70EBF"/>
    <w:rsid w:val="00D70F9D"/>
    <w:rsid w:val="00D712B8"/>
    <w:rsid w:val="00D71768"/>
    <w:rsid w:val="00D719D3"/>
    <w:rsid w:val="00D71A44"/>
    <w:rsid w:val="00D71AA6"/>
    <w:rsid w:val="00D71C28"/>
    <w:rsid w:val="00D71DF6"/>
    <w:rsid w:val="00D71E22"/>
    <w:rsid w:val="00D71EB9"/>
    <w:rsid w:val="00D71F40"/>
    <w:rsid w:val="00D71F55"/>
    <w:rsid w:val="00D71FDB"/>
    <w:rsid w:val="00D720E6"/>
    <w:rsid w:val="00D722F9"/>
    <w:rsid w:val="00D723A6"/>
    <w:rsid w:val="00D72472"/>
    <w:rsid w:val="00D726C0"/>
    <w:rsid w:val="00D726E7"/>
    <w:rsid w:val="00D72771"/>
    <w:rsid w:val="00D729F7"/>
    <w:rsid w:val="00D72B7E"/>
    <w:rsid w:val="00D72B7F"/>
    <w:rsid w:val="00D72BCC"/>
    <w:rsid w:val="00D72D4B"/>
    <w:rsid w:val="00D72EC6"/>
    <w:rsid w:val="00D72F9C"/>
    <w:rsid w:val="00D7308D"/>
    <w:rsid w:val="00D7330E"/>
    <w:rsid w:val="00D73360"/>
    <w:rsid w:val="00D734C8"/>
    <w:rsid w:val="00D7353F"/>
    <w:rsid w:val="00D73549"/>
    <w:rsid w:val="00D735C3"/>
    <w:rsid w:val="00D735F0"/>
    <w:rsid w:val="00D73697"/>
    <w:rsid w:val="00D7377F"/>
    <w:rsid w:val="00D73913"/>
    <w:rsid w:val="00D739A8"/>
    <w:rsid w:val="00D73A36"/>
    <w:rsid w:val="00D73A99"/>
    <w:rsid w:val="00D73EEF"/>
    <w:rsid w:val="00D73F20"/>
    <w:rsid w:val="00D73F6A"/>
    <w:rsid w:val="00D741B6"/>
    <w:rsid w:val="00D742BA"/>
    <w:rsid w:val="00D74496"/>
    <w:rsid w:val="00D74497"/>
    <w:rsid w:val="00D7449D"/>
    <w:rsid w:val="00D7459F"/>
    <w:rsid w:val="00D746D3"/>
    <w:rsid w:val="00D749A5"/>
    <w:rsid w:val="00D74AA5"/>
    <w:rsid w:val="00D74BC8"/>
    <w:rsid w:val="00D74D10"/>
    <w:rsid w:val="00D74D3E"/>
    <w:rsid w:val="00D74D3F"/>
    <w:rsid w:val="00D74EDC"/>
    <w:rsid w:val="00D75169"/>
    <w:rsid w:val="00D75218"/>
    <w:rsid w:val="00D75276"/>
    <w:rsid w:val="00D75515"/>
    <w:rsid w:val="00D75689"/>
    <w:rsid w:val="00D75695"/>
    <w:rsid w:val="00D756FA"/>
    <w:rsid w:val="00D75A17"/>
    <w:rsid w:val="00D75B11"/>
    <w:rsid w:val="00D75C0F"/>
    <w:rsid w:val="00D75C80"/>
    <w:rsid w:val="00D75EAC"/>
    <w:rsid w:val="00D76089"/>
    <w:rsid w:val="00D7625A"/>
    <w:rsid w:val="00D7638C"/>
    <w:rsid w:val="00D76568"/>
    <w:rsid w:val="00D7659E"/>
    <w:rsid w:val="00D7674C"/>
    <w:rsid w:val="00D767FA"/>
    <w:rsid w:val="00D7681F"/>
    <w:rsid w:val="00D76984"/>
    <w:rsid w:val="00D76BEC"/>
    <w:rsid w:val="00D76C4D"/>
    <w:rsid w:val="00D76D94"/>
    <w:rsid w:val="00D76F17"/>
    <w:rsid w:val="00D77226"/>
    <w:rsid w:val="00D77378"/>
    <w:rsid w:val="00D77572"/>
    <w:rsid w:val="00D77A78"/>
    <w:rsid w:val="00D77A8C"/>
    <w:rsid w:val="00D77B62"/>
    <w:rsid w:val="00D77B9A"/>
    <w:rsid w:val="00D77BE6"/>
    <w:rsid w:val="00D77C22"/>
    <w:rsid w:val="00D77C4F"/>
    <w:rsid w:val="00D77D9D"/>
    <w:rsid w:val="00D77E41"/>
    <w:rsid w:val="00D77F17"/>
    <w:rsid w:val="00D8016A"/>
    <w:rsid w:val="00D803A4"/>
    <w:rsid w:val="00D8052E"/>
    <w:rsid w:val="00D805AF"/>
    <w:rsid w:val="00D805E7"/>
    <w:rsid w:val="00D80639"/>
    <w:rsid w:val="00D80996"/>
    <w:rsid w:val="00D80BC1"/>
    <w:rsid w:val="00D80C0B"/>
    <w:rsid w:val="00D80CED"/>
    <w:rsid w:val="00D80EC3"/>
    <w:rsid w:val="00D80F1A"/>
    <w:rsid w:val="00D810E5"/>
    <w:rsid w:val="00D8111D"/>
    <w:rsid w:val="00D81216"/>
    <w:rsid w:val="00D8130E"/>
    <w:rsid w:val="00D81748"/>
    <w:rsid w:val="00D81796"/>
    <w:rsid w:val="00D817B4"/>
    <w:rsid w:val="00D817C9"/>
    <w:rsid w:val="00D81DD3"/>
    <w:rsid w:val="00D81DF6"/>
    <w:rsid w:val="00D81F52"/>
    <w:rsid w:val="00D8202C"/>
    <w:rsid w:val="00D821F5"/>
    <w:rsid w:val="00D824AA"/>
    <w:rsid w:val="00D825AF"/>
    <w:rsid w:val="00D8270C"/>
    <w:rsid w:val="00D8297C"/>
    <w:rsid w:val="00D829AA"/>
    <w:rsid w:val="00D82A03"/>
    <w:rsid w:val="00D82ADA"/>
    <w:rsid w:val="00D82B5C"/>
    <w:rsid w:val="00D82DAA"/>
    <w:rsid w:val="00D82E20"/>
    <w:rsid w:val="00D832F9"/>
    <w:rsid w:val="00D834C9"/>
    <w:rsid w:val="00D8371F"/>
    <w:rsid w:val="00D83920"/>
    <w:rsid w:val="00D83BD3"/>
    <w:rsid w:val="00D83C50"/>
    <w:rsid w:val="00D83E28"/>
    <w:rsid w:val="00D83E70"/>
    <w:rsid w:val="00D841D2"/>
    <w:rsid w:val="00D8444A"/>
    <w:rsid w:val="00D84506"/>
    <w:rsid w:val="00D845A3"/>
    <w:rsid w:val="00D848A1"/>
    <w:rsid w:val="00D848C0"/>
    <w:rsid w:val="00D8490D"/>
    <w:rsid w:val="00D8491F"/>
    <w:rsid w:val="00D84A5A"/>
    <w:rsid w:val="00D84A93"/>
    <w:rsid w:val="00D84C97"/>
    <w:rsid w:val="00D84F29"/>
    <w:rsid w:val="00D850FC"/>
    <w:rsid w:val="00D851DA"/>
    <w:rsid w:val="00D851ED"/>
    <w:rsid w:val="00D854ED"/>
    <w:rsid w:val="00D855AB"/>
    <w:rsid w:val="00D8562E"/>
    <w:rsid w:val="00D8573E"/>
    <w:rsid w:val="00D8587D"/>
    <w:rsid w:val="00D85923"/>
    <w:rsid w:val="00D85AE1"/>
    <w:rsid w:val="00D85B13"/>
    <w:rsid w:val="00D85C5D"/>
    <w:rsid w:val="00D85CC6"/>
    <w:rsid w:val="00D85DCF"/>
    <w:rsid w:val="00D85EB5"/>
    <w:rsid w:val="00D86193"/>
    <w:rsid w:val="00D86261"/>
    <w:rsid w:val="00D865F4"/>
    <w:rsid w:val="00D8663D"/>
    <w:rsid w:val="00D86647"/>
    <w:rsid w:val="00D8666A"/>
    <w:rsid w:val="00D8667C"/>
    <w:rsid w:val="00D867D5"/>
    <w:rsid w:val="00D86944"/>
    <w:rsid w:val="00D86B8F"/>
    <w:rsid w:val="00D86DAD"/>
    <w:rsid w:val="00D86EA9"/>
    <w:rsid w:val="00D86F2A"/>
    <w:rsid w:val="00D86F4F"/>
    <w:rsid w:val="00D86F98"/>
    <w:rsid w:val="00D87250"/>
    <w:rsid w:val="00D87339"/>
    <w:rsid w:val="00D873C9"/>
    <w:rsid w:val="00D873F3"/>
    <w:rsid w:val="00D87791"/>
    <w:rsid w:val="00D87C23"/>
    <w:rsid w:val="00D900FD"/>
    <w:rsid w:val="00D9013F"/>
    <w:rsid w:val="00D9023A"/>
    <w:rsid w:val="00D902AB"/>
    <w:rsid w:val="00D902C9"/>
    <w:rsid w:val="00D902EC"/>
    <w:rsid w:val="00D905EF"/>
    <w:rsid w:val="00D90663"/>
    <w:rsid w:val="00D906BD"/>
    <w:rsid w:val="00D9090F"/>
    <w:rsid w:val="00D90B7E"/>
    <w:rsid w:val="00D90C2C"/>
    <w:rsid w:val="00D90C90"/>
    <w:rsid w:val="00D90DC5"/>
    <w:rsid w:val="00D9119E"/>
    <w:rsid w:val="00D912DB"/>
    <w:rsid w:val="00D913BD"/>
    <w:rsid w:val="00D914FF"/>
    <w:rsid w:val="00D917D2"/>
    <w:rsid w:val="00D91854"/>
    <w:rsid w:val="00D91858"/>
    <w:rsid w:val="00D918EE"/>
    <w:rsid w:val="00D9196D"/>
    <w:rsid w:val="00D91A64"/>
    <w:rsid w:val="00D91ACE"/>
    <w:rsid w:val="00D91B37"/>
    <w:rsid w:val="00D91D0C"/>
    <w:rsid w:val="00D91E52"/>
    <w:rsid w:val="00D92805"/>
    <w:rsid w:val="00D92940"/>
    <w:rsid w:val="00D92CB0"/>
    <w:rsid w:val="00D92D02"/>
    <w:rsid w:val="00D92D06"/>
    <w:rsid w:val="00D92D3C"/>
    <w:rsid w:val="00D92EB3"/>
    <w:rsid w:val="00D92EC3"/>
    <w:rsid w:val="00D92FDD"/>
    <w:rsid w:val="00D93030"/>
    <w:rsid w:val="00D9305D"/>
    <w:rsid w:val="00D93525"/>
    <w:rsid w:val="00D93550"/>
    <w:rsid w:val="00D93693"/>
    <w:rsid w:val="00D93711"/>
    <w:rsid w:val="00D93765"/>
    <w:rsid w:val="00D93772"/>
    <w:rsid w:val="00D9383B"/>
    <w:rsid w:val="00D93990"/>
    <w:rsid w:val="00D93BCB"/>
    <w:rsid w:val="00D93BEF"/>
    <w:rsid w:val="00D93FAC"/>
    <w:rsid w:val="00D93FD4"/>
    <w:rsid w:val="00D940A2"/>
    <w:rsid w:val="00D9421F"/>
    <w:rsid w:val="00D9427E"/>
    <w:rsid w:val="00D9453A"/>
    <w:rsid w:val="00D94580"/>
    <w:rsid w:val="00D9460E"/>
    <w:rsid w:val="00D946C3"/>
    <w:rsid w:val="00D94748"/>
    <w:rsid w:val="00D94A93"/>
    <w:rsid w:val="00D94AB5"/>
    <w:rsid w:val="00D94BCF"/>
    <w:rsid w:val="00D94C54"/>
    <w:rsid w:val="00D94CDD"/>
    <w:rsid w:val="00D94CFF"/>
    <w:rsid w:val="00D94E68"/>
    <w:rsid w:val="00D94F32"/>
    <w:rsid w:val="00D950BC"/>
    <w:rsid w:val="00D9521B"/>
    <w:rsid w:val="00D95288"/>
    <w:rsid w:val="00D9540D"/>
    <w:rsid w:val="00D955BA"/>
    <w:rsid w:val="00D9565B"/>
    <w:rsid w:val="00D95698"/>
    <w:rsid w:val="00D956CD"/>
    <w:rsid w:val="00D9577A"/>
    <w:rsid w:val="00D958BA"/>
    <w:rsid w:val="00D95916"/>
    <w:rsid w:val="00D9598E"/>
    <w:rsid w:val="00D95A5F"/>
    <w:rsid w:val="00D95B33"/>
    <w:rsid w:val="00D95CFE"/>
    <w:rsid w:val="00D95E1E"/>
    <w:rsid w:val="00D95E6E"/>
    <w:rsid w:val="00D95EEB"/>
    <w:rsid w:val="00D95F8E"/>
    <w:rsid w:val="00D95FA5"/>
    <w:rsid w:val="00D961E6"/>
    <w:rsid w:val="00D96222"/>
    <w:rsid w:val="00D96352"/>
    <w:rsid w:val="00D96592"/>
    <w:rsid w:val="00D968A4"/>
    <w:rsid w:val="00D969F7"/>
    <w:rsid w:val="00D96BFC"/>
    <w:rsid w:val="00D96C25"/>
    <w:rsid w:val="00D96D43"/>
    <w:rsid w:val="00D97256"/>
    <w:rsid w:val="00D973E3"/>
    <w:rsid w:val="00D97604"/>
    <w:rsid w:val="00D976A7"/>
    <w:rsid w:val="00D9799A"/>
    <w:rsid w:val="00D97A46"/>
    <w:rsid w:val="00D97A8F"/>
    <w:rsid w:val="00D97DD0"/>
    <w:rsid w:val="00D97E52"/>
    <w:rsid w:val="00D97F6D"/>
    <w:rsid w:val="00D97FDA"/>
    <w:rsid w:val="00DA01BE"/>
    <w:rsid w:val="00DA01E0"/>
    <w:rsid w:val="00DA020E"/>
    <w:rsid w:val="00DA026D"/>
    <w:rsid w:val="00DA0282"/>
    <w:rsid w:val="00DA0454"/>
    <w:rsid w:val="00DA07D2"/>
    <w:rsid w:val="00DA0BB1"/>
    <w:rsid w:val="00DA0C11"/>
    <w:rsid w:val="00DA0C97"/>
    <w:rsid w:val="00DA0E7A"/>
    <w:rsid w:val="00DA0EAE"/>
    <w:rsid w:val="00DA11BE"/>
    <w:rsid w:val="00DA12A3"/>
    <w:rsid w:val="00DA12BA"/>
    <w:rsid w:val="00DA12D7"/>
    <w:rsid w:val="00DA12FA"/>
    <w:rsid w:val="00DA1450"/>
    <w:rsid w:val="00DA165C"/>
    <w:rsid w:val="00DA16D9"/>
    <w:rsid w:val="00DA1839"/>
    <w:rsid w:val="00DA19BE"/>
    <w:rsid w:val="00DA1B4F"/>
    <w:rsid w:val="00DA1C43"/>
    <w:rsid w:val="00DA1EE8"/>
    <w:rsid w:val="00DA224B"/>
    <w:rsid w:val="00DA2326"/>
    <w:rsid w:val="00DA23C6"/>
    <w:rsid w:val="00DA24E8"/>
    <w:rsid w:val="00DA260A"/>
    <w:rsid w:val="00DA26FF"/>
    <w:rsid w:val="00DA28C6"/>
    <w:rsid w:val="00DA2949"/>
    <w:rsid w:val="00DA2B2A"/>
    <w:rsid w:val="00DA2C57"/>
    <w:rsid w:val="00DA2D00"/>
    <w:rsid w:val="00DA2DDC"/>
    <w:rsid w:val="00DA2F62"/>
    <w:rsid w:val="00DA3106"/>
    <w:rsid w:val="00DA31D9"/>
    <w:rsid w:val="00DA3201"/>
    <w:rsid w:val="00DA3314"/>
    <w:rsid w:val="00DA33AB"/>
    <w:rsid w:val="00DA33CE"/>
    <w:rsid w:val="00DA35B1"/>
    <w:rsid w:val="00DA388A"/>
    <w:rsid w:val="00DA3B83"/>
    <w:rsid w:val="00DA3B98"/>
    <w:rsid w:val="00DA3C01"/>
    <w:rsid w:val="00DA3CA6"/>
    <w:rsid w:val="00DA3D1C"/>
    <w:rsid w:val="00DA4059"/>
    <w:rsid w:val="00DA42D2"/>
    <w:rsid w:val="00DA431B"/>
    <w:rsid w:val="00DA4334"/>
    <w:rsid w:val="00DA4364"/>
    <w:rsid w:val="00DA469F"/>
    <w:rsid w:val="00DA46F2"/>
    <w:rsid w:val="00DA4888"/>
    <w:rsid w:val="00DA4969"/>
    <w:rsid w:val="00DA4FE0"/>
    <w:rsid w:val="00DA506B"/>
    <w:rsid w:val="00DA51F4"/>
    <w:rsid w:val="00DA5214"/>
    <w:rsid w:val="00DA525F"/>
    <w:rsid w:val="00DA5387"/>
    <w:rsid w:val="00DA53DD"/>
    <w:rsid w:val="00DA5444"/>
    <w:rsid w:val="00DA56A9"/>
    <w:rsid w:val="00DA580D"/>
    <w:rsid w:val="00DA584A"/>
    <w:rsid w:val="00DA5D20"/>
    <w:rsid w:val="00DA5E6E"/>
    <w:rsid w:val="00DA5E84"/>
    <w:rsid w:val="00DA5E9A"/>
    <w:rsid w:val="00DA6098"/>
    <w:rsid w:val="00DA6178"/>
    <w:rsid w:val="00DA61BE"/>
    <w:rsid w:val="00DA643B"/>
    <w:rsid w:val="00DA6739"/>
    <w:rsid w:val="00DA6806"/>
    <w:rsid w:val="00DA6837"/>
    <w:rsid w:val="00DA697D"/>
    <w:rsid w:val="00DA6BCB"/>
    <w:rsid w:val="00DA6DBD"/>
    <w:rsid w:val="00DA6F2F"/>
    <w:rsid w:val="00DA707C"/>
    <w:rsid w:val="00DA7084"/>
    <w:rsid w:val="00DA7200"/>
    <w:rsid w:val="00DA728C"/>
    <w:rsid w:val="00DA732C"/>
    <w:rsid w:val="00DA734E"/>
    <w:rsid w:val="00DA7399"/>
    <w:rsid w:val="00DA74F8"/>
    <w:rsid w:val="00DA7543"/>
    <w:rsid w:val="00DA7817"/>
    <w:rsid w:val="00DA786E"/>
    <w:rsid w:val="00DA7B9D"/>
    <w:rsid w:val="00DA7C62"/>
    <w:rsid w:val="00DA7DFA"/>
    <w:rsid w:val="00DB05AE"/>
    <w:rsid w:val="00DB05C1"/>
    <w:rsid w:val="00DB06CA"/>
    <w:rsid w:val="00DB076C"/>
    <w:rsid w:val="00DB0929"/>
    <w:rsid w:val="00DB093C"/>
    <w:rsid w:val="00DB0BB1"/>
    <w:rsid w:val="00DB0C3D"/>
    <w:rsid w:val="00DB0CD1"/>
    <w:rsid w:val="00DB0D26"/>
    <w:rsid w:val="00DB0DE0"/>
    <w:rsid w:val="00DB0E3E"/>
    <w:rsid w:val="00DB0E7B"/>
    <w:rsid w:val="00DB1011"/>
    <w:rsid w:val="00DB110A"/>
    <w:rsid w:val="00DB1132"/>
    <w:rsid w:val="00DB12DF"/>
    <w:rsid w:val="00DB1378"/>
    <w:rsid w:val="00DB1626"/>
    <w:rsid w:val="00DB1AE7"/>
    <w:rsid w:val="00DB1D06"/>
    <w:rsid w:val="00DB2035"/>
    <w:rsid w:val="00DB2070"/>
    <w:rsid w:val="00DB2236"/>
    <w:rsid w:val="00DB2422"/>
    <w:rsid w:val="00DB25A0"/>
    <w:rsid w:val="00DB28B7"/>
    <w:rsid w:val="00DB2B98"/>
    <w:rsid w:val="00DB2D20"/>
    <w:rsid w:val="00DB2E3D"/>
    <w:rsid w:val="00DB33CD"/>
    <w:rsid w:val="00DB35B9"/>
    <w:rsid w:val="00DB37B1"/>
    <w:rsid w:val="00DB39B2"/>
    <w:rsid w:val="00DB3BA9"/>
    <w:rsid w:val="00DB3BAB"/>
    <w:rsid w:val="00DB3E5D"/>
    <w:rsid w:val="00DB3F49"/>
    <w:rsid w:val="00DB4063"/>
    <w:rsid w:val="00DB415C"/>
    <w:rsid w:val="00DB41B1"/>
    <w:rsid w:val="00DB4297"/>
    <w:rsid w:val="00DB4424"/>
    <w:rsid w:val="00DB44BC"/>
    <w:rsid w:val="00DB4613"/>
    <w:rsid w:val="00DB4722"/>
    <w:rsid w:val="00DB47BD"/>
    <w:rsid w:val="00DB49C7"/>
    <w:rsid w:val="00DB49FD"/>
    <w:rsid w:val="00DB4A9B"/>
    <w:rsid w:val="00DB4ABF"/>
    <w:rsid w:val="00DB4B93"/>
    <w:rsid w:val="00DB4BFD"/>
    <w:rsid w:val="00DB4CE9"/>
    <w:rsid w:val="00DB4D12"/>
    <w:rsid w:val="00DB4D9F"/>
    <w:rsid w:val="00DB4E5E"/>
    <w:rsid w:val="00DB4EAE"/>
    <w:rsid w:val="00DB4EC7"/>
    <w:rsid w:val="00DB4F51"/>
    <w:rsid w:val="00DB4F71"/>
    <w:rsid w:val="00DB4FCB"/>
    <w:rsid w:val="00DB4FDA"/>
    <w:rsid w:val="00DB5076"/>
    <w:rsid w:val="00DB513A"/>
    <w:rsid w:val="00DB5232"/>
    <w:rsid w:val="00DB5372"/>
    <w:rsid w:val="00DB56C2"/>
    <w:rsid w:val="00DB573D"/>
    <w:rsid w:val="00DB58F2"/>
    <w:rsid w:val="00DB59CB"/>
    <w:rsid w:val="00DB5C3A"/>
    <w:rsid w:val="00DB5C83"/>
    <w:rsid w:val="00DB5D1A"/>
    <w:rsid w:val="00DB5E73"/>
    <w:rsid w:val="00DB5E74"/>
    <w:rsid w:val="00DB5E96"/>
    <w:rsid w:val="00DB5F35"/>
    <w:rsid w:val="00DB6637"/>
    <w:rsid w:val="00DB66F4"/>
    <w:rsid w:val="00DB6A86"/>
    <w:rsid w:val="00DB6B49"/>
    <w:rsid w:val="00DB6B5F"/>
    <w:rsid w:val="00DB6BD7"/>
    <w:rsid w:val="00DB6C2D"/>
    <w:rsid w:val="00DB6C78"/>
    <w:rsid w:val="00DB6CC6"/>
    <w:rsid w:val="00DB7316"/>
    <w:rsid w:val="00DB7467"/>
    <w:rsid w:val="00DB768E"/>
    <w:rsid w:val="00DB78B9"/>
    <w:rsid w:val="00DB7A68"/>
    <w:rsid w:val="00DB7A81"/>
    <w:rsid w:val="00DB7AAF"/>
    <w:rsid w:val="00DB7B25"/>
    <w:rsid w:val="00DB7B7F"/>
    <w:rsid w:val="00DB7F48"/>
    <w:rsid w:val="00DB7F4B"/>
    <w:rsid w:val="00DB7F50"/>
    <w:rsid w:val="00DB7FE0"/>
    <w:rsid w:val="00DC01F1"/>
    <w:rsid w:val="00DC0308"/>
    <w:rsid w:val="00DC04D2"/>
    <w:rsid w:val="00DC04E9"/>
    <w:rsid w:val="00DC04FD"/>
    <w:rsid w:val="00DC078B"/>
    <w:rsid w:val="00DC07BB"/>
    <w:rsid w:val="00DC0898"/>
    <w:rsid w:val="00DC0AE9"/>
    <w:rsid w:val="00DC0C4A"/>
    <w:rsid w:val="00DC0C88"/>
    <w:rsid w:val="00DC0D5A"/>
    <w:rsid w:val="00DC0EB9"/>
    <w:rsid w:val="00DC11AC"/>
    <w:rsid w:val="00DC17A9"/>
    <w:rsid w:val="00DC187A"/>
    <w:rsid w:val="00DC19BA"/>
    <w:rsid w:val="00DC1A1A"/>
    <w:rsid w:val="00DC1A64"/>
    <w:rsid w:val="00DC1B82"/>
    <w:rsid w:val="00DC1FA9"/>
    <w:rsid w:val="00DC218D"/>
    <w:rsid w:val="00DC232C"/>
    <w:rsid w:val="00DC2362"/>
    <w:rsid w:val="00DC266B"/>
    <w:rsid w:val="00DC27B3"/>
    <w:rsid w:val="00DC28FF"/>
    <w:rsid w:val="00DC2A68"/>
    <w:rsid w:val="00DC2E08"/>
    <w:rsid w:val="00DC2F3E"/>
    <w:rsid w:val="00DC2F52"/>
    <w:rsid w:val="00DC3288"/>
    <w:rsid w:val="00DC34C0"/>
    <w:rsid w:val="00DC3693"/>
    <w:rsid w:val="00DC3778"/>
    <w:rsid w:val="00DC3885"/>
    <w:rsid w:val="00DC38C4"/>
    <w:rsid w:val="00DC3A38"/>
    <w:rsid w:val="00DC3BE4"/>
    <w:rsid w:val="00DC3D86"/>
    <w:rsid w:val="00DC3E1B"/>
    <w:rsid w:val="00DC3EA5"/>
    <w:rsid w:val="00DC4064"/>
    <w:rsid w:val="00DC40C6"/>
    <w:rsid w:val="00DC421D"/>
    <w:rsid w:val="00DC4224"/>
    <w:rsid w:val="00DC436E"/>
    <w:rsid w:val="00DC441E"/>
    <w:rsid w:val="00DC4A1F"/>
    <w:rsid w:val="00DC4A8E"/>
    <w:rsid w:val="00DC4D40"/>
    <w:rsid w:val="00DC4DA5"/>
    <w:rsid w:val="00DC51C0"/>
    <w:rsid w:val="00DC5447"/>
    <w:rsid w:val="00DC55B6"/>
    <w:rsid w:val="00DC563C"/>
    <w:rsid w:val="00DC5655"/>
    <w:rsid w:val="00DC57BD"/>
    <w:rsid w:val="00DC5981"/>
    <w:rsid w:val="00DC5B38"/>
    <w:rsid w:val="00DC5B65"/>
    <w:rsid w:val="00DC611C"/>
    <w:rsid w:val="00DC626D"/>
    <w:rsid w:val="00DC6387"/>
    <w:rsid w:val="00DC6427"/>
    <w:rsid w:val="00DC6535"/>
    <w:rsid w:val="00DC65A3"/>
    <w:rsid w:val="00DC66BC"/>
    <w:rsid w:val="00DC698E"/>
    <w:rsid w:val="00DC69D9"/>
    <w:rsid w:val="00DC6BAF"/>
    <w:rsid w:val="00DC6C02"/>
    <w:rsid w:val="00DC6C21"/>
    <w:rsid w:val="00DC6C2D"/>
    <w:rsid w:val="00DC6E81"/>
    <w:rsid w:val="00DC6F8E"/>
    <w:rsid w:val="00DC6FB6"/>
    <w:rsid w:val="00DC7008"/>
    <w:rsid w:val="00DC7196"/>
    <w:rsid w:val="00DC7557"/>
    <w:rsid w:val="00DC7772"/>
    <w:rsid w:val="00DC77A9"/>
    <w:rsid w:val="00DC785D"/>
    <w:rsid w:val="00DC79CC"/>
    <w:rsid w:val="00DC7A70"/>
    <w:rsid w:val="00DC7AA9"/>
    <w:rsid w:val="00DC7AC3"/>
    <w:rsid w:val="00DC7AFD"/>
    <w:rsid w:val="00DC7BF0"/>
    <w:rsid w:val="00DC7C8B"/>
    <w:rsid w:val="00DC7CD7"/>
    <w:rsid w:val="00DC7DEE"/>
    <w:rsid w:val="00DC7EA9"/>
    <w:rsid w:val="00DC7F96"/>
    <w:rsid w:val="00DC7FA8"/>
    <w:rsid w:val="00DD0032"/>
    <w:rsid w:val="00DD01D8"/>
    <w:rsid w:val="00DD0395"/>
    <w:rsid w:val="00DD0398"/>
    <w:rsid w:val="00DD04D6"/>
    <w:rsid w:val="00DD05E6"/>
    <w:rsid w:val="00DD06FC"/>
    <w:rsid w:val="00DD0726"/>
    <w:rsid w:val="00DD077B"/>
    <w:rsid w:val="00DD0943"/>
    <w:rsid w:val="00DD0BCC"/>
    <w:rsid w:val="00DD0F85"/>
    <w:rsid w:val="00DD108F"/>
    <w:rsid w:val="00DD1111"/>
    <w:rsid w:val="00DD12D5"/>
    <w:rsid w:val="00DD131D"/>
    <w:rsid w:val="00DD1535"/>
    <w:rsid w:val="00DD1816"/>
    <w:rsid w:val="00DD1B9D"/>
    <w:rsid w:val="00DD1F9D"/>
    <w:rsid w:val="00DD2171"/>
    <w:rsid w:val="00DD22B7"/>
    <w:rsid w:val="00DD23B8"/>
    <w:rsid w:val="00DD23E0"/>
    <w:rsid w:val="00DD2422"/>
    <w:rsid w:val="00DD24C6"/>
    <w:rsid w:val="00DD2598"/>
    <w:rsid w:val="00DD28BE"/>
    <w:rsid w:val="00DD2984"/>
    <w:rsid w:val="00DD298C"/>
    <w:rsid w:val="00DD2CBC"/>
    <w:rsid w:val="00DD2DA6"/>
    <w:rsid w:val="00DD2EA3"/>
    <w:rsid w:val="00DD2ED7"/>
    <w:rsid w:val="00DD2FE0"/>
    <w:rsid w:val="00DD2FEA"/>
    <w:rsid w:val="00DD33E5"/>
    <w:rsid w:val="00DD3592"/>
    <w:rsid w:val="00DD3734"/>
    <w:rsid w:val="00DD380F"/>
    <w:rsid w:val="00DD3865"/>
    <w:rsid w:val="00DD39F7"/>
    <w:rsid w:val="00DD3AC9"/>
    <w:rsid w:val="00DD3C2B"/>
    <w:rsid w:val="00DD3C3C"/>
    <w:rsid w:val="00DD3D17"/>
    <w:rsid w:val="00DD3DA9"/>
    <w:rsid w:val="00DD3EC4"/>
    <w:rsid w:val="00DD3F80"/>
    <w:rsid w:val="00DD3FB1"/>
    <w:rsid w:val="00DD418A"/>
    <w:rsid w:val="00DD41CE"/>
    <w:rsid w:val="00DD41D2"/>
    <w:rsid w:val="00DD4301"/>
    <w:rsid w:val="00DD4397"/>
    <w:rsid w:val="00DD442C"/>
    <w:rsid w:val="00DD455F"/>
    <w:rsid w:val="00DD49FC"/>
    <w:rsid w:val="00DD4B24"/>
    <w:rsid w:val="00DD4D53"/>
    <w:rsid w:val="00DD4E1A"/>
    <w:rsid w:val="00DD4E79"/>
    <w:rsid w:val="00DD50D1"/>
    <w:rsid w:val="00DD51E2"/>
    <w:rsid w:val="00DD5352"/>
    <w:rsid w:val="00DD53DF"/>
    <w:rsid w:val="00DD5668"/>
    <w:rsid w:val="00DD5670"/>
    <w:rsid w:val="00DD59AC"/>
    <w:rsid w:val="00DD5AA2"/>
    <w:rsid w:val="00DD5C54"/>
    <w:rsid w:val="00DD5E12"/>
    <w:rsid w:val="00DD5E15"/>
    <w:rsid w:val="00DD6197"/>
    <w:rsid w:val="00DD6338"/>
    <w:rsid w:val="00DD6447"/>
    <w:rsid w:val="00DD6741"/>
    <w:rsid w:val="00DD6974"/>
    <w:rsid w:val="00DD69D6"/>
    <w:rsid w:val="00DD6B98"/>
    <w:rsid w:val="00DD6CAF"/>
    <w:rsid w:val="00DD6FFF"/>
    <w:rsid w:val="00DD75C6"/>
    <w:rsid w:val="00DD75DD"/>
    <w:rsid w:val="00DD794C"/>
    <w:rsid w:val="00DD795B"/>
    <w:rsid w:val="00DD7A6E"/>
    <w:rsid w:val="00DD7A70"/>
    <w:rsid w:val="00DD7F59"/>
    <w:rsid w:val="00DD7FFC"/>
    <w:rsid w:val="00DE0194"/>
    <w:rsid w:val="00DE01FB"/>
    <w:rsid w:val="00DE0289"/>
    <w:rsid w:val="00DE04C1"/>
    <w:rsid w:val="00DE04F1"/>
    <w:rsid w:val="00DE05D4"/>
    <w:rsid w:val="00DE0616"/>
    <w:rsid w:val="00DE088C"/>
    <w:rsid w:val="00DE0A7C"/>
    <w:rsid w:val="00DE0ABF"/>
    <w:rsid w:val="00DE0B65"/>
    <w:rsid w:val="00DE0BC0"/>
    <w:rsid w:val="00DE0CBA"/>
    <w:rsid w:val="00DE0FDE"/>
    <w:rsid w:val="00DE1058"/>
    <w:rsid w:val="00DE14F5"/>
    <w:rsid w:val="00DE16DB"/>
    <w:rsid w:val="00DE174F"/>
    <w:rsid w:val="00DE1796"/>
    <w:rsid w:val="00DE17D6"/>
    <w:rsid w:val="00DE1805"/>
    <w:rsid w:val="00DE1822"/>
    <w:rsid w:val="00DE1871"/>
    <w:rsid w:val="00DE19A4"/>
    <w:rsid w:val="00DE19D7"/>
    <w:rsid w:val="00DE1B45"/>
    <w:rsid w:val="00DE1C2E"/>
    <w:rsid w:val="00DE20C1"/>
    <w:rsid w:val="00DE214F"/>
    <w:rsid w:val="00DE21CF"/>
    <w:rsid w:val="00DE2325"/>
    <w:rsid w:val="00DE24ED"/>
    <w:rsid w:val="00DE2649"/>
    <w:rsid w:val="00DE264A"/>
    <w:rsid w:val="00DE2662"/>
    <w:rsid w:val="00DE321C"/>
    <w:rsid w:val="00DE3385"/>
    <w:rsid w:val="00DE338F"/>
    <w:rsid w:val="00DE34A3"/>
    <w:rsid w:val="00DE35B5"/>
    <w:rsid w:val="00DE35E2"/>
    <w:rsid w:val="00DE37FA"/>
    <w:rsid w:val="00DE38AD"/>
    <w:rsid w:val="00DE3B6E"/>
    <w:rsid w:val="00DE3E15"/>
    <w:rsid w:val="00DE3F7A"/>
    <w:rsid w:val="00DE431B"/>
    <w:rsid w:val="00DE4860"/>
    <w:rsid w:val="00DE4930"/>
    <w:rsid w:val="00DE4AA0"/>
    <w:rsid w:val="00DE4ACC"/>
    <w:rsid w:val="00DE4B7A"/>
    <w:rsid w:val="00DE4FC6"/>
    <w:rsid w:val="00DE4FDC"/>
    <w:rsid w:val="00DE59F4"/>
    <w:rsid w:val="00DE5A79"/>
    <w:rsid w:val="00DE5BF3"/>
    <w:rsid w:val="00DE5D27"/>
    <w:rsid w:val="00DE5D36"/>
    <w:rsid w:val="00DE5DD5"/>
    <w:rsid w:val="00DE5FD4"/>
    <w:rsid w:val="00DE5FD7"/>
    <w:rsid w:val="00DE66E1"/>
    <w:rsid w:val="00DE6800"/>
    <w:rsid w:val="00DE6889"/>
    <w:rsid w:val="00DE6892"/>
    <w:rsid w:val="00DE6A1F"/>
    <w:rsid w:val="00DE6B1A"/>
    <w:rsid w:val="00DE6D12"/>
    <w:rsid w:val="00DE6E30"/>
    <w:rsid w:val="00DE7048"/>
    <w:rsid w:val="00DE70AA"/>
    <w:rsid w:val="00DE70DC"/>
    <w:rsid w:val="00DE7124"/>
    <w:rsid w:val="00DE72D0"/>
    <w:rsid w:val="00DE72F5"/>
    <w:rsid w:val="00DE74E3"/>
    <w:rsid w:val="00DE757A"/>
    <w:rsid w:val="00DE75A8"/>
    <w:rsid w:val="00DE75E7"/>
    <w:rsid w:val="00DE7659"/>
    <w:rsid w:val="00DE786E"/>
    <w:rsid w:val="00DE79AA"/>
    <w:rsid w:val="00DE7A05"/>
    <w:rsid w:val="00DE7C2B"/>
    <w:rsid w:val="00DE7C55"/>
    <w:rsid w:val="00DE7D3D"/>
    <w:rsid w:val="00DE7E98"/>
    <w:rsid w:val="00DE7EAE"/>
    <w:rsid w:val="00DF049F"/>
    <w:rsid w:val="00DF05A6"/>
    <w:rsid w:val="00DF06B8"/>
    <w:rsid w:val="00DF0A1A"/>
    <w:rsid w:val="00DF0A4A"/>
    <w:rsid w:val="00DF0E99"/>
    <w:rsid w:val="00DF1166"/>
    <w:rsid w:val="00DF11B8"/>
    <w:rsid w:val="00DF12A7"/>
    <w:rsid w:val="00DF1363"/>
    <w:rsid w:val="00DF13B5"/>
    <w:rsid w:val="00DF176A"/>
    <w:rsid w:val="00DF19A6"/>
    <w:rsid w:val="00DF1A91"/>
    <w:rsid w:val="00DF1B5D"/>
    <w:rsid w:val="00DF1BE8"/>
    <w:rsid w:val="00DF236D"/>
    <w:rsid w:val="00DF2595"/>
    <w:rsid w:val="00DF2723"/>
    <w:rsid w:val="00DF2724"/>
    <w:rsid w:val="00DF27E4"/>
    <w:rsid w:val="00DF2841"/>
    <w:rsid w:val="00DF338C"/>
    <w:rsid w:val="00DF349F"/>
    <w:rsid w:val="00DF3663"/>
    <w:rsid w:val="00DF369F"/>
    <w:rsid w:val="00DF3791"/>
    <w:rsid w:val="00DF37AB"/>
    <w:rsid w:val="00DF37E6"/>
    <w:rsid w:val="00DF3C7D"/>
    <w:rsid w:val="00DF3C81"/>
    <w:rsid w:val="00DF3CC6"/>
    <w:rsid w:val="00DF3E2C"/>
    <w:rsid w:val="00DF3F28"/>
    <w:rsid w:val="00DF4013"/>
    <w:rsid w:val="00DF4227"/>
    <w:rsid w:val="00DF4287"/>
    <w:rsid w:val="00DF45E4"/>
    <w:rsid w:val="00DF46F1"/>
    <w:rsid w:val="00DF4943"/>
    <w:rsid w:val="00DF4B48"/>
    <w:rsid w:val="00DF4BE5"/>
    <w:rsid w:val="00DF4C50"/>
    <w:rsid w:val="00DF4C9D"/>
    <w:rsid w:val="00DF51D9"/>
    <w:rsid w:val="00DF5460"/>
    <w:rsid w:val="00DF54D9"/>
    <w:rsid w:val="00DF550C"/>
    <w:rsid w:val="00DF59E0"/>
    <w:rsid w:val="00DF5B4D"/>
    <w:rsid w:val="00DF5B70"/>
    <w:rsid w:val="00DF5CA6"/>
    <w:rsid w:val="00DF612F"/>
    <w:rsid w:val="00DF647F"/>
    <w:rsid w:val="00DF6546"/>
    <w:rsid w:val="00DF685A"/>
    <w:rsid w:val="00DF68FD"/>
    <w:rsid w:val="00DF6977"/>
    <w:rsid w:val="00DF6A7D"/>
    <w:rsid w:val="00DF6AA8"/>
    <w:rsid w:val="00DF6CC9"/>
    <w:rsid w:val="00DF6F60"/>
    <w:rsid w:val="00DF70B3"/>
    <w:rsid w:val="00DF71A7"/>
    <w:rsid w:val="00DF71CE"/>
    <w:rsid w:val="00DF726E"/>
    <w:rsid w:val="00DF73A6"/>
    <w:rsid w:val="00DF74CA"/>
    <w:rsid w:val="00DF76D4"/>
    <w:rsid w:val="00DF7742"/>
    <w:rsid w:val="00DF7784"/>
    <w:rsid w:val="00DF794C"/>
    <w:rsid w:val="00DF79C8"/>
    <w:rsid w:val="00DF7CD8"/>
    <w:rsid w:val="00DF7EF2"/>
    <w:rsid w:val="00DF7F9D"/>
    <w:rsid w:val="00E00352"/>
    <w:rsid w:val="00E003AE"/>
    <w:rsid w:val="00E003EA"/>
    <w:rsid w:val="00E005E1"/>
    <w:rsid w:val="00E00641"/>
    <w:rsid w:val="00E00661"/>
    <w:rsid w:val="00E00D35"/>
    <w:rsid w:val="00E010D8"/>
    <w:rsid w:val="00E01119"/>
    <w:rsid w:val="00E01201"/>
    <w:rsid w:val="00E01307"/>
    <w:rsid w:val="00E0145E"/>
    <w:rsid w:val="00E01596"/>
    <w:rsid w:val="00E015F3"/>
    <w:rsid w:val="00E017CB"/>
    <w:rsid w:val="00E01A15"/>
    <w:rsid w:val="00E01A32"/>
    <w:rsid w:val="00E01A71"/>
    <w:rsid w:val="00E01CBA"/>
    <w:rsid w:val="00E01DB5"/>
    <w:rsid w:val="00E01FD0"/>
    <w:rsid w:val="00E02004"/>
    <w:rsid w:val="00E024D8"/>
    <w:rsid w:val="00E027B6"/>
    <w:rsid w:val="00E0280E"/>
    <w:rsid w:val="00E029A4"/>
    <w:rsid w:val="00E02A43"/>
    <w:rsid w:val="00E02CC6"/>
    <w:rsid w:val="00E02D36"/>
    <w:rsid w:val="00E02E21"/>
    <w:rsid w:val="00E02E33"/>
    <w:rsid w:val="00E02F8B"/>
    <w:rsid w:val="00E03348"/>
    <w:rsid w:val="00E035C6"/>
    <w:rsid w:val="00E03927"/>
    <w:rsid w:val="00E03C0A"/>
    <w:rsid w:val="00E03DFC"/>
    <w:rsid w:val="00E03E06"/>
    <w:rsid w:val="00E03E1F"/>
    <w:rsid w:val="00E03E77"/>
    <w:rsid w:val="00E03ECB"/>
    <w:rsid w:val="00E03FED"/>
    <w:rsid w:val="00E040DE"/>
    <w:rsid w:val="00E04139"/>
    <w:rsid w:val="00E0414A"/>
    <w:rsid w:val="00E0417A"/>
    <w:rsid w:val="00E04301"/>
    <w:rsid w:val="00E044E7"/>
    <w:rsid w:val="00E0456B"/>
    <w:rsid w:val="00E0467E"/>
    <w:rsid w:val="00E04DC1"/>
    <w:rsid w:val="00E05149"/>
    <w:rsid w:val="00E052C9"/>
    <w:rsid w:val="00E052FC"/>
    <w:rsid w:val="00E0535F"/>
    <w:rsid w:val="00E054E5"/>
    <w:rsid w:val="00E05602"/>
    <w:rsid w:val="00E05640"/>
    <w:rsid w:val="00E05743"/>
    <w:rsid w:val="00E05882"/>
    <w:rsid w:val="00E05927"/>
    <w:rsid w:val="00E05B0F"/>
    <w:rsid w:val="00E05C00"/>
    <w:rsid w:val="00E05CA0"/>
    <w:rsid w:val="00E05CC1"/>
    <w:rsid w:val="00E05D0A"/>
    <w:rsid w:val="00E060B3"/>
    <w:rsid w:val="00E06147"/>
    <w:rsid w:val="00E061D3"/>
    <w:rsid w:val="00E061FE"/>
    <w:rsid w:val="00E062A9"/>
    <w:rsid w:val="00E0635E"/>
    <w:rsid w:val="00E06362"/>
    <w:rsid w:val="00E063A3"/>
    <w:rsid w:val="00E0689D"/>
    <w:rsid w:val="00E06A1B"/>
    <w:rsid w:val="00E06A96"/>
    <w:rsid w:val="00E06C48"/>
    <w:rsid w:val="00E06C8A"/>
    <w:rsid w:val="00E06DCA"/>
    <w:rsid w:val="00E06EA8"/>
    <w:rsid w:val="00E06EE5"/>
    <w:rsid w:val="00E0713C"/>
    <w:rsid w:val="00E07178"/>
    <w:rsid w:val="00E071AA"/>
    <w:rsid w:val="00E071B2"/>
    <w:rsid w:val="00E0722D"/>
    <w:rsid w:val="00E07293"/>
    <w:rsid w:val="00E0739A"/>
    <w:rsid w:val="00E0754A"/>
    <w:rsid w:val="00E07603"/>
    <w:rsid w:val="00E078D3"/>
    <w:rsid w:val="00E079AF"/>
    <w:rsid w:val="00E07A52"/>
    <w:rsid w:val="00E07BED"/>
    <w:rsid w:val="00E07CDC"/>
    <w:rsid w:val="00E07D8E"/>
    <w:rsid w:val="00E07FEF"/>
    <w:rsid w:val="00E10023"/>
    <w:rsid w:val="00E1018E"/>
    <w:rsid w:val="00E1028D"/>
    <w:rsid w:val="00E10394"/>
    <w:rsid w:val="00E106C3"/>
    <w:rsid w:val="00E1076D"/>
    <w:rsid w:val="00E10925"/>
    <w:rsid w:val="00E109B4"/>
    <w:rsid w:val="00E109C2"/>
    <w:rsid w:val="00E10BD6"/>
    <w:rsid w:val="00E10E6E"/>
    <w:rsid w:val="00E10EDB"/>
    <w:rsid w:val="00E10F6E"/>
    <w:rsid w:val="00E11096"/>
    <w:rsid w:val="00E110D0"/>
    <w:rsid w:val="00E1125A"/>
    <w:rsid w:val="00E1128E"/>
    <w:rsid w:val="00E112D7"/>
    <w:rsid w:val="00E11455"/>
    <w:rsid w:val="00E114CB"/>
    <w:rsid w:val="00E1161F"/>
    <w:rsid w:val="00E1176A"/>
    <w:rsid w:val="00E117B9"/>
    <w:rsid w:val="00E1187C"/>
    <w:rsid w:val="00E11B7D"/>
    <w:rsid w:val="00E11CB5"/>
    <w:rsid w:val="00E11CEF"/>
    <w:rsid w:val="00E1219B"/>
    <w:rsid w:val="00E1229D"/>
    <w:rsid w:val="00E122F0"/>
    <w:rsid w:val="00E1235E"/>
    <w:rsid w:val="00E123FE"/>
    <w:rsid w:val="00E12601"/>
    <w:rsid w:val="00E1263A"/>
    <w:rsid w:val="00E12655"/>
    <w:rsid w:val="00E12717"/>
    <w:rsid w:val="00E1306E"/>
    <w:rsid w:val="00E13088"/>
    <w:rsid w:val="00E13213"/>
    <w:rsid w:val="00E1324D"/>
    <w:rsid w:val="00E13343"/>
    <w:rsid w:val="00E13394"/>
    <w:rsid w:val="00E13444"/>
    <w:rsid w:val="00E13690"/>
    <w:rsid w:val="00E13803"/>
    <w:rsid w:val="00E13A3F"/>
    <w:rsid w:val="00E13BBE"/>
    <w:rsid w:val="00E13CAA"/>
    <w:rsid w:val="00E13CC6"/>
    <w:rsid w:val="00E13DF0"/>
    <w:rsid w:val="00E13F7A"/>
    <w:rsid w:val="00E1411B"/>
    <w:rsid w:val="00E1425F"/>
    <w:rsid w:val="00E14272"/>
    <w:rsid w:val="00E142D4"/>
    <w:rsid w:val="00E146D7"/>
    <w:rsid w:val="00E148CE"/>
    <w:rsid w:val="00E149D7"/>
    <w:rsid w:val="00E14BA2"/>
    <w:rsid w:val="00E14CDA"/>
    <w:rsid w:val="00E14E17"/>
    <w:rsid w:val="00E14F90"/>
    <w:rsid w:val="00E1512B"/>
    <w:rsid w:val="00E1519C"/>
    <w:rsid w:val="00E15325"/>
    <w:rsid w:val="00E153A1"/>
    <w:rsid w:val="00E153C9"/>
    <w:rsid w:val="00E15552"/>
    <w:rsid w:val="00E155DC"/>
    <w:rsid w:val="00E155F6"/>
    <w:rsid w:val="00E1571D"/>
    <w:rsid w:val="00E157A1"/>
    <w:rsid w:val="00E1592C"/>
    <w:rsid w:val="00E15C85"/>
    <w:rsid w:val="00E15D94"/>
    <w:rsid w:val="00E15E0B"/>
    <w:rsid w:val="00E16015"/>
    <w:rsid w:val="00E1607D"/>
    <w:rsid w:val="00E16103"/>
    <w:rsid w:val="00E164E7"/>
    <w:rsid w:val="00E169A8"/>
    <w:rsid w:val="00E16BA8"/>
    <w:rsid w:val="00E16C36"/>
    <w:rsid w:val="00E16FC3"/>
    <w:rsid w:val="00E17289"/>
    <w:rsid w:val="00E172B0"/>
    <w:rsid w:val="00E1736B"/>
    <w:rsid w:val="00E173D0"/>
    <w:rsid w:val="00E174EE"/>
    <w:rsid w:val="00E174F6"/>
    <w:rsid w:val="00E175C2"/>
    <w:rsid w:val="00E17829"/>
    <w:rsid w:val="00E179D8"/>
    <w:rsid w:val="00E179F9"/>
    <w:rsid w:val="00E17AE1"/>
    <w:rsid w:val="00E17B89"/>
    <w:rsid w:val="00E17BC3"/>
    <w:rsid w:val="00E17C54"/>
    <w:rsid w:val="00E17CB5"/>
    <w:rsid w:val="00E17DE0"/>
    <w:rsid w:val="00E17E44"/>
    <w:rsid w:val="00E17F7C"/>
    <w:rsid w:val="00E20117"/>
    <w:rsid w:val="00E20251"/>
    <w:rsid w:val="00E205FA"/>
    <w:rsid w:val="00E20758"/>
    <w:rsid w:val="00E2077F"/>
    <w:rsid w:val="00E20788"/>
    <w:rsid w:val="00E207EE"/>
    <w:rsid w:val="00E20863"/>
    <w:rsid w:val="00E208EF"/>
    <w:rsid w:val="00E20927"/>
    <w:rsid w:val="00E20A4C"/>
    <w:rsid w:val="00E20A75"/>
    <w:rsid w:val="00E20B74"/>
    <w:rsid w:val="00E20D55"/>
    <w:rsid w:val="00E20FAD"/>
    <w:rsid w:val="00E21002"/>
    <w:rsid w:val="00E21099"/>
    <w:rsid w:val="00E211BE"/>
    <w:rsid w:val="00E21246"/>
    <w:rsid w:val="00E2138E"/>
    <w:rsid w:val="00E213C9"/>
    <w:rsid w:val="00E2167C"/>
    <w:rsid w:val="00E21DAD"/>
    <w:rsid w:val="00E21E79"/>
    <w:rsid w:val="00E222D5"/>
    <w:rsid w:val="00E223D0"/>
    <w:rsid w:val="00E22535"/>
    <w:rsid w:val="00E22686"/>
    <w:rsid w:val="00E22689"/>
    <w:rsid w:val="00E226C8"/>
    <w:rsid w:val="00E226CA"/>
    <w:rsid w:val="00E2293F"/>
    <w:rsid w:val="00E22B5E"/>
    <w:rsid w:val="00E22E43"/>
    <w:rsid w:val="00E22F88"/>
    <w:rsid w:val="00E23046"/>
    <w:rsid w:val="00E233AB"/>
    <w:rsid w:val="00E23564"/>
    <w:rsid w:val="00E23587"/>
    <w:rsid w:val="00E23654"/>
    <w:rsid w:val="00E2378F"/>
    <w:rsid w:val="00E23994"/>
    <w:rsid w:val="00E239D4"/>
    <w:rsid w:val="00E23EBF"/>
    <w:rsid w:val="00E23FDB"/>
    <w:rsid w:val="00E24043"/>
    <w:rsid w:val="00E243C7"/>
    <w:rsid w:val="00E24449"/>
    <w:rsid w:val="00E2449E"/>
    <w:rsid w:val="00E245AB"/>
    <w:rsid w:val="00E246BD"/>
    <w:rsid w:val="00E24725"/>
    <w:rsid w:val="00E247CB"/>
    <w:rsid w:val="00E247F6"/>
    <w:rsid w:val="00E2492F"/>
    <w:rsid w:val="00E24C6A"/>
    <w:rsid w:val="00E24E90"/>
    <w:rsid w:val="00E24F5A"/>
    <w:rsid w:val="00E25351"/>
    <w:rsid w:val="00E2544C"/>
    <w:rsid w:val="00E2557B"/>
    <w:rsid w:val="00E25580"/>
    <w:rsid w:val="00E255F2"/>
    <w:rsid w:val="00E256A9"/>
    <w:rsid w:val="00E25855"/>
    <w:rsid w:val="00E2585C"/>
    <w:rsid w:val="00E258CD"/>
    <w:rsid w:val="00E25959"/>
    <w:rsid w:val="00E25B1E"/>
    <w:rsid w:val="00E25B25"/>
    <w:rsid w:val="00E25CFB"/>
    <w:rsid w:val="00E261E5"/>
    <w:rsid w:val="00E26493"/>
    <w:rsid w:val="00E265FE"/>
    <w:rsid w:val="00E26628"/>
    <w:rsid w:val="00E2662B"/>
    <w:rsid w:val="00E26671"/>
    <w:rsid w:val="00E268B1"/>
    <w:rsid w:val="00E26906"/>
    <w:rsid w:val="00E26BBD"/>
    <w:rsid w:val="00E26CAF"/>
    <w:rsid w:val="00E26F79"/>
    <w:rsid w:val="00E26FA1"/>
    <w:rsid w:val="00E2724C"/>
    <w:rsid w:val="00E27552"/>
    <w:rsid w:val="00E277E4"/>
    <w:rsid w:val="00E278A8"/>
    <w:rsid w:val="00E279CE"/>
    <w:rsid w:val="00E27A38"/>
    <w:rsid w:val="00E27AB9"/>
    <w:rsid w:val="00E27AF2"/>
    <w:rsid w:val="00E27B0B"/>
    <w:rsid w:val="00E27D82"/>
    <w:rsid w:val="00E27D9C"/>
    <w:rsid w:val="00E27DA3"/>
    <w:rsid w:val="00E302B5"/>
    <w:rsid w:val="00E30473"/>
    <w:rsid w:val="00E30657"/>
    <w:rsid w:val="00E306EC"/>
    <w:rsid w:val="00E307F9"/>
    <w:rsid w:val="00E30A9C"/>
    <w:rsid w:val="00E30B2F"/>
    <w:rsid w:val="00E30DFD"/>
    <w:rsid w:val="00E31102"/>
    <w:rsid w:val="00E31126"/>
    <w:rsid w:val="00E3114A"/>
    <w:rsid w:val="00E31180"/>
    <w:rsid w:val="00E315FE"/>
    <w:rsid w:val="00E316A7"/>
    <w:rsid w:val="00E3170B"/>
    <w:rsid w:val="00E317D4"/>
    <w:rsid w:val="00E31954"/>
    <w:rsid w:val="00E3198D"/>
    <w:rsid w:val="00E31A00"/>
    <w:rsid w:val="00E31C15"/>
    <w:rsid w:val="00E320B0"/>
    <w:rsid w:val="00E3212E"/>
    <w:rsid w:val="00E32142"/>
    <w:rsid w:val="00E3237B"/>
    <w:rsid w:val="00E326A9"/>
    <w:rsid w:val="00E32734"/>
    <w:rsid w:val="00E32889"/>
    <w:rsid w:val="00E328CD"/>
    <w:rsid w:val="00E32CDC"/>
    <w:rsid w:val="00E32D1B"/>
    <w:rsid w:val="00E32E54"/>
    <w:rsid w:val="00E32FEE"/>
    <w:rsid w:val="00E330D6"/>
    <w:rsid w:val="00E331D3"/>
    <w:rsid w:val="00E33328"/>
    <w:rsid w:val="00E33579"/>
    <w:rsid w:val="00E335C1"/>
    <w:rsid w:val="00E33715"/>
    <w:rsid w:val="00E338B0"/>
    <w:rsid w:val="00E339B7"/>
    <w:rsid w:val="00E339BA"/>
    <w:rsid w:val="00E33B6D"/>
    <w:rsid w:val="00E33E28"/>
    <w:rsid w:val="00E33EFF"/>
    <w:rsid w:val="00E33FE6"/>
    <w:rsid w:val="00E3439E"/>
    <w:rsid w:val="00E34588"/>
    <w:rsid w:val="00E345A6"/>
    <w:rsid w:val="00E34725"/>
    <w:rsid w:val="00E34870"/>
    <w:rsid w:val="00E34A01"/>
    <w:rsid w:val="00E34E6C"/>
    <w:rsid w:val="00E3501E"/>
    <w:rsid w:val="00E35464"/>
    <w:rsid w:val="00E35556"/>
    <w:rsid w:val="00E358BF"/>
    <w:rsid w:val="00E35A1C"/>
    <w:rsid w:val="00E35B29"/>
    <w:rsid w:val="00E35C27"/>
    <w:rsid w:val="00E35D61"/>
    <w:rsid w:val="00E3602D"/>
    <w:rsid w:val="00E36096"/>
    <w:rsid w:val="00E3616F"/>
    <w:rsid w:val="00E362A3"/>
    <w:rsid w:val="00E36355"/>
    <w:rsid w:val="00E36399"/>
    <w:rsid w:val="00E364E4"/>
    <w:rsid w:val="00E36524"/>
    <w:rsid w:val="00E366B9"/>
    <w:rsid w:val="00E3671A"/>
    <w:rsid w:val="00E369BC"/>
    <w:rsid w:val="00E36C70"/>
    <w:rsid w:val="00E36E06"/>
    <w:rsid w:val="00E36E14"/>
    <w:rsid w:val="00E3724A"/>
    <w:rsid w:val="00E372BB"/>
    <w:rsid w:val="00E372F9"/>
    <w:rsid w:val="00E37523"/>
    <w:rsid w:val="00E37899"/>
    <w:rsid w:val="00E37BAE"/>
    <w:rsid w:val="00E40354"/>
    <w:rsid w:val="00E404A6"/>
    <w:rsid w:val="00E40B17"/>
    <w:rsid w:val="00E40D19"/>
    <w:rsid w:val="00E40E41"/>
    <w:rsid w:val="00E4122A"/>
    <w:rsid w:val="00E4126A"/>
    <w:rsid w:val="00E412A7"/>
    <w:rsid w:val="00E413AC"/>
    <w:rsid w:val="00E4158D"/>
    <w:rsid w:val="00E41636"/>
    <w:rsid w:val="00E417DA"/>
    <w:rsid w:val="00E41884"/>
    <w:rsid w:val="00E41894"/>
    <w:rsid w:val="00E418DF"/>
    <w:rsid w:val="00E41B57"/>
    <w:rsid w:val="00E41CC6"/>
    <w:rsid w:val="00E41DBE"/>
    <w:rsid w:val="00E41FD1"/>
    <w:rsid w:val="00E424E9"/>
    <w:rsid w:val="00E42573"/>
    <w:rsid w:val="00E425C0"/>
    <w:rsid w:val="00E42683"/>
    <w:rsid w:val="00E427F6"/>
    <w:rsid w:val="00E428B3"/>
    <w:rsid w:val="00E428C8"/>
    <w:rsid w:val="00E429A7"/>
    <w:rsid w:val="00E42AFC"/>
    <w:rsid w:val="00E42C51"/>
    <w:rsid w:val="00E42C88"/>
    <w:rsid w:val="00E42C93"/>
    <w:rsid w:val="00E42F7B"/>
    <w:rsid w:val="00E42FC4"/>
    <w:rsid w:val="00E430F6"/>
    <w:rsid w:val="00E43241"/>
    <w:rsid w:val="00E432AA"/>
    <w:rsid w:val="00E433C4"/>
    <w:rsid w:val="00E434DD"/>
    <w:rsid w:val="00E4363F"/>
    <w:rsid w:val="00E437F7"/>
    <w:rsid w:val="00E43978"/>
    <w:rsid w:val="00E43A51"/>
    <w:rsid w:val="00E43D11"/>
    <w:rsid w:val="00E43D33"/>
    <w:rsid w:val="00E43D4E"/>
    <w:rsid w:val="00E43DE6"/>
    <w:rsid w:val="00E43F4C"/>
    <w:rsid w:val="00E4405B"/>
    <w:rsid w:val="00E4411B"/>
    <w:rsid w:val="00E4418B"/>
    <w:rsid w:val="00E442DC"/>
    <w:rsid w:val="00E44594"/>
    <w:rsid w:val="00E44599"/>
    <w:rsid w:val="00E445B0"/>
    <w:rsid w:val="00E445CB"/>
    <w:rsid w:val="00E447A6"/>
    <w:rsid w:val="00E44BA7"/>
    <w:rsid w:val="00E44C8B"/>
    <w:rsid w:val="00E44C8E"/>
    <w:rsid w:val="00E44E37"/>
    <w:rsid w:val="00E44EC7"/>
    <w:rsid w:val="00E44F90"/>
    <w:rsid w:val="00E453C7"/>
    <w:rsid w:val="00E45573"/>
    <w:rsid w:val="00E45783"/>
    <w:rsid w:val="00E458CF"/>
    <w:rsid w:val="00E45A9C"/>
    <w:rsid w:val="00E45AA8"/>
    <w:rsid w:val="00E45B3F"/>
    <w:rsid w:val="00E45C14"/>
    <w:rsid w:val="00E45C33"/>
    <w:rsid w:val="00E45CFF"/>
    <w:rsid w:val="00E45E57"/>
    <w:rsid w:val="00E45EAA"/>
    <w:rsid w:val="00E45FBA"/>
    <w:rsid w:val="00E460BB"/>
    <w:rsid w:val="00E46144"/>
    <w:rsid w:val="00E461ED"/>
    <w:rsid w:val="00E46321"/>
    <w:rsid w:val="00E463F6"/>
    <w:rsid w:val="00E46455"/>
    <w:rsid w:val="00E4647C"/>
    <w:rsid w:val="00E46496"/>
    <w:rsid w:val="00E46668"/>
    <w:rsid w:val="00E467FE"/>
    <w:rsid w:val="00E4689D"/>
    <w:rsid w:val="00E46983"/>
    <w:rsid w:val="00E46A7B"/>
    <w:rsid w:val="00E46B15"/>
    <w:rsid w:val="00E46B59"/>
    <w:rsid w:val="00E46C0D"/>
    <w:rsid w:val="00E46C10"/>
    <w:rsid w:val="00E46D25"/>
    <w:rsid w:val="00E46D78"/>
    <w:rsid w:val="00E46E38"/>
    <w:rsid w:val="00E46F87"/>
    <w:rsid w:val="00E470B6"/>
    <w:rsid w:val="00E47140"/>
    <w:rsid w:val="00E4714E"/>
    <w:rsid w:val="00E471DE"/>
    <w:rsid w:val="00E47528"/>
    <w:rsid w:val="00E4777E"/>
    <w:rsid w:val="00E47930"/>
    <w:rsid w:val="00E47CA4"/>
    <w:rsid w:val="00E47F2E"/>
    <w:rsid w:val="00E50232"/>
    <w:rsid w:val="00E50513"/>
    <w:rsid w:val="00E50515"/>
    <w:rsid w:val="00E506B4"/>
    <w:rsid w:val="00E5096C"/>
    <w:rsid w:val="00E509DC"/>
    <w:rsid w:val="00E50A07"/>
    <w:rsid w:val="00E50A60"/>
    <w:rsid w:val="00E50BDD"/>
    <w:rsid w:val="00E50D95"/>
    <w:rsid w:val="00E50E4C"/>
    <w:rsid w:val="00E50FCA"/>
    <w:rsid w:val="00E5101D"/>
    <w:rsid w:val="00E51107"/>
    <w:rsid w:val="00E51116"/>
    <w:rsid w:val="00E51235"/>
    <w:rsid w:val="00E51254"/>
    <w:rsid w:val="00E51446"/>
    <w:rsid w:val="00E515D2"/>
    <w:rsid w:val="00E51615"/>
    <w:rsid w:val="00E51A06"/>
    <w:rsid w:val="00E51B54"/>
    <w:rsid w:val="00E51BB6"/>
    <w:rsid w:val="00E51CC3"/>
    <w:rsid w:val="00E51D85"/>
    <w:rsid w:val="00E51E15"/>
    <w:rsid w:val="00E5209C"/>
    <w:rsid w:val="00E52235"/>
    <w:rsid w:val="00E5236C"/>
    <w:rsid w:val="00E52483"/>
    <w:rsid w:val="00E52699"/>
    <w:rsid w:val="00E527A5"/>
    <w:rsid w:val="00E527D0"/>
    <w:rsid w:val="00E5287F"/>
    <w:rsid w:val="00E528A8"/>
    <w:rsid w:val="00E52932"/>
    <w:rsid w:val="00E52993"/>
    <w:rsid w:val="00E52A14"/>
    <w:rsid w:val="00E52B98"/>
    <w:rsid w:val="00E52BFE"/>
    <w:rsid w:val="00E52EF1"/>
    <w:rsid w:val="00E52F43"/>
    <w:rsid w:val="00E530B5"/>
    <w:rsid w:val="00E530FA"/>
    <w:rsid w:val="00E53140"/>
    <w:rsid w:val="00E53166"/>
    <w:rsid w:val="00E531B6"/>
    <w:rsid w:val="00E532B7"/>
    <w:rsid w:val="00E532D6"/>
    <w:rsid w:val="00E53371"/>
    <w:rsid w:val="00E534D0"/>
    <w:rsid w:val="00E53596"/>
    <w:rsid w:val="00E53952"/>
    <w:rsid w:val="00E53A1B"/>
    <w:rsid w:val="00E53A63"/>
    <w:rsid w:val="00E53C1B"/>
    <w:rsid w:val="00E53C77"/>
    <w:rsid w:val="00E53C8F"/>
    <w:rsid w:val="00E54011"/>
    <w:rsid w:val="00E54024"/>
    <w:rsid w:val="00E540EE"/>
    <w:rsid w:val="00E542EA"/>
    <w:rsid w:val="00E5444E"/>
    <w:rsid w:val="00E54970"/>
    <w:rsid w:val="00E54B52"/>
    <w:rsid w:val="00E54C63"/>
    <w:rsid w:val="00E54DD1"/>
    <w:rsid w:val="00E54E24"/>
    <w:rsid w:val="00E54E89"/>
    <w:rsid w:val="00E54F14"/>
    <w:rsid w:val="00E550FC"/>
    <w:rsid w:val="00E552CE"/>
    <w:rsid w:val="00E55358"/>
    <w:rsid w:val="00E555E6"/>
    <w:rsid w:val="00E556BF"/>
    <w:rsid w:val="00E55792"/>
    <w:rsid w:val="00E557EF"/>
    <w:rsid w:val="00E5583B"/>
    <w:rsid w:val="00E55B92"/>
    <w:rsid w:val="00E55C31"/>
    <w:rsid w:val="00E55C60"/>
    <w:rsid w:val="00E55D01"/>
    <w:rsid w:val="00E55D8E"/>
    <w:rsid w:val="00E55EC3"/>
    <w:rsid w:val="00E55F65"/>
    <w:rsid w:val="00E560B0"/>
    <w:rsid w:val="00E5612C"/>
    <w:rsid w:val="00E56338"/>
    <w:rsid w:val="00E56355"/>
    <w:rsid w:val="00E5638E"/>
    <w:rsid w:val="00E564CA"/>
    <w:rsid w:val="00E56509"/>
    <w:rsid w:val="00E56618"/>
    <w:rsid w:val="00E5662C"/>
    <w:rsid w:val="00E56887"/>
    <w:rsid w:val="00E568EB"/>
    <w:rsid w:val="00E568FD"/>
    <w:rsid w:val="00E56A49"/>
    <w:rsid w:val="00E56B08"/>
    <w:rsid w:val="00E56C09"/>
    <w:rsid w:val="00E56DF9"/>
    <w:rsid w:val="00E56E98"/>
    <w:rsid w:val="00E57164"/>
    <w:rsid w:val="00E5723C"/>
    <w:rsid w:val="00E572AC"/>
    <w:rsid w:val="00E5743C"/>
    <w:rsid w:val="00E57784"/>
    <w:rsid w:val="00E57A6A"/>
    <w:rsid w:val="00E57B9D"/>
    <w:rsid w:val="00E57BD9"/>
    <w:rsid w:val="00E57FD5"/>
    <w:rsid w:val="00E60037"/>
    <w:rsid w:val="00E6034A"/>
    <w:rsid w:val="00E60445"/>
    <w:rsid w:val="00E6047A"/>
    <w:rsid w:val="00E60915"/>
    <w:rsid w:val="00E60918"/>
    <w:rsid w:val="00E609F1"/>
    <w:rsid w:val="00E60A3F"/>
    <w:rsid w:val="00E60C6C"/>
    <w:rsid w:val="00E60CBC"/>
    <w:rsid w:val="00E60FE9"/>
    <w:rsid w:val="00E6129C"/>
    <w:rsid w:val="00E612ED"/>
    <w:rsid w:val="00E613C0"/>
    <w:rsid w:val="00E618A2"/>
    <w:rsid w:val="00E618B7"/>
    <w:rsid w:val="00E618E0"/>
    <w:rsid w:val="00E61B83"/>
    <w:rsid w:val="00E61D7F"/>
    <w:rsid w:val="00E61F41"/>
    <w:rsid w:val="00E61F97"/>
    <w:rsid w:val="00E62076"/>
    <w:rsid w:val="00E624F3"/>
    <w:rsid w:val="00E6253D"/>
    <w:rsid w:val="00E6259A"/>
    <w:rsid w:val="00E6263F"/>
    <w:rsid w:val="00E627E8"/>
    <w:rsid w:val="00E62893"/>
    <w:rsid w:val="00E628C0"/>
    <w:rsid w:val="00E62D3B"/>
    <w:rsid w:val="00E62D84"/>
    <w:rsid w:val="00E62ED1"/>
    <w:rsid w:val="00E62EE7"/>
    <w:rsid w:val="00E62F2F"/>
    <w:rsid w:val="00E632FF"/>
    <w:rsid w:val="00E6339B"/>
    <w:rsid w:val="00E63565"/>
    <w:rsid w:val="00E635A4"/>
    <w:rsid w:val="00E6367B"/>
    <w:rsid w:val="00E637DF"/>
    <w:rsid w:val="00E639FF"/>
    <w:rsid w:val="00E63F5F"/>
    <w:rsid w:val="00E63FF6"/>
    <w:rsid w:val="00E640A8"/>
    <w:rsid w:val="00E64378"/>
    <w:rsid w:val="00E64428"/>
    <w:rsid w:val="00E6443F"/>
    <w:rsid w:val="00E645BE"/>
    <w:rsid w:val="00E64604"/>
    <w:rsid w:val="00E64635"/>
    <w:rsid w:val="00E647A4"/>
    <w:rsid w:val="00E64856"/>
    <w:rsid w:val="00E64B34"/>
    <w:rsid w:val="00E64B75"/>
    <w:rsid w:val="00E64B8C"/>
    <w:rsid w:val="00E64C6C"/>
    <w:rsid w:val="00E64CB0"/>
    <w:rsid w:val="00E64EDB"/>
    <w:rsid w:val="00E64F69"/>
    <w:rsid w:val="00E64F99"/>
    <w:rsid w:val="00E64FCB"/>
    <w:rsid w:val="00E651F4"/>
    <w:rsid w:val="00E65489"/>
    <w:rsid w:val="00E6558E"/>
    <w:rsid w:val="00E6567A"/>
    <w:rsid w:val="00E65788"/>
    <w:rsid w:val="00E657CE"/>
    <w:rsid w:val="00E658EE"/>
    <w:rsid w:val="00E65A00"/>
    <w:rsid w:val="00E65A40"/>
    <w:rsid w:val="00E65A60"/>
    <w:rsid w:val="00E65D0E"/>
    <w:rsid w:val="00E65D81"/>
    <w:rsid w:val="00E65E68"/>
    <w:rsid w:val="00E65F62"/>
    <w:rsid w:val="00E6600E"/>
    <w:rsid w:val="00E66140"/>
    <w:rsid w:val="00E66427"/>
    <w:rsid w:val="00E66443"/>
    <w:rsid w:val="00E664F7"/>
    <w:rsid w:val="00E6658E"/>
    <w:rsid w:val="00E6663D"/>
    <w:rsid w:val="00E66816"/>
    <w:rsid w:val="00E669EC"/>
    <w:rsid w:val="00E66A2C"/>
    <w:rsid w:val="00E66B30"/>
    <w:rsid w:val="00E66C77"/>
    <w:rsid w:val="00E66CB1"/>
    <w:rsid w:val="00E6730E"/>
    <w:rsid w:val="00E67418"/>
    <w:rsid w:val="00E67592"/>
    <w:rsid w:val="00E675E2"/>
    <w:rsid w:val="00E676CA"/>
    <w:rsid w:val="00E67857"/>
    <w:rsid w:val="00E678B9"/>
    <w:rsid w:val="00E6793B"/>
    <w:rsid w:val="00E67A82"/>
    <w:rsid w:val="00E67CB5"/>
    <w:rsid w:val="00E67E63"/>
    <w:rsid w:val="00E67EA7"/>
    <w:rsid w:val="00E67EDC"/>
    <w:rsid w:val="00E67FC7"/>
    <w:rsid w:val="00E70234"/>
    <w:rsid w:val="00E70382"/>
    <w:rsid w:val="00E705E5"/>
    <w:rsid w:val="00E706F1"/>
    <w:rsid w:val="00E7075B"/>
    <w:rsid w:val="00E70A29"/>
    <w:rsid w:val="00E70B3A"/>
    <w:rsid w:val="00E70CBB"/>
    <w:rsid w:val="00E70D19"/>
    <w:rsid w:val="00E70DA6"/>
    <w:rsid w:val="00E70F03"/>
    <w:rsid w:val="00E71183"/>
    <w:rsid w:val="00E7127F"/>
    <w:rsid w:val="00E71283"/>
    <w:rsid w:val="00E712D9"/>
    <w:rsid w:val="00E71326"/>
    <w:rsid w:val="00E71480"/>
    <w:rsid w:val="00E7152E"/>
    <w:rsid w:val="00E71539"/>
    <w:rsid w:val="00E71D6B"/>
    <w:rsid w:val="00E71E1B"/>
    <w:rsid w:val="00E71F73"/>
    <w:rsid w:val="00E71FD2"/>
    <w:rsid w:val="00E7202B"/>
    <w:rsid w:val="00E7204F"/>
    <w:rsid w:val="00E721D6"/>
    <w:rsid w:val="00E72266"/>
    <w:rsid w:val="00E724B9"/>
    <w:rsid w:val="00E725B5"/>
    <w:rsid w:val="00E72688"/>
    <w:rsid w:val="00E726EE"/>
    <w:rsid w:val="00E7298B"/>
    <w:rsid w:val="00E72B87"/>
    <w:rsid w:val="00E72CCA"/>
    <w:rsid w:val="00E72DA6"/>
    <w:rsid w:val="00E7305D"/>
    <w:rsid w:val="00E730D2"/>
    <w:rsid w:val="00E731BF"/>
    <w:rsid w:val="00E733EA"/>
    <w:rsid w:val="00E73545"/>
    <w:rsid w:val="00E7372D"/>
    <w:rsid w:val="00E7380B"/>
    <w:rsid w:val="00E73964"/>
    <w:rsid w:val="00E739A3"/>
    <w:rsid w:val="00E73AE4"/>
    <w:rsid w:val="00E73AEC"/>
    <w:rsid w:val="00E73B9E"/>
    <w:rsid w:val="00E73ED4"/>
    <w:rsid w:val="00E7403F"/>
    <w:rsid w:val="00E740A8"/>
    <w:rsid w:val="00E74276"/>
    <w:rsid w:val="00E7429C"/>
    <w:rsid w:val="00E7434D"/>
    <w:rsid w:val="00E74558"/>
    <w:rsid w:val="00E7468A"/>
    <w:rsid w:val="00E7477B"/>
    <w:rsid w:val="00E74885"/>
    <w:rsid w:val="00E7488D"/>
    <w:rsid w:val="00E748C5"/>
    <w:rsid w:val="00E7496F"/>
    <w:rsid w:val="00E74A33"/>
    <w:rsid w:val="00E74C12"/>
    <w:rsid w:val="00E74C18"/>
    <w:rsid w:val="00E74C65"/>
    <w:rsid w:val="00E74CD8"/>
    <w:rsid w:val="00E74D97"/>
    <w:rsid w:val="00E74E85"/>
    <w:rsid w:val="00E74EC9"/>
    <w:rsid w:val="00E74F49"/>
    <w:rsid w:val="00E74FE3"/>
    <w:rsid w:val="00E75033"/>
    <w:rsid w:val="00E75098"/>
    <w:rsid w:val="00E750D1"/>
    <w:rsid w:val="00E75105"/>
    <w:rsid w:val="00E7518D"/>
    <w:rsid w:val="00E751DD"/>
    <w:rsid w:val="00E75274"/>
    <w:rsid w:val="00E752F9"/>
    <w:rsid w:val="00E7532A"/>
    <w:rsid w:val="00E7552E"/>
    <w:rsid w:val="00E75639"/>
    <w:rsid w:val="00E75675"/>
    <w:rsid w:val="00E757E6"/>
    <w:rsid w:val="00E758C1"/>
    <w:rsid w:val="00E75967"/>
    <w:rsid w:val="00E75BB3"/>
    <w:rsid w:val="00E75C68"/>
    <w:rsid w:val="00E75E23"/>
    <w:rsid w:val="00E76094"/>
    <w:rsid w:val="00E764D3"/>
    <w:rsid w:val="00E7655A"/>
    <w:rsid w:val="00E765A0"/>
    <w:rsid w:val="00E767A8"/>
    <w:rsid w:val="00E767C7"/>
    <w:rsid w:val="00E7689A"/>
    <w:rsid w:val="00E76A19"/>
    <w:rsid w:val="00E76ACD"/>
    <w:rsid w:val="00E76B07"/>
    <w:rsid w:val="00E76C1E"/>
    <w:rsid w:val="00E76E45"/>
    <w:rsid w:val="00E76FA2"/>
    <w:rsid w:val="00E77139"/>
    <w:rsid w:val="00E77184"/>
    <w:rsid w:val="00E771D1"/>
    <w:rsid w:val="00E771E0"/>
    <w:rsid w:val="00E772B8"/>
    <w:rsid w:val="00E77326"/>
    <w:rsid w:val="00E77508"/>
    <w:rsid w:val="00E775C9"/>
    <w:rsid w:val="00E77627"/>
    <w:rsid w:val="00E778A9"/>
    <w:rsid w:val="00E77B4E"/>
    <w:rsid w:val="00E77C7B"/>
    <w:rsid w:val="00E77CB0"/>
    <w:rsid w:val="00E77D55"/>
    <w:rsid w:val="00E77E53"/>
    <w:rsid w:val="00E77F69"/>
    <w:rsid w:val="00E77FB4"/>
    <w:rsid w:val="00E803E1"/>
    <w:rsid w:val="00E80A2D"/>
    <w:rsid w:val="00E80A85"/>
    <w:rsid w:val="00E80EE5"/>
    <w:rsid w:val="00E80FFE"/>
    <w:rsid w:val="00E81025"/>
    <w:rsid w:val="00E811E3"/>
    <w:rsid w:val="00E8129F"/>
    <w:rsid w:val="00E81330"/>
    <w:rsid w:val="00E8141D"/>
    <w:rsid w:val="00E8199A"/>
    <w:rsid w:val="00E819E9"/>
    <w:rsid w:val="00E81A97"/>
    <w:rsid w:val="00E81ACF"/>
    <w:rsid w:val="00E81B7E"/>
    <w:rsid w:val="00E81BD6"/>
    <w:rsid w:val="00E81E2A"/>
    <w:rsid w:val="00E81F11"/>
    <w:rsid w:val="00E81FE8"/>
    <w:rsid w:val="00E8204D"/>
    <w:rsid w:val="00E820BA"/>
    <w:rsid w:val="00E820DE"/>
    <w:rsid w:val="00E820E7"/>
    <w:rsid w:val="00E822DF"/>
    <w:rsid w:val="00E824A7"/>
    <w:rsid w:val="00E828D3"/>
    <w:rsid w:val="00E828E7"/>
    <w:rsid w:val="00E82A6B"/>
    <w:rsid w:val="00E82AD0"/>
    <w:rsid w:val="00E82BFE"/>
    <w:rsid w:val="00E82C51"/>
    <w:rsid w:val="00E82D9D"/>
    <w:rsid w:val="00E82F67"/>
    <w:rsid w:val="00E8320E"/>
    <w:rsid w:val="00E83252"/>
    <w:rsid w:val="00E83288"/>
    <w:rsid w:val="00E83380"/>
    <w:rsid w:val="00E83412"/>
    <w:rsid w:val="00E83425"/>
    <w:rsid w:val="00E834A5"/>
    <w:rsid w:val="00E834E4"/>
    <w:rsid w:val="00E8350F"/>
    <w:rsid w:val="00E83665"/>
    <w:rsid w:val="00E837AE"/>
    <w:rsid w:val="00E838DC"/>
    <w:rsid w:val="00E838EA"/>
    <w:rsid w:val="00E839BE"/>
    <w:rsid w:val="00E83AA3"/>
    <w:rsid w:val="00E83D39"/>
    <w:rsid w:val="00E843C6"/>
    <w:rsid w:val="00E84424"/>
    <w:rsid w:val="00E84490"/>
    <w:rsid w:val="00E845A2"/>
    <w:rsid w:val="00E846B7"/>
    <w:rsid w:val="00E849B6"/>
    <w:rsid w:val="00E84A57"/>
    <w:rsid w:val="00E84B52"/>
    <w:rsid w:val="00E84CE5"/>
    <w:rsid w:val="00E84F14"/>
    <w:rsid w:val="00E84F39"/>
    <w:rsid w:val="00E84F7B"/>
    <w:rsid w:val="00E84FC7"/>
    <w:rsid w:val="00E85038"/>
    <w:rsid w:val="00E85061"/>
    <w:rsid w:val="00E853A4"/>
    <w:rsid w:val="00E853DE"/>
    <w:rsid w:val="00E8547C"/>
    <w:rsid w:val="00E85615"/>
    <w:rsid w:val="00E85725"/>
    <w:rsid w:val="00E85758"/>
    <w:rsid w:val="00E85AB0"/>
    <w:rsid w:val="00E85BBB"/>
    <w:rsid w:val="00E85C07"/>
    <w:rsid w:val="00E85C30"/>
    <w:rsid w:val="00E85DB5"/>
    <w:rsid w:val="00E85E19"/>
    <w:rsid w:val="00E85E7C"/>
    <w:rsid w:val="00E8602E"/>
    <w:rsid w:val="00E861E0"/>
    <w:rsid w:val="00E864B0"/>
    <w:rsid w:val="00E86505"/>
    <w:rsid w:val="00E86613"/>
    <w:rsid w:val="00E867B2"/>
    <w:rsid w:val="00E867C5"/>
    <w:rsid w:val="00E868D8"/>
    <w:rsid w:val="00E86922"/>
    <w:rsid w:val="00E86A1A"/>
    <w:rsid w:val="00E86A28"/>
    <w:rsid w:val="00E86ACC"/>
    <w:rsid w:val="00E86D64"/>
    <w:rsid w:val="00E86E63"/>
    <w:rsid w:val="00E86EAF"/>
    <w:rsid w:val="00E87218"/>
    <w:rsid w:val="00E875D4"/>
    <w:rsid w:val="00E87729"/>
    <w:rsid w:val="00E87D4E"/>
    <w:rsid w:val="00E87E5E"/>
    <w:rsid w:val="00E87ECC"/>
    <w:rsid w:val="00E9000C"/>
    <w:rsid w:val="00E900AA"/>
    <w:rsid w:val="00E901B2"/>
    <w:rsid w:val="00E902E4"/>
    <w:rsid w:val="00E9031F"/>
    <w:rsid w:val="00E90350"/>
    <w:rsid w:val="00E904E2"/>
    <w:rsid w:val="00E90519"/>
    <w:rsid w:val="00E905A7"/>
    <w:rsid w:val="00E90805"/>
    <w:rsid w:val="00E9091A"/>
    <w:rsid w:val="00E90BE1"/>
    <w:rsid w:val="00E90DFE"/>
    <w:rsid w:val="00E90DFF"/>
    <w:rsid w:val="00E90E57"/>
    <w:rsid w:val="00E90EF1"/>
    <w:rsid w:val="00E910F8"/>
    <w:rsid w:val="00E9112E"/>
    <w:rsid w:val="00E91150"/>
    <w:rsid w:val="00E911F4"/>
    <w:rsid w:val="00E912E5"/>
    <w:rsid w:val="00E9134C"/>
    <w:rsid w:val="00E91350"/>
    <w:rsid w:val="00E9152B"/>
    <w:rsid w:val="00E919C4"/>
    <w:rsid w:val="00E91A65"/>
    <w:rsid w:val="00E91B17"/>
    <w:rsid w:val="00E91CF0"/>
    <w:rsid w:val="00E91D87"/>
    <w:rsid w:val="00E922F0"/>
    <w:rsid w:val="00E92530"/>
    <w:rsid w:val="00E92598"/>
    <w:rsid w:val="00E925F9"/>
    <w:rsid w:val="00E9263B"/>
    <w:rsid w:val="00E926C9"/>
    <w:rsid w:val="00E92BB1"/>
    <w:rsid w:val="00E92D0A"/>
    <w:rsid w:val="00E92DCD"/>
    <w:rsid w:val="00E92DF8"/>
    <w:rsid w:val="00E92F3D"/>
    <w:rsid w:val="00E93283"/>
    <w:rsid w:val="00E93295"/>
    <w:rsid w:val="00E932FD"/>
    <w:rsid w:val="00E9339E"/>
    <w:rsid w:val="00E933CB"/>
    <w:rsid w:val="00E9369A"/>
    <w:rsid w:val="00E937A0"/>
    <w:rsid w:val="00E93843"/>
    <w:rsid w:val="00E9392C"/>
    <w:rsid w:val="00E93936"/>
    <w:rsid w:val="00E93AF8"/>
    <w:rsid w:val="00E93B49"/>
    <w:rsid w:val="00E93CBB"/>
    <w:rsid w:val="00E93DB0"/>
    <w:rsid w:val="00E94330"/>
    <w:rsid w:val="00E9433C"/>
    <w:rsid w:val="00E9454E"/>
    <w:rsid w:val="00E94620"/>
    <w:rsid w:val="00E9469C"/>
    <w:rsid w:val="00E94A8E"/>
    <w:rsid w:val="00E94AD0"/>
    <w:rsid w:val="00E94BF3"/>
    <w:rsid w:val="00E94E50"/>
    <w:rsid w:val="00E951C7"/>
    <w:rsid w:val="00E951DE"/>
    <w:rsid w:val="00E952EE"/>
    <w:rsid w:val="00E95385"/>
    <w:rsid w:val="00E953C0"/>
    <w:rsid w:val="00E9545E"/>
    <w:rsid w:val="00E956DB"/>
    <w:rsid w:val="00E95950"/>
    <w:rsid w:val="00E9598F"/>
    <w:rsid w:val="00E959AC"/>
    <w:rsid w:val="00E95BFC"/>
    <w:rsid w:val="00E95C58"/>
    <w:rsid w:val="00E95D2B"/>
    <w:rsid w:val="00E95DF5"/>
    <w:rsid w:val="00E95DFE"/>
    <w:rsid w:val="00E95EED"/>
    <w:rsid w:val="00E9620C"/>
    <w:rsid w:val="00E96245"/>
    <w:rsid w:val="00E9627F"/>
    <w:rsid w:val="00E962A3"/>
    <w:rsid w:val="00E964E0"/>
    <w:rsid w:val="00E96647"/>
    <w:rsid w:val="00E96665"/>
    <w:rsid w:val="00E96874"/>
    <w:rsid w:val="00E968F2"/>
    <w:rsid w:val="00E969C4"/>
    <w:rsid w:val="00E96D1D"/>
    <w:rsid w:val="00E96D79"/>
    <w:rsid w:val="00E96F5D"/>
    <w:rsid w:val="00E96F7B"/>
    <w:rsid w:val="00E96FA8"/>
    <w:rsid w:val="00E96FD1"/>
    <w:rsid w:val="00E97083"/>
    <w:rsid w:val="00E97270"/>
    <w:rsid w:val="00E9729C"/>
    <w:rsid w:val="00E972BB"/>
    <w:rsid w:val="00E9744E"/>
    <w:rsid w:val="00E974B9"/>
    <w:rsid w:val="00E97757"/>
    <w:rsid w:val="00E97816"/>
    <w:rsid w:val="00E979F7"/>
    <w:rsid w:val="00E97D5E"/>
    <w:rsid w:val="00E97DD3"/>
    <w:rsid w:val="00E97DE9"/>
    <w:rsid w:val="00E97F2E"/>
    <w:rsid w:val="00EA040D"/>
    <w:rsid w:val="00EA04B2"/>
    <w:rsid w:val="00EA08EE"/>
    <w:rsid w:val="00EA094B"/>
    <w:rsid w:val="00EA096A"/>
    <w:rsid w:val="00EA09D7"/>
    <w:rsid w:val="00EA1142"/>
    <w:rsid w:val="00EA155A"/>
    <w:rsid w:val="00EA1568"/>
    <w:rsid w:val="00EA1597"/>
    <w:rsid w:val="00EA171F"/>
    <w:rsid w:val="00EA1769"/>
    <w:rsid w:val="00EA1B3E"/>
    <w:rsid w:val="00EA1E10"/>
    <w:rsid w:val="00EA1FCB"/>
    <w:rsid w:val="00EA20B0"/>
    <w:rsid w:val="00EA218D"/>
    <w:rsid w:val="00EA21D9"/>
    <w:rsid w:val="00EA21EC"/>
    <w:rsid w:val="00EA23C9"/>
    <w:rsid w:val="00EA251E"/>
    <w:rsid w:val="00EA2663"/>
    <w:rsid w:val="00EA26CD"/>
    <w:rsid w:val="00EA2828"/>
    <w:rsid w:val="00EA2AB4"/>
    <w:rsid w:val="00EA2B4B"/>
    <w:rsid w:val="00EA2B62"/>
    <w:rsid w:val="00EA2B8E"/>
    <w:rsid w:val="00EA2BBD"/>
    <w:rsid w:val="00EA2D0C"/>
    <w:rsid w:val="00EA2E5D"/>
    <w:rsid w:val="00EA2F79"/>
    <w:rsid w:val="00EA301E"/>
    <w:rsid w:val="00EA309B"/>
    <w:rsid w:val="00EA31AD"/>
    <w:rsid w:val="00EA33CF"/>
    <w:rsid w:val="00EA3411"/>
    <w:rsid w:val="00EA3443"/>
    <w:rsid w:val="00EA3457"/>
    <w:rsid w:val="00EA36EC"/>
    <w:rsid w:val="00EA3949"/>
    <w:rsid w:val="00EA39D8"/>
    <w:rsid w:val="00EA3B30"/>
    <w:rsid w:val="00EA3B93"/>
    <w:rsid w:val="00EA3CC8"/>
    <w:rsid w:val="00EA3D2A"/>
    <w:rsid w:val="00EA3DD0"/>
    <w:rsid w:val="00EA3E90"/>
    <w:rsid w:val="00EA3E98"/>
    <w:rsid w:val="00EA3EBC"/>
    <w:rsid w:val="00EA3F39"/>
    <w:rsid w:val="00EA4013"/>
    <w:rsid w:val="00EA4193"/>
    <w:rsid w:val="00EA43E0"/>
    <w:rsid w:val="00EA43F0"/>
    <w:rsid w:val="00EA44B9"/>
    <w:rsid w:val="00EA464F"/>
    <w:rsid w:val="00EA4AFA"/>
    <w:rsid w:val="00EA4C57"/>
    <w:rsid w:val="00EA4CA2"/>
    <w:rsid w:val="00EA4CBD"/>
    <w:rsid w:val="00EA4E95"/>
    <w:rsid w:val="00EA50CE"/>
    <w:rsid w:val="00EA568F"/>
    <w:rsid w:val="00EA5719"/>
    <w:rsid w:val="00EA5767"/>
    <w:rsid w:val="00EA5A94"/>
    <w:rsid w:val="00EA5AC0"/>
    <w:rsid w:val="00EA5C8C"/>
    <w:rsid w:val="00EA6148"/>
    <w:rsid w:val="00EA6235"/>
    <w:rsid w:val="00EA629D"/>
    <w:rsid w:val="00EA639C"/>
    <w:rsid w:val="00EA6465"/>
    <w:rsid w:val="00EA6532"/>
    <w:rsid w:val="00EA6620"/>
    <w:rsid w:val="00EA6632"/>
    <w:rsid w:val="00EA66D0"/>
    <w:rsid w:val="00EA6717"/>
    <w:rsid w:val="00EA6823"/>
    <w:rsid w:val="00EA684D"/>
    <w:rsid w:val="00EA68FC"/>
    <w:rsid w:val="00EA6923"/>
    <w:rsid w:val="00EA6986"/>
    <w:rsid w:val="00EA6AC8"/>
    <w:rsid w:val="00EA6BDB"/>
    <w:rsid w:val="00EA6BDC"/>
    <w:rsid w:val="00EA6C9B"/>
    <w:rsid w:val="00EA6EE5"/>
    <w:rsid w:val="00EA70CC"/>
    <w:rsid w:val="00EA72C1"/>
    <w:rsid w:val="00EA72D4"/>
    <w:rsid w:val="00EA7392"/>
    <w:rsid w:val="00EA75BE"/>
    <w:rsid w:val="00EA787E"/>
    <w:rsid w:val="00EA79EB"/>
    <w:rsid w:val="00EA7A05"/>
    <w:rsid w:val="00EA7A8D"/>
    <w:rsid w:val="00EA7BCB"/>
    <w:rsid w:val="00EA7C55"/>
    <w:rsid w:val="00EA7C6F"/>
    <w:rsid w:val="00EA7DB0"/>
    <w:rsid w:val="00EA7DD1"/>
    <w:rsid w:val="00EB0044"/>
    <w:rsid w:val="00EB00AB"/>
    <w:rsid w:val="00EB00E8"/>
    <w:rsid w:val="00EB0185"/>
    <w:rsid w:val="00EB057E"/>
    <w:rsid w:val="00EB05BF"/>
    <w:rsid w:val="00EB0610"/>
    <w:rsid w:val="00EB08DB"/>
    <w:rsid w:val="00EB0B15"/>
    <w:rsid w:val="00EB0B1D"/>
    <w:rsid w:val="00EB0CA2"/>
    <w:rsid w:val="00EB0FBD"/>
    <w:rsid w:val="00EB104E"/>
    <w:rsid w:val="00EB11D5"/>
    <w:rsid w:val="00EB11FE"/>
    <w:rsid w:val="00EB1493"/>
    <w:rsid w:val="00EB158E"/>
    <w:rsid w:val="00EB1982"/>
    <w:rsid w:val="00EB19ED"/>
    <w:rsid w:val="00EB1B97"/>
    <w:rsid w:val="00EB1DBC"/>
    <w:rsid w:val="00EB1DC3"/>
    <w:rsid w:val="00EB1F0C"/>
    <w:rsid w:val="00EB233D"/>
    <w:rsid w:val="00EB259E"/>
    <w:rsid w:val="00EB25EE"/>
    <w:rsid w:val="00EB2622"/>
    <w:rsid w:val="00EB2748"/>
    <w:rsid w:val="00EB27F4"/>
    <w:rsid w:val="00EB2893"/>
    <w:rsid w:val="00EB2CE2"/>
    <w:rsid w:val="00EB2DE8"/>
    <w:rsid w:val="00EB31D1"/>
    <w:rsid w:val="00EB35CB"/>
    <w:rsid w:val="00EB371F"/>
    <w:rsid w:val="00EB381F"/>
    <w:rsid w:val="00EB3868"/>
    <w:rsid w:val="00EB38D6"/>
    <w:rsid w:val="00EB3914"/>
    <w:rsid w:val="00EB39B3"/>
    <w:rsid w:val="00EB3BFB"/>
    <w:rsid w:val="00EB3E85"/>
    <w:rsid w:val="00EB3FE8"/>
    <w:rsid w:val="00EB41AD"/>
    <w:rsid w:val="00EB4624"/>
    <w:rsid w:val="00EB4839"/>
    <w:rsid w:val="00EB492D"/>
    <w:rsid w:val="00EB4C5B"/>
    <w:rsid w:val="00EB4D99"/>
    <w:rsid w:val="00EB4DFB"/>
    <w:rsid w:val="00EB4F43"/>
    <w:rsid w:val="00EB508F"/>
    <w:rsid w:val="00EB510E"/>
    <w:rsid w:val="00EB5177"/>
    <w:rsid w:val="00EB51B7"/>
    <w:rsid w:val="00EB5384"/>
    <w:rsid w:val="00EB5463"/>
    <w:rsid w:val="00EB54FD"/>
    <w:rsid w:val="00EB5598"/>
    <w:rsid w:val="00EB57F3"/>
    <w:rsid w:val="00EB5B32"/>
    <w:rsid w:val="00EB5CB7"/>
    <w:rsid w:val="00EB5DB3"/>
    <w:rsid w:val="00EB5FFC"/>
    <w:rsid w:val="00EB6058"/>
    <w:rsid w:val="00EB6199"/>
    <w:rsid w:val="00EB635E"/>
    <w:rsid w:val="00EB6550"/>
    <w:rsid w:val="00EB65D2"/>
    <w:rsid w:val="00EB695A"/>
    <w:rsid w:val="00EB6967"/>
    <w:rsid w:val="00EB6A1E"/>
    <w:rsid w:val="00EB6ACC"/>
    <w:rsid w:val="00EB6B01"/>
    <w:rsid w:val="00EB6C6B"/>
    <w:rsid w:val="00EB6E46"/>
    <w:rsid w:val="00EB70C4"/>
    <w:rsid w:val="00EB7275"/>
    <w:rsid w:val="00EB73D8"/>
    <w:rsid w:val="00EB7561"/>
    <w:rsid w:val="00EB75DE"/>
    <w:rsid w:val="00EB7805"/>
    <w:rsid w:val="00EB793E"/>
    <w:rsid w:val="00EB79AE"/>
    <w:rsid w:val="00EB7C2F"/>
    <w:rsid w:val="00EB7CE1"/>
    <w:rsid w:val="00EB7D8F"/>
    <w:rsid w:val="00EB7DCD"/>
    <w:rsid w:val="00EB7E2D"/>
    <w:rsid w:val="00EC02B7"/>
    <w:rsid w:val="00EC0349"/>
    <w:rsid w:val="00EC0480"/>
    <w:rsid w:val="00EC0685"/>
    <w:rsid w:val="00EC0746"/>
    <w:rsid w:val="00EC0795"/>
    <w:rsid w:val="00EC0B07"/>
    <w:rsid w:val="00EC0B74"/>
    <w:rsid w:val="00EC0BC3"/>
    <w:rsid w:val="00EC0E11"/>
    <w:rsid w:val="00EC0F8A"/>
    <w:rsid w:val="00EC103B"/>
    <w:rsid w:val="00EC10D3"/>
    <w:rsid w:val="00EC1295"/>
    <w:rsid w:val="00EC12AC"/>
    <w:rsid w:val="00EC12DB"/>
    <w:rsid w:val="00EC1481"/>
    <w:rsid w:val="00EC1631"/>
    <w:rsid w:val="00EC1894"/>
    <w:rsid w:val="00EC191D"/>
    <w:rsid w:val="00EC1A5A"/>
    <w:rsid w:val="00EC1C33"/>
    <w:rsid w:val="00EC1DF3"/>
    <w:rsid w:val="00EC1E69"/>
    <w:rsid w:val="00EC1E84"/>
    <w:rsid w:val="00EC1EDE"/>
    <w:rsid w:val="00EC1F63"/>
    <w:rsid w:val="00EC1FF1"/>
    <w:rsid w:val="00EC2156"/>
    <w:rsid w:val="00EC21B6"/>
    <w:rsid w:val="00EC21C8"/>
    <w:rsid w:val="00EC23A5"/>
    <w:rsid w:val="00EC2703"/>
    <w:rsid w:val="00EC28B6"/>
    <w:rsid w:val="00EC2B6D"/>
    <w:rsid w:val="00EC2BCD"/>
    <w:rsid w:val="00EC2C52"/>
    <w:rsid w:val="00EC2D5A"/>
    <w:rsid w:val="00EC2F94"/>
    <w:rsid w:val="00EC2FB5"/>
    <w:rsid w:val="00EC314A"/>
    <w:rsid w:val="00EC3207"/>
    <w:rsid w:val="00EC3315"/>
    <w:rsid w:val="00EC35E7"/>
    <w:rsid w:val="00EC35FA"/>
    <w:rsid w:val="00EC3605"/>
    <w:rsid w:val="00EC36EF"/>
    <w:rsid w:val="00EC3734"/>
    <w:rsid w:val="00EC388A"/>
    <w:rsid w:val="00EC38D9"/>
    <w:rsid w:val="00EC396E"/>
    <w:rsid w:val="00EC3ACD"/>
    <w:rsid w:val="00EC3B13"/>
    <w:rsid w:val="00EC3CB0"/>
    <w:rsid w:val="00EC3DF4"/>
    <w:rsid w:val="00EC3E45"/>
    <w:rsid w:val="00EC3F32"/>
    <w:rsid w:val="00EC40F4"/>
    <w:rsid w:val="00EC4158"/>
    <w:rsid w:val="00EC4392"/>
    <w:rsid w:val="00EC43C5"/>
    <w:rsid w:val="00EC4507"/>
    <w:rsid w:val="00EC4741"/>
    <w:rsid w:val="00EC480F"/>
    <w:rsid w:val="00EC487A"/>
    <w:rsid w:val="00EC4898"/>
    <w:rsid w:val="00EC494C"/>
    <w:rsid w:val="00EC49AD"/>
    <w:rsid w:val="00EC49E4"/>
    <w:rsid w:val="00EC4A74"/>
    <w:rsid w:val="00EC4A9C"/>
    <w:rsid w:val="00EC4BB6"/>
    <w:rsid w:val="00EC4C2C"/>
    <w:rsid w:val="00EC4C4A"/>
    <w:rsid w:val="00EC4C58"/>
    <w:rsid w:val="00EC4C78"/>
    <w:rsid w:val="00EC4DB5"/>
    <w:rsid w:val="00EC4DCE"/>
    <w:rsid w:val="00EC4EEC"/>
    <w:rsid w:val="00EC5061"/>
    <w:rsid w:val="00EC5078"/>
    <w:rsid w:val="00EC51DC"/>
    <w:rsid w:val="00EC5312"/>
    <w:rsid w:val="00EC5468"/>
    <w:rsid w:val="00EC558F"/>
    <w:rsid w:val="00EC55AC"/>
    <w:rsid w:val="00EC560F"/>
    <w:rsid w:val="00EC5740"/>
    <w:rsid w:val="00EC57EF"/>
    <w:rsid w:val="00EC5828"/>
    <w:rsid w:val="00EC5C79"/>
    <w:rsid w:val="00EC5D5D"/>
    <w:rsid w:val="00EC5D6B"/>
    <w:rsid w:val="00EC5D96"/>
    <w:rsid w:val="00EC5E45"/>
    <w:rsid w:val="00EC6214"/>
    <w:rsid w:val="00EC62A0"/>
    <w:rsid w:val="00EC675A"/>
    <w:rsid w:val="00EC6840"/>
    <w:rsid w:val="00EC688E"/>
    <w:rsid w:val="00EC6932"/>
    <w:rsid w:val="00EC6B7A"/>
    <w:rsid w:val="00EC6D2D"/>
    <w:rsid w:val="00EC6D72"/>
    <w:rsid w:val="00EC6DDA"/>
    <w:rsid w:val="00EC6F75"/>
    <w:rsid w:val="00EC6FA7"/>
    <w:rsid w:val="00EC6FE5"/>
    <w:rsid w:val="00EC7112"/>
    <w:rsid w:val="00EC7122"/>
    <w:rsid w:val="00EC7187"/>
    <w:rsid w:val="00EC7234"/>
    <w:rsid w:val="00EC72AF"/>
    <w:rsid w:val="00EC74E2"/>
    <w:rsid w:val="00EC7511"/>
    <w:rsid w:val="00EC7574"/>
    <w:rsid w:val="00EC7A41"/>
    <w:rsid w:val="00EC7ABA"/>
    <w:rsid w:val="00EC7AD6"/>
    <w:rsid w:val="00EC7BBE"/>
    <w:rsid w:val="00EC7E25"/>
    <w:rsid w:val="00EC7F89"/>
    <w:rsid w:val="00EC7FC2"/>
    <w:rsid w:val="00ED006C"/>
    <w:rsid w:val="00ED00F5"/>
    <w:rsid w:val="00ED040C"/>
    <w:rsid w:val="00ED051B"/>
    <w:rsid w:val="00ED05B4"/>
    <w:rsid w:val="00ED05DA"/>
    <w:rsid w:val="00ED067D"/>
    <w:rsid w:val="00ED06C6"/>
    <w:rsid w:val="00ED06F3"/>
    <w:rsid w:val="00ED08EE"/>
    <w:rsid w:val="00ED0941"/>
    <w:rsid w:val="00ED0A52"/>
    <w:rsid w:val="00ED0A7C"/>
    <w:rsid w:val="00ED0C79"/>
    <w:rsid w:val="00ED10B5"/>
    <w:rsid w:val="00ED11E0"/>
    <w:rsid w:val="00ED1262"/>
    <w:rsid w:val="00ED12B9"/>
    <w:rsid w:val="00ED17FC"/>
    <w:rsid w:val="00ED1897"/>
    <w:rsid w:val="00ED1BA8"/>
    <w:rsid w:val="00ED1BC4"/>
    <w:rsid w:val="00ED1BF5"/>
    <w:rsid w:val="00ED1DA5"/>
    <w:rsid w:val="00ED1F0C"/>
    <w:rsid w:val="00ED1F50"/>
    <w:rsid w:val="00ED209D"/>
    <w:rsid w:val="00ED244E"/>
    <w:rsid w:val="00ED2533"/>
    <w:rsid w:val="00ED2582"/>
    <w:rsid w:val="00ED25E4"/>
    <w:rsid w:val="00ED27CB"/>
    <w:rsid w:val="00ED2B09"/>
    <w:rsid w:val="00ED2B59"/>
    <w:rsid w:val="00ED2C0D"/>
    <w:rsid w:val="00ED2C10"/>
    <w:rsid w:val="00ED2D25"/>
    <w:rsid w:val="00ED2D3C"/>
    <w:rsid w:val="00ED2FDD"/>
    <w:rsid w:val="00ED3131"/>
    <w:rsid w:val="00ED3132"/>
    <w:rsid w:val="00ED31E4"/>
    <w:rsid w:val="00ED32A8"/>
    <w:rsid w:val="00ED3385"/>
    <w:rsid w:val="00ED376F"/>
    <w:rsid w:val="00ED3784"/>
    <w:rsid w:val="00ED37AB"/>
    <w:rsid w:val="00ED3AFF"/>
    <w:rsid w:val="00ED3C67"/>
    <w:rsid w:val="00ED3D17"/>
    <w:rsid w:val="00ED3E1E"/>
    <w:rsid w:val="00ED3EC6"/>
    <w:rsid w:val="00ED3FCE"/>
    <w:rsid w:val="00ED3FE0"/>
    <w:rsid w:val="00ED4119"/>
    <w:rsid w:val="00ED42CB"/>
    <w:rsid w:val="00ED444F"/>
    <w:rsid w:val="00ED4653"/>
    <w:rsid w:val="00ED474B"/>
    <w:rsid w:val="00ED47D8"/>
    <w:rsid w:val="00ED4ABD"/>
    <w:rsid w:val="00ED4C5C"/>
    <w:rsid w:val="00ED4FAB"/>
    <w:rsid w:val="00ED525B"/>
    <w:rsid w:val="00ED529F"/>
    <w:rsid w:val="00ED52BB"/>
    <w:rsid w:val="00ED5331"/>
    <w:rsid w:val="00ED533D"/>
    <w:rsid w:val="00ED5458"/>
    <w:rsid w:val="00ED5737"/>
    <w:rsid w:val="00ED586D"/>
    <w:rsid w:val="00ED58C1"/>
    <w:rsid w:val="00ED59EF"/>
    <w:rsid w:val="00ED5A45"/>
    <w:rsid w:val="00ED5A6B"/>
    <w:rsid w:val="00ED5B0B"/>
    <w:rsid w:val="00ED5D1A"/>
    <w:rsid w:val="00ED5E7C"/>
    <w:rsid w:val="00ED5F5F"/>
    <w:rsid w:val="00ED5FAE"/>
    <w:rsid w:val="00ED6088"/>
    <w:rsid w:val="00ED60CE"/>
    <w:rsid w:val="00ED613C"/>
    <w:rsid w:val="00ED6316"/>
    <w:rsid w:val="00ED65AF"/>
    <w:rsid w:val="00ED65E7"/>
    <w:rsid w:val="00ED6831"/>
    <w:rsid w:val="00ED69D2"/>
    <w:rsid w:val="00ED6BB0"/>
    <w:rsid w:val="00ED6C5C"/>
    <w:rsid w:val="00ED6E3F"/>
    <w:rsid w:val="00ED702A"/>
    <w:rsid w:val="00ED7081"/>
    <w:rsid w:val="00ED71EB"/>
    <w:rsid w:val="00ED7211"/>
    <w:rsid w:val="00ED77BD"/>
    <w:rsid w:val="00ED77E1"/>
    <w:rsid w:val="00ED7B89"/>
    <w:rsid w:val="00ED7C23"/>
    <w:rsid w:val="00ED7CB5"/>
    <w:rsid w:val="00ED7CF2"/>
    <w:rsid w:val="00ED7FED"/>
    <w:rsid w:val="00EE0103"/>
    <w:rsid w:val="00EE018B"/>
    <w:rsid w:val="00EE025D"/>
    <w:rsid w:val="00EE08A9"/>
    <w:rsid w:val="00EE095E"/>
    <w:rsid w:val="00EE0986"/>
    <w:rsid w:val="00EE0B9E"/>
    <w:rsid w:val="00EE0CC8"/>
    <w:rsid w:val="00EE12C0"/>
    <w:rsid w:val="00EE1384"/>
    <w:rsid w:val="00EE1ABC"/>
    <w:rsid w:val="00EE1B4D"/>
    <w:rsid w:val="00EE1B88"/>
    <w:rsid w:val="00EE1C51"/>
    <w:rsid w:val="00EE1C9A"/>
    <w:rsid w:val="00EE1E8D"/>
    <w:rsid w:val="00EE1FC8"/>
    <w:rsid w:val="00EE1FD1"/>
    <w:rsid w:val="00EE2038"/>
    <w:rsid w:val="00EE2131"/>
    <w:rsid w:val="00EE21CB"/>
    <w:rsid w:val="00EE23A1"/>
    <w:rsid w:val="00EE23AB"/>
    <w:rsid w:val="00EE2407"/>
    <w:rsid w:val="00EE2497"/>
    <w:rsid w:val="00EE267D"/>
    <w:rsid w:val="00EE28EE"/>
    <w:rsid w:val="00EE2E5D"/>
    <w:rsid w:val="00EE2E8E"/>
    <w:rsid w:val="00EE2F1D"/>
    <w:rsid w:val="00EE2FA5"/>
    <w:rsid w:val="00EE31F7"/>
    <w:rsid w:val="00EE3221"/>
    <w:rsid w:val="00EE3478"/>
    <w:rsid w:val="00EE3545"/>
    <w:rsid w:val="00EE35D5"/>
    <w:rsid w:val="00EE3683"/>
    <w:rsid w:val="00EE37CE"/>
    <w:rsid w:val="00EE3885"/>
    <w:rsid w:val="00EE38C0"/>
    <w:rsid w:val="00EE3DD0"/>
    <w:rsid w:val="00EE3E04"/>
    <w:rsid w:val="00EE3E32"/>
    <w:rsid w:val="00EE4348"/>
    <w:rsid w:val="00EE4567"/>
    <w:rsid w:val="00EE494C"/>
    <w:rsid w:val="00EE49FD"/>
    <w:rsid w:val="00EE4B1B"/>
    <w:rsid w:val="00EE4B91"/>
    <w:rsid w:val="00EE4C79"/>
    <w:rsid w:val="00EE4D0A"/>
    <w:rsid w:val="00EE4E8B"/>
    <w:rsid w:val="00EE4E8C"/>
    <w:rsid w:val="00EE5030"/>
    <w:rsid w:val="00EE5152"/>
    <w:rsid w:val="00EE51D7"/>
    <w:rsid w:val="00EE5407"/>
    <w:rsid w:val="00EE54EF"/>
    <w:rsid w:val="00EE558A"/>
    <w:rsid w:val="00EE5869"/>
    <w:rsid w:val="00EE5A7F"/>
    <w:rsid w:val="00EE5A87"/>
    <w:rsid w:val="00EE5B9D"/>
    <w:rsid w:val="00EE5E65"/>
    <w:rsid w:val="00EE60C9"/>
    <w:rsid w:val="00EE6271"/>
    <w:rsid w:val="00EE648F"/>
    <w:rsid w:val="00EE664E"/>
    <w:rsid w:val="00EE66AD"/>
    <w:rsid w:val="00EE6790"/>
    <w:rsid w:val="00EE67BE"/>
    <w:rsid w:val="00EE6877"/>
    <w:rsid w:val="00EE69DD"/>
    <w:rsid w:val="00EE6AF7"/>
    <w:rsid w:val="00EE6C8B"/>
    <w:rsid w:val="00EE6CFD"/>
    <w:rsid w:val="00EE6D52"/>
    <w:rsid w:val="00EE6D5E"/>
    <w:rsid w:val="00EE6DA7"/>
    <w:rsid w:val="00EE6DC7"/>
    <w:rsid w:val="00EE6DD8"/>
    <w:rsid w:val="00EE6EA8"/>
    <w:rsid w:val="00EE6F01"/>
    <w:rsid w:val="00EE6F78"/>
    <w:rsid w:val="00EE7100"/>
    <w:rsid w:val="00EE715A"/>
    <w:rsid w:val="00EE716F"/>
    <w:rsid w:val="00EE7395"/>
    <w:rsid w:val="00EE73BD"/>
    <w:rsid w:val="00EE74E1"/>
    <w:rsid w:val="00EE7787"/>
    <w:rsid w:val="00EE7910"/>
    <w:rsid w:val="00EE7A0C"/>
    <w:rsid w:val="00EE7A3A"/>
    <w:rsid w:val="00EE7C8E"/>
    <w:rsid w:val="00EE7DF1"/>
    <w:rsid w:val="00EE7EC1"/>
    <w:rsid w:val="00EF00AE"/>
    <w:rsid w:val="00EF00DC"/>
    <w:rsid w:val="00EF0270"/>
    <w:rsid w:val="00EF02A1"/>
    <w:rsid w:val="00EF0561"/>
    <w:rsid w:val="00EF0619"/>
    <w:rsid w:val="00EF098C"/>
    <w:rsid w:val="00EF09C4"/>
    <w:rsid w:val="00EF09C6"/>
    <w:rsid w:val="00EF0B14"/>
    <w:rsid w:val="00EF0ED7"/>
    <w:rsid w:val="00EF0F82"/>
    <w:rsid w:val="00EF0FC3"/>
    <w:rsid w:val="00EF1020"/>
    <w:rsid w:val="00EF11CD"/>
    <w:rsid w:val="00EF122A"/>
    <w:rsid w:val="00EF1274"/>
    <w:rsid w:val="00EF149E"/>
    <w:rsid w:val="00EF15C7"/>
    <w:rsid w:val="00EF19A3"/>
    <w:rsid w:val="00EF1A87"/>
    <w:rsid w:val="00EF1B50"/>
    <w:rsid w:val="00EF1B88"/>
    <w:rsid w:val="00EF1BAA"/>
    <w:rsid w:val="00EF1DB9"/>
    <w:rsid w:val="00EF1DEA"/>
    <w:rsid w:val="00EF1E3C"/>
    <w:rsid w:val="00EF1ED6"/>
    <w:rsid w:val="00EF227B"/>
    <w:rsid w:val="00EF22A5"/>
    <w:rsid w:val="00EF22A6"/>
    <w:rsid w:val="00EF22AA"/>
    <w:rsid w:val="00EF28B2"/>
    <w:rsid w:val="00EF292B"/>
    <w:rsid w:val="00EF293A"/>
    <w:rsid w:val="00EF2B7A"/>
    <w:rsid w:val="00EF2CA1"/>
    <w:rsid w:val="00EF2D2E"/>
    <w:rsid w:val="00EF2E38"/>
    <w:rsid w:val="00EF2FF0"/>
    <w:rsid w:val="00EF302F"/>
    <w:rsid w:val="00EF3374"/>
    <w:rsid w:val="00EF3616"/>
    <w:rsid w:val="00EF377F"/>
    <w:rsid w:val="00EF3AC5"/>
    <w:rsid w:val="00EF3B98"/>
    <w:rsid w:val="00EF3BB6"/>
    <w:rsid w:val="00EF3BD4"/>
    <w:rsid w:val="00EF3C95"/>
    <w:rsid w:val="00EF3D68"/>
    <w:rsid w:val="00EF3EA2"/>
    <w:rsid w:val="00EF3EB2"/>
    <w:rsid w:val="00EF3F78"/>
    <w:rsid w:val="00EF3FCD"/>
    <w:rsid w:val="00EF404F"/>
    <w:rsid w:val="00EF414E"/>
    <w:rsid w:val="00EF421A"/>
    <w:rsid w:val="00EF4409"/>
    <w:rsid w:val="00EF444A"/>
    <w:rsid w:val="00EF446F"/>
    <w:rsid w:val="00EF456F"/>
    <w:rsid w:val="00EF46A6"/>
    <w:rsid w:val="00EF4740"/>
    <w:rsid w:val="00EF48EE"/>
    <w:rsid w:val="00EF507A"/>
    <w:rsid w:val="00EF5178"/>
    <w:rsid w:val="00EF51BD"/>
    <w:rsid w:val="00EF51C8"/>
    <w:rsid w:val="00EF51D4"/>
    <w:rsid w:val="00EF53AA"/>
    <w:rsid w:val="00EF53CC"/>
    <w:rsid w:val="00EF53DB"/>
    <w:rsid w:val="00EF5485"/>
    <w:rsid w:val="00EF5567"/>
    <w:rsid w:val="00EF5791"/>
    <w:rsid w:val="00EF579B"/>
    <w:rsid w:val="00EF5931"/>
    <w:rsid w:val="00EF59C1"/>
    <w:rsid w:val="00EF5B7A"/>
    <w:rsid w:val="00EF5CAF"/>
    <w:rsid w:val="00EF61CD"/>
    <w:rsid w:val="00EF61D0"/>
    <w:rsid w:val="00EF635B"/>
    <w:rsid w:val="00EF6365"/>
    <w:rsid w:val="00EF6472"/>
    <w:rsid w:val="00EF65B5"/>
    <w:rsid w:val="00EF679E"/>
    <w:rsid w:val="00EF67D6"/>
    <w:rsid w:val="00EF6A70"/>
    <w:rsid w:val="00EF6C25"/>
    <w:rsid w:val="00EF6C94"/>
    <w:rsid w:val="00EF70EC"/>
    <w:rsid w:val="00EF7177"/>
    <w:rsid w:val="00EF7497"/>
    <w:rsid w:val="00EF776D"/>
    <w:rsid w:val="00EF78D6"/>
    <w:rsid w:val="00EF7CA1"/>
    <w:rsid w:val="00EF7CC9"/>
    <w:rsid w:val="00EF7D29"/>
    <w:rsid w:val="00EF7DF8"/>
    <w:rsid w:val="00EF7EF0"/>
    <w:rsid w:val="00F0000F"/>
    <w:rsid w:val="00F00017"/>
    <w:rsid w:val="00F00202"/>
    <w:rsid w:val="00F003D3"/>
    <w:rsid w:val="00F003E4"/>
    <w:rsid w:val="00F003EA"/>
    <w:rsid w:val="00F00717"/>
    <w:rsid w:val="00F00843"/>
    <w:rsid w:val="00F008E5"/>
    <w:rsid w:val="00F0093D"/>
    <w:rsid w:val="00F00A03"/>
    <w:rsid w:val="00F00B55"/>
    <w:rsid w:val="00F00CAE"/>
    <w:rsid w:val="00F00CEB"/>
    <w:rsid w:val="00F00D81"/>
    <w:rsid w:val="00F00D84"/>
    <w:rsid w:val="00F00D96"/>
    <w:rsid w:val="00F00FDC"/>
    <w:rsid w:val="00F01070"/>
    <w:rsid w:val="00F011A2"/>
    <w:rsid w:val="00F01209"/>
    <w:rsid w:val="00F014DD"/>
    <w:rsid w:val="00F01591"/>
    <w:rsid w:val="00F015F1"/>
    <w:rsid w:val="00F01639"/>
    <w:rsid w:val="00F016CD"/>
    <w:rsid w:val="00F017ED"/>
    <w:rsid w:val="00F0185D"/>
    <w:rsid w:val="00F01904"/>
    <w:rsid w:val="00F0191D"/>
    <w:rsid w:val="00F019D1"/>
    <w:rsid w:val="00F019F1"/>
    <w:rsid w:val="00F01A72"/>
    <w:rsid w:val="00F01B50"/>
    <w:rsid w:val="00F01CBE"/>
    <w:rsid w:val="00F01CE1"/>
    <w:rsid w:val="00F01D29"/>
    <w:rsid w:val="00F01E73"/>
    <w:rsid w:val="00F021CB"/>
    <w:rsid w:val="00F0226A"/>
    <w:rsid w:val="00F023FE"/>
    <w:rsid w:val="00F0248D"/>
    <w:rsid w:val="00F02543"/>
    <w:rsid w:val="00F026D9"/>
    <w:rsid w:val="00F0275F"/>
    <w:rsid w:val="00F02872"/>
    <w:rsid w:val="00F028B4"/>
    <w:rsid w:val="00F02AA8"/>
    <w:rsid w:val="00F0305B"/>
    <w:rsid w:val="00F0306B"/>
    <w:rsid w:val="00F03237"/>
    <w:rsid w:val="00F03285"/>
    <w:rsid w:val="00F03380"/>
    <w:rsid w:val="00F03388"/>
    <w:rsid w:val="00F03431"/>
    <w:rsid w:val="00F03457"/>
    <w:rsid w:val="00F03515"/>
    <w:rsid w:val="00F037BE"/>
    <w:rsid w:val="00F0390E"/>
    <w:rsid w:val="00F03FAA"/>
    <w:rsid w:val="00F041A0"/>
    <w:rsid w:val="00F042C1"/>
    <w:rsid w:val="00F04316"/>
    <w:rsid w:val="00F0437A"/>
    <w:rsid w:val="00F04564"/>
    <w:rsid w:val="00F046DB"/>
    <w:rsid w:val="00F04B47"/>
    <w:rsid w:val="00F04D6A"/>
    <w:rsid w:val="00F04E46"/>
    <w:rsid w:val="00F05160"/>
    <w:rsid w:val="00F054C6"/>
    <w:rsid w:val="00F05573"/>
    <w:rsid w:val="00F057A5"/>
    <w:rsid w:val="00F057D5"/>
    <w:rsid w:val="00F05B79"/>
    <w:rsid w:val="00F05D7E"/>
    <w:rsid w:val="00F05DD0"/>
    <w:rsid w:val="00F05E4A"/>
    <w:rsid w:val="00F05F31"/>
    <w:rsid w:val="00F06442"/>
    <w:rsid w:val="00F06554"/>
    <w:rsid w:val="00F06561"/>
    <w:rsid w:val="00F0668C"/>
    <w:rsid w:val="00F067DF"/>
    <w:rsid w:val="00F06808"/>
    <w:rsid w:val="00F06A3D"/>
    <w:rsid w:val="00F06B5B"/>
    <w:rsid w:val="00F06B87"/>
    <w:rsid w:val="00F06CE9"/>
    <w:rsid w:val="00F06D55"/>
    <w:rsid w:val="00F06EF4"/>
    <w:rsid w:val="00F07147"/>
    <w:rsid w:val="00F071F5"/>
    <w:rsid w:val="00F07328"/>
    <w:rsid w:val="00F073F5"/>
    <w:rsid w:val="00F0765C"/>
    <w:rsid w:val="00F0772B"/>
    <w:rsid w:val="00F0775D"/>
    <w:rsid w:val="00F07829"/>
    <w:rsid w:val="00F078C3"/>
    <w:rsid w:val="00F07956"/>
    <w:rsid w:val="00F07C5C"/>
    <w:rsid w:val="00F07C77"/>
    <w:rsid w:val="00F07E77"/>
    <w:rsid w:val="00F07F80"/>
    <w:rsid w:val="00F07FDB"/>
    <w:rsid w:val="00F10053"/>
    <w:rsid w:val="00F10177"/>
    <w:rsid w:val="00F101E9"/>
    <w:rsid w:val="00F103DF"/>
    <w:rsid w:val="00F10556"/>
    <w:rsid w:val="00F1059A"/>
    <w:rsid w:val="00F105FE"/>
    <w:rsid w:val="00F1065B"/>
    <w:rsid w:val="00F1072D"/>
    <w:rsid w:val="00F1087D"/>
    <w:rsid w:val="00F1093C"/>
    <w:rsid w:val="00F1099E"/>
    <w:rsid w:val="00F10A96"/>
    <w:rsid w:val="00F10AD3"/>
    <w:rsid w:val="00F10B04"/>
    <w:rsid w:val="00F10B96"/>
    <w:rsid w:val="00F10BFA"/>
    <w:rsid w:val="00F10EA9"/>
    <w:rsid w:val="00F10EF5"/>
    <w:rsid w:val="00F110DE"/>
    <w:rsid w:val="00F112F6"/>
    <w:rsid w:val="00F114A2"/>
    <w:rsid w:val="00F116A7"/>
    <w:rsid w:val="00F1170E"/>
    <w:rsid w:val="00F11978"/>
    <w:rsid w:val="00F11995"/>
    <w:rsid w:val="00F119F5"/>
    <w:rsid w:val="00F11C0A"/>
    <w:rsid w:val="00F11C47"/>
    <w:rsid w:val="00F11CA5"/>
    <w:rsid w:val="00F11F83"/>
    <w:rsid w:val="00F12158"/>
    <w:rsid w:val="00F1225C"/>
    <w:rsid w:val="00F12290"/>
    <w:rsid w:val="00F125BA"/>
    <w:rsid w:val="00F126A0"/>
    <w:rsid w:val="00F12839"/>
    <w:rsid w:val="00F12850"/>
    <w:rsid w:val="00F128B3"/>
    <w:rsid w:val="00F12A0E"/>
    <w:rsid w:val="00F12B45"/>
    <w:rsid w:val="00F12B6B"/>
    <w:rsid w:val="00F12B9E"/>
    <w:rsid w:val="00F12C21"/>
    <w:rsid w:val="00F12C35"/>
    <w:rsid w:val="00F12FB0"/>
    <w:rsid w:val="00F1310A"/>
    <w:rsid w:val="00F1322F"/>
    <w:rsid w:val="00F13352"/>
    <w:rsid w:val="00F1341C"/>
    <w:rsid w:val="00F1365F"/>
    <w:rsid w:val="00F136F3"/>
    <w:rsid w:val="00F138E2"/>
    <w:rsid w:val="00F13A61"/>
    <w:rsid w:val="00F13C17"/>
    <w:rsid w:val="00F13C3D"/>
    <w:rsid w:val="00F13DD1"/>
    <w:rsid w:val="00F13F7F"/>
    <w:rsid w:val="00F13FF9"/>
    <w:rsid w:val="00F14038"/>
    <w:rsid w:val="00F1420A"/>
    <w:rsid w:val="00F1423E"/>
    <w:rsid w:val="00F1424F"/>
    <w:rsid w:val="00F1437A"/>
    <w:rsid w:val="00F145D1"/>
    <w:rsid w:val="00F145DC"/>
    <w:rsid w:val="00F14754"/>
    <w:rsid w:val="00F14940"/>
    <w:rsid w:val="00F14A7E"/>
    <w:rsid w:val="00F14CFA"/>
    <w:rsid w:val="00F14D3E"/>
    <w:rsid w:val="00F14E3F"/>
    <w:rsid w:val="00F14F25"/>
    <w:rsid w:val="00F150C8"/>
    <w:rsid w:val="00F150DB"/>
    <w:rsid w:val="00F1512C"/>
    <w:rsid w:val="00F151B7"/>
    <w:rsid w:val="00F152B1"/>
    <w:rsid w:val="00F15560"/>
    <w:rsid w:val="00F15775"/>
    <w:rsid w:val="00F158D5"/>
    <w:rsid w:val="00F15A7A"/>
    <w:rsid w:val="00F15DC9"/>
    <w:rsid w:val="00F15DD2"/>
    <w:rsid w:val="00F16051"/>
    <w:rsid w:val="00F160B9"/>
    <w:rsid w:val="00F160E3"/>
    <w:rsid w:val="00F163C2"/>
    <w:rsid w:val="00F163C7"/>
    <w:rsid w:val="00F164EC"/>
    <w:rsid w:val="00F16999"/>
    <w:rsid w:val="00F16AC7"/>
    <w:rsid w:val="00F16C23"/>
    <w:rsid w:val="00F16D45"/>
    <w:rsid w:val="00F16D46"/>
    <w:rsid w:val="00F16DB6"/>
    <w:rsid w:val="00F16E4B"/>
    <w:rsid w:val="00F16FC3"/>
    <w:rsid w:val="00F17032"/>
    <w:rsid w:val="00F1749B"/>
    <w:rsid w:val="00F17682"/>
    <w:rsid w:val="00F17738"/>
    <w:rsid w:val="00F1796F"/>
    <w:rsid w:val="00F17DEF"/>
    <w:rsid w:val="00F17FB5"/>
    <w:rsid w:val="00F17FBD"/>
    <w:rsid w:val="00F202EB"/>
    <w:rsid w:val="00F20325"/>
    <w:rsid w:val="00F20370"/>
    <w:rsid w:val="00F203B8"/>
    <w:rsid w:val="00F206C4"/>
    <w:rsid w:val="00F20739"/>
    <w:rsid w:val="00F2078E"/>
    <w:rsid w:val="00F209DA"/>
    <w:rsid w:val="00F20B19"/>
    <w:rsid w:val="00F20D95"/>
    <w:rsid w:val="00F20DE1"/>
    <w:rsid w:val="00F20F57"/>
    <w:rsid w:val="00F20FF5"/>
    <w:rsid w:val="00F21B7F"/>
    <w:rsid w:val="00F21EFE"/>
    <w:rsid w:val="00F2209B"/>
    <w:rsid w:val="00F220B6"/>
    <w:rsid w:val="00F22303"/>
    <w:rsid w:val="00F224A2"/>
    <w:rsid w:val="00F22717"/>
    <w:rsid w:val="00F227D8"/>
    <w:rsid w:val="00F22855"/>
    <w:rsid w:val="00F2289C"/>
    <w:rsid w:val="00F22A68"/>
    <w:rsid w:val="00F22AD8"/>
    <w:rsid w:val="00F22D42"/>
    <w:rsid w:val="00F22DF2"/>
    <w:rsid w:val="00F22F4F"/>
    <w:rsid w:val="00F233E6"/>
    <w:rsid w:val="00F233EB"/>
    <w:rsid w:val="00F23416"/>
    <w:rsid w:val="00F2356C"/>
    <w:rsid w:val="00F23777"/>
    <w:rsid w:val="00F237CE"/>
    <w:rsid w:val="00F23952"/>
    <w:rsid w:val="00F23CC5"/>
    <w:rsid w:val="00F23EA4"/>
    <w:rsid w:val="00F23F1C"/>
    <w:rsid w:val="00F24194"/>
    <w:rsid w:val="00F242D6"/>
    <w:rsid w:val="00F24571"/>
    <w:rsid w:val="00F247F7"/>
    <w:rsid w:val="00F2485E"/>
    <w:rsid w:val="00F24877"/>
    <w:rsid w:val="00F24A4B"/>
    <w:rsid w:val="00F24CA2"/>
    <w:rsid w:val="00F24CFF"/>
    <w:rsid w:val="00F24D01"/>
    <w:rsid w:val="00F24E1D"/>
    <w:rsid w:val="00F24EA0"/>
    <w:rsid w:val="00F24EDE"/>
    <w:rsid w:val="00F2505F"/>
    <w:rsid w:val="00F2527D"/>
    <w:rsid w:val="00F252D5"/>
    <w:rsid w:val="00F254B2"/>
    <w:rsid w:val="00F256E3"/>
    <w:rsid w:val="00F2581D"/>
    <w:rsid w:val="00F258B0"/>
    <w:rsid w:val="00F258B6"/>
    <w:rsid w:val="00F25A6E"/>
    <w:rsid w:val="00F25A96"/>
    <w:rsid w:val="00F25B50"/>
    <w:rsid w:val="00F25E8F"/>
    <w:rsid w:val="00F25FC4"/>
    <w:rsid w:val="00F2608D"/>
    <w:rsid w:val="00F260C2"/>
    <w:rsid w:val="00F26249"/>
    <w:rsid w:val="00F262D3"/>
    <w:rsid w:val="00F26322"/>
    <w:rsid w:val="00F26534"/>
    <w:rsid w:val="00F26671"/>
    <w:rsid w:val="00F266B8"/>
    <w:rsid w:val="00F266BE"/>
    <w:rsid w:val="00F26839"/>
    <w:rsid w:val="00F269B3"/>
    <w:rsid w:val="00F26AA9"/>
    <w:rsid w:val="00F26BB1"/>
    <w:rsid w:val="00F26C59"/>
    <w:rsid w:val="00F26C79"/>
    <w:rsid w:val="00F26E45"/>
    <w:rsid w:val="00F26F2E"/>
    <w:rsid w:val="00F271F9"/>
    <w:rsid w:val="00F274ED"/>
    <w:rsid w:val="00F2758C"/>
    <w:rsid w:val="00F278A9"/>
    <w:rsid w:val="00F278B7"/>
    <w:rsid w:val="00F279E1"/>
    <w:rsid w:val="00F279EA"/>
    <w:rsid w:val="00F27AF8"/>
    <w:rsid w:val="00F27CC8"/>
    <w:rsid w:val="00F27D00"/>
    <w:rsid w:val="00F27D2E"/>
    <w:rsid w:val="00F27EC8"/>
    <w:rsid w:val="00F27EE1"/>
    <w:rsid w:val="00F30009"/>
    <w:rsid w:val="00F3018D"/>
    <w:rsid w:val="00F30381"/>
    <w:rsid w:val="00F303CB"/>
    <w:rsid w:val="00F305F2"/>
    <w:rsid w:val="00F30601"/>
    <w:rsid w:val="00F30608"/>
    <w:rsid w:val="00F3062F"/>
    <w:rsid w:val="00F306D2"/>
    <w:rsid w:val="00F30860"/>
    <w:rsid w:val="00F3098C"/>
    <w:rsid w:val="00F309BA"/>
    <w:rsid w:val="00F30A59"/>
    <w:rsid w:val="00F30AC2"/>
    <w:rsid w:val="00F30C3F"/>
    <w:rsid w:val="00F30C73"/>
    <w:rsid w:val="00F30CD8"/>
    <w:rsid w:val="00F31044"/>
    <w:rsid w:val="00F310BA"/>
    <w:rsid w:val="00F3112A"/>
    <w:rsid w:val="00F31346"/>
    <w:rsid w:val="00F313B6"/>
    <w:rsid w:val="00F31503"/>
    <w:rsid w:val="00F315FB"/>
    <w:rsid w:val="00F316A6"/>
    <w:rsid w:val="00F316D0"/>
    <w:rsid w:val="00F316F0"/>
    <w:rsid w:val="00F31710"/>
    <w:rsid w:val="00F318B0"/>
    <w:rsid w:val="00F318EA"/>
    <w:rsid w:val="00F3191C"/>
    <w:rsid w:val="00F319C6"/>
    <w:rsid w:val="00F319F1"/>
    <w:rsid w:val="00F31A98"/>
    <w:rsid w:val="00F31B82"/>
    <w:rsid w:val="00F31BA4"/>
    <w:rsid w:val="00F31C56"/>
    <w:rsid w:val="00F31E01"/>
    <w:rsid w:val="00F31FAE"/>
    <w:rsid w:val="00F3201D"/>
    <w:rsid w:val="00F322CA"/>
    <w:rsid w:val="00F3258A"/>
    <w:rsid w:val="00F32895"/>
    <w:rsid w:val="00F32C06"/>
    <w:rsid w:val="00F32C21"/>
    <w:rsid w:val="00F32D47"/>
    <w:rsid w:val="00F32D66"/>
    <w:rsid w:val="00F32E47"/>
    <w:rsid w:val="00F32F94"/>
    <w:rsid w:val="00F3303F"/>
    <w:rsid w:val="00F33128"/>
    <w:rsid w:val="00F33136"/>
    <w:rsid w:val="00F331CD"/>
    <w:rsid w:val="00F3344A"/>
    <w:rsid w:val="00F337B3"/>
    <w:rsid w:val="00F337F8"/>
    <w:rsid w:val="00F33B97"/>
    <w:rsid w:val="00F33E47"/>
    <w:rsid w:val="00F33E6C"/>
    <w:rsid w:val="00F33EB8"/>
    <w:rsid w:val="00F34150"/>
    <w:rsid w:val="00F34434"/>
    <w:rsid w:val="00F3455B"/>
    <w:rsid w:val="00F34636"/>
    <w:rsid w:val="00F34774"/>
    <w:rsid w:val="00F34A3A"/>
    <w:rsid w:val="00F34D40"/>
    <w:rsid w:val="00F34E2B"/>
    <w:rsid w:val="00F35042"/>
    <w:rsid w:val="00F350F1"/>
    <w:rsid w:val="00F351EF"/>
    <w:rsid w:val="00F3531E"/>
    <w:rsid w:val="00F35382"/>
    <w:rsid w:val="00F353CA"/>
    <w:rsid w:val="00F35449"/>
    <w:rsid w:val="00F35623"/>
    <w:rsid w:val="00F3570F"/>
    <w:rsid w:val="00F35743"/>
    <w:rsid w:val="00F357C7"/>
    <w:rsid w:val="00F35C15"/>
    <w:rsid w:val="00F35C91"/>
    <w:rsid w:val="00F35D30"/>
    <w:rsid w:val="00F35D35"/>
    <w:rsid w:val="00F35D4C"/>
    <w:rsid w:val="00F36052"/>
    <w:rsid w:val="00F36225"/>
    <w:rsid w:val="00F36236"/>
    <w:rsid w:val="00F36286"/>
    <w:rsid w:val="00F36351"/>
    <w:rsid w:val="00F363E9"/>
    <w:rsid w:val="00F3645B"/>
    <w:rsid w:val="00F364D2"/>
    <w:rsid w:val="00F3663B"/>
    <w:rsid w:val="00F3663F"/>
    <w:rsid w:val="00F3665F"/>
    <w:rsid w:val="00F36758"/>
    <w:rsid w:val="00F36905"/>
    <w:rsid w:val="00F369EA"/>
    <w:rsid w:val="00F36B1B"/>
    <w:rsid w:val="00F36B2C"/>
    <w:rsid w:val="00F36CA6"/>
    <w:rsid w:val="00F36D8D"/>
    <w:rsid w:val="00F36DD3"/>
    <w:rsid w:val="00F36DFF"/>
    <w:rsid w:val="00F36E3C"/>
    <w:rsid w:val="00F36E78"/>
    <w:rsid w:val="00F3706C"/>
    <w:rsid w:val="00F3714B"/>
    <w:rsid w:val="00F376F0"/>
    <w:rsid w:val="00F3770A"/>
    <w:rsid w:val="00F37862"/>
    <w:rsid w:val="00F37A14"/>
    <w:rsid w:val="00F37B59"/>
    <w:rsid w:val="00F37BF4"/>
    <w:rsid w:val="00F37C6D"/>
    <w:rsid w:val="00F37D41"/>
    <w:rsid w:val="00F37DA1"/>
    <w:rsid w:val="00F37DDC"/>
    <w:rsid w:val="00F37F17"/>
    <w:rsid w:val="00F4004B"/>
    <w:rsid w:val="00F406DC"/>
    <w:rsid w:val="00F406DF"/>
    <w:rsid w:val="00F4085C"/>
    <w:rsid w:val="00F409B7"/>
    <w:rsid w:val="00F40A53"/>
    <w:rsid w:val="00F40A7C"/>
    <w:rsid w:val="00F40B19"/>
    <w:rsid w:val="00F40B63"/>
    <w:rsid w:val="00F40B9F"/>
    <w:rsid w:val="00F40D98"/>
    <w:rsid w:val="00F40DBC"/>
    <w:rsid w:val="00F4110F"/>
    <w:rsid w:val="00F41747"/>
    <w:rsid w:val="00F417A4"/>
    <w:rsid w:val="00F417C5"/>
    <w:rsid w:val="00F41AEE"/>
    <w:rsid w:val="00F41AFB"/>
    <w:rsid w:val="00F41BE4"/>
    <w:rsid w:val="00F41CD3"/>
    <w:rsid w:val="00F41CEE"/>
    <w:rsid w:val="00F41D4D"/>
    <w:rsid w:val="00F41ECB"/>
    <w:rsid w:val="00F41F2A"/>
    <w:rsid w:val="00F4200E"/>
    <w:rsid w:val="00F420C0"/>
    <w:rsid w:val="00F42133"/>
    <w:rsid w:val="00F4223F"/>
    <w:rsid w:val="00F423D9"/>
    <w:rsid w:val="00F423DE"/>
    <w:rsid w:val="00F42434"/>
    <w:rsid w:val="00F42977"/>
    <w:rsid w:val="00F42A18"/>
    <w:rsid w:val="00F42AE4"/>
    <w:rsid w:val="00F42BC5"/>
    <w:rsid w:val="00F42BFF"/>
    <w:rsid w:val="00F42F6C"/>
    <w:rsid w:val="00F4327A"/>
    <w:rsid w:val="00F43284"/>
    <w:rsid w:val="00F432DA"/>
    <w:rsid w:val="00F4358F"/>
    <w:rsid w:val="00F437C8"/>
    <w:rsid w:val="00F4382C"/>
    <w:rsid w:val="00F43B6B"/>
    <w:rsid w:val="00F43BA9"/>
    <w:rsid w:val="00F43C0C"/>
    <w:rsid w:val="00F43D7F"/>
    <w:rsid w:val="00F43EA8"/>
    <w:rsid w:val="00F44040"/>
    <w:rsid w:val="00F440F1"/>
    <w:rsid w:val="00F44128"/>
    <w:rsid w:val="00F44200"/>
    <w:rsid w:val="00F4423A"/>
    <w:rsid w:val="00F44263"/>
    <w:rsid w:val="00F44290"/>
    <w:rsid w:val="00F443BD"/>
    <w:rsid w:val="00F443D9"/>
    <w:rsid w:val="00F4447E"/>
    <w:rsid w:val="00F444E1"/>
    <w:rsid w:val="00F44510"/>
    <w:rsid w:val="00F445AA"/>
    <w:rsid w:val="00F44610"/>
    <w:rsid w:val="00F44681"/>
    <w:rsid w:val="00F4471A"/>
    <w:rsid w:val="00F447D0"/>
    <w:rsid w:val="00F448BC"/>
    <w:rsid w:val="00F4492B"/>
    <w:rsid w:val="00F449DF"/>
    <w:rsid w:val="00F44B4D"/>
    <w:rsid w:val="00F44DEB"/>
    <w:rsid w:val="00F44DF4"/>
    <w:rsid w:val="00F44E33"/>
    <w:rsid w:val="00F44E3E"/>
    <w:rsid w:val="00F4500A"/>
    <w:rsid w:val="00F45081"/>
    <w:rsid w:val="00F450F8"/>
    <w:rsid w:val="00F45390"/>
    <w:rsid w:val="00F4551C"/>
    <w:rsid w:val="00F4554E"/>
    <w:rsid w:val="00F4566A"/>
    <w:rsid w:val="00F4575B"/>
    <w:rsid w:val="00F45A6B"/>
    <w:rsid w:val="00F45F07"/>
    <w:rsid w:val="00F45F4C"/>
    <w:rsid w:val="00F463CE"/>
    <w:rsid w:val="00F463E8"/>
    <w:rsid w:val="00F46637"/>
    <w:rsid w:val="00F466FE"/>
    <w:rsid w:val="00F467FC"/>
    <w:rsid w:val="00F46958"/>
    <w:rsid w:val="00F46997"/>
    <w:rsid w:val="00F46A50"/>
    <w:rsid w:val="00F46C1E"/>
    <w:rsid w:val="00F46CC3"/>
    <w:rsid w:val="00F46E03"/>
    <w:rsid w:val="00F46F23"/>
    <w:rsid w:val="00F4721E"/>
    <w:rsid w:val="00F4759E"/>
    <w:rsid w:val="00F47687"/>
    <w:rsid w:val="00F47793"/>
    <w:rsid w:val="00F4794D"/>
    <w:rsid w:val="00F479B9"/>
    <w:rsid w:val="00F47A46"/>
    <w:rsid w:val="00F47AE7"/>
    <w:rsid w:val="00F47B2B"/>
    <w:rsid w:val="00F47F3C"/>
    <w:rsid w:val="00F50456"/>
    <w:rsid w:val="00F50527"/>
    <w:rsid w:val="00F5052B"/>
    <w:rsid w:val="00F509C9"/>
    <w:rsid w:val="00F50D92"/>
    <w:rsid w:val="00F50E17"/>
    <w:rsid w:val="00F50F1A"/>
    <w:rsid w:val="00F50FBC"/>
    <w:rsid w:val="00F51017"/>
    <w:rsid w:val="00F51369"/>
    <w:rsid w:val="00F513B4"/>
    <w:rsid w:val="00F5140D"/>
    <w:rsid w:val="00F5146B"/>
    <w:rsid w:val="00F5156D"/>
    <w:rsid w:val="00F51667"/>
    <w:rsid w:val="00F51719"/>
    <w:rsid w:val="00F51814"/>
    <w:rsid w:val="00F518E4"/>
    <w:rsid w:val="00F519FD"/>
    <w:rsid w:val="00F51A81"/>
    <w:rsid w:val="00F51CA9"/>
    <w:rsid w:val="00F51D32"/>
    <w:rsid w:val="00F51DD6"/>
    <w:rsid w:val="00F51E73"/>
    <w:rsid w:val="00F51F31"/>
    <w:rsid w:val="00F5201C"/>
    <w:rsid w:val="00F520A3"/>
    <w:rsid w:val="00F520B3"/>
    <w:rsid w:val="00F521B4"/>
    <w:rsid w:val="00F521DA"/>
    <w:rsid w:val="00F52641"/>
    <w:rsid w:val="00F52999"/>
    <w:rsid w:val="00F52A94"/>
    <w:rsid w:val="00F52AB5"/>
    <w:rsid w:val="00F52B94"/>
    <w:rsid w:val="00F52B99"/>
    <w:rsid w:val="00F52C01"/>
    <w:rsid w:val="00F52CCC"/>
    <w:rsid w:val="00F52D88"/>
    <w:rsid w:val="00F52FB6"/>
    <w:rsid w:val="00F530DD"/>
    <w:rsid w:val="00F531EC"/>
    <w:rsid w:val="00F53202"/>
    <w:rsid w:val="00F5323E"/>
    <w:rsid w:val="00F532B4"/>
    <w:rsid w:val="00F534DA"/>
    <w:rsid w:val="00F534FC"/>
    <w:rsid w:val="00F53666"/>
    <w:rsid w:val="00F536DA"/>
    <w:rsid w:val="00F5375E"/>
    <w:rsid w:val="00F537CE"/>
    <w:rsid w:val="00F537EE"/>
    <w:rsid w:val="00F5382B"/>
    <w:rsid w:val="00F539AE"/>
    <w:rsid w:val="00F53A71"/>
    <w:rsid w:val="00F53AFD"/>
    <w:rsid w:val="00F53BF2"/>
    <w:rsid w:val="00F53D43"/>
    <w:rsid w:val="00F53F18"/>
    <w:rsid w:val="00F54473"/>
    <w:rsid w:val="00F5463D"/>
    <w:rsid w:val="00F54742"/>
    <w:rsid w:val="00F547EC"/>
    <w:rsid w:val="00F54AA8"/>
    <w:rsid w:val="00F54AE7"/>
    <w:rsid w:val="00F54C7F"/>
    <w:rsid w:val="00F54D35"/>
    <w:rsid w:val="00F54D36"/>
    <w:rsid w:val="00F54DE8"/>
    <w:rsid w:val="00F54FD8"/>
    <w:rsid w:val="00F54FFB"/>
    <w:rsid w:val="00F55042"/>
    <w:rsid w:val="00F551FB"/>
    <w:rsid w:val="00F55291"/>
    <w:rsid w:val="00F553AF"/>
    <w:rsid w:val="00F5548E"/>
    <w:rsid w:val="00F55748"/>
    <w:rsid w:val="00F55818"/>
    <w:rsid w:val="00F55914"/>
    <w:rsid w:val="00F559DE"/>
    <w:rsid w:val="00F55D99"/>
    <w:rsid w:val="00F55DDF"/>
    <w:rsid w:val="00F55F15"/>
    <w:rsid w:val="00F55FC8"/>
    <w:rsid w:val="00F56128"/>
    <w:rsid w:val="00F56255"/>
    <w:rsid w:val="00F56278"/>
    <w:rsid w:val="00F56287"/>
    <w:rsid w:val="00F563BB"/>
    <w:rsid w:val="00F564BA"/>
    <w:rsid w:val="00F56B06"/>
    <w:rsid w:val="00F56B7F"/>
    <w:rsid w:val="00F56B8F"/>
    <w:rsid w:val="00F56DC6"/>
    <w:rsid w:val="00F56DE6"/>
    <w:rsid w:val="00F56E7B"/>
    <w:rsid w:val="00F56EE4"/>
    <w:rsid w:val="00F57028"/>
    <w:rsid w:val="00F573AF"/>
    <w:rsid w:val="00F5767E"/>
    <w:rsid w:val="00F57830"/>
    <w:rsid w:val="00F5785C"/>
    <w:rsid w:val="00F57B37"/>
    <w:rsid w:val="00F57BAB"/>
    <w:rsid w:val="00F57C6D"/>
    <w:rsid w:val="00F57CBE"/>
    <w:rsid w:val="00F57EA5"/>
    <w:rsid w:val="00F603C1"/>
    <w:rsid w:val="00F603DA"/>
    <w:rsid w:val="00F6040D"/>
    <w:rsid w:val="00F606EF"/>
    <w:rsid w:val="00F60D02"/>
    <w:rsid w:val="00F6105B"/>
    <w:rsid w:val="00F61371"/>
    <w:rsid w:val="00F6144F"/>
    <w:rsid w:val="00F614C5"/>
    <w:rsid w:val="00F6154E"/>
    <w:rsid w:val="00F6165A"/>
    <w:rsid w:val="00F6168E"/>
    <w:rsid w:val="00F61747"/>
    <w:rsid w:val="00F618E7"/>
    <w:rsid w:val="00F61B91"/>
    <w:rsid w:val="00F61D3D"/>
    <w:rsid w:val="00F61E60"/>
    <w:rsid w:val="00F61E74"/>
    <w:rsid w:val="00F61ED5"/>
    <w:rsid w:val="00F61ED7"/>
    <w:rsid w:val="00F61F61"/>
    <w:rsid w:val="00F621B8"/>
    <w:rsid w:val="00F62458"/>
    <w:rsid w:val="00F62508"/>
    <w:rsid w:val="00F62669"/>
    <w:rsid w:val="00F62854"/>
    <w:rsid w:val="00F62889"/>
    <w:rsid w:val="00F62B29"/>
    <w:rsid w:val="00F62BBE"/>
    <w:rsid w:val="00F62C2D"/>
    <w:rsid w:val="00F62D16"/>
    <w:rsid w:val="00F62E07"/>
    <w:rsid w:val="00F630DD"/>
    <w:rsid w:val="00F6310D"/>
    <w:rsid w:val="00F63141"/>
    <w:rsid w:val="00F63143"/>
    <w:rsid w:val="00F6317C"/>
    <w:rsid w:val="00F63269"/>
    <w:rsid w:val="00F632B2"/>
    <w:rsid w:val="00F633D3"/>
    <w:rsid w:val="00F633DB"/>
    <w:rsid w:val="00F636FE"/>
    <w:rsid w:val="00F63837"/>
    <w:rsid w:val="00F6397C"/>
    <w:rsid w:val="00F63A38"/>
    <w:rsid w:val="00F63A57"/>
    <w:rsid w:val="00F63CCB"/>
    <w:rsid w:val="00F63D76"/>
    <w:rsid w:val="00F6404D"/>
    <w:rsid w:val="00F6425D"/>
    <w:rsid w:val="00F643D7"/>
    <w:rsid w:val="00F646A9"/>
    <w:rsid w:val="00F64862"/>
    <w:rsid w:val="00F64A9F"/>
    <w:rsid w:val="00F64ADC"/>
    <w:rsid w:val="00F64C1D"/>
    <w:rsid w:val="00F64E12"/>
    <w:rsid w:val="00F64E95"/>
    <w:rsid w:val="00F65217"/>
    <w:rsid w:val="00F65318"/>
    <w:rsid w:val="00F6562C"/>
    <w:rsid w:val="00F6586B"/>
    <w:rsid w:val="00F658E5"/>
    <w:rsid w:val="00F65A9F"/>
    <w:rsid w:val="00F65B07"/>
    <w:rsid w:val="00F65BAD"/>
    <w:rsid w:val="00F65E52"/>
    <w:rsid w:val="00F66049"/>
    <w:rsid w:val="00F66156"/>
    <w:rsid w:val="00F6622F"/>
    <w:rsid w:val="00F662BF"/>
    <w:rsid w:val="00F66390"/>
    <w:rsid w:val="00F663BF"/>
    <w:rsid w:val="00F6652F"/>
    <w:rsid w:val="00F66584"/>
    <w:rsid w:val="00F6662C"/>
    <w:rsid w:val="00F66928"/>
    <w:rsid w:val="00F669BD"/>
    <w:rsid w:val="00F669FB"/>
    <w:rsid w:val="00F66A3E"/>
    <w:rsid w:val="00F66DCD"/>
    <w:rsid w:val="00F66DDE"/>
    <w:rsid w:val="00F66ED2"/>
    <w:rsid w:val="00F66ED3"/>
    <w:rsid w:val="00F67090"/>
    <w:rsid w:val="00F672A4"/>
    <w:rsid w:val="00F672B4"/>
    <w:rsid w:val="00F672E9"/>
    <w:rsid w:val="00F67311"/>
    <w:rsid w:val="00F6731A"/>
    <w:rsid w:val="00F6734B"/>
    <w:rsid w:val="00F67359"/>
    <w:rsid w:val="00F67894"/>
    <w:rsid w:val="00F67D50"/>
    <w:rsid w:val="00F67F01"/>
    <w:rsid w:val="00F67FCF"/>
    <w:rsid w:val="00F70269"/>
    <w:rsid w:val="00F702E9"/>
    <w:rsid w:val="00F70409"/>
    <w:rsid w:val="00F70693"/>
    <w:rsid w:val="00F7080F"/>
    <w:rsid w:val="00F7083E"/>
    <w:rsid w:val="00F70AB6"/>
    <w:rsid w:val="00F70AF8"/>
    <w:rsid w:val="00F70B23"/>
    <w:rsid w:val="00F70B66"/>
    <w:rsid w:val="00F70B86"/>
    <w:rsid w:val="00F70E50"/>
    <w:rsid w:val="00F71070"/>
    <w:rsid w:val="00F713C4"/>
    <w:rsid w:val="00F71607"/>
    <w:rsid w:val="00F717A3"/>
    <w:rsid w:val="00F717C0"/>
    <w:rsid w:val="00F71922"/>
    <w:rsid w:val="00F71AE9"/>
    <w:rsid w:val="00F71B71"/>
    <w:rsid w:val="00F71C8D"/>
    <w:rsid w:val="00F71E7B"/>
    <w:rsid w:val="00F720FC"/>
    <w:rsid w:val="00F721C0"/>
    <w:rsid w:val="00F722B1"/>
    <w:rsid w:val="00F723B2"/>
    <w:rsid w:val="00F72495"/>
    <w:rsid w:val="00F726AF"/>
    <w:rsid w:val="00F72716"/>
    <w:rsid w:val="00F72948"/>
    <w:rsid w:val="00F72AD6"/>
    <w:rsid w:val="00F72AE1"/>
    <w:rsid w:val="00F72B06"/>
    <w:rsid w:val="00F72C25"/>
    <w:rsid w:val="00F72C9F"/>
    <w:rsid w:val="00F72D5A"/>
    <w:rsid w:val="00F72DAE"/>
    <w:rsid w:val="00F72DC7"/>
    <w:rsid w:val="00F72DF5"/>
    <w:rsid w:val="00F72F77"/>
    <w:rsid w:val="00F72FA4"/>
    <w:rsid w:val="00F73162"/>
    <w:rsid w:val="00F731E1"/>
    <w:rsid w:val="00F7327A"/>
    <w:rsid w:val="00F733FA"/>
    <w:rsid w:val="00F73420"/>
    <w:rsid w:val="00F73560"/>
    <w:rsid w:val="00F73569"/>
    <w:rsid w:val="00F735ED"/>
    <w:rsid w:val="00F736AB"/>
    <w:rsid w:val="00F7383C"/>
    <w:rsid w:val="00F73882"/>
    <w:rsid w:val="00F73963"/>
    <w:rsid w:val="00F73AAF"/>
    <w:rsid w:val="00F73ADD"/>
    <w:rsid w:val="00F73B1A"/>
    <w:rsid w:val="00F73CBA"/>
    <w:rsid w:val="00F73E37"/>
    <w:rsid w:val="00F73F15"/>
    <w:rsid w:val="00F7413A"/>
    <w:rsid w:val="00F741D7"/>
    <w:rsid w:val="00F74326"/>
    <w:rsid w:val="00F745EA"/>
    <w:rsid w:val="00F74836"/>
    <w:rsid w:val="00F74A72"/>
    <w:rsid w:val="00F74D95"/>
    <w:rsid w:val="00F74EA5"/>
    <w:rsid w:val="00F74EF3"/>
    <w:rsid w:val="00F74FED"/>
    <w:rsid w:val="00F750C5"/>
    <w:rsid w:val="00F7556E"/>
    <w:rsid w:val="00F75693"/>
    <w:rsid w:val="00F75771"/>
    <w:rsid w:val="00F75ABF"/>
    <w:rsid w:val="00F75B29"/>
    <w:rsid w:val="00F75D40"/>
    <w:rsid w:val="00F75DAD"/>
    <w:rsid w:val="00F75EBD"/>
    <w:rsid w:val="00F76231"/>
    <w:rsid w:val="00F76453"/>
    <w:rsid w:val="00F76516"/>
    <w:rsid w:val="00F765FB"/>
    <w:rsid w:val="00F76681"/>
    <w:rsid w:val="00F76769"/>
    <w:rsid w:val="00F76803"/>
    <w:rsid w:val="00F76861"/>
    <w:rsid w:val="00F76894"/>
    <w:rsid w:val="00F76918"/>
    <w:rsid w:val="00F76ACE"/>
    <w:rsid w:val="00F76BFE"/>
    <w:rsid w:val="00F76C34"/>
    <w:rsid w:val="00F76D1C"/>
    <w:rsid w:val="00F76D44"/>
    <w:rsid w:val="00F76E6B"/>
    <w:rsid w:val="00F76EF7"/>
    <w:rsid w:val="00F77180"/>
    <w:rsid w:val="00F7718A"/>
    <w:rsid w:val="00F771C0"/>
    <w:rsid w:val="00F7745E"/>
    <w:rsid w:val="00F77A40"/>
    <w:rsid w:val="00F77A7F"/>
    <w:rsid w:val="00F77C36"/>
    <w:rsid w:val="00F77C6E"/>
    <w:rsid w:val="00F77CC7"/>
    <w:rsid w:val="00F80103"/>
    <w:rsid w:val="00F80373"/>
    <w:rsid w:val="00F8040F"/>
    <w:rsid w:val="00F80626"/>
    <w:rsid w:val="00F8075E"/>
    <w:rsid w:val="00F807D5"/>
    <w:rsid w:val="00F808EE"/>
    <w:rsid w:val="00F8090E"/>
    <w:rsid w:val="00F80941"/>
    <w:rsid w:val="00F80A9C"/>
    <w:rsid w:val="00F80AB7"/>
    <w:rsid w:val="00F80D16"/>
    <w:rsid w:val="00F80DAA"/>
    <w:rsid w:val="00F80E0A"/>
    <w:rsid w:val="00F80FBA"/>
    <w:rsid w:val="00F810B7"/>
    <w:rsid w:val="00F810CD"/>
    <w:rsid w:val="00F81101"/>
    <w:rsid w:val="00F81183"/>
    <w:rsid w:val="00F811A7"/>
    <w:rsid w:val="00F81295"/>
    <w:rsid w:val="00F816F0"/>
    <w:rsid w:val="00F81822"/>
    <w:rsid w:val="00F81854"/>
    <w:rsid w:val="00F81A29"/>
    <w:rsid w:val="00F81BBC"/>
    <w:rsid w:val="00F81C6A"/>
    <w:rsid w:val="00F81D3E"/>
    <w:rsid w:val="00F81D78"/>
    <w:rsid w:val="00F81FCB"/>
    <w:rsid w:val="00F82030"/>
    <w:rsid w:val="00F820A5"/>
    <w:rsid w:val="00F820CB"/>
    <w:rsid w:val="00F820DA"/>
    <w:rsid w:val="00F8214B"/>
    <w:rsid w:val="00F821E0"/>
    <w:rsid w:val="00F822F1"/>
    <w:rsid w:val="00F82331"/>
    <w:rsid w:val="00F823B3"/>
    <w:rsid w:val="00F82454"/>
    <w:rsid w:val="00F8260E"/>
    <w:rsid w:val="00F827D4"/>
    <w:rsid w:val="00F82D13"/>
    <w:rsid w:val="00F82F18"/>
    <w:rsid w:val="00F82FEE"/>
    <w:rsid w:val="00F833D0"/>
    <w:rsid w:val="00F83434"/>
    <w:rsid w:val="00F8344C"/>
    <w:rsid w:val="00F834B6"/>
    <w:rsid w:val="00F836E7"/>
    <w:rsid w:val="00F8372C"/>
    <w:rsid w:val="00F83737"/>
    <w:rsid w:val="00F8381D"/>
    <w:rsid w:val="00F83A32"/>
    <w:rsid w:val="00F83ABA"/>
    <w:rsid w:val="00F83C07"/>
    <w:rsid w:val="00F83C90"/>
    <w:rsid w:val="00F83CB9"/>
    <w:rsid w:val="00F83D5A"/>
    <w:rsid w:val="00F83D7D"/>
    <w:rsid w:val="00F842CB"/>
    <w:rsid w:val="00F842DB"/>
    <w:rsid w:val="00F84300"/>
    <w:rsid w:val="00F843FE"/>
    <w:rsid w:val="00F8443B"/>
    <w:rsid w:val="00F84447"/>
    <w:rsid w:val="00F846C8"/>
    <w:rsid w:val="00F8472D"/>
    <w:rsid w:val="00F84867"/>
    <w:rsid w:val="00F848EB"/>
    <w:rsid w:val="00F84A92"/>
    <w:rsid w:val="00F84AC9"/>
    <w:rsid w:val="00F84B34"/>
    <w:rsid w:val="00F84B7A"/>
    <w:rsid w:val="00F84D2F"/>
    <w:rsid w:val="00F84EAC"/>
    <w:rsid w:val="00F850C8"/>
    <w:rsid w:val="00F850DD"/>
    <w:rsid w:val="00F850F2"/>
    <w:rsid w:val="00F851C2"/>
    <w:rsid w:val="00F85270"/>
    <w:rsid w:val="00F85278"/>
    <w:rsid w:val="00F852EB"/>
    <w:rsid w:val="00F8546B"/>
    <w:rsid w:val="00F854A7"/>
    <w:rsid w:val="00F854BB"/>
    <w:rsid w:val="00F855E5"/>
    <w:rsid w:val="00F85627"/>
    <w:rsid w:val="00F856C6"/>
    <w:rsid w:val="00F8591A"/>
    <w:rsid w:val="00F85A62"/>
    <w:rsid w:val="00F85C01"/>
    <w:rsid w:val="00F86049"/>
    <w:rsid w:val="00F867FF"/>
    <w:rsid w:val="00F86890"/>
    <w:rsid w:val="00F868F3"/>
    <w:rsid w:val="00F86985"/>
    <w:rsid w:val="00F86ADD"/>
    <w:rsid w:val="00F86B92"/>
    <w:rsid w:val="00F86CBE"/>
    <w:rsid w:val="00F86D56"/>
    <w:rsid w:val="00F86DF0"/>
    <w:rsid w:val="00F86E89"/>
    <w:rsid w:val="00F86FCF"/>
    <w:rsid w:val="00F87046"/>
    <w:rsid w:val="00F870EE"/>
    <w:rsid w:val="00F873A3"/>
    <w:rsid w:val="00F87414"/>
    <w:rsid w:val="00F876E4"/>
    <w:rsid w:val="00F87792"/>
    <w:rsid w:val="00F878B6"/>
    <w:rsid w:val="00F87923"/>
    <w:rsid w:val="00F87930"/>
    <w:rsid w:val="00F87A51"/>
    <w:rsid w:val="00F87BB2"/>
    <w:rsid w:val="00F87FC3"/>
    <w:rsid w:val="00F900D3"/>
    <w:rsid w:val="00F90171"/>
    <w:rsid w:val="00F90188"/>
    <w:rsid w:val="00F90268"/>
    <w:rsid w:val="00F90398"/>
    <w:rsid w:val="00F906BE"/>
    <w:rsid w:val="00F90768"/>
    <w:rsid w:val="00F90984"/>
    <w:rsid w:val="00F90B8C"/>
    <w:rsid w:val="00F90C15"/>
    <w:rsid w:val="00F90C33"/>
    <w:rsid w:val="00F90EB2"/>
    <w:rsid w:val="00F90FF5"/>
    <w:rsid w:val="00F91102"/>
    <w:rsid w:val="00F9120A"/>
    <w:rsid w:val="00F91266"/>
    <w:rsid w:val="00F912A6"/>
    <w:rsid w:val="00F914DE"/>
    <w:rsid w:val="00F915B0"/>
    <w:rsid w:val="00F9188A"/>
    <w:rsid w:val="00F91950"/>
    <w:rsid w:val="00F91B5E"/>
    <w:rsid w:val="00F91DEF"/>
    <w:rsid w:val="00F91E77"/>
    <w:rsid w:val="00F923FF"/>
    <w:rsid w:val="00F9246C"/>
    <w:rsid w:val="00F928C0"/>
    <w:rsid w:val="00F92A92"/>
    <w:rsid w:val="00F92AB2"/>
    <w:rsid w:val="00F92C3B"/>
    <w:rsid w:val="00F92CC9"/>
    <w:rsid w:val="00F92CF7"/>
    <w:rsid w:val="00F92DE9"/>
    <w:rsid w:val="00F92DF6"/>
    <w:rsid w:val="00F92E46"/>
    <w:rsid w:val="00F92E61"/>
    <w:rsid w:val="00F93077"/>
    <w:rsid w:val="00F93087"/>
    <w:rsid w:val="00F930FE"/>
    <w:rsid w:val="00F9317A"/>
    <w:rsid w:val="00F93653"/>
    <w:rsid w:val="00F936AE"/>
    <w:rsid w:val="00F9371E"/>
    <w:rsid w:val="00F93750"/>
    <w:rsid w:val="00F938DE"/>
    <w:rsid w:val="00F938F2"/>
    <w:rsid w:val="00F93A45"/>
    <w:rsid w:val="00F93AB7"/>
    <w:rsid w:val="00F93D52"/>
    <w:rsid w:val="00F93ED3"/>
    <w:rsid w:val="00F94169"/>
    <w:rsid w:val="00F943BA"/>
    <w:rsid w:val="00F94891"/>
    <w:rsid w:val="00F94897"/>
    <w:rsid w:val="00F94AC4"/>
    <w:rsid w:val="00F9541C"/>
    <w:rsid w:val="00F9543A"/>
    <w:rsid w:val="00F955FE"/>
    <w:rsid w:val="00F95699"/>
    <w:rsid w:val="00F95795"/>
    <w:rsid w:val="00F958AE"/>
    <w:rsid w:val="00F95916"/>
    <w:rsid w:val="00F95945"/>
    <w:rsid w:val="00F959CC"/>
    <w:rsid w:val="00F95A07"/>
    <w:rsid w:val="00F95A0C"/>
    <w:rsid w:val="00F95D09"/>
    <w:rsid w:val="00F9658C"/>
    <w:rsid w:val="00F965A6"/>
    <w:rsid w:val="00F9669F"/>
    <w:rsid w:val="00F9696A"/>
    <w:rsid w:val="00F96A86"/>
    <w:rsid w:val="00F96AF1"/>
    <w:rsid w:val="00F96B21"/>
    <w:rsid w:val="00F96D06"/>
    <w:rsid w:val="00F96DD9"/>
    <w:rsid w:val="00F96EB5"/>
    <w:rsid w:val="00F970A2"/>
    <w:rsid w:val="00F9729A"/>
    <w:rsid w:val="00F9736F"/>
    <w:rsid w:val="00F973C5"/>
    <w:rsid w:val="00F97575"/>
    <w:rsid w:val="00F97576"/>
    <w:rsid w:val="00F975D6"/>
    <w:rsid w:val="00F976DE"/>
    <w:rsid w:val="00F9779E"/>
    <w:rsid w:val="00F978FE"/>
    <w:rsid w:val="00F9791F"/>
    <w:rsid w:val="00F97D7A"/>
    <w:rsid w:val="00F97DDE"/>
    <w:rsid w:val="00F97E8F"/>
    <w:rsid w:val="00F97EBA"/>
    <w:rsid w:val="00F97F08"/>
    <w:rsid w:val="00F97FC7"/>
    <w:rsid w:val="00FA00FB"/>
    <w:rsid w:val="00FA0188"/>
    <w:rsid w:val="00FA01D2"/>
    <w:rsid w:val="00FA0352"/>
    <w:rsid w:val="00FA036B"/>
    <w:rsid w:val="00FA0506"/>
    <w:rsid w:val="00FA05F1"/>
    <w:rsid w:val="00FA060E"/>
    <w:rsid w:val="00FA0675"/>
    <w:rsid w:val="00FA06B0"/>
    <w:rsid w:val="00FA0843"/>
    <w:rsid w:val="00FA0C01"/>
    <w:rsid w:val="00FA0DC3"/>
    <w:rsid w:val="00FA0E8D"/>
    <w:rsid w:val="00FA0EDF"/>
    <w:rsid w:val="00FA0F07"/>
    <w:rsid w:val="00FA10C6"/>
    <w:rsid w:val="00FA117B"/>
    <w:rsid w:val="00FA11E7"/>
    <w:rsid w:val="00FA12A7"/>
    <w:rsid w:val="00FA14A9"/>
    <w:rsid w:val="00FA15D8"/>
    <w:rsid w:val="00FA1612"/>
    <w:rsid w:val="00FA18FE"/>
    <w:rsid w:val="00FA19A2"/>
    <w:rsid w:val="00FA1B35"/>
    <w:rsid w:val="00FA1CC3"/>
    <w:rsid w:val="00FA1CFC"/>
    <w:rsid w:val="00FA1DAC"/>
    <w:rsid w:val="00FA1DB3"/>
    <w:rsid w:val="00FA1DF4"/>
    <w:rsid w:val="00FA2040"/>
    <w:rsid w:val="00FA2338"/>
    <w:rsid w:val="00FA2373"/>
    <w:rsid w:val="00FA23DC"/>
    <w:rsid w:val="00FA2522"/>
    <w:rsid w:val="00FA2610"/>
    <w:rsid w:val="00FA2739"/>
    <w:rsid w:val="00FA29BA"/>
    <w:rsid w:val="00FA29E7"/>
    <w:rsid w:val="00FA2BD8"/>
    <w:rsid w:val="00FA2EED"/>
    <w:rsid w:val="00FA302A"/>
    <w:rsid w:val="00FA32C0"/>
    <w:rsid w:val="00FA34B0"/>
    <w:rsid w:val="00FA355D"/>
    <w:rsid w:val="00FA363E"/>
    <w:rsid w:val="00FA374A"/>
    <w:rsid w:val="00FA3773"/>
    <w:rsid w:val="00FA381F"/>
    <w:rsid w:val="00FA385B"/>
    <w:rsid w:val="00FA3C32"/>
    <w:rsid w:val="00FA3E1C"/>
    <w:rsid w:val="00FA3E7F"/>
    <w:rsid w:val="00FA4267"/>
    <w:rsid w:val="00FA4579"/>
    <w:rsid w:val="00FA46D8"/>
    <w:rsid w:val="00FA4743"/>
    <w:rsid w:val="00FA47A7"/>
    <w:rsid w:val="00FA4886"/>
    <w:rsid w:val="00FA48A3"/>
    <w:rsid w:val="00FA49BD"/>
    <w:rsid w:val="00FA4E81"/>
    <w:rsid w:val="00FA4EEA"/>
    <w:rsid w:val="00FA5114"/>
    <w:rsid w:val="00FA523A"/>
    <w:rsid w:val="00FA5616"/>
    <w:rsid w:val="00FA5679"/>
    <w:rsid w:val="00FA578A"/>
    <w:rsid w:val="00FA5BC0"/>
    <w:rsid w:val="00FA5CBB"/>
    <w:rsid w:val="00FA64DB"/>
    <w:rsid w:val="00FA64E9"/>
    <w:rsid w:val="00FA6550"/>
    <w:rsid w:val="00FA6657"/>
    <w:rsid w:val="00FA667F"/>
    <w:rsid w:val="00FA6878"/>
    <w:rsid w:val="00FA6ADD"/>
    <w:rsid w:val="00FA6BB1"/>
    <w:rsid w:val="00FA6DC0"/>
    <w:rsid w:val="00FA6F5E"/>
    <w:rsid w:val="00FA710E"/>
    <w:rsid w:val="00FA7199"/>
    <w:rsid w:val="00FA72C4"/>
    <w:rsid w:val="00FA72DD"/>
    <w:rsid w:val="00FA731E"/>
    <w:rsid w:val="00FA736F"/>
    <w:rsid w:val="00FA73E2"/>
    <w:rsid w:val="00FA7490"/>
    <w:rsid w:val="00FA75E0"/>
    <w:rsid w:val="00FA7A35"/>
    <w:rsid w:val="00FA7BAD"/>
    <w:rsid w:val="00FA7D20"/>
    <w:rsid w:val="00FA7DB9"/>
    <w:rsid w:val="00FA7F71"/>
    <w:rsid w:val="00FA7FD7"/>
    <w:rsid w:val="00FB009B"/>
    <w:rsid w:val="00FB0162"/>
    <w:rsid w:val="00FB0165"/>
    <w:rsid w:val="00FB02FD"/>
    <w:rsid w:val="00FB04B0"/>
    <w:rsid w:val="00FB04FC"/>
    <w:rsid w:val="00FB07A6"/>
    <w:rsid w:val="00FB0932"/>
    <w:rsid w:val="00FB0A36"/>
    <w:rsid w:val="00FB0C73"/>
    <w:rsid w:val="00FB0C99"/>
    <w:rsid w:val="00FB0CFD"/>
    <w:rsid w:val="00FB0D03"/>
    <w:rsid w:val="00FB0D7E"/>
    <w:rsid w:val="00FB0DBF"/>
    <w:rsid w:val="00FB0E9C"/>
    <w:rsid w:val="00FB0ED9"/>
    <w:rsid w:val="00FB0FE6"/>
    <w:rsid w:val="00FB141B"/>
    <w:rsid w:val="00FB144E"/>
    <w:rsid w:val="00FB146D"/>
    <w:rsid w:val="00FB14DC"/>
    <w:rsid w:val="00FB1533"/>
    <w:rsid w:val="00FB19BC"/>
    <w:rsid w:val="00FB1A48"/>
    <w:rsid w:val="00FB1A92"/>
    <w:rsid w:val="00FB1BAF"/>
    <w:rsid w:val="00FB1E24"/>
    <w:rsid w:val="00FB1F2E"/>
    <w:rsid w:val="00FB20D4"/>
    <w:rsid w:val="00FB227A"/>
    <w:rsid w:val="00FB2552"/>
    <w:rsid w:val="00FB272B"/>
    <w:rsid w:val="00FB293E"/>
    <w:rsid w:val="00FB29EB"/>
    <w:rsid w:val="00FB2ACF"/>
    <w:rsid w:val="00FB2AEA"/>
    <w:rsid w:val="00FB2CB0"/>
    <w:rsid w:val="00FB2D5F"/>
    <w:rsid w:val="00FB2D71"/>
    <w:rsid w:val="00FB2DB9"/>
    <w:rsid w:val="00FB2DFF"/>
    <w:rsid w:val="00FB3132"/>
    <w:rsid w:val="00FB3144"/>
    <w:rsid w:val="00FB31FE"/>
    <w:rsid w:val="00FB3223"/>
    <w:rsid w:val="00FB3235"/>
    <w:rsid w:val="00FB3387"/>
    <w:rsid w:val="00FB33EF"/>
    <w:rsid w:val="00FB3429"/>
    <w:rsid w:val="00FB3642"/>
    <w:rsid w:val="00FB3938"/>
    <w:rsid w:val="00FB3BDF"/>
    <w:rsid w:val="00FB3C44"/>
    <w:rsid w:val="00FB3CF2"/>
    <w:rsid w:val="00FB3D26"/>
    <w:rsid w:val="00FB3EC9"/>
    <w:rsid w:val="00FB408B"/>
    <w:rsid w:val="00FB410A"/>
    <w:rsid w:val="00FB41BD"/>
    <w:rsid w:val="00FB438A"/>
    <w:rsid w:val="00FB4447"/>
    <w:rsid w:val="00FB4647"/>
    <w:rsid w:val="00FB47A8"/>
    <w:rsid w:val="00FB47E4"/>
    <w:rsid w:val="00FB4920"/>
    <w:rsid w:val="00FB49C9"/>
    <w:rsid w:val="00FB4B1C"/>
    <w:rsid w:val="00FB4B84"/>
    <w:rsid w:val="00FB4BF8"/>
    <w:rsid w:val="00FB4D7B"/>
    <w:rsid w:val="00FB4E8B"/>
    <w:rsid w:val="00FB4FE8"/>
    <w:rsid w:val="00FB509F"/>
    <w:rsid w:val="00FB51A7"/>
    <w:rsid w:val="00FB5285"/>
    <w:rsid w:val="00FB52BB"/>
    <w:rsid w:val="00FB54C9"/>
    <w:rsid w:val="00FB553B"/>
    <w:rsid w:val="00FB55B4"/>
    <w:rsid w:val="00FB5622"/>
    <w:rsid w:val="00FB5749"/>
    <w:rsid w:val="00FB5793"/>
    <w:rsid w:val="00FB59C3"/>
    <w:rsid w:val="00FB5B10"/>
    <w:rsid w:val="00FB5CD9"/>
    <w:rsid w:val="00FB5F99"/>
    <w:rsid w:val="00FB60EB"/>
    <w:rsid w:val="00FB6124"/>
    <w:rsid w:val="00FB62B8"/>
    <w:rsid w:val="00FB62EE"/>
    <w:rsid w:val="00FB6330"/>
    <w:rsid w:val="00FB6423"/>
    <w:rsid w:val="00FB67FD"/>
    <w:rsid w:val="00FB6B0A"/>
    <w:rsid w:val="00FB6CA9"/>
    <w:rsid w:val="00FB6D5C"/>
    <w:rsid w:val="00FB6D5D"/>
    <w:rsid w:val="00FB6DC2"/>
    <w:rsid w:val="00FB6DD6"/>
    <w:rsid w:val="00FB6F29"/>
    <w:rsid w:val="00FB6FD5"/>
    <w:rsid w:val="00FB7027"/>
    <w:rsid w:val="00FB703D"/>
    <w:rsid w:val="00FB7169"/>
    <w:rsid w:val="00FB7199"/>
    <w:rsid w:val="00FB71A7"/>
    <w:rsid w:val="00FB73C6"/>
    <w:rsid w:val="00FB7628"/>
    <w:rsid w:val="00FB762D"/>
    <w:rsid w:val="00FB77B1"/>
    <w:rsid w:val="00FB781F"/>
    <w:rsid w:val="00FB787E"/>
    <w:rsid w:val="00FB7947"/>
    <w:rsid w:val="00FB79F9"/>
    <w:rsid w:val="00FB7AA3"/>
    <w:rsid w:val="00FB7BB2"/>
    <w:rsid w:val="00FB7C60"/>
    <w:rsid w:val="00FB7D19"/>
    <w:rsid w:val="00FB7ECF"/>
    <w:rsid w:val="00FB7FE2"/>
    <w:rsid w:val="00FC0063"/>
    <w:rsid w:val="00FC00B0"/>
    <w:rsid w:val="00FC00DD"/>
    <w:rsid w:val="00FC03E0"/>
    <w:rsid w:val="00FC0511"/>
    <w:rsid w:val="00FC05DC"/>
    <w:rsid w:val="00FC0886"/>
    <w:rsid w:val="00FC08A5"/>
    <w:rsid w:val="00FC08A6"/>
    <w:rsid w:val="00FC095A"/>
    <w:rsid w:val="00FC0969"/>
    <w:rsid w:val="00FC09EF"/>
    <w:rsid w:val="00FC0A4D"/>
    <w:rsid w:val="00FC0B2A"/>
    <w:rsid w:val="00FC0BA7"/>
    <w:rsid w:val="00FC0DCD"/>
    <w:rsid w:val="00FC0E95"/>
    <w:rsid w:val="00FC1052"/>
    <w:rsid w:val="00FC10F6"/>
    <w:rsid w:val="00FC1119"/>
    <w:rsid w:val="00FC1246"/>
    <w:rsid w:val="00FC1685"/>
    <w:rsid w:val="00FC1865"/>
    <w:rsid w:val="00FC195F"/>
    <w:rsid w:val="00FC1C95"/>
    <w:rsid w:val="00FC1E62"/>
    <w:rsid w:val="00FC20FD"/>
    <w:rsid w:val="00FC211A"/>
    <w:rsid w:val="00FC235C"/>
    <w:rsid w:val="00FC2450"/>
    <w:rsid w:val="00FC256C"/>
    <w:rsid w:val="00FC258A"/>
    <w:rsid w:val="00FC2649"/>
    <w:rsid w:val="00FC2A08"/>
    <w:rsid w:val="00FC2A27"/>
    <w:rsid w:val="00FC2A2F"/>
    <w:rsid w:val="00FC2A51"/>
    <w:rsid w:val="00FC2D7A"/>
    <w:rsid w:val="00FC2E61"/>
    <w:rsid w:val="00FC2EAC"/>
    <w:rsid w:val="00FC30AB"/>
    <w:rsid w:val="00FC31BF"/>
    <w:rsid w:val="00FC3410"/>
    <w:rsid w:val="00FC36EC"/>
    <w:rsid w:val="00FC3782"/>
    <w:rsid w:val="00FC37C5"/>
    <w:rsid w:val="00FC3905"/>
    <w:rsid w:val="00FC3AB6"/>
    <w:rsid w:val="00FC3AEE"/>
    <w:rsid w:val="00FC3B14"/>
    <w:rsid w:val="00FC3BEE"/>
    <w:rsid w:val="00FC3EAA"/>
    <w:rsid w:val="00FC3F8F"/>
    <w:rsid w:val="00FC40B9"/>
    <w:rsid w:val="00FC410F"/>
    <w:rsid w:val="00FC4170"/>
    <w:rsid w:val="00FC4327"/>
    <w:rsid w:val="00FC44A9"/>
    <w:rsid w:val="00FC465C"/>
    <w:rsid w:val="00FC46EB"/>
    <w:rsid w:val="00FC4803"/>
    <w:rsid w:val="00FC48C9"/>
    <w:rsid w:val="00FC4BBE"/>
    <w:rsid w:val="00FC4DFB"/>
    <w:rsid w:val="00FC4F5D"/>
    <w:rsid w:val="00FC549B"/>
    <w:rsid w:val="00FC55F8"/>
    <w:rsid w:val="00FC5677"/>
    <w:rsid w:val="00FC56D5"/>
    <w:rsid w:val="00FC588D"/>
    <w:rsid w:val="00FC58CB"/>
    <w:rsid w:val="00FC599D"/>
    <w:rsid w:val="00FC59A3"/>
    <w:rsid w:val="00FC5B1A"/>
    <w:rsid w:val="00FC5C7C"/>
    <w:rsid w:val="00FC5DC4"/>
    <w:rsid w:val="00FC601A"/>
    <w:rsid w:val="00FC60B4"/>
    <w:rsid w:val="00FC6415"/>
    <w:rsid w:val="00FC6524"/>
    <w:rsid w:val="00FC6675"/>
    <w:rsid w:val="00FC6695"/>
    <w:rsid w:val="00FC6741"/>
    <w:rsid w:val="00FC6A71"/>
    <w:rsid w:val="00FC6AD7"/>
    <w:rsid w:val="00FC6B4F"/>
    <w:rsid w:val="00FC6C13"/>
    <w:rsid w:val="00FC6FB9"/>
    <w:rsid w:val="00FC70BB"/>
    <w:rsid w:val="00FC71BC"/>
    <w:rsid w:val="00FC72C2"/>
    <w:rsid w:val="00FC737C"/>
    <w:rsid w:val="00FC751A"/>
    <w:rsid w:val="00FC75A0"/>
    <w:rsid w:val="00FC78C7"/>
    <w:rsid w:val="00FC792C"/>
    <w:rsid w:val="00FC79E2"/>
    <w:rsid w:val="00FC7AFA"/>
    <w:rsid w:val="00FC7B83"/>
    <w:rsid w:val="00FC7E14"/>
    <w:rsid w:val="00FC7FD3"/>
    <w:rsid w:val="00FD021F"/>
    <w:rsid w:val="00FD03C8"/>
    <w:rsid w:val="00FD0506"/>
    <w:rsid w:val="00FD058D"/>
    <w:rsid w:val="00FD0668"/>
    <w:rsid w:val="00FD06F7"/>
    <w:rsid w:val="00FD0767"/>
    <w:rsid w:val="00FD0787"/>
    <w:rsid w:val="00FD07E3"/>
    <w:rsid w:val="00FD07E4"/>
    <w:rsid w:val="00FD0948"/>
    <w:rsid w:val="00FD0F26"/>
    <w:rsid w:val="00FD0F4C"/>
    <w:rsid w:val="00FD0FC7"/>
    <w:rsid w:val="00FD117E"/>
    <w:rsid w:val="00FD167C"/>
    <w:rsid w:val="00FD16D6"/>
    <w:rsid w:val="00FD19A1"/>
    <w:rsid w:val="00FD1BD5"/>
    <w:rsid w:val="00FD1BE6"/>
    <w:rsid w:val="00FD1D10"/>
    <w:rsid w:val="00FD1E3C"/>
    <w:rsid w:val="00FD2051"/>
    <w:rsid w:val="00FD2151"/>
    <w:rsid w:val="00FD21B8"/>
    <w:rsid w:val="00FD21ED"/>
    <w:rsid w:val="00FD2234"/>
    <w:rsid w:val="00FD22C2"/>
    <w:rsid w:val="00FD24BA"/>
    <w:rsid w:val="00FD24D8"/>
    <w:rsid w:val="00FD24E7"/>
    <w:rsid w:val="00FD25FE"/>
    <w:rsid w:val="00FD28B2"/>
    <w:rsid w:val="00FD2A49"/>
    <w:rsid w:val="00FD2BEC"/>
    <w:rsid w:val="00FD2EC6"/>
    <w:rsid w:val="00FD2FC8"/>
    <w:rsid w:val="00FD3158"/>
    <w:rsid w:val="00FD31AC"/>
    <w:rsid w:val="00FD3201"/>
    <w:rsid w:val="00FD3374"/>
    <w:rsid w:val="00FD3432"/>
    <w:rsid w:val="00FD37F5"/>
    <w:rsid w:val="00FD390C"/>
    <w:rsid w:val="00FD3A55"/>
    <w:rsid w:val="00FD3B00"/>
    <w:rsid w:val="00FD3C45"/>
    <w:rsid w:val="00FD4099"/>
    <w:rsid w:val="00FD425B"/>
    <w:rsid w:val="00FD4276"/>
    <w:rsid w:val="00FD4301"/>
    <w:rsid w:val="00FD4369"/>
    <w:rsid w:val="00FD4409"/>
    <w:rsid w:val="00FD4467"/>
    <w:rsid w:val="00FD44A7"/>
    <w:rsid w:val="00FD4582"/>
    <w:rsid w:val="00FD45C2"/>
    <w:rsid w:val="00FD4746"/>
    <w:rsid w:val="00FD4811"/>
    <w:rsid w:val="00FD4AD4"/>
    <w:rsid w:val="00FD4BD9"/>
    <w:rsid w:val="00FD4D65"/>
    <w:rsid w:val="00FD4E12"/>
    <w:rsid w:val="00FD512C"/>
    <w:rsid w:val="00FD51D6"/>
    <w:rsid w:val="00FD52B6"/>
    <w:rsid w:val="00FD544B"/>
    <w:rsid w:val="00FD5471"/>
    <w:rsid w:val="00FD54D2"/>
    <w:rsid w:val="00FD575E"/>
    <w:rsid w:val="00FD57E3"/>
    <w:rsid w:val="00FD58AC"/>
    <w:rsid w:val="00FD59EA"/>
    <w:rsid w:val="00FD5A12"/>
    <w:rsid w:val="00FD5C64"/>
    <w:rsid w:val="00FD5D13"/>
    <w:rsid w:val="00FD5DE2"/>
    <w:rsid w:val="00FD60A2"/>
    <w:rsid w:val="00FD60B0"/>
    <w:rsid w:val="00FD623B"/>
    <w:rsid w:val="00FD62A8"/>
    <w:rsid w:val="00FD6529"/>
    <w:rsid w:val="00FD69F1"/>
    <w:rsid w:val="00FD6B66"/>
    <w:rsid w:val="00FD6BCC"/>
    <w:rsid w:val="00FD6C3D"/>
    <w:rsid w:val="00FD6C81"/>
    <w:rsid w:val="00FD6E6B"/>
    <w:rsid w:val="00FD6EC0"/>
    <w:rsid w:val="00FD6F28"/>
    <w:rsid w:val="00FD70D8"/>
    <w:rsid w:val="00FD7186"/>
    <w:rsid w:val="00FD71A7"/>
    <w:rsid w:val="00FD7265"/>
    <w:rsid w:val="00FD730A"/>
    <w:rsid w:val="00FD74ED"/>
    <w:rsid w:val="00FD76A4"/>
    <w:rsid w:val="00FD7763"/>
    <w:rsid w:val="00FD77A2"/>
    <w:rsid w:val="00FD77F7"/>
    <w:rsid w:val="00FD7ABC"/>
    <w:rsid w:val="00FD7AE2"/>
    <w:rsid w:val="00FD7AFA"/>
    <w:rsid w:val="00FD7E0D"/>
    <w:rsid w:val="00FE009B"/>
    <w:rsid w:val="00FE0B8B"/>
    <w:rsid w:val="00FE0E25"/>
    <w:rsid w:val="00FE0E84"/>
    <w:rsid w:val="00FE13EE"/>
    <w:rsid w:val="00FE1623"/>
    <w:rsid w:val="00FE188E"/>
    <w:rsid w:val="00FE19E0"/>
    <w:rsid w:val="00FE1A1E"/>
    <w:rsid w:val="00FE1A5C"/>
    <w:rsid w:val="00FE1BE9"/>
    <w:rsid w:val="00FE1E3D"/>
    <w:rsid w:val="00FE1EBD"/>
    <w:rsid w:val="00FE1F35"/>
    <w:rsid w:val="00FE208A"/>
    <w:rsid w:val="00FE21EC"/>
    <w:rsid w:val="00FE241D"/>
    <w:rsid w:val="00FE24AD"/>
    <w:rsid w:val="00FE255F"/>
    <w:rsid w:val="00FE25D9"/>
    <w:rsid w:val="00FE2B16"/>
    <w:rsid w:val="00FE2B67"/>
    <w:rsid w:val="00FE2BBC"/>
    <w:rsid w:val="00FE2DD2"/>
    <w:rsid w:val="00FE2E89"/>
    <w:rsid w:val="00FE2EA7"/>
    <w:rsid w:val="00FE2F0C"/>
    <w:rsid w:val="00FE3125"/>
    <w:rsid w:val="00FE32AB"/>
    <w:rsid w:val="00FE369B"/>
    <w:rsid w:val="00FE377D"/>
    <w:rsid w:val="00FE3832"/>
    <w:rsid w:val="00FE3BCB"/>
    <w:rsid w:val="00FE3C05"/>
    <w:rsid w:val="00FE3C7A"/>
    <w:rsid w:val="00FE41AC"/>
    <w:rsid w:val="00FE4297"/>
    <w:rsid w:val="00FE42BA"/>
    <w:rsid w:val="00FE43A9"/>
    <w:rsid w:val="00FE44CA"/>
    <w:rsid w:val="00FE4564"/>
    <w:rsid w:val="00FE4937"/>
    <w:rsid w:val="00FE49F2"/>
    <w:rsid w:val="00FE4CB0"/>
    <w:rsid w:val="00FE4D07"/>
    <w:rsid w:val="00FE4D14"/>
    <w:rsid w:val="00FE4DA6"/>
    <w:rsid w:val="00FE5026"/>
    <w:rsid w:val="00FE5314"/>
    <w:rsid w:val="00FE5465"/>
    <w:rsid w:val="00FE54C0"/>
    <w:rsid w:val="00FE567E"/>
    <w:rsid w:val="00FE5894"/>
    <w:rsid w:val="00FE58D1"/>
    <w:rsid w:val="00FE5954"/>
    <w:rsid w:val="00FE5A58"/>
    <w:rsid w:val="00FE5B72"/>
    <w:rsid w:val="00FE5C52"/>
    <w:rsid w:val="00FE61B9"/>
    <w:rsid w:val="00FE622E"/>
    <w:rsid w:val="00FE6248"/>
    <w:rsid w:val="00FE64B9"/>
    <w:rsid w:val="00FE655D"/>
    <w:rsid w:val="00FE66C6"/>
    <w:rsid w:val="00FE6719"/>
    <w:rsid w:val="00FE6860"/>
    <w:rsid w:val="00FE68F1"/>
    <w:rsid w:val="00FE6A23"/>
    <w:rsid w:val="00FE6BC6"/>
    <w:rsid w:val="00FE6C74"/>
    <w:rsid w:val="00FE6D91"/>
    <w:rsid w:val="00FE6ED9"/>
    <w:rsid w:val="00FE7044"/>
    <w:rsid w:val="00FE7045"/>
    <w:rsid w:val="00FE71E6"/>
    <w:rsid w:val="00FE7204"/>
    <w:rsid w:val="00FE7231"/>
    <w:rsid w:val="00FE7321"/>
    <w:rsid w:val="00FE73FA"/>
    <w:rsid w:val="00FE7457"/>
    <w:rsid w:val="00FE753A"/>
    <w:rsid w:val="00FE7586"/>
    <w:rsid w:val="00FE7733"/>
    <w:rsid w:val="00FE7917"/>
    <w:rsid w:val="00FE7B0A"/>
    <w:rsid w:val="00FE7D3B"/>
    <w:rsid w:val="00FE7D6B"/>
    <w:rsid w:val="00FE7FEB"/>
    <w:rsid w:val="00FF00F1"/>
    <w:rsid w:val="00FF0187"/>
    <w:rsid w:val="00FF01A5"/>
    <w:rsid w:val="00FF0218"/>
    <w:rsid w:val="00FF02B0"/>
    <w:rsid w:val="00FF0435"/>
    <w:rsid w:val="00FF04AC"/>
    <w:rsid w:val="00FF04F4"/>
    <w:rsid w:val="00FF05EF"/>
    <w:rsid w:val="00FF08E4"/>
    <w:rsid w:val="00FF09F6"/>
    <w:rsid w:val="00FF0C0E"/>
    <w:rsid w:val="00FF0CE1"/>
    <w:rsid w:val="00FF0E8F"/>
    <w:rsid w:val="00FF0EA5"/>
    <w:rsid w:val="00FF126B"/>
    <w:rsid w:val="00FF1301"/>
    <w:rsid w:val="00FF13AC"/>
    <w:rsid w:val="00FF156A"/>
    <w:rsid w:val="00FF1AA0"/>
    <w:rsid w:val="00FF1AF1"/>
    <w:rsid w:val="00FF1CB3"/>
    <w:rsid w:val="00FF1E8E"/>
    <w:rsid w:val="00FF1F55"/>
    <w:rsid w:val="00FF1F77"/>
    <w:rsid w:val="00FF1F80"/>
    <w:rsid w:val="00FF2148"/>
    <w:rsid w:val="00FF2286"/>
    <w:rsid w:val="00FF2293"/>
    <w:rsid w:val="00FF24D9"/>
    <w:rsid w:val="00FF27F8"/>
    <w:rsid w:val="00FF29F9"/>
    <w:rsid w:val="00FF2A93"/>
    <w:rsid w:val="00FF2B19"/>
    <w:rsid w:val="00FF2CA0"/>
    <w:rsid w:val="00FF2CF9"/>
    <w:rsid w:val="00FF2E07"/>
    <w:rsid w:val="00FF2E18"/>
    <w:rsid w:val="00FF3158"/>
    <w:rsid w:val="00FF326C"/>
    <w:rsid w:val="00FF3311"/>
    <w:rsid w:val="00FF3331"/>
    <w:rsid w:val="00FF33C1"/>
    <w:rsid w:val="00FF3B55"/>
    <w:rsid w:val="00FF3C88"/>
    <w:rsid w:val="00FF3D38"/>
    <w:rsid w:val="00FF3E50"/>
    <w:rsid w:val="00FF3F82"/>
    <w:rsid w:val="00FF3FB1"/>
    <w:rsid w:val="00FF40AE"/>
    <w:rsid w:val="00FF4228"/>
    <w:rsid w:val="00FF4515"/>
    <w:rsid w:val="00FF4662"/>
    <w:rsid w:val="00FF4839"/>
    <w:rsid w:val="00FF4903"/>
    <w:rsid w:val="00FF4955"/>
    <w:rsid w:val="00FF4A32"/>
    <w:rsid w:val="00FF4B42"/>
    <w:rsid w:val="00FF4C09"/>
    <w:rsid w:val="00FF4C54"/>
    <w:rsid w:val="00FF4C61"/>
    <w:rsid w:val="00FF4D9D"/>
    <w:rsid w:val="00FF4DD8"/>
    <w:rsid w:val="00FF4DF4"/>
    <w:rsid w:val="00FF4E60"/>
    <w:rsid w:val="00FF4E83"/>
    <w:rsid w:val="00FF4F5B"/>
    <w:rsid w:val="00FF5406"/>
    <w:rsid w:val="00FF55C3"/>
    <w:rsid w:val="00FF5658"/>
    <w:rsid w:val="00FF58D6"/>
    <w:rsid w:val="00FF5A39"/>
    <w:rsid w:val="00FF5A88"/>
    <w:rsid w:val="00FF5BD8"/>
    <w:rsid w:val="00FF5C3A"/>
    <w:rsid w:val="00FF5C50"/>
    <w:rsid w:val="00FF5C9D"/>
    <w:rsid w:val="00FF5DEA"/>
    <w:rsid w:val="00FF5DFD"/>
    <w:rsid w:val="00FF5E78"/>
    <w:rsid w:val="00FF5EE4"/>
    <w:rsid w:val="00FF5FD0"/>
    <w:rsid w:val="00FF60A2"/>
    <w:rsid w:val="00FF6466"/>
    <w:rsid w:val="00FF64C1"/>
    <w:rsid w:val="00FF651B"/>
    <w:rsid w:val="00FF653C"/>
    <w:rsid w:val="00FF65AC"/>
    <w:rsid w:val="00FF6756"/>
    <w:rsid w:val="00FF6A16"/>
    <w:rsid w:val="00FF6A39"/>
    <w:rsid w:val="00FF6AA6"/>
    <w:rsid w:val="00FF6C45"/>
    <w:rsid w:val="00FF6DE3"/>
    <w:rsid w:val="00FF6E8B"/>
    <w:rsid w:val="00FF6EC5"/>
    <w:rsid w:val="00FF6EC9"/>
    <w:rsid w:val="00FF706C"/>
    <w:rsid w:val="00FF72B9"/>
    <w:rsid w:val="00FF72F0"/>
    <w:rsid w:val="00FF7698"/>
    <w:rsid w:val="00FF7937"/>
    <w:rsid w:val="00FF7977"/>
    <w:rsid w:val="00FF7A82"/>
    <w:rsid w:val="00FF7ADC"/>
    <w:rsid w:val="00FF7B22"/>
    <w:rsid w:val="00FF7B38"/>
    <w:rsid w:val="00FF7B9B"/>
    <w:rsid w:val="00FF7BF1"/>
    <w:rsid w:val="00FF7D51"/>
    <w:rsid w:val="00FF7E73"/>
    <w:rsid w:val="00FF7F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47EE69"/>
  <w15:docId w15:val="{C096284F-F0BD-4427-86F1-C6B05E1C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0" w:qFormat="1"/>
    <w:lsdException w:name="heading 7" w:locked="1" w:uiPriority="9"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6AE"/>
    <w:rPr>
      <w:rFonts w:ascii="Arial" w:hAnsi="Arial"/>
    </w:rPr>
  </w:style>
  <w:style w:type="paragraph" w:styleId="Heading1">
    <w:name w:val="heading 1"/>
    <w:aliases w:val="1. Section Title Page"/>
    <w:basedOn w:val="Normal"/>
    <w:next w:val="Normal"/>
    <w:link w:val="Heading1Char"/>
    <w:autoRedefine/>
    <w:qFormat/>
    <w:rsid w:val="00D32C75"/>
    <w:pPr>
      <w:keepNext/>
      <w:outlineLvl w:val="0"/>
    </w:pPr>
    <w:rPr>
      <w:b/>
      <w:bCs/>
      <w:i/>
      <w:iCs/>
      <w:lang w:eastAsia="ja-JP"/>
    </w:rPr>
  </w:style>
  <w:style w:type="paragraph" w:styleId="Heading2">
    <w:name w:val="heading 2"/>
    <w:aliases w:val="2: Section Details"/>
    <w:basedOn w:val="Normal"/>
    <w:next w:val="Normal"/>
    <w:link w:val="Heading2Char1"/>
    <w:autoRedefine/>
    <w:qFormat/>
    <w:rsid w:val="00CF5A6E"/>
    <w:pPr>
      <w:keepNext/>
      <w:outlineLvl w:val="1"/>
    </w:pPr>
    <w:rPr>
      <w:b/>
      <w:snapToGrid w:val="0"/>
      <w:sz w:val="28"/>
      <w:szCs w:val="24"/>
      <w:u w:val="single"/>
      <w:lang w:eastAsia="ja-JP"/>
    </w:rPr>
  </w:style>
  <w:style w:type="paragraph" w:styleId="Heading3">
    <w:name w:val="heading 3"/>
    <w:aliases w:val="3. Section Questions"/>
    <w:basedOn w:val="Normal"/>
    <w:next w:val="Normal"/>
    <w:link w:val="Heading3Char"/>
    <w:autoRedefine/>
    <w:qFormat/>
    <w:rsid w:val="00AB5B80"/>
    <w:pPr>
      <w:keepNext/>
      <w:outlineLvl w:val="2"/>
    </w:pPr>
    <w:rPr>
      <w:rFonts w:cs="Arial"/>
      <w:b/>
      <w:i/>
      <w:snapToGrid w:val="0"/>
      <w:sz w:val="22"/>
      <w:szCs w:val="22"/>
      <w:lang w:eastAsia="ja-JP"/>
    </w:rPr>
  </w:style>
  <w:style w:type="paragraph" w:styleId="Heading4">
    <w:name w:val="heading 4"/>
    <w:aliases w:val="4. Change Summary and Sub-References"/>
    <w:basedOn w:val="Normal"/>
    <w:next w:val="Normal"/>
    <w:link w:val="Heading4Char"/>
    <w:autoRedefine/>
    <w:uiPriority w:val="9"/>
    <w:qFormat/>
    <w:rsid w:val="00C7333E"/>
    <w:pPr>
      <w:keepNext/>
      <w:framePr w:wrap="notBeside" w:vAnchor="text" w:hAnchor="text" w:y="1"/>
      <w:tabs>
        <w:tab w:val="num" w:pos="1440"/>
      </w:tabs>
      <w:spacing w:after="120"/>
      <w:outlineLvl w:val="3"/>
    </w:pPr>
    <w:rPr>
      <w:rFonts w:cs="Arial"/>
      <w:b/>
      <w:shd w:val="clear" w:color="auto" w:fill="365F91" w:themeFill="accent1" w:themeFillShade="BF"/>
    </w:rPr>
  </w:style>
  <w:style w:type="paragraph" w:styleId="Heading5">
    <w:name w:val="heading 5"/>
    <w:aliases w:val="5: Sub-Section"/>
    <w:basedOn w:val="Normal"/>
    <w:next w:val="Normal"/>
    <w:link w:val="Heading5Char"/>
    <w:autoRedefine/>
    <w:uiPriority w:val="9"/>
    <w:qFormat/>
    <w:rsid w:val="006B5931"/>
    <w:pPr>
      <w:keepNext/>
      <w:tabs>
        <w:tab w:val="num" w:pos="1800"/>
      </w:tabs>
      <w:ind w:left="1800" w:hanging="360"/>
      <w:outlineLvl w:val="4"/>
    </w:pPr>
    <w:rPr>
      <w:i/>
    </w:rPr>
  </w:style>
  <w:style w:type="paragraph" w:styleId="Heading6">
    <w:name w:val="heading 6"/>
    <w:basedOn w:val="Normal"/>
    <w:next w:val="Normal"/>
    <w:link w:val="Heading6Char"/>
    <w:qFormat/>
    <w:pPr>
      <w:keepNext/>
      <w:outlineLvl w:val="5"/>
    </w:pPr>
    <w:rPr>
      <w:b/>
      <w:color w:val="000000"/>
    </w:rPr>
  </w:style>
  <w:style w:type="paragraph" w:styleId="Heading7">
    <w:name w:val="heading 7"/>
    <w:aliases w:val="7: Procedure Measure Specs"/>
    <w:basedOn w:val="Normal"/>
    <w:next w:val="Normal"/>
    <w:link w:val="Heading7Char"/>
    <w:uiPriority w:val="9"/>
    <w:qFormat/>
    <w:pPr>
      <w:keepNext/>
      <w:jc w:val="center"/>
      <w:outlineLvl w:val="6"/>
    </w:pPr>
    <w:rPr>
      <w:u w:val="single"/>
    </w:rPr>
  </w:style>
  <w:style w:type="paragraph" w:styleId="Heading8">
    <w:name w:val="heading 8"/>
    <w:basedOn w:val="Normal"/>
    <w:next w:val="Normal"/>
    <w:link w:val="Heading8Char"/>
    <w:qFormat/>
    <w:pPr>
      <w:keepNext/>
      <w:jc w:val="right"/>
      <w:outlineLvl w:val="7"/>
    </w:pPr>
    <w:rPr>
      <w:i/>
    </w:rPr>
  </w:style>
  <w:style w:type="paragraph" w:styleId="Heading9">
    <w:name w:val="heading 9"/>
    <w:basedOn w:val="Normal"/>
    <w:next w:val="Normal"/>
    <w:link w:val="Heading9Char"/>
    <w:qFormat/>
    <w:pPr>
      <w:keepNex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Section Title Page Char"/>
    <w:link w:val="Heading1"/>
    <w:rsid w:val="00D32C75"/>
    <w:rPr>
      <w:rFonts w:ascii="Arial" w:hAnsi="Arial"/>
      <w:b/>
      <w:bCs/>
      <w:i/>
      <w:iCs/>
      <w:lang w:eastAsia="ja-JP"/>
    </w:rPr>
  </w:style>
  <w:style w:type="character" w:customStyle="1" w:styleId="Heading2Char">
    <w:name w:val="Heading 2 Char"/>
    <w:aliases w:val="2: Section Details Char"/>
    <w:rsid w:val="00570C36"/>
    <w:rPr>
      <w:rFonts w:ascii="Arial" w:hAnsi="Arial"/>
      <w:b/>
      <w:sz w:val="28"/>
      <w:u w:val="single"/>
      <w:lang w:eastAsia="ja-JP"/>
    </w:rPr>
  </w:style>
  <w:style w:type="character" w:customStyle="1" w:styleId="Heading3Char">
    <w:name w:val="Heading 3 Char"/>
    <w:aliases w:val="3. Section Questions Char"/>
    <w:link w:val="Heading3"/>
    <w:rsid w:val="00AB5B80"/>
    <w:rPr>
      <w:rFonts w:ascii="Arial" w:hAnsi="Arial" w:cs="Arial"/>
      <w:b/>
      <w:i/>
      <w:snapToGrid w:val="0"/>
      <w:sz w:val="22"/>
      <w:szCs w:val="22"/>
      <w:lang w:eastAsia="ja-JP"/>
    </w:rPr>
  </w:style>
  <w:style w:type="character" w:customStyle="1" w:styleId="Heading4Char">
    <w:name w:val="Heading 4 Char"/>
    <w:aliases w:val="4. Change Summary and Sub-References Char"/>
    <w:link w:val="Heading4"/>
    <w:uiPriority w:val="9"/>
    <w:rsid w:val="00C7333E"/>
    <w:rPr>
      <w:rFonts w:ascii="Arial" w:hAnsi="Arial" w:cs="Arial"/>
      <w:b/>
    </w:rPr>
  </w:style>
  <w:style w:type="character" w:customStyle="1" w:styleId="Heading5Char">
    <w:name w:val="Heading 5 Char"/>
    <w:aliases w:val="5: Sub-Section Char"/>
    <w:link w:val="Heading5"/>
    <w:uiPriority w:val="9"/>
    <w:rsid w:val="006B5931"/>
    <w:rPr>
      <w:rFonts w:ascii="Arial" w:hAnsi="Arial"/>
      <w:i/>
    </w:rPr>
  </w:style>
  <w:style w:type="character" w:customStyle="1" w:styleId="Heading6Char">
    <w:name w:val="Heading 6 Char"/>
    <w:link w:val="Heading6"/>
    <w:rsid w:val="008910AA"/>
    <w:rPr>
      <w:rFonts w:ascii="Calibri" w:eastAsia="Times New Roman" w:hAnsi="Calibri" w:cs="Times New Roman"/>
      <w:b/>
      <w:bCs/>
    </w:rPr>
  </w:style>
  <w:style w:type="character" w:customStyle="1" w:styleId="Heading7Char">
    <w:name w:val="Heading 7 Char"/>
    <w:aliases w:val="7: Procedure Measure Specs Char"/>
    <w:link w:val="Heading7"/>
    <w:uiPriority w:val="9"/>
    <w:rsid w:val="008910AA"/>
    <w:rPr>
      <w:rFonts w:ascii="Calibri" w:eastAsia="Times New Roman" w:hAnsi="Calibri" w:cs="Times New Roman"/>
      <w:sz w:val="24"/>
      <w:szCs w:val="24"/>
    </w:rPr>
  </w:style>
  <w:style w:type="character" w:customStyle="1" w:styleId="Heading8Char">
    <w:name w:val="Heading 8 Char"/>
    <w:link w:val="Heading8"/>
    <w:uiPriority w:val="9"/>
    <w:semiHidden/>
    <w:rsid w:val="008910AA"/>
    <w:rPr>
      <w:rFonts w:ascii="Calibri" w:eastAsia="Times New Roman" w:hAnsi="Calibri" w:cs="Times New Roman"/>
      <w:i/>
      <w:iCs/>
      <w:sz w:val="24"/>
      <w:szCs w:val="24"/>
    </w:rPr>
  </w:style>
  <w:style w:type="character" w:customStyle="1" w:styleId="Heading9Char">
    <w:name w:val="Heading 9 Char"/>
    <w:link w:val="Heading9"/>
    <w:uiPriority w:val="9"/>
    <w:semiHidden/>
    <w:rsid w:val="008910AA"/>
    <w:rPr>
      <w:rFonts w:ascii="Cambria" w:eastAsia="Times New Roman" w:hAnsi="Cambria" w:cs="Times New Roman"/>
    </w:rPr>
  </w:style>
  <w:style w:type="paragraph" w:customStyle="1" w:styleId="Reply">
    <w:name w:val="Reply"/>
    <w:basedOn w:val="Normal"/>
    <w:rPr>
      <w:rFonts w:ascii="Courier New" w:hAnsi="Courier New"/>
      <w:color w:val="FF0000"/>
    </w:rPr>
  </w:style>
  <w:style w:type="paragraph" w:customStyle="1" w:styleId="Comment">
    <w:name w:val="Comment"/>
    <w:basedOn w:val="Normal"/>
    <w:next w:val="PlainText"/>
    <w:pPr>
      <w:widowControl w:val="0"/>
      <w:tabs>
        <w:tab w:val="left" w:pos="1800"/>
      </w:tabs>
      <w:ind w:left="1800" w:hanging="1800"/>
    </w:pPr>
    <w:rPr>
      <w:color w:val="0000FF"/>
    </w:rPr>
  </w:style>
  <w:style w:type="paragraph" w:styleId="PlainText">
    <w:name w:val="Plain Text"/>
    <w:basedOn w:val="Normal"/>
    <w:link w:val="PlainTextChar"/>
    <w:uiPriority w:val="99"/>
    <w:rPr>
      <w:rFonts w:ascii="Courier New" w:hAnsi="Courier New"/>
    </w:rPr>
  </w:style>
  <w:style w:type="character" w:customStyle="1" w:styleId="PlainTextChar">
    <w:name w:val="Plain Text Char"/>
    <w:link w:val="PlainText"/>
    <w:uiPriority w:val="99"/>
    <w:rsid w:val="008910AA"/>
    <w:rPr>
      <w:rFonts w:ascii="Courier New" w:hAnsi="Courier New" w:cs="Courier New"/>
      <w:sz w:val="20"/>
      <w:szCs w:val="20"/>
    </w:rPr>
  </w:style>
  <w:style w:type="paragraph" w:customStyle="1" w:styleId="color">
    <w:name w:val="color"/>
    <w:basedOn w:val="NormalIndent"/>
    <w:pPr>
      <w:ind w:left="0"/>
    </w:pPr>
    <w:rPr>
      <w:color w:val="FF00FF"/>
    </w:rPr>
  </w:style>
  <w:style w:type="paragraph" w:styleId="NormalIndent">
    <w:name w:val="Normal Indent"/>
    <w:basedOn w:val="Normal"/>
    <w:pPr>
      <w:ind w:left="720"/>
    </w:pPr>
  </w:style>
  <w:style w:type="paragraph" w:customStyle="1" w:styleId="Color0">
    <w:name w:val="Color"/>
    <w:basedOn w:val="Normal"/>
    <w:rPr>
      <w:color w:val="FF00FF"/>
    </w:rPr>
  </w:style>
  <w:style w:type="paragraph" w:styleId="Title">
    <w:name w:val="Title"/>
    <w:basedOn w:val="Normal"/>
    <w:link w:val="TitleChar"/>
    <w:autoRedefine/>
    <w:qFormat/>
    <w:rsid w:val="00AB508D"/>
    <w:pPr>
      <w:pBdr>
        <w:top w:val="single" w:sz="4" w:space="1" w:color="auto"/>
        <w:left w:val="single" w:sz="4" w:space="4" w:color="auto"/>
        <w:bottom w:val="single" w:sz="4" w:space="1" w:color="auto"/>
        <w:right w:val="single" w:sz="4" w:space="4" w:color="auto"/>
      </w:pBdr>
      <w:jc w:val="center"/>
    </w:pPr>
    <w:rPr>
      <w:b/>
      <w:sz w:val="24"/>
    </w:rPr>
  </w:style>
  <w:style w:type="character" w:customStyle="1" w:styleId="TitleChar">
    <w:name w:val="Title Char"/>
    <w:link w:val="Title"/>
    <w:rsid w:val="00AB508D"/>
    <w:rPr>
      <w:rFonts w:ascii="Arial" w:hAnsi="Arial"/>
      <w:b/>
      <w:sz w:val="24"/>
    </w:rPr>
  </w:style>
  <w:style w:type="character" w:styleId="Hyperlink">
    <w:name w:val="Hyperlink"/>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8910AA"/>
    <w:rPr>
      <w:rFonts w:ascii="Arial" w:hAnsi="Arial"/>
      <w:sz w:val="20"/>
      <w:szCs w:val="20"/>
    </w:rPr>
  </w:style>
  <w:style w:type="paragraph" w:styleId="BodyText">
    <w:name w:val="Body Text"/>
    <w:basedOn w:val="Normal"/>
    <w:link w:val="BodyTextChar"/>
    <w:uiPriority w:val="99"/>
    <w:rPr>
      <w:i/>
    </w:rPr>
  </w:style>
  <w:style w:type="character" w:customStyle="1" w:styleId="BodyTextChar">
    <w:name w:val="Body Text Char"/>
    <w:link w:val="BodyText"/>
    <w:uiPriority w:val="99"/>
    <w:rsid w:val="008910AA"/>
    <w:rPr>
      <w:rFonts w:ascii="Arial" w:hAnsi="Arial"/>
      <w:sz w:val="20"/>
      <w:szCs w:val="20"/>
    </w:rPr>
  </w:style>
  <w:style w:type="paragraph" w:styleId="BodyText2">
    <w:name w:val="Body Text 2"/>
    <w:basedOn w:val="Normal"/>
    <w:link w:val="BodyText2Char"/>
    <w:rPr>
      <w:i/>
      <w:color w:val="000000"/>
    </w:rPr>
  </w:style>
  <w:style w:type="character" w:customStyle="1" w:styleId="BodyText2Char">
    <w:name w:val="Body Text 2 Char"/>
    <w:link w:val="BodyText2"/>
    <w:uiPriority w:val="99"/>
    <w:rsid w:val="008910AA"/>
    <w:rPr>
      <w:rFonts w:ascii="Arial" w:hAnsi="Arial"/>
      <w:sz w:val="20"/>
      <w:szCs w:val="20"/>
    </w:rPr>
  </w:style>
  <w:style w:type="paragraph" w:styleId="BodyText3">
    <w:name w:val="Body Text 3"/>
    <w:basedOn w:val="Normal"/>
    <w:link w:val="BodyText3Char"/>
    <w:rPr>
      <w:color w:val="000000"/>
    </w:rPr>
  </w:style>
  <w:style w:type="character" w:customStyle="1" w:styleId="BodyText3Char">
    <w:name w:val="Body Text 3 Char"/>
    <w:link w:val="BodyText3"/>
    <w:rsid w:val="008910AA"/>
    <w:rPr>
      <w:rFonts w:ascii="Arial" w:hAnsi="Arial"/>
      <w:sz w:val="16"/>
      <w:szCs w:val="16"/>
    </w:rPr>
  </w:style>
  <w:style w:type="character" w:styleId="PageNumber">
    <w:name w:val="page number"/>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910AA"/>
    <w:rPr>
      <w:rFonts w:ascii="Arial" w:hAnsi="Arial"/>
      <w:sz w:val="20"/>
      <w:szCs w:val="20"/>
    </w:rPr>
  </w:style>
  <w:style w:type="character" w:styleId="FollowedHyperlink">
    <w:name w:val="FollowedHyperlink"/>
    <w:rPr>
      <w:rFonts w:cs="Times New Roman"/>
      <w:color w:val="800080"/>
      <w:u w:val="single"/>
    </w:rPr>
  </w:style>
  <w:style w:type="paragraph" w:styleId="BodyTextIndent">
    <w:name w:val="Body Text Indent"/>
    <w:basedOn w:val="Normal"/>
    <w:link w:val="BodyTextIndentChar"/>
    <w:pPr>
      <w:ind w:firstLine="720"/>
    </w:pPr>
  </w:style>
  <w:style w:type="character" w:customStyle="1" w:styleId="BodyTextIndentChar">
    <w:name w:val="Body Text Indent Char"/>
    <w:link w:val="BodyTextIndent"/>
    <w:rsid w:val="008910AA"/>
    <w:rPr>
      <w:rFonts w:ascii="Arial" w:hAnsi="Arial"/>
      <w:sz w:val="20"/>
      <w:szCs w:val="20"/>
    </w:rPr>
  </w:style>
  <w:style w:type="paragraph" w:customStyle="1" w:styleId="DefinitionList">
    <w:name w:val="Definition List"/>
    <w:basedOn w:val="Normal"/>
    <w:next w:val="Normal"/>
    <w:pPr>
      <w:ind w:left="360"/>
    </w:pPr>
  </w:style>
  <w:style w:type="paragraph" w:customStyle="1" w:styleId="H3">
    <w:name w:val="H3"/>
    <w:basedOn w:val="Normal"/>
    <w:next w:val="Normal"/>
    <w:pPr>
      <w:keepNext/>
      <w:spacing w:before="100" w:after="100"/>
      <w:outlineLvl w:val="3"/>
    </w:pPr>
    <w:rPr>
      <w:b/>
      <w:sz w:val="2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8910AA"/>
    <w:rPr>
      <w:sz w:val="0"/>
      <w:szCs w:val="0"/>
    </w:rPr>
  </w:style>
  <w:style w:type="paragraph" w:styleId="EndnoteText">
    <w:name w:val="endnote text"/>
    <w:basedOn w:val="Normal"/>
    <w:link w:val="EndnoteTextChar"/>
    <w:uiPriority w:val="99"/>
  </w:style>
  <w:style w:type="character" w:customStyle="1" w:styleId="EndnoteTextChar">
    <w:name w:val="Endnote Text Char"/>
    <w:link w:val="EndnoteText"/>
    <w:uiPriority w:val="99"/>
    <w:rsid w:val="008910AA"/>
    <w:rPr>
      <w:rFonts w:ascii="Arial" w:hAnsi="Arial"/>
      <w:sz w:val="20"/>
      <w:szCs w:val="20"/>
    </w:rPr>
  </w:style>
  <w:style w:type="character" w:styleId="EndnoteReference">
    <w:name w:val="endnote reference"/>
    <w:uiPriority w:val="99"/>
    <w:rPr>
      <w:rFonts w:cs="Times New Roman"/>
      <w:vertAlign w:val="superscript"/>
    </w:rPr>
  </w:style>
  <w:style w:type="paragraph" w:styleId="Caption">
    <w:name w:val="caption"/>
    <w:basedOn w:val="Normal"/>
    <w:next w:val="Normal"/>
    <w:uiPriority w:val="35"/>
    <w:qFormat/>
    <w:pPr>
      <w:pBdr>
        <w:top w:val="single" w:sz="4" w:space="1" w:color="auto"/>
        <w:left w:val="single" w:sz="4" w:space="4" w:color="auto"/>
        <w:bottom w:val="single" w:sz="4" w:space="1" w:color="auto"/>
        <w:right w:val="single" w:sz="4" w:space="4" w:color="auto"/>
      </w:pBdr>
      <w:jc w:val="center"/>
    </w:pPr>
    <w:rPr>
      <w:b/>
    </w:rPr>
  </w:style>
  <w:style w:type="paragraph" w:styleId="BodyTextIndent2">
    <w:name w:val="Body Text Indent 2"/>
    <w:basedOn w:val="Normal"/>
    <w:link w:val="BodyTextIndent2Char"/>
    <w:pPr>
      <w:ind w:left="1440"/>
    </w:pPr>
    <w:rPr>
      <w:color w:val="000000"/>
    </w:rPr>
  </w:style>
  <w:style w:type="character" w:customStyle="1" w:styleId="BodyTextIndent2Char">
    <w:name w:val="Body Text Indent 2 Char"/>
    <w:link w:val="BodyTextIndent2"/>
    <w:rsid w:val="008910AA"/>
    <w:rPr>
      <w:rFonts w:ascii="Arial" w:hAnsi="Arial"/>
      <w:sz w:val="20"/>
      <w:szCs w:val="20"/>
    </w:rPr>
  </w:style>
  <w:style w:type="paragraph" w:styleId="FootnoteText">
    <w:name w:val="footnote text"/>
    <w:basedOn w:val="Normal"/>
    <w:link w:val="FootnoteTextChar"/>
    <w:semiHidden/>
  </w:style>
  <w:style w:type="character" w:customStyle="1" w:styleId="FootnoteTextChar">
    <w:name w:val="Footnote Text Char"/>
    <w:link w:val="FootnoteText"/>
    <w:semiHidden/>
    <w:rsid w:val="008910AA"/>
    <w:rPr>
      <w:rFonts w:ascii="Arial" w:hAnsi="Arial"/>
      <w:sz w:val="20"/>
      <w:szCs w:val="20"/>
    </w:rPr>
  </w:style>
  <w:style w:type="character" w:styleId="FootnoteReference">
    <w:name w:val="footnote reference"/>
    <w:uiPriority w:val="99"/>
    <w:rPr>
      <w:rFonts w:cs="Times New Roman"/>
      <w:vertAlign w:val="superscript"/>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character" w:styleId="Strong">
    <w:name w:val="Strong"/>
    <w:uiPriority w:val="22"/>
    <w:qFormat/>
    <w:rPr>
      <w:rFonts w:cs="Times New Roman"/>
      <w:b/>
    </w:rPr>
  </w:style>
  <w:style w:type="paragraph" w:styleId="BodyTextFirstIndent">
    <w:name w:val="Body Text First Indent"/>
    <w:basedOn w:val="Normal"/>
    <w:link w:val="BodyTextFirstIndentChar"/>
    <w:pPr>
      <w:ind w:left="360" w:hanging="360"/>
    </w:pPr>
    <w:rPr>
      <w:rFonts w:cs="Arial"/>
    </w:rPr>
  </w:style>
  <w:style w:type="character" w:customStyle="1" w:styleId="BodyTextFirstIndentChar">
    <w:name w:val="Body Text First Indent Char"/>
    <w:link w:val="BodyTextFirstIndent"/>
    <w:uiPriority w:val="99"/>
    <w:rsid w:val="008910AA"/>
    <w:rPr>
      <w:rFonts w:ascii="Arial" w:hAnsi="Arial"/>
      <w:sz w:val="20"/>
      <w:szCs w:val="20"/>
    </w:rPr>
  </w:style>
  <w:style w:type="paragraph" w:styleId="DocumentMap">
    <w:name w:val="Document Map"/>
    <w:basedOn w:val="Normal"/>
    <w:link w:val="DocumentMapChar"/>
    <w:semiHidden/>
    <w:pPr>
      <w:shd w:val="clear" w:color="auto" w:fill="000080"/>
    </w:pPr>
    <w:rPr>
      <w:rFonts w:ascii="Tahoma" w:hAnsi="Tahoma" w:cs="Tahoma"/>
    </w:rPr>
  </w:style>
  <w:style w:type="character" w:customStyle="1" w:styleId="DocumentMapChar">
    <w:name w:val="Document Map Char"/>
    <w:link w:val="DocumentMap"/>
    <w:semiHidden/>
    <w:rsid w:val="008910AA"/>
    <w:rPr>
      <w:sz w:val="0"/>
      <w:szCs w:val="0"/>
    </w:rPr>
  </w:style>
  <w:style w:type="paragraph" w:customStyle="1" w:styleId="StyleHeading3Centered">
    <w:name w:val="Style Heading 3 + Centered"/>
    <w:basedOn w:val="Heading3"/>
    <w:pPr>
      <w:jc w:val="center"/>
    </w:pPr>
    <w:rPr>
      <w:bCs/>
    </w:rPr>
  </w:style>
  <w:style w:type="paragraph" w:customStyle="1" w:styleId="StyleH3Centered">
    <w:name w:val="Style H3 + Centered"/>
    <w:basedOn w:val="H3"/>
    <w:pPr>
      <w:spacing w:before="240" w:after="120"/>
      <w:jc w:val="center"/>
    </w:pPr>
    <w:rPr>
      <w:bCs/>
      <w:sz w:val="24"/>
      <w:szCs w:val="24"/>
    </w:rPr>
  </w:style>
  <w:style w:type="paragraph" w:customStyle="1" w:styleId="StyleHeading38ptNotBoldCenteredLeft0Firstline">
    <w:name w:val="Style Heading 3 + 8 pt Not Bold Centered Left:  0&quot; First line: ..."/>
    <w:basedOn w:val="Heading3"/>
    <w:pPr>
      <w:spacing w:before="60"/>
      <w:jc w:val="center"/>
    </w:pPr>
    <w:rPr>
      <w:b w:val="0"/>
      <w:sz w:val="16"/>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style>
  <w:style w:type="character" w:customStyle="1" w:styleId="CommentTextChar">
    <w:name w:val="Comment Text Char"/>
    <w:link w:val="CommentText"/>
    <w:uiPriority w:val="99"/>
    <w:rsid w:val="008910AA"/>
    <w:rPr>
      <w:rFonts w:ascii="Arial" w:hAnsi="Arial"/>
      <w:sz w:val="20"/>
      <w:szCs w:val="2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semiHidden/>
    <w:pPr>
      <w:widowControl w:val="0"/>
      <w:spacing w:after="160" w:line="240" w:lineRule="exact"/>
    </w:pPr>
    <w:rPr>
      <w:rFonts w:ascii="Tahoma" w:hAnsi="Tahoma"/>
      <w:szCs w:val="24"/>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sid w:val="008910AA"/>
    <w:rPr>
      <w:rFonts w:ascii="Arial" w:hAnsi="Arial"/>
      <w:b/>
      <w:bCs/>
      <w:sz w:val="20"/>
      <w:szCs w:val="20"/>
    </w:rPr>
  </w:style>
  <w:style w:type="character" w:styleId="Emphasis">
    <w:name w:val="Emphasis"/>
    <w:uiPriority w:val="20"/>
    <w:qFormat/>
    <w:rPr>
      <w:rFonts w:cs="Times New Roman"/>
      <w:i/>
    </w:rPr>
  </w:style>
  <w:style w:type="character" w:customStyle="1" w:styleId="lpg35333">
    <w:name w:val="lpg35333"/>
    <w:semiHidden/>
    <w:rPr>
      <w:rFonts w:ascii="Arial" w:hAnsi="Arial"/>
      <w:color w:val="auto"/>
      <w:sz w:val="20"/>
    </w:rPr>
  </w:style>
  <w:style w:type="character" w:customStyle="1" w:styleId="msoins0">
    <w:name w:val="msoins"/>
    <w:rPr>
      <w:rFonts w:cs="Times New Roman"/>
    </w:rPr>
  </w:style>
  <w:style w:type="character" w:customStyle="1" w:styleId="footnotesearch2">
    <w:name w:val="footnotesearch2"/>
    <w:uiPriority w:val="99"/>
    <w:rPr>
      <w:sz w:val="22"/>
    </w:rPr>
  </w:style>
  <w:style w:type="character" w:styleId="HTMLCite">
    <w:name w:val="HTML Cite"/>
    <w:uiPriority w:val="99"/>
    <w:rPr>
      <w:rFonts w:cs="Times New Roman"/>
      <w:color w:val="0E774A"/>
    </w:rPr>
  </w:style>
  <w:style w:type="character" w:customStyle="1" w:styleId="awc-59785">
    <w:name w:val="awc-59785"/>
    <w:rPr>
      <w:rFonts w:cs="Times New Roman"/>
    </w:rPr>
  </w:style>
  <w:style w:type="numbering" w:styleId="111111">
    <w:name w:val="Outline List 2"/>
    <w:basedOn w:val="NoList"/>
    <w:unhideWhenUsed/>
    <w:rsid w:val="008910AA"/>
    <w:pPr>
      <w:numPr>
        <w:numId w:val="9"/>
      </w:numPr>
    </w:pPr>
  </w:style>
  <w:style w:type="character" w:customStyle="1" w:styleId="apple-converted-space">
    <w:name w:val="apple-converted-space"/>
    <w:basedOn w:val="DefaultParagraphFont"/>
    <w:rsid w:val="005139C0"/>
  </w:style>
  <w:style w:type="paragraph" w:styleId="ListParagraph">
    <w:name w:val="List Paragraph"/>
    <w:basedOn w:val="Normal"/>
    <w:uiPriority w:val="34"/>
    <w:qFormat/>
    <w:rsid w:val="00A26F28"/>
    <w:pPr>
      <w:ind w:left="720"/>
      <w:contextualSpacing/>
    </w:pPr>
  </w:style>
  <w:style w:type="paragraph" w:styleId="Revision">
    <w:name w:val="Revision"/>
    <w:hidden/>
    <w:uiPriority w:val="99"/>
    <w:semiHidden/>
    <w:rsid w:val="00137D1B"/>
    <w:rPr>
      <w:rFonts w:ascii="Arial" w:hAnsi="Arial"/>
    </w:rPr>
  </w:style>
  <w:style w:type="paragraph" w:styleId="NoSpacing">
    <w:name w:val="No Spacing"/>
    <w:link w:val="NoSpacingChar"/>
    <w:uiPriority w:val="1"/>
    <w:qFormat/>
    <w:rsid w:val="00D1257B"/>
    <w:rPr>
      <w:rFonts w:ascii="Century" w:eastAsia="MS Mincho" w:hAnsi="Century"/>
      <w:sz w:val="22"/>
      <w:szCs w:val="22"/>
    </w:rPr>
  </w:style>
  <w:style w:type="character" w:customStyle="1" w:styleId="NoSpacingChar">
    <w:name w:val="No Spacing Char"/>
    <w:basedOn w:val="DefaultParagraphFont"/>
    <w:link w:val="NoSpacing"/>
    <w:uiPriority w:val="1"/>
    <w:rsid w:val="00D1257B"/>
    <w:rPr>
      <w:rFonts w:ascii="Century" w:eastAsia="MS Mincho" w:hAnsi="Century"/>
      <w:sz w:val="22"/>
      <w:szCs w:val="22"/>
    </w:rPr>
  </w:style>
  <w:style w:type="paragraph" w:customStyle="1" w:styleId="SectionHeader">
    <w:name w:val="Section Header"/>
    <w:basedOn w:val="Heading1"/>
    <w:link w:val="SectionHeaderChar"/>
    <w:qFormat/>
    <w:rsid w:val="00B441E9"/>
    <w:pPr>
      <w:jc w:val="center"/>
    </w:pPr>
    <w:rPr>
      <w:snapToGrid w:val="0"/>
      <w:sz w:val="40"/>
      <w:szCs w:val="40"/>
    </w:rPr>
  </w:style>
  <w:style w:type="paragraph" w:styleId="TOC2">
    <w:name w:val="toc 2"/>
    <w:basedOn w:val="Normal"/>
    <w:next w:val="Normal"/>
    <w:autoRedefine/>
    <w:uiPriority w:val="39"/>
    <w:unhideWhenUsed/>
    <w:rsid w:val="00940F39"/>
    <w:pPr>
      <w:tabs>
        <w:tab w:val="right" w:leader="dot" w:pos="9350"/>
      </w:tabs>
      <w:spacing w:after="100"/>
      <w:ind w:left="200"/>
    </w:pPr>
  </w:style>
  <w:style w:type="character" w:customStyle="1" w:styleId="SectionHeaderChar">
    <w:name w:val="Section Header Char"/>
    <w:basedOn w:val="Heading1Char"/>
    <w:link w:val="SectionHeader"/>
    <w:rsid w:val="00B441E9"/>
    <w:rPr>
      <w:rFonts w:ascii="Arial" w:hAnsi="Arial"/>
      <w:b/>
      <w:bCs/>
      <w:i/>
      <w:iCs/>
      <w:snapToGrid w:val="0"/>
      <w:sz w:val="40"/>
      <w:szCs w:val="40"/>
      <w:lang w:eastAsia="ja-JP"/>
    </w:rPr>
  </w:style>
  <w:style w:type="paragraph" w:styleId="TOC1">
    <w:name w:val="toc 1"/>
    <w:basedOn w:val="Normal"/>
    <w:next w:val="Normal"/>
    <w:autoRedefine/>
    <w:uiPriority w:val="39"/>
    <w:unhideWhenUsed/>
    <w:rsid w:val="0054414F"/>
    <w:pPr>
      <w:tabs>
        <w:tab w:val="right" w:leader="dot" w:pos="9350"/>
      </w:tabs>
      <w:spacing w:after="120"/>
    </w:pPr>
  </w:style>
  <w:style w:type="paragraph" w:styleId="TOC4">
    <w:name w:val="toc 4"/>
    <w:basedOn w:val="Normal"/>
    <w:next w:val="Normal"/>
    <w:autoRedefine/>
    <w:uiPriority w:val="39"/>
    <w:unhideWhenUsed/>
    <w:rsid w:val="00CF5A6E"/>
    <w:pPr>
      <w:tabs>
        <w:tab w:val="right" w:leader="dot" w:pos="9350"/>
      </w:tabs>
      <w:spacing w:after="100"/>
      <w:ind w:left="600"/>
    </w:pPr>
  </w:style>
  <w:style w:type="paragraph" w:styleId="TOC3">
    <w:name w:val="toc 3"/>
    <w:basedOn w:val="Normal"/>
    <w:next w:val="Normal"/>
    <w:autoRedefine/>
    <w:uiPriority w:val="39"/>
    <w:unhideWhenUsed/>
    <w:rsid w:val="00B441E9"/>
    <w:pPr>
      <w:spacing w:after="100"/>
      <w:ind w:left="400"/>
    </w:pPr>
  </w:style>
  <w:style w:type="paragraph" w:styleId="Subtitle">
    <w:name w:val="Subtitle"/>
    <w:aliases w:val="Affirmation"/>
    <w:basedOn w:val="Normal"/>
    <w:next w:val="Normal"/>
    <w:link w:val="SubtitleChar"/>
    <w:qFormat/>
    <w:locked/>
    <w:rsid w:val="00625D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aliases w:val="Affirmation Char"/>
    <w:basedOn w:val="DefaultParagraphFont"/>
    <w:link w:val="Subtitle"/>
    <w:rsid w:val="00625D0F"/>
    <w:rPr>
      <w:rFonts w:asciiTheme="majorHAnsi" w:eastAsiaTheme="majorEastAsia" w:hAnsiTheme="majorHAnsi" w:cstheme="majorBidi"/>
      <w:i/>
      <w:iCs/>
      <w:color w:val="4F81BD" w:themeColor="accent1"/>
      <w:spacing w:val="15"/>
      <w:sz w:val="24"/>
      <w:szCs w:val="24"/>
    </w:rPr>
  </w:style>
  <w:style w:type="paragraph" w:customStyle="1" w:styleId="Answer">
    <w:name w:val="Answer"/>
    <w:basedOn w:val="Normal"/>
    <w:rsid w:val="00C35C80"/>
    <w:pPr>
      <w:keepNext/>
      <w:keepLines/>
      <w:numPr>
        <w:ilvl w:val="1"/>
        <w:numId w:val="14"/>
      </w:numPr>
      <w:spacing w:line="480" w:lineRule="auto"/>
    </w:pPr>
    <w:rPr>
      <w:rFonts w:eastAsia="MS Mincho"/>
      <w:sz w:val="24"/>
    </w:rPr>
  </w:style>
  <w:style w:type="paragraph" w:customStyle="1" w:styleId="Default">
    <w:name w:val="Default"/>
    <w:rsid w:val="005A41AD"/>
    <w:pPr>
      <w:autoSpaceDE w:val="0"/>
      <w:autoSpaceDN w:val="0"/>
      <w:adjustRightInd w:val="0"/>
    </w:pPr>
    <w:rPr>
      <w:rFonts w:eastAsia="MS Mincho"/>
      <w:color w:val="000000"/>
      <w:sz w:val="24"/>
      <w:szCs w:val="24"/>
      <w:lang w:eastAsia="ja-JP"/>
    </w:rPr>
  </w:style>
  <w:style w:type="paragraph" w:styleId="TOC5">
    <w:name w:val="toc 5"/>
    <w:basedOn w:val="Normal"/>
    <w:next w:val="Normal"/>
    <w:autoRedefine/>
    <w:uiPriority w:val="39"/>
    <w:unhideWhenUsed/>
    <w:rsid w:val="006E26E4"/>
    <w:pPr>
      <w:tabs>
        <w:tab w:val="right" w:leader="dot" w:pos="9350"/>
      </w:tabs>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E1482"/>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E1482"/>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E1482"/>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E1482"/>
    <w:pPr>
      <w:spacing w:after="100" w:line="276" w:lineRule="auto"/>
      <w:ind w:left="1760"/>
    </w:pPr>
    <w:rPr>
      <w:rFonts w:asciiTheme="minorHAnsi" w:eastAsiaTheme="minorEastAsia" w:hAnsiTheme="minorHAnsi" w:cstheme="minorBidi"/>
      <w:sz w:val="22"/>
      <w:szCs w:val="22"/>
    </w:rPr>
  </w:style>
  <w:style w:type="character" w:customStyle="1" w:styleId="EmailStyle54">
    <w:name w:val="EmailStyle54"/>
    <w:basedOn w:val="DefaultParagraphFont"/>
    <w:semiHidden/>
    <w:rsid w:val="00561293"/>
    <w:rPr>
      <w:rFonts w:ascii="Arial" w:hAnsi="Arial" w:cs="Arial"/>
      <w:color w:val="auto"/>
      <w:sz w:val="20"/>
      <w:szCs w:val="20"/>
    </w:rPr>
  </w:style>
  <w:style w:type="paragraph" w:styleId="TOCHeading">
    <w:name w:val="TOC Heading"/>
    <w:basedOn w:val="Heading1"/>
    <w:next w:val="Normal"/>
    <w:uiPriority w:val="39"/>
    <w:qFormat/>
    <w:rsid w:val="00561293"/>
    <w:pPr>
      <w:keepLines/>
      <w:spacing w:before="480" w:line="276" w:lineRule="auto"/>
      <w:outlineLvl w:val="9"/>
    </w:pPr>
    <w:rPr>
      <w:rFonts w:eastAsia="MS Gothic"/>
      <w:bCs w:val="0"/>
      <w:color w:val="365F91"/>
      <w:sz w:val="28"/>
      <w:szCs w:val="28"/>
      <w:lang w:eastAsia="en-US"/>
    </w:rPr>
  </w:style>
  <w:style w:type="table" w:styleId="TableColumns3">
    <w:name w:val="Table Columns 3"/>
    <w:basedOn w:val="TableNormal"/>
    <w:rsid w:val="00561293"/>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1">
    <w:name w:val="Table Grid 1"/>
    <w:basedOn w:val="TableNormal"/>
    <w:rsid w:val="00561293"/>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harCharCharChar1">
    <w:name w:val="Char Char Char Char1"/>
    <w:basedOn w:val="Normal"/>
    <w:semiHidden/>
    <w:rsid w:val="00561293"/>
    <w:pPr>
      <w:widowControl w:val="0"/>
      <w:spacing w:after="160" w:line="240" w:lineRule="exact"/>
    </w:pPr>
    <w:rPr>
      <w:rFonts w:ascii="Tahoma" w:eastAsia="MS Mincho" w:hAnsi="Tahoma"/>
      <w:szCs w:val="24"/>
    </w:rPr>
  </w:style>
  <w:style w:type="paragraph" w:customStyle="1" w:styleId="BlackBodyText">
    <w:name w:val="Black Body Text"/>
    <w:basedOn w:val="Footer"/>
    <w:rsid w:val="00561293"/>
    <w:pPr>
      <w:tabs>
        <w:tab w:val="clear" w:pos="4320"/>
        <w:tab w:val="right" w:pos="5040"/>
      </w:tabs>
      <w:spacing w:after="240"/>
    </w:pPr>
    <w:rPr>
      <w:rFonts w:eastAsia="MS Mincho" w:cs="Arial"/>
    </w:rPr>
  </w:style>
  <w:style w:type="paragraph" w:styleId="Date">
    <w:name w:val="Date"/>
    <w:basedOn w:val="Normal"/>
    <w:next w:val="Normal"/>
    <w:link w:val="DateChar"/>
    <w:rsid w:val="00561293"/>
    <w:rPr>
      <w:rFonts w:eastAsia="MS Mincho"/>
    </w:rPr>
  </w:style>
  <w:style w:type="character" w:customStyle="1" w:styleId="DateChar">
    <w:name w:val="Date Char"/>
    <w:basedOn w:val="DefaultParagraphFont"/>
    <w:link w:val="Date"/>
    <w:rsid w:val="00561293"/>
    <w:rPr>
      <w:rFonts w:ascii="Arial" w:eastAsia="MS Mincho" w:hAnsi="Arial"/>
    </w:rPr>
  </w:style>
  <w:style w:type="character" w:styleId="PlaceholderText">
    <w:name w:val="Placeholder Text"/>
    <w:basedOn w:val="DefaultParagraphFont"/>
    <w:uiPriority w:val="99"/>
    <w:semiHidden/>
    <w:rsid w:val="00561293"/>
    <w:rPr>
      <w:color w:val="808080"/>
    </w:rPr>
  </w:style>
  <w:style w:type="character" w:customStyle="1" w:styleId="Heading2Char1">
    <w:name w:val="Heading 2 Char1"/>
    <w:aliases w:val="2: Section Details Char1"/>
    <w:basedOn w:val="DefaultParagraphFont"/>
    <w:link w:val="Heading2"/>
    <w:rsid w:val="00CF5A6E"/>
    <w:rPr>
      <w:rFonts w:ascii="Arial" w:hAnsi="Arial"/>
      <w:b/>
      <w:snapToGrid w:val="0"/>
      <w:sz w:val="28"/>
      <w:szCs w:val="24"/>
      <w:u w:val="single"/>
      <w:lang w:eastAsia="ja-JP"/>
    </w:rPr>
  </w:style>
  <w:style w:type="paragraph" w:customStyle="1" w:styleId="FactSheetText">
    <w:name w:val="Fact Sheet Text"/>
    <w:basedOn w:val="Normal"/>
    <w:link w:val="FactSheetTextChar"/>
    <w:qFormat/>
    <w:rsid w:val="0085320B"/>
    <w:pPr>
      <w:widowControl w:val="0"/>
    </w:pPr>
    <w:rPr>
      <w:rFonts w:asciiTheme="minorHAnsi" w:eastAsiaTheme="minorHAnsi" w:hAnsiTheme="minorHAnsi" w:cstheme="minorBidi"/>
      <w:sz w:val="22"/>
      <w:szCs w:val="22"/>
    </w:rPr>
  </w:style>
  <w:style w:type="character" w:customStyle="1" w:styleId="FactSheetTextChar">
    <w:name w:val="Fact Sheet Text Char"/>
    <w:basedOn w:val="DefaultParagraphFont"/>
    <w:link w:val="FactSheetText"/>
    <w:rsid w:val="0085320B"/>
    <w:rPr>
      <w:rFonts w:asciiTheme="minorHAnsi" w:eastAsiaTheme="minorHAnsi" w:hAnsiTheme="minorHAnsi" w:cstheme="minorBidi"/>
      <w:sz w:val="22"/>
      <w:szCs w:val="22"/>
    </w:rPr>
  </w:style>
  <w:style w:type="character" w:customStyle="1" w:styleId="highlight">
    <w:name w:val="highlight"/>
    <w:basedOn w:val="DefaultParagraphFont"/>
    <w:rsid w:val="004D4809"/>
  </w:style>
  <w:style w:type="paragraph" w:customStyle="1" w:styleId="FactSheetHeader">
    <w:name w:val="Fact Sheet Header"/>
    <w:basedOn w:val="Normal"/>
    <w:link w:val="FactSheetHeaderChar"/>
    <w:rsid w:val="00864CF5"/>
    <w:pPr>
      <w:widowControl w:val="0"/>
      <w:spacing w:before="200" w:after="200" w:line="276" w:lineRule="auto"/>
    </w:pPr>
    <w:rPr>
      <w:rFonts w:asciiTheme="minorHAnsi" w:eastAsiaTheme="minorEastAsia" w:hAnsiTheme="minorHAnsi" w:cstheme="minorBidi"/>
      <w:color w:val="007373"/>
      <w:sz w:val="36"/>
      <w:szCs w:val="36"/>
    </w:rPr>
  </w:style>
  <w:style w:type="character" w:customStyle="1" w:styleId="FactSheetHeaderChar">
    <w:name w:val="Fact Sheet Header Char"/>
    <w:basedOn w:val="DefaultParagraphFont"/>
    <w:link w:val="FactSheetHeader"/>
    <w:rsid w:val="00864CF5"/>
    <w:rPr>
      <w:rFonts w:asciiTheme="minorHAnsi" w:eastAsiaTheme="minorEastAsia" w:hAnsiTheme="minorHAnsi" w:cstheme="minorBidi"/>
      <w:color w:val="007373"/>
      <w:sz w:val="36"/>
      <w:szCs w:val="36"/>
    </w:rPr>
  </w:style>
  <w:style w:type="character" w:customStyle="1" w:styleId="Style12ptBoldDarkBlue">
    <w:name w:val="Style 12 pt Bold Dark Blue"/>
    <w:basedOn w:val="DefaultParagraphFont"/>
    <w:rsid w:val="003A5943"/>
    <w:rPr>
      <w:b/>
      <w:bCs/>
      <w:color w:val="4F6228" w:themeColor="accent3" w:themeShade="80"/>
      <w:sz w:val="24"/>
    </w:rPr>
  </w:style>
  <w:style w:type="paragraph" w:customStyle="1" w:styleId="Style1">
    <w:name w:val="Style1"/>
    <w:basedOn w:val="Normal"/>
    <w:link w:val="Style1Char"/>
    <w:qFormat/>
    <w:rsid w:val="006A3FDE"/>
    <w:rPr>
      <w:b/>
      <w:color w:val="000000"/>
    </w:rPr>
  </w:style>
  <w:style w:type="paragraph" w:customStyle="1" w:styleId="Heading44">
    <w:name w:val="Heading 44"/>
    <w:basedOn w:val="Style1"/>
    <w:link w:val="Heading44Char"/>
    <w:qFormat/>
    <w:rsid w:val="005B7CB8"/>
    <w:rPr>
      <w:sz w:val="22"/>
    </w:rPr>
  </w:style>
  <w:style w:type="character" w:customStyle="1" w:styleId="Style1Char">
    <w:name w:val="Style1 Char"/>
    <w:basedOn w:val="DefaultParagraphFont"/>
    <w:link w:val="Style1"/>
    <w:rsid w:val="006A3FDE"/>
    <w:rPr>
      <w:rFonts w:ascii="Arial" w:hAnsi="Arial"/>
      <w:b/>
      <w:color w:val="000000"/>
    </w:rPr>
  </w:style>
  <w:style w:type="character" w:customStyle="1" w:styleId="Heading44Char">
    <w:name w:val="Heading 44 Char"/>
    <w:basedOn w:val="Style1Char"/>
    <w:link w:val="Heading44"/>
    <w:rsid w:val="005B7CB8"/>
    <w:rPr>
      <w:rFonts w:ascii="Arial" w:hAnsi="Arial"/>
      <w:b/>
      <w:color w:val="000000"/>
      <w:sz w:val="22"/>
    </w:rPr>
  </w:style>
  <w:style w:type="character" w:customStyle="1" w:styleId="UnresolvedMention1">
    <w:name w:val="Unresolved Mention1"/>
    <w:basedOn w:val="DefaultParagraphFont"/>
    <w:uiPriority w:val="99"/>
    <w:semiHidden/>
    <w:unhideWhenUsed/>
    <w:rsid w:val="007903F0"/>
    <w:rPr>
      <w:color w:val="808080"/>
      <w:shd w:val="clear" w:color="auto" w:fill="E6E6E6"/>
    </w:rPr>
  </w:style>
  <w:style w:type="paragraph" w:styleId="IntenseQuote">
    <w:name w:val="Intense Quote"/>
    <w:basedOn w:val="Normal"/>
    <w:next w:val="Normal"/>
    <w:link w:val="IntenseQuoteChar"/>
    <w:uiPriority w:val="30"/>
    <w:qFormat/>
    <w:rsid w:val="004310D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310D9"/>
    <w:rPr>
      <w:rFonts w:ascii="Arial" w:hAnsi="Arial"/>
      <w:b/>
      <w:bCs/>
      <w:i/>
      <w:iCs/>
    </w:rPr>
  </w:style>
  <w:style w:type="character" w:styleId="SubtleEmphasis">
    <w:name w:val="Subtle Emphasis"/>
    <w:basedOn w:val="DefaultParagraphFont"/>
    <w:uiPriority w:val="19"/>
    <w:qFormat/>
    <w:rsid w:val="002E44C6"/>
    <w:rPr>
      <w:i/>
      <w:iCs/>
      <w:color w:val="808080" w:themeColor="text1" w:themeTint="7F"/>
    </w:rPr>
  </w:style>
  <w:style w:type="table" w:customStyle="1" w:styleId="TableGrid10">
    <w:name w:val="Table Grid1"/>
    <w:basedOn w:val="TableNormal"/>
    <w:next w:val="TableGrid"/>
    <w:uiPriority w:val="59"/>
    <w:rsid w:val="00CD7961"/>
    <w:rPr>
      <w:rFonts w:ascii="Arial"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92537"/>
    <w:rPr>
      <w:rFonts w:ascii="Arial"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B3CB4"/>
    <w:rPr>
      <w:rFonts w:ascii="Arial"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F0509"/>
    <w:rPr>
      <w:rFonts w:ascii="Arial"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1">
    <w:name w:val="Quote1"/>
    <w:basedOn w:val="Normal"/>
    <w:next w:val="Normal"/>
    <w:uiPriority w:val="29"/>
    <w:qFormat/>
    <w:rsid w:val="006E467C"/>
    <w:pPr>
      <w:spacing w:before="160" w:after="120" w:line="264" w:lineRule="auto"/>
      <w:ind w:left="720" w:right="720"/>
    </w:pPr>
    <w:rPr>
      <w:i/>
      <w:iCs/>
      <w:color w:val="404040"/>
      <w:szCs w:val="24"/>
    </w:rPr>
  </w:style>
  <w:style w:type="character" w:customStyle="1" w:styleId="QuoteChar">
    <w:name w:val="Quote Char"/>
    <w:basedOn w:val="DefaultParagraphFont"/>
    <w:link w:val="Quote"/>
    <w:uiPriority w:val="29"/>
    <w:rsid w:val="006E467C"/>
    <w:rPr>
      <w:i/>
      <w:iCs/>
      <w:color w:val="404040"/>
    </w:rPr>
  </w:style>
  <w:style w:type="character" w:styleId="IntenseEmphasis">
    <w:name w:val="Intense Emphasis"/>
    <w:basedOn w:val="DefaultParagraphFont"/>
    <w:uiPriority w:val="21"/>
    <w:qFormat/>
    <w:rsid w:val="006E467C"/>
    <w:rPr>
      <w:b/>
      <w:bCs/>
      <w:i/>
      <w:iCs/>
    </w:rPr>
  </w:style>
  <w:style w:type="character" w:customStyle="1" w:styleId="SubtleReference1">
    <w:name w:val="Subtle Reference1"/>
    <w:basedOn w:val="DefaultParagraphFont"/>
    <w:uiPriority w:val="31"/>
    <w:qFormat/>
    <w:rsid w:val="006E467C"/>
    <w:rPr>
      <w:smallCaps/>
      <w:color w:val="404040"/>
      <w:u w:val="single" w:color="7F7F7F"/>
    </w:rPr>
  </w:style>
  <w:style w:type="character" w:styleId="IntenseReference">
    <w:name w:val="Intense Reference"/>
    <w:basedOn w:val="DefaultParagraphFont"/>
    <w:uiPriority w:val="32"/>
    <w:qFormat/>
    <w:rsid w:val="006E467C"/>
    <w:rPr>
      <w:b/>
      <w:bCs/>
      <w:smallCaps/>
      <w:spacing w:val="5"/>
      <w:u w:val="single"/>
    </w:rPr>
  </w:style>
  <w:style w:type="character" w:styleId="BookTitle">
    <w:name w:val="Book Title"/>
    <w:basedOn w:val="DefaultParagraphFont"/>
    <w:uiPriority w:val="33"/>
    <w:qFormat/>
    <w:rsid w:val="006E467C"/>
    <w:rPr>
      <w:b/>
      <w:bCs/>
      <w:smallCaps/>
    </w:rPr>
  </w:style>
  <w:style w:type="paragraph" w:customStyle="1" w:styleId="PageIntentionallyLeftBlank">
    <w:name w:val="Page Intentionally Left Blank"/>
    <w:basedOn w:val="Normal"/>
    <w:qFormat/>
    <w:rsid w:val="006E467C"/>
    <w:pPr>
      <w:spacing w:after="120" w:line="264" w:lineRule="auto"/>
      <w:jc w:val="center"/>
    </w:pPr>
    <w:rPr>
      <w:b/>
      <w:color w:val="A6A6A6"/>
      <w:sz w:val="40"/>
      <w:szCs w:val="24"/>
    </w:rPr>
  </w:style>
  <w:style w:type="table" w:customStyle="1" w:styleId="TableGrid5">
    <w:name w:val="Table Grid5"/>
    <w:basedOn w:val="TableNormal"/>
    <w:next w:val="TableGrid"/>
    <w:uiPriority w:val="39"/>
    <w:rsid w:val="006E467C"/>
    <w:rPr>
      <w:rFonts w:ascii="Arial"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TableNormal"/>
    <w:next w:val="GridTable2"/>
    <w:uiPriority w:val="47"/>
    <w:rsid w:val="006E467C"/>
    <w:rPr>
      <w:rFonts w:ascii="Arial" w:hAnsi="Arial"/>
      <w:szCs w:val="24"/>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Columns31">
    <w:name w:val="Table Columns 31"/>
    <w:basedOn w:val="TableNormal"/>
    <w:next w:val="TableColumns3"/>
    <w:rsid w:val="006E467C"/>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6E467C"/>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Quote">
    <w:name w:val="Quote"/>
    <w:basedOn w:val="Normal"/>
    <w:next w:val="Normal"/>
    <w:link w:val="QuoteChar"/>
    <w:uiPriority w:val="29"/>
    <w:qFormat/>
    <w:rsid w:val="006E467C"/>
    <w:pPr>
      <w:spacing w:before="200" w:after="160"/>
      <w:ind w:left="864" w:right="864"/>
      <w:jc w:val="center"/>
    </w:pPr>
    <w:rPr>
      <w:rFonts w:ascii="Times New Roman" w:hAnsi="Times New Roman"/>
      <w:i/>
      <w:iCs/>
      <w:color w:val="404040"/>
    </w:rPr>
  </w:style>
  <w:style w:type="character" w:customStyle="1" w:styleId="QuoteChar1">
    <w:name w:val="Quote Char1"/>
    <w:basedOn w:val="DefaultParagraphFont"/>
    <w:uiPriority w:val="29"/>
    <w:rsid w:val="006E467C"/>
    <w:rPr>
      <w:rFonts w:ascii="Arial" w:hAnsi="Arial"/>
      <w:i/>
      <w:iCs/>
      <w:color w:val="404040" w:themeColor="text1" w:themeTint="BF"/>
    </w:rPr>
  </w:style>
  <w:style w:type="character" w:styleId="SubtleReference">
    <w:name w:val="Subtle Reference"/>
    <w:basedOn w:val="DefaultParagraphFont"/>
    <w:uiPriority w:val="31"/>
    <w:qFormat/>
    <w:rsid w:val="006E467C"/>
    <w:rPr>
      <w:smallCaps/>
      <w:color w:val="5A5A5A" w:themeColor="text1" w:themeTint="A5"/>
    </w:rPr>
  </w:style>
  <w:style w:type="table" w:styleId="GridTable2">
    <w:name w:val="Grid Table 2"/>
    <w:basedOn w:val="TableNormal"/>
    <w:uiPriority w:val="47"/>
    <w:rsid w:val="006E467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6">
    <w:name w:val="Table Grid6"/>
    <w:basedOn w:val="TableNormal"/>
    <w:next w:val="TableGrid"/>
    <w:uiPriority w:val="39"/>
    <w:rsid w:val="0085786F"/>
    <w:rPr>
      <w:rFonts w:ascii="Arial"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110E"/>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1">
    <w:name w:val="Grid Table 211"/>
    <w:basedOn w:val="TableNormal"/>
    <w:uiPriority w:val="47"/>
    <w:rsid w:val="0085110E"/>
    <w:rPr>
      <w:rFonts w:ascii="Arial" w:eastAsia="Yu Mincho" w:hAnsi="Arial"/>
      <w:szCs w:val="24"/>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1111112">
    <w:name w:val="1 / 1.1 / 1.1.12"/>
    <w:basedOn w:val="NoList"/>
    <w:next w:val="111111"/>
    <w:unhideWhenUsed/>
    <w:rsid w:val="0085110E"/>
    <w:pPr>
      <w:numPr>
        <w:numId w:val="15"/>
      </w:numPr>
    </w:pPr>
  </w:style>
  <w:style w:type="table" w:customStyle="1" w:styleId="TableColumns32">
    <w:name w:val="Table Columns 32"/>
    <w:basedOn w:val="TableNormal"/>
    <w:next w:val="TableColumns3"/>
    <w:rsid w:val="0085110E"/>
    <w:rPr>
      <w:rFonts w:eastAsia="MS Mincho"/>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85110E"/>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
    <w:name w:val="Table Grid8"/>
    <w:basedOn w:val="TableNormal"/>
    <w:next w:val="TableGrid"/>
    <w:uiPriority w:val="39"/>
    <w:rsid w:val="0012137D"/>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B710B"/>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A0D20"/>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
    <w:basedOn w:val="TableNormal"/>
    <w:next w:val="TableGrid"/>
    <w:uiPriority w:val="39"/>
    <w:rsid w:val="006A0D20"/>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612A0A"/>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73B66"/>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73B66"/>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73B66"/>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73B66"/>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073B66"/>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073B66"/>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73B66"/>
    <w:rPr>
      <w:rFonts w:ascii="Arial" w:eastAsia="Yu Mincho" w:hAnsi="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basedOn w:val="DefaultParagraphFont"/>
    <w:uiPriority w:val="99"/>
    <w:semiHidden/>
    <w:unhideWhenUsed/>
    <w:rsid w:val="00222413"/>
    <w:rPr>
      <w:color w:val="808080"/>
      <w:shd w:val="clear" w:color="auto" w:fill="E6E6E6"/>
    </w:rPr>
  </w:style>
  <w:style w:type="paragraph" w:styleId="Closing">
    <w:name w:val="Closing"/>
    <w:basedOn w:val="Normal"/>
    <w:link w:val="ClosingChar"/>
    <w:rsid w:val="00222413"/>
    <w:pPr>
      <w:ind w:left="4320"/>
    </w:pPr>
    <w:rPr>
      <w:rFonts w:eastAsia="Batang"/>
      <w:lang w:val="x-none" w:eastAsia="x-none"/>
    </w:rPr>
  </w:style>
  <w:style w:type="character" w:customStyle="1" w:styleId="ClosingChar">
    <w:name w:val="Closing Char"/>
    <w:basedOn w:val="DefaultParagraphFont"/>
    <w:link w:val="Closing"/>
    <w:rsid w:val="00222413"/>
    <w:rPr>
      <w:rFonts w:ascii="Arial" w:eastAsia="Batang" w:hAnsi="Arial"/>
      <w:lang w:val="x-none" w:eastAsia="x-none"/>
    </w:rPr>
  </w:style>
  <w:style w:type="paragraph" w:customStyle="1" w:styleId="aBoxTxt">
    <w:name w:val="a_BoxTxt"/>
    <w:basedOn w:val="Normal"/>
    <w:qFormat/>
    <w:rsid w:val="00222413"/>
    <w:pPr>
      <w:framePr w:hSpace="180" w:wrap="around" w:vAnchor="text" w:hAnchor="text" w:xAlign="right" w:y="1"/>
      <w:spacing w:before="40" w:after="40" w:line="280" w:lineRule="atLeast"/>
      <w:suppressOverlap/>
    </w:pPr>
    <w:rPr>
      <w:rFonts w:ascii="Times New Roman" w:eastAsia="Batang" w:hAnsi="Times New Roman"/>
      <w:sz w:val="22"/>
      <w:szCs w:val="22"/>
    </w:rPr>
  </w:style>
  <w:style w:type="table" w:customStyle="1" w:styleId="LightList-Accent31">
    <w:name w:val="Light List - Accent 31"/>
    <w:basedOn w:val="TableNormal"/>
    <w:uiPriority w:val="61"/>
    <w:rsid w:val="00222413"/>
    <w:rPr>
      <w:rFonts w:asciiTheme="minorHAnsi" w:hAnsiTheme="minorHAnsi" w:cstheme="minorBidi"/>
      <w:sz w:val="22"/>
      <w:szCs w:val="22"/>
    </w:rPr>
    <w:tblPr>
      <w:tblStyleRowBandSize w:val="1"/>
      <w:tblStyleColBandSize w:val="1"/>
      <w:tblInd w:w="0" w:type="nil"/>
    </w:tblPr>
    <w:tblStylePr w:type="firstRow">
      <w:pPr>
        <w:spacing w:beforeLines="0" w:before="0" w:beforeAutospacing="0" w:afterLines="0" w:after="0" w:afterAutospacing="0" w:line="240" w:lineRule="auto"/>
      </w:pPr>
      <w:rPr>
        <w:b/>
        <w:bCs/>
        <w:color w:val="FFFFFF"/>
      </w:rPr>
      <w:tblPr/>
      <w:tcPr>
        <w:shd w:val="clear" w:color="auto" w:fill="012F6B"/>
      </w:tcPr>
    </w:tblStylePr>
    <w:tblStylePr w:type="lastRow">
      <w:pPr>
        <w:spacing w:beforeLines="0" w:before="0" w:beforeAutospacing="0" w:afterLines="0" w:after="0" w:afterAutospacing="0" w:line="240" w:lineRule="auto"/>
      </w:pPr>
      <w:rPr>
        <w:b/>
        <w:bCs/>
      </w:rPr>
      <w:tblPr/>
      <w:tcPr>
        <w:tcBorders>
          <w:top w:val="double" w:sz="6" w:space="0" w:color="012F6B"/>
          <w:left w:val="single" w:sz="8" w:space="0" w:color="012F6B"/>
          <w:bottom w:val="single" w:sz="8" w:space="0" w:color="012F6B"/>
          <w:right w:val="single" w:sz="8" w:space="0" w:color="012F6B"/>
        </w:tcBorders>
      </w:tcPr>
    </w:tblStylePr>
    <w:tblStylePr w:type="firstCol">
      <w:rPr>
        <w:b/>
        <w:bCs/>
      </w:rPr>
    </w:tblStylePr>
    <w:tblStylePr w:type="lastCol">
      <w:rPr>
        <w:b/>
        <w:bCs/>
      </w:rPr>
    </w:tblStylePr>
    <w:tblStylePr w:type="band1Vert">
      <w:tblPr/>
      <w:tcPr>
        <w:tcBorders>
          <w:top w:val="single" w:sz="8" w:space="0" w:color="012F6B"/>
          <w:left w:val="single" w:sz="8" w:space="0" w:color="012F6B"/>
          <w:bottom w:val="single" w:sz="8" w:space="0" w:color="012F6B"/>
          <w:right w:val="single" w:sz="8" w:space="0" w:color="012F6B"/>
        </w:tcBorders>
      </w:tcPr>
    </w:tblStylePr>
    <w:tblStylePr w:type="band1Horz">
      <w:tblPr/>
      <w:tcPr>
        <w:shd w:val="clear" w:color="auto" w:fill="F2F2F2"/>
      </w:tcPr>
    </w:tblStylePr>
  </w:style>
  <w:style w:type="character" w:styleId="UnresolvedMention">
    <w:name w:val="Unresolved Mention"/>
    <w:basedOn w:val="DefaultParagraphFont"/>
    <w:uiPriority w:val="99"/>
    <w:semiHidden/>
    <w:unhideWhenUsed/>
    <w:rsid w:val="009C4EE9"/>
    <w:rPr>
      <w:color w:val="605E5C"/>
      <w:shd w:val="clear" w:color="auto" w:fill="E1DFDD"/>
    </w:rPr>
  </w:style>
  <w:style w:type="table" w:customStyle="1" w:styleId="GridTable4-Accent21">
    <w:name w:val="Grid Table 4 - Accent 21"/>
    <w:basedOn w:val="TableNormal"/>
    <w:next w:val="GridTable4-Accent2"/>
    <w:uiPriority w:val="49"/>
    <w:rsid w:val="002911AD"/>
    <w:pPr>
      <w:spacing w:before="100"/>
    </w:pPr>
    <w:rPr>
      <w:rFonts w:ascii="Calibri" w:eastAsia="Calibri" w:hAnsi="Calibri"/>
    </w:rPr>
    <w:tblPr>
      <w:tblStyleRowBandSize w:val="1"/>
      <w:tblStyleColBandSize w:val="1"/>
      <w:tblBorders>
        <w:top w:val="single" w:sz="4" w:space="0" w:color="B8B8BA"/>
        <w:left w:val="single" w:sz="4" w:space="0" w:color="B8B8BA"/>
        <w:bottom w:val="single" w:sz="4" w:space="0" w:color="B8B8BA"/>
        <w:right w:val="single" w:sz="4" w:space="0" w:color="B8B8BA"/>
        <w:insideH w:val="single" w:sz="4" w:space="0" w:color="B8B8BA"/>
        <w:insideV w:val="single" w:sz="4" w:space="0" w:color="B8B8BA"/>
      </w:tblBorders>
    </w:tblPr>
    <w:tblStylePr w:type="firstRow">
      <w:rPr>
        <w:b/>
        <w:bCs/>
        <w:color w:val="FFFFFF"/>
      </w:rPr>
      <w:tblPr/>
      <w:tcPr>
        <w:tcBorders>
          <w:top w:val="single" w:sz="4" w:space="0" w:color="8A8A8D"/>
          <w:left w:val="single" w:sz="4" w:space="0" w:color="8A8A8D"/>
          <w:bottom w:val="single" w:sz="4" w:space="0" w:color="8A8A8D"/>
          <w:right w:val="single" w:sz="4" w:space="0" w:color="8A8A8D"/>
          <w:insideH w:val="nil"/>
          <w:insideV w:val="nil"/>
        </w:tcBorders>
        <w:shd w:val="clear" w:color="auto" w:fill="8A8A8D"/>
      </w:tcPr>
    </w:tblStylePr>
    <w:tblStylePr w:type="lastRow">
      <w:rPr>
        <w:b/>
        <w:bCs/>
      </w:rPr>
      <w:tblPr/>
      <w:tcPr>
        <w:tcBorders>
          <w:top w:val="double" w:sz="4" w:space="0" w:color="8A8A8D"/>
        </w:tcBorders>
      </w:tcPr>
    </w:tblStylePr>
    <w:tblStylePr w:type="firstCol">
      <w:rPr>
        <w:b/>
        <w:bCs/>
      </w:rPr>
    </w:tblStylePr>
    <w:tblStylePr w:type="lastCol">
      <w:rPr>
        <w:b/>
        <w:bCs/>
      </w:rPr>
    </w:tblStylePr>
    <w:tblStylePr w:type="band1Vert">
      <w:tblPr/>
      <w:tcPr>
        <w:shd w:val="clear" w:color="auto" w:fill="E7E7E8"/>
      </w:tcPr>
    </w:tblStylePr>
    <w:tblStylePr w:type="band1Horz">
      <w:tblPr/>
      <w:tcPr>
        <w:shd w:val="clear" w:color="auto" w:fill="E7E7E8"/>
      </w:tcPr>
    </w:tblStylePr>
  </w:style>
  <w:style w:type="table" w:styleId="GridTable4-Accent2">
    <w:name w:val="Grid Table 4 Accent 2"/>
    <w:basedOn w:val="TableNormal"/>
    <w:uiPriority w:val="49"/>
    <w:rsid w:val="002911A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22">
    <w:name w:val="Grid Table 4 - Accent 22"/>
    <w:basedOn w:val="TableNormal"/>
    <w:next w:val="GridTable4-Accent2"/>
    <w:uiPriority w:val="49"/>
    <w:rsid w:val="002911AD"/>
    <w:pPr>
      <w:spacing w:before="100"/>
    </w:pPr>
    <w:rPr>
      <w:rFonts w:ascii="Calibri" w:eastAsia="Calibri" w:hAnsi="Calibri"/>
    </w:rPr>
    <w:tblPr>
      <w:tblStyleRowBandSize w:val="1"/>
      <w:tblStyleColBandSize w:val="1"/>
      <w:tblBorders>
        <w:top w:val="single" w:sz="4" w:space="0" w:color="B8B8BA"/>
        <w:left w:val="single" w:sz="4" w:space="0" w:color="B8B8BA"/>
        <w:bottom w:val="single" w:sz="4" w:space="0" w:color="B8B8BA"/>
        <w:right w:val="single" w:sz="4" w:space="0" w:color="B8B8BA"/>
        <w:insideH w:val="single" w:sz="4" w:space="0" w:color="B8B8BA"/>
        <w:insideV w:val="single" w:sz="4" w:space="0" w:color="B8B8BA"/>
      </w:tblBorders>
    </w:tblPr>
    <w:tblStylePr w:type="firstRow">
      <w:rPr>
        <w:b/>
        <w:bCs/>
        <w:color w:val="FFFFFF"/>
      </w:rPr>
      <w:tblPr/>
      <w:tcPr>
        <w:tcBorders>
          <w:top w:val="single" w:sz="4" w:space="0" w:color="8A8A8D"/>
          <w:left w:val="single" w:sz="4" w:space="0" w:color="8A8A8D"/>
          <w:bottom w:val="single" w:sz="4" w:space="0" w:color="8A8A8D"/>
          <w:right w:val="single" w:sz="4" w:space="0" w:color="8A8A8D"/>
          <w:insideH w:val="nil"/>
          <w:insideV w:val="nil"/>
        </w:tcBorders>
        <w:shd w:val="clear" w:color="auto" w:fill="8A8A8D"/>
      </w:tcPr>
    </w:tblStylePr>
    <w:tblStylePr w:type="lastRow">
      <w:rPr>
        <w:b/>
        <w:bCs/>
      </w:rPr>
      <w:tblPr/>
      <w:tcPr>
        <w:tcBorders>
          <w:top w:val="double" w:sz="4" w:space="0" w:color="8A8A8D"/>
        </w:tcBorders>
      </w:tcPr>
    </w:tblStylePr>
    <w:tblStylePr w:type="firstCol">
      <w:rPr>
        <w:b/>
        <w:bCs/>
      </w:rPr>
    </w:tblStylePr>
    <w:tblStylePr w:type="lastCol">
      <w:rPr>
        <w:b/>
        <w:bCs/>
      </w:rPr>
    </w:tblStylePr>
    <w:tblStylePr w:type="band1Vert">
      <w:tblPr/>
      <w:tcPr>
        <w:shd w:val="clear" w:color="auto" w:fill="E7E7E8"/>
      </w:tcPr>
    </w:tblStylePr>
    <w:tblStylePr w:type="band1Horz">
      <w:tblPr/>
      <w:tcPr>
        <w:shd w:val="clear" w:color="auto" w:fill="E7E7E8"/>
      </w:tcPr>
    </w:tblStylePr>
  </w:style>
  <w:style w:type="table" w:styleId="ListTable3-Accent1">
    <w:name w:val="List Table 3 Accent 1"/>
    <w:basedOn w:val="TableNormal"/>
    <w:uiPriority w:val="48"/>
    <w:rsid w:val="00B37B7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scayt-misspell-word">
    <w:name w:val="scayt-misspell-word"/>
    <w:basedOn w:val="DefaultParagraphFont"/>
    <w:rsid w:val="00131813"/>
  </w:style>
  <w:style w:type="character" w:customStyle="1" w:styleId="cf01">
    <w:name w:val="cf01"/>
    <w:basedOn w:val="DefaultParagraphFont"/>
    <w:rsid w:val="001D7842"/>
    <w:rPr>
      <w:rFonts w:ascii="Segoe UI" w:hAnsi="Segoe UI" w:cs="Segoe UI" w:hint="default"/>
      <w:sz w:val="18"/>
      <w:szCs w:val="18"/>
    </w:rPr>
  </w:style>
  <w:style w:type="paragraph" w:styleId="Bibliography">
    <w:name w:val="Bibliography"/>
    <w:basedOn w:val="Normal"/>
    <w:next w:val="Normal"/>
    <w:uiPriority w:val="37"/>
    <w:semiHidden/>
    <w:unhideWhenUsed/>
    <w:rsid w:val="000F0582"/>
  </w:style>
  <w:style w:type="paragraph" w:styleId="BlockText">
    <w:name w:val="Block Text"/>
    <w:basedOn w:val="Normal"/>
    <w:uiPriority w:val="99"/>
    <w:semiHidden/>
    <w:unhideWhenUsed/>
    <w:rsid w:val="000F058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2">
    <w:name w:val="Body Text First Indent 2"/>
    <w:basedOn w:val="BodyTextIndent"/>
    <w:link w:val="BodyTextFirstIndent2Char"/>
    <w:uiPriority w:val="99"/>
    <w:semiHidden/>
    <w:unhideWhenUsed/>
    <w:rsid w:val="000F0582"/>
    <w:pPr>
      <w:ind w:left="360" w:firstLine="360"/>
    </w:pPr>
  </w:style>
  <w:style w:type="character" w:customStyle="1" w:styleId="BodyTextFirstIndent2Char">
    <w:name w:val="Body Text First Indent 2 Char"/>
    <w:basedOn w:val="BodyTextIndentChar"/>
    <w:link w:val="BodyTextFirstIndent2"/>
    <w:uiPriority w:val="99"/>
    <w:semiHidden/>
    <w:rsid w:val="000F0582"/>
    <w:rPr>
      <w:rFonts w:ascii="Arial" w:hAnsi="Arial"/>
      <w:sz w:val="20"/>
      <w:szCs w:val="20"/>
    </w:rPr>
  </w:style>
  <w:style w:type="paragraph" w:styleId="BodyTextIndent3">
    <w:name w:val="Body Text Indent 3"/>
    <w:basedOn w:val="Normal"/>
    <w:link w:val="BodyTextIndent3Char"/>
    <w:uiPriority w:val="99"/>
    <w:semiHidden/>
    <w:unhideWhenUsed/>
    <w:rsid w:val="000F05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F0582"/>
    <w:rPr>
      <w:rFonts w:ascii="Arial" w:hAnsi="Arial"/>
      <w:sz w:val="16"/>
      <w:szCs w:val="16"/>
    </w:rPr>
  </w:style>
  <w:style w:type="paragraph" w:styleId="E-mailSignature">
    <w:name w:val="E-mail Signature"/>
    <w:basedOn w:val="Normal"/>
    <w:link w:val="E-mailSignatureChar"/>
    <w:uiPriority w:val="99"/>
    <w:semiHidden/>
    <w:unhideWhenUsed/>
    <w:rsid w:val="000F0582"/>
  </w:style>
  <w:style w:type="character" w:customStyle="1" w:styleId="E-mailSignatureChar">
    <w:name w:val="E-mail Signature Char"/>
    <w:basedOn w:val="DefaultParagraphFont"/>
    <w:link w:val="E-mailSignature"/>
    <w:uiPriority w:val="99"/>
    <w:semiHidden/>
    <w:rsid w:val="000F0582"/>
    <w:rPr>
      <w:rFonts w:ascii="Arial" w:hAnsi="Arial"/>
    </w:rPr>
  </w:style>
  <w:style w:type="paragraph" w:styleId="EnvelopeAddress">
    <w:name w:val="envelope address"/>
    <w:basedOn w:val="Normal"/>
    <w:uiPriority w:val="99"/>
    <w:semiHidden/>
    <w:unhideWhenUsed/>
    <w:rsid w:val="000F058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F0582"/>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0F0582"/>
    <w:rPr>
      <w:i/>
      <w:iCs/>
    </w:rPr>
  </w:style>
  <w:style w:type="character" w:customStyle="1" w:styleId="HTMLAddressChar">
    <w:name w:val="HTML Address Char"/>
    <w:basedOn w:val="DefaultParagraphFont"/>
    <w:link w:val="HTMLAddress"/>
    <w:uiPriority w:val="99"/>
    <w:semiHidden/>
    <w:rsid w:val="000F0582"/>
    <w:rPr>
      <w:rFonts w:ascii="Arial" w:hAnsi="Arial"/>
      <w:i/>
      <w:iCs/>
    </w:rPr>
  </w:style>
  <w:style w:type="paragraph" w:styleId="HTMLPreformatted">
    <w:name w:val="HTML Preformatted"/>
    <w:basedOn w:val="Normal"/>
    <w:link w:val="HTMLPreformattedChar"/>
    <w:uiPriority w:val="99"/>
    <w:semiHidden/>
    <w:unhideWhenUsed/>
    <w:rsid w:val="000F0582"/>
    <w:rPr>
      <w:rFonts w:ascii="Consolas" w:hAnsi="Consolas"/>
    </w:rPr>
  </w:style>
  <w:style w:type="character" w:customStyle="1" w:styleId="HTMLPreformattedChar">
    <w:name w:val="HTML Preformatted Char"/>
    <w:basedOn w:val="DefaultParagraphFont"/>
    <w:link w:val="HTMLPreformatted"/>
    <w:uiPriority w:val="99"/>
    <w:semiHidden/>
    <w:rsid w:val="000F0582"/>
    <w:rPr>
      <w:rFonts w:ascii="Consolas" w:hAnsi="Consolas"/>
    </w:rPr>
  </w:style>
  <w:style w:type="paragraph" w:styleId="Index1">
    <w:name w:val="index 1"/>
    <w:basedOn w:val="Normal"/>
    <w:next w:val="Normal"/>
    <w:autoRedefine/>
    <w:uiPriority w:val="99"/>
    <w:semiHidden/>
    <w:unhideWhenUsed/>
    <w:rsid w:val="000F0582"/>
    <w:pPr>
      <w:ind w:left="200" w:hanging="200"/>
    </w:pPr>
  </w:style>
  <w:style w:type="paragraph" w:styleId="Index2">
    <w:name w:val="index 2"/>
    <w:basedOn w:val="Normal"/>
    <w:next w:val="Normal"/>
    <w:autoRedefine/>
    <w:uiPriority w:val="99"/>
    <w:semiHidden/>
    <w:unhideWhenUsed/>
    <w:rsid w:val="000F0582"/>
    <w:pPr>
      <w:ind w:left="400" w:hanging="200"/>
    </w:pPr>
  </w:style>
  <w:style w:type="paragraph" w:styleId="Index3">
    <w:name w:val="index 3"/>
    <w:basedOn w:val="Normal"/>
    <w:next w:val="Normal"/>
    <w:autoRedefine/>
    <w:uiPriority w:val="99"/>
    <w:semiHidden/>
    <w:unhideWhenUsed/>
    <w:rsid w:val="000F0582"/>
    <w:pPr>
      <w:ind w:left="600" w:hanging="200"/>
    </w:pPr>
  </w:style>
  <w:style w:type="paragraph" w:styleId="Index4">
    <w:name w:val="index 4"/>
    <w:basedOn w:val="Normal"/>
    <w:next w:val="Normal"/>
    <w:autoRedefine/>
    <w:uiPriority w:val="99"/>
    <w:semiHidden/>
    <w:unhideWhenUsed/>
    <w:rsid w:val="000F0582"/>
    <w:pPr>
      <w:ind w:left="800" w:hanging="200"/>
    </w:pPr>
  </w:style>
  <w:style w:type="paragraph" w:styleId="Index5">
    <w:name w:val="index 5"/>
    <w:basedOn w:val="Normal"/>
    <w:next w:val="Normal"/>
    <w:autoRedefine/>
    <w:uiPriority w:val="99"/>
    <w:semiHidden/>
    <w:unhideWhenUsed/>
    <w:rsid w:val="000F0582"/>
    <w:pPr>
      <w:ind w:left="1000" w:hanging="200"/>
    </w:pPr>
  </w:style>
  <w:style w:type="paragraph" w:styleId="Index6">
    <w:name w:val="index 6"/>
    <w:basedOn w:val="Normal"/>
    <w:next w:val="Normal"/>
    <w:autoRedefine/>
    <w:uiPriority w:val="99"/>
    <w:semiHidden/>
    <w:unhideWhenUsed/>
    <w:rsid w:val="000F0582"/>
    <w:pPr>
      <w:ind w:left="1200" w:hanging="200"/>
    </w:pPr>
  </w:style>
  <w:style w:type="paragraph" w:styleId="Index7">
    <w:name w:val="index 7"/>
    <w:basedOn w:val="Normal"/>
    <w:next w:val="Normal"/>
    <w:autoRedefine/>
    <w:uiPriority w:val="99"/>
    <w:semiHidden/>
    <w:unhideWhenUsed/>
    <w:rsid w:val="000F0582"/>
    <w:pPr>
      <w:ind w:left="1400" w:hanging="200"/>
    </w:pPr>
  </w:style>
  <w:style w:type="paragraph" w:styleId="Index8">
    <w:name w:val="index 8"/>
    <w:basedOn w:val="Normal"/>
    <w:next w:val="Normal"/>
    <w:autoRedefine/>
    <w:uiPriority w:val="99"/>
    <w:semiHidden/>
    <w:unhideWhenUsed/>
    <w:rsid w:val="000F0582"/>
    <w:pPr>
      <w:ind w:left="1600" w:hanging="200"/>
    </w:pPr>
  </w:style>
  <w:style w:type="paragraph" w:styleId="Index9">
    <w:name w:val="index 9"/>
    <w:basedOn w:val="Normal"/>
    <w:next w:val="Normal"/>
    <w:autoRedefine/>
    <w:uiPriority w:val="99"/>
    <w:semiHidden/>
    <w:unhideWhenUsed/>
    <w:rsid w:val="000F0582"/>
    <w:pPr>
      <w:ind w:left="1800" w:hanging="200"/>
    </w:pPr>
  </w:style>
  <w:style w:type="paragraph" w:styleId="IndexHeading">
    <w:name w:val="index heading"/>
    <w:basedOn w:val="Normal"/>
    <w:next w:val="Index1"/>
    <w:uiPriority w:val="99"/>
    <w:semiHidden/>
    <w:unhideWhenUsed/>
    <w:rsid w:val="000F0582"/>
    <w:rPr>
      <w:rFonts w:asciiTheme="majorHAnsi" w:eastAsiaTheme="majorEastAsia" w:hAnsiTheme="majorHAnsi" w:cstheme="majorBidi"/>
      <w:b/>
      <w:bCs/>
    </w:rPr>
  </w:style>
  <w:style w:type="paragraph" w:styleId="List">
    <w:name w:val="List"/>
    <w:basedOn w:val="Normal"/>
    <w:uiPriority w:val="99"/>
    <w:semiHidden/>
    <w:unhideWhenUsed/>
    <w:rsid w:val="000F0582"/>
    <w:pPr>
      <w:ind w:left="360" w:hanging="360"/>
      <w:contextualSpacing/>
    </w:pPr>
  </w:style>
  <w:style w:type="paragraph" w:styleId="List2">
    <w:name w:val="List 2"/>
    <w:basedOn w:val="Normal"/>
    <w:uiPriority w:val="99"/>
    <w:semiHidden/>
    <w:unhideWhenUsed/>
    <w:rsid w:val="000F0582"/>
    <w:pPr>
      <w:ind w:left="720" w:hanging="360"/>
      <w:contextualSpacing/>
    </w:pPr>
  </w:style>
  <w:style w:type="paragraph" w:styleId="List3">
    <w:name w:val="List 3"/>
    <w:basedOn w:val="Normal"/>
    <w:uiPriority w:val="99"/>
    <w:semiHidden/>
    <w:unhideWhenUsed/>
    <w:rsid w:val="000F0582"/>
    <w:pPr>
      <w:ind w:left="1080" w:hanging="360"/>
      <w:contextualSpacing/>
    </w:pPr>
  </w:style>
  <w:style w:type="paragraph" w:styleId="List4">
    <w:name w:val="List 4"/>
    <w:basedOn w:val="Normal"/>
    <w:uiPriority w:val="99"/>
    <w:semiHidden/>
    <w:unhideWhenUsed/>
    <w:rsid w:val="000F0582"/>
    <w:pPr>
      <w:ind w:left="1440" w:hanging="360"/>
      <w:contextualSpacing/>
    </w:pPr>
  </w:style>
  <w:style w:type="paragraph" w:styleId="List5">
    <w:name w:val="List 5"/>
    <w:basedOn w:val="Normal"/>
    <w:uiPriority w:val="99"/>
    <w:semiHidden/>
    <w:unhideWhenUsed/>
    <w:rsid w:val="000F0582"/>
    <w:pPr>
      <w:ind w:left="1800" w:hanging="360"/>
      <w:contextualSpacing/>
    </w:pPr>
  </w:style>
  <w:style w:type="paragraph" w:styleId="ListBullet">
    <w:name w:val="List Bullet"/>
    <w:basedOn w:val="Normal"/>
    <w:uiPriority w:val="99"/>
    <w:semiHidden/>
    <w:unhideWhenUsed/>
    <w:rsid w:val="000F0582"/>
    <w:pPr>
      <w:numPr>
        <w:numId w:val="213"/>
      </w:numPr>
      <w:contextualSpacing/>
    </w:pPr>
  </w:style>
  <w:style w:type="paragraph" w:styleId="ListBullet2">
    <w:name w:val="List Bullet 2"/>
    <w:basedOn w:val="Normal"/>
    <w:uiPriority w:val="99"/>
    <w:semiHidden/>
    <w:unhideWhenUsed/>
    <w:rsid w:val="000F0582"/>
    <w:pPr>
      <w:numPr>
        <w:numId w:val="214"/>
      </w:numPr>
      <w:contextualSpacing/>
    </w:pPr>
  </w:style>
  <w:style w:type="paragraph" w:styleId="ListBullet3">
    <w:name w:val="List Bullet 3"/>
    <w:basedOn w:val="Normal"/>
    <w:uiPriority w:val="99"/>
    <w:semiHidden/>
    <w:unhideWhenUsed/>
    <w:rsid w:val="000F0582"/>
    <w:pPr>
      <w:numPr>
        <w:numId w:val="215"/>
      </w:numPr>
      <w:contextualSpacing/>
    </w:pPr>
  </w:style>
  <w:style w:type="paragraph" w:styleId="ListBullet4">
    <w:name w:val="List Bullet 4"/>
    <w:basedOn w:val="Normal"/>
    <w:uiPriority w:val="99"/>
    <w:semiHidden/>
    <w:unhideWhenUsed/>
    <w:rsid w:val="000F0582"/>
    <w:pPr>
      <w:numPr>
        <w:numId w:val="216"/>
      </w:numPr>
      <w:contextualSpacing/>
    </w:pPr>
  </w:style>
  <w:style w:type="paragraph" w:styleId="ListBullet5">
    <w:name w:val="List Bullet 5"/>
    <w:basedOn w:val="Normal"/>
    <w:uiPriority w:val="99"/>
    <w:semiHidden/>
    <w:unhideWhenUsed/>
    <w:rsid w:val="000F0582"/>
    <w:pPr>
      <w:numPr>
        <w:numId w:val="217"/>
      </w:numPr>
      <w:contextualSpacing/>
    </w:pPr>
  </w:style>
  <w:style w:type="paragraph" w:styleId="ListContinue">
    <w:name w:val="List Continue"/>
    <w:basedOn w:val="Normal"/>
    <w:uiPriority w:val="99"/>
    <w:semiHidden/>
    <w:unhideWhenUsed/>
    <w:rsid w:val="000F0582"/>
    <w:pPr>
      <w:spacing w:after="120"/>
      <w:ind w:left="360"/>
      <w:contextualSpacing/>
    </w:pPr>
  </w:style>
  <w:style w:type="paragraph" w:styleId="ListContinue2">
    <w:name w:val="List Continue 2"/>
    <w:basedOn w:val="Normal"/>
    <w:uiPriority w:val="99"/>
    <w:semiHidden/>
    <w:unhideWhenUsed/>
    <w:rsid w:val="000F0582"/>
    <w:pPr>
      <w:spacing w:after="120"/>
      <w:ind w:left="720"/>
      <w:contextualSpacing/>
    </w:pPr>
  </w:style>
  <w:style w:type="paragraph" w:styleId="ListContinue3">
    <w:name w:val="List Continue 3"/>
    <w:basedOn w:val="Normal"/>
    <w:uiPriority w:val="99"/>
    <w:semiHidden/>
    <w:unhideWhenUsed/>
    <w:rsid w:val="000F0582"/>
    <w:pPr>
      <w:spacing w:after="120"/>
      <w:ind w:left="1080"/>
      <w:contextualSpacing/>
    </w:pPr>
  </w:style>
  <w:style w:type="paragraph" w:styleId="ListContinue4">
    <w:name w:val="List Continue 4"/>
    <w:basedOn w:val="Normal"/>
    <w:uiPriority w:val="99"/>
    <w:semiHidden/>
    <w:unhideWhenUsed/>
    <w:rsid w:val="000F0582"/>
    <w:pPr>
      <w:spacing w:after="120"/>
      <w:ind w:left="1440"/>
      <w:contextualSpacing/>
    </w:pPr>
  </w:style>
  <w:style w:type="paragraph" w:styleId="ListContinue5">
    <w:name w:val="List Continue 5"/>
    <w:basedOn w:val="Normal"/>
    <w:uiPriority w:val="99"/>
    <w:semiHidden/>
    <w:unhideWhenUsed/>
    <w:rsid w:val="000F0582"/>
    <w:pPr>
      <w:spacing w:after="120"/>
      <w:ind w:left="1800"/>
      <w:contextualSpacing/>
    </w:pPr>
  </w:style>
  <w:style w:type="paragraph" w:styleId="ListNumber">
    <w:name w:val="List Number"/>
    <w:basedOn w:val="Normal"/>
    <w:uiPriority w:val="99"/>
    <w:semiHidden/>
    <w:unhideWhenUsed/>
    <w:rsid w:val="000F0582"/>
    <w:pPr>
      <w:numPr>
        <w:numId w:val="218"/>
      </w:numPr>
      <w:contextualSpacing/>
    </w:pPr>
  </w:style>
  <w:style w:type="paragraph" w:styleId="ListNumber2">
    <w:name w:val="List Number 2"/>
    <w:basedOn w:val="Normal"/>
    <w:uiPriority w:val="99"/>
    <w:semiHidden/>
    <w:unhideWhenUsed/>
    <w:rsid w:val="000F0582"/>
    <w:pPr>
      <w:numPr>
        <w:numId w:val="219"/>
      </w:numPr>
      <w:contextualSpacing/>
    </w:pPr>
  </w:style>
  <w:style w:type="paragraph" w:styleId="ListNumber3">
    <w:name w:val="List Number 3"/>
    <w:basedOn w:val="Normal"/>
    <w:uiPriority w:val="99"/>
    <w:semiHidden/>
    <w:unhideWhenUsed/>
    <w:rsid w:val="000F0582"/>
    <w:pPr>
      <w:numPr>
        <w:numId w:val="220"/>
      </w:numPr>
      <w:contextualSpacing/>
    </w:pPr>
  </w:style>
  <w:style w:type="paragraph" w:styleId="ListNumber4">
    <w:name w:val="List Number 4"/>
    <w:basedOn w:val="Normal"/>
    <w:uiPriority w:val="99"/>
    <w:semiHidden/>
    <w:unhideWhenUsed/>
    <w:rsid w:val="000F0582"/>
    <w:pPr>
      <w:numPr>
        <w:numId w:val="221"/>
      </w:numPr>
      <w:contextualSpacing/>
    </w:pPr>
  </w:style>
  <w:style w:type="paragraph" w:styleId="ListNumber5">
    <w:name w:val="List Number 5"/>
    <w:basedOn w:val="Normal"/>
    <w:uiPriority w:val="99"/>
    <w:semiHidden/>
    <w:unhideWhenUsed/>
    <w:rsid w:val="000F0582"/>
    <w:pPr>
      <w:numPr>
        <w:numId w:val="222"/>
      </w:numPr>
      <w:contextualSpacing/>
    </w:pPr>
  </w:style>
  <w:style w:type="paragraph" w:styleId="MacroText">
    <w:name w:val="macro"/>
    <w:link w:val="MacroTextChar"/>
    <w:uiPriority w:val="99"/>
    <w:semiHidden/>
    <w:unhideWhenUsed/>
    <w:rsid w:val="000F058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0F0582"/>
    <w:rPr>
      <w:rFonts w:ascii="Consolas" w:hAnsi="Consolas"/>
    </w:rPr>
  </w:style>
  <w:style w:type="paragraph" w:styleId="MessageHeader">
    <w:name w:val="Message Header"/>
    <w:basedOn w:val="Normal"/>
    <w:link w:val="MessageHeaderChar"/>
    <w:uiPriority w:val="99"/>
    <w:semiHidden/>
    <w:unhideWhenUsed/>
    <w:rsid w:val="000F058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F0582"/>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0F0582"/>
  </w:style>
  <w:style w:type="character" w:customStyle="1" w:styleId="NoteHeadingChar">
    <w:name w:val="Note Heading Char"/>
    <w:basedOn w:val="DefaultParagraphFont"/>
    <w:link w:val="NoteHeading"/>
    <w:uiPriority w:val="99"/>
    <w:semiHidden/>
    <w:rsid w:val="000F0582"/>
    <w:rPr>
      <w:rFonts w:ascii="Arial" w:hAnsi="Arial"/>
    </w:rPr>
  </w:style>
  <w:style w:type="paragraph" w:styleId="Salutation">
    <w:name w:val="Salutation"/>
    <w:basedOn w:val="Normal"/>
    <w:next w:val="Normal"/>
    <w:link w:val="SalutationChar"/>
    <w:uiPriority w:val="99"/>
    <w:semiHidden/>
    <w:unhideWhenUsed/>
    <w:rsid w:val="000F0582"/>
  </w:style>
  <w:style w:type="character" w:customStyle="1" w:styleId="SalutationChar">
    <w:name w:val="Salutation Char"/>
    <w:basedOn w:val="DefaultParagraphFont"/>
    <w:link w:val="Salutation"/>
    <w:uiPriority w:val="99"/>
    <w:semiHidden/>
    <w:rsid w:val="000F0582"/>
    <w:rPr>
      <w:rFonts w:ascii="Arial" w:hAnsi="Arial"/>
    </w:rPr>
  </w:style>
  <w:style w:type="paragraph" w:styleId="Signature">
    <w:name w:val="Signature"/>
    <w:basedOn w:val="Normal"/>
    <w:link w:val="SignatureChar"/>
    <w:uiPriority w:val="99"/>
    <w:semiHidden/>
    <w:unhideWhenUsed/>
    <w:rsid w:val="000F0582"/>
    <w:pPr>
      <w:ind w:left="4320"/>
    </w:pPr>
  </w:style>
  <w:style w:type="character" w:customStyle="1" w:styleId="SignatureChar">
    <w:name w:val="Signature Char"/>
    <w:basedOn w:val="DefaultParagraphFont"/>
    <w:link w:val="Signature"/>
    <w:uiPriority w:val="99"/>
    <w:semiHidden/>
    <w:rsid w:val="000F0582"/>
    <w:rPr>
      <w:rFonts w:ascii="Arial" w:hAnsi="Arial"/>
    </w:rPr>
  </w:style>
  <w:style w:type="paragraph" w:styleId="TableofAuthorities">
    <w:name w:val="table of authorities"/>
    <w:basedOn w:val="Normal"/>
    <w:next w:val="Normal"/>
    <w:uiPriority w:val="99"/>
    <w:semiHidden/>
    <w:unhideWhenUsed/>
    <w:rsid w:val="000F0582"/>
    <w:pPr>
      <w:ind w:left="200" w:hanging="200"/>
    </w:pPr>
  </w:style>
  <w:style w:type="paragraph" w:styleId="TableofFigures">
    <w:name w:val="table of figures"/>
    <w:basedOn w:val="Normal"/>
    <w:next w:val="Normal"/>
    <w:uiPriority w:val="99"/>
    <w:semiHidden/>
    <w:unhideWhenUsed/>
    <w:rsid w:val="000F0582"/>
  </w:style>
  <w:style w:type="paragraph" w:styleId="TOAHeading">
    <w:name w:val="toa heading"/>
    <w:basedOn w:val="Normal"/>
    <w:next w:val="Normal"/>
    <w:uiPriority w:val="99"/>
    <w:semiHidden/>
    <w:unhideWhenUsed/>
    <w:rsid w:val="000F0582"/>
    <w:pPr>
      <w:spacing w:before="120"/>
    </w:pPr>
    <w:rPr>
      <w:rFonts w:asciiTheme="majorHAnsi" w:eastAsiaTheme="majorEastAsia" w:hAnsiTheme="majorHAnsi" w:cstheme="majorBidi"/>
      <w:b/>
      <w:bCs/>
      <w:sz w:val="24"/>
      <w:szCs w:val="24"/>
    </w:rPr>
  </w:style>
  <w:style w:type="numbering" w:customStyle="1" w:styleId="CurrentList1">
    <w:name w:val="Current List1"/>
    <w:uiPriority w:val="99"/>
    <w:rsid w:val="000B7447"/>
    <w:pPr>
      <w:numPr>
        <w:numId w:val="250"/>
      </w:numPr>
    </w:pPr>
  </w:style>
  <w:style w:type="character" w:styleId="Mention">
    <w:name w:val="Mention"/>
    <w:basedOn w:val="DefaultParagraphFont"/>
    <w:uiPriority w:val="99"/>
    <w:unhideWhenUsed/>
    <w:rsid w:val="003E46BB"/>
    <w:rPr>
      <w:color w:val="2B579A"/>
      <w:shd w:val="clear" w:color="auto" w:fill="E1DFDD"/>
    </w:rPr>
  </w:style>
  <w:style w:type="paragraph" w:customStyle="1" w:styleId="TableParagraph">
    <w:name w:val="Table Paragraph"/>
    <w:basedOn w:val="Normal"/>
    <w:uiPriority w:val="1"/>
    <w:qFormat/>
    <w:rsid w:val="000A6D68"/>
    <w:pPr>
      <w:widowControl w:val="0"/>
      <w:autoSpaceDE w:val="0"/>
      <w:autoSpaceDN w:val="0"/>
      <w:spacing w:line="219" w:lineRule="exact"/>
      <w:ind w:left="116"/>
    </w:pPr>
    <w:rPr>
      <w:rFonts w:ascii="Calibri" w:eastAsia="Calibri" w:hAnsi="Calibri" w:cs="Calibri"/>
      <w:sz w:val="22"/>
      <w:szCs w:val="22"/>
      <w:lang w:bidi="en-US"/>
    </w:rPr>
  </w:style>
  <w:style w:type="character" w:customStyle="1" w:styleId="normaltextrun">
    <w:name w:val="normaltextrun"/>
    <w:basedOn w:val="DefaultParagraphFont"/>
    <w:rsid w:val="007F2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815">
      <w:bodyDiv w:val="1"/>
      <w:marLeft w:val="0"/>
      <w:marRight w:val="0"/>
      <w:marTop w:val="0"/>
      <w:marBottom w:val="0"/>
      <w:divBdr>
        <w:top w:val="none" w:sz="0" w:space="0" w:color="auto"/>
        <w:left w:val="none" w:sz="0" w:space="0" w:color="auto"/>
        <w:bottom w:val="none" w:sz="0" w:space="0" w:color="auto"/>
        <w:right w:val="none" w:sz="0" w:space="0" w:color="auto"/>
      </w:divBdr>
    </w:div>
    <w:div w:id="13120495">
      <w:bodyDiv w:val="1"/>
      <w:marLeft w:val="0"/>
      <w:marRight w:val="0"/>
      <w:marTop w:val="0"/>
      <w:marBottom w:val="0"/>
      <w:divBdr>
        <w:top w:val="none" w:sz="0" w:space="0" w:color="auto"/>
        <w:left w:val="none" w:sz="0" w:space="0" w:color="auto"/>
        <w:bottom w:val="none" w:sz="0" w:space="0" w:color="auto"/>
        <w:right w:val="none" w:sz="0" w:space="0" w:color="auto"/>
      </w:divBdr>
    </w:div>
    <w:div w:id="19746298">
      <w:bodyDiv w:val="1"/>
      <w:marLeft w:val="0"/>
      <w:marRight w:val="0"/>
      <w:marTop w:val="0"/>
      <w:marBottom w:val="0"/>
      <w:divBdr>
        <w:top w:val="none" w:sz="0" w:space="0" w:color="auto"/>
        <w:left w:val="none" w:sz="0" w:space="0" w:color="auto"/>
        <w:bottom w:val="none" w:sz="0" w:space="0" w:color="auto"/>
        <w:right w:val="none" w:sz="0" w:space="0" w:color="auto"/>
      </w:divBdr>
    </w:div>
    <w:div w:id="20984469">
      <w:bodyDiv w:val="1"/>
      <w:marLeft w:val="0"/>
      <w:marRight w:val="0"/>
      <w:marTop w:val="0"/>
      <w:marBottom w:val="0"/>
      <w:divBdr>
        <w:top w:val="none" w:sz="0" w:space="0" w:color="auto"/>
        <w:left w:val="none" w:sz="0" w:space="0" w:color="auto"/>
        <w:bottom w:val="none" w:sz="0" w:space="0" w:color="auto"/>
        <w:right w:val="none" w:sz="0" w:space="0" w:color="auto"/>
      </w:divBdr>
    </w:div>
    <w:div w:id="38482321">
      <w:bodyDiv w:val="1"/>
      <w:marLeft w:val="0"/>
      <w:marRight w:val="0"/>
      <w:marTop w:val="0"/>
      <w:marBottom w:val="0"/>
      <w:divBdr>
        <w:top w:val="none" w:sz="0" w:space="0" w:color="auto"/>
        <w:left w:val="none" w:sz="0" w:space="0" w:color="auto"/>
        <w:bottom w:val="none" w:sz="0" w:space="0" w:color="auto"/>
        <w:right w:val="none" w:sz="0" w:space="0" w:color="auto"/>
      </w:divBdr>
    </w:div>
    <w:div w:id="55400366">
      <w:bodyDiv w:val="1"/>
      <w:marLeft w:val="0"/>
      <w:marRight w:val="0"/>
      <w:marTop w:val="0"/>
      <w:marBottom w:val="0"/>
      <w:divBdr>
        <w:top w:val="none" w:sz="0" w:space="0" w:color="auto"/>
        <w:left w:val="none" w:sz="0" w:space="0" w:color="auto"/>
        <w:bottom w:val="none" w:sz="0" w:space="0" w:color="auto"/>
        <w:right w:val="none" w:sz="0" w:space="0" w:color="auto"/>
      </w:divBdr>
    </w:div>
    <w:div w:id="66194344">
      <w:bodyDiv w:val="1"/>
      <w:marLeft w:val="0"/>
      <w:marRight w:val="0"/>
      <w:marTop w:val="0"/>
      <w:marBottom w:val="0"/>
      <w:divBdr>
        <w:top w:val="none" w:sz="0" w:space="0" w:color="auto"/>
        <w:left w:val="none" w:sz="0" w:space="0" w:color="auto"/>
        <w:bottom w:val="none" w:sz="0" w:space="0" w:color="auto"/>
        <w:right w:val="none" w:sz="0" w:space="0" w:color="auto"/>
      </w:divBdr>
    </w:div>
    <w:div w:id="68886610">
      <w:bodyDiv w:val="1"/>
      <w:marLeft w:val="0"/>
      <w:marRight w:val="0"/>
      <w:marTop w:val="0"/>
      <w:marBottom w:val="0"/>
      <w:divBdr>
        <w:top w:val="none" w:sz="0" w:space="0" w:color="auto"/>
        <w:left w:val="none" w:sz="0" w:space="0" w:color="auto"/>
        <w:bottom w:val="none" w:sz="0" w:space="0" w:color="auto"/>
        <w:right w:val="none" w:sz="0" w:space="0" w:color="auto"/>
      </w:divBdr>
    </w:div>
    <w:div w:id="70549129">
      <w:bodyDiv w:val="1"/>
      <w:marLeft w:val="0"/>
      <w:marRight w:val="0"/>
      <w:marTop w:val="0"/>
      <w:marBottom w:val="0"/>
      <w:divBdr>
        <w:top w:val="none" w:sz="0" w:space="0" w:color="auto"/>
        <w:left w:val="none" w:sz="0" w:space="0" w:color="auto"/>
        <w:bottom w:val="none" w:sz="0" w:space="0" w:color="auto"/>
        <w:right w:val="none" w:sz="0" w:space="0" w:color="auto"/>
      </w:divBdr>
      <w:divsChild>
        <w:div w:id="74981741">
          <w:marLeft w:val="0"/>
          <w:marRight w:val="0"/>
          <w:marTop w:val="0"/>
          <w:marBottom w:val="0"/>
          <w:divBdr>
            <w:top w:val="none" w:sz="0" w:space="0" w:color="auto"/>
            <w:left w:val="none" w:sz="0" w:space="0" w:color="auto"/>
            <w:bottom w:val="none" w:sz="0" w:space="0" w:color="auto"/>
            <w:right w:val="none" w:sz="0" w:space="0" w:color="auto"/>
          </w:divBdr>
        </w:div>
        <w:div w:id="146286726">
          <w:marLeft w:val="0"/>
          <w:marRight w:val="0"/>
          <w:marTop w:val="0"/>
          <w:marBottom w:val="0"/>
          <w:divBdr>
            <w:top w:val="none" w:sz="0" w:space="0" w:color="auto"/>
            <w:left w:val="none" w:sz="0" w:space="0" w:color="auto"/>
            <w:bottom w:val="none" w:sz="0" w:space="0" w:color="auto"/>
            <w:right w:val="none" w:sz="0" w:space="0" w:color="auto"/>
          </w:divBdr>
        </w:div>
        <w:div w:id="331446081">
          <w:marLeft w:val="0"/>
          <w:marRight w:val="0"/>
          <w:marTop w:val="0"/>
          <w:marBottom w:val="0"/>
          <w:divBdr>
            <w:top w:val="none" w:sz="0" w:space="0" w:color="auto"/>
            <w:left w:val="none" w:sz="0" w:space="0" w:color="auto"/>
            <w:bottom w:val="none" w:sz="0" w:space="0" w:color="auto"/>
            <w:right w:val="none" w:sz="0" w:space="0" w:color="auto"/>
          </w:divBdr>
        </w:div>
        <w:div w:id="698437598">
          <w:marLeft w:val="0"/>
          <w:marRight w:val="0"/>
          <w:marTop w:val="0"/>
          <w:marBottom w:val="0"/>
          <w:divBdr>
            <w:top w:val="none" w:sz="0" w:space="0" w:color="auto"/>
            <w:left w:val="none" w:sz="0" w:space="0" w:color="auto"/>
            <w:bottom w:val="none" w:sz="0" w:space="0" w:color="auto"/>
            <w:right w:val="none" w:sz="0" w:space="0" w:color="auto"/>
          </w:divBdr>
        </w:div>
        <w:div w:id="722949146">
          <w:marLeft w:val="0"/>
          <w:marRight w:val="0"/>
          <w:marTop w:val="0"/>
          <w:marBottom w:val="0"/>
          <w:divBdr>
            <w:top w:val="none" w:sz="0" w:space="0" w:color="auto"/>
            <w:left w:val="none" w:sz="0" w:space="0" w:color="auto"/>
            <w:bottom w:val="none" w:sz="0" w:space="0" w:color="auto"/>
            <w:right w:val="none" w:sz="0" w:space="0" w:color="auto"/>
          </w:divBdr>
        </w:div>
        <w:div w:id="1526678731">
          <w:marLeft w:val="0"/>
          <w:marRight w:val="0"/>
          <w:marTop w:val="0"/>
          <w:marBottom w:val="0"/>
          <w:divBdr>
            <w:top w:val="none" w:sz="0" w:space="0" w:color="auto"/>
            <w:left w:val="none" w:sz="0" w:space="0" w:color="auto"/>
            <w:bottom w:val="none" w:sz="0" w:space="0" w:color="auto"/>
            <w:right w:val="none" w:sz="0" w:space="0" w:color="auto"/>
          </w:divBdr>
        </w:div>
        <w:div w:id="1870994507">
          <w:marLeft w:val="0"/>
          <w:marRight w:val="0"/>
          <w:marTop w:val="0"/>
          <w:marBottom w:val="0"/>
          <w:divBdr>
            <w:top w:val="none" w:sz="0" w:space="0" w:color="auto"/>
            <w:left w:val="none" w:sz="0" w:space="0" w:color="auto"/>
            <w:bottom w:val="none" w:sz="0" w:space="0" w:color="auto"/>
            <w:right w:val="none" w:sz="0" w:space="0" w:color="auto"/>
          </w:divBdr>
        </w:div>
      </w:divsChild>
    </w:div>
    <w:div w:id="76294254">
      <w:bodyDiv w:val="1"/>
      <w:marLeft w:val="0"/>
      <w:marRight w:val="0"/>
      <w:marTop w:val="0"/>
      <w:marBottom w:val="0"/>
      <w:divBdr>
        <w:top w:val="none" w:sz="0" w:space="0" w:color="auto"/>
        <w:left w:val="none" w:sz="0" w:space="0" w:color="auto"/>
        <w:bottom w:val="none" w:sz="0" w:space="0" w:color="auto"/>
        <w:right w:val="none" w:sz="0" w:space="0" w:color="auto"/>
      </w:divBdr>
    </w:div>
    <w:div w:id="77797517">
      <w:bodyDiv w:val="1"/>
      <w:marLeft w:val="0"/>
      <w:marRight w:val="0"/>
      <w:marTop w:val="0"/>
      <w:marBottom w:val="0"/>
      <w:divBdr>
        <w:top w:val="none" w:sz="0" w:space="0" w:color="auto"/>
        <w:left w:val="none" w:sz="0" w:space="0" w:color="auto"/>
        <w:bottom w:val="none" w:sz="0" w:space="0" w:color="auto"/>
        <w:right w:val="none" w:sz="0" w:space="0" w:color="auto"/>
      </w:divBdr>
    </w:div>
    <w:div w:id="80228173">
      <w:bodyDiv w:val="1"/>
      <w:marLeft w:val="0"/>
      <w:marRight w:val="0"/>
      <w:marTop w:val="0"/>
      <w:marBottom w:val="0"/>
      <w:divBdr>
        <w:top w:val="none" w:sz="0" w:space="0" w:color="auto"/>
        <w:left w:val="none" w:sz="0" w:space="0" w:color="auto"/>
        <w:bottom w:val="none" w:sz="0" w:space="0" w:color="auto"/>
        <w:right w:val="none" w:sz="0" w:space="0" w:color="auto"/>
      </w:divBdr>
    </w:div>
    <w:div w:id="96874145">
      <w:bodyDiv w:val="1"/>
      <w:marLeft w:val="0"/>
      <w:marRight w:val="0"/>
      <w:marTop w:val="0"/>
      <w:marBottom w:val="0"/>
      <w:divBdr>
        <w:top w:val="none" w:sz="0" w:space="0" w:color="auto"/>
        <w:left w:val="none" w:sz="0" w:space="0" w:color="auto"/>
        <w:bottom w:val="none" w:sz="0" w:space="0" w:color="auto"/>
        <w:right w:val="none" w:sz="0" w:space="0" w:color="auto"/>
      </w:divBdr>
    </w:div>
    <w:div w:id="100926251">
      <w:bodyDiv w:val="1"/>
      <w:marLeft w:val="0"/>
      <w:marRight w:val="0"/>
      <w:marTop w:val="0"/>
      <w:marBottom w:val="0"/>
      <w:divBdr>
        <w:top w:val="none" w:sz="0" w:space="0" w:color="auto"/>
        <w:left w:val="none" w:sz="0" w:space="0" w:color="auto"/>
        <w:bottom w:val="none" w:sz="0" w:space="0" w:color="auto"/>
        <w:right w:val="none" w:sz="0" w:space="0" w:color="auto"/>
      </w:divBdr>
    </w:div>
    <w:div w:id="114368349">
      <w:bodyDiv w:val="1"/>
      <w:marLeft w:val="0"/>
      <w:marRight w:val="0"/>
      <w:marTop w:val="0"/>
      <w:marBottom w:val="0"/>
      <w:divBdr>
        <w:top w:val="none" w:sz="0" w:space="0" w:color="auto"/>
        <w:left w:val="none" w:sz="0" w:space="0" w:color="auto"/>
        <w:bottom w:val="none" w:sz="0" w:space="0" w:color="auto"/>
        <w:right w:val="none" w:sz="0" w:space="0" w:color="auto"/>
      </w:divBdr>
    </w:div>
    <w:div w:id="114642127">
      <w:bodyDiv w:val="1"/>
      <w:marLeft w:val="0"/>
      <w:marRight w:val="0"/>
      <w:marTop w:val="0"/>
      <w:marBottom w:val="0"/>
      <w:divBdr>
        <w:top w:val="none" w:sz="0" w:space="0" w:color="auto"/>
        <w:left w:val="none" w:sz="0" w:space="0" w:color="auto"/>
        <w:bottom w:val="none" w:sz="0" w:space="0" w:color="auto"/>
        <w:right w:val="none" w:sz="0" w:space="0" w:color="auto"/>
      </w:divBdr>
    </w:div>
    <w:div w:id="122382504">
      <w:bodyDiv w:val="1"/>
      <w:marLeft w:val="0"/>
      <w:marRight w:val="0"/>
      <w:marTop w:val="0"/>
      <w:marBottom w:val="0"/>
      <w:divBdr>
        <w:top w:val="none" w:sz="0" w:space="0" w:color="auto"/>
        <w:left w:val="none" w:sz="0" w:space="0" w:color="auto"/>
        <w:bottom w:val="none" w:sz="0" w:space="0" w:color="auto"/>
        <w:right w:val="none" w:sz="0" w:space="0" w:color="auto"/>
      </w:divBdr>
    </w:div>
    <w:div w:id="122820256">
      <w:bodyDiv w:val="1"/>
      <w:marLeft w:val="0"/>
      <w:marRight w:val="0"/>
      <w:marTop w:val="0"/>
      <w:marBottom w:val="0"/>
      <w:divBdr>
        <w:top w:val="none" w:sz="0" w:space="0" w:color="auto"/>
        <w:left w:val="none" w:sz="0" w:space="0" w:color="auto"/>
        <w:bottom w:val="none" w:sz="0" w:space="0" w:color="auto"/>
        <w:right w:val="none" w:sz="0" w:space="0" w:color="auto"/>
      </w:divBdr>
    </w:div>
    <w:div w:id="134103796">
      <w:bodyDiv w:val="1"/>
      <w:marLeft w:val="0"/>
      <w:marRight w:val="0"/>
      <w:marTop w:val="0"/>
      <w:marBottom w:val="0"/>
      <w:divBdr>
        <w:top w:val="none" w:sz="0" w:space="0" w:color="auto"/>
        <w:left w:val="none" w:sz="0" w:space="0" w:color="auto"/>
        <w:bottom w:val="none" w:sz="0" w:space="0" w:color="auto"/>
        <w:right w:val="none" w:sz="0" w:space="0" w:color="auto"/>
      </w:divBdr>
    </w:div>
    <w:div w:id="134564664">
      <w:bodyDiv w:val="1"/>
      <w:marLeft w:val="0"/>
      <w:marRight w:val="0"/>
      <w:marTop w:val="0"/>
      <w:marBottom w:val="0"/>
      <w:divBdr>
        <w:top w:val="none" w:sz="0" w:space="0" w:color="auto"/>
        <w:left w:val="none" w:sz="0" w:space="0" w:color="auto"/>
        <w:bottom w:val="none" w:sz="0" w:space="0" w:color="auto"/>
        <w:right w:val="none" w:sz="0" w:space="0" w:color="auto"/>
      </w:divBdr>
    </w:div>
    <w:div w:id="136460778">
      <w:bodyDiv w:val="1"/>
      <w:marLeft w:val="0"/>
      <w:marRight w:val="0"/>
      <w:marTop w:val="0"/>
      <w:marBottom w:val="0"/>
      <w:divBdr>
        <w:top w:val="none" w:sz="0" w:space="0" w:color="auto"/>
        <w:left w:val="none" w:sz="0" w:space="0" w:color="auto"/>
        <w:bottom w:val="none" w:sz="0" w:space="0" w:color="auto"/>
        <w:right w:val="none" w:sz="0" w:space="0" w:color="auto"/>
      </w:divBdr>
    </w:div>
    <w:div w:id="140192334">
      <w:bodyDiv w:val="1"/>
      <w:marLeft w:val="0"/>
      <w:marRight w:val="0"/>
      <w:marTop w:val="0"/>
      <w:marBottom w:val="0"/>
      <w:divBdr>
        <w:top w:val="none" w:sz="0" w:space="0" w:color="auto"/>
        <w:left w:val="none" w:sz="0" w:space="0" w:color="auto"/>
        <w:bottom w:val="none" w:sz="0" w:space="0" w:color="auto"/>
        <w:right w:val="none" w:sz="0" w:space="0" w:color="auto"/>
      </w:divBdr>
    </w:div>
    <w:div w:id="156842289">
      <w:bodyDiv w:val="1"/>
      <w:marLeft w:val="0"/>
      <w:marRight w:val="0"/>
      <w:marTop w:val="0"/>
      <w:marBottom w:val="0"/>
      <w:divBdr>
        <w:top w:val="none" w:sz="0" w:space="0" w:color="auto"/>
        <w:left w:val="none" w:sz="0" w:space="0" w:color="auto"/>
        <w:bottom w:val="none" w:sz="0" w:space="0" w:color="auto"/>
        <w:right w:val="none" w:sz="0" w:space="0" w:color="auto"/>
      </w:divBdr>
    </w:div>
    <w:div w:id="177936295">
      <w:bodyDiv w:val="1"/>
      <w:marLeft w:val="0"/>
      <w:marRight w:val="0"/>
      <w:marTop w:val="0"/>
      <w:marBottom w:val="0"/>
      <w:divBdr>
        <w:top w:val="none" w:sz="0" w:space="0" w:color="auto"/>
        <w:left w:val="none" w:sz="0" w:space="0" w:color="auto"/>
        <w:bottom w:val="none" w:sz="0" w:space="0" w:color="auto"/>
        <w:right w:val="none" w:sz="0" w:space="0" w:color="auto"/>
      </w:divBdr>
    </w:div>
    <w:div w:id="193932137">
      <w:bodyDiv w:val="1"/>
      <w:marLeft w:val="0"/>
      <w:marRight w:val="0"/>
      <w:marTop w:val="0"/>
      <w:marBottom w:val="0"/>
      <w:divBdr>
        <w:top w:val="none" w:sz="0" w:space="0" w:color="auto"/>
        <w:left w:val="none" w:sz="0" w:space="0" w:color="auto"/>
        <w:bottom w:val="none" w:sz="0" w:space="0" w:color="auto"/>
        <w:right w:val="none" w:sz="0" w:space="0" w:color="auto"/>
      </w:divBdr>
    </w:div>
    <w:div w:id="202987284">
      <w:bodyDiv w:val="1"/>
      <w:marLeft w:val="0"/>
      <w:marRight w:val="0"/>
      <w:marTop w:val="0"/>
      <w:marBottom w:val="0"/>
      <w:divBdr>
        <w:top w:val="none" w:sz="0" w:space="0" w:color="auto"/>
        <w:left w:val="none" w:sz="0" w:space="0" w:color="auto"/>
        <w:bottom w:val="none" w:sz="0" w:space="0" w:color="auto"/>
        <w:right w:val="none" w:sz="0" w:space="0" w:color="auto"/>
      </w:divBdr>
    </w:div>
    <w:div w:id="206067352">
      <w:bodyDiv w:val="1"/>
      <w:marLeft w:val="0"/>
      <w:marRight w:val="0"/>
      <w:marTop w:val="0"/>
      <w:marBottom w:val="0"/>
      <w:divBdr>
        <w:top w:val="none" w:sz="0" w:space="0" w:color="auto"/>
        <w:left w:val="none" w:sz="0" w:space="0" w:color="auto"/>
        <w:bottom w:val="none" w:sz="0" w:space="0" w:color="auto"/>
        <w:right w:val="none" w:sz="0" w:space="0" w:color="auto"/>
      </w:divBdr>
    </w:div>
    <w:div w:id="208764183">
      <w:bodyDiv w:val="1"/>
      <w:marLeft w:val="0"/>
      <w:marRight w:val="0"/>
      <w:marTop w:val="0"/>
      <w:marBottom w:val="0"/>
      <w:divBdr>
        <w:top w:val="none" w:sz="0" w:space="0" w:color="auto"/>
        <w:left w:val="none" w:sz="0" w:space="0" w:color="auto"/>
        <w:bottom w:val="none" w:sz="0" w:space="0" w:color="auto"/>
        <w:right w:val="none" w:sz="0" w:space="0" w:color="auto"/>
      </w:divBdr>
    </w:div>
    <w:div w:id="209851659">
      <w:bodyDiv w:val="1"/>
      <w:marLeft w:val="0"/>
      <w:marRight w:val="0"/>
      <w:marTop w:val="0"/>
      <w:marBottom w:val="0"/>
      <w:divBdr>
        <w:top w:val="none" w:sz="0" w:space="0" w:color="auto"/>
        <w:left w:val="none" w:sz="0" w:space="0" w:color="auto"/>
        <w:bottom w:val="none" w:sz="0" w:space="0" w:color="auto"/>
        <w:right w:val="none" w:sz="0" w:space="0" w:color="auto"/>
      </w:divBdr>
    </w:div>
    <w:div w:id="211894374">
      <w:bodyDiv w:val="1"/>
      <w:marLeft w:val="0"/>
      <w:marRight w:val="0"/>
      <w:marTop w:val="0"/>
      <w:marBottom w:val="0"/>
      <w:divBdr>
        <w:top w:val="none" w:sz="0" w:space="0" w:color="auto"/>
        <w:left w:val="none" w:sz="0" w:space="0" w:color="auto"/>
        <w:bottom w:val="none" w:sz="0" w:space="0" w:color="auto"/>
        <w:right w:val="none" w:sz="0" w:space="0" w:color="auto"/>
      </w:divBdr>
    </w:div>
    <w:div w:id="214506224">
      <w:bodyDiv w:val="1"/>
      <w:marLeft w:val="0"/>
      <w:marRight w:val="0"/>
      <w:marTop w:val="0"/>
      <w:marBottom w:val="0"/>
      <w:divBdr>
        <w:top w:val="none" w:sz="0" w:space="0" w:color="auto"/>
        <w:left w:val="none" w:sz="0" w:space="0" w:color="auto"/>
        <w:bottom w:val="none" w:sz="0" w:space="0" w:color="auto"/>
        <w:right w:val="none" w:sz="0" w:space="0" w:color="auto"/>
      </w:divBdr>
    </w:div>
    <w:div w:id="230429684">
      <w:bodyDiv w:val="1"/>
      <w:marLeft w:val="0"/>
      <w:marRight w:val="0"/>
      <w:marTop w:val="0"/>
      <w:marBottom w:val="0"/>
      <w:divBdr>
        <w:top w:val="none" w:sz="0" w:space="0" w:color="auto"/>
        <w:left w:val="none" w:sz="0" w:space="0" w:color="auto"/>
        <w:bottom w:val="none" w:sz="0" w:space="0" w:color="auto"/>
        <w:right w:val="none" w:sz="0" w:space="0" w:color="auto"/>
      </w:divBdr>
    </w:div>
    <w:div w:id="233274703">
      <w:bodyDiv w:val="1"/>
      <w:marLeft w:val="0"/>
      <w:marRight w:val="0"/>
      <w:marTop w:val="0"/>
      <w:marBottom w:val="0"/>
      <w:divBdr>
        <w:top w:val="none" w:sz="0" w:space="0" w:color="auto"/>
        <w:left w:val="none" w:sz="0" w:space="0" w:color="auto"/>
        <w:bottom w:val="none" w:sz="0" w:space="0" w:color="auto"/>
        <w:right w:val="none" w:sz="0" w:space="0" w:color="auto"/>
      </w:divBdr>
    </w:div>
    <w:div w:id="240792866">
      <w:bodyDiv w:val="1"/>
      <w:marLeft w:val="0"/>
      <w:marRight w:val="0"/>
      <w:marTop w:val="0"/>
      <w:marBottom w:val="0"/>
      <w:divBdr>
        <w:top w:val="none" w:sz="0" w:space="0" w:color="auto"/>
        <w:left w:val="none" w:sz="0" w:space="0" w:color="auto"/>
        <w:bottom w:val="none" w:sz="0" w:space="0" w:color="auto"/>
        <w:right w:val="none" w:sz="0" w:space="0" w:color="auto"/>
      </w:divBdr>
    </w:div>
    <w:div w:id="263660436">
      <w:bodyDiv w:val="1"/>
      <w:marLeft w:val="0"/>
      <w:marRight w:val="0"/>
      <w:marTop w:val="0"/>
      <w:marBottom w:val="0"/>
      <w:divBdr>
        <w:top w:val="none" w:sz="0" w:space="0" w:color="auto"/>
        <w:left w:val="none" w:sz="0" w:space="0" w:color="auto"/>
        <w:bottom w:val="none" w:sz="0" w:space="0" w:color="auto"/>
        <w:right w:val="none" w:sz="0" w:space="0" w:color="auto"/>
      </w:divBdr>
    </w:div>
    <w:div w:id="269506764">
      <w:bodyDiv w:val="1"/>
      <w:marLeft w:val="0"/>
      <w:marRight w:val="0"/>
      <w:marTop w:val="0"/>
      <w:marBottom w:val="0"/>
      <w:divBdr>
        <w:top w:val="none" w:sz="0" w:space="0" w:color="auto"/>
        <w:left w:val="none" w:sz="0" w:space="0" w:color="auto"/>
        <w:bottom w:val="none" w:sz="0" w:space="0" w:color="auto"/>
        <w:right w:val="none" w:sz="0" w:space="0" w:color="auto"/>
      </w:divBdr>
    </w:div>
    <w:div w:id="306128951">
      <w:bodyDiv w:val="1"/>
      <w:marLeft w:val="0"/>
      <w:marRight w:val="0"/>
      <w:marTop w:val="0"/>
      <w:marBottom w:val="0"/>
      <w:divBdr>
        <w:top w:val="none" w:sz="0" w:space="0" w:color="auto"/>
        <w:left w:val="none" w:sz="0" w:space="0" w:color="auto"/>
        <w:bottom w:val="none" w:sz="0" w:space="0" w:color="auto"/>
        <w:right w:val="none" w:sz="0" w:space="0" w:color="auto"/>
      </w:divBdr>
    </w:div>
    <w:div w:id="312221869">
      <w:bodyDiv w:val="1"/>
      <w:marLeft w:val="0"/>
      <w:marRight w:val="0"/>
      <w:marTop w:val="0"/>
      <w:marBottom w:val="0"/>
      <w:divBdr>
        <w:top w:val="none" w:sz="0" w:space="0" w:color="auto"/>
        <w:left w:val="none" w:sz="0" w:space="0" w:color="auto"/>
        <w:bottom w:val="none" w:sz="0" w:space="0" w:color="auto"/>
        <w:right w:val="none" w:sz="0" w:space="0" w:color="auto"/>
      </w:divBdr>
    </w:div>
    <w:div w:id="319699999">
      <w:bodyDiv w:val="1"/>
      <w:marLeft w:val="0"/>
      <w:marRight w:val="0"/>
      <w:marTop w:val="0"/>
      <w:marBottom w:val="0"/>
      <w:divBdr>
        <w:top w:val="none" w:sz="0" w:space="0" w:color="auto"/>
        <w:left w:val="none" w:sz="0" w:space="0" w:color="auto"/>
        <w:bottom w:val="none" w:sz="0" w:space="0" w:color="auto"/>
        <w:right w:val="none" w:sz="0" w:space="0" w:color="auto"/>
      </w:divBdr>
    </w:div>
    <w:div w:id="332026368">
      <w:bodyDiv w:val="1"/>
      <w:marLeft w:val="0"/>
      <w:marRight w:val="0"/>
      <w:marTop w:val="0"/>
      <w:marBottom w:val="0"/>
      <w:divBdr>
        <w:top w:val="none" w:sz="0" w:space="0" w:color="auto"/>
        <w:left w:val="none" w:sz="0" w:space="0" w:color="auto"/>
        <w:bottom w:val="none" w:sz="0" w:space="0" w:color="auto"/>
        <w:right w:val="none" w:sz="0" w:space="0" w:color="auto"/>
      </w:divBdr>
    </w:div>
    <w:div w:id="335765683">
      <w:bodyDiv w:val="1"/>
      <w:marLeft w:val="0"/>
      <w:marRight w:val="0"/>
      <w:marTop w:val="0"/>
      <w:marBottom w:val="0"/>
      <w:divBdr>
        <w:top w:val="none" w:sz="0" w:space="0" w:color="auto"/>
        <w:left w:val="none" w:sz="0" w:space="0" w:color="auto"/>
        <w:bottom w:val="none" w:sz="0" w:space="0" w:color="auto"/>
        <w:right w:val="none" w:sz="0" w:space="0" w:color="auto"/>
      </w:divBdr>
    </w:div>
    <w:div w:id="335807067">
      <w:bodyDiv w:val="1"/>
      <w:marLeft w:val="0"/>
      <w:marRight w:val="0"/>
      <w:marTop w:val="0"/>
      <w:marBottom w:val="0"/>
      <w:divBdr>
        <w:top w:val="none" w:sz="0" w:space="0" w:color="auto"/>
        <w:left w:val="none" w:sz="0" w:space="0" w:color="auto"/>
        <w:bottom w:val="none" w:sz="0" w:space="0" w:color="auto"/>
        <w:right w:val="none" w:sz="0" w:space="0" w:color="auto"/>
      </w:divBdr>
    </w:div>
    <w:div w:id="339434193">
      <w:bodyDiv w:val="1"/>
      <w:marLeft w:val="0"/>
      <w:marRight w:val="0"/>
      <w:marTop w:val="0"/>
      <w:marBottom w:val="0"/>
      <w:divBdr>
        <w:top w:val="none" w:sz="0" w:space="0" w:color="auto"/>
        <w:left w:val="none" w:sz="0" w:space="0" w:color="auto"/>
        <w:bottom w:val="none" w:sz="0" w:space="0" w:color="auto"/>
        <w:right w:val="none" w:sz="0" w:space="0" w:color="auto"/>
      </w:divBdr>
    </w:div>
    <w:div w:id="348483031">
      <w:bodyDiv w:val="1"/>
      <w:marLeft w:val="0"/>
      <w:marRight w:val="0"/>
      <w:marTop w:val="0"/>
      <w:marBottom w:val="0"/>
      <w:divBdr>
        <w:top w:val="none" w:sz="0" w:space="0" w:color="auto"/>
        <w:left w:val="none" w:sz="0" w:space="0" w:color="auto"/>
        <w:bottom w:val="none" w:sz="0" w:space="0" w:color="auto"/>
        <w:right w:val="none" w:sz="0" w:space="0" w:color="auto"/>
      </w:divBdr>
    </w:div>
    <w:div w:id="374505211">
      <w:bodyDiv w:val="1"/>
      <w:marLeft w:val="0"/>
      <w:marRight w:val="0"/>
      <w:marTop w:val="0"/>
      <w:marBottom w:val="0"/>
      <w:divBdr>
        <w:top w:val="none" w:sz="0" w:space="0" w:color="auto"/>
        <w:left w:val="none" w:sz="0" w:space="0" w:color="auto"/>
        <w:bottom w:val="none" w:sz="0" w:space="0" w:color="auto"/>
        <w:right w:val="none" w:sz="0" w:space="0" w:color="auto"/>
      </w:divBdr>
    </w:div>
    <w:div w:id="391320242">
      <w:bodyDiv w:val="1"/>
      <w:marLeft w:val="0"/>
      <w:marRight w:val="0"/>
      <w:marTop w:val="0"/>
      <w:marBottom w:val="0"/>
      <w:divBdr>
        <w:top w:val="none" w:sz="0" w:space="0" w:color="auto"/>
        <w:left w:val="none" w:sz="0" w:space="0" w:color="auto"/>
        <w:bottom w:val="none" w:sz="0" w:space="0" w:color="auto"/>
        <w:right w:val="none" w:sz="0" w:space="0" w:color="auto"/>
      </w:divBdr>
    </w:div>
    <w:div w:id="395737469">
      <w:bodyDiv w:val="1"/>
      <w:marLeft w:val="0"/>
      <w:marRight w:val="0"/>
      <w:marTop w:val="0"/>
      <w:marBottom w:val="0"/>
      <w:divBdr>
        <w:top w:val="none" w:sz="0" w:space="0" w:color="auto"/>
        <w:left w:val="none" w:sz="0" w:space="0" w:color="auto"/>
        <w:bottom w:val="none" w:sz="0" w:space="0" w:color="auto"/>
        <w:right w:val="none" w:sz="0" w:space="0" w:color="auto"/>
      </w:divBdr>
    </w:div>
    <w:div w:id="404380343">
      <w:bodyDiv w:val="1"/>
      <w:marLeft w:val="0"/>
      <w:marRight w:val="0"/>
      <w:marTop w:val="0"/>
      <w:marBottom w:val="0"/>
      <w:divBdr>
        <w:top w:val="none" w:sz="0" w:space="0" w:color="auto"/>
        <w:left w:val="none" w:sz="0" w:space="0" w:color="auto"/>
        <w:bottom w:val="none" w:sz="0" w:space="0" w:color="auto"/>
        <w:right w:val="none" w:sz="0" w:space="0" w:color="auto"/>
      </w:divBdr>
    </w:div>
    <w:div w:id="422338392">
      <w:bodyDiv w:val="1"/>
      <w:marLeft w:val="0"/>
      <w:marRight w:val="0"/>
      <w:marTop w:val="0"/>
      <w:marBottom w:val="0"/>
      <w:divBdr>
        <w:top w:val="none" w:sz="0" w:space="0" w:color="auto"/>
        <w:left w:val="none" w:sz="0" w:space="0" w:color="auto"/>
        <w:bottom w:val="none" w:sz="0" w:space="0" w:color="auto"/>
        <w:right w:val="none" w:sz="0" w:space="0" w:color="auto"/>
      </w:divBdr>
    </w:div>
    <w:div w:id="430275815">
      <w:bodyDiv w:val="1"/>
      <w:marLeft w:val="0"/>
      <w:marRight w:val="0"/>
      <w:marTop w:val="0"/>
      <w:marBottom w:val="0"/>
      <w:divBdr>
        <w:top w:val="none" w:sz="0" w:space="0" w:color="auto"/>
        <w:left w:val="none" w:sz="0" w:space="0" w:color="auto"/>
        <w:bottom w:val="none" w:sz="0" w:space="0" w:color="auto"/>
        <w:right w:val="none" w:sz="0" w:space="0" w:color="auto"/>
      </w:divBdr>
    </w:div>
    <w:div w:id="465323217">
      <w:bodyDiv w:val="1"/>
      <w:marLeft w:val="0"/>
      <w:marRight w:val="0"/>
      <w:marTop w:val="0"/>
      <w:marBottom w:val="0"/>
      <w:divBdr>
        <w:top w:val="none" w:sz="0" w:space="0" w:color="auto"/>
        <w:left w:val="none" w:sz="0" w:space="0" w:color="auto"/>
        <w:bottom w:val="none" w:sz="0" w:space="0" w:color="auto"/>
        <w:right w:val="none" w:sz="0" w:space="0" w:color="auto"/>
      </w:divBdr>
    </w:div>
    <w:div w:id="466237802">
      <w:bodyDiv w:val="1"/>
      <w:marLeft w:val="0"/>
      <w:marRight w:val="0"/>
      <w:marTop w:val="0"/>
      <w:marBottom w:val="0"/>
      <w:divBdr>
        <w:top w:val="none" w:sz="0" w:space="0" w:color="auto"/>
        <w:left w:val="none" w:sz="0" w:space="0" w:color="auto"/>
        <w:bottom w:val="none" w:sz="0" w:space="0" w:color="auto"/>
        <w:right w:val="none" w:sz="0" w:space="0" w:color="auto"/>
      </w:divBdr>
    </w:div>
    <w:div w:id="468741343">
      <w:bodyDiv w:val="1"/>
      <w:marLeft w:val="0"/>
      <w:marRight w:val="0"/>
      <w:marTop w:val="0"/>
      <w:marBottom w:val="0"/>
      <w:divBdr>
        <w:top w:val="none" w:sz="0" w:space="0" w:color="auto"/>
        <w:left w:val="none" w:sz="0" w:space="0" w:color="auto"/>
        <w:bottom w:val="none" w:sz="0" w:space="0" w:color="auto"/>
        <w:right w:val="none" w:sz="0" w:space="0" w:color="auto"/>
      </w:divBdr>
    </w:div>
    <w:div w:id="487329863">
      <w:bodyDiv w:val="1"/>
      <w:marLeft w:val="0"/>
      <w:marRight w:val="0"/>
      <w:marTop w:val="0"/>
      <w:marBottom w:val="0"/>
      <w:divBdr>
        <w:top w:val="none" w:sz="0" w:space="0" w:color="auto"/>
        <w:left w:val="none" w:sz="0" w:space="0" w:color="auto"/>
        <w:bottom w:val="none" w:sz="0" w:space="0" w:color="auto"/>
        <w:right w:val="none" w:sz="0" w:space="0" w:color="auto"/>
      </w:divBdr>
    </w:div>
    <w:div w:id="498889044">
      <w:bodyDiv w:val="1"/>
      <w:marLeft w:val="0"/>
      <w:marRight w:val="0"/>
      <w:marTop w:val="0"/>
      <w:marBottom w:val="0"/>
      <w:divBdr>
        <w:top w:val="none" w:sz="0" w:space="0" w:color="auto"/>
        <w:left w:val="none" w:sz="0" w:space="0" w:color="auto"/>
        <w:bottom w:val="none" w:sz="0" w:space="0" w:color="auto"/>
        <w:right w:val="none" w:sz="0" w:space="0" w:color="auto"/>
      </w:divBdr>
    </w:div>
    <w:div w:id="499735234">
      <w:bodyDiv w:val="1"/>
      <w:marLeft w:val="0"/>
      <w:marRight w:val="0"/>
      <w:marTop w:val="0"/>
      <w:marBottom w:val="0"/>
      <w:divBdr>
        <w:top w:val="none" w:sz="0" w:space="0" w:color="auto"/>
        <w:left w:val="none" w:sz="0" w:space="0" w:color="auto"/>
        <w:bottom w:val="none" w:sz="0" w:space="0" w:color="auto"/>
        <w:right w:val="none" w:sz="0" w:space="0" w:color="auto"/>
      </w:divBdr>
    </w:div>
    <w:div w:id="504127842">
      <w:bodyDiv w:val="1"/>
      <w:marLeft w:val="0"/>
      <w:marRight w:val="0"/>
      <w:marTop w:val="0"/>
      <w:marBottom w:val="0"/>
      <w:divBdr>
        <w:top w:val="none" w:sz="0" w:space="0" w:color="auto"/>
        <w:left w:val="none" w:sz="0" w:space="0" w:color="auto"/>
        <w:bottom w:val="none" w:sz="0" w:space="0" w:color="auto"/>
        <w:right w:val="none" w:sz="0" w:space="0" w:color="auto"/>
      </w:divBdr>
    </w:div>
    <w:div w:id="527380466">
      <w:bodyDiv w:val="1"/>
      <w:marLeft w:val="0"/>
      <w:marRight w:val="0"/>
      <w:marTop w:val="0"/>
      <w:marBottom w:val="0"/>
      <w:divBdr>
        <w:top w:val="none" w:sz="0" w:space="0" w:color="auto"/>
        <w:left w:val="none" w:sz="0" w:space="0" w:color="auto"/>
        <w:bottom w:val="none" w:sz="0" w:space="0" w:color="auto"/>
        <w:right w:val="none" w:sz="0" w:space="0" w:color="auto"/>
      </w:divBdr>
      <w:divsChild>
        <w:div w:id="243686384">
          <w:marLeft w:val="0"/>
          <w:marRight w:val="0"/>
          <w:marTop w:val="0"/>
          <w:marBottom w:val="0"/>
          <w:divBdr>
            <w:top w:val="none" w:sz="0" w:space="0" w:color="auto"/>
            <w:left w:val="none" w:sz="0" w:space="0" w:color="auto"/>
            <w:bottom w:val="none" w:sz="0" w:space="0" w:color="auto"/>
            <w:right w:val="none" w:sz="0" w:space="0" w:color="auto"/>
          </w:divBdr>
        </w:div>
        <w:div w:id="377052327">
          <w:marLeft w:val="0"/>
          <w:marRight w:val="0"/>
          <w:marTop w:val="0"/>
          <w:marBottom w:val="0"/>
          <w:divBdr>
            <w:top w:val="none" w:sz="0" w:space="0" w:color="auto"/>
            <w:left w:val="none" w:sz="0" w:space="0" w:color="auto"/>
            <w:bottom w:val="none" w:sz="0" w:space="0" w:color="auto"/>
            <w:right w:val="none" w:sz="0" w:space="0" w:color="auto"/>
          </w:divBdr>
        </w:div>
        <w:div w:id="997612398">
          <w:marLeft w:val="0"/>
          <w:marRight w:val="0"/>
          <w:marTop w:val="0"/>
          <w:marBottom w:val="0"/>
          <w:divBdr>
            <w:top w:val="none" w:sz="0" w:space="0" w:color="auto"/>
            <w:left w:val="none" w:sz="0" w:space="0" w:color="auto"/>
            <w:bottom w:val="none" w:sz="0" w:space="0" w:color="auto"/>
            <w:right w:val="none" w:sz="0" w:space="0" w:color="auto"/>
          </w:divBdr>
        </w:div>
      </w:divsChild>
    </w:div>
    <w:div w:id="528224258">
      <w:bodyDiv w:val="1"/>
      <w:marLeft w:val="0"/>
      <w:marRight w:val="0"/>
      <w:marTop w:val="0"/>
      <w:marBottom w:val="0"/>
      <w:divBdr>
        <w:top w:val="none" w:sz="0" w:space="0" w:color="auto"/>
        <w:left w:val="none" w:sz="0" w:space="0" w:color="auto"/>
        <w:bottom w:val="none" w:sz="0" w:space="0" w:color="auto"/>
        <w:right w:val="none" w:sz="0" w:space="0" w:color="auto"/>
      </w:divBdr>
    </w:div>
    <w:div w:id="531963668">
      <w:bodyDiv w:val="1"/>
      <w:marLeft w:val="0"/>
      <w:marRight w:val="0"/>
      <w:marTop w:val="0"/>
      <w:marBottom w:val="0"/>
      <w:divBdr>
        <w:top w:val="none" w:sz="0" w:space="0" w:color="auto"/>
        <w:left w:val="none" w:sz="0" w:space="0" w:color="auto"/>
        <w:bottom w:val="none" w:sz="0" w:space="0" w:color="auto"/>
        <w:right w:val="none" w:sz="0" w:space="0" w:color="auto"/>
      </w:divBdr>
    </w:div>
    <w:div w:id="543637509">
      <w:bodyDiv w:val="1"/>
      <w:marLeft w:val="0"/>
      <w:marRight w:val="0"/>
      <w:marTop w:val="0"/>
      <w:marBottom w:val="0"/>
      <w:divBdr>
        <w:top w:val="none" w:sz="0" w:space="0" w:color="auto"/>
        <w:left w:val="none" w:sz="0" w:space="0" w:color="auto"/>
        <w:bottom w:val="none" w:sz="0" w:space="0" w:color="auto"/>
        <w:right w:val="none" w:sz="0" w:space="0" w:color="auto"/>
      </w:divBdr>
    </w:div>
    <w:div w:id="545332356">
      <w:bodyDiv w:val="1"/>
      <w:marLeft w:val="0"/>
      <w:marRight w:val="0"/>
      <w:marTop w:val="0"/>
      <w:marBottom w:val="0"/>
      <w:divBdr>
        <w:top w:val="none" w:sz="0" w:space="0" w:color="auto"/>
        <w:left w:val="none" w:sz="0" w:space="0" w:color="auto"/>
        <w:bottom w:val="none" w:sz="0" w:space="0" w:color="auto"/>
        <w:right w:val="none" w:sz="0" w:space="0" w:color="auto"/>
      </w:divBdr>
    </w:div>
    <w:div w:id="549223617">
      <w:bodyDiv w:val="1"/>
      <w:marLeft w:val="0"/>
      <w:marRight w:val="0"/>
      <w:marTop w:val="0"/>
      <w:marBottom w:val="0"/>
      <w:divBdr>
        <w:top w:val="none" w:sz="0" w:space="0" w:color="auto"/>
        <w:left w:val="none" w:sz="0" w:space="0" w:color="auto"/>
        <w:bottom w:val="none" w:sz="0" w:space="0" w:color="auto"/>
        <w:right w:val="none" w:sz="0" w:space="0" w:color="auto"/>
      </w:divBdr>
    </w:div>
    <w:div w:id="551696691">
      <w:bodyDiv w:val="1"/>
      <w:marLeft w:val="0"/>
      <w:marRight w:val="0"/>
      <w:marTop w:val="0"/>
      <w:marBottom w:val="0"/>
      <w:divBdr>
        <w:top w:val="none" w:sz="0" w:space="0" w:color="auto"/>
        <w:left w:val="none" w:sz="0" w:space="0" w:color="auto"/>
        <w:bottom w:val="none" w:sz="0" w:space="0" w:color="auto"/>
        <w:right w:val="none" w:sz="0" w:space="0" w:color="auto"/>
      </w:divBdr>
    </w:div>
    <w:div w:id="558248919">
      <w:bodyDiv w:val="1"/>
      <w:marLeft w:val="0"/>
      <w:marRight w:val="0"/>
      <w:marTop w:val="0"/>
      <w:marBottom w:val="0"/>
      <w:divBdr>
        <w:top w:val="none" w:sz="0" w:space="0" w:color="auto"/>
        <w:left w:val="none" w:sz="0" w:space="0" w:color="auto"/>
        <w:bottom w:val="none" w:sz="0" w:space="0" w:color="auto"/>
        <w:right w:val="none" w:sz="0" w:space="0" w:color="auto"/>
      </w:divBdr>
    </w:div>
    <w:div w:id="595596408">
      <w:bodyDiv w:val="1"/>
      <w:marLeft w:val="0"/>
      <w:marRight w:val="0"/>
      <w:marTop w:val="0"/>
      <w:marBottom w:val="0"/>
      <w:divBdr>
        <w:top w:val="none" w:sz="0" w:space="0" w:color="auto"/>
        <w:left w:val="none" w:sz="0" w:space="0" w:color="auto"/>
        <w:bottom w:val="none" w:sz="0" w:space="0" w:color="auto"/>
        <w:right w:val="none" w:sz="0" w:space="0" w:color="auto"/>
      </w:divBdr>
    </w:div>
    <w:div w:id="602614895">
      <w:bodyDiv w:val="1"/>
      <w:marLeft w:val="0"/>
      <w:marRight w:val="0"/>
      <w:marTop w:val="0"/>
      <w:marBottom w:val="0"/>
      <w:divBdr>
        <w:top w:val="none" w:sz="0" w:space="0" w:color="auto"/>
        <w:left w:val="none" w:sz="0" w:space="0" w:color="auto"/>
        <w:bottom w:val="none" w:sz="0" w:space="0" w:color="auto"/>
        <w:right w:val="none" w:sz="0" w:space="0" w:color="auto"/>
      </w:divBdr>
    </w:div>
    <w:div w:id="609818336">
      <w:bodyDiv w:val="1"/>
      <w:marLeft w:val="0"/>
      <w:marRight w:val="0"/>
      <w:marTop w:val="0"/>
      <w:marBottom w:val="0"/>
      <w:divBdr>
        <w:top w:val="none" w:sz="0" w:space="0" w:color="auto"/>
        <w:left w:val="none" w:sz="0" w:space="0" w:color="auto"/>
        <w:bottom w:val="none" w:sz="0" w:space="0" w:color="auto"/>
        <w:right w:val="none" w:sz="0" w:space="0" w:color="auto"/>
      </w:divBdr>
    </w:div>
    <w:div w:id="631980556">
      <w:bodyDiv w:val="1"/>
      <w:marLeft w:val="0"/>
      <w:marRight w:val="0"/>
      <w:marTop w:val="0"/>
      <w:marBottom w:val="0"/>
      <w:divBdr>
        <w:top w:val="none" w:sz="0" w:space="0" w:color="auto"/>
        <w:left w:val="none" w:sz="0" w:space="0" w:color="auto"/>
        <w:bottom w:val="none" w:sz="0" w:space="0" w:color="auto"/>
        <w:right w:val="none" w:sz="0" w:space="0" w:color="auto"/>
      </w:divBdr>
    </w:div>
    <w:div w:id="634454068">
      <w:bodyDiv w:val="1"/>
      <w:marLeft w:val="0"/>
      <w:marRight w:val="0"/>
      <w:marTop w:val="0"/>
      <w:marBottom w:val="0"/>
      <w:divBdr>
        <w:top w:val="none" w:sz="0" w:space="0" w:color="auto"/>
        <w:left w:val="none" w:sz="0" w:space="0" w:color="auto"/>
        <w:bottom w:val="none" w:sz="0" w:space="0" w:color="auto"/>
        <w:right w:val="none" w:sz="0" w:space="0" w:color="auto"/>
      </w:divBdr>
    </w:div>
    <w:div w:id="641155638">
      <w:bodyDiv w:val="1"/>
      <w:marLeft w:val="0"/>
      <w:marRight w:val="0"/>
      <w:marTop w:val="0"/>
      <w:marBottom w:val="0"/>
      <w:divBdr>
        <w:top w:val="none" w:sz="0" w:space="0" w:color="auto"/>
        <w:left w:val="none" w:sz="0" w:space="0" w:color="auto"/>
        <w:bottom w:val="none" w:sz="0" w:space="0" w:color="auto"/>
        <w:right w:val="none" w:sz="0" w:space="0" w:color="auto"/>
      </w:divBdr>
    </w:div>
    <w:div w:id="643580018">
      <w:bodyDiv w:val="1"/>
      <w:marLeft w:val="0"/>
      <w:marRight w:val="0"/>
      <w:marTop w:val="0"/>
      <w:marBottom w:val="0"/>
      <w:divBdr>
        <w:top w:val="none" w:sz="0" w:space="0" w:color="auto"/>
        <w:left w:val="none" w:sz="0" w:space="0" w:color="auto"/>
        <w:bottom w:val="none" w:sz="0" w:space="0" w:color="auto"/>
        <w:right w:val="none" w:sz="0" w:space="0" w:color="auto"/>
      </w:divBdr>
    </w:div>
    <w:div w:id="644355476">
      <w:bodyDiv w:val="1"/>
      <w:marLeft w:val="0"/>
      <w:marRight w:val="0"/>
      <w:marTop w:val="0"/>
      <w:marBottom w:val="0"/>
      <w:divBdr>
        <w:top w:val="none" w:sz="0" w:space="0" w:color="auto"/>
        <w:left w:val="none" w:sz="0" w:space="0" w:color="auto"/>
        <w:bottom w:val="none" w:sz="0" w:space="0" w:color="auto"/>
        <w:right w:val="none" w:sz="0" w:space="0" w:color="auto"/>
      </w:divBdr>
    </w:div>
    <w:div w:id="649867750">
      <w:bodyDiv w:val="1"/>
      <w:marLeft w:val="0"/>
      <w:marRight w:val="0"/>
      <w:marTop w:val="0"/>
      <w:marBottom w:val="0"/>
      <w:divBdr>
        <w:top w:val="none" w:sz="0" w:space="0" w:color="auto"/>
        <w:left w:val="none" w:sz="0" w:space="0" w:color="auto"/>
        <w:bottom w:val="none" w:sz="0" w:space="0" w:color="auto"/>
        <w:right w:val="none" w:sz="0" w:space="0" w:color="auto"/>
      </w:divBdr>
    </w:div>
    <w:div w:id="673655021">
      <w:bodyDiv w:val="1"/>
      <w:marLeft w:val="0"/>
      <w:marRight w:val="0"/>
      <w:marTop w:val="0"/>
      <w:marBottom w:val="0"/>
      <w:divBdr>
        <w:top w:val="none" w:sz="0" w:space="0" w:color="auto"/>
        <w:left w:val="none" w:sz="0" w:space="0" w:color="auto"/>
        <w:bottom w:val="none" w:sz="0" w:space="0" w:color="auto"/>
        <w:right w:val="none" w:sz="0" w:space="0" w:color="auto"/>
      </w:divBdr>
    </w:div>
    <w:div w:id="683678546">
      <w:bodyDiv w:val="1"/>
      <w:marLeft w:val="0"/>
      <w:marRight w:val="0"/>
      <w:marTop w:val="0"/>
      <w:marBottom w:val="0"/>
      <w:divBdr>
        <w:top w:val="none" w:sz="0" w:space="0" w:color="auto"/>
        <w:left w:val="none" w:sz="0" w:space="0" w:color="auto"/>
        <w:bottom w:val="none" w:sz="0" w:space="0" w:color="auto"/>
        <w:right w:val="none" w:sz="0" w:space="0" w:color="auto"/>
      </w:divBdr>
    </w:div>
    <w:div w:id="690570905">
      <w:bodyDiv w:val="1"/>
      <w:marLeft w:val="0"/>
      <w:marRight w:val="0"/>
      <w:marTop w:val="0"/>
      <w:marBottom w:val="0"/>
      <w:divBdr>
        <w:top w:val="none" w:sz="0" w:space="0" w:color="auto"/>
        <w:left w:val="none" w:sz="0" w:space="0" w:color="auto"/>
        <w:bottom w:val="none" w:sz="0" w:space="0" w:color="auto"/>
        <w:right w:val="none" w:sz="0" w:space="0" w:color="auto"/>
      </w:divBdr>
    </w:div>
    <w:div w:id="699626658">
      <w:bodyDiv w:val="1"/>
      <w:marLeft w:val="0"/>
      <w:marRight w:val="0"/>
      <w:marTop w:val="0"/>
      <w:marBottom w:val="0"/>
      <w:divBdr>
        <w:top w:val="none" w:sz="0" w:space="0" w:color="auto"/>
        <w:left w:val="none" w:sz="0" w:space="0" w:color="auto"/>
        <w:bottom w:val="none" w:sz="0" w:space="0" w:color="auto"/>
        <w:right w:val="none" w:sz="0" w:space="0" w:color="auto"/>
      </w:divBdr>
    </w:div>
    <w:div w:id="699940052">
      <w:bodyDiv w:val="1"/>
      <w:marLeft w:val="0"/>
      <w:marRight w:val="0"/>
      <w:marTop w:val="0"/>
      <w:marBottom w:val="0"/>
      <w:divBdr>
        <w:top w:val="none" w:sz="0" w:space="0" w:color="auto"/>
        <w:left w:val="none" w:sz="0" w:space="0" w:color="auto"/>
        <w:bottom w:val="none" w:sz="0" w:space="0" w:color="auto"/>
        <w:right w:val="none" w:sz="0" w:space="0" w:color="auto"/>
      </w:divBdr>
    </w:div>
    <w:div w:id="711157018">
      <w:bodyDiv w:val="1"/>
      <w:marLeft w:val="0"/>
      <w:marRight w:val="0"/>
      <w:marTop w:val="0"/>
      <w:marBottom w:val="0"/>
      <w:divBdr>
        <w:top w:val="none" w:sz="0" w:space="0" w:color="auto"/>
        <w:left w:val="none" w:sz="0" w:space="0" w:color="auto"/>
        <w:bottom w:val="none" w:sz="0" w:space="0" w:color="auto"/>
        <w:right w:val="none" w:sz="0" w:space="0" w:color="auto"/>
      </w:divBdr>
    </w:div>
    <w:div w:id="726302588">
      <w:bodyDiv w:val="1"/>
      <w:marLeft w:val="0"/>
      <w:marRight w:val="0"/>
      <w:marTop w:val="0"/>
      <w:marBottom w:val="0"/>
      <w:divBdr>
        <w:top w:val="none" w:sz="0" w:space="0" w:color="auto"/>
        <w:left w:val="none" w:sz="0" w:space="0" w:color="auto"/>
        <w:bottom w:val="none" w:sz="0" w:space="0" w:color="auto"/>
        <w:right w:val="none" w:sz="0" w:space="0" w:color="auto"/>
      </w:divBdr>
    </w:div>
    <w:div w:id="739211623">
      <w:bodyDiv w:val="1"/>
      <w:marLeft w:val="0"/>
      <w:marRight w:val="0"/>
      <w:marTop w:val="0"/>
      <w:marBottom w:val="0"/>
      <w:divBdr>
        <w:top w:val="none" w:sz="0" w:space="0" w:color="auto"/>
        <w:left w:val="none" w:sz="0" w:space="0" w:color="auto"/>
        <w:bottom w:val="none" w:sz="0" w:space="0" w:color="auto"/>
        <w:right w:val="none" w:sz="0" w:space="0" w:color="auto"/>
      </w:divBdr>
    </w:div>
    <w:div w:id="751659087">
      <w:bodyDiv w:val="1"/>
      <w:marLeft w:val="0"/>
      <w:marRight w:val="0"/>
      <w:marTop w:val="0"/>
      <w:marBottom w:val="0"/>
      <w:divBdr>
        <w:top w:val="none" w:sz="0" w:space="0" w:color="auto"/>
        <w:left w:val="none" w:sz="0" w:space="0" w:color="auto"/>
        <w:bottom w:val="none" w:sz="0" w:space="0" w:color="auto"/>
        <w:right w:val="none" w:sz="0" w:space="0" w:color="auto"/>
      </w:divBdr>
    </w:div>
    <w:div w:id="758260528">
      <w:bodyDiv w:val="1"/>
      <w:marLeft w:val="0"/>
      <w:marRight w:val="0"/>
      <w:marTop w:val="0"/>
      <w:marBottom w:val="0"/>
      <w:divBdr>
        <w:top w:val="none" w:sz="0" w:space="0" w:color="auto"/>
        <w:left w:val="none" w:sz="0" w:space="0" w:color="auto"/>
        <w:bottom w:val="none" w:sz="0" w:space="0" w:color="auto"/>
        <w:right w:val="none" w:sz="0" w:space="0" w:color="auto"/>
      </w:divBdr>
    </w:div>
    <w:div w:id="765274377">
      <w:bodyDiv w:val="1"/>
      <w:marLeft w:val="0"/>
      <w:marRight w:val="0"/>
      <w:marTop w:val="0"/>
      <w:marBottom w:val="0"/>
      <w:divBdr>
        <w:top w:val="none" w:sz="0" w:space="0" w:color="auto"/>
        <w:left w:val="none" w:sz="0" w:space="0" w:color="auto"/>
        <w:bottom w:val="none" w:sz="0" w:space="0" w:color="auto"/>
        <w:right w:val="none" w:sz="0" w:space="0" w:color="auto"/>
      </w:divBdr>
    </w:div>
    <w:div w:id="767122914">
      <w:bodyDiv w:val="1"/>
      <w:marLeft w:val="0"/>
      <w:marRight w:val="0"/>
      <w:marTop w:val="0"/>
      <w:marBottom w:val="0"/>
      <w:divBdr>
        <w:top w:val="none" w:sz="0" w:space="0" w:color="auto"/>
        <w:left w:val="none" w:sz="0" w:space="0" w:color="auto"/>
        <w:bottom w:val="none" w:sz="0" w:space="0" w:color="auto"/>
        <w:right w:val="none" w:sz="0" w:space="0" w:color="auto"/>
      </w:divBdr>
    </w:div>
    <w:div w:id="774400374">
      <w:bodyDiv w:val="1"/>
      <w:marLeft w:val="0"/>
      <w:marRight w:val="0"/>
      <w:marTop w:val="0"/>
      <w:marBottom w:val="0"/>
      <w:divBdr>
        <w:top w:val="none" w:sz="0" w:space="0" w:color="auto"/>
        <w:left w:val="none" w:sz="0" w:space="0" w:color="auto"/>
        <w:bottom w:val="none" w:sz="0" w:space="0" w:color="auto"/>
        <w:right w:val="none" w:sz="0" w:space="0" w:color="auto"/>
      </w:divBdr>
    </w:div>
    <w:div w:id="781264476">
      <w:bodyDiv w:val="1"/>
      <w:marLeft w:val="0"/>
      <w:marRight w:val="0"/>
      <w:marTop w:val="0"/>
      <w:marBottom w:val="0"/>
      <w:divBdr>
        <w:top w:val="none" w:sz="0" w:space="0" w:color="auto"/>
        <w:left w:val="none" w:sz="0" w:space="0" w:color="auto"/>
        <w:bottom w:val="none" w:sz="0" w:space="0" w:color="auto"/>
        <w:right w:val="none" w:sz="0" w:space="0" w:color="auto"/>
      </w:divBdr>
      <w:divsChild>
        <w:div w:id="313875612">
          <w:marLeft w:val="288"/>
          <w:marRight w:val="0"/>
          <w:marTop w:val="82"/>
          <w:marBottom w:val="0"/>
          <w:divBdr>
            <w:top w:val="none" w:sz="0" w:space="0" w:color="auto"/>
            <w:left w:val="none" w:sz="0" w:space="0" w:color="auto"/>
            <w:bottom w:val="none" w:sz="0" w:space="0" w:color="auto"/>
            <w:right w:val="none" w:sz="0" w:space="0" w:color="auto"/>
          </w:divBdr>
        </w:div>
        <w:div w:id="892960544">
          <w:marLeft w:val="288"/>
          <w:marRight w:val="0"/>
          <w:marTop w:val="82"/>
          <w:marBottom w:val="0"/>
          <w:divBdr>
            <w:top w:val="none" w:sz="0" w:space="0" w:color="auto"/>
            <w:left w:val="none" w:sz="0" w:space="0" w:color="auto"/>
            <w:bottom w:val="none" w:sz="0" w:space="0" w:color="auto"/>
            <w:right w:val="none" w:sz="0" w:space="0" w:color="auto"/>
          </w:divBdr>
        </w:div>
        <w:div w:id="1397320728">
          <w:marLeft w:val="288"/>
          <w:marRight w:val="0"/>
          <w:marTop w:val="82"/>
          <w:marBottom w:val="0"/>
          <w:divBdr>
            <w:top w:val="none" w:sz="0" w:space="0" w:color="auto"/>
            <w:left w:val="none" w:sz="0" w:space="0" w:color="auto"/>
            <w:bottom w:val="none" w:sz="0" w:space="0" w:color="auto"/>
            <w:right w:val="none" w:sz="0" w:space="0" w:color="auto"/>
          </w:divBdr>
        </w:div>
        <w:div w:id="2014986190">
          <w:marLeft w:val="288"/>
          <w:marRight w:val="0"/>
          <w:marTop w:val="82"/>
          <w:marBottom w:val="0"/>
          <w:divBdr>
            <w:top w:val="none" w:sz="0" w:space="0" w:color="auto"/>
            <w:left w:val="none" w:sz="0" w:space="0" w:color="auto"/>
            <w:bottom w:val="none" w:sz="0" w:space="0" w:color="auto"/>
            <w:right w:val="none" w:sz="0" w:space="0" w:color="auto"/>
          </w:divBdr>
        </w:div>
      </w:divsChild>
    </w:div>
    <w:div w:id="788401905">
      <w:bodyDiv w:val="1"/>
      <w:marLeft w:val="0"/>
      <w:marRight w:val="0"/>
      <w:marTop w:val="0"/>
      <w:marBottom w:val="0"/>
      <w:divBdr>
        <w:top w:val="none" w:sz="0" w:space="0" w:color="auto"/>
        <w:left w:val="none" w:sz="0" w:space="0" w:color="auto"/>
        <w:bottom w:val="none" w:sz="0" w:space="0" w:color="auto"/>
        <w:right w:val="none" w:sz="0" w:space="0" w:color="auto"/>
      </w:divBdr>
    </w:div>
    <w:div w:id="795026525">
      <w:bodyDiv w:val="1"/>
      <w:marLeft w:val="0"/>
      <w:marRight w:val="0"/>
      <w:marTop w:val="0"/>
      <w:marBottom w:val="0"/>
      <w:divBdr>
        <w:top w:val="none" w:sz="0" w:space="0" w:color="auto"/>
        <w:left w:val="none" w:sz="0" w:space="0" w:color="auto"/>
        <w:bottom w:val="none" w:sz="0" w:space="0" w:color="auto"/>
        <w:right w:val="none" w:sz="0" w:space="0" w:color="auto"/>
      </w:divBdr>
    </w:div>
    <w:div w:id="817260318">
      <w:bodyDiv w:val="1"/>
      <w:marLeft w:val="0"/>
      <w:marRight w:val="0"/>
      <w:marTop w:val="0"/>
      <w:marBottom w:val="0"/>
      <w:divBdr>
        <w:top w:val="none" w:sz="0" w:space="0" w:color="auto"/>
        <w:left w:val="none" w:sz="0" w:space="0" w:color="auto"/>
        <w:bottom w:val="none" w:sz="0" w:space="0" w:color="auto"/>
        <w:right w:val="none" w:sz="0" w:space="0" w:color="auto"/>
      </w:divBdr>
    </w:div>
    <w:div w:id="820581152">
      <w:bodyDiv w:val="1"/>
      <w:marLeft w:val="0"/>
      <w:marRight w:val="0"/>
      <w:marTop w:val="0"/>
      <w:marBottom w:val="0"/>
      <w:divBdr>
        <w:top w:val="none" w:sz="0" w:space="0" w:color="auto"/>
        <w:left w:val="none" w:sz="0" w:space="0" w:color="auto"/>
        <w:bottom w:val="none" w:sz="0" w:space="0" w:color="auto"/>
        <w:right w:val="none" w:sz="0" w:space="0" w:color="auto"/>
      </w:divBdr>
    </w:div>
    <w:div w:id="853693291">
      <w:bodyDiv w:val="1"/>
      <w:marLeft w:val="0"/>
      <w:marRight w:val="0"/>
      <w:marTop w:val="0"/>
      <w:marBottom w:val="0"/>
      <w:divBdr>
        <w:top w:val="none" w:sz="0" w:space="0" w:color="auto"/>
        <w:left w:val="none" w:sz="0" w:space="0" w:color="auto"/>
        <w:bottom w:val="none" w:sz="0" w:space="0" w:color="auto"/>
        <w:right w:val="none" w:sz="0" w:space="0" w:color="auto"/>
      </w:divBdr>
    </w:div>
    <w:div w:id="864905794">
      <w:bodyDiv w:val="1"/>
      <w:marLeft w:val="0"/>
      <w:marRight w:val="0"/>
      <w:marTop w:val="0"/>
      <w:marBottom w:val="0"/>
      <w:divBdr>
        <w:top w:val="none" w:sz="0" w:space="0" w:color="auto"/>
        <w:left w:val="none" w:sz="0" w:space="0" w:color="auto"/>
        <w:bottom w:val="none" w:sz="0" w:space="0" w:color="auto"/>
        <w:right w:val="none" w:sz="0" w:space="0" w:color="auto"/>
      </w:divBdr>
    </w:div>
    <w:div w:id="866989493">
      <w:bodyDiv w:val="1"/>
      <w:marLeft w:val="0"/>
      <w:marRight w:val="0"/>
      <w:marTop w:val="0"/>
      <w:marBottom w:val="0"/>
      <w:divBdr>
        <w:top w:val="none" w:sz="0" w:space="0" w:color="auto"/>
        <w:left w:val="none" w:sz="0" w:space="0" w:color="auto"/>
        <w:bottom w:val="none" w:sz="0" w:space="0" w:color="auto"/>
        <w:right w:val="none" w:sz="0" w:space="0" w:color="auto"/>
      </w:divBdr>
    </w:div>
    <w:div w:id="870996651">
      <w:bodyDiv w:val="1"/>
      <w:marLeft w:val="0"/>
      <w:marRight w:val="0"/>
      <w:marTop w:val="0"/>
      <w:marBottom w:val="0"/>
      <w:divBdr>
        <w:top w:val="none" w:sz="0" w:space="0" w:color="auto"/>
        <w:left w:val="none" w:sz="0" w:space="0" w:color="auto"/>
        <w:bottom w:val="none" w:sz="0" w:space="0" w:color="auto"/>
        <w:right w:val="none" w:sz="0" w:space="0" w:color="auto"/>
      </w:divBdr>
    </w:div>
    <w:div w:id="876821265">
      <w:bodyDiv w:val="1"/>
      <w:marLeft w:val="0"/>
      <w:marRight w:val="0"/>
      <w:marTop w:val="0"/>
      <w:marBottom w:val="0"/>
      <w:divBdr>
        <w:top w:val="none" w:sz="0" w:space="0" w:color="auto"/>
        <w:left w:val="none" w:sz="0" w:space="0" w:color="auto"/>
        <w:bottom w:val="none" w:sz="0" w:space="0" w:color="auto"/>
        <w:right w:val="none" w:sz="0" w:space="0" w:color="auto"/>
      </w:divBdr>
    </w:div>
    <w:div w:id="881988869">
      <w:bodyDiv w:val="1"/>
      <w:marLeft w:val="0"/>
      <w:marRight w:val="0"/>
      <w:marTop w:val="0"/>
      <w:marBottom w:val="0"/>
      <w:divBdr>
        <w:top w:val="none" w:sz="0" w:space="0" w:color="auto"/>
        <w:left w:val="none" w:sz="0" w:space="0" w:color="auto"/>
        <w:bottom w:val="none" w:sz="0" w:space="0" w:color="auto"/>
        <w:right w:val="none" w:sz="0" w:space="0" w:color="auto"/>
      </w:divBdr>
    </w:div>
    <w:div w:id="899747459">
      <w:bodyDiv w:val="1"/>
      <w:marLeft w:val="0"/>
      <w:marRight w:val="0"/>
      <w:marTop w:val="0"/>
      <w:marBottom w:val="0"/>
      <w:divBdr>
        <w:top w:val="none" w:sz="0" w:space="0" w:color="auto"/>
        <w:left w:val="none" w:sz="0" w:space="0" w:color="auto"/>
        <w:bottom w:val="none" w:sz="0" w:space="0" w:color="auto"/>
        <w:right w:val="none" w:sz="0" w:space="0" w:color="auto"/>
      </w:divBdr>
    </w:div>
    <w:div w:id="909116837">
      <w:bodyDiv w:val="1"/>
      <w:marLeft w:val="0"/>
      <w:marRight w:val="0"/>
      <w:marTop w:val="0"/>
      <w:marBottom w:val="0"/>
      <w:divBdr>
        <w:top w:val="none" w:sz="0" w:space="0" w:color="auto"/>
        <w:left w:val="none" w:sz="0" w:space="0" w:color="auto"/>
        <w:bottom w:val="none" w:sz="0" w:space="0" w:color="auto"/>
        <w:right w:val="none" w:sz="0" w:space="0" w:color="auto"/>
      </w:divBdr>
    </w:div>
    <w:div w:id="920600326">
      <w:bodyDiv w:val="1"/>
      <w:marLeft w:val="0"/>
      <w:marRight w:val="0"/>
      <w:marTop w:val="0"/>
      <w:marBottom w:val="0"/>
      <w:divBdr>
        <w:top w:val="none" w:sz="0" w:space="0" w:color="auto"/>
        <w:left w:val="none" w:sz="0" w:space="0" w:color="auto"/>
        <w:bottom w:val="none" w:sz="0" w:space="0" w:color="auto"/>
        <w:right w:val="none" w:sz="0" w:space="0" w:color="auto"/>
      </w:divBdr>
    </w:div>
    <w:div w:id="925772517">
      <w:bodyDiv w:val="1"/>
      <w:marLeft w:val="0"/>
      <w:marRight w:val="0"/>
      <w:marTop w:val="0"/>
      <w:marBottom w:val="0"/>
      <w:divBdr>
        <w:top w:val="none" w:sz="0" w:space="0" w:color="auto"/>
        <w:left w:val="none" w:sz="0" w:space="0" w:color="auto"/>
        <w:bottom w:val="none" w:sz="0" w:space="0" w:color="auto"/>
        <w:right w:val="none" w:sz="0" w:space="0" w:color="auto"/>
      </w:divBdr>
    </w:div>
    <w:div w:id="935016319">
      <w:bodyDiv w:val="1"/>
      <w:marLeft w:val="0"/>
      <w:marRight w:val="0"/>
      <w:marTop w:val="0"/>
      <w:marBottom w:val="0"/>
      <w:divBdr>
        <w:top w:val="none" w:sz="0" w:space="0" w:color="auto"/>
        <w:left w:val="none" w:sz="0" w:space="0" w:color="auto"/>
        <w:bottom w:val="none" w:sz="0" w:space="0" w:color="auto"/>
        <w:right w:val="none" w:sz="0" w:space="0" w:color="auto"/>
      </w:divBdr>
    </w:div>
    <w:div w:id="936015519">
      <w:bodyDiv w:val="1"/>
      <w:marLeft w:val="0"/>
      <w:marRight w:val="0"/>
      <w:marTop w:val="0"/>
      <w:marBottom w:val="0"/>
      <w:divBdr>
        <w:top w:val="none" w:sz="0" w:space="0" w:color="auto"/>
        <w:left w:val="none" w:sz="0" w:space="0" w:color="auto"/>
        <w:bottom w:val="none" w:sz="0" w:space="0" w:color="auto"/>
        <w:right w:val="none" w:sz="0" w:space="0" w:color="auto"/>
      </w:divBdr>
    </w:div>
    <w:div w:id="939339742">
      <w:bodyDiv w:val="1"/>
      <w:marLeft w:val="0"/>
      <w:marRight w:val="0"/>
      <w:marTop w:val="0"/>
      <w:marBottom w:val="0"/>
      <w:divBdr>
        <w:top w:val="none" w:sz="0" w:space="0" w:color="auto"/>
        <w:left w:val="none" w:sz="0" w:space="0" w:color="auto"/>
        <w:bottom w:val="none" w:sz="0" w:space="0" w:color="auto"/>
        <w:right w:val="none" w:sz="0" w:space="0" w:color="auto"/>
      </w:divBdr>
    </w:div>
    <w:div w:id="956326667">
      <w:bodyDiv w:val="1"/>
      <w:marLeft w:val="0"/>
      <w:marRight w:val="0"/>
      <w:marTop w:val="0"/>
      <w:marBottom w:val="0"/>
      <w:divBdr>
        <w:top w:val="none" w:sz="0" w:space="0" w:color="auto"/>
        <w:left w:val="none" w:sz="0" w:space="0" w:color="auto"/>
        <w:bottom w:val="none" w:sz="0" w:space="0" w:color="auto"/>
        <w:right w:val="none" w:sz="0" w:space="0" w:color="auto"/>
      </w:divBdr>
    </w:div>
    <w:div w:id="964458069">
      <w:bodyDiv w:val="1"/>
      <w:marLeft w:val="0"/>
      <w:marRight w:val="0"/>
      <w:marTop w:val="0"/>
      <w:marBottom w:val="0"/>
      <w:divBdr>
        <w:top w:val="none" w:sz="0" w:space="0" w:color="auto"/>
        <w:left w:val="none" w:sz="0" w:space="0" w:color="auto"/>
        <w:bottom w:val="none" w:sz="0" w:space="0" w:color="auto"/>
        <w:right w:val="none" w:sz="0" w:space="0" w:color="auto"/>
      </w:divBdr>
    </w:div>
    <w:div w:id="975140330">
      <w:bodyDiv w:val="1"/>
      <w:marLeft w:val="0"/>
      <w:marRight w:val="0"/>
      <w:marTop w:val="0"/>
      <w:marBottom w:val="0"/>
      <w:divBdr>
        <w:top w:val="none" w:sz="0" w:space="0" w:color="auto"/>
        <w:left w:val="none" w:sz="0" w:space="0" w:color="auto"/>
        <w:bottom w:val="none" w:sz="0" w:space="0" w:color="auto"/>
        <w:right w:val="none" w:sz="0" w:space="0" w:color="auto"/>
      </w:divBdr>
    </w:div>
    <w:div w:id="978730061">
      <w:bodyDiv w:val="1"/>
      <w:marLeft w:val="0"/>
      <w:marRight w:val="0"/>
      <w:marTop w:val="0"/>
      <w:marBottom w:val="0"/>
      <w:divBdr>
        <w:top w:val="none" w:sz="0" w:space="0" w:color="auto"/>
        <w:left w:val="none" w:sz="0" w:space="0" w:color="auto"/>
        <w:bottom w:val="none" w:sz="0" w:space="0" w:color="auto"/>
        <w:right w:val="none" w:sz="0" w:space="0" w:color="auto"/>
      </w:divBdr>
    </w:div>
    <w:div w:id="984625414">
      <w:bodyDiv w:val="1"/>
      <w:marLeft w:val="0"/>
      <w:marRight w:val="0"/>
      <w:marTop w:val="0"/>
      <w:marBottom w:val="0"/>
      <w:divBdr>
        <w:top w:val="none" w:sz="0" w:space="0" w:color="auto"/>
        <w:left w:val="none" w:sz="0" w:space="0" w:color="auto"/>
        <w:bottom w:val="none" w:sz="0" w:space="0" w:color="auto"/>
        <w:right w:val="none" w:sz="0" w:space="0" w:color="auto"/>
      </w:divBdr>
    </w:div>
    <w:div w:id="986861110">
      <w:marLeft w:val="0"/>
      <w:marRight w:val="0"/>
      <w:marTop w:val="0"/>
      <w:marBottom w:val="0"/>
      <w:divBdr>
        <w:top w:val="none" w:sz="0" w:space="0" w:color="auto"/>
        <w:left w:val="none" w:sz="0" w:space="0" w:color="auto"/>
        <w:bottom w:val="none" w:sz="0" w:space="0" w:color="auto"/>
        <w:right w:val="none" w:sz="0" w:space="0" w:color="auto"/>
      </w:divBdr>
    </w:div>
    <w:div w:id="986861112">
      <w:marLeft w:val="0"/>
      <w:marRight w:val="0"/>
      <w:marTop w:val="0"/>
      <w:marBottom w:val="0"/>
      <w:divBdr>
        <w:top w:val="none" w:sz="0" w:space="0" w:color="auto"/>
        <w:left w:val="none" w:sz="0" w:space="0" w:color="auto"/>
        <w:bottom w:val="none" w:sz="0" w:space="0" w:color="auto"/>
        <w:right w:val="none" w:sz="0" w:space="0" w:color="auto"/>
      </w:divBdr>
      <w:divsChild>
        <w:div w:id="986861111">
          <w:marLeft w:val="0"/>
          <w:marRight w:val="0"/>
          <w:marTop w:val="0"/>
          <w:marBottom w:val="0"/>
          <w:divBdr>
            <w:top w:val="none" w:sz="0" w:space="0" w:color="auto"/>
            <w:left w:val="none" w:sz="0" w:space="0" w:color="auto"/>
            <w:bottom w:val="none" w:sz="0" w:space="0" w:color="auto"/>
            <w:right w:val="none" w:sz="0" w:space="0" w:color="auto"/>
          </w:divBdr>
          <w:divsChild>
            <w:div w:id="9868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61116">
      <w:marLeft w:val="0"/>
      <w:marRight w:val="0"/>
      <w:marTop w:val="0"/>
      <w:marBottom w:val="0"/>
      <w:divBdr>
        <w:top w:val="none" w:sz="0" w:space="0" w:color="auto"/>
        <w:left w:val="none" w:sz="0" w:space="0" w:color="auto"/>
        <w:bottom w:val="none" w:sz="0" w:space="0" w:color="auto"/>
        <w:right w:val="none" w:sz="0" w:space="0" w:color="auto"/>
      </w:divBdr>
      <w:divsChild>
        <w:div w:id="986861121">
          <w:marLeft w:val="0"/>
          <w:marRight w:val="0"/>
          <w:marTop w:val="0"/>
          <w:marBottom w:val="0"/>
          <w:divBdr>
            <w:top w:val="none" w:sz="0" w:space="0" w:color="auto"/>
            <w:left w:val="none" w:sz="0" w:space="0" w:color="auto"/>
            <w:bottom w:val="none" w:sz="0" w:space="0" w:color="auto"/>
            <w:right w:val="none" w:sz="0" w:space="0" w:color="auto"/>
          </w:divBdr>
          <w:divsChild>
            <w:div w:id="98686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61117">
      <w:marLeft w:val="0"/>
      <w:marRight w:val="0"/>
      <w:marTop w:val="0"/>
      <w:marBottom w:val="0"/>
      <w:divBdr>
        <w:top w:val="none" w:sz="0" w:space="0" w:color="auto"/>
        <w:left w:val="none" w:sz="0" w:space="0" w:color="auto"/>
        <w:bottom w:val="none" w:sz="0" w:space="0" w:color="auto"/>
        <w:right w:val="none" w:sz="0" w:space="0" w:color="auto"/>
      </w:divBdr>
    </w:div>
    <w:div w:id="986861118">
      <w:marLeft w:val="0"/>
      <w:marRight w:val="0"/>
      <w:marTop w:val="0"/>
      <w:marBottom w:val="0"/>
      <w:divBdr>
        <w:top w:val="none" w:sz="0" w:space="0" w:color="auto"/>
        <w:left w:val="none" w:sz="0" w:space="0" w:color="auto"/>
        <w:bottom w:val="none" w:sz="0" w:space="0" w:color="auto"/>
        <w:right w:val="none" w:sz="0" w:space="0" w:color="auto"/>
      </w:divBdr>
      <w:divsChild>
        <w:div w:id="986861115">
          <w:marLeft w:val="0"/>
          <w:marRight w:val="0"/>
          <w:marTop w:val="0"/>
          <w:marBottom w:val="0"/>
          <w:divBdr>
            <w:top w:val="none" w:sz="0" w:space="0" w:color="auto"/>
            <w:left w:val="none" w:sz="0" w:space="0" w:color="auto"/>
            <w:bottom w:val="none" w:sz="0" w:space="0" w:color="auto"/>
            <w:right w:val="none" w:sz="0" w:space="0" w:color="auto"/>
          </w:divBdr>
        </w:div>
      </w:divsChild>
    </w:div>
    <w:div w:id="986861123">
      <w:marLeft w:val="0"/>
      <w:marRight w:val="0"/>
      <w:marTop w:val="0"/>
      <w:marBottom w:val="0"/>
      <w:divBdr>
        <w:top w:val="none" w:sz="0" w:space="0" w:color="auto"/>
        <w:left w:val="none" w:sz="0" w:space="0" w:color="auto"/>
        <w:bottom w:val="none" w:sz="0" w:space="0" w:color="auto"/>
        <w:right w:val="none" w:sz="0" w:space="0" w:color="auto"/>
      </w:divBdr>
      <w:divsChild>
        <w:div w:id="986861120">
          <w:marLeft w:val="0"/>
          <w:marRight w:val="0"/>
          <w:marTop w:val="0"/>
          <w:marBottom w:val="0"/>
          <w:divBdr>
            <w:top w:val="none" w:sz="0" w:space="0" w:color="auto"/>
            <w:left w:val="none" w:sz="0" w:space="0" w:color="auto"/>
            <w:bottom w:val="none" w:sz="0" w:space="0" w:color="auto"/>
            <w:right w:val="none" w:sz="0" w:space="0" w:color="auto"/>
          </w:divBdr>
        </w:div>
      </w:divsChild>
    </w:div>
    <w:div w:id="986861125">
      <w:marLeft w:val="0"/>
      <w:marRight w:val="0"/>
      <w:marTop w:val="0"/>
      <w:marBottom w:val="0"/>
      <w:divBdr>
        <w:top w:val="none" w:sz="0" w:space="0" w:color="auto"/>
        <w:left w:val="none" w:sz="0" w:space="0" w:color="auto"/>
        <w:bottom w:val="none" w:sz="0" w:space="0" w:color="auto"/>
        <w:right w:val="none" w:sz="0" w:space="0" w:color="auto"/>
      </w:divBdr>
      <w:divsChild>
        <w:div w:id="986861131">
          <w:marLeft w:val="0"/>
          <w:marRight w:val="0"/>
          <w:marTop w:val="0"/>
          <w:marBottom w:val="0"/>
          <w:divBdr>
            <w:top w:val="none" w:sz="0" w:space="0" w:color="auto"/>
            <w:left w:val="none" w:sz="0" w:space="0" w:color="auto"/>
            <w:bottom w:val="none" w:sz="0" w:space="0" w:color="auto"/>
            <w:right w:val="none" w:sz="0" w:space="0" w:color="auto"/>
          </w:divBdr>
        </w:div>
      </w:divsChild>
    </w:div>
    <w:div w:id="986861126">
      <w:marLeft w:val="0"/>
      <w:marRight w:val="0"/>
      <w:marTop w:val="0"/>
      <w:marBottom w:val="0"/>
      <w:divBdr>
        <w:top w:val="none" w:sz="0" w:space="0" w:color="auto"/>
        <w:left w:val="none" w:sz="0" w:space="0" w:color="auto"/>
        <w:bottom w:val="none" w:sz="0" w:space="0" w:color="auto"/>
        <w:right w:val="none" w:sz="0" w:space="0" w:color="auto"/>
      </w:divBdr>
    </w:div>
    <w:div w:id="986861127">
      <w:marLeft w:val="0"/>
      <w:marRight w:val="0"/>
      <w:marTop w:val="0"/>
      <w:marBottom w:val="0"/>
      <w:divBdr>
        <w:top w:val="none" w:sz="0" w:space="0" w:color="auto"/>
        <w:left w:val="none" w:sz="0" w:space="0" w:color="auto"/>
        <w:bottom w:val="none" w:sz="0" w:space="0" w:color="auto"/>
        <w:right w:val="none" w:sz="0" w:space="0" w:color="auto"/>
      </w:divBdr>
      <w:divsChild>
        <w:div w:id="986861114">
          <w:marLeft w:val="0"/>
          <w:marRight w:val="0"/>
          <w:marTop w:val="0"/>
          <w:marBottom w:val="0"/>
          <w:divBdr>
            <w:top w:val="none" w:sz="0" w:space="0" w:color="auto"/>
            <w:left w:val="none" w:sz="0" w:space="0" w:color="auto"/>
            <w:bottom w:val="none" w:sz="0" w:space="0" w:color="auto"/>
            <w:right w:val="none" w:sz="0" w:space="0" w:color="auto"/>
          </w:divBdr>
          <w:divsChild>
            <w:div w:id="98686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61129">
      <w:marLeft w:val="0"/>
      <w:marRight w:val="0"/>
      <w:marTop w:val="0"/>
      <w:marBottom w:val="0"/>
      <w:divBdr>
        <w:top w:val="none" w:sz="0" w:space="0" w:color="auto"/>
        <w:left w:val="none" w:sz="0" w:space="0" w:color="auto"/>
        <w:bottom w:val="none" w:sz="0" w:space="0" w:color="auto"/>
        <w:right w:val="none" w:sz="0" w:space="0" w:color="auto"/>
      </w:divBdr>
    </w:div>
    <w:div w:id="986861130">
      <w:marLeft w:val="0"/>
      <w:marRight w:val="0"/>
      <w:marTop w:val="0"/>
      <w:marBottom w:val="0"/>
      <w:divBdr>
        <w:top w:val="none" w:sz="0" w:space="0" w:color="auto"/>
        <w:left w:val="none" w:sz="0" w:space="0" w:color="auto"/>
        <w:bottom w:val="none" w:sz="0" w:space="0" w:color="auto"/>
        <w:right w:val="none" w:sz="0" w:space="0" w:color="auto"/>
      </w:divBdr>
      <w:divsChild>
        <w:div w:id="986861133">
          <w:marLeft w:val="0"/>
          <w:marRight w:val="0"/>
          <w:marTop w:val="0"/>
          <w:marBottom w:val="0"/>
          <w:divBdr>
            <w:top w:val="none" w:sz="0" w:space="0" w:color="auto"/>
            <w:left w:val="none" w:sz="0" w:space="0" w:color="auto"/>
            <w:bottom w:val="none" w:sz="0" w:space="0" w:color="auto"/>
            <w:right w:val="none" w:sz="0" w:space="0" w:color="auto"/>
          </w:divBdr>
          <w:divsChild>
            <w:div w:id="98686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61132">
      <w:marLeft w:val="0"/>
      <w:marRight w:val="0"/>
      <w:marTop w:val="0"/>
      <w:marBottom w:val="0"/>
      <w:divBdr>
        <w:top w:val="none" w:sz="0" w:space="0" w:color="auto"/>
        <w:left w:val="none" w:sz="0" w:space="0" w:color="auto"/>
        <w:bottom w:val="none" w:sz="0" w:space="0" w:color="auto"/>
        <w:right w:val="none" w:sz="0" w:space="0" w:color="auto"/>
      </w:divBdr>
    </w:div>
    <w:div w:id="986861134">
      <w:marLeft w:val="0"/>
      <w:marRight w:val="0"/>
      <w:marTop w:val="0"/>
      <w:marBottom w:val="0"/>
      <w:divBdr>
        <w:top w:val="none" w:sz="0" w:space="0" w:color="auto"/>
        <w:left w:val="none" w:sz="0" w:space="0" w:color="auto"/>
        <w:bottom w:val="none" w:sz="0" w:space="0" w:color="auto"/>
        <w:right w:val="none" w:sz="0" w:space="0" w:color="auto"/>
      </w:divBdr>
      <w:divsChild>
        <w:div w:id="986861128">
          <w:marLeft w:val="0"/>
          <w:marRight w:val="0"/>
          <w:marTop w:val="0"/>
          <w:marBottom w:val="0"/>
          <w:divBdr>
            <w:top w:val="none" w:sz="0" w:space="0" w:color="auto"/>
            <w:left w:val="none" w:sz="0" w:space="0" w:color="auto"/>
            <w:bottom w:val="none" w:sz="0" w:space="0" w:color="auto"/>
            <w:right w:val="none" w:sz="0" w:space="0" w:color="auto"/>
          </w:divBdr>
        </w:div>
      </w:divsChild>
    </w:div>
    <w:div w:id="1006329240">
      <w:bodyDiv w:val="1"/>
      <w:marLeft w:val="0"/>
      <w:marRight w:val="0"/>
      <w:marTop w:val="0"/>
      <w:marBottom w:val="0"/>
      <w:divBdr>
        <w:top w:val="none" w:sz="0" w:space="0" w:color="auto"/>
        <w:left w:val="none" w:sz="0" w:space="0" w:color="auto"/>
        <w:bottom w:val="none" w:sz="0" w:space="0" w:color="auto"/>
        <w:right w:val="none" w:sz="0" w:space="0" w:color="auto"/>
      </w:divBdr>
    </w:div>
    <w:div w:id="1020470817">
      <w:bodyDiv w:val="1"/>
      <w:marLeft w:val="0"/>
      <w:marRight w:val="0"/>
      <w:marTop w:val="0"/>
      <w:marBottom w:val="0"/>
      <w:divBdr>
        <w:top w:val="none" w:sz="0" w:space="0" w:color="auto"/>
        <w:left w:val="none" w:sz="0" w:space="0" w:color="auto"/>
        <w:bottom w:val="none" w:sz="0" w:space="0" w:color="auto"/>
        <w:right w:val="none" w:sz="0" w:space="0" w:color="auto"/>
      </w:divBdr>
    </w:div>
    <w:div w:id="1030103439">
      <w:bodyDiv w:val="1"/>
      <w:marLeft w:val="0"/>
      <w:marRight w:val="0"/>
      <w:marTop w:val="0"/>
      <w:marBottom w:val="0"/>
      <w:divBdr>
        <w:top w:val="none" w:sz="0" w:space="0" w:color="auto"/>
        <w:left w:val="none" w:sz="0" w:space="0" w:color="auto"/>
        <w:bottom w:val="none" w:sz="0" w:space="0" w:color="auto"/>
        <w:right w:val="none" w:sz="0" w:space="0" w:color="auto"/>
      </w:divBdr>
    </w:div>
    <w:div w:id="1046678033">
      <w:bodyDiv w:val="1"/>
      <w:marLeft w:val="0"/>
      <w:marRight w:val="0"/>
      <w:marTop w:val="0"/>
      <w:marBottom w:val="0"/>
      <w:divBdr>
        <w:top w:val="none" w:sz="0" w:space="0" w:color="auto"/>
        <w:left w:val="none" w:sz="0" w:space="0" w:color="auto"/>
        <w:bottom w:val="none" w:sz="0" w:space="0" w:color="auto"/>
        <w:right w:val="none" w:sz="0" w:space="0" w:color="auto"/>
      </w:divBdr>
    </w:div>
    <w:div w:id="1049185556">
      <w:bodyDiv w:val="1"/>
      <w:marLeft w:val="0"/>
      <w:marRight w:val="0"/>
      <w:marTop w:val="0"/>
      <w:marBottom w:val="0"/>
      <w:divBdr>
        <w:top w:val="none" w:sz="0" w:space="0" w:color="auto"/>
        <w:left w:val="none" w:sz="0" w:space="0" w:color="auto"/>
        <w:bottom w:val="none" w:sz="0" w:space="0" w:color="auto"/>
        <w:right w:val="none" w:sz="0" w:space="0" w:color="auto"/>
      </w:divBdr>
    </w:div>
    <w:div w:id="1057821462">
      <w:bodyDiv w:val="1"/>
      <w:marLeft w:val="0"/>
      <w:marRight w:val="0"/>
      <w:marTop w:val="0"/>
      <w:marBottom w:val="0"/>
      <w:divBdr>
        <w:top w:val="none" w:sz="0" w:space="0" w:color="auto"/>
        <w:left w:val="none" w:sz="0" w:space="0" w:color="auto"/>
        <w:bottom w:val="none" w:sz="0" w:space="0" w:color="auto"/>
        <w:right w:val="none" w:sz="0" w:space="0" w:color="auto"/>
      </w:divBdr>
    </w:div>
    <w:div w:id="1061951266">
      <w:bodyDiv w:val="1"/>
      <w:marLeft w:val="0"/>
      <w:marRight w:val="0"/>
      <w:marTop w:val="0"/>
      <w:marBottom w:val="0"/>
      <w:divBdr>
        <w:top w:val="none" w:sz="0" w:space="0" w:color="auto"/>
        <w:left w:val="none" w:sz="0" w:space="0" w:color="auto"/>
        <w:bottom w:val="none" w:sz="0" w:space="0" w:color="auto"/>
        <w:right w:val="none" w:sz="0" w:space="0" w:color="auto"/>
      </w:divBdr>
    </w:div>
    <w:div w:id="1067995216">
      <w:bodyDiv w:val="1"/>
      <w:marLeft w:val="0"/>
      <w:marRight w:val="0"/>
      <w:marTop w:val="0"/>
      <w:marBottom w:val="0"/>
      <w:divBdr>
        <w:top w:val="none" w:sz="0" w:space="0" w:color="auto"/>
        <w:left w:val="none" w:sz="0" w:space="0" w:color="auto"/>
        <w:bottom w:val="none" w:sz="0" w:space="0" w:color="auto"/>
        <w:right w:val="none" w:sz="0" w:space="0" w:color="auto"/>
      </w:divBdr>
    </w:div>
    <w:div w:id="1074274988">
      <w:bodyDiv w:val="1"/>
      <w:marLeft w:val="0"/>
      <w:marRight w:val="0"/>
      <w:marTop w:val="0"/>
      <w:marBottom w:val="0"/>
      <w:divBdr>
        <w:top w:val="none" w:sz="0" w:space="0" w:color="auto"/>
        <w:left w:val="none" w:sz="0" w:space="0" w:color="auto"/>
        <w:bottom w:val="none" w:sz="0" w:space="0" w:color="auto"/>
        <w:right w:val="none" w:sz="0" w:space="0" w:color="auto"/>
      </w:divBdr>
    </w:div>
    <w:div w:id="1082486037">
      <w:bodyDiv w:val="1"/>
      <w:marLeft w:val="0"/>
      <w:marRight w:val="0"/>
      <w:marTop w:val="0"/>
      <w:marBottom w:val="0"/>
      <w:divBdr>
        <w:top w:val="none" w:sz="0" w:space="0" w:color="auto"/>
        <w:left w:val="none" w:sz="0" w:space="0" w:color="auto"/>
        <w:bottom w:val="none" w:sz="0" w:space="0" w:color="auto"/>
        <w:right w:val="none" w:sz="0" w:space="0" w:color="auto"/>
      </w:divBdr>
    </w:div>
    <w:div w:id="1087846396">
      <w:bodyDiv w:val="1"/>
      <w:marLeft w:val="0"/>
      <w:marRight w:val="0"/>
      <w:marTop w:val="0"/>
      <w:marBottom w:val="0"/>
      <w:divBdr>
        <w:top w:val="none" w:sz="0" w:space="0" w:color="auto"/>
        <w:left w:val="none" w:sz="0" w:space="0" w:color="auto"/>
        <w:bottom w:val="none" w:sz="0" w:space="0" w:color="auto"/>
        <w:right w:val="none" w:sz="0" w:space="0" w:color="auto"/>
      </w:divBdr>
    </w:div>
    <w:div w:id="1097599417">
      <w:bodyDiv w:val="1"/>
      <w:marLeft w:val="0"/>
      <w:marRight w:val="0"/>
      <w:marTop w:val="0"/>
      <w:marBottom w:val="0"/>
      <w:divBdr>
        <w:top w:val="none" w:sz="0" w:space="0" w:color="auto"/>
        <w:left w:val="none" w:sz="0" w:space="0" w:color="auto"/>
        <w:bottom w:val="none" w:sz="0" w:space="0" w:color="auto"/>
        <w:right w:val="none" w:sz="0" w:space="0" w:color="auto"/>
      </w:divBdr>
    </w:div>
    <w:div w:id="1109548502">
      <w:bodyDiv w:val="1"/>
      <w:marLeft w:val="0"/>
      <w:marRight w:val="0"/>
      <w:marTop w:val="0"/>
      <w:marBottom w:val="0"/>
      <w:divBdr>
        <w:top w:val="none" w:sz="0" w:space="0" w:color="auto"/>
        <w:left w:val="none" w:sz="0" w:space="0" w:color="auto"/>
        <w:bottom w:val="none" w:sz="0" w:space="0" w:color="auto"/>
        <w:right w:val="none" w:sz="0" w:space="0" w:color="auto"/>
      </w:divBdr>
    </w:div>
    <w:div w:id="1116482563">
      <w:bodyDiv w:val="1"/>
      <w:marLeft w:val="0"/>
      <w:marRight w:val="0"/>
      <w:marTop w:val="0"/>
      <w:marBottom w:val="0"/>
      <w:divBdr>
        <w:top w:val="none" w:sz="0" w:space="0" w:color="auto"/>
        <w:left w:val="none" w:sz="0" w:space="0" w:color="auto"/>
        <w:bottom w:val="none" w:sz="0" w:space="0" w:color="auto"/>
        <w:right w:val="none" w:sz="0" w:space="0" w:color="auto"/>
      </w:divBdr>
    </w:div>
    <w:div w:id="1128355599">
      <w:bodyDiv w:val="1"/>
      <w:marLeft w:val="0"/>
      <w:marRight w:val="0"/>
      <w:marTop w:val="0"/>
      <w:marBottom w:val="0"/>
      <w:divBdr>
        <w:top w:val="none" w:sz="0" w:space="0" w:color="auto"/>
        <w:left w:val="none" w:sz="0" w:space="0" w:color="auto"/>
        <w:bottom w:val="none" w:sz="0" w:space="0" w:color="auto"/>
        <w:right w:val="none" w:sz="0" w:space="0" w:color="auto"/>
      </w:divBdr>
    </w:div>
    <w:div w:id="1134760579">
      <w:bodyDiv w:val="1"/>
      <w:marLeft w:val="0"/>
      <w:marRight w:val="0"/>
      <w:marTop w:val="0"/>
      <w:marBottom w:val="0"/>
      <w:divBdr>
        <w:top w:val="none" w:sz="0" w:space="0" w:color="auto"/>
        <w:left w:val="none" w:sz="0" w:space="0" w:color="auto"/>
        <w:bottom w:val="none" w:sz="0" w:space="0" w:color="auto"/>
        <w:right w:val="none" w:sz="0" w:space="0" w:color="auto"/>
      </w:divBdr>
    </w:div>
    <w:div w:id="1136097449">
      <w:bodyDiv w:val="1"/>
      <w:marLeft w:val="0"/>
      <w:marRight w:val="0"/>
      <w:marTop w:val="0"/>
      <w:marBottom w:val="0"/>
      <w:divBdr>
        <w:top w:val="none" w:sz="0" w:space="0" w:color="auto"/>
        <w:left w:val="none" w:sz="0" w:space="0" w:color="auto"/>
        <w:bottom w:val="none" w:sz="0" w:space="0" w:color="auto"/>
        <w:right w:val="none" w:sz="0" w:space="0" w:color="auto"/>
      </w:divBdr>
    </w:div>
    <w:div w:id="1146438196">
      <w:bodyDiv w:val="1"/>
      <w:marLeft w:val="0"/>
      <w:marRight w:val="0"/>
      <w:marTop w:val="0"/>
      <w:marBottom w:val="0"/>
      <w:divBdr>
        <w:top w:val="none" w:sz="0" w:space="0" w:color="auto"/>
        <w:left w:val="none" w:sz="0" w:space="0" w:color="auto"/>
        <w:bottom w:val="none" w:sz="0" w:space="0" w:color="auto"/>
        <w:right w:val="none" w:sz="0" w:space="0" w:color="auto"/>
      </w:divBdr>
    </w:div>
    <w:div w:id="1153444390">
      <w:bodyDiv w:val="1"/>
      <w:marLeft w:val="0"/>
      <w:marRight w:val="0"/>
      <w:marTop w:val="0"/>
      <w:marBottom w:val="0"/>
      <w:divBdr>
        <w:top w:val="none" w:sz="0" w:space="0" w:color="auto"/>
        <w:left w:val="none" w:sz="0" w:space="0" w:color="auto"/>
        <w:bottom w:val="none" w:sz="0" w:space="0" w:color="auto"/>
        <w:right w:val="none" w:sz="0" w:space="0" w:color="auto"/>
      </w:divBdr>
    </w:div>
    <w:div w:id="1177160507">
      <w:bodyDiv w:val="1"/>
      <w:marLeft w:val="0"/>
      <w:marRight w:val="0"/>
      <w:marTop w:val="0"/>
      <w:marBottom w:val="0"/>
      <w:divBdr>
        <w:top w:val="none" w:sz="0" w:space="0" w:color="auto"/>
        <w:left w:val="none" w:sz="0" w:space="0" w:color="auto"/>
        <w:bottom w:val="none" w:sz="0" w:space="0" w:color="auto"/>
        <w:right w:val="none" w:sz="0" w:space="0" w:color="auto"/>
      </w:divBdr>
    </w:div>
    <w:div w:id="1183125565">
      <w:bodyDiv w:val="1"/>
      <w:marLeft w:val="0"/>
      <w:marRight w:val="0"/>
      <w:marTop w:val="0"/>
      <w:marBottom w:val="0"/>
      <w:divBdr>
        <w:top w:val="none" w:sz="0" w:space="0" w:color="auto"/>
        <w:left w:val="none" w:sz="0" w:space="0" w:color="auto"/>
        <w:bottom w:val="none" w:sz="0" w:space="0" w:color="auto"/>
        <w:right w:val="none" w:sz="0" w:space="0" w:color="auto"/>
      </w:divBdr>
    </w:div>
    <w:div w:id="1188956366">
      <w:bodyDiv w:val="1"/>
      <w:marLeft w:val="0"/>
      <w:marRight w:val="0"/>
      <w:marTop w:val="0"/>
      <w:marBottom w:val="0"/>
      <w:divBdr>
        <w:top w:val="none" w:sz="0" w:space="0" w:color="auto"/>
        <w:left w:val="none" w:sz="0" w:space="0" w:color="auto"/>
        <w:bottom w:val="none" w:sz="0" w:space="0" w:color="auto"/>
        <w:right w:val="none" w:sz="0" w:space="0" w:color="auto"/>
      </w:divBdr>
    </w:div>
    <w:div w:id="1195849064">
      <w:bodyDiv w:val="1"/>
      <w:marLeft w:val="0"/>
      <w:marRight w:val="0"/>
      <w:marTop w:val="0"/>
      <w:marBottom w:val="0"/>
      <w:divBdr>
        <w:top w:val="none" w:sz="0" w:space="0" w:color="auto"/>
        <w:left w:val="none" w:sz="0" w:space="0" w:color="auto"/>
        <w:bottom w:val="none" w:sz="0" w:space="0" w:color="auto"/>
        <w:right w:val="none" w:sz="0" w:space="0" w:color="auto"/>
      </w:divBdr>
    </w:div>
    <w:div w:id="1202133812">
      <w:bodyDiv w:val="1"/>
      <w:marLeft w:val="0"/>
      <w:marRight w:val="0"/>
      <w:marTop w:val="0"/>
      <w:marBottom w:val="0"/>
      <w:divBdr>
        <w:top w:val="none" w:sz="0" w:space="0" w:color="auto"/>
        <w:left w:val="none" w:sz="0" w:space="0" w:color="auto"/>
        <w:bottom w:val="none" w:sz="0" w:space="0" w:color="auto"/>
        <w:right w:val="none" w:sz="0" w:space="0" w:color="auto"/>
      </w:divBdr>
    </w:div>
    <w:div w:id="1213152573">
      <w:bodyDiv w:val="1"/>
      <w:marLeft w:val="0"/>
      <w:marRight w:val="0"/>
      <w:marTop w:val="0"/>
      <w:marBottom w:val="0"/>
      <w:divBdr>
        <w:top w:val="none" w:sz="0" w:space="0" w:color="auto"/>
        <w:left w:val="none" w:sz="0" w:space="0" w:color="auto"/>
        <w:bottom w:val="none" w:sz="0" w:space="0" w:color="auto"/>
        <w:right w:val="none" w:sz="0" w:space="0" w:color="auto"/>
      </w:divBdr>
    </w:div>
    <w:div w:id="1214806482">
      <w:bodyDiv w:val="1"/>
      <w:marLeft w:val="0"/>
      <w:marRight w:val="0"/>
      <w:marTop w:val="0"/>
      <w:marBottom w:val="0"/>
      <w:divBdr>
        <w:top w:val="none" w:sz="0" w:space="0" w:color="auto"/>
        <w:left w:val="none" w:sz="0" w:space="0" w:color="auto"/>
        <w:bottom w:val="none" w:sz="0" w:space="0" w:color="auto"/>
        <w:right w:val="none" w:sz="0" w:space="0" w:color="auto"/>
      </w:divBdr>
    </w:div>
    <w:div w:id="1221598618">
      <w:bodyDiv w:val="1"/>
      <w:marLeft w:val="0"/>
      <w:marRight w:val="0"/>
      <w:marTop w:val="0"/>
      <w:marBottom w:val="0"/>
      <w:divBdr>
        <w:top w:val="none" w:sz="0" w:space="0" w:color="auto"/>
        <w:left w:val="none" w:sz="0" w:space="0" w:color="auto"/>
        <w:bottom w:val="none" w:sz="0" w:space="0" w:color="auto"/>
        <w:right w:val="none" w:sz="0" w:space="0" w:color="auto"/>
      </w:divBdr>
    </w:div>
    <w:div w:id="1224488293">
      <w:bodyDiv w:val="1"/>
      <w:marLeft w:val="0"/>
      <w:marRight w:val="0"/>
      <w:marTop w:val="0"/>
      <w:marBottom w:val="0"/>
      <w:divBdr>
        <w:top w:val="none" w:sz="0" w:space="0" w:color="auto"/>
        <w:left w:val="none" w:sz="0" w:space="0" w:color="auto"/>
        <w:bottom w:val="none" w:sz="0" w:space="0" w:color="auto"/>
        <w:right w:val="none" w:sz="0" w:space="0" w:color="auto"/>
      </w:divBdr>
    </w:div>
    <w:div w:id="1230307928">
      <w:bodyDiv w:val="1"/>
      <w:marLeft w:val="0"/>
      <w:marRight w:val="0"/>
      <w:marTop w:val="0"/>
      <w:marBottom w:val="0"/>
      <w:divBdr>
        <w:top w:val="none" w:sz="0" w:space="0" w:color="auto"/>
        <w:left w:val="none" w:sz="0" w:space="0" w:color="auto"/>
        <w:bottom w:val="none" w:sz="0" w:space="0" w:color="auto"/>
        <w:right w:val="none" w:sz="0" w:space="0" w:color="auto"/>
      </w:divBdr>
    </w:div>
    <w:div w:id="1248071626">
      <w:bodyDiv w:val="1"/>
      <w:marLeft w:val="0"/>
      <w:marRight w:val="0"/>
      <w:marTop w:val="0"/>
      <w:marBottom w:val="0"/>
      <w:divBdr>
        <w:top w:val="none" w:sz="0" w:space="0" w:color="auto"/>
        <w:left w:val="none" w:sz="0" w:space="0" w:color="auto"/>
        <w:bottom w:val="none" w:sz="0" w:space="0" w:color="auto"/>
        <w:right w:val="none" w:sz="0" w:space="0" w:color="auto"/>
      </w:divBdr>
    </w:div>
    <w:div w:id="1263342374">
      <w:bodyDiv w:val="1"/>
      <w:marLeft w:val="0"/>
      <w:marRight w:val="0"/>
      <w:marTop w:val="0"/>
      <w:marBottom w:val="0"/>
      <w:divBdr>
        <w:top w:val="none" w:sz="0" w:space="0" w:color="auto"/>
        <w:left w:val="none" w:sz="0" w:space="0" w:color="auto"/>
        <w:bottom w:val="none" w:sz="0" w:space="0" w:color="auto"/>
        <w:right w:val="none" w:sz="0" w:space="0" w:color="auto"/>
      </w:divBdr>
    </w:div>
    <w:div w:id="1281569893">
      <w:bodyDiv w:val="1"/>
      <w:marLeft w:val="0"/>
      <w:marRight w:val="0"/>
      <w:marTop w:val="0"/>
      <w:marBottom w:val="0"/>
      <w:divBdr>
        <w:top w:val="none" w:sz="0" w:space="0" w:color="auto"/>
        <w:left w:val="none" w:sz="0" w:space="0" w:color="auto"/>
        <w:bottom w:val="none" w:sz="0" w:space="0" w:color="auto"/>
        <w:right w:val="none" w:sz="0" w:space="0" w:color="auto"/>
      </w:divBdr>
    </w:div>
    <w:div w:id="1290090448">
      <w:bodyDiv w:val="1"/>
      <w:marLeft w:val="0"/>
      <w:marRight w:val="0"/>
      <w:marTop w:val="0"/>
      <w:marBottom w:val="0"/>
      <w:divBdr>
        <w:top w:val="none" w:sz="0" w:space="0" w:color="auto"/>
        <w:left w:val="none" w:sz="0" w:space="0" w:color="auto"/>
        <w:bottom w:val="none" w:sz="0" w:space="0" w:color="auto"/>
        <w:right w:val="none" w:sz="0" w:space="0" w:color="auto"/>
      </w:divBdr>
    </w:div>
    <w:div w:id="1308824628">
      <w:bodyDiv w:val="1"/>
      <w:marLeft w:val="0"/>
      <w:marRight w:val="0"/>
      <w:marTop w:val="0"/>
      <w:marBottom w:val="0"/>
      <w:divBdr>
        <w:top w:val="none" w:sz="0" w:space="0" w:color="auto"/>
        <w:left w:val="none" w:sz="0" w:space="0" w:color="auto"/>
        <w:bottom w:val="none" w:sz="0" w:space="0" w:color="auto"/>
        <w:right w:val="none" w:sz="0" w:space="0" w:color="auto"/>
      </w:divBdr>
    </w:div>
    <w:div w:id="1311792597">
      <w:bodyDiv w:val="1"/>
      <w:marLeft w:val="0"/>
      <w:marRight w:val="0"/>
      <w:marTop w:val="0"/>
      <w:marBottom w:val="0"/>
      <w:divBdr>
        <w:top w:val="none" w:sz="0" w:space="0" w:color="auto"/>
        <w:left w:val="none" w:sz="0" w:space="0" w:color="auto"/>
        <w:bottom w:val="none" w:sz="0" w:space="0" w:color="auto"/>
        <w:right w:val="none" w:sz="0" w:space="0" w:color="auto"/>
      </w:divBdr>
    </w:div>
    <w:div w:id="1320381686">
      <w:bodyDiv w:val="1"/>
      <w:marLeft w:val="0"/>
      <w:marRight w:val="0"/>
      <w:marTop w:val="0"/>
      <w:marBottom w:val="0"/>
      <w:divBdr>
        <w:top w:val="none" w:sz="0" w:space="0" w:color="auto"/>
        <w:left w:val="none" w:sz="0" w:space="0" w:color="auto"/>
        <w:bottom w:val="none" w:sz="0" w:space="0" w:color="auto"/>
        <w:right w:val="none" w:sz="0" w:space="0" w:color="auto"/>
      </w:divBdr>
    </w:div>
    <w:div w:id="1329483984">
      <w:bodyDiv w:val="1"/>
      <w:marLeft w:val="0"/>
      <w:marRight w:val="0"/>
      <w:marTop w:val="0"/>
      <w:marBottom w:val="0"/>
      <w:divBdr>
        <w:top w:val="none" w:sz="0" w:space="0" w:color="auto"/>
        <w:left w:val="none" w:sz="0" w:space="0" w:color="auto"/>
        <w:bottom w:val="none" w:sz="0" w:space="0" w:color="auto"/>
        <w:right w:val="none" w:sz="0" w:space="0" w:color="auto"/>
      </w:divBdr>
    </w:div>
    <w:div w:id="1338919779">
      <w:bodyDiv w:val="1"/>
      <w:marLeft w:val="0"/>
      <w:marRight w:val="0"/>
      <w:marTop w:val="0"/>
      <w:marBottom w:val="0"/>
      <w:divBdr>
        <w:top w:val="none" w:sz="0" w:space="0" w:color="auto"/>
        <w:left w:val="none" w:sz="0" w:space="0" w:color="auto"/>
        <w:bottom w:val="none" w:sz="0" w:space="0" w:color="auto"/>
        <w:right w:val="none" w:sz="0" w:space="0" w:color="auto"/>
      </w:divBdr>
    </w:div>
    <w:div w:id="1343781176">
      <w:bodyDiv w:val="1"/>
      <w:marLeft w:val="0"/>
      <w:marRight w:val="0"/>
      <w:marTop w:val="0"/>
      <w:marBottom w:val="0"/>
      <w:divBdr>
        <w:top w:val="none" w:sz="0" w:space="0" w:color="auto"/>
        <w:left w:val="none" w:sz="0" w:space="0" w:color="auto"/>
        <w:bottom w:val="none" w:sz="0" w:space="0" w:color="auto"/>
        <w:right w:val="none" w:sz="0" w:space="0" w:color="auto"/>
      </w:divBdr>
    </w:div>
    <w:div w:id="1352419220">
      <w:bodyDiv w:val="1"/>
      <w:marLeft w:val="0"/>
      <w:marRight w:val="0"/>
      <w:marTop w:val="0"/>
      <w:marBottom w:val="0"/>
      <w:divBdr>
        <w:top w:val="none" w:sz="0" w:space="0" w:color="auto"/>
        <w:left w:val="none" w:sz="0" w:space="0" w:color="auto"/>
        <w:bottom w:val="none" w:sz="0" w:space="0" w:color="auto"/>
        <w:right w:val="none" w:sz="0" w:space="0" w:color="auto"/>
      </w:divBdr>
    </w:div>
    <w:div w:id="1354648450">
      <w:bodyDiv w:val="1"/>
      <w:marLeft w:val="0"/>
      <w:marRight w:val="0"/>
      <w:marTop w:val="0"/>
      <w:marBottom w:val="0"/>
      <w:divBdr>
        <w:top w:val="none" w:sz="0" w:space="0" w:color="auto"/>
        <w:left w:val="none" w:sz="0" w:space="0" w:color="auto"/>
        <w:bottom w:val="none" w:sz="0" w:space="0" w:color="auto"/>
        <w:right w:val="none" w:sz="0" w:space="0" w:color="auto"/>
      </w:divBdr>
    </w:div>
    <w:div w:id="1359507577">
      <w:bodyDiv w:val="1"/>
      <w:marLeft w:val="0"/>
      <w:marRight w:val="0"/>
      <w:marTop w:val="0"/>
      <w:marBottom w:val="0"/>
      <w:divBdr>
        <w:top w:val="none" w:sz="0" w:space="0" w:color="auto"/>
        <w:left w:val="none" w:sz="0" w:space="0" w:color="auto"/>
        <w:bottom w:val="none" w:sz="0" w:space="0" w:color="auto"/>
        <w:right w:val="none" w:sz="0" w:space="0" w:color="auto"/>
      </w:divBdr>
    </w:div>
    <w:div w:id="1365209972">
      <w:bodyDiv w:val="1"/>
      <w:marLeft w:val="0"/>
      <w:marRight w:val="0"/>
      <w:marTop w:val="0"/>
      <w:marBottom w:val="0"/>
      <w:divBdr>
        <w:top w:val="none" w:sz="0" w:space="0" w:color="auto"/>
        <w:left w:val="none" w:sz="0" w:space="0" w:color="auto"/>
        <w:bottom w:val="none" w:sz="0" w:space="0" w:color="auto"/>
        <w:right w:val="none" w:sz="0" w:space="0" w:color="auto"/>
      </w:divBdr>
    </w:div>
    <w:div w:id="1367830858">
      <w:bodyDiv w:val="1"/>
      <w:marLeft w:val="0"/>
      <w:marRight w:val="0"/>
      <w:marTop w:val="0"/>
      <w:marBottom w:val="0"/>
      <w:divBdr>
        <w:top w:val="none" w:sz="0" w:space="0" w:color="auto"/>
        <w:left w:val="none" w:sz="0" w:space="0" w:color="auto"/>
        <w:bottom w:val="none" w:sz="0" w:space="0" w:color="auto"/>
        <w:right w:val="none" w:sz="0" w:space="0" w:color="auto"/>
      </w:divBdr>
    </w:div>
    <w:div w:id="1383677377">
      <w:bodyDiv w:val="1"/>
      <w:marLeft w:val="0"/>
      <w:marRight w:val="0"/>
      <w:marTop w:val="0"/>
      <w:marBottom w:val="0"/>
      <w:divBdr>
        <w:top w:val="none" w:sz="0" w:space="0" w:color="auto"/>
        <w:left w:val="none" w:sz="0" w:space="0" w:color="auto"/>
        <w:bottom w:val="none" w:sz="0" w:space="0" w:color="auto"/>
        <w:right w:val="none" w:sz="0" w:space="0" w:color="auto"/>
      </w:divBdr>
    </w:div>
    <w:div w:id="1390609471">
      <w:bodyDiv w:val="1"/>
      <w:marLeft w:val="0"/>
      <w:marRight w:val="0"/>
      <w:marTop w:val="0"/>
      <w:marBottom w:val="0"/>
      <w:divBdr>
        <w:top w:val="none" w:sz="0" w:space="0" w:color="auto"/>
        <w:left w:val="none" w:sz="0" w:space="0" w:color="auto"/>
        <w:bottom w:val="none" w:sz="0" w:space="0" w:color="auto"/>
        <w:right w:val="none" w:sz="0" w:space="0" w:color="auto"/>
      </w:divBdr>
    </w:div>
    <w:div w:id="1395617634">
      <w:bodyDiv w:val="1"/>
      <w:marLeft w:val="0"/>
      <w:marRight w:val="0"/>
      <w:marTop w:val="0"/>
      <w:marBottom w:val="0"/>
      <w:divBdr>
        <w:top w:val="none" w:sz="0" w:space="0" w:color="auto"/>
        <w:left w:val="none" w:sz="0" w:space="0" w:color="auto"/>
        <w:bottom w:val="none" w:sz="0" w:space="0" w:color="auto"/>
        <w:right w:val="none" w:sz="0" w:space="0" w:color="auto"/>
      </w:divBdr>
    </w:div>
    <w:div w:id="1396659648">
      <w:bodyDiv w:val="1"/>
      <w:marLeft w:val="0"/>
      <w:marRight w:val="0"/>
      <w:marTop w:val="0"/>
      <w:marBottom w:val="0"/>
      <w:divBdr>
        <w:top w:val="none" w:sz="0" w:space="0" w:color="auto"/>
        <w:left w:val="none" w:sz="0" w:space="0" w:color="auto"/>
        <w:bottom w:val="none" w:sz="0" w:space="0" w:color="auto"/>
        <w:right w:val="none" w:sz="0" w:space="0" w:color="auto"/>
      </w:divBdr>
    </w:div>
    <w:div w:id="1404715032">
      <w:bodyDiv w:val="1"/>
      <w:marLeft w:val="0"/>
      <w:marRight w:val="0"/>
      <w:marTop w:val="0"/>
      <w:marBottom w:val="0"/>
      <w:divBdr>
        <w:top w:val="none" w:sz="0" w:space="0" w:color="auto"/>
        <w:left w:val="none" w:sz="0" w:space="0" w:color="auto"/>
        <w:bottom w:val="none" w:sz="0" w:space="0" w:color="auto"/>
        <w:right w:val="none" w:sz="0" w:space="0" w:color="auto"/>
      </w:divBdr>
    </w:div>
    <w:div w:id="1404916036">
      <w:bodyDiv w:val="1"/>
      <w:marLeft w:val="0"/>
      <w:marRight w:val="0"/>
      <w:marTop w:val="0"/>
      <w:marBottom w:val="0"/>
      <w:divBdr>
        <w:top w:val="none" w:sz="0" w:space="0" w:color="auto"/>
        <w:left w:val="none" w:sz="0" w:space="0" w:color="auto"/>
        <w:bottom w:val="none" w:sz="0" w:space="0" w:color="auto"/>
        <w:right w:val="none" w:sz="0" w:space="0" w:color="auto"/>
      </w:divBdr>
    </w:div>
    <w:div w:id="1409234036">
      <w:bodyDiv w:val="1"/>
      <w:marLeft w:val="0"/>
      <w:marRight w:val="0"/>
      <w:marTop w:val="0"/>
      <w:marBottom w:val="0"/>
      <w:divBdr>
        <w:top w:val="none" w:sz="0" w:space="0" w:color="auto"/>
        <w:left w:val="none" w:sz="0" w:space="0" w:color="auto"/>
        <w:bottom w:val="none" w:sz="0" w:space="0" w:color="auto"/>
        <w:right w:val="none" w:sz="0" w:space="0" w:color="auto"/>
      </w:divBdr>
    </w:div>
    <w:div w:id="1443956758">
      <w:bodyDiv w:val="1"/>
      <w:marLeft w:val="0"/>
      <w:marRight w:val="0"/>
      <w:marTop w:val="0"/>
      <w:marBottom w:val="0"/>
      <w:divBdr>
        <w:top w:val="none" w:sz="0" w:space="0" w:color="auto"/>
        <w:left w:val="none" w:sz="0" w:space="0" w:color="auto"/>
        <w:bottom w:val="none" w:sz="0" w:space="0" w:color="auto"/>
        <w:right w:val="none" w:sz="0" w:space="0" w:color="auto"/>
      </w:divBdr>
    </w:div>
    <w:div w:id="1445928376">
      <w:bodyDiv w:val="1"/>
      <w:marLeft w:val="0"/>
      <w:marRight w:val="0"/>
      <w:marTop w:val="0"/>
      <w:marBottom w:val="0"/>
      <w:divBdr>
        <w:top w:val="none" w:sz="0" w:space="0" w:color="auto"/>
        <w:left w:val="none" w:sz="0" w:space="0" w:color="auto"/>
        <w:bottom w:val="none" w:sz="0" w:space="0" w:color="auto"/>
        <w:right w:val="none" w:sz="0" w:space="0" w:color="auto"/>
      </w:divBdr>
    </w:div>
    <w:div w:id="1477719963">
      <w:bodyDiv w:val="1"/>
      <w:marLeft w:val="0"/>
      <w:marRight w:val="0"/>
      <w:marTop w:val="0"/>
      <w:marBottom w:val="0"/>
      <w:divBdr>
        <w:top w:val="none" w:sz="0" w:space="0" w:color="auto"/>
        <w:left w:val="none" w:sz="0" w:space="0" w:color="auto"/>
        <w:bottom w:val="none" w:sz="0" w:space="0" w:color="auto"/>
        <w:right w:val="none" w:sz="0" w:space="0" w:color="auto"/>
      </w:divBdr>
    </w:div>
    <w:div w:id="1481578391">
      <w:bodyDiv w:val="1"/>
      <w:marLeft w:val="0"/>
      <w:marRight w:val="0"/>
      <w:marTop w:val="0"/>
      <w:marBottom w:val="0"/>
      <w:divBdr>
        <w:top w:val="none" w:sz="0" w:space="0" w:color="auto"/>
        <w:left w:val="none" w:sz="0" w:space="0" w:color="auto"/>
        <w:bottom w:val="none" w:sz="0" w:space="0" w:color="auto"/>
        <w:right w:val="none" w:sz="0" w:space="0" w:color="auto"/>
      </w:divBdr>
    </w:div>
    <w:div w:id="1490442582">
      <w:bodyDiv w:val="1"/>
      <w:marLeft w:val="0"/>
      <w:marRight w:val="0"/>
      <w:marTop w:val="0"/>
      <w:marBottom w:val="0"/>
      <w:divBdr>
        <w:top w:val="none" w:sz="0" w:space="0" w:color="auto"/>
        <w:left w:val="none" w:sz="0" w:space="0" w:color="auto"/>
        <w:bottom w:val="none" w:sz="0" w:space="0" w:color="auto"/>
        <w:right w:val="none" w:sz="0" w:space="0" w:color="auto"/>
      </w:divBdr>
    </w:div>
    <w:div w:id="1493716440">
      <w:bodyDiv w:val="1"/>
      <w:marLeft w:val="0"/>
      <w:marRight w:val="0"/>
      <w:marTop w:val="0"/>
      <w:marBottom w:val="0"/>
      <w:divBdr>
        <w:top w:val="none" w:sz="0" w:space="0" w:color="auto"/>
        <w:left w:val="none" w:sz="0" w:space="0" w:color="auto"/>
        <w:bottom w:val="none" w:sz="0" w:space="0" w:color="auto"/>
        <w:right w:val="none" w:sz="0" w:space="0" w:color="auto"/>
      </w:divBdr>
    </w:div>
    <w:div w:id="1500122262">
      <w:bodyDiv w:val="1"/>
      <w:marLeft w:val="0"/>
      <w:marRight w:val="0"/>
      <w:marTop w:val="0"/>
      <w:marBottom w:val="0"/>
      <w:divBdr>
        <w:top w:val="none" w:sz="0" w:space="0" w:color="auto"/>
        <w:left w:val="none" w:sz="0" w:space="0" w:color="auto"/>
        <w:bottom w:val="none" w:sz="0" w:space="0" w:color="auto"/>
        <w:right w:val="none" w:sz="0" w:space="0" w:color="auto"/>
      </w:divBdr>
      <w:divsChild>
        <w:div w:id="1764763466">
          <w:marLeft w:val="0"/>
          <w:marRight w:val="0"/>
          <w:marTop w:val="0"/>
          <w:marBottom w:val="0"/>
          <w:divBdr>
            <w:top w:val="none" w:sz="0" w:space="0" w:color="auto"/>
            <w:left w:val="none" w:sz="0" w:space="0" w:color="auto"/>
            <w:bottom w:val="none" w:sz="0" w:space="0" w:color="auto"/>
            <w:right w:val="none" w:sz="0" w:space="0" w:color="auto"/>
          </w:divBdr>
        </w:div>
      </w:divsChild>
    </w:div>
    <w:div w:id="1507861477">
      <w:bodyDiv w:val="1"/>
      <w:marLeft w:val="0"/>
      <w:marRight w:val="0"/>
      <w:marTop w:val="0"/>
      <w:marBottom w:val="0"/>
      <w:divBdr>
        <w:top w:val="none" w:sz="0" w:space="0" w:color="auto"/>
        <w:left w:val="none" w:sz="0" w:space="0" w:color="auto"/>
        <w:bottom w:val="none" w:sz="0" w:space="0" w:color="auto"/>
        <w:right w:val="none" w:sz="0" w:space="0" w:color="auto"/>
      </w:divBdr>
    </w:div>
    <w:div w:id="1508711256">
      <w:bodyDiv w:val="1"/>
      <w:marLeft w:val="0"/>
      <w:marRight w:val="0"/>
      <w:marTop w:val="0"/>
      <w:marBottom w:val="0"/>
      <w:divBdr>
        <w:top w:val="none" w:sz="0" w:space="0" w:color="auto"/>
        <w:left w:val="none" w:sz="0" w:space="0" w:color="auto"/>
        <w:bottom w:val="none" w:sz="0" w:space="0" w:color="auto"/>
        <w:right w:val="none" w:sz="0" w:space="0" w:color="auto"/>
      </w:divBdr>
    </w:div>
    <w:div w:id="1514799139">
      <w:bodyDiv w:val="1"/>
      <w:marLeft w:val="0"/>
      <w:marRight w:val="0"/>
      <w:marTop w:val="0"/>
      <w:marBottom w:val="0"/>
      <w:divBdr>
        <w:top w:val="none" w:sz="0" w:space="0" w:color="auto"/>
        <w:left w:val="none" w:sz="0" w:space="0" w:color="auto"/>
        <w:bottom w:val="none" w:sz="0" w:space="0" w:color="auto"/>
        <w:right w:val="none" w:sz="0" w:space="0" w:color="auto"/>
      </w:divBdr>
    </w:div>
    <w:div w:id="1514959379">
      <w:bodyDiv w:val="1"/>
      <w:marLeft w:val="0"/>
      <w:marRight w:val="0"/>
      <w:marTop w:val="0"/>
      <w:marBottom w:val="0"/>
      <w:divBdr>
        <w:top w:val="none" w:sz="0" w:space="0" w:color="auto"/>
        <w:left w:val="none" w:sz="0" w:space="0" w:color="auto"/>
        <w:bottom w:val="none" w:sz="0" w:space="0" w:color="auto"/>
        <w:right w:val="none" w:sz="0" w:space="0" w:color="auto"/>
      </w:divBdr>
    </w:div>
    <w:div w:id="1517499941">
      <w:bodyDiv w:val="1"/>
      <w:marLeft w:val="0"/>
      <w:marRight w:val="0"/>
      <w:marTop w:val="0"/>
      <w:marBottom w:val="0"/>
      <w:divBdr>
        <w:top w:val="none" w:sz="0" w:space="0" w:color="auto"/>
        <w:left w:val="none" w:sz="0" w:space="0" w:color="auto"/>
        <w:bottom w:val="none" w:sz="0" w:space="0" w:color="auto"/>
        <w:right w:val="none" w:sz="0" w:space="0" w:color="auto"/>
      </w:divBdr>
    </w:div>
    <w:div w:id="1519390404">
      <w:bodyDiv w:val="1"/>
      <w:marLeft w:val="0"/>
      <w:marRight w:val="0"/>
      <w:marTop w:val="0"/>
      <w:marBottom w:val="0"/>
      <w:divBdr>
        <w:top w:val="none" w:sz="0" w:space="0" w:color="auto"/>
        <w:left w:val="none" w:sz="0" w:space="0" w:color="auto"/>
        <w:bottom w:val="none" w:sz="0" w:space="0" w:color="auto"/>
        <w:right w:val="none" w:sz="0" w:space="0" w:color="auto"/>
      </w:divBdr>
    </w:div>
    <w:div w:id="1521776808">
      <w:bodyDiv w:val="1"/>
      <w:marLeft w:val="0"/>
      <w:marRight w:val="0"/>
      <w:marTop w:val="0"/>
      <w:marBottom w:val="0"/>
      <w:divBdr>
        <w:top w:val="none" w:sz="0" w:space="0" w:color="auto"/>
        <w:left w:val="none" w:sz="0" w:space="0" w:color="auto"/>
        <w:bottom w:val="none" w:sz="0" w:space="0" w:color="auto"/>
        <w:right w:val="none" w:sz="0" w:space="0" w:color="auto"/>
      </w:divBdr>
    </w:div>
    <w:div w:id="1536699972">
      <w:bodyDiv w:val="1"/>
      <w:marLeft w:val="0"/>
      <w:marRight w:val="0"/>
      <w:marTop w:val="0"/>
      <w:marBottom w:val="0"/>
      <w:divBdr>
        <w:top w:val="none" w:sz="0" w:space="0" w:color="auto"/>
        <w:left w:val="none" w:sz="0" w:space="0" w:color="auto"/>
        <w:bottom w:val="none" w:sz="0" w:space="0" w:color="auto"/>
        <w:right w:val="none" w:sz="0" w:space="0" w:color="auto"/>
      </w:divBdr>
    </w:div>
    <w:div w:id="1536846560">
      <w:bodyDiv w:val="1"/>
      <w:marLeft w:val="0"/>
      <w:marRight w:val="0"/>
      <w:marTop w:val="0"/>
      <w:marBottom w:val="0"/>
      <w:divBdr>
        <w:top w:val="none" w:sz="0" w:space="0" w:color="auto"/>
        <w:left w:val="none" w:sz="0" w:space="0" w:color="auto"/>
        <w:bottom w:val="none" w:sz="0" w:space="0" w:color="auto"/>
        <w:right w:val="none" w:sz="0" w:space="0" w:color="auto"/>
      </w:divBdr>
    </w:div>
    <w:div w:id="1537422379">
      <w:bodyDiv w:val="1"/>
      <w:marLeft w:val="0"/>
      <w:marRight w:val="0"/>
      <w:marTop w:val="0"/>
      <w:marBottom w:val="0"/>
      <w:divBdr>
        <w:top w:val="none" w:sz="0" w:space="0" w:color="auto"/>
        <w:left w:val="none" w:sz="0" w:space="0" w:color="auto"/>
        <w:bottom w:val="none" w:sz="0" w:space="0" w:color="auto"/>
        <w:right w:val="none" w:sz="0" w:space="0" w:color="auto"/>
      </w:divBdr>
    </w:div>
    <w:div w:id="1562669541">
      <w:bodyDiv w:val="1"/>
      <w:marLeft w:val="0"/>
      <w:marRight w:val="0"/>
      <w:marTop w:val="0"/>
      <w:marBottom w:val="0"/>
      <w:divBdr>
        <w:top w:val="none" w:sz="0" w:space="0" w:color="auto"/>
        <w:left w:val="none" w:sz="0" w:space="0" w:color="auto"/>
        <w:bottom w:val="none" w:sz="0" w:space="0" w:color="auto"/>
        <w:right w:val="none" w:sz="0" w:space="0" w:color="auto"/>
      </w:divBdr>
    </w:div>
    <w:div w:id="1564680560">
      <w:bodyDiv w:val="1"/>
      <w:marLeft w:val="0"/>
      <w:marRight w:val="0"/>
      <w:marTop w:val="0"/>
      <w:marBottom w:val="0"/>
      <w:divBdr>
        <w:top w:val="none" w:sz="0" w:space="0" w:color="auto"/>
        <w:left w:val="none" w:sz="0" w:space="0" w:color="auto"/>
        <w:bottom w:val="none" w:sz="0" w:space="0" w:color="auto"/>
        <w:right w:val="none" w:sz="0" w:space="0" w:color="auto"/>
      </w:divBdr>
      <w:divsChild>
        <w:div w:id="332297324">
          <w:marLeft w:val="0"/>
          <w:marRight w:val="0"/>
          <w:marTop w:val="0"/>
          <w:marBottom w:val="0"/>
          <w:divBdr>
            <w:top w:val="none" w:sz="0" w:space="0" w:color="auto"/>
            <w:left w:val="none" w:sz="0" w:space="0" w:color="auto"/>
            <w:bottom w:val="none" w:sz="0" w:space="0" w:color="auto"/>
            <w:right w:val="none" w:sz="0" w:space="0" w:color="auto"/>
          </w:divBdr>
        </w:div>
        <w:div w:id="447742193">
          <w:marLeft w:val="0"/>
          <w:marRight w:val="0"/>
          <w:marTop w:val="0"/>
          <w:marBottom w:val="0"/>
          <w:divBdr>
            <w:top w:val="none" w:sz="0" w:space="0" w:color="auto"/>
            <w:left w:val="none" w:sz="0" w:space="0" w:color="auto"/>
            <w:bottom w:val="none" w:sz="0" w:space="0" w:color="auto"/>
            <w:right w:val="none" w:sz="0" w:space="0" w:color="auto"/>
          </w:divBdr>
        </w:div>
        <w:div w:id="862327588">
          <w:marLeft w:val="0"/>
          <w:marRight w:val="0"/>
          <w:marTop w:val="0"/>
          <w:marBottom w:val="0"/>
          <w:divBdr>
            <w:top w:val="none" w:sz="0" w:space="0" w:color="auto"/>
            <w:left w:val="none" w:sz="0" w:space="0" w:color="auto"/>
            <w:bottom w:val="none" w:sz="0" w:space="0" w:color="auto"/>
            <w:right w:val="none" w:sz="0" w:space="0" w:color="auto"/>
          </w:divBdr>
        </w:div>
        <w:div w:id="964896154">
          <w:marLeft w:val="0"/>
          <w:marRight w:val="0"/>
          <w:marTop w:val="0"/>
          <w:marBottom w:val="0"/>
          <w:divBdr>
            <w:top w:val="none" w:sz="0" w:space="0" w:color="auto"/>
            <w:left w:val="none" w:sz="0" w:space="0" w:color="auto"/>
            <w:bottom w:val="none" w:sz="0" w:space="0" w:color="auto"/>
            <w:right w:val="none" w:sz="0" w:space="0" w:color="auto"/>
          </w:divBdr>
        </w:div>
        <w:div w:id="1162811625">
          <w:marLeft w:val="0"/>
          <w:marRight w:val="0"/>
          <w:marTop w:val="0"/>
          <w:marBottom w:val="0"/>
          <w:divBdr>
            <w:top w:val="none" w:sz="0" w:space="0" w:color="auto"/>
            <w:left w:val="none" w:sz="0" w:space="0" w:color="auto"/>
            <w:bottom w:val="none" w:sz="0" w:space="0" w:color="auto"/>
            <w:right w:val="none" w:sz="0" w:space="0" w:color="auto"/>
          </w:divBdr>
        </w:div>
        <w:div w:id="1523664482">
          <w:marLeft w:val="0"/>
          <w:marRight w:val="0"/>
          <w:marTop w:val="0"/>
          <w:marBottom w:val="0"/>
          <w:divBdr>
            <w:top w:val="none" w:sz="0" w:space="0" w:color="auto"/>
            <w:left w:val="none" w:sz="0" w:space="0" w:color="auto"/>
            <w:bottom w:val="none" w:sz="0" w:space="0" w:color="auto"/>
            <w:right w:val="none" w:sz="0" w:space="0" w:color="auto"/>
          </w:divBdr>
        </w:div>
        <w:div w:id="2137869892">
          <w:marLeft w:val="0"/>
          <w:marRight w:val="0"/>
          <w:marTop w:val="0"/>
          <w:marBottom w:val="0"/>
          <w:divBdr>
            <w:top w:val="none" w:sz="0" w:space="0" w:color="auto"/>
            <w:left w:val="none" w:sz="0" w:space="0" w:color="auto"/>
            <w:bottom w:val="none" w:sz="0" w:space="0" w:color="auto"/>
            <w:right w:val="none" w:sz="0" w:space="0" w:color="auto"/>
          </w:divBdr>
        </w:div>
      </w:divsChild>
    </w:div>
    <w:div w:id="1567953892">
      <w:bodyDiv w:val="1"/>
      <w:marLeft w:val="0"/>
      <w:marRight w:val="0"/>
      <w:marTop w:val="0"/>
      <w:marBottom w:val="0"/>
      <w:divBdr>
        <w:top w:val="none" w:sz="0" w:space="0" w:color="auto"/>
        <w:left w:val="none" w:sz="0" w:space="0" w:color="auto"/>
        <w:bottom w:val="none" w:sz="0" w:space="0" w:color="auto"/>
        <w:right w:val="none" w:sz="0" w:space="0" w:color="auto"/>
      </w:divBdr>
    </w:div>
    <w:div w:id="1586261784">
      <w:bodyDiv w:val="1"/>
      <w:marLeft w:val="0"/>
      <w:marRight w:val="0"/>
      <w:marTop w:val="0"/>
      <w:marBottom w:val="0"/>
      <w:divBdr>
        <w:top w:val="none" w:sz="0" w:space="0" w:color="auto"/>
        <w:left w:val="none" w:sz="0" w:space="0" w:color="auto"/>
        <w:bottom w:val="none" w:sz="0" w:space="0" w:color="auto"/>
        <w:right w:val="none" w:sz="0" w:space="0" w:color="auto"/>
      </w:divBdr>
    </w:div>
    <w:div w:id="1588727185">
      <w:bodyDiv w:val="1"/>
      <w:marLeft w:val="0"/>
      <w:marRight w:val="0"/>
      <w:marTop w:val="0"/>
      <w:marBottom w:val="0"/>
      <w:divBdr>
        <w:top w:val="none" w:sz="0" w:space="0" w:color="auto"/>
        <w:left w:val="none" w:sz="0" w:space="0" w:color="auto"/>
        <w:bottom w:val="none" w:sz="0" w:space="0" w:color="auto"/>
        <w:right w:val="none" w:sz="0" w:space="0" w:color="auto"/>
      </w:divBdr>
    </w:div>
    <w:div w:id="1591157656">
      <w:bodyDiv w:val="1"/>
      <w:marLeft w:val="0"/>
      <w:marRight w:val="0"/>
      <w:marTop w:val="0"/>
      <w:marBottom w:val="0"/>
      <w:divBdr>
        <w:top w:val="none" w:sz="0" w:space="0" w:color="auto"/>
        <w:left w:val="none" w:sz="0" w:space="0" w:color="auto"/>
        <w:bottom w:val="none" w:sz="0" w:space="0" w:color="auto"/>
        <w:right w:val="none" w:sz="0" w:space="0" w:color="auto"/>
      </w:divBdr>
    </w:div>
    <w:div w:id="1603950656">
      <w:bodyDiv w:val="1"/>
      <w:marLeft w:val="0"/>
      <w:marRight w:val="0"/>
      <w:marTop w:val="0"/>
      <w:marBottom w:val="0"/>
      <w:divBdr>
        <w:top w:val="none" w:sz="0" w:space="0" w:color="auto"/>
        <w:left w:val="none" w:sz="0" w:space="0" w:color="auto"/>
        <w:bottom w:val="none" w:sz="0" w:space="0" w:color="auto"/>
        <w:right w:val="none" w:sz="0" w:space="0" w:color="auto"/>
      </w:divBdr>
    </w:div>
    <w:div w:id="1617102281">
      <w:bodyDiv w:val="1"/>
      <w:marLeft w:val="0"/>
      <w:marRight w:val="0"/>
      <w:marTop w:val="0"/>
      <w:marBottom w:val="0"/>
      <w:divBdr>
        <w:top w:val="none" w:sz="0" w:space="0" w:color="auto"/>
        <w:left w:val="none" w:sz="0" w:space="0" w:color="auto"/>
        <w:bottom w:val="none" w:sz="0" w:space="0" w:color="auto"/>
        <w:right w:val="none" w:sz="0" w:space="0" w:color="auto"/>
      </w:divBdr>
    </w:div>
    <w:div w:id="1621917362">
      <w:bodyDiv w:val="1"/>
      <w:marLeft w:val="0"/>
      <w:marRight w:val="0"/>
      <w:marTop w:val="0"/>
      <w:marBottom w:val="0"/>
      <w:divBdr>
        <w:top w:val="none" w:sz="0" w:space="0" w:color="auto"/>
        <w:left w:val="none" w:sz="0" w:space="0" w:color="auto"/>
        <w:bottom w:val="none" w:sz="0" w:space="0" w:color="auto"/>
        <w:right w:val="none" w:sz="0" w:space="0" w:color="auto"/>
      </w:divBdr>
    </w:div>
    <w:div w:id="1628968894">
      <w:bodyDiv w:val="1"/>
      <w:marLeft w:val="0"/>
      <w:marRight w:val="0"/>
      <w:marTop w:val="0"/>
      <w:marBottom w:val="0"/>
      <w:divBdr>
        <w:top w:val="none" w:sz="0" w:space="0" w:color="auto"/>
        <w:left w:val="none" w:sz="0" w:space="0" w:color="auto"/>
        <w:bottom w:val="none" w:sz="0" w:space="0" w:color="auto"/>
        <w:right w:val="none" w:sz="0" w:space="0" w:color="auto"/>
      </w:divBdr>
    </w:div>
    <w:div w:id="1630748103">
      <w:bodyDiv w:val="1"/>
      <w:marLeft w:val="0"/>
      <w:marRight w:val="0"/>
      <w:marTop w:val="0"/>
      <w:marBottom w:val="0"/>
      <w:divBdr>
        <w:top w:val="none" w:sz="0" w:space="0" w:color="auto"/>
        <w:left w:val="none" w:sz="0" w:space="0" w:color="auto"/>
        <w:bottom w:val="none" w:sz="0" w:space="0" w:color="auto"/>
        <w:right w:val="none" w:sz="0" w:space="0" w:color="auto"/>
      </w:divBdr>
    </w:div>
    <w:div w:id="1631743242">
      <w:bodyDiv w:val="1"/>
      <w:marLeft w:val="0"/>
      <w:marRight w:val="0"/>
      <w:marTop w:val="0"/>
      <w:marBottom w:val="0"/>
      <w:divBdr>
        <w:top w:val="none" w:sz="0" w:space="0" w:color="auto"/>
        <w:left w:val="none" w:sz="0" w:space="0" w:color="auto"/>
        <w:bottom w:val="none" w:sz="0" w:space="0" w:color="auto"/>
        <w:right w:val="none" w:sz="0" w:space="0" w:color="auto"/>
      </w:divBdr>
    </w:div>
    <w:div w:id="1633052071">
      <w:bodyDiv w:val="1"/>
      <w:marLeft w:val="0"/>
      <w:marRight w:val="0"/>
      <w:marTop w:val="0"/>
      <w:marBottom w:val="0"/>
      <w:divBdr>
        <w:top w:val="none" w:sz="0" w:space="0" w:color="auto"/>
        <w:left w:val="none" w:sz="0" w:space="0" w:color="auto"/>
        <w:bottom w:val="none" w:sz="0" w:space="0" w:color="auto"/>
        <w:right w:val="none" w:sz="0" w:space="0" w:color="auto"/>
      </w:divBdr>
    </w:div>
    <w:div w:id="1649550461">
      <w:bodyDiv w:val="1"/>
      <w:marLeft w:val="0"/>
      <w:marRight w:val="0"/>
      <w:marTop w:val="0"/>
      <w:marBottom w:val="0"/>
      <w:divBdr>
        <w:top w:val="none" w:sz="0" w:space="0" w:color="auto"/>
        <w:left w:val="none" w:sz="0" w:space="0" w:color="auto"/>
        <w:bottom w:val="none" w:sz="0" w:space="0" w:color="auto"/>
        <w:right w:val="none" w:sz="0" w:space="0" w:color="auto"/>
      </w:divBdr>
    </w:div>
    <w:div w:id="1652908660">
      <w:bodyDiv w:val="1"/>
      <w:marLeft w:val="0"/>
      <w:marRight w:val="0"/>
      <w:marTop w:val="0"/>
      <w:marBottom w:val="0"/>
      <w:divBdr>
        <w:top w:val="none" w:sz="0" w:space="0" w:color="auto"/>
        <w:left w:val="none" w:sz="0" w:space="0" w:color="auto"/>
        <w:bottom w:val="none" w:sz="0" w:space="0" w:color="auto"/>
        <w:right w:val="none" w:sz="0" w:space="0" w:color="auto"/>
      </w:divBdr>
    </w:div>
    <w:div w:id="1661469877">
      <w:bodyDiv w:val="1"/>
      <w:marLeft w:val="0"/>
      <w:marRight w:val="0"/>
      <w:marTop w:val="0"/>
      <w:marBottom w:val="0"/>
      <w:divBdr>
        <w:top w:val="none" w:sz="0" w:space="0" w:color="auto"/>
        <w:left w:val="none" w:sz="0" w:space="0" w:color="auto"/>
        <w:bottom w:val="none" w:sz="0" w:space="0" w:color="auto"/>
        <w:right w:val="none" w:sz="0" w:space="0" w:color="auto"/>
      </w:divBdr>
    </w:div>
    <w:div w:id="1666660892">
      <w:bodyDiv w:val="1"/>
      <w:marLeft w:val="0"/>
      <w:marRight w:val="0"/>
      <w:marTop w:val="0"/>
      <w:marBottom w:val="0"/>
      <w:divBdr>
        <w:top w:val="none" w:sz="0" w:space="0" w:color="auto"/>
        <w:left w:val="none" w:sz="0" w:space="0" w:color="auto"/>
        <w:bottom w:val="none" w:sz="0" w:space="0" w:color="auto"/>
        <w:right w:val="none" w:sz="0" w:space="0" w:color="auto"/>
      </w:divBdr>
    </w:div>
    <w:div w:id="1681007372">
      <w:bodyDiv w:val="1"/>
      <w:marLeft w:val="0"/>
      <w:marRight w:val="0"/>
      <w:marTop w:val="0"/>
      <w:marBottom w:val="0"/>
      <w:divBdr>
        <w:top w:val="none" w:sz="0" w:space="0" w:color="auto"/>
        <w:left w:val="none" w:sz="0" w:space="0" w:color="auto"/>
        <w:bottom w:val="none" w:sz="0" w:space="0" w:color="auto"/>
        <w:right w:val="none" w:sz="0" w:space="0" w:color="auto"/>
      </w:divBdr>
      <w:divsChild>
        <w:div w:id="537595027">
          <w:marLeft w:val="0"/>
          <w:marRight w:val="0"/>
          <w:marTop w:val="0"/>
          <w:marBottom w:val="0"/>
          <w:divBdr>
            <w:top w:val="none" w:sz="0" w:space="0" w:color="auto"/>
            <w:left w:val="none" w:sz="0" w:space="0" w:color="auto"/>
            <w:bottom w:val="none" w:sz="0" w:space="0" w:color="auto"/>
            <w:right w:val="none" w:sz="0" w:space="0" w:color="auto"/>
          </w:divBdr>
        </w:div>
      </w:divsChild>
    </w:div>
    <w:div w:id="1690137434">
      <w:bodyDiv w:val="1"/>
      <w:marLeft w:val="0"/>
      <w:marRight w:val="0"/>
      <w:marTop w:val="0"/>
      <w:marBottom w:val="0"/>
      <w:divBdr>
        <w:top w:val="none" w:sz="0" w:space="0" w:color="auto"/>
        <w:left w:val="none" w:sz="0" w:space="0" w:color="auto"/>
        <w:bottom w:val="none" w:sz="0" w:space="0" w:color="auto"/>
        <w:right w:val="none" w:sz="0" w:space="0" w:color="auto"/>
      </w:divBdr>
    </w:div>
    <w:div w:id="1697197172">
      <w:bodyDiv w:val="1"/>
      <w:marLeft w:val="0"/>
      <w:marRight w:val="0"/>
      <w:marTop w:val="0"/>
      <w:marBottom w:val="0"/>
      <w:divBdr>
        <w:top w:val="none" w:sz="0" w:space="0" w:color="auto"/>
        <w:left w:val="none" w:sz="0" w:space="0" w:color="auto"/>
        <w:bottom w:val="none" w:sz="0" w:space="0" w:color="auto"/>
        <w:right w:val="none" w:sz="0" w:space="0" w:color="auto"/>
      </w:divBdr>
    </w:div>
    <w:div w:id="1706179025">
      <w:bodyDiv w:val="1"/>
      <w:marLeft w:val="0"/>
      <w:marRight w:val="0"/>
      <w:marTop w:val="0"/>
      <w:marBottom w:val="0"/>
      <w:divBdr>
        <w:top w:val="none" w:sz="0" w:space="0" w:color="auto"/>
        <w:left w:val="none" w:sz="0" w:space="0" w:color="auto"/>
        <w:bottom w:val="none" w:sz="0" w:space="0" w:color="auto"/>
        <w:right w:val="none" w:sz="0" w:space="0" w:color="auto"/>
      </w:divBdr>
    </w:div>
    <w:div w:id="1715958034">
      <w:bodyDiv w:val="1"/>
      <w:marLeft w:val="0"/>
      <w:marRight w:val="0"/>
      <w:marTop w:val="0"/>
      <w:marBottom w:val="0"/>
      <w:divBdr>
        <w:top w:val="none" w:sz="0" w:space="0" w:color="auto"/>
        <w:left w:val="none" w:sz="0" w:space="0" w:color="auto"/>
        <w:bottom w:val="none" w:sz="0" w:space="0" w:color="auto"/>
        <w:right w:val="none" w:sz="0" w:space="0" w:color="auto"/>
      </w:divBdr>
    </w:div>
    <w:div w:id="1731223306">
      <w:bodyDiv w:val="1"/>
      <w:marLeft w:val="0"/>
      <w:marRight w:val="0"/>
      <w:marTop w:val="0"/>
      <w:marBottom w:val="0"/>
      <w:divBdr>
        <w:top w:val="none" w:sz="0" w:space="0" w:color="auto"/>
        <w:left w:val="none" w:sz="0" w:space="0" w:color="auto"/>
        <w:bottom w:val="none" w:sz="0" w:space="0" w:color="auto"/>
        <w:right w:val="none" w:sz="0" w:space="0" w:color="auto"/>
      </w:divBdr>
    </w:div>
    <w:div w:id="1745757792">
      <w:bodyDiv w:val="1"/>
      <w:marLeft w:val="0"/>
      <w:marRight w:val="0"/>
      <w:marTop w:val="0"/>
      <w:marBottom w:val="0"/>
      <w:divBdr>
        <w:top w:val="none" w:sz="0" w:space="0" w:color="auto"/>
        <w:left w:val="none" w:sz="0" w:space="0" w:color="auto"/>
        <w:bottom w:val="none" w:sz="0" w:space="0" w:color="auto"/>
        <w:right w:val="none" w:sz="0" w:space="0" w:color="auto"/>
      </w:divBdr>
    </w:div>
    <w:div w:id="1749378168">
      <w:bodyDiv w:val="1"/>
      <w:marLeft w:val="0"/>
      <w:marRight w:val="0"/>
      <w:marTop w:val="0"/>
      <w:marBottom w:val="0"/>
      <w:divBdr>
        <w:top w:val="none" w:sz="0" w:space="0" w:color="auto"/>
        <w:left w:val="none" w:sz="0" w:space="0" w:color="auto"/>
        <w:bottom w:val="none" w:sz="0" w:space="0" w:color="auto"/>
        <w:right w:val="none" w:sz="0" w:space="0" w:color="auto"/>
      </w:divBdr>
    </w:div>
    <w:div w:id="1750541197">
      <w:bodyDiv w:val="1"/>
      <w:marLeft w:val="0"/>
      <w:marRight w:val="0"/>
      <w:marTop w:val="0"/>
      <w:marBottom w:val="0"/>
      <w:divBdr>
        <w:top w:val="none" w:sz="0" w:space="0" w:color="auto"/>
        <w:left w:val="none" w:sz="0" w:space="0" w:color="auto"/>
        <w:bottom w:val="none" w:sz="0" w:space="0" w:color="auto"/>
        <w:right w:val="none" w:sz="0" w:space="0" w:color="auto"/>
      </w:divBdr>
    </w:div>
    <w:div w:id="1760325593">
      <w:bodyDiv w:val="1"/>
      <w:marLeft w:val="0"/>
      <w:marRight w:val="0"/>
      <w:marTop w:val="0"/>
      <w:marBottom w:val="0"/>
      <w:divBdr>
        <w:top w:val="none" w:sz="0" w:space="0" w:color="auto"/>
        <w:left w:val="none" w:sz="0" w:space="0" w:color="auto"/>
        <w:bottom w:val="none" w:sz="0" w:space="0" w:color="auto"/>
        <w:right w:val="none" w:sz="0" w:space="0" w:color="auto"/>
      </w:divBdr>
    </w:div>
    <w:div w:id="1761370918">
      <w:bodyDiv w:val="1"/>
      <w:marLeft w:val="0"/>
      <w:marRight w:val="0"/>
      <w:marTop w:val="0"/>
      <w:marBottom w:val="0"/>
      <w:divBdr>
        <w:top w:val="none" w:sz="0" w:space="0" w:color="auto"/>
        <w:left w:val="none" w:sz="0" w:space="0" w:color="auto"/>
        <w:bottom w:val="none" w:sz="0" w:space="0" w:color="auto"/>
        <w:right w:val="none" w:sz="0" w:space="0" w:color="auto"/>
      </w:divBdr>
    </w:div>
    <w:div w:id="1769349777">
      <w:bodyDiv w:val="1"/>
      <w:marLeft w:val="0"/>
      <w:marRight w:val="0"/>
      <w:marTop w:val="0"/>
      <w:marBottom w:val="0"/>
      <w:divBdr>
        <w:top w:val="none" w:sz="0" w:space="0" w:color="auto"/>
        <w:left w:val="none" w:sz="0" w:space="0" w:color="auto"/>
        <w:bottom w:val="none" w:sz="0" w:space="0" w:color="auto"/>
        <w:right w:val="none" w:sz="0" w:space="0" w:color="auto"/>
      </w:divBdr>
    </w:div>
    <w:div w:id="1775054595">
      <w:bodyDiv w:val="1"/>
      <w:marLeft w:val="0"/>
      <w:marRight w:val="0"/>
      <w:marTop w:val="0"/>
      <w:marBottom w:val="0"/>
      <w:divBdr>
        <w:top w:val="none" w:sz="0" w:space="0" w:color="auto"/>
        <w:left w:val="none" w:sz="0" w:space="0" w:color="auto"/>
        <w:bottom w:val="none" w:sz="0" w:space="0" w:color="auto"/>
        <w:right w:val="none" w:sz="0" w:space="0" w:color="auto"/>
      </w:divBdr>
    </w:div>
    <w:div w:id="1785729934">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802923020">
      <w:bodyDiv w:val="1"/>
      <w:marLeft w:val="0"/>
      <w:marRight w:val="0"/>
      <w:marTop w:val="0"/>
      <w:marBottom w:val="0"/>
      <w:divBdr>
        <w:top w:val="none" w:sz="0" w:space="0" w:color="auto"/>
        <w:left w:val="none" w:sz="0" w:space="0" w:color="auto"/>
        <w:bottom w:val="none" w:sz="0" w:space="0" w:color="auto"/>
        <w:right w:val="none" w:sz="0" w:space="0" w:color="auto"/>
      </w:divBdr>
    </w:div>
    <w:div w:id="1804149903">
      <w:bodyDiv w:val="1"/>
      <w:marLeft w:val="0"/>
      <w:marRight w:val="0"/>
      <w:marTop w:val="0"/>
      <w:marBottom w:val="0"/>
      <w:divBdr>
        <w:top w:val="none" w:sz="0" w:space="0" w:color="auto"/>
        <w:left w:val="none" w:sz="0" w:space="0" w:color="auto"/>
        <w:bottom w:val="none" w:sz="0" w:space="0" w:color="auto"/>
        <w:right w:val="none" w:sz="0" w:space="0" w:color="auto"/>
      </w:divBdr>
    </w:div>
    <w:div w:id="1810126716">
      <w:bodyDiv w:val="1"/>
      <w:marLeft w:val="0"/>
      <w:marRight w:val="0"/>
      <w:marTop w:val="0"/>
      <w:marBottom w:val="0"/>
      <w:divBdr>
        <w:top w:val="none" w:sz="0" w:space="0" w:color="auto"/>
        <w:left w:val="none" w:sz="0" w:space="0" w:color="auto"/>
        <w:bottom w:val="none" w:sz="0" w:space="0" w:color="auto"/>
        <w:right w:val="none" w:sz="0" w:space="0" w:color="auto"/>
      </w:divBdr>
    </w:div>
    <w:div w:id="1816992088">
      <w:bodyDiv w:val="1"/>
      <w:marLeft w:val="0"/>
      <w:marRight w:val="0"/>
      <w:marTop w:val="0"/>
      <w:marBottom w:val="0"/>
      <w:divBdr>
        <w:top w:val="none" w:sz="0" w:space="0" w:color="auto"/>
        <w:left w:val="none" w:sz="0" w:space="0" w:color="auto"/>
        <w:bottom w:val="none" w:sz="0" w:space="0" w:color="auto"/>
        <w:right w:val="none" w:sz="0" w:space="0" w:color="auto"/>
      </w:divBdr>
    </w:div>
    <w:div w:id="1826117278">
      <w:bodyDiv w:val="1"/>
      <w:marLeft w:val="0"/>
      <w:marRight w:val="0"/>
      <w:marTop w:val="0"/>
      <w:marBottom w:val="0"/>
      <w:divBdr>
        <w:top w:val="none" w:sz="0" w:space="0" w:color="auto"/>
        <w:left w:val="none" w:sz="0" w:space="0" w:color="auto"/>
        <w:bottom w:val="none" w:sz="0" w:space="0" w:color="auto"/>
        <w:right w:val="none" w:sz="0" w:space="0" w:color="auto"/>
      </w:divBdr>
    </w:div>
    <w:div w:id="1829440222">
      <w:bodyDiv w:val="1"/>
      <w:marLeft w:val="0"/>
      <w:marRight w:val="0"/>
      <w:marTop w:val="0"/>
      <w:marBottom w:val="0"/>
      <w:divBdr>
        <w:top w:val="none" w:sz="0" w:space="0" w:color="auto"/>
        <w:left w:val="none" w:sz="0" w:space="0" w:color="auto"/>
        <w:bottom w:val="none" w:sz="0" w:space="0" w:color="auto"/>
        <w:right w:val="none" w:sz="0" w:space="0" w:color="auto"/>
      </w:divBdr>
    </w:div>
    <w:div w:id="1833333374">
      <w:bodyDiv w:val="1"/>
      <w:marLeft w:val="0"/>
      <w:marRight w:val="0"/>
      <w:marTop w:val="0"/>
      <w:marBottom w:val="0"/>
      <w:divBdr>
        <w:top w:val="none" w:sz="0" w:space="0" w:color="auto"/>
        <w:left w:val="none" w:sz="0" w:space="0" w:color="auto"/>
        <w:bottom w:val="none" w:sz="0" w:space="0" w:color="auto"/>
        <w:right w:val="none" w:sz="0" w:space="0" w:color="auto"/>
      </w:divBdr>
    </w:div>
    <w:div w:id="1837768464">
      <w:bodyDiv w:val="1"/>
      <w:marLeft w:val="0"/>
      <w:marRight w:val="0"/>
      <w:marTop w:val="0"/>
      <w:marBottom w:val="0"/>
      <w:divBdr>
        <w:top w:val="none" w:sz="0" w:space="0" w:color="auto"/>
        <w:left w:val="none" w:sz="0" w:space="0" w:color="auto"/>
        <w:bottom w:val="none" w:sz="0" w:space="0" w:color="auto"/>
        <w:right w:val="none" w:sz="0" w:space="0" w:color="auto"/>
      </w:divBdr>
    </w:div>
    <w:div w:id="1839420052">
      <w:bodyDiv w:val="1"/>
      <w:marLeft w:val="0"/>
      <w:marRight w:val="0"/>
      <w:marTop w:val="0"/>
      <w:marBottom w:val="0"/>
      <w:divBdr>
        <w:top w:val="none" w:sz="0" w:space="0" w:color="auto"/>
        <w:left w:val="none" w:sz="0" w:space="0" w:color="auto"/>
        <w:bottom w:val="none" w:sz="0" w:space="0" w:color="auto"/>
        <w:right w:val="none" w:sz="0" w:space="0" w:color="auto"/>
      </w:divBdr>
    </w:div>
    <w:div w:id="1847865340">
      <w:bodyDiv w:val="1"/>
      <w:marLeft w:val="0"/>
      <w:marRight w:val="0"/>
      <w:marTop w:val="0"/>
      <w:marBottom w:val="0"/>
      <w:divBdr>
        <w:top w:val="none" w:sz="0" w:space="0" w:color="auto"/>
        <w:left w:val="none" w:sz="0" w:space="0" w:color="auto"/>
        <w:bottom w:val="none" w:sz="0" w:space="0" w:color="auto"/>
        <w:right w:val="none" w:sz="0" w:space="0" w:color="auto"/>
      </w:divBdr>
    </w:div>
    <w:div w:id="1853641796">
      <w:bodyDiv w:val="1"/>
      <w:marLeft w:val="0"/>
      <w:marRight w:val="0"/>
      <w:marTop w:val="0"/>
      <w:marBottom w:val="0"/>
      <w:divBdr>
        <w:top w:val="none" w:sz="0" w:space="0" w:color="auto"/>
        <w:left w:val="none" w:sz="0" w:space="0" w:color="auto"/>
        <w:bottom w:val="none" w:sz="0" w:space="0" w:color="auto"/>
        <w:right w:val="none" w:sz="0" w:space="0" w:color="auto"/>
      </w:divBdr>
    </w:div>
    <w:div w:id="1875842347">
      <w:bodyDiv w:val="1"/>
      <w:marLeft w:val="0"/>
      <w:marRight w:val="0"/>
      <w:marTop w:val="0"/>
      <w:marBottom w:val="0"/>
      <w:divBdr>
        <w:top w:val="none" w:sz="0" w:space="0" w:color="auto"/>
        <w:left w:val="none" w:sz="0" w:space="0" w:color="auto"/>
        <w:bottom w:val="none" w:sz="0" w:space="0" w:color="auto"/>
        <w:right w:val="none" w:sz="0" w:space="0" w:color="auto"/>
      </w:divBdr>
    </w:div>
    <w:div w:id="1879778425">
      <w:bodyDiv w:val="1"/>
      <w:marLeft w:val="0"/>
      <w:marRight w:val="0"/>
      <w:marTop w:val="0"/>
      <w:marBottom w:val="0"/>
      <w:divBdr>
        <w:top w:val="none" w:sz="0" w:space="0" w:color="auto"/>
        <w:left w:val="none" w:sz="0" w:space="0" w:color="auto"/>
        <w:bottom w:val="none" w:sz="0" w:space="0" w:color="auto"/>
        <w:right w:val="none" w:sz="0" w:space="0" w:color="auto"/>
      </w:divBdr>
    </w:div>
    <w:div w:id="1882669460">
      <w:bodyDiv w:val="1"/>
      <w:marLeft w:val="0"/>
      <w:marRight w:val="0"/>
      <w:marTop w:val="0"/>
      <w:marBottom w:val="0"/>
      <w:divBdr>
        <w:top w:val="none" w:sz="0" w:space="0" w:color="auto"/>
        <w:left w:val="none" w:sz="0" w:space="0" w:color="auto"/>
        <w:bottom w:val="none" w:sz="0" w:space="0" w:color="auto"/>
        <w:right w:val="none" w:sz="0" w:space="0" w:color="auto"/>
      </w:divBdr>
    </w:div>
    <w:div w:id="1901944506">
      <w:bodyDiv w:val="1"/>
      <w:marLeft w:val="0"/>
      <w:marRight w:val="0"/>
      <w:marTop w:val="0"/>
      <w:marBottom w:val="0"/>
      <w:divBdr>
        <w:top w:val="none" w:sz="0" w:space="0" w:color="auto"/>
        <w:left w:val="none" w:sz="0" w:space="0" w:color="auto"/>
        <w:bottom w:val="none" w:sz="0" w:space="0" w:color="auto"/>
        <w:right w:val="none" w:sz="0" w:space="0" w:color="auto"/>
      </w:divBdr>
    </w:div>
    <w:div w:id="1905407134">
      <w:bodyDiv w:val="1"/>
      <w:marLeft w:val="0"/>
      <w:marRight w:val="0"/>
      <w:marTop w:val="0"/>
      <w:marBottom w:val="0"/>
      <w:divBdr>
        <w:top w:val="none" w:sz="0" w:space="0" w:color="auto"/>
        <w:left w:val="none" w:sz="0" w:space="0" w:color="auto"/>
        <w:bottom w:val="none" w:sz="0" w:space="0" w:color="auto"/>
        <w:right w:val="none" w:sz="0" w:space="0" w:color="auto"/>
      </w:divBdr>
    </w:div>
    <w:div w:id="1907494149">
      <w:bodyDiv w:val="1"/>
      <w:marLeft w:val="0"/>
      <w:marRight w:val="0"/>
      <w:marTop w:val="0"/>
      <w:marBottom w:val="0"/>
      <w:divBdr>
        <w:top w:val="none" w:sz="0" w:space="0" w:color="auto"/>
        <w:left w:val="none" w:sz="0" w:space="0" w:color="auto"/>
        <w:bottom w:val="none" w:sz="0" w:space="0" w:color="auto"/>
        <w:right w:val="none" w:sz="0" w:space="0" w:color="auto"/>
      </w:divBdr>
    </w:div>
    <w:div w:id="1909806805">
      <w:bodyDiv w:val="1"/>
      <w:marLeft w:val="0"/>
      <w:marRight w:val="0"/>
      <w:marTop w:val="0"/>
      <w:marBottom w:val="0"/>
      <w:divBdr>
        <w:top w:val="none" w:sz="0" w:space="0" w:color="auto"/>
        <w:left w:val="none" w:sz="0" w:space="0" w:color="auto"/>
        <w:bottom w:val="none" w:sz="0" w:space="0" w:color="auto"/>
        <w:right w:val="none" w:sz="0" w:space="0" w:color="auto"/>
      </w:divBdr>
    </w:div>
    <w:div w:id="1918976138">
      <w:bodyDiv w:val="1"/>
      <w:marLeft w:val="0"/>
      <w:marRight w:val="0"/>
      <w:marTop w:val="0"/>
      <w:marBottom w:val="0"/>
      <w:divBdr>
        <w:top w:val="none" w:sz="0" w:space="0" w:color="auto"/>
        <w:left w:val="none" w:sz="0" w:space="0" w:color="auto"/>
        <w:bottom w:val="none" w:sz="0" w:space="0" w:color="auto"/>
        <w:right w:val="none" w:sz="0" w:space="0" w:color="auto"/>
      </w:divBdr>
    </w:div>
    <w:div w:id="1938706482">
      <w:bodyDiv w:val="1"/>
      <w:marLeft w:val="0"/>
      <w:marRight w:val="0"/>
      <w:marTop w:val="0"/>
      <w:marBottom w:val="0"/>
      <w:divBdr>
        <w:top w:val="none" w:sz="0" w:space="0" w:color="auto"/>
        <w:left w:val="none" w:sz="0" w:space="0" w:color="auto"/>
        <w:bottom w:val="none" w:sz="0" w:space="0" w:color="auto"/>
        <w:right w:val="none" w:sz="0" w:space="0" w:color="auto"/>
      </w:divBdr>
    </w:div>
    <w:div w:id="1940991204">
      <w:bodyDiv w:val="1"/>
      <w:marLeft w:val="0"/>
      <w:marRight w:val="0"/>
      <w:marTop w:val="0"/>
      <w:marBottom w:val="0"/>
      <w:divBdr>
        <w:top w:val="none" w:sz="0" w:space="0" w:color="auto"/>
        <w:left w:val="none" w:sz="0" w:space="0" w:color="auto"/>
        <w:bottom w:val="none" w:sz="0" w:space="0" w:color="auto"/>
        <w:right w:val="none" w:sz="0" w:space="0" w:color="auto"/>
      </w:divBdr>
    </w:div>
    <w:div w:id="1943604239">
      <w:bodyDiv w:val="1"/>
      <w:marLeft w:val="0"/>
      <w:marRight w:val="0"/>
      <w:marTop w:val="0"/>
      <w:marBottom w:val="0"/>
      <w:divBdr>
        <w:top w:val="none" w:sz="0" w:space="0" w:color="auto"/>
        <w:left w:val="none" w:sz="0" w:space="0" w:color="auto"/>
        <w:bottom w:val="none" w:sz="0" w:space="0" w:color="auto"/>
        <w:right w:val="none" w:sz="0" w:space="0" w:color="auto"/>
      </w:divBdr>
    </w:div>
    <w:div w:id="1944796771">
      <w:bodyDiv w:val="1"/>
      <w:marLeft w:val="0"/>
      <w:marRight w:val="0"/>
      <w:marTop w:val="0"/>
      <w:marBottom w:val="0"/>
      <w:divBdr>
        <w:top w:val="none" w:sz="0" w:space="0" w:color="auto"/>
        <w:left w:val="none" w:sz="0" w:space="0" w:color="auto"/>
        <w:bottom w:val="none" w:sz="0" w:space="0" w:color="auto"/>
        <w:right w:val="none" w:sz="0" w:space="0" w:color="auto"/>
      </w:divBdr>
    </w:div>
    <w:div w:id="1947615179">
      <w:bodyDiv w:val="1"/>
      <w:marLeft w:val="0"/>
      <w:marRight w:val="0"/>
      <w:marTop w:val="0"/>
      <w:marBottom w:val="0"/>
      <w:divBdr>
        <w:top w:val="none" w:sz="0" w:space="0" w:color="auto"/>
        <w:left w:val="none" w:sz="0" w:space="0" w:color="auto"/>
        <w:bottom w:val="none" w:sz="0" w:space="0" w:color="auto"/>
        <w:right w:val="none" w:sz="0" w:space="0" w:color="auto"/>
      </w:divBdr>
    </w:div>
    <w:div w:id="1953201783">
      <w:bodyDiv w:val="1"/>
      <w:marLeft w:val="0"/>
      <w:marRight w:val="0"/>
      <w:marTop w:val="0"/>
      <w:marBottom w:val="0"/>
      <w:divBdr>
        <w:top w:val="none" w:sz="0" w:space="0" w:color="auto"/>
        <w:left w:val="none" w:sz="0" w:space="0" w:color="auto"/>
        <w:bottom w:val="none" w:sz="0" w:space="0" w:color="auto"/>
        <w:right w:val="none" w:sz="0" w:space="0" w:color="auto"/>
      </w:divBdr>
    </w:div>
    <w:div w:id="1954633378">
      <w:bodyDiv w:val="1"/>
      <w:marLeft w:val="0"/>
      <w:marRight w:val="0"/>
      <w:marTop w:val="0"/>
      <w:marBottom w:val="0"/>
      <w:divBdr>
        <w:top w:val="none" w:sz="0" w:space="0" w:color="auto"/>
        <w:left w:val="none" w:sz="0" w:space="0" w:color="auto"/>
        <w:bottom w:val="none" w:sz="0" w:space="0" w:color="auto"/>
        <w:right w:val="none" w:sz="0" w:space="0" w:color="auto"/>
      </w:divBdr>
    </w:div>
    <w:div w:id="1955596413">
      <w:bodyDiv w:val="1"/>
      <w:marLeft w:val="0"/>
      <w:marRight w:val="0"/>
      <w:marTop w:val="0"/>
      <w:marBottom w:val="0"/>
      <w:divBdr>
        <w:top w:val="none" w:sz="0" w:space="0" w:color="auto"/>
        <w:left w:val="none" w:sz="0" w:space="0" w:color="auto"/>
        <w:bottom w:val="none" w:sz="0" w:space="0" w:color="auto"/>
        <w:right w:val="none" w:sz="0" w:space="0" w:color="auto"/>
      </w:divBdr>
    </w:div>
    <w:div w:id="1958829412">
      <w:bodyDiv w:val="1"/>
      <w:marLeft w:val="0"/>
      <w:marRight w:val="0"/>
      <w:marTop w:val="0"/>
      <w:marBottom w:val="0"/>
      <w:divBdr>
        <w:top w:val="none" w:sz="0" w:space="0" w:color="auto"/>
        <w:left w:val="none" w:sz="0" w:space="0" w:color="auto"/>
        <w:bottom w:val="none" w:sz="0" w:space="0" w:color="auto"/>
        <w:right w:val="none" w:sz="0" w:space="0" w:color="auto"/>
      </w:divBdr>
    </w:div>
    <w:div w:id="1965695861">
      <w:bodyDiv w:val="1"/>
      <w:marLeft w:val="0"/>
      <w:marRight w:val="0"/>
      <w:marTop w:val="0"/>
      <w:marBottom w:val="0"/>
      <w:divBdr>
        <w:top w:val="none" w:sz="0" w:space="0" w:color="auto"/>
        <w:left w:val="none" w:sz="0" w:space="0" w:color="auto"/>
        <w:bottom w:val="none" w:sz="0" w:space="0" w:color="auto"/>
        <w:right w:val="none" w:sz="0" w:space="0" w:color="auto"/>
      </w:divBdr>
    </w:div>
    <w:div w:id="1983609487">
      <w:bodyDiv w:val="1"/>
      <w:marLeft w:val="0"/>
      <w:marRight w:val="0"/>
      <w:marTop w:val="0"/>
      <w:marBottom w:val="0"/>
      <w:divBdr>
        <w:top w:val="none" w:sz="0" w:space="0" w:color="auto"/>
        <w:left w:val="none" w:sz="0" w:space="0" w:color="auto"/>
        <w:bottom w:val="none" w:sz="0" w:space="0" w:color="auto"/>
        <w:right w:val="none" w:sz="0" w:space="0" w:color="auto"/>
      </w:divBdr>
    </w:div>
    <w:div w:id="1993176453">
      <w:bodyDiv w:val="1"/>
      <w:marLeft w:val="0"/>
      <w:marRight w:val="0"/>
      <w:marTop w:val="0"/>
      <w:marBottom w:val="0"/>
      <w:divBdr>
        <w:top w:val="none" w:sz="0" w:space="0" w:color="auto"/>
        <w:left w:val="none" w:sz="0" w:space="0" w:color="auto"/>
        <w:bottom w:val="none" w:sz="0" w:space="0" w:color="auto"/>
        <w:right w:val="none" w:sz="0" w:space="0" w:color="auto"/>
      </w:divBdr>
    </w:div>
    <w:div w:id="1998143080">
      <w:bodyDiv w:val="1"/>
      <w:marLeft w:val="0"/>
      <w:marRight w:val="0"/>
      <w:marTop w:val="0"/>
      <w:marBottom w:val="0"/>
      <w:divBdr>
        <w:top w:val="none" w:sz="0" w:space="0" w:color="auto"/>
        <w:left w:val="none" w:sz="0" w:space="0" w:color="auto"/>
        <w:bottom w:val="none" w:sz="0" w:space="0" w:color="auto"/>
        <w:right w:val="none" w:sz="0" w:space="0" w:color="auto"/>
      </w:divBdr>
    </w:div>
    <w:div w:id="2002851551">
      <w:bodyDiv w:val="1"/>
      <w:marLeft w:val="0"/>
      <w:marRight w:val="0"/>
      <w:marTop w:val="0"/>
      <w:marBottom w:val="0"/>
      <w:divBdr>
        <w:top w:val="none" w:sz="0" w:space="0" w:color="auto"/>
        <w:left w:val="none" w:sz="0" w:space="0" w:color="auto"/>
        <w:bottom w:val="none" w:sz="0" w:space="0" w:color="auto"/>
        <w:right w:val="none" w:sz="0" w:space="0" w:color="auto"/>
      </w:divBdr>
    </w:div>
    <w:div w:id="2004550181">
      <w:bodyDiv w:val="1"/>
      <w:marLeft w:val="0"/>
      <w:marRight w:val="0"/>
      <w:marTop w:val="0"/>
      <w:marBottom w:val="0"/>
      <w:divBdr>
        <w:top w:val="none" w:sz="0" w:space="0" w:color="auto"/>
        <w:left w:val="none" w:sz="0" w:space="0" w:color="auto"/>
        <w:bottom w:val="none" w:sz="0" w:space="0" w:color="auto"/>
        <w:right w:val="none" w:sz="0" w:space="0" w:color="auto"/>
      </w:divBdr>
    </w:div>
    <w:div w:id="2006469381">
      <w:bodyDiv w:val="1"/>
      <w:marLeft w:val="0"/>
      <w:marRight w:val="0"/>
      <w:marTop w:val="0"/>
      <w:marBottom w:val="0"/>
      <w:divBdr>
        <w:top w:val="none" w:sz="0" w:space="0" w:color="auto"/>
        <w:left w:val="none" w:sz="0" w:space="0" w:color="auto"/>
        <w:bottom w:val="none" w:sz="0" w:space="0" w:color="auto"/>
        <w:right w:val="none" w:sz="0" w:space="0" w:color="auto"/>
      </w:divBdr>
    </w:div>
    <w:div w:id="2008364996">
      <w:bodyDiv w:val="1"/>
      <w:marLeft w:val="0"/>
      <w:marRight w:val="0"/>
      <w:marTop w:val="0"/>
      <w:marBottom w:val="0"/>
      <w:divBdr>
        <w:top w:val="none" w:sz="0" w:space="0" w:color="auto"/>
        <w:left w:val="none" w:sz="0" w:space="0" w:color="auto"/>
        <w:bottom w:val="none" w:sz="0" w:space="0" w:color="auto"/>
        <w:right w:val="none" w:sz="0" w:space="0" w:color="auto"/>
      </w:divBdr>
    </w:div>
    <w:div w:id="2012028674">
      <w:bodyDiv w:val="1"/>
      <w:marLeft w:val="0"/>
      <w:marRight w:val="0"/>
      <w:marTop w:val="0"/>
      <w:marBottom w:val="0"/>
      <w:divBdr>
        <w:top w:val="none" w:sz="0" w:space="0" w:color="auto"/>
        <w:left w:val="none" w:sz="0" w:space="0" w:color="auto"/>
        <w:bottom w:val="none" w:sz="0" w:space="0" w:color="auto"/>
        <w:right w:val="none" w:sz="0" w:space="0" w:color="auto"/>
      </w:divBdr>
    </w:div>
    <w:div w:id="2025160432">
      <w:bodyDiv w:val="1"/>
      <w:marLeft w:val="0"/>
      <w:marRight w:val="0"/>
      <w:marTop w:val="0"/>
      <w:marBottom w:val="0"/>
      <w:divBdr>
        <w:top w:val="none" w:sz="0" w:space="0" w:color="auto"/>
        <w:left w:val="none" w:sz="0" w:space="0" w:color="auto"/>
        <w:bottom w:val="none" w:sz="0" w:space="0" w:color="auto"/>
        <w:right w:val="none" w:sz="0" w:space="0" w:color="auto"/>
      </w:divBdr>
    </w:div>
    <w:div w:id="2033417242">
      <w:bodyDiv w:val="1"/>
      <w:marLeft w:val="0"/>
      <w:marRight w:val="0"/>
      <w:marTop w:val="0"/>
      <w:marBottom w:val="0"/>
      <w:divBdr>
        <w:top w:val="none" w:sz="0" w:space="0" w:color="auto"/>
        <w:left w:val="none" w:sz="0" w:space="0" w:color="auto"/>
        <w:bottom w:val="none" w:sz="0" w:space="0" w:color="auto"/>
        <w:right w:val="none" w:sz="0" w:space="0" w:color="auto"/>
      </w:divBdr>
    </w:div>
    <w:div w:id="2043434441">
      <w:bodyDiv w:val="1"/>
      <w:marLeft w:val="0"/>
      <w:marRight w:val="0"/>
      <w:marTop w:val="0"/>
      <w:marBottom w:val="0"/>
      <w:divBdr>
        <w:top w:val="none" w:sz="0" w:space="0" w:color="auto"/>
        <w:left w:val="none" w:sz="0" w:space="0" w:color="auto"/>
        <w:bottom w:val="none" w:sz="0" w:space="0" w:color="auto"/>
        <w:right w:val="none" w:sz="0" w:space="0" w:color="auto"/>
      </w:divBdr>
    </w:div>
    <w:div w:id="2058357031">
      <w:bodyDiv w:val="1"/>
      <w:marLeft w:val="0"/>
      <w:marRight w:val="0"/>
      <w:marTop w:val="0"/>
      <w:marBottom w:val="0"/>
      <w:divBdr>
        <w:top w:val="none" w:sz="0" w:space="0" w:color="auto"/>
        <w:left w:val="none" w:sz="0" w:space="0" w:color="auto"/>
        <w:bottom w:val="none" w:sz="0" w:space="0" w:color="auto"/>
        <w:right w:val="none" w:sz="0" w:space="0" w:color="auto"/>
      </w:divBdr>
    </w:div>
    <w:div w:id="2068339908">
      <w:bodyDiv w:val="1"/>
      <w:marLeft w:val="0"/>
      <w:marRight w:val="0"/>
      <w:marTop w:val="0"/>
      <w:marBottom w:val="0"/>
      <w:divBdr>
        <w:top w:val="none" w:sz="0" w:space="0" w:color="auto"/>
        <w:left w:val="none" w:sz="0" w:space="0" w:color="auto"/>
        <w:bottom w:val="none" w:sz="0" w:space="0" w:color="auto"/>
        <w:right w:val="none" w:sz="0" w:space="0" w:color="auto"/>
      </w:divBdr>
    </w:div>
    <w:div w:id="2075425400">
      <w:bodyDiv w:val="1"/>
      <w:marLeft w:val="0"/>
      <w:marRight w:val="0"/>
      <w:marTop w:val="0"/>
      <w:marBottom w:val="0"/>
      <w:divBdr>
        <w:top w:val="none" w:sz="0" w:space="0" w:color="auto"/>
        <w:left w:val="none" w:sz="0" w:space="0" w:color="auto"/>
        <w:bottom w:val="none" w:sz="0" w:space="0" w:color="auto"/>
        <w:right w:val="none" w:sz="0" w:space="0" w:color="auto"/>
      </w:divBdr>
    </w:div>
    <w:div w:id="2081170821">
      <w:bodyDiv w:val="1"/>
      <w:marLeft w:val="0"/>
      <w:marRight w:val="0"/>
      <w:marTop w:val="0"/>
      <w:marBottom w:val="0"/>
      <w:divBdr>
        <w:top w:val="none" w:sz="0" w:space="0" w:color="auto"/>
        <w:left w:val="none" w:sz="0" w:space="0" w:color="auto"/>
        <w:bottom w:val="none" w:sz="0" w:space="0" w:color="auto"/>
        <w:right w:val="none" w:sz="0" w:space="0" w:color="auto"/>
      </w:divBdr>
    </w:div>
    <w:div w:id="2082366261">
      <w:bodyDiv w:val="1"/>
      <w:marLeft w:val="0"/>
      <w:marRight w:val="0"/>
      <w:marTop w:val="0"/>
      <w:marBottom w:val="0"/>
      <w:divBdr>
        <w:top w:val="none" w:sz="0" w:space="0" w:color="auto"/>
        <w:left w:val="none" w:sz="0" w:space="0" w:color="auto"/>
        <w:bottom w:val="none" w:sz="0" w:space="0" w:color="auto"/>
        <w:right w:val="none" w:sz="0" w:space="0" w:color="auto"/>
      </w:divBdr>
    </w:div>
    <w:div w:id="2086418137">
      <w:bodyDiv w:val="1"/>
      <w:marLeft w:val="0"/>
      <w:marRight w:val="0"/>
      <w:marTop w:val="0"/>
      <w:marBottom w:val="0"/>
      <w:divBdr>
        <w:top w:val="none" w:sz="0" w:space="0" w:color="auto"/>
        <w:left w:val="none" w:sz="0" w:space="0" w:color="auto"/>
        <w:bottom w:val="none" w:sz="0" w:space="0" w:color="auto"/>
        <w:right w:val="none" w:sz="0" w:space="0" w:color="auto"/>
      </w:divBdr>
    </w:div>
    <w:div w:id="2091654462">
      <w:bodyDiv w:val="1"/>
      <w:marLeft w:val="0"/>
      <w:marRight w:val="0"/>
      <w:marTop w:val="0"/>
      <w:marBottom w:val="0"/>
      <w:divBdr>
        <w:top w:val="none" w:sz="0" w:space="0" w:color="auto"/>
        <w:left w:val="none" w:sz="0" w:space="0" w:color="auto"/>
        <w:bottom w:val="none" w:sz="0" w:space="0" w:color="auto"/>
        <w:right w:val="none" w:sz="0" w:space="0" w:color="auto"/>
      </w:divBdr>
    </w:div>
    <w:div w:id="2092507579">
      <w:bodyDiv w:val="1"/>
      <w:marLeft w:val="0"/>
      <w:marRight w:val="0"/>
      <w:marTop w:val="0"/>
      <w:marBottom w:val="0"/>
      <w:divBdr>
        <w:top w:val="none" w:sz="0" w:space="0" w:color="auto"/>
        <w:left w:val="none" w:sz="0" w:space="0" w:color="auto"/>
        <w:bottom w:val="none" w:sz="0" w:space="0" w:color="auto"/>
        <w:right w:val="none" w:sz="0" w:space="0" w:color="auto"/>
      </w:divBdr>
    </w:div>
    <w:div w:id="2097357158">
      <w:bodyDiv w:val="1"/>
      <w:marLeft w:val="0"/>
      <w:marRight w:val="0"/>
      <w:marTop w:val="0"/>
      <w:marBottom w:val="0"/>
      <w:divBdr>
        <w:top w:val="none" w:sz="0" w:space="0" w:color="auto"/>
        <w:left w:val="none" w:sz="0" w:space="0" w:color="auto"/>
        <w:bottom w:val="none" w:sz="0" w:space="0" w:color="auto"/>
        <w:right w:val="none" w:sz="0" w:space="0" w:color="auto"/>
      </w:divBdr>
    </w:div>
    <w:div w:id="2098747881">
      <w:bodyDiv w:val="1"/>
      <w:marLeft w:val="0"/>
      <w:marRight w:val="0"/>
      <w:marTop w:val="0"/>
      <w:marBottom w:val="0"/>
      <w:divBdr>
        <w:top w:val="none" w:sz="0" w:space="0" w:color="auto"/>
        <w:left w:val="none" w:sz="0" w:space="0" w:color="auto"/>
        <w:bottom w:val="none" w:sz="0" w:space="0" w:color="auto"/>
        <w:right w:val="none" w:sz="0" w:space="0" w:color="auto"/>
      </w:divBdr>
    </w:div>
    <w:div w:id="2106654903">
      <w:bodyDiv w:val="1"/>
      <w:marLeft w:val="0"/>
      <w:marRight w:val="0"/>
      <w:marTop w:val="0"/>
      <w:marBottom w:val="0"/>
      <w:divBdr>
        <w:top w:val="none" w:sz="0" w:space="0" w:color="auto"/>
        <w:left w:val="none" w:sz="0" w:space="0" w:color="auto"/>
        <w:bottom w:val="none" w:sz="0" w:space="0" w:color="auto"/>
        <w:right w:val="none" w:sz="0" w:space="0" w:color="auto"/>
      </w:divBdr>
    </w:div>
    <w:div w:id="2117828569">
      <w:bodyDiv w:val="1"/>
      <w:marLeft w:val="0"/>
      <w:marRight w:val="0"/>
      <w:marTop w:val="0"/>
      <w:marBottom w:val="0"/>
      <w:divBdr>
        <w:top w:val="none" w:sz="0" w:space="0" w:color="auto"/>
        <w:left w:val="none" w:sz="0" w:space="0" w:color="auto"/>
        <w:bottom w:val="none" w:sz="0" w:space="0" w:color="auto"/>
        <w:right w:val="none" w:sz="0" w:space="0" w:color="auto"/>
      </w:divBdr>
    </w:div>
    <w:div w:id="2125952005">
      <w:bodyDiv w:val="1"/>
      <w:marLeft w:val="0"/>
      <w:marRight w:val="0"/>
      <w:marTop w:val="0"/>
      <w:marBottom w:val="0"/>
      <w:divBdr>
        <w:top w:val="none" w:sz="0" w:space="0" w:color="auto"/>
        <w:left w:val="none" w:sz="0" w:space="0" w:color="auto"/>
        <w:bottom w:val="none" w:sz="0" w:space="0" w:color="auto"/>
        <w:right w:val="none" w:sz="0" w:space="0" w:color="auto"/>
      </w:divBdr>
    </w:div>
    <w:div w:id="2139913575">
      <w:bodyDiv w:val="1"/>
      <w:marLeft w:val="0"/>
      <w:marRight w:val="0"/>
      <w:marTop w:val="0"/>
      <w:marBottom w:val="0"/>
      <w:divBdr>
        <w:top w:val="none" w:sz="0" w:space="0" w:color="auto"/>
        <w:left w:val="none" w:sz="0" w:space="0" w:color="auto"/>
        <w:bottom w:val="none" w:sz="0" w:space="0" w:color="auto"/>
        <w:right w:val="none" w:sz="0" w:space="0" w:color="auto"/>
      </w:divBdr>
    </w:div>
    <w:div w:id="2147307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leapfroggroup.org/survey-materials/deadlines" TargetMode="External"/><Relationship Id="rId299" Type="http://schemas.openxmlformats.org/officeDocument/2006/relationships/hyperlink" Target="https://manual.jointcommission.org/releases/TJC2026A1/AppendixATJC.html" TargetMode="External"/><Relationship Id="rId21" Type="http://schemas.openxmlformats.org/officeDocument/2006/relationships/hyperlink" Target="https://leapfroghelpdesk.zendesk.com" TargetMode="External"/><Relationship Id="rId63" Type="http://schemas.openxmlformats.org/officeDocument/2006/relationships/hyperlink" Target="https://www.leapfroggroup.org/survey-materials/data-accuracy" TargetMode="External"/><Relationship Id="rId159" Type="http://schemas.openxmlformats.org/officeDocument/2006/relationships/hyperlink" Target="https://nam02.safelinks.protection.outlook.com/?url=https%3A%2F%2Freadability.leapfroggroup.org%2F&amp;data=05%7C02%7Cjtilly%40leapfrog-group.org%7C6831d208cb504926d07108de64083d65%7C95c34b8315eb4d9a97a7f29881f4a800%7C0%7C0%7C639058183712473312%7CUnknown%7CTWFpbGZsb3d8eyJFbXB0eU1hcGkiOnRydWUsIlYiOiIwLjAuMDAwMCIsIlAiOiJXaW4zMiIsIkFOIjoiTWFpbCIsIldUIjoyfQ%3D%3D%7C0%7C%7C%7C&amp;sdata=ERCnNuEypjpxKse%2B%2Bfc00g73NnwCwuDaWaJmvCcANjc%3D&amp;reserved=0" TargetMode="External"/><Relationship Id="rId324" Type="http://schemas.openxmlformats.org/officeDocument/2006/relationships/hyperlink" Target="https://www.leapfroggroup.org/survey-materials/deadlines" TargetMode="External"/><Relationship Id="rId366" Type="http://schemas.openxmlformats.org/officeDocument/2006/relationships/hyperlink" Target="https://www.leapfroggroup.org/survey-materials/deadlines" TargetMode="External"/><Relationship Id="rId170" Type="http://schemas.openxmlformats.org/officeDocument/2006/relationships/hyperlink" Target="https://www.leapfroggroup.org/survey-materials/deadlines" TargetMode="External"/><Relationship Id="rId226" Type="http://schemas.openxmlformats.org/officeDocument/2006/relationships/hyperlink" Target="https://www.leapfroggroup.org/survey-materials/survey-and-cpoe-materials" TargetMode="External"/><Relationship Id="rId433" Type="http://schemas.openxmlformats.org/officeDocument/2006/relationships/hyperlink" Target="http://www.leapfroggroup.org/survey-materials/survey-and-cpoe-materials" TargetMode="External"/><Relationship Id="rId268" Type="http://schemas.openxmlformats.org/officeDocument/2006/relationships/hyperlink" Target="https://public.vtoxford.org/leapfrog" TargetMode="External"/><Relationship Id="rId475" Type="http://schemas.openxmlformats.org/officeDocument/2006/relationships/hyperlink" Target="https://www.leapfroggroup.org/survey-materials/deadlines" TargetMode="External"/><Relationship Id="rId32" Type="http://schemas.openxmlformats.org/officeDocument/2006/relationships/hyperlink" Target="https://www.leapfroggroup.org/survey-materials/updating-your-hospital-survey" TargetMode="External"/><Relationship Id="rId74" Type="http://schemas.openxmlformats.org/officeDocument/2006/relationships/hyperlink" Target="http://www.hospitalsafetygrade.org/for-hospitals/updates-and-timelines-for-hospitals" TargetMode="External"/><Relationship Id="rId128" Type="http://schemas.openxmlformats.org/officeDocument/2006/relationships/hyperlink" Target="https://www.leapfroggroup.org/survey-materials/review-nhsn-instructions" TargetMode="External"/><Relationship Id="rId335" Type="http://schemas.openxmlformats.org/officeDocument/2006/relationships/hyperlink" Target="https://www.leapfroggroup.org/survey-materials/deadlines" TargetMode="External"/><Relationship Id="rId377" Type="http://schemas.openxmlformats.org/officeDocument/2006/relationships/hyperlink" Target="http://leapfroggroup.org/survey-materials/survey-and-cpoe-materials" TargetMode="External"/><Relationship Id="rId500" Type="http://schemas.openxmlformats.org/officeDocument/2006/relationships/hyperlink" Target="https://www.leapfroggroup.org/survey-materials/survey-and-cpoe-materials" TargetMode="External"/><Relationship Id="rId5" Type="http://schemas.openxmlformats.org/officeDocument/2006/relationships/customXml" Target="../customXml/item5.xml"/><Relationship Id="rId181" Type="http://schemas.openxmlformats.org/officeDocument/2006/relationships/hyperlink" Target="http://leapfroggroup.org/survey-materials/multi-campus-reporting-policy" TargetMode="External"/><Relationship Id="rId237" Type="http://schemas.openxmlformats.org/officeDocument/2006/relationships/hyperlink" Target="https://www.leapfroggroup.org/sites/default/files/Files/Implementation%20manual%20WHO%20surgical%20safety%20checklist%202009.pdf?token=_DzwbK1J" TargetMode="External"/><Relationship Id="rId402" Type="http://schemas.openxmlformats.org/officeDocument/2006/relationships/hyperlink" Target="https://www.leapfroggroup.org/about/expert-panelists" TargetMode="External"/><Relationship Id="rId279" Type="http://schemas.openxmlformats.org/officeDocument/2006/relationships/hyperlink" Target="http://leapfroggroup.org/survey-materials/multi-campus-reporting-policy" TargetMode="External"/><Relationship Id="rId444" Type="http://schemas.openxmlformats.org/officeDocument/2006/relationships/hyperlink" Target="https://www.ahrq.gov/cahps/surveys-guidance/hospital/about/child_hp_survey.html" TargetMode="External"/><Relationship Id="rId486" Type="http://schemas.openxmlformats.org/officeDocument/2006/relationships/hyperlink" Target="https://survey.leapfroggroup.org/login?destination=dashboard" TargetMode="External"/><Relationship Id="rId43" Type="http://schemas.openxmlformats.org/officeDocument/2006/relationships/hyperlink" Target="https://www.leapfroggroup.org/survey-materials/scoring-and-results" TargetMode="External"/><Relationship Id="rId139" Type="http://schemas.openxmlformats.org/officeDocument/2006/relationships/hyperlink" Target="https://www.cms.gov/priorities/health-equity/minority-health/research-data/research-data/tools" TargetMode="External"/><Relationship Id="rId290" Type="http://schemas.openxmlformats.org/officeDocument/2006/relationships/hyperlink" Target="https://manual.jointcommission.org/releases/TJC2026A1/DataElem0265.html" TargetMode="External"/><Relationship Id="rId304" Type="http://schemas.openxmlformats.org/officeDocument/2006/relationships/hyperlink" Target="http://leapfroggroup.org/survey-materials/multi-campus-reporting-policy" TargetMode="External"/><Relationship Id="rId346" Type="http://schemas.openxmlformats.org/officeDocument/2006/relationships/hyperlink" Target="https://ratings.leapfroggroup.org/measure/hospital/2026/whats-new-2026" TargetMode="External"/><Relationship Id="rId388" Type="http://schemas.openxmlformats.org/officeDocument/2006/relationships/hyperlink" Target="https://www.hha.org.au/local-implementation/promotional-materials/video-clips" TargetMode="External"/><Relationship Id="rId511" Type="http://schemas.openxmlformats.org/officeDocument/2006/relationships/theme" Target="theme/theme1.xml"/><Relationship Id="rId85" Type="http://schemas.openxmlformats.org/officeDocument/2006/relationships/hyperlink" Target="https://www.leapfroggroup.org/survey-materials/hospital-survey-webinar-series" TargetMode="External"/><Relationship Id="rId150" Type="http://schemas.openxmlformats.org/officeDocument/2006/relationships/hyperlink" Target="https://www.nyp.org/daliocenter/data-and-infrastructure" TargetMode="External"/><Relationship Id="rId192" Type="http://schemas.openxmlformats.org/officeDocument/2006/relationships/image" Target="media/image4.png"/><Relationship Id="rId206" Type="http://schemas.openxmlformats.org/officeDocument/2006/relationships/hyperlink" Target="https://www.leapfroggroup.org/survey-materials/scoring-and-results" TargetMode="External"/><Relationship Id="rId413" Type="http://schemas.openxmlformats.org/officeDocument/2006/relationships/hyperlink" Target="https://www.leapfroggroup.org/survey-materials/deadlines" TargetMode="External"/><Relationship Id="rId248" Type="http://schemas.openxmlformats.org/officeDocument/2006/relationships/hyperlink" Target="http://leapfroggroup.org/survey-materials/multi-campus-reporting-policy" TargetMode="External"/><Relationship Id="rId455" Type="http://schemas.openxmlformats.org/officeDocument/2006/relationships/hyperlink" Target="http://www.leapfroggroup.org/about/expert-panelists" TargetMode="External"/><Relationship Id="rId497" Type="http://schemas.openxmlformats.org/officeDocument/2006/relationships/hyperlink" Target="https://www.who.int/patientsafety/safesurgery/checklist/en/" TargetMode="External"/><Relationship Id="rId12" Type="http://schemas.openxmlformats.org/officeDocument/2006/relationships/image" Target="media/image1.jpeg"/><Relationship Id="rId108" Type="http://schemas.openxmlformats.org/officeDocument/2006/relationships/hyperlink" Target="https://www.leapfroggroup.org/survey-materials/deadlines" TargetMode="External"/><Relationship Id="rId315" Type="http://schemas.openxmlformats.org/officeDocument/2006/relationships/hyperlink" Target="http://leapfroggroup.org/survey-materials/survey-and-cpoe-materials" TargetMode="External"/><Relationship Id="rId357" Type="http://schemas.openxmlformats.org/officeDocument/2006/relationships/hyperlink" Target="https://www.who.int/campaigns/world-hand-hygiene-day" TargetMode="External"/><Relationship Id="rId54" Type="http://schemas.openxmlformats.org/officeDocument/2006/relationships/hyperlink" Target="https://ratings.leapfroggroup.org/" TargetMode="External"/><Relationship Id="rId96" Type="http://schemas.openxmlformats.org/officeDocument/2006/relationships/hyperlink" Target="https://leapfroghelpdesk.zendesk.com/" TargetMode="External"/><Relationship Id="rId161" Type="http://schemas.openxmlformats.org/officeDocument/2006/relationships/header" Target="header8.xml"/><Relationship Id="rId217" Type="http://schemas.openxmlformats.org/officeDocument/2006/relationships/hyperlink" Target="https://www.leapfroggroup.org/survey-materials/deadlines" TargetMode="External"/><Relationship Id="rId399" Type="http://schemas.openxmlformats.org/officeDocument/2006/relationships/hyperlink" Target="https://www.ache.org/about-ache/our-story/our-commitments/leading-for-safety/safer-together" TargetMode="External"/><Relationship Id="rId259" Type="http://schemas.openxmlformats.org/officeDocument/2006/relationships/hyperlink" Target="https://www.leapfroggroup.org/survey-materials/deadlines" TargetMode="External"/><Relationship Id="rId424" Type="http://schemas.openxmlformats.org/officeDocument/2006/relationships/hyperlink" Target="https://survey.leapfroggroup.org/login?destination=dashboard" TargetMode="External"/><Relationship Id="rId466" Type="http://schemas.openxmlformats.org/officeDocument/2006/relationships/hyperlink" Target="http://leapfroggroup.org/survey-materials/multi-campus-reporting-policy" TargetMode="External"/><Relationship Id="rId23" Type="http://schemas.openxmlformats.org/officeDocument/2006/relationships/hyperlink" Target="http://www.hospitalsafetygrade.org/for-hospitals/updates-and-timelines-for-hospitals" TargetMode="External"/><Relationship Id="rId119" Type="http://schemas.openxmlformats.org/officeDocument/2006/relationships/hyperlink" Target="https://www.leapfroggroup.org/survey-materials/data-accuracy" TargetMode="External"/><Relationship Id="rId270" Type="http://schemas.openxmlformats.org/officeDocument/2006/relationships/hyperlink" Target="https://manual.jointcommission.org/releases/TJC2026A1/MIF0167.html" TargetMode="External"/><Relationship Id="rId326" Type="http://schemas.openxmlformats.org/officeDocument/2006/relationships/hyperlink" Target="https://www.leapfroggroup.org/survey-materials/scoring-and-results" TargetMode="External"/><Relationship Id="rId65" Type="http://schemas.openxmlformats.org/officeDocument/2006/relationships/hyperlink" Target="http://www.leapfroggroup.org/survey-materials/data-accuracy" TargetMode="External"/><Relationship Id="rId130" Type="http://schemas.openxmlformats.org/officeDocument/2006/relationships/hyperlink" Target="https://www.abms.org/board-certification/board-certification-requirements/board-eligibility/" TargetMode="External"/><Relationship Id="rId368" Type="http://schemas.openxmlformats.org/officeDocument/2006/relationships/hyperlink" Target="https://www.leapfroggroup.org/about/expert-panelists" TargetMode="External"/><Relationship Id="rId172" Type="http://schemas.openxmlformats.org/officeDocument/2006/relationships/hyperlink" Target="http://leapfroggroup.org/survey-materials/multi-campus-reporting-policy" TargetMode="External"/><Relationship Id="rId228" Type="http://schemas.openxmlformats.org/officeDocument/2006/relationships/hyperlink" Target="https://www.sts.org/" TargetMode="External"/><Relationship Id="rId435" Type="http://schemas.openxmlformats.org/officeDocument/2006/relationships/hyperlink" Target="https://ratings.leapfroggroup.org/measure/hospital/2026/pediatric-care" TargetMode="External"/><Relationship Id="rId477" Type="http://schemas.openxmlformats.org/officeDocument/2006/relationships/hyperlink" Target="https://data.cms.gov/provider-data/" TargetMode="External"/><Relationship Id="rId281" Type="http://schemas.openxmlformats.org/officeDocument/2006/relationships/hyperlink" Target="http://leapfroggroup.org/survey-materials/survey-and-cpoe-materials" TargetMode="External"/><Relationship Id="rId337" Type="http://schemas.openxmlformats.org/officeDocument/2006/relationships/hyperlink" Target="http://leapfroggroup.org/survey-materials/multi-campus-reporting-policy" TargetMode="External"/><Relationship Id="rId502" Type="http://schemas.openxmlformats.org/officeDocument/2006/relationships/hyperlink" Target="https://oascahps.org/Survey-Materials" TargetMode="External"/><Relationship Id="rId34" Type="http://schemas.openxmlformats.org/officeDocument/2006/relationships/hyperlink" Target="http://www.leapfroggroup.org/survey-materials/get-hospital-security-code" TargetMode="External"/><Relationship Id="rId76" Type="http://schemas.openxmlformats.org/officeDocument/2006/relationships/hyperlink" Target="https://ratings.leapfroggroup.org/" TargetMode="External"/><Relationship Id="rId141" Type="http://schemas.openxmlformats.org/officeDocument/2006/relationships/hyperlink" Target="https://fenwayhealth.org/wp-content/uploads/TFI-54_SOGI-Data-Collection-Series-of-3-Tip-Sheets-for-pride-month_NutsAndBolts.pdf" TargetMode="External"/><Relationship Id="rId379" Type="http://schemas.openxmlformats.org/officeDocument/2006/relationships/hyperlink" Target="http://www.leapfroggroup.org/survey-materials/data-accuracy" TargetMode="External"/><Relationship Id="rId7" Type="http://schemas.openxmlformats.org/officeDocument/2006/relationships/styles" Target="styles.xml"/><Relationship Id="rId183" Type="http://schemas.openxmlformats.org/officeDocument/2006/relationships/hyperlink" Target="http://www.leapfroggroup.org/survey-materials/survey-and-cpoe-materials" TargetMode="External"/><Relationship Id="rId239" Type="http://schemas.openxmlformats.org/officeDocument/2006/relationships/hyperlink" Target="https://www.leapfroggroup.org/survey-materials/survey-and-cpoe-materials" TargetMode="External"/><Relationship Id="rId390" Type="http://schemas.openxmlformats.org/officeDocument/2006/relationships/hyperlink" Target="https://www.leapfroggroup.org/survey-materials/survey-and-cpoe-materials" TargetMode="External"/><Relationship Id="rId404" Type="http://schemas.openxmlformats.org/officeDocument/2006/relationships/hyperlink" Target="https://www.leapfroggroup.org/sites/default/files/Files/Root%20Cause%20Analysis%20of%20Cases%20Involving%20Diagnosis%20A%20Handbook%20for%20Healthcare%20Organizations.pdf" TargetMode="External"/><Relationship Id="rId446" Type="http://schemas.openxmlformats.org/officeDocument/2006/relationships/hyperlink" Target="https://www.ahrq.gov/cahps/surveys-guidance/hospital/about/child_hp_survey.html" TargetMode="External"/><Relationship Id="rId250" Type="http://schemas.openxmlformats.org/officeDocument/2006/relationships/hyperlink" Target="https://www.leapfroggroup.org/survey-materials/deadlines" TargetMode="External"/><Relationship Id="rId292" Type="http://schemas.openxmlformats.org/officeDocument/2006/relationships/hyperlink" Target="https://manual.jointcommission.org/releases/TJC2026A1/AppendixATJC.html" TargetMode="External"/><Relationship Id="rId306" Type="http://schemas.openxmlformats.org/officeDocument/2006/relationships/hyperlink" Target="http://leapfroggroup.org/survey-materials/multi-campus-reporting-policy" TargetMode="External"/><Relationship Id="rId488" Type="http://schemas.openxmlformats.org/officeDocument/2006/relationships/hyperlink" Target="https://survey.leapfroggroup.org/login?destination=dashboard" TargetMode="External"/><Relationship Id="rId45" Type="http://schemas.openxmlformats.org/officeDocument/2006/relationships/hyperlink" Target="http://leapfroggroup.org/survey-materials/survey-and-cpoe-materials" TargetMode="External"/><Relationship Id="rId87" Type="http://schemas.openxmlformats.org/officeDocument/2006/relationships/hyperlink" Target="https://leapfroghelpdesk.zendesk.com/hc/en-us" TargetMode="External"/><Relationship Id="rId110" Type="http://schemas.openxmlformats.org/officeDocument/2006/relationships/hyperlink" Target="https://www.leapfroggroup.org/survey-materials/deadlines" TargetMode="External"/><Relationship Id="rId348" Type="http://schemas.openxmlformats.org/officeDocument/2006/relationships/hyperlink" Target="http://leapfroggroup.org/survey-materials/multi-campus-reporting-policy" TargetMode="External"/><Relationship Id="rId152" Type="http://schemas.openxmlformats.org/officeDocument/2006/relationships/hyperlink" Target="https://nam02.safelinks.protection.outlook.com/?url=https%3A%2F%2Fwww.barbarabush.org%2Fwp-content%2Fuploads%2F2020%2F09%2FBBFoundation_GainsFromEradicatingIlliteracy_9_8.pdf&amp;data=05%7C01%7CPLipscomb%40leapfrog-group.org%7C2c470c166c5f45fac28508db5d5d58d1%7C95c34b8315eb4d9a97a7f29881f4a800%7C0%7C0%7C638206427719598521%7CUnknown%7CTWFpbGZsb3d8eyJWIjoiMC4wLjAwMDAiLCJQIjoiV2luMzIiLCJBTiI6Ik1haWwiLCJXVCI6Mn0%3D%7C3000%7C%7C%7C&amp;sdata=gyzWTmT%2Bwr7GH5iPUG1uGWyGhkG8gLWnR74g7nkLL00%3D&amp;reserved=0" TargetMode="External"/><Relationship Id="rId194" Type="http://schemas.openxmlformats.org/officeDocument/2006/relationships/image" Target="media/image5.png"/><Relationship Id="rId208" Type="http://schemas.openxmlformats.org/officeDocument/2006/relationships/header" Target="header12.xml"/><Relationship Id="rId415" Type="http://schemas.openxmlformats.org/officeDocument/2006/relationships/hyperlink" Target="https://www.leapfroggroup.org/survey-materials/review-nhsn-instructions" TargetMode="External"/><Relationship Id="rId457" Type="http://schemas.openxmlformats.org/officeDocument/2006/relationships/header" Target="header22.xml"/><Relationship Id="rId261" Type="http://schemas.openxmlformats.org/officeDocument/2006/relationships/hyperlink" Target="http://leapfroggroup.org/survey-materials/multi-campus-reporting-policy" TargetMode="External"/><Relationship Id="rId499" Type="http://schemas.openxmlformats.org/officeDocument/2006/relationships/hyperlink" Target="http://leapfroggroup.org/survey-materials/multi-campus-reporting-policy" TargetMode="External"/><Relationship Id="rId14" Type="http://schemas.openxmlformats.org/officeDocument/2006/relationships/header" Target="header1.xml"/><Relationship Id="rId56" Type="http://schemas.openxmlformats.org/officeDocument/2006/relationships/hyperlink" Target="http://www.leapfroggroup.org/survey-materials/data-accuracy" TargetMode="External"/><Relationship Id="rId317" Type="http://schemas.openxmlformats.org/officeDocument/2006/relationships/hyperlink" Target="http://pediatrics.aappublications.org/content/114/1/297.full" TargetMode="External"/><Relationship Id="rId359" Type="http://schemas.openxmlformats.org/officeDocument/2006/relationships/hyperlink" Target="http://leapfroggroup.org/survey-materials/multi-campus-reporting-policy" TargetMode="External"/><Relationship Id="rId98" Type="http://schemas.openxmlformats.org/officeDocument/2006/relationships/hyperlink" Target="https://leapfroghelpdesk.zendesk.com/" TargetMode="External"/><Relationship Id="rId121" Type="http://schemas.openxmlformats.org/officeDocument/2006/relationships/header" Target="header7.xml"/><Relationship Id="rId163" Type="http://schemas.openxmlformats.org/officeDocument/2006/relationships/hyperlink" Target="https://ratings.leapfroggroup.org/measure/hospital/2026/safe-medication-administration" TargetMode="External"/><Relationship Id="rId219" Type="http://schemas.openxmlformats.org/officeDocument/2006/relationships/hyperlink" Target="https://www.sts.org/" TargetMode="External"/><Relationship Id="rId370" Type="http://schemas.openxmlformats.org/officeDocument/2006/relationships/hyperlink" Target="https://www.leapfroggroup.org/survey-materials/survey-and-cpoe-materials" TargetMode="External"/><Relationship Id="rId426" Type="http://schemas.openxmlformats.org/officeDocument/2006/relationships/hyperlink" Target="https://digitalassets.jointcommission.org/api/public/content/4534bbaaee4f4bd280c2054765f37f4b?v=a60f8f9a" TargetMode="External"/><Relationship Id="rId230" Type="http://schemas.openxmlformats.org/officeDocument/2006/relationships/hyperlink" Target="https://publicreporting.sts.org/search/acsd" TargetMode="External"/><Relationship Id="rId468" Type="http://schemas.openxmlformats.org/officeDocument/2006/relationships/hyperlink" Target="https://www.leapfroggroup.org/survey-materials/deadlines" TargetMode="External"/><Relationship Id="rId25" Type="http://schemas.openxmlformats.org/officeDocument/2006/relationships/hyperlink" Target="http://www.leapfroggroup.org/survey-materials/deadlines" TargetMode="External"/><Relationship Id="rId67" Type="http://schemas.openxmlformats.org/officeDocument/2006/relationships/hyperlink" Target="https://leapfroghelpdesk.zendesk.com/" TargetMode="External"/><Relationship Id="rId272" Type="http://schemas.openxmlformats.org/officeDocument/2006/relationships/hyperlink" Target="https://www.leapfroggroup.org/about/expert-panelists" TargetMode="External"/><Relationship Id="rId328" Type="http://schemas.openxmlformats.org/officeDocument/2006/relationships/hyperlink" Target="https://www.leapfroggroup.org/survey-materials/deadlines" TargetMode="External"/><Relationship Id="rId132" Type="http://schemas.openxmlformats.org/officeDocument/2006/relationships/hyperlink" Target="https://www.upmc.com/about/why-upmc/quality/patient-safety/condition-help" TargetMode="External"/><Relationship Id="rId174" Type="http://schemas.openxmlformats.org/officeDocument/2006/relationships/hyperlink" Target="https://www.leapfroggroup.org/survey-materials/deadlines" TargetMode="External"/><Relationship Id="rId381" Type="http://schemas.openxmlformats.org/officeDocument/2006/relationships/hyperlink" Target="http://leapfroggroup.org/survey-materials/multi-campus-reporting-policy" TargetMode="External"/><Relationship Id="rId241" Type="http://schemas.openxmlformats.org/officeDocument/2006/relationships/hyperlink" Target="https://www.who.int/patientsafety/safesurgery/checklist/en/" TargetMode="External"/><Relationship Id="rId437" Type="http://schemas.openxmlformats.org/officeDocument/2006/relationships/hyperlink" Target="http://leapfroggroup.org/survey-materials/multi-campus-reporting-policy" TargetMode="External"/><Relationship Id="rId479" Type="http://schemas.openxmlformats.org/officeDocument/2006/relationships/hyperlink" Target="https://data.cms.gov/provider-data" TargetMode="External"/><Relationship Id="rId36" Type="http://schemas.openxmlformats.org/officeDocument/2006/relationships/hyperlink" Target="http://www.leapfroggroup.org/survey-materials/survey-and-cpoe-materials" TargetMode="External"/><Relationship Id="rId283" Type="http://schemas.openxmlformats.org/officeDocument/2006/relationships/hyperlink" Target="https://manual.jointcommission.org/releases/TJC2026A1/MIF0167.html" TargetMode="External"/><Relationship Id="rId339" Type="http://schemas.openxmlformats.org/officeDocument/2006/relationships/hyperlink" Target="mailto:ndnqisupport@pressganey.com" TargetMode="External"/><Relationship Id="rId490" Type="http://schemas.openxmlformats.org/officeDocument/2006/relationships/hyperlink" Target="https://survey.leapfroggroup.org/login?destination=dashboard" TargetMode="External"/><Relationship Id="rId504" Type="http://schemas.openxmlformats.org/officeDocument/2006/relationships/hyperlink" Target="https://data.cms.gov/provider-data/search?theme=Hospitals" TargetMode="External"/><Relationship Id="rId78" Type="http://schemas.openxmlformats.org/officeDocument/2006/relationships/hyperlink" Target="https://www.leapfroggroup.org/ratings-reports/top-ascs" TargetMode="External"/><Relationship Id="rId101" Type="http://schemas.openxmlformats.org/officeDocument/2006/relationships/hyperlink" Target="https://ratings.leapfroggroup.org/measure/hospital/2026/health-care-equity" TargetMode="External"/><Relationship Id="rId143" Type="http://schemas.openxmlformats.org/officeDocument/2006/relationships/hyperlink" Target="https://www.cdc.gov/disability-and-health/about/?CDC_AAref_Val=https://www.cdc.gov/ncbddd/disabilityandhealth/disability.html" TargetMode="External"/><Relationship Id="rId185" Type="http://schemas.openxmlformats.org/officeDocument/2006/relationships/hyperlink" Target="https://www.leapfroggroup.org/survey-materials/survey-and-cpoe-materials" TargetMode="External"/><Relationship Id="rId350" Type="http://schemas.openxmlformats.org/officeDocument/2006/relationships/hyperlink" Target="https://www.leapfroggroup.org/sites/default/files/Files/NQF%20Safe%20Practices%20for%20Better%20Healthcare%202010_0.pdf?token=tNGuBYyg" TargetMode="External"/><Relationship Id="rId406" Type="http://schemas.openxmlformats.org/officeDocument/2006/relationships/hyperlink" Target="https://www.leapfroggroup.org/patient-and-family-advisory-council-pfac-toolkit-exploring-diagnostic-quality" TargetMode="External"/><Relationship Id="rId9" Type="http://schemas.openxmlformats.org/officeDocument/2006/relationships/webSettings" Target="webSettings.xml"/><Relationship Id="rId210" Type="http://schemas.openxmlformats.org/officeDocument/2006/relationships/hyperlink" Target="http://www.leapfroggroup.org/survey-materials/scoring-and-results" TargetMode="External"/><Relationship Id="rId392" Type="http://schemas.openxmlformats.org/officeDocument/2006/relationships/hyperlink" Target="https://www.ahrq.gov/patient-safety/patients-families/engagingfamilies/index.html" TargetMode="External"/><Relationship Id="rId448" Type="http://schemas.openxmlformats.org/officeDocument/2006/relationships/hyperlink" Target="http://leapfroggroup.org/survey-materials/multi-campus-reporting-policy" TargetMode="External"/><Relationship Id="rId252" Type="http://schemas.openxmlformats.org/officeDocument/2006/relationships/hyperlink" Target="https://www.leapfroggroup.org/survey-materials/deadlines" TargetMode="External"/><Relationship Id="rId294" Type="http://schemas.openxmlformats.org/officeDocument/2006/relationships/hyperlink" Target="https://manual.jointcommission.org/releases/TJC2026A1/MIF0167.html" TargetMode="External"/><Relationship Id="rId308" Type="http://schemas.openxmlformats.org/officeDocument/2006/relationships/hyperlink" Target="http://leapfroggroup.org/survey-materials/survey-and-cpoe-materials" TargetMode="External"/><Relationship Id="rId47" Type="http://schemas.openxmlformats.org/officeDocument/2006/relationships/hyperlink" Target="http://leapfroggroup.org/survey-materials/get-started" TargetMode="External"/><Relationship Id="rId89" Type="http://schemas.openxmlformats.org/officeDocument/2006/relationships/hyperlink" Target="https://www.leapfroggroup.org/survey-materials/review-nhsn-instructions" TargetMode="External"/><Relationship Id="rId112" Type="http://schemas.openxmlformats.org/officeDocument/2006/relationships/hyperlink" Target="http://leapfroggroup.org/survey-materials/multi-campus-reporting-policy" TargetMode="External"/><Relationship Id="rId154" Type="http://schemas.openxmlformats.org/officeDocument/2006/relationships/hyperlink" Target="https://nam02.safelinks.protection.outlook.com/?url=https%3A%2F%2Fwww.leapfroggroup.org%2Fsurvey-materials%2Ftown-hall-calls&amp;data=05%7C01%7CPLipscomb%40leapfrog-group.org%7C2c470c166c5f45fac28508db5d5d58d1%7C95c34b8315eb4d9a97a7f29881f4a800%7C0%7C0%7C638206427719598521%7CUnknown%7CTWFpbGZsb3d8eyJWIjoiMC4wLjAwMDAiLCJQIjoiV2luMzIiLCJBTiI6Ik1haWwiLCJXVCI6Mn0%3D%7C3000%7C%7C%7C&amp;sdata=SUsDnxd0t3u1QBB%2BErL5RBbQxn62cY5BI%2BaGlI1RIAU%3D&amp;reserved=0" TargetMode="External"/><Relationship Id="rId361" Type="http://schemas.openxmlformats.org/officeDocument/2006/relationships/hyperlink" Target="https://www.leapfroggroup.org/survey-materials/deadlines" TargetMode="External"/><Relationship Id="rId196" Type="http://schemas.openxmlformats.org/officeDocument/2006/relationships/hyperlink" Target="https://www.leapfroggroup.org/survey-materials/survey-and-cpoe-materials" TargetMode="External"/><Relationship Id="rId417" Type="http://schemas.openxmlformats.org/officeDocument/2006/relationships/hyperlink" Target="https://www.leapfroggroup.org/survey-materials/review-nhsn-instructions" TargetMode="External"/><Relationship Id="rId459" Type="http://schemas.openxmlformats.org/officeDocument/2006/relationships/hyperlink" Target="http://www.leapfroggroup.org/survey-materials/scoring-and-results" TargetMode="External"/><Relationship Id="rId16" Type="http://schemas.openxmlformats.org/officeDocument/2006/relationships/hyperlink" Target="https://leapfroggroup.org/hospital" TargetMode="External"/><Relationship Id="rId221" Type="http://schemas.openxmlformats.org/officeDocument/2006/relationships/hyperlink" Target="https://www.who.int/patientsafety/safesurgery/checklist/en/" TargetMode="External"/><Relationship Id="rId263" Type="http://schemas.openxmlformats.org/officeDocument/2006/relationships/hyperlink" Target="https://www.leapfroggroup.org/survey-materials/deadlines" TargetMode="External"/><Relationship Id="rId319" Type="http://schemas.openxmlformats.org/officeDocument/2006/relationships/header" Target="header16.xml"/><Relationship Id="rId470" Type="http://schemas.openxmlformats.org/officeDocument/2006/relationships/hyperlink" Target="https://www.who.int/patientsafety/safesurgery/checklist/en/" TargetMode="External"/><Relationship Id="rId58" Type="http://schemas.openxmlformats.org/officeDocument/2006/relationships/hyperlink" Target="https://theleapfroggroup.qualtrics.com/jfe/form/SV_0fkafQ61FWboZp4" TargetMode="External"/><Relationship Id="rId123" Type="http://schemas.openxmlformats.org/officeDocument/2006/relationships/image" Target="media/image2.png"/><Relationship Id="rId330" Type="http://schemas.openxmlformats.org/officeDocument/2006/relationships/hyperlink" Target="https://www.leapfroggroup.org/survey-materials/scoring-and-results" TargetMode="External"/><Relationship Id="rId165" Type="http://schemas.openxmlformats.org/officeDocument/2006/relationships/hyperlink" Target="http://www.leapfroggroup.org/survey-materials/scoring-and-results" TargetMode="External"/><Relationship Id="rId372" Type="http://schemas.openxmlformats.org/officeDocument/2006/relationships/hyperlink" Target="https://www.leapfroggroup.org/about/expert-panelists" TargetMode="External"/><Relationship Id="rId428" Type="http://schemas.openxmlformats.org/officeDocument/2006/relationships/hyperlink" Target="https://digitalassets.jointcommission.org/api/public/content/b4e8988066e74717ae9801edb2bfb9de?v=e0ff96a2" TargetMode="External"/><Relationship Id="rId232" Type="http://schemas.openxmlformats.org/officeDocument/2006/relationships/image" Target="media/image8.png"/><Relationship Id="rId274" Type="http://schemas.openxmlformats.org/officeDocument/2006/relationships/hyperlink" Target="https://manual.jointcommission.org/releases/TJC2026A1/MIF0167.html" TargetMode="External"/><Relationship Id="rId481" Type="http://schemas.openxmlformats.org/officeDocument/2006/relationships/hyperlink" Target="http://leapfroggroup.org/survey-materials/multi-campus-reporting-policy" TargetMode="External"/><Relationship Id="rId27" Type="http://schemas.openxmlformats.org/officeDocument/2006/relationships/hyperlink" Target="https://survey.leapfroggroup.org/dashboard" TargetMode="External"/><Relationship Id="rId69" Type="http://schemas.openxmlformats.org/officeDocument/2006/relationships/hyperlink" Target="https://www.leapfroggroup.org/survey-materials/review-nhsn-instructions" TargetMode="External"/><Relationship Id="rId134" Type="http://schemas.openxmlformats.org/officeDocument/2006/relationships/hyperlink" Target="https://unduemedicaldebt.org/contact/" TargetMode="External"/><Relationship Id="rId80" Type="http://schemas.openxmlformats.org/officeDocument/2006/relationships/hyperlink" Target="https://www.leapfroggroup.org/diabetes" TargetMode="External"/><Relationship Id="rId176" Type="http://schemas.openxmlformats.org/officeDocument/2006/relationships/hyperlink" Target="https://www.leapfroggroup.org/survey-materials/deadlines" TargetMode="External"/><Relationship Id="rId341" Type="http://schemas.openxmlformats.org/officeDocument/2006/relationships/hyperlink" Target="https://www.nursingworld.org/organizational-programs/pathway/find-a-pathway-organization/" TargetMode="External"/><Relationship Id="rId383" Type="http://schemas.openxmlformats.org/officeDocument/2006/relationships/hyperlink" Target="https://www.leapfroggroup.org/survey-materials/updating-your-hospital-survey" TargetMode="External"/><Relationship Id="rId439" Type="http://schemas.openxmlformats.org/officeDocument/2006/relationships/hyperlink" Target="https://www.leapfroggroup.org/survey-materials/deadlines" TargetMode="External"/><Relationship Id="rId201" Type="http://schemas.openxmlformats.org/officeDocument/2006/relationships/hyperlink" Target="https://www.leapfroggroup.org/survey-materials/prepare-cpoe-tool" TargetMode="External"/><Relationship Id="rId243" Type="http://schemas.openxmlformats.org/officeDocument/2006/relationships/header" Target="header13.xml"/><Relationship Id="rId285" Type="http://schemas.openxmlformats.org/officeDocument/2006/relationships/hyperlink" Target="https://manual.jointcommission.org/releases/TJC2026A1/AppendixATJC.html" TargetMode="External"/><Relationship Id="rId450" Type="http://schemas.openxmlformats.org/officeDocument/2006/relationships/hyperlink" Target="http://www.leapfroggroup.org/survey-materials/survey-and-cpoe-materials" TargetMode="External"/><Relationship Id="rId506" Type="http://schemas.openxmlformats.org/officeDocument/2006/relationships/hyperlink" Target="https://leapfroghelpdesk.zendesk.com/" TargetMode="External"/><Relationship Id="rId38" Type="http://schemas.openxmlformats.org/officeDocument/2006/relationships/hyperlink" Target="https://www.leapfroggroup.org/survey-materials/review-nhsn-instructions" TargetMode="External"/><Relationship Id="rId103" Type="http://schemas.openxmlformats.org/officeDocument/2006/relationships/hyperlink" Target="http://www.leapfroggroup.org/survey-materials/scoring-and-results" TargetMode="External"/><Relationship Id="rId310" Type="http://schemas.openxmlformats.org/officeDocument/2006/relationships/hyperlink" Target="https://manual.jointcommission.org/releases/TJC2024B/AppendixHTJC.html" TargetMode="External"/><Relationship Id="rId492" Type="http://schemas.openxmlformats.org/officeDocument/2006/relationships/hyperlink" Target="http://leapfroggroup.org/survey-materials/multi-campus-reporting-policy" TargetMode="External"/><Relationship Id="rId91" Type="http://schemas.openxmlformats.org/officeDocument/2006/relationships/header" Target="header3.xml"/><Relationship Id="rId145" Type="http://schemas.openxmlformats.org/officeDocument/2006/relationships/hyperlink" Target="https://torontohealthequity.ca/wp-content/uploads/2018/03/Measuring-Health-Equity-Participant-Manual-2018.pdf" TargetMode="External"/><Relationship Id="rId187" Type="http://schemas.openxmlformats.org/officeDocument/2006/relationships/hyperlink" Target="https://www.leapfroggroup.org/survey-materials/survey-and-cpoe-materials" TargetMode="External"/><Relationship Id="rId352" Type="http://schemas.openxmlformats.org/officeDocument/2006/relationships/hyperlink" Target="https://nam02.safelinks.protection.outlook.com/?url=http%3A%2F%2Fwww.leapfroggroup.org%2Fsurvey-materials%2Fsurvey-and-cpoe-materials&amp;data=05%7C02%7CLKaufman%40leapfrog-group.org%7C60396fa6210e4710503608de0da04068%7C95c34b8315eb4d9a97a7f29881f4a800%7C0%7C0%7C638963179102269152%7CUnknown%7CTWFpbGZsb3d8eyJFbXB0eU1hcGkiOnRydWUsIlYiOiIwLjAuMDAwMCIsIlAiOiJXaW4zMiIsIkFOIjoiTWFpbCIsIldUIjoyfQ%3D%3D%7C0%7C%7C%7C&amp;sdata=4xDAuGzvM2ot3uaobcEDqactLBa6MbAsoh47EprlmjE%3D&amp;reserved=0" TargetMode="External"/><Relationship Id="rId394" Type="http://schemas.openxmlformats.org/officeDocument/2006/relationships/hyperlink" Target="https://aws.state.ak.us/OnlinePublicNotices/Notices/Attachment.aspx?id=127560" TargetMode="External"/><Relationship Id="rId408" Type="http://schemas.openxmlformats.org/officeDocument/2006/relationships/hyperlink" Target="https://ratings.leapfroggroup.org/measure/hospital/2026/responding-never-events" TargetMode="External"/><Relationship Id="rId212" Type="http://schemas.openxmlformats.org/officeDocument/2006/relationships/hyperlink" Target="https://www.leapfroggroup.org/survey-materials/deadlines" TargetMode="External"/><Relationship Id="rId254" Type="http://schemas.openxmlformats.org/officeDocument/2006/relationships/hyperlink" Target="https://www.leapfroggroup.org/survey-materials/deadlines" TargetMode="External"/><Relationship Id="rId49" Type="http://schemas.openxmlformats.org/officeDocument/2006/relationships/hyperlink" Target="http://leapfroggroup.org/survey-materials/get-started" TargetMode="External"/><Relationship Id="rId114" Type="http://schemas.openxmlformats.org/officeDocument/2006/relationships/hyperlink" Target="https://www.leapfroggroup.org/survey-materials/deadlines" TargetMode="External"/><Relationship Id="rId296" Type="http://schemas.openxmlformats.org/officeDocument/2006/relationships/hyperlink" Target="https://manual.jointcommission.org/releases/TJC2026A1/MIF0167.html" TargetMode="External"/><Relationship Id="rId461" Type="http://schemas.openxmlformats.org/officeDocument/2006/relationships/hyperlink" Target="https://www.leapfroggroup.org/survey-materials/deadlines" TargetMode="External"/><Relationship Id="rId60" Type="http://schemas.openxmlformats.org/officeDocument/2006/relationships/hyperlink" Target="https://ratings.leapfroggroup.org/" TargetMode="External"/><Relationship Id="rId156" Type="http://schemas.openxmlformats.org/officeDocument/2006/relationships/hyperlink" Target="https://nam02.safelinks.protection.outlook.com/?url=https%3A%2F%2Fwww.ahrq.gov%2Fprofessionals%2Fprevention-chronic-care%2Fimprove%2Fself-mgmt%2Fpemat%2Findex.html&amp;data=05%7C01%7CPLipscomb%40leapfrog-group.org%7C2c470c166c5f45fac28508db5d5d58d1%7C95c34b8315eb4d9a97a7f29881f4a800%7C0%7C0%7C638206427719598521%7CUnknown%7CTWFpbGZsb3d8eyJWIjoiMC4wLjAwMDAiLCJQIjoiV2luMzIiLCJBTiI6Ik1haWwiLCJXVCI6Mn0%3D%7C3000%7C%7C%7C&amp;sdata=XGsOf7dCprBo5LmSbmpyzbgXVQAaw%2FpRspPqXhNMFEo%3D&amp;reserved=0" TargetMode="External"/><Relationship Id="rId198" Type="http://schemas.openxmlformats.org/officeDocument/2006/relationships/hyperlink" Target="https://www.hospitalmedicine.org/clinical-topics/medication-reconciliation/" TargetMode="External"/><Relationship Id="rId321" Type="http://schemas.openxmlformats.org/officeDocument/2006/relationships/hyperlink" Target="https://ratings.leapfroggroup.org/measure/hospital/2026/nursing-workforce" TargetMode="External"/><Relationship Id="rId363" Type="http://schemas.openxmlformats.org/officeDocument/2006/relationships/hyperlink" Target="https://www.ihi.org/sites/default/files/Safer-Dx-Checklist.pdf" TargetMode="External"/><Relationship Id="rId419" Type="http://schemas.openxmlformats.org/officeDocument/2006/relationships/hyperlink" Target="https://www.federalregister.gov/d/2025-06271/page-18303" TargetMode="External"/><Relationship Id="rId223" Type="http://schemas.openxmlformats.org/officeDocument/2006/relationships/hyperlink" Target="https://www.leapfroggroup.org/survey-materials/deadlines" TargetMode="External"/><Relationship Id="rId430" Type="http://schemas.openxmlformats.org/officeDocument/2006/relationships/hyperlink" Target="https://journals.sagepub.com/doi/full/10.1177/2516043518813814" TargetMode="External"/><Relationship Id="rId18" Type="http://schemas.openxmlformats.org/officeDocument/2006/relationships/hyperlink" Target="https://www.leapfroggroup.org/ratings-reports/top-hospitals" TargetMode="External"/><Relationship Id="rId265" Type="http://schemas.openxmlformats.org/officeDocument/2006/relationships/hyperlink" Target="https://www.leapfroggroup.org/survey-materials/deadlines" TargetMode="External"/><Relationship Id="rId472" Type="http://schemas.openxmlformats.org/officeDocument/2006/relationships/hyperlink" Target="https://www.leapfroggroup.org/survey-materials/deadlines" TargetMode="External"/><Relationship Id="rId125" Type="http://schemas.openxmlformats.org/officeDocument/2006/relationships/hyperlink" Target="https://www.cdc.gov/nhsn/forms/instr/57_103-TOI.pdf" TargetMode="External"/><Relationship Id="rId167" Type="http://schemas.openxmlformats.org/officeDocument/2006/relationships/hyperlink" Target="https://www.leapfroggroup.org/survey-materials/deadlines" TargetMode="External"/><Relationship Id="rId332" Type="http://schemas.openxmlformats.org/officeDocument/2006/relationships/hyperlink" Target="https://www.leapfroggroup.org/survey-materials/deadlines" TargetMode="External"/><Relationship Id="rId374" Type="http://schemas.openxmlformats.org/officeDocument/2006/relationships/hyperlink" Target="https://www.leapfroggroup.org/influencing/recognizing-excellence-diagnosis" TargetMode="External"/><Relationship Id="rId71" Type="http://schemas.openxmlformats.org/officeDocument/2006/relationships/hyperlink" Target="https://ratings.leapfroggroup.org/" TargetMode="External"/><Relationship Id="rId234" Type="http://schemas.openxmlformats.org/officeDocument/2006/relationships/hyperlink" Target="https://www.sts.org/" TargetMode="External"/><Relationship Id="rId2" Type="http://schemas.openxmlformats.org/officeDocument/2006/relationships/customXml" Target="../customXml/item2.xml"/><Relationship Id="rId29" Type="http://schemas.openxmlformats.org/officeDocument/2006/relationships/hyperlink" Target="https://www.leapfroggroup.org/survey-materials/review-nhsn-instructions" TargetMode="External"/><Relationship Id="rId276" Type="http://schemas.openxmlformats.org/officeDocument/2006/relationships/hyperlink" Target="https://pubmed.ncbi.nlm.nih.gov/29939938/" TargetMode="External"/><Relationship Id="rId441" Type="http://schemas.openxmlformats.org/officeDocument/2006/relationships/hyperlink" Target="https://www.leapfroggroup.org/survey-materials/deadlines" TargetMode="External"/><Relationship Id="rId483" Type="http://schemas.openxmlformats.org/officeDocument/2006/relationships/hyperlink" Target="https://survey.leapfroggroup.org/login?destination=dashboard" TargetMode="External"/><Relationship Id="rId40" Type="http://schemas.openxmlformats.org/officeDocument/2006/relationships/hyperlink" Target="https://www.leapfroggroup.org/survey-materials/get-started" TargetMode="External"/><Relationship Id="rId136" Type="http://schemas.openxmlformats.org/officeDocument/2006/relationships/hyperlink" Target="https://www.hfma.org/finance-and-business-strategy/advancing-healthcare-access/" TargetMode="External"/><Relationship Id="rId178" Type="http://schemas.openxmlformats.org/officeDocument/2006/relationships/hyperlink" Target="https://www.leapfroggroup.org/about/expert-panelists" TargetMode="External"/><Relationship Id="rId301" Type="http://schemas.openxmlformats.org/officeDocument/2006/relationships/hyperlink" Target="https://manual.jointcommission.org/releases/TJC2026A1/MIF0167.html" TargetMode="External"/><Relationship Id="rId343" Type="http://schemas.openxmlformats.org/officeDocument/2006/relationships/header" Target="header18.xml"/><Relationship Id="rId82" Type="http://schemas.openxmlformats.org/officeDocument/2006/relationships/hyperlink" Target="https://leapfroghelpdesk.zendesk.com/hc/en-us" TargetMode="External"/><Relationship Id="rId203" Type="http://schemas.openxmlformats.org/officeDocument/2006/relationships/header" Target="header9.xml"/><Relationship Id="rId385" Type="http://schemas.openxmlformats.org/officeDocument/2006/relationships/hyperlink" Target="https://www.leapfroggroup.org/survey-materials/survey-and-cpoe-materials" TargetMode="External"/><Relationship Id="rId245" Type="http://schemas.openxmlformats.org/officeDocument/2006/relationships/hyperlink" Target="https://ratings.leapfroggroup.org/measure/hospital/2026/maternity-care" TargetMode="External"/><Relationship Id="rId287" Type="http://schemas.openxmlformats.org/officeDocument/2006/relationships/hyperlink" Target="https://manual.jointcommission.org/releases/TJC2026A1/AppendixATJC.html" TargetMode="External"/><Relationship Id="rId410" Type="http://schemas.openxmlformats.org/officeDocument/2006/relationships/hyperlink" Target="http://www.leapfroggroup.org/survey-materials/scoring-and-results" TargetMode="External"/><Relationship Id="rId452" Type="http://schemas.openxmlformats.org/officeDocument/2006/relationships/hyperlink" Target="http://www.leapfroggroup.org/survey-materials/survey-and-cpoe-materials" TargetMode="External"/><Relationship Id="rId494" Type="http://schemas.openxmlformats.org/officeDocument/2006/relationships/hyperlink" Target="https://www.leapfroggroup.org/sites/default/files/Files/Implementation%20manual%20WHO%20surgical%20safety%20checklist%202009.pdf?token=_DzwbK1J" TargetMode="External"/><Relationship Id="rId508" Type="http://schemas.openxmlformats.org/officeDocument/2006/relationships/header" Target="header23.xml"/><Relationship Id="rId105" Type="http://schemas.openxmlformats.org/officeDocument/2006/relationships/hyperlink" Target="https://www.leapfroggroup.org/survey-materials/deadlines" TargetMode="External"/><Relationship Id="rId147" Type="http://schemas.openxmlformats.org/officeDocument/2006/relationships/hyperlink" Target="https://mediacentral.ucl.ac.uk/Play/6608" TargetMode="External"/><Relationship Id="rId312" Type="http://schemas.openxmlformats.org/officeDocument/2006/relationships/hyperlink" Target="https://public.vtoxford.org/transfer-codes/" TargetMode="External"/><Relationship Id="rId354" Type="http://schemas.openxmlformats.org/officeDocument/2006/relationships/hyperlink" Target="https://www.who.int/teams/integrated-health-services/infection-prevention-control/hand-hygiene/monitoring-tools" TargetMode="External"/><Relationship Id="rId51" Type="http://schemas.openxmlformats.org/officeDocument/2006/relationships/hyperlink" Target="https://www.leapfroggroup.org/survey-materials/scoring-and-results" TargetMode="External"/><Relationship Id="rId93" Type="http://schemas.openxmlformats.org/officeDocument/2006/relationships/hyperlink" Target="https://survey.leapfroggroup.org/dashboard" TargetMode="External"/><Relationship Id="rId189" Type="http://schemas.openxmlformats.org/officeDocument/2006/relationships/hyperlink" Target="http://www.leapfroggroup.org/survey-materials/survey-and-cpoe-materials" TargetMode="External"/><Relationship Id="rId396" Type="http://schemas.openxmlformats.org/officeDocument/2006/relationships/hyperlink" Target="http://www.leapfroggroup.org/survey-materials/survey-and-cpoe-materials" TargetMode="External"/><Relationship Id="rId214" Type="http://schemas.openxmlformats.org/officeDocument/2006/relationships/hyperlink" Target="https://www.sts.org/" TargetMode="External"/><Relationship Id="rId256" Type="http://schemas.openxmlformats.org/officeDocument/2006/relationships/hyperlink" Target="https://www.leapfroggroup.org/survey-materials/deadlines" TargetMode="External"/><Relationship Id="rId298" Type="http://schemas.openxmlformats.org/officeDocument/2006/relationships/hyperlink" Target="https://manual.jointcommission.org/releases/TJC2026A1/AppendixATJC.html" TargetMode="External"/><Relationship Id="rId421" Type="http://schemas.openxmlformats.org/officeDocument/2006/relationships/hyperlink" Target="https://www.leapfroggroup.org/survey-materials/review-nhsn-instructions" TargetMode="External"/><Relationship Id="rId463" Type="http://schemas.openxmlformats.org/officeDocument/2006/relationships/hyperlink" Target="http://leapfroggroup.org/survey-materials/multi-campus-reporting-policy" TargetMode="External"/><Relationship Id="rId116" Type="http://schemas.openxmlformats.org/officeDocument/2006/relationships/hyperlink" Target="https://www.leapfroggroup.org/survey-materials/deadlines" TargetMode="External"/><Relationship Id="rId158" Type="http://schemas.openxmlformats.org/officeDocument/2006/relationships/hyperlink" Target="https://nam02.safelinks.protection.outlook.com/?url=https%3A%2F%2Fwww.leapfroggroup.org%2Fsites%2Fdefault%2Ffiles%2FFiles%2FCMS%2520Toolkit%2520for%2520Making%2520Written%2520Material%2520Clear.pdf&amp;data=05%7C01%7CPLipscomb%40leapfrog-group.org%7C2c470c166c5f45fac28508db5d5d58d1%7C95c34b8315eb4d9a97a7f29881f4a800%7C0%7C0%7C638206427719753809%7CUnknown%7CTWFpbGZsb3d8eyJWIjoiMC4wLjAwMDAiLCJQIjoiV2luMzIiLCJBTiI6Ik1haWwiLCJXVCI6Mn0%3D%7C3000%7C%7C%7C&amp;sdata=W3kF0xvj5%2BoQWDMmOj0RCj7CLx83iudtjvjCyyAKUMo%3D&amp;reserved=0" TargetMode="External"/><Relationship Id="rId323" Type="http://schemas.openxmlformats.org/officeDocument/2006/relationships/hyperlink" Target="http://leapfroggroup.org/survey-materials/multi-campus-reporting-policy" TargetMode="External"/><Relationship Id="rId20" Type="http://schemas.openxmlformats.org/officeDocument/2006/relationships/hyperlink" Target="https://ratings.leapfroggroup.org/" TargetMode="External"/><Relationship Id="rId62" Type="http://schemas.openxmlformats.org/officeDocument/2006/relationships/hyperlink" Target="https://www.leapfroggroup.org/survey-materials/data-accuracy" TargetMode="External"/><Relationship Id="rId365" Type="http://schemas.openxmlformats.org/officeDocument/2006/relationships/hyperlink" Target="http://leapfroggroup.org/survey-materials/multi-campus-reporting-policy" TargetMode="External"/><Relationship Id="rId225" Type="http://schemas.openxmlformats.org/officeDocument/2006/relationships/hyperlink" Target="http://leapfroggroup.org/survey-materials/multi-campus-reporting-policy" TargetMode="External"/><Relationship Id="rId267" Type="http://schemas.openxmlformats.org/officeDocument/2006/relationships/hyperlink" Target="https://public.vtoxford.org/transfer-codes/" TargetMode="External"/><Relationship Id="rId432" Type="http://schemas.openxmlformats.org/officeDocument/2006/relationships/hyperlink" Target="https://www.ihi.org/library/tools/rca2-improving-root-cause-analyses-and-actions-prevent-harm" TargetMode="External"/><Relationship Id="rId474" Type="http://schemas.openxmlformats.org/officeDocument/2006/relationships/hyperlink" Target="http://leapfroggroup.org/survey-materials/multi-campus-reporting-policy" TargetMode="External"/><Relationship Id="rId127" Type="http://schemas.openxmlformats.org/officeDocument/2006/relationships/hyperlink" Target="https://www.leapfroggroup.org/survey-materials/review-nhsn-instructions" TargetMode="External"/><Relationship Id="rId31" Type="http://schemas.openxmlformats.org/officeDocument/2006/relationships/hyperlink" Target="https://ratings.leapfroggroup.org/" TargetMode="External"/><Relationship Id="rId73" Type="http://schemas.openxmlformats.org/officeDocument/2006/relationships/hyperlink" Target="https://www.leapfroggroup.org/survey-materials/review-nhsn-instructions" TargetMode="External"/><Relationship Id="rId169" Type="http://schemas.openxmlformats.org/officeDocument/2006/relationships/hyperlink" Target="http://leapfroggroup.org/survey-materials/multi-campus-reporting-policy" TargetMode="External"/><Relationship Id="rId334" Type="http://schemas.openxmlformats.org/officeDocument/2006/relationships/hyperlink" Target="https://www.leapfroggroup.org/survey-materials/deadlines" TargetMode="External"/><Relationship Id="rId376" Type="http://schemas.openxmlformats.org/officeDocument/2006/relationships/hyperlink" Target="https://www.leapfroggroup.org/survey-materials/survey-and-cpoe-materials" TargetMode="External"/><Relationship Id="rId4" Type="http://schemas.openxmlformats.org/officeDocument/2006/relationships/customXml" Target="../customXml/item4.xml"/><Relationship Id="rId180" Type="http://schemas.openxmlformats.org/officeDocument/2006/relationships/hyperlink" Target="http://leapfroggroup.org/survey-materials/multi-campus-reporting-policy" TargetMode="External"/><Relationship Id="rId236" Type="http://schemas.openxmlformats.org/officeDocument/2006/relationships/hyperlink" Target="https://www.who.int/teams/integrated-health-services/patient-safety/research/safe-surgery" TargetMode="External"/><Relationship Id="rId278" Type="http://schemas.openxmlformats.org/officeDocument/2006/relationships/hyperlink" Target="http://leapfroggroup.org/survey-materials/survey-and-cpoe-materials" TargetMode="External"/><Relationship Id="rId401" Type="http://schemas.openxmlformats.org/officeDocument/2006/relationships/hyperlink" Target="https://www.ahrq.gov/sites/default/files/wysiwyg/professionals/quality-patient-safety/patientsafetyculture/hospital/2016/2016_hospitalsops_report_pt1.pdf" TargetMode="External"/><Relationship Id="rId443" Type="http://schemas.openxmlformats.org/officeDocument/2006/relationships/hyperlink" Target="http://leapfroggroup.org/survey-materials/multi-campus-reporting-policy" TargetMode="External"/><Relationship Id="rId303" Type="http://schemas.openxmlformats.org/officeDocument/2006/relationships/hyperlink" Target="https://manual.jointcommission.org/releases/TJC2026A1/MIF0167.html" TargetMode="External"/><Relationship Id="rId485" Type="http://schemas.openxmlformats.org/officeDocument/2006/relationships/hyperlink" Target="https://survey.leapfroggroup.org/login?destination=dashboard" TargetMode="External"/><Relationship Id="rId42" Type="http://schemas.openxmlformats.org/officeDocument/2006/relationships/hyperlink" Target="http://www.leapfroggroup.org/survey-materials/prepare-cpoe-tool" TargetMode="External"/><Relationship Id="rId84" Type="http://schemas.openxmlformats.org/officeDocument/2006/relationships/hyperlink" Target="https://www.leapfroggroup.org/survey-materials/get-help" TargetMode="External"/><Relationship Id="rId138" Type="http://schemas.openxmlformats.org/officeDocument/2006/relationships/hyperlink" Target="https://torontohealthequity.ca/training/" TargetMode="External"/><Relationship Id="rId345" Type="http://schemas.openxmlformats.org/officeDocument/2006/relationships/hyperlink" Target="https://ratings.leapfroggroup.org/measure/hospital/2026/whats-new-2026" TargetMode="External"/><Relationship Id="rId387" Type="http://schemas.openxmlformats.org/officeDocument/2006/relationships/hyperlink" Target="https://www.who.int/teams/integrated-health-services/infection-prevention-control/hand-hygiene/training-tools" TargetMode="External"/><Relationship Id="rId510" Type="http://schemas.openxmlformats.org/officeDocument/2006/relationships/fontTable" Target="fontTable.xml"/><Relationship Id="rId191" Type="http://schemas.openxmlformats.org/officeDocument/2006/relationships/hyperlink" Target="https://www.hospitalmedicine.org/clinical-topics/medication-reconciliation/" TargetMode="External"/><Relationship Id="rId205" Type="http://schemas.openxmlformats.org/officeDocument/2006/relationships/hyperlink" Target="http://www.leapfroggroup.org/survey-materials/survey-and-cpoe-materials" TargetMode="External"/><Relationship Id="rId247" Type="http://schemas.openxmlformats.org/officeDocument/2006/relationships/hyperlink" Target="http://www.leapfroggroup.org/survey-materials/scoring-and-results" TargetMode="External"/><Relationship Id="rId412" Type="http://schemas.openxmlformats.org/officeDocument/2006/relationships/hyperlink" Target="https://digitalassets.jointcommission.org/api/public/content/4534bbaaee4f4bd280c2054765f37f4b?v=a60f8f9a" TargetMode="External"/><Relationship Id="rId107" Type="http://schemas.openxmlformats.org/officeDocument/2006/relationships/hyperlink" Target="https://www.leapfroggroup.org/survey-materials/deadlines" TargetMode="External"/><Relationship Id="rId289" Type="http://schemas.openxmlformats.org/officeDocument/2006/relationships/hyperlink" Target="https://datacenter.cmqcc.org/support/download/a7955e52541df8ed63aa8e884909d81caeb1f659" TargetMode="External"/><Relationship Id="rId454" Type="http://schemas.openxmlformats.org/officeDocument/2006/relationships/hyperlink" Target="https://www.ahrq.gov/cahps/surveys-guidance/hospital/about/child_hp_survey.html" TargetMode="External"/><Relationship Id="rId496" Type="http://schemas.openxmlformats.org/officeDocument/2006/relationships/hyperlink" Target="https://www.leapfroggroup.org/survey-materials/survey-and-cpoe-materials" TargetMode="External"/><Relationship Id="rId11" Type="http://schemas.openxmlformats.org/officeDocument/2006/relationships/endnotes" Target="endnotes.xml"/><Relationship Id="rId53" Type="http://schemas.openxmlformats.org/officeDocument/2006/relationships/hyperlink" Target="https://ratings.leapfroggroup.org/" TargetMode="External"/><Relationship Id="rId149" Type="http://schemas.openxmlformats.org/officeDocument/2006/relationships/hyperlink" Target="https://www.henryford.com/hcp/research/public-population-research/hdrc/resources/demo-data" TargetMode="External"/><Relationship Id="rId314" Type="http://schemas.openxmlformats.org/officeDocument/2006/relationships/hyperlink" Target="mailto:leapfrogreporting@vtoxford.org" TargetMode="External"/><Relationship Id="rId356" Type="http://schemas.openxmlformats.org/officeDocument/2006/relationships/hyperlink" Target="https://www.leapfroggroup.org/survey-materials/deadlines" TargetMode="External"/><Relationship Id="rId398" Type="http://schemas.openxmlformats.org/officeDocument/2006/relationships/hyperlink" Target="https://www.ache.org/about-ache/our-story/our-commitments/leading-for-safety/blueprint" TargetMode="External"/><Relationship Id="rId95" Type="http://schemas.openxmlformats.org/officeDocument/2006/relationships/hyperlink" Target="https://www.leapfroggroup.org/survey-materials/data-accuracy" TargetMode="External"/><Relationship Id="rId160" Type="http://schemas.openxmlformats.org/officeDocument/2006/relationships/hyperlink" Target="https://www.hhs.gov/civil-rights/for-individuals/special-topics/limited-english-proficiency/index.html" TargetMode="External"/><Relationship Id="rId216" Type="http://schemas.openxmlformats.org/officeDocument/2006/relationships/hyperlink" Target="https://www.sts.org/" TargetMode="External"/><Relationship Id="rId423" Type="http://schemas.openxmlformats.org/officeDocument/2006/relationships/hyperlink" Target="https://www.leapfroggroup.org/survey-materials/review-nhsn-instructions" TargetMode="External"/><Relationship Id="rId258" Type="http://schemas.openxmlformats.org/officeDocument/2006/relationships/hyperlink" Target="http://leapfroggroup.org/survey-materials/multi-campus-reporting-policy" TargetMode="External"/><Relationship Id="rId465" Type="http://schemas.openxmlformats.org/officeDocument/2006/relationships/hyperlink" Target="https://www.leapfroggroup.org/survey-materials/deadlines" TargetMode="External"/><Relationship Id="rId22" Type="http://schemas.openxmlformats.org/officeDocument/2006/relationships/hyperlink" Target="https://www.leapfroggroup.org/survey-materials/get-help" TargetMode="External"/><Relationship Id="rId64" Type="http://schemas.openxmlformats.org/officeDocument/2006/relationships/hyperlink" Target="http://www.leapfroggroup.org/survey-materials/data-accuracy" TargetMode="External"/><Relationship Id="rId118" Type="http://schemas.openxmlformats.org/officeDocument/2006/relationships/hyperlink" Target="https://nahq.org/credentials/cphq-certified-professional-in-healthcare-quality/" TargetMode="External"/><Relationship Id="rId325" Type="http://schemas.openxmlformats.org/officeDocument/2006/relationships/hyperlink" Target="https://www.leapfroggroup.org/survey-materials/deadlines" TargetMode="External"/><Relationship Id="rId367" Type="http://schemas.openxmlformats.org/officeDocument/2006/relationships/hyperlink" Target="https://www.leapfroggroup.org/survey-materials/deadlines" TargetMode="External"/><Relationship Id="rId171" Type="http://schemas.openxmlformats.org/officeDocument/2006/relationships/hyperlink" Target="https://www.leapfroggroup.org/survey-materials/deadlines" TargetMode="External"/><Relationship Id="rId227" Type="http://schemas.openxmlformats.org/officeDocument/2006/relationships/hyperlink" Target="https://www.leapfroggroup.org/survey-materials/survey-and-cpoe-materials" TargetMode="External"/><Relationship Id="rId269" Type="http://schemas.openxmlformats.org/officeDocument/2006/relationships/hyperlink" Target="mailto:leapfrogreporting@vtoxford.org" TargetMode="External"/><Relationship Id="rId434" Type="http://schemas.openxmlformats.org/officeDocument/2006/relationships/header" Target="header20.xml"/><Relationship Id="rId476" Type="http://schemas.openxmlformats.org/officeDocument/2006/relationships/hyperlink" Target="https://www.leapfroggroup.org/survey-materials/deadlines" TargetMode="External"/><Relationship Id="rId33" Type="http://schemas.openxmlformats.org/officeDocument/2006/relationships/hyperlink" Target="https://leapfroggroup.org/hospital" TargetMode="External"/><Relationship Id="rId129" Type="http://schemas.openxmlformats.org/officeDocument/2006/relationships/hyperlink" Target="https://www.leapfroggroup.org/survey-materials/review-nhsn-instructions" TargetMode="External"/><Relationship Id="rId280" Type="http://schemas.openxmlformats.org/officeDocument/2006/relationships/hyperlink" Target="https://manual.jointcommission.org/releases/TJC2026A1/MIF0167.html" TargetMode="External"/><Relationship Id="rId336" Type="http://schemas.openxmlformats.org/officeDocument/2006/relationships/hyperlink" Target="https://www.leapfroggroup.org/about/expert-panelists" TargetMode="External"/><Relationship Id="rId501" Type="http://schemas.openxmlformats.org/officeDocument/2006/relationships/hyperlink" Target="https://data.cms.gov/provider-data" TargetMode="External"/><Relationship Id="rId75" Type="http://schemas.openxmlformats.org/officeDocument/2006/relationships/hyperlink" Target="http://www.hospitalsafetygrade.org/for-hospitals/HospitalFAQ" TargetMode="External"/><Relationship Id="rId140" Type="http://schemas.openxmlformats.org/officeDocument/2006/relationships/hyperlink" Target="https://www.cdc.gov/sti/hcp/clinical-guidance/taking-a-sexual-history.html" TargetMode="External"/><Relationship Id="rId182" Type="http://schemas.openxmlformats.org/officeDocument/2006/relationships/hyperlink" Target="http://leapfroggroup.org/survey-materials/multi-campus-reporting-policy" TargetMode="External"/><Relationship Id="rId378" Type="http://schemas.openxmlformats.org/officeDocument/2006/relationships/hyperlink" Target="https://www.leapfroggroup.org/survey-materials/survey-and-cpoe-materials" TargetMode="External"/><Relationship Id="rId403" Type="http://schemas.openxmlformats.org/officeDocument/2006/relationships/hyperlink" Target="https://www.leapfroggroup.org/survey-materials/scoring-and-results" TargetMode="External"/><Relationship Id="rId6" Type="http://schemas.openxmlformats.org/officeDocument/2006/relationships/numbering" Target="numbering.xml"/><Relationship Id="rId238" Type="http://schemas.openxmlformats.org/officeDocument/2006/relationships/hyperlink" Target="https://www.ahrq.gov/hai/tools/ambulatory-surgery/sections/implementation/implementation-guide/app-e.html" TargetMode="External"/><Relationship Id="rId445" Type="http://schemas.openxmlformats.org/officeDocument/2006/relationships/hyperlink" Target="https://www.ahrq.gov/cahps/surveys-guidance/hospital/about/child_hp_survey.html" TargetMode="External"/><Relationship Id="rId487" Type="http://schemas.openxmlformats.org/officeDocument/2006/relationships/hyperlink" Target="https://survey.leapfroggroup.org/login?destination=dashboard" TargetMode="External"/><Relationship Id="rId291" Type="http://schemas.openxmlformats.org/officeDocument/2006/relationships/hyperlink" Target="https://manual.jointcommission.org/releases/TJC2026A1/MIF0167.html" TargetMode="External"/><Relationship Id="rId305" Type="http://schemas.openxmlformats.org/officeDocument/2006/relationships/hyperlink" Target="http://leapfroggroup.org/survey-materials/survey-and-cpoe-materials" TargetMode="External"/><Relationship Id="rId347" Type="http://schemas.openxmlformats.org/officeDocument/2006/relationships/hyperlink" Target="http://www.leapfroggroup.org/survey-materials/scoring-and-results" TargetMode="External"/><Relationship Id="rId44" Type="http://schemas.openxmlformats.org/officeDocument/2006/relationships/hyperlink" Target="http://leapfroggroup.org/survey-materials/survey-and-cpoe-materials" TargetMode="External"/><Relationship Id="rId86" Type="http://schemas.openxmlformats.org/officeDocument/2006/relationships/hyperlink" Target="https://www.leapfroggroup.org/survey-materials/support-health-systems" TargetMode="External"/><Relationship Id="rId151" Type="http://schemas.openxmlformats.org/officeDocument/2006/relationships/hyperlink" Target="https://www.ahrq.gov/health-literacy/professional-training/informed-choice.html" TargetMode="External"/><Relationship Id="rId389" Type="http://schemas.openxmlformats.org/officeDocument/2006/relationships/hyperlink" Target="http://leapfroggroup.org/survey-materials/multi-campus-reporting-policy" TargetMode="External"/><Relationship Id="rId193" Type="http://schemas.openxmlformats.org/officeDocument/2006/relationships/hyperlink" Target="https://www.leapfroggroup.org/survey-materials/survey-and-cpoe-materials" TargetMode="External"/><Relationship Id="rId207" Type="http://schemas.openxmlformats.org/officeDocument/2006/relationships/header" Target="header11.xml"/><Relationship Id="rId249" Type="http://schemas.openxmlformats.org/officeDocument/2006/relationships/hyperlink" Target="https://www.leapfroggroup.org/survey-materials/deadlines" TargetMode="External"/><Relationship Id="rId414" Type="http://schemas.openxmlformats.org/officeDocument/2006/relationships/hyperlink" Target="https://www.leapfroggroup.org/survey-materials/deadlines" TargetMode="External"/><Relationship Id="rId456" Type="http://schemas.openxmlformats.org/officeDocument/2006/relationships/header" Target="header21.xml"/><Relationship Id="rId498" Type="http://schemas.openxmlformats.org/officeDocument/2006/relationships/hyperlink" Target="https://apps.who.int/iris/handle/10665/70046" TargetMode="External"/><Relationship Id="rId13" Type="http://schemas.openxmlformats.org/officeDocument/2006/relationships/hyperlink" Target="https://leapfroggroup.org/hospital" TargetMode="External"/><Relationship Id="rId109" Type="http://schemas.openxmlformats.org/officeDocument/2006/relationships/hyperlink" Target="http://leapfroggroup.org/survey-materials/multi-campus-reporting-policy" TargetMode="External"/><Relationship Id="rId260" Type="http://schemas.openxmlformats.org/officeDocument/2006/relationships/hyperlink" Target="https://www.leapfroggroup.org/survey-materials/deadlines" TargetMode="External"/><Relationship Id="rId316" Type="http://schemas.openxmlformats.org/officeDocument/2006/relationships/hyperlink" Target="https://nam02.safelinks.protection.outlook.com/?url=https%3A%2F%2Fnlca.us%2Fwp-content%2Fuploads%2F2024%2F07%2FNLCA-Knowledge-Brief.pdf&amp;data=05%7C02%7Ckstewart%40leapfrog-group.org%7C8041067fea5b42e4141508de22ed5ead%7C95c34b8315eb4d9a97a7f29881f4a800%7C0%7C0%7C638986600050101598%7CUnknown%7CTWFpbGZsb3d8eyJFbXB0eU1hcGkiOnRydWUsIlYiOiIwLjAuMDAwMCIsIlAiOiJXaW4zMiIsIkFOIjoiTWFpbCIsIldUIjoyfQ%3D%3D%7C0%7C%7C%7C&amp;sdata=KsSl3s6V59SVVFXCngiljJz8pgxz%2FGR8MxTcS2r6Bt4%3D&amp;reserved=0" TargetMode="External"/><Relationship Id="rId55" Type="http://schemas.openxmlformats.org/officeDocument/2006/relationships/hyperlink" Target="http://leapfroggroup.org/survey-materials/prepare-cpoe-tool" TargetMode="External"/><Relationship Id="rId97" Type="http://schemas.openxmlformats.org/officeDocument/2006/relationships/hyperlink" Target="https://leapfroghelpdesk.zendesk.com/" TargetMode="External"/><Relationship Id="rId120" Type="http://schemas.openxmlformats.org/officeDocument/2006/relationships/hyperlink" Target="https://readability.leapfroggroup.org/" TargetMode="External"/><Relationship Id="rId358" Type="http://schemas.openxmlformats.org/officeDocument/2006/relationships/hyperlink" Target="https://www.cdc.gov/mmwr/PDF/rr/rr5116.pdf" TargetMode="External"/><Relationship Id="rId162" Type="http://schemas.openxmlformats.org/officeDocument/2006/relationships/hyperlink" Target="https://ratings.leapfroggroup.org/measure/hospital/2026/safe-medication-ordering" TargetMode="External"/><Relationship Id="rId218" Type="http://schemas.openxmlformats.org/officeDocument/2006/relationships/hyperlink" Target="https://www.sts.org/" TargetMode="External"/><Relationship Id="rId425" Type="http://schemas.openxmlformats.org/officeDocument/2006/relationships/hyperlink" Target="https://leapfroghelpdesk.zendesk.com/" TargetMode="External"/><Relationship Id="rId467" Type="http://schemas.openxmlformats.org/officeDocument/2006/relationships/hyperlink" Target="https://www.leapfroggroup.org/survey-materials/deadlines" TargetMode="External"/><Relationship Id="rId271" Type="http://schemas.openxmlformats.org/officeDocument/2006/relationships/hyperlink" Target="https://qualityindicators.ahrq.gov/Downloads/Modules/IQI/V2025/TechSpecs/IQI_22_Vaginal_Birth_After_Cesarean_(VBAC)_Delivery_Rate_Uncomplicated.pdf" TargetMode="External"/><Relationship Id="rId24" Type="http://schemas.openxmlformats.org/officeDocument/2006/relationships/hyperlink" Target="http://www.leapfroggroup.org/survey-materials/data-accuracy" TargetMode="External"/><Relationship Id="rId66" Type="http://schemas.openxmlformats.org/officeDocument/2006/relationships/hyperlink" Target="https://leapfroghelpdesk.zendesk.com/" TargetMode="External"/><Relationship Id="rId131" Type="http://schemas.openxmlformats.org/officeDocument/2006/relationships/hyperlink" Target="https://certification.osteopathic.org/about/" TargetMode="External"/><Relationship Id="rId327" Type="http://schemas.openxmlformats.org/officeDocument/2006/relationships/hyperlink" Target="http://leapfroggroup.org/survey-materials/multi-campus-reporting-policy" TargetMode="External"/><Relationship Id="rId369" Type="http://schemas.openxmlformats.org/officeDocument/2006/relationships/hyperlink" Target="https://www.leapfroggroup.org/about/expert-panelists" TargetMode="External"/><Relationship Id="rId173" Type="http://schemas.openxmlformats.org/officeDocument/2006/relationships/hyperlink" Target="https://www.leapfroggroup.org/survey-materials/deadlines" TargetMode="External"/><Relationship Id="rId229" Type="http://schemas.openxmlformats.org/officeDocument/2006/relationships/hyperlink" Target="https://www.sts.org/" TargetMode="External"/><Relationship Id="rId380" Type="http://schemas.openxmlformats.org/officeDocument/2006/relationships/hyperlink" Target="https://www.leapfroggroup.org/survey-materials/deadlines" TargetMode="External"/><Relationship Id="rId436" Type="http://schemas.openxmlformats.org/officeDocument/2006/relationships/hyperlink" Target="http://www.leapfroggroup.org/survey-materials/scoring-and-results" TargetMode="External"/><Relationship Id="rId240" Type="http://schemas.openxmlformats.org/officeDocument/2006/relationships/hyperlink" Target="https://www.jointcommission.org/standards/standard-faqs/critical-access-hospital/medical-staff-ms/000001500/" TargetMode="External"/><Relationship Id="rId478" Type="http://schemas.openxmlformats.org/officeDocument/2006/relationships/hyperlink" Target="https://ratings.leapfroggroup.org/" TargetMode="External"/><Relationship Id="rId35" Type="http://schemas.openxmlformats.org/officeDocument/2006/relationships/hyperlink" Target="http://www.leapfroggroup.org/survey-materials/multi-campus-reporting-policy" TargetMode="External"/><Relationship Id="rId77" Type="http://schemas.openxmlformats.org/officeDocument/2006/relationships/hyperlink" Target="https://www.leapfroggroup.org/ratings-reports/top-hospitals" TargetMode="External"/><Relationship Id="rId100" Type="http://schemas.openxmlformats.org/officeDocument/2006/relationships/header" Target="header6.xml"/><Relationship Id="rId282" Type="http://schemas.openxmlformats.org/officeDocument/2006/relationships/hyperlink" Target="https://manual.jointcommission.org/releases/TJC2026A1/MIF0167.html" TargetMode="External"/><Relationship Id="rId338" Type="http://schemas.openxmlformats.org/officeDocument/2006/relationships/hyperlink" Target="mailto:NDNQISupport@PressGaney.com" TargetMode="External"/><Relationship Id="rId503" Type="http://schemas.openxmlformats.org/officeDocument/2006/relationships/hyperlink" Target="https://awsstage.survey.leapfroggroup.org/login" TargetMode="External"/><Relationship Id="rId8" Type="http://schemas.openxmlformats.org/officeDocument/2006/relationships/settings" Target="settings.xml"/><Relationship Id="rId142" Type="http://schemas.openxmlformats.org/officeDocument/2006/relationships/hyperlink" Target="https://www.cdc.gov/disability-and-health/about/?CDC_AAref_Val=https://www.cdc.gov/ncbddd/disabilityandhealth/disability.html" TargetMode="External"/><Relationship Id="rId184" Type="http://schemas.openxmlformats.org/officeDocument/2006/relationships/hyperlink" Target="http://www.leapfroggroup.org/survey-materials/survey-and-cpoe-materials" TargetMode="External"/><Relationship Id="rId391" Type="http://schemas.openxmlformats.org/officeDocument/2006/relationships/hyperlink" Target="https://nam02.safelinks.protection.outlook.com/?url=http%3A%2F%2Fwww.leapfroggroup.org%2Fsurvey-materials%2Fsurvey-and-cpoe-materials&amp;data=05%7C02%7CLKaufman%40leapfrog-group.org%7C60396fa6210e4710503608de0da04068%7C95c34b8315eb4d9a97a7f29881f4a800%7C0%7C0%7C638963179102293029%7CUnknown%7CTWFpbGZsb3d8eyJFbXB0eU1hcGkiOnRydWUsIlYiOiIwLjAuMDAwMCIsIlAiOiJXaW4zMiIsIkFOIjoiTWFpbCIsIldUIjoyfQ%3D%3D%7C0%7C%7C%7C&amp;sdata=5qo4tySVoPkDzLUmshP9tttuGBYr6e4A1qgUkBlP77Y%3D&amp;reserved=0" TargetMode="External"/><Relationship Id="rId405" Type="http://schemas.openxmlformats.org/officeDocument/2006/relationships/hyperlink" Target="https://www.ahrq.gov/patient-safety/settings/measure-dx.html" TargetMode="External"/><Relationship Id="rId447" Type="http://schemas.openxmlformats.org/officeDocument/2006/relationships/hyperlink" Target="https://www.ahrq.gov/cahps/surveys-guidance/hp/about/child-survey-measures.html" TargetMode="External"/><Relationship Id="rId251" Type="http://schemas.openxmlformats.org/officeDocument/2006/relationships/hyperlink" Target="https://www.leapfroggroup.org/survey-materials/deadlines" TargetMode="External"/><Relationship Id="rId489" Type="http://schemas.openxmlformats.org/officeDocument/2006/relationships/hyperlink" Target="https://survey.leapfroggroup.org/login?destination=dashboard" TargetMode="External"/><Relationship Id="rId46" Type="http://schemas.openxmlformats.org/officeDocument/2006/relationships/hyperlink" Target="http://www.leapfroggroup.org/survey-materials/data-accuracy" TargetMode="External"/><Relationship Id="rId293" Type="http://schemas.openxmlformats.org/officeDocument/2006/relationships/hyperlink" Target="https://manual.jointcommission.org/releases/TJC2026A1/MIF0167.html" TargetMode="External"/><Relationship Id="rId307" Type="http://schemas.openxmlformats.org/officeDocument/2006/relationships/hyperlink" Target="http://leapfroggroup.org/survey-materials/survey-and-cpoe-materials" TargetMode="External"/><Relationship Id="rId349" Type="http://schemas.openxmlformats.org/officeDocument/2006/relationships/hyperlink" Target="https://nam02.safelinks.protection.outlook.com/?url=http%3A%2F%2Fwww.leapfroggroup.org%2Fsurvey-materials%2Fsurvey-and-cpoe-materials&amp;data=05%7C02%7CLKaufman%40leapfrog-group.org%7C60396fa6210e4710503608de0da04068%7C95c34b8315eb4d9a97a7f29881f4a800%7C0%7C0%7C638963179102269152%7CUnknown%7CTWFpbGZsb3d8eyJFbXB0eU1hcGkiOnRydWUsIlYiOiIwLjAuMDAwMCIsIlAiOiJXaW4zMiIsIkFOIjoiTWFpbCIsIldUIjoyfQ%3D%3D%7C0%7C%7C%7C&amp;sdata=4xDAuGzvM2ot3uaobcEDqactLBa6MbAsoh47EprlmjE%3D&amp;reserved=0" TargetMode="External"/><Relationship Id="rId88" Type="http://schemas.openxmlformats.org/officeDocument/2006/relationships/hyperlink" Target="https://public.vtoxford.org/leapfrog" TargetMode="External"/><Relationship Id="rId111" Type="http://schemas.openxmlformats.org/officeDocument/2006/relationships/hyperlink" Target="https://www.leapfroggroup.org/survey-materials/deadlines" TargetMode="External"/><Relationship Id="rId153" Type="http://schemas.openxmlformats.org/officeDocument/2006/relationships/hyperlink" Target="https://www.oecd.org/skills/piaac/publications/countryspecificmaterial/PIAAC_Country_Note_USA.pdf" TargetMode="External"/><Relationship Id="rId195" Type="http://schemas.openxmlformats.org/officeDocument/2006/relationships/image" Target="media/image6.png"/><Relationship Id="rId209" Type="http://schemas.openxmlformats.org/officeDocument/2006/relationships/hyperlink" Target="https://ratings.leapfroggroup.org/measure/hospital/2026/complex-adult-and-pediatric-surgery" TargetMode="External"/><Relationship Id="rId360" Type="http://schemas.openxmlformats.org/officeDocument/2006/relationships/hyperlink" Target="https://www.leapfroggroup.org/survey-materials/deadlines" TargetMode="External"/><Relationship Id="rId416" Type="http://schemas.openxmlformats.org/officeDocument/2006/relationships/hyperlink" Target="https://www.leapfroggroup.org/survey-materials/review-nhsn-instructions" TargetMode="External"/><Relationship Id="rId220" Type="http://schemas.openxmlformats.org/officeDocument/2006/relationships/hyperlink" Target="http://leapfroggroup.org/survey-materials/multi-campus-reporting-policy" TargetMode="External"/><Relationship Id="rId458" Type="http://schemas.openxmlformats.org/officeDocument/2006/relationships/hyperlink" Target="https://ratings.leapfroggroup.org/measure/hospital/2026/care-elective-outpatient-surgery-patients" TargetMode="External"/><Relationship Id="rId15" Type="http://schemas.openxmlformats.org/officeDocument/2006/relationships/footer" Target="footer1.xml"/><Relationship Id="rId57" Type="http://schemas.openxmlformats.org/officeDocument/2006/relationships/hyperlink" Target="https://www.leapfroggroup.org/survey-materials/updating-your-hospital-survey" TargetMode="External"/><Relationship Id="rId262" Type="http://schemas.openxmlformats.org/officeDocument/2006/relationships/hyperlink" Target="https://www.leapfroggroup.org/survey-materials/deadlines" TargetMode="External"/><Relationship Id="rId318" Type="http://schemas.openxmlformats.org/officeDocument/2006/relationships/header" Target="header15.xml"/><Relationship Id="rId99" Type="http://schemas.openxmlformats.org/officeDocument/2006/relationships/header" Target="header5.xml"/><Relationship Id="rId122" Type="http://schemas.openxmlformats.org/officeDocument/2006/relationships/hyperlink" Target="http://leapfroggroup.org/survey-materials/multi-campus-reporting-policy" TargetMode="External"/><Relationship Id="rId164" Type="http://schemas.openxmlformats.org/officeDocument/2006/relationships/hyperlink" Target="https://ratings.leapfroggroup.org/measure/hospital/2026/medication-reconciliation" TargetMode="External"/><Relationship Id="rId371" Type="http://schemas.openxmlformats.org/officeDocument/2006/relationships/hyperlink" Target="https://www.leapfroggroup.org/about/expert-panelists" TargetMode="External"/><Relationship Id="rId427" Type="http://schemas.openxmlformats.org/officeDocument/2006/relationships/hyperlink" Target="https://digitalassets.jointcommission.org/api/public/content/b4e8988066e74717ae9801edb2bfb9de?v=e0ff96a2" TargetMode="External"/><Relationship Id="rId469" Type="http://schemas.openxmlformats.org/officeDocument/2006/relationships/hyperlink" Target="http://leapfroggroup.org/survey-materials/multi-campus-reporting-policy" TargetMode="External"/><Relationship Id="rId26" Type="http://schemas.openxmlformats.org/officeDocument/2006/relationships/hyperlink" Target="http://www.leapfroggroup.org/survey-materials/survey-overview" TargetMode="External"/><Relationship Id="rId231" Type="http://schemas.openxmlformats.org/officeDocument/2006/relationships/hyperlink" Target="https://publicreporting.sts.org/search/acsd" TargetMode="External"/><Relationship Id="rId273" Type="http://schemas.openxmlformats.org/officeDocument/2006/relationships/hyperlink" Target="https://survey.leapfroggroup.org/dashboard" TargetMode="External"/><Relationship Id="rId329" Type="http://schemas.openxmlformats.org/officeDocument/2006/relationships/hyperlink" Target="https://www.leapfroggroup.org/survey-materials/deadlines" TargetMode="External"/><Relationship Id="rId480" Type="http://schemas.openxmlformats.org/officeDocument/2006/relationships/hyperlink" Target="https://www.leapfroggroup.org/survey-materials/multi-campus-reporting-policy" TargetMode="External"/><Relationship Id="rId68" Type="http://schemas.openxmlformats.org/officeDocument/2006/relationships/hyperlink" Target="http://www.leapfroggroup.org/survey-materials/data-accuracy" TargetMode="External"/><Relationship Id="rId133" Type="http://schemas.openxmlformats.org/officeDocument/2006/relationships/hyperlink" Target="https://www.monhealth.com/main/rapid-response-team" TargetMode="External"/><Relationship Id="rId175" Type="http://schemas.openxmlformats.org/officeDocument/2006/relationships/hyperlink" Target="http://leapfroggroup.org/survey-materials/multi-campus-reporting-policy" TargetMode="External"/><Relationship Id="rId340" Type="http://schemas.openxmlformats.org/officeDocument/2006/relationships/hyperlink" Target="https://www.nursingworld.org/globalassets/docs/ana/practice/principles-of-virtual-nursing.pdf" TargetMode="External"/><Relationship Id="rId200" Type="http://schemas.openxmlformats.org/officeDocument/2006/relationships/hyperlink" Target="http://www.leapfroggroup.org/survey-materials/survey-and-cpoe-materials" TargetMode="External"/><Relationship Id="rId382" Type="http://schemas.openxmlformats.org/officeDocument/2006/relationships/hyperlink" Target="https://www.who.int/teams/integrated-health-services/infection-prevention-control/hand-hygiene/monitoring-tools" TargetMode="External"/><Relationship Id="rId438" Type="http://schemas.openxmlformats.org/officeDocument/2006/relationships/hyperlink" Target="https://www.leapfroggroup.org/survey-materials/deadlines" TargetMode="External"/><Relationship Id="rId242" Type="http://schemas.openxmlformats.org/officeDocument/2006/relationships/hyperlink" Target="https://apps.who.int/iris/handle/10665/70046" TargetMode="External"/><Relationship Id="rId284" Type="http://schemas.openxmlformats.org/officeDocument/2006/relationships/hyperlink" Target="https://www.jointcommission.org/measurement/specification-manuals/electronic-clinical-quality-measures/" TargetMode="External"/><Relationship Id="rId491" Type="http://schemas.openxmlformats.org/officeDocument/2006/relationships/hyperlink" Target="https://leapfroghelpdesk.zendesk.com/hc/en-us" TargetMode="External"/><Relationship Id="rId505" Type="http://schemas.openxmlformats.org/officeDocument/2006/relationships/hyperlink" Target="https://data.cms.gov/provider-data/search?theme=Hospitals" TargetMode="External"/><Relationship Id="rId37" Type="http://schemas.openxmlformats.org/officeDocument/2006/relationships/hyperlink" Target="http://www.leapfroggroup.org/survey-materials/survey-and-cpoe-materials" TargetMode="External"/><Relationship Id="rId79" Type="http://schemas.openxmlformats.org/officeDocument/2006/relationships/hyperlink" Target="https://www.hospitalsafetygrade.org/" TargetMode="External"/><Relationship Id="rId102" Type="http://schemas.openxmlformats.org/officeDocument/2006/relationships/hyperlink" Target="https://ratings.leapfroggroup.org/measure/hospital/2026/informed-consent" TargetMode="External"/><Relationship Id="rId144" Type="http://schemas.openxmlformats.org/officeDocument/2006/relationships/hyperlink" Target="https://www.cdc.gov/dhds/datasets/?CDC_AAref_Val=https://www.cdc.gov/ncbddd/disabilityandhealth/datasets.html" TargetMode="External"/><Relationship Id="rId90" Type="http://schemas.openxmlformats.org/officeDocument/2006/relationships/header" Target="header2.xml"/><Relationship Id="rId186" Type="http://schemas.openxmlformats.org/officeDocument/2006/relationships/hyperlink" Target="https://www.leapfroggroup.org/survey-materials/survey-and-cpoe-materials" TargetMode="External"/><Relationship Id="rId351" Type="http://schemas.openxmlformats.org/officeDocument/2006/relationships/hyperlink" Target="http://leapfroggroup.org/survey-materials/multi-campus-reporting-policy" TargetMode="External"/><Relationship Id="rId393" Type="http://schemas.openxmlformats.org/officeDocument/2006/relationships/hyperlink" Target="https://digitalassets.jointcommission.org/api/public/content/4534bbaaee4f4bd280c2054765f37f4b?v=a60f8f9a" TargetMode="External"/><Relationship Id="rId407" Type="http://schemas.openxmlformats.org/officeDocument/2006/relationships/header" Target="header19.xml"/><Relationship Id="rId449" Type="http://schemas.openxmlformats.org/officeDocument/2006/relationships/hyperlink" Target="http://www.leapfroggroup.org/survey-materials/survey-and-cpoe-materials" TargetMode="External"/><Relationship Id="rId211" Type="http://schemas.openxmlformats.org/officeDocument/2006/relationships/hyperlink" Target="http://leapfroggroup.org/survey-materials/multi-campus-reporting-policy" TargetMode="External"/><Relationship Id="rId253" Type="http://schemas.openxmlformats.org/officeDocument/2006/relationships/hyperlink" Target="http://leapfroggroup.org/survey-materials/multi-campus-reporting-policy" TargetMode="External"/><Relationship Id="rId295" Type="http://schemas.openxmlformats.org/officeDocument/2006/relationships/hyperlink" Target="http://leapfroggroup.org/survey-materials/survey-and-cpoe-materials" TargetMode="External"/><Relationship Id="rId309" Type="http://schemas.openxmlformats.org/officeDocument/2006/relationships/hyperlink" Target="https://pubmed.ncbi.nlm.nih.gov/29939938/" TargetMode="External"/><Relationship Id="rId460" Type="http://schemas.openxmlformats.org/officeDocument/2006/relationships/hyperlink" Target="http://leapfroggroup.org/survey-materials/multi-campus-reporting-policy" TargetMode="External"/><Relationship Id="rId48" Type="http://schemas.openxmlformats.org/officeDocument/2006/relationships/hyperlink" Target="https://survey.leapfroggroup.org/" TargetMode="External"/><Relationship Id="rId113" Type="http://schemas.openxmlformats.org/officeDocument/2006/relationships/hyperlink" Target="https://www.leapfroggroup.org/survey-materials/deadlines" TargetMode="External"/><Relationship Id="rId320" Type="http://schemas.openxmlformats.org/officeDocument/2006/relationships/hyperlink" Target="https://ratings.leapfroggroup.org/measure/hospital/2026/specially-trained-doctors-care-critical-care-patients" TargetMode="External"/><Relationship Id="rId155" Type="http://schemas.openxmlformats.org/officeDocument/2006/relationships/hyperlink" Target="https://nam02.safelinks.protection.outlook.com/?url=https%3A%2F%2Fwww.ahrq.gov%2Fhealth-literacy%2Fprofessional-training%2Finformed-choice.html&amp;data=05%7C01%7CPLipscomb%40leapfrog-group.org%7C2c470c166c5f45fac28508db5d5d58d1%7C95c34b8315eb4d9a97a7f29881f4a800%7C0%7C0%7C638206427719598521%7CUnknown%7CTWFpbGZsb3d8eyJWIjoiMC4wLjAwMDAiLCJQIjoiV2luMzIiLCJBTiI6Ik1haWwiLCJXVCI6Mn0%3D%7C3000%7C%7C%7C&amp;sdata=8EnmFGECZ45C2enFQVjumfh042bETMi0bF%2FpNjGUCPk%3D&amp;reserved=0" TargetMode="External"/><Relationship Id="rId197" Type="http://schemas.openxmlformats.org/officeDocument/2006/relationships/image" Target="media/image7.png"/><Relationship Id="rId362" Type="http://schemas.openxmlformats.org/officeDocument/2006/relationships/hyperlink" Target="https://www.ihi.org/sites/default/files/Safer-Dx-Checklist.pdf" TargetMode="External"/><Relationship Id="rId418" Type="http://schemas.openxmlformats.org/officeDocument/2006/relationships/hyperlink" Target="https://www.leapfroggroup.org/survey-materials/review-nhsn-instructions" TargetMode="External"/><Relationship Id="rId222" Type="http://schemas.openxmlformats.org/officeDocument/2006/relationships/hyperlink" Target="https://www.ahrq.gov/hai/tools/ambulatory-surgery/sections/implementation/implementation-guide/app-e.html" TargetMode="External"/><Relationship Id="rId264" Type="http://schemas.openxmlformats.org/officeDocument/2006/relationships/hyperlink" Target="http://leapfroggroup.org/survey-materials/multi-campus-reporting-policy" TargetMode="External"/><Relationship Id="rId471" Type="http://schemas.openxmlformats.org/officeDocument/2006/relationships/hyperlink" Target="https://www.ahrq.gov/hai/tools/ambulatory-surgery/sections/implementation/implementation-guide/app-e.html" TargetMode="External"/><Relationship Id="rId17" Type="http://schemas.openxmlformats.org/officeDocument/2006/relationships/hyperlink" Target="http://leapfroggroup.org/survey-materials/multi-campus-reporting-policy" TargetMode="External"/><Relationship Id="rId59" Type="http://schemas.openxmlformats.org/officeDocument/2006/relationships/hyperlink" Target="https://ratings.leapfroggroup.org/" TargetMode="External"/><Relationship Id="rId124" Type="http://schemas.openxmlformats.org/officeDocument/2006/relationships/image" Target="media/image3.png"/><Relationship Id="rId70" Type="http://schemas.openxmlformats.org/officeDocument/2006/relationships/hyperlink" Target="https://ratings.leapfroggroup.org/" TargetMode="External"/><Relationship Id="rId166" Type="http://schemas.openxmlformats.org/officeDocument/2006/relationships/hyperlink" Target="http://leapfroggroup.org/survey-materials/multi-campus-reporting-policy" TargetMode="External"/><Relationship Id="rId331" Type="http://schemas.openxmlformats.org/officeDocument/2006/relationships/hyperlink" Target="http://leapfroggroup.org/survey-materials/multi-campus-reporting-policy" TargetMode="External"/><Relationship Id="rId373" Type="http://schemas.openxmlformats.org/officeDocument/2006/relationships/hyperlink" Target="https://www.ihi.org/sites/default/files/Safer-Dx-Checklist.pdf" TargetMode="External"/><Relationship Id="rId429" Type="http://schemas.openxmlformats.org/officeDocument/2006/relationships/hyperlink" Target="https://www.qualityforum.org/en-us/key-initiatives/updating-the-serious-reportable-events-sre-list" TargetMode="External"/><Relationship Id="rId1" Type="http://schemas.openxmlformats.org/officeDocument/2006/relationships/customXml" Target="../customXml/item1.xml"/><Relationship Id="rId233" Type="http://schemas.openxmlformats.org/officeDocument/2006/relationships/hyperlink" Target="https://www.sts.org/" TargetMode="External"/><Relationship Id="rId440" Type="http://schemas.openxmlformats.org/officeDocument/2006/relationships/hyperlink" Target="http://leapfroggroup.org/survey-materials/multi-campus-reporting-policy" TargetMode="External"/><Relationship Id="rId28" Type="http://schemas.openxmlformats.org/officeDocument/2006/relationships/hyperlink" Target="https://survey.leapfroggroup.org/login" TargetMode="External"/><Relationship Id="rId275" Type="http://schemas.openxmlformats.org/officeDocument/2006/relationships/hyperlink" Target="https://www.leapfroggroup.org/about/expert-panelists" TargetMode="External"/><Relationship Id="rId300" Type="http://schemas.openxmlformats.org/officeDocument/2006/relationships/hyperlink" Target="https://manual.jointcommission.org/releases/TJC2026A1/DataElem0265.html" TargetMode="External"/><Relationship Id="rId482" Type="http://schemas.openxmlformats.org/officeDocument/2006/relationships/hyperlink" Target="https://survey.leapfroggroup.org/login?destination=dashboard" TargetMode="External"/><Relationship Id="rId81" Type="http://schemas.openxmlformats.org/officeDocument/2006/relationships/hyperlink" Target="https://www.leapfroggroup.org/ratings-reports/custom-benchmarking" TargetMode="External"/><Relationship Id="rId135" Type="http://schemas.openxmlformats.org/officeDocument/2006/relationships/hyperlink" Target="https://www.cms.gov/files/document/nsa-sample-good-faith-estimate.pdf" TargetMode="External"/><Relationship Id="rId177" Type="http://schemas.openxmlformats.org/officeDocument/2006/relationships/hyperlink" Target="https://www.leapfroggroup.org/survey-materials/deadlines" TargetMode="External"/><Relationship Id="rId342" Type="http://schemas.openxmlformats.org/officeDocument/2006/relationships/header" Target="header17.xml"/><Relationship Id="rId384" Type="http://schemas.openxmlformats.org/officeDocument/2006/relationships/hyperlink" Target="https://www.leapfroggroup.org/survey-materials/data-accuracy" TargetMode="External"/><Relationship Id="rId202" Type="http://schemas.openxmlformats.org/officeDocument/2006/relationships/hyperlink" Target="https://www.leapfroggroup.org/survey-materials/deadlines" TargetMode="External"/><Relationship Id="rId244" Type="http://schemas.openxmlformats.org/officeDocument/2006/relationships/header" Target="header14.xml"/><Relationship Id="rId39" Type="http://schemas.openxmlformats.org/officeDocument/2006/relationships/hyperlink" Target="https://survey.leapfroggroup.org/login?destination=dashboard" TargetMode="External"/><Relationship Id="rId286" Type="http://schemas.openxmlformats.org/officeDocument/2006/relationships/hyperlink" Target="https://manual.jointcommission.org/releases/TJC2026A1/AppendixATJC.html" TargetMode="External"/><Relationship Id="rId451" Type="http://schemas.openxmlformats.org/officeDocument/2006/relationships/hyperlink" Target="http://www.leapfroggroup.org/survey-materials/survey-and-cpoe-materials" TargetMode="External"/><Relationship Id="rId493" Type="http://schemas.openxmlformats.org/officeDocument/2006/relationships/hyperlink" Target="https://www.who.int/teams/integrated-health-services/patient-safety/research/safe-surgery" TargetMode="External"/><Relationship Id="rId507" Type="http://schemas.openxmlformats.org/officeDocument/2006/relationships/hyperlink" Target="https://data.cms.gov/provider-data/" TargetMode="External"/><Relationship Id="rId50" Type="http://schemas.openxmlformats.org/officeDocument/2006/relationships/hyperlink" Target="http://www.leapfroggroup.org/survey-materials/data-accuracy" TargetMode="External"/><Relationship Id="rId104" Type="http://schemas.openxmlformats.org/officeDocument/2006/relationships/hyperlink" Target="http://leapfroggroup.org/survey-materials/multi-campus-reporting-policy" TargetMode="External"/><Relationship Id="rId146" Type="http://schemas.openxmlformats.org/officeDocument/2006/relationships/hyperlink" Target="https://www.youtube.com/watch?v=8SOzXeYDhAw" TargetMode="External"/><Relationship Id="rId188" Type="http://schemas.openxmlformats.org/officeDocument/2006/relationships/hyperlink" Target="http://www.leapfroggroup.org/survey-materials/survey-and-cpoe-materials" TargetMode="External"/><Relationship Id="rId311" Type="http://schemas.openxmlformats.org/officeDocument/2006/relationships/hyperlink" Target="http://leapfroggroup.org/survey-materials/multi-campus-reporting-policy" TargetMode="External"/><Relationship Id="rId353" Type="http://schemas.openxmlformats.org/officeDocument/2006/relationships/hyperlink" Target="http://leapfroggroup.org/survey-materials/multi-campus-reporting-policy" TargetMode="External"/><Relationship Id="rId395" Type="http://schemas.openxmlformats.org/officeDocument/2006/relationships/hyperlink" Target="https://www.ahrq.gov/teamstepps/index.html" TargetMode="External"/><Relationship Id="rId409" Type="http://schemas.openxmlformats.org/officeDocument/2006/relationships/hyperlink" Target="https://www.leapfroggroup.org/survey-materials/review-nhsn-instructions" TargetMode="External"/><Relationship Id="rId92" Type="http://schemas.openxmlformats.org/officeDocument/2006/relationships/header" Target="header4.xml"/><Relationship Id="rId213" Type="http://schemas.openxmlformats.org/officeDocument/2006/relationships/hyperlink" Target="https://www.leapfroggroup.org/survey-materials/deadlines" TargetMode="External"/><Relationship Id="rId420" Type="http://schemas.openxmlformats.org/officeDocument/2006/relationships/hyperlink" Target="https://www.leapfroggroup.org/survey-materials/review-nhsn-instructions" TargetMode="External"/><Relationship Id="rId255" Type="http://schemas.openxmlformats.org/officeDocument/2006/relationships/hyperlink" Target="https://www.leapfroggroup.org/survey-materials/deadlines" TargetMode="External"/><Relationship Id="rId297" Type="http://schemas.openxmlformats.org/officeDocument/2006/relationships/hyperlink" Target="https://manual.jointcommission.org/releases/TJC2026A1/AppendixATJC.html" TargetMode="External"/><Relationship Id="rId462" Type="http://schemas.openxmlformats.org/officeDocument/2006/relationships/hyperlink" Target="https://www.leapfroggroup.org/survey-materials/deadlines" TargetMode="External"/><Relationship Id="rId115" Type="http://schemas.openxmlformats.org/officeDocument/2006/relationships/hyperlink" Target="http://leapfroggroup.org/survey-materials/multi-campus-reporting-policy" TargetMode="External"/><Relationship Id="rId157" Type="http://schemas.openxmlformats.org/officeDocument/2006/relationships/hyperlink" Target="https://nam02.safelinks.protection.outlook.com/?url=https%3A%2F%2Fwww.cdc.gov%2Fccindex%2Findex.html&amp;data=05%7C01%7CPLipscomb%40leapfrog-group.org%7C2c470c166c5f45fac28508db5d5d58d1%7C95c34b8315eb4d9a97a7f29881f4a800%7C0%7C0%7C638206427719598521%7CUnknown%7CTWFpbGZsb3d8eyJWIjoiMC4wLjAwMDAiLCJQIjoiV2luMzIiLCJBTiI6Ik1haWwiLCJXVCI6Mn0%3D%7C3000%7C%7C%7C&amp;sdata=pu1PVfq6oeKIClO81ddHBIqO5lYuoto3gwOGnArPbbg%3D&amp;reserved=0" TargetMode="External"/><Relationship Id="rId322" Type="http://schemas.openxmlformats.org/officeDocument/2006/relationships/hyperlink" Target="http://www.leapfroggroup.org/survey-materials/scoring-and-results" TargetMode="External"/><Relationship Id="rId364" Type="http://schemas.openxmlformats.org/officeDocument/2006/relationships/hyperlink" Target="https://www.ahrq.gov/teamstepps-program/diagnosis-improvement/index.html" TargetMode="External"/><Relationship Id="rId61" Type="http://schemas.openxmlformats.org/officeDocument/2006/relationships/hyperlink" Target="http://www.leapfroggroup.org/survey-materials/deadlines" TargetMode="External"/><Relationship Id="rId199" Type="http://schemas.openxmlformats.org/officeDocument/2006/relationships/hyperlink" Target="http://www.hospitalmedicine.org/Web/Quality___Innovation/Implementation_Toolkit/MARQUIS/MARQUIS_Collaborative_Program_Recruitment.aspx" TargetMode="External"/><Relationship Id="rId19" Type="http://schemas.openxmlformats.org/officeDocument/2006/relationships/hyperlink" Target="https://www.leapfroggroup.org/survey-materials/review-nhsn-instructions" TargetMode="External"/><Relationship Id="rId224" Type="http://schemas.openxmlformats.org/officeDocument/2006/relationships/hyperlink" Target="https://www.leapfroggroup.org/survey-materials/deadlines" TargetMode="External"/><Relationship Id="rId266" Type="http://schemas.openxmlformats.org/officeDocument/2006/relationships/hyperlink" Target="https://www.leapfroggroup.org/survey-materials/deadlines" TargetMode="External"/><Relationship Id="rId431" Type="http://schemas.openxmlformats.org/officeDocument/2006/relationships/hyperlink" Target="http://www.ahrq.gov/professionals/quality-patient-safety/patient-safety-resources/resources/candor/introduction.html" TargetMode="External"/><Relationship Id="rId473" Type="http://schemas.openxmlformats.org/officeDocument/2006/relationships/hyperlink" Target="https://www.leapfroggroup.org/survey-materials/deadlines" TargetMode="External"/><Relationship Id="rId30" Type="http://schemas.openxmlformats.org/officeDocument/2006/relationships/hyperlink" Target="http://leapfroggroup.org/survey-materials/prepare-cpoe-tool" TargetMode="External"/><Relationship Id="rId126" Type="http://schemas.openxmlformats.org/officeDocument/2006/relationships/hyperlink" Target="https://www.leapfroggroup.org/survey-materials/review-nhsn-instructions" TargetMode="External"/><Relationship Id="rId168" Type="http://schemas.openxmlformats.org/officeDocument/2006/relationships/hyperlink" Target="https://www.leapfroggroup.org/survey-materials/deadlines" TargetMode="External"/><Relationship Id="rId333" Type="http://schemas.openxmlformats.org/officeDocument/2006/relationships/hyperlink" Target="https://www.leapfroggroup.org/survey-materials/deadlines" TargetMode="External"/><Relationship Id="rId72" Type="http://schemas.openxmlformats.org/officeDocument/2006/relationships/hyperlink" Target="http://leapfroggroup.org/survey-materials/deadlines" TargetMode="External"/><Relationship Id="rId375" Type="http://schemas.openxmlformats.org/officeDocument/2006/relationships/hyperlink" Target="https://www.leapfroggroup.org/about/expert-panelists" TargetMode="External"/><Relationship Id="rId3" Type="http://schemas.openxmlformats.org/officeDocument/2006/relationships/customXml" Target="../customXml/item3.xml"/><Relationship Id="rId235" Type="http://schemas.openxmlformats.org/officeDocument/2006/relationships/hyperlink" Target="http://leapfroggroup.org/survey-materials/multi-campus-reporting-policy" TargetMode="External"/><Relationship Id="rId277" Type="http://schemas.openxmlformats.org/officeDocument/2006/relationships/hyperlink" Target="http://leapfroggroup.org/survey-materials/multi-campus-reporting-policy" TargetMode="External"/><Relationship Id="rId400" Type="http://schemas.openxmlformats.org/officeDocument/2006/relationships/hyperlink" Target="http://www.leapfroggroup.org/survey-materials/survey-and-cpoe-materials" TargetMode="External"/><Relationship Id="rId442" Type="http://schemas.openxmlformats.org/officeDocument/2006/relationships/hyperlink" Target="https://www.leapfroggroup.org/survey-materials/deadlines" TargetMode="External"/><Relationship Id="rId484" Type="http://schemas.openxmlformats.org/officeDocument/2006/relationships/hyperlink" Target="https://survey.leapfroggroup.org/login?destination=dashboard" TargetMode="External"/><Relationship Id="rId137" Type="http://schemas.openxmlformats.org/officeDocument/2006/relationships/hyperlink" Target="https://www.irs.gov/charities-non-profits/financial-assistance-policy-and-emergency-medical-care-policy-section-501r4" TargetMode="External"/><Relationship Id="rId302" Type="http://schemas.openxmlformats.org/officeDocument/2006/relationships/hyperlink" Target="https://manual.jointcommission.org/releases/TJC2026A1/AppendixATJC.html" TargetMode="External"/><Relationship Id="rId344" Type="http://schemas.openxmlformats.org/officeDocument/2006/relationships/hyperlink" Target="https://ratings.leapfroggroup.org/measure/hospital/2026/handwashing" TargetMode="External"/><Relationship Id="rId41" Type="http://schemas.openxmlformats.org/officeDocument/2006/relationships/hyperlink" Target="http://leapfroggroup.org/survey-materials/deadlines" TargetMode="External"/><Relationship Id="rId83" Type="http://schemas.openxmlformats.org/officeDocument/2006/relationships/hyperlink" Target="https://www.leapfroggroup.org/sites/default/files/Files/HelpDeskGuide_HowtoUseZendesk_0.pdf" TargetMode="External"/><Relationship Id="rId179" Type="http://schemas.openxmlformats.org/officeDocument/2006/relationships/hyperlink" Target="https://www.leapfroggroup.org/survey-materials/survey-and-cpoe-materials" TargetMode="External"/><Relationship Id="rId386" Type="http://schemas.openxmlformats.org/officeDocument/2006/relationships/hyperlink" Target="https://www.youtube.com/watch?v=XZKXMw29kFU" TargetMode="External"/><Relationship Id="rId190" Type="http://schemas.openxmlformats.org/officeDocument/2006/relationships/hyperlink" Target="https://www.leapfroggroup.org/survey-materials/survey-and-cpoe-materials" TargetMode="External"/><Relationship Id="rId204" Type="http://schemas.openxmlformats.org/officeDocument/2006/relationships/header" Target="header10.xml"/><Relationship Id="rId246" Type="http://schemas.openxmlformats.org/officeDocument/2006/relationships/hyperlink" Target="https://survey.leapfroggroup.org/login" TargetMode="External"/><Relationship Id="rId288" Type="http://schemas.openxmlformats.org/officeDocument/2006/relationships/hyperlink" Target="https://datacenter.cmqcc.org/support/download/c463ad71c0197fd1b1dd54db4bb09d31d8e8b35e" TargetMode="External"/><Relationship Id="rId411" Type="http://schemas.openxmlformats.org/officeDocument/2006/relationships/hyperlink" Target="http://leapfroggroup.org/survey-materials/multi-campus-reporting-policy" TargetMode="External"/><Relationship Id="rId453" Type="http://schemas.openxmlformats.org/officeDocument/2006/relationships/image" Target="media/image9.png"/><Relationship Id="rId509" Type="http://schemas.openxmlformats.org/officeDocument/2006/relationships/header" Target="header24.xml"/><Relationship Id="rId106" Type="http://schemas.openxmlformats.org/officeDocument/2006/relationships/hyperlink" Target="https://www.leapfroggroup.org/survey-materials/deadlines" TargetMode="External"/><Relationship Id="rId313" Type="http://schemas.openxmlformats.org/officeDocument/2006/relationships/hyperlink" Target="https://public.vtoxford.org/leapfrog" TargetMode="External"/><Relationship Id="rId495" Type="http://schemas.openxmlformats.org/officeDocument/2006/relationships/hyperlink" Target="https://www.ahrq.gov/hai/tools/ambulatory-surgery/sections/implementation/implementation-guide/app-e.html" TargetMode="External"/><Relationship Id="rId10" Type="http://schemas.openxmlformats.org/officeDocument/2006/relationships/footnotes" Target="footnotes.xml"/><Relationship Id="rId52" Type="http://schemas.openxmlformats.org/officeDocument/2006/relationships/hyperlink" Target="https://survey.leapfroggroup.org/" TargetMode="External"/><Relationship Id="rId94" Type="http://schemas.openxmlformats.org/officeDocument/2006/relationships/hyperlink" Target="http://leapfroggroup.org/survey-materials/multi-campus-reporting-policy" TargetMode="External"/><Relationship Id="rId148" Type="http://schemas.openxmlformats.org/officeDocument/2006/relationships/hyperlink" Target="https://www.ihi.org/insights/words-matter-making-sense-health-equity-terminology" TargetMode="External"/><Relationship Id="rId355" Type="http://schemas.openxmlformats.org/officeDocument/2006/relationships/hyperlink" Target="https://www.leapfroggroup.org/survey-materials/deadlines" TargetMode="External"/><Relationship Id="rId397" Type="http://schemas.openxmlformats.org/officeDocument/2006/relationships/hyperlink" Target="https://www.ache.org/about-ache/our-story/our-commitments/policy-statements/healthcare-executives-role-in-ensuring-quality-and-safety" TargetMode="External"/><Relationship Id="rId215" Type="http://schemas.openxmlformats.org/officeDocument/2006/relationships/hyperlink" Target="https://www.leapfroggroup.org/survey-materials/deadlines" TargetMode="External"/><Relationship Id="rId257" Type="http://schemas.openxmlformats.org/officeDocument/2006/relationships/hyperlink" Target="https://www.leapfroggroup.org/survey-materials/deadlines" TargetMode="External"/><Relationship Id="rId422" Type="http://schemas.openxmlformats.org/officeDocument/2006/relationships/hyperlink" Target="https://www.leapfroggroup.org/survey-materials/review-nhsn-instructions" TargetMode="External"/><Relationship Id="rId464" Type="http://schemas.openxmlformats.org/officeDocument/2006/relationships/hyperlink" Target="https://www.leapfroggroup.org/survey-materials/deadlines"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leapfroghelpdesk.zendesk.com/" TargetMode="External"/><Relationship Id="rId13" Type="http://schemas.openxmlformats.org/officeDocument/2006/relationships/hyperlink" Target="http://www.leapfroggroup.org/survey-materials/survey-and-cpoe-materials" TargetMode="External"/><Relationship Id="rId18" Type="http://schemas.openxmlformats.org/officeDocument/2006/relationships/hyperlink" Target="https://www.cdc.gov/mmwr/PDF/rr/rr5116.pdf" TargetMode="External"/><Relationship Id="rId3" Type="http://schemas.openxmlformats.org/officeDocument/2006/relationships/hyperlink" Target="http://www.leapfroggroup.org/survey-materials/join-nhsn" TargetMode="External"/><Relationship Id="rId21" Type="http://schemas.openxmlformats.org/officeDocument/2006/relationships/hyperlink" Target="https://digitalassets.jointcommission.org/api/public/content/4534bbaaee4f4bd280c2054765f37f4b?v=a60f8f9a" TargetMode="External"/><Relationship Id="rId7" Type="http://schemas.openxmlformats.org/officeDocument/2006/relationships/hyperlink" Target="https://leapfroghelpdesk.zendesk.com/" TargetMode="External"/><Relationship Id="rId12" Type="http://schemas.openxmlformats.org/officeDocument/2006/relationships/hyperlink" Target="https://www.ptcb.org/credentials/medication-history-certificate" TargetMode="External"/><Relationship Id="rId17" Type="http://schemas.openxmlformats.org/officeDocument/2006/relationships/hyperlink" Target="https://www.who.int/campaigns/world-hand-hygiene-day" TargetMode="External"/><Relationship Id="rId2" Type="http://schemas.openxmlformats.org/officeDocument/2006/relationships/hyperlink" Target="https://www.leapfroggroup.org/survey-materials/review-nhsn-instructions" TargetMode="External"/><Relationship Id="rId16" Type="http://schemas.openxmlformats.org/officeDocument/2006/relationships/hyperlink" Target="https://nam02.safelinks.protection.outlook.com/?url=https%3A%2F%2Fwww.sccm.org%2FEducation-Center%2FEducational-Programming%2FFundamentals%2FFundamental-Critical-Care-Support&amp;data=05%7C01%7CPLipscomb%40leapfrog-group.org%7C391e9445b9854332a32508db2a1a6539%7C95c34b8315eb4d9a97a7f29881f4a800%7C0%7C0%7C638150065072241194%7CUnknown%7CTWFpbGZsb3d8eyJWIjoiMC4wLjAwMDAiLCJQIjoiV2luMzIiLCJBTiI6Ik1haWwiLCJXVCI6Mn0%3D%7C3000%7C%7C%7C&amp;sdata=xe9giw6tDEoSUD%2FMy%2FG7jur%2BXfbSDZsUN%2Bx2qL49E%2B0%3D&amp;reserved=0" TargetMode="External"/><Relationship Id="rId20" Type="http://schemas.openxmlformats.org/officeDocument/2006/relationships/hyperlink" Target="http://apps.who.int/iris/bitstream/handle/10665/44196/9789241598606_eng.pdf;jsessionid=2AD6A606830268FFF337E2BD6ACAFC45?sequence=1" TargetMode="External"/><Relationship Id="rId1" Type="http://schemas.openxmlformats.org/officeDocument/2006/relationships/hyperlink" Target="https://leapfroghelpdesk.zendesk.com/" TargetMode="External"/><Relationship Id="rId6" Type="http://schemas.openxmlformats.org/officeDocument/2006/relationships/hyperlink" Target="https://leapfroghelpdesk.zendesk.com/" TargetMode="External"/><Relationship Id="rId11" Type="http://schemas.openxmlformats.org/officeDocument/2006/relationships/hyperlink" Target="https://aornjournal.onlinelibrary.wiley.com/doi/full/10.1016/S0001-2092%2806%2960367-0" TargetMode="External"/><Relationship Id="rId24" Type="http://schemas.openxmlformats.org/officeDocument/2006/relationships/hyperlink" Target="https://www.fgiguidelines.org/wp-content/uploads/2017/08/SLS17_FGI_ExamProcedureOperatingImaging_170721.pdf" TargetMode="External"/><Relationship Id="rId5" Type="http://schemas.openxmlformats.org/officeDocument/2006/relationships/hyperlink" Target="https://public.vtoxford.org/transfer-codes/" TargetMode="External"/><Relationship Id="rId15" Type="http://schemas.openxmlformats.org/officeDocument/2006/relationships/hyperlink" Target="https://www.sts.org/quality-safety/performance-measures/descriptions" TargetMode="External"/><Relationship Id="rId23" Type="http://schemas.openxmlformats.org/officeDocument/2006/relationships/hyperlink" Target="https://www.fgiguidelines.org/wp-content/uploads/2017/08/SLS17_FGI_ExamProcedureOperatingImaging_170721.pdf" TargetMode="External"/><Relationship Id="rId10" Type="http://schemas.openxmlformats.org/officeDocument/2006/relationships/hyperlink" Target="https://nam02.safelinks.protection.outlook.com/?url=https%3A%2F%2Fwww.cdc.gov%2Fnhsn%2Fpdfs%2Fpscmanual%2Fpscmanual_current.pdf&amp;data=05%7C02%7CLKaufman%40leapfrog-group.org%7C064c254f3811457a4eb108de690e65e9%7C95c34b8315eb4d9a97a7f29881f4a800%7C0%7C0%7C639063707723194530%7CUnknown%7CTWFpbGZsb3d8eyJFbXB0eU1hcGkiOnRydWUsIlYiOiIwLjAuMDAwMCIsIlAiOiJXaW4zMiIsIkFOIjoiTWFpbCIsIldUIjoyfQ%3D%3D%7C0%7C%7C%7C&amp;sdata=nCOLQew11FGzu4F0SeU0tqg66SUxvLQxpCpHukLHOiE%3D&amp;reserved=0" TargetMode="External"/><Relationship Id="rId19" Type="http://schemas.openxmlformats.org/officeDocument/2006/relationships/hyperlink" Target="https://www.who.int/publications/i/item/9789241597906" TargetMode="External"/><Relationship Id="rId4" Type="http://schemas.openxmlformats.org/officeDocument/2006/relationships/hyperlink" Target="http://www.leapfroggroup.org/survey-materials/join-nhsn" TargetMode="External"/><Relationship Id="rId9" Type="http://schemas.openxmlformats.org/officeDocument/2006/relationships/hyperlink" Target="https://nam02.safelinks.protection.outlook.com/?url=https%3A%2F%2Fwww.cdc.gov%2Fnhsn%2Fpdfs%2Fpscmanual%2Fpscmanual_current.pdf&amp;data=05%7C02%7CLKaufman%40leapfrog-group.org%7C064c254f3811457a4eb108de690e65e9%7C95c34b8315eb4d9a97a7f29881f4a800%7C0%7C0%7C639063707723194530%7CUnknown%7CTWFpbGZsb3d8eyJFbXB0eU1hcGkiOnRydWUsIlYiOiIwLjAuMDAwMCIsIlAiOiJXaW4zMiIsIkFOIjoiTWFpbCIsIldUIjoyfQ%3D%3D%7C0%7C%7C%7C&amp;sdata=nCOLQew11FGzu4F0SeU0tqg66SUxvLQxpCpHukLHOiE%3D&amp;reserved=0" TargetMode="External"/><Relationship Id="rId14" Type="http://schemas.openxmlformats.org/officeDocument/2006/relationships/hyperlink" Target="http://www.leapfroggroup.org/survey-materials/survey-and-cpoe-materials" TargetMode="External"/><Relationship Id="rId22" Type="http://schemas.openxmlformats.org/officeDocument/2006/relationships/hyperlink" Target="https://www.ihi.org/library/tools/rca2-improving-root-cause-analyses-and-actions-prevent-ha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FE9F8E814B9458E004ABC1F0CC3C9" ma:contentTypeVersion="22" ma:contentTypeDescription="Create a new document." ma:contentTypeScope="" ma:versionID="a1a6b1d0b0dd08227890fcf48dd18375">
  <xsd:schema xmlns:xsd="http://www.w3.org/2001/XMLSchema" xmlns:xs="http://www.w3.org/2001/XMLSchema" xmlns:p="http://schemas.microsoft.com/office/2006/metadata/properties" xmlns:ns2="2647b5e8-e984-43ae-bdd2-00b2faccf1d1" xmlns:ns3="c3ea5a7f-0794-451b-8053-72eb42be1c2d" targetNamespace="http://schemas.microsoft.com/office/2006/metadata/properties" ma:root="true" ma:fieldsID="20547cb83fbbd2fe150d68d278e84695" ns2:_="" ns3:_="">
    <xsd:import namespace="2647b5e8-e984-43ae-bdd2-00b2faccf1d1"/>
    <xsd:import namespace="c3ea5a7f-0794-451b-8053-72eb42be1c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Date"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LengthInSeconds" minOccurs="0"/>
                <xsd:element ref="ns3:MediaServiceLocation" minOccurs="0"/>
                <xsd:element ref="ns2:SharedWithUsers" minOccurs="0"/>
                <xsd:element ref="ns2:SharedWithDetails" minOccurs="0"/>
                <xsd:element ref="ns3:MediaServiceObjectDetectorVersions" minOccurs="0"/>
                <xsd:element ref="ns3:MediaServiceSearchProperties" minOccurs="0"/>
                <xsd:element ref="ns3:Memo"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7b5e8-e984-43ae-bdd2-00b2faccf1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2799136a-fe62-4499-90af-c73bc3fef729}" ma:internalName="TaxCatchAll" ma:showField="CatchAllData" ma:web="2647b5e8-e984-43ae-bdd2-00b2faccf1d1">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ea5a7f-0794-451b-8053-72eb42be1c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Date" ma:index="13" nillable="true" ma:displayName="Date" ma:format="DateOnly" ma:internalName="Date">
      <xsd:simpleType>
        <xsd:restriction base="dms:DateTim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7e3171-58b2-4d53-84aa-4c22be8b097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mo" ma:index="27" nillable="true" ma:displayName="Memo" ma:format="Dropdown" ma:internalName="Memo">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647b5e8-e984-43ae-bdd2-00b2faccf1d1">YU52FPMFMMT7-1977900663-359643</_dlc_DocId>
    <_dlc_DocIdUrl xmlns="2647b5e8-e984-43ae-bdd2-00b2faccf1d1">
      <Url>https://leapfroggroup2.sharepoint.com/sites/TheLeapfrogGroup/_layouts/15/DocIdRedir.aspx?ID=YU52FPMFMMT7-1977900663-359643</Url>
      <Description>YU52FPMFMMT7-1977900663-359643</Description>
    </_dlc_DocIdUrl>
    <TaxCatchAll xmlns="2647b5e8-e984-43ae-bdd2-00b2faccf1d1" xsi:nil="true"/>
    <Date xmlns="c3ea5a7f-0794-451b-8053-72eb42be1c2d" xsi:nil="true"/>
    <lcf76f155ced4ddcb4097134ff3c332f xmlns="c3ea5a7f-0794-451b-8053-72eb42be1c2d">
      <Terms xmlns="http://schemas.microsoft.com/office/infopath/2007/PartnerControls"/>
    </lcf76f155ced4ddcb4097134ff3c332f>
    <SharedWithUsers xmlns="2647b5e8-e984-43ae-bdd2-00b2faccf1d1">
      <UserInfo>
        <DisplayName>Paige Lipscomb</DisplayName>
        <AccountId>40</AccountId>
        <AccountType/>
      </UserInfo>
    </SharedWithUsers>
    <Memo xmlns="c3ea5a7f-0794-451b-8053-72eb42be1c2d"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A4F7B-9C70-4980-8C37-423A14127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7b5e8-e984-43ae-bdd2-00b2faccf1d1"/>
    <ds:schemaRef ds:uri="c3ea5a7f-0794-451b-8053-72eb42be1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436692-8057-4FC2-84F9-C801EE15EC43}">
  <ds:schemaRefs>
    <ds:schemaRef ds:uri="http://schemas.microsoft.com/office/2006/metadata/properties"/>
    <ds:schemaRef ds:uri="http://schemas.microsoft.com/office/infopath/2007/PartnerControls"/>
    <ds:schemaRef ds:uri="2647b5e8-e984-43ae-bdd2-00b2faccf1d1"/>
    <ds:schemaRef ds:uri="c3ea5a7f-0794-451b-8053-72eb42be1c2d"/>
  </ds:schemaRefs>
</ds:datastoreItem>
</file>

<file path=customXml/itemProps3.xml><?xml version="1.0" encoding="utf-8"?>
<ds:datastoreItem xmlns:ds="http://schemas.openxmlformats.org/officeDocument/2006/customXml" ds:itemID="{2610C81A-53B2-4A30-9EDD-9D6FDD9AD0D6}">
  <ds:schemaRefs>
    <ds:schemaRef ds:uri="http://schemas.microsoft.com/sharepoint/events"/>
  </ds:schemaRefs>
</ds:datastoreItem>
</file>

<file path=customXml/itemProps4.xml><?xml version="1.0" encoding="utf-8"?>
<ds:datastoreItem xmlns:ds="http://schemas.openxmlformats.org/officeDocument/2006/customXml" ds:itemID="{19AFB86E-B444-437B-8BDE-0CE36C39FB1A}">
  <ds:schemaRefs>
    <ds:schemaRef ds:uri="http://schemas.openxmlformats.org/officeDocument/2006/bibliography"/>
  </ds:schemaRefs>
</ds:datastoreItem>
</file>

<file path=customXml/itemProps5.xml><?xml version="1.0" encoding="utf-8"?>
<ds:datastoreItem xmlns:ds="http://schemas.openxmlformats.org/officeDocument/2006/customXml" ds:itemID="{0992932A-7D44-4A49-AD0A-81C03A4C57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351</Pages>
  <Words>124609</Words>
  <Characters>710274</Characters>
  <Application>Microsoft Office Word</Application>
  <DocSecurity>0</DocSecurity>
  <Lines>5918</Lines>
  <Paragraphs>1666</Paragraphs>
  <ScaleCrop>false</ScaleCrop>
  <HeadingPairs>
    <vt:vector size="2" baseType="variant">
      <vt:variant>
        <vt:lpstr>Title</vt:lpstr>
      </vt:variant>
      <vt:variant>
        <vt:i4>1</vt:i4>
      </vt:variant>
    </vt:vector>
  </HeadingPairs>
  <TitlesOfParts>
    <vt:vector size="1" baseType="lpstr">
      <vt:lpstr>Leapfrog Hospital Survey</vt:lpstr>
    </vt:vector>
  </TitlesOfParts>
  <Company>Thomson Healthcare</Company>
  <LinksUpToDate>false</LinksUpToDate>
  <CharactersWithSpaces>833217</CharactersWithSpaces>
  <SharedDoc>false</SharedDoc>
  <HLinks>
    <vt:vector size="7056" baseType="variant">
      <vt:variant>
        <vt:i4>393231</vt:i4>
      </vt:variant>
      <vt:variant>
        <vt:i4>4503</vt:i4>
      </vt:variant>
      <vt:variant>
        <vt:i4>0</vt:i4>
      </vt:variant>
      <vt:variant>
        <vt:i4>5</vt:i4>
      </vt:variant>
      <vt:variant>
        <vt:lpwstr/>
      </vt:variant>
      <vt:variant>
        <vt:lpwstr>_Patient_Experience_(OAS_1</vt:lpwstr>
      </vt:variant>
      <vt:variant>
        <vt:i4>3014783</vt:i4>
      </vt:variant>
      <vt:variant>
        <vt:i4>4500</vt:i4>
      </vt:variant>
      <vt:variant>
        <vt:i4>0</vt:i4>
      </vt:variant>
      <vt:variant>
        <vt:i4>5</vt:i4>
      </vt:variant>
      <vt:variant>
        <vt:lpwstr>https://data.cms.gov/provider-data/</vt:lpwstr>
      </vt:variant>
      <vt:variant>
        <vt:lpwstr/>
      </vt:variant>
      <vt:variant>
        <vt:i4>1966154</vt:i4>
      </vt:variant>
      <vt:variant>
        <vt:i4>4497</vt:i4>
      </vt:variant>
      <vt:variant>
        <vt:i4>0</vt:i4>
      </vt:variant>
      <vt:variant>
        <vt:i4>5</vt:i4>
      </vt:variant>
      <vt:variant>
        <vt:lpwstr>https://leapfroghelpdesk.zendesk.com/</vt:lpwstr>
      </vt:variant>
      <vt:variant>
        <vt:lpwstr/>
      </vt:variant>
      <vt:variant>
        <vt:i4>6225992</vt:i4>
      </vt:variant>
      <vt:variant>
        <vt:i4>4494</vt:i4>
      </vt:variant>
      <vt:variant>
        <vt:i4>0</vt:i4>
      </vt:variant>
      <vt:variant>
        <vt:i4>5</vt:i4>
      </vt:variant>
      <vt:variant>
        <vt:lpwstr>https://data.cms.gov/provider-data/search?theme=Hospitals</vt:lpwstr>
      </vt:variant>
      <vt:variant>
        <vt:lpwstr/>
      </vt:variant>
      <vt:variant>
        <vt:i4>6225992</vt:i4>
      </vt:variant>
      <vt:variant>
        <vt:i4>4491</vt:i4>
      </vt:variant>
      <vt:variant>
        <vt:i4>0</vt:i4>
      </vt:variant>
      <vt:variant>
        <vt:i4>5</vt:i4>
      </vt:variant>
      <vt:variant>
        <vt:lpwstr>https://data.cms.gov/provider-data/search?theme=Hospitals</vt:lpwstr>
      </vt:variant>
      <vt:variant>
        <vt:lpwstr/>
      </vt:variant>
      <vt:variant>
        <vt:i4>2687082</vt:i4>
      </vt:variant>
      <vt:variant>
        <vt:i4>4488</vt:i4>
      </vt:variant>
      <vt:variant>
        <vt:i4>0</vt:i4>
      </vt:variant>
      <vt:variant>
        <vt:i4>5</vt:i4>
      </vt:variant>
      <vt:variant>
        <vt:lpwstr>https://awsstage.survey.leapfroggroup.org/login</vt:lpwstr>
      </vt:variant>
      <vt:variant>
        <vt:lpwstr/>
      </vt:variant>
      <vt:variant>
        <vt:i4>4718670</vt:i4>
      </vt:variant>
      <vt:variant>
        <vt:i4>4485</vt:i4>
      </vt:variant>
      <vt:variant>
        <vt:i4>0</vt:i4>
      </vt:variant>
      <vt:variant>
        <vt:i4>5</vt:i4>
      </vt:variant>
      <vt:variant>
        <vt:lpwstr>https://oascahps.org/Survey-Materials</vt:lpwstr>
      </vt:variant>
      <vt:variant>
        <vt:lpwstr/>
      </vt:variant>
      <vt:variant>
        <vt:i4>6946904</vt:i4>
      </vt:variant>
      <vt:variant>
        <vt:i4>4479</vt:i4>
      </vt:variant>
      <vt:variant>
        <vt:i4>0</vt:i4>
      </vt:variant>
      <vt:variant>
        <vt:i4>5</vt:i4>
      </vt:variant>
      <vt:variant>
        <vt:lpwstr/>
      </vt:variant>
      <vt:variant>
        <vt:lpwstr>Endnote48_TopBox</vt:lpwstr>
      </vt:variant>
      <vt:variant>
        <vt:i4>3014783</vt:i4>
      </vt:variant>
      <vt:variant>
        <vt:i4>4476</vt:i4>
      </vt:variant>
      <vt:variant>
        <vt:i4>0</vt:i4>
      </vt:variant>
      <vt:variant>
        <vt:i4>5</vt:i4>
      </vt:variant>
      <vt:variant>
        <vt:lpwstr>https://data.cms.gov/provider-data</vt:lpwstr>
      </vt:variant>
      <vt:variant>
        <vt:lpwstr/>
      </vt:variant>
      <vt:variant>
        <vt:i4>7602235</vt:i4>
      </vt:variant>
      <vt:variant>
        <vt:i4>4473</vt:i4>
      </vt:variant>
      <vt:variant>
        <vt:i4>0</vt:i4>
      </vt:variant>
      <vt:variant>
        <vt:i4>5</vt:i4>
      </vt:variant>
      <vt:variant>
        <vt:lpwstr/>
      </vt:variant>
      <vt:variant>
        <vt:lpwstr>_Medication_Safety_for_3</vt:lpwstr>
      </vt:variant>
      <vt:variant>
        <vt:i4>5832716</vt:i4>
      </vt:variant>
      <vt:variant>
        <vt:i4>4470</vt:i4>
      </vt:variant>
      <vt:variant>
        <vt:i4>0</vt:i4>
      </vt:variant>
      <vt:variant>
        <vt:i4>5</vt:i4>
      </vt:variant>
      <vt:variant>
        <vt:lpwstr>https://www.leapfroggroup.org/survey-materials/survey-and-cpoe-materials</vt:lpwstr>
      </vt:variant>
      <vt:variant>
        <vt:lpwstr/>
      </vt:variant>
      <vt:variant>
        <vt:i4>7798907</vt:i4>
      </vt:variant>
      <vt:variant>
        <vt:i4>4467</vt:i4>
      </vt:variant>
      <vt:variant>
        <vt:i4>0</vt:i4>
      </vt:variant>
      <vt:variant>
        <vt:i4>5</vt:i4>
      </vt:variant>
      <vt:variant>
        <vt:lpwstr>http://leapfroggroup.org/survey-materials/multi-campus-reporting-policy</vt:lpwstr>
      </vt:variant>
      <vt:variant>
        <vt:lpwstr/>
      </vt:variant>
      <vt:variant>
        <vt:i4>5963793</vt:i4>
      </vt:variant>
      <vt:variant>
        <vt:i4>4464</vt:i4>
      </vt:variant>
      <vt:variant>
        <vt:i4>0</vt:i4>
      </vt:variant>
      <vt:variant>
        <vt:i4>5</vt:i4>
      </vt:variant>
      <vt:variant>
        <vt:lpwstr>https://apps.who.int/iris/handle/10665/70046</vt:lpwstr>
      </vt:variant>
      <vt:variant>
        <vt:lpwstr/>
      </vt:variant>
      <vt:variant>
        <vt:i4>7929904</vt:i4>
      </vt:variant>
      <vt:variant>
        <vt:i4>4461</vt:i4>
      </vt:variant>
      <vt:variant>
        <vt:i4>0</vt:i4>
      </vt:variant>
      <vt:variant>
        <vt:i4>5</vt:i4>
      </vt:variant>
      <vt:variant>
        <vt:lpwstr>https://www.who.int/patientsafety/safesurgery/checklist/en/</vt:lpwstr>
      </vt:variant>
      <vt:variant>
        <vt:lpwstr/>
      </vt:variant>
      <vt:variant>
        <vt:i4>5832716</vt:i4>
      </vt:variant>
      <vt:variant>
        <vt:i4>4458</vt:i4>
      </vt:variant>
      <vt:variant>
        <vt:i4>0</vt:i4>
      </vt:variant>
      <vt:variant>
        <vt:i4>5</vt:i4>
      </vt:variant>
      <vt:variant>
        <vt:lpwstr>https://www.leapfroggroup.org/survey-materials/survey-and-cpoe-materials</vt:lpwstr>
      </vt:variant>
      <vt:variant>
        <vt:lpwstr/>
      </vt:variant>
      <vt:variant>
        <vt:i4>524307</vt:i4>
      </vt:variant>
      <vt:variant>
        <vt:i4>4455</vt:i4>
      </vt:variant>
      <vt:variant>
        <vt:i4>0</vt:i4>
      </vt:variant>
      <vt:variant>
        <vt:i4>5</vt:i4>
      </vt:variant>
      <vt:variant>
        <vt:lpwstr>https://www.ahrq.gov/hai/tools/ambulatory-surgery/sections/implementation/implementation-guide/app-e.html</vt:lpwstr>
      </vt:variant>
      <vt:variant>
        <vt:lpwstr/>
      </vt:variant>
      <vt:variant>
        <vt:i4>4587625</vt:i4>
      </vt:variant>
      <vt:variant>
        <vt:i4>4452</vt:i4>
      </vt:variant>
      <vt:variant>
        <vt:i4>0</vt:i4>
      </vt:variant>
      <vt:variant>
        <vt:i4>5</vt:i4>
      </vt:variant>
      <vt:variant>
        <vt:lpwstr>https://www.leapfroggroup.org/sites/default/files/Files/Implementation manual WHO surgical safety checklist 2009.pdf?token=_DzwbK1J</vt:lpwstr>
      </vt:variant>
      <vt:variant>
        <vt:lpwstr/>
      </vt:variant>
      <vt:variant>
        <vt:i4>4915273</vt:i4>
      </vt:variant>
      <vt:variant>
        <vt:i4>4449</vt:i4>
      </vt:variant>
      <vt:variant>
        <vt:i4>0</vt:i4>
      </vt:variant>
      <vt:variant>
        <vt:i4>5</vt:i4>
      </vt:variant>
      <vt:variant>
        <vt:lpwstr>https://www.who.int/teams/integrated-health-services/patient-safety/research/safe-surgery</vt:lpwstr>
      </vt:variant>
      <vt:variant>
        <vt:lpwstr/>
      </vt:variant>
      <vt:variant>
        <vt:i4>7798907</vt:i4>
      </vt:variant>
      <vt:variant>
        <vt:i4>4446</vt:i4>
      </vt:variant>
      <vt:variant>
        <vt:i4>0</vt:i4>
      </vt:variant>
      <vt:variant>
        <vt:i4>5</vt:i4>
      </vt:variant>
      <vt:variant>
        <vt:lpwstr>http://leapfroggroup.org/survey-materials/multi-campus-reporting-policy</vt:lpwstr>
      </vt:variant>
      <vt:variant>
        <vt:lpwstr/>
      </vt:variant>
      <vt:variant>
        <vt:i4>4325454</vt:i4>
      </vt:variant>
      <vt:variant>
        <vt:i4>4443</vt:i4>
      </vt:variant>
      <vt:variant>
        <vt:i4>0</vt:i4>
      </vt:variant>
      <vt:variant>
        <vt:i4>5</vt:i4>
      </vt:variant>
      <vt:variant>
        <vt:lpwstr>https://leapfroghelpdesk.zendesk.com/hc/en-us</vt:lpwstr>
      </vt:variant>
      <vt:variant>
        <vt:lpwstr/>
      </vt:variant>
      <vt:variant>
        <vt:i4>8061028</vt:i4>
      </vt:variant>
      <vt:variant>
        <vt:i4>4440</vt:i4>
      </vt:variant>
      <vt:variant>
        <vt:i4>0</vt:i4>
      </vt:variant>
      <vt:variant>
        <vt:i4>5</vt:i4>
      </vt:variant>
      <vt:variant>
        <vt:lpwstr/>
      </vt:variant>
      <vt:variant>
        <vt:lpwstr>_Volume_of_Procedures_4</vt:lpwstr>
      </vt:variant>
      <vt:variant>
        <vt:i4>1179658</vt:i4>
      </vt:variant>
      <vt:variant>
        <vt:i4>4437</vt:i4>
      </vt:variant>
      <vt:variant>
        <vt:i4>0</vt:i4>
      </vt:variant>
      <vt:variant>
        <vt:i4>5</vt:i4>
      </vt:variant>
      <vt:variant>
        <vt:lpwstr>https://survey.leapfroggroup.org/login?destination=dashboard</vt:lpwstr>
      </vt:variant>
      <vt:variant>
        <vt:lpwstr/>
      </vt:variant>
      <vt:variant>
        <vt:i4>1179658</vt:i4>
      </vt:variant>
      <vt:variant>
        <vt:i4>4434</vt:i4>
      </vt:variant>
      <vt:variant>
        <vt:i4>0</vt:i4>
      </vt:variant>
      <vt:variant>
        <vt:i4>5</vt:i4>
      </vt:variant>
      <vt:variant>
        <vt:lpwstr>https://survey.leapfroggroup.org/login?destination=dashboard</vt:lpwstr>
      </vt:variant>
      <vt:variant>
        <vt:lpwstr/>
      </vt:variant>
      <vt:variant>
        <vt:i4>1179658</vt:i4>
      </vt:variant>
      <vt:variant>
        <vt:i4>4431</vt:i4>
      </vt:variant>
      <vt:variant>
        <vt:i4>0</vt:i4>
      </vt:variant>
      <vt:variant>
        <vt:i4>5</vt:i4>
      </vt:variant>
      <vt:variant>
        <vt:lpwstr>https://survey.leapfroggroup.org/login?destination=dashboard</vt:lpwstr>
      </vt:variant>
      <vt:variant>
        <vt:lpwstr/>
      </vt:variant>
      <vt:variant>
        <vt:i4>1179658</vt:i4>
      </vt:variant>
      <vt:variant>
        <vt:i4>4428</vt:i4>
      </vt:variant>
      <vt:variant>
        <vt:i4>0</vt:i4>
      </vt:variant>
      <vt:variant>
        <vt:i4>5</vt:i4>
      </vt:variant>
      <vt:variant>
        <vt:lpwstr>https://survey.leapfroggroup.org/login?destination=dashboard</vt:lpwstr>
      </vt:variant>
      <vt:variant>
        <vt:lpwstr/>
      </vt:variant>
      <vt:variant>
        <vt:i4>1179658</vt:i4>
      </vt:variant>
      <vt:variant>
        <vt:i4>4425</vt:i4>
      </vt:variant>
      <vt:variant>
        <vt:i4>0</vt:i4>
      </vt:variant>
      <vt:variant>
        <vt:i4>5</vt:i4>
      </vt:variant>
      <vt:variant>
        <vt:lpwstr>https://survey.leapfroggroup.org/login?destination=dashboard</vt:lpwstr>
      </vt:variant>
      <vt:variant>
        <vt:lpwstr/>
      </vt:variant>
      <vt:variant>
        <vt:i4>1179658</vt:i4>
      </vt:variant>
      <vt:variant>
        <vt:i4>4422</vt:i4>
      </vt:variant>
      <vt:variant>
        <vt:i4>0</vt:i4>
      </vt:variant>
      <vt:variant>
        <vt:i4>5</vt:i4>
      </vt:variant>
      <vt:variant>
        <vt:lpwstr>https://survey.leapfroggroup.org/login?destination=dashboard</vt:lpwstr>
      </vt:variant>
      <vt:variant>
        <vt:lpwstr/>
      </vt:variant>
      <vt:variant>
        <vt:i4>1179658</vt:i4>
      </vt:variant>
      <vt:variant>
        <vt:i4>4419</vt:i4>
      </vt:variant>
      <vt:variant>
        <vt:i4>0</vt:i4>
      </vt:variant>
      <vt:variant>
        <vt:i4>5</vt:i4>
      </vt:variant>
      <vt:variant>
        <vt:lpwstr>https://survey.leapfroggroup.org/login?destination=dashboard</vt:lpwstr>
      </vt:variant>
      <vt:variant>
        <vt:lpwstr/>
      </vt:variant>
      <vt:variant>
        <vt:i4>1179658</vt:i4>
      </vt:variant>
      <vt:variant>
        <vt:i4>4416</vt:i4>
      </vt:variant>
      <vt:variant>
        <vt:i4>0</vt:i4>
      </vt:variant>
      <vt:variant>
        <vt:i4>5</vt:i4>
      </vt:variant>
      <vt:variant>
        <vt:lpwstr>https://survey.leapfroggroup.org/login?destination=dashboard</vt:lpwstr>
      </vt:variant>
      <vt:variant>
        <vt:lpwstr/>
      </vt:variant>
      <vt:variant>
        <vt:i4>1179658</vt:i4>
      </vt:variant>
      <vt:variant>
        <vt:i4>4413</vt:i4>
      </vt:variant>
      <vt:variant>
        <vt:i4>0</vt:i4>
      </vt:variant>
      <vt:variant>
        <vt:i4>5</vt:i4>
      </vt:variant>
      <vt:variant>
        <vt:lpwstr>https://survey.leapfroggroup.org/login?destination=dashboard</vt:lpwstr>
      </vt:variant>
      <vt:variant>
        <vt:lpwstr/>
      </vt:variant>
      <vt:variant>
        <vt:i4>1900576</vt:i4>
      </vt:variant>
      <vt:variant>
        <vt:i4>4410</vt:i4>
      </vt:variant>
      <vt:variant>
        <vt:i4>0</vt:i4>
      </vt:variant>
      <vt:variant>
        <vt:i4>5</vt:i4>
      </vt:variant>
      <vt:variant>
        <vt:lpwstr/>
      </vt:variant>
      <vt:variant>
        <vt:lpwstr>_Otolaryngology_Measure_Specificatio</vt:lpwstr>
      </vt:variant>
      <vt:variant>
        <vt:i4>6422622</vt:i4>
      </vt:variant>
      <vt:variant>
        <vt:i4>4407</vt:i4>
      </vt:variant>
      <vt:variant>
        <vt:i4>0</vt:i4>
      </vt:variant>
      <vt:variant>
        <vt:i4>5</vt:i4>
      </vt:variant>
      <vt:variant>
        <vt:lpwstr/>
      </vt:variant>
      <vt:variant>
        <vt:lpwstr>_Orthopedic_Measure_Specifications</vt:lpwstr>
      </vt:variant>
      <vt:variant>
        <vt:i4>1441845</vt:i4>
      </vt:variant>
      <vt:variant>
        <vt:i4>4404</vt:i4>
      </vt:variant>
      <vt:variant>
        <vt:i4>0</vt:i4>
      </vt:variant>
      <vt:variant>
        <vt:i4>5</vt:i4>
      </vt:variant>
      <vt:variant>
        <vt:lpwstr/>
      </vt:variant>
      <vt:variant>
        <vt:lpwstr>_Ophthalmology_Measure_Specification</vt:lpwstr>
      </vt:variant>
      <vt:variant>
        <vt:i4>8323142</vt:i4>
      </vt:variant>
      <vt:variant>
        <vt:i4>4401</vt:i4>
      </vt:variant>
      <vt:variant>
        <vt:i4>0</vt:i4>
      </vt:variant>
      <vt:variant>
        <vt:i4>5</vt:i4>
      </vt:variant>
      <vt:variant>
        <vt:lpwstr/>
      </vt:variant>
      <vt:variant>
        <vt:lpwstr>_Plastic_and_Reconstructive</vt:lpwstr>
      </vt:variant>
      <vt:variant>
        <vt:i4>6488131</vt:i4>
      </vt:variant>
      <vt:variant>
        <vt:i4>4398</vt:i4>
      </vt:variant>
      <vt:variant>
        <vt:i4>0</vt:i4>
      </vt:variant>
      <vt:variant>
        <vt:i4>5</vt:i4>
      </vt:variant>
      <vt:variant>
        <vt:lpwstr/>
      </vt:variant>
      <vt:variant>
        <vt:lpwstr>_Obstetrics_and_Gynecology</vt:lpwstr>
      </vt:variant>
      <vt:variant>
        <vt:i4>1507368</vt:i4>
      </vt:variant>
      <vt:variant>
        <vt:i4>4395</vt:i4>
      </vt:variant>
      <vt:variant>
        <vt:i4>0</vt:i4>
      </vt:variant>
      <vt:variant>
        <vt:i4>5</vt:i4>
      </vt:variant>
      <vt:variant>
        <vt:lpwstr/>
      </vt:variant>
      <vt:variant>
        <vt:lpwstr>_Neurological_Surgery_Measure</vt:lpwstr>
      </vt:variant>
      <vt:variant>
        <vt:i4>6291535</vt:i4>
      </vt:variant>
      <vt:variant>
        <vt:i4>4392</vt:i4>
      </vt:variant>
      <vt:variant>
        <vt:i4>0</vt:i4>
      </vt:variant>
      <vt:variant>
        <vt:i4>5</vt:i4>
      </vt:variant>
      <vt:variant>
        <vt:lpwstr/>
      </vt:variant>
      <vt:variant>
        <vt:lpwstr>_Urology_Measure_Specifications</vt:lpwstr>
      </vt:variant>
      <vt:variant>
        <vt:i4>1441850</vt:i4>
      </vt:variant>
      <vt:variant>
        <vt:i4>4389</vt:i4>
      </vt:variant>
      <vt:variant>
        <vt:i4>0</vt:i4>
      </vt:variant>
      <vt:variant>
        <vt:i4>5</vt:i4>
      </vt:variant>
      <vt:variant>
        <vt:lpwstr/>
      </vt:variant>
      <vt:variant>
        <vt:lpwstr>_General_Surgery_Measure</vt:lpwstr>
      </vt:variant>
      <vt:variant>
        <vt:i4>524348</vt:i4>
      </vt:variant>
      <vt:variant>
        <vt:i4>4386</vt:i4>
      </vt:variant>
      <vt:variant>
        <vt:i4>0</vt:i4>
      </vt:variant>
      <vt:variant>
        <vt:i4>5</vt:i4>
      </vt:variant>
      <vt:variant>
        <vt:lpwstr/>
      </vt:variant>
      <vt:variant>
        <vt:lpwstr>_Gastroenterology_Measure_Specificat</vt:lpwstr>
      </vt:variant>
      <vt:variant>
        <vt:i4>1900576</vt:i4>
      </vt:variant>
      <vt:variant>
        <vt:i4>4383</vt:i4>
      </vt:variant>
      <vt:variant>
        <vt:i4>0</vt:i4>
      </vt:variant>
      <vt:variant>
        <vt:i4>5</vt:i4>
      </vt:variant>
      <vt:variant>
        <vt:lpwstr/>
      </vt:variant>
      <vt:variant>
        <vt:lpwstr>_Otolaryngology_Measure_Specificatio</vt:lpwstr>
      </vt:variant>
      <vt:variant>
        <vt:i4>6422622</vt:i4>
      </vt:variant>
      <vt:variant>
        <vt:i4>4380</vt:i4>
      </vt:variant>
      <vt:variant>
        <vt:i4>0</vt:i4>
      </vt:variant>
      <vt:variant>
        <vt:i4>5</vt:i4>
      </vt:variant>
      <vt:variant>
        <vt:lpwstr/>
      </vt:variant>
      <vt:variant>
        <vt:lpwstr>_Orthopedic_Measure_Specifications</vt:lpwstr>
      </vt:variant>
      <vt:variant>
        <vt:i4>1441845</vt:i4>
      </vt:variant>
      <vt:variant>
        <vt:i4>4377</vt:i4>
      </vt:variant>
      <vt:variant>
        <vt:i4>0</vt:i4>
      </vt:variant>
      <vt:variant>
        <vt:i4>5</vt:i4>
      </vt:variant>
      <vt:variant>
        <vt:lpwstr/>
      </vt:variant>
      <vt:variant>
        <vt:lpwstr>_Ophthalmology_Measure_Specification</vt:lpwstr>
      </vt:variant>
      <vt:variant>
        <vt:i4>1900576</vt:i4>
      </vt:variant>
      <vt:variant>
        <vt:i4>4374</vt:i4>
      </vt:variant>
      <vt:variant>
        <vt:i4>0</vt:i4>
      </vt:variant>
      <vt:variant>
        <vt:i4>5</vt:i4>
      </vt:variant>
      <vt:variant>
        <vt:lpwstr/>
      </vt:variant>
      <vt:variant>
        <vt:lpwstr>_Otolaryngology_Measure_Specificatio</vt:lpwstr>
      </vt:variant>
      <vt:variant>
        <vt:i4>6422622</vt:i4>
      </vt:variant>
      <vt:variant>
        <vt:i4>4371</vt:i4>
      </vt:variant>
      <vt:variant>
        <vt:i4>0</vt:i4>
      </vt:variant>
      <vt:variant>
        <vt:i4>5</vt:i4>
      </vt:variant>
      <vt:variant>
        <vt:lpwstr/>
      </vt:variant>
      <vt:variant>
        <vt:lpwstr>_Orthopedic_Measure_Specifications</vt:lpwstr>
      </vt:variant>
      <vt:variant>
        <vt:i4>1441845</vt:i4>
      </vt:variant>
      <vt:variant>
        <vt:i4>4368</vt:i4>
      </vt:variant>
      <vt:variant>
        <vt:i4>0</vt:i4>
      </vt:variant>
      <vt:variant>
        <vt:i4>5</vt:i4>
      </vt:variant>
      <vt:variant>
        <vt:lpwstr/>
      </vt:variant>
      <vt:variant>
        <vt:lpwstr>_Ophthalmology_Measure_Specification</vt:lpwstr>
      </vt:variant>
      <vt:variant>
        <vt:i4>8323142</vt:i4>
      </vt:variant>
      <vt:variant>
        <vt:i4>4365</vt:i4>
      </vt:variant>
      <vt:variant>
        <vt:i4>0</vt:i4>
      </vt:variant>
      <vt:variant>
        <vt:i4>5</vt:i4>
      </vt:variant>
      <vt:variant>
        <vt:lpwstr/>
      </vt:variant>
      <vt:variant>
        <vt:lpwstr>_Plastic_and_Reconstructive</vt:lpwstr>
      </vt:variant>
      <vt:variant>
        <vt:i4>1179684</vt:i4>
      </vt:variant>
      <vt:variant>
        <vt:i4>4362</vt:i4>
      </vt:variant>
      <vt:variant>
        <vt:i4>0</vt:i4>
      </vt:variant>
      <vt:variant>
        <vt:i4>5</vt:i4>
      </vt:variant>
      <vt:variant>
        <vt:lpwstr/>
      </vt:variant>
      <vt:variant>
        <vt:lpwstr>ObstetricsGynecology_MeasureSpecs</vt:lpwstr>
      </vt:variant>
      <vt:variant>
        <vt:i4>1507368</vt:i4>
      </vt:variant>
      <vt:variant>
        <vt:i4>4359</vt:i4>
      </vt:variant>
      <vt:variant>
        <vt:i4>0</vt:i4>
      </vt:variant>
      <vt:variant>
        <vt:i4>5</vt:i4>
      </vt:variant>
      <vt:variant>
        <vt:lpwstr/>
      </vt:variant>
      <vt:variant>
        <vt:lpwstr>_Neurological_Surgery_Measure</vt:lpwstr>
      </vt:variant>
      <vt:variant>
        <vt:i4>786470</vt:i4>
      </vt:variant>
      <vt:variant>
        <vt:i4>4356</vt:i4>
      </vt:variant>
      <vt:variant>
        <vt:i4>0</vt:i4>
      </vt:variant>
      <vt:variant>
        <vt:i4>5</vt:i4>
      </vt:variant>
      <vt:variant>
        <vt:lpwstr/>
      </vt:variant>
      <vt:variant>
        <vt:lpwstr>_Urology</vt:lpwstr>
      </vt:variant>
      <vt:variant>
        <vt:i4>1441850</vt:i4>
      </vt:variant>
      <vt:variant>
        <vt:i4>4353</vt:i4>
      </vt:variant>
      <vt:variant>
        <vt:i4>0</vt:i4>
      </vt:variant>
      <vt:variant>
        <vt:i4>5</vt:i4>
      </vt:variant>
      <vt:variant>
        <vt:lpwstr/>
      </vt:variant>
      <vt:variant>
        <vt:lpwstr>_General_Surgery_Measure</vt:lpwstr>
      </vt:variant>
      <vt:variant>
        <vt:i4>524348</vt:i4>
      </vt:variant>
      <vt:variant>
        <vt:i4>4350</vt:i4>
      </vt:variant>
      <vt:variant>
        <vt:i4>0</vt:i4>
      </vt:variant>
      <vt:variant>
        <vt:i4>5</vt:i4>
      </vt:variant>
      <vt:variant>
        <vt:lpwstr/>
      </vt:variant>
      <vt:variant>
        <vt:lpwstr>_Gastroenterology_Measure_Specificat</vt:lpwstr>
      </vt:variant>
      <vt:variant>
        <vt:i4>1900576</vt:i4>
      </vt:variant>
      <vt:variant>
        <vt:i4>4347</vt:i4>
      </vt:variant>
      <vt:variant>
        <vt:i4>0</vt:i4>
      </vt:variant>
      <vt:variant>
        <vt:i4>5</vt:i4>
      </vt:variant>
      <vt:variant>
        <vt:lpwstr/>
      </vt:variant>
      <vt:variant>
        <vt:lpwstr>_Otolaryngology_Measure_Specificatio</vt:lpwstr>
      </vt:variant>
      <vt:variant>
        <vt:i4>6422622</vt:i4>
      </vt:variant>
      <vt:variant>
        <vt:i4>4344</vt:i4>
      </vt:variant>
      <vt:variant>
        <vt:i4>0</vt:i4>
      </vt:variant>
      <vt:variant>
        <vt:i4>5</vt:i4>
      </vt:variant>
      <vt:variant>
        <vt:lpwstr/>
      </vt:variant>
      <vt:variant>
        <vt:lpwstr>_Orthopedic_Measure_Specifications</vt:lpwstr>
      </vt:variant>
      <vt:variant>
        <vt:i4>1441845</vt:i4>
      </vt:variant>
      <vt:variant>
        <vt:i4>4341</vt:i4>
      </vt:variant>
      <vt:variant>
        <vt:i4>0</vt:i4>
      </vt:variant>
      <vt:variant>
        <vt:i4>5</vt:i4>
      </vt:variant>
      <vt:variant>
        <vt:lpwstr/>
      </vt:variant>
      <vt:variant>
        <vt:lpwstr>_Ophthalmology_Measure_Specification</vt:lpwstr>
      </vt:variant>
      <vt:variant>
        <vt:i4>7798907</vt:i4>
      </vt:variant>
      <vt:variant>
        <vt:i4>4338</vt:i4>
      </vt:variant>
      <vt:variant>
        <vt:i4>0</vt:i4>
      </vt:variant>
      <vt:variant>
        <vt:i4>5</vt:i4>
      </vt:variant>
      <vt:variant>
        <vt:lpwstr>http://leapfroggroup.org/survey-materials/multi-campus-reporting-policy</vt:lpwstr>
      </vt:variant>
      <vt:variant>
        <vt:lpwstr/>
      </vt:variant>
      <vt:variant>
        <vt:i4>4390940</vt:i4>
      </vt:variant>
      <vt:variant>
        <vt:i4>4335</vt:i4>
      </vt:variant>
      <vt:variant>
        <vt:i4>0</vt:i4>
      </vt:variant>
      <vt:variant>
        <vt:i4>5</vt:i4>
      </vt:variant>
      <vt:variant>
        <vt:lpwstr>https://www.leapfroggroup.org/survey-materials/multi-campus-reporting-policy</vt:lpwstr>
      </vt:variant>
      <vt:variant>
        <vt:lpwstr/>
      </vt:variant>
      <vt:variant>
        <vt:i4>3014783</vt:i4>
      </vt:variant>
      <vt:variant>
        <vt:i4>4332</vt:i4>
      </vt:variant>
      <vt:variant>
        <vt:i4>0</vt:i4>
      </vt:variant>
      <vt:variant>
        <vt:i4>5</vt:i4>
      </vt:variant>
      <vt:variant>
        <vt:lpwstr>https://data.cms.gov/provider-data</vt:lpwstr>
      </vt:variant>
      <vt:variant>
        <vt:lpwstr/>
      </vt:variant>
      <vt:variant>
        <vt:i4>2359343</vt:i4>
      </vt:variant>
      <vt:variant>
        <vt:i4>4329</vt:i4>
      </vt:variant>
      <vt:variant>
        <vt:i4>0</vt:i4>
      </vt:variant>
      <vt:variant>
        <vt:i4>5</vt:i4>
      </vt:variant>
      <vt:variant>
        <vt:lpwstr>https://ratings.leapfroggroup.org/</vt:lpwstr>
      </vt:variant>
      <vt:variant>
        <vt:lpwstr/>
      </vt:variant>
      <vt:variant>
        <vt:i4>6946904</vt:i4>
      </vt:variant>
      <vt:variant>
        <vt:i4>4323</vt:i4>
      </vt:variant>
      <vt:variant>
        <vt:i4>0</vt:i4>
      </vt:variant>
      <vt:variant>
        <vt:i4>5</vt:i4>
      </vt:variant>
      <vt:variant>
        <vt:lpwstr/>
      </vt:variant>
      <vt:variant>
        <vt:lpwstr>Endnote48_TopBox</vt:lpwstr>
      </vt:variant>
      <vt:variant>
        <vt:i4>3014783</vt:i4>
      </vt:variant>
      <vt:variant>
        <vt:i4>4320</vt:i4>
      </vt:variant>
      <vt:variant>
        <vt:i4>0</vt:i4>
      </vt:variant>
      <vt:variant>
        <vt:i4>5</vt:i4>
      </vt:variant>
      <vt:variant>
        <vt:lpwstr>https://data.cms.gov/provider-data/</vt:lpwstr>
      </vt:variant>
      <vt:variant>
        <vt:lpwstr/>
      </vt:variant>
      <vt:variant>
        <vt:i4>3604560</vt:i4>
      </vt:variant>
      <vt:variant>
        <vt:i4>4317</vt:i4>
      </vt:variant>
      <vt:variant>
        <vt:i4>0</vt:i4>
      </vt:variant>
      <vt:variant>
        <vt:i4>5</vt:i4>
      </vt:variant>
      <vt:variant>
        <vt:lpwstr/>
      </vt:variant>
      <vt:variant>
        <vt:lpwstr>_Patient_Experience_(OAS</vt:lpwstr>
      </vt:variant>
      <vt:variant>
        <vt:i4>1310756</vt:i4>
      </vt:variant>
      <vt:variant>
        <vt:i4>4314</vt:i4>
      </vt:variant>
      <vt:variant>
        <vt:i4>0</vt:i4>
      </vt:variant>
      <vt:variant>
        <vt:i4>5</vt:i4>
      </vt:variant>
      <vt:variant>
        <vt:lpwstr/>
      </vt:variant>
      <vt:variant>
        <vt:lpwstr>medadverse_q6</vt:lpwstr>
      </vt:variant>
      <vt:variant>
        <vt:i4>327722</vt:i4>
      </vt:variant>
      <vt:variant>
        <vt:i4>4311</vt:i4>
      </vt:variant>
      <vt:variant>
        <vt:i4>0</vt:i4>
      </vt:variant>
      <vt:variant>
        <vt:i4>5</vt:i4>
      </vt:variant>
      <vt:variant>
        <vt:lpwstr/>
      </vt:variant>
      <vt:variant>
        <vt:lpwstr>medadminvisits_q5</vt:lpwstr>
      </vt:variant>
      <vt:variant>
        <vt:i4>3866624</vt:i4>
      </vt:variant>
      <vt:variant>
        <vt:i4>4308</vt:i4>
      </vt:variant>
      <vt:variant>
        <vt:i4>0</vt:i4>
      </vt:variant>
      <vt:variant>
        <vt:i4>5</vt:i4>
      </vt:variant>
      <vt:variant>
        <vt:lpwstr/>
      </vt:variant>
      <vt:variant>
        <vt:lpwstr>MedSafety_HomeMedications</vt:lpwstr>
      </vt:variant>
      <vt:variant>
        <vt:i4>7733358</vt:i4>
      </vt:variant>
      <vt:variant>
        <vt:i4>4305</vt:i4>
      </vt:variant>
      <vt:variant>
        <vt:i4>0</vt:i4>
      </vt:variant>
      <vt:variant>
        <vt:i4>5</vt:i4>
      </vt:variant>
      <vt:variant>
        <vt:lpwstr/>
      </vt:variant>
      <vt:variant>
        <vt:lpwstr>MedAllergySufficientSample</vt:lpwstr>
      </vt:variant>
      <vt:variant>
        <vt:i4>7733358</vt:i4>
      </vt:variant>
      <vt:variant>
        <vt:i4>4302</vt:i4>
      </vt:variant>
      <vt:variant>
        <vt:i4>0</vt:i4>
      </vt:variant>
      <vt:variant>
        <vt:i4>5</vt:i4>
      </vt:variant>
      <vt:variant>
        <vt:lpwstr/>
      </vt:variant>
      <vt:variant>
        <vt:lpwstr>MedAllergySufficientSample</vt:lpwstr>
      </vt:variant>
      <vt:variant>
        <vt:i4>7667771</vt:i4>
      </vt:variant>
      <vt:variant>
        <vt:i4>4299</vt:i4>
      </vt:variant>
      <vt:variant>
        <vt:i4>0</vt:i4>
      </vt:variant>
      <vt:variant>
        <vt:i4>5</vt:i4>
      </vt:variant>
      <vt:variant>
        <vt:lpwstr/>
      </vt:variant>
      <vt:variant>
        <vt:lpwstr>_Medication_Safety_for_2</vt:lpwstr>
      </vt:variant>
      <vt:variant>
        <vt:i4>7733358</vt:i4>
      </vt:variant>
      <vt:variant>
        <vt:i4>4296</vt:i4>
      </vt:variant>
      <vt:variant>
        <vt:i4>0</vt:i4>
      </vt:variant>
      <vt:variant>
        <vt:i4>5</vt:i4>
      </vt:variant>
      <vt:variant>
        <vt:lpwstr/>
      </vt:variant>
      <vt:variant>
        <vt:lpwstr>MedAllergySufficientSample</vt:lpwstr>
      </vt:variant>
      <vt:variant>
        <vt:i4>7667771</vt:i4>
      </vt:variant>
      <vt:variant>
        <vt:i4>4290</vt:i4>
      </vt:variant>
      <vt:variant>
        <vt:i4>0</vt:i4>
      </vt:variant>
      <vt:variant>
        <vt:i4>5</vt:i4>
      </vt:variant>
      <vt:variant>
        <vt:lpwstr/>
      </vt:variant>
      <vt:variant>
        <vt:lpwstr>_Medication_Safety_for_2</vt:lpwstr>
      </vt:variant>
      <vt:variant>
        <vt:i4>1703941</vt:i4>
      </vt:variant>
      <vt:variant>
        <vt:i4>4284</vt:i4>
      </vt:variant>
      <vt:variant>
        <vt:i4>0</vt:i4>
      </vt:variant>
      <vt:variant>
        <vt:i4>5</vt:i4>
      </vt:variant>
      <vt:variant>
        <vt:lpwstr/>
      </vt:variant>
      <vt:variant>
        <vt:lpwstr>procedureroom</vt:lpwstr>
      </vt:variant>
      <vt:variant>
        <vt:i4>7143517</vt:i4>
      </vt:variant>
      <vt:variant>
        <vt:i4>4278</vt:i4>
      </vt:variant>
      <vt:variant>
        <vt:i4>0</vt:i4>
      </vt:variant>
      <vt:variant>
        <vt:i4>5</vt:i4>
      </vt:variant>
      <vt:variant>
        <vt:lpwstr/>
      </vt:variant>
      <vt:variant>
        <vt:lpwstr>Endnote49_OR</vt:lpwstr>
      </vt:variant>
      <vt:variant>
        <vt:i4>1245223</vt:i4>
      </vt:variant>
      <vt:variant>
        <vt:i4>4272</vt:i4>
      </vt:variant>
      <vt:variant>
        <vt:i4>0</vt:i4>
      </vt:variant>
      <vt:variant>
        <vt:i4>5</vt:i4>
      </vt:variant>
      <vt:variant>
        <vt:lpwstr/>
      </vt:variant>
      <vt:variant>
        <vt:lpwstr>Endnote19_ColocatedNICU</vt:lpwstr>
      </vt:variant>
      <vt:variant>
        <vt:i4>7798907</vt:i4>
      </vt:variant>
      <vt:variant>
        <vt:i4>4269</vt:i4>
      </vt:variant>
      <vt:variant>
        <vt:i4>0</vt:i4>
      </vt:variant>
      <vt:variant>
        <vt:i4>5</vt:i4>
      </vt:variant>
      <vt:variant>
        <vt:lpwstr>http://leapfroggroup.org/survey-materials/multi-campus-reporting-policy</vt:lpwstr>
      </vt:variant>
      <vt:variant>
        <vt:lpwstr/>
      </vt:variant>
      <vt:variant>
        <vt:i4>524339</vt:i4>
      </vt:variant>
      <vt:variant>
        <vt:i4>4266</vt:i4>
      </vt:variant>
      <vt:variant>
        <vt:i4>0</vt:i4>
      </vt:variant>
      <vt:variant>
        <vt:i4>5</vt:i4>
      </vt:variant>
      <vt:variant>
        <vt:lpwstr/>
      </vt:variant>
      <vt:variant>
        <vt:lpwstr>surgical_team</vt:lpwstr>
      </vt:variant>
      <vt:variant>
        <vt:i4>2228316</vt:i4>
      </vt:variant>
      <vt:variant>
        <vt:i4>4263</vt:i4>
      </vt:variant>
      <vt:variant>
        <vt:i4>0</vt:i4>
      </vt:variant>
      <vt:variant>
        <vt:i4>5</vt:i4>
      </vt:variant>
      <vt:variant>
        <vt:lpwstr/>
      </vt:variant>
      <vt:variant>
        <vt:lpwstr>clinicalteamintro_9d</vt:lpwstr>
      </vt:variant>
      <vt:variant>
        <vt:i4>524339</vt:i4>
      </vt:variant>
      <vt:variant>
        <vt:i4>4260</vt:i4>
      </vt:variant>
      <vt:variant>
        <vt:i4>0</vt:i4>
      </vt:variant>
      <vt:variant>
        <vt:i4>5</vt:i4>
      </vt:variant>
      <vt:variant>
        <vt:lpwstr/>
      </vt:variant>
      <vt:variant>
        <vt:lpwstr>surgical_team</vt:lpwstr>
      </vt:variant>
      <vt:variant>
        <vt:i4>4063286</vt:i4>
      </vt:variant>
      <vt:variant>
        <vt:i4>4257</vt:i4>
      </vt:variant>
      <vt:variant>
        <vt:i4>0</vt:i4>
      </vt:variant>
      <vt:variant>
        <vt:i4>5</vt:i4>
      </vt:variant>
      <vt:variant>
        <vt:lpwstr/>
      </vt:variant>
      <vt:variant>
        <vt:lpwstr>_Safe_Surgery_Checklist_3</vt:lpwstr>
      </vt:variant>
      <vt:variant>
        <vt:i4>6357058</vt:i4>
      </vt:variant>
      <vt:variant>
        <vt:i4>4251</vt:i4>
      </vt:variant>
      <vt:variant>
        <vt:i4>0</vt:i4>
      </vt:variant>
      <vt:variant>
        <vt:i4>5</vt:i4>
      </vt:variant>
      <vt:variant>
        <vt:lpwstr/>
      </vt:variant>
      <vt:variant>
        <vt:lpwstr>_Safe_Surgery_Checklist</vt:lpwstr>
      </vt:variant>
      <vt:variant>
        <vt:i4>1703941</vt:i4>
      </vt:variant>
      <vt:variant>
        <vt:i4>4245</vt:i4>
      </vt:variant>
      <vt:variant>
        <vt:i4>0</vt:i4>
      </vt:variant>
      <vt:variant>
        <vt:i4>5</vt:i4>
      </vt:variant>
      <vt:variant>
        <vt:lpwstr/>
      </vt:variant>
      <vt:variant>
        <vt:lpwstr>procedureroom</vt:lpwstr>
      </vt:variant>
      <vt:variant>
        <vt:i4>7143517</vt:i4>
      </vt:variant>
      <vt:variant>
        <vt:i4>4239</vt:i4>
      </vt:variant>
      <vt:variant>
        <vt:i4>0</vt:i4>
      </vt:variant>
      <vt:variant>
        <vt:i4>5</vt:i4>
      </vt:variant>
      <vt:variant>
        <vt:lpwstr/>
      </vt:variant>
      <vt:variant>
        <vt:lpwstr>Endnote49_OR</vt:lpwstr>
      </vt:variant>
      <vt:variant>
        <vt:i4>1245223</vt:i4>
      </vt:variant>
      <vt:variant>
        <vt:i4>4233</vt:i4>
      </vt:variant>
      <vt:variant>
        <vt:i4>0</vt:i4>
      </vt:variant>
      <vt:variant>
        <vt:i4>5</vt:i4>
      </vt:variant>
      <vt:variant>
        <vt:lpwstr/>
      </vt:variant>
      <vt:variant>
        <vt:lpwstr>Endnote19_ColocatedNICU</vt:lpwstr>
      </vt:variant>
      <vt:variant>
        <vt:i4>6357058</vt:i4>
      </vt:variant>
      <vt:variant>
        <vt:i4>4227</vt:i4>
      </vt:variant>
      <vt:variant>
        <vt:i4>0</vt:i4>
      </vt:variant>
      <vt:variant>
        <vt:i4>5</vt:i4>
      </vt:variant>
      <vt:variant>
        <vt:lpwstr/>
      </vt:variant>
      <vt:variant>
        <vt:lpwstr>_Safe_Surgery_Checklist</vt:lpwstr>
      </vt:variant>
      <vt:variant>
        <vt:i4>524307</vt:i4>
      </vt:variant>
      <vt:variant>
        <vt:i4>4224</vt:i4>
      </vt:variant>
      <vt:variant>
        <vt:i4>0</vt:i4>
      </vt:variant>
      <vt:variant>
        <vt:i4>5</vt:i4>
      </vt:variant>
      <vt:variant>
        <vt:lpwstr>https://www.ahrq.gov/hai/tools/ambulatory-surgery/sections/implementation/implementation-guide/app-e.html</vt:lpwstr>
      </vt:variant>
      <vt:variant>
        <vt:lpwstr/>
      </vt:variant>
      <vt:variant>
        <vt:i4>7929904</vt:i4>
      </vt:variant>
      <vt:variant>
        <vt:i4>4221</vt:i4>
      </vt:variant>
      <vt:variant>
        <vt:i4>0</vt:i4>
      </vt:variant>
      <vt:variant>
        <vt:i4>5</vt:i4>
      </vt:variant>
      <vt:variant>
        <vt:lpwstr>https://www.who.int/patientsafety/safesurgery/checklist/en/</vt:lpwstr>
      </vt:variant>
      <vt:variant>
        <vt:lpwstr/>
      </vt:variant>
      <vt:variant>
        <vt:i4>7798907</vt:i4>
      </vt:variant>
      <vt:variant>
        <vt:i4>4218</vt:i4>
      </vt:variant>
      <vt:variant>
        <vt:i4>0</vt:i4>
      </vt:variant>
      <vt:variant>
        <vt:i4>5</vt:i4>
      </vt:variant>
      <vt:variant>
        <vt:lpwstr>http://leapfroggroup.org/survey-materials/multi-campus-reporting-policy</vt:lpwstr>
      </vt:variant>
      <vt:variant>
        <vt:lpwstr/>
      </vt:variant>
      <vt:variant>
        <vt:i4>8061028</vt:i4>
      </vt:variant>
      <vt:variant>
        <vt:i4>4215</vt:i4>
      </vt:variant>
      <vt:variant>
        <vt:i4>0</vt:i4>
      </vt:variant>
      <vt:variant>
        <vt:i4>5</vt:i4>
      </vt:variant>
      <vt:variant>
        <vt:lpwstr/>
      </vt:variant>
      <vt:variant>
        <vt:lpwstr>_Volume_of_Procedures_2</vt:lpwstr>
      </vt:variant>
      <vt:variant>
        <vt:i4>1703941</vt:i4>
      </vt:variant>
      <vt:variant>
        <vt:i4>4209</vt:i4>
      </vt:variant>
      <vt:variant>
        <vt:i4>0</vt:i4>
      </vt:variant>
      <vt:variant>
        <vt:i4>5</vt:i4>
      </vt:variant>
      <vt:variant>
        <vt:lpwstr/>
      </vt:variant>
      <vt:variant>
        <vt:lpwstr>procedureroom</vt:lpwstr>
      </vt:variant>
      <vt:variant>
        <vt:i4>7143517</vt:i4>
      </vt:variant>
      <vt:variant>
        <vt:i4>4203</vt:i4>
      </vt:variant>
      <vt:variant>
        <vt:i4>0</vt:i4>
      </vt:variant>
      <vt:variant>
        <vt:i4>5</vt:i4>
      </vt:variant>
      <vt:variant>
        <vt:lpwstr/>
      </vt:variant>
      <vt:variant>
        <vt:lpwstr>Endnote49_OR</vt:lpwstr>
      </vt:variant>
      <vt:variant>
        <vt:i4>1245223</vt:i4>
      </vt:variant>
      <vt:variant>
        <vt:i4>4197</vt:i4>
      </vt:variant>
      <vt:variant>
        <vt:i4>0</vt:i4>
      </vt:variant>
      <vt:variant>
        <vt:i4>5</vt:i4>
      </vt:variant>
      <vt:variant>
        <vt:lpwstr/>
      </vt:variant>
      <vt:variant>
        <vt:lpwstr>Endnote19_ColocatedNICU</vt:lpwstr>
      </vt:variant>
      <vt:variant>
        <vt:i4>7798907</vt:i4>
      </vt:variant>
      <vt:variant>
        <vt:i4>4194</vt:i4>
      </vt:variant>
      <vt:variant>
        <vt:i4>0</vt:i4>
      </vt:variant>
      <vt:variant>
        <vt:i4>5</vt:i4>
      </vt:variant>
      <vt:variant>
        <vt:lpwstr>http://leapfroggroup.org/survey-materials/multi-campus-reporting-policy</vt:lpwstr>
      </vt:variant>
      <vt:variant>
        <vt:lpwstr/>
      </vt:variant>
      <vt:variant>
        <vt:i4>720912</vt:i4>
      </vt:variant>
      <vt:variant>
        <vt:i4>4191</vt:i4>
      </vt:variant>
      <vt:variant>
        <vt:i4>0</vt:i4>
      </vt:variant>
      <vt:variant>
        <vt:i4>5</vt:i4>
      </vt:variant>
      <vt:variant>
        <vt:lpwstr/>
      </vt:variant>
      <vt:variant>
        <vt:lpwstr>clinicianendnote</vt:lpwstr>
      </vt:variant>
      <vt:variant>
        <vt:i4>720912</vt:i4>
      </vt:variant>
      <vt:variant>
        <vt:i4>4188</vt:i4>
      </vt:variant>
      <vt:variant>
        <vt:i4>0</vt:i4>
      </vt:variant>
      <vt:variant>
        <vt:i4>5</vt:i4>
      </vt:variant>
      <vt:variant>
        <vt:lpwstr/>
      </vt:variant>
      <vt:variant>
        <vt:lpwstr>clinicianendnote</vt:lpwstr>
      </vt:variant>
      <vt:variant>
        <vt:i4>720912</vt:i4>
      </vt:variant>
      <vt:variant>
        <vt:i4>4185</vt:i4>
      </vt:variant>
      <vt:variant>
        <vt:i4>0</vt:i4>
      </vt:variant>
      <vt:variant>
        <vt:i4>5</vt:i4>
      </vt:variant>
      <vt:variant>
        <vt:lpwstr/>
      </vt:variant>
      <vt:variant>
        <vt:lpwstr>clinicianendnote</vt:lpwstr>
      </vt:variant>
      <vt:variant>
        <vt:i4>720912</vt:i4>
      </vt:variant>
      <vt:variant>
        <vt:i4>4182</vt:i4>
      </vt:variant>
      <vt:variant>
        <vt:i4>0</vt:i4>
      </vt:variant>
      <vt:variant>
        <vt:i4>5</vt:i4>
      </vt:variant>
      <vt:variant>
        <vt:lpwstr/>
      </vt:variant>
      <vt:variant>
        <vt:lpwstr>clinicianendnote</vt:lpwstr>
      </vt:variant>
      <vt:variant>
        <vt:i4>7667802</vt:i4>
      </vt:variant>
      <vt:variant>
        <vt:i4>4176</vt:i4>
      </vt:variant>
      <vt:variant>
        <vt:i4>0</vt:i4>
      </vt:variant>
      <vt:variant>
        <vt:i4>5</vt:i4>
      </vt:variant>
      <vt:variant>
        <vt:lpwstr/>
      </vt:variant>
      <vt:variant>
        <vt:lpwstr>_Medical,_Surgical,_and</vt:lpwstr>
      </vt:variant>
      <vt:variant>
        <vt:i4>1703941</vt:i4>
      </vt:variant>
      <vt:variant>
        <vt:i4>4170</vt:i4>
      </vt:variant>
      <vt:variant>
        <vt:i4>0</vt:i4>
      </vt:variant>
      <vt:variant>
        <vt:i4>5</vt:i4>
      </vt:variant>
      <vt:variant>
        <vt:lpwstr/>
      </vt:variant>
      <vt:variant>
        <vt:lpwstr>procedureroom</vt:lpwstr>
      </vt:variant>
      <vt:variant>
        <vt:i4>7143517</vt:i4>
      </vt:variant>
      <vt:variant>
        <vt:i4>4164</vt:i4>
      </vt:variant>
      <vt:variant>
        <vt:i4>0</vt:i4>
      </vt:variant>
      <vt:variant>
        <vt:i4>5</vt:i4>
      </vt:variant>
      <vt:variant>
        <vt:lpwstr/>
      </vt:variant>
      <vt:variant>
        <vt:lpwstr>Endnote49_OR</vt:lpwstr>
      </vt:variant>
      <vt:variant>
        <vt:i4>1245223</vt:i4>
      </vt:variant>
      <vt:variant>
        <vt:i4>4158</vt:i4>
      </vt:variant>
      <vt:variant>
        <vt:i4>0</vt:i4>
      </vt:variant>
      <vt:variant>
        <vt:i4>5</vt:i4>
      </vt:variant>
      <vt:variant>
        <vt:lpwstr/>
      </vt:variant>
      <vt:variant>
        <vt:lpwstr>Endnote19_ColocatedNICU</vt:lpwstr>
      </vt:variant>
      <vt:variant>
        <vt:i4>7798907</vt:i4>
      </vt:variant>
      <vt:variant>
        <vt:i4>4155</vt:i4>
      </vt:variant>
      <vt:variant>
        <vt:i4>0</vt:i4>
      </vt:variant>
      <vt:variant>
        <vt:i4>5</vt:i4>
      </vt:variant>
      <vt:variant>
        <vt:lpwstr>http://leapfroggroup.org/survey-materials/multi-campus-reporting-policy</vt:lpwstr>
      </vt:variant>
      <vt:variant>
        <vt:lpwstr/>
      </vt:variant>
      <vt:variant>
        <vt:i4>1703941</vt:i4>
      </vt:variant>
      <vt:variant>
        <vt:i4>4152</vt:i4>
      </vt:variant>
      <vt:variant>
        <vt:i4>0</vt:i4>
      </vt:variant>
      <vt:variant>
        <vt:i4>5</vt:i4>
      </vt:variant>
      <vt:variant>
        <vt:lpwstr/>
      </vt:variant>
      <vt:variant>
        <vt:lpwstr>procedureroom</vt:lpwstr>
      </vt:variant>
      <vt:variant>
        <vt:i4>7143517</vt:i4>
      </vt:variant>
      <vt:variant>
        <vt:i4>4149</vt:i4>
      </vt:variant>
      <vt:variant>
        <vt:i4>0</vt:i4>
      </vt:variant>
      <vt:variant>
        <vt:i4>5</vt:i4>
      </vt:variant>
      <vt:variant>
        <vt:lpwstr/>
      </vt:variant>
      <vt:variant>
        <vt:lpwstr>Endnote49_OR</vt:lpwstr>
      </vt:variant>
      <vt:variant>
        <vt:i4>1245223</vt:i4>
      </vt:variant>
      <vt:variant>
        <vt:i4>4146</vt:i4>
      </vt:variant>
      <vt:variant>
        <vt:i4>0</vt:i4>
      </vt:variant>
      <vt:variant>
        <vt:i4>5</vt:i4>
      </vt:variant>
      <vt:variant>
        <vt:lpwstr/>
      </vt:variant>
      <vt:variant>
        <vt:lpwstr>Endnote19_ColocatedNICU</vt:lpwstr>
      </vt:variant>
      <vt:variant>
        <vt:i4>1703941</vt:i4>
      </vt:variant>
      <vt:variant>
        <vt:i4>4140</vt:i4>
      </vt:variant>
      <vt:variant>
        <vt:i4>0</vt:i4>
      </vt:variant>
      <vt:variant>
        <vt:i4>5</vt:i4>
      </vt:variant>
      <vt:variant>
        <vt:lpwstr/>
      </vt:variant>
      <vt:variant>
        <vt:lpwstr>procedureroom</vt:lpwstr>
      </vt:variant>
      <vt:variant>
        <vt:i4>7143517</vt:i4>
      </vt:variant>
      <vt:variant>
        <vt:i4>4134</vt:i4>
      </vt:variant>
      <vt:variant>
        <vt:i4>0</vt:i4>
      </vt:variant>
      <vt:variant>
        <vt:i4>5</vt:i4>
      </vt:variant>
      <vt:variant>
        <vt:lpwstr/>
      </vt:variant>
      <vt:variant>
        <vt:lpwstr>Endnote49_OR</vt:lpwstr>
      </vt:variant>
      <vt:variant>
        <vt:i4>1245223</vt:i4>
      </vt:variant>
      <vt:variant>
        <vt:i4>4128</vt:i4>
      </vt:variant>
      <vt:variant>
        <vt:i4>0</vt:i4>
      </vt:variant>
      <vt:variant>
        <vt:i4>5</vt:i4>
      </vt:variant>
      <vt:variant>
        <vt:lpwstr/>
      </vt:variant>
      <vt:variant>
        <vt:lpwstr>Endnote19_ColocatedNICU</vt:lpwstr>
      </vt:variant>
      <vt:variant>
        <vt:i4>8061028</vt:i4>
      </vt:variant>
      <vt:variant>
        <vt:i4>4125</vt:i4>
      </vt:variant>
      <vt:variant>
        <vt:i4>0</vt:i4>
      </vt:variant>
      <vt:variant>
        <vt:i4>5</vt:i4>
      </vt:variant>
      <vt:variant>
        <vt:lpwstr/>
      </vt:variant>
      <vt:variant>
        <vt:lpwstr>_Volume_of_Procedures_2</vt:lpwstr>
      </vt:variant>
      <vt:variant>
        <vt:i4>7798907</vt:i4>
      </vt:variant>
      <vt:variant>
        <vt:i4>4122</vt:i4>
      </vt:variant>
      <vt:variant>
        <vt:i4>0</vt:i4>
      </vt:variant>
      <vt:variant>
        <vt:i4>5</vt:i4>
      </vt:variant>
      <vt:variant>
        <vt:lpwstr>http://leapfroggroup.org/survey-materials/multi-campus-reporting-policy</vt:lpwstr>
      </vt:variant>
      <vt:variant>
        <vt:lpwstr/>
      </vt:variant>
      <vt:variant>
        <vt:i4>5046365</vt:i4>
      </vt:variant>
      <vt:variant>
        <vt:i4>4119</vt:i4>
      </vt:variant>
      <vt:variant>
        <vt:i4>0</vt:i4>
      </vt:variant>
      <vt:variant>
        <vt:i4>5</vt:i4>
      </vt:variant>
      <vt:variant>
        <vt:lpwstr>http://www.leapfroggroup.org/survey-materials/scoring-and-results</vt:lpwstr>
      </vt:variant>
      <vt:variant>
        <vt:lpwstr/>
      </vt:variant>
      <vt:variant>
        <vt:i4>262222</vt:i4>
      </vt:variant>
      <vt:variant>
        <vt:i4>4116</vt:i4>
      </vt:variant>
      <vt:variant>
        <vt:i4>0</vt:i4>
      </vt:variant>
      <vt:variant>
        <vt:i4>5</vt:i4>
      </vt:variant>
      <vt:variant>
        <vt:lpwstr>https://ratings.leapfroggroup.org/measure/hospital/2025/care-elective-outpatient-surgery-patients</vt:lpwstr>
      </vt:variant>
      <vt:variant>
        <vt:lpwstr/>
      </vt:variant>
      <vt:variant>
        <vt:i4>7733364</vt:i4>
      </vt:variant>
      <vt:variant>
        <vt:i4>4113</vt:i4>
      </vt:variant>
      <vt:variant>
        <vt:i4>0</vt:i4>
      </vt:variant>
      <vt:variant>
        <vt:i4>5</vt:i4>
      </vt:variant>
      <vt:variant>
        <vt:lpwstr>http://www.leapfroggroup.org/about/expert-panelists</vt:lpwstr>
      </vt:variant>
      <vt:variant>
        <vt:lpwstr/>
      </vt:variant>
      <vt:variant>
        <vt:i4>5701727</vt:i4>
      </vt:variant>
      <vt:variant>
        <vt:i4>4110</vt:i4>
      </vt:variant>
      <vt:variant>
        <vt:i4>0</vt:i4>
      </vt:variant>
      <vt:variant>
        <vt:i4>5</vt:i4>
      </vt:variant>
      <vt:variant>
        <vt:lpwstr>https://www.ahrq.gov/cahps/surveys-guidance/hospital/about/child_hp_survey.html</vt:lpwstr>
      </vt:variant>
      <vt:variant>
        <vt:lpwstr/>
      </vt:variant>
      <vt:variant>
        <vt:i4>4915323</vt:i4>
      </vt:variant>
      <vt:variant>
        <vt:i4>4107</vt:i4>
      </vt:variant>
      <vt:variant>
        <vt:i4>0</vt:i4>
      </vt:variant>
      <vt:variant>
        <vt:i4>5</vt:i4>
      </vt:variant>
      <vt:variant>
        <vt:lpwstr/>
      </vt:variant>
      <vt:variant>
        <vt:lpwstr>_Pediatric_CT_Radiation</vt:lpwstr>
      </vt:variant>
      <vt:variant>
        <vt:i4>6750258</vt:i4>
      </vt:variant>
      <vt:variant>
        <vt:i4>4104</vt:i4>
      </vt:variant>
      <vt:variant>
        <vt:i4>0</vt:i4>
      </vt:variant>
      <vt:variant>
        <vt:i4>5</vt:i4>
      </vt:variant>
      <vt:variant>
        <vt:lpwstr>http://www.leapfroggroup.org/survey-materials/survey-and-cpoe-materials</vt:lpwstr>
      </vt:variant>
      <vt:variant>
        <vt:lpwstr/>
      </vt:variant>
      <vt:variant>
        <vt:i4>6750258</vt:i4>
      </vt:variant>
      <vt:variant>
        <vt:i4>4101</vt:i4>
      </vt:variant>
      <vt:variant>
        <vt:i4>0</vt:i4>
      </vt:variant>
      <vt:variant>
        <vt:i4>5</vt:i4>
      </vt:variant>
      <vt:variant>
        <vt:lpwstr>http://www.leapfroggroup.org/survey-materials/survey-and-cpoe-materials</vt:lpwstr>
      </vt:variant>
      <vt:variant>
        <vt:lpwstr/>
      </vt:variant>
      <vt:variant>
        <vt:i4>6750258</vt:i4>
      </vt:variant>
      <vt:variant>
        <vt:i4>4098</vt:i4>
      </vt:variant>
      <vt:variant>
        <vt:i4>0</vt:i4>
      </vt:variant>
      <vt:variant>
        <vt:i4>5</vt:i4>
      </vt:variant>
      <vt:variant>
        <vt:lpwstr>http://www.leapfroggroup.org/survey-materials/survey-and-cpoe-materials</vt:lpwstr>
      </vt:variant>
      <vt:variant>
        <vt:lpwstr/>
      </vt:variant>
      <vt:variant>
        <vt:i4>6750258</vt:i4>
      </vt:variant>
      <vt:variant>
        <vt:i4>4095</vt:i4>
      </vt:variant>
      <vt:variant>
        <vt:i4>0</vt:i4>
      </vt:variant>
      <vt:variant>
        <vt:i4>5</vt:i4>
      </vt:variant>
      <vt:variant>
        <vt:lpwstr>http://www.leapfroggroup.org/survey-materials/survey-and-cpoe-materials</vt:lpwstr>
      </vt:variant>
      <vt:variant>
        <vt:lpwstr/>
      </vt:variant>
      <vt:variant>
        <vt:i4>7798907</vt:i4>
      </vt:variant>
      <vt:variant>
        <vt:i4>4092</vt:i4>
      </vt:variant>
      <vt:variant>
        <vt:i4>0</vt:i4>
      </vt:variant>
      <vt:variant>
        <vt:i4>5</vt:i4>
      </vt:variant>
      <vt:variant>
        <vt:lpwstr>http://leapfroggroup.org/survey-materials/multi-campus-reporting-policy</vt:lpwstr>
      </vt:variant>
      <vt:variant>
        <vt:lpwstr/>
      </vt:variant>
      <vt:variant>
        <vt:i4>6422655</vt:i4>
      </vt:variant>
      <vt:variant>
        <vt:i4>4089</vt:i4>
      </vt:variant>
      <vt:variant>
        <vt:i4>0</vt:i4>
      </vt:variant>
      <vt:variant>
        <vt:i4>5</vt:i4>
      </vt:variant>
      <vt:variant>
        <vt:lpwstr/>
      </vt:variant>
      <vt:variant>
        <vt:lpwstr>_Patient_Experience_(CAHPS_1</vt:lpwstr>
      </vt:variant>
      <vt:variant>
        <vt:i4>3342372</vt:i4>
      </vt:variant>
      <vt:variant>
        <vt:i4>4086</vt:i4>
      </vt:variant>
      <vt:variant>
        <vt:i4>0</vt:i4>
      </vt:variant>
      <vt:variant>
        <vt:i4>5</vt:i4>
      </vt:variant>
      <vt:variant>
        <vt:lpwstr>https://www.ahrq.gov/cahps/surveys-guidance/hp/about/child-survey-measures.html</vt:lpwstr>
      </vt:variant>
      <vt:variant>
        <vt:lpwstr/>
      </vt:variant>
      <vt:variant>
        <vt:i4>5701727</vt:i4>
      </vt:variant>
      <vt:variant>
        <vt:i4>4083</vt:i4>
      </vt:variant>
      <vt:variant>
        <vt:i4>0</vt:i4>
      </vt:variant>
      <vt:variant>
        <vt:i4>5</vt:i4>
      </vt:variant>
      <vt:variant>
        <vt:lpwstr>https://www.ahrq.gov/cahps/surveys-guidance/hospital/about/child_hp_survey.html</vt:lpwstr>
      </vt:variant>
      <vt:variant>
        <vt:lpwstr/>
      </vt:variant>
      <vt:variant>
        <vt:i4>5701727</vt:i4>
      </vt:variant>
      <vt:variant>
        <vt:i4>4080</vt:i4>
      </vt:variant>
      <vt:variant>
        <vt:i4>0</vt:i4>
      </vt:variant>
      <vt:variant>
        <vt:i4>5</vt:i4>
      </vt:variant>
      <vt:variant>
        <vt:lpwstr>https://www.ahrq.gov/cahps/surveys-guidance/hospital/about/child_hp_survey.html</vt:lpwstr>
      </vt:variant>
      <vt:variant>
        <vt:lpwstr/>
      </vt:variant>
      <vt:variant>
        <vt:i4>6946904</vt:i4>
      </vt:variant>
      <vt:variant>
        <vt:i4>4077</vt:i4>
      </vt:variant>
      <vt:variant>
        <vt:i4>0</vt:i4>
      </vt:variant>
      <vt:variant>
        <vt:i4>5</vt:i4>
      </vt:variant>
      <vt:variant>
        <vt:lpwstr/>
      </vt:variant>
      <vt:variant>
        <vt:lpwstr>Endnote48_TopBox</vt:lpwstr>
      </vt:variant>
      <vt:variant>
        <vt:i4>5701727</vt:i4>
      </vt:variant>
      <vt:variant>
        <vt:i4>4074</vt:i4>
      </vt:variant>
      <vt:variant>
        <vt:i4>0</vt:i4>
      </vt:variant>
      <vt:variant>
        <vt:i4>5</vt:i4>
      </vt:variant>
      <vt:variant>
        <vt:lpwstr>https://www.ahrq.gov/cahps/surveys-guidance/hospital/about/child_hp_survey.html</vt:lpwstr>
      </vt:variant>
      <vt:variant>
        <vt:lpwstr/>
      </vt:variant>
      <vt:variant>
        <vt:i4>7798907</vt:i4>
      </vt:variant>
      <vt:variant>
        <vt:i4>4071</vt:i4>
      </vt:variant>
      <vt:variant>
        <vt:i4>0</vt:i4>
      </vt:variant>
      <vt:variant>
        <vt:i4>5</vt:i4>
      </vt:variant>
      <vt:variant>
        <vt:lpwstr>http://leapfroggroup.org/survey-materials/multi-campus-reporting-policy</vt:lpwstr>
      </vt:variant>
      <vt:variant>
        <vt:lpwstr/>
      </vt:variant>
      <vt:variant>
        <vt:i4>6160489</vt:i4>
      </vt:variant>
      <vt:variant>
        <vt:i4>4068</vt:i4>
      </vt:variant>
      <vt:variant>
        <vt:i4>0</vt:i4>
      </vt:variant>
      <vt:variant>
        <vt:i4>5</vt:i4>
      </vt:variant>
      <vt:variant>
        <vt:lpwstr/>
      </vt:variant>
      <vt:variant>
        <vt:lpwstr>_Pediatric_Computed_Tomography</vt:lpwstr>
      </vt:variant>
      <vt:variant>
        <vt:i4>6160489</vt:i4>
      </vt:variant>
      <vt:variant>
        <vt:i4>4065</vt:i4>
      </vt:variant>
      <vt:variant>
        <vt:i4>0</vt:i4>
      </vt:variant>
      <vt:variant>
        <vt:i4>5</vt:i4>
      </vt:variant>
      <vt:variant>
        <vt:lpwstr/>
      </vt:variant>
      <vt:variant>
        <vt:lpwstr>_Pediatric_Computed_Tomography</vt:lpwstr>
      </vt:variant>
      <vt:variant>
        <vt:i4>7798907</vt:i4>
      </vt:variant>
      <vt:variant>
        <vt:i4>4062</vt:i4>
      </vt:variant>
      <vt:variant>
        <vt:i4>0</vt:i4>
      </vt:variant>
      <vt:variant>
        <vt:i4>5</vt:i4>
      </vt:variant>
      <vt:variant>
        <vt:lpwstr>http://leapfroggroup.org/survey-materials/multi-campus-reporting-policy</vt:lpwstr>
      </vt:variant>
      <vt:variant>
        <vt:lpwstr/>
      </vt:variant>
      <vt:variant>
        <vt:i4>6946904</vt:i4>
      </vt:variant>
      <vt:variant>
        <vt:i4>4056</vt:i4>
      </vt:variant>
      <vt:variant>
        <vt:i4>0</vt:i4>
      </vt:variant>
      <vt:variant>
        <vt:i4>5</vt:i4>
      </vt:variant>
      <vt:variant>
        <vt:lpwstr/>
      </vt:variant>
      <vt:variant>
        <vt:lpwstr>Endnote48_TopBox</vt:lpwstr>
      </vt:variant>
      <vt:variant>
        <vt:i4>6357119</vt:i4>
      </vt:variant>
      <vt:variant>
        <vt:i4>4053</vt:i4>
      </vt:variant>
      <vt:variant>
        <vt:i4>0</vt:i4>
      </vt:variant>
      <vt:variant>
        <vt:i4>5</vt:i4>
      </vt:variant>
      <vt:variant>
        <vt:lpwstr/>
      </vt:variant>
      <vt:variant>
        <vt:lpwstr>_Patient_Experience_(CAHPS_2</vt:lpwstr>
      </vt:variant>
      <vt:variant>
        <vt:i4>6946909</vt:i4>
      </vt:variant>
      <vt:variant>
        <vt:i4>4050</vt:i4>
      </vt:variant>
      <vt:variant>
        <vt:i4>0</vt:i4>
      </vt:variant>
      <vt:variant>
        <vt:i4>5</vt:i4>
      </vt:variant>
      <vt:variant>
        <vt:lpwstr/>
      </vt:variant>
      <vt:variant>
        <vt:lpwstr>_1A:_Basic_Hospital</vt:lpwstr>
      </vt:variant>
      <vt:variant>
        <vt:i4>7602283</vt:i4>
      </vt:variant>
      <vt:variant>
        <vt:i4>4047</vt:i4>
      </vt:variant>
      <vt:variant>
        <vt:i4>0</vt:i4>
      </vt:variant>
      <vt:variant>
        <vt:i4>5</vt:i4>
      </vt:variant>
      <vt:variant>
        <vt:lpwstr/>
      </vt:variant>
      <vt:variant>
        <vt:lpwstr>CAHPSSpecs</vt:lpwstr>
      </vt:variant>
      <vt:variant>
        <vt:i4>6946904</vt:i4>
      </vt:variant>
      <vt:variant>
        <vt:i4>4041</vt:i4>
      </vt:variant>
      <vt:variant>
        <vt:i4>0</vt:i4>
      </vt:variant>
      <vt:variant>
        <vt:i4>5</vt:i4>
      </vt:variant>
      <vt:variant>
        <vt:lpwstr/>
      </vt:variant>
      <vt:variant>
        <vt:lpwstr>Endnote48_TopBox</vt:lpwstr>
      </vt:variant>
      <vt:variant>
        <vt:i4>7798907</vt:i4>
      </vt:variant>
      <vt:variant>
        <vt:i4>4038</vt:i4>
      </vt:variant>
      <vt:variant>
        <vt:i4>0</vt:i4>
      </vt:variant>
      <vt:variant>
        <vt:i4>5</vt:i4>
      </vt:variant>
      <vt:variant>
        <vt:lpwstr>http://leapfroggroup.org/survey-materials/multi-campus-reporting-policy</vt:lpwstr>
      </vt:variant>
      <vt:variant>
        <vt:lpwstr/>
      </vt:variant>
      <vt:variant>
        <vt:i4>5046365</vt:i4>
      </vt:variant>
      <vt:variant>
        <vt:i4>4035</vt:i4>
      </vt:variant>
      <vt:variant>
        <vt:i4>0</vt:i4>
      </vt:variant>
      <vt:variant>
        <vt:i4>5</vt:i4>
      </vt:variant>
      <vt:variant>
        <vt:lpwstr>http://www.leapfroggroup.org/survey-materials/scoring-and-results</vt:lpwstr>
      </vt:variant>
      <vt:variant>
        <vt:lpwstr/>
      </vt:variant>
      <vt:variant>
        <vt:i4>8323199</vt:i4>
      </vt:variant>
      <vt:variant>
        <vt:i4>4032</vt:i4>
      </vt:variant>
      <vt:variant>
        <vt:i4>0</vt:i4>
      </vt:variant>
      <vt:variant>
        <vt:i4>5</vt:i4>
      </vt:variant>
      <vt:variant>
        <vt:lpwstr>https://ratings.leapfroggroup.org/measure/hospital/2025/pediatric-care</vt:lpwstr>
      </vt:variant>
      <vt:variant>
        <vt:lpwstr/>
      </vt:variant>
      <vt:variant>
        <vt:i4>6750258</vt:i4>
      </vt:variant>
      <vt:variant>
        <vt:i4>4029</vt:i4>
      </vt:variant>
      <vt:variant>
        <vt:i4>0</vt:i4>
      </vt:variant>
      <vt:variant>
        <vt:i4>5</vt:i4>
      </vt:variant>
      <vt:variant>
        <vt:lpwstr>http://www.leapfroggroup.org/survey-materials/survey-and-cpoe-materials</vt:lpwstr>
      </vt:variant>
      <vt:variant>
        <vt:lpwstr/>
      </vt:variant>
      <vt:variant>
        <vt:i4>5046347</vt:i4>
      </vt:variant>
      <vt:variant>
        <vt:i4>4026</vt:i4>
      </vt:variant>
      <vt:variant>
        <vt:i4>0</vt:i4>
      </vt:variant>
      <vt:variant>
        <vt:i4>5</vt:i4>
      </vt:variant>
      <vt:variant>
        <vt:lpwstr>https://www.ihi.org/resources/Pages/Tools/RCA2-Improving-Root-Cause-Analyses-and-Actions-to-Prevent-Harm.aspx</vt:lpwstr>
      </vt:variant>
      <vt:variant>
        <vt:lpwstr/>
      </vt:variant>
      <vt:variant>
        <vt:i4>458773</vt:i4>
      </vt:variant>
      <vt:variant>
        <vt:i4>4023</vt:i4>
      </vt:variant>
      <vt:variant>
        <vt:i4>0</vt:i4>
      </vt:variant>
      <vt:variant>
        <vt:i4>5</vt:i4>
      </vt:variant>
      <vt:variant>
        <vt:lpwstr>http://www.ahrq.gov/professionals/quality-patient-safety/patient-safety-resources/resources/candor/introduction.html</vt:lpwstr>
      </vt:variant>
      <vt:variant>
        <vt:lpwstr/>
      </vt:variant>
      <vt:variant>
        <vt:i4>2097191</vt:i4>
      </vt:variant>
      <vt:variant>
        <vt:i4>4020</vt:i4>
      </vt:variant>
      <vt:variant>
        <vt:i4>0</vt:i4>
      </vt:variant>
      <vt:variant>
        <vt:i4>5</vt:i4>
      </vt:variant>
      <vt:variant>
        <vt:lpwstr>https://journals.sagepub.com/doi/full/10.1177/2516043518813814</vt:lpwstr>
      </vt:variant>
      <vt:variant>
        <vt:lpwstr/>
      </vt:variant>
      <vt:variant>
        <vt:i4>1245218</vt:i4>
      </vt:variant>
      <vt:variant>
        <vt:i4>4017</vt:i4>
      </vt:variant>
      <vt:variant>
        <vt:i4>0</vt:i4>
      </vt:variant>
      <vt:variant>
        <vt:i4>5</vt:i4>
      </vt:variant>
      <vt:variant>
        <vt:lpwstr/>
      </vt:variant>
      <vt:variant>
        <vt:lpwstr>NHSN_HospDetailsPage</vt:lpwstr>
      </vt:variant>
      <vt:variant>
        <vt:i4>1966154</vt:i4>
      </vt:variant>
      <vt:variant>
        <vt:i4>4014</vt:i4>
      </vt:variant>
      <vt:variant>
        <vt:i4>0</vt:i4>
      </vt:variant>
      <vt:variant>
        <vt:i4>5</vt:i4>
      </vt:variant>
      <vt:variant>
        <vt:lpwstr>https://leapfroghelpdesk.zendesk.com/</vt:lpwstr>
      </vt:variant>
      <vt:variant>
        <vt:lpwstr/>
      </vt:variant>
      <vt:variant>
        <vt:i4>6881375</vt:i4>
      </vt:variant>
      <vt:variant>
        <vt:i4>4011</vt:i4>
      </vt:variant>
      <vt:variant>
        <vt:i4>0</vt:i4>
      </vt:variant>
      <vt:variant>
        <vt:i4>5</vt:i4>
      </vt:variant>
      <vt:variant>
        <vt:lpwstr/>
      </vt:variant>
      <vt:variant>
        <vt:lpwstr>NHSN_datapulldates</vt:lpwstr>
      </vt:variant>
      <vt:variant>
        <vt:i4>1179658</vt:i4>
      </vt:variant>
      <vt:variant>
        <vt:i4>4008</vt:i4>
      </vt:variant>
      <vt:variant>
        <vt:i4>0</vt:i4>
      </vt:variant>
      <vt:variant>
        <vt:i4>5</vt:i4>
      </vt:variant>
      <vt:variant>
        <vt:lpwstr>https://survey.leapfroggroup.org/login?destination=dashboard</vt:lpwstr>
      </vt:variant>
      <vt:variant>
        <vt:lpwstr/>
      </vt:variant>
      <vt:variant>
        <vt:i4>6881375</vt:i4>
      </vt:variant>
      <vt:variant>
        <vt:i4>4005</vt:i4>
      </vt:variant>
      <vt:variant>
        <vt:i4>0</vt:i4>
      </vt:variant>
      <vt:variant>
        <vt:i4>5</vt:i4>
      </vt:variant>
      <vt:variant>
        <vt:lpwstr/>
      </vt:variant>
      <vt:variant>
        <vt:lpwstr>NHSN_datapulldates</vt:lpwstr>
      </vt:variant>
      <vt:variant>
        <vt:i4>7929964</vt:i4>
      </vt:variant>
      <vt:variant>
        <vt:i4>4002</vt:i4>
      </vt:variant>
      <vt:variant>
        <vt:i4>0</vt:i4>
      </vt:variant>
      <vt:variant>
        <vt:i4>5</vt:i4>
      </vt:variant>
      <vt:variant>
        <vt:lpwstr>https://www.leapfroggroup.org/survey-materials/review-nhsn-instructions</vt:lpwstr>
      </vt:variant>
      <vt:variant>
        <vt:lpwstr/>
      </vt:variant>
      <vt:variant>
        <vt:i4>6881375</vt:i4>
      </vt:variant>
      <vt:variant>
        <vt:i4>3999</vt:i4>
      </vt:variant>
      <vt:variant>
        <vt:i4>0</vt:i4>
      </vt:variant>
      <vt:variant>
        <vt:i4>5</vt:i4>
      </vt:variant>
      <vt:variant>
        <vt:lpwstr/>
      </vt:variant>
      <vt:variant>
        <vt:lpwstr>NHSN_datapulldates</vt:lpwstr>
      </vt:variant>
      <vt:variant>
        <vt:i4>7929964</vt:i4>
      </vt:variant>
      <vt:variant>
        <vt:i4>3996</vt:i4>
      </vt:variant>
      <vt:variant>
        <vt:i4>0</vt:i4>
      </vt:variant>
      <vt:variant>
        <vt:i4>5</vt:i4>
      </vt:variant>
      <vt:variant>
        <vt:lpwstr>https://www.leapfroggroup.org/survey-materials/review-nhsn-instructions</vt:lpwstr>
      </vt:variant>
      <vt:variant>
        <vt:lpwstr/>
      </vt:variant>
      <vt:variant>
        <vt:i4>7929964</vt:i4>
      </vt:variant>
      <vt:variant>
        <vt:i4>3993</vt:i4>
      </vt:variant>
      <vt:variant>
        <vt:i4>0</vt:i4>
      </vt:variant>
      <vt:variant>
        <vt:i4>5</vt:i4>
      </vt:variant>
      <vt:variant>
        <vt:lpwstr>https://www.leapfroggroup.org/survey-materials/review-nhsn-instructions</vt:lpwstr>
      </vt:variant>
      <vt:variant>
        <vt:lpwstr/>
      </vt:variant>
      <vt:variant>
        <vt:i4>7929964</vt:i4>
      </vt:variant>
      <vt:variant>
        <vt:i4>3990</vt:i4>
      </vt:variant>
      <vt:variant>
        <vt:i4>0</vt:i4>
      </vt:variant>
      <vt:variant>
        <vt:i4>5</vt:i4>
      </vt:variant>
      <vt:variant>
        <vt:lpwstr>https://www.leapfroggroup.org/survey-materials/review-nhsn-instructions</vt:lpwstr>
      </vt:variant>
      <vt:variant>
        <vt:lpwstr/>
      </vt:variant>
      <vt:variant>
        <vt:i4>2359343</vt:i4>
      </vt:variant>
      <vt:variant>
        <vt:i4>3987</vt:i4>
      </vt:variant>
      <vt:variant>
        <vt:i4>0</vt:i4>
      </vt:variant>
      <vt:variant>
        <vt:i4>5</vt:i4>
      </vt:variant>
      <vt:variant>
        <vt:lpwstr>https://ratings.leapfroggroup.org/</vt:lpwstr>
      </vt:variant>
      <vt:variant>
        <vt:lpwstr/>
      </vt:variant>
      <vt:variant>
        <vt:i4>3538982</vt:i4>
      </vt:variant>
      <vt:variant>
        <vt:i4>3984</vt:i4>
      </vt:variant>
      <vt:variant>
        <vt:i4>0</vt:i4>
      </vt:variant>
      <vt:variant>
        <vt:i4>5</vt:i4>
      </vt:variant>
      <vt:variant>
        <vt:lpwstr>https://www.leapfroggroup.org/survey-materials/scoring-and-results</vt:lpwstr>
      </vt:variant>
      <vt:variant>
        <vt:lpwstr/>
      </vt:variant>
      <vt:variant>
        <vt:i4>7274534</vt:i4>
      </vt:variant>
      <vt:variant>
        <vt:i4>3981</vt:i4>
      </vt:variant>
      <vt:variant>
        <vt:i4>0</vt:i4>
      </vt:variant>
      <vt:variant>
        <vt:i4>5</vt:i4>
      </vt:variant>
      <vt:variant>
        <vt:lpwstr>https://www.federalregister.gov/d/2025-06271/page-18303</vt:lpwstr>
      </vt:variant>
      <vt:variant>
        <vt:lpwstr/>
      </vt:variant>
      <vt:variant>
        <vt:i4>7929964</vt:i4>
      </vt:variant>
      <vt:variant>
        <vt:i4>3978</vt:i4>
      </vt:variant>
      <vt:variant>
        <vt:i4>0</vt:i4>
      </vt:variant>
      <vt:variant>
        <vt:i4>5</vt:i4>
      </vt:variant>
      <vt:variant>
        <vt:lpwstr>https://www.leapfroggroup.org/survey-materials/review-nhsn-instructions</vt:lpwstr>
      </vt:variant>
      <vt:variant>
        <vt:lpwstr/>
      </vt:variant>
      <vt:variant>
        <vt:i4>4456513</vt:i4>
      </vt:variant>
      <vt:variant>
        <vt:i4>3975</vt:i4>
      </vt:variant>
      <vt:variant>
        <vt:i4>0</vt:i4>
      </vt:variant>
      <vt:variant>
        <vt:i4>5</vt:i4>
      </vt:variant>
      <vt:variant>
        <vt:lpwstr/>
      </vt:variant>
      <vt:variant>
        <vt:lpwstr>_Healthcare-Associated_Infections_Me_1</vt:lpwstr>
      </vt:variant>
      <vt:variant>
        <vt:i4>7929964</vt:i4>
      </vt:variant>
      <vt:variant>
        <vt:i4>3972</vt:i4>
      </vt:variant>
      <vt:variant>
        <vt:i4>0</vt:i4>
      </vt:variant>
      <vt:variant>
        <vt:i4>5</vt:i4>
      </vt:variant>
      <vt:variant>
        <vt:lpwstr>https://www.leapfroggroup.org/survey-materials/review-nhsn-instructions</vt:lpwstr>
      </vt:variant>
      <vt:variant>
        <vt:lpwstr/>
      </vt:variant>
      <vt:variant>
        <vt:i4>7077967</vt:i4>
      </vt:variant>
      <vt:variant>
        <vt:i4>3969</vt:i4>
      </vt:variant>
      <vt:variant>
        <vt:i4>0</vt:i4>
      </vt:variant>
      <vt:variant>
        <vt:i4>5</vt:i4>
      </vt:variant>
      <vt:variant>
        <vt:lpwstr/>
      </vt:variant>
      <vt:variant>
        <vt:lpwstr>Endnote36_NeverEvent</vt:lpwstr>
      </vt:variant>
      <vt:variant>
        <vt:i4>7077967</vt:i4>
      </vt:variant>
      <vt:variant>
        <vt:i4>3963</vt:i4>
      </vt:variant>
      <vt:variant>
        <vt:i4>0</vt:i4>
      </vt:variant>
      <vt:variant>
        <vt:i4>5</vt:i4>
      </vt:variant>
      <vt:variant>
        <vt:lpwstr/>
      </vt:variant>
      <vt:variant>
        <vt:lpwstr>Endnote36_NeverEvent</vt:lpwstr>
      </vt:variant>
      <vt:variant>
        <vt:i4>8060992</vt:i4>
      </vt:variant>
      <vt:variant>
        <vt:i4>3960</vt:i4>
      </vt:variant>
      <vt:variant>
        <vt:i4>0</vt:i4>
      </vt:variant>
      <vt:variant>
        <vt:i4>5</vt:i4>
      </vt:variant>
      <vt:variant>
        <vt:lpwstr/>
      </vt:variant>
      <vt:variant>
        <vt:lpwstr>Endnote39_RCA</vt:lpwstr>
      </vt:variant>
      <vt:variant>
        <vt:i4>8060992</vt:i4>
      </vt:variant>
      <vt:variant>
        <vt:i4>3957</vt:i4>
      </vt:variant>
      <vt:variant>
        <vt:i4>0</vt:i4>
      </vt:variant>
      <vt:variant>
        <vt:i4>5</vt:i4>
      </vt:variant>
      <vt:variant>
        <vt:lpwstr/>
      </vt:variant>
      <vt:variant>
        <vt:lpwstr>Endnote39_RCA</vt:lpwstr>
      </vt:variant>
      <vt:variant>
        <vt:i4>7077967</vt:i4>
      </vt:variant>
      <vt:variant>
        <vt:i4>3951</vt:i4>
      </vt:variant>
      <vt:variant>
        <vt:i4>0</vt:i4>
      </vt:variant>
      <vt:variant>
        <vt:i4>5</vt:i4>
      </vt:variant>
      <vt:variant>
        <vt:lpwstr/>
      </vt:variant>
      <vt:variant>
        <vt:lpwstr>Endnote36_NeverEvent</vt:lpwstr>
      </vt:variant>
      <vt:variant>
        <vt:i4>8060992</vt:i4>
      </vt:variant>
      <vt:variant>
        <vt:i4>3948</vt:i4>
      </vt:variant>
      <vt:variant>
        <vt:i4>0</vt:i4>
      </vt:variant>
      <vt:variant>
        <vt:i4>5</vt:i4>
      </vt:variant>
      <vt:variant>
        <vt:lpwstr/>
      </vt:variant>
      <vt:variant>
        <vt:lpwstr>Endnote39_RCA</vt:lpwstr>
      </vt:variant>
      <vt:variant>
        <vt:i4>7077967</vt:i4>
      </vt:variant>
      <vt:variant>
        <vt:i4>3942</vt:i4>
      </vt:variant>
      <vt:variant>
        <vt:i4>0</vt:i4>
      </vt:variant>
      <vt:variant>
        <vt:i4>5</vt:i4>
      </vt:variant>
      <vt:variant>
        <vt:lpwstr/>
      </vt:variant>
      <vt:variant>
        <vt:lpwstr>Endnote36_NeverEvent</vt:lpwstr>
      </vt:variant>
      <vt:variant>
        <vt:i4>7798870</vt:i4>
      </vt:variant>
      <vt:variant>
        <vt:i4>3939</vt:i4>
      </vt:variant>
      <vt:variant>
        <vt:i4>0</vt:i4>
      </vt:variant>
      <vt:variant>
        <vt:i4>5</vt:i4>
      </vt:variant>
      <vt:variant>
        <vt:lpwstr/>
      </vt:variant>
      <vt:variant>
        <vt:lpwstr>Endnote38_ExternalAgency</vt:lpwstr>
      </vt:variant>
      <vt:variant>
        <vt:i4>7077967</vt:i4>
      </vt:variant>
      <vt:variant>
        <vt:i4>3933</vt:i4>
      </vt:variant>
      <vt:variant>
        <vt:i4>0</vt:i4>
      </vt:variant>
      <vt:variant>
        <vt:i4>5</vt:i4>
      </vt:variant>
      <vt:variant>
        <vt:lpwstr/>
      </vt:variant>
      <vt:variant>
        <vt:lpwstr>Endnote36_NeverEvent</vt:lpwstr>
      </vt:variant>
      <vt:variant>
        <vt:i4>6488157</vt:i4>
      </vt:variant>
      <vt:variant>
        <vt:i4>3930</vt:i4>
      </vt:variant>
      <vt:variant>
        <vt:i4>0</vt:i4>
      </vt:variant>
      <vt:variant>
        <vt:i4>5</vt:i4>
      </vt:variant>
      <vt:variant>
        <vt:lpwstr/>
      </vt:variant>
      <vt:variant>
        <vt:lpwstr>Endnote37_Apology</vt:lpwstr>
      </vt:variant>
      <vt:variant>
        <vt:i4>7077967</vt:i4>
      </vt:variant>
      <vt:variant>
        <vt:i4>3927</vt:i4>
      </vt:variant>
      <vt:variant>
        <vt:i4>0</vt:i4>
      </vt:variant>
      <vt:variant>
        <vt:i4>5</vt:i4>
      </vt:variant>
      <vt:variant>
        <vt:lpwstr/>
      </vt:variant>
      <vt:variant>
        <vt:lpwstr>Endnote36_NeverEvent</vt:lpwstr>
      </vt:variant>
      <vt:variant>
        <vt:i4>5505092</vt:i4>
      </vt:variant>
      <vt:variant>
        <vt:i4>3924</vt:i4>
      </vt:variant>
      <vt:variant>
        <vt:i4>0</vt:i4>
      </vt:variant>
      <vt:variant>
        <vt:i4>5</vt:i4>
      </vt:variant>
      <vt:variant>
        <vt:lpwstr>https://digitalassets.jointcommission.org/api/public/content/4534bbaaee4f4bd280c2054765f37f4b?v=a60f8f9a</vt:lpwstr>
      </vt:variant>
      <vt:variant>
        <vt:lpwstr/>
      </vt:variant>
      <vt:variant>
        <vt:i4>7798907</vt:i4>
      </vt:variant>
      <vt:variant>
        <vt:i4>3921</vt:i4>
      </vt:variant>
      <vt:variant>
        <vt:i4>0</vt:i4>
      </vt:variant>
      <vt:variant>
        <vt:i4>5</vt:i4>
      </vt:variant>
      <vt:variant>
        <vt:lpwstr>http://leapfroggroup.org/survey-materials/multi-campus-reporting-policy</vt:lpwstr>
      </vt:variant>
      <vt:variant>
        <vt:lpwstr/>
      </vt:variant>
      <vt:variant>
        <vt:i4>5046365</vt:i4>
      </vt:variant>
      <vt:variant>
        <vt:i4>3918</vt:i4>
      </vt:variant>
      <vt:variant>
        <vt:i4>0</vt:i4>
      </vt:variant>
      <vt:variant>
        <vt:i4>5</vt:i4>
      </vt:variant>
      <vt:variant>
        <vt:lpwstr>http://www.leapfroggroup.org/survey-materials/scoring-and-results</vt:lpwstr>
      </vt:variant>
      <vt:variant>
        <vt:lpwstr/>
      </vt:variant>
      <vt:variant>
        <vt:i4>7929964</vt:i4>
      </vt:variant>
      <vt:variant>
        <vt:i4>3915</vt:i4>
      </vt:variant>
      <vt:variant>
        <vt:i4>0</vt:i4>
      </vt:variant>
      <vt:variant>
        <vt:i4>5</vt:i4>
      </vt:variant>
      <vt:variant>
        <vt:lpwstr>https://www.leapfroggroup.org/survey-materials/review-nhsn-instructions</vt:lpwstr>
      </vt:variant>
      <vt:variant>
        <vt:lpwstr/>
      </vt:variant>
      <vt:variant>
        <vt:i4>2883702</vt:i4>
      </vt:variant>
      <vt:variant>
        <vt:i4>3912</vt:i4>
      </vt:variant>
      <vt:variant>
        <vt:i4>0</vt:i4>
      </vt:variant>
      <vt:variant>
        <vt:i4>5</vt:i4>
      </vt:variant>
      <vt:variant>
        <vt:lpwstr>https://ratings.leapfroggroup.org/measure/hospital/2025/responding-never-events</vt:lpwstr>
      </vt:variant>
      <vt:variant>
        <vt:lpwstr/>
      </vt:variant>
      <vt:variant>
        <vt:i4>8323133</vt:i4>
      </vt:variant>
      <vt:variant>
        <vt:i4>3909</vt:i4>
      </vt:variant>
      <vt:variant>
        <vt:i4>0</vt:i4>
      </vt:variant>
      <vt:variant>
        <vt:i4>5</vt:i4>
      </vt:variant>
      <vt:variant>
        <vt:lpwstr>https://www.leapfroggroup.org/patient-and-family-advisory-council-pfac-toolkit-exploring-diagnostic-quality</vt:lpwstr>
      </vt:variant>
      <vt:variant>
        <vt:lpwstr/>
      </vt:variant>
      <vt:variant>
        <vt:i4>5832729</vt:i4>
      </vt:variant>
      <vt:variant>
        <vt:i4>3906</vt:i4>
      </vt:variant>
      <vt:variant>
        <vt:i4>0</vt:i4>
      </vt:variant>
      <vt:variant>
        <vt:i4>5</vt:i4>
      </vt:variant>
      <vt:variant>
        <vt:lpwstr>https://www.ahrq.gov/patient-safety/settings/measure-dx.html</vt:lpwstr>
      </vt:variant>
      <vt:variant>
        <vt:lpwstr/>
      </vt:variant>
      <vt:variant>
        <vt:i4>1114139</vt:i4>
      </vt:variant>
      <vt:variant>
        <vt:i4>3903</vt:i4>
      </vt:variant>
      <vt:variant>
        <vt:i4>0</vt:i4>
      </vt:variant>
      <vt:variant>
        <vt:i4>5</vt:i4>
      </vt:variant>
      <vt:variant>
        <vt:lpwstr>https://www.leapfroggroup.org/sites/default/files/Files/Root Cause Analysis of Cases Involving Diagnosis A Handbook for Healthcare Organizations.pdf</vt:lpwstr>
      </vt:variant>
      <vt:variant>
        <vt:lpwstr/>
      </vt:variant>
      <vt:variant>
        <vt:i4>3538982</vt:i4>
      </vt:variant>
      <vt:variant>
        <vt:i4>3900</vt:i4>
      </vt:variant>
      <vt:variant>
        <vt:i4>0</vt:i4>
      </vt:variant>
      <vt:variant>
        <vt:i4>5</vt:i4>
      </vt:variant>
      <vt:variant>
        <vt:lpwstr>https://www.leapfroggroup.org/survey-materials/scoring-and-results</vt:lpwstr>
      </vt:variant>
      <vt:variant>
        <vt:lpwstr/>
      </vt:variant>
      <vt:variant>
        <vt:i4>1835052</vt:i4>
      </vt:variant>
      <vt:variant>
        <vt:i4>3897</vt:i4>
      </vt:variant>
      <vt:variant>
        <vt:i4>0</vt:i4>
      </vt:variant>
      <vt:variant>
        <vt:i4>5</vt:i4>
      </vt:variant>
      <vt:variant>
        <vt:lpwstr/>
      </vt:variant>
      <vt:variant>
        <vt:lpwstr>_Hand_Hygiene_Measure</vt:lpwstr>
      </vt:variant>
      <vt:variant>
        <vt:i4>1835052</vt:i4>
      </vt:variant>
      <vt:variant>
        <vt:i4>3894</vt:i4>
      </vt:variant>
      <vt:variant>
        <vt:i4>0</vt:i4>
      </vt:variant>
      <vt:variant>
        <vt:i4>5</vt:i4>
      </vt:variant>
      <vt:variant>
        <vt:lpwstr/>
      </vt:variant>
      <vt:variant>
        <vt:lpwstr>_Hand_Hygiene_Measure</vt:lpwstr>
      </vt:variant>
      <vt:variant>
        <vt:i4>2424929</vt:i4>
      </vt:variant>
      <vt:variant>
        <vt:i4>3891</vt:i4>
      </vt:variant>
      <vt:variant>
        <vt:i4>0</vt:i4>
      </vt:variant>
      <vt:variant>
        <vt:i4>5</vt:i4>
      </vt:variant>
      <vt:variant>
        <vt:lpwstr>https://ratings.leapfroggroup.org/measure/hospital/2025/handwashing</vt:lpwstr>
      </vt:variant>
      <vt:variant>
        <vt:lpwstr/>
      </vt:variant>
      <vt:variant>
        <vt:i4>2031645</vt:i4>
      </vt:variant>
      <vt:variant>
        <vt:i4>3888</vt:i4>
      </vt:variant>
      <vt:variant>
        <vt:i4>0</vt:i4>
      </vt:variant>
      <vt:variant>
        <vt:i4>5</vt:i4>
      </vt:variant>
      <vt:variant>
        <vt:lpwstr>https://www.leapfroggroup.org/about/expert-panelists</vt:lpwstr>
      </vt:variant>
      <vt:variant>
        <vt:lpwstr/>
      </vt:variant>
      <vt:variant>
        <vt:i4>7995488</vt:i4>
      </vt:variant>
      <vt:variant>
        <vt:i4>3885</vt:i4>
      </vt:variant>
      <vt:variant>
        <vt:i4>0</vt:i4>
      </vt:variant>
      <vt:variant>
        <vt:i4>5</vt:i4>
      </vt:variant>
      <vt:variant>
        <vt:lpwstr/>
      </vt:variant>
      <vt:variant>
        <vt:lpwstr>HHtouchpatientsendnote</vt:lpwstr>
      </vt:variant>
      <vt:variant>
        <vt:i4>589827</vt:i4>
      </vt:variant>
      <vt:variant>
        <vt:i4>3882</vt:i4>
      </vt:variant>
      <vt:variant>
        <vt:i4>0</vt:i4>
      </vt:variant>
      <vt:variant>
        <vt:i4>5</vt:i4>
      </vt:variant>
      <vt:variant>
        <vt:lpwstr/>
      </vt:variant>
      <vt:variant>
        <vt:lpwstr>profwapproptrainandskill</vt:lpwstr>
      </vt:variant>
      <vt:variant>
        <vt:i4>65648</vt:i4>
      </vt:variant>
      <vt:variant>
        <vt:i4>3879</vt:i4>
      </vt:variant>
      <vt:variant>
        <vt:i4>0</vt:i4>
      </vt:variant>
      <vt:variant>
        <vt:i4>5</vt:i4>
      </vt:variant>
      <vt:variant>
        <vt:lpwstr>https://www.ahrq.gov/sites/default/files/wysiwyg/professionals/quality-patient-safety/patientsafetyculture/hospital/2016/2016_hospitalsops_report_pt1.pdf</vt:lpwstr>
      </vt:variant>
      <vt:variant>
        <vt:lpwstr/>
      </vt:variant>
      <vt:variant>
        <vt:i4>6750258</vt:i4>
      </vt:variant>
      <vt:variant>
        <vt:i4>3876</vt:i4>
      </vt:variant>
      <vt:variant>
        <vt:i4>0</vt:i4>
      </vt:variant>
      <vt:variant>
        <vt:i4>5</vt:i4>
      </vt:variant>
      <vt:variant>
        <vt:lpwstr>http://www.leapfroggroup.org/survey-materials/survey-and-cpoe-materials</vt:lpwstr>
      </vt:variant>
      <vt:variant>
        <vt:lpwstr/>
      </vt:variant>
      <vt:variant>
        <vt:i4>6488166</vt:i4>
      </vt:variant>
      <vt:variant>
        <vt:i4>3873</vt:i4>
      </vt:variant>
      <vt:variant>
        <vt:i4>0</vt:i4>
      </vt:variant>
      <vt:variant>
        <vt:i4>5</vt:i4>
      </vt:variant>
      <vt:variant>
        <vt:lpwstr>https://www.ache.org/about-ache/our-story/our-commitments/leading-for-safety/safer-together</vt:lpwstr>
      </vt:variant>
      <vt:variant>
        <vt:lpwstr/>
      </vt:variant>
      <vt:variant>
        <vt:i4>7733286</vt:i4>
      </vt:variant>
      <vt:variant>
        <vt:i4>3870</vt:i4>
      </vt:variant>
      <vt:variant>
        <vt:i4>0</vt:i4>
      </vt:variant>
      <vt:variant>
        <vt:i4>5</vt:i4>
      </vt:variant>
      <vt:variant>
        <vt:lpwstr>https://www.ache.org/about-ache/our-story/our-commitments/leading-for-safety/blueprint</vt:lpwstr>
      </vt:variant>
      <vt:variant>
        <vt:lpwstr>download</vt:lpwstr>
      </vt:variant>
      <vt:variant>
        <vt:i4>4390912</vt:i4>
      </vt:variant>
      <vt:variant>
        <vt:i4>3867</vt:i4>
      </vt:variant>
      <vt:variant>
        <vt:i4>0</vt:i4>
      </vt:variant>
      <vt:variant>
        <vt:i4>5</vt:i4>
      </vt:variant>
      <vt:variant>
        <vt:lpwstr>https://www.ache.org/about-ache/our-story/our-commitments/policy-statements/healthcare-executives-role-in-ensuring-quality-and-safety</vt:lpwstr>
      </vt:variant>
      <vt:variant>
        <vt:lpwstr/>
      </vt:variant>
      <vt:variant>
        <vt:i4>6750258</vt:i4>
      </vt:variant>
      <vt:variant>
        <vt:i4>3864</vt:i4>
      </vt:variant>
      <vt:variant>
        <vt:i4>0</vt:i4>
      </vt:variant>
      <vt:variant>
        <vt:i4>5</vt:i4>
      </vt:variant>
      <vt:variant>
        <vt:lpwstr>http://www.leapfroggroup.org/survey-materials/survey-and-cpoe-materials</vt:lpwstr>
      </vt:variant>
      <vt:variant>
        <vt:lpwstr/>
      </vt:variant>
      <vt:variant>
        <vt:i4>2162738</vt:i4>
      </vt:variant>
      <vt:variant>
        <vt:i4>3861</vt:i4>
      </vt:variant>
      <vt:variant>
        <vt:i4>0</vt:i4>
      </vt:variant>
      <vt:variant>
        <vt:i4>5</vt:i4>
      </vt:variant>
      <vt:variant>
        <vt:lpwstr>https://www.ahrq.gov/teamstepps/index.html</vt:lpwstr>
      </vt:variant>
      <vt:variant>
        <vt:lpwstr/>
      </vt:variant>
      <vt:variant>
        <vt:i4>5832716</vt:i4>
      </vt:variant>
      <vt:variant>
        <vt:i4>3858</vt:i4>
      </vt:variant>
      <vt:variant>
        <vt:i4>0</vt:i4>
      </vt:variant>
      <vt:variant>
        <vt:i4>5</vt:i4>
      </vt:variant>
      <vt:variant>
        <vt:lpwstr>https://aws.state.ak.us/OnlinePublicNotices/Notices/Attachment.aspx?id=127560</vt:lpwstr>
      </vt:variant>
      <vt:variant>
        <vt:lpwstr/>
      </vt:variant>
      <vt:variant>
        <vt:i4>5505092</vt:i4>
      </vt:variant>
      <vt:variant>
        <vt:i4>3855</vt:i4>
      </vt:variant>
      <vt:variant>
        <vt:i4>0</vt:i4>
      </vt:variant>
      <vt:variant>
        <vt:i4>5</vt:i4>
      </vt:variant>
      <vt:variant>
        <vt:lpwstr>https://digitalassets.jointcommission.org/api/public/content/4534bbaaee4f4bd280c2054765f37f4b?v=a60f8f9a</vt:lpwstr>
      </vt:variant>
      <vt:variant>
        <vt:lpwstr/>
      </vt:variant>
      <vt:variant>
        <vt:i4>4194390</vt:i4>
      </vt:variant>
      <vt:variant>
        <vt:i4>3852</vt:i4>
      </vt:variant>
      <vt:variant>
        <vt:i4>0</vt:i4>
      </vt:variant>
      <vt:variant>
        <vt:i4>5</vt:i4>
      </vt:variant>
      <vt:variant>
        <vt:lpwstr>https://www.ahrq.gov/patient-safety/patients-families/engagingfamilies/index.html</vt:lpwstr>
      </vt:variant>
      <vt:variant>
        <vt:lpwstr/>
      </vt:variant>
      <vt:variant>
        <vt:i4>3932286</vt:i4>
      </vt:variant>
      <vt:variant>
        <vt:i4>3849</vt:i4>
      </vt:variant>
      <vt:variant>
        <vt:i4>0</vt:i4>
      </vt:variant>
      <vt:variant>
        <vt:i4>5</vt:i4>
      </vt:variant>
      <vt:variant>
        <vt:lpwstr>https://nam02.safelinks.protection.outlook.com/?url=http%3A%2F%2Fwww.leapfroggroup.org%2Fsurvey-materials%2Fsurvey-and-cpoe-materials&amp;data=05%7C02%7CLKaufman%40leapfrog-group.org%7C60396fa6210e4710503608de0da04068%7C95c34b8315eb4d9a97a7f29881f4a800%7C0%7C0%7C638963179102293029%7CUnknown%7CTWFpbGZsb3d8eyJFbXB0eU1hcGkiOnRydWUsIlYiOiIwLjAuMDAwMCIsIlAiOiJXaW4zMiIsIkFOIjoiTWFpbCIsIldUIjoyfQ%3D%3D%7C0%7C%7C%7C&amp;sdata=5qo4tySVoPkDzLUmshP9tttuGBYr6e4A1qgUkBlP77Y%3D&amp;reserved=0</vt:lpwstr>
      </vt:variant>
      <vt:variant>
        <vt:lpwstr/>
      </vt:variant>
      <vt:variant>
        <vt:i4>5701759</vt:i4>
      </vt:variant>
      <vt:variant>
        <vt:i4>3846</vt:i4>
      </vt:variant>
      <vt:variant>
        <vt:i4>0</vt:i4>
      </vt:variant>
      <vt:variant>
        <vt:i4>5</vt:i4>
      </vt:variant>
      <vt:variant>
        <vt:lpwstr/>
      </vt:variant>
      <vt:variant>
        <vt:lpwstr>emergencydepartment_endnote</vt:lpwstr>
      </vt:variant>
      <vt:variant>
        <vt:i4>5832716</vt:i4>
      </vt:variant>
      <vt:variant>
        <vt:i4>3843</vt:i4>
      </vt:variant>
      <vt:variant>
        <vt:i4>0</vt:i4>
      </vt:variant>
      <vt:variant>
        <vt:i4>5</vt:i4>
      </vt:variant>
      <vt:variant>
        <vt:lpwstr>https://www.leapfroggroup.org/survey-materials/survey-and-cpoe-materials</vt:lpwstr>
      </vt:variant>
      <vt:variant>
        <vt:lpwstr/>
      </vt:variant>
      <vt:variant>
        <vt:i4>7798907</vt:i4>
      </vt:variant>
      <vt:variant>
        <vt:i4>3840</vt:i4>
      </vt:variant>
      <vt:variant>
        <vt:i4>0</vt:i4>
      </vt:variant>
      <vt:variant>
        <vt:i4>5</vt:i4>
      </vt:variant>
      <vt:variant>
        <vt:lpwstr>http://leapfroggroup.org/survey-materials/multi-campus-reporting-policy</vt:lpwstr>
      </vt:variant>
      <vt:variant>
        <vt:lpwstr/>
      </vt:variant>
      <vt:variant>
        <vt:i4>7864405</vt:i4>
      </vt:variant>
      <vt:variant>
        <vt:i4>3837</vt:i4>
      </vt:variant>
      <vt:variant>
        <vt:i4>0</vt:i4>
      </vt:variant>
      <vt:variant>
        <vt:i4>5</vt:i4>
      </vt:variant>
      <vt:variant>
        <vt:lpwstr/>
      </vt:variant>
      <vt:variant>
        <vt:lpwstr>_Hand_Hygiene_1</vt:lpwstr>
      </vt:variant>
      <vt:variant>
        <vt:i4>4587613</vt:i4>
      </vt:variant>
      <vt:variant>
        <vt:i4>3834</vt:i4>
      </vt:variant>
      <vt:variant>
        <vt:i4>0</vt:i4>
      </vt:variant>
      <vt:variant>
        <vt:i4>5</vt:i4>
      </vt:variant>
      <vt:variant>
        <vt:lpwstr>https://www.hha.org.au/local-implementation/promotional-materials/video-clips</vt:lpwstr>
      </vt:variant>
      <vt:variant>
        <vt:lpwstr/>
      </vt:variant>
      <vt:variant>
        <vt:i4>1376260</vt:i4>
      </vt:variant>
      <vt:variant>
        <vt:i4>3831</vt:i4>
      </vt:variant>
      <vt:variant>
        <vt:i4>0</vt:i4>
      </vt:variant>
      <vt:variant>
        <vt:i4>5</vt:i4>
      </vt:variant>
      <vt:variant>
        <vt:lpwstr>https://www.who.int/teams/integrated-health-services/infection-prevention-control/hand-hygiene/training-tools</vt:lpwstr>
      </vt:variant>
      <vt:variant>
        <vt:lpwstr/>
      </vt:variant>
      <vt:variant>
        <vt:i4>7667816</vt:i4>
      </vt:variant>
      <vt:variant>
        <vt:i4>3828</vt:i4>
      </vt:variant>
      <vt:variant>
        <vt:i4>0</vt:i4>
      </vt:variant>
      <vt:variant>
        <vt:i4>5</vt:i4>
      </vt:variant>
      <vt:variant>
        <vt:lpwstr>https://www.youtube.com/watch?v=XZKXMw29kFU</vt:lpwstr>
      </vt:variant>
      <vt:variant>
        <vt:lpwstr/>
      </vt:variant>
      <vt:variant>
        <vt:i4>7995488</vt:i4>
      </vt:variant>
      <vt:variant>
        <vt:i4>3822</vt:i4>
      </vt:variant>
      <vt:variant>
        <vt:i4>0</vt:i4>
      </vt:variant>
      <vt:variant>
        <vt:i4>5</vt:i4>
      </vt:variant>
      <vt:variant>
        <vt:lpwstr/>
      </vt:variant>
      <vt:variant>
        <vt:lpwstr>HHtouchpatientsendnote</vt:lpwstr>
      </vt:variant>
      <vt:variant>
        <vt:i4>7995488</vt:i4>
      </vt:variant>
      <vt:variant>
        <vt:i4>3816</vt:i4>
      </vt:variant>
      <vt:variant>
        <vt:i4>0</vt:i4>
      </vt:variant>
      <vt:variant>
        <vt:i4>5</vt:i4>
      </vt:variant>
      <vt:variant>
        <vt:lpwstr/>
      </vt:variant>
      <vt:variant>
        <vt:lpwstr>HHtouchpatientsendnote</vt:lpwstr>
      </vt:variant>
      <vt:variant>
        <vt:i4>7995488</vt:i4>
      </vt:variant>
      <vt:variant>
        <vt:i4>3810</vt:i4>
      </vt:variant>
      <vt:variant>
        <vt:i4>0</vt:i4>
      </vt:variant>
      <vt:variant>
        <vt:i4>5</vt:i4>
      </vt:variant>
      <vt:variant>
        <vt:lpwstr/>
      </vt:variant>
      <vt:variant>
        <vt:lpwstr>HHtouchpatientsendnote</vt:lpwstr>
      </vt:variant>
      <vt:variant>
        <vt:i4>7995488</vt:i4>
      </vt:variant>
      <vt:variant>
        <vt:i4>3804</vt:i4>
      </vt:variant>
      <vt:variant>
        <vt:i4>0</vt:i4>
      </vt:variant>
      <vt:variant>
        <vt:i4>5</vt:i4>
      </vt:variant>
      <vt:variant>
        <vt:lpwstr/>
      </vt:variant>
      <vt:variant>
        <vt:lpwstr>HHtouchpatientsendnote</vt:lpwstr>
      </vt:variant>
      <vt:variant>
        <vt:i4>7995488</vt:i4>
      </vt:variant>
      <vt:variant>
        <vt:i4>3798</vt:i4>
      </vt:variant>
      <vt:variant>
        <vt:i4>0</vt:i4>
      </vt:variant>
      <vt:variant>
        <vt:i4>5</vt:i4>
      </vt:variant>
      <vt:variant>
        <vt:lpwstr/>
      </vt:variant>
      <vt:variant>
        <vt:lpwstr>HHtouchpatientsendnote</vt:lpwstr>
      </vt:variant>
      <vt:variant>
        <vt:i4>7995488</vt:i4>
      </vt:variant>
      <vt:variant>
        <vt:i4>3792</vt:i4>
      </vt:variant>
      <vt:variant>
        <vt:i4>0</vt:i4>
      </vt:variant>
      <vt:variant>
        <vt:i4>5</vt:i4>
      </vt:variant>
      <vt:variant>
        <vt:lpwstr/>
      </vt:variant>
      <vt:variant>
        <vt:lpwstr>HHtouchpatientsendnote</vt:lpwstr>
      </vt:variant>
      <vt:variant>
        <vt:i4>7995488</vt:i4>
      </vt:variant>
      <vt:variant>
        <vt:i4>3786</vt:i4>
      </vt:variant>
      <vt:variant>
        <vt:i4>0</vt:i4>
      </vt:variant>
      <vt:variant>
        <vt:i4>5</vt:i4>
      </vt:variant>
      <vt:variant>
        <vt:lpwstr/>
      </vt:variant>
      <vt:variant>
        <vt:lpwstr>HHtouchpatientsendnote</vt:lpwstr>
      </vt:variant>
      <vt:variant>
        <vt:i4>7995488</vt:i4>
      </vt:variant>
      <vt:variant>
        <vt:i4>3780</vt:i4>
      </vt:variant>
      <vt:variant>
        <vt:i4>0</vt:i4>
      </vt:variant>
      <vt:variant>
        <vt:i4>5</vt:i4>
      </vt:variant>
      <vt:variant>
        <vt:lpwstr/>
      </vt:variant>
      <vt:variant>
        <vt:lpwstr>HHtouchpatientsendnote</vt:lpwstr>
      </vt:variant>
      <vt:variant>
        <vt:i4>5701759</vt:i4>
      </vt:variant>
      <vt:variant>
        <vt:i4>3777</vt:i4>
      </vt:variant>
      <vt:variant>
        <vt:i4>0</vt:i4>
      </vt:variant>
      <vt:variant>
        <vt:i4>5</vt:i4>
      </vt:variant>
      <vt:variant>
        <vt:lpwstr/>
      </vt:variant>
      <vt:variant>
        <vt:lpwstr>emergencydepartment_endnote</vt:lpwstr>
      </vt:variant>
      <vt:variant>
        <vt:i4>2031636</vt:i4>
      </vt:variant>
      <vt:variant>
        <vt:i4>3774</vt:i4>
      </vt:variant>
      <vt:variant>
        <vt:i4>0</vt:i4>
      </vt:variant>
      <vt:variant>
        <vt:i4>5</vt:i4>
      </vt:variant>
      <vt:variant>
        <vt:lpwstr/>
      </vt:variant>
      <vt:variant>
        <vt:lpwstr>pacusendnote</vt:lpwstr>
      </vt:variant>
      <vt:variant>
        <vt:i4>7340136</vt:i4>
      </vt:variant>
      <vt:variant>
        <vt:i4>3771</vt:i4>
      </vt:variant>
      <vt:variant>
        <vt:i4>0</vt:i4>
      </vt:variant>
      <vt:variant>
        <vt:i4>5</vt:i4>
      </vt:variant>
      <vt:variant>
        <vt:lpwstr/>
      </vt:variant>
      <vt:variant>
        <vt:lpwstr>neonatalICU</vt:lpwstr>
      </vt:variant>
      <vt:variant>
        <vt:i4>196616</vt:i4>
      </vt:variant>
      <vt:variant>
        <vt:i4>3768</vt:i4>
      </vt:variant>
      <vt:variant>
        <vt:i4>0</vt:i4>
      </vt:variant>
      <vt:variant>
        <vt:i4>5</vt:i4>
      </vt:variant>
      <vt:variant>
        <vt:lpwstr/>
      </vt:variant>
      <vt:variant>
        <vt:lpwstr>generalmedicalsurgicalandneuroicu</vt:lpwstr>
      </vt:variant>
      <vt:variant>
        <vt:i4>65538</vt:i4>
      </vt:variant>
      <vt:variant>
        <vt:i4>3765</vt:i4>
      </vt:variant>
      <vt:variant>
        <vt:i4>0</vt:i4>
      </vt:variant>
      <vt:variant>
        <vt:i4>5</vt:i4>
      </vt:variant>
      <vt:variant>
        <vt:lpwstr/>
      </vt:variant>
      <vt:variant>
        <vt:lpwstr>LaborandDeliveryUnits</vt:lpwstr>
      </vt:variant>
      <vt:variant>
        <vt:i4>1310795</vt:i4>
      </vt:variant>
      <vt:variant>
        <vt:i4>3762</vt:i4>
      </vt:variant>
      <vt:variant>
        <vt:i4>0</vt:i4>
      </vt:variant>
      <vt:variant>
        <vt:i4>5</vt:i4>
      </vt:variant>
      <vt:variant>
        <vt:lpwstr/>
      </vt:variant>
      <vt:variant>
        <vt:lpwstr>stepdown_progressiveunits_endnote20</vt:lpwstr>
      </vt:variant>
      <vt:variant>
        <vt:i4>1900562</vt:i4>
      </vt:variant>
      <vt:variant>
        <vt:i4>3756</vt:i4>
      </vt:variant>
      <vt:variant>
        <vt:i4>0</vt:i4>
      </vt:variant>
      <vt:variant>
        <vt:i4>5</vt:i4>
      </vt:variant>
      <vt:variant>
        <vt:lpwstr/>
      </vt:variant>
      <vt:variant>
        <vt:lpwstr>MedicalandorSurgicalUnits</vt:lpwstr>
      </vt:variant>
      <vt:variant>
        <vt:i4>5832716</vt:i4>
      </vt:variant>
      <vt:variant>
        <vt:i4>3753</vt:i4>
      </vt:variant>
      <vt:variant>
        <vt:i4>0</vt:i4>
      </vt:variant>
      <vt:variant>
        <vt:i4>5</vt:i4>
      </vt:variant>
      <vt:variant>
        <vt:lpwstr>https://www.leapfroggroup.org/survey-materials/survey-and-cpoe-materials</vt:lpwstr>
      </vt:variant>
      <vt:variant>
        <vt:lpwstr/>
      </vt:variant>
      <vt:variant>
        <vt:i4>786496</vt:i4>
      </vt:variant>
      <vt:variant>
        <vt:i4>3750</vt:i4>
      </vt:variant>
      <vt:variant>
        <vt:i4>0</vt:i4>
      </vt:variant>
      <vt:variant>
        <vt:i4>5</vt:i4>
      </vt:variant>
      <vt:variant>
        <vt:lpwstr>https://www.leapfroggroup.org/survey-materials/data-accuracy</vt:lpwstr>
      </vt:variant>
      <vt:variant>
        <vt:lpwstr/>
      </vt:variant>
      <vt:variant>
        <vt:i4>4194318</vt:i4>
      </vt:variant>
      <vt:variant>
        <vt:i4>3747</vt:i4>
      </vt:variant>
      <vt:variant>
        <vt:i4>0</vt:i4>
      </vt:variant>
      <vt:variant>
        <vt:i4>5</vt:i4>
      </vt:variant>
      <vt:variant>
        <vt:lpwstr>https://www.leapfroggroup.org/survey-materials/updating-your-hospital-survey</vt:lpwstr>
      </vt:variant>
      <vt:variant>
        <vt:lpwstr/>
      </vt:variant>
      <vt:variant>
        <vt:i4>7012470</vt:i4>
      </vt:variant>
      <vt:variant>
        <vt:i4>3744</vt:i4>
      </vt:variant>
      <vt:variant>
        <vt:i4>0</vt:i4>
      </vt:variant>
      <vt:variant>
        <vt:i4>5</vt:i4>
      </vt:variant>
      <vt:variant>
        <vt:lpwstr>https://www.who.int/teams/integrated-health-services/infection-prevention-control/hand-hygiene/monitoring-tools</vt:lpwstr>
      </vt:variant>
      <vt:variant>
        <vt:lpwstr/>
      </vt:variant>
      <vt:variant>
        <vt:i4>7798907</vt:i4>
      </vt:variant>
      <vt:variant>
        <vt:i4>3741</vt:i4>
      </vt:variant>
      <vt:variant>
        <vt:i4>0</vt:i4>
      </vt:variant>
      <vt:variant>
        <vt:i4>5</vt:i4>
      </vt:variant>
      <vt:variant>
        <vt:lpwstr>http://leapfroggroup.org/survey-materials/multi-campus-reporting-policy</vt:lpwstr>
      </vt:variant>
      <vt:variant>
        <vt:lpwstr/>
      </vt:variant>
      <vt:variant>
        <vt:i4>4915294</vt:i4>
      </vt:variant>
      <vt:variant>
        <vt:i4>3738</vt:i4>
      </vt:variant>
      <vt:variant>
        <vt:i4>0</vt:i4>
      </vt:variant>
      <vt:variant>
        <vt:i4>5</vt:i4>
      </vt:variant>
      <vt:variant>
        <vt:lpwstr>https://www.leapfroggroup.org/survey-materials/deadlines</vt:lpwstr>
      </vt:variant>
      <vt:variant>
        <vt:lpwstr/>
      </vt:variant>
      <vt:variant>
        <vt:i4>2818157</vt:i4>
      </vt:variant>
      <vt:variant>
        <vt:i4>3735</vt:i4>
      </vt:variant>
      <vt:variant>
        <vt:i4>0</vt:i4>
      </vt:variant>
      <vt:variant>
        <vt:i4>5</vt:i4>
      </vt:variant>
      <vt:variant>
        <vt:lpwstr>http://www.leapfroggroup.org/survey-materials/data-accuracy</vt:lpwstr>
      </vt:variant>
      <vt:variant>
        <vt:lpwstr/>
      </vt:variant>
      <vt:variant>
        <vt:i4>5832716</vt:i4>
      </vt:variant>
      <vt:variant>
        <vt:i4>3732</vt:i4>
      </vt:variant>
      <vt:variant>
        <vt:i4>0</vt:i4>
      </vt:variant>
      <vt:variant>
        <vt:i4>5</vt:i4>
      </vt:variant>
      <vt:variant>
        <vt:lpwstr>https://www.leapfroggroup.org/survey-materials/survey-and-cpoe-materials</vt:lpwstr>
      </vt:variant>
      <vt:variant>
        <vt:lpwstr/>
      </vt:variant>
      <vt:variant>
        <vt:i4>6750315</vt:i4>
      </vt:variant>
      <vt:variant>
        <vt:i4>3729</vt:i4>
      </vt:variant>
      <vt:variant>
        <vt:i4>0</vt:i4>
      </vt:variant>
      <vt:variant>
        <vt:i4>5</vt:i4>
      </vt:variant>
      <vt:variant>
        <vt:lpwstr>http://leapfroggroup.org/survey-materials/survey-and-cpoe-materials</vt:lpwstr>
      </vt:variant>
      <vt:variant>
        <vt:lpwstr/>
      </vt:variant>
      <vt:variant>
        <vt:i4>2031645</vt:i4>
      </vt:variant>
      <vt:variant>
        <vt:i4>3726</vt:i4>
      </vt:variant>
      <vt:variant>
        <vt:i4>0</vt:i4>
      </vt:variant>
      <vt:variant>
        <vt:i4>5</vt:i4>
      </vt:variant>
      <vt:variant>
        <vt:lpwstr>https://www.leapfroggroup.org/about/expert-panelists</vt:lpwstr>
      </vt:variant>
      <vt:variant>
        <vt:lpwstr/>
      </vt:variant>
      <vt:variant>
        <vt:i4>8323133</vt:i4>
      </vt:variant>
      <vt:variant>
        <vt:i4>3723</vt:i4>
      </vt:variant>
      <vt:variant>
        <vt:i4>0</vt:i4>
      </vt:variant>
      <vt:variant>
        <vt:i4>5</vt:i4>
      </vt:variant>
      <vt:variant>
        <vt:lpwstr>https://www.leapfroggroup.org/patient-and-family-advisory-council-pfac-toolkit-exploring-diagnostic-quality</vt:lpwstr>
      </vt:variant>
      <vt:variant>
        <vt:lpwstr/>
      </vt:variant>
      <vt:variant>
        <vt:i4>1114139</vt:i4>
      </vt:variant>
      <vt:variant>
        <vt:i4>3720</vt:i4>
      </vt:variant>
      <vt:variant>
        <vt:i4>0</vt:i4>
      </vt:variant>
      <vt:variant>
        <vt:i4>5</vt:i4>
      </vt:variant>
      <vt:variant>
        <vt:lpwstr>https://www.leapfroggroup.org/sites/default/files/Files/Root Cause Analysis of Cases Involving Diagnosis A Handbook for Healthcare Organizations.pdf</vt:lpwstr>
      </vt:variant>
      <vt:variant>
        <vt:lpwstr/>
      </vt:variant>
      <vt:variant>
        <vt:i4>3473526</vt:i4>
      </vt:variant>
      <vt:variant>
        <vt:i4>3717</vt:i4>
      </vt:variant>
      <vt:variant>
        <vt:i4>0</vt:i4>
      </vt:variant>
      <vt:variant>
        <vt:i4>5</vt:i4>
      </vt:variant>
      <vt:variant>
        <vt:lpwstr>https://www.leapfroggroup.org/influencing/recognizing-excellence-diagnosis</vt:lpwstr>
      </vt:variant>
      <vt:variant>
        <vt:lpwstr/>
      </vt:variant>
      <vt:variant>
        <vt:i4>2031645</vt:i4>
      </vt:variant>
      <vt:variant>
        <vt:i4>3714</vt:i4>
      </vt:variant>
      <vt:variant>
        <vt:i4>0</vt:i4>
      </vt:variant>
      <vt:variant>
        <vt:i4>5</vt:i4>
      </vt:variant>
      <vt:variant>
        <vt:lpwstr>https://www.leapfroggroup.org/about/expert-panelists</vt:lpwstr>
      </vt:variant>
      <vt:variant>
        <vt:lpwstr/>
      </vt:variant>
      <vt:variant>
        <vt:i4>5701759</vt:i4>
      </vt:variant>
      <vt:variant>
        <vt:i4>3711</vt:i4>
      </vt:variant>
      <vt:variant>
        <vt:i4>0</vt:i4>
      </vt:variant>
      <vt:variant>
        <vt:i4>5</vt:i4>
      </vt:variant>
      <vt:variant>
        <vt:lpwstr/>
      </vt:variant>
      <vt:variant>
        <vt:lpwstr>emergencydepartment_endnote</vt:lpwstr>
      </vt:variant>
      <vt:variant>
        <vt:i4>5701759</vt:i4>
      </vt:variant>
      <vt:variant>
        <vt:i4>3708</vt:i4>
      </vt:variant>
      <vt:variant>
        <vt:i4>0</vt:i4>
      </vt:variant>
      <vt:variant>
        <vt:i4>5</vt:i4>
      </vt:variant>
      <vt:variant>
        <vt:lpwstr/>
      </vt:variant>
      <vt:variant>
        <vt:lpwstr>emergencydepartment_endnote</vt:lpwstr>
      </vt:variant>
      <vt:variant>
        <vt:i4>3538958</vt:i4>
      </vt:variant>
      <vt:variant>
        <vt:i4>3702</vt:i4>
      </vt:variant>
      <vt:variant>
        <vt:i4>0</vt:i4>
      </vt:variant>
      <vt:variant>
        <vt:i4>5</vt:i4>
      </vt:variant>
      <vt:variant>
        <vt:lpwstr/>
      </vt:variant>
      <vt:variant>
        <vt:lpwstr>_Hospital_Boarding_in</vt:lpwstr>
      </vt:variant>
      <vt:variant>
        <vt:i4>7798907</vt:i4>
      </vt:variant>
      <vt:variant>
        <vt:i4>3699</vt:i4>
      </vt:variant>
      <vt:variant>
        <vt:i4>0</vt:i4>
      </vt:variant>
      <vt:variant>
        <vt:i4>5</vt:i4>
      </vt:variant>
      <vt:variant>
        <vt:lpwstr>http://leapfroggroup.org/survey-materials/multi-campus-reporting-policy</vt:lpwstr>
      </vt:variant>
      <vt:variant>
        <vt:lpwstr/>
      </vt:variant>
      <vt:variant>
        <vt:i4>1572955</vt:i4>
      </vt:variant>
      <vt:variant>
        <vt:i4>3696</vt:i4>
      </vt:variant>
      <vt:variant>
        <vt:i4>0</vt:i4>
      </vt:variant>
      <vt:variant>
        <vt:i4>5</vt:i4>
      </vt:variant>
      <vt:variant>
        <vt:lpwstr>https://www.ahrq.gov/teamstepps-program/diagnosis-improvement/index.html</vt:lpwstr>
      </vt:variant>
      <vt:variant>
        <vt:lpwstr/>
      </vt:variant>
      <vt:variant>
        <vt:i4>8323187</vt:i4>
      </vt:variant>
      <vt:variant>
        <vt:i4>3693</vt:i4>
      </vt:variant>
      <vt:variant>
        <vt:i4>0</vt:i4>
      </vt:variant>
      <vt:variant>
        <vt:i4>5</vt:i4>
      </vt:variant>
      <vt:variant>
        <vt:lpwstr/>
      </vt:variant>
      <vt:variant>
        <vt:lpwstr>teamstepps</vt:lpwstr>
      </vt:variant>
      <vt:variant>
        <vt:i4>2293814</vt:i4>
      </vt:variant>
      <vt:variant>
        <vt:i4>3690</vt:i4>
      </vt:variant>
      <vt:variant>
        <vt:i4>0</vt:i4>
      </vt:variant>
      <vt:variant>
        <vt:i4>5</vt:i4>
      </vt:variant>
      <vt:variant>
        <vt:lpwstr>https://www.ihi.org/sites/default/files/Safer-Dx-Checklist.pdf</vt:lpwstr>
      </vt:variant>
      <vt:variant>
        <vt:lpwstr/>
      </vt:variant>
      <vt:variant>
        <vt:i4>2293814</vt:i4>
      </vt:variant>
      <vt:variant>
        <vt:i4>3687</vt:i4>
      </vt:variant>
      <vt:variant>
        <vt:i4>0</vt:i4>
      </vt:variant>
      <vt:variant>
        <vt:i4>5</vt:i4>
      </vt:variant>
      <vt:variant>
        <vt:lpwstr>https://www.ihi.org/sites/default/files/Safer-Dx-Checklist.pdf</vt:lpwstr>
      </vt:variant>
      <vt:variant>
        <vt:lpwstr/>
      </vt:variant>
      <vt:variant>
        <vt:i4>7798907</vt:i4>
      </vt:variant>
      <vt:variant>
        <vt:i4>3684</vt:i4>
      </vt:variant>
      <vt:variant>
        <vt:i4>0</vt:i4>
      </vt:variant>
      <vt:variant>
        <vt:i4>5</vt:i4>
      </vt:variant>
      <vt:variant>
        <vt:lpwstr>http://leapfroggroup.org/survey-materials/multi-campus-reporting-policy</vt:lpwstr>
      </vt:variant>
      <vt:variant>
        <vt:lpwstr/>
      </vt:variant>
      <vt:variant>
        <vt:i4>7995488</vt:i4>
      </vt:variant>
      <vt:variant>
        <vt:i4>3678</vt:i4>
      </vt:variant>
      <vt:variant>
        <vt:i4>0</vt:i4>
      </vt:variant>
      <vt:variant>
        <vt:i4>5</vt:i4>
      </vt:variant>
      <vt:variant>
        <vt:lpwstr/>
      </vt:variant>
      <vt:variant>
        <vt:lpwstr>HHtouchpatientsendnote</vt:lpwstr>
      </vt:variant>
      <vt:variant>
        <vt:i4>786468</vt:i4>
      </vt:variant>
      <vt:variant>
        <vt:i4>3675</vt:i4>
      </vt:variant>
      <vt:variant>
        <vt:i4>0</vt:i4>
      </vt:variant>
      <vt:variant>
        <vt:i4>5</vt:i4>
      </vt:variant>
      <vt:variant>
        <vt:lpwstr/>
      </vt:variant>
      <vt:variant>
        <vt:lpwstr>HH_commitment</vt:lpwstr>
      </vt:variant>
      <vt:variant>
        <vt:i4>7995488</vt:i4>
      </vt:variant>
      <vt:variant>
        <vt:i4>3669</vt:i4>
      </vt:variant>
      <vt:variant>
        <vt:i4>0</vt:i4>
      </vt:variant>
      <vt:variant>
        <vt:i4>5</vt:i4>
      </vt:variant>
      <vt:variant>
        <vt:lpwstr/>
      </vt:variant>
      <vt:variant>
        <vt:lpwstr>HHtouchpatientsendnote</vt:lpwstr>
      </vt:variant>
      <vt:variant>
        <vt:i4>1638459</vt:i4>
      </vt:variant>
      <vt:variant>
        <vt:i4>3666</vt:i4>
      </vt:variant>
      <vt:variant>
        <vt:i4>0</vt:i4>
      </vt:variant>
      <vt:variant>
        <vt:i4>5</vt:i4>
      </vt:variant>
      <vt:variant>
        <vt:lpwstr/>
      </vt:variant>
      <vt:variant>
        <vt:lpwstr>HH_remind</vt:lpwstr>
      </vt:variant>
      <vt:variant>
        <vt:i4>1114164</vt:i4>
      </vt:variant>
      <vt:variant>
        <vt:i4>3663</vt:i4>
      </vt:variant>
      <vt:variant>
        <vt:i4>0</vt:i4>
      </vt:variant>
      <vt:variant>
        <vt:i4>5</vt:i4>
      </vt:variant>
      <vt:variant>
        <vt:lpwstr/>
      </vt:variant>
      <vt:variant>
        <vt:lpwstr>HH_accountability</vt:lpwstr>
      </vt:variant>
      <vt:variant>
        <vt:i4>1703945</vt:i4>
      </vt:variant>
      <vt:variant>
        <vt:i4>3660</vt:i4>
      </vt:variant>
      <vt:variant>
        <vt:i4>0</vt:i4>
      </vt:variant>
      <vt:variant>
        <vt:i4>5</vt:i4>
      </vt:variant>
      <vt:variant>
        <vt:lpwstr/>
      </vt:variant>
      <vt:variant>
        <vt:lpwstr>NursingLeadership</vt:lpwstr>
      </vt:variant>
      <vt:variant>
        <vt:i4>7012476</vt:i4>
      </vt:variant>
      <vt:variant>
        <vt:i4>3657</vt:i4>
      </vt:variant>
      <vt:variant>
        <vt:i4>0</vt:i4>
      </vt:variant>
      <vt:variant>
        <vt:i4>5</vt:i4>
      </vt:variant>
      <vt:variant>
        <vt:lpwstr/>
      </vt:variant>
      <vt:variant>
        <vt:lpwstr>PhysicianLeadership</vt:lpwstr>
      </vt:variant>
      <vt:variant>
        <vt:i4>6815841</vt:i4>
      </vt:variant>
      <vt:variant>
        <vt:i4>3654</vt:i4>
      </vt:variant>
      <vt:variant>
        <vt:i4>0</vt:i4>
      </vt:variant>
      <vt:variant>
        <vt:i4>5</vt:i4>
      </vt:variant>
      <vt:variant>
        <vt:lpwstr/>
      </vt:variant>
      <vt:variant>
        <vt:lpwstr>SeniorAdministrativeLeadership</vt:lpwstr>
      </vt:variant>
      <vt:variant>
        <vt:i4>6619245</vt:i4>
      </vt:variant>
      <vt:variant>
        <vt:i4>3651</vt:i4>
      </vt:variant>
      <vt:variant>
        <vt:i4>0</vt:i4>
      </vt:variant>
      <vt:variant>
        <vt:i4>5</vt:i4>
      </vt:variant>
      <vt:variant>
        <vt:lpwstr/>
      </vt:variant>
      <vt:variant>
        <vt:lpwstr>MEC</vt:lpwstr>
      </vt:variant>
      <vt:variant>
        <vt:i4>1900547</vt:i4>
      </vt:variant>
      <vt:variant>
        <vt:i4>3648</vt:i4>
      </vt:variant>
      <vt:variant>
        <vt:i4>0</vt:i4>
      </vt:variant>
      <vt:variant>
        <vt:i4>5</vt:i4>
      </vt:variant>
      <vt:variant>
        <vt:lpwstr/>
      </vt:variant>
      <vt:variant>
        <vt:lpwstr>Board</vt:lpwstr>
      </vt:variant>
      <vt:variant>
        <vt:i4>1703945</vt:i4>
      </vt:variant>
      <vt:variant>
        <vt:i4>3645</vt:i4>
      </vt:variant>
      <vt:variant>
        <vt:i4>0</vt:i4>
      </vt:variant>
      <vt:variant>
        <vt:i4>5</vt:i4>
      </vt:variant>
      <vt:variant>
        <vt:lpwstr/>
      </vt:variant>
      <vt:variant>
        <vt:lpwstr>NursingLeadership</vt:lpwstr>
      </vt:variant>
      <vt:variant>
        <vt:i4>7012476</vt:i4>
      </vt:variant>
      <vt:variant>
        <vt:i4>3642</vt:i4>
      </vt:variant>
      <vt:variant>
        <vt:i4>0</vt:i4>
      </vt:variant>
      <vt:variant>
        <vt:i4>5</vt:i4>
      </vt:variant>
      <vt:variant>
        <vt:lpwstr/>
      </vt:variant>
      <vt:variant>
        <vt:lpwstr>PhysicianLeadership</vt:lpwstr>
      </vt:variant>
      <vt:variant>
        <vt:i4>6815841</vt:i4>
      </vt:variant>
      <vt:variant>
        <vt:i4>3639</vt:i4>
      </vt:variant>
      <vt:variant>
        <vt:i4>0</vt:i4>
      </vt:variant>
      <vt:variant>
        <vt:i4>5</vt:i4>
      </vt:variant>
      <vt:variant>
        <vt:lpwstr/>
      </vt:variant>
      <vt:variant>
        <vt:lpwstr>SeniorAdministrativeLeadership</vt:lpwstr>
      </vt:variant>
      <vt:variant>
        <vt:i4>7995488</vt:i4>
      </vt:variant>
      <vt:variant>
        <vt:i4>3633</vt:i4>
      </vt:variant>
      <vt:variant>
        <vt:i4>0</vt:i4>
      </vt:variant>
      <vt:variant>
        <vt:i4>5</vt:i4>
      </vt:variant>
      <vt:variant>
        <vt:lpwstr/>
      </vt:variant>
      <vt:variant>
        <vt:lpwstr>HHtouchpatientsendnote</vt:lpwstr>
      </vt:variant>
      <vt:variant>
        <vt:i4>7995488</vt:i4>
      </vt:variant>
      <vt:variant>
        <vt:i4>3627</vt:i4>
      </vt:variant>
      <vt:variant>
        <vt:i4>0</vt:i4>
      </vt:variant>
      <vt:variant>
        <vt:i4>5</vt:i4>
      </vt:variant>
      <vt:variant>
        <vt:lpwstr/>
      </vt:variant>
      <vt:variant>
        <vt:lpwstr>HHtouchpatientsendnote</vt:lpwstr>
      </vt:variant>
      <vt:variant>
        <vt:i4>7995488</vt:i4>
      </vt:variant>
      <vt:variant>
        <vt:i4>3621</vt:i4>
      </vt:variant>
      <vt:variant>
        <vt:i4>0</vt:i4>
      </vt:variant>
      <vt:variant>
        <vt:i4>5</vt:i4>
      </vt:variant>
      <vt:variant>
        <vt:lpwstr/>
      </vt:variant>
      <vt:variant>
        <vt:lpwstr>HHtouchpatientsendnote</vt:lpwstr>
      </vt:variant>
      <vt:variant>
        <vt:i4>7995488</vt:i4>
      </vt:variant>
      <vt:variant>
        <vt:i4>3615</vt:i4>
      </vt:variant>
      <vt:variant>
        <vt:i4>0</vt:i4>
      </vt:variant>
      <vt:variant>
        <vt:i4>5</vt:i4>
      </vt:variant>
      <vt:variant>
        <vt:lpwstr/>
      </vt:variant>
      <vt:variant>
        <vt:lpwstr>HHtouchpatientsendnote</vt:lpwstr>
      </vt:variant>
      <vt:variant>
        <vt:i4>7995488</vt:i4>
      </vt:variant>
      <vt:variant>
        <vt:i4>3609</vt:i4>
      </vt:variant>
      <vt:variant>
        <vt:i4>0</vt:i4>
      </vt:variant>
      <vt:variant>
        <vt:i4>5</vt:i4>
      </vt:variant>
      <vt:variant>
        <vt:lpwstr/>
      </vt:variant>
      <vt:variant>
        <vt:lpwstr>HHtouchpatientsendnote</vt:lpwstr>
      </vt:variant>
      <vt:variant>
        <vt:i4>7995488</vt:i4>
      </vt:variant>
      <vt:variant>
        <vt:i4>3603</vt:i4>
      </vt:variant>
      <vt:variant>
        <vt:i4>0</vt:i4>
      </vt:variant>
      <vt:variant>
        <vt:i4>5</vt:i4>
      </vt:variant>
      <vt:variant>
        <vt:lpwstr/>
      </vt:variant>
      <vt:variant>
        <vt:lpwstr>HHtouchpatientsendnote</vt:lpwstr>
      </vt:variant>
      <vt:variant>
        <vt:i4>7995488</vt:i4>
      </vt:variant>
      <vt:variant>
        <vt:i4>3597</vt:i4>
      </vt:variant>
      <vt:variant>
        <vt:i4>0</vt:i4>
      </vt:variant>
      <vt:variant>
        <vt:i4>5</vt:i4>
      </vt:variant>
      <vt:variant>
        <vt:lpwstr/>
      </vt:variant>
      <vt:variant>
        <vt:lpwstr>HHtouchpatientsendnote</vt:lpwstr>
      </vt:variant>
      <vt:variant>
        <vt:i4>7667809</vt:i4>
      </vt:variant>
      <vt:variant>
        <vt:i4>3594</vt:i4>
      </vt:variant>
      <vt:variant>
        <vt:i4>0</vt:i4>
      </vt:variant>
      <vt:variant>
        <vt:i4>5</vt:i4>
      </vt:variant>
      <vt:variant>
        <vt:lpwstr>https://www.cdc.gov/mmwr/PDF/rr/rr5116.pdf</vt:lpwstr>
      </vt:variant>
      <vt:variant>
        <vt:lpwstr/>
      </vt:variant>
      <vt:variant>
        <vt:i4>5177414</vt:i4>
      </vt:variant>
      <vt:variant>
        <vt:i4>3591</vt:i4>
      </vt:variant>
      <vt:variant>
        <vt:i4>0</vt:i4>
      </vt:variant>
      <vt:variant>
        <vt:i4>5</vt:i4>
      </vt:variant>
      <vt:variant>
        <vt:lpwstr>https://www.who.int/campaigns/world-hand-hygiene-day</vt:lpwstr>
      </vt:variant>
      <vt:variant>
        <vt:lpwstr/>
      </vt:variant>
      <vt:variant>
        <vt:i4>7995488</vt:i4>
      </vt:variant>
      <vt:variant>
        <vt:i4>3585</vt:i4>
      </vt:variant>
      <vt:variant>
        <vt:i4>0</vt:i4>
      </vt:variant>
      <vt:variant>
        <vt:i4>5</vt:i4>
      </vt:variant>
      <vt:variant>
        <vt:lpwstr/>
      </vt:variant>
      <vt:variant>
        <vt:lpwstr>HHtouchpatientsendnote</vt:lpwstr>
      </vt:variant>
      <vt:variant>
        <vt:i4>8323144</vt:i4>
      </vt:variant>
      <vt:variant>
        <vt:i4>3582</vt:i4>
      </vt:variant>
      <vt:variant>
        <vt:i4>0</vt:i4>
      </vt:variant>
      <vt:variant>
        <vt:i4>5</vt:i4>
      </vt:variant>
      <vt:variant>
        <vt:lpwstr/>
      </vt:variant>
      <vt:variant>
        <vt:lpwstr>HH_demonstrate</vt:lpwstr>
      </vt:variant>
      <vt:variant>
        <vt:i4>7995488</vt:i4>
      </vt:variant>
      <vt:variant>
        <vt:i4>3576</vt:i4>
      </vt:variant>
      <vt:variant>
        <vt:i4>0</vt:i4>
      </vt:variant>
      <vt:variant>
        <vt:i4>5</vt:i4>
      </vt:variant>
      <vt:variant>
        <vt:lpwstr/>
      </vt:variant>
      <vt:variant>
        <vt:lpwstr>HHtouchpatientsendnote</vt:lpwstr>
      </vt:variant>
      <vt:variant>
        <vt:i4>589827</vt:i4>
      </vt:variant>
      <vt:variant>
        <vt:i4>3573</vt:i4>
      </vt:variant>
      <vt:variant>
        <vt:i4>0</vt:i4>
      </vt:variant>
      <vt:variant>
        <vt:i4>5</vt:i4>
      </vt:variant>
      <vt:variant>
        <vt:lpwstr/>
      </vt:variant>
      <vt:variant>
        <vt:lpwstr>profwapproptrainandskill</vt:lpwstr>
      </vt:variant>
      <vt:variant>
        <vt:i4>7995488</vt:i4>
      </vt:variant>
      <vt:variant>
        <vt:i4>3570</vt:i4>
      </vt:variant>
      <vt:variant>
        <vt:i4>0</vt:i4>
      </vt:variant>
      <vt:variant>
        <vt:i4>5</vt:i4>
      </vt:variant>
      <vt:variant>
        <vt:lpwstr/>
      </vt:variant>
      <vt:variant>
        <vt:lpwstr>HHtouchpatientsendnote</vt:lpwstr>
      </vt:variant>
      <vt:variant>
        <vt:i4>1835052</vt:i4>
      </vt:variant>
      <vt:variant>
        <vt:i4>3564</vt:i4>
      </vt:variant>
      <vt:variant>
        <vt:i4>0</vt:i4>
      </vt:variant>
      <vt:variant>
        <vt:i4>5</vt:i4>
      </vt:variant>
      <vt:variant>
        <vt:lpwstr/>
      </vt:variant>
      <vt:variant>
        <vt:lpwstr>_Hand_Hygiene_Measure</vt:lpwstr>
      </vt:variant>
      <vt:variant>
        <vt:i4>1835052</vt:i4>
      </vt:variant>
      <vt:variant>
        <vt:i4>3561</vt:i4>
      </vt:variant>
      <vt:variant>
        <vt:i4>0</vt:i4>
      </vt:variant>
      <vt:variant>
        <vt:i4>5</vt:i4>
      </vt:variant>
      <vt:variant>
        <vt:lpwstr/>
      </vt:variant>
      <vt:variant>
        <vt:lpwstr>_Hand_Hygiene_Measure</vt:lpwstr>
      </vt:variant>
      <vt:variant>
        <vt:i4>7012470</vt:i4>
      </vt:variant>
      <vt:variant>
        <vt:i4>3558</vt:i4>
      </vt:variant>
      <vt:variant>
        <vt:i4>0</vt:i4>
      </vt:variant>
      <vt:variant>
        <vt:i4>5</vt:i4>
      </vt:variant>
      <vt:variant>
        <vt:lpwstr>https://www.who.int/teams/integrated-health-services/infection-prevention-control/hand-hygiene/monitoring-tools</vt:lpwstr>
      </vt:variant>
      <vt:variant>
        <vt:lpwstr/>
      </vt:variant>
      <vt:variant>
        <vt:i4>3538973</vt:i4>
      </vt:variant>
      <vt:variant>
        <vt:i4>3555</vt:i4>
      </vt:variant>
      <vt:variant>
        <vt:i4>0</vt:i4>
      </vt:variant>
      <vt:variant>
        <vt:i4>5</vt:i4>
      </vt:variant>
      <vt:variant>
        <vt:lpwstr/>
      </vt:variant>
      <vt:variant>
        <vt:lpwstr>_Patient_Safety_Practices</vt:lpwstr>
      </vt:variant>
      <vt:variant>
        <vt:i4>7798907</vt:i4>
      </vt:variant>
      <vt:variant>
        <vt:i4>3552</vt:i4>
      </vt:variant>
      <vt:variant>
        <vt:i4>0</vt:i4>
      </vt:variant>
      <vt:variant>
        <vt:i4>5</vt:i4>
      </vt:variant>
      <vt:variant>
        <vt:lpwstr>http://leapfroggroup.org/survey-materials/multi-campus-reporting-policy</vt:lpwstr>
      </vt:variant>
      <vt:variant>
        <vt:lpwstr/>
      </vt:variant>
      <vt:variant>
        <vt:i4>6815841</vt:i4>
      </vt:variant>
      <vt:variant>
        <vt:i4>3549</vt:i4>
      </vt:variant>
      <vt:variant>
        <vt:i4>0</vt:i4>
      </vt:variant>
      <vt:variant>
        <vt:i4>5</vt:i4>
      </vt:variant>
      <vt:variant>
        <vt:lpwstr/>
      </vt:variant>
      <vt:variant>
        <vt:lpwstr>SeniorAdministrativeLeadership</vt:lpwstr>
      </vt:variant>
      <vt:variant>
        <vt:i4>6815841</vt:i4>
      </vt:variant>
      <vt:variant>
        <vt:i4>3546</vt:i4>
      </vt:variant>
      <vt:variant>
        <vt:i4>0</vt:i4>
      </vt:variant>
      <vt:variant>
        <vt:i4>5</vt:i4>
      </vt:variant>
      <vt:variant>
        <vt:lpwstr/>
      </vt:variant>
      <vt:variant>
        <vt:lpwstr>SeniorAdministrativeLeadership</vt:lpwstr>
      </vt:variant>
      <vt:variant>
        <vt:i4>6160474</vt:i4>
      </vt:variant>
      <vt:variant>
        <vt:i4>3543</vt:i4>
      </vt:variant>
      <vt:variant>
        <vt:i4>0</vt:i4>
      </vt:variant>
      <vt:variant>
        <vt:i4>5</vt:i4>
      </vt:variant>
      <vt:variant>
        <vt:lpwstr/>
      </vt:variant>
      <vt:variant>
        <vt:lpwstr>SP2_1e_vs_2_4b</vt:lpwstr>
      </vt:variant>
      <vt:variant>
        <vt:i4>6684771</vt:i4>
      </vt:variant>
      <vt:variant>
        <vt:i4>3540</vt:i4>
      </vt:variant>
      <vt:variant>
        <vt:i4>0</vt:i4>
      </vt:variant>
      <vt:variant>
        <vt:i4>5</vt:i4>
      </vt:variant>
      <vt:variant>
        <vt:lpwstr/>
      </vt:variant>
      <vt:variant>
        <vt:lpwstr>Budget</vt:lpwstr>
      </vt:variant>
      <vt:variant>
        <vt:i4>5111922</vt:i4>
      </vt:variant>
      <vt:variant>
        <vt:i4>3537</vt:i4>
      </vt:variant>
      <vt:variant>
        <vt:i4>0</vt:i4>
      </vt:variant>
      <vt:variant>
        <vt:i4>5</vt:i4>
      </vt:variant>
      <vt:variant>
        <vt:lpwstr/>
      </vt:variant>
      <vt:variant>
        <vt:lpwstr>SP2_3a</vt:lpwstr>
      </vt:variant>
      <vt:variant>
        <vt:i4>6815841</vt:i4>
      </vt:variant>
      <vt:variant>
        <vt:i4>3534</vt:i4>
      </vt:variant>
      <vt:variant>
        <vt:i4>0</vt:i4>
      </vt:variant>
      <vt:variant>
        <vt:i4>5</vt:i4>
      </vt:variant>
      <vt:variant>
        <vt:lpwstr/>
      </vt:variant>
      <vt:variant>
        <vt:lpwstr>SeniorAdministrativeLeadership</vt:lpwstr>
      </vt:variant>
      <vt:variant>
        <vt:i4>4980851</vt:i4>
      </vt:variant>
      <vt:variant>
        <vt:i4>3531</vt:i4>
      </vt:variant>
      <vt:variant>
        <vt:i4>0</vt:i4>
      </vt:variant>
      <vt:variant>
        <vt:i4>5</vt:i4>
      </vt:variant>
      <vt:variant>
        <vt:lpwstr/>
      </vt:variant>
      <vt:variant>
        <vt:lpwstr>SP2_2c</vt:lpwstr>
      </vt:variant>
      <vt:variant>
        <vt:i4>6815841</vt:i4>
      </vt:variant>
      <vt:variant>
        <vt:i4>3528</vt:i4>
      </vt:variant>
      <vt:variant>
        <vt:i4>0</vt:i4>
      </vt:variant>
      <vt:variant>
        <vt:i4>5</vt:i4>
      </vt:variant>
      <vt:variant>
        <vt:lpwstr/>
      </vt:variant>
      <vt:variant>
        <vt:lpwstr>SeniorAdministrativeLeadership</vt:lpwstr>
      </vt:variant>
      <vt:variant>
        <vt:i4>1900547</vt:i4>
      </vt:variant>
      <vt:variant>
        <vt:i4>3525</vt:i4>
      </vt:variant>
      <vt:variant>
        <vt:i4>0</vt:i4>
      </vt:variant>
      <vt:variant>
        <vt:i4>5</vt:i4>
      </vt:variant>
      <vt:variant>
        <vt:lpwstr/>
      </vt:variant>
      <vt:variant>
        <vt:lpwstr>Board</vt:lpwstr>
      </vt:variant>
      <vt:variant>
        <vt:i4>6160474</vt:i4>
      </vt:variant>
      <vt:variant>
        <vt:i4>3522</vt:i4>
      </vt:variant>
      <vt:variant>
        <vt:i4>0</vt:i4>
      </vt:variant>
      <vt:variant>
        <vt:i4>5</vt:i4>
      </vt:variant>
      <vt:variant>
        <vt:lpwstr/>
      </vt:variant>
      <vt:variant>
        <vt:lpwstr>SP2_1e_vs_2_4b</vt:lpwstr>
      </vt:variant>
      <vt:variant>
        <vt:i4>7667829</vt:i4>
      </vt:variant>
      <vt:variant>
        <vt:i4>3519</vt:i4>
      </vt:variant>
      <vt:variant>
        <vt:i4>0</vt:i4>
      </vt:variant>
      <vt:variant>
        <vt:i4>5</vt:i4>
      </vt:variant>
      <vt:variant>
        <vt:lpwstr/>
      </vt:variant>
      <vt:variant>
        <vt:lpwstr>ForthepurposesofreportingonSection6</vt:lpwstr>
      </vt:variant>
      <vt:variant>
        <vt:i4>4915312</vt:i4>
      </vt:variant>
      <vt:variant>
        <vt:i4>3516</vt:i4>
      </vt:variant>
      <vt:variant>
        <vt:i4>0</vt:i4>
      </vt:variant>
      <vt:variant>
        <vt:i4>5</vt:i4>
      </vt:variant>
      <vt:variant>
        <vt:lpwstr/>
      </vt:variant>
      <vt:variant>
        <vt:lpwstr>SP2_1d</vt:lpwstr>
      </vt:variant>
      <vt:variant>
        <vt:i4>4980848</vt:i4>
      </vt:variant>
      <vt:variant>
        <vt:i4>3513</vt:i4>
      </vt:variant>
      <vt:variant>
        <vt:i4>0</vt:i4>
      </vt:variant>
      <vt:variant>
        <vt:i4>5</vt:i4>
      </vt:variant>
      <vt:variant>
        <vt:lpwstr/>
      </vt:variant>
      <vt:variant>
        <vt:lpwstr>SP2_1c</vt:lpwstr>
      </vt:variant>
      <vt:variant>
        <vt:i4>2818104</vt:i4>
      </vt:variant>
      <vt:variant>
        <vt:i4>3510</vt:i4>
      </vt:variant>
      <vt:variant>
        <vt:i4>0</vt:i4>
      </vt:variant>
      <vt:variant>
        <vt:i4>5</vt:i4>
      </vt:variant>
      <vt:variant>
        <vt:lpwstr/>
      </vt:variant>
      <vt:variant>
        <vt:lpwstr>SP2_1a_CultureSurvey</vt:lpwstr>
      </vt:variant>
      <vt:variant>
        <vt:i4>6226035</vt:i4>
      </vt:variant>
      <vt:variant>
        <vt:i4>3507</vt:i4>
      </vt:variant>
      <vt:variant>
        <vt:i4>0</vt:i4>
      </vt:variant>
      <vt:variant>
        <vt:i4>5</vt:i4>
      </vt:variant>
      <vt:variant>
        <vt:lpwstr/>
      </vt:variant>
      <vt:variant>
        <vt:lpwstr>_NQF_Safe_Practice</vt:lpwstr>
      </vt:variant>
      <vt:variant>
        <vt:i4>3538973</vt:i4>
      </vt:variant>
      <vt:variant>
        <vt:i4>3501</vt:i4>
      </vt:variant>
      <vt:variant>
        <vt:i4>0</vt:i4>
      </vt:variant>
      <vt:variant>
        <vt:i4>5</vt:i4>
      </vt:variant>
      <vt:variant>
        <vt:lpwstr/>
      </vt:variant>
      <vt:variant>
        <vt:lpwstr>_Patient_Safety_Practices</vt:lpwstr>
      </vt:variant>
      <vt:variant>
        <vt:i4>3932286</vt:i4>
      </vt:variant>
      <vt:variant>
        <vt:i4>3498</vt:i4>
      </vt:variant>
      <vt:variant>
        <vt:i4>0</vt:i4>
      </vt:variant>
      <vt:variant>
        <vt:i4>5</vt:i4>
      </vt:variant>
      <vt:variant>
        <vt:lpwstr>https://nam02.safelinks.protection.outlook.com/?url=http%3A%2F%2Fwww.leapfroggroup.org%2Fsurvey-materials%2Fsurvey-and-cpoe-materials&amp;data=05%7C02%7CLKaufman%40leapfrog-group.org%7C60396fa6210e4710503608de0da04068%7C95c34b8315eb4d9a97a7f29881f4a800%7C0%7C0%7C638963179102269152%7CUnknown%7CTWFpbGZsb3d8eyJFbXB0eU1hcGkiOnRydWUsIlYiOiIwLjAuMDAwMCIsIlAiOiJXaW4zMiIsIkFOIjoiTWFpbCIsIldUIjoyfQ%3D%3D%7C0%7C%7C%7C&amp;sdata=4xDAuGzvM2ot3uaobcEDqactLBa6MbAsoh47EprlmjE%3D&amp;reserved=0</vt:lpwstr>
      </vt:variant>
      <vt:variant>
        <vt:lpwstr/>
      </vt:variant>
      <vt:variant>
        <vt:i4>7798907</vt:i4>
      </vt:variant>
      <vt:variant>
        <vt:i4>3495</vt:i4>
      </vt:variant>
      <vt:variant>
        <vt:i4>0</vt:i4>
      </vt:variant>
      <vt:variant>
        <vt:i4>5</vt:i4>
      </vt:variant>
      <vt:variant>
        <vt:lpwstr>http://leapfroggroup.org/survey-materials/multi-campus-reporting-policy</vt:lpwstr>
      </vt:variant>
      <vt:variant>
        <vt:lpwstr/>
      </vt:variant>
      <vt:variant>
        <vt:i4>3932193</vt:i4>
      </vt:variant>
      <vt:variant>
        <vt:i4>3492</vt:i4>
      </vt:variant>
      <vt:variant>
        <vt:i4>0</vt:i4>
      </vt:variant>
      <vt:variant>
        <vt:i4>5</vt:i4>
      </vt:variant>
      <vt:variant>
        <vt:lpwstr/>
      </vt:variant>
      <vt:variant>
        <vt:lpwstr>SP1_4c_StructureforInput</vt:lpwstr>
      </vt:variant>
      <vt:variant>
        <vt:i4>7667829</vt:i4>
      </vt:variant>
      <vt:variant>
        <vt:i4>3489</vt:i4>
      </vt:variant>
      <vt:variant>
        <vt:i4>0</vt:i4>
      </vt:variant>
      <vt:variant>
        <vt:i4>5</vt:i4>
      </vt:variant>
      <vt:variant>
        <vt:lpwstr/>
      </vt:variant>
      <vt:variant>
        <vt:lpwstr>ForthepurposesofreportingonSection6</vt:lpwstr>
      </vt:variant>
      <vt:variant>
        <vt:i4>4390997</vt:i4>
      </vt:variant>
      <vt:variant>
        <vt:i4>3486</vt:i4>
      </vt:variant>
      <vt:variant>
        <vt:i4>0</vt:i4>
      </vt:variant>
      <vt:variant>
        <vt:i4>5</vt:i4>
      </vt:variant>
      <vt:variant>
        <vt:lpwstr/>
      </vt:variant>
      <vt:variant>
        <vt:lpwstr>SP1_4b_ActivelyEngaged</vt:lpwstr>
      </vt:variant>
      <vt:variant>
        <vt:i4>1900547</vt:i4>
      </vt:variant>
      <vt:variant>
        <vt:i4>3483</vt:i4>
      </vt:variant>
      <vt:variant>
        <vt:i4>0</vt:i4>
      </vt:variant>
      <vt:variant>
        <vt:i4>5</vt:i4>
      </vt:variant>
      <vt:variant>
        <vt:lpwstr/>
      </vt:variant>
      <vt:variant>
        <vt:lpwstr>Board</vt:lpwstr>
      </vt:variant>
      <vt:variant>
        <vt:i4>3080238</vt:i4>
      </vt:variant>
      <vt:variant>
        <vt:i4>3480</vt:i4>
      </vt:variant>
      <vt:variant>
        <vt:i4>0</vt:i4>
      </vt:variant>
      <vt:variant>
        <vt:i4>5</vt:i4>
      </vt:variant>
      <vt:variant>
        <vt:lpwstr/>
      </vt:variant>
      <vt:variant>
        <vt:lpwstr>SP1_4a_PersonallyEngaged</vt:lpwstr>
      </vt:variant>
      <vt:variant>
        <vt:i4>6815841</vt:i4>
      </vt:variant>
      <vt:variant>
        <vt:i4>3477</vt:i4>
      </vt:variant>
      <vt:variant>
        <vt:i4>0</vt:i4>
      </vt:variant>
      <vt:variant>
        <vt:i4>5</vt:i4>
      </vt:variant>
      <vt:variant>
        <vt:lpwstr/>
      </vt:variant>
      <vt:variant>
        <vt:lpwstr>SeniorAdministrativeLeadership</vt:lpwstr>
      </vt:variant>
      <vt:variant>
        <vt:i4>6815841</vt:i4>
      </vt:variant>
      <vt:variant>
        <vt:i4>3474</vt:i4>
      </vt:variant>
      <vt:variant>
        <vt:i4>0</vt:i4>
      </vt:variant>
      <vt:variant>
        <vt:i4>5</vt:i4>
      </vt:variant>
      <vt:variant>
        <vt:lpwstr/>
      </vt:variant>
      <vt:variant>
        <vt:lpwstr>SeniorAdministrativeLeadership</vt:lpwstr>
      </vt:variant>
      <vt:variant>
        <vt:i4>6684771</vt:i4>
      </vt:variant>
      <vt:variant>
        <vt:i4>3471</vt:i4>
      </vt:variant>
      <vt:variant>
        <vt:i4>0</vt:i4>
      </vt:variant>
      <vt:variant>
        <vt:i4>5</vt:i4>
      </vt:variant>
      <vt:variant>
        <vt:lpwstr/>
      </vt:variant>
      <vt:variant>
        <vt:lpwstr>Budget</vt:lpwstr>
      </vt:variant>
      <vt:variant>
        <vt:i4>6815841</vt:i4>
      </vt:variant>
      <vt:variant>
        <vt:i4>3468</vt:i4>
      </vt:variant>
      <vt:variant>
        <vt:i4>0</vt:i4>
      </vt:variant>
      <vt:variant>
        <vt:i4>5</vt:i4>
      </vt:variant>
      <vt:variant>
        <vt:lpwstr/>
      </vt:variant>
      <vt:variant>
        <vt:lpwstr>SeniorAdministrativeLeadership</vt:lpwstr>
      </vt:variant>
      <vt:variant>
        <vt:i4>1900547</vt:i4>
      </vt:variant>
      <vt:variant>
        <vt:i4>3465</vt:i4>
      </vt:variant>
      <vt:variant>
        <vt:i4>0</vt:i4>
      </vt:variant>
      <vt:variant>
        <vt:i4>5</vt:i4>
      </vt:variant>
      <vt:variant>
        <vt:lpwstr/>
      </vt:variant>
      <vt:variant>
        <vt:lpwstr>Board</vt:lpwstr>
      </vt:variant>
      <vt:variant>
        <vt:i4>4849776</vt:i4>
      </vt:variant>
      <vt:variant>
        <vt:i4>3462</vt:i4>
      </vt:variant>
      <vt:variant>
        <vt:i4>0</vt:i4>
      </vt:variant>
      <vt:variant>
        <vt:i4>5</vt:i4>
      </vt:variant>
      <vt:variant>
        <vt:lpwstr/>
      </vt:variant>
      <vt:variant>
        <vt:lpwstr>SP1_2e</vt:lpwstr>
      </vt:variant>
      <vt:variant>
        <vt:i4>1900544</vt:i4>
      </vt:variant>
      <vt:variant>
        <vt:i4>3459</vt:i4>
      </vt:variant>
      <vt:variant>
        <vt:i4>0</vt:i4>
      </vt:variant>
      <vt:variant>
        <vt:i4>5</vt:i4>
      </vt:variant>
      <vt:variant>
        <vt:lpwstr/>
      </vt:variant>
      <vt:variant>
        <vt:lpwstr>TeamTraining</vt:lpwstr>
      </vt:variant>
      <vt:variant>
        <vt:i4>6815841</vt:i4>
      </vt:variant>
      <vt:variant>
        <vt:i4>3456</vt:i4>
      </vt:variant>
      <vt:variant>
        <vt:i4>0</vt:i4>
      </vt:variant>
      <vt:variant>
        <vt:i4>5</vt:i4>
      </vt:variant>
      <vt:variant>
        <vt:lpwstr/>
      </vt:variant>
      <vt:variant>
        <vt:lpwstr>SeniorAdministrativeLeadership</vt:lpwstr>
      </vt:variant>
      <vt:variant>
        <vt:i4>2752605</vt:i4>
      </vt:variant>
      <vt:variant>
        <vt:i4>3453</vt:i4>
      </vt:variant>
      <vt:variant>
        <vt:i4>0</vt:i4>
      </vt:variant>
      <vt:variant>
        <vt:i4>5</vt:i4>
      </vt:variant>
      <vt:variant>
        <vt:lpwstr/>
      </vt:variant>
      <vt:variant>
        <vt:lpwstr>SP1_RegularCommunication</vt:lpwstr>
      </vt:variant>
      <vt:variant>
        <vt:i4>4915312</vt:i4>
      </vt:variant>
      <vt:variant>
        <vt:i4>3450</vt:i4>
      </vt:variant>
      <vt:variant>
        <vt:i4>0</vt:i4>
      </vt:variant>
      <vt:variant>
        <vt:i4>5</vt:i4>
      </vt:variant>
      <vt:variant>
        <vt:lpwstr/>
      </vt:variant>
      <vt:variant>
        <vt:lpwstr>SP1_2d</vt:lpwstr>
      </vt:variant>
      <vt:variant>
        <vt:i4>262172</vt:i4>
      </vt:variant>
      <vt:variant>
        <vt:i4>3447</vt:i4>
      </vt:variant>
      <vt:variant>
        <vt:i4>0</vt:i4>
      </vt:variant>
      <vt:variant>
        <vt:i4>5</vt:i4>
      </vt:variant>
      <vt:variant>
        <vt:lpwstr/>
      </vt:variant>
      <vt:variant>
        <vt:lpwstr>PerformanceReviewsorCompensation</vt:lpwstr>
      </vt:variant>
      <vt:variant>
        <vt:i4>6815841</vt:i4>
      </vt:variant>
      <vt:variant>
        <vt:i4>3444</vt:i4>
      </vt:variant>
      <vt:variant>
        <vt:i4>0</vt:i4>
      </vt:variant>
      <vt:variant>
        <vt:i4>5</vt:i4>
      </vt:variant>
      <vt:variant>
        <vt:lpwstr/>
      </vt:variant>
      <vt:variant>
        <vt:lpwstr>SeniorAdministrativeLeadership</vt:lpwstr>
      </vt:variant>
      <vt:variant>
        <vt:i4>1900547</vt:i4>
      </vt:variant>
      <vt:variant>
        <vt:i4>3441</vt:i4>
      </vt:variant>
      <vt:variant>
        <vt:i4>0</vt:i4>
      </vt:variant>
      <vt:variant>
        <vt:i4>5</vt:i4>
      </vt:variant>
      <vt:variant>
        <vt:lpwstr/>
      </vt:variant>
      <vt:variant>
        <vt:lpwstr>Board</vt:lpwstr>
      </vt:variant>
      <vt:variant>
        <vt:i4>2752605</vt:i4>
      </vt:variant>
      <vt:variant>
        <vt:i4>3438</vt:i4>
      </vt:variant>
      <vt:variant>
        <vt:i4>0</vt:i4>
      </vt:variant>
      <vt:variant>
        <vt:i4>5</vt:i4>
      </vt:variant>
      <vt:variant>
        <vt:lpwstr/>
      </vt:variant>
      <vt:variant>
        <vt:lpwstr>SP1_RegularCommunication</vt:lpwstr>
      </vt:variant>
      <vt:variant>
        <vt:i4>2031618</vt:i4>
      </vt:variant>
      <vt:variant>
        <vt:i4>3435</vt:i4>
      </vt:variant>
      <vt:variant>
        <vt:i4>0</vt:i4>
      </vt:variant>
      <vt:variant>
        <vt:i4>5</vt:i4>
      </vt:variant>
      <vt:variant>
        <vt:lpwstr/>
      </vt:variant>
      <vt:variant>
        <vt:lpwstr>PatientSafetyOfficer</vt:lpwstr>
      </vt:variant>
      <vt:variant>
        <vt:i4>458780</vt:i4>
      </vt:variant>
      <vt:variant>
        <vt:i4>3432</vt:i4>
      </vt:variant>
      <vt:variant>
        <vt:i4>0</vt:i4>
      </vt:variant>
      <vt:variant>
        <vt:i4>5</vt:i4>
      </vt:variant>
      <vt:variant>
        <vt:lpwstr/>
      </vt:variant>
      <vt:variant>
        <vt:lpwstr>PatientSafetyProgram</vt:lpwstr>
      </vt:variant>
      <vt:variant>
        <vt:i4>7667829</vt:i4>
      </vt:variant>
      <vt:variant>
        <vt:i4>3429</vt:i4>
      </vt:variant>
      <vt:variant>
        <vt:i4>0</vt:i4>
      </vt:variant>
      <vt:variant>
        <vt:i4>5</vt:i4>
      </vt:variant>
      <vt:variant>
        <vt:lpwstr/>
      </vt:variant>
      <vt:variant>
        <vt:lpwstr>ForthepurposesofreportingonSection6</vt:lpwstr>
      </vt:variant>
      <vt:variant>
        <vt:i4>4980851</vt:i4>
      </vt:variant>
      <vt:variant>
        <vt:i4>3426</vt:i4>
      </vt:variant>
      <vt:variant>
        <vt:i4>0</vt:i4>
      </vt:variant>
      <vt:variant>
        <vt:i4>5</vt:i4>
      </vt:variant>
      <vt:variant>
        <vt:lpwstr/>
      </vt:variant>
      <vt:variant>
        <vt:lpwstr>SP1_1c</vt:lpwstr>
      </vt:variant>
      <vt:variant>
        <vt:i4>3735595</vt:i4>
      </vt:variant>
      <vt:variant>
        <vt:i4>3423</vt:i4>
      </vt:variant>
      <vt:variant>
        <vt:i4>0</vt:i4>
      </vt:variant>
      <vt:variant>
        <vt:i4>5</vt:i4>
      </vt:variant>
      <vt:variant>
        <vt:lpwstr/>
      </vt:variant>
      <vt:variant>
        <vt:lpwstr>SP1_1b_ActiveParticipants</vt:lpwstr>
      </vt:variant>
      <vt:variant>
        <vt:i4>3735595</vt:i4>
      </vt:variant>
      <vt:variant>
        <vt:i4>3420</vt:i4>
      </vt:variant>
      <vt:variant>
        <vt:i4>0</vt:i4>
      </vt:variant>
      <vt:variant>
        <vt:i4>5</vt:i4>
      </vt:variant>
      <vt:variant>
        <vt:lpwstr/>
      </vt:variant>
      <vt:variant>
        <vt:lpwstr>SP1_1b_ActiveParticipants</vt:lpwstr>
      </vt:variant>
      <vt:variant>
        <vt:i4>4259964</vt:i4>
      </vt:variant>
      <vt:variant>
        <vt:i4>3417</vt:i4>
      </vt:variant>
      <vt:variant>
        <vt:i4>0</vt:i4>
      </vt:variant>
      <vt:variant>
        <vt:i4>5</vt:i4>
      </vt:variant>
      <vt:variant>
        <vt:lpwstr>https://www.leapfroggroup.org/sites/default/files/Files/NQF Safe Practices for Better Healthcare 2010_0.pdf?token=tNGuBYyg</vt:lpwstr>
      </vt:variant>
      <vt:variant>
        <vt:lpwstr/>
      </vt:variant>
      <vt:variant>
        <vt:i4>5111923</vt:i4>
      </vt:variant>
      <vt:variant>
        <vt:i4>3414</vt:i4>
      </vt:variant>
      <vt:variant>
        <vt:i4>0</vt:i4>
      </vt:variant>
      <vt:variant>
        <vt:i4>5</vt:i4>
      </vt:variant>
      <vt:variant>
        <vt:lpwstr/>
      </vt:variant>
      <vt:variant>
        <vt:lpwstr>SP1_1a</vt:lpwstr>
      </vt:variant>
      <vt:variant>
        <vt:i4>2752605</vt:i4>
      </vt:variant>
      <vt:variant>
        <vt:i4>3411</vt:i4>
      </vt:variant>
      <vt:variant>
        <vt:i4>0</vt:i4>
      </vt:variant>
      <vt:variant>
        <vt:i4>5</vt:i4>
      </vt:variant>
      <vt:variant>
        <vt:lpwstr/>
      </vt:variant>
      <vt:variant>
        <vt:lpwstr>SP1_RegularCommunication</vt:lpwstr>
      </vt:variant>
      <vt:variant>
        <vt:i4>1900547</vt:i4>
      </vt:variant>
      <vt:variant>
        <vt:i4>3408</vt:i4>
      </vt:variant>
      <vt:variant>
        <vt:i4>0</vt:i4>
      </vt:variant>
      <vt:variant>
        <vt:i4>5</vt:i4>
      </vt:variant>
      <vt:variant>
        <vt:lpwstr/>
      </vt:variant>
      <vt:variant>
        <vt:lpwstr>Board</vt:lpwstr>
      </vt:variant>
      <vt:variant>
        <vt:i4>6226035</vt:i4>
      </vt:variant>
      <vt:variant>
        <vt:i4>3405</vt:i4>
      </vt:variant>
      <vt:variant>
        <vt:i4>0</vt:i4>
      </vt:variant>
      <vt:variant>
        <vt:i4>5</vt:i4>
      </vt:variant>
      <vt:variant>
        <vt:lpwstr/>
      </vt:variant>
      <vt:variant>
        <vt:lpwstr>_NQF_Safe_Practice</vt:lpwstr>
      </vt:variant>
      <vt:variant>
        <vt:i4>6881390</vt:i4>
      </vt:variant>
      <vt:variant>
        <vt:i4>3402</vt:i4>
      </vt:variant>
      <vt:variant>
        <vt:i4>0</vt:i4>
      </vt:variant>
      <vt:variant>
        <vt:i4>5</vt:i4>
      </vt:variant>
      <vt:variant>
        <vt:lpwstr/>
      </vt:variant>
      <vt:variant>
        <vt:lpwstr>_Patient_Safety_Practices_2</vt:lpwstr>
      </vt:variant>
      <vt:variant>
        <vt:i4>3932286</vt:i4>
      </vt:variant>
      <vt:variant>
        <vt:i4>3399</vt:i4>
      </vt:variant>
      <vt:variant>
        <vt:i4>0</vt:i4>
      </vt:variant>
      <vt:variant>
        <vt:i4>5</vt:i4>
      </vt:variant>
      <vt:variant>
        <vt:lpwstr>https://nam02.safelinks.protection.outlook.com/?url=http%3A%2F%2Fwww.leapfroggroup.org%2Fsurvey-materials%2Fsurvey-and-cpoe-materials&amp;data=05%7C02%7CLKaufman%40leapfrog-group.org%7C60396fa6210e4710503608de0da04068%7C95c34b8315eb4d9a97a7f29881f4a800%7C0%7C0%7C638963179102269152%7CUnknown%7CTWFpbGZsb3d8eyJFbXB0eU1hcGkiOnRydWUsIlYiOiIwLjAuMDAwMCIsIlAiOiJXaW4zMiIsIkFOIjoiTWFpbCIsIldUIjoyfQ%3D%3D%7C0%7C%7C%7C&amp;sdata=4xDAuGzvM2ot3uaobcEDqactLBa6MbAsoh47EprlmjE%3D&amp;reserved=0</vt:lpwstr>
      </vt:variant>
      <vt:variant>
        <vt:lpwstr/>
      </vt:variant>
      <vt:variant>
        <vt:i4>7798907</vt:i4>
      </vt:variant>
      <vt:variant>
        <vt:i4>3396</vt:i4>
      </vt:variant>
      <vt:variant>
        <vt:i4>0</vt:i4>
      </vt:variant>
      <vt:variant>
        <vt:i4>5</vt:i4>
      </vt:variant>
      <vt:variant>
        <vt:lpwstr>http://leapfroggroup.org/survey-materials/multi-campus-reporting-policy</vt:lpwstr>
      </vt:variant>
      <vt:variant>
        <vt:lpwstr/>
      </vt:variant>
      <vt:variant>
        <vt:i4>5046365</vt:i4>
      </vt:variant>
      <vt:variant>
        <vt:i4>3393</vt:i4>
      </vt:variant>
      <vt:variant>
        <vt:i4>0</vt:i4>
      </vt:variant>
      <vt:variant>
        <vt:i4>5</vt:i4>
      </vt:variant>
      <vt:variant>
        <vt:lpwstr>http://www.leapfroggroup.org/survey-materials/scoring-and-results</vt:lpwstr>
      </vt:variant>
      <vt:variant>
        <vt:lpwstr/>
      </vt:variant>
      <vt:variant>
        <vt:i4>1835052</vt:i4>
      </vt:variant>
      <vt:variant>
        <vt:i4>3390</vt:i4>
      </vt:variant>
      <vt:variant>
        <vt:i4>0</vt:i4>
      </vt:variant>
      <vt:variant>
        <vt:i4>5</vt:i4>
      </vt:variant>
      <vt:variant>
        <vt:lpwstr/>
      </vt:variant>
      <vt:variant>
        <vt:lpwstr>_Hand_Hygiene_Measure</vt:lpwstr>
      </vt:variant>
      <vt:variant>
        <vt:i4>3866742</vt:i4>
      </vt:variant>
      <vt:variant>
        <vt:i4>3387</vt:i4>
      </vt:variant>
      <vt:variant>
        <vt:i4>0</vt:i4>
      </vt:variant>
      <vt:variant>
        <vt:i4>5</vt:i4>
      </vt:variant>
      <vt:variant>
        <vt:lpwstr>https://ratings.leapfroggroup.org/measure/hospital/2025/whats-new-2025</vt:lpwstr>
      </vt:variant>
      <vt:variant>
        <vt:lpwstr/>
      </vt:variant>
      <vt:variant>
        <vt:i4>3866742</vt:i4>
      </vt:variant>
      <vt:variant>
        <vt:i4>3384</vt:i4>
      </vt:variant>
      <vt:variant>
        <vt:i4>0</vt:i4>
      </vt:variant>
      <vt:variant>
        <vt:i4>5</vt:i4>
      </vt:variant>
      <vt:variant>
        <vt:lpwstr>https://ratings.leapfroggroup.org/measure/hospital/2025/whats-new-2025</vt:lpwstr>
      </vt:variant>
      <vt:variant>
        <vt:lpwstr/>
      </vt:variant>
      <vt:variant>
        <vt:i4>2424929</vt:i4>
      </vt:variant>
      <vt:variant>
        <vt:i4>3381</vt:i4>
      </vt:variant>
      <vt:variant>
        <vt:i4>0</vt:i4>
      </vt:variant>
      <vt:variant>
        <vt:i4>5</vt:i4>
      </vt:variant>
      <vt:variant>
        <vt:lpwstr>https://ratings.leapfroggroup.org/measure/hospital/2025/handwashing</vt:lpwstr>
      </vt:variant>
      <vt:variant>
        <vt:lpwstr/>
      </vt:variant>
      <vt:variant>
        <vt:i4>6357091</vt:i4>
      </vt:variant>
      <vt:variant>
        <vt:i4>3378</vt:i4>
      </vt:variant>
      <vt:variant>
        <vt:i4>0</vt:i4>
      </vt:variant>
      <vt:variant>
        <vt:i4>5</vt:i4>
      </vt:variant>
      <vt:variant>
        <vt:lpwstr>https://ratings.leapfroggroup.org/measure/hospital/2025/effective-leadership-prevent-errors</vt:lpwstr>
      </vt:variant>
      <vt:variant>
        <vt:lpwstr/>
      </vt:variant>
      <vt:variant>
        <vt:i4>983048</vt:i4>
      </vt:variant>
      <vt:variant>
        <vt:i4>3372</vt:i4>
      </vt:variant>
      <vt:variant>
        <vt:i4>0</vt:i4>
      </vt:variant>
      <vt:variant>
        <vt:i4>5</vt:i4>
      </vt:variant>
      <vt:variant>
        <vt:lpwstr/>
      </vt:variant>
      <vt:variant>
        <vt:lpwstr>colocatedendnote</vt:lpwstr>
      </vt:variant>
      <vt:variant>
        <vt:i4>6160475</vt:i4>
      </vt:variant>
      <vt:variant>
        <vt:i4>3369</vt:i4>
      </vt:variant>
      <vt:variant>
        <vt:i4>0</vt:i4>
      </vt:variant>
      <vt:variant>
        <vt:i4>5</vt:i4>
      </vt:variant>
      <vt:variant>
        <vt:lpwstr>https://www.nursingworld.org/organizational-programs/pathway/find-a-pathway-organization/</vt:lpwstr>
      </vt:variant>
      <vt:variant>
        <vt:lpwstr/>
      </vt:variant>
      <vt:variant>
        <vt:i4>458762</vt:i4>
      </vt:variant>
      <vt:variant>
        <vt:i4>3366</vt:i4>
      </vt:variant>
      <vt:variant>
        <vt:i4>0</vt:i4>
      </vt:variant>
      <vt:variant>
        <vt:i4>5</vt:i4>
      </vt:variant>
      <vt:variant>
        <vt:lpwstr>https://www.nursingworld.org/globalassets/docs/ana/practice/principles-of-virtual-nursing.pdf</vt:lpwstr>
      </vt:variant>
      <vt:variant>
        <vt:lpwstr/>
      </vt:variant>
      <vt:variant>
        <vt:i4>1638432</vt:i4>
      </vt:variant>
      <vt:variant>
        <vt:i4>3363</vt:i4>
      </vt:variant>
      <vt:variant>
        <vt:i4>0</vt:i4>
      </vt:variant>
      <vt:variant>
        <vt:i4>5</vt:i4>
      </vt:variant>
      <vt:variant>
        <vt:lpwstr/>
      </vt:variant>
      <vt:variant>
        <vt:lpwstr>Endnote27_Telemedicine</vt:lpwstr>
      </vt:variant>
      <vt:variant>
        <vt:i4>1638432</vt:i4>
      </vt:variant>
      <vt:variant>
        <vt:i4>3360</vt:i4>
      </vt:variant>
      <vt:variant>
        <vt:i4>0</vt:i4>
      </vt:variant>
      <vt:variant>
        <vt:i4>5</vt:i4>
      </vt:variant>
      <vt:variant>
        <vt:lpwstr/>
      </vt:variant>
      <vt:variant>
        <vt:lpwstr>Endnote27_Telemedicine</vt:lpwstr>
      </vt:variant>
      <vt:variant>
        <vt:i4>1638432</vt:i4>
      </vt:variant>
      <vt:variant>
        <vt:i4>3357</vt:i4>
      </vt:variant>
      <vt:variant>
        <vt:i4>0</vt:i4>
      </vt:variant>
      <vt:variant>
        <vt:i4>5</vt:i4>
      </vt:variant>
      <vt:variant>
        <vt:lpwstr/>
      </vt:variant>
      <vt:variant>
        <vt:lpwstr>Endnote27_Telemedicine</vt:lpwstr>
      </vt:variant>
      <vt:variant>
        <vt:i4>720943</vt:i4>
      </vt:variant>
      <vt:variant>
        <vt:i4>3354</vt:i4>
      </vt:variant>
      <vt:variant>
        <vt:i4>0</vt:i4>
      </vt:variant>
      <vt:variant>
        <vt:i4>5</vt:i4>
      </vt:variant>
      <vt:variant>
        <vt:lpwstr/>
      </vt:variant>
      <vt:variant>
        <vt:lpwstr>Endnote25_Certified</vt:lpwstr>
      </vt:variant>
      <vt:variant>
        <vt:i4>196616</vt:i4>
      </vt:variant>
      <vt:variant>
        <vt:i4>3351</vt:i4>
      </vt:variant>
      <vt:variant>
        <vt:i4>0</vt:i4>
      </vt:variant>
      <vt:variant>
        <vt:i4>5</vt:i4>
      </vt:variant>
      <vt:variant>
        <vt:lpwstr/>
      </vt:variant>
      <vt:variant>
        <vt:lpwstr>generalmedicalsurgicalandneuroicu</vt:lpwstr>
      </vt:variant>
      <vt:variant>
        <vt:i4>7274575</vt:i4>
      </vt:variant>
      <vt:variant>
        <vt:i4>3348</vt:i4>
      </vt:variant>
      <vt:variant>
        <vt:i4>0</vt:i4>
      </vt:variant>
      <vt:variant>
        <vt:i4>5</vt:i4>
      </vt:variant>
      <vt:variant>
        <vt:lpwstr/>
      </vt:variant>
      <vt:variant>
        <vt:lpwstr>Endnote22_CCPatients</vt:lpwstr>
      </vt:variant>
      <vt:variant>
        <vt:i4>7274584</vt:i4>
      </vt:variant>
      <vt:variant>
        <vt:i4>3345</vt:i4>
      </vt:variant>
      <vt:variant>
        <vt:i4>0</vt:i4>
      </vt:variant>
      <vt:variant>
        <vt:i4>5</vt:i4>
      </vt:variant>
      <vt:variant>
        <vt:lpwstr/>
      </vt:variant>
      <vt:variant>
        <vt:lpwstr>_Total_Nursing_Care</vt:lpwstr>
      </vt:variant>
      <vt:variant>
        <vt:i4>983048</vt:i4>
      </vt:variant>
      <vt:variant>
        <vt:i4>3342</vt:i4>
      </vt:variant>
      <vt:variant>
        <vt:i4>0</vt:i4>
      </vt:variant>
      <vt:variant>
        <vt:i4>5</vt:i4>
      </vt:variant>
      <vt:variant>
        <vt:lpwstr/>
      </vt:variant>
      <vt:variant>
        <vt:lpwstr>colocatedendnote</vt:lpwstr>
      </vt:variant>
      <vt:variant>
        <vt:i4>3145789</vt:i4>
      </vt:variant>
      <vt:variant>
        <vt:i4>3339</vt:i4>
      </vt:variant>
      <vt:variant>
        <vt:i4>0</vt:i4>
      </vt:variant>
      <vt:variant>
        <vt:i4>5</vt:i4>
      </vt:variant>
      <vt:variant>
        <vt:lpwstr/>
      </vt:variant>
      <vt:variant>
        <vt:lpwstr>_Total_Nursing_Care_1</vt:lpwstr>
      </vt:variant>
      <vt:variant>
        <vt:i4>4391012</vt:i4>
      </vt:variant>
      <vt:variant>
        <vt:i4>3336</vt:i4>
      </vt:variant>
      <vt:variant>
        <vt:i4>0</vt:i4>
      </vt:variant>
      <vt:variant>
        <vt:i4>5</vt:i4>
      </vt:variant>
      <vt:variant>
        <vt:lpwstr>mailto:NDNQISupport@PressGaney.com</vt:lpwstr>
      </vt:variant>
      <vt:variant>
        <vt:lpwstr/>
      </vt:variant>
      <vt:variant>
        <vt:i4>7798907</vt:i4>
      </vt:variant>
      <vt:variant>
        <vt:i4>3333</vt:i4>
      </vt:variant>
      <vt:variant>
        <vt:i4>0</vt:i4>
      </vt:variant>
      <vt:variant>
        <vt:i4>5</vt:i4>
      </vt:variant>
      <vt:variant>
        <vt:lpwstr>http://leapfroggroup.org/survey-materials/multi-campus-reporting-policy</vt:lpwstr>
      </vt:variant>
      <vt:variant>
        <vt:lpwstr/>
      </vt:variant>
      <vt:variant>
        <vt:i4>2031645</vt:i4>
      </vt:variant>
      <vt:variant>
        <vt:i4>3330</vt:i4>
      </vt:variant>
      <vt:variant>
        <vt:i4>0</vt:i4>
      </vt:variant>
      <vt:variant>
        <vt:i4>5</vt:i4>
      </vt:variant>
      <vt:variant>
        <vt:lpwstr>https://www.leapfroggroup.org/about/expert-panelists</vt:lpwstr>
      </vt:variant>
      <vt:variant>
        <vt:lpwstr/>
      </vt:variant>
      <vt:variant>
        <vt:i4>2031645</vt:i4>
      </vt:variant>
      <vt:variant>
        <vt:i4>3327</vt:i4>
      </vt:variant>
      <vt:variant>
        <vt:i4>0</vt:i4>
      </vt:variant>
      <vt:variant>
        <vt:i4>5</vt:i4>
      </vt:variant>
      <vt:variant>
        <vt:lpwstr>https://www.leapfroggroup.org/about/expert-panelists</vt:lpwstr>
      </vt:variant>
      <vt:variant>
        <vt:lpwstr/>
      </vt:variant>
      <vt:variant>
        <vt:i4>1441823</vt:i4>
      </vt:variant>
      <vt:variant>
        <vt:i4>3321</vt:i4>
      </vt:variant>
      <vt:variant>
        <vt:i4>0</vt:i4>
      </vt:variant>
      <vt:variant>
        <vt:i4>5</vt:i4>
      </vt:variant>
      <vt:variant>
        <vt:lpwstr/>
      </vt:variant>
      <vt:variant>
        <vt:lpwstr>bsnspecs</vt:lpwstr>
      </vt:variant>
      <vt:variant>
        <vt:i4>8323181</vt:i4>
      </vt:variant>
      <vt:variant>
        <vt:i4>3318</vt:i4>
      </vt:variant>
      <vt:variant>
        <vt:i4>0</vt:i4>
      </vt:variant>
      <vt:variant>
        <vt:i4>5</vt:i4>
      </vt:variant>
      <vt:variant>
        <vt:lpwstr/>
      </vt:variant>
      <vt:variant>
        <vt:lpwstr>StaffingPlanFAQ</vt:lpwstr>
      </vt:variant>
      <vt:variant>
        <vt:i4>6684771</vt:i4>
      </vt:variant>
      <vt:variant>
        <vt:i4>3315</vt:i4>
      </vt:variant>
      <vt:variant>
        <vt:i4>0</vt:i4>
      </vt:variant>
      <vt:variant>
        <vt:i4>5</vt:i4>
      </vt:variant>
      <vt:variant>
        <vt:lpwstr/>
      </vt:variant>
      <vt:variant>
        <vt:lpwstr>Budget</vt:lpwstr>
      </vt:variant>
      <vt:variant>
        <vt:i4>6815841</vt:i4>
      </vt:variant>
      <vt:variant>
        <vt:i4>3312</vt:i4>
      </vt:variant>
      <vt:variant>
        <vt:i4>0</vt:i4>
      </vt:variant>
      <vt:variant>
        <vt:i4>5</vt:i4>
      </vt:variant>
      <vt:variant>
        <vt:lpwstr/>
      </vt:variant>
      <vt:variant>
        <vt:lpwstr>SeniorAdministrativeLeadership</vt:lpwstr>
      </vt:variant>
      <vt:variant>
        <vt:i4>1900547</vt:i4>
      </vt:variant>
      <vt:variant>
        <vt:i4>3309</vt:i4>
      </vt:variant>
      <vt:variant>
        <vt:i4>0</vt:i4>
      </vt:variant>
      <vt:variant>
        <vt:i4>5</vt:i4>
      </vt:variant>
      <vt:variant>
        <vt:lpwstr/>
      </vt:variant>
      <vt:variant>
        <vt:lpwstr>Board</vt:lpwstr>
      </vt:variant>
      <vt:variant>
        <vt:i4>6815841</vt:i4>
      </vt:variant>
      <vt:variant>
        <vt:i4>3306</vt:i4>
      </vt:variant>
      <vt:variant>
        <vt:i4>0</vt:i4>
      </vt:variant>
      <vt:variant>
        <vt:i4>5</vt:i4>
      </vt:variant>
      <vt:variant>
        <vt:lpwstr/>
      </vt:variant>
      <vt:variant>
        <vt:lpwstr>SeniorAdministrativeLeadership</vt:lpwstr>
      </vt:variant>
      <vt:variant>
        <vt:i4>1703945</vt:i4>
      </vt:variant>
      <vt:variant>
        <vt:i4>3303</vt:i4>
      </vt:variant>
      <vt:variant>
        <vt:i4>0</vt:i4>
      </vt:variant>
      <vt:variant>
        <vt:i4>5</vt:i4>
      </vt:variant>
      <vt:variant>
        <vt:lpwstr/>
      </vt:variant>
      <vt:variant>
        <vt:lpwstr>NursingLeadership</vt:lpwstr>
      </vt:variant>
      <vt:variant>
        <vt:i4>1703945</vt:i4>
      </vt:variant>
      <vt:variant>
        <vt:i4>3300</vt:i4>
      </vt:variant>
      <vt:variant>
        <vt:i4>0</vt:i4>
      </vt:variant>
      <vt:variant>
        <vt:i4>5</vt:i4>
      </vt:variant>
      <vt:variant>
        <vt:lpwstr/>
      </vt:variant>
      <vt:variant>
        <vt:lpwstr>NursingLeadership</vt:lpwstr>
      </vt:variant>
      <vt:variant>
        <vt:i4>6226035</vt:i4>
      </vt:variant>
      <vt:variant>
        <vt:i4>3297</vt:i4>
      </vt:variant>
      <vt:variant>
        <vt:i4>0</vt:i4>
      </vt:variant>
      <vt:variant>
        <vt:i4>5</vt:i4>
      </vt:variant>
      <vt:variant>
        <vt:lpwstr/>
      </vt:variant>
      <vt:variant>
        <vt:lpwstr>_NQF_Safe_Practice</vt:lpwstr>
      </vt:variant>
      <vt:variant>
        <vt:i4>6881390</vt:i4>
      </vt:variant>
      <vt:variant>
        <vt:i4>3294</vt:i4>
      </vt:variant>
      <vt:variant>
        <vt:i4>0</vt:i4>
      </vt:variant>
      <vt:variant>
        <vt:i4>5</vt:i4>
      </vt:variant>
      <vt:variant>
        <vt:lpwstr/>
      </vt:variant>
      <vt:variant>
        <vt:lpwstr>_Patient_Safety_Practices_1</vt:lpwstr>
      </vt:variant>
      <vt:variant>
        <vt:i4>589841</vt:i4>
      </vt:variant>
      <vt:variant>
        <vt:i4>3291</vt:i4>
      </vt:variant>
      <vt:variant>
        <vt:i4>0</vt:i4>
      </vt:variant>
      <vt:variant>
        <vt:i4>5</vt:i4>
      </vt:variant>
      <vt:variant>
        <vt:lpwstr/>
      </vt:variant>
      <vt:variant>
        <vt:lpwstr>mixedacuityspecs</vt:lpwstr>
      </vt:variant>
      <vt:variant>
        <vt:i4>983059</vt:i4>
      </vt:variant>
      <vt:variant>
        <vt:i4>3288</vt:i4>
      </vt:variant>
      <vt:variant>
        <vt:i4>0</vt:i4>
      </vt:variant>
      <vt:variant>
        <vt:i4>5</vt:i4>
      </vt:variant>
      <vt:variant>
        <vt:lpwstr/>
      </vt:variant>
      <vt:variant>
        <vt:lpwstr>virtualnursingFAQ</vt:lpwstr>
      </vt:variant>
      <vt:variant>
        <vt:i4>589841</vt:i4>
      </vt:variant>
      <vt:variant>
        <vt:i4>3285</vt:i4>
      </vt:variant>
      <vt:variant>
        <vt:i4>0</vt:i4>
      </vt:variant>
      <vt:variant>
        <vt:i4>5</vt:i4>
      </vt:variant>
      <vt:variant>
        <vt:lpwstr/>
      </vt:variant>
      <vt:variant>
        <vt:lpwstr>mixedacuityspecs</vt:lpwstr>
      </vt:variant>
      <vt:variant>
        <vt:i4>4915204</vt:i4>
      </vt:variant>
      <vt:variant>
        <vt:i4>3282</vt:i4>
      </vt:variant>
      <vt:variant>
        <vt:i4>0</vt:i4>
      </vt:variant>
      <vt:variant>
        <vt:i4>5</vt:i4>
      </vt:variant>
      <vt:variant>
        <vt:lpwstr/>
      </vt:variant>
      <vt:variant>
        <vt:lpwstr>_Nursing_Workforce_Measure_1</vt:lpwstr>
      </vt:variant>
      <vt:variant>
        <vt:i4>4915204</vt:i4>
      </vt:variant>
      <vt:variant>
        <vt:i4>3279</vt:i4>
      </vt:variant>
      <vt:variant>
        <vt:i4>0</vt:i4>
      </vt:variant>
      <vt:variant>
        <vt:i4>5</vt:i4>
      </vt:variant>
      <vt:variant>
        <vt:lpwstr/>
      </vt:variant>
      <vt:variant>
        <vt:lpwstr>_Nursing_Workforce_Measure_1</vt:lpwstr>
      </vt:variant>
      <vt:variant>
        <vt:i4>4915204</vt:i4>
      </vt:variant>
      <vt:variant>
        <vt:i4>3276</vt:i4>
      </vt:variant>
      <vt:variant>
        <vt:i4>0</vt:i4>
      </vt:variant>
      <vt:variant>
        <vt:i4>5</vt:i4>
      </vt:variant>
      <vt:variant>
        <vt:lpwstr/>
      </vt:variant>
      <vt:variant>
        <vt:lpwstr>_Nursing_Workforce_Measure_1</vt:lpwstr>
      </vt:variant>
      <vt:variant>
        <vt:i4>4915204</vt:i4>
      </vt:variant>
      <vt:variant>
        <vt:i4>3273</vt:i4>
      </vt:variant>
      <vt:variant>
        <vt:i4>0</vt:i4>
      </vt:variant>
      <vt:variant>
        <vt:i4>5</vt:i4>
      </vt:variant>
      <vt:variant>
        <vt:lpwstr/>
      </vt:variant>
      <vt:variant>
        <vt:lpwstr>_Nursing_Workforce_Measure_1</vt:lpwstr>
      </vt:variant>
      <vt:variant>
        <vt:i4>4915204</vt:i4>
      </vt:variant>
      <vt:variant>
        <vt:i4>3270</vt:i4>
      </vt:variant>
      <vt:variant>
        <vt:i4>0</vt:i4>
      </vt:variant>
      <vt:variant>
        <vt:i4>5</vt:i4>
      </vt:variant>
      <vt:variant>
        <vt:lpwstr/>
      </vt:variant>
      <vt:variant>
        <vt:lpwstr>_Nursing_Workforce_Measure_1</vt:lpwstr>
      </vt:variant>
      <vt:variant>
        <vt:i4>4915204</vt:i4>
      </vt:variant>
      <vt:variant>
        <vt:i4>3267</vt:i4>
      </vt:variant>
      <vt:variant>
        <vt:i4>0</vt:i4>
      </vt:variant>
      <vt:variant>
        <vt:i4>5</vt:i4>
      </vt:variant>
      <vt:variant>
        <vt:lpwstr/>
      </vt:variant>
      <vt:variant>
        <vt:lpwstr>_Nursing_Workforce_Measure_1</vt:lpwstr>
      </vt:variant>
      <vt:variant>
        <vt:i4>4915204</vt:i4>
      </vt:variant>
      <vt:variant>
        <vt:i4>3264</vt:i4>
      </vt:variant>
      <vt:variant>
        <vt:i4>0</vt:i4>
      </vt:variant>
      <vt:variant>
        <vt:i4>5</vt:i4>
      </vt:variant>
      <vt:variant>
        <vt:lpwstr/>
      </vt:variant>
      <vt:variant>
        <vt:lpwstr>_Nursing_Workforce_Measure_1</vt:lpwstr>
      </vt:variant>
      <vt:variant>
        <vt:i4>7798907</vt:i4>
      </vt:variant>
      <vt:variant>
        <vt:i4>3261</vt:i4>
      </vt:variant>
      <vt:variant>
        <vt:i4>0</vt:i4>
      </vt:variant>
      <vt:variant>
        <vt:i4>5</vt:i4>
      </vt:variant>
      <vt:variant>
        <vt:lpwstr>http://leapfroggroup.org/survey-materials/multi-campus-reporting-policy</vt:lpwstr>
      </vt:variant>
      <vt:variant>
        <vt:lpwstr/>
      </vt:variant>
      <vt:variant>
        <vt:i4>720943</vt:i4>
      </vt:variant>
      <vt:variant>
        <vt:i4>3255</vt:i4>
      </vt:variant>
      <vt:variant>
        <vt:i4>0</vt:i4>
      </vt:variant>
      <vt:variant>
        <vt:i4>5</vt:i4>
      </vt:variant>
      <vt:variant>
        <vt:lpwstr/>
      </vt:variant>
      <vt:variant>
        <vt:lpwstr>Endnote25_Certified</vt:lpwstr>
      </vt:variant>
      <vt:variant>
        <vt:i4>7274575</vt:i4>
      </vt:variant>
      <vt:variant>
        <vt:i4>3249</vt:i4>
      </vt:variant>
      <vt:variant>
        <vt:i4>0</vt:i4>
      </vt:variant>
      <vt:variant>
        <vt:i4>5</vt:i4>
      </vt:variant>
      <vt:variant>
        <vt:lpwstr/>
      </vt:variant>
      <vt:variant>
        <vt:lpwstr>Endnote22_CCPatients</vt:lpwstr>
      </vt:variant>
      <vt:variant>
        <vt:i4>720943</vt:i4>
      </vt:variant>
      <vt:variant>
        <vt:i4>3243</vt:i4>
      </vt:variant>
      <vt:variant>
        <vt:i4>0</vt:i4>
      </vt:variant>
      <vt:variant>
        <vt:i4>5</vt:i4>
      </vt:variant>
      <vt:variant>
        <vt:lpwstr/>
      </vt:variant>
      <vt:variant>
        <vt:lpwstr>Endnote25_Certified</vt:lpwstr>
      </vt:variant>
      <vt:variant>
        <vt:i4>7274575</vt:i4>
      </vt:variant>
      <vt:variant>
        <vt:i4>3237</vt:i4>
      </vt:variant>
      <vt:variant>
        <vt:i4>0</vt:i4>
      </vt:variant>
      <vt:variant>
        <vt:i4>5</vt:i4>
      </vt:variant>
      <vt:variant>
        <vt:lpwstr/>
      </vt:variant>
      <vt:variant>
        <vt:lpwstr>Endnote22_CCPatients</vt:lpwstr>
      </vt:variant>
      <vt:variant>
        <vt:i4>327742</vt:i4>
      </vt:variant>
      <vt:variant>
        <vt:i4>3231</vt:i4>
      </vt:variant>
      <vt:variant>
        <vt:i4>0</vt:i4>
      </vt:variant>
      <vt:variant>
        <vt:i4>5</vt:i4>
      </vt:variant>
      <vt:variant>
        <vt:lpwstr/>
      </vt:variant>
      <vt:variant>
        <vt:lpwstr>Endnote28_ResponseAnalysis</vt:lpwstr>
      </vt:variant>
      <vt:variant>
        <vt:i4>7274575</vt:i4>
      </vt:variant>
      <vt:variant>
        <vt:i4>3225</vt:i4>
      </vt:variant>
      <vt:variant>
        <vt:i4>0</vt:i4>
      </vt:variant>
      <vt:variant>
        <vt:i4>5</vt:i4>
      </vt:variant>
      <vt:variant>
        <vt:lpwstr/>
      </vt:variant>
      <vt:variant>
        <vt:lpwstr>Endnote22_CCPatients</vt:lpwstr>
      </vt:variant>
      <vt:variant>
        <vt:i4>7733325</vt:i4>
      </vt:variant>
      <vt:variant>
        <vt:i4>3219</vt:i4>
      </vt:variant>
      <vt:variant>
        <vt:i4>0</vt:i4>
      </vt:variant>
      <vt:variant>
        <vt:i4>5</vt:i4>
      </vt:variant>
      <vt:variant>
        <vt:lpwstr/>
      </vt:variant>
      <vt:variant>
        <vt:lpwstr>Endnote26_Present</vt:lpwstr>
      </vt:variant>
      <vt:variant>
        <vt:i4>7733325</vt:i4>
      </vt:variant>
      <vt:variant>
        <vt:i4>3213</vt:i4>
      </vt:variant>
      <vt:variant>
        <vt:i4>0</vt:i4>
      </vt:variant>
      <vt:variant>
        <vt:i4>5</vt:i4>
      </vt:variant>
      <vt:variant>
        <vt:lpwstr/>
      </vt:variant>
      <vt:variant>
        <vt:lpwstr>Endnote26_Present</vt:lpwstr>
      </vt:variant>
      <vt:variant>
        <vt:i4>1638432</vt:i4>
      </vt:variant>
      <vt:variant>
        <vt:i4>3207</vt:i4>
      </vt:variant>
      <vt:variant>
        <vt:i4>0</vt:i4>
      </vt:variant>
      <vt:variant>
        <vt:i4>5</vt:i4>
      </vt:variant>
      <vt:variant>
        <vt:lpwstr/>
      </vt:variant>
      <vt:variant>
        <vt:lpwstr>Endnote27_Telemedicine</vt:lpwstr>
      </vt:variant>
      <vt:variant>
        <vt:i4>720943</vt:i4>
      </vt:variant>
      <vt:variant>
        <vt:i4>3201</vt:i4>
      </vt:variant>
      <vt:variant>
        <vt:i4>0</vt:i4>
      </vt:variant>
      <vt:variant>
        <vt:i4>5</vt:i4>
      </vt:variant>
      <vt:variant>
        <vt:lpwstr/>
      </vt:variant>
      <vt:variant>
        <vt:lpwstr>Endnote25_Certified</vt:lpwstr>
      </vt:variant>
      <vt:variant>
        <vt:i4>8126555</vt:i4>
      </vt:variant>
      <vt:variant>
        <vt:i4>3195</vt:i4>
      </vt:variant>
      <vt:variant>
        <vt:i4>0</vt:i4>
      </vt:variant>
      <vt:variant>
        <vt:i4>5</vt:i4>
      </vt:variant>
      <vt:variant>
        <vt:lpwstr/>
      </vt:variant>
      <vt:variant>
        <vt:lpwstr>Endnote24_Manage</vt:lpwstr>
      </vt:variant>
      <vt:variant>
        <vt:i4>7274575</vt:i4>
      </vt:variant>
      <vt:variant>
        <vt:i4>3189</vt:i4>
      </vt:variant>
      <vt:variant>
        <vt:i4>0</vt:i4>
      </vt:variant>
      <vt:variant>
        <vt:i4>5</vt:i4>
      </vt:variant>
      <vt:variant>
        <vt:lpwstr/>
      </vt:variant>
      <vt:variant>
        <vt:lpwstr>Endnote22_CCPatients</vt:lpwstr>
      </vt:variant>
      <vt:variant>
        <vt:i4>720943</vt:i4>
      </vt:variant>
      <vt:variant>
        <vt:i4>3183</vt:i4>
      </vt:variant>
      <vt:variant>
        <vt:i4>0</vt:i4>
      </vt:variant>
      <vt:variant>
        <vt:i4>5</vt:i4>
      </vt:variant>
      <vt:variant>
        <vt:lpwstr/>
      </vt:variant>
      <vt:variant>
        <vt:lpwstr>Endnote25_Certified</vt:lpwstr>
      </vt:variant>
      <vt:variant>
        <vt:i4>8126555</vt:i4>
      </vt:variant>
      <vt:variant>
        <vt:i4>3177</vt:i4>
      </vt:variant>
      <vt:variant>
        <vt:i4>0</vt:i4>
      </vt:variant>
      <vt:variant>
        <vt:i4>5</vt:i4>
      </vt:variant>
      <vt:variant>
        <vt:lpwstr/>
      </vt:variant>
      <vt:variant>
        <vt:lpwstr>Endnote24_Manage</vt:lpwstr>
      </vt:variant>
      <vt:variant>
        <vt:i4>7274575</vt:i4>
      </vt:variant>
      <vt:variant>
        <vt:i4>3171</vt:i4>
      </vt:variant>
      <vt:variant>
        <vt:i4>0</vt:i4>
      </vt:variant>
      <vt:variant>
        <vt:i4>5</vt:i4>
      </vt:variant>
      <vt:variant>
        <vt:lpwstr/>
      </vt:variant>
      <vt:variant>
        <vt:lpwstr>Endnote22_CCPatients</vt:lpwstr>
      </vt:variant>
      <vt:variant>
        <vt:i4>1245231</vt:i4>
      </vt:variant>
      <vt:variant>
        <vt:i4>3168</vt:i4>
      </vt:variant>
      <vt:variant>
        <vt:i4>0</vt:i4>
      </vt:variant>
      <vt:variant>
        <vt:i4>5</vt:i4>
      </vt:variant>
      <vt:variant>
        <vt:lpwstr/>
      </vt:variant>
      <vt:variant>
        <vt:lpwstr>Endnote32_ModifiedTelemedicine</vt:lpwstr>
      </vt:variant>
      <vt:variant>
        <vt:i4>720943</vt:i4>
      </vt:variant>
      <vt:variant>
        <vt:i4>3162</vt:i4>
      </vt:variant>
      <vt:variant>
        <vt:i4>0</vt:i4>
      </vt:variant>
      <vt:variant>
        <vt:i4>5</vt:i4>
      </vt:variant>
      <vt:variant>
        <vt:lpwstr/>
      </vt:variant>
      <vt:variant>
        <vt:lpwstr>Endnote25_Certified</vt:lpwstr>
      </vt:variant>
      <vt:variant>
        <vt:i4>8126555</vt:i4>
      </vt:variant>
      <vt:variant>
        <vt:i4>3156</vt:i4>
      </vt:variant>
      <vt:variant>
        <vt:i4>0</vt:i4>
      </vt:variant>
      <vt:variant>
        <vt:i4>5</vt:i4>
      </vt:variant>
      <vt:variant>
        <vt:lpwstr/>
      </vt:variant>
      <vt:variant>
        <vt:lpwstr>Endnote24_Manage</vt:lpwstr>
      </vt:variant>
      <vt:variant>
        <vt:i4>7274575</vt:i4>
      </vt:variant>
      <vt:variant>
        <vt:i4>3150</vt:i4>
      </vt:variant>
      <vt:variant>
        <vt:i4>0</vt:i4>
      </vt:variant>
      <vt:variant>
        <vt:i4>5</vt:i4>
      </vt:variant>
      <vt:variant>
        <vt:lpwstr/>
      </vt:variant>
      <vt:variant>
        <vt:lpwstr>Endnote22_CCPatients</vt:lpwstr>
      </vt:variant>
      <vt:variant>
        <vt:i4>7733325</vt:i4>
      </vt:variant>
      <vt:variant>
        <vt:i4>3144</vt:i4>
      </vt:variant>
      <vt:variant>
        <vt:i4>0</vt:i4>
      </vt:variant>
      <vt:variant>
        <vt:i4>5</vt:i4>
      </vt:variant>
      <vt:variant>
        <vt:lpwstr/>
      </vt:variant>
      <vt:variant>
        <vt:lpwstr>Endnote26_Present</vt:lpwstr>
      </vt:variant>
      <vt:variant>
        <vt:i4>7733325</vt:i4>
      </vt:variant>
      <vt:variant>
        <vt:i4>3138</vt:i4>
      </vt:variant>
      <vt:variant>
        <vt:i4>0</vt:i4>
      </vt:variant>
      <vt:variant>
        <vt:i4>5</vt:i4>
      </vt:variant>
      <vt:variant>
        <vt:lpwstr/>
      </vt:variant>
      <vt:variant>
        <vt:lpwstr>Endnote26_Present</vt:lpwstr>
      </vt:variant>
      <vt:variant>
        <vt:i4>720943</vt:i4>
      </vt:variant>
      <vt:variant>
        <vt:i4>3132</vt:i4>
      </vt:variant>
      <vt:variant>
        <vt:i4>0</vt:i4>
      </vt:variant>
      <vt:variant>
        <vt:i4>5</vt:i4>
      </vt:variant>
      <vt:variant>
        <vt:lpwstr/>
      </vt:variant>
      <vt:variant>
        <vt:lpwstr>Endnote25_Certified</vt:lpwstr>
      </vt:variant>
      <vt:variant>
        <vt:i4>8126555</vt:i4>
      </vt:variant>
      <vt:variant>
        <vt:i4>3126</vt:i4>
      </vt:variant>
      <vt:variant>
        <vt:i4>0</vt:i4>
      </vt:variant>
      <vt:variant>
        <vt:i4>5</vt:i4>
      </vt:variant>
      <vt:variant>
        <vt:lpwstr/>
      </vt:variant>
      <vt:variant>
        <vt:lpwstr>Endnote24_Manage</vt:lpwstr>
      </vt:variant>
      <vt:variant>
        <vt:i4>7274575</vt:i4>
      </vt:variant>
      <vt:variant>
        <vt:i4>3120</vt:i4>
      </vt:variant>
      <vt:variant>
        <vt:i4>0</vt:i4>
      </vt:variant>
      <vt:variant>
        <vt:i4>5</vt:i4>
      </vt:variant>
      <vt:variant>
        <vt:lpwstr/>
      </vt:variant>
      <vt:variant>
        <vt:lpwstr>Endnote22_CCPatients</vt:lpwstr>
      </vt:variant>
      <vt:variant>
        <vt:i4>327742</vt:i4>
      </vt:variant>
      <vt:variant>
        <vt:i4>3114</vt:i4>
      </vt:variant>
      <vt:variant>
        <vt:i4>0</vt:i4>
      </vt:variant>
      <vt:variant>
        <vt:i4>5</vt:i4>
      </vt:variant>
      <vt:variant>
        <vt:lpwstr/>
      </vt:variant>
      <vt:variant>
        <vt:lpwstr>Endnote28_ResponseAnalysis</vt:lpwstr>
      </vt:variant>
      <vt:variant>
        <vt:i4>1048636</vt:i4>
      </vt:variant>
      <vt:variant>
        <vt:i4>3108</vt:i4>
      </vt:variant>
      <vt:variant>
        <vt:i4>0</vt:i4>
      </vt:variant>
      <vt:variant>
        <vt:i4>5</vt:i4>
      </vt:variant>
      <vt:variant>
        <vt:lpwstr/>
      </vt:variant>
      <vt:variant>
        <vt:lpwstr>Endnote29_NurseEffector</vt:lpwstr>
      </vt:variant>
      <vt:variant>
        <vt:i4>393272</vt:i4>
      </vt:variant>
      <vt:variant>
        <vt:i4>3105</vt:i4>
      </vt:variant>
      <vt:variant>
        <vt:i4>0</vt:i4>
      </vt:variant>
      <vt:variant>
        <vt:i4>5</vt:i4>
      </vt:variant>
      <vt:variant>
        <vt:lpwstr/>
      </vt:variant>
      <vt:variant>
        <vt:lpwstr>Endnote31_OtherEffector</vt:lpwstr>
      </vt:variant>
      <vt:variant>
        <vt:i4>7209033</vt:i4>
      </vt:variant>
      <vt:variant>
        <vt:i4>3102</vt:i4>
      </vt:variant>
      <vt:variant>
        <vt:i4>0</vt:i4>
      </vt:variant>
      <vt:variant>
        <vt:i4>5</vt:i4>
      </vt:variant>
      <vt:variant>
        <vt:lpwstr/>
      </vt:variant>
      <vt:variant>
        <vt:lpwstr>Endnote30_TeleCoverCalls</vt:lpwstr>
      </vt:variant>
      <vt:variant>
        <vt:i4>327742</vt:i4>
      </vt:variant>
      <vt:variant>
        <vt:i4>3096</vt:i4>
      </vt:variant>
      <vt:variant>
        <vt:i4>0</vt:i4>
      </vt:variant>
      <vt:variant>
        <vt:i4>5</vt:i4>
      </vt:variant>
      <vt:variant>
        <vt:lpwstr/>
      </vt:variant>
      <vt:variant>
        <vt:lpwstr>Endnote28_ResponseAnalysis</vt:lpwstr>
      </vt:variant>
      <vt:variant>
        <vt:i4>1638432</vt:i4>
      </vt:variant>
      <vt:variant>
        <vt:i4>3090</vt:i4>
      </vt:variant>
      <vt:variant>
        <vt:i4>0</vt:i4>
      </vt:variant>
      <vt:variant>
        <vt:i4>5</vt:i4>
      </vt:variant>
      <vt:variant>
        <vt:lpwstr/>
      </vt:variant>
      <vt:variant>
        <vt:lpwstr>Endnote27_Telemedicine</vt:lpwstr>
      </vt:variant>
      <vt:variant>
        <vt:i4>720943</vt:i4>
      </vt:variant>
      <vt:variant>
        <vt:i4>3084</vt:i4>
      </vt:variant>
      <vt:variant>
        <vt:i4>0</vt:i4>
      </vt:variant>
      <vt:variant>
        <vt:i4>5</vt:i4>
      </vt:variant>
      <vt:variant>
        <vt:lpwstr/>
      </vt:variant>
      <vt:variant>
        <vt:lpwstr>Endnote25_Certified</vt:lpwstr>
      </vt:variant>
      <vt:variant>
        <vt:i4>8126555</vt:i4>
      </vt:variant>
      <vt:variant>
        <vt:i4>3078</vt:i4>
      </vt:variant>
      <vt:variant>
        <vt:i4>0</vt:i4>
      </vt:variant>
      <vt:variant>
        <vt:i4>5</vt:i4>
      </vt:variant>
      <vt:variant>
        <vt:lpwstr/>
      </vt:variant>
      <vt:variant>
        <vt:lpwstr>Endnote24_Manage</vt:lpwstr>
      </vt:variant>
      <vt:variant>
        <vt:i4>7274575</vt:i4>
      </vt:variant>
      <vt:variant>
        <vt:i4>3072</vt:i4>
      </vt:variant>
      <vt:variant>
        <vt:i4>0</vt:i4>
      </vt:variant>
      <vt:variant>
        <vt:i4>5</vt:i4>
      </vt:variant>
      <vt:variant>
        <vt:lpwstr/>
      </vt:variant>
      <vt:variant>
        <vt:lpwstr>Endnote22_CCPatients</vt:lpwstr>
      </vt:variant>
      <vt:variant>
        <vt:i4>7733325</vt:i4>
      </vt:variant>
      <vt:variant>
        <vt:i4>3066</vt:i4>
      </vt:variant>
      <vt:variant>
        <vt:i4>0</vt:i4>
      </vt:variant>
      <vt:variant>
        <vt:i4>5</vt:i4>
      </vt:variant>
      <vt:variant>
        <vt:lpwstr/>
      </vt:variant>
      <vt:variant>
        <vt:lpwstr>Endnote26_Present</vt:lpwstr>
      </vt:variant>
      <vt:variant>
        <vt:i4>7733325</vt:i4>
      </vt:variant>
      <vt:variant>
        <vt:i4>3060</vt:i4>
      </vt:variant>
      <vt:variant>
        <vt:i4>0</vt:i4>
      </vt:variant>
      <vt:variant>
        <vt:i4>5</vt:i4>
      </vt:variant>
      <vt:variant>
        <vt:lpwstr/>
      </vt:variant>
      <vt:variant>
        <vt:lpwstr>Endnote26_Present</vt:lpwstr>
      </vt:variant>
      <vt:variant>
        <vt:i4>720943</vt:i4>
      </vt:variant>
      <vt:variant>
        <vt:i4>3054</vt:i4>
      </vt:variant>
      <vt:variant>
        <vt:i4>0</vt:i4>
      </vt:variant>
      <vt:variant>
        <vt:i4>5</vt:i4>
      </vt:variant>
      <vt:variant>
        <vt:lpwstr/>
      </vt:variant>
      <vt:variant>
        <vt:lpwstr>Endnote25_Certified</vt:lpwstr>
      </vt:variant>
      <vt:variant>
        <vt:i4>8126555</vt:i4>
      </vt:variant>
      <vt:variant>
        <vt:i4>3048</vt:i4>
      </vt:variant>
      <vt:variant>
        <vt:i4>0</vt:i4>
      </vt:variant>
      <vt:variant>
        <vt:i4>5</vt:i4>
      </vt:variant>
      <vt:variant>
        <vt:lpwstr/>
      </vt:variant>
      <vt:variant>
        <vt:lpwstr>Endnote24_Manage</vt:lpwstr>
      </vt:variant>
      <vt:variant>
        <vt:i4>7274575</vt:i4>
      </vt:variant>
      <vt:variant>
        <vt:i4>3042</vt:i4>
      </vt:variant>
      <vt:variant>
        <vt:i4>0</vt:i4>
      </vt:variant>
      <vt:variant>
        <vt:i4>5</vt:i4>
      </vt:variant>
      <vt:variant>
        <vt:lpwstr/>
      </vt:variant>
      <vt:variant>
        <vt:lpwstr>Endnote22_CCPatients</vt:lpwstr>
      </vt:variant>
      <vt:variant>
        <vt:i4>3538982</vt:i4>
      </vt:variant>
      <vt:variant>
        <vt:i4>3039</vt:i4>
      </vt:variant>
      <vt:variant>
        <vt:i4>0</vt:i4>
      </vt:variant>
      <vt:variant>
        <vt:i4>5</vt:i4>
      </vt:variant>
      <vt:variant>
        <vt:lpwstr>https://www.leapfroggroup.org/survey-materials/scoring-and-results</vt:lpwstr>
      </vt:variant>
      <vt:variant>
        <vt:lpwstr/>
      </vt:variant>
      <vt:variant>
        <vt:i4>7274575</vt:i4>
      </vt:variant>
      <vt:variant>
        <vt:i4>3033</vt:i4>
      </vt:variant>
      <vt:variant>
        <vt:i4>0</vt:i4>
      </vt:variant>
      <vt:variant>
        <vt:i4>5</vt:i4>
      </vt:variant>
      <vt:variant>
        <vt:lpwstr/>
      </vt:variant>
      <vt:variant>
        <vt:lpwstr>Endnote22_CCPatients</vt:lpwstr>
      </vt:variant>
      <vt:variant>
        <vt:i4>720943</vt:i4>
      </vt:variant>
      <vt:variant>
        <vt:i4>3027</vt:i4>
      </vt:variant>
      <vt:variant>
        <vt:i4>0</vt:i4>
      </vt:variant>
      <vt:variant>
        <vt:i4>5</vt:i4>
      </vt:variant>
      <vt:variant>
        <vt:lpwstr/>
      </vt:variant>
      <vt:variant>
        <vt:lpwstr>Endnote25_Certified</vt:lpwstr>
      </vt:variant>
      <vt:variant>
        <vt:i4>720943</vt:i4>
      </vt:variant>
      <vt:variant>
        <vt:i4>3021</vt:i4>
      </vt:variant>
      <vt:variant>
        <vt:i4>0</vt:i4>
      </vt:variant>
      <vt:variant>
        <vt:i4>5</vt:i4>
      </vt:variant>
      <vt:variant>
        <vt:lpwstr/>
      </vt:variant>
      <vt:variant>
        <vt:lpwstr>Endnote25_Certified</vt:lpwstr>
      </vt:variant>
      <vt:variant>
        <vt:i4>196616</vt:i4>
      </vt:variant>
      <vt:variant>
        <vt:i4>3018</vt:i4>
      </vt:variant>
      <vt:variant>
        <vt:i4>0</vt:i4>
      </vt:variant>
      <vt:variant>
        <vt:i4>5</vt:i4>
      </vt:variant>
      <vt:variant>
        <vt:lpwstr/>
      </vt:variant>
      <vt:variant>
        <vt:lpwstr>generalmedicalsurgicalandneuroicu</vt:lpwstr>
      </vt:variant>
      <vt:variant>
        <vt:i4>196616</vt:i4>
      </vt:variant>
      <vt:variant>
        <vt:i4>3015</vt:i4>
      </vt:variant>
      <vt:variant>
        <vt:i4>0</vt:i4>
      </vt:variant>
      <vt:variant>
        <vt:i4>5</vt:i4>
      </vt:variant>
      <vt:variant>
        <vt:lpwstr/>
      </vt:variant>
      <vt:variant>
        <vt:lpwstr>generalmedicalsurgicalandneuroicu</vt:lpwstr>
      </vt:variant>
      <vt:variant>
        <vt:i4>1638432</vt:i4>
      </vt:variant>
      <vt:variant>
        <vt:i4>3009</vt:i4>
      </vt:variant>
      <vt:variant>
        <vt:i4>0</vt:i4>
      </vt:variant>
      <vt:variant>
        <vt:i4>5</vt:i4>
      </vt:variant>
      <vt:variant>
        <vt:lpwstr/>
      </vt:variant>
      <vt:variant>
        <vt:lpwstr>Endnote27_Telemedicine</vt:lpwstr>
      </vt:variant>
      <vt:variant>
        <vt:i4>1638432</vt:i4>
      </vt:variant>
      <vt:variant>
        <vt:i4>3003</vt:i4>
      </vt:variant>
      <vt:variant>
        <vt:i4>0</vt:i4>
      </vt:variant>
      <vt:variant>
        <vt:i4>5</vt:i4>
      </vt:variant>
      <vt:variant>
        <vt:lpwstr/>
      </vt:variant>
      <vt:variant>
        <vt:lpwstr>Endnote27_Telemedicine</vt:lpwstr>
      </vt:variant>
      <vt:variant>
        <vt:i4>7798907</vt:i4>
      </vt:variant>
      <vt:variant>
        <vt:i4>3000</vt:i4>
      </vt:variant>
      <vt:variant>
        <vt:i4>0</vt:i4>
      </vt:variant>
      <vt:variant>
        <vt:i4>5</vt:i4>
      </vt:variant>
      <vt:variant>
        <vt:lpwstr>http://leapfroggroup.org/survey-materials/multi-campus-reporting-policy</vt:lpwstr>
      </vt:variant>
      <vt:variant>
        <vt:lpwstr/>
      </vt:variant>
      <vt:variant>
        <vt:i4>720943</vt:i4>
      </vt:variant>
      <vt:variant>
        <vt:i4>2994</vt:i4>
      </vt:variant>
      <vt:variant>
        <vt:i4>0</vt:i4>
      </vt:variant>
      <vt:variant>
        <vt:i4>5</vt:i4>
      </vt:variant>
      <vt:variant>
        <vt:lpwstr/>
      </vt:variant>
      <vt:variant>
        <vt:lpwstr>Endnote25_Certified</vt:lpwstr>
      </vt:variant>
      <vt:variant>
        <vt:i4>7274575</vt:i4>
      </vt:variant>
      <vt:variant>
        <vt:i4>2988</vt:i4>
      </vt:variant>
      <vt:variant>
        <vt:i4>0</vt:i4>
      </vt:variant>
      <vt:variant>
        <vt:i4>5</vt:i4>
      </vt:variant>
      <vt:variant>
        <vt:lpwstr/>
      </vt:variant>
      <vt:variant>
        <vt:lpwstr>Endnote22_CCPatients</vt:lpwstr>
      </vt:variant>
      <vt:variant>
        <vt:i4>720943</vt:i4>
      </vt:variant>
      <vt:variant>
        <vt:i4>2982</vt:i4>
      </vt:variant>
      <vt:variant>
        <vt:i4>0</vt:i4>
      </vt:variant>
      <vt:variant>
        <vt:i4>5</vt:i4>
      </vt:variant>
      <vt:variant>
        <vt:lpwstr/>
      </vt:variant>
      <vt:variant>
        <vt:lpwstr>Endnote25_Certified</vt:lpwstr>
      </vt:variant>
      <vt:variant>
        <vt:i4>7274575</vt:i4>
      </vt:variant>
      <vt:variant>
        <vt:i4>2976</vt:i4>
      </vt:variant>
      <vt:variant>
        <vt:i4>0</vt:i4>
      </vt:variant>
      <vt:variant>
        <vt:i4>5</vt:i4>
      </vt:variant>
      <vt:variant>
        <vt:lpwstr/>
      </vt:variant>
      <vt:variant>
        <vt:lpwstr>Endnote22_CCPatients</vt:lpwstr>
      </vt:variant>
      <vt:variant>
        <vt:i4>327742</vt:i4>
      </vt:variant>
      <vt:variant>
        <vt:i4>2970</vt:i4>
      </vt:variant>
      <vt:variant>
        <vt:i4>0</vt:i4>
      </vt:variant>
      <vt:variant>
        <vt:i4>5</vt:i4>
      </vt:variant>
      <vt:variant>
        <vt:lpwstr/>
      </vt:variant>
      <vt:variant>
        <vt:lpwstr>Endnote28_ResponseAnalysis</vt:lpwstr>
      </vt:variant>
      <vt:variant>
        <vt:i4>7274575</vt:i4>
      </vt:variant>
      <vt:variant>
        <vt:i4>2964</vt:i4>
      </vt:variant>
      <vt:variant>
        <vt:i4>0</vt:i4>
      </vt:variant>
      <vt:variant>
        <vt:i4>5</vt:i4>
      </vt:variant>
      <vt:variant>
        <vt:lpwstr/>
      </vt:variant>
      <vt:variant>
        <vt:lpwstr>Endnote22_CCPatients</vt:lpwstr>
      </vt:variant>
      <vt:variant>
        <vt:i4>7733325</vt:i4>
      </vt:variant>
      <vt:variant>
        <vt:i4>2958</vt:i4>
      </vt:variant>
      <vt:variant>
        <vt:i4>0</vt:i4>
      </vt:variant>
      <vt:variant>
        <vt:i4>5</vt:i4>
      </vt:variant>
      <vt:variant>
        <vt:lpwstr/>
      </vt:variant>
      <vt:variant>
        <vt:lpwstr>Endnote26_Present</vt:lpwstr>
      </vt:variant>
      <vt:variant>
        <vt:i4>7733325</vt:i4>
      </vt:variant>
      <vt:variant>
        <vt:i4>2952</vt:i4>
      </vt:variant>
      <vt:variant>
        <vt:i4>0</vt:i4>
      </vt:variant>
      <vt:variant>
        <vt:i4>5</vt:i4>
      </vt:variant>
      <vt:variant>
        <vt:lpwstr/>
      </vt:variant>
      <vt:variant>
        <vt:lpwstr>Endnote26_Present</vt:lpwstr>
      </vt:variant>
      <vt:variant>
        <vt:i4>1638432</vt:i4>
      </vt:variant>
      <vt:variant>
        <vt:i4>2946</vt:i4>
      </vt:variant>
      <vt:variant>
        <vt:i4>0</vt:i4>
      </vt:variant>
      <vt:variant>
        <vt:i4>5</vt:i4>
      </vt:variant>
      <vt:variant>
        <vt:lpwstr/>
      </vt:variant>
      <vt:variant>
        <vt:lpwstr>Endnote27_Telemedicine</vt:lpwstr>
      </vt:variant>
      <vt:variant>
        <vt:i4>720943</vt:i4>
      </vt:variant>
      <vt:variant>
        <vt:i4>2940</vt:i4>
      </vt:variant>
      <vt:variant>
        <vt:i4>0</vt:i4>
      </vt:variant>
      <vt:variant>
        <vt:i4>5</vt:i4>
      </vt:variant>
      <vt:variant>
        <vt:lpwstr/>
      </vt:variant>
      <vt:variant>
        <vt:lpwstr>Endnote25_Certified</vt:lpwstr>
      </vt:variant>
      <vt:variant>
        <vt:i4>8126555</vt:i4>
      </vt:variant>
      <vt:variant>
        <vt:i4>2934</vt:i4>
      </vt:variant>
      <vt:variant>
        <vt:i4>0</vt:i4>
      </vt:variant>
      <vt:variant>
        <vt:i4>5</vt:i4>
      </vt:variant>
      <vt:variant>
        <vt:lpwstr/>
      </vt:variant>
      <vt:variant>
        <vt:lpwstr>Endnote24_Manage</vt:lpwstr>
      </vt:variant>
      <vt:variant>
        <vt:i4>7274575</vt:i4>
      </vt:variant>
      <vt:variant>
        <vt:i4>2928</vt:i4>
      </vt:variant>
      <vt:variant>
        <vt:i4>0</vt:i4>
      </vt:variant>
      <vt:variant>
        <vt:i4>5</vt:i4>
      </vt:variant>
      <vt:variant>
        <vt:lpwstr/>
      </vt:variant>
      <vt:variant>
        <vt:lpwstr>Endnote22_CCPatients</vt:lpwstr>
      </vt:variant>
      <vt:variant>
        <vt:i4>720943</vt:i4>
      </vt:variant>
      <vt:variant>
        <vt:i4>2922</vt:i4>
      </vt:variant>
      <vt:variant>
        <vt:i4>0</vt:i4>
      </vt:variant>
      <vt:variant>
        <vt:i4>5</vt:i4>
      </vt:variant>
      <vt:variant>
        <vt:lpwstr/>
      </vt:variant>
      <vt:variant>
        <vt:lpwstr>Endnote25_Certified</vt:lpwstr>
      </vt:variant>
      <vt:variant>
        <vt:i4>8126555</vt:i4>
      </vt:variant>
      <vt:variant>
        <vt:i4>2916</vt:i4>
      </vt:variant>
      <vt:variant>
        <vt:i4>0</vt:i4>
      </vt:variant>
      <vt:variant>
        <vt:i4>5</vt:i4>
      </vt:variant>
      <vt:variant>
        <vt:lpwstr/>
      </vt:variant>
      <vt:variant>
        <vt:lpwstr>Endnote24_Manage</vt:lpwstr>
      </vt:variant>
      <vt:variant>
        <vt:i4>7274575</vt:i4>
      </vt:variant>
      <vt:variant>
        <vt:i4>2910</vt:i4>
      </vt:variant>
      <vt:variant>
        <vt:i4>0</vt:i4>
      </vt:variant>
      <vt:variant>
        <vt:i4>5</vt:i4>
      </vt:variant>
      <vt:variant>
        <vt:lpwstr/>
      </vt:variant>
      <vt:variant>
        <vt:lpwstr>Endnote22_CCPatients</vt:lpwstr>
      </vt:variant>
      <vt:variant>
        <vt:i4>1245231</vt:i4>
      </vt:variant>
      <vt:variant>
        <vt:i4>2907</vt:i4>
      </vt:variant>
      <vt:variant>
        <vt:i4>0</vt:i4>
      </vt:variant>
      <vt:variant>
        <vt:i4>5</vt:i4>
      </vt:variant>
      <vt:variant>
        <vt:lpwstr/>
      </vt:variant>
      <vt:variant>
        <vt:lpwstr>Endnote32_ModifiedTelemedicine</vt:lpwstr>
      </vt:variant>
      <vt:variant>
        <vt:i4>720943</vt:i4>
      </vt:variant>
      <vt:variant>
        <vt:i4>2901</vt:i4>
      </vt:variant>
      <vt:variant>
        <vt:i4>0</vt:i4>
      </vt:variant>
      <vt:variant>
        <vt:i4>5</vt:i4>
      </vt:variant>
      <vt:variant>
        <vt:lpwstr/>
      </vt:variant>
      <vt:variant>
        <vt:lpwstr>Endnote25_Certified</vt:lpwstr>
      </vt:variant>
      <vt:variant>
        <vt:i4>8126555</vt:i4>
      </vt:variant>
      <vt:variant>
        <vt:i4>2895</vt:i4>
      </vt:variant>
      <vt:variant>
        <vt:i4>0</vt:i4>
      </vt:variant>
      <vt:variant>
        <vt:i4>5</vt:i4>
      </vt:variant>
      <vt:variant>
        <vt:lpwstr/>
      </vt:variant>
      <vt:variant>
        <vt:lpwstr>Endnote24_Manage</vt:lpwstr>
      </vt:variant>
      <vt:variant>
        <vt:i4>7274575</vt:i4>
      </vt:variant>
      <vt:variant>
        <vt:i4>2889</vt:i4>
      </vt:variant>
      <vt:variant>
        <vt:i4>0</vt:i4>
      </vt:variant>
      <vt:variant>
        <vt:i4>5</vt:i4>
      </vt:variant>
      <vt:variant>
        <vt:lpwstr/>
      </vt:variant>
      <vt:variant>
        <vt:lpwstr>Endnote22_CCPatients</vt:lpwstr>
      </vt:variant>
      <vt:variant>
        <vt:i4>7733325</vt:i4>
      </vt:variant>
      <vt:variant>
        <vt:i4>2883</vt:i4>
      </vt:variant>
      <vt:variant>
        <vt:i4>0</vt:i4>
      </vt:variant>
      <vt:variant>
        <vt:i4>5</vt:i4>
      </vt:variant>
      <vt:variant>
        <vt:lpwstr/>
      </vt:variant>
      <vt:variant>
        <vt:lpwstr>Endnote26_Present</vt:lpwstr>
      </vt:variant>
      <vt:variant>
        <vt:i4>7733325</vt:i4>
      </vt:variant>
      <vt:variant>
        <vt:i4>2877</vt:i4>
      </vt:variant>
      <vt:variant>
        <vt:i4>0</vt:i4>
      </vt:variant>
      <vt:variant>
        <vt:i4>5</vt:i4>
      </vt:variant>
      <vt:variant>
        <vt:lpwstr/>
      </vt:variant>
      <vt:variant>
        <vt:lpwstr>Endnote26_Present</vt:lpwstr>
      </vt:variant>
      <vt:variant>
        <vt:i4>720943</vt:i4>
      </vt:variant>
      <vt:variant>
        <vt:i4>2871</vt:i4>
      </vt:variant>
      <vt:variant>
        <vt:i4>0</vt:i4>
      </vt:variant>
      <vt:variant>
        <vt:i4>5</vt:i4>
      </vt:variant>
      <vt:variant>
        <vt:lpwstr/>
      </vt:variant>
      <vt:variant>
        <vt:lpwstr>Endnote25_Certified</vt:lpwstr>
      </vt:variant>
      <vt:variant>
        <vt:i4>8126555</vt:i4>
      </vt:variant>
      <vt:variant>
        <vt:i4>2865</vt:i4>
      </vt:variant>
      <vt:variant>
        <vt:i4>0</vt:i4>
      </vt:variant>
      <vt:variant>
        <vt:i4>5</vt:i4>
      </vt:variant>
      <vt:variant>
        <vt:lpwstr/>
      </vt:variant>
      <vt:variant>
        <vt:lpwstr>Endnote24_Manage</vt:lpwstr>
      </vt:variant>
      <vt:variant>
        <vt:i4>7274575</vt:i4>
      </vt:variant>
      <vt:variant>
        <vt:i4>2859</vt:i4>
      </vt:variant>
      <vt:variant>
        <vt:i4>0</vt:i4>
      </vt:variant>
      <vt:variant>
        <vt:i4>5</vt:i4>
      </vt:variant>
      <vt:variant>
        <vt:lpwstr/>
      </vt:variant>
      <vt:variant>
        <vt:lpwstr>Endnote22_CCPatients</vt:lpwstr>
      </vt:variant>
      <vt:variant>
        <vt:i4>327742</vt:i4>
      </vt:variant>
      <vt:variant>
        <vt:i4>2853</vt:i4>
      </vt:variant>
      <vt:variant>
        <vt:i4>0</vt:i4>
      </vt:variant>
      <vt:variant>
        <vt:i4>5</vt:i4>
      </vt:variant>
      <vt:variant>
        <vt:lpwstr/>
      </vt:variant>
      <vt:variant>
        <vt:lpwstr>Endnote28_ResponseAnalysis</vt:lpwstr>
      </vt:variant>
      <vt:variant>
        <vt:i4>1048636</vt:i4>
      </vt:variant>
      <vt:variant>
        <vt:i4>2847</vt:i4>
      </vt:variant>
      <vt:variant>
        <vt:i4>0</vt:i4>
      </vt:variant>
      <vt:variant>
        <vt:i4>5</vt:i4>
      </vt:variant>
      <vt:variant>
        <vt:lpwstr/>
      </vt:variant>
      <vt:variant>
        <vt:lpwstr>Endnote29_NurseEffector</vt:lpwstr>
      </vt:variant>
      <vt:variant>
        <vt:i4>393272</vt:i4>
      </vt:variant>
      <vt:variant>
        <vt:i4>2844</vt:i4>
      </vt:variant>
      <vt:variant>
        <vt:i4>0</vt:i4>
      </vt:variant>
      <vt:variant>
        <vt:i4>5</vt:i4>
      </vt:variant>
      <vt:variant>
        <vt:lpwstr/>
      </vt:variant>
      <vt:variant>
        <vt:lpwstr>Endnote31_OtherEffector</vt:lpwstr>
      </vt:variant>
      <vt:variant>
        <vt:i4>7209033</vt:i4>
      </vt:variant>
      <vt:variant>
        <vt:i4>2841</vt:i4>
      </vt:variant>
      <vt:variant>
        <vt:i4>0</vt:i4>
      </vt:variant>
      <vt:variant>
        <vt:i4>5</vt:i4>
      </vt:variant>
      <vt:variant>
        <vt:lpwstr/>
      </vt:variant>
      <vt:variant>
        <vt:lpwstr>Endnote30_TeleCoverCalls</vt:lpwstr>
      </vt:variant>
      <vt:variant>
        <vt:i4>327742</vt:i4>
      </vt:variant>
      <vt:variant>
        <vt:i4>2835</vt:i4>
      </vt:variant>
      <vt:variant>
        <vt:i4>0</vt:i4>
      </vt:variant>
      <vt:variant>
        <vt:i4>5</vt:i4>
      </vt:variant>
      <vt:variant>
        <vt:lpwstr/>
      </vt:variant>
      <vt:variant>
        <vt:lpwstr>Endnote28_ResponseAnalysis</vt:lpwstr>
      </vt:variant>
      <vt:variant>
        <vt:i4>1638432</vt:i4>
      </vt:variant>
      <vt:variant>
        <vt:i4>2829</vt:i4>
      </vt:variant>
      <vt:variant>
        <vt:i4>0</vt:i4>
      </vt:variant>
      <vt:variant>
        <vt:i4>5</vt:i4>
      </vt:variant>
      <vt:variant>
        <vt:lpwstr/>
      </vt:variant>
      <vt:variant>
        <vt:lpwstr>Endnote27_Telemedicine</vt:lpwstr>
      </vt:variant>
      <vt:variant>
        <vt:i4>720943</vt:i4>
      </vt:variant>
      <vt:variant>
        <vt:i4>2823</vt:i4>
      </vt:variant>
      <vt:variant>
        <vt:i4>0</vt:i4>
      </vt:variant>
      <vt:variant>
        <vt:i4>5</vt:i4>
      </vt:variant>
      <vt:variant>
        <vt:lpwstr/>
      </vt:variant>
      <vt:variant>
        <vt:lpwstr>Endnote25_Certified</vt:lpwstr>
      </vt:variant>
      <vt:variant>
        <vt:i4>8126555</vt:i4>
      </vt:variant>
      <vt:variant>
        <vt:i4>2817</vt:i4>
      </vt:variant>
      <vt:variant>
        <vt:i4>0</vt:i4>
      </vt:variant>
      <vt:variant>
        <vt:i4>5</vt:i4>
      </vt:variant>
      <vt:variant>
        <vt:lpwstr/>
      </vt:variant>
      <vt:variant>
        <vt:lpwstr>Endnote24_Manage</vt:lpwstr>
      </vt:variant>
      <vt:variant>
        <vt:i4>7274575</vt:i4>
      </vt:variant>
      <vt:variant>
        <vt:i4>2811</vt:i4>
      </vt:variant>
      <vt:variant>
        <vt:i4>0</vt:i4>
      </vt:variant>
      <vt:variant>
        <vt:i4>5</vt:i4>
      </vt:variant>
      <vt:variant>
        <vt:lpwstr/>
      </vt:variant>
      <vt:variant>
        <vt:lpwstr>Endnote22_CCPatients</vt:lpwstr>
      </vt:variant>
      <vt:variant>
        <vt:i4>7733325</vt:i4>
      </vt:variant>
      <vt:variant>
        <vt:i4>2805</vt:i4>
      </vt:variant>
      <vt:variant>
        <vt:i4>0</vt:i4>
      </vt:variant>
      <vt:variant>
        <vt:i4>5</vt:i4>
      </vt:variant>
      <vt:variant>
        <vt:lpwstr/>
      </vt:variant>
      <vt:variant>
        <vt:lpwstr>Endnote26_Present</vt:lpwstr>
      </vt:variant>
      <vt:variant>
        <vt:i4>7733325</vt:i4>
      </vt:variant>
      <vt:variant>
        <vt:i4>2799</vt:i4>
      </vt:variant>
      <vt:variant>
        <vt:i4>0</vt:i4>
      </vt:variant>
      <vt:variant>
        <vt:i4>5</vt:i4>
      </vt:variant>
      <vt:variant>
        <vt:lpwstr/>
      </vt:variant>
      <vt:variant>
        <vt:lpwstr>Endnote26_Present</vt:lpwstr>
      </vt:variant>
      <vt:variant>
        <vt:i4>720943</vt:i4>
      </vt:variant>
      <vt:variant>
        <vt:i4>2793</vt:i4>
      </vt:variant>
      <vt:variant>
        <vt:i4>0</vt:i4>
      </vt:variant>
      <vt:variant>
        <vt:i4>5</vt:i4>
      </vt:variant>
      <vt:variant>
        <vt:lpwstr/>
      </vt:variant>
      <vt:variant>
        <vt:lpwstr>Endnote25_Certified</vt:lpwstr>
      </vt:variant>
      <vt:variant>
        <vt:i4>8126555</vt:i4>
      </vt:variant>
      <vt:variant>
        <vt:i4>2787</vt:i4>
      </vt:variant>
      <vt:variant>
        <vt:i4>0</vt:i4>
      </vt:variant>
      <vt:variant>
        <vt:i4>5</vt:i4>
      </vt:variant>
      <vt:variant>
        <vt:lpwstr/>
      </vt:variant>
      <vt:variant>
        <vt:lpwstr>Endnote24_Manage</vt:lpwstr>
      </vt:variant>
      <vt:variant>
        <vt:i4>7274575</vt:i4>
      </vt:variant>
      <vt:variant>
        <vt:i4>2781</vt:i4>
      </vt:variant>
      <vt:variant>
        <vt:i4>0</vt:i4>
      </vt:variant>
      <vt:variant>
        <vt:i4>5</vt:i4>
      </vt:variant>
      <vt:variant>
        <vt:lpwstr/>
      </vt:variant>
      <vt:variant>
        <vt:lpwstr>Endnote22_CCPatients</vt:lpwstr>
      </vt:variant>
      <vt:variant>
        <vt:i4>3538982</vt:i4>
      </vt:variant>
      <vt:variant>
        <vt:i4>2778</vt:i4>
      </vt:variant>
      <vt:variant>
        <vt:i4>0</vt:i4>
      </vt:variant>
      <vt:variant>
        <vt:i4>5</vt:i4>
      </vt:variant>
      <vt:variant>
        <vt:lpwstr>https://www.leapfroggroup.org/survey-materials/scoring-and-results</vt:lpwstr>
      </vt:variant>
      <vt:variant>
        <vt:lpwstr/>
      </vt:variant>
      <vt:variant>
        <vt:i4>7274575</vt:i4>
      </vt:variant>
      <vt:variant>
        <vt:i4>2772</vt:i4>
      </vt:variant>
      <vt:variant>
        <vt:i4>0</vt:i4>
      </vt:variant>
      <vt:variant>
        <vt:i4>5</vt:i4>
      </vt:variant>
      <vt:variant>
        <vt:lpwstr/>
      </vt:variant>
      <vt:variant>
        <vt:lpwstr>Endnote22_CCPatients</vt:lpwstr>
      </vt:variant>
      <vt:variant>
        <vt:i4>720943</vt:i4>
      </vt:variant>
      <vt:variant>
        <vt:i4>2766</vt:i4>
      </vt:variant>
      <vt:variant>
        <vt:i4>0</vt:i4>
      </vt:variant>
      <vt:variant>
        <vt:i4>5</vt:i4>
      </vt:variant>
      <vt:variant>
        <vt:lpwstr/>
      </vt:variant>
      <vt:variant>
        <vt:lpwstr>Endnote25_Certified</vt:lpwstr>
      </vt:variant>
      <vt:variant>
        <vt:i4>720943</vt:i4>
      </vt:variant>
      <vt:variant>
        <vt:i4>2760</vt:i4>
      </vt:variant>
      <vt:variant>
        <vt:i4>0</vt:i4>
      </vt:variant>
      <vt:variant>
        <vt:i4>5</vt:i4>
      </vt:variant>
      <vt:variant>
        <vt:lpwstr/>
      </vt:variant>
      <vt:variant>
        <vt:lpwstr>Endnote25_Certified</vt:lpwstr>
      </vt:variant>
      <vt:variant>
        <vt:i4>196616</vt:i4>
      </vt:variant>
      <vt:variant>
        <vt:i4>2757</vt:i4>
      </vt:variant>
      <vt:variant>
        <vt:i4>0</vt:i4>
      </vt:variant>
      <vt:variant>
        <vt:i4>5</vt:i4>
      </vt:variant>
      <vt:variant>
        <vt:lpwstr/>
      </vt:variant>
      <vt:variant>
        <vt:lpwstr>generalmedicalsurgicalandneuroicu</vt:lpwstr>
      </vt:variant>
      <vt:variant>
        <vt:i4>196616</vt:i4>
      </vt:variant>
      <vt:variant>
        <vt:i4>2754</vt:i4>
      </vt:variant>
      <vt:variant>
        <vt:i4>0</vt:i4>
      </vt:variant>
      <vt:variant>
        <vt:i4>5</vt:i4>
      </vt:variant>
      <vt:variant>
        <vt:lpwstr/>
      </vt:variant>
      <vt:variant>
        <vt:lpwstr>generalmedicalsurgicalandneuroicu</vt:lpwstr>
      </vt:variant>
      <vt:variant>
        <vt:i4>720943</vt:i4>
      </vt:variant>
      <vt:variant>
        <vt:i4>2748</vt:i4>
      </vt:variant>
      <vt:variant>
        <vt:i4>0</vt:i4>
      </vt:variant>
      <vt:variant>
        <vt:i4>5</vt:i4>
      </vt:variant>
      <vt:variant>
        <vt:lpwstr/>
      </vt:variant>
      <vt:variant>
        <vt:lpwstr>Endnote25_Certified</vt:lpwstr>
      </vt:variant>
      <vt:variant>
        <vt:i4>1638432</vt:i4>
      </vt:variant>
      <vt:variant>
        <vt:i4>2742</vt:i4>
      </vt:variant>
      <vt:variant>
        <vt:i4>0</vt:i4>
      </vt:variant>
      <vt:variant>
        <vt:i4>5</vt:i4>
      </vt:variant>
      <vt:variant>
        <vt:lpwstr/>
      </vt:variant>
      <vt:variant>
        <vt:lpwstr>Endnote27_Telemedicine</vt:lpwstr>
      </vt:variant>
      <vt:variant>
        <vt:i4>7798907</vt:i4>
      </vt:variant>
      <vt:variant>
        <vt:i4>2739</vt:i4>
      </vt:variant>
      <vt:variant>
        <vt:i4>0</vt:i4>
      </vt:variant>
      <vt:variant>
        <vt:i4>5</vt:i4>
      </vt:variant>
      <vt:variant>
        <vt:lpwstr>http://leapfroggroup.org/survey-materials/multi-campus-reporting-policy</vt:lpwstr>
      </vt:variant>
      <vt:variant>
        <vt:lpwstr/>
      </vt:variant>
      <vt:variant>
        <vt:i4>5046365</vt:i4>
      </vt:variant>
      <vt:variant>
        <vt:i4>2736</vt:i4>
      </vt:variant>
      <vt:variant>
        <vt:i4>0</vt:i4>
      </vt:variant>
      <vt:variant>
        <vt:i4>5</vt:i4>
      </vt:variant>
      <vt:variant>
        <vt:lpwstr>http://www.leapfroggroup.org/survey-materials/scoring-and-results</vt:lpwstr>
      </vt:variant>
      <vt:variant>
        <vt:lpwstr/>
      </vt:variant>
      <vt:variant>
        <vt:i4>1048636</vt:i4>
      </vt:variant>
      <vt:variant>
        <vt:i4>2733</vt:i4>
      </vt:variant>
      <vt:variant>
        <vt:i4>0</vt:i4>
      </vt:variant>
      <vt:variant>
        <vt:i4>5</vt:i4>
      </vt:variant>
      <vt:variant>
        <vt:lpwstr/>
      </vt:variant>
      <vt:variant>
        <vt:lpwstr>Endnote29_NurseEffector</vt:lpwstr>
      </vt:variant>
      <vt:variant>
        <vt:i4>393272</vt:i4>
      </vt:variant>
      <vt:variant>
        <vt:i4>2727</vt:i4>
      </vt:variant>
      <vt:variant>
        <vt:i4>0</vt:i4>
      </vt:variant>
      <vt:variant>
        <vt:i4>5</vt:i4>
      </vt:variant>
      <vt:variant>
        <vt:lpwstr/>
      </vt:variant>
      <vt:variant>
        <vt:lpwstr>Endnote31_OtherEffector</vt:lpwstr>
      </vt:variant>
      <vt:variant>
        <vt:i4>327742</vt:i4>
      </vt:variant>
      <vt:variant>
        <vt:i4>2724</vt:i4>
      </vt:variant>
      <vt:variant>
        <vt:i4>0</vt:i4>
      </vt:variant>
      <vt:variant>
        <vt:i4>5</vt:i4>
      </vt:variant>
      <vt:variant>
        <vt:lpwstr/>
      </vt:variant>
      <vt:variant>
        <vt:lpwstr>Endnote28_ResponseAnalysis</vt:lpwstr>
      </vt:variant>
      <vt:variant>
        <vt:i4>1638432</vt:i4>
      </vt:variant>
      <vt:variant>
        <vt:i4>2721</vt:i4>
      </vt:variant>
      <vt:variant>
        <vt:i4>0</vt:i4>
      </vt:variant>
      <vt:variant>
        <vt:i4>5</vt:i4>
      </vt:variant>
      <vt:variant>
        <vt:lpwstr/>
      </vt:variant>
      <vt:variant>
        <vt:lpwstr>Endnote27_Telemedicine</vt:lpwstr>
      </vt:variant>
      <vt:variant>
        <vt:i4>7733325</vt:i4>
      </vt:variant>
      <vt:variant>
        <vt:i4>2715</vt:i4>
      </vt:variant>
      <vt:variant>
        <vt:i4>0</vt:i4>
      </vt:variant>
      <vt:variant>
        <vt:i4>5</vt:i4>
      </vt:variant>
      <vt:variant>
        <vt:lpwstr/>
      </vt:variant>
      <vt:variant>
        <vt:lpwstr>Endnote26_Present</vt:lpwstr>
      </vt:variant>
      <vt:variant>
        <vt:i4>7733325</vt:i4>
      </vt:variant>
      <vt:variant>
        <vt:i4>2712</vt:i4>
      </vt:variant>
      <vt:variant>
        <vt:i4>0</vt:i4>
      </vt:variant>
      <vt:variant>
        <vt:i4>5</vt:i4>
      </vt:variant>
      <vt:variant>
        <vt:lpwstr/>
      </vt:variant>
      <vt:variant>
        <vt:lpwstr>Endnote26_Present</vt:lpwstr>
      </vt:variant>
      <vt:variant>
        <vt:i4>720943</vt:i4>
      </vt:variant>
      <vt:variant>
        <vt:i4>2709</vt:i4>
      </vt:variant>
      <vt:variant>
        <vt:i4>0</vt:i4>
      </vt:variant>
      <vt:variant>
        <vt:i4>5</vt:i4>
      </vt:variant>
      <vt:variant>
        <vt:lpwstr/>
      </vt:variant>
      <vt:variant>
        <vt:lpwstr>Endnote25_Certified</vt:lpwstr>
      </vt:variant>
      <vt:variant>
        <vt:i4>8126555</vt:i4>
      </vt:variant>
      <vt:variant>
        <vt:i4>2706</vt:i4>
      </vt:variant>
      <vt:variant>
        <vt:i4>0</vt:i4>
      </vt:variant>
      <vt:variant>
        <vt:i4>5</vt:i4>
      </vt:variant>
      <vt:variant>
        <vt:lpwstr/>
      </vt:variant>
      <vt:variant>
        <vt:lpwstr>Endnote24_Manage</vt:lpwstr>
      </vt:variant>
      <vt:variant>
        <vt:i4>196616</vt:i4>
      </vt:variant>
      <vt:variant>
        <vt:i4>2703</vt:i4>
      </vt:variant>
      <vt:variant>
        <vt:i4>0</vt:i4>
      </vt:variant>
      <vt:variant>
        <vt:i4>5</vt:i4>
      </vt:variant>
      <vt:variant>
        <vt:lpwstr/>
      </vt:variant>
      <vt:variant>
        <vt:lpwstr>generalmedicalsurgicalandneuroicu</vt:lpwstr>
      </vt:variant>
      <vt:variant>
        <vt:i4>7274575</vt:i4>
      </vt:variant>
      <vt:variant>
        <vt:i4>2700</vt:i4>
      </vt:variant>
      <vt:variant>
        <vt:i4>0</vt:i4>
      </vt:variant>
      <vt:variant>
        <vt:i4>5</vt:i4>
      </vt:variant>
      <vt:variant>
        <vt:lpwstr/>
      </vt:variant>
      <vt:variant>
        <vt:lpwstr>Endnote22_CCPatients</vt:lpwstr>
      </vt:variant>
      <vt:variant>
        <vt:i4>655369</vt:i4>
      </vt:variant>
      <vt:variant>
        <vt:i4>2697</vt:i4>
      </vt:variant>
      <vt:variant>
        <vt:i4>0</vt:i4>
      </vt:variant>
      <vt:variant>
        <vt:i4>5</vt:i4>
      </vt:variant>
      <vt:variant>
        <vt:lpwstr>https://ratings.leapfroggroup.org/measure/hospital/2025/nursing-workforce</vt:lpwstr>
      </vt:variant>
      <vt:variant>
        <vt:lpwstr/>
      </vt:variant>
      <vt:variant>
        <vt:i4>5832715</vt:i4>
      </vt:variant>
      <vt:variant>
        <vt:i4>2694</vt:i4>
      </vt:variant>
      <vt:variant>
        <vt:i4>0</vt:i4>
      </vt:variant>
      <vt:variant>
        <vt:i4>5</vt:i4>
      </vt:variant>
      <vt:variant>
        <vt:lpwstr>https://ratings.leapfroggroup.org/measure/hospital/2025/specially-trained-doctors-care-critical-care-patients</vt:lpwstr>
      </vt:variant>
      <vt:variant>
        <vt:lpwstr/>
      </vt:variant>
      <vt:variant>
        <vt:i4>131120</vt:i4>
      </vt:variant>
      <vt:variant>
        <vt:i4>2691</vt:i4>
      </vt:variant>
      <vt:variant>
        <vt:i4>0</vt:i4>
      </vt:variant>
      <vt:variant>
        <vt:i4>5</vt:i4>
      </vt:variant>
      <vt:variant>
        <vt:lpwstr/>
      </vt:variant>
      <vt:variant>
        <vt:lpwstr>_Newborn_Bilirubin_Screening</vt:lpwstr>
      </vt:variant>
      <vt:variant>
        <vt:i4>720967</vt:i4>
      </vt:variant>
      <vt:variant>
        <vt:i4>2688</vt:i4>
      </vt:variant>
      <vt:variant>
        <vt:i4>0</vt:i4>
      </vt:variant>
      <vt:variant>
        <vt:i4>5</vt:i4>
      </vt:variant>
      <vt:variant>
        <vt:lpwstr>http://pediatrics.aappublications.org/content/114/1/297.full</vt:lpwstr>
      </vt:variant>
      <vt:variant>
        <vt:lpwstr/>
      </vt:variant>
      <vt:variant>
        <vt:i4>2490473</vt:i4>
      </vt:variant>
      <vt:variant>
        <vt:i4>2685</vt:i4>
      </vt:variant>
      <vt:variant>
        <vt:i4>0</vt:i4>
      </vt:variant>
      <vt:variant>
        <vt:i4>5</vt:i4>
      </vt:variant>
      <vt:variant>
        <vt:lpwstr>https://nam02.safelinks.protection.outlook.com/?url=https%3A%2F%2Fnlca.us%2Fwp-content%2Fuploads%2F2024%2F07%2FNLCA-Knowledge-Brief.pdf&amp;data=05%7C02%7Ckstewart%40leapfrog-group.org%7C8041067fea5b42e4141508de22ed5ead%7C95c34b8315eb4d9a97a7f29881f4a800%7C0%7C0%7C638986600050101598%7CUnknown%7CTWFpbGZsb3d8eyJFbXB0eU1hcGkiOnRydWUsIlYiOiIwLjAuMDAwMCIsIlAiOiJXaW4zMiIsIkFOIjoiTWFpbCIsIldUIjoyfQ%3D%3D%7C0%7C%7C%7C&amp;sdata=KsSl3s6V59SVVFXCngiljJz8pgxz%2FGR8MxTcS2r6Bt4%3D&amp;reserved=0</vt:lpwstr>
      </vt:variant>
      <vt:variant>
        <vt:lpwstr/>
      </vt:variant>
      <vt:variant>
        <vt:i4>6160494</vt:i4>
      </vt:variant>
      <vt:variant>
        <vt:i4>2682</vt:i4>
      </vt:variant>
      <vt:variant>
        <vt:i4>0</vt:i4>
      </vt:variant>
      <vt:variant>
        <vt:i4>5</vt:i4>
      </vt:variant>
      <vt:variant>
        <vt:lpwstr/>
      </vt:variant>
      <vt:variant>
        <vt:lpwstr>_Maternity_Care_Frequently</vt:lpwstr>
      </vt:variant>
      <vt:variant>
        <vt:i4>6750315</vt:i4>
      </vt:variant>
      <vt:variant>
        <vt:i4>2679</vt:i4>
      </vt:variant>
      <vt:variant>
        <vt:i4>0</vt:i4>
      </vt:variant>
      <vt:variant>
        <vt:i4>5</vt:i4>
      </vt:variant>
      <vt:variant>
        <vt:lpwstr>http://leapfroggroup.org/survey-materials/survey-and-cpoe-materials</vt:lpwstr>
      </vt:variant>
      <vt:variant>
        <vt:lpwstr/>
      </vt:variant>
      <vt:variant>
        <vt:i4>4784242</vt:i4>
      </vt:variant>
      <vt:variant>
        <vt:i4>2676</vt:i4>
      </vt:variant>
      <vt:variant>
        <vt:i4>0</vt:i4>
      </vt:variant>
      <vt:variant>
        <vt:i4>5</vt:i4>
      </vt:variant>
      <vt:variant>
        <vt:lpwstr>mailto:leapfrogreporting@vtoxford.org</vt:lpwstr>
      </vt:variant>
      <vt:variant>
        <vt:lpwstr/>
      </vt:variant>
      <vt:variant>
        <vt:i4>1376286</vt:i4>
      </vt:variant>
      <vt:variant>
        <vt:i4>2673</vt:i4>
      </vt:variant>
      <vt:variant>
        <vt:i4>0</vt:i4>
      </vt:variant>
      <vt:variant>
        <vt:i4>5</vt:i4>
      </vt:variant>
      <vt:variant>
        <vt:lpwstr>https://public.vtoxford.org/leapfrog</vt:lpwstr>
      </vt:variant>
      <vt:variant>
        <vt:lpwstr/>
      </vt:variant>
      <vt:variant>
        <vt:i4>6881342</vt:i4>
      </vt:variant>
      <vt:variant>
        <vt:i4>2670</vt:i4>
      </vt:variant>
      <vt:variant>
        <vt:i4>0</vt:i4>
      </vt:variant>
      <vt:variant>
        <vt:i4>5</vt:i4>
      </vt:variant>
      <vt:variant>
        <vt:lpwstr>https://public.vtoxford.org/transfer-codes/</vt:lpwstr>
      </vt:variant>
      <vt:variant>
        <vt:lpwstr/>
      </vt:variant>
      <vt:variant>
        <vt:i4>7798907</vt:i4>
      </vt:variant>
      <vt:variant>
        <vt:i4>2667</vt:i4>
      </vt:variant>
      <vt:variant>
        <vt:i4>0</vt:i4>
      </vt:variant>
      <vt:variant>
        <vt:i4>5</vt:i4>
      </vt:variant>
      <vt:variant>
        <vt:lpwstr>http://leapfroggroup.org/survey-materials/multi-campus-reporting-policy</vt:lpwstr>
      </vt:variant>
      <vt:variant>
        <vt:lpwstr/>
      </vt:variant>
      <vt:variant>
        <vt:i4>1507387</vt:i4>
      </vt:variant>
      <vt:variant>
        <vt:i4>2664</vt:i4>
      </vt:variant>
      <vt:variant>
        <vt:i4>0</vt:i4>
      </vt:variant>
      <vt:variant>
        <vt:i4>5</vt:i4>
      </vt:variant>
      <vt:variant>
        <vt:lpwstr>https://manual.jointcommission.org/releases/TJC2024B/AppendixHTJC.html</vt:lpwstr>
      </vt:variant>
      <vt:variant>
        <vt:lpwstr>A_42Table_2.1_VTE_Prophylaxis_Inclusion_Table_42</vt:lpwstr>
      </vt:variant>
      <vt:variant>
        <vt:i4>65542</vt:i4>
      </vt:variant>
      <vt:variant>
        <vt:i4>2661</vt:i4>
      </vt:variant>
      <vt:variant>
        <vt:i4>0</vt:i4>
      </vt:variant>
      <vt:variant>
        <vt:i4>5</vt:i4>
      </vt:variant>
      <vt:variant>
        <vt:lpwstr>https://pubmed.ncbi.nlm.nih.gov/29939938/</vt:lpwstr>
      </vt:variant>
      <vt:variant>
        <vt:lpwstr/>
      </vt:variant>
      <vt:variant>
        <vt:i4>6750315</vt:i4>
      </vt:variant>
      <vt:variant>
        <vt:i4>2658</vt:i4>
      </vt:variant>
      <vt:variant>
        <vt:i4>0</vt:i4>
      </vt:variant>
      <vt:variant>
        <vt:i4>5</vt:i4>
      </vt:variant>
      <vt:variant>
        <vt:lpwstr>http://leapfroggroup.org/survey-materials/survey-and-cpoe-materials</vt:lpwstr>
      </vt:variant>
      <vt:variant>
        <vt:lpwstr/>
      </vt:variant>
      <vt:variant>
        <vt:i4>6750315</vt:i4>
      </vt:variant>
      <vt:variant>
        <vt:i4>2655</vt:i4>
      </vt:variant>
      <vt:variant>
        <vt:i4>0</vt:i4>
      </vt:variant>
      <vt:variant>
        <vt:i4>5</vt:i4>
      </vt:variant>
      <vt:variant>
        <vt:lpwstr>http://leapfroggroup.org/survey-materials/survey-and-cpoe-materials</vt:lpwstr>
      </vt:variant>
      <vt:variant>
        <vt:lpwstr/>
      </vt:variant>
      <vt:variant>
        <vt:i4>7798907</vt:i4>
      </vt:variant>
      <vt:variant>
        <vt:i4>2652</vt:i4>
      </vt:variant>
      <vt:variant>
        <vt:i4>0</vt:i4>
      </vt:variant>
      <vt:variant>
        <vt:i4>5</vt:i4>
      </vt:variant>
      <vt:variant>
        <vt:lpwstr>http://leapfroggroup.org/survey-materials/multi-campus-reporting-policy</vt:lpwstr>
      </vt:variant>
      <vt:variant>
        <vt:lpwstr/>
      </vt:variant>
      <vt:variant>
        <vt:i4>6750315</vt:i4>
      </vt:variant>
      <vt:variant>
        <vt:i4>2649</vt:i4>
      </vt:variant>
      <vt:variant>
        <vt:i4>0</vt:i4>
      </vt:variant>
      <vt:variant>
        <vt:i4>5</vt:i4>
      </vt:variant>
      <vt:variant>
        <vt:lpwstr>http://leapfroggroup.org/survey-materials/survey-and-cpoe-materials</vt:lpwstr>
      </vt:variant>
      <vt:variant>
        <vt:lpwstr/>
      </vt:variant>
      <vt:variant>
        <vt:i4>7798907</vt:i4>
      </vt:variant>
      <vt:variant>
        <vt:i4>2646</vt:i4>
      </vt:variant>
      <vt:variant>
        <vt:i4>0</vt:i4>
      </vt:variant>
      <vt:variant>
        <vt:i4>5</vt:i4>
      </vt:variant>
      <vt:variant>
        <vt:lpwstr>http://leapfroggroup.org/survey-materials/multi-campus-reporting-policy</vt:lpwstr>
      </vt:variant>
      <vt:variant>
        <vt:lpwstr/>
      </vt:variant>
      <vt:variant>
        <vt:i4>2621485</vt:i4>
      </vt:variant>
      <vt:variant>
        <vt:i4>2643</vt:i4>
      </vt:variant>
      <vt:variant>
        <vt:i4>0</vt:i4>
      </vt:variant>
      <vt:variant>
        <vt:i4>5</vt:i4>
      </vt:variant>
      <vt:variant>
        <vt:lpwstr>https://manual.jointcommission.org/releases/TJC2026A1/MIF0167.html</vt:lpwstr>
      </vt:variant>
      <vt:variant>
        <vt:lpwstr/>
      </vt:variant>
      <vt:variant>
        <vt:i4>6029394</vt:i4>
      </vt:variant>
      <vt:variant>
        <vt:i4>2640</vt:i4>
      </vt:variant>
      <vt:variant>
        <vt:i4>0</vt:i4>
      </vt:variant>
      <vt:variant>
        <vt:i4>5</vt:i4>
      </vt:variant>
      <vt:variant>
        <vt:lpwstr>https://manual.jointcommission.org/releases/TJC2026A1/AppendixATJC.html</vt:lpwstr>
      </vt:variant>
      <vt:variant>
        <vt:lpwstr>Table_Number_11.06:_Cesarean_Birth</vt:lpwstr>
      </vt:variant>
      <vt:variant>
        <vt:i4>2621485</vt:i4>
      </vt:variant>
      <vt:variant>
        <vt:i4>2637</vt:i4>
      </vt:variant>
      <vt:variant>
        <vt:i4>0</vt:i4>
      </vt:variant>
      <vt:variant>
        <vt:i4>5</vt:i4>
      </vt:variant>
      <vt:variant>
        <vt:lpwstr>https://manual.jointcommission.org/releases/TJC2026A1/MIF0167.html</vt:lpwstr>
      </vt:variant>
      <vt:variant>
        <vt:lpwstr/>
      </vt:variant>
      <vt:variant>
        <vt:i4>7471209</vt:i4>
      </vt:variant>
      <vt:variant>
        <vt:i4>2634</vt:i4>
      </vt:variant>
      <vt:variant>
        <vt:i4>0</vt:i4>
      </vt:variant>
      <vt:variant>
        <vt:i4>5</vt:i4>
      </vt:variant>
      <vt:variant>
        <vt:lpwstr>https://manual.jointcommission.org/releases/TJC2026A1/DataElem0265.html</vt:lpwstr>
      </vt:variant>
      <vt:variant>
        <vt:lpwstr/>
      </vt:variant>
      <vt:variant>
        <vt:i4>1310776</vt:i4>
      </vt:variant>
      <vt:variant>
        <vt:i4>2631</vt:i4>
      </vt:variant>
      <vt:variant>
        <vt:i4>0</vt:i4>
      </vt:variant>
      <vt:variant>
        <vt:i4>5</vt:i4>
      </vt:variant>
      <vt:variant>
        <vt:lpwstr>https://manual.jointcommission.org/releases/TJC2026A1/AppendixATJC.html</vt:lpwstr>
      </vt:variant>
      <vt:variant>
        <vt:lpwstr>Table_Number_11.09:_Multiple_Gestations_44_Abnormal_Presentations_44_and_Conditions_Justifying_Cesarean_Delivery</vt:lpwstr>
      </vt:variant>
      <vt:variant>
        <vt:i4>7012443</vt:i4>
      </vt:variant>
      <vt:variant>
        <vt:i4>2628</vt:i4>
      </vt:variant>
      <vt:variant>
        <vt:i4>0</vt:i4>
      </vt:variant>
      <vt:variant>
        <vt:i4>5</vt:i4>
      </vt:variant>
      <vt:variant>
        <vt:lpwstr>https://manual.jointcommission.org/releases/TJC2026A1/AppendixATJC.html</vt:lpwstr>
      </vt:variant>
      <vt:variant>
        <vt:lpwstr>Table_Number_11.08:_Outcome_of_Delivery</vt:lpwstr>
      </vt:variant>
      <vt:variant>
        <vt:i4>852017</vt:i4>
      </vt:variant>
      <vt:variant>
        <vt:i4>2625</vt:i4>
      </vt:variant>
      <vt:variant>
        <vt:i4>0</vt:i4>
      </vt:variant>
      <vt:variant>
        <vt:i4>5</vt:i4>
      </vt:variant>
      <vt:variant>
        <vt:lpwstr>https://manual.jointcommission.org/releases/TJC2026A1/AppendixATJC.html</vt:lpwstr>
      </vt:variant>
      <vt:variant>
        <vt:lpwstr>Table_Number_11.01.1:_Delivery</vt:lpwstr>
      </vt:variant>
      <vt:variant>
        <vt:i4>2621485</vt:i4>
      </vt:variant>
      <vt:variant>
        <vt:i4>2622</vt:i4>
      </vt:variant>
      <vt:variant>
        <vt:i4>0</vt:i4>
      </vt:variant>
      <vt:variant>
        <vt:i4>5</vt:i4>
      </vt:variant>
      <vt:variant>
        <vt:lpwstr>https://manual.jointcommission.org/releases/TJC2026A1/MIF0167.html</vt:lpwstr>
      </vt:variant>
      <vt:variant>
        <vt:lpwstr/>
      </vt:variant>
      <vt:variant>
        <vt:i4>6750315</vt:i4>
      </vt:variant>
      <vt:variant>
        <vt:i4>2619</vt:i4>
      </vt:variant>
      <vt:variant>
        <vt:i4>0</vt:i4>
      </vt:variant>
      <vt:variant>
        <vt:i4>5</vt:i4>
      </vt:variant>
      <vt:variant>
        <vt:lpwstr>http://leapfroggroup.org/survey-materials/survey-and-cpoe-materials</vt:lpwstr>
      </vt:variant>
      <vt:variant>
        <vt:lpwstr/>
      </vt:variant>
      <vt:variant>
        <vt:i4>2621485</vt:i4>
      </vt:variant>
      <vt:variant>
        <vt:i4>2616</vt:i4>
      </vt:variant>
      <vt:variant>
        <vt:i4>0</vt:i4>
      </vt:variant>
      <vt:variant>
        <vt:i4>5</vt:i4>
      </vt:variant>
      <vt:variant>
        <vt:lpwstr>https://manual.jointcommission.org/releases/TJC2026A1/MIF0167.html</vt:lpwstr>
      </vt:variant>
      <vt:variant>
        <vt:lpwstr/>
      </vt:variant>
      <vt:variant>
        <vt:i4>2621485</vt:i4>
      </vt:variant>
      <vt:variant>
        <vt:i4>2613</vt:i4>
      </vt:variant>
      <vt:variant>
        <vt:i4>0</vt:i4>
      </vt:variant>
      <vt:variant>
        <vt:i4>5</vt:i4>
      </vt:variant>
      <vt:variant>
        <vt:lpwstr>https://manual.jointcommission.org/releases/TJC2026A1/MIF0167.html</vt:lpwstr>
      </vt:variant>
      <vt:variant>
        <vt:lpwstr/>
      </vt:variant>
      <vt:variant>
        <vt:i4>6029394</vt:i4>
      </vt:variant>
      <vt:variant>
        <vt:i4>2610</vt:i4>
      </vt:variant>
      <vt:variant>
        <vt:i4>0</vt:i4>
      </vt:variant>
      <vt:variant>
        <vt:i4>5</vt:i4>
      </vt:variant>
      <vt:variant>
        <vt:lpwstr>https://manual.jointcommission.org/releases/TJC2026A1/AppendixATJC.html</vt:lpwstr>
      </vt:variant>
      <vt:variant>
        <vt:lpwstr>Table_Number_11.06:_Cesarean_Birth</vt:lpwstr>
      </vt:variant>
      <vt:variant>
        <vt:i4>2621485</vt:i4>
      </vt:variant>
      <vt:variant>
        <vt:i4>2607</vt:i4>
      </vt:variant>
      <vt:variant>
        <vt:i4>0</vt:i4>
      </vt:variant>
      <vt:variant>
        <vt:i4>5</vt:i4>
      </vt:variant>
      <vt:variant>
        <vt:lpwstr>https://manual.jointcommission.org/releases/TJC2026A1/MIF0167.html</vt:lpwstr>
      </vt:variant>
      <vt:variant>
        <vt:lpwstr/>
      </vt:variant>
      <vt:variant>
        <vt:i4>7471209</vt:i4>
      </vt:variant>
      <vt:variant>
        <vt:i4>2604</vt:i4>
      </vt:variant>
      <vt:variant>
        <vt:i4>0</vt:i4>
      </vt:variant>
      <vt:variant>
        <vt:i4>5</vt:i4>
      </vt:variant>
      <vt:variant>
        <vt:lpwstr>https://manual.jointcommission.org/releases/TJC2026A1/DataElem0265.html</vt:lpwstr>
      </vt:variant>
      <vt:variant>
        <vt:lpwstr/>
      </vt:variant>
      <vt:variant>
        <vt:i4>1310776</vt:i4>
      </vt:variant>
      <vt:variant>
        <vt:i4>2601</vt:i4>
      </vt:variant>
      <vt:variant>
        <vt:i4>0</vt:i4>
      </vt:variant>
      <vt:variant>
        <vt:i4>5</vt:i4>
      </vt:variant>
      <vt:variant>
        <vt:lpwstr>https://manual.jointcommission.org/releases/TJC2026A1/AppendixATJC.html</vt:lpwstr>
      </vt:variant>
      <vt:variant>
        <vt:lpwstr>Table_Number_11.09:_Multiple_Gestations_44_Abnormal_Presentations_44_and_Conditions_Justifying_Cesarean_Delivery</vt:lpwstr>
      </vt:variant>
      <vt:variant>
        <vt:i4>7012443</vt:i4>
      </vt:variant>
      <vt:variant>
        <vt:i4>2598</vt:i4>
      </vt:variant>
      <vt:variant>
        <vt:i4>0</vt:i4>
      </vt:variant>
      <vt:variant>
        <vt:i4>5</vt:i4>
      </vt:variant>
      <vt:variant>
        <vt:lpwstr>https://manual.jointcommission.org/releases/TJC2026A1/AppendixATJC.html</vt:lpwstr>
      </vt:variant>
      <vt:variant>
        <vt:lpwstr>Table_Number_11.08:_Outcome_of_Delivery</vt:lpwstr>
      </vt:variant>
      <vt:variant>
        <vt:i4>852017</vt:i4>
      </vt:variant>
      <vt:variant>
        <vt:i4>2595</vt:i4>
      </vt:variant>
      <vt:variant>
        <vt:i4>0</vt:i4>
      </vt:variant>
      <vt:variant>
        <vt:i4>5</vt:i4>
      </vt:variant>
      <vt:variant>
        <vt:lpwstr>https://manual.jointcommission.org/releases/TJC2026A1/AppendixATJC.html</vt:lpwstr>
      </vt:variant>
      <vt:variant>
        <vt:lpwstr>Table_Number_11.01.1:_Delivery</vt:lpwstr>
      </vt:variant>
      <vt:variant>
        <vt:i4>7733355</vt:i4>
      </vt:variant>
      <vt:variant>
        <vt:i4>2592</vt:i4>
      </vt:variant>
      <vt:variant>
        <vt:i4>0</vt:i4>
      </vt:variant>
      <vt:variant>
        <vt:i4>5</vt:i4>
      </vt:variant>
      <vt:variant>
        <vt:lpwstr>https://www.jointcommission.org/measurement/specification-manuals/electronic-clinical-quality-measures/</vt:lpwstr>
      </vt:variant>
      <vt:variant>
        <vt:lpwstr/>
      </vt:variant>
      <vt:variant>
        <vt:i4>2621485</vt:i4>
      </vt:variant>
      <vt:variant>
        <vt:i4>2589</vt:i4>
      </vt:variant>
      <vt:variant>
        <vt:i4>0</vt:i4>
      </vt:variant>
      <vt:variant>
        <vt:i4>5</vt:i4>
      </vt:variant>
      <vt:variant>
        <vt:lpwstr>https://manual.jointcommission.org/releases/TJC2026A1/MIF0167.html</vt:lpwstr>
      </vt:variant>
      <vt:variant>
        <vt:lpwstr/>
      </vt:variant>
      <vt:variant>
        <vt:i4>2621485</vt:i4>
      </vt:variant>
      <vt:variant>
        <vt:i4>2586</vt:i4>
      </vt:variant>
      <vt:variant>
        <vt:i4>0</vt:i4>
      </vt:variant>
      <vt:variant>
        <vt:i4>5</vt:i4>
      </vt:variant>
      <vt:variant>
        <vt:lpwstr>https://manual.jointcommission.org/releases/TJC2026A1/MIF0167.html</vt:lpwstr>
      </vt:variant>
      <vt:variant>
        <vt:lpwstr/>
      </vt:variant>
      <vt:variant>
        <vt:i4>6750315</vt:i4>
      </vt:variant>
      <vt:variant>
        <vt:i4>2583</vt:i4>
      </vt:variant>
      <vt:variant>
        <vt:i4>0</vt:i4>
      </vt:variant>
      <vt:variant>
        <vt:i4>5</vt:i4>
      </vt:variant>
      <vt:variant>
        <vt:lpwstr>http://leapfroggroup.org/survey-materials/survey-and-cpoe-materials</vt:lpwstr>
      </vt:variant>
      <vt:variant>
        <vt:lpwstr/>
      </vt:variant>
      <vt:variant>
        <vt:i4>2621485</vt:i4>
      </vt:variant>
      <vt:variant>
        <vt:i4>2580</vt:i4>
      </vt:variant>
      <vt:variant>
        <vt:i4>0</vt:i4>
      </vt:variant>
      <vt:variant>
        <vt:i4>5</vt:i4>
      </vt:variant>
      <vt:variant>
        <vt:lpwstr>https://manual.jointcommission.org/releases/TJC2026A1/MIF0167.html</vt:lpwstr>
      </vt:variant>
      <vt:variant>
        <vt:lpwstr/>
      </vt:variant>
      <vt:variant>
        <vt:i4>7798907</vt:i4>
      </vt:variant>
      <vt:variant>
        <vt:i4>2577</vt:i4>
      </vt:variant>
      <vt:variant>
        <vt:i4>0</vt:i4>
      </vt:variant>
      <vt:variant>
        <vt:i4>5</vt:i4>
      </vt:variant>
      <vt:variant>
        <vt:lpwstr>http://leapfroggroup.org/survey-materials/multi-campus-reporting-policy</vt:lpwstr>
      </vt:variant>
      <vt:variant>
        <vt:lpwstr/>
      </vt:variant>
      <vt:variant>
        <vt:i4>6750315</vt:i4>
      </vt:variant>
      <vt:variant>
        <vt:i4>2574</vt:i4>
      </vt:variant>
      <vt:variant>
        <vt:i4>0</vt:i4>
      </vt:variant>
      <vt:variant>
        <vt:i4>5</vt:i4>
      </vt:variant>
      <vt:variant>
        <vt:lpwstr>http://leapfroggroup.org/survey-materials/survey-and-cpoe-materials</vt:lpwstr>
      </vt:variant>
      <vt:variant>
        <vt:lpwstr/>
      </vt:variant>
      <vt:variant>
        <vt:i4>7798907</vt:i4>
      </vt:variant>
      <vt:variant>
        <vt:i4>2571</vt:i4>
      </vt:variant>
      <vt:variant>
        <vt:i4>0</vt:i4>
      </vt:variant>
      <vt:variant>
        <vt:i4>5</vt:i4>
      </vt:variant>
      <vt:variant>
        <vt:lpwstr>http://leapfroggroup.org/survey-materials/multi-campus-reporting-policy</vt:lpwstr>
      </vt:variant>
      <vt:variant>
        <vt:lpwstr/>
      </vt:variant>
      <vt:variant>
        <vt:i4>65542</vt:i4>
      </vt:variant>
      <vt:variant>
        <vt:i4>2568</vt:i4>
      </vt:variant>
      <vt:variant>
        <vt:i4>0</vt:i4>
      </vt:variant>
      <vt:variant>
        <vt:i4>5</vt:i4>
      </vt:variant>
      <vt:variant>
        <vt:lpwstr>https://pubmed.ncbi.nlm.nih.gov/29939938/</vt:lpwstr>
      </vt:variant>
      <vt:variant>
        <vt:lpwstr/>
      </vt:variant>
      <vt:variant>
        <vt:i4>2031645</vt:i4>
      </vt:variant>
      <vt:variant>
        <vt:i4>2565</vt:i4>
      </vt:variant>
      <vt:variant>
        <vt:i4>0</vt:i4>
      </vt:variant>
      <vt:variant>
        <vt:i4>5</vt:i4>
      </vt:variant>
      <vt:variant>
        <vt:lpwstr>https://www.leapfroggroup.org/about/expert-panelists</vt:lpwstr>
      </vt:variant>
      <vt:variant>
        <vt:lpwstr/>
      </vt:variant>
      <vt:variant>
        <vt:i4>7274602</vt:i4>
      </vt:variant>
      <vt:variant>
        <vt:i4>2562</vt:i4>
      </vt:variant>
      <vt:variant>
        <vt:i4>0</vt:i4>
      </vt:variant>
      <vt:variant>
        <vt:i4>5</vt:i4>
      </vt:variant>
      <vt:variant>
        <vt:lpwstr>https://survey.leapfroggroup.org/dashboard</vt:lpwstr>
      </vt:variant>
      <vt:variant>
        <vt:lpwstr/>
      </vt:variant>
      <vt:variant>
        <vt:i4>2949231</vt:i4>
      </vt:variant>
      <vt:variant>
        <vt:i4>2556</vt:i4>
      </vt:variant>
      <vt:variant>
        <vt:i4>0</vt:i4>
      </vt:variant>
      <vt:variant>
        <vt:i4>5</vt:i4>
      </vt:variant>
      <vt:variant>
        <vt:lpwstr/>
      </vt:variant>
      <vt:variant>
        <vt:lpwstr>_High-Risk_Deliveries_Measure_1</vt:lpwstr>
      </vt:variant>
      <vt:variant>
        <vt:i4>4784242</vt:i4>
      </vt:variant>
      <vt:variant>
        <vt:i4>2553</vt:i4>
      </vt:variant>
      <vt:variant>
        <vt:i4>0</vt:i4>
      </vt:variant>
      <vt:variant>
        <vt:i4>5</vt:i4>
      </vt:variant>
      <vt:variant>
        <vt:lpwstr>mailto:leapfrogreporting@vtoxford.org</vt:lpwstr>
      </vt:variant>
      <vt:variant>
        <vt:lpwstr/>
      </vt:variant>
      <vt:variant>
        <vt:i4>1376286</vt:i4>
      </vt:variant>
      <vt:variant>
        <vt:i4>2550</vt:i4>
      </vt:variant>
      <vt:variant>
        <vt:i4>0</vt:i4>
      </vt:variant>
      <vt:variant>
        <vt:i4>5</vt:i4>
      </vt:variant>
      <vt:variant>
        <vt:lpwstr>https://public.vtoxford.org/leapfrog</vt:lpwstr>
      </vt:variant>
      <vt:variant>
        <vt:lpwstr/>
      </vt:variant>
      <vt:variant>
        <vt:i4>6881342</vt:i4>
      </vt:variant>
      <vt:variant>
        <vt:i4>2547</vt:i4>
      </vt:variant>
      <vt:variant>
        <vt:i4>0</vt:i4>
      </vt:variant>
      <vt:variant>
        <vt:i4>5</vt:i4>
      </vt:variant>
      <vt:variant>
        <vt:lpwstr>https://public.vtoxford.org/transfer-codes/</vt:lpwstr>
      </vt:variant>
      <vt:variant>
        <vt:lpwstr/>
      </vt:variant>
      <vt:variant>
        <vt:i4>4784128</vt:i4>
      </vt:variant>
      <vt:variant>
        <vt:i4>2541</vt:i4>
      </vt:variant>
      <vt:variant>
        <vt:i4>0</vt:i4>
      </vt:variant>
      <vt:variant>
        <vt:i4>5</vt:i4>
      </vt:variant>
      <vt:variant>
        <vt:lpwstr/>
      </vt:variant>
      <vt:variant>
        <vt:lpwstr>_High-Risk_Deliveries</vt:lpwstr>
      </vt:variant>
      <vt:variant>
        <vt:i4>7733324</vt:i4>
      </vt:variant>
      <vt:variant>
        <vt:i4>2538</vt:i4>
      </vt:variant>
      <vt:variant>
        <vt:i4>0</vt:i4>
      </vt:variant>
      <vt:variant>
        <vt:i4>5</vt:i4>
      </vt:variant>
      <vt:variant>
        <vt:lpwstr/>
      </vt:variant>
      <vt:variant>
        <vt:lpwstr>Endnote21_VON</vt:lpwstr>
      </vt:variant>
      <vt:variant>
        <vt:i4>131119</vt:i4>
      </vt:variant>
      <vt:variant>
        <vt:i4>2535</vt:i4>
      </vt:variant>
      <vt:variant>
        <vt:i4>0</vt:i4>
      </vt:variant>
      <vt:variant>
        <vt:i4>5</vt:i4>
      </vt:variant>
      <vt:variant>
        <vt:lpwstr/>
      </vt:variant>
      <vt:variant>
        <vt:lpwstr>Endnote20_VLBW</vt:lpwstr>
      </vt:variant>
      <vt:variant>
        <vt:i4>1245223</vt:i4>
      </vt:variant>
      <vt:variant>
        <vt:i4>2532</vt:i4>
      </vt:variant>
      <vt:variant>
        <vt:i4>0</vt:i4>
      </vt:variant>
      <vt:variant>
        <vt:i4>5</vt:i4>
      </vt:variant>
      <vt:variant>
        <vt:lpwstr/>
      </vt:variant>
      <vt:variant>
        <vt:lpwstr>Endnote19_ColocatedNICU</vt:lpwstr>
      </vt:variant>
      <vt:variant>
        <vt:i4>8126553</vt:i4>
      </vt:variant>
      <vt:variant>
        <vt:i4>2529</vt:i4>
      </vt:variant>
      <vt:variant>
        <vt:i4>0</vt:i4>
      </vt:variant>
      <vt:variant>
        <vt:i4>5</vt:i4>
      </vt:variant>
      <vt:variant>
        <vt:lpwstr/>
      </vt:variant>
      <vt:variant>
        <vt:lpwstr>Endnote18_HighRiskDel</vt:lpwstr>
      </vt:variant>
      <vt:variant>
        <vt:i4>7798907</vt:i4>
      </vt:variant>
      <vt:variant>
        <vt:i4>2526</vt:i4>
      </vt:variant>
      <vt:variant>
        <vt:i4>0</vt:i4>
      </vt:variant>
      <vt:variant>
        <vt:i4>5</vt:i4>
      </vt:variant>
      <vt:variant>
        <vt:lpwstr>http://leapfroggroup.org/survey-materials/multi-campus-reporting-policy</vt:lpwstr>
      </vt:variant>
      <vt:variant>
        <vt:lpwstr/>
      </vt:variant>
      <vt:variant>
        <vt:i4>8061037</vt:i4>
      </vt:variant>
      <vt:variant>
        <vt:i4>2523</vt:i4>
      </vt:variant>
      <vt:variant>
        <vt:i4>0</vt:i4>
      </vt:variant>
      <vt:variant>
        <vt:i4>5</vt:i4>
      </vt:variant>
      <vt:variant>
        <vt:lpwstr/>
      </vt:variant>
      <vt:variant>
        <vt:lpwstr>MatProcessSpecs</vt:lpwstr>
      </vt:variant>
      <vt:variant>
        <vt:i4>8061037</vt:i4>
      </vt:variant>
      <vt:variant>
        <vt:i4>2520</vt:i4>
      </vt:variant>
      <vt:variant>
        <vt:i4>0</vt:i4>
      </vt:variant>
      <vt:variant>
        <vt:i4>5</vt:i4>
      </vt:variant>
      <vt:variant>
        <vt:lpwstr/>
      </vt:variant>
      <vt:variant>
        <vt:lpwstr>MatProcessSpecs</vt:lpwstr>
      </vt:variant>
      <vt:variant>
        <vt:i4>7798907</vt:i4>
      </vt:variant>
      <vt:variant>
        <vt:i4>2517</vt:i4>
      </vt:variant>
      <vt:variant>
        <vt:i4>0</vt:i4>
      </vt:variant>
      <vt:variant>
        <vt:i4>5</vt:i4>
      </vt:variant>
      <vt:variant>
        <vt:lpwstr>http://leapfroggroup.org/survey-materials/multi-campus-reporting-policy</vt:lpwstr>
      </vt:variant>
      <vt:variant>
        <vt:lpwstr/>
      </vt:variant>
      <vt:variant>
        <vt:i4>2293797</vt:i4>
      </vt:variant>
      <vt:variant>
        <vt:i4>2514</vt:i4>
      </vt:variant>
      <vt:variant>
        <vt:i4>0</vt:i4>
      </vt:variant>
      <vt:variant>
        <vt:i4>5</vt:i4>
      </vt:variant>
      <vt:variant>
        <vt:lpwstr/>
      </vt:variant>
      <vt:variant>
        <vt:lpwstr>_Episiotomy_2</vt:lpwstr>
      </vt:variant>
      <vt:variant>
        <vt:i4>7798907</vt:i4>
      </vt:variant>
      <vt:variant>
        <vt:i4>2511</vt:i4>
      </vt:variant>
      <vt:variant>
        <vt:i4>0</vt:i4>
      </vt:variant>
      <vt:variant>
        <vt:i4>5</vt:i4>
      </vt:variant>
      <vt:variant>
        <vt:lpwstr>http://leapfroggroup.org/survey-materials/multi-campus-reporting-policy</vt:lpwstr>
      </vt:variant>
      <vt:variant>
        <vt:lpwstr/>
      </vt:variant>
      <vt:variant>
        <vt:i4>1966120</vt:i4>
      </vt:variant>
      <vt:variant>
        <vt:i4>2508</vt:i4>
      </vt:variant>
      <vt:variant>
        <vt:i4>0</vt:i4>
      </vt:variant>
      <vt:variant>
        <vt:i4>5</vt:i4>
      </vt:variant>
      <vt:variant>
        <vt:lpwstr/>
      </vt:variant>
      <vt:variant>
        <vt:lpwstr>_Cesarean_Birth_2</vt:lpwstr>
      </vt:variant>
      <vt:variant>
        <vt:i4>1966120</vt:i4>
      </vt:variant>
      <vt:variant>
        <vt:i4>2505</vt:i4>
      </vt:variant>
      <vt:variant>
        <vt:i4>0</vt:i4>
      </vt:variant>
      <vt:variant>
        <vt:i4>5</vt:i4>
      </vt:variant>
      <vt:variant>
        <vt:lpwstr/>
      </vt:variant>
      <vt:variant>
        <vt:lpwstr>_Cesarean_Birth_2</vt:lpwstr>
      </vt:variant>
      <vt:variant>
        <vt:i4>7798907</vt:i4>
      </vt:variant>
      <vt:variant>
        <vt:i4>2502</vt:i4>
      </vt:variant>
      <vt:variant>
        <vt:i4>0</vt:i4>
      </vt:variant>
      <vt:variant>
        <vt:i4>5</vt:i4>
      </vt:variant>
      <vt:variant>
        <vt:lpwstr>http://leapfroggroup.org/survey-materials/multi-campus-reporting-policy</vt:lpwstr>
      </vt:variant>
      <vt:variant>
        <vt:lpwstr/>
      </vt:variant>
      <vt:variant>
        <vt:i4>8060978</vt:i4>
      </vt:variant>
      <vt:variant>
        <vt:i4>2499</vt:i4>
      </vt:variant>
      <vt:variant>
        <vt:i4>0</vt:i4>
      </vt:variant>
      <vt:variant>
        <vt:i4>5</vt:i4>
      </vt:variant>
      <vt:variant>
        <vt:lpwstr/>
      </vt:variant>
      <vt:variant>
        <vt:lpwstr>_Maternity_Care_Volume_1</vt:lpwstr>
      </vt:variant>
      <vt:variant>
        <vt:i4>7798907</vt:i4>
      </vt:variant>
      <vt:variant>
        <vt:i4>2496</vt:i4>
      </vt:variant>
      <vt:variant>
        <vt:i4>0</vt:i4>
      </vt:variant>
      <vt:variant>
        <vt:i4>5</vt:i4>
      </vt:variant>
      <vt:variant>
        <vt:lpwstr>http://leapfroggroup.org/survey-materials/multi-campus-reporting-policy</vt:lpwstr>
      </vt:variant>
      <vt:variant>
        <vt:lpwstr/>
      </vt:variant>
      <vt:variant>
        <vt:i4>5046365</vt:i4>
      </vt:variant>
      <vt:variant>
        <vt:i4>2493</vt:i4>
      </vt:variant>
      <vt:variant>
        <vt:i4>0</vt:i4>
      </vt:variant>
      <vt:variant>
        <vt:i4>5</vt:i4>
      </vt:variant>
      <vt:variant>
        <vt:lpwstr>http://www.leapfroggroup.org/survey-materials/scoring-and-results</vt:lpwstr>
      </vt:variant>
      <vt:variant>
        <vt:lpwstr/>
      </vt:variant>
      <vt:variant>
        <vt:i4>7995512</vt:i4>
      </vt:variant>
      <vt:variant>
        <vt:i4>2490</vt:i4>
      </vt:variant>
      <vt:variant>
        <vt:i4>0</vt:i4>
      </vt:variant>
      <vt:variant>
        <vt:i4>5</vt:i4>
      </vt:variant>
      <vt:variant>
        <vt:lpwstr>https://survey.leapfroggroup.org/login</vt:lpwstr>
      </vt:variant>
      <vt:variant>
        <vt:lpwstr/>
      </vt:variant>
      <vt:variant>
        <vt:i4>7340128</vt:i4>
      </vt:variant>
      <vt:variant>
        <vt:i4>2487</vt:i4>
      </vt:variant>
      <vt:variant>
        <vt:i4>0</vt:i4>
      </vt:variant>
      <vt:variant>
        <vt:i4>5</vt:i4>
      </vt:variant>
      <vt:variant>
        <vt:lpwstr>https://ratings.leapfroggroup.org/measure/hospital/2025/maternity-care</vt:lpwstr>
      </vt:variant>
      <vt:variant>
        <vt:lpwstr/>
      </vt:variant>
      <vt:variant>
        <vt:i4>5963793</vt:i4>
      </vt:variant>
      <vt:variant>
        <vt:i4>2484</vt:i4>
      </vt:variant>
      <vt:variant>
        <vt:i4>0</vt:i4>
      </vt:variant>
      <vt:variant>
        <vt:i4>5</vt:i4>
      </vt:variant>
      <vt:variant>
        <vt:lpwstr>https://apps.who.int/iris/handle/10665/70046</vt:lpwstr>
      </vt:variant>
      <vt:variant>
        <vt:lpwstr/>
      </vt:variant>
      <vt:variant>
        <vt:i4>7929904</vt:i4>
      </vt:variant>
      <vt:variant>
        <vt:i4>2481</vt:i4>
      </vt:variant>
      <vt:variant>
        <vt:i4>0</vt:i4>
      </vt:variant>
      <vt:variant>
        <vt:i4>5</vt:i4>
      </vt:variant>
      <vt:variant>
        <vt:lpwstr>https://www.who.int/patientsafety/safesurgery/checklist/en/</vt:lpwstr>
      </vt:variant>
      <vt:variant>
        <vt:lpwstr/>
      </vt:variant>
      <vt:variant>
        <vt:i4>1048668</vt:i4>
      </vt:variant>
      <vt:variant>
        <vt:i4>2478</vt:i4>
      </vt:variant>
      <vt:variant>
        <vt:i4>0</vt:i4>
      </vt:variant>
      <vt:variant>
        <vt:i4>5</vt:i4>
      </vt:variant>
      <vt:variant>
        <vt:lpwstr>https://www.jointcommission.org/standards/standard-faqs/critical-access-hospital/medical-staff-ms/000001500/</vt:lpwstr>
      </vt:variant>
      <vt:variant>
        <vt:lpwstr>:~:text=OPPE%20identifies%20professional%20practice%20trends,could%20negatively%20impact%20patient%20outcomes</vt:lpwstr>
      </vt:variant>
      <vt:variant>
        <vt:i4>196660</vt:i4>
      </vt:variant>
      <vt:variant>
        <vt:i4>2475</vt:i4>
      </vt:variant>
      <vt:variant>
        <vt:i4>0</vt:i4>
      </vt:variant>
      <vt:variant>
        <vt:i4>5</vt:i4>
      </vt:variant>
      <vt:variant>
        <vt:lpwstr/>
      </vt:variant>
      <vt:variant>
        <vt:lpwstr>FAQ13_notactive</vt:lpwstr>
      </vt:variant>
      <vt:variant>
        <vt:i4>393266</vt:i4>
      </vt:variant>
      <vt:variant>
        <vt:i4>2472</vt:i4>
      </vt:variant>
      <vt:variant>
        <vt:i4>0</vt:i4>
      </vt:variant>
      <vt:variant>
        <vt:i4>5</vt:i4>
      </vt:variant>
      <vt:variant>
        <vt:lpwstr/>
      </vt:variant>
      <vt:variant>
        <vt:lpwstr>FAQ11_surgtrain</vt:lpwstr>
      </vt:variant>
      <vt:variant>
        <vt:i4>8192083</vt:i4>
      </vt:variant>
      <vt:variant>
        <vt:i4>2469</vt:i4>
      </vt:variant>
      <vt:variant>
        <vt:i4>0</vt:i4>
      </vt:variant>
      <vt:variant>
        <vt:i4>5</vt:i4>
      </vt:variant>
      <vt:variant>
        <vt:lpwstr/>
      </vt:variant>
      <vt:variant>
        <vt:lpwstr>_Inpatient_Surgery_Measure</vt:lpwstr>
      </vt:variant>
      <vt:variant>
        <vt:i4>4063286</vt:i4>
      </vt:variant>
      <vt:variant>
        <vt:i4>2466</vt:i4>
      </vt:variant>
      <vt:variant>
        <vt:i4>0</vt:i4>
      </vt:variant>
      <vt:variant>
        <vt:i4>5</vt:i4>
      </vt:variant>
      <vt:variant>
        <vt:lpwstr/>
      </vt:variant>
      <vt:variant>
        <vt:lpwstr>_Safe_Surgery_Checklist_1</vt:lpwstr>
      </vt:variant>
      <vt:variant>
        <vt:i4>5832716</vt:i4>
      </vt:variant>
      <vt:variant>
        <vt:i4>2463</vt:i4>
      </vt:variant>
      <vt:variant>
        <vt:i4>0</vt:i4>
      </vt:variant>
      <vt:variant>
        <vt:i4>5</vt:i4>
      </vt:variant>
      <vt:variant>
        <vt:lpwstr>https://www.leapfroggroup.org/survey-materials/survey-and-cpoe-materials</vt:lpwstr>
      </vt:variant>
      <vt:variant>
        <vt:lpwstr/>
      </vt:variant>
      <vt:variant>
        <vt:i4>524307</vt:i4>
      </vt:variant>
      <vt:variant>
        <vt:i4>2460</vt:i4>
      </vt:variant>
      <vt:variant>
        <vt:i4>0</vt:i4>
      </vt:variant>
      <vt:variant>
        <vt:i4>5</vt:i4>
      </vt:variant>
      <vt:variant>
        <vt:lpwstr>https://www.ahrq.gov/hai/tools/ambulatory-surgery/sections/implementation/implementation-guide/app-e.html</vt:lpwstr>
      </vt:variant>
      <vt:variant>
        <vt:lpwstr/>
      </vt:variant>
      <vt:variant>
        <vt:i4>4587625</vt:i4>
      </vt:variant>
      <vt:variant>
        <vt:i4>2457</vt:i4>
      </vt:variant>
      <vt:variant>
        <vt:i4>0</vt:i4>
      </vt:variant>
      <vt:variant>
        <vt:i4>5</vt:i4>
      </vt:variant>
      <vt:variant>
        <vt:lpwstr>https://www.leapfroggroup.org/sites/default/files/Files/Implementation manual WHO surgical safety checklist 2009.pdf?token=_DzwbK1J</vt:lpwstr>
      </vt:variant>
      <vt:variant>
        <vt:lpwstr/>
      </vt:variant>
      <vt:variant>
        <vt:i4>4915273</vt:i4>
      </vt:variant>
      <vt:variant>
        <vt:i4>2454</vt:i4>
      </vt:variant>
      <vt:variant>
        <vt:i4>0</vt:i4>
      </vt:variant>
      <vt:variant>
        <vt:i4>5</vt:i4>
      </vt:variant>
      <vt:variant>
        <vt:lpwstr>https://www.who.int/teams/integrated-health-services/patient-safety/research/safe-surgery</vt:lpwstr>
      </vt:variant>
      <vt:variant>
        <vt:lpwstr/>
      </vt:variant>
      <vt:variant>
        <vt:i4>7798907</vt:i4>
      </vt:variant>
      <vt:variant>
        <vt:i4>2451</vt:i4>
      </vt:variant>
      <vt:variant>
        <vt:i4>0</vt:i4>
      </vt:variant>
      <vt:variant>
        <vt:i4>5</vt:i4>
      </vt:variant>
      <vt:variant>
        <vt:lpwstr>http://leapfroggroup.org/survey-materials/multi-campus-reporting-policy</vt:lpwstr>
      </vt:variant>
      <vt:variant>
        <vt:lpwstr/>
      </vt:variant>
      <vt:variant>
        <vt:i4>65576</vt:i4>
      </vt:variant>
      <vt:variant>
        <vt:i4>2448</vt:i4>
      </vt:variant>
      <vt:variant>
        <vt:i4>0</vt:i4>
      </vt:variant>
      <vt:variant>
        <vt:i4>5</vt:i4>
      </vt:variant>
      <vt:variant>
        <vt:lpwstr/>
      </vt:variant>
      <vt:variant>
        <vt:lpwstr>_Adult_and_Pediatric</vt:lpwstr>
      </vt:variant>
      <vt:variant>
        <vt:i4>5177416</vt:i4>
      </vt:variant>
      <vt:variant>
        <vt:i4>2445</vt:i4>
      </vt:variant>
      <vt:variant>
        <vt:i4>0</vt:i4>
      </vt:variant>
      <vt:variant>
        <vt:i4>5</vt:i4>
      </vt:variant>
      <vt:variant>
        <vt:lpwstr>https://www.sts.org/</vt:lpwstr>
      </vt:variant>
      <vt:variant>
        <vt:lpwstr/>
      </vt:variant>
      <vt:variant>
        <vt:i4>5177416</vt:i4>
      </vt:variant>
      <vt:variant>
        <vt:i4>2442</vt:i4>
      </vt:variant>
      <vt:variant>
        <vt:i4>0</vt:i4>
      </vt:variant>
      <vt:variant>
        <vt:i4>5</vt:i4>
      </vt:variant>
      <vt:variant>
        <vt:lpwstr>https://www.sts.org/</vt:lpwstr>
      </vt:variant>
      <vt:variant>
        <vt:lpwstr/>
      </vt:variant>
      <vt:variant>
        <vt:i4>4128880</vt:i4>
      </vt:variant>
      <vt:variant>
        <vt:i4>2439</vt:i4>
      </vt:variant>
      <vt:variant>
        <vt:i4>0</vt:i4>
      </vt:variant>
      <vt:variant>
        <vt:i4>5</vt:i4>
      </vt:variant>
      <vt:variant>
        <vt:lpwstr>https://publicreporting.sts.org/search/acsd</vt:lpwstr>
      </vt:variant>
      <vt:variant>
        <vt:lpwstr/>
      </vt:variant>
      <vt:variant>
        <vt:i4>262196</vt:i4>
      </vt:variant>
      <vt:variant>
        <vt:i4>2436</vt:i4>
      </vt:variant>
      <vt:variant>
        <vt:i4>0</vt:i4>
      </vt:variant>
      <vt:variant>
        <vt:i4>5</vt:i4>
      </vt:variant>
      <vt:variant>
        <vt:lpwstr/>
      </vt:variant>
      <vt:variant>
        <vt:lpwstr>MVRR_STS</vt:lpwstr>
      </vt:variant>
      <vt:variant>
        <vt:i4>4128880</vt:i4>
      </vt:variant>
      <vt:variant>
        <vt:i4>2433</vt:i4>
      </vt:variant>
      <vt:variant>
        <vt:i4>0</vt:i4>
      </vt:variant>
      <vt:variant>
        <vt:i4>5</vt:i4>
      </vt:variant>
      <vt:variant>
        <vt:lpwstr>https://publicreporting.sts.org/search/acsd</vt:lpwstr>
      </vt:variant>
      <vt:variant>
        <vt:lpwstr/>
      </vt:variant>
      <vt:variant>
        <vt:i4>5177416</vt:i4>
      </vt:variant>
      <vt:variant>
        <vt:i4>2430</vt:i4>
      </vt:variant>
      <vt:variant>
        <vt:i4>0</vt:i4>
      </vt:variant>
      <vt:variant>
        <vt:i4>5</vt:i4>
      </vt:variant>
      <vt:variant>
        <vt:lpwstr>https://www.sts.org/</vt:lpwstr>
      </vt:variant>
      <vt:variant>
        <vt:lpwstr/>
      </vt:variant>
      <vt:variant>
        <vt:i4>5177416</vt:i4>
      </vt:variant>
      <vt:variant>
        <vt:i4>2427</vt:i4>
      </vt:variant>
      <vt:variant>
        <vt:i4>0</vt:i4>
      </vt:variant>
      <vt:variant>
        <vt:i4>5</vt:i4>
      </vt:variant>
      <vt:variant>
        <vt:lpwstr>https://www.sts.org/</vt:lpwstr>
      </vt:variant>
      <vt:variant>
        <vt:lpwstr/>
      </vt:variant>
      <vt:variant>
        <vt:i4>5832716</vt:i4>
      </vt:variant>
      <vt:variant>
        <vt:i4>2424</vt:i4>
      </vt:variant>
      <vt:variant>
        <vt:i4>0</vt:i4>
      </vt:variant>
      <vt:variant>
        <vt:i4>5</vt:i4>
      </vt:variant>
      <vt:variant>
        <vt:lpwstr>https://www.leapfroggroup.org/survey-materials/survey-and-cpoe-materials</vt:lpwstr>
      </vt:variant>
      <vt:variant>
        <vt:lpwstr/>
      </vt:variant>
      <vt:variant>
        <vt:i4>6357067</vt:i4>
      </vt:variant>
      <vt:variant>
        <vt:i4>2421</vt:i4>
      </vt:variant>
      <vt:variant>
        <vt:i4>0</vt:i4>
      </vt:variant>
      <vt:variant>
        <vt:i4>5</vt:i4>
      </vt:variant>
      <vt:variant>
        <vt:lpwstr/>
      </vt:variant>
      <vt:variant>
        <vt:lpwstr>_Norwood_Procedure_Measure</vt:lpwstr>
      </vt:variant>
      <vt:variant>
        <vt:i4>6488145</vt:i4>
      </vt:variant>
      <vt:variant>
        <vt:i4>2418</vt:i4>
      </vt:variant>
      <vt:variant>
        <vt:i4>0</vt:i4>
      </vt:variant>
      <vt:variant>
        <vt:i4>5</vt:i4>
      </vt:variant>
      <vt:variant>
        <vt:lpwstr/>
      </vt:variant>
      <vt:variant>
        <vt:lpwstr>_Total_Hip_Replacement</vt:lpwstr>
      </vt:variant>
      <vt:variant>
        <vt:i4>5505126</vt:i4>
      </vt:variant>
      <vt:variant>
        <vt:i4>2415</vt:i4>
      </vt:variant>
      <vt:variant>
        <vt:i4>0</vt:i4>
      </vt:variant>
      <vt:variant>
        <vt:i4>5</vt:i4>
      </vt:variant>
      <vt:variant>
        <vt:lpwstr/>
      </vt:variant>
      <vt:variant>
        <vt:lpwstr>_Total_Knee_Replacement</vt:lpwstr>
      </vt:variant>
      <vt:variant>
        <vt:i4>524288</vt:i4>
      </vt:variant>
      <vt:variant>
        <vt:i4>2412</vt:i4>
      </vt:variant>
      <vt:variant>
        <vt:i4>0</vt:i4>
      </vt:variant>
      <vt:variant>
        <vt:i4>5</vt:i4>
      </vt:variant>
      <vt:variant>
        <vt:lpwstr/>
      </vt:variant>
      <vt:variant>
        <vt:lpwstr>BariatricSurgery</vt:lpwstr>
      </vt:variant>
      <vt:variant>
        <vt:i4>851992</vt:i4>
      </vt:variant>
      <vt:variant>
        <vt:i4>2409</vt:i4>
      </vt:variant>
      <vt:variant>
        <vt:i4>0</vt:i4>
      </vt:variant>
      <vt:variant>
        <vt:i4>5</vt:i4>
      </vt:variant>
      <vt:variant>
        <vt:lpwstr/>
      </vt:variant>
      <vt:variant>
        <vt:lpwstr>RectalCancer</vt:lpwstr>
      </vt:variant>
      <vt:variant>
        <vt:i4>7012463</vt:i4>
      </vt:variant>
      <vt:variant>
        <vt:i4>2406</vt:i4>
      </vt:variant>
      <vt:variant>
        <vt:i4>0</vt:i4>
      </vt:variant>
      <vt:variant>
        <vt:i4>5</vt:i4>
      </vt:variant>
      <vt:variant>
        <vt:lpwstr/>
      </vt:variant>
      <vt:variant>
        <vt:lpwstr>PancreaticResection</vt:lpwstr>
      </vt:variant>
      <vt:variant>
        <vt:i4>7340143</vt:i4>
      </vt:variant>
      <vt:variant>
        <vt:i4>2403</vt:i4>
      </vt:variant>
      <vt:variant>
        <vt:i4>0</vt:i4>
      </vt:variant>
      <vt:variant>
        <vt:i4>5</vt:i4>
      </vt:variant>
      <vt:variant>
        <vt:lpwstr/>
      </vt:variant>
      <vt:variant>
        <vt:lpwstr>EsophagealResection</vt:lpwstr>
      </vt:variant>
      <vt:variant>
        <vt:i4>589833</vt:i4>
      </vt:variant>
      <vt:variant>
        <vt:i4>2400</vt:i4>
      </vt:variant>
      <vt:variant>
        <vt:i4>0</vt:i4>
      </vt:variant>
      <vt:variant>
        <vt:i4>5</vt:i4>
      </vt:variant>
      <vt:variant>
        <vt:lpwstr/>
      </vt:variant>
      <vt:variant>
        <vt:lpwstr>LungResection</vt:lpwstr>
      </vt:variant>
      <vt:variant>
        <vt:i4>7864442</vt:i4>
      </vt:variant>
      <vt:variant>
        <vt:i4>2397</vt:i4>
      </vt:variant>
      <vt:variant>
        <vt:i4>0</vt:i4>
      </vt:variant>
      <vt:variant>
        <vt:i4>5</vt:i4>
      </vt:variant>
      <vt:variant>
        <vt:lpwstr/>
      </vt:variant>
      <vt:variant>
        <vt:lpwstr>Aortic</vt:lpwstr>
      </vt:variant>
      <vt:variant>
        <vt:i4>6291554</vt:i4>
      </vt:variant>
      <vt:variant>
        <vt:i4>2394</vt:i4>
      </vt:variant>
      <vt:variant>
        <vt:i4>0</vt:i4>
      </vt:variant>
      <vt:variant>
        <vt:i4>5</vt:i4>
      </vt:variant>
      <vt:variant>
        <vt:lpwstr/>
      </vt:variant>
      <vt:variant>
        <vt:lpwstr>MitralValve</vt:lpwstr>
      </vt:variant>
      <vt:variant>
        <vt:i4>6750309</vt:i4>
      </vt:variant>
      <vt:variant>
        <vt:i4>2391</vt:i4>
      </vt:variant>
      <vt:variant>
        <vt:i4>0</vt:i4>
      </vt:variant>
      <vt:variant>
        <vt:i4>5</vt:i4>
      </vt:variant>
      <vt:variant>
        <vt:lpwstr/>
      </vt:variant>
      <vt:variant>
        <vt:lpwstr>Carotid</vt:lpwstr>
      </vt:variant>
      <vt:variant>
        <vt:i4>5832716</vt:i4>
      </vt:variant>
      <vt:variant>
        <vt:i4>2388</vt:i4>
      </vt:variant>
      <vt:variant>
        <vt:i4>0</vt:i4>
      </vt:variant>
      <vt:variant>
        <vt:i4>5</vt:i4>
      </vt:variant>
      <vt:variant>
        <vt:lpwstr>https://www.leapfroggroup.org/survey-materials/survey-and-cpoe-materials</vt:lpwstr>
      </vt:variant>
      <vt:variant>
        <vt:lpwstr/>
      </vt:variant>
      <vt:variant>
        <vt:i4>7798907</vt:i4>
      </vt:variant>
      <vt:variant>
        <vt:i4>2385</vt:i4>
      </vt:variant>
      <vt:variant>
        <vt:i4>0</vt:i4>
      </vt:variant>
      <vt:variant>
        <vt:i4>5</vt:i4>
      </vt:variant>
      <vt:variant>
        <vt:lpwstr>http://leapfroggroup.org/survey-materials/multi-campus-reporting-policy</vt:lpwstr>
      </vt:variant>
      <vt:variant>
        <vt:lpwstr/>
      </vt:variant>
      <vt:variant>
        <vt:i4>4063286</vt:i4>
      </vt:variant>
      <vt:variant>
        <vt:i4>2382</vt:i4>
      </vt:variant>
      <vt:variant>
        <vt:i4>0</vt:i4>
      </vt:variant>
      <vt:variant>
        <vt:i4>5</vt:i4>
      </vt:variant>
      <vt:variant>
        <vt:lpwstr/>
      </vt:variant>
      <vt:variant>
        <vt:lpwstr>_Safe_Surgery_Checklist_1</vt:lpwstr>
      </vt:variant>
      <vt:variant>
        <vt:i4>2359382</vt:i4>
      </vt:variant>
      <vt:variant>
        <vt:i4>2379</vt:i4>
      </vt:variant>
      <vt:variant>
        <vt:i4>0</vt:i4>
      </vt:variant>
      <vt:variant>
        <vt:i4>5</vt:i4>
      </vt:variant>
      <vt:variant>
        <vt:lpwstr/>
      </vt:variant>
      <vt:variant>
        <vt:lpwstr>clinicalteamintro_3b</vt:lpwstr>
      </vt:variant>
      <vt:variant>
        <vt:i4>4063286</vt:i4>
      </vt:variant>
      <vt:variant>
        <vt:i4>2376</vt:i4>
      </vt:variant>
      <vt:variant>
        <vt:i4>0</vt:i4>
      </vt:variant>
      <vt:variant>
        <vt:i4>5</vt:i4>
      </vt:variant>
      <vt:variant>
        <vt:lpwstr/>
      </vt:variant>
      <vt:variant>
        <vt:lpwstr>_Safe_Surgery_Checklist_1</vt:lpwstr>
      </vt:variant>
      <vt:variant>
        <vt:i4>4063286</vt:i4>
      </vt:variant>
      <vt:variant>
        <vt:i4>2373</vt:i4>
      </vt:variant>
      <vt:variant>
        <vt:i4>0</vt:i4>
      </vt:variant>
      <vt:variant>
        <vt:i4>5</vt:i4>
      </vt:variant>
      <vt:variant>
        <vt:lpwstr/>
      </vt:variant>
      <vt:variant>
        <vt:lpwstr>_Safe_Surgery_Checklist_2</vt:lpwstr>
      </vt:variant>
      <vt:variant>
        <vt:i4>4063286</vt:i4>
      </vt:variant>
      <vt:variant>
        <vt:i4>2370</vt:i4>
      </vt:variant>
      <vt:variant>
        <vt:i4>0</vt:i4>
      </vt:variant>
      <vt:variant>
        <vt:i4>5</vt:i4>
      </vt:variant>
      <vt:variant>
        <vt:lpwstr/>
      </vt:variant>
      <vt:variant>
        <vt:lpwstr>_Safe_Surgery_Checklist_2</vt:lpwstr>
      </vt:variant>
      <vt:variant>
        <vt:i4>6750256</vt:i4>
      </vt:variant>
      <vt:variant>
        <vt:i4>2364</vt:i4>
      </vt:variant>
      <vt:variant>
        <vt:i4>0</vt:i4>
      </vt:variant>
      <vt:variant>
        <vt:i4>5</vt:i4>
      </vt:variant>
      <vt:variant>
        <vt:lpwstr/>
      </vt:variant>
      <vt:variant>
        <vt:lpwstr>safesurgfaqs3c</vt:lpwstr>
      </vt:variant>
      <vt:variant>
        <vt:i4>524307</vt:i4>
      </vt:variant>
      <vt:variant>
        <vt:i4>2361</vt:i4>
      </vt:variant>
      <vt:variant>
        <vt:i4>0</vt:i4>
      </vt:variant>
      <vt:variant>
        <vt:i4>5</vt:i4>
      </vt:variant>
      <vt:variant>
        <vt:lpwstr>https://www.ahrq.gov/hai/tools/ambulatory-surgery/sections/implementation/implementation-guide/app-e.html</vt:lpwstr>
      </vt:variant>
      <vt:variant>
        <vt:lpwstr/>
      </vt:variant>
      <vt:variant>
        <vt:i4>7929904</vt:i4>
      </vt:variant>
      <vt:variant>
        <vt:i4>2358</vt:i4>
      </vt:variant>
      <vt:variant>
        <vt:i4>0</vt:i4>
      </vt:variant>
      <vt:variant>
        <vt:i4>5</vt:i4>
      </vt:variant>
      <vt:variant>
        <vt:lpwstr>https://www.who.int/patientsafety/safesurgery/checklist/en/</vt:lpwstr>
      </vt:variant>
      <vt:variant>
        <vt:lpwstr/>
      </vt:variant>
      <vt:variant>
        <vt:i4>7798907</vt:i4>
      </vt:variant>
      <vt:variant>
        <vt:i4>2355</vt:i4>
      </vt:variant>
      <vt:variant>
        <vt:i4>0</vt:i4>
      </vt:variant>
      <vt:variant>
        <vt:i4>5</vt:i4>
      </vt:variant>
      <vt:variant>
        <vt:lpwstr>http://leapfroggroup.org/survey-materials/multi-campus-reporting-policy</vt:lpwstr>
      </vt:variant>
      <vt:variant>
        <vt:lpwstr/>
      </vt:variant>
      <vt:variant>
        <vt:i4>5177416</vt:i4>
      </vt:variant>
      <vt:variant>
        <vt:i4>2352</vt:i4>
      </vt:variant>
      <vt:variant>
        <vt:i4>0</vt:i4>
      </vt:variant>
      <vt:variant>
        <vt:i4>5</vt:i4>
      </vt:variant>
      <vt:variant>
        <vt:lpwstr>https://www.sts.org/</vt:lpwstr>
      </vt:variant>
      <vt:variant>
        <vt:lpwstr/>
      </vt:variant>
      <vt:variant>
        <vt:i4>6815857</vt:i4>
      </vt:variant>
      <vt:variant>
        <vt:i4>2349</vt:i4>
      </vt:variant>
      <vt:variant>
        <vt:i4>0</vt:i4>
      </vt:variant>
      <vt:variant>
        <vt:i4>5</vt:i4>
      </vt:variant>
      <vt:variant>
        <vt:lpwstr/>
      </vt:variant>
      <vt:variant>
        <vt:lpwstr>datacompletenessrequirement</vt:lpwstr>
      </vt:variant>
      <vt:variant>
        <vt:i4>5177416</vt:i4>
      </vt:variant>
      <vt:variant>
        <vt:i4>2346</vt:i4>
      </vt:variant>
      <vt:variant>
        <vt:i4>0</vt:i4>
      </vt:variant>
      <vt:variant>
        <vt:i4>5</vt:i4>
      </vt:variant>
      <vt:variant>
        <vt:lpwstr>https://www.sts.org/</vt:lpwstr>
      </vt:variant>
      <vt:variant>
        <vt:lpwstr/>
      </vt:variant>
      <vt:variant>
        <vt:i4>8192083</vt:i4>
      </vt:variant>
      <vt:variant>
        <vt:i4>2340</vt:i4>
      </vt:variant>
      <vt:variant>
        <vt:i4>0</vt:i4>
      </vt:variant>
      <vt:variant>
        <vt:i4>5</vt:i4>
      </vt:variant>
      <vt:variant>
        <vt:lpwstr/>
      </vt:variant>
      <vt:variant>
        <vt:lpwstr>_Inpatient_Surgery_Measure</vt:lpwstr>
      </vt:variant>
      <vt:variant>
        <vt:i4>7798907</vt:i4>
      </vt:variant>
      <vt:variant>
        <vt:i4>2337</vt:i4>
      </vt:variant>
      <vt:variant>
        <vt:i4>0</vt:i4>
      </vt:variant>
      <vt:variant>
        <vt:i4>5</vt:i4>
      </vt:variant>
      <vt:variant>
        <vt:lpwstr>http://leapfroggroup.org/survey-materials/multi-campus-reporting-policy</vt:lpwstr>
      </vt:variant>
      <vt:variant>
        <vt:lpwstr/>
      </vt:variant>
      <vt:variant>
        <vt:i4>5046365</vt:i4>
      </vt:variant>
      <vt:variant>
        <vt:i4>2334</vt:i4>
      </vt:variant>
      <vt:variant>
        <vt:i4>0</vt:i4>
      </vt:variant>
      <vt:variant>
        <vt:i4>5</vt:i4>
      </vt:variant>
      <vt:variant>
        <vt:lpwstr>http://www.leapfroggroup.org/survey-materials/scoring-and-results</vt:lpwstr>
      </vt:variant>
      <vt:variant>
        <vt:lpwstr/>
      </vt:variant>
      <vt:variant>
        <vt:i4>2752629</vt:i4>
      </vt:variant>
      <vt:variant>
        <vt:i4>2331</vt:i4>
      </vt:variant>
      <vt:variant>
        <vt:i4>0</vt:i4>
      </vt:variant>
      <vt:variant>
        <vt:i4>5</vt:i4>
      </vt:variant>
      <vt:variant>
        <vt:lpwstr>https://ratings.leapfroggroup.org/measure/hospital/2025/complex-adult-and-pediatric-surgery</vt:lpwstr>
      </vt:variant>
      <vt:variant>
        <vt:lpwstr/>
      </vt:variant>
      <vt:variant>
        <vt:i4>3538982</vt:i4>
      </vt:variant>
      <vt:variant>
        <vt:i4>2328</vt:i4>
      </vt:variant>
      <vt:variant>
        <vt:i4>0</vt:i4>
      </vt:variant>
      <vt:variant>
        <vt:i4>5</vt:i4>
      </vt:variant>
      <vt:variant>
        <vt:lpwstr>https://www.leapfroggroup.org/survey-materials/scoring-and-results</vt:lpwstr>
      </vt:variant>
      <vt:variant>
        <vt:lpwstr/>
      </vt:variant>
      <vt:variant>
        <vt:i4>6750258</vt:i4>
      </vt:variant>
      <vt:variant>
        <vt:i4>2325</vt:i4>
      </vt:variant>
      <vt:variant>
        <vt:i4>0</vt:i4>
      </vt:variant>
      <vt:variant>
        <vt:i4>5</vt:i4>
      </vt:variant>
      <vt:variant>
        <vt:lpwstr>http://www.leapfroggroup.org/survey-materials/survey-and-cpoe-materials</vt:lpwstr>
      </vt:variant>
      <vt:variant>
        <vt:lpwstr/>
      </vt:variant>
      <vt:variant>
        <vt:i4>7733370</vt:i4>
      </vt:variant>
      <vt:variant>
        <vt:i4>2322</vt:i4>
      </vt:variant>
      <vt:variant>
        <vt:i4>0</vt:i4>
      </vt:variant>
      <vt:variant>
        <vt:i4>5</vt:i4>
      </vt:variant>
      <vt:variant>
        <vt:lpwstr/>
      </vt:variant>
      <vt:variant>
        <vt:lpwstr>CertifiedPharmacyTechnician</vt:lpwstr>
      </vt:variant>
      <vt:variant>
        <vt:i4>1245253</vt:i4>
      </vt:variant>
      <vt:variant>
        <vt:i4>2319</vt:i4>
      </vt:variant>
      <vt:variant>
        <vt:i4>0</vt:i4>
      </vt:variant>
      <vt:variant>
        <vt:i4>5</vt:i4>
      </vt:variant>
      <vt:variant>
        <vt:lpwstr/>
      </vt:variant>
      <vt:variant>
        <vt:lpwstr>_Bar_Code_Medication_1</vt:lpwstr>
      </vt:variant>
      <vt:variant>
        <vt:i4>983048</vt:i4>
      </vt:variant>
      <vt:variant>
        <vt:i4>2316</vt:i4>
      </vt:variant>
      <vt:variant>
        <vt:i4>0</vt:i4>
      </vt:variant>
      <vt:variant>
        <vt:i4>5</vt:i4>
      </vt:variant>
      <vt:variant>
        <vt:lpwstr/>
      </vt:variant>
      <vt:variant>
        <vt:lpwstr>colocatedendnote</vt:lpwstr>
      </vt:variant>
      <vt:variant>
        <vt:i4>2031636</vt:i4>
      </vt:variant>
      <vt:variant>
        <vt:i4>2313</vt:i4>
      </vt:variant>
      <vt:variant>
        <vt:i4>0</vt:i4>
      </vt:variant>
      <vt:variant>
        <vt:i4>5</vt:i4>
      </vt:variant>
      <vt:variant>
        <vt:lpwstr/>
      </vt:variant>
      <vt:variant>
        <vt:lpwstr>pacusendnote</vt:lpwstr>
      </vt:variant>
      <vt:variant>
        <vt:i4>4915294</vt:i4>
      </vt:variant>
      <vt:variant>
        <vt:i4>2310</vt:i4>
      </vt:variant>
      <vt:variant>
        <vt:i4>0</vt:i4>
      </vt:variant>
      <vt:variant>
        <vt:i4>5</vt:i4>
      </vt:variant>
      <vt:variant>
        <vt:lpwstr>https://www.leapfroggroup.org/survey-materials/deadlines</vt:lpwstr>
      </vt:variant>
      <vt:variant>
        <vt:lpwstr/>
      </vt:variant>
      <vt:variant>
        <vt:i4>6488186</vt:i4>
      </vt:variant>
      <vt:variant>
        <vt:i4>2307</vt:i4>
      </vt:variant>
      <vt:variant>
        <vt:i4>0</vt:i4>
      </vt:variant>
      <vt:variant>
        <vt:i4>5</vt:i4>
      </vt:variant>
      <vt:variant>
        <vt:lpwstr/>
      </vt:variant>
      <vt:variant>
        <vt:lpwstr>Prescriber</vt:lpwstr>
      </vt:variant>
      <vt:variant>
        <vt:i4>786432</vt:i4>
      </vt:variant>
      <vt:variant>
        <vt:i4>2304</vt:i4>
      </vt:variant>
      <vt:variant>
        <vt:i4>0</vt:i4>
      </vt:variant>
      <vt:variant>
        <vt:i4>5</vt:i4>
      </vt:variant>
      <vt:variant>
        <vt:lpwstr>https://www.leapfroggroup.org/survey-materials/prepare-cpoe-tool</vt:lpwstr>
      </vt:variant>
      <vt:variant>
        <vt:lpwstr/>
      </vt:variant>
      <vt:variant>
        <vt:i4>6750258</vt:i4>
      </vt:variant>
      <vt:variant>
        <vt:i4>2301</vt:i4>
      </vt:variant>
      <vt:variant>
        <vt:i4>0</vt:i4>
      </vt:variant>
      <vt:variant>
        <vt:i4>5</vt:i4>
      </vt:variant>
      <vt:variant>
        <vt:lpwstr>http://www.leapfroggroup.org/survey-materials/survey-and-cpoe-materials</vt:lpwstr>
      </vt:variant>
      <vt:variant>
        <vt:lpwstr/>
      </vt:variant>
      <vt:variant>
        <vt:i4>5046353</vt:i4>
      </vt:variant>
      <vt:variant>
        <vt:i4>2298</vt:i4>
      </vt:variant>
      <vt:variant>
        <vt:i4>0</vt:i4>
      </vt:variant>
      <vt:variant>
        <vt:i4>5</vt:i4>
      </vt:variant>
      <vt:variant>
        <vt:lpwstr/>
      </vt:variant>
      <vt:variant>
        <vt:lpwstr>_Medication_Reconciliation</vt:lpwstr>
      </vt:variant>
      <vt:variant>
        <vt:i4>3014732</vt:i4>
      </vt:variant>
      <vt:variant>
        <vt:i4>2295</vt:i4>
      </vt:variant>
      <vt:variant>
        <vt:i4>0</vt:i4>
      </vt:variant>
      <vt:variant>
        <vt:i4>5</vt:i4>
      </vt:variant>
      <vt:variant>
        <vt:lpwstr>http://www.hospitalmedicine.org/Web/Quality___Innovation/Implementation_Toolkit/MARQUIS/MARQUIS_Collaborative_Program_Recruitment.aspx</vt:lpwstr>
      </vt:variant>
      <vt:variant>
        <vt:lpwstr/>
      </vt:variant>
      <vt:variant>
        <vt:i4>2228335</vt:i4>
      </vt:variant>
      <vt:variant>
        <vt:i4>2292</vt:i4>
      </vt:variant>
      <vt:variant>
        <vt:i4>0</vt:i4>
      </vt:variant>
      <vt:variant>
        <vt:i4>5</vt:i4>
      </vt:variant>
      <vt:variant>
        <vt:lpwstr>https://www.hospitalmedicine.org/clinical-topics/medication-reconciliation/</vt:lpwstr>
      </vt:variant>
      <vt:variant>
        <vt:lpwstr/>
      </vt:variant>
      <vt:variant>
        <vt:i4>5832716</vt:i4>
      </vt:variant>
      <vt:variant>
        <vt:i4>2289</vt:i4>
      </vt:variant>
      <vt:variant>
        <vt:i4>0</vt:i4>
      </vt:variant>
      <vt:variant>
        <vt:i4>5</vt:i4>
      </vt:variant>
      <vt:variant>
        <vt:lpwstr>https://www.leapfroggroup.org/survey-materials/survey-and-cpoe-materials</vt:lpwstr>
      </vt:variant>
      <vt:variant>
        <vt:lpwstr/>
      </vt:variant>
      <vt:variant>
        <vt:i4>5832716</vt:i4>
      </vt:variant>
      <vt:variant>
        <vt:i4>2286</vt:i4>
      </vt:variant>
      <vt:variant>
        <vt:i4>0</vt:i4>
      </vt:variant>
      <vt:variant>
        <vt:i4>5</vt:i4>
      </vt:variant>
      <vt:variant>
        <vt:lpwstr>https://www.leapfroggroup.org/survey-materials/survey-and-cpoe-materials</vt:lpwstr>
      </vt:variant>
      <vt:variant>
        <vt:lpwstr/>
      </vt:variant>
      <vt:variant>
        <vt:i4>7733370</vt:i4>
      </vt:variant>
      <vt:variant>
        <vt:i4>2280</vt:i4>
      </vt:variant>
      <vt:variant>
        <vt:i4>0</vt:i4>
      </vt:variant>
      <vt:variant>
        <vt:i4>5</vt:i4>
      </vt:variant>
      <vt:variant>
        <vt:lpwstr/>
      </vt:variant>
      <vt:variant>
        <vt:lpwstr>CertifiedPharmacyTechnician</vt:lpwstr>
      </vt:variant>
      <vt:variant>
        <vt:i4>7733370</vt:i4>
      </vt:variant>
      <vt:variant>
        <vt:i4>2277</vt:i4>
      </vt:variant>
      <vt:variant>
        <vt:i4>0</vt:i4>
      </vt:variant>
      <vt:variant>
        <vt:i4>5</vt:i4>
      </vt:variant>
      <vt:variant>
        <vt:lpwstr/>
      </vt:variant>
      <vt:variant>
        <vt:lpwstr>CertifiedPharmacyTechnician</vt:lpwstr>
      </vt:variant>
      <vt:variant>
        <vt:i4>7733370</vt:i4>
      </vt:variant>
      <vt:variant>
        <vt:i4>2271</vt:i4>
      </vt:variant>
      <vt:variant>
        <vt:i4>0</vt:i4>
      </vt:variant>
      <vt:variant>
        <vt:i4>5</vt:i4>
      </vt:variant>
      <vt:variant>
        <vt:lpwstr/>
      </vt:variant>
      <vt:variant>
        <vt:lpwstr>CertifiedPharmacyTechnician</vt:lpwstr>
      </vt:variant>
      <vt:variant>
        <vt:i4>2228335</vt:i4>
      </vt:variant>
      <vt:variant>
        <vt:i4>2268</vt:i4>
      </vt:variant>
      <vt:variant>
        <vt:i4>0</vt:i4>
      </vt:variant>
      <vt:variant>
        <vt:i4>5</vt:i4>
      </vt:variant>
      <vt:variant>
        <vt:lpwstr>https://www.hospitalmedicine.org/clinical-topics/medication-reconciliation/</vt:lpwstr>
      </vt:variant>
      <vt:variant>
        <vt:lpwstr/>
      </vt:variant>
      <vt:variant>
        <vt:i4>5832716</vt:i4>
      </vt:variant>
      <vt:variant>
        <vt:i4>2265</vt:i4>
      </vt:variant>
      <vt:variant>
        <vt:i4>0</vt:i4>
      </vt:variant>
      <vt:variant>
        <vt:i4>5</vt:i4>
      </vt:variant>
      <vt:variant>
        <vt:lpwstr>https://www.leapfroggroup.org/survey-materials/survey-and-cpoe-materials</vt:lpwstr>
      </vt:variant>
      <vt:variant>
        <vt:lpwstr/>
      </vt:variant>
      <vt:variant>
        <vt:i4>7733370</vt:i4>
      </vt:variant>
      <vt:variant>
        <vt:i4>2259</vt:i4>
      </vt:variant>
      <vt:variant>
        <vt:i4>0</vt:i4>
      </vt:variant>
      <vt:variant>
        <vt:i4>5</vt:i4>
      </vt:variant>
      <vt:variant>
        <vt:lpwstr/>
      </vt:variant>
      <vt:variant>
        <vt:lpwstr>CertifiedPharmacyTechnician</vt:lpwstr>
      </vt:variant>
      <vt:variant>
        <vt:i4>6750258</vt:i4>
      </vt:variant>
      <vt:variant>
        <vt:i4>2256</vt:i4>
      </vt:variant>
      <vt:variant>
        <vt:i4>0</vt:i4>
      </vt:variant>
      <vt:variant>
        <vt:i4>5</vt:i4>
      </vt:variant>
      <vt:variant>
        <vt:lpwstr>http://www.leapfroggroup.org/survey-materials/survey-and-cpoe-materials</vt:lpwstr>
      </vt:variant>
      <vt:variant>
        <vt:lpwstr/>
      </vt:variant>
      <vt:variant>
        <vt:i4>7733370</vt:i4>
      </vt:variant>
      <vt:variant>
        <vt:i4>2250</vt:i4>
      </vt:variant>
      <vt:variant>
        <vt:i4>0</vt:i4>
      </vt:variant>
      <vt:variant>
        <vt:i4>5</vt:i4>
      </vt:variant>
      <vt:variant>
        <vt:lpwstr/>
      </vt:variant>
      <vt:variant>
        <vt:lpwstr>CertifiedPharmacyTechnician</vt:lpwstr>
      </vt:variant>
      <vt:variant>
        <vt:i4>7733370</vt:i4>
      </vt:variant>
      <vt:variant>
        <vt:i4>2247</vt:i4>
      </vt:variant>
      <vt:variant>
        <vt:i4>0</vt:i4>
      </vt:variant>
      <vt:variant>
        <vt:i4>5</vt:i4>
      </vt:variant>
      <vt:variant>
        <vt:lpwstr/>
      </vt:variant>
      <vt:variant>
        <vt:lpwstr>CertifiedPharmacyTechnician</vt:lpwstr>
      </vt:variant>
      <vt:variant>
        <vt:i4>7733370</vt:i4>
      </vt:variant>
      <vt:variant>
        <vt:i4>2244</vt:i4>
      </vt:variant>
      <vt:variant>
        <vt:i4>0</vt:i4>
      </vt:variant>
      <vt:variant>
        <vt:i4>5</vt:i4>
      </vt:variant>
      <vt:variant>
        <vt:lpwstr/>
      </vt:variant>
      <vt:variant>
        <vt:lpwstr>CertifiedPharmacyTechnician</vt:lpwstr>
      </vt:variant>
      <vt:variant>
        <vt:i4>7733370</vt:i4>
      </vt:variant>
      <vt:variant>
        <vt:i4>2241</vt:i4>
      </vt:variant>
      <vt:variant>
        <vt:i4>0</vt:i4>
      </vt:variant>
      <vt:variant>
        <vt:i4>5</vt:i4>
      </vt:variant>
      <vt:variant>
        <vt:lpwstr/>
      </vt:variant>
      <vt:variant>
        <vt:lpwstr>CertifiedPharmacyTechnician</vt:lpwstr>
      </vt:variant>
      <vt:variant>
        <vt:i4>7733370</vt:i4>
      </vt:variant>
      <vt:variant>
        <vt:i4>2238</vt:i4>
      </vt:variant>
      <vt:variant>
        <vt:i4>0</vt:i4>
      </vt:variant>
      <vt:variant>
        <vt:i4>5</vt:i4>
      </vt:variant>
      <vt:variant>
        <vt:lpwstr/>
      </vt:variant>
      <vt:variant>
        <vt:lpwstr>CertifiedPharmacyTechnician</vt:lpwstr>
      </vt:variant>
      <vt:variant>
        <vt:i4>6750258</vt:i4>
      </vt:variant>
      <vt:variant>
        <vt:i4>2235</vt:i4>
      </vt:variant>
      <vt:variant>
        <vt:i4>0</vt:i4>
      </vt:variant>
      <vt:variant>
        <vt:i4>5</vt:i4>
      </vt:variant>
      <vt:variant>
        <vt:lpwstr>http://www.leapfroggroup.org/survey-materials/survey-and-cpoe-materials</vt:lpwstr>
      </vt:variant>
      <vt:variant>
        <vt:lpwstr/>
      </vt:variant>
      <vt:variant>
        <vt:i4>5832716</vt:i4>
      </vt:variant>
      <vt:variant>
        <vt:i4>2232</vt:i4>
      </vt:variant>
      <vt:variant>
        <vt:i4>0</vt:i4>
      </vt:variant>
      <vt:variant>
        <vt:i4>5</vt:i4>
      </vt:variant>
      <vt:variant>
        <vt:lpwstr>https://www.leapfroggroup.org/survey-materials/survey-and-cpoe-materials</vt:lpwstr>
      </vt:variant>
      <vt:variant>
        <vt:lpwstr/>
      </vt:variant>
      <vt:variant>
        <vt:i4>5832716</vt:i4>
      </vt:variant>
      <vt:variant>
        <vt:i4>2229</vt:i4>
      </vt:variant>
      <vt:variant>
        <vt:i4>0</vt:i4>
      </vt:variant>
      <vt:variant>
        <vt:i4>5</vt:i4>
      </vt:variant>
      <vt:variant>
        <vt:lpwstr>https://www.leapfroggroup.org/survey-materials/survey-and-cpoe-materials</vt:lpwstr>
      </vt:variant>
      <vt:variant>
        <vt:lpwstr/>
      </vt:variant>
      <vt:variant>
        <vt:i4>7733370</vt:i4>
      </vt:variant>
      <vt:variant>
        <vt:i4>2226</vt:i4>
      </vt:variant>
      <vt:variant>
        <vt:i4>0</vt:i4>
      </vt:variant>
      <vt:variant>
        <vt:i4>5</vt:i4>
      </vt:variant>
      <vt:variant>
        <vt:lpwstr/>
      </vt:variant>
      <vt:variant>
        <vt:lpwstr>CertifiedPharmacyTechnician</vt:lpwstr>
      </vt:variant>
      <vt:variant>
        <vt:i4>5832716</vt:i4>
      </vt:variant>
      <vt:variant>
        <vt:i4>2223</vt:i4>
      </vt:variant>
      <vt:variant>
        <vt:i4>0</vt:i4>
      </vt:variant>
      <vt:variant>
        <vt:i4>5</vt:i4>
      </vt:variant>
      <vt:variant>
        <vt:lpwstr>https://www.leapfroggroup.org/survey-materials/survey-and-cpoe-materials</vt:lpwstr>
      </vt:variant>
      <vt:variant>
        <vt:lpwstr/>
      </vt:variant>
      <vt:variant>
        <vt:i4>6750258</vt:i4>
      </vt:variant>
      <vt:variant>
        <vt:i4>2220</vt:i4>
      </vt:variant>
      <vt:variant>
        <vt:i4>0</vt:i4>
      </vt:variant>
      <vt:variant>
        <vt:i4>5</vt:i4>
      </vt:variant>
      <vt:variant>
        <vt:lpwstr>http://www.leapfroggroup.org/survey-materials/survey-and-cpoe-materials</vt:lpwstr>
      </vt:variant>
      <vt:variant>
        <vt:lpwstr/>
      </vt:variant>
      <vt:variant>
        <vt:i4>6750258</vt:i4>
      </vt:variant>
      <vt:variant>
        <vt:i4>2217</vt:i4>
      </vt:variant>
      <vt:variant>
        <vt:i4>0</vt:i4>
      </vt:variant>
      <vt:variant>
        <vt:i4>5</vt:i4>
      </vt:variant>
      <vt:variant>
        <vt:lpwstr>http://www.leapfroggroup.org/survey-materials/survey-and-cpoe-materials</vt:lpwstr>
      </vt:variant>
      <vt:variant>
        <vt:lpwstr/>
      </vt:variant>
      <vt:variant>
        <vt:i4>7733370</vt:i4>
      </vt:variant>
      <vt:variant>
        <vt:i4>2214</vt:i4>
      </vt:variant>
      <vt:variant>
        <vt:i4>0</vt:i4>
      </vt:variant>
      <vt:variant>
        <vt:i4>5</vt:i4>
      </vt:variant>
      <vt:variant>
        <vt:lpwstr/>
      </vt:variant>
      <vt:variant>
        <vt:lpwstr>CertifiedPharmacyTechnician</vt:lpwstr>
      </vt:variant>
      <vt:variant>
        <vt:i4>7798907</vt:i4>
      </vt:variant>
      <vt:variant>
        <vt:i4>2211</vt:i4>
      </vt:variant>
      <vt:variant>
        <vt:i4>0</vt:i4>
      </vt:variant>
      <vt:variant>
        <vt:i4>5</vt:i4>
      </vt:variant>
      <vt:variant>
        <vt:lpwstr>http://leapfroggroup.org/survey-materials/multi-campus-reporting-policy</vt:lpwstr>
      </vt:variant>
      <vt:variant>
        <vt:lpwstr/>
      </vt:variant>
      <vt:variant>
        <vt:i4>2228250</vt:i4>
      </vt:variant>
      <vt:variant>
        <vt:i4>2208</vt:i4>
      </vt:variant>
      <vt:variant>
        <vt:i4>0</vt:i4>
      </vt:variant>
      <vt:variant>
        <vt:i4>5</vt:i4>
      </vt:variant>
      <vt:variant>
        <vt:lpwstr/>
      </vt:variant>
      <vt:variant>
        <vt:lpwstr>_Bar_Code_Medication</vt:lpwstr>
      </vt:variant>
      <vt:variant>
        <vt:i4>2031636</vt:i4>
      </vt:variant>
      <vt:variant>
        <vt:i4>2202</vt:i4>
      </vt:variant>
      <vt:variant>
        <vt:i4>0</vt:i4>
      </vt:variant>
      <vt:variant>
        <vt:i4>5</vt:i4>
      </vt:variant>
      <vt:variant>
        <vt:lpwstr/>
      </vt:variant>
      <vt:variant>
        <vt:lpwstr>pacusendnote</vt:lpwstr>
      </vt:variant>
      <vt:variant>
        <vt:i4>65538</vt:i4>
      </vt:variant>
      <vt:variant>
        <vt:i4>2199</vt:i4>
      </vt:variant>
      <vt:variant>
        <vt:i4>0</vt:i4>
      </vt:variant>
      <vt:variant>
        <vt:i4>5</vt:i4>
      </vt:variant>
      <vt:variant>
        <vt:lpwstr/>
      </vt:variant>
      <vt:variant>
        <vt:lpwstr>LaborandDeliveryUnits</vt:lpwstr>
      </vt:variant>
      <vt:variant>
        <vt:i4>1310795</vt:i4>
      </vt:variant>
      <vt:variant>
        <vt:i4>2196</vt:i4>
      </vt:variant>
      <vt:variant>
        <vt:i4>0</vt:i4>
      </vt:variant>
      <vt:variant>
        <vt:i4>5</vt:i4>
      </vt:variant>
      <vt:variant>
        <vt:lpwstr/>
      </vt:variant>
      <vt:variant>
        <vt:lpwstr>stepdown_progressiveunits_endnote20</vt:lpwstr>
      </vt:variant>
      <vt:variant>
        <vt:i4>1900562</vt:i4>
      </vt:variant>
      <vt:variant>
        <vt:i4>2190</vt:i4>
      </vt:variant>
      <vt:variant>
        <vt:i4>0</vt:i4>
      </vt:variant>
      <vt:variant>
        <vt:i4>5</vt:i4>
      </vt:variant>
      <vt:variant>
        <vt:lpwstr/>
      </vt:variant>
      <vt:variant>
        <vt:lpwstr>MedicalandorSurgicalUnits</vt:lpwstr>
      </vt:variant>
      <vt:variant>
        <vt:i4>7340136</vt:i4>
      </vt:variant>
      <vt:variant>
        <vt:i4>2187</vt:i4>
      </vt:variant>
      <vt:variant>
        <vt:i4>0</vt:i4>
      </vt:variant>
      <vt:variant>
        <vt:i4>5</vt:i4>
      </vt:variant>
      <vt:variant>
        <vt:lpwstr/>
      </vt:variant>
      <vt:variant>
        <vt:lpwstr>neonatalICU</vt:lpwstr>
      </vt:variant>
      <vt:variant>
        <vt:i4>196616</vt:i4>
      </vt:variant>
      <vt:variant>
        <vt:i4>2184</vt:i4>
      </vt:variant>
      <vt:variant>
        <vt:i4>0</vt:i4>
      </vt:variant>
      <vt:variant>
        <vt:i4>5</vt:i4>
      </vt:variant>
      <vt:variant>
        <vt:lpwstr/>
      </vt:variant>
      <vt:variant>
        <vt:lpwstr>generalmedicalsurgicalandneuroicu</vt:lpwstr>
      </vt:variant>
      <vt:variant>
        <vt:i4>7798907</vt:i4>
      </vt:variant>
      <vt:variant>
        <vt:i4>2181</vt:i4>
      </vt:variant>
      <vt:variant>
        <vt:i4>0</vt:i4>
      </vt:variant>
      <vt:variant>
        <vt:i4>5</vt:i4>
      </vt:variant>
      <vt:variant>
        <vt:lpwstr>http://leapfroggroup.org/survey-materials/multi-campus-reporting-policy</vt:lpwstr>
      </vt:variant>
      <vt:variant>
        <vt:lpwstr/>
      </vt:variant>
      <vt:variant>
        <vt:i4>1835060</vt:i4>
      </vt:variant>
      <vt:variant>
        <vt:i4>2178</vt:i4>
      </vt:variant>
      <vt:variant>
        <vt:i4>0</vt:i4>
      </vt:variant>
      <vt:variant>
        <vt:i4>5</vt:i4>
      </vt:variant>
      <vt:variant>
        <vt:lpwstr/>
      </vt:variant>
      <vt:variant>
        <vt:lpwstr>_Computerized_Physician_Order</vt:lpwstr>
      </vt:variant>
      <vt:variant>
        <vt:i4>196627</vt:i4>
      </vt:variant>
      <vt:variant>
        <vt:i4>2175</vt:i4>
      </vt:variant>
      <vt:variant>
        <vt:i4>0</vt:i4>
      </vt:variant>
      <vt:variant>
        <vt:i4>5</vt:i4>
      </vt:variant>
      <vt:variant>
        <vt:lpwstr/>
      </vt:variant>
      <vt:variant>
        <vt:lpwstr>StandingOrder</vt:lpwstr>
      </vt:variant>
      <vt:variant>
        <vt:i4>6488186</vt:i4>
      </vt:variant>
      <vt:variant>
        <vt:i4>2172</vt:i4>
      </vt:variant>
      <vt:variant>
        <vt:i4>0</vt:i4>
      </vt:variant>
      <vt:variant>
        <vt:i4>5</vt:i4>
      </vt:variant>
      <vt:variant>
        <vt:lpwstr/>
      </vt:variant>
      <vt:variant>
        <vt:lpwstr>Prescriber</vt:lpwstr>
      </vt:variant>
      <vt:variant>
        <vt:i4>7995495</vt:i4>
      </vt:variant>
      <vt:variant>
        <vt:i4>2169</vt:i4>
      </vt:variant>
      <vt:variant>
        <vt:i4>0</vt:i4>
      </vt:variant>
      <vt:variant>
        <vt:i4>5</vt:i4>
      </vt:variant>
      <vt:variant>
        <vt:lpwstr/>
      </vt:variant>
      <vt:variant>
        <vt:lpwstr>PerProtocol</vt:lpwstr>
      </vt:variant>
      <vt:variant>
        <vt:i4>6488186</vt:i4>
      </vt:variant>
      <vt:variant>
        <vt:i4>2166</vt:i4>
      </vt:variant>
      <vt:variant>
        <vt:i4>0</vt:i4>
      </vt:variant>
      <vt:variant>
        <vt:i4>5</vt:i4>
      </vt:variant>
      <vt:variant>
        <vt:lpwstr/>
      </vt:variant>
      <vt:variant>
        <vt:lpwstr>Prescriber</vt:lpwstr>
      </vt:variant>
      <vt:variant>
        <vt:i4>6488186</vt:i4>
      </vt:variant>
      <vt:variant>
        <vt:i4>2163</vt:i4>
      </vt:variant>
      <vt:variant>
        <vt:i4>0</vt:i4>
      </vt:variant>
      <vt:variant>
        <vt:i4>5</vt:i4>
      </vt:variant>
      <vt:variant>
        <vt:lpwstr/>
      </vt:variant>
      <vt:variant>
        <vt:lpwstr>Prescriber</vt:lpwstr>
      </vt:variant>
      <vt:variant>
        <vt:i4>7798907</vt:i4>
      </vt:variant>
      <vt:variant>
        <vt:i4>2160</vt:i4>
      </vt:variant>
      <vt:variant>
        <vt:i4>0</vt:i4>
      </vt:variant>
      <vt:variant>
        <vt:i4>5</vt:i4>
      </vt:variant>
      <vt:variant>
        <vt:lpwstr>http://leapfroggroup.org/survey-materials/multi-campus-reporting-policy</vt:lpwstr>
      </vt:variant>
      <vt:variant>
        <vt:lpwstr/>
      </vt:variant>
      <vt:variant>
        <vt:i4>2031645</vt:i4>
      </vt:variant>
      <vt:variant>
        <vt:i4>2157</vt:i4>
      </vt:variant>
      <vt:variant>
        <vt:i4>0</vt:i4>
      </vt:variant>
      <vt:variant>
        <vt:i4>5</vt:i4>
      </vt:variant>
      <vt:variant>
        <vt:lpwstr>https://www.leapfroggroup.org/about/expert-panelists</vt:lpwstr>
      </vt:variant>
      <vt:variant>
        <vt:lpwstr/>
      </vt:variant>
      <vt:variant>
        <vt:i4>1179654</vt:i4>
      </vt:variant>
      <vt:variant>
        <vt:i4>2154</vt:i4>
      </vt:variant>
      <vt:variant>
        <vt:i4>0</vt:i4>
      </vt:variant>
      <vt:variant>
        <vt:i4>5</vt:i4>
      </vt:variant>
      <vt:variant>
        <vt:lpwstr/>
      </vt:variant>
      <vt:variant>
        <vt:lpwstr>discrepdueunintentaddmeds</vt:lpwstr>
      </vt:variant>
      <vt:variant>
        <vt:i4>8126566</vt:i4>
      </vt:variant>
      <vt:variant>
        <vt:i4>2151</vt:i4>
      </vt:variant>
      <vt:variant>
        <vt:i4>0</vt:i4>
      </vt:variant>
      <vt:variant>
        <vt:i4>5</vt:i4>
      </vt:variant>
      <vt:variant>
        <vt:lpwstr/>
      </vt:variant>
      <vt:variant>
        <vt:lpwstr>unintentaddmeds</vt:lpwstr>
      </vt:variant>
      <vt:variant>
        <vt:i4>2031647</vt:i4>
      </vt:variant>
      <vt:variant>
        <vt:i4>2148</vt:i4>
      </vt:variant>
      <vt:variant>
        <vt:i4>0</vt:i4>
      </vt:variant>
      <vt:variant>
        <vt:i4>5</vt:i4>
      </vt:variant>
      <vt:variant>
        <vt:lpwstr/>
      </vt:variant>
      <vt:variant>
        <vt:lpwstr>DiscrepanciesinGoldStandardMedicatio</vt:lpwstr>
      </vt:variant>
      <vt:variant>
        <vt:i4>1114122</vt:i4>
      </vt:variant>
      <vt:variant>
        <vt:i4>2145</vt:i4>
      </vt:variant>
      <vt:variant>
        <vt:i4>0</vt:i4>
      </vt:variant>
      <vt:variant>
        <vt:i4>5</vt:i4>
      </vt:variant>
      <vt:variant>
        <vt:lpwstr/>
      </vt:variant>
      <vt:variant>
        <vt:lpwstr>GoldStandardMedicationHistory</vt:lpwstr>
      </vt:variant>
      <vt:variant>
        <vt:i4>7733370</vt:i4>
      </vt:variant>
      <vt:variant>
        <vt:i4>2142</vt:i4>
      </vt:variant>
      <vt:variant>
        <vt:i4>0</vt:i4>
      </vt:variant>
      <vt:variant>
        <vt:i4>5</vt:i4>
      </vt:variant>
      <vt:variant>
        <vt:lpwstr/>
      </vt:variant>
      <vt:variant>
        <vt:lpwstr>CertifiedPharmacyTechnician</vt:lpwstr>
      </vt:variant>
      <vt:variant>
        <vt:i4>6619247</vt:i4>
      </vt:variant>
      <vt:variant>
        <vt:i4>2139</vt:i4>
      </vt:variant>
      <vt:variant>
        <vt:i4>0</vt:i4>
      </vt:variant>
      <vt:variant>
        <vt:i4>5</vt:i4>
      </vt:variant>
      <vt:variant>
        <vt:lpwstr/>
      </vt:variant>
      <vt:variant>
        <vt:lpwstr>SamplingforMedicationReconciliation</vt:lpwstr>
      </vt:variant>
      <vt:variant>
        <vt:i4>3407958</vt:i4>
      </vt:variant>
      <vt:variant>
        <vt:i4>2136</vt:i4>
      </vt:variant>
      <vt:variant>
        <vt:i4>0</vt:i4>
      </vt:variant>
      <vt:variant>
        <vt:i4>5</vt:i4>
      </vt:variant>
      <vt:variant>
        <vt:lpwstr/>
      </vt:variant>
      <vt:variant>
        <vt:lpwstr>Step5_ComparewDischargeOrders</vt:lpwstr>
      </vt:variant>
      <vt:variant>
        <vt:i4>2687047</vt:i4>
      </vt:variant>
      <vt:variant>
        <vt:i4>2133</vt:i4>
      </vt:variant>
      <vt:variant>
        <vt:i4>0</vt:i4>
      </vt:variant>
      <vt:variant>
        <vt:i4>5</vt:i4>
      </vt:variant>
      <vt:variant>
        <vt:lpwstr/>
      </vt:variant>
      <vt:variant>
        <vt:lpwstr>Step4_ComparewAdmissionOrders</vt:lpwstr>
      </vt:variant>
      <vt:variant>
        <vt:i4>7733370</vt:i4>
      </vt:variant>
      <vt:variant>
        <vt:i4>2130</vt:i4>
      </vt:variant>
      <vt:variant>
        <vt:i4>0</vt:i4>
      </vt:variant>
      <vt:variant>
        <vt:i4>5</vt:i4>
      </vt:variant>
      <vt:variant>
        <vt:lpwstr/>
      </vt:variant>
      <vt:variant>
        <vt:lpwstr>CertifiedPharmacyTechnician</vt:lpwstr>
      </vt:variant>
      <vt:variant>
        <vt:i4>5963831</vt:i4>
      </vt:variant>
      <vt:variant>
        <vt:i4>2127</vt:i4>
      </vt:variant>
      <vt:variant>
        <vt:i4>0</vt:i4>
      </vt:variant>
      <vt:variant>
        <vt:i4>5</vt:i4>
      </vt:variant>
      <vt:variant>
        <vt:lpwstr/>
      </vt:variant>
      <vt:variant>
        <vt:lpwstr>Step3_CompleteWkst</vt:lpwstr>
      </vt:variant>
      <vt:variant>
        <vt:i4>7733370</vt:i4>
      </vt:variant>
      <vt:variant>
        <vt:i4>2121</vt:i4>
      </vt:variant>
      <vt:variant>
        <vt:i4>0</vt:i4>
      </vt:variant>
      <vt:variant>
        <vt:i4>5</vt:i4>
      </vt:variant>
      <vt:variant>
        <vt:lpwstr/>
      </vt:variant>
      <vt:variant>
        <vt:lpwstr>CertifiedPharmacyTechnician</vt:lpwstr>
      </vt:variant>
      <vt:variant>
        <vt:i4>4390946</vt:i4>
      </vt:variant>
      <vt:variant>
        <vt:i4>2118</vt:i4>
      </vt:variant>
      <vt:variant>
        <vt:i4>0</vt:i4>
      </vt:variant>
      <vt:variant>
        <vt:i4>5</vt:i4>
      </vt:variant>
      <vt:variant>
        <vt:lpwstr/>
      </vt:variant>
      <vt:variant>
        <vt:lpwstr>Step2_Interview</vt:lpwstr>
      </vt:variant>
      <vt:variant>
        <vt:i4>7733370</vt:i4>
      </vt:variant>
      <vt:variant>
        <vt:i4>2115</vt:i4>
      </vt:variant>
      <vt:variant>
        <vt:i4>0</vt:i4>
      </vt:variant>
      <vt:variant>
        <vt:i4>5</vt:i4>
      </vt:variant>
      <vt:variant>
        <vt:lpwstr/>
      </vt:variant>
      <vt:variant>
        <vt:lpwstr>CertifiedPharmacyTechnician</vt:lpwstr>
      </vt:variant>
      <vt:variant>
        <vt:i4>8126478</vt:i4>
      </vt:variant>
      <vt:variant>
        <vt:i4>2112</vt:i4>
      </vt:variant>
      <vt:variant>
        <vt:i4>0</vt:i4>
      </vt:variant>
      <vt:variant>
        <vt:i4>5</vt:i4>
      </vt:variant>
      <vt:variant>
        <vt:lpwstr/>
      </vt:variant>
      <vt:variant>
        <vt:lpwstr>_Medication_Reconciliation_1</vt:lpwstr>
      </vt:variant>
      <vt:variant>
        <vt:i4>6750330</vt:i4>
      </vt:variant>
      <vt:variant>
        <vt:i4>2109</vt:i4>
      </vt:variant>
      <vt:variant>
        <vt:i4>0</vt:i4>
      </vt:variant>
      <vt:variant>
        <vt:i4>5</vt:i4>
      </vt:variant>
      <vt:variant>
        <vt:lpwstr/>
      </vt:variant>
      <vt:variant>
        <vt:lpwstr>MedRecSpecs</vt:lpwstr>
      </vt:variant>
      <vt:variant>
        <vt:i4>7798907</vt:i4>
      </vt:variant>
      <vt:variant>
        <vt:i4>2106</vt:i4>
      </vt:variant>
      <vt:variant>
        <vt:i4>0</vt:i4>
      </vt:variant>
      <vt:variant>
        <vt:i4>5</vt:i4>
      </vt:variant>
      <vt:variant>
        <vt:lpwstr>http://leapfroggroup.org/survey-materials/multi-campus-reporting-policy</vt:lpwstr>
      </vt:variant>
      <vt:variant>
        <vt:lpwstr/>
      </vt:variant>
      <vt:variant>
        <vt:i4>2031636</vt:i4>
      </vt:variant>
      <vt:variant>
        <vt:i4>2103</vt:i4>
      </vt:variant>
      <vt:variant>
        <vt:i4>0</vt:i4>
      </vt:variant>
      <vt:variant>
        <vt:i4>5</vt:i4>
      </vt:variant>
      <vt:variant>
        <vt:lpwstr/>
      </vt:variant>
      <vt:variant>
        <vt:lpwstr>pacusendnote</vt:lpwstr>
      </vt:variant>
      <vt:variant>
        <vt:i4>65538</vt:i4>
      </vt:variant>
      <vt:variant>
        <vt:i4>2100</vt:i4>
      </vt:variant>
      <vt:variant>
        <vt:i4>0</vt:i4>
      </vt:variant>
      <vt:variant>
        <vt:i4>5</vt:i4>
      </vt:variant>
      <vt:variant>
        <vt:lpwstr/>
      </vt:variant>
      <vt:variant>
        <vt:lpwstr>LaborandDeliveryUnits</vt:lpwstr>
      </vt:variant>
      <vt:variant>
        <vt:i4>1310795</vt:i4>
      </vt:variant>
      <vt:variant>
        <vt:i4>2097</vt:i4>
      </vt:variant>
      <vt:variant>
        <vt:i4>0</vt:i4>
      </vt:variant>
      <vt:variant>
        <vt:i4>5</vt:i4>
      </vt:variant>
      <vt:variant>
        <vt:lpwstr/>
      </vt:variant>
      <vt:variant>
        <vt:lpwstr>stepdown_progressiveunits_endnote20</vt:lpwstr>
      </vt:variant>
      <vt:variant>
        <vt:i4>1900562</vt:i4>
      </vt:variant>
      <vt:variant>
        <vt:i4>2094</vt:i4>
      </vt:variant>
      <vt:variant>
        <vt:i4>0</vt:i4>
      </vt:variant>
      <vt:variant>
        <vt:i4>5</vt:i4>
      </vt:variant>
      <vt:variant>
        <vt:lpwstr/>
      </vt:variant>
      <vt:variant>
        <vt:lpwstr>MedicalandorSurgicalUnits</vt:lpwstr>
      </vt:variant>
      <vt:variant>
        <vt:i4>7340136</vt:i4>
      </vt:variant>
      <vt:variant>
        <vt:i4>2091</vt:i4>
      </vt:variant>
      <vt:variant>
        <vt:i4>0</vt:i4>
      </vt:variant>
      <vt:variant>
        <vt:i4>5</vt:i4>
      </vt:variant>
      <vt:variant>
        <vt:lpwstr/>
      </vt:variant>
      <vt:variant>
        <vt:lpwstr>neonatalICU</vt:lpwstr>
      </vt:variant>
      <vt:variant>
        <vt:i4>196616</vt:i4>
      </vt:variant>
      <vt:variant>
        <vt:i4>2088</vt:i4>
      </vt:variant>
      <vt:variant>
        <vt:i4>0</vt:i4>
      </vt:variant>
      <vt:variant>
        <vt:i4>5</vt:i4>
      </vt:variant>
      <vt:variant>
        <vt:lpwstr/>
      </vt:variant>
      <vt:variant>
        <vt:lpwstr>generalmedicalsurgicalandneuroicu</vt:lpwstr>
      </vt:variant>
      <vt:variant>
        <vt:i4>2031636</vt:i4>
      </vt:variant>
      <vt:variant>
        <vt:i4>2085</vt:i4>
      </vt:variant>
      <vt:variant>
        <vt:i4>0</vt:i4>
      </vt:variant>
      <vt:variant>
        <vt:i4>5</vt:i4>
      </vt:variant>
      <vt:variant>
        <vt:lpwstr/>
      </vt:variant>
      <vt:variant>
        <vt:lpwstr>pacusendnote</vt:lpwstr>
      </vt:variant>
      <vt:variant>
        <vt:i4>65538</vt:i4>
      </vt:variant>
      <vt:variant>
        <vt:i4>2079</vt:i4>
      </vt:variant>
      <vt:variant>
        <vt:i4>0</vt:i4>
      </vt:variant>
      <vt:variant>
        <vt:i4>5</vt:i4>
      </vt:variant>
      <vt:variant>
        <vt:lpwstr/>
      </vt:variant>
      <vt:variant>
        <vt:lpwstr>LaborandDeliveryUnits</vt:lpwstr>
      </vt:variant>
      <vt:variant>
        <vt:i4>1310795</vt:i4>
      </vt:variant>
      <vt:variant>
        <vt:i4>2076</vt:i4>
      </vt:variant>
      <vt:variant>
        <vt:i4>0</vt:i4>
      </vt:variant>
      <vt:variant>
        <vt:i4>5</vt:i4>
      </vt:variant>
      <vt:variant>
        <vt:lpwstr/>
      </vt:variant>
      <vt:variant>
        <vt:lpwstr>stepdown_progressiveunits_endnote20</vt:lpwstr>
      </vt:variant>
      <vt:variant>
        <vt:i4>1900562</vt:i4>
      </vt:variant>
      <vt:variant>
        <vt:i4>2070</vt:i4>
      </vt:variant>
      <vt:variant>
        <vt:i4>0</vt:i4>
      </vt:variant>
      <vt:variant>
        <vt:i4>5</vt:i4>
      </vt:variant>
      <vt:variant>
        <vt:lpwstr/>
      </vt:variant>
      <vt:variant>
        <vt:lpwstr>MedicalandorSurgicalUnits</vt:lpwstr>
      </vt:variant>
      <vt:variant>
        <vt:i4>7340136</vt:i4>
      </vt:variant>
      <vt:variant>
        <vt:i4>2067</vt:i4>
      </vt:variant>
      <vt:variant>
        <vt:i4>0</vt:i4>
      </vt:variant>
      <vt:variant>
        <vt:i4>5</vt:i4>
      </vt:variant>
      <vt:variant>
        <vt:lpwstr/>
      </vt:variant>
      <vt:variant>
        <vt:lpwstr>neonatalICU</vt:lpwstr>
      </vt:variant>
      <vt:variant>
        <vt:i4>196616</vt:i4>
      </vt:variant>
      <vt:variant>
        <vt:i4>2064</vt:i4>
      </vt:variant>
      <vt:variant>
        <vt:i4>0</vt:i4>
      </vt:variant>
      <vt:variant>
        <vt:i4>5</vt:i4>
      </vt:variant>
      <vt:variant>
        <vt:lpwstr/>
      </vt:variant>
      <vt:variant>
        <vt:lpwstr>generalmedicalsurgicalandneuroicu</vt:lpwstr>
      </vt:variant>
      <vt:variant>
        <vt:i4>1245253</vt:i4>
      </vt:variant>
      <vt:variant>
        <vt:i4>2058</vt:i4>
      </vt:variant>
      <vt:variant>
        <vt:i4>0</vt:i4>
      </vt:variant>
      <vt:variant>
        <vt:i4>5</vt:i4>
      </vt:variant>
      <vt:variant>
        <vt:lpwstr/>
      </vt:variant>
      <vt:variant>
        <vt:lpwstr>_Bar_Code_Medication_1</vt:lpwstr>
      </vt:variant>
      <vt:variant>
        <vt:i4>7798907</vt:i4>
      </vt:variant>
      <vt:variant>
        <vt:i4>2055</vt:i4>
      </vt:variant>
      <vt:variant>
        <vt:i4>0</vt:i4>
      </vt:variant>
      <vt:variant>
        <vt:i4>5</vt:i4>
      </vt:variant>
      <vt:variant>
        <vt:lpwstr>http://leapfroggroup.org/survey-materials/multi-campus-reporting-policy</vt:lpwstr>
      </vt:variant>
      <vt:variant>
        <vt:lpwstr/>
      </vt:variant>
      <vt:variant>
        <vt:i4>7798907</vt:i4>
      </vt:variant>
      <vt:variant>
        <vt:i4>2052</vt:i4>
      </vt:variant>
      <vt:variant>
        <vt:i4>0</vt:i4>
      </vt:variant>
      <vt:variant>
        <vt:i4>5</vt:i4>
      </vt:variant>
      <vt:variant>
        <vt:lpwstr>http://leapfroggroup.org/survey-materials/multi-campus-reporting-policy</vt:lpwstr>
      </vt:variant>
      <vt:variant>
        <vt:lpwstr/>
      </vt:variant>
      <vt:variant>
        <vt:i4>983089</vt:i4>
      </vt:variant>
      <vt:variant>
        <vt:i4>2049</vt:i4>
      </vt:variant>
      <vt:variant>
        <vt:i4>0</vt:i4>
      </vt:variant>
      <vt:variant>
        <vt:i4>5</vt:i4>
      </vt:variant>
      <vt:variant>
        <vt:lpwstr/>
      </vt:variant>
      <vt:variant>
        <vt:lpwstr>Endnote16_CPOE</vt:lpwstr>
      </vt:variant>
      <vt:variant>
        <vt:i4>8257547</vt:i4>
      </vt:variant>
      <vt:variant>
        <vt:i4>2046</vt:i4>
      </vt:variant>
      <vt:variant>
        <vt:i4>0</vt:i4>
      </vt:variant>
      <vt:variant>
        <vt:i4>5</vt:i4>
      </vt:variant>
      <vt:variant>
        <vt:lpwstr/>
      </vt:variant>
      <vt:variant>
        <vt:lpwstr>_Medication_Safety_-</vt:lpwstr>
      </vt:variant>
      <vt:variant>
        <vt:i4>7798907</vt:i4>
      </vt:variant>
      <vt:variant>
        <vt:i4>2043</vt:i4>
      </vt:variant>
      <vt:variant>
        <vt:i4>0</vt:i4>
      </vt:variant>
      <vt:variant>
        <vt:i4>5</vt:i4>
      </vt:variant>
      <vt:variant>
        <vt:lpwstr>http://leapfroggroup.org/survey-materials/multi-campus-reporting-policy</vt:lpwstr>
      </vt:variant>
      <vt:variant>
        <vt:lpwstr/>
      </vt:variant>
      <vt:variant>
        <vt:i4>5046365</vt:i4>
      </vt:variant>
      <vt:variant>
        <vt:i4>2040</vt:i4>
      </vt:variant>
      <vt:variant>
        <vt:i4>0</vt:i4>
      </vt:variant>
      <vt:variant>
        <vt:i4>5</vt:i4>
      </vt:variant>
      <vt:variant>
        <vt:lpwstr>http://www.leapfroggroup.org/survey-materials/scoring-and-results</vt:lpwstr>
      </vt:variant>
      <vt:variant>
        <vt:lpwstr/>
      </vt:variant>
      <vt:variant>
        <vt:i4>4784219</vt:i4>
      </vt:variant>
      <vt:variant>
        <vt:i4>2037</vt:i4>
      </vt:variant>
      <vt:variant>
        <vt:i4>0</vt:i4>
      </vt:variant>
      <vt:variant>
        <vt:i4>5</vt:i4>
      </vt:variant>
      <vt:variant>
        <vt:lpwstr>https://ratings.leapfroggroup.org/measure/hospital/2025/medication-reconciliation</vt:lpwstr>
      </vt:variant>
      <vt:variant>
        <vt:lpwstr/>
      </vt:variant>
      <vt:variant>
        <vt:i4>6881312</vt:i4>
      </vt:variant>
      <vt:variant>
        <vt:i4>2034</vt:i4>
      </vt:variant>
      <vt:variant>
        <vt:i4>0</vt:i4>
      </vt:variant>
      <vt:variant>
        <vt:i4>5</vt:i4>
      </vt:variant>
      <vt:variant>
        <vt:lpwstr>https://ratings.leapfroggroup.org/measure/hospital/2025/safe-medication-administration</vt:lpwstr>
      </vt:variant>
      <vt:variant>
        <vt:lpwstr/>
      </vt:variant>
      <vt:variant>
        <vt:i4>393295</vt:i4>
      </vt:variant>
      <vt:variant>
        <vt:i4>2031</vt:i4>
      </vt:variant>
      <vt:variant>
        <vt:i4>0</vt:i4>
      </vt:variant>
      <vt:variant>
        <vt:i4>5</vt:i4>
      </vt:variant>
      <vt:variant>
        <vt:lpwstr>https://ratings.leapfroggroup.org/measure/hospital/2025/safe-medication-ordering</vt:lpwstr>
      </vt:variant>
      <vt:variant>
        <vt:lpwstr/>
      </vt:variant>
      <vt:variant>
        <vt:i4>2359335</vt:i4>
      </vt:variant>
      <vt:variant>
        <vt:i4>2028</vt:i4>
      </vt:variant>
      <vt:variant>
        <vt:i4>0</vt:i4>
      </vt:variant>
      <vt:variant>
        <vt:i4>5</vt:i4>
      </vt:variant>
      <vt:variant>
        <vt:lpwstr>https://www.hhs.gov/civil-rights/for-individuals/special-topics/limited-english-proficiency/index.html</vt:lpwstr>
      </vt:variant>
      <vt:variant>
        <vt:lpwstr/>
      </vt:variant>
      <vt:variant>
        <vt:i4>7536749</vt:i4>
      </vt:variant>
      <vt:variant>
        <vt:i4>2025</vt:i4>
      </vt:variant>
      <vt:variant>
        <vt:i4>0</vt:i4>
      </vt:variant>
      <vt:variant>
        <vt:i4>5</vt:i4>
      </vt:variant>
      <vt:variant>
        <vt:lpwstr>https://nam02.safelinks.protection.outlook.com/?url=https%3A%2F%2Freadability.leapfroggroup.org%2F&amp;data=05%7C02%7Cjtilly%40leapfrog-group.org%7C6831d208cb504926d07108de64083d65%7C95c34b8315eb4d9a97a7f29881f4a800%7C0%7C0%7C639058183712473312%7CUnknown%7CTWFpbGZsb3d8eyJFbXB0eU1hcGkiOnRydWUsIlYiOiIwLjAuMDAwMCIsIlAiOiJXaW4zMiIsIkFOIjoiTWFpbCIsIldUIjoyfQ%3D%3D%7C0%7C%7C%7C&amp;sdata=ERCnNuEypjpxKse%2B%2Bfc00g73NnwCwuDaWaJmvCcANjc%3D&amp;reserved=0</vt:lpwstr>
      </vt:variant>
      <vt:variant>
        <vt:lpwstr/>
      </vt:variant>
      <vt:variant>
        <vt:i4>3080241</vt:i4>
      </vt:variant>
      <vt:variant>
        <vt:i4>2022</vt:i4>
      </vt:variant>
      <vt:variant>
        <vt:i4>0</vt:i4>
      </vt:variant>
      <vt:variant>
        <vt:i4>5</vt:i4>
      </vt:variant>
      <vt:variant>
        <vt:lpwstr>https://nam02.safelinks.protection.outlook.com/?url=https%3A%2F%2Fwww.leapfroggroup.org%2Fsites%2Fdefault%2Ffiles%2FFiles%2FCMS%2520Toolkit%2520for%2520Making%2520Written%2520Material%2520Clear.pdf&amp;data=05%7C01%7CPLipscomb%40leapfrog-group.org%7C2c470c166c5f45fac28508db5d5d58d1%7C95c34b8315eb4d9a97a7f29881f4a800%7C0%7C0%7C638206427719753809%7CUnknown%7CTWFpbGZsb3d8eyJWIjoiMC4wLjAwMDAiLCJQIjoiV2luMzIiLCJBTiI6Ik1haWwiLCJXVCI6Mn0%3D%7C3000%7C%7C%7C&amp;sdata=W3kF0xvj5%2BoQWDMmOj0RCj7CLx83iudtjvjCyyAKUMo%3D&amp;reserved=0</vt:lpwstr>
      </vt:variant>
      <vt:variant>
        <vt:lpwstr/>
      </vt:variant>
      <vt:variant>
        <vt:i4>3997746</vt:i4>
      </vt:variant>
      <vt:variant>
        <vt:i4>2019</vt:i4>
      </vt:variant>
      <vt:variant>
        <vt:i4>0</vt:i4>
      </vt:variant>
      <vt:variant>
        <vt:i4>5</vt:i4>
      </vt:variant>
      <vt:variant>
        <vt:lpwstr>https://nam02.safelinks.protection.outlook.com/?url=https%3A%2F%2Fwww.cdc.gov%2Fccindex%2Findex.html&amp;data=05%7C01%7CPLipscomb%40leapfrog-group.org%7C2c470c166c5f45fac28508db5d5d58d1%7C95c34b8315eb4d9a97a7f29881f4a800%7C0%7C0%7C638206427719598521%7CUnknown%7CTWFpbGZsb3d8eyJWIjoiMC4wLjAwMDAiLCJQIjoiV2luMzIiLCJBTiI6Ik1haWwiLCJXVCI6Mn0%3D%7C3000%7C%7C%7C&amp;sdata=pu1PVfq6oeKIClO81ddHBIqO5lYuoto3gwOGnArPbbg%3D&amp;reserved=0</vt:lpwstr>
      </vt:variant>
      <vt:variant>
        <vt:lpwstr/>
      </vt:variant>
      <vt:variant>
        <vt:i4>3080232</vt:i4>
      </vt:variant>
      <vt:variant>
        <vt:i4>2016</vt:i4>
      </vt:variant>
      <vt:variant>
        <vt:i4>0</vt:i4>
      </vt:variant>
      <vt:variant>
        <vt:i4>5</vt:i4>
      </vt:variant>
      <vt:variant>
        <vt:lpwstr>https://nam02.safelinks.protection.outlook.com/?url=https%3A%2F%2Fwww.ahrq.gov%2Fprofessionals%2Fprevention-chronic-care%2Fimprove%2Fself-mgmt%2Fpemat%2Findex.html&amp;data=05%7C01%7CPLipscomb%40leapfrog-group.org%7C2c470c166c5f45fac28508db5d5d58d1%7C95c34b8315eb4d9a97a7f29881f4a800%7C0%7C0%7C638206427719598521%7CUnknown%7CTWFpbGZsb3d8eyJWIjoiMC4wLjAwMDAiLCJQIjoiV2luMzIiLCJBTiI6Ik1haWwiLCJXVCI6Mn0%3D%7C3000%7C%7C%7C&amp;sdata=XGsOf7dCprBo5LmSbmpyzbgXVQAaw%2FpRspPqXhNMFEo%3D&amp;reserved=0</vt:lpwstr>
      </vt:variant>
      <vt:variant>
        <vt:lpwstr/>
      </vt:variant>
      <vt:variant>
        <vt:i4>7077934</vt:i4>
      </vt:variant>
      <vt:variant>
        <vt:i4>2013</vt:i4>
      </vt:variant>
      <vt:variant>
        <vt:i4>0</vt:i4>
      </vt:variant>
      <vt:variant>
        <vt:i4>5</vt:i4>
      </vt:variant>
      <vt:variant>
        <vt:lpwstr>https://nam02.safelinks.protection.outlook.com/?url=https%3A%2F%2Fwww.ahrq.gov%2Fhealth-literacy%2Fprofessional-training%2Finformed-choice.html&amp;data=05%7C01%7CPLipscomb%40leapfrog-group.org%7C2c470c166c5f45fac28508db5d5d58d1%7C95c34b8315eb4d9a97a7f29881f4a800%7C0%7C0%7C638206427719598521%7CUnknown%7CTWFpbGZsb3d8eyJWIjoiMC4wLjAwMDAiLCJQIjoiV2luMzIiLCJBTiI6Ik1haWwiLCJXVCI6Mn0%3D%7C3000%7C%7C%7C&amp;sdata=8EnmFGECZ45C2enFQVjumfh042bETMi0bF%2FpNjGUCPk%3D&amp;reserved=0</vt:lpwstr>
      </vt:variant>
      <vt:variant>
        <vt:lpwstr/>
      </vt:variant>
      <vt:variant>
        <vt:i4>3604590</vt:i4>
      </vt:variant>
      <vt:variant>
        <vt:i4>2010</vt:i4>
      </vt:variant>
      <vt:variant>
        <vt:i4>0</vt:i4>
      </vt:variant>
      <vt:variant>
        <vt:i4>5</vt:i4>
      </vt:variant>
      <vt:variant>
        <vt:lpwstr>https://nam02.safelinks.protection.outlook.com/?url=https%3A%2F%2Fwww.leapfroggroup.org%2Fsurvey-materials%2Ftown-hall-calls&amp;data=05%7C01%7CPLipscomb%40leapfrog-group.org%7C2c470c166c5f45fac28508db5d5d58d1%7C95c34b8315eb4d9a97a7f29881f4a800%7C0%7C0%7C638206427719598521%7CUnknown%7CTWFpbGZsb3d8eyJWIjoiMC4wLjAwMDAiLCJQIjoiV2luMzIiLCJBTiI6Ik1haWwiLCJXVCI6Mn0%3D%7C3000%7C%7C%7C&amp;sdata=SUsDnxd0t3u1QBB%2BErL5RBbQxn62cY5BI%2BaGlI1RIAU%3D&amp;reserved=0</vt:lpwstr>
      </vt:variant>
      <vt:variant>
        <vt:lpwstr/>
      </vt:variant>
      <vt:variant>
        <vt:i4>3407966</vt:i4>
      </vt:variant>
      <vt:variant>
        <vt:i4>2007</vt:i4>
      </vt:variant>
      <vt:variant>
        <vt:i4>0</vt:i4>
      </vt:variant>
      <vt:variant>
        <vt:i4>5</vt:i4>
      </vt:variant>
      <vt:variant>
        <vt:lpwstr>https://www.oecd.org/skills/piaac/publications/countryspecificmaterial/PIAAC_Country_Note_USA.pdf</vt:lpwstr>
      </vt:variant>
      <vt:variant>
        <vt:lpwstr/>
      </vt:variant>
      <vt:variant>
        <vt:i4>5636210</vt:i4>
      </vt:variant>
      <vt:variant>
        <vt:i4>2004</vt:i4>
      </vt:variant>
      <vt:variant>
        <vt:i4>0</vt:i4>
      </vt:variant>
      <vt:variant>
        <vt:i4>5</vt:i4>
      </vt:variant>
      <vt:variant>
        <vt:lpwstr>https://nam02.safelinks.protection.outlook.com/?url=https%3A%2F%2Fwww.barbarabush.org%2Fwp-content%2Fuploads%2F2020%2F09%2FBBFoundation_GainsFromEradicatingIlliteracy_9_8.pdf&amp;data=05%7C01%7CPLipscomb%40leapfrog-group.org%7C2c470c166c5f45fac28508db5d5d58d1%7C95c34b8315eb4d9a97a7f29881f4a800%7C0%7C0%7C638206427719598521%7CUnknown%7CTWFpbGZsb3d8eyJWIjoiMC4wLjAwMDAiLCJQIjoiV2luMzIiLCJBTiI6Ik1haWwiLCJXVCI6Mn0%3D%7C3000%7C%7C%7C&amp;sdata=gyzWTmT%2Bwr7GH5iPUG1uGWyGhkG8gLWnR74g7nkLL00%3D&amp;reserved=0</vt:lpwstr>
      </vt:variant>
      <vt:variant>
        <vt:lpwstr/>
      </vt:variant>
      <vt:variant>
        <vt:i4>7274609</vt:i4>
      </vt:variant>
      <vt:variant>
        <vt:i4>2001</vt:i4>
      </vt:variant>
      <vt:variant>
        <vt:i4>0</vt:i4>
      </vt:variant>
      <vt:variant>
        <vt:i4>5</vt:i4>
      </vt:variant>
      <vt:variant>
        <vt:lpwstr>https://www.ahrq.gov/health-literacy/professional-training/informed-choice.html</vt:lpwstr>
      </vt:variant>
      <vt:variant>
        <vt:lpwstr/>
      </vt:variant>
      <vt:variant>
        <vt:i4>6357031</vt:i4>
      </vt:variant>
      <vt:variant>
        <vt:i4>1998</vt:i4>
      </vt:variant>
      <vt:variant>
        <vt:i4>0</vt:i4>
      </vt:variant>
      <vt:variant>
        <vt:i4>5</vt:i4>
      </vt:variant>
      <vt:variant>
        <vt:lpwstr>https://www.nyp.org/daliocenter/data-and-infrastructure</vt:lpwstr>
      </vt:variant>
      <vt:variant>
        <vt:lpwstr/>
      </vt:variant>
      <vt:variant>
        <vt:i4>5767188</vt:i4>
      </vt:variant>
      <vt:variant>
        <vt:i4>1995</vt:i4>
      </vt:variant>
      <vt:variant>
        <vt:i4>0</vt:i4>
      </vt:variant>
      <vt:variant>
        <vt:i4>5</vt:i4>
      </vt:variant>
      <vt:variant>
        <vt:lpwstr>https://www.ihi.org/insights/words-matter-making-sense-health-equity-terminology</vt:lpwstr>
      </vt:variant>
      <vt:variant>
        <vt:lpwstr/>
      </vt:variant>
      <vt:variant>
        <vt:i4>196625</vt:i4>
      </vt:variant>
      <vt:variant>
        <vt:i4>1992</vt:i4>
      </vt:variant>
      <vt:variant>
        <vt:i4>0</vt:i4>
      </vt:variant>
      <vt:variant>
        <vt:i4>5</vt:i4>
      </vt:variant>
      <vt:variant>
        <vt:lpwstr>https://mediacentral.ucl.ac.uk/Play/6608</vt:lpwstr>
      </vt:variant>
      <vt:variant>
        <vt:lpwstr/>
      </vt:variant>
      <vt:variant>
        <vt:i4>3539057</vt:i4>
      </vt:variant>
      <vt:variant>
        <vt:i4>1989</vt:i4>
      </vt:variant>
      <vt:variant>
        <vt:i4>0</vt:i4>
      </vt:variant>
      <vt:variant>
        <vt:i4>5</vt:i4>
      </vt:variant>
      <vt:variant>
        <vt:lpwstr>https://www.youtube.com/watch?v=8SOzXeYDhAw</vt:lpwstr>
      </vt:variant>
      <vt:variant>
        <vt:lpwstr/>
      </vt:variant>
      <vt:variant>
        <vt:i4>720917</vt:i4>
      </vt:variant>
      <vt:variant>
        <vt:i4>1986</vt:i4>
      </vt:variant>
      <vt:variant>
        <vt:i4>0</vt:i4>
      </vt:variant>
      <vt:variant>
        <vt:i4>5</vt:i4>
      </vt:variant>
      <vt:variant>
        <vt:lpwstr>https://torontohealthequity.ca/wp-content/uploads/2018/03/Measuring-Health-Equity-Participant-Manual-2018.pdf</vt:lpwstr>
      </vt:variant>
      <vt:variant>
        <vt:lpwstr/>
      </vt:variant>
      <vt:variant>
        <vt:i4>4587534</vt:i4>
      </vt:variant>
      <vt:variant>
        <vt:i4>1983</vt:i4>
      </vt:variant>
      <vt:variant>
        <vt:i4>0</vt:i4>
      </vt:variant>
      <vt:variant>
        <vt:i4>5</vt:i4>
      </vt:variant>
      <vt:variant>
        <vt:lpwstr>https://www.cdc.gov/dhds/datasets/?CDC_AAref_Val=https://www.cdc.gov/ncbddd/disabilityandhealth/datasets.html</vt:lpwstr>
      </vt:variant>
      <vt:variant>
        <vt:lpwstr/>
      </vt:variant>
      <vt:variant>
        <vt:i4>1835093</vt:i4>
      </vt:variant>
      <vt:variant>
        <vt:i4>1980</vt:i4>
      </vt:variant>
      <vt:variant>
        <vt:i4>0</vt:i4>
      </vt:variant>
      <vt:variant>
        <vt:i4>5</vt:i4>
      </vt:variant>
      <vt:variant>
        <vt:lpwstr>https://www.cdc.gov/disability-and-health/about/?CDC_AAref_Val=https://www.cdc.gov/ncbddd/disabilityandhealth/disability.html</vt:lpwstr>
      </vt:variant>
      <vt:variant>
        <vt:lpwstr/>
      </vt:variant>
      <vt:variant>
        <vt:i4>1835093</vt:i4>
      </vt:variant>
      <vt:variant>
        <vt:i4>1977</vt:i4>
      </vt:variant>
      <vt:variant>
        <vt:i4>0</vt:i4>
      </vt:variant>
      <vt:variant>
        <vt:i4>5</vt:i4>
      </vt:variant>
      <vt:variant>
        <vt:lpwstr>https://www.cdc.gov/disability-and-health/about/?CDC_AAref_Val=https://www.cdc.gov/ncbddd/disabilityandhealth/disability.html</vt:lpwstr>
      </vt:variant>
      <vt:variant>
        <vt:lpwstr/>
      </vt:variant>
      <vt:variant>
        <vt:i4>3801188</vt:i4>
      </vt:variant>
      <vt:variant>
        <vt:i4>1974</vt:i4>
      </vt:variant>
      <vt:variant>
        <vt:i4>0</vt:i4>
      </vt:variant>
      <vt:variant>
        <vt:i4>5</vt:i4>
      </vt:variant>
      <vt:variant>
        <vt:lpwstr>https://fenwayhealth.org/wp-content/uploads/TFI-54_SOGI-Data-Collection-Series-of-3-Tip-Sheets-for-pride-month_NutsAndBolts.pdf</vt:lpwstr>
      </vt:variant>
      <vt:variant>
        <vt:lpwstr/>
      </vt:variant>
      <vt:variant>
        <vt:i4>7012451</vt:i4>
      </vt:variant>
      <vt:variant>
        <vt:i4>1971</vt:i4>
      </vt:variant>
      <vt:variant>
        <vt:i4>0</vt:i4>
      </vt:variant>
      <vt:variant>
        <vt:i4>5</vt:i4>
      </vt:variant>
      <vt:variant>
        <vt:lpwstr>https://www.cdc.gov/sti/hcp/clinical-guidance/taking-a-sexual-history.html</vt:lpwstr>
      </vt:variant>
      <vt:variant>
        <vt:lpwstr/>
      </vt:variant>
      <vt:variant>
        <vt:i4>3473529</vt:i4>
      </vt:variant>
      <vt:variant>
        <vt:i4>1968</vt:i4>
      </vt:variant>
      <vt:variant>
        <vt:i4>0</vt:i4>
      </vt:variant>
      <vt:variant>
        <vt:i4>5</vt:i4>
      </vt:variant>
      <vt:variant>
        <vt:lpwstr>https://www.cms.gov/priorities/health-equity/minority-health/research-data/research-data/tools</vt:lpwstr>
      </vt:variant>
      <vt:variant>
        <vt:lpwstr/>
      </vt:variant>
      <vt:variant>
        <vt:i4>589854</vt:i4>
      </vt:variant>
      <vt:variant>
        <vt:i4>1965</vt:i4>
      </vt:variant>
      <vt:variant>
        <vt:i4>0</vt:i4>
      </vt:variant>
      <vt:variant>
        <vt:i4>5</vt:i4>
      </vt:variant>
      <vt:variant>
        <vt:lpwstr>https://torontohealthequity.ca/training/</vt:lpwstr>
      </vt:variant>
      <vt:variant>
        <vt:lpwstr/>
      </vt:variant>
      <vt:variant>
        <vt:i4>2031694</vt:i4>
      </vt:variant>
      <vt:variant>
        <vt:i4>1962</vt:i4>
      </vt:variant>
      <vt:variant>
        <vt:i4>0</vt:i4>
      </vt:variant>
      <vt:variant>
        <vt:i4>5</vt:i4>
      </vt:variant>
      <vt:variant>
        <vt:lpwstr>https://www.irs.gov/charities-non-profits/financial-assistance-policy-and-emergency-medical-care-policy-section-501r4</vt:lpwstr>
      </vt:variant>
      <vt:variant>
        <vt:lpwstr/>
      </vt:variant>
      <vt:variant>
        <vt:i4>2752565</vt:i4>
      </vt:variant>
      <vt:variant>
        <vt:i4>1959</vt:i4>
      </vt:variant>
      <vt:variant>
        <vt:i4>0</vt:i4>
      </vt:variant>
      <vt:variant>
        <vt:i4>5</vt:i4>
      </vt:variant>
      <vt:variant>
        <vt:lpwstr>https://www.hfma.org/finance-and-business-strategy/advancing-healthcare-access/</vt:lpwstr>
      </vt:variant>
      <vt:variant>
        <vt:lpwstr/>
      </vt:variant>
      <vt:variant>
        <vt:i4>1900618</vt:i4>
      </vt:variant>
      <vt:variant>
        <vt:i4>1956</vt:i4>
      </vt:variant>
      <vt:variant>
        <vt:i4>0</vt:i4>
      </vt:variant>
      <vt:variant>
        <vt:i4>5</vt:i4>
      </vt:variant>
      <vt:variant>
        <vt:lpwstr>https://www.cms.gov/files/document/nsa-sample-good-faith-estimate.pdf</vt:lpwstr>
      </vt:variant>
      <vt:variant>
        <vt:lpwstr/>
      </vt:variant>
      <vt:variant>
        <vt:i4>852052</vt:i4>
      </vt:variant>
      <vt:variant>
        <vt:i4>1953</vt:i4>
      </vt:variant>
      <vt:variant>
        <vt:i4>0</vt:i4>
      </vt:variant>
      <vt:variant>
        <vt:i4>5</vt:i4>
      </vt:variant>
      <vt:variant>
        <vt:lpwstr>https://unduemedicaldebt.org/contact/</vt:lpwstr>
      </vt:variant>
      <vt:variant>
        <vt:lpwstr/>
      </vt:variant>
      <vt:variant>
        <vt:i4>6619177</vt:i4>
      </vt:variant>
      <vt:variant>
        <vt:i4>1950</vt:i4>
      </vt:variant>
      <vt:variant>
        <vt:i4>0</vt:i4>
      </vt:variant>
      <vt:variant>
        <vt:i4>5</vt:i4>
      </vt:variant>
      <vt:variant>
        <vt:lpwstr>https://www.monhealth.com/main/rapid-response-team</vt:lpwstr>
      </vt:variant>
      <vt:variant>
        <vt:lpwstr/>
      </vt:variant>
      <vt:variant>
        <vt:i4>327771</vt:i4>
      </vt:variant>
      <vt:variant>
        <vt:i4>1947</vt:i4>
      </vt:variant>
      <vt:variant>
        <vt:i4>0</vt:i4>
      </vt:variant>
      <vt:variant>
        <vt:i4>5</vt:i4>
      </vt:variant>
      <vt:variant>
        <vt:lpwstr>https://www.upmc.com/about/why-upmc/quality/patient-safety/condition-help</vt:lpwstr>
      </vt:variant>
      <vt:variant>
        <vt:lpwstr/>
      </vt:variant>
      <vt:variant>
        <vt:i4>91</vt:i4>
      </vt:variant>
      <vt:variant>
        <vt:i4>1944</vt:i4>
      </vt:variant>
      <vt:variant>
        <vt:i4>0</vt:i4>
      </vt:variant>
      <vt:variant>
        <vt:i4>5</vt:i4>
      </vt:variant>
      <vt:variant>
        <vt:lpwstr>https://certification.osteopathic.org/about/</vt:lpwstr>
      </vt:variant>
      <vt:variant>
        <vt:lpwstr/>
      </vt:variant>
      <vt:variant>
        <vt:i4>917588</vt:i4>
      </vt:variant>
      <vt:variant>
        <vt:i4>1941</vt:i4>
      </vt:variant>
      <vt:variant>
        <vt:i4>0</vt:i4>
      </vt:variant>
      <vt:variant>
        <vt:i4>5</vt:i4>
      </vt:variant>
      <vt:variant>
        <vt:lpwstr>https://www.abms.org/board-certification/board-certification-requirements/board-eligibility/</vt:lpwstr>
      </vt:variant>
      <vt:variant>
        <vt:lpwstr/>
      </vt:variant>
      <vt:variant>
        <vt:i4>7929964</vt:i4>
      </vt:variant>
      <vt:variant>
        <vt:i4>1938</vt:i4>
      </vt:variant>
      <vt:variant>
        <vt:i4>0</vt:i4>
      </vt:variant>
      <vt:variant>
        <vt:i4>5</vt:i4>
      </vt:variant>
      <vt:variant>
        <vt:lpwstr>https://www.leapfroggroup.org/survey-materials/review-nhsn-instructions</vt:lpwstr>
      </vt:variant>
      <vt:variant>
        <vt:lpwstr/>
      </vt:variant>
      <vt:variant>
        <vt:i4>7929964</vt:i4>
      </vt:variant>
      <vt:variant>
        <vt:i4>1935</vt:i4>
      </vt:variant>
      <vt:variant>
        <vt:i4>0</vt:i4>
      </vt:variant>
      <vt:variant>
        <vt:i4>5</vt:i4>
      </vt:variant>
      <vt:variant>
        <vt:lpwstr>https://www.leapfroggroup.org/survey-materials/review-nhsn-instructions</vt:lpwstr>
      </vt:variant>
      <vt:variant>
        <vt:lpwstr/>
      </vt:variant>
      <vt:variant>
        <vt:i4>7929964</vt:i4>
      </vt:variant>
      <vt:variant>
        <vt:i4>1932</vt:i4>
      </vt:variant>
      <vt:variant>
        <vt:i4>0</vt:i4>
      </vt:variant>
      <vt:variant>
        <vt:i4>5</vt:i4>
      </vt:variant>
      <vt:variant>
        <vt:lpwstr>https://www.leapfroggroup.org/survey-materials/review-nhsn-instructions</vt:lpwstr>
      </vt:variant>
      <vt:variant>
        <vt:lpwstr/>
      </vt:variant>
      <vt:variant>
        <vt:i4>7929964</vt:i4>
      </vt:variant>
      <vt:variant>
        <vt:i4>1929</vt:i4>
      </vt:variant>
      <vt:variant>
        <vt:i4>0</vt:i4>
      </vt:variant>
      <vt:variant>
        <vt:i4>5</vt:i4>
      </vt:variant>
      <vt:variant>
        <vt:lpwstr>https://www.leapfroggroup.org/survey-materials/review-nhsn-instructions</vt:lpwstr>
      </vt:variant>
      <vt:variant>
        <vt:lpwstr/>
      </vt:variant>
      <vt:variant>
        <vt:i4>6881372</vt:i4>
      </vt:variant>
      <vt:variant>
        <vt:i4>1926</vt:i4>
      </vt:variant>
      <vt:variant>
        <vt:i4>0</vt:i4>
      </vt:variant>
      <vt:variant>
        <vt:i4>5</vt:i4>
      </vt:variant>
      <vt:variant>
        <vt:lpwstr/>
      </vt:variant>
      <vt:variant>
        <vt:lpwstr>_5C:_Nursing_Workforce</vt:lpwstr>
      </vt:variant>
      <vt:variant>
        <vt:i4>1638435</vt:i4>
      </vt:variant>
      <vt:variant>
        <vt:i4>1923</vt:i4>
      </vt:variant>
      <vt:variant>
        <vt:i4>0</vt:i4>
      </vt:variant>
      <vt:variant>
        <vt:i4>5</vt:i4>
      </vt:variant>
      <vt:variant>
        <vt:lpwstr>https://www.cdc.gov/nhsn/forms/instr/57_103-TOI.pdf</vt:lpwstr>
      </vt:variant>
      <vt:variant>
        <vt:lpwstr/>
      </vt:variant>
      <vt:variant>
        <vt:i4>7798907</vt:i4>
      </vt:variant>
      <vt:variant>
        <vt:i4>1920</vt:i4>
      </vt:variant>
      <vt:variant>
        <vt:i4>0</vt:i4>
      </vt:variant>
      <vt:variant>
        <vt:i4>5</vt:i4>
      </vt:variant>
      <vt:variant>
        <vt:lpwstr>http://leapfroggroup.org/survey-materials/multi-campus-reporting-policy</vt:lpwstr>
      </vt:variant>
      <vt:variant>
        <vt:lpwstr/>
      </vt:variant>
      <vt:variant>
        <vt:i4>3670139</vt:i4>
      </vt:variant>
      <vt:variant>
        <vt:i4>1917</vt:i4>
      </vt:variant>
      <vt:variant>
        <vt:i4>0</vt:i4>
      </vt:variant>
      <vt:variant>
        <vt:i4>5</vt:i4>
      </vt:variant>
      <vt:variant>
        <vt:lpwstr>https://nahq.org/credentials/cphq-certified-professional-in-healthcare-quality/</vt:lpwstr>
      </vt:variant>
      <vt:variant>
        <vt:lpwstr/>
      </vt:variant>
      <vt:variant>
        <vt:i4>1572864</vt:i4>
      </vt:variant>
      <vt:variant>
        <vt:i4>1914</vt:i4>
      </vt:variant>
      <vt:variant>
        <vt:i4>0</vt:i4>
      </vt:variant>
      <vt:variant>
        <vt:i4>5</vt:i4>
      </vt:variant>
      <vt:variant>
        <vt:lpwstr/>
      </vt:variant>
      <vt:variant>
        <vt:lpwstr>ICInterpreter</vt:lpwstr>
      </vt:variant>
      <vt:variant>
        <vt:i4>1638429</vt:i4>
      </vt:variant>
      <vt:variant>
        <vt:i4>1911</vt:i4>
      </vt:variant>
      <vt:variant>
        <vt:i4>0</vt:i4>
      </vt:variant>
      <vt:variant>
        <vt:i4>5</vt:i4>
      </vt:variant>
      <vt:variant>
        <vt:lpwstr/>
      </vt:variant>
      <vt:variant>
        <vt:lpwstr>readinglevel</vt:lpwstr>
      </vt:variant>
      <vt:variant>
        <vt:i4>3473471</vt:i4>
      </vt:variant>
      <vt:variant>
        <vt:i4>1908</vt:i4>
      </vt:variant>
      <vt:variant>
        <vt:i4>0</vt:i4>
      </vt:variant>
      <vt:variant>
        <vt:i4>5</vt:i4>
      </vt:variant>
      <vt:variant>
        <vt:lpwstr/>
      </vt:variant>
      <vt:variant>
        <vt:lpwstr>_Informed_Consent</vt:lpwstr>
      </vt:variant>
      <vt:variant>
        <vt:i4>3473471</vt:i4>
      </vt:variant>
      <vt:variant>
        <vt:i4>1905</vt:i4>
      </vt:variant>
      <vt:variant>
        <vt:i4>0</vt:i4>
      </vt:variant>
      <vt:variant>
        <vt:i4>5</vt:i4>
      </vt:variant>
      <vt:variant>
        <vt:lpwstr/>
      </vt:variant>
      <vt:variant>
        <vt:lpwstr>_Informed_Consent</vt:lpwstr>
      </vt:variant>
      <vt:variant>
        <vt:i4>7798907</vt:i4>
      </vt:variant>
      <vt:variant>
        <vt:i4>1902</vt:i4>
      </vt:variant>
      <vt:variant>
        <vt:i4>0</vt:i4>
      </vt:variant>
      <vt:variant>
        <vt:i4>5</vt:i4>
      </vt:variant>
      <vt:variant>
        <vt:lpwstr>http://leapfroggroup.org/survey-materials/multi-campus-reporting-policy</vt:lpwstr>
      </vt:variant>
      <vt:variant>
        <vt:lpwstr/>
      </vt:variant>
      <vt:variant>
        <vt:i4>1966106</vt:i4>
      </vt:variant>
      <vt:variant>
        <vt:i4>1899</vt:i4>
      </vt:variant>
      <vt:variant>
        <vt:i4>0</vt:i4>
      </vt:variant>
      <vt:variant>
        <vt:i4>5</vt:i4>
      </vt:variant>
      <vt:variant>
        <vt:lpwstr/>
      </vt:variant>
      <vt:variant>
        <vt:lpwstr>inadequatedatafaq</vt:lpwstr>
      </vt:variant>
      <vt:variant>
        <vt:i4>2162778</vt:i4>
      </vt:variant>
      <vt:variant>
        <vt:i4>1896</vt:i4>
      </vt:variant>
      <vt:variant>
        <vt:i4>0</vt:i4>
      </vt:variant>
      <vt:variant>
        <vt:i4>5</vt:i4>
      </vt:variant>
      <vt:variant>
        <vt:lpwstr/>
      </vt:variant>
      <vt:variant>
        <vt:lpwstr>abilitystatus_1c</vt:lpwstr>
      </vt:variant>
      <vt:variant>
        <vt:i4>6946915</vt:i4>
      </vt:variant>
      <vt:variant>
        <vt:i4>1893</vt:i4>
      </vt:variant>
      <vt:variant>
        <vt:i4>0</vt:i4>
      </vt:variant>
      <vt:variant>
        <vt:i4>5</vt:i4>
      </vt:variant>
      <vt:variant>
        <vt:lpwstr/>
      </vt:variant>
      <vt:variant>
        <vt:lpwstr>directlyfrompatientsfaq</vt:lpwstr>
      </vt:variant>
      <vt:variant>
        <vt:i4>4325480</vt:i4>
      </vt:variant>
      <vt:variant>
        <vt:i4>1890</vt:i4>
      </vt:variant>
      <vt:variant>
        <vt:i4>0</vt:i4>
      </vt:variant>
      <vt:variant>
        <vt:i4>5</vt:i4>
      </vt:variant>
      <vt:variant>
        <vt:lpwstr/>
      </vt:variant>
      <vt:variant>
        <vt:lpwstr>_Health_Care_Equity</vt:lpwstr>
      </vt:variant>
      <vt:variant>
        <vt:i4>7798907</vt:i4>
      </vt:variant>
      <vt:variant>
        <vt:i4>1887</vt:i4>
      </vt:variant>
      <vt:variant>
        <vt:i4>0</vt:i4>
      </vt:variant>
      <vt:variant>
        <vt:i4>5</vt:i4>
      </vt:variant>
      <vt:variant>
        <vt:lpwstr>http://leapfroggroup.org/survey-materials/multi-campus-reporting-policy</vt:lpwstr>
      </vt:variant>
      <vt:variant>
        <vt:lpwstr/>
      </vt:variant>
      <vt:variant>
        <vt:i4>1441812</vt:i4>
      </vt:variant>
      <vt:variant>
        <vt:i4>1884</vt:i4>
      </vt:variant>
      <vt:variant>
        <vt:i4>0</vt:i4>
      </vt:variant>
      <vt:variant>
        <vt:i4>5</vt:i4>
      </vt:variant>
      <vt:variant>
        <vt:lpwstr/>
      </vt:variant>
      <vt:variant>
        <vt:lpwstr>goodfaithestimate</vt:lpwstr>
      </vt:variant>
      <vt:variant>
        <vt:i4>7077957</vt:i4>
      </vt:variant>
      <vt:variant>
        <vt:i4>1881</vt:i4>
      </vt:variant>
      <vt:variant>
        <vt:i4>0</vt:i4>
      </vt:variant>
      <vt:variant>
        <vt:i4>5</vt:i4>
      </vt:variant>
      <vt:variant>
        <vt:lpwstr/>
      </vt:variant>
      <vt:variant>
        <vt:lpwstr>_Person-Centered_Care:_Billing</vt:lpwstr>
      </vt:variant>
      <vt:variant>
        <vt:i4>7077957</vt:i4>
      </vt:variant>
      <vt:variant>
        <vt:i4>1878</vt:i4>
      </vt:variant>
      <vt:variant>
        <vt:i4>0</vt:i4>
      </vt:variant>
      <vt:variant>
        <vt:i4>5</vt:i4>
      </vt:variant>
      <vt:variant>
        <vt:lpwstr/>
      </vt:variant>
      <vt:variant>
        <vt:lpwstr>_Person-Centered_Care:_Billing</vt:lpwstr>
      </vt:variant>
      <vt:variant>
        <vt:i4>5963830</vt:i4>
      </vt:variant>
      <vt:variant>
        <vt:i4>1872</vt:i4>
      </vt:variant>
      <vt:variant>
        <vt:i4>0</vt:i4>
      </vt:variant>
      <vt:variant>
        <vt:i4>5</vt:i4>
      </vt:variant>
      <vt:variant>
        <vt:lpwstr/>
      </vt:variant>
      <vt:variant>
        <vt:lpwstr>_Section_1B:_Person-Centered</vt:lpwstr>
      </vt:variant>
      <vt:variant>
        <vt:i4>7798907</vt:i4>
      </vt:variant>
      <vt:variant>
        <vt:i4>1869</vt:i4>
      </vt:variant>
      <vt:variant>
        <vt:i4>0</vt:i4>
      </vt:variant>
      <vt:variant>
        <vt:i4>5</vt:i4>
      </vt:variant>
      <vt:variant>
        <vt:lpwstr>http://leapfroggroup.org/survey-materials/multi-campus-reporting-policy</vt:lpwstr>
      </vt:variant>
      <vt:variant>
        <vt:lpwstr/>
      </vt:variant>
      <vt:variant>
        <vt:i4>7340136</vt:i4>
      </vt:variant>
      <vt:variant>
        <vt:i4>1866</vt:i4>
      </vt:variant>
      <vt:variant>
        <vt:i4>0</vt:i4>
      </vt:variant>
      <vt:variant>
        <vt:i4>5</vt:i4>
      </vt:variant>
      <vt:variant>
        <vt:lpwstr/>
      </vt:variant>
      <vt:variant>
        <vt:lpwstr>neonatalICU</vt:lpwstr>
      </vt:variant>
      <vt:variant>
        <vt:i4>7340136</vt:i4>
      </vt:variant>
      <vt:variant>
        <vt:i4>1863</vt:i4>
      </vt:variant>
      <vt:variant>
        <vt:i4>0</vt:i4>
      </vt:variant>
      <vt:variant>
        <vt:i4>5</vt:i4>
      </vt:variant>
      <vt:variant>
        <vt:lpwstr/>
      </vt:variant>
      <vt:variant>
        <vt:lpwstr>neonatalICU</vt:lpwstr>
      </vt:variant>
      <vt:variant>
        <vt:i4>196616</vt:i4>
      </vt:variant>
      <vt:variant>
        <vt:i4>1860</vt:i4>
      </vt:variant>
      <vt:variant>
        <vt:i4>0</vt:i4>
      </vt:variant>
      <vt:variant>
        <vt:i4>5</vt:i4>
      </vt:variant>
      <vt:variant>
        <vt:lpwstr/>
      </vt:variant>
      <vt:variant>
        <vt:lpwstr>generalmedicalsurgicalandneuroicu</vt:lpwstr>
      </vt:variant>
      <vt:variant>
        <vt:i4>917521</vt:i4>
      </vt:variant>
      <vt:variant>
        <vt:i4>1857</vt:i4>
      </vt:variant>
      <vt:variant>
        <vt:i4>0</vt:i4>
      </vt:variant>
      <vt:variant>
        <vt:i4>5</vt:i4>
      </vt:variant>
      <vt:variant>
        <vt:lpwstr/>
      </vt:variant>
      <vt:variant>
        <vt:lpwstr>staffedicubed</vt:lpwstr>
      </vt:variant>
      <vt:variant>
        <vt:i4>8257661</vt:i4>
      </vt:variant>
      <vt:variant>
        <vt:i4>1854</vt:i4>
      </vt:variant>
      <vt:variant>
        <vt:i4>0</vt:i4>
      </vt:variant>
      <vt:variant>
        <vt:i4>5</vt:i4>
      </vt:variant>
      <vt:variant>
        <vt:lpwstr/>
      </vt:variant>
      <vt:variant>
        <vt:lpwstr>licensedICUBed</vt:lpwstr>
      </vt:variant>
      <vt:variant>
        <vt:i4>196616</vt:i4>
      </vt:variant>
      <vt:variant>
        <vt:i4>1851</vt:i4>
      </vt:variant>
      <vt:variant>
        <vt:i4>0</vt:i4>
      </vt:variant>
      <vt:variant>
        <vt:i4>5</vt:i4>
      </vt:variant>
      <vt:variant>
        <vt:lpwstr/>
      </vt:variant>
      <vt:variant>
        <vt:lpwstr>generalmedicalsurgicalandneuroicu</vt:lpwstr>
      </vt:variant>
      <vt:variant>
        <vt:i4>917521</vt:i4>
      </vt:variant>
      <vt:variant>
        <vt:i4>1848</vt:i4>
      </vt:variant>
      <vt:variant>
        <vt:i4>0</vt:i4>
      </vt:variant>
      <vt:variant>
        <vt:i4>5</vt:i4>
      </vt:variant>
      <vt:variant>
        <vt:lpwstr/>
      </vt:variant>
      <vt:variant>
        <vt:lpwstr>staffedicubed</vt:lpwstr>
      </vt:variant>
      <vt:variant>
        <vt:i4>8257661</vt:i4>
      </vt:variant>
      <vt:variant>
        <vt:i4>1844</vt:i4>
      </vt:variant>
      <vt:variant>
        <vt:i4>0</vt:i4>
      </vt:variant>
      <vt:variant>
        <vt:i4>5</vt:i4>
      </vt:variant>
      <vt:variant>
        <vt:lpwstr/>
      </vt:variant>
      <vt:variant>
        <vt:lpwstr>licensedICUBed</vt:lpwstr>
      </vt:variant>
      <vt:variant>
        <vt:i4>393270</vt:i4>
      </vt:variant>
      <vt:variant>
        <vt:i4>1842</vt:i4>
      </vt:variant>
      <vt:variant>
        <vt:i4>0</vt:i4>
      </vt:variant>
      <vt:variant>
        <vt:i4>5</vt:i4>
      </vt:variant>
      <vt:variant>
        <vt:lpwstr/>
      </vt:variant>
      <vt:variant>
        <vt:lpwstr>Endnote12_LICU</vt:lpwstr>
      </vt:variant>
      <vt:variant>
        <vt:i4>196616</vt:i4>
      </vt:variant>
      <vt:variant>
        <vt:i4>1839</vt:i4>
      </vt:variant>
      <vt:variant>
        <vt:i4>0</vt:i4>
      </vt:variant>
      <vt:variant>
        <vt:i4>5</vt:i4>
      </vt:variant>
      <vt:variant>
        <vt:lpwstr/>
      </vt:variant>
      <vt:variant>
        <vt:lpwstr>generalmedicalsurgicalandneuroicu</vt:lpwstr>
      </vt:variant>
      <vt:variant>
        <vt:i4>458787</vt:i4>
      </vt:variant>
      <vt:variant>
        <vt:i4>1836</vt:i4>
      </vt:variant>
      <vt:variant>
        <vt:i4>0</vt:i4>
      </vt:variant>
      <vt:variant>
        <vt:i4>5</vt:i4>
      </vt:variant>
      <vt:variant>
        <vt:lpwstr/>
      </vt:variant>
      <vt:variant>
        <vt:lpwstr>Endnote11_PedAdmits</vt:lpwstr>
      </vt:variant>
      <vt:variant>
        <vt:i4>6946902</vt:i4>
      </vt:variant>
      <vt:variant>
        <vt:i4>1833</vt:i4>
      </vt:variant>
      <vt:variant>
        <vt:i4>0</vt:i4>
      </vt:variant>
      <vt:variant>
        <vt:i4>5</vt:i4>
      </vt:variant>
      <vt:variant>
        <vt:lpwstr/>
      </vt:variant>
      <vt:variant>
        <vt:lpwstr>Endnote10_AdultAdmits</vt:lpwstr>
      </vt:variant>
      <vt:variant>
        <vt:i4>2621522</vt:i4>
      </vt:variant>
      <vt:variant>
        <vt:i4>1830</vt:i4>
      </vt:variant>
      <vt:variant>
        <vt:i4>0</vt:i4>
      </vt:variant>
      <vt:variant>
        <vt:i4>5</vt:i4>
      </vt:variant>
      <vt:variant>
        <vt:lpwstr/>
      </vt:variant>
      <vt:variant>
        <vt:lpwstr>Endnote9_Sbeds</vt:lpwstr>
      </vt:variant>
      <vt:variant>
        <vt:i4>1769492</vt:i4>
      </vt:variant>
      <vt:variant>
        <vt:i4>1827</vt:i4>
      </vt:variant>
      <vt:variant>
        <vt:i4>0</vt:i4>
      </vt:variant>
      <vt:variant>
        <vt:i4>5</vt:i4>
      </vt:variant>
      <vt:variant>
        <vt:lpwstr/>
      </vt:variant>
      <vt:variant>
        <vt:lpwstr>LicensedAcuteCareBeds</vt:lpwstr>
      </vt:variant>
      <vt:variant>
        <vt:i4>1441812</vt:i4>
      </vt:variant>
      <vt:variant>
        <vt:i4>1824</vt:i4>
      </vt:variant>
      <vt:variant>
        <vt:i4>0</vt:i4>
      </vt:variant>
      <vt:variant>
        <vt:i4>5</vt:i4>
      </vt:variant>
      <vt:variant>
        <vt:lpwstr/>
      </vt:variant>
      <vt:variant>
        <vt:lpwstr>_Basic_Hospital_Information_1</vt:lpwstr>
      </vt:variant>
      <vt:variant>
        <vt:i4>7798907</vt:i4>
      </vt:variant>
      <vt:variant>
        <vt:i4>1821</vt:i4>
      </vt:variant>
      <vt:variant>
        <vt:i4>0</vt:i4>
      </vt:variant>
      <vt:variant>
        <vt:i4>5</vt:i4>
      </vt:variant>
      <vt:variant>
        <vt:lpwstr>http://leapfroggroup.org/survey-materials/multi-campus-reporting-policy</vt:lpwstr>
      </vt:variant>
      <vt:variant>
        <vt:lpwstr/>
      </vt:variant>
      <vt:variant>
        <vt:i4>5046365</vt:i4>
      </vt:variant>
      <vt:variant>
        <vt:i4>1818</vt:i4>
      </vt:variant>
      <vt:variant>
        <vt:i4>0</vt:i4>
      </vt:variant>
      <vt:variant>
        <vt:i4>5</vt:i4>
      </vt:variant>
      <vt:variant>
        <vt:lpwstr>http://www.leapfroggroup.org/survey-materials/scoring-and-results</vt:lpwstr>
      </vt:variant>
      <vt:variant>
        <vt:lpwstr/>
      </vt:variant>
      <vt:variant>
        <vt:i4>5439565</vt:i4>
      </vt:variant>
      <vt:variant>
        <vt:i4>1815</vt:i4>
      </vt:variant>
      <vt:variant>
        <vt:i4>0</vt:i4>
      </vt:variant>
      <vt:variant>
        <vt:i4>5</vt:i4>
      </vt:variant>
      <vt:variant>
        <vt:lpwstr>https://ratings.leapfroggroup.org/measure/hospital/2025/informed-consent</vt:lpwstr>
      </vt:variant>
      <vt:variant>
        <vt:lpwstr/>
      </vt:variant>
      <vt:variant>
        <vt:i4>8060986</vt:i4>
      </vt:variant>
      <vt:variant>
        <vt:i4>1812</vt:i4>
      </vt:variant>
      <vt:variant>
        <vt:i4>0</vt:i4>
      </vt:variant>
      <vt:variant>
        <vt:i4>5</vt:i4>
      </vt:variant>
      <vt:variant>
        <vt:lpwstr>https://ratings.leapfroggroup.org/measure/hospital/2025/health-care-equity</vt:lpwstr>
      </vt:variant>
      <vt:variant>
        <vt:lpwstr/>
      </vt:variant>
      <vt:variant>
        <vt:i4>7274596</vt:i4>
      </vt:variant>
      <vt:variant>
        <vt:i4>1809</vt:i4>
      </vt:variant>
      <vt:variant>
        <vt:i4>0</vt:i4>
      </vt:variant>
      <vt:variant>
        <vt:i4>5</vt:i4>
      </vt:variant>
      <vt:variant>
        <vt:lpwstr>https://ratings.leapfroggroup.org/measure/hospital/2025/billing-ethics</vt:lpwstr>
      </vt:variant>
      <vt:variant>
        <vt:lpwstr/>
      </vt:variant>
      <vt:variant>
        <vt:i4>1966154</vt:i4>
      </vt:variant>
      <vt:variant>
        <vt:i4>1806</vt:i4>
      </vt:variant>
      <vt:variant>
        <vt:i4>0</vt:i4>
      </vt:variant>
      <vt:variant>
        <vt:i4>5</vt:i4>
      </vt:variant>
      <vt:variant>
        <vt:lpwstr>https://leapfroghelpdesk.zendesk.com/</vt:lpwstr>
      </vt:variant>
      <vt:variant>
        <vt:lpwstr/>
      </vt:variant>
      <vt:variant>
        <vt:i4>2490457</vt:i4>
      </vt:variant>
      <vt:variant>
        <vt:i4>1803</vt:i4>
      </vt:variant>
      <vt:variant>
        <vt:i4>0</vt:i4>
      </vt:variant>
      <vt:variant>
        <vt:i4>5</vt:i4>
      </vt:variant>
      <vt:variant>
        <vt:lpwstr/>
      </vt:variant>
      <vt:variant>
        <vt:lpwstr>Endnote7_System</vt:lpwstr>
      </vt:variant>
      <vt:variant>
        <vt:i4>5701681</vt:i4>
      </vt:variant>
      <vt:variant>
        <vt:i4>1800</vt:i4>
      </vt:variant>
      <vt:variant>
        <vt:i4>0</vt:i4>
      </vt:variant>
      <vt:variant>
        <vt:i4>5</vt:i4>
      </vt:variant>
      <vt:variant>
        <vt:lpwstr/>
      </vt:variant>
      <vt:variant>
        <vt:lpwstr>Endnote6_Web</vt:lpwstr>
      </vt:variant>
      <vt:variant>
        <vt:i4>3539028</vt:i4>
      </vt:variant>
      <vt:variant>
        <vt:i4>1797</vt:i4>
      </vt:variant>
      <vt:variant>
        <vt:i4>0</vt:i4>
      </vt:variant>
      <vt:variant>
        <vt:i4>5</vt:i4>
      </vt:variant>
      <vt:variant>
        <vt:lpwstr/>
      </vt:variant>
      <vt:variant>
        <vt:lpwstr>Endnote5_State</vt:lpwstr>
      </vt:variant>
      <vt:variant>
        <vt:i4>1966154</vt:i4>
      </vt:variant>
      <vt:variant>
        <vt:i4>1794</vt:i4>
      </vt:variant>
      <vt:variant>
        <vt:i4>0</vt:i4>
      </vt:variant>
      <vt:variant>
        <vt:i4>5</vt:i4>
      </vt:variant>
      <vt:variant>
        <vt:lpwstr>https://leapfroghelpdesk.zendesk.com/</vt:lpwstr>
      </vt:variant>
      <vt:variant>
        <vt:lpwstr/>
      </vt:variant>
      <vt:variant>
        <vt:i4>4653092</vt:i4>
      </vt:variant>
      <vt:variant>
        <vt:i4>1791</vt:i4>
      </vt:variant>
      <vt:variant>
        <vt:i4>0</vt:i4>
      </vt:variant>
      <vt:variant>
        <vt:i4>5</vt:i4>
      </vt:variant>
      <vt:variant>
        <vt:lpwstr/>
      </vt:variant>
      <vt:variant>
        <vt:lpwstr>Endnote4_NPI</vt:lpwstr>
      </vt:variant>
      <vt:variant>
        <vt:i4>6094909</vt:i4>
      </vt:variant>
      <vt:variant>
        <vt:i4>1788</vt:i4>
      </vt:variant>
      <vt:variant>
        <vt:i4>0</vt:i4>
      </vt:variant>
      <vt:variant>
        <vt:i4>5</vt:i4>
      </vt:variant>
      <vt:variant>
        <vt:lpwstr/>
      </vt:variant>
      <vt:variant>
        <vt:lpwstr>Endnote3_TIN</vt:lpwstr>
      </vt:variant>
      <vt:variant>
        <vt:i4>3866706</vt:i4>
      </vt:variant>
      <vt:variant>
        <vt:i4>1785</vt:i4>
      </vt:variant>
      <vt:variant>
        <vt:i4>0</vt:i4>
      </vt:variant>
      <vt:variant>
        <vt:i4>5</vt:i4>
      </vt:variant>
      <vt:variant>
        <vt:lpwstr/>
      </vt:variant>
      <vt:variant>
        <vt:lpwstr>Endnote3_VonID</vt:lpwstr>
      </vt:variant>
      <vt:variant>
        <vt:i4>3276882</vt:i4>
      </vt:variant>
      <vt:variant>
        <vt:i4>1782</vt:i4>
      </vt:variant>
      <vt:variant>
        <vt:i4>0</vt:i4>
      </vt:variant>
      <vt:variant>
        <vt:i4>5</vt:i4>
      </vt:variant>
      <vt:variant>
        <vt:lpwstr/>
      </vt:variant>
      <vt:variant>
        <vt:lpwstr>Endnote2_NHSNID</vt:lpwstr>
      </vt:variant>
      <vt:variant>
        <vt:i4>1966154</vt:i4>
      </vt:variant>
      <vt:variant>
        <vt:i4>1779</vt:i4>
      </vt:variant>
      <vt:variant>
        <vt:i4>0</vt:i4>
      </vt:variant>
      <vt:variant>
        <vt:i4>5</vt:i4>
      </vt:variant>
      <vt:variant>
        <vt:lpwstr>https://leapfroghelpdesk.zendesk.com/</vt:lpwstr>
      </vt:variant>
      <vt:variant>
        <vt:lpwstr/>
      </vt:variant>
      <vt:variant>
        <vt:i4>4718647</vt:i4>
      </vt:variant>
      <vt:variant>
        <vt:i4>1776</vt:i4>
      </vt:variant>
      <vt:variant>
        <vt:i4>0</vt:i4>
      </vt:variant>
      <vt:variant>
        <vt:i4>5</vt:i4>
      </vt:variant>
      <vt:variant>
        <vt:lpwstr/>
      </vt:variant>
      <vt:variant>
        <vt:lpwstr>Endnote1_CCN</vt:lpwstr>
      </vt:variant>
      <vt:variant>
        <vt:i4>786496</vt:i4>
      </vt:variant>
      <vt:variant>
        <vt:i4>1773</vt:i4>
      </vt:variant>
      <vt:variant>
        <vt:i4>0</vt:i4>
      </vt:variant>
      <vt:variant>
        <vt:i4>5</vt:i4>
      </vt:variant>
      <vt:variant>
        <vt:lpwstr>https://www.leapfroggroup.org/survey-materials/data-accuracy</vt:lpwstr>
      </vt:variant>
      <vt:variant>
        <vt:lpwstr/>
      </vt:variant>
      <vt:variant>
        <vt:i4>7798907</vt:i4>
      </vt:variant>
      <vt:variant>
        <vt:i4>1770</vt:i4>
      </vt:variant>
      <vt:variant>
        <vt:i4>0</vt:i4>
      </vt:variant>
      <vt:variant>
        <vt:i4>5</vt:i4>
      </vt:variant>
      <vt:variant>
        <vt:lpwstr>http://leapfroggroup.org/survey-materials/multi-campus-reporting-policy</vt:lpwstr>
      </vt:variant>
      <vt:variant>
        <vt:lpwstr/>
      </vt:variant>
      <vt:variant>
        <vt:i4>7274602</vt:i4>
      </vt:variant>
      <vt:variant>
        <vt:i4>1767</vt:i4>
      </vt:variant>
      <vt:variant>
        <vt:i4>0</vt:i4>
      </vt:variant>
      <vt:variant>
        <vt:i4>5</vt:i4>
      </vt:variant>
      <vt:variant>
        <vt:lpwstr>https://survey.leapfroggroup.org/dashboard</vt:lpwstr>
      </vt:variant>
      <vt:variant>
        <vt:lpwstr/>
      </vt:variant>
      <vt:variant>
        <vt:i4>5701759</vt:i4>
      </vt:variant>
      <vt:variant>
        <vt:i4>1764</vt:i4>
      </vt:variant>
      <vt:variant>
        <vt:i4>0</vt:i4>
      </vt:variant>
      <vt:variant>
        <vt:i4>5</vt:i4>
      </vt:variant>
      <vt:variant>
        <vt:lpwstr/>
      </vt:variant>
      <vt:variant>
        <vt:lpwstr>emergencydepartment_endnote</vt:lpwstr>
      </vt:variant>
      <vt:variant>
        <vt:i4>5701759</vt:i4>
      </vt:variant>
      <vt:variant>
        <vt:i4>1761</vt:i4>
      </vt:variant>
      <vt:variant>
        <vt:i4>0</vt:i4>
      </vt:variant>
      <vt:variant>
        <vt:i4>5</vt:i4>
      </vt:variant>
      <vt:variant>
        <vt:lpwstr/>
      </vt:variant>
      <vt:variant>
        <vt:lpwstr>emergencydepartment_endnote</vt:lpwstr>
      </vt:variant>
      <vt:variant>
        <vt:i4>2031636</vt:i4>
      </vt:variant>
      <vt:variant>
        <vt:i4>1758</vt:i4>
      </vt:variant>
      <vt:variant>
        <vt:i4>0</vt:i4>
      </vt:variant>
      <vt:variant>
        <vt:i4>5</vt:i4>
      </vt:variant>
      <vt:variant>
        <vt:lpwstr/>
      </vt:variant>
      <vt:variant>
        <vt:lpwstr>pacusendnote</vt:lpwstr>
      </vt:variant>
      <vt:variant>
        <vt:i4>7340136</vt:i4>
      </vt:variant>
      <vt:variant>
        <vt:i4>1755</vt:i4>
      </vt:variant>
      <vt:variant>
        <vt:i4>0</vt:i4>
      </vt:variant>
      <vt:variant>
        <vt:i4>5</vt:i4>
      </vt:variant>
      <vt:variant>
        <vt:lpwstr/>
      </vt:variant>
      <vt:variant>
        <vt:lpwstr>neonatalICU</vt:lpwstr>
      </vt:variant>
      <vt:variant>
        <vt:i4>196616</vt:i4>
      </vt:variant>
      <vt:variant>
        <vt:i4>1752</vt:i4>
      </vt:variant>
      <vt:variant>
        <vt:i4>0</vt:i4>
      </vt:variant>
      <vt:variant>
        <vt:i4>5</vt:i4>
      </vt:variant>
      <vt:variant>
        <vt:lpwstr/>
      </vt:variant>
      <vt:variant>
        <vt:lpwstr>generalmedicalsurgicalandneuroicu</vt:lpwstr>
      </vt:variant>
      <vt:variant>
        <vt:i4>65538</vt:i4>
      </vt:variant>
      <vt:variant>
        <vt:i4>1749</vt:i4>
      </vt:variant>
      <vt:variant>
        <vt:i4>0</vt:i4>
      </vt:variant>
      <vt:variant>
        <vt:i4>5</vt:i4>
      </vt:variant>
      <vt:variant>
        <vt:lpwstr/>
      </vt:variant>
      <vt:variant>
        <vt:lpwstr>LaborandDeliveryUnits</vt:lpwstr>
      </vt:variant>
      <vt:variant>
        <vt:i4>1310795</vt:i4>
      </vt:variant>
      <vt:variant>
        <vt:i4>1746</vt:i4>
      </vt:variant>
      <vt:variant>
        <vt:i4>0</vt:i4>
      </vt:variant>
      <vt:variant>
        <vt:i4>5</vt:i4>
      </vt:variant>
      <vt:variant>
        <vt:lpwstr/>
      </vt:variant>
      <vt:variant>
        <vt:lpwstr>stepdown_progressiveunits_endnote20</vt:lpwstr>
      </vt:variant>
      <vt:variant>
        <vt:i4>1900562</vt:i4>
      </vt:variant>
      <vt:variant>
        <vt:i4>1743</vt:i4>
      </vt:variant>
      <vt:variant>
        <vt:i4>0</vt:i4>
      </vt:variant>
      <vt:variant>
        <vt:i4>5</vt:i4>
      </vt:variant>
      <vt:variant>
        <vt:lpwstr/>
      </vt:variant>
      <vt:variant>
        <vt:lpwstr>MedicalandorSurgicalUnits</vt:lpwstr>
      </vt:variant>
      <vt:variant>
        <vt:i4>196616</vt:i4>
      </vt:variant>
      <vt:variant>
        <vt:i4>1740</vt:i4>
      </vt:variant>
      <vt:variant>
        <vt:i4>0</vt:i4>
      </vt:variant>
      <vt:variant>
        <vt:i4>5</vt:i4>
      </vt:variant>
      <vt:variant>
        <vt:lpwstr/>
      </vt:variant>
      <vt:variant>
        <vt:lpwstr>generalmedicalsurgicalandneuroicu</vt:lpwstr>
      </vt:variant>
      <vt:variant>
        <vt:i4>196616</vt:i4>
      </vt:variant>
      <vt:variant>
        <vt:i4>1737</vt:i4>
      </vt:variant>
      <vt:variant>
        <vt:i4>0</vt:i4>
      </vt:variant>
      <vt:variant>
        <vt:i4>5</vt:i4>
      </vt:variant>
      <vt:variant>
        <vt:lpwstr/>
      </vt:variant>
      <vt:variant>
        <vt:lpwstr>generalmedicalsurgicalandneuroicu</vt:lpwstr>
      </vt:variant>
      <vt:variant>
        <vt:i4>7340136</vt:i4>
      </vt:variant>
      <vt:variant>
        <vt:i4>1734</vt:i4>
      </vt:variant>
      <vt:variant>
        <vt:i4>0</vt:i4>
      </vt:variant>
      <vt:variant>
        <vt:i4>5</vt:i4>
      </vt:variant>
      <vt:variant>
        <vt:lpwstr/>
      </vt:variant>
      <vt:variant>
        <vt:lpwstr>neonatalICU</vt:lpwstr>
      </vt:variant>
      <vt:variant>
        <vt:i4>1310795</vt:i4>
      </vt:variant>
      <vt:variant>
        <vt:i4>1731</vt:i4>
      </vt:variant>
      <vt:variant>
        <vt:i4>0</vt:i4>
      </vt:variant>
      <vt:variant>
        <vt:i4>5</vt:i4>
      </vt:variant>
      <vt:variant>
        <vt:lpwstr/>
      </vt:variant>
      <vt:variant>
        <vt:lpwstr>stepdown_progressiveunits_endnote20</vt:lpwstr>
      </vt:variant>
      <vt:variant>
        <vt:i4>2031636</vt:i4>
      </vt:variant>
      <vt:variant>
        <vt:i4>1728</vt:i4>
      </vt:variant>
      <vt:variant>
        <vt:i4>0</vt:i4>
      </vt:variant>
      <vt:variant>
        <vt:i4>5</vt:i4>
      </vt:variant>
      <vt:variant>
        <vt:lpwstr/>
      </vt:variant>
      <vt:variant>
        <vt:lpwstr>pacusendnote</vt:lpwstr>
      </vt:variant>
      <vt:variant>
        <vt:i4>65538</vt:i4>
      </vt:variant>
      <vt:variant>
        <vt:i4>1725</vt:i4>
      </vt:variant>
      <vt:variant>
        <vt:i4>0</vt:i4>
      </vt:variant>
      <vt:variant>
        <vt:i4>5</vt:i4>
      </vt:variant>
      <vt:variant>
        <vt:lpwstr/>
      </vt:variant>
      <vt:variant>
        <vt:lpwstr>LaborandDeliveryUnits</vt:lpwstr>
      </vt:variant>
      <vt:variant>
        <vt:i4>1310795</vt:i4>
      </vt:variant>
      <vt:variant>
        <vt:i4>1722</vt:i4>
      </vt:variant>
      <vt:variant>
        <vt:i4>0</vt:i4>
      </vt:variant>
      <vt:variant>
        <vt:i4>5</vt:i4>
      </vt:variant>
      <vt:variant>
        <vt:lpwstr/>
      </vt:variant>
      <vt:variant>
        <vt:lpwstr>stepdown_progressiveunits_endnote20</vt:lpwstr>
      </vt:variant>
      <vt:variant>
        <vt:i4>1900562</vt:i4>
      </vt:variant>
      <vt:variant>
        <vt:i4>1719</vt:i4>
      </vt:variant>
      <vt:variant>
        <vt:i4>0</vt:i4>
      </vt:variant>
      <vt:variant>
        <vt:i4>5</vt:i4>
      </vt:variant>
      <vt:variant>
        <vt:lpwstr/>
      </vt:variant>
      <vt:variant>
        <vt:lpwstr>MedicalandorSurgicalUnits</vt:lpwstr>
      </vt:variant>
      <vt:variant>
        <vt:i4>7340136</vt:i4>
      </vt:variant>
      <vt:variant>
        <vt:i4>1716</vt:i4>
      </vt:variant>
      <vt:variant>
        <vt:i4>0</vt:i4>
      </vt:variant>
      <vt:variant>
        <vt:i4>5</vt:i4>
      </vt:variant>
      <vt:variant>
        <vt:lpwstr/>
      </vt:variant>
      <vt:variant>
        <vt:lpwstr>neonatalICU</vt:lpwstr>
      </vt:variant>
      <vt:variant>
        <vt:i4>196616</vt:i4>
      </vt:variant>
      <vt:variant>
        <vt:i4>1713</vt:i4>
      </vt:variant>
      <vt:variant>
        <vt:i4>0</vt:i4>
      </vt:variant>
      <vt:variant>
        <vt:i4>5</vt:i4>
      </vt:variant>
      <vt:variant>
        <vt:lpwstr/>
      </vt:variant>
      <vt:variant>
        <vt:lpwstr>generalmedicalsurgicalandneuroicu</vt:lpwstr>
      </vt:variant>
      <vt:variant>
        <vt:i4>7340136</vt:i4>
      </vt:variant>
      <vt:variant>
        <vt:i4>1710</vt:i4>
      </vt:variant>
      <vt:variant>
        <vt:i4>0</vt:i4>
      </vt:variant>
      <vt:variant>
        <vt:i4>5</vt:i4>
      </vt:variant>
      <vt:variant>
        <vt:lpwstr/>
      </vt:variant>
      <vt:variant>
        <vt:lpwstr>neonatalICU</vt:lpwstr>
      </vt:variant>
      <vt:variant>
        <vt:i4>196616</vt:i4>
      </vt:variant>
      <vt:variant>
        <vt:i4>1707</vt:i4>
      </vt:variant>
      <vt:variant>
        <vt:i4>0</vt:i4>
      </vt:variant>
      <vt:variant>
        <vt:i4>5</vt:i4>
      </vt:variant>
      <vt:variant>
        <vt:lpwstr/>
      </vt:variant>
      <vt:variant>
        <vt:lpwstr>generalmedicalsurgicalandneuroicu</vt:lpwstr>
      </vt:variant>
      <vt:variant>
        <vt:i4>6422596</vt:i4>
      </vt:variant>
      <vt:variant>
        <vt:i4>1704</vt:i4>
      </vt:variant>
      <vt:variant>
        <vt:i4>0</vt:i4>
      </vt:variant>
      <vt:variant>
        <vt:i4>5</vt:i4>
      </vt:variant>
      <vt:variant>
        <vt:lpwstr/>
      </vt:variant>
      <vt:variant>
        <vt:lpwstr>acutecareunits_endnote1</vt:lpwstr>
      </vt:variant>
      <vt:variant>
        <vt:i4>7929964</vt:i4>
      </vt:variant>
      <vt:variant>
        <vt:i4>1701</vt:i4>
      </vt:variant>
      <vt:variant>
        <vt:i4>0</vt:i4>
      </vt:variant>
      <vt:variant>
        <vt:i4>5</vt:i4>
      </vt:variant>
      <vt:variant>
        <vt:lpwstr>https://www.leapfroggroup.org/survey-materials/review-nhsn-instructions</vt:lpwstr>
      </vt:variant>
      <vt:variant>
        <vt:lpwstr/>
      </vt:variant>
      <vt:variant>
        <vt:i4>1376286</vt:i4>
      </vt:variant>
      <vt:variant>
        <vt:i4>1698</vt:i4>
      </vt:variant>
      <vt:variant>
        <vt:i4>0</vt:i4>
      </vt:variant>
      <vt:variant>
        <vt:i4>5</vt:i4>
      </vt:variant>
      <vt:variant>
        <vt:lpwstr>https://public.vtoxford.org/leapfrog</vt:lpwstr>
      </vt:variant>
      <vt:variant>
        <vt:lpwstr/>
      </vt:variant>
      <vt:variant>
        <vt:i4>4325454</vt:i4>
      </vt:variant>
      <vt:variant>
        <vt:i4>1695</vt:i4>
      </vt:variant>
      <vt:variant>
        <vt:i4>0</vt:i4>
      </vt:variant>
      <vt:variant>
        <vt:i4>5</vt:i4>
      </vt:variant>
      <vt:variant>
        <vt:lpwstr>https://leapfroghelpdesk.zendesk.com/hc/en-us</vt:lpwstr>
      </vt:variant>
      <vt:variant>
        <vt:lpwstr/>
      </vt:variant>
      <vt:variant>
        <vt:i4>1507341</vt:i4>
      </vt:variant>
      <vt:variant>
        <vt:i4>1692</vt:i4>
      </vt:variant>
      <vt:variant>
        <vt:i4>0</vt:i4>
      </vt:variant>
      <vt:variant>
        <vt:i4>5</vt:i4>
      </vt:variant>
      <vt:variant>
        <vt:lpwstr>https://www.leapfroggroup.org/survey-materials/support-health-systems</vt:lpwstr>
      </vt:variant>
      <vt:variant>
        <vt:lpwstr/>
      </vt:variant>
      <vt:variant>
        <vt:i4>1441873</vt:i4>
      </vt:variant>
      <vt:variant>
        <vt:i4>1689</vt:i4>
      </vt:variant>
      <vt:variant>
        <vt:i4>0</vt:i4>
      </vt:variant>
      <vt:variant>
        <vt:i4>5</vt:i4>
      </vt:variant>
      <vt:variant>
        <vt:lpwstr>https://www.leapfroggroup.org/survey-materials/hospital-survey-webinar-series</vt:lpwstr>
      </vt:variant>
      <vt:variant>
        <vt:lpwstr/>
      </vt:variant>
      <vt:variant>
        <vt:i4>6357090</vt:i4>
      </vt:variant>
      <vt:variant>
        <vt:i4>1686</vt:i4>
      </vt:variant>
      <vt:variant>
        <vt:i4>0</vt:i4>
      </vt:variant>
      <vt:variant>
        <vt:i4>5</vt:i4>
      </vt:variant>
      <vt:variant>
        <vt:lpwstr>https://www.leapfroggroup.org/sites/default/files/Files/HelpDeskGuide_HowtoUseZendesk_0.pdf</vt:lpwstr>
      </vt:variant>
      <vt:variant>
        <vt:lpwstr/>
      </vt:variant>
      <vt:variant>
        <vt:i4>4325454</vt:i4>
      </vt:variant>
      <vt:variant>
        <vt:i4>1683</vt:i4>
      </vt:variant>
      <vt:variant>
        <vt:i4>0</vt:i4>
      </vt:variant>
      <vt:variant>
        <vt:i4>5</vt:i4>
      </vt:variant>
      <vt:variant>
        <vt:lpwstr>https://leapfroghelpdesk.zendesk.com/hc/en-us</vt:lpwstr>
      </vt:variant>
      <vt:variant>
        <vt:lpwstr/>
      </vt:variant>
      <vt:variant>
        <vt:i4>4390926</vt:i4>
      </vt:variant>
      <vt:variant>
        <vt:i4>1680</vt:i4>
      </vt:variant>
      <vt:variant>
        <vt:i4>0</vt:i4>
      </vt:variant>
      <vt:variant>
        <vt:i4>5</vt:i4>
      </vt:variant>
      <vt:variant>
        <vt:lpwstr>https://www.leapfroggroup.org/ratings-reports/custom-benchmarking</vt:lpwstr>
      </vt:variant>
      <vt:variant>
        <vt:lpwstr/>
      </vt:variant>
      <vt:variant>
        <vt:i4>3145777</vt:i4>
      </vt:variant>
      <vt:variant>
        <vt:i4>1677</vt:i4>
      </vt:variant>
      <vt:variant>
        <vt:i4>0</vt:i4>
      </vt:variant>
      <vt:variant>
        <vt:i4>5</vt:i4>
      </vt:variant>
      <vt:variant>
        <vt:lpwstr>https://www.leapfroggroup.org/diabetes</vt:lpwstr>
      </vt:variant>
      <vt:variant>
        <vt:lpwstr/>
      </vt:variant>
      <vt:variant>
        <vt:i4>5701721</vt:i4>
      </vt:variant>
      <vt:variant>
        <vt:i4>1674</vt:i4>
      </vt:variant>
      <vt:variant>
        <vt:i4>0</vt:i4>
      </vt:variant>
      <vt:variant>
        <vt:i4>5</vt:i4>
      </vt:variant>
      <vt:variant>
        <vt:lpwstr>https://www.hospitalsafetygrade.org/</vt:lpwstr>
      </vt:variant>
      <vt:variant>
        <vt:lpwstr/>
      </vt:variant>
      <vt:variant>
        <vt:i4>7143466</vt:i4>
      </vt:variant>
      <vt:variant>
        <vt:i4>1671</vt:i4>
      </vt:variant>
      <vt:variant>
        <vt:i4>0</vt:i4>
      </vt:variant>
      <vt:variant>
        <vt:i4>5</vt:i4>
      </vt:variant>
      <vt:variant>
        <vt:lpwstr>https://www.leapfroggroup.org/ratings-reports/top-ascs</vt:lpwstr>
      </vt:variant>
      <vt:variant>
        <vt:lpwstr/>
      </vt:variant>
      <vt:variant>
        <vt:i4>6946875</vt:i4>
      </vt:variant>
      <vt:variant>
        <vt:i4>1668</vt:i4>
      </vt:variant>
      <vt:variant>
        <vt:i4>0</vt:i4>
      </vt:variant>
      <vt:variant>
        <vt:i4>5</vt:i4>
      </vt:variant>
      <vt:variant>
        <vt:lpwstr>https://www.leapfroggroup.org/ratings-reports/top-hospitals</vt:lpwstr>
      </vt:variant>
      <vt:variant>
        <vt:lpwstr/>
      </vt:variant>
      <vt:variant>
        <vt:i4>2359343</vt:i4>
      </vt:variant>
      <vt:variant>
        <vt:i4>1665</vt:i4>
      </vt:variant>
      <vt:variant>
        <vt:i4>0</vt:i4>
      </vt:variant>
      <vt:variant>
        <vt:i4>5</vt:i4>
      </vt:variant>
      <vt:variant>
        <vt:lpwstr>https://ratings.leapfroggroup.org/</vt:lpwstr>
      </vt:variant>
      <vt:variant>
        <vt:lpwstr/>
      </vt:variant>
      <vt:variant>
        <vt:i4>4325443</vt:i4>
      </vt:variant>
      <vt:variant>
        <vt:i4>1662</vt:i4>
      </vt:variant>
      <vt:variant>
        <vt:i4>0</vt:i4>
      </vt:variant>
      <vt:variant>
        <vt:i4>5</vt:i4>
      </vt:variant>
      <vt:variant>
        <vt:lpwstr>http://www.hospitalsafetygrade.org/for-hospitals/HospitalFAQ</vt:lpwstr>
      </vt:variant>
      <vt:variant>
        <vt:lpwstr/>
      </vt:variant>
      <vt:variant>
        <vt:i4>4784215</vt:i4>
      </vt:variant>
      <vt:variant>
        <vt:i4>1659</vt:i4>
      </vt:variant>
      <vt:variant>
        <vt:i4>0</vt:i4>
      </vt:variant>
      <vt:variant>
        <vt:i4>5</vt:i4>
      </vt:variant>
      <vt:variant>
        <vt:lpwstr>http://www.hospitalsafetygrade.org/for-hospitals/updates-and-timelines-for-hospitals</vt:lpwstr>
      </vt:variant>
      <vt:variant>
        <vt:lpwstr/>
      </vt:variant>
      <vt:variant>
        <vt:i4>7929964</vt:i4>
      </vt:variant>
      <vt:variant>
        <vt:i4>1656</vt:i4>
      </vt:variant>
      <vt:variant>
        <vt:i4>0</vt:i4>
      </vt:variant>
      <vt:variant>
        <vt:i4>5</vt:i4>
      </vt:variant>
      <vt:variant>
        <vt:lpwstr>https://www.leapfroggroup.org/survey-materials/review-nhsn-instructions</vt:lpwstr>
      </vt:variant>
      <vt:variant>
        <vt:lpwstr/>
      </vt:variant>
      <vt:variant>
        <vt:i4>2097163</vt:i4>
      </vt:variant>
      <vt:variant>
        <vt:i4>1653</vt:i4>
      </vt:variant>
      <vt:variant>
        <vt:i4>0</vt:i4>
      </vt:variant>
      <vt:variant>
        <vt:i4>5</vt:i4>
      </vt:variant>
      <vt:variant>
        <vt:lpwstr/>
      </vt:variant>
      <vt:variant>
        <vt:lpwstr>_VON_National_Performance</vt:lpwstr>
      </vt:variant>
      <vt:variant>
        <vt:i4>3473529</vt:i4>
      </vt:variant>
      <vt:variant>
        <vt:i4>1650</vt:i4>
      </vt:variant>
      <vt:variant>
        <vt:i4>0</vt:i4>
      </vt:variant>
      <vt:variant>
        <vt:i4>5</vt:i4>
      </vt:variant>
      <vt:variant>
        <vt:lpwstr>http://leapfroggroup.org/survey-materials/deadlines</vt:lpwstr>
      </vt:variant>
      <vt:variant>
        <vt:lpwstr/>
      </vt:variant>
      <vt:variant>
        <vt:i4>3604483</vt:i4>
      </vt:variant>
      <vt:variant>
        <vt:i4>1647</vt:i4>
      </vt:variant>
      <vt:variant>
        <vt:i4>0</vt:i4>
      </vt:variant>
      <vt:variant>
        <vt:i4>5</vt:i4>
      </vt:variant>
      <vt:variant>
        <vt:lpwstr/>
      </vt:variant>
      <vt:variant>
        <vt:lpwstr>_CMS_Measures_Measure</vt:lpwstr>
      </vt:variant>
      <vt:variant>
        <vt:i4>7929964</vt:i4>
      </vt:variant>
      <vt:variant>
        <vt:i4>1644</vt:i4>
      </vt:variant>
      <vt:variant>
        <vt:i4>0</vt:i4>
      </vt:variant>
      <vt:variant>
        <vt:i4>5</vt:i4>
      </vt:variant>
      <vt:variant>
        <vt:lpwstr>https://www.leapfroggroup.org/survey-materials/review-nhsn-instructions</vt:lpwstr>
      </vt:variant>
      <vt:variant>
        <vt:lpwstr/>
      </vt:variant>
      <vt:variant>
        <vt:i4>2097163</vt:i4>
      </vt:variant>
      <vt:variant>
        <vt:i4>1641</vt:i4>
      </vt:variant>
      <vt:variant>
        <vt:i4>0</vt:i4>
      </vt:variant>
      <vt:variant>
        <vt:i4>5</vt:i4>
      </vt:variant>
      <vt:variant>
        <vt:lpwstr/>
      </vt:variant>
      <vt:variant>
        <vt:lpwstr>_VON_National_Performance</vt:lpwstr>
      </vt:variant>
      <vt:variant>
        <vt:i4>5308455</vt:i4>
      </vt:variant>
      <vt:variant>
        <vt:i4>1638</vt:i4>
      </vt:variant>
      <vt:variant>
        <vt:i4>0</vt:i4>
      </vt:variant>
      <vt:variant>
        <vt:i4>5</vt:i4>
      </vt:variant>
      <vt:variant>
        <vt:lpwstr/>
      </vt:variant>
      <vt:variant>
        <vt:lpwstr>_Reporting_Periods_1</vt:lpwstr>
      </vt:variant>
      <vt:variant>
        <vt:i4>2818157</vt:i4>
      </vt:variant>
      <vt:variant>
        <vt:i4>1635</vt:i4>
      </vt:variant>
      <vt:variant>
        <vt:i4>0</vt:i4>
      </vt:variant>
      <vt:variant>
        <vt:i4>5</vt:i4>
      </vt:variant>
      <vt:variant>
        <vt:lpwstr>http://www.leapfroggroup.org/survey-materials/data-accuracy</vt:lpwstr>
      </vt:variant>
      <vt:variant>
        <vt:lpwstr/>
      </vt:variant>
      <vt:variant>
        <vt:i4>1966154</vt:i4>
      </vt:variant>
      <vt:variant>
        <vt:i4>1632</vt:i4>
      </vt:variant>
      <vt:variant>
        <vt:i4>0</vt:i4>
      </vt:variant>
      <vt:variant>
        <vt:i4>5</vt:i4>
      </vt:variant>
      <vt:variant>
        <vt:lpwstr>https://leapfroghelpdesk.zendesk.com/</vt:lpwstr>
      </vt:variant>
      <vt:variant>
        <vt:lpwstr/>
      </vt:variant>
      <vt:variant>
        <vt:i4>1966154</vt:i4>
      </vt:variant>
      <vt:variant>
        <vt:i4>1629</vt:i4>
      </vt:variant>
      <vt:variant>
        <vt:i4>0</vt:i4>
      </vt:variant>
      <vt:variant>
        <vt:i4>5</vt:i4>
      </vt:variant>
      <vt:variant>
        <vt:lpwstr>https://leapfroghelpdesk.zendesk.com/</vt:lpwstr>
      </vt:variant>
      <vt:variant>
        <vt:lpwstr/>
      </vt:variant>
      <vt:variant>
        <vt:i4>2818157</vt:i4>
      </vt:variant>
      <vt:variant>
        <vt:i4>1626</vt:i4>
      </vt:variant>
      <vt:variant>
        <vt:i4>0</vt:i4>
      </vt:variant>
      <vt:variant>
        <vt:i4>5</vt:i4>
      </vt:variant>
      <vt:variant>
        <vt:lpwstr>http://www.leapfroggroup.org/survey-materials/data-accuracy</vt:lpwstr>
      </vt:variant>
      <vt:variant>
        <vt:lpwstr/>
      </vt:variant>
      <vt:variant>
        <vt:i4>2818157</vt:i4>
      </vt:variant>
      <vt:variant>
        <vt:i4>1623</vt:i4>
      </vt:variant>
      <vt:variant>
        <vt:i4>0</vt:i4>
      </vt:variant>
      <vt:variant>
        <vt:i4>5</vt:i4>
      </vt:variant>
      <vt:variant>
        <vt:lpwstr>http://www.leapfroggroup.org/survey-materials/data-accuracy</vt:lpwstr>
      </vt:variant>
      <vt:variant>
        <vt:lpwstr/>
      </vt:variant>
      <vt:variant>
        <vt:i4>524313</vt:i4>
      </vt:variant>
      <vt:variant>
        <vt:i4>1620</vt:i4>
      </vt:variant>
      <vt:variant>
        <vt:i4>0</vt:i4>
      </vt:variant>
      <vt:variant>
        <vt:i4>5</vt:i4>
      </vt:variant>
      <vt:variant>
        <vt:lpwstr/>
      </vt:variant>
      <vt:variant>
        <vt:lpwstr>_Verifying_Submission</vt:lpwstr>
      </vt:variant>
      <vt:variant>
        <vt:i4>786496</vt:i4>
      </vt:variant>
      <vt:variant>
        <vt:i4>1617</vt:i4>
      </vt:variant>
      <vt:variant>
        <vt:i4>0</vt:i4>
      </vt:variant>
      <vt:variant>
        <vt:i4>5</vt:i4>
      </vt:variant>
      <vt:variant>
        <vt:lpwstr>https://www.leapfroggroup.org/survey-materials/data-accuracy</vt:lpwstr>
      </vt:variant>
      <vt:variant>
        <vt:lpwstr/>
      </vt:variant>
      <vt:variant>
        <vt:i4>786496</vt:i4>
      </vt:variant>
      <vt:variant>
        <vt:i4>1614</vt:i4>
      </vt:variant>
      <vt:variant>
        <vt:i4>0</vt:i4>
      </vt:variant>
      <vt:variant>
        <vt:i4>5</vt:i4>
      </vt:variant>
      <vt:variant>
        <vt:lpwstr>https://www.leapfroggroup.org/survey-materials/data-accuracy</vt:lpwstr>
      </vt:variant>
      <vt:variant>
        <vt:lpwstr/>
      </vt:variant>
      <vt:variant>
        <vt:i4>3473440</vt:i4>
      </vt:variant>
      <vt:variant>
        <vt:i4>1611</vt:i4>
      </vt:variant>
      <vt:variant>
        <vt:i4>0</vt:i4>
      </vt:variant>
      <vt:variant>
        <vt:i4>5</vt:i4>
      </vt:variant>
      <vt:variant>
        <vt:lpwstr>http://www.leapfroggroup.org/survey-materials/deadlines</vt:lpwstr>
      </vt:variant>
      <vt:variant>
        <vt:lpwstr/>
      </vt:variant>
      <vt:variant>
        <vt:i4>2359343</vt:i4>
      </vt:variant>
      <vt:variant>
        <vt:i4>1608</vt:i4>
      </vt:variant>
      <vt:variant>
        <vt:i4>0</vt:i4>
      </vt:variant>
      <vt:variant>
        <vt:i4>5</vt:i4>
      </vt:variant>
      <vt:variant>
        <vt:lpwstr>https://ratings.leapfroggroup.org/</vt:lpwstr>
      </vt:variant>
      <vt:variant>
        <vt:lpwstr/>
      </vt:variant>
      <vt:variant>
        <vt:i4>2359343</vt:i4>
      </vt:variant>
      <vt:variant>
        <vt:i4>1605</vt:i4>
      </vt:variant>
      <vt:variant>
        <vt:i4>0</vt:i4>
      </vt:variant>
      <vt:variant>
        <vt:i4>5</vt:i4>
      </vt:variant>
      <vt:variant>
        <vt:lpwstr>https://ratings.leapfroggroup.org/</vt:lpwstr>
      </vt:variant>
      <vt:variant>
        <vt:lpwstr/>
      </vt:variant>
      <vt:variant>
        <vt:i4>7733334</vt:i4>
      </vt:variant>
      <vt:variant>
        <vt:i4>1602</vt:i4>
      </vt:variant>
      <vt:variant>
        <vt:i4>0</vt:i4>
      </vt:variant>
      <vt:variant>
        <vt:i4>5</vt:i4>
      </vt:variant>
      <vt:variant>
        <vt:lpwstr>https://theleapfroggroup.qualtrics.com/jfe/form/SV_0fkafQ61FWboZp4</vt:lpwstr>
      </vt:variant>
      <vt:variant>
        <vt:lpwstr/>
      </vt:variant>
      <vt:variant>
        <vt:i4>4194318</vt:i4>
      </vt:variant>
      <vt:variant>
        <vt:i4>1599</vt:i4>
      </vt:variant>
      <vt:variant>
        <vt:i4>0</vt:i4>
      </vt:variant>
      <vt:variant>
        <vt:i4>5</vt:i4>
      </vt:variant>
      <vt:variant>
        <vt:lpwstr>https://www.leapfroggroup.org/survey-materials/updating-your-hospital-survey</vt:lpwstr>
      </vt:variant>
      <vt:variant>
        <vt:lpwstr/>
      </vt:variant>
      <vt:variant>
        <vt:i4>2818157</vt:i4>
      </vt:variant>
      <vt:variant>
        <vt:i4>1596</vt:i4>
      </vt:variant>
      <vt:variant>
        <vt:i4>0</vt:i4>
      </vt:variant>
      <vt:variant>
        <vt:i4>5</vt:i4>
      </vt:variant>
      <vt:variant>
        <vt:lpwstr>http://www.leapfroggroup.org/survey-materials/data-accuracy</vt:lpwstr>
      </vt:variant>
      <vt:variant>
        <vt:lpwstr/>
      </vt:variant>
      <vt:variant>
        <vt:i4>7012385</vt:i4>
      </vt:variant>
      <vt:variant>
        <vt:i4>1593</vt:i4>
      </vt:variant>
      <vt:variant>
        <vt:i4>0</vt:i4>
      </vt:variant>
      <vt:variant>
        <vt:i4>5</vt:i4>
      </vt:variant>
      <vt:variant>
        <vt:lpwstr>http://leapfroggroup.org/survey-materials/prepare-cpoe-tool</vt:lpwstr>
      </vt:variant>
      <vt:variant>
        <vt:lpwstr/>
      </vt:variant>
      <vt:variant>
        <vt:i4>2359343</vt:i4>
      </vt:variant>
      <vt:variant>
        <vt:i4>1590</vt:i4>
      </vt:variant>
      <vt:variant>
        <vt:i4>0</vt:i4>
      </vt:variant>
      <vt:variant>
        <vt:i4>5</vt:i4>
      </vt:variant>
      <vt:variant>
        <vt:lpwstr>https://ratings.leapfroggroup.org/</vt:lpwstr>
      </vt:variant>
      <vt:variant>
        <vt:lpwstr/>
      </vt:variant>
      <vt:variant>
        <vt:i4>2359343</vt:i4>
      </vt:variant>
      <vt:variant>
        <vt:i4>1587</vt:i4>
      </vt:variant>
      <vt:variant>
        <vt:i4>0</vt:i4>
      </vt:variant>
      <vt:variant>
        <vt:i4>5</vt:i4>
      </vt:variant>
      <vt:variant>
        <vt:lpwstr>https://ratings.leapfroggroup.org/</vt:lpwstr>
      </vt:variant>
      <vt:variant>
        <vt:lpwstr/>
      </vt:variant>
      <vt:variant>
        <vt:i4>2031697</vt:i4>
      </vt:variant>
      <vt:variant>
        <vt:i4>1584</vt:i4>
      </vt:variant>
      <vt:variant>
        <vt:i4>0</vt:i4>
      </vt:variant>
      <vt:variant>
        <vt:i4>5</vt:i4>
      </vt:variant>
      <vt:variant>
        <vt:lpwstr>https://survey.leapfroggroup.org/</vt:lpwstr>
      </vt:variant>
      <vt:variant>
        <vt:lpwstr/>
      </vt:variant>
      <vt:variant>
        <vt:i4>3538982</vt:i4>
      </vt:variant>
      <vt:variant>
        <vt:i4>1581</vt:i4>
      </vt:variant>
      <vt:variant>
        <vt:i4>0</vt:i4>
      </vt:variant>
      <vt:variant>
        <vt:i4>5</vt:i4>
      </vt:variant>
      <vt:variant>
        <vt:lpwstr>https://www.leapfroggroup.org/survey-materials/scoring-and-results</vt:lpwstr>
      </vt:variant>
      <vt:variant>
        <vt:lpwstr/>
      </vt:variant>
      <vt:variant>
        <vt:i4>2818157</vt:i4>
      </vt:variant>
      <vt:variant>
        <vt:i4>1578</vt:i4>
      </vt:variant>
      <vt:variant>
        <vt:i4>0</vt:i4>
      </vt:variant>
      <vt:variant>
        <vt:i4>5</vt:i4>
      </vt:variant>
      <vt:variant>
        <vt:lpwstr>http://www.leapfroggroup.org/survey-materials/data-accuracy</vt:lpwstr>
      </vt:variant>
      <vt:variant>
        <vt:lpwstr/>
      </vt:variant>
      <vt:variant>
        <vt:i4>1245195</vt:i4>
      </vt:variant>
      <vt:variant>
        <vt:i4>1575</vt:i4>
      </vt:variant>
      <vt:variant>
        <vt:i4>0</vt:i4>
      </vt:variant>
      <vt:variant>
        <vt:i4>5</vt:i4>
      </vt:variant>
      <vt:variant>
        <vt:lpwstr>http://leapfroggroup.org/survey-materials/get-started</vt:lpwstr>
      </vt:variant>
      <vt:variant>
        <vt:lpwstr/>
      </vt:variant>
      <vt:variant>
        <vt:i4>2031697</vt:i4>
      </vt:variant>
      <vt:variant>
        <vt:i4>1572</vt:i4>
      </vt:variant>
      <vt:variant>
        <vt:i4>0</vt:i4>
      </vt:variant>
      <vt:variant>
        <vt:i4>5</vt:i4>
      </vt:variant>
      <vt:variant>
        <vt:lpwstr>https://survey.leapfroggroup.org/</vt:lpwstr>
      </vt:variant>
      <vt:variant>
        <vt:lpwstr/>
      </vt:variant>
      <vt:variant>
        <vt:i4>1245195</vt:i4>
      </vt:variant>
      <vt:variant>
        <vt:i4>1569</vt:i4>
      </vt:variant>
      <vt:variant>
        <vt:i4>0</vt:i4>
      </vt:variant>
      <vt:variant>
        <vt:i4>5</vt:i4>
      </vt:variant>
      <vt:variant>
        <vt:lpwstr>http://leapfroggroup.org/survey-materials/get-started</vt:lpwstr>
      </vt:variant>
      <vt:variant>
        <vt:lpwstr/>
      </vt:variant>
      <vt:variant>
        <vt:i4>2818157</vt:i4>
      </vt:variant>
      <vt:variant>
        <vt:i4>1566</vt:i4>
      </vt:variant>
      <vt:variant>
        <vt:i4>0</vt:i4>
      </vt:variant>
      <vt:variant>
        <vt:i4>5</vt:i4>
      </vt:variant>
      <vt:variant>
        <vt:lpwstr>http://www.leapfroggroup.org/survey-materials/data-accuracy</vt:lpwstr>
      </vt:variant>
      <vt:variant>
        <vt:lpwstr/>
      </vt:variant>
      <vt:variant>
        <vt:i4>3538982</vt:i4>
      </vt:variant>
      <vt:variant>
        <vt:i4>1563</vt:i4>
      </vt:variant>
      <vt:variant>
        <vt:i4>0</vt:i4>
      </vt:variant>
      <vt:variant>
        <vt:i4>5</vt:i4>
      </vt:variant>
      <vt:variant>
        <vt:lpwstr>https://www.leapfroggroup.org/survey-materials/scoring-and-results</vt:lpwstr>
      </vt:variant>
      <vt:variant>
        <vt:lpwstr/>
      </vt:variant>
      <vt:variant>
        <vt:i4>7012472</vt:i4>
      </vt:variant>
      <vt:variant>
        <vt:i4>1560</vt:i4>
      </vt:variant>
      <vt:variant>
        <vt:i4>0</vt:i4>
      </vt:variant>
      <vt:variant>
        <vt:i4>5</vt:i4>
      </vt:variant>
      <vt:variant>
        <vt:lpwstr>http://www.leapfroggroup.org/survey-materials/prepare-cpoe-tool</vt:lpwstr>
      </vt:variant>
      <vt:variant>
        <vt:lpwstr/>
      </vt:variant>
      <vt:variant>
        <vt:i4>3473529</vt:i4>
      </vt:variant>
      <vt:variant>
        <vt:i4>1557</vt:i4>
      </vt:variant>
      <vt:variant>
        <vt:i4>0</vt:i4>
      </vt:variant>
      <vt:variant>
        <vt:i4>5</vt:i4>
      </vt:variant>
      <vt:variant>
        <vt:lpwstr>http://leapfroggroup.org/survey-materials/deadlines</vt:lpwstr>
      </vt:variant>
      <vt:variant>
        <vt:lpwstr/>
      </vt:variant>
      <vt:variant>
        <vt:i4>3014776</vt:i4>
      </vt:variant>
      <vt:variant>
        <vt:i4>1554</vt:i4>
      </vt:variant>
      <vt:variant>
        <vt:i4>0</vt:i4>
      </vt:variant>
      <vt:variant>
        <vt:i4>5</vt:i4>
      </vt:variant>
      <vt:variant>
        <vt:lpwstr>https://www.leapfroggroup.org/survey-materials/get-started</vt:lpwstr>
      </vt:variant>
      <vt:variant>
        <vt:lpwstr/>
      </vt:variant>
      <vt:variant>
        <vt:i4>1179658</vt:i4>
      </vt:variant>
      <vt:variant>
        <vt:i4>1551</vt:i4>
      </vt:variant>
      <vt:variant>
        <vt:i4>0</vt:i4>
      </vt:variant>
      <vt:variant>
        <vt:i4>5</vt:i4>
      </vt:variant>
      <vt:variant>
        <vt:lpwstr>https://survey.leapfroggroup.org/login?destination=dashboard</vt:lpwstr>
      </vt:variant>
      <vt:variant>
        <vt:lpwstr/>
      </vt:variant>
      <vt:variant>
        <vt:i4>7929964</vt:i4>
      </vt:variant>
      <vt:variant>
        <vt:i4>1548</vt:i4>
      </vt:variant>
      <vt:variant>
        <vt:i4>0</vt:i4>
      </vt:variant>
      <vt:variant>
        <vt:i4>5</vt:i4>
      </vt:variant>
      <vt:variant>
        <vt:lpwstr>https://www.leapfroggroup.org/survey-materials/review-nhsn-instructions</vt:lpwstr>
      </vt:variant>
      <vt:variant>
        <vt:lpwstr/>
      </vt:variant>
      <vt:variant>
        <vt:i4>6750258</vt:i4>
      </vt:variant>
      <vt:variant>
        <vt:i4>1545</vt:i4>
      </vt:variant>
      <vt:variant>
        <vt:i4>0</vt:i4>
      </vt:variant>
      <vt:variant>
        <vt:i4>5</vt:i4>
      </vt:variant>
      <vt:variant>
        <vt:lpwstr>http://www.leapfroggroup.org/survey-materials/survey-and-cpoe-materials</vt:lpwstr>
      </vt:variant>
      <vt:variant>
        <vt:lpwstr/>
      </vt:variant>
      <vt:variant>
        <vt:i4>6750258</vt:i4>
      </vt:variant>
      <vt:variant>
        <vt:i4>1542</vt:i4>
      </vt:variant>
      <vt:variant>
        <vt:i4>0</vt:i4>
      </vt:variant>
      <vt:variant>
        <vt:i4>5</vt:i4>
      </vt:variant>
      <vt:variant>
        <vt:lpwstr>http://www.leapfroggroup.org/survey-materials/survey-and-cpoe-materials</vt:lpwstr>
      </vt:variant>
      <vt:variant>
        <vt:lpwstr/>
      </vt:variant>
      <vt:variant>
        <vt:i4>7798818</vt:i4>
      </vt:variant>
      <vt:variant>
        <vt:i4>1539</vt:i4>
      </vt:variant>
      <vt:variant>
        <vt:i4>0</vt:i4>
      </vt:variant>
      <vt:variant>
        <vt:i4>5</vt:i4>
      </vt:variant>
      <vt:variant>
        <vt:lpwstr>http://www.leapfroggroup.org/survey-materials/multi-campus-reporting-policy</vt:lpwstr>
      </vt:variant>
      <vt:variant>
        <vt:lpwstr/>
      </vt:variant>
      <vt:variant>
        <vt:i4>4587533</vt:i4>
      </vt:variant>
      <vt:variant>
        <vt:i4>1536</vt:i4>
      </vt:variant>
      <vt:variant>
        <vt:i4>0</vt:i4>
      </vt:variant>
      <vt:variant>
        <vt:i4>5</vt:i4>
      </vt:variant>
      <vt:variant>
        <vt:lpwstr>http://www.leapfroggroup.org/survey-materials/get-hospital-security-code</vt:lpwstr>
      </vt:variant>
      <vt:variant>
        <vt:lpwstr/>
      </vt:variant>
      <vt:variant>
        <vt:i4>6422567</vt:i4>
      </vt:variant>
      <vt:variant>
        <vt:i4>1533</vt:i4>
      </vt:variant>
      <vt:variant>
        <vt:i4>0</vt:i4>
      </vt:variant>
      <vt:variant>
        <vt:i4>5</vt:i4>
      </vt:variant>
      <vt:variant>
        <vt:lpwstr>https://leapfroggroup.org/hospital</vt:lpwstr>
      </vt:variant>
      <vt:variant>
        <vt:lpwstr/>
      </vt:variant>
      <vt:variant>
        <vt:i4>4194318</vt:i4>
      </vt:variant>
      <vt:variant>
        <vt:i4>1530</vt:i4>
      </vt:variant>
      <vt:variant>
        <vt:i4>0</vt:i4>
      </vt:variant>
      <vt:variant>
        <vt:i4>5</vt:i4>
      </vt:variant>
      <vt:variant>
        <vt:lpwstr>https://www.leapfroggroup.org/survey-materials/updating-your-hospital-survey</vt:lpwstr>
      </vt:variant>
      <vt:variant>
        <vt:lpwstr/>
      </vt:variant>
      <vt:variant>
        <vt:i4>4718695</vt:i4>
      </vt:variant>
      <vt:variant>
        <vt:i4>1527</vt:i4>
      </vt:variant>
      <vt:variant>
        <vt:i4>0</vt:i4>
      </vt:variant>
      <vt:variant>
        <vt:i4>5</vt:i4>
      </vt:variant>
      <vt:variant>
        <vt:lpwstr/>
      </vt:variant>
      <vt:variant>
        <vt:lpwstr>_Updating_or_Correcting</vt:lpwstr>
      </vt:variant>
      <vt:variant>
        <vt:i4>2359343</vt:i4>
      </vt:variant>
      <vt:variant>
        <vt:i4>1524</vt:i4>
      </vt:variant>
      <vt:variant>
        <vt:i4>0</vt:i4>
      </vt:variant>
      <vt:variant>
        <vt:i4>5</vt:i4>
      </vt:variant>
      <vt:variant>
        <vt:lpwstr>https://ratings.leapfroggroup.org/</vt:lpwstr>
      </vt:variant>
      <vt:variant>
        <vt:lpwstr/>
      </vt:variant>
      <vt:variant>
        <vt:i4>7274612</vt:i4>
      </vt:variant>
      <vt:variant>
        <vt:i4>1521</vt:i4>
      </vt:variant>
      <vt:variant>
        <vt:i4>0</vt:i4>
      </vt:variant>
      <vt:variant>
        <vt:i4>5</vt:i4>
      </vt:variant>
      <vt:variant>
        <vt:lpwstr/>
      </vt:variant>
      <vt:variant>
        <vt:lpwstr>TOC</vt:lpwstr>
      </vt:variant>
      <vt:variant>
        <vt:i4>7012385</vt:i4>
      </vt:variant>
      <vt:variant>
        <vt:i4>1518</vt:i4>
      </vt:variant>
      <vt:variant>
        <vt:i4>0</vt:i4>
      </vt:variant>
      <vt:variant>
        <vt:i4>5</vt:i4>
      </vt:variant>
      <vt:variant>
        <vt:lpwstr>http://leapfroggroup.org/survey-materials/prepare-cpoe-tool</vt:lpwstr>
      </vt:variant>
      <vt:variant>
        <vt:lpwstr/>
      </vt:variant>
      <vt:variant>
        <vt:i4>1114169</vt:i4>
      </vt:variant>
      <vt:variant>
        <vt:i4>1515</vt:i4>
      </vt:variant>
      <vt:variant>
        <vt:i4>0</vt:i4>
      </vt:variant>
      <vt:variant>
        <vt:i4>5</vt:i4>
      </vt:variant>
      <vt:variant>
        <vt:lpwstr/>
      </vt:variant>
      <vt:variant>
        <vt:lpwstr>_Section_9:_Outpatient</vt:lpwstr>
      </vt:variant>
      <vt:variant>
        <vt:i4>6357059</vt:i4>
      </vt:variant>
      <vt:variant>
        <vt:i4>1512</vt:i4>
      </vt:variant>
      <vt:variant>
        <vt:i4>0</vt:i4>
      </vt:variant>
      <vt:variant>
        <vt:i4>5</vt:i4>
      </vt:variant>
      <vt:variant>
        <vt:lpwstr/>
      </vt:variant>
      <vt:variant>
        <vt:lpwstr>_Section_8:_Pediatric</vt:lpwstr>
      </vt:variant>
      <vt:variant>
        <vt:i4>7929964</vt:i4>
      </vt:variant>
      <vt:variant>
        <vt:i4>1509</vt:i4>
      </vt:variant>
      <vt:variant>
        <vt:i4>0</vt:i4>
      </vt:variant>
      <vt:variant>
        <vt:i4>5</vt:i4>
      </vt:variant>
      <vt:variant>
        <vt:lpwstr>https://www.leapfroggroup.org/survey-materials/review-nhsn-instructions</vt:lpwstr>
      </vt:variant>
      <vt:variant>
        <vt:lpwstr/>
      </vt:variant>
      <vt:variant>
        <vt:i4>7405646</vt:i4>
      </vt:variant>
      <vt:variant>
        <vt:i4>1506</vt:i4>
      </vt:variant>
      <vt:variant>
        <vt:i4>0</vt:i4>
      </vt:variant>
      <vt:variant>
        <vt:i4>5</vt:i4>
      </vt:variant>
      <vt:variant>
        <vt:lpwstr/>
      </vt:variant>
      <vt:variant>
        <vt:lpwstr>_Section_7:_Managing</vt:lpwstr>
      </vt:variant>
      <vt:variant>
        <vt:i4>1572901</vt:i4>
      </vt:variant>
      <vt:variant>
        <vt:i4>1503</vt:i4>
      </vt:variant>
      <vt:variant>
        <vt:i4>0</vt:i4>
      </vt:variant>
      <vt:variant>
        <vt:i4>5</vt:i4>
      </vt:variant>
      <vt:variant>
        <vt:lpwstr/>
      </vt:variant>
      <vt:variant>
        <vt:lpwstr>_Section_6:_Patient</vt:lpwstr>
      </vt:variant>
      <vt:variant>
        <vt:i4>1966125</vt:i4>
      </vt:variant>
      <vt:variant>
        <vt:i4>1500</vt:i4>
      </vt:variant>
      <vt:variant>
        <vt:i4>0</vt:i4>
      </vt:variant>
      <vt:variant>
        <vt:i4>5</vt:i4>
      </vt:variant>
      <vt:variant>
        <vt:lpwstr/>
      </vt:variant>
      <vt:variant>
        <vt:lpwstr>_Section_5:_ICU</vt:lpwstr>
      </vt:variant>
      <vt:variant>
        <vt:i4>7995512</vt:i4>
      </vt:variant>
      <vt:variant>
        <vt:i4>1497</vt:i4>
      </vt:variant>
      <vt:variant>
        <vt:i4>0</vt:i4>
      </vt:variant>
      <vt:variant>
        <vt:i4>5</vt:i4>
      </vt:variant>
      <vt:variant>
        <vt:lpwstr>https://survey.leapfroggroup.org/login</vt:lpwstr>
      </vt:variant>
      <vt:variant>
        <vt:lpwstr/>
      </vt:variant>
      <vt:variant>
        <vt:i4>6422598</vt:i4>
      </vt:variant>
      <vt:variant>
        <vt:i4>1494</vt:i4>
      </vt:variant>
      <vt:variant>
        <vt:i4>0</vt:i4>
      </vt:variant>
      <vt:variant>
        <vt:i4>5</vt:i4>
      </vt:variant>
      <vt:variant>
        <vt:lpwstr/>
      </vt:variant>
      <vt:variant>
        <vt:lpwstr>_Section_4:_Maternity</vt:lpwstr>
      </vt:variant>
      <vt:variant>
        <vt:i4>7536720</vt:i4>
      </vt:variant>
      <vt:variant>
        <vt:i4>1491</vt:i4>
      </vt:variant>
      <vt:variant>
        <vt:i4>0</vt:i4>
      </vt:variant>
      <vt:variant>
        <vt:i4>5</vt:i4>
      </vt:variant>
      <vt:variant>
        <vt:lpwstr/>
      </vt:variant>
      <vt:variant>
        <vt:lpwstr>_Section_3:_Adult</vt:lpwstr>
      </vt:variant>
      <vt:variant>
        <vt:i4>1048629</vt:i4>
      </vt:variant>
      <vt:variant>
        <vt:i4>1488</vt:i4>
      </vt:variant>
      <vt:variant>
        <vt:i4>0</vt:i4>
      </vt:variant>
      <vt:variant>
        <vt:i4>5</vt:i4>
      </vt:variant>
      <vt:variant>
        <vt:lpwstr/>
      </vt:variant>
      <vt:variant>
        <vt:lpwstr>_Section_2:_Medication</vt:lpwstr>
      </vt:variant>
      <vt:variant>
        <vt:i4>2031653</vt:i4>
      </vt:variant>
      <vt:variant>
        <vt:i4>1485</vt:i4>
      </vt:variant>
      <vt:variant>
        <vt:i4>0</vt:i4>
      </vt:variant>
      <vt:variant>
        <vt:i4>5</vt:i4>
      </vt:variant>
      <vt:variant>
        <vt:lpwstr/>
      </vt:variant>
      <vt:variant>
        <vt:lpwstr>_Section_1:_Patient</vt:lpwstr>
      </vt:variant>
      <vt:variant>
        <vt:i4>7274602</vt:i4>
      </vt:variant>
      <vt:variant>
        <vt:i4>1482</vt:i4>
      </vt:variant>
      <vt:variant>
        <vt:i4>0</vt:i4>
      </vt:variant>
      <vt:variant>
        <vt:i4>5</vt:i4>
      </vt:variant>
      <vt:variant>
        <vt:lpwstr>https://survey.leapfroggroup.org/dashboard</vt:lpwstr>
      </vt:variant>
      <vt:variant>
        <vt:lpwstr/>
      </vt:variant>
      <vt:variant>
        <vt:i4>3407918</vt:i4>
      </vt:variant>
      <vt:variant>
        <vt:i4>1479</vt:i4>
      </vt:variant>
      <vt:variant>
        <vt:i4>0</vt:i4>
      </vt:variant>
      <vt:variant>
        <vt:i4>5</vt:i4>
      </vt:variant>
      <vt:variant>
        <vt:lpwstr/>
      </vt:variant>
      <vt:variant>
        <vt:lpwstr>_Hospital_Profile</vt:lpwstr>
      </vt:variant>
      <vt:variant>
        <vt:i4>5963779</vt:i4>
      </vt:variant>
      <vt:variant>
        <vt:i4>1476</vt:i4>
      </vt:variant>
      <vt:variant>
        <vt:i4>0</vt:i4>
      </vt:variant>
      <vt:variant>
        <vt:i4>5</vt:i4>
      </vt:variant>
      <vt:variant>
        <vt:lpwstr>http://www.leapfroggroup.org/survey-materials/survey-overview</vt:lpwstr>
      </vt:variant>
      <vt:variant>
        <vt:lpwstr/>
      </vt:variant>
      <vt:variant>
        <vt:i4>3473440</vt:i4>
      </vt:variant>
      <vt:variant>
        <vt:i4>1473</vt:i4>
      </vt:variant>
      <vt:variant>
        <vt:i4>0</vt:i4>
      </vt:variant>
      <vt:variant>
        <vt:i4>5</vt:i4>
      </vt:variant>
      <vt:variant>
        <vt:lpwstr>http://www.leapfroggroup.org/survey-materials/deadlines</vt:lpwstr>
      </vt:variant>
      <vt:variant>
        <vt:lpwstr/>
      </vt:variant>
      <vt:variant>
        <vt:i4>2818157</vt:i4>
      </vt:variant>
      <vt:variant>
        <vt:i4>1470</vt:i4>
      </vt:variant>
      <vt:variant>
        <vt:i4>0</vt:i4>
      </vt:variant>
      <vt:variant>
        <vt:i4>5</vt:i4>
      </vt:variant>
      <vt:variant>
        <vt:lpwstr>http://www.leapfroggroup.org/survey-materials/data-accuracy</vt:lpwstr>
      </vt:variant>
      <vt:variant>
        <vt:lpwstr/>
      </vt:variant>
      <vt:variant>
        <vt:i4>4784215</vt:i4>
      </vt:variant>
      <vt:variant>
        <vt:i4>1467</vt:i4>
      </vt:variant>
      <vt:variant>
        <vt:i4>0</vt:i4>
      </vt:variant>
      <vt:variant>
        <vt:i4>5</vt:i4>
      </vt:variant>
      <vt:variant>
        <vt:lpwstr>http://www.hospitalsafetygrade.org/for-hospitals/updates-and-timelines-for-hospitals</vt:lpwstr>
      </vt:variant>
      <vt:variant>
        <vt:lpwstr/>
      </vt:variant>
      <vt:variant>
        <vt:i4>2621566</vt:i4>
      </vt:variant>
      <vt:variant>
        <vt:i4>1464</vt:i4>
      </vt:variant>
      <vt:variant>
        <vt:i4>0</vt:i4>
      </vt:variant>
      <vt:variant>
        <vt:i4>5</vt:i4>
      </vt:variant>
      <vt:variant>
        <vt:lpwstr>https://www.leapfroggroup.org/survey-materials/get-help</vt:lpwstr>
      </vt:variant>
      <vt:variant>
        <vt:lpwstr/>
      </vt:variant>
      <vt:variant>
        <vt:i4>1966154</vt:i4>
      </vt:variant>
      <vt:variant>
        <vt:i4>1461</vt:i4>
      </vt:variant>
      <vt:variant>
        <vt:i4>0</vt:i4>
      </vt:variant>
      <vt:variant>
        <vt:i4>5</vt:i4>
      </vt:variant>
      <vt:variant>
        <vt:lpwstr>https://leapfroghelpdesk.zendesk.com/</vt:lpwstr>
      </vt:variant>
      <vt:variant>
        <vt:lpwstr/>
      </vt:variant>
      <vt:variant>
        <vt:i4>2359343</vt:i4>
      </vt:variant>
      <vt:variant>
        <vt:i4>1458</vt:i4>
      </vt:variant>
      <vt:variant>
        <vt:i4>0</vt:i4>
      </vt:variant>
      <vt:variant>
        <vt:i4>5</vt:i4>
      </vt:variant>
      <vt:variant>
        <vt:lpwstr>https://ratings.leapfroggroup.org/</vt:lpwstr>
      </vt:variant>
      <vt:variant>
        <vt:lpwstr/>
      </vt:variant>
      <vt:variant>
        <vt:i4>7929964</vt:i4>
      </vt:variant>
      <vt:variant>
        <vt:i4>1455</vt:i4>
      </vt:variant>
      <vt:variant>
        <vt:i4>0</vt:i4>
      </vt:variant>
      <vt:variant>
        <vt:i4>5</vt:i4>
      </vt:variant>
      <vt:variant>
        <vt:lpwstr>https://www.leapfroggroup.org/survey-materials/review-nhsn-instructions</vt:lpwstr>
      </vt:variant>
      <vt:variant>
        <vt:lpwstr/>
      </vt:variant>
      <vt:variant>
        <vt:i4>6946875</vt:i4>
      </vt:variant>
      <vt:variant>
        <vt:i4>1452</vt:i4>
      </vt:variant>
      <vt:variant>
        <vt:i4>0</vt:i4>
      </vt:variant>
      <vt:variant>
        <vt:i4>5</vt:i4>
      </vt:variant>
      <vt:variant>
        <vt:lpwstr>https://www.leapfroggroup.org/ratings-reports/top-hospitals</vt:lpwstr>
      </vt:variant>
      <vt:variant>
        <vt:lpwstr/>
      </vt:variant>
      <vt:variant>
        <vt:i4>7798907</vt:i4>
      </vt:variant>
      <vt:variant>
        <vt:i4>1449</vt:i4>
      </vt:variant>
      <vt:variant>
        <vt:i4>0</vt:i4>
      </vt:variant>
      <vt:variant>
        <vt:i4>5</vt:i4>
      </vt:variant>
      <vt:variant>
        <vt:lpwstr>http://leapfroggroup.org/survey-materials/multi-campus-reporting-policy</vt:lpwstr>
      </vt:variant>
      <vt:variant>
        <vt:lpwstr/>
      </vt:variant>
      <vt:variant>
        <vt:i4>6422567</vt:i4>
      </vt:variant>
      <vt:variant>
        <vt:i4>1446</vt:i4>
      </vt:variant>
      <vt:variant>
        <vt:i4>0</vt:i4>
      </vt:variant>
      <vt:variant>
        <vt:i4>5</vt:i4>
      </vt:variant>
      <vt:variant>
        <vt:lpwstr>https://leapfroggroup.org/hospital</vt:lpwstr>
      </vt:variant>
      <vt:variant>
        <vt:lpwstr/>
      </vt:variant>
      <vt:variant>
        <vt:i4>6422567</vt:i4>
      </vt:variant>
      <vt:variant>
        <vt:i4>1443</vt:i4>
      </vt:variant>
      <vt:variant>
        <vt:i4>0</vt:i4>
      </vt:variant>
      <vt:variant>
        <vt:i4>5</vt:i4>
      </vt:variant>
      <vt:variant>
        <vt:lpwstr>https://leapfroggroup.org/hospital</vt:lpwstr>
      </vt:variant>
      <vt:variant>
        <vt:lpwstr/>
      </vt:variant>
      <vt:variant>
        <vt:i4>1900594</vt:i4>
      </vt:variant>
      <vt:variant>
        <vt:i4>1436</vt:i4>
      </vt:variant>
      <vt:variant>
        <vt:i4>0</vt:i4>
      </vt:variant>
      <vt:variant>
        <vt:i4>5</vt:i4>
      </vt:variant>
      <vt:variant>
        <vt:lpwstr/>
      </vt:variant>
      <vt:variant>
        <vt:lpwstr>_Toc218517999</vt:lpwstr>
      </vt:variant>
      <vt:variant>
        <vt:i4>1900594</vt:i4>
      </vt:variant>
      <vt:variant>
        <vt:i4>1430</vt:i4>
      </vt:variant>
      <vt:variant>
        <vt:i4>0</vt:i4>
      </vt:variant>
      <vt:variant>
        <vt:i4>5</vt:i4>
      </vt:variant>
      <vt:variant>
        <vt:lpwstr/>
      </vt:variant>
      <vt:variant>
        <vt:lpwstr>_Toc218517998</vt:lpwstr>
      </vt:variant>
      <vt:variant>
        <vt:i4>1900594</vt:i4>
      </vt:variant>
      <vt:variant>
        <vt:i4>1424</vt:i4>
      </vt:variant>
      <vt:variant>
        <vt:i4>0</vt:i4>
      </vt:variant>
      <vt:variant>
        <vt:i4>5</vt:i4>
      </vt:variant>
      <vt:variant>
        <vt:lpwstr/>
      </vt:variant>
      <vt:variant>
        <vt:lpwstr>_Toc218517997</vt:lpwstr>
      </vt:variant>
      <vt:variant>
        <vt:i4>1900594</vt:i4>
      </vt:variant>
      <vt:variant>
        <vt:i4>1418</vt:i4>
      </vt:variant>
      <vt:variant>
        <vt:i4>0</vt:i4>
      </vt:variant>
      <vt:variant>
        <vt:i4>5</vt:i4>
      </vt:variant>
      <vt:variant>
        <vt:lpwstr/>
      </vt:variant>
      <vt:variant>
        <vt:lpwstr>_Toc218517996</vt:lpwstr>
      </vt:variant>
      <vt:variant>
        <vt:i4>1900594</vt:i4>
      </vt:variant>
      <vt:variant>
        <vt:i4>1412</vt:i4>
      </vt:variant>
      <vt:variant>
        <vt:i4>0</vt:i4>
      </vt:variant>
      <vt:variant>
        <vt:i4>5</vt:i4>
      </vt:variant>
      <vt:variant>
        <vt:lpwstr/>
      </vt:variant>
      <vt:variant>
        <vt:lpwstr>_Toc218517995</vt:lpwstr>
      </vt:variant>
      <vt:variant>
        <vt:i4>1900594</vt:i4>
      </vt:variant>
      <vt:variant>
        <vt:i4>1406</vt:i4>
      </vt:variant>
      <vt:variant>
        <vt:i4>0</vt:i4>
      </vt:variant>
      <vt:variant>
        <vt:i4>5</vt:i4>
      </vt:variant>
      <vt:variant>
        <vt:lpwstr/>
      </vt:variant>
      <vt:variant>
        <vt:lpwstr>_Toc218517994</vt:lpwstr>
      </vt:variant>
      <vt:variant>
        <vt:i4>1900594</vt:i4>
      </vt:variant>
      <vt:variant>
        <vt:i4>1400</vt:i4>
      </vt:variant>
      <vt:variant>
        <vt:i4>0</vt:i4>
      </vt:variant>
      <vt:variant>
        <vt:i4>5</vt:i4>
      </vt:variant>
      <vt:variant>
        <vt:lpwstr/>
      </vt:variant>
      <vt:variant>
        <vt:lpwstr>_Toc218517993</vt:lpwstr>
      </vt:variant>
      <vt:variant>
        <vt:i4>1900594</vt:i4>
      </vt:variant>
      <vt:variant>
        <vt:i4>1394</vt:i4>
      </vt:variant>
      <vt:variant>
        <vt:i4>0</vt:i4>
      </vt:variant>
      <vt:variant>
        <vt:i4>5</vt:i4>
      </vt:variant>
      <vt:variant>
        <vt:lpwstr/>
      </vt:variant>
      <vt:variant>
        <vt:lpwstr>_Toc218517992</vt:lpwstr>
      </vt:variant>
      <vt:variant>
        <vt:i4>1900594</vt:i4>
      </vt:variant>
      <vt:variant>
        <vt:i4>1388</vt:i4>
      </vt:variant>
      <vt:variant>
        <vt:i4>0</vt:i4>
      </vt:variant>
      <vt:variant>
        <vt:i4>5</vt:i4>
      </vt:variant>
      <vt:variant>
        <vt:lpwstr/>
      </vt:variant>
      <vt:variant>
        <vt:lpwstr>_Toc218517991</vt:lpwstr>
      </vt:variant>
      <vt:variant>
        <vt:i4>1900594</vt:i4>
      </vt:variant>
      <vt:variant>
        <vt:i4>1382</vt:i4>
      </vt:variant>
      <vt:variant>
        <vt:i4>0</vt:i4>
      </vt:variant>
      <vt:variant>
        <vt:i4>5</vt:i4>
      </vt:variant>
      <vt:variant>
        <vt:lpwstr/>
      </vt:variant>
      <vt:variant>
        <vt:lpwstr>_Toc218517990</vt:lpwstr>
      </vt:variant>
      <vt:variant>
        <vt:i4>1835058</vt:i4>
      </vt:variant>
      <vt:variant>
        <vt:i4>1376</vt:i4>
      </vt:variant>
      <vt:variant>
        <vt:i4>0</vt:i4>
      </vt:variant>
      <vt:variant>
        <vt:i4>5</vt:i4>
      </vt:variant>
      <vt:variant>
        <vt:lpwstr/>
      </vt:variant>
      <vt:variant>
        <vt:lpwstr>_Toc218517989</vt:lpwstr>
      </vt:variant>
      <vt:variant>
        <vt:i4>1835058</vt:i4>
      </vt:variant>
      <vt:variant>
        <vt:i4>1370</vt:i4>
      </vt:variant>
      <vt:variant>
        <vt:i4>0</vt:i4>
      </vt:variant>
      <vt:variant>
        <vt:i4>5</vt:i4>
      </vt:variant>
      <vt:variant>
        <vt:lpwstr/>
      </vt:variant>
      <vt:variant>
        <vt:lpwstr>_Toc218517988</vt:lpwstr>
      </vt:variant>
      <vt:variant>
        <vt:i4>1835058</vt:i4>
      </vt:variant>
      <vt:variant>
        <vt:i4>1364</vt:i4>
      </vt:variant>
      <vt:variant>
        <vt:i4>0</vt:i4>
      </vt:variant>
      <vt:variant>
        <vt:i4>5</vt:i4>
      </vt:variant>
      <vt:variant>
        <vt:lpwstr/>
      </vt:variant>
      <vt:variant>
        <vt:lpwstr>_Toc218517987</vt:lpwstr>
      </vt:variant>
      <vt:variant>
        <vt:i4>1835058</vt:i4>
      </vt:variant>
      <vt:variant>
        <vt:i4>1358</vt:i4>
      </vt:variant>
      <vt:variant>
        <vt:i4>0</vt:i4>
      </vt:variant>
      <vt:variant>
        <vt:i4>5</vt:i4>
      </vt:variant>
      <vt:variant>
        <vt:lpwstr/>
      </vt:variant>
      <vt:variant>
        <vt:lpwstr>_Toc218517986</vt:lpwstr>
      </vt:variant>
      <vt:variant>
        <vt:i4>1835058</vt:i4>
      </vt:variant>
      <vt:variant>
        <vt:i4>1352</vt:i4>
      </vt:variant>
      <vt:variant>
        <vt:i4>0</vt:i4>
      </vt:variant>
      <vt:variant>
        <vt:i4>5</vt:i4>
      </vt:variant>
      <vt:variant>
        <vt:lpwstr/>
      </vt:variant>
      <vt:variant>
        <vt:lpwstr>_Toc218517985</vt:lpwstr>
      </vt:variant>
      <vt:variant>
        <vt:i4>1835058</vt:i4>
      </vt:variant>
      <vt:variant>
        <vt:i4>1346</vt:i4>
      </vt:variant>
      <vt:variant>
        <vt:i4>0</vt:i4>
      </vt:variant>
      <vt:variant>
        <vt:i4>5</vt:i4>
      </vt:variant>
      <vt:variant>
        <vt:lpwstr/>
      </vt:variant>
      <vt:variant>
        <vt:lpwstr>_Toc218517984</vt:lpwstr>
      </vt:variant>
      <vt:variant>
        <vt:i4>1835058</vt:i4>
      </vt:variant>
      <vt:variant>
        <vt:i4>1340</vt:i4>
      </vt:variant>
      <vt:variant>
        <vt:i4>0</vt:i4>
      </vt:variant>
      <vt:variant>
        <vt:i4>5</vt:i4>
      </vt:variant>
      <vt:variant>
        <vt:lpwstr/>
      </vt:variant>
      <vt:variant>
        <vt:lpwstr>_Toc218517983</vt:lpwstr>
      </vt:variant>
      <vt:variant>
        <vt:i4>1835058</vt:i4>
      </vt:variant>
      <vt:variant>
        <vt:i4>1334</vt:i4>
      </vt:variant>
      <vt:variant>
        <vt:i4>0</vt:i4>
      </vt:variant>
      <vt:variant>
        <vt:i4>5</vt:i4>
      </vt:variant>
      <vt:variant>
        <vt:lpwstr/>
      </vt:variant>
      <vt:variant>
        <vt:lpwstr>_Toc218517982</vt:lpwstr>
      </vt:variant>
      <vt:variant>
        <vt:i4>1835058</vt:i4>
      </vt:variant>
      <vt:variant>
        <vt:i4>1328</vt:i4>
      </vt:variant>
      <vt:variant>
        <vt:i4>0</vt:i4>
      </vt:variant>
      <vt:variant>
        <vt:i4>5</vt:i4>
      </vt:variant>
      <vt:variant>
        <vt:lpwstr/>
      </vt:variant>
      <vt:variant>
        <vt:lpwstr>_Toc218517981</vt:lpwstr>
      </vt:variant>
      <vt:variant>
        <vt:i4>1835058</vt:i4>
      </vt:variant>
      <vt:variant>
        <vt:i4>1322</vt:i4>
      </vt:variant>
      <vt:variant>
        <vt:i4>0</vt:i4>
      </vt:variant>
      <vt:variant>
        <vt:i4>5</vt:i4>
      </vt:variant>
      <vt:variant>
        <vt:lpwstr/>
      </vt:variant>
      <vt:variant>
        <vt:lpwstr>_Toc218517980</vt:lpwstr>
      </vt:variant>
      <vt:variant>
        <vt:i4>1245234</vt:i4>
      </vt:variant>
      <vt:variant>
        <vt:i4>1316</vt:i4>
      </vt:variant>
      <vt:variant>
        <vt:i4>0</vt:i4>
      </vt:variant>
      <vt:variant>
        <vt:i4>5</vt:i4>
      </vt:variant>
      <vt:variant>
        <vt:lpwstr/>
      </vt:variant>
      <vt:variant>
        <vt:lpwstr>_Toc218517979</vt:lpwstr>
      </vt:variant>
      <vt:variant>
        <vt:i4>1245234</vt:i4>
      </vt:variant>
      <vt:variant>
        <vt:i4>1310</vt:i4>
      </vt:variant>
      <vt:variant>
        <vt:i4>0</vt:i4>
      </vt:variant>
      <vt:variant>
        <vt:i4>5</vt:i4>
      </vt:variant>
      <vt:variant>
        <vt:lpwstr/>
      </vt:variant>
      <vt:variant>
        <vt:lpwstr>_Toc218517978</vt:lpwstr>
      </vt:variant>
      <vt:variant>
        <vt:i4>1245234</vt:i4>
      </vt:variant>
      <vt:variant>
        <vt:i4>1304</vt:i4>
      </vt:variant>
      <vt:variant>
        <vt:i4>0</vt:i4>
      </vt:variant>
      <vt:variant>
        <vt:i4>5</vt:i4>
      </vt:variant>
      <vt:variant>
        <vt:lpwstr/>
      </vt:variant>
      <vt:variant>
        <vt:lpwstr>_Toc218517977</vt:lpwstr>
      </vt:variant>
      <vt:variant>
        <vt:i4>1245234</vt:i4>
      </vt:variant>
      <vt:variant>
        <vt:i4>1298</vt:i4>
      </vt:variant>
      <vt:variant>
        <vt:i4>0</vt:i4>
      </vt:variant>
      <vt:variant>
        <vt:i4>5</vt:i4>
      </vt:variant>
      <vt:variant>
        <vt:lpwstr/>
      </vt:variant>
      <vt:variant>
        <vt:lpwstr>_Toc218517976</vt:lpwstr>
      </vt:variant>
      <vt:variant>
        <vt:i4>1245234</vt:i4>
      </vt:variant>
      <vt:variant>
        <vt:i4>1292</vt:i4>
      </vt:variant>
      <vt:variant>
        <vt:i4>0</vt:i4>
      </vt:variant>
      <vt:variant>
        <vt:i4>5</vt:i4>
      </vt:variant>
      <vt:variant>
        <vt:lpwstr/>
      </vt:variant>
      <vt:variant>
        <vt:lpwstr>_Toc218517975</vt:lpwstr>
      </vt:variant>
      <vt:variant>
        <vt:i4>1245234</vt:i4>
      </vt:variant>
      <vt:variant>
        <vt:i4>1286</vt:i4>
      </vt:variant>
      <vt:variant>
        <vt:i4>0</vt:i4>
      </vt:variant>
      <vt:variant>
        <vt:i4>5</vt:i4>
      </vt:variant>
      <vt:variant>
        <vt:lpwstr/>
      </vt:variant>
      <vt:variant>
        <vt:lpwstr>_Toc218517974</vt:lpwstr>
      </vt:variant>
      <vt:variant>
        <vt:i4>1245234</vt:i4>
      </vt:variant>
      <vt:variant>
        <vt:i4>1280</vt:i4>
      </vt:variant>
      <vt:variant>
        <vt:i4>0</vt:i4>
      </vt:variant>
      <vt:variant>
        <vt:i4>5</vt:i4>
      </vt:variant>
      <vt:variant>
        <vt:lpwstr/>
      </vt:variant>
      <vt:variant>
        <vt:lpwstr>_Toc218517973</vt:lpwstr>
      </vt:variant>
      <vt:variant>
        <vt:i4>1245234</vt:i4>
      </vt:variant>
      <vt:variant>
        <vt:i4>1274</vt:i4>
      </vt:variant>
      <vt:variant>
        <vt:i4>0</vt:i4>
      </vt:variant>
      <vt:variant>
        <vt:i4>5</vt:i4>
      </vt:variant>
      <vt:variant>
        <vt:lpwstr/>
      </vt:variant>
      <vt:variant>
        <vt:lpwstr>_Toc218517972</vt:lpwstr>
      </vt:variant>
      <vt:variant>
        <vt:i4>1245234</vt:i4>
      </vt:variant>
      <vt:variant>
        <vt:i4>1268</vt:i4>
      </vt:variant>
      <vt:variant>
        <vt:i4>0</vt:i4>
      </vt:variant>
      <vt:variant>
        <vt:i4>5</vt:i4>
      </vt:variant>
      <vt:variant>
        <vt:lpwstr/>
      </vt:variant>
      <vt:variant>
        <vt:lpwstr>_Toc218517971</vt:lpwstr>
      </vt:variant>
      <vt:variant>
        <vt:i4>1245234</vt:i4>
      </vt:variant>
      <vt:variant>
        <vt:i4>1262</vt:i4>
      </vt:variant>
      <vt:variant>
        <vt:i4>0</vt:i4>
      </vt:variant>
      <vt:variant>
        <vt:i4>5</vt:i4>
      </vt:variant>
      <vt:variant>
        <vt:lpwstr/>
      </vt:variant>
      <vt:variant>
        <vt:lpwstr>_Toc218517970</vt:lpwstr>
      </vt:variant>
      <vt:variant>
        <vt:i4>1179698</vt:i4>
      </vt:variant>
      <vt:variant>
        <vt:i4>1256</vt:i4>
      </vt:variant>
      <vt:variant>
        <vt:i4>0</vt:i4>
      </vt:variant>
      <vt:variant>
        <vt:i4>5</vt:i4>
      </vt:variant>
      <vt:variant>
        <vt:lpwstr/>
      </vt:variant>
      <vt:variant>
        <vt:lpwstr>_Toc218517969</vt:lpwstr>
      </vt:variant>
      <vt:variant>
        <vt:i4>1179698</vt:i4>
      </vt:variant>
      <vt:variant>
        <vt:i4>1250</vt:i4>
      </vt:variant>
      <vt:variant>
        <vt:i4>0</vt:i4>
      </vt:variant>
      <vt:variant>
        <vt:i4>5</vt:i4>
      </vt:variant>
      <vt:variant>
        <vt:lpwstr/>
      </vt:variant>
      <vt:variant>
        <vt:lpwstr>_Toc218517968</vt:lpwstr>
      </vt:variant>
      <vt:variant>
        <vt:i4>1179698</vt:i4>
      </vt:variant>
      <vt:variant>
        <vt:i4>1244</vt:i4>
      </vt:variant>
      <vt:variant>
        <vt:i4>0</vt:i4>
      </vt:variant>
      <vt:variant>
        <vt:i4>5</vt:i4>
      </vt:variant>
      <vt:variant>
        <vt:lpwstr/>
      </vt:variant>
      <vt:variant>
        <vt:lpwstr>_Toc218517967</vt:lpwstr>
      </vt:variant>
      <vt:variant>
        <vt:i4>1179698</vt:i4>
      </vt:variant>
      <vt:variant>
        <vt:i4>1238</vt:i4>
      </vt:variant>
      <vt:variant>
        <vt:i4>0</vt:i4>
      </vt:variant>
      <vt:variant>
        <vt:i4>5</vt:i4>
      </vt:variant>
      <vt:variant>
        <vt:lpwstr/>
      </vt:variant>
      <vt:variant>
        <vt:lpwstr>_Toc218517966</vt:lpwstr>
      </vt:variant>
      <vt:variant>
        <vt:i4>1179698</vt:i4>
      </vt:variant>
      <vt:variant>
        <vt:i4>1232</vt:i4>
      </vt:variant>
      <vt:variant>
        <vt:i4>0</vt:i4>
      </vt:variant>
      <vt:variant>
        <vt:i4>5</vt:i4>
      </vt:variant>
      <vt:variant>
        <vt:lpwstr/>
      </vt:variant>
      <vt:variant>
        <vt:lpwstr>_Toc218517965</vt:lpwstr>
      </vt:variant>
      <vt:variant>
        <vt:i4>1179698</vt:i4>
      </vt:variant>
      <vt:variant>
        <vt:i4>1226</vt:i4>
      </vt:variant>
      <vt:variant>
        <vt:i4>0</vt:i4>
      </vt:variant>
      <vt:variant>
        <vt:i4>5</vt:i4>
      </vt:variant>
      <vt:variant>
        <vt:lpwstr/>
      </vt:variant>
      <vt:variant>
        <vt:lpwstr>_Toc218517964</vt:lpwstr>
      </vt:variant>
      <vt:variant>
        <vt:i4>1179698</vt:i4>
      </vt:variant>
      <vt:variant>
        <vt:i4>1220</vt:i4>
      </vt:variant>
      <vt:variant>
        <vt:i4>0</vt:i4>
      </vt:variant>
      <vt:variant>
        <vt:i4>5</vt:i4>
      </vt:variant>
      <vt:variant>
        <vt:lpwstr/>
      </vt:variant>
      <vt:variant>
        <vt:lpwstr>_Toc218517963</vt:lpwstr>
      </vt:variant>
      <vt:variant>
        <vt:i4>1179698</vt:i4>
      </vt:variant>
      <vt:variant>
        <vt:i4>1214</vt:i4>
      </vt:variant>
      <vt:variant>
        <vt:i4>0</vt:i4>
      </vt:variant>
      <vt:variant>
        <vt:i4>5</vt:i4>
      </vt:variant>
      <vt:variant>
        <vt:lpwstr/>
      </vt:variant>
      <vt:variant>
        <vt:lpwstr>_Toc218517962</vt:lpwstr>
      </vt:variant>
      <vt:variant>
        <vt:i4>1179698</vt:i4>
      </vt:variant>
      <vt:variant>
        <vt:i4>1208</vt:i4>
      </vt:variant>
      <vt:variant>
        <vt:i4>0</vt:i4>
      </vt:variant>
      <vt:variant>
        <vt:i4>5</vt:i4>
      </vt:variant>
      <vt:variant>
        <vt:lpwstr/>
      </vt:variant>
      <vt:variant>
        <vt:lpwstr>_Toc218517961</vt:lpwstr>
      </vt:variant>
      <vt:variant>
        <vt:i4>1179698</vt:i4>
      </vt:variant>
      <vt:variant>
        <vt:i4>1202</vt:i4>
      </vt:variant>
      <vt:variant>
        <vt:i4>0</vt:i4>
      </vt:variant>
      <vt:variant>
        <vt:i4>5</vt:i4>
      </vt:variant>
      <vt:variant>
        <vt:lpwstr/>
      </vt:variant>
      <vt:variant>
        <vt:lpwstr>_Toc218517960</vt:lpwstr>
      </vt:variant>
      <vt:variant>
        <vt:i4>1114162</vt:i4>
      </vt:variant>
      <vt:variant>
        <vt:i4>1196</vt:i4>
      </vt:variant>
      <vt:variant>
        <vt:i4>0</vt:i4>
      </vt:variant>
      <vt:variant>
        <vt:i4>5</vt:i4>
      </vt:variant>
      <vt:variant>
        <vt:lpwstr/>
      </vt:variant>
      <vt:variant>
        <vt:lpwstr>_Toc218517959</vt:lpwstr>
      </vt:variant>
      <vt:variant>
        <vt:i4>1114162</vt:i4>
      </vt:variant>
      <vt:variant>
        <vt:i4>1190</vt:i4>
      </vt:variant>
      <vt:variant>
        <vt:i4>0</vt:i4>
      </vt:variant>
      <vt:variant>
        <vt:i4>5</vt:i4>
      </vt:variant>
      <vt:variant>
        <vt:lpwstr/>
      </vt:variant>
      <vt:variant>
        <vt:lpwstr>_Toc218517958</vt:lpwstr>
      </vt:variant>
      <vt:variant>
        <vt:i4>1114162</vt:i4>
      </vt:variant>
      <vt:variant>
        <vt:i4>1184</vt:i4>
      </vt:variant>
      <vt:variant>
        <vt:i4>0</vt:i4>
      </vt:variant>
      <vt:variant>
        <vt:i4>5</vt:i4>
      </vt:variant>
      <vt:variant>
        <vt:lpwstr/>
      </vt:variant>
      <vt:variant>
        <vt:lpwstr>_Toc218517957</vt:lpwstr>
      </vt:variant>
      <vt:variant>
        <vt:i4>1114162</vt:i4>
      </vt:variant>
      <vt:variant>
        <vt:i4>1178</vt:i4>
      </vt:variant>
      <vt:variant>
        <vt:i4>0</vt:i4>
      </vt:variant>
      <vt:variant>
        <vt:i4>5</vt:i4>
      </vt:variant>
      <vt:variant>
        <vt:lpwstr/>
      </vt:variant>
      <vt:variant>
        <vt:lpwstr>_Toc218517956</vt:lpwstr>
      </vt:variant>
      <vt:variant>
        <vt:i4>1114162</vt:i4>
      </vt:variant>
      <vt:variant>
        <vt:i4>1172</vt:i4>
      </vt:variant>
      <vt:variant>
        <vt:i4>0</vt:i4>
      </vt:variant>
      <vt:variant>
        <vt:i4>5</vt:i4>
      </vt:variant>
      <vt:variant>
        <vt:lpwstr/>
      </vt:variant>
      <vt:variant>
        <vt:lpwstr>_Toc218517955</vt:lpwstr>
      </vt:variant>
      <vt:variant>
        <vt:i4>1114162</vt:i4>
      </vt:variant>
      <vt:variant>
        <vt:i4>1166</vt:i4>
      </vt:variant>
      <vt:variant>
        <vt:i4>0</vt:i4>
      </vt:variant>
      <vt:variant>
        <vt:i4>5</vt:i4>
      </vt:variant>
      <vt:variant>
        <vt:lpwstr/>
      </vt:variant>
      <vt:variant>
        <vt:lpwstr>_Toc218517954</vt:lpwstr>
      </vt:variant>
      <vt:variant>
        <vt:i4>1114162</vt:i4>
      </vt:variant>
      <vt:variant>
        <vt:i4>1160</vt:i4>
      </vt:variant>
      <vt:variant>
        <vt:i4>0</vt:i4>
      </vt:variant>
      <vt:variant>
        <vt:i4>5</vt:i4>
      </vt:variant>
      <vt:variant>
        <vt:lpwstr/>
      </vt:variant>
      <vt:variant>
        <vt:lpwstr>_Toc218517953</vt:lpwstr>
      </vt:variant>
      <vt:variant>
        <vt:i4>1114162</vt:i4>
      </vt:variant>
      <vt:variant>
        <vt:i4>1154</vt:i4>
      </vt:variant>
      <vt:variant>
        <vt:i4>0</vt:i4>
      </vt:variant>
      <vt:variant>
        <vt:i4>5</vt:i4>
      </vt:variant>
      <vt:variant>
        <vt:lpwstr/>
      </vt:variant>
      <vt:variant>
        <vt:lpwstr>_Toc218517952</vt:lpwstr>
      </vt:variant>
      <vt:variant>
        <vt:i4>1114162</vt:i4>
      </vt:variant>
      <vt:variant>
        <vt:i4>1148</vt:i4>
      </vt:variant>
      <vt:variant>
        <vt:i4>0</vt:i4>
      </vt:variant>
      <vt:variant>
        <vt:i4>5</vt:i4>
      </vt:variant>
      <vt:variant>
        <vt:lpwstr/>
      </vt:variant>
      <vt:variant>
        <vt:lpwstr>_Toc218517951</vt:lpwstr>
      </vt:variant>
      <vt:variant>
        <vt:i4>1114162</vt:i4>
      </vt:variant>
      <vt:variant>
        <vt:i4>1142</vt:i4>
      </vt:variant>
      <vt:variant>
        <vt:i4>0</vt:i4>
      </vt:variant>
      <vt:variant>
        <vt:i4>5</vt:i4>
      </vt:variant>
      <vt:variant>
        <vt:lpwstr/>
      </vt:variant>
      <vt:variant>
        <vt:lpwstr>_Toc218517950</vt:lpwstr>
      </vt:variant>
      <vt:variant>
        <vt:i4>1048626</vt:i4>
      </vt:variant>
      <vt:variant>
        <vt:i4>1136</vt:i4>
      </vt:variant>
      <vt:variant>
        <vt:i4>0</vt:i4>
      </vt:variant>
      <vt:variant>
        <vt:i4>5</vt:i4>
      </vt:variant>
      <vt:variant>
        <vt:lpwstr/>
      </vt:variant>
      <vt:variant>
        <vt:lpwstr>_Toc218517949</vt:lpwstr>
      </vt:variant>
      <vt:variant>
        <vt:i4>1048626</vt:i4>
      </vt:variant>
      <vt:variant>
        <vt:i4>1130</vt:i4>
      </vt:variant>
      <vt:variant>
        <vt:i4>0</vt:i4>
      </vt:variant>
      <vt:variant>
        <vt:i4>5</vt:i4>
      </vt:variant>
      <vt:variant>
        <vt:lpwstr/>
      </vt:variant>
      <vt:variant>
        <vt:lpwstr>_Toc218517948</vt:lpwstr>
      </vt:variant>
      <vt:variant>
        <vt:i4>1048626</vt:i4>
      </vt:variant>
      <vt:variant>
        <vt:i4>1124</vt:i4>
      </vt:variant>
      <vt:variant>
        <vt:i4>0</vt:i4>
      </vt:variant>
      <vt:variant>
        <vt:i4>5</vt:i4>
      </vt:variant>
      <vt:variant>
        <vt:lpwstr/>
      </vt:variant>
      <vt:variant>
        <vt:lpwstr>_Toc218517947</vt:lpwstr>
      </vt:variant>
      <vt:variant>
        <vt:i4>1048626</vt:i4>
      </vt:variant>
      <vt:variant>
        <vt:i4>1118</vt:i4>
      </vt:variant>
      <vt:variant>
        <vt:i4>0</vt:i4>
      </vt:variant>
      <vt:variant>
        <vt:i4>5</vt:i4>
      </vt:variant>
      <vt:variant>
        <vt:lpwstr/>
      </vt:variant>
      <vt:variant>
        <vt:lpwstr>_Toc218517946</vt:lpwstr>
      </vt:variant>
      <vt:variant>
        <vt:i4>1048626</vt:i4>
      </vt:variant>
      <vt:variant>
        <vt:i4>1112</vt:i4>
      </vt:variant>
      <vt:variant>
        <vt:i4>0</vt:i4>
      </vt:variant>
      <vt:variant>
        <vt:i4>5</vt:i4>
      </vt:variant>
      <vt:variant>
        <vt:lpwstr/>
      </vt:variant>
      <vt:variant>
        <vt:lpwstr>_Toc218517945</vt:lpwstr>
      </vt:variant>
      <vt:variant>
        <vt:i4>1048626</vt:i4>
      </vt:variant>
      <vt:variant>
        <vt:i4>1106</vt:i4>
      </vt:variant>
      <vt:variant>
        <vt:i4>0</vt:i4>
      </vt:variant>
      <vt:variant>
        <vt:i4>5</vt:i4>
      </vt:variant>
      <vt:variant>
        <vt:lpwstr/>
      </vt:variant>
      <vt:variant>
        <vt:lpwstr>_Toc218517944</vt:lpwstr>
      </vt:variant>
      <vt:variant>
        <vt:i4>1048626</vt:i4>
      </vt:variant>
      <vt:variant>
        <vt:i4>1100</vt:i4>
      </vt:variant>
      <vt:variant>
        <vt:i4>0</vt:i4>
      </vt:variant>
      <vt:variant>
        <vt:i4>5</vt:i4>
      </vt:variant>
      <vt:variant>
        <vt:lpwstr/>
      </vt:variant>
      <vt:variant>
        <vt:lpwstr>_Toc218517943</vt:lpwstr>
      </vt:variant>
      <vt:variant>
        <vt:i4>1048626</vt:i4>
      </vt:variant>
      <vt:variant>
        <vt:i4>1094</vt:i4>
      </vt:variant>
      <vt:variant>
        <vt:i4>0</vt:i4>
      </vt:variant>
      <vt:variant>
        <vt:i4>5</vt:i4>
      </vt:variant>
      <vt:variant>
        <vt:lpwstr/>
      </vt:variant>
      <vt:variant>
        <vt:lpwstr>_Toc218517942</vt:lpwstr>
      </vt:variant>
      <vt:variant>
        <vt:i4>1048626</vt:i4>
      </vt:variant>
      <vt:variant>
        <vt:i4>1088</vt:i4>
      </vt:variant>
      <vt:variant>
        <vt:i4>0</vt:i4>
      </vt:variant>
      <vt:variant>
        <vt:i4>5</vt:i4>
      </vt:variant>
      <vt:variant>
        <vt:lpwstr/>
      </vt:variant>
      <vt:variant>
        <vt:lpwstr>_Toc218517941</vt:lpwstr>
      </vt:variant>
      <vt:variant>
        <vt:i4>1048626</vt:i4>
      </vt:variant>
      <vt:variant>
        <vt:i4>1082</vt:i4>
      </vt:variant>
      <vt:variant>
        <vt:i4>0</vt:i4>
      </vt:variant>
      <vt:variant>
        <vt:i4>5</vt:i4>
      </vt:variant>
      <vt:variant>
        <vt:lpwstr/>
      </vt:variant>
      <vt:variant>
        <vt:lpwstr>_Toc218517940</vt:lpwstr>
      </vt:variant>
      <vt:variant>
        <vt:i4>1507378</vt:i4>
      </vt:variant>
      <vt:variant>
        <vt:i4>1076</vt:i4>
      </vt:variant>
      <vt:variant>
        <vt:i4>0</vt:i4>
      </vt:variant>
      <vt:variant>
        <vt:i4>5</vt:i4>
      </vt:variant>
      <vt:variant>
        <vt:lpwstr/>
      </vt:variant>
      <vt:variant>
        <vt:lpwstr>_Toc218517939</vt:lpwstr>
      </vt:variant>
      <vt:variant>
        <vt:i4>1507378</vt:i4>
      </vt:variant>
      <vt:variant>
        <vt:i4>1070</vt:i4>
      </vt:variant>
      <vt:variant>
        <vt:i4>0</vt:i4>
      </vt:variant>
      <vt:variant>
        <vt:i4>5</vt:i4>
      </vt:variant>
      <vt:variant>
        <vt:lpwstr/>
      </vt:variant>
      <vt:variant>
        <vt:lpwstr>_Toc218517938</vt:lpwstr>
      </vt:variant>
      <vt:variant>
        <vt:i4>1507378</vt:i4>
      </vt:variant>
      <vt:variant>
        <vt:i4>1064</vt:i4>
      </vt:variant>
      <vt:variant>
        <vt:i4>0</vt:i4>
      </vt:variant>
      <vt:variant>
        <vt:i4>5</vt:i4>
      </vt:variant>
      <vt:variant>
        <vt:lpwstr/>
      </vt:variant>
      <vt:variant>
        <vt:lpwstr>_Toc218517937</vt:lpwstr>
      </vt:variant>
      <vt:variant>
        <vt:i4>1507378</vt:i4>
      </vt:variant>
      <vt:variant>
        <vt:i4>1058</vt:i4>
      </vt:variant>
      <vt:variant>
        <vt:i4>0</vt:i4>
      </vt:variant>
      <vt:variant>
        <vt:i4>5</vt:i4>
      </vt:variant>
      <vt:variant>
        <vt:lpwstr/>
      </vt:variant>
      <vt:variant>
        <vt:lpwstr>_Toc218517936</vt:lpwstr>
      </vt:variant>
      <vt:variant>
        <vt:i4>1507378</vt:i4>
      </vt:variant>
      <vt:variant>
        <vt:i4>1052</vt:i4>
      </vt:variant>
      <vt:variant>
        <vt:i4>0</vt:i4>
      </vt:variant>
      <vt:variant>
        <vt:i4>5</vt:i4>
      </vt:variant>
      <vt:variant>
        <vt:lpwstr/>
      </vt:variant>
      <vt:variant>
        <vt:lpwstr>_Toc218517935</vt:lpwstr>
      </vt:variant>
      <vt:variant>
        <vt:i4>1507378</vt:i4>
      </vt:variant>
      <vt:variant>
        <vt:i4>1046</vt:i4>
      </vt:variant>
      <vt:variant>
        <vt:i4>0</vt:i4>
      </vt:variant>
      <vt:variant>
        <vt:i4>5</vt:i4>
      </vt:variant>
      <vt:variant>
        <vt:lpwstr/>
      </vt:variant>
      <vt:variant>
        <vt:lpwstr>_Toc218517934</vt:lpwstr>
      </vt:variant>
      <vt:variant>
        <vt:i4>1507378</vt:i4>
      </vt:variant>
      <vt:variant>
        <vt:i4>1040</vt:i4>
      </vt:variant>
      <vt:variant>
        <vt:i4>0</vt:i4>
      </vt:variant>
      <vt:variant>
        <vt:i4>5</vt:i4>
      </vt:variant>
      <vt:variant>
        <vt:lpwstr/>
      </vt:variant>
      <vt:variant>
        <vt:lpwstr>_Toc218517933</vt:lpwstr>
      </vt:variant>
      <vt:variant>
        <vt:i4>1507378</vt:i4>
      </vt:variant>
      <vt:variant>
        <vt:i4>1034</vt:i4>
      </vt:variant>
      <vt:variant>
        <vt:i4>0</vt:i4>
      </vt:variant>
      <vt:variant>
        <vt:i4>5</vt:i4>
      </vt:variant>
      <vt:variant>
        <vt:lpwstr/>
      </vt:variant>
      <vt:variant>
        <vt:lpwstr>_Toc218517932</vt:lpwstr>
      </vt:variant>
      <vt:variant>
        <vt:i4>1507378</vt:i4>
      </vt:variant>
      <vt:variant>
        <vt:i4>1028</vt:i4>
      </vt:variant>
      <vt:variant>
        <vt:i4>0</vt:i4>
      </vt:variant>
      <vt:variant>
        <vt:i4>5</vt:i4>
      </vt:variant>
      <vt:variant>
        <vt:lpwstr/>
      </vt:variant>
      <vt:variant>
        <vt:lpwstr>_Toc218517931</vt:lpwstr>
      </vt:variant>
      <vt:variant>
        <vt:i4>1507378</vt:i4>
      </vt:variant>
      <vt:variant>
        <vt:i4>1022</vt:i4>
      </vt:variant>
      <vt:variant>
        <vt:i4>0</vt:i4>
      </vt:variant>
      <vt:variant>
        <vt:i4>5</vt:i4>
      </vt:variant>
      <vt:variant>
        <vt:lpwstr/>
      </vt:variant>
      <vt:variant>
        <vt:lpwstr>_Toc218517930</vt:lpwstr>
      </vt:variant>
      <vt:variant>
        <vt:i4>1441842</vt:i4>
      </vt:variant>
      <vt:variant>
        <vt:i4>1016</vt:i4>
      </vt:variant>
      <vt:variant>
        <vt:i4>0</vt:i4>
      </vt:variant>
      <vt:variant>
        <vt:i4>5</vt:i4>
      </vt:variant>
      <vt:variant>
        <vt:lpwstr/>
      </vt:variant>
      <vt:variant>
        <vt:lpwstr>_Toc218517929</vt:lpwstr>
      </vt:variant>
      <vt:variant>
        <vt:i4>1441842</vt:i4>
      </vt:variant>
      <vt:variant>
        <vt:i4>1010</vt:i4>
      </vt:variant>
      <vt:variant>
        <vt:i4>0</vt:i4>
      </vt:variant>
      <vt:variant>
        <vt:i4>5</vt:i4>
      </vt:variant>
      <vt:variant>
        <vt:lpwstr/>
      </vt:variant>
      <vt:variant>
        <vt:lpwstr>_Toc218517928</vt:lpwstr>
      </vt:variant>
      <vt:variant>
        <vt:i4>1441842</vt:i4>
      </vt:variant>
      <vt:variant>
        <vt:i4>1004</vt:i4>
      </vt:variant>
      <vt:variant>
        <vt:i4>0</vt:i4>
      </vt:variant>
      <vt:variant>
        <vt:i4>5</vt:i4>
      </vt:variant>
      <vt:variant>
        <vt:lpwstr/>
      </vt:variant>
      <vt:variant>
        <vt:lpwstr>_Toc218517927</vt:lpwstr>
      </vt:variant>
      <vt:variant>
        <vt:i4>1441842</vt:i4>
      </vt:variant>
      <vt:variant>
        <vt:i4>998</vt:i4>
      </vt:variant>
      <vt:variant>
        <vt:i4>0</vt:i4>
      </vt:variant>
      <vt:variant>
        <vt:i4>5</vt:i4>
      </vt:variant>
      <vt:variant>
        <vt:lpwstr/>
      </vt:variant>
      <vt:variant>
        <vt:lpwstr>_Toc218517926</vt:lpwstr>
      </vt:variant>
      <vt:variant>
        <vt:i4>1441842</vt:i4>
      </vt:variant>
      <vt:variant>
        <vt:i4>992</vt:i4>
      </vt:variant>
      <vt:variant>
        <vt:i4>0</vt:i4>
      </vt:variant>
      <vt:variant>
        <vt:i4>5</vt:i4>
      </vt:variant>
      <vt:variant>
        <vt:lpwstr/>
      </vt:variant>
      <vt:variant>
        <vt:lpwstr>_Toc218517925</vt:lpwstr>
      </vt:variant>
      <vt:variant>
        <vt:i4>1441842</vt:i4>
      </vt:variant>
      <vt:variant>
        <vt:i4>986</vt:i4>
      </vt:variant>
      <vt:variant>
        <vt:i4>0</vt:i4>
      </vt:variant>
      <vt:variant>
        <vt:i4>5</vt:i4>
      </vt:variant>
      <vt:variant>
        <vt:lpwstr/>
      </vt:variant>
      <vt:variant>
        <vt:lpwstr>_Toc218517924</vt:lpwstr>
      </vt:variant>
      <vt:variant>
        <vt:i4>1441842</vt:i4>
      </vt:variant>
      <vt:variant>
        <vt:i4>980</vt:i4>
      </vt:variant>
      <vt:variant>
        <vt:i4>0</vt:i4>
      </vt:variant>
      <vt:variant>
        <vt:i4>5</vt:i4>
      </vt:variant>
      <vt:variant>
        <vt:lpwstr/>
      </vt:variant>
      <vt:variant>
        <vt:lpwstr>_Toc218517923</vt:lpwstr>
      </vt:variant>
      <vt:variant>
        <vt:i4>1441842</vt:i4>
      </vt:variant>
      <vt:variant>
        <vt:i4>974</vt:i4>
      </vt:variant>
      <vt:variant>
        <vt:i4>0</vt:i4>
      </vt:variant>
      <vt:variant>
        <vt:i4>5</vt:i4>
      </vt:variant>
      <vt:variant>
        <vt:lpwstr/>
      </vt:variant>
      <vt:variant>
        <vt:lpwstr>_Toc218517922</vt:lpwstr>
      </vt:variant>
      <vt:variant>
        <vt:i4>1441842</vt:i4>
      </vt:variant>
      <vt:variant>
        <vt:i4>968</vt:i4>
      </vt:variant>
      <vt:variant>
        <vt:i4>0</vt:i4>
      </vt:variant>
      <vt:variant>
        <vt:i4>5</vt:i4>
      </vt:variant>
      <vt:variant>
        <vt:lpwstr/>
      </vt:variant>
      <vt:variant>
        <vt:lpwstr>_Toc218517921</vt:lpwstr>
      </vt:variant>
      <vt:variant>
        <vt:i4>1441842</vt:i4>
      </vt:variant>
      <vt:variant>
        <vt:i4>962</vt:i4>
      </vt:variant>
      <vt:variant>
        <vt:i4>0</vt:i4>
      </vt:variant>
      <vt:variant>
        <vt:i4>5</vt:i4>
      </vt:variant>
      <vt:variant>
        <vt:lpwstr/>
      </vt:variant>
      <vt:variant>
        <vt:lpwstr>_Toc218517920</vt:lpwstr>
      </vt:variant>
      <vt:variant>
        <vt:i4>1376306</vt:i4>
      </vt:variant>
      <vt:variant>
        <vt:i4>956</vt:i4>
      </vt:variant>
      <vt:variant>
        <vt:i4>0</vt:i4>
      </vt:variant>
      <vt:variant>
        <vt:i4>5</vt:i4>
      </vt:variant>
      <vt:variant>
        <vt:lpwstr/>
      </vt:variant>
      <vt:variant>
        <vt:lpwstr>_Toc218517919</vt:lpwstr>
      </vt:variant>
      <vt:variant>
        <vt:i4>1376306</vt:i4>
      </vt:variant>
      <vt:variant>
        <vt:i4>950</vt:i4>
      </vt:variant>
      <vt:variant>
        <vt:i4>0</vt:i4>
      </vt:variant>
      <vt:variant>
        <vt:i4>5</vt:i4>
      </vt:variant>
      <vt:variant>
        <vt:lpwstr/>
      </vt:variant>
      <vt:variant>
        <vt:lpwstr>_Toc218517918</vt:lpwstr>
      </vt:variant>
      <vt:variant>
        <vt:i4>1376306</vt:i4>
      </vt:variant>
      <vt:variant>
        <vt:i4>944</vt:i4>
      </vt:variant>
      <vt:variant>
        <vt:i4>0</vt:i4>
      </vt:variant>
      <vt:variant>
        <vt:i4>5</vt:i4>
      </vt:variant>
      <vt:variant>
        <vt:lpwstr/>
      </vt:variant>
      <vt:variant>
        <vt:lpwstr>_Toc218517917</vt:lpwstr>
      </vt:variant>
      <vt:variant>
        <vt:i4>1376306</vt:i4>
      </vt:variant>
      <vt:variant>
        <vt:i4>938</vt:i4>
      </vt:variant>
      <vt:variant>
        <vt:i4>0</vt:i4>
      </vt:variant>
      <vt:variant>
        <vt:i4>5</vt:i4>
      </vt:variant>
      <vt:variant>
        <vt:lpwstr/>
      </vt:variant>
      <vt:variant>
        <vt:lpwstr>_Toc218517916</vt:lpwstr>
      </vt:variant>
      <vt:variant>
        <vt:i4>1376306</vt:i4>
      </vt:variant>
      <vt:variant>
        <vt:i4>932</vt:i4>
      </vt:variant>
      <vt:variant>
        <vt:i4>0</vt:i4>
      </vt:variant>
      <vt:variant>
        <vt:i4>5</vt:i4>
      </vt:variant>
      <vt:variant>
        <vt:lpwstr/>
      </vt:variant>
      <vt:variant>
        <vt:lpwstr>_Toc218517915</vt:lpwstr>
      </vt:variant>
      <vt:variant>
        <vt:i4>1376306</vt:i4>
      </vt:variant>
      <vt:variant>
        <vt:i4>926</vt:i4>
      </vt:variant>
      <vt:variant>
        <vt:i4>0</vt:i4>
      </vt:variant>
      <vt:variant>
        <vt:i4>5</vt:i4>
      </vt:variant>
      <vt:variant>
        <vt:lpwstr/>
      </vt:variant>
      <vt:variant>
        <vt:lpwstr>_Toc218517914</vt:lpwstr>
      </vt:variant>
      <vt:variant>
        <vt:i4>1376306</vt:i4>
      </vt:variant>
      <vt:variant>
        <vt:i4>920</vt:i4>
      </vt:variant>
      <vt:variant>
        <vt:i4>0</vt:i4>
      </vt:variant>
      <vt:variant>
        <vt:i4>5</vt:i4>
      </vt:variant>
      <vt:variant>
        <vt:lpwstr/>
      </vt:variant>
      <vt:variant>
        <vt:lpwstr>_Toc218517913</vt:lpwstr>
      </vt:variant>
      <vt:variant>
        <vt:i4>1376306</vt:i4>
      </vt:variant>
      <vt:variant>
        <vt:i4>914</vt:i4>
      </vt:variant>
      <vt:variant>
        <vt:i4>0</vt:i4>
      </vt:variant>
      <vt:variant>
        <vt:i4>5</vt:i4>
      </vt:variant>
      <vt:variant>
        <vt:lpwstr/>
      </vt:variant>
      <vt:variant>
        <vt:lpwstr>_Toc218517912</vt:lpwstr>
      </vt:variant>
      <vt:variant>
        <vt:i4>1376306</vt:i4>
      </vt:variant>
      <vt:variant>
        <vt:i4>908</vt:i4>
      </vt:variant>
      <vt:variant>
        <vt:i4>0</vt:i4>
      </vt:variant>
      <vt:variant>
        <vt:i4>5</vt:i4>
      </vt:variant>
      <vt:variant>
        <vt:lpwstr/>
      </vt:variant>
      <vt:variant>
        <vt:lpwstr>_Toc218517911</vt:lpwstr>
      </vt:variant>
      <vt:variant>
        <vt:i4>1376306</vt:i4>
      </vt:variant>
      <vt:variant>
        <vt:i4>902</vt:i4>
      </vt:variant>
      <vt:variant>
        <vt:i4>0</vt:i4>
      </vt:variant>
      <vt:variant>
        <vt:i4>5</vt:i4>
      </vt:variant>
      <vt:variant>
        <vt:lpwstr/>
      </vt:variant>
      <vt:variant>
        <vt:lpwstr>_Toc218517910</vt:lpwstr>
      </vt:variant>
      <vt:variant>
        <vt:i4>1310770</vt:i4>
      </vt:variant>
      <vt:variant>
        <vt:i4>896</vt:i4>
      </vt:variant>
      <vt:variant>
        <vt:i4>0</vt:i4>
      </vt:variant>
      <vt:variant>
        <vt:i4>5</vt:i4>
      </vt:variant>
      <vt:variant>
        <vt:lpwstr/>
      </vt:variant>
      <vt:variant>
        <vt:lpwstr>_Toc218517909</vt:lpwstr>
      </vt:variant>
      <vt:variant>
        <vt:i4>1310770</vt:i4>
      </vt:variant>
      <vt:variant>
        <vt:i4>890</vt:i4>
      </vt:variant>
      <vt:variant>
        <vt:i4>0</vt:i4>
      </vt:variant>
      <vt:variant>
        <vt:i4>5</vt:i4>
      </vt:variant>
      <vt:variant>
        <vt:lpwstr/>
      </vt:variant>
      <vt:variant>
        <vt:lpwstr>_Toc218517908</vt:lpwstr>
      </vt:variant>
      <vt:variant>
        <vt:i4>1310770</vt:i4>
      </vt:variant>
      <vt:variant>
        <vt:i4>884</vt:i4>
      </vt:variant>
      <vt:variant>
        <vt:i4>0</vt:i4>
      </vt:variant>
      <vt:variant>
        <vt:i4>5</vt:i4>
      </vt:variant>
      <vt:variant>
        <vt:lpwstr/>
      </vt:variant>
      <vt:variant>
        <vt:lpwstr>_Toc218517907</vt:lpwstr>
      </vt:variant>
      <vt:variant>
        <vt:i4>1310770</vt:i4>
      </vt:variant>
      <vt:variant>
        <vt:i4>878</vt:i4>
      </vt:variant>
      <vt:variant>
        <vt:i4>0</vt:i4>
      </vt:variant>
      <vt:variant>
        <vt:i4>5</vt:i4>
      </vt:variant>
      <vt:variant>
        <vt:lpwstr/>
      </vt:variant>
      <vt:variant>
        <vt:lpwstr>_Toc218517906</vt:lpwstr>
      </vt:variant>
      <vt:variant>
        <vt:i4>1310770</vt:i4>
      </vt:variant>
      <vt:variant>
        <vt:i4>872</vt:i4>
      </vt:variant>
      <vt:variant>
        <vt:i4>0</vt:i4>
      </vt:variant>
      <vt:variant>
        <vt:i4>5</vt:i4>
      </vt:variant>
      <vt:variant>
        <vt:lpwstr/>
      </vt:variant>
      <vt:variant>
        <vt:lpwstr>_Toc218517905</vt:lpwstr>
      </vt:variant>
      <vt:variant>
        <vt:i4>1310770</vt:i4>
      </vt:variant>
      <vt:variant>
        <vt:i4>866</vt:i4>
      </vt:variant>
      <vt:variant>
        <vt:i4>0</vt:i4>
      </vt:variant>
      <vt:variant>
        <vt:i4>5</vt:i4>
      </vt:variant>
      <vt:variant>
        <vt:lpwstr/>
      </vt:variant>
      <vt:variant>
        <vt:lpwstr>_Toc218517904</vt:lpwstr>
      </vt:variant>
      <vt:variant>
        <vt:i4>1310770</vt:i4>
      </vt:variant>
      <vt:variant>
        <vt:i4>860</vt:i4>
      </vt:variant>
      <vt:variant>
        <vt:i4>0</vt:i4>
      </vt:variant>
      <vt:variant>
        <vt:i4>5</vt:i4>
      </vt:variant>
      <vt:variant>
        <vt:lpwstr/>
      </vt:variant>
      <vt:variant>
        <vt:lpwstr>_Toc218517903</vt:lpwstr>
      </vt:variant>
      <vt:variant>
        <vt:i4>1310770</vt:i4>
      </vt:variant>
      <vt:variant>
        <vt:i4>854</vt:i4>
      </vt:variant>
      <vt:variant>
        <vt:i4>0</vt:i4>
      </vt:variant>
      <vt:variant>
        <vt:i4>5</vt:i4>
      </vt:variant>
      <vt:variant>
        <vt:lpwstr/>
      </vt:variant>
      <vt:variant>
        <vt:lpwstr>_Toc218517902</vt:lpwstr>
      </vt:variant>
      <vt:variant>
        <vt:i4>1310770</vt:i4>
      </vt:variant>
      <vt:variant>
        <vt:i4>848</vt:i4>
      </vt:variant>
      <vt:variant>
        <vt:i4>0</vt:i4>
      </vt:variant>
      <vt:variant>
        <vt:i4>5</vt:i4>
      </vt:variant>
      <vt:variant>
        <vt:lpwstr/>
      </vt:variant>
      <vt:variant>
        <vt:lpwstr>_Toc218517901</vt:lpwstr>
      </vt:variant>
      <vt:variant>
        <vt:i4>1310770</vt:i4>
      </vt:variant>
      <vt:variant>
        <vt:i4>842</vt:i4>
      </vt:variant>
      <vt:variant>
        <vt:i4>0</vt:i4>
      </vt:variant>
      <vt:variant>
        <vt:i4>5</vt:i4>
      </vt:variant>
      <vt:variant>
        <vt:lpwstr/>
      </vt:variant>
      <vt:variant>
        <vt:lpwstr>_Toc218517900</vt:lpwstr>
      </vt:variant>
      <vt:variant>
        <vt:i4>1900595</vt:i4>
      </vt:variant>
      <vt:variant>
        <vt:i4>836</vt:i4>
      </vt:variant>
      <vt:variant>
        <vt:i4>0</vt:i4>
      </vt:variant>
      <vt:variant>
        <vt:i4>5</vt:i4>
      </vt:variant>
      <vt:variant>
        <vt:lpwstr/>
      </vt:variant>
      <vt:variant>
        <vt:lpwstr>_Toc218517899</vt:lpwstr>
      </vt:variant>
      <vt:variant>
        <vt:i4>1900595</vt:i4>
      </vt:variant>
      <vt:variant>
        <vt:i4>830</vt:i4>
      </vt:variant>
      <vt:variant>
        <vt:i4>0</vt:i4>
      </vt:variant>
      <vt:variant>
        <vt:i4>5</vt:i4>
      </vt:variant>
      <vt:variant>
        <vt:lpwstr/>
      </vt:variant>
      <vt:variant>
        <vt:lpwstr>_Toc218517898</vt:lpwstr>
      </vt:variant>
      <vt:variant>
        <vt:i4>1900595</vt:i4>
      </vt:variant>
      <vt:variant>
        <vt:i4>824</vt:i4>
      </vt:variant>
      <vt:variant>
        <vt:i4>0</vt:i4>
      </vt:variant>
      <vt:variant>
        <vt:i4>5</vt:i4>
      </vt:variant>
      <vt:variant>
        <vt:lpwstr/>
      </vt:variant>
      <vt:variant>
        <vt:lpwstr>_Toc218517897</vt:lpwstr>
      </vt:variant>
      <vt:variant>
        <vt:i4>1900595</vt:i4>
      </vt:variant>
      <vt:variant>
        <vt:i4>818</vt:i4>
      </vt:variant>
      <vt:variant>
        <vt:i4>0</vt:i4>
      </vt:variant>
      <vt:variant>
        <vt:i4>5</vt:i4>
      </vt:variant>
      <vt:variant>
        <vt:lpwstr/>
      </vt:variant>
      <vt:variant>
        <vt:lpwstr>_Toc218517896</vt:lpwstr>
      </vt:variant>
      <vt:variant>
        <vt:i4>1900595</vt:i4>
      </vt:variant>
      <vt:variant>
        <vt:i4>812</vt:i4>
      </vt:variant>
      <vt:variant>
        <vt:i4>0</vt:i4>
      </vt:variant>
      <vt:variant>
        <vt:i4>5</vt:i4>
      </vt:variant>
      <vt:variant>
        <vt:lpwstr/>
      </vt:variant>
      <vt:variant>
        <vt:lpwstr>_Toc218517895</vt:lpwstr>
      </vt:variant>
      <vt:variant>
        <vt:i4>1900595</vt:i4>
      </vt:variant>
      <vt:variant>
        <vt:i4>806</vt:i4>
      </vt:variant>
      <vt:variant>
        <vt:i4>0</vt:i4>
      </vt:variant>
      <vt:variant>
        <vt:i4>5</vt:i4>
      </vt:variant>
      <vt:variant>
        <vt:lpwstr/>
      </vt:variant>
      <vt:variant>
        <vt:lpwstr>_Toc218517894</vt:lpwstr>
      </vt:variant>
      <vt:variant>
        <vt:i4>1900595</vt:i4>
      </vt:variant>
      <vt:variant>
        <vt:i4>800</vt:i4>
      </vt:variant>
      <vt:variant>
        <vt:i4>0</vt:i4>
      </vt:variant>
      <vt:variant>
        <vt:i4>5</vt:i4>
      </vt:variant>
      <vt:variant>
        <vt:lpwstr/>
      </vt:variant>
      <vt:variant>
        <vt:lpwstr>_Toc218517893</vt:lpwstr>
      </vt:variant>
      <vt:variant>
        <vt:i4>1900595</vt:i4>
      </vt:variant>
      <vt:variant>
        <vt:i4>794</vt:i4>
      </vt:variant>
      <vt:variant>
        <vt:i4>0</vt:i4>
      </vt:variant>
      <vt:variant>
        <vt:i4>5</vt:i4>
      </vt:variant>
      <vt:variant>
        <vt:lpwstr/>
      </vt:variant>
      <vt:variant>
        <vt:lpwstr>_Toc218517892</vt:lpwstr>
      </vt:variant>
      <vt:variant>
        <vt:i4>1900595</vt:i4>
      </vt:variant>
      <vt:variant>
        <vt:i4>788</vt:i4>
      </vt:variant>
      <vt:variant>
        <vt:i4>0</vt:i4>
      </vt:variant>
      <vt:variant>
        <vt:i4>5</vt:i4>
      </vt:variant>
      <vt:variant>
        <vt:lpwstr/>
      </vt:variant>
      <vt:variant>
        <vt:lpwstr>_Toc218517891</vt:lpwstr>
      </vt:variant>
      <vt:variant>
        <vt:i4>1900595</vt:i4>
      </vt:variant>
      <vt:variant>
        <vt:i4>782</vt:i4>
      </vt:variant>
      <vt:variant>
        <vt:i4>0</vt:i4>
      </vt:variant>
      <vt:variant>
        <vt:i4>5</vt:i4>
      </vt:variant>
      <vt:variant>
        <vt:lpwstr/>
      </vt:variant>
      <vt:variant>
        <vt:lpwstr>_Toc218517890</vt:lpwstr>
      </vt:variant>
      <vt:variant>
        <vt:i4>1835059</vt:i4>
      </vt:variant>
      <vt:variant>
        <vt:i4>776</vt:i4>
      </vt:variant>
      <vt:variant>
        <vt:i4>0</vt:i4>
      </vt:variant>
      <vt:variant>
        <vt:i4>5</vt:i4>
      </vt:variant>
      <vt:variant>
        <vt:lpwstr/>
      </vt:variant>
      <vt:variant>
        <vt:lpwstr>_Toc218517889</vt:lpwstr>
      </vt:variant>
      <vt:variant>
        <vt:i4>1835059</vt:i4>
      </vt:variant>
      <vt:variant>
        <vt:i4>770</vt:i4>
      </vt:variant>
      <vt:variant>
        <vt:i4>0</vt:i4>
      </vt:variant>
      <vt:variant>
        <vt:i4>5</vt:i4>
      </vt:variant>
      <vt:variant>
        <vt:lpwstr/>
      </vt:variant>
      <vt:variant>
        <vt:lpwstr>_Toc218517888</vt:lpwstr>
      </vt:variant>
      <vt:variant>
        <vt:i4>1835059</vt:i4>
      </vt:variant>
      <vt:variant>
        <vt:i4>764</vt:i4>
      </vt:variant>
      <vt:variant>
        <vt:i4>0</vt:i4>
      </vt:variant>
      <vt:variant>
        <vt:i4>5</vt:i4>
      </vt:variant>
      <vt:variant>
        <vt:lpwstr/>
      </vt:variant>
      <vt:variant>
        <vt:lpwstr>_Toc218517887</vt:lpwstr>
      </vt:variant>
      <vt:variant>
        <vt:i4>1835059</vt:i4>
      </vt:variant>
      <vt:variant>
        <vt:i4>758</vt:i4>
      </vt:variant>
      <vt:variant>
        <vt:i4>0</vt:i4>
      </vt:variant>
      <vt:variant>
        <vt:i4>5</vt:i4>
      </vt:variant>
      <vt:variant>
        <vt:lpwstr/>
      </vt:variant>
      <vt:variant>
        <vt:lpwstr>_Toc218517886</vt:lpwstr>
      </vt:variant>
      <vt:variant>
        <vt:i4>1835059</vt:i4>
      </vt:variant>
      <vt:variant>
        <vt:i4>752</vt:i4>
      </vt:variant>
      <vt:variant>
        <vt:i4>0</vt:i4>
      </vt:variant>
      <vt:variant>
        <vt:i4>5</vt:i4>
      </vt:variant>
      <vt:variant>
        <vt:lpwstr/>
      </vt:variant>
      <vt:variant>
        <vt:lpwstr>_Toc218517885</vt:lpwstr>
      </vt:variant>
      <vt:variant>
        <vt:i4>1835059</vt:i4>
      </vt:variant>
      <vt:variant>
        <vt:i4>746</vt:i4>
      </vt:variant>
      <vt:variant>
        <vt:i4>0</vt:i4>
      </vt:variant>
      <vt:variant>
        <vt:i4>5</vt:i4>
      </vt:variant>
      <vt:variant>
        <vt:lpwstr/>
      </vt:variant>
      <vt:variant>
        <vt:lpwstr>_Toc218517884</vt:lpwstr>
      </vt:variant>
      <vt:variant>
        <vt:i4>1835059</vt:i4>
      </vt:variant>
      <vt:variant>
        <vt:i4>740</vt:i4>
      </vt:variant>
      <vt:variant>
        <vt:i4>0</vt:i4>
      </vt:variant>
      <vt:variant>
        <vt:i4>5</vt:i4>
      </vt:variant>
      <vt:variant>
        <vt:lpwstr/>
      </vt:variant>
      <vt:variant>
        <vt:lpwstr>_Toc218517883</vt:lpwstr>
      </vt:variant>
      <vt:variant>
        <vt:i4>1835059</vt:i4>
      </vt:variant>
      <vt:variant>
        <vt:i4>734</vt:i4>
      </vt:variant>
      <vt:variant>
        <vt:i4>0</vt:i4>
      </vt:variant>
      <vt:variant>
        <vt:i4>5</vt:i4>
      </vt:variant>
      <vt:variant>
        <vt:lpwstr/>
      </vt:variant>
      <vt:variant>
        <vt:lpwstr>_Toc218517882</vt:lpwstr>
      </vt:variant>
      <vt:variant>
        <vt:i4>1835059</vt:i4>
      </vt:variant>
      <vt:variant>
        <vt:i4>728</vt:i4>
      </vt:variant>
      <vt:variant>
        <vt:i4>0</vt:i4>
      </vt:variant>
      <vt:variant>
        <vt:i4>5</vt:i4>
      </vt:variant>
      <vt:variant>
        <vt:lpwstr/>
      </vt:variant>
      <vt:variant>
        <vt:lpwstr>_Toc218517881</vt:lpwstr>
      </vt:variant>
      <vt:variant>
        <vt:i4>1835059</vt:i4>
      </vt:variant>
      <vt:variant>
        <vt:i4>722</vt:i4>
      </vt:variant>
      <vt:variant>
        <vt:i4>0</vt:i4>
      </vt:variant>
      <vt:variant>
        <vt:i4>5</vt:i4>
      </vt:variant>
      <vt:variant>
        <vt:lpwstr/>
      </vt:variant>
      <vt:variant>
        <vt:lpwstr>_Toc218517880</vt:lpwstr>
      </vt:variant>
      <vt:variant>
        <vt:i4>1245235</vt:i4>
      </vt:variant>
      <vt:variant>
        <vt:i4>716</vt:i4>
      </vt:variant>
      <vt:variant>
        <vt:i4>0</vt:i4>
      </vt:variant>
      <vt:variant>
        <vt:i4>5</vt:i4>
      </vt:variant>
      <vt:variant>
        <vt:lpwstr/>
      </vt:variant>
      <vt:variant>
        <vt:lpwstr>_Toc218517879</vt:lpwstr>
      </vt:variant>
      <vt:variant>
        <vt:i4>1245235</vt:i4>
      </vt:variant>
      <vt:variant>
        <vt:i4>710</vt:i4>
      </vt:variant>
      <vt:variant>
        <vt:i4>0</vt:i4>
      </vt:variant>
      <vt:variant>
        <vt:i4>5</vt:i4>
      </vt:variant>
      <vt:variant>
        <vt:lpwstr/>
      </vt:variant>
      <vt:variant>
        <vt:lpwstr>_Toc218517878</vt:lpwstr>
      </vt:variant>
      <vt:variant>
        <vt:i4>1245235</vt:i4>
      </vt:variant>
      <vt:variant>
        <vt:i4>704</vt:i4>
      </vt:variant>
      <vt:variant>
        <vt:i4>0</vt:i4>
      </vt:variant>
      <vt:variant>
        <vt:i4>5</vt:i4>
      </vt:variant>
      <vt:variant>
        <vt:lpwstr/>
      </vt:variant>
      <vt:variant>
        <vt:lpwstr>_Toc218517877</vt:lpwstr>
      </vt:variant>
      <vt:variant>
        <vt:i4>1245235</vt:i4>
      </vt:variant>
      <vt:variant>
        <vt:i4>698</vt:i4>
      </vt:variant>
      <vt:variant>
        <vt:i4>0</vt:i4>
      </vt:variant>
      <vt:variant>
        <vt:i4>5</vt:i4>
      </vt:variant>
      <vt:variant>
        <vt:lpwstr/>
      </vt:variant>
      <vt:variant>
        <vt:lpwstr>_Toc218517876</vt:lpwstr>
      </vt:variant>
      <vt:variant>
        <vt:i4>1245235</vt:i4>
      </vt:variant>
      <vt:variant>
        <vt:i4>692</vt:i4>
      </vt:variant>
      <vt:variant>
        <vt:i4>0</vt:i4>
      </vt:variant>
      <vt:variant>
        <vt:i4>5</vt:i4>
      </vt:variant>
      <vt:variant>
        <vt:lpwstr/>
      </vt:variant>
      <vt:variant>
        <vt:lpwstr>_Toc218517875</vt:lpwstr>
      </vt:variant>
      <vt:variant>
        <vt:i4>1245235</vt:i4>
      </vt:variant>
      <vt:variant>
        <vt:i4>686</vt:i4>
      </vt:variant>
      <vt:variant>
        <vt:i4>0</vt:i4>
      </vt:variant>
      <vt:variant>
        <vt:i4>5</vt:i4>
      </vt:variant>
      <vt:variant>
        <vt:lpwstr/>
      </vt:variant>
      <vt:variant>
        <vt:lpwstr>_Toc218517874</vt:lpwstr>
      </vt:variant>
      <vt:variant>
        <vt:i4>1245235</vt:i4>
      </vt:variant>
      <vt:variant>
        <vt:i4>680</vt:i4>
      </vt:variant>
      <vt:variant>
        <vt:i4>0</vt:i4>
      </vt:variant>
      <vt:variant>
        <vt:i4>5</vt:i4>
      </vt:variant>
      <vt:variant>
        <vt:lpwstr/>
      </vt:variant>
      <vt:variant>
        <vt:lpwstr>_Toc218517873</vt:lpwstr>
      </vt:variant>
      <vt:variant>
        <vt:i4>1245235</vt:i4>
      </vt:variant>
      <vt:variant>
        <vt:i4>674</vt:i4>
      </vt:variant>
      <vt:variant>
        <vt:i4>0</vt:i4>
      </vt:variant>
      <vt:variant>
        <vt:i4>5</vt:i4>
      </vt:variant>
      <vt:variant>
        <vt:lpwstr/>
      </vt:variant>
      <vt:variant>
        <vt:lpwstr>_Toc218517872</vt:lpwstr>
      </vt:variant>
      <vt:variant>
        <vt:i4>1245235</vt:i4>
      </vt:variant>
      <vt:variant>
        <vt:i4>668</vt:i4>
      </vt:variant>
      <vt:variant>
        <vt:i4>0</vt:i4>
      </vt:variant>
      <vt:variant>
        <vt:i4>5</vt:i4>
      </vt:variant>
      <vt:variant>
        <vt:lpwstr/>
      </vt:variant>
      <vt:variant>
        <vt:lpwstr>_Toc218517871</vt:lpwstr>
      </vt:variant>
      <vt:variant>
        <vt:i4>1245235</vt:i4>
      </vt:variant>
      <vt:variant>
        <vt:i4>662</vt:i4>
      </vt:variant>
      <vt:variant>
        <vt:i4>0</vt:i4>
      </vt:variant>
      <vt:variant>
        <vt:i4>5</vt:i4>
      </vt:variant>
      <vt:variant>
        <vt:lpwstr/>
      </vt:variant>
      <vt:variant>
        <vt:lpwstr>_Toc218517870</vt:lpwstr>
      </vt:variant>
      <vt:variant>
        <vt:i4>1179699</vt:i4>
      </vt:variant>
      <vt:variant>
        <vt:i4>656</vt:i4>
      </vt:variant>
      <vt:variant>
        <vt:i4>0</vt:i4>
      </vt:variant>
      <vt:variant>
        <vt:i4>5</vt:i4>
      </vt:variant>
      <vt:variant>
        <vt:lpwstr/>
      </vt:variant>
      <vt:variant>
        <vt:lpwstr>_Toc218517869</vt:lpwstr>
      </vt:variant>
      <vt:variant>
        <vt:i4>1179699</vt:i4>
      </vt:variant>
      <vt:variant>
        <vt:i4>650</vt:i4>
      </vt:variant>
      <vt:variant>
        <vt:i4>0</vt:i4>
      </vt:variant>
      <vt:variant>
        <vt:i4>5</vt:i4>
      </vt:variant>
      <vt:variant>
        <vt:lpwstr/>
      </vt:variant>
      <vt:variant>
        <vt:lpwstr>_Toc218517868</vt:lpwstr>
      </vt:variant>
      <vt:variant>
        <vt:i4>1179699</vt:i4>
      </vt:variant>
      <vt:variant>
        <vt:i4>644</vt:i4>
      </vt:variant>
      <vt:variant>
        <vt:i4>0</vt:i4>
      </vt:variant>
      <vt:variant>
        <vt:i4>5</vt:i4>
      </vt:variant>
      <vt:variant>
        <vt:lpwstr/>
      </vt:variant>
      <vt:variant>
        <vt:lpwstr>_Toc218517867</vt:lpwstr>
      </vt:variant>
      <vt:variant>
        <vt:i4>1179699</vt:i4>
      </vt:variant>
      <vt:variant>
        <vt:i4>638</vt:i4>
      </vt:variant>
      <vt:variant>
        <vt:i4>0</vt:i4>
      </vt:variant>
      <vt:variant>
        <vt:i4>5</vt:i4>
      </vt:variant>
      <vt:variant>
        <vt:lpwstr/>
      </vt:variant>
      <vt:variant>
        <vt:lpwstr>_Toc218517866</vt:lpwstr>
      </vt:variant>
      <vt:variant>
        <vt:i4>1179699</vt:i4>
      </vt:variant>
      <vt:variant>
        <vt:i4>632</vt:i4>
      </vt:variant>
      <vt:variant>
        <vt:i4>0</vt:i4>
      </vt:variant>
      <vt:variant>
        <vt:i4>5</vt:i4>
      </vt:variant>
      <vt:variant>
        <vt:lpwstr/>
      </vt:variant>
      <vt:variant>
        <vt:lpwstr>_Toc218517865</vt:lpwstr>
      </vt:variant>
      <vt:variant>
        <vt:i4>1179699</vt:i4>
      </vt:variant>
      <vt:variant>
        <vt:i4>626</vt:i4>
      </vt:variant>
      <vt:variant>
        <vt:i4>0</vt:i4>
      </vt:variant>
      <vt:variant>
        <vt:i4>5</vt:i4>
      </vt:variant>
      <vt:variant>
        <vt:lpwstr/>
      </vt:variant>
      <vt:variant>
        <vt:lpwstr>_Toc218517864</vt:lpwstr>
      </vt:variant>
      <vt:variant>
        <vt:i4>1179699</vt:i4>
      </vt:variant>
      <vt:variant>
        <vt:i4>620</vt:i4>
      </vt:variant>
      <vt:variant>
        <vt:i4>0</vt:i4>
      </vt:variant>
      <vt:variant>
        <vt:i4>5</vt:i4>
      </vt:variant>
      <vt:variant>
        <vt:lpwstr/>
      </vt:variant>
      <vt:variant>
        <vt:lpwstr>_Toc218517863</vt:lpwstr>
      </vt:variant>
      <vt:variant>
        <vt:i4>1179699</vt:i4>
      </vt:variant>
      <vt:variant>
        <vt:i4>614</vt:i4>
      </vt:variant>
      <vt:variant>
        <vt:i4>0</vt:i4>
      </vt:variant>
      <vt:variant>
        <vt:i4>5</vt:i4>
      </vt:variant>
      <vt:variant>
        <vt:lpwstr/>
      </vt:variant>
      <vt:variant>
        <vt:lpwstr>_Toc218517862</vt:lpwstr>
      </vt:variant>
      <vt:variant>
        <vt:i4>1179699</vt:i4>
      </vt:variant>
      <vt:variant>
        <vt:i4>608</vt:i4>
      </vt:variant>
      <vt:variant>
        <vt:i4>0</vt:i4>
      </vt:variant>
      <vt:variant>
        <vt:i4>5</vt:i4>
      </vt:variant>
      <vt:variant>
        <vt:lpwstr/>
      </vt:variant>
      <vt:variant>
        <vt:lpwstr>_Toc218517861</vt:lpwstr>
      </vt:variant>
      <vt:variant>
        <vt:i4>1179699</vt:i4>
      </vt:variant>
      <vt:variant>
        <vt:i4>602</vt:i4>
      </vt:variant>
      <vt:variant>
        <vt:i4>0</vt:i4>
      </vt:variant>
      <vt:variant>
        <vt:i4>5</vt:i4>
      </vt:variant>
      <vt:variant>
        <vt:lpwstr/>
      </vt:variant>
      <vt:variant>
        <vt:lpwstr>_Toc218517860</vt:lpwstr>
      </vt:variant>
      <vt:variant>
        <vt:i4>1114163</vt:i4>
      </vt:variant>
      <vt:variant>
        <vt:i4>596</vt:i4>
      </vt:variant>
      <vt:variant>
        <vt:i4>0</vt:i4>
      </vt:variant>
      <vt:variant>
        <vt:i4>5</vt:i4>
      </vt:variant>
      <vt:variant>
        <vt:lpwstr/>
      </vt:variant>
      <vt:variant>
        <vt:lpwstr>_Toc218517859</vt:lpwstr>
      </vt:variant>
      <vt:variant>
        <vt:i4>1114163</vt:i4>
      </vt:variant>
      <vt:variant>
        <vt:i4>590</vt:i4>
      </vt:variant>
      <vt:variant>
        <vt:i4>0</vt:i4>
      </vt:variant>
      <vt:variant>
        <vt:i4>5</vt:i4>
      </vt:variant>
      <vt:variant>
        <vt:lpwstr/>
      </vt:variant>
      <vt:variant>
        <vt:lpwstr>_Toc218517858</vt:lpwstr>
      </vt:variant>
      <vt:variant>
        <vt:i4>1114163</vt:i4>
      </vt:variant>
      <vt:variant>
        <vt:i4>584</vt:i4>
      </vt:variant>
      <vt:variant>
        <vt:i4>0</vt:i4>
      </vt:variant>
      <vt:variant>
        <vt:i4>5</vt:i4>
      </vt:variant>
      <vt:variant>
        <vt:lpwstr/>
      </vt:variant>
      <vt:variant>
        <vt:lpwstr>_Toc218517857</vt:lpwstr>
      </vt:variant>
      <vt:variant>
        <vt:i4>1114163</vt:i4>
      </vt:variant>
      <vt:variant>
        <vt:i4>578</vt:i4>
      </vt:variant>
      <vt:variant>
        <vt:i4>0</vt:i4>
      </vt:variant>
      <vt:variant>
        <vt:i4>5</vt:i4>
      </vt:variant>
      <vt:variant>
        <vt:lpwstr/>
      </vt:variant>
      <vt:variant>
        <vt:lpwstr>_Toc218517856</vt:lpwstr>
      </vt:variant>
      <vt:variant>
        <vt:i4>1114163</vt:i4>
      </vt:variant>
      <vt:variant>
        <vt:i4>572</vt:i4>
      </vt:variant>
      <vt:variant>
        <vt:i4>0</vt:i4>
      </vt:variant>
      <vt:variant>
        <vt:i4>5</vt:i4>
      </vt:variant>
      <vt:variant>
        <vt:lpwstr/>
      </vt:variant>
      <vt:variant>
        <vt:lpwstr>_Toc218517855</vt:lpwstr>
      </vt:variant>
      <vt:variant>
        <vt:i4>1114163</vt:i4>
      </vt:variant>
      <vt:variant>
        <vt:i4>566</vt:i4>
      </vt:variant>
      <vt:variant>
        <vt:i4>0</vt:i4>
      </vt:variant>
      <vt:variant>
        <vt:i4>5</vt:i4>
      </vt:variant>
      <vt:variant>
        <vt:lpwstr/>
      </vt:variant>
      <vt:variant>
        <vt:lpwstr>_Toc218517854</vt:lpwstr>
      </vt:variant>
      <vt:variant>
        <vt:i4>1114163</vt:i4>
      </vt:variant>
      <vt:variant>
        <vt:i4>560</vt:i4>
      </vt:variant>
      <vt:variant>
        <vt:i4>0</vt:i4>
      </vt:variant>
      <vt:variant>
        <vt:i4>5</vt:i4>
      </vt:variant>
      <vt:variant>
        <vt:lpwstr/>
      </vt:variant>
      <vt:variant>
        <vt:lpwstr>_Toc218517853</vt:lpwstr>
      </vt:variant>
      <vt:variant>
        <vt:i4>1114163</vt:i4>
      </vt:variant>
      <vt:variant>
        <vt:i4>554</vt:i4>
      </vt:variant>
      <vt:variant>
        <vt:i4>0</vt:i4>
      </vt:variant>
      <vt:variant>
        <vt:i4>5</vt:i4>
      </vt:variant>
      <vt:variant>
        <vt:lpwstr/>
      </vt:variant>
      <vt:variant>
        <vt:lpwstr>_Toc218517852</vt:lpwstr>
      </vt:variant>
      <vt:variant>
        <vt:i4>1114163</vt:i4>
      </vt:variant>
      <vt:variant>
        <vt:i4>548</vt:i4>
      </vt:variant>
      <vt:variant>
        <vt:i4>0</vt:i4>
      </vt:variant>
      <vt:variant>
        <vt:i4>5</vt:i4>
      </vt:variant>
      <vt:variant>
        <vt:lpwstr/>
      </vt:variant>
      <vt:variant>
        <vt:lpwstr>_Toc218517851</vt:lpwstr>
      </vt:variant>
      <vt:variant>
        <vt:i4>1114163</vt:i4>
      </vt:variant>
      <vt:variant>
        <vt:i4>542</vt:i4>
      </vt:variant>
      <vt:variant>
        <vt:i4>0</vt:i4>
      </vt:variant>
      <vt:variant>
        <vt:i4>5</vt:i4>
      </vt:variant>
      <vt:variant>
        <vt:lpwstr/>
      </vt:variant>
      <vt:variant>
        <vt:lpwstr>_Toc218517850</vt:lpwstr>
      </vt:variant>
      <vt:variant>
        <vt:i4>1048627</vt:i4>
      </vt:variant>
      <vt:variant>
        <vt:i4>536</vt:i4>
      </vt:variant>
      <vt:variant>
        <vt:i4>0</vt:i4>
      </vt:variant>
      <vt:variant>
        <vt:i4>5</vt:i4>
      </vt:variant>
      <vt:variant>
        <vt:lpwstr/>
      </vt:variant>
      <vt:variant>
        <vt:lpwstr>_Toc218517849</vt:lpwstr>
      </vt:variant>
      <vt:variant>
        <vt:i4>1048627</vt:i4>
      </vt:variant>
      <vt:variant>
        <vt:i4>530</vt:i4>
      </vt:variant>
      <vt:variant>
        <vt:i4>0</vt:i4>
      </vt:variant>
      <vt:variant>
        <vt:i4>5</vt:i4>
      </vt:variant>
      <vt:variant>
        <vt:lpwstr/>
      </vt:variant>
      <vt:variant>
        <vt:lpwstr>_Toc218517848</vt:lpwstr>
      </vt:variant>
      <vt:variant>
        <vt:i4>1048627</vt:i4>
      </vt:variant>
      <vt:variant>
        <vt:i4>524</vt:i4>
      </vt:variant>
      <vt:variant>
        <vt:i4>0</vt:i4>
      </vt:variant>
      <vt:variant>
        <vt:i4>5</vt:i4>
      </vt:variant>
      <vt:variant>
        <vt:lpwstr/>
      </vt:variant>
      <vt:variant>
        <vt:lpwstr>_Toc218517847</vt:lpwstr>
      </vt:variant>
      <vt:variant>
        <vt:i4>1048627</vt:i4>
      </vt:variant>
      <vt:variant>
        <vt:i4>518</vt:i4>
      </vt:variant>
      <vt:variant>
        <vt:i4>0</vt:i4>
      </vt:variant>
      <vt:variant>
        <vt:i4>5</vt:i4>
      </vt:variant>
      <vt:variant>
        <vt:lpwstr/>
      </vt:variant>
      <vt:variant>
        <vt:lpwstr>_Toc218517846</vt:lpwstr>
      </vt:variant>
      <vt:variant>
        <vt:i4>1048627</vt:i4>
      </vt:variant>
      <vt:variant>
        <vt:i4>512</vt:i4>
      </vt:variant>
      <vt:variant>
        <vt:i4>0</vt:i4>
      </vt:variant>
      <vt:variant>
        <vt:i4>5</vt:i4>
      </vt:variant>
      <vt:variant>
        <vt:lpwstr/>
      </vt:variant>
      <vt:variant>
        <vt:lpwstr>_Toc218517845</vt:lpwstr>
      </vt:variant>
      <vt:variant>
        <vt:i4>1048627</vt:i4>
      </vt:variant>
      <vt:variant>
        <vt:i4>506</vt:i4>
      </vt:variant>
      <vt:variant>
        <vt:i4>0</vt:i4>
      </vt:variant>
      <vt:variant>
        <vt:i4>5</vt:i4>
      </vt:variant>
      <vt:variant>
        <vt:lpwstr/>
      </vt:variant>
      <vt:variant>
        <vt:lpwstr>_Toc218517844</vt:lpwstr>
      </vt:variant>
      <vt:variant>
        <vt:i4>1048627</vt:i4>
      </vt:variant>
      <vt:variant>
        <vt:i4>500</vt:i4>
      </vt:variant>
      <vt:variant>
        <vt:i4>0</vt:i4>
      </vt:variant>
      <vt:variant>
        <vt:i4>5</vt:i4>
      </vt:variant>
      <vt:variant>
        <vt:lpwstr/>
      </vt:variant>
      <vt:variant>
        <vt:lpwstr>_Toc218517843</vt:lpwstr>
      </vt:variant>
      <vt:variant>
        <vt:i4>1048627</vt:i4>
      </vt:variant>
      <vt:variant>
        <vt:i4>494</vt:i4>
      </vt:variant>
      <vt:variant>
        <vt:i4>0</vt:i4>
      </vt:variant>
      <vt:variant>
        <vt:i4>5</vt:i4>
      </vt:variant>
      <vt:variant>
        <vt:lpwstr/>
      </vt:variant>
      <vt:variant>
        <vt:lpwstr>_Toc218517842</vt:lpwstr>
      </vt:variant>
      <vt:variant>
        <vt:i4>1048627</vt:i4>
      </vt:variant>
      <vt:variant>
        <vt:i4>488</vt:i4>
      </vt:variant>
      <vt:variant>
        <vt:i4>0</vt:i4>
      </vt:variant>
      <vt:variant>
        <vt:i4>5</vt:i4>
      </vt:variant>
      <vt:variant>
        <vt:lpwstr/>
      </vt:variant>
      <vt:variant>
        <vt:lpwstr>_Toc218517841</vt:lpwstr>
      </vt:variant>
      <vt:variant>
        <vt:i4>1048627</vt:i4>
      </vt:variant>
      <vt:variant>
        <vt:i4>482</vt:i4>
      </vt:variant>
      <vt:variant>
        <vt:i4>0</vt:i4>
      </vt:variant>
      <vt:variant>
        <vt:i4>5</vt:i4>
      </vt:variant>
      <vt:variant>
        <vt:lpwstr/>
      </vt:variant>
      <vt:variant>
        <vt:lpwstr>_Toc218517840</vt:lpwstr>
      </vt:variant>
      <vt:variant>
        <vt:i4>1507379</vt:i4>
      </vt:variant>
      <vt:variant>
        <vt:i4>476</vt:i4>
      </vt:variant>
      <vt:variant>
        <vt:i4>0</vt:i4>
      </vt:variant>
      <vt:variant>
        <vt:i4>5</vt:i4>
      </vt:variant>
      <vt:variant>
        <vt:lpwstr/>
      </vt:variant>
      <vt:variant>
        <vt:lpwstr>_Toc218517839</vt:lpwstr>
      </vt:variant>
      <vt:variant>
        <vt:i4>1507379</vt:i4>
      </vt:variant>
      <vt:variant>
        <vt:i4>470</vt:i4>
      </vt:variant>
      <vt:variant>
        <vt:i4>0</vt:i4>
      </vt:variant>
      <vt:variant>
        <vt:i4>5</vt:i4>
      </vt:variant>
      <vt:variant>
        <vt:lpwstr/>
      </vt:variant>
      <vt:variant>
        <vt:lpwstr>_Toc218517838</vt:lpwstr>
      </vt:variant>
      <vt:variant>
        <vt:i4>1507379</vt:i4>
      </vt:variant>
      <vt:variant>
        <vt:i4>464</vt:i4>
      </vt:variant>
      <vt:variant>
        <vt:i4>0</vt:i4>
      </vt:variant>
      <vt:variant>
        <vt:i4>5</vt:i4>
      </vt:variant>
      <vt:variant>
        <vt:lpwstr/>
      </vt:variant>
      <vt:variant>
        <vt:lpwstr>_Toc218517837</vt:lpwstr>
      </vt:variant>
      <vt:variant>
        <vt:i4>1507379</vt:i4>
      </vt:variant>
      <vt:variant>
        <vt:i4>458</vt:i4>
      </vt:variant>
      <vt:variant>
        <vt:i4>0</vt:i4>
      </vt:variant>
      <vt:variant>
        <vt:i4>5</vt:i4>
      </vt:variant>
      <vt:variant>
        <vt:lpwstr/>
      </vt:variant>
      <vt:variant>
        <vt:lpwstr>_Toc218517836</vt:lpwstr>
      </vt:variant>
      <vt:variant>
        <vt:i4>1507379</vt:i4>
      </vt:variant>
      <vt:variant>
        <vt:i4>452</vt:i4>
      </vt:variant>
      <vt:variant>
        <vt:i4>0</vt:i4>
      </vt:variant>
      <vt:variant>
        <vt:i4>5</vt:i4>
      </vt:variant>
      <vt:variant>
        <vt:lpwstr/>
      </vt:variant>
      <vt:variant>
        <vt:lpwstr>_Toc218517835</vt:lpwstr>
      </vt:variant>
      <vt:variant>
        <vt:i4>1507379</vt:i4>
      </vt:variant>
      <vt:variant>
        <vt:i4>446</vt:i4>
      </vt:variant>
      <vt:variant>
        <vt:i4>0</vt:i4>
      </vt:variant>
      <vt:variant>
        <vt:i4>5</vt:i4>
      </vt:variant>
      <vt:variant>
        <vt:lpwstr/>
      </vt:variant>
      <vt:variant>
        <vt:lpwstr>_Toc218517834</vt:lpwstr>
      </vt:variant>
      <vt:variant>
        <vt:i4>1507379</vt:i4>
      </vt:variant>
      <vt:variant>
        <vt:i4>440</vt:i4>
      </vt:variant>
      <vt:variant>
        <vt:i4>0</vt:i4>
      </vt:variant>
      <vt:variant>
        <vt:i4>5</vt:i4>
      </vt:variant>
      <vt:variant>
        <vt:lpwstr/>
      </vt:variant>
      <vt:variant>
        <vt:lpwstr>_Toc218517833</vt:lpwstr>
      </vt:variant>
      <vt:variant>
        <vt:i4>1507379</vt:i4>
      </vt:variant>
      <vt:variant>
        <vt:i4>434</vt:i4>
      </vt:variant>
      <vt:variant>
        <vt:i4>0</vt:i4>
      </vt:variant>
      <vt:variant>
        <vt:i4>5</vt:i4>
      </vt:variant>
      <vt:variant>
        <vt:lpwstr/>
      </vt:variant>
      <vt:variant>
        <vt:lpwstr>_Toc218517832</vt:lpwstr>
      </vt:variant>
      <vt:variant>
        <vt:i4>1507379</vt:i4>
      </vt:variant>
      <vt:variant>
        <vt:i4>428</vt:i4>
      </vt:variant>
      <vt:variant>
        <vt:i4>0</vt:i4>
      </vt:variant>
      <vt:variant>
        <vt:i4>5</vt:i4>
      </vt:variant>
      <vt:variant>
        <vt:lpwstr/>
      </vt:variant>
      <vt:variant>
        <vt:lpwstr>_Toc218517831</vt:lpwstr>
      </vt:variant>
      <vt:variant>
        <vt:i4>1507379</vt:i4>
      </vt:variant>
      <vt:variant>
        <vt:i4>422</vt:i4>
      </vt:variant>
      <vt:variant>
        <vt:i4>0</vt:i4>
      </vt:variant>
      <vt:variant>
        <vt:i4>5</vt:i4>
      </vt:variant>
      <vt:variant>
        <vt:lpwstr/>
      </vt:variant>
      <vt:variant>
        <vt:lpwstr>_Toc218517830</vt:lpwstr>
      </vt:variant>
      <vt:variant>
        <vt:i4>1441843</vt:i4>
      </vt:variant>
      <vt:variant>
        <vt:i4>416</vt:i4>
      </vt:variant>
      <vt:variant>
        <vt:i4>0</vt:i4>
      </vt:variant>
      <vt:variant>
        <vt:i4>5</vt:i4>
      </vt:variant>
      <vt:variant>
        <vt:lpwstr/>
      </vt:variant>
      <vt:variant>
        <vt:lpwstr>_Toc218517829</vt:lpwstr>
      </vt:variant>
      <vt:variant>
        <vt:i4>1441843</vt:i4>
      </vt:variant>
      <vt:variant>
        <vt:i4>410</vt:i4>
      </vt:variant>
      <vt:variant>
        <vt:i4>0</vt:i4>
      </vt:variant>
      <vt:variant>
        <vt:i4>5</vt:i4>
      </vt:variant>
      <vt:variant>
        <vt:lpwstr/>
      </vt:variant>
      <vt:variant>
        <vt:lpwstr>_Toc218517828</vt:lpwstr>
      </vt:variant>
      <vt:variant>
        <vt:i4>1441843</vt:i4>
      </vt:variant>
      <vt:variant>
        <vt:i4>404</vt:i4>
      </vt:variant>
      <vt:variant>
        <vt:i4>0</vt:i4>
      </vt:variant>
      <vt:variant>
        <vt:i4>5</vt:i4>
      </vt:variant>
      <vt:variant>
        <vt:lpwstr/>
      </vt:variant>
      <vt:variant>
        <vt:lpwstr>_Toc218517827</vt:lpwstr>
      </vt:variant>
      <vt:variant>
        <vt:i4>1441843</vt:i4>
      </vt:variant>
      <vt:variant>
        <vt:i4>398</vt:i4>
      </vt:variant>
      <vt:variant>
        <vt:i4>0</vt:i4>
      </vt:variant>
      <vt:variant>
        <vt:i4>5</vt:i4>
      </vt:variant>
      <vt:variant>
        <vt:lpwstr/>
      </vt:variant>
      <vt:variant>
        <vt:lpwstr>_Toc218517826</vt:lpwstr>
      </vt:variant>
      <vt:variant>
        <vt:i4>1441843</vt:i4>
      </vt:variant>
      <vt:variant>
        <vt:i4>392</vt:i4>
      </vt:variant>
      <vt:variant>
        <vt:i4>0</vt:i4>
      </vt:variant>
      <vt:variant>
        <vt:i4>5</vt:i4>
      </vt:variant>
      <vt:variant>
        <vt:lpwstr/>
      </vt:variant>
      <vt:variant>
        <vt:lpwstr>_Toc218517825</vt:lpwstr>
      </vt:variant>
      <vt:variant>
        <vt:i4>1441843</vt:i4>
      </vt:variant>
      <vt:variant>
        <vt:i4>386</vt:i4>
      </vt:variant>
      <vt:variant>
        <vt:i4>0</vt:i4>
      </vt:variant>
      <vt:variant>
        <vt:i4>5</vt:i4>
      </vt:variant>
      <vt:variant>
        <vt:lpwstr/>
      </vt:variant>
      <vt:variant>
        <vt:lpwstr>_Toc218517824</vt:lpwstr>
      </vt:variant>
      <vt:variant>
        <vt:i4>1441843</vt:i4>
      </vt:variant>
      <vt:variant>
        <vt:i4>380</vt:i4>
      </vt:variant>
      <vt:variant>
        <vt:i4>0</vt:i4>
      </vt:variant>
      <vt:variant>
        <vt:i4>5</vt:i4>
      </vt:variant>
      <vt:variant>
        <vt:lpwstr/>
      </vt:variant>
      <vt:variant>
        <vt:lpwstr>_Toc218517823</vt:lpwstr>
      </vt:variant>
      <vt:variant>
        <vt:i4>1441843</vt:i4>
      </vt:variant>
      <vt:variant>
        <vt:i4>374</vt:i4>
      </vt:variant>
      <vt:variant>
        <vt:i4>0</vt:i4>
      </vt:variant>
      <vt:variant>
        <vt:i4>5</vt:i4>
      </vt:variant>
      <vt:variant>
        <vt:lpwstr/>
      </vt:variant>
      <vt:variant>
        <vt:lpwstr>_Toc218517822</vt:lpwstr>
      </vt:variant>
      <vt:variant>
        <vt:i4>1441843</vt:i4>
      </vt:variant>
      <vt:variant>
        <vt:i4>368</vt:i4>
      </vt:variant>
      <vt:variant>
        <vt:i4>0</vt:i4>
      </vt:variant>
      <vt:variant>
        <vt:i4>5</vt:i4>
      </vt:variant>
      <vt:variant>
        <vt:lpwstr/>
      </vt:variant>
      <vt:variant>
        <vt:lpwstr>_Toc218517821</vt:lpwstr>
      </vt:variant>
      <vt:variant>
        <vt:i4>1441843</vt:i4>
      </vt:variant>
      <vt:variant>
        <vt:i4>362</vt:i4>
      </vt:variant>
      <vt:variant>
        <vt:i4>0</vt:i4>
      </vt:variant>
      <vt:variant>
        <vt:i4>5</vt:i4>
      </vt:variant>
      <vt:variant>
        <vt:lpwstr/>
      </vt:variant>
      <vt:variant>
        <vt:lpwstr>_Toc218517820</vt:lpwstr>
      </vt:variant>
      <vt:variant>
        <vt:i4>1376307</vt:i4>
      </vt:variant>
      <vt:variant>
        <vt:i4>356</vt:i4>
      </vt:variant>
      <vt:variant>
        <vt:i4>0</vt:i4>
      </vt:variant>
      <vt:variant>
        <vt:i4>5</vt:i4>
      </vt:variant>
      <vt:variant>
        <vt:lpwstr/>
      </vt:variant>
      <vt:variant>
        <vt:lpwstr>_Toc218517819</vt:lpwstr>
      </vt:variant>
      <vt:variant>
        <vt:i4>1376307</vt:i4>
      </vt:variant>
      <vt:variant>
        <vt:i4>350</vt:i4>
      </vt:variant>
      <vt:variant>
        <vt:i4>0</vt:i4>
      </vt:variant>
      <vt:variant>
        <vt:i4>5</vt:i4>
      </vt:variant>
      <vt:variant>
        <vt:lpwstr/>
      </vt:variant>
      <vt:variant>
        <vt:lpwstr>_Toc218517818</vt:lpwstr>
      </vt:variant>
      <vt:variant>
        <vt:i4>1376307</vt:i4>
      </vt:variant>
      <vt:variant>
        <vt:i4>344</vt:i4>
      </vt:variant>
      <vt:variant>
        <vt:i4>0</vt:i4>
      </vt:variant>
      <vt:variant>
        <vt:i4>5</vt:i4>
      </vt:variant>
      <vt:variant>
        <vt:lpwstr/>
      </vt:variant>
      <vt:variant>
        <vt:lpwstr>_Toc218517817</vt:lpwstr>
      </vt:variant>
      <vt:variant>
        <vt:i4>1376307</vt:i4>
      </vt:variant>
      <vt:variant>
        <vt:i4>338</vt:i4>
      </vt:variant>
      <vt:variant>
        <vt:i4>0</vt:i4>
      </vt:variant>
      <vt:variant>
        <vt:i4>5</vt:i4>
      </vt:variant>
      <vt:variant>
        <vt:lpwstr/>
      </vt:variant>
      <vt:variant>
        <vt:lpwstr>_Toc218517816</vt:lpwstr>
      </vt:variant>
      <vt:variant>
        <vt:i4>1376307</vt:i4>
      </vt:variant>
      <vt:variant>
        <vt:i4>332</vt:i4>
      </vt:variant>
      <vt:variant>
        <vt:i4>0</vt:i4>
      </vt:variant>
      <vt:variant>
        <vt:i4>5</vt:i4>
      </vt:variant>
      <vt:variant>
        <vt:lpwstr/>
      </vt:variant>
      <vt:variant>
        <vt:lpwstr>_Toc218517815</vt:lpwstr>
      </vt:variant>
      <vt:variant>
        <vt:i4>1376307</vt:i4>
      </vt:variant>
      <vt:variant>
        <vt:i4>326</vt:i4>
      </vt:variant>
      <vt:variant>
        <vt:i4>0</vt:i4>
      </vt:variant>
      <vt:variant>
        <vt:i4>5</vt:i4>
      </vt:variant>
      <vt:variant>
        <vt:lpwstr/>
      </vt:variant>
      <vt:variant>
        <vt:lpwstr>_Toc218517814</vt:lpwstr>
      </vt:variant>
      <vt:variant>
        <vt:i4>1376307</vt:i4>
      </vt:variant>
      <vt:variant>
        <vt:i4>320</vt:i4>
      </vt:variant>
      <vt:variant>
        <vt:i4>0</vt:i4>
      </vt:variant>
      <vt:variant>
        <vt:i4>5</vt:i4>
      </vt:variant>
      <vt:variant>
        <vt:lpwstr/>
      </vt:variant>
      <vt:variant>
        <vt:lpwstr>_Toc218517813</vt:lpwstr>
      </vt:variant>
      <vt:variant>
        <vt:i4>1376307</vt:i4>
      </vt:variant>
      <vt:variant>
        <vt:i4>314</vt:i4>
      </vt:variant>
      <vt:variant>
        <vt:i4>0</vt:i4>
      </vt:variant>
      <vt:variant>
        <vt:i4>5</vt:i4>
      </vt:variant>
      <vt:variant>
        <vt:lpwstr/>
      </vt:variant>
      <vt:variant>
        <vt:lpwstr>_Toc218517812</vt:lpwstr>
      </vt:variant>
      <vt:variant>
        <vt:i4>1376307</vt:i4>
      </vt:variant>
      <vt:variant>
        <vt:i4>308</vt:i4>
      </vt:variant>
      <vt:variant>
        <vt:i4>0</vt:i4>
      </vt:variant>
      <vt:variant>
        <vt:i4>5</vt:i4>
      </vt:variant>
      <vt:variant>
        <vt:lpwstr/>
      </vt:variant>
      <vt:variant>
        <vt:lpwstr>_Toc218517811</vt:lpwstr>
      </vt:variant>
      <vt:variant>
        <vt:i4>1376307</vt:i4>
      </vt:variant>
      <vt:variant>
        <vt:i4>302</vt:i4>
      </vt:variant>
      <vt:variant>
        <vt:i4>0</vt:i4>
      </vt:variant>
      <vt:variant>
        <vt:i4>5</vt:i4>
      </vt:variant>
      <vt:variant>
        <vt:lpwstr/>
      </vt:variant>
      <vt:variant>
        <vt:lpwstr>_Toc218517810</vt:lpwstr>
      </vt:variant>
      <vt:variant>
        <vt:i4>1310771</vt:i4>
      </vt:variant>
      <vt:variant>
        <vt:i4>296</vt:i4>
      </vt:variant>
      <vt:variant>
        <vt:i4>0</vt:i4>
      </vt:variant>
      <vt:variant>
        <vt:i4>5</vt:i4>
      </vt:variant>
      <vt:variant>
        <vt:lpwstr/>
      </vt:variant>
      <vt:variant>
        <vt:lpwstr>_Toc218517809</vt:lpwstr>
      </vt:variant>
      <vt:variant>
        <vt:i4>1310771</vt:i4>
      </vt:variant>
      <vt:variant>
        <vt:i4>290</vt:i4>
      </vt:variant>
      <vt:variant>
        <vt:i4>0</vt:i4>
      </vt:variant>
      <vt:variant>
        <vt:i4>5</vt:i4>
      </vt:variant>
      <vt:variant>
        <vt:lpwstr/>
      </vt:variant>
      <vt:variant>
        <vt:lpwstr>_Toc218517808</vt:lpwstr>
      </vt:variant>
      <vt:variant>
        <vt:i4>1310771</vt:i4>
      </vt:variant>
      <vt:variant>
        <vt:i4>284</vt:i4>
      </vt:variant>
      <vt:variant>
        <vt:i4>0</vt:i4>
      </vt:variant>
      <vt:variant>
        <vt:i4>5</vt:i4>
      </vt:variant>
      <vt:variant>
        <vt:lpwstr/>
      </vt:variant>
      <vt:variant>
        <vt:lpwstr>_Toc218517807</vt:lpwstr>
      </vt:variant>
      <vt:variant>
        <vt:i4>1310771</vt:i4>
      </vt:variant>
      <vt:variant>
        <vt:i4>278</vt:i4>
      </vt:variant>
      <vt:variant>
        <vt:i4>0</vt:i4>
      </vt:variant>
      <vt:variant>
        <vt:i4>5</vt:i4>
      </vt:variant>
      <vt:variant>
        <vt:lpwstr/>
      </vt:variant>
      <vt:variant>
        <vt:lpwstr>_Toc218517806</vt:lpwstr>
      </vt:variant>
      <vt:variant>
        <vt:i4>1310771</vt:i4>
      </vt:variant>
      <vt:variant>
        <vt:i4>272</vt:i4>
      </vt:variant>
      <vt:variant>
        <vt:i4>0</vt:i4>
      </vt:variant>
      <vt:variant>
        <vt:i4>5</vt:i4>
      </vt:variant>
      <vt:variant>
        <vt:lpwstr/>
      </vt:variant>
      <vt:variant>
        <vt:lpwstr>_Toc218517805</vt:lpwstr>
      </vt:variant>
      <vt:variant>
        <vt:i4>1310771</vt:i4>
      </vt:variant>
      <vt:variant>
        <vt:i4>266</vt:i4>
      </vt:variant>
      <vt:variant>
        <vt:i4>0</vt:i4>
      </vt:variant>
      <vt:variant>
        <vt:i4>5</vt:i4>
      </vt:variant>
      <vt:variant>
        <vt:lpwstr/>
      </vt:variant>
      <vt:variant>
        <vt:lpwstr>_Toc218517804</vt:lpwstr>
      </vt:variant>
      <vt:variant>
        <vt:i4>1310771</vt:i4>
      </vt:variant>
      <vt:variant>
        <vt:i4>260</vt:i4>
      </vt:variant>
      <vt:variant>
        <vt:i4>0</vt:i4>
      </vt:variant>
      <vt:variant>
        <vt:i4>5</vt:i4>
      </vt:variant>
      <vt:variant>
        <vt:lpwstr/>
      </vt:variant>
      <vt:variant>
        <vt:lpwstr>_Toc218517803</vt:lpwstr>
      </vt:variant>
      <vt:variant>
        <vt:i4>1310771</vt:i4>
      </vt:variant>
      <vt:variant>
        <vt:i4>254</vt:i4>
      </vt:variant>
      <vt:variant>
        <vt:i4>0</vt:i4>
      </vt:variant>
      <vt:variant>
        <vt:i4>5</vt:i4>
      </vt:variant>
      <vt:variant>
        <vt:lpwstr/>
      </vt:variant>
      <vt:variant>
        <vt:lpwstr>_Toc218517802</vt:lpwstr>
      </vt:variant>
      <vt:variant>
        <vt:i4>1310771</vt:i4>
      </vt:variant>
      <vt:variant>
        <vt:i4>248</vt:i4>
      </vt:variant>
      <vt:variant>
        <vt:i4>0</vt:i4>
      </vt:variant>
      <vt:variant>
        <vt:i4>5</vt:i4>
      </vt:variant>
      <vt:variant>
        <vt:lpwstr/>
      </vt:variant>
      <vt:variant>
        <vt:lpwstr>_Toc218517801</vt:lpwstr>
      </vt:variant>
      <vt:variant>
        <vt:i4>1310771</vt:i4>
      </vt:variant>
      <vt:variant>
        <vt:i4>242</vt:i4>
      </vt:variant>
      <vt:variant>
        <vt:i4>0</vt:i4>
      </vt:variant>
      <vt:variant>
        <vt:i4>5</vt:i4>
      </vt:variant>
      <vt:variant>
        <vt:lpwstr/>
      </vt:variant>
      <vt:variant>
        <vt:lpwstr>_Toc218517800</vt:lpwstr>
      </vt:variant>
      <vt:variant>
        <vt:i4>1900604</vt:i4>
      </vt:variant>
      <vt:variant>
        <vt:i4>236</vt:i4>
      </vt:variant>
      <vt:variant>
        <vt:i4>0</vt:i4>
      </vt:variant>
      <vt:variant>
        <vt:i4>5</vt:i4>
      </vt:variant>
      <vt:variant>
        <vt:lpwstr/>
      </vt:variant>
      <vt:variant>
        <vt:lpwstr>_Toc218517799</vt:lpwstr>
      </vt:variant>
      <vt:variant>
        <vt:i4>1900604</vt:i4>
      </vt:variant>
      <vt:variant>
        <vt:i4>230</vt:i4>
      </vt:variant>
      <vt:variant>
        <vt:i4>0</vt:i4>
      </vt:variant>
      <vt:variant>
        <vt:i4>5</vt:i4>
      </vt:variant>
      <vt:variant>
        <vt:lpwstr/>
      </vt:variant>
      <vt:variant>
        <vt:lpwstr>_Toc218517798</vt:lpwstr>
      </vt:variant>
      <vt:variant>
        <vt:i4>1900604</vt:i4>
      </vt:variant>
      <vt:variant>
        <vt:i4>224</vt:i4>
      </vt:variant>
      <vt:variant>
        <vt:i4>0</vt:i4>
      </vt:variant>
      <vt:variant>
        <vt:i4>5</vt:i4>
      </vt:variant>
      <vt:variant>
        <vt:lpwstr/>
      </vt:variant>
      <vt:variant>
        <vt:lpwstr>_Toc218517797</vt:lpwstr>
      </vt:variant>
      <vt:variant>
        <vt:i4>1900604</vt:i4>
      </vt:variant>
      <vt:variant>
        <vt:i4>218</vt:i4>
      </vt:variant>
      <vt:variant>
        <vt:i4>0</vt:i4>
      </vt:variant>
      <vt:variant>
        <vt:i4>5</vt:i4>
      </vt:variant>
      <vt:variant>
        <vt:lpwstr/>
      </vt:variant>
      <vt:variant>
        <vt:lpwstr>_Toc218517796</vt:lpwstr>
      </vt:variant>
      <vt:variant>
        <vt:i4>1900604</vt:i4>
      </vt:variant>
      <vt:variant>
        <vt:i4>212</vt:i4>
      </vt:variant>
      <vt:variant>
        <vt:i4>0</vt:i4>
      </vt:variant>
      <vt:variant>
        <vt:i4>5</vt:i4>
      </vt:variant>
      <vt:variant>
        <vt:lpwstr/>
      </vt:variant>
      <vt:variant>
        <vt:lpwstr>_Toc218517795</vt:lpwstr>
      </vt:variant>
      <vt:variant>
        <vt:i4>1900604</vt:i4>
      </vt:variant>
      <vt:variant>
        <vt:i4>206</vt:i4>
      </vt:variant>
      <vt:variant>
        <vt:i4>0</vt:i4>
      </vt:variant>
      <vt:variant>
        <vt:i4>5</vt:i4>
      </vt:variant>
      <vt:variant>
        <vt:lpwstr/>
      </vt:variant>
      <vt:variant>
        <vt:lpwstr>_Toc218517794</vt:lpwstr>
      </vt:variant>
      <vt:variant>
        <vt:i4>1900604</vt:i4>
      </vt:variant>
      <vt:variant>
        <vt:i4>200</vt:i4>
      </vt:variant>
      <vt:variant>
        <vt:i4>0</vt:i4>
      </vt:variant>
      <vt:variant>
        <vt:i4>5</vt:i4>
      </vt:variant>
      <vt:variant>
        <vt:lpwstr/>
      </vt:variant>
      <vt:variant>
        <vt:lpwstr>_Toc218517793</vt:lpwstr>
      </vt:variant>
      <vt:variant>
        <vt:i4>1900604</vt:i4>
      </vt:variant>
      <vt:variant>
        <vt:i4>194</vt:i4>
      </vt:variant>
      <vt:variant>
        <vt:i4>0</vt:i4>
      </vt:variant>
      <vt:variant>
        <vt:i4>5</vt:i4>
      </vt:variant>
      <vt:variant>
        <vt:lpwstr/>
      </vt:variant>
      <vt:variant>
        <vt:lpwstr>_Toc218517792</vt:lpwstr>
      </vt:variant>
      <vt:variant>
        <vt:i4>1900604</vt:i4>
      </vt:variant>
      <vt:variant>
        <vt:i4>188</vt:i4>
      </vt:variant>
      <vt:variant>
        <vt:i4>0</vt:i4>
      </vt:variant>
      <vt:variant>
        <vt:i4>5</vt:i4>
      </vt:variant>
      <vt:variant>
        <vt:lpwstr/>
      </vt:variant>
      <vt:variant>
        <vt:lpwstr>_Toc218517791</vt:lpwstr>
      </vt:variant>
      <vt:variant>
        <vt:i4>1900604</vt:i4>
      </vt:variant>
      <vt:variant>
        <vt:i4>182</vt:i4>
      </vt:variant>
      <vt:variant>
        <vt:i4>0</vt:i4>
      </vt:variant>
      <vt:variant>
        <vt:i4>5</vt:i4>
      </vt:variant>
      <vt:variant>
        <vt:lpwstr/>
      </vt:variant>
      <vt:variant>
        <vt:lpwstr>_Toc218517790</vt:lpwstr>
      </vt:variant>
      <vt:variant>
        <vt:i4>1835068</vt:i4>
      </vt:variant>
      <vt:variant>
        <vt:i4>176</vt:i4>
      </vt:variant>
      <vt:variant>
        <vt:i4>0</vt:i4>
      </vt:variant>
      <vt:variant>
        <vt:i4>5</vt:i4>
      </vt:variant>
      <vt:variant>
        <vt:lpwstr/>
      </vt:variant>
      <vt:variant>
        <vt:lpwstr>_Toc218517789</vt:lpwstr>
      </vt:variant>
      <vt:variant>
        <vt:i4>1835068</vt:i4>
      </vt:variant>
      <vt:variant>
        <vt:i4>170</vt:i4>
      </vt:variant>
      <vt:variant>
        <vt:i4>0</vt:i4>
      </vt:variant>
      <vt:variant>
        <vt:i4>5</vt:i4>
      </vt:variant>
      <vt:variant>
        <vt:lpwstr/>
      </vt:variant>
      <vt:variant>
        <vt:lpwstr>_Toc218517788</vt:lpwstr>
      </vt:variant>
      <vt:variant>
        <vt:i4>1835068</vt:i4>
      </vt:variant>
      <vt:variant>
        <vt:i4>164</vt:i4>
      </vt:variant>
      <vt:variant>
        <vt:i4>0</vt:i4>
      </vt:variant>
      <vt:variant>
        <vt:i4>5</vt:i4>
      </vt:variant>
      <vt:variant>
        <vt:lpwstr/>
      </vt:variant>
      <vt:variant>
        <vt:lpwstr>_Toc218517787</vt:lpwstr>
      </vt:variant>
      <vt:variant>
        <vt:i4>1835068</vt:i4>
      </vt:variant>
      <vt:variant>
        <vt:i4>158</vt:i4>
      </vt:variant>
      <vt:variant>
        <vt:i4>0</vt:i4>
      </vt:variant>
      <vt:variant>
        <vt:i4>5</vt:i4>
      </vt:variant>
      <vt:variant>
        <vt:lpwstr/>
      </vt:variant>
      <vt:variant>
        <vt:lpwstr>_Toc218517786</vt:lpwstr>
      </vt:variant>
      <vt:variant>
        <vt:i4>1835068</vt:i4>
      </vt:variant>
      <vt:variant>
        <vt:i4>152</vt:i4>
      </vt:variant>
      <vt:variant>
        <vt:i4>0</vt:i4>
      </vt:variant>
      <vt:variant>
        <vt:i4>5</vt:i4>
      </vt:variant>
      <vt:variant>
        <vt:lpwstr/>
      </vt:variant>
      <vt:variant>
        <vt:lpwstr>_Toc218517785</vt:lpwstr>
      </vt:variant>
      <vt:variant>
        <vt:i4>1835068</vt:i4>
      </vt:variant>
      <vt:variant>
        <vt:i4>146</vt:i4>
      </vt:variant>
      <vt:variant>
        <vt:i4>0</vt:i4>
      </vt:variant>
      <vt:variant>
        <vt:i4>5</vt:i4>
      </vt:variant>
      <vt:variant>
        <vt:lpwstr/>
      </vt:variant>
      <vt:variant>
        <vt:lpwstr>_Toc218517784</vt:lpwstr>
      </vt:variant>
      <vt:variant>
        <vt:i4>1835068</vt:i4>
      </vt:variant>
      <vt:variant>
        <vt:i4>140</vt:i4>
      </vt:variant>
      <vt:variant>
        <vt:i4>0</vt:i4>
      </vt:variant>
      <vt:variant>
        <vt:i4>5</vt:i4>
      </vt:variant>
      <vt:variant>
        <vt:lpwstr/>
      </vt:variant>
      <vt:variant>
        <vt:lpwstr>_Toc218517783</vt:lpwstr>
      </vt:variant>
      <vt:variant>
        <vt:i4>1835068</vt:i4>
      </vt:variant>
      <vt:variant>
        <vt:i4>134</vt:i4>
      </vt:variant>
      <vt:variant>
        <vt:i4>0</vt:i4>
      </vt:variant>
      <vt:variant>
        <vt:i4>5</vt:i4>
      </vt:variant>
      <vt:variant>
        <vt:lpwstr/>
      </vt:variant>
      <vt:variant>
        <vt:lpwstr>_Toc218517782</vt:lpwstr>
      </vt:variant>
      <vt:variant>
        <vt:i4>1835068</vt:i4>
      </vt:variant>
      <vt:variant>
        <vt:i4>128</vt:i4>
      </vt:variant>
      <vt:variant>
        <vt:i4>0</vt:i4>
      </vt:variant>
      <vt:variant>
        <vt:i4>5</vt:i4>
      </vt:variant>
      <vt:variant>
        <vt:lpwstr/>
      </vt:variant>
      <vt:variant>
        <vt:lpwstr>_Toc218517781</vt:lpwstr>
      </vt:variant>
      <vt:variant>
        <vt:i4>1835068</vt:i4>
      </vt:variant>
      <vt:variant>
        <vt:i4>122</vt:i4>
      </vt:variant>
      <vt:variant>
        <vt:i4>0</vt:i4>
      </vt:variant>
      <vt:variant>
        <vt:i4>5</vt:i4>
      </vt:variant>
      <vt:variant>
        <vt:lpwstr/>
      </vt:variant>
      <vt:variant>
        <vt:lpwstr>_Toc218517780</vt:lpwstr>
      </vt:variant>
      <vt:variant>
        <vt:i4>1245244</vt:i4>
      </vt:variant>
      <vt:variant>
        <vt:i4>116</vt:i4>
      </vt:variant>
      <vt:variant>
        <vt:i4>0</vt:i4>
      </vt:variant>
      <vt:variant>
        <vt:i4>5</vt:i4>
      </vt:variant>
      <vt:variant>
        <vt:lpwstr/>
      </vt:variant>
      <vt:variant>
        <vt:lpwstr>_Toc218517779</vt:lpwstr>
      </vt:variant>
      <vt:variant>
        <vt:i4>1245244</vt:i4>
      </vt:variant>
      <vt:variant>
        <vt:i4>110</vt:i4>
      </vt:variant>
      <vt:variant>
        <vt:i4>0</vt:i4>
      </vt:variant>
      <vt:variant>
        <vt:i4>5</vt:i4>
      </vt:variant>
      <vt:variant>
        <vt:lpwstr/>
      </vt:variant>
      <vt:variant>
        <vt:lpwstr>_Toc218517778</vt:lpwstr>
      </vt:variant>
      <vt:variant>
        <vt:i4>1245244</vt:i4>
      </vt:variant>
      <vt:variant>
        <vt:i4>104</vt:i4>
      </vt:variant>
      <vt:variant>
        <vt:i4>0</vt:i4>
      </vt:variant>
      <vt:variant>
        <vt:i4>5</vt:i4>
      </vt:variant>
      <vt:variant>
        <vt:lpwstr/>
      </vt:variant>
      <vt:variant>
        <vt:lpwstr>_Toc218517777</vt:lpwstr>
      </vt:variant>
      <vt:variant>
        <vt:i4>1245244</vt:i4>
      </vt:variant>
      <vt:variant>
        <vt:i4>98</vt:i4>
      </vt:variant>
      <vt:variant>
        <vt:i4>0</vt:i4>
      </vt:variant>
      <vt:variant>
        <vt:i4>5</vt:i4>
      </vt:variant>
      <vt:variant>
        <vt:lpwstr/>
      </vt:variant>
      <vt:variant>
        <vt:lpwstr>_Toc218517776</vt:lpwstr>
      </vt:variant>
      <vt:variant>
        <vt:i4>1245244</vt:i4>
      </vt:variant>
      <vt:variant>
        <vt:i4>92</vt:i4>
      </vt:variant>
      <vt:variant>
        <vt:i4>0</vt:i4>
      </vt:variant>
      <vt:variant>
        <vt:i4>5</vt:i4>
      </vt:variant>
      <vt:variant>
        <vt:lpwstr/>
      </vt:variant>
      <vt:variant>
        <vt:lpwstr>_Toc218517775</vt:lpwstr>
      </vt:variant>
      <vt:variant>
        <vt:i4>1245244</vt:i4>
      </vt:variant>
      <vt:variant>
        <vt:i4>86</vt:i4>
      </vt:variant>
      <vt:variant>
        <vt:i4>0</vt:i4>
      </vt:variant>
      <vt:variant>
        <vt:i4>5</vt:i4>
      </vt:variant>
      <vt:variant>
        <vt:lpwstr/>
      </vt:variant>
      <vt:variant>
        <vt:lpwstr>_Toc218517774</vt:lpwstr>
      </vt:variant>
      <vt:variant>
        <vt:i4>1245244</vt:i4>
      </vt:variant>
      <vt:variant>
        <vt:i4>80</vt:i4>
      </vt:variant>
      <vt:variant>
        <vt:i4>0</vt:i4>
      </vt:variant>
      <vt:variant>
        <vt:i4>5</vt:i4>
      </vt:variant>
      <vt:variant>
        <vt:lpwstr/>
      </vt:variant>
      <vt:variant>
        <vt:lpwstr>_Toc218517773</vt:lpwstr>
      </vt:variant>
      <vt:variant>
        <vt:i4>1245244</vt:i4>
      </vt:variant>
      <vt:variant>
        <vt:i4>74</vt:i4>
      </vt:variant>
      <vt:variant>
        <vt:i4>0</vt:i4>
      </vt:variant>
      <vt:variant>
        <vt:i4>5</vt:i4>
      </vt:variant>
      <vt:variant>
        <vt:lpwstr/>
      </vt:variant>
      <vt:variant>
        <vt:lpwstr>_Toc218517772</vt:lpwstr>
      </vt:variant>
      <vt:variant>
        <vt:i4>1245244</vt:i4>
      </vt:variant>
      <vt:variant>
        <vt:i4>68</vt:i4>
      </vt:variant>
      <vt:variant>
        <vt:i4>0</vt:i4>
      </vt:variant>
      <vt:variant>
        <vt:i4>5</vt:i4>
      </vt:variant>
      <vt:variant>
        <vt:lpwstr/>
      </vt:variant>
      <vt:variant>
        <vt:lpwstr>_Toc218517771</vt:lpwstr>
      </vt:variant>
      <vt:variant>
        <vt:i4>1245244</vt:i4>
      </vt:variant>
      <vt:variant>
        <vt:i4>62</vt:i4>
      </vt:variant>
      <vt:variant>
        <vt:i4>0</vt:i4>
      </vt:variant>
      <vt:variant>
        <vt:i4>5</vt:i4>
      </vt:variant>
      <vt:variant>
        <vt:lpwstr/>
      </vt:variant>
      <vt:variant>
        <vt:lpwstr>_Toc218517770</vt:lpwstr>
      </vt:variant>
      <vt:variant>
        <vt:i4>1179708</vt:i4>
      </vt:variant>
      <vt:variant>
        <vt:i4>56</vt:i4>
      </vt:variant>
      <vt:variant>
        <vt:i4>0</vt:i4>
      </vt:variant>
      <vt:variant>
        <vt:i4>5</vt:i4>
      </vt:variant>
      <vt:variant>
        <vt:lpwstr/>
      </vt:variant>
      <vt:variant>
        <vt:lpwstr>_Toc218517769</vt:lpwstr>
      </vt:variant>
      <vt:variant>
        <vt:i4>1179708</vt:i4>
      </vt:variant>
      <vt:variant>
        <vt:i4>50</vt:i4>
      </vt:variant>
      <vt:variant>
        <vt:i4>0</vt:i4>
      </vt:variant>
      <vt:variant>
        <vt:i4>5</vt:i4>
      </vt:variant>
      <vt:variant>
        <vt:lpwstr/>
      </vt:variant>
      <vt:variant>
        <vt:lpwstr>_Toc218517768</vt:lpwstr>
      </vt:variant>
      <vt:variant>
        <vt:i4>1179708</vt:i4>
      </vt:variant>
      <vt:variant>
        <vt:i4>44</vt:i4>
      </vt:variant>
      <vt:variant>
        <vt:i4>0</vt:i4>
      </vt:variant>
      <vt:variant>
        <vt:i4>5</vt:i4>
      </vt:variant>
      <vt:variant>
        <vt:lpwstr/>
      </vt:variant>
      <vt:variant>
        <vt:lpwstr>_Toc218517767</vt:lpwstr>
      </vt:variant>
      <vt:variant>
        <vt:i4>1179708</vt:i4>
      </vt:variant>
      <vt:variant>
        <vt:i4>38</vt:i4>
      </vt:variant>
      <vt:variant>
        <vt:i4>0</vt:i4>
      </vt:variant>
      <vt:variant>
        <vt:i4>5</vt:i4>
      </vt:variant>
      <vt:variant>
        <vt:lpwstr/>
      </vt:variant>
      <vt:variant>
        <vt:lpwstr>_Toc218517766</vt:lpwstr>
      </vt:variant>
      <vt:variant>
        <vt:i4>1179708</vt:i4>
      </vt:variant>
      <vt:variant>
        <vt:i4>32</vt:i4>
      </vt:variant>
      <vt:variant>
        <vt:i4>0</vt:i4>
      </vt:variant>
      <vt:variant>
        <vt:i4>5</vt:i4>
      </vt:variant>
      <vt:variant>
        <vt:lpwstr/>
      </vt:variant>
      <vt:variant>
        <vt:lpwstr>_Toc218517765</vt:lpwstr>
      </vt:variant>
      <vt:variant>
        <vt:i4>1179708</vt:i4>
      </vt:variant>
      <vt:variant>
        <vt:i4>26</vt:i4>
      </vt:variant>
      <vt:variant>
        <vt:i4>0</vt:i4>
      </vt:variant>
      <vt:variant>
        <vt:i4>5</vt:i4>
      </vt:variant>
      <vt:variant>
        <vt:lpwstr/>
      </vt:variant>
      <vt:variant>
        <vt:lpwstr>_Toc218517764</vt:lpwstr>
      </vt:variant>
      <vt:variant>
        <vt:i4>1179708</vt:i4>
      </vt:variant>
      <vt:variant>
        <vt:i4>20</vt:i4>
      </vt:variant>
      <vt:variant>
        <vt:i4>0</vt:i4>
      </vt:variant>
      <vt:variant>
        <vt:i4>5</vt:i4>
      </vt:variant>
      <vt:variant>
        <vt:lpwstr/>
      </vt:variant>
      <vt:variant>
        <vt:lpwstr>_Toc218517763</vt:lpwstr>
      </vt:variant>
      <vt:variant>
        <vt:i4>1179708</vt:i4>
      </vt:variant>
      <vt:variant>
        <vt:i4>14</vt:i4>
      </vt:variant>
      <vt:variant>
        <vt:i4>0</vt:i4>
      </vt:variant>
      <vt:variant>
        <vt:i4>5</vt:i4>
      </vt:variant>
      <vt:variant>
        <vt:lpwstr/>
      </vt:variant>
      <vt:variant>
        <vt:lpwstr>_Toc218517762</vt:lpwstr>
      </vt:variant>
      <vt:variant>
        <vt:i4>1179708</vt:i4>
      </vt:variant>
      <vt:variant>
        <vt:i4>8</vt:i4>
      </vt:variant>
      <vt:variant>
        <vt:i4>0</vt:i4>
      </vt:variant>
      <vt:variant>
        <vt:i4>5</vt:i4>
      </vt:variant>
      <vt:variant>
        <vt:lpwstr/>
      </vt:variant>
      <vt:variant>
        <vt:lpwstr>_Toc218517761</vt:lpwstr>
      </vt:variant>
      <vt:variant>
        <vt:i4>1179708</vt:i4>
      </vt:variant>
      <vt:variant>
        <vt:i4>2</vt:i4>
      </vt:variant>
      <vt:variant>
        <vt:i4>0</vt:i4>
      </vt:variant>
      <vt:variant>
        <vt:i4>5</vt:i4>
      </vt:variant>
      <vt:variant>
        <vt:lpwstr/>
      </vt:variant>
      <vt:variant>
        <vt:lpwstr>_Toc218517760</vt:lpwstr>
      </vt:variant>
      <vt:variant>
        <vt:i4>7274612</vt:i4>
      </vt:variant>
      <vt:variant>
        <vt:i4>9</vt:i4>
      </vt:variant>
      <vt:variant>
        <vt:i4>0</vt:i4>
      </vt:variant>
      <vt:variant>
        <vt:i4>5</vt:i4>
      </vt:variant>
      <vt:variant>
        <vt:lpwstr/>
      </vt:variant>
      <vt:variant>
        <vt:lpwstr>TOC</vt:lpwstr>
      </vt:variant>
      <vt:variant>
        <vt:i4>7274612</vt:i4>
      </vt:variant>
      <vt:variant>
        <vt:i4>3</vt:i4>
      </vt:variant>
      <vt:variant>
        <vt:i4>0</vt:i4>
      </vt:variant>
      <vt:variant>
        <vt:i4>5</vt:i4>
      </vt:variant>
      <vt:variant>
        <vt:lpwstr/>
      </vt:variant>
      <vt:variant>
        <vt:lpwstr>TOC</vt:lpwstr>
      </vt:variant>
      <vt:variant>
        <vt:i4>7929948</vt:i4>
      </vt:variant>
      <vt:variant>
        <vt:i4>69</vt:i4>
      </vt:variant>
      <vt:variant>
        <vt:i4>0</vt:i4>
      </vt:variant>
      <vt:variant>
        <vt:i4>5</vt:i4>
      </vt:variant>
      <vt:variant>
        <vt:lpwstr>https://www.fgiguidelines.org/wp-content/uploads/2017/08/SLS17_FGI_ExamProcedureOperatingImaging_170721.pdf</vt:lpwstr>
      </vt:variant>
      <vt:variant>
        <vt:lpwstr/>
      </vt:variant>
      <vt:variant>
        <vt:i4>7929948</vt:i4>
      </vt:variant>
      <vt:variant>
        <vt:i4>66</vt:i4>
      </vt:variant>
      <vt:variant>
        <vt:i4>0</vt:i4>
      </vt:variant>
      <vt:variant>
        <vt:i4>5</vt:i4>
      </vt:variant>
      <vt:variant>
        <vt:lpwstr>https://www.fgiguidelines.org/wp-content/uploads/2017/08/SLS17_FGI_ExamProcedureOperatingImaging_170721.pdf</vt:lpwstr>
      </vt:variant>
      <vt:variant>
        <vt:lpwstr/>
      </vt:variant>
      <vt:variant>
        <vt:i4>8060965</vt:i4>
      </vt:variant>
      <vt:variant>
        <vt:i4>63</vt:i4>
      </vt:variant>
      <vt:variant>
        <vt:i4>0</vt:i4>
      </vt:variant>
      <vt:variant>
        <vt:i4>5</vt:i4>
      </vt:variant>
      <vt:variant>
        <vt:lpwstr>https://www.ihi.org/resources/tools/rca2-improving-root-cause-analyses-and-actions-prevent-harm</vt:lpwstr>
      </vt:variant>
      <vt:variant>
        <vt:lpwstr/>
      </vt:variant>
      <vt:variant>
        <vt:i4>5505092</vt:i4>
      </vt:variant>
      <vt:variant>
        <vt:i4>60</vt:i4>
      </vt:variant>
      <vt:variant>
        <vt:i4>0</vt:i4>
      </vt:variant>
      <vt:variant>
        <vt:i4>5</vt:i4>
      </vt:variant>
      <vt:variant>
        <vt:lpwstr>https://digitalassets.jointcommission.org/api/public/content/4534bbaaee4f4bd280c2054765f37f4b?v=a60f8f9a</vt:lpwstr>
      </vt:variant>
      <vt:variant>
        <vt:lpwstr/>
      </vt:variant>
      <vt:variant>
        <vt:i4>852026</vt:i4>
      </vt:variant>
      <vt:variant>
        <vt:i4>57</vt:i4>
      </vt:variant>
      <vt:variant>
        <vt:i4>0</vt:i4>
      </vt:variant>
      <vt:variant>
        <vt:i4>5</vt:i4>
      </vt:variant>
      <vt:variant>
        <vt:lpwstr>http://apps.who.int/iris/bitstream/handle/10665/44196/9789241598606_eng.pdf;jsessionid=2AD6A606830268FFF337E2BD6ACAFC45?sequence=1</vt:lpwstr>
      </vt:variant>
      <vt:variant>
        <vt:lpwstr/>
      </vt:variant>
      <vt:variant>
        <vt:i4>2031683</vt:i4>
      </vt:variant>
      <vt:variant>
        <vt:i4>54</vt:i4>
      </vt:variant>
      <vt:variant>
        <vt:i4>0</vt:i4>
      </vt:variant>
      <vt:variant>
        <vt:i4>5</vt:i4>
      </vt:variant>
      <vt:variant>
        <vt:lpwstr>https://www.who.int/publications/i/item/9789241597906</vt:lpwstr>
      </vt:variant>
      <vt:variant>
        <vt:lpwstr/>
      </vt:variant>
      <vt:variant>
        <vt:i4>7667809</vt:i4>
      </vt:variant>
      <vt:variant>
        <vt:i4>51</vt:i4>
      </vt:variant>
      <vt:variant>
        <vt:i4>0</vt:i4>
      </vt:variant>
      <vt:variant>
        <vt:i4>5</vt:i4>
      </vt:variant>
      <vt:variant>
        <vt:lpwstr>https://www.cdc.gov/mmwr/PDF/rr/rr5116.pdf</vt:lpwstr>
      </vt:variant>
      <vt:variant>
        <vt:lpwstr/>
      </vt:variant>
      <vt:variant>
        <vt:i4>5177414</vt:i4>
      </vt:variant>
      <vt:variant>
        <vt:i4>48</vt:i4>
      </vt:variant>
      <vt:variant>
        <vt:i4>0</vt:i4>
      </vt:variant>
      <vt:variant>
        <vt:i4>5</vt:i4>
      </vt:variant>
      <vt:variant>
        <vt:lpwstr>https://www.who.int/campaigns/world-hand-hygiene-day</vt:lpwstr>
      </vt:variant>
      <vt:variant>
        <vt:lpwstr/>
      </vt:variant>
      <vt:variant>
        <vt:i4>8323196</vt:i4>
      </vt:variant>
      <vt:variant>
        <vt:i4>42</vt:i4>
      </vt:variant>
      <vt:variant>
        <vt:i4>0</vt:i4>
      </vt:variant>
      <vt:variant>
        <vt:i4>5</vt:i4>
      </vt:variant>
      <vt:variant>
        <vt:lpwstr>https://nam02.safelinks.protection.outlook.com/?url=https%3A%2F%2Fwww.sccm.org%2FEducation-Center%2FEducational-Programming%2FFundamentals%2FFundamental-Critical-Care-Support&amp;data=05%7C01%7CPLipscomb%40leapfrog-group.org%7C391e9445b9854332a32508db2a1a6539%7C95c34b8315eb4d9a97a7f29881f4a800%7C0%7C0%7C638150065072241194%7CUnknown%7CTWFpbGZsb3d8eyJWIjoiMC4wLjAwMDAiLCJQIjoiV2luMzIiLCJBTiI6Ik1haWwiLCJXVCI6Mn0%3D%7C3000%7C%7C%7C&amp;sdata=xe9giw6tDEoSUD%2FMy%2FG7jur%2BXfbSDZsUN%2Bx2qL49E%2B0%3D&amp;reserved=0</vt:lpwstr>
      </vt:variant>
      <vt:variant>
        <vt:lpwstr/>
      </vt:variant>
      <vt:variant>
        <vt:i4>5308490</vt:i4>
      </vt:variant>
      <vt:variant>
        <vt:i4>39</vt:i4>
      </vt:variant>
      <vt:variant>
        <vt:i4>0</vt:i4>
      </vt:variant>
      <vt:variant>
        <vt:i4>5</vt:i4>
      </vt:variant>
      <vt:variant>
        <vt:lpwstr>https://www.sts.org/quality-safety/performance-measures/descriptions</vt:lpwstr>
      </vt:variant>
      <vt:variant>
        <vt:lpwstr>MVRRComposite</vt:lpwstr>
      </vt:variant>
      <vt:variant>
        <vt:i4>6750258</vt:i4>
      </vt:variant>
      <vt:variant>
        <vt:i4>36</vt:i4>
      </vt:variant>
      <vt:variant>
        <vt:i4>0</vt:i4>
      </vt:variant>
      <vt:variant>
        <vt:i4>5</vt:i4>
      </vt:variant>
      <vt:variant>
        <vt:lpwstr>http://www.leapfroggroup.org/survey-materials/survey-and-cpoe-materials</vt:lpwstr>
      </vt:variant>
      <vt:variant>
        <vt:lpwstr/>
      </vt:variant>
      <vt:variant>
        <vt:i4>6750258</vt:i4>
      </vt:variant>
      <vt:variant>
        <vt:i4>33</vt:i4>
      </vt:variant>
      <vt:variant>
        <vt:i4>0</vt:i4>
      </vt:variant>
      <vt:variant>
        <vt:i4>5</vt:i4>
      </vt:variant>
      <vt:variant>
        <vt:lpwstr>http://www.leapfroggroup.org/survey-materials/survey-and-cpoe-materials</vt:lpwstr>
      </vt:variant>
      <vt:variant>
        <vt:lpwstr/>
      </vt:variant>
      <vt:variant>
        <vt:i4>2949221</vt:i4>
      </vt:variant>
      <vt:variant>
        <vt:i4>30</vt:i4>
      </vt:variant>
      <vt:variant>
        <vt:i4>0</vt:i4>
      </vt:variant>
      <vt:variant>
        <vt:i4>5</vt:i4>
      </vt:variant>
      <vt:variant>
        <vt:lpwstr>https://www.ptcb.org/credentials/medication-history-certificate</vt:lpwstr>
      </vt:variant>
      <vt:variant>
        <vt:lpwstr/>
      </vt:variant>
      <vt:variant>
        <vt:i4>2556020</vt:i4>
      </vt:variant>
      <vt:variant>
        <vt:i4>27</vt:i4>
      </vt:variant>
      <vt:variant>
        <vt:i4>0</vt:i4>
      </vt:variant>
      <vt:variant>
        <vt:i4>5</vt:i4>
      </vt:variant>
      <vt:variant>
        <vt:lpwstr>https://aornjournal.onlinelibrary.wiley.com/doi/full/10.1016/S0001-2092%2806%2960367-0</vt:lpwstr>
      </vt:variant>
      <vt:variant>
        <vt:lpwstr/>
      </vt:variant>
      <vt:variant>
        <vt:i4>589882</vt:i4>
      </vt:variant>
      <vt:variant>
        <vt:i4>24</vt:i4>
      </vt:variant>
      <vt:variant>
        <vt:i4>0</vt:i4>
      </vt:variant>
      <vt:variant>
        <vt:i4>5</vt:i4>
      </vt:variant>
      <vt:variant>
        <vt:lpwstr>https://nam02.safelinks.protection.outlook.com/?url=https%3A%2F%2Fwww.cdc.gov%2Fnhsn%2Fpdfs%2Fpscmanual%2Fpscmanual_current.pdf&amp;data=05%7C02%7CLKaufman%40leapfrog-group.org%7C064c254f3811457a4eb108de690e65e9%7C95c34b8315eb4d9a97a7f29881f4a800%7C0%7C0%7C639063707723194530%7CUnknown%7CTWFpbGZsb3d8eyJFbXB0eU1hcGkiOnRydWUsIlYiOiIwLjAuMDAwMCIsIlAiOiJXaW4zMiIsIkFOIjoiTWFpbCIsIldUIjoyfQ%3D%3D%7C0%7C%7C%7C&amp;sdata=nCOLQew11FGzu4F0SeU0tqg66SUxvLQxpCpHukLHOiE%3D&amp;reserved=0</vt:lpwstr>
      </vt:variant>
      <vt:variant>
        <vt:lpwstr/>
      </vt:variant>
      <vt:variant>
        <vt:i4>589882</vt:i4>
      </vt:variant>
      <vt:variant>
        <vt:i4>21</vt:i4>
      </vt:variant>
      <vt:variant>
        <vt:i4>0</vt:i4>
      </vt:variant>
      <vt:variant>
        <vt:i4>5</vt:i4>
      </vt:variant>
      <vt:variant>
        <vt:lpwstr>https://nam02.safelinks.protection.outlook.com/?url=https%3A%2F%2Fwww.cdc.gov%2Fnhsn%2Fpdfs%2Fpscmanual%2Fpscmanual_current.pdf&amp;data=05%7C02%7CLKaufman%40leapfrog-group.org%7C064c254f3811457a4eb108de690e65e9%7C95c34b8315eb4d9a97a7f29881f4a800%7C0%7C0%7C639063707723194530%7CUnknown%7CTWFpbGZsb3d8eyJFbXB0eU1hcGkiOnRydWUsIlYiOiIwLjAuMDAwMCIsIlAiOiJXaW4zMiIsIkFOIjoiTWFpbCIsIldUIjoyfQ%3D%3D%7C0%7C%7C%7C&amp;sdata=nCOLQew11FGzu4F0SeU0tqg66SUxvLQxpCpHukLHOiE%3D&amp;reserved=0</vt:lpwstr>
      </vt:variant>
      <vt:variant>
        <vt:lpwstr/>
      </vt:variant>
      <vt:variant>
        <vt:i4>1966154</vt:i4>
      </vt:variant>
      <vt:variant>
        <vt:i4>18</vt:i4>
      </vt:variant>
      <vt:variant>
        <vt:i4>0</vt:i4>
      </vt:variant>
      <vt:variant>
        <vt:i4>5</vt:i4>
      </vt:variant>
      <vt:variant>
        <vt:lpwstr>https://leapfroghelpdesk.zendesk.com/</vt:lpwstr>
      </vt:variant>
      <vt:variant>
        <vt:lpwstr/>
      </vt:variant>
      <vt:variant>
        <vt:i4>1966154</vt:i4>
      </vt:variant>
      <vt:variant>
        <vt:i4>15</vt:i4>
      </vt:variant>
      <vt:variant>
        <vt:i4>0</vt:i4>
      </vt:variant>
      <vt:variant>
        <vt:i4>5</vt:i4>
      </vt:variant>
      <vt:variant>
        <vt:lpwstr>https://leapfroghelpdesk.zendesk.com/</vt:lpwstr>
      </vt:variant>
      <vt:variant>
        <vt:lpwstr/>
      </vt:variant>
      <vt:variant>
        <vt:i4>1966154</vt:i4>
      </vt:variant>
      <vt:variant>
        <vt:i4>12</vt:i4>
      </vt:variant>
      <vt:variant>
        <vt:i4>0</vt:i4>
      </vt:variant>
      <vt:variant>
        <vt:i4>5</vt:i4>
      </vt:variant>
      <vt:variant>
        <vt:lpwstr>https://leapfroghelpdesk.zendesk.com/</vt:lpwstr>
      </vt:variant>
      <vt:variant>
        <vt:lpwstr/>
      </vt:variant>
      <vt:variant>
        <vt:i4>6881342</vt:i4>
      </vt:variant>
      <vt:variant>
        <vt:i4>9</vt:i4>
      </vt:variant>
      <vt:variant>
        <vt:i4>0</vt:i4>
      </vt:variant>
      <vt:variant>
        <vt:i4>5</vt:i4>
      </vt:variant>
      <vt:variant>
        <vt:lpwstr>https://public.vtoxford.org/transfer-codes/</vt:lpwstr>
      </vt:variant>
      <vt:variant>
        <vt:lpwstr/>
      </vt:variant>
      <vt:variant>
        <vt:i4>2359393</vt:i4>
      </vt:variant>
      <vt:variant>
        <vt:i4>6</vt:i4>
      </vt:variant>
      <vt:variant>
        <vt:i4>0</vt:i4>
      </vt:variant>
      <vt:variant>
        <vt:i4>5</vt:i4>
      </vt:variant>
      <vt:variant>
        <vt:lpwstr>http://www.leapfroggroup.org/survey-materials/join-nhsn</vt:lpwstr>
      </vt:variant>
      <vt:variant>
        <vt:lpwstr/>
      </vt:variant>
      <vt:variant>
        <vt:i4>2359393</vt:i4>
      </vt:variant>
      <vt:variant>
        <vt:i4>3</vt:i4>
      </vt:variant>
      <vt:variant>
        <vt:i4>0</vt:i4>
      </vt:variant>
      <vt:variant>
        <vt:i4>5</vt:i4>
      </vt:variant>
      <vt:variant>
        <vt:lpwstr>http://www.leapfroggroup.org/survey-materials/join-nhsn</vt:lpwstr>
      </vt:variant>
      <vt:variant>
        <vt:lpwstr/>
      </vt:variant>
      <vt:variant>
        <vt:i4>1966154</vt:i4>
      </vt:variant>
      <vt:variant>
        <vt:i4>0</vt:i4>
      </vt:variant>
      <vt:variant>
        <vt:i4>0</vt:i4>
      </vt:variant>
      <vt:variant>
        <vt:i4>5</vt:i4>
      </vt:variant>
      <vt:variant>
        <vt:lpwstr>https://leapfroghelpdesk.zendesk.com/</vt:lpwstr>
      </vt:variant>
      <vt:variant>
        <vt:lpwstr/>
      </vt:variant>
      <vt:variant>
        <vt:i4>4915294</vt:i4>
      </vt:variant>
      <vt:variant>
        <vt:i4>114</vt:i4>
      </vt:variant>
      <vt:variant>
        <vt:i4>0</vt:i4>
      </vt:variant>
      <vt:variant>
        <vt:i4>5</vt:i4>
      </vt:variant>
      <vt:variant>
        <vt:lpwstr>https://www.leapfroggroup.org/survey-materials/deadlines</vt:lpwstr>
      </vt:variant>
      <vt:variant>
        <vt:lpwstr/>
      </vt:variant>
      <vt:variant>
        <vt:i4>4915294</vt:i4>
      </vt:variant>
      <vt:variant>
        <vt:i4>111</vt:i4>
      </vt:variant>
      <vt:variant>
        <vt:i4>0</vt:i4>
      </vt:variant>
      <vt:variant>
        <vt:i4>5</vt:i4>
      </vt:variant>
      <vt:variant>
        <vt:lpwstr>https://www.leapfroggroup.org/survey-materials/deadlines</vt:lpwstr>
      </vt:variant>
      <vt:variant>
        <vt:lpwstr/>
      </vt:variant>
      <vt:variant>
        <vt:i4>4915294</vt:i4>
      </vt:variant>
      <vt:variant>
        <vt:i4>108</vt:i4>
      </vt:variant>
      <vt:variant>
        <vt:i4>0</vt:i4>
      </vt:variant>
      <vt:variant>
        <vt:i4>5</vt:i4>
      </vt:variant>
      <vt:variant>
        <vt:lpwstr>https://www.leapfroggroup.org/survey-materials/deadlines</vt:lpwstr>
      </vt:variant>
      <vt:variant>
        <vt:lpwstr/>
      </vt:variant>
      <vt:variant>
        <vt:i4>4915294</vt:i4>
      </vt:variant>
      <vt:variant>
        <vt:i4>105</vt:i4>
      </vt:variant>
      <vt:variant>
        <vt:i4>0</vt:i4>
      </vt:variant>
      <vt:variant>
        <vt:i4>5</vt:i4>
      </vt:variant>
      <vt:variant>
        <vt:lpwstr>https://www.leapfroggroup.org/survey-materials/deadlines</vt:lpwstr>
      </vt:variant>
      <vt:variant>
        <vt:lpwstr/>
      </vt:variant>
      <vt:variant>
        <vt:i4>4915294</vt:i4>
      </vt:variant>
      <vt:variant>
        <vt:i4>102</vt:i4>
      </vt:variant>
      <vt:variant>
        <vt:i4>0</vt:i4>
      </vt:variant>
      <vt:variant>
        <vt:i4>5</vt:i4>
      </vt:variant>
      <vt:variant>
        <vt:lpwstr>https://www.leapfroggroup.org/survey-materials/deadlines</vt:lpwstr>
      </vt:variant>
      <vt:variant>
        <vt:lpwstr/>
      </vt:variant>
      <vt:variant>
        <vt:i4>4915294</vt:i4>
      </vt:variant>
      <vt:variant>
        <vt:i4>99</vt:i4>
      </vt:variant>
      <vt:variant>
        <vt:i4>0</vt:i4>
      </vt:variant>
      <vt:variant>
        <vt:i4>5</vt:i4>
      </vt:variant>
      <vt:variant>
        <vt:lpwstr>https://www.leapfroggroup.org/survey-materials/deadlines</vt:lpwstr>
      </vt:variant>
      <vt:variant>
        <vt:lpwstr/>
      </vt:variant>
      <vt:variant>
        <vt:i4>4915294</vt:i4>
      </vt:variant>
      <vt:variant>
        <vt:i4>96</vt:i4>
      </vt:variant>
      <vt:variant>
        <vt:i4>0</vt:i4>
      </vt:variant>
      <vt:variant>
        <vt:i4>5</vt:i4>
      </vt:variant>
      <vt:variant>
        <vt:lpwstr>https://www.leapfroggroup.org/survey-materials/deadlines</vt:lpwstr>
      </vt:variant>
      <vt:variant>
        <vt:lpwstr/>
      </vt:variant>
      <vt:variant>
        <vt:i4>7929964</vt:i4>
      </vt:variant>
      <vt:variant>
        <vt:i4>93</vt:i4>
      </vt:variant>
      <vt:variant>
        <vt:i4>0</vt:i4>
      </vt:variant>
      <vt:variant>
        <vt:i4>5</vt:i4>
      </vt:variant>
      <vt:variant>
        <vt:lpwstr>https://www.leapfroggroup.org/survey-materials/review-nhsn-instructions</vt:lpwstr>
      </vt:variant>
      <vt:variant>
        <vt:lpwstr/>
      </vt:variant>
      <vt:variant>
        <vt:i4>4915294</vt:i4>
      </vt:variant>
      <vt:variant>
        <vt:i4>90</vt:i4>
      </vt:variant>
      <vt:variant>
        <vt:i4>0</vt:i4>
      </vt:variant>
      <vt:variant>
        <vt:i4>5</vt:i4>
      </vt:variant>
      <vt:variant>
        <vt:lpwstr>https://www.leapfroggroup.org/survey-materials/deadlines</vt:lpwstr>
      </vt:variant>
      <vt:variant>
        <vt:lpwstr/>
      </vt:variant>
      <vt:variant>
        <vt:i4>4915294</vt:i4>
      </vt:variant>
      <vt:variant>
        <vt:i4>87</vt:i4>
      </vt:variant>
      <vt:variant>
        <vt:i4>0</vt:i4>
      </vt:variant>
      <vt:variant>
        <vt:i4>5</vt:i4>
      </vt:variant>
      <vt:variant>
        <vt:lpwstr>https://www.leapfroggroup.org/survey-materials/deadlines</vt:lpwstr>
      </vt:variant>
      <vt:variant>
        <vt:lpwstr/>
      </vt:variant>
      <vt:variant>
        <vt:i4>4915294</vt:i4>
      </vt:variant>
      <vt:variant>
        <vt:i4>84</vt:i4>
      </vt:variant>
      <vt:variant>
        <vt:i4>0</vt:i4>
      </vt:variant>
      <vt:variant>
        <vt:i4>5</vt:i4>
      </vt:variant>
      <vt:variant>
        <vt:lpwstr>https://www.leapfroggroup.org/survey-materials/deadlines</vt:lpwstr>
      </vt:variant>
      <vt:variant>
        <vt:lpwstr/>
      </vt:variant>
      <vt:variant>
        <vt:i4>4915294</vt:i4>
      </vt:variant>
      <vt:variant>
        <vt:i4>81</vt:i4>
      </vt:variant>
      <vt:variant>
        <vt:i4>0</vt:i4>
      </vt:variant>
      <vt:variant>
        <vt:i4>5</vt:i4>
      </vt:variant>
      <vt:variant>
        <vt:lpwstr>https://www.leapfroggroup.org/survey-materials/deadlines</vt:lpwstr>
      </vt:variant>
      <vt:variant>
        <vt:lpwstr/>
      </vt:variant>
      <vt:variant>
        <vt:i4>4915294</vt:i4>
      </vt:variant>
      <vt:variant>
        <vt:i4>78</vt:i4>
      </vt:variant>
      <vt:variant>
        <vt:i4>0</vt:i4>
      </vt:variant>
      <vt:variant>
        <vt:i4>5</vt:i4>
      </vt:variant>
      <vt:variant>
        <vt:lpwstr>https://www.leapfroggroup.org/survey-materials/deadlines</vt:lpwstr>
      </vt:variant>
      <vt:variant>
        <vt:lpwstr/>
      </vt:variant>
      <vt:variant>
        <vt:i4>4915294</vt:i4>
      </vt:variant>
      <vt:variant>
        <vt:i4>75</vt:i4>
      </vt:variant>
      <vt:variant>
        <vt:i4>0</vt:i4>
      </vt:variant>
      <vt:variant>
        <vt:i4>5</vt:i4>
      </vt:variant>
      <vt:variant>
        <vt:lpwstr>https://www.leapfroggroup.org/survey-materials/deadlines</vt:lpwstr>
      </vt:variant>
      <vt:variant>
        <vt:lpwstr/>
      </vt:variant>
      <vt:variant>
        <vt:i4>4915294</vt:i4>
      </vt:variant>
      <vt:variant>
        <vt:i4>72</vt:i4>
      </vt:variant>
      <vt:variant>
        <vt:i4>0</vt:i4>
      </vt:variant>
      <vt:variant>
        <vt:i4>5</vt:i4>
      </vt:variant>
      <vt:variant>
        <vt:lpwstr>https://www.leapfroggroup.org/survey-materials/deadlines</vt:lpwstr>
      </vt:variant>
      <vt:variant>
        <vt:lpwstr/>
      </vt:variant>
      <vt:variant>
        <vt:i4>4915294</vt:i4>
      </vt:variant>
      <vt:variant>
        <vt:i4>69</vt:i4>
      </vt:variant>
      <vt:variant>
        <vt:i4>0</vt:i4>
      </vt:variant>
      <vt:variant>
        <vt:i4>5</vt:i4>
      </vt:variant>
      <vt:variant>
        <vt:lpwstr>https://www.leapfroggroup.org/survey-materials/deadlines</vt:lpwstr>
      </vt:variant>
      <vt:variant>
        <vt:lpwstr/>
      </vt:variant>
      <vt:variant>
        <vt:i4>2097163</vt:i4>
      </vt:variant>
      <vt:variant>
        <vt:i4>66</vt:i4>
      </vt:variant>
      <vt:variant>
        <vt:i4>0</vt:i4>
      </vt:variant>
      <vt:variant>
        <vt:i4>5</vt:i4>
      </vt:variant>
      <vt:variant>
        <vt:lpwstr/>
      </vt:variant>
      <vt:variant>
        <vt:lpwstr>_VON_National_Performance</vt:lpwstr>
      </vt:variant>
      <vt:variant>
        <vt:i4>4915294</vt:i4>
      </vt:variant>
      <vt:variant>
        <vt:i4>63</vt:i4>
      </vt:variant>
      <vt:variant>
        <vt:i4>0</vt:i4>
      </vt:variant>
      <vt:variant>
        <vt:i4>5</vt:i4>
      </vt:variant>
      <vt:variant>
        <vt:lpwstr>https://www.leapfroggroup.org/survey-materials/deadlines</vt:lpwstr>
      </vt:variant>
      <vt:variant>
        <vt:lpwstr/>
      </vt:variant>
      <vt:variant>
        <vt:i4>4915294</vt:i4>
      </vt:variant>
      <vt:variant>
        <vt:i4>60</vt:i4>
      </vt:variant>
      <vt:variant>
        <vt:i4>0</vt:i4>
      </vt:variant>
      <vt:variant>
        <vt:i4>5</vt:i4>
      </vt:variant>
      <vt:variant>
        <vt:lpwstr>https://www.leapfroggroup.org/survey-materials/deadlines</vt:lpwstr>
      </vt:variant>
      <vt:variant>
        <vt:lpwstr/>
      </vt:variant>
      <vt:variant>
        <vt:i4>4915294</vt:i4>
      </vt:variant>
      <vt:variant>
        <vt:i4>57</vt:i4>
      </vt:variant>
      <vt:variant>
        <vt:i4>0</vt:i4>
      </vt:variant>
      <vt:variant>
        <vt:i4>5</vt:i4>
      </vt:variant>
      <vt:variant>
        <vt:lpwstr>https://www.leapfroggroup.org/survey-materials/deadlines</vt:lpwstr>
      </vt:variant>
      <vt:variant>
        <vt:lpwstr/>
      </vt:variant>
      <vt:variant>
        <vt:i4>4915294</vt:i4>
      </vt:variant>
      <vt:variant>
        <vt:i4>54</vt:i4>
      </vt:variant>
      <vt:variant>
        <vt:i4>0</vt:i4>
      </vt:variant>
      <vt:variant>
        <vt:i4>5</vt:i4>
      </vt:variant>
      <vt:variant>
        <vt:lpwstr>https://www.leapfroggroup.org/survey-materials/deadlines</vt:lpwstr>
      </vt:variant>
      <vt:variant>
        <vt:lpwstr/>
      </vt:variant>
      <vt:variant>
        <vt:i4>4915294</vt:i4>
      </vt:variant>
      <vt:variant>
        <vt:i4>51</vt:i4>
      </vt:variant>
      <vt:variant>
        <vt:i4>0</vt:i4>
      </vt:variant>
      <vt:variant>
        <vt:i4>5</vt:i4>
      </vt:variant>
      <vt:variant>
        <vt:lpwstr>https://www.leapfroggroup.org/survey-materials/deadlines</vt:lpwstr>
      </vt:variant>
      <vt:variant>
        <vt:lpwstr/>
      </vt:variant>
      <vt:variant>
        <vt:i4>4915294</vt:i4>
      </vt:variant>
      <vt:variant>
        <vt:i4>48</vt:i4>
      </vt:variant>
      <vt:variant>
        <vt:i4>0</vt:i4>
      </vt:variant>
      <vt:variant>
        <vt:i4>5</vt:i4>
      </vt:variant>
      <vt:variant>
        <vt:lpwstr>https://www.leapfroggroup.org/survey-materials/deadlines</vt:lpwstr>
      </vt:variant>
      <vt:variant>
        <vt:lpwstr/>
      </vt:variant>
      <vt:variant>
        <vt:i4>4915294</vt:i4>
      </vt:variant>
      <vt:variant>
        <vt:i4>45</vt:i4>
      </vt:variant>
      <vt:variant>
        <vt:i4>0</vt:i4>
      </vt:variant>
      <vt:variant>
        <vt:i4>5</vt:i4>
      </vt:variant>
      <vt:variant>
        <vt:lpwstr>https://www.leapfroggroup.org/survey-materials/deadlines</vt:lpwstr>
      </vt:variant>
      <vt:variant>
        <vt:lpwstr/>
      </vt:variant>
      <vt:variant>
        <vt:i4>4915294</vt:i4>
      </vt:variant>
      <vt:variant>
        <vt:i4>42</vt:i4>
      </vt:variant>
      <vt:variant>
        <vt:i4>0</vt:i4>
      </vt:variant>
      <vt:variant>
        <vt:i4>5</vt:i4>
      </vt:variant>
      <vt:variant>
        <vt:lpwstr>https://www.leapfroggroup.org/survey-materials/deadlines</vt:lpwstr>
      </vt:variant>
      <vt:variant>
        <vt:lpwstr/>
      </vt:variant>
      <vt:variant>
        <vt:i4>4915294</vt:i4>
      </vt:variant>
      <vt:variant>
        <vt:i4>39</vt:i4>
      </vt:variant>
      <vt:variant>
        <vt:i4>0</vt:i4>
      </vt:variant>
      <vt:variant>
        <vt:i4>5</vt:i4>
      </vt:variant>
      <vt:variant>
        <vt:lpwstr>https://www.leapfroggroup.org/survey-materials/deadlines</vt:lpwstr>
      </vt:variant>
      <vt:variant>
        <vt:lpwstr/>
      </vt:variant>
      <vt:variant>
        <vt:i4>5177416</vt:i4>
      </vt:variant>
      <vt:variant>
        <vt:i4>36</vt:i4>
      </vt:variant>
      <vt:variant>
        <vt:i4>0</vt:i4>
      </vt:variant>
      <vt:variant>
        <vt:i4>5</vt:i4>
      </vt:variant>
      <vt:variant>
        <vt:lpwstr>https://www.sts.org/</vt:lpwstr>
      </vt:variant>
      <vt:variant>
        <vt:lpwstr/>
      </vt:variant>
      <vt:variant>
        <vt:i4>4915294</vt:i4>
      </vt:variant>
      <vt:variant>
        <vt:i4>33</vt:i4>
      </vt:variant>
      <vt:variant>
        <vt:i4>0</vt:i4>
      </vt:variant>
      <vt:variant>
        <vt:i4>5</vt:i4>
      </vt:variant>
      <vt:variant>
        <vt:lpwstr>https://www.leapfroggroup.org/survey-materials/deadlines</vt:lpwstr>
      </vt:variant>
      <vt:variant>
        <vt:lpwstr/>
      </vt:variant>
      <vt:variant>
        <vt:i4>4915294</vt:i4>
      </vt:variant>
      <vt:variant>
        <vt:i4>30</vt:i4>
      </vt:variant>
      <vt:variant>
        <vt:i4>0</vt:i4>
      </vt:variant>
      <vt:variant>
        <vt:i4>5</vt:i4>
      </vt:variant>
      <vt:variant>
        <vt:lpwstr>https://www.leapfroggroup.org/survey-materials/deadlines</vt:lpwstr>
      </vt:variant>
      <vt:variant>
        <vt:lpwstr/>
      </vt:variant>
      <vt:variant>
        <vt:i4>4915294</vt:i4>
      </vt:variant>
      <vt:variant>
        <vt:i4>27</vt:i4>
      </vt:variant>
      <vt:variant>
        <vt:i4>0</vt:i4>
      </vt:variant>
      <vt:variant>
        <vt:i4>5</vt:i4>
      </vt:variant>
      <vt:variant>
        <vt:lpwstr>https://www.leapfroggroup.org/survey-materials/deadlines</vt:lpwstr>
      </vt:variant>
      <vt:variant>
        <vt:lpwstr/>
      </vt:variant>
      <vt:variant>
        <vt:i4>4915294</vt:i4>
      </vt:variant>
      <vt:variant>
        <vt:i4>24</vt:i4>
      </vt:variant>
      <vt:variant>
        <vt:i4>0</vt:i4>
      </vt:variant>
      <vt:variant>
        <vt:i4>5</vt:i4>
      </vt:variant>
      <vt:variant>
        <vt:lpwstr>https://www.leapfroggroup.org/survey-materials/deadlines</vt:lpwstr>
      </vt:variant>
      <vt:variant>
        <vt:lpwstr/>
      </vt:variant>
      <vt:variant>
        <vt:i4>4915294</vt:i4>
      </vt:variant>
      <vt:variant>
        <vt:i4>21</vt:i4>
      </vt:variant>
      <vt:variant>
        <vt:i4>0</vt:i4>
      </vt:variant>
      <vt:variant>
        <vt:i4>5</vt:i4>
      </vt:variant>
      <vt:variant>
        <vt:lpwstr>https://www.leapfroggroup.org/survey-materials/deadlines</vt:lpwstr>
      </vt:variant>
      <vt:variant>
        <vt:lpwstr/>
      </vt:variant>
      <vt:variant>
        <vt:i4>4915294</vt:i4>
      </vt:variant>
      <vt:variant>
        <vt:i4>18</vt:i4>
      </vt:variant>
      <vt:variant>
        <vt:i4>0</vt:i4>
      </vt:variant>
      <vt:variant>
        <vt:i4>5</vt:i4>
      </vt:variant>
      <vt:variant>
        <vt:lpwstr>https://www.leapfroggroup.org/survey-materials/deadlines</vt:lpwstr>
      </vt:variant>
      <vt:variant>
        <vt:lpwstr/>
      </vt:variant>
      <vt:variant>
        <vt:i4>4915294</vt:i4>
      </vt:variant>
      <vt:variant>
        <vt:i4>15</vt:i4>
      </vt:variant>
      <vt:variant>
        <vt:i4>0</vt:i4>
      </vt:variant>
      <vt:variant>
        <vt:i4>5</vt:i4>
      </vt:variant>
      <vt:variant>
        <vt:lpwstr>https://www.leapfroggroup.org/survey-materials/deadlines</vt:lpwstr>
      </vt:variant>
      <vt:variant>
        <vt:lpwstr/>
      </vt:variant>
      <vt:variant>
        <vt:i4>4915294</vt:i4>
      </vt:variant>
      <vt:variant>
        <vt:i4>12</vt:i4>
      </vt:variant>
      <vt:variant>
        <vt:i4>0</vt:i4>
      </vt:variant>
      <vt:variant>
        <vt:i4>5</vt:i4>
      </vt:variant>
      <vt:variant>
        <vt:lpwstr>https://www.leapfroggroup.org/survey-materials/deadlines</vt:lpwstr>
      </vt:variant>
      <vt:variant>
        <vt:lpwstr/>
      </vt:variant>
      <vt:variant>
        <vt:i4>4915294</vt:i4>
      </vt:variant>
      <vt:variant>
        <vt:i4>9</vt:i4>
      </vt:variant>
      <vt:variant>
        <vt:i4>0</vt:i4>
      </vt:variant>
      <vt:variant>
        <vt:i4>5</vt:i4>
      </vt:variant>
      <vt:variant>
        <vt:lpwstr>https://www.leapfroggroup.org/survey-materials/deadlines</vt:lpwstr>
      </vt:variant>
      <vt:variant>
        <vt:lpwstr/>
      </vt:variant>
      <vt:variant>
        <vt:i4>4915294</vt:i4>
      </vt:variant>
      <vt:variant>
        <vt:i4>6</vt:i4>
      </vt:variant>
      <vt:variant>
        <vt:i4>0</vt:i4>
      </vt:variant>
      <vt:variant>
        <vt:i4>5</vt:i4>
      </vt:variant>
      <vt:variant>
        <vt:lpwstr>https://www.leapfroggroup.org/survey-materials/deadlines</vt:lpwstr>
      </vt:variant>
      <vt:variant>
        <vt:lpwstr/>
      </vt:variant>
      <vt:variant>
        <vt:i4>2359343</vt:i4>
      </vt:variant>
      <vt:variant>
        <vt:i4>3</vt:i4>
      </vt:variant>
      <vt:variant>
        <vt:i4>0</vt:i4>
      </vt:variant>
      <vt:variant>
        <vt:i4>5</vt:i4>
      </vt:variant>
      <vt:variant>
        <vt:lpwstr>https://ratings.leapfroggroup.org/</vt:lpwstr>
      </vt:variant>
      <vt:variant>
        <vt:lpwstr/>
      </vt:variant>
      <vt:variant>
        <vt:i4>6750315</vt:i4>
      </vt:variant>
      <vt:variant>
        <vt:i4>0</vt:i4>
      </vt:variant>
      <vt:variant>
        <vt:i4>0</vt:i4>
      </vt:variant>
      <vt:variant>
        <vt:i4>5</vt:i4>
      </vt:variant>
      <vt:variant>
        <vt:lpwstr>http://leapfroggroup.org/survey-materials/survey-and-cpoe-materials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Leapfrog Hospital Survey</dc:title>
  <dc:subject/>
  <dc:creator>Melissa Danforth</dc:creator>
  <cp:keywords/>
  <dc:description/>
  <cp:lastModifiedBy>Dylan Eller</cp:lastModifiedBy>
  <cp:revision>60</cp:revision>
  <cp:lastPrinted>2026-07-09T14:42:00Z</cp:lastPrinted>
  <dcterms:created xsi:type="dcterms:W3CDTF">2026-04-01T01:34:00Z</dcterms:created>
  <dcterms:modified xsi:type="dcterms:W3CDTF">2026-08-18T17:55:00Z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0x0101009FBFE9F8E814B9458E004ABC1F0CC3C9</vt:lpwstr>
  </property>
  <property fmtid="{D5CDD505-2E9C-101B-9397-08002B2CF9AE}" pid="4" name="MediaServiceImageTags">
    <vt:lpwstr/>
  </property>
  <property fmtid="{D5CDD505-2E9C-101B-9397-08002B2CF9AE}" pid="5" name="_dlc_DocIdItemGuid">
    <vt:lpwstr>3e894c07-18b4-4966-a4d5-af2217955610</vt:lpwstr>
  </property>
</Properties>
</file>